
<file path=[Content_Types].xml><?xml version="1.0" encoding="utf-8"?>
<Types xmlns="http://schemas.openxmlformats.org/package/2006/content-types">
  <Override PartName="/word/footnotes.xml" ContentType="application/vnd.openxmlformats-officedocument.wordprocessingml.footnotes+xml"/>
  <Default Extension="png" ContentType="image/png"/>
  <Default Extension="bin" ContentType="application/vnd.openxmlformats-officedocument.oleObject"/>
  <Override PartName="/customXml/itemProps1.xml" ContentType="application/vnd.openxmlformats-officedocument.customXmlProperties+xml"/>
  <Default Extension="wmf" ContentType="image/x-wmf"/>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endnotes.xml" ContentType="application/vnd.openxmlformats-officedocument.wordprocessingml.endnotes+xml"/>
  <Override PartName="/docProps/app.xml" ContentType="application/vnd.openxmlformats-officedocument.extended-properties+xml"/>
  <Override PartName="/word/settings.xml" ContentType="application/vnd.openxmlformats-officedocument.wordprocessingml.settings+xml"/>
  <Override PartName="/word/footer2.xml" ContentType="application/vnd.openxmlformats-officedocument.wordprocessingml.footer+xml"/>
  <Override PartName="/word/footer3.xml" ContentType="application/vnd.openxmlformats-officedocument.wordprocessingml.footer+xml"/>
  <Override PartName="/word/footer1.xml" ContentType="application/vnd.openxmlformats-officedocument.wordprocessingml.footer+xml"/>
  <Override PartName="/word/theme/theme1.xml" ContentType="application/vnd.openxmlformats-officedocument.theme+xml"/>
  <Override PartName="/word/fontTable.xml" ContentType="application/vnd.openxmlformats-officedocument.wordprocessingml.fontTable+xml"/>
  <Override PartName="/word/webSettings.xml" ContentType="application/vnd.openxmlformats-officedocument.wordprocessingml.webSettings+xml"/>
  <Override PartName="/word/header1.xml" ContentType="application/vnd.openxmlformats-officedocument.wordprocessingml.header+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sdt>
      <w:sdtPr>
        <w:rPr>
          <w:rFonts w:asciiTheme="majorHAnsi" w:eastAsiaTheme="majorEastAsia" w:hAnsiTheme="majorHAnsi" w:cstheme="majorBidi"/>
          <w:caps/>
          <w:sz w:val="20"/>
          <w:szCs w:val="20"/>
          <w:lang w:eastAsia="pl-PL"/>
        </w:rPr>
        <w:id w:val="48435300"/>
        <w:docPartObj>
          <w:docPartGallery w:val="Cover Pages"/>
          <w:docPartUnique/>
        </w:docPartObj>
      </w:sdtPr>
      <w:sdtEndPr>
        <w:rPr>
          <w:rFonts w:ascii="Times New Roman" w:eastAsia="Times New Roman" w:hAnsi="Times New Roman" w:cs="Times New Roman"/>
          <w:caps w:val="0"/>
        </w:rPr>
      </w:sdtEndPr>
      <w:sdtContent>
        <w:tbl>
          <w:tblPr>
            <w:tblW w:w="5000" w:type="pct"/>
            <w:jc w:val="center"/>
            <w:tblLook w:val="04A0"/>
          </w:tblPr>
          <w:tblGrid>
            <w:gridCol w:w="8721"/>
          </w:tblGrid>
          <w:tr w:rsidR="00C55F36" w:rsidTr="00BB4DAA">
            <w:trPr>
              <w:trHeight w:val="6130"/>
              <w:jc w:val="center"/>
            </w:trPr>
            <w:tc>
              <w:tcPr>
                <w:tcW w:w="5000" w:type="pct"/>
              </w:tcPr>
              <w:p w:rsidR="004D7008" w:rsidRDefault="004D7008">
                <w:pPr>
                  <w:pStyle w:val="Bezodstpw"/>
                  <w:jc w:val="center"/>
                  <w:rPr>
                    <w:rFonts w:asciiTheme="majorHAnsi" w:eastAsiaTheme="majorEastAsia" w:hAnsiTheme="majorHAnsi" w:cstheme="majorBidi"/>
                    <w:caps/>
                  </w:rPr>
                </w:pPr>
              </w:p>
              <w:tbl>
                <w:tblPr>
                  <w:tblpPr w:leftFromText="141" w:rightFromText="141" w:vertAnchor="text" w:horzAnchor="margin" w:tblpY="701"/>
                  <w:tblOverlap w:val="never"/>
                  <w:tblW w:w="8482" w:type="dxa"/>
                  <w:tblBorders>
                    <w:top w:val="single" w:sz="18" w:space="0" w:color="76923C"/>
                    <w:left w:val="single" w:sz="18" w:space="0" w:color="76923C"/>
                    <w:bottom w:val="single" w:sz="18" w:space="0" w:color="76923C"/>
                    <w:right w:val="single" w:sz="18" w:space="0" w:color="76923C"/>
                    <w:insideH w:val="single" w:sz="6" w:space="0" w:color="76923C"/>
                    <w:insideV w:val="single" w:sz="6" w:space="0" w:color="76923C"/>
                  </w:tblBorders>
                  <w:tblCellMar>
                    <w:left w:w="120" w:type="dxa"/>
                    <w:right w:w="120" w:type="dxa"/>
                  </w:tblCellMar>
                  <w:tblLook w:val="0000"/>
                </w:tblPr>
                <w:tblGrid>
                  <w:gridCol w:w="1538"/>
                  <w:gridCol w:w="1843"/>
                  <w:gridCol w:w="1134"/>
                  <w:gridCol w:w="2551"/>
                  <w:gridCol w:w="1416"/>
                </w:tblGrid>
                <w:tr w:rsidR="0090450D" w:rsidRPr="00C27541" w:rsidTr="0090450D">
                  <w:trPr>
                    <w:trHeight w:val="42"/>
                  </w:trPr>
                  <w:tc>
                    <w:tcPr>
                      <w:tcW w:w="8482" w:type="dxa"/>
                      <w:gridSpan w:val="5"/>
                      <w:tcBorders>
                        <w:bottom w:val="nil"/>
                      </w:tcBorders>
                    </w:tcPr>
                    <w:p w:rsidR="0090450D" w:rsidRPr="00C27541" w:rsidRDefault="0090450D" w:rsidP="0090450D">
                      <w:pPr>
                        <w:rPr>
                          <w:sz w:val="18"/>
                          <w:szCs w:val="18"/>
                        </w:rPr>
                      </w:pPr>
                    </w:p>
                  </w:tc>
                </w:tr>
                <w:tr w:rsidR="0090450D" w:rsidRPr="00C27541" w:rsidTr="0090450D">
                  <w:trPr>
                    <w:trHeight w:val="902"/>
                  </w:trPr>
                  <w:tc>
                    <w:tcPr>
                      <w:tcW w:w="3381" w:type="dxa"/>
                      <w:gridSpan w:val="2"/>
                      <w:tcBorders>
                        <w:top w:val="nil"/>
                        <w:bottom w:val="single" w:sz="6" w:space="0" w:color="76923C"/>
                      </w:tcBorders>
                    </w:tcPr>
                    <w:p w:rsidR="0090450D" w:rsidRDefault="0090450D" w:rsidP="0090450D">
                      <w:pPr>
                        <w:jc w:val="center"/>
                        <w:rPr>
                          <w:sz w:val="18"/>
                          <w:szCs w:val="18"/>
                        </w:rPr>
                      </w:pPr>
                    </w:p>
                    <w:p w:rsidR="0090450D" w:rsidRPr="00C27541" w:rsidRDefault="0090450D" w:rsidP="0090450D">
                      <w:pPr>
                        <w:jc w:val="center"/>
                        <w:rPr>
                          <w:sz w:val="18"/>
                          <w:szCs w:val="18"/>
                        </w:rPr>
                      </w:pPr>
                      <w:r w:rsidRPr="00C27541">
                        <w:rPr>
                          <w:sz w:val="18"/>
                          <w:szCs w:val="18"/>
                        </w:rPr>
                        <w:t>Zamawiający:</w:t>
                      </w:r>
                    </w:p>
                    <w:p w:rsidR="0090450D" w:rsidRPr="00C27541" w:rsidRDefault="0090450D" w:rsidP="0090450D">
                      <w:pPr>
                        <w:jc w:val="center"/>
                        <w:rPr>
                          <w:sz w:val="18"/>
                          <w:szCs w:val="18"/>
                        </w:rPr>
                      </w:pPr>
                    </w:p>
                  </w:tc>
                  <w:tc>
                    <w:tcPr>
                      <w:tcW w:w="5101" w:type="dxa"/>
                      <w:gridSpan w:val="3"/>
                      <w:tcBorders>
                        <w:top w:val="nil"/>
                        <w:bottom w:val="single" w:sz="6" w:space="0" w:color="76923C"/>
                      </w:tcBorders>
                      <w:vAlign w:val="center"/>
                    </w:tcPr>
                    <w:p w:rsidR="0090450D" w:rsidRPr="00C27541" w:rsidRDefault="0090450D" w:rsidP="0090450D">
                      <w:pPr>
                        <w:jc w:val="center"/>
                        <w:rPr>
                          <w:b/>
                          <w:sz w:val="18"/>
                          <w:szCs w:val="18"/>
                        </w:rPr>
                      </w:pPr>
                      <w:r>
                        <w:rPr>
                          <w:b/>
                          <w:sz w:val="18"/>
                          <w:szCs w:val="18"/>
                        </w:rPr>
                        <w:t>MIASTO LESZNO</w:t>
                      </w:r>
                    </w:p>
                    <w:p w:rsidR="0090450D" w:rsidRPr="00C27541" w:rsidRDefault="0090450D" w:rsidP="0090450D">
                      <w:pPr>
                        <w:jc w:val="center"/>
                        <w:rPr>
                          <w:sz w:val="18"/>
                          <w:szCs w:val="18"/>
                        </w:rPr>
                      </w:pPr>
                      <w:r w:rsidRPr="00C27541">
                        <w:rPr>
                          <w:sz w:val="18"/>
                          <w:szCs w:val="18"/>
                        </w:rPr>
                        <w:t xml:space="preserve">ul. </w:t>
                      </w:r>
                      <w:r>
                        <w:rPr>
                          <w:sz w:val="18"/>
                          <w:szCs w:val="18"/>
                        </w:rPr>
                        <w:t>Kazimierza Karasia 15</w:t>
                      </w:r>
                    </w:p>
                    <w:p w:rsidR="0090450D" w:rsidRPr="00C27541" w:rsidRDefault="0090450D" w:rsidP="0090450D">
                      <w:pPr>
                        <w:jc w:val="center"/>
                        <w:rPr>
                          <w:sz w:val="18"/>
                          <w:szCs w:val="18"/>
                        </w:rPr>
                      </w:pPr>
                      <w:r w:rsidRPr="00C27541">
                        <w:rPr>
                          <w:sz w:val="18"/>
                          <w:szCs w:val="18"/>
                        </w:rPr>
                        <w:t>64-</w:t>
                      </w:r>
                      <w:r>
                        <w:rPr>
                          <w:sz w:val="18"/>
                          <w:szCs w:val="18"/>
                        </w:rPr>
                        <w:t>1</w:t>
                      </w:r>
                      <w:r w:rsidRPr="00C27541">
                        <w:rPr>
                          <w:sz w:val="18"/>
                          <w:szCs w:val="18"/>
                        </w:rPr>
                        <w:t xml:space="preserve">00 </w:t>
                      </w:r>
                      <w:r>
                        <w:rPr>
                          <w:sz w:val="18"/>
                          <w:szCs w:val="18"/>
                        </w:rPr>
                        <w:t>Leszno</w:t>
                      </w:r>
                    </w:p>
                  </w:tc>
                </w:tr>
                <w:tr w:rsidR="0090450D" w:rsidRPr="00C27541" w:rsidTr="0090450D">
                  <w:trPr>
                    <w:trHeight w:val="1058"/>
                  </w:trPr>
                  <w:tc>
                    <w:tcPr>
                      <w:tcW w:w="3381" w:type="dxa"/>
                      <w:gridSpan w:val="2"/>
                      <w:tcBorders>
                        <w:top w:val="single" w:sz="6" w:space="0" w:color="76923C"/>
                        <w:bottom w:val="single" w:sz="6" w:space="0" w:color="76923C"/>
                      </w:tcBorders>
                    </w:tcPr>
                    <w:p w:rsidR="0090450D" w:rsidRDefault="0090450D" w:rsidP="0090450D">
                      <w:pPr>
                        <w:jc w:val="center"/>
                        <w:rPr>
                          <w:sz w:val="18"/>
                          <w:szCs w:val="18"/>
                        </w:rPr>
                      </w:pPr>
                    </w:p>
                    <w:p w:rsidR="0090450D" w:rsidRDefault="0090450D" w:rsidP="0090450D">
                      <w:pPr>
                        <w:jc w:val="center"/>
                        <w:rPr>
                          <w:sz w:val="18"/>
                          <w:szCs w:val="18"/>
                        </w:rPr>
                      </w:pPr>
                    </w:p>
                    <w:p w:rsidR="0090450D" w:rsidRPr="00C27541" w:rsidRDefault="0090450D" w:rsidP="0090450D">
                      <w:pPr>
                        <w:jc w:val="center"/>
                        <w:rPr>
                          <w:sz w:val="18"/>
                          <w:szCs w:val="18"/>
                        </w:rPr>
                      </w:pPr>
                      <w:r w:rsidRPr="00C27541">
                        <w:rPr>
                          <w:sz w:val="18"/>
                          <w:szCs w:val="18"/>
                        </w:rPr>
                        <w:t>Jednostka projektowa:</w:t>
                      </w:r>
                    </w:p>
                    <w:p w:rsidR="0090450D" w:rsidRPr="00C27541" w:rsidRDefault="0090450D" w:rsidP="0090450D">
                      <w:pPr>
                        <w:jc w:val="center"/>
                        <w:rPr>
                          <w:sz w:val="18"/>
                          <w:szCs w:val="18"/>
                        </w:rPr>
                      </w:pPr>
                    </w:p>
                  </w:tc>
                  <w:tc>
                    <w:tcPr>
                      <w:tcW w:w="5101" w:type="dxa"/>
                      <w:gridSpan w:val="3"/>
                      <w:tcBorders>
                        <w:top w:val="single" w:sz="6" w:space="0" w:color="76923C"/>
                        <w:bottom w:val="single" w:sz="6" w:space="0" w:color="76923C"/>
                      </w:tcBorders>
                      <w:vAlign w:val="center"/>
                    </w:tcPr>
                    <w:p w:rsidR="0090450D" w:rsidRPr="00C27541" w:rsidRDefault="0090450D" w:rsidP="0090450D">
                      <w:pPr>
                        <w:jc w:val="center"/>
                        <w:rPr>
                          <w:b/>
                          <w:sz w:val="18"/>
                          <w:szCs w:val="18"/>
                        </w:rPr>
                      </w:pPr>
                      <w:r w:rsidRPr="00C27541">
                        <w:rPr>
                          <w:b/>
                          <w:sz w:val="18"/>
                          <w:szCs w:val="18"/>
                        </w:rPr>
                        <w:t>FIRMA PROJEKTOWO - USŁUGOWA</w:t>
                      </w:r>
                    </w:p>
                    <w:p w:rsidR="0090450D" w:rsidRPr="00C27541" w:rsidRDefault="0090450D" w:rsidP="0090450D">
                      <w:pPr>
                        <w:jc w:val="center"/>
                        <w:rPr>
                          <w:b/>
                          <w:sz w:val="18"/>
                          <w:szCs w:val="18"/>
                        </w:rPr>
                      </w:pPr>
                      <w:r w:rsidRPr="00C27541">
                        <w:rPr>
                          <w:b/>
                          <w:sz w:val="18"/>
                          <w:szCs w:val="18"/>
                        </w:rPr>
                        <w:t>Krzysztof Marchwicki</w:t>
                      </w:r>
                    </w:p>
                    <w:p w:rsidR="0090450D" w:rsidRPr="00C27541" w:rsidRDefault="0090450D" w:rsidP="0090450D">
                      <w:pPr>
                        <w:jc w:val="center"/>
                        <w:rPr>
                          <w:sz w:val="18"/>
                          <w:szCs w:val="18"/>
                        </w:rPr>
                      </w:pPr>
                      <w:r w:rsidRPr="00C27541">
                        <w:rPr>
                          <w:sz w:val="18"/>
                          <w:szCs w:val="18"/>
                        </w:rPr>
                        <w:t>ul. Duńska 30</w:t>
                      </w:r>
                    </w:p>
                    <w:p w:rsidR="0090450D" w:rsidRPr="00C27541" w:rsidRDefault="0090450D" w:rsidP="0090450D">
                      <w:pPr>
                        <w:jc w:val="center"/>
                        <w:rPr>
                          <w:sz w:val="18"/>
                          <w:szCs w:val="18"/>
                        </w:rPr>
                      </w:pPr>
                      <w:r w:rsidRPr="00C27541">
                        <w:rPr>
                          <w:sz w:val="18"/>
                          <w:szCs w:val="18"/>
                        </w:rPr>
                        <w:t>64-100 Leszno</w:t>
                      </w:r>
                    </w:p>
                  </w:tc>
                </w:tr>
                <w:tr w:rsidR="0090450D" w:rsidRPr="00C27541" w:rsidTr="0090450D">
                  <w:trPr>
                    <w:trHeight w:val="1059"/>
                  </w:trPr>
                  <w:tc>
                    <w:tcPr>
                      <w:tcW w:w="3381" w:type="dxa"/>
                      <w:gridSpan w:val="2"/>
                      <w:tcBorders>
                        <w:top w:val="single" w:sz="6" w:space="0" w:color="76923C"/>
                        <w:bottom w:val="single" w:sz="12" w:space="0" w:color="76923C"/>
                      </w:tcBorders>
                    </w:tcPr>
                    <w:p w:rsidR="0090450D" w:rsidRDefault="0090450D" w:rsidP="0090450D">
                      <w:pPr>
                        <w:jc w:val="center"/>
                        <w:rPr>
                          <w:sz w:val="18"/>
                          <w:szCs w:val="18"/>
                        </w:rPr>
                      </w:pPr>
                    </w:p>
                    <w:p w:rsidR="0090450D" w:rsidRDefault="0090450D" w:rsidP="0090450D">
                      <w:pPr>
                        <w:jc w:val="center"/>
                        <w:rPr>
                          <w:sz w:val="18"/>
                          <w:szCs w:val="18"/>
                        </w:rPr>
                      </w:pPr>
                    </w:p>
                    <w:p w:rsidR="0090450D" w:rsidRPr="00C27541" w:rsidRDefault="0090450D" w:rsidP="0090450D">
                      <w:pPr>
                        <w:jc w:val="center"/>
                        <w:rPr>
                          <w:sz w:val="18"/>
                          <w:szCs w:val="18"/>
                        </w:rPr>
                      </w:pPr>
                      <w:r w:rsidRPr="00C27541">
                        <w:rPr>
                          <w:sz w:val="18"/>
                          <w:szCs w:val="18"/>
                        </w:rPr>
                        <w:t>Opracował:</w:t>
                      </w:r>
                    </w:p>
                    <w:p w:rsidR="0090450D" w:rsidRPr="00C27541" w:rsidRDefault="0090450D" w:rsidP="0090450D">
                      <w:pPr>
                        <w:jc w:val="center"/>
                        <w:rPr>
                          <w:sz w:val="18"/>
                          <w:szCs w:val="18"/>
                        </w:rPr>
                      </w:pPr>
                    </w:p>
                  </w:tc>
                  <w:tc>
                    <w:tcPr>
                      <w:tcW w:w="5101" w:type="dxa"/>
                      <w:gridSpan w:val="3"/>
                      <w:tcBorders>
                        <w:top w:val="single" w:sz="6" w:space="0" w:color="76923C"/>
                        <w:bottom w:val="single" w:sz="12" w:space="0" w:color="76923C"/>
                      </w:tcBorders>
                      <w:vAlign w:val="center"/>
                    </w:tcPr>
                    <w:p w:rsidR="0090450D" w:rsidRPr="00C27541" w:rsidRDefault="0090450D" w:rsidP="0090450D">
                      <w:pPr>
                        <w:jc w:val="center"/>
                        <w:rPr>
                          <w:b/>
                          <w:sz w:val="18"/>
                          <w:szCs w:val="18"/>
                        </w:rPr>
                      </w:pPr>
                      <w:r w:rsidRPr="00C27541">
                        <w:rPr>
                          <w:b/>
                          <w:sz w:val="18"/>
                          <w:szCs w:val="18"/>
                        </w:rPr>
                        <w:t>FIRMA PROJEKTOWO - USŁUGOWA</w:t>
                      </w:r>
                    </w:p>
                    <w:p w:rsidR="0090450D" w:rsidRPr="00C27541" w:rsidRDefault="0090450D" w:rsidP="0090450D">
                      <w:pPr>
                        <w:jc w:val="center"/>
                        <w:rPr>
                          <w:b/>
                          <w:sz w:val="18"/>
                          <w:szCs w:val="18"/>
                        </w:rPr>
                      </w:pPr>
                      <w:r w:rsidRPr="00C27541">
                        <w:rPr>
                          <w:b/>
                          <w:sz w:val="18"/>
                          <w:szCs w:val="18"/>
                        </w:rPr>
                        <w:t>Krzysztof Marchwicki</w:t>
                      </w:r>
                    </w:p>
                    <w:p w:rsidR="0090450D" w:rsidRPr="00C27541" w:rsidRDefault="0090450D" w:rsidP="0090450D">
                      <w:pPr>
                        <w:jc w:val="center"/>
                        <w:rPr>
                          <w:sz w:val="18"/>
                          <w:szCs w:val="18"/>
                        </w:rPr>
                      </w:pPr>
                      <w:r w:rsidRPr="00C27541">
                        <w:rPr>
                          <w:sz w:val="18"/>
                          <w:szCs w:val="18"/>
                        </w:rPr>
                        <w:t>ul. Duńska 30</w:t>
                      </w:r>
                    </w:p>
                    <w:p w:rsidR="0090450D" w:rsidRPr="00C27541" w:rsidRDefault="0090450D" w:rsidP="0090450D">
                      <w:pPr>
                        <w:jc w:val="center"/>
                        <w:rPr>
                          <w:sz w:val="18"/>
                          <w:szCs w:val="18"/>
                        </w:rPr>
                      </w:pPr>
                      <w:r w:rsidRPr="00C27541">
                        <w:rPr>
                          <w:sz w:val="18"/>
                          <w:szCs w:val="18"/>
                        </w:rPr>
                        <w:t>64-100 Leszno</w:t>
                      </w:r>
                    </w:p>
                  </w:tc>
                </w:tr>
                <w:tr w:rsidR="0090450D" w:rsidRPr="00C27541" w:rsidTr="0090450D">
                  <w:trPr>
                    <w:trHeight w:val="50"/>
                  </w:trPr>
                  <w:tc>
                    <w:tcPr>
                      <w:tcW w:w="8482" w:type="dxa"/>
                      <w:gridSpan w:val="5"/>
                      <w:tcBorders>
                        <w:top w:val="single" w:sz="12" w:space="0" w:color="76923C"/>
                        <w:bottom w:val="nil"/>
                      </w:tcBorders>
                    </w:tcPr>
                    <w:p w:rsidR="0090450D" w:rsidRPr="00C27541" w:rsidRDefault="0090450D" w:rsidP="0090450D">
                      <w:pPr>
                        <w:rPr>
                          <w:sz w:val="18"/>
                          <w:szCs w:val="18"/>
                        </w:rPr>
                      </w:pPr>
                    </w:p>
                  </w:tc>
                </w:tr>
                <w:tr w:rsidR="0090450D" w:rsidRPr="00C27541" w:rsidTr="0090450D">
                  <w:trPr>
                    <w:trHeight w:val="747"/>
                  </w:trPr>
                  <w:tc>
                    <w:tcPr>
                      <w:tcW w:w="8482" w:type="dxa"/>
                      <w:gridSpan w:val="5"/>
                      <w:tcBorders>
                        <w:top w:val="nil"/>
                        <w:bottom w:val="single" w:sz="6" w:space="0" w:color="76923C"/>
                      </w:tcBorders>
                    </w:tcPr>
                    <w:p w:rsidR="0090450D" w:rsidRPr="00C27541" w:rsidRDefault="0090450D" w:rsidP="0090450D">
                      <w:pPr>
                        <w:jc w:val="center"/>
                        <w:rPr>
                          <w:sz w:val="18"/>
                          <w:szCs w:val="18"/>
                        </w:rPr>
                      </w:pPr>
                      <w:r w:rsidRPr="00C27541">
                        <w:rPr>
                          <w:sz w:val="18"/>
                          <w:szCs w:val="18"/>
                        </w:rPr>
                        <w:t>Stadium:</w:t>
                      </w:r>
                    </w:p>
                    <w:p w:rsidR="0090450D" w:rsidRPr="00C27541" w:rsidRDefault="0090450D" w:rsidP="0090450D">
                      <w:pPr>
                        <w:jc w:val="center"/>
                        <w:rPr>
                          <w:b/>
                          <w:sz w:val="18"/>
                          <w:szCs w:val="18"/>
                        </w:rPr>
                      </w:pPr>
                      <w:r>
                        <w:rPr>
                          <w:b/>
                          <w:sz w:val="18"/>
                          <w:szCs w:val="18"/>
                        </w:rPr>
                        <w:t>PROJEKT  BUDOWLANY</w:t>
                      </w:r>
                    </w:p>
                  </w:tc>
                </w:tr>
                <w:tr w:rsidR="0090450D" w:rsidRPr="00C27541" w:rsidTr="0090450D">
                  <w:trPr>
                    <w:trHeight w:val="1069"/>
                  </w:trPr>
                  <w:tc>
                    <w:tcPr>
                      <w:tcW w:w="8482" w:type="dxa"/>
                      <w:gridSpan w:val="5"/>
                      <w:tcBorders>
                        <w:top w:val="single" w:sz="6" w:space="0" w:color="76923C"/>
                      </w:tcBorders>
                    </w:tcPr>
                    <w:p w:rsidR="0090450D" w:rsidRDefault="0090450D" w:rsidP="0090450D">
                      <w:pPr>
                        <w:jc w:val="center"/>
                        <w:rPr>
                          <w:sz w:val="18"/>
                          <w:szCs w:val="18"/>
                        </w:rPr>
                      </w:pPr>
                    </w:p>
                    <w:p w:rsidR="0090450D" w:rsidRDefault="0090450D" w:rsidP="0090450D">
                      <w:pPr>
                        <w:jc w:val="center"/>
                        <w:rPr>
                          <w:sz w:val="18"/>
                          <w:szCs w:val="18"/>
                        </w:rPr>
                      </w:pPr>
                      <w:r w:rsidRPr="00C27541">
                        <w:rPr>
                          <w:sz w:val="18"/>
                          <w:szCs w:val="18"/>
                        </w:rPr>
                        <w:t>Zamierzenie budowlane:</w:t>
                      </w:r>
                    </w:p>
                    <w:p w:rsidR="0090450D" w:rsidRPr="00C27541" w:rsidRDefault="0090450D" w:rsidP="0090450D">
                      <w:pPr>
                        <w:jc w:val="center"/>
                        <w:rPr>
                          <w:sz w:val="18"/>
                          <w:szCs w:val="18"/>
                        </w:rPr>
                      </w:pPr>
                    </w:p>
                    <w:p w:rsidR="0090450D" w:rsidRPr="00C27541" w:rsidRDefault="0090450D" w:rsidP="0090450D">
                      <w:pPr>
                        <w:jc w:val="center"/>
                        <w:rPr>
                          <w:b/>
                          <w:sz w:val="18"/>
                          <w:szCs w:val="18"/>
                        </w:rPr>
                      </w:pPr>
                      <w:r w:rsidRPr="00C27541">
                        <w:rPr>
                          <w:b/>
                          <w:sz w:val="18"/>
                          <w:szCs w:val="18"/>
                        </w:rPr>
                        <w:t xml:space="preserve">PRZEBUDOWA </w:t>
                      </w:r>
                      <w:r>
                        <w:rPr>
                          <w:b/>
                          <w:sz w:val="18"/>
                          <w:szCs w:val="18"/>
                        </w:rPr>
                        <w:t>UL.55 PUŁKU PIECHOTY W LESZNIE WRAZ Z PRZEBUDOWĄ OŚWIETLENIA</w:t>
                      </w:r>
                    </w:p>
                  </w:tc>
                </w:tr>
                <w:tr w:rsidR="0090450D" w:rsidRPr="00C27541" w:rsidTr="0090450D">
                  <w:trPr>
                    <w:trHeight w:val="844"/>
                  </w:trPr>
                  <w:tc>
                    <w:tcPr>
                      <w:tcW w:w="8482" w:type="dxa"/>
                      <w:gridSpan w:val="5"/>
                    </w:tcPr>
                    <w:p w:rsidR="0090450D" w:rsidRDefault="0090450D" w:rsidP="0090450D">
                      <w:pPr>
                        <w:jc w:val="center"/>
                        <w:rPr>
                          <w:sz w:val="18"/>
                          <w:szCs w:val="18"/>
                        </w:rPr>
                      </w:pPr>
                    </w:p>
                    <w:p w:rsidR="0090450D" w:rsidRDefault="0090450D" w:rsidP="0090450D">
                      <w:pPr>
                        <w:jc w:val="center"/>
                        <w:rPr>
                          <w:sz w:val="18"/>
                          <w:szCs w:val="18"/>
                        </w:rPr>
                      </w:pPr>
                      <w:r w:rsidRPr="00C27541">
                        <w:rPr>
                          <w:sz w:val="18"/>
                          <w:szCs w:val="18"/>
                        </w:rPr>
                        <w:t>Obiekt budowlany:</w:t>
                      </w:r>
                    </w:p>
                    <w:p w:rsidR="0090450D" w:rsidRPr="00C27541" w:rsidRDefault="0090450D" w:rsidP="0090450D">
                      <w:pPr>
                        <w:jc w:val="center"/>
                        <w:rPr>
                          <w:b/>
                          <w:sz w:val="18"/>
                          <w:szCs w:val="18"/>
                        </w:rPr>
                      </w:pPr>
                      <w:r>
                        <w:rPr>
                          <w:b/>
                          <w:sz w:val="18"/>
                          <w:szCs w:val="18"/>
                        </w:rPr>
                        <w:t>ULICA 55 PUŁKU PIECHOTY W LESZNIE</w:t>
                      </w:r>
                    </w:p>
                  </w:tc>
                </w:tr>
                <w:tr w:rsidR="0090450D" w:rsidRPr="00C27541" w:rsidTr="0090450D">
                  <w:trPr>
                    <w:trHeight w:val="1096"/>
                  </w:trPr>
                  <w:tc>
                    <w:tcPr>
                      <w:tcW w:w="8482" w:type="dxa"/>
                      <w:gridSpan w:val="5"/>
                      <w:tcBorders>
                        <w:bottom w:val="single" w:sz="12" w:space="0" w:color="76923C"/>
                      </w:tcBorders>
                    </w:tcPr>
                    <w:p w:rsidR="0090450D" w:rsidRDefault="0090450D" w:rsidP="0090450D">
                      <w:pPr>
                        <w:jc w:val="center"/>
                        <w:rPr>
                          <w:sz w:val="18"/>
                          <w:szCs w:val="18"/>
                        </w:rPr>
                      </w:pPr>
                    </w:p>
                    <w:p w:rsidR="0090450D" w:rsidRDefault="0090450D" w:rsidP="0090450D">
                      <w:pPr>
                        <w:jc w:val="center"/>
                        <w:rPr>
                          <w:sz w:val="18"/>
                          <w:szCs w:val="18"/>
                        </w:rPr>
                      </w:pPr>
                      <w:r w:rsidRPr="00C27541">
                        <w:rPr>
                          <w:sz w:val="18"/>
                          <w:szCs w:val="18"/>
                        </w:rPr>
                        <w:t>Nazwa opracowania:</w:t>
                      </w:r>
                    </w:p>
                    <w:p w:rsidR="0090450D" w:rsidRPr="00C27541" w:rsidRDefault="0090450D" w:rsidP="0090450D">
                      <w:pPr>
                        <w:jc w:val="center"/>
                        <w:rPr>
                          <w:sz w:val="18"/>
                          <w:szCs w:val="18"/>
                        </w:rPr>
                      </w:pPr>
                    </w:p>
                    <w:p w:rsidR="0090450D" w:rsidRPr="00DE319C" w:rsidRDefault="0090450D" w:rsidP="0090450D">
                      <w:pPr>
                        <w:jc w:val="center"/>
                        <w:rPr>
                          <w:b/>
                          <w:sz w:val="22"/>
                          <w:szCs w:val="22"/>
                        </w:rPr>
                      </w:pPr>
                      <w:r w:rsidRPr="00DE319C">
                        <w:rPr>
                          <w:b/>
                          <w:sz w:val="22"/>
                          <w:szCs w:val="22"/>
                        </w:rPr>
                        <w:t>SPECYFIKACJE TECHNICZNE WYKONANIA I ODBIORU ROBÓT</w:t>
                      </w:r>
                    </w:p>
                    <w:p w:rsidR="0090450D" w:rsidRDefault="0090450D" w:rsidP="0090450D">
                      <w:pPr>
                        <w:jc w:val="center"/>
                        <w:rPr>
                          <w:b/>
                          <w:sz w:val="18"/>
                          <w:szCs w:val="18"/>
                        </w:rPr>
                      </w:pPr>
                    </w:p>
                    <w:p w:rsidR="0090450D" w:rsidRPr="00C27541" w:rsidRDefault="0090450D" w:rsidP="0090450D">
                      <w:pPr>
                        <w:jc w:val="center"/>
                        <w:rPr>
                          <w:sz w:val="18"/>
                          <w:szCs w:val="18"/>
                        </w:rPr>
                      </w:pPr>
                    </w:p>
                  </w:tc>
                </w:tr>
                <w:tr w:rsidR="0090450D" w:rsidRPr="00C27541" w:rsidTr="0090450D">
                  <w:trPr>
                    <w:trHeight w:val="329"/>
                  </w:trPr>
                  <w:tc>
                    <w:tcPr>
                      <w:tcW w:w="1538" w:type="dxa"/>
                      <w:tcBorders>
                        <w:top w:val="single" w:sz="12" w:space="0" w:color="76923C"/>
                        <w:bottom w:val="single" w:sz="6" w:space="0" w:color="76923C"/>
                      </w:tcBorders>
                      <w:vAlign w:val="center"/>
                    </w:tcPr>
                    <w:p w:rsidR="0090450D" w:rsidRPr="00C27541" w:rsidRDefault="0090450D" w:rsidP="0090450D">
                      <w:pPr>
                        <w:jc w:val="center"/>
                        <w:rPr>
                          <w:sz w:val="18"/>
                          <w:szCs w:val="18"/>
                        </w:rPr>
                      </w:pPr>
                      <w:r w:rsidRPr="00C27541">
                        <w:rPr>
                          <w:sz w:val="18"/>
                          <w:szCs w:val="18"/>
                        </w:rPr>
                        <w:t>Stanowisko:</w:t>
                      </w:r>
                    </w:p>
                  </w:tc>
                  <w:tc>
                    <w:tcPr>
                      <w:tcW w:w="2977" w:type="dxa"/>
                      <w:gridSpan w:val="2"/>
                      <w:tcBorders>
                        <w:top w:val="single" w:sz="12" w:space="0" w:color="76923C"/>
                        <w:bottom w:val="single" w:sz="6" w:space="0" w:color="76923C"/>
                      </w:tcBorders>
                      <w:vAlign w:val="center"/>
                    </w:tcPr>
                    <w:p w:rsidR="0090450D" w:rsidRPr="00C27541" w:rsidRDefault="0090450D" w:rsidP="0090450D">
                      <w:pPr>
                        <w:jc w:val="center"/>
                        <w:rPr>
                          <w:sz w:val="18"/>
                          <w:szCs w:val="18"/>
                        </w:rPr>
                      </w:pPr>
                      <w:r w:rsidRPr="00C27541">
                        <w:rPr>
                          <w:sz w:val="18"/>
                          <w:szCs w:val="18"/>
                        </w:rPr>
                        <w:t>Imię i Nazwisko:</w:t>
                      </w:r>
                    </w:p>
                  </w:tc>
                  <w:tc>
                    <w:tcPr>
                      <w:tcW w:w="2551" w:type="dxa"/>
                      <w:tcBorders>
                        <w:top w:val="single" w:sz="12" w:space="0" w:color="76923C"/>
                        <w:bottom w:val="single" w:sz="6" w:space="0" w:color="76923C"/>
                      </w:tcBorders>
                      <w:vAlign w:val="center"/>
                    </w:tcPr>
                    <w:p w:rsidR="0090450D" w:rsidRPr="00C27541" w:rsidRDefault="0090450D" w:rsidP="0090450D">
                      <w:pPr>
                        <w:jc w:val="center"/>
                        <w:rPr>
                          <w:sz w:val="18"/>
                          <w:szCs w:val="18"/>
                        </w:rPr>
                      </w:pPr>
                      <w:r w:rsidRPr="00C27541">
                        <w:rPr>
                          <w:sz w:val="18"/>
                          <w:szCs w:val="18"/>
                        </w:rPr>
                        <w:t>Nr uprawnień:</w:t>
                      </w:r>
                    </w:p>
                  </w:tc>
                  <w:tc>
                    <w:tcPr>
                      <w:tcW w:w="1416" w:type="dxa"/>
                      <w:tcBorders>
                        <w:top w:val="single" w:sz="12" w:space="0" w:color="76923C"/>
                        <w:bottom w:val="single" w:sz="6" w:space="0" w:color="76923C"/>
                      </w:tcBorders>
                      <w:vAlign w:val="center"/>
                    </w:tcPr>
                    <w:p w:rsidR="0090450D" w:rsidRPr="00C27541" w:rsidRDefault="0090450D" w:rsidP="0090450D">
                      <w:pPr>
                        <w:jc w:val="center"/>
                        <w:rPr>
                          <w:sz w:val="18"/>
                          <w:szCs w:val="18"/>
                        </w:rPr>
                      </w:pPr>
                      <w:r w:rsidRPr="00C27541">
                        <w:rPr>
                          <w:sz w:val="18"/>
                          <w:szCs w:val="18"/>
                        </w:rPr>
                        <w:t>Podpis:</w:t>
                      </w:r>
                    </w:p>
                  </w:tc>
                </w:tr>
                <w:tr w:rsidR="0090450D" w:rsidRPr="00C27541" w:rsidTr="0090450D">
                  <w:trPr>
                    <w:trHeight w:val="497"/>
                  </w:trPr>
                  <w:tc>
                    <w:tcPr>
                      <w:tcW w:w="1538" w:type="dxa"/>
                      <w:tcBorders>
                        <w:top w:val="single" w:sz="6" w:space="0" w:color="76923C"/>
                        <w:bottom w:val="single" w:sz="6" w:space="0" w:color="76923C"/>
                      </w:tcBorders>
                      <w:vAlign w:val="center"/>
                    </w:tcPr>
                    <w:p w:rsidR="0090450D" w:rsidRPr="00C27541" w:rsidRDefault="0090450D" w:rsidP="0090450D">
                      <w:pPr>
                        <w:jc w:val="center"/>
                        <w:rPr>
                          <w:sz w:val="18"/>
                          <w:szCs w:val="18"/>
                        </w:rPr>
                      </w:pPr>
                      <w:r w:rsidRPr="00C27541">
                        <w:rPr>
                          <w:sz w:val="18"/>
                          <w:szCs w:val="18"/>
                        </w:rPr>
                        <w:t>Projektant</w:t>
                      </w:r>
                    </w:p>
                  </w:tc>
                  <w:tc>
                    <w:tcPr>
                      <w:tcW w:w="2977" w:type="dxa"/>
                      <w:gridSpan w:val="2"/>
                      <w:tcBorders>
                        <w:top w:val="single" w:sz="6" w:space="0" w:color="76923C"/>
                        <w:bottom w:val="single" w:sz="6" w:space="0" w:color="76923C"/>
                      </w:tcBorders>
                      <w:vAlign w:val="center"/>
                    </w:tcPr>
                    <w:p w:rsidR="0090450D" w:rsidRPr="00C27541" w:rsidRDefault="0090450D" w:rsidP="0090450D">
                      <w:pPr>
                        <w:jc w:val="center"/>
                        <w:rPr>
                          <w:sz w:val="18"/>
                          <w:szCs w:val="18"/>
                        </w:rPr>
                      </w:pPr>
                      <w:r w:rsidRPr="00C27541">
                        <w:rPr>
                          <w:sz w:val="18"/>
                          <w:szCs w:val="18"/>
                        </w:rPr>
                        <w:t>inż. Krzysztof Marchwicki</w:t>
                      </w:r>
                    </w:p>
                  </w:tc>
                  <w:tc>
                    <w:tcPr>
                      <w:tcW w:w="2551" w:type="dxa"/>
                      <w:tcBorders>
                        <w:top w:val="single" w:sz="6" w:space="0" w:color="76923C"/>
                        <w:bottom w:val="single" w:sz="6" w:space="0" w:color="76923C"/>
                      </w:tcBorders>
                    </w:tcPr>
                    <w:p w:rsidR="0090450D" w:rsidRPr="00C27541" w:rsidRDefault="0090450D" w:rsidP="0090450D">
                      <w:pPr>
                        <w:jc w:val="center"/>
                        <w:rPr>
                          <w:sz w:val="18"/>
                          <w:szCs w:val="18"/>
                        </w:rPr>
                      </w:pPr>
                      <w:r w:rsidRPr="00C27541">
                        <w:rPr>
                          <w:sz w:val="18"/>
                          <w:szCs w:val="18"/>
                        </w:rPr>
                        <w:t>921/86/Lo</w:t>
                      </w:r>
                    </w:p>
                    <w:p w:rsidR="0090450D" w:rsidRPr="00C27541" w:rsidRDefault="0090450D" w:rsidP="0090450D">
                      <w:pPr>
                        <w:jc w:val="center"/>
                        <w:rPr>
                          <w:sz w:val="18"/>
                          <w:szCs w:val="18"/>
                        </w:rPr>
                      </w:pPr>
                      <w:r w:rsidRPr="00C27541">
                        <w:rPr>
                          <w:sz w:val="18"/>
                          <w:szCs w:val="18"/>
                        </w:rPr>
                        <w:t>Projektowanie w specjalności kon</w:t>
                      </w:r>
                      <w:r>
                        <w:rPr>
                          <w:sz w:val="18"/>
                          <w:szCs w:val="18"/>
                        </w:rPr>
                        <w:t>strukcyjno-</w:t>
                      </w:r>
                      <w:r w:rsidRPr="00C27541">
                        <w:rPr>
                          <w:sz w:val="18"/>
                          <w:szCs w:val="18"/>
                        </w:rPr>
                        <w:t>inżynieryjnej w zakresie dróg</w:t>
                      </w:r>
                    </w:p>
                  </w:tc>
                  <w:tc>
                    <w:tcPr>
                      <w:tcW w:w="1416" w:type="dxa"/>
                      <w:tcBorders>
                        <w:top w:val="single" w:sz="6" w:space="0" w:color="76923C"/>
                        <w:bottom w:val="single" w:sz="6" w:space="0" w:color="76923C"/>
                      </w:tcBorders>
                    </w:tcPr>
                    <w:p w:rsidR="0090450D" w:rsidRPr="00C27541" w:rsidRDefault="0090450D" w:rsidP="0090450D">
                      <w:pPr>
                        <w:jc w:val="center"/>
                        <w:rPr>
                          <w:sz w:val="18"/>
                          <w:szCs w:val="18"/>
                        </w:rPr>
                      </w:pPr>
                    </w:p>
                  </w:tc>
                </w:tr>
                <w:tr w:rsidR="0090450D" w:rsidRPr="00C27541" w:rsidTr="0090450D">
                  <w:trPr>
                    <w:trHeight w:val="802"/>
                  </w:trPr>
                  <w:tc>
                    <w:tcPr>
                      <w:tcW w:w="1538" w:type="dxa"/>
                      <w:tcBorders>
                        <w:top w:val="single" w:sz="6" w:space="0" w:color="76923C"/>
                        <w:bottom w:val="single" w:sz="6" w:space="0" w:color="76923C"/>
                      </w:tcBorders>
                      <w:vAlign w:val="center"/>
                    </w:tcPr>
                    <w:p w:rsidR="0090450D" w:rsidRPr="00C27541" w:rsidRDefault="0090450D" w:rsidP="0090450D">
                      <w:pPr>
                        <w:jc w:val="center"/>
                        <w:rPr>
                          <w:sz w:val="18"/>
                          <w:szCs w:val="18"/>
                        </w:rPr>
                      </w:pPr>
                      <w:r w:rsidRPr="00C27541">
                        <w:rPr>
                          <w:sz w:val="18"/>
                          <w:szCs w:val="18"/>
                        </w:rPr>
                        <w:t>Sporządził:</w:t>
                      </w:r>
                    </w:p>
                  </w:tc>
                  <w:tc>
                    <w:tcPr>
                      <w:tcW w:w="2977" w:type="dxa"/>
                      <w:gridSpan w:val="2"/>
                      <w:tcBorders>
                        <w:top w:val="single" w:sz="6" w:space="0" w:color="76923C"/>
                        <w:bottom w:val="single" w:sz="6" w:space="0" w:color="76923C"/>
                      </w:tcBorders>
                      <w:vAlign w:val="center"/>
                    </w:tcPr>
                    <w:p w:rsidR="0090450D" w:rsidRPr="00C27541" w:rsidRDefault="0090450D" w:rsidP="0090450D">
                      <w:pPr>
                        <w:jc w:val="center"/>
                        <w:rPr>
                          <w:sz w:val="18"/>
                          <w:szCs w:val="18"/>
                        </w:rPr>
                      </w:pPr>
                      <w:r w:rsidRPr="00C27541">
                        <w:rPr>
                          <w:sz w:val="18"/>
                          <w:szCs w:val="18"/>
                        </w:rPr>
                        <w:t>inż. Dawid Marchwicki</w:t>
                      </w:r>
                    </w:p>
                  </w:tc>
                  <w:tc>
                    <w:tcPr>
                      <w:tcW w:w="2551" w:type="dxa"/>
                      <w:tcBorders>
                        <w:top w:val="single" w:sz="6" w:space="0" w:color="76923C"/>
                        <w:bottom w:val="single" w:sz="6" w:space="0" w:color="76923C"/>
                      </w:tcBorders>
                      <w:vAlign w:val="center"/>
                    </w:tcPr>
                    <w:p w:rsidR="0090450D" w:rsidRPr="00C27541" w:rsidRDefault="0090450D" w:rsidP="0090450D">
                      <w:pPr>
                        <w:jc w:val="center"/>
                        <w:rPr>
                          <w:sz w:val="18"/>
                          <w:szCs w:val="18"/>
                        </w:rPr>
                      </w:pPr>
                      <w:r w:rsidRPr="00C27541">
                        <w:rPr>
                          <w:sz w:val="18"/>
                          <w:szCs w:val="18"/>
                        </w:rPr>
                        <w:t>------------------</w:t>
                      </w:r>
                    </w:p>
                  </w:tc>
                  <w:tc>
                    <w:tcPr>
                      <w:tcW w:w="1416" w:type="dxa"/>
                      <w:tcBorders>
                        <w:top w:val="single" w:sz="6" w:space="0" w:color="76923C"/>
                        <w:bottom w:val="single" w:sz="6" w:space="0" w:color="76923C"/>
                      </w:tcBorders>
                    </w:tcPr>
                    <w:p w:rsidR="0090450D" w:rsidRPr="00C27541" w:rsidRDefault="0090450D" w:rsidP="0090450D">
                      <w:pPr>
                        <w:jc w:val="center"/>
                        <w:rPr>
                          <w:sz w:val="18"/>
                          <w:szCs w:val="18"/>
                        </w:rPr>
                      </w:pPr>
                    </w:p>
                  </w:tc>
                </w:tr>
                <w:tr w:rsidR="0090450D" w:rsidRPr="00C27541" w:rsidTr="0090450D">
                  <w:trPr>
                    <w:trHeight w:val="838"/>
                  </w:trPr>
                  <w:tc>
                    <w:tcPr>
                      <w:tcW w:w="1538" w:type="dxa"/>
                      <w:tcBorders>
                        <w:top w:val="single" w:sz="6" w:space="0" w:color="76923C"/>
                        <w:bottom w:val="single" w:sz="6" w:space="0" w:color="76923C"/>
                      </w:tcBorders>
                      <w:vAlign w:val="center"/>
                    </w:tcPr>
                    <w:p w:rsidR="0090450D" w:rsidRPr="00C27541" w:rsidRDefault="0090450D" w:rsidP="0090450D">
                      <w:pPr>
                        <w:jc w:val="center"/>
                        <w:rPr>
                          <w:sz w:val="18"/>
                          <w:szCs w:val="18"/>
                        </w:rPr>
                      </w:pPr>
                      <w:r w:rsidRPr="00C27541">
                        <w:rPr>
                          <w:sz w:val="18"/>
                          <w:szCs w:val="18"/>
                        </w:rPr>
                        <w:t>Sprawdził</w:t>
                      </w:r>
                    </w:p>
                  </w:tc>
                  <w:tc>
                    <w:tcPr>
                      <w:tcW w:w="2977" w:type="dxa"/>
                      <w:gridSpan w:val="2"/>
                      <w:tcBorders>
                        <w:top w:val="single" w:sz="6" w:space="0" w:color="76923C"/>
                        <w:bottom w:val="single" w:sz="6" w:space="0" w:color="76923C"/>
                      </w:tcBorders>
                      <w:vAlign w:val="center"/>
                    </w:tcPr>
                    <w:p w:rsidR="0090450D" w:rsidRPr="00C27541" w:rsidRDefault="0090450D" w:rsidP="0090450D">
                      <w:pPr>
                        <w:jc w:val="center"/>
                        <w:rPr>
                          <w:sz w:val="18"/>
                          <w:szCs w:val="18"/>
                        </w:rPr>
                      </w:pPr>
                      <w:r w:rsidRPr="00C27541">
                        <w:rPr>
                          <w:sz w:val="18"/>
                          <w:szCs w:val="18"/>
                        </w:rPr>
                        <w:t>mgr inż. Paweł Kattner</w:t>
                      </w:r>
                    </w:p>
                  </w:tc>
                  <w:tc>
                    <w:tcPr>
                      <w:tcW w:w="2551" w:type="dxa"/>
                      <w:tcBorders>
                        <w:top w:val="single" w:sz="6" w:space="0" w:color="76923C"/>
                        <w:bottom w:val="single" w:sz="6" w:space="0" w:color="76923C"/>
                      </w:tcBorders>
                    </w:tcPr>
                    <w:p w:rsidR="0090450D" w:rsidRPr="00C27541" w:rsidRDefault="0090450D" w:rsidP="0090450D">
                      <w:pPr>
                        <w:jc w:val="center"/>
                        <w:rPr>
                          <w:sz w:val="18"/>
                          <w:szCs w:val="18"/>
                        </w:rPr>
                      </w:pPr>
                      <w:r w:rsidRPr="00C27541">
                        <w:rPr>
                          <w:sz w:val="18"/>
                          <w:szCs w:val="18"/>
                        </w:rPr>
                        <w:t>702/85/Lo</w:t>
                      </w:r>
                    </w:p>
                    <w:p w:rsidR="0090450D" w:rsidRPr="00C27541" w:rsidRDefault="0090450D" w:rsidP="0090450D">
                      <w:pPr>
                        <w:jc w:val="center"/>
                        <w:rPr>
                          <w:sz w:val="18"/>
                          <w:szCs w:val="18"/>
                        </w:rPr>
                      </w:pPr>
                      <w:r w:rsidRPr="00C27541">
                        <w:rPr>
                          <w:sz w:val="18"/>
                          <w:szCs w:val="18"/>
                        </w:rPr>
                        <w:t>Projektowanie w specjalności kon</w:t>
                      </w:r>
                      <w:r>
                        <w:rPr>
                          <w:sz w:val="18"/>
                          <w:szCs w:val="18"/>
                        </w:rPr>
                        <w:t>strukcyjno-</w:t>
                      </w:r>
                      <w:r w:rsidRPr="00C27541">
                        <w:rPr>
                          <w:sz w:val="18"/>
                          <w:szCs w:val="18"/>
                        </w:rPr>
                        <w:t>inżynieryjnej w zakresie dróg</w:t>
                      </w:r>
                    </w:p>
                  </w:tc>
                  <w:tc>
                    <w:tcPr>
                      <w:tcW w:w="1416" w:type="dxa"/>
                      <w:tcBorders>
                        <w:top w:val="single" w:sz="6" w:space="0" w:color="76923C"/>
                        <w:bottom w:val="single" w:sz="6" w:space="0" w:color="76923C"/>
                      </w:tcBorders>
                      <w:vAlign w:val="center"/>
                    </w:tcPr>
                    <w:p w:rsidR="0090450D" w:rsidRPr="00C27541" w:rsidRDefault="0090450D" w:rsidP="0090450D">
                      <w:pPr>
                        <w:jc w:val="center"/>
                        <w:rPr>
                          <w:sz w:val="18"/>
                          <w:szCs w:val="18"/>
                        </w:rPr>
                      </w:pPr>
                    </w:p>
                  </w:tc>
                </w:tr>
                <w:tr w:rsidR="0090450D" w:rsidRPr="00C27541" w:rsidTr="0090450D">
                  <w:trPr>
                    <w:trHeight w:val="475"/>
                  </w:trPr>
                  <w:tc>
                    <w:tcPr>
                      <w:tcW w:w="1538" w:type="dxa"/>
                      <w:tcBorders>
                        <w:top w:val="single" w:sz="12" w:space="0" w:color="76923C"/>
                        <w:bottom w:val="single" w:sz="18" w:space="0" w:color="76923C"/>
                      </w:tcBorders>
                    </w:tcPr>
                    <w:p w:rsidR="0090450D" w:rsidRPr="00C27541" w:rsidRDefault="0090450D" w:rsidP="0090450D">
                      <w:pPr>
                        <w:jc w:val="center"/>
                        <w:rPr>
                          <w:sz w:val="18"/>
                          <w:szCs w:val="18"/>
                        </w:rPr>
                      </w:pPr>
                      <w:r w:rsidRPr="00C27541">
                        <w:rPr>
                          <w:sz w:val="18"/>
                          <w:szCs w:val="18"/>
                        </w:rPr>
                        <w:t>Data:</w:t>
                      </w:r>
                    </w:p>
                    <w:p w:rsidR="0090450D" w:rsidRPr="00C27541" w:rsidRDefault="0090450D" w:rsidP="0090450D">
                      <w:pPr>
                        <w:jc w:val="center"/>
                        <w:rPr>
                          <w:sz w:val="18"/>
                          <w:szCs w:val="18"/>
                        </w:rPr>
                      </w:pPr>
                      <w:r>
                        <w:rPr>
                          <w:sz w:val="18"/>
                          <w:szCs w:val="18"/>
                        </w:rPr>
                        <w:t>2015 r.</w:t>
                      </w:r>
                    </w:p>
                  </w:tc>
                  <w:tc>
                    <w:tcPr>
                      <w:tcW w:w="6944" w:type="dxa"/>
                      <w:gridSpan w:val="4"/>
                      <w:tcBorders>
                        <w:top w:val="single" w:sz="12" w:space="0" w:color="76923C"/>
                        <w:bottom w:val="single" w:sz="18" w:space="0" w:color="76923C"/>
                      </w:tcBorders>
                    </w:tcPr>
                    <w:p w:rsidR="0090450D" w:rsidRPr="00C27541" w:rsidRDefault="0090450D" w:rsidP="0090450D">
                      <w:pPr>
                        <w:jc w:val="center"/>
                        <w:rPr>
                          <w:sz w:val="18"/>
                          <w:szCs w:val="18"/>
                        </w:rPr>
                      </w:pPr>
                      <w:r w:rsidRPr="00C27541">
                        <w:rPr>
                          <w:sz w:val="18"/>
                          <w:szCs w:val="18"/>
                        </w:rPr>
                        <w:t>Nr umowy:</w:t>
                      </w:r>
                    </w:p>
                    <w:p w:rsidR="0090450D" w:rsidRPr="00731449" w:rsidRDefault="0090450D" w:rsidP="0090450D">
                      <w:pPr>
                        <w:jc w:val="center"/>
                        <w:rPr>
                          <w:b/>
                          <w:sz w:val="18"/>
                          <w:szCs w:val="18"/>
                        </w:rPr>
                      </w:pPr>
                      <w:r w:rsidRPr="00731449">
                        <w:rPr>
                          <w:b/>
                          <w:sz w:val="18"/>
                          <w:szCs w:val="18"/>
                        </w:rPr>
                        <w:t>MZD.272.4</w:t>
                      </w:r>
                      <w:r>
                        <w:rPr>
                          <w:b/>
                          <w:sz w:val="18"/>
                          <w:szCs w:val="18"/>
                        </w:rPr>
                        <w:t>1</w:t>
                      </w:r>
                      <w:r w:rsidRPr="00731449">
                        <w:rPr>
                          <w:b/>
                          <w:sz w:val="18"/>
                          <w:szCs w:val="18"/>
                        </w:rPr>
                        <w:t>.2015</w:t>
                      </w:r>
                    </w:p>
                  </w:tc>
                </w:tr>
              </w:tbl>
              <w:p w:rsidR="00C55F36" w:rsidRDefault="00C55F36">
                <w:pPr>
                  <w:pStyle w:val="Bezodstpw"/>
                  <w:jc w:val="center"/>
                  <w:rPr>
                    <w:rFonts w:asciiTheme="majorHAnsi" w:eastAsiaTheme="majorEastAsia" w:hAnsiTheme="majorHAnsi" w:cstheme="majorBidi"/>
                    <w:caps/>
                  </w:rPr>
                </w:pPr>
              </w:p>
            </w:tc>
          </w:tr>
        </w:tbl>
        <w:p w:rsidR="00C55F36" w:rsidRDefault="00C55F36"/>
        <w:p w:rsidR="00C55F36" w:rsidRDefault="00C55F36"/>
        <w:tbl>
          <w:tblPr>
            <w:tblpPr w:leftFromText="187" w:rightFromText="187" w:horzAnchor="margin" w:tblpXSpec="center" w:tblpYSpec="bottom"/>
            <w:tblW w:w="5000" w:type="pct"/>
            <w:tblLook w:val="04A0"/>
          </w:tblPr>
          <w:tblGrid>
            <w:gridCol w:w="8721"/>
          </w:tblGrid>
          <w:tr w:rsidR="00C55F36">
            <w:tc>
              <w:tcPr>
                <w:tcW w:w="5000" w:type="pct"/>
              </w:tcPr>
              <w:p w:rsidR="00C55F36" w:rsidRDefault="00C55F36">
                <w:pPr>
                  <w:pStyle w:val="Bezodstpw"/>
                </w:pPr>
              </w:p>
            </w:tc>
          </w:tr>
        </w:tbl>
        <w:p w:rsidR="00C55F36" w:rsidRDefault="00C55F36"/>
        <w:p w:rsidR="0090450D" w:rsidRDefault="00C55F36">
          <w:pPr>
            <w:overflowPunct/>
            <w:autoSpaceDE/>
            <w:autoSpaceDN/>
            <w:adjustRightInd/>
            <w:spacing w:after="200" w:line="276" w:lineRule="auto"/>
            <w:jc w:val="left"/>
            <w:textAlignment w:val="auto"/>
          </w:pPr>
          <w:r>
            <w:br w:type="page"/>
          </w:r>
        </w:p>
        <w:p w:rsidR="00C55F36" w:rsidRDefault="00B96EFD">
          <w:pPr>
            <w:overflowPunct/>
            <w:autoSpaceDE/>
            <w:autoSpaceDN/>
            <w:adjustRightInd/>
            <w:spacing w:after="200" w:line="276" w:lineRule="auto"/>
            <w:jc w:val="left"/>
            <w:textAlignment w:val="auto"/>
          </w:pPr>
        </w:p>
      </w:sdtContent>
    </w:sdt>
    <w:sdt>
      <w:sdtPr>
        <w:rPr>
          <w:rFonts w:ascii="Times New Roman" w:hAnsi="Times New Roman"/>
          <w:b w:val="0"/>
          <w:bCs w:val="0"/>
          <w:color w:val="auto"/>
          <w:sz w:val="18"/>
          <w:szCs w:val="18"/>
          <w:lang w:eastAsia="pl-PL"/>
        </w:rPr>
        <w:id w:val="48435347"/>
        <w:docPartObj>
          <w:docPartGallery w:val="Table of Contents"/>
          <w:docPartUnique/>
        </w:docPartObj>
      </w:sdtPr>
      <w:sdtEndPr>
        <w:rPr>
          <w:sz w:val="20"/>
          <w:szCs w:val="20"/>
        </w:rPr>
      </w:sdtEndPr>
      <w:sdtContent>
        <w:p w:rsidR="00BB4DAA" w:rsidRPr="007839CF" w:rsidRDefault="00BB4DAA">
          <w:pPr>
            <w:pStyle w:val="Nagwekspisutreci"/>
            <w:rPr>
              <w:sz w:val="18"/>
              <w:szCs w:val="18"/>
            </w:rPr>
          </w:pPr>
          <w:r w:rsidRPr="007839CF">
            <w:rPr>
              <w:sz w:val="18"/>
              <w:szCs w:val="18"/>
            </w:rPr>
            <w:t>Spis treści</w:t>
          </w:r>
        </w:p>
        <w:p w:rsidR="00072571" w:rsidRDefault="00B96EFD" w:rsidP="00FD61BC">
          <w:pPr>
            <w:pStyle w:val="Spistreci1"/>
            <w:tabs>
              <w:tab w:val="clear" w:pos="7371"/>
              <w:tab w:val="right" w:leader="dot" w:pos="8505"/>
            </w:tabs>
            <w:rPr>
              <w:rFonts w:asciiTheme="minorHAnsi" w:eastAsiaTheme="minorEastAsia" w:hAnsiTheme="minorHAnsi" w:cstheme="minorBidi"/>
              <w:b w:val="0"/>
              <w:caps w:val="0"/>
              <w:noProof/>
              <w:sz w:val="22"/>
              <w:szCs w:val="22"/>
            </w:rPr>
          </w:pPr>
          <w:r w:rsidRPr="00B96EFD">
            <w:rPr>
              <w:sz w:val="18"/>
              <w:szCs w:val="18"/>
            </w:rPr>
            <w:fldChar w:fldCharType="begin"/>
          </w:r>
          <w:r w:rsidR="00BB4DAA" w:rsidRPr="007839CF">
            <w:rPr>
              <w:sz w:val="18"/>
              <w:szCs w:val="18"/>
            </w:rPr>
            <w:instrText xml:space="preserve"> TOC \o "1-3" \h \z \u </w:instrText>
          </w:r>
          <w:r w:rsidRPr="00B96EFD">
            <w:rPr>
              <w:sz w:val="18"/>
              <w:szCs w:val="18"/>
            </w:rPr>
            <w:fldChar w:fldCharType="separate"/>
          </w:r>
          <w:hyperlink w:anchor="_Toc438237708" w:history="1">
            <w:r w:rsidR="00072571" w:rsidRPr="009B5F23">
              <w:rPr>
                <w:rStyle w:val="Hipercze"/>
                <w:noProof/>
              </w:rPr>
              <w:t>D-M-00.00.00  WYMAGANIA OGÓLNE</w:t>
            </w:r>
            <w:r w:rsidR="00072571">
              <w:rPr>
                <w:noProof/>
                <w:webHidden/>
              </w:rPr>
              <w:tab/>
            </w:r>
            <w:r w:rsidR="00072571">
              <w:rPr>
                <w:noProof/>
                <w:webHidden/>
              </w:rPr>
              <w:fldChar w:fldCharType="begin"/>
            </w:r>
            <w:r w:rsidR="00072571">
              <w:rPr>
                <w:noProof/>
                <w:webHidden/>
              </w:rPr>
              <w:instrText xml:space="preserve"> PAGEREF _Toc438237708 \h </w:instrText>
            </w:r>
            <w:r w:rsidR="00072571">
              <w:rPr>
                <w:noProof/>
                <w:webHidden/>
              </w:rPr>
            </w:r>
            <w:r w:rsidR="00072571">
              <w:rPr>
                <w:noProof/>
                <w:webHidden/>
              </w:rPr>
              <w:fldChar w:fldCharType="separate"/>
            </w:r>
            <w:r w:rsidR="00072571">
              <w:rPr>
                <w:noProof/>
                <w:webHidden/>
              </w:rPr>
              <w:t>3</w:t>
            </w:r>
            <w:r w:rsidR="00072571">
              <w:rPr>
                <w:noProof/>
                <w:webHidden/>
              </w:rPr>
              <w:fldChar w:fldCharType="end"/>
            </w:r>
          </w:hyperlink>
        </w:p>
        <w:p w:rsidR="00072571" w:rsidRDefault="00072571" w:rsidP="00FD61BC">
          <w:pPr>
            <w:pStyle w:val="Spistreci1"/>
            <w:tabs>
              <w:tab w:val="clear" w:pos="7371"/>
              <w:tab w:val="right" w:leader="dot" w:pos="8505"/>
            </w:tabs>
            <w:rPr>
              <w:rFonts w:asciiTheme="minorHAnsi" w:eastAsiaTheme="minorEastAsia" w:hAnsiTheme="minorHAnsi" w:cstheme="minorBidi"/>
              <w:b w:val="0"/>
              <w:caps w:val="0"/>
              <w:noProof/>
              <w:sz w:val="22"/>
              <w:szCs w:val="22"/>
            </w:rPr>
          </w:pPr>
          <w:hyperlink w:anchor="_Toc438237709" w:history="1">
            <w:r w:rsidRPr="009B5F23">
              <w:rPr>
                <w:rStyle w:val="Hipercze"/>
                <w:noProof/>
              </w:rPr>
              <w:t>D-M-00.00.02a  ZAPLECZE WYKONAWCY W OKRESIE REALIZACJI KONTRAKTU</w:t>
            </w:r>
            <w:r>
              <w:rPr>
                <w:noProof/>
                <w:webHidden/>
              </w:rPr>
              <w:tab/>
            </w:r>
            <w:r>
              <w:rPr>
                <w:noProof/>
                <w:webHidden/>
              </w:rPr>
              <w:fldChar w:fldCharType="begin"/>
            </w:r>
            <w:r>
              <w:rPr>
                <w:noProof/>
                <w:webHidden/>
              </w:rPr>
              <w:instrText xml:space="preserve"> PAGEREF _Toc438237709 \h </w:instrText>
            </w:r>
            <w:r>
              <w:rPr>
                <w:noProof/>
                <w:webHidden/>
              </w:rPr>
            </w:r>
            <w:r>
              <w:rPr>
                <w:noProof/>
                <w:webHidden/>
              </w:rPr>
              <w:fldChar w:fldCharType="separate"/>
            </w:r>
            <w:r>
              <w:rPr>
                <w:noProof/>
                <w:webHidden/>
              </w:rPr>
              <w:t>18</w:t>
            </w:r>
            <w:r>
              <w:rPr>
                <w:noProof/>
                <w:webHidden/>
              </w:rPr>
              <w:fldChar w:fldCharType="end"/>
            </w:r>
          </w:hyperlink>
        </w:p>
        <w:p w:rsidR="00072571" w:rsidRDefault="00072571" w:rsidP="00FD61BC">
          <w:pPr>
            <w:pStyle w:val="Spistreci1"/>
            <w:tabs>
              <w:tab w:val="clear" w:pos="7371"/>
              <w:tab w:val="right" w:leader="dot" w:pos="8505"/>
            </w:tabs>
            <w:rPr>
              <w:rFonts w:asciiTheme="minorHAnsi" w:eastAsiaTheme="minorEastAsia" w:hAnsiTheme="minorHAnsi" w:cstheme="minorBidi"/>
              <w:b w:val="0"/>
              <w:caps w:val="0"/>
              <w:noProof/>
              <w:sz w:val="22"/>
              <w:szCs w:val="22"/>
            </w:rPr>
          </w:pPr>
          <w:hyperlink w:anchor="_Toc438237710" w:history="1">
            <w:r w:rsidRPr="009B5F23">
              <w:rPr>
                <w:rStyle w:val="Hipercze"/>
                <w:noProof/>
              </w:rPr>
              <w:t>D-01.00.00  ROBOTY PRZYGOTOWAWCZE</w:t>
            </w:r>
            <w:r>
              <w:rPr>
                <w:noProof/>
                <w:webHidden/>
              </w:rPr>
              <w:tab/>
            </w:r>
            <w:r>
              <w:rPr>
                <w:noProof/>
                <w:webHidden/>
              </w:rPr>
              <w:fldChar w:fldCharType="begin"/>
            </w:r>
            <w:r>
              <w:rPr>
                <w:noProof/>
                <w:webHidden/>
              </w:rPr>
              <w:instrText xml:space="preserve"> PAGEREF _Toc438237710 \h </w:instrText>
            </w:r>
            <w:r>
              <w:rPr>
                <w:noProof/>
                <w:webHidden/>
              </w:rPr>
            </w:r>
            <w:r>
              <w:rPr>
                <w:noProof/>
                <w:webHidden/>
              </w:rPr>
              <w:fldChar w:fldCharType="separate"/>
            </w:r>
            <w:r>
              <w:rPr>
                <w:noProof/>
                <w:webHidden/>
              </w:rPr>
              <w:t>22</w:t>
            </w:r>
            <w:r>
              <w:rPr>
                <w:noProof/>
                <w:webHidden/>
              </w:rPr>
              <w:fldChar w:fldCharType="end"/>
            </w:r>
          </w:hyperlink>
        </w:p>
        <w:p w:rsidR="00072571" w:rsidRDefault="00072571" w:rsidP="00FD61BC">
          <w:pPr>
            <w:pStyle w:val="Spistreci1"/>
            <w:tabs>
              <w:tab w:val="clear" w:pos="7371"/>
              <w:tab w:val="right" w:leader="dot" w:pos="8505"/>
            </w:tabs>
            <w:rPr>
              <w:rFonts w:asciiTheme="minorHAnsi" w:eastAsiaTheme="minorEastAsia" w:hAnsiTheme="minorHAnsi" w:cstheme="minorBidi"/>
              <w:b w:val="0"/>
              <w:caps w:val="0"/>
              <w:noProof/>
              <w:sz w:val="22"/>
              <w:szCs w:val="22"/>
            </w:rPr>
          </w:pPr>
          <w:hyperlink w:anchor="_Toc438237711" w:history="1">
            <w:r w:rsidRPr="009B5F23">
              <w:rPr>
                <w:rStyle w:val="Hipercze"/>
                <w:noProof/>
              </w:rPr>
              <w:t>D–01.01.01a  ODTWORZENIE TRASY I PUNKTÓW WYSOKOŚCIOWYCH ORAZ SPORZĄDZENIE INWENTARYZACJI POWYKONAWCZEJ DROGI</w:t>
            </w:r>
            <w:r>
              <w:rPr>
                <w:noProof/>
                <w:webHidden/>
              </w:rPr>
              <w:tab/>
            </w:r>
            <w:r>
              <w:rPr>
                <w:noProof/>
                <w:webHidden/>
              </w:rPr>
              <w:fldChar w:fldCharType="begin"/>
            </w:r>
            <w:r>
              <w:rPr>
                <w:noProof/>
                <w:webHidden/>
              </w:rPr>
              <w:instrText xml:space="preserve"> PAGEREF _Toc438237711 \h </w:instrText>
            </w:r>
            <w:r>
              <w:rPr>
                <w:noProof/>
                <w:webHidden/>
              </w:rPr>
            </w:r>
            <w:r>
              <w:rPr>
                <w:noProof/>
                <w:webHidden/>
              </w:rPr>
              <w:fldChar w:fldCharType="separate"/>
            </w:r>
            <w:r>
              <w:rPr>
                <w:noProof/>
                <w:webHidden/>
              </w:rPr>
              <w:t>23</w:t>
            </w:r>
            <w:r>
              <w:rPr>
                <w:noProof/>
                <w:webHidden/>
              </w:rPr>
              <w:fldChar w:fldCharType="end"/>
            </w:r>
          </w:hyperlink>
        </w:p>
        <w:p w:rsidR="00072571" w:rsidRDefault="00072571" w:rsidP="00FD61BC">
          <w:pPr>
            <w:pStyle w:val="Spistreci1"/>
            <w:tabs>
              <w:tab w:val="clear" w:pos="7371"/>
              <w:tab w:val="right" w:leader="dot" w:pos="8505"/>
            </w:tabs>
            <w:rPr>
              <w:rFonts w:asciiTheme="minorHAnsi" w:eastAsiaTheme="minorEastAsia" w:hAnsiTheme="minorHAnsi" w:cstheme="minorBidi"/>
              <w:b w:val="0"/>
              <w:caps w:val="0"/>
              <w:noProof/>
              <w:sz w:val="22"/>
              <w:szCs w:val="22"/>
            </w:rPr>
          </w:pPr>
          <w:hyperlink w:anchor="_Toc438237712" w:history="1">
            <w:r w:rsidRPr="009B5F23">
              <w:rPr>
                <w:rStyle w:val="Hipercze"/>
                <w:noProof/>
              </w:rPr>
              <w:t>D–01.01.01b  WYNIESIENIE I STABILIZACJA GRANIC PASA DROGOWEGO</w:t>
            </w:r>
            <w:r>
              <w:rPr>
                <w:noProof/>
                <w:webHidden/>
              </w:rPr>
              <w:tab/>
            </w:r>
            <w:r>
              <w:rPr>
                <w:noProof/>
                <w:webHidden/>
              </w:rPr>
              <w:fldChar w:fldCharType="begin"/>
            </w:r>
            <w:r>
              <w:rPr>
                <w:noProof/>
                <w:webHidden/>
              </w:rPr>
              <w:instrText xml:space="preserve"> PAGEREF _Toc438237712 \h </w:instrText>
            </w:r>
            <w:r>
              <w:rPr>
                <w:noProof/>
                <w:webHidden/>
              </w:rPr>
            </w:r>
            <w:r>
              <w:rPr>
                <w:noProof/>
                <w:webHidden/>
              </w:rPr>
              <w:fldChar w:fldCharType="separate"/>
            </w:r>
            <w:r>
              <w:rPr>
                <w:noProof/>
                <w:webHidden/>
              </w:rPr>
              <w:t>30</w:t>
            </w:r>
            <w:r>
              <w:rPr>
                <w:noProof/>
                <w:webHidden/>
              </w:rPr>
              <w:fldChar w:fldCharType="end"/>
            </w:r>
          </w:hyperlink>
        </w:p>
        <w:p w:rsidR="00072571" w:rsidRDefault="00072571" w:rsidP="00FD61BC">
          <w:pPr>
            <w:pStyle w:val="Spistreci1"/>
            <w:tabs>
              <w:tab w:val="clear" w:pos="7371"/>
              <w:tab w:val="right" w:leader="dot" w:pos="8505"/>
            </w:tabs>
            <w:rPr>
              <w:rFonts w:asciiTheme="minorHAnsi" w:eastAsiaTheme="minorEastAsia" w:hAnsiTheme="minorHAnsi" w:cstheme="minorBidi"/>
              <w:b w:val="0"/>
              <w:caps w:val="0"/>
              <w:noProof/>
              <w:sz w:val="22"/>
              <w:szCs w:val="22"/>
            </w:rPr>
          </w:pPr>
          <w:hyperlink w:anchor="_Toc438237713" w:history="1">
            <w:r w:rsidRPr="009B5F23">
              <w:rPr>
                <w:rStyle w:val="Hipercze"/>
                <w:noProof/>
              </w:rPr>
              <w:t>D-01.02.01  USUNIĘCIE DRZEW I KRZAKÓW</w:t>
            </w:r>
            <w:r>
              <w:rPr>
                <w:noProof/>
                <w:webHidden/>
              </w:rPr>
              <w:tab/>
            </w:r>
            <w:r>
              <w:rPr>
                <w:noProof/>
                <w:webHidden/>
              </w:rPr>
              <w:fldChar w:fldCharType="begin"/>
            </w:r>
            <w:r>
              <w:rPr>
                <w:noProof/>
                <w:webHidden/>
              </w:rPr>
              <w:instrText xml:space="preserve"> PAGEREF _Toc438237713 \h </w:instrText>
            </w:r>
            <w:r>
              <w:rPr>
                <w:noProof/>
                <w:webHidden/>
              </w:rPr>
            </w:r>
            <w:r>
              <w:rPr>
                <w:noProof/>
                <w:webHidden/>
              </w:rPr>
              <w:fldChar w:fldCharType="separate"/>
            </w:r>
            <w:r>
              <w:rPr>
                <w:noProof/>
                <w:webHidden/>
              </w:rPr>
              <w:t>36</w:t>
            </w:r>
            <w:r>
              <w:rPr>
                <w:noProof/>
                <w:webHidden/>
              </w:rPr>
              <w:fldChar w:fldCharType="end"/>
            </w:r>
          </w:hyperlink>
        </w:p>
        <w:p w:rsidR="00072571" w:rsidRDefault="00072571" w:rsidP="00FD61BC">
          <w:pPr>
            <w:pStyle w:val="Spistreci1"/>
            <w:rPr>
              <w:rFonts w:asciiTheme="minorHAnsi" w:eastAsiaTheme="minorEastAsia" w:hAnsiTheme="minorHAnsi" w:cstheme="minorBidi"/>
              <w:b w:val="0"/>
              <w:caps w:val="0"/>
              <w:noProof/>
              <w:sz w:val="22"/>
              <w:szCs w:val="22"/>
            </w:rPr>
          </w:pPr>
          <w:hyperlink w:anchor="_Toc438237714" w:history="1">
            <w:r w:rsidRPr="009B5F23">
              <w:rPr>
                <w:rStyle w:val="Hipercze"/>
                <w:noProof/>
              </w:rPr>
              <w:t>D–01.02.01a OCHRONA  ISTNIEJĄCYCH  DRZEW W  OKRESIE  BUDOWY  DROGI</w:t>
            </w:r>
            <w:r>
              <w:rPr>
                <w:noProof/>
                <w:webHidden/>
              </w:rPr>
              <w:tab/>
            </w:r>
            <w:r w:rsidR="00FD61BC">
              <w:rPr>
                <w:noProof/>
                <w:webHidden/>
              </w:rPr>
              <w:t>……..</w:t>
            </w:r>
            <w:r>
              <w:rPr>
                <w:noProof/>
                <w:webHidden/>
              </w:rPr>
              <w:fldChar w:fldCharType="begin"/>
            </w:r>
            <w:r>
              <w:rPr>
                <w:noProof/>
                <w:webHidden/>
              </w:rPr>
              <w:instrText xml:space="preserve"> PAGEREF _Toc438237714 \h </w:instrText>
            </w:r>
            <w:r>
              <w:rPr>
                <w:noProof/>
                <w:webHidden/>
              </w:rPr>
            </w:r>
            <w:r>
              <w:rPr>
                <w:noProof/>
                <w:webHidden/>
              </w:rPr>
              <w:fldChar w:fldCharType="separate"/>
            </w:r>
            <w:r>
              <w:rPr>
                <w:noProof/>
                <w:webHidden/>
              </w:rPr>
              <w:t>40</w:t>
            </w:r>
            <w:r>
              <w:rPr>
                <w:noProof/>
                <w:webHidden/>
              </w:rPr>
              <w:fldChar w:fldCharType="end"/>
            </w:r>
          </w:hyperlink>
        </w:p>
        <w:p w:rsidR="00072571" w:rsidRDefault="00072571" w:rsidP="00FD61BC">
          <w:pPr>
            <w:pStyle w:val="Spistreci1"/>
            <w:tabs>
              <w:tab w:val="clear" w:pos="7371"/>
              <w:tab w:val="right" w:leader="dot" w:pos="8505"/>
            </w:tabs>
            <w:rPr>
              <w:rFonts w:asciiTheme="minorHAnsi" w:eastAsiaTheme="minorEastAsia" w:hAnsiTheme="minorHAnsi" w:cstheme="minorBidi"/>
              <w:b w:val="0"/>
              <w:caps w:val="0"/>
              <w:noProof/>
              <w:sz w:val="22"/>
              <w:szCs w:val="22"/>
            </w:rPr>
          </w:pPr>
          <w:hyperlink w:anchor="_Toc438237715" w:history="1">
            <w:r w:rsidRPr="009B5F23">
              <w:rPr>
                <w:rStyle w:val="Hipercze"/>
                <w:noProof/>
              </w:rPr>
              <w:t>D-01.02.02  ZDJĘCIE WARSTWY HUMUSU I/LUB DARNINY</w:t>
            </w:r>
            <w:r>
              <w:rPr>
                <w:noProof/>
                <w:webHidden/>
              </w:rPr>
              <w:tab/>
            </w:r>
            <w:r>
              <w:rPr>
                <w:noProof/>
                <w:webHidden/>
              </w:rPr>
              <w:fldChar w:fldCharType="begin"/>
            </w:r>
            <w:r>
              <w:rPr>
                <w:noProof/>
                <w:webHidden/>
              </w:rPr>
              <w:instrText xml:space="preserve"> PAGEREF _Toc438237715 \h </w:instrText>
            </w:r>
            <w:r>
              <w:rPr>
                <w:noProof/>
                <w:webHidden/>
              </w:rPr>
            </w:r>
            <w:r>
              <w:rPr>
                <w:noProof/>
                <w:webHidden/>
              </w:rPr>
              <w:fldChar w:fldCharType="separate"/>
            </w:r>
            <w:r>
              <w:rPr>
                <w:noProof/>
                <w:webHidden/>
              </w:rPr>
              <w:t>50</w:t>
            </w:r>
            <w:r>
              <w:rPr>
                <w:noProof/>
                <w:webHidden/>
              </w:rPr>
              <w:fldChar w:fldCharType="end"/>
            </w:r>
          </w:hyperlink>
        </w:p>
        <w:p w:rsidR="00072571" w:rsidRDefault="00072571" w:rsidP="00FD61BC">
          <w:pPr>
            <w:pStyle w:val="Spistreci1"/>
            <w:tabs>
              <w:tab w:val="clear" w:pos="7371"/>
              <w:tab w:val="right" w:leader="dot" w:pos="8505"/>
            </w:tabs>
            <w:rPr>
              <w:rFonts w:asciiTheme="minorHAnsi" w:eastAsiaTheme="minorEastAsia" w:hAnsiTheme="minorHAnsi" w:cstheme="minorBidi"/>
              <w:b w:val="0"/>
              <w:caps w:val="0"/>
              <w:noProof/>
              <w:sz w:val="22"/>
              <w:szCs w:val="22"/>
            </w:rPr>
          </w:pPr>
          <w:hyperlink w:anchor="_Toc438237716" w:history="1">
            <w:r w:rsidRPr="009B5F23">
              <w:rPr>
                <w:rStyle w:val="Hipercze"/>
                <w:noProof/>
              </w:rPr>
              <w:t>D–01.02.02a  ZDJĘCIE WARSTWY ZIEMI URODZAJNEJ</w:t>
            </w:r>
            <w:r>
              <w:rPr>
                <w:noProof/>
                <w:webHidden/>
              </w:rPr>
              <w:tab/>
            </w:r>
            <w:r>
              <w:rPr>
                <w:noProof/>
                <w:webHidden/>
              </w:rPr>
              <w:fldChar w:fldCharType="begin"/>
            </w:r>
            <w:r>
              <w:rPr>
                <w:noProof/>
                <w:webHidden/>
              </w:rPr>
              <w:instrText xml:space="preserve"> PAGEREF _Toc438237716 \h </w:instrText>
            </w:r>
            <w:r>
              <w:rPr>
                <w:noProof/>
                <w:webHidden/>
              </w:rPr>
            </w:r>
            <w:r>
              <w:rPr>
                <w:noProof/>
                <w:webHidden/>
              </w:rPr>
              <w:fldChar w:fldCharType="separate"/>
            </w:r>
            <w:r>
              <w:rPr>
                <w:noProof/>
                <w:webHidden/>
              </w:rPr>
              <w:t>53</w:t>
            </w:r>
            <w:r>
              <w:rPr>
                <w:noProof/>
                <w:webHidden/>
              </w:rPr>
              <w:fldChar w:fldCharType="end"/>
            </w:r>
          </w:hyperlink>
        </w:p>
        <w:p w:rsidR="00072571" w:rsidRDefault="00072571" w:rsidP="00FD61BC">
          <w:pPr>
            <w:pStyle w:val="Spistreci1"/>
            <w:tabs>
              <w:tab w:val="clear" w:pos="7371"/>
              <w:tab w:val="right" w:leader="dot" w:pos="8505"/>
            </w:tabs>
            <w:rPr>
              <w:rFonts w:asciiTheme="minorHAnsi" w:eastAsiaTheme="minorEastAsia" w:hAnsiTheme="minorHAnsi" w:cstheme="minorBidi"/>
              <w:b w:val="0"/>
              <w:caps w:val="0"/>
              <w:noProof/>
              <w:sz w:val="22"/>
              <w:szCs w:val="22"/>
            </w:rPr>
          </w:pPr>
          <w:hyperlink w:anchor="_Toc438237717" w:history="1">
            <w:r w:rsidRPr="009B5F23">
              <w:rPr>
                <w:rStyle w:val="Hipercze"/>
                <w:noProof/>
              </w:rPr>
              <w:t>D-01.02.04  ROZBIÓRKA ELEMENTÓW DRÓG</w:t>
            </w:r>
            <w:r>
              <w:rPr>
                <w:noProof/>
                <w:webHidden/>
              </w:rPr>
              <w:tab/>
            </w:r>
            <w:r>
              <w:rPr>
                <w:noProof/>
                <w:webHidden/>
              </w:rPr>
              <w:fldChar w:fldCharType="begin"/>
            </w:r>
            <w:r>
              <w:rPr>
                <w:noProof/>
                <w:webHidden/>
              </w:rPr>
              <w:instrText xml:space="preserve"> PAGEREF _Toc438237717 \h </w:instrText>
            </w:r>
            <w:r>
              <w:rPr>
                <w:noProof/>
                <w:webHidden/>
              </w:rPr>
            </w:r>
            <w:r>
              <w:rPr>
                <w:noProof/>
                <w:webHidden/>
              </w:rPr>
              <w:fldChar w:fldCharType="separate"/>
            </w:r>
            <w:r>
              <w:rPr>
                <w:noProof/>
                <w:webHidden/>
              </w:rPr>
              <w:t>58</w:t>
            </w:r>
            <w:r>
              <w:rPr>
                <w:noProof/>
                <w:webHidden/>
              </w:rPr>
              <w:fldChar w:fldCharType="end"/>
            </w:r>
          </w:hyperlink>
        </w:p>
        <w:p w:rsidR="00072571" w:rsidRDefault="00072571" w:rsidP="00FD61BC">
          <w:pPr>
            <w:pStyle w:val="Spistreci1"/>
            <w:tabs>
              <w:tab w:val="clear" w:pos="7371"/>
              <w:tab w:val="right" w:leader="dot" w:pos="8505"/>
            </w:tabs>
            <w:rPr>
              <w:rFonts w:asciiTheme="minorHAnsi" w:eastAsiaTheme="minorEastAsia" w:hAnsiTheme="minorHAnsi" w:cstheme="minorBidi"/>
              <w:b w:val="0"/>
              <w:caps w:val="0"/>
              <w:noProof/>
              <w:sz w:val="22"/>
              <w:szCs w:val="22"/>
            </w:rPr>
          </w:pPr>
          <w:hyperlink w:anchor="_Toc438237718" w:history="1">
            <w:r w:rsidRPr="009B5F23">
              <w:rPr>
                <w:rStyle w:val="Hipercze"/>
                <w:noProof/>
              </w:rPr>
              <w:t>D-02.00.00  ROBOTY ZIEMNE</w:t>
            </w:r>
            <w:r>
              <w:rPr>
                <w:noProof/>
                <w:webHidden/>
              </w:rPr>
              <w:tab/>
            </w:r>
            <w:r>
              <w:rPr>
                <w:noProof/>
                <w:webHidden/>
              </w:rPr>
              <w:fldChar w:fldCharType="begin"/>
            </w:r>
            <w:r>
              <w:rPr>
                <w:noProof/>
                <w:webHidden/>
              </w:rPr>
              <w:instrText xml:space="preserve"> PAGEREF _Toc438237718 \h </w:instrText>
            </w:r>
            <w:r>
              <w:rPr>
                <w:noProof/>
                <w:webHidden/>
              </w:rPr>
            </w:r>
            <w:r>
              <w:rPr>
                <w:noProof/>
                <w:webHidden/>
              </w:rPr>
              <w:fldChar w:fldCharType="separate"/>
            </w:r>
            <w:r>
              <w:rPr>
                <w:noProof/>
                <w:webHidden/>
              </w:rPr>
              <w:t>62</w:t>
            </w:r>
            <w:r>
              <w:rPr>
                <w:noProof/>
                <w:webHidden/>
              </w:rPr>
              <w:fldChar w:fldCharType="end"/>
            </w:r>
          </w:hyperlink>
        </w:p>
        <w:p w:rsidR="00072571" w:rsidRDefault="00072571" w:rsidP="00FD61BC">
          <w:pPr>
            <w:pStyle w:val="Spistreci1"/>
            <w:tabs>
              <w:tab w:val="clear" w:pos="7371"/>
              <w:tab w:val="right" w:leader="dot" w:pos="8505"/>
            </w:tabs>
            <w:rPr>
              <w:rFonts w:asciiTheme="minorHAnsi" w:eastAsiaTheme="minorEastAsia" w:hAnsiTheme="minorHAnsi" w:cstheme="minorBidi"/>
              <w:b w:val="0"/>
              <w:caps w:val="0"/>
              <w:noProof/>
              <w:sz w:val="22"/>
              <w:szCs w:val="22"/>
            </w:rPr>
          </w:pPr>
          <w:hyperlink w:anchor="_Toc438237719" w:history="1">
            <w:r w:rsidRPr="009B5F23">
              <w:rPr>
                <w:rStyle w:val="Hipercze"/>
                <w:noProof/>
              </w:rPr>
              <w:t>D-02.00.01  ROBOTY ZIEMNE. WYMAGANIA OGÓLNE</w:t>
            </w:r>
            <w:r>
              <w:rPr>
                <w:noProof/>
                <w:webHidden/>
              </w:rPr>
              <w:tab/>
            </w:r>
            <w:r>
              <w:rPr>
                <w:noProof/>
                <w:webHidden/>
              </w:rPr>
              <w:fldChar w:fldCharType="begin"/>
            </w:r>
            <w:r>
              <w:rPr>
                <w:noProof/>
                <w:webHidden/>
              </w:rPr>
              <w:instrText xml:space="preserve"> PAGEREF _Toc438237719 \h </w:instrText>
            </w:r>
            <w:r>
              <w:rPr>
                <w:noProof/>
                <w:webHidden/>
              </w:rPr>
            </w:r>
            <w:r>
              <w:rPr>
                <w:noProof/>
                <w:webHidden/>
              </w:rPr>
              <w:fldChar w:fldCharType="separate"/>
            </w:r>
            <w:r>
              <w:rPr>
                <w:noProof/>
                <w:webHidden/>
              </w:rPr>
              <w:t>63</w:t>
            </w:r>
            <w:r>
              <w:rPr>
                <w:noProof/>
                <w:webHidden/>
              </w:rPr>
              <w:fldChar w:fldCharType="end"/>
            </w:r>
          </w:hyperlink>
        </w:p>
        <w:p w:rsidR="00072571" w:rsidRDefault="00072571" w:rsidP="00FD61BC">
          <w:pPr>
            <w:pStyle w:val="Spistreci1"/>
            <w:tabs>
              <w:tab w:val="clear" w:pos="7371"/>
              <w:tab w:val="right" w:leader="dot" w:pos="8505"/>
            </w:tabs>
            <w:rPr>
              <w:rFonts w:asciiTheme="minorHAnsi" w:eastAsiaTheme="minorEastAsia" w:hAnsiTheme="minorHAnsi" w:cstheme="minorBidi"/>
              <w:b w:val="0"/>
              <w:caps w:val="0"/>
              <w:noProof/>
              <w:sz w:val="22"/>
              <w:szCs w:val="22"/>
            </w:rPr>
          </w:pPr>
          <w:hyperlink w:anchor="_Toc438237720" w:history="1">
            <w:r w:rsidRPr="009B5F23">
              <w:rPr>
                <w:rStyle w:val="Hipercze"/>
                <w:noProof/>
              </w:rPr>
              <w:t>D-02.01.01  WYKONANIE WYKOPÓW W GRUNTACH NIESKALISTYCH</w:t>
            </w:r>
            <w:r>
              <w:rPr>
                <w:noProof/>
                <w:webHidden/>
              </w:rPr>
              <w:tab/>
            </w:r>
            <w:r>
              <w:rPr>
                <w:noProof/>
                <w:webHidden/>
              </w:rPr>
              <w:fldChar w:fldCharType="begin"/>
            </w:r>
            <w:r>
              <w:rPr>
                <w:noProof/>
                <w:webHidden/>
              </w:rPr>
              <w:instrText xml:space="preserve"> PAGEREF _Toc438237720 \h </w:instrText>
            </w:r>
            <w:r>
              <w:rPr>
                <w:noProof/>
                <w:webHidden/>
              </w:rPr>
            </w:r>
            <w:r>
              <w:rPr>
                <w:noProof/>
                <w:webHidden/>
              </w:rPr>
              <w:fldChar w:fldCharType="separate"/>
            </w:r>
            <w:r>
              <w:rPr>
                <w:noProof/>
                <w:webHidden/>
              </w:rPr>
              <w:t>69</w:t>
            </w:r>
            <w:r>
              <w:rPr>
                <w:noProof/>
                <w:webHidden/>
              </w:rPr>
              <w:fldChar w:fldCharType="end"/>
            </w:r>
          </w:hyperlink>
        </w:p>
        <w:p w:rsidR="00072571" w:rsidRDefault="00072571">
          <w:pPr>
            <w:pStyle w:val="Spistreci1"/>
            <w:rPr>
              <w:rFonts w:asciiTheme="minorHAnsi" w:eastAsiaTheme="minorEastAsia" w:hAnsiTheme="minorHAnsi" w:cstheme="minorBidi"/>
              <w:b w:val="0"/>
              <w:caps w:val="0"/>
              <w:noProof/>
              <w:sz w:val="22"/>
              <w:szCs w:val="22"/>
            </w:rPr>
          </w:pPr>
          <w:hyperlink w:anchor="_Toc438237721" w:history="1">
            <w:r w:rsidRPr="009B5F23">
              <w:rPr>
                <w:rStyle w:val="Hipercze"/>
                <w:noProof/>
              </w:rPr>
              <w:t>D-04.01.01  KORYTO WRAZ Z PROFILOWANIEM I ZAGĘSZCZANIEM PODŁOŻA</w:t>
            </w:r>
            <w:r w:rsidR="00FD61BC">
              <w:rPr>
                <w:noProof/>
                <w:webHidden/>
              </w:rPr>
              <w:t>………..</w:t>
            </w:r>
            <w:r>
              <w:rPr>
                <w:noProof/>
                <w:webHidden/>
              </w:rPr>
              <w:fldChar w:fldCharType="begin"/>
            </w:r>
            <w:r>
              <w:rPr>
                <w:noProof/>
                <w:webHidden/>
              </w:rPr>
              <w:instrText xml:space="preserve"> PAGEREF _Toc438237721 \h </w:instrText>
            </w:r>
            <w:r>
              <w:rPr>
                <w:noProof/>
                <w:webHidden/>
              </w:rPr>
            </w:r>
            <w:r>
              <w:rPr>
                <w:noProof/>
                <w:webHidden/>
              </w:rPr>
              <w:fldChar w:fldCharType="separate"/>
            </w:r>
            <w:r>
              <w:rPr>
                <w:noProof/>
                <w:webHidden/>
              </w:rPr>
              <w:t>72</w:t>
            </w:r>
            <w:r>
              <w:rPr>
                <w:noProof/>
                <w:webHidden/>
              </w:rPr>
              <w:fldChar w:fldCharType="end"/>
            </w:r>
          </w:hyperlink>
        </w:p>
        <w:p w:rsidR="00072571" w:rsidRDefault="00072571" w:rsidP="00FD61BC">
          <w:pPr>
            <w:pStyle w:val="Spistreci1"/>
            <w:tabs>
              <w:tab w:val="clear" w:pos="7371"/>
              <w:tab w:val="right" w:leader="dot" w:pos="8505"/>
            </w:tabs>
            <w:rPr>
              <w:rFonts w:asciiTheme="minorHAnsi" w:eastAsiaTheme="minorEastAsia" w:hAnsiTheme="minorHAnsi" w:cstheme="minorBidi"/>
              <w:b w:val="0"/>
              <w:caps w:val="0"/>
              <w:noProof/>
              <w:sz w:val="22"/>
              <w:szCs w:val="22"/>
            </w:rPr>
          </w:pPr>
          <w:hyperlink w:anchor="_Toc438237722" w:history="1">
            <w:r w:rsidRPr="009B5F23">
              <w:rPr>
                <w:rStyle w:val="Hipercze"/>
                <w:noProof/>
              </w:rPr>
              <w:t>D-04.03.01  OCZYSZCZENIE I SKROPIENIE WARSTW KONSTRUKCYJNYCH</w:t>
            </w:r>
            <w:r>
              <w:rPr>
                <w:noProof/>
                <w:webHidden/>
              </w:rPr>
              <w:tab/>
            </w:r>
            <w:r>
              <w:rPr>
                <w:noProof/>
                <w:webHidden/>
              </w:rPr>
              <w:fldChar w:fldCharType="begin"/>
            </w:r>
            <w:r>
              <w:rPr>
                <w:noProof/>
                <w:webHidden/>
              </w:rPr>
              <w:instrText xml:space="preserve"> PAGEREF _Toc438237722 \h </w:instrText>
            </w:r>
            <w:r>
              <w:rPr>
                <w:noProof/>
                <w:webHidden/>
              </w:rPr>
            </w:r>
            <w:r>
              <w:rPr>
                <w:noProof/>
                <w:webHidden/>
              </w:rPr>
              <w:fldChar w:fldCharType="separate"/>
            </w:r>
            <w:r>
              <w:rPr>
                <w:noProof/>
                <w:webHidden/>
              </w:rPr>
              <w:t>77</w:t>
            </w:r>
            <w:r>
              <w:rPr>
                <w:noProof/>
                <w:webHidden/>
              </w:rPr>
              <w:fldChar w:fldCharType="end"/>
            </w:r>
          </w:hyperlink>
        </w:p>
        <w:p w:rsidR="00072571" w:rsidRDefault="00072571" w:rsidP="00FD61BC">
          <w:pPr>
            <w:pStyle w:val="Spistreci1"/>
            <w:tabs>
              <w:tab w:val="clear" w:pos="7371"/>
              <w:tab w:val="right" w:leader="dot" w:pos="8505"/>
            </w:tabs>
            <w:rPr>
              <w:rFonts w:asciiTheme="minorHAnsi" w:eastAsiaTheme="minorEastAsia" w:hAnsiTheme="minorHAnsi" w:cstheme="minorBidi"/>
              <w:b w:val="0"/>
              <w:caps w:val="0"/>
              <w:noProof/>
              <w:sz w:val="22"/>
              <w:szCs w:val="22"/>
            </w:rPr>
          </w:pPr>
          <w:hyperlink w:anchor="_Toc438237723" w:history="1">
            <w:r w:rsidRPr="009B5F23">
              <w:rPr>
                <w:rStyle w:val="Hipercze"/>
                <w:noProof/>
              </w:rPr>
              <w:t>D-04.04.00  PODBUDOWA Z KRUSZYW -WYMAGANIA OGÓLNE</w:t>
            </w:r>
            <w:r>
              <w:rPr>
                <w:noProof/>
                <w:webHidden/>
              </w:rPr>
              <w:tab/>
            </w:r>
            <w:r>
              <w:rPr>
                <w:noProof/>
                <w:webHidden/>
              </w:rPr>
              <w:fldChar w:fldCharType="begin"/>
            </w:r>
            <w:r>
              <w:rPr>
                <w:noProof/>
                <w:webHidden/>
              </w:rPr>
              <w:instrText xml:space="preserve"> PAGEREF _Toc438237723 \h </w:instrText>
            </w:r>
            <w:r>
              <w:rPr>
                <w:noProof/>
                <w:webHidden/>
              </w:rPr>
            </w:r>
            <w:r>
              <w:rPr>
                <w:noProof/>
                <w:webHidden/>
              </w:rPr>
              <w:fldChar w:fldCharType="separate"/>
            </w:r>
            <w:r>
              <w:rPr>
                <w:noProof/>
                <w:webHidden/>
              </w:rPr>
              <w:t>82</w:t>
            </w:r>
            <w:r>
              <w:rPr>
                <w:noProof/>
                <w:webHidden/>
              </w:rPr>
              <w:fldChar w:fldCharType="end"/>
            </w:r>
          </w:hyperlink>
        </w:p>
        <w:p w:rsidR="00072571" w:rsidRDefault="00072571" w:rsidP="00802964">
          <w:pPr>
            <w:pStyle w:val="Spistreci1"/>
            <w:tabs>
              <w:tab w:val="clear" w:pos="7371"/>
              <w:tab w:val="right" w:leader="dot" w:pos="8505"/>
            </w:tabs>
            <w:rPr>
              <w:rFonts w:asciiTheme="minorHAnsi" w:eastAsiaTheme="minorEastAsia" w:hAnsiTheme="minorHAnsi" w:cstheme="minorBidi"/>
              <w:b w:val="0"/>
              <w:caps w:val="0"/>
              <w:noProof/>
              <w:sz w:val="22"/>
              <w:szCs w:val="22"/>
            </w:rPr>
          </w:pPr>
          <w:hyperlink w:anchor="_Toc438237724" w:history="1">
            <w:r w:rsidRPr="009B5F23">
              <w:rPr>
                <w:rStyle w:val="Hipercze"/>
                <w:noProof/>
              </w:rPr>
              <w:t>D-04.04.02  PODBUDOWA Z KRUSZYWA ŁAMANEGO STABILIZOWANEGO MECHANICZNIE</w:t>
            </w:r>
            <w:r>
              <w:rPr>
                <w:noProof/>
                <w:webHidden/>
              </w:rPr>
              <w:tab/>
            </w:r>
            <w:r>
              <w:rPr>
                <w:noProof/>
                <w:webHidden/>
              </w:rPr>
              <w:fldChar w:fldCharType="begin"/>
            </w:r>
            <w:r>
              <w:rPr>
                <w:noProof/>
                <w:webHidden/>
              </w:rPr>
              <w:instrText xml:space="preserve"> PAGEREF _Toc438237724 \h </w:instrText>
            </w:r>
            <w:r>
              <w:rPr>
                <w:noProof/>
                <w:webHidden/>
              </w:rPr>
            </w:r>
            <w:r>
              <w:rPr>
                <w:noProof/>
                <w:webHidden/>
              </w:rPr>
              <w:fldChar w:fldCharType="separate"/>
            </w:r>
            <w:r>
              <w:rPr>
                <w:noProof/>
                <w:webHidden/>
              </w:rPr>
              <w:t>90</w:t>
            </w:r>
            <w:r>
              <w:rPr>
                <w:noProof/>
                <w:webHidden/>
              </w:rPr>
              <w:fldChar w:fldCharType="end"/>
            </w:r>
          </w:hyperlink>
        </w:p>
        <w:p w:rsidR="00072571" w:rsidRDefault="00072571" w:rsidP="00802964">
          <w:pPr>
            <w:pStyle w:val="Spistreci1"/>
            <w:tabs>
              <w:tab w:val="clear" w:pos="7371"/>
              <w:tab w:val="right" w:leader="dot" w:pos="8505"/>
            </w:tabs>
            <w:rPr>
              <w:rFonts w:asciiTheme="minorHAnsi" w:eastAsiaTheme="minorEastAsia" w:hAnsiTheme="minorHAnsi" w:cstheme="minorBidi"/>
              <w:b w:val="0"/>
              <w:caps w:val="0"/>
              <w:noProof/>
              <w:sz w:val="22"/>
              <w:szCs w:val="22"/>
            </w:rPr>
          </w:pPr>
          <w:hyperlink w:anchor="_Toc438237725" w:history="1">
            <w:r w:rsidRPr="009B5F23">
              <w:rPr>
                <w:rStyle w:val="Hipercze"/>
                <w:noProof/>
              </w:rPr>
              <w:t>D–04.05.01A  PODBUDOWA I PODŁOŻE  ULEPSZONE Z MIESZANKI  KRUSZYWA ZWIĄZANEGO HYDRAULICZNIE CEMENTEM</w:t>
            </w:r>
            <w:r>
              <w:rPr>
                <w:noProof/>
                <w:webHidden/>
              </w:rPr>
              <w:tab/>
            </w:r>
            <w:r>
              <w:rPr>
                <w:noProof/>
                <w:webHidden/>
              </w:rPr>
              <w:fldChar w:fldCharType="begin"/>
            </w:r>
            <w:r>
              <w:rPr>
                <w:noProof/>
                <w:webHidden/>
              </w:rPr>
              <w:instrText xml:space="preserve"> PAGEREF _Toc438237725 \h </w:instrText>
            </w:r>
            <w:r>
              <w:rPr>
                <w:noProof/>
                <w:webHidden/>
              </w:rPr>
            </w:r>
            <w:r>
              <w:rPr>
                <w:noProof/>
                <w:webHidden/>
              </w:rPr>
              <w:fldChar w:fldCharType="separate"/>
            </w:r>
            <w:r>
              <w:rPr>
                <w:noProof/>
                <w:webHidden/>
              </w:rPr>
              <w:t>93</w:t>
            </w:r>
            <w:r>
              <w:rPr>
                <w:noProof/>
                <w:webHidden/>
              </w:rPr>
              <w:fldChar w:fldCharType="end"/>
            </w:r>
          </w:hyperlink>
        </w:p>
        <w:p w:rsidR="00072571" w:rsidRDefault="00072571" w:rsidP="00802964">
          <w:pPr>
            <w:pStyle w:val="Spistreci1"/>
            <w:tabs>
              <w:tab w:val="clear" w:pos="7371"/>
              <w:tab w:val="right" w:leader="dot" w:pos="8505"/>
            </w:tabs>
            <w:rPr>
              <w:rFonts w:asciiTheme="minorHAnsi" w:eastAsiaTheme="minorEastAsia" w:hAnsiTheme="minorHAnsi" w:cstheme="minorBidi"/>
              <w:b w:val="0"/>
              <w:caps w:val="0"/>
              <w:noProof/>
              <w:sz w:val="22"/>
              <w:szCs w:val="22"/>
            </w:rPr>
          </w:pPr>
          <w:hyperlink w:anchor="_Toc438237726" w:history="1">
            <w:r w:rsidRPr="009B5F23">
              <w:rPr>
                <w:rStyle w:val="Hipercze"/>
                <w:noProof/>
              </w:rPr>
              <w:t>D - 04.06.01b PODBUDOWA  Z  BETONU CEMENTOWEGO</w:t>
            </w:r>
            <w:r>
              <w:rPr>
                <w:noProof/>
                <w:webHidden/>
              </w:rPr>
              <w:tab/>
            </w:r>
            <w:r>
              <w:rPr>
                <w:noProof/>
                <w:webHidden/>
              </w:rPr>
              <w:fldChar w:fldCharType="begin"/>
            </w:r>
            <w:r>
              <w:rPr>
                <w:noProof/>
                <w:webHidden/>
              </w:rPr>
              <w:instrText xml:space="preserve"> PAGEREF _Toc438237726 \h </w:instrText>
            </w:r>
            <w:r>
              <w:rPr>
                <w:noProof/>
                <w:webHidden/>
              </w:rPr>
            </w:r>
            <w:r>
              <w:rPr>
                <w:noProof/>
                <w:webHidden/>
              </w:rPr>
              <w:fldChar w:fldCharType="separate"/>
            </w:r>
            <w:r>
              <w:rPr>
                <w:noProof/>
                <w:webHidden/>
              </w:rPr>
              <w:t>109</w:t>
            </w:r>
            <w:r>
              <w:rPr>
                <w:noProof/>
                <w:webHidden/>
              </w:rPr>
              <w:fldChar w:fldCharType="end"/>
            </w:r>
          </w:hyperlink>
        </w:p>
        <w:p w:rsidR="00072571" w:rsidRDefault="00072571" w:rsidP="00802964">
          <w:pPr>
            <w:pStyle w:val="Spistreci1"/>
            <w:tabs>
              <w:tab w:val="clear" w:pos="7371"/>
              <w:tab w:val="right" w:leader="dot" w:pos="7655"/>
            </w:tabs>
            <w:rPr>
              <w:rFonts w:asciiTheme="minorHAnsi" w:eastAsiaTheme="minorEastAsia" w:hAnsiTheme="minorHAnsi" w:cstheme="minorBidi"/>
              <w:b w:val="0"/>
              <w:caps w:val="0"/>
              <w:noProof/>
              <w:sz w:val="22"/>
              <w:szCs w:val="22"/>
            </w:rPr>
          </w:pPr>
          <w:hyperlink w:anchor="_Toc438237727" w:history="1">
            <w:r w:rsidRPr="009B5F23">
              <w:rPr>
                <w:rStyle w:val="Hipercze"/>
                <w:noProof/>
              </w:rPr>
              <w:t>D–04.07.01a  PODBUDOWA Z BETONU ASFALTOWEGO wg WT-1 i WT-2 z 2010 r.</w:t>
            </w:r>
            <w:r>
              <w:rPr>
                <w:noProof/>
                <w:webHidden/>
              </w:rPr>
              <w:tab/>
            </w:r>
            <w:r w:rsidR="00802964">
              <w:rPr>
                <w:noProof/>
                <w:webHidden/>
              </w:rPr>
              <w:t>……</w:t>
            </w:r>
            <w:r>
              <w:rPr>
                <w:noProof/>
                <w:webHidden/>
              </w:rPr>
              <w:fldChar w:fldCharType="begin"/>
            </w:r>
            <w:r>
              <w:rPr>
                <w:noProof/>
                <w:webHidden/>
              </w:rPr>
              <w:instrText xml:space="preserve"> PAGEREF _Toc438237727 \h </w:instrText>
            </w:r>
            <w:r>
              <w:rPr>
                <w:noProof/>
                <w:webHidden/>
              </w:rPr>
            </w:r>
            <w:r>
              <w:rPr>
                <w:noProof/>
                <w:webHidden/>
              </w:rPr>
              <w:fldChar w:fldCharType="separate"/>
            </w:r>
            <w:r>
              <w:rPr>
                <w:noProof/>
                <w:webHidden/>
              </w:rPr>
              <w:t>118</w:t>
            </w:r>
            <w:r>
              <w:rPr>
                <w:noProof/>
                <w:webHidden/>
              </w:rPr>
              <w:fldChar w:fldCharType="end"/>
            </w:r>
          </w:hyperlink>
        </w:p>
        <w:p w:rsidR="00072571" w:rsidRDefault="00072571" w:rsidP="00802964">
          <w:pPr>
            <w:pStyle w:val="Spistreci1"/>
            <w:tabs>
              <w:tab w:val="clear" w:pos="7371"/>
              <w:tab w:val="right" w:leader="dot" w:pos="8505"/>
            </w:tabs>
            <w:rPr>
              <w:rFonts w:asciiTheme="minorHAnsi" w:eastAsiaTheme="minorEastAsia" w:hAnsiTheme="minorHAnsi" w:cstheme="minorBidi"/>
              <w:b w:val="0"/>
              <w:caps w:val="0"/>
              <w:noProof/>
              <w:sz w:val="22"/>
              <w:szCs w:val="22"/>
            </w:rPr>
          </w:pPr>
          <w:hyperlink w:anchor="_Toc438237728" w:history="1">
            <w:r w:rsidRPr="009B5F23">
              <w:rPr>
                <w:rStyle w:val="Hipercze"/>
                <w:noProof/>
              </w:rPr>
              <w:t>D - 05.03.01 NAWIERZCHNIA Z KOSTKI KAMIENNEJ</w:t>
            </w:r>
            <w:r>
              <w:rPr>
                <w:noProof/>
                <w:webHidden/>
              </w:rPr>
              <w:tab/>
            </w:r>
            <w:r>
              <w:rPr>
                <w:noProof/>
                <w:webHidden/>
              </w:rPr>
              <w:fldChar w:fldCharType="begin"/>
            </w:r>
            <w:r>
              <w:rPr>
                <w:noProof/>
                <w:webHidden/>
              </w:rPr>
              <w:instrText xml:space="preserve"> PAGEREF _Toc438237728 \h </w:instrText>
            </w:r>
            <w:r>
              <w:rPr>
                <w:noProof/>
                <w:webHidden/>
              </w:rPr>
            </w:r>
            <w:r>
              <w:rPr>
                <w:noProof/>
                <w:webHidden/>
              </w:rPr>
              <w:fldChar w:fldCharType="separate"/>
            </w:r>
            <w:r>
              <w:rPr>
                <w:noProof/>
                <w:webHidden/>
              </w:rPr>
              <w:t>135</w:t>
            </w:r>
            <w:r>
              <w:rPr>
                <w:noProof/>
                <w:webHidden/>
              </w:rPr>
              <w:fldChar w:fldCharType="end"/>
            </w:r>
          </w:hyperlink>
        </w:p>
        <w:p w:rsidR="00072571" w:rsidRDefault="00072571" w:rsidP="00802964">
          <w:pPr>
            <w:pStyle w:val="Spistreci1"/>
            <w:tabs>
              <w:tab w:val="clear" w:pos="7371"/>
              <w:tab w:val="right" w:leader="dot" w:pos="8505"/>
            </w:tabs>
            <w:rPr>
              <w:rFonts w:asciiTheme="minorHAnsi" w:eastAsiaTheme="minorEastAsia" w:hAnsiTheme="minorHAnsi" w:cstheme="minorBidi"/>
              <w:b w:val="0"/>
              <w:caps w:val="0"/>
              <w:noProof/>
              <w:sz w:val="22"/>
              <w:szCs w:val="22"/>
            </w:rPr>
          </w:pPr>
          <w:hyperlink w:anchor="_Toc438237729" w:history="1">
            <w:r w:rsidRPr="009B5F23">
              <w:rPr>
                <w:rStyle w:val="Hipercze"/>
                <w:noProof/>
              </w:rPr>
              <w:t>D–05.03.05a  NAWIERZCHNIA Z BETONU ASFALTOWEGO. WARSTWA ŚCIERALNA wg WT-1 i WT-2 z 2010 r.</w:t>
            </w:r>
            <w:r>
              <w:rPr>
                <w:noProof/>
                <w:webHidden/>
              </w:rPr>
              <w:tab/>
            </w:r>
            <w:r>
              <w:rPr>
                <w:noProof/>
                <w:webHidden/>
              </w:rPr>
              <w:fldChar w:fldCharType="begin"/>
            </w:r>
            <w:r>
              <w:rPr>
                <w:noProof/>
                <w:webHidden/>
              </w:rPr>
              <w:instrText xml:space="preserve"> PAGEREF _Toc438237729 \h </w:instrText>
            </w:r>
            <w:r>
              <w:rPr>
                <w:noProof/>
                <w:webHidden/>
              </w:rPr>
            </w:r>
            <w:r>
              <w:rPr>
                <w:noProof/>
                <w:webHidden/>
              </w:rPr>
              <w:fldChar w:fldCharType="separate"/>
            </w:r>
            <w:r>
              <w:rPr>
                <w:noProof/>
                <w:webHidden/>
              </w:rPr>
              <w:t>146</w:t>
            </w:r>
            <w:r>
              <w:rPr>
                <w:noProof/>
                <w:webHidden/>
              </w:rPr>
              <w:fldChar w:fldCharType="end"/>
            </w:r>
          </w:hyperlink>
        </w:p>
        <w:p w:rsidR="00072571" w:rsidRDefault="00072571" w:rsidP="00802964">
          <w:pPr>
            <w:pStyle w:val="Spistreci1"/>
            <w:tabs>
              <w:tab w:val="clear" w:pos="7371"/>
              <w:tab w:val="right" w:leader="dot" w:pos="8505"/>
            </w:tabs>
            <w:rPr>
              <w:rFonts w:asciiTheme="minorHAnsi" w:eastAsiaTheme="minorEastAsia" w:hAnsiTheme="minorHAnsi" w:cstheme="minorBidi"/>
              <w:b w:val="0"/>
              <w:caps w:val="0"/>
              <w:noProof/>
              <w:sz w:val="22"/>
              <w:szCs w:val="22"/>
            </w:rPr>
          </w:pPr>
          <w:hyperlink w:anchor="_Toc438237730" w:history="1">
            <w:r w:rsidRPr="009B5F23">
              <w:rPr>
                <w:rStyle w:val="Hipercze"/>
                <w:noProof/>
              </w:rPr>
              <w:t>D–05.03.05b  NAWIERZCHNIA Z BETONU ASFALTOWEGO. WARSTWA WIĄŻĄCA i WYRÓWNAWCZA wg WT-1 i WT-2 z 2010 r.</w:t>
            </w:r>
            <w:r>
              <w:rPr>
                <w:noProof/>
                <w:webHidden/>
              </w:rPr>
              <w:tab/>
            </w:r>
            <w:r>
              <w:rPr>
                <w:noProof/>
                <w:webHidden/>
              </w:rPr>
              <w:fldChar w:fldCharType="begin"/>
            </w:r>
            <w:r>
              <w:rPr>
                <w:noProof/>
                <w:webHidden/>
              </w:rPr>
              <w:instrText xml:space="preserve"> PAGEREF _Toc438237730 \h </w:instrText>
            </w:r>
            <w:r>
              <w:rPr>
                <w:noProof/>
                <w:webHidden/>
              </w:rPr>
            </w:r>
            <w:r>
              <w:rPr>
                <w:noProof/>
                <w:webHidden/>
              </w:rPr>
              <w:fldChar w:fldCharType="separate"/>
            </w:r>
            <w:r>
              <w:rPr>
                <w:noProof/>
                <w:webHidden/>
              </w:rPr>
              <w:t>164</w:t>
            </w:r>
            <w:r>
              <w:rPr>
                <w:noProof/>
                <w:webHidden/>
              </w:rPr>
              <w:fldChar w:fldCharType="end"/>
            </w:r>
          </w:hyperlink>
        </w:p>
        <w:p w:rsidR="00072571" w:rsidRDefault="00072571" w:rsidP="00802964">
          <w:pPr>
            <w:pStyle w:val="Spistreci1"/>
            <w:tabs>
              <w:tab w:val="clear" w:pos="7371"/>
              <w:tab w:val="right" w:leader="dot" w:pos="8505"/>
            </w:tabs>
            <w:rPr>
              <w:rFonts w:asciiTheme="minorHAnsi" w:eastAsiaTheme="minorEastAsia" w:hAnsiTheme="minorHAnsi" w:cstheme="minorBidi"/>
              <w:b w:val="0"/>
              <w:caps w:val="0"/>
              <w:noProof/>
              <w:sz w:val="22"/>
              <w:szCs w:val="22"/>
            </w:rPr>
          </w:pPr>
          <w:hyperlink w:anchor="_Toc438237731" w:history="1">
            <w:r w:rsidRPr="009B5F23">
              <w:rPr>
                <w:rStyle w:val="Hipercze"/>
                <w:noProof/>
              </w:rPr>
              <w:t>D-05.03.11 FREZOWANIE NAWIERZCHNI ASFALTOWYCH NA ZIMNO</w:t>
            </w:r>
            <w:r>
              <w:rPr>
                <w:noProof/>
                <w:webHidden/>
              </w:rPr>
              <w:tab/>
            </w:r>
            <w:r>
              <w:rPr>
                <w:noProof/>
                <w:webHidden/>
              </w:rPr>
              <w:fldChar w:fldCharType="begin"/>
            </w:r>
            <w:r>
              <w:rPr>
                <w:noProof/>
                <w:webHidden/>
              </w:rPr>
              <w:instrText xml:space="preserve"> PAGEREF _Toc438237731 \h </w:instrText>
            </w:r>
            <w:r>
              <w:rPr>
                <w:noProof/>
                <w:webHidden/>
              </w:rPr>
            </w:r>
            <w:r>
              <w:rPr>
                <w:noProof/>
                <w:webHidden/>
              </w:rPr>
              <w:fldChar w:fldCharType="separate"/>
            </w:r>
            <w:r>
              <w:rPr>
                <w:noProof/>
                <w:webHidden/>
              </w:rPr>
              <w:t>181</w:t>
            </w:r>
            <w:r>
              <w:rPr>
                <w:noProof/>
                <w:webHidden/>
              </w:rPr>
              <w:fldChar w:fldCharType="end"/>
            </w:r>
          </w:hyperlink>
        </w:p>
        <w:p w:rsidR="00072571" w:rsidRDefault="00072571" w:rsidP="00802964">
          <w:pPr>
            <w:pStyle w:val="Spistreci1"/>
            <w:tabs>
              <w:tab w:val="clear" w:pos="7371"/>
              <w:tab w:val="right" w:leader="dot" w:pos="8505"/>
            </w:tabs>
            <w:rPr>
              <w:rFonts w:asciiTheme="minorHAnsi" w:eastAsiaTheme="minorEastAsia" w:hAnsiTheme="minorHAnsi" w:cstheme="minorBidi"/>
              <w:b w:val="0"/>
              <w:caps w:val="0"/>
              <w:noProof/>
              <w:sz w:val="22"/>
              <w:szCs w:val="22"/>
            </w:rPr>
          </w:pPr>
          <w:hyperlink w:anchor="_Toc438237732" w:history="1">
            <w:r w:rsidRPr="009B5F23">
              <w:rPr>
                <w:rStyle w:val="Hipercze"/>
                <w:noProof/>
              </w:rPr>
              <w:t>D-05.03.23a  NAWIERZCHNIA Z BETONOWEJ KOSTKI BRUKOWEJ  DLA DRÓG I ULIC ORAZ PLACÓW I CHODNIKÓW</w:t>
            </w:r>
            <w:r>
              <w:rPr>
                <w:noProof/>
                <w:webHidden/>
              </w:rPr>
              <w:tab/>
            </w:r>
            <w:r>
              <w:rPr>
                <w:noProof/>
                <w:webHidden/>
              </w:rPr>
              <w:fldChar w:fldCharType="begin"/>
            </w:r>
            <w:r>
              <w:rPr>
                <w:noProof/>
                <w:webHidden/>
              </w:rPr>
              <w:instrText xml:space="preserve"> PAGEREF _Toc438237732 \h </w:instrText>
            </w:r>
            <w:r>
              <w:rPr>
                <w:noProof/>
                <w:webHidden/>
              </w:rPr>
            </w:r>
            <w:r>
              <w:rPr>
                <w:noProof/>
                <w:webHidden/>
              </w:rPr>
              <w:fldChar w:fldCharType="separate"/>
            </w:r>
            <w:r>
              <w:rPr>
                <w:noProof/>
                <w:webHidden/>
              </w:rPr>
              <w:t>185</w:t>
            </w:r>
            <w:r>
              <w:rPr>
                <w:noProof/>
                <w:webHidden/>
              </w:rPr>
              <w:fldChar w:fldCharType="end"/>
            </w:r>
          </w:hyperlink>
        </w:p>
        <w:p w:rsidR="00072571" w:rsidRDefault="00072571" w:rsidP="00802964">
          <w:pPr>
            <w:pStyle w:val="Spistreci1"/>
            <w:tabs>
              <w:tab w:val="clear" w:pos="7371"/>
              <w:tab w:val="right" w:leader="dot" w:pos="8505"/>
            </w:tabs>
            <w:rPr>
              <w:rFonts w:asciiTheme="minorHAnsi" w:eastAsiaTheme="minorEastAsia" w:hAnsiTheme="minorHAnsi" w:cstheme="minorBidi"/>
              <w:b w:val="0"/>
              <w:caps w:val="0"/>
              <w:noProof/>
              <w:sz w:val="22"/>
              <w:szCs w:val="22"/>
            </w:rPr>
          </w:pPr>
          <w:hyperlink w:anchor="_Toc438237733" w:history="1">
            <w:r w:rsidRPr="009B5F23">
              <w:rPr>
                <w:rStyle w:val="Hipercze"/>
                <w:noProof/>
              </w:rPr>
              <w:t>D-05.03.26a ZABEZPIECZENIE GEOSIATKĄ NAWIERZCHNI ASFALTOWEJ PRZED SPĘKANIAMI ODBITYMI</w:t>
            </w:r>
            <w:r>
              <w:rPr>
                <w:noProof/>
                <w:webHidden/>
              </w:rPr>
              <w:tab/>
            </w:r>
            <w:r>
              <w:rPr>
                <w:noProof/>
                <w:webHidden/>
              </w:rPr>
              <w:fldChar w:fldCharType="begin"/>
            </w:r>
            <w:r>
              <w:rPr>
                <w:noProof/>
                <w:webHidden/>
              </w:rPr>
              <w:instrText xml:space="preserve"> PAGEREF _Toc438237733 \h </w:instrText>
            </w:r>
            <w:r>
              <w:rPr>
                <w:noProof/>
                <w:webHidden/>
              </w:rPr>
            </w:r>
            <w:r>
              <w:rPr>
                <w:noProof/>
                <w:webHidden/>
              </w:rPr>
              <w:fldChar w:fldCharType="separate"/>
            </w:r>
            <w:r>
              <w:rPr>
                <w:noProof/>
                <w:webHidden/>
              </w:rPr>
              <w:t>203</w:t>
            </w:r>
            <w:r>
              <w:rPr>
                <w:noProof/>
                <w:webHidden/>
              </w:rPr>
              <w:fldChar w:fldCharType="end"/>
            </w:r>
          </w:hyperlink>
        </w:p>
        <w:p w:rsidR="00072571" w:rsidRDefault="00072571" w:rsidP="00327050">
          <w:pPr>
            <w:pStyle w:val="Spistreci1"/>
            <w:tabs>
              <w:tab w:val="clear" w:pos="7371"/>
              <w:tab w:val="right" w:leader="dot" w:pos="8505"/>
            </w:tabs>
            <w:rPr>
              <w:rFonts w:asciiTheme="minorHAnsi" w:eastAsiaTheme="minorEastAsia" w:hAnsiTheme="minorHAnsi" w:cstheme="minorBidi"/>
              <w:b w:val="0"/>
              <w:caps w:val="0"/>
              <w:noProof/>
              <w:sz w:val="22"/>
              <w:szCs w:val="22"/>
            </w:rPr>
          </w:pPr>
          <w:hyperlink w:anchor="_Toc438237734" w:history="1">
            <w:r w:rsidRPr="009B5F23">
              <w:rPr>
                <w:rStyle w:val="Hipercze"/>
                <w:noProof/>
              </w:rPr>
              <w:t>D–05.03.26g  POŁĄCZENIE NOWEJ KONSTRUKCJI NAWIERZCHNI  Z NAWIERZCHNIĄ ISTNIEJĄCĄ</w:t>
            </w:r>
            <w:r>
              <w:rPr>
                <w:noProof/>
                <w:webHidden/>
              </w:rPr>
              <w:tab/>
            </w:r>
            <w:r>
              <w:rPr>
                <w:noProof/>
                <w:webHidden/>
              </w:rPr>
              <w:fldChar w:fldCharType="begin"/>
            </w:r>
            <w:r>
              <w:rPr>
                <w:noProof/>
                <w:webHidden/>
              </w:rPr>
              <w:instrText xml:space="preserve"> PAGEREF _Toc438237734 \h </w:instrText>
            </w:r>
            <w:r>
              <w:rPr>
                <w:noProof/>
                <w:webHidden/>
              </w:rPr>
            </w:r>
            <w:r>
              <w:rPr>
                <w:noProof/>
                <w:webHidden/>
              </w:rPr>
              <w:fldChar w:fldCharType="separate"/>
            </w:r>
            <w:r>
              <w:rPr>
                <w:noProof/>
                <w:webHidden/>
              </w:rPr>
              <w:t>214</w:t>
            </w:r>
            <w:r>
              <w:rPr>
                <w:noProof/>
                <w:webHidden/>
              </w:rPr>
              <w:fldChar w:fldCharType="end"/>
            </w:r>
          </w:hyperlink>
        </w:p>
        <w:p w:rsidR="00072571" w:rsidRDefault="00072571" w:rsidP="00327050">
          <w:pPr>
            <w:pStyle w:val="Spistreci1"/>
            <w:tabs>
              <w:tab w:val="clear" w:pos="7371"/>
              <w:tab w:val="right" w:leader="dot" w:pos="8505"/>
            </w:tabs>
            <w:rPr>
              <w:rFonts w:asciiTheme="minorHAnsi" w:eastAsiaTheme="minorEastAsia" w:hAnsiTheme="minorHAnsi" w:cstheme="minorBidi"/>
              <w:b w:val="0"/>
              <w:caps w:val="0"/>
              <w:noProof/>
              <w:sz w:val="22"/>
              <w:szCs w:val="22"/>
            </w:rPr>
          </w:pPr>
          <w:hyperlink w:anchor="_Toc438237735" w:history="1">
            <w:r w:rsidRPr="009B5F23">
              <w:rPr>
                <w:rStyle w:val="Hipercze"/>
                <w:noProof/>
              </w:rPr>
              <w:t>D-07.01.01 OZNAKOWANIE  POZIOME CIENKOWARSTWOWE</w:t>
            </w:r>
            <w:r>
              <w:rPr>
                <w:noProof/>
                <w:webHidden/>
              </w:rPr>
              <w:tab/>
            </w:r>
            <w:r>
              <w:rPr>
                <w:noProof/>
                <w:webHidden/>
              </w:rPr>
              <w:fldChar w:fldCharType="begin"/>
            </w:r>
            <w:r>
              <w:rPr>
                <w:noProof/>
                <w:webHidden/>
              </w:rPr>
              <w:instrText xml:space="preserve"> PAGEREF _Toc438237735 \h </w:instrText>
            </w:r>
            <w:r>
              <w:rPr>
                <w:noProof/>
                <w:webHidden/>
              </w:rPr>
            </w:r>
            <w:r>
              <w:rPr>
                <w:noProof/>
                <w:webHidden/>
              </w:rPr>
              <w:fldChar w:fldCharType="separate"/>
            </w:r>
            <w:r>
              <w:rPr>
                <w:noProof/>
                <w:webHidden/>
              </w:rPr>
              <w:t>222</w:t>
            </w:r>
            <w:r>
              <w:rPr>
                <w:noProof/>
                <w:webHidden/>
              </w:rPr>
              <w:fldChar w:fldCharType="end"/>
            </w:r>
          </w:hyperlink>
        </w:p>
        <w:p w:rsidR="00072571" w:rsidRDefault="00072571" w:rsidP="00327050">
          <w:pPr>
            <w:pStyle w:val="Spistreci1"/>
            <w:tabs>
              <w:tab w:val="clear" w:pos="7371"/>
              <w:tab w:val="right" w:leader="dot" w:pos="8505"/>
            </w:tabs>
            <w:rPr>
              <w:rFonts w:asciiTheme="minorHAnsi" w:eastAsiaTheme="minorEastAsia" w:hAnsiTheme="minorHAnsi" w:cstheme="minorBidi"/>
              <w:b w:val="0"/>
              <w:caps w:val="0"/>
              <w:noProof/>
              <w:sz w:val="22"/>
              <w:szCs w:val="22"/>
            </w:rPr>
          </w:pPr>
          <w:hyperlink w:anchor="_Toc438237736" w:history="1">
            <w:r w:rsidRPr="009B5F23">
              <w:rPr>
                <w:rStyle w:val="Hipercze"/>
                <w:noProof/>
              </w:rPr>
              <w:t>D-07.02.01  OZNAKOWANIE PIONOWE</w:t>
            </w:r>
            <w:r>
              <w:rPr>
                <w:noProof/>
                <w:webHidden/>
              </w:rPr>
              <w:tab/>
            </w:r>
            <w:r>
              <w:rPr>
                <w:noProof/>
                <w:webHidden/>
              </w:rPr>
              <w:fldChar w:fldCharType="begin"/>
            </w:r>
            <w:r>
              <w:rPr>
                <w:noProof/>
                <w:webHidden/>
              </w:rPr>
              <w:instrText xml:space="preserve"> PAGEREF _Toc438237736 \h </w:instrText>
            </w:r>
            <w:r>
              <w:rPr>
                <w:noProof/>
                <w:webHidden/>
              </w:rPr>
            </w:r>
            <w:r>
              <w:rPr>
                <w:noProof/>
                <w:webHidden/>
              </w:rPr>
              <w:fldChar w:fldCharType="separate"/>
            </w:r>
            <w:r>
              <w:rPr>
                <w:noProof/>
                <w:webHidden/>
              </w:rPr>
              <w:t>235</w:t>
            </w:r>
            <w:r>
              <w:rPr>
                <w:noProof/>
                <w:webHidden/>
              </w:rPr>
              <w:fldChar w:fldCharType="end"/>
            </w:r>
          </w:hyperlink>
        </w:p>
        <w:p w:rsidR="00072571" w:rsidRDefault="00072571" w:rsidP="00327050">
          <w:pPr>
            <w:pStyle w:val="Spistreci1"/>
            <w:tabs>
              <w:tab w:val="clear" w:pos="7371"/>
              <w:tab w:val="right" w:leader="dot" w:pos="8505"/>
            </w:tabs>
            <w:rPr>
              <w:rFonts w:asciiTheme="minorHAnsi" w:eastAsiaTheme="minorEastAsia" w:hAnsiTheme="minorHAnsi" w:cstheme="minorBidi"/>
              <w:b w:val="0"/>
              <w:caps w:val="0"/>
              <w:noProof/>
              <w:sz w:val="22"/>
              <w:szCs w:val="22"/>
            </w:rPr>
          </w:pPr>
          <w:hyperlink w:anchor="_Toc438237737" w:history="1">
            <w:r w:rsidRPr="009B5F23">
              <w:rPr>
                <w:rStyle w:val="Hipercze"/>
                <w:noProof/>
              </w:rPr>
              <w:t>D-07.06.02 URZĄDZENIA ZABEZPIECZAJĄCE RUCH PIESZYCH</w:t>
            </w:r>
            <w:r>
              <w:rPr>
                <w:noProof/>
                <w:webHidden/>
              </w:rPr>
              <w:tab/>
            </w:r>
            <w:r>
              <w:rPr>
                <w:noProof/>
                <w:webHidden/>
              </w:rPr>
              <w:fldChar w:fldCharType="begin"/>
            </w:r>
            <w:r>
              <w:rPr>
                <w:noProof/>
                <w:webHidden/>
              </w:rPr>
              <w:instrText xml:space="preserve"> PAGEREF _Toc438237737 \h </w:instrText>
            </w:r>
            <w:r>
              <w:rPr>
                <w:noProof/>
                <w:webHidden/>
              </w:rPr>
            </w:r>
            <w:r>
              <w:rPr>
                <w:noProof/>
                <w:webHidden/>
              </w:rPr>
              <w:fldChar w:fldCharType="separate"/>
            </w:r>
            <w:r>
              <w:rPr>
                <w:noProof/>
                <w:webHidden/>
              </w:rPr>
              <w:t>248</w:t>
            </w:r>
            <w:r>
              <w:rPr>
                <w:noProof/>
                <w:webHidden/>
              </w:rPr>
              <w:fldChar w:fldCharType="end"/>
            </w:r>
          </w:hyperlink>
        </w:p>
        <w:p w:rsidR="00072571" w:rsidRDefault="00072571" w:rsidP="00327050">
          <w:pPr>
            <w:pStyle w:val="Spistreci1"/>
            <w:tabs>
              <w:tab w:val="clear" w:pos="7371"/>
              <w:tab w:val="right" w:leader="dot" w:pos="8505"/>
            </w:tabs>
            <w:rPr>
              <w:rFonts w:asciiTheme="minorHAnsi" w:eastAsiaTheme="minorEastAsia" w:hAnsiTheme="minorHAnsi" w:cstheme="minorBidi"/>
              <w:b w:val="0"/>
              <w:caps w:val="0"/>
              <w:noProof/>
              <w:sz w:val="22"/>
              <w:szCs w:val="22"/>
            </w:rPr>
          </w:pPr>
          <w:hyperlink w:anchor="_Toc438237738" w:history="1">
            <w:r w:rsidRPr="009B5F23">
              <w:rPr>
                <w:rStyle w:val="Hipercze"/>
                <w:noProof/>
              </w:rPr>
              <w:t>D-08.01.01  KRAWĘŻNIKI BETONOWE</w:t>
            </w:r>
            <w:r>
              <w:rPr>
                <w:noProof/>
                <w:webHidden/>
              </w:rPr>
              <w:tab/>
            </w:r>
            <w:r>
              <w:rPr>
                <w:noProof/>
                <w:webHidden/>
              </w:rPr>
              <w:fldChar w:fldCharType="begin"/>
            </w:r>
            <w:r>
              <w:rPr>
                <w:noProof/>
                <w:webHidden/>
              </w:rPr>
              <w:instrText xml:space="preserve"> PAGEREF _Toc438237738 \h </w:instrText>
            </w:r>
            <w:r>
              <w:rPr>
                <w:noProof/>
                <w:webHidden/>
              </w:rPr>
            </w:r>
            <w:r>
              <w:rPr>
                <w:noProof/>
                <w:webHidden/>
              </w:rPr>
              <w:fldChar w:fldCharType="separate"/>
            </w:r>
            <w:r>
              <w:rPr>
                <w:noProof/>
                <w:webHidden/>
              </w:rPr>
              <w:t>260</w:t>
            </w:r>
            <w:r>
              <w:rPr>
                <w:noProof/>
                <w:webHidden/>
              </w:rPr>
              <w:fldChar w:fldCharType="end"/>
            </w:r>
          </w:hyperlink>
        </w:p>
        <w:p w:rsidR="00072571" w:rsidRDefault="00072571" w:rsidP="00327050">
          <w:pPr>
            <w:pStyle w:val="Spistreci1"/>
            <w:tabs>
              <w:tab w:val="clear" w:pos="7371"/>
              <w:tab w:val="right" w:leader="dot" w:pos="8505"/>
            </w:tabs>
            <w:rPr>
              <w:rFonts w:asciiTheme="minorHAnsi" w:eastAsiaTheme="minorEastAsia" w:hAnsiTheme="minorHAnsi" w:cstheme="minorBidi"/>
              <w:b w:val="0"/>
              <w:caps w:val="0"/>
              <w:noProof/>
              <w:sz w:val="22"/>
              <w:szCs w:val="22"/>
            </w:rPr>
          </w:pPr>
          <w:hyperlink w:anchor="_Toc438237739" w:history="1">
            <w:r w:rsidRPr="009B5F23">
              <w:rPr>
                <w:rStyle w:val="Hipercze"/>
                <w:noProof/>
              </w:rPr>
              <w:t>D - 08.01.02 KRAWĘŻNIKI  KAMIENNE</w:t>
            </w:r>
            <w:r>
              <w:rPr>
                <w:noProof/>
                <w:webHidden/>
              </w:rPr>
              <w:tab/>
            </w:r>
            <w:r>
              <w:rPr>
                <w:noProof/>
                <w:webHidden/>
              </w:rPr>
              <w:fldChar w:fldCharType="begin"/>
            </w:r>
            <w:r>
              <w:rPr>
                <w:noProof/>
                <w:webHidden/>
              </w:rPr>
              <w:instrText xml:space="preserve"> PAGEREF _Toc438237739 \h </w:instrText>
            </w:r>
            <w:r>
              <w:rPr>
                <w:noProof/>
                <w:webHidden/>
              </w:rPr>
            </w:r>
            <w:r>
              <w:rPr>
                <w:noProof/>
                <w:webHidden/>
              </w:rPr>
              <w:fldChar w:fldCharType="separate"/>
            </w:r>
            <w:r>
              <w:rPr>
                <w:noProof/>
                <w:webHidden/>
              </w:rPr>
              <w:t>270</w:t>
            </w:r>
            <w:r>
              <w:rPr>
                <w:noProof/>
                <w:webHidden/>
              </w:rPr>
              <w:fldChar w:fldCharType="end"/>
            </w:r>
          </w:hyperlink>
        </w:p>
        <w:p w:rsidR="00072571" w:rsidRDefault="00072571" w:rsidP="00327050">
          <w:pPr>
            <w:pStyle w:val="Spistreci1"/>
            <w:tabs>
              <w:tab w:val="clear" w:pos="7371"/>
              <w:tab w:val="right" w:leader="dot" w:pos="8505"/>
            </w:tabs>
            <w:rPr>
              <w:rFonts w:asciiTheme="minorHAnsi" w:eastAsiaTheme="minorEastAsia" w:hAnsiTheme="minorHAnsi" w:cstheme="minorBidi"/>
              <w:b w:val="0"/>
              <w:caps w:val="0"/>
              <w:noProof/>
              <w:sz w:val="22"/>
              <w:szCs w:val="22"/>
            </w:rPr>
          </w:pPr>
          <w:hyperlink w:anchor="_Toc438237740" w:history="1">
            <w:r w:rsidRPr="009B5F23">
              <w:rPr>
                <w:rStyle w:val="Hipercze"/>
                <w:noProof/>
              </w:rPr>
              <w:t>D-08.02.02  CHODNIK Z BRUKOWEJ KOSTKI BETONOWEJ</w:t>
            </w:r>
            <w:r>
              <w:rPr>
                <w:noProof/>
                <w:webHidden/>
              </w:rPr>
              <w:tab/>
            </w:r>
            <w:r>
              <w:rPr>
                <w:noProof/>
                <w:webHidden/>
              </w:rPr>
              <w:fldChar w:fldCharType="begin"/>
            </w:r>
            <w:r>
              <w:rPr>
                <w:noProof/>
                <w:webHidden/>
              </w:rPr>
              <w:instrText xml:space="preserve"> PAGEREF _Toc438237740 \h </w:instrText>
            </w:r>
            <w:r>
              <w:rPr>
                <w:noProof/>
                <w:webHidden/>
              </w:rPr>
            </w:r>
            <w:r>
              <w:rPr>
                <w:noProof/>
                <w:webHidden/>
              </w:rPr>
              <w:fldChar w:fldCharType="separate"/>
            </w:r>
            <w:r>
              <w:rPr>
                <w:noProof/>
                <w:webHidden/>
              </w:rPr>
              <w:t>277</w:t>
            </w:r>
            <w:r>
              <w:rPr>
                <w:noProof/>
                <w:webHidden/>
              </w:rPr>
              <w:fldChar w:fldCharType="end"/>
            </w:r>
          </w:hyperlink>
        </w:p>
        <w:p w:rsidR="00072571" w:rsidRDefault="00072571" w:rsidP="00327050">
          <w:pPr>
            <w:pStyle w:val="Spistreci1"/>
            <w:tabs>
              <w:tab w:val="clear" w:pos="7371"/>
              <w:tab w:val="right" w:leader="dot" w:pos="8505"/>
            </w:tabs>
            <w:rPr>
              <w:rFonts w:asciiTheme="minorHAnsi" w:eastAsiaTheme="minorEastAsia" w:hAnsiTheme="minorHAnsi" w:cstheme="minorBidi"/>
              <w:b w:val="0"/>
              <w:caps w:val="0"/>
              <w:noProof/>
              <w:sz w:val="22"/>
              <w:szCs w:val="22"/>
            </w:rPr>
          </w:pPr>
          <w:hyperlink w:anchor="_Toc438237741" w:history="1">
            <w:r w:rsidRPr="009B5F23">
              <w:rPr>
                <w:rStyle w:val="Hipercze"/>
                <w:noProof/>
              </w:rPr>
              <w:t>D-08.03.01  BETONOWE OBRZEŻA CHODNIKOWE</w:t>
            </w:r>
            <w:r>
              <w:rPr>
                <w:noProof/>
                <w:webHidden/>
              </w:rPr>
              <w:tab/>
            </w:r>
            <w:r>
              <w:rPr>
                <w:noProof/>
                <w:webHidden/>
              </w:rPr>
              <w:fldChar w:fldCharType="begin"/>
            </w:r>
            <w:r>
              <w:rPr>
                <w:noProof/>
                <w:webHidden/>
              </w:rPr>
              <w:instrText xml:space="preserve"> PAGEREF _Toc438237741 \h </w:instrText>
            </w:r>
            <w:r>
              <w:rPr>
                <w:noProof/>
                <w:webHidden/>
              </w:rPr>
            </w:r>
            <w:r>
              <w:rPr>
                <w:noProof/>
                <w:webHidden/>
              </w:rPr>
              <w:fldChar w:fldCharType="separate"/>
            </w:r>
            <w:r>
              <w:rPr>
                <w:noProof/>
                <w:webHidden/>
              </w:rPr>
              <w:t>282</w:t>
            </w:r>
            <w:r>
              <w:rPr>
                <w:noProof/>
                <w:webHidden/>
              </w:rPr>
              <w:fldChar w:fldCharType="end"/>
            </w:r>
          </w:hyperlink>
        </w:p>
        <w:p w:rsidR="00072571" w:rsidRDefault="00072571" w:rsidP="00737525">
          <w:pPr>
            <w:pStyle w:val="Spistreci1"/>
            <w:tabs>
              <w:tab w:val="clear" w:pos="7371"/>
              <w:tab w:val="right" w:leader="dot" w:pos="8505"/>
            </w:tabs>
            <w:rPr>
              <w:rFonts w:asciiTheme="minorHAnsi" w:eastAsiaTheme="minorEastAsia" w:hAnsiTheme="minorHAnsi" w:cstheme="minorBidi"/>
              <w:b w:val="0"/>
              <w:caps w:val="0"/>
              <w:noProof/>
              <w:sz w:val="22"/>
              <w:szCs w:val="22"/>
            </w:rPr>
          </w:pPr>
          <w:hyperlink w:anchor="_Toc438237742" w:history="1">
            <w:r w:rsidRPr="009B5F23">
              <w:rPr>
                <w:rStyle w:val="Hipercze"/>
                <w:noProof/>
              </w:rPr>
              <w:t>D-08.04.01 WJAZDY I WYJAZDY Z BRAM</w:t>
            </w:r>
            <w:r>
              <w:rPr>
                <w:noProof/>
                <w:webHidden/>
              </w:rPr>
              <w:tab/>
            </w:r>
            <w:r>
              <w:rPr>
                <w:noProof/>
                <w:webHidden/>
              </w:rPr>
              <w:fldChar w:fldCharType="begin"/>
            </w:r>
            <w:r>
              <w:rPr>
                <w:noProof/>
                <w:webHidden/>
              </w:rPr>
              <w:instrText xml:space="preserve"> PAGEREF _Toc438237742 \h </w:instrText>
            </w:r>
            <w:r>
              <w:rPr>
                <w:noProof/>
                <w:webHidden/>
              </w:rPr>
            </w:r>
            <w:r>
              <w:rPr>
                <w:noProof/>
                <w:webHidden/>
              </w:rPr>
              <w:fldChar w:fldCharType="separate"/>
            </w:r>
            <w:r>
              <w:rPr>
                <w:noProof/>
                <w:webHidden/>
              </w:rPr>
              <w:t>287</w:t>
            </w:r>
            <w:r>
              <w:rPr>
                <w:noProof/>
                <w:webHidden/>
              </w:rPr>
              <w:fldChar w:fldCharType="end"/>
            </w:r>
          </w:hyperlink>
        </w:p>
        <w:p w:rsidR="00072571" w:rsidRDefault="00072571" w:rsidP="00737525">
          <w:pPr>
            <w:pStyle w:val="Spistreci1"/>
            <w:tabs>
              <w:tab w:val="clear" w:pos="7371"/>
              <w:tab w:val="right" w:leader="dot" w:pos="8505"/>
            </w:tabs>
            <w:rPr>
              <w:rFonts w:asciiTheme="minorHAnsi" w:eastAsiaTheme="minorEastAsia" w:hAnsiTheme="minorHAnsi" w:cstheme="minorBidi"/>
              <w:b w:val="0"/>
              <w:caps w:val="0"/>
              <w:noProof/>
              <w:sz w:val="22"/>
              <w:szCs w:val="22"/>
            </w:rPr>
          </w:pPr>
          <w:hyperlink w:anchor="_Toc438237743" w:history="1">
            <w:r w:rsidRPr="009B5F23">
              <w:rPr>
                <w:rStyle w:val="Hipercze"/>
                <w:noProof/>
              </w:rPr>
              <w:t>D–08.05.06a  ŚCIEK ULICZNY Z BETONOWEJ KOSTKI BRUKOWEJ</w:t>
            </w:r>
            <w:r>
              <w:rPr>
                <w:noProof/>
                <w:webHidden/>
              </w:rPr>
              <w:tab/>
            </w:r>
            <w:r>
              <w:rPr>
                <w:noProof/>
                <w:webHidden/>
              </w:rPr>
              <w:fldChar w:fldCharType="begin"/>
            </w:r>
            <w:r>
              <w:rPr>
                <w:noProof/>
                <w:webHidden/>
              </w:rPr>
              <w:instrText xml:space="preserve"> PAGEREF _Toc438237743 \h </w:instrText>
            </w:r>
            <w:r>
              <w:rPr>
                <w:noProof/>
                <w:webHidden/>
              </w:rPr>
            </w:r>
            <w:r>
              <w:rPr>
                <w:noProof/>
                <w:webHidden/>
              </w:rPr>
              <w:fldChar w:fldCharType="separate"/>
            </w:r>
            <w:r>
              <w:rPr>
                <w:noProof/>
                <w:webHidden/>
              </w:rPr>
              <w:t>292</w:t>
            </w:r>
            <w:r>
              <w:rPr>
                <w:noProof/>
                <w:webHidden/>
              </w:rPr>
              <w:fldChar w:fldCharType="end"/>
            </w:r>
          </w:hyperlink>
        </w:p>
        <w:p w:rsidR="00072571" w:rsidRDefault="00072571" w:rsidP="00737525">
          <w:pPr>
            <w:pStyle w:val="Spistreci1"/>
            <w:tabs>
              <w:tab w:val="clear" w:pos="7371"/>
              <w:tab w:val="right" w:leader="dot" w:pos="8505"/>
            </w:tabs>
            <w:rPr>
              <w:rFonts w:asciiTheme="minorHAnsi" w:eastAsiaTheme="minorEastAsia" w:hAnsiTheme="minorHAnsi" w:cstheme="minorBidi"/>
              <w:b w:val="0"/>
              <w:caps w:val="0"/>
              <w:noProof/>
              <w:sz w:val="22"/>
              <w:szCs w:val="22"/>
            </w:rPr>
          </w:pPr>
          <w:hyperlink w:anchor="_Toc438237744" w:history="1">
            <w:r w:rsidRPr="009B5F23">
              <w:rPr>
                <w:rStyle w:val="Hipercze"/>
                <w:noProof/>
              </w:rPr>
              <w:t>D - 09.01.01 ZIELEŃ  DROGOWA</w:t>
            </w:r>
            <w:r>
              <w:rPr>
                <w:noProof/>
                <w:webHidden/>
              </w:rPr>
              <w:tab/>
            </w:r>
            <w:r>
              <w:rPr>
                <w:noProof/>
                <w:webHidden/>
              </w:rPr>
              <w:fldChar w:fldCharType="begin"/>
            </w:r>
            <w:r>
              <w:rPr>
                <w:noProof/>
                <w:webHidden/>
              </w:rPr>
              <w:instrText xml:space="preserve"> PAGEREF _Toc438237744 \h </w:instrText>
            </w:r>
            <w:r>
              <w:rPr>
                <w:noProof/>
                <w:webHidden/>
              </w:rPr>
            </w:r>
            <w:r>
              <w:rPr>
                <w:noProof/>
                <w:webHidden/>
              </w:rPr>
              <w:fldChar w:fldCharType="separate"/>
            </w:r>
            <w:r>
              <w:rPr>
                <w:noProof/>
                <w:webHidden/>
              </w:rPr>
              <w:t>305</w:t>
            </w:r>
            <w:r>
              <w:rPr>
                <w:noProof/>
                <w:webHidden/>
              </w:rPr>
              <w:fldChar w:fldCharType="end"/>
            </w:r>
          </w:hyperlink>
        </w:p>
        <w:p w:rsidR="00072571" w:rsidRDefault="00072571" w:rsidP="00737525">
          <w:pPr>
            <w:pStyle w:val="Spistreci1"/>
            <w:tabs>
              <w:tab w:val="clear" w:pos="7371"/>
              <w:tab w:val="right" w:leader="dot" w:pos="8505"/>
            </w:tabs>
            <w:rPr>
              <w:rFonts w:asciiTheme="minorHAnsi" w:eastAsiaTheme="minorEastAsia" w:hAnsiTheme="minorHAnsi" w:cstheme="minorBidi"/>
              <w:b w:val="0"/>
              <w:caps w:val="0"/>
              <w:noProof/>
              <w:sz w:val="22"/>
              <w:szCs w:val="22"/>
            </w:rPr>
          </w:pPr>
          <w:hyperlink w:anchor="_Toc438237745" w:history="1">
            <w:r w:rsidRPr="009B5F23">
              <w:rPr>
                <w:rStyle w:val="Hipercze"/>
                <w:noProof/>
              </w:rPr>
              <w:t>D-10.06.01 ZATOKI AUTOBUSOWE</w:t>
            </w:r>
            <w:r>
              <w:rPr>
                <w:noProof/>
                <w:webHidden/>
              </w:rPr>
              <w:tab/>
            </w:r>
            <w:r>
              <w:rPr>
                <w:noProof/>
                <w:webHidden/>
              </w:rPr>
              <w:fldChar w:fldCharType="begin"/>
            </w:r>
            <w:r>
              <w:rPr>
                <w:noProof/>
                <w:webHidden/>
              </w:rPr>
              <w:instrText xml:space="preserve"> PAGEREF _Toc438237745 \h </w:instrText>
            </w:r>
            <w:r>
              <w:rPr>
                <w:noProof/>
                <w:webHidden/>
              </w:rPr>
            </w:r>
            <w:r>
              <w:rPr>
                <w:noProof/>
                <w:webHidden/>
              </w:rPr>
              <w:fldChar w:fldCharType="separate"/>
            </w:r>
            <w:r>
              <w:rPr>
                <w:noProof/>
                <w:webHidden/>
              </w:rPr>
              <w:t>314</w:t>
            </w:r>
            <w:r>
              <w:rPr>
                <w:noProof/>
                <w:webHidden/>
              </w:rPr>
              <w:fldChar w:fldCharType="end"/>
            </w:r>
          </w:hyperlink>
        </w:p>
        <w:p w:rsidR="00072571" w:rsidRDefault="00072571" w:rsidP="00737525">
          <w:pPr>
            <w:pStyle w:val="Spistreci1"/>
            <w:tabs>
              <w:tab w:val="clear" w:pos="7371"/>
              <w:tab w:val="right" w:leader="dot" w:pos="8505"/>
            </w:tabs>
            <w:rPr>
              <w:rFonts w:asciiTheme="minorHAnsi" w:eastAsiaTheme="minorEastAsia" w:hAnsiTheme="minorHAnsi" w:cstheme="minorBidi"/>
              <w:b w:val="0"/>
              <w:caps w:val="0"/>
              <w:noProof/>
              <w:sz w:val="22"/>
              <w:szCs w:val="22"/>
            </w:rPr>
          </w:pPr>
          <w:hyperlink w:anchor="_Toc438237746" w:history="1">
            <w:r w:rsidRPr="009B5F23">
              <w:rPr>
                <w:rStyle w:val="Hipercze"/>
                <w:noProof/>
              </w:rPr>
              <w:t>D–10.10.01m REKULTYWACJA GRUNTÓW PRZYDROŻNYCH</w:t>
            </w:r>
            <w:r>
              <w:rPr>
                <w:noProof/>
                <w:webHidden/>
              </w:rPr>
              <w:tab/>
            </w:r>
            <w:r>
              <w:rPr>
                <w:noProof/>
                <w:webHidden/>
              </w:rPr>
              <w:fldChar w:fldCharType="begin"/>
            </w:r>
            <w:r>
              <w:rPr>
                <w:noProof/>
                <w:webHidden/>
              </w:rPr>
              <w:instrText xml:space="preserve"> PAGEREF _Toc438237746 \h </w:instrText>
            </w:r>
            <w:r>
              <w:rPr>
                <w:noProof/>
                <w:webHidden/>
              </w:rPr>
            </w:r>
            <w:r>
              <w:rPr>
                <w:noProof/>
                <w:webHidden/>
              </w:rPr>
              <w:fldChar w:fldCharType="separate"/>
            </w:r>
            <w:r>
              <w:rPr>
                <w:noProof/>
                <w:webHidden/>
              </w:rPr>
              <w:t>319</w:t>
            </w:r>
            <w:r>
              <w:rPr>
                <w:noProof/>
                <w:webHidden/>
              </w:rPr>
              <w:fldChar w:fldCharType="end"/>
            </w:r>
          </w:hyperlink>
        </w:p>
        <w:p w:rsidR="00BB4DAA" w:rsidRDefault="00B96EFD">
          <w:r w:rsidRPr="007839CF">
            <w:rPr>
              <w:sz w:val="18"/>
              <w:szCs w:val="18"/>
            </w:rPr>
            <w:fldChar w:fldCharType="end"/>
          </w:r>
        </w:p>
      </w:sdtContent>
    </w:sdt>
    <w:p w:rsidR="00AB299E" w:rsidRPr="007A7DB9" w:rsidRDefault="00AB299E" w:rsidP="007A7DB9"/>
    <w:p w:rsidR="00AB299E" w:rsidRPr="007A7DB9" w:rsidRDefault="00AB299E" w:rsidP="007A7DB9"/>
    <w:p w:rsidR="00AB299E" w:rsidRPr="007A7DB9" w:rsidRDefault="00AB299E" w:rsidP="007A7DB9"/>
    <w:p w:rsidR="00AB299E" w:rsidRPr="007A7DB9" w:rsidRDefault="00AB299E" w:rsidP="007A7DB9"/>
    <w:p w:rsidR="00AB299E" w:rsidRPr="007A7DB9" w:rsidRDefault="00AB299E" w:rsidP="007A7DB9"/>
    <w:p w:rsidR="00AB299E" w:rsidRPr="007A7DB9" w:rsidRDefault="00AB299E" w:rsidP="007A7DB9"/>
    <w:p w:rsidR="00AB299E" w:rsidRDefault="00AB299E" w:rsidP="007A7DB9"/>
    <w:p w:rsidR="007A7DB9" w:rsidRDefault="007A7DB9" w:rsidP="007A7DB9"/>
    <w:p w:rsidR="007A7DB9" w:rsidRDefault="007A7DB9" w:rsidP="007A7DB9"/>
    <w:p w:rsidR="007A7DB9" w:rsidRDefault="007A7DB9" w:rsidP="007A7DB9"/>
    <w:p w:rsidR="007A7DB9" w:rsidRDefault="007A7DB9" w:rsidP="007A7DB9"/>
    <w:p w:rsidR="007A7DB9" w:rsidRDefault="007A7DB9" w:rsidP="007A7DB9"/>
    <w:p w:rsidR="007A7DB9" w:rsidRDefault="007A7DB9" w:rsidP="007A7DB9"/>
    <w:p w:rsidR="007A7DB9" w:rsidRDefault="007A7DB9" w:rsidP="007A7DB9"/>
    <w:p w:rsidR="007A7DB9" w:rsidRDefault="007A7DB9" w:rsidP="007A7DB9"/>
    <w:p w:rsidR="007A7DB9" w:rsidRDefault="007A7DB9" w:rsidP="007A7DB9"/>
    <w:p w:rsidR="00D30B71" w:rsidRDefault="00D30B71" w:rsidP="007A7DB9"/>
    <w:p w:rsidR="00556540" w:rsidRDefault="00556540" w:rsidP="007A7DB9"/>
    <w:p w:rsidR="000C27BF" w:rsidRDefault="000C27BF" w:rsidP="007A7DB9"/>
    <w:p w:rsidR="00B36965" w:rsidRDefault="00B36965" w:rsidP="007A7DB9"/>
    <w:p w:rsidR="008545BB" w:rsidRDefault="008545BB" w:rsidP="007A7DB9"/>
    <w:p w:rsidR="008545BB" w:rsidRDefault="008545BB" w:rsidP="007A7DB9"/>
    <w:p w:rsidR="008545BB" w:rsidRDefault="008545BB" w:rsidP="007A7DB9"/>
    <w:p w:rsidR="008545BB" w:rsidRDefault="008545BB" w:rsidP="007A7DB9"/>
    <w:p w:rsidR="008545BB" w:rsidRDefault="008545BB" w:rsidP="007A7DB9"/>
    <w:p w:rsidR="008545BB" w:rsidRDefault="008545BB" w:rsidP="007A7DB9"/>
    <w:p w:rsidR="008545BB" w:rsidRDefault="008545BB" w:rsidP="007A7DB9"/>
    <w:p w:rsidR="008545BB" w:rsidRDefault="008545BB" w:rsidP="007A7DB9"/>
    <w:p w:rsidR="008545BB" w:rsidRDefault="008545BB" w:rsidP="007A7DB9"/>
    <w:p w:rsidR="008545BB" w:rsidRDefault="008545BB" w:rsidP="007A7DB9"/>
    <w:p w:rsidR="008545BB" w:rsidRDefault="008545BB" w:rsidP="007A7DB9"/>
    <w:p w:rsidR="008545BB" w:rsidRDefault="008545BB" w:rsidP="007A7DB9"/>
    <w:p w:rsidR="008545BB" w:rsidRDefault="008545BB" w:rsidP="007A7DB9"/>
    <w:p w:rsidR="008545BB" w:rsidRDefault="008545BB" w:rsidP="007A7DB9"/>
    <w:p w:rsidR="008545BB" w:rsidRDefault="008545BB" w:rsidP="007A7DB9"/>
    <w:p w:rsidR="008545BB" w:rsidRDefault="008545BB" w:rsidP="007A7DB9"/>
    <w:p w:rsidR="008545BB" w:rsidRDefault="008545BB" w:rsidP="007A7DB9"/>
    <w:p w:rsidR="008545BB" w:rsidRDefault="008545BB" w:rsidP="007A7DB9"/>
    <w:p w:rsidR="008545BB" w:rsidRDefault="008545BB" w:rsidP="007A7DB9"/>
    <w:p w:rsidR="008545BB" w:rsidRDefault="008545BB" w:rsidP="007A7DB9"/>
    <w:p w:rsidR="008545BB" w:rsidRDefault="008545BB" w:rsidP="007A7DB9"/>
    <w:p w:rsidR="008545BB" w:rsidRDefault="008545BB" w:rsidP="007A7DB9"/>
    <w:p w:rsidR="008545BB" w:rsidRDefault="008545BB" w:rsidP="007A7DB9"/>
    <w:p w:rsidR="008545BB" w:rsidRDefault="008545BB" w:rsidP="007A7DB9"/>
    <w:p w:rsidR="008545BB" w:rsidRDefault="008545BB" w:rsidP="007A7DB9"/>
    <w:p w:rsidR="008545BB" w:rsidRDefault="008545BB" w:rsidP="007A7DB9"/>
    <w:p w:rsidR="008545BB" w:rsidRDefault="008545BB" w:rsidP="007A7DB9"/>
    <w:p w:rsidR="008545BB" w:rsidRDefault="008545BB" w:rsidP="007A7DB9"/>
    <w:p w:rsidR="008545BB" w:rsidRDefault="008545BB" w:rsidP="007A7DB9"/>
    <w:p w:rsidR="008545BB" w:rsidRDefault="008545BB" w:rsidP="007A7DB9"/>
    <w:p w:rsidR="008545BB" w:rsidRDefault="008545BB" w:rsidP="007A7DB9"/>
    <w:p w:rsidR="008545BB" w:rsidRDefault="008545BB" w:rsidP="007A7DB9"/>
    <w:p w:rsidR="008545BB" w:rsidRDefault="008545BB" w:rsidP="007A7DB9"/>
    <w:p w:rsidR="008545BB" w:rsidRDefault="008545BB" w:rsidP="007A7DB9"/>
    <w:p w:rsidR="008545BB" w:rsidRDefault="008545BB" w:rsidP="007A7DB9"/>
    <w:p w:rsidR="008545BB" w:rsidRDefault="008545BB" w:rsidP="007A7DB9"/>
    <w:p w:rsidR="008545BB" w:rsidRDefault="008545BB" w:rsidP="007A7DB9"/>
    <w:p w:rsidR="008545BB" w:rsidRDefault="008545BB" w:rsidP="007A7DB9"/>
    <w:p w:rsidR="008545BB" w:rsidRDefault="008545BB" w:rsidP="007A7DB9"/>
    <w:p w:rsidR="008545BB" w:rsidRDefault="008545BB" w:rsidP="007A7DB9"/>
    <w:p w:rsidR="008545BB" w:rsidRDefault="008545BB" w:rsidP="007A7DB9"/>
    <w:p w:rsidR="008545BB" w:rsidRDefault="008545BB" w:rsidP="007A7DB9"/>
    <w:p w:rsidR="008545BB" w:rsidRDefault="008545BB" w:rsidP="007A7DB9"/>
    <w:p w:rsidR="008545BB" w:rsidRDefault="008545BB" w:rsidP="007A7DB9"/>
    <w:p w:rsidR="008545BB" w:rsidRDefault="008545BB" w:rsidP="007A7DB9"/>
    <w:p w:rsidR="008545BB" w:rsidRDefault="008545BB" w:rsidP="007A7DB9"/>
    <w:p w:rsidR="008545BB" w:rsidRDefault="008545BB" w:rsidP="007A7DB9"/>
    <w:p w:rsidR="008545BB" w:rsidRDefault="008545BB" w:rsidP="007A7DB9"/>
    <w:p w:rsidR="008545BB" w:rsidRDefault="008545BB" w:rsidP="007A7DB9"/>
    <w:p w:rsidR="008545BB" w:rsidRDefault="008545BB" w:rsidP="007A7DB9"/>
    <w:p w:rsidR="008545BB" w:rsidRDefault="008545BB" w:rsidP="007A7DB9"/>
    <w:p w:rsidR="00AB299E" w:rsidRPr="007A7DB9" w:rsidRDefault="00AB299E" w:rsidP="007A7DB9"/>
    <w:p w:rsidR="000F437A" w:rsidRPr="00E14891" w:rsidRDefault="00417278" w:rsidP="0043130B">
      <w:pPr>
        <w:pStyle w:val="Nagwek1"/>
        <w:jc w:val="center"/>
      </w:pPr>
      <w:bookmarkStart w:id="0" w:name="_Toc438237708"/>
      <w:r>
        <w:t>D</w:t>
      </w:r>
      <w:r w:rsidR="000F437A" w:rsidRPr="00E14891">
        <w:t>-</w:t>
      </w:r>
      <w:r>
        <w:t>M</w:t>
      </w:r>
      <w:r w:rsidR="000F437A" w:rsidRPr="00E14891">
        <w:t>-00.00.00</w:t>
      </w:r>
      <w:r>
        <w:t xml:space="preserve"> </w:t>
      </w:r>
      <w:r w:rsidR="000F437A">
        <w:t xml:space="preserve"> </w:t>
      </w:r>
      <w:r w:rsidR="000F437A" w:rsidRPr="00E14891">
        <w:t>WYMAGANIA OGÓLNE</w:t>
      </w:r>
      <w:bookmarkEnd w:id="0"/>
    </w:p>
    <w:p w:rsidR="000F437A" w:rsidRPr="00E026AB" w:rsidRDefault="000F437A" w:rsidP="000F437A">
      <w:pPr>
        <w:rPr>
          <w:rFonts w:ascii="Calibri" w:hAnsi="Calibri" w:cs="Calibri"/>
        </w:rPr>
      </w:pPr>
    </w:p>
    <w:p w:rsidR="000F437A" w:rsidRPr="00E026AB" w:rsidRDefault="000F437A" w:rsidP="000F437A">
      <w:pPr>
        <w:rPr>
          <w:rFonts w:ascii="Calibri" w:hAnsi="Calibri" w:cs="Calibri"/>
        </w:rPr>
      </w:pPr>
    </w:p>
    <w:p w:rsidR="000F437A" w:rsidRPr="00E026AB" w:rsidRDefault="000F437A" w:rsidP="000F437A">
      <w:pPr>
        <w:rPr>
          <w:rFonts w:ascii="Calibri" w:hAnsi="Calibri" w:cs="Calibri"/>
        </w:rPr>
      </w:pPr>
    </w:p>
    <w:p w:rsidR="000F437A" w:rsidRDefault="000F437A" w:rsidP="000F437A">
      <w:pPr>
        <w:rPr>
          <w:rFonts w:ascii="Calibri" w:hAnsi="Calibri" w:cs="Calibri"/>
        </w:rPr>
      </w:pPr>
    </w:p>
    <w:p w:rsidR="00416CD4" w:rsidRPr="00E026AB" w:rsidRDefault="00416CD4" w:rsidP="000F437A">
      <w:pPr>
        <w:rPr>
          <w:rFonts w:ascii="Calibri" w:hAnsi="Calibri" w:cs="Calibri"/>
        </w:rPr>
      </w:pPr>
    </w:p>
    <w:p w:rsidR="000F437A" w:rsidRPr="00E026AB" w:rsidRDefault="000F437A" w:rsidP="000F437A">
      <w:pPr>
        <w:rPr>
          <w:rFonts w:ascii="Calibri" w:hAnsi="Calibri" w:cs="Calibri"/>
        </w:rPr>
      </w:pPr>
    </w:p>
    <w:p w:rsidR="00AB299E" w:rsidRDefault="00AB299E" w:rsidP="000F437A">
      <w:pPr>
        <w:rPr>
          <w:rFonts w:ascii="Calibri" w:hAnsi="Calibri" w:cs="Calibri"/>
          <w:b/>
        </w:rPr>
      </w:pPr>
      <w:bookmarkStart w:id="1" w:name="_Toc404150096"/>
      <w:bookmarkStart w:id="2" w:name="_Toc416830698"/>
      <w:bookmarkStart w:id="3" w:name="_Toc6881279"/>
      <w:bookmarkStart w:id="4" w:name="_Toc6882152"/>
    </w:p>
    <w:p w:rsidR="00AB299E" w:rsidRDefault="00AB299E" w:rsidP="000F437A">
      <w:pPr>
        <w:rPr>
          <w:rFonts w:ascii="Calibri" w:hAnsi="Calibri" w:cs="Calibri"/>
          <w:b/>
        </w:rPr>
      </w:pPr>
    </w:p>
    <w:p w:rsidR="00AB299E" w:rsidRDefault="00AB299E" w:rsidP="000F437A">
      <w:pPr>
        <w:rPr>
          <w:rFonts w:ascii="Calibri" w:hAnsi="Calibri" w:cs="Calibri"/>
          <w:b/>
        </w:rPr>
      </w:pPr>
    </w:p>
    <w:p w:rsidR="00AB299E" w:rsidRDefault="00AB299E" w:rsidP="000F437A">
      <w:pPr>
        <w:rPr>
          <w:rFonts w:ascii="Calibri" w:hAnsi="Calibri" w:cs="Calibri"/>
          <w:b/>
        </w:rPr>
      </w:pPr>
    </w:p>
    <w:p w:rsidR="00AB299E" w:rsidRDefault="00AB299E" w:rsidP="000F437A">
      <w:pPr>
        <w:rPr>
          <w:rFonts w:ascii="Calibri" w:hAnsi="Calibri" w:cs="Calibri"/>
          <w:b/>
        </w:rPr>
      </w:pPr>
    </w:p>
    <w:p w:rsidR="000E55F0" w:rsidRDefault="000E55F0" w:rsidP="000F437A">
      <w:pPr>
        <w:rPr>
          <w:rFonts w:ascii="Calibri" w:hAnsi="Calibri" w:cs="Calibri"/>
          <w:b/>
        </w:rPr>
      </w:pPr>
    </w:p>
    <w:p w:rsidR="000E55F0" w:rsidRDefault="000E55F0" w:rsidP="000F437A">
      <w:pPr>
        <w:rPr>
          <w:rFonts w:ascii="Calibri" w:hAnsi="Calibri" w:cs="Calibri"/>
          <w:b/>
        </w:rPr>
      </w:pPr>
    </w:p>
    <w:p w:rsidR="00AB299E" w:rsidRDefault="00AB299E" w:rsidP="000F437A">
      <w:pPr>
        <w:rPr>
          <w:rFonts w:ascii="Calibri" w:hAnsi="Calibri" w:cs="Calibri"/>
          <w:b/>
        </w:rPr>
      </w:pPr>
    </w:p>
    <w:p w:rsidR="00AB299E" w:rsidRDefault="00AB299E" w:rsidP="000F437A">
      <w:pPr>
        <w:rPr>
          <w:rFonts w:ascii="Calibri" w:hAnsi="Calibri" w:cs="Calibri"/>
          <w:b/>
        </w:rPr>
      </w:pPr>
    </w:p>
    <w:p w:rsidR="00AB299E" w:rsidRDefault="00AB299E" w:rsidP="000F437A">
      <w:pPr>
        <w:rPr>
          <w:rFonts w:ascii="Calibri" w:hAnsi="Calibri" w:cs="Calibri"/>
          <w:b/>
        </w:rPr>
      </w:pPr>
    </w:p>
    <w:p w:rsidR="00AB299E" w:rsidRDefault="00AB299E" w:rsidP="000F437A">
      <w:pPr>
        <w:rPr>
          <w:rFonts w:ascii="Calibri" w:hAnsi="Calibri" w:cs="Calibri"/>
          <w:b/>
        </w:rPr>
      </w:pPr>
    </w:p>
    <w:p w:rsidR="00AB299E" w:rsidRDefault="00AB299E" w:rsidP="000F437A">
      <w:pPr>
        <w:rPr>
          <w:rFonts w:ascii="Calibri" w:hAnsi="Calibri" w:cs="Calibri"/>
          <w:b/>
        </w:rPr>
      </w:pPr>
    </w:p>
    <w:p w:rsidR="00AB299E" w:rsidRDefault="00AB299E" w:rsidP="000F437A">
      <w:pPr>
        <w:rPr>
          <w:rFonts w:ascii="Calibri" w:hAnsi="Calibri" w:cs="Calibri"/>
          <w:b/>
        </w:rPr>
      </w:pPr>
    </w:p>
    <w:p w:rsidR="00AB299E" w:rsidRDefault="00AB299E" w:rsidP="000F437A">
      <w:pPr>
        <w:rPr>
          <w:rFonts w:ascii="Calibri" w:hAnsi="Calibri" w:cs="Calibri"/>
          <w:b/>
        </w:rPr>
      </w:pPr>
    </w:p>
    <w:p w:rsidR="00AB299E" w:rsidRDefault="00AB299E" w:rsidP="000F437A">
      <w:pPr>
        <w:rPr>
          <w:rFonts w:ascii="Calibri" w:hAnsi="Calibri" w:cs="Calibri"/>
          <w:b/>
        </w:rPr>
      </w:pPr>
    </w:p>
    <w:p w:rsidR="00AB299E" w:rsidRDefault="00AB299E" w:rsidP="000F437A">
      <w:pPr>
        <w:rPr>
          <w:rFonts w:ascii="Calibri" w:hAnsi="Calibri" w:cs="Calibri"/>
          <w:b/>
        </w:rPr>
      </w:pPr>
    </w:p>
    <w:p w:rsidR="00AB299E" w:rsidRDefault="00AB299E" w:rsidP="000F437A">
      <w:pPr>
        <w:rPr>
          <w:rFonts w:ascii="Calibri" w:hAnsi="Calibri" w:cs="Calibri"/>
          <w:b/>
        </w:rPr>
      </w:pPr>
    </w:p>
    <w:p w:rsidR="00AB299E" w:rsidRDefault="00AB299E" w:rsidP="000F437A">
      <w:pPr>
        <w:rPr>
          <w:rFonts w:ascii="Calibri" w:hAnsi="Calibri" w:cs="Calibri"/>
          <w:b/>
        </w:rPr>
      </w:pPr>
    </w:p>
    <w:p w:rsidR="00AB299E" w:rsidRDefault="00AB299E" w:rsidP="000F437A">
      <w:pPr>
        <w:rPr>
          <w:rFonts w:ascii="Calibri" w:hAnsi="Calibri" w:cs="Calibri"/>
          <w:b/>
        </w:rPr>
      </w:pPr>
    </w:p>
    <w:p w:rsidR="00AB299E" w:rsidRDefault="00AB299E" w:rsidP="000F437A">
      <w:pPr>
        <w:rPr>
          <w:rFonts w:ascii="Calibri" w:hAnsi="Calibri" w:cs="Calibri"/>
          <w:b/>
        </w:rPr>
      </w:pPr>
    </w:p>
    <w:p w:rsidR="00AB299E" w:rsidRDefault="00AB299E" w:rsidP="000F437A">
      <w:pPr>
        <w:rPr>
          <w:rFonts w:ascii="Calibri" w:hAnsi="Calibri" w:cs="Calibri"/>
          <w:b/>
        </w:rPr>
      </w:pPr>
    </w:p>
    <w:p w:rsidR="00AB299E" w:rsidRDefault="00AB299E" w:rsidP="000F437A">
      <w:pPr>
        <w:rPr>
          <w:rFonts w:ascii="Calibri" w:hAnsi="Calibri" w:cs="Calibri"/>
          <w:b/>
        </w:rPr>
      </w:pPr>
    </w:p>
    <w:p w:rsidR="00AB299E" w:rsidRDefault="00AB299E" w:rsidP="000F437A">
      <w:pPr>
        <w:rPr>
          <w:rFonts w:ascii="Calibri" w:hAnsi="Calibri" w:cs="Calibri"/>
          <w:b/>
        </w:rPr>
      </w:pPr>
    </w:p>
    <w:p w:rsidR="00AB299E" w:rsidRDefault="00AB299E" w:rsidP="000F437A">
      <w:pPr>
        <w:rPr>
          <w:rFonts w:ascii="Calibri" w:hAnsi="Calibri" w:cs="Calibri"/>
          <w:b/>
        </w:rPr>
      </w:pPr>
    </w:p>
    <w:p w:rsidR="00AB299E" w:rsidRDefault="00AB299E" w:rsidP="000F437A">
      <w:pPr>
        <w:rPr>
          <w:rFonts w:ascii="Calibri" w:hAnsi="Calibri" w:cs="Calibri"/>
          <w:b/>
        </w:rPr>
      </w:pPr>
    </w:p>
    <w:p w:rsidR="00AB299E" w:rsidRDefault="00AB299E" w:rsidP="000F437A">
      <w:pPr>
        <w:rPr>
          <w:rFonts w:ascii="Calibri" w:hAnsi="Calibri" w:cs="Calibri"/>
          <w:b/>
        </w:rPr>
      </w:pPr>
    </w:p>
    <w:p w:rsidR="00AB299E" w:rsidRDefault="00AB299E" w:rsidP="000F437A">
      <w:pPr>
        <w:rPr>
          <w:rFonts w:ascii="Calibri" w:hAnsi="Calibri" w:cs="Calibri"/>
          <w:b/>
        </w:rPr>
      </w:pPr>
    </w:p>
    <w:p w:rsidR="00AB299E" w:rsidRDefault="00AB299E" w:rsidP="000F437A">
      <w:pPr>
        <w:rPr>
          <w:rFonts w:ascii="Calibri" w:hAnsi="Calibri" w:cs="Calibri"/>
          <w:b/>
        </w:rPr>
      </w:pPr>
    </w:p>
    <w:p w:rsidR="00AB299E" w:rsidRDefault="00AB299E" w:rsidP="000F437A">
      <w:pPr>
        <w:rPr>
          <w:rFonts w:ascii="Calibri" w:hAnsi="Calibri" w:cs="Calibri"/>
          <w:b/>
        </w:rPr>
      </w:pPr>
    </w:p>
    <w:p w:rsidR="00AB299E" w:rsidRDefault="00AB299E" w:rsidP="000F437A">
      <w:pPr>
        <w:rPr>
          <w:rFonts w:ascii="Calibri" w:hAnsi="Calibri" w:cs="Calibri"/>
          <w:b/>
        </w:rPr>
      </w:pPr>
    </w:p>
    <w:p w:rsidR="00EE12D7" w:rsidRDefault="00EE12D7" w:rsidP="000F437A">
      <w:pPr>
        <w:rPr>
          <w:rFonts w:ascii="Calibri" w:hAnsi="Calibri" w:cs="Calibri"/>
          <w:b/>
        </w:rPr>
      </w:pPr>
    </w:p>
    <w:p w:rsidR="00AB299E" w:rsidRDefault="00AB299E" w:rsidP="000F437A">
      <w:pPr>
        <w:rPr>
          <w:rFonts w:ascii="Calibri" w:hAnsi="Calibri" w:cs="Calibri"/>
          <w:b/>
        </w:rPr>
      </w:pPr>
    </w:p>
    <w:p w:rsidR="007839CF" w:rsidRDefault="007839CF" w:rsidP="000F437A">
      <w:pPr>
        <w:rPr>
          <w:rFonts w:ascii="Calibri" w:hAnsi="Calibri" w:cs="Calibri"/>
          <w:b/>
        </w:rPr>
      </w:pPr>
    </w:p>
    <w:p w:rsidR="007839CF" w:rsidRDefault="007839CF" w:rsidP="000F437A">
      <w:pPr>
        <w:rPr>
          <w:rFonts w:ascii="Calibri" w:hAnsi="Calibri" w:cs="Calibri"/>
          <w:b/>
        </w:rPr>
      </w:pPr>
    </w:p>
    <w:p w:rsidR="000B073E" w:rsidRDefault="000B073E" w:rsidP="000F437A">
      <w:pPr>
        <w:rPr>
          <w:rFonts w:ascii="Calibri" w:hAnsi="Calibri" w:cs="Calibri"/>
          <w:b/>
        </w:rPr>
      </w:pPr>
    </w:p>
    <w:p w:rsidR="000F437A" w:rsidRPr="00E14891" w:rsidRDefault="000F437A" w:rsidP="000F437A">
      <w:pPr>
        <w:rPr>
          <w:rFonts w:ascii="Calibri" w:hAnsi="Calibri" w:cs="Calibri"/>
          <w:b/>
        </w:rPr>
      </w:pPr>
      <w:r w:rsidRPr="00E14891">
        <w:rPr>
          <w:rFonts w:ascii="Calibri" w:hAnsi="Calibri" w:cs="Calibri"/>
          <w:b/>
        </w:rPr>
        <w:lastRenderedPageBreak/>
        <w:t>1. WSTĘP</w:t>
      </w:r>
      <w:bookmarkEnd w:id="1"/>
      <w:bookmarkEnd w:id="2"/>
      <w:bookmarkEnd w:id="3"/>
      <w:bookmarkEnd w:id="4"/>
    </w:p>
    <w:p w:rsidR="000F437A" w:rsidRPr="00E026AB" w:rsidRDefault="000F437A" w:rsidP="000F437A">
      <w:pPr>
        <w:rPr>
          <w:rFonts w:ascii="Calibri" w:hAnsi="Calibri" w:cs="Calibri"/>
        </w:rPr>
      </w:pPr>
      <w:r w:rsidRPr="00E14891">
        <w:rPr>
          <w:rFonts w:ascii="Calibri" w:hAnsi="Calibri" w:cs="Calibri"/>
          <w:b/>
        </w:rPr>
        <w:t>1.1.</w:t>
      </w:r>
      <w:r>
        <w:rPr>
          <w:rFonts w:ascii="Calibri" w:hAnsi="Calibri" w:cs="Calibri"/>
        </w:rPr>
        <w:t xml:space="preserve"> Przedmiot </w:t>
      </w:r>
      <w:r w:rsidRPr="00E026AB">
        <w:rPr>
          <w:rFonts w:ascii="Calibri" w:hAnsi="Calibri" w:cs="Calibri"/>
        </w:rPr>
        <w:t>ST</w:t>
      </w:r>
    </w:p>
    <w:p w:rsidR="000F437A" w:rsidRPr="00E026AB" w:rsidRDefault="000F437A" w:rsidP="000F437A">
      <w:pPr>
        <w:rPr>
          <w:rFonts w:ascii="Calibri" w:hAnsi="Calibri" w:cs="Calibri"/>
        </w:rPr>
      </w:pPr>
      <w:r>
        <w:rPr>
          <w:rFonts w:ascii="Calibri" w:hAnsi="Calibri" w:cs="Calibri"/>
        </w:rPr>
        <w:tab/>
        <w:t>Przedmiotem niniejszej specyfikacji technicznej (</w:t>
      </w:r>
      <w:r w:rsidRPr="00E026AB">
        <w:rPr>
          <w:rFonts w:ascii="Calibri" w:hAnsi="Calibri" w:cs="Calibri"/>
        </w:rPr>
        <w:t>ST) są wymagania ogólne dotyczące wykonania i odbioru robót drogowych i mostowych.</w:t>
      </w:r>
    </w:p>
    <w:p w:rsidR="000F437A" w:rsidRPr="00E026AB" w:rsidRDefault="000F437A" w:rsidP="000F437A">
      <w:pPr>
        <w:rPr>
          <w:rFonts w:ascii="Calibri" w:hAnsi="Calibri" w:cs="Calibri"/>
        </w:rPr>
      </w:pPr>
      <w:r w:rsidRPr="00E14891">
        <w:rPr>
          <w:rFonts w:ascii="Calibri" w:hAnsi="Calibri" w:cs="Calibri"/>
          <w:b/>
        </w:rPr>
        <w:t>1.2.</w:t>
      </w:r>
      <w:r>
        <w:rPr>
          <w:rFonts w:ascii="Calibri" w:hAnsi="Calibri" w:cs="Calibri"/>
        </w:rPr>
        <w:t xml:space="preserve"> Zakres stosowania </w:t>
      </w:r>
      <w:r w:rsidRPr="00E026AB">
        <w:rPr>
          <w:rFonts w:ascii="Calibri" w:hAnsi="Calibri" w:cs="Calibri"/>
        </w:rPr>
        <w:t>ST</w:t>
      </w:r>
    </w:p>
    <w:p w:rsidR="000F437A" w:rsidRPr="007621DF" w:rsidRDefault="000F437A" w:rsidP="000F437A">
      <w:pPr>
        <w:rPr>
          <w:rFonts w:ascii="Calibri" w:hAnsi="Calibri" w:cs="Calibri"/>
        </w:rPr>
      </w:pPr>
      <w:r w:rsidRPr="00E026AB">
        <w:rPr>
          <w:rFonts w:ascii="Calibri" w:hAnsi="Calibri" w:cs="Calibri"/>
        </w:rPr>
        <w:tab/>
      </w:r>
      <w:r w:rsidRPr="007621DF">
        <w:rPr>
          <w:rFonts w:ascii="Calibri" w:hAnsi="Calibri" w:cs="Calibri"/>
        </w:rPr>
        <w:t>Specyfikacja techniczna określa wymagania dla wykonania i odbioru robót budowlanych przewidzianych do wykonania w ramach umowy a zawarte w niej zapisy w zakresie standardu materiałów, wykonania robót i wymaganej ich jakości oraz kontroli jakości robót należy traktować jako minimalne.</w:t>
      </w:r>
    </w:p>
    <w:p w:rsidR="000F437A" w:rsidRPr="00E026AB" w:rsidRDefault="000F437A" w:rsidP="000F437A">
      <w:pPr>
        <w:rPr>
          <w:rFonts w:ascii="Calibri" w:hAnsi="Calibri" w:cs="Calibri"/>
        </w:rPr>
      </w:pPr>
      <w:r w:rsidRPr="00E14891">
        <w:rPr>
          <w:rFonts w:ascii="Calibri" w:hAnsi="Calibri" w:cs="Calibri"/>
          <w:b/>
        </w:rPr>
        <w:t>1.3.</w:t>
      </w:r>
      <w:r>
        <w:rPr>
          <w:rFonts w:ascii="Calibri" w:hAnsi="Calibri" w:cs="Calibri"/>
        </w:rPr>
        <w:t xml:space="preserve"> Zakres robót objętych </w:t>
      </w:r>
      <w:r w:rsidRPr="00E026AB">
        <w:rPr>
          <w:rFonts w:ascii="Calibri" w:hAnsi="Calibri" w:cs="Calibri"/>
        </w:rPr>
        <w:t>ST</w:t>
      </w:r>
    </w:p>
    <w:p w:rsidR="000F437A" w:rsidRPr="00B61884" w:rsidRDefault="000F437A" w:rsidP="000F437A">
      <w:pPr>
        <w:rPr>
          <w:rFonts w:asciiTheme="minorHAnsi" w:hAnsiTheme="minorHAnsi" w:cs="Calibri"/>
        </w:rPr>
      </w:pPr>
      <w:r w:rsidRPr="00E026AB">
        <w:rPr>
          <w:rFonts w:ascii="Calibri" w:hAnsi="Calibri" w:cs="Calibri"/>
        </w:rPr>
        <w:tab/>
        <w:t>Ustalenia zawarte w niniejszej specyfikacji obejmują wymagania ogólne, wspólne d</w:t>
      </w:r>
      <w:r>
        <w:rPr>
          <w:rFonts w:ascii="Calibri" w:hAnsi="Calibri" w:cs="Calibri"/>
        </w:rPr>
        <w:t xml:space="preserve">la robót objętych </w:t>
      </w:r>
      <w:r w:rsidRPr="00E026AB">
        <w:rPr>
          <w:rFonts w:ascii="Calibri" w:hAnsi="Calibri" w:cs="Calibri"/>
        </w:rPr>
        <w:t>specyfikacjami te</w:t>
      </w:r>
      <w:r>
        <w:rPr>
          <w:rFonts w:ascii="Calibri" w:hAnsi="Calibri" w:cs="Calibri"/>
        </w:rPr>
        <w:t xml:space="preserve">chnicznymi </w:t>
      </w:r>
      <w:r w:rsidRPr="00E026AB">
        <w:rPr>
          <w:rFonts w:ascii="Calibri" w:hAnsi="Calibri" w:cs="Calibri"/>
        </w:rPr>
        <w:t>dla poszczególnych asortymen</w:t>
      </w:r>
      <w:r w:rsidR="00AF0683">
        <w:rPr>
          <w:rFonts w:ascii="Calibri" w:hAnsi="Calibri" w:cs="Calibri"/>
        </w:rPr>
        <w:t xml:space="preserve">tów robót drogowych i mostowych w związku z </w:t>
      </w:r>
      <w:r w:rsidR="00B61884">
        <w:rPr>
          <w:rFonts w:ascii="Calibri" w:hAnsi="Calibri" w:cs="Calibri"/>
        </w:rPr>
        <w:t>„</w:t>
      </w:r>
      <w:r w:rsidR="00B61884">
        <w:rPr>
          <w:rFonts w:asciiTheme="minorHAnsi" w:hAnsiTheme="minorHAnsi"/>
        </w:rPr>
        <w:t>Przebudową ul.55 Pułku Piechoty w L</w:t>
      </w:r>
      <w:r w:rsidR="00C26550" w:rsidRPr="00B61884">
        <w:rPr>
          <w:rFonts w:asciiTheme="minorHAnsi" w:hAnsiTheme="minorHAnsi"/>
        </w:rPr>
        <w:t>esznie wraz z przebudową oświetlenia</w:t>
      </w:r>
      <w:r w:rsidR="00B61884">
        <w:rPr>
          <w:rFonts w:asciiTheme="minorHAnsi" w:hAnsiTheme="minorHAnsi"/>
        </w:rPr>
        <w:t>”</w:t>
      </w:r>
      <w:r w:rsidR="00B61884">
        <w:rPr>
          <w:rFonts w:asciiTheme="minorHAnsi" w:hAnsiTheme="minorHAnsi" w:cs="Calibri"/>
        </w:rPr>
        <w:t>.</w:t>
      </w:r>
    </w:p>
    <w:p w:rsidR="000F437A" w:rsidRPr="00E026AB" w:rsidRDefault="000F437A" w:rsidP="000F437A">
      <w:pPr>
        <w:rPr>
          <w:rFonts w:ascii="Calibri" w:hAnsi="Calibri" w:cs="Calibri"/>
        </w:rPr>
      </w:pPr>
      <w:r w:rsidRPr="00E14891">
        <w:rPr>
          <w:rFonts w:ascii="Calibri" w:hAnsi="Calibri" w:cs="Calibri"/>
          <w:b/>
        </w:rPr>
        <w:t>1.4.</w:t>
      </w:r>
      <w:r w:rsidRPr="00E026AB">
        <w:rPr>
          <w:rFonts w:ascii="Calibri" w:hAnsi="Calibri" w:cs="Calibri"/>
        </w:rPr>
        <w:t xml:space="preserve"> Określenia podstawowe</w:t>
      </w:r>
    </w:p>
    <w:p w:rsidR="000F437A" w:rsidRPr="00E026AB" w:rsidRDefault="000F437A" w:rsidP="000F437A">
      <w:pPr>
        <w:rPr>
          <w:rFonts w:ascii="Calibri" w:hAnsi="Calibri" w:cs="Calibri"/>
        </w:rPr>
      </w:pPr>
      <w:r>
        <w:rPr>
          <w:rFonts w:ascii="Calibri" w:hAnsi="Calibri" w:cs="Calibri"/>
        </w:rPr>
        <w:tab/>
        <w:t xml:space="preserve">Użyte w </w:t>
      </w:r>
      <w:r w:rsidRPr="00E026AB">
        <w:rPr>
          <w:rFonts w:ascii="Calibri" w:hAnsi="Calibri" w:cs="Calibri"/>
        </w:rPr>
        <w:t>ST wymienione poniżej określenia należy rozumieć w każdym przypadku następująco:</w:t>
      </w:r>
    </w:p>
    <w:p w:rsidR="000F437A" w:rsidRPr="00E026AB" w:rsidRDefault="000F437A" w:rsidP="000F437A">
      <w:pPr>
        <w:rPr>
          <w:rFonts w:ascii="Calibri" w:hAnsi="Calibri" w:cs="Calibri"/>
        </w:rPr>
      </w:pPr>
      <w:r w:rsidRPr="00E14891">
        <w:rPr>
          <w:rFonts w:ascii="Calibri" w:hAnsi="Calibri" w:cs="Calibri"/>
          <w:b/>
        </w:rPr>
        <w:t>1.4.1.</w:t>
      </w:r>
      <w:r w:rsidRPr="00E026AB">
        <w:rPr>
          <w:rFonts w:ascii="Calibri" w:hAnsi="Calibri" w:cs="Calibri"/>
        </w:rPr>
        <w:tab/>
        <w:t>Budowla drogowa - obiekt budowlany, nie będący budynkiem, stanowiący całość techniczno-użytkową (droga) albo jego część stanowiącą odrębny element konstrukcyjny lub technologiczny (obiekt mostowy, korpus ziemny, węzeł).</w:t>
      </w:r>
    </w:p>
    <w:p w:rsidR="000F437A" w:rsidRPr="00E026AB" w:rsidRDefault="000F437A" w:rsidP="000F437A">
      <w:pPr>
        <w:rPr>
          <w:rFonts w:ascii="Calibri" w:hAnsi="Calibri" w:cs="Calibri"/>
        </w:rPr>
      </w:pPr>
      <w:r w:rsidRPr="00E14891">
        <w:rPr>
          <w:rFonts w:ascii="Calibri" w:hAnsi="Calibri" w:cs="Calibri"/>
          <w:b/>
        </w:rPr>
        <w:t>1.4.2.</w:t>
      </w:r>
      <w:r w:rsidRPr="00E026AB">
        <w:rPr>
          <w:rFonts w:ascii="Calibri" w:hAnsi="Calibri" w:cs="Calibri"/>
        </w:rPr>
        <w:tab/>
        <w:t>Chodnik - wyznaczony pas terenu przy jezdni lub odsunięty od jezdni, przeznaczony do ruchu pieszych.</w:t>
      </w:r>
    </w:p>
    <w:p w:rsidR="000F437A" w:rsidRPr="00E026AB" w:rsidRDefault="000F437A" w:rsidP="000F437A">
      <w:pPr>
        <w:rPr>
          <w:rFonts w:ascii="Calibri" w:hAnsi="Calibri" w:cs="Calibri"/>
        </w:rPr>
      </w:pPr>
      <w:r w:rsidRPr="00E14891">
        <w:rPr>
          <w:rFonts w:ascii="Calibri" w:hAnsi="Calibri" w:cs="Calibri"/>
          <w:b/>
        </w:rPr>
        <w:t>1.4.3.</w:t>
      </w:r>
      <w:r w:rsidRPr="00E026AB">
        <w:rPr>
          <w:rFonts w:ascii="Calibri" w:hAnsi="Calibri" w:cs="Calibri"/>
        </w:rPr>
        <w:tab/>
        <w:t>Długość mostu - odległość między zewnętrznymi krawędziami pomostu, a w przypadku mostów łukowych z nadsypką - odległość w świetle podstaw sklepienia mierzona w osi jezdni drogowej.</w:t>
      </w:r>
    </w:p>
    <w:p w:rsidR="000F437A" w:rsidRPr="00E026AB" w:rsidRDefault="000F437A" w:rsidP="000F437A">
      <w:pPr>
        <w:rPr>
          <w:rFonts w:ascii="Calibri" w:hAnsi="Calibri" w:cs="Calibri"/>
        </w:rPr>
      </w:pPr>
      <w:r w:rsidRPr="00E14891">
        <w:rPr>
          <w:rFonts w:ascii="Calibri" w:hAnsi="Calibri" w:cs="Calibri"/>
          <w:b/>
        </w:rPr>
        <w:t>1.4.4.</w:t>
      </w:r>
      <w:r w:rsidRPr="00E026AB">
        <w:rPr>
          <w:rFonts w:ascii="Calibri" w:hAnsi="Calibri" w:cs="Calibri"/>
        </w:rPr>
        <w:tab/>
        <w:t>Droga - wydzielony pas terenu przeznaczony do ruchu lub postoju pojazdów oraz ruchu pieszych wraz z wszelkimi urządzeniami technicznymi związanymi z prowadzeniem i zabezpieczeniem ruchu.</w:t>
      </w:r>
    </w:p>
    <w:p w:rsidR="000F437A" w:rsidRPr="00E026AB" w:rsidRDefault="000F437A" w:rsidP="000F437A">
      <w:pPr>
        <w:rPr>
          <w:rFonts w:ascii="Calibri" w:hAnsi="Calibri" w:cs="Calibri"/>
        </w:rPr>
      </w:pPr>
      <w:r w:rsidRPr="00E14891">
        <w:rPr>
          <w:rFonts w:ascii="Calibri" w:hAnsi="Calibri" w:cs="Calibri"/>
          <w:b/>
        </w:rPr>
        <w:t>1.4.5.</w:t>
      </w:r>
      <w:r w:rsidRPr="00E026AB">
        <w:rPr>
          <w:rFonts w:ascii="Calibri" w:hAnsi="Calibri" w:cs="Calibri"/>
        </w:rPr>
        <w:tab/>
        <w:t>Droga tymczasowa (montażowa) - droga specjalnie przygotowana, przeznaczona do ruchu pojazdów obsługujących zadanie budowlane na czas jego wykonania, przewidziana do usunięcia po jego zakończeniu.</w:t>
      </w:r>
    </w:p>
    <w:p w:rsidR="000F437A" w:rsidRPr="00E026AB" w:rsidRDefault="000F437A" w:rsidP="000F437A">
      <w:pPr>
        <w:rPr>
          <w:rFonts w:ascii="Calibri" w:hAnsi="Calibri" w:cs="Calibri"/>
        </w:rPr>
      </w:pPr>
      <w:r w:rsidRPr="00E14891">
        <w:rPr>
          <w:rFonts w:ascii="Calibri" w:hAnsi="Calibri" w:cs="Calibri"/>
          <w:b/>
        </w:rPr>
        <w:t>1.4.6.</w:t>
      </w:r>
      <w:r w:rsidRPr="00E026AB">
        <w:rPr>
          <w:rFonts w:ascii="Calibri" w:hAnsi="Calibri" w:cs="Calibri"/>
        </w:rPr>
        <w:tab/>
        <w:t>Dziennik budowy – zeszyt z ponumerowanymi stronami, opatrzony pieczęcią organu wydającego, wydany zgodnie z obowiązującymi przepisami, stanowiący urzędowy dokument przebiegu robót budowlanych, służący do notowania zdarzeń i okoliczności zachodzących w toku wykonywania robót, rejestrowania dokonywanych odbiorów robót, przekazywania poleceń i innej korespondencji technicznej pomiędzy Inżynierem/ Kierownikiem projektu, Wykonawcą i projektantem.</w:t>
      </w:r>
    </w:p>
    <w:p w:rsidR="000F437A" w:rsidRPr="00E026AB" w:rsidRDefault="000F437A" w:rsidP="000F437A">
      <w:pPr>
        <w:rPr>
          <w:rFonts w:ascii="Calibri" w:hAnsi="Calibri" w:cs="Calibri"/>
        </w:rPr>
      </w:pPr>
      <w:r w:rsidRPr="00E14891">
        <w:rPr>
          <w:rFonts w:ascii="Calibri" w:hAnsi="Calibri" w:cs="Calibri"/>
          <w:b/>
        </w:rPr>
        <w:t>1.4.7.</w:t>
      </w:r>
      <w:r w:rsidRPr="00E026AB">
        <w:rPr>
          <w:rFonts w:ascii="Calibri" w:hAnsi="Calibri" w:cs="Calibri"/>
        </w:rPr>
        <w:tab/>
        <w:t>Estakada - obiekt zbudowany nad przeszkodą terenową dla zapewnienia komunikacji drogowej i ruchu pieszego.</w:t>
      </w:r>
    </w:p>
    <w:p w:rsidR="000F437A" w:rsidRDefault="000F437A" w:rsidP="000F437A">
      <w:pPr>
        <w:rPr>
          <w:rFonts w:ascii="Calibri" w:hAnsi="Calibri" w:cs="Calibri"/>
        </w:rPr>
      </w:pPr>
      <w:r w:rsidRPr="00E14891">
        <w:rPr>
          <w:rFonts w:ascii="Calibri" w:hAnsi="Calibri" w:cs="Calibri"/>
          <w:b/>
        </w:rPr>
        <w:t>1.4.8.</w:t>
      </w:r>
      <w:r w:rsidRPr="00E026AB">
        <w:rPr>
          <w:rFonts w:ascii="Calibri" w:hAnsi="Calibri" w:cs="Calibri"/>
        </w:rPr>
        <w:tab/>
      </w:r>
      <w:r>
        <w:rPr>
          <w:rFonts w:ascii="Calibri" w:hAnsi="Calibri" w:cs="Calibri"/>
        </w:rPr>
        <w:t>Nadzór Inwestorski/Kierownik Projektu</w:t>
      </w:r>
    </w:p>
    <w:p w:rsidR="000F437A" w:rsidRDefault="000F437A" w:rsidP="000F437A">
      <w:pPr>
        <w:rPr>
          <w:rFonts w:ascii="Calibri" w:hAnsi="Calibri" w:cs="Calibri"/>
        </w:rPr>
      </w:pPr>
      <w:r>
        <w:rPr>
          <w:rFonts w:ascii="Calibri" w:hAnsi="Calibri" w:cs="Calibri"/>
        </w:rPr>
        <w:t>Nadzór Inwestorski</w:t>
      </w:r>
      <w:r w:rsidRPr="00E026AB">
        <w:rPr>
          <w:rFonts w:ascii="Calibri" w:hAnsi="Calibri" w:cs="Calibri"/>
        </w:rPr>
        <w:t xml:space="preserve"> – osoba </w:t>
      </w:r>
      <w:r>
        <w:rPr>
          <w:rFonts w:ascii="Calibri" w:hAnsi="Calibri" w:cs="Calibri"/>
        </w:rPr>
        <w:t xml:space="preserve">(lub zespół osób) </w:t>
      </w:r>
      <w:r w:rsidRPr="00E026AB">
        <w:rPr>
          <w:rFonts w:ascii="Calibri" w:hAnsi="Calibri" w:cs="Calibri"/>
        </w:rPr>
        <w:t>wym</w:t>
      </w:r>
      <w:r>
        <w:rPr>
          <w:rFonts w:ascii="Calibri" w:hAnsi="Calibri" w:cs="Calibri"/>
        </w:rPr>
        <w:t xml:space="preserve">ieniona w danych kontraktowych, </w:t>
      </w:r>
      <w:r w:rsidRPr="00E026AB">
        <w:rPr>
          <w:rFonts w:ascii="Calibri" w:hAnsi="Calibri" w:cs="Calibri"/>
        </w:rPr>
        <w:t>wyznaczona przez Zamawiającego, o której wyznaczeniu poinformo</w:t>
      </w:r>
      <w:r>
        <w:rPr>
          <w:rFonts w:ascii="Calibri" w:hAnsi="Calibri" w:cs="Calibri"/>
        </w:rPr>
        <w:t>wany jest Wykonawca</w:t>
      </w:r>
      <w:r w:rsidRPr="00E026AB">
        <w:rPr>
          <w:rFonts w:ascii="Calibri" w:hAnsi="Calibri" w:cs="Calibri"/>
        </w:rPr>
        <w:t>, odpowiedzialna za nadzorowanie ro</w:t>
      </w:r>
      <w:r>
        <w:rPr>
          <w:rFonts w:ascii="Calibri" w:hAnsi="Calibri" w:cs="Calibri"/>
        </w:rPr>
        <w:t>bót</w:t>
      </w:r>
      <w:r w:rsidRPr="00E026AB">
        <w:rPr>
          <w:rFonts w:ascii="Calibri" w:hAnsi="Calibri" w:cs="Calibri"/>
        </w:rPr>
        <w:t>.</w:t>
      </w:r>
      <w:r>
        <w:rPr>
          <w:rFonts w:ascii="Calibri" w:hAnsi="Calibri" w:cs="Calibri"/>
        </w:rPr>
        <w:t xml:space="preserve"> Nadzór Inwestorski w dalszej części niniejszej specyfikacji oraz we wszystkich powiązanych specyfikacjach będzie występował pod nazwą Inżyniera.</w:t>
      </w:r>
    </w:p>
    <w:p w:rsidR="000F437A" w:rsidRPr="00E026AB" w:rsidRDefault="000F437A" w:rsidP="000F437A">
      <w:pPr>
        <w:rPr>
          <w:rFonts w:ascii="Calibri" w:hAnsi="Calibri" w:cs="Calibri"/>
        </w:rPr>
      </w:pPr>
      <w:r>
        <w:rPr>
          <w:rFonts w:ascii="Calibri" w:hAnsi="Calibri" w:cs="Calibri"/>
        </w:rPr>
        <w:t xml:space="preserve">Kierownik Projektu – osoba administrująca kontraktem, wyznaczona przez zamawiającego, </w:t>
      </w:r>
      <w:r w:rsidRPr="00E026AB">
        <w:rPr>
          <w:rFonts w:ascii="Calibri" w:hAnsi="Calibri" w:cs="Calibri"/>
        </w:rPr>
        <w:t>o której wyznaczeniu poinformo</w:t>
      </w:r>
      <w:r>
        <w:rPr>
          <w:rFonts w:ascii="Calibri" w:hAnsi="Calibri" w:cs="Calibri"/>
        </w:rPr>
        <w:t>wany jest Wykonawca.</w:t>
      </w:r>
    </w:p>
    <w:p w:rsidR="000F437A" w:rsidRPr="00E026AB" w:rsidRDefault="000F437A" w:rsidP="000F437A">
      <w:pPr>
        <w:rPr>
          <w:rFonts w:ascii="Calibri" w:hAnsi="Calibri" w:cs="Calibri"/>
        </w:rPr>
      </w:pPr>
      <w:r w:rsidRPr="00E14891">
        <w:rPr>
          <w:rFonts w:ascii="Calibri" w:hAnsi="Calibri" w:cs="Calibri"/>
          <w:b/>
        </w:rPr>
        <w:t>1.4.9.</w:t>
      </w:r>
      <w:r w:rsidRPr="00E026AB">
        <w:rPr>
          <w:rFonts w:ascii="Calibri" w:hAnsi="Calibri" w:cs="Calibri"/>
        </w:rPr>
        <w:tab/>
        <w:t>Jezdnia - część korony drogi przeznaczona do ruchu pojazdów.</w:t>
      </w:r>
    </w:p>
    <w:p w:rsidR="000F437A" w:rsidRPr="00E026AB" w:rsidRDefault="000F437A" w:rsidP="000F437A">
      <w:pPr>
        <w:rPr>
          <w:rFonts w:ascii="Calibri" w:hAnsi="Calibri" w:cs="Calibri"/>
        </w:rPr>
      </w:pPr>
      <w:r w:rsidRPr="00E14891">
        <w:rPr>
          <w:rFonts w:ascii="Calibri" w:hAnsi="Calibri" w:cs="Calibri"/>
          <w:b/>
        </w:rPr>
        <w:t>1.4.10.</w:t>
      </w:r>
      <w:r w:rsidRPr="00E026AB">
        <w:rPr>
          <w:rFonts w:ascii="Calibri" w:hAnsi="Calibri" w:cs="Calibri"/>
        </w:rPr>
        <w:tab/>
        <w:t>Kierownik budowy - osoba wyznaczona przez Wykonawcę, upoważniona do kierowania robotami i do występowania w jego imieniu w sprawach realizacji kontraktu.</w:t>
      </w:r>
    </w:p>
    <w:p w:rsidR="000F437A" w:rsidRPr="00E026AB" w:rsidRDefault="000F437A" w:rsidP="000F437A">
      <w:pPr>
        <w:rPr>
          <w:rFonts w:ascii="Calibri" w:hAnsi="Calibri" w:cs="Calibri"/>
        </w:rPr>
      </w:pPr>
      <w:r w:rsidRPr="00E14891">
        <w:rPr>
          <w:rFonts w:ascii="Calibri" w:hAnsi="Calibri" w:cs="Calibri"/>
          <w:b/>
        </w:rPr>
        <w:t>1.4.11.</w:t>
      </w:r>
      <w:r w:rsidRPr="00E026AB">
        <w:rPr>
          <w:rFonts w:ascii="Calibri" w:hAnsi="Calibri" w:cs="Calibri"/>
        </w:rPr>
        <w:tab/>
        <w:t>Korona drogi - jezdnia (jezdnie) z poboczami lub chodnikami, zatokami, pasami awaryjnego postoju i pasami dzielącymi jezdnie.</w:t>
      </w:r>
    </w:p>
    <w:p w:rsidR="000F437A" w:rsidRPr="00E026AB" w:rsidRDefault="000F437A" w:rsidP="000F437A">
      <w:pPr>
        <w:rPr>
          <w:rFonts w:ascii="Calibri" w:hAnsi="Calibri" w:cs="Calibri"/>
        </w:rPr>
      </w:pPr>
      <w:r w:rsidRPr="00E14891">
        <w:rPr>
          <w:rFonts w:ascii="Calibri" w:hAnsi="Calibri" w:cs="Calibri"/>
          <w:b/>
        </w:rPr>
        <w:t>1.4.12.</w:t>
      </w:r>
      <w:r w:rsidRPr="00E026AB">
        <w:rPr>
          <w:rFonts w:ascii="Calibri" w:hAnsi="Calibri" w:cs="Calibri"/>
        </w:rPr>
        <w:tab/>
        <w:t>Konstrukcja nawierzchni - układ warstw nawierzchni wraz ze sposobem ich połączenia.</w:t>
      </w:r>
    </w:p>
    <w:p w:rsidR="000F437A" w:rsidRPr="00E026AB" w:rsidRDefault="000F437A" w:rsidP="000F437A">
      <w:pPr>
        <w:rPr>
          <w:rFonts w:ascii="Calibri" w:hAnsi="Calibri" w:cs="Calibri"/>
        </w:rPr>
      </w:pPr>
      <w:r w:rsidRPr="00E14891">
        <w:rPr>
          <w:rFonts w:ascii="Calibri" w:hAnsi="Calibri" w:cs="Calibri"/>
          <w:b/>
        </w:rPr>
        <w:t>1.4.13.</w:t>
      </w:r>
      <w:r w:rsidRPr="00E026AB">
        <w:rPr>
          <w:rFonts w:ascii="Calibri" w:hAnsi="Calibri" w:cs="Calibri"/>
        </w:rPr>
        <w:tab/>
        <w:t>Konstrukcja nośna (przęsło lub przęsła obiektu mostowego) - część obiektu oparta na podporach mostowych, tworząca ustrój niosący dla przeniesienia ruchu pojazdów lub pieszych.</w:t>
      </w:r>
    </w:p>
    <w:p w:rsidR="000F437A" w:rsidRPr="00E026AB" w:rsidRDefault="000F437A" w:rsidP="000F437A">
      <w:pPr>
        <w:rPr>
          <w:rFonts w:ascii="Calibri" w:hAnsi="Calibri" w:cs="Calibri"/>
        </w:rPr>
      </w:pPr>
      <w:r w:rsidRPr="00E14891">
        <w:rPr>
          <w:rFonts w:ascii="Calibri" w:hAnsi="Calibri" w:cs="Calibri"/>
          <w:b/>
        </w:rPr>
        <w:t>1.4.14.</w:t>
      </w:r>
      <w:r w:rsidRPr="00E026AB">
        <w:rPr>
          <w:rFonts w:ascii="Calibri" w:hAnsi="Calibri" w:cs="Calibri"/>
        </w:rPr>
        <w:tab/>
        <w:t>Korpus drogowy - nasyp lub ta część wykopu, która jest ograniczona koroną drogi i skarpami rowów.</w:t>
      </w:r>
    </w:p>
    <w:p w:rsidR="000F437A" w:rsidRPr="00E026AB" w:rsidRDefault="000F437A" w:rsidP="000F437A">
      <w:pPr>
        <w:rPr>
          <w:rFonts w:ascii="Calibri" w:hAnsi="Calibri" w:cs="Calibri"/>
        </w:rPr>
      </w:pPr>
      <w:r w:rsidRPr="00E14891">
        <w:rPr>
          <w:rFonts w:ascii="Calibri" w:hAnsi="Calibri" w:cs="Calibri"/>
          <w:b/>
        </w:rPr>
        <w:t>1.4.15.</w:t>
      </w:r>
      <w:r w:rsidRPr="00E026AB">
        <w:rPr>
          <w:rFonts w:ascii="Calibri" w:hAnsi="Calibri" w:cs="Calibri"/>
        </w:rPr>
        <w:tab/>
        <w:t>Koryto - element uformowany w korpusie drogowym w celu ułożenia w nim konstrukcji nawierzchni.</w:t>
      </w:r>
    </w:p>
    <w:p w:rsidR="000F437A" w:rsidRPr="00E026AB" w:rsidRDefault="000F437A" w:rsidP="000F437A">
      <w:pPr>
        <w:rPr>
          <w:rFonts w:ascii="Calibri" w:hAnsi="Calibri" w:cs="Calibri"/>
        </w:rPr>
      </w:pPr>
      <w:r w:rsidRPr="00E14891">
        <w:rPr>
          <w:rFonts w:ascii="Calibri" w:hAnsi="Calibri" w:cs="Calibri"/>
          <w:b/>
        </w:rPr>
        <w:t>1.4.16.</w:t>
      </w:r>
      <w:r w:rsidRPr="00E14891">
        <w:rPr>
          <w:rFonts w:ascii="Calibri" w:hAnsi="Calibri" w:cs="Calibri"/>
          <w:b/>
        </w:rPr>
        <w:tab/>
      </w:r>
      <w:r w:rsidRPr="00E026AB">
        <w:rPr>
          <w:rFonts w:ascii="Calibri" w:hAnsi="Calibri" w:cs="Calibri"/>
        </w:rPr>
        <w:t>Książka obmiarów - akceptowany przez Inżyniera/Kierownika projektu zeszyt z ponumerowanymi stronami, służący do wpisywania przez Wykonawcę obmiaru dokonywanych robót w formie wyliczeń, szkiców i ew. dodatkowych załączników. Wpisy w książce obmiarów podlegają potwierdzeniu przez Inżyniera/Kierownika projektu.</w:t>
      </w:r>
    </w:p>
    <w:p w:rsidR="000F437A" w:rsidRPr="00E026AB" w:rsidRDefault="000F437A" w:rsidP="000F437A">
      <w:pPr>
        <w:rPr>
          <w:rFonts w:ascii="Calibri" w:hAnsi="Calibri" w:cs="Calibri"/>
        </w:rPr>
      </w:pPr>
      <w:r w:rsidRPr="00E14891">
        <w:rPr>
          <w:rFonts w:ascii="Calibri" w:hAnsi="Calibri" w:cs="Calibri"/>
          <w:b/>
        </w:rPr>
        <w:lastRenderedPageBreak/>
        <w:t>1.4.17.</w:t>
      </w:r>
      <w:r w:rsidRPr="00E14891">
        <w:rPr>
          <w:rFonts w:ascii="Calibri" w:hAnsi="Calibri" w:cs="Calibri"/>
          <w:b/>
        </w:rPr>
        <w:tab/>
      </w:r>
      <w:r w:rsidRPr="00E026AB">
        <w:rPr>
          <w:rFonts w:ascii="Calibri" w:hAnsi="Calibri" w:cs="Calibri"/>
        </w:rPr>
        <w:t>Laboratorium - drogowe lub inne laboratorium badawcze, zaakceptowane przez Zamawiającego, niezbędne do przeprowadzenia wszelkich badań i prób związanych z oceną jakości materiałów oraz robót.</w:t>
      </w:r>
    </w:p>
    <w:p w:rsidR="000F437A" w:rsidRPr="00E026AB" w:rsidRDefault="000F437A" w:rsidP="000F437A">
      <w:pPr>
        <w:rPr>
          <w:rFonts w:ascii="Calibri" w:hAnsi="Calibri" w:cs="Calibri"/>
        </w:rPr>
      </w:pPr>
      <w:r w:rsidRPr="00E14891">
        <w:rPr>
          <w:rFonts w:ascii="Calibri" w:hAnsi="Calibri" w:cs="Calibri"/>
          <w:b/>
        </w:rPr>
        <w:t>1.4.18.</w:t>
      </w:r>
      <w:r w:rsidRPr="00E026AB">
        <w:rPr>
          <w:rFonts w:ascii="Calibri" w:hAnsi="Calibri" w:cs="Calibri"/>
        </w:rPr>
        <w:tab/>
        <w:t>Materiały - wszelkie tworzywa niezbędne do wykonania robót, zgodne z dokumentacją projektową i specyfikacjami technicznymi, zaakceptowane przez Inżyniera/ Kierownika projektu.</w:t>
      </w:r>
    </w:p>
    <w:p w:rsidR="000F437A" w:rsidRPr="00E026AB" w:rsidRDefault="000F437A" w:rsidP="000F437A">
      <w:pPr>
        <w:rPr>
          <w:rFonts w:ascii="Calibri" w:hAnsi="Calibri" w:cs="Calibri"/>
        </w:rPr>
      </w:pPr>
      <w:r w:rsidRPr="00E14891">
        <w:rPr>
          <w:rFonts w:ascii="Calibri" w:hAnsi="Calibri" w:cs="Calibri"/>
          <w:b/>
        </w:rPr>
        <w:t>1.4.19.</w:t>
      </w:r>
      <w:r w:rsidRPr="00E026AB">
        <w:rPr>
          <w:rFonts w:ascii="Calibri" w:hAnsi="Calibri" w:cs="Calibri"/>
        </w:rPr>
        <w:tab/>
        <w:t>Most - obiekt zbudowany nad przeszkodą wodną dla zapewnienia komunikacji drogowej i ruchu pieszego.</w:t>
      </w:r>
    </w:p>
    <w:p w:rsidR="000F437A" w:rsidRPr="00E026AB" w:rsidRDefault="000F437A" w:rsidP="000F437A">
      <w:pPr>
        <w:rPr>
          <w:rFonts w:ascii="Calibri" w:hAnsi="Calibri" w:cs="Calibri"/>
        </w:rPr>
      </w:pPr>
      <w:r w:rsidRPr="00E14891">
        <w:rPr>
          <w:rFonts w:ascii="Calibri" w:hAnsi="Calibri" w:cs="Calibri"/>
          <w:b/>
        </w:rPr>
        <w:t>1.4.20.</w:t>
      </w:r>
      <w:r w:rsidRPr="00E026AB">
        <w:rPr>
          <w:rFonts w:ascii="Calibri" w:hAnsi="Calibri" w:cs="Calibri"/>
        </w:rPr>
        <w:t>Nawierzchnia - warstwa lub zespół warstw służących do przejmowania i rozkładania obciążeń od ruchu na podłoże gruntowe i zapewniających dogodne warunki dla ruchu.</w:t>
      </w:r>
    </w:p>
    <w:p w:rsidR="000F437A" w:rsidRPr="00E026AB" w:rsidRDefault="000F437A" w:rsidP="000F437A">
      <w:pPr>
        <w:rPr>
          <w:rFonts w:ascii="Calibri" w:hAnsi="Calibri" w:cs="Calibri"/>
        </w:rPr>
      </w:pPr>
      <w:r w:rsidRPr="00E026AB">
        <w:rPr>
          <w:rFonts w:ascii="Calibri" w:hAnsi="Calibri" w:cs="Calibri"/>
        </w:rPr>
        <w:t>Warstwa ścieralna - górna warstwa nawierzchni poddana bezpośrednio oddziaływaniu ruchu i czynników atmosferycznych.</w:t>
      </w:r>
    </w:p>
    <w:p w:rsidR="000F437A" w:rsidRPr="00E026AB" w:rsidRDefault="000F437A" w:rsidP="000F437A">
      <w:pPr>
        <w:rPr>
          <w:rFonts w:ascii="Calibri" w:hAnsi="Calibri" w:cs="Calibri"/>
        </w:rPr>
      </w:pPr>
      <w:r w:rsidRPr="00E026AB">
        <w:rPr>
          <w:rFonts w:ascii="Calibri" w:hAnsi="Calibri" w:cs="Calibri"/>
        </w:rPr>
        <w:t>Warstwa wiążąca - warstwa znajdująca się między warstwą ścieralną a podbudową, zapewniająca lepsze rozłożenie naprężeń w nawierzchni i przekazywanie ich na podbudowę.</w:t>
      </w:r>
    </w:p>
    <w:p w:rsidR="000F437A" w:rsidRPr="00E026AB" w:rsidRDefault="000F437A" w:rsidP="000F437A">
      <w:pPr>
        <w:rPr>
          <w:rFonts w:ascii="Calibri" w:hAnsi="Calibri" w:cs="Calibri"/>
        </w:rPr>
      </w:pPr>
      <w:r w:rsidRPr="00E026AB">
        <w:rPr>
          <w:rFonts w:ascii="Calibri" w:hAnsi="Calibri" w:cs="Calibri"/>
        </w:rPr>
        <w:t>Warstwa wyrównawcza - warstwa służąca do wyrównania nierówności podbudowy lub profilu istniejącej nawierzchni.</w:t>
      </w:r>
    </w:p>
    <w:p w:rsidR="000F437A" w:rsidRPr="00E026AB" w:rsidRDefault="000F437A" w:rsidP="000F437A">
      <w:pPr>
        <w:rPr>
          <w:rFonts w:ascii="Calibri" w:hAnsi="Calibri" w:cs="Calibri"/>
        </w:rPr>
      </w:pPr>
      <w:r w:rsidRPr="00E026AB">
        <w:rPr>
          <w:rFonts w:ascii="Calibri" w:hAnsi="Calibri" w:cs="Calibri"/>
        </w:rPr>
        <w:t>Podbudowa - dolna część nawierzchni służąca do przenoszenia obciążeń od ruchu na podłoże. Podbudowa może składać się z podbudowy zasadniczej i podbudowy pomocniczej.</w:t>
      </w:r>
    </w:p>
    <w:p w:rsidR="000F437A" w:rsidRPr="00E026AB" w:rsidRDefault="000F437A" w:rsidP="000F437A">
      <w:pPr>
        <w:rPr>
          <w:rFonts w:ascii="Calibri" w:hAnsi="Calibri" w:cs="Calibri"/>
        </w:rPr>
      </w:pPr>
      <w:r w:rsidRPr="00E026AB">
        <w:rPr>
          <w:rFonts w:ascii="Calibri" w:hAnsi="Calibri" w:cs="Calibri"/>
        </w:rPr>
        <w:t>Podbudowa zasadnicza - górna część podbudowy spełniająca funkcje nośne w konstrukcji nawierzchni. Może ona składać się z jednej lub dwóch warstw.</w:t>
      </w:r>
    </w:p>
    <w:p w:rsidR="000F437A" w:rsidRPr="00E026AB" w:rsidRDefault="000F437A" w:rsidP="000F437A">
      <w:pPr>
        <w:rPr>
          <w:rFonts w:ascii="Calibri" w:hAnsi="Calibri" w:cs="Calibri"/>
        </w:rPr>
      </w:pPr>
      <w:r w:rsidRPr="00E026AB">
        <w:rPr>
          <w:rFonts w:ascii="Calibri" w:hAnsi="Calibri" w:cs="Calibri"/>
        </w:rPr>
        <w:t>Podbudowa pomocnicza - dolna część podbudowy spełniająca, obok funkcji nośnych, funkcje zabezpieczenia nawierzchni przed działaniem wody, mrozu i przenikaniem cząstek podłoża. Może zawierać warstwę mrozoochronną, odsączającą lub odcinającą.</w:t>
      </w:r>
    </w:p>
    <w:p w:rsidR="000F437A" w:rsidRPr="00E026AB" w:rsidRDefault="000F437A" w:rsidP="000F437A">
      <w:pPr>
        <w:rPr>
          <w:rFonts w:ascii="Calibri" w:hAnsi="Calibri" w:cs="Calibri"/>
        </w:rPr>
      </w:pPr>
      <w:r w:rsidRPr="00E026AB">
        <w:rPr>
          <w:rFonts w:ascii="Calibri" w:hAnsi="Calibri" w:cs="Calibri"/>
        </w:rPr>
        <w:t>Warstwa mrozoochronna - warstwa, której głównym zadaniem jest ochrona nawierzchni przed skutkami działania mrozu.</w:t>
      </w:r>
    </w:p>
    <w:p w:rsidR="000F437A" w:rsidRPr="00E026AB" w:rsidRDefault="000F437A" w:rsidP="000F437A">
      <w:pPr>
        <w:rPr>
          <w:rFonts w:ascii="Calibri" w:hAnsi="Calibri" w:cs="Calibri"/>
        </w:rPr>
      </w:pPr>
      <w:r w:rsidRPr="00E026AB">
        <w:rPr>
          <w:rFonts w:ascii="Calibri" w:hAnsi="Calibri" w:cs="Calibri"/>
        </w:rPr>
        <w:t>Warstwa odcinająca - warstwa stosowana w celu uniemożliwienia przenikania cząstek drobnych gruntu do warstwy nawierzchni leżącej powyżej.</w:t>
      </w:r>
    </w:p>
    <w:p w:rsidR="000F437A" w:rsidRPr="00E026AB" w:rsidRDefault="000F437A" w:rsidP="000F437A">
      <w:pPr>
        <w:rPr>
          <w:rFonts w:ascii="Calibri" w:hAnsi="Calibri" w:cs="Calibri"/>
        </w:rPr>
      </w:pPr>
      <w:r w:rsidRPr="00E026AB">
        <w:rPr>
          <w:rFonts w:ascii="Calibri" w:hAnsi="Calibri" w:cs="Calibri"/>
        </w:rPr>
        <w:t>Warstwa odsączająca - warstwa służąca do odprowadzenia wody przedostającej się do nawierzchni.</w:t>
      </w:r>
    </w:p>
    <w:p w:rsidR="000F437A" w:rsidRPr="00E026AB" w:rsidRDefault="000F437A" w:rsidP="000F437A">
      <w:pPr>
        <w:rPr>
          <w:rFonts w:ascii="Calibri" w:hAnsi="Calibri" w:cs="Calibri"/>
        </w:rPr>
      </w:pPr>
      <w:r w:rsidRPr="00E14891">
        <w:rPr>
          <w:rFonts w:ascii="Calibri" w:hAnsi="Calibri" w:cs="Calibri"/>
          <w:b/>
        </w:rPr>
        <w:t>1.4.21.</w:t>
      </w:r>
      <w:r w:rsidRPr="00E026AB">
        <w:rPr>
          <w:rFonts w:ascii="Calibri" w:hAnsi="Calibri" w:cs="Calibri"/>
        </w:rPr>
        <w:tab/>
        <w:t>Niweleta - wysokościowe i geometryczne rozwinięcie na płaszczyźnie pionowego przekroju w osi drogi lub obiektu mostowego.</w:t>
      </w:r>
    </w:p>
    <w:p w:rsidR="000F437A" w:rsidRPr="00E026AB" w:rsidRDefault="000F437A" w:rsidP="000F437A">
      <w:pPr>
        <w:rPr>
          <w:rFonts w:ascii="Calibri" w:hAnsi="Calibri" w:cs="Calibri"/>
        </w:rPr>
      </w:pPr>
      <w:r w:rsidRPr="00E14891">
        <w:rPr>
          <w:rFonts w:ascii="Calibri" w:hAnsi="Calibri" w:cs="Calibri"/>
          <w:b/>
        </w:rPr>
        <w:t>1.4.22.</w:t>
      </w:r>
      <w:r w:rsidRPr="00E026AB">
        <w:rPr>
          <w:rFonts w:ascii="Calibri" w:hAnsi="Calibri" w:cs="Calibri"/>
        </w:rPr>
        <w:tab/>
        <w:t>Obiekt mostowy - most, wiadukt, estakada, tunel, kładka dla pieszych i przepust.</w:t>
      </w:r>
    </w:p>
    <w:p w:rsidR="000F437A" w:rsidRPr="00E026AB" w:rsidRDefault="000F437A" w:rsidP="000F437A">
      <w:pPr>
        <w:rPr>
          <w:rFonts w:ascii="Calibri" w:hAnsi="Calibri" w:cs="Calibri"/>
        </w:rPr>
      </w:pPr>
      <w:r w:rsidRPr="00E14891">
        <w:rPr>
          <w:rFonts w:ascii="Calibri" w:hAnsi="Calibri" w:cs="Calibri"/>
          <w:b/>
        </w:rPr>
        <w:t>1.4.23.</w:t>
      </w:r>
      <w:r w:rsidRPr="00E026AB">
        <w:rPr>
          <w:rFonts w:ascii="Calibri" w:hAnsi="Calibri" w:cs="Calibri"/>
        </w:rPr>
        <w:tab/>
        <w:t>Objazd tymczasowy - droga specjalnie przygotowana i odpowiednio utrzymana do przeprowadzenia ruchu publicznego na okres budowy.</w:t>
      </w:r>
    </w:p>
    <w:p w:rsidR="000F437A" w:rsidRPr="00E026AB" w:rsidRDefault="000F437A" w:rsidP="000F437A">
      <w:pPr>
        <w:rPr>
          <w:rFonts w:ascii="Calibri" w:hAnsi="Calibri" w:cs="Calibri"/>
        </w:rPr>
      </w:pPr>
      <w:r w:rsidRPr="00E14891">
        <w:rPr>
          <w:rFonts w:ascii="Calibri" w:hAnsi="Calibri" w:cs="Calibri"/>
          <w:b/>
        </w:rPr>
        <w:t>1.4.24.</w:t>
      </w:r>
      <w:r w:rsidRPr="00E026AB">
        <w:rPr>
          <w:rFonts w:ascii="Calibri" w:hAnsi="Calibri" w:cs="Calibri"/>
        </w:rPr>
        <w:tab/>
        <w:t>Odpowiednia (bliska) zgodność - zgodność wykonywanych robót z dopuszczonymi tolerancjami, a jeśli przedział tolerancji nie został określony - z przeciętnymi tolerancjami, przyjmowanymi zwyczajowo dla danego rodzaju robót budowlanych.</w:t>
      </w:r>
    </w:p>
    <w:p w:rsidR="000F437A" w:rsidRPr="00E026AB" w:rsidRDefault="000F437A" w:rsidP="000F437A">
      <w:pPr>
        <w:rPr>
          <w:rFonts w:ascii="Calibri" w:hAnsi="Calibri" w:cs="Calibri"/>
        </w:rPr>
      </w:pPr>
      <w:r w:rsidRPr="00E14891">
        <w:rPr>
          <w:rFonts w:ascii="Calibri" w:hAnsi="Calibri" w:cs="Calibri"/>
          <w:b/>
        </w:rPr>
        <w:t>1.4.25.</w:t>
      </w:r>
      <w:r w:rsidRPr="00E026AB">
        <w:rPr>
          <w:rFonts w:ascii="Calibri" w:hAnsi="Calibri" w:cs="Calibri"/>
        </w:rPr>
        <w:tab/>
        <w:t>Pas drogowy - wydzielony liniami granicznymi pas terenu przeznaczony do umieszczania w nim drogi i związanych z nią urządzeń oraz drzew i krzewów. Pas drogowy może również obejmować teren przewidziany do rozbudowy drogi i budowy urządzeń chroniących ludzi i środowisko przed uciążliwościami powodowanymi przez ruch na drodze.</w:t>
      </w:r>
    </w:p>
    <w:p w:rsidR="000F437A" w:rsidRPr="00E026AB" w:rsidRDefault="000F437A" w:rsidP="000F437A">
      <w:pPr>
        <w:rPr>
          <w:rFonts w:ascii="Calibri" w:hAnsi="Calibri" w:cs="Calibri"/>
        </w:rPr>
      </w:pPr>
      <w:r w:rsidRPr="00E14891">
        <w:rPr>
          <w:rFonts w:ascii="Calibri" w:hAnsi="Calibri" w:cs="Calibri"/>
          <w:b/>
        </w:rPr>
        <w:t>1.4.26.</w:t>
      </w:r>
      <w:r w:rsidRPr="00E026AB">
        <w:rPr>
          <w:rFonts w:ascii="Calibri" w:hAnsi="Calibri" w:cs="Calibri"/>
        </w:rPr>
        <w:tab/>
        <w:t>Pobocze - część korony drogi przeznaczona do chwilowego postoju pojazdów, umieszczenia urządzeń organizacji i bezpieczeństwa ruchu oraz do ruchu pieszych, służąca jednocześnie do bocznego oparcia konstrukcji nawierzchni.</w:t>
      </w:r>
    </w:p>
    <w:p w:rsidR="000F437A" w:rsidRPr="00E026AB" w:rsidRDefault="000F437A" w:rsidP="000F437A">
      <w:pPr>
        <w:rPr>
          <w:rFonts w:ascii="Calibri" w:hAnsi="Calibri" w:cs="Calibri"/>
        </w:rPr>
      </w:pPr>
      <w:r w:rsidRPr="00E14891">
        <w:rPr>
          <w:rFonts w:ascii="Calibri" w:hAnsi="Calibri" w:cs="Calibri"/>
          <w:b/>
        </w:rPr>
        <w:t>1.4.27.</w:t>
      </w:r>
      <w:r w:rsidRPr="00E026AB">
        <w:rPr>
          <w:rFonts w:ascii="Calibri" w:hAnsi="Calibri" w:cs="Calibri"/>
        </w:rPr>
        <w:tab/>
        <w:t>Podłoże nawierzchni - grunt rodzimy lub nasypowy, leżący pod nawierzchnią do głębokości przemarzania.</w:t>
      </w:r>
    </w:p>
    <w:p w:rsidR="000F437A" w:rsidRPr="00E026AB" w:rsidRDefault="000F437A" w:rsidP="000F437A">
      <w:pPr>
        <w:rPr>
          <w:rFonts w:ascii="Calibri" w:hAnsi="Calibri" w:cs="Calibri"/>
        </w:rPr>
      </w:pPr>
      <w:r w:rsidRPr="00E14891">
        <w:rPr>
          <w:rFonts w:ascii="Calibri" w:hAnsi="Calibri" w:cs="Calibri"/>
          <w:b/>
        </w:rPr>
        <w:t>1.4.28.</w:t>
      </w:r>
      <w:r w:rsidRPr="00E026AB">
        <w:rPr>
          <w:rFonts w:ascii="Calibri" w:hAnsi="Calibri" w:cs="Calibri"/>
        </w:rPr>
        <w:tab/>
        <w:t>Podłoże ulepszone nawierzchni - górna warstwa podłoża, leżąca bezpośrednio pod nawierzchnią, ulepszona w celu umożliwienia przejęcia ruchu budowlanego i właściwego wykonania nawierzchni.</w:t>
      </w:r>
    </w:p>
    <w:p w:rsidR="000F437A" w:rsidRPr="00E026AB" w:rsidRDefault="000F437A" w:rsidP="000F437A">
      <w:pPr>
        <w:rPr>
          <w:rFonts w:ascii="Calibri" w:hAnsi="Calibri" w:cs="Calibri"/>
        </w:rPr>
      </w:pPr>
      <w:r w:rsidRPr="00E14891">
        <w:rPr>
          <w:rFonts w:ascii="Calibri" w:hAnsi="Calibri" w:cs="Calibri"/>
          <w:b/>
        </w:rPr>
        <w:t>1.4.29.</w:t>
      </w:r>
      <w:r w:rsidRPr="00E026AB">
        <w:rPr>
          <w:rFonts w:ascii="Calibri" w:hAnsi="Calibri" w:cs="Calibri"/>
        </w:rPr>
        <w:tab/>
        <w:t>Polecenie Inżyniera/Kierownika projektu - wszelkie polecenia przekazane Wykonawcy przez Inżyniera/Kierownika projektu, w formie pisemnej, dotyczące sposobu realizacji robót lub innych spraw związanych z prowadzeniem budowy.</w:t>
      </w:r>
    </w:p>
    <w:p w:rsidR="000F437A" w:rsidRPr="00E026AB" w:rsidRDefault="000F437A" w:rsidP="000F437A">
      <w:pPr>
        <w:rPr>
          <w:rFonts w:ascii="Calibri" w:hAnsi="Calibri" w:cs="Calibri"/>
        </w:rPr>
      </w:pPr>
      <w:r w:rsidRPr="00E14891">
        <w:rPr>
          <w:rFonts w:ascii="Calibri" w:hAnsi="Calibri" w:cs="Calibri"/>
          <w:b/>
        </w:rPr>
        <w:t>1.4.30.</w:t>
      </w:r>
      <w:r w:rsidRPr="00E026AB">
        <w:rPr>
          <w:rFonts w:ascii="Calibri" w:hAnsi="Calibri" w:cs="Calibri"/>
        </w:rPr>
        <w:tab/>
        <w:t>Projektant - uprawniona osoba prawna lub fizyczna będąca autorem dokumentacji projektowej.</w:t>
      </w:r>
    </w:p>
    <w:p w:rsidR="000F437A" w:rsidRPr="00E026AB" w:rsidRDefault="000F437A" w:rsidP="000F437A">
      <w:pPr>
        <w:rPr>
          <w:rFonts w:ascii="Calibri" w:hAnsi="Calibri" w:cs="Calibri"/>
        </w:rPr>
      </w:pPr>
      <w:r w:rsidRPr="00E026AB">
        <w:rPr>
          <w:rFonts w:ascii="Calibri" w:hAnsi="Calibri" w:cs="Calibri"/>
        </w:rPr>
        <w:t>1.4.31.</w:t>
      </w:r>
      <w:r w:rsidRPr="00E026AB">
        <w:rPr>
          <w:rFonts w:ascii="Calibri" w:hAnsi="Calibri" w:cs="Calibri"/>
        </w:rPr>
        <w:tab/>
        <w:t>Przedsięwzięcie budowlane - kompleksowa realizacja nowego połączenia drogowego lub całkowita modernizacja/przebudowa (zmiana parametrów geometrycznych trasy w planie i przekroju podłużnym) istniejącego połączenia.</w:t>
      </w:r>
    </w:p>
    <w:p w:rsidR="000F437A" w:rsidRPr="00E026AB" w:rsidRDefault="000F437A" w:rsidP="000F437A">
      <w:pPr>
        <w:rPr>
          <w:rFonts w:ascii="Calibri" w:hAnsi="Calibri" w:cs="Calibri"/>
        </w:rPr>
      </w:pPr>
      <w:r w:rsidRPr="00E14891">
        <w:rPr>
          <w:rFonts w:ascii="Calibri" w:hAnsi="Calibri" w:cs="Calibri"/>
          <w:b/>
        </w:rPr>
        <w:t>1.4.32.</w:t>
      </w:r>
      <w:r w:rsidRPr="00E026AB">
        <w:rPr>
          <w:rFonts w:ascii="Calibri" w:hAnsi="Calibri" w:cs="Calibri"/>
        </w:rPr>
        <w:tab/>
        <w:t>Przepust – budowla o przekroju poprzecznym zamkniętym, przeznaczona do przeprowadzenia cieku, szlaku wędrówek zwierząt dziko żyjących lub urządzeń technicznych przez korpus drogowy.</w:t>
      </w:r>
    </w:p>
    <w:p w:rsidR="000F437A" w:rsidRPr="00E026AB" w:rsidRDefault="000F437A" w:rsidP="000F437A">
      <w:pPr>
        <w:rPr>
          <w:rFonts w:ascii="Calibri" w:hAnsi="Calibri" w:cs="Calibri"/>
        </w:rPr>
      </w:pPr>
      <w:r w:rsidRPr="00E14891">
        <w:rPr>
          <w:rFonts w:ascii="Calibri" w:hAnsi="Calibri" w:cs="Calibri"/>
          <w:b/>
        </w:rPr>
        <w:t>1.4.33.</w:t>
      </w:r>
      <w:r w:rsidRPr="00E026AB">
        <w:rPr>
          <w:rFonts w:ascii="Calibri" w:hAnsi="Calibri" w:cs="Calibri"/>
        </w:rPr>
        <w:tab/>
        <w:t>Przeszkoda naturalna - element środowiska naturalnego, stanowiący utrudnienie w realizacji zadania budowlanego, na przykład dolina, bagno, rzeka, szlak wędrówek dzikich zwierząt itp.</w:t>
      </w:r>
    </w:p>
    <w:p w:rsidR="000F437A" w:rsidRPr="00E026AB" w:rsidRDefault="000F437A" w:rsidP="000F437A">
      <w:pPr>
        <w:rPr>
          <w:rFonts w:ascii="Calibri" w:hAnsi="Calibri" w:cs="Calibri"/>
        </w:rPr>
      </w:pPr>
      <w:r w:rsidRPr="00E14891">
        <w:rPr>
          <w:rFonts w:ascii="Calibri" w:hAnsi="Calibri" w:cs="Calibri"/>
          <w:b/>
        </w:rPr>
        <w:t>1.4.34.</w:t>
      </w:r>
      <w:r w:rsidRPr="00E026AB">
        <w:rPr>
          <w:rFonts w:ascii="Calibri" w:hAnsi="Calibri" w:cs="Calibri"/>
        </w:rPr>
        <w:tab/>
        <w:t>Przeszkoda sztuczna - dzieło ludzkie, stanowiące utrudnienie w realizacji zadania budowlanego, na przykład droga, kolej, rurociąg, kanał, ciąg pieszy lub rowerowy itp.</w:t>
      </w:r>
    </w:p>
    <w:p w:rsidR="000F437A" w:rsidRPr="00E026AB" w:rsidRDefault="000F437A" w:rsidP="000F437A">
      <w:pPr>
        <w:rPr>
          <w:rFonts w:ascii="Calibri" w:hAnsi="Calibri" w:cs="Calibri"/>
        </w:rPr>
      </w:pPr>
      <w:r w:rsidRPr="00E14891">
        <w:rPr>
          <w:rFonts w:ascii="Calibri" w:hAnsi="Calibri" w:cs="Calibri"/>
          <w:b/>
        </w:rPr>
        <w:lastRenderedPageBreak/>
        <w:t>1.4.35.</w:t>
      </w:r>
      <w:r w:rsidRPr="00E026AB">
        <w:rPr>
          <w:rFonts w:ascii="Calibri" w:hAnsi="Calibri" w:cs="Calibri"/>
        </w:rPr>
        <w:tab/>
        <w:t>Przetargowa dokumentacja projektowa - część dokumentacji projektowej, która wskazuje lokalizację, charakterystykę i wymiary obiektu będącego przedmiotem robót.</w:t>
      </w:r>
    </w:p>
    <w:p w:rsidR="000F437A" w:rsidRPr="00E026AB" w:rsidRDefault="000F437A" w:rsidP="000F437A">
      <w:pPr>
        <w:rPr>
          <w:rFonts w:ascii="Calibri" w:hAnsi="Calibri" w:cs="Calibri"/>
        </w:rPr>
      </w:pPr>
      <w:r w:rsidRPr="00E14891">
        <w:rPr>
          <w:rFonts w:ascii="Calibri" w:hAnsi="Calibri" w:cs="Calibri"/>
          <w:b/>
        </w:rPr>
        <w:t>1.4.36.</w:t>
      </w:r>
      <w:r w:rsidRPr="00E026AB">
        <w:rPr>
          <w:rFonts w:ascii="Calibri" w:hAnsi="Calibri" w:cs="Calibri"/>
        </w:rPr>
        <w:tab/>
        <w:t>Przyczółek - skrajna podpora obiektu mostowego. Może składać się z pełnej ściany, słupów lub innych form konstrukcyjnych, np. skrzyń, komór.</w:t>
      </w:r>
    </w:p>
    <w:p w:rsidR="000F437A" w:rsidRPr="00E026AB" w:rsidRDefault="000F437A" w:rsidP="000F437A">
      <w:pPr>
        <w:rPr>
          <w:rFonts w:ascii="Calibri" w:hAnsi="Calibri" w:cs="Calibri"/>
        </w:rPr>
      </w:pPr>
      <w:r w:rsidRPr="00E14891">
        <w:rPr>
          <w:rFonts w:ascii="Calibri" w:hAnsi="Calibri" w:cs="Calibri"/>
          <w:b/>
        </w:rPr>
        <w:t>1.4.37.</w:t>
      </w:r>
      <w:r w:rsidRPr="00E026AB">
        <w:rPr>
          <w:rFonts w:ascii="Calibri" w:hAnsi="Calibri" w:cs="Calibri"/>
        </w:rPr>
        <w:tab/>
        <w:t>Rekultywacja - roboty mające na celu uporządkowanie i przywrócenie pierwotnych funkcji terenom naruszonym w czasie realizacji zadania budowlanego.</w:t>
      </w:r>
    </w:p>
    <w:p w:rsidR="000F437A" w:rsidRPr="00E026AB" w:rsidRDefault="000F437A" w:rsidP="000F437A">
      <w:pPr>
        <w:rPr>
          <w:rFonts w:ascii="Calibri" w:hAnsi="Calibri" w:cs="Calibri"/>
        </w:rPr>
      </w:pPr>
      <w:r w:rsidRPr="00E14891">
        <w:rPr>
          <w:rFonts w:ascii="Calibri" w:hAnsi="Calibri" w:cs="Calibri"/>
          <w:b/>
        </w:rPr>
        <w:t>1.4.38.</w:t>
      </w:r>
      <w:r w:rsidRPr="00E026AB">
        <w:rPr>
          <w:rFonts w:ascii="Calibri" w:hAnsi="Calibri" w:cs="Calibri"/>
        </w:rPr>
        <w:tab/>
        <w:t>Rozpiętość teoretyczna - odległość między punktami podparcia (łożyskami), przęsła mostowego.</w:t>
      </w:r>
    </w:p>
    <w:p w:rsidR="000F437A" w:rsidRPr="00E026AB" w:rsidRDefault="000F437A" w:rsidP="000F437A">
      <w:pPr>
        <w:rPr>
          <w:rFonts w:ascii="Calibri" w:hAnsi="Calibri" w:cs="Calibri"/>
        </w:rPr>
      </w:pPr>
      <w:r w:rsidRPr="00E14891">
        <w:rPr>
          <w:rFonts w:ascii="Calibri" w:hAnsi="Calibri" w:cs="Calibri"/>
          <w:b/>
        </w:rPr>
        <w:t>1.4.39.</w:t>
      </w:r>
      <w:r w:rsidRPr="00E14891">
        <w:rPr>
          <w:rFonts w:ascii="Calibri" w:hAnsi="Calibri" w:cs="Calibri"/>
          <w:b/>
        </w:rPr>
        <w:tab/>
      </w:r>
      <w:r w:rsidRPr="00E026AB">
        <w:rPr>
          <w:rFonts w:ascii="Calibri" w:hAnsi="Calibri" w:cs="Calibri"/>
        </w:rPr>
        <w:t>Szerokość całkowita obiektu (mostu / wiaduktu) - odległość między zewnętrznymi krawędziami konstrukcji obiektu, mierzona w linii prostopadłej do osi podłużnej, obejmuje całkowitą szerokość konstrukcyjną ustroju niosącego.</w:t>
      </w:r>
    </w:p>
    <w:p w:rsidR="000F437A" w:rsidRPr="00E026AB" w:rsidRDefault="000F437A" w:rsidP="000F437A">
      <w:pPr>
        <w:rPr>
          <w:rFonts w:ascii="Calibri" w:hAnsi="Calibri" w:cs="Calibri"/>
        </w:rPr>
      </w:pPr>
      <w:r w:rsidRPr="00E14891">
        <w:rPr>
          <w:rFonts w:ascii="Calibri" w:hAnsi="Calibri" w:cs="Calibri"/>
          <w:b/>
        </w:rPr>
        <w:t>1.4.40.</w:t>
      </w:r>
      <w:r w:rsidRPr="00E026AB">
        <w:rPr>
          <w:rFonts w:ascii="Calibri" w:hAnsi="Calibri" w:cs="Calibri"/>
        </w:rPr>
        <w:tab/>
        <w:t>Szerokość użytkowa obiektu - szerokość jezdni (nawierzchni) przeznaczona dla poszczególnych rodzajów ruchu oraz szerokość chodników mierzona w świetle poręczy mostowych z wyłączeniem konstrukcji przy jezdni dołem oddzielającej ruch kołowy od ruchu pieszego.</w:t>
      </w:r>
    </w:p>
    <w:p w:rsidR="000F437A" w:rsidRPr="00E026AB" w:rsidRDefault="000F437A" w:rsidP="000F437A">
      <w:pPr>
        <w:rPr>
          <w:rFonts w:ascii="Calibri" w:hAnsi="Calibri" w:cs="Calibri"/>
        </w:rPr>
      </w:pPr>
      <w:r w:rsidRPr="00E14891">
        <w:rPr>
          <w:rFonts w:ascii="Calibri" w:hAnsi="Calibri" w:cs="Calibri"/>
          <w:b/>
        </w:rPr>
        <w:t>1.4.41.</w:t>
      </w:r>
      <w:r w:rsidRPr="00E026AB">
        <w:rPr>
          <w:rFonts w:ascii="Calibri" w:hAnsi="Calibri" w:cs="Calibri"/>
        </w:rPr>
        <w:tab/>
        <w:t>Ślepy kosztorys - wykaz robót z podaniem ich ilości (przedmiarem) w kolejności technologicznej ich wykonania.</w:t>
      </w:r>
    </w:p>
    <w:p w:rsidR="000F437A" w:rsidRPr="00E026AB" w:rsidRDefault="000F437A" w:rsidP="000F437A">
      <w:pPr>
        <w:rPr>
          <w:rFonts w:ascii="Calibri" w:hAnsi="Calibri" w:cs="Calibri"/>
        </w:rPr>
      </w:pPr>
      <w:r w:rsidRPr="00E14891">
        <w:rPr>
          <w:rFonts w:ascii="Calibri" w:hAnsi="Calibri" w:cs="Calibri"/>
          <w:b/>
        </w:rPr>
        <w:t>1.4.42.</w:t>
      </w:r>
      <w:r w:rsidRPr="00E026AB">
        <w:rPr>
          <w:rFonts w:ascii="Calibri" w:hAnsi="Calibri" w:cs="Calibri"/>
        </w:rPr>
        <w:tab/>
        <w:t>Teren budowy - teren udostępniony przez Zamawiającego dla wykonania na nim robót oraz inne miejsca wymienione w kontrakcie jako tworzące część terenu budowy.</w:t>
      </w:r>
    </w:p>
    <w:p w:rsidR="000F437A" w:rsidRPr="00E026AB" w:rsidRDefault="000F437A" w:rsidP="000F437A">
      <w:pPr>
        <w:rPr>
          <w:rFonts w:ascii="Calibri" w:hAnsi="Calibri" w:cs="Calibri"/>
        </w:rPr>
      </w:pPr>
      <w:r w:rsidRPr="00E14891">
        <w:rPr>
          <w:rFonts w:ascii="Calibri" w:hAnsi="Calibri" w:cs="Calibri"/>
          <w:b/>
        </w:rPr>
        <w:t>1.4.43.</w:t>
      </w:r>
      <w:r w:rsidRPr="00E026AB">
        <w:rPr>
          <w:rFonts w:ascii="Calibri" w:hAnsi="Calibri" w:cs="Calibri"/>
        </w:rPr>
        <w:tab/>
        <w:t>Tunel - obiekt zagłębiony poniżej poziomu terenu dla zapewnienia komunikacji drogowej i ruchu pieszego.</w:t>
      </w:r>
    </w:p>
    <w:p w:rsidR="000F437A" w:rsidRPr="00E026AB" w:rsidRDefault="000F437A" w:rsidP="000F437A">
      <w:pPr>
        <w:rPr>
          <w:rFonts w:ascii="Calibri" w:hAnsi="Calibri" w:cs="Calibri"/>
        </w:rPr>
      </w:pPr>
      <w:r w:rsidRPr="00E14891">
        <w:rPr>
          <w:rFonts w:ascii="Calibri" w:hAnsi="Calibri" w:cs="Calibri"/>
          <w:b/>
        </w:rPr>
        <w:t>1.4.44.</w:t>
      </w:r>
      <w:r w:rsidRPr="00E026AB">
        <w:rPr>
          <w:rFonts w:ascii="Calibri" w:hAnsi="Calibri" w:cs="Calibri"/>
        </w:rPr>
        <w:tab/>
        <w:t>Wiadukt - obiekt zbudowany nad linią kolejową lub inną drogą dla bezkolizyjnego zapewnienia komunikacji drogowej i ruchu pieszego.</w:t>
      </w:r>
    </w:p>
    <w:p w:rsidR="000F437A" w:rsidRPr="00E026AB" w:rsidRDefault="000F437A" w:rsidP="000F437A">
      <w:pPr>
        <w:rPr>
          <w:rFonts w:ascii="Calibri" w:hAnsi="Calibri" w:cs="Calibri"/>
        </w:rPr>
      </w:pPr>
      <w:r w:rsidRPr="00E14891">
        <w:rPr>
          <w:rFonts w:ascii="Calibri" w:hAnsi="Calibri" w:cs="Calibri"/>
          <w:b/>
        </w:rPr>
        <w:t>1.4.45.</w:t>
      </w:r>
      <w:r w:rsidRPr="00E14891">
        <w:rPr>
          <w:rFonts w:ascii="Calibri" w:hAnsi="Calibri" w:cs="Calibri"/>
          <w:b/>
        </w:rPr>
        <w:tab/>
      </w:r>
      <w:r w:rsidRPr="00E026AB">
        <w:rPr>
          <w:rFonts w:ascii="Calibri" w:hAnsi="Calibri" w:cs="Calibri"/>
        </w:rPr>
        <w:t>Zadanie budowlane - część przedsięwzięcia budowlanego, stanowiąca odrębną całość konstrukcyjną lub technologiczną, zdolną do samodzielnego pełnienia funkcji techniczno-użytkowych. Zadanie może polegać na wykonywaniu robót związanych z budową, modernizacją/ przebudową, utrzymaniem oraz ochroną budowli drogowej lub jej elementu.</w:t>
      </w:r>
    </w:p>
    <w:p w:rsidR="000F437A" w:rsidRPr="00E026AB" w:rsidRDefault="000F437A" w:rsidP="000F437A">
      <w:pPr>
        <w:rPr>
          <w:rFonts w:ascii="Calibri" w:hAnsi="Calibri" w:cs="Calibri"/>
        </w:rPr>
      </w:pPr>
      <w:r w:rsidRPr="00E14891">
        <w:rPr>
          <w:rFonts w:ascii="Calibri" w:hAnsi="Calibri" w:cs="Calibri"/>
          <w:b/>
        </w:rPr>
        <w:t>1.5.</w:t>
      </w:r>
      <w:r w:rsidRPr="00E026AB">
        <w:rPr>
          <w:rFonts w:ascii="Calibri" w:hAnsi="Calibri" w:cs="Calibri"/>
        </w:rPr>
        <w:t xml:space="preserve"> Ogólne wymagania dotyczące robót</w:t>
      </w:r>
    </w:p>
    <w:p w:rsidR="000F437A" w:rsidRPr="00E026AB" w:rsidRDefault="000F437A" w:rsidP="000F437A">
      <w:pPr>
        <w:rPr>
          <w:rFonts w:ascii="Calibri" w:hAnsi="Calibri" w:cs="Calibri"/>
        </w:rPr>
      </w:pPr>
      <w:r w:rsidRPr="00E026AB">
        <w:rPr>
          <w:rFonts w:ascii="Calibri" w:hAnsi="Calibri" w:cs="Calibri"/>
        </w:rPr>
        <w:tab/>
        <w:t>Wykonawca jest odpowiedzialny za jakość wykonanych robót, bezpieczeństwo wszelkich czynności na terenie budowy, metody użyte przy budowie oraz za ich zgodność z dokumentacją projektową, SST i poleceniami Inżyniera/Kierownika projektu.</w:t>
      </w:r>
    </w:p>
    <w:p w:rsidR="000F437A" w:rsidRPr="00E026AB" w:rsidRDefault="000F437A" w:rsidP="000F437A">
      <w:pPr>
        <w:rPr>
          <w:rFonts w:ascii="Calibri" w:hAnsi="Calibri" w:cs="Calibri"/>
        </w:rPr>
      </w:pPr>
      <w:r w:rsidRPr="00E14891">
        <w:rPr>
          <w:rFonts w:ascii="Calibri" w:hAnsi="Calibri" w:cs="Calibri"/>
          <w:b/>
        </w:rPr>
        <w:t>1.5.1.</w:t>
      </w:r>
      <w:r w:rsidRPr="00E026AB">
        <w:rPr>
          <w:rFonts w:ascii="Calibri" w:hAnsi="Calibri" w:cs="Calibri"/>
        </w:rPr>
        <w:t xml:space="preserve"> Przekazanie terenu budowy</w:t>
      </w:r>
    </w:p>
    <w:p w:rsidR="000F437A" w:rsidRPr="00E026AB" w:rsidRDefault="000F437A" w:rsidP="000F437A">
      <w:pPr>
        <w:rPr>
          <w:rFonts w:ascii="Calibri" w:hAnsi="Calibri" w:cs="Calibri"/>
        </w:rPr>
      </w:pPr>
      <w:r w:rsidRPr="00E026AB">
        <w:rPr>
          <w:rFonts w:ascii="Calibri" w:hAnsi="Calibri" w:cs="Calibri"/>
        </w:rPr>
        <w:tab/>
        <w:t>Zamawiający w terminie określonym w dokumentach kontraktowych przekaże Wykonawcy teren budowy wraz ze wszystkimi wymaganymi uzgodnieniami prawnymi i administracyjnymi, lokalizację i współrzędne punktów głównych trasy oraz reperów, dziennik budowy oraz dwa egzemplarze dokumenta</w:t>
      </w:r>
      <w:r>
        <w:rPr>
          <w:rFonts w:ascii="Calibri" w:hAnsi="Calibri" w:cs="Calibri"/>
        </w:rPr>
        <w:t xml:space="preserve">cji projektowej i dwa komplety </w:t>
      </w:r>
      <w:r w:rsidRPr="00E026AB">
        <w:rPr>
          <w:rFonts w:ascii="Calibri" w:hAnsi="Calibri" w:cs="Calibri"/>
        </w:rPr>
        <w:t>ST.</w:t>
      </w:r>
    </w:p>
    <w:p w:rsidR="000F437A" w:rsidRPr="00E026AB" w:rsidRDefault="000F437A" w:rsidP="000F437A">
      <w:pPr>
        <w:rPr>
          <w:rFonts w:ascii="Calibri" w:hAnsi="Calibri" w:cs="Calibri"/>
        </w:rPr>
      </w:pPr>
      <w:r w:rsidRPr="00E026AB">
        <w:rPr>
          <w:rFonts w:ascii="Calibri" w:hAnsi="Calibri" w:cs="Calibri"/>
        </w:rPr>
        <w:tab/>
        <w:t>Na Wykonawcy spoczywa odpowiedzialność za ochronę przekazanych mu punktów pomiarowych do chwili odbioru ostatecznego robót. Uszkodzone lub zniszczone znaki geodezyjne Wykonawca odtworzy i utrwali na własny koszt.</w:t>
      </w:r>
    </w:p>
    <w:p w:rsidR="000F437A" w:rsidRPr="00E026AB" w:rsidRDefault="000F437A" w:rsidP="000F437A">
      <w:pPr>
        <w:rPr>
          <w:rFonts w:ascii="Calibri" w:hAnsi="Calibri" w:cs="Calibri"/>
        </w:rPr>
      </w:pPr>
      <w:r w:rsidRPr="00E14891">
        <w:rPr>
          <w:rFonts w:ascii="Calibri" w:hAnsi="Calibri" w:cs="Calibri"/>
          <w:b/>
        </w:rPr>
        <w:t>1.5.2.</w:t>
      </w:r>
      <w:r w:rsidRPr="00E026AB">
        <w:rPr>
          <w:rFonts w:ascii="Calibri" w:hAnsi="Calibri" w:cs="Calibri"/>
        </w:rPr>
        <w:t xml:space="preserve"> Dokumentacja projektowa</w:t>
      </w:r>
    </w:p>
    <w:p w:rsidR="000F437A" w:rsidRPr="00E026AB" w:rsidRDefault="000F437A" w:rsidP="000F437A">
      <w:pPr>
        <w:rPr>
          <w:rFonts w:ascii="Calibri" w:hAnsi="Calibri" w:cs="Calibri"/>
        </w:rPr>
      </w:pPr>
      <w:r w:rsidRPr="00E026AB">
        <w:rPr>
          <w:rFonts w:ascii="Calibri" w:hAnsi="Calibri" w:cs="Calibri"/>
        </w:rPr>
        <w:tab/>
        <w:t>Dokumentacja projektowa będzie zawierać rysunki, obliczenia i dokumenty, zgodne z wykazem podanym w szczegółowych warunkach umowy, uwzględniającym podział na dokumentację projektową:</w:t>
      </w:r>
    </w:p>
    <w:p w:rsidR="000F437A" w:rsidRPr="00E026AB" w:rsidRDefault="000F437A" w:rsidP="000F437A">
      <w:pPr>
        <w:rPr>
          <w:rFonts w:ascii="Calibri" w:hAnsi="Calibri" w:cs="Calibri"/>
        </w:rPr>
      </w:pPr>
      <w:r w:rsidRPr="00E026AB">
        <w:rPr>
          <w:rFonts w:ascii="Calibri" w:hAnsi="Calibri" w:cs="Calibri"/>
        </w:rPr>
        <w:t>Zamawiającego; wykaz pozycji, które stanowią przetargową dokumentację projektową oraz projektową dokumentację wykonawczą (techniczną) i zostaną przekazane Wykonawcy,</w:t>
      </w:r>
    </w:p>
    <w:p w:rsidR="000F437A" w:rsidRPr="00E026AB" w:rsidRDefault="000F437A" w:rsidP="000F437A">
      <w:pPr>
        <w:rPr>
          <w:rFonts w:ascii="Calibri" w:hAnsi="Calibri" w:cs="Calibri"/>
        </w:rPr>
      </w:pPr>
      <w:r w:rsidRPr="00E026AB">
        <w:rPr>
          <w:rFonts w:ascii="Calibri" w:hAnsi="Calibri" w:cs="Calibri"/>
        </w:rPr>
        <w:t>Wykonawcy; wykaz zawierający spis dokumentacji projektowej, którą Wykonawca opracuje w ramach ceny kontraktowej.</w:t>
      </w:r>
    </w:p>
    <w:p w:rsidR="000F437A" w:rsidRPr="00E026AB" w:rsidRDefault="000F437A" w:rsidP="000F437A">
      <w:pPr>
        <w:rPr>
          <w:rFonts w:ascii="Calibri" w:hAnsi="Calibri" w:cs="Calibri"/>
        </w:rPr>
      </w:pPr>
      <w:r w:rsidRPr="00E14891">
        <w:rPr>
          <w:rFonts w:ascii="Calibri" w:hAnsi="Calibri" w:cs="Calibri"/>
          <w:b/>
        </w:rPr>
        <w:t>1.5.3.</w:t>
      </w:r>
      <w:r w:rsidRPr="00E026AB">
        <w:rPr>
          <w:rFonts w:ascii="Calibri" w:hAnsi="Calibri" w:cs="Calibri"/>
        </w:rPr>
        <w:t xml:space="preserve"> Zgodność rob</w:t>
      </w:r>
      <w:r>
        <w:rPr>
          <w:rFonts w:ascii="Calibri" w:hAnsi="Calibri" w:cs="Calibri"/>
        </w:rPr>
        <w:t xml:space="preserve">ót z dokumentacją projektową i </w:t>
      </w:r>
      <w:r w:rsidRPr="00E026AB">
        <w:rPr>
          <w:rFonts w:ascii="Calibri" w:hAnsi="Calibri" w:cs="Calibri"/>
        </w:rPr>
        <w:t>ST</w:t>
      </w:r>
    </w:p>
    <w:p w:rsidR="000F437A" w:rsidRPr="00E026AB" w:rsidRDefault="000F437A" w:rsidP="000F437A">
      <w:pPr>
        <w:rPr>
          <w:rFonts w:ascii="Calibri" w:hAnsi="Calibri" w:cs="Calibri"/>
        </w:rPr>
      </w:pPr>
      <w:r>
        <w:rPr>
          <w:rFonts w:ascii="Calibri" w:hAnsi="Calibri" w:cs="Calibri"/>
        </w:rPr>
        <w:tab/>
        <w:t xml:space="preserve">Dokumentacja projektowa, </w:t>
      </w:r>
      <w:r w:rsidRPr="00E026AB">
        <w:rPr>
          <w:rFonts w:ascii="Calibri" w:hAnsi="Calibri" w:cs="Calibri"/>
        </w:rPr>
        <w:t>ST i wszystkie dodatkowe dokumenty przekazane Wykonawcy przez Inżyniera/Kierownika projektu stanowią część umowy, a wymagania określone w choćby jednym z nich są obowiązujące dla Wykonawcy tak jakby zawarte były w całej dokumentacji.</w:t>
      </w:r>
    </w:p>
    <w:p w:rsidR="000F437A" w:rsidRPr="00E026AB" w:rsidRDefault="000F437A" w:rsidP="000F437A">
      <w:pPr>
        <w:rPr>
          <w:rFonts w:ascii="Calibri" w:hAnsi="Calibri" w:cs="Calibri"/>
        </w:rPr>
      </w:pPr>
      <w:r w:rsidRPr="00E026AB">
        <w:rPr>
          <w:rFonts w:ascii="Calibri" w:hAnsi="Calibri" w:cs="Calibri"/>
        </w:rPr>
        <w:tab/>
        <w:t>W przypadku rozbieżności w ustaleniach poszczególnych dokumentów obowiązuje kolejność ich ważności wymieniona w „Kontraktowych warunkach ogólnych” („Ogólnych warunkach umowy”).</w:t>
      </w:r>
    </w:p>
    <w:p w:rsidR="000F437A" w:rsidRPr="00E026AB" w:rsidRDefault="000F437A" w:rsidP="000F437A">
      <w:pPr>
        <w:rPr>
          <w:rFonts w:ascii="Calibri" w:hAnsi="Calibri" w:cs="Calibri"/>
        </w:rPr>
      </w:pPr>
      <w:r w:rsidRPr="00E026AB">
        <w:rPr>
          <w:rFonts w:ascii="Calibri" w:hAnsi="Calibri" w:cs="Calibri"/>
        </w:rPr>
        <w:tab/>
        <w:t>Wykonawca nie może wykorzystywać błędów lub opuszczeń w dokumentach kontraktowych, a o ich wykryciu winien natychmiast powiadomić Inżyniera/Kierownika projektu, który podejmie decyzję o wprowadzeniu odpowiednich zmian i poprawek.</w:t>
      </w:r>
    </w:p>
    <w:p w:rsidR="000F437A" w:rsidRPr="00E026AB" w:rsidRDefault="000F437A" w:rsidP="000F437A">
      <w:pPr>
        <w:rPr>
          <w:rFonts w:ascii="Calibri" w:hAnsi="Calibri" w:cs="Calibri"/>
        </w:rPr>
      </w:pPr>
      <w:r w:rsidRPr="00E026AB">
        <w:rPr>
          <w:rFonts w:ascii="Calibri" w:hAnsi="Calibri" w:cs="Calibri"/>
        </w:rPr>
        <w:tab/>
        <w:t>W przypadku rozbieżności, wymiary podane na piśmie są ważniejsze od wymiarów określonych na podstawie odczytu ze skali rysunku.</w:t>
      </w:r>
    </w:p>
    <w:p w:rsidR="000F437A" w:rsidRPr="00E026AB" w:rsidRDefault="000F437A" w:rsidP="000F437A">
      <w:pPr>
        <w:rPr>
          <w:rFonts w:ascii="Calibri" w:hAnsi="Calibri" w:cs="Calibri"/>
        </w:rPr>
      </w:pPr>
      <w:r w:rsidRPr="00E026AB">
        <w:rPr>
          <w:rFonts w:ascii="Calibri" w:hAnsi="Calibri" w:cs="Calibri"/>
        </w:rPr>
        <w:tab/>
        <w:t>Wszystkie wykonane roboty i dostarczone materiały będą zgod</w:t>
      </w:r>
      <w:r>
        <w:rPr>
          <w:rFonts w:ascii="Calibri" w:hAnsi="Calibri" w:cs="Calibri"/>
        </w:rPr>
        <w:t xml:space="preserve">ne z dokumentacją projektową i </w:t>
      </w:r>
      <w:r w:rsidRPr="00E026AB">
        <w:rPr>
          <w:rFonts w:ascii="Calibri" w:hAnsi="Calibri" w:cs="Calibri"/>
        </w:rPr>
        <w:t>ST.</w:t>
      </w:r>
    </w:p>
    <w:p w:rsidR="000F437A" w:rsidRPr="00E026AB" w:rsidRDefault="000F437A" w:rsidP="000F437A">
      <w:pPr>
        <w:rPr>
          <w:rFonts w:ascii="Calibri" w:hAnsi="Calibri" w:cs="Calibri"/>
        </w:rPr>
      </w:pPr>
      <w:r w:rsidRPr="00E026AB">
        <w:rPr>
          <w:rFonts w:ascii="Calibri" w:hAnsi="Calibri" w:cs="Calibri"/>
        </w:rPr>
        <w:tab/>
        <w:t xml:space="preserve">Dane określone </w:t>
      </w:r>
      <w:r>
        <w:rPr>
          <w:rFonts w:ascii="Calibri" w:hAnsi="Calibri" w:cs="Calibri"/>
        </w:rPr>
        <w:t xml:space="preserve">w dokumentacji projektowej i w </w:t>
      </w:r>
      <w:r w:rsidRPr="00E026AB">
        <w:rPr>
          <w:rFonts w:ascii="Calibri" w:hAnsi="Calibri" w:cs="Calibri"/>
        </w:rPr>
        <w:t xml:space="preserve">ST będą uważane za wartości docelowe, od których dopuszczalne są odchylenia w ramach określonego przedziału tolerancji. Cechy materiałów i </w:t>
      </w:r>
      <w:r w:rsidRPr="00E026AB">
        <w:rPr>
          <w:rFonts w:ascii="Calibri" w:hAnsi="Calibri" w:cs="Calibri"/>
        </w:rPr>
        <w:lastRenderedPageBreak/>
        <w:t>elementów budowli muszą wykazywać zgodność z określonymi wymaganiami, a rozrzuty tych cech nie mogą przekraczać dopuszczalnego przedziału tolerancji.</w:t>
      </w:r>
    </w:p>
    <w:p w:rsidR="000F437A" w:rsidRPr="00E026AB" w:rsidRDefault="000F437A" w:rsidP="000F437A">
      <w:pPr>
        <w:rPr>
          <w:rFonts w:ascii="Calibri" w:hAnsi="Calibri" w:cs="Calibri"/>
        </w:rPr>
      </w:pPr>
      <w:r w:rsidRPr="00E026AB">
        <w:rPr>
          <w:rFonts w:ascii="Calibri" w:hAnsi="Calibri" w:cs="Calibri"/>
        </w:rPr>
        <w:tab/>
        <w:t>W przypadku, gdy materiały lub roboty nie będą w pełni zgodne</w:t>
      </w:r>
      <w:r>
        <w:rPr>
          <w:rFonts w:ascii="Calibri" w:hAnsi="Calibri" w:cs="Calibri"/>
        </w:rPr>
        <w:t xml:space="preserve"> z dokumentacją projektową lub </w:t>
      </w:r>
      <w:r w:rsidRPr="00E026AB">
        <w:rPr>
          <w:rFonts w:ascii="Calibri" w:hAnsi="Calibri" w:cs="Calibri"/>
        </w:rPr>
        <w:t>ST i wpłynie to na niezadowalającą jakość elementu budowli, to takie materiały zostaną zastąpione innymi, a elementy budowli rozebrane i wykonane ponownie na koszt Wykonawcy.</w:t>
      </w:r>
    </w:p>
    <w:p w:rsidR="000F437A" w:rsidRPr="00AE294B" w:rsidRDefault="000F437A" w:rsidP="000F437A">
      <w:pPr>
        <w:rPr>
          <w:rFonts w:ascii="Calibri" w:hAnsi="Calibri" w:cs="Calibri"/>
        </w:rPr>
      </w:pPr>
      <w:r w:rsidRPr="00AE294B">
        <w:rPr>
          <w:rFonts w:ascii="Calibri" w:hAnsi="Calibri" w:cs="Calibri"/>
          <w:b/>
        </w:rPr>
        <w:t>1.5.4.</w:t>
      </w:r>
      <w:r w:rsidRPr="00AE294B">
        <w:rPr>
          <w:rFonts w:ascii="Calibri" w:hAnsi="Calibri" w:cs="Calibri"/>
        </w:rPr>
        <w:t xml:space="preserve"> Zabezpieczenie terenu budowy</w:t>
      </w:r>
    </w:p>
    <w:p w:rsidR="000F437A" w:rsidRPr="00AE294B" w:rsidRDefault="000F437A" w:rsidP="000F437A">
      <w:pPr>
        <w:rPr>
          <w:rFonts w:ascii="Calibri" w:hAnsi="Calibri" w:cs="Calibri"/>
        </w:rPr>
      </w:pPr>
      <w:r>
        <w:rPr>
          <w:rFonts w:ascii="Calibri" w:hAnsi="Calibri" w:cs="Calibri"/>
        </w:rPr>
        <w:t>-</w:t>
      </w:r>
      <w:r w:rsidRPr="00AE294B">
        <w:rPr>
          <w:rFonts w:ascii="Calibri" w:hAnsi="Calibri" w:cs="Calibri"/>
        </w:rPr>
        <w:t>Roboty modernizacyjne/ przebudowa i remontowe („pod   ruchem”)</w:t>
      </w:r>
      <w:r>
        <w:rPr>
          <w:rFonts w:ascii="Calibri" w:hAnsi="Calibri" w:cs="Calibri"/>
        </w:rPr>
        <w:t>:</w:t>
      </w:r>
    </w:p>
    <w:p w:rsidR="000F437A" w:rsidRPr="00AE294B" w:rsidRDefault="000F437A" w:rsidP="000F437A">
      <w:pPr>
        <w:rPr>
          <w:rFonts w:ascii="Calibri" w:hAnsi="Calibri" w:cs="Calibri"/>
        </w:rPr>
      </w:pPr>
      <w:r w:rsidRPr="00AE294B">
        <w:rPr>
          <w:rFonts w:ascii="Calibri" w:hAnsi="Calibri" w:cs="Calibri"/>
        </w:rPr>
        <w:tab/>
        <w:t>Wykonawca jest zobowiązany do utrzymania ruchu publicznego oraz utrzymania istniejących obiektów (jezdnie, ścieżki rowerowe, ciągi piesze, znaki drogowe, bariery ochronne, urządzenia odwodnienia itp.) na terenie budowy, w okresie trwania realizacji kontraktu, aż do zakończenia i odbioru ostatecznego robót.</w:t>
      </w:r>
    </w:p>
    <w:p w:rsidR="000F437A" w:rsidRPr="00AE294B" w:rsidRDefault="000F437A" w:rsidP="000F437A">
      <w:pPr>
        <w:rPr>
          <w:rFonts w:ascii="Calibri" w:hAnsi="Calibri" w:cs="Calibri"/>
        </w:rPr>
      </w:pPr>
      <w:r w:rsidRPr="00AE294B">
        <w:rPr>
          <w:rFonts w:ascii="Calibri" w:hAnsi="Calibri" w:cs="Calibri"/>
        </w:rPr>
        <w:tab/>
        <w:t>Przed przystąpieniem do robót Wykonawca przedstawi Inżynierowi/Kierownikowi projektu do zatwierdzenia, uzgodniony z odpowiednim zarządem drogi i organem zarządzającym ruchem, projekt organizacji ruchu i zabezpieczenia robót w okresie trwania budowy. W zależności od potrzeb i postępu robót projekt organizacji ruchu powinien być na bieżąco aktualizowany przez Wykonawcę. Każda zmiana, w stosunku do zatwierdzonego projektu organizacji ruchu, wymaga każdorazowo ponownego zatwierdzenia projektu.</w:t>
      </w:r>
    </w:p>
    <w:p w:rsidR="000F437A" w:rsidRPr="00AE294B" w:rsidRDefault="000F437A" w:rsidP="000F437A">
      <w:pPr>
        <w:rPr>
          <w:rFonts w:ascii="Calibri" w:hAnsi="Calibri" w:cs="Calibri"/>
        </w:rPr>
      </w:pPr>
      <w:r w:rsidRPr="00AE294B">
        <w:rPr>
          <w:rFonts w:ascii="Calibri" w:hAnsi="Calibri" w:cs="Calibri"/>
        </w:rPr>
        <w:tab/>
        <w:t>W czasie wykonywania robót Wykonawca dostarczy, zainstaluje i będzie obsługiwał wszystkie tymczasowe urządzenia zabezpieczające takie jak: zapory, światła ostrzegawcze, sygnały, itp., zapewniając w ten sposób bezpieczeństwo pojazdów i pieszych.</w:t>
      </w:r>
    </w:p>
    <w:p w:rsidR="000F437A" w:rsidRPr="00E026AB" w:rsidRDefault="000F437A" w:rsidP="000F437A">
      <w:pPr>
        <w:rPr>
          <w:rFonts w:ascii="Calibri" w:hAnsi="Calibri" w:cs="Calibri"/>
        </w:rPr>
      </w:pPr>
      <w:r w:rsidRPr="00E026AB">
        <w:rPr>
          <w:rFonts w:ascii="Calibri" w:hAnsi="Calibri" w:cs="Calibri"/>
        </w:rPr>
        <w:tab/>
        <w:t>Wykonawca zapewni stałe warunki widoczności w dzień i w nocy tych zapór i znaków, dla których jest to nieodzowne ze względów bezpieczeństwa.</w:t>
      </w:r>
    </w:p>
    <w:p w:rsidR="000F437A" w:rsidRPr="00E026AB" w:rsidRDefault="000F437A" w:rsidP="000F437A">
      <w:pPr>
        <w:rPr>
          <w:rFonts w:ascii="Calibri" w:hAnsi="Calibri" w:cs="Calibri"/>
        </w:rPr>
      </w:pPr>
      <w:r w:rsidRPr="00E026AB">
        <w:rPr>
          <w:rFonts w:ascii="Calibri" w:hAnsi="Calibri" w:cs="Calibri"/>
        </w:rPr>
        <w:tab/>
        <w:t>Wszystkie znaki, zapory i inne urządzenia zabezpieczające będą akceptowane przez Inżyniera/Kierownika projektu.</w:t>
      </w:r>
    </w:p>
    <w:p w:rsidR="000F437A" w:rsidRPr="00E026AB" w:rsidRDefault="000F437A" w:rsidP="000F437A">
      <w:pPr>
        <w:rPr>
          <w:rFonts w:ascii="Calibri" w:hAnsi="Calibri" w:cs="Calibri"/>
        </w:rPr>
      </w:pPr>
      <w:r w:rsidRPr="00E026AB">
        <w:rPr>
          <w:rFonts w:ascii="Calibri" w:hAnsi="Calibri" w:cs="Calibri"/>
        </w:rPr>
        <w:tab/>
        <w:t>Fakt przystąpienia do robót Wykonawca obwieści publicznie przed ich rozpoczęciem w sposób uzgodniony z Inżynierem/Kierownikiem projektu oraz przez umieszczenie, w miejscach i ilościach określonych przez Inżyniera/Kierownika projektu, tablic informacyjnych, których treść będzie zatwierdzona przez Inżyniera/Kierownika projektu. Tablice informacyjne będą utrzymywane przez Wykonawcę w dobrym stanie przez cały okres realizacji robót.</w:t>
      </w:r>
    </w:p>
    <w:p w:rsidR="000F437A" w:rsidRPr="00E026AB" w:rsidRDefault="000F437A" w:rsidP="000F437A">
      <w:pPr>
        <w:rPr>
          <w:rFonts w:ascii="Calibri" w:hAnsi="Calibri" w:cs="Calibri"/>
        </w:rPr>
      </w:pPr>
      <w:r w:rsidRPr="00E026AB">
        <w:rPr>
          <w:rFonts w:ascii="Calibri" w:hAnsi="Calibri" w:cs="Calibri"/>
        </w:rPr>
        <w:tab/>
        <w:t>Koszt zabezpieczenia terenu budowy nie podlega odrębnej zapłacie i przyjmuje się, że jest włączony w cenę kontraktową.</w:t>
      </w:r>
    </w:p>
    <w:p w:rsidR="000F437A" w:rsidRPr="00E026AB" w:rsidRDefault="000F437A" w:rsidP="000F437A">
      <w:pPr>
        <w:rPr>
          <w:rFonts w:ascii="Calibri" w:hAnsi="Calibri" w:cs="Calibri"/>
        </w:rPr>
      </w:pPr>
      <w:r>
        <w:rPr>
          <w:rFonts w:ascii="Calibri" w:hAnsi="Calibri" w:cs="Calibri"/>
        </w:rPr>
        <w:t>-</w:t>
      </w:r>
      <w:r w:rsidRPr="00E026AB">
        <w:rPr>
          <w:rFonts w:ascii="Calibri" w:hAnsi="Calibri" w:cs="Calibri"/>
        </w:rPr>
        <w:t>Roboty o charakterze inwestycyjnym</w:t>
      </w:r>
      <w:r>
        <w:rPr>
          <w:rFonts w:ascii="Calibri" w:hAnsi="Calibri" w:cs="Calibri"/>
        </w:rPr>
        <w:t>:</w:t>
      </w:r>
    </w:p>
    <w:p w:rsidR="000F437A" w:rsidRPr="00E026AB" w:rsidRDefault="000F437A" w:rsidP="000F437A">
      <w:pPr>
        <w:rPr>
          <w:rFonts w:ascii="Calibri" w:hAnsi="Calibri" w:cs="Calibri"/>
        </w:rPr>
      </w:pPr>
      <w:r w:rsidRPr="00E026AB">
        <w:rPr>
          <w:rFonts w:ascii="Calibri" w:hAnsi="Calibri" w:cs="Calibri"/>
        </w:rPr>
        <w:tab/>
        <w:t>Wykonawca jest zobowiązany do zabezpieczenia terenu budowy w okresie trwania realizacji kontraktu aż do zakończenia i odbioru ostatecznego robót.</w:t>
      </w:r>
    </w:p>
    <w:p w:rsidR="000F437A" w:rsidRPr="00E026AB" w:rsidRDefault="000F437A" w:rsidP="000F437A">
      <w:pPr>
        <w:rPr>
          <w:rFonts w:ascii="Calibri" w:hAnsi="Calibri" w:cs="Calibri"/>
        </w:rPr>
      </w:pPr>
      <w:r w:rsidRPr="00E026AB">
        <w:rPr>
          <w:rFonts w:ascii="Calibri" w:hAnsi="Calibri" w:cs="Calibri"/>
        </w:rPr>
        <w:tab/>
        <w:t>Wykonawca dostarczy, zainstaluje i będzie utrzymywać tymczasowe urządzenia zabezpieczające, w tym: ogrodzenia, poręcze, oświetlenie, sygnały i znaki ostrzegawcze oraz  wszelkie inne środki niezbędne do ochrony robót, wygody społeczności i innych.</w:t>
      </w:r>
    </w:p>
    <w:p w:rsidR="000F437A" w:rsidRPr="00E026AB" w:rsidRDefault="000F437A" w:rsidP="000F437A">
      <w:pPr>
        <w:rPr>
          <w:rFonts w:ascii="Calibri" w:hAnsi="Calibri" w:cs="Calibri"/>
        </w:rPr>
      </w:pPr>
      <w:r w:rsidRPr="00E026AB">
        <w:rPr>
          <w:rFonts w:ascii="Calibri" w:hAnsi="Calibri" w:cs="Calibri"/>
        </w:rPr>
        <w:tab/>
        <w:t>W miejscach przylegających do dróg otwartych dla ruchu, Wykonawca ogrodzi lub wyraźnie oznakuje teren budowy, w sposób uzgodniony z Inżynierem/Kierownikiem projektu.</w:t>
      </w:r>
    </w:p>
    <w:p w:rsidR="000F437A" w:rsidRPr="00E026AB" w:rsidRDefault="000F437A" w:rsidP="000F437A">
      <w:pPr>
        <w:rPr>
          <w:rFonts w:ascii="Calibri" w:hAnsi="Calibri" w:cs="Calibri"/>
        </w:rPr>
      </w:pPr>
      <w:r w:rsidRPr="00E026AB">
        <w:rPr>
          <w:rFonts w:ascii="Calibri" w:hAnsi="Calibri" w:cs="Calibri"/>
        </w:rPr>
        <w:tab/>
        <w:t>Wjazdy i wyjazdy z terenu budowy przeznaczone dla pojazdów i maszyn pracujących przy realizacji robót, Wykonawca odpowiednio oznakuje w sposób uzgodniony z Inżynierem/Kierownikiem projektu.</w:t>
      </w:r>
    </w:p>
    <w:p w:rsidR="000F437A" w:rsidRPr="00E026AB" w:rsidRDefault="000F437A" w:rsidP="000F437A">
      <w:pPr>
        <w:rPr>
          <w:rFonts w:ascii="Calibri" w:hAnsi="Calibri" w:cs="Calibri"/>
        </w:rPr>
      </w:pPr>
      <w:r w:rsidRPr="00E026AB">
        <w:rPr>
          <w:rFonts w:ascii="Calibri" w:hAnsi="Calibri" w:cs="Calibri"/>
        </w:rPr>
        <w:tab/>
        <w:t>Fakt przystąpienia do robót Wykonawca obwieści publicznie przed ich rozpoczęciem w sposób uzgodniony z Inżynierem/Kierownikiem projektu oraz przez umieszczenie, w miejscach i ilościach określonych przez Inżyniera/Kierownika projektu, tablic informacyjnych, których treść będzie zatwierdzona przez Inżyniera/Kierownika projektu. Tablice informacyjne będą utrzymywane przez Wykonawcę w dobrym stanie przez cały okres realizacji robót.</w:t>
      </w:r>
    </w:p>
    <w:p w:rsidR="000F437A" w:rsidRPr="00E026AB" w:rsidRDefault="000F437A" w:rsidP="000F437A">
      <w:pPr>
        <w:rPr>
          <w:rFonts w:ascii="Calibri" w:hAnsi="Calibri" w:cs="Calibri"/>
        </w:rPr>
      </w:pPr>
      <w:r w:rsidRPr="00E026AB">
        <w:rPr>
          <w:rFonts w:ascii="Calibri" w:hAnsi="Calibri" w:cs="Calibri"/>
        </w:rPr>
        <w:tab/>
        <w:t>Koszt zabezpieczenia terenu budowy nie podlega odrębnej zapłacie i przyjmuje się, że jest włączony w cenę kontraktową.</w:t>
      </w:r>
    </w:p>
    <w:p w:rsidR="000F437A" w:rsidRPr="00E026AB" w:rsidRDefault="000F437A" w:rsidP="000F437A">
      <w:pPr>
        <w:rPr>
          <w:rFonts w:ascii="Calibri" w:hAnsi="Calibri" w:cs="Calibri"/>
        </w:rPr>
      </w:pPr>
      <w:r w:rsidRPr="00AE294B">
        <w:rPr>
          <w:rFonts w:ascii="Calibri" w:hAnsi="Calibri" w:cs="Calibri"/>
          <w:b/>
        </w:rPr>
        <w:t>1.5.5.</w:t>
      </w:r>
      <w:r w:rsidRPr="00E026AB">
        <w:rPr>
          <w:rFonts w:ascii="Calibri" w:hAnsi="Calibri" w:cs="Calibri"/>
        </w:rPr>
        <w:t xml:space="preserve"> Ochrona środowiska w czasie wykonywania robót</w:t>
      </w:r>
    </w:p>
    <w:p w:rsidR="000F437A" w:rsidRPr="00E026AB" w:rsidRDefault="000F437A" w:rsidP="000F437A">
      <w:pPr>
        <w:rPr>
          <w:rFonts w:ascii="Calibri" w:hAnsi="Calibri" w:cs="Calibri"/>
        </w:rPr>
      </w:pPr>
      <w:r w:rsidRPr="00E026AB">
        <w:rPr>
          <w:rFonts w:ascii="Calibri" w:hAnsi="Calibri" w:cs="Calibri"/>
        </w:rPr>
        <w:tab/>
        <w:t>Wykonawca ma obowiązek znać i stosować w czasie prowadzenia robót wszelkie przepisy dotyczące ochrony środowiska naturalnego.</w:t>
      </w:r>
    </w:p>
    <w:p w:rsidR="000F437A" w:rsidRPr="00E026AB" w:rsidRDefault="000F437A" w:rsidP="000F437A">
      <w:pPr>
        <w:rPr>
          <w:rFonts w:ascii="Calibri" w:hAnsi="Calibri" w:cs="Calibri"/>
        </w:rPr>
      </w:pPr>
      <w:r w:rsidRPr="00E026AB">
        <w:rPr>
          <w:rFonts w:ascii="Calibri" w:hAnsi="Calibri" w:cs="Calibri"/>
        </w:rPr>
        <w:tab/>
        <w:t>W okresie trwania budowy i wykańczania robót Wykonawca będzie:</w:t>
      </w:r>
    </w:p>
    <w:p w:rsidR="000F437A" w:rsidRPr="00E026AB" w:rsidRDefault="000F437A" w:rsidP="000F437A">
      <w:pPr>
        <w:rPr>
          <w:rFonts w:ascii="Calibri" w:hAnsi="Calibri" w:cs="Calibri"/>
        </w:rPr>
      </w:pPr>
      <w:r>
        <w:rPr>
          <w:rFonts w:ascii="Calibri" w:hAnsi="Calibri" w:cs="Calibri"/>
        </w:rPr>
        <w:t>-</w:t>
      </w:r>
      <w:r w:rsidRPr="00E026AB">
        <w:rPr>
          <w:rFonts w:ascii="Calibri" w:hAnsi="Calibri" w:cs="Calibri"/>
        </w:rPr>
        <w:t>utrzymywać teren budowy i wykopy w stanie bez wody stojącej,</w:t>
      </w:r>
    </w:p>
    <w:p w:rsidR="000F437A" w:rsidRPr="00E026AB" w:rsidRDefault="000F437A" w:rsidP="000F437A">
      <w:pPr>
        <w:rPr>
          <w:rFonts w:ascii="Calibri" w:hAnsi="Calibri" w:cs="Calibri"/>
        </w:rPr>
      </w:pPr>
      <w:r>
        <w:rPr>
          <w:rFonts w:ascii="Calibri" w:hAnsi="Calibri" w:cs="Calibri"/>
        </w:rPr>
        <w:t>-</w:t>
      </w:r>
      <w:r w:rsidRPr="00E026AB">
        <w:rPr>
          <w:rFonts w:ascii="Calibri" w:hAnsi="Calibri" w:cs="Calibri"/>
        </w:rPr>
        <w:t xml:space="preserve">podejmować wszelkie uzasadnione kroki mające na celu stosowanie się do przepisów i norm dotyczących ochrony środowiska na terenie i wokół terenu budowy oraz będzie unikać uszkodzeń lub uciążliwości dla osób lub dóbr publicznych i innych, a wynikających z nadmiernego hałasu, wibracji, zanieczyszczenia lub innych przyczyn powstałych w następstwie jego sposobu działania. </w:t>
      </w:r>
    </w:p>
    <w:p w:rsidR="000F437A" w:rsidRPr="00E026AB" w:rsidRDefault="000F437A" w:rsidP="000F437A">
      <w:pPr>
        <w:ind w:firstLine="567"/>
        <w:rPr>
          <w:rFonts w:ascii="Calibri" w:hAnsi="Calibri" w:cs="Calibri"/>
        </w:rPr>
      </w:pPr>
      <w:r w:rsidRPr="00E026AB">
        <w:rPr>
          <w:rFonts w:ascii="Calibri" w:hAnsi="Calibri" w:cs="Calibri"/>
        </w:rPr>
        <w:t>Stosując się do tych wymagań będzie miał szczególny wzgląd na:</w:t>
      </w:r>
    </w:p>
    <w:p w:rsidR="000F437A" w:rsidRPr="00E026AB" w:rsidRDefault="000F437A" w:rsidP="000F437A">
      <w:pPr>
        <w:rPr>
          <w:rFonts w:ascii="Calibri" w:hAnsi="Calibri" w:cs="Calibri"/>
        </w:rPr>
      </w:pPr>
      <w:r>
        <w:rPr>
          <w:rFonts w:ascii="Calibri" w:hAnsi="Calibri" w:cs="Calibri"/>
        </w:rPr>
        <w:t>-</w:t>
      </w:r>
      <w:r w:rsidRPr="00E026AB">
        <w:rPr>
          <w:rFonts w:ascii="Calibri" w:hAnsi="Calibri" w:cs="Calibri"/>
        </w:rPr>
        <w:t>lokalizację baz, warsztatów, magazynów, składowisk, ukopów i dróg dojazdowych,</w:t>
      </w:r>
    </w:p>
    <w:p w:rsidR="000F437A" w:rsidRPr="00E026AB" w:rsidRDefault="000F437A" w:rsidP="000F437A">
      <w:pPr>
        <w:rPr>
          <w:rFonts w:ascii="Calibri" w:hAnsi="Calibri" w:cs="Calibri"/>
        </w:rPr>
      </w:pPr>
      <w:r>
        <w:rPr>
          <w:rFonts w:ascii="Calibri" w:hAnsi="Calibri" w:cs="Calibri"/>
        </w:rPr>
        <w:lastRenderedPageBreak/>
        <w:t>-</w:t>
      </w:r>
      <w:r w:rsidRPr="00E026AB">
        <w:rPr>
          <w:rFonts w:ascii="Calibri" w:hAnsi="Calibri" w:cs="Calibri"/>
        </w:rPr>
        <w:t>środki ostrożności i zabezpieczenia przed:</w:t>
      </w:r>
    </w:p>
    <w:p w:rsidR="000F437A" w:rsidRPr="00E026AB" w:rsidRDefault="000F437A" w:rsidP="000F437A">
      <w:pPr>
        <w:rPr>
          <w:rFonts w:ascii="Calibri" w:hAnsi="Calibri" w:cs="Calibri"/>
        </w:rPr>
      </w:pPr>
      <w:r>
        <w:rPr>
          <w:rFonts w:ascii="Calibri" w:hAnsi="Calibri" w:cs="Calibri"/>
        </w:rPr>
        <w:t>-</w:t>
      </w:r>
      <w:r w:rsidRPr="00E026AB">
        <w:rPr>
          <w:rFonts w:ascii="Calibri" w:hAnsi="Calibri" w:cs="Calibri"/>
        </w:rPr>
        <w:t>zanieczyszczeniem zbiorników i cieków wodnych pyłami lub substancjami toksycznymi,</w:t>
      </w:r>
    </w:p>
    <w:p w:rsidR="000F437A" w:rsidRPr="00E026AB" w:rsidRDefault="000F437A" w:rsidP="000F437A">
      <w:pPr>
        <w:rPr>
          <w:rFonts w:ascii="Calibri" w:hAnsi="Calibri" w:cs="Calibri"/>
        </w:rPr>
      </w:pPr>
      <w:r>
        <w:rPr>
          <w:rFonts w:ascii="Calibri" w:hAnsi="Calibri" w:cs="Calibri"/>
        </w:rPr>
        <w:t>-</w:t>
      </w:r>
      <w:r w:rsidRPr="00E026AB">
        <w:rPr>
          <w:rFonts w:ascii="Calibri" w:hAnsi="Calibri" w:cs="Calibri"/>
        </w:rPr>
        <w:t>zanieczyszczeniem powietrza pyłami i gazami,</w:t>
      </w:r>
    </w:p>
    <w:p w:rsidR="000F437A" w:rsidRPr="00E026AB" w:rsidRDefault="000F437A" w:rsidP="000F437A">
      <w:pPr>
        <w:rPr>
          <w:rFonts w:ascii="Calibri" w:hAnsi="Calibri" w:cs="Calibri"/>
        </w:rPr>
      </w:pPr>
      <w:r>
        <w:rPr>
          <w:rFonts w:ascii="Calibri" w:hAnsi="Calibri" w:cs="Calibri"/>
        </w:rPr>
        <w:t>-</w:t>
      </w:r>
      <w:r w:rsidRPr="00E026AB">
        <w:rPr>
          <w:rFonts w:ascii="Calibri" w:hAnsi="Calibri" w:cs="Calibri"/>
        </w:rPr>
        <w:t>możliwością powstania pożaru.</w:t>
      </w:r>
    </w:p>
    <w:p w:rsidR="000F437A" w:rsidRPr="00E026AB" w:rsidRDefault="000F437A" w:rsidP="000F437A">
      <w:pPr>
        <w:rPr>
          <w:rFonts w:ascii="Calibri" w:hAnsi="Calibri" w:cs="Calibri"/>
        </w:rPr>
      </w:pPr>
      <w:r w:rsidRPr="00AE294B">
        <w:rPr>
          <w:rFonts w:ascii="Calibri" w:hAnsi="Calibri" w:cs="Calibri"/>
          <w:b/>
        </w:rPr>
        <w:t>1.5.6.</w:t>
      </w:r>
      <w:r w:rsidRPr="00E026AB">
        <w:rPr>
          <w:rFonts w:ascii="Calibri" w:hAnsi="Calibri" w:cs="Calibri"/>
        </w:rPr>
        <w:t xml:space="preserve"> Ochrona przeciwpożarowa</w:t>
      </w:r>
    </w:p>
    <w:p w:rsidR="000F437A" w:rsidRPr="00E026AB" w:rsidRDefault="000F437A" w:rsidP="000F437A">
      <w:pPr>
        <w:rPr>
          <w:rFonts w:ascii="Calibri" w:hAnsi="Calibri" w:cs="Calibri"/>
        </w:rPr>
      </w:pPr>
      <w:r w:rsidRPr="00E026AB">
        <w:rPr>
          <w:rFonts w:ascii="Calibri" w:hAnsi="Calibri" w:cs="Calibri"/>
        </w:rPr>
        <w:tab/>
        <w:t>Wykonawca będzie przestrzegać przepisy ochrony przeciwpożarowej.</w:t>
      </w:r>
    </w:p>
    <w:p w:rsidR="000F437A" w:rsidRPr="00E026AB" w:rsidRDefault="000F437A" w:rsidP="000F437A">
      <w:pPr>
        <w:rPr>
          <w:rFonts w:ascii="Calibri" w:hAnsi="Calibri" w:cs="Calibri"/>
        </w:rPr>
      </w:pPr>
      <w:r w:rsidRPr="00E026AB">
        <w:rPr>
          <w:rFonts w:ascii="Calibri" w:hAnsi="Calibri" w:cs="Calibri"/>
        </w:rPr>
        <w:tab/>
        <w:t>Wykonawca będzie utrzymywać, wymagany na podstawie odpowiednich przepisów sprawny sprzęt przeciwpożarowy, na terenie baz produkcyjnych, w pomieszczeniach biurowych, mieszkalnych, magazynach oraz w maszynach i pojazdach.</w:t>
      </w:r>
    </w:p>
    <w:p w:rsidR="000F437A" w:rsidRPr="00E026AB" w:rsidRDefault="000F437A" w:rsidP="000F437A">
      <w:pPr>
        <w:rPr>
          <w:rFonts w:ascii="Calibri" w:hAnsi="Calibri" w:cs="Calibri"/>
        </w:rPr>
      </w:pPr>
      <w:r w:rsidRPr="00E026AB">
        <w:rPr>
          <w:rFonts w:ascii="Calibri" w:hAnsi="Calibri" w:cs="Calibri"/>
        </w:rPr>
        <w:tab/>
        <w:t>Materiały łatwopalne będą składowane w sposób zgodny z odpowiednimi przepisami i zabezpieczone przed dostępem osób trzecich.</w:t>
      </w:r>
    </w:p>
    <w:p w:rsidR="000F437A" w:rsidRPr="00E026AB" w:rsidRDefault="000F437A" w:rsidP="000F437A">
      <w:pPr>
        <w:rPr>
          <w:rFonts w:ascii="Calibri" w:hAnsi="Calibri" w:cs="Calibri"/>
        </w:rPr>
      </w:pPr>
      <w:r w:rsidRPr="00E026AB">
        <w:rPr>
          <w:rFonts w:ascii="Calibri" w:hAnsi="Calibri" w:cs="Calibri"/>
        </w:rPr>
        <w:tab/>
        <w:t>Wykonawca będzie odpowiedzialny za wszelkie straty spowodowane pożarem wywołanym jako rezultat realizacji robót albo przez personel Wykonawcy.</w:t>
      </w:r>
    </w:p>
    <w:p w:rsidR="000F437A" w:rsidRPr="00E026AB" w:rsidRDefault="000F437A" w:rsidP="000F437A">
      <w:pPr>
        <w:rPr>
          <w:rFonts w:ascii="Calibri" w:hAnsi="Calibri" w:cs="Calibri"/>
        </w:rPr>
      </w:pPr>
      <w:r w:rsidRPr="00AE294B">
        <w:rPr>
          <w:rFonts w:ascii="Calibri" w:hAnsi="Calibri" w:cs="Calibri"/>
          <w:b/>
        </w:rPr>
        <w:t>1.5.7.</w:t>
      </w:r>
      <w:r w:rsidRPr="00E026AB">
        <w:rPr>
          <w:rFonts w:ascii="Calibri" w:hAnsi="Calibri" w:cs="Calibri"/>
        </w:rPr>
        <w:t xml:space="preserve"> Materiały szkodliwe dla otoczenia</w:t>
      </w:r>
    </w:p>
    <w:p w:rsidR="000F437A" w:rsidRPr="00E026AB" w:rsidRDefault="000F437A" w:rsidP="000F437A">
      <w:pPr>
        <w:rPr>
          <w:rFonts w:ascii="Calibri" w:hAnsi="Calibri" w:cs="Calibri"/>
        </w:rPr>
      </w:pPr>
      <w:r w:rsidRPr="00E026AB">
        <w:rPr>
          <w:rFonts w:ascii="Calibri" w:hAnsi="Calibri" w:cs="Calibri"/>
        </w:rPr>
        <w:tab/>
        <w:t>Materiały, które w sposób trwały są szkodliwe dla otoczenia, nie będą dopuszczone do użycia.</w:t>
      </w:r>
    </w:p>
    <w:p w:rsidR="000F437A" w:rsidRPr="00E026AB" w:rsidRDefault="000F437A" w:rsidP="000F437A">
      <w:pPr>
        <w:rPr>
          <w:rFonts w:ascii="Calibri" w:hAnsi="Calibri" w:cs="Calibri"/>
        </w:rPr>
      </w:pPr>
      <w:r w:rsidRPr="00E026AB">
        <w:rPr>
          <w:rFonts w:ascii="Calibri" w:hAnsi="Calibri" w:cs="Calibri"/>
        </w:rPr>
        <w:tab/>
        <w:t>Nie dopuszcza się użycia materiałów wywołujących szkodliwe promieniowanie o stężeniu większym od dopuszczalnego, określonego odpowiednimi przepisami.</w:t>
      </w:r>
    </w:p>
    <w:p w:rsidR="000F437A" w:rsidRPr="00E026AB" w:rsidRDefault="000F437A" w:rsidP="000F437A">
      <w:pPr>
        <w:rPr>
          <w:rFonts w:ascii="Calibri" w:hAnsi="Calibri" w:cs="Calibri"/>
        </w:rPr>
      </w:pPr>
      <w:r w:rsidRPr="00E026AB">
        <w:rPr>
          <w:rFonts w:ascii="Calibri" w:hAnsi="Calibri" w:cs="Calibri"/>
        </w:rPr>
        <w:tab/>
        <w:t>Wszelkie materiały odpadowe użyte do robót będą miały aprobatę techniczną wydaną przez uprawnioną jednostkę, jednoznacznie określającą brak szkodliwego oddziaływania tych materiałów na środowisko.</w:t>
      </w:r>
    </w:p>
    <w:p w:rsidR="000F437A" w:rsidRPr="00E026AB" w:rsidRDefault="000F437A" w:rsidP="000F437A">
      <w:pPr>
        <w:rPr>
          <w:rFonts w:ascii="Calibri" w:hAnsi="Calibri" w:cs="Calibri"/>
        </w:rPr>
      </w:pPr>
      <w:r w:rsidRPr="00E026AB">
        <w:rPr>
          <w:rFonts w:ascii="Calibri" w:hAnsi="Calibri" w:cs="Calibri"/>
        </w:rPr>
        <w:tab/>
        <w:t>Materiały, które są szkodliwe dla otoczenia tylko w czasie robót, a po zakończeniu robót ich szkodliwość zanika (np. materiały pylaste) mogą być użyte pod warunkiem przestrzegania wymagań technologicznych wbudowania. Jeżeli wymagają tego odpowiednie przepisy Wykonawca powinien otrzymać zgodę na użycie tych materiałów od właściwych organów administracji państwowej.</w:t>
      </w:r>
    </w:p>
    <w:p w:rsidR="000F437A" w:rsidRPr="00E026AB" w:rsidRDefault="000F437A" w:rsidP="000F437A">
      <w:pPr>
        <w:rPr>
          <w:rFonts w:ascii="Calibri" w:hAnsi="Calibri" w:cs="Calibri"/>
        </w:rPr>
      </w:pPr>
      <w:r w:rsidRPr="00E026AB">
        <w:rPr>
          <w:rFonts w:ascii="Calibri" w:hAnsi="Calibri" w:cs="Calibri"/>
        </w:rPr>
        <w:tab/>
        <w:t>Jeżeli Wykonawca użył materiałów szkodliwych dla otoczenia zgodnie ze specyfikacjami, a ich użycie spowodowało jakiekolwiek zagrożenie środowiska, to konsekwencje tego poniesie Zamawiający.</w:t>
      </w:r>
    </w:p>
    <w:p w:rsidR="000F437A" w:rsidRPr="00E026AB" w:rsidRDefault="000F437A" w:rsidP="000F437A">
      <w:pPr>
        <w:rPr>
          <w:rFonts w:ascii="Calibri" w:hAnsi="Calibri" w:cs="Calibri"/>
        </w:rPr>
      </w:pPr>
      <w:r w:rsidRPr="00AE294B">
        <w:rPr>
          <w:rFonts w:ascii="Calibri" w:hAnsi="Calibri" w:cs="Calibri"/>
          <w:b/>
        </w:rPr>
        <w:t>1.5.8.</w:t>
      </w:r>
      <w:r w:rsidRPr="00E026AB">
        <w:rPr>
          <w:rFonts w:ascii="Calibri" w:hAnsi="Calibri" w:cs="Calibri"/>
        </w:rPr>
        <w:t xml:space="preserve"> Ochrona własności publicznej i prywatnej</w:t>
      </w:r>
    </w:p>
    <w:p w:rsidR="000F437A" w:rsidRPr="00E026AB" w:rsidRDefault="000F437A" w:rsidP="000F437A">
      <w:pPr>
        <w:rPr>
          <w:rFonts w:ascii="Calibri" w:hAnsi="Calibri" w:cs="Calibri"/>
        </w:rPr>
      </w:pPr>
      <w:r w:rsidRPr="00E026AB">
        <w:rPr>
          <w:rFonts w:ascii="Calibri" w:hAnsi="Calibri" w:cs="Calibri"/>
        </w:rPr>
        <w:tab/>
        <w:t>Wykonawca odpowiada za ochronę instalacji na powierzchni ziemi i za urządzenia podziemne, takie jak rurociągi, kable itp. oraz uzyska od odpowiednich władz będących właścicielami tych urządzeń potwierdzenie informacji dostarczonych mu przez Zamawiającego w ramach planu ich lokalizacji. Wykonawca zapewni właściwe oznaczenie i zabezpieczenie przed uszkodzeniem tych instalacji i urządzeń w czasie trwania budowy.</w:t>
      </w:r>
    </w:p>
    <w:p w:rsidR="000F437A" w:rsidRPr="00E026AB" w:rsidRDefault="000F437A" w:rsidP="000F437A">
      <w:pPr>
        <w:rPr>
          <w:rFonts w:ascii="Calibri" w:hAnsi="Calibri" w:cs="Calibri"/>
        </w:rPr>
      </w:pPr>
      <w:r w:rsidRPr="00E026AB">
        <w:rPr>
          <w:rFonts w:ascii="Calibri" w:hAnsi="Calibri" w:cs="Calibri"/>
        </w:rPr>
        <w:tab/>
        <w:t>Wykonawca zobowiązany jest umieścić w swoim harmonogramie rezerwę czasową dla wszelkiego rodzaju robót, które mają być wykonane w zakresie przełożenia instalacji i urządzeń podziemnych na terenie budowy i powiadomić Inżyniera/Kierownika projektu i władze lokalne o zamiarze rozpoczęcia robót. O fakcie przypadkowego uszkodzenia tych instalacji Wykonawca bezzwłocznie powiadomi Inżyniera/Kierownika projektu i zainteresowane władze oraz będzie z nimi współpracował dostarczając wszelkiej pomocy potrzebnej przy dokonywaniu napraw. Wykonawca będzie odpowiadać za wszelkie spowodowane przez jego działania uszkodzenia instalacji na powierzchni ziemi i urządzeń podziemnych wykazanych w dokumentach dostarczonych mu przez Zamawiającego.</w:t>
      </w:r>
    </w:p>
    <w:p w:rsidR="000F437A" w:rsidRPr="00E026AB" w:rsidRDefault="000F437A" w:rsidP="000F437A">
      <w:pPr>
        <w:rPr>
          <w:rFonts w:ascii="Calibri" w:hAnsi="Calibri" w:cs="Calibri"/>
        </w:rPr>
      </w:pPr>
      <w:r w:rsidRPr="00E026AB">
        <w:rPr>
          <w:rFonts w:ascii="Calibri" w:hAnsi="Calibri" w:cs="Calibri"/>
        </w:rPr>
        <w:tab/>
        <w:t>Jeżeli teren budowy przylega do terenów z zabudową mieszkaniową, Wykonawca będzie realizować roboty w sposób powodujący minimalne niedogodności dla mieszkańców. Wykonawca odpowiada za wszelkie uszkodzenia zabudowy mieszkaniowej w sąsiedztwie budowy, spowodowane jego działalnością.</w:t>
      </w:r>
    </w:p>
    <w:p w:rsidR="000F437A" w:rsidRPr="00E026AB" w:rsidRDefault="000F437A" w:rsidP="000F437A">
      <w:pPr>
        <w:rPr>
          <w:rFonts w:ascii="Calibri" w:hAnsi="Calibri" w:cs="Calibri"/>
        </w:rPr>
      </w:pPr>
      <w:r w:rsidRPr="00E026AB">
        <w:rPr>
          <w:rFonts w:ascii="Calibri" w:hAnsi="Calibri" w:cs="Calibri"/>
        </w:rPr>
        <w:tab/>
        <w:t>Inżynier/Kierownik projektu będzie na bieżąco informowany o wszystkich umowach zawartych pomiędzy Wykonawcą a właścicielami nieruchomości i dotyczących korzystania z własności i dróg wewnętrznych. Jednakże, ani Inżynier/Kierownik projektu ani Zamawiający nie będzie ingerował w takie porozumienia, o ile nie będą one sprzeczne z postanowieniami zawartymi w warunkach umowy.</w:t>
      </w:r>
    </w:p>
    <w:p w:rsidR="000F437A" w:rsidRPr="00E026AB" w:rsidRDefault="000F437A" w:rsidP="000F437A">
      <w:pPr>
        <w:rPr>
          <w:rFonts w:ascii="Calibri" w:hAnsi="Calibri" w:cs="Calibri"/>
        </w:rPr>
      </w:pPr>
      <w:r w:rsidRPr="00866FC6">
        <w:rPr>
          <w:rFonts w:ascii="Calibri" w:hAnsi="Calibri" w:cs="Calibri"/>
          <w:b/>
        </w:rPr>
        <w:t>1.5.9.</w:t>
      </w:r>
      <w:r w:rsidRPr="00E026AB">
        <w:rPr>
          <w:rFonts w:ascii="Calibri" w:hAnsi="Calibri" w:cs="Calibri"/>
        </w:rPr>
        <w:t xml:space="preserve"> Ograniczenie obciążeń osi pojazdów</w:t>
      </w:r>
    </w:p>
    <w:p w:rsidR="000F437A" w:rsidRDefault="000F437A" w:rsidP="000F437A">
      <w:pPr>
        <w:rPr>
          <w:rFonts w:ascii="Calibri" w:hAnsi="Calibri" w:cs="Calibri"/>
        </w:rPr>
      </w:pPr>
      <w:r w:rsidRPr="00E026AB">
        <w:rPr>
          <w:rFonts w:ascii="Calibri" w:hAnsi="Calibri" w:cs="Calibri"/>
        </w:rPr>
        <w:tab/>
        <w:t>Wykonawca będzie stosować się do ustawowych ograniczeń nacisków osi na drogach publicznych przy transporcie materiałów i wyposażenia na i z terenu robót. Wykonawca uzyska wszelkie niezbędne zezwolenia i uzgodnienia od właściwych władz co do przewozu nietypowych wagowo ładunków (ponadnormatywnych) i o każdym takim przewozie będzie powiadamiał Inżyniera/Kierownika projektu. Inżynier/Kierownik projektu może polecić, aby pojazdy nie spełniające tych warunków zostały usunięte z terenu budowy. Pojazdy powodujące nadmierne obciążenie osiowe nie będą dopuszczone na świeżo ukończony fragment budowy w obrębie terenu budowy i Wykonawca będzie odpowiadał za naprawę wszelkich robót w ten sposób uszkodzonych, zgodnie z poleceniami Inżyniera/Kierownika projektu.</w:t>
      </w:r>
    </w:p>
    <w:p w:rsidR="00B61884" w:rsidRDefault="00B61884" w:rsidP="000F437A">
      <w:pPr>
        <w:rPr>
          <w:rFonts w:ascii="Calibri" w:hAnsi="Calibri" w:cs="Calibri"/>
        </w:rPr>
      </w:pPr>
    </w:p>
    <w:p w:rsidR="00B61884" w:rsidRPr="00E026AB" w:rsidRDefault="00B61884" w:rsidP="000F437A">
      <w:pPr>
        <w:rPr>
          <w:rFonts w:ascii="Calibri" w:hAnsi="Calibri" w:cs="Calibri"/>
        </w:rPr>
      </w:pPr>
    </w:p>
    <w:p w:rsidR="000F437A" w:rsidRPr="00E026AB" w:rsidRDefault="000F437A" w:rsidP="000F437A">
      <w:pPr>
        <w:rPr>
          <w:rFonts w:ascii="Calibri" w:hAnsi="Calibri" w:cs="Calibri"/>
        </w:rPr>
      </w:pPr>
      <w:r w:rsidRPr="00866FC6">
        <w:rPr>
          <w:rFonts w:ascii="Calibri" w:hAnsi="Calibri" w:cs="Calibri"/>
          <w:b/>
        </w:rPr>
        <w:lastRenderedPageBreak/>
        <w:t>1.5.10.</w:t>
      </w:r>
      <w:r w:rsidRPr="00E026AB">
        <w:rPr>
          <w:rFonts w:ascii="Calibri" w:hAnsi="Calibri" w:cs="Calibri"/>
        </w:rPr>
        <w:t xml:space="preserve"> Bezpieczeństwo i higiena pracy</w:t>
      </w:r>
    </w:p>
    <w:p w:rsidR="000F437A" w:rsidRPr="00E026AB" w:rsidRDefault="000F437A" w:rsidP="000F437A">
      <w:pPr>
        <w:rPr>
          <w:rFonts w:ascii="Calibri" w:hAnsi="Calibri" w:cs="Calibri"/>
        </w:rPr>
      </w:pPr>
      <w:r w:rsidRPr="00E026AB">
        <w:rPr>
          <w:rFonts w:ascii="Calibri" w:hAnsi="Calibri" w:cs="Calibri"/>
        </w:rPr>
        <w:tab/>
        <w:t>Podczas realizacji robót Wykonawca będzie przestrzegać przepisów dotyczących bezpieczeństwa i higieny pracy.</w:t>
      </w:r>
    </w:p>
    <w:p w:rsidR="000F437A" w:rsidRPr="00E026AB" w:rsidRDefault="000F437A" w:rsidP="000F437A">
      <w:pPr>
        <w:rPr>
          <w:rFonts w:ascii="Calibri" w:hAnsi="Calibri" w:cs="Calibri"/>
        </w:rPr>
      </w:pPr>
      <w:r w:rsidRPr="00E026AB">
        <w:rPr>
          <w:rFonts w:ascii="Calibri" w:hAnsi="Calibri" w:cs="Calibri"/>
        </w:rPr>
        <w:tab/>
        <w:t>W szczególności Wykonawca ma obowiązek zadbać, aby personel nie wykonywał pracy w warunkach niebezpiecznych, szkodliwych dla zdrowia oraz nie spełniających odpowiednich wymagań sanitarnych.</w:t>
      </w:r>
    </w:p>
    <w:p w:rsidR="000F437A" w:rsidRPr="00E026AB" w:rsidRDefault="000F437A" w:rsidP="000F437A">
      <w:pPr>
        <w:rPr>
          <w:rFonts w:ascii="Calibri" w:hAnsi="Calibri" w:cs="Calibri"/>
        </w:rPr>
      </w:pPr>
      <w:r w:rsidRPr="00E026AB">
        <w:rPr>
          <w:rFonts w:ascii="Calibri" w:hAnsi="Calibri" w:cs="Calibri"/>
        </w:rPr>
        <w:tab/>
        <w:t>Wykonawca zapewni i będzie utrzymywał wszelkie urządzenia zabezpieczające, socjalne oraz sprzęt i odpowiednią odzież dla ochrony życia i zdrowia osób zatrudnionych na budowie oraz dla zapewnienia bezpieczeństwa publicznego.</w:t>
      </w:r>
    </w:p>
    <w:p w:rsidR="000F437A" w:rsidRPr="00E026AB" w:rsidRDefault="000F437A" w:rsidP="000F437A">
      <w:pPr>
        <w:rPr>
          <w:rFonts w:ascii="Calibri" w:hAnsi="Calibri" w:cs="Calibri"/>
        </w:rPr>
      </w:pPr>
      <w:r w:rsidRPr="00E026AB">
        <w:rPr>
          <w:rFonts w:ascii="Calibri" w:hAnsi="Calibri" w:cs="Calibri"/>
        </w:rPr>
        <w:tab/>
        <w:t>Uznaje się, że wszelkie koszty związane z wypełnieniem wymagań określonych powyżej nie podlegają odrębnej zapłacie i są uwzględnione w cenie kontraktowej.</w:t>
      </w:r>
    </w:p>
    <w:p w:rsidR="000F437A" w:rsidRPr="00E026AB" w:rsidRDefault="000F437A" w:rsidP="000F437A">
      <w:pPr>
        <w:rPr>
          <w:rFonts w:ascii="Calibri" w:hAnsi="Calibri" w:cs="Calibri"/>
        </w:rPr>
      </w:pPr>
      <w:r w:rsidRPr="00866FC6">
        <w:rPr>
          <w:rFonts w:ascii="Calibri" w:hAnsi="Calibri" w:cs="Calibri"/>
          <w:b/>
        </w:rPr>
        <w:t>1.5.11.</w:t>
      </w:r>
      <w:r w:rsidRPr="00E026AB">
        <w:rPr>
          <w:rFonts w:ascii="Calibri" w:hAnsi="Calibri" w:cs="Calibri"/>
        </w:rPr>
        <w:t xml:space="preserve"> Ochrona i utrzymanie robót</w:t>
      </w:r>
    </w:p>
    <w:p w:rsidR="000F437A" w:rsidRPr="00E026AB" w:rsidRDefault="000F437A" w:rsidP="000F437A">
      <w:pPr>
        <w:rPr>
          <w:rFonts w:ascii="Calibri" w:hAnsi="Calibri" w:cs="Calibri"/>
        </w:rPr>
      </w:pPr>
      <w:r w:rsidRPr="00E026AB">
        <w:rPr>
          <w:rFonts w:ascii="Calibri" w:hAnsi="Calibri" w:cs="Calibri"/>
        </w:rPr>
        <w:tab/>
      </w:r>
      <w:bookmarkStart w:id="5" w:name="_Toc412518567"/>
      <w:r w:rsidRPr="00E026AB">
        <w:rPr>
          <w:rFonts w:ascii="Calibri" w:hAnsi="Calibri" w:cs="Calibri"/>
        </w:rPr>
        <w:t>Wykonawca będzie odpowiadał za ochronę robót i za wszelkie materiały i urządzenia używane do robót od daty rozpoczęcia do daty wydania potwierdzenia zakończenia robót przez Inżyniera/Kierownika projektu.</w:t>
      </w:r>
      <w:bookmarkEnd w:id="5"/>
    </w:p>
    <w:p w:rsidR="000F437A" w:rsidRPr="00E026AB" w:rsidRDefault="000F437A" w:rsidP="000F437A">
      <w:pPr>
        <w:rPr>
          <w:rFonts w:ascii="Calibri" w:hAnsi="Calibri" w:cs="Calibri"/>
        </w:rPr>
      </w:pPr>
      <w:r w:rsidRPr="00E026AB">
        <w:rPr>
          <w:rFonts w:ascii="Calibri" w:hAnsi="Calibri" w:cs="Calibri"/>
        </w:rPr>
        <w:tab/>
        <w:t>Wykonawca będzie utrzymywać roboty do czasu odbioru ostatecznego. Utrzymanie powinno być prowadzone w taki sposób, aby budowla drogowa lub jej elementy były w zadowalającym stanie przez cały czas, do momentu odbioru ostatecznego.</w:t>
      </w:r>
    </w:p>
    <w:p w:rsidR="000F437A" w:rsidRPr="00E026AB" w:rsidRDefault="000F437A" w:rsidP="000F437A">
      <w:pPr>
        <w:rPr>
          <w:rFonts w:ascii="Calibri" w:hAnsi="Calibri" w:cs="Calibri"/>
        </w:rPr>
      </w:pPr>
      <w:r w:rsidRPr="00E026AB">
        <w:rPr>
          <w:rFonts w:ascii="Calibri" w:hAnsi="Calibri" w:cs="Calibri"/>
        </w:rPr>
        <w:tab/>
        <w:t>Jeśli Wykonawca w jakimkolwiek czasie zaniedba utrzymanie, to na polecenie Inżyniera/Kierownika projektu powinien rozpocząć roboty utrzymaniowe nie później niż w 24 godziny po otrzymaniu tego polecenia.</w:t>
      </w:r>
    </w:p>
    <w:p w:rsidR="000F437A" w:rsidRPr="00E026AB" w:rsidRDefault="000F437A" w:rsidP="000F437A">
      <w:pPr>
        <w:rPr>
          <w:rFonts w:ascii="Calibri" w:hAnsi="Calibri" w:cs="Calibri"/>
        </w:rPr>
      </w:pPr>
      <w:r w:rsidRPr="00866FC6">
        <w:rPr>
          <w:rFonts w:ascii="Calibri" w:hAnsi="Calibri" w:cs="Calibri"/>
          <w:b/>
        </w:rPr>
        <w:t>1.5.12.</w:t>
      </w:r>
      <w:r w:rsidRPr="00E026AB">
        <w:rPr>
          <w:rFonts w:ascii="Calibri" w:hAnsi="Calibri" w:cs="Calibri"/>
        </w:rPr>
        <w:t xml:space="preserve"> Stosowanie się do prawa i innych przepisów</w:t>
      </w:r>
    </w:p>
    <w:p w:rsidR="000F437A" w:rsidRPr="00E026AB" w:rsidRDefault="000F437A" w:rsidP="000F437A">
      <w:pPr>
        <w:rPr>
          <w:rFonts w:ascii="Calibri" w:hAnsi="Calibri" w:cs="Calibri"/>
        </w:rPr>
      </w:pPr>
      <w:r w:rsidRPr="00E026AB">
        <w:rPr>
          <w:rFonts w:ascii="Calibri" w:hAnsi="Calibri" w:cs="Calibri"/>
        </w:rPr>
        <w:tab/>
        <w:t>Wykonawca zobowiązany jest znać wszystkie zarządzenia wydane przez władze centralne i miejscowe oraz inne przepisy, regulaminy i wytyczne, które są w jakikolwiek sposób związane z wykonywanymi robotami i będzie w pełni odpowiedzialny za przestrzeganie tych postanowień podczas prowadzenia robót.</w:t>
      </w:r>
    </w:p>
    <w:p w:rsidR="000F437A" w:rsidRPr="00E026AB" w:rsidRDefault="000F437A" w:rsidP="000F437A">
      <w:pPr>
        <w:rPr>
          <w:rFonts w:ascii="Calibri" w:hAnsi="Calibri" w:cs="Calibri"/>
        </w:rPr>
      </w:pPr>
      <w:r w:rsidRPr="00E026AB">
        <w:rPr>
          <w:rFonts w:ascii="Calibri" w:hAnsi="Calibri" w:cs="Calibri"/>
        </w:rPr>
        <w:tab/>
        <w:t>Wykonawca będzie przestrzegać praw patentowych i będzie w pełni odpowiedzialny za wypełnienie wszelkich wymagań prawnych odnośnie znaków firmowych, nazw lub innych chronionych praw w odniesieniu do sprzętu, materiałów lub urządzeń użytych lub związanych z wykonywaniem robót i w sposób ciągły będzie informować Inżyniera/Kierownika projektu o swoich działaniach, przedstawiając kopie zezwoleń i inne odnośne dokumenty. Wszelkie straty, koszty postępowania, obciążenia i wydatki wynikłe z lub związane z naruszeniem jakichkolwiek praw patentowych pokryje Wykonawca, z wyjątkiem przypadków, kiedy takie naruszenie wyniknie z wykonania projektu lub specyfikacji dostarczonej przez Inżyniera/Kierownika projektu.</w:t>
      </w:r>
    </w:p>
    <w:p w:rsidR="000F437A" w:rsidRPr="00E026AB" w:rsidRDefault="000F437A" w:rsidP="000F437A">
      <w:pPr>
        <w:rPr>
          <w:rFonts w:ascii="Calibri" w:hAnsi="Calibri" w:cs="Calibri"/>
        </w:rPr>
      </w:pPr>
      <w:r w:rsidRPr="00866FC6">
        <w:rPr>
          <w:rFonts w:ascii="Calibri" w:hAnsi="Calibri" w:cs="Calibri"/>
          <w:b/>
        </w:rPr>
        <w:t>1.5.13.</w:t>
      </w:r>
      <w:r w:rsidRPr="00E026AB">
        <w:rPr>
          <w:rFonts w:ascii="Calibri" w:hAnsi="Calibri" w:cs="Calibri"/>
        </w:rPr>
        <w:t xml:space="preserve"> Równoważność norm i zbiorów przepisów prawnych</w:t>
      </w:r>
    </w:p>
    <w:p w:rsidR="000F437A" w:rsidRPr="00E026AB" w:rsidRDefault="000F437A" w:rsidP="000F437A">
      <w:pPr>
        <w:rPr>
          <w:rFonts w:ascii="Calibri" w:hAnsi="Calibri" w:cs="Calibri"/>
        </w:rPr>
      </w:pPr>
      <w:r w:rsidRPr="00E026AB">
        <w:rPr>
          <w:rFonts w:ascii="Calibri" w:hAnsi="Calibri" w:cs="Calibri"/>
        </w:rPr>
        <w:tab/>
        <w:t>Gdziekolwiek w dokumentach kontraktowych powołane są konkretne normy i przepisy, które spełniać mają materiały, sprzęt i inne towary oraz wykonane i zbadane roboty, będą obowiązywać postanowienia najnowszego wydania lub poprawionego wydania powołanych norm i przepisów o ile w warunkach kontraktu nie postanowiono inaczej. W przypadku gdy powołane normy i przepisy są państwowe lub odnoszą się do konkretnego kraju lub regionu, mogą być również stosowane inne odpowiednie normy zapewniające równy lub wyższy poziom wykonania niż powołane normy lub przepisy, pod warunkiem ich sprawdzenia i pisemnego zatwierdzenia przez Inżyniera/Kierownika projektu. Różnice pomiędzy powołanymi normami a ich proponowanymi zamiennikami muszą być dokładnie opisane przez Wykonawcę i przedłożone Inżynierowi/Kierownikowi projektu do zatwierdzenia.</w:t>
      </w:r>
    </w:p>
    <w:p w:rsidR="000F437A" w:rsidRPr="00E026AB" w:rsidRDefault="000F437A" w:rsidP="000F437A">
      <w:pPr>
        <w:rPr>
          <w:rFonts w:ascii="Calibri" w:hAnsi="Calibri" w:cs="Calibri"/>
        </w:rPr>
      </w:pPr>
      <w:r w:rsidRPr="00866FC6">
        <w:rPr>
          <w:rFonts w:ascii="Calibri" w:hAnsi="Calibri" w:cs="Calibri"/>
          <w:b/>
        </w:rPr>
        <w:t>1.5.14.</w:t>
      </w:r>
      <w:r w:rsidRPr="00E026AB">
        <w:rPr>
          <w:rFonts w:ascii="Calibri" w:hAnsi="Calibri" w:cs="Calibri"/>
        </w:rPr>
        <w:t xml:space="preserve"> Wykopaliska</w:t>
      </w:r>
    </w:p>
    <w:p w:rsidR="000F437A" w:rsidRDefault="000F437A" w:rsidP="000F437A">
      <w:pPr>
        <w:rPr>
          <w:rFonts w:ascii="Calibri" w:hAnsi="Calibri" w:cs="Calibri"/>
        </w:rPr>
      </w:pPr>
      <w:r w:rsidRPr="00E026AB">
        <w:rPr>
          <w:rFonts w:ascii="Calibri" w:hAnsi="Calibri" w:cs="Calibri"/>
        </w:rPr>
        <w:tab/>
        <w:t>Wszelkie wykopaliska, monety, przedmioty wartościowe, budowle oraz inne pozostałości o znaczeniu geologicznym lub archeologicznym odkryte na terenie budowy będą uważane za własność Zamawiającego. Wykonawca zobowiązany jest powiadomić Inżyniera/Kierownika projektu i postępować zgodnie z jego poleceniami. Jeżeli w wyniku tych poleceń Wykonawca poniesie koszty i/lub wystąpią opóźnienia w robotach, Inżynier/ Kierownik projektu po uzgodnieniu z Zamawiającym i Wykonawcą ustali wydłużenie czasu wykonania robót i/lub wysokość kwoty, o którą należy zwiększyć cenę kontraktową.</w:t>
      </w:r>
    </w:p>
    <w:p w:rsidR="000F437A" w:rsidRPr="00E026AB" w:rsidRDefault="000F437A" w:rsidP="000F437A">
      <w:pPr>
        <w:rPr>
          <w:rFonts w:ascii="Calibri" w:hAnsi="Calibri" w:cs="Calibri"/>
        </w:rPr>
      </w:pPr>
    </w:p>
    <w:p w:rsidR="000F437A" w:rsidRPr="00866FC6" w:rsidRDefault="000F437A" w:rsidP="000F437A">
      <w:pPr>
        <w:rPr>
          <w:rFonts w:ascii="Calibri" w:hAnsi="Calibri" w:cs="Calibri"/>
          <w:b/>
        </w:rPr>
      </w:pPr>
      <w:bookmarkStart w:id="6" w:name="_Toc416830699"/>
      <w:bookmarkStart w:id="7" w:name="_Toc6881280"/>
      <w:bookmarkStart w:id="8" w:name="_Toc6882153"/>
      <w:r w:rsidRPr="00866FC6">
        <w:rPr>
          <w:rFonts w:ascii="Calibri" w:hAnsi="Calibri" w:cs="Calibri"/>
          <w:b/>
        </w:rPr>
        <w:t>2. MATERIAŁY</w:t>
      </w:r>
      <w:bookmarkEnd w:id="6"/>
      <w:bookmarkEnd w:id="7"/>
      <w:bookmarkEnd w:id="8"/>
    </w:p>
    <w:p w:rsidR="000F437A" w:rsidRPr="00E026AB" w:rsidRDefault="000F437A" w:rsidP="000F437A">
      <w:pPr>
        <w:rPr>
          <w:rFonts w:ascii="Calibri" w:hAnsi="Calibri" w:cs="Calibri"/>
        </w:rPr>
      </w:pPr>
      <w:r w:rsidRPr="00866FC6">
        <w:rPr>
          <w:rFonts w:ascii="Calibri" w:hAnsi="Calibri" w:cs="Calibri"/>
          <w:b/>
        </w:rPr>
        <w:t>2.1.</w:t>
      </w:r>
      <w:r w:rsidRPr="00E026AB">
        <w:rPr>
          <w:rFonts w:ascii="Calibri" w:hAnsi="Calibri" w:cs="Calibri"/>
        </w:rPr>
        <w:t xml:space="preserve"> Źródła uzyskania materiałów</w:t>
      </w:r>
    </w:p>
    <w:p w:rsidR="000F437A" w:rsidRPr="00E026AB" w:rsidRDefault="000F437A" w:rsidP="000F437A">
      <w:pPr>
        <w:rPr>
          <w:rFonts w:ascii="Calibri" w:hAnsi="Calibri" w:cs="Calibri"/>
        </w:rPr>
      </w:pPr>
      <w:r w:rsidRPr="00E026AB">
        <w:rPr>
          <w:rFonts w:ascii="Calibri" w:hAnsi="Calibri" w:cs="Calibri"/>
        </w:rPr>
        <w:tab/>
        <w:t>Co najmniej na trzy tygodnie przed zaplanowanym wykorzystaniem jakichkolwiek materiałów przeznaczonych do robót, Wykonawca przedstawi Inżynierowi/Kierownikowi projektu do zatwierdzenia, szczegółowe informacje dotyczące proponowanego źródła wytwarzania, zamawiania lub wydobywania tych materiałów jak również odpowiednie świadectwa badań laboratoryjnych oraz próbki materiałów.</w:t>
      </w:r>
    </w:p>
    <w:p w:rsidR="000F437A" w:rsidRPr="00E026AB" w:rsidRDefault="000F437A" w:rsidP="000F437A">
      <w:pPr>
        <w:rPr>
          <w:rFonts w:ascii="Calibri" w:hAnsi="Calibri" w:cs="Calibri"/>
        </w:rPr>
      </w:pPr>
      <w:r w:rsidRPr="00E026AB">
        <w:rPr>
          <w:rFonts w:ascii="Calibri" w:hAnsi="Calibri" w:cs="Calibri"/>
        </w:rPr>
        <w:lastRenderedPageBreak/>
        <w:tab/>
        <w:t>Zatwierdzenie partii materiałów z danego źródła nie oznacza automatycznie, że wszelkie materiały z danego źródła uzyskają zatwierdzenie.</w:t>
      </w:r>
    </w:p>
    <w:p w:rsidR="000F437A" w:rsidRPr="00E026AB" w:rsidRDefault="000F437A" w:rsidP="000F437A">
      <w:pPr>
        <w:rPr>
          <w:rFonts w:ascii="Calibri" w:hAnsi="Calibri" w:cs="Calibri"/>
        </w:rPr>
      </w:pPr>
      <w:r w:rsidRPr="00E026AB">
        <w:rPr>
          <w:rFonts w:ascii="Calibri" w:hAnsi="Calibri" w:cs="Calibri"/>
        </w:rPr>
        <w:tab/>
        <w:t>Wykonawca zobowiązany jest do prowadzenia badań w celu wykazania, że materiały uzyskane z dopuszczonego źródła w spo</w:t>
      </w:r>
      <w:r>
        <w:rPr>
          <w:rFonts w:ascii="Calibri" w:hAnsi="Calibri" w:cs="Calibri"/>
        </w:rPr>
        <w:t xml:space="preserve">sób ciągły spełniają wymagania </w:t>
      </w:r>
      <w:r w:rsidRPr="00E026AB">
        <w:rPr>
          <w:rFonts w:ascii="Calibri" w:hAnsi="Calibri" w:cs="Calibri"/>
        </w:rPr>
        <w:t>ST w czasie realizacji robót.</w:t>
      </w:r>
    </w:p>
    <w:p w:rsidR="000F437A" w:rsidRPr="00E026AB" w:rsidRDefault="000F437A" w:rsidP="000F437A">
      <w:pPr>
        <w:rPr>
          <w:rFonts w:ascii="Calibri" w:hAnsi="Calibri" w:cs="Calibri"/>
        </w:rPr>
      </w:pPr>
      <w:r w:rsidRPr="00866FC6">
        <w:rPr>
          <w:rFonts w:ascii="Calibri" w:hAnsi="Calibri" w:cs="Calibri"/>
          <w:b/>
        </w:rPr>
        <w:t>2.2.</w:t>
      </w:r>
      <w:r w:rsidRPr="00E026AB">
        <w:rPr>
          <w:rFonts w:ascii="Calibri" w:hAnsi="Calibri" w:cs="Calibri"/>
        </w:rPr>
        <w:t xml:space="preserve"> Pozyskiwanie materiałów miejscowych</w:t>
      </w:r>
    </w:p>
    <w:p w:rsidR="000F437A" w:rsidRPr="00E026AB" w:rsidRDefault="000F437A" w:rsidP="000F437A">
      <w:pPr>
        <w:rPr>
          <w:rFonts w:ascii="Calibri" w:hAnsi="Calibri" w:cs="Calibri"/>
        </w:rPr>
      </w:pPr>
      <w:r w:rsidRPr="00E026AB">
        <w:rPr>
          <w:rFonts w:ascii="Calibri" w:hAnsi="Calibri" w:cs="Calibri"/>
        </w:rPr>
        <w:tab/>
        <w:t>Wykonawca odpowiada za uzyskanie pozwoleń od właścicieli i odnośnych władz na pozyskanie materiałów ze źródeł miejscowych włączając w to źródła wskazane przez Zamawiającego i jest zobowiązany dostarczyć Inżynierowi/Kierownikowi projektu wymagane dokumenty przed rozpoczęciem eksploatacji źródła.</w:t>
      </w:r>
    </w:p>
    <w:p w:rsidR="000F437A" w:rsidRPr="00E026AB" w:rsidRDefault="000F437A" w:rsidP="000F437A">
      <w:pPr>
        <w:rPr>
          <w:rFonts w:ascii="Calibri" w:hAnsi="Calibri" w:cs="Calibri"/>
        </w:rPr>
      </w:pPr>
      <w:r w:rsidRPr="00E026AB">
        <w:rPr>
          <w:rFonts w:ascii="Calibri" w:hAnsi="Calibri" w:cs="Calibri"/>
        </w:rPr>
        <w:tab/>
        <w:t>Wykonawca przedstawi Inżynierowi/Kierownikowi projektu do zatwierdzenia dokumentację zawierającą raporty z badań terenowych i laboratoryjnych oraz proponowaną przez siebie metodę wydobycia i selekcji, uwzględniając aktualne decyzje o eksploatacji, organów administracji państwowej i samorządowej.</w:t>
      </w:r>
    </w:p>
    <w:p w:rsidR="000F437A" w:rsidRPr="00E026AB" w:rsidRDefault="000F437A" w:rsidP="000F437A">
      <w:pPr>
        <w:rPr>
          <w:rFonts w:ascii="Calibri" w:hAnsi="Calibri" w:cs="Calibri"/>
        </w:rPr>
      </w:pPr>
      <w:r w:rsidRPr="00E026AB">
        <w:rPr>
          <w:rFonts w:ascii="Calibri" w:hAnsi="Calibri" w:cs="Calibri"/>
        </w:rPr>
        <w:tab/>
        <w:t>Wykonawca ponosi odpowiedzialność za spełnienie wymagań ilościowych i jakościowych materiałów pochodzących ze źródeł miejscowych.</w:t>
      </w:r>
    </w:p>
    <w:p w:rsidR="000F437A" w:rsidRPr="00E026AB" w:rsidRDefault="000F437A" w:rsidP="000F437A">
      <w:pPr>
        <w:rPr>
          <w:rFonts w:ascii="Calibri" w:hAnsi="Calibri" w:cs="Calibri"/>
        </w:rPr>
      </w:pPr>
      <w:r w:rsidRPr="00E026AB">
        <w:rPr>
          <w:rFonts w:ascii="Calibri" w:hAnsi="Calibri" w:cs="Calibri"/>
        </w:rPr>
        <w:tab/>
        <w:t>Wykonawca ponosi wszystkie koszty, z tytułu wydobycia materiałów, dzierżawy i inne jakie okażą się potrzebne w związku  z dostarczeniem materiałów do robót.</w:t>
      </w:r>
    </w:p>
    <w:p w:rsidR="000F437A" w:rsidRPr="00E026AB" w:rsidRDefault="000F437A" w:rsidP="000F437A">
      <w:pPr>
        <w:rPr>
          <w:rFonts w:ascii="Calibri" w:hAnsi="Calibri" w:cs="Calibri"/>
        </w:rPr>
      </w:pPr>
      <w:r w:rsidRPr="00E026AB">
        <w:rPr>
          <w:rFonts w:ascii="Calibri" w:hAnsi="Calibri" w:cs="Calibri"/>
        </w:rPr>
        <w:tab/>
        <w:t>Humus i nadkład czasowo zdjęte z terenu wykopów, dokopów i miejsc pozyskania materiałów miejscowych będą formowane w hałdy i wykorzystane przy zasypce i rekultywacji terenu po ukończeniu robót.</w:t>
      </w:r>
    </w:p>
    <w:p w:rsidR="000F437A" w:rsidRPr="00E026AB" w:rsidRDefault="000F437A" w:rsidP="000F437A">
      <w:pPr>
        <w:rPr>
          <w:rFonts w:ascii="Calibri" w:hAnsi="Calibri" w:cs="Calibri"/>
        </w:rPr>
      </w:pPr>
      <w:r w:rsidRPr="00E026AB">
        <w:rPr>
          <w:rFonts w:ascii="Calibri" w:hAnsi="Calibri" w:cs="Calibri"/>
        </w:rPr>
        <w:tab/>
        <w:t>Wszystkie odpowiednie materiały pozyskane z wykopów na terenie budowy lub z innych miejsc wskazanych w dokumentach umowy będą wykorzystane do robót lub odwiezione na odkład odpowiednio do wymagań umowy lub wskazań Inżyniera/Kierownika projektu.</w:t>
      </w:r>
    </w:p>
    <w:p w:rsidR="000F437A" w:rsidRPr="00E026AB" w:rsidRDefault="000F437A" w:rsidP="000F437A">
      <w:pPr>
        <w:rPr>
          <w:rFonts w:ascii="Calibri" w:hAnsi="Calibri" w:cs="Calibri"/>
        </w:rPr>
      </w:pPr>
      <w:r w:rsidRPr="00E026AB">
        <w:rPr>
          <w:rFonts w:ascii="Calibri" w:hAnsi="Calibri" w:cs="Calibri"/>
        </w:rPr>
        <w:tab/>
        <w:t>Wykonawca nie będzie prowadzić żadnych wykopów w obrębie terenu budowy poza tymi, które zostały wyszczególnione w dokumentach umowy, chyba, że uzyska na to pisemną zgodę Inżyniera/Kierownika projektu.</w:t>
      </w:r>
    </w:p>
    <w:p w:rsidR="000F437A" w:rsidRPr="00E026AB" w:rsidRDefault="000F437A" w:rsidP="000F437A">
      <w:pPr>
        <w:rPr>
          <w:rFonts w:ascii="Calibri" w:hAnsi="Calibri" w:cs="Calibri"/>
        </w:rPr>
      </w:pPr>
      <w:r w:rsidRPr="00E026AB">
        <w:rPr>
          <w:rFonts w:ascii="Calibri" w:hAnsi="Calibri" w:cs="Calibri"/>
        </w:rPr>
        <w:tab/>
        <w:t>Eksploatacja źródeł materiałów będzie zgodna z wszelkimi regulacjami prawnymi obowiązującymi na danym obszarze.</w:t>
      </w:r>
    </w:p>
    <w:p w:rsidR="000F437A" w:rsidRPr="00E026AB" w:rsidRDefault="000F437A" w:rsidP="000F437A">
      <w:pPr>
        <w:rPr>
          <w:rFonts w:ascii="Calibri" w:hAnsi="Calibri" w:cs="Calibri"/>
        </w:rPr>
      </w:pPr>
      <w:r w:rsidRPr="00866FC6">
        <w:rPr>
          <w:rFonts w:ascii="Calibri" w:hAnsi="Calibri" w:cs="Calibri"/>
          <w:b/>
        </w:rPr>
        <w:t>2.3.</w:t>
      </w:r>
      <w:r w:rsidRPr="00E026AB">
        <w:rPr>
          <w:rFonts w:ascii="Calibri" w:hAnsi="Calibri" w:cs="Calibri"/>
        </w:rPr>
        <w:t xml:space="preserve"> Materiały nie odpowiadające wymaganiom</w:t>
      </w:r>
    </w:p>
    <w:p w:rsidR="000F437A" w:rsidRPr="00E026AB" w:rsidRDefault="000F437A" w:rsidP="000F437A">
      <w:pPr>
        <w:rPr>
          <w:rFonts w:ascii="Calibri" w:hAnsi="Calibri" w:cs="Calibri"/>
        </w:rPr>
      </w:pPr>
      <w:r w:rsidRPr="00E026AB">
        <w:rPr>
          <w:rFonts w:ascii="Calibri" w:hAnsi="Calibri" w:cs="Calibri"/>
        </w:rPr>
        <w:tab/>
        <w:t>Materiały nie odpowiadające wymaganiom zostaną przez Wykonawcę wywiezione z terenu budowy  i złożone w miejscu wskazanym przez Inżyniera/Kierownika projektu. Jeśli Inżynier/Kierownik projektu zezwoli Wykonawcy na użycie tych materiałów do innych robót, niż te dla których zostały zakupione, to koszt tych materiałów zostanie odpowiednio przewartościowany (skorygowany) przez Inżyniera/Kierownika projektu.</w:t>
      </w:r>
    </w:p>
    <w:p w:rsidR="000F437A" w:rsidRPr="00E026AB" w:rsidRDefault="000F437A" w:rsidP="000F437A">
      <w:pPr>
        <w:rPr>
          <w:rFonts w:ascii="Calibri" w:hAnsi="Calibri" w:cs="Calibri"/>
        </w:rPr>
      </w:pPr>
      <w:r w:rsidRPr="00E026AB">
        <w:rPr>
          <w:rFonts w:ascii="Calibri" w:hAnsi="Calibri" w:cs="Calibri"/>
        </w:rPr>
        <w:tab/>
        <w:t>Każdy rodzaj robót, w którym znajdują się nie zbadane i nie zaakceptowane materiały, Wykonawca wykonuje na własne ryzyko, licząc się z jego nieprzyjęciem, usunięciem  i niezapłaceniem</w:t>
      </w:r>
      <w:r>
        <w:rPr>
          <w:rFonts w:ascii="Calibri" w:hAnsi="Calibri" w:cs="Calibri"/>
        </w:rPr>
        <w:t>.</w:t>
      </w:r>
    </w:p>
    <w:p w:rsidR="000F437A" w:rsidRPr="00E026AB" w:rsidRDefault="000F437A" w:rsidP="000F437A">
      <w:pPr>
        <w:rPr>
          <w:rFonts w:ascii="Calibri" w:hAnsi="Calibri" w:cs="Calibri"/>
        </w:rPr>
      </w:pPr>
      <w:r w:rsidRPr="00866FC6">
        <w:rPr>
          <w:rFonts w:ascii="Calibri" w:hAnsi="Calibri" w:cs="Calibri"/>
          <w:b/>
        </w:rPr>
        <w:t>2.4.</w:t>
      </w:r>
      <w:r w:rsidRPr="00E026AB">
        <w:rPr>
          <w:rFonts w:ascii="Calibri" w:hAnsi="Calibri" w:cs="Calibri"/>
        </w:rPr>
        <w:t xml:space="preserve"> Wariantowe stosowanie materiałów</w:t>
      </w:r>
    </w:p>
    <w:p w:rsidR="000F437A" w:rsidRPr="00E026AB" w:rsidRDefault="000F437A" w:rsidP="000F437A">
      <w:pPr>
        <w:rPr>
          <w:rFonts w:ascii="Calibri" w:hAnsi="Calibri" w:cs="Calibri"/>
        </w:rPr>
      </w:pPr>
      <w:r w:rsidRPr="00E026AB">
        <w:rPr>
          <w:rFonts w:ascii="Calibri" w:hAnsi="Calibri" w:cs="Calibri"/>
        </w:rPr>
        <w:tab/>
        <w:t>Jeś</w:t>
      </w:r>
      <w:r>
        <w:rPr>
          <w:rFonts w:ascii="Calibri" w:hAnsi="Calibri" w:cs="Calibri"/>
        </w:rPr>
        <w:t xml:space="preserve">li dokumentacja projektowa lub </w:t>
      </w:r>
      <w:r w:rsidRPr="00E026AB">
        <w:rPr>
          <w:rFonts w:ascii="Calibri" w:hAnsi="Calibri" w:cs="Calibri"/>
        </w:rPr>
        <w:t>ST przewidują możliwość wariantowego zastosowania rodzaju materiału w wykonywanych robotach, Wykonawca powiadomi Inżyniera/Kierownika projektu o swoim zamiarze co najmniej 3 tygodnie przed użyciem tego materiału, albo w okresie dłuższym, jeśli będzie to potrzebne z uwagi na wykonanie badań wymaganych przez Inżyniera/Kierownika projektu. Wybrany i zaakceptowany rodzaj materiału nie może być później zmieniany bez zgody Inżyniera/Kierownika projektu.</w:t>
      </w:r>
    </w:p>
    <w:p w:rsidR="000F437A" w:rsidRPr="00E026AB" w:rsidRDefault="000F437A" w:rsidP="000F437A">
      <w:pPr>
        <w:rPr>
          <w:rFonts w:ascii="Calibri" w:hAnsi="Calibri" w:cs="Calibri"/>
        </w:rPr>
      </w:pPr>
      <w:r w:rsidRPr="00866FC6">
        <w:rPr>
          <w:rFonts w:ascii="Calibri" w:hAnsi="Calibri" w:cs="Calibri"/>
          <w:b/>
        </w:rPr>
        <w:t>2.5.</w:t>
      </w:r>
      <w:r w:rsidRPr="00E026AB">
        <w:rPr>
          <w:rFonts w:ascii="Calibri" w:hAnsi="Calibri" w:cs="Calibri"/>
        </w:rPr>
        <w:t xml:space="preserve"> Przechowywanie i składowanie materiałów</w:t>
      </w:r>
    </w:p>
    <w:p w:rsidR="000F437A" w:rsidRPr="00E026AB" w:rsidRDefault="000F437A" w:rsidP="000F437A">
      <w:pPr>
        <w:rPr>
          <w:rFonts w:ascii="Calibri" w:hAnsi="Calibri" w:cs="Calibri"/>
        </w:rPr>
      </w:pPr>
      <w:r w:rsidRPr="00E026AB">
        <w:rPr>
          <w:rFonts w:ascii="Calibri" w:hAnsi="Calibri" w:cs="Calibri"/>
        </w:rPr>
        <w:tab/>
        <w:t>Wykonawca zapewni, aby tymczasowo składowane materiały, do czasu gdy będą one użyte do robót, były zabezpieczone przed zanieczyszczeniami, zachowały swoją jakość i właściwości i były dostępne do kontroli przez Inżyniera/Kierownika projektu.</w:t>
      </w:r>
    </w:p>
    <w:p w:rsidR="000F437A" w:rsidRPr="00E026AB" w:rsidRDefault="000F437A" w:rsidP="000F437A">
      <w:pPr>
        <w:rPr>
          <w:rFonts w:ascii="Calibri" w:hAnsi="Calibri" w:cs="Calibri"/>
        </w:rPr>
      </w:pPr>
      <w:r w:rsidRPr="00E026AB">
        <w:rPr>
          <w:rFonts w:ascii="Calibri" w:hAnsi="Calibri" w:cs="Calibri"/>
        </w:rPr>
        <w:tab/>
        <w:t>Miejsca czasowego składowania materiałów będą zlokalizowane w obrębie terenu budowy w miejscach uzgodnionych z Inżynierem/Kierownikiem projektu lub poza terenem budowy w miejscach zorganizowanych przez Wykonawcę i zaakceptowanych przez Inżyniera/Kierownika projektu.</w:t>
      </w:r>
    </w:p>
    <w:p w:rsidR="000F437A" w:rsidRPr="00E026AB" w:rsidRDefault="000F437A" w:rsidP="000F437A">
      <w:pPr>
        <w:rPr>
          <w:rFonts w:ascii="Calibri" w:hAnsi="Calibri" w:cs="Calibri"/>
        </w:rPr>
      </w:pPr>
      <w:r w:rsidRPr="00866FC6">
        <w:rPr>
          <w:rFonts w:ascii="Calibri" w:hAnsi="Calibri" w:cs="Calibri"/>
          <w:b/>
        </w:rPr>
        <w:t>2.6.</w:t>
      </w:r>
      <w:r w:rsidRPr="00E026AB">
        <w:rPr>
          <w:rFonts w:ascii="Calibri" w:hAnsi="Calibri" w:cs="Calibri"/>
        </w:rPr>
        <w:t xml:space="preserve"> Inspekcja wytwórni materiałów</w:t>
      </w:r>
    </w:p>
    <w:p w:rsidR="000F437A" w:rsidRPr="00E026AB" w:rsidRDefault="000F437A" w:rsidP="000F437A">
      <w:pPr>
        <w:rPr>
          <w:rFonts w:ascii="Calibri" w:hAnsi="Calibri" w:cs="Calibri"/>
        </w:rPr>
      </w:pPr>
      <w:r w:rsidRPr="00E026AB">
        <w:rPr>
          <w:rFonts w:ascii="Calibri" w:hAnsi="Calibri" w:cs="Calibri"/>
        </w:rPr>
        <w:tab/>
        <w:t>Wytwórnie materiałów mogą być okresowo kontrolowane przez Inżyniera/ Kierownika projektu w celu sprawdzenia zgodności stosowanych metod produkcji z wymaganiami. Próbki materiałów mogą być pobierane w celu sprawdzenia ich właściwości. Wyniki tych kontroli będą stanowić podstawę do akceptacji określonej partii materiałów pod względem jakości.</w:t>
      </w:r>
    </w:p>
    <w:p w:rsidR="000F437A" w:rsidRPr="00E026AB" w:rsidRDefault="000F437A" w:rsidP="000F437A">
      <w:pPr>
        <w:rPr>
          <w:rFonts w:ascii="Calibri" w:hAnsi="Calibri" w:cs="Calibri"/>
        </w:rPr>
      </w:pPr>
      <w:r w:rsidRPr="00E026AB">
        <w:rPr>
          <w:rFonts w:ascii="Calibri" w:hAnsi="Calibri" w:cs="Calibri"/>
        </w:rPr>
        <w:tab/>
        <w:t>W przypadku, gdy Inżynier/Kierownik projektu będzie przeprowadzał inspekcję wytwórni, muszą być spełnione następujące warunki:</w:t>
      </w:r>
    </w:p>
    <w:p w:rsidR="000F437A" w:rsidRPr="00E026AB" w:rsidRDefault="000F437A" w:rsidP="000F437A">
      <w:pPr>
        <w:rPr>
          <w:rFonts w:ascii="Calibri" w:hAnsi="Calibri" w:cs="Calibri"/>
        </w:rPr>
      </w:pPr>
      <w:r w:rsidRPr="00E026AB">
        <w:rPr>
          <w:rFonts w:ascii="Calibri" w:hAnsi="Calibri" w:cs="Calibri"/>
        </w:rPr>
        <w:t>Inżynier/Kierownik projektu będzie miał zapewnioną współpracę i pomoc Wykonawcy oraz producenta materiałów w czasie przeprowadzania inspekcji,</w:t>
      </w:r>
    </w:p>
    <w:p w:rsidR="000F437A" w:rsidRPr="00E026AB" w:rsidRDefault="000F437A" w:rsidP="000F437A">
      <w:pPr>
        <w:rPr>
          <w:rFonts w:ascii="Calibri" w:hAnsi="Calibri" w:cs="Calibri"/>
        </w:rPr>
      </w:pPr>
      <w:r w:rsidRPr="00E026AB">
        <w:rPr>
          <w:rFonts w:ascii="Calibri" w:hAnsi="Calibri" w:cs="Calibri"/>
        </w:rPr>
        <w:lastRenderedPageBreak/>
        <w:t>Inżynier/Kierownik projektu będzie miał wolny dostęp, w dowolnym czasie, do tych części wytwórni, gdzie odbywa się produkcja materiałów przeznaczonych do realizacji robót,</w:t>
      </w:r>
    </w:p>
    <w:p w:rsidR="000F437A" w:rsidRDefault="000F437A" w:rsidP="000F437A">
      <w:pPr>
        <w:rPr>
          <w:rFonts w:ascii="Calibri" w:hAnsi="Calibri" w:cs="Calibri"/>
        </w:rPr>
      </w:pPr>
      <w:r w:rsidRPr="00E026AB">
        <w:rPr>
          <w:rFonts w:ascii="Calibri" w:hAnsi="Calibri" w:cs="Calibri"/>
        </w:rPr>
        <w:t>Jeżeli produkcja odbywa się w miejscu nie należącym do Wykonawcy, Wykonawca uzyska dla Inżyniera/Kierownika projektu zezwolenie dla przeprowadzenia inspekcji i badań w tych miejscach.</w:t>
      </w:r>
    </w:p>
    <w:p w:rsidR="00AB299E" w:rsidRDefault="00AB299E" w:rsidP="000F437A">
      <w:pPr>
        <w:rPr>
          <w:rFonts w:ascii="Calibri" w:hAnsi="Calibri" w:cs="Calibri"/>
        </w:rPr>
      </w:pPr>
    </w:p>
    <w:p w:rsidR="000F437A" w:rsidRPr="00AC6F7C" w:rsidRDefault="000F437A" w:rsidP="000F437A">
      <w:pPr>
        <w:rPr>
          <w:rFonts w:ascii="Calibri" w:hAnsi="Calibri" w:cs="Calibri"/>
          <w:b/>
        </w:rPr>
      </w:pPr>
      <w:bookmarkStart w:id="9" w:name="_Toc416830700"/>
      <w:bookmarkStart w:id="10" w:name="_Toc6881281"/>
      <w:bookmarkStart w:id="11" w:name="_Toc6882154"/>
      <w:r w:rsidRPr="00AC6F7C">
        <w:rPr>
          <w:rFonts w:ascii="Calibri" w:hAnsi="Calibri" w:cs="Calibri"/>
          <w:b/>
        </w:rPr>
        <w:t xml:space="preserve">3. </w:t>
      </w:r>
      <w:bookmarkEnd w:id="9"/>
      <w:bookmarkEnd w:id="10"/>
      <w:bookmarkEnd w:id="11"/>
      <w:r w:rsidRPr="00AC6F7C">
        <w:rPr>
          <w:rFonts w:ascii="Calibri" w:hAnsi="Calibri" w:cs="Calibri"/>
          <w:b/>
        </w:rPr>
        <w:t>SPRZĘT</w:t>
      </w:r>
    </w:p>
    <w:p w:rsidR="000F437A" w:rsidRPr="00E026AB" w:rsidRDefault="000F437A" w:rsidP="000F437A">
      <w:pPr>
        <w:rPr>
          <w:rFonts w:ascii="Calibri" w:hAnsi="Calibri" w:cs="Calibri"/>
        </w:rPr>
      </w:pPr>
      <w:r w:rsidRPr="00E026AB">
        <w:rPr>
          <w:rFonts w:ascii="Calibri" w:hAnsi="Calibri" w:cs="Calibri"/>
        </w:rPr>
        <w:tab/>
        <w:t xml:space="preserve">Wykonawca jest zobowiązany do używania jedynie takiego sprzętu, który nie spowoduje niekorzystnego wpływu na jakość wykonywanych robót. Sprzęt używany do robót powinien być zgodny z ofertą Wykonawcy i powinien odpowiadać pod względem typów </w:t>
      </w:r>
      <w:r>
        <w:rPr>
          <w:rFonts w:ascii="Calibri" w:hAnsi="Calibri" w:cs="Calibri"/>
        </w:rPr>
        <w:t xml:space="preserve">i ilości wskazaniom zawartym w </w:t>
      </w:r>
      <w:r w:rsidRPr="00E026AB">
        <w:rPr>
          <w:rFonts w:ascii="Calibri" w:hAnsi="Calibri" w:cs="Calibri"/>
        </w:rPr>
        <w:t>ST, PZJ lub projekcie organizacji robót, zaakceptowanym przez Inżyniera/Kierownika projektu; w przypadku braku ustaleń w wymienionych wyżej dokumentach, sprzęt powinien być uzgodniony i zaakceptowany przez Inżyniera/Kierownika projektu.</w:t>
      </w:r>
    </w:p>
    <w:p w:rsidR="000F437A" w:rsidRPr="00E026AB" w:rsidRDefault="000F437A" w:rsidP="000F437A">
      <w:pPr>
        <w:rPr>
          <w:rFonts w:ascii="Calibri" w:hAnsi="Calibri" w:cs="Calibri"/>
        </w:rPr>
      </w:pPr>
      <w:r w:rsidRPr="00E026AB">
        <w:rPr>
          <w:rFonts w:ascii="Calibri" w:hAnsi="Calibri" w:cs="Calibri"/>
        </w:rPr>
        <w:tab/>
        <w:t>Liczba i wydajność sprzętu powinny gwarantować przeprowadzenie robót, zgodnie z zasadami określony</w:t>
      </w:r>
      <w:r>
        <w:rPr>
          <w:rFonts w:ascii="Calibri" w:hAnsi="Calibri" w:cs="Calibri"/>
        </w:rPr>
        <w:t xml:space="preserve">mi w dokumentacji projektowej, </w:t>
      </w:r>
      <w:r w:rsidRPr="00E026AB">
        <w:rPr>
          <w:rFonts w:ascii="Calibri" w:hAnsi="Calibri" w:cs="Calibri"/>
        </w:rPr>
        <w:t>ST i wskazaniach Inżyniera/ Kierownika projektu.</w:t>
      </w:r>
    </w:p>
    <w:p w:rsidR="000F437A" w:rsidRPr="00E026AB" w:rsidRDefault="000F437A" w:rsidP="000F437A">
      <w:pPr>
        <w:rPr>
          <w:rFonts w:ascii="Calibri" w:hAnsi="Calibri" w:cs="Calibri"/>
        </w:rPr>
      </w:pPr>
      <w:r w:rsidRPr="00E026AB">
        <w:rPr>
          <w:rFonts w:ascii="Calibri" w:hAnsi="Calibri" w:cs="Calibri"/>
        </w:rPr>
        <w:tab/>
        <w:t>Sprzęt będący własnością Wykonawcy lub wynajęty do wykonania robót ma być utrzymywany w dobrym stanie i gotowości do pracy. Powinien być zgodny z normami ochrony środowiska i przepisami dotyczącymi jego użytkowania.</w:t>
      </w:r>
    </w:p>
    <w:p w:rsidR="000F437A" w:rsidRPr="00E026AB" w:rsidRDefault="000F437A" w:rsidP="000F437A">
      <w:pPr>
        <w:rPr>
          <w:rFonts w:ascii="Calibri" w:hAnsi="Calibri" w:cs="Calibri"/>
        </w:rPr>
      </w:pPr>
      <w:r w:rsidRPr="00E026AB">
        <w:rPr>
          <w:rFonts w:ascii="Calibri" w:hAnsi="Calibri" w:cs="Calibri"/>
        </w:rPr>
        <w:tab/>
        <w:t>Wykonawca dostarczy Inżynierowi/Kierownikowi projektu kopie dokumentów potwierdzających dopuszczenie sprzętu do użytkowania i badań okresowych, tam gdzie jest to wymagane przepisami.</w:t>
      </w:r>
    </w:p>
    <w:p w:rsidR="000F437A" w:rsidRPr="00E026AB" w:rsidRDefault="000F437A" w:rsidP="000F437A">
      <w:pPr>
        <w:rPr>
          <w:rFonts w:ascii="Calibri" w:hAnsi="Calibri" w:cs="Calibri"/>
        </w:rPr>
      </w:pPr>
      <w:r w:rsidRPr="00E026AB">
        <w:rPr>
          <w:rFonts w:ascii="Calibri" w:hAnsi="Calibri" w:cs="Calibri"/>
        </w:rPr>
        <w:tab/>
        <w:t>Wykonawca będzie konserwować sprzęt jak również naprawiać lub wymieniać sprzęt niesprawny.</w:t>
      </w:r>
    </w:p>
    <w:p w:rsidR="000F437A" w:rsidRPr="00E026AB" w:rsidRDefault="000F437A" w:rsidP="000F437A">
      <w:pPr>
        <w:rPr>
          <w:rFonts w:ascii="Calibri" w:hAnsi="Calibri" w:cs="Calibri"/>
        </w:rPr>
      </w:pPr>
      <w:r w:rsidRPr="00E026AB">
        <w:rPr>
          <w:rFonts w:ascii="Calibri" w:hAnsi="Calibri" w:cs="Calibri"/>
        </w:rPr>
        <w:tab/>
        <w:t>Jeżeli dokumentacj</w:t>
      </w:r>
      <w:r>
        <w:rPr>
          <w:rFonts w:ascii="Calibri" w:hAnsi="Calibri" w:cs="Calibri"/>
        </w:rPr>
        <w:t xml:space="preserve">a projektowa lub </w:t>
      </w:r>
      <w:r w:rsidRPr="00E026AB">
        <w:rPr>
          <w:rFonts w:ascii="Calibri" w:hAnsi="Calibri" w:cs="Calibri"/>
        </w:rPr>
        <w:t>ST przewidują możliwość wariantowego użycia sprzętu przy wykonywanych robotach, Wykonawca powiadomi Inżyniera/ Kierownika projektu o swoim zamiarze wyboru i uzyska jego akceptację przed użyciem sprzętu. Wybrany sprzęt, po akceptacji Inżyniera/Kierownika projektu, nie może być później zmieniany bez jego zgody.</w:t>
      </w:r>
    </w:p>
    <w:p w:rsidR="000F437A" w:rsidRDefault="000F437A" w:rsidP="000F437A">
      <w:pPr>
        <w:rPr>
          <w:rFonts w:ascii="Calibri" w:hAnsi="Calibri" w:cs="Calibri"/>
        </w:rPr>
      </w:pPr>
      <w:r w:rsidRPr="00E026AB">
        <w:rPr>
          <w:rFonts w:ascii="Calibri" w:hAnsi="Calibri" w:cs="Calibri"/>
        </w:rPr>
        <w:tab/>
        <w:t>Jakikolwiek sprzęt, maszyny, urządzenia i narzędzia nie gwarantujące zachowania warunków umowy, zostaną przez Inżyniera/Kierownika projektu zdyskwalifikowane i nie dopuszczone do robót.</w:t>
      </w:r>
    </w:p>
    <w:p w:rsidR="000F437A" w:rsidRPr="00E026AB" w:rsidRDefault="000F437A" w:rsidP="000F437A">
      <w:pPr>
        <w:rPr>
          <w:rFonts w:ascii="Calibri" w:hAnsi="Calibri" w:cs="Calibri"/>
        </w:rPr>
      </w:pPr>
    </w:p>
    <w:p w:rsidR="000F437A" w:rsidRPr="00AC6F7C" w:rsidRDefault="000F437A" w:rsidP="000F437A">
      <w:pPr>
        <w:rPr>
          <w:rFonts w:ascii="Calibri" w:hAnsi="Calibri" w:cs="Calibri"/>
          <w:b/>
        </w:rPr>
      </w:pPr>
      <w:bookmarkStart w:id="12" w:name="_Toc416830701"/>
      <w:bookmarkStart w:id="13" w:name="_Toc6881282"/>
      <w:bookmarkStart w:id="14" w:name="_Toc6882155"/>
      <w:r w:rsidRPr="00AC6F7C">
        <w:rPr>
          <w:rFonts w:ascii="Calibri" w:hAnsi="Calibri" w:cs="Calibri"/>
          <w:b/>
        </w:rPr>
        <w:t xml:space="preserve">4. </w:t>
      </w:r>
      <w:bookmarkEnd w:id="12"/>
      <w:bookmarkEnd w:id="13"/>
      <w:bookmarkEnd w:id="14"/>
      <w:r w:rsidRPr="00AC6F7C">
        <w:rPr>
          <w:rFonts w:ascii="Calibri" w:hAnsi="Calibri" w:cs="Calibri"/>
          <w:b/>
        </w:rPr>
        <w:t>TRANSPORT</w:t>
      </w:r>
    </w:p>
    <w:p w:rsidR="000F437A" w:rsidRPr="00E026AB" w:rsidRDefault="000F437A" w:rsidP="000F437A">
      <w:pPr>
        <w:rPr>
          <w:rFonts w:ascii="Calibri" w:hAnsi="Calibri" w:cs="Calibri"/>
        </w:rPr>
      </w:pPr>
      <w:r w:rsidRPr="00E026AB">
        <w:rPr>
          <w:rFonts w:ascii="Calibri" w:hAnsi="Calibri" w:cs="Calibri"/>
        </w:rPr>
        <w:tab/>
        <w:t>Wykonawca jest zobowiązany do stosowania jedynie takich środków transportu, które nie wpłyną niekorzystnie na jakość wykonywanych robót i właściwości przewożonych materiałów.</w:t>
      </w:r>
    </w:p>
    <w:p w:rsidR="000F437A" w:rsidRPr="00E026AB" w:rsidRDefault="000F437A" w:rsidP="000F437A">
      <w:pPr>
        <w:rPr>
          <w:rFonts w:ascii="Calibri" w:hAnsi="Calibri" w:cs="Calibri"/>
        </w:rPr>
      </w:pPr>
      <w:r w:rsidRPr="00E026AB">
        <w:rPr>
          <w:rFonts w:ascii="Calibri" w:hAnsi="Calibri" w:cs="Calibri"/>
        </w:rPr>
        <w:tab/>
        <w:t>Liczba środków transportu powinna zapewniać prowadzenie robót zgodnie z zasadami określony</w:t>
      </w:r>
      <w:r>
        <w:rPr>
          <w:rFonts w:ascii="Calibri" w:hAnsi="Calibri" w:cs="Calibri"/>
        </w:rPr>
        <w:t xml:space="preserve">mi w dokumentacji projektowej, </w:t>
      </w:r>
      <w:r w:rsidRPr="00E026AB">
        <w:rPr>
          <w:rFonts w:ascii="Calibri" w:hAnsi="Calibri" w:cs="Calibri"/>
        </w:rPr>
        <w:t>ST i wskazaniach Inżyniera/ Kierownika projektu, w terminie przewidzianym umową.</w:t>
      </w:r>
    </w:p>
    <w:p w:rsidR="000F437A" w:rsidRPr="00E026AB" w:rsidRDefault="000F437A" w:rsidP="000F437A">
      <w:pPr>
        <w:rPr>
          <w:rFonts w:ascii="Calibri" w:hAnsi="Calibri" w:cs="Calibri"/>
        </w:rPr>
      </w:pPr>
      <w:r w:rsidRPr="00E026AB">
        <w:rPr>
          <w:rFonts w:ascii="Calibri" w:hAnsi="Calibri" w:cs="Calibri"/>
        </w:rPr>
        <w:tab/>
        <w:t>Przy ruchu na drogach publicznych pojazdy będą spełniać wymagania dotyczące przepisów ruchu drogowego w odniesieniu do dopuszczalnych nacisków na oś i innych parametrów technicznych. Środki transportu nie spełniające tych warunków mogą być dopuszczone przez Inżyniera/Kierownika projektu, pod warunkiem przywrócenia stanu pierwotnego użytkowanych odcinków dróg na koszt Wykonawcy.</w:t>
      </w:r>
    </w:p>
    <w:p w:rsidR="000F437A" w:rsidRDefault="000F437A" w:rsidP="000F437A">
      <w:pPr>
        <w:rPr>
          <w:rFonts w:ascii="Calibri" w:hAnsi="Calibri" w:cs="Calibri"/>
        </w:rPr>
      </w:pPr>
      <w:r w:rsidRPr="00E026AB">
        <w:rPr>
          <w:rFonts w:ascii="Calibri" w:hAnsi="Calibri" w:cs="Calibri"/>
        </w:rPr>
        <w:tab/>
        <w:t>Wykonawca będzie usuwać na bieżąco, na własny koszt, wszelkie zanieczyszczenia, uszkodzenia spowodowane jego pojazdami na drogach publicznych oraz dojazdach do terenu budowy.</w:t>
      </w:r>
    </w:p>
    <w:p w:rsidR="000F437A" w:rsidRPr="00E026AB" w:rsidRDefault="000F437A" w:rsidP="000F437A">
      <w:pPr>
        <w:rPr>
          <w:rFonts w:ascii="Calibri" w:hAnsi="Calibri" w:cs="Calibri"/>
        </w:rPr>
      </w:pPr>
    </w:p>
    <w:p w:rsidR="000F437A" w:rsidRPr="00644EFF" w:rsidRDefault="000F437A" w:rsidP="000F437A">
      <w:pPr>
        <w:rPr>
          <w:rFonts w:ascii="Calibri" w:hAnsi="Calibri" w:cs="Calibri"/>
          <w:b/>
        </w:rPr>
      </w:pPr>
      <w:bookmarkStart w:id="15" w:name="_Toc416830702"/>
      <w:bookmarkStart w:id="16" w:name="_Toc6881283"/>
      <w:bookmarkStart w:id="17" w:name="_Toc6882156"/>
      <w:r w:rsidRPr="00644EFF">
        <w:rPr>
          <w:rFonts w:ascii="Calibri" w:hAnsi="Calibri" w:cs="Calibri"/>
          <w:b/>
        </w:rPr>
        <w:t xml:space="preserve">5. </w:t>
      </w:r>
      <w:bookmarkEnd w:id="15"/>
      <w:bookmarkEnd w:id="16"/>
      <w:bookmarkEnd w:id="17"/>
      <w:r w:rsidRPr="00644EFF">
        <w:rPr>
          <w:rFonts w:ascii="Calibri" w:hAnsi="Calibri" w:cs="Calibri"/>
          <w:b/>
        </w:rPr>
        <w:t>WYKONANIE ROBÓT</w:t>
      </w:r>
    </w:p>
    <w:p w:rsidR="000F437A" w:rsidRPr="00E026AB" w:rsidRDefault="000F437A" w:rsidP="000F437A">
      <w:pPr>
        <w:rPr>
          <w:rFonts w:ascii="Calibri" w:hAnsi="Calibri" w:cs="Calibri"/>
        </w:rPr>
      </w:pPr>
      <w:r w:rsidRPr="00E026AB">
        <w:rPr>
          <w:rFonts w:ascii="Calibri" w:hAnsi="Calibri" w:cs="Calibri"/>
        </w:rPr>
        <w:tab/>
        <w:t>Wykonawca jest odpowiedzialny za prowadzenie robót zgodnie z warunkami umowy oraz za jakość zastosowanych materiałów i wykonywanych robót, za ich zgodność z dokume</w:t>
      </w:r>
      <w:r>
        <w:rPr>
          <w:rFonts w:ascii="Calibri" w:hAnsi="Calibri" w:cs="Calibri"/>
        </w:rPr>
        <w:t xml:space="preserve">ntacją projektową, wymaganiami </w:t>
      </w:r>
      <w:r w:rsidRPr="00E026AB">
        <w:rPr>
          <w:rFonts w:ascii="Calibri" w:hAnsi="Calibri" w:cs="Calibri"/>
        </w:rPr>
        <w:t>ST, PZJ, projektem organizacji robót opracowanym przez Wykonawcę oraz poleceniami Inżyniera/Kierownika projektu.</w:t>
      </w:r>
    </w:p>
    <w:p w:rsidR="000F437A" w:rsidRPr="00E026AB" w:rsidRDefault="000F437A" w:rsidP="000F437A">
      <w:pPr>
        <w:rPr>
          <w:rFonts w:ascii="Calibri" w:hAnsi="Calibri" w:cs="Calibri"/>
        </w:rPr>
      </w:pPr>
      <w:r w:rsidRPr="00E026AB">
        <w:rPr>
          <w:rFonts w:ascii="Calibri" w:hAnsi="Calibri" w:cs="Calibri"/>
        </w:rPr>
        <w:tab/>
        <w:t>Wykonawca jest odpowiedzialny za stosowane metody wykonywania robót.</w:t>
      </w:r>
    </w:p>
    <w:p w:rsidR="000F437A" w:rsidRPr="00E026AB" w:rsidRDefault="000F437A" w:rsidP="000F437A">
      <w:pPr>
        <w:rPr>
          <w:rFonts w:ascii="Calibri" w:hAnsi="Calibri" w:cs="Calibri"/>
        </w:rPr>
      </w:pPr>
      <w:r w:rsidRPr="00E026AB">
        <w:rPr>
          <w:rFonts w:ascii="Calibri" w:hAnsi="Calibri" w:cs="Calibri"/>
        </w:rPr>
        <w:tab/>
        <w:t>Wykonawca jest odpowiedzialny za dokładne wytyczenie w planie i wyznaczenie wysokości wszystkich elementów robót zgodnie z wymiarami i rzędnymi określonymi w dokumentacji projektowej lub przekazanymi na piśmie przez Inżyniera/Kierownika projektu.</w:t>
      </w:r>
    </w:p>
    <w:p w:rsidR="000F437A" w:rsidRPr="00E026AB" w:rsidRDefault="000F437A" w:rsidP="000F437A">
      <w:pPr>
        <w:rPr>
          <w:rFonts w:ascii="Calibri" w:hAnsi="Calibri" w:cs="Calibri"/>
        </w:rPr>
      </w:pPr>
      <w:r w:rsidRPr="00E026AB">
        <w:rPr>
          <w:rFonts w:ascii="Calibri" w:hAnsi="Calibri" w:cs="Calibri"/>
        </w:rPr>
        <w:tab/>
        <w:t>Błędy popełnione przez Wykonawcę w wytyczeniu i wyznaczaniu robót zostaną, usunięte przez Wykonawcę na własny koszt, z wyjątkiem, kiedy dany błąd okaże się skutkiem błędu zawartego w danych dostarczonych Wykonawcy na piśmie przez Inżyniera/ Kierownika projektu.</w:t>
      </w:r>
    </w:p>
    <w:p w:rsidR="000F437A" w:rsidRPr="00E026AB" w:rsidRDefault="000F437A" w:rsidP="000F437A">
      <w:pPr>
        <w:rPr>
          <w:rFonts w:ascii="Calibri" w:hAnsi="Calibri" w:cs="Calibri"/>
        </w:rPr>
      </w:pPr>
      <w:r w:rsidRPr="00E026AB">
        <w:rPr>
          <w:rFonts w:ascii="Calibri" w:hAnsi="Calibri" w:cs="Calibri"/>
        </w:rPr>
        <w:tab/>
        <w:t>Sprawdzenie wytyczenia robót lub wyznaczenia wysokości przez Inżyniera/ Kierownika projektu nie zwalnia Wykonawcy od odpowiedzialności za ich dokładność.</w:t>
      </w:r>
    </w:p>
    <w:p w:rsidR="000F437A" w:rsidRPr="00E026AB" w:rsidRDefault="000F437A" w:rsidP="000F437A">
      <w:pPr>
        <w:rPr>
          <w:rFonts w:ascii="Calibri" w:hAnsi="Calibri" w:cs="Calibri"/>
        </w:rPr>
      </w:pPr>
      <w:r w:rsidRPr="00E026AB">
        <w:rPr>
          <w:rFonts w:ascii="Calibri" w:hAnsi="Calibri" w:cs="Calibri"/>
        </w:rPr>
        <w:tab/>
        <w:t>Decyzje Inżyniera/Kierownika projektu dotyczące akceptacji lub odrzucenia materiałów i elementów robót będą oparte na wymaganiach określonych w dokumentach umowy</w:t>
      </w:r>
      <w:r>
        <w:rPr>
          <w:rFonts w:ascii="Calibri" w:hAnsi="Calibri" w:cs="Calibri"/>
        </w:rPr>
        <w:t xml:space="preserve">, dokumentacji projektowej i w </w:t>
      </w:r>
      <w:r w:rsidRPr="00E026AB">
        <w:rPr>
          <w:rFonts w:ascii="Calibri" w:hAnsi="Calibri" w:cs="Calibri"/>
        </w:rPr>
        <w:t xml:space="preserve">ST, a także w normach i wytycznych. Przy podejmowaniu decyzji Inżynier/Kierownik </w:t>
      </w:r>
      <w:r w:rsidRPr="00E026AB">
        <w:rPr>
          <w:rFonts w:ascii="Calibri" w:hAnsi="Calibri" w:cs="Calibri"/>
        </w:rPr>
        <w:lastRenderedPageBreak/>
        <w:t>projektu uwzględni wyniki badań materiałów i robót, rozrzuty normalnie występujące przy produkcji i przy badaniach materiałów, doświadczenia z przeszłości, wyniki badań naukowych oraz inne czynniki wpływające na rozważaną kwestię.</w:t>
      </w:r>
    </w:p>
    <w:p w:rsidR="000F437A" w:rsidRDefault="000F437A" w:rsidP="000F437A">
      <w:pPr>
        <w:rPr>
          <w:rFonts w:ascii="Calibri" w:hAnsi="Calibri" w:cs="Calibri"/>
        </w:rPr>
      </w:pPr>
      <w:r w:rsidRPr="00E026AB">
        <w:rPr>
          <w:rFonts w:ascii="Calibri" w:hAnsi="Calibri" w:cs="Calibri"/>
        </w:rPr>
        <w:tab/>
        <w:t>Polecenia Inżyniera/Kierownika projektu powinny być wykonywane przez Wykonawcę w czasie określonym przez Inżyniera/Kierownika projektu, pod groźbą zatrzymania robót. Skutki finansowe z tego tytułu poniesie Wykonawca.</w:t>
      </w:r>
    </w:p>
    <w:p w:rsidR="008A6952" w:rsidRDefault="008A6952" w:rsidP="000F437A">
      <w:pPr>
        <w:rPr>
          <w:rFonts w:ascii="Calibri" w:hAnsi="Calibri" w:cs="Calibri"/>
          <w:b/>
        </w:rPr>
      </w:pPr>
      <w:bookmarkStart w:id="18" w:name="_Toc416830703"/>
      <w:bookmarkStart w:id="19" w:name="_Toc6881284"/>
      <w:bookmarkStart w:id="20" w:name="_Toc6882157"/>
    </w:p>
    <w:p w:rsidR="000F437A" w:rsidRPr="00644EFF" w:rsidRDefault="000F437A" w:rsidP="000F437A">
      <w:pPr>
        <w:rPr>
          <w:rFonts w:ascii="Calibri" w:hAnsi="Calibri" w:cs="Calibri"/>
          <w:b/>
        </w:rPr>
      </w:pPr>
      <w:r w:rsidRPr="00644EFF">
        <w:rPr>
          <w:rFonts w:ascii="Calibri" w:hAnsi="Calibri" w:cs="Calibri"/>
          <w:b/>
        </w:rPr>
        <w:t xml:space="preserve">6. </w:t>
      </w:r>
      <w:bookmarkEnd w:id="18"/>
      <w:bookmarkEnd w:id="19"/>
      <w:bookmarkEnd w:id="20"/>
      <w:r w:rsidRPr="00644EFF">
        <w:rPr>
          <w:rFonts w:ascii="Calibri" w:hAnsi="Calibri" w:cs="Calibri"/>
          <w:b/>
        </w:rPr>
        <w:t>KONTROLA JAKOŚCI ROBÓT</w:t>
      </w:r>
    </w:p>
    <w:p w:rsidR="000F437A" w:rsidRPr="00E026AB" w:rsidRDefault="000F437A" w:rsidP="000F437A">
      <w:pPr>
        <w:rPr>
          <w:rFonts w:ascii="Calibri" w:hAnsi="Calibri" w:cs="Calibri"/>
        </w:rPr>
      </w:pPr>
      <w:r w:rsidRPr="00644EFF">
        <w:rPr>
          <w:rFonts w:ascii="Calibri" w:hAnsi="Calibri" w:cs="Calibri"/>
          <w:b/>
        </w:rPr>
        <w:t>6.1.</w:t>
      </w:r>
      <w:r w:rsidRPr="00E026AB">
        <w:rPr>
          <w:rFonts w:ascii="Calibri" w:hAnsi="Calibri" w:cs="Calibri"/>
        </w:rPr>
        <w:t xml:space="preserve"> Program zapewnienia jakości </w:t>
      </w:r>
    </w:p>
    <w:p w:rsidR="000F437A" w:rsidRPr="00E026AB" w:rsidRDefault="000F437A" w:rsidP="000F437A">
      <w:pPr>
        <w:rPr>
          <w:rFonts w:ascii="Calibri" w:hAnsi="Calibri" w:cs="Calibri"/>
        </w:rPr>
      </w:pPr>
      <w:r w:rsidRPr="00E026AB">
        <w:rPr>
          <w:rFonts w:ascii="Calibri" w:hAnsi="Calibri" w:cs="Calibri"/>
        </w:rPr>
        <w:tab/>
        <w:t>Wykonawca jest zobowiązany opracować i przedstawić do akceptacji Inżyniera/ Kierownika projektu program zapewnienia jakości. W programie zapewnienia jakości Wykonawca powinien określić, zamierzony sposób wykonywania robót, możliwości techniczne, kadrowe i plan organizacji robót gwarantujący wykonanie robót zgod</w:t>
      </w:r>
      <w:r>
        <w:rPr>
          <w:rFonts w:ascii="Calibri" w:hAnsi="Calibri" w:cs="Calibri"/>
        </w:rPr>
        <w:t xml:space="preserve">nie z dokumentacją projektową, </w:t>
      </w:r>
      <w:r w:rsidRPr="00E026AB">
        <w:rPr>
          <w:rFonts w:ascii="Calibri" w:hAnsi="Calibri" w:cs="Calibri"/>
        </w:rPr>
        <w:t xml:space="preserve">ST oraz ustaleniami. </w:t>
      </w:r>
    </w:p>
    <w:p w:rsidR="000F437A" w:rsidRPr="00E026AB" w:rsidRDefault="000F437A" w:rsidP="000F437A">
      <w:pPr>
        <w:rPr>
          <w:rFonts w:ascii="Calibri" w:hAnsi="Calibri" w:cs="Calibri"/>
        </w:rPr>
      </w:pPr>
      <w:r w:rsidRPr="00E026AB">
        <w:rPr>
          <w:rFonts w:ascii="Calibri" w:hAnsi="Calibri" w:cs="Calibri"/>
        </w:rPr>
        <w:tab/>
        <w:t>Program zapewnienia jakości powinien zawierać:</w:t>
      </w:r>
    </w:p>
    <w:p w:rsidR="000F437A" w:rsidRPr="00E026AB" w:rsidRDefault="000F437A" w:rsidP="000F437A">
      <w:pPr>
        <w:rPr>
          <w:rFonts w:ascii="Calibri" w:hAnsi="Calibri" w:cs="Calibri"/>
        </w:rPr>
      </w:pPr>
      <w:r w:rsidRPr="00E026AB">
        <w:rPr>
          <w:rFonts w:ascii="Calibri" w:hAnsi="Calibri" w:cs="Calibri"/>
        </w:rPr>
        <w:t>a) część ogólną opisującą:</w:t>
      </w:r>
    </w:p>
    <w:p w:rsidR="000F437A" w:rsidRPr="00E026AB" w:rsidRDefault="000F437A" w:rsidP="000F437A">
      <w:pPr>
        <w:rPr>
          <w:rFonts w:ascii="Calibri" w:hAnsi="Calibri" w:cs="Calibri"/>
        </w:rPr>
      </w:pPr>
      <w:r>
        <w:rPr>
          <w:rFonts w:ascii="Calibri" w:hAnsi="Calibri" w:cs="Calibri"/>
        </w:rPr>
        <w:t>-</w:t>
      </w:r>
      <w:r w:rsidRPr="00E026AB">
        <w:rPr>
          <w:rFonts w:ascii="Calibri" w:hAnsi="Calibri" w:cs="Calibri"/>
        </w:rPr>
        <w:t>organizację wykonania robót, w tym terminy i sposób prowadzenia robót,</w:t>
      </w:r>
    </w:p>
    <w:p w:rsidR="000F437A" w:rsidRPr="00E026AB" w:rsidRDefault="000F437A" w:rsidP="000F437A">
      <w:pPr>
        <w:rPr>
          <w:rFonts w:ascii="Calibri" w:hAnsi="Calibri" w:cs="Calibri"/>
        </w:rPr>
      </w:pPr>
      <w:r>
        <w:rPr>
          <w:rFonts w:ascii="Calibri" w:hAnsi="Calibri" w:cs="Calibri"/>
        </w:rPr>
        <w:t>-</w:t>
      </w:r>
      <w:r w:rsidRPr="00E026AB">
        <w:rPr>
          <w:rFonts w:ascii="Calibri" w:hAnsi="Calibri" w:cs="Calibri"/>
        </w:rPr>
        <w:t>organizację ruchu na budowie wraz z oznakowaniem robót,</w:t>
      </w:r>
    </w:p>
    <w:p w:rsidR="000F437A" w:rsidRPr="00E026AB" w:rsidRDefault="000F437A" w:rsidP="000F437A">
      <w:pPr>
        <w:rPr>
          <w:rFonts w:ascii="Calibri" w:hAnsi="Calibri" w:cs="Calibri"/>
        </w:rPr>
      </w:pPr>
      <w:r>
        <w:rPr>
          <w:rFonts w:ascii="Calibri" w:hAnsi="Calibri" w:cs="Calibri"/>
        </w:rPr>
        <w:t>-</w:t>
      </w:r>
      <w:r w:rsidRPr="00E026AB">
        <w:rPr>
          <w:rFonts w:ascii="Calibri" w:hAnsi="Calibri" w:cs="Calibri"/>
        </w:rPr>
        <w:t>sposób zapewnienia bhp.,</w:t>
      </w:r>
    </w:p>
    <w:p w:rsidR="000F437A" w:rsidRPr="00E026AB" w:rsidRDefault="000F437A" w:rsidP="000F437A">
      <w:pPr>
        <w:rPr>
          <w:rFonts w:ascii="Calibri" w:hAnsi="Calibri" w:cs="Calibri"/>
        </w:rPr>
      </w:pPr>
      <w:r>
        <w:rPr>
          <w:rFonts w:ascii="Calibri" w:hAnsi="Calibri" w:cs="Calibri"/>
        </w:rPr>
        <w:t>-</w:t>
      </w:r>
      <w:r w:rsidRPr="00E026AB">
        <w:rPr>
          <w:rFonts w:ascii="Calibri" w:hAnsi="Calibri" w:cs="Calibri"/>
        </w:rPr>
        <w:t>wykaz zespołów roboczych, ich kwalifikacje i przygotowanie praktyczne,</w:t>
      </w:r>
    </w:p>
    <w:p w:rsidR="000F437A" w:rsidRPr="00E026AB" w:rsidRDefault="000F437A" w:rsidP="000F437A">
      <w:pPr>
        <w:rPr>
          <w:rFonts w:ascii="Calibri" w:hAnsi="Calibri" w:cs="Calibri"/>
        </w:rPr>
      </w:pPr>
      <w:r>
        <w:rPr>
          <w:rFonts w:ascii="Calibri" w:hAnsi="Calibri" w:cs="Calibri"/>
        </w:rPr>
        <w:t>-</w:t>
      </w:r>
      <w:r w:rsidRPr="00E026AB">
        <w:rPr>
          <w:rFonts w:ascii="Calibri" w:hAnsi="Calibri" w:cs="Calibri"/>
        </w:rPr>
        <w:t>wykaz osób odpowiedzialnych za jakość i terminowość wykonania poszczególnych elementów robót,</w:t>
      </w:r>
    </w:p>
    <w:p w:rsidR="000F437A" w:rsidRPr="00E026AB" w:rsidRDefault="000F437A" w:rsidP="000F437A">
      <w:pPr>
        <w:rPr>
          <w:rFonts w:ascii="Calibri" w:hAnsi="Calibri" w:cs="Calibri"/>
        </w:rPr>
      </w:pPr>
      <w:r>
        <w:rPr>
          <w:rFonts w:ascii="Calibri" w:hAnsi="Calibri" w:cs="Calibri"/>
        </w:rPr>
        <w:t>-</w:t>
      </w:r>
      <w:r w:rsidRPr="00E026AB">
        <w:rPr>
          <w:rFonts w:ascii="Calibri" w:hAnsi="Calibri" w:cs="Calibri"/>
        </w:rPr>
        <w:t>system (sposób i procedurę) proponowanej kontroli i sterowania jakością wykonywanych robót,</w:t>
      </w:r>
    </w:p>
    <w:p w:rsidR="000F437A" w:rsidRPr="00E026AB" w:rsidRDefault="000F437A" w:rsidP="000F437A">
      <w:pPr>
        <w:rPr>
          <w:rFonts w:ascii="Calibri" w:hAnsi="Calibri" w:cs="Calibri"/>
        </w:rPr>
      </w:pPr>
      <w:r>
        <w:rPr>
          <w:rFonts w:ascii="Calibri" w:hAnsi="Calibri" w:cs="Calibri"/>
        </w:rPr>
        <w:t>-</w:t>
      </w:r>
      <w:r w:rsidRPr="00E026AB">
        <w:rPr>
          <w:rFonts w:ascii="Calibri" w:hAnsi="Calibri" w:cs="Calibri"/>
        </w:rPr>
        <w:t>wyposażenie w sprzęt i urządzenia do pomiarów i kontroli (opis laboratorium własnego lub laboratorium, któremu Wykonawca zamierza zlecić prowadzenie badań),</w:t>
      </w:r>
    </w:p>
    <w:p w:rsidR="000F437A" w:rsidRPr="00E026AB" w:rsidRDefault="000F437A" w:rsidP="000F437A">
      <w:pPr>
        <w:rPr>
          <w:rFonts w:ascii="Calibri" w:hAnsi="Calibri" w:cs="Calibri"/>
        </w:rPr>
      </w:pPr>
      <w:r>
        <w:rPr>
          <w:rFonts w:ascii="Calibri" w:hAnsi="Calibri" w:cs="Calibri"/>
        </w:rPr>
        <w:t>-</w:t>
      </w:r>
      <w:r w:rsidRPr="00E026AB">
        <w:rPr>
          <w:rFonts w:ascii="Calibri" w:hAnsi="Calibri" w:cs="Calibri"/>
        </w:rPr>
        <w:t>sposób oraz formę gromadzenia wyników badań laboratoryjnych, zapis pomiarów, nastaw mechanizmów sterujących, a także wyciąganych wniosków i zastosowanych korekt w procesie technologicznym, proponowany sposób i formę przekazywania tych informacji Inżynierowi/Kierownikowi projektu;</w:t>
      </w:r>
    </w:p>
    <w:p w:rsidR="000F437A" w:rsidRPr="00E026AB" w:rsidRDefault="000F437A" w:rsidP="000F437A">
      <w:pPr>
        <w:rPr>
          <w:rFonts w:ascii="Calibri" w:hAnsi="Calibri" w:cs="Calibri"/>
        </w:rPr>
      </w:pPr>
      <w:r w:rsidRPr="00E026AB">
        <w:rPr>
          <w:rFonts w:ascii="Calibri" w:hAnsi="Calibri" w:cs="Calibri"/>
        </w:rPr>
        <w:t>b) część szczegółową opisującą dla każdego asortymentu robót:</w:t>
      </w:r>
    </w:p>
    <w:p w:rsidR="000F437A" w:rsidRPr="00E026AB" w:rsidRDefault="000F437A" w:rsidP="000F437A">
      <w:pPr>
        <w:rPr>
          <w:rFonts w:ascii="Calibri" w:hAnsi="Calibri" w:cs="Calibri"/>
        </w:rPr>
      </w:pPr>
      <w:r>
        <w:rPr>
          <w:rFonts w:ascii="Calibri" w:hAnsi="Calibri" w:cs="Calibri"/>
        </w:rPr>
        <w:t>-</w:t>
      </w:r>
      <w:r w:rsidRPr="00E026AB">
        <w:rPr>
          <w:rFonts w:ascii="Calibri" w:hAnsi="Calibri" w:cs="Calibri"/>
        </w:rPr>
        <w:t>wykaz maszyn i urządzeń stosowanych na budowie z ich parametrami technicznymi oraz wyposażeniem w mechanizmy do sterowania i urządzenia pomiarowo-kontrolne,</w:t>
      </w:r>
    </w:p>
    <w:p w:rsidR="000F437A" w:rsidRPr="00E026AB" w:rsidRDefault="000F437A" w:rsidP="000F437A">
      <w:pPr>
        <w:rPr>
          <w:rFonts w:ascii="Calibri" w:hAnsi="Calibri" w:cs="Calibri"/>
        </w:rPr>
      </w:pPr>
      <w:r>
        <w:rPr>
          <w:rFonts w:ascii="Calibri" w:hAnsi="Calibri" w:cs="Calibri"/>
        </w:rPr>
        <w:t>-</w:t>
      </w:r>
      <w:r w:rsidRPr="00E026AB">
        <w:rPr>
          <w:rFonts w:ascii="Calibri" w:hAnsi="Calibri" w:cs="Calibri"/>
        </w:rPr>
        <w:t>rodzaje i ilość środków transportu oraz urządzeń do magazynowania i załadunku materiałów, spoiw, lepiszczy, kruszyw itp.,</w:t>
      </w:r>
    </w:p>
    <w:p w:rsidR="000F437A" w:rsidRPr="00E026AB" w:rsidRDefault="000F437A" w:rsidP="000F437A">
      <w:pPr>
        <w:rPr>
          <w:rFonts w:ascii="Calibri" w:hAnsi="Calibri" w:cs="Calibri"/>
        </w:rPr>
      </w:pPr>
      <w:r>
        <w:rPr>
          <w:rFonts w:ascii="Calibri" w:hAnsi="Calibri" w:cs="Calibri"/>
        </w:rPr>
        <w:t>-</w:t>
      </w:r>
      <w:r w:rsidRPr="00E026AB">
        <w:rPr>
          <w:rFonts w:ascii="Calibri" w:hAnsi="Calibri" w:cs="Calibri"/>
        </w:rPr>
        <w:t>sposób zabezpieczenia i ochrony ładunków przed utratą ich właściwości w czasie transportu,</w:t>
      </w:r>
    </w:p>
    <w:p w:rsidR="000F437A" w:rsidRPr="00E026AB" w:rsidRDefault="000F437A" w:rsidP="000F437A">
      <w:pPr>
        <w:rPr>
          <w:rFonts w:ascii="Calibri" w:hAnsi="Calibri" w:cs="Calibri"/>
        </w:rPr>
      </w:pPr>
      <w:r>
        <w:rPr>
          <w:rFonts w:ascii="Calibri" w:hAnsi="Calibri" w:cs="Calibri"/>
        </w:rPr>
        <w:t>-</w:t>
      </w:r>
      <w:r w:rsidRPr="00E026AB">
        <w:rPr>
          <w:rFonts w:ascii="Calibri" w:hAnsi="Calibri" w:cs="Calibri"/>
        </w:rPr>
        <w:t>sposób i procedurę pomiarów i badań (rodzaj i częstotliwość, pobieranie próbek, legalizacja i sprawdzanie urządzeń, itp.) prowadzonych podczas dostaw materiałów, wytwarzania mieszanek i wykonywania poszczególnych elementów robót,</w:t>
      </w:r>
    </w:p>
    <w:p w:rsidR="000F437A" w:rsidRPr="00E026AB" w:rsidRDefault="000F437A" w:rsidP="000F437A">
      <w:pPr>
        <w:rPr>
          <w:rFonts w:ascii="Calibri" w:hAnsi="Calibri" w:cs="Calibri"/>
        </w:rPr>
      </w:pPr>
      <w:r>
        <w:rPr>
          <w:rFonts w:ascii="Calibri" w:hAnsi="Calibri" w:cs="Calibri"/>
        </w:rPr>
        <w:t>-</w:t>
      </w:r>
      <w:r w:rsidRPr="00E026AB">
        <w:rPr>
          <w:rFonts w:ascii="Calibri" w:hAnsi="Calibri" w:cs="Calibri"/>
        </w:rPr>
        <w:t>sposób postępowania z materiałami i robotami nie odpowiadającymi wymaganiom.</w:t>
      </w:r>
    </w:p>
    <w:p w:rsidR="000F437A" w:rsidRPr="00E026AB" w:rsidRDefault="000F437A" w:rsidP="000F437A">
      <w:pPr>
        <w:rPr>
          <w:rFonts w:ascii="Calibri" w:hAnsi="Calibri" w:cs="Calibri"/>
        </w:rPr>
      </w:pPr>
      <w:r w:rsidRPr="00644EFF">
        <w:rPr>
          <w:rFonts w:ascii="Calibri" w:hAnsi="Calibri" w:cs="Calibri"/>
          <w:b/>
        </w:rPr>
        <w:t>6.2.</w:t>
      </w:r>
      <w:r w:rsidRPr="00E026AB">
        <w:rPr>
          <w:rFonts w:ascii="Calibri" w:hAnsi="Calibri" w:cs="Calibri"/>
        </w:rPr>
        <w:t xml:space="preserve"> Zasady kontroli jakości robót</w:t>
      </w:r>
    </w:p>
    <w:p w:rsidR="000F437A" w:rsidRPr="00E026AB" w:rsidRDefault="000F437A" w:rsidP="000F437A">
      <w:pPr>
        <w:rPr>
          <w:rFonts w:ascii="Calibri" w:hAnsi="Calibri" w:cs="Calibri"/>
        </w:rPr>
      </w:pPr>
      <w:r w:rsidRPr="00E026AB">
        <w:rPr>
          <w:rFonts w:ascii="Calibri" w:hAnsi="Calibri" w:cs="Calibri"/>
        </w:rPr>
        <w:tab/>
        <w:t>Celem kontroli robót będzie takie sterowanie ich przygotowaniem i wykonaniem, aby osiągnąć założoną jakość robót.</w:t>
      </w:r>
    </w:p>
    <w:p w:rsidR="000F437A" w:rsidRPr="00E026AB" w:rsidRDefault="000F437A" w:rsidP="000F437A">
      <w:pPr>
        <w:rPr>
          <w:rFonts w:ascii="Calibri" w:hAnsi="Calibri" w:cs="Calibri"/>
        </w:rPr>
      </w:pPr>
      <w:r w:rsidRPr="00E026AB">
        <w:rPr>
          <w:rFonts w:ascii="Calibri" w:hAnsi="Calibri" w:cs="Calibri"/>
        </w:rPr>
        <w:tab/>
        <w:t>Wykonawca jest odpowiedzialny za pełną kontrolę robót i jakości materiałów. Wykonawca zapewni odpowiedni system kontroli, włączając personel, laboratorium, sprzęt, zaopatrzenie i wszystkie urządzenia niezbędne do pobierania próbek i badań materiałów oraz robót.</w:t>
      </w:r>
    </w:p>
    <w:p w:rsidR="000F437A" w:rsidRPr="00E026AB" w:rsidRDefault="000F437A" w:rsidP="000F437A">
      <w:pPr>
        <w:rPr>
          <w:rFonts w:ascii="Calibri" w:hAnsi="Calibri" w:cs="Calibri"/>
        </w:rPr>
      </w:pPr>
      <w:r w:rsidRPr="00E026AB">
        <w:rPr>
          <w:rFonts w:ascii="Calibri" w:hAnsi="Calibri" w:cs="Calibri"/>
        </w:rPr>
        <w:tab/>
        <w:t>Przed zatwierdzeniem systemu kontroli Inżynier/Kierownik projektu może zażądać od Wykonawcy przeprowadzenia badań w celu zademonstrowania, że poziom ich wykonywania jest zadowalający.</w:t>
      </w:r>
    </w:p>
    <w:p w:rsidR="000F437A" w:rsidRPr="00E026AB" w:rsidRDefault="000F437A" w:rsidP="000F437A">
      <w:pPr>
        <w:rPr>
          <w:rFonts w:ascii="Calibri" w:hAnsi="Calibri" w:cs="Calibri"/>
        </w:rPr>
      </w:pPr>
      <w:r w:rsidRPr="00E026AB">
        <w:rPr>
          <w:rFonts w:ascii="Calibri" w:hAnsi="Calibri" w:cs="Calibri"/>
        </w:rPr>
        <w:tab/>
        <w:t>Wykonawca będzie przeprowadzać pomiary i badania materiałów oraz robót z częstotliwością zapewniającą stwierdzenie, że roboty wykonano zgodnie z wymaganiami zawartym</w:t>
      </w:r>
      <w:r>
        <w:rPr>
          <w:rFonts w:ascii="Calibri" w:hAnsi="Calibri" w:cs="Calibri"/>
        </w:rPr>
        <w:t xml:space="preserve">i w dokumentacji projektowej i </w:t>
      </w:r>
      <w:r w:rsidRPr="00E026AB">
        <w:rPr>
          <w:rFonts w:ascii="Calibri" w:hAnsi="Calibri" w:cs="Calibri"/>
        </w:rPr>
        <w:t>ST</w:t>
      </w:r>
    </w:p>
    <w:p w:rsidR="000F437A" w:rsidRPr="00E026AB" w:rsidRDefault="000F437A" w:rsidP="000F437A">
      <w:pPr>
        <w:rPr>
          <w:rFonts w:ascii="Calibri" w:hAnsi="Calibri" w:cs="Calibri"/>
        </w:rPr>
      </w:pPr>
      <w:r w:rsidRPr="00E026AB">
        <w:rPr>
          <w:rFonts w:ascii="Calibri" w:hAnsi="Calibri" w:cs="Calibri"/>
        </w:rPr>
        <w:tab/>
        <w:t>Minimalne wymagania co do zakresu badań i ic</w:t>
      </w:r>
      <w:r>
        <w:rPr>
          <w:rFonts w:ascii="Calibri" w:hAnsi="Calibri" w:cs="Calibri"/>
        </w:rPr>
        <w:t xml:space="preserve">h częstotliwość są określone w </w:t>
      </w:r>
      <w:r w:rsidRPr="00E026AB">
        <w:rPr>
          <w:rFonts w:ascii="Calibri" w:hAnsi="Calibri" w:cs="Calibri"/>
        </w:rPr>
        <w:t>ST, normach i wytycznych. W przypadku, gdy nie zostały one tam określone, Inżynier/ Kierownik projektu ustali jaki zakres kontroli jest konieczny, aby zapewnić wykonanie robót zgodnie z umową.</w:t>
      </w:r>
    </w:p>
    <w:p w:rsidR="000F437A" w:rsidRPr="00E026AB" w:rsidRDefault="000F437A" w:rsidP="000F437A">
      <w:pPr>
        <w:rPr>
          <w:rFonts w:ascii="Calibri" w:hAnsi="Calibri" w:cs="Calibri"/>
        </w:rPr>
      </w:pPr>
      <w:r w:rsidRPr="00E026AB">
        <w:rPr>
          <w:rFonts w:ascii="Calibri" w:hAnsi="Calibri" w:cs="Calibri"/>
        </w:rPr>
        <w:tab/>
        <w:t>Wykonawca dostarczy Inżynierowi/Kierownikowi projektu świadectwa, że wszystkie stosowane urządzenia i sprzęt badawczy posiadają ważną legalizację, zostały prawidłowo wykalibrowane i odpowiadają wymaganiom norm określających procedury badań.</w:t>
      </w:r>
    </w:p>
    <w:p w:rsidR="000F437A" w:rsidRPr="00E026AB" w:rsidRDefault="000F437A" w:rsidP="000F437A">
      <w:pPr>
        <w:rPr>
          <w:rFonts w:ascii="Calibri" w:hAnsi="Calibri" w:cs="Calibri"/>
        </w:rPr>
      </w:pPr>
      <w:r w:rsidRPr="00E026AB">
        <w:rPr>
          <w:rFonts w:ascii="Calibri" w:hAnsi="Calibri" w:cs="Calibri"/>
        </w:rPr>
        <w:tab/>
        <w:t>Inżynier/Kierownik projektu będzie mieć nieograniczony dostęp do pomieszczeń laboratoryjnych, w celu ich inspekcji.</w:t>
      </w:r>
    </w:p>
    <w:p w:rsidR="000F437A" w:rsidRPr="00E026AB" w:rsidRDefault="000F437A" w:rsidP="000F437A">
      <w:pPr>
        <w:rPr>
          <w:rFonts w:ascii="Calibri" w:hAnsi="Calibri" w:cs="Calibri"/>
        </w:rPr>
      </w:pPr>
      <w:r w:rsidRPr="00E026AB">
        <w:rPr>
          <w:rFonts w:ascii="Calibri" w:hAnsi="Calibri" w:cs="Calibri"/>
        </w:rPr>
        <w:tab/>
        <w:t xml:space="preserve">Inżynier/Kierownik projektu będzie przekazywać Wykonawcy pisemne informacje o jakichkolwiek niedociągnięciach dotyczących urządzeń laboratoryjnych, sprzętu, zaopatrzenia laboratorium, pracy personelu lub metod badawczych. Jeżeli niedociągnięcia te będą tak poważne, że </w:t>
      </w:r>
      <w:r w:rsidRPr="00E026AB">
        <w:rPr>
          <w:rFonts w:ascii="Calibri" w:hAnsi="Calibri" w:cs="Calibri"/>
        </w:rPr>
        <w:lastRenderedPageBreak/>
        <w:t>mogą wpłynąć ujemnie na wyniki badań, Inżynier/Kierownik projektu natychmiast wstrzyma użycie do robót badanych materiałów i dopuści je do użycia dopiero wtedy, gdy niedociągnięcia w pracy laboratorium Wykonawcy zostaną usunięte i stwierdzona zostanie odpowiednia jakość tych materiałów.</w:t>
      </w:r>
    </w:p>
    <w:p w:rsidR="000F437A" w:rsidRPr="00E026AB" w:rsidRDefault="000F437A" w:rsidP="000F437A">
      <w:pPr>
        <w:rPr>
          <w:rFonts w:ascii="Calibri" w:hAnsi="Calibri" w:cs="Calibri"/>
        </w:rPr>
      </w:pPr>
      <w:r w:rsidRPr="00E026AB">
        <w:rPr>
          <w:rFonts w:ascii="Calibri" w:hAnsi="Calibri" w:cs="Calibri"/>
        </w:rPr>
        <w:tab/>
        <w:t>Wszystkie koszty związane z organizowaniem i prowadzeniem badań materiałów ponosi Wykonawca.</w:t>
      </w:r>
    </w:p>
    <w:p w:rsidR="000F437A" w:rsidRPr="00E026AB" w:rsidRDefault="000F437A" w:rsidP="000F437A">
      <w:pPr>
        <w:rPr>
          <w:rFonts w:ascii="Calibri" w:hAnsi="Calibri" w:cs="Calibri"/>
        </w:rPr>
      </w:pPr>
      <w:r w:rsidRPr="00644EFF">
        <w:rPr>
          <w:rFonts w:ascii="Calibri" w:hAnsi="Calibri" w:cs="Calibri"/>
          <w:b/>
        </w:rPr>
        <w:t>6.3.</w:t>
      </w:r>
      <w:r w:rsidRPr="00E026AB">
        <w:rPr>
          <w:rFonts w:ascii="Calibri" w:hAnsi="Calibri" w:cs="Calibri"/>
        </w:rPr>
        <w:t xml:space="preserve"> Pobieranie próbek</w:t>
      </w:r>
    </w:p>
    <w:p w:rsidR="000F437A" w:rsidRPr="003075C9" w:rsidRDefault="000F437A" w:rsidP="000F437A">
      <w:pPr>
        <w:rPr>
          <w:rFonts w:ascii="Calibri" w:hAnsi="Calibri" w:cs="Calibri"/>
        </w:rPr>
      </w:pPr>
      <w:r w:rsidRPr="00E026AB">
        <w:rPr>
          <w:rFonts w:ascii="Calibri" w:hAnsi="Calibri" w:cs="Calibri"/>
        </w:rPr>
        <w:tab/>
      </w:r>
      <w:r w:rsidRPr="003075C9">
        <w:rPr>
          <w:rFonts w:ascii="Calibri" w:hAnsi="Calibri" w:cs="Calibri"/>
        </w:rPr>
        <w:t>Próbki będą pobierane losowo. Zaleca się stosowanie statystycznych metod pobierania próbek, opartych na zasadzie, że wszystkie jednostkowe elementy produkcji mogą być z jednakowym prawdopodobieństwem wytypowane do badań.</w:t>
      </w:r>
    </w:p>
    <w:p w:rsidR="000F437A" w:rsidRPr="003075C9" w:rsidRDefault="000F437A" w:rsidP="000F437A">
      <w:pPr>
        <w:rPr>
          <w:rFonts w:ascii="Calibri" w:hAnsi="Calibri" w:cs="Calibri"/>
        </w:rPr>
      </w:pPr>
      <w:r w:rsidRPr="003075C9">
        <w:rPr>
          <w:rFonts w:ascii="Calibri" w:hAnsi="Calibri" w:cs="Calibri"/>
        </w:rPr>
        <w:tab/>
        <w:t>Inżynier/Kierownik projektu będzie mieć zapewnioną możliwość udziału w pobieraniu próbek.</w:t>
      </w:r>
    </w:p>
    <w:p w:rsidR="000F437A" w:rsidRPr="003075C9" w:rsidRDefault="000F437A" w:rsidP="000F437A">
      <w:pPr>
        <w:rPr>
          <w:rFonts w:ascii="Calibri" w:hAnsi="Calibri" w:cs="Calibri"/>
        </w:rPr>
      </w:pPr>
      <w:r w:rsidRPr="003075C9">
        <w:rPr>
          <w:rFonts w:ascii="Calibri" w:hAnsi="Calibri" w:cs="Calibri"/>
        </w:rPr>
        <w:tab/>
        <w:t>Pojemniki do pobierania próbek będą dostarczone przez Wykonawcę i zatwierdzone przez Inżyniera/Kierownika projektu. Próbki dostarczone przez Wykonawcę do badań wykonywanych przez Inżyniera/Kierownik projektu będą odpowiednio opisane i oznakowane, w sposób zaakceptowany przez Inżyniera/Kierownika projektu.</w:t>
      </w:r>
    </w:p>
    <w:p w:rsidR="000F437A" w:rsidRPr="003075C9" w:rsidRDefault="000F437A" w:rsidP="000F437A">
      <w:pPr>
        <w:rPr>
          <w:rFonts w:ascii="Calibri" w:hAnsi="Calibri" w:cs="Calibri"/>
        </w:rPr>
      </w:pPr>
      <w:r w:rsidRPr="003075C9">
        <w:rPr>
          <w:rFonts w:ascii="Calibri" w:hAnsi="Calibri" w:cs="Calibri"/>
        </w:rPr>
        <w:tab/>
        <w:t>Na zlecenie Inżyniera/Kierownika projektu Wykonawca będzie przeprowadzać dodatkowe badania tych materiałów, które budzą wątpliwości co do jakości, o ile kwestionowane materiały nie zostaną przez Wykonawcę usunięte lub ulepszone z własnej woli. Koszty tych dodatkowych badań pokrywa Wykonawca tylko w przypadku stwierdzenia usterek; w przeciwnym przypadku koszty te pokrywa Zamawiający.</w:t>
      </w:r>
    </w:p>
    <w:p w:rsidR="000F437A" w:rsidRPr="00E026AB" w:rsidRDefault="000F437A" w:rsidP="000F437A">
      <w:pPr>
        <w:rPr>
          <w:rFonts w:ascii="Calibri" w:hAnsi="Calibri" w:cs="Calibri"/>
        </w:rPr>
      </w:pPr>
      <w:r w:rsidRPr="003075C9">
        <w:rPr>
          <w:rFonts w:ascii="Calibri" w:hAnsi="Calibri" w:cs="Calibri"/>
          <w:b/>
        </w:rPr>
        <w:t>6.4.</w:t>
      </w:r>
      <w:r w:rsidRPr="00E026AB">
        <w:rPr>
          <w:rFonts w:ascii="Calibri" w:hAnsi="Calibri" w:cs="Calibri"/>
        </w:rPr>
        <w:t xml:space="preserve"> Badania i pomiary</w:t>
      </w:r>
    </w:p>
    <w:p w:rsidR="000F437A" w:rsidRPr="00E026AB" w:rsidRDefault="000F437A" w:rsidP="000F437A">
      <w:pPr>
        <w:rPr>
          <w:rFonts w:ascii="Calibri" w:hAnsi="Calibri" w:cs="Calibri"/>
        </w:rPr>
      </w:pPr>
      <w:r w:rsidRPr="00E026AB">
        <w:rPr>
          <w:rFonts w:ascii="Calibri" w:hAnsi="Calibri" w:cs="Calibri"/>
        </w:rPr>
        <w:tab/>
        <w:t>Wszystkie badania i pomiary będą przeprowadzone zgodnie z wymaganiami norm. W przypadku, gdy normy nie obejmują jakie</w:t>
      </w:r>
      <w:r>
        <w:rPr>
          <w:rFonts w:ascii="Calibri" w:hAnsi="Calibri" w:cs="Calibri"/>
        </w:rPr>
        <w:t xml:space="preserve">gokolwiek badania wymaganego w </w:t>
      </w:r>
      <w:r w:rsidRPr="00E026AB">
        <w:rPr>
          <w:rFonts w:ascii="Calibri" w:hAnsi="Calibri" w:cs="Calibri"/>
        </w:rPr>
        <w:t>ST, stosować można wytyczne krajowe, albo inne procedury, zaakceptowane przez Inżyniera/ Kierownika projektu.</w:t>
      </w:r>
    </w:p>
    <w:p w:rsidR="000F437A" w:rsidRPr="00E026AB" w:rsidRDefault="000F437A" w:rsidP="000F437A">
      <w:pPr>
        <w:rPr>
          <w:rFonts w:ascii="Calibri" w:hAnsi="Calibri" w:cs="Calibri"/>
        </w:rPr>
      </w:pPr>
      <w:r w:rsidRPr="00E026AB">
        <w:rPr>
          <w:rFonts w:ascii="Calibri" w:hAnsi="Calibri" w:cs="Calibri"/>
        </w:rPr>
        <w:tab/>
        <w:t>Przed przystąpieniem do pomiarów lub badań, Wykonawca powiadomi Inżyniera/ Kierownika projektu o rodzaju, miejscu i terminie pomiaru lub badania. Po wykonaniu pomiaru lub badania, Wykonawca przedstawi na piśmie ich wyniki do akceptacji Inżyniera/ Kierownika projektu.</w:t>
      </w:r>
    </w:p>
    <w:p w:rsidR="000F437A" w:rsidRPr="00E026AB" w:rsidRDefault="000F437A" w:rsidP="000F437A">
      <w:pPr>
        <w:rPr>
          <w:rFonts w:ascii="Calibri" w:hAnsi="Calibri" w:cs="Calibri"/>
        </w:rPr>
      </w:pPr>
      <w:r w:rsidRPr="003075C9">
        <w:rPr>
          <w:rFonts w:ascii="Calibri" w:hAnsi="Calibri" w:cs="Calibri"/>
          <w:b/>
        </w:rPr>
        <w:t>6.5.</w:t>
      </w:r>
      <w:r w:rsidRPr="00E026AB">
        <w:rPr>
          <w:rFonts w:ascii="Calibri" w:hAnsi="Calibri" w:cs="Calibri"/>
        </w:rPr>
        <w:t xml:space="preserve"> Raporty z badań</w:t>
      </w:r>
    </w:p>
    <w:p w:rsidR="000F437A" w:rsidRPr="00E026AB" w:rsidRDefault="000F437A" w:rsidP="000F437A">
      <w:pPr>
        <w:rPr>
          <w:rFonts w:ascii="Calibri" w:hAnsi="Calibri" w:cs="Calibri"/>
        </w:rPr>
      </w:pPr>
      <w:r w:rsidRPr="00E026AB">
        <w:rPr>
          <w:rFonts w:ascii="Calibri" w:hAnsi="Calibri" w:cs="Calibri"/>
        </w:rPr>
        <w:tab/>
        <w:t>Wykonawca będzie przekazywać Inżynierowi/Kierownikowi projektu kopie raportów z wynikami badań jak najszybciej, nie później jednak niż w terminie określonym w programie zapewnienia jakości.</w:t>
      </w:r>
    </w:p>
    <w:p w:rsidR="000F437A" w:rsidRPr="00E026AB" w:rsidRDefault="000F437A" w:rsidP="000F437A">
      <w:pPr>
        <w:rPr>
          <w:rFonts w:ascii="Calibri" w:hAnsi="Calibri" w:cs="Calibri"/>
        </w:rPr>
      </w:pPr>
      <w:r w:rsidRPr="00E026AB">
        <w:rPr>
          <w:rFonts w:ascii="Calibri" w:hAnsi="Calibri" w:cs="Calibri"/>
        </w:rPr>
        <w:tab/>
        <w:t>Wyniki badań (kopie) będą przekazywane Inżynierowi/Kierownikowi projektu na formularzach według dostarczonego przez niego wzoru lub innych, przez niego zaaprobowanych.</w:t>
      </w:r>
    </w:p>
    <w:p w:rsidR="000F437A" w:rsidRPr="00E026AB" w:rsidRDefault="000F437A" w:rsidP="000F437A">
      <w:pPr>
        <w:rPr>
          <w:rFonts w:ascii="Calibri" w:hAnsi="Calibri" w:cs="Calibri"/>
        </w:rPr>
      </w:pPr>
      <w:r w:rsidRPr="003075C9">
        <w:rPr>
          <w:rFonts w:ascii="Calibri" w:hAnsi="Calibri" w:cs="Calibri"/>
          <w:b/>
        </w:rPr>
        <w:t>6.6.</w:t>
      </w:r>
      <w:r w:rsidRPr="00E026AB">
        <w:rPr>
          <w:rFonts w:ascii="Calibri" w:hAnsi="Calibri" w:cs="Calibri"/>
        </w:rPr>
        <w:t xml:space="preserve"> Badania prowadzone przez Inżyniera/Kierownika projektu</w:t>
      </w:r>
    </w:p>
    <w:p w:rsidR="000F437A" w:rsidRPr="00E026AB" w:rsidRDefault="000F437A" w:rsidP="000F437A">
      <w:pPr>
        <w:rPr>
          <w:rFonts w:ascii="Calibri" w:hAnsi="Calibri" w:cs="Calibri"/>
        </w:rPr>
      </w:pPr>
      <w:r w:rsidRPr="00E026AB">
        <w:rPr>
          <w:rFonts w:ascii="Calibri" w:hAnsi="Calibri" w:cs="Calibri"/>
        </w:rPr>
        <w:tab/>
        <w:t>Inżynier/Kierownik projektu jest uprawniony do dokonywania kontroli, pobierania próbek i badania materiałów w miejscu ich wytwarzania/pozyskiwania, a Wykonawca i producent materiałów powinien udzielić mu niezbędnej pomocy.</w:t>
      </w:r>
    </w:p>
    <w:p w:rsidR="000F437A" w:rsidRPr="00E026AB" w:rsidRDefault="000F437A" w:rsidP="000F437A">
      <w:pPr>
        <w:rPr>
          <w:rFonts w:ascii="Calibri" w:hAnsi="Calibri" w:cs="Calibri"/>
        </w:rPr>
      </w:pPr>
      <w:r w:rsidRPr="00E026AB">
        <w:rPr>
          <w:rFonts w:ascii="Calibri" w:hAnsi="Calibri" w:cs="Calibri"/>
        </w:rPr>
        <w:tab/>
        <w:t>Inżynier/Kierownik projektu, dokonując weryfikacji systemu kontroli robót prowadzonego przez Wykonawcę, poprzez między innymi swoje badania, będzie oceniać zgodność ma</w:t>
      </w:r>
      <w:r>
        <w:rPr>
          <w:rFonts w:ascii="Calibri" w:hAnsi="Calibri" w:cs="Calibri"/>
        </w:rPr>
        <w:t xml:space="preserve">teriałów i robót z wymaganiami </w:t>
      </w:r>
      <w:r w:rsidRPr="00E026AB">
        <w:rPr>
          <w:rFonts w:ascii="Calibri" w:hAnsi="Calibri" w:cs="Calibri"/>
        </w:rPr>
        <w:t>ST na podstawie wyników własnych badań kontrolnych jak i wyników badań dostarczonych przez Wykonawcę.</w:t>
      </w:r>
    </w:p>
    <w:p w:rsidR="000F437A" w:rsidRPr="00E026AB" w:rsidRDefault="000F437A" w:rsidP="000F437A">
      <w:pPr>
        <w:rPr>
          <w:rFonts w:ascii="Calibri" w:hAnsi="Calibri" w:cs="Calibri"/>
        </w:rPr>
      </w:pPr>
      <w:r w:rsidRPr="00E026AB">
        <w:rPr>
          <w:rFonts w:ascii="Calibri" w:hAnsi="Calibri" w:cs="Calibri"/>
        </w:rPr>
        <w:tab/>
        <w:t>Inżynier/Kierownik projektu powinien pobierać próbki materiałów i prowadzić badania niezależnie od Wykonawcy, na swój koszt. Jeżeli wyniki tych badań wykażą, że raporty Wykonawcy są niewiarygodne, to Inżynier/Kierownik projektu oprze się wyłącznie na własnych badaniach przy ocenie zgodności materiałów i rob</w:t>
      </w:r>
      <w:r>
        <w:rPr>
          <w:rFonts w:ascii="Calibri" w:hAnsi="Calibri" w:cs="Calibri"/>
        </w:rPr>
        <w:t xml:space="preserve">ót z dokumentacją projektową i </w:t>
      </w:r>
      <w:r w:rsidRPr="00E026AB">
        <w:rPr>
          <w:rFonts w:ascii="Calibri" w:hAnsi="Calibri" w:cs="Calibri"/>
        </w:rPr>
        <w:t>ST. Może również zlecić, sam lub poprzez Wykonawcę, przeprowadzenie powtórnych lub dodatkowych badań niezależnemu laboratorium. W takim przypadku całkowite koszty powtórnych lub dodatkowych badań i pobierania próbek poniesione zostaną przez Wykonawcę.</w:t>
      </w:r>
    </w:p>
    <w:p w:rsidR="000F437A" w:rsidRPr="00E026AB" w:rsidRDefault="000F437A" w:rsidP="000F437A">
      <w:pPr>
        <w:rPr>
          <w:rFonts w:ascii="Calibri" w:hAnsi="Calibri" w:cs="Calibri"/>
        </w:rPr>
      </w:pPr>
      <w:r w:rsidRPr="003075C9">
        <w:rPr>
          <w:rFonts w:ascii="Calibri" w:hAnsi="Calibri" w:cs="Calibri"/>
          <w:b/>
        </w:rPr>
        <w:t>6.7.</w:t>
      </w:r>
      <w:r w:rsidRPr="00E026AB">
        <w:rPr>
          <w:rFonts w:ascii="Calibri" w:hAnsi="Calibri" w:cs="Calibri"/>
        </w:rPr>
        <w:t xml:space="preserve"> Certyfikaty i deklaracje</w:t>
      </w:r>
    </w:p>
    <w:p w:rsidR="000F437A" w:rsidRPr="00E026AB" w:rsidRDefault="000F437A" w:rsidP="000F437A">
      <w:pPr>
        <w:rPr>
          <w:rFonts w:ascii="Calibri" w:hAnsi="Calibri" w:cs="Calibri"/>
        </w:rPr>
      </w:pPr>
      <w:r w:rsidRPr="00E026AB">
        <w:rPr>
          <w:rFonts w:ascii="Calibri" w:hAnsi="Calibri" w:cs="Calibri"/>
        </w:rPr>
        <w:tab/>
        <w:t>Inżynier/Kierownik projektu może dopuścić do użycia tylko te materiały, które posiadają:</w:t>
      </w:r>
    </w:p>
    <w:p w:rsidR="000F437A" w:rsidRPr="00E026AB" w:rsidRDefault="000F437A" w:rsidP="000F437A">
      <w:pPr>
        <w:rPr>
          <w:rFonts w:ascii="Calibri" w:hAnsi="Calibri" w:cs="Calibri"/>
        </w:rPr>
      </w:pPr>
      <w:r>
        <w:rPr>
          <w:rFonts w:ascii="Calibri" w:hAnsi="Calibri" w:cs="Calibri"/>
        </w:rPr>
        <w:t>-</w:t>
      </w:r>
      <w:r w:rsidRPr="00E026AB">
        <w:rPr>
          <w:rFonts w:ascii="Calibri" w:hAnsi="Calibri" w:cs="Calibri"/>
        </w:rPr>
        <w:t>certyfikat na znak bezpieczeństwa wykazujący, że zapewniono zgodność z kryteriami technicznymi określonymi na podstawie Polskich Norm, aprobat technicznych oraz właściwych przepisów i dokumentów technicznych,</w:t>
      </w:r>
    </w:p>
    <w:p w:rsidR="000F437A" w:rsidRPr="00E026AB" w:rsidRDefault="000F437A" w:rsidP="000F437A">
      <w:pPr>
        <w:rPr>
          <w:rFonts w:ascii="Calibri" w:hAnsi="Calibri" w:cs="Calibri"/>
        </w:rPr>
      </w:pPr>
      <w:r>
        <w:rPr>
          <w:rFonts w:ascii="Calibri" w:hAnsi="Calibri" w:cs="Calibri"/>
        </w:rPr>
        <w:t>-</w:t>
      </w:r>
      <w:r w:rsidRPr="00E026AB">
        <w:rPr>
          <w:rFonts w:ascii="Calibri" w:hAnsi="Calibri" w:cs="Calibri"/>
        </w:rPr>
        <w:t>deklarację zgodn</w:t>
      </w:r>
      <w:r>
        <w:rPr>
          <w:rFonts w:ascii="Calibri" w:hAnsi="Calibri" w:cs="Calibri"/>
        </w:rPr>
        <w:t xml:space="preserve">ości lub certyfikat zgodności z </w:t>
      </w:r>
      <w:r w:rsidRPr="00E026AB">
        <w:rPr>
          <w:rFonts w:ascii="Calibri" w:hAnsi="Calibri" w:cs="Calibri"/>
        </w:rPr>
        <w:t>Polską Normą lub</w:t>
      </w:r>
      <w:r>
        <w:rPr>
          <w:rFonts w:ascii="Calibri" w:hAnsi="Calibri" w:cs="Calibri"/>
        </w:rPr>
        <w:t xml:space="preserve"> </w:t>
      </w:r>
      <w:r w:rsidRPr="00E026AB">
        <w:rPr>
          <w:rFonts w:ascii="Calibri" w:hAnsi="Calibri" w:cs="Calibri"/>
        </w:rPr>
        <w:t>aprobatą techniczną, w przypadku wyrobów, dla których nie ustanowiono Polskiej Normy, jeżeli nie są objęte certyfikacją określoną w pkt 1</w:t>
      </w:r>
      <w:r>
        <w:rPr>
          <w:rFonts w:ascii="Calibri" w:hAnsi="Calibri" w:cs="Calibri"/>
        </w:rPr>
        <w:t xml:space="preserve"> i które spełniają wymogi </w:t>
      </w:r>
      <w:r w:rsidRPr="00E026AB">
        <w:rPr>
          <w:rFonts w:ascii="Calibri" w:hAnsi="Calibri" w:cs="Calibri"/>
        </w:rPr>
        <w:t>ST.</w:t>
      </w:r>
    </w:p>
    <w:p w:rsidR="000F437A" w:rsidRPr="00E026AB" w:rsidRDefault="000F437A" w:rsidP="000F437A">
      <w:pPr>
        <w:rPr>
          <w:rFonts w:ascii="Calibri" w:hAnsi="Calibri" w:cs="Calibri"/>
        </w:rPr>
      </w:pPr>
      <w:r w:rsidRPr="00E026AB">
        <w:rPr>
          <w:rFonts w:ascii="Calibri" w:hAnsi="Calibri" w:cs="Calibri"/>
        </w:rPr>
        <w:tab/>
        <w:t>W przypadku materiałów, dla których w</w:t>
      </w:r>
      <w:r>
        <w:rPr>
          <w:rFonts w:ascii="Calibri" w:hAnsi="Calibri" w:cs="Calibri"/>
        </w:rPr>
        <w:t xml:space="preserve">w. dokumenty są wymagane przez </w:t>
      </w:r>
      <w:r w:rsidRPr="00E026AB">
        <w:rPr>
          <w:rFonts w:ascii="Calibri" w:hAnsi="Calibri" w:cs="Calibri"/>
        </w:rPr>
        <w:t>ST, każda partia dostarczona do robót będzie posiadać te dokumenty, określające w sposób jednoznaczny jej cechy.</w:t>
      </w:r>
    </w:p>
    <w:p w:rsidR="000F437A" w:rsidRPr="00E026AB" w:rsidRDefault="000F437A" w:rsidP="000F437A">
      <w:pPr>
        <w:rPr>
          <w:rFonts w:ascii="Calibri" w:hAnsi="Calibri" w:cs="Calibri"/>
        </w:rPr>
      </w:pPr>
      <w:r w:rsidRPr="00E026AB">
        <w:rPr>
          <w:rFonts w:ascii="Calibri" w:hAnsi="Calibri" w:cs="Calibri"/>
        </w:rPr>
        <w:tab/>
        <w:t>Produkty przemysłowe muszą posiadać ww. dokumenty wydane przez producenta, a w razie potrzeby poparte wynikami badań wykonanych przez niego. Kopie wyników tych badań będą dostarczone przez Wykonawcę Inżynierowi/Kierownikowi projektu.</w:t>
      </w:r>
    </w:p>
    <w:p w:rsidR="000F437A" w:rsidRPr="00E026AB" w:rsidRDefault="000F437A" w:rsidP="000F437A">
      <w:pPr>
        <w:rPr>
          <w:rFonts w:ascii="Calibri" w:hAnsi="Calibri" w:cs="Calibri"/>
        </w:rPr>
      </w:pPr>
      <w:r w:rsidRPr="00E026AB">
        <w:rPr>
          <w:rFonts w:ascii="Calibri" w:hAnsi="Calibri" w:cs="Calibri"/>
        </w:rPr>
        <w:tab/>
        <w:t>Jakiekolwiek materiały, które nie spełniają tych wymagań będą odrzucone.</w:t>
      </w:r>
    </w:p>
    <w:p w:rsidR="000F437A" w:rsidRPr="00E026AB" w:rsidRDefault="000F437A" w:rsidP="000F437A">
      <w:pPr>
        <w:rPr>
          <w:rFonts w:ascii="Calibri" w:hAnsi="Calibri" w:cs="Calibri"/>
        </w:rPr>
      </w:pPr>
      <w:r w:rsidRPr="003075C9">
        <w:rPr>
          <w:rFonts w:ascii="Calibri" w:hAnsi="Calibri" w:cs="Calibri"/>
          <w:b/>
        </w:rPr>
        <w:lastRenderedPageBreak/>
        <w:t>6.8.</w:t>
      </w:r>
      <w:r w:rsidRPr="00E026AB">
        <w:rPr>
          <w:rFonts w:ascii="Calibri" w:hAnsi="Calibri" w:cs="Calibri"/>
        </w:rPr>
        <w:t xml:space="preserve"> Dokumenty budowy</w:t>
      </w:r>
    </w:p>
    <w:p w:rsidR="000F437A" w:rsidRPr="00E026AB" w:rsidRDefault="000F437A" w:rsidP="000F437A">
      <w:pPr>
        <w:rPr>
          <w:rFonts w:ascii="Calibri" w:hAnsi="Calibri" w:cs="Calibri"/>
        </w:rPr>
      </w:pPr>
      <w:r w:rsidRPr="000F437A">
        <w:rPr>
          <w:rFonts w:ascii="Calibri" w:hAnsi="Calibri" w:cs="Calibri"/>
          <w:b/>
        </w:rPr>
        <w:t>a.</w:t>
      </w:r>
      <w:r w:rsidRPr="00E026AB">
        <w:rPr>
          <w:rFonts w:ascii="Calibri" w:hAnsi="Calibri" w:cs="Calibri"/>
        </w:rPr>
        <w:t xml:space="preserve"> Dziennik budowy</w:t>
      </w:r>
    </w:p>
    <w:p w:rsidR="000F437A" w:rsidRPr="00E026AB" w:rsidRDefault="000F437A" w:rsidP="000F437A">
      <w:pPr>
        <w:rPr>
          <w:rFonts w:ascii="Calibri" w:hAnsi="Calibri" w:cs="Calibri"/>
        </w:rPr>
      </w:pPr>
      <w:r w:rsidRPr="00E026AB">
        <w:rPr>
          <w:rFonts w:ascii="Calibri" w:hAnsi="Calibri" w:cs="Calibri"/>
        </w:rPr>
        <w:tab/>
        <w:t>Dziennik budowy jest wymaganym dokumentem prawnym obowiązującym Zamawiającego i Wykonawcę w okresie od przekazania Wykonawcy terenu budowy do końca okresu gwarancyjnego. Odpowiedzialność za prowadzenie dziennika budowy zgodnie z obowiązującymi przepisami [2] spoczywa na Wykonawcy.</w:t>
      </w:r>
    </w:p>
    <w:p w:rsidR="000F437A" w:rsidRPr="00E026AB" w:rsidRDefault="000F437A" w:rsidP="000F437A">
      <w:pPr>
        <w:rPr>
          <w:rFonts w:ascii="Calibri" w:hAnsi="Calibri" w:cs="Calibri"/>
        </w:rPr>
      </w:pPr>
      <w:r w:rsidRPr="00E026AB">
        <w:rPr>
          <w:rFonts w:ascii="Calibri" w:hAnsi="Calibri" w:cs="Calibri"/>
        </w:rPr>
        <w:tab/>
        <w:t>Zapisy w dzienniku budowy będą dokonywane na bieżąco i będą dotyczyć przebiegu robót, stanu bezpieczeństwa ludzi i mienia oraz technicznej i gospodarczej strony budowy.</w:t>
      </w:r>
    </w:p>
    <w:p w:rsidR="000F437A" w:rsidRPr="00E026AB" w:rsidRDefault="000F437A" w:rsidP="000F437A">
      <w:pPr>
        <w:rPr>
          <w:rFonts w:ascii="Calibri" w:hAnsi="Calibri" w:cs="Calibri"/>
        </w:rPr>
      </w:pPr>
      <w:r w:rsidRPr="00E026AB">
        <w:rPr>
          <w:rFonts w:ascii="Calibri" w:hAnsi="Calibri" w:cs="Calibri"/>
        </w:rPr>
        <w:tab/>
        <w:t>Każdy zapis w dzienniku budowy będzie opatrzony datą jego dokonania, podpisem osoby, która dokonała zapisu, z podaniem jej imienia i nazwiska oraz stanowiska służbowego. Zapisy będą czytelne, dokonane trwałą techniką, w porządku chronologicznym, bezpośrednio jeden pod drugim, bez przerw.</w:t>
      </w:r>
    </w:p>
    <w:p w:rsidR="000F437A" w:rsidRPr="00E026AB" w:rsidRDefault="000F437A" w:rsidP="000F437A">
      <w:pPr>
        <w:rPr>
          <w:rFonts w:ascii="Calibri" w:hAnsi="Calibri" w:cs="Calibri"/>
        </w:rPr>
      </w:pPr>
      <w:r w:rsidRPr="00E026AB">
        <w:rPr>
          <w:rFonts w:ascii="Calibri" w:hAnsi="Calibri" w:cs="Calibri"/>
        </w:rPr>
        <w:tab/>
        <w:t>Załączone do dziennika budowy protokoły i inne dokumenty będą oznaczone kolejnym numerem załącznika i opatrzone datą i podpisem Wykonawcy i Inżyniera/ Kierownika projektu.</w:t>
      </w:r>
    </w:p>
    <w:p w:rsidR="000F437A" w:rsidRPr="00E026AB" w:rsidRDefault="000F437A" w:rsidP="000F437A">
      <w:pPr>
        <w:rPr>
          <w:rFonts w:ascii="Calibri" w:hAnsi="Calibri" w:cs="Calibri"/>
        </w:rPr>
      </w:pPr>
      <w:r w:rsidRPr="00E026AB">
        <w:rPr>
          <w:rFonts w:ascii="Calibri" w:hAnsi="Calibri" w:cs="Calibri"/>
        </w:rPr>
        <w:tab/>
        <w:t>Do dziennika budowy należy wpisywać w szczególności:</w:t>
      </w:r>
    </w:p>
    <w:p w:rsidR="000F437A" w:rsidRPr="00E026AB" w:rsidRDefault="000F437A" w:rsidP="000F437A">
      <w:pPr>
        <w:rPr>
          <w:rFonts w:ascii="Calibri" w:hAnsi="Calibri" w:cs="Calibri"/>
        </w:rPr>
      </w:pPr>
      <w:r>
        <w:rPr>
          <w:rFonts w:ascii="Calibri" w:hAnsi="Calibri" w:cs="Calibri"/>
        </w:rPr>
        <w:t>-</w:t>
      </w:r>
      <w:r w:rsidRPr="00E026AB">
        <w:rPr>
          <w:rFonts w:ascii="Calibri" w:hAnsi="Calibri" w:cs="Calibri"/>
        </w:rPr>
        <w:t>datę przekazania Wykonawcy terenu budowy,</w:t>
      </w:r>
    </w:p>
    <w:p w:rsidR="000F437A" w:rsidRPr="00E026AB" w:rsidRDefault="000F437A" w:rsidP="000F437A">
      <w:pPr>
        <w:rPr>
          <w:rFonts w:ascii="Calibri" w:hAnsi="Calibri" w:cs="Calibri"/>
        </w:rPr>
      </w:pPr>
      <w:r>
        <w:rPr>
          <w:rFonts w:ascii="Calibri" w:hAnsi="Calibri" w:cs="Calibri"/>
        </w:rPr>
        <w:t>-</w:t>
      </w:r>
      <w:r w:rsidRPr="00E026AB">
        <w:rPr>
          <w:rFonts w:ascii="Calibri" w:hAnsi="Calibri" w:cs="Calibri"/>
        </w:rPr>
        <w:t>datę przekazania przez Zamawiającego dokumentacji projektowej,</w:t>
      </w:r>
    </w:p>
    <w:p w:rsidR="000F437A" w:rsidRPr="00E026AB" w:rsidRDefault="000F437A" w:rsidP="000F437A">
      <w:pPr>
        <w:rPr>
          <w:rFonts w:ascii="Calibri" w:hAnsi="Calibri" w:cs="Calibri"/>
        </w:rPr>
      </w:pPr>
      <w:r>
        <w:rPr>
          <w:rFonts w:ascii="Calibri" w:hAnsi="Calibri" w:cs="Calibri"/>
        </w:rPr>
        <w:t>-</w:t>
      </w:r>
      <w:r w:rsidRPr="00E026AB">
        <w:rPr>
          <w:rFonts w:ascii="Calibri" w:hAnsi="Calibri" w:cs="Calibri"/>
        </w:rPr>
        <w:t>datę uzgodnienia przez Inżyniera/Kierownika projektu programu zapewnienia jakości i harmonogramów robót,</w:t>
      </w:r>
    </w:p>
    <w:p w:rsidR="000F437A" w:rsidRPr="00E026AB" w:rsidRDefault="000F437A" w:rsidP="000F437A">
      <w:pPr>
        <w:rPr>
          <w:rFonts w:ascii="Calibri" w:hAnsi="Calibri" w:cs="Calibri"/>
        </w:rPr>
      </w:pPr>
      <w:r>
        <w:rPr>
          <w:rFonts w:ascii="Calibri" w:hAnsi="Calibri" w:cs="Calibri"/>
        </w:rPr>
        <w:t>-</w:t>
      </w:r>
      <w:r w:rsidRPr="00E026AB">
        <w:rPr>
          <w:rFonts w:ascii="Calibri" w:hAnsi="Calibri" w:cs="Calibri"/>
        </w:rPr>
        <w:t>terminy rozpoczęcia i zakończenia poszczególnych elementów robót,</w:t>
      </w:r>
    </w:p>
    <w:p w:rsidR="000F437A" w:rsidRPr="00E026AB" w:rsidRDefault="000F437A" w:rsidP="000F437A">
      <w:pPr>
        <w:rPr>
          <w:rFonts w:ascii="Calibri" w:hAnsi="Calibri" w:cs="Calibri"/>
        </w:rPr>
      </w:pPr>
      <w:r>
        <w:rPr>
          <w:rFonts w:ascii="Calibri" w:hAnsi="Calibri" w:cs="Calibri"/>
        </w:rPr>
        <w:t>-</w:t>
      </w:r>
      <w:r w:rsidRPr="00E026AB">
        <w:rPr>
          <w:rFonts w:ascii="Calibri" w:hAnsi="Calibri" w:cs="Calibri"/>
        </w:rPr>
        <w:t>przebieg robót, trudności i przeszkody w ich prowadzeniu, okresy i przyczyny przerw w robotach,</w:t>
      </w:r>
    </w:p>
    <w:p w:rsidR="000F437A" w:rsidRPr="00E026AB" w:rsidRDefault="000F437A" w:rsidP="000F437A">
      <w:pPr>
        <w:rPr>
          <w:rFonts w:ascii="Calibri" w:hAnsi="Calibri" w:cs="Calibri"/>
        </w:rPr>
      </w:pPr>
      <w:r>
        <w:rPr>
          <w:rFonts w:ascii="Calibri" w:hAnsi="Calibri" w:cs="Calibri"/>
        </w:rPr>
        <w:t>-</w:t>
      </w:r>
      <w:r w:rsidRPr="00E026AB">
        <w:rPr>
          <w:rFonts w:ascii="Calibri" w:hAnsi="Calibri" w:cs="Calibri"/>
        </w:rPr>
        <w:t>uwagi i polecenia Inżyniera/Kierownika projektu,</w:t>
      </w:r>
    </w:p>
    <w:p w:rsidR="000F437A" w:rsidRPr="00E026AB" w:rsidRDefault="000F437A" w:rsidP="000F437A">
      <w:pPr>
        <w:rPr>
          <w:rFonts w:ascii="Calibri" w:hAnsi="Calibri" w:cs="Calibri"/>
        </w:rPr>
      </w:pPr>
      <w:r>
        <w:rPr>
          <w:rFonts w:ascii="Calibri" w:hAnsi="Calibri" w:cs="Calibri"/>
        </w:rPr>
        <w:t>-</w:t>
      </w:r>
      <w:r w:rsidRPr="00E026AB">
        <w:rPr>
          <w:rFonts w:ascii="Calibri" w:hAnsi="Calibri" w:cs="Calibri"/>
        </w:rPr>
        <w:t>daty zarządzenia wstrzymania robót, z podaniem powodu,</w:t>
      </w:r>
    </w:p>
    <w:p w:rsidR="000F437A" w:rsidRPr="00E026AB" w:rsidRDefault="000F437A" w:rsidP="000F437A">
      <w:pPr>
        <w:rPr>
          <w:rFonts w:ascii="Calibri" w:hAnsi="Calibri" w:cs="Calibri"/>
        </w:rPr>
      </w:pPr>
      <w:r>
        <w:rPr>
          <w:rFonts w:ascii="Calibri" w:hAnsi="Calibri" w:cs="Calibri"/>
        </w:rPr>
        <w:t>-</w:t>
      </w:r>
      <w:r w:rsidRPr="00E026AB">
        <w:rPr>
          <w:rFonts w:ascii="Calibri" w:hAnsi="Calibri" w:cs="Calibri"/>
        </w:rPr>
        <w:t>zgłoszenia i daty odbiorów robót zanikających i ulegających zakryciu, częściowych i ostatecznych odbiorów robót,</w:t>
      </w:r>
    </w:p>
    <w:p w:rsidR="000F437A" w:rsidRPr="00E026AB" w:rsidRDefault="000F437A" w:rsidP="000F437A">
      <w:pPr>
        <w:rPr>
          <w:rFonts w:ascii="Calibri" w:hAnsi="Calibri" w:cs="Calibri"/>
        </w:rPr>
      </w:pPr>
      <w:r>
        <w:rPr>
          <w:rFonts w:ascii="Calibri" w:hAnsi="Calibri" w:cs="Calibri"/>
        </w:rPr>
        <w:t>-</w:t>
      </w:r>
      <w:r w:rsidRPr="00E026AB">
        <w:rPr>
          <w:rFonts w:ascii="Calibri" w:hAnsi="Calibri" w:cs="Calibri"/>
        </w:rPr>
        <w:t>wyjaśnienia, uwagi i propozycje Wykonawcy,</w:t>
      </w:r>
    </w:p>
    <w:p w:rsidR="000F437A" w:rsidRPr="00E026AB" w:rsidRDefault="000F437A" w:rsidP="000F437A">
      <w:pPr>
        <w:rPr>
          <w:rFonts w:ascii="Calibri" w:hAnsi="Calibri" w:cs="Calibri"/>
        </w:rPr>
      </w:pPr>
      <w:r>
        <w:rPr>
          <w:rFonts w:ascii="Calibri" w:hAnsi="Calibri" w:cs="Calibri"/>
        </w:rPr>
        <w:t>-</w:t>
      </w:r>
      <w:r w:rsidRPr="00E026AB">
        <w:rPr>
          <w:rFonts w:ascii="Calibri" w:hAnsi="Calibri" w:cs="Calibri"/>
        </w:rPr>
        <w:t>stan pogody i temperaturę powietrza w okresie wykonywania robót podlegających ograniczeniom lub wymaganiom szczególnym w związku z warunkami klimatycznymi,</w:t>
      </w:r>
    </w:p>
    <w:p w:rsidR="000F437A" w:rsidRPr="00E026AB" w:rsidRDefault="000F437A" w:rsidP="000F437A">
      <w:pPr>
        <w:rPr>
          <w:rFonts w:ascii="Calibri" w:hAnsi="Calibri" w:cs="Calibri"/>
        </w:rPr>
      </w:pPr>
      <w:r>
        <w:rPr>
          <w:rFonts w:ascii="Calibri" w:hAnsi="Calibri" w:cs="Calibri"/>
        </w:rPr>
        <w:t>-</w:t>
      </w:r>
      <w:r w:rsidRPr="00E026AB">
        <w:rPr>
          <w:rFonts w:ascii="Calibri" w:hAnsi="Calibri" w:cs="Calibri"/>
        </w:rPr>
        <w:t>zgodność rzeczywistych warunków geotechnicznych z ich opisem w dokumentacji projektowej,</w:t>
      </w:r>
    </w:p>
    <w:p w:rsidR="000F437A" w:rsidRPr="00E026AB" w:rsidRDefault="000F437A" w:rsidP="000F437A">
      <w:pPr>
        <w:rPr>
          <w:rFonts w:ascii="Calibri" w:hAnsi="Calibri" w:cs="Calibri"/>
        </w:rPr>
      </w:pPr>
      <w:r>
        <w:rPr>
          <w:rFonts w:ascii="Calibri" w:hAnsi="Calibri" w:cs="Calibri"/>
        </w:rPr>
        <w:t>-</w:t>
      </w:r>
      <w:r w:rsidRPr="00E026AB">
        <w:rPr>
          <w:rFonts w:ascii="Calibri" w:hAnsi="Calibri" w:cs="Calibri"/>
        </w:rPr>
        <w:t>dane dotyczące czynności geodezyjnych (pomiarowych) dokonywanych przed i w trakcie wykonywania robót,</w:t>
      </w:r>
    </w:p>
    <w:p w:rsidR="000F437A" w:rsidRPr="00E026AB" w:rsidRDefault="000F437A" w:rsidP="000F437A">
      <w:pPr>
        <w:rPr>
          <w:rFonts w:ascii="Calibri" w:hAnsi="Calibri" w:cs="Calibri"/>
        </w:rPr>
      </w:pPr>
      <w:r>
        <w:rPr>
          <w:rFonts w:ascii="Calibri" w:hAnsi="Calibri" w:cs="Calibri"/>
        </w:rPr>
        <w:t>-</w:t>
      </w:r>
      <w:r w:rsidRPr="00E026AB">
        <w:rPr>
          <w:rFonts w:ascii="Calibri" w:hAnsi="Calibri" w:cs="Calibri"/>
        </w:rPr>
        <w:t>dane dotyczące sposobu wykonywania zabezpieczenia robót,</w:t>
      </w:r>
    </w:p>
    <w:p w:rsidR="000F437A" w:rsidRPr="00E026AB" w:rsidRDefault="000F437A" w:rsidP="000F437A">
      <w:pPr>
        <w:rPr>
          <w:rFonts w:ascii="Calibri" w:hAnsi="Calibri" w:cs="Calibri"/>
        </w:rPr>
      </w:pPr>
      <w:r>
        <w:rPr>
          <w:rFonts w:ascii="Calibri" w:hAnsi="Calibri" w:cs="Calibri"/>
        </w:rPr>
        <w:t>-</w:t>
      </w:r>
      <w:r w:rsidRPr="00E026AB">
        <w:rPr>
          <w:rFonts w:ascii="Calibri" w:hAnsi="Calibri" w:cs="Calibri"/>
        </w:rPr>
        <w:t>dane dotyczące jakości materiałów, pobierania próbek oraz wyniki przeprowadzonych badań z podaniem, kto je przeprowadzał,</w:t>
      </w:r>
    </w:p>
    <w:p w:rsidR="000F437A" w:rsidRPr="00E026AB" w:rsidRDefault="000F437A" w:rsidP="000F437A">
      <w:pPr>
        <w:rPr>
          <w:rFonts w:ascii="Calibri" w:hAnsi="Calibri" w:cs="Calibri"/>
        </w:rPr>
      </w:pPr>
      <w:r>
        <w:rPr>
          <w:rFonts w:ascii="Calibri" w:hAnsi="Calibri" w:cs="Calibri"/>
        </w:rPr>
        <w:t>-</w:t>
      </w:r>
      <w:r w:rsidRPr="00E026AB">
        <w:rPr>
          <w:rFonts w:ascii="Calibri" w:hAnsi="Calibri" w:cs="Calibri"/>
        </w:rPr>
        <w:t>wyniki prób poszczególnych elementów budowli z podaniem, kto je przeprowadzał,</w:t>
      </w:r>
    </w:p>
    <w:p w:rsidR="000F437A" w:rsidRPr="00E026AB" w:rsidRDefault="000F437A" w:rsidP="000F437A">
      <w:pPr>
        <w:rPr>
          <w:rFonts w:ascii="Calibri" w:hAnsi="Calibri" w:cs="Calibri"/>
        </w:rPr>
      </w:pPr>
      <w:r>
        <w:rPr>
          <w:rFonts w:ascii="Calibri" w:hAnsi="Calibri" w:cs="Calibri"/>
        </w:rPr>
        <w:t>-</w:t>
      </w:r>
      <w:r w:rsidRPr="00E026AB">
        <w:rPr>
          <w:rFonts w:ascii="Calibri" w:hAnsi="Calibri" w:cs="Calibri"/>
        </w:rPr>
        <w:t>inne istotne informacje o przebiegu robót.</w:t>
      </w:r>
    </w:p>
    <w:p w:rsidR="000F437A" w:rsidRPr="00E026AB" w:rsidRDefault="000F437A" w:rsidP="000F437A">
      <w:pPr>
        <w:rPr>
          <w:rFonts w:ascii="Calibri" w:hAnsi="Calibri" w:cs="Calibri"/>
        </w:rPr>
      </w:pPr>
      <w:r w:rsidRPr="00E026AB">
        <w:rPr>
          <w:rFonts w:ascii="Calibri" w:hAnsi="Calibri" w:cs="Calibri"/>
        </w:rPr>
        <w:tab/>
        <w:t>Propozycje, uwagi i wyjaśnienia Wykonawcy, wpisane do dziennika budowy będą przedłożone Inżynierowi/Kierownikowi projektu do ustosunkowania się.</w:t>
      </w:r>
    </w:p>
    <w:p w:rsidR="000F437A" w:rsidRPr="00E026AB" w:rsidRDefault="000F437A" w:rsidP="000F437A">
      <w:pPr>
        <w:rPr>
          <w:rFonts w:ascii="Calibri" w:hAnsi="Calibri" w:cs="Calibri"/>
        </w:rPr>
      </w:pPr>
      <w:r w:rsidRPr="00E026AB">
        <w:rPr>
          <w:rFonts w:ascii="Calibri" w:hAnsi="Calibri" w:cs="Calibri"/>
        </w:rPr>
        <w:tab/>
        <w:t>Decyzje Inżyniera/Kierownika projektu wpisane do dziennika budowy Wykonawca podpisuje z zaznaczeniem ich przyjęcia lub zajęciem stanowiska.</w:t>
      </w:r>
    </w:p>
    <w:p w:rsidR="000F437A" w:rsidRPr="00E026AB" w:rsidRDefault="000F437A" w:rsidP="000F437A">
      <w:pPr>
        <w:rPr>
          <w:rFonts w:ascii="Calibri" w:hAnsi="Calibri" w:cs="Calibri"/>
        </w:rPr>
      </w:pPr>
      <w:r w:rsidRPr="00E026AB">
        <w:rPr>
          <w:rFonts w:ascii="Calibri" w:hAnsi="Calibri" w:cs="Calibri"/>
        </w:rPr>
        <w:tab/>
        <w:t>Wpis projektanta do dziennika budowy obliguje Inżyniera/Kierownika projektu do ustosunkowania się. Projektant nie jest jednak stroną umowy i nie ma uprawnień do wydawania poleceń Wykonawcy robót.</w:t>
      </w:r>
    </w:p>
    <w:p w:rsidR="000F437A" w:rsidRPr="00E026AB" w:rsidRDefault="000F437A" w:rsidP="000F437A">
      <w:pPr>
        <w:rPr>
          <w:rFonts w:ascii="Calibri" w:hAnsi="Calibri" w:cs="Calibri"/>
        </w:rPr>
      </w:pPr>
      <w:r w:rsidRPr="000F437A">
        <w:rPr>
          <w:rFonts w:ascii="Calibri" w:hAnsi="Calibri" w:cs="Calibri"/>
          <w:b/>
        </w:rPr>
        <w:t>b.</w:t>
      </w:r>
      <w:r w:rsidRPr="00E026AB">
        <w:rPr>
          <w:rFonts w:ascii="Calibri" w:hAnsi="Calibri" w:cs="Calibri"/>
        </w:rPr>
        <w:t xml:space="preserve"> Książka obmiarów</w:t>
      </w:r>
    </w:p>
    <w:p w:rsidR="000F437A" w:rsidRPr="00E026AB" w:rsidRDefault="000F437A" w:rsidP="000F437A">
      <w:pPr>
        <w:rPr>
          <w:rFonts w:ascii="Calibri" w:hAnsi="Calibri" w:cs="Calibri"/>
        </w:rPr>
      </w:pPr>
      <w:r w:rsidRPr="00E026AB">
        <w:rPr>
          <w:rFonts w:ascii="Calibri" w:hAnsi="Calibri" w:cs="Calibri"/>
        </w:rPr>
        <w:tab/>
        <w:t>Książka obmiarów stanowi dokument pozwalający na rozliczenie faktycznego postępu każdego z elementów robót. Obmiary wykonanych robót przeprowadza się w sposób ciągły w jednostkach przyjętych w kosztorysie i wpisuje do książki obmiarów.</w:t>
      </w:r>
    </w:p>
    <w:p w:rsidR="000F437A" w:rsidRPr="00E026AB" w:rsidRDefault="000F437A" w:rsidP="000F437A">
      <w:pPr>
        <w:rPr>
          <w:rFonts w:ascii="Calibri" w:hAnsi="Calibri" w:cs="Calibri"/>
        </w:rPr>
      </w:pPr>
      <w:r w:rsidRPr="000F437A">
        <w:rPr>
          <w:rFonts w:ascii="Calibri" w:hAnsi="Calibri" w:cs="Calibri"/>
          <w:b/>
        </w:rPr>
        <w:t>c.</w:t>
      </w:r>
      <w:r w:rsidRPr="00E026AB">
        <w:rPr>
          <w:rFonts w:ascii="Calibri" w:hAnsi="Calibri" w:cs="Calibri"/>
        </w:rPr>
        <w:t xml:space="preserve"> Dokumenty laboratoryjne</w:t>
      </w:r>
    </w:p>
    <w:p w:rsidR="000F437A" w:rsidRPr="00E026AB" w:rsidRDefault="000F437A" w:rsidP="000F437A">
      <w:pPr>
        <w:rPr>
          <w:rFonts w:ascii="Calibri" w:hAnsi="Calibri" w:cs="Calibri"/>
        </w:rPr>
      </w:pPr>
      <w:r w:rsidRPr="00E026AB">
        <w:rPr>
          <w:rFonts w:ascii="Calibri" w:hAnsi="Calibri" w:cs="Calibri"/>
        </w:rPr>
        <w:tab/>
        <w:t>Dzienniki laboratoryjne, deklaracje zgodności lub certyfikaty zgodności materiałów, orzeczenia o jakości materiałów, recepty robocze i kontrolne wyniki badań Wykonawcy będą gromadzone w formie uzgodnionej w programie zapewnienia jakości. Dokumenty te stanowią załączniki do odbioru robót. Winny być udostępnione na każde życzenie Inżyniera/Kierownika projektu.</w:t>
      </w:r>
    </w:p>
    <w:p w:rsidR="000F437A" w:rsidRPr="00E026AB" w:rsidRDefault="000F437A" w:rsidP="000F437A">
      <w:pPr>
        <w:rPr>
          <w:rFonts w:ascii="Calibri" w:hAnsi="Calibri" w:cs="Calibri"/>
        </w:rPr>
      </w:pPr>
      <w:r w:rsidRPr="000F437A">
        <w:rPr>
          <w:rFonts w:ascii="Calibri" w:hAnsi="Calibri" w:cs="Calibri"/>
          <w:b/>
        </w:rPr>
        <w:t>d.</w:t>
      </w:r>
      <w:r w:rsidRPr="00E026AB">
        <w:rPr>
          <w:rFonts w:ascii="Calibri" w:hAnsi="Calibri" w:cs="Calibri"/>
        </w:rPr>
        <w:t xml:space="preserve"> Pozostałe dokumenty budowy</w:t>
      </w:r>
    </w:p>
    <w:p w:rsidR="000F437A" w:rsidRPr="00E026AB" w:rsidRDefault="000F437A" w:rsidP="000F437A">
      <w:pPr>
        <w:rPr>
          <w:rFonts w:ascii="Calibri" w:hAnsi="Calibri" w:cs="Calibri"/>
        </w:rPr>
      </w:pPr>
      <w:r w:rsidRPr="00E026AB">
        <w:rPr>
          <w:rFonts w:ascii="Calibri" w:hAnsi="Calibri" w:cs="Calibri"/>
        </w:rPr>
        <w:tab/>
        <w:t xml:space="preserve">Do dokumentów budowy zalicza się, oprócz wymienionych w punktach </w:t>
      </w:r>
      <w:r>
        <w:rPr>
          <w:rFonts w:ascii="Calibri" w:hAnsi="Calibri" w:cs="Calibri"/>
        </w:rPr>
        <w:t>a</w:t>
      </w:r>
      <w:r w:rsidRPr="00E026AB">
        <w:rPr>
          <w:rFonts w:ascii="Calibri" w:hAnsi="Calibri" w:cs="Calibri"/>
        </w:rPr>
        <w:t xml:space="preserve"> - </w:t>
      </w:r>
      <w:r>
        <w:rPr>
          <w:rFonts w:ascii="Calibri" w:hAnsi="Calibri" w:cs="Calibri"/>
        </w:rPr>
        <w:t>c</w:t>
      </w:r>
      <w:r w:rsidRPr="00E026AB">
        <w:rPr>
          <w:rFonts w:ascii="Calibri" w:hAnsi="Calibri" w:cs="Calibri"/>
        </w:rPr>
        <w:t xml:space="preserve"> następujące dokumenty:</w:t>
      </w:r>
    </w:p>
    <w:p w:rsidR="000F437A" w:rsidRPr="00E026AB" w:rsidRDefault="000F437A" w:rsidP="000F437A">
      <w:pPr>
        <w:rPr>
          <w:rFonts w:ascii="Calibri" w:hAnsi="Calibri" w:cs="Calibri"/>
        </w:rPr>
      </w:pPr>
      <w:r>
        <w:rPr>
          <w:rFonts w:ascii="Calibri" w:hAnsi="Calibri" w:cs="Calibri"/>
        </w:rPr>
        <w:t>-</w:t>
      </w:r>
      <w:r w:rsidRPr="00E026AB">
        <w:rPr>
          <w:rFonts w:ascii="Calibri" w:hAnsi="Calibri" w:cs="Calibri"/>
        </w:rPr>
        <w:t>pozwolenie na realizację zadania budowlanego,</w:t>
      </w:r>
    </w:p>
    <w:p w:rsidR="000F437A" w:rsidRPr="00E026AB" w:rsidRDefault="000F437A" w:rsidP="000F437A">
      <w:pPr>
        <w:rPr>
          <w:rFonts w:ascii="Calibri" w:hAnsi="Calibri" w:cs="Calibri"/>
        </w:rPr>
      </w:pPr>
      <w:r>
        <w:rPr>
          <w:rFonts w:ascii="Calibri" w:hAnsi="Calibri" w:cs="Calibri"/>
        </w:rPr>
        <w:t>-</w:t>
      </w:r>
      <w:r w:rsidRPr="00E026AB">
        <w:rPr>
          <w:rFonts w:ascii="Calibri" w:hAnsi="Calibri" w:cs="Calibri"/>
        </w:rPr>
        <w:t>protokoły przekazania terenu budowy,</w:t>
      </w:r>
    </w:p>
    <w:p w:rsidR="000F437A" w:rsidRPr="00E026AB" w:rsidRDefault="000F437A" w:rsidP="000F437A">
      <w:pPr>
        <w:rPr>
          <w:rFonts w:ascii="Calibri" w:hAnsi="Calibri" w:cs="Calibri"/>
        </w:rPr>
      </w:pPr>
      <w:r>
        <w:rPr>
          <w:rFonts w:ascii="Calibri" w:hAnsi="Calibri" w:cs="Calibri"/>
        </w:rPr>
        <w:t>-</w:t>
      </w:r>
      <w:r w:rsidRPr="00E026AB">
        <w:rPr>
          <w:rFonts w:ascii="Calibri" w:hAnsi="Calibri" w:cs="Calibri"/>
        </w:rPr>
        <w:t>umowy cywilno-prawne z osobami trzecimi i inne umowy cywilno-prawne,</w:t>
      </w:r>
    </w:p>
    <w:p w:rsidR="000F437A" w:rsidRPr="00E026AB" w:rsidRDefault="000F437A" w:rsidP="000F437A">
      <w:pPr>
        <w:rPr>
          <w:rFonts w:ascii="Calibri" w:hAnsi="Calibri" w:cs="Calibri"/>
        </w:rPr>
      </w:pPr>
      <w:r>
        <w:rPr>
          <w:rFonts w:ascii="Calibri" w:hAnsi="Calibri" w:cs="Calibri"/>
        </w:rPr>
        <w:t>-</w:t>
      </w:r>
      <w:r w:rsidRPr="00E026AB">
        <w:rPr>
          <w:rFonts w:ascii="Calibri" w:hAnsi="Calibri" w:cs="Calibri"/>
        </w:rPr>
        <w:t>protokoły odbioru robót,</w:t>
      </w:r>
    </w:p>
    <w:p w:rsidR="000F437A" w:rsidRPr="00E026AB" w:rsidRDefault="000F437A" w:rsidP="000F437A">
      <w:pPr>
        <w:rPr>
          <w:rFonts w:ascii="Calibri" w:hAnsi="Calibri" w:cs="Calibri"/>
        </w:rPr>
      </w:pPr>
      <w:r>
        <w:rPr>
          <w:rFonts w:ascii="Calibri" w:hAnsi="Calibri" w:cs="Calibri"/>
        </w:rPr>
        <w:t>-</w:t>
      </w:r>
      <w:r w:rsidRPr="00E026AB">
        <w:rPr>
          <w:rFonts w:ascii="Calibri" w:hAnsi="Calibri" w:cs="Calibri"/>
        </w:rPr>
        <w:t>protokoły z narad i ustaleń,</w:t>
      </w:r>
    </w:p>
    <w:p w:rsidR="000F437A" w:rsidRPr="00E026AB" w:rsidRDefault="000F437A" w:rsidP="000F437A">
      <w:pPr>
        <w:rPr>
          <w:rFonts w:ascii="Calibri" w:hAnsi="Calibri" w:cs="Calibri"/>
        </w:rPr>
      </w:pPr>
      <w:r>
        <w:rPr>
          <w:rFonts w:ascii="Calibri" w:hAnsi="Calibri" w:cs="Calibri"/>
        </w:rPr>
        <w:t>-</w:t>
      </w:r>
      <w:r w:rsidRPr="00E026AB">
        <w:rPr>
          <w:rFonts w:ascii="Calibri" w:hAnsi="Calibri" w:cs="Calibri"/>
        </w:rPr>
        <w:t>korespondencję na budowie.</w:t>
      </w:r>
    </w:p>
    <w:p w:rsidR="008A6952" w:rsidRDefault="008A6952" w:rsidP="000F437A">
      <w:pPr>
        <w:rPr>
          <w:rFonts w:ascii="Calibri" w:hAnsi="Calibri" w:cs="Calibri"/>
          <w:b/>
        </w:rPr>
      </w:pPr>
    </w:p>
    <w:p w:rsidR="000F437A" w:rsidRPr="00E026AB" w:rsidRDefault="000F437A" w:rsidP="000F437A">
      <w:pPr>
        <w:rPr>
          <w:rFonts w:ascii="Calibri" w:hAnsi="Calibri" w:cs="Calibri"/>
        </w:rPr>
      </w:pPr>
      <w:r w:rsidRPr="000F437A">
        <w:rPr>
          <w:rFonts w:ascii="Calibri" w:hAnsi="Calibri" w:cs="Calibri"/>
          <w:b/>
        </w:rPr>
        <w:t>e.</w:t>
      </w:r>
      <w:r w:rsidRPr="00E026AB">
        <w:rPr>
          <w:rFonts w:ascii="Calibri" w:hAnsi="Calibri" w:cs="Calibri"/>
        </w:rPr>
        <w:t xml:space="preserve"> Przechowywanie dokumentów budowy</w:t>
      </w:r>
    </w:p>
    <w:p w:rsidR="000F437A" w:rsidRPr="00E026AB" w:rsidRDefault="000F437A" w:rsidP="000F437A">
      <w:pPr>
        <w:rPr>
          <w:rFonts w:ascii="Calibri" w:hAnsi="Calibri" w:cs="Calibri"/>
        </w:rPr>
      </w:pPr>
      <w:r w:rsidRPr="00E026AB">
        <w:rPr>
          <w:rFonts w:ascii="Calibri" w:hAnsi="Calibri" w:cs="Calibri"/>
        </w:rPr>
        <w:tab/>
        <w:t>Dokumenty budowy będą przechowywane na terenie budowy w miejscu odpowiednio zabezpieczonym.</w:t>
      </w:r>
    </w:p>
    <w:p w:rsidR="000F437A" w:rsidRPr="00E026AB" w:rsidRDefault="000F437A" w:rsidP="000F437A">
      <w:pPr>
        <w:rPr>
          <w:rFonts w:ascii="Calibri" w:hAnsi="Calibri" w:cs="Calibri"/>
        </w:rPr>
      </w:pPr>
      <w:r w:rsidRPr="00E026AB">
        <w:rPr>
          <w:rFonts w:ascii="Calibri" w:hAnsi="Calibri" w:cs="Calibri"/>
        </w:rPr>
        <w:tab/>
        <w:t>Zaginięcie któregokolwiek z dokumentów budowy spowoduje jego natychmiastowe odtworzenie w formie przewidzianej prawem.</w:t>
      </w:r>
    </w:p>
    <w:p w:rsidR="000F437A" w:rsidRDefault="000F437A" w:rsidP="000F437A">
      <w:pPr>
        <w:rPr>
          <w:rFonts w:ascii="Calibri" w:hAnsi="Calibri" w:cs="Calibri"/>
        </w:rPr>
      </w:pPr>
      <w:r w:rsidRPr="00E026AB">
        <w:rPr>
          <w:rFonts w:ascii="Calibri" w:hAnsi="Calibri" w:cs="Calibri"/>
        </w:rPr>
        <w:tab/>
        <w:t>Wszelkie dokumenty budowy będą zawsze dostępne dla Inżyniera/Kierownika projektu i przedstawiane do wglądu na życzenie Zamawiającego.</w:t>
      </w:r>
    </w:p>
    <w:p w:rsidR="000F437A" w:rsidRPr="00E026AB" w:rsidRDefault="000F437A" w:rsidP="000F437A">
      <w:pPr>
        <w:rPr>
          <w:rFonts w:ascii="Calibri" w:hAnsi="Calibri" w:cs="Calibri"/>
        </w:rPr>
      </w:pPr>
    </w:p>
    <w:p w:rsidR="000F437A" w:rsidRPr="003075C9" w:rsidRDefault="000F437A" w:rsidP="000F437A">
      <w:pPr>
        <w:rPr>
          <w:rFonts w:ascii="Calibri" w:hAnsi="Calibri" w:cs="Calibri"/>
          <w:b/>
        </w:rPr>
      </w:pPr>
      <w:bookmarkStart w:id="21" w:name="_Toc416830704"/>
      <w:bookmarkStart w:id="22" w:name="_Toc6881285"/>
      <w:bookmarkStart w:id="23" w:name="_Toc6882158"/>
      <w:r w:rsidRPr="003075C9">
        <w:rPr>
          <w:rFonts w:ascii="Calibri" w:hAnsi="Calibri" w:cs="Calibri"/>
          <w:b/>
        </w:rPr>
        <w:t xml:space="preserve">7. </w:t>
      </w:r>
      <w:bookmarkEnd w:id="21"/>
      <w:bookmarkEnd w:id="22"/>
      <w:bookmarkEnd w:id="23"/>
      <w:r w:rsidRPr="003075C9">
        <w:rPr>
          <w:rFonts w:ascii="Calibri" w:hAnsi="Calibri" w:cs="Calibri"/>
          <w:b/>
        </w:rPr>
        <w:t>OBMIAR ROBÓT</w:t>
      </w:r>
    </w:p>
    <w:p w:rsidR="000F437A" w:rsidRPr="00E026AB" w:rsidRDefault="000F437A" w:rsidP="000F437A">
      <w:pPr>
        <w:rPr>
          <w:rFonts w:ascii="Calibri" w:hAnsi="Calibri" w:cs="Calibri"/>
        </w:rPr>
      </w:pPr>
      <w:r w:rsidRPr="003075C9">
        <w:rPr>
          <w:rFonts w:ascii="Calibri" w:hAnsi="Calibri" w:cs="Calibri"/>
          <w:b/>
        </w:rPr>
        <w:t>7.1.</w:t>
      </w:r>
      <w:r w:rsidRPr="00E026AB">
        <w:rPr>
          <w:rFonts w:ascii="Calibri" w:hAnsi="Calibri" w:cs="Calibri"/>
        </w:rPr>
        <w:t xml:space="preserve"> Ogólne zasady obmiaru robót</w:t>
      </w:r>
    </w:p>
    <w:p w:rsidR="000F437A" w:rsidRPr="00E026AB" w:rsidRDefault="000F437A" w:rsidP="000F437A">
      <w:pPr>
        <w:rPr>
          <w:rFonts w:ascii="Calibri" w:hAnsi="Calibri" w:cs="Calibri"/>
        </w:rPr>
      </w:pPr>
      <w:r w:rsidRPr="00E026AB">
        <w:rPr>
          <w:rFonts w:ascii="Calibri" w:hAnsi="Calibri" w:cs="Calibri"/>
        </w:rPr>
        <w:tab/>
        <w:t>Obmiar robót będzie określać faktyczny zakres wykonywanych robót zgodnie z dokumentacją projekt</w:t>
      </w:r>
      <w:r>
        <w:rPr>
          <w:rFonts w:ascii="Calibri" w:hAnsi="Calibri" w:cs="Calibri"/>
        </w:rPr>
        <w:t xml:space="preserve">ową i </w:t>
      </w:r>
      <w:r w:rsidRPr="00E026AB">
        <w:rPr>
          <w:rFonts w:ascii="Calibri" w:hAnsi="Calibri" w:cs="Calibri"/>
        </w:rPr>
        <w:t>ST, w jednostkach ustalonych w kosztorysie.</w:t>
      </w:r>
    </w:p>
    <w:p w:rsidR="000F437A" w:rsidRPr="00E026AB" w:rsidRDefault="000F437A" w:rsidP="000F437A">
      <w:pPr>
        <w:rPr>
          <w:rFonts w:ascii="Calibri" w:hAnsi="Calibri" w:cs="Calibri"/>
        </w:rPr>
      </w:pPr>
      <w:r w:rsidRPr="00E026AB">
        <w:rPr>
          <w:rFonts w:ascii="Calibri" w:hAnsi="Calibri" w:cs="Calibri"/>
        </w:rPr>
        <w:tab/>
        <w:t>Obmiaru robót dokonuje Wykonawca po pisemnym powiadomieniu Inżyniera/ Kierownika projektu o zakresie obmierzanych robót i terminie obmiaru, co najmniej na 3 dni przed tym terminem.</w:t>
      </w:r>
    </w:p>
    <w:p w:rsidR="000F437A" w:rsidRPr="00E026AB" w:rsidRDefault="000F437A" w:rsidP="000F437A">
      <w:pPr>
        <w:rPr>
          <w:rFonts w:ascii="Calibri" w:hAnsi="Calibri" w:cs="Calibri"/>
        </w:rPr>
      </w:pPr>
      <w:r w:rsidRPr="00E026AB">
        <w:rPr>
          <w:rFonts w:ascii="Calibri" w:hAnsi="Calibri" w:cs="Calibri"/>
        </w:rPr>
        <w:tab/>
        <w:t>Wyniki obmiaru będą wpisane do książki obmiarów.</w:t>
      </w:r>
    </w:p>
    <w:p w:rsidR="000F437A" w:rsidRPr="00E026AB" w:rsidRDefault="000F437A" w:rsidP="000F437A">
      <w:pPr>
        <w:rPr>
          <w:rFonts w:ascii="Calibri" w:hAnsi="Calibri" w:cs="Calibri"/>
        </w:rPr>
      </w:pPr>
      <w:r w:rsidRPr="00E026AB">
        <w:rPr>
          <w:rFonts w:ascii="Calibri" w:hAnsi="Calibri" w:cs="Calibri"/>
        </w:rPr>
        <w:tab/>
        <w:t>Jakikolwiek błąd lub przeoczenie (opuszczenie) w ilościach podanych w ślepym k</w:t>
      </w:r>
      <w:r>
        <w:rPr>
          <w:rFonts w:ascii="Calibri" w:hAnsi="Calibri" w:cs="Calibri"/>
        </w:rPr>
        <w:t xml:space="preserve">osztorysie lub gdzie indziej w </w:t>
      </w:r>
      <w:r w:rsidRPr="00E026AB">
        <w:rPr>
          <w:rFonts w:ascii="Calibri" w:hAnsi="Calibri" w:cs="Calibri"/>
        </w:rPr>
        <w:t>ST nie zwalnia Wykonawcy od obowiązku ukończenia wszystkich robót. Błędne dane zostaną poprawione wg instrukcji Inżyniera/Kierownika projektu na piśmie.</w:t>
      </w:r>
    </w:p>
    <w:p w:rsidR="000F437A" w:rsidRPr="00E026AB" w:rsidRDefault="000F437A" w:rsidP="000F437A">
      <w:pPr>
        <w:rPr>
          <w:rFonts w:ascii="Calibri" w:hAnsi="Calibri" w:cs="Calibri"/>
        </w:rPr>
      </w:pPr>
      <w:r w:rsidRPr="00E026AB">
        <w:rPr>
          <w:rFonts w:ascii="Calibri" w:hAnsi="Calibri" w:cs="Calibri"/>
        </w:rPr>
        <w:tab/>
        <w:t>Obmiar gotowych robót będzie przeprowadzony z częstością wymaganą do celu miesięcznej płatności na rzecz Wykonawcy lub w innym czasie określonym w umowie lub oczekiwanym przez Wykonawcę i Inżyniera/Kierownika projektu.</w:t>
      </w:r>
    </w:p>
    <w:p w:rsidR="000F437A" w:rsidRPr="00E026AB" w:rsidRDefault="000F437A" w:rsidP="000F437A">
      <w:pPr>
        <w:rPr>
          <w:rFonts w:ascii="Calibri" w:hAnsi="Calibri" w:cs="Calibri"/>
        </w:rPr>
      </w:pPr>
      <w:r w:rsidRPr="003075C9">
        <w:rPr>
          <w:rFonts w:ascii="Calibri" w:hAnsi="Calibri" w:cs="Calibri"/>
          <w:b/>
        </w:rPr>
        <w:t>7.2.</w:t>
      </w:r>
      <w:r w:rsidRPr="00E026AB">
        <w:rPr>
          <w:rFonts w:ascii="Calibri" w:hAnsi="Calibri" w:cs="Calibri"/>
        </w:rPr>
        <w:t xml:space="preserve"> Zasady określania ilości robót i materiałów</w:t>
      </w:r>
    </w:p>
    <w:p w:rsidR="000F437A" w:rsidRPr="00E026AB" w:rsidRDefault="000F437A" w:rsidP="000F437A">
      <w:pPr>
        <w:rPr>
          <w:rFonts w:ascii="Calibri" w:hAnsi="Calibri" w:cs="Calibri"/>
        </w:rPr>
      </w:pPr>
      <w:r w:rsidRPr="00E026AB">
        <w:rPr>
          <w:rFonts w:ascii="Calibri" w:hAnsi="Calibri" w:cs="Calibri"/>
        </w:rPr>
        <w:tab/>
        <w:t>Długości i odległości pomiędzy wyszczególnionymi punktami skrajnymi będą obmierzone poziomo wzdłuż linii osiowej.</w:t>
      </w:r>
    </w:p>
    <w:p w:rsidR="000F437A" w:rsidRPr="00E026AB" w:rsidRDefault="000F437A" w:rsidP="000F437A">
      <w:pPr>
        <w:rPr>
          <w:rFonts w:ascii="Calibri" w:hAnsi="Calibri" w:cs="Calibri"/>
        </w:rPr>
      </w:pPr>
      <w:r>
        <w:rPr>
          <w:rFonts w:ascii="Calibri" w:hAnsi="Calibri" w:cs="Calibri"/>
        </w:rPr>
        <w:tab/>
        <w:t xml:space="preserve">Jeśli </w:t>
      </w:r>
      <w:r w:rsidRPr="00E026AB">
        <w:rPr>
          <w:rFonts w:ascii="Calibri" w:hAnsi="Calibri" w:cs="Calibri"/>
        </w:rPr>
        <w:t>ST właściwe dla danych robót nie wymagają tego inaczej, objętości będą wyliczone w m3 jako długość pomnożona przez średni przekrój.</w:t>
      </w:r>
    </w:p>
    <w:p w:rsidR="000F437A" w:rsidRPr="00E026AB" w:rsidRDefault="000F437A" w:rsidP="000F437A">
      <w:pPr>
        <w:rPr>
          <w:rFonts w:ascii="Calibri" w:hAnsi="Calibri" w:cs="Calibri"/>
        </w:rPr>
      </w:pPr>
      <w:r w:rsidRPr="00E026AB">
        <w:rPr>
          <w:rFonts w:ascii="Calibri" w:hAnsi="Calibri" w:cs="Calibri"/>
        </w:rPr>
        <w:tab/>
        <w:t>Ilości, które mają być obmierzone wagowo, będą ważone w tonach lub kil</w:t>
      </w:r>
      <w:r>
        <w:rPr>
          <w:rFonts w:ascii="Calibri" w:hAnsi="Calibri" w:cs="Calibri"/>
        </w:rPr>
        <w:t xml:space="preserve">ogramach zgodnie z wymaganiami </w:t>
      </w:r>
      <w:r w:rsidRPr="00E026AB">
        <w:rPr>
          <w:rFonts w:ascii="Calibri" w:hAnsi="Calibri" w:cs="Calibri"/>
        </w:rPr>
        <w:t>ST.</w:t>
      </w:r>
    </w:p>
    <w:p w:rsidR="000F437A" w:rsidRPr="00E026AB" w:rsidRDefault="000F437A" w:rsidP="000F437A">
      <w:pPr>
        <w:rPr>
          <w:rFonts w:ascii="Calibri" w:hAnsi="Calibri" w:cs="Calibri"/>
        </w:rPr>
      </w:pPr>
      <w:r w:rsidRPr="00E843DD">
        <w:rPr>
          <w:rFonts w:ascii="Calibri" w:hAnsi="Calibri" w:cs="Calibri"/>
          <w:b/>
        </w:rPr>
        <w:t>7.3.</w:t>
      </w:r>
      <w:r w:rsidRPr="00E026AB">
        <w:rPr>
          <w:rFonts w:ascii="Calibri" w:hAnsi="Calibri" w:cs="Calibri"/>
        </w:rPr>
        <w:t xml:space="preserve"> Urządzenia i sprzęt pomiarowy</w:t>
      </w:r>
    </w:p>
    <w:p w:rsidR="000F437A" w:rsidRPr="00E026AB" w:rsidRDefault="000F437A" w:rsidP="000F437A">
      <w:pPr>
        <w:rPr>
          <w:rFonts w:ascii="Calibri" w:hAnsi="Calibri" w:cs="Calibri"/>
        </w:rPr>
      </w:pPr>
      <w:r w:rsidRPr="00E026AB">
        <w:rPr>
          <w:rFonts w:ascii="Calibri" w:hAnsi="Calibri" w:cs="Calibri"/>
        </w:rPr>
        <w:tab/>
        <w:t>Wszystkie urządzenia i sprzęt pomiarowy, stosowany w czasie obmiaru robót będą zaakceptowane przez Inżyniera/Kierownika projektu.</w:t>
      </w:r>
    </w:p>
    <w:p w:rsidR="000F437A" w:rsidRPr="00E026AB" w:rsidRDefault="000F437A" w:rsidP="000F437A">
      <w:pPr>
        <w:rPr>
          <w:rFonts w:ascii="Calibri" w:hAnsi="Calibri" w:cs="Calibri"/>
        </w:rPr>
      </w:pPr>
      <w:r w:rsidRPr="00E026AB">
        <w:rPr>
          <w:rFonts w:ascii="Calibri" w:hAnsi="Calibri" w:cs="Calibri"/>
        </w:rPr>
        <w:tab/>
        <w:t>Urządzenia i sprzęt pomiarowy zostaną dostarczone przez Wykonawcę. Jeżeli urządzenia te lub sprzęt wymagają badań atestujących to Wykonawca będzie posiadać ważne świadectwa legalizacji.</w:t>
      </w:r>
    </w:p>
    <w:p w:rsidR="000F437A" w:rsidRPr="00E026AB" w:rsidRDefault="000F437A" w:rsidP="000F437A">
      <w:pPr>
        <w:rPr>
          <w:rFonts w:ascii="Calibri" w:hAnsi="Calibri" w:cs="Calibri"/>
        </w:rPr>
      </w:pPr>
      <w:r w:rsidRPr="00E026AB">
        <w:rPr>
          <w:rFonts w:ascii="Calibri" w:hAnsi="Calibri" w:cs="Calibri"/>
        </w:rPr>
        <w:tab/>
        <w:t>Wszystkie urządzenia pomiarowe będą przez Wykonawcę utrzymywane w dobrym stanie, w całym okresie trwania robót.</w:t>
      </w:r>
    </w:p>
    <w:p w:rsidR="000F437A" w:rsidRPr="00E026AB" w:rsidRDefault="000F437A" w:rsidP="000F437A">
      <w:pPr>
        <w:rPr>
          <w:rFonts w:ascii="Calibri" w:hAnsi="Calibri" w:cs="Calibri"/>
        </w:rPr>
      </w:pPr>
      <w:r w:rsidRPr="00E843DD">
        <w:rPr>
          <w:rFonts w:ascii="Calibri" w:hAnsi="Calibri" w:cs="Calibri"/>
          <w:b/>
        </w:rPr>
        <w:t>7.4.</w:t>
      </w:r>
      <w:r w:rsidRPr="00E026AB">
        <w:rPr>
          <w:rFonts w:ascii="Calibri" w:hAnsi="Calibri" w:cs="Calibri"/>
        </w:rPr>
        <w:t xml:space="preserve"> Wagi i zasady ważenia</w:t>
      </w:r>
    </w:p>
    <w:p w:rsidR="000F437A" w:rsidRPr="00E026AB" w:rsidRDefault="000F437A" w:rsidP="000F437A">
      <w:pPr>
        <w:rPr>
          <w:rFonts w:ascii="Calibri" w:hAnsi="Calibri" w:cs="Calibri"/>
        </w:rPr>
      </w:pPr>
      <w:r w:rsidRPr="00E026AB">
        <w:rPr>
          <w:rFonts w:ascii="Calibri" w:hAnsi="Calibri" w:cs="Calibri"/>
        </w:rPr>
        <w:tab/>
        <w:t>Wykonawca dostarczy i zainstaluje urządzenia wagowe odp</w:t>
      </w:r>
      <w:r>
        <w:rPr>
          <w:rFonts w:ascii="Calibri" w:hAnsi="Calibri" w:cs="Calibri"/>
        </w:rPr>
        <w:t xml:space="preserve">owiadające odnośnym wymaganiom </w:t>
      </w:r>
      <w:r w:rsidRPr="00E026AB">
        <w:rPr>
          <w:rFonts w:ascii="Calibri" w:hAnsi="Calibri" w:cs="Calibri"/>
        </w:rPr>
        <w:t>ST Będzie utrzymywać to wyposażenie zapewniając w sposób ciągły zachowanie dokładności wg norm zatwierdzonych przez Inżyniera/Kierownika projektu.</w:t>
      </w:r>
    </w:p>
    <w:p w:rsidR="000F437A" w:rsidRPr="00E026AB" w:rsidRDefault="000F437A" w:rsidP="000F437A">
      <w:pPr>
        <w:rPr>
          <w:rFonts w:ascii="Calibri" w:hAnsi="Calibri" w:cs="Calibri"/>
        </w:rPr>
      </w:pPr>
      <w:r w:rsidRPr="00E843DD">
        <w:rPr>
          <w:rFonts w:ascii="Calibri" w:hAnsi="Calibri" w:cs="Calibri"/>
          <w:b/>
        </w:rPr>
        <w:t>7.5.</w:t>
      </w:r>
      <w:r w:rsidRPr="00E026AB">
        <w:rPr>
          <w:rFonts w:ascii="Calibri" w:hAnsi="Calibri" w:cs="Calibri"/>
        </w:rPr>
        <w:t xml:space="preserve"> Czas przeprowadzenia obmiaru</w:t>
      </w:r>
    </w:p>
    <w:p w:rsidR="000F437A" w:rsidRPr="00E026AB" w:rsidRDefault="000F437A" w:rsidP="000F437A">
      <w:pPr>
        <w:rPr>
          <w:rFonts w:ascii="Calibri" w:hAnsi="Calibri" w:cs="Calibri"/>
        </w:rPr>
      </w:pPr>
      <w:r w:rsidRPr="00E026AB">
        <w:rPr>
          <w:rFonts w:ascii="Calibri" w:hAnsi="Calibri" w:cs="Calibri"/>
        </w:rPr>
        <w:tab/>
        <w:t>Obmiary będą przeprowadzone przed częściowym lub ostatecznym odbiorem odcinków robót, a także w przypadku występowania dłuższej przerwy w robotach.</w:t>
      </w:r>
    </w:p>
    <w:p w:rsidR="000F437A" w:rsidRPr="00E026AB" w:rsidRDefault="000F437A" w:rsidP="000F437A">
      <w:pPr>
        <w:rPr>
          <w:rFonts w:ascii="Calibri" w:hAnsi="Calibri" w:cs="Calibri"/>
        </w:rPr>
      </w:pPr>
      <w:r w:rsidRPr="00E026AB">
        <w:rPr>
          <w:rFonts w:ascii="Calibri" w:hAnsi="Calibri" w:cs="Calibri"/>
        </w:rPr>
        <w:tab/>
        <w:t>Obmiar robót zanikających przeprowadza się w czasie ich wykonywania.</w:t>
      </w:r>
    </w:p>
    <w:p w:rsidR="000F437A" w:rsidRPr="00E026AB" w:rsidRDefault="000F437A" w:rsidP="000F437A">
      <w:pPr>
        <w:rPr>
          <w:rFonts w:ascii="Calibri" w:hAnsi="Calibri" w:cs="Calibri"/>
        </w:rPr>
      </w:pPr>
      <w:r w:rsidRPr="00E026AB">
        <w:rPr>
          <w:rFonts w:ascii="Calibri" w:hAnsi="Calibri" w:cs="Calibri"/>
        </w:rPr>
        <w:tab/>
        <w:t>Obmiar robót podlegających zakryciu przeprowadza się przed ich zakryciem.</w:t>
      </w:r>
    </w:p>
    <w:p w:rsidR="000F437A" w:rsidRPr="00E026AB" w:rsidRDefault="000F437A" w:rsidP="000F437A">
      <w:pPr>
        <w:rPr>
          <w:rFonts w:ascii="Calibri" w:hAnsi="Calibri" w:cs="Calibri"/>
        </w:rPr>
      </w:pPr>
      <w:r w:rsidRPr="00E026AB">
        <w:rPr>
          <w:rFonts w:ascii="Calibri" w:hAnsi="Calibri" w:cs="Calibri"/>
        </w:rPr>
        <w:tab/>
        <w:t>Roboty pomiarowe do obmiaru oraz nieodzowne obliczenia będą wykonane w sposób zrozumiały i jednoznaczny.</w:t>
      </w:r>
    </w:p>
    <w:p w:rsidR="000F437A" w:rsidRDefault="000F437A" w:rsidP="000F437A">
      <w:pPr>
        <w:rPr>
          <w:rFonts w:ascii="Calibri" w:hAnsi="Calibri" w:cs="Calibri"/>
        </w:rPr>
      </w:pPr>
      <w:r w:rsidRPr="00E026AB">
        <w:rPr>
          <w:rFonts w:ascii="Calibri" w:hAnsi="Calibri" w:cs="Calibri"/>
        </w:rPr>
        <w:tab/>
        <w:t>Wymiary skomplikowanych powierzchni lub objętości będą uzupełnione odpowiednimi szkicami umieszczonymi na karcie książki obmiarów. W razie braku miejsca szkice mogą być dołączone w formie oddzielnego załącznika do książki obmiarów, którego wzór zostanie uzgodniony z Inżynierem/Kierownikiem projektu.</w:t>
      </w:r>
    </w:p>
    <w:p w:rsidR="000F437A" w:rsidRPr="00E026AB" w:rsidRDefault="000F437A" w:rsidP="000F437A">
      <w:pPr>
        <w:rPr>
          <w:rFonts w:ascii="Calibri" w:hAnsi="Calibri" w:cs="Calibri"/>
        </w:rPr>
      </w:pPr>
    </w:p>
    <w:p w:rsidR="000F437A" w:rsidRPr="00DD0B3E" w:rsidRDefault="000F437A" w:rsidP="000F437A">
      <w:pPr>
        <w:rPr>
          <w:rFonts w:ascii="Calibri" w:hAnsi="Calibri" w:cs="Calibri"/>
          <w:b/>
        </w:rPr>
      </w:pPr>
      <w:bookmarkStart w:id="24" w:name="_Toc416830705"/>
      <w:bookmarkStart w:id="25" w:name="_Toc6881286"/>
      <w:bookmarkStart w:id="26" w:name="_Toc6882159"/>
      <w:r w:rsidRPr="00DD0B3E">
        <w:rPr>
          <w:rFonts w:ascii="Calibri" w:hAnsi="Calibri" w:cs="Calibri"/>
          <w:b/>
        </w:rPr>
        <w:t xml:space="preserve">8. </w:t>
      </w:r>
      <w:bookmarkEnd w:id="24"/>
      <w:bookmarkEnd w:id="25"/>
      <w:bookmarkEnd w:id="26"/>
      <w:r w:rsidRPr="00DD0B3E">
        <w:rPr>
          <w:rFonts w:ascii="Calibri" w:hAnsi="Calibri" w:cs="Calibri"/>
          <w:b/>
        </w:rPr>
        <w:t>ODBIÓR ROBÓT</w:t>
      </w:r>
    </w:p>
    <w:p w:rsidR="000F437A" w:rsidRPr="00E026AB" w:rsidRDefault="000F437A" w:rsidP="000F437A">
      <w:pPr>
        <w:rPr>
          <w:rFonts w:ascii="Calibri" w:hAnsi="Calibri" w:cs="Calibri"/>
        </w:rPr>
      </w:pPr>
      <w:r w:rsidRPr="00DD0B3E">
        <w:rPr>
          <w:rFonts w:ascii="Calibri" w:hAnsi="Calibri" w:cs="Calibri"/>
          <w:b/>
        </w:rPr>
        <w:t>8.1.</w:t>
      </w:r>
      <w:r w:rsidRPr="00E026AB">
        <w:rPr>
          <w:rFonts w:ascii="Calibri" w:hAnsi="Calibri" w:cs="Calibri"/>
        </w:rPr>
        <w:t xml:space="preserve"> Rodzaje odbiorów robót</w:t>
      </w:r>
    </w:p>
    <w:p w:rsidR="000F437A" w:rsidRPr="00E026AB" w:rsidRDefault="000F437A" w:rsidP="000F437A">
      <w:pPr>
        <w:rPr>
          <w:rFonts w:ascii="Calibri" w:hAnsi="Calibri" w:cs="Calibri"/>
        </w:rPr>
      </w:pPr>
      <w:r w:rsidRPr="00E026AB">
        <w:rPr>
          <w:rFonts w:ascii="Calibri" w:hAnsi="Calibri" w:cs="Calibri"/>
        </w:rPr>
        <w:tab/>
        <w:t>W zale</w:t>
      </w:r>
      <w:r>
        <w:rPr>
          <w:rFonts w:ascii="Calibri" w:hAnsi="Calibri" w:cs="Calibri"/>
        </w:rPr>
        <w:t xml:space="preserve">żności od ustaleń odpowiednich </w:t>
      </w:r>
      <w:r w:rsidRPr="00E026AB">
        <w:rPr>
          <w:rFonts w:ascii="Calibri" w:hAnsi="Calibri" w:cs="Calibri"/>
        </w:rPr>
        <w:t>ST, roboty podlegają następującym etapom odbioru:</w:t>
      </w:r>
    </w:p>
    <w:p w:rsidR="000F437A" w:rsidRPr="00E026AB" w:rsidRDefault="000F437A" w:rsidP="000F437A">
      <w:pPr>
        <w:rPr>
          <w:rFonts w:ascii="Calibri" w:hAnsi="Calibri" w:cs="Calibri"/>
        </w:rPr>
      </w:pPr>
      <w:r>
        <w:rPr>
          <w:rFonts w:ascii="Calibri" w:hAnsi="Calibri" w:cs="Calibri"/>
        </w:rPr>
        <w:t>-</w:t>
      </w:r>
      <w:r w:rsidRPr="00E026AB">
        <w:rPr>
          <w:rFonts w:ascii="Calibri" w:hAnsi="Calibri" w:cs="Calibri"/>
        </w:rPr>
        <w:t>odbiorowi robót zanikających i ulegających zakryciu,</w:t>
      </w:r>
    </w:p>
    <w:p w:rsidR="000F437A" w:rsidRPr="00E026AB" w:rsidRDefault="000F437A" w:rsidP="000F437A">
      <w:pPr>
        <w:rPr>
          <w:rFonts w:ascii="Calibri" w:hAnsi="Calibri" w:cs="Calibri"/>
        </w:rPr>
      </w:pPr>
      <w:r>
        <w:rPr>
          <w:rFonts w:ascii="Calibri" w:hAnsi="Calibri" w:cs="Calibri"/>
        </w:rPr>
        <w:t>-</w:t>
      </w:r>
      <w:r w:rsidRPr="00E026AB">
        <w:rPr>
          <w:rFonts w:ascii="Calibri" w:hAnsi="Calibri" w:cs="Calibri"/>
        </w:rPr>
        <w:t>odbiorowi częściowemu,</w:t>
      </w:r>
    </w:p>
    <w:p w:rsidR="000F437A" w:rsidRPr="00E026AB" w:rsidRDefault="000F437A" w:rsidP="000F437A">
      <w:pPr>
        <w:rPr>
          <w:rFonts w:ascii="Calibri" w:hAnsi="Calibri" w:cs="Calibri"/>
        </w:rPr>
      </w:pPr>
      <w:r>
        <w:rPr>
          <w:rFonts w:ascii="Calibri" w:hAnsi="Calibri" w:cs="Calibri"/>
        </w:rPr>
        <w:t>-</w:t>
      </w:r>
      <w:r w:rsidRPr="00E026AB">
        <w:rPr>
          <w:rFonts w:ascii="Calibri" w:hAnsi="Calibri" w:cs="Calibri"/>
        </w:rPr>
        <w:t>odbiorowi ostatecznemu,</w:t>
      </w:r>
    </w:p>
    <w:p w:rsidR="000F437A" w:rsidRPr="00E026AB" w:rsidRDefault="000F437A" w:rsidP="000F437A">
      <w:pPr>
        <w:rPr>
          <w:rFonts w:ascii="Calibri" w:hAnsi="Calibri" w:cs="Calibri"/>
        </w:rPr>
      </w:pPr>
      <w:r>
        <w:rPr>
          <w:rFonts w:ascii="Calibri" w:hAnsi="Calibri" w:cs="Calibri"/>
        </w:rPr>
        <w:t>-</w:t>
      </w:r>
      <w:r w:rsidRPr="00E026AB">
        <w:rPr>
          <w:rFonts w:ascii="Calibri" w:hAnsi="Calibri" w:cs="Calibri"/>
        </w:rPr>
        <w:t>odbiorowi pogwarancyjnemu.</w:t>
      </w:r>
    </w:p>
    <w:p w:rsidR="00B61884" w:rsidRDefault="00B61884" w:rsidP="000F437A">
      <w:pPr>
        <w:rPr>
          <w:rFonts w:ascii="Calibri" w:hAnsi="Calibri" w:cs="Calibri"/>
          <w:b/>
        </w:rPr>
      </w:pPr>
    </w:p>
    <w:p w:rsidR="000F437A" w:rsidRPr="00E026AB" w:rsidRDefault="000F437A" w:rsidP="000F437A">
      <w:pPr>
        <w:rPr>
          <w:rFonts w:ascii="Calibri" w:hAnsi="Calibri" w:cs="Calibri"/>
        </w:rPr>
      </w:pPr>
      <w:r w:rsidRPr="00DD0B3E">
        <w:rPr>
          <w:rFonts w:ascii="Calibri" w:hAnsi="Calibri" w:cs="Calibri"/>
          <w:b/>
        </w:rPr>
        <w:lastRenderedPageBreak/>
        <w:t>8.2.</w:t>
      </w:r>
      <w:r w:rsidRPr="00E026AB">
        <w:rPr>
          <w:rFonts w:ascii="Calibri" w:hAnsi="Calibri" w:cs="Calibri"/>
        </w:rPr>
        <w:t xml:space="preserve"> Odbiór robót zanikających i ulegających zakryciu</w:t>
      </w:r>
    </w:p>
    <w:p w:rsidR="000F437A" w:rsidRPr="00E026AB" w:rsidRDefault="000F437A" w:rsidP="000F437A">
      <w:pPr>
        <w:rPr>
          <w:rFonts w:ascii="Calibri" w:hAnsi="Calibri" w:cs="Calibri"/>
        </w:rPr>
      </w:pPr>
      <w:r w:rsidRPr="00E026AB">
        <w:rPr>
          <w:rFonts w:ascii="Calibri" w:hAnsi="Calibri" w:cs="Calibri"/>
        </w:rPr>
        <w:tab/>
        <w:t>Odbiór robót zanikających i ulegających zakryciu polega na finalnej ocenie ilości i jakości wykonywanych robót, które w dalszym procesie realizacji ulegną zakryciu.</w:t>
      </w:r>
    </w:p>
    <w:p w:rsidR="000F437A" w:rsidRPr="00E026AB" w:rsidRDefault="000F437A" w:rsidP="000F437A">
      <w:pPr>
        <w:rPr>
          <w:rFonts w:ascii="Calibri" w:hAnsi="Calibri" w:cs="Calibri"/>
        </w:rPr>
      </w:pPr>
      <w:r w:rsidRPr="00E026AB">
        <w:rPr>
          <w:rFonts w:ascii="Calibri" w:hAnsi="Calibri" w:cs="Calibri"/>
        </w:rPr>
        <w:tab/>
        <w:t>Odbiór robót zanikających i ulegających zakryciu będzie dokonany w czasie umożliwiającym wykonanie ewentualnych korekt i poprawek bez hamowania ogólnego postępu robót.</w:t>
      </w:r>
    </w:p>
    <w:p w:rsidR="000F437A" w:rsidRPr="00E026AB" w:rsidRDefault="000F437A" w:rsidP="000F437A">
      <w:pPr>
        <w:rPr>
          <w:rFonts w:ascii="Calibri" w:hAnsi="Calibri" w:cs="Calibri"/>
        </w:rPr>
      </w:pPr>
      <w:r w:rsidRPr="00E026AB">
        <w:rPr>
          <w:rFonts w:ascii="Calibri" w:hAnsi="Calibri" w:cs="Calibri"/>
        </w:rPr>
        <w:tab/>
        <w:t>Odbioru robót dokonuje Inżynier/Kierownik projektu.</w:t>
      </w:r>
    </w:p>
    <w:p w:rsidR="000F437A" w:rsidRPr="00E026AB" w:rsidRDefault="000F437A" w:rsidP="000F437A">
      <w:pPr>
        <w:rPr>
          <w:rFonts w:ascii="Calibri" w:hAnsi="Calibri" w:cs="Calibri"/>
        </w:rPr>
      </w:pPr>
      <w:r w:rsidRPr="00E026AB">
        <w:rPr>
          <w:rFonts w:ascii="Calibri" w:hAnsi="Calibri" w:cs="Calibri"/>
        </w:rPr>
        <w:tab/>
        <w:t>Gotowość danej części robót do odbioru zgłasza Wykonawca wpisem do dziennika budowy i jednoczesnym powiadomieniem Inżyniera/Kierownika projektu. Odbiór będzie przeprowadzony niezwłocznie, nie później jednak niż w ciągu 3 dni od daty zgłoszenia wpisem do dziennika budowy i powiadomienia o tym fakcie Inżyniera/Kierownika projektu.</w:t>
      </w:r>
    </w:p>
    <w:p w:rsidR="000F437A" w:rsidRPr="00E026AB" w:rsidRDefault="000F437A" w:rsidP="000F437A">
      <w:pPr>
        <w:rPr>
          <w:rFonts w:ascii="Calibri" w:hAnsi="Calibri" w:cs="Calibri"/>
        </w:rPr>
      </w:pPr>
      <w:r w:rsidRPr="00E026AB">
        <w:rPr>
          <w:rFonts w:ascii="Calibri" w:hAnsi="Calibri" w:cs="Calibri"/>
        </w:rPr>
        <w:tab/>
        <w:t>Jakość i ilość robót ulegających zakryciu ocenia Inżynier/Kierownik projektu na podstawie dokumentów zawierających komplet wyników badań laboratoryjnych i w oparciu o przeprowadzone pomiary, w konfronta</w:t>
      </w:r>
      <w:r>
        <w:rPr>
          <w:rFonts w:ascii="Calibri" w:hAnsi="Calibri" w:cs="Calibri"/>
        </w:rPr>
        <w:t xml:space="preserve">cji z dokumentacją projektową, </w:t>
      </w:r>
      <w:r w:rsidRPr="00E026AB">
        <w:rPr>
          <w:rFonts w:ascii="Calibri" w:hAnsi="Calibri" w:cs="Calibri"/>
        </w:rPr>
        <w:t>ST i uprzednimi ustaleniami.</w:t>
      </w:r>
    </w:p>
    <w:p w:rsidR="000F437A" w:rsidRPr="00E026AB" w:rsidRDefault="000F437A" w:rsidP="000F437A">
      <w:pPr>
        <w:rPr>
          <w:rFonts w:ascii="Calibri" w:hAnsi="Calibri" w:cs="Calibri"/>
        </w:rPr>
      </w:pPr>
      <w:r w:rsidRPr="00DD0B3E">
        <w:rPr>
          <w:rFonts w:ascii="Calibri" w:hAnsi="Calibri" w:cs="Calibri"/>
          <w:b/>
        </w:rPr>
        <w:t>8.3.</w:t>
      </w:r>
      <w:r w:rsidRPr="00E026AB">
        <w:rPr>
          <w:rFonts w:ascii="Calibri" w:hAnsi="Calibri" w:cs="Calibri"/>
        </w:rPr>
        <w:t xml:space="preserve"> Odbiór częściowy</w:t>
      </w:r>
    </w:p>
    <w:p w:rsidR="000F437A" w:rsidRPr="00E026AB" w:rsidRDefault="000F437A" w:rsidP="000F437A">
      <w:pPr>
        <w:rPr>
          <w:rFonts w:ascii="Calibri" w:hAnsi="Calibri" w:cs="Calibri"/>
        </w:rPr>
      </w:pPr>
      <w:r w:rsidRPr="00E026AB">
        <w:rPr>
          <w:rFonts w:ascii="Calibri" w:hAnsi="Calibri" w:cs="Calibri"/>
        </w:rPr>
        <w:tab/>
        <w:t>Odbiór  częściowy polega na ocenie ilości i jakości wykonanych części robót. Odbioru częściowego robót dokonuje się wg zasad jak przy odbiorze ostatecznym robót. Odbioru robót dokonuje Inżynier/Kierownik projektu.</w:t>
      </w:r>
    </w:p>
    <w:p w:rsidR="000F437A" w:rsidRPr="00E026AB" w:rsidRDefault="000F437A" w:rsidP="000F437A">
      <w:pPr>
        <w:rPr>
          <w:rFonts w:ascii="Calibri" w:hAnsi="Calibri" w:cs="Calibri"/>
        </w:rPr>
      </w:pPr>
      <w:r w:rsidRPr="00DD0B3E">
        <w:rPr>
          <w:rFonts w:ascii="Calibri" w:hAnsi="Calibri" w:cs="Calibri"/>
          <w:b/>
        </w:rPr>
        <w:t>8.4.</w:t>
      </w:r>
      <w:r w:rsidRPr="00E026AB">
        <w:rPr>
          <w:rFonts w:ascii="Calibri" w:hAnsi="Calibri" w:cs="Calibri"/>
        </w:rPr>
        <w:t xml:space="preserve"> Odbiór ostateczny robót</w:t>
      </w:r>
    </w:p>
    <w:p w:rsidR="000F437A" w:rsidRPr="00E026AB" w:rsidRDefault="000F437A" w:rsidP="000F437A">
      <w:pPr>
        <w:rPr>
          <w:rFonts w:ascii="Calibri" w:hAnsi="Calibri" w:cs="Calibri"/>
        </w:rPr>
      </w:pPr>
      <w:r w:rsidRPr="00DD0B3E">
        <w:rPr>
          <w:rFonts w:ascii="Calibri" w:hAnsi="Calibri" w:cs="Calibri"/>
          <w:b/>
        </w:rPr>
        <w:t>8.4.1.</w:t>
      </w:r>
      <w:r w:rsidRPr="00E026AB">
        <w:rPr>
          <w:rFonts w:ascii="Calibri" w:hAnsi="Calibri" w:cs="Calibri"/>
        </w:rPr>
        <w:t xml:space="preserve"> Zasady odbioru ostatecznego robót</w:t>
      </w:r>
    </w:p>
    <w:p w:rsidR="000F437A" w:rsidRPr="00E026AB" w:rsidRDefault="000F437A" w:rsidP="000F437A">
      <w:pPr>
        <w:rPr>
          <w:rFonts w:ascii="Calibri" w:hAnsi="Calibri" w:cs="Calibri"/>
        </w:rPr>
      </w:pPr>
      <w:r w:rsidRPr="00E026AB">
        <w:rPr>
          <w:rFonts w:ascii="Calibri" w:hAnsi="Calibri" w:cs="Calibri"/>
        </w:rPr>
        <w:tab/>
        <w:t>Odbiór ostateczny polega na finalnej ocenie rzeczywistego wykonania robót w odniesieniu do ich ilości, jakości i wartości.</w:t>
      </w:r>
    </w:p>
    <w:p w:rsidR="000F437A" w:rsidRPr="00E026AB" w:rsidRDefault="000F437A" w:rsidP="000F437A">
      <w:pPr>
        <w:rPr>
          <w:rFonts w:ascii="Calibri" w:hAnsi="Calibri" w:cs="Calibri"/>
        </w:rPr>
      </w:pPr>
      <w:r w:rsidRPr="00E026AB">
        <w:rPr>
          <w:rFonts w:ascii="Calibri" w:hAnsi="Calibri" w:cs="Calibri"/>
        </w:rPr>
        <w:tab/>
        <w:t>Całkowite zakończenie robót oraz gotowość do odbioru ostatecznego będzie stwierdzona przez Wykonawcę wpisem do dziennika budowy z bezzwłocznym powiadomieniem na piśmie o tym fakcie Inżyniera/Kierownika projektu.</w:t>
      </w:r>
    </w:p>
    <w:p w:rsidR="000F437A" w:rsidRPr="00E026AB" w:rsidRDefault="000F437A" w:rsidP="000F437A">
      <w:pPr>
        <w:rPr>
          <w:rFonts w:ascii="Calibri" w:hAnsi="Calibri" w:cs="Calibri"/>
        </w:rPr>
      </w:pPr>
      <w:r w:rsidRPr="00E026AB">
        <w:rPr>
          <w:rFonts w:ascii="Calibri" w:hAnsi="Calibri" w:cs="Calibri"/>
        </w:rPr>
        <w:tab/>
        <w:t>Odbiór ostateczny robót nastąpi w terminie ustalonym w dokumentach umowy, licząc od dnia potwierdzenia przez Inżyniera/Kierownika projektu zakończenia robót i przyjęcia dokumentów, o których mowa w punkcie 8.4.2.</w:t>
      </w:r>
    </w:p>
    <w:p w:rsidR="000F437A" w:rsidRPr="00E026AB" w:rsidRDefault="000F437A" w:rsidP="000F437A">
      <w:pPr>
        <w:rPr>
          <w:rFonts w:ascii="Calibri" w:hAnsi="Calibri" w:cs="Calibri"/>
        </w:rPr>
      </w:pPr>
      <w:r w:rsidRPr="00E026AB">
        <w:rPr>
          <w:rFonts w:ascii="Calibri" w:hAnsi="Calibri" w:cs="Calibri"/>
        </w:rPr>
        <w:tab/>
        <w:t>Odbioru ostatecznego robót dokona komisja wyznaczona przez Zamawiającego w obecności Inżyniera/Kierownika projektu i Wykonawcy. Komisja odbierająca roboty dokona ich oceny jakościowej na podstawie przedłożonych dokumentów, wyników badań i pomiarów, ocenie wizualnej oraz zgodności wykonania robót z dokumentacją projektow</w:t>
      </w:r>
      <w:r>
        <w:rPr>
          <w:rFonts w:ascii="Calibri" w:hAnsi="Calibri" w:cs="Calibri"/>
        </w:rPr>
        <w:t xml:space="preserve">ą i </w:t>
      </w:r>
      <w:r w:rsidRPr="00E026AB">
        <w:rPr>
          <w:rFonts w:ascii="Calibri" w:hAnsi="Calibri" w:cs="Calibri"/>
        </w:rPr>
        <w:t>ST.</w:t>
      </w:r>
    </w:p>
    <w:p w:rsidR="000F437A" w:rsidRPr="00E026AB" w:rsidRDefault="000F437A" w:rsidP="000F437A">
      <w:pPr>
        <w:rPr>
          <w:rFonts w:ascii="Calibri" w:hAnsi="Calibri" w:cs="Calibri"/>
        </w:rPr>
      </w:pPr>
      <w:r w:rsidRPr="00E026AB">
        <w:rPr>
          <w:rFonts w:ascii="Calibri" w:hAnsi="Calibri" w:cs="Calibri"/>
        </w:rPr>
        <w:tab/>
        <w:t>W toku odbioru ostatecznego robót komisja zapozna się z realizacją ustaleń przyjętych w trakcie odbiorów robót zanikających i ulegających zakryciu, zwłaszcza w zakresie wykonania robót uzupełniających i robót poprawkowych.</w:t>
      </w:r>
    </w:p>
    <w:p w:rsidR="000F437A" w:rsidRPr="00E026AB" w:rsidRDefault="000F437A" w:rsidP="000F437A">
      <w:pPr>
        <w:rPr>
          <w:rFonts w:ascii="Calibri" w:hAnsi="Calibri" w:cs="Calibri"/>
        </w:rPr>
      </w:pPr>
      <w:r w:rsidRPr="00E026AB">
        <w:rPr>
          <w:rFonts w:ascii="Calibri" w:hAnsi="Calibri" w:cs="Calibri"/>
        </w:rPr>
        <w:tab/>
        <w:t>W przypadkach niewykonania wyznaczonych robót poprawkowych lub robót uzupełniających w warstwie ścieralnej lub robotach wykończeniowych, komisja przerwie swoje czynności i ustali nowy termin odbioru ostatecznego.</w:t>
      </w:r>
    </w:p>
    <w:p w:rsidR="000F437A" w:rsidRPr="00E026AB" w:rsidRDefault="000F437A" w:rsidP="000F437A">
      <w:pPr>
        <w:rPr>
          <w:rFonts w:ascii="Calibri" w:hAnsi="Calibri" w:cs="Calibri"/>
        </w:rPr>
      </w:pPr>
      <w:r w:rsidRPr="00E026AB">
        <w:rPr>
          <w:rFonts w:ascii="Calibri" w:hAnsi="Calibri" w:cs="Calibri"/>
        </w:rPr>
        <w:tab/>
        <w:t>W przypadku stwierdzenia przez komisję, że jakość wykonywanych robót w poszczególnych asortymentach nieznacznie odbiega od wymag</w:t>
      </w:r>
      <w:r>
        <w:rPr>
          <w:rFonts w:ascii="Calibri" w:hAnsi="Calibri" w:cs="Calibri"/>
        </w:rPr>
        <w:t xml:space="preserve">anej dokumentacją projektową i </w:t>
      </w:r>
      <w:r w:rsidRPr="00E026AB">
        <w:rPr>
          <w:rFonts w:ascii="Calibri" w:hAnsi="Calibri" w:cs="Calibri"/>
        </w:rPr>
        <w:t>ST z uwzględnieniem tolerancji i nie ma większego wpływu na cechy eksploatacyjne obiektu i bezpieczeństwo ruchu, komisja dokona potrąceń, oceniając pomniejszoną wartość wykonywanych robót w stosunku do wymagań przyjętych w dokumentach umowy.</w:t>
      </w:r>
    </w:p>
    <w:p w:rsidR="000F437A" w:rsidRPr="00E026AB" w:rsidRDefault="000F437A" w:rsidP="000F437A">
      <w:pPr>
        <w:rPr>
          <w:rFonts w:ascii="Calibri" w:hAnsi="Calibri" w:cs="Calibri"/>
        </w:rPr>
      </w:pPr>
      <w:bookmarkStart w:id="27" w:name="_Toc412518599"/>
      <w:r w:rsidRPr="00DD0B3E">
        <w:rPr>
          <w:rFonts w:ascii="Calibri" w:hAnsi="Calibri" w:cs="Calibri"/>
          <w:b/>
        </w:rPr>
        <w:t>8.4.2.</w:t>
      </w:r>
      <w:r w:rsidRPr="00E026AB">
        <w:rPr>
          <w:rFonts w:ascii="Calibri" w:hAnsi="Calibri" w:cs="Calibri"/>
        </w:rPr>
        <w:t xml:space="preserve"> Dokumenty do odbioru ostatecznego</w:t>
      </w:r>
      <w:bookmarkEnd w:id="27"/>
    </w:p>
    <w:p w:rsidR="000F437A" w:rsidRPr="00E026AB" w:rsidRDefault="000F437A" w:rsidP="000F437A">
      <w:pPr>
        <w:rPr>
          <w:rFonts w:ascii="Calibri" w:hAnsi="Calibri" w:cs="Calibri"/>
        </w:rPr>
      </w:pPr>
      <w:r w:rsidRPr="00E026AB">
        <w:rPr>
          <w:rFonts w:ascii="Calibri" w:hAnsi="Calibri" w:cs="Calibri"/>
        </w:rPr>
        <w:tab/>
        <w:t>Podstawowym dokumentem do dokonania odbioru ostatecznego robót jest protokół odbioru ostatecznego robót sporządzony wg wzoru ustalonego przez Zamawiającego.</w:t>
      </w:r>
    </w:p>
    <w:p w:rsidR="000F437A" w:rsidRPr="00E026AB" w:rsidRDefault="000F437A" w:rsidP="000F437A">
      <w:pPr>
        <w:rPr>
          <w:rFonts w:ascii="Calibri" w:hAnsi="Calibri" w:cs="Calibri"/>
        </w:rPr>
      </w:pPr>
      <w:r w:rsidRPr="00E026AB">
        <w:rPr>
          <w:rFonts w:ascii="Calibri" w:hAnsi="Calibri" w:cs="Calibri"/>
        </w:rPr>
        <w:tab/>
        <w:t>Do odbioru ostatecznego Wykonawca jest zobowiązany przygotować następujące dokumenty:</w:t>
      </w:r>
    </w:p>
    <w:p w:rsidR="000F437A" w:rsidRPr="00E026AB" w:rsidRDefault="000F437A" w:rsidP="000F437A">
      <w:pPr>
        <w:rPr>
          <w:rFonts w:ascii="Calibri" w:hAnsi="Calibri" w:cs="Calibri"/>
        </w:rPr>
      </w:pPr>
      <w:r>
        <w:rPr>
          <w:rFonts w:ascii="Calibri" w:hAnsi="Calibri" w:cs="Calibri"/>
        </w:rPr>
        <w:t>-</w:t>
      </w:r>
      <w:r w:rsidRPr="00E026AB">
        <w:rPr>
          <w:rFonts w:ascii="Calibri" w:hAnsi="Calibri" w:cs="Calibri"/>
        </w:rPr>
        <w:t>dokumentację projektową podstawową z naniesionymi zmianami oraz dodatkową, jeśli została sporządzona w trakcie realizacji umowy,</w:t>
      </w:r>
    </w:p>
    <w:p w:rsidR="000F437A" w:rsidRPr="00E026AB" w:rsidRDefault="000F437A" w:rsidP="000F437A">
      <w:pPr>
        <w:rPr>
          <w:rFonts w:ascii="Calibri" w:hAnsi="Calibri" w:cs="Calibri"/>
        </w:rPr>
      </w:pPr>
      <w:r>
        <w:rPr>
          <w:rFonts w:ascii="Calibri" w:hAnsi="Calibri" w:cs="Calibri"/>
        </w:rPr>
        <w:t>-</w:t>
      </w:r>
      <w:r w:rsidRPr="00E026AB">
        <w:rPr>
          <w:rFonts w:ascii="Calibri" w:hAnsi="Calibri" w:cs="Calibri"/>
        </w:rPr>
        <w:t>szczegółowe specyfikacje techniczne (podstawowe z dokumentów umowy i ew. uzupełniające lub zamienne),</w:t>
      </w:r>
    </w:p>
    <w:p w:rsidR="000F437A" w:rsidRPr="00E026AB" w:rsidRDefault="000F437A" w:rsidP="000F437A">
      <w:pPr>
        <w:rPr>
          <w:rFonts w:ascii="Calibri" w:hAnsi="Calibri" w:cs="Calibri"/>
        </w:rPr>
      </w:pPr>
      <w:r>
        <w:rPr>
          <w:rFonts w:ascii="Calibri" w:hAnsi="Calibri" w:cs="Calibri"/>
        </w:rPr>
        <w:t>-</w:t>
      </w:r>
      <w:r w:rsidRPr="00E026AB">
        <w:rPr>
          <w:rFonts w:ascii="Calibri" w:hAnsi="Calibri" w:cs="Calibri"/>
        </w:rPr>
        <w:t>recepty i ustalenia technologiczne,</w:t>
      </w:r>
    </w:p>
    <w:p w:rsidR="000F437A" w:rsidRPr="00E026AB" w:rsidRDefault="000F437A" w:rsidP="000F437A">
      <w:pPr>
        <w:rPr>
          <w:rFonts w:ascii="Calibri" w:hAnsi="Calibri" w:cs="Calibri"/>
        </w:rPr>
      </w:pPr>
      <w:r>
        <w:rPr>
          <w:rFonts w:ascii="Calibri" w:hAnsi="Calibri" w:cs="Calibri"/>
        </w:rPr>
        <w:t>-</w:t>
      </w:r>
      <w:r w:rsidRPr="00E026AB">
        <w:rPr>
          <w:rFonts w:ascii="Calibri" w:hAnsi="Calibri" w:cs="Calibri"/>
        </w:rPr>
        <w:t>dzienniki budowy i książki obmiarów (oryginały),</w:t>
      </w:r>
    </w:p>
    <w:p w:rsidR="000F437A" w:rsidRPr="00E026AB" w:rsidRDefault="000F437A" w:rsidP="000F437A">
      <w:pPr>
        <w:rPr>
          <w:rFonts w:ascii="Calibri" w:hAnsi="Calibri" w:cs="Calibri"/>
        </w:rPr>
      </w:pPr>
      <w:r>
        <w:rPr>
          <w:rFonts w:ascii="Calibri" w:hAnsi="Calibri" w:cs="Calibri"/>
        </w:rPr>
        <w:t>-</w:t>
      </w:r>
      <w:r w:rsidRPr="00E026AB">
        <w:rPr>
          <w:rFonts w:ascii="Calibri" w:hAnsi="Calibri" w:cs="Calibri"/>
        </w:rPr>
        <w:t>wyniki pomiarów kontrolnych oraz badań i ozna</w:t>
      </w:r>
      <w:r>
        <w:rPr>
          <w:rFonts w:ascii="Calibri" w:hAnsi="Calibri" w:cs="Calibri"/>
        </w:rPr>
        <w:t xml:space="preserve">czeń laboratoryjnych, zgodne z </w:t>
      </w:r>
      <w:r w:rsidRPr="00E026AB">
        <w:rPr>
          <w:rFonts w:ascii="Calibri" w:hAnsi="Calibri" w:cs="Calibri"/>
        </w:rPr>
        <w:t>ST i ew. PZJ,</w:t>
      </w:r>
    </w:p>
    <w:p w:rsidR="000F437A" w:rsidRPr="00E026AB" w:rsidRDefault="000F437A" w:rsidP="000F437A">
      <w:pPr>
        <w:rPr>
          <w:rFonts w:ascii="Calibri" w:hAnsi="Calibri" w:cs="Calibri"/>
        </w:rPr>
      </w:pPr>
      <w:r>
        <w:rPr>
          <w:rFonts w:ascii="Calibri" w:hAnsi="Calibri" w:cs="Calibri"/>
        </w:rPr>
        <w:t>-</w:t>
      </w:r>
      <w:r w:rsidRPr="00E026AB">
        <w:rPr>
          <w:rFonts w:ascii="Calibri" w:hAnsi="Calibri" w:cs="Calibri"/>
        </w:rPr>
        <w:t>deklaracje zgodności lub certyfikaty zgodności wb</w:t>
      </w:r>
      <w:r>
        <w:rPr>
          <w:rFonts w:ascii="Calibri" w:hAnsi="Calibri" w:cs="Calibri"/>
        </w:rPr>
        <w:t xml:space="preserve">udowanych materiałów zgodnie z </w:t>
      </w:r>
      <w:r w:rsidRPr="00E026AB">
        <w:rPr>
          <w:rFonts w:ascii="Calibri" w:hAnsi="Calibri" w:cs="Calibri"/>
        </w:rPr>
        <w:t>ST i ew. PZJ,</w:t>
      </w:r>
    </w:p>
    <w:p w:rsidR="000F437A" w:rsidRPr="00E026AB" w:rsidRDefault="000F437A" w:rsidP="000F437A">
      <w:pPr>
        <w:rPr>
          <w:rFonts w:ascii="Calibri" w:hAnsi="Calibri" w:cs="Calibri"/>
        </w:rPr>
      </w:pPr>
      <w:r>
        <w:rPr>
          <w:rFonts w:ascii="Calibri" w:hAnsi="Calibri" w:cs="Calibri"/>
        </w:rPr>
        <w:t>-</w:t>
      </w:r>
      <w:r w:rsidRPr="00E026AB">
        <w:rPr>
          <w:rFonts w:ascii="Calibri" w:hAnsi="Calibri" w:cs="Calibri"/>
        </w:rPr>
        <w:t>opinię technologiczną sporządzoną na podstawie wszystkich wyników badań i pomiarów załączonych do dokumentów</w:t>
      </w:r>
      <w:r>
        <w:rPr>
          <w:rFonts w:ascii="Calibri" w:hAnsi="Calibri" w:cs="Calibri"/>
        </w:rPr>
        <w:t xml:space="preserve"> odbioru, wykonanych zgodnie z </w:t>
      </w:r>
      <w:r w:rsidRPr="00E026AB">
        <w:rPr>
          <w:rFonts w:ascii="Calibri" w:hAnsi="Calibri" w:cs="Calibri"/>
        </w:rPr>
        <w:t>ST i PZJ,</w:t>
      </w:r>
    </w:p>
    <w:p w:rsidR="000F437A" w:rsidRPr="00E026AB" w:rsidRDefault="000F437A" w:rsidP="000F437A">
      <w:pPr>
        <w:rPr>
          <w:rFonts w:ascii="Calibri" w:hAnsi="Calibri" w:cs="Calibri"/>
        </w:rPr>
      </w:pPr>
      <w:r>
        <w:rPr>
          <w:rFonts w:ascii="Calibri" w:hAnsi="Calibri" w:cs="Calibri"/>
        </w:rPr>
        <w:t>-</w:t>
      </w:r>
      <w:r w:rsidRPr="00E026AB">
        <w:rPr>
          <w:rFonts w:ascii="Calibri" w:hAnsi="Calibri" w:cs="Calibri"/>
        </w:rPr>
        <w:t>rysunki (dokumentacje) na wykonanie robót towarzyszących (np. na przełożenie linii telefonicznej, energetycznej, gazowej, oświetlenia itp.) oraz protokoły odbioru i przekazania tych robót właścicielom urządzeń,</w:t>
      </w:r>
    </w:p>
    <w:p w:rsidR="000F437A" w:rsidRPr="00E026AB" w:rsidRDefault="000F437A" w:rsidP="000F437A">
      <w:pPr>
        <w:rPr>
          <w:rFonts w:ascii="Calibri" w:hAnsi="Calibri" w:cs="Calibri"/>
        </w:rPr>
      </w:pPr>
      <w:r>
        <w:rPr>
          <w:rFonts w:ascii="Calibri" w:hAnsi="Calibri" w:cs="Calibri"/>
        </w:rPr>
        <w:t>-</w:t>
      </w:r>
      <w:r w:rsidRPr="00E026AB">
        <w:rPr>
          <w:rFonts w:ascii="Calibri" w:hAnsi="Calibri" w:cs="Calibri"/>
        </w:rPr>
        <w:t>geodezyjną inwentaryzację powykonawczą robót i sieci uzbrojenia terenu,</w:t>
      </w:r>
    </w:p>
    <w:p w:rsidR="000F437A" w:rsidRPr="00E026AB" w:rsidRDefault="000F437A" w:rsidP="000F437A">
      <w:pPr>
        <w:rPr>
          <w:rFonts w:ascii="Calibri" w:hAnsi="Calibri" w:cs="Calibri"/>
        </w:rPr>
      </w:pPr>
      <w:r>
        <w:rPr>
          <w:rFonts w:ascii="Calibri" w:hAnsi="Calibri" w:cs="Calibri"/>
        </w:rPr>
        <w:lastRenderedPageBreak/>
        <w:t>-</w:t>
      </w:r>
      <w:r w:rsidRPr="00E026AB">
        <w:rPr>
          <w:rFonts w:ascii="Calibri" w:hAnsi="Calibri" w:cs="Calibri"/>
        </w:rPr>
        <w:t>kopię mapy zasadniczej powstałej w wyniku geodezyjnej inwentaryzacji powykonawczej.</w:t>
      </w:r>
    </w:p>
    <w:p w:rsidR="000F437A" w:rsidRPr="00E026AB" w:rsidRDefault="000F437A" w:rsidP="000F437A">
      <w:pPr>
        <w:rPr>
          <w:rFonts w:ascii="Calibri" w:hAnsi="Calibri" w:cs="Calibri"/>
        </w:rPr>
      </w:pPr>
      <w:r w:rsidRPr="00E026AB">
        <w:rPr>
          <w:rFonts w:ascii="Calibri" w:hAnsi="Calibri" w:cs="Calibri"/>
        </w:rPr>
        <w:tab/>
        <w:t>W przypadku, gdy wg komisji, roboty pod względem przygotowania dokumentacyjnego nie będą gotowe do odbioru ostatecznego, komisja w porozumieniu z Wykonawcą wyznaczy ponowny termin odbioru ostatecznego robót.</w:t>
      </w:r>
    </w:p>
    <w:p w:rsidR="000F437A" w:rsidRPr="00E026AB" w:rsidRDefault="000F437A" w:rsidP="000F437A">
      <w:pPr>
        <w:rPr>
          <w:rFonts w:ascii="Calibri" w:hAnsi="Calibri" w:cs="Calibri"/>
        </w:rPr>
      </w:pPr>
      <w:r w:rsidRPr="00E026AB">
        <w:rPr>
          <w:rFonts w:ascii="Calibri" w:hAnsi="Calibri" w:cs="Calibri"/>
        </w:rPr>
        <w:tab/>
        <w:t>Wszystkie zarządzone przez komisję roboty poprawkowe lub uzupełniające będą zestawione wg wzoru ustalonego przez Zamawiającego.</w:t>
      </w:r>
    </w:p>
    <w:p w:rsidR="000F437A" w:rsidRPr="00E026AB" w:rsidRDefault="000F437A" w:rsidP="000F437A">
      <w:pPr>
        <w:rPr>
          <w:rFonts w:ascii="Calibri" w:hAnsi="Calibri" w:cs="Calibri"/>
        </w:rPr>
      </w:pPr>
      <w:r w:rsidRPr="00E026AB">
        <w:rPr>
          <w:rFonts w:ascii="Calibri" w:hAnsi="Calibri" w:cs="Calibri"/>
        </w:rPr>
        <w:tab/>
        <w:t>Termin wykonania robót poprawkowych i robót uzupełniających wyznaczy komisja.</w:t>
      </w:r>
    </w:p>
    <w:p w:rsidR="000F437A" w:rsidRPr="00E026AB" w:rsidRDefault="000F437A" w:rsidP="000F437A">
      <w:pPr>
        <w:rPr>
          <w:rFonts w:ascii="Calibri" w:hAnsi="Calibri" w:cs="Calibri"/>
        </w:rPr>
      </w:pPr>
      <w:r w:rsidRPr="00DD0B3E">
        <w:rPr>
          <w:rFonts w:ascii="Calibri" w:hAnsi="Calibri" w:cs="Calibri"/>
          <w:b/>
        </w:rPr>
        <w:t>8.5.</w:t>
      </w:r>
      <w:r w:rsidRPr="00E026AB">
        <w:rPr>
          <w:rFonts w:ascii="Calibri" w:hAnsi="Calibri" w:cs="Calibri"/>
        </w:rPr>
        <w:t xml:space="preserve"> Odbiór pogwarancyjny</w:t>
      </w:r>
    </w:p>
    <w:p w:rsidR="000F437A" w:rsidRPr="00E026AB" w:rsidRDefault="000F437A" w:rsidP="000F437A">
      <w:pPr>
        <w:rPr>
          <w:rFonts w:ascii="Calibri" w:hAnsi="Calibri" w:cs="Calibri"/>
        </w:rPr>
      </w:pPr>
      <w:r w:rsidRPr="00E026AB">
        <w:rPr>
          <w:rFonts w:ascii="Calibri" w:hAnsi="Calibri" w:cs="Calibri"/>
        </w:rPr>
        <w:tab/>
        <w:t>Odbiór pogwarancyjny polega na ocenie wykonanych robót związanych z usunięciem wad stwierdzonych przy odbiorze ostatecznym i zaistniałych w okresie gwarancyjnym.</w:t>
      </w:r>
    </w:p>
    <w:p w:rsidR="000F437A" w:rsidRDefault="000F437A" w:rsidP="000F437A">
      <w:pPr>
        <w:rPr>
          <w:rFonts w:ascii="Calibri" w:hAnsi="Calibri" w:cs="Calibri"/>
        </w:rPr>
      </w:pPr>
      <w:r w:rsidRPr="00E026AB">
        <w:rPr>
          <w:rFonts w:ascii="Calibri" w:hAnsi="Calibri" w:cs="Calibri"/>
        </w:rPr>
        <w:tab/>
        <w:t>Odbiór pogwarancyjny będzie dokonany na podstawie oceny wizualnej obiektu z uwzględnieniem zasad opisanych w punkcie 8.4 „Odbiór ostateczny robót”.</w:t>
      </w:r>
    </w:p>
    <w:p w:rsidR="000F437A" w:rsidRPr="00E026AB" w:rsidRDefault="000F437A" w:rsidP="000F437A">
      <w:pPr>
        <w:rPr>
          <w:rFonts w:ascii="Calibri" w:hAnsi="Calibri" w:cs="Calibri"/>
        </w:rPr>
      </w:pPr>
    </w:p>
    <w:p w:rsidR="000F437A" w:rsidRPr="00DD0B3E" w:rsidRDefault="000F437A" w:rsidP="000F437A">
      <w:pPr>
        <w:rPr>
          <w:rFonts w:ascii="Calibri" w:hAnsi="Calibri" w:cs="Calibri"/>
          <w:b/>
        </w:rPr>
      </w:pPr>
      <w:bookmarkStart w:id="28" w:name="_Toc416830706"/>
      <w:bookmarkStart w:id="29" w:name="_Toc6881287"/>
      <w:bookmarkStart w:id="30" w:name="_Toc6882160"/>
      <w:r w:rsidRPr="00DD0B3E">
        <w:rPr>
          <w:rFonts w:ascii="Calibri" w:hAnsi="Calibri" w:cs="Calibri"/>
          <w:b/>
        </w:rPr>
        <w:t xml:space="preserve">9. </w:t>
      </w:r>
      <w:bookmarkEnd w:id="28"/>
      <w:bookmarkEnd w:id="29"/>
      <w:bookmarkEnd w:id="30"/>
      <w:r w:rsidRPr="00DD0B3E">
        <w:rPr>
          <w:rFonts w:ascii="Calibri" w:hAnsi="Calibri" w:cs="Calibri"/>
          <w:b/>
        </w:rPr>
        <w:t>PODSTAWA PŁATNOŚCI</w:t>
      </w:r>
    </w:p>
    <w:p w:rsidR="000F437A" w:rsidRPr="00E026AB" w:rsidRDefault="000F437A" w:rsidP="000F437A">
      <w:pPr>
        <w:rPr>
          <w:rFonts w:ascii="Calibri" w:hAnsi="Calibri" w:cs="Calibri"/>
        </w:rPr>
      </w:pPr>
      <w:r w:rsidRPr="00DD0B3E">
        <w:rPr>
          <w:rFonts w:ascii="Calibri" w:hAnsi="Calibri" w:cs="Calibri"/>
          <w:b/>
        </w:rPr>
        <w:t>9.1.</w:t>
      </w:r>
      <w:r w:rsidRPr="00E026AB">
        <w:rPr>
          <w:rFonts w:ascii="Calibri" w:hAnsi="Calibri" w:cs="Calibri"/>
        </w:rPr>
        <w:t xml:space="preserve"> Ustalenia ogólne</w:t>
      </w:r>
    </w:p>
    <w:p w:rsidR="000F437A" w:rsidRPr="00E026AB" w:rsidRDefault="000F437A" w:rsidP="000F437A">
      <w:pPr>
        <w:rPr>
          <w:rFonts w:ascii="Calibri" w:hAnsi="Calibri" w:cs="Calibri"/>
        </w:rPr>
      </w:pPr>
      <w:r w:rsidRPr="00E026AB">
        <w:rPr>
          <w:rFonts w:ascii="Calibri" w:hAnsi="Calibri" w:cs="Calibri"/>
        </w:rPr>
        <w:tab/>
        <w:t>Podstawą płatności jest cena jednostkowa skalkulowana przez Wykonawcę za jednostkę obmiarową ustaloną dla danej pozycji kosztorysu.</w:t>
      </w:r>
    </w:p>
    <w:p w:rsidR="000F437A" w:rsidRPr="00E026AB" w:rsidRDefault="000F437A" w:rsidP="000F437A">
      <w:pPr>
        <w:rPr>
          <w:rFonts w:ascii="Calibri" w:hAnsi="Calibri" w:cs="Calibri"/>
        </w:rPr>
      </w:pPr>
      <w:r w:rsidRPr="00E026AB">
        <w:rPr>
          <w:rFonts w:ascii="Calibri" w:hAnsi="Calibri" w:cs="Calibri"/>
        </w:rPr>
        <w:tab/>
        <w:t>Dla pozycji kosztorysowych wycenionych ryczałtowo podstawą płatności jest wartość (kwota) podana przez Wykonawcę w danej pozycji kosztorysu.</w:t>
      </w:r>
    </w:p>
    <w:p w:rsidR="000F437A" w:rsidRPr="00E026AB" w:rsidRDefault="000F437A" w:rsidP="000F437A">
      <w:pPr>
        <w:rPr>
          <w:rFonts w:ascii="Calibri" w:hAnsi="Calibri" w:cs="Calibri"/>
        </w:rPr>
      </w:pPr>
      <w:r w:rsidRPr="00E026AB">
        <w:rPr>
          <w:rFonts w:ascii="Calibri" w:hAnsi="Calibri" w:cs="Calibri"/>
        </w:rPr>
        <w:tab/>
        <w:t>Cena jednostkowa lub kwota ryczałtowa pozycji kosztorysowej będzie uwzględniać wszystkie czynności, wymagania i badania składające się na jej wykonan</w:t>
      </w:r>
      <w:r>
        <w:rPr>
          <w:rFonts w:ascii="Calibri" w:hAnsi="Calibri" w:cs="Calibri"/>
        </w:rPr>
        <w:t xml:space="preserve">ie, określone dla tej roboty w </w:t>
      </w:r>
      <w:r w:rsidRPr="00E026AB">
        <w:rPr>
          <w:rFonts w:ascii="Calibri" w:hAnsi="Calibri" w:cs="Calibri"/>
        </w:rPr>
        <w:t>ST i w dokumentacji projektowej.</w:t>
      </w:r>
    </w:p>
    <w:p w:rsidR="000F437A" w:rsidRPr="00E026AB" w:rsidRDefault="000F437A" w:rsidP="000F437A">
      <w:pPr>
        <w:rPr>
          <w:rFonts w:ascii="Calibri" w:hAnsi="Calibri" w:cs="Calibri"/>
        </w:rPr>
      </w:pPr>
      <w:r w:rsidRPr="00E026AB">
        <w:rPr>
          <w:rFonts w:ascii="Calibri" w:hAnsi="Calibri" w:cs="Calibri"/>
        </w:rPr>
        <w:tab/>
        <w:t>Ceny jednostkowe lub kwoty ryczałtowe robót będą obejmować:</w:t>
      </w:r>
    </w:p>
    <w:p w:rsidR="000F437A" w:rsidRPr="00E026AB" w:rsidRDefault="000F437A" w:rsidP="000F437A">
      <w:pPr>
        <w:rPr>
          <w:rFonts w:ascii="Calibri" w:hAnsi="Calibri" w:cs="Calibri"/>
        </w:rPr>
      </w:pPr>
      <w:r>
        <w:rPr>
          <w:rFonts w:ascii="Calibri" w:hAnsi="Calibri" w:cs="Calibri"/>
        </w:rPr>
        <w:t>-</w:t>
      </w:r>
      <w:r w:rsidRPr="00E026AB">
        <w:rPr>
          <w:rFonts w:ascii="Calibri" w:hAnsi="Calibri" w:cs="Calibri"/>
        </w:rPr>
        <w:t>robociznę bezpośrednią wraz z towarzyszącymi kosztami,</w:t>
      </w:r>
    </w:p>
    <w:p w:rsidR="000F437A" w:rsidRPr="00E026AB" w:rsidRDefault="000F437A" w:rsidP="000F437A">
      <w:pPr>
        <w:rPr>
          <w:rFonts w:ascii="Calibri" w:hAnsi="Calibri" w:cs="Calibri"/>
        </w:rPr>
      </w:pPr>
      <w:r>
        <w:rPr>
          <w:rFonts w:ascii="Calibri" w:hAnsi="Calibri" w:cs="Calibri"/>
        </w:rPr>
        <w:t>-</w:t>
      </w:r>
      <w:r w:rsidRPr="00E026AB">
        <w:rPr>
          <w:rFonts w:ascii="Calibri" w:hAnsi="Calibri" w:cs="Calibri"/>
        </w:rPr>
        <w:t>wartość zużytych materiałów wraz z kosztami zakupu, magazynowania, ewentualnych ubytków i transportu na teren budowy,</w:t>
      </w:r>
    </w:p>
    <w:p w:rsidR="000F437A" w:rsidRPr="00E026AB" w:rsidRDefault="000F437A" w:rsidP="000F437A">
      <w:pPr>
        <w:rPr>
          <w:rFonts w:ascii="Calibri" w:hAnsi="Calibri" w:cs="Calibri"/>
        </w:rPr>
      </w:pPr>
      <w:r>
        <w:rPr>
          <w:rFonts w:ascii="Calibri" w:hAnsi="Calibri" w:cs="Calibri"/>
        </w:rPr>
        <w:t>-</w:t>
      </w:r>
      <w:r w:rsidRPr="00E026AB">
        <w:rPr>
          <w:rFonts w:ascii="Calibri" w:hAnsi="Calibri" w:cs="Calibri"/>
        </w:rPr>
        <w:t>wartość pracy sprzętu wraz z towarzyszącymi kosztami,</w:t>
      </w:r>
    </w:p>
    <w:p w:rsidR="000F437A" w:rsidRPr="00E026AB" w:rsidRDefault="000F437A" w:rsidP="000F437A">
      <w:pPr>
        <w:rPr>
          <w:rFonts w:ascii="Calibri" w:hAnsi="Calibri" w:cs="Calibri"/>
        </w:rPr>
      </w:pPr>
      <w:r>
        <w:rPr>
          <w:rFonts w:ascii="Calibri" w:hAnsi="Calibri" w:cs="Calibri"/>
        </w:rPr>
        <w:t>-</w:t>
      </w:r>
      <w:r w:rsidRPr="00E026AB">
        <w:rPr>
          <w:rFonts w:ascii="Calibri" w:hAnsi="Calibri" w:cs="Calibri"/>
        </w:rPr>
        <w:t>koszty pośrednie, zysk kalkulacyjny i ryzyko,</w:t>
      </w:r>
    </w:p>
    <w:p w:rsidR="000F437A" w:rsidRPr="00E026AB" w:rsidRDefault="000F437A" w:rsidP="000F437A">
      <w:pPr>
        <w:rPr>
          <w:rFonts w:ascii="Calibri" w:hAnsi="Calibri" w:cs="Calibri"/>
        </w:rPr>
      </w:pPr>
      <w:r>
        <w:rPr>
          <w:rFonts w:ascii="Calibri" w:hAnsi="Calibri" w:cs="Calibri"/>
        </w:rPr>
        <w:t>-</w:t>
      </w:r>
      <w:r w:rsidRPr="00E026AB">
        <w:rPr>
          <w:rFonts w:ascii="Calibri" w:hAnsi="Calibri" w:cs="Calibri"/>
        </w:rPr>
        <w:t>podatki obliczone zgodnie z obowiązującymi przepisami.</w:t>
      </w:r>
    </w:p>
    <w:p w:rsidR="000F437A" w:rsidRPr="00E026AB" w:rsidRDefault="000F437A" w:rsidP="000F437A">
      <w:pPr>
        <w:rPr>
          <w:rFonts w:ascii="Calibri" w:hAnsi="Calibri" w:cs="Calibri"/>
        </w:rPr>
      </w:pPr>
      <w:r w:rsidRPr="00E026AB">
        <w:rPr>
          <w:rFonts w:ascii="Calibri" w:hAnsi="Calibri" w:cs="Calibri"/>
        </w:rPr>
        <w:tab/>
        <w:t>Do cen jednostkowych nie należy wliczać podatku VAT.</w:t>
      </w:r>
    </w:p>
    <w:p w:rsidR="000F437A" w:rsidRPr="00E026AB" w:rsidRDefault="000F437A" w:rsidP="000F437A">
      <w:pPr>
        <w:rPr>
          <w:rFonts w:ascii="Calibri" w:hAnsi="Calibri" w:cs="Calibri"/>
        </w:rPr>
      </w:pPr>
      <w:r w:rsidRPr="00B45EB1">
        <w:rPr>
          <w:rFonts w:ascii="Calibri" w:hAnsi="Calibri" w:cs="Calibri"/>
          <w:b/>
        </w:rPr>
        <w:t>9.2.</w:t>
      </w:r>
      <w:r w:rsidRPr="00E026AB">
        <w:rPr>
          <w:rFonts w:ascii="Calibri" w:hAnsi="Calibri" w:cs="Calibri"/>
        </w:rPr>
        <w:t xml:space="preserve"> Warunki umowy i wymagania ogólne D-M-00.00.00</w:t>
      </w:r>
    </w:p>
    <w:p w:rsidR="000F437A" w:rsidRPr="00E026AB" w:rsidRDefault="000F437A" w:rsidP="000F437A">
      <w:pPr>
        <w:rPr>
          <w:rFonts w:ascii="Calibri" w:hAnsi="Calibri" w:cs="Calibri"/>
        </w:rPr>
      </w:pPr>
      <w:r w:rsidRPr="00E026AB">
        <w:rPr>
          <w:rFonts w:ascii="Calibri" w:hAnsi="Calibri" w:cs="Calibri"/>
        </w:rPr>
        <w:tab/>
        <w:t>Koszt dostosowania się do wymagań warunków umowy i wymagań ogólnych zawartych w D-M-00.00.00 obejmuje wszystkie warunki określone w ww. dokumentach, a nie wyszczególnione w kosztorysie.</w:t>
      </w:r>
    </w:p>
    <w:p w:rsidR="000F437A" w:rsidRPr="00E026AB" w:rsidRDefault="000F437A" w:rsidP="000F437A">
      <w:pPr>
        <w:rPr>
          <w:rFonts w:ascii="Calibri" w:hAnsi="Calibri" w:cs="Calibri"/>
        </w:rPr>
      </w:pPr>
      <w:r w:rsidRPr="00B45EB1">
        <w:rPr>
          <w:rFonts w:ascii="Calibri" w:hAnsi="Calibri" w:cs="Calibri"/>
          <w:b/>
        </w:rPr>
        <w:t>9.3.</w:t>
      </w:r>
      <w:r w:rsidRPr="00E026AB">
        <w:rPr>
          <w:rFonts w:ascii="Calibri" w:hAnsi="Calibri" w:cs="Calibri"/>
        </w:rPr>
        <w:t xml:space="preserve"> Objazdy, przejazdy i organizacja ruchu</w:t>
      </w:r>
    </w:p>
    <w:p w:rsidR="000F437A" w:rsidRPr="00E026AB" w:rsidRDefault="000F437A" w:rsidP="000F437A">
      <w:pPr>
        <w:rPr>
          <w:rFonts w:ascii="Calibri" w:hAnsi="Calibri" w:cs="Calibri"/>
        </w:rPr>
      </w:pPr>
      <w:r w:rsidRPr="00E026AB">
        <w:rPr>
          <w:rFonts w:ascii="Calibri" w:hAnsi="Calibri" w:cs="Calibri"/>
        </w:rPr>
        <w:tab/>
        <w:t>Koszt  wybudowania objazdów/przejazdów i organizacji ruchu obejmuje:</w:t>
      </w:r>
    </w:p>
    <w:p w:rsidR="000F437A" w:rsidRPr="00E026AB" w:rsidRDefault="000F437A" w:rsidP="000F437A">
      <w:pPr>
        <w:rPr>
          <w:rFonts w:ascii="Calibri" w:hAnsi="Calibri" w:cs="Calibri"/>
        </w:rPr>
      </w:pPr>
      <w:r>
        <w:rPr>
          <w:rFonts w:ascii="Calibri" w:hAnsi="Calibri" w:cs="Calibri"/>
        </w:rPr>
        <w:t>-</w:t>
      </w:r>
      <w:r w:rsidRPr="00E026AB">
        <w:rPr>
          <w:rFonts w:ascii="Calibri" w:hAnsi="Calibri" w:cs="Calibri"/>
        </w:rPr>
        <w:t>opracowanie oraz uzgodnienie z Inżynierem/Kierownikiem projektu i odpowiednimi instytucjami projektu organizacji ruchu na czas trwania budowy, wraz z dostarczeniem kopii projektu Inżynierowi/Kierownikowi projektu i wprowadzaniem dalszych zmian i uzgodnień wynikających z postępu robót,</w:t>
      </w:r>
    </w:p>
    <w:p w:rsidR="000F437A" w:rsidRPr="00E026AB" w:rsidRDefault="000F437A" w:rsidP="000F437A">
      <w:pPr>
        <w:rPr>
          <w:rFonts w:ascii="Calibri" w:hAnsi="Calibri" w:cs="Calibri"/>
        </w:rPr>
      </w:pPr>
      <w:r>
        <w:rPr>
          <w:rFonts w:ascii="Calibri" w:hAnsi="Calibri" w:cs="Calibri"/>
        </w:rPr>
        <w:t>-</w:t>
      </w:r>
      <w:r w:rsidRPr="00E026AB">
        <w:rPr>
          <w:rFonts w:ascii="Calibri" w:hAnsi="Calibri" w:cs="Calibri"/>
        </w:rPr>
        <w:t>ustawienie tymczasowego oznakowania i oświetlenia zgodnie z wymaganiami bezpieczeństwa ruchu,</w:t>
      </w:r>
    </w:p>
    <w:p w:rsidR="000F437A" w:rsidRPr="00E026AB" w:rsidRDefault="000F437A" w:rsidP="000F437A">
      <w:pPr>
        <w:rPr>
          <w:rFonts w:ascii="Calibri" w:hAnsi="Calibri" w:cs="Calibri"/>
        </w:rPr>
      </w:pPr>
      <w:r>
        <w:rPr>
          <w:rFonts w:ascii="Calibri" w:hAnsi="Calibri" w:cs="Calibri"/>
        </w:rPr>
        <w:t>-</w:t>
      </w:r>
      <w:r w:rsidRPr="00E026AB">
        <w:rPr>
          <w:rFonts w:ascii="Calibri" w:hAnsi="Calibri" w:cs="Calibri"/>
        </w:rPr>
        <w:t>opłaty/dzierżawy terenu,</w:t>
      </w:r>
    </w:p>
    <w:p w:rsidR="000F437A" w:rsidRPr="00E026AB" w:rsidRDefault="000F437A" w:rsidP="000F437A">
      <w:pPr>
        <w:rPr>
          <w:rFonts w:ascii="Calibri" w:hAnsi="Calibri" w:cs="Calibri"/>
        </w:rPr>
      </w:pPr>
      <w:r>
        <w:rPr>
          <w:rFonts w:ascii="Calibri" w:hAnsi="Calibri" w:cs="Calibri"/>
        </w:rPr>
        <w:t>-</w:t>
      </w:r>
      <w:r w:rsidRPr="00E026AB">
        <w:rPr>
          <w:rFonts w:ascii="Calibri" w:hAnsi="Calibri" w:cs="Calibri"/>
        </w:rPr>
        <w:t>przygotowanie terenu,</w:t>
      </w:r>
    </w:p>
    <w:p w:rsidR="000F437A" w:rsidRPr="00E026AB" w:rsidRDefault="000F437A" w:rsidP="000F437A">
      <w:pPr>
        <w:rPr>
          <w:rFonts w:ascii="Calibri" w:hAnsi="Calibri" w:cs="Calibri"/>
        </w:rPr>
      </w:pPr>
      <w:r>
        <w:rPr>
          <w:rFonts w:ascii="Calibri" w:hAnsi="Calibri" w:cs="Calibri"/>
        </w:rPr>
        <w:t>-</w:t>
      </w:r>
      <w:r w:rsidRPr="00E026AB">
        <w:rPr>
          <w:rFonts w:ascii="Calibri" w:hAnsi="Calibri" w:cs="Calibri"/>
        </w:rPr>
        <w:t>konstrukcję tymczasowej nawierzchni, ramp, chodników, krawężników, barier, oznakowań i drenażu,</w:t>
      </w:r>
    </w:p>
    <w:p w:rsidR="000F437A" w:rsidRPr="00E026AB" w:rsidRDefault="000F437A" w:rsidP="000F437A">
      <w:pPr>
        <w:rPr>
          <w:rFonts w:ascii="Calibri" w:hAnsi="Calibri" w:cs="Calibri"/>
        </w:rPr>
      </w:pPr>
      <w:r>
        <w:rPr>
          <w:rFonts w:ascii="Calibri" w:hAnsi="Calibri" w:cs="Calibri"/>
        </w:rPr>
        <w:t>-</w:t>
      </w:r>
      <w:r w:rsidRPr="00E026AB">
        <w:rPr>
          <w:rFonts w:ascii="Calibri" w:hAnsi="Calibri" w:cs="Calibri"/>
        </w:rPr>
        <w:t>tymczasową przebudowę urządzeń obcych.</w:t>
      </w:r>
    </w:p>
    <w:p w:rsidR="000F437A" w:rsidRPr="00E026AB" w:rsidRDefault="000F437A" w:rsidP="000F437A">
      <w:pPr>
        <w:rPr>
          <w:rFonts w:ascii="Calibri" w:hAnsi="Calibri" w:cs="Calibri"/>
        </w:rPr>
      </w:pPr>
      <w:r w:rsidRPr="00E026AB">
        <w:rPr>
          <w:rFonts w:ascii="Calibri" w:hAnsi="Calibri" w:cs="Calibri"/>
        </w:rPr>
        <w:tab/>
        <w:t>Koszt utrzymania objazdów/przejazdów i organizacji ruchu obejmuje:</w:t>
      </w:r>
    </w:p>
    <w:p w:rsidR="000F437A" w:rsidRPr="00E026AB" w:rsidRDefault="000F437A" w:rsidP="000F437A">
      <w:pPr>
        <w:rPr>
          <w:rFonts w:ascii="Calibri" w:hAnsi="Calibri" w:cs="Calibri"/>
        </w:rPr>
      </w:pPr>
      <w:r>
        <w:rPr>
          <w:rFonts w:ascii="Calibri" w:hAnsi="Calibri" w:cs="Calibri"/>
        </w:rPr>
        <w:t>-</w:t>
      </w:r>
      <w:r w:rsidRPr="00E026AB">
        <w:rPr>
          <w:rFonts w:ascii="Calibri" w:hAnsi="Calibri" w:cs="Calibri"/>
        </w:rPr>
        <w:t>oczyszczanie, przestawienie, przykrycie i usunięcie tymczasowych oznakowań pionowych, poziomych, barier i świateł,</w:t>
      </w:r>
    </w:p>
    <w:p w:rsidR="000F437A" w:rsidRPr="00E026AB" w:rsidRDefault="000F437A" w:rsidP="000F437A">
      <w:pPr>
        <w:rPr>
          <w:rFonts w:ascii="Calibri" w:hAnsi="Calibri" w:cs="Calibri"/>
        </w:rPr>
      </w:pPr>
      <w:r>
        <w:rPr>
          <w:rFonts w:ascii="Calibri" w:hAnsi="Calibri" w:cs="Calibri"/>
        </w:rPr>
        <w:t>-</w:t>
      </w:r>
      <w:r w:rsidRPr="00E026AB">
        <w:rPr>
          <w:rFonts w:ascii="Calibri" w:hAnsi="Calibri" w:cs="Calibri"/>
        </w:rPr>
        <w:t>utrzymanie płynności ruchu publicznego.</w:t>
      </w:r>
    </w:p>
    <w:p w:rsidR="000F437A" w:rsidRPr="00E026AB" w:rsidRDefault="000F437A" w:rsidP="000F437A">
      <w:pPr>
        <w:rPr>
          <w:rFonts w:ascii="Calibri" w:hAnsi="Calibri" w:cs="Calibri"/>
        </w:rPr>
      </w:pPr>
      <w:r w:rsidRPr="00E026AB">
        <w:rPr>
          <w:rFonts w:ascii="Calibri" w:hAnsi="Calibri" w:cs="Calibri"/>
        </w:rPr>
        <w:tab/>
        <w:t>Koszt likwidacji objazdów/przejazdów i organizacji ruchu obejmuje:</w:t>
      </w:r>
    </w:p>
    <w:p w:rsidR="000F437A" w:rsidRPr="00E026AB" w:rsidRDefault="000F437A" w:rsidP="000F437A">
      <w:pPr>
        <w:rPr>
          <w:rFonts w:ascii="Calibri" w:hAnsi="Calibri" w:cs="Calibri"/>
        </w:rPr>
      </w:pPr>
      <w:r>
        <w:rPr>
          <w:rFonts w:ascii="Calibri" w:hAnsi="Calibri" w:cs="Calibri"/>
        </w:rPr>
        <w:t>-</w:t>
      </w:r>
      <w:r w:rsidRPr="00E026AB">
        <w:rPr>
          <w:rFonts w:ascii="Calibri" w:hAnsi="Calibri" w:cs="Calibri"/>
        </w:rPr>
        <w:t>usunięcie wbudowanych materiałów i oznakowania,</w:t>
      </w:r>
    </w:p>
    <w:p w:rsidR="000F437A" w:rsidRDefault="000F437A" w:rsidP="000F437A">
      <w:pPr>
        <w:rPr>
          <w:rFonts w:ascii="Calibri" w:hAnsi="Calibri" w:cs="Calibri"/>
        </w:rPr>
      </w:pPr>
      <w:r>
        <w:rPr>
          <w:rFonts w:ascii="Calibri" w:hAnsi="Calibri" w:cs="Calibri"/>
        </w:rPr>
        <w:t>-</w:t>
      </w:r>
      <w:r w:rsidRPr="00E026AB">
        <w:rPr>
          <w:rFonts w:ascii="Calibri" w:hAnsi="Calibri" w:cs="Calibri"/>
        </w:rPr>
        <w:t>doprowadzenie terenu do stanu pierwotnego.</w:t>
      </w:r>
    </w:p>
    <w:p w:rsidR="008A6952" w:rsidRDefault="008A6952" w:rsidP="000F437A">
      <w:pPr>
        <w:rPr>
          <w:rFonts w:ascii="Calibri" w:hAnsi="Calibri" w:cs="Calibri"/>
          <w:b/>
        </w:rPr>
      </w:pPr>
      <w:bookmarkStart w:id="31" w:name="_Toc416830707"/>
      <w:bookmarkStart w:id="32" w:name="_Toc6881288"/>
      <w:bookmarkStart w:id="33" w:name="_Toc6882161"/>
    </w:p>
    <w:p w:rsidR="000F437A" w:rsidRPr="00B45EB1" w:rsidRDefault="000F437A" w:rsidP="000F437A">
      <w:pPr>
        <w:rPr>
          <w:rFonts w:ascii="Calibri" w:hAnsi="Calibri" w:cs="Calibri"/>
          <w:b/>
        </w:rPr>
      </w:pPr>
      <w:r w:rsidRPr="00B45EB1">
        <w:rPr>
          <w:rFonts w:ascii="Calibri" w:hAnsi="Calibri" w:cs="Calibri"/>
          <w:b/>
        </w:rPr>
        <w:t xml:space="preserve">10. </w:t>
      </w:r>
      <w:bookmarkEnd w:id="31"/>
      <w:bookmarkEnd w:id="32"/>
      <w:bookmarkEnd w:id="33"/>
      <w:r w:rsidRPr="00B45EB1">
        <w:rPr>
          <w:rFonts w:ascii="Calibri" w:hAnsi="Calibri" w:cs="Calibri"/>
          <w:b/>
        </w:rPr>
        <w:t>PRZEPISY ZWIĄZANE</w:t>
      </w:r>
    </w:p>
    <w:p w:rsidR="000F437A" w:rsidRPr="00E026AB" w:rsidRDefault="000F437A" w:rsidP="000F437A">
      <w:pPr>
        <w:rPr>
          <w:rFonts w:ascii="Calibri" w:hAnsi="Calibri" w:cs="Calibri"/>
        </w:rPr>
      </w:pPr>
      <w:r>
        <w:rPr>
          <w:rFonts w:ascii="Calibri" w:hAnsi="Calibri" w:cs="Calibri"/>
        </w:rPr>
        <w:t>1.</w:t>
      </w:r>
      <w:r w:rsidRPr="00E026AB">
        <w:rPr>
          <w:rFonts w:ascii="Calibri" w:hAnsi="Calibri" w:cs="Calibri"/>
        </w:rPr>
        <w:t>Ustawa z dnia 7 lipca 1994 r. - Prawo budowlane (Dz. U. Nr 89, poz. 414 z później</w:t>
      </w:r>
      <w:r w:rsidRPr="00E026AB">
        <w:rPr>
          <w:rFonts w:ascii="Calibri" w:hAnsi="Calibri" w:cs="Calibri"/>
        </w:rPr>
        <w:softHyphen/>
        <w:t>szymi zmianami).</w:t>
      </w:r>
    </w:p>
    <w:p w:rsidR="000F437A" w:rsidRPr="00E026AB" w:rsidRDefault="000F437A" w:rsidP="000F437A">
      <w:pPr>
        <w:rPr>
          <w:rFonts w:ascii="Calibri" w:hAnsi="Calibri" w:cs="Calibri"/>
        </w:rPr>
      </w:pPr>
      <w:r>
        <w:rPr>
          <w:rFonts w:ascii="Calibri" w:hAnsi="Calibri" w:cs="Calibri"/>
        </w:rPr>
        <w:t>2.</w:t>
      </w:r>
      <w:r w:rsidRPr="00E026AB">
        <w:rPr>
          <w:rFonts w:ascii="Calibri" w:hAnsi="Calibri" w:cs="Calibri"/>
        </w:rPr>
        <w:t>Zarządzenie Ministra Infrastruktury z dnia 19 listopada 2001 r. w sprawie dziennika budowy, montażu i rozbiórki oraz tablicy informacyjnej (Dz. U. Nr 138, poz. 1555).</w:t>
      </w:r>
    </w:p>
    <w:p w:rsidR="000F437A" w:rsidRPr="00E026AB" w:rsidRDefault="000F437A" w:rsidP="000F437A">
      <w:pPr>
        <w:rPr>
          <w:rFonts w:ascii="Calibri" w:hAnsi="Calibri" w:cs="Calibri"/>
        </w:rPr>
      </w:pPr>
      <w:r>
        <w:rPr>
          <w:rFonts w:ascii="Calibri" w:hAnsi="Calibri" w:cs="Calibri"/>
        </w:rPr>
        <w:t>3.</w:t>
      </w:r>
      <w:r w:rsidRPr="00E026AB">
        <w:rPr>
          <w:rFonts w:ascii="Calibri" w:hAnsi="Calibri" w:cs="Calibri"/>
        </w:rPr>
        <w:t>Ustawa z dnia 21 marca 1985 r. o drogach publicznych (Dz. U. Nr 14, poz. 60 z późniejszymi zmianami).</w:t>
      </w:r>
    </w:p>
    <w:p w:rsidR="00FD47C7" w:rsidRDefault="00FD47C7" w:rsidP="00E151AC">
      <w:pPr>
        <w:rPr>
          <w:rFonts w:ascii="Calibri" w:hAnsi="Calibri"/>
          <w:b/>
        </w:rPr>
      </w:pPr>
    </w:p>
    <w:p w:rsidR="00FD47C7" w:rsidRDefault="00FD47C7" w:rsidP="00E151AC">
      <w:pPr>
        <w:rPr>
          <w:rFonts w:ascii="Calibri" w:hAnsi="Calibri"/>
          <w:b/>
        </w:rPr>
      </w:pPr>
    </w:p>
    <w:p w:rsidR="00FD47C7" w:rsidRDefault="00FD47C7" w:rsidP="00E151AC">
      <w:pPr>
        <w:rPr>
          <w:rFonts w:ascii="Calibri" w:hAnsi="Calibri"/>
          <w:b/>
        </w:rPr>
      </w:pPr>
    </w:p>
    <w:p w:rsidR="00FD47C7" w:rsidRDefault="00FD47C7" w:rsidP="00E151AC">
      <w:pPr>
        <w:rPr>
          <w:rFonts w:ascii="Calibri" w:hAnsi="Calibri"/>
          <w:b/>
        </w:rPr>
      </w:pPr>
    </w:p>
    <w:p w:rsidR="00FD47C7" w:rsidRDefault="00FD47C7" w:rsidP="00E151AC">
      <w:pPr>
        <w:rPr>
          <w:rFonts w:ascii="Calibri" w:hAnsi="Calibri"/>
          <w:b/>
        </w:rPr>
      </w:pPr>
    </w:p>
    <w:p w:rsidR="00FD47C7" w:rsidRDefault="00FD47C7" w:rsidP="00E151AC">
      <w:pPr>
        <w:rPr>
          <w:rFonts w:ascii="Calibri" w:hAnsi="Calibri"/>
          <w:b/>
        </w:rPr>
      </w:pPr>
    </w:p>
    <w:p w:rsidR="00AB299E" w:rsidRDefault="00AB299E" w:rsidP="00E151AC">
      <w:pPr>
        <w:rPr>
          <w:rFonts w:ascii="Calibri" w:hAnsi="Calibri"/>
          <w:b/>
        </w:rPr>
      </w:pPr>
    </w:p>
    <w:p w:rsidR="00AB299E" w:rsidRDefault="00AB299E" w:rsidP="00E151AC">
      <w:pPr>
        <w:rPr>
          <w:rFonts w:ascii="Calibri" w:hAnsi="Calibri"/>
          <w:b/>
        </w:rPr>
      </w:pPr>
    </w:p>
    <w:p w:rsidR="00AB299E" w:rsidRDefault="00AB299E" w:rsidP="00E151AC">
      <w:pPr>
        <w:rPr>
          <w:rFonts w:ascii="Calibri" w:hAnsi="Calibri"/>
          <w:b/>
        </w:rPr>
      </w:pPr>
    </w:p>
    <w:p w:rsidR="00AB299E" w:rsidRDefault="00AB299E" w:rsidP="00E151AC">
      <w:pPr>
        <w:rPr>
          <w:rFonts w:ascii="Calibri" w:hAnsi="Calibri"/>
          <w:b/>
        </w:rPr>
      </w:pPr>
    </w:p>
    <w:p w:rsidR="00AB299E" w:rsidRDefault="00AB299E" w:rsidP="00E151AC">
      <w:pPr>
        <w:rPr>
          <w:rFonts w:ascii="Calibri" w:hAnsi="Calibri"/>
          <w:b/>
        </w:rPr>
      </w:pPr>
    </w:p>
    <w:p w:rsidR="00AB299E" w:rsidRDefault="00AB299E" w:rsidP="00E151AC">
      <w:pPr>
        <w:rPr>
          <w:rFonts w:ascii="Calibri" w:hAnsi="Calibri"/>
          <w:b/>
        </w:rPr>
      </w:pPr>
    </w:p>
    <w:p w:rsidR="00AB299E" w:rsidRDefault="00AB299E" w:rsidP="00E151AC">
      <w:pPr>
        <w:rPr>
          <w:rFonts w:ascii="Calibri" w:hAnsi="Calibri"/>
          <w:b/>
        </w:rPr>
      </w:pPr>
    </w:p>
    <w:p w:rsidR="00AB299E" w:rsidRDefault="00AB299E" w:rsidP="00E151AC">
      <w:pPr>
        <w:rPr>
          <w:rFonts w:ascii="Calibri" w:hAnsi="Calibri"/>
          <w:b/>
        </w:rPr>
      </w:pPr>
    </w:p>
    <w:p w:rsidR="000C27BF" w:rsidRDefault="000C27BF" w:rsidP="008A6952"/>
    <w:p w:rsidR="000C27BF" w:rsidRDefault="000C27BF" w:rsidP="008A6952"/>
    <w:p w:rsidR="000C27BF" w:rsidRDefault="000C27BF" w:rsidP="008A6952"/>
    <w:p w:rsidR="000C27BF" w:rsidRDefault="000C27BF" w:rsidP="008A6952"/>
    <w:p w:rsidR="008A6952" w:rsidRDefault="008A6952" w:rsidP="008A6952"/>
    <w:p w:rsidR="008A6952" w:rsidRPr="008A6952" w:rsidRDefault="008A6952" w:rsidP="008A6952"/>
    <w:p w:rsidR="00E151AC" w:rsidRPr="0073376F" w:rsidRDefault="00E151AC" w:rsidP="0043130B">
      <w:pPr>
        <w:pStyle w:val="Nagwek1"/>
        <w:jc w:val="center"/>
      </w:pPr>
      <w:bookmarkStart w:id="34" w:name="_Toc438237709"/>
      <w:r w:rsidRPr="0073376F">
        <w:t>D-M-00.00.02a</w:t>
      </w:r>
      <w:r>
        <w:t xml:space="preserve"> </w:t>
      </w:r>
      <w:r w:rsidR="00417278">
        <w:t xml:space="preserve"> </w:t>
      </w:r>
      <w:r w:rsidRPr="0073376F">
        <w:t>ZAPLECZE WYKONAWCY</w:t>
      </w:r>
      <w:r>
        <w:t xml:space="preserve"> </w:t>
      </w:r>
      <w:r w:rsidRPr="0073376F">
        <w:t>W OKRESIE REALIZACJI KONTRAKTU</w:t>
      </w:r>
      <w:bookmarkStart w:id="35" w:name="_Toc236626155"/>
      <w:bookmarkStart w:id="36" w:name="_Toc320090138"/>
      <w:bookmarkEnd w:id="34"/>
    </w:p>
    <w:p w:rsidR="00E151AC" w:rsidRPr="0073376F" w:rsidRDefault="00E151AC" w:rsidP="00E151AC">
      <w:pPr>
        <w:rPr>
          <w:rFonts w:ascii="Calibri" w:hAnsi="Calibri"/>
        </w:rPr>
      </w:pPr>
    </w:p>
    <w:p w:rsidR="00FD47C7" w:rsidRDefault="00FD47C7" w:rsidP="00E151AC">
      <w:pPr>
        <w:rPr>
          <w:rFonts w:ascii="Calibri" w:hAnsi="Calibri"/>
          <w:b/>
        </w:rPr>
      </w:pPr>
    </w:p>
    <w:p w:rsidR="00FD47C7" w:rsidRDefault="00FD47C7" w:rsidP="00E151AC">
      <w:pPr>
        <w:rPr>
          <w:rFonts w:ascii="Calibri" w:hAnsi="Calibri"/>
          <w:b/>
        </w:rPr>
      </w:pPr>
    </w:p>
    <w:p w:rsidR="00FD47C7" w:rsidRDefault="00FD47C7" w:rsidP="00E151AC">
      <w:pPr>
        <w:rPr>
          <w:rFonts w:ascii="Calibri" w:hAnsi="Calibri"/>
          <w:b/>
        </w:rPr>
      </w:pPr>
    </w:p>
    <w:p w:rsidR="00FD47C7" w:rsidRDefault="00FD47C7" w:rsidP="00E151AC">
      <w:pPr>
        <w:rPr>
          <w:rFonts w:ascii="Calibri" w:hAnsi="Calibri"/>
          <w:b/>
        </w:rPr>
      </w:pPr>
    </w:p>
    <w:p w:rsidR="00FD47C7" w:rsidRDefault="00FD47C7" w:rsidP="00E151AC">
      <w:pPr>
        <w:rPr>
          <w:rFonts w:ascii="Calibri" w:hAnsi="Calibri"/>
          <w:b/>
        </w:rPr>
      </w:pPr>
    </w:p>
    <w:p w:rsidR="00AB299E" w:rsidRDefault="00AB299E" w:rsidP="00E151AC">
      <w:pPr>
        <w:rPr>
          <w:rFonts w:ascii="Calibri" w:hAnsi="Calibri"/>
          <w:b/>
        </w:rPr>
      </w:pPr>
    </w:p>
    <w:p w:rsidR="00AB299E" w:rsidRDefault="00AB299E" w:rsidP="00E151AC">
      <w:pPr>
        <w:rPr>
          <w:rFonts w:ascii="Calibri" w:hAnsi="Calibri"/>
          <w:b/>
        </w:rPr>
      </w:pPr>
    </w:p>
    <w:p w:rsidR="00AB299E" w:rsidRDefault="00AB299E" w:rsidP="00E151AC">
      <w:pPr>
        <w:rPr>
          <w:rFonts w:ascii="Calibri" w:hAnsi="Calibri"/>
          <w:b/>
        </w:rPr>
      </w:pPr>
    </w:p>
    <w:p w:rsidR="00AB299E" w:rsidRDefault="00AB299E" w:rsidP="00E151AC">
      <w:pPr>
        <w:rPr>
          <w:rFonts w:ascii="Calibri" w:hAnsi="Calibri"/>
          <w:b/>
        </w:rPr>
      </w:pPr>
    </w:p>
    <w:p w:rsidR="00AB299E" w:rsidRDefault="00AB299E" w:rsidP="00E151AC">
      <w:pPr>
        <w:rPr>
          <w:rFonts w:ascii="Calibri" w:hAnsi="Calibri"/>
          <w:b/>
        </w:rPr>
      </w:pPr>
    </w:p>
    <w:p w:rsidR="00AB299E" w:rsidRDefault="00AB299E" w:rsidP="00E151AC">
      <w:pPr>
        <w:rPr>
          <w:rFonts w:ascii="Calibri" w:hAnsi="Calibri"/>
          <w:b/>
        </w:rPr>
      </w:pPr>
    </w:p>
    <w:p w:rsidR="00AB299E" w:rsidRDefault="00AB299E" w:rsidP="00E151AC">
      <w:pPr>
        <w:rPr>
          <w:rFonts w:ascii="Calibri" w:hAnsi="Calibri"/>
          <w:b/>
        </w:rPr>
      </w:pPr>
    </w:p>
    <w:p w:rsidR="00AB299E" w:rsidRDefault="00AB299E" w:rsidP="00E151AC">
      <w:pPr>
        <w:rPr>
          <w:rFonts w:ascii="Calibri" w:hAnsi="Calibri"/>
          <w:b/>
        </w:rPr>
      </w:pPr>
    </w:p>
    <w:p w:rsidR="00AB299E" w:rsidRDefault="00AB299E" w:rsidP="00E151AC">
      <w:pPr>
        <w:rPr>
          <w:rFonts w:ascii="Calibri" w:hAnsi="Calibri"/>
          <w:b/>
        </w:rPr>
      </w:pPr>
    </w:p>
    <w:p w:rsidR="00AB299E" w:rsidRDefault="00AB299E" w:rsidP="00E151AC">
      <w:pPr>
        <w:rPr>
          <w:rFonts w:ascii="Calibri" w:hAnsi="Calibri"/>
          <w:b/>
        </w:rPr>
      </w:pPr>
    </w:p>
    <w:p w:rsidR="00AB299E" w:rsidRDefault="00AB299E" w:rsidP="00E151AC">
      <w:pPr>
        <w:rPr>
          <w:rFonts w:ascii="Calibri" w:hAnsi="Calibri"/>
          <w:b/>
        </w:rPr>
      </w:pPr>
    </w:p>
    <w:p w:rsidR="00AB299E" w:rsidRDefault="00AB299E" w:rsidP="00E151AC">
      <w:pPr>
        <w:rPr>
          <w:rFonts w:ascii="Calibri" w:hAnsi="Calibri"/>
          <w:b/>
        </w:rPr>
      </w:pPr>
    </w:p>
    <w:p w:rsidR="00AB299E" w:rsidRDefault="00AB299E" w:rsidP="00E151AC">
      <w:pPr>
        <w:rPr>
          <w:rFonts w:ascii="Calibri" w:hAnsi="Calibri"/>
          <w:b/>
        </w:rPr>
      </w:pPr>
    </w:p>
    <w:p w:rsidR="00AB299E" w:rsidRDefault="00AB299E" w:rsidP="00E151AC">
      <w:pPr>
        <w:rPr>
          <w:rFonts w:ascii="Calibri" w:hAnsi="Calibri"/>
          <w:b/>
        </w:rPr>
      </w:pPr>
    </w:p>
    <w:p w:rsidR="00AB299E" w:rsidRDefault="00AB299E" w:rsidP="00E151AC">
      <w:pPr>
        <w:rPr>
          <w:rFonts w:ascii="Calibri" w:hAnsi="Calibri"/>
          <w:b/>
        </w:rPr>
      </w:pPr>
    </w:p>
    <w:p w:rsidR="00AB299E" w:rsidRDefault="00AB299E" w:rsidP="00E151AC">
      <w:pPr>
        <w:rPr>
          <w:rFonts w:ascii="Calibri" w:hAnsi="Calibri"/>
          <w:b/>
        </w:rPr>
      </w:pPr>
    </w:p>
    <w:p w:rsidR="00AB299E" w:rsidRDefault="00AB299E" w:rsidP="00E151AC">
      <w:pPr>
        <w:rPr>
          <w:rFonts w:ascii="Calibri" w:hAnsi="Calibri"/>
          <w:b/>
        </w:rPr>
      </w:pPr>
    </w:p>
    <w:p w:rsidR="00AB299E" w:rsidRDefault="00AB299E" w:rsidP="00E151AC">
      <w:pPr>
        <w:rPr>
          <w:rFonts w:ascii="Calibri" w:hAnsi="Calibri"/>
          <w:b/>
        </w:rPr>
      </w:pPr>
    </w:p>
    <w:p w:rsidR="00AB299E" w:rsidRDefault="00AB299E" w:rsidP="00E151AC">
      <w:pPr>
        <w:rPr>
          <w:rFonts w:ascii="Calibri" w:hAnsi="Calibri"/>
          <w:b/>
        </w:rPr>
      </w:pPr>
    </w:p>
    <w:p w:rsidR="00AB299E" w:rsidRDefault="00AB299E" w:rsidP="00E151AC">
      <w:pPr>
        <w:rPr>
          <w:rFonts w:ascii="Calibri" w:hAnsi="Calibri"/>
          <w:b/>
        </w:rPr>
      </w:pPr>
    </w:p>
    <w:p w:rsidR="00AB299E" w:rsidRDefault="00AB299E" w:rsidP="00E151AC">
      <w:pPr>
        <w:rPr>
          <w:rFonts w:ascii="Calibri" w:hAnsi="Calibri"/>
          <w:b/>
        </w:rPr>
      </w:pPr>
    </w:p>
    <w:p w:rsidR="00AB299E" w:rsidRDefault="00AB299E" w:rsidP="00E151AC">
      <w:pPr>
        <w:rPr>
          <w:rFonts w:ascii="Calibri" w:hAnsi="Calibri"/>
          <w:b/>
        </w:rPr>
      </w:pPr>
    </w:p>
    <w:p w:rsidR="00AB299E" w:rsidRDefault="00AB299E" w:rsidP="00E151AC">
      <w:pPr>
        <w:rPr>
          <w:rFonts w:ascii="Calibri" w:hAnsi="Calibri"/>
          <w:b/>
        </w:rPr>
      </w:pPr>
    </w:p>
    <w:p w:rsidR="00AB299E" w:rsidRDefault="00AB299E" w:rsidP="00E151AC">
      <w:pPr>
        <w:rPr>
          <w:rFonts w:ascii="Calibri" w:hAnsi="Calibri"/>
          <w:b/>
        </w:rPr>
      </w:pPr>
    </w:p>
    <w:p w:rsidR="00AB299E" w:rsidRDefault="00AB299E" w:rsidP="00E151AC">
      <w:pPr>
        <w:rPr>
          <w:rFonts w:ascii="Calibri" w:hAnsi="Calibri"/>
          <w:b/>
        </w:rPr>
      </w:pPr>
    </w:p>
    <w:p w:rsidR="00AB299E" w:rsidRDefault="00AB299E" w:rsidP="00E151AC">
      <w:pPr>
        <w:rPr>
          <w:rFonts w:ascii="Calibri" w:hAnsi="Calibri"/>
          <w:b/>
        </w:rPr>
      </w:pPr>
    </w:p>
    <w:p w:rsidR="00AB299E" w:rsidRDefault="00AB299E" w:rsidP="00E151AC">
      <w:pPr>
        <w:rPr>
          <w:rFonts w:ascii="Calibri" w:hAnsi="Calibri"/>
          <w:b/>
        </w:rPr>
      </w:pPr>
    </w:p>
    <w:p w:rsidR="008A6952" w:rsidRDefault="008A6952" w:rsidP="00E151AC">
      <w:pPr>
        <w:rPr>
          <w:rFonts w:ascii="Calibri" w:hAnsi="Calibri"/>
          <w:b/>
        </w:rPr>
      </w:pPr>
    </w:p>
    <w:p w:rsidR="008A6952" w:rsidRDefault="008A6952" w:rsidP="00E151AC">
      <w:pPr>
        <w:rPr>
          <w:rFonts w:ascii="Calibri" w:hAnsi="Calibri"/>
          <w:b/>
        </w:rPr>
      </w:pPr>
    </w:p>
    <w:p w:rsidR="008A6952" w:rsidRDefault="008A6952" w:rsidP="00E151AC">
      <w:pPr>
        <w:rPr>
          <w:rFonts w:ascii="Calibri" w:hAnsi="Calibri"/>
          <w:b/>
        </w:rPr>
      </w:pPr>
    </w:p>
    <w:p w:rsidR="008A6952" w:rsidRDefault="008A6952" w:rsidP="00E151AC">
      <w:pPr>
        <w:rPr>
          <w:rFonts w:ascii="Calibri" w:hAnsi="Calibri"/>
          <w:b/>
        </w:rPr>
      </w:pPr>
    </w:p>
    <w:p w:rsidR="008A6952" w:rsidRDefault="008A6952" w:rsidP="00E151AC">
      <w:pPr>
        <w:rPr>
          <w:rFonts w:ascii="Calibri" w:hAnsi="Calibri"/>
          <w:b/>
        </w:rPr>
      </w:pPr>
    </w:p>
    <w:p w:rsidR="00AB299E" w:rsidRDefault="00AB299E" w:rsidP="00E151AC">
      <w:pPr>
        <w:rPr>
          <w:rFonts w:ascii="Calibri" w:hAnsi="Calibri"/>
          <w:b/>
        </w:rPr>
      </w:pPr>
    </w:p>
    <w:p w:rsidR="0043130B" w:rsidRDefault="0043130B" w:rsidP="00E151AC">
      <w:pPr>
        <w:rPr>
          <w:rFonts w:ascii="Calibri" w:hAnsi="Calibri"/>
          <w:b/>
        </w:rPr>
      </w:pPr>
    </w:p>
    <w:p w:rsidR="00E151AC" w:rsidRPr="0073376F" w:rsidRDefault="00E151AC" w:rsidP="00E151AC">
      <w:pPr>
        <w:rPr>
          <w:rFonts w:ascii="Calibri" w:hAnsi="Calibri"/>
          <w:b/>
        </w:rPr>
      </w:pPr>
      <w:r w:rsidRPr="0073376F">
        <w:rPr>
          <w:rFonts w:ascii="Calibri" w:hAnsi="Calibri"/>
          <w:b/>
        </w:rPr>
        <w:lastRenderedPageBreak/>
        <w:t>1. WSTĘP</w:t>
      </w:r>
      <w:bookmarkEnd w:id="35"/>
      <w:bookmarkEnd w:id="36"/>
    </w:p>
    <w:p w:rsidR="00E151AC" w:rsidRPr="0073376F" w:rsidRDefault="00E151AC" w:rsidP="00E151AC">
      <w:pPr>
        <w:rPr>
          <w:rFonts w:ascii="Calibri" w:hAnsi="Calibri"/>
        </w:rPr>
      </w:pPr>
      <w:bookmarkStart w:id="37" w:name="_Toc405615031"/>
      <w:bookmarkStart w:id="38" w:name="_Toc407161179"/>
      <w:r w:rsidRPr="0073376F">
        <w:rPr>
          <w:rFonts w:ascii="Calibri" w:hAnsi="Calibri"/>
          <w:b/>
        </w:rPr>
        <w:t>1.1.</w:t>
      </w:r>
      <w:r w:rsidRPr="0073376F">
        <w:rPr>
          <w:rFonts w:ascii="Calibri" w:hAnsi="Calibri"/>
        </w:rPr>
        <w:t xml:space="preserve"> Przedmiot ST</w:t>
      </w:r>
      <w:bookmarkEnd w:id="37"/>
      <w:bookmarkEnd w:id="38"/>
    </w:p>
    <w:p w:rsidR="00E151AC" w:rsidRPr="0073376F" w:rsidRDefault="00E151AC" w:rsidP="00E151AC">
      <w:pPr>
        <w:rPr>
          <w:rFonts w:ascii="Calibri" w:hAnsi="Calibri"/>
        </w:rPr>
      </w:pPr>
      <w:r w:rsidRPr="0073376F">
        <w:rPr>
          <w:rFonts w:ascii="Calibri" w:hAnsi="Calibri"/>
        </w:rPr>
        <w:tab/>
        <w:t>Przedmiotem niniejszej specyfikacji technicznej (ST) są wymagania dotyczące zaplecza dla Wykonawcy w okresie realizacji kontraktu.</w:t>
      </w:r>
    </w:p>
    <w:p w:rsidR="00E151AC" w:rsidRPr="0073376F" w:rsidRDefault="00E151AC" w:rsidP="00E151AC">
      <w:pPr>
        <w:rPr>
          <w:rFonts w:ascii="Calibri" w:hAnsi="Calibri"/>
        </w:rPr>
      </w:pPr>
      <w:bookmarkStart w:id="39" w:name="_Toc405615032"/>
      <w:bookmarkStart w:id="40" w:name="_Toc407161180"/>
      <w:r w:rsidRPr="00B34416">
        <w:rPr>
          <w:rFonts w:ascii="Calibri" w:hAnsi="Calibri"/>
          <w:b/>
        </w:rPr>
        <w:t>1.2.</w:t>
      </w:r>
      <w:r w:rsidRPr="0073376F">
        <w:rPr>
          <w:rFonts w:ascii="Calibri" w:hAnsi="Calibri"/>
        </w:rPr>
        <w:t xml:space="preserve"> Zakres stosowania ST</w:t>
      </w:r>
      <w:bookmarkEnd w:id="39"/>
      <w:bookmarkEnd w:id="40"/>
    </w:p>
    <w:p w:rsidR="00E151AC" w:rsidRPr="007621DF" w:rsidRDefault="00E151AC" w:rsidP="00E151AC">
      <w:pPr>
        <w:rPr>
          <w:rFonts w:ascii="Calibri" w:hAnsi="Calibri" w:cs="Calibri"/>
        </w:rPr>
      </w:pPr>
      <w:r w:rsidRPr="0073376F">
        <w:rPr>
          <w:rFonts w:ascii="Calibri" w:hAnsi="Calibri"/>
        </w:rPr>
        <w:tab/>
      </w:r>
      <w:bookmarkStart w:id="41" w:name="_Toc405615033"/>
      <w:bookmarkStart w:id="42" w:name="_Toc407161181"/>
      <w:r w:rsidRPr="007621DF">
        <w:rPr>
          <w:rFonts w:ascii="Calibri" w:hAnsi="Calibri" w:cs="Calibri"/>
        </w:rPr>
        <w:t>Specyfikacja techniczna określa wymagania dla wykonania i odbioru robót budowlanych przewidzianych do wykonania w ramach umowy a zawarte w niej zapisy w zakresie standardu materiałów, wykonania robót i wymaganej ich jakości oraz kontroli jakości robót należy traktować jako minimalne.</w:t>
      </w:r>
    </w:p>
    <w:p w:rsidR="00E151AC" w:rsidRPr="0073376F" w:rsidRDefault="00E151AC" w:rsidP="00E151AC">
      <w:pPr>
        <w:rPr>
          <w:rFonts w:ascii="Calibri" w:hAnsi="Calibri"/>
        </w:rPr>
      </w:pPr>
      <w:r w:rsidRPr="0073376F">
        <w:rPr>
          <w:rFonts w:ascii="Calibri" w:hAnsi="Calibri"/>
          <w:b/>
        </w:rPr>
        <w:t>1.3.</w:t>
      </w:r>
      <w:r w:rsidRPr="0073376F">
        <w:rPr>
          <w:rFonts w:ascii="Calibri" w:hAnsi="Calibri"/>
        </w:rPr>
        <w:t xml:space="preserve"> Zakres robót objętych ST</w:t>
      </w:r>
      <w:bookmarkEnd w:id="41"/>
      <w:bookmarkEnd w:id="42"/>
    </w:p>
    <w:p w:rsidR="00E151AC" w:rsidRPr="0073376F" w:rsidRDefault="00E151AC" w:rsidP="00E151AC">
      <w:pPr>
        <w:rPr>
          <w:rFonts w:ascii="Calibri" w:hAnsi="Calibri"/>
        </w:rPr>
      </w:pPr>
      <w:r w:rsidRPr="0073376F">
        <w:rPr>
          <w:rFonts w:ascii="Calibri" w:hAnsi="Calibri"/>
        </w:rPr>
        <w:tab/>
        <w:t xml:space="preserve">Ustalenia zawarte w niniejszej specyfikacji dotyczą zasad prowadzenia robót związanych z wykonaniem zaplecza Wykonawcy, </w:t>
      </w:r>
      <w:r w:rsidR="00B61884">
        <w:rPr>
          <w:rFonts w:ascii="Calibri" w:hAnsi="Calibri" w:cs="Calibri"/>
        </w:rPr>
        <w:t>w związku z „</w:t>
      </w:r>
      <w:r w:rsidR="00B61884">
        <w:rPr>
          <w:rFonts w:asciiTheme="minorHAnsi" w:hAnsiTheme="minorHAnsi"/>
        </w:rPr>
        <w:t>Przebudową ul.55 Pułku Piechoty w L</w:t>
      </w:r>
      <w:r w:rsidR="00B61884" w:rsidRPr="00B61884">
        <w:rPr>
          <w:rFonts w:asciiTheme="minorHAnsi" w:hAnsiTheme="minorHAnsi"/>
        </w:rPr>
        <w:t>esznie wraz z przebudową oświetlenia</w:t>
      </w:r>
      <w:r w:rsidR="00B61884">
        <w:rPr>
          <w:rFonts w:asciiTheme="minorHAnsi" w:hAnsiTheme="minorHAnsi"/>
        </w:rPr>
        <w:t>”</w:t>
      </w:r>
      <w:r w:rsidR="008A6952">
        <w:rPr>
          <w:rFonts w:ascii="Calibri" w:hAnsi="Calibri" w:cs="Calibri"/>
        </w:rPr>
        <w:t xml:space="preserve">, </w:t>
      </w:r>
      <w:r w:rsidRPr="0073376F">
        <w:rPr>
          <w:rFonts w:ascii="Calibri" w:hAnsi="Calibri"/>
        </w:rPr>
        <w:t>o ile warunki kontraktu przewidują jego realizację jako osobnej pozycji obmiarowej. Zaplecze Wykonawcy obejmuje wszystkie niezbędne obiekty, urządzenia i instalacje potrzebne Wykonawcy do wykonania robót.</w:t>
      </w:r>
    </w:p>
    <w:p w:rsidR="00E151AC" w:rsidRPr="0073376F" w:rsidRDefault="00E151AC" w:rsidP="00E151AC">
      <w:pPr>
        <w:rPr>
          <w:rFonts w:ascii="Calibri" w:hAnsi="Calibri"/>
        </w:rPr>
      </w:pPr>
      <w:r w:rsidRPr="0073376F">
        <w:rPr>
          <w:rFonts w:ascii="Calibri" w:hAnsi="Calibri"/>
          <w:b/>
        </w:rPr>
        <w:t>1.4.</w:t>
      </w:r>
      <w:r w:rsidRPr="0073376F">
        <w:rPr>
          <w:rFonts w:ascii="Calibri" w:hAnsi="Calibri"/>
        </w:rPr>
        <w:t xml:space="preserve"> Określenia podstawowe</w:t>
      </w:r>
    </w:p>
    <w:p w:rsidR="00E151AC" w:rsidRPr="0073376F" w:rsidRDefault="00E151AC" w:rsidP="00E151AC">
      <w:pPr>
        <w:rPr>
          <w:rFonts w:ascii="Calibri" w:hAnsi="Calibri"/>
        </w:rPr>
      </w:pPr>
      <w:r w:rsidRPr="0073376F">
        <w:rPr>
          <w:rFonts w:ascii="Calibri" w:hAnsi="Calibri"/>
          <w:b/>
        </w:rPr>
        <w:t>1.4.1.</w:t>
      </w:r>
      <w:r w:rsidRPr="0073376F">
        <w:rPr>
          <w:rFonts w:ascii="Calibri" w:hAnsi="Calibri"/>
        </w:rPr>
        <w:t xml:space="preserve"> Zaplecze Wykonawcy – niezbędne urządzenia, instalacje, biura, magazyny, laboratoria, place składowe, drogi wewnętrzne i dojazdowe itp. potrzebne Wykonawcy do realizacji robót z uwzględnieniem potrzeb podwykonawców.</w:t>
      </w:r>
    </w:p>
    <w:p w:rsidR="00E151AC" w:rsidRPr="0073376F" w:rsidRDefault="00E151AC" w:rsidP="00E151AC">
      <w:pPr>
        <w:rPr>
          <w:rFonts w:ascii="Calibri" w:hAnsi="Calibri"/>
        </w:rPr>
      </w:pPr>
      <w:r w:rsidRPr="0073376F">
        <w:rPr>
          <w:rFonts w:ascii="Calibri" w:hAnsi="Calibri"/>
          <w:b/>
        </w:rPr>
        <w:t>1.4.2.</w:t>
      </w:r>
      <w:r w:rsidRPr="0073376F">
        <w:rPr>
          <w:rFonts w:ascii="Calibri" w:hAnsi="Calibri"/>
        </w:rPr>
        <w:t xml:space="preserve"> Pozostałe określenia podstawowe są zgodne z obowiązującymi, odpowiednimi polskimi norm</w:t>
      </w:r>
      <w:r>
        <w:rPr>
          <w:rFonts w:ascii="Calibri" w:hAnsi="Calibri"/>
        </w:rPr>
        <w:t xml:space="preserve">ami i z definicjami podanymi w </w:t>
      </w:r>
      <w:r w:rsidRPr="0073376F">
        <w:rPr>
          <w:rFonts w:ascii="Calibri" w:hAnsi="Calibri"/>
        </w:rPr>
        <w:t>ST D-M-00.00.00 „Wymagania ogólne”[1], pkt 1.4.</w:t>
      </w:r>
    </w:p>
    <w:p w:rsidR="00E151AC" w:rsidRPr="0073376F" w:rsidRDefault="00E151AC" w:rsidP="00E151AC">
      <w:pPr>
        <w:rPr>
          <w:rFonts w:ascii="Calibri" w:hAnsi="Calibri"/>
        </w:rPr>
      </w:pPr>
      <w:r w:rsidRPr="00D62F30">
        <w:rPr>
          <w:rFonts w:ascii="Calibri" w:hAnsi="Calibri"/>
          <w:b/>
        </w:rPr>
        <w:t>1.5.</w:t>
      </w:r>
      <w:r w:rsidRPr="0073376F">
        <w:rPr>
          <w:rFonts w:ascii="Calibri" w:hAnsi="Calibri"/>
        </w:rPr>
        <w:t xml:space="preserve"> Ogólne wymagania dotyczące robót</w:t>
      </w:r>
    </w:p>
    <w:p w:rsidR="00E151AC" w:rsidRDefault="00E151AC" w:rsidP="00E151AC">
      <w:pPr>
        <w:rPr>
          <w:rFonts w:ascii="Calibri" w:hAnsi="Calibri"/>
        </w:rPr>
      </w:pPr>
      <w:r w:rsidRPr="0073376F">
        <w:rPr>
          <w:rFonts w:ascii="Calibri" w:hAnsi="Calibri"/>
        </w:rPr>
        <w:tab/>
        <w:t>Ogólne wymagania dotycząc</w:t>
      </w:r>
      <w:r>
        <w:rPr>
          <w:rFonts w:ascii="Calibri" w:hAnsi="Calibri"/>
        </w:rPr>
        <w:t xml:space="preserve">e robót zaleca się stosować wg </w:t>
      </w:r>
      <w:r w:rsidRPr="0073376F">
        <w:rPr>
          <w:rFonts w:ascii="Calibri" w:hAnsi="Calibri"/>
        </w:rPr>
        <w:t>ST D-M-00.00.00 „Wymagania ogólne” [1], pkt 1.5.</w:t>
      </w:r>
    </w:p>
    <w:p w:rsidR="00E151AC" w:rsidRPr="0073376F" w:rsidRDefault="00E151AC" w:rsidP="00E151AC">
      <w:pPr>
        <w:rPr>
          <w:rFonts w:ascii="Calibri" w:hAnsi="Calibri"/>
        </w:rPr>
      </w:pPr>
    </w:p>
    <w:p w:rsidR="00E151AC" w:rsidRPr="00D62F30" w:rsidRDefault="00E151AC" w:rsidP="00E151AC">
      <w:pPr>
        <w:rPr>
          <w:rFonts w:ascii="Calibri" w:hAnsi="Calibri"/>
          <w:b/>
        </w:rPr>
      </w:pPr>
      <w:bookmarkStart w:id="43" w:name="_2._MATERIAŁY_1"/>
      <w:bookmarkStart w:id="44" w:name="_Toc141072304"/>
      <w:bookmarkStart w:id="45" w:name="_Toc141496948"/>
      <w:bookmarkStart w:id="46" w:name="_Toc144694236"/>
      <w:bookmarkStart w:id="47" w:name="_Toc161023543"/>
      <w:bookmarkStart w:id="48" w:name="_Toc310334979"/>
      <w:bookmarkStart w:id="49" w:name="_Toc320090139"/>
      <w:bookmarkEnd w:id="43"/>
      <w:r w:rsidRPr="00D62F30">
        <w:rPr>
          <w:rFonts w:ascii="Calibri" w:hAnsi="Calibri"/>
          <w:b/>
        </w:rPr>
        <w:t>2. MATERIAŁY</w:t>
      </w:r>
      <w:bookmarkEnd w:id="44"/>
      <w:bookmarkEnd w:id="45"/>
      <w:bookmarkEnd w:id="46"/>
      <w:bookmarkEnd w:id="47"/>
      <w:bookmarkEnd w:id="48"/>
      <w:bookmarkEnd w:id="49"/>
    </w:p>
    <w:p w:rsidR="00E151AC" w:rsidRPr="0073376F" w:rsidRDefault="00E151AC" w:rsidP="00E151AC">
      <w:pPr>
        <w:rPr>
          <w:rFonts w:ascii="Calibri" w:hAnsi="Calibri"/>
        </w:rPr>
      </w:pPr>
      <w:r w:rsidRPr="00D62F30">
        <w:rPr>
          <w:rFonts w:ascii="Calibri" w:hAnsi="Calibri"/>
          <w:b/>
        </w:rPr>
        <w:t>2.1.</w:t>
      </w:r>
      <w:r w:rsidRPr="0073376F">
        <w:rPr>
          <w:rFonts w:ascii="Calibri" w:hAnsi="Calibri"/>
        </w:rPr>
        <w:t xml:space="preserve"> Ogólne wymagania dotyczące materiałów</w:t>
      </w:r>
    </w:p>
    <w:p w:rsidR="00E151AC" w:rsidRPr="0073376F" w:rsidRDefault="00E151AC" w:rsidP="00E151AC">
      <w:pPr>
        <w:rPr>
          <w:rFonts w:ascii="Calibri" w:hAnsi="Calibri"/>
        </w:rPr>
      </w:pPr>
      <w:r w:rsidRPr="0073376F">
        <w:rPr>
          <w:rFonts w:ascii="Calibri" w:hAnsi="Calibri"/>
        </w:rPr>
        <w:tab/>
        <w:t>Ogólne wymagania dotyczące mat</w:t>
      </w:r>
      <w:r>
        <w:rPr>
          <w:rFonts w:ascii="Calibri" w:hAnsi="Calibri"/>
        </w:rPr>
        <w:t xml:space="preserve">eriałów zaleca się stosować wg </w:t>
      </w:r>
      <w:r w:rsidRPr="0073376F">
        <w:rPr>
          <w:rFonts w:ascii="Calibri" w:hAnsi="Calibri"/>
        </w:rPr>
        <w:t>ST D-M-00.00.00 „Wymagania ogólne” [1], pkt 2.</w:t>
      </w:r>
    </w:p>
    <w:p w:rsidR="00E151AC" w:rsidRPr="0073376F" w:rsidRDefault="00E151AC" w:rsidP="00E151AC">
      <w:pPr>
        <w:rPr>
          <w:rFonts w:ascii="Calibri" w:hAnsi="Calibri"/>
        </w:rPr>
      </w:pPr>
      <w:r w:rsidRPr="00D62F30">
        <w:rPr>
          <w:rFonts w:ascii="Calibri" w:hAnsi="Calibri"/>
          <w:b/>
        </w:rPr>
        <w:t>2.2.</w:t>
      </w:r>
      <w:r w:rsidRPr="0073376F">
        <w:rPr>
          <w:rFonts w:ascii="Calibri" w:hAnsi="Calibri"/>
        </w:rPr>
        <w:t xml:space="preserve"> Materiały do wykonania robót</w:t>
      </w:r>
    </w:p>
    <w:p w:rsidR="00E151AC" w:rsidRPr="0073376F" w:rsidRDefault="00E151AC" w:rsidP="00E151AC">
      <w:pPr>
        <w:rPr>
          <w:rFonts w:ascii="Calibri" w:hAnsi="Calibri"/>
        </w:rPr>
      </w:pPr>
      <w:r w:rsidRPr="0073376F">
        <w:rPr>
          <w:rFonts w:ascii="Calibri" w:hAnsi="Calibri"/>
        </w:rPr>
        <w:tab/>
        <w:t>Wykonawca ponosi wszystkie koszty z tytułu uzyskania materiałów, które okażą się potrzebne w związku z realizacją zaplecza.</w:t>
      </w:r>
    </w:p>
    <w:p w:rsidR="00E151AC" w:rsidRPr="0073376F" w:rsidRDefault="00E151AC" w:rsidP="00E151AC">
      <w:pPr>
        <w:rPr>
          <w:rFonts w:ascii="Calibri" w:hAnsi="Calibri"/>
        </w:rPr>
      </w:pPr>
      <w:r w:rsidRPr="0073376F">
        <w:rPr>
          <w:rFonts w:ascii="Calibri" w:hAnsi="Calibri"/>
        </w:rPr>
        <w:tab/>
        <w:t>Humus czasowo zdjęty z terenu przeznaczonego na zaplecze Wykonawcy może być wykorzystany do robót lub rekultywacji terenu po ukończeniu robót, pod warunkiem akceptacji Inżyniera.</w:t>
      </w:r>
    </w:p>
    <w:p w:rsidR="00E151AC" w:rsidRDefault="00E151AC" w:rsidP="00E151AC">
      <w:pPr>
        <w:rPr>
          <w:rFonts w:ascii="Calibri" w:hAnsi="Calibri"/>
        </w:rPr>
      </w:pPr>
      <w:r w:rsidRPr="0073376F">
        <w:rPr>
          <w:rFonts w:ascii="Calibri" w:hAnsi="Calibri"/>
        </w:rPr>
        <w:tab/>
        <w:t>Wykonawca zapewni, aby tymczasowo składowane materiały były zabezpieczone przed zanieczyszczeniami. Miejsca czasowego składowania materiałów budowy w miejscach zorganizowanych przez Wykonawcę powinny być zaakceptowane przez Inżyniera.</w:t>
      </w:r>
    </w:p>
    <w:p w:rsidR="00E151AC" w:rsidRPr="0073376F" w:rsidRDefault="00E151AC" w:rsidP="00E151AC">
      <w:pPr>
        <w:rPr>
          <w:rFonts w:ascii="Calibri" w:hAnsi="Calibri"/>
        </w:rPr>
      </w:pPr>
    </w:p>
    <w:p w:rsidR="00E151AC" w:rsidRPr="00D62F30" w:rsidRDefault="00E151AC" w:rsidP="00E151AC">
      <w:pPr>
        <w:rPr>
          <w:rFonts w:ascii="Calibri" w:hAnsi="Calibri"/>
          <w:b/>
        </w:rPr>
      </w:pPr>
      <w:bookmarkStart w:id="50" w:name="_Toc25373382"/>
      <w:bookmarkStart w:id="51" w:name="_Toc25379398"/>
      <w:bookmarkStart w:id="52" w:name="_Toc38338022"/>
      <w:bookmarkStart w:id="53" w:name="_Toc68660263"/>
      <w:bookmarkStart w:id="54" w:name="_Toc68921158"/>
      <w:bookmarkStart w:id="55" w:name="_Toc68929545"/>
      <w:bookmarkStart w:id="56" w:name="_Toc70745913"/>
      <w:bookmarkStart w:id="57" w:name="_Toc113338099"/>
      <w:bookmarkStart w:id="58" w:name="_Toc124213275"/>
      <w:bookmarkStart w:id="59" w:name="_Toc144694237"/>
      <w:bookmarkStart w:id="60" w:name="_Toc144793977"/>
      <w:bookmarkStart w:id="61" w:name="_Toc146429502"/>
      <w:bookmarkStart w:id="62" w:name="_Toc161023544"/>
      <w:bookmarkStart w:id="63" w:name="_Toc310334980"/>
      <w:bookmarkStart w:id="64" w:name="_Toc320090140"/>
      <w:r w:rsidRPr="00D62F30">
        <w:rPr>
          <w:rFonts w:ascii="Calibri" w:hAnsi="Calibri"/>
          <w:b/>
        </w:rPr>
        <w:t xml:space="preserve">3. </w:t>
      </w:r>
      <w:bookmarkEnd w:id="50"/>
      <w:bookmarkEnd w:id="51"/>
      <w:bookmarkEnd w:id="52"/>
      <w:bookmarkEnd w:id="53"/>
      <w:bookmarkEnd w:id="54"/>
      <w:bookmarkEnd w:id="55"/>
      <w:bookmarkEnd w:id="56"/>
      <w:bookmarkEnd w:id="57"/>
      <w:bookmarkEnd w:id="58"/>
      <w:bookmarkEnd w:id="59"/>
      <w:bookmarkEnd w:id="60"/>
      <w:bookmarkEnd w:id="61"/>
      <w:bookmarkEnd w:id="62"/>
      <w:bookmarkEnd w:id="63"/>
      <w:bookmarkEnd w:id="64"/>
      <w:r w:rsidRPr="00D62F30">
        <w:rPr>
          <w:rFonts w:ascii="Calibri" w:hAnsi="Calibri"/>
          <w:b/>
        </w:rPr>
        <w:t>SPRZĘT</w:t>
      </w:r>
    </w:p>
    <w:p w:rsidR="00E151AC" w:rsidRPr="0073376F" w:rsidRDefault="00E151AC" w:rsidP="00E151AC">
      <w:pPr>
        <w:rPr>
          <w:rFonts w:ascii="Calibri" w:hAnsi="Calibri"/>
        </w:rPr>
      </w:pPr>
      <w:r w:rsidRPr="00D62F30">
        <w:rPr>
          <w:rFonts w:ascii="Calibri" w:hAnsi="Calibri"/>
          <w:b/>
        </w:rPr>
        <w:t>3.1.</w:t>
      </w:r>
      <w:r w:rsidRPr="0073376F">
        <w:rPr>
          <w:rFonts w:ascii="Calibri" w:hAnsi="Calibri"/>
        </w:rPr>
        <w:t xml:space="preserve"> Ogólne wymagania dotyczące sprzętu</w:t>
      </w:r>
    </w:p>
    <w:p w:rsidR="00E151AC" w:rsidRPr="0073376F" w:rsidRDefault="00E151AC" w:rsidP="00E151AC">
      <w:pPr>
        <w:rPr>
          <w:rFonts w:ascii="Calibri" w:hAnsi="Calibri"/>
        </w:rPr>
      </w:pPr>
      <w:r w:rsidRPr="0073376F">
        <w:rPr>
          <w:rFonts w:ascii="Calibri" w:hAnsi="Calibri"/>
        </w:rPr>
        <w:tab/>
        <w:t>Ogólne wymagania dotyczące sprzętu zaleca się s</w:t>
      </w:r>
      <w:r>
        <w:rPr>
          <w:rFonts w:ascii="Calibri" w:hAnsi="Calibri"/>
        </w:rPr>
        <w:t xml:space="preserve">tosować wg </w:t>
      </w:r>
      <w:r w:rsidRPr="0073376F">
        <w:rPr>
          <w:rFonts w:ascii="Calibri" w:hAnsi="Calibri"/>
        </w:rPr>
        <w:t>ST  D-M-00.00.00 „Wymagania ogólne” [1], pkt 3.</w:t>
      </w:r>
    </w:p>
    <w:p w:rsidR="00E151AC" w:rsidRPr="0073376F" w:rsidRDefault="00E151AC" w:rsidP="00E151AC">
      <w:pPr>
        <w:rPr>
          <w:rFonts w:ascii="Calibri" w:hAnsi="Calibri"/>
        </w:rPr>
      </w:pPr>
      <w:r w:rsidRPr="00D62F30">
        <w:rPr>
          <w:rFonts w:ascii="Calibri" w:hAnsi="Calibri"/>
          <w:b/>
        </w:rPr>
        <w:t>3.2.</w:t>
      </w:r>
      <w:r w:rsidRPr="0073376F">
        <w:rPr>
          <w:rFonts w:ascii="Calibri" w:hAnsi="Calibri"/>
        </w:rPr>
        <w:t xml:space="preserve"> Sprzęt stosowany do wykonania robót</w:t>
      </w:r>
    </w:p>
    <w:p w:rsidR="00E151AC" w:rsidRPr="0073376F" w:rsidRDefault="00E151AC" w:rsidP="00E151AC">
      <w:pPr>
        <w:rPr>
          <w:rFonts w:ascii="Calibri" w:hAnsi="Calibri"/>
        </w:rPr>
      </w:pPr>
      <w:r w:rsidRPr="0073376F">
        <w:rPr>
          <w:rFonts w:ascii="Calibri" w:hAnsi="Calibri"/>
        </w:rPr>
        <w:tab/>
        <w:t xml:space="preserve">  Przy wykonywaniu robót Wykonawca w zależności od potrzeb, powinien korzystać ze sprzętu dostosowanego do przyjętej metody robót.</w:t>
      </w:r>
    </w:p>
    <w:p w:rsidR="00E151AC" w:rsidRDefault="00E151AC" w:rsidP="00E151AC">
      <w:pPr>
        <w:rPr>
          <w:rFonts w:ascii="Calibri" w:hAnsi="Calibri"/>
        </w:rPr>
      </w:pPr>
      <w:r w:rsidRPr="0073376F">
        <w:rPr>
          <w:rFonts w:ascii="Calibri" w:hAnsi="Calibri"/>
        </w:rPr>
        <w:tab/>
        <w:t>Wykonawca powinien używać jedynie takiego sprzętu, który nie powoduje niekorzystnego wpływu na jakość wykonywanych robót.</w:t>
      </w:r>
    </w:p>
    <w:p w:rsidR="00E151AC" w:rsidRPr="0073376F" w:rsidRDefault="00E151AC" w:rsidP="00E151AC">
      <w:pPr>
        <w:rPr>
          <w:rFonts w:ascii="Calibri" w:hAnsi="Calibri"/>
        </w:rPr>
      </w:pPr>
    </w:p>
    <w:p w:rsidR="00E151AC" w:rsidRPr="00D62F30" w:rsidRDefault="00E151AC" w:rsidP="00E151AC">
      <w:pPr>
        <w:rPr>
          <w:rFonts w:ascii="Calibri" w:hAnsi="Calibri"/>
          <w:b/>
        </w:rPr>
      </w:pPr>
      <w:bookmarkStart w:id="65" w:name="_Toc33319442"/>
      <w:bookmarkStart w:id="66" w:name="_Toc33320734"/>
      <w:bookmarkStart w:id="67" w:name="_Toc38338023"/>
      <w:bookmarkStart w:id="68" w:name="_Toc68660264"/>
      <w:bookmarkStart w:id="69" w:name="_Toc68921159"/>
      <w:bookmarkStart w:id="70" w:name="_Toc68929546"/>
      <w:bookmarkStart w:id="71" w:name="_Toc70745914"/>
      <w:bookmarkStart w:id="72" w:name="_Toc113338100"/>
      <w:bookmarkStart w:id="73" w:name="_Toc124213276"/>
      <w:bookmarkStart w:id="74" w:name="_Toc144694238"/>
      <w:bookmarkStart w:id="75" w:name="_Toc144793978"/>
      <w:bookmarkStart w:id="76" w:name="_Toc146429503"/>
      <w:bookmarkStart w:id="77" w:name="_Toc161023545"/>
      <w:bookmarkStart w:id="78" w:name="_Toc310334981"/>
      <w:bookmarkStart w:id="79" w:name="_Toc320090141"/>
      <w:r w:rsidRPr="00D62F30">
        <w:rPr>
          <w:rFonts w:ascii="Calibri" w:hAnsi="Calibri"/>
          <w:b/>
        </w:rPr>
        <w:t>4. TRANSPORT</w:t>
      </w:r>
      <w:bookmarkEnd w:id="65"/>
      <w:bookmarkEnd w:id="66"/>
      <w:bookmarkEnd w:id="67"/>
      <w:bookmarkEnd w:id="68"/>
      <w:bookmarkEnd w:id="69"/>
      <w:bookmarkEnd w:id="70"/>
      <w:bookmarkEnd w:id="71"/>
      <w:bookmarkEnd w:id="72"/>
      <w:bookmarkEnd w:id="73"/>
      <w:bookmarkEnd w:id="74"/>
      <w:bookmarkEnd w:id="75"/>
      <w:bookmarkEnd w:id="76"/>
      <w:bookmarkEnd w:id="77"/>
      <w:bookmarkEnd w:id="78"/>
      <w:bookmarkEnd w:id="79"/>
    </w:p>
    <w:p w:rsidR="00E151AC" w:rsidRPr="0073376F" w:rsidRDefault="00E151AC" w:rsidP="00E151AC">
      <w:pPr>
        <w:rPr>
          <w:rFonts w:ascii="Calibri" w:hAnsi="Calibri"/>
        </w:rPr>
      </w:pPr>
      <w:r w:rsidRPr="00D62F30">
        <w:rPr>
          <w:rFonts w:ascii="Calibri" w:hAnsi="Calibri"/>
          <w:b/>
        </w:rPr>
        <w:t>4.1.</w:t>
      </w:r>
      <w:r w:rsidRPr="0073376F">
        <w:rPr>
          <w:rFonts w:ascii="Calibri" w:hAnsi="Calibri"/>
        </w:rPr>
        <w:t xml:space="preserve"> Ogólne wymagania dotyczące transportu</w:t>
      </w:r>
    </w:p>
    <w:p w:rsidR="00E151AC" w:rsidRPr="0073376F" w:rsidRDefault="00E151AC" w:rsidP="00E151AC">
      <w:pPr>
        <w:rPr>
          <w:rFonts w:ascii="Calibri" w:hAnsi="Calibri"/>
        </w:rPr>
      </w:pPr>
      <w:r w:rsidRPr="0073376F">
        <w:rPr>
          <w:rFonts w:ascii="Calibri" w:hAnsi="Calibri"/>
        </w:rPr>
        <w:tab/>
        <w:t>Ogólne wymagania dotyczące transportu zaleca się stosować wg</w:t>
      </w:r>
      <w:r>
        <w:rPr>
          <w:rFonts w:ascii="Calibri" w:hAnsi="Calibri"/>
        </w:rPr>
        <w:t xml:space="preserve"> </w:t>
      </w:r>
      <w:r w:rsidRPr="0073376F">
        <w:rPr>
          <w:rFonts w:ascii="Calibri" w:hAnsi="Calibri"/>
        </w:rPr>
        <w:t>ST D-M-00.00.00 „Wymagania ogólne” [1], pkt 4.</w:t>
      </w:r>
      <w:r w:rsidRPr="0073376F">
        <w:rPr>
          <w:rFonts w:ascii="Calibri" w:hAnsi="Calibri"/>
        </w:rPr>
        <w:tab/>
      </w:r>
    </w:p>
    <w:p w:rsidR="00E151AC" w:rsidRPr="0073376F" w:rsidRDefault="00E151AC" w:rsidP="00E151AC">
      <w:pPr>
        <w:rPr>
          <w:rFonts w:ascii="Calibri" w:hAnsi="Calibri"/>
        </w:rPr>
      </w:pPr>
      <w:r w:rsidRPr="00D62F30">
        <w:rPr>
          <w:rFonts w:ascii="Calibri" w:hAnsi="Calibri"/>
          <w:b/>
        </w:rPr>
        <w:t>4.2.</w:t>
      </w:r>
      <w:r w:rsidRPr="0073376F">
        <w:rPr>
          <w:rFonts w:ascii="Calibri" w:hAnsi="Calibri"/>
        </w:rPr>
        <w:t xml:space="preserve"> Transport materiałów </w:t>
      </w:r>
    </w:p>
    <w:p w:rsidR="00E151AC" w:rsidRPr="0073376F" w:rsidRDefault="00E151AC" w:rsidP="00E151AC">
      <w:pPr>
        <w:rPr>
          <w:rFonts w:ascii="Calibri" w:hAnsi="Calibri"/>
        </w:rPr>
      </w:pPr>
      <w:r w:rsidRPr="0073376F">
        <w:rPr>
          <w:rFonts w:ascii="Calibri" w:hAnsi="Calibri"/>
        </w:rPr>
        <w:tab/>
        <w:t>Stosowane środki transportu nie mogą wpływać niekorzystnie na jakość wykonanych robót i właściwości przewożonych materiałów.</w:t>
      </w:r>
    </w:p>
    <w:p w:rsidR="00E151AC" w:rsidRPr="0073376F" w:rsidRDefault="00E151AC" w:rsidP="00E151AC">
      <w:pPr>
        <w:rPr>
          <w:rFonts w:ascii="Calibri" w:hAnsi="Calibri"/>
        </w:rPr>
      </w:pPr>
      <w:r w:rsidRPr="0073376F">
        <w:rPr>
          <w:rFonts w:ascii="Calibri" w:hAnsi="Calibri"/>
        </w:rPr>
        <w:t>Materiały można przewozić dowolnymi środkami transportu, w warunkach zabezpieczających je przed zanieczyszczeniem i zmieszaniem z innymi materiałami.</w:t>
      </w:r>
    </w:p>
    <w:p w:rsidR="00E151AC" w:rsidRDefault="00E151AC" w:rsidP="00E151AC">
      <w:pPr>
        <w:rPr>
          <w:rFonts w:ascii="Calibri" w:hAnsi="Calibri"/>
        </w:rPr>
      </w:pPr>
      <w:r w:rsidRPr="0073376F">
        <w:rPr>
          <w:rFonts w:ascii="Calibri" w:hAnsi="Calibri"/>
        </w:rPr>
        <w:lastRenderedPageBreak/>
        <w:t>Przy ruchu na drogach publicznych pojazdy mają spełniać wymagania dotyczące przepisów ruchu drogowego. Wykonawca usunie wszelkie zanieczyszczenia lub uszkodzenia spowodowane jego pojazdami na drogach publicznych oraz dojazdach.</w:t>
      </w:r>
    </w:p>
    <w:p w:rsidR="00E151AC" w:rsidRPr="0073376F" w:rsidRDefault="00E151AC" w:rsidP="00E151AC">
      <w:pPr>
        <w:rPr>
          <w:rFonts w:ascii="Calibri" w:hAnsi="Calibri"/>
        </w:rPr>
      </w:pPr>
    </w:p>
    <w:p w:rsidR="00E151AC" w:rsidRPr="00D62F30" w:rsidRDefault="00E151AC" w:rsidP="00E151AC">
      <w:pPr>
        <w:rPr>
          <w:rFonts w:ascii="Calibri" w:hAnsi="Calibri"/>
          <w:b/>
        </w:rPr>
      </w:pPr>
      <w:bookmarkStart w:id="80" w:name="_Toc421940500"/>
      <w:bookmarkStart w:id="81" w:name="_Toc18217006"/>
      <w:bookmarkStart w:id="82" w:name="_Toc30219220"/>
      <w:bookmarkStart w:id="83" w:name="_Toc33319443"/>
      <w:bookmarkStart w:id="84" w:name="_Toc33320735"/>
      <w:bookmarkStart w:id="85" w:name="_Toc38338024"/>
      <w:bookmarkStart w:id="86" w:name="_Toc68660265"/>
      <w:bookmarkStart w:id="87" w:name="_Toc68921160"/>
      <w:bookmarkStart w:id="88" w:name="_Toc68929547"/>
      <w:bookmarkStart w:id="89" w:name="_Toc70745915"/>
      <w:bookmarkStart w:id="90" w:name="_Toc113338101"/>
      <w:bookmarkStart w:id="91" w:name="_Toc131992896"/>
      <w:bookmarkStart w:id="92" w:name="_Toc161023546"/>
      <w:bookmarkStart w:id="93" w:name="_Toc310334982"/>
      <w:bookmarkStart w:id="94" w:name="_Toc320090142"/>
      <w:r w:rsidRPr="00D62F30">
        <w:rPr>
          <w:rFonts w:ascii="Calibri" w:hAnsi="Calibri"/>
          <w:b/>
        </w:rPr>
        <w:t xml:space="preserve">5. </w:t>
      </w:r>
      <w:bookmarkEnd w:id="80"/>
      <w:bookmarkEnd w:id="81"/>
      <w:bookmarkEnd w:id="82"/>
      <w:bookmarkEnd w:id="83"/>
      <w:bookmarkEnd w:id="84"/>
      <w:bookmarkEnd w:id="85"/>
      <w:bookmarkEnd w:id="86"/>
      <w:bookmarkEnd w:id="87"/>
      <w:bookmarkEnd w:id="88"/>
      <w:bookmarkEnd w:id="89"/>
      <w:bookmarkEnd w:id="90"/>
      <w:bookmarkEnd w:id="91"/>
      <w:bookmarkEnd w:id="92"/>
      <w:bookmarkEnd w:id="93"/>
      <w:bookmarkEnd w:id="94"/>
      <w:r w:rsidRPr="00D62F30">
        <w:rPr>
          <w:rFonts w:ascii="Calibri" w:hAnsi="Calibri"/>
          <w:b/>
        </w:rPr>
        <w:t>WYKONANIE ROBÓT</w:t>
      </w:r>
    </w:p>
    <w:p w:rsidR="00E151AC" w:rsidRPr="0073376F" w:rsidRDefault="00E151AC" w:rsidP="00E151AC">
      <w:pPr>
        <w:rPr>
          <w:rFonts w:ascii="Calibri" w:hAnsi="Calibri"/>
        </w:rPr>
      </w:pPr>
      <w:r w:rsidRPr="00D62F30">
        <w:rPr>
          <w:rFonts w:ascii="Calibri" w:hAnsi="Calibri"/>
          <w:b/>
        </w:rPr>
        <w:t>5.1.</w:t>
      </w:r>
      <w:r w:rsidRPr="0073376F">
        <w:rPr>
          <w:rFonts w:ascii="Calibri" w:hAnsi="Calibri"/>
        </w:rPr>
        <w:t xml:space="preserve"> Ogólne zasady wykonania robót</w:t>
      </w:r>
    </w:p>
    <w:p w:rsidR="00E151AC" w:rsidRPr="0073376F" w:rsidRDefault="00E151AC" w:rsidP="00E151AC">
      <w:pPr>
        <w:rPr>
          <w:rFonts w:ascii="Calibri" w:hAnsi="Calibri"/>
        </w:rPr>
      </w:pPr>
      <w:r w:rsidRPr="0073376F">
        <w:rPr>
          <w:rFonts w:ascii="Calibri" w:hAnsi="Calibri"/>
        </w:rPr>
        <w:tab/>
        <w:t>Ogólne zasady wykonani</w:t>
      </w:r>
      <w:r>
        <w:rPr>
          <w:rFonts w:ascii="Calibri" w:hAnsi="Calibri"/>
        </w:rPr>
        <w:t xml:space="preserve">a robót zaleca się stosować wg </w:t>
      </w:r>
      <w:r w:rsidRPr="0073376F">
        <w:rPr>
          <w:rFonts w:ascii="Calibri" w:hAnsi="Calibri"/>
        </w:rPr>
        <w:t>ST D-M-</w:t>
      </w:r>
      <w:r>
        <w:rPr>
          <w:rFonts w:ascii="Calibri" w:hAnsi="Calibri"/>
        </w:rPr>
        <w:t>00.00.00 „Wymagania ogólne”</w:t>
      </w:r>
      <w:r w:rsidRPr="0073376F">
        <w:rPr>
          <w:rFonts w:ascii="Calibri" w:hAnsi="Calibri"/>
        </w:rPr>
        <w:t xml:space="preserve"> pkt 5.</w:t>
      </w:r>
    </w:p>
    <w:p w:rsidR="00E151AC" w:rsidRPr="0073376F" w:rsidRDefault="00E151AC" w:rsidP="00E151AC">
      <w:pPr>
        <w:rPr>
          <w:rFonts w:ascii="Calibri" w:hAnsi="Calibri"/>
        </w:rPr>
      </w:pPr>
      <w:r w:rsidRPr="00D62F30">
        <w:rPr>
          <w:rFonts w:ascii="Calibri" w:hAnsi="Calibri"/>
          <w:b/>
        </w:rPr>
        <w:t>5.2.</w:t>
      </w:r>
      <w:r w:rsidRPr="0073376F">
        <w:rPr>
          <w:rFonts w:ascii="Calibri" w:hAnsi="Calibri"/>
        </w:rPr>
        <w:t xml:space="preserve"> Zasady wykonywania robót</w:t>
      </w:r>
    </w:p>
    <w:p w:rsidR="00E151AC" w:rsidRPr="0073376F" w:rsidRDefault="00E151AC" w:rsidP="00E151AC">
      <w:pPr>
        <w:rPr>
          <w:rFonts w:ascii="Calibri" w:hAnsi="Calibri"/>
        </w:rPr>
      </w:pPr>
      <w:r w:rsidRPr="0073376F">
        <w:rPr>
          <w:rFonts w:ascii="Calibri" w:hAnsi="Calibri"/>
        </w:rPr>
        <w:tab/>
        <w:t>Sposób wykonania robót powinien być zgodny z warunkami kontraktu. W przypadku braku wystarczających danych można korzystać z ustaleń podanych w niniejszej specyfikacji.</w:t>
      </w:r>
    </w:p>
    <w:p w:rsidR="00E151AC" w:rsidRPr="0073376F" w:rsidRDefault="00E151AC" w:rsidP="00E151AC">
      <w:pPr>
        <w:rPr>
          <w:rFonts w:ascii="Calibri" w:hAnsi="Calibri"/>
        </w:rPr>
      </w:pPr>
      <w:r w:rsidRPr="0073376F">
        <w:rPr>
          <w:rFonts w:ascii="Calibri" w:hAnsi="Calibri"/>
        </w:rPr>
        <w:tab/>
        <w:t>Podstawowe czynności Wykonawcy przy wykonaniu robót obejmują:</w:t>
      </w:r>
    </w:p>
    <w:p w:rsidR="00E151AC" w:rsidRPr="0073376F" w:rsidRDefault="00E151AC" w:rsidP="00E151AC">
      <w:pPr>
        <w:rPr>
          <w:rFonts w:ascii="Calibri" w:hAnsi="Calibri"/>
        </w:rPr>
      </w:pPr>
      <w:r>
        <w:rPr>
          <w:rFonts w:ascii="Calibri" w:hAnsi="Calibri"/>
        </w:rPr>
        <w:t>-</w:t>
      </w:r>
      <w:r w:rsidRPr="0073376F">
        <w:rPr>
          <w:rFonts w:ascii="Calibri" w:hAnsi="Calibri"/>
        </w:rPr>
        <w:t>urządzenie zaplecza,</w:t>
      </w:r>
    </w:p>
    <w:p w:rsidR="00E151AC" w:rsidRPr="0073376F" w:rsidRDefault="00E151AC" w:rsidP="00E151AC">
      <w:pPr>
        <w:rPr>
          <w:rFonts w:ascii="Calibri" w:hAnsi="Calibri"/>
        </w:rPr>
      </w:pPr>
      <w:r>
        <w:rPr>
          <w:rFonts w:ascii="Calibri" w:hAnsi="Calibri"/>
        </w:rPr>
        <w:t>-</w:t>
      </w:r>
      <w:r w:rsidRPr="0073376F">
        <w:rPr>
          <w:rFonts w:ascii="Calibri" w:hAnsi="Calibri"/>
        </w:rPr>
        <w:t>utrzymanie zaplecza,</w:t>
      </w:r>
    </w:p>
    <w:p w:rsidR="00E151AC" w:rsidRPr="0073376F" w:rsidRDefault="00E151AC" w:rsidP="00E151AC">
      <w:pPr>
        <w:rPr>
          <w:rFonts w:ascii="Calibri" w:hAnsi="Calibri"/>
        </w:rPr>
      </w:pPr>
      <w:r>
        <w:rPr>
          <w:rFonts w:ascii="Calibri" w:hAnsi="Calibri"/>
        </w:rPr>
        <w:t>-</w:t>
      </w:r>
      <w:r w:rsidRPr="0073376F">
        <w:rPr>
          <w:rFonts w:ascii="Calibri" w:hAnsi="Calibri"/>
        </w:rPr>
        <w:t>likwidację zaplecza.</w:t>
      </w:r>
    </w:p>
    <w:p w:rsidR="00E151AC" w:rsidRPr="0073376F" w:rsidRDefault="00E151AC" w:rsidP="00E151AC">
      <w:pPr>
        <w:rPr>
          <w:rFonts w:ascii="Calibri" w:hAnsi="Calibri"/>
        </w:rPr>
      </w:pPr>
      <w:r w:rsidRPr="00D62F30">
        <w:rPr>
          <w:rFonts w:ascii="Calibri" w:hAnsi="Calibri"/>
          <w:b/>
        </w:rPr>
        <w:t>5.3.</w:t>
      </w:r>
      <w:r w:rsidRPr="0073376F">
        <w:rPr>
          <w:rFonts w:ascii="Calibri" w:hAnsi="Calibri"/>
        </w:rPr>
        <w:t xml:space="preserve"> Wykonanie zaplecza dla Wykonawcy</w:t>
      </w:r>
    </w:p>
    <w:p w:rsidR="00E151AC" w:rsidRPr="0073376F" w:rsidRDefault="00E151AC" w:rsidP="00E151AC">
      <w:pPr>
        <w:rPr>
          <w:rFonts w:ascii="Calibri" w:hAnsi="Calibri"/>
        </w:rPr>
      </w:pPr>
      <w:r w:rsidRPr="00D62F30">
        <w:rPr>
          <w:rFonts w:ascii="Calibri" w:hAnsi="Calibri"/>
          <w:b/>
        </w:rPr>
        <w:t>5.3.1.</w:t>
      </w:r>
      <w:r w:rsidRPr="0073376F">
        <w:rPr>
          <w:rFonts w:ascii="Calibri" w:hAnsi="Calibri"/>
        </w:rPr>
        <w:t xml:space="preserve"> Urządzenie zaplecza</w:t>
      </w:r>
    </w:p>
    <w:p w:rsidR="00E151AC" w:rsidRPr="0073376F" w:rsidRDefault="00E151AC" w:rsidP="00E151AC">
      <w:pPr>
        <w:rPr>
          <w:rFonts w:ascii="Calibri" w:hAnsi="Calibri"/>
        </w:rPr>
      </w:pPr>
      <w:r w:rsidRPr="0073376F">
        <w:rPr>
          <w:rFonts w:ascii="Calibri" w:hAnsi="Calibri"/>
        </w:rPr>
        <w:tab/>
        <w:t>Zaplecze Wykonawcy obejmuje wszystkie niezbędne obiekty, urządzenia i instalacje potrzebne Wykonawcy przy realizacji robót. Do nich mogą należeć budynki administracyjne, socjalno-bytowe, magazynowe i laboratoryjne, place składowe, bazy transportowe, instalacje elektryczne, teletechniczne, wodociągowe i inne, zabezpieczenie ochrony mienia, drogi dojazdowe i wewnętrzne, parkingi itp.</w:t>
      </w:r>
    </w:p>
    <w:p w:rsidR="00E151AC" w:rsidRPr="0073376F" w:rsidRDefault="00E151AC" w:rsidP="00E151AC">
      <w:pPr>
        <w:rPr>
          <w:rFonts w:ascii="Calibri" w:hAnsi="Calibri"/>
        </w:rPr>
      </w:pPr>
      <w:r w:rsidRPr="0073376F">
        <w:rPr>
          <w:rFonts w:ascii="Calibri" w:hAnsi="Calibri"/>
        </w:rPr>
        <w:tab/>
        <w:t>Place budowy i ich zaplecza oraz drogi dojazdowe (techniczne) zorganizowane będą w sposób zapewniający oszczędne korzystanie z terenu i jak najmniejsze przekształcenie jego powierzchni.</w:t>
      </w:r>
    </w:p>
    <w:p w:rsidR="00E151AC" w:rsidRPr="0073376F" w:rsidRDefault="00E151AC" w:rsidP="00E151AC">
      <w:pPr>
        <w:rPr>
          <w:rFonts w:ascii="Calibri" w:hAnsi="Calibri"/>
        </w:rPr>
      </w:pPr>
      <w:r w:rsidRPr="0073376F">
        <w:rPr>
          <w:rFonts w:ascii="Calibri" w:hAnsi="Calibri"/>
        </w:rPr>
        <w:tab/>
        <w:t>Zaleca się lokalizować zaplecza budowy, a w szczególności magazyny, składy i bazy transportowe przede wszystkim na terenach już zagospodarowanych.</w:t>
      </w:r>
    </w:p>
    <w:p w:rsidR="00E151AC" w:rsidRPr="0073376F" w:rsidRDefault="00E151AC" w:rsidP="00E151AC">
      <w:pPr>
        <w:rPr>
          <w:rFonts w:ascii="Calibri" w:hAnsi="Calibri"/>
        </w:rPr>
      </w:pPr>
      <w:r w:rsidRPr="0073376F">
        <w:rPr>
          <w:rFonts w:ascii="Calibri" w:hAnsi="Calibri"/>
        </w:rPr>
        <w:tab/>
        <w:t>Place budowy zlokalizowane w pobliżu zabudowy mieszkaniowej należy utrzymywać w stanie ograniczającym zapylenie, m.in. poprzez stosowanie zabezpieczeń dla składowanych materiałów, stosowanie gotowych mieszanek asfaltowych wytwarzanych w wytwórniach do wykonania nawierzchni, w celu ograniczenia w największym stopniu prac związanych z mieszaniem kruszywa ze spoiwem na miejscu budowy.</w:t>
      </w:r>
    </w:p>
    <w:p w:rsidR="00E151AC" w:rsidRPr="0073376F" w:rsidRDefault="00E151AC" w:rsidP="00E151AC">
      <w:pPr>
        <w:rPr>
          <w:rFonts w:ascii="Calibri" w:hAnsi="Calibri"/>
        </w:rPr>
      </w:pPr>
      <w:r w:rsidRPr="0073376F">
        <w:rPr>
          <w:rFonts w:ascii="Calibri" w:hAnsi="Calibri"/>
        </w:rPr>
        <w:tab/>
        <w:t>Wykonawca podejmie działania organizacyjne i techniczne, aby nie dopuścić do zanieczyszczenia wód powierzchniowych i podziemnych stosowanymi substancjami lub ściekami powstającymi w związku z realizowanymi pracami. Na odcinkach, gdzie prace budowlane, w tym roboty ziemne, będą prowadzone w pobliżu cieków, Wykonawca zastosuje rozwiązania zabezpieczające przed ich uszkodzeniem, zasypaniem lub zanieczyszczeniem substancjami chemicznymi pochodzącymi z prac budowlanych.</w:t>
      </w:r>
    </w:p>
    <w:p w:rsidR="00E151AC" w:rsidRPr="0073376F" w:rsidRDefault="00E151AC" w:rsidP="00E151AC">
      <w:pPr>
        <w:rPr>
          <w:rFonts w:ascii="Calibri" w:hAnsi="Calibri"/>
        </w:rPr>
      </w:pPr>
      <w:r w:rsidRPr="0073376F">
        <w:rPr>
          <w:rFonts w:ascii="Calibri" w:hAnsi="Calibri"/>
        </w:rPr>
        <w:tab/>
        <w:t>W czasie urządzenia zaplecza Wykonawca jest zobowiązany do ochrony przed uszkodzeniami bądź zniszczeniem własności publicznej lub prywatnej. Wszelkie zniszczenia lub uszkodzenia spowodowane niewłaściwymi metodami wykonawczymi lub zaniedbaniami, Wykonawca powinien naprawić lub odtworzyć możliwie jak najszybciej.</w:t>
      </w:r>
    </w:p>
    <w:p w:rsidR="00E151AC" w:rsidRPr="0073376F" w:rsidRDefault="00E151AC" w:rsidP="00E151AC">
      <w:pPr>
        <w:rPr>
          <w:rFonts w:ascii="Calibri" w:hAnsi="Calibri"/>
        </w:rPr>
      </w:pPr>
      <w:r w:rsidRPr="00D62F30">
        <w:rPr>
          <w:rFonts w:ascii="Calibri" w:hAnsi="Calibri"/>
          <w:b/>
        </w:rPr>
        <w:t>5.3.2.</w:t>
      </w:r>
      <w:r w:rsidRPr="0073376F">
        <w:rPr>
          <w:rFonts w:ascii="Calibri" w:hAnsi="Calibri"/>
        </w:rPr>
        <w:t xml:space="preserve"> Utrzymanie zaplecza</w:t>
      </w:r>
    </w:p>
    <w:p w:rsidR="00E151AC" w:rsidRPr="0073376F" w:rsidRDefault="00E151AC" w:rsidP="00E151AC">
      <w:pPr>
        <w:rPr>
          <w:rFonts w:ascii="Calibri" w:hAnsi="Calibri"/>
        </w:rPr>
      </w:pPr>
      <w:r w:rsidRPr="0073376F">
        <w:rPr>
          <w:rFonts w:ascii="Calibri" w:hAnsi="Calibri"/>
        </w:rPr>
        <w:tab/>
        <w:t>Utrzymanie zaplecza Wykonawcy obejmuje wszystkie koszty eksploatacyjne, związane z użytkowaniem urządzonego zaplecza.</w:t>
      </w:r>
    </w:p>
    <w:p w:rsidR="00E151AC" w:rsidRPr="0073376F" w:rsidRDefault="00E151AC" w:rsidP="00E151AC">
      <w:pPr>
        <w:rPr>
          <w:rFonts w:ascii="Calibri" w:hAnsi="Calibri"/>
        </w:rPr>
      </w:pPr>
      <w:r w:rsidRPr="0073376F">
        <w:rPr>
          <w:rFonts w:ascii="Calibri" w:hAnsi="Calibri"/>
        </w:rPr>
        <w:tab/>
        <w:t>Wszelkie usuwanie zanieczyszczeń stałych i płynnych, umożliwiających poprawne funkcjonowanie zaplecza Wykonawcy, musi się odbywać zgodnie z obowiązującymi przepisami środowiskowymi.</w:t>
      </w:r>
    </w:p>
    <w:p w:rsidR="00E151AC" w:rsidRPr="0073376F" w:rsidRDefault="00E151AC" w:rsidP="00E151AC">
      <w:pPr>
        <w:rPr>
          <w:rFonts w:ascii="Calibri" w:hAnsi="Calibri"/>
        </w:rPr>
      </w:pPr>
      <w:r w:rsidRPr="00D62F30">
        <w:rPr>
          <w:rFonts w:ascii="Calibri" w:hAnsi="Calibri"/>
          <w:b/>
        </w:rPr>
        <w:t>5.3.3.</w:t>
      </w:r>
      <w:r w:rsidRPr="0073376F">
        <w:rPr>
          <w:rFonts w:ascii="Calibri" w:hAnsi="Calibri"/>
        </w:rPr>
        <w:t xml:space="preserve"> Likwidacja zaplecza</w:t>
      </w:r>
    </w:p>
    <w:p w:rsidR="00E151AC" w:rsidRPr="0073376F" w:rsidRDefault="00E151AC" w:rsidP="00E151AC">
      <w:pPr>
        <w:rPr>
          <w:rFonts w:ascii="Calibri" w:hAnsi="Calibri"/>
        </w:rPr>
      </w:pPr>
      <w:r w:rsidRPr="0073376F">
        <w:rPr>
          <w:rFonts w:ascii="Calibri" w:hAnsi="Calibri"/>
        </w:rPr>
        <w:tab/>
        <w:t>Likwidacja zaplecza Wykonawcy obejmuje usunięcie wszystkich obiektów, urządzeń i instalacji użytkowanych w ramach urządzonego zaplecza Wykonawcy, według punktu 5.3.1.</w:t>
      </w:r>
    </w:p>
    <w:p w:rsidR="00E151AC" w:rsidRPr="0073376F" w:rsidRDefault="00E151AC" w:rsidP="00E151AC">
      <w:pPr>
        <w:rPr>
          <w:rFonts w:ascii="Calibri" w:hAnsi="Calibri"/>
        </w:rPr>
      </w:pPr>
      <w:r w:rsidRPr="0073376F">
        <w:rPr>
          <w:rFonts w:ascii="Calibri" w:hAnsi="Calibri"/>
        </w:rPr>
        <w:tab/>
        <w:t>Do robót likwidacyjnych należą też prace związane z dostosowaniem wykonanych robót do istniejących warunków terenowych, takie jak:</w:t>
      </w:r>
    </w:p>
    <w:p w:rsidR="00E151AC" w:rsidRPr="0073376F" w:rsidRDefault="00E151AC" w:rsidP="00E151AC">
      <w:pPr>
        <w:rPr>
          <w:rFonts w:ascii="Calibri" w:hAnsi="Calibri"/>
        </w:rPr>
      </w:pPr>
      <w:r>
        <w:rPr>
          <w:rFonts w:ascii="Calibri" w:hAnsi="Calibri"/>
        </w:rPr>
        <w:t>-</w:t>
      </w:r>
      <w:r w:rsidRPr="0073376F">
        <w:rPr>
          <w:rFonts w:ascii="Calibri" w:hAnsi="Calibri"/>
        </w:rPr>
        <w:t xml:space="preserve">odtworzenie przeszkód czasowo usuniętych, </w:t>
      </w:r>
    </w:p>
    <w:p w:rsidR="00E151AC" w:rsidRPr="0073376F" w:rsidRDefault="00E151AC" w:rsidP="00E151AC">
      <w:pPr>
        <w:rPr>
          <w:rFonts w:ascii="Calibri" w:hAnsi="Calibri"/>
        </w:rPr>
      </w:pPr>
      <w:r>
        <w:rPr>
          <w:rFonts w:ascii="Calibri" w:hAnsi="Calibri"/>
        </w:rPr>
        <w:t>-</w:t>
      </w:r>
      <w:r w:rsidRPr="0073376F">
        <w:rPr>
          <w:rFonts w:ascii="Calibri" w:hAnsi="Calibri"/>
        </w:rPr>
        <w:t>uzupełnienie zniszczonych w czasie istnienia zaplecza Wykonawcy istniejących elementów terenowych, drogowych lub innych,</w:t>
      </w:r>
    </w:p>
    <w:p w:rsidR="00E151AC" w:rsidRPr="0073376F" w:rsidRDefault="00E151AC" w:rsidP="00E151AC">
      <w:pPr>
        <w:rPr>
          <w:rFonts w:ascii="Calibri" w:hAnsi="Calibri"/>
        </w:rPr>
      </w:pPr>
      <w:r>
        <w:rPr>
          <w:rFonts w:ascii="Calibri" w:hAnsi="Calibri"/>
        </w:rPr>
        <w:t>-</w:t>
      </w:r>
      <w:r w:rsidRPr="0073376F">
        <w:rPr>
          <w:rFonts w:ascii="Calibri" w:hAnsi="Calibri"/>
        </w:rPr>
        <w:t>roboty porządkujące otoczenie terenu zaplecza Wykonawcy,</w:t>
      </w:r>
    </w:p>
    <w:p w:rsidR="00E151AC" w:rsidRPr="0073376F" w:rsidRDefault="00E151AC" w:rsidP="00E151AC">
      <w:pPr>
        <w:rPr>
          <w:rFonts w:ascii="Calibri" w:hAnsi="Calibri"/>
        </w:rPr>
      </w:pPr>
      <w:r>
        <w:rPr>
          <w:rFonts w:ascii="Calibri" w:hAnsi="Calibri"/>
        </w:rPr>
        <w:t>-</w:t>
      </w:r>
      <w:r w:rsidRPr="0073376F">
        <w:rPr>
          <w:rFonts w:ascii="Calibri" w:hAnsi="Calibri"/>
        </w:rPr>
        <w:t>usunięcie ewentualnego oznakowania dróg w otoczeniu zaplecza Wykonawcy, wprowadzonego na okres trwania budowy drogi.</w:t>
      </w:r>
    </w:p>
    <w:p w:rsidR="00E151AC" w:rsidRDefault="00E151AC" w:rsidP="00E151AC">
      <w:pPr>
        <w:rPr>
          <w:rFonts w:ascii="Calibri" w:hAnsi="Calibri"/>
        </w:rPr>
      </w:pPr>
      <w:r>
        <w:rPr>
          <w:rFonts w:ascii="Calibri" w:hAnsi="Calibri"/>
        </w:rPr>
        <w:tab/>
      </w:r>
      <w:r w:rsidRPr="0073376F">
        <w:rPr>
          <w:rFonts w:ascii="Calibri" w:hAnsi="Calibri"/>
        </w:rPr>
        <w:t>Likwidacja zaplecza Wykonawcy powinna spowodować, że użytkowany teren przywrócony zostanie do stanu poprzedzającego rozpoczęcie urządzenia zaplecza.</w:t>
      </w:r>
    </w:p>
    <w:p w:rsidR="00E151AC" w:rsidRPr="0073376F" w:rsidRDefault="00E151AC" w:rsidP="00E151AC">
      <w:pPr>
        <w:rPr>
          <w:rFonts w:ascii="Calibri" w:hAnsi="Calibri"/>
        </w:rPr>
      </w:pPr>
    </w:p>
    <w:p w:rsidR="00E151AC" w:rsidRPr="00D62F30" w:rsidRDefault="00E151AC" w:rsidP="00E151AC">
      <w:pPr>
        <w:rPr>
          <w:rFonts w:ascii="Calibri" w:hAnsi="Calibri"/>
          <w:b/>
        </w:rPr>
      </w:pPr>
      <w:bookmarkStart w:id="95" w:name="_Toc424534470"/>
      <w:bookmarkStart w:id="96" w:name="_Toc46644001"/>
      <w:bookmarkStart w:id="97" w:name="_Toc51995834"/>
      <w:bookmarkStart w:id="98" w:name="_Toc70745916"/>
      <w:bookmarkStart w:id="99" w:name="_Toc113338102"/>
      <w:bookmarkStart w:id="100" w:name="_Toc120590626"/>
      <w:bookmarkStart w:id="101" w:name="_Toc141072308"/>
      <w:bookmarkStart w:id="102" w:name="_Toc266695144"/>
      <w:bookmarkStart w:id="103" w:name="_Toc310334983"/>
      <w:bookmarkStart w:id="104" w:name="_Toc320090143"/>
      <w:r w:rsidRPr="00D62F30">
        <w:rPr>
          <w:rFonts w:ascii="Calibri" w:hAnsi="Calibri"/>
          <w:b/>
        </w:rPr>
        <w:lastRenderedPageBreak/>
        <w:t>6. KONTROLA JAKOŚCI ROBÓT</w:t>
      </w:r>
      <w:bookmarkEnd w:id="95"/>
      <w:bookmarkEnd w:id="96"/>
      <w:bookmarkEnd w:id="97"/>
      <w:bookmarkEnd w:id="98"/>
      <w:bookmarkEnd w:id="99"/>
      <w:bookmarkEnd w:id="100"/>
      <w:bookmarkEnd w:id="101"/>
      <w:bookmarkEnd w:id="102"/>
      <w:bookmarkEnd w:id="103"/>
      <w:bookmarkEnd w:id="104"/>
    </w:p>
    <w:p w:rsidR="00E151AC" w:rsidRPr="0073376F" w:rsidRDefault="00E151AC" w:rsidP="00E151AC">
      <w:pPr>
        <w:rPr>
          <w:rFonts w:ascii="Calibri" w:hAnsi="Calibri"/>
        </w:rPr>
      </w:pPr>
      <w:r w:rsidRPr="00D62F30">
        <w:rPr>
          <w:rFonts w:ascii="Calibri" w:hAnsi="Calibri"/>
          <w:b/>
        </w:rPr>
        <w:t>6.1.</w:t>
      </w:r>
      <w:r w:rsidRPr="0073376F">
        <w:rPr>
          <w:rFonts w:ascii="Calibri" w:hAnsi="Calibri"/>
        </w:rPr>
        <w:t xml:space="preserve"> Ogólne zasady kontroli jakości robót</w:t>
      </w:r>
    </w:p>
    <w:p w:rsidR="00E151AC" w:rsidRPr="0073376F" w:rsidRDefault="00E151AC" w:rsidP="00E151AC">
      <w:pPr>
        <w:rPr>
          <w:rFonts w:ascii="Calibri" w:hAnsi="Calibri"/>
        </w:rPr>
      </w:pPr>
      <w:r w:rsidRPr="0073376F">
        <w:rPr>
          <w:rFonts w:ascii="Calibri" w:hAnsi="Calibri"/>
        </w:rPr>
        <w:tab/>
        <w:t>Ogólne zasady kontroli jakośc</w:t>
      </w:r>
      <w:r>
        <w:rPr>
          <w:rFonts w:ascii="Calibri" w:hAnsi="Calibri"/>
        </w:rPr>
        <w:t xml:space="preserve">i robót zaleca się stosować wg </w:t>
      </w:r>
      <w:r w:rsidRPr="0073376F">
        <w:rPr>
          <w:rFonts w:ascii="Calibri" w:hAnsi="Calibri"/>
        </w:rPr>
        <w:t>ST D-M-00.00.00 „Wymagania ogólne” [1], pkt 6.</w:t>
      </w:r>
    </w:p>
    <w:p w:rsidR="00E151AC" w:rsidRPr="0073376F" w:rsidRDefault="00E151AC" w:rsidP="00E151AC">
      <w:pPr>
        <w:rPr>
          <w:rFonts w:ascii="Calibri" w:hAnsi="Calibri"/>
        </w:rPr>
      </w:pPr>
      <w:r w:rsidRPr="00D62F30">
        <w:rPr>
          <w:rFonts w:ascii="Calibri" w:hAnsi="Calibri"/>
          <w:b/>
        </w:rPr>
        <w:t>6.2.</w:t>
      </w:r>
      <w:r w:rsidRPr="0073376F">
        <w:rPr>
          <w:rFonts w:ascii="Calibri" w:hAnsi="Calibri"/>
        </w:rPr>
        <w:t xml:space="preserve"> Badania robót</w:t>
      </w:r>
    </w:p>
    <w:p w:rsidR="00E151AC" w:rsidRPr="0073376F" w:rsidRDefault="00E151AC" w:rsidP="00E151AC">
      <w:pPr>
        <w:rPr>
          <w:rFonts w:ascii="Calibri" w:hAnsi="Calibri"/>
        </w:rPr>
      </w:pPr>
      <w:r w:rsidRPr="0073376F">
        <w:rPr>
          <w:rFonts w:ascii="Calibri" w:hAnsi="Calibri"/>
        </w:rPr>
        <w:tab/>
        <w:t>Przed przystąpieniem do robót Wykonawca powinien:</w:t>
      </w:r>
    </w:p>
    <w:p w:rsidR="00E151AC" w:rsidRPr="0073376F" w:rsidRDefault="00E151AC" w:rsidP="00E151AC">
      <w:pPr>
        <w:rPr>
          <w:rFonts w:ascii="Calibri" w:hAnsi="Calibri"/>
        </w:rPr>
      </w:pPr>
      <w:r>
        <w:rPr>
          <w:rFonts w:ascii="Calibri" w:hAnsi="Calibri"/>
        </w:rPr>
        <w:t>-</w:t>
      </w:r>
      <w:r w:rsidRPr="0073376F">
        <w:rPr>
          <w:rFonts w:ascii="Calibri" w:hAnsi="Calibri"/>
        </w:rPr>
        <w:t>uzyskać wymagane dokumenty, dopuszczające wyroby budowlane do obrotu i powszechnego stosowania (np. stwierdzenie o oznakowaniu materiału znakiem CE lub znakiem budowlanym B, certyfikat zgodności, deklarację zgodności, aprobatę techniczną, ew. badania materiałów wykonane przez dostawców itp.),</w:t>
      </w:r>
    </w:p>
    <w:p w:rsidR="00E151AC" w:rsidRPr="0073376F" w:rsidRDefault="00E151AC" w:rsidP="00E151AC">
      <w:pPr>
        <w:rPr>
          <w:rFonts w:ascii="Calibri" w:hAnsi="Calibri"/>
        </w:rPr>
      </w:pPr>
      <w:r>
        <w:rPr>
          <w:rFonts w:ascii="Calibri" w:hAnsi="Calibri"/>
        </w:rPr>
        <w:t>-</w:t>
      </w:r>
      <w:r w:rsidRPr="0073376F">
        <w:rPr>
          <w:rFonts w:ascii="Calibri" w:hAnsi="Calibri"/>
        </w:rPr>
        <w:t xml:space="preserve">ew. wykonać własne badania właściwości materiałów przeznaczonych do wykonania robót, </w:t>
      </w:r>
    </w:p>
    <w:p w:rsidR="00E151AC" w:rsidRPr="0073376F" w:rsidRDefault="00E151AC" w:rsidP="00E151AC">
      <w:pPr>
        <w:rPr>
          <w:rFonts w:ascii="Calibri" w:hAnsi="Calibri"/>
        </w:rPr>
      </w:pPr>
      <w:r>
        <w:rPr>
          <w:rFonts w:ascii="Calibri" w:hAnsi="Calibri"/>
        </w:rPr>
        <w:t>-</w:t>
      </w:r>
      <w:r w:rsidRPr="0073376F">
        <w:rPr>
          <w:rFonts w:ascii="Calibri" w:hAnsi="Calibri"/>
        </w:rPr>
        <w:t>sprawdzić cechy zewnętrzne gotowych materiałów z tworzyw i prefabrykowanych.</w:t>
      </w:r>
    </w:p>
    <w:p w:rsidR="00E151AC" w:rsidRDefault="00E151AC" w:rsidP="00E151AC">
      <w:pPr>
        <w:rPr>
          <w:rFonts w:ascii="Calibri" w:hAnsi="Calibri"/>
        </w:rPr>
      </w:pPr>
      <w:r w:rsidRPr="0073376F">
        <w:rPr>
          <w:rFonts w:ascii="Calibri" w:hAnsi="Calibri"/>
        </w:rPr>
        <w:tab/>
        <w:t>Wszystkie dokumenty oraz wyniki badań Wykonawca przedstawia Inżynierowi.</w:t>
      </w:r>
    </w:p>
    <w:p w:rsidR="00E151AC" w:rsidRPr="0073376F" w:rsidRDefault="00E151AC" w:rsidP="00E151AC">
      <w:pPr>
        <w:rPr>
          <w:rFonts w:ascii="Calibri" w:hAnsi="Calibri"/>
        </w:rPr>
      </w:pPr>
    </w:p>
    <w:p w:rsidR="00E151AC" w:rsidRPr="00D62F30" w:rsidRDefault="00E151AC" w:rsidP="00E151AC">
      <w:pPr>
        <w:rPr>
          <w:rFonts w:ascii="Calibri" w:hAnsi="Calibri"/>
          <w:b/>
        </w:rPr>
      </w:pPr>
      <w:bookmarkStart w:id="105" w:name="_Toc428169263"/>
      <w:bookmarkStart w:id="106" w:name="_Toc428323653"/>
      <w:bookmarkStart w:id="107" w:name="_Toc428759427"/>
      <w:bookmarkStart w:id="108" w:name="_Toc141072309"/>
      <w:bookmarkStart w:id="109" w:name="_Toc266695145"/>
      <w:bookmarkStart w:id="110" w:name="_Toc310334984"/>
      <w:bookmarkStart w:id="111" w:name="_Toc320090144"/>
      <w:r w:rsidRPr="00D62F30">
        <w:rPr>
          <w:rFonts w:ascii="Calibri" w:hAnsi="Calibri"/>
          <w:b/>
        </w:rPr>
        <w:t>7. OBMIAR ROBÓT</w:t>
      </w:r>
      <w:bookmarkEnd w:id="105"/>
      <w:bookmarkEnd w:id="106"/>
      <w:bookmarkEnd w:id="107"/>
      <w:bookmarkEnd w:id="108"/>
      <w:bookmarkEnd w:id="109"/>
      <w:bookmarkEnd w:id="110"/>
      <w:bookmarkEnd w:id="111"/>
    </w:p>
    <w:p w:rsidR="00E151AC" w:rsidRPr="0073376F" w:rsidRDefault="00E151AC" w:rsidP="00E151AC">
      <w:pPr>
        <w:rPr>
          <w:rFonts w:ascii="Calibri" w:hAnsi="Calibri"/>
        </w:rPr>
      </w:pPr>
      <w:r w:rsidRPr="00D62F30">
        <w:rPr>
          <w:rFonts w:ascii="Calibri" w:hAnsi="Calibri"/>
          <w:b/>
        </w:rPr>
        <w:t>7.1.</w:t>
      </w:r>
      <w:r w:rsidRPr="0073376F">
        <w:rPr>
          <w:rFonts w:ascii="Calibri" w:hAnsi="Calibri"/>
        </w:rPr>
        <w:t xml:space="preserve"> Ogólne zasady obmiaru robót</w:t>
      </w:r>
    </w:p>
    <w:p w:rsidR="00E151AC" w:rsidRPr="0073376F" w:rsidRDefault="00E151AC" w:rsidP="00E151AC">
      <w:pPr>
        <w:rPr>
          <w:rFonts w:ascii="Calibri" w:hAnsi="Calibri"/>
        </w:rPr>
      </w:pPr>
      <w:r w:rsidRPr="0073376F">
        <w:rPr>
          <w:rFonts w:ascii="Calibri" w:hAnsi="Calibri"/>
        </w:rPr>
        <w:tab/>
        <w:t>Ogólne zasady obmiaru robót zaleca się stosować wg ST D-M-00.00.00 „Wymagania ogólne” [1], pkt 7.</w:t>
      </w:r>
    </w:p>
    <w:p w:rsidR="00E151AC" w:rsidRPr="0073376F" w:rsidRDefault="00E151AC" w:rsidP="00E151AC">
      <w:pPr>
        <w:rPr>
          <w:rFonts w:ascii="Calibri" w:hAnsi="Calibri"/>
        </w:rPr>
      </w:pPr>
      <w:r w:rsidRPr="00D62F30">
        <w:rPr>
          <w:rFonts w:ascii="Calibri" w:hAnsi="Calibri"/>
          <w:b/>
        </w:rPr>
        <w:t>7.2.</w:t>
      </w:r>
      <w:r w:rsidRPr="0073376F">
        <w:rPr>
          <w:rFonts w:ascii="Calibri" w:hAnsi="Calibri"/>
        </w:rPr>
        <w:t xml:space="preserve"> Jednostka obmiarowa</w:t>
      </w:r>
    </w:p>
    <w:p w:rsidR="00E151AC" w:rsidRDefault="00E151AC" w:rsidP="00E151AC">
      <w:pPr>
        <w:rPr>
          <w:rFonts w:ascii="Calibri" w:hAnsi="Calibri"/>
        </w:rPr>
      </w:pPr>
      <w:r w:rsidRPr="0073376F">
        <w:rPr>
          <w:rFonts w:ascii="Calibri" w:hAnsi="Calibri"/>
        </w:rPr>
        <w:tab/>
        <w:t>Jeśli warunki kontraktu nie ustalają inaczej, to jednostką obmiarową urządzenia, utrzymania i likwidacji zaplecza Wykonawcy jest wynagrodzenie ryczałtowe (ryczałt).</w:t>
      </w:r>
    </w:p>
    <w:p w:rsidR="00E151AC" w:rsidRPr="0073376F" w:rsidRDefault="00E151AC" w:rsidP="00E151AC">
      <w:pPr>
        <w:rPr>
          <w:rFonts w:ascii="Calibri" w:hAnsi="Calibri"/>
        </w:rPr>
      </w:pPr>
    </w:p>
    <w:p w:rsidR="00E151AC" w:rsidRPr="00D62F30" w:rsidRDefault="00E151AC" w:rsidP="00E151AC">
      <w:pPr>
        <w:rPr>
          <w:rFonts w:ascii="Calibri" w:hAnsi="Calibri"/>
          <w:b/>
        </w:rPr>
      </w:pPr>
      <w:bookmarkStart w:id="112" w:name="_8._ODBIÓR_ROBÓT"/>
      <w:bookmarkStart w:id="113" w:name="_Toc428169264"/>
      <w:bookmarkStart w:id="114" w:name="_Toc428323654"/>
      <w:bookmarkStart w:id="115" w:name="_Toc428759428"/>
      <w:bookmarkStart w:id="116" w:name="_Toc141072310"/>
      <w:bookmarkStart w:id="117" w:name="_Toc266695146"/>
      <w:bookmarkStart w:id="118" w:name="_Toc310334985"/>
      <w:bookmarkStart w:id="119" w:name="_Toc320090145"/>
      <w:bookmarkEnd w:id="112"/>
      <w:r w:rsidRPr="00D62F30">
        <w:rPr>
          <w:rFonts w:ascii="Calibri" w:hAnsi="Calibri"/>
          <w:b/>
        </w:rPr>
        <w:t>8. ODBIÓR ROBÓT</w:t>
      </w:r>
      <w:bookmarkEnd w:id="113"/>
      <w:bookmarkEnd w:id="114"/>
      <w:bookmarkEnd w:id="115"/>
      <w:bookmarkEnd w:id="116"/>
      <w:bookmarkEnd w:id="117"/>
      <w:bookmarkEnd w:id="118"/>
      <w:bookmarkEnd w:id="119"/>
    </w:p>
    <w:p w:rsidR="00E151AC" w:rsidRPr="0073376F" w:rsidRDefault="00E151AC" w:rsidP="00E151AC">
      <w:pPr>
        <w:rPr>
          <w:rFonts w:ascii="Calibri" w:hAnsi="Calibri"/>
        </w:rPr>
      </w:pPr>
      <w:r w:rsidRPr="00D62F30">
        <w:rPr>
          <w:rFonts w:ascii="Calibri" w:hAnsi="Calibri"/>
          <w:b/>
        </w:rPr>
        <w:t>8.1.</w:t>
      </w:r>
      <w:r w:rsidRPr="0073376F">
        <w:rPr>
          <w:rFonts w:ascii="Calibri" w:hAnsi="Calibri"/>
        </w:rPr>
        <w:t xml:space="preserve"> Ogólne zasady odbioru robót</w:t>
      </w:r>
    </w:p>
    <w:p w:rsidR="00E151AC" w:rsidRPr="0073376F" w:rsidRDefault="00E151AC" w:rsidP="00E151AC">
      <w:pPr>
        <w:rPr>
          <w:rFonts w:ascii="Calibri" w:hAnsi="Calibri"/>
        </w:rPr>
      </w:pPr>
      <w:r w:rsidRPr="0073376F">
        <w:rPr>
          <w:rFonts w:ascii="Calibri" w:hAnsi="Calibri"/>
        </w:rPr>
        <w:tab/>
        <w:t>Ogólne zasady odbioru robót zaleca się stosować wg ST D-M-00.00.00 „Wymagania ogólne” [1], pkt 8.</w:t>
      </w:r>
    </w:p>
    <w:p w:rsidR="00E151AC" w:rsidRDefault="00E151AC" w:rsidP="00E151AC">
      <w:pPr>
        <w:rPr>
          <w:rFonts w:ascii="Calibri" w:hAnsi="Calibri"/>
        </w:rPr>
      </w:pPr>
      <w:r w:rsidRPr="0073376F">
        <w:rPr>
          <w:rFonts w:ascii="Calibri" w:hAnsi="Calibri"/>
        </w:rPr>
        <w:tab/>
        <w:t>Roboty uznaje się za wykonane zgodnie z warunkami kontraktu, jeżeli odbiór określony w dokumentach umowy da wynik pozytywny.</w:t>
      </w:r>
    </w:p>
    <w:p w:rsidR="00E151AC" w:rsidRPr="0073376F" w:rsidRDefault="00E151AC" w:rsidP="00E151AC">
      <w:pPr>
        <w:rPr>
          <w:rFonts w:ascii="Calibri" w:hAnsi="Calibri"/>
        </w:rPr>
      </w:pPr>
    </w:p>
    <w:p w:rsidR="00E151AC" w:rsidRPr="00D62F30" w:rsidRDefault="00E151AC" w:rsidP="00E151AC">
      <w:pPr>
        <w:rPr>
          <w:rFonts w:ascii="Calibri" w:hAnsi="Calibri"/>
          <w:b/>
        </w:rPr>
      </w:pPr>
      <w:bookmarkStart w:id="120" w:name="_9._PODSTAWA_PŁATNOŚCI"/>
      <w:bookmarkStart w:id="121" w:name="_Toc428169265"/>
      <w:bookmarkStart w:id="122" w:name="_Toc428323655"/>
      <w:bookmarkStart w:id="123" w:name="_Toc428759429"/>
      <w:bookmarkStart w:id="124" w:name="_Toc141072311"/>
      <w:bookmarkStart w:id="125" w:name="_Toc266695147"/>
      <w:bookmarkStart w:id="126" w:name="_Toc310334986"/>
      <w:bookmarkStart w:id="127" w:name="_Toc320090146"/>
      <w:bookmarkEnd w:id="120"/>
      <w:r w:rsidRPr="00D62F30">
        <w:rPr>
          <w:rFonts w:ascii="Calibri" w:hAnsi="Calibri"/>
          <w:b/>
        </w:rPr>
        <w:t>9. PODSTAWA PŁATNOŚCI</w:t>
      </w:r>
      <w:bookmarkEnd w:id="121"/>
      <w:bookmarkEnd w:id="122"/>
      <w:bookmarkEnd w:id="123"/>
      <w:bookmarkEnd w:id="124"/>
      <w:bookmarkEnd w:id="125"/>
      <w:bookmarkEnd w:id="126"/>
      <w:bookmarkEnd w:id="127"/>
    </w:p>
    <w:p w:rsidR="00E151AC" w:rsidRPr="0073376F" w:rsidRDefault="00E151AC" w:rsidP="00E151AC">
      <w:pPr>
        <w:rPr>
          <w:rFonts w:ascii="Calibri" w:hAnsi="Calibri"/>
        </w:rPr>
      </w:pPr>
      <w:r w:rsidRPr="00D62F30">
        <w:rPr>
          <w:rFonts w:ascii="Calibri" w:hAnsi="Calibri"/>
          <w:b/>
        </w:rPr>
        <w:t>9.1.</w:t>
      </w:r>
      <w:r w:rsidRPr="0073376F">
        <w:rPr>
          <w:rFonts w:ascii="Calibri" w:hAnsi="Calibri"/>
        </w:rPr>
        <w:t xml:space="preserve"> Ogólne ustalenia dotyczące podstawy płatności</w:t>
      </w:r>
    </w:p>
    <w:p w:rsidR="00E151AC" w:rsidRPr="0073376F" w:rsidRDefault="00E151AC" w:rsidP="00E151AC">
      <w:pPr>
        <w:rPr>
          <w:rFonts w:ascii="Calibri" w:hAnsi="Calibri"/>
        </w:rPr>
      </w:pPr>
      <w:r w:rsidRPr="0073376F">
        <w:rPr>
          <w:rFonts w:ascii="Calibri" w:hAnsi="Calibri"/>
        </w:rPr>
        <w:tab/>
        <w:t>Ogólne ustalenia dotyczące podstawy płatności zaleca się stosować wg ST D-M-00.00.00  „Wymagania ogólne” [1], pkt 9.</w:t>
      </w:r>
    </w:p>
    <w:p w:rsidR="00E151AC" w:rsidRPr="0073376F" w:rsidRDefault="00E151AC" w:rsidP="00E151AC">
      <w:pPr>
        <w:rPr>
          <w:rFonts w:ascii="Calibri" w:hAnsi="Calibri"/>
        </w:rPr>
      </w:pPr>
      <w:r w:rsidRPr="00D62F30">
        <w:rPr>
          <w:rFonts w:ascii="Calibri" w:hAnsi="Calibri"/>
          <w:b/>
        </w:rPr>
        <w:t>9.2.</w:t>
      </w:r>
      <w:r w:rsidRPr="0073376F">
        <w:rPr>
          <w:rFonts w:ascii="Calibri" w:hAnsi="Calibri"/>
        </w:rPr>
        <w:t xml:space="preserve"> Cena jednostki obmiarowej</w:t>
      </w:r>
    </w:p>
    <w:p w:rsidR="00E151AC" w:rsidRPr="0073376F" w:rsidRDefault="00E151AC" w:rsidP="00E151AC">
      <w:pPr>
        <w:rPr>
          <w:rFonts w:ascii="Calibri" w:hAnsi="Calibri"/>
        </w:rPr>
      </w:pPr>
      <w:r w:rsidRPr="0073376F">
        <w:rPr>
          <w:rFonts w:ascii="Calibri" w:hAnsi="Calibri"/>
        </w:rPr>
        <w:tab/>
        <w:t>Cena wykonania jednostki obmiarowej (ryczałtu) obejmuje:</w:t>
      </w:r>
    </w:p>
    <w:p w:rsidR="00E151AC" w:rsidRPr="0073376F" w:rsidRDefault="00E151AC" w:rsidP="00E151AC">
      <w:pPr>
        <w:rPr>
          <w:rFonts w:ascii="Calibri" w:hAnsi="Calibri"/>
        </w:rPr>
      </w:pPr>
      <w:r>
        <w:rPr>
          <w:rFonts w:ascii="Calibri" w:hAnsi="Calibri"/>
        </w:rPr>
        <w:t>-</w:t>
      </w:r>
      <w:r w:rsidRPr="0073376F">
        <w:rPr>
          <w:rFonts w:ascii="Calibri" w:hAnsi="Calibri"/>
        </w:rPr>
        <w:t>urządzenie zaplecza Wykonawcy,</w:t>
      </w:r>
    </w:p>
    <w:p w:rsidR="00E151AC" w:rsidRPr="0073376F" w:rsidRDefault="00E151AC" w:rsidP="00E151AC">
      <w:pPr>
        <w:rPr>
          <w:rFonts w:ascii="Calibri" w:hAnsi="Calibri"/>
        </w:rPr>
      </w:pPr>
      <w:r>
        <w:rPr>
          <w:rFonts w:ascii="Calibri" w:hAnsi="Calibri"/>
        </w:rPr>
        <w:t>-</w:t>
      </w:r>
      <w:r w:rsidRPr="0073376F">
        <w:rPr>
          <w:rFonts w:ascii="Calibri" w:hAnsi="Calibri"/>
        </w:rPr>
        <w:t>utrzymanie zaplecza Wykonawcy,</w:t>
      </w:r>
    </w:p>
    <w:p w:rsidR="00E151AC" w:rsidRPr="0073376F" w:rsidRDefault="00E151AC" w:rsidP="00E151AC">
      <w:pPr>
        <w:rPr>
          <w:rFonts w:ascii="Calibri" w:hAnsi="Calibri"/>
        </w:rPr>
      </w:pPr>
      <w:r>
        <w:rPr>
          <w:rFonts w:ascii="Calibri" w:hAnsi="Calibri"/>
        </w:rPr>
        <w:t>-</w:t>
      </w:r>
      <w:r w:rsidRPr="0073376F">
        <w:rPr>
          <w:rFonts w:ascii="Calibri" w:hAnsi="Calibri"/>
        </w:rPr>
        <w:t>likwidację zaplecza Wykonawcy.</w:t>
      </w:r>
    </w:p>
    <w:p w:rsidR="00E151AC" w:rsidRDefault="00E151AC" w:rsidP="00E151AC">
      <w:pPr>
        <w:rPr>
          <w:rFonts w:ascii="Calibri" w:hAnsi="Calibri"/>
        </w:rPr>
      </w:pPr>
      <w:r w:rsidRPr="0073376F">
        <w:rPr>
          <w:rFonts w:ascii="Calibri" w:hAnsi="Calibri"/>
        </w:rPr>
        <w:t>Wszystkie roboty powinny być wykonane według wymagań dokumentów umowy</w:t>
      </w:r>
      <w:r>
        <w:rPr>
          <w:rFonts w:ascii="Calibri" w:hAnsi="Calibri"/>
        </w:rPr>
        <w:t xml:space="preserve">, dokumentacji projektowej, </w:t>
      </w:r>
      <w:r w:rsidRPr="0073376F">
        <w:rPr>
          <w:rFonts w:ascii="Calibri" w:hAnsi="Calibri"/>
        </w:rPr>
        <w:t>specyfikacji technicznej i postanowień Inżyniera.</w:t>
      </w:r>
    </w:p>
    <w:p w:rsidR="00E151AC" w:rsidRPr="0073376F" w:rsidRDefault="00E151AC" w:rsidP="00E151AC">
      <w:pPr>
        <w:rPr>
          <w:rFonts w:ascii="Calibri" w:hAnsi="Calibri"/>
        </w:rPr>
      </w:pPr>
    </w:p>
    <w:p w:rsidR="00E151AC" w:rsidRPr="00D62F30" w:rsidRDefault="00E151AC" w:rsidP="00E151AC">
      <w:pPr>
        <w:rPr>
          <w:rFonts w:ascii="Calibri" w:hAnsi="Calibri"/>
          <w:b/>
        </w:rPr>
      </w:pPr>
      <w:bookmarkStart w:id="128" w:name="_Toc24955917"/>
      <w:bookmarkStart w:id="129" w:name="_Toc25041751"/>
      <w:bookmarkStart w:id="130" w:name="_Toc79371980"/>
      <w:bookmarkStart w:id="131" w:name="_Toc84648750"/>
      <w:bookmarkStart w:id="132" w:name="_Toc84822934"/>
      <w:bookmarkStart w:id="133" w:name="_Toc85259367"/>
      <w:bookmarkStart w:id="134" w:name="_Toc90274382"/>
      <w:bookmarkStart w:id="135" w:name="_Toc92608251"/>
      <w:bookmarkStart w:id="136" w:name="_Toc113935596"/>
      <w:bookmarkStart w:id="137" w:name="_Toc115670890"/>
      <w:bookmarkStart w:id="138" w:name="_Toc120590630"/>
      <w:bookmarkStart w:id="139" w:name="_Toc141072312"/>
      <w:bookmarkStart w:id="140" w:name="_Toc266695148"/>
      <w:bookmarkStart w:id="141" w:name="_Toc310334987"/>
      <w:bookmarkStart w:id="142" w:name="_Toc320090147"/>
      <w:r w:rsidRPr="00D62F30">
        <w:rPr>
          <w:rFonts w:ascii="Calibri" w:hAnsi="Calibri"/>
          <w:b/>
        </w:rPr>
        <w:t xml:space="preserve">10. </w:t>
      </w:r>
      <w:bookmarkEnd w:id="128"/>
      <w:bookmarkEnd w:id="129"/>
      <w:bookmarkEnd w:id="130"/>
      <w:bookmarkEnd w:id="131"/>
      <w:bookmarkEnd w:id="132"/>
      <w:bookmarkEnd w:id="133"/>
      <w:bookmarkEnd w:id="134"/>
      <w:bookmarkEnd w:id="135"/>
      <w:bookmarkEnd w:id="136"/>
      <w:bookmarkEnd w:id="137"/>
      <w:bookmarkEnd w:id="138"/>
      <w:bookmarkEnd w:id="139"/>
      <w:bookmarkEnd w:id="140"/>
      <w:bookmarkEnd w:id="141"/>
      <w:bookmarkEnd w:id="142"/>
      <w:r w:rsidRPr="00D62F30">
        <w:rPr>
          <w:rFonts w:ascii="Calibri" w:hAnsi="Calibri"/>
          <w:b/>
        </w:rPr>
        <w:t>PRZEPISY ZWIĄZANE</w:t>
      </w:r>
    </w:p>
    <w:p w:rsidR="00E151AC" w:rsidRPr="0073376F" w:rsidRDefault="00E151AC" w:rsidP="00E151AC">
      <w:pPr>
        <w:rPr>
          <w:rFonts w:ascii="Calibri" w:hAnsi="Calibri"/>
        </w:rPr>
      </w:pPr>
      <w:r w:rsidRPr="00D62F30">
        <w:rPr>
          <w:rFonts w:ascii="Calibri" w:hAnsi="Calibri"/>
          <w:b/>
        </w:rPr>
        <w:t>10.1.</w:t>
      </w:r>
      <w:r>
        <w:rPr>
          <w:rFonts w:ascii="Calibri" w:hAnsi="Calibri"/>
        </w:rPr>
        <w:t xml:space="preserve"> S</w:t>
      </w:r>
      <w:r w:rsidRPr="0073376F">
        <w:rPr>
          <w:rFonts w:ascii="Calibri" w:hAnsi="Calibri"/>
        </w:rPr>
        <w:t>pecyfikacje technic</w:t>
      </w:r>
      <w:r>
        <w:rPr>
          <w:rFonts w:ascii="Calibri" w:hAnsi="Calibri"/>
        </w:rPr>
        <w:t>zne (</w:t>
      </w:r>
      <w:r w:rsidRPr="0073376F">
        <w:rPr>
          <w:rFonts w:ascii="Calibri" w:hAnsi="Calibri"/>
        </w:rPr>
        <w:t>ST)</w:t>
      </w:r>
    </w:p>
    <w:p w:rsidR="00E151AC" w:rsidRPr="0073376F" w:rsidRDefault="00E151AC" w:rsidP="00E151AC">
      <w:pPr>
        <w:rPr>
          <w:rFonts w:ascii="Calibri" w:hAnsi="Calibri"/>
        </w:rPr>
      </w:pPr>
      <w:r>
        <w:rPr>
          <w:rFonts w:ascii="Calibri" w:hAnsi="Calibri"/>
        </w:rPr>
        <w:t xml:space="preserve">1. </w:t>
      </w:r>
      <w:r w:rsidRPr="0073376F">
        <w:rPr>
          <w:rFonts w:ascii="Calibri" w:hAnsi="Calibri"/>
        </w:rPr>
        <w:t>D-M-00.00.00  Wymagania ogólne</w:t>
      </w:r>
    </w:p>
    <w:p w:rsidR="00E151AC" w:rsidRPr="0073376F" w:rsidRDefault="00E151AC" w:rsidP="00E151AC">
      <w:pPr>
        <w:rPr>
          <w:rFonts w:ascii="Calibri" w:hAnsi="Calibri"/>
        </w:rPr>
      </w:pPr>
      <w:r w:rsidRPr="00D62F30">
        <w:rPr>
          <w:rFonts w:ascii="Calibri" w:hAnsi="Calibri"/>
          <w:b/>
        </w:rPr>
        <w:t>10.2.</w:t>
      </w:r>
      <w:r w:rsidRPr="0073376F">
        <w:rPr>
          <w:rFonts w:ascii="Calibri" w:hAnsi="Calibri"/>
        </w:rPr>
        <w:t xml:space="preserve"> Inne dokumenty</w:t>
      </w:r>
    </w:p>
    <w:p w:rsidR="00E151AC" w:rsidRPr="0073376F" w:rsidRDefault="00E151AC" w:rsidP="00E151AC">
      <w:pPr>
        <w:rPr>
          <w:rFonts w:ascii="Calibri" w:hAnsi="Calibri"/>
        </w:rPr>
      </w:pPr>
      <w:r>
        <w:rPr>
          <w:rFonts w:ascii="Calibri" w:hAnsi="Calibri"/>
        </w:rPr>
        <w:t xml:space="preserve">2. </w:t>
      </w:r>
      <w:r w:rsidRPr="0073376F">
        <w:rPr>
          <w:rFonts w:ascii="Calibri" w:hAnsi="Calibri"/>
        </w:rPr>
        <w:t>Ustawa z dnia 7 lipca 1994 r. – Prawo budowlane (Dz.U. nr 89, poz. 414 z późniejszymi zmianami)</w:t>
      </w:r>
    </w:p>
    <w:p w:rsidR="00E151AC" w:rsidRPr="0073376F" w:rsidRDefault="00E151AC" w:rsidP="00E151AC">
      <w:pPr>
        <w:rPr>
          <w:rFonts w:ascii="Calibri" w:hAnsi="Calibri"/>
        </w:rPr>
      </w:pPr>
      <w:r>
        <w:rPr>
          <w:rFonts w:ascii="Calibri" w:hAnsi="Calibri"/>
        </w:rPr>
        <w:t xml:space="preserve">3. </w:t>
      </w:r>
      <w:r w:rsidRPr="0073376F">
        <w:rPr>
          <w:rFonts w:ascii="Calibri" w:hAnsi="Calibri"/>
        </w:rPr>
        <w:t>Rozporządzenie MGPiB z 14.12.1994 r. w sprawie warunków technicznych jakim powinny odpowiadać budynki i ich usytuowanie (Dz.U. nr 10 z 1995 r.)</w:t>
      </w:r>
    </w:p>
    <w:p w:rsidR="00E151AC" w:rsidRPr="0073376F" w:rsidRDefault="00E151AC" w:rsidP="00E151AC">
      <w:pPr>
        <w:rPr>
          <w:rFonts w:ascii="Calibri" w:hAnsi="Calibri"/>
        </w:rPr>
      </w:pPr>
      <w:r>
        <w:rPr>
          <w:rFonts w:ascii="Calibri" w:hAnsi="Calibri"/>
        </w:rPr>
        <w:t xml:space="preserve">4. </w:t>
      </w:r>
      <w:r w:rsidRPr="0073376F">
        <w:rPr>
          <w:rFonts w:ascii="Calibri" w:hAnsi="Calibri"/>
        </w:rPr>
        <w:t>Ustawa z dnia 21 marca 1985 r. o drogach publicznych (Dz. U. nr 14, poz. 60 z późniejszymi zmianami)</w:t>
      </w:r>
    </w:p>
    <w:p w:rsidR="00E151AC" w:rsidRPr="0073376F" w:rsidRDefault="00E151AC" w:rsidP="00E151AC">
      <w:pPr>
        <w:rPr>
          <w:rFonts w:ascii="Calibri" w:hAnsi="Calibri"/>
        </w:rPr>
      </w:pPr>
      <w:r>
        <w:rPr>
          <w:rFonts w:ascii="Calibri" w:hAnsi="Calibri"/>
        </w:rPr>
        <w:t xml:space="preserve">5. </w:t>
      </w:r>
      <w:r w:rsidRPr="0073376F">
        <w:rPr>
          <w:rFonts w:ascii="Calibri" w:hAnsi="Calibri"/>
        </w:rPr>
        <w:t>Ustawa o odpadach (Dz. U. nr 62 z dnia 20.06.2001 r. ze zmianami)</w:t>
      </w:r>
    </w:p>
    <w:p w:rsidR="00E151AC" w:rsidRPr="0073376F" w:rsidRDefault="00E151AC" w:rsidP="00E151AC">
      <w:pPr>
        <w:rPr>
          <w:rFonts w:ascii="Calibri" w:hAnsi="Calibri"/>
        </w:rPr>
      </w:pPr>
      <w:r>
        <w:rPr>
          <w:rFonts w:ascii="Calibri" w:hAnsi="Calibri"/>
        </w:rPr>
        <w:t xml:space="preserve">6. </w:t>
      </w:r>
      <w:r w:rsidRPr="0073376F">
        <w:rPr>
          <w:rFonts w:ascii="Calibri" w:hAnsi="Calibri"/>
        </w:rPr>
        <w:t>Warunki kontraktu</w:t>
      </w:r>
    </w:p>
    <w:p w:rsidR="00F27F09" w:rsidRDefault="00F27F09" w:rsidP="00E151AC"/>
    <w:p w:rsidR="00E151AC" w:rsidRDefault="00E151AC" w:rsidP="00E151AC"/>
    <w:p w:rsidR="00E151AC" w:rsidRDefault="00E151AC" w:rsidP="00E151AC"/>
    <w:p w:rsidR="00E151AC" w:rsidRDefault="00E151AC" w:rsidP="00E151AC"/>
    <w:p w:rsidR="00E151AC" w:rsidRDefault="00E151AC" w:rsidP="00E151AC"/>
    <w:p w:rsidR="00E151AC" w:rsidRDefault="00E151AC" w:rsidP="00E151AC"/>
    <w:p w:rsidR="00E151AC" w:rsidRDefault="00E151AC" w:rsidP="00E151AC"/>
    <w:p w:rsidR="00E151AC" w:rsidRDefault="00E151AC" w:rsidP="00E151AC"/>
    <w:p w:rsidR="00E151AC" w:rsidRDefault="00E151AC" w:rsidP="00E151AC"/>
    <w:p w:rsidR="00E151AC" w:rsidRDefault="00E151AC" w:rsidP="00E151AC"/>
    <w:p w:rsidR="00AB299E" w:rsidRDefault="00AB299E" w:rsidP="00FD47C7">
      <w:pPr>
        <w:pStyle w:val="Nagwek4"/>
      </w:pPr>
    </w:p>
    <w:p w:rsidR="00AB299E" w:rsidRDefault="00AB299E" w:rsidP="00FD47C7">
      <w:pPr>
        <w:pStyle w:val="Nagwek4"/>
      </w:pPr>
    </w:p>
    <w:p w:rsidR="000C27BF" w:rsidRDefault="000C27BF" w:rsidP="000C27BF"/>
    <w:p w:rsidR="000C27BF" w:rsidRDefault="000C27BF" w:rsidP="000C27BF"/>
    <w:p w:rsidR="000C27BF" w:rsidRDefault="000C27BF" w:rsidP="000C27BF"/>
    <w:p w:rsidR="000C27BF" w:rsidRPr="000C27BF" w:rsidRDefault="000C27BF" w:rsidP="000C27BF"/>
    <w:p w:rsidR="00AB299E" w:rsidRDefault="00AB299E" w:rsidP="00FD47C7">
      <w:pPr>
        <w:pStyle w:val="Nagwek4"/>
      </w:pPr>
    </w:p>
    <w:p w:rsidR="00AB299E" w:rsidRDefault="00AB299E" w:rsidP="00FD47C7">
      <w:pPr>
        <w:pStyle w:val="Nagwek4"/>
      </w:pPr>
    </w:p>
    <w:p w:rsidR="00AB299E" w:rsidRDefault="00AB299E" w:rsidP="00FD47C7">
      <w:pPr>
        <w:pStyle w:val="Nagwek4"/>
      </w:pPr>
    </w:p>
    <w:p w:rsidR="004767DA" w:rsidRPr="00C3632E" w:rsidRDefault="00417278" w:rsidP="0043130B">
      <w:pPr>
        <w:pStyle w:val="Nagwek1"/>
        <w:jc w:val="center"/>
      </w:pPr>
      <w:bookmarkStart w:id="143" w:name="_Toc438237710"/>
      <w:r>
        <w:t>D-</w:t>
      </w:r>
      <w:r w:rsidR="004767DA" w:rsidRPr="00E1517D">
        <w:t>01.00.00</w:t>
      </w:r>
      <w:r>
        <w:t xml:space="preserve"> </w:t>
      </w:r>
      <w:r w:rsidR="00FD47C7">
        <w:t xml:space="preserve"> </w:t>
      </w:r>
      <w:r w:rsidR="004767DA" w:rsidRPr="00E1517D">
        <w:t>ROBOTY PRZYGOTOWAWCZE</w:t>
      </w:r>
      <w:bookmarkEnd w:id="143"/>
    </w:p>
    <w:p w:rsidR="004767DA" w:rsidRPr="00C3632E" w:rsidRDefault="004767DA" w:rsidP="004767DA">
      <w:pPr>
        <w:rPr>
          <w:rFonts w:ascii="Calibri" w:hAnsi="Calibri" w:cs="Calibri"/>
        </w:rPr>
      </w:pPr>
    </w:p>
    <w:p w:rsidR="004767DA" w:rsidRPr="00C3632E" w:rsidRDefault="004767DA" w:rsidP="004767DA">
      <w:pPr>
        <w:rPr>
          <w:rFonts w:ascii="Calibri" w:hAnsi="Calibri" w:cs="Calibri"/>
        </w:rPr>
      </w:pPr>
    </w:p>
    <w:p w:rsidR="004767DA" w:rsidRPr="00C3632E" w:rsidRDefault="004767DA" w:rsidP="004767DA">
      <w:pPr>
        <w:rPr>
          <w:rFonts w:ascii="Calibri" w:hAnsi="Calibri" w:cs="Calibri"/>
        </w:rPr>
      </w:pPr>
    </w:p>
    <w:p w:rsidR="004767DA" w:rsidRPr="00C3632E" w:rsidRDefault="004767DA" w:rsidP="004767DA">
      <w:pPr>
        <w:rPr>
          <w:rFonts w:ascii="Calibri" w:hAnsi="Calibri" w:cs="Calibri"/>
        </w:rPr>
      </w:pPr>
    </w:p>
    <w:p w:rsidR="004767DA" w:rsidRDefault="004767DA" w:rsidP="004767DA">
      <w:pPr>
        <w:rPr>
          <w:rFonts w:ascii="Calibri" w:hAnsi="Calibri" w:cs="Calibri"/>
        </w:rPr>
      </w:pPr>
    </w:p>
    <w:p w:rsidR="00AB299E" w:rsidRDefault="00AB299E" w:rsidP="004767DA">
      <w:pPr>
        <w:rPr>
          <w:rFonts w:ascii="Calibri" w:hAnsi="Calibri" w:cs="Calibri"/>
        </w:rPr>
      </w:pPr>
    </w:p>
    <w:p w:rsidR="00AB299E" w:rsidRDefault="00AB299E" w:rsidP="004767DA">
      <w:pPr>
        <w:rPr>
          <w:rFonts w:ascii="Calibri" w:hAnsi="Calibri" w:cs="Calibri"/>
        </w:rPr>
      </w:pPr>
    </w:p>
    <w:p w:rsidR="00AB299E" w:rsidRDefault="00AB299E" w:rsidP="004767DA">
      <w:pPr>
        <w:rPr>
          <w:rFonts w:ascii="Calibri" w:hAnsi="Calibri" w:cs="Calibri"/>
        </w:rPr>
      </w:pPr>
    </w:p>
    <w:p w:rsidR="00AB299E" w:rsidRDefault="00AB299E" w:rsidP="004767DA">
      <w:pPr>
        <w:rPr>
          <w:rFonts w:ascii="Calibri" w:hAnsi="Calibri" w:cs="Calibri"/>
        </w:rPr>
      </w:pPr>
    </w:p>
    <w:p w:rsidR="00AB299E" w:rsidRDefault="00AB299E" w:rsidP="004767DA">
      <w:pPr>
        <w:rPr>
          <w:rFonts w:ascii="Calibri" w:hAnsi="Calibri" w:cs="Calibri"/>
        </w:rPr>
      </w:pPr>
    </w:p>
    <w:p w:rsidR="00AB299E" w:rsidRDefault="00AB299E" w:rsidP="004767DA">
      <w:pPr>
        <w:rPr>
          <w:rFonts w:ascii="Calibri" w:hAnsi="Calibri" w:cs="Calibri"/>
        </w:rPr>
      </w:pPr>
    </w:p>
    <w:p w:rsidR="00AB299E" w:rsidRDefault="00AB299E" w:rsidP="004767DA">
      <w:pPr>
        <w:rPr>
          <w:rFonts w:ascii="Calibri" w:hAnsi="Calibri" w:cs="Calibri"/>
        </w:rPr>
      </w:pPr>
    </w:p>
    <w:p w:rsidR="00AB299E" w:rsidRDefault="00AB299E" w:rsidP="004767DA">
      <w:pPr>
        <w:rPr>
          <w:rFonts w:ascii="Calibri" w:hAnsi="Calibri" w:cs="Calibri"/>
        </w:rPr>
      </w:pPr>
    </w:p>
    <w:p w:rsidR="00AB299E" w:rsidRDefault="00AB299E" w:rsidP="004767DA">
      <w:pPr>
        <w:rPr>
          <w:rFonts w:ascii="Calibri" w:hAnsi="Calibri" w:cs="Calibri"/>
        </w:rPr>
      </w:pPr>
    </w:p>
    <w:p w:rsidR="00AB299E" w:rsidRDefault="00AB299E" w:rsidP="004767DA">
      <w:pPr>
        <w:rPr>
          <w:rFonts w:ascii="Calibri" w:hAnsi="Calibri" w:cs="Calibri"/>
        </w:rPr>
      </w:pPr>
    </w:p>
    <w:p w:rsidR="00AB299E" w:rsidRDefault="00AB299E" w:rsidP="004767DA">
      <w:pPr>
        <w:rPr>
          <w:rFonts w:ascii="Calibri" w:hAnsi="Calibri" w:cs="Calibri"/>
        </w:rPr>
      </w:pPr>
    </w:p>
    <w:p w:rsidR="00AB299E" w:rsidRDefault="00AB299E" w:rsidP="004767DA">
      <w:pPr>
        <w:rPr>
          <w:rFonts w:ascii="Calibri" w:hAnsi="Calibri" w:cs="Calibri"/>
        </w:rPr>
      </w:pPr>
    </w:p>
    <w:p w:rsidR="00AB299E" w:rsidRDefault="00AB299E" w:rsidP="004767DA">
      <w:pPr>
        <w:rPr>
          <w:rFonts w:ascii="Calibri" w:hAnsi="Calibri" w:cs="Calibri"/>
        </w:rPr>
      </w:pPr>
    </w:p>
    <w:p w:rsidR="00AB299E" w:rsidRDefault="00AB299E" w:rsidP="004767DA">
      <w:pPr>
        <w:rPr>
          <w:rFonts w:ascii="Calibri" w:hAnsi="Calibri" w:cs="Calibri"/>
        </w:rPr>
      </w:pPr>
    </w:p>
    <w:p w:rsidR="00AB299E" w:rsidRDefault="00AB299E" w:rsidP="004767DA">
      <w:pPr>
        <w:rPr>
          <w:rFonts w:ascii="Calibri" w:hAnsi="Calibri" w:cs="Calibri"/>
        </w:rPr>
      </w:pPr>
    </w:p>
    <w:p w:rsidR="00AB299E" w:rsidRDefault="00AB299E" w:rsidP="004767DA">
      <w:pPr>
        <w:rPr>
          <w:rFonts w:ascii="Calibri" w:hAnsi="Calibri" w:cs="Calibri"/>
        </w:rPr>
      </w:pPr>
    </w:p>
    <w:p w:rsidR="00AB299E" w:rsidRDefault="00AB299E" w:rsidP="004767DA">
      <w:pPr>
        <w:rPr>
          <w:rFonts w:ascii="Calibri" w:hAnsi="Calibri" w:cs="Calibri"/>
        </w:rPr>
      </w:pPr>
    </w:p>
    <w:p w:rsidR="00AB299E" w:rsidRDefault="00AB299E" w:rsidP="004767DA">
      <w:pPr>
        <w:rPr>
          <w:rFonts w:ascii="Calibri" w:hAnsi="Calibri" w:cs="Calibri"/>
        </w:rPr>
      </w:pPr>
    </w:p>
    <w:p w:rsidR="00AB299E" w:rsidRDefault="00AB299E" w:rsidP="004767DA">
      <w:pPr>
        <w:rPr>
          <w:rFonts w:ascii="Calibri" w:hAnsi="Calibri" w:cs="Calibri"/>
        </w:rPr>
      </w:pPr>
    </w:p>
    <w:p w:rsidR="00AB299E" w:rsidRDefault="00AB299E" w:rsidP="004767DA">
      <w:pPr>
        <w:rPr>
          <w:rFonts w:ascii="Calibri" w:hAnsi="Calibri" w:cs="Calibri"/>
        </w:rPr>
      </w:pPr>
    </w:p>
    <w:p w:rsidR="00AB299E" w:rsidRDefault="00AB299E" w:rsidP="004767DA">
      <w:pPr>
        <w:rPr>
          <w:rFonts w:ascii="Calibri" w:hAnsi="Calibri" w:cs="Calibri"/>
        </w:rPr>
      </w:pPr>
    </w:p>
    <w:p w:rsidR="00AB299E" w:rsidRDefault="00AB299E" w:rsidP="004767DA">
      <w:pPr>
        <w:rPr>
          <w:rFonts w:ascii="Calibri" w:hAnsi="Calibri" w:cs="Calibri"/>
        </w:rPr>
      </w:pPr>
    </w:p>
    <w:p w:rsidR="00AB299E" w:rsidRDefault="00AB299E" w:rsidP="004767DA">
      <w:pPr>
        <w:rPr>
          <w:rFonts w:ascii="Calibri" w:hAnsi="Calibri" w:cs="Calibri"/>
        </w:rPr>
      </w:pPr>
    </w:p>
    <w:p w:rsidR="00AB299E" w:rsidRDefault="00AB299E" w:rsidP="004767DA">
      <w:pPr>
        <w:rPr>
          <w:rFonts w:ascii="Calibri" w:hAnsi="Calibri" w:cs="Calibri"/>
        </w:rPr>
      </w:pPr>
    </w:p>
    <w:p w:rsidR="00AB299E" w:rsidRDefault="00AB299E" w:rsidP="004767DA">
      <w:pPr>
        <w:rPr>
          <w:rFonts w:ascii="Calibri" w:hAnsi="Calibri" w:cs="Calibri"/>
        </w:rPr>
      </w:pPr>
    </w:p>
    <w:p w:rsidR="00AB299E" w:rsidRDefault="00AB299E" w:rsidP="004767DA">
      <w:pPr>
        <w:rPr>
          <w:rFonts w:ascii="Calibri" w:hAnsi="Calibri" w:cs="Calibri"/>
        </w:rPr>
      </w:pPr>
    </w:p>
    <w:p w:rsidR="00AB299E" w:rsidRDefault="00AB299E" w:rsidP="004767DA">
      <w:pPr>
        <w:rPr>
          <w:rFonts w:ascii="Calibri" w:hAnsi="Calibri" w:cs="Calibri"/>
        </w:rPr>
      </w:pPr>
    </w:p>
    <w:p w:rsidR="00AB299E" w:rsidRDefault="00AB299E" w:rsidP="004767DA">
      <w:pPr>
        <w:rPr>
          <w:rFonts w:ascii="Calibri" w:hAnsi="Calibri" w:cs="Calibri"/>
        </w:rPr>
      </w:pPr>
    </w:p>
    <w:p w:rsidR="00AB299E" w:rsidRDefault="00AB299E" w:rsidP="004767DA">
      <w:pPr>
        <w:rPr>
          <w:rFonts w:ascii="Calibri" w:hAnsi="Calibri" w:cs="Calibri"/>
        </w:rPr>
      </w:pPr>
    </w:p>
    <w:p w:rsidR="00AB299E" w:rsidRDefault="00AB299E" w:rsidP="004767DA">
      <w:pPr>
        <w:rPr>
          <w:rFonts w:ascii="Calibri" w:hAnsi="Calibri" w:cs="Calibri"/>
        </w:rPr>
      </w:pPr>
    </w:p>
    <w:p w:rsidR="00AB299E" w:rsidRDefault="00AB299E" w:rsidP="004767DA">
      <w:pPr>
        <w:rPr>
          <w:rFonts w:ascii="Calibri" w:hAnsi="Calibri" w:cs="Calibri"/>
        </w:rPr>
      </w:pPr>
    </w:p>
    <w:p w:rsidR="00AB299E" w:rsidRDefault="00AB299E" w:rsidP="004767DA">
      <w:pPr>
        <w:rPr>
          <w:rFonts w:ascii="Calibri" w:hAnsi="Calibri" w:cs="Calibri"/>
        </w:rPr>
      </w:pPr>
    </w:p>
    <w:p w:rsidR="00AB299E" w:rsidRDefault="00AB299E" w:rsidP="004767DA">
      <w:pPr>
        <w:rPr>
          <w:rFonts w:ascii="Calibri" w:hAnsi="Calibri" w:cs="Calibri"/>
        </w:rPr>
      </w:pPr>
    </w:p>
    <w:p w:rsidR="00AB299E" w:rsidRDefault="00AB299E" w:rsidP="004767DA">
      <w:pPr>
        <w:rPr>
          <w:rFonts w:ascii="Calibri" w:hAnsi="Calibri" w:cs="Calibri"/>
        </w:rPr>
      </w:pPr>
    </w:p>
    <w:p w:rsidR="00AB299E" w:rsidRDefault="00AB299E" w:rsidP="004767DA">
      <w:pPr>
        <w:rPr>
          <w:rFonts w:ascii="Calibri" w:hAnsi="Calibri" w:cs="Calibri"/>
        </w:rPr>
      </w:pPr>
    </w:p>
    <w:p w:rsidR="00AB299E" w:rsidRDefault="00AB299E" w:rsidP="004767DA">
      <w:pPr>
        <w:rPr>
          <w:rFonts w:ascii="Calibri" w:hAnsi="Calibri" w:cs="Calibri"/>
        </w:rPr>
      </w:pPr>
    </w:p>
    <w:p w:rsidR="00AB299E" w:rsidRDefault="00AB299E" w:rsidP="004767DA">
      <w:pPr>
        <w:rPr>
          <w:rFonts w:ascii="Calibri" w:hAnsi="Calibri" w:cs="Calibri"/>
        </w:rPr>
      </w:pPr>
    </w:p>
    <w:p w:rsidR="00AB299E" w:rsidRDefault="00AB299E" w:rsidP="004767DA">
      <w:pPr>
        <w:rPr>
          <w:rFonts w:ascii="Calibri" w:hAnsi="Calibri" w:cs="Calibri"/>
        </w:rPr>
      </w:pPr>
    </w:p>
    <w:p w:rsidR="00AB299E" w:rsidRDefault="00AB299E" w:rsidP="004767DA">
      <w:pPr>
        <w:rPr>
          <w:rFonts w:ascii="Calibri" w:hAnsi="Calibri" w:cs="Calibri"/>
        </w:rPr>
      </w:pPr>
    </w:p>
    <w:p w:rsidR="00AB299E" w:rsidRDefault="00AB299E" w:rsidP="004767DA">
      <w:pPr>
        <w:rPr>
          <w:rFonts w:ascii="Calibri" w:hAnsi="Calibri" w:cs="Calibri"/>
        </w:rPr>
      </w:pPr>
    </w:p>
    <w:p w:rsidR="00AB299E" w:rsidRDefault="00AB299E" w:rsidP="004767DA">
      <w:pPr>
        <w:rPr>
          <w:rFonts w:ascii="Calibri" w:hAnsi="Calibri" w:cs="Calibri"/>
        </w:rPr>
      </w:pPr>
    </w:p>
    <w:p w:rsidR="00AB299E" w:rsidRDefault="00AB299E" w:rsidP="004767DA">
      <w:pPr>
        <w:rPr>
          <w:rFonts w:ascii="Calibri" w:hAnsi="Calibri" w:cs="Calibri"/>
        </w:rPr>
      </w:pPr>
    </w:p>
    <w:p w:rsidR="00AB299E" w:rsidRDefault="00AB299E" w:rsidP="004767DA">
      <w:pPr>
        <w:rPr>
          <w:rFonts w:ascii="Calibri" w:hAnsi="Calibri" w:cs="Calibri"/>
        </w:rPr>
      </w:pPr>
    </w:p>
    <w:p w:rsidR="00AB299E" w:rsidRDefault="00AB299E" w:rsidP="004767DA">
      <w:pPr>
        <w:rPr>
          <w:rFonts w:ascii="Calibri" w:hAnsi="Calibri" w:cs="Calibri"/>
        </w:rPr>
      </w:pPr>
    </w:p>
    <w:p w:rsidR="000C27BF" w:rsidRDefault="000C27BF" w:rsidP="004767DA">
      <w:pPr>
        <w:rPr>
          <w:rFonts w:ascii="Calibri" w:hAnsi="Calibri" w:cs="Calibri"/>
        </w:rPr>
      </w:pPr>
    </w:p>
    <w:p w:rsidR="000C27BF" w:rsidRDefault="000C27BF" w:rsidP="004767DA">
      <w:pPr>
        <w:rPr>
          <w:rFonts w:ascii="Calibri" w:hAnsi="Calibri" w:cs="Calibri"/>
        </w:rPr>
      </w:pPr>
    </w:p>
    <w:p w:rsidR="00AB299E" w:rsidRDefault="00AB299E" w:rsidP="004767DA">
      <w:pPr>
        <w:rPr>
          <w:rFonts w:ascii="Calibri" w:hAnsi="Calibri" w:cs="Calibri"/>
        </w:rPr>
      </w:pPr>
    </w:p>
    <w:p w:rsidR="00AB299E" w:rsidRDefault="00AB299E" w:rsidP="004767DA">
      <w:pPr>
        <w:rPr>
          <w:rFonts w:ascii="Calibri" w:hAnsi="Calibri" w:cs="Calibri"/>
        </w:rPr>
      </w:pPr>
    </w:p>
    <w:p w:rsidR="00AB299E" w:rsidRDefault="00AB299E" w:rsidP="004767DA">
      <w:pPr>
        <w:rPr>
          <w:rFonts w:ascii="Calibri" w:hAnsi="Calibri" w:cs="Calibri"/>
        </w:rPr>
      </w:pPr>
    </w:p>
    <w:p w:rsidR="00AB299E" w:rsidRPr="00C3632E" w:rsidRDefault="00AB299E" w:rsidP="004767DA">
      <w:pPr>
        <w:rPr>
          <w:rFonts w:ascii="Calibri" w:hAnsi="Calibri" w:cs="Calibri"/>
        </w:rPr>
      </w:pPr>
    </w:p>
    <w:p w:rsidR="004767DA" w:rsidRPr="00C3632E" w:rsidRDefault="004767DA" w:rsidP="004767DA">
      <w:pPr>
        <w:rPr>
          <w:rFonts w:ascii="Calibri" w:hAnsi="Calibri" w:cs="Calibri"/>
        </w:rPr>
      </w:pPr>
    </w:p>
    <w:p w:rsidR="004767DA" w:rsidRPr="00A42679" w:rsidRDefault="00417278" w:rsidP="0043130B">
      <w:pPr>
        <w:pStyle w:val="Nagwek1"/>
        <w:jc w:val="center"/>
      </w:pPr>
      <w:bookmarkStart w:id="144" w:name="_Toc438237711"/>
      <w:r>
        <w:t>D</w:t>
      </w:r>
      <w:r w:rsidR="00FD47C7">
        <w:t>–</w:t>
      </w:r>
      <w:r w:rsidR="004767DA" w:rsidRPr="00A42679">
        <w:t>01.01.01a</w:t>
      </w:r>
      <w:r>
        <w:t xml:space="preserve"> </w:t>
      </w:r>
      <w:r w:rsidR="00FD47C7">
        <w:t xml:space="preserve"> ODTWORZENIE TRASY I </w:t>
      </w:r>
      <w:r w:rsidR="004767DA" w:rsidRPr="00A42679">
        <w:t>PUNKTÓW</w:t>
      </w:r>
      <w:r w:rsidR="00FD47C7">
        <w:t xml:space="preserve"> WYSOKOŚCIOWYCH</w:t>
      </w:r>
      <w:r w:rsidR="004767DA" w:rsidRPr="00A42679">
        <w:t xml:space="preserve"> ORAZ SPORZĄDZENIE</w:t>
      </w:r>
      <w:r w:rsidR="00FD47C7">
        <w:t xml:space="preserve"> INWENTARYZACJI POWYKONAWCZEJ </w:t>
      </w:r>
      <w:r w:rsidR="004767DA" w:rsidRPr="00A42679">
        <w:t>DROGI</w:t>
      </w:r>
      <w:bookmarkEnd w:id="144"/>
    </w:p>
    <w:p w:rsidR="004767DA" w:rsidRPr="007621DF" w:rsidRDefault="004767DA" w:rsidP="004767DA">
      <w:pPr>
        <w:rPr>
          <w:rFonts w:ascii="Calibri" w:hAnsi="Calibri" w:cs="Calibri"/>
        </w:rPr>
      </w:pPr>
    </w:p>
    <w:p w:rsidR="004767DA" w:rsidRPr="007621DF" w:rsidRDefault="004767DA" w:rsidP="004767DA">
      <w:pPr>
        <w:rPr>
          <w:rFonts w:ascii="Calibri" w:hAnsi="Calibri" w:cs="Calibri"/>
        </w:rPr>
      </w:pPr>
    </w:p>
    <w:p w:rsidR="004767DA" w:rsidRPr="007621DF" w:rsidRDefault="004767DA" w:rsidP="004767DA">
      <w:pPr>
        <w:rPr>
          <w:rFonts w:ascii="Calibri" w:hAnsi="Calibri" w:cs="Calibri"/>
        </w:rPr>
      </w:pPr>
    </w:p>
    <w:p w:rsidR="004767DA" w:rsidRPr="007621DF" w:rsidRDefault="004767DA" w:rsidP="004767DA">
      <w:pPr>
        <w:rPr>
          <w:rFonts w:ascii="Calibri" w:hAnsi="Calibri" w:cs="Calibri"/>
        </w:rPr>
      </w:pPr>
    </w:p>
    <w:p w:rsidR="004767DA" w:rsidRPr="007621DF" w:rsidRDefault="004767DA" w:rsidP="004767DA">
      <w:pPr>
        <w:rPr>
          <w:rFonts w:ascii="Calibri" w:hAnsi="Calibri" w:cs="Calibri"/>
        </w:rPr>
      </w:pPr>
    </w:p>
    <w:p w:rsidR="00AB299E" w:rsidRDefault="00AB299E" w:rsidP="004767DA">
      <w:pPr>
        <w:rPr>
          <w:rFonts w:ascii="Calibri" w:hAnsi="Calibri" w:cs="Calibri"/>
          <w:b/>
        </w:rPr>
      </w:pPr>
      <w:bookmarkStart w:id="145" w:name="_Toc274137170"/>
    </w:p>
    <w:p w:rsidR="00AB299E" w:rsidRDefault="00AB299E" w:rsidP="004767DA">
      <w:pPr>
        <w:rPr>
          <w:rFonts w:ascii="Calibri" w:hAnsi="Calibri" w:cs="Calibri"/>
          <w:b/>
        </w:rPr>
      </w:pPr>
    </w:p>
    <w:p w:rsidR="00AB299E" w:rsidRDefault="00AB299E" w:rsidP="004767DA">
      <w:pPr>
        <w:rPr>
          <w:rFonts w:ascii="Calibri" w:hAnsi="Calibri" w:cs="Calibri"/>
          <w:b/>
        </w:rPr>
      </w:pPr>
    </w:p>
    <w:p w:rsidR="00AB299E" w:rsidRDefault="00AB299E" w:rsidP="004767DA">
      <w:pPr>
        <w:rPr>
          <w:rFonts w:ascii="Calibri" w:hAnsi="Calibri" w:cs="Calibri"/>
          <w:b/>
        </w:rPr>
      </w:pPr>
    </w:p>
    <w:p w:rsidR="00AB299E" w:rsidRDefault="00AB299E" w:rsidP="004767DA">
      <w:pPr>
        <w:rPr>
          <w:rFonts w:ascii="Calibri" w:hAnsi="Calibri" w:cs="Calibri"/>
          <w:b/>
        </w:rPr>
      </w:pPr>
    </w:p>
    <w:p w:rsidR="00AB299E" w:rsidRDefault="00AB299E" w:rsidP="004767DA">
      <w:pPr>
        <w:rPr>
          <w:rFonts w:ascii="Calibri" w:hAnsi="Calibri" w:cs="Calibri"/>
          <w:b/>
        </w:rPr>
      </w:pPr>
    </w:p>
    <w:p w:rsidR="00AB299E" w:rsidRDefault="00AB299E" w:rsidP="004767DA">
      <w:pPr>
        <w:rPr>
          <w:rFonts w:ascii="Calibri" w:hAnsi="Calibri" w:cs="Calibri"/>
          <w:b/>
        </w:rPr>
      </w:pPr>
    </w:p>
    <w:p w:rsidR="00AB299E" w:rsidRDefault="00AB299E" w:rsidP="004767DA">
      <w:pPr>
        <w:rPr>
          <w:rFonts w:ascii="Calibri" w:hAnsi="Calibri" w:cs="Calibri"/>
          <w:b/>
        </w:rPr>
      </w:pPr>
    </w:p>
    <w:p w:rsidR="00AB299E" w:rsidRDefault="00AB299E" w:rsidP="004767DA">
      <w:pPr>
        <w:rPr>
          <w:rFonts w:ascii="Calibri" w:hAnsi="Calibri" w:cs="Calibri"/>
          <w:b/>
        </w:rPr>
      </w:pPr>
    </w:p>
    <w:p w:rsidR="00AB299E" w:rsidRDefault="00AB299E" w:rsidP="004767DA">
      <w:pPr>
        <w:rPr>
          <w:rFonts w:ascii="Calibri" w:hAnsi="Calibri" w:cs="Calibri"/>
          <w:b/>
        </w:rPr>
      </w:pPr>
    </w:p>
    <w:p w:rsidR="00AB299E" w:rsidRDefault="00AB299E" w:rsidP="004767DA">
      <w:pPr>
        <w:rPr>
          <w:rFonts w:ascii="Calibri" w:hAnsi="Calibri" w:cs="Calibri"/>
          <w:b/>
        </w:rPr>
      </w:pPr>
    </w:p>
    <w:p w:rsidR="00AB299E" w:rsidRDefault="00AB299E" w:rsidP="004767DA">
      <w:pPr>
        <w:rPr>
          <w:rFonts w:ascii="Calibri" w:hAnsi="Calibri" w:cs="Calibri"/>
          <w:b/>
        </w:rPr>
      </w:pPr>
    </w:p>
    <w:p w:rsidR="00AB299E" w:rsidRDefault="00AB299E" w:rsidP="004767DA">
      <w:pPr>
        <w:rPr>
          <w:rFonts w:ascii="Calibri" w:hAnsi="Calibri" w:cs="Calibri"/>
          <w:b/>
        </w:rPr>
      </w:pPr>
    </w:p>
    <w:p w:rsidR="00AB299E" w:rsidRDefault="00AB299E" w:rsidP="004767DA">
      <w:pPr>
        <w:rPr>
          <w:rFonts w:ascii="Calibri" w:hAnsi="Calibri" w:cs="Calibri"/>
          <w:b/>
        </w:rPr>
      </w:pPr>
    </w:p>
    <w:p w:rsidR="00AB299E" w:rsidRDefault="00AB299E" w:rsidP="004767DA">
      <w:pPr>
        <w:rPr>
          <w:rFonts w:ascii="Calibri" w:hAnsi="Calibri" w:cs="Calibri"/>
          <w:b/>
        </w:rPr>
      </w:pPr>
    </w:p>
    <w:p w:rsidR="00AB299E" w:rsidRDefault="00AB299E" w:rsidP="004767DA">
      <w:pPr>
        <w:rPr>
          <w:rFonts w:ascii="Calibri" w:hAnsi="Calibri" w:cs="Calibri"/>
          <w:b/>
        </w:rPr>
      </w:pPr>
    </w:p>
    <w:p w:rsidR="00AB299E" w:rsidRDefault="00AB299E" w:rsidP="004767DA">
      <w:pPr>
        <w:rPr>
          <w:rFonts w:ascii="Calibri" w:hAnsi="Calibri" w:cs="Calibri"/>
          <w:b/>
        </w:rPr>
      </w:pPr>
    </w:p>
    <w:p w:rsidR="00AB299E" w:rsidRDefault="00AB299E" w:rsidP="004767DA">
      <w:pPr>
        <w:rPr>
          <w:rFonts w:ascii="Calibri" w:hAnsi="Calibri" w:cs="Calibri"/>
          <w:b/>
        </w:rPr>
      </w:pPr>
    </w:p>
    <w:p w:rsidR="00AB299E" w:rsidRDefault="00AB299E" w:rsidP="004767DA">
      <w:pPr>
        <w:rPr>
          <w:rFonts w:ascii="Calibri" w:hAnsi="Calibri" w:cs="Calibri"/>
          <w:b/>
        </w:rPr>
      </w:pPr>
    </w:p>
    <w:p w:rsidR="00AB299E" w:rsidRDefault="00AB299E" w:rsidP="004767DA">
      <w:pPr>
        <w:rPr>
          <w:rFonts w:ascii="Calibri" w:hAnsi="Calibri" w:cs="Calibri"/>
          <w:b/>
        </w:rPr>
      </w:pPr>
    </w:p>
    <w:p w:rsidR="00AB299E" w:rsidRDefault="00AB299E" w:rsidP="004767DA">
      <w:pPr>
        <w:rPr>
          <w:rFonts w:ascii="Calibri" w:hAnsi="Calibri" w:cs="Calibri"/>
          <w:b/>
        </w:rPr>
      </w:pPr>
    </w:p>
    <w:p w:rsidR="00AB299E" w:rsidRDefault="00AB299E" w:rsidP="004767DA">
      <w:pPr>
        <w:rPr>
          <w:rFonts w:ascii="Calibri" w:hAnsi="Calibri" w:cs="Calibri"/>
          <w:b/>
        </w:rPr>
      </w:pPr>
    </w:p>
    <w:p w:rsidR="00AB299E" w:rsidRDefault="00AB299E" w:rsidP="004767DA">
      <w:pPr>
        <w:rPr>
          <w:rFonts w:ascii="Calibri" w:hAnsi="Calibri" w:cs="Calibri"/>
          <w:b/>
        </w:rPr>
      </w:pPr>
    </w:p>
    <w:p w:rsidR="00AB299E" w:rsidRDefault="00AB299E" w:rsidP="004767DA">
      <w:pPr>
        <w:rPr>
          <w:rFonts w:ascii="Calibri" w:hAnsi="Calibri" w:cs="Calibri"/>
          <w:b/>
        </w:rPr>
      </w:pPr>
    </w:p>
    <w:p w:rsidR="00AB299E" w:rsidRDefault="00AB299E" w:rsidP="004767DA">
      <w:pPr>
        <w:rPr>
          <w:rFonts w:ascii="Calibri" w:hAnsi="Calibri" w:cs="Calibri"/>
          <w:b/>
        </w:rPr>
      </w:pPr>
    </w:p>
    <w:p w:rsidR="00450ACE" w:rsidRDefault="00450ACE" w:rsidP="004767DA">
      <w:pPr>
        <w:rPr>
          <w:rFonts w:ascii="Calibri" w:hAnsi="Calibri" w:cs="Calibri"/>
          <w:b/>
        </w:rPr>
      </w:pPr>
    </w:p>
    <w:p w:rsidR="00AB299E" w:rsidRDefault="00AB299E" w:rsidP="004767DA">
      <w:pPr>
        <w:rPr>
          <w:rFonts w:ascii="Calibri" w:hAnsi="Calibri" w:cs="Calibri"/>
          <w:b/>
        </w:rPr>
      </w:pPr>
    </w:p>
    <w:p w:rsidR="008A6952" w:rsidRDefault="008A6952" w:rsidP="004767DA">
      <w:pPr>
        <w:rPr>
          <w:rFonts w:ascii="Calibri" w:hAnsi="Calibri" w:cs="Calibri"/>
          <w:b/>
        </w:rPr>
      </w:pPr>
    </w:p>
    <w:p w:rsidR="008A6952" w:rsidRDefault="008A6952" w:rsidP="004767DA">
      <w:pPr>
        <w:rPr>
          <w:rFonts w:ascii="Calibri" w:hAnsi="Calibri" w:cs="Calibri"/>
          <w:b/>
        </w:rPr>
      </w:pPr>
    </w:p>
    <w:p w:rsidR="008A6952" w:rsidRDefault="008A6952" w:rsidP="004767DA">
      <w:pPr>
        <w:rPr>
          <w:rFonts w:ascii="Calibri" w:hAnsi="Calibri" w:cs="Calibri"/>
          <w:b/>
        </w:rPr>
      </w:pPr>
    </w:p>
    <w:p w:rsidR="008A6952" w:rsidRDefault="008A6952" w:rsidP="004767DA">
      <w:pPr>
        <w:rPr>
          <w:rFonts w:ascii="Calibri" w:hAnsi="Calibri" w:cs="Calibri"/>
          <w:b/>
        </w:rPr>
      </w:pPr>
    </w:p>
    <w:p w:rsidR="008A6952" w:rsidRDefault="008A6952" w:rsidP="004767DA">
      <w:pPr>
        <w:rPr>
          <w:rFonts w:ascii="Calibri" w:hAnsi="Calibri" w:cs="Calibri"/>
          <w:b/>
        </w:rPr>
      </w:pPr>
    </w:p>
    <w:p w:rsidR="008A6952" w:rsidRDefault="008A6952" w:rsidP="004767DA">
      <w:pPr>
        <w:rPr>
          <w:rFonts w:ascii="Calibri" w:hAnsi="Calibri" w:cs="Calibri"/>
          <w:b/>
        </w:rPr>
      </w:pPr>
    </w:p>
    <w:p w:rsidR="008A6952" w:rsidRDefault="008A6952" w:rsidP="004767DA">
      <w:pPr>
        <w:rPr>
          <w:rFonts w:ascii="Calibri" w:hAnsi="Calibri" w:cs="Calibri"/>
          <w:b/>
        </w:rPr>
      </w:pPr>
    </w:p>
    <w:p w:rsidR="00AB299E" w:rsidRDefault="00AB299E" w:rsidP="004767DA">
      <w:pPr>
        <w:rPr>
          <w:rFonts w:ascii="Calibri" w:hAnsi="Calibri" w:cs="Calibri"/>
          <w:b/>
        </w:rPr>
      </w:pPr>
    </w:p>
    <w:p w:rsidR="00AB299E" w:rsidRDefault="00AB299E" w:rsidP="004767DA">
      <w:pPr>
        <w:rPr>
          <w:rFonts w:ascii="Calibri" w:hAnsi="Calibri" w:cs="Calibri"/>
          <w:b/>
        </w:rPr>
      </w:pPr>
    </w:p>
    <w:p w:rsidR="0043130B" w:rsidRDefault="0043130B" w:rsidP="004767DA">
      <w:pPr>
        <w:rPr>
          <w:rFonts w:ascii="Calibri" w:hAnsi="Calibri" w:cs="Calibri"/>
          <w:b/>
        </w:rPr>
      </w:pPr>
    </w:p>
    <w:p w:rsidR="004767DA" w:rsidRPr="00A42679" w:rsidRDefault="004767DA" w:rsidP="004767DA">
      <w:pPr>
        <w:rPr>
          <w:rFonts w:ascii="Calibri" w:hAnsi="Calibri" w:cs="Calibri"/>
          <w:b/>
        </w:rPr>
      </w:pPr>
      <w:r w:rsidRPr="00A42679">
        <w:rPr>
          <w:rFonts w:ascii="Calibri" w:hAnsi="Calibri" w:cs="Calibri"/>
          <w:b/>
        </w:rPr>
        <w:lastRenderedPageBreak/>
        <w:t>1. WSTĘP</w:t>
      </w:r>
      <w:bookmarkEnd w:id="145"/>
    </w:p>
    <w:p w:rsidR="004767DA" w:rsidRPr="007621DF" w:rsidRDefault="004767DA" w:rsidP="004767DA">
      <w:pPr>
        <w:rPr>
          <w:rFonts w:ascii="Calibri" w:hAnsi="Calibri" w:cs="Calibri"/>
        </w:rPr>
      </w:pPr>
      <w:r w:rsidRPr="00A42679">
        <w:rPr>
          <w:rFonts w:ascii="Calibri" w:hAnsi="Calibri" w:cs="Calibri"/>
          <w:b/>
        </w:rPr>
        <w:t>1.1.</w:t>
      </w:r>
      <w:r w:rsidRPr="007621DF">
        <w:rPr>
          <w:rFonts w:ascii="Calibri" w:hAnsi="Calibri" w:cs="Calibri"/>
        </w:rPr>
        <w:t xml:space="preserve"> Przed</w:t>
      </w:r>
      <w:r>
        <w:rPr>
          <w:rFonts w:ascii="Calibri" w:hAnsi="Calibri" w:cs="Calibri"/>
        </w:rPr>
        <w:t xml:space="preserve">miot </w:t>
      </w:r>
      <w:r w:rsidRPr="007621DF">
        <w:rPr>
          <w:rFonts w:ascii="Calibri" w:hAnsi="Calibri" w:cs="Calibri"/>
        </w:rPr>
        <w:t>ST</w:t>
      </w:r>
    </w:p>
    <w:p w:rsidR="004767DA" w:rsidRPr="007621DF" w:rsidRDefault="004767DA" w:rsidP="004767DA">
      <w:pPr>
        <w:rPr>
          <w:rFonts w:ascii="Calibri" w:hAnsi="Calibri" w:cs="Calibri"/>
        </w:rPr>
      </w:pPr>
      <w:r>
        <w:rPr>
          <w:rFonts w:ascii="Calibri" w:hAnsi="Calibri" w:cs="Calibri"/>
        </w:rPr>
        <w:tab/>
        <w:t>Przedmiotem niniejszej specyfikacji technicznej (</w:t>
      </w:r>
      <w:r w:rsidRPr="007621DF">
        <w:rPr>
          <w:rFonts w:ascii="Calibri" w:hAnsi="Calibri" w:cs="Calibri"/>
        </w:rPr>
        <w:t>ST) są wymagania dotyczące wykonania i odbioru robót związanych z odtworzeniem trasy drogowej i jej punktów wysokościowych oraz sporządzeniem inwentaryzacji powykonawczej wybudowanej drogi.</w:t>
      </w:r>
    </w:p>
    <w:p w:rsidR="004767DA" w:rsidRPr="007621DF" w:rsidRDefault="004767DA" w:rsidP="004767DA">
      <w:pPr>
        <w:rPr>
          <w:rFonts w:ascii="Calibri" w:hAnsi="Calibri" w:cs="Calibri"/>
        </w:rPr>
      </w:pPr>
      <w:r w:rsidRPr="00A42679">
        <w:rPr>
          <w:rFonts w:ascii="Calibri" w:hAnsi="Calibri" w:cs="Calibri"/>
          <w:b/>
        </w:rPr>
        <w:t>1.2.</w:t>
      </w:r>
      <w:r w:rsidRPr="007621DF">
        <w:rPr>
          <w:rFonts w:ascii="Calibri" w:hAnsi="Calibri" w:cs="Calibri"/>
        </w:rPr>
        <w:t xml:space="preserve"> Zakres stosowania ST</w:t>
      </w:r>
    </w:p>
    <w:p w:rsidR="004767DA" w:rsidRPr="007621DF" w:rsidRDefault="004767DA" w:rsidP="004767DA">
      <w:pPr>
        <w:rPr>
          <w:rFonts w:ascii="Calibri" w:hAnsi="Calibri" w:cs="Calibri"/>
        </w:rPr>
      </w:pPr>
      <w:r w:rsidRPr="007621DF">
        <w:rPr>
          <w:rFonts w:ascii="Calibri" w:hAnsi="Calibri" w:cs="Calibri"/>
        </w:rPr>
        <w:tab/>
        <w:t>Specyfikacja techniczna określa wymagania dla wykonania i odbioru robót budowlanych przewidzianych do wykonania w ramach umowy a zawarte w niej zapisy w zakresie standardu materiałów, wykonania robót i wymaganej ich jakości oraz kontroli jakości robót należy traktować jako minimalne.</w:t>
      </w:r>
    </w:p>
    <w:p w:rsidR="004767DA" w:rsidRPr="007621DF" w:rsidRDefault="004767DA" w:rsidP="004767DA">
      <w:pPr>
        <w:rPr>
          <w:rFonts w:ascii="Calibri" w:hAnsi="Calibri" w:cs="Calibri"/>
        </w:rPr>
      </w:pPr>
      <w:r w:rsidRPr="00A42679">
        <w:rPr>
          <w:rFonts w:ascii="Calibri" w:hAnsi="Calibri" w:cs="Calibri"/>
          <w:b/>
        </w:rPr>
        <w:t>1.3.</w:t>
      </w:r>
      <w:r>
        <w:rPr>
          <w:rFonts w:ascii="Calibri" w:hAnsi="Calibri" w:cs="Calibri"/>
        </w:rPr>
        <w:t xml:space="preserve"> Zakres robót objętych </w:t>
      </w:r>
      <w:r w:rsidRPr="007621DF">
        <w:rPr>
          <w:rFonts w:ascii="Calibri" w:hAnsi="Calibri" w:cs="Calibri"/>
        </w:rPr>
        <w:t>ST</w:t>
      </w:r>
    </w:p>
    <w:p w:rsidR="00B61884" w:rsidRPr="00B61884" w:rsidRDefault="004767DA" w:rsidP="00B61884">
      <w:pPr>
        <w:rPr>
          <w:rFonts w:asciiTheme="minorHAnsi" w:hAnsiTheme="minorHAnsi" w:cs="Calibri"/>
        </w:rPr>
      </w:pPr>
      <w:r w:rsidRPr="007621DF">
        <w:rPr>
          <w:rFonts w:ascii="Calibri" w:hAnsi="Calibri" w:cs="Calibri"/>
        </w:rPr>
        <w:tab/>
        <w:t>Ustalenia zawarte w niniejszej specyfikacji dotyczą zasad prowadzenia robót związanych z wszystkim czynnościami mającymi na celu odtworzenie w terenie przebiegu trasy drogowej oraz położenia obiektów inżynierskich, a także wykonania inwentaryzacji geodezyjnej i kartograf</w:t>
      </w:r>
      <w:r w:rsidR="008A6952">
        <w:rPr>
          <w:rFonts w:ascii="Calibri" w:hAnsi="Calibri" w:cs="Calibri"/>
        </w:rPr>
        <w:t xml:space="preserve">icznej drogi po jej wybudowaniu, </w:t>
      </w:r>
      <w:r w:rsidR="00B61884">
        <w:rPr>
          <w:rFonts w:ascii="Calibri" w:hAnsi="Calibri" w:cs="Calibri"/>
        </w:rPr>
        <w:t>w związku z „</w:t>
      </w:r>
      <w:r w:rsidR="00B61884">
        <w:rPr>
          <w:rFonts w:asciiTheme="minorHAnsi" w:hAnsiTheme="minorHAnsi"/>
        </w:rPr>
        <w:t>Przebudową ul.55 Pułku Piechoty w L</w:t>
      </w:r>
      <w:r w:rsidR="00B61884" w:rsidRPr="00B61884">
        <w:rPr>
          <w:rFonts w:asciiTheme="minorHAnsi" w:hAnsiTheme="minorHAnsi"/>
        </w:rPr>
        <w:t>esznie wraz z przebudową oświetlenia</w:t>
      </w:r>
      <w:r w:rsidR="00B61884">
        <w:rPr>
          <w:rFonts w:asciiTheme="minorHAnsi" w:hAnsiTheme="minorHAnsi"/>
        </w:rPr>
        <w:t>”</w:t>
      </w:r>
      <w:r w:rsidR="00B61884">
        <w:rPr>
          <w:rFonts w:asciiTheme="minorHAnsi" w:hAnsiTheme="minorHAnsi" w:cs="Calibri"/>
        </w:rPr>
        <w:t>.</w:t>
      </w:r>
    </w:p>
    <w:p w:rsidR="004767DA" w:rsidRPr="007621DF" w:rsidRDefault="004767DA" w:rsidP="004767DA">
      <w:pPr>
        <w:rPr>
          <w:rFonts w:ascii="Calibri" w:hAnsi="Calibri" w:cs="Calibri"/>
        </w:rPr>
      </w:pPr>
      <w:r w:rsidRPr="007621DF">
        <w:rPr>
          <w:rFonts w:ascii="Calibri" w:hAnsi="Calibri" w:cs="Calibri"/>
        </w:rPr>
        <w:tab/>
        <w:t>W zakres robót wchodzą:</w:t>
      </w:r>
    </w:p>
    <w:p w:rsidR="004767DA" w:rsidRPr="007621DF" w:rsidRDefault="00AB299E" w:rsidP="004767DA">
      <w:pPr>
        <w:rPr>
          <w:rFonts w:ascii="Calibri" w:hAnsi="Calibri" w:cs="Calibri"/>
        </w:rPr>
      </w:pPr>
      <w:r>
        <w:rPr>
          <w:rFonts w:ascii="Calibri" w:hAnsi="Calibri" w:cs="Calibri"/>
        </w:rPr>
        <w:t>-</w:t>
      </w:r>
      <w:r w:rsidR="004767DA" w:rsidRPr="007621DF">
        <w:rPr>
          <w:rFonts w:ascii="Calibri" w:hAnsi="Calibri" w:cs="Calibri"/>
        </w:rPr>
        <w:t>wyznaczenie sytuacyjne i wysokościowe punktów głównych osi trasy i punktów wysokościowych (reperów roboczych dowiązanych do reperów krajowych), z ich zastabilizowaniem,</w:t>
      </w:r>
    </w:p>
    <w:p w:rsidR="004767DA" w:rsidRPr="007621DF" w:rsidRDefault="00AB299E" w:rsidP="004767DA">
      <w:pPr>
        <w:rPr>
          <w:rFonts w:ascii="Calibri" w:hAnsi="Calibri" w:cs="Calibri"/>
        </w:rPr>
      </w:pPr>
      <w:r>
        <w:rPr>
          <w:rFonts w:ascii="Calibri" w:hAnsi="Calibri" w:cs="Calibri"/>
        </w:rPr>
        <w:t>-</w:t>
      </w:r>
      <w:r w:rsidR="004767DA" w:rsidRPr="007621DF">
        <w:rPr>
          <w:rFonts w:ascii="Calibri" w:hAnsi="Calibri" w:cs="Calibri"/>
        </w:rPr>
        <w:t>zastabilizowanie punktów w sposób trwały oraz odtwarzania uszkodzonych punktów,</w:t>
      </w:r>
    </w:p>
    <w:p w:rsidR="004767DA" w:rsidRPr="007621DF" w:rsidRDefault="00AB299E" w:rsidP="004767DA">
      <w:pPr>
        <w:rPr>
          <w:rFonts w:ascii="Calibri" w:hAnsi="Calibri" w:cs="Calibri"/>
        </w:rPr>
      </w:pPr>
      <w:r>
        <w:rPr>
          <w:rFonts w:ascii="Calibri" w:hAnsi="Calibri" w:cs="Calibri"/>
        </w:rPr>
        <w:t>-</w:t>
      </w:r>
      <w:r w:rsidR="004767DA" w:rsidRPr="007621DF">
        <w:rPr>
          <w:rFonts w:ascii="Calibri" w:hAnsi="Calibri" w:cs="Calibri"/>
        </w:rPr>
        <w:t>wyznaczenie roboczego pikietażu trasy poza granicą robót,</w:t>
      </w:r>
    </w:p>
    <w:p w:rsidR="004767DA" w:rsidRPr="007621DF" w:rsidRDefault="00AB299E" w:rsidP="004767DA">
      <w:pPr>
        <w:rPr>
          <w:rFonts w:ascii="Calibri" w:hAnsi="Calibri" w:cs="Calibri"/>
        </w:rPr>
      </w:pPr>
      <w:r>
        <w:rPr>
          <w:rFonts w:ascii="Calibri" w:hAnsi="Calibri" w:cs="Calibri"/>
        </w:rPr>
        <w:t>-</w:t>
      </w:r>
      <w:r w:rsidR="004767DA" w:rsidRPr="007621DF">
        <w:rPr>
          <w:rFonts w:ascii="Calibri" w:hAnsi="Calibri" w:cs="Calibri"/>
        </w:rPr>
        <w:t>przeniesienie punktów istniejącej osnowy geodezyjnej poza granicę robót ziemnych,</w:t>
      </w:r>
    </w:p>
    <w:p w:rsidR="004767DA" w:rsidRPr="007621DF" w:rsidRDefault="00AB299E" w:rsidP="004767DA">
      <w:pPr>
        <w:rPr>
          <w:rFonts w:ascii="Calibri" w:hAnsi="Calibri" w:cs="Calibri"/>
        </w:rPr>
      </w:pPr>
      <w:r>
        <w:rPr>
          <w:rFonts w:ascii="Calibri" w:hAnsi="Calibri" w:cs="Calibri"/>
        </w:rPr>
        <w:t>-</w:t>
      </w:r>
      <w:r w:rsidR="004767DA" w:rsidRPr="007621DF">
        <w:rPr>
          <w:rFonts w:ascii="Calibri" w:hAnsi="Calibri" w:cs="Calibri"/>
        </w:rPr>
        <w:t>wyznaczenie przekrojów poprzecznych,</w:t>
      </w:r>
    </w:p>
    <w:p w:rsidR="004767DA" w:rsidRPr="007621DF" w:rsidRDefault="00AB299E" w:rsidP="004767DA">
      <w:pPr>
        <w:rPr>
          <w:rFonts w:ascii="Calibri" w:hAnsi="Calibri" w:cs="Calibri"/>
        </w:rPr>
      </w:pPr>
      <w:r>
        <w:rPr>
          <w:rFonts w:ascii="Calibri" w:hAnsi="Calibri" w:cs="Calibri"/>
        </w:rPr>
        <w:t>-</w:t>
      </w:r>
      <w:r w:rsidR="004767DA" w:rsidRPr="007621DF">
        <w:rPr>
          <w:rFonts w:ascii="Calibri" w:hAnsi="Calibri" w:cs="Calibri"/>
        </w:rPr>
        <w:t>wyznaczenie zjazdów i uzgodnienie ich z właścicielami nieruchomości,</w:t>
      </w:r>
    </w:p>
    <w:p w:rsidR="004767DA" w:rsidRPr="007621DF" w:rsidRDefault="00AB299E" w:rsidP="004767DA">
      <w:pPr>
        <w:rPr>
          <w:rFonts w:ascii="Calibri" w:hAnsi="Calibri" w:cs="Calibri"/>
        </w:rPr>
      </w:pPr>
      <w:r>
        <w:rPr>
          <w:rFonts w:ascii="Calibri" w:hAnsi="Calibri" w:cs="Calibri"/>
        </w:rPr>
        <w:t>-</w:t>
      </w:r>
      <w:r w:rsidR="004767DA" w:rsidRPr="007621DF">
        <w:rPr>
          <w:rFonts w:ascii="Calibri" w:hAnsi="Calibri" w:cs="Calibri"/>
        </w:rPr>
        <w:t>pomiar geodezyjny i dokumentacja kartograficzna do inwentaryzacji powykonawczej wybudowanej drogi.</w:t>
      </w:r>
    </w:p>
    <w:p w:rsidR="004767DA" w:rsidRPr="007621DF" w:rsidRDefault="004767DA" w:rsidP="004767DA">
      <w:pPr>
        <w:rPr>
          <w:rFonts w:ascii="Calibri" w:hAnsi="Calibri" w:cs="Calibri"/>
        </w:rPr>
      </w:pPr>
      <w:bookmarkStart w:id="146" w:name="_Toc438609818"/>
      <w:bookmarkStart w:id="147" w:name="_Toc411231967"/>
      <w:bookmarkStart w:id="148" w:name="_Toc428880125"/>
      <w:bookmarkStart w:id="149" w:name="_Toc433636043"/>
      <w:bookmarkStart w:id="150" w:name="_Toc433675534"/>
      <w:bookmarkStart w:id="151" w:name="_Toc434887980"/>
      <w:r w:rsidRPr="00A42679">
        <w:rPr>
          <w:rFonts w:ascii="Calibri" w:hAnsi="Calibri" w:cs="Calibri"/>
          <w:b/>
        </w:rPr>
        <w:t>1.4.</w:t>
      </w:r>
      <w:r w:rsidRPr="007621DF">
        <w:rPr>
          <w:rFonts w:ascii="Calibri" w:hAnsi="Calibri" w:cs="Calibri"/>
        </w:rPr>
        <w:t xml:space="preserve"> Określenia podstawowe</w:t>
      </w:r>
      <w:bookmarkEnd w:id="146"/>
      <w:bookmarkEnd w:id="147"/>
      <w:bookmarkEnd w:id="148"/>
      <w:bookmarkEnd w:id="149"/>
      <w:bookmarkEnd w:id="150"/>
      <w:bookmarkEnd w:id="151"/>
      <w:r w:rsidRPr="007621DF">
        <w:rPr>
          <w:rFonts w:ascii="Calibri" w:hAnsi="Calibri" w:cs="Calibri"/>
        </w:rPr>
        <w:t xml:space="preserve"> </w:t>
      </w:r>
    </w:p>
    <w:p w:rsidR="004767DA" w:rsidRPr="007621DF" w:rsidRDefault="004767DA" w:rsidP="004767DA">
      <w:pPr>
        <w:rPr>
          <w:rFonts w:ascii="Calibri" w:hAnsi="Calibri" w:cs="Calibri"/>
        </w:rPr>
      </w:pPr>
      <w:r w:rsidRPr="00A42679">
        <w:rPr>
          <w:rFonts w:ascii="Calibri" w:hAnsi="Calibri" w:cs="Calibri"/>
          <w:b/>
        </w:rPr>
        <w:t>1.4.1.</w:t>
      </w:r>
      <w:r w:rsidRPr="007621DF">
        <w:rPr>
          <w:rFonts w:ascii="Calibri" w:hAnsi="Calibri" w:cs="Calibri"/>
        </w:rPr>
        <w:t xml:space="preserve"> Odtworzenie trasy i punktów wysokościowych – założenie poziomej i wysokościowej geodezyjnej osnowy realizacyjnej niezbędnej przy budowie drogi, uwzględniającej ustalenia dokumentacji projektowej.</w:t>
      </w:r>
    </w:p>
    <w:p w:rsidR="004767DA" w:rsidRPr="007621DF" w:rsidRDefault="004767DA" w:rsidP="004767DA">
      <w:pPr>
        <w:rPr>
          <w:rFonts w:ascii="Calibri" w:hAnsi="Calibri" w:cs="Calibri"/>
        </w:rPr>
      </w:pPr>
      <w:r w:rsidRPr="00A42679">
        <w:rPr>
          <w:rFonts w:ascii="Calibri" w:hAnsi="Calibri" w:cs="Calibri"/>
          <w:b/>
        </w:rPr>
        <w:t>1.4.2.</w:t>
      </w:r>
      <w:r w:rsidRPr="007621DF">
        <w:rPr>
          <w:rFonts w:ascii="Calibri" w:hAnsi="Calibri" w:cs="Calibri"/>
        </w:rPr>
        <w:t xml:space="preserve"> Punkty główne trasy – punkty załamania osi trasy, punkty kierunkowe oraz początkowy i końcowy punkt trasy.</w:t>
      </w:r>
    </w:p>
    <w:p w:rsidR="004767DA" w:rsidRPr="007621DF" w:rsidRDefault="004767DA" w:rsidP="004767DA">
      <w:pPr>
        <w:rPr>
          <w:rFonts w:ascii="Calibri" w:hAnsi="Calibri" w:cs="Calibri"/>
        </w:rPr>
      </w:pPr>
      <w:r w:rsidRPr="00A42679">
        <w:rPr>
          <w:rFonts w:ascii="Calibri" w:hAnsi="Calibri" w:cs="Calibri"/>
          <w:b/>
        </w:rPr>
        <w:t>1.4.3.</w:t>
      </w:r>
      <w:r w:rsidRPr="007621DF">
        <w:rPr>
          <w:rFonts w:ascii="Calibri" w:hAnsi="Calibri" w:cs="Calibri"/>
        </w:rPr>
        <w:t xml:space="preserve"> Reper –  zasadniczy element znaku wysokościowego lub samodzielny znak wysokościowy, którego wysokość jest wyznaczona.</w:t>
      </w:r>
    </w:p>
    <w:p w:rsidR="004767DA" w:rsidRPr="007621DF" w:rsidRDefault="004767DA" w:rsidP="004767DA">
      <w:pPr>
        <w:rPr>
          <w:rFonts w:ascii="Calibri" w:hAnsi="Calibri" w:cs="Calibri"/>
        </w:rPr>
      </w:pPr>
      <w:r w:rsidRPr="00A42679">
        <w:rPr>
          <w:rFonts w:ascii="Calibri" w:hAnsi="Calibri" w:cs="Calibri"/>
          <w:b/>
        </w:rPr>
        <w:t>1.4.4.</w:t>
      </w:r>
      <w:r w:rsidRPr="007621DF">
        <w:rPr>
          <w:rFonts w:ascii="Calibri" w:hAnsi="Calibri" w:cs="Calibri"/>
        </w:rPr>
        <w:t xml:space="preserve"> Znak geodezyjny –  znak z trwałego materiału umieszczony w punktach osnowy geodezyjnej.</w:t>
      </w:r>
    </w:p>
    <w:p w:rsidR="004767DA" w:rsidRPr="007621DF" w:rsidRDefault="004767DA" w:rsidP="004767DA">
      <w:pPr>
        <w:rPr>
          <w:rFonts w:ascii="Calibri" w:hAnsi="Calibri" w:cs="Calibri"/>
        </w:rPr>
      </w:pPr>
      <w:r w:rsidRPr="00A42679">
        <w:rPr>
          <w:rFonts w:ascii="Calibri" w:hAnsi="Calibri" w:cs="Calibri"/>
          <w:b/>
        </w:rPr>
        <w:t>1.4.5.</w:t>
      </w:r>
      <w:r w:rsidRPr="007621DF">
        <w:rPr>
          <w:rFonts w:ascii="Calibri" w:hAnsi="Calibri" w:cs="Calibri"/>
        </w:rPr>
        <w:t xml:space="preserve"> Osnowa realizacyjna - osnowa geodezyjna (pozioma i wysokościowa), przeznaczona do geodezyjnego wytyczenia elementów projektu w terenie oraz geodezyjnej obsługi budowy.</w:t>
      </w:r>
    </w:p>
    <w:p w:rsidR="004767DA" w:rsidRPr="007621DF" w:rsidRDefault="004767DA" w:rsidP="004767DA">
      <w:pPr>
        <w:rPr>
          <w:rFonts w:ascii="Calibri" w:hAnsi="Calibri" w:cs="Calibri"/>
        </w:rPr>
      </w:pPr>
      <w:r w:rsidRPr="00A42679">
        <w:rPr>
          <w:rFonts w:ascii="Calibri" w:hAnsi="Calibri" w:cs="Calibri"/>
          <w:b/>
        </w:rPr>
        <w:t>1.4.6.</w:t>
      </w:r>
      <w:r w:rsidRPr="007621DF">
        <w:rPr>
          <w:rFonts w:ascii="Calibri" w:hAnsi="Calibri" w:cs="Calibri"/>
        </w:rPr>
        <w:t xml:space="preserve"> Inwentaryzacja powykonawcza – pomiar powykonawczy wybudowanej drogi i sporządzenie związanej z nim dokumentacji geodezyjnej i kartograficznej.</w:t>
      </w:r>
    </w:p>
    <w:p w:rsidR="004767DA" w:rsidRDefault="004767DA" w:rsidP="004767DA">
      <w:pPr>
        <w:rPr>
          <w:rFonts w:ascii="Calibri" w:hAnsi="Calibri" w:cs="Calibri"/>
        </w:rPr>
      </w:pPr>
      <w:r w:rsidRPr="00A42679">
        <w:rPr>
          <w:rFonts w:ascii="Calibri" w:hAnsi="Calibri" w:cs="Calibri"/>
          <w:b/>
        </w:rPr>
        <w:t>1.4.7.</w:t>
      </w:r>
      <w:r w:rsidRPr="007621DF">
        <w:rPr>
          <w:rFonts w:ascii="Calibri" w:hAnsi="Calibri" w:cs="Calibri"/>
        </w:rPr>
        <w:t xml:space="preserve"> Pozostałe określenia podstawowe są zgodne z obowiązującymi, odpowiednimi polskimi normami i z definicjami podanymi</w:t>
      </w:r>
      <w:r>
        <w:rPr>
          <w:rFonts w:ascii="Calibri" w:hAnsi="Calibri" w:cs="Calibri"/>
        </w:rPr>
        <w:t xml:space="preserve"> w </w:t>
      </w:r>
      <w:r w:rsidRPr="007621DF">
        <w:rPr>
          <w:rFonts w:ascii="Calibri" w:hAnsi="Calibri" w:cs="Calibri"/>
        </w:rPr>
        <w:t>ST D-M-00.00.00 „Wymagania ogólne” [1] pkt 1.4.</w:t>
      </w:r>
    </w:p>
    <w:p w:rsidR="004767DA" w:rsidRPr="007621DF" w:rsidRDefault="004767DA" w:rsidP="004767DA">
      <w:pPr>
        <w:rPr>
          <w:rFonts w:ascii="Calibri" w:hAnsi="Calibri" w:cs="Calibri"/>
        </w:rPr>
      </w:pPr>
    </w:p>
    <w:p w:rsidR="004767DA" w:rsidRPr="00A42679" w:rsidRDefault="004767DA" w:rsidP="004767DA">
      <w:pPr>
        <w:rPr>
          <w:rFonts w:ascii="Calibri" w:hAnsi="Calibri" w:cs="Calibri"/>
          <w:b/>
        </w:rPr>
      </w:pPr>
      <w:bookmarkStart w:id="152" w:name="_Toc438609822"/>
      <w:bookmarkStart w:id="153" w:name="_Toc166309962"/>
      <w:bookmarkStart w:id="154" w:name="_Toc274137171"/>
      <w:r w:rsidRPr="00A42679">
        <w:rPr>
          <w:rFonts w:ascii="Calibri" w:hAnsi="Calibri" w:cs="Calibri"/>
          <w:b/>
        </w:rPr>
        <w:t>2</w:t>
      </w:r>
      <w:bookmarkStart w:id="155" w:name="_Toc411231970"/>
      <w:bookmarkStart w:id="156" w:name="_Toc428880129"/>
      <w:bookmarkStart w:id="157" w:name="_Toc433636047"/>
      <w:bookmarkStart w:id="158" w:name="_Toc433675538"/>
      <w:bookmarkStart w:id="159" w:name="_Toc434887984"/>
      <w:r w:rsidRPr="00A42679">
        <w:rPr>
          <w:rFonts w:ascii="Calibri" w:hAnsi="Calibri" w:cs="Calibri"/>
          <w:b/>
        </w:rPr>
        <w:t>. MATERIAŁY</w:t>
      </w:r>
      <w:bookmarkEnd w:id="152"/>
      <w:bookmarkEnd w:id="153"/>
      <w:bookmarkEnd w:id="154"/>
      <w:bookmarkEnd w:id="155"/>
      <w:bookmarkEnd w:id="156"/>
      <w:bookmarkEnd w:id="157"/>
      <w:bookmarkEnd w:id="158"/>
      <w:bookmarkEnd w:id="159"/>
    </w:p>
    <w:p w:rsidR="004767DA" w:rsidRPr="007621DF" w:rsidRDefault="004767DA" w:rsidP="004767DA">
      <w:pPr>
        <w:rPr>
          <w:rFonts w:ascii="Calibri" w:hAnsi="Calibri" w:cs="Calibri"/>
        </w:rPr>
      </w:pPr>
      <w:r w:rsidRPr="00A42679">
        <w:rPr>
          <w:rFonts w:ascii="Calibri" w:hAnsi="Calibri" w:cs="Calibri"/>
          <w:b/>
        </w:rPr>
        <w:t>2.1.</w:t>
      </w:r>
      <w:r w:rsidRPr="007621DF">
        <w:rPr>
          <w:rFonts w:ascii="Calibri" w:hAnsi="Calibri" w:cs="Calibri"/>
        </w:rPr>
        <w:t xml:space="preserve"> Ogólne wymagania dotyczące materiałów</w:t>
      </w:r>
    </w:p>
    <w:p w:rsidR="004767DA" w:rsidRPr="007621DF" w:rsidRDefault="004767DA" w:rsidP="004767DA">
      <w:pPr>
        <w:rPr>
          <w:rFonts w:ascii="Calibri" w:hAnsi="Calibri" w:cs="Calibri"/>
        </w:rPr>
      </w:pPr>
      <w:r w:rsidRPr="007621DF">
        <w:rPr>
          <w:rFonts w:ascii="Calibri" w:hAnsi="Calibri" w:cs="Calibri"/>
        </w:rPr>
        <w:t>Ogólne wymagania dotyczące materiałów podano w ST D-M-00.00.00 „Wymagania ogólne" [1] pkt 2.</w:t>
      </w:r>
    </w:p>
    <w:p w:rsidR="004767DA" w:rsidRPr="007621DF" w:rsidRDefault="004767DA" w:rsidP="004767DA">
      <w:pPr>
        <w:rPr>
          <w:rFonts w:ascii="Calibri" w:hAnsi="Calibri" w:cs="Calibri"/>
        </w:rPr>
      </w:pPr>
      <w:r w:rsidRPr="00A42679">
        <w:rPr>
          <w:rFonts w:ascii="Calibri" w:hAnsi="Calibri" w:cs="Calibri"/>
          <w:b/>
        </w:rPr>
        <w:t>2.2.</w:t>
      </w:r>
      <w:r w:rsidRPr="007621DF">
        <w:rPr>
          <w:rFonts w:ascii="Calibri" w:hAnsi="Calibri" w:cs="Calibri"/>
        </w:rPr>
        <w:t xml:space="preserve"> Materiały do wykonania robót</w:t>
      </w:r>
    </w:p>
    <w:p w:rsidR="004767DA" w:rsidRPr="007621DF" w:rsidRDefault="004767DA" w:rsidP="004767DA">
      <w:pPr>
        <w:rPr>
          <w:rFonts w:ascii="Calibri" w:hAnsi="Calibri" w:cs="Calibri"/>
        </w:rPr>
      </w:pPr>
      <w:r w:rsidRPr="007621DF">
        <w:rPr>
          <w:rFonts w:ascii="Calibri" w:hAnsi="Calibri" w:cs="Calibri"/>
        </w:rPr>
        <w:tab/>
        <w:t>Do utrwalenia punktów głównych trasy należy stosować pale drewniane z gwoździem lub prętem stalowym, słupki betonowe albo rury</w:t>
      </w:r>
      <w:r>
        <w:rPr>
          <w:rFonts w:ascii="Calibri" w:hAnsi="Calibri" w:cs="Calibri"/>
        </w:rPr>
        <w:t xml:space="preserve"> metalowe długości około</w:t>
      </w:r>
      <w:r w:rsidRPr="007621DF">
        <w:rPr>
          <w:rFonts w:ascii="Calibri" w:hAnsi="Calibri" w:cs="Calibri"/>
        </w:rPr>
        <w:t xml:space="preserve"> </w:t>
      </w:r>
      <w:smartTag w:uri="urn:schemas-microsoft-com:office:smarttags" w:element="metricconverter">
        <w:smartTagPr>
          <w:attr w:name="ProductID" w:val="0,5 m"/>
        </w:smartTagPr>
        <w:r w:rsidRPr="007621DF">
          <w:rPr>
            <w:rFonts w:ascii="Calibri" w:hAnsi="Calibri" w:cs="Calibri"/>
          </w:rPr>
          <w:t>0,5 m</w:t>
        </w:r>
      </w:smartTag>
      <w:r w:rsidRPr="007621DF">
        <w:rPr>
          <w:rFonts w:ascii="Calibri" w:hAnsi="Calibri" w:cs="Calibri"/>
        </w:rPr>
        <w:t>.</w:t>
      </w:r>
    </w:p>
    <w:p w:rsidR="004767DA" w:rsidRPr="007621DF" w:rsidRDefault="004767DA" w:rsidP="004767DA">
      <w:pPr>
        <w:rPr>
          <w:rFonts w:ascii="Calibri" w:hAnsi="Calibri" w:cs="Calibri"/>
        </w:rPr>
      </w:pPr>
      <w:r w:rsidRPr="007621DF">
        <w:rPr>
          <w:rFonts w:ascii="Calibri" w:hAnsi="Calibri" w:cs="Calibri"/>
        </w:rPr>
        <w:tab/>
        <w:t xml:space="preserve">Pale drewniane umieszczone poza granicą robót ziemnych, w sąsiedztwie punktów załamania trasy powinny mieć średnicę 0,15 ÷ </w:t>
      </w:r>
      <w:smartTag w:uri="urn:schemas-microsoft-com:office:smarttags" w:element="metricconverter">
        <w:smartTagPr>
          <w:attr w:name="ProductID" w:val="0,20 m"/>
        </w:smartTagPr>
        <w:r w:rsidRPr="007621DF">
          <w:rPr>
            <w:rFonts w:ascii="Calibri" w:hAnsi="Calibri" w:cs="Calibri"/>
          </w:rPr>
          <w:t>0,20 m</w:t>
        </w:r>
      </w:smartTag>
      <w:r w:rsidRPr="007621DF">
        <w:rPr>
          <w:rFonts w:ascii="Calibri" w:hAnsi="Calibri" w:cs="Calibri"/>
        </w:rPr>
        <w:t xml:space="preserve"> i długość 1,5 ÷ </w:t>
      </w:r>
      <w:smartTag w:uri="urn:schemas-microsoft-com:office:smarttags" w:element="metricconverter">
        <w:smartTagPr>
          <w:attr w:name="ProductID" w:val="1,7 m"/>
        </w:smartTagPr>
        <w:r w:rsidRPr="007621DF">
          <w:rPr>
            <w:rFonts w:ascii="Calibri" w:hAnsi="Calibri" w:cs="Calibri"/>
          </w:rPr>
          <w:t>1,7 m</w:t>
        </w:r>
      </w:smartTag>
      <w:r w:rsidRPr="007621DF">
        <w:rPr>
          <w:rFonts w:ascii="Calibri" w:hAnsi="Calibri" w:cs="Calibri"/>
        </w:rPr>
        <w:t>.</w:t>
      </w:r>
    </w:p>
    <w:p w:rsidR="004767DA" w:rsidRPr="007621DF" w:rsidRDefault="004767DA" w:rsidP="004767DA">
      <w:pPr>
        <w:rPr>
          <w:rFonts w:ascii="Calibri" w:hAnsi="Calibri" w:cs="Calibri"/>
        </w:rPr>
      </w:pPr>
      <w:r w:rsidRPr="007621DF">
        <w:rPr>
          <w:rFonts w:ascii="Calibri" w:hAnsi="Calibri" w:cs="Calibri"/>
        </w:rPr>
        <w:tab/>
        <w:t xml:space="preserve">Do stabilizacji pozostałych punktów należy stosować paliki drewniane średnicy 0,05 ÷ </w:t>
      </w:r>
      <w:smartTag w:uri="urn:schemas-microsoft-com:office:smarttags" w:element="metricconverter">
        <w:smartTagPr>
          <w:attr w:name="ProductID" w:val="0,08 m"/>
        </w:smartTagPr>
        <w:r w:rsidRPr="007621DF">
          <w:rPr>
            <w:rFonts w:ascii="Calibri" w:hAnsi="Calibri" w:cs="Calibri"/>
          </w:rPr>
          <w:t>0,08 m</w:t>
        </w:r>
      </w:smartTag>
      <w:r w:rsidRPr="007621DF">
        <w:rPr>
          <w:rFonts w:ascii="Calibri" w:hAnsi="Calibri" w:cs="Calibri"/>
        </w:rPr>
        <w:t xml:space="preserve"> i długości około </w:t>
      </w:r>
      <w:smartTag w:uri="urn:schemas-microsoft-com:office:smarttags" w:element="metricconverter">
        <w:smartTagPr>
          <w:attr w:name="ProductID" w:val="0,30 m"/>
        </w:smartTagPr>
        <w:r w:rsidRPr="007621DF">
          <w:rPr>
            <w:rFonts w:ascii="Calibri" w:hAnsi="Calibri" w:cs="Calibri"/>
          </w:rPr>
          <w:t>0,30 m</w:t>
        </w:r>
      </w:smartTag>
      <w:r w:rsidRPr="007621DF">
        <w:rPr>
          <w:rFonts w:ascii="Calibri" w:hAnsi="Calibri" w:cs="Calibri"/>
        </w:rPr>
        <w:t xml:space="preserve">, a dla punktów utrwalonych w istniejącej nawierzchni bolce stalowe średnicy </w:t>
      </w:r>
      <w:smartTag w:uri="urn:schemas-microsoft-com:office:smarttags" w:element="metricconverter">
        <w:smartTagPr>
          <w:attr w:name="ProductID" w:val="5 mm"/>
        </w:smartTagPr>
        <w:r w:rsidRPr="007621DF">
          <w:rPr>
            <w:rFonts w:ascii="Calibri" w:hAnsi="Calibri" w:cs="Calibri"/>
          </w:rPr>
          <w:t>5 mm</w:t>
        </w:r>
      </w:smartTag>
      <w:r w:rsidRPr="007621DF">
        <w:rPr>
          <w:rFonts w:ascii="Calibri" w:hAnsi="Calibri" w:cs="Calibri"/>
        </w:rPr>
        <w:t xml:space="preserve"> i długości 0,04 ÷ </w:t>
      </w:r>
      <w:smartTag w:uri="urn:schemas-microsoft-com:office:smarttags" w:element="metricconverter">
        <w:smartTagPr>
          <w:attr w:name="ProductID" w:val="0,05 m"/>
        </w:smartTagPr>
        <w:r w:rsidRPr="007621DF">
          <w:rPr>
            <w:rFonts w:ascii="Calibri" w:hAnsi="Calibri" w:cs="Calibri"/>
          </w:rPr>
          <w:t>0,05 m</w:t>
        </w:r>
      </w:smartTag>
      <w:r w:rsidRPr="007621DF">
        <w:rPr>
          <w:rFonts w:ascii="Calibri" w:hAnsi="Calibri" w:cs="Calibri"/>
        </w:rPr>
        <w:t>.</w:t>
      </w:r>
    </w:p>
    <w:p w:rsidR="004767DA" w:rsidRPr="007621DF" w:rsidRDefault="004767DA" w:rsidP="004767DA">
      <w:pPr>
        <w:rPr>
          <w:rFonts w:ascii="Calibri" w:hAnsi="Calibri" w:cs="Calibri"/>
        </w:rPr>
      </w:pPr>
      <w:r w:rsidRPr="007621DF">
        <w:rPr>
          <w:rFonts w:ascii="Calibri" w:hAnsi="Calibri" w:cs="Calibri"/>
        </w:rPr>
        <w:t xml:space="preserve">„Świadki” powinny mieć długość około </w:t>
      </w:r>
      <w:smartTag w:uri="urn:schemas-microsoft-com:office:smarttags" w:element="metricconverter">
        <w:smartTagPr>
          <w:attr w:name="ProductID" w:val="0,50 m"/>
        </w:smartTagPr>
        <w:r w:rsidRPr="007621DF">
          <w:rPr>
            <w:rFonts w:ascii="Calibri" w:hAnsi="Calibri" w:cs="Calibri"/>
          </w:rPr>
          <w:t>0,50 m</w:t>
        </w:r>
      </w:smartTag>
      <w:r w:rsidRPr="007621DF">
        <w:rPr>
          <w:rFonts w:ascii="Calibri" w:hAnsi="Calibri" w:cs="Calibri"/>
        </w:rPr>
        <w:t xml:space="preserve"> i przekrój prostokątny.</w:t>
      </w:r>
    </w:p>
    <w:p w:rsidR="004767DA" w:rsidRPr="007621DF" w:rsidRDefault="004767DA" w:rsidP="004767DA">
      <w:pPr>
        <w:rPr>
          <w:rFonts w:ascii="Calibri" w:hAnsi="Calibri" w:cs="Calibri"/>
        </w:rPr>
      </w:pPr>
      <w:r w:rsidRPr="007621DF">
        <w:rPr>
          <w:rFonts w:ascii="Calibri" w:hAnsi="Calibri" w:cs="Calibri"/>
        </w:rPr>
        <w:t xml:space="preserve">Do stabilizowania roboczego pikietażu trasy, poza granicą pasa robót, należy stosować pale drewniane średnicy 0,15 ÷ </w:t>
      </w:r>
      <w:smartTag w:uri="urn:schemas-microsoft-com:office:smarttags" w:element="metricconverter">
        <w:smartTagPr>
          <w:attr w:name="ProductID" w:val="0,20 m"/>
        </w:smartTagPr>
        <w:r w:rsidRPr="007621DF">
          <w:rPr>
            <w:rFonts w:ascii="Calibri" w:hAnsi="Calibri" w:cs="Calibri"/>
          </w:rPr>
          <w:t>0,20 m</w:t>
        </w:r>
      </w:smartTag>
      <w:r w:rsidRPr="007621DF">
        <w:rPr>
          <w:rFonts w:ascii="Calibri" w:hAnsi="Calibri" w:cs="Calibri"/>
        </w:rPr>
        <w:t xml:space="preserve"> i długości 1,5 ÷ </w:t>
      </w:r>
      <w:smartTag w:uri="urn:schemas-microsoft-com:office:smarttags" w:element="metricconverter">
        <w:smartTagPr>
          <w:attr w:name="ProductID" w:val="1,7 m"/>
        </w:smartTagPr>
        <w:r w:rsidRPr="007621DF">
          <w:rPr>
            <w:rFonts w:ascii="Calibri" w:hAnsi="Calibri" w:cs="Calibri"/>
          </w:rPr>
          <w:t>1,7 m</w:t>
        </w:r>
      </w:smartTag>
      <w:r w:rsidRPr="007621DF">
        <w:rPr>
          <w:rFonts w:ascii="Calibri" w:hAnsi="Calibri" w:cs="Calibri"/>
        </w:rPr>
        <w:t xml:space="preserve"> z tabliczkami o wymiarach uzgodnionych z Inżynierem.</w:t>
      </w:r>
    </w:p>
    <w:p w:rsidR="004767DA" w:rsidRDefault="004767DA" w:rsidP="004767DA">
      <w:pPr>
        <w:rPr>
          <w:rFonts w:ascii="Calibri" w:hAnsi="Calibri" w:cs="Calibri"/>
        </w:rPr>
      </w:pPr>
      <w:r w:rsidRPr="007621DF">
        <w:rPr>
          <w:rFonts w:ascii="Calibri" w:hAnsi="Calibri" w:cs="Calibri"/>
        </w:rPr>
        <w:t>Do utrwalenia punktów osnowy geodezyjnej należy stosować materiały zgodne z instrukcjami technicznymi G-1 [5] i G-2 [6].</w:t>
      </w:r>
    </w:p>
    <w:p w:rsidR="004767DA" w:rsidRDefault="004767DA" w:rsidP="004767DA">
      <w:pPr>
        <w:rPr>
          <w:rFonts w:ascii="Calibri" w:hAnsi="Calibri" w:cs="Calibri"/>
        </w:rPr>
      </w:pPr>
    </w:p>
    <w:p w:rsidR="008A6952" w:rsidRPr="007621DF" w:rsidRDefault="008A6952" w:rsidP="004767DA">
      <w:pPr>
        <w:rPr>
          <w:rFonts w:ascii="Calibri" w:hAnsi="Calibri" w:cs="Calibri"/>
        </w:rPr>
      </w:pPr>
    </w:p>
    <w:p w:rsidR="004767DA" w:rsidRPr="00364C8F" w:rsidRDefault="004767DA" w:rsidP="004767DA">
      <w:pPr>
        <w:rPr>
          <w:rFonts w:ascii="Calibri" w:hAnsi="Calibri" w:cs="Calibri"/>
          <w:b/>
        </w:rPr>
      </w:pPr>
      <w:bookmarkStart w:id="160" w:name="_Toc199904821"/>
      <w:bookmarkStart w:id="161" w:name="_Toc204566518"/>
      <w:bookmarkStart w:id="162" w:name="_Toc274137172"/>
      <w:r w:rsidRPr="00364C8F">
        <w:rPr>
          <w:rFonts w:ascii="Calibri" w:hAnsi="Calibri" w:cs="Calibri"/>
          <w:b/>
        </w:rPr>
        <w:lastRenderedPageBreak/>
        <w:t xml:space="preserve">3. </w:t>
      </w:r>
      <w:bookmarkEnd w:id="160"/>
      <w:bookmarkEnd w:id="161"/>
      <w:bookmarkEnd w:id="162"/>
      <w:r w:rsidRPr="00364C8F">
        <w:rPr>
          <w:rFonts w:ascii="Calibri" w:hAnsi="Calibri" w:cs="Calibri"/>
          <w:b/>
        </w:rPr>
        <w:t>SPRZĘT</w:t>
      </w:r>
    </w:p>
    <w:p w:rsidR="004767DA" w:rsidRPr="007621DF" w:rsidRDefault="004767DA" w:rsidP="004767DA">
      <w:pPr>
        <w:rPr>
          <w:rFonts w:ascii="Calibri" w:hAnsi="Calibri" w:cs="Calibri"/>
        </w:rPr>
      </w:pPr>
      <w:r w:rsidRPr="00364C8F">
        <w:rPr>
          <w:rFonts w:ascii="Calibri" w:hAnsi="Calibri" w:cs="Calibri"/>
          <w:b/>
        </w:rPr>
        <w:t>3.1.</w:t>
      </w:r>
      <w:r w:rsidRPr="007621DF">
        <w:rPr>
          <w:rFonts w:ascii="Calibri" w:hAnsi="Calibri" w:cs="Calibri"/>
        </w:rPr>
        <w:t xml:space="preserve"> Ogólne wymagania dotyczące sprzętu</w:t>
      </w:r>
    </w:p>
    <w:p w:rsidR="004767DA" w:rsidRPr="007621DF" w:rsidRDefault="004767DA" w:rsidP="004767DA">
      <w:pPr>
        <w:rPr>
          <w:rFonts w:ascii="Calibri" w:hAnsi="Calibri" w:cs="Calibri"/>
        </w:rPr>
      </w:pPr>
      <w:r w:rsidRPr="007621DF">
        <w:rPr>
          <w:rFonts w:ascii="Calibri" w:hAnsi="Calibri" w:cs="Calibri"/>
        </w:rPr>
        <w:tab/>
        <w:t>Ogólne wymaga</w:t>
      </w:r>
      <w:r>
        <w:rPr>
          <w:rFonts w:ascii="Calibri" w:hAnsi="Calibri" w:cs="Calibri"/>
        </w:rPr>
        <w:t xml:space="preserve">nia dotyczące sprzętu podano w </w:t>
      </w:r>
      <w:r w:rsidRPr="007621DF">
        <w:rPr>
          <w:rFonts w:ascii="Calibri" w:hAnsi="Calibri" w:cs="Calibri"/>
        </w:rPr>
        <w:t>ST  D-M-00.00.00 „Wymagania ogólne” [1] pkt 3.</w:t>
      </w:r>
    </w:p>
    <w:p w:rsidR="004767DA" w:rsidRPr="007621DF" w:rsidRDefault="004767DA" w:rsidP="004767DA">
      <w:pPr>
        <w:rPr>
          <w:rFonts w:ascii="Calibri" w:hAnsi="Calibri" w:cs="Calibri"/>
        </w:rPr>
      </w:pPr>
      <w:r w:rsidRPr="00364C8F">
        <w:rPr>
          <w:rFonts w:ascii="Calibri" w:hAnsi="Calibri" w:cs="Calibri"/>
          <w:b/>
        </w:rPr>
        <w:t>3.2.</w:t>
      </w:r>
      <w:r w:rsidRPr="007621DF">
        <w:rPr>
          <w:rFonts w:ascii="Calibri" w:hAnsi="Calibri" w:cs="Calibri"/>
        </w:rPr>
        <w:t xml:space="preserve"> Sprzęt stosowany do wykonania robót</w:t>
      </w:r>
    </w:p>
    <w:p w:rsidR="004767DA" w:rsidRPr="007621DF" w:rsidRDefault="004767DA" w:rsidP="004767DA">
      <w:pPr>
        <w:rPr>
          <w:rFonts w:ascii="Calibri" w:hAnsi="Calibri" w:cs="Calibri"/>
        </w:rPr>
      </w:pPr>
      <w:r w:rsidRPr="007621DF">
        <w:rPr>
          <w:rFonts w:ascii="Calibri" w:hAnsi="Calibri" w:cs="Calibri"/>
        </w:rPr>
        <w:tab/>
        <w:t>Przy wykonywaniu robót Wykonawca w zależności od potrzeb, powinien wykazać się możliwością korzystania ze sprzętu dostosowanego do przyjętej metody robót, jak:</w:t>
      </w:r>
    </w:p>
    <w:p w:rsidR="004767DA" w:rsidRPr="007621DF" w:rsidRDefault="006C0559" w:rsidP="004767DA">
      <w:pPr>
        <w:rPr>
          <w:rFonts w:ascii="Calibri" w:hAnsi="Calibri" w:cs="Calibri"/>
        </w:rPr>
      </w:pPr>
      <w:r>
        <w:rPr>
          <w:rFonts w:ascii="Calibri" w:hAnsi="Calibri" w:cs="Calibri"/>
        </w:rPr>
        <w:t>-</w:t>
      </w:r>
      <w:r w:rsidR="004767DA" w:rsidRPr="007621DF">
        <w:rPr>
          <w:rFonts w:ascii="Calibri" w:hAnsi="Calibri" w:cs="Calibri"/>
        </w:rPr>
        <w:t>teodolity lub tachimetry,</w:t>
      </w:r>
    </w:p>
    <w:p w:rsidR="004767DA" w:rsidRPr="007621DF" w:rsidRDefault="006C0559" w:rsidP="004767DA">
      <w:pPr>
        <w:rPr>
          <w:rFonts w:ascii="Calibri" w:hAnsi="Calibri" w:cs="Calibri"/>
        </w:rPr>
      </w:pPr>
      <w:r>
        <w:rPr>
          <w:rFonts w:ascii="Calibri" w:hAnsi="Calibri" w:cs="Calibri"/>
        </w:rPr>
        <w:t>-</w:t>
      </w:r>
      <w:r w:rsidR="004767DA" w:rsidRPr="007621DF">
        <w:rPr>
          <w:rFonts w:ascii="Calibri" w:hAnsi="Calibri" w:cs="Calibri"/>
        </w:rPr>
        <w:t>niwelatory,</w:t>
      </w:r>
    </w:p>
    <w:p w:rsidR="004767DA" w:rsidRPr="007621DF" w:rsidRDefault="006C0559" w:rsidP="004767DA">
      <w:pPr>
        <w:rPr>
          <w:rFonts w:ascii="Calibri" w:hAnsi="Calibri" w:cs="Calibri"/>
        </w:rPr>
      </w:pPr>
      <w:r>
        <w:rPr>
          <w:rFonts w:ascii="Calibri" w:hAnsi="Calibri" w:cs="Calibri"/>
        </w:rPr>
        <w:t>-</w:t>
      </w:r>
      <w:r w:rsidR="004767DA" w:rsidRPr="007621DF">
        <w:rPr>
          <w:rFonts w:ascii="Calibri" w:hAnsi="Calibri" w:cs="Calibri"/>
        </w:rPr>
        <w:t>dalmierze,</w:t>
      </w:r>
    </w:p>
    <w:p w:rsidR="004767DA" w:rsidRPr="007621DF" w:rsidRDefault="006C0559" w:rsidP="004767DA">
      <w:pPr>
        <w:rPr>
          <w:rFonts w:ascii="Calibri" w:hAnsi="Calibri" w:cs="Calibri"/>
        </w:rPr>
      </w:pPr>
      <w:r>
        <w:rPr>
          <w:rFonts w:ascii="Calibri" w:hAnsi="Calibri" w:cs="Calibri"/>
        </w:rPr>
        <w:t>-</w:t>
      </w:r>
      <w:r w:rsidR="004767DA" w:rsidRPr="007621DF">
        <w:rPr>
          <w:rFonts w:ascii="Calibri" w:hAnsi="Calibri" w:cs="Calibri"/>
        </w:rPr>
        <w:t>tyczki, łaty, taśmy stalowe, szpilki,</w:t>
      </w:r>
    </w:p>
    <w:p w:rsidR="004767DA" w:rsidRPr="007621DF" w:rsidRDefault="006C0559" w:rsidP="004767DA">
      <w:pPr>
        <w:rPr>
          <w:rFonts w:ascii="Calibri" w:hAnsi="Calibri" w:cs="Calibri"/>
        </w:rPr>
      </w:pPr>
      <w:r>
        <w:rPr>
          <w:rFonts w:ascii="Calibri" w:hAnsi="Calibri" w:cs="Calibri"/>
        </w:rPr>
        <w:t>-</w:t>
      </w:r>
      <w:r w:rsidR="004767DA" w:rsidRPr="007621DF">
        <w:rPr>
          <w:rFonts w:ascii="Calibri" w:hAnsi="Calibri" w:cs="Calibri"/>
        </w:rPr>
        <w:t>ew. odbiorniki GPS, zapewniające uzyskanie wymaganych dokładności pomiarów.</w:t>
      </w:r>
    </w:p>
    <w:p w:rsidR="004767DA" w:rsidRDefault="004767DA" w:rsidP="004767DA">
      <w:pPr>
        <w:rPr>
          <w:rFonts w:ascii="Calibri" w:hAnsi="Calibri" w:cs="Calibri"/>
        </w:rPr>
      </w:pPr>
      <w:r w:rsidRPr="007621DF">
        <w:rPr>
          <w:rFonts w:ascii="Calibri" w:hAnsi="Calibri" w:cs="Calibri"/>
        </w:rPr>
        <w:t>Sprzęt stosowany do odtworzenia trasy drogowej i jej punktów wysokościowych powinien gwarantować uzyskanie wymaganej dokładności pomiaru.</w:t>
      </w:r>
    </w:p>
    <w:p w:rsidR="004767DA" w:rsidRPr="007621DF" w:rsidRDefault="004767DA" w:rsidP="004767DA">
      <w:pPr>
        <w:rPr>
          <w:rFonts w:ascii="Calibri" w:hAnsi="Calibri" w:cs="Calibri"/>
        </w:rPr>
      </w:pPr>
    </w:p>
    <w:p w:rsidR="004767DA" w:rsidRPr="00364C8F" w:rsidRDefault="004767DA" w:rsidP="004767DA">
      <w:pPr>
        <w:rPr>
          <w:rFonts w:ascii="Calibri" w:hAnsi="Calibri" w:cs="Calibri"/>
          <w:b/>
        </w:rPr>
      </w:pPr>
      <w:bookmarkStart w:id="163" w:name="_Toc199904822"/>
      <w:bookmarkStart w:id="164" w:name="_Toc204566519"/>
      <w:bookmarkStart w:id="165" w:name="_Toc274137173"/>
      <w:r w:rsidRPr="00364C8F">
        <w:rPr>
          <w:rFonts w:ascii="Calibri" w:hAnsi="Calibri" w:cs="Calibri"/>
          <w:b/>
        </w:rPr>
        <w:t>4. TRANSPORT</w:t>
      </w:r>
      <w:bookmarkEnd w:id="163"/>
      <w:bookmarkEnd w:id="164"/>
      <w:bookmarkEnd w:id="165"/>
    </w:p>
    <w:p w:rsidR="004767DA" w:rsidRPr="007621DF" w:rsidRDefault="004767DA" w:rsidP="004767DA">
      <w:pPr>
        <w:rPr>
          <w:rFonts w:ascii="Calibri" w:hAnsi="Calibri" w:cs="Calibri"/>
        </w:rPr>
      </w:pPr>
      <w:r w:rsidRPr="00364C8F">
        <w:rPr>
          <w:rFonts w:ascii="Calibri" w:hAnsi="Calibri" w:cs="Calibri"/>
          <w:b/>
        </w:rPr>
        <w:t>4.1.</w:t>
      </w:r>
      <w:r w:rsidRPr="007621DF">
        <w:rPr>
          <w:rFonts w:ascii="Calibri" w:hAnsi="Calibri" w:cs="Calibri"/>
        </w:rPr>
        <w:t xml:space="preserve"> Ogólne wymagania dotyczące transportu</w:t>
      </w:r>
    </w:p>
    <w:p w:rsidR="004767DA" w:rsidRDefault="004767DA" w:rsidP="004767DA">
      <w:pPr>
        <w:rPr>
          <w:rFonts w:ascii="Calibri" w:hAnsi="Calibri" w:cs="Calibri"/>
        </w:rPr>
      </w:pPr>
      <w:r w:rsidRPr="007621DF">
        <w:rPr>
          <w:rFonts w:ascii="Calibri" w:hAnsi="Calibri" w:cs="Calibri"/>
        </w:rPr>
        <w:tab/>
        <w:t>Ogólne wymagania</w:t>
      </w:r>
      <w:r>
        <w:rPr>
          <w:rFonts w:ascii="Calibri" w:hAnsi="Calibri" w:cs="Calibri"/>
        </w:rPr>
        <w:t xml:space="preserve"> dotyczące transportu podano w </w:t>
      </w:r>
      <w:r w:rsidRPr="007621DF">
        <w:rPr>
          <w:rFonts w:ascii="Calibri" w:hAnsi="Calibri" w:cs="Calibri"/>
        </w:rPr>
        <w:t>ST D-M-00.00.00 „Wymagania ogólne” [1] pkt 4.</w:t>
      </w:r>
    </w:p>
    <w:p w:rsidR="004767DA" w:rsidRPr="007621DF" w:rsidRDefault="004767DA" w:rsidP="004767DA">
      <w:pPr>
        <w:rPr>
          <w:rFonts w:ascii="Calibri" w:hAnsi="Calibri" w:cs="Calibri"/>
        </w:rPr>
      </w:pPr>
      <w:r w:rsidRPr="00364C8F">
        <w:rPr>
          <w:rFonts w:ascii="Calibri" w:hAnsi="Calibri" w:cs="Calibri"/>
          <w:b/>
        </w:rPr>
        <w:t>4.2.</w:t>
      </w:r>
      <w:r w:rsidRPr="007621DF">
        <w:rPr>
          <w:rFonts w:ascii="Calibri" w:hAnsi="Calibri" w:cs="Calibri"/>
        </w:rPr>
        <w:t xml:space="preserve"> Transport materiałów i sprzętu</w:t>
      </w:r>
    </w:p>
    <w:p w:rsidR="004767DA" w:rsidRDefault="004767DA" w:rsidP="004767DA">
      <w:pPr>
        <w:rPr>
          <w:rFonts w:ascii="Calibri" w:hAnsi="Calibri" w:cs="Calibri"/>
        </w:rPr>
      </w:pPr>
      <w:r w:rsidRPr="007621DF">
        <w:rPr>
          <w:rFonts w:ascii="Calibri" w:hAnsi="Calibri" w:cs="Calibri"/>
        </w:rPr>
        <w:tab/>
        <w:t>Sprzęt i materiały do prac geodezyjnych można przewozić dowolnym środkiem transportu.</w:t>
      </w:r>
    </w:p>
    <w:p w:rsidR="004767DA" w:rsidRPr="007621DF" w:rsidRDefault="004767DA" w:rsidP="004767DA">
      <w:pPr>
        <w:rPr>
          <w:rFonts w:ascii="Calibri" w:hAnsi="Calibri" w:cs="Calibri"/>
        </w:rPr>
      </w:pPr>
    </w:p>
    <w:p w:rsidR="004767DA" w:rsidRPr="00364C8F" w:rsidRDefault="004767DA" w:rsidP="004767DA">
      <w:pPr>
        <w:rPr>
          <w:rFonts w:ascii="Calibri" w:hAnsi="Calibri" w:cs="Calibri"/>
          <w:b/>
        </w:rPr>
      </w:pPr>
      <w:bookmarkStart w:id="166" w:name="_Toc124213277"/>
      <w:bookmarkStart w:id="167" w:name="_Toc144694239"/>
      <w:bookmarkStart w:id="168" w:name="_Toc199904823"/>
      <w:bookmarkStart w:id="169" w:name="_Toc204566520"/>
      <w:bookmarkStart w:id="170" w:name="_Toc274137174"/>
      <w:r w:rsidRPr="00364C8F">
        <w:rPr>
          <w:rFonts w:ascii="Calibri" w:hAnsi="Calibri" w:cs="Calibri"/>
          <w:b/>
        </w:rPr>
        <w:t xml:space="preserve">5. </w:t>
      </w:r>
      <w:bookmarkEnd w:id="166"/>
      <w:bookmarkEnd w:id="167"/>
      <w:bookmarkEnd w:id="168"/>
      <w:bookmarkEnd w:id="169"/>
      <w:bookmarkEnd w:id="170"/>
      <w:r w:rsidRPr="00364C8F">
        <w:rPr>
          <w:rFonts w:ascii="Calibri" w:hAnsi="Calibri" w:cs="Calibri"/>
          <w:b/>
        </w:rPr>
        <w:t>WYKONANIE ROBÓT</w:t>
      </w:r>
    </w:p>
    <w:p w:rsidR="004767DA" w:rsidRPr="007621DF" w:rsidRDefault="004767DA" w:rsidP="004767DA">
      <w:pPr>
        <w:rPr>
          <w:rFonts w:ascii="Calibri" w:hAnsi="Calibri" w:cs="Calibri"/>
        </w:rPr>
      </w:pPr>
      <w:r w:rsidRPr="00364C8F">
        <w:rPr>
          <w:rFonts w:ascii="Calibri" w:hAnsi="Calibri" w:cs="Calibri"/>
          <w:b/>
        </w:rPr>
        <w:t>5.1.</w:t>
      </w:r>
      <w:r w:rsidRPr="007621DF">
        <w:rPr>
          <w:rFonts w:ascii="Calibri" w:hAnsi="Calibri" w:cs="Calibri"/>
        </w:rPr>
        <w:t xml:space="preserve"> Ogólne zasady wykonania robót</w:t>
      </w:r>
    </w:p>
    <w:p w:rsidR="004767DA" w:rsidRPr="007621DF" w:rsidRDefault="004767DA" w:rsidP="004767DA">
      <w:pPr>
        <w:rPr>
          <w:rFonts w:ascii="Calibri" w:hAnsi="Calibri" w:cs="Calibri"/>
        </w:rPr>
      </w:pPr>
      <w:r w:rsidRPr="007621DF">
        <w:rPr>
          <w:rFonts w:ascii="Calibri" w:hAnsi="Calibri" w:cs="Calibri"/>
        </w:rPr>
        <w:tab/>
        <w:t>Ogólne z</w:t>
      </w:r>
      <w:r>
        <w:rPr>
          <w:rFonts w:ascii="Calibri" w:hAnsi="Calibri" w:cs="Calibri"/>
        </w:rPr>
        <w:t xml:space="preserve">asady wykonania robót podano w </w:t>
      </w:r>
      <w:r w:rsidRPr="007621DF">
        <w:rPr>
          <w:rFonts w:ascii="Calibri" w:hAnsi="Calibri" w:cs="Calibri"/>
        </w:rPr>
        <w:t>ST D-M-00.00.00 „Wymagania ogólne” [1] pkt 5.</w:t>
      </w:r>
    </w:p>
    <w:p w:rsidR="004767DA" w:rsidRPr="007621DF" w:rsidRDefault="004767DA" w:rsidP="004767DA">
      <w:pPr>
        <w:rPr>
          <w:rFonts w:ascii="Calibri" w:hAnsi="Calibri" w:cs="Calibri"/>
        </w:rPr>
      </w:pPr>
      <w:r w:rsidRPr="00364C8F">
        <w:rPr>
          <w:rFonts w:ascii="Calibri" w:hAnsi="Calibri" w:cs="Calibri"/>
          <w:b/>
        </w:rPr>
        <w:t>5.2.</w:t>
      </w:r>
      <w:r w:rsidRPr="007621DF">
        <w:rPr>
          <w:rFonts w:ascii="Calibri" w:hAnsi="Calibri" w:cs="Calibri"/>
        </w:rPr>
        <w:t xml:space="preserve"> Zasady wykonywania robót</w:t>
      </w:r>
    </w:p>
    <w:p w:rsidR="004767DA" w:rsidRPr="007621DF" w:rsidRDefault="004767DA" w:rsidP="004767DA">
      <w:pPr>
        <w:rPr>
          <w:rFonts w:ascii="Calibri" w:hAnsi="Calibri" w:cs="Calibri"/>
        </w:rPr>
      </w:pPr>
      <w:r w:rsidRPr="007621DF">
        <w:rPr>
          <w:rFonts w:ascii="Calibri" w:hAnsi="Calibri" w:cs="Calibri"/>
        </w:rPr>
        <w:tab/>
        <w:t>Podstawowe czynności przy wykonywaniu robót obejmują:</w:t>
      </w:r>
    </w:p>
    <w:p w:rsidR="004767DA" w:rsidRPr="007621DF" w:rsidRDefault="006C0559" w:rsidP="004767DA">
      <w:pPr>
        <w:rPr>
          <w:rFonts w:ascii="Calibri" w:hAnsi="Calibri" w:cs="Calibri"/>
        </w:rPr>
      </w:pPr>
      <w:r>
        <w:rPr>
          <w:rFonts w:ascii="Calibri" w:hAnsi="Calibri" w:cs="Calibri"/>
        </w:rPr>
        <w:t>-</w:t>
      </w:r>
      <w:r w:rsidR="004767DA" w:rsidRPr="007621DF">
        <w:rPr>
          <w:rFonts w:ascii="Calibri" w:hAnsi="Calibri" w:cs="Calibri"/>
        </w:rPr>
        <w:t xml:space="preserve">roboty przygotowawcze, </w:t>
      </w:r>
    </w:p>
    <w:p w:rsidR="004767DA" w:rsidRPr="007621DF" w:rsidRDefault="006C0559" w:rsidP="004767DA">
      <w:pPr>
        <w:rPr>
          <w:rFonts w:ascii="Calibri" w:hAnsi="Calibri" w:cs="Calibri"/>
        </w:rPr>
      </w:pPr>
      <w:r>
        <w:rPr>
          <w:rFonts w:ascii="Calibri" w:hAnsi="Calibri" w:cs="Calibri"/>
        </w:rPr>
        <w:t>-</w:t>
      </w:r>
      <w:r w:rsidR="004767DA" w:rsidRPr="007621DF">
        <w:rPr>
          <w:rFonts w:ascii="Calibri" w:hAnsi="Calibri" w:cs="Calibri"/>
        </w:rPr>
        <w:t>odtworzenie trasy i punktów wysokościowych,</w:t>
      </w:r>
    </w:p>
    <w:p w:rsidR="004767DA" w:rsidRPr="007621DF" w:rsidRDefault="006C0559" w:rsidP="004767DA">
      <w:pPr>
        <w:rPr>
          <w:rFonts w:ascii="Calibri" w:hAnsi="Calibri" w:cs="Calibri"/>
        </w:rPr>
      </w:pPr>
      <w:r>
        <w:rPr>
          <w:rFonts w:ascii="Calibri" w:hAnsi="Calibri" w:cs="Calibri"/>
        </w:rPr>
        <w:t>-</w:t>
      </w:r>
      <w:r w:rsidR="004767DA" w:rsidRPr="007621DF">
        <w:rPr>
          <w:rFonts w:ascii="Calibri" w:hAnsi="Calibri" w:cs="Calibri"/>
        </w:rPr>
        <w:t>geodezyjna inwentaryzacja powykonawcza.</w:t>
      </w:r>
    </w:p>
    <w:p w:rsidR="004767DA" w:rsidRPr="007621DF" w:rsidRDefault="004767DA" w:rsidP="004767DA">
      <w:pPr>
        <w:rPr>
          <w:rFonts w:ascii="Calibri" w:hAnsi="Calibri" w:cs="Calibri"/>
        </w:rPr>
      </w:pPr>
      <w:r w:rsidRPr="00364C8F">
        <w:rPr>
          <w:rFonts w:ascii="Calibri" w:hAnsi="Calibri" w:cs="Calibri"/>
          <w:b/>
        </w:rPr>
        <w:t>5.3.</w:t>
      </w:r>
      <w:r w:rsidRPr="007621DF">
        <w:rPr>
          <w:rFonts w:ascii="Calibri" w:hAnsi="Calibri" w:cs="Calibri"/>
        </w:rPr>
        <w:t xml:space="preserve"> Prace przygotowawcze</w:t>
      </w:r>
    </w:p>
    <w:p w:rsidR="004767DA" w:rsidRPr="007621DF" w:rsidRDefault="004767DA" w:rsidP="004767DA">
      <w:pPr>
        <w:rPr>
          <w:rFonts w:ascii="Calibri" w:hAnsi="Calibri" w:cs="Calibri"/>
        </w:rPr>
      </w:pPr>
      <w:r w:rsidRPr="007621DF">
        <w:rPr>
          <w:rFonts w:ascii="Calibri" w:hAnsi="Calibri" w:cs="Calibri"/>
        </w:rPr>
        <w:tab/>
        <w:t>Przed przystąpieniem do robót Wykonawca robót geodezyjnych powinien:</w:t>
      </w:r>
    </w:p>
    <w:p w:rsidR="004767DA" w:rsidRPr="007621DF" w:rsidRDefault="006C0559" w:rsidP="004767DA">
      <w:pPr>
        <w:rPr>
          <w:rFonts w:ascii="Calibri" w:hAnsi="Calibri" w:cs="Calibri"/>
        </w:rPr>
      </w:pPr>
      <w:r>
        <w:rPr>
          <w:rFonts w:ascii="Calibri" w:hAnsi="Calibri" w:cs="Calibri"/>
        </w:rPr>
        <w:t>-</w:t>
      </w:r>
      <w:r w:rsidR="004767DA" w:rsidRPr="007621DF">
        <w:rPr>
          <w:rFonts w:ascii="Calibri" w:hAnsi="Calibri" w:cs="Calibri"/>
        </w:rPr>
        <w:t>zapoznać się z zakresem opracowania,</w:t>
      </w:r>
    </w:p>
    <w:p w:rsidR="004767DA" w:rsidRPr="007621DF" w:rsidRDefault="006C0559" w:rsidP="004767DA">
      <w:pPr>
        <w:rPr>
          <w:rFonts w:ascii="Calibri" w:hAnsi="Calibri" w:cs="Calibri"/>
        </w:rPr>
      </w:pPr>
      <w:r>
        <w:rPr>
          <w:rFonts w:ascii="Calibri" w:hAnsi="Calibri" w:cs="Calibri"/>
        </w:rPr>
        <w:t>-</w:t>
      </w:r>
      <w:r w:rsidR="004767DA" w:rsidRPr="007621DF">
        <w:rPr>
          <w:rFonts w:ascii="Calibri" w:hAnsi="Calibri" w:cs="Calibri"/>
        </w:rPr>
        <w:t>przeprowadzić z Zamawiającym (Inżynierem) uzgodnienia dotyczące sposobu wykonania prac,</w:t>
      </w:r>
    </w:p>
    <w:p w:rsidR="004767DA" w:rsidRPr="007621DF" w:rsidRDefault="006C0559" w:rsidP="004767DA">
      <w:pPr>
        <w:rPr>
          <w:rFonts w:ascii="Calibri" w:hAnsi="Calibri" w:cs="Calibri"/>
        </w:rPr>
      </w:pPr>
      <w:r>
        <w:rPr>
          <w:rFonts w:ascii="Calibri" w:hAnsi="Calibri" w:cs="Calibri"/>
        </w:rPr>
        <w:t>-</w:t>
      </w:r>
      <w:r w:rsidR="004767DA" w:rsidRPr="007621DF">
        <w:rPr>
          <w:rFonts w:ascii="Calibri" w:hAnsi="Calibri" w:cs="Calibri"/>
        </w:rPr>
        <w:t>zapoznać się z dokumentacją projektową,</w:t>
      </w:r>
    </w:p>
    <w:p w:rsidR="004767DA" w:rsidRPr="007621DF" w:rsidRDefault="006C0559" w:rsidP="004767DA">
      <w:pPr>
        <w:rPr>
          <w:rFonts w:ascii="Calibri" w:hAnsi="Calibri" w:cs="Calibri"/>
        </w:rPr>
      </w:pPr>
      <w:r>
        <w:rPr>
          <w:rFonts w:ascii="Calibri" w:hAnsi="Calibri" w:cs="Calibri"/>
        </w:rPr>
        <w:t>-</w:t>
      </w:r>
      <w:r w:rsidR="004767DA" w:rsidRPr="007621DF">
        <w:rPr>
          <w:rFonts w:ascii="Calibri" w:hAnsi="Calibri" w:cs="Calibri"/>
        </w:rPr>
        <w:t>zebrać informacje o rodzaju i stanie osnów geodezyjnych na obszarze objętym budową drogi,</w:t>
      </w:r>
    </w:p>
    <w:p w:rsidR="004767DA" w:rsidRPr="007621DF" w:rsidRDefault="006C0559" w:rsidP="004767DA">
      <w:pPr>
        <w:rPr>
          <w:rFonts w:ascii="Calibri" w:hAnsi="Calibri" w:cs="Calibri"/>
        </w:rPr>
      </w:pPr>
      <w:r>
        <w:rPr>
          <w:rFonts w:ascii="Calibri" w:hAnsi="Calibri" w:cs="Calibri"/>
        </w:rPr>
        <w:t>-</w:t>
      </w:r>
      <w:r w:rsidR="004767DA" w:rsidRPr="007621DF">
        <w:rPr>
          <w:rFonts w:ascii="Calibri" w:hAnsi="Calibri" w:cs="Calibri"/>
        </w:rPr>
        <w:t xml:space="preserve">zapoznać się z przewidywanym sposobem realizacji budowy, </w:t>
      </w:r>
    </w:p>
    <w:p w:rsidR="004767DA" w:rsidRPr="007621DF" w:rsidRDefault="006C0559" w:rsidP="004767DA">
      <w:pPr>
        <w:rPr>
          <w:rFonts w:ascii="Calibri" w:hAnsi="Calibri" w:cs="Calibri"/>
        </w:rPr>
      </w:pPr>
      <w:r>
        <w:rPr>
          <w:rFonts w:ascii="Calibri" w:hAnsi="Calibri" w:cs="Calibri"/>
        </w:rPr>
        <w:t>-</w:t>
      </w:r>
      <w:r w:rsidR="004767DA" w:rsidRPr="007621DF">
        <w:rPr>
          <w:rFonts w:ascii="Calibri" w:hAnsi="Calibri" w:cs="Calibri"/>
        </w:rPr>
        <w:t>przeprowadzić wywiad szczegółowy w terenie.</w:t>
      </w:r>
    </w:p>
    <w:p w:rsidR="004767DA" w:rsidRPr="007621DF" w:rsidRDefault="004767DA" w:rsidP="004767DA">
      <w:pPr>
        <w:rPr>
          <w:rFonts w:ascii="Calibri" w:hAnsi="Calibri" w:cs="Calibri"/>
        </w:rPr>
      </w:pPr>
      <w:r w:rsidRPr="00364C8F">
        <w:rPr>
          <w:rFonts w:ascii="Calibri" w:hAnsi="Calibri" w:cs="Calibri"/>
          <w:b/>
        </w:rPr>
        <w:t>5.4.</w:t>
      </w:r>
      <w:r w:rsidRPr="007621DF">
        <w:rPr>
          <w:rFonts w:ascii="Calibri" w:hAnsi="Calibri" w:cs="Calibri"/>
        </w:rPr>
        <w:t xml:space="preserve"> Odtworzenie trasy drogi i punktów wysokościowych</w:t>
      </w:r>
    </w:p>
    <w:p w:rsidR="004767DA" w:rsidRPr="007621DF" w:rsidRDefault="004767DA" w:rsidP="004767DA">
      <w:pPr>
        <w:rPr>
          <w:rFonts w:ascii="Calibri" w:hAnsi="Calibri" w:cs="Calibri"/>
        </w:rPr>
      </w:pPr>
      <w:r w:rsidRPr="00364C8F">
        <w:rPr>
          <w:rFonts w:ascii="Calibri" w:hAnsi="Calibri" w:cs="Calibri"/>
          <w:b/>
        </w:rPr>
        <w:t>5.4.1.</w:t>
      </w:r>
      <w:r w:rsidRPr="007621DF">
        <w:rPr>
          <w:rFonts w:ascii="Calibri" w:hAnsi="Calibri" w:cs="Calibri"/>
        </w:rPr>
        <w:t xml:space="preserve"> Zasady wykonywania prac pomiarowych</w:t>
      </w:r>
    </w:p>
    <w:p w:rsidR="004767DA" w:rsidRPr="007621DF" w:rsidRDefault="004767DA" w:rsidP="004767DA">
      <w:pPr>
        <w:rPr>
          <w:rFonts w:ascii="Calibri" w:hAnsi="Calibri" w:cs="Calibri"/>
        </w:rPr>
      </w:pPr>
      <w:r w:rsidRPr="007621DF">
        <w:rPr>
          <w:rFonts w:ascii="Calibri" w:hAnsi="Calibri" w:cs="Calibri"/>
        </w:rPr>
        <w:tab/>
        <w:t>Prace pomiarowe powinny być wykonane zgodnie z obowiązującymi Instrukcjami i wytycznymi GUGiK [3÷10].</w:t>
      </w:r>
    </w:p>
    <w:p w:rsidR="004767DA" w:rsidRPr="007621DF" w:rsidRDefault="004767DA" w:rsidP="004767DA">
      <w:pPr>
        <w:rPr>
          <w:rFonts w:ascii="Calibri" w:hAnsi="Calibri" w:cs="Calibri"/>
        </w:rPr>
      </w:pPr>
      <w:r w:rsidRPr="007621DF">
        <w:rPr>
          <w:rFonts w:ascii="Calibri" w:hAnsi="Calibri" w:cs="Calibri"/>
        </w:rPr>
        <w:tab/>
        <w:t>Przed przystąpieniem do robót Wykonawca powinien przejąć od Zamawiającego dane zawierające lokalizację i współrzędne punktów głównych trasy oraz reperów.</w:t>
      </w:r>
    </w:p>
    <w:p w:rsidR="004767DA" w:rsidRPr="007621DF" w:rsidRDefault="004767DA" w:rsidP="004767DA">
      <w:pPr>
        <w:rPr>
          <w:rFonts w:ascii="Calibri" w:hAnsi="Calibri" w:cs="Calibri"/>
        </w:rPr>
      </w:pPr>
      <w:r w:rsidRPr="007621DF">
        <w:rPr>
          <w:rFonts w:ascii="Calibri" w:hAnsi="Calibri" w:cs="Calibri"/>
        </w:rPr>
        <w:tab/>
        <w:t>W oparciu o materiały dostarczone przez Zamawiającego, Wykonawca powinien przeprowadzić obliczenia i pomiary geodezyjne niezbędne do szczegółowego wytyczenia robót.</w:t>
      </w:r>
    </w:p>
    <w:p w:rsidR="004767DA" w:rsidRPr="007621DF" w:rsidRDefault="004767DA" w:rsidP="004767DA">
      <w:pPr>
        <w:rPr>
          <w:rFonts w:ascii="Calibri" w:hAnsi="Calibri" w:cs="Calibri"/>
        </w:rPr>
      </w:pPr>
      <w:r w:rsidRPr="007621DF">
        <w:rPr>
          <w:rFonts w:ascii="Calibri" w:hAnsi="Calibri" w:cs="Calibri"/>
        </w:rPr>
        <w:tab/>
        <w:t>Prace pomiarowe powinny być wykonane przez osoby posiadające odpowiednie kwalifikacje i uprawnienia.</w:t>
      </w:r>
    </w:p>
    <w:p w:rsidR="004767DA" w:rsidRPr="007621DF" w:rsidRDefault="004767DA" w:rsidP="004767DA">
      <w:pPr>
        <w:rPr>
          <w:rFonts w:ascii="Calibri" w:hAnsi="Calibri" w:cs="Calibri"/>
        </w:rPr>
      </w:pPr>
      <w:r w:rsidRPr="007621DF">
        <w:rPr>
          <w:rFonts w:ascii="Calibri" w:hAnsi="Calibri" w:cs="Calibri"/>
        </w:rPr>
        <w:tab/>
        <w:t>Wykonawca powinien natychmiast poinformować Inżyniera o wszelkich błędach wykrytych w wytyczeniu punktów głównych trasy i (lub) reperów roboczych. Błędy te powinny być usunięte na koszt Zamawiającego.</w:t>
      </w:r>
    </w:p>
    <w:p w:rsidR="004767DA" w:rsidRPr="007621DF" w:rsidRDefault="004767DA" w:rsidP="004767DA">
      <w:pPr>
        <w:rPr>
          <w:rFonts w:ascii="Calibri" w:hAnsi="Calibri" w:cs="Calibri"/>
        </w:rPr>
      </w:pPr>
      <w:r w:rsidRPr="007621DF">
        <w:rPr>
          <w:rFonts w:ascii="Calibri" w:hAnsi="Calibri" w:cs="Calibri"/>
        </w:rPr>
        <w:tab/>
        <w:t>Wykonawca powinien sprawdzić czy rzędne terenu określone w dokumentacji projektowej są zgodne z rzeczywistymi rzędnymi terenu. Jeżeli Wykonawca stwierdzi, że rzeczywiste rzędne terenu istotnie różnią się od rzędnych określonych w dokumentacji projektowej, to powinien powiadomić o tym Inżyniera. Ukształtowanie terenu w takim rejonie nie powinno być zmieniane przed podjęciem odpowiedniej decyzji przez Inżyniera. Wszystkie roboty dodatkowe, wynikające z różnic rzędnych terenu podanych w dokumentacji projektowej i rzędnych rzeczywistych, akceptowane przez Inżyniera, zostaną wykonane na koszt Zamawiającego. Zaniechanie powiadomienia Inżyniera oznacza, że roboty dodatkowe w takim przypadku obciążą Wykonawcę.</w:t>
      </w:r>
    </w:p>
    <w:p w:rsidR="004767DA" w:rsidRPr="007621DF" w:rsidRDefault="004767DA" w:rsidP="004767DA">
      <w:pPr>
        <w:rPr>
          <w:rFonts w:ascii="Calibri" w:hAnsi="Calibri" w:cs="Calibri"/>
        </w:rPr>
      </w:pPr>
      <w:r w:rsidRPr="007621DF">
        <w:rPr>
          <w:rFonts w:ascii="Calibri" w:hAnsi="Calibri" w:cs="Calibri"/>
        </w:rPr>
        <w:lastRenderedPageBreak/>
        <w:tab/>
        <w:t>Wszystkie roboty, które bazują na pomiarach Wykonawcy, nie mogą być rozpoczęte przed zaakceptowaniem wyników pomiarów przez Inżyniera.</w:t>
      </w:r>
    </w:p>
    <w:p w:rsidR="004767DA" w:rsidRPr="007621DF" w:rsidRDefault="004767DA" w:rsidP="004767DA">
      <w:pPr>
        <w:rPr>
          <w:rFonts w:ascii="Calibri" w:hAnsi="Calibri" w:cs="Calibri"/>
        </w:rPr>
      </w:pPr>
      <w:r w:rsidRPr="007621DF">
        <w:rPr>
          <w:rFonts w:ascii="Calibri" w:hAnsi="Calibri" w:cs="Calibri"/>
        </w:rPr>
        <w:tab/>
        <w:t>Punkty wierzchołkowe, punkty główne trasy i punkty pośrednie osi trasy muszą być zaopatrzone w oznaczenia określające w sposób wyraźny i jednoznaczny charakterystykę i położenie tych punktów. Forma i wzór tych oznaczeń powinny być zaakceptowane przez Inżyniera.</w:t>
      </w:r>
    </w:p>
    <w:p w:rsidR="004767DA" w:rsidRPr="007621DF" w:rsidRDefault="004767DA" w:rsidP="004767DA">
      <w:pPr>
        <w:rPr>
          <w:rFonts w:ascii="Calibri" w:hAnsi="Calibri" w:cs="Calibri"/>
        </w:rPr>
      </w:pPr>
      <w:r w:rsidRPr="007621DF">
        <w:rPr>
          <w:rFonts w:ascii="Calibri" w:hAnsi="Calibri" w:cs="Calibri"/>
        </w:rPr>
        <w:tab/>
        <w:t>Wykonawca jest odpowiedzialny za zabezpieczanie wszystkich punktów pomiarowych i ich oznaczeń w czasie trwania robót. Jeżeli znaki pomiarowe przekazane przez Zamawiającego zostaną zniszczone przez Wykonawcę świadomie lub wskutek zaniedbania, a ich odtworzenie jest konieczne do dalszego prowadzenia robót, to zostaną one odtworzone na koszt Wykonawcy.</w:t>
      </w:r>
    </w:p>
    <w:p w:rsidR="004767DA" w:rsidRPr="007621DF" w:rsidRDefault="004767DA" w:rsidP="004767DA">
      <w:pPr>
        <w:rPr>
          <w:rFonts w:ascii="Calibri" w:hAnsi="Calibri" w:cs="Calibri"/>
        </w:rPr>
      </w:pPr>
      <w:r w:rsidRPr="007621DF">
        <w:rPr>
          <w:rFonts w:ascii="Calibri" w:hAnsi="Calibri" w:cs="Calibri"/>
        </w:rPr>
        <w:tab/>
        <w:t>Wszystkie pozostałe prace pomiarowe konieczne dla prawidłowej realizacji robót należą do obowiązków Wykonawcy.</w:t>
      </w:r>
    </w:p>
    <w:p w:rsidR="004767DA" w:rsidRPr="007621DF" w:rsidRDefault="004767DA" w:rsidP="004767DA">
      <w:pPr>
        <w:rPr>
          <w:rFonts w:ascii="Calibri" w:hAnsi="Calibri" w:cs="Calibri"/>
        </w:rPr>
      </w:pPr>
      <w:r w:rsidRPr="00364C8F">
        <w:rPr>
          <w:rFonts w:ascii="Calibri" w:hAnsi="Calibri" w:cs="Calibri"/>
          <w:b/>
        </w:rPr>
        <w:t>5.4.2.</w:t>
      </w:r>
      <w:r w:rsidRPr="007621DF">
        <w:rPr>
          <w:rFonts w:ascii="Calibri" w:hAnsi="Calibri" w:cs="Calibri"/>
        </w:rPr>
        <w:t xml:space="preserve"> Sprawdzenie wyznaczenia punktów głównych osi trasy i punktów wysokościowych</w:t>
      </w:r>
    </w:p>
    <w:p w:rsidR="004767DA" w:rsidRPr="007621DF" w:rsidRDefault="004767DA" w:rsidP="004767DA">
      <w:pPr>
        <w:rPr>
          <w:rFonts w:ascii="Calibri" w:hAnsi="Calibri" w:cs="Calibri"/>
        </w:rPr>
      </w:pPr>
      <w:r w:rsidRPr="007621DF">
        <w:rPr>
          <w:rFonts w:ascii="Calibri" w:hAnsi="Calibri" w:cs="Calibri"/>
        </w:rPr>
        <w:tab/>
        <w:t>Punkty wierzchołkowe trasy i inne punkty główne powinny być zastabilizowane w sposób trwały, przy użyciu pali drewnianych lub słupków betonowych, a także dowiązane do punktów pomocniczych, położonych poza granicą robót ziemnych. Maksymalna odległość pomiędzy punktami głównymi na odcinkach prostych nie może przekr</w:t>
      </w:r>
      <w:r>
        <w:rPr>
          <w:rFonts w:ascii="Calibri" w:hAnsi="Calibri" w:cs="Calibri"/>
        </w:rPr>
        <w:t xml:space="preserve">aczać </w:t>
      </w:r>
      <w:smartTag w:uri="urn:schemas-microsoft-com:office:smarttags" w:element="metricconverter">
        <w:smartTagPr>
          <w:attr w:name="ProductID" w:val="500 m"/>
        </w:smartTagPr>
        <w:r w:rsidRPr="007621DF">
          <w:rPr>
            <w:rFonts w:ascii="Calibri" w:hAnsi="Calibri" w:cs="Calibri"/>
          </w:rPr>
          <w:t>500 m</w:t>
        </w:r>
      </w:smartTag>
      <w:r w:rsidRPr="007621DF">
        <w:rPr>
          <w:rFonts w:ascii="Calibri" w:hAnsi="Calibri" w:cs="Calibri"/>
        </w:rPr>
        <w:t>.</w:t>
      </w:r>
    </w:p>
    <w:p w:rsidR="004767DA" w:rsidRPr="007621DF" w:rsidRDefault="004767DA" w:rsidP="004767DA">
      <w:pPr>
        <w:rPr>
          <w:rFonts w:ascii="Calibri" w:hAnsi="Calibri" w:cs="Calibri"/>
        </w:rPr>
      </w:pPr>
      <w:r w:rsidRPr="007621DF">
        <w:rPr>
          <w:rFonts w:ascii="Calibri" w:hAnsi="Calibri" w:cs="Calibri"/>
        </w:rPr>
        <w:tab/>
        <w:t xml:space="preserve">Wykonawca powinien założyć robocze punkty wysokościowe (repery robocze) wzdłuż osi trasy drogowej, a także przy każdym obiekcie inżynierskim. Maksymalna odległość między reperami roboczymi wzdłuż trasy drogowej w terenie płaskim powinna wynosić </w:t>
      </w:r>
      <w:smartTag w:uri="urn:schemas-microsoft-com:office:smarttags" w:element="metricconverter">
        <w:smartTagPr>
          <w:attr w:name="ProductID" w:val="500 metr￳w"/>
        </w:smartTagPr>
        <w:r w:rsidRPr="007621DF">
          <w:rPr>
            <w:rFonts w:ascii="Calibri" w:hAnsi="Calibri" w:cs="Calibri"/>
          </w:rPr>
          <w:t>500 metrów</w:t>
        </w:r>
      </w:smartTag>
      <w:r w:rsidRPr="007621DF">
        <w:rPr>
          <w:rFonts w:ascii="Calibri" w:hAnsi="Calibri" w:cs="Calibri"/>
        </w:rPr>
        <w:t>, natomiast w terenie falistym i górskim powinna być odpowiednio zmniejszona, zależnie od jego konfiguracji.</w:t>
      </w:r>
    </w:p>
    <w:p w:rsidR="004767DA" w:rsidRPr="007621DF" w:rsidRDefault="004767DA" w:rsidP="004767DA">
      <w:pPr>
        <w:rPr>
          <w:rFonts w:ascii="Calibri" w:hAnsi="Calibri" w:cs="Calibri"/>
        </w:rPr>
      </w:pPr>
      <w:r w:rsidRPr="007621DF">
        <w:rPr>
          <w:rFonts w:ascii="Calibri" w:hAnsi="Calibri" w:cs="Calibri"/>
        </w:rPr>
        <w:tab/>
        <w:t>Repery robocze należy założyć poza granicami robót związanych z wykonaniem trasy drogowej i obiektów towarzyszących. Jako repery robocze można wykorzystać punkty stałe na stabilnych, istniejących budowlach wzdłuż trasy drogowej. O ile brak jest  takich punktów, repery robocze należy założyć w postaci słupków betonowych lub grubych kształtowników stalowych, osadzonych w gruncie w sposób wykluczający osiadanie, w sposób zaakceptowany przez Inżyniera.</w:t>
      </w:r>
    </w:p>
    <w:p w:rsidR="004767DA" w:rsidRPr="007621DF" w:rsidRDefault="004767DA" w:rsidP="004767DA">
      <w:pPr>
        <w:rPr>
          <w:rFonts w:ascii="Calibri" w:hAnsi="Calibri" w:cs="Calibri"/>
        </w:rPr>
      </w:pPr>
      <w:r w:rsidRPr="007621DF">
        <w:rPr>
          <w:rFonts w:ascii="Calibri" w:hAnsi="Calibri" w:cs="Calibri"/>
        </w:rPr>
        <w:tab/>
        <w:t>Rzędne reperów roboczych należy określać z taką dokładnością, aby średni błąd niwelacji po wyrównaniu był mniejszy od 4 mm/km, stosując niwelację podwójną w nawiązaniu do reperów państwowych.</w:t>
      </w:r>
    </w:p>
    <w:p w:rsidR="004767DA" w:rsidRPr="007621DF" w:rsidRDefault="004767DA" w:rsidP="004767DA">
      <w:pPr>
        <w:rPr>
          <w:rFonts w:ascii="Calibri" w:hAnsi="Calibri" w:cs="Calibri"/>
        </w:rPr>
      </w:pPr>
      <w:r w:rsidRPr="007621DF">
        <w:rPr>
          <w:rFonts w:ascii="Calibri" w:hAnsi="Calibri" w:cs="Calibri"/>
        </w:rPr>
        <w:tab/>
        <w:t>Repery robocze powinny być wyposażone w dodatkowe oznaczenia, zawierające wyraźne i jednoznaczne określenie nazwy reperu i jego rzędnej.</w:t>
      </w:r>
    </w:p>
    <w:p w:rsidR="004767DA" w:rsidRPr="007621DF" w:rsidRDefault="004767DA" w:rsidP="004767DA">
      <w:pPr>
        <w:rPr>
          <w:rFonts w:ascii="Calibri" w:hAnsi="Calibri" w:cs="Calibri"/>
        </w:rPr>
      </w:pPr>
      <w:r w:rsidRPr="00364C8F">
        <w:rPr>
          <w:rFonts w:ascii="Calibri" w:hAnsi="Calibri" w:cs="Calibri"/>
          <w:b/>
        </w:rPr>
        <w:t>5.4.3.</w:t>
      </w:r>
      <w:r w:rsidRPr="007621DF">
        <w:rPr>
          <w:rFonts w:ascii="Calibri" w:hAnsi="Calibri" w:cs="Calibri"/>
        </w:rPr>
        <w:t xml:space="preserve">  Odtworzenie osi trasy</w:t>
      </w:r>
    </w:p>
    <w:p w:rsidR="004767DA" w:rsidRPr="007621DF" w:rsidRDefault="004767DA" w:rsidP="004767DA">
      <w:pPr>
        <w:rPr>
          <w:rFonts w:ascii="Calibri" w:hAnsi="Calibri" w:cs="Calibri"/>
        </w:rPr>
      </w:pPr>
      <w:r w:rsidRPr="007621DF">
        <w:rPr>
          <w:rFonts w:ascii="Calibri" w:hAnsi="Calibri" w:cs="Calibri"/>
        </w:rPr>
        <w:tab/>
        <w:t>Tyczenie osi trasy należy wykonać w oparciu o dokumentację projektową oraz inne dane geodezyjne przekazane przez Zamawiającego, przy wykorzystaniu sieci poligonizacji państwowej albo innej osnowy geodezyjnej, określonej w dokumentacji projektowej.</w:t>
      </w:r>
    </w:p>
    <w:p w:rsidR="004767DA" w:rsidRPr="007621DF" w:rsidRDefault="004767DA" w:rsidP="004767DA">
      <w:pPr>
        <w:rPr>
          <w:rFonts w:ascii="Calibri" w:hAnsi="Calibri" w:cs="Calibri"/>
        </w:rPr>
      </w:pPr>
      <w:r w:rsidRPr="007621DF">
        <w:rPr>
          <w:rFonts w:ascii="Calibri" w:hAnsi="Calibri" w:cs="Calibri"/>
        </w:rPr>
        <w:tab/>
        <w:t xml:space="preserve">Oś trasy powinna być wyznaczona w punktach głównych i w punktach pośrednich w odległości zależnej od charakterystyki terenu i ukształtowania trasy, lecz nie rzadziej niż co </w:t>
      </w:r>
      <w:smartTag w:uri="urn:schemas-microsoft-com:office:smarttags" w:element="metricconverter">
        <w:smartTagPr>
          <w:attr w:name="ProductID" w:val="50 metr￳w"/>
        </w:smartTagPr>
        <w:r w:rsidRPr="007621DF">
          <w:rPr>
            <w:rFonts w:ascii="Calibri" w:hAnsi="Calibri" w:cs="Calibri"/>
          </w:rPr>
          <w:t>50 metrów</w:t>
        </w:r>
      </w:smartTag>
      <w:r w:rsidRPr="007621DF">
        <w:rPr>
          <w:rFonts w:ascii="Calibri" w:hAnsi="Calibri" w:cs="Calibri"/>
        </w:rPr>
        <w:t>.</w:t>
      </w:r>
    </w:p>
    <w:p w:rsidR="004767DA" w:rsidRPr="007621DF" w:rsidRDefault="004767DA" w:rsidP="004767DA">
      <w:pPr>
        <w:rPr>
          <w:rFonts w:ascii="Calibri" w:hAnsi="Calibri" w:cs="Calibri"/>
        </w:rPr>
      </w:pPr>
      <w:r w:rsidRPr="007621DF">
        <w:rPr>
          <w:rFonts w:ascii="Calibri" w:hAnsi="Calibri" w:cs="Calibri"/>
        </w:rPr>
        <w:tab/>
        <w:t xml:space="preserve">Dopuszczalne odchylenie sytuacyjne wytyczonej osi trasy w stosunku do dokumentacji projektowej nie może być większe niż </w:t>
      </w:r>
      <w:smartTag w:uri="urn:schemas-microsoft-com:office:smarttags" w:element="metricconverter">
        <w:smartTagPr>
          <w:attr w:name="ProductID" w:val="3 cm"/>
        </w:smartTagPr>
        <w:r w:rsidRPr="007621DF">
          <w:rPr>
            <w:rFonts w:ascii="Calibri" w:hAnsi="Calibri" w:cs="Calibri"/>
          </w:rPr>
          <w:t>3 cm</w:t>
        </w:r>
      </w:smartTag>
      <w:r w:rsidRPr="007621DF">
        <w:rPr>
          <w:rFonts w:ascii="Calibri" w:hAnsi="Calibri" w:cs="Calibri"/>
        </w:rPr>
        <w:t xml:space="preserve"> dla autostrad i dróg ekspresowych lub </w:t>
      </w:r>
      <w:smartTag w:uri="urn:schemas-microsoft-com:office:smarttags" w:element="metricconverter">
        <w:smartTagPr>
          <w:attr w:name="ProductID" w:val="5 cm"/>
        </w:smartTagPr>
        <w:r w:rsidRPr="007621DF">
          <w:rPr>
            <w:rFonts w:ascii="Calibri" w:hAnsi="Calibri" w:cs="Calibri"/>
          </w:rPr>
          <w:t>5 cm</w:t>
        </w:r>
      </w:smartTag>
      <w:r w:rsidRPr="007621DF">
        <w:rPr>
          <w:rFonts w:ascii="Calibri" w:hAnsi="Calibri" w:cs="Calibri"/>
        </w:rPr>
        <w:t xml:space="preserve"> dla pozostałych dróg. Rzędne niwelety punktów osi trasy należy wyznaczyć z dokładnością do </w:t>
      </w:r>
      <w:smartTag w:uri="urn:schemas-microsoft-com:office:smarttags" w:element="metricconverter">
        <w:smartTagPr>
          <w:attr w:name="ProductID" w:val="1 cm"/>
        </w:smartTagPr>
        <w:r w:rsidRPr="007621DF">
          <w:rPr>
            <w:rFonts w:ascii="Calibri" w:hAnsi="Calibri" w:cs="Calibri"/>
          </w:rPr>
          <w:t>1 cm</w:t>
        </w:r>
      </w:smartTag>
      <w:r w:rsidRPr="007621DF">
        <w:rPr>
          <w:rFonts w:ascii="Calibri" w:hAnsi="Calibri" w:cs="Calibri"/>
        </w:rPr>
        <w:t xml:space="preserve"> w stosunku do rzędnych niwelety określonych w dokumentacji projektowej.</w:t>
      </w:r>
    </w:p>
    <w:p w:rsidR="004767DA" w:rsidRPr="007621DF" w:rsidRDefault="004767DA" w:rsidP="004767DA">
      <w:pPr>
        <w:rPr>
          <w:rFonts w:ascii="Calibri" w:hAnsi="Calibri" w:cs="Calibri"/>
        </w:rPr>
      </w:pPr>
      <w:r w:rsidRPr="007621DF">
        <w:rPr>
          <w:rFonts w:ascii="Calibri" w:hAnsi="Calibri" w:cs="Calibri"/>
        </w:rPr>
        <w:tab/>
        <w:t>Do utrwalenia osi trasy w terenie należy użyć materiałów wymienionych w pkcie 2.2.</w:t>
      </w:r>
    </w:p>
    <w:p w:rsidR="004767DA" w:rsidRPr="007621DF" w:rsidRDefault="004767DA" w:rsidP="004767DA">
      <w:pPr>
        <w:rPr>
          <w:rFonts w:ascii="Calibri" w:hAnsi="Calibri" w:cs="Calibri"/>
        </w:rPr>
      </w:pPr>
      <w:r w:rsidRPr="007621DF">
        <w:rPr>
          <w:rFonts w:ascii="Calibri" w:hAnsi="Calibri" w:cs="Calibri"/>
        </w:rPr>
        <w:tab/>
        <w:t>Usunięcie pali z osi trasy jest dopuszczalne tylko wówczas, gdy Wykonawca robót zastąpi je odpowiednimi palami po obu stronach osi, umieszczonych poza granicą robót.</w:t>
      </w:r>
    </w:p>
    <w:p w:rsidR="004767DA" w:rsidRPr="007621DF" w:rsidRDefault="004767DA" w:rsidP="004767DA">
      <w:pPr>
        <w:rPr>
          <w:rFonts w:ascii="Calibri" w:hAnsi="Calibri" w:cs="Calibri"/>
        </w:rPr>
      </w:pPr>
      <w:r w:rsidRPr="00364C8F">
        <w:rPr>
          <w:rFonts w:ascii="Calibri" w:hAnsi="Calibri" w:cs="Calibri"/>
          <w:b/>
        </w:rPr>
        <w:t>5.4.4.</w:t>
      </w:r>
      <w:r w:rsidRPr="007621DF">
        <w:rPr>
          <w:rFonts w:ascii="Calibri" w:hAnsi="Calibri" w:cs="Calibri"/>
        </w:rPr>
        <w:t xml:space="preserve"> Wyznaczenie przekrojów poprzecznych</w:t>
      </w:r>
    </w:p>
    <w:p w:rsidR="004767DA" w:rsidRPr="007621DF" w:rsidRDefault="004767DA" w:rsidP="004767DA">
      <w:pPr>
        <w:rPr>
          <w:rFonts w:ascii="Calibri" w:hAnsi="Calibri" w:cs="Calibri"/>
        </w:rPr>
      </w:pPr>
      <w:r w:rsidRPr="007621DF">
        <w:rPr>
          <w:rFonts w:ascii="Calibri" w:hAnsi="Calibri" w:cs="Calibri"/>
        </w:rPr>
        <w:tab/>
        <w:t>Wyznaczenie przekrojów poprzecznych obejmuje wyznaczenie krawędzi nasypów i wykopów na powierzchni terenu (określenie granicy robót), zgodnie z dokumentacją projektową oraz w miejscach wymagających uzupełnienia dla poprawnego przeprowadzenia robót i w miejscach zaakceptowanych przez Inżyniera.</w:t>
      </w:r>
    </w:p>
    <w:p w:rsidR="004767DA" w:rsidRPr="007621DF" w:rsidRDefault="004767DA" w:rsidP="004767DA">
      <w:pPr>
        <w:rPr>
          <w:rFonts w:ascii="Calibri" w:hAnsi="Calibri" w:cs="Calibri"/>
        </w:rPr>
      </w:pPr>
      <w:r w:rsidRPr="007621DF">
        <w:rPr>
          <w:rFonts w:ascii="Calibri" w:hAnsi="Calibri" w:cs="Calibri"/>
        </w:rPr>
        <w:tab/>
        <w:t xml:space="preserve">Do wyznaczania krawędzi nasypów i wykopów należy stosować dobrze widoczne paliki lub wiechy. Wiechy należy stosować w przypadku nasypów o wysokości przekraczającej </w:t>
      </w:r>
      <w:smartTag w:uri="urn:schemas-microsoft-com:office:smarttags" w:element="metricconverter">
        <w:smartTagPr>
          <w:attr w:name="ProductID" w:val="1 metr"/>
        </w:smartTagPr>
        <w:r w:rsidRPr="007621DF">
          <w:rPr>
            <w:rFonts w:ascii="Calibri" w:hAnsi="Calibri" w:cs="Calibri"/>
          </w:rPr>
          <w:t>1 metr</w:t>
        </w:r>
      </w:smartTag>
      <w:r w:rsidRPr="007621DF">
        <w:rPr>
          <w:rFonts w:ascii="Calibri" w:hAnsi="Calibri" w:cs="Calibri"/>
        </w:rPr>
        <w:t xml:space="preserve"> oraz wykopów głębszych niż </w:t>
      </w:r>
      <w:smartTag w:uri="urn:schemas-microsoft-com:office:smarttags" w:element="metricconverter">
        <w:smartTagPr>
          <w:attr w:name="ProductID" w:val="1 metr"/>
        </w:smartTagPr>
        <w:r w:rsidRPr="007621DF">
          <w:rPr>
            <w:rFonts w:ascii="Calibri" w:hAnsi="Calibri" w:cs="Calibri"/>
          </w:rPr>
          <w:t>1 metr</w:t>
        </w:r>
      </w:smartTag>
      <w:r w:rsidRPr="007621DF">
        <w:rPr>
          <w:rFonts w:ascii="Calibri" w:hAnsi="Calibri" w:cs="Calibri"/>
        </w:rPr>
        <w:t>. Odległość między palikami lub wiechami należy dostosować do ukształtowania terenu oraz geometrii trasy drogowej. Odległość ta co najmniej powinna odpowiadać odstępowi kolejnych przekrojów poprzecznych.</w:t>
      </w:r>
    </w:p>
    <w:p w:rsidR="004767DA" w:rsidRPr="007621DF" w:rsidRDefault="004767DA" w:rsidP="004767DA">
      <w:pPr>
        <w:rPr>
          <w:rFonts w:ascii="Calibri" w:hAnsi="Calibri" w:cs="Calibri"/>
        </w:rPr>
      </w:pPr>
      <w:r w:rsidRPr="007621DF">
        <w:rPr>
          <w:rFonts w:ascii="Calibri" w:hAnsi="Calibri" w:cs="Calibri"/>
        </w:rPr>
        <w:tab/>
        <w:t>Profilowanie przekrojów poprzecznych musi umożliwiać wykonanie nasypów i wykopów o kształcie zgodnym z dokumentacją projektową.</w:t>
      </w:r>
    </w:p>
    <w:p w:rsidR="004767DA" w:rsidRPr="007621DF" w:rsidRDefault="004767DA" w:rsidP="004767DA">
      <w:pPr>
        <w:rPr>
          <w:rFonts w:ascii="Calibri" w:hAnsi="Calibri" w:cs="Calibri"/>
        </w:rPr>
      </w:pPr>
      <w:r w:rsidRPr="00364C8F">
        <w:rPr>
          <w:rFonts w:ascii="Calibri" w:hAnsi="Calibri" w:cs="Calibri"/>
          <w:b/>
        </w:rPr>
        <w:t>5.4.5.</w:t>
      </w:r>
      <w:r w:rsidRPr="007621DF">
        <w:rPr>
          <w:rFonts w:ascii="Calibri" w:hAnsi="Calibri" w:cs="Calibri"/>
        </w:rPr>
        <w:t xml:space="preserve">  Wyznaczenie położenia obiektów mostowych</w:t>
      </w:r>
    </w:p>
    <w:p w:rsidR="004767DA" w:rsidRPr="007621DF" w:rsidRDefault="004767DA" w:rsidP="004767DA">
      <w:pPr>
        <w:rPr>
          <w:rFonts w:ascii="Calibri" w:hAnsi="Calibri" w:cs="Calibri"/>
        </w:rPr>
      </w:pPr>
      <w:r w:rsidRPr="007621DF">
        <w:rPr>
          <w:rFonts w:ascii="Calibri" w:hAnsi="Calibri" w:cs="Calibri"/>
        </w:rPr>
        <w:tab/>
        <w:t>Dla każdego z obiektów mostowych należy wyznaczyć jego położenie w terenie poprzez:</w:t>
      </w:r>
    </w:p>
    <w:p w:rsidR="004767DA" w:rsidRPr="007621DF" w:rsidRDefault="006C0559" w:rsidP="004767DA">
      <w:pPr>
        <w:rPr>
          <w:rFonts w:ascii="Calibri" w:hAnsi="Calibri" w:cs="Calibri"/>
        </w:rPr>
      </w:pPr>
      <w:r>
        <w:rPr>
          <w:rFonts w:ascii="Calibri" w:hAnsi="Calibri" w:cs="Calibri"/>
        </w:rPr>
        <w:t>-</w:t>
      </w:r>
      <w:r w:rsidR="004767DA" w:rsidRPr="007621DF">
        <w:rPr>
          <w:rFonts w:ascii="Calibri" w:hAnsi="Calibri" w:cs="Calibri"/>
        </w:rPr>
        <w:t>wytyczenie osi obiektu,</w:t>
      </w:r>
    </w:p>
    <w:p w:rsidR="004767DA" w:rsidRPr="007621DF" w:rsidRDefault="006C0559" w:rsidP="004767DA">
      <w:pPr>
        <w:rPr>
          <w:rFonts w:ascii="Calibri" w:hAnsi="Calibri" w:cs="Calibri"/>
        </w:rPr>
      </w:pPr>
      <w:r>
        <w:rPr>
          <w:rFonts w:ascii="Calibri" w:hAnsi="Calibri" w:cs="Calibri"/>
        </w:rPr>
        <w:t>-</w:t>
      </w:r>
      <w:r w:rsidR="004767DA" w:rsidRPr="007621DF">
        <w:rPr>
          <w:rFonts w:ascii="Calibri" w:hAnsi="Calibri" w:cs="Calibri"/>
        </w:rPr>
        <w:t>wytyczenie punktów określających usytuowanie (kontur) obiektu, w szczególności przyczółków i filarów mostów i wiaduktów.</w:t>
      </w:r>
    </w:p>
    <w:p w:rsidR="004767DA" w:rsidRPr="007621DF" w:rsidRDefault="004767DA" w:rsidP="004767DA">
      <w:pPr>
        <w:rPr>
          <w:rFonts w:ascii="Calibri" w:hAnsi="Calibri" w:cs="Calibri"/>
        </w:rPr>
      </w:pPr>
      <w:r w:rsidRPr="007621DF">
        <w:rPr>
          <w:rFonts w:ascii="Calibri" w:hAnsi="Calibri" w:cs="Calibri"/>
        </w:rPr>
        <w:lastRenderedPageBreak/>
        <w:tab/>
        <w:t>W przypadku mostów i wiaduktów dokumentacja projektowa powinna zawierać opis odpowiedniej osnowy realizacyjnej do wytyczenia tych obiektów.</w:t>
      </w:r>
    </w:p>
    <w:p w:rsidR="004767DA" w:rsidRPr="007621DF" w:rsidRDefault="004767DA" w:rsidP="004767DA">
      <w:pPr>
        <w:rPr>
          <w:rFonts w:ascii="Calibri" w:hAnsi="Calibri" w:cs="Calibri"/>
        </w:rPr>
      </w:pPr>
      <w:r w:rsidRPr="007621DF">
        <w:rPr>
          <w:rFonts w:ascii="Calibri" w:hAnsi="Calibri" w:cs="Calibri"/>
        </w:rPr>
        <w:tab/>
        <w:t>Położenie obiektu w planie należy określić z dokładno</w:t>
      </w:r>
      <w:r>
        <w:rPr>
          <w:rFonts w:ascii="Calibri" w:hAnsi="Calibri" w:cs="Calibri"/>
        </w:rPr>
        <w:t xml:space="preserve">ścią określoną w </w:t>
      </w:r>
      <w:r w:rsidRPr="007621DF">
        <w:rPr>
          <w:rFonts w:ascii="Calibri" w:hAnsi="Calibri" w:cs="Calibri"/>
        </w:rPr>
        <w:t>punkcie 5.4.3.</w:t>
      </w:r>
    </w:p>
    <w:p w:rsidR="004767DA" w:rsidRPr="007621DF" w:rsidRDefault="004767DA" w:rsidP="004767DA">
      <w:pPr>
        <w:rPr>
          <w:rFonts w:ascii="Calibri" w:hAnsi="Calibri" w:cs="Calibri"/>
        </w:rPr>
      </w:pPr>
      <w:r w:rsidRPr="00364C8F">
        <w:rPr>
          <w:rFonts w:ascii="Calibri" w:hAnsi="Calibri" w:cs="Calibri"/>
          <w:b/>
        </w:rPr>
        <w:t>5.4.6.</w:t>
      </w:r>
      <w:r w:rsidRPr="007621DF">
        <w:rPr>
          <w:rFonts w:ascii="Calibri" w:hAnsi="Calibri" w:cs="Calibri"/>
        </w:rPr>
        <w:t xml:space="preserve"> Skompletowanie dokumentacji geodezyjnej</w:t>
      </w:r>
    </w:p>
    <w:p w:rsidR="004767DA" w:rsidRPr="007621DF" w:rsidRDefault="004767DA" w:rsidP="004767DA">
      <w:pPr>
        <w:rPr>
          <w:rFonts w:ascii="Calibri" w:hAnsi="Calibri" w:cs="Calibri"/>
        </w:rPr>
      </w:pPr>
      <w:r w:rsidRPr="007621DF">
        <w:rPr>
          <w:rFonts w:ascii="Calibri" w:hAnsi="Calibri" w:cs="Calibri"/>
        </w:rPr>
        <w:tab/>
        <w:t>Dokumentację geodezyjną należy skompletować zgodnie z przepisami instrukcji 0-3 [4] z podziałem na:</w:t>
      </w:r>
    </w:p>
    <w:p w:rsidR="004767DA" w:rsidRPr="007621DF" w:rsidRDefault="006C0559" w:rsidP="004767DA">
      <w:pPr>
        <w:rPr>
          <w:rFonts w:ascii="Calibri" w:hAnsi="Calibri" w:cs="Calibri"/>
        </w:rPr>
      </w:pPr>
      <w:r>
        <w:rPr>
          <w:rFonts w:ascii="Calibri" w:hAnsi="Calibri" w:cs="Calibri"/>
        </w:rPr>
        <w:t>-</w:t>
      </w:r>
      <w:r w:rsidR="004767DA" w:rsidRPr="007621DF">
        <w:rPr>
          <w:rFonts w:ascii="Calibri" w:hAnsi="Calibri" w:cs="Calibri"/>
        </w:rPr>
        <w:t>akta postępowania przeznaczone dla Wykonawcy,</w:t>
      </w:r>
    </w:p>
    <w:p w:rsidR="004767DA" w:rsidRPr="007621DF" w:rsidRDefault="006C0559" w:rsidP="004767DA">
      <w:pPr>
        <w:rPr>
          <w:rFonts w:ascii="Calibri" w:hAnsi="Calibri" w:cs="Calibri"/>
        </w:rPr>
      </w:pPr>
      <w:r>
        <w:rPr>
          <w:rFonts w:ascii="Calibri" w:hAnsi="Calibri" w:cs="Calibri"/>
        </w:rPr>
        <w:t>-</w:t>
      </w:r>
      <w:r w:rsidR="004767DA" w:rsidRPr="007621DF">
        <w:rPr>
          <w:rFonts w:ascii="Calibri" w:hAnsi="Calibri" w:cs="Calibri"/>
        </w:rPr>
        <w:t>dokumentację techniczną przeznaczoną dla Zamawiającego,</w:t>
      </w:r>
    </w:p>
    <w:p w:rsidR="004767DA" w:rsidRPr="007621DF" w:rsidRDefault="006C0559" w:rsidP="004767DA">
      <w:pPr>
        <w:rPr>
          <w:rFonts w:ascii="Calibri" w:hAnsi="Calibri" w:cs="Calibri"/>
        </w:rPr>
      </w:pPr>
      <w:r>
        <w:rPr>
          <w:rFonts w:ascii="Calibri" w:hAnsi="Calibri" w:cs="Calibri"/>
        </w:rPr>
        <w:t>-</w:t>
      </w:r>
      <w:r w:rsidR="004767DA" w:rsidRPr="007621DF">
        <w:rPr>
          <w:rFonts w:ascii="Calibri" w:hAnsi="Calibri" w:cs="Calibri"/>
        </w:rPr>
        <w:t>dokumentację techniczną przeznaczoną dla ośrodka dokumentacji geodezyjnej i kartograficznej.</w:t>
      </w:r>
    </w:p>
    <w:p w:rsidR="004767DA" w:rsidRPr="007621DF" w:rsidRDefault="004767DA" w:rsidP="004767DA">
      <w:pPr>
        <w:rPr>
          <w:rFonts w:ascii="Calibri" w:hAnsi="Calibri" w:cs="Calibri"/>
        </w:rPr>
      </w:pPr>
      <w:r w:rsidRPr="007621DF">
        <w:rPr>
          <w:rFonts w:ascii="Calibri" w:hAnsi="Calibri" w:cs="Calibri"/>
        </w:rPr>
        <w:t xml:space="preserve">Sposób skompletowania dokumentacji, o której mowa w  ppkcie 3 oraz formę dokumentów należy uzgodnić z ośrodkiem dokumentacji. Zamawiający </w:t>
      </w:r>
      <w:r>
        <w:rPr>
          <w:rFonts w:ascii="Calibri" w:hAnsi="Calibri" w:cs="Calibri"/>
        </w:rPr>
        <w:t>określi</w:t>
      </w:r>
      <w:r w:rsidRPr="007621DF">
        <w:rPr>
          <w:rFonts w:ascii="Calibri" w:hAnsi="Calibri" w:cs="Calibri"/>
        </w:rPr>
        <w:t xml:space="preserve"> czy dokumentację tę należy okazać Zamawiającemu do wglądu.</w:t>
      </w:r>
    </w:p>
    <w:p w:rsidR="004767DA" w:rsidRPr="007621DF" w:rsidRDefault="004767DA" w:rsidP="004767DA">
      <w:pPr>
        <w:rPr>
          <w:rFonts w:ascii="Calibri" w:hAnsi="Calibri" w:cs="Calibri"/>
        </w:rPr>
      </w:pPr>
      <w:r w:rsidRPr="00364C8F">
        <w:rPr>
          <w:rFonts w:ascii="Calibri" w:hAnsi="Calibri" w:cs="Calibri"/>
          <w:b/>
        </w:rPr>
        <w:t>5.5.</w:t>
      </w:r>
      <w:r w:rsidRPr="007621DF">
        <w:rPr>
          <w:rFonts w:ascii="Calibri" w:hAnsi="Calibri" w:cs="Calibri"/>
        </w:rPr>
        <w:t xml:space="preserve"> Pomiar powykonawczy wybudowanej drogi</w:t>
      </w:r>
    </w:p>
    <w:p w:rsidR="004767DA" w:rsidRPr="007621DF" w:rsidRDefault="004767DA" w:rsidP="004767DA">
      <w:pPr>
        <w:rPr>
          <w:rFonts w:ascii="Calibri" w:hAnsi="Calibri" w:cs="Calibri"/>
        </w:rPr>
      </w:pPr>
      <w:r w:rsidRPr="00364C8F">
        <w:rPr>
          <w:rFonts w:ascii="Calibri" w:hAnsi="Calibri" w:cs="Calibri"/>
          <w:b/>
        </w:rPr>
        <w:t>5.5.1.</w:t>
      </w:r>
      <w:r w:rsidRPr="007621DF">
        <w:rPr>
          <w:rFonts w:ascii="Calibri" w:hAnsi="Calibri" w:cs="Calibri"/>
        </w:rPr>
        <w:t xml:space="preserve"> Zebranie materiałów i informacji</w:t>
      </w:r>
    </w:p>
    <w:p w:rsidR="004767DA" w:rsidRPr="007621DF" w:rsidRDefault="004767DA" w:rsidP="004767DA">
      <w:pPr>
        <w:rPr>
          <w:rFonts w:ascii="Calibri" w:hAnsi="Calibri" w:cs="Calibri"/>
        </w:rPr>
      </w:pPr>
      <w:r w:rsidRPr="007621DF">
        <w:rPr>
          <w:rFonts w:ascii="Calibri" w:hAnsi="Calibri" w:cs="Calibri"/>
        </w:rPr>
        <w:tab/>
        <w:t>Wykonawca powinien zapoznać się z zakresem opracowania i uzyskać od Zamawiającego instrukcje dotyczące ewentualnych etapów wykonywania pomiarów powykonawczych.</w:t>
      </w:r>
    </w:p>
    <w:p w:rsidR="004767DA" w:rsidRPr="007621DF" w:rsidRDefault="004767DA" w:rsidP="004767DA">
      <w:pPr>
        <w:rPr>
          <w:rFonts w:ascii="Calibri" w:hAnsi="Calibri" w:cs="Calibri"/>
        </w:rPr>
      </w:pPr>
      <w:r w:rsidRPr="007621DF">
        <w:rPr>
          <w:rFonts w:ascii="Calibri" w:hAnsi="Calibri" w:cs="Calibri"/>
        </w:rPr>
        <w:tab/>
        <w:t>Pomiary powykonawcze powinny być poprzedzone uzyskaniem z ośrodków dokumentacji geodezyjnej i kartograficznej informacji o rodzaju, położeniu i stanie punktów osnowy geodezyjnej (poziomej i wysokościowej) oraz o mapie zasadniczej i katastralnej.</w:t>
      </w:r>
    </w:p>
    <w:p w:rsidR="004767DA" w:rsidRPr="007621DF" w:rsidRDefault="004767DA" w:rsidP="004767DA">
      <w:pPr>
        <w:rPr>
          <w:rFonts w:ascii="Calibri" w:hAnsi="Calibri" w:cs="Calibri"/>
        </w:rPr>
      </w:pPr>
      <w:r w:rsidRPr="007621DF">
        <w:rPr>
          <w:rFonts w:ascii="Calibri" w:hAnsi="Calibri" w:cs="Calibri"/>
        </w:rPr>
        <w:tab/>
        <w:t>W przypadku stwierdzenia, że w trakcie realizacji obiektu nie została wykonana bieżąca inwentaryzacja sieci uzbrojenia terenu, należy powiadomić o tym Zamawiającego.</w:t>
      </w:r>
    </w:p>
    <w:p w:rsidR="004767DA" w:rsidRPr="007621DF" w:rsidRDefault="004767DA" w:rsidP="004767DA">
      <w:pPr>
        <w:rPr>
          <w:rFonts w:ascii="Calibri" w:hAnsi="Calibri" w:cs="Calibri"/>
        </w:rPr>
      </w:pPr>
      <w:r w:rsidRPr="007621DF">
        <w:rPr>
          <w:rFonts w:ascii="Calibri" w:hAnsi="Calibri" w:cs="Calibri"/>
        </w:rPr>
        <w:tab/>
        <w:t>Przy analizie zebranych materiałów i informacji należy ustalić:</w:t>
      </w:r>
    </w:p>
    <w:p w:rsidR="004767DA" w:rsidRPr="007621DF" w:rsidRDefault="004767DA" w:rsidP="004767DA">
      <w:pPr>
        <w:rPr>
          <w:rFonts w:ascii="Calibri" w:hAnsi="Calibri" w:cs="Calibri"/>
        </w:rPr>
      </w:pPr>
      <w:r w:rsidRPr="007621DF">
        <w:rPr>
          <w:rFonts w:ascii="Calibri" w:hAnsi="Calibri" w:cs="Calibri"/>
        </w:rPr>
        <w:t>klasy i dokładności istniejących osnów geodezyjnych oraz możliwości wykorzystania ich do pomiarów powykonawczych,</w:t>
      </w:r>
    </w:p>
    <w:p w:rsidR="004767DA" w:rsidRPr="007621DF" w:rsidRDefault="004767DA" w:rsidP="004767DA">
      <w:pPr>
        <w:rPr>
          <w:rFonts w:ascii="Calibri" w:hAnsi="Calibri" w:cs="Calibri"/>
        </w:rPr>
      </w:pPr>
      <w:r w:rsidRPr="007621DF">
        <w:rPr>
          <w:rFonts w:ascii="Calibri" w:hAnsi="Calibri" w:cs="Calibri"/>
        </w:rPr>
        <w:t>rodzaje układów współrzędnych i poziomów odniesienia,</w:t>
      </w:r>
    </w:p>
    <w:p w:rsidR="004767DA" w:rsidRPr="007621DF" w:rsidRDefault="004767DA" w:rsidP="004767DA">
      <w:pPr>
        <w:rPr>
          <w:rFonts w:ascii="Calibri" w:hAnsi="Calibri" w:cs="Calibri"/>
        </w:rPr>
      </w:pPr>
      <w:r w:rsidRPr="007621DF">
        <w:rPr>
          <w:rFonts w:ascii="Calibri" w:hAnsi="Calibri" w:cs="Calibri"/>
        </w:rPr>
        <w:t>zakres i sposób aktualizacji dokumentów bazowych, znajdujących się w ośrodku dokumentacji o wyniku pomiaru powykonawczego.</w:t>
      </w:r>
    </w:p>
    <w:p w:rsidR="004767DA" w:rsidRPr="007621DF" w:rsidRDefault="004767DA" w:rsidP="004767DA">
      <w:pPr>
        <w:rPr>
          <w:rFonts w:ascii="Calibri" w:hAnsi="Calibri" w:cs="Calibri"/>
        </w:rPr>
      </w:pPr>
      <w:r w:rsidRPr="00364C8F">
        <w:rPr>
          <w:rFonts w:ascii="Calibri" w:hAnsi="Calibri" w:cs="Calibri"/>
          <w:b/>
        </w:rPr>
        <w:t>5.5.2.</w:t>
      </w:r>
      <w:r w:rsidRPr="007621DF">
        <w:rPr>
          <w:rFonts w:ascii="Calibri" w:hAnsi="Calibri" w:cs="Calibri"/>
        </w:rPr>
        <w:t xml:space="preserve"> Prace pomiarowe i kameralne</w:t>
      </w:r>
    </w:p>
    <w:p w:rsidR="004767DA" w:rsidRPr="007621DF" w:rsidRDefault="004767DA" w:rsidP="004767DA">
      <w:pPr>
        <w:rPr>
          <w:rFonts w:ascii="Calibri" w:hAnsi="Calibri" w:cs="Calibri"/>
        </w:rPr>
      </w:pPr>
      <w:r w:rsidRPr="007621DF">
        <w:rPr>
          <w:rFonts w:ascii="Calibri" w:hAnsi="Calibri" w:cs="Calibri"/>
        </w:rPr>
        <w:tab/>
        <w:t>W pierwszej fazie prac należy wykonać: ogólne rozeznanie w terenie, odszukanie punktów istniejącej osnowy geodezyjnej z ustaleniem stanu technicznego tych punktów oraz aktualizacją opisów topograficznych, zbadanie wizur pomiędzy punktami i ewentualne ich oczyszczenie, wstępne rozeznanie odnośnie konieczności uzupełnienia lub zaprojektowania osnowy poziomej III klasy oraz osnowy pomiarowej.</w:t>
      </w:r>
    </w:p>
    <w:p w:rsidR="004767DA" w:rsidRPr="007621DF" w:rsidRDefault="004767DA" w:rsidP="004767DA">
      <w:pPr>
        <w:rPr>
          <w:rFonts w:ascii="Calibri" w:hAnsi="Calibri" w:cs="Calibri"/>
        </w:rPr>
      </w:pPr>
      <w:r w:rsidRPr="007621DF">
        <w:rPr>
          <w:rFonts w:ascii="Calibri" w:hAnsi="Calibri" w:cs="Calibri"/>
        </w:rPr>
        <w:tab/>
        <w:t>Następnie należy pomierzyć wznowioną lub założoną osnowę, a następnie wykonać pomiary inwentaryzacyjne, zgodnie z instrukcją G-4 [8] GUGiK, mierząc wszystkie elementy treści mapy zasadniczej oraz treść dodatkową obejmującą: granice ustalone według stanu prawnego, kilometraż dróg, znaki drogowe, punkty referencyjne, obiekty mostowe z rzędnymi wlotu i wylotu, światłem i skrajnią, wszystkie drzewa w pasie drogowym, zabytki i pomniki przyrody, wszystkie ogrodzenia z furtkami i bramami oraz z podziałem na trwałe i nietrwałe, rowy, studnie z ich średnicami, przekroje poprzeczne dróg co 20÷50 m oraz inne elementy według wymagań Zamawiającego.</w:t>
      </w:r>
    </w:p>
    <w:p w:rsidR="004767DA" w:rsidRPr="007621DF" w:rsidRDefault="004767DA" w:rsidP="004767DA">
      <w:pPr>
        <w:rPr>
          <w:rFonts w:ascii="Calibri" w:hAnsi="Calibri" w:cs="Calibri"/>
        </w:rPr>
      </w:pPr>
      <w:r w:rsidRPr="007621DF">
        <w:rPr>
          <w:rFonts w:ascii="Calibri" w:hAnsi="Calibri" w:cs="Calibri"/>
        </w:rPr>
        <w:tab/>
        <w:t>Prace obliczeniowe należy wykonać przy pomocy sprzętu komputerowego. Wniesienie pomierzonej treści na mapę zasadniczą oraz mapę katastralną należy wykonać metodą klasyczną (kartowaniem i kreśleniem ręcznym) lub przy pomocy plotera.</w:t>
      </w:r>
    </w:p>
    <w:p w:rsidR="004767DA" w:rsidRPr="007621DF" w:rsidRDefault="004767DA" w:rsidP="004767DA">
      <w:pPr>
        <w:rPr>
          <w:rFonts w:ascii="Calibri" w:hAnsi="Calibri" w:cs="Calibri"/>
        </w:rPr>
      </w:pPr>
      <w:r w:rsidRPr="007621DF">
        <w:rPr>
          <w:rFonts w:ascii="Calibri" w:hAnsi="Calibri" w:cs="Calibri"/>
        </w:rPr>
        <w:tab/>
        <w:t>Wtórnik mapy zasadniczej dla Zamawiającego należy uzupełnić o elementy wymienione w drugim akapicie niniejszego punktu, tą samą techniką z jaką została wykonana mapa (numeryczną względnie analogową).</w:t>
      </w:r>
    </w:p>
    <w:p w:rsidR="004767DA" w:rsidRPr="007621DF" w:rsidRDefault="004767DA" w:rsidP="004767DA">
      <w:pPr>
        <w:rPr>
          <w:rFonts w:ascii="Calibri" w:hAnsi="Calibri" w:cs="Calibri"/>
        </w:rPr>
      </w:pPr>
      <w:r w:rsidRPr="007621DF">
        <w:rPr>
          <w:rFonts w:ascii="Calibri" w:hAnsi="Calibri" w:cs="Calibri"/>
        </w:rPr>
        <w:tab/>
        <w:t>Dokumentację geodezyjną i kartograficzną należy skompletować zgodnie z przepisami instrukcji 0-3 [4], z podziałem na: akta postępowania przeznaczone dla Wykonawcy, dokumentację techniczną przeznaczoną dla Zamawiającego i dokumentację techniczną przeznaczoną dla ośrodka dokumentacji geodezyjnej i kartograficznej. Sposób skompletowania i formę dokumentacji dla ośrodka dokumentacji należy uzgodnić z ośrodkiem oraz ustalić czy tę dokumentację należy okazać Zamawiającemu do wglądu.</w:t>
      </w:r>
    </w:p>
    <w:p w:rsidR="004767DA" w:rsidRPr="007621DF" w:rsidRDefault="004767DA" w:rsidP="004767DA">
      <w:pPr>
        <w:rPr>
          <w:rFonts w:ascii="Calibri" w:hAnsi="Calibri" w:cs="Calibri"/>
        </w:rPr>
      </w:pPr>
      <w:r w:rsidRPr="00364C8F">
        <w:rPr>
          <w:rFonts w:ascii="Calibri" w:hAnsi="Calibri" w:cs="Calibri"/>
          <w:b/>
        </w:rPr>
        <w:t>5.5.3.</w:t>
      </w:r>
      <w:r w:rsidRPr="007621DF">
        <w:rPr>
          <w:rFonts w:ascii="Calibri" w:hAnsi="Calibri" w:cs="Calibri"/>
        </w:rPr>
        <w:t xml:space="preserve"> Dokumentacja dla Zamawiającego</w:t>
      </w:r>
    </w:p>
    <w:p w:rsidR="004767DA" w:rsidRPr="007621DF" w:rsidRDefault="004767DA" w:rsidP="004767DA">
      <w:pPr>
        <w:rPr>
          <w:rFonts w:ascii="Calibri" w:hAnsi="Calibri" w:cs="Calibri"/>
        </w:rPr>
      </w:pPr>
      <w:r w:rsidRPr="007621DF">
        <w:rPr>
          <w:rFonts w:ascii="Calibri" w:hAnsi="Calibri" w:cs="Calibri"/>
        </w:rPr>
        <w:tab/>
        <w:t>Jeśli Zamawiający nie ustalił inaczej, to należy skompletować dla Zamawiającego następujące materiały:</w:t>
      </w:r>
    </w:p>
    <w:p w:rsidR="004767DA" w:rsidRPr="007621DF" w:rsidRDefault="006C0559" w:rsidP="004767DA">
      <w:pPr>
        <w:rPr>
          <w:rFonts w:ascii="Calibri" w:hAnsi="Calibri" w:cs="Calibri"/>
        </w:rPr>
      </w:pPr>
      <w:r>
        <w:rPr>
          <w:rFonts w:ascii="Calibri" w:hAnsi="Calibri" w:cs="Calibri"/>
        </w:rPr>
        <w:t>-</w:t>
      </w:r>
      <w:r w:rsidR="004767DA" w:rsidRPr="007621DF">
        <w:rPr>
          <w:rFonts w:ascii="Calibri" w:hAnsi="Calibri" w:cs="Calibri"/>
        </w:rPr>
        <w:t>sprawozdanie techniczne,</w:t>
      </w:r>
    </w:p>
    <w:p w:rsidR="004767DA" w:rsidRPr="007621DF" w:rsidRDefault="006C0559" w:rsidP="004767DA">
      <w:pPr>
        <w:rPr>
          <w:rFonts w:ascii="Calibri" w:hAnsi="Calibri" w:cs="Calibri"/>
        </w:rPr>
      </w:pPr>
      <w:r>
        <w:rPr>
          <w:rFonts w:ascii="Calibri" w:hAnsi="Calibri" w:cs="Calibri"/>
        </w:rPr>
        <w:t>-</w:t>
      </w:r>
      <w:r w:rsidR="004767DA" w:rsidRPr="007621DF">
        <w:rPr>
          <w:rFonts w:ascii="Calibri" w:hAnsi="Calibri" w:cs="Calibri"/>
        </w:rPr>
        <w:t>wtórnik mapy zasadniczej uzupełniony dodatkową treścią, którą wymieniono w punkcie 5.5.2,</w:t>
      </w:r>
    </w:p>
    <w:p w:rsidR="004767DA" w:rsidRPr="007621DF" w:rsidRDefault="006C0559" w:rsidP="004767DA">
      <w:pPr>
        <w:rPr>
          <w:rFonts w:ascii="Calibri" w:hAnsi="Calibri" w:cs="Calibri"/>
        </w:rPr>
      </w:pPr>
      <w:r>
        <w:rPr>
          <w:rFonts w:ascii="Calibri" w:hAnsi="Calibri" w:cs="Calibri"/>
        </w:rPr>
        <w:t>-</w:t>
      </w:r>
      <w:r w:rsidR="004767DA" w:rsidRPr="007621DF">
        <w:rPr>
          <w:rFonts w:ascii="Calibri" w:hAnsi="Calibri" w:cs="Calibri"/>
        </w:rPr>
        <w:t>kopie wykazów współrzędnych punktów osnowy oraz wykazy współrzędnych punktów granicznych w postaci dysku i wydruku na papierze,</w:t>
      </w:r>
    </w:p>
    <w:p w:rsidR="004767DA" w:rsidRPr="007621DF" w:rsidRDefault="006C0559" w:rsidP="004767DA">
      <w:pPr>
        <w:rPr>
          <w:rFonts w:ascii="Calibri" w:hAnsi="Calibri" w:cs="Calibri"/>
        </w:rPr>
      </w:pPr>
      <w:r>
        <w:rPr>
          <w:rFonts w:ascii="Calibri" w:hAnsi="Calibri" w:cs="Calibri"/>
        </w:rPr>
        <w:t>-</w:t>
      </w:r>
      <w:r w:rsidR="004767DA" w:rsidRPr="007621DF">
        <w:rPr>
          <w:rFonts w:ascii="Calibri" w:hAnsi="Calibri" w:cs="Calibri"/>
        </w:rPr>
        <w:t>kopie protokołów przekazania znaków geodezyjnych pod ochronę,</w:t>
      </w:r>
    </w:p>
    <w:p w:rsidR="004767DA" w:rsidRPr="007621DF" w:rsidRDefault="006C0559" w:rsidP="004767DA">
      <w:pPr>
        <w:rPr>
          <w:rFonts w:ascii="Calibri" w:hAnsi="Calibri" w:cs="Calibri"/>
        </w:rPr>
      </w:pPr>
      <w:r>
        <w:rPr>
          <w:rFonts w:ascii="Calibri" w:hAnsi="Calibri" w:cs="Calibri"/>
        </w:rPr>
        <w:t>-</w:t>
      </w:r>
      <w:r w:rsidR="004767DA" w:rsidRPr="007621DF">
        <w:rPr>
          <w:rFonts w:ascii="Calibri" w:hAnsi="Calibri" w:cs="Calibri"/>
        </w:rPr>
        <w:t>kopie opisów topograficznych,</w:t>
      </w:r>
    </w:p>
    <w:p w:rsidR="004767DA" w:rsidRPr="007621DF" w:rsidRDefault="006C0559" w:rsidP="004767DA">
      <w:pPr>
        <w:rPr>
          <w:rFonts w:ascii="Calibri" w:hAnsi="Calibri" w:cs="Calibri"/>
        </w:rPr>
      </w:pPr>
      <w:r>
        <w:rPr>
          <w:rFonts w:ascii="Calibri" w:hAnsi="Calibri" w:cs="Calibri"/>
        </w:rPr>
        <w:lastRenderedPageBreak/>
        <w:t>-</w:t>
      </w:r>
      <w:r w:rsidR="004767DA" w:rsidRPr="007621DF">
        <w:rPr>
          <w:rFonts w:ascii="Calibri" w:hAnsi="Calibri" w:cs="Calibri"/>
        </w:rPr>
        <w:t>kopie szkiców polowych,</w:t>
      </w:r>
    </w:p>
    <w:p w:rsidR="004767DA" w:rsidRPr="007621DF" w:rsidRDefault="006C0559" w:rsidP="004767DA">
      <w:pPr>
        <w:rPr>
          <w:rFonts w:ascii="Calibri" w:hAnsi="Calibri" w:cs="Calibri"/>
        </w:rPr>
      </w:pPr>
      <w:r>
        <w:rPr>
          <w:rFonts w:ascii="Calibri" w:hAnsi="Calibri" w:cs="Calibri"/>
        </w:rPr>
        <w:t>-</w:t>
      </w:r>
      <w:r w:rsidR="004767DA" w:rsidRPr="007621DF">
        <w:rPr>
          <w:rFonts w:ascii="Calibri" w:hAnsi="Calibri" w:cs="Calibri"/>
        </w:rPr>
        <w:t>nośnik elektroniczny (dysk) z mapą numeryczną oraz wydruk ploterem tych map, jeżeli mapa realizowana jest numerycznie,</w:t>
      </w:r>
    </w:p>
    <w:p w:rsidR="004767DA" w:rsidRDefault="006C0559" w:rsidP="004767DA">
      <w:pPr>
        <w:rPr>
          <w:rFonts w:ascii="Calibri" w:hAnsi="Calibri" w:cs="Calibri"/>
        </w:rPr>
      </w:pPr>
      <w:r>
        <w:rPr>
          <w:rFonts w:ascii="Calibri" w:hAnsi="Calibri" w:cs="Calibri"/>
        </w:rPr>
        <w:t>-</w:t>
      </w:r>
      <w:r w:rsidR="004767DA" w:rsidRPr="007621DF">
        <w:rPr>
          <w:rFonts w:ascii="Calibri" w:hAnsi="Calibri" w:cs="Calibri"/>
        </w:rPr>
        <w:t>inne materiały zgodne z wymaganiami Zamawiającego.</w:t>
      </w:r>
    </w:p>
    <w:p w:rsidR="004767DA" w:rsidRPr="007621DF" w:rsidRDefault="004767DA" w:rsidP="004767DA">
      <w:pPr>
        <w:rPr>
          <w:rFonts w:ascii="Calibri" w:hAnsi="Calibri" w:cs="Calibri"/>
        </w:rPr>
      </w:pPr>
    </w:p>
    <w:p w:rsidR="004767DA" w:rsidRPr="00364C8F" w:rsidRDefault="004767DA" w:rsidP="004767DA">
      <w:pPr>
        <w:rPr>
          <w:rFonts w:ascii="Calibri" w:hAnsi="Calibri" w:cs="Calibri"/>
          <w:b/>
        </w:rPr>
      </w:pPr>
      <w:bookmarkStart w:id="171" w:name="_Toc124213278"/>
      <w:bookmarkStart w:id="172" w:name="_Toc144694240"/>
      <w:bookmarkStart w:id="173" w:name="_Toc144793980"/>
      <w:bookmarkStart w:id="174" w:name="_Toc146429505"/>
      <w:bookmarkStart w:id="175" w:name="_Toc147039497"/>
      <w:bookmarkStart w:id="176" w:name="_Toc161023547"/>
      <w:bookmarkStart w:id="177" w:name="_Toc164048103"/>
      <w:bookmarkStart w:id="178" w:name="_Toc274137175"/>
      <w:r w:rsidRPr="00364C8F">
        <w:rPr>
          <w:rFonts w:ascii="Calibri" w:hAnsi="Calibri" w:cs="Calibri"/>
          <w:b/>
        </w:rPr>
        <w:t>6. KONTROLA JAKOŚCI ROBÓT</w:t>
      </w:r>
      <w:bookmarkEnd w:id="171"/>
      <w:bookmarkEnd w:id="172"/>
      <w:bookmarkEnd w:id="173"/>
      <w:bookmarkEnd w:id="174"/>
      <w:bookmarkEnd w:id="175"/>
      <w:bookmarkEnd w:id="176"/>
      <w:bookmarkEnd w:id="177"/>
      <w:bookmarkEnd w:id="178"/>
    </w:p>
    <w:p w:rsidR="004767DA" w:rsidRPr="007621DF" w:rsidRDefault="004767DA" w:rsidP="004767DA">
      <w:pPr>
        <w:rPr>
          <w:rFonts w:ascii="Calibri" w:hAnsi="Calibri" w:cs="Calibri"/>
        </w:rPr>
      </w:pPr>
      <w:r w:rsidRPr="00364C8F">
        <w:rPr>
          <w:rFonts w:ascii="Calibri" w:hAnsi="Calibri" w:cs="Calibri"/>
          <w:b/>
        </w:rPr>
        <w:t>6.1.</w:t>
      </w:r>
      <w:r w:rsidRPr="007621DF">
        <w:rPr>
          <w:rFonts w:ascii="Calibri" w:hAnsi="Calibri" w:cs="Calibri"/>
        </w:rPr>
        <w:t xml:space="preserve"> Ogólne zasady kontroli jakości robót</w:t>
      </w:r>
    </w:p>
    <w:p w:rsidR="004767DA" w:rsidRPr="007621DF" w:rsidRDefault="004767DA" w:rsidP="004767DA">
      <w:pPr>
        <w:rPr>
          <w:rFonts w:ascii="Calibri" w:hAnsi="Calibri" w:cs="Calibri"/>
        </w:rPr>
      </w:pPr>
      <w:r w:rsidRPr="007621DF">
        <w:rPr>
          <w:rFonts w:ascii="Calibri" w:hAnsi="Calibri" w:cs="Calibri"/>
        </w:rPr>
        <w:tab/>
        <w:t>Ogólne zasady k</w:t>
      </w:r>
      <w:r>
        <w:rPr>
          <w:rFonts w:ascii="Calibri" w:hAnsi="Calibri" w:cs="Calibri"/>
        </w:rPr>
        <w:t xml:space="preserve">ontroli jakości robót podano w </w:t>
      </w:r>
      <w:r w:rsidRPr="007621DF">
        <w:rPr>
          <w:rFonts w:ascii="Calibri" w:hAnsi="Calibri" w:cs="Calibri"/>
        </w:rPr>
        <w:t>ST D-M-00.00.00 „Wymagania ogólne” [1] pkt 6.</w:t>
      </w:r>
    </w:p>
    <w:p w:rsidR="004767DA" w:rsidRPr="007621DF" w:rsidRDefault="004767DA" w:rsidP="004767DA">
      <w:pPr>
        <w:rPr>
          <w:rFonts w:ascii="Calibri" w:hAnsi="Calibri" w:cs="Calibri"/>
        </w:rPr>
      </w:pPr>
      <w:r w:rsidRPr="00364C8F">
        <w:rPr>
          <w:rFonts w:ascii="Calibri" w:hAnsi="Calibri" w:cs="Calibri"/>
          <w:b/>
        </w:rPr>
        <w:t>6.2.</w:t>
      </w:r>
      <w:r w:rsidRPr="007621DF">
        <w:rPr>
          <w:rFonts w:ascii="Calibri" w:hAnsi="Calibri" w:cs="Calibri"/>
        </w:rPr>
        <w:t xml:space="preserve"> Kontrola jakości prac</w:t>
      </w:r>
    </w:p>
    <w:p w:rsidR="004767DA" w:rsidRPr="007621DF" w:rsidRDefault="004767DA" w:rsidP="004767DA">
      <w:pPr>
        <w:rPr>
          <w:rFonts w:ascii="Calibri" w:hAnsi="Calibri" w:cs="Calibri"/>
        </w:rPr>
      </w:pPr>
      <w:r w:rsidRPr="007621DF">
        <w:rPr>
          <w:rFonts w:ascii="Calibri" w:hAnsi="Calibri" w:cs="Calibri"/>
        </w:rPr>
        <w:tab/>
        <w:t>Kontrola jakości prac pomiarowych powinna obejmować:</w:t>
      </w:r>
    </w:p>
    <w:p w:rsidR="004767DA" w:rsidRPr="007621DF" w:rsidRDefault="006C0559" w:rsidP="004767DA">
      <w:pPr>
        <w:rPr>
          <w:rFonts w:ascii="Calibri" w:hAnsi="Calibri" w:cs="Calibri"/>
        </w:rPr>
      </w:pPr>
      <w:r>
        <w:rPr>
          <w:rFonts w:ascii="Calibri" w:hAnsi="Calibri" w:cs="Calibri"/>
        </w:rPr>
        <w:t>-</w:t>
      </w:r>
      <w:r w:rsidR="004767DA" w:rsidRPr="007621DF">
        <w:rPr>
          <w:rFonts w:ascii="Calibri" w:hAnsi="Calibri" w:cs="Calibri"/>
        </w:rPr>
        <w:t>wewnętrzną kontrolę prowadzoną przez Wykonawcę robót geodezyjnych, która powinna zapewniać możliwość śledzenia przebiegu prac, oceniania ich jakości oraz usuwania nieprawidłowości mogących mieć wpływ na kolejne etapy robót,</w:t>
      </w:r>
    </w:p>
    <w:p w:rsidR="004767DA" w:rsidRPr="007621DF" w:rsidRDefault="006C0559" w:rsidP="004767DA">
      <w:pPr>
        <w:rPr>
          <w:rFonts w:ascii="Calibri" w:hAnsi="Calibri" w:cs="Calibri"/>
        </w:rPr>
      </w:pPr>
      <w:r>
        <w:rPr>
          <w:rFonts w:ascii="Calibri" w:hAnsi="Calibri" w:cs="Calibri"/>
        </w:rPr>
        <w:t>-</w:t>
      </w:r>
      <w:r w:rsidR="004767DA" w:rsidRPr="007621DF">
        <w:rPr>
          <w:rFonts w:ascii="Calibri" w:hAnsi="Calibri" w:cs="Calibri"/>
        </w:rPr>
        <w:t>kontrolę p</w:t>
      </w:r>
      <w:r w:rsidR="004767DA">
        <w:rPr>
          <w:rFonts w:ascii="Calibri" w:hAnsi="Calibri" w:cs="Calibri"/>
        </w:rPr>
        <w:t xml:space="preserve">rowadzoną przez </w:t>
      </w:r>
      <w:r w:rsidR="004767DA" w:rsidRPr="007621DF">
        <w:rPr>
          <w:rFonts w:ascii="Calibri" w:hAnsi="Calibri" w:cs="Calibri"/>
        </w:rPr>
        <w:t>Inżyniera,</w:t>
      </w:r>
    </w:p>
    <w:p w:rsidR="004767DA" w:rsidRPr="007621DF" w:rsidRDefault="006C0559" w:rsidP="004767DA">
      <w:pPr>
        <w:rPr>
          <w:rFonts w:ascii="Calibri" w:hAnsi="Calibri" w:cs="Calibri"/>
        </w:rPr>
      </w:pPr>
      <w:r>
        <w:rPr>
          <w:rFonts w:ascii="Calibri" w:hAnsi="Calibri" w:cs="Calibri"/>
        </w:rPr>
        <w:t>-</w:t>
      </w:r>
      <w:r w:rsidR="004767DA" w:rsidRPr="007621DF">
        <w:rPr>
          <w:rFonts w:ascii="Calibri" w:hAnsi="Calibri" w:cs="Calibri"/>
        </w:rPr>
        <w:t>przestrzeganie ogólnych zasad prac określonych w instrukcjach i wytycznych GUGiK [3÷10], zgodnie z wymaganiami podanymi w punkcie 5,</w:t>
      </w:r>
    </w:p>
    <w:p w:rsidR="004767DA" w:rsidRPr="007621DF" w:rsidRDefault="006C0559" w:rsidP="004767DA">
      <w:pPr>
        <w:rPr>
          <w:rFonts w:ascii="Calibri" w:hAnsi="Calibri" w:cs="Calibri"/>
        </w:rPr>
      </w:pPr>
      <w:r>
        <w:rPr>
          <w:rFonts w:ascii="Calibri" w:hAnsi="Calibri" w:cs="Calibri"/>
        </w:rPr>
        <w:t>-</w:t>
      </w:r>
      <w:r w:rsidR="004767DA" w:rsidRPr="007621DF">
        <w:rPr>
          <w:rFonts w:ascii="Calibri" w:hAnsi="Calibri" w:cs="Calibri"/>
        </w:rPr>
        <w:t>sporządzenie przez Wykonawcę robót geodezyjnych protokołu z wewnętrznej kontroli robót.</w:t>
      </w:r>
    </w:p>
    <w:p w:rsidR="004767DA" w:rsidRDefault="004767DA" w:rsidP="004767DA">
      <w:pPr>
        <w:rPr>
          <w:rFonts w:ascii="Calibri" w:hAnsi="Calibri" w:cs="Calibri"/>
        </w:rPr>
      </w:pPr>
      <w:r w:rsidRPr="007621DF">
        <w:rPr>
          <w:rFonts w:ascii="Calibri" w:hAnsi="Calibri" w:cs="Calibri"/>
        </w:rPr>
        <w:t>Kontrolę należy prowadzić według ogólnych zasad określonych w instrukcjach i wytycznych GUGiK [3÷10], zgodnie z wymaganiami podanymi w punkcie 5.4.3.</w:t>
      </w:r>
    </w:p>
    <w:p w:rsidR="004767DA" w:rsidRPr="007621DF" w:rsidRDefault="004767DA" w:rsidP="004767DA">
      <w:pPr>
        <w:rPr>
          <w:rFonts w:ascii="Calibri" w:hAnsi="Calibri" w:cs="Calibri"/>
        </w:rPr>
      </w:pPr>
    </w:p>
    <w:p w:rsidR="004767DA" w:rsidRPr="00364C8F" w:rsidRDefault="004767DA" w:rsidP="004767DA">
      <w:pPr>
        <w:rPr>
          <w:rFonts w:ascii="Calibri" w:hAnsi="Calibri" w:cs="Calibri"/>
          <w:b/>
        </w:rPr>
      </w:pPr>
      <w:bookmarkStart w:id="179" w:name="_Toc274137176"/>
      <w:r w:rsidRPr="00364C8F">
        <w:rPr>
          <w:rFonts w:ascii="Calibri" w:hAnsi="Calibri" w:cs="Calibri"/>
          <w:b/>
        </w:rPr>
        <w:t>7. OBMIAR ROBÓT</w:t>
      </w:r>
      <w:bookmarkEnd w:id="179"/>
    </w:p>
    <w:p w:rsidR="004767DA" w:rsidRPr="007621DF" w:rsidRDefault="004767DA" w:rsidP="004767DA">
      <w:pPr>
        <w:rPr>
          <w:rFonts w:ascii="Calibri" w:hAnsi="Calibri" w:cs="Calibri"/>
        </w:rPr>
      </w:pPr>
      <w:r w:rsidRPr="00364C8F">
        <w:rPr>
          <w:rFonts w:ascii="Calibri" w:hAnsi="Calibri" w:cs="Calibri"/>
          <w:b/>
        </w:rPr>
        <w:t>7.1.</w:t>
      </w:r>
      <w:r w:rsidRPr="007621DF">
        <w:rPr>
          <w:rFonts w:ascii="Calibri" w:hAnsi="Calibri" w:cs="Calibri"/>
        </w:rPr>
        <w:t xml:space="preserve"> Ogólne zasady obmiaru robót</w:t>
      </w:r>
    </w:p>
    <w:p w:rsidR="004767DA" w:rsidRPr="007621DF" w:rsidRDefault="004767DA" w:rsidP="004767DA">
      <w:pPr>
        <w:rPr>
          <w:rFonts w:ascii="Calibri" w:hAnsi="Calibri" w:cs="Calibri"/>
        </w:rPr>
      </w:pPr>
      <w:r w:rsidRPr="007621DF">
        <w:rPr>
          <w:rFonts w:ascii="Calibri" w:hAnsi="Calibri" w:cs="Calibri"/>
        </w:rPr>
        <w:tab/>
        <w:t>Ogólne</w:t>
      </w:r>
      <w:r>
        <w:rPr>
          <w:rFonts w:ascii="Calibri" w:hAnsi="Calibri" w:cs="Calibri"/>
        </w:rPr>
        <w:t xml:space="preserve"> zasady obmiaru robót podano w </w:t>
      </w:r>
      <w:r w:rsidRPr="007621DF">
        <w:rPr>
          <w:rFonts w:ascii="Calibri" w:hAnsi="Calibri" w:cs="Calibri"/>
        </w:rPr>
        <w:t>ST D-M-00.00.00 „Wymagania ogólne” [1] pkt 7.</w:t>
      </w:r>
    </w:p>
    <w:p w:rsidR="004767DA" w:rsidRPr="007621DF" w:rsidRDefault="004767DA" w:rsidP="004767DA">
      <w:pPr>
        <w:rPr>
          <w:rFonts w:ascii="Calibri" w:hAnsi="Calibri" w:cs="Calibri"/>
        </w:rPr>
      </w:pPr>
      <w:r w:rsidRPr="00364C8F">
        <w:rPr>
          <w:rFonts w:ascii="Calibri" w:hAnsi="Calibri" w:cs="Calibri"/>
          <w:b/>
        </w:rPr>
        <w:t>7.2.</w:t>
      </w:r>
      <w:r w:rsidRPr="007621DF">
        <w:rPr>
          <w:rFonts w:ascii="Calibri" w:hAnsi="Calibri" w:cs="Calibri"/>
        </w:rPr>
        <w:t xml:space="preserve"> Jednostka obmiarowa</w:t>
      </w:r>
    </w:p>
    <w:p w:rsidR="004767DA" w:rsidRPr="007621DF" w:rsidRDefault="004767DA" w:rsidP="004767DA">
      <w:pPr>
        <w:rPr>
          <w:rFonts w:ascii="Calibri" w:hAnsi="Calibri" w:cs="Calibri"/>
        </w:rPr>
      </w:pPr>
      <w:r w:rsidRPr="007621DF">
        <w:rPr>
          <w:rFonts w:ascii="Calibri" w:hAnsi="Calibri" w:cs="Calibri"/>
        </w:rPr>
        <w:tab/>
        <w:t>Jednostką obmiarową jest km (kilometr) odtworzonej trasy w terenie.</w:t>
      </w:r>
    </w:p>
    <w:p w:rsidR="004767DA" w:rsidRDefault="004767DA" w:rsidP="004767DA">
      <w:pPr>
        <w:rPr>
          <w:rFonts w:ascii="Calibri" w:hAnsi="Calibri" w:cs="Calibri"/>
        </w:rPr>
      </w:pPr>
      <w:r w:rsidRPr="007621DF">
        <w:rPr>
          <w:rFonts w:ascii="Calibri" w:hAnsi="Calibri" w:cs="Calibri"/>
        </w:rPr>
        <w:tab/>
        <w:t>Przy pomiarach powykonawczych wybudowanej drogi przyjmuje się jednostki: km (kilometr) i ha (hektar).</w:t>
      </w:r>
    </w:p>
    <w:p w:rsidR="004767DA" w:rsidRPr="007621DF" w:rsidRDefault="004767DA" w:rsidP="004767DA">
      <w:pPr>
        <w:rPr>
          <w:rFonts w:ascii="Calibri" w:hAnsi="Calibri" w:cs="Calibri"/>
        </w:rPr>
      </w:pPr>
    </w:p>
    <w:p w:rsidR="004767DA" w:rsidRPr="00364C8F" w:rsidRDefault="004767DA" w:rsidP="004767DA">
      <w:pPr>
        <w:rPr>
          <w:rFonts w:ascii="Calibri" w:hAnsi="Calibri" w:cs="Calibri"/>
          <w:b/>
        </w:rPr>
      </w:pPr>
      <w:bookmarkStart w:id="180" w:name="_Toc274137177"/>
      <w:r w:rsidRPr="00364C8F">
        <w:rPr>
          <w:rFonts w:ascii="Calibri" w:hAnsi="Calibri" w:cs="Calibri"/>
          <w:b/>
        </w:rPr>
        <w:t>8. ODBIÓR ROBÓT</w:t>
      </w:r>
      <w:bookmarkEnd w:id="180"/>
    </w:p>
    <w:p w:rsidR="004767DA" w:rsidRPr="007621DF" w:rsidRDefault="004767DA" w:rsidP="004767DA">
      <w:pPr>
        <w:rPr>
          <w:rFonts w:ascii="Calibri" w:hAnsi="Calibri" w:cs="Calibri"/>
        </w:rPr>
      </w:pPr>
      <w:r w:rsidRPr="00364C8F">
        <w:rPr>
          <w:rFonts w:ascii="Calibri" w:hAnsi="Calibri" w:cs="Calibri"/>
          <w:b/>
        </w:rPr>
        <w:t>8.1.</w:t>
      </w:r>
      <w:r w:rsidRPr="007621DF">
        <w:rPr>
          <w:rFonts w:ascii="Calibri" w:hAnsi="Calibri" w:cs="Calibri"/>
        </w:rPr>
        <w:t xml:space="preserve"> Ogólne zasady odbioru robót</w:t>
      </w:r>
    </w:p>
    <w:p w:rsidR="004767DA" w:rsidRPr="007621DF" w:rsidRDefault="004767DA" w:rsidP="004767DA">
      <w:pPr>
        <w:rPr>
          <w:rFonts w:ascii="Calibri" w:hAnsi="Calibri" w:cs="Calibri"/>
        </w:rPr>
      </w:pPr>
      <w:r w:rsidRPr="007621DF">
        <w:rPr>
          <w:rFonts w:ascii="Calibri" w:hAnsi="Calibri" w:cs="Calibri"/>
        </w:rPr>
        <w:tab/>
        <w:t>Ogólne</w:t>
      </w:r>
      <w:r>
        <w:rPr>
          <w:rFonts w:ascii="Calibri" w:hAnsi="Calibri" w:cs="Calibri"/>
        </w:rPr>
        <w:t xml:space="preserve"> zasady odbioru robót podano w </w:t>
      </w:r>
      <w:r w:rsidRPr="007621DF">
        <w:rPr>
          <w:rFonts w:ascii="Calibri" w:hAnsi="Calibri" w:cs="Calibri"/>
        </w:rPr>
        <w:t>ST D-M-00.00.00 „Wymagania ogólne” [1] pkt 8.</w:t>
      </w:r>
    </w:p>
    <w:p w:rsidR="004767DA" w:rsidRPr="007621DF" w:rsidRDefault="004767DA" w:rsidP="004767DA">
      <w:pPr>
        <w:rPr>
          <w:rFonts w:ascii="Calibri" w:hAnsi="Calibri" w:cs="Calibri"/>
        </w:rPr>
      </w:pPr>
      <w:r w:rsidRPr="00364C8F">
        <w:rPr>
          <w:rFonts w:ascii="Calibri" w:hAnsi="Calibri" w:cs="Calibri"/>
          <w:b/>
        </w:rPr>
        <w:t>8.2.</w:t>
      </w:r>
      <w:r w:rsidRPr="007621DF">
        <w:rPr>
          <w:rFonts w:ascii="Calibri" w:hAnsi="Calibri" w:cs="Calibri"/>
        </w:rPr>
        <w:t xml:space="preserve"> Sposób odbioru robót</w:t>
      </w:r>
    </w:p>
    <w:p w:rsidR="004767DA" w:rsidRDefault="004767DA" w:rsidP="004767DA">
      <w:pPr>
        <w:rPr>
          <w:rFonts w:ascii="Calibri" w:hAnsi="Calibri" w:cs="Calibri"/>
        </w:rPr>
      </w:pPr>
      <w:r w:rsidRPr="007621DF">
        <w:rPr>
          <w:rFonts w:ascii="Calibri" w:hAnsi="Calibri" w:cs="Calibri"/>
        </w:rPr>
        <w:tab/>
        <w:t>Odbiór robót następuje na podstawie protokołu odbioru oraz dokumentacji technicznej przeznaczonej dla Zamawiającego.</w:t>
      </w:r>
    </w:p>
    <w:p w:rsidR="004767DA" w:rsidRPr="007621DF" w:rsidRDefault="004767DA" w:rsidP="004767DA">
      <w:pPr>
        <w:rPr>
          <w:rFonts w:ascii="Calibri" w:hAnsi="Calibri" w:cs="Calibri"/>
        </w:rPr>
      </w:pPr>
    </w:p>
    <w:p w:rsidR="004767DA" w:rsidRPr="00364C8F" w:rsidRDefault="004767DA" w:rsidP="004767DA">
      <w:pPr>
        <w:rPr>
          <w:rFonts w:ascii="Calibri" w:hAnsi="Calibri" w:cs="Calibri"/>
          <w:b/>
        </w:rPr>
      </w:pPr>
      <w:bookmarkStart w:id="181" w:name="_Toc274137178"/>
      <w:r w:rsidRPr="00364C8F">
        <w:rPr>
          <w:rFonts w:ascii="Calibri" w:hAnsi="Calibri" w:cs="Calibri"/>
          <w:b/>
        </w:rPr>
        <w:t>9. PODSTAWA PŁATNOŚCI</w:t>
      </w:r>
      <w:bookmarkEnd w:id="181"/>
    </w:p>
    <w:p w:rsidR="004767DA" w:rsidRPr="007621DF" w:rsidRDefault="004767DA" w:rsidP="004767DA">
      <w:pPr>
        <w:rPr>
          <w:rFonts w:ascii="Calibri" w:hAnsi="Calibri" w:cs="Calibri"/>
        </w:rPr>
      </w:pPr>
      <w:r w:rsidRPr="00364C8F">
        <w:rPr>
          <w:rFonts w:ascii="Calibri" w:hAnsi="Calibri" w:cs="Calibri"/>
          <w:b/>
        </w:rPr>
        <w:t>9.1.</w:t>
      </w:r>
      <w:r w:rsidRPr="007621DF">
        <w:rPr>
          <w:rFonts w:ascii="Calibri" w:hAnsi="Calibri" w:cs="Calibri"/>
        </w:rPr>
        <w:t xml:space="preserve"> Ogólne ustalenia dotyczące podstawy płatności</w:t>
      </w:r>
    </w:p>
    <w:p w:rsidR="004767DA" w:rsidRPr="007621DF" w:rsidRDefault="004767DA" w:rsidP="004767DA">
      <w:pPr>
        <w:rPr>
          <w:rFonts w:ascii="Calibri" w:hAnsi="Calibri" w:cs="Calibri"/>
        </w:rPr>
      </w:pPr>
      <w:r w:rsidRPr="007621DF">
        <w:rPr>
          <w:rFonts w:ascii="Calibri" w:hAnsi="Calibri" w:cs="Calibri"/>
        </w:rPr>
        <w:tab/>
        <w:t>Ogólne ustalenia dotyczą</w:t>
      </w:r>
      <w:r>
        <w:rPr>
          <w:rFonts w:ascii="Calibri" w:hAnsi="Calibri" w:cs="Calibri"/>
        </w:rPr>
        <w:t xml:space="preserve">ce podstawy płatności podano w </w:t>
      </w:r>
      <w:r w:rsidRPr="007621DF">
        <w:rPr>
          <w:rFonts w:ascii="Calibri" w:hAnsi="Calibri" w:cs="Calibri"/>
        </w:rPr>
        <w:t>ST D-M-00.00.00 „Wymagania ogólne”</w:t>
      </w:r>
      <w:r>
        <w:rPr>
          <w:rFonts w:ascii="Calibri" w:hAnsi="Calibri" w:cs="Calibri"/>
        </w:rPr>
        <w:t xml:space="preserve"> </w:t>
      </w:r>
      <w:r w:rsidRPr="007621DF">
        <w:rPr>
          <w:rFonts w:ascii="Calibri" w:hAnsi="Calibri" w:cs="Calibri"/>
        </w:rPr>
        <w:t>pkt</w:t>
      </w:r>
      <w:r>
        <w:rPr>
          <w:rFonts w:ascii="Calibri" w:hAnsi="Calibri" w:cs="Calibri"/>
        </w:rPr>
        <w:t xml:space="preserve"> </w:t>
      </w:r>
      <w:r w:rsidRPr="007621DF">
        <w:rPr>
          <w:rFonts w:ascii="Calibri" w:hAnsi="Calibri" w:cs="Calibri"/>
        </w:rPr>
        <w:t>9.</w:t>
      </w:r>
    </w:p>
    <w:p w:rsidR="004767DA" w:rsidRPr="007621DF" w:rsidRDefault="004767DA" w:rsidP="004767DA">
      <w:pPr>
        <w:rPr>
          <w:rFonts w:ascii="Calibri" w:hAnsi="Calibri" w:cs="Calibri"/>
        </w:rPr>
      </w:pPr>
      <w:r w:rsidRPr="00364C8F">
        <w:rPr>
          <w:rFonts w:ascii="Calibri" w:hAnsi="Calibri" w:cs="Calibri"/>
          <w:b/>
        </w:rPr>
        <w:t>9.2.</w:t>
      </w:r>
      <w:r w:rsidRPr="007621DF">
        <w:rPr>
          <w:rFonts w:ascii="Calibri" w:hAnsi="Calibri" w:cs="Calibri"/>
        </w:rPr>
        <w:t xml:space="preserve"> Cena jednostki obmiarowej</w:t>
      </w:r>
    </w:p>
    <w:p w:rsidR="004767DA" w:rsidRPr="007621DF" w:rsidRDefault="004767DA" w:rsidP="004767DA">
      <w:pPr>
        <w:rPr>
          <w:rFonts w:ascii="Calibri" w:hAnsi="Calibri" w:cs="Calibri"/>
        </w:rPr>
      </w:pPr>
      <w:r w:rsidRPr="007621DF">
        <w:rPr>
          <w:rFonts w:ascii="Calibri" w:hAnsi="Calibri" w:cs="Calibri"/>
        </w:rPr>
        <w:tab/>
        <w:t>Cena wykonania robót obejmuje:</w:t>
      </w:r>
    </w:p>
    <w:p w:rsidR="004767DA" w:rsidRPr="007621DF" w:rsidRDefault="006C0559" w:rsidP="004767DA">
      <w:pPr>
        <w:rPr>
          <w:rFonts w:ascii="Calibri" w:hAnsi="Calibri" w:cs="Calibri"/>
        </w:rPr>
      </w:pPr>
      <w:r>
        <w:rPr>
          <w:rFonts w:ascii="Calibri" w:hAnsi="Calibri" w:cs="Calibri"/>
        </w:rPr>
        <w:t>-</w:t>
      </w:r>
      <w:r w:rsidR="004767DA" w:rsidRPr="007621DF">
        <w:rPr>
          <w:rFonts w:ascii="Calibri" w:hAnsi="Calibri" w:cs="Calibri"/>
        </w:rPr>
        <w:t>zakup, dostarczenie i składowanie potrzebnych materiałów,</w:t>
      </w:r>
    </w:p>
    <w:p w:rsidR="004767DA" w:rsidRPr="007621DF" w:rsidRDefault="006C0559" w:rsidP="004767DA">
      <w:pPr>
        <w:rPr>
          <w:rFonts w:ascii="Calibri" w:hAnsi="Calibri" w:cs="Calibri"/>
        </w:rPr>
      </w:pPr>
      <w:r>
        <w:rPr>
          <w:rFonts w:ascii="Calibri" w:hAnsi="Calibri" w:cs="Calibri"/>
        </w:rPr>
        <w:t>-</w:t>
      </w:r>
      <w:r w:rsidR="004767DA" w:rsidRPr="007621DF">
        <w:rPr>
          <w:rFonts w:ascii="Calibri" w:hAnsi="Calibri" w:cs="Calibri"/>
        </w:rPr>
        <w:t>koszt zapewnienia niezbędnych czynników produkcji,</w:t>
      </w:r>
    </w:p>
    <w:p w:rsidR="004767DA" w:rsidRPr="007621DF" w:rsidRDefault="006C0559" w:rsidP="004767DA">
      <w:pPr>
        <w:rPr>
          <w:rFonts w:ascii="Calibri" w:hAnsi="Calibri" w:cs="Calibri"/>
        </w:rPr>
      </w:pPr>
      <w:r>
        <w:rPr>
          <w:rFonts w:ascii="Calibri" w:hAnsi="Calibri" w:cs="Calibri"/>
        </w:rPr>
        <w:t>-</w:t>
      </w:r>
      <w:r w:rsidR="004767DA" w:rsidRPr="007621DF">
        <w:rPr>
          <w:rFonts w:ascii="Calibri" w:hAnsi="Calibri" w:cs="Calibri"/>
        </w:rPr>
        <w:t>zakup i dostarczenie materiałów,</w:t>
      </w:r>
    </w:p>
    <w:p w:rsidR="004767DA" w:rsidRPr="007621DF" w:rsidRDefault="006C0559" w:rsidP="004767DA">
      <w:pPr>
        <w:rPr>
          <w:rFonts w:ascii="Calibri" w:hAnsi="Calibri" w:cs="Calibri"/>
        </w:rPr>
      </w:pPr>
      <w:r>
        <w:rPr>
          <w:rFonts w:ascii="Calibri" w:hAnsi="Calibri" w:cs="Calibri"/>
        </w:rPr>
        <w:t>-</w:t>
      </w:r>
      <w:r w:rsidR="004767DA" w:rsidRPr="007621DF">
        <w:rPr>
          <w:rFonts w:ascii="Calibri" w:hAnsi="Calibri" w:cs="Calibri"/>
        </w:rPr>
        <w:t>sprawdzenie wyznaczenia punktów głównych osi trasy i punktów wysokościowych,</w:t>
      </w:r>
    </w:p>
    <w:p w:rsidR="004767DA" w:rsidRPr="007621DF" w:rsidRDefault="006C0559" w:rsidP="004767DA">
      <w:pPr>
        <w:rPr>
          <w:rFonts w:ascii="Calibri" w:hAnsi="Calibri" w:cs="Calibri"/>
        </w:rPr>
      </w:pPr>
      <w:r>
        <w:rPr>
          <w:rFonts w:ascii="Calibri" w:hAnsi="Calibri" w:cs="Calibri"/>
        </w:rPr>
        <w:t>-</w:t>
      </w:r>
      <w:r w:rsidR="004767DA" w:rsidRPr="007621DF">
        <w:rPr>
          <w:rFonts w:ascii="Calibri" w:hAnsi="Calibri" w:cs="Calibri"/>
        </w:rPr>
        <w:t>uzupełnienie osi trasy dodatkowymi punktami,</w:t>
      </w:r>
    </w:p>
    <w:p w:rsidR="004767DA" w:rsidRPr="007621DF" w:rsidRDefault="006C0559" w:rsidP="004767DA">
      <w:pPr>
        <w:rPr>
          <w:rFonts w:ascii="Calibri" w:hAnsi="Calibri" w:cs="Calibri"/>
        </w:rPr>
      </w:pPr>
      <w:r>
        <w:rPr>
          <w:rFonts w:ascii="Calibri" w:hAnsi="Calibri" w:cs="Calibri"/>
        </w:rPr>
        <w:t>-</w:t>
      </w:r>
      <w:r w:rsidR="004767DA" w:rsidRPr="007621DF">
        <w:rPr>
          <w:rFonts w:ascii="Calibri" w:hAnsi="Calibri" w:cs="Calibri"/>
        </w:rPr>
        <w:t>wyznaczenie dodatkowych punktów wysokościowych,</w:t>
      </w:r>
    </w:p>
    <w:p w:rsidR="004767DA" w:rsidRPr="007621DF" w:rsidRDefault="006C0559" w:rsidP="004767DA">
      <w:pPr>
        <w:rPr>
          <w:rFonts w:ascii="Calibri" w:hAnsi="Calibri" w:cs="Calibri"/>
        </w:rPr>
      </w:pPr>
      <w:r>
        <w:rPr>
          <w:rFonts w:ascii="Calibri" w:hAnsi="Calibri" w:cs="Calibri"/>
        </w:rPr>
        <w:t>-</w:t>
      </w:r>
      <w:r w:rsidR="004767DA" w:rsidRPr="007621DF">
        <w:rPr>
          <w:rFonts w:ascii="Calibri" w:hAnsi="Calibri" w:cs="Calibri"/>
        </w:rPr>
        <w:t>wyznaczenie zjazdów i uzgodnienie ich z właścicielami nieruchomości,</w:t>
      </w:r>
    </w:p>
    <w:p w:rsidR="004767DA" w:rsidRPr="007621DF" w:rsidRDefault="006C0559" w:rsidP="004767DA">
      <w:pPr>
        <w:rPr>
          <w:rFonts w:ascii="Calibri" w:hAnsi="Calibri" w:cs="Calibri"/>
        </w:rPr>
      </w:pPr>
      <w:r>
        <w:rPr>
          <w:rFonts w:ascii="Calibri" w:hAnsi="Calibri" w:cs="Calibri"/>
        </w:rPr>
        <w:t>-</w:t>
      </w:r>
      <w:r w:rsidR="004767DA" w:rsidRPr="007621DF">
        <w:rPr>
          <w:rFonts w:ascii="Calibri" w:hAnsi="Calibri" w:cs="Calibri"/>
        </w:rPr>
        <w:t>wyznaczenie przekrojów poprzecznych z ewentualnym wytyczeniem dodatkowych przekrojów,</w:t>
      </w:r>
    </w:p>
    <w:p w:rsidR="004767DA" w:rsidRPr="007621DF" w:rsidRDefault="006C0559" w:rsidP="004767DA">
      <w:pPr>
        <w:rPr>
          <w:rFonts w:ascii="Calibri" w:hAnsi="Calibri" w:cs="Calibri"/>
        </w:rPr>
      </w:pPr>
      <w:r>
        <w:rPr>
          <w:rFonts w:ascii="Calibri" w:hAnsi="Calibri" w:cs="Calibri"/>
        </w:rPr>
        <w:t>-</w:t>
      </w:r>
      <w:r w:rsidR="004767DA" w:rsidRPr="007621DF">
        <w:rPr>
          <w:rFonts w:ascii="Calibri" w:hAnsi="Calibri" w:cs="Calibri"/>
        </w:rPr>
        <w:t>wyznaczenie punktów roboczego pikietażu trasy,</w:t>
      </w:r>
    </w:p>
    <w:p w:rsidR="004767DA" w:rsidRPr="007621DF" w:rsidRDefault="006C0559" w:rsidP="004767DA">
      <w:pPr>
        <w:rPr>
          <w:rFonts w:ascii="Calibri" w:hAnsi="Calibri" w:cs="Calibri"/>
        </w:rPr>
      </w:pPr>
      <w:r>
        <w:rPr>
          <w:rFonts w:ascii="Calibri" w:hAnsi="Calibri" w:cs="Calibri"/>
        </w:rPr>
        <w:t>-</w:t>
      </w:r>
      <w:r w:rsidR="004767DA" w:rsidRPr="007621DF">
        <w:rPr>
          <w:rFonts w:ascii="Calibri" w:hAnsi="Calibri" w:cs="Calibri"/>
        </w:rPr>
        <w:t>ustawienie łat z wyznaczeniem pochylenia skarp,</w:t>
      </w:r>
    </w:p>
    <w:p w:rsidR="004767DA" w:rsidRPr="007621DF" w:rsidRDefault="006C0559" w:rsidP="004767DA">
      <w:pPr>
        <w:rPr>
          <w:rFonts w:ascii="Calibri" w:hAnsi="Calibri" w:cs="Calibri"/>
        </w:rPr>
      </w:pPr>
      <w:r>
        <w:rPr>
          <w:rFonts w:ascii="Calibri" w:hAnsi="Calibri" w:cs="Calibri"/>
        </w:rPr>
        <w:t>-</w:t>
      </w:r>
      <w:r w:rsidR="004767DA" w:rsidRPr="007621DF">
        <w:rPr>
          <w:rFonts w:ascii="Calibri" w:hAnsi="Calibri" w:cs="Calibri"/>
        </w:rPr>
        <w:t>zastabilizowanie punktów w sposób trwały, ochrona ich przed zniszczeniem i oznakowanie ułatwiające odszukanie i ewentualne odtworzenie,</w:t>
      </w:r>
    </w:p>
    <w:p w:rsidR="004767DA" w:rsidRPr="007621DF" w:rsidRDefault="006C0559" w:rsidP="004767DA">
      <w:pPr>
        <w:rPr>
          <w:rFonts w:ascii="Calibri" w:hAnsi="Calibri" w:cs="Calibri"/>
        </w:rPr>
      </w:pPr>
      <w:r>
        <w:rPr>
          <w:rFonts w:ascii="Calibri" w:hAnsi="Calibri" w:cs="Calibri"/>
        </w:rPr>
        <w:t>-</w:t>
      </w:r>
      <w:r w:rsidR="004767DA" w:rsidRPr="007621DF">
        <w:rPr>
          <w:rFonts w:ascii="Calibri" w:hAnsi="Calibri" w:cs="Calibri"/>
        </w:rPr>
        <w:t>prace pomiarowe i kameralne przy pomiarze powykonawczym wybudowanej drogi według wymagań dokumentacji technicznej,</w:t>
      </w:r>
    </w:p>
    <w:p w:rsidR="004767DA" w:rsidRPr="007621DF" w:rsidRDefault="006C0559" w:rsidP="004767DA">
      <w:pPr>
        <w:rPr>
          <w:rFonts w:ascii="Calibri" w:hAnsi="Calibri" w:cs="Calibri"/>
        </w:rPr>
      </w:pPr>
      <w:r>
        <w:rPr>
          <w:rFonts w:ascii="Calibri" w:hAnsi="Calibri" w:cs="Calibri"/>
        </w:rPr>
        <w:t>-</w:t>
      </w:r>
      <w:r w:rsidR="004767DA" w:rsidRPr="007621DF">
        <w:rPr>
          <w:rFonts w:ascii="Calibri" w:hAnsi="Calibri" w:cs="Calibri"/>
        </w:rPr>
        <w:t>koszty ośrodków geodezyjnych.</w:t>
      </w:r>
    </w:p>
    <w:p w:rsidR="004767DA" w:rsidRPr="007621DF" w:rsidRDefault="004767DA" w:rsidP="004767DA">
      <w:pPr>
        <w:rPr>
          <w:rFonts w:ascii="Calibri" w:hAnsi="Calibri" w:cs="Calibri"/>
        </w:rPr>
      </w:pPr>
      <w:r w:rsidRPr="00364C8F">
        <w:rPr>
          <w:rFonts w:ascii="Calibri" w:hAnsi="Calibri" w:cs="Calibri"/>
          <w:b/>
        </w:rPr>
        <w:t>9.3.</w:t>
      </w:r>
      <w:r w:rsidRPr="007621DF">
        <w:rPr>
          <w:rFonts w:ascii="Calibri" w:hAnsi="Calibri" w:cs="Calibri"/>
        </w:rPr>
        <w:t xml:space="preserve"> Sposób rozliczenia robót tymczasowych i prac towarzyszących</w:t>
      </w:r>
    </w:p>
    <w:p w:rsidR="004767DA" w:rsidRPr="007621DF" w:rsidRDefault="004767DA" w:rsidP="004767DA">
      <w:pPr>
        <w:rPr>
          <w:rFonts w:ascii="Calibri" w:hAnsi="Calibri" w:cs="Calibri"/>
        </w:rPr>
      </w:pPr>
      <w:r w:rsidRPr="007621DF">
        <w:rPr>
          <w:rFonts w:ascii="Calibri" w:hAnsi="Calibri" w:cs="Calibri"/>
        </w:rPr>
        <w:tab/>
        <w:t>Cena wykonan</w:t>
      </w:r>
      <w:r>
        <w:rPr>
          <w:rFonts w:ascii="Calibri" w:hAnsi="Calibri" w:cs="Calibri"/>
        </w:rPr>
        <w:t xml:space="preserve">ia robót określonych niniejszą </w:t>
      </w:r>
      <w:r w:rsidRPr="007621DF">
        <w:rPr>
          <w:rFonts w:ascii="Calibri" w:hAnsi="Calibri" w:cs="Calibri"/>
        </w:rPr>
        <w:t>ST obejmuje:</w:t>
      </w:r>
    </w:p>
    <w:p w:rsidR="004767DA" w:rsidRPr="007621DF" w:rsidRDefault="006C0559" w:rsidP="004767DA">
      <w:pPr>
        <w:rPr>
          <w:rFonts w:ascii="Calibri" w:hAnsi="Calibri" w:cs="Calibri"/>
        </w:rPr>
      </w:pPr>
      <w:r>
        <w:rPr>
          <w:rFonts w:ascii="Calibri" w:hAnsi="Calibri" w:cs="Calibri"/>
        </w:rPr>
        <w:t>-</w:t>
      </w:r>
      <w:r w:rsidR="004767DA" w:rsidRPr="007621DF">
        <w:rPr>
          <w:rFonts w:ascii="Calibri" w:hAnsi="Calibri" w:cs="Calibri"/>
        </w:rPr>
        <w:t>roboty tymczasowe, które są potrzebne do wykonania robót podstawowych, ale nie są przekazywane Zamawiającemu i są usuwane po wykonaniu robót podstawowych,</w:t>
      </w:r>
    </w:p>
    <w:p w:rsidR="004767DA" w:rsidRDefault="006C0559" w:rsidP="004767DA">
      <w:pPr>
        <w:rPr>
          <w:rFonts w:ascii="Calibri" w:hAnsi="Calibri" w:cs="Calibri"/>
        </w:rPr>
      </w:pPr>
      <w:r>
        <w:rPr>
          <w:rFonts w:ascii="Calibri" w:hAnsi="Calibri" w:cs="Calibri"/>
        </w:rPr>
        <w:lastRenderedPageBreak/>
        <w:t>-</w:t>
      </w:r>
      <w:r w:rsidR="004767DA" w:rsidRPr="007621DF">
        <w:rPr>
          <w:rFonts w:ascii="Calibri" w:hAnsi="Calibri" w:cs="Calibri"/>
        </w:rPr>
        <w:t>prace towarzyszące, które są niezbędne do wykonania robót podstawowych, niezaliczane do robót tymczasowych, jak geodezyjne wytyczenie robót itd.</w:t>
      </w:r>
    </w:p>
    <w:p w:rsidR="004767DA" w:rsidRPr="007621DF" w:rsidRDefault="004767DA" w:rsidP="004767DA">
      <w:pPr>
        <w:rPr>
          <w:rFonts w:ascii="Calibri" w:hAnsi="Calibri" w:cs="Calibri"/>
        </w:rPr>
      </w:pPr>
    </w:p>
    <w:p w:rsidR="004767DA" w:rsidRPr="00364C8F" w:rsidRDefault="004767DA" w:rsidP="004767DA">
      <w:pPr>
        <w:rPr>
          <w:rFonts w:ascii="Calibri" w:hAnsi="Calibri" w:cs="Calibri"/>
          <w:b/>
        </w:rPr>
      </w:pPr>
      <w:bookmarkStart w:id="182" w:name="_Toc274137179"/>
      <w:r w:rsidRPr="00364C8F">
        <w:rPr>
          <w:rFonts w:ascii="Calibri" w:hAnsi="Calibri" w:cs="Calibri"/>
          <w:b/>
        </w:rPr>
        <w:t>10. PRZEPISY ZWIĄZANE</w:t>
      </w:r>
      <w:bookmarkEnd w:id="182"/>
    </w:p>
    <w:p w:rsidR="004767DA" w:rsidRPr="007621DF" w:rsidRDefault="004767DA" w:rsidP="004767DA">
      <w:pPr>
        <w:rPr>
          <w:rFonts w:ascii="Calibri" w:hAnsi="Calibri" w:cs="Calibri"/>
        </w:rPr>
      </w:pPr>
      <w:r w:rsidRPr="00364C8F">
        <w:rPr>
          <w:rFonts w:ascii="Calibri" w:hAnsi="Calibri" w:cs="Calibri"/>
          <w:b/>
        </w:rPr>
        <w:t>10.1.</w:t>
      </w:r>
      <w:r w:rsidRPr="007621DF">
        <w:rPr>
          <w:rFonts w:ascii="Calibri" w:hAnsi="Calibri" w:cs="Calibri"/>
        </w:rPr>
        <w:t xml:space="preserve"> Specyfikacje techniczne</w:t>
      </w:r>
    </w:p>
    <w:p w:rsidR="004767DA" w:rsidRPr="007621DF" w:rsidRDefault="004767DA" w:rsidP="004767DA">
      <w:pPr>
        <w:rPr>
          <w:rFonts w:ascii="Calibri" w:hAnsi="Calibri" w:cs="Calibri"/>
        </w:rPr>
      </w:pPr>
      <w:r w:rsidRPr="007621DF">
        <w:rPr>
          <w:rFonts w:ascii="Calibri" w:hAnsi="Calibri" w:cs="Calibri"/>
        </w:rPr>
        <w:t>1.  D-M-00.00.00 Wymagania ogólne</w:t>
      </w:r>
    </w:p>
    <w:p w:rsidR="004767DA" w:rsidRPr="007621DF" w:rsidRDefault="004767DA" w:rsidP="004767DA">
      <w:pPr>
        <w:rPr>
          <w:rFonts w:ascii="Calibri" w:hAnsi="Calibri" w:cs="Calibri"/>
        </w:rPr>
      </w:pPr>
      <w:r w:rsidRPr="00364C8F">
        <w:rPr>
          <w:rFonts w:ascii="Calibri" w:hAnsi="Calibri" w:cs="Calibri"/>
          <w:b/>
        </w:rPr>
        <w:t>10.2.</w:t>
      </w:r>
      <w:r w:rsidRPr="007621DF">
        <w:rPr>
          <w:rFonts w:ascii="Calibri" w:hAnsi="Calibri" w:cs="Calibri"/>
        </w:rPr>
        <w:t xml:space="preserve"> Inne dokumenty</w:t>
      </w:r>
    </w:p>
    <w:p w:rsidR="004767DA" w:rsidRPr="007621DF" w:rsidRDefault="004767DA" w:rsidP="004767DA">
      <w:pPr>
        <w:rPr>
          <w:rFonts w:ascii="Calibri" w:hAnsi="Calibri" w:cs="Calibri"/>
        </w:rPr>
      </w:pPr>
      <w:r w:rsidRPr="007621DF">
        <w:rPr>
          <w:rFonts w:ascii="Calibri" w:hAnsi="Calibri" w:cs="Calibri"/>
        </w:rPr>
        <w:t>2. Ustawa z dnia 17 maja 1989 r. – Prawo geodezyjne i kartograficzne (Dz. U. nr 30, poz. 163 z późniejszymi zmianami)</w:t>
      </w:r>
      <w:r w:rsidRPr="007621DF">
        <w:rPr>
          <w:rFonts w:ascii="Calibri" w:hAnsi="Calibri" w:cs="Calibri"/>
        </w:rPr>
        <w:br/>
        <w:t>[Instrukcje i wytyczne techniczne byłego Głównego Urzędu Geodezji i Kartografii]:</w:t>
      </w:r>
    </w:p>
    <w:p w:rsidR="004767DA" w:rsidRPr="007621DF" w:rsidRDefault="004767DA" w:rsidP="004767DA">
      <w:pPr>
        <w:rPr>
          <w:rFonts w:ascii="Calibri" w:hAnsi="Calibri" w:cs="Calibri"/>
        </w:rPr>
      </w:pPr>
      <w:r w:rsidRPr="007621DF">
        <w:rPr>
          <w:rFonts w:ascii="Calibri" w:hAnsi="Calibri" w:cs="Calibri"/>
        </w:rPr>
        <w:t>3. Instrukcja techniczna 0-1. Ogólne zasady wykonywania prac geodezyjnych.</w:t>
      </w:r>
    </w:p>
    <w:p w:rsidR="004767DA" w:rsidRPr="007621DF" w:rsidRDefault="004767DA" w:rsidP="004767DA">
      <w:pPr>
        <w:rPr>
          <w:rFonts w:ascii="Calibri" w:hAnsi="Calibri" w:cs="Calibri"/>
        </w:rPr>
      </w:pPr>
      <w:r w:rsidRPr="007621DF">
        <w:rPr>
          <w:rFonts w:ascii="Calibri" w:hAnsi="Calibri" w:cs="Calibri"/>
        </w:rPr>
        <w:t>4. Instrukcja techniczna 0-3. Zasady kompletowania dokumentacji geodezyjnej i kartograficznej</w:t>
      </w:r>
    </w:p>
    <w:p w:rsidR="004767DA" w:rsidRPr="007621DF" w:rsidRDefault="004767DA" w:rsidP="004767DA">
      <w:pPr>
        <w:rPr>
          <w:rFonts w:ascii="Calibri" w:hAnsi="Calibri" w:cs="Calibri"/>
        </w:rPr>
      </w:pPr>
      <w:r w:rsidRPr="007621DF">
        <w:rPr>
          <w:rFonts w:ascii="Calibri" w:hAnsi="Calibri" w:cs="Calibri"/>
        </w:rPr>
        <w:t>5. Instrukcja techniczna G-1. Pozioma osnowa geodezyjna</w:t>
      </w:r>
    </w:p>
    <w:p w:rsidR="004767DA" w:rsidRPr="007621DF" w:rsidRDefault="004767DA" w:rsidP="004767DA">
      <w:pPr>
        <w:rPr>
          <w:rFonts w:ascii="Calibri" w:hAnsi="Calibri" w:cs="Calibri"/>
        </w:rPr>
      </w:pPr>
      <w:r w:rsidRPr="007621DF">
        <w:rPr>
          <w:rFonts w:ascii="Calibri" w:hAnsi="Calibri" w:cs="Calibri"/>
        </w:rPr>
        <w:t>6. Instrukcja techniczna G-2. Wysokościowa osnowa geodezyjna</w:t>
      </w:r>
    </w:p>
    <w:p w:rsidR="004767DA" w:rsidRPr="007621DF" w:rsidRDefault="004767DA" w:rsidP="004767DA">
      <w:pPr>
        <w:rPr>
          <w:rFonts w:ascii="Calibri" w:hAnsi="Calibri" w:cs="Calibri"/>
        </w:rPr>
      </w:pPr>
      <w:r w:rsidRPr="007621DF">
        <w:rPr>
          <w:rFonts w:ascii="Calibri" w:hAnsi="Calibri" w:cs="Calibri"/>
        </w:rPr>
        <w:t>7. Instrukcja techniczna G-3. Geodezyjna obsługa inwestycji</w:t>
      </w:r>
    </w:p>
    <w:p w:rsidR="004767DA" w:rsidRPr="007621DF" w:rsidRDefault="004767DA" w:rsidP="004767DA">
      <w:pPr>
        <w:rPr>
          <w:rFonts w:ascii="Calibri" w:hAnsi="Calibri" w:cs="Calibri"/>
        </w:rPr>
      </w:pPr>
      <w:r w:rsidRPr="007621DF">
        <w:rPr>
          <w:rFonts w:ascii="Calibri" w:hAnsi="Calibri" w:cs="Calibri"/>
        </w:rPr>
        <w:t>8. Instrukcja techniczna G-4. Pomiary sytuacyjne i wysokościowe</w:t>
      </w:r>
    </w:p>
    <w:p w:rsidR="004767DA" w:rsidRPr="007621DF" w:rsidRDefault="004767DA" w:rsidP="004767DA">
      <w:pPr>
        <w:rPr>
          <w:rFonts w:ascii="Calibri" w:hAnsi="Calibri" w:cs="Calibri"/>
        </w:rPr>
      </w:pPr>
      <w:r w:rsidRPr="007621DF">
        <w:rPr>
          <w:rFonts w:ascii="Calibri" w:hAnsi="Calibri" w:cs="Calibri"/>
        </w:rPr>
        <w:t>9. Wytyczne techniczne G-3.1. Osnowy realizacyjne</w:t>
      </w:r>
    </w:p>
    <w:p w:rsidR="004767DA" w:rsidRPr="007621DF" w:rsidRDefault="004767DA" w:rsidP="004767DA">
      <w:pPr>
        <w:rPr>
          <w:rFonts w:ascii="Calibri" w:hAnsi="Calibri" w:cs="Calibri"/>
        </w:rPr>
      </w:pPr>
      <w:r w:rsidRPr="007621DF">
        <w:rPr>
          <w:rFonts w:ascii="Calibri" w:hAnsi="Calibri" w:cs="Calibri"/>
        </w:rPr>
        <w:t>10. Wytyczne techniczne G-3.2. Pomiary realizacyjne</w:t>
      </w:r>
    </w:p>
    <w:p w:rsidR="004767DA" w:rsidRPr="007621DF" w:rsidRDefault="004767DA" w:rsidP="004767DA">
      <w:pPr>
        <w:rPr>
          <w:rFonts w:ascii="Calibri" w:hAnsi="Calibri" w:cs="Calibri"/>
        </w:rPr>
      </w:pPr>
    </w:p>
    <w:p w:rsidR="004767DA" w:rsidRDefault="004767DA" w:rsidP="004767DA">
      <w:pPr>
        <w:rPr>
          <w:rFonts w:ascii="Calibri" w:hAnsi="Calibri" w:cs="Calibri"/>
        </w:rPr>
      </w:pPr>
    </w:p>
    <w:p w:rsidR="004767DA" w:rsidRDefault="004767DA" w:rsidP="004767DA">
      <w:pPr>
        <w:rPr>
          <w:rFonts w:ascii="Calibri" w:hAnsi="Calibri" w:cs="Calibri"/>
        </w:rPr>
      </w:pPr>
    </w:p>
    <w:p w:rsidR="004767DA" w:rsidRDefault="004767DA" w:rsidP="004767DA">
      <w:pPr>
        <w:rPr>
          <w:rFonts w:ascii="Calibri" w:hAnsi="Calibri" w:cs="Calibri"/>
        </w:rPr>
      </w:pPr>
    </w:p>
    <w:p w:rsidR="004767DA" w:rsidRDefault="004767DA" w:rsidP="004767DA">
      <w:pPr>
        <w:rPr>
          <w:rFonts w:ascii="Calibri" w:hAnsi="Calibri" w:cs="Calibri"/>
        </w:rPr>
      </w:pPr>
    </w:p>
    <w:p w:rsidR="004767DA" w:rsidRDefault="004767DA" w:rsidP="004767DA">
      <w:pPr>
        <w:rPr>
          <w:rFonts w:ascii="Calibri" w:hAnsi="Calibri" w:cs="Calibri"/>
        </w:rPr>
      </w:pPr>
    </w:p>
    <w:p w:rsidR="004767DA" w:rsidRDefault="004767DA" w:rsidP="004767DA">
      <w:pPr>
        <w:rPr>
          <w:rFonts w:ascii="Calibri" w:hAnsi="Calibri" w:cs="Calibri"/>
        </w:rPr>
      </w:pPr>
    </w:p>
    <w:p w:rsidR="004767DA" w:rsidRDefault="004767DA" w:rsidP="004767DA">
      <w:pPr>
        <w:rPr>
          <w:rFonts w:ascii="Calibri" w:hAnsi="Calibri" w:cs="Calibri"/>
        </w:rPr>
      </w:pPr>
    </w:p>
    <w:p w:rsidR="004767DA" w:rsidRDefault="004767DA" w:rsidP="004767DA">
      <w:pPr>
        <w:rPr>
          <w:rFonts w:ascii="Calibri" w:hAnsi="Calibri" w:cs="Calibri"/>
        </w:rPr>
      </w:pPr>
    </w:p>
    <w:p w:rsidR="004767DA" w:rsidRDefault="004767DA" w:rsidP="004767DA">
      <w:pPr>
        <w:rPr>
          <w:rFonts w:ascii="Calibri" w:hAnsi="Calibri" w:cs="Calibri"/>
        </w:rPr>
      </w:pPr>
    </w:p>
    <w:p w:rsidR="004767DA" w:rsidRDefault="004767DA" w:rsidP="004767DA">
      <w:pPr>
        <w:rPr>
          <w:rFonts w:ascii="Calibri" w:hAnsi="Calibri" w:cs="Calibri"/>
        </w:rPr>
      </w:pPr>
    </w:p>
    <w:p w:rsidR="004767DA" w:rsidRPr="00C3632E" w:rsidRDefault="004767DA" w:rsidP="004767DA">
      <w:pPr>
        <w:rPr>
          <w:rFonts w:ascii="Calibri" w:hAnsi="Calibri" w:cs="Calibri"/>
        </w:rPr>
      </w:pPr>
    </w:p>
    <w:p w:rsidR="004767DA" w:rsidRPr="00C3632E" w:rsidRDefault="004767DA" w:rsidP="004767DA">
      <w:pPr>
        <w:rPr>
          <w:rFonts w:ascii="Calibri" w:hAnsi="Calibri" w:cs="Calibri"/>
        </w:rPr>
      </w:pPr>
    </w:p>
    <w:p w:rsidR="004767DA" w:rsidRDefault="004767DA" w:rsidP="004767DA">
      <w:pPr>
        <w:rPr>
          <w:rFonts w:ascii="Calibri" w:hAnsi="Calibri" w:cs="Calibri"/>
        </w:rPr>
      </w:pPr>
    </w:p>
    <w:p w:rsidR="006C0559" w:rsidRDefault="006C0559" w:rsidP="004767DA">
      <w:pPr>
        <w:rPr>
          <w:rFonts w:ascii="Calibri" w:hAnsi="Calibri" w:cs="Calibri"/>
        </w:rPr>
      </w:pPr>
    </w:p>
    <w:p w:rsidR="006C0559" w:rsidRDefault="006C0559" w:rsidP="004767DA">
      <w:pPr>
        <w:rPr>
          <w:rFonts w:ascii="Calibri" w:hAnsi="Calibri" w:cs="Calibri"/>
        </w:rPr>
      </w:pPr>
    </w:p>
    <w:p w:rsidR="006C0559" w:rsidRDefault="006C0559" w:rsidP="004767DA">
      <w:pPr>
        <w:rPr>
          <w:rFonts w:ascii="Calibri" w:hAnsi="Calibri" w:cs="Calibri"/>
        </w:rPr>
      </w:pPr>
    </w:p>
    <w:p w:rsidR="006C0559" w:rsidRDefault="006C0559" w:rsidP="004767DA">
      <w:pPr>
        <w:rPr>
          <w:rFonts w:ascii="Calibri" w:hAnsi="Calibri" w:cs="Calibri"/>
        </w:rPr>
      </w:pPr>
    </w:p>
    <w:p w:rsidR="006C0559" w:rsidRDefault="006C0559" w:rsidP="004767DA">
      <w:pPr>
        <w:rPr>
          <w:rFonts w:ascii="Calibri" w:hAnsi="Calibri" w:cs="Calibri"/>
        </w:rPr>
      </w:pPr>
    </w:p>
    <w:p w:rsidR="006C0559" w:rsidRDefault="006C0559" w:rsidP="004767DA">
      <w:pPr>
        <w:rPr>
          <w:rFonts w:ascii="Calibri" w:hAnsi="Calibri" w:cs="Calibri"/>
        </w:rPr>
      </w:pPr>
    </w:p>
    <w:p w:rsidR="006C0559" w:rsidRDefault="006C0559" w:rsidP="004767DA">
      <w:pPr>
        <w:rPr>
          <w:rFonts w:ascii="Calibri" w:hAnsi="Calibri" w:cs="Calibri"/>
        </w:rPr>
      </w:pPr>
    </w:p>
    <w:p w:rsidR="006C0559" w:rsidRDefault="006C0559" w:rsidP="004767DA">
      <w:pPr>
        <w:rPr>
          <w:rFonts w:ascii="Calibri" w:hAnsi="Calibri" w:cs="Calibri"/>
        </w:rPr>
      </w:pPr>
    </w:p>
    <w:p w:rsidR="006C0559" w:rsidRDefault="006C0559" w:rsidP="004767DA">
      <w:pPr>
        <w:rPr>
          <w:rFonts w:ascii="Calibri" w:hAnsi="Calibri" w:cs="Calibri"/>
        </w:rPr>
      </w:pPr>
    </w:p>
    <w:p w:rsidR="006C0559" w:rsidRDefault="006C0559" w:rsidP="004767DA">
      <w:pPr>
        <w:rPr>
          <w:rFonts w:ascii="Calibri" w:hAnsi="Calibri" w:cs="Calibri"/>
        </w:rPr>
      </w:pPr>
    </w:p>
    <w:p w:rsidR="006C0559" w:rsidRDefault="006C0559" w:rsidP="004767DA">
      <w:pPr>
        <w:rPr>
          <w:rFonts w:ascii="Calibri" w:hAnsi="Calibri" w:cs="Calibri"/>
        </w:rPr>
      </w:pPr>
    </w:p>
    <w:p w:rsidR="006C0559" w:rsidRDefault="006C0559" w:rsidP="004767DA">
      <w:pPr>
        <w:rPr>
          <w:rFonts w:ascii="Calibri" w:hAnsi="Calibri" w:cs="Calibri"/>
        </w:rPr>
      </w:pPr>
    </w:p>
    <w:p w:rsidR="006C0559" w:rsidRDefault="006C0559" w:rsidP="004767DA">
      <w:pPr>
        <w:rPr>
          <w:rFonts w:ascii="Calibri" w:hAnsi="Calibri" w:cs="Calibri"/>
        </w:rPr>
      </w:pPr>
    </w:p>
    <w:p w:rsidR="006C0559" w:rsidRDefault="006C0559" w:rsidP="004767DA">
      <w:pPr>
        <w:rPr>
          <w:rFonts w:ascii="Calibri" w:hAnsi="Calibri" w:cs="Calibri"/>
        </w:rPr>
      </w:pPr>
    </w:p>
    <w:p w:rsidR="006C0559" w:rsidRDefault="006C0559" w:rsidP="004767DA">
      <w:pPr>
        <w:rPr>
          <w:rFonts w:ascii="Calibri" w:hAnsi="Calibri" w:cs="Calibri"/>
        </w:rPr>
      </w:pPr>
    </w:p>
    <w:p w:rsidR="006C0559" w:rsidRDefault="006C0559" w:rsidP="004767DA">
      <w:pPr>
        <w:rPr>
          <w:rFonts w:ascii="Calibri" w:hAnsi="Calibri" w:cs="Calibri"/>
        </w:rPr>
      </w:pPr>
    </w:p>
    <w:p w:rsidR="006C0559" w:rsidRDefault="006C0559" w:rsidP="004767DA">
      <w:pPr>
        <w:rPr>
          <w:rFonts w:ascii="Calibri" w:hAnsi="Calibri" w:cs="Calibri"/>
        </w:rPr>
      </w:pPr>
    </w:p>
    <w:p w:rsidR="006C0559" w:rsidRDefault="006C0559" w:rsidP="004767DA">
      <w:pPr>
        <w:rPr>
          <w:rFonts w:ascii="Calibri" w:hAnsi="Calibri" w:cs="Calibri"/>
        </w:rPr>
      </w:pPr>
    </w:p>
    <w:p w:rsidR="006C0559" w:rsidRDefault="006C0559" w:rsidP="004767DA">
      <w:pPr>
        <w:rPr>
          <w:rFonts w:ascii="Calibri" w:hAnsi="Calibri" w:cs="Calibri"/>
        </w:rPr>
      </w:pPr>
    </w:p>
    <w:p w:rsidR="006C0559" w:rsidRDefault="006C0559" w:rsidP="004767DA">
      <w:pPr>
        <w:rPr>
          <w:rFonts w:ascii="Calibri" w:hAnsi="Calibri" w:cs="Calibri"/>
        </w:rPr>
      </w:pPr>
    </w:p>
    <w:p w:rsidR="006C0559" w:rsidRDefault="006C0559" w:rsidP="004767DA">
      <w:pPr>
        <w:rPr>
          <w:rFonts w:ascii="Calibri" w:hAnsi="Calibri" w:cs="Calibri"/>
        </w:rPr>
      </w:pPr>
    </w:p>
    <w:p w:rsidR="006C0559" w:rsidRDefault="006C0559" w:rsidP="004767DA">
      <w:pPr>
        <w:rPr>
          <w:rFonts w:ascii="Calibri" w:hAnsi="Calibri" w:cs="Calibri"/>
        </w:rPr>
      </w:pPr>
    </w:p>
    <w:p w:rsidR="006C0559" w:rsidRDefault="006C0559" w:rsidP="004767DA">
      <w:pPr>
        <w:rPr>
          <w:rFonts w:ascii="Calibri" w:hAnsi="Calibri" w:cs="Calibri"/>
        </w:rPr>
      </w:pPr>
    </w:p>
    <w:p w:rsidR="006C0559" w:rsidRDefault="006C0559" w:rsidP="004767DA">
      <w:pPr>
        <w:rPr>
          <w:rFonts w:ascii="Calibri" w:hAnsi="Calibri" w:cs="Calibri"/>
        </w:rPr>
      </w:pPr>
    </w:p>
    <w:p w:rsidR="006C0559" w:rsidRDefault="006C0559" w:rsidP="004767DA">
      <w:pPr>
        <w:rPr>
          <w:rFonts w:ascii="Calibri" w:hAnsi="Calibri" w:cs="Calibri"/>
        </w:rPr>
      </w:pPr>
    </w:p>
    <w:p w:rsidR="006C0559" w:rsidRDefault="006C0559" w:rsidP="004767DA">
      <w:pPr>
        <w:rPr>
          <w:rFonts w:ascii="Calibri" w:hAnsi="Calibri" w:cs="Calibri"/>
        </w:rPr>
      </w:pPr>
    </w:p>
    <w:p w:rsidR="006C0559" w:rsidRDefault="006C0559" w:rsidP="004767DA">
      <w:pPr>
        <w:rPr>
          <w:rFonts w:ascii="Calibri" w:hAnsi="Calibri" w:cs="Calibri"/>
        </w:rPr>
      </w:pPr>
    </w:p>
    <w:p w:rsidR="006C0559" w:rsidRDefault="006C0559" w:rsidP="004767DA">
      <w:pPr>
        <w:rPr>
          <w:rFonts w:ascii="Calibri" w:hAnsi="Calibri" w:cs="Calibri"/>
        </w:rPr>
      </w:pPr>
    </w:p>
    <w:p w:rsidR="006C0559" w:rsidRDefault="006C0559" w:rsidP="004767DA">
      <w:pPr>
        <w:rPr>
          <w:rFonts w:ascii="Calibri" w:hAnsi="Calibri" w:cs="Calibri"/>
        </w:rPr>
      </w:pPr>
    </w:p>
    <w:p w:rsidR="006C0559" w:rsidRDefault="006C0559" w:rsidP="004767DA">
      <w:pPr>
        <w:rPr>
          <w:rFonts w:ascii="Calibri" w:hAnsi="Calibri" w:cs="Calibri"/>
        </w:rPr>
      </w:pPr>
    </w:p>
    <w:p w:rsidR="006C0559" w:rsidRDefault="006C0559" w:rsidP="004767DA">
      <w:pPr>
        <w:rPr>
          <w:rFonts w:ascii="Calibri" w:hAnsi="Calibri" w:cs="Calibri"/>
        </w:rPr>
      </w:pPr>
    </w:p>
    <w:p w:rsidR="006C0559" w:rsidRDefault="006C0559" w:rsidP="004767DA">
      <w:pPr>
        <w:rPr>
          <w:rFonts w:ascii="Calibri" w:hAnsi="Calibri" w:cs="Calibri"/>
        </w:rPr>
      </w:pPr>
    </w:p>
    <w:p w:rsidR="000C27BF" w:rsidRDefault="000C27BF" w:rsidP="004767DA">
      <w:pPr>
        <w:rPr>
          <w:rFonts w:ascii="Calibri" w:hAnsi="Calibri" w:cs="Calibri"/>
        </w:rPr>
      </w:pPr>
    </w:p>
    <w:p w:rsidR="000C27BF" w:rsidRDefault="000C27BF" w:rsidP="004767DA">
      <w:pPr>
        <w:rPr>
          <w:rFonts w:ascii="Calibri" w:hAnsi="Calibri" w:cs="Calibri"/>
        </w:rPr>
      </w:pPr>
    </w:p>
    <w:p w:rsidR="000C27BF" w:rsidRDefault="000C27BF" w:rsidP="004767DA">
      <w:pPr>
        <w:rPr>
          <w:rFonts w:ascii="Calibri" w:hAnsi="Calibri" w:cs="Calibri"/>
        </w:rPr>
      </w:pPr>
    </w:p>
    <w:p w:rsidR="000C27BF" w:rsidRDefault="000C27BF" w:rsidP="004767DA">
      <w:pPr>
        <w:rPr>
          <w:rFonts w:ascii="Calibri" w:hAnsi="Calibri" w:cs="Calibri"/>
        </w:rPr>
      </w:pPr>
    </w:p>
    <w:p w:rsidR="000C27BF" w:rsidRDefault="000C27BF" w:rsidP="004767DA">
      <w:pPr>
        <w:rPr>
          <w:rFonts w:ascii="Calibri" w:hAnsi="Calibri" w:cs="Calibri"/>
        </w:rPr>
      </w:pPr>
    </w:p>
    <w:p w:rsidR="000C27BF" w:rsidRDefault="000C27BF" w:rsidP="004767DA">
      <w:pPr>
        <w:rPr>
          <w:rFonts w:ascii="Calibri" w:hAnsi="Calibri" w:cs="Calibri"/>
        </w:rPr>
      </w:pPr>
    </w:p>
    <w:p w:rsidR="000C27BF" w:rsidRDefault="000C27BF" w:rsidP="004767DA">
      <w:pPr>
        <w:rPr>
          <w:rFonts w:ascii="Calibri" w:hAnsi="Calibri" w:cs="Calibri"/>
        </w:rPr>
      </w:pPr>
    </w:p>
    <w:p w:rsidR="000C27BF" w:rsidRDefault="000C27BF" w:rsidP="004767DA">
      <w:pPr>
        <w:rPr>
          <w:rFonts w:ascii="Calibri" w:hAnsi="Calibri" w:cs="Calibri"/>
        </w:rPr>
      </w:pPr>
    </w:p>
    <w:p w:rsidR="000C27BF" w:rsidRDefault="000C27BF" w:rsidP="004767DA">
      <w:pPr>
        <w:rPr>
          <w:rFonts w:ascii="Calibri" w:hAnsi="Calibri" w:cs="Calibri"/>
        </w:rPr>
      </w:pPr>
    </w:p>
    <w:p w:rsidR="00B61884" w:rsidRDefault="00B61884" w:rsidP="004767DA">
      <w:pPr>
        <w:rPr>
          <w:rFonts w:ascii="Calibri" w:hAnsi="Calibri" w:cs="Calibri"/>
        </w:rPr>
      </w:pPr>
    </w:p>
    <w:p w:rsidR="00B61884" w:rsidRDefault="00B61884" w:rsidP="004767DA">
      <w:pPr>
        <w:rPr>
          <w:rFonts w:ascii="Calibri" w:hAnsi="Calibri" w:cs="Calibri"/>
        </w:rPr>
      </w:pPr>
    </w:p>
    <w:p w:rsidR="000C27BF" w:rsidRDefault="000C27BF" w:rsidP="004767DA">
      <w:pPr>
        <w:rPr>
          <w:rFonts w:ascii="Calibri" w:hAnsi="Calibri" w:cs="Calibri"/>
        </w:rPr>
      </w:pPr>
    </w:p>
    <w:p w:rsidR="006C0559" w:rsidRPr="00C3632E" w:rsidRDefault="006C0559" w:rsidP="004767DA">
      <w:pPr>
        <w:rPr>
          <w:rFonts w:ascii="Calibri" w:hAnsi="Calibri" w:cs="Calibri"/>
        </w:rPr>
      </w:pPr>
    </w:p>
    <w:p w:rsidR="004767DA" w:rsidRPr="00C3632E" w:rsidRDefault="004767DA" w:rsidP="004767DA">
      <w:pPr>
        <w:rPr>
          <w:rFonts w:ascii="Calibri" w:hAnsi="Calibri" w:cs="Calibri"/>
        </w:rPr>
      </w:pPr>
    </w:p>
    <w:p w:rsidR="004767DA" w:rsidRPr="004E4D6E" w:rsidRDefault="00417278" w:rsidP="0043130B">
      <w:pPr>
        <w:pStyle w:val="Nagwek1"/>
        <w:jc w:val="center"/>
      </w:pPr>
      <w:bookmarkStart w:id="183" w:name="_Toc438237712"/>
      <w:r>
        <w:t>D</w:t>
      </w:r>
      <w:r w:rsidR="004767DA" w:rsidRPr="004E4D6E">
        <w:t>–01.01.01b</w:t>
      </w:r>
      <w:r>
        <w:t xml:space="preserve"> </w:t>
      </w:r>
      <w:r w:rsidR="00FD47C7">
        <w:t xml:space="preserve"> </w:t>
      </w:r>
      <w:r w:rsidR="004767DA" w:rsidRPr="004E4D6E">
        <w:t>WYNIESIENIE I STABILIZACJA</w:t>
      </w:r>
      <w:r w:rsidR="00FD47C7">
        <w:t xml:space="preserve"> </w:t>
      </w:r>
      <w:r w:rsidR="004767DA" w:rsidRPr="004E4D6E">
        <w:t>GRANIC PASA DROGOWEGO</w:t>
      </w:r>
      <w:bookmarkEnd w:id="183"/>
    </w:p>
    <w:p w:rsidR="004767DA" w:rsidRPr="002D7D15" w:rsidRDefault="004767DA" w:rsidP="004767DA">
      <w:pPr>
        <w:rPr>
          <w:rFonts w:ascii="Calibri" w:hAnsi="Calibri" w:cs="Calibri"/>
        </w:rPr>
      </w:pPr>
    </w:p>
    <w:p w:rsidR="004767DA" w:rsidRPr="002D7D15" w:rsidRDefault="004767DA" w:rsidP="004767DA">
      <w:pPr>
        <w:rPr>
          <w:rFonts w:ascii="Calibri" w:hAnsi="Calibri" w:cs="Calibri"/>
        </w:rPr>
      </w:pPr>
    </w:p>
    <w:p w:rsidR="004767DA" w:rsidRPr="002D7D15" w:rsidRDefault="004767DA" w:rsidP="004767DA">
      <w:pPr>
        <w:rPr>
          <w:rFonts w:ascii="Calibri" w:hAnsi="Calibri" w:cs="Calibri"/>
        </w:rPr>
      </w:pPr>
    </w:p>
    <w:p w:rsidR="004767DA" w:rsidRPr="002D7D15" w:rsidRDefault="004767DA" w:rsidP="004767DA">
      <w:pPr>
        <w:rPr>
          <w:rFonts w:ascii="Calibri" w:hAnsi="Calibri" w:cs="Calibri"/>
        </w:rPr>
      </w:pPr>
    </w:p>
    <w:p w:rsidR="004767DA" w:rsidRPr="002D7D15" w:rsidRDefault="004767DA" w:rsidP="004767DA">
      <w:pPr>
        <w:rPr>
          <w:rFonts w:ascii="Calibri" w:hAnsi="Calibri" w:cs="Calibri"/>
        </w:rPr>
      </w:pPr>
    </w:p>
    <w:p w:rsidR="004767DA" w:rsidRPr="002D7D15" w:rsidRDefault="004767DA" w:rsidP="004767DA">
      <w:pPr>
        <w:rPr>
          <w:rFonts w:ascii="Calibri" w:hAnsi="Calibri" w:cs="Calibri"/>
        </w:rPr>
      </w:pPr>
    </w:p>
    <w:p w:rsidR="004767DA" w:rsidRPr="002D7D15" w:rsidRDefault="004767DA" w:rsidP="004767DA">
      <w:pPr>
        <w:rPr>
          <w:rFonts w:ascii="Calibri" w:hAnsi="Calibri" w:cs="Calibri"/>
        </w:rPr>
      </w:pPr>
    </w:p>
    <w:p w:rsidR="004767DA" w:rsidRPr="002D7D15" w:rsidRDefault="004767DA" w:rsidP="004767DA">
      <w:pPr>
        <w:rPr>
          <w:rFonts w:ascii="Calibri" w:hAnsi="Calibri" w:cs="Calibri"/>
        </w:rPr>
      </w:pPr>
    </w:p>
    <w:p w:rsidR="004767DA" w:rsidRPr="002D7D15" w:rsidRDefault="004767DA" w:rsidP="004767DA">
      <w:pPr>
        <w:rPr>
          <w:rFonts w:ascii="Calibri" w:hAnsi="Calibri" w:cs="Calibri"/>
        </w:rPr>
      </w:pPr>
    </w:p>
    <w:p w:rsidR="004767DA" w:rsidRPr="002D7D15" w:rsidRDefault="004767DA" w:rsidP="004767DA">
      <w:pPr>
        <w:rPr>
          <w:rFonts w:ascii="Calibri" w:hAnsi="Calibri" w:cs="Calibri"/>
        </w:rPr>
      </w:pPr>
    </w:p>
    <w:p w:rsidR="004767DA" w:rsidRPr="002D7D15" w:rsidRDefault="004767DA" w:rsidP="004767DA">
      <w:pPr>
        <w:rPr>
          <w:rFonts w:ascii="Calibri" w:hAnsi="Calibri" w:cs="Calibri"/>
        </w:rPr>
      </w:pPr>
    </w:p>
    <w:p w:rsidR="006C0559" w:rsidRDefault="006C0559" w:rsidP="004767DA">
      <w:pPr>
        <w:rPr>
          <w:rFonts w:ascii="Calibri" w:hAnsi="Calibri" w:cs="Calibri"/>
          <w:b/>
        </w:rPr>
      </w:pPr>
      <w:bookmarkStart w:id="184" w:name="_Toc322519143"/>
    </w:p>
    <w:p w:rsidR="006C0559" w:rsidRDefault="006C0559" w:rsidP="004767DA">
      <w:pPr>
        <w:rPr>
          <w:rFonts w:ascii="Calibri" w:hAnsi="Calibri" w:cs="Calibri"/>
          <w:b/>
        </w:rPr>
      </w:pPr>
    </w:p>
    <w:p w:rsidR="006C0559" w:rsidRDefault="006C0559" w:rsidP="004767DA">
      <w:pPr>
        <w:rPr>
          <w:rFonts w:ascii="Calibri" w:hAnsi="Calibri" w:cs="Calibri"/>
          <w:b/>
        </w:rPr>
      </w:pPr>
    </w:p>
    <w:p w:rsidR="006C0559" w:rsidRDefault="006C0559" w:rsidP="004767DA">
      <w:pPr>
        <w:rPr>
          <w:rFonts w:ascii="Calibri" w:hAnsi="Calibri" w:cs="Calibri"/>
          <w:b/>
        </w:rPr>
      </w:pPr>
    </w:p>
    <w:p w:rsidR="006C0559" w:rsidRDefault="006C0559" w:rsidP="004767DA">
      <w:pPr>
        <w:rPr>
          <w:rFonts w:ascii="Calibri" w:hAnsi="Calibri" w:cs="Calibri"/>
          <w:b/>
        </w:rPr>
      </w:pPr>
    </w:p>
    <w:p w:rsidR="006C0559" w:rsidRDefault="006C0559" w:rsidP="004767DA">
      <w:pPr>
        <w:rPr>
          <w:rFonts w:ascii="Calibri" w:hAnsi="Calibri" w:cs="Calibri"/>
          <w:b/>
        </w:rPr>
      </w:pPr>
    </w:p>
    <w:p w:rsidR="006C0559" w:rsidRDefault="006C0559" w:rsidP="004767DA">
      <w:pPr>
        <w:rPr>
          <w:rFonts w:ascii="Calibri" w:hAnsi="Calibri" w:cs="Calibri"/>
          <w:b/>
        </w:rPr>
      </w:pPr>
    </w:p>
    <w:p w:rsidR="006C0559" w:rsidRDefault="006C0559" w:rsidP="004767DA">
      <w:pPr>
        <w:rPr>
          <w:rFonts w:ascii="Calibri" w:hAnsi="Calibri" w:cs="Calibri"/>
          <w:b/>
        </w:rPr>
      </w:pPr>
    </w:p>
    <w:p w:rsidR="006C0559" w:rsidRDefault="006C0559" w:rsidP="004767DA">
      <w:pPr>
        <w:rPr>
          <w:rFonts w:ascii="Calibri" w:hAnsi="Calibri" w:cs="Calibri"/>
          <w:b/>
        </w:rPr>
      </w:pPr>
    </w:p>
    <w:p w:rsidR="006C0559" w:rsidRDefault="006C0559" w:rsidP="004767DA">
      <w:pPr>
        <w:rPr>
          <w:rFonts w:ascii="Calibri" w:hAnsi="Calibri" w:cs="Calibri"/>
          <w:b/>
        </w:rPr>
      </w:pPr>
    </w:p>
    <w:p w:rsidR="006C0559" w:rsidRDefault="006C0559" w:rsidP="004767DA">
      <w:pPr>
        <w:rPr>
          <w:rFonts w:ascii="Calibri" w:hAnsi="Calibri" w:cs="Calibri"/>
          <w:b/>
        </w:rPr>
      </w:pPr>
    </w:p>
    <w:p w:rsidR="006C0559" w:rsidRDefault="006C0559" w:rsidP="004767DA">
      <w:pPr>
        <w:rPr>
          <w:rFonts w:ascii="Calibri" w:hAnsi="Calibri" w:cs="Calibri"/>
          <w:b/>
        </w:rPr>
      </w:pPr>
    </w:p>
    <w:p w:rsidR="006C0559" w:rsidRDefault="006C0559" w:rsidP="004767DA">
      <w:pPr>
        <w:rPr>
          <w:rFonts w:ascii="Calibri" w:hAnsi="Calibri" w:cs="Calibri"/>
          <w:b/>
        </w:rPr>
      </w:pPr>
    </w:p>
    <w:p w:rsidR="006C0559" w:rsidRDefault="006C0559" w:rsidP="004767DA">
      <w:pPr>
        <w:rPr>
          <w:rFonts w:ascii="Calibri" w:hAnsi="Calibri" w:cs="Calibri"/>
          <w:b/>
        </w:rPr>
      </w:pPr>
    </w:p>
    <w:p w:rsidR="006C0559" w:rsidRDefault="006C0559" w:rsidP="004767DA">
      <w:pPr>
        <w:rPr>
          <w:rFonts w:ascii="Calibri" w:hAnsi="Calibri" w:cs="Calibri"/>
          <w:b/>
        </w:rPr>
      </w:pPr>
    </w:p>
    <w:p w:rsidR="008A6952" w:rsidRDefault="008A6952" w:rsidP="004767DA">
      <w:pPr>
        <w:rPr>
          <w:rFonts w:ascii="Calibri" w:hAnsi="Calibri" w:cs="Calibri"/>
          <w:b/>
        </w:rPr>
      </w:pPr>
    </w:p>
    <w:p w:rsidR="008A6952" w:rsidRDefault="008A6952" w:rsidP="004767DA">
      <w:pPr>
        <w:rPr>
          <w:rFonts w:ascii="Calibri" w:hAnsi="Calibri" w:cs="Calibri"/>
          <w:b/>
        </w:rPr>
      </w:pPr>
    </w:p>
    <w:p w:rsidR="008A6952" w:rsidRDefault="008A6952" w:rsidP="004767DA">
      <w:pPr>
        <w:rPr>
          <w:rFonts w:ascii="Calibri" w:hAnsi="Calibri" w:cs="Calibri"/>
          <w:b/>
        </w:rPr>
      </w:pPr>
    </w:p>
    <w:p w:rsidR="006C0559" w:rsidRDefault="006C0559" w:rsidP="004767DA">
      <w:pPr>
        <w:rPr>
          <w:rFonts w:ascii="Calibri" w:hAnsi="Calibri" w:cs="Calibri"/>
          <w:b/>
        </w:rPr>
      </w:pPr>
    </w:p>
    <w:p w:rsidR="006C0559" w:rsidRDefault="006C0559" w:rsidP="004767DA">
      <w:pPr>
        <w:rPr>
          <w:rFonts w:ascii="Calibri" w:hAnsi="Calibri" w:cs="Calibri"/>
          <w:b/>
        </w:rPr>
      </w:pPr>
    </w:p>
    <w:p w:rsidR="006C0559" w:rsidRDefault="006C0559" w:rsidP="004767DA">
      <w:pPr>
        <w:rPr>
          <w:rFonts w:ascii="Calibri" w:hAnsi="Calibri" w:cs="Calibri"/>
          <w:b/>
        </w:rPr>
      </w:pPr>
    </w:p>
    <w:p w:rsidR="006C0559" w:rsidRDefault="006C0559" w:rsidP="004767DA">
      <w:pPr>
        <w:rPr>
          <w:rFonts w:ascii="Calibri" w:hAnsi="Calibri" w:cs="Calibri"/>
          <w:b/>
        </w:rPr>
      </w:pPr>
    </w:p>
    <w:p w:rsidR="006C0559" w:rsidRDefault="006C0559" w:rsidP="004767DA">
      <w:pPr>
        <w:rPr>
          <w:rFonts w:ascii="Calibri" w:hAnsi="Calibri" w:cs="Calibri"/>
          <w:b/>
        </w:rPr>
      </w:pPr>
    </w:p>
    <w:p w:rsidR="006C0559" w:rsidRDefault="006C0559" w:rsidP="004767DA">
      <w:pPr>
        <w:rPr>
          <w:rFonts w:ascii="Calibri" w:hAnsi="Calibri" w:cs="Calibri"/>
          <w:b/>
        </w:rPr>
      </w:pPr>
    </w:p>
    <w:p w:rsidR="006C0559" w:rsidRDefault="006C0559" w:rsidP="004767DA">
      <w:pPr>
        <w:rPr>
          <w:rFonts w:ascii="Calibri" w:hAnsi="Calibri" w:cs="Calibri"/>
          <w:b/>
        </w:rPr>
      </w:pPr>
    </w:p>
    <w:p w:rsidR="006C0559" w:rsidRDefault="006C0559" w:rsidP="004767DA">
      <w:pPr>
        <w:rPr>
          <w:rFonts w:ascii="Calibri" w:hAnsi="Calibri" w:cs="Calibri"/>
          <w:b/>
        </w:rPr>
      </w:pPr>
    </w:p>
    <w:p w:rsidR="006C0559" w:rsidRDefault="006C0559" w:rsidP="004767DA">
      <w:pPr>
        <w:rPr>
          <w:rFonts w:ascii="Calibri" w:hAnsi="Calibri" w:cs="Calibri"/>
          <w:b/>
        </w:rPr>
      </w:pPr>
    </w:p>
    <w:p w:rsidR="0043130B" w:rsidRDefault="0043130B" w:rsidP="004767DA">
      <w:pPr>
        <w:rPr>
          <w:rFonts w:ascii="Calibri" w:hAnsi="Calibri" w:cs="Calibri"/>
          <w:b/>
        </w:rPr>
      </w:pPr>
    </w:p>
    <w:p w:rsidR="004767DA" w:rsidRPr="004E4D6E" w:rsidRDefault="004767DA" w:rsidP="004767DA">
      <w:pPr>
        <w:rPr>
          <w:rFonts w:ascii="Calibri" w:hAnsi="Calibri" w:cs="Calibri"/>
          <w:b/>
        </w:rPr>
      </w:pPr>
      <w:r w:rsidRPr="004E4D6E">
        <w:rPr>
          <w:rFonts w:ascii="Calibri" w:hAnsi="Calibri" w:cs="Calibri"/>
          <w:b/>
        </w:rPr>
        <w:lastRenderedPageBreak/>
        <w:t>1. WSTĘP</w:t>
      </w:r>
      <w:bookmarkEnd w:id="184"/>
    </w:p>
    <w:p w:rsidR="004767DA" w:rsidRPr="002D7D15" w:rsidRDefault="004767DA" w:rsidP="004767DA">
      <w:pPr>
        <w:rPr>
          <w:rFonts w:ascii="Calibri" w:hAnsi="Calibri" w:cs="Calibri"/>
        </w:rPr>
      </w:pPr>
      <w:r w:rsidRPr="004E4D6E">
        <w:rPr>
          <w:rFonts w:ascii="Calibri" w:hAnsi="Calibri" w:cs="Calibri"/>
          <w:b/>
        </w:rPr>
        <w:t>1.1.</w:t>
      </w:r>
      <w:r>
        <w:rPr>
          <w:rFonts w:ascii="Calibri" w:hAnsi="Calibri" w:cs="Calibri"/>
        </w:rPr>
        <w:t xml:space="preserve"> Przedmiot </w:t>
      </w:r>
      <w:r w:rsidRPr="002D7D15">
        <w:rPr>
          <w:rFonts w:ascii="Calibri" w:hAnsi="Calibri" w:cs="Calibri"/>
        </w:rPr>
        <w:t>ST</w:t>
      </w:r>
    </w:p>
    <w:p w:rsidR="004767DA" w:rsidRPr="002D7D15" w:rsidRDefault="004767DA" w:rsidP="004767DA">
      <w:pPr>
        <w:rPr>
          <w:rFonts w:ascii="Calibri" w:hAnsi="Calibri" w:cs="Calibri"/>
        </w:rPr>
      </w:pPr>
      <w:r>
        <w:rPr>
          <w:rFonts w:ascii="Calibri" w:hAnsi="Calibri" w:cs="Calibri"/>
        </w:rPr>
        <w:tab/>
        <w:t>Przedmiotem niniejszej specyfikacji technicznej (</w:t>
      </w:r>
      <w:r w:rsidRPr="002D7D15">
        <w:rPr>
          <w:rFonts w:ascii="Calibri" w:hAnsi="Calibri" w:cs="Calibri"/>
        </w:rPr>
        <w:t>ST) są wymagania dotyczące wykonania i odbioru robót związanych z wyniesieniem i stabilizacją granic pasa drogowego.</w:t>
      </w:r>
    </w:p>
    <w:p w:rsidR="004767DA" w:rsidRPr="002D7D15" w:rsidRDefault="004767DA" w:rsidP="004767DA">
      <w:pPr>
        <w:rPr>
          <w:rFonts w:ascii="Calibri" w:hAnsi="Calibri" w:cs="Calibri"/>
        </w:rPr>
      </w:pPr>
      <w:r w:rsidRPr="004E4D6E">
        <w:rPr>
          <w:rFonts w:ascii="Calibri" w:hAnsi="Calibri" w:cs="Calibri"/>
          <w:b/>
        </w:rPr>
        <w:t>1.2.</w:t>
      </w:r>
      <w:r>
        <w:rPr>
          <w:rFonts w:ascii="Calibri" w:hAnsi="Calibri" w:cs="Calibri"/>
        </w:rPr>
        <w:t xml:space="preserve"> Zakres stosowania </w:t>
      </w:r>
      <w:r w:rsidRPr="002D7D15">
        <w:rPr>
          <w:rFonts w:ascii="Calibri" w:hAnsi="Calibri" w:cs="Calibri"/>
        </w:rPr>
        <w:t>ST</w:t>
      </w:r>
    </w:p>
    <w:p w:rsidR="004767DA" w:rsidRPr="007621DF" w:rsidRDefault="004767DA" w:rsidP="004767DA">
      <w:pPr>
        <w:rPr>
          <w:rFonts w:ascii="Calibri" w:hAnsi="Calibri" w:cs="Calibri"/>
        </w:rPr>
      </w:pPr>
      <w:r w:rsidRPr="002D7D15">
        <w:rPr>
          <w:rFonts w:ascii="Calibri" w:hAnsi="Calibri" w:cs="Calibri"/>
        </w:rPr>
        <w:tab/>
      </w:r>
      <w:r w:rsidRPr="007621DF">
        <w:rPr>
          <w:rFonts w:ascii="Calibri" w:hAnsi="Calibri" w:cs="Calibri"/>
        </w:rPr>
        <w:t>Specyfikacja techniczna określa wymagania dla wykonania i odbioru robót budowlanych przewidzianych do wykonania w ramach umowy a zawarte w niej zapisy w zakresie standardu materiałów, wykonania robót i wymaganej ich jakości oraz kontroli jakości robót należy traktować jako minimalne.</w:t>
      </w:r>
    </w:p>
    <w:p w:rsidR="004767DA" w:rsidRPr="002D7D15" w:rsidRDefault="004767DA" w:rsidP="004767DA">
      <w:pPr>
        <w:rPr>
          <w:rFonts w:ascii="Calibri" w:hAnsi="Calibri" w:cs="Calibri"/>
        </w:rPr>
      </w:pPr>
      <w:r w:rsidRPr="004E4D6E">
        <w:rPr>
          <w:rFonts w:ascii="Calibri" w:hAnsi="Calibri" w:cs="Calibri"/>
          <w:b/>
        </w:rPr>
        <w:t>1.3.</w:t>
      </w:r>
      <w:r w:rsidRPr="002D7D15">
        <w:rPr>
          <w:rFonts w:ascii="Calibri" w:hAnsi="Calibri" w:cs="Calibri"/>
        </w:rPr>
        <w:t xml:space="preserve"> Zakres robót o</w:t>
      </w:r>
      <w:r>
        <w:rPr>
          <w:rFonts w:ascii="Calibri" w:hAnsi="Calibri" w:cs="Calibri"/>
        </w:rPr>
        <w:t xml:space="preserve">bjętych </w:t>
      </w:r>
      <w:r w:rsidRPr="002D7D15">
        <w:rPr>
          <w:rFonts w:ascii="Calibri" w:hAnsi="Calibri" w:cs="Calibri"/>
        </w:rPr>
        <w:t>ST</w:t>
      </w:r>
    </w:p>
    <w:p w:rsidR="00B61884" w:rsidRPr="00B61884" w:rsidRDefault="004767DA" w:rsidP="00B61884">
      <w:pPr>
        <w:rPr>
          <w:rFonts w:asciiTheme="minorHAnsi" w:hAnsiTheme="minorHAnsi" w:cs="Calibri"/>
        </w:rPr>
      </w:pPr>
      <w:r w:rsidRPr="002D7D15">
        <w:rPr>
          <w:rFonts w:ascii="Calibri" w:hAnsi="Calibri" w:cs="Calibri"/>
        </w:rPr>
        <w:tab/>
        <w:t>Ustalenia zawarte w niniejszej specyfikacji dotyczą zasad prowadzenia robót związanych z wykonaniem i odbiorem wyniesienia i stabilizacji granic pasa drogowego przeznaczonego do umieszczenia w nim drogi i związanych z nią urządzeń</w:t>
      </w:r>
      <w:r w:rsidR="008A6952">
        <w:rPr>
          <w:rFonts w:ascii="Calibri" w:hAnsi="Calibri" w:cs="Calibri"/>
        </w:rPr>
        <w:t xml:space="preserve">, </w:t>
      </w:r>
      <w:r w:rsidR="00B61884">
        <w:rPr>
          <w:rFonts w:ascii="Calibri" w:hAnsi="Calibri" w:cs="Calibri"/>
        </w:rPr>
        <w:t>w związku z „</w:t>
      </w:r>
      <w:r w:rsidR="00B61884">
        <w:rPr>
          <w:rFonts w:asciiTheme="minorHAnsi" w:hAnsiTheme="minorHAnsi"/>
        </w:rPr>
        <w:t>Przebudową ul.55 Pułku Piechoty w L</w:t>
      </w:r>
      <w:r w:rsidR="00B61884" w:rsidRPr="00B61884">
        <w:rPr>
          <w:rFonts w:asciiTheme="minorHAnsi" w:hAnsiTheme="minorHAnsi"/>
        </w:rPr>
        <w:t>esznie wraz z przebudową oświetlenia</w:t>
      </w:r>
      <w:r w:rsidR="00B61884">
        <w:rPr>
          <w:rFonts w:asciiTheme="minorHAnsi" w:hAnsiTheme="minorHAnsi"/>
        </w:rPr>
        <w:t>”</w:t>
      </w:r>
      <w:r w:rsidR="00B61884">
        <w:rPr>
          <w:rFonts w:asciiTheme="minorHAnsi" w:hAnsiTheme="minorHAnsi" w:cs="Calibri"/>
        </w:rPr>
        <w:t>.</w:t>
      </w:r>
    </w:p>
    <w:p w:rsidR="004767DA" w:rsidRPr="002D7D15" w:rsidRDefault="00301193" w:rsidP="004767DA">
      <w:pPr>
        <w:rPr>
          <w:rFonts w:ascii="Calibri" w:hAnsi="Calibri" w:cs="Calibri"/>
        </w:rPr>
      </w:pPr>
      <w:r>
        <w:rPr>
          <w:rFonts w:ascii="Calibri" w:hAnsi="Calibri" w:cs="Calibri"/>
        </w:rPr>
        <w:tab/>
      </w:r>
      <w:r w:rsidR="004767DA" w:rsidRPr="002D7D15">
        <w:rPr>
          <w:rFonts w:ascii="Calibri" w:hAnsi="Calibri" w:cs="Calibri"/>
        </w:rPr>
        <w:t>Stabilizacja granic pasa polega na wyznaczeniu i utrwaleniu w terenie znakami z trwałego materiału punktów określających przebieg granic pasa drogowego.</w:t>
      </w:r>
    </w:p>
    <w:p w:rsidR="004767DA" w:rsidRPr="002D7D15" w:rsidRDefault="004767DA" w:rsidP="004767DA">
      <w:pPr>
        <w:rPr>
          <w:rFonts w:ascii="Calibri" w:hAnsi="Calibri" w:cs="Calibri"/>
        </w:rPr>
      </w:pPr>
      <w:r w:rsidRPr="004E4D6E">
        <w:rPr>
          <w:rFonts w:ascii="Calibri" w:hAnsi="Calibri" w:cs="Calibri"/>
          <w:b/>
        </w:rPr>
        <w:t>1.4.</w:t>
      </w:r>
      <w:r w:rsidRPr="002D7D15">
        <w:rPr>
          <w:rFonts w:ascii="Calibri" w:hAnsi="Calibri" w:cs="Calibri"/>
        </w:rPr>
        <w:t xml:space="preserve"> Określenia podstawowe</w:t>
      </w:r>
    </w:p>
    <w:p w:rsidR="004767DA" w:rsidRPr="002D7D15" w:rsidRDefault="004767DA" w:rsidP="004767DA">
      <w:pPr>
        <w:rPr>
          <w:rFonts w:ascii="Calibri" w:hAnsi="Calibri" w:cs="Calibri"/>
        </w:rPr>
      </w:pPr>
      <w:r w:rsidRPr="004E4D6E">
        <w:rPr>
          <w:rFonts w:ascii="Calibri" w:hAnsi="Calibri" w:cs="Calibri"/>
          <w:b/>
        </w:rPr>
        <w:t>1.4.1.</w:t>
      </w:r>
      <w:r w:rsidRPr="002D7D15">
        <w:rPr>
          <w:rFonts w:ascii="Calibri" w:hAnsi="Calibri" w:cs="Calibri"/>
        </w:rPr>
        <w:t xml:space="preserve"> Pas drogowy – wydzielony liniami granicznymi pas terenu przeznaczony do umieszczenia w nim drogi i związanych z nią urządzeń.</w:t>
      </w:r>
    </w:p>
    <w:p w:rsidR="004767DA" w:rsidRPr="002D7D15" w:rsidRDefault="004767DA" w:rsidP="004767DA">
      <w:pPr>
        <w:rPr>
          <w:rFonts w:ascii="Calibri" w:hAnsi="Calibri" w:cs="Calibri"/>
        </w:rPr>
      </w:pPr>
      <w:r w:rsidRPr="004E4D6E">
        <w:rPr>
          <w:rFonts w:ascii="Calibri" w:hAnsi="Calibri" w:cs="Calibri"/>
          <w:b/>
        </w:rPr>
        <w:t>1.4.2.</w:t>
      </w:r>
      <w:r w:rsidRPr="002D7D15">
        <w:rPr>
          <w:rFonts w:ascii="Calibri" w:hAnsi="Calibri" w:cs="Calibri"/>
        </w:rPr>
        <w:t xml:space="preserve"> Linia graniczna – linia oddzielająca tereny, będące przedmiotem odrębnej własności, składająca się najczęściej z odcinków prostych łączących punkty graniczne.</w:t>
      </w:r>
    </w:p>
    <w:p w:rsidR="004767DA" w:rsidRPr="002D7D15" w:rsidRDefault="004767DA" w:rsidP="004767DA">
      <w:pPr>
        <w:rPr>
          <w:rFonts w:ascii="Calibri" w:hAnsi="Calibri" w:cs="Calibri"/>
        </w:rPr>
      </w:pPr>
      <w:r w:rsidRPr="004E4D6E">
        <w:rPr>
          <w:rFonts w:ascii="Calibri" w:hAnsi="Calibri" w:cs="Calibri"/>
          <w:b/>
        </w:rPr>
        <w:t>1.4.3.</w:t>
      </w:r>
      <w:r w:rsidRPr="002D7D15">
        <w:rPr>
          <w:rFonts w:ascii="Calibri" w:hAnsi="Calibri" w:cs="Calibri"/>
        </w:rPr>
        <w:t xml:space="preserve"> Punkt graniczny – punkt określający przebieg granicy nieruchomości, znajdujący się na załamaniach linii granicznej.</w:t>
      </w:r>
    </w:p>
    <w:p w:rsidR="004767DA" w:rsidRPr="002D7D15" w:rsidRDefault="004767DA" w:rsidP="004767DA">
      <w:pPr>
        <w:rPr>
          <w:rFonts w:ascii="Calibri" w:hAnsi="Calibri" w:cs="Calibri"/>
        </w:rPr>
      </w:pPr>
      <w:r w:rsidRPr="004E4D6E">
        <w:rPr>
          <w:rFonts w:ascii="Calibri" w:hAnsi="Calibri" w:cs="Calibri"/>
          <w:b/>
        </w:rPr>
        <w:t>1.4.4.</w:t>
      </w:r>
      <w:r w:rsidRPr="002D7D15">
        <w:rPr>
          <w:rFonts w:ascii="Calibri" w:hAnsi="Calibri" w:cs="Calibri"/>
        </w:rPr>
        <w:t xml:space="preserve"> Znak graniczny – znak z trwałego materiału umieszczony w punkcie granicznym. </w:t>
      </w:r>
    </w:p>
    <w:p w:rsidR="004767DA" w:rsidRPr="002D7D15" w:rsidRDefault="004767DA" w:rsidP="004767DA">
      <w:pPr>
        <w:rPr>
          <w:rFonts w:ascii="Calibri" w:hAnsi="Calibri" w:cs="Calibri"/>
        </w:rPr>
      </w:pPr>
      <w:r w:rsidRPr="004E4D6E">
        <w:rPr>
          <w:rFonts w:ascii="Calibri" w:hAnsi="Calibri" w:cs="Calibri"/>
          <w:b/>
        </w:rPr>
        <w:t>1.4.5.</w:t>
      </w:r>
      <w:r w:rsidRPr="002D7D15">
        <w:rPr>
          <w:rFonts w:ascii="Calibri" w:hAnsi="Calibri" w:cs="Calibri"/>
        </w:rPr>
        <w:t xml:space="preserve"> Świadek punktu granicznego – widoczny znak z trwałego materiału wystający ponad teren i usytuowany w linii granicznej w pobliżu znaku granicznego.</w:t>
      </w:r>
    </w:p>
    <w:p w:rsidR="004767DA" w:rsidRPr="002D7D15" w:rsidRDefault="004767DA" w:rsidP="004767DA">
      <w:pPr>
        <w:rPr>
          <w:rFonts w:ascii="Calibri" w:hAnsi="Calibri" w:cs="Calibri"/>
        </w:rPr>
      </w:pPr>
      <w:r w:rsidRPr="004E4D6E">
        <w:rPr>
          <w:rFonts w:ascii="Calibri" w:hAnsi="Calibri" w:cs="Calibri"/>
          <w:b/>
        </w:rPr>
        <w:t>1.4.6.</w:t>
      </w:r>
      <w:r w:rsidRPr="002D7D15">
        <w:rPr>
          <w:rFonts w:ascii="Calibri" w:hAnsi="Calibri" w:cs="Calibri"/>
        </w:rPr>
        <w:t xml:space="preserve"> Stabilizacja granic pasa drogowego – wyznaczenie i utrwalenie w terenie znakami granicznymi punktów granicznych projektowanego pasa.</w:t>
      </w:r>
    </w:p>
    <w:p w:rsidR="004767DA" w:rsidRPr="002D7D15" w:rsidRDefault="004767DA" w:rsidP="004767DA">
      <w:pPr>
        <w:rPr>
          <w:rFonts w:ascii="Calibri" w:hAnsi="Calibri" w:cs="Calibri"/>
        </w:rPr>
      </w:pPr>
      <w:r w:rsidRPr="004E4D6E">
        <w:rPr>
          <w:rFonts w:ascii="Calibri" w:hAnsi="Calibri" w:cs="Calibri"/>
          <w:b/>
        </w:rPr>
        <w:t>1.4.7.</w:t>
      </w:r>
      <w:r w:rsidRPr="002D7D15">
        <w:rPr>
          <w:rFonts w:ascii="Calibri" w:hAnsi="Calibri" w:cs="Calibri"/>
        </w:rPr>
        <w:t xml:space="preserve"> Pozostałe określenia podstawowe są zgodne z obowiązującymi, odpowiednimi polskimi normami, definicj</w:t>
      </w:r>
      <w:r>
        <w:rPr>
          <w:rFonts w:ascii="Calibri" w:hAnsi="Calibri" w:cs="Calibri"/>
        </w:rPr>
        <w:t xml:space="preserve">ami podanymi w </w:t>
      </w:r>
      <w:r w:rsidRPr="002D7D15">
        <w:rPr>
          <w:rFonts w:ascii="Calibri" w:hAnsi="Calibri" w:cs="Calibri"/>
        </w:rPr>
        <w:t xml:space="preserve">ST D-M-00.00.00 „Wymagania ogólne” [1] pkt 1.4 oraz przepisami geodezyjnymi i kartograficznymi.  </w:t>
      </w:r>
    </w:p>
    <w:p w:rsidR="004767DA" w:rsidRPr="002D7D15" w:rsidRDefault="004767DA" w:rsidP="004767DA">
      <w:pPr>
        <w:rPr>
          <w:rFonts w:ascii="Calibri" w:hAnsi="Calibri" w:cs="Calibri"/>
        </w:rPr>
      </w:pPr>
      <w:r w:rsidRPr="004E4D6E">
        <w:rPr>
          <w:rFonts w:ascii="Calibri" w:hAnsi="Calibri" w:cs="Calibri"/>
          <w:b/>
        </w:rPr>
        <w:t>1.5.</w:t>
      </w:r>
      <w:r>
        <w:rPr>
          <w:rFonts w:ascii="Calibri" w:hAnsi="Calibri" w:cs="Calibri"/>
        </w:rPr>
        <w:t xml:space="preserve"> </w:t>
      </w:r>
      <w:r w:rsidRPr="002D7D15">
        <w:rPr>
          <w:rFonts w:ascii="Calibri" w:hAnsi="Calibri" w:cs="Calibri"/>
        </w:rPr>
        <w:t>Ogólne wymagania dotyczące robót</w:t>
      </w:r>
    </w:p>
    <w:p w:rsidR="004767DA" w:rsidRDefault="004767DA" w:rsidP="004767DA">
      <w:pPr>
        <w:rPr>
          <w:rFonts w:ascii="Calibri" w:hAnsi="Calibri" w:cs="Calibri"/>
        </w:rPr>
      </w:pPr>
      <w:r w:rsidRPr="002D7D15">
        <w:rPr>
          <w:rFonts w:ascii="Calibri" w:hAnsi="Calibri" w:cs="Calibri"/>
        </w:rPr>
        <w:t>Ogólne wymagania dotyczące r</w:t>
      </w:r>
      <w:r>
        <w:rPr>
          <w:rFonts w:ascii="Calibri" w:hAnsi="Calibri" w:cs="Calibri"/>
        </w:rPr>
        <w:t xml:space="preserve">obót podano w </w:t>
      </w:r>
      <w:r w:rsidRPr="002D7D15">
        <w:rPr>
          <w:rFonts w:ascii="Calibri" w:hAnsi="Calibri" w:cs="Calibri"/>
        </w:rPr>
        <w:t>ST D-M-00.00.00 „Wymagania ogólne” [1], pkt 1.5.</w:t>
      </w:r>
    </w:p>
    <w:p w:rsidR="004767DA" w:rsidRPr="002D7D15" w:rsidRDefault="004767DA" w:rsidP="004767DA">
      <w:pPr>
        <w:rPr>
          <w:rFonts w:ascii="Calibri" w:hAnsi="Calibri" w:cs="Calibri"/>
        </w:rPr>
      </w:pPr>
    </w:p>
    <w:p w:rsidR="004767DA" w:rsidRPr="004E4D6E" w:rsidRDefault="004767DA" w:rsidP="004767DA">
      <w:pPr>
        <w:rPr>
          <w:rFonts w:ascii="Calibri" w:hAnsi="Calibri" w:cs="Calibri"/>
          <w:b/>
        </w:rPr>
      </w:pPr>
      <w:bookmarkStart w:id="185" w:name="_Toc150225703"/>
      <w:bookmarkStart w:id="186" w:name="_Toc164048099"/>
      <w:bookmarkStart w:id="187" w:name="_Toc322519144"/>
      <w:r w:rsidRPr="004E4D6E">
        <w:rPr>
          <w:rFonts w:ascii="Calibri" w:hAnsi="Calibri" w:cs="Calibri"/>
          <w:b/>
        </w:rPr>
        <w:t>2. MATERIAŁY</w:t>
      </w:r>
      <w:bookmarkEnd w:id="185"/>
      <w:bookmarkEnd w:id="186"/>
      <w:bookmarkEnd w:id="187"/>
    </w:p>
    <w:p w:rsidR="004767DA" w:rsidRPr="002D7D15" w:rsidRDefault="004767DA" w:rsidP="004767DA">
      <w:pPr>
        <w:rPr>
          <w:rFonts w:ascii="Calibri" w:hAnsi="Calibri" w:cs="Calibri"/>
        </w:rPr>
      </w:pPr>
      <w:r w:rsidRPr="004E4D6E">
        <w:rPr>
          <w:rFonts w:ascii="Calibri" w:hAnsi="Calibri" w:cs="Calibri"/>
          <w:b/>
        </w:rPr>
        <w:t>2.1.</w:t>
      </w:r>
      <w:r w:rsidRPr="002D7D15">
        <w:rPr>
          <w:rFonts w:ascii="Calibri" w:hAnsi="Calibri" w:cs="Calibri"/>
        </w:rPr>
        <w:t xml:space="preserve"> Ogólne wymagania dotyczące materiałów</w:t>
      </w:r>
    </w:p>
    <w:p w:rsidR="004767DA" w:rsidRPr="002D7D15" w:rsidRDefault="004767DA" w:rsidP="004767DA">
      <w:pPr>
        <w:rPr>
          <w:rFonts w:ascii="Calibri" w:hAnsi="Calibri" w:cs="Calibri"/>
        </w:rPr>
      </w:pPr>
      <w:r w:rsidRPr="002D7D15">
        <w:rPr>
          <w:rFonts w:ascii="Calibri" w:hAnsi="Calibri" w:cs="Calibri"/>
        </w:rPr>
        <w:t xml:space="preserve">Ogólne wymagania dotyczące materiałów, ich pozyskiwania i składowania, </w:t>
      </w:r>
      <w:r w:rsidR="006C0559">
        <w:rPr>
          <w:rFonts w:ascii="Calibri" w:hAnsi="Calibri" w:cs="Calibri"/>
        </w:rPr>
        <w:t xml:space="preserve">podano w </w:t>
      </w:r>
      <w:r w:rsidRPr="002D7D15">
        <w:rPr>
          <w:rFonts w:ascii="Calibri" w:hAnsi="Calibri" w:cs="Calibri"/>
        </w:rPr>
        <w:t>ST D-M-00.00.00 „Wymagania ogólne” [1] pkt 2.</w:t>
      </w:r>
    </w:p>
    <w:p w:rsidR="004767DA" w:rsidRPr="002D7D15" w:rsidRDefault="004767DA" w:rsidP="004767DA">
      <w:pPr>
        <w:rPr>
          <w:rFonts w:ascii="Calibri" w:hAnsi="Calibri" w:cs="Calibri"/>
        </w:rPr>
      </w:pPr>
      <w:r w:rsidRPr="004E4D6E">
        <w:rPr>
          <w:rFonts w:ascii="Calibri" w:hAnsi="Calibri" w:cs="Calibri"/>
          <w:b/>
        </w:rPr>
        <w:t>2.2.</w:t>
      </w:r>
      <w:r w:rsidRPr="002D7D15">
        <w:rPr>
          <w:rFonts w:ascii="Calibri" w:hAnsi="Calibri" w:cs="Calibri"/>
        </w:rPr>
        <w:t xml:space="preserve"> Materiały do wykonania robót</w:t>
      </w:r>
    </w:p>
    <w:p w:rsidR="004767DA" w:rsidRPr="002D7D15" w:rsidRDefault="004767DA" w:rsidP="004767DA">
      <w:pPr>
        <w:rPr>
          <w:rFonts w:ascii="Calibri" w:hAnsi="Calibri" w:cs="Calibri"/>
        </w:rPr>
      </w:pPr>
      <w:r w:rsidRPr="004E4D6E">
        <w:rPr>
          <w:rFonts w:ascii="Calibri" w:hAnsi="Calibri" w:cs="Calibri"/>
          <w:b/>
        </w:rPr>
        <w:t>2.2.1.</w:t>
      </w:r>
      <w:r w:rsidRPr="002D7D15">
        <w:rPr>
          <w:rFonts w:ascii="Calibri" w:hAnsi="Calibri" w:cs="Calibri"/>
        </w:rPr>
        <w:t xml:space="preserve"> Rodzaje materiałów</w:t>
      </w:r>
    </w:p>
    <w:p w:rsidR="004767DA" w:rsidRPr="002D7D15" w:rsidRDefault="004767DA" w:rsidP="004767DA">
      <w:pPr>
        <w:rPr>
          <w:rFonts w:ascii="Calibri" w:hAnsi="Calibri" w:cs="Calibri"/>
        </w:rPr>
      </w:pPr>
      <w:r w:rsidRPr="002D7D15">
        <w:rPr>
          <w:rFonts w:ascii="Calibri" w:hAnsi="Calibri" w:cs="Calibri"/>
        </w:rPr>
        <w:tab/>
        <w:t>Materiały do wykonania robót powinny być zgodne z ustaleniami warunków kontraktu, dokumentacji projektowej lub ST. Do nich należą:</w:t>
      </w:r>
    </w:p>
    <w:p w:rsidR="004767DA" w:rsidRPr="002D7D15" w:rsidRDefault="006C0559" w:rsidP="004767DA">
      <w:pPr>
        <w:rPr>
          <w:rFonts w:ascii="Calibri" w:hAnsi="Calibri" w:cs="Calibri"/>
        </w:rPr>
      </w:pPr>
      <w:r>
        <w:rPr>
          <w:rFonts w:ascii="Calibri" w:hAnsi="Calibri" w:cs="Calibri"/>
        </w:rPr>
        <w:t>-</w:t>
      </w:r>
      <w:r w:rsidR="004767DA" w:rsidRPr="002D7D15">
        <w:rPr>
          <w:rFonts w:ascii="Calibri" w:hAnsi="Calibri" w:cs="Calibri"/>
        </w:rPr>
        <w:t>słupki betonowe do utrwalenia granic pasa drogowego,</w:t>
      </w:r>
    </w:p>
    <w:p w:rsidR="004767DA" w:rsidRPr="002D7D15" w:rsidRDefault="006C0559" w:rsidP="004767DA">
      <w:pPr>
        <w:rPr>
          <w:rFonts w:ascii="Calibri" w:hAnsi="Calibri" w:cs="Calibri"/>
        </w:rPr>
      </w:pPr>
      <w:r>
        <w:rPr>
          <w:rFonts w:ascii="Calibri" w:hAnsi="Calibri" w:cs="Calibri"/>
        </w:rPr>
        <w:t>-</w:t>
      </w:r>
      <w:r w:rsidR="004767DA" w:rsidRPr="002D7D15">
        <w:rPr>
          <w:rFonts w:ascii="Calibri" w:hAnsi="Calibri" w:cs="Calibri"/>
        </w:rPr>
        <w:t>materiały pomocnicze.</w:t>
      </w:r>
    </w:p>
    <w:p w:rsidR="004767DA" w:rsidRPr="002D7D15" w:rsidRDefault="004767DA" w:rsidP="004767DA">
      <w:pPr>
        <w:rPr>
          <w:rFonts w:ascii="Calibri" w:hAnsi="Calibri" w:cs="Calibri"/>
        </w:rPr>
      </w:pPr>
      <w:r w:rsidRPr="004E4D6E">
        <w:rPr>
          <w:rFonts w:ascii="Calibri" w:hAnsi="Calibri" w:cs="Calibri"/>
          <w:b/>
        </w:rPr>
        <w:t>2.2.2.</w:t>
      </w:r>
      <w:r w:rsidRPr="002D7D15">
        <w:rPr>
          <w:rFonts w:ascii="Calibri" w:hAnsi="Calibri" w:cs="Calibri"/>
        </w:rPr>
        <w:t xml:space="preserve"> Znaki graniczne i świadki punku granicznego</w:t>
      </w:r>
    </w:p>
    <w:p w:rsidR="004767DA" w:rsidRPr="002D7D15" w:rsidRDefault="004767DA" w:rsidP="004767DA">
      <w:pPr>
        <w:rPr>
          <w:rFonts w:ascii="Calibri" w:hAnsi="Calibri" w:cs="Calibri"/>
        </w:rPr>
      </w:pPr>
      <w:r w:rsidRPr="002D7D15">
        <w:rPr>
          <w:rFonts w:ascii="Calibri" w:hAnsi="Calibri" w:cs="Calibri"/>
        </w:rPr>
        <w:tab/>
        <w:t>Znak graniczny jest geodezyjnym słupkiem z betonu C 20/25, najczęściej w postaci ściętego ostrosłupa o kwadratowej podstawie z wyrytym na górze krzyżem (patrz załącznik, rys. 1).</w:t>
      </w:r>
    </w:p>
    <w:p w:rsidR="004767DA" w:rsidRPr="002D7D15" w:rsidRDefault="004767DA" w:rsidP="004767DA">
      <w:pPr>
        <w:rPr>
          <w:rFonts w:ascii="Calibri" w:hAnsi="Calibri" w:cs="Calibri"/>
        </w:rPr>
      </w:pPr>
      <w:r w:rsidRPr="002D7D15">
        <w:rPr>
          <w:rFonts w:ascii="Calibri" w:hAnsi="Calibri" w:cs="Calibri"/>
        </w:rPr>
        <w:tab/>
        <w:t xml:space="preserve">Świadek punktu granicznego jest słupkiem z betonu C 20/25 o długości </w:t>
      </w:r>
      <w:smartTag w:uri="urn:schemas-microsoft-com:office:smarttags" w:element="metricconverter">
        <w:smartTagPr>
          <w:attr w:name="ProductID" w:val="100 cm"/>
        </w:smartTagPr>
        <w:r w:rsidRPr="002D7D15">
          <w:rPr>
            <w:rFonts w:ascii="Calibri" w:hAnsi="Calibri" w:cs="Calibri"/>
          </w:rPr>
          <w:t>100 cm</w:t>
        </w:r>
      </w:smartTag>
      <w:r w:rsidRPr="002D7D15">
        <w:rPr>
          <w:rFonts w:ascii="Calibri" w:hAnsi="Calibri" w:cs="Calibri"/>
        </w:rPr>
        <w:t xml:space="preserve"> i przekroju poprzecznym 10 × </w:t>
      </w:r>
      <w:smartTag w:uri="urn:schemas-microsoft-com:office:smarttags" w:element="metricconverter">
        <w:smartTagPr>
          <w:attr w:name="ProductID" w:val="12 cm"/>
        </w:smartTagPr>
        <w:r w:rsidRPr="002D7D15">
          <w:rPr>
            <w:rFonts w:ascii="Calibri" w:hAnsi="Calibri" w:cs="Calibri"/>
          </w:rPr>
          <w:t>12 cm</w:t>
        </w:r>
      </w:smartTag>
      <w:r w:rsidRPr="002D7D15">
        <w:rPr>
          <w:rFonts w:ascii="Calibri" w:hAnsi="Calibri" w:cs="Calibri"/>
        </w:rPr>
        <w:t>. Słupek zbrojony jest cz</w:t>
      </w:r>
      <w:r>
        <w:rPr>
          <w:rFonts w:ascii="Calibri" w:hAnsi="Calibri" w:cs="Calibri"/>
        </w:rPr>
        <w:t>terema prętami średnicy</w:t>
      </w:r>
      <w:r w:rsidRPr="002D7D15">
        <w:rPr>
          <w:rFonts w:ascii="Calibri" w:hAnsi="Calibri" w:cs="Calibri"/>
        </w:rPr>
        <w:t xml:space="preserve"> </w:t>
      </w:r>
      <w:smartTag w:uri="urn:schemas-microsoft-com:office:smarttags" w:element="metricconverter">
        <w:smartTagPr>
          <w:attr w:name="ProductID" w:val="10 mm"/>
        </w:smartTagPr>
        <w:r w:rsidRPr="002D7D15">
          <w:rPr>
            <w:rFonts w:ascii="Calibri" w:hAnsi="Calibri" w:cs="Calibri"/>
          </w:rPr>
          <w:t>10 mm</w:t>
        </w:r>
      </w:smartTag>
      <w:r w:rsidRPr="002D7D15">
        <w:rPr>
          <w:rFonts w:ascii="Calibri" w:hAnsi="Calibri" w:cs="Calibri"/>
        </w:rPr>
        <w:t xml:space="preserve">. Słupek w części nadziemnej długości </w:t>
      </w:r>
      <w:smartTag w:uri="urn:schemas-microsoft-com:office:smarttags" w:element="metricconverter">
        <w:smartTagPr>
          <w:attr w:name="ProductID" w:val="50 cm"/>
        </w:smartTagPr>
        <w:r w:rsidRPr="002D7D15">
          <w:rPr>
            <w:rFonts w:ascii="Calibri" w:hAnsi="Calibri" w:cs="Calibri"/>
          </w:rPr>
          <w:t>50 cm</w:t>
        </w:r>
      </w:smartTag>
      <w:r w:rsidRPr="002D7D15">
        <w:rPr>
          <w:rFonts w:ascii="Calibri" w:hAnsi="Calibri" w:cs="Calibri"/>
        </w:rPr>
        <w:t xml:space="preserve"> na barwę żółtą. W części nadziemnej znajduje się napis wklęsły na głębokość </w:t>
      </w:r>
      <w:smartTag w:uri="urn:schemas-microsoft-com:office:smarttags" w:element="metricconverter">
        <w:smartTagPr>
          <w:attr w:name="ProductID" w:val="0,5 cm"/>
        </w:smartTagPr>
        <w:r w:rsidRPr="002D7D15">
          <w:rPr>
            <w:rFonts w:ascii="Calibri" w:hAnsi="Calibri" w:cs="Calibri"/>
          </w:rPr>
          <w:t>0,5 cm</w:t>
        </w:r>
      </w:smartTag>
      <w:r w:rsidRPr="002D7D15">
        <w:rPr>
          <w:rFonts w:ascii="Calibri" w:hAnsi="Calibri" w:cs="Calibri"/>
        </w:rPr>
        <w:t xml:space="preserve"> z czarnymi literami wysokości </w:t>
      </w:r>
      <w:smartTag w:uri="urn:schemas-microsoft-com:office:smarttags" w:element="metricconverter">
        <w:smartTagPr>
          <w:attr w:name="ProductID" w:val="7 cm"/>
        </w:smartTagPr>
        <w:r w:rsidRPr="002D7D15">
          <w:rPr>
            <w:rFonts w:ascii="Calibri" w:hAnsi="Calibri" w:cs="Calibri"/>
          </w:rPr>
          <w:t>7 cm</w:t>
        </w:r>
      </w:smartTag>
      <w:r w:rsidRPr="002D7D15">
        <w:rPr>
          <w:rFonts w:ascii="Calibri" w:hAnsi="Calibri" w:cs="Calibri"/>
        </w:rPr>
        <w:t xml:space="preserve"> PAS  DROGOWY (patrz załącznik, rys. 2).</w:t>
      </w:r>
    </w:p>
    <w:p w:rsidR="004767DA" w:rsidRPr="002D7D15" w:rsidRDefault="004767DA" w:rsidP="004767DA">
      <w:pPr>
        <w:rPr>
          <w:rFonts w:ascii="Calibri" w:hAnsi="Calibri" w:cs="Calibri"/>
        </w:rPr>
      </w:pPr>
      <w:r w:rsidRPr="002D7D15">
        <w:rPr>
          <w:rFonts w:ascii="Calibri" w:hAnsi="Calibri" w:cs="Calibri"/>
        </w:rPr>
        <w:tab/>
        <w:t>Wbudowane materiały słupków powinny charakteryzować się wytrzymałością na ściskanie dla betonu C 20/25, nasiąkliwością poniżej 5% oraz mrozoodpornością i wodoszczelnością. Wykonawca wytwarzający samodzielnie słupki powinien wykonać badania próbek betonu i przedstawić wyniki badań Inżynierowi.</w:t>
      </w:r>
    </w:p>
    <w:p w:rsidR="004767DA" w:rsidRPr="002D7D15" w:rsidRDefault="004767DA" w:rsidP="004767DA">
      <w:pPr>
        <w:rPr>
          <w:rFonts w:ascii="Calibri" w:hAnsi="Calibri" w:cs="Calibri"/>
        </w:rPr>
      </w:pPr>
      <w:r w:rsidRPr="002D7D15">
        <w:rPr>
          <w:rFonts w:ascii="Calibri" w:hAnsi="Calibri" w:cs="Calibri"/>
        </w:rPr>
        <w:tab/>
        <w:t>Gotowe wyroby powinny być wolne od spękań, wykruszeń i ubytków, a powierzchnie powinny być gładkie, bez śladów po pęcherzach powietrznych.</w:t>
      </w:r>
    </w:p>
    <w:p w:rsidR="004767DA" w:rsidRPr="002D7D15" w:rsidRDefault="004767DA" w:rsidP="004767DA">
      <w:pPr>
        <w:rPr>
          <w:rFonts w:ascii="Calibri" w:hAnsi="Calibri" w:cs="Calibri"/>
        </w:rPr>
      </w:pPr>
      <w:r w:rsidRPr="004E4D6E">
        <w:rPr>
          <w:rFonts w:ascii="Calibri" w:hAnsi="Calibri" w:cs="Calibri"/>
          <w:b/>
        </w:rPr>
        <w:t>2.2.3.</w:t>
      </w:r>
      <w:r w:rsidRPr="002D7D15">
        <w:rPr>
          <w:rFonts w:ascii="Calibri" w:hAnsi="Calibri" w:cs="Calibri"/>
        </w:rPr>
        <w:t xml:space="preserve"> Materiały pomocnicze</w:t>
      </w:r>
    </w:p>
    <w:p w:rsidR="004767DA" w:rsidRPr="002D7D15" w:rsidRDefault="004767DA" w:rsidP="004767DA">
      <w:pPr>
        <w:rPr>
          <w:rFonts w:ascii="Calibri" w:hAnsi="Calibri" w:cs="Calibri"/>
        </w:rPr>
      </w:pPr>
      <w:r w:rsidRPr="002D7D15">
        <w:rPr>
          <w:rFonts w:ascii="Calibri" w:hAnsi="Calibri" w:cs="Calibri"/>
        </w:rPr>
        <w:tab/>
        <w:t>Do materiałów pomocniczych mogą należeć:</w:t>
      </w:r>
    </w:p>
    <w:p w:rsidR="004767DA" w:rsidRPr="002D7D15" w:rsidRDefault="006C0559" w:rsidP="004767DA">
      <w:pPr>
        <w:rPr>
          <w:rFonts w:ascii="Calibri" w:hAnsi="Calibri" w:cs="Calibri"/>
        </w:rPr>
      </w:pPr>
      <w:r>
        <w:rPr>
          <w:rFonts w:ascii="Calibri" w:hAnsi="Calibri" w:cs="Calibri"/>
        </w:rPr>
        <w:t>-</w:t>
      </w:r>
      <w:r w:rsidR="004767DA" w:rsidRPr="002D7D15">
        <w:rPr>
          <w:rFonts w:ascii="Calibri" w:hAnsi="Calibri" w:cs="Calibri"/>
        </w:rPr>
        <w:t>pręty stalowe, rurki itp. zastępujące słupki betonowe, w przypadkach wyjątkowych,</w:t>
      </w:r>
    </w:p>
    <w:p w:rsidR="004767DA" w:rsidRDefault="006C0559" w:rsidP="004767DA">
      <w:pPr>
        <w:rPr>
          <w:rFonts w:ascii="Calibri" w:hAnsi="Calibri" w:cs="Calibri"/>
        </w:rPr>
      </w:pPr>
      <w:r>
        <w:rPr>
          <w:rFonts w:ascii="Calibri" w:hAnsi="Calibri" w:cs="Calibri"/>
        </w:rPr>
        <w:lastRenderedPageBreak/>
        <w:t>-</w:t>
      </w:r>
      <w:r w:rsidR="004767DA" w:rsidRPr="002D7D15">
        <w:rPr>
          <w:rFonts w:ascii="Calibri" w:hAnsi="Calibri" w:cs="Calibri"/>
        </w:rPr>
        <w:t>piasek, mieszanka naturalna gruntowa do obsypki słupków betonowych, w przypadkach wyjątkowych</w:t>
      </w:r>
      <w:r w:rsidR="004767DA">
        <w:rPr>
          <w:rFonts w:ascii="Calibri" w:hAnsi="Calibri" w:cs="Calibri"/>
        </w:rPr>
        <w:t>.</w:t>
      </w:r>
    </w:p>
    <w:p w:rsidR="00301193" w:rsidRDefault="00301193" w:rsidP="004767DA">
      <w:pPr>
        <w:rPr>
          <w:rFonts w:ascii="Calibri" w:hAnsi="Calibri" w:cs="Calibri"/>
          <w:b/>
        </w:rPr>
      </w:pPr>
      <w:bookmarkStart w:id="188" w:name="_Toc149627768"/>
      <w:bookmarkStart w:id="189" w:name="_Toc150225704"/>
      <w:bookmarkStart w:id="190" w:name="_Toc164048100"/>
      <w:bookmarkStart w:id="191" w:name="_Toc322519145"/>
    </w:p>
    <w:p w:rsidR="004767DA" w:rsidRPr="004E4D6E" w:rsidRDefault="004767DA" w:rsidP="004767DA">
      <w:pPr>
        <w:rPr>
          <w:rFonts w:ascii="Calibri" w:hAnsi="Calibri" w:cs="Calibri"/>
          <w:b/>
        </w:rPr>
      </w:pPr>
      <w:r w:rsidRPr="004E4D6E">
        <w:rPr>
          <w:rFonts w:ascii="Calibri" w:hAnsi="Calibri" w:cs="Calibri"/>
          <w:b/>
        </w:rPr>
        <w:t>3. SPRZĘT</w:t>
      </w:r>
      <w:bookmarkEnd w:id="188"/>
      <w:bookmarkEnd w:id="189"/>
      <w:bookmarkEnd w:id="190"/>
      <w:bookmarkEnd w:id="191"/>
    </w:p>
    <w:p w:rsidR="004767DA" w:rsidRPr="002D7D15" w:rsidRDefault="004767DA" w:rsidP="004767DA">
      <w:pPr>
        <w:rPr>
          <w:rFonts w:ascii="Calibri" w:hAnsi="Calibri" w:cs="Calibri"/>
        </w:rPr>
      </w:pPr>
      <w:r w:rsidRPr="004E4D6E">
        <w:rPr>
          <w:rFonts w:ascii="Calibri" w:hAnsi="Calibri" w:cs="Calibri"/>
          <w:b/>
        </w:rPr>
        <w:t>3.1.</w:t>
      </w:r>
      <w:r w:rsidRPr="002D7D15">
        <w:rPr>
          <w:rFonts w:ascii="Calibri" w:hAnsi="Calibri" w:cs="Calibri"/>
        </w:rPr>
        <w:t xml:space="preserve"> Ogólne wymagania dotyczące sprzętu</w:t>
      </w:r>
    </w:p>
    <w:p w:rsidR="004767DA" w:rsidRPr="002D7D15" w:rsidRDefault="004767DA" w:rsidP="004767DA">
      <w:pPr>
        <w:rPr>
          <w:rFonts w:ascii="Calibri" w:hAnsi="Calibri" w:cs="Calibri"/>
        </w:rPr>
      </w:pPr>
      <w:r w:rsidRPr="002D7D15">
        <w:rPr>
          <w:rFonts w:ascii="Calibri" w:hAnsi="Calibri" w:cs="Calibri"/>
        </w:rPr>
        <w:t>Ogólne wymagania dotyczące spr</w:t>
      </w:r>
      <w:r>
        <w:rPr>
          <w:rFonts w:ascii="Calibri" w:hAnsi="Calibri" w:cs="Calibri"/>
        </w:rPr>
        <w:t xml:space="preserve">zętu podano w </w:t>
      </w:r>
      <w:r w:rsidRPr="002D7D15">
        <w:rPr>
          <w:rFonts w:ascii="Calibri" w:hAnsi="Calibri" w:cs="Calibri"/>
        </w:rPr>
        <w:t>ST D-M-00.00.00 „Wymagania ogólne”[1], pkt 3.</w:t>
      </w:r>
    </w:p>
    <w:p w:rsidR="004767DA" w:rsidRPr="002D7D15" w:rsidRDefault="004767DA" w:rsidP="004767DA">
      <w:pPr>
        <w:rPr>
          <w:rFonts w:ascii="Calibri" w:hAnsi="Calibri" w:cs="Calibri"/>
        </w:rPr>
      </w:pPr>
      <w:r w:rsidRPr="004E4D6E">
        <w:rPr>
          <w:rFonts w:ascii="Calibri" w:hAnsi="Calibri" w:cs="Calibri"/>
          <w:b/>
        </w:rPr>
        <w:t>3.2.</w:t>
      </w:r>
      <w:r w:rsidRPr="002D7D15">
        <w:rPr>
          <w:rFonts w:ascii="Calibri" w:hAnsi="Calibri" w:cs="Calibri"/>
        </w:rPr>
        <w:t xml:space="preserve"> Sprzęt stosowany do wykonania robót</w:t>
      </w:r>
    </w:p>
    <w:p w:rsidR="004767DA" w:rsidRPr="002D7D15" w:rsidRDefault="004767DA" w:rsidP="004767DA">
      <w:pPr>
        <w:rPr>
          <w:rFonts w:ascii="Calibri" w:hAnsi="Calibri" w:cs="Calibri"/>
        </w:rPr>
      </w:pPr>
      <w:r w:rsidRPr="002D7D15">
        <w:rPr>
          <w:rFonts w:ascii="Calibri" w:hAnsi="Calibri" w:cs="Calibri"/>
        </w:rPr>
        <w:tab/>
        <w:t>Przy wykonywaniu robót Wykonawca, w zależności od potrzeb, powinien wykazać się możliwością korzystania ze sprzętu, który pozwoli na osiągnięcie wymaganych dokładności przy pracach pomiarowych i kartograficznych.</w:t>
      </w:r>
    </w:p>
    <w:p w:rsidR="004767DA" w:rsidRDefault="004767DA" w:rsidP="004767DA">
      <w:pPr>
        <w:rPr>
          <w:rFonts w:ascii="Calibri" w:hAnsi="Calibri" w:cs="Calibri"/>
        </w:rPr>
      </w:pPr>
      <w:r w:rsidRPr="002D7D15">
        <w:rPr>
          <w:rFonts w:ascii="Calibri" w:hAnsi="Calibri" w:cs="Calibri"/>
        </w:rPr>
        <w:tab/>
        <w:t>Do wykonania prac pomiarowych należy stosować sprzęt i narzędzia określone w wytycznych technicznych, obowiązujących w geodezji i kartografii [2÷9]. Przy stabilizowaniu linii granicznej znakami granicznymi należy stosować sprzęt zaproponowany przez Wykonawcę, zaakceptowany przez Inżyniera. Do prac obliczeniowych i kartograficznych zaleca się stosować sprzęt komputerowy z odpowiednim oprogramowaniem.</w:t>
      </w:r>
    </w:p>
    <w:p w:rsidR="004767DA" w:rsidRPr="002D7D15" w:rsidRDefault="004767DA" w:rsidP="004767DA">
      <w:pPr>
        <w:rPr>
          <w:rFonts w:ascii="Calibri" w:hAnsi="Calibri" w:cs="Calibri"/>
        </w:rPr>
      </w:pPr>
    </w:p>
    <w:p w:rsidR="004767DA" w:rsidRPr="004E4D6E" w:rsidRDefault="004767DA" w:rsidP="004767DA">
      <w:pPr>
        <w:rPr>
          <w:rFonts w:ascii="Calibri" w:hAnsi="Calibri" w:cs="Calibri"/>
          <w:b/>
        </w:rPr>
      </w:pPr>
      <w:bookmarkStart w:id="192" w:name="_Toc164048101"/>
      <w:bookmarkStart w:id="193" w:name="_Toc322519146"/>
      <w:r w:rsidRPr="004E4D6E">
        <w:rPr>
          <w:rFonts w:ascii="Calibri" w:hAnsi="Calibri" w:cs="Calibri"/>
          <w:b/>
        </w:rPr>
        <w:t>4. TRANSPORT</w:t>
      </w:r>
      <w:bookmarkEnd w:id="192"/>
      <w:bookmarkEnd w:id="193"/>
    </w:p>
    <w:p w:rsidR="004767DA" w:rsidRPr="002D7D15" w:rsidRDefault="004767DA" w:rsidP="004767DA">
      <w:pPr>
        <w:rPr>
          <w:rFonts w:ascii="Calibri" w:hAnsi="Calibri" w:cs="Calibri"/>
        </w:rPr>
      </w:pPr>
      <w:r w:rsidRPr="004E4D6E">
        <w:rPr>
          <w:rFonts w:ascii="Calibri" w:hAnsi="Calibri" w:cs="Calibri"/>
          <w:b/>
        </w:rPr>
        <w:t>4.1.</w:t>
      </w:r>
      <w:r w:rsidRPr="002D7D15">
        <w:rPr>
          <w:rFonts w:ascii="Calibri" w:hAnsi="Calibri" w:cs="Calibri"/>
        </w:rPr>
        <w:t xml:space="preserve"> Ogólne wymagania dotyczące transportu</w:t>
      </w:r>
    </w:p>
    <w:p w:rsidR="004767DA" w:rsidRDefault="004767DA" w:rsidP="004767DA">
      <w:pPr>
        <w:rPr>
          <w:rFonts w:ascii="Calibri" w:hAnsi="Calibri" w:cs="Calibri"/>
        </w:rPr>
      </w:pPr>
      <w:r w:rsidRPr="002D7D15">
        <w:rPr>
          <w:rFonts w:ascii="Calibri" w:hAnsi="Calibri" w:cs="Calibri"/>
        </w:rPr>
        <w:tab/>
        <w:t>Ogólne wymagania</w:t>
      </w:r>
      <w:r>
        <w:rPr>
          <w:rFonts w:ascii="Calibri" w:hAnsi="Calibri" w:cs="Calibri"/>
        </w:rPr>
        <w:t xml:space="preserve"> dotyczące transportu podano w </w:t>
      </w:r>
      <w:r w:rsidRPr="002D7D15">
        <w:rPr>
          <w:rFonts w:ascii="Calibri" w:hAnsi="Calibri" w:cs="Calibri"/>
        </w:rPr>
        <w:t>ST D-M-00.00.00 „Wymagania ogólne” [1] pkt 4.</w:t>
      </w:r>
    </w:p>
    <w:p w:rsidR="004767DA" w:rsidRPr="002D7D15" w:rsidRDefault="004767DA" w:rsidP="004767DA">
      <w:pPr>
        <w:rPr>
          <w:rFonts w:ascii="Calibri" w:hAnsi="Calibri" w:cs="Calibri"/>
        </w:rPr>
      </w:pPr>
      <w:r w:rsidRPr="004E4D6E">
        <w:rPr>
          <w:rFonts w:ascii="Calibri" w:hAnsi="Calibri" w:cs="Calibri"/>
          <w:b/>
        </w:rPr>
        <w:t>4.2.</w:t>
      </w:r>
      <w:r w:rsidRPr="002D7D15">
        <w:rPr>
          <w:rFonts w:ascii="Calibri" w:hAnsi="Calibri" w:cs="Calibri"/>
        </w:rPr>
        <w:t xml:space="preserve"> Transport materiałów </w:t>
      </w:r>
    </w:p>
    <w:p w:rsidR="004767DA" w:rsidRDefault="004767DA" w:rsidP="004767DA">
      <w:pPr>
        <w:rPr>
          <w:rFonts w:ascii="Calibri" w:hAnsi="Calibri" w:cs="Calibri"/>
        </w:rPr>
      </w:pPr>
      <w:r w:rsidRPr="002D7D15">
        <w:rPr>
          <w:rFonts w:ascii="Calibri" w:hAnsi="Calibri" w:cs="Calibri"/>
        </w:rPr>
        <w:tab/>
        <w:t>Materiały, w tym znaki graniczne i świadki punktu granicznego, można przewozić dowolnymi środkami transportu w pozycji poziomej, w warunkach zabezpieczających je przed przemieszczeniem się i uszkodzeniem.</w:t>
      </w:r>
    </w:p>
    <w:p w:rsidR="004767DA" w:rsidRPr="002D7D15" w:rsidRDefault="004767DA" w:rsidP="004767DA">
      <w:pPr>
        <w:rPr>
          <w:rFonts w:ascii="Calibri" w:hAnsi="Calibri" w:cs="Calibri"/>
        </w:rPr>
      </w:pPr>
    </w:p>
    <w:p w:rsidR="004767DA" w:rsidRPr="004E4D6E" w:rsidRDefault="004767DA" w:rsidP="004767DA">
      <w:pPr>
        <w:rPr>
          <w:rFonts w:ascii="Calibri" w:hAnsi="Calibri" w:cs="Calibri"/>
          <w:b/>
        </w:rPr>
      </w:pPr>
      <w:bookmarkStart w:id="194" w:name="_Toc164048102"/>
      <w:bookmarkStart w:id="195" w:name="_Toc322519147"/>
      <w:r w:rsidRPr="004E4D6E">
        <w:rPr>
          <w:rFonts w:ascii="Calibri" w:hAnsi="Calibri" w:cs="Calibri"/>
          <w:b/>
        </w:rPr>
        <w:t xml:space="preserve">5. </w:t>
      </w:r>
      <w:bookmarkEnd w:id="194"/>
      <w:bookmarkEnd w:id="195"/>
      <w:r w:rsidRPr="004E4D6E">
        <w:rPr>
          <w:rFonts w:ascii="Calibri" w:hAnsi="Calibri" w:cs="Calibri"/>
          <w:b/>
        </w:rPr>
        <w:t>WYKONANIE ROBÓT</w:t>
      </w:r>
    </w:p>
    <w:p w:rsidR="004767DA" w:rsidRPr="002D7D15" w:rsidRDefault="004767DA" w:rsidP="004767DA">
      <w:pPr>
        <w:rPr>
          <w:rFonts w:ascii="Calibri" w:hAnsi="Calibri" w:cs="Calibri"/>
        </w:rPr>
      </w:pPr>
      <w:r w:rsidRPr="004E4D6E">
        <w:rPr>
          <w:rFonts w:ascii="Calibri" w:hAnsi="Calibri" w:cs="Calibri"/>
          <w:b/>
        </w:rPr>
        <w:t>5.1.</w:t>
      </w:r>
      <w:r w:rsidRPr="002D7D15">
        <w:rPr>
          <w:rFonts w:ascii="Calibri" w:hAnsi="Calibri" w:cs="Calibri"/>
        </w:rPr>
        <w:t xml:space="preserve"> Ogólne zasady wykonania robót</w:t>
      </w:r>
    </w:p>
    <w:p w:rsidR="004767DA" w:rsidRPr="002D7D15" w:rsidRDefault="004767DA" w:rsidP="004767DA">
      <w:pPr>
        <w:rPr>
          <w:rFonts w:ascii="Calibri" w:hAnsi="Calibri" w:cs="Calibri"/>
        </w:rPr>
      </w:pPr>
      <w:r w:rsidRPr="002D7D15">
        <w:rPr>
          <w:rFonts w:ascii="Calibri" w:hAnsi="Calibri" w:cs="Calibri"/>
        </w:rPr>
        <w:tab/>
        <w:t>Ogólne z</w:t>
      </w:r>
      <w:r>
        <w:rPr>
          <w:rFonts w:ascii="Calibri" w:hAnsi="Calibri" w:cs="Calibri"/>
        </w:rPr>
        <w:t xml:space="preserve">asady wykonania robót podano w </w:t>
      </w:r>
      <w:r w:rsidRPr="002D7D15">
        <w:rPr>
          <w:rFonts w:ascii="Calibri" w:hAnsi="Calibri" w:cs="Calibri"/>
        </w:rPr>
        <w:t>ST D-M-00.00.00 „Wymagania ogólne” [1] pkt 5.</w:t>
      </w:r>
    </w:p>
    <w:p w:rsidR="004767DA" w:rsidRPr="002D7D15" w:rsidRDefault="004767DA" w:rsidP="004767DA">
      <w:pPr>
        <w:rPr>
          <w:rFonts w:ascii="Calibri" w:hAnsi="Calibri" w:cs="Calibri"/>
        </w:rPr>
      </w:pPr>
      <w:r w:rsidRPr="004E4D6E">
        <w:rPr>
          <w:rFonts w:ascii="Calibri" w:hAnsi="Calibri" w:cs="Calibri"/>
          <w:b/>
        </w:rPr>
        <w:t>5.2.</w:t>
      </w:r>
      <w:r w:rsidRPr="002D7D15">
        <w:rPr>
          <w:rFonts w:ascii="Calibri" w:hAnsi="Calibri" w:cs="Calibri"/>
        </w:rPr>
        <w:t xml:space="preserve"> Zasady wykonywania robót</w:t>
      </w:r>
    </w:p>
    <w:p w:rsidR="004767DA" w:rsidRPr="002D7D15" w:rsidRDefault="004767DA" w:rsidP="004767DA">
      <w:pPr>
        <w:rPr>
          <w:rFonts w:ascii="Calibri" w:hAnsi="Calibri" w:cs="Calibri"/>
        </w:rPr>
      </w:pPr>
      <w:r w:rsidRPr="002D7D15">
        <w:rPr>
          <w:rFonts w:ascii="Calibri" w:hAnsi="Calibri" w:cs="Calibri"/>
        </w:rPr>
        <w:t>Sposób wykonania robót powinien b</w:t>
      </w:r>
      <w:r>
        <w:rPr>
          <w:rFonts w:ascii="Calibri" w:hAnsi="Calibri" w:cs="Calibri"/>
        </w:rPr>
        <w:t>yć zgodny z warunkami kontraktu i</w:t>
      </w:r>
      <w:r w:rsidRPr="002D7D15">
        <w:rPr>
          <w:rFonts w:ascii="Calibri" w:hAnsi="Calibri" w:cs="Calibri"/>
        </w:rPr>
        <w:t xml:space="preserve"> dokumentacją projektową. W przypadku braku wystarczających danych można korzystać z ustaleń podanych w niniejszej specyfikacji oraz z informacji podanych w załączniku.</w:t>
      </w:r>
    </w:p>
    <w:p w:rsidR="004767DA" w:rsidRPr="002D7D15" w:rsidRDefault="004767DA" w:rsidP="004767DA">
      <w:pPr>
        <w:rPr>
          <w:rFonts w:ascii="Calibri" w:hAnsi="Calibri" w:cs="Calibri"/>
        </w:rPr>
      </w:pPr>
      <w:r w:rsidRPr="002D7D15">
        <w:rPr>
          <w:rFonts w:ascii="Calibri" w:hAnsi="Calibri" w:cs="Calibri"/>
        </w:rPr>
        <w:tab/>
        <w:t>Podstawowe czynności przy wykonywaniu robót obejmują:</w:t>
      </w:r>
    </w:p>
    <w:p w:rsidR="004767DA" w:rsidRPr="002D7D15" w:rsidRDefault="006C0559" w:rsidP="004767DA">
      <w:pPr>
        <w:rPr>
          <w:rFonts w:ascii="Calibri" w:hAnsi="Calibri" w:cs="Calibri"/>
        </w:rPr>
      </w:pPr>
      <w:r>
        <w:rPr>
          <w:rFonts w:ascii="Calibri" w:hAnsi="Calibri" w:cs="Calibri"/>
        </w:rPr>
        <w:t>-</w:t>
      </w:r>
      <w:r w:rsidR="004767DA" w:rsidRPr="002D7D15">
        <w:rPr>
          <w:rFonts w:ascii="Calibri" w:hAnsi="Calibri" w:cs="Calibri"/>
        </w:rPr>
        <w:t xml:space="preserve">prace przygotowawcze, </w:t>
      </w:r>
    </w:p>
    <w:p w:rsidR="004767DA" w:rsidRPr="002D7D15" w:rsidRDefault="006C0559" w:rsidP="004767DA">
      <w:pPr>
        <w:rPr>
          <w:rFonts w:ascii="Calibri" w:hAnsi="Calibri" w:cs="Calibri"/>
        </w:rPr>
      </w:pPr>
      <w:r>
        <w:rPr>
          <w:rFonts w:ascii="Calibri" w:hAnsi="Calibri" w:cs="Calibri"/>
        </w:rPr>
        <w:t>-</w:t>
      </w:r>
      <w:r w:rsidR="004767DA" w:rsidRPr="002D7D15">
        <w:rPr>
          <w:rFonts w:ascii="Calibri" w:hAnsi="Calibri" w:cs="Calibri"/>
        </w:rPr>
        <w:t>stabilizacja granic pasa drogowego,</w:t>
      </w:r>
    </w:p>
    <w:p w:rsidR="004767DA" w:rsidRPr="002D7D15" w:rsidRDefault="006C0559" w:rsidP="004767DA">
      <w:pPr>
        <w:rPr>
          <w:rFonts w:ascii="Calibri" w:hAnsi="Calibri" w:cs="Calibri"/>
        </w:rPr>
      </w:pPr>
      <w:r>
        <w:rPr>
          <w:rFonts w:ascii="Calibri" w:hAnsi="Calibri" w:cs="Calibri"/>
        </w:rPr>
        <w:t>-</w:t>
      </w:r>
      <w:r w:rsidR="004767DA" w:rsidRPr="002D7D15">
        <w:rPr>
          <w:rFonts w:ascii="Calibri" w:hAnsi="Calibri" w:cs="Calibri"/>
        </w:rPr>
        <w:t>prace kameralne.</w:t>
      </w:r>
    </w:p>
    <w:p w:rsidR="004767DA" w:rsidRPr="002D7D15" w:rsidRDefault="004767DA" w:rsidP="004767DA">
      <w:pPr>
        <w:rPr>
          <w:rFonts w:ascii="Calibri" w:hAnsi="Calibri" w:cs="Calibri"/>
        </w:rPr>
      </w:pPr>
      <w:r w:rsidRPr="004E4D6E">
        <w:rPr>
          <w:rFonts w:ascii="Calibri" w:hAnsi="Calibri" w:cs="Calibri"/>
          <w:b/>
        </w:rPr>
        <w:t>5.3.</w:t>
      </w:r>
      <w:r w:rsidRPr="002D7D15">
        <w:rPr>
          <w:rFonts w:ascii="Calibri" w:hAnsi="Calibri" w:cs="Calibri"/>
        </w:rPr>
        <w:t xml:space="preserve"> Odpowiedzialność Wykonawcy prac</w:t>
      </w:r>
    </w:p>
    <w:p w:rsidR="004767DA" w:rsidRPr="002D7D15" w:rsidRDefault="004767DA" w:rsidP="004767DA">
      <w:pPr>
        <w:rPr>
          <w:rFonts w:ascii="Calibri" w:hAnsi="Calibri" w:cs="Calibri"/>
        </w:rPr>
      </w:pPr>
      <w:r w:rsidRPr="002D7D15">
        <w:rPr>
          <w:rFonts w:ascii="Calibri" w:hAnsi="Calibri" w:cs="Calibri"/>
        </w:rPr>
        <w:tab/>
        <w:t>Wykonawca jest odpowiedzialny za jakość prac oraz zgodność ich wykonania z obowiązującymi przepisami prawnymi i technicznymi, ustaleniami ST oraz poleceniami Inżyniera.</w:t>
      </w:r>
    </w:p>
    <w:p w:rsidR="004767DA" w:rsidRPr="002D7D15" w:rsidRDefault="004767DA" w:rsidP="004767DA">
      <w:pPr>
        <w:rPr>
          <w:rFonts w:ascii="Calibri" w:hAnsi="Calibri" w:cs="Calibri"/>
        </w:rPr>
      </w:pPr>
      <w:r w:rsidRPr="002D7D15">
        <w:rPr>
          <w:rFonts w:ascii="Calibri" w:hAnsi="Calibri" w:cs="Calibri"/>
        </w:rPr>
        <w:tab/>
        <w:t>Wykonawca jest zobowiązany do ochrony przed uszkodzeniem lub zniszczeniem własności prywatnej i publicznej. W razie wyrządzenia szkód, Wykonawca zobowiązany jest do ich naprawienia lub wypłacenia odszkodowania.</w:t>
      </w:r>
    </w:p>
    <w:p w:rsidR="004767DA" w:rsidRPr="002D7D15" w:rsidRDefault="004767DA" w:rsidP="004767DA">
      <w:pPr>
        <w:rPr>
          <w:rFonts w:ascii="Calibri" w:hAnsi="Calibri" w:cs="Calibri"/>
        </w:rPr>
      </w:pPr>
      <w:r w:rsidRPr="002D7D15">
        <w:rPr>
          <w:rFonts w:ascii="Calibri" w:hAnsi="Calibri" w:cs="Calibri"/>
        </w:rPr>
        <w:tab/>
        <w:t>Pracami geodezyjnymi i kartograficznymi powinna kierować i sprawować nad nimi bezpośredni nadzór i kontrolę osoba posiadająca odpowiednie uprawnienia zawodowe, zgodnie z wymaganiami przepisów ustawy Prawo geodezyjne i kartograficzne [10].</w:t>
      </w:r>
    </w:p>
    <w:p w:rsidR="004767DA" w:rsidRPr="002D7D15" w:rsidRDefault="004767DA" w:rsidP="004767DA">
      <w:pPr>
        <w:rPr>
          <w:rFonts w:ascii="Calibri" w:hAnsi="Calibri" w:cs="Calibri"/>
        </w:rPr>
      </w:pPr>
      <w:r w:rsidRPr="002D7D15">
        <w:rPr>
          <w:rFonts w:ascii="Calibri" w:hAnsi="Calibri" w:cs="Calibri"/>
        </w:rPr>
        <w:tab/>
        <w:t>Podczas prac geodezyjnych należy zwrócić szczególną uwagę na zachowanie w stanie nienaruszonym i nieprzesuwanie punktów geodezyjnych w terenie, które podlegają ochronie w trybie przepisów ustawy Prawo geodezyjne i kartograficzne [10].</w:t>
      </w:r>
    </w:p>
    <w:p w:rsidR="004767DA" w:rsidRPr="002D7D15" w:rsidRDefault="004767DA" w:rsidP="004767DA">
      <w:pPr>
        <w:rPr>
          <w:rFonts w:ascii="Calibri" w:hAnsi="Calibri" w:cs="Calibri"/>
        </w:rPr>
      </w:pPr>
      <w:r w:rsidRPr="004E4D6E">
        <w:rPr>
          <w:rFonts w:ascii="Calibri" w:hAnsi="Calibri" w:cs="Calibri"/>
          <w:b/>
        </w:rPr>
        <w:t>5.4.</w:t>
      </w:r>
      <w:r w:rsidRPr="002D7D15">
        <w:rPr>
          <w:rFonts w:ascii="Calibri" w:hAnsi="Calibri" w:cs="Calibri"/>
        </w:rPr>
        <w:t xml:space="preserve"> Prace przygotowawcze</w:t>
      </w:r>
    </w:p>
    <w:p w:rsidR="004767DA" w:rsidRPr="002D7D15" w:rsidRDefault="004767DA" w:rsidP="004767DA">
      <w:pPr>
        <w:rPr>
          <w:rFonts w:ascii="Calibri" w:hAnsi="Calibri" w:cs="Calibri"/>
        </w:rPr>
      </w:pPr>
      <w:r w:rsidRPr="002D7D15">
        <w:rPr>
          <w:rFonts w:ascii="Calibri" w:hAnsi="Calibri" w:cs="Calibri"/>
        </w:rPr>
        <w:tab/>
        <w:t>Prace przygotowawcze obejmują:</w:t>
      </w:r>
    </w:p>
    <w:p w:rsidR="004767DA" w:rsidRPr="002D7D15" w:rsidRDefault="006C0559" w:rsidP="004767DA">
      <w:pPr>
        <w:rPr>
          <w:rFonts w:ascii="Calibri" w:hAnsi="Calibri" w:cs="Calibri"/>
        </w:rPr>
      </w:pPr>
      <w:r>
        <w:rPr>
          <w:rFonts w:ascii="Calibri" w:hAnsi="Calibri" w:cs="Calibri"/>
        </w:rPr>
        <w:t>-</w:t>
      </w:r>
      <w:r w:rsidR="004767DA" w:rsidRPr="002D7D15">
        <w:rPr>
          <w:rFonts w:ascii="Calibri" w:hAnsi="Calibri" w:cs="Calibri"/>
        </w:rPr>
        <w:t>zebranie niezbędnych materiałów i informacji, w tym uzyskanie z ośrodka dokumentacji danych dotyczących osnowy geodezyjnej i mapy zasadniczej, pobranie z właściwego urzędu danych z katastru nieruchomości, dokonanie badania ksiąg wieczystych stwierdzających stan prawny nieruchomości, a następnie analiza i ocena zebranych materiałów,</w:t>
      </w:r>
    </w:p>
    <w:p w:rsidR="004767DA" w:rsidRPr="002D7D15" w:rsidRDefault="006C0559" w:rsidP="004767DA">
      <w:pPr>
        <w:rPr>
          <w:rFonts w:ascii="Calibri" w:hAnsi="Calibri" w:cs="Calibri"/>
        </w:rPr>
      </w:pPr>
      <w:r>
        <w:rPr>
          <w:rFonts w:ascii="Calibri" w:hAnsi="Calibri" w:cs="Calibri"/>
        </w:rPr>
        <w:t>-</w:t>
      </w:r>
      <w:r w:rsidR="004767DA" w:rsidRPr="002D7D15">
        <w:rPr>
          <w:rFonts w:ascii="Calibri" w:hAnsi="Calibri" w:cs="Calibri"/>
        </w:rPr>
        <w:t>wywiad w terenie, mający na celu odszukanie punktów istniejącej osnowy poziomej i oczyszczenie widoczności między punktami oraz ewentualne uzupełnienie punktów osnowy,</w:t>
      </w:r>
    </w:p>
    <w:p w:rsidR="004767DA" w:rsidRPr="002D7D15" w:rsidRDefault="006C0559" w:rsidP="004767DA">
      <w:pPr>
        <w:rPr>
          <w:rFonts w:ascii="Calibri" w:hAnsi="Calibri" w:cs="Calibri"/>
        </w:rPr>
      </w:pPr>
      <w:r>
        <w:rPr>
          <w:rFonts w:ascii="Calibri" w:hAnsi="Calibri" w:cs="Calibri"/>
        </w:rPr>
        <w:t>-</w:t>
      </w:r>
      <w:r w:rsidR="004767DA" w:rsidRPr="002D7D15">
        <w:rPr>
          <w:rFonts w:ascii="Calibri" w:hAnsi="Calibri" w:cs="Calibri"/>
        </w:rPr>
        <w:t>przygotowanie osnowy do prac pomiarowych,</w:t>
      </w:r>
    </w:p>
    <w:p w:rsidR="004767DA" w:rsidRPr="002D7D15" w:rsidRDefault="006C0559" w:rsidP="004767DA">
      <w:pPr>
        <w:rPr>
          <w:rFonts w:ascii="Calibri" w:hAnsi="Calibri" w:cs="Calibri"/>
        </w:rPr>
      </w:pPr>
      <w:r>
        <w:rPr>
          <w:rFonts w:ascii="Calibri" w:hAnsi="Calibri" w:cs="Calibri"/>
        </w:rPr>
        <w:t>-</w:t>
      </w:r>
      <w:r w:rsidR="004767DA" w:rsidRPr="002D7D15">
        <w:rPr>
          <w:rFonts w:ascii="Calibri" w:hAnsi="Calibri" w:cs="Calibri"/>
        </w:rPr>
        <w:t>wstępne opracowanie projektu podziału nieruchomości, biorąc pod uwagę punkty załamania projektowanych granic pasa drogowego podane w załączniku mapowym dokumentacji projektowej albo zasady określania tych punktów podane przez Zamawiającego.</w:t>
      </w:r>
    </w:p>
    <w:p w:rsidR="004767DA" w:rsidRPr="002D7D15" w:rsidRDefault="004767DA" w:rsidP="004767DA">
      <w:pPr>
        <w:rPr>
          <w:rFonts w:ascii="Calibri" w:hAnsi="Calibri" w:cs="Calibri"/>
        </w:rPr>
      </w:pPr>
      <w:r w:rsidRPr="002D7D15">
        <w:rPr>
          <w:rFonts w:ascii="Calibri" w:hAnsi="Calibri" w:cs="Calibri"/>
        </w:rPr>
        <w:lastRenderedPageBreak/>
        <w:t>W wyniku prac przygotowawczych powinien powstać projekt granic pasa drogowego wkartowany na mapę, uzgodniony z Zamawiającym i właścicielami nieruchomości, a następnie zamarkowany w terenie za pomocą palików.</w:t>
      </w:r>
    </w:p>
    <w:p w:rsidR="004767DA" w:rsidRPr="002D7D15" w:rsidRDefault="004767DA" w:rsidP="004767DA">
      <w:pPr>
        <w:rPr>
          <w:rFonts w:ascii="Calibri" w:hAnsi="Calibri" w:cs="Calibri"/>
        </w:rPr>
      </w:pPr>
      <w:r w:rsidRPr="004E4D6E">
        <w:rPr>
          <w:rFonts w:ascii="Calibri" w:hAnsi="Calibri" w:cs="Calibri"/>
          <w:b/>
        </w:rPr>
        <w:t>5.5.</w:t>
      </w:r>
      <w:r w:rsidRPr="002D7D15">
        <w:rPr>
          <w:rFonts w:ascii="Calibri" w:hAnsi="Calibri" w:cs="Calibri"/>
        </w:rPr>
        <w:t xml:space="preserve"> Stabilizacja granic pasa drogowego</w:t>
      </w:r>
    </w:p>
    <w:p w:rsidR="004767DA" w:rsidRPr="002D7D15" w:rsidRDefault="004767DA" w:rsidP="004767DA">
      <w:pPr>
        <w:rPr>
          <w:rFonts w:ascii="Calibri" w:hAnsi="Calibri" w:cs="Calibri"/>
        </w:rPr>
      </w:pPr>
      <w:r w:rsidRPr="002D7D15">
        <w:rPr>
          <w:rFonts w:ascii="Calibri" w:hAnsi="Calibri" w:cs="Calibri"/>
        </w:rPr>
        <w:tab/>
        <w:t>Ostateczne wyznaczenie i utrwalenie w terenie znakami granicznymi punktów granicznych projektowanego pasa drogowego Wykonawca dokonuje w obecności osób zainteresowanych, po uzyskaniu ostatecznej decyzji zatwierdzającej projekt podziału nieruchomości.</w:t>
      </w:r>
    </w:p>
    <w:p w:rsidR="004767DA" w:rsidRPr="002D7D15" w:rsidRDefault="004767DA" w:rsidP="004767DA">
      <w:pPr>
        <w:rPr>
          <w:rFonts w:ascii="Calibri" w:hAnsi="Calibri" w:cs="Calibri"/>
        </w:rPr>
      </w:pPr>
      <w:r w:rsidRPr="002D7D15">
        <w:rPr>
          <w:rFonts w:ascii="Calibri" w:hAnsi="Calibri" w:cs="Calibri"/>
        </w:rPr>
        <w:tab/>
        <w:t xml:space="preserve">Stabilizację punktów granicznych należy wykonać geodezyjnymi znakami granicznymi z krzyżem (zakupionymi lub wykonanymi wg pktu 2.2.2). Stabilizacji podlegają wszystkie punkty załamania granicy pasa drogowego oraz odcinki proste o maksymalnej długości </w:t>
      </w:r>
      <w:smartTag w:uri="urn:schemas-microsoft-com:office:smarttags" w:element="metricconverter">
        <w:smartTagPr>
          <w:attr w:name="ProductID" w:val="200 m"/>
        </w:smartTagPr>
        <w:r w:rsidRPr="002D7D15">
          <w:rPr>
            <w:rFonts w:ascii="Calibri" w:hAnsi="Calibri" w:cs="Calibri"/>
          </w:rPr>
          <w:t>200 m</w:t>
        </w:r>
      </w:smartTag>
      <w:r w:rsidRPr="002D7D15">
        <w:rPr>
          <w:rFonts w:ascii="Calibri" w:hAnsi="Calibri" w:cs="Calibri"/>
        </w:rPr>
        <w:t xml:space="preserve">. Znaki graniczne powinny być wkopane do takiej głębokości, aby wystawały do </w:t>
      </w:r>
      <w:smartTag w:uri="urn:schemas-microsoft-com:office:smarttags" w:element="metricconverter">
        <w:smartTagPr>
          <w:attr w:name="ProductID" w:val="10 cm"/>
        </w:smartTagPr>
        <w:r w:rsidRPr="002D7D15">
          <w:rPr>
            <w:rFonts w:ascii="Calibri" w:hAnsi="Calibri" w:cs="Calibri"/>
          </w:rPr>
          <w:t>10 cm</w:t>
        </w:r>
      </w:smartTag>
      <w:r w:rsidRPr="002D7D15">
        <w:rPr>
          <w:rFonts w:ascii="Calibri" w:hAnsi="Calibri" w:cs="Calibri"/>
        </w:rPr>
        <w:t xml:space="preserve"> ponad teren.</w:t>
      </w:r>
    </w:p>
    <w:p w:rsidR="004767DA" w:rsidRPr="002D7D15" w:rsidRDefault="004767DA" w:rsidP="004767DA">
      <w:pPr>
        <w:rPr>
          <w:rFonts w:ascii="Calibri" w:hAnsi="Calibri" w:cs="Calibri"/>
        </w:rPr>
      </w:pPr>
      <w:r w:rsidRPr="002D7D15">
        <w:rPr>
          <w:rFonts w:ascii="Calibri" w:hAnsi="Calibri" w:cs="Calibri"/>
        </w:rPr>
        <w:tab/>
        <w:t xml:space="preserve">W odległości do </w:t>
      </w:r>
      <w:smartTag w:uri="urn:schemas-microsoft-com:office:smarttags" w:element="metricconverter">
        <w:smartTagPr>
          <w:attr w:name="ProductID" w:val="1 m"/>
        </w:smartTagPr>
        <w:r w:rsidRPr="002D7D15">
          <w:rPr>
            <w:rFonts w:ascii="Calibri" w:hAnsi="Calibri" w:cs="Calibri"/>
          </w:rPr>
          <w:t>1 m</w:t>
        </w:r>
      </w:smartTag>
      <w:r w:rsidRPr="002D7D15">
        <w:rPr>
          <w:rFonts w:ascii="Calibri" w:hAnsi="Calibri" w:cs="Calibri"/>
        </w:rPr>
        <w:t xml:space="preserve"> od słupka znaku granicznego, w linii granicznej, należy wkopać świadek punktu granicznego, w odstępach do </w:t>
      </w:r>
      <w:smartTag w:uri="urn:schemas-microsoft-com:office:smarttags" w:element="metricconverter">
        <w:smartTagPr>
          <w:attr w:name="ProductID" w:val="200 m"/>
        </w:smartTagPr>
        <w:r w:rsidRPr="002D7D15">
          <w:rPr>
            <w:rFonts w:ascii="Calibri" w:hAnsi="Calibri" w:cs="Calibri"/>
          </w:rPr>
          <w:t>200 m</w:t>
        </w:r>
      </w:smartTag>
      <w:r w:rsidRPr="002D7D15">
        <w:rPr>
          <w:rFonts w:ascii="Calibri" w:hAnsi="Calibri" w:cs="Calibri"/>
        </w:rPr>
        <w:t xml:space="preserve">, z zachowaniem wizury pomiędzy sąsiednimi punktami. Świadek punktu granicznego powinien być wkopany w grunt na głębokość około </w:t>
      </w:r>
      <w:smartTag w:uri="urn:schemas-microsoft-com:office:smarttags" w:element="metricconverter">
        <w:smartTagPr>
          <w:attr w:name="ProductID" w:val="50 cm"/>
        </w:smartTagPr>
        <w:r w:rsidRPr="002D7D15">
          <w:rPr>
            <w:rFonts w:ascii="Calibri" w:hAnsi="Calibri" w:cs="Calibri"/>
          </w:rPr>
          <w:t>50 cm</w:t>
        </w:r>
      </w:smartTag>
      <w:r w:rsidRPr="002D7D15">
        <w:rPr>
          <w:rFonts w:ascii="Calibri" w:hAnsi="Calibri" w:cs="Calibri"/>
        </w:rPr>
        <w:t xml:space="preserve">, tak aby część nadziemna barwy żółtej z wytłoczonym napisem „PAS  DROGOWY” wystawała </w:t>
      </w:r>
      <w:smartTag w:uri="urn:schemas-microsoft-com:office:smarttags" w:element="metricconverter">
        <w:smartTagPr>
          <w:attr w:name="ProductID" w:val="50 cm"/>
        </w:smartTagPr>
        <w:r w:rsidRPr="002D7D15">
          <w:rPr>
            <w:rFonts w:ascii="Calibri" w:hAnsi="Calibri" w:cs="Calibri"/>
          </w:rPr>
          <w:t>50 cm</w:t>
        </w:r>
      </w:smartTag>
      <w:r w:rsidRPr="002D7D15">
        <w:rPr>
          <w:rFonts w:ascii="Calibri" w:hAnsi="Calibri" w:cs="Calibri"/>
        </w:rPr>
        <w:t xml:space="preserve"> nad terenem.</w:t>
      </w:r>
    </w:p>
    <w:p w:rsidR="004767DA" w:rsidRPr="002D7D15" w:rsidRDefault="004767DA" w:rsidP="004767DA">
      <w:pPr>
        <w:rPr>
          <w:rFonts w:ascii="Calibri" w:hAnsi="Calibri" w:cs="Calibri"/>
        </w:rPr>
      </w:pPr>
      <w:r w:rsidRPr="002D7D15">
        <w:rPr>
          <w:rFonts w:ascii="Calibri" w:hAnsi="Calibri" w:cs="Calibri"/>
        </w:rPr>
        <w:tab/>
        <w:t xml:space="preserve">Roboty przy utrwaleniu w terenie słupków zaleca się wykonywać poprzez nawiercenie ręcznym świdrem otworu w gruncie, dla znaku granicznego o wielkości dostosowanej do słupka znaku, a dla świadka punktu granicznego na głębokość </w:t>
      </w:r>
      <w:smartTag w:uri="urn:schemas-microsoft-com:office:smarttags" w:element="metricconverter">
        <w:smartTagPr>
          <w:attr w:name="ProductID" w:val="50 cm"/>
        </w:smartTagPr>
        <w:r w:rsidRPr="002D7D15">
          <w:rPr>
            <w:rFonts w:ascii="Calibri" w:hAnsi="Calibri" w:cs="Calibri"/>
          </w:rPr>
          <w:t>50 cm</w:t>
        </w:r>
      </w:smartTag>
      <w:r w:rsidRPr="002D7D15">
        <w:rPr>
          <w:rFonts w:ascii="Calibri" w:hAnsi="Calibri" w:cs="Calibri"/>
        </w:rPr>
        <w:t xml:space="preserve"> o średnicy 20÷40 cm. Słupki obsypuje się gruntem rodzimym i zagęszcza. W przypadku gdy grunt rodzimy jest spoisty lub zbrylony, tak że nie ma możliwości szczelnego obsypania słupka, należy do tego celu wykorzystać piasek lub mieszankę naturalną. Nadmiar materiału gruntowego z otworu należy rozplantować.</w:t>
      </w:r>
    </w:p>
    <w:p w:rsidR="004767DA" w:rsidRPr="002D7D15" w:rsidRDefault="004767DA" w:rsidP="004767DA">
      <w:pPr>
        <w:rPr>
          <w:rFonts w:ascii="Calibri" w:hAnsi="Calibri" w:cs="Calibri"/>
        </w:rPr>
      </w:pPr>
      <w:r w:rsidRPr="002D7D15">
        <w:rPr>
          <w:rFonts w:ascii="Calibri" w:hAnsi="Calibri" w:cs="Calibri"/>
        </w:rPr>
        <w:tab/>
        <w:t>W przypadku gdy niemożliwa jest trwała stabilizacja punktu, należy zastąpić go innym elementem zamontowanym w podłożu (np. prętem stalowym, rurką). Taki punkt należy opisać oraz sporządzić szkic topograficzny określający jego położenie.</w:t>
      </w:r>
    </w:p>
    <w:p w:rsidR="004767DA" w:rsidRPr="002D7D15" w:rsidRDefault="004767DA" w:rsidP="004767DA">
      <w:pPr>
        <w:rPr>
          <w:rFonts w:ascii="Calibri" w:hAnsi="Calibri" w:cs="Calibri"/>
        </w:rPr>
      </w:pPr>
      <w:r w:rsidRPr="002D7D15">
        <w:rPr>
          <w:rFonts w:ascii="Calibri" w:hAnsi="Calibri" w:cs="Calibri"/>
        </w:rPr>
        <w:tab/>
        <w:t>Podczas prac Wykonawca ma zachować w stanie nienaruszonym wszystkie punkty pomiarowe.</w:t>
      </w:r>
    </w:p>
    <w:p w:rsidR="004767DA" w:rsidRPr="002D7D15" w:rsidRDefault="004767DA" w:rsidP="004767DA">
      <w:pPr>
        <w:rPr>
          <w:rFonts w:ascii="Calibri" w:hAnsi="Calibri" w:cs="Calibri"/>
        </w:rPr>
      </w:pPr>
      <w:r w:rsidRPr="002D7D15">
        <w:rPr>
          <w:rFonts w:ascii="Calibri" w:hAnsi="Calibri" w:cs="Calibri"/>
        </w:rPr>
        <w:tab/>
        <w:t>Z czynności stabilizacji granic pasa drogowego Wykonawca sporządza protokół okazania znaków granicznych właścicielom nieruchomości.</w:t>
      </w:r>
    </w:p>
    <w:p w:rsidR="004767DA" w:rsidRPr="002D7D15" w:rsidRDefault="004767DA" w:rsidP="004767DA">
      <w:pPr>
        <w:rPr>
          <w:rFonts w:ascii="Calibri" w:hAnsi="Calibri" w:cs="Calibri"/>
        </w:rPr>
      </w:pPr>
      <w:r w:rsidRPr="004E4D6E">
        <w:rPr>
          <w:rFonts w:ascii="Calibri" w:hAnsi="Calibri" w:cs="Calibri"/>
          <w:b/>
        </w:rPr>
        <w:t>5.6.</w:t>
      </w:r>
      <w:r w:rsidRPr="002D7D15">
        <w:rPr>
          <w:rFonts w:ascii="Calibri" w:hAnsi="Calibri" w:cs="Calibri"/>
        </w:rPr>
        <w:t xml:space="preserve"> Prace kameralne</w:t>
      </w:r>
    </w:p>
    <w:p w:rsidR="004767DA" w:rsidRPr="002D7D15" w:rsidRDefault="004767DA" w:rsidP="004767DA">
      <w:pPr>
        <w:rPr>
          <w:rFonts w:ascii="Calibri" w:hAnsi="Calibri" w:cs="Calibri"/>
        </w:rPr>
      </w:pPr>
      <w:r w:rsidRPr="002D7D15">
        <w:rPr>
          <w:rFonts w:ascii="Calibri" w:hAnsi="Calibri" w:cs="Calibri"/>
        </w:rPr>
        <w:tab/>
        <w:t>Do prac kameralnych przy stabilizacji granic pasa drogowego, zgodnie z warunkami kontraktu, mogą należeć:</w:t>
      </w:r>
    </w:p>
    <w:p w:rsidR="004767DA" w:rsidRPr="002D7D15" w:rsidRDefault="006C0559" w:rsidP="004767DA">
      <w:pPr>
        <w:rPr>
          <w:rFonts w:ascii="Calibri" w:hAnsi="Calibri" w:cs="Calibri"/>
        </w:rPr>
      </w:pPr>
      <w:r>
        <w:rPr>
          <w:rFonts w:ascii="Calibri" w:hAnsi="Calibri" w:cs="Calibri"/>
        </w:rPr>
        <w:t>-</w:t>
      </w:r>
      <w:r w:rsidR="004767DA" w:rsidRPr="002D7D15">
        <w:rPr>
          <w:rFonts w:ascii="Calibri" w:hAnsi="Calibri" w:cs="Calibri"/>
        </w:rPr>
        <w:t>obliczenia współrzędnych punktów granicznych, powierzchni działek, uzupełnienia mapy zasadniczej, sporządzenia mapy uzupełniającej do mapy katastralnej, sporządzenia wykazu zmian gruntowych, skompletowania dokumentacji podziału nieruchomości,</w:t>
      </w:r>
    </w:p>
    <w:p w:rsidR="004767DA" w:rsidRPr="002D7D15" w:rsidRDefault="006C0559" w:rsidP="004767DA">
      <w:pPr>
        <w:rPr>
          <w:rFonts w:ascii="Calibri" w:hAnsi="Calibri" w:cs="Calibri"/>
        </w:rPr>
      </w:pPr>
      <w:r>
        <w:rPr>
          <w:rFonts w:ascii="Calibri" w:hAnsi="Calibri" w:cs="Calibri"/>
        </w:rPr>
        <w:t>-</w:t>
      </w:r>
      <w:r w:rsidR="004767DA" w:rsidRPr="002D7D15">
        <w:rPr>
          <w:rFonts w:ascii="Calibri" w:hAnsi="Calibri" w:cs="Calibri"/>
        </w:rPr>
        <w:t>sporządzenie dokumentacji z podziałem na: akta postępowania dla Wykonawcy, dokumentację techniczną dla Zamawiającego, dokumentację techniczną dla ośrodka dokumentacji, dokumentację przeznaczoną dla organu prowadzącego kataster nieruchomości,</w:t>
      </w:r>
    </w:p>
    <w:p w:rsidR="004767DA" w:rsidRPr="002D7D15" w:rsidRDefault="006C0559" w:rsidP="004767DA">
      <w:pPr>
        <w:rPr>
          <w:rFonts w:ascii="Calibri" w:hAnsi="Calibri" w:cs="Calibri"/>
        </w:rPr>
      </w:pPr>
      <w:r>
        <w:rPr>
          <w:rFonts w:ascii="Calibri" w:hAnsi="Calibri" w:cs="Calibri"/>
        </w:rPr>
        <w:t>-</w:t>
      </w:r>
      <w:r w:rsidR="004767DA" w:rsidRPr="002D7D15">
        <w:rPr>
          <w:rFonts w:ascii="Calibri" w:hAnsi="Calibri" w:cs="Calibri"/>
        </w:rPr>
        <w:t>uzyskanie decyzji o podziale nieruchomości.</w:t>
      </w:r>
    </w:p>
    <w:p w:rsidR="004767DA" w:rsidRPr="002D7D15" w:rsidRDefault="004767DA" w:rsidP="004767DA">
      <w:pPr>
        <w:rPr>
          <w:rFonts w:ascii="Calibri" w:hAnsi="Calibri" w:cs="Calibri"/>
        </w:rPr>
      </w:pPr>
      <w:r w:rsidRPr="002D7D15">
        <w:rPr>
          <w:rFonts w:ascii="Calibri" w:hAnsi="Calibri" w:cs="Calibri"/>
        </w:rPr>
        <w:t>Jeśli Zamawiający nie ustali inaczej to skład dokumentacji dla Zamawiającego może zawierać:</w:t>
      </w:r>
    </w:p>
    <w:p w:rsidR="004767DA" w:rsidRPr="002D7D15" w:rsidRDefault="006C0559" w:rsidP="004767DA">
      <w:pPr>
        <w:rPr>
          <w:rFonts w:ascii="Calibri" w:hAnsi="Calibri" w:cs="Calibri"/>
        </w:rPr>
      </w:pPr>
      <w:r>
        <w:rPr>
          <w:rFonts w:ascii="Calibri" w:hAnsi="Calibri" w:cs="Calibri"/>
        </w:rPr>
        <w:t>-</w:t>
      </w:r>
      <w:r w:rsidR="004767DA" w:rsidRPr="002D7D15">
        <w:rPr>
          <w:rFonts w:ascii="Calibri" w:hAnsi="Calibri" w:cs="Calibri"/>
        </w:rPr>
        <w:t>opis i mapę z wykazem zmian gruntowych i wykazem synchronizacyjnym (gdy w księdze wieczystej nieruchomość podlegająca podziałowi posiada inne oznaczenia niż w katastrze nieruchomości),</w:t>
      </w:r>
    </w:p>
    <w:p w:rsidR="004767DA" w:rsidRPr="002D7D15" w:rsidRDefault="006C0559" w:rsidP="004767DA">
      <w:pPr>
        <w:rPr>
          <w:rFonts w:ascii="Calibri" w:hAnsi="Calibri" w:cs="Calibri"/>
        </w:rPr>
      </w:pPr>
      <w:r>
        <w:rPr>
          <w:rFonts w:ascii="Calibri" w:hAnsi="Calibri" w:cs="Calibri"/>
        </w:rPr>
        <w:t>-</w:t>
      </w:r>
      <w:r w:rsidR="004767DA" w:rsidRPr="002D7D15">
        <w:rPr>
          <w:rFonts w:ascii="Calibri" w:hAnsi="Calibri" w:cs="Calibri"/>
        </w:rPr>
        <w:t>ostateczną decyzję zatwierdzającą projekt podziału wraz z załącznikiem mapowym,</w:t>
      </w:r>
    </w:p>
    <w:p w:rsidR="004767DA" w:rsidRDefault="006C0559" w:rsidP="004767DA">
      <w:pPr>
        <w:rPr>
          <w:rFonts w:ascii="Calibri" w:hAnsi="Calibri" w:cs="Calibri"/>
        </w:rPr>
      </w:pPr>
      <w:r>
        <w:rPr>
          <w:rFonts w:ascii="Calibri" w:hAnsi="Calibri" w:cs="Calibri"/>
        </w:rPr>
        <w:t>-</w:t>
      </w:r>
      <w:r w:rsidR="004767DA" w:rsidRPr="002D7D15">
        <w:rPr>
          <w:rFonts w:ascii="Calibri" w:hAnsi="Calibri" w:cs="Calibri"/>
        </w:rPr>
        <w:t>wyniki prac obliczeniowych i kartograficznych na komputerowych nośnikach informacji: wtórniki mapy zasadniczej uzupełnione o granice pasa drogowego, wykazy współrzędnych punktów geodezyjnej osnowy  poziomej ze szkicem osnowy i opisami topograficznymi punktów, wykazy współrzędnych punktów granicznych pasa drogowego, mapę zbiorczą z podziałem na nieruchomości i wykazem zmian gruntowych, kopie decyzji zatwierdzających projekt podziału nieruchomości, kopie wyciągów z dokumentów stwierdzających tytuły własności do nieruchomości.</w:t>
      </w:r>
    </w:p>
    <w:p w:rsidR="004767DA" w:rsidRPr="002D7D15" w:rsidRDefault="004767DA" w:rsidP="004767DA">
      <w:pPr>
        <w:rPr>
          <w:rFonts w:ascii="Calibri" w:hAnsi="Calibri" w:cs="Calibri"/>
        </w:rPr>
      </w:pPr>
    </w:p>
    <w:p w:rsidR="004767DA" w:rsidRPr="004E4D6E" w:rsidRDefault="004767DA" w:rsidP="004767DA">
      <w:pPr>
        <w:rPr>
          <w:rFonts w:ascii="Calibri" w:hAnsi="Calibri" w:cs="Calibri"/>
          <w:b/>
        </w:rPr>
      </w:pPr>
      <w:bookmarkStart w:id="196" w:name="_Toc421940501"/>
      <w:bookmarkStart w:id="197" w:name="_Toc24955913"/>
      <w:bookmarkStart w:id="198" w:name="_Toc25128887"/>
      <w:bookmarkStart w:id="199" w:name="_Toc25373385"/>
      <w:bookmarkStart w:id="200" w:name="_Toc25379401"/>
      <w:bookmarkStart w:id="201" w:name="_Toc174333138"/>
      <w:bookmarkStart w:id="202" w:name="_Toc179183771"/>
      <w:bookmarkStart w:id="203" w:name="_Toc198436140"/>
      <w:bookmarkStart w:id="204" w:name="_Toc199904824"/>
      <w:bookmarkStart w:id="205" w:name="_Toc216843088"/>
      <w:bookmarkStart w:id="206" w:name="_Toc257193991"/>
      <w:bookmarkStart w:id="207" w:name="_Toc284409958"/>
      <w:bookmarkStart w:id="208" w:name="_Toc295205110"/>
      <w:bookmarkStart w:id="209" w:name="_Toc322519148"/>
      <w:r w:rsidRPr="004E4D6E">
        <w:rPr>
          <w:rFonts w:ascii="Calibri" w:hAnsi="Calibri" w:cs="Calibri"/>
          <w:b/>
        </w:rPr>
        <w:t xml:space="preserve">6. </w:t>
      </w:r>
      <w:bookmarkEnd w:id="196"/>
      <w:bookmarkEnd w:id="197"/>
      <w:bookmarkEnd w:id="198"/>
      <w:bookmarkEnd w:id="199"/>
      <w:bookmarkEnd w:id="200"/>
      <w:bookmarkEnd w:id="201"/>
      <w:bookmarkEnd w:id="202"/>
      <w:bookmarkEnd w:id="203"/>
      <w:bookmarkEnd w:id="204"/>
      <w:bookmarkEnd w:id="205"/>
      <w:bookmarkEnd w:id="206"/>
      <w:bookmarkEnd w:id="207"/>
      <w:bookmarkEnd w:id="208"/>
      <w:r w:rsidRPr="004E4D6E">
        <w:rPr>
          <w:rFonts w:ascii="Calibri" w:hAnsi="Calibri" w:cs="Calibri"/>
          <w:b/>
        </w:rPr>
        <w:t>KONTROLA JAKOŚCI ROBÓT</w:t>
      </w:r>
      <w:bookmarkEnd w:id="209"/>
    </w:p>
    <w:p w:rsidR="004767DA" w:rsidRPr="002D7D15" w:rsidRDefault="004767DA" w:rsidP="004767DA">
      <w:pPr>
        <w:rPr>
          <w:rFonts w:ascii="Calibri" w:hAnsi="Calibri" w:cs="Calibri"/>
        </w:rPr>
      </w:pPr>
      <w:r w:rsidRPr="00FD53D3">
        <w:rPr>
          <w:rFonts w:ascii="Calibri" w:hAnsi="Calibri" w:cs="Calibri"/>
          <w:b/>
        </w:rPr>
        <w:t>6.1.</w:t>
      </w:r>
      <w:r w:rsidRPr="002D7D15">
        <w:rPr>
          <w:rFonts w:ascii="Calibri" w:hAnsi="Calibri" w:cs="Calibri"/>
        </w:rPr>
        <w:t xml:space="preserve"> Ogólne zasady kontroli jakości robót</w:t>
      </w:r>
    </w:p>
    <w:p w:rsidR="004767DA" w:rsidRPr="002D7D15" w:rsidRDefault="004767DA" w:rsidP="004767DA">
      <w:pPr>
        <w:rPr>
          <w:rFonts w:ascii="Calibri" w:hAnsi="Calibri" w:cs="Calibri"/>
        </w:rPr>
      </w:pPr>
      <w:r w:rsidRPr="002D7D15">
        <w:rPr>
          <w:rFonts w:ascii="Calibri" w:hAnsi="Calibri" w:cs="Calibri"/>
        </w:rPr>
        <w:tab/>
        <w:t>Ogólne zasady k</w:t>
      </w:r>
      <w:r>
        <w:rPr>
          <w:rFonts w:ascii="Calibri" w:hAnsi="Calibri" w:cs="Calibri"/>
        </w:rPr>
        <w:t>ontroli jakości robót podano w ST</w:t>
      </w:r>
      <w:r w:rsidRPr="002D7D15">
        <w:rPr>
          <w:rFonts w:ascii="Calibri" w:hAnsi="Calibri" w:cs="Calibri"/>
        </w:rPr>
        <w:t xml:space="preserve">  D-M-00.00.00 „Wymagania ogólne” [1] pkt 6.</w:t>
      </w:r>
    </w:p>
    <w:p w:rsidR="004767DA" w:rsidRPr="002D7D15" w:rsidRDefault="004767DA" w:rsidP="004767DA">
      <w:pPr>
        <w:rPr>
          <w:rFonts w:ascii="Calibri" w:hAnsi="Calibri" w:cs="Calibri"/>
        </w:rPr>
      </w:pPr>
      <w:r w:rsidRPr="00FD53D3">
        <w:rPr>
          <w:rFonts w:ascii="Calibri" w:hAnsi="Calibri" w:cs="Calibri"/>
          <w:b/>
        </w:rPr>
        <w:t>6.2.</w:t>
      </w:r>
      <w:r w:rsidRPr="002D7D15">
        <w:rPr>
          <w:rFonts w:ascii="Calibri" w:hAnsi="Calibri" w:cs="Calibri"/>
        </w:rPr>
        <w:t xml:space="preserve"> Badania przed przystąpieniem do robót</w:t>
      </w:r>
    </w:p>
    <w:p w:rsidR="004767DA" w:rsidRPr="002D7D15" w:rsidRDefault="004767DA" w:rsidP="004767DA">
      <w:pPr>
        <w:rPr>
          <w:rFonts w:ascii="Calibri" w:hAnsi="Calibri" w:cs="Calibri"/>
        </w:rPr>
      </w:pPr>
      <w:r w:rsidRPr="002D7D15">
        <w:rPr>
          <w:rFonts w:ascii="Calibri" w:hAnsi="Calibri" w:cs="Calibri"/>
        </w:rPr>
        <w:tab/>
        <w:t>Przed przystąpieniem do robót Wykonawca powinien:</w:t>
      </w:r>
    </w:p>
    <w:p w:rsidR="004767DA" w:rsidRPr="002D7D15" w:rsidRDefault="006C0559" w:rsidP="004767DA">
      <w:pPr>
        <w:rPr>
          <w:rFonts w:ascii="Calibri" w:hAnsi="Calibri" w:cs="Calibri"/>
        </w:rPr>
      </w:pPr>
      <w:r>
        <w:rPr>
          <w:rFonts w:ascii="Calibri" w:hAnsi="Calibri" w:cs="Calibri"/>
        </w:rPr>
        <w:t>-</w:t>
      </w:r>
      <w:r w:rsidR="004767DA" w:rsidRPr="002D7D15">
        <w:rPr>
          <w:rFonts w:ascii="Calibri" w:hAnsi="Calibri" w:cs="Calibri"/>
        </w:rPr>
        <w:t>uzyskać wymagane dokumenty, dopuszczające wyroby budowlane do obrotu i powszechnego stosowania (np. stwierdzenie o oznakowaniu materiału znakiem CE lub znakiem budowlanym B, certyfikat zgodności, deklarację zgodności, aprobatę techniczną, ew. badania materiałów wykonane przez dostawców itp.),</w:t>
      </w:r>
    </w:p>
    <w:p w:rsidR="004767DA" w:rsidRPr="002D7D15" w:rsidRDefault="006C0559" w:rsidP="004767DA">
      <w:pPr>
        <w:rPr>
          <w:rFonts w:ascii="Calibri" w:hAnsi="Calibri" w:cs="Calibri"/>
        </w:rPr>
      </w:pPr>
      <w:r>
        <w:rPr>
          <w:rFonts w:ascii="Calibri" w:hAnsi="Calibri" w:cs="Calibri"/>
        </w:rPr>
        <w:t>-</w:t>
      </w:r>
      <w:r w:rsidR="004767DA" w:rsidRPr="002D7D15">
        <w:rPr>
          <w:rFonts w:ascii="Calibri" w:hAnsi="Calibri" w:cs="Calibri"/>
        </w:rPr>
        <w:t>ew. wykonać własne badania właściwości materiałów przeznaczonych do wykonania robót, określone przez Inżyniera,</w:t>
      </w:r>
    </w:p>
    <w:p w:rsidR="004767DA" w:rsidRPr="002D7D15" w:rsidRDefault="006C0559" w:rsidP="004767DA">
      <w:pPr>
        <w:rPr>
          <w:rFonts w:ascii="Calibri" w:hAnsi="Calibri" w:cs="Calibri"/>
        </w:rPr>
      </w:pPr>
      <w:r>
        <w:rPr>
          <w:rFonts w:ascii="Calibri" w:hAnsi="Calibri" w:cs="Calibri"/>
        </w:rPr>
        <w:lastRenderedPageBreak/>
        <w:t>-</w:t>
      </w:r>
      <w:r w:rsidR="004767DA" w:rsidRPr="002D7D15">
        <w:rPr>
          <w:rFonts w:ascii="Calibri" w:hAnsi="Calibri" w:cs="Calibri"/>
        </w:rPr>
        <w:t>sprawdzić cechy zewnętrzne gotowych materiałów.</w:t>
      </w:r>
    </w:p>
    <w:p w:rsidR="004767DA" w:rsidRPr="002D7D15" w:rsidRDefault="004767DA" w:rsidP="004767DA">
      <w:pPr>
        <w:rPr>
          <w:rFonts w:ascii="Calibri" w:hAnsi="Calibri" w:cs="Calibri"/>
        </w:rPr>
      </w:pPr>
      <w:r w:rsidRPr="002D7D15">
        <w:rPr>
          <w:rFonts w:ascii="Calibri" w:hAnsi="Calibri" w:cs="Calibri"/>
        </w:rPr>
        <w:tab/>
        <w:t>Wszystkie dokumenty oraz wyniki badań Wykonawca przedstawia Inżynierowi do akceptacji.</w:t>
      </w:r>
    </w:p>
    <w:p w:rsidR="004767DA" w:rsidRPr="002D7D15" w:rsidRDefault="004767DA" w:rsidP="004767DA">
      <w:pPr>
        <w:rPr>
          <w:rFonts w:ascii="Calibri" w:hAnsi="Calibri" w:cs="Calibri"/>
        </w:rPr>
      </w:pPr>
      <w:r w:rsidRPr="00FD53D3">
        <w:rPr>
          <w:rFonts w:ascii="Calibri" w:hAnsi="Calibri" w:cs="Calibri"/>
          <w:b/>
        </w:rPr>
        <w:t>6.3.</w:t>
      </w:r>
      <w:r w:rsidRPr="002D7D15">
        <w:rPr>
          <w:rFonts w:ascii="Calibri" w:hAnsi="Calibri" w:cs="Calibri"/>
        </w:rPr>
        <w:t xml:space="preserve"> Kontrola jakości prac geodezyjnych i kartograficznych</w:t>
      </w:r>
    </w:p>
    <w:p w:rsidR="004767DA" w:rsidRDefault="004767DA" w:rsidP="004767DA">
      <w:pPr>
        <w:rPr>
          <w:rFonts w:ascii="Calibri" w:hAnsi="Calibri" w:cs="Calibri"/>
        </w:rPr>
      </w:pPr>
      <w:r w:rsidRPr="002D7D15">
        <w:rPr>
          <w:rFonts w:ascii="Calibri" w:hAnsi="Calibri" w:cs="Calibri"/>
        </w:rPr>
        <w:tab/>
        <w:t>Kontrolę jakości prac przy stabilizacji granic pasa drogowego należy prowadzić według zasad określonych w instrukcjach i wytycznych GUGIK [2÷9] w nawiązaniu do wymagań podanych w punkcie 5.</w:t>
      </w:r>
    </w:p>
    <w:p w:rsidR="004767DA" w:rsidRPr="002D7D15" w:rsidRDefault="004767DA" w:rsidP="004767DA">
      <w:pPr>
        <w:rPr>
          <w:rFonts w:ascii="Calibri" w:hAnsi="Calibri" w:cs="Calibri"/>
        </w:rPr>
      </w:pPr>
    </w:p>
    <w:p w:rsidR="004767DA" w:rsidRPr="00FD53D3" w:rsidRDefault="004767DA" w:rsidP="004767DA">
      <w:pPr>
        <w:rPr>
          <w:rFonts w:ascii="Calibri" w:hAnsi="Calibri" w:cs="Calibri"/>
          <w:b/>
        </w:rPr>
      </w:pPr>
      <w:bookmarkStart w:id="210" w:name="_Toc421940502"/>
      <w:bookmarkStart w:id="211" w:name="_Toc24955914"/>
      <w:bookmarkStart w:id="212" w:name="_Toc25128888"/>
      <w:bookmarkStart w:id="213" w:name="_Toc25373386"/>
      <w:bookmarkStart w:id="214" w:name="_Toc25379402"/>
      <w:bookmarkStart w:id="215" w:name="_Toc174333139"/>
      <w:bookmarkStart w:id="216" w:name="_Toc179183772"/>
      <w:bookmarkStart w:id="217" w:name="_Toc198436141"/>
      <w:bookmarkStart w:id="218" w:name="_Toc199904825"/>
      <w:bookmarkStart w:id="219" w:name="_Toc216843089"/>
      <w:bookmarkStart w:id="220" w:name="_Toc257193992"/>
      <w:bookmarkStart w:id="221" w:name="_Toc284409959"/>
      <w:bookmarkStart w:id="222" w:name="_Toc295205111"/>
      <w:bookmarkStart w:id="223" w:name="_Toc322519149"/>
      <w:r w:rsidRPr="00FD53D3">
        <w:rPr>
          <w:rFonts w:ascii="Calibri" w:hAnsi="Calibri" w:cs="Calibri"/>
          <w:b/>
        </w:rPr>
        <w:t xml:space="preserve">7. </w:t>
      </w:r>
      <w:bookmarkEnd w:id="210"/>
      <w:bookmarkEnd w:id="211"/>
      <w:bookmarkEnd w:id="212"/>
      <w:bookmarkEnd w:id="213"/>
      <w:bookmarkEnd w:id="214"/>
      <w:bookmarkEnd w:id="215"/>
      <w:bookmarkEnd w:id="216"/>
      <w:bookmarkEnd w:id="217"/>
      <w:bookmarkEnd w:id="218"/>
      <w:bookmarkEnd w:id="219"/>
      <w:bookmarkEnd w:id="220"/>
      <w:bookmarkEnd w:id="221"/>
      <w:bookmarkEnd w:id="222"/>
      <w:r w:rsidRPr="00FD53D3">
        <w:rPr>
          <w:rFonts w:ascii="Calibri" w:hAnsi="Calibri" w:cs="Calibri"/>
          <w:b/>
        </w:rPr>
        <w:t>OBMIAR ROBOT</w:t>
      </w:r>
      <w:bookmarkEnd w:id="223"/>
    </w:p>
    <w:p w:rsidR="004767DA" w:rsidRPr="002D7D15" w:rsidRDefault="004767DA" w:rsidP="004767DA">
      <w:pPr>
        <w:rPr>
          <w:rFonts w:ascii="Calibri" w:hAnsi="Calibri" w:cs="Calibri"/>
        </w:rPr>
      </w:pPr>
      <w:r w:rsidRPr="00FD53D3">
        <w:rPr>
          <w:rFonts w:ascii="Calibri" w:hAnsi="Calibri" w:cs="Calibri"/>
          <w:b/>
        </w:rPr>
        <w:t>7.1.</w:t>
      </w:r>
      <w:r w:rsidRPr="002D7D15">
        <w:rPr>
          <w:rFonts w:ascii="Calibri" w:hAnsi="Calibri" w:cs="Calibri"/>
        </w:rPr>
        <w:t xml:space="preserve"> Ogólne zasady obmiaru robót</w:t>
      </w:r>
    </w:p>
    <w:p w:rsidR="004767DA" w:rsidRPr="002D7D15" w:rsidRDefault="004767DA" w:rsidP="004767DA">
      <w:pPr>
        <w:rPr>
          <w:rFonts w:ascii="Calibri" w:hAnsi="Calibri" w:cs="Calibri"/>
        </w:rPr>
      </w:pPr>
      <w:r w:rsidRPr="002D7D15">
        <w:rPr>
          <w:rFonts w:ascii="Calibri" w:hAnsi="Calibri" w:cs="Calibri"/>
        </w:rPr>
        <w:tab/>
        <w:t>Ogólne</w:t>
      </w:r>
      <w:r>
        <w:rPr>
          <w:rFonts w:ascii="Calibri" w:hAnsi="Calibri" w:cs="Calibri"/>
        </w:rPr>
        <w:t xml:space="preserve"> zasady obmiaru robót podano w </w:t>
      </w:r>
      <w:r w:rsidRPr="002D7D15">
        <w:rPr>
          <w:rFonts w:ascii="Calibri" w:hAnsi="Calibri" w:cs="Calibri"/>
        </w:rPr>
        <w:t>ST  D-M-00.00.00 „Wymagania ogólne” [1] pkt 7.</w:t>
      </w:r>
    </w:p>
    <w:p w:rsidR="004767DA" w:rsidRPr="002D7D15" w:rsidRDefault="004767DA" w:rsidP="004767DA">
      <w:pPr>
        <w:rPr>
          <w:rFonts w:ascii="Calibri" w:hAnsi="Calibri" w:cs="Calibri"/>
        </w:rPr>
      </w:pPr>
      <w:r w:rsidRPr="00FD53D3">
        <w:rPr>
          <w:rFonts w:ascii="Calibri" w:hAnsi="Calibri" w:cs="Calibri"/>
          <w:b/>
        </w:rPr>
        <w:t>7.2.</w:t>
      </w:r>
      <w:r w:rsidRPr="002D7D15">
        <w:rPr>
          <w:rFonts w:ascii="Calibri" w:hAnsi="Calibri" w:cs="Calibri"/>
        </w:rPr>
        <w:t xml:space="preserve"> Jednostka obmiarowa</w:t>
      </w:r>
    </w:p>
    <w:p w:rsidR="004767DA" w:rsidRPr="002D7D15" w:rsidRDefault="004767DA" w:rsidP="004767DA">
      <w:pPr>
        <w:rPr>
          <w:rFonts w:ascii="Calibri" w:hAnsi="Calibri" w:cs="Calibri"/>
        </w:rPr>
      </w:pPr>
      <w:r w:rsidRPr="002D7D15">
        <w:rPr>
          <w:rFonts w:ascii="Calibri" w:hAnsi="Calibri" w:cs="Calibri"/>
        </w:rPr>
        <w:tab/>
        <w:t>Jednostką obmiarową jest:</w:t>
      </w:r>
    </w:p>
    <w:p w:rsidR="004767DA" w:rsidRPr="002D7D15" w:rsidRDefault="006C0559" w:rsidP="004767DA">
      <w:pPr>
        <w:rPr>
          <w:rFonts w:ascii="Calibri" w:hAnsi="Calibri" w:cs="Calibri"/>
        </w:rPr>
      </w:pPr>
      <w:r>
        <w:rPr>
          <w:rFonts w:ascii="Calibri" w:hAnsi="Calibri" w:cs="Calibri"/>
        </w:rPr>
        <w:t>-</w:t>
      </w:r>
      <w:r w:rsidR="004767DA" w:rsidRPr="002D7D15">
        <w:rPr>
          <w:rFonts w:ascii="Calibri" w:hAnsi="Calibri" w:cs="Calibri"/>
        </w:rPr>
        <w:t>wkopany (zastabilizowany) znak graniczny – sztuka (szt.),</w:t>
      </w:r>
    </w:p>
    <w:p w:rsidR="004767DA" w:rsidRDefault="006C0559" w:rsidP="004767DA">
      <w:pPr>
        <w:rPr>
          <w:rFonts w:ascii="Calibri" w:hAnsi="Calibri" w:cs="Calibri"/>
        </w:rPr>
      </w:pPr>
      <w:r>
        <w:rPr>
          <w:rFonts w:ascii="Calibri" w:hAnsi="Calibri" w:cs="Calibri"/>
        </w:rPr>
        <w:t>-</w:t>
      </w:r>
      <w:r w:rsidR="004767DA" w:rsidRPr="002D7D15">
        <w:rPr>
          <w:rFonts w:ascii="Calibri" w:hAnsi="Calibri" w:cs="Calibri"/>
        </w:rPr>
        <w:t>wkopany (zastabilizowany) świadek punktu granicznego – sztuka (szt.).</w:t>
      </w:r>
    </w:p>
    <w:p w:rsidR="004767DA" w:rsidRPr="002D7D15" w:rsidRDefault="004767DA" w:rsidP="004767DA">
      <w:pPr>
        <w:rPr>
          <w:rFonts w:ascii="Calibri" w:hAnsi="Calibri" w:cs="Calibri"/>
        </w:rPr>
      </w:pPr>
    </w:p>
    <w:p w:rsidR="004767DA" w:rsidRPr="00FD53D3" w:rsidRDefault="004767DA" w:rsidP="004767DA">
      <w:pPr>
        <w:rPr>
          <w:rFonts w:ascii="Calibri" w:hAnsi="Calibri" w:cs="Calibri"/>
          <w:b/>
        </w:rPr>
      </w:pPr>
      <w:bookmarkStart w:id="224" w:name="_Toc421940503"/>
      <w:bookmarkStart w:id="225" w:name="_Toc24955915"/>
      <w:bookmarkStart w:id="226" w:name="_Toc25128889"/>
      <w:bookmarkStart w:id="227" w:name="_Toc25373387"/>
      <w:bookmarkStart w:id="228" w:name="_Toc25379403"/>
      <w:bookmarkStart w:id="229" w:name="_Toc174333140"/>
      <w:bookmarkStart w:id="230" w:name="_Toc179183773"/>
      <w:bookmarkStart w:id="231" w:name="_Toc198436142"/>
      <w:bookmarkStart w:id="232" w:name="_Toc199904826"/>
      <w:bookmarkStart w:id="233" w:name="_Toc216843090"/>
      <w:bookmarkStart w:id="234" w:name="_Toc257193993"/>
      <w:bookmarkStart w:id="235" w:name="_Toc284409960"/>
      <w:bookmarkStart w:id="236" w:name="_Toc295205112"/>
      <w:bookmarkStart w:id="237" w:name="_Toc322519150"/>
      <w:r w:rsidRPr="00FD53D3">
        <w:rPr>
          <w:rFonts w:ascii="Calibri" w:hAnsi="Calibri" w:cs="Calibri"/>
          <w:b/>
        </w:rPr>
        <w:t xml:space="preserve">8. </w:t>
      </w:r>
      <w:bookmarkEnd w:id="224"/>
      <w:bookmarkEnd w:id="225"/>
      <w:bookmarkEnd w:id="226"/>
      <w:bookmarkEnd w:id="227"/>
      <w:bookmarkEnd w:id="228"/>
      <w:bookmarkEnd w:id="229"/>
      <w:bookmarkEnd w:id="230"/>
      <w:bookmarkEnd w:id="231"/>
      <w:bookmarkEnd w:id="232"/>
      <w:bookmarkEnd w:id="233"/>
      <w:bookmarkEnd w:id="234"/>
      <w:bookmarkEnd w:id="235"/>
      <w:bookmarkEnd w:id="236"/>
      <w:r w:rsidRPr="00FD53D3">
        <w:rPr>
          <w:rFonts w:ascii="Calibri" w:hAnsi="Calibri" w:cs="Calibri"/>
          <w:b/>
        </w:rPr>
        <w:t>ODBIÓR ROBÓT</w:t>
      </w:r>
      <w:bookmarkEnd w:id="237"/>
    </w:p>
    <w:p w:rsidR="004767DA" w:rsidRPr="002D7D15" w:rsidRDefault="004767DA" w:rsidP="004767DA">
      <w:pPr>
        <w:rPr>
          <w:rFonts w:ascii="Calibri" w:hAnsi="Calibri" w:cs="Calibri"/>
        </w:rPr>
      </w:pPr>
      <w:r w:rsidRPr="00FD53D3">
        <w:rPr>
          <w:rFonts w:ascii="Calibri" w:hAnsi="Calibri" w:cs="Calibri"/>
          <w:b/>
        </w:rPr>
        <w:t>8.1.</w:t>
      </w:r>
      <w:r w:rsidRPr="002D7D15">
        <w:rPr>
          <w:rFonts w:ascii="Calibri" w:hAnsi="Calibri" w:cs="Calibri"/>
        </w:rPr>
        <w:t xml:space="preserve"> Ogólne zasady odbioru robót </w:t>
      </w:r>
    </w:p>
    <w:p w:rsidR="004767DA" w:rsidRPr="002D7D15" w:rsidRDefault="004767DA" w:rsidP="004767DA">
      <w:pPr>
        <w:rPr>
          <w:rFonts w:ascii="Calibri" w:hAnsi="Calibri" w:cs="Calibri"/>
        </w:rPr>
      </w:pPr>
      <w:r w:rsidRPr="002D7D15">
        <w:rPr>
          <w:rFonts w:ascii="Calibri" w:hAnsi="Calibri" w:cs="Calibri"/>
        </w:rPr>
        <w:tab/>
        <w:t>Ogólne zasady odb</w:t>
      </w:r>
      <w:r>
        <w:rPr>
          <w:rFonts w:ascii="Calibri" w:hAnsi="Calibri" w:cs="Calibri"/>
        </w:rPr>
        <w:t xml:space="preserve">ioru robót podano w </w:t>
      </w:r>
      <w:r w:rsidRPr="002D7D15">
        <w:rPr>
          <w:rFonts w:ascii="Calibri" w:hAnsi="Calibri" w:cs="Calibri"/>
        </w:rPr>
        <w:t>ST  D-M-00.00.00 „Wymagania ogólne” [1] pkt 8.</w:t>
      </w:r>
    </w:p>
    <w:p w:rsidR="004767DA" w:rsidRPr="002D7D15" w:rsidRDefault="004767DA" w:rsidP="004767DA">
      <w:pPr>
        <w:rPr>
          <w:rFonts w:ascii="Calibri" w:hAnsi="Calibri" w:cs="Calibri"/>
        </w:rPr>
      </w:pPr>
      <w:r w:rsidRPr="00FD53D3">
        <w:rPr>
          <w:rFonts w:ascii="Calibri" w:hAnsi="Calibri" w:cs="Calibri"/>
          <w:b/>
        </w:rPr>
        <w:t>8.2.</w:t>
      </w:r>
      <w:r w:rsidRPr="002D7D15">
        <w:rPr>
          <w:rFonts w:ascii="Calibri" w:hAnsi="Calibri" w:cs="Calibri"/>
        </w:rPr>
        <w:t xml:space="preserve"> Sposób odbioru robót</w:t>
      </w:r>
    </w:p>
    <w:p w:rsidR="004767DA" w:rsidRPr="002D7D15" w:rsidRDefault="004767DA" w:rsidP="004767DA">
      <w:pPr>
        <w:rPr>
          <w:rFonts w:ascii="Calibri" w:hAnsi="Calibri" w:cs="Calibri"/>
        </w:rPr>
      </w:pPr>
      <w:r w:rsidRPr="002D7D15">
        <w:rPr>
          <w:rFonts w:ascii="Calibri" w:hAnsi="Calibri" w:cs="Calibri"/>
        </w:rPr>
        <w:tab/>
        <w:t>Odbiór zastabilizowanego pasa drogowego odbywa się na podstawie dokumentacji otrzymanej przez Zamawiającego, pod warunkiem:</w:t>
      </w:r>
    </w:p>
    <w:p w:rsidR="004767DA" w:rsidRPr="002D7D15" w:rsidRDefault="006C0559" w:rsidP="004767DA">
      <w:pPr>
        <w:rPr>
          <w:rFonts w:ascii="Calibri" w:hAnsi="Calibri" w:cs="Calibri"/>
        </w:rPr>
      </w:pPr>
      <w:r>
        <w:rPr>
          <w:rFonts w:ascii="Calibri" w:hAnsi="Calibri" w:cs="Calibri"/>
        </w:rPr>
        <w:t>-</w:t>
      </w:r>
      <w:r w:rsidR="004767DA" w:rsidRPr="002D7D15">
        <w:rPr>
          <w:rFonts w:ascii="Calibri" w:hAnsi="Calibri" w:cs="Calibri"/>
        </w:rPr>
        <w:t>kompletności operatu,</w:t>
      </w:r>
    </w:p>
    <w:p w:rsidR="004767DA" w:rsidRPr="002D7D15" w:rsidRDefault="006C0559" w:rsidP="004767DA">
      <w:pPr>
        <w:rPr>
          <w:rFonts w:ascii="Calibri" w:hAnsi="Calibri" w:cs="Calibri"/>
        </w:rPr>
      </w:pPr>
      <w:r>
        <w:rPr>
          <w:rFonts w:ascii="Calibri" w:hAnsi="Calibri" w:cs="Calibri"/>
        </w:rPr>
        <w:t>-</w:t>
      </w:r>
      <w:r w:rsidR="004767DA" w:rsidRPr="002D7D15">
        <w:rPr>
          <w:rFonts w:ascii="Calibri" w:hAnsi="Calibri" w:cs="Calibri"/>
        </w:rPr>
        <w:t>sprawdzenia w terenie poprawności zastabilizowanych punktów,</w:t>
      </w:r>
    </w:p>
    <w:p w:rsidR="004767DA" w:rsidRPr="002D7D15" w:rsidRDefault="006C0559" w:rsidP="004767DA">
      <w:pPr>
        <w:rPr>
          <w:rFonts w:ascii="Calibri" w:hAnsi="Calibri" w:cs="Calibri"/>
        </w:rPr>
      </w:pPr>
      <w:r>
        <w:rPr>
          <w:rFonts w:ascii="Calibri" w:hAnsi="Calibri" w:cs="Calibri"/>
        </w:rPr>
        <w:t>-</w:t>
      </w:r>
      <w:r w:rsidR="004767DA" w:rsidRPr="002D7D15">
        <w:rPr>
          <w:rFonts w:ascii="Calibri" w:hAnsi="Calibri" w:cs="Calibri"/>
        </w:rPr>
        <w:t>pomiaru kontrolnego wybranych punktów,</w:t>
      </w:r>
    </w:p>
    <w:p w:rsidR="004767DA" w:rsidRDefault="006C0559" w:rsidP="004767DA">
      <w:pPr>
        <w:rPr>
          <w:rFonts w:ascii="Calibri" w:hAnsi="Calibri" w:cs="Calibri"/>
        </w:rPr>
      </w:pPr>
      <w:r>
        <w:rPr>
          <w:rFonts w:ascii="Calibri" w:hAnsi="Calibri" w:cs="Calibri"/>
        </w:rPr>
        <w:t>-</w:t>
      </w:r>
      <w:r w:rsidR="004767DA" w:rsidRPr="002D7D15">
        <w:rPr>
          <w:rFonts w:ascii="Calibri" w:hAnsi="Calibri" w:cs="Calibri"/>
        </w:rPr>
        <w:t>skonfrontowania danych zawartych w operacie z terenem.</w:t>
      </w:r>
    </w:p>
    <w:p w:rsidR="004767DA" w:rsidRPr="002D7D15" w:rsidRDefault="004767DA" w:rsidP="004767DA">
      <w:pPr>
        <w:rPr>
          <w:rFonts w:ascii="Calibri" w:hAnsi="Calibri" w:cs="Calibri"/>
        </w:rPr>
      </w:pPr>
    </w:p>
    <w:p w:rsidR="004767DA" w:rsidRPr="00FD53D3" w:rsidRDefault="004767DA" w:rsidP="004767DA">
      <w:pPr>
        <w:rPr>
          <w:rFonts w:ascii="Calibri" w:hAnsi="Calibri" w:cs="Calibri"/>
          <w:b/>
        </w:rPr>
      </w:pPr>
      <w:bookmarkStart w:id="238" w:name="_Toc421686551"/>
      <w:bookmarkStart w:id="239" w:name="_Toc421940504"/>
      <w:bookmarkStart w:id="240" w:name="_Toc24955916"/>
      <w:bookmarkStart w:id="241" w:name="_Toc25128890"/>
      <w:bookmarkStart w:id="242" w:name="_Toc25373388"/>
      <w:bookmarkStart w:id="243" w:name="_Toc25379404"/>
      <w:bookmarkStart w:id="244" w:name="_Toc174333141"/>
      <w:bookmarkStart w:id="245" w:name="_Toc179183774"/>
      <w:bookmarkStart w:id="246" w:name="_Toc198436143"/>
      <w:bookmarkStart w:id="247" w:name="_Toc199904827"/>
      <w:bookmarkStart w:id="248" w:name="_Toc216843091"/>
      <w:bookmarkStart w:id="249" w:name="_Toc257193994"/>
      <w:bookmarkStart w:id="250" w:name="_Toc284409961"/>
      <w:bookmarkStart w:id="251" w:name="_Toc295205113"/>
      <w:bookmarkStart w:id="252" w:name="_Toc322519151"/>
      <w:r w:rsidRPr="00FD53D3">
        <w:rPr>
          <w:rFonts w:ascii="Calibri" w:hAnsi="Calibri" w:cs="Calibri"/>
          <w:b/>
        </w:rPr>
        <w:t xml:space="preserve">9. </w:t>
      </w:r>
      <w:bookmarkEnd w:id="238"/>
      <w:bookmarkEnd w:id="239"/>
      <w:bookmarkEnd w:id="240"/>
      <w:bookmarkEnd w:id="241"/>
      <w:bookmarkEnd w:id="242"/>
      <w:bookmarkEnd w:id="243"/>
      <w:bookmarkEnd w:id="244"/>
      <w:bookmarkEnd w:id="245"/>
      <w:bookmarkEnd w:id="246"/>
      <w:bookmarkEnd w:id="247"/>
      <w:bookmarkEnd w:id="248"/>
      <w:bookmarkEnd w:id="249"/>
      <w:bookmarkEnd w:id="250"/>
      <w:bookmarkEnd w:id="251"/>
      <w:r w:rsidRPr="00FD53D3">
        <w:rPr>
          <w:rFonts w:ascii="Calibri" w:hAnsi="Calibri" w:cs="Calibri"/>
          <w:b/>
        </w:rPr>
        <w:t>PODSTAWA PŁATNOŚCI</w:t>
      </w:r>
      <w:bookmarkEnd w:id="252"/>
    </w:p>
    <w:p w:rsidR="004767DA" w:rsidRPr="002D7D15" w:rsidRDefault="004767DA" w:rsidP="004767DA">
      <w:pPr>
        <w:rPr>
          <w:rFonts w:ascii="Calibri" w:hAnsi="Calibri" w:cs="Calibri"/>
        </w:rPr>
      </w:pPr>
      <w:r w:rsidRPr="00FD53D3">
        <w:rPr>
          <w:rFonts w:ascii="Calibri" w:hAnsi="Calibri" w:cs="Calibri"/>
          <w:b/>
        </w:rPr>
        <w:t>9.1.</w:t>
      </w:r>
      <w:r w:rsidRPr="002D7D15">
        <w:rPr>
          <w:rFonts w:ascii="Calibri" w:hAnsi="Calibri" w:cs="Calibri"/>
        </w:rPr>
        <w:t xml:space="preserve"> Ogólne ustalenia dotyczące podstawy płatności</w:t>
      </w:r>
    </w:p>
    <w:p w:rsidR="004767DA" w:rsidRPr="002D7D15" w:rsidRDefault="004767DA" w:rsidP="004767DA">
      <w:pPr>
        <w:rPr>
          <w:rFonts w:ascii="Calibri" w:hAnsi="Calibri" w:cs="Calibri"/>
        </w:rPr>
      </w:pPr>
      <w:r w:rsidRPr="002D7D15">
        <w:rPr>
          <w:rFonts w:ascii="Calibri" w:hAnsi="Calibri" w:cs="Calibri"/>
        </w:rPr>
        <w:tab/>
        <w:t>Ogólne ustalenia dotyczące podstawy płatno</w:t>
      </w:r>
      <w:r>
        <w:rPr>
          <w:rFonts w:ascii="Calibri" w:hAnsi="Calibri" w:cs="Calibri"/>
        </w:rPr>
        <w:t xml:space="preserve">ści podano w </w:t>
      </w:r>
      <w:r w:rsidRPr="002D7D15">
        <w:rPr>
          <w:rFonts w:ascii="Calibri" w:hAnsi="Calibri" w:cs="Calibri"/>
        </w:rPr>
        <w:t>ST D-M-</w:t>
      </w:r>
      <w:r>
        <w:rPr>
          <w:rFonts w:ascii="Calibri" w:hAnsi="Calibri" w:cs="Calibri"/>
        </w:rPr>
        <w:t xml:space="preserve">00.00.00 „Wymagania ogólne” </w:t>
      </w:r>
      <w:r w:rsidRPr="002D7D15">
        <w:rPr>
          <w:rFonts w:ascii="Calibri" w:hAnsi="Calibri" w:cs="Calibri"/>
        </w:rPr>
        <w:t>pkt 9.</w:t>
      </w:r>
    </w:p>
    <w:p w:rsidR="004767DA" w:rsidRPr="002D7D15" w:rsidRDefault="004767DA" w:rsidP="004767DA">
      <w:pPr>
        <w:rPr>
          <w:rFonts w:ascii="Calibri" w:hAnsi="Calibri" w:cs="Calibri"/>
        </w:rPr>
      </w:pPr>
      <w:r w:rsidRPr="00FD53D3">
        <w:rPr>
          <w:rFonts w:ascii="Calibri" w:hAnsi="Calibri" w:cs="Calibri"/>
          <w:b/>
        </w:rPr>
        <w:t>9.2.</w:t>
      </w:r>
      <w:r w:rsidRPr="002D7D15">
        <w:rPr>
          <w:rFonts w:ascii="Calibri" w:hAnsi="Calibri" w:cs="Calibri"/>
        </w:rPr>
        <w:t xml:space="preserve"> Cena jednostki obmiarowej</w:t>
      </w:r>
    </w:p>
    <w:p w:rsidR="004767DA" w:rsidRPr="002D7D15" w:rsidRDefault="004767DA" w:rsidP="004767DA">
      <w:pPr>
        <w:rPr>
          <w:rFonts w:ascii="Calibri" w:hAnsi="Calibri" w:cs="Calibri"/>
        </w:rPr>
      </w:pPr>
      <w:r w:rsidRPr="002D7D15">
        <w:rPr>
          <w:rFonts w:ascii="Calibri" w:hAnsi="Calibri" w:cs="Calibri"/>
        </w:rPr>
        <w:tab/>
        <w:t>Cena wykonania  jednostki obmiarowej obejmuje:</w:t>
      </w:r>
    </w:p>
    <w:p w:rsidR="004767DA" w:rsidRPr="002D7D15" w:rsidRDefault="006C0559" w:rsidP="004767DA">
      <w:pPr>
        <w:rPr>
          <w:rFonts w:ascii="Calibri" w:hAnsi="Calibri" w:cs="Calibri"/>
        </w:rPr>
      </w:pPr>
      <w:r>
        <w:rPr>
          <w:rFonts w:ascii="Calibri" w:hAnsi="Calibri" w:cs="Calibri"/>
        </w:rPr>
        <w:t>-</w:t>
      </w:r>
      <w:r w:rsidR="004767DA" w:rsidRPr="002D7D15">
        <w:rPr>
          <w:rFonts w:ascii="Calibri" w:hAnsi="Calibri" w:cs="Calibri"/>
        </w:rPr>
        <w:t>prace pomiarowe i roboty przygotowawcze,</w:t>
      </w:r>
    </w:p>
    <w:p w:rsidR="004767DA" w:rsidRPr="002D7D15" w:rsidRDefault="006C0559" w:rsidP="004767DA">
      <w:pPr>
        <w:rPr>
          <w:rFonts w:ascii="Calibri" w:hAnsi="Calibri" w:cs="Calibri"/>
        </w:rPr>
      </w:pPr>
      <w:r>
        <w:rPr>
          <w:rFonts w:ascii="Calibri" w:hAnsi="Calibri" w:cs="Calibri"/>
        </w:rPr>
        <w:t>-</w:t>
      </w:r>
      <w:r w:rsidR="004767DA" w:rsidRPr="002D7D15">
        <w:rPr>
          <w:rFonts w:ascii="Calibri" w:hAnsi="Calibri" w:cs="Calibri"/>
        </w:rPr>
        <w:t>oznakowanie miejsca robót,</w:t>
      </w:r>
    </w:p>
    <w:p w:rsidR="004767DA" w:rsidRPr="002D7D15" w:rsidRDefault="006C0559" w:rsidP="004767DA">
      <w:pPr>
        <w:rPr>
          <w:rFonts w:ascii="Calibri" w:hAnsi="Calibri" w:cs="Calibri"/>
        </w:rPr>
      </w:pPr>
      <w:r>
        <w:rPr>
          <w:rFonts w:ascii="Calibri" w:hAnsi="Calibri" w:cs="Calibri"/>
        </w:rPr>
        <w:t>-</w:t>
      </w:r>
      <w:r w:rsidR="004767DA" w:rsidRPr="002D7D15">
        <w:rPr>
          <w:rFonts w:ascii="Calibri" w:hAnsi="Calibri" w:cs="Calibri"/>
        </w:rPr>
        <w:t>dostarczenie materiałów i sprzętu,</w:t>
      </w:r>
    </w:p>
    <w:p w:rsidR="004767DA" w:rsidRPr="002D7D15" w:rsidRDefault="006C0559" w:rsidP="004767DA">
      <w:pPr>
        <w:rPr>
          <w:rFonts w:ascii="Calibri" w:hAnsi="Calibri" w:cs="Calibri"/>
        </w:rPr>
      </w:pPr>
      <w:r>
        <w:rPr>
          <w:rFonts w:ascii="Calibri" w:hAnsi="Calibri" w:cs="Calibri"/>
        </w:rPr>
        <w:t>-</w:t>
      </w:r>
      <w:r w:rsidR="004767DA" w:rsidRPr="002D7D15">
        <w:rPr>
          <w:rFonts w:ascii="Calibri" w:hAnsi="Calibri" w:cs="Calibri"/>
        </w:rPr>
        <w:t>wyniesienie i stabilizację punktów granicznych i świadków,</w:t>
      </w:r>
    </w:p>
    <w:p w:rsidR="004767DA" w:rsidRPr="002D7D15" w:rsidRDefault="006C0559" w:rsidP="004767DA">
      <w:pPr>
        <w:rPr>
          <w:rFonts w:ascii="Calibri" w:hAnsi="Calibri" w:cs="Calibri"/>
        </w:rPr>
      </w:pPr>
      <w:r>
        <w:rPr>
          <w:rFonts w:ascii="Calibri" w:hAnsi="Calibri" w:cs="Calibri"/>
        </w:rPr>
        <w:t>-</w:t>
      </w:r>
      <w:r w:rsidR="004767DA" w:rsidRPr="002D7D15">
        <w:rPr>
          <w:rFonts w:ascii="Calibri" w:hAnsi="Calibri" w:cs="Calibri"/>
        </w:rPr>
        <w:t>wykonanie innych czynności niezbędnych do realizacji robót,</w:t>
      </w:r>
    </w:p>
    <w:p w:rsidR="004767DA" w:rsidRPr="002D7D15" w:rsidRDefault="006C0559" w:rsidP="004767DA">
      <w:pPr>
        <w:rPr>
          <w:rFonts w:ascii="Calibri" w:hAnsi="Calibri" w:cs="Calibri"/>
        </w:rPr>
      </w:pPr>
      <w:r>
        <w:rPr>
          <w:rFonts w:ascii="Calibri" w:hAnsi="Calibri" w:cs="Calibri"/>
        </w:rPr>
        <w:t>-</w:t>
      </w:r>
      <w:r w:rsidR="004767DA" w:rsidRPr="002D7D15">
        <w:rPr>
          <w:rFonts w:ascii="Calibri" w:hAnsi="Calibri" w:cs="Calibri"/>
        </w:rPr>
        <w:t>wykonanie operatu i prac kameralnych,</w:t>
      </w:r>
    </w:p>
    <w:p w:rsidR="004767DA" w:rsidRPr="002D7D15" w:rsidRDefault="006C0559" w:rsidP="004767DA">
      <w:pPr>
        <w:rPr>
          <w:rFonts w:ascii="Calibri" w:hAnsi="Calibri" w:cs="Calibri"/>
        </w:rPr>
      </w:pPr>
      <w:r>
        <w:rPr>
          <w:rFonts w:ascii="Calibri" w:hAnsi="Calibri" w:cs="Calibri"/>
        </w:rPr>
        <w:t>-</w:t>
      </w:r>
      <w:r w:rsidR="004767DA" w:rsidRPr="002D7D15">
        <w:rPr>
          <w:rFonts w:ascii="Calibri" w:hAnsi="Calibri" w:cs="Calibri"/>
        </w:rPr>
        <w:t>pobranie niezbędnych materiałów ze składnicy ośrodka geodezji i kartografii,</w:t>
      </w:r>
    </w:p>
    <w:p w:rsidR="004767DA" w:rsidRPr="002D7D15" w:rsidRDefault="006C0559" w:rsidP="004767DA">
      <w:pPr>
        <w:rPr>
          <w:rFonts w:ascii="Calibri" w:hAnsi="Calibri" w:cs="Calibri"/>
        </w:rPr>
      </w:pPr>
      <w:r>
        <w:rPr>
          <w:rFonts w:ascii="Calibri" w:hAnsi="Calibri" w:cs="Calibri"/>
        </w:rPr>
        <w:t>-</w:t>
      </w:r>
      <w:r w:rsidR="004767DA" w:rsidRPr="002D7D15">
        <w:rPr>
          <w:rFonts w:ascii="Calibri" w:hAnsi="Calibri" w:cs="Calibri"/>
        </w:rPr>
        <w:t>przeprowadzenie wymaganych pomiarów i badań sprawdzających,</w:t>
      </w:r>
    </w:p>
    <w:p w:rsidR="004767DA" w:rsidRPr="002D7D15" w:rsidRDefault="006C0559" w:rsidP="004767DA">
      <w:pPr>
        <w:rPr>
          <w:rFonts w:ascii="Calibri" w:hAnsi="Calibri" w:cs="Calibri"/>
        </w:rPr>
      </w:pPr>
      <w:r>
        <w:rPr>
          <w:rFonts w:ascii="Calibri" w:hAnsi="Calibri" w:cs="Calibri"/>
        </w:rPr>
        <w:t>-</w:t>
      </w:r>
      <w:r w:rsidR="004767DA" w:rsidRPr="002D7D15">
        <w:rPr>
          <w:rFonts w:ascii="Calibri" w:hAnsi="Calibri" w:cs="Calibri"/>
        </w:rPr>
        <w:t>koszt wszelkich odszkodowań,</w:t>
      </w:r>
    </w:p>
    <w:p w:rsidR="004767DA" w:rsidRPr="002D7D15" w:rsidRDefault="006C0559" w:rsidP="004767DA">
      <w:pPr>
        <w:rPr>
          <w:rFonts w:ascii="Calibri" w:hAnsi="Calibri" w:cs="Calibri"/>
        </w:rPr>
      </w:pPr>
      <w:r>
        <w:rPr>
          <w:rFonts w:ascii="Calibri" w:hAnsi="Calibri" w:cs="Calibri"/>
        </w:rPr>
        <w:t>-</w:t>
      </w:r>
      <w:r w:rsidR="004767DA" w:rsidRPr="002D7D15">
        <w:rPr>
          <w:rFonts w:ascii="Calibri" w:hAnsi="Calibri" w:cs="Calibri"/>
        </w:rPr>
        <w:t>uporządkowanie terenu robót i jego otoczenia.</w:t>
      </w:r>
    </w:p>
    <w:p w:rsidR="004767DA" w:rsidRDefault="004767DA" w:rsidP="004767DA">
      <w:pPr>
        <w:rPr>
          <w:rFonts w:ascii="Calibri" w:hAnsi="Calibri" w:cs="Calibri"/>
        </w:rPr>
      </w:pPr>
      <w:r w:rsidRPr="002D7D15">
        <w:rPr>
          <w:rFonts w:ascii="Calibri" w:hAnsi="Calibri" w:cs="Calibri"/>
        </w:rPr>
        <w:t>Wszystkie roboty powinny być wykonane według wymagań warunków kontraktu</w:t>
      </w:r>
      <w:r w:rsidR="0040357F">
        <w:rPr>
          <w:rFonts w:ascii="Calibri" w:hAnsi="Calibri" w:cs="Calibri"/>
        </w:rPr>
        <w:t xml:space="preserve">, dokumentacji projektowej, </w:t>
      </w:r>
      <w:r w:rsidRPr="002D7D15">
        <w:rPr>
          <w:rFonts w:ascii="Calibri" w:hAnsi="Calibri" w:cs="Calibri"/>
        </w:rPr>
        <w:t>specyfikacji technicznej i postanowień Inżyniera.</w:t>
      </w:r>
    </w:p>
    <w:p w:rsidR="004767DA" w:rsidRPr="002D7D15" w:rsidRDefault="004767DA" w:rsidP="004767DA">
      <w:pPr>
        <w:rPr>
          <w:rFonts w:ascii="Calibri" w:hAnsi="Calibri" w:cs="Calibri"/>
        </w:rPr>
      </w:pPr>
    </w:p>
    <w:p w:rsidR="004767DA" w:rsidRPr="00FD53D3" w:rsidRDefault="004767DA" w:rsidP="004767DA">
      <w:pPr>
        <w:rPr>
          <w:rFonts w:ascii="Calibri" w:hAnsi="Calibri" w:cs="Calibri"/>
          <w:b/>
        </w:rPr>
      </w:pPr>
      <w:bookmarkStart w:id="253" w:name="_Toc322519152"/>
      <w:r w:rsidRPr="00FD53D3">
        <w:rPr>
          <w:rFonts w:ascii="Calibri" w:hAnsi="Calibri" w:cs="Calibri"/>
          <w:b/>
        </w:rPr>
        <w:t xml:space="preserve">10. </w:t>
      </w:r>
      <w:bookmarkEnd w:id="253"/>
      <w:r w:rsidRPr="00FD53D3">
        <w:rPr>
          <w:rFonts w:ascii="Calibri" w:hAnsi="Calibri" w:cs="Calibri"/>
          <w:b/>
        </w:rPr>
        <w:t>PRZEPISY ZWIĄZANE</w:t>
      </w:r>
    </w:p>
    <w:p w:rsidR="004767DA" w:rsidRPr="002D7D15" w:rsidRDefault="004767DA" w:rsidP="004767DA">
      <w:pPr>
        <w:rPr>
          <w:rFonts w:ascii="Calibri" w:hAnsi="Calibri" w:cs="Calibri"/>
        </w:rPr>
      </w:pPr>
      <w:r w:rsidRPr="00FD53D3">
        <w:rPr>
          <w:rFonts w:ascii="Calibri" w:hAnsi="Calibri" w:cs="Calibri"/>
          <w:b/>
        </w:rPr>
        <w:t>10.1.</w:t>
      </w:r>
      <w:r>
        <w:rPr>
          <w:rFonts w:ascii="Calibri" w:hAnsi="Calibri" w:cs="Calibri"/>
        </w:rPr>
        <w:t xml:space="preserve"> Specyfikacje techniczne (</w:t>
      </w:r>
      <w:r w:rsidRPr="002D7D15">
        <w:rPr>
          <w:rFonts w:ascii="Calibri" w:hAnsi="Calibri" w:cs="Calibri"/>
        </w:rPr>
        <w:t>ST)</w:t>
      </w:r>
    </w:p>
    <w:p w:rsidR="0040357F" w:rsidRDefault="004767DA" w:rsidP="004767DA">
      <w:pPr>
        <w:rPr>
          <w:rFonts w:ascii="Calibri" w:hAnsi="Calibri" w:cs="Calibri"/>
        </w:rPr>
      </w:pPr>
      <w:r w:rsidRPr="00FD53D3">
        <w:rPr>
          <w:rFonts w:ascii="Calibri" w:hAnsi="Calibri" w:cs="Calibri"/>
          <w:b/>
        </w:rPr>
        <w:t>10.2.</w:t>
      </w:r>
      <w:r w:rsidRPr="002D7D15">
        <w:rPr>
          <w:rFonts w:ascii="Calibri" w:hAnsi="Calibri" w:cs="Calibri"/>
        </w:rPr>
        <w:t xml:space="preserve"> </w:t>
      </w:r>
    </w:p>
    <w:p w:rsidR="004767DA" w:rsidRDefault="0040357F" w:rsidP="004767DA">
      <w:pPr>
        <w:rPr>
          <w:rFonts w:ascii="Calibri" w:hAnsi="Calibri" w:cs="Calibri"/>
        </w:rPr>
      </w:pPr>
      <w:r>
        <w:rPr>
          <w:rFonts w:ascii="Calibri" w:hAnsi="Calibri" w:cs="Calibri"/>
        </w:rPr>
        <w:t xml:space="preserve">1. </w:t>
      </w:r>
      <w:r w:rsidR="004767DA" w:rsidRPr="002D7D15">
        <w:rPr>
          <w:rFonts w:ascii="Calibri" w:hAnsi="Calibri" w:cs="Calibri"/>
        </w:rPr>
        <w:t>Instrukcje techniczne i wytyczne techniczne byłego Głównego Urzędu Geodezji i Kartografii lub Głównego Geodety Kraju</w:t>
      </w:r>
      <w:r>
        <w:rPr>
          <w:rFonts w:ascii="Calibri" w:hAnsi="Calibri" w:cs="Calibri"/>
        </w:rPr>
        <w:t>.</w:t>
      </w:r>
    </w:p>
    <w:p w:rsidR="004767DA" w:rsidRDefault="004767DA" w:rsidP="004767DA">
      <w:pPr>
        <w:rPr>
          <w:rFonts w:ascii="Calibri" w:hAnsi="Calibri" w:cs="Calibri"/>
        </w:rPr>
      </w:pPr>
      <w:r w:rsidRPr="002D7D15">
        <w:rPr>
          <w:rFonts w:ascii="Calibri" w:hAnsi="Calibri" w:cs="Calibri"/>
        </w:rPr>
        <w:t>Instrukcje techniczne:</w:t>
      </w:r>
    </w:p>
    <w:tbl>
      <w:tblPr>
        <w:tblW w:w="0" w:type="auto"/>
        <w:tblInd w:w="108" w:type="dxa"/>
        <w:tblLook w:val="01E0"/>
      </w:tblPr>
      <w:tblGrid>
        <w:gridCol w:w="392"/>
        <w:gridCol w:w="583"/>
        <w:gridCol w:w="6504"/>
      </w:tblGrid>
      <w:tr w:rsidR="004767DA" w:rsidRPr="00301193" w:rsidTr="0040357F">
        <w:tc>
          <w:tcPr>
            <w:tcW w:w="392" w:type="dxa"/>
          </w:tcPr>
          <w:p w:rsidR="004767DA" w:rsidRPr="00301193" w:rsidRDefault="004767DA" w:rsidP="004767DA">
            <w:pPr>
              <w:rPr>
                <w:rFonts w:asciiTheme="minorHAnsi" w:hAnsiTheme="minorHAnsi"/>
              </w:rPr>
            </w:pPr>
            <w:r w:rsidRPr="00301193">
              <w:rPr>
                <w:rFonts w:asciiTheme="minorHAnsi" w:hAnsiTheme="minorHAnsi"/>
              </w:rPr>
              <w:t>2.</w:t>
            </w:r>
          </w:p>
        </w:tc>
        <w:tc>
          <w:tcPr>
            <w:tcW w:w="583" w:type="dxa"/>
          </w:tcPr>
          <w:p w:rsidR="004767DA" w:rsidRPr="00301193" w:rsidRDefault="004767DA" w:rsidP="004767DA">
            <w:pPr>
              <w:rPr>
                <w:rFonts w:asciiTheme="minorHAnsi" w:hAnsiTheme="minorHAnsi"/>
              </w:rPr>
            </w:pPr>
            <w:r w:rsidRPr="00301193">
              <w:rPr>
                <w:rFonts w:asciiTheme="minorHAnsi" w:hAnsiTheme="minorHAnsi"/>
              </w:rPr>
              <w:t>0-1</w:t>
            </w:r>
          </w:p>
        </w:tc>
        <w:tc>
          <w:tcPr>
            <w:tcW w:w="6504" w:type="dxa"/>
          </w:tcPr>
          <w:p w:rsidR="004767DA" w:rsidRPr="00301193" w:rsidRDefault="004767DA" w:rsidP="004767DA">
            <w:pPr>
              <w:rPr>
                <w:rFonts w:asciiTheme="minorHAnsi" w:hAnsiTheme="minorHAnsi"/>
              </w:rPr>
            </w:pPr>
            <w:r w:rsidRPr="00301193">
              <w:rPr>
                <w:rFonts w:asciiTheme="minorHAnsi" w:hAnsiTheme="minorHAnsi"/>
              </w:rPr>
              <w:t>Ogólne zasady wykonywania prac geodezyjnych</w:t>
            </w:r>
          </w:p>
        </w:tc>
      </w:tr>
      <w:tr w:rsidR="004767DA" w:rsidRPr="00301193" w:rsidTr="0040357F">
        <w:tc>
          <w:tcPr>
            <w:tcW w:w="392" w:type="dxa"/>
          </w:tcPr>
          <w:p w:rsidR="004767DA" w:rsidRPr="00301193" w:rsidRDefault="004767DA" w:rsidP="004767DA">
            <w:pPr>
              <w:rPr>
                <w:rFonts w:asciiTheme="minorHAnsi" w:hAnsiTheme="minorHAnsi"/>
              </w:rPr>
            </w:pPr>
            <w:r w:rsidRPr="00301193">
              <w:rPr>
                <w:rFonts w:asciiTheme="minorHAnsi" w:hAnsiTheme="minorHAnsi"/>
              </w:rPr>
              <w:t>3.</w:t>
            </w:r>
          </w:p>
        </w:tc>
        <w:tc>
          <w:tcPr>
            <w:tcW w:w="583" w:type="dxa"/>
          </w:tcPr>
          <w:p w:rsidR="004767DA" w:rsidRPr="00301193" w:rsidRDefault="004767DA" w:rsidP="004767DA">
            <w:pPr>
              <w:rPr>
                <w:rFonts w:asciiTheme="minorHAnsi" w:hAnsiTheme="minorHAnsi"/>
              </w:rPr>
            </w:pPr>
            <w:r w:rsidRPr="00301193">
              <w:rPr>
                <w:rFonts w:asciiTheme="minorHAnsi" w:hAnsiTheme="minorHAnsi"/>
              </w:rPr>
              <w:t>0-3</w:t>
            </w:r>
          </w:p>
        </w:tc>
        <w:tc>
          <w:tcPr>
            <w:tcW w:w="6504" w:type="dxa"/>
          </w:tcPr>
          <w:p w:rsidR="004767DA" w:rsidRPr="00301193" w:rsidRDefault="004767DA" w:rsidP="004767DA">
            <w:pPr>
              <w:rPr>
                <w:rFonts w:asciiTheme="minorHAnsi" w:hAnsiTheme="minorHAnsi"/>
              </w:rPr>
            </w:pPr>
            <w:r w:rsidRPr="00301193">
              <w:rPr>
                <w:rFonts w:asciiTheme="minorHAnsi" w:hAnsiTheme="minorHAnsi"/>
              </w:rPr>
              <w:t>Zasady kompletowania dokumentacji geodezyjnej i kartograficznej</w:t>
            </w:r>
          </w:p>
        </w:tc>
      </w:tr>
      <w:tr w:rsidR="004767DA" w:rsidRPr="00301193" w:rsidTr="0040357F">
        <w:tc>
          <w:tcPr>
            <w:tcW w:w="392" w:type="dxa"/>
          </w:tcPr>
          <w:p w:rsidR="004767DA" w:rsidRPr="00301193" w:rsidRDefault="004767DA" w:rsidP="004767DA">
            <w:pPr>
              <w:rPr>
                <w:rFonts w:asciiTheme="minorHAnsi" w:hAnsiTheme="minorHAnsi"/>
              </w:rPr>
            </w:pPr>
            <w:r w:rsidRPr="00301193">
              <w:rPr>
                <w:rFonts w:asciiTheme="minorHAnsi" w:hAnsiTheme="minorHAnsi"/>
              </w:rPr>
              <w:t>4.</w:t>
            </w:r>
          </w:p>
        </w:tc>
        <w:tc>
          <w:tcPr>
            <w:tcW w:w="583" w:type="dxa"/>
          </w:tcPr>
          <w:p w:rsidR="004767DA" w:rsidRPr="00301193" w:rsidRDefault="004767DA" w:rsidP="004767DA">
            <w:pPr>
              <w:rPr>
                <w:rFonts w:asciiTheme="minorHAnsi" w:hAnsiTheme="minorHAnsi"/>
              </w:rPr>
            </w:pPr>
            <w:r w:rsidRPr="00301193">
              <w:rPr>
                <w:rFonts w:asciiTheme="minorHAnsi" w:hAnsiTheme="minorHAnsi"/>
              </w:rPr>
              <w:t>G-1</w:t>
            </w:r>
          </w:p>
        </w:tc>
        <w:tc>
          <w:tcPr>
            <w:tcW w:w="6504" w:type="dxa"/>
          </w:tcPr>
          <w:p w:rsidR="004767DA" w:rsidRPr="00301193" w:rsidRDefault="004767DA" w:rsidP="004767DA">
            <w:pPr>
              <w:rPr>
                <w:rFonts w:asciiTheme="minorHAnsi" w:hAnsiTheme="minorHAnsi"/>
              </w:rPr>
            </w:pPr>
            <w:r w:rsidRPr="00301193">
              <w:rPr>
                <w:rFonts w:asciiTheme="minorHAnsi" w:hAnsiTheme="minorHAnsi"/>
              </w:rPr>
              <w:t>Geodezyjna osnowa pozioma</w:t>
            </w:r>
          </w:p>
        </w:tc>
      </w:tr>
      <w:tr w:rsidR="004767DA" w:rsidRPr="00301193" w:rsidTr="0040357F">
        <w:tc>
          <w:tcPr>
            <w:tcW w:w="392" w:type="dxa"/>
          </w:tcPr>
          <w:p w:rsidR="004767DA" w:rsidRPr="00301193" w:rsidRDefault="004767DA" w:rsidP="004767DA">
            <w:pPr>
              <w:rPr>
                <w:rFonts w:asciiTheme="minorHAnsi" w:hAnsiTheme="minorHAnsi"/>
              </w:rPr>
            </w:pPr>
            <w:r w:rsidRPr="00301193">
              <w:rPr>
                <w:rFonts w:asciiTheme="minorHAnsi" w:hAnsiTheme="minorHAnsi"/>
              </w:rPr>
              <w:t>5.</w:t>
            </w:r>
          </w:p>
        </w:tc>
        <w:tc>
          <w:tcPr>
            <w:tcW w:w="583" w:type="dxa"/>
          </w:tcPr>
          <w:p w:rsidR="004767DA" w:rsidRPr="00301193" w:rsidRDefault="004767DA" w:rsidP="004767DA">
            <w:pPr>
              <w:rPr>
                <w:rFonts w:asciiTheme="minorHAnsi" w:hAnsiTheme="minorHAnsi"/>
              </w:rPr>
            </w:pPr>
            <w:r w:rsidRPr="00301193">
              <w:rPr>
                <w:rFonts w:asciiTheme="minorHAnsi" w:hAnsiTheme="minorHAnsi"/>
              </w:rPr>
              <w:t>G-4</w:t>
            </w:r>
          </w:p>
        </w:tc>
        <w:tc>
          <w:tcPr>
            <w:tcW w:w="6504" w:type="dxa"/>
          </w:tcPr>
          <w:p w:rsidR="004767DA" w:rsidRPr="00301193" w:rsidRDefault="004767DA" w:rsidP="004767DA">
            <w:pPr>
              <w:rPr>
                <w:rFonts w:asciiTheme="minorHAnsi" w:hAnsiTheme="minorHAnsi"/>
              </w:rPr>
            </w:pPr>
            <w:r w:rsidRPr="00301193">
              <w:rPr>
                <w:rFonts w:asciiTheme="minorHAnsi" w:hAnsiTheme="minorHAnsi"/>
              </w:rPr>
              <w:t>Pomiary sytuacyjne i wysokościowe</w:t>
            </w:r>
          </w:p>
        </w:tc>
      </w:tr>
      <w:tr w:rsidR="004767DA" w:rsidRPr="00301193" w:rsidTr="0040357F">
        <w:tc>
          <w:tcPr>
            <w:tcW w:w="392" w:type="dxa"/>
          </w:tcPr>
          <w:p w:rsidR="004767DA" w:rsidRPr="00301193" w:rsidRDefault="004767DA" w:rsidP="004767DA">
            <w:pPr>
              <w:rPr>
                <w:rFonts w:asciiTheme="minorHAnsi" w:hAnsiTheme="minorHAnsi"/>
              </w:rPr>
            </w:pPr>
            <w:r w:rsidRPr="00301193">
              <w:rPr>
                <w:rFonts w:asciiTheme="minorHAnsi" w:hAnsiTheme="minorHAnsi"/>
              </w:rPr>
              <w:t>6.</w:t>
            </w:r>
          </w:p>
        </w:tc>
        <w:tc>
          <w:tcPr>
            <w:tcW w:w="583" w:type="dxa"/>
          </w:tcPr>
          <w:p w:rsidR="004767DA" w:rsidRPr="00301193" w:rsidRDefault="004767DA" w:rsidP="004767DA">
            <w:pPr>
              <w:rPr>
                <w:rFonts w:asciiTheme="minorHAnsi" w:hAnsiTheme="minorHAnsi"/>
              </w:rPr>
            </w:pPr>
            <w:r w:rsidRPr="00301193">
              <w:rPr>
                <w:rFonts w:asciiTheme="minorHAnsi" w:hAnsiTheme="minorHAnsi"/>
              </w:rPr>
              <w:t>K-1</w:t>
            </w:r>
          </w:p>
        </w:tc>
        <w:tc>
          <w:tcPr>
            <w:tcW w:w="6504" w:type="dxa"/>
          </w:tcPr>
          <w:p w:rsidR="004767DA" w:rsidRPr="00301193" w:rsidRDefault="004767DA" w:rsidP="004767DA">
            <w:pPr>
              <w:rPr>
                <w:rFonts w:asciiTheme="minorHAnsi" w:hAnsiTheme="minorHAnsi"/>
              </w:rPr>
            </w:pPr>
            <w:r w:rsidRPr="00301193">
              <w:rPr>
                <w:rFonts w:asciiTheme="minorHAnsi" w:hAnsiTheme="minorHAnsi"/>
              </w:rPr>
              <w:t>Mapa zasadnicza</w:t>
            </w:r>
          </w:p>
        </w:tc>
      </w:tr>
    </w:tbl>
    <w:p w:rsidR="004767DA" w:rsidRPr="002D7D15" w:rsidRDefault="004767DA" w:rsidP="004767DA">
      <w:pPr>
        <w:rPr>
          <w:rFonts w:ascii="Calibri" w:hAnsi="Calibri" w:cs="Calibri"/>
        </w:rPr>
      </w:pPr>
      <w:r w:rsidRPr="002D7D15">
        <w:rPr>
          <w:rFonts w:ascii="Calibri" w:hAnsi="Calibri" w:cs="Calibri"/>
        </w:rPr>
        <w:t>Wytyczne techniczne</w:t>
      </w:r>
      <w:r>
        <w:rPr>
          <w:rFonts w:ascii="Calibri" w:hAnsi="Calibri" w:cs="Calibri"/>
        </w:rPr>
        <w:t>:</w:t>
      </w:r>
    </w:p>
    <w:tbl>
      <w:tblPr>
        <w:tblW w:w="0" w:type="auto"/>
        <w:tblInd w:w="108" w:type="dxa"/>
        <w:tblLook w:val="01E0"/>
      </w:tblPr>
      <w:tblGrid>
        <w:gridCol w:w="392"/>
        <w:gridCol w:w="709"/>
        <w:gridCol w:w="6410"/>
      </w:tblGrid>
      <w:tr w:rsidR="004767DA" w:rsidTr="0040357F">
        <w:tc>
          <w:tcPr>
            <w:tcW w:w="392" w:type="dxa"/>
          </w:tcPr>
          <w:p w:rsidR="004767DA" w:rsidRDefault="004767DA" w:rsidP="004767DA">
            <w:r>
              <w:t>7.</w:t>
            </w:r>
          </w:p>
        </w:tc>
        <w:tc>
          <w:tcPr>
            <w:tcW w:w="709" w:type="dxa"/>
          </w:tcPr>
          <w:p w:rsidR="004767DA" w:rsidRDefault="004767DA" w:rsidP="004767DA">
            <w:r>
              <w:t>G-1.9</w:t>
            </w:r>
          </w:p>
        </w:tc>
        <w:tc>
          <w:tcPr>
            <w:tcW w:w="6410" w:type="dxa"/>
          </w:tcPr>
          <w:p w:rsidR="004767DA" w:rsidRDefault="004767DA" w:rsidP="004767DA">
            <w:r>
              <w:t>Katalog znaków geodezyjnych oraz zasady stabilizacji punktów</w:t>
            </w:r>
          </w:p>
        </w:tc>
      </w:tr>
      <w:tr w:rsidR="004767DA" w:rsidTr="0040357F">
        <w:tc>
          <w:tcPr>
            <w:tcW w:w="392" w:type="dxa"/>
          </w:tcPr>
          <w:p w:rsidR="004767DA" w:rsidRDefault="004767DA" w:rsidP="004767DA">
            <w:r>
              <w:t>8.</w:t>
            </w:r>
          </w:p>
        </w:tc>
        <w:tc>
          <w:tcPr>
            <w:tcW w:w="709" w:type="dxa"/>
          </w:tcPr>
          <w:p w:rsidR="004767DA" w:rsidRDefault="004767DA" w:rsidP="004767DA">
            <w:r>
              <w:t>G-1.5</w:t>
            </w:r>
          </w:p>
        </w:tc>
        <w:tc>
          <w:tcPr>
            <w:tcW w:w="6410" w:type="dxa"/>
          </w:tcPr>
          <w:p w:rsidR="004767DA" w:rsidRDefault="004767DA" w:rsidP="004767DA">
            <w:r>
              <w:t>Szczegółowa osnowa pozioma, projektowanie, pomiar i opracowanie wyników</w:t>
            </w:r>
          </w:p>
        </w:tc>
      </w:tr>
      <w:tr w:rsidR="004767DA" w:rsidTr="0040357F">
        <w:tc>
          <w:tcPr>
            <w:tcW w:w="392" w:type="dxa"/>
          </w:tcPr>
          <w:p w:rsidR="004767DA" w:rsidRDefault="004767DA" w:rsidP="004767DA">
            <w:r>
              <w:t>9.</w:t>
            </w:r>
          </w:p>
        </w:tc>
        <w:tc>
          <w:tcPr>
            <w:tcW w:w="709" w:type="dxa"/>
          </w:tcPr>
          <w:p w:rsidR="004767DA" w:rsidRDefault="004767DA" w:rsidP="004767DA">
            <w:r>
              <w:t>K-1.2</w:t>
            </w:r>
          </w:p>
        </w:tc>
        <w:tc>
          <w:tcPr>
            <w:tcW w:w="6410" w:type="dxa"/>
          </w:tcPr>
          <w:p w:rsidR="004767DA" w:rsidRDefault="004767DA" w:rsidP="004767DA">
            <w:r>
              <w:t>Mapa zasadnicza. Aktualizacja i modernizacja</w:t>
            </w:r>
          </w:p>
        </w:tc>
      </w:tr>
    </w:tbl>
    <w:p w:rsidR="004767DA" w:rsidRPr="002D7D15" w:rsidRDefault="004767DA" w:rsidP="004767DA">
      <w:pPr>
        <w:rPr>
          <w:rFonts w:ascii="Calibri" w:hAnsi="Calibri" w:cs="Calibri"/>
        </w:rPr>
      </w:pPr>
      <w:r w:rsidRPr="00FD53D3">
        <w:rPr>
          <w:rFonts w:ascii="Calibri" w:hAnsi="Calibri" w:cs="Calibri"/>
          <w:b/>
        </w:rPr>
        <w:lastRenderedPageBreak/>
        <w:t>10.3.</w:t>
      </w:r>
      <w:r w:rsidRPr="002D7D15">
        <w:rPr>
          <w:rFonts w:ascii="Calibri" w:hAnsi="Calibri" w:cs="Calibri"/>
        </w:rPr>
        <w:t xml:space="preserve"> Inne dokumenty</w:t>
      </w:r>
    </w:p>
    <w:p w:rsidR="004767DA" w:rsidRPr="002D7D15" w:rsidRDefault="004767DA" w:rsidP="004767DA">
      <w:pPr>
        <w:rPr>
          <w:rFonts w:ascii="Calibri" w:hAnsi="Calibri" w:cs="Calibri"/>
        </w:rPr>
      </w:pPr>
      <w:r w:rsidRPr="002D7D15">
        <w:rPr>
          <w:rFonts w:ascii="Calibri" w:hAnsi="Calibri" w:cs="Calibri"/>
        </w:rPr>
        <w:t>10.</w:t>
      </w:r>
      <w:r w:rsidRPr="002D7D15">
        <w:rPr>
          <w:rFonts w:ascii="Calibri" w:hAnsi="Calibri" w:cs="Calibri"/>
        </w:rPr>
        <w:tab/>
        <w:t>Ustawa z dnia 17 maja 1989 r. Prawo geodezyjne i kartograficzne. Tekst jednolity – Dz.U. nr 240 z dnia 24 listopada 2005 r., poz. 2026 i 2027 z późniejszymi zmianami</w:t>
      </w:r>
    </w:p>
    <w:p w:rsidR="004767DA" w:rsidRPr="002D7D15" w:rsidRDefault="004767DA" w:rsidP="004767DA">
      <w:pPr>
        <w:rPr>
          <w:rFonts w:ascii="Calibri" w:hAnsi="Calibri" w:cs="Calibri"/>
        </w:rPr>
      </w:pPr>
    </w:p>
    <w:p w:rsidR="004767DA" w:rsidRPr="00FD53D3" w:rsidRDefault="004767DA" w:rsidP="004767DA">
      <w:pPr>
        <w:rPr>
          <w:rFonts w:ascii="Calibri" w:hAnsi="Calibri" w:cs="Calibri"/>
          <w:b/>
        </w:rPr>
      </w:pPr>
      <w:bookmarkStart w:id="254" w:name="_Toc322519153"/>
      <w:r w:rsidRPr="00FD53D3">
        <w:rPr>
          <w:rFonts w:ascii="Calibri" w:hAnsi="Calibri" w:cs="Calibri"/>
          <w:b/>
        </w:rPr>
        <w:t>11. ZAŁĄCZNIK</w:t>
      </w:r>
      <w:bookmarkEnd w:id="254"/>
    </w:p>
    <w:p w:rsidR="004767DA" w:rsidRPr="002D7D15" w:rsidRDefault="004767DA" w:rsidP="004767DA">
      <w:pPr>
        <w:rPr>
          <w:rFonts w:ascii="Calibri" w:hAnsi="Calibri" w:cs="Calibri"/>
        </w:rPr>
      </w:pPr>
      <w:r w:rsidRPr="002D7D15">
        <w:rPr>
          <w:rFonts w:ascii="Calibri" w:hAnsi="Calibri" w:cs="Calibri"/>
        </w:rPr>
        <w:t>PRZYKŁADY  SŁUPKÓW  DO  UTRWALENIA  GRANIC  PASA  DROGOWEGO</w:t>
      </w:r>
    </w:p>
    <w:p w:rsidR="004767DA" w:rsidRPr="002D7D15" w:rsidRDefault="004767DA" w:rsidP="004767DA">
      <w:pPr>
        <w:rPr>
          <w:rFonts w:ascii="Calibri" w:hAnsi="Calibri" w:cs="Calibri"/>
        </w:rPr>
      </w:pPr>
    </w:p>
    <w:p w:rsidR="004767DA" w:rsidRDefault="004767DA" w:rsidP="004767DA">
      <w:pPr>
        <w:rPr>
          <w:rFonts w:ascii="Calibri" w:hAnsi="Calibri" w:cs="Calibri"/>
        </w:rPr>
      </w:pPr>
      <w:r w:rsidRPr="002D7D15">
        <w:rPr>
          <w:rFonts w:ascii="Calibri" w:hAnsi="Calibri" w:cs="Calibri"/>
        </w:rPr>
        <w:t>Rys. 1. Znak graniczny</w:t>
      </w:r>
    </w:p>
    <w:p w:rsidR="004767DA" w:rsidRPr="002D7D15" w:rsidRDefault="004767DA" w:rsidP="004767DA">
      <w:pPr>
        <w:rPr>
          <w:rFonts w:ascii="Calibri" w:hAnsi="Calibri" w:cs="Calibri"/>
        </w:rPr>
      </w:pPr>
    </w:p>
    <w:tbl>
      <w:tblPr>
        <w:tblW w:w="0" w:type="auto"/>
        <w:tblLook w:val="01E0"/>
      </w:tblPr>
      <w:tblGrid>
        <w:gridCol w:w="3510"/>
        <w:gridCol w:w="4001"/>
      </w:tblGrid>
      <w:tr w:rsidR="004767DA" w:rsidRPr="002D7D15" w:rsidTr="00FD47C7">
        <w:tc>
          <w:tcPr>
            <w:tcW w:w="3510" w:type="dxa"/>
          </w:tcPr>
          <w:p w:rsidR="004767DA" w:rsidRPr="002D7D15" w:rsidRDefault="004767DA" w:rsidP="004767DA">
            <w:r>
              <w:rPr>
                <w:noProof/>
              </w:rPr>
              <w:drawing>
                <wp:inline distT="0" distB="0" distL="0" distR="0">
                  <wp:extent cx="2038350" cy="1143000"/>
                  <wp:effectExtent l="19050" t="0" r="0" b="0"/>
                  <wp:docPr id="1" name="Obraz 1" descr="rys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rys1"/>
                          <pic:cNvPicPr>
                            <a:picLocks noChangeAspect="1" noChangeArrowheads="1"/>
                          </pic:cNvPicPr>
                        </pic:nvPicPr>
                        <pic:blipFill>
                          <a:blip r:embed="rId8" cstate="print"/>
                          <a:srcRect/>
                          <a:stretch>
                            <a:fillRect/>
                          </a:stretch>
                        </pic:blipFill>
                        <pic:spPr bwMode="auto">
                          <a:xfrm>
                            <a:off x="0" y="0"/>
                            <a:ext cx="2038350" cy="1143000"/>
                          </a:xfrm>
                          <a:prstGeom prst="rect">
                            <a:avLst/>
                          </a:prstGeom>
                          <a:noFill/>
                          <a:ln w="9525">
                            <a:noFill/>
                            <a:miter lim="800000"/>
                            <a:headEnd/>
                            <a:tailEnd/>
                          </a:ln>
                        </pic:spPr>
                      </pic:pic>
                    </a:graphicData>
                  </a:graphic>
                </wp:inline>
              </w:drawing>
            </w:r>
          </w:p>
        </w:tc>
        <w:tc>
          <w:tcPr>
            <w:tcW w:w="4001" w:type="dxa"/>
          </w:tcPr>
          <w:p w:rsidR="004767DA" w:rsidRPr="002D7D15" w:rsidRDefault="004767DA" w:rsidP="004767DA"/>
          <w:p w:rsidR="004767DA" w:rsidRPr="002D7D15" w:rsidRDefault="004767DA" w:rsidP="004767DA">
            <w:pPr>
              <w:rPr>
                <w:rFonts w:ascii="Calibri" w:hAnsi="Calibri" w:cs="Calibri"/>
              </w:rPr>
            </w:pPr>
            <w:r w:rsidRPr="002D7D15">
              <w:rPr>
                <w:rFonts w:ascii="Calibri" w:hAnsi="Calibri" w:cs="Calibri"/>
              </w:rPr>
              <w:t>W niektórych przypadkach pod znakiem granicznym umieszcza się butelkę szklaną, cegłę z naciętym krzyżem, rurkę drenarską itp. w celu potwierdzenia lokalizacji pierwotnego miejsca znaku</w:t>
            </w:r>
          </w:p>
          <w:p w:rsidR="004767DA" w:rsidRPr="002D7D15" w:rsidRDefault="004767DA" w:rsidP="004767DA"/>
        </w:tc>
      </w:tr>
    </w:tbl>
    <w:p w:rsidR="004767DA" w:rsidRDefault="004767DA" w:rsidP="004767DA">
      <w:pPr>
        <w:rPr>
          <w:rFonts w:ascii="Calibri" w:hAnsi="Calibri" w:cs="Calibri"/>
        </w:rPr>
      </w:pPr>
    </w:p>
    <w:p w:rsidR="004767DA" w:rsidRPr="00C3632E" w:rsidRDefault="004767DA" w:rsidP="004767DA">
      <w:pPr>
        <w:rPr>
          <w:rFonts w:ascii="Calibri" w:hAnsi="Calibri" w:cs="Calibri"/>
        </w:rPr>
      </w:pPr>
    </w:p>
    <w:p w:rsidR="004767DA" w:rsidRPr="00C3632E" w:rsidRDefault="004767DA" w:rsidP="004767DA">
      <w:pPr>
        <w:rPr>
          <w:rFonts w:ascii="Calibri" w:hAnsi="Calibri" w:cs="Calibri"/>
        </w:rPr>
      </w:pPr>
    </w:p>
    <w:p w:rsidR="004767DA" w:rsidRPr="002D7D15" w:rsidRDefault="004767DA" w:rsidP="004767DA">
      <w:pPr>
        <w:rPr>
          <w:rFonts w:ascii="Calibri" w:hAnsi="Calibri" w:cs="Calibri"/>
        </w:rPr>
      </w:pPr>
      <w:r w:rsidRPr="002D7D15">
        <w:rPr>
          <w:rFonts w:ascii="Calibri" w:hAnsi="Calibri" w:cs="Calibri"/>
        </w:rPr>
        <w:t>Rys. 2. Świadek punktu granicznego</w:t>
      </w:r>
    </w:p>
    <w:tbl>
      <w:tblPr>
        <w:tblW w:w="0" w:type="auto"/>
        <w:tblLook w:val="01E0"/>
      </w:tblPr>
      <w:tblGrid>
        <w:gridCol w:w="3221"/>
        <w:gridCol w:w="1990"/>
      </w:tblGrid>
      <w:tr w:rsidR="004767DA" w:rsidRPr="002D7D15" w:rsidTr="00FD47C7">
        <w:tc>
          <w:tcPr>
            <w:tcW w:w="3221" w:type="dxa"/>
          </w:tcPr>
          <w:p w:rsidR="004767DA" w:rsidRPr="002D7D15" w:rsidRDefault="004767DA" w:rsidP="004767DA"/>
          <w:p w:rsidR="004767DA" w:rsidRPr="002D7D15" w:rsidRDefault="004767DA" w:rsidP="004767DA"/>
          <w:p w:rsidR="004767DA" w:rsidRPr="002D7D15" w:rsidRDefault="004767DA" w:rsidP="004767DA">
            <w:pPr>
              <w:rPr>
                <w:rFonts w:ascii="Calibri" w:hAnsi="Calibri" w:cs="Calibri"/>
              </w:rPr>
            </w:pPr>
            <w:r w:rsidRPr="002D7D15">
              <w:rPr>
                <w:rFonts w:ascii="Calibri" w:hAnsi="Calibri" w:cs="Calibri"/>
              </w:rPr>
              <w:t>Część nadziemna jest barwy żółtej z wytłoczonym czarnym napisem „PAS  DROGOWY”</w:t>
            </w:r>
          </w:p>
          <w:p w:rsidR="004767DA" w:rsidRPr="002D7D15" w:rsidRDefault="004767DA" w:rsidP="004767DA">
            <w:pPr>
              <w:rPr>
                <w:rFonts w:ascii="Calibri" w:hAnsi="Calibri" w:cs="Calibri"/>
              </w:rPr>
            </w:pPr>
          </w:p>
          <w:p w:rsidR="004767DA" w:rsidRPr="002D7D15" w:rsidRDefault="004767DA" w:rsidP="004767DA">
            <w:pPr>
              <w:rPr>
                <w:rFonts w:ascii="Calibri" w:hAnsi="Calibri" w:cs="Calibri"/>
              </w:rPr>
            </w:pPr>
          </w:p>
          <w:p w:rsidR="004767DA" w:rsidRPr="002D7D15" w:rsidRDefault="004767DA" w:rsidP="004767DA">
            <w:pPr>
              <w:rPr>
                <w:rFonts w:ascii="Calibri" w:hAnsi="Calibri" w:cs="Calibri"/>
              </w:rPr>
            </w:pPr>
          </w:p>
          <w:p w:rsidR="004767DA" w:rsidRPr="002D7D15" w:rsidRDefault="004767DA" w:rsidP="004767DA">
            <w:pPr>
              <w:rPr>
                <w:rFonts w:ascii="Calibri" w:hAnsi="Calibri" w:cs="Calibri"/>
              </w:rPr>
            </w:pPr>
          </w:p>
          <w:p w:rsidR="004767DA" w:rsidRPr="002D7D15" w:rsidRDefault="004767DA" w:rsidP="004767DA">
            <w:pPr>
              <w:rPr>
                <w:rFonts w:ascii="Calibri" w:hAnsi="Calibri" w:cs="Calibri"/>
              </w:rPr>
            </w:pPr>
            <w:r w:rsidRPr="002D7D15">
              <w:rPr>
                <w:rFonts w:ascii="Calibri" w:hAnsi="Calibri" w:cs="Calibri"/>
              </w:rPr>
              <w:t>Część podziemna świadka, osadzana w gruncie, zabezpieczona jest lepikiem</w:t>
            </w:r>
          </w:p>
          <w:p w:rsidR="004767DA" w:rsidRPr="002D7D15" w:rsidRDefault="004767DA" w:rsidP="004767DA"/>
        </w:tc>
        <w:tc>
          <w:tcPr>
            <w:tcW w:w="1990" w:type="dxa"/>
          </w:tcPr>
          <w:p w:rsidR="004767DA" w:rsidRPr="002D7D15" w:rsidRDefault="004767DA" w:rsidP="004767DA">
            <w:r>
              <w:rPr>
                <w:noProof/>
              </w:rPr>
              <w:drawing>
                <wp:inline distT="0" distB="0" distL="0" distR="0">
                  <wp:extent cx="971550" cy="2181225"/>
                  <wp:effectExtent l="19050" t="0" r="0" b="0"/>
                  <wp:docPr id="2" name="Obraz 2" descr="rys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rys2"/>
                          <pic:cNvPicPr>
                            <a:picLocks noChangeAspect="1" noChangeArrowheads="1"/>
                          </pic:cNvPicPr>
                        </pic:nvPicPr>
                        <pic:blipFill>
                          <a:blip r:embed="rId9" cstate="print"/>
                          <a:srcRect/>
                          <a:stretch>
                            <a:fillRect/>
                          </a:stretch>
                        </pic:blipFill>
                        <pic:spPr bwMode="auto">
                          <a:xfrm>
                            <a:off x="0" y="0"/>
                            <a:ext cx="971550" cy="2181225"/>
                          </a:xfrm>
                          <a:prstGeom prst="rect">
                            <a:avLst/>
                          </a:prstGeom>
                          <a:noFill/>
                          <a:ln w="9525">
                            <a:noFill/>
                            <a:miter lim="800000"/>
                            <a:headEnd/>
                            <a:tailEnd/>
                          </a:ln>
                        </pic:spPr>
                      </pic:pic>
                    </a:graphicData>
                  </a:graphic>
                </wp:inline>
              </w:drawing>
            </w:r>
          </w:p>
        </w:tc>
      </w:tr>
    </w:tbl>
    <w:p w:rsidR="004767DA" w:rsidRPr="00C3632E" w:rsidRDefault="004767DA" w:rsidP="004767DA">
      <w:pPr>
        <w:rPr>
          <w:rFonts w:ascii="Calibri" w:hAnsi="Calibri" w:cs="Calibri"/>
        </w:rPr>
      </w:pPr>
    </w:p>
    <w:p w:rsidR="004767DA" w:rsidRPr="00C3632E" w:rsidRDefault="004767DA" w:rsidP="004767DA">
      <w:pPr>
        <w:rPr>
          <w:rFonts w:ascii="Calibri" w:hAnsi="Calibri" w:cs="Calibri"/>
        </w:rPr>
      </w:pPr>
    </w:p>
    <w:p w:rsidR="004767DA" w:rsidRPr="00C3632E" w:rsidRDefault="004767DA" w:rsidP="004767DA">
      <w:pPr>
        <w:rPr>
          <w:rFonts w:ascii="Calibri" w:hAnsi="Calibri" w:cs="Calibri"/>
        </w:rPr>
      </w:pPr>
    </w:p>
    <w:p w:rsidR="004767DA" w:rsidRPr="00C3632E" w:rsidRDefault="004767DA" w:rsidP="004767DA">
      <w:pPr>
        <w:rPr>
          <w:rFonts w:ascii="Calibri" w:hAnsi="Calibri" w:cs="Calibri"/>
        </w:rPr>
      </w:pPr>
    </w:p>
    <w:p w:rsidR="004767DA" w:rsidRPr="00C3632E" w:rsidRDefault="004767DA" w:rsidP="004767DA">
      <w:pPr>
        <w:rPr>
          <w:rFonts w:ascii="Calibri" w:hAnsi="Calibri" w:cs="Calibri"/>
        </w:rPr>
      </w:pPr>
    </w:p>
    <w:p w:rsidR="004767DA" w:rsidRPr="00C3632E" w:rsidRDefault="004767DA" w:rsidP="004767DA">
      <w:pPr>
        <w:rPr>
          <w:rFonts w:ascii="Calibri" w:hAnsi="Calibri" w:cs="Calibri"/>
        </w:rPr>
      </w:pPr>
    </w:p>
    <w:p w:rsidR="004767DA" w:rsidRDefault="004767DA" w:rsidP="004767DA">
      <w:pPr>
        <w:rPr>
          <w:rFonts w:ascii="Calibri" w:hAnsi="Calibri" w:cs="Calibri"/>
        </w:rPr>
      </w:pPr>
    </w:p>
    <w:p w:rsidR="0040357F" w:rsidRDefault="0040357F" w:rsidP="004767DA">
      <w:pPr>
        <w:rPr>
          <w:rFonts w:ascii="Calibri" w:hAnsi="Calibri" w:cs="Calibri"/>
        </w:rPr>
      </w:pPr>
    </w:p>
    <w:p w:rsidR="0040357F" w:rsidRDefault="0040357F" w:rsidP="004767DA">
      <w:pPr>
        <w:rPr>
          <w:rFonts w:ascii="Calibri" w:hAnsi="Calibri" w:cs="Calibri"/>
        </w:rPr>
      </w:pPr>
    </w:p>
    <w:p w:rsidR="0040357F" w:rsidRDefault="0040357F" w:rsidP="004767DA">
      <w:pPr>
        <w:rPr>
          <w:rFonts w:ascii="Calibri" w:hAnsi="Calibri" w:cs="Calibri"/>
        </w:rPr>
      </w:pPr>
    </w:p>
    <w:p w:rsidR="0040357F" w:rsidRDefault="0040357F" w:rsidP="004767DA">
      <w:pPr>
        <w:rPr>
          <w:rFonts w:ascii="Calibri" w:hAnsi="Calibri" w:cs="Calibri"/>
        </w:rPr>
      </w:pPr>
    </w:p>
    <w:p w:rsidR="0040357F" w:rsidRDefault="0040357F" w:rsidP="004767DA">
      <w:pPr>
        <w:rPr>
          <w:rFonts w:ascii="Calibri" w:hAnsi="Calibri" w:cs="Calibri"/>
        </w:rPr>
      </w:pPr>
    </w:p>
    <w:p w:rsidR="0040357F" w:rsidRDefault="0040357F" w:rsidP="004767DA">
      <w:pPr>
        <w:rPr>
          <w:rFonts w:ascii="Calibri" w:hAnsi="Calibri" w:cs="Calibri"/>
        </w:rPr>
      </w:pPr>
    </w:p>
    <w:p w:rsidR="0040357F" w:rsidRDefault="0040357F" w:rsidP="004767DA">
      <w:pPr>
        <w:rPr>
          <w:rFonts w:ascii="Calibri" w:hAnsi="Calibri" w:cs="Calibri"/>
        </w:rPr>
      </w:pPr>
    </w:p>
    <w:p w:rsidR="0040357F" w:rsidRDefault="0040357F" w:rsidP="004767DA">
      <w:pPr>
        <w:rPr>
          <w:rFonts w:ascii="Calibri" w:hAnsi="Calibri" w:cs="Calibri"/>
        </w:rPr>
      </w:pPr>
    </w:p>
    <w:p w:rsidR="0040357F" w:rsidRDefault="0040357F" w:rsidP="004767DA">
      <w:pPr>
        <w:rPr>
          <w:rFonts w:ascii="Calibri" w:hAnsi="Calibri" w:cs="Calibri"/>
        </w:rPr>
      </w:pPr>
    </w:p>
    <w:p w:rsidR="0040357F" w:rsidRDefault="0040357F" w:rsidP="004767DA">
      <w:pPr>
        <w:rPr>
          <w:rFonts w:ascii="Calibri" w:hAnsi="Calibri" w:cs="Calibri"/>
        </w:rPr>
      </w:pPr>
    </w:p>
    <w:p w:rsidR="0040357F" w:rsidRDefault="0040357F" w:rsidP="004767DA">
      <w:pPr>
        <w:rPr>
          <w:rFonts w:ascii="Calibri" w:hAnsi="Calibri" w:cs="Calibri"/>
        </w:rPr>
      </w:pPr>
    </w:p>
    <w:p w:rsidR="0040357F" w:rsidRDefault="0040357F" w:rsidP="004767DA">
      <w:pPr>
        <w:rPr>
          <w:rFonts w:ascii="Calibri" w:hAnsi="Calibri" w:cs="Calibri"/>
        </w:rPr>
      </w:pPr>
    </w:p>
    <w:p w:rsidR="0040357F" w:rsidRDefault="0040357F" w:rsidP="004767DA">
      <w:pPr>
        <w:rPr>
          <w:rFonts w:ascii="Calibri" w:hAnsi="Calibri" w:cs="Calibri"/>
        </w:rPr>
      </w:pPr>
    </w:p>
    <w:p w:rsidR="0040357F" w:rsidRDefault="0040357F" w:rsidP="004767DA">
      <w:pPr>
        <w:rPr>
          <w:rFonts w:ascii="Calibri" w:hAnsi="Calibri" w:cs="Calibri"/>
        </w:rPr>
      </w:pPr>
    </w:p>
    <w:p w:rsidR="0040357F" w:rsidRPr="00C3632E" w:rsidRDefault="0040357F" w:rsidP="004767DA">
      <w:pPr>
        <w:rPr>
          <w:rFonts w:ascii="Calibri" w:hAnsi="Calibri" w:cs="Calibri"/>
        </w:rPr>
      </w:pPr>
    </w:p>
    <w:p w:rsidR="004767DA" w:rsidRPr="00C3632E" w:rsidRDefault="004767DA" w:rsidP="004767DA">
      <w:pPr>
        <w:rPr>
          <w:rFonts w:ascii="Calibri" w:hAnsi="Calibri" w:cs="Calibri"/>
        </w:rPr>
      </w:pPr>
    </w:p>
    <w:p w:rsidR="004767DA" w:rsidRPr="00C3632E" w:rsidRDefault="004767DA" w:rsidP="004767DA">
      <w:pPr>
        <w:rPr>
          <w:rFonts w:ascii="Calibri" w:hAnsi="Calibri" w:cs="Calibri"/>
        </w:rPr>
      </w:pPr>
    </w:p>
    <w:p w:rsidR="004767DA" w:rsidRDefault="004767DA" w:rsidP="004767DA">
      <w:pPr>
        <w:rPr>
          <w:rFonts w:ascii="Calibri" w:hAnsi="Calibri" w:cs="Calibri"/>
        </w:rPr>
      </w:pPr>
    </w:p>
    <w:p w:rsidR="000C27BF" w:rsidRDefault="000C27BF" w:rsidP="004767DA">
      <w:pPr>
        <w:rPr>
          <w:rFonts w:ascii="Calibri" w:hAnsi="Calibri" w:cs="Calibri"/>
        </w:rPr>
      </w:pPr>
    </w:p>
    <w:p w:rsidR="000C27BF" w:rsidRDefault="000C27BF" w:rsidP="004767DA">
      <w:pPr>
        <w:rPr>
          <w:rFonts w:ascii="Calibri" w:hAnsi="Calibri" w:cs="Calibri"/>
        </w:rPr>
      </w:pPr>
    </w:p>
    <w:p w:rsidR="000C27BF" w:rsidRDefault="000C27BF" w:rsidP="004767DA">
      <w:pPr>
        <w:rPr>
          <w:rFonts w:ascii="Calibri" w:hAnsi="Calibri" w:cs="Calibri"/>
        </w:rPr>
      </w:pPr>
    </w:p>
    <w:p w:rsidR="000C27BF" w:rsidRDefault="000C27BF" w:rsidP="004767DA">
      <w:pPr>
        <w:rPr>
          <w:rFonts w:ascii="Calibri" w:hAnsi="Calibri" w:cs="Calibri"/>
        </w:rPr>
      </w:pPr>
    </w:p>
    <w:p w:rsidR="000C27BF" w:rsidRDefault="000C27BF" w:rsidP="004767DA">
      <w:pPr>
        <w:rPr>
          <w:rFonts w:ascii="Calibri" w:hAnsi="Calibri" w:cs="Calibri"/>
        </w:rPr>
      </w:pPr>
    </w:p>
    <w:p w:rsidR="000C27BF" w:rsidRDefault="000C27BF" w:rsidP="004767DA">
      <w:pPr>
        <w:rPr>
          <w:rFonts w:ascii="Calibri" w:hAnsi="Calibri" w:cs="Calibri"/>
        </w:rPr>
      </w:pPr>
    </w:p>
    <w:p w:rsidR="000C27BF" w:rsidRDefault="000C27BF" w:rsidP="004767DA">
      <w:pPr>
        <w:rPr>
          <w:rFonts w:ascii="Calibri" w:hAnsi="Calibri" w:cs="Calibri"/>
        </w:rPr>
      </w:pPr>
    </w:p>
    <w:p w:rsidR="000C27BF" w:rsidRDefault="000C27BF" w:rsidP="004767DA">
      <w:pPr>
        <w:rPr>
          <w:rFonts w:ascii="Calibri" w:hAnsi="Calibri" w:cs="Calibri"/>
        </w:rPr>
      </w:pPr>
    </w:p>
    <w:p w:rsidR="000C27BF" w:rsidRDefault="000C27BF" w:rsidP="004767DA">
      <w:pPr>
        <w:rPr>
          <w:rFonts w:ascii="Calibri" w:hAnsi="Calibri" w:cs="Calibri"/>
        </w:rPr>
      </w:pPr>
    </w:p>
    <w:p w:rsidR="000C27BF" w:rsidRDefault="000C27BF" w:rsidP="004767DA">
      <w:pPr>
        <w:rPr>
          <w:rFonts w:ascii="Calibri" w:hAnsi="Calibri" w:cs="Calibri"/>
        </w:rPr>
      </w:pPr>
    </w:p>
    <w:p w:rsidR="000C27BF" w:rsidRDefault="000C27BF" w:rsidP="004767DA">
      <w:pPr>
        <w:rPr>
          <w:rFonts w:ascii="Calibri" w:hAnsi="Calibri" w:cs="Calibri"/>
        </w:rPr>
      </w:pPr>
    </w:p>
    <w:p w:rsidR="000C27BF" w:rsidRDefault="000C27BF" w:rsidP="004767DA">
      <w:pPr>
        <w:rPr>
          <w:rFonts w:ascii="Calibri" w:hAnsi="Calibri" w:cs="Calibri"/>
        </w:rPr>
      </w:pPr>
    </w:p>
    <w:p w:rsidR="000C27BF" w:rsidRDefault="000C27BF" w:rsidP="004767DA">
      <w:pPr>
        <w:rPr>
          <w:rFonts w:ascii="Calibri" w:hAnsi="Calibri" w:cs="Calibri"/>
        </w:rPr>
      </w:pPr>
    </w:p>
    <w:p w:rsidR="000C27BF" w:rsidRDefault="000C27BF" w:rsidP="004767DA">
      <w:pPr>
        <w:rPr>
          <w:rFonts w:ascii="Calibri" w:hAnsi="Calibri" w:cs="Calibri"/>
        </w:rPr>
      </w:pPr>
    </w:p>
    <w:p w:rsidR="00B61884" w:rsidRDefault="00B61884" w:rsidP="004767DA">
      <w:pPr>
        <w:rPr>
          <w:rFonts w:ascii="Calibri" w:hAnsi="Calibri" w:cs="Calibri"/>
        </w:rPr>
      </w:pPr>
    </w:p>
    <w:p w:rsidR="00B61884" w:rsidRPr="00C3632E" w:rsidRDefault="00B61884" w:rsidP="004767DA">
      <w:pPr>
        <w:rPr>
          <w:rFonts w:ascii="Calibri" w:hAnsi="Calibri" w:cs="Calibri"/>
        </w:rPr>
      </w:pPr>
    </w:p>
    <w:p w:rsidR="004767DA" w:rsidRPr="00E1517D" w:rsidRDefault="004767DA" w:rsidP="0043130B">
      <w:pPr>
        <w:pStyle w:val="Nagwek1"/>
        <w:jc w:val="center"/>
      </w:pPr>
      <w:bookmarkStart w:id="255" w:name="_Toc438237713"/>
      <w:r w:rsidRPr="00E1517D">
        <w:t>D-01.02.01</w:t>
      </w:r>
      <w:r w:rsidR="00FD47C7">
        <w:t xml:space="preserve"> </w:t>
      </w:r>
      <w:r w:rsidR="00417278">
        <w:t xml:space="preserve"> </w:t>
      </w:r>
      <w:r w:rsidRPr="00E1517D">
        <w:t>USUNIĘCIE DRZEW I</w:t>
      </w:r>
      <w:r w:rsidR="00FD47C7">
        <w:t xml:space="preserve"> </w:t>
      </w:r>
      <w:r w:rsidRPr="00E1517D">
        <w:t>KRZAKÓW</w:t>
      </w:r>
      <w:bookmarkEnd w:id="255"/>
    </w:p>
    <w:p w:rsidR="004767DA" w:rsidRPr="00C3632E" w:rsidRDefault="004767DA" w:rsidP="004767DA">
      <w:pPr>
        <w:rPr>
          <w:rFonts w:ascii="Calibri" w:hAnsi="Calibri" w:cs="Calibri"/>
        </w:rPr>
      </w:pPr>
    </w:p>
    <w:p w:rsidR="004767DA" w:rsidRPr="00C3632E" w:rsidRDefault="004767DA" w:rsidP="004767DA">
      <w:pPr>
        <w:rPr>
          <w:rFonts w:ascii="Calibri" w:hAnsi="Calibri" w:cs="Calibri"/>
        </w:rPr>
      </w:pPr>
    </w:p>
    <w:p w:rsidR="004767DA" w:rsidRPr="00C3632E" w:rsidRDefault="004767DA" w:rsidP="004767DA">
      <w:pPr>
        <w:rPr>
          <w:rFonts w:ascii="Calibri" w:hAnsi="Calibri" w:cs="Calibri"/>
        </w:rPr>
      </w:pPr>
    </w:p>
    <w:p w:rsidR="004767DA" w:rsidRPr="00C3632E" w:rsidRDefault="004767DA" w:rsidP="004767DA">
      <w:pPr>
        <w:rPr>
          <w:rFonts w:ascii="Calibri" w:hAnsi="Calibri" w:cs="Calibri"/>
        </w:rPr>
      </w:pPr>
    </w:p>
    <w:p w:rsidR="004767DA" w:rsidRPr="00C3632E" w:rsidRDefault="004767DA" w:rsidP="004767DA">
      <w:pPr>
        <w:rPr>
          <w:rFonts w:ascii="Calibri" w:hAnsi="Calibri" w:cs="Calibri"/>
        </w:rPr>
      </w:pPr>
    </w:p>
    <w:p w:rsidR="0040357F" w:rsidRDefault="0040357F" w:rsidP="004767DA">
      <w:pPr>
        <w:rPr>
          <w:rFonts w:ascii="Calibri" w:hAnsi="Calibri" w:cs="Calibri"/>
          <w:b/>
        </w:rPr>
      </w:pPr>
    </w:p>
    <w:p w:rsidR="0040357F" w:rsidRDefault="0040357F" w:rsidP="004767DA">
      <w:pPr>
        <w:rPr>
          <w:rFonts w:ascii="Calibri" w:hAnsi="Calibri" w:cs="Calibri"/>
          <w:b/>
        </w:rPr>
      </w:pPr>
    </w:p>
    <w:p w:rsidR="0040357F" w:rsidRDefault="0040357F" w:rsidP="004767DA">
      <w:pPr>
        <w:rPr>
          <w:rFonts w:ascii="Calibri" w:hAnsi="Calibri" w:cs="Calibri"/>
          <w:b/>
        </w:rPr>
      </w:pPr>
    </w:p>
    <w:p w:rsidR="0040357F" w:rsidRDefault="0040357F" w:rsidP="004767DA">
      <w:pPr>
        <w:rPr>
          <w:rFonts w:ascii="Calibri" w:hAnsi="Calibri" w:cs="Calibri"/>
          <w:b/>
        </w:rPr>
      </w:pPr>
    </w:p>
    <w:p w:rsidR="0040357F" w:rsidRDefault="0040357F" w:rsidP="004767DA">
      <w:pPr>
        <w:rPr>
          <w:rFonts w:ascii="Calibri" w:hAnsi="Calibri" w:cs="Calibri"/>
          <w:b/>
        </w:rPr>
      </w:pPr>
    </w:p>
    <w:p w:rsidR="0040357F" w:rsidRDefault="0040357F" w:rsidP="004767DA">
      <w:pPr>
        <w:rPr>
          <w:rFonts w:ascii="Calibri" w:hAnsi="Calibri" w:cs="Calibri"/>
          <w:b/>
        </w:rPr>
      </w:pPr>
    </w:p>
    <w:p w:rsidR="0040357F" w:rsidRDefault="0040357F" w:rsidP="004767DA">
      <w:pPr>
        <w:rPr>
          <w:rFonts w:ascii="Calibri" w:hAnsi="Calibri" w:cs="Calibri"/>
          <w:b/>
        </w:rPr>
      </w:pPr>
    </w:p>
    <w:p w:rsidR="0040357F" w:rsidRDefault="0040357F" w:rsidP="004767DA">
      <w:pPr>
        <w:rPr>
          <w:rFonts w:ascii="Calibri" w:hAnsi="Calibri" w:cs="Calibri"/>
          <w:b/>
        </w:rPr>
      </w:pPr>
    </w:p>
    <w:p w:rsidR="0040357F" w:rsidRDefault="0040357F" w:rsidP="004767DA">
      <w:pPr>
        <w:rPr>
          <w:rFonts w:ascii="Calibri" w:hAnsi="Calibri" w:cs="Calibri"/>
          <w:b/>
        </w:rPr>
      </w:pPr>
    </w:p>
    <w:p w:rsidR="0040357F" w:rsidRDefault="0040357F" w:rsidP="004767DA">
      <w:pPr>
        <w:rPr>
          <w:rFonts w:ascii="Calibri" w:hAnsi="Calibri" w:cs="Calibri"/>
          <w:b/>
        </w:rPr>
      </w:pPr>
    </w:p>
    <w:p w:rsidR="0040357F" w:rsidRDefault="0040357F" w:rsidP="004767DA">
      <w:pPr>
        <w:rPr>
          <w:rFonts w:ascii="Calibri" w:hAnsi="Calibri" w:cs="Calibri"/>
          <w:b/>
        </w:rPr>
      </w:pPr>
    </w:p>
    <w:p w:rsidR="0040357F" w:rsidRDefault="0040357F" w:rsidP="004767DA">
      <w:pPr>
        <w:rPr>
          <w:rFonts w:ascii="Calibri" w:hAnsi="Calibri" w:cs="Calibri"/>
          <w:b/>
        </w:rPr>
      </w:pPr>
    </w:p>
    <w:p w:rsidR="0040357F" w:rsidRDefault="0040357F" w:rsidP="004767DA">
      <w:pPr>
        <w:rPr>
          <w:rFonts w:ascii="Calibri" w:hAnsi="Calibri" w:cs="Calibri"/>
          <w:b/>
        </w:rPr>
      </w:pPr>
    </w:p>
    <w:p w:rsidR="0040357F" w:rsidRDefault="0040357F" w:rsidP="004767DA">
      <w:pPr>
        <w:rPr>
          <w:rFonts w:ascii="Calibri" w:hAnsi="Calibri" w:cs="Calibri"/>
          <w:b/>
        </w:rPr>
      </w:pPr>
    </w:p>
    <w:p w:rsidR="0040357F" w:rsidRDefault="0040357F" w:rsidP="004767DA">
      <w:pPr>
        <w:rPr>
          <w:rFonts w:ascii="Calibri" w:hAnsi="Calibri" w:cs="Calibri"/>
          <w:b/>
        </w:rPr>
      </w:pPr>
    </w:p>
    <w:p w:rsidR="0040357F" w:rsidRDefault="0040357F" w:rsidP="004767DA">
      <w:pPr>
        <w:rPr>
          <w:rFonts w:ascii="Calibri" w:hAnsi="Calibri" w:cs="Calibri"/>
          <w:b/>
        </w:rPr>
      </w:pPr>
    </w:p>
    <w:p w:rsidR="0040357F" w:rsidRDefault="0040357F" w:rsidP="004767DA">
      <w:pPr>
        <w:rPr>
          <w:rFonts w:ascii="Calibri" w:hAnsi="Calibri" w:cs="Calibri"/>
          <w:b/>
        </w:rPr>
      </w:pPr>
    </w:p>
    <w:p w:rsidR="0040357F" w:rsidRDefault="0040357F" w:rsidP="004767DA">
      <w:pPr>
        <w:rPr>
          <w:rFonts w:ascii="Calibri" w:hAnsi="Calibri" w:cs="Calibri"/>
          <w:b/>
        </w:rPr>
      </w:pPr>
    </w:p>
    <w:p w:rsidR="0040357F" w:rsidRDefault="0040357F" w:rsidP="004767DA">
      <w:pPr>
        <w:rPr>
          <w:rFonts w:ascii="Calibri" w:hAnsi="Calibri" w:cs="Calibri"/>
          <w:b/>
        </w:rPr>
      </w:pPr>
    </w:p>
    <w:p w:rsidR="0040357F" w:rsidRDefault="0040357F" w:rsidP="004767DA">
      <w:pPr>
        <w:rPr>
          <w:rFonts w:ascii="Calibri" w:hAnsi="Calibri" w:cs="Calibri"/>
          <w:b/>
        </w:rPr>
      </w:pPr>
    </w:p>
    <w:p w:rsidR="0040357F" w:rsidRDefault="0040357F" w:rsidP="004767DA">
      <w:pPr>
        <w:rPr>
          <w:rFonts w:ascii="Calibri" w:hAnsi="Calibri" w:cs="Calibri"/>
          <w:b/>
        </w:rPr>
      </w:pPr>
    </w:p>
    <w:p w:rsidR="0040357F" w:rsidRDefault="0040357F" w:rsidP="004767DA">
      <w:pPr>
        <w:rPr>
          <w:rFonts w:ascii="Calibri" w:hAnsi="Calibri" w:cs="Calibri"/>
          <w:b/>
        </w:rPr>
      </w:pPr>
    </w:p>
    <w:p w:rsidR="0040357F" w:rsidRDefault="0040357F" w:rsidP="004767DA">
      <w:pPr>
        <w:rPr>
          <w:rFonts w:ascii="Calibri" w:hAnsi="Calibri" w:cs="Calibri"/>
          <w:b/>
        </w:rPr>
      </w:pPr>
    </w:p>
    <w:p w:rsidR="0040357F" w:rsidRDefault="0040357F" w:rsidP="004767DA">
      <w:pPr>
        <w:rPr>
          <w:rFonts w:ascii="Calibri" w:hAnsi="Calibri" w:cs="Calibri"/>
          <w:b/>
        </w:rPr>
      </w:pPr>
    </w:p>
    <w:p w:rsidR="0040357F" w:rsidRDefault="0040357F" w:rsidP="004767DA">
      <w:pPr>
        <w:rPr>
          <w:rFonts w:ascii="Calibri" w:hAnsi="Calibri" w:cs="Calibri"/>
          <w:b/>
        </w:rPr>
      </w:pPr>
    </w:p>
    <w:p w:rsidR="0040357F" w:rsidRDefault="0040357F" w:rsidP="004767DA">
      <w:pPr>
        <w:rPr>
          <w:rFonts w:ascii="Calibri" w:hAnsi="Calibri" w:cs="Calibri"/>
          <w:b/>
        </w:rPr>
      </w:pPr>
    </w:p>
    <w:p w:rsidR="0040357F" w:rsidRDefault="0040357F" w:rsidP="004767DA">
      <w:pPr>
        <w:rPr>
          <w:rFonts w:ascii="Calibri" w:hAnsi="Calibri" w:cs="Calibri"/>
          <w:b/>
        </w:rPr>
      </w:pPr>
    </w:p>
    <w:p w:rsidR="00301193" w:rsidRDefault="00301193" w:rsidP="004767DA">
      <w:pPr>
        <w:rPr>
          <w:rFonts w:ascii="Calibri" w:hAnsi="Calibri" w:cs="Calibri"/>
          <w:b/>
        </w:rPr>
      </w:pPr>
    </w:p>
    <w:p w:rsidR="00301193" w:rsidRDefault="00301193" w:rsidP="004767DA">
      <w:pPr>
        <w:rPr>
          <w:rFonts w:ascii="Calibri" w:hAnsi="Calibri" w:cs="Calibri"/>
          <w:b/>
        </w:rPr>
      </w:pPr>
    </w:p>
    <w:p w:rsidR="00301193" w:rsidRDefault="00301193" w:rsidP="004767DA">
      <w:pPr>
        <w:rPr>
          <w:rFonts w:ascii="Calibri" w:hAnsi="Calibri" w:cs="Calibri"/>
          <w:b/>
        </w:rPr>
      </w:pPr>
    </w:p>
    <w:p w:rsidR="00301193" w:rsidRDefault="00301193" w:rsidP="004767DA">
      <w:pPr>
        <w:rPr>
          <w:rFonts w:ascii="Calibri" w:hAnsi="Calibri" w:cs="Calibri"/>
          <w:b/>
        </w:rPr>
      </w:pPr>
    </w:p>
    <w:p w:rsidR="00301193" w:rsidRDefault="00301193" w:rsidP="004767DA">
      <w:pPr>
        <w:rPr>
          <w:rFonts w:ascii="Calibri" w:hAnsi="Calibri" w:cs="Calibri"/>
          <w:b/>
        </w:rPr>
      </w:pPr>
    </w:p>
    <w:p w:rsidR="00301193" w:rsidRDefault="00301193" w:rsidP="004767DA">
      <w:pPr>
        <w:rPr>
          <w:rFonts w:ascii="Calibri" w:hAnsi="Calibri" w:cs="Calibri"/>
          <w:b/>
        </w:rPr>
      </w:pPr>
    </w:p>
    <w:p w:rsidR="00301193" w:rsidRDefault="00301193" w:rsidP="004767DA">
      <w:pPr>
        <w:rPr>
          <w:rFonts w:ascii="Calibri" w:hAnsi="Calibri" w:cs="Calibri"/>
          <w:b/>
        </w:rPr>
      </w:pPr>
    </w:p>
    <w:p w:rsidR="0040357F" w:rsidRDefault="0040357F" w:rsidP="004767DA">
      <w:pPr>
        <w:rPr>
          <w:rFonts w:ascii="Calibri" w:hAnsi="Calibri" w:cs="Calibri"/>
          <w:b/>
        </w:rPr>
      </w:pPr>
    </w:p>
    <w:p w:rsidR="0040357F" w:rsidRDefault="0040357F" w:rsidP="004767DA">
      <w:pPr>
        <w:rPr>
          <w:rFonts w:ascii="Calibri" w:hAnsi="Calibri" w:cs="Calibri"/>
          <w:b/>
        </w:rPr>
      </w:pPr>
    </w:p>
    <w:p w:rsidR="004767DA" w:rsidRPr="007A3E8C" w:rsidRDefault="004767DA" w:rsidP="004767DA">
      <w:pPr>
        <w:rPr>
          <w:rFonts w:ascii="Calibri" w:hAnsi="Calibri" w:cs="Calibri"/>
          <w:b/>
        </w:rPr>
      </w:pPr>
      <w:r w:rsidRPr="007A3E8C">
        <w:rPr>
          <w:rFonts w:ascii="Calibri" w:hAnsi="Calibri" w:cs="Calibri"/>
          <w:b/>
        </w:rPr>
        <w:lastRenderedPageBreak/>
        <w:t>1. WSTĘP</w:t>
      </w:r>
    </w:p>
    <w:p w:rsidR="004767DA" w:rsidRPr="007A3E8C" w:rsidRDefault="004767DA" w:rsidP="004767DA">
      <w:pPr>
        <w:rPr>
          <w:rFonts w:ascii="Calibri" w:hAnsi="Calibri" w:cs="Calibri"/>
        </w:rPr>
      </w:pPr>
      <w:r w:rsidRPr="007A3E8C">
        <w:rPr>
          <w:rFonts w:ascii="Calibri" w:hAnsi="Calibri" w:cs="Calibri"/>
          <w:b/>
        </w:rPr>
        <w:t>1.1.</w:t>
      </w:r>
      <w:r w:rsidRPr="007A3E8C">
        <w:rPr>
          <w:rFonts w:ascii="Calibri" w:hAnsi="Calibri" w:cs="Calibri"/>
        </w:rPr>
        <w:t xml:space="preserve"> Przedmiot ST</w:t>
      </w:r>
    </w:p>
    <w:p w:rsidR="004767DA" w:rsidRPr="007A3E8C" w:rsidRDefault="004767DA" w:rsidP="004767DA">
      <w:pPr>
        <w:rPr>
          <w:rFonts w:ascii="Calibri" w:hAnsi="Calibri" w:cs="Calibri"/>
        </w:rPr>
      </w:pPr>
      <w:r w:rsidRPr="007A3E8C">
        <w:rPr>
          <w:rFonts w:ascii="Calibri" w:hAnsi="Calibri" w:cs="Calibri"/>
        </w:rPr>
        <w:tab/>
        <w:t>Przedmiotem niniejszej specyfikacji technicznej (ST) są wymagania dotyczące wykonania i odbioru robót związanych z usunięciem drzew i krzaków.</w:t>
      </w:r>
    </w:p>
    <w:p w:rsidR="004767DA" w:rsidRPr="007A3E8C" w:rsidRDefault="004767DA" w:rsidP="004767DA">
      <w:pPr>
        <w:rPr>
          <w:rFonts w:ascii="Calibri" w:hAnsi="Calibri" w:cs="Calibri"/>
        </w:rPr>
      </w:pPr>
      <w:r w:rsidRPr="007A3E8C">
        <w:rPr>
          <w:rFonts w:ascii="Calibri" w:hAnsi="Calibri" w:cs="Calibri"/>
          <w:b/>
        </w:rPr>
        <w:t>1.2.</w:t>
      </w:r>
      <w:r w:rsidRPr="007A3E8C">
        <w:rPr>
          <w:rFonts w:ascii="Calibri" w:hAnsi="Calibri" w:cs="Calibri"/>
        </w:rPr>
        <w:t xml:space="preserve"> Zakres stosowania ST</w:t>
      </w:r>
    </w:p>
    <w:p w:rsidR="004767DA" w:rsidRPr="007A3E8C" w:rsidRDefault="004767DA" w:rsidP="004767DA">
      <w:pPr>
        <w:rPr>
          <w:rFonts w:ascii="Calibri" w:hAnsi="Calibri" w:cs="Calibri"/>
        </w:rPr>
      </w:pPr>
      <w:r w:rsidRPr="007A3E8C">
        <w:rPr>
          <w:rFonts w:ascii="Calibri" w:hAnsi="Calibri" w:cs="Calibri"/>
        </w:rPr>
        <w:tab/>
        <w:t>Specyfikacja techniczna określa wymagania dla wykonania i odbioru robót budowlanych przewidzianych do wykonania w ramach umowy a zawarte w niej zapisy w zakresie standardu materiałów, wykonania robót i wymaganej ich jakości oraz kontroli jakości robót należy traktować jako minimalne.</w:t>
      </w:r>
    </w:p>
    <w:p w:rsidR="004767DA" w:rsidRPr="007A3E8C" w:rsidRDefault="004767DA" w:rsidP="004767DA">
      <w:pPr>
        <w:rPr>
          <w:rFonts w:ascii="Calibri" w:hAnsi="Calibri" w:cs="Calibri"/>
        </w:rPr>
      </w:pPr>
      <w:r w:rsidRPr="007A3E8C">
        <w:rPr>
          <w:rFonts w:ascii="Calibri" w:hAnsi="Calibri" w:cs="Calibri"/>
          <w:b/>
        </w:rPr>
        <w:t>1.3.</w:t>
      </w:r>
      <w:r w:rsidRPr="007A3E8C">
        <w:rPr>
          <w:rFonts w:ascii="Calibri" w:hAnsi="Calibri" w:cs="Calibri"/>
        </w:rPr>
        <w:t xml:space="preserve"> Zakres robót objętych ST</w:t>
      </w:r>
    </w:p>
    <w:p w:rsidR="004A5932" w:rsidRPr="00B61884" w:rsidRDefault="004767DA" w:rsidP="004A5932">
      <w:pPr>
        <w:rPr>
          <w:rFonts w:asciiTheme="minorHAnsi" w:hAnsiTheme="minorHAnsi" w:cs="Calibri"/>
        </w:rPr>
      </w:pPr>
      <w:r w:rsidRPr="007A3E8C">
        <w:rPr>
          <w:rFonts w:ascii="Calibri" w:hAnsi="Calibri" w:cs="Calibri"/>
        </w:rPr>
        <w:tab/>
        <w:t xml:space="preserve">Ustalenia zawarte w niniejszej specyfikacji dotyczą zasad prowadzenia robót związanych z usunięciem drzew i krzaków, wykonywanych </w:t>
      </w:r>
      <w:r w:rsidR="00301193">
        <w:rPr>
          <w:rFonts w:ascii="Calibri" w:hAnsi="Calibri" w:cs="Calibri"/>
        </w:rPr>
        <w:t xml:space="preserve">w ramach robót przygotowawczych </w:t>
      </w:r>
      <w:r w:rsidR="004A5932">
        <w:rPr>
          <w:rFonts w:ascii="Calibri" w:hAnsi="Calibri" w:cs="Calibri"/>
        </w:rPr>
        <w:t>w związku z „</w:t>
      </w:r>
      <w:r w:rsidR="004A5932">
        <w:rPr>
          <w:rFonts w:asciiTheme="minorHAnsi" w:hAnsiTheme="minorHAnsi"/>
        </w:rPr>
        <w:t>Przebudową ul.55 Pułku Piechoty w L</w:t>
      </w:r>
      <w:r w:rsidR="004A5932" w:rsidRPr="00B61884">
        <w:rPr>
          <w:rFonts w:asciiTheme="minorHAnsi" w:hAnsiTheme="minorHAnsi"/>
        </w:rPr>
        <w:t>esznie wraz z przebudową oświetlenia</w:t>
      </w:r>
      <w:r w:rsidR="004A5932">
        <w:rPr>
          <w:rFonts w:asciiTheme="minorHAnsi" w:hAnsiTheme="minorHAnsi"/>
        </w:rPr>
        <w:t>”</w:t>
      </w:r>
      <w:r w:rsidR="004A5932">
        <w:rPr>
          <w:rFonts w:asciiTheme="minorHAnsi" w:hAnsiTheme="minorHAnsi" w:cs="Calibri"/>
        </w:rPr>
        <w:t>.</w:t>
      </w:r>
    </w:p>
    <w:p w:rsidR="004767DA" w:rsidRPr="007A3E8C" w:rsidRDefault="004767DA" w:rsidP="004767DA">
      <w:pPr>
        <w:rPr>
          <w:rFonts w:ascii="Calibri" w:hAnsi="Calibri" w:cs="Calibri"/>
        </w:rPr>
      </w:pPr>
      <w:r w:rsidRPr="007A3E8C">
        <w:rPr>
          <w:rFonts w:ascii="Calibri" w:hAnsi="Calibri" w:cs="Calibri"/>
          <w:b/>
        </w:rPr>
        <w:t>1.4.</w:t>
      </w:r>
      <w:r w:rsidRPr="007A3E8C">
        <w:rPr>
          <w:rFonts w:ascii="Calibri" w:hAnsi="Calibri" w:cs="Calibri"/>
        </w:rPr>
        <w:t xml:space="preserve"> Określenia podstawowe</w:t>
      </w:r>
    </w:p>
    <w:p w:rsidR="004767DA" w:rsidRPr="007A3E8C" w:rsidRDefault="004767DA" w:rsidP="004767DA">
      <w:pPr>
        <w:rPr>
          <w:rFonts w:ascii="Calibri" w:hAnsi="Calibri" w:cs="Calibri"/>
        </w:rPr>
      </w:pPr>
      <w:r w:rsidRPr="007A3E8C">
        <w:rPr>
          <w:rFonts w:ascii="Calibri" w:hAnsi="Calibri" w:cs="Calibri"/>
        </w:rPr>
        <w:tab/>
        <w:t>Stosowane określenia podstawowe są zgodne z obowiązującymi, odpowiednimi polskimi normami oraz z definicjami podanymi w ST D-M-00.00.00 „Wymagania ogólne” pkt 1.4.</w:t>
      </w:r>
    </w:p>
    <w:p w:rsidR="004767DA" w:rsidRPr="007A3E8C" w:rsidRDefault="004767DA" w:rsidP="004767DA">
      <w:pPr>
        <w:rPr>
          <w:rFonts w:ascii="Calibri" w:hAnsi="Calibri" w:cs="Calibri"/>
        </w:rPr>
      </w:pPr>
      <w:r w:rsidRPr="007A3E8C">
        <w:rPr>
          <w:rFonts w:ascii="Calibri" w:hAnsi="Calibri" w:cs="Calibri"/>
          <w:b/>
        </w:rPr>
        <w:t>1.5.</w:t>
      </w:r>
      <w:r w:rsidRPr="007A3E8C">
        <w:rPr>
          <w:rFonts w:ascii="Calibri" w:hAnsi="Calibri" w:cs="Calibri"/>
        </w:rPr>
        <w:t xml:space="preserve"> Ogólne wymagania dotyczące robót</w:t>
      </w:r>
    </w:p>
    <w:p w:rsidR="004767DA" w:rsidRPr="007A3E8C" w:rsidRDefault="004767DA" w:rsidP="004767DA">
      <w:pPr>
        <w:rPr>
          <w:rFonts w:ascii="Calibri" w:hAnsi="Calibri" w:cs="Calibri"/>
        </w:rPr>
      </w:pPr>
      <w:r w:rsidRPr="007A3E8C">
        <w:rPr>
          <w:rFonts w:ascii="Calibri" w:hAnsi="Calibri" w:cs="Calibri"/>
        </w:rPr>
        <w:tab/>
        <w:t>Ogólne wymagania dotyczące robót podano w ST D-M-00.00.00 „Wymagania ogólne” pkt 1.5.</w:t>
      </w:r>
    </w:p>
    <w:p w:rsidR="004767DA" w:rsidRPr="007A3E8C" w:rsidRDefault="004767DA" w:rsidP="004767DA">
      <w:pPr>
        <w:rPr>
          <w:rFonts w:ascii="Calibri" w:hAnsi="Calibri" w:cs="Calibri"/>
        </w:rPr>
      </w:pPr>
    </w:p>
    <w:p w:rsidR="004767DA" w:rsidRPr="007A3E8C" w:rsidRDefault="004767DA" w:rsidP="004767DA">
      <w:pPr>
        <w:rPr>
          <w:rFonts w:ascii="Calibri" w:hAnsi="Calibri" w:cs="Calibri"/>
          <w:b/>
        </w:rPr>
      </w:pPr>
      <w:r w:rsidRPr="007A3E8C">
        <w:rPr>
          <w:rFonts w:ascii="Calibri" w:hAnsi="Calibri" w:cs="Calibri"/>
          <w:b/>
        </w:rPr>
        <w:t>2. MATERIAŁY</w:t>
      </w:r>
    </w:p>
    <w:p w:rsidR="004767DA" w:rsidRPr="007A3E8C" w:rsidRDefault="004767DA" w:rsidP="004767DA">
      <w:pPr>
        <w:rPr>
          <w:rFonts w:ascii="Calibri" w:hAnsi="Calibri" w:cs="Calibri"/>
        </w:rPr>
      </w:pPr>
      <w:r w:rsidRPr="007A3E8C">
        <w:rPr>
          <w:rFonts w:ascii="Calibri" w:hAnsi="Calibri" w:cs="Calibri"/>
        </w:rPr>
        <w:tab/>
        <w:t>Nie występują.</w:t>
      </w:r>
    </w:p>
    <w:p w:rsidR="004767DA" w:rsidRPr="007A3E8C" w:rsidRDefault="004767DA" w:rsidP="004767DA">
      <w:pPr>
        <w:rPr>
          <w:rFonts w:ascii="Calibri" w:hAnsi="Calibri" w:cs="Calibri"/>
        </w:rPr>
      </w:pPr>
    </w:p>
    <w:p w:rsidR="004767DA" w:rsidRPr="007A3E8C" w:rsidRDefault="004767DA" w:rsidP="004767DA">
      <w:pPr>
        <w:rPr>
          <w:rFonts w:ascii="Calibri" w:hAnsi="Calibri" w:cs="Calibri"/>
          <w:b/>
        </w:rPr>
      </w:pPr>
      <w:r w:rsidRPr="007A3E8C">
        <w:rPr>
          <w:rFonts w:ascii="Calibri" w:hAnsi="Calibri" w:cs="Calibri"/>
          <w:b/>
        </w:rPr>
        <w:t>3. SPRZĘT</w:t>
      </w:r>
    </w:p>
    <w:p w:rsidR="004767DA" w:rsidRPr="007A3E8C" w:rsidRDefault="004767DA" w:rsidP="004767DA">
      <w:pPr>
        <w:rPr>
          <w:rFonts w:ascii="Calibri" w:hAnsi="Calibri" w:cs="Calibri"/>
        </w:rPr>
      </w:pPr>
      <w:r w:rsidRPr="007A3E8C">
        <w:rPr>
          <w:rFonts w:ascii="Calibri" w:hAnsi="Calibri" w:cs="Calibri"/>
          <w:b/>
        </w:rPr>
        <w:t>3.1.</w:t>
      </w:r>
      <w:r w:rsidRPr="007A3E8C">
        <w:rPr>
          <w:rFonts w:ascii="Calibri" w:hAnsi="Calibri" w:cs="Calibri"/>
        </w:rPr>
        <w:t xml:space="preserve"> Ogólne wymagania dotyczące sprzętu</w:t>
      </w:r>
    </w:p>
    <w:p w:rsidR="004767DA" w:rsidRPr="007A3E8C" w:rsidRDefault="004767DA" w:rsidP="004767DA">
      <w:pPr>
        <w:rPr>
          <w:rFonts w:ascii="Calibri" w:hAnsi="Calibri" w:cs="Calibri"/>
        </w:rPr>
      </w:pPr>
      <w:r w:rsidRPr="007A3E8C">
        <w:rPr>
          <w:rFonts w:ascii="Calibri" w:hAnsi="Calibri" w:cs="Calibri"/>
        </w:rPr>
        <w:tab/>
        <w:t>Ogólne wymagania dotyczące sprzętu podano w ST D-M-00.00.00 „Wymagania ogólne” pkt 3.</w:t>
      </w:r>
    </w:p>
    <w:p w:rsidR="004767DA" w:rsidRPr="007A3E8C" w:rsidRDefault="004767DA" w:rsidP="004767DA">
      <w:pPr>
        <w:rPr>
          <w:rFonts w:ascii="Calibri" w:hAnsi="Calibri" w:cs="Calibri"/>
        </w:rPr>
      </w:pPr>
      <w:r w:rsidRPr="007A3E8C">
        <w:rPr>
          <w:rFonts w:ascii="Calibri" w:hAnsi="Calibri" w:cs="Calibri"/>
          <w:b/>
        </w:rPr>
        <w:t>3.2.</w:t>
      </w:r>
      <w:r w:rsidRPr="007A3E8C">
        <w:rPr>
          <w:rFonts w:ascii="Calibri" w:hAnsi="Calibri" w:cs="Calibri"/>
        </w:rPr>
        <w:t xml:space="preserve"> Sprzęt do usuwania drzew i krzaków</w:t>
      </w:r>
    </w:p>
    <w:p w:rsidR="004767DA" w:rsidRPr="007A3E8C" w:rsidRDefault="004767DA" w:rsidP="004767DA">
      <w:pPr>
        <w:rPr>
          <w:rFonts w:ascii="Calibri" w:hAnsi="Calibri" w:cs="Calibri"/>
        </w:rPr>
      </w:pPr>
      <w:r w:rsidRPr="007A3E8C">
        <w:rPr>
          <w:rFonts w:ascii="Calibri" w:hAnsi="Calibri" w:cs="Calibri"/>
        </w:rPr>
        <w:tab/>
        <w:t>Do wykonywania robót związanych z usunięciem drzew i krzaków należy stosować:</w:t>
      </w:r>
    </w:p>
    <w:p w:rsidR="004767DA" w:rsidRPr="007A3E8C" w:rsidRDefault="004767DA" w:rsidP="004767DA">
      <w:pPr>
        <w:rPr>
          <w:rFonts w:ascii="Calibri" w:hAnsi="Calibri" w:cs="Calibri"/>
        </w:rPr>
      </w:pPr>
      <w:r w:rsidRPr="007A3E8C">
        <w:rPr>
          <w:rFonts w:ascii="Calibri" w:hAnsi="Calibri" w:cs="Calibri"/>
        </w:rPr>
        <w:t>piły mechaniczne,</w:t>
      </w:r>
    </w:p>
    <w:p w:rsidR="004767DA" w:rsidRPr="007A3E8C" w:rsidRDefault="004767DA" w:rsidP="004767DA">
      <w:pPr>
        <w:rPr>
          <w:rFonts w:ascii="Calibri" w:hAnsi="Calibri" w:cs="Calibri"/>
        </w:rPr>
      </w:pPr>
      <w:r w:rsidRPr="007A3E8C">
        <w:rPr>
          <w:rFonts w:ascii="Calibri" w:hAnsi="Calibri" w:cs="Calibri"/>
        </w:rPr>
        <w:t>specjalne maszyny przeznaczone do karczowania pni oraz ich usunięcia z pasa drogowego,</w:t>
      </w:r>
    </w:p>
    <w:p w:rsidR="004767DA" w:rsidRPr="007A3E8C" w:rsidRDefault="004767DA" w:rsidP="004767DA">
      <w:pPr>
        <w:rPr>
          <w:rFonts w:ascii="Calibri" w:hAnsi="Calibri" w:cs="Calibri"/>
        </w:rPr>
      </w:pPr>
      <w:r w:rsidRPr="007A3E8C">
        <w:rPr>
          <w:rFonts w:ascii="Calibri" w:hAnsi="Calibri" w:cs="Calibri"/>
        </w:rPr>
        <w:t>spycharki,</w:t>
      </w:r>
    </w:p>
    <w:p w:rsidR="004767DA" w:rsidRPr="007A3E8C" w:rsidRDefault="004767DA" w:rsidP="004767DA">
      <w:pPr>
        <w:rPr>
          <w:rFonts w:ascii="Calibri" w:hAnsi="Calibri" w:cs="Calibri"/>
        </w:rPr>
      </w:pPr>
      <w:r w:rsidRPr="007A3E8C">
        <w:rPr>
          <w:rFonts w:ascii="Calibri" w:hAnsi="Calibri" w:cs="Calibri"/>
        </w:rPr>
        <w:t>koparki lub ciągniki ze specjalnym osprzętem do prowadzenia prac związanych z wyrębem drzew.</w:t>
      </w:r>
    </w:p>
    <w:p w:rsidR="004767DA" w:rsidRPr="007A3E8C" w:rsidRDefault="004767DA" w:rsidP="004767DA">
      <w:pPr>
        <w:rPr>
          <w:rFonts w:ascii="Calibri" w:hAnsi="Calibri" w:cs="Calibri"/>
        </w:rPr>
      </w:pPr>
    </w:p>
    <w:p w:rsidR="004767DA" w:rsidRPr="007A3E8C" w:rsidRDefault="004767DA" w:rsidP="004767DA">
      <w:pPr>
        <w:rPr>
          <w:rFonts w:ascii="Calibri" w:hAnsi="Calibri" w:cs="Calibri"/>
          <w:b/>
        </w:rPr>
      </w:pPr>
      <w:r w:rsidRPr="007A3E8C">
        <w:rPr>
          <w:rFonts w:ascii="Calibri" w:hAnsi="Calibri" w:cs="Calibri"/>
          <w:b/>
        </w:rPr>
        <w:t>4. TRANSPORT</w:t>
      </w:r>
    </w:p>
    <w:p w:rsidR="004767DA" w:rsidRPr="007A3E8C" w:rsidRDefault="004767DA" w:rsidP="004767DA">
      <w:pPr>
        <w:rPr>
          <w:rFonts w:ascii="Calibri" w:hAnsi="Calibri" w:cs="Calibri"/>
        </w:rPr>
      </w:pPr>
      <w:r w:rsidRPr="007A3E8C">
        <w:rPr>
          <w:rFonts w:ascii="Calibri" w:hAnsi="Calibri" w:cs="Calibri"/>
          <w:b/>
        </w:rPr>
        <w:t>4.1.</w:t>
      </w:r>
      <w:r w:rsidRPr="007A3E8C">
        <w:rPr>
          <w:rFonts w:ascii="Calibri" w:hAnsi="Calibri" w:cs="Calibri"/>
        </w:rPr>
        <w:t xml:space="preserve"> Ogólne wymagania dotyczące transportu</w:t>
      </w:r>
    </w:p>
    <w:p w:rsidR="004767DA" w:rsidRPr="007A3E8C" w:rsidRDefault="004767DA" w:rsidP="004767DA">
      <w:pPr>
        <w:rPr>
          <w:rFonts w:ascii="Calibri" w:hAnsi="Calibri" w:cs="Calibri"/>
        </w:rPr>
      </w:pPr>
      <w:r w:rsidRPr="007A3E8C">
        <w:rPr>
          <w:rFonts w:ascii="Calibri" w:hAnsi="Calibri" w:cs="Calibri"/>
        </w:rPr>
        <w:tab/>
        <w:t>Ogólne wymagania dotyczące transportu podano w ST D-M-00.00.00 „Wymagania ogólne” pkt 4.</w:t>
      </w:r>
    </w:p>
    <w:p w:rsidR="004767DA" w:rsidRPr="007A3E8C" w:rsidRDefault="004767DA" w:rsidP="004767DA">
      <w:pPr>
        <w:rPr>
          <w:rFonts w:ascii="Calibri" w:hAnsi="Calibri" w:cs="Calibri"/>
        </w:rPr>
      </w:pPr>
      <w:r w:rsidRPr="007A3E8C">
        <w:rPr>
          <w:rFonts w:ascii="Calibri" w:hAnsi="Calibri" w:cs="Calibri"/>
          <w:b/>
        </w:rPr>
        <w:t>4.2.</w:t>
      </w:r>
      <w:r w:rsidRPr="007A3E8C">
        <w:rPr>
          <w:rFonts w:ascii="Calibri" w:hAnsi="Calibri" w:cs="Calibri"/>
        </w:rPr>
        <w:t xml:space="preserve"> Transport pni i karpiny</w:t>
      </w:r>
    </w:p>
    <w:p w:rsidR="004767DA" w:rsidRPr="007A3E8C" w:rsidRDefault="004767DA" w:rsidP="004767DA">
      <w:pPr>
        <w:rPr>
          <w:rFonts w:ascii="Calibri" w:hAnsi="Calibri" w:cs="Calibri"/>
        </w:rPr>
      </w:pPr>
      <w:r w:rsidRPr="007A3E8C">
        <w:rPr>
          <w:rFonts w:ascii="Calibri" w:hAnsi="Calibri" w:cs="Calibri"/>
        </w:rPr>
        <w:tab/>
        <w:t>Pnie, karpinę oraz gałęzie należy przewozić transportem samochodowym.</w:t>
      </w:r>
    </w:p>
    <w:p w:rsidR="004767DA" w:rsidRPr="007A3E8C" w:rsidRDefault="004767DA" w:rsidP="004767DA">
      <w:pPr>
        <w:rPr>
          <w:rFonts w:ascii="Calibri" w:hAnsi="Calibri" w:cs="Calibri"/>
        </w:rPr>
      </w:pPr>
      <w:r w:rsidRPr="007A3E8C">
        <w:rPr>
          <w:rFonts w:ascii="Calibri" w:hAnsi="Calibri" w:cs="Calibri"/>
        </w:rPr>
        <w:tab/>
        <w:t>Pnie przedstawiające wartość jako materiał użytkowy (np. budowlany, meblarski itp.) powinny być transportowane w sposób nie powodujący ich uszkodzeń.</w:t>
      </w:r>
    </w:p>
    <w:p w:rsidR="004767DA" w:rsidRPr="007A3E8C" w:rsidRDefault="004767DA" w:rsidP="004767DA">
      <w:pPr>
        <w:rPr>
          <w:rFonts w:ascii="Calibri" w:hAnsi="Calibri" w:cs="Calibri"/>
        </w:rPr>
      </w:pPr>
    </w:p>
    <w:p w:rsidR="004767DA" w:rsidRPr="007A3E8C" w:rsidRDefault="004767DA" w:rsidP="004767DA">
      <w:pPr>
        <w:rPr>
          <w:rFonts w:ascii="Calibri" w:hAnsi="Calibri" w:cs="Calibri"/>
          <w:b/>
        </w:rPr>
      </w:pPr>
      <w:r w:rsidRPr="007A3E8C">
        <w:rPr>
          <w:rFonts w:ascii="Calibri" w:hAnsi="Calibri" w:cs="Calibri"/>
          <w:b/>
        </w:rPr>
        <w:t>5. WYKONANIE ROBÓT</w:t>
      </w:r>
    </w:p>
    <w:p w:rsidR="004767DA" w:rsidRPr="007A3E8C" w:rsidRDefault="004767DA" w:rsidP="004767DA">
      <w:pPr>
        <w:rPr>
          <w:rFonts w:ascii="Calibri" w:hAnsi="Calibri" w:cs="Calibri"/>
        </w:rPr>
      </w:pPr>
      <w:r w:rsidRPr="007A3E8C">
        <w:rPr>
          <w:rFonts w:ascii="Calibri" w:hAnsi="Calibri" w:cs="Calibri"/>
          <w:b/>
        </w:rPr>
        <w:t>5.1.</w:t>
      </w:r>
      <w:r w:rsidRPr="007A3E8C">
        <w:rPr>
          <w:rFonts w:ascii="Calibri" w:hAnsi="Calibri" w:cs="Calibri"/>
        </w:rPr>
        <w:t xml:space="preserve"> Ogólne zasady wykonania robót</w:t>
      </w:r>
    </w:p>
    <w:p w:rsidR="004767DA" w:rsidRPr="007A3E8C" w:rsidRDefault="004767DA" w:rsidP="004767DA">
      <w:pPr>
        <w:rPr>
          <w:rFonts w:ascii="Calibri" w:hAnsi="Calibri" w:cs="Calibri"/>
        </w:rPr>
      </w:pPr>
      <w:r w:rsidRPr="007A3E8C">
        <w:rPr>
          <w:rFonts w:ascii="Calibri" w:hAnsi="Calibri" w:cs="Calibri"/>
        </w:rPr>
        <w:tab/>
        <w:t>Ogólne zasady wykonania robót podano w ST D-M-00.00.00 „Wymagania ogólne” pkt 5.</w:t>
      </w:r>
    </w:p>
    <w:p w:rsidR="004767DA" w:rsidRPr="007A3E8C" w:rsidRDefault="004767DA" w:rsidP="004767DA">
      <w:pPr>
        <w:rPr>
          <w:rFonts w:ascii="Calibri" w:hAnsi="Calibri" w:cs="Calibri"/>
        </w:rPr>
      </w:pPr>
      <w:r w:rsidRPr="007A3E8C">
        <w:rPr>
          <w:rFonts w:ascii="Calibri" w:hAnsi="Calibri" w:cs="Calibri"/>
          <w:b/>
        </w:rPr>
        <w:t>5.2.</w:t>
      </w:r>
      <w:r w:rsidRPr="007A3E8C">
        <w:rPr>
          <w:rFonts w:ascii="Calibri" w:hAnsi="Calibri" w:cs="Calibri"/>
        </w:rPr>
        <w:t xml:space="preserve"> Zasady oczyszczania terenu z drzew i krzaków</w:t>
      </w:r>
    </w:p>
    <w:p w:rsidR="004767DA" w:rsidRPr="007A3E8C" w:rsidRDefault="004767DA" w:rsidP="004767DA">
      <w:pPr>
        <w:rPr>
          <w:rFonts w:ascii="Calibri" w:hAnsi="Calibri" w:cs="Calibri"/>
        </w:rPr>
      </w:pPr>
      <w:r w:rsidRPr="007A3E8C">
        <w:rPr>
          <w:rFonts w:ascii="Calibri" w:hAnsi="Calibri" w:cs="Calibri"/>
        </w:rPr>
        <w:tab/>
        <w:t>Roboty związane z usunięciem drzew i krzaków obejmują wycięcie i wykarczowanie drzew i krzaków, wywiezienie pni, karpiny i gałęzi poza teren budowy na wskazane miejsce, zasypanie dołów oraz ewentualne spalenie na miejscu pozostałości po wykarczowaniu.</w:t>
      </w:r>
    </w:p>
    <w:p w:rsidR="004767DA" w:rsidRPr="007A3E8C" w:rsidRDefault="004767DA" w:rsidP="004767DA">
      <w:pPr>
        <w:rPr>
          <w:rFonts w:ascii="Calibri" w:hAnsi="Calibri" w:cs="Calibri"/>
        </w:rPr>
      </w:pPr>
      <w:r w:rsidRPr="007A3E8C">
        <w:rPr>
          <w:rFonts w:ascii="Calibri" w:hAnsi="Calibri" w:cs="Calibri"/>
        </w:rPr>
        <w:tab/>
        <w:t>Teren pod budowę drogi w pasie robót ziemnych, w miejscach dokopów i w innych miejscach wskazanych w dokumentacji projektowej, powinien być oczyszczony z drzew i krzaków.</w:t>
      </w:r>
    </w:p>
    <w:p w:rsidR="004767DA" w:rsidRPr="007A3E8C" w:rsidRDefault="004767DA" w:rsidP="004767DA">
      <w:pPr>
        <w:rPr>
          <w:rFonts w:ascii="Calibri" w:hAnsi="Calibri" w:cs="Calibri"/>
        </w:rPr>
      </w:pPr>
      <w:r w:rsidRPr="007A3E8C">
        <w:rPr>
          <w:rFonts w:ascii="Calibri" w:hAnsi="Calibri" w:cs="Calibri"/>
        </w:rPr>
        <w:tab/>
        <w:t>Zgoda na prace związane z usunięciem drzew i krzaków powinna być uzyskana przez  Zamawiającego.</w:t>
      </w:r>
    </w:p>
    <w:p w:rsidR="004767DA" w:rsidRPr="007A3E8C" w:rsidRDefault="004767DA" w:rsidP="004767DA">
      <w:pPr>
        <w:rPr>
          <w:rFonts w:ascii="Calibri" w:hAnsi="Calibri" w:cs="Calibri"/>
        </w:rPr>
      </w:pPr>
      <w:r w:rsidRPr="007A3E8C">
        <w:rPr>
          <w:rFonts w:ascii="Calibri" w:hAnsi="Calibri" w:cs="Calibri"/>
        </w:rPr>
        <w:tab/>
        <w:t>Wycinkę drzew o właściwościach materiału użytkowego należy wykonywać w tzw. sezonie rębnym, ustalonym przez Inżyniera.</w:t>
      </w:r>
    </w:p>
    <w:p w:rsidR="004767DA" w:rsidRPr="007A3E8C" w:rsidRDefault="004767DA" w:rsidP="004767DA">
      <w:pPr>
        <w:rPr>
          <w:rFonts w:ascii="Calibri" w:hAnsi="Calibri" w:cs="Calibri"/>
        </w:rPr>
      </w:pPr>
      <w:r w:rsidRPr="007A3E8C">
        <w:rPr>
          <w:rFonts w:ascii="Calibri" w:hAnsi="Calibri" w:cs="Calibri"/>
        </w:rPr>
        <w:tab/>
        <w:t>W miejscach dokopów i tych wykopów, z których grunt jest przeznaczony do wbudowania w nasypy, teren należy oczyścić z roślinności, wykarczować pnie i usunąć korzenie tak, aby zawartość części organicznych w gruntach przeznaczonych do wbudowania w nasypy nie przekraczała 2%.</w:t>
      </w:r>
    </w:p>
    <w:p w:rsidR="004767DA" w:rsidRPr="007A3E8C" w:rsidRDefault="004767DA" w:rsidP="004767DA">
      <w:pPr>
        <w:rPr>
          <w:rFonts w:ascii="Calibri" w:hAnsi="Calibri" w:cs="Calibri"/>
        </w:rPr>
      </w:pPr>
      <w:r w:rsidRPr="007A3E8C">
        <w:rPr>
          <w:rFonts w:ascii="Calibri" w:hAnsi="Calibri" w:cs="Calibri"/>
        </w:rPr>
        <w:tab/>
        <w:t xml:space="preserve">W miejscach nasypów teren należy oczyścić tak, aby części roślinności nie znajdowały się na głębokości do </w:t>
      </w:r>
      <w:smartTag w:uri="urn:schemas-microsoft-com:office:smarttags" w:element="metricconverter">
        <w:smartTagPr>
          <w:attr w:name="ProductID" w:val="60 cm"/>
        </w:smartTagPr>
        <w:r w:rsidRPr="007A3E8C">
          <w:rPr>
            <w:rFonts w:ascii="Calibri" w:hAnsi="Calibri" w:cs="Calibri"/>
          </w:rPr>
          <w:t>60 cm</w:t>
        </w:r>
      </w:smartTag>
      <w:r w:rsidRPr="007A3E8C">
        <w:rPr>
          <w:rFonts w:ascii="Calibri" w:hAnsi="Calibri" w:cs="Calibri"/>
        </w:rPr>
        <w:t xml:space="preserve"> poniżej niwelety robót ziemnych i linii skarp nasypu, z wyjątkiem przypadków podanych w punkcie 5.3.</w:t>
      </w:r>
    </w:p>
    <w:p w:rsidR="004767DA" w:rsidRPr="00C3632E" w:rsidRDefault="004767DA" w:rsidP="004767DA">
      <w:pPr>
        <w:rPr>
          <w:rFonts w:ascii="Calibri" w:hAnsi="Calibri" w:cs="Calibri"/>
        </w:rPr>
      </w:pPr>
      <w:r w:rsidRPr="00C3632E">
        <w:rPr>
          <w:rFonts w:ascii="Calibri" w:hAnsi="Calibri" w:cs="Calibri"/>
        </w:rPr>
        <w:lastRenderedPageBreak/>
        <w:tab/>
        <w:t>Roślinność istniejąca w pasie robót drogowych, nie przeznaczona do usunięcia, powinna być przez Wykonawcę zabezpieczona przed uszkodzeniem. Jeżeli roślinność, która ma być zachowana, zostanie uszkodzona lub zniszczona przez Wykonawcę, to powinna być ona odtworzona na koszt Wykonawcy, w sposób zaakceptowany przez odpowiednie władze.</w:t>
      </w:r>
    </w:p>
    <w:p w:rsidR="004767DA" w:rsidRPr="00C3632E" w:rsidRDefault="004767DA" w:rsidP="004767DA">
      <w:pPr>
        <w:rPr>
          <w:rFonts w:ascii="Calibri" w:hAnsi="Calibri" w:cs="Calibri"/>
        </w:rPr>
      </w:pPr>
      <w:r w:rsidRPr="00E1517D">
        <w:rPr>
          <w:rFonts w:ascii="Calibri" w:hAnsi="Calibri" w:cs="Calibri"/>
          <w:b/>
        </w:rPr>
        <w:t>5.3.</w:t>
      </w:r>
      <w:r w:rsidRPr="00C3632E">
        <w:rPr>
          <w:rFonts w:ascii="Calibri" w:hAnsi="Calibri" w:cs="Calibri"/>
        </w:rPr>
        <w:t xml:space="preserve"> Usunięcie drzew i krzaków</w:t>
      </w:r>
    </w:p>
    <w:p w:rsidR="004767DA" w:rsidRPr="00C3632E" w:rsidRDefault="004767DA" w:rsidP="004767DA">
      <w:pPr>
        <w:rPr>
          <w:rFonts w:ascii="Calibri" w:hAnsi="Calibri" w:cs="Calibri"/>
        </w:rPr>
      </w:pPr>
      <w:r w:rsidRPr="00C3632E">
        <w:rPr>
          <w:rFonts w:ascii="Calibri" w:hAnsi="Calibri" w:cs="Calibri"/>
        </w:rPr>
        <w:tab/>
        <w:t>Pnie drzew i krzaków znajdujące się w pasie robót ziemnych, powinny być wykarczowane, za wyjątkiem następujących przypadków:</w:t>
      </w:r>
    </w:p>
    <w:p w:rsidR="004767DA" w:rsidRPr="00C3632E" w:rsidRDefault="004767DA" w:rsidP="004767DA">
      <w:pPr>
        <w:rPr>
          <w:rFonts w:ascii="Calibri" w:hAnsi="Calibri" w:cs="Calibri"/>
        </w:rPr>
      </w:pPr>
      <w:r w:rsidRPr="00C3632E">
        <w:rPr>
          <w:rFonts w:ascii="Calibri" w:hAnsi="Calibri" w:cs="Calibri"/>
        </w:rPr>
        <w:t xml:space="preserve">w obrębie nasypów - jeżeli średnica pni jest mniejsza od </w:t>
      </w:r>
      <w:smartTag w:uri="urn:schemas-microsoft-com:office:smarttags" w:element="metricconverter">
        <w:smartTagPr>
          <w:attr w:name="ProductID" w:val="8 cm"/>
        </w:smartTagPr>
        <w:r w:rsidRPr="00C3632E">
          <w:rPr>
            <w:rFonts w:ascii="Calibri" w:hAnsi="Calibri" w:cs="Calibri"/>
          </w:rPr>
          <w:t>8 cm</w:t>
        </w:r>
      </w:smartTag>
      <w:r w:rsidRPr="00C3632E">
        <w:rPr>
          <w:rFonts w:ascii="Calibri" w:hAnsi="Calibri" w:cs="Calibri"/>
        </w:rPr>
        <w:t xml:space="preserve"> i istniejąca rzędna terenu w tym miejscu znajduje się co najmniej </w:t>
      </w:r>
      <w:smartTag w:uri="urn:schemas-microsoft-com:office:smarttags" w:element="metricconverter">
        <w:smartTagPr>
          <w:attr w:name="ProductID" w:val="2 metry"/>
        </w:smartTagPr>
        <w:r w:rsidRPr="00C3632E">
          <w:rPr>
            <w:rFonts w:ascii="Calibri" w:hAnsi="Calibri" w:cs="Calibri"/>
          </w:rPr>
          <w:t>2 metry</w:t>
        </w:r>
      </w:smartTag>
      <w:r w:rsidRPr="00C3632E">
        <w:rPr>
          <w:rFonts w:ascii="Calibri" w:hAnsi="Calibri" w:cs="Calibri"/>
        </w:rPr>
        <w:t xml:space="preserve"> od powierzchni projektowanej korony drogi albo powierzchni skarpy nasypu. Pnie pozostawione pod nasypami powinny być ścięte nie wyżej niż </w:t>
      </w:r>
      <w:smartTag w:uri="urn:schemas-microsoft-com:office:smarttags" w:element="metricconverter">
        <w:smartTagPr>
          <w:attr w:name="ProductID" w:val="10 cm"/>
        </w:smartTagPr>
        <w:r w:rsidRPr="00C3632E">
          <w:rPr>
            <w:rFonts w:ascii="Calibri" w:hAnsi="Calibri" w:cs="Calibri"/>
          </w:rPr>
          <w:t>10 cm</w:t>
        </w:r>
      </w:smartTag>
      <w:r w:rsidRPr="00C3632E">
        <w:rPr>
          <w:rFonts w:ascii="Calibri" w:hAnsi="Calibri" w:cs="Calibri"/>
        </w:rPr>
        <w:t xml:space="preserve"> ponad powierzchnią terenu. Powyższe odstępstwo od ogólnej zasady, wymagającej karczowania pni, nie ma zastosowania, jeżeli przewidziano stopniowanie powierzchni terenu pod podstawę nasypu,</w:t>
      </w:r>
    </w:p>
    <w:p w:rsidR="004767DA" w:rsidRPr="00C3632E" w:rsidRDefault="004767DA" w:rsidP="004767DA">
      <w:pPr>
        <w:rPr>
          <w:rFonts w:ascii="Calibri" w:hAnsi="Calibri" w:cs="Calibri"/>
        </w:rPr>
      </w:pPr>
      <w:r w:rsidRPr="00C3632E">
        <w:rPr>
          <w:rFonts w:ascii="Calibri" w:hAnsi="Calibri" w:cs="Calibri"/>
        </w:rPr>
        <w:t>w obrębie wyokrąglenia skarpy wykopu przecinającego się z terenem. W tym przypadku pnie powinny być ścięte równo z powierzchnią skarpy albo poniżej jej poziomu.</w:t>
      </w:r>
    </w:p>
    <w:p w:rsidR="004767DA" w:rsidRPr="00C3632E" w:rsidRDefault="004767DA" w:rsidP="004767DA">
      <w:pPr>
        <w:rPr>
          <w:rFonts w:ascii="Calibri" w:hAnsi="Calibri" w:cs="Calibri"/>
        </w:rPr>
      </w:pPr>
      <w:r w:rsidRPr="00C3632E">
        <w:rPr>
          <w:rFonts w:ascii="Calibri" w:hAnsi="Calibri" w:cs="Calibri"/>
        </w:rPr>
        <w:tab/>
        <w:t>Poza miejscami wykopów doły po wykarczowanych pniach należy wypełnić gruntem przydatnym do budowy nasypów i zagęścić, zgo</w:t>
      </w:r>
      <w:r>
        <w:rPr>
          <w:rFonts w:ascii="Calibri" w:hAnsi="Calibri" w:cs="Calibri"/>
        </w:rPr>
        <w:t xml:space="preserve">dnie z wymaganiami zawartymi w </w:t>
      </w:r>
      <w:r w:rsidRPr="00C3632E">
        <w:rPr>
          <w:rFonts w:ascii="Calibri" w:hAnsi="Calibri" w:cs="Calibri"/>
        </w:rPr>
        <w:t>ST D-02.00.00 „Roboty ziemne”.</w:t>
      </w:r>
    </w:p>
    <w:p w:rsidR="004767DA" w:rsidRPr="00C3632E" w:rsidRDefault="004767DA" w:rsidP="004767DA">
      <w:pPr>
        <w:rPr>
          <w:rFonts w:ascii="Calibri" w:hAnsi="Calibri" w:cs="Calibri"/>
        </w:rPr>
      </w:pPr>
      <w:r w:rsidRPr="00C3632E">
        <w:rPr>
          <w:rFonts w:ascii="Calibri" w:hAnsi="Calibri" w:cs="Calibri"/>
        </w:rPr>
        <w:tab/>
        <w:t>Doły w obrębie przewidywanych wykopów, należy tymczasowo zabezpieczyć przed gromadzeniem się w nich wody.</w:t>
      </w:r>
    </w:p>
    <w:p w:rsidR="004767DA" w:rsidRPr="00C3632E" w:rsidRDefault="004767DA" w:rsidP="004767DA">
      <w:pPr>
        <w:rPr>
          <w:rFonts w:ascii="Calibri" w:hAnsi="Calibri" w:cs="Calibri"/>
        </w:rPr>
      </w:pPr>
      <w:r w:rsidRPr="00C3632E">
        <w:rPr>
          <w:rFonts w:ascii="Calibri" w:hAnsi="Calibri" w:cs="Calibri"/>
        </w:rPr>
        <w:tab/>
        <w:t>Wykonawca ma obowiązek prowadzenia robót w taki sposób, aby drzewa przedstawiające wartość jako materiał użytkowy (np. budowlany, meblarski itp.) nie utraciły tej właściwości w czasie robót.</w:t>
      </w:r>
    </w:p>
    <w:p w:rsidR="004767DA" w:rsidRPr="00C3632E" w:rsidRDefault="004767DA" w:rsidP="004767DA">
      <w:pPr>
        <w:rPr>
          <w:rFonts w:ascii="Calibri" w:hAnsi="Calibri" w:cs="Calibri"/>
        </w:rPr>
      </w:pPr>
      <w:r w:rsidRPr="00C3632E">
        <w:rPr>
          <w:rFonts w:ascii="Calibri" w:hAnsi="Calibri" w:cs="Calibri"/>
        </w:rPr>
        <w:tab/>
        <w:t>Młode drzewa i inne rośliny przewidziane do ponownego sadzenia powinny być wykopane z dużą ostrożnością, w sposób który nie spowoduje trwałych uszkodzeń, a następnie zasadzone w odpowiednim gruncie.</w:t>
      </w:r>
    </w:p>
    <w:p w:rsidR="004767DA" w:rsidRPr="00C3632E" w:rsidRDefault="004767DA" w:rsidP="004767DA">
      <w:pPr>
        <w:rPr>
          <w:rFonts w:ascii="Calibri" w:hAnsi="Calibri" w:cs="Calibri"/>
        </w:rPr>
      </w:pPr>
      <w:r w:rsidRPr="00E1517D">
        <w:rPr>
          <w:rFonts w:ascii="Calibri" w:hAnsi="Calibri" w:cs="Calibri"/>
          <w:b/>
        </w:rPr>
        <w:t>5.4.</w:t>
      </w:r>
      <w:r w:rsidRPr="00C3632E">
        <w:rPr>
          <w:rFonts w:ascii="Calibri" w:hAnsi="Calibri" w:cs="Calibri"/>
        </w:rPr>
        <w:t xml:space="preserve"> Zniszczenie pozostałości po usuniętej roślinności</w:t>
      </w:r>
    </w:p>
    <w:p w:rsidR="004767DA" w:rsidRPr="00C3632E" w:rsidRDefault="004767DA" w:rsidP="004767DA">
      <w:pPr>
        <w:rPr>
          <w:rFonts w:ascii="Calibri" w:hAnsi="Calibri" w:cs="Calibri"/>
        </w:rPr>
      </w:pPr>
      <w:r w:rsidRPr="00C3632E">
        <w:rPr>
          <w:rFonts w:ascii="Calibri" w:hAnsi="Calibri" w:cs="Calibri"/>
        </w:rPr>
        <w:tab/>
        <w:t>Sposób zniszczenia pozostałości po usuniętej roślinności powinien być zgodny z</w:t>
      </w:r>
      <w:r>
        <w:rPr>
          <w:rFonts w:ascii="Calibri" w:hAnsi="Calibri" w:cs="Calibri"/>
        </w:rPr>
        <w:t>e</w:t>
      </w:r>
      <w:r w:rsidRPr="00C3632E">
        <w:rPr>
          <w:rFonts w:ascii="Calibri" w:hAnsi="Calibri" w:cs="Calibri"/>
        </w:rPr>
        <w:t xml:space="preserve"> wskazaniami Inżyniera.</w:t>
      </w:r>
    </w:p>
    <w:p w:rsidR="004767DA" w:rsidRPr="00C3632E" w:rsidRDefault="004767DA" w:rsidP="004767DA">
      <w:pPr>
        <w:rPr>
          <w:rFonts w:ascii="Calibri" w:hAnsi="Calibri" w:cs="Calibri"/>
        </w:rPr>
      </w:pPr>
      <w:r w:rsidRPr="00C3632E">
        <w:rPr>
          <w:rFonts w:ascii="Calibri" w:hAnsi="Calibri" w:cs="Calibri"/>
        </w:rPr>
        <w:tab/>
        <w:t>Jeżeli dopuszczono przerobienie gałęzi na korę drzewną za pomocą specjalistycznego sprzętu, to sposób wykonania powinien odpowiadać zaleceniom producenta sprzętu. Nieużyteczne pozostałości po przeróbce powinny być usunięte przez Wykonawcę z terenu budowy.</w:t>
      </w:r>
    </w:p>
    <w:p w:rsidR="004767DA" w:rsidRPr="00C3632E" w:rsidRDefault="004767DA" w:rsidP="004767DA">
      <w:pPr>
        <w:rPr>
          <w:rFonts w:ascii="Calibri" w:hAnsi="Calibri" w:cs="Calibri"/>
        </w:rPr>
      </w:pPr>
      <w:r w:rsidRPr="00C3632E">
        <w:rPr>
          <w:rFonts w:ascii="Calibri" w:hAnsi="Calibri" w:cs="Calibri"/>
        </w:rPr>
        <w:tab/>
        <w:t>Jeżeli dopuszczono spalanie roślinności usuniętej w czasie robót przygotowawczych Wykonawca ma obowiązek zadbać, aby odbyło się ono z zachowaniem wszystkich wymogów bezpieczeństwa i odpowiednich przepisów.</w:t>
      </w:r>
    </w:p>
    <w:p w:rsidR="004767DA" w:rsidRPr="00C3632E" w:rsidRDefault="004767DA" w:rsidP="004767DA">
      <w:pPr>
        <w:rPr>
          <w:rFonts w:ascii="Calibri" w:hAnsi="Calibri" w:cs="Calibri"/>
        </w:rPr>
      </w:pPr>
      <w:r w:rsidRPr="00C3632E">
        <w:rPr>
          <w:rFonts w:ascii="Calibri" w:hAnsi="Calibri" w:cs="Calibri"/>
        </w:rPr>
        <w:tab/>
        <w:t>Zaleca się stosowanie technologii, umożliwiających intensywne spalanie, z powstawaniem małej ilości dymu, to jest spalanie w wysokich stosach albo spalanie w dołach z wymuszonym dopływem powietrza. Po zakończeniu spalania ogień powinien być całkowicie wygaszony, bez pozostawienia tlących się części.</w:t>
      </w:r>
    </w:p>
    <w:p w:rsidR="004767DA" w:rsidRPr="00C3632E" w:rsidRDefault="004767DA" w:rsidP="004767DA">
      <w:pPr>
        <w:rPr>
          <w:rFonts w:ascii="Calibri" w:hAnsi="Calibri" w:cs="Calibri"/>
        </w:rPr>
      </w:pPr>
      <w:r w:rsidRPr="00C3632E">
        <w:rPr>
          <w:rFonts w:ascii="Calibri" w:hAnsi="Calibri" w:cs="Calibri"/>
        </w:rPr>
        <w:tab/>
        <w:t>Jeżeli warunki atmosferyczne lub inne względy zmusiły Wykonawcę do odstąpienia od spalania lub jego przerwania, a nagromadzony materiał do spalenia stanowi przeszkodę w prowadzeniu innych prac, Wykonawca powinien usunąć go w miejsce tymczasowego składowania lub w inne miejsce zaakceptowane przez Inżyniera, w którym będzie możliwe dalsze spalanie.</w:t>
      </w:r>
    </w:p>
    <w:p w:rsidR="004767DA" w:rsidRDefault="004767DA" w:rsidP="004767DA">
      <w:pPr>
        <w:rPr>
          <w:rFonts w:ascii="Calibri" w:hAnsi="Calibri" w:cs="Calibri"/>
        </w:rPr>
      </w:pPr>
      <w:r w:rsidRPr="00C3632E">
        <w:rPr>
          <w:rFonts w:ascii="Calibri" w:hAnsi="Calibri" w:cs="Calibri"/>
        </w:rPr>
        <w:tab/>
        <w:t xml:space="preserve">Pozostałości po spaleniu powinny być usunięte przez Wykonawcę z terenu budowy. Jeśli pozostałości po spaleniu, za zgodą Inżyniera, są zakopywane na terenie budowy, to powinny być one układane w warstwach. Każda warstwa powinna być przykryta warstwą gruntu. Ostatnia warstwa powinna być przykryta warstwą gruntu o grubości co najmniej </w:t>
      </w:r>
      <w:smartTag w:uri="urn:schemas-microsoft-com:office:smarttags" w:element="metricconverter">
        <w:smartTagPr>
          <w:attr w:name="ProductID" w:val="30 cm"/>
        </w:smartTagPr>
        <w:r w:rsidRPr="00C3632E">
          <w:rPr>
            <w:rFonts w:ascii="Calibri" w:hAnsi="Calibri" w:cs="Calibri"/>
          </w:rPr>
          <w:t>30 cm</w:t>
        </w:r>
      </w:smartTag>
      <w:r w:rsidRPr="00C3632E">
        <w:rPr>
          <w:rFonts w:ascii="Calibri" w:hAnsi="Calibri" w:cs="Calibri"/>
        </w:rPr>
        <w:t xml:space="preserve"> i powinna być odpowiednio wyrównana i zagęszczona. Pozostałości po spaleniu nie mogą być zakopywane pod rowami odwadniającymi ani pod jakimikolwiek obszarami, na których odbywa się przepływ wód powierzchniowych.</w:t>
      </w:r>
    </w:p>
    <w:p w:rsidR="004767DA" w:rsidRPr="00C3632E" w:rsidRDefault="004767DA" w:rsidP="004767DA">
      <w:pPr>
        <w:rPr>
          <w:rFonts w:ascii="Calibri" w:hAnsi="Calibri" w:cs="Calibri"/>
        </w:rPr>
      </w:pPr>
    </w:p>
    <w:p w:rsidR="004767DA" w:rsidRPr="00E1517D" w:rsidRDefault="004767DA" w:rsidP="004767DA">
      <w:pPr>
        <w:rPr>
          <w:rFonts w:ascii="Calibri" w:hAnsi="Calibri" w:cs="Calibri"/>
          <w:b/>
        </w:rPr>
      </w:pPr>
      <w:r w:rsidRPr="00E1517D">
        <w:rPr>
          <w:rFonts w:ascii="Calibri" w:hAnsi="Calibri" w:cs="Calibri"/>
          <w:b/>
        </w:rPr>
        <w:t>6. KONTROLA JAKOŚCI ROBÓT</w:t>
      </w:r>
    </w:p>
    <w:p w:rsidR="004767DA" w:rsidRPr="00C3632E" w:rsidRDefault="004767DA" w:rsidP="004767DA">
      <w:pPr>
        <w:rPr>
          <w:rFonts w:ascii="Calibri" w:hAnsi="Calibri" w:cs="Calibri"/>
        </w:rPr>
      </w:pPr>
      <w:r w:rsidRPr="00E1517D">
        <w:rPr>
          <w:rFonts w:ascii="Calibri" w:hAnsi="Calibri" w:cs="Calibri"/>
          <w:b/>
        </w:rPr>
        <w:t>6.1.</w:t>
      </w:r>
      <w:r w:rsidRPr="00C3632E">
        <w:rPr>
          <w:rFonts w:ascii="Calibri" w:hAnsi="Calibri" w:cs="Calibri"/>
        </w:rPr>
        <w:t xml:space="preserve"> Ogólne zasady kontroli jakości robót</w:t>
      </w:r>
    </w:p>
    <w:p w:rsidR="004767DA" w:rsidRPr="00C3632E" w:rsidRDefault="004767DA" w:rsidP="004767DA">
      <w:pPr>
        <w:rPr>
          <w:rFonts w:ascii="Calibri" w:hAnsi="Calibri" w:cs="Calibri"/>
        </w:rPr>
      </w:pPr>
      <w:r w:rsidRPr="00C3632E">
        <w:rPr>
          <w:rFonts w:ascii="Calibri" w:hAnsi="Calibri" w:cs="Calibri"/>
        </w:rPr>
        <w:tab/>
        <w:t>Ogólne zasady k</w:t>
      </w:r>
      <w:r>
        <w:rPr>
          <w:rFonts w:ascii="Calibri" w:hAnsi="Calibri" w:cs="Calibri"/>
        </w:rPr>
        <w:t xml:space="preserve">ontroli jakości robót podano w </w:t>
      </w:r>
      <w:r w:rsidRPr="00C3632E">
        <w:rPr>
          <w:rFonts w:ascii="Calibri" w:hAnsi="Calibri" w:cs="Calibri"/>
        </w:rPr>
        <w:t>ST D-M-00.00.00 „Wymagania ogólne” pkt 6.</w:t>
      </w:r>
    </w:p>
    <w:p w:rsidR="004767DA" w:rsidRPr="00C3632E" w:rsidRDefault="004767DA" w:rsidP="004767DA">
      <w:pPr>
        <w:rPr>
          <w:rFonts w:ascii="Calibri" w:hAnsi="Calibri" w:cs="Calibri"/>
        </w:rPr>
      </w:pPr>
      <w:r w:rsidRPr="00E1517D">
        <w:rPr>
          <w:rFonts w:ascii="Calibri" w:hAnsi="Calibri" w:cs="Calibri"/>
          <w:b/>
        </w:rPr>
        <w:t>6.2.</w:t>
      </w:r>
      <w:r w:rsidRPr="00C3632E">
        <w:rPr>
          <w:rFonts w:ascii="Calibri" w:hAnsi="Calibri" w:cs="Calibri"/>
        </w:rPr>
        <w:t xml:space="preserve"> Kontrola robót przy usuwaniu drzew i krzaków</w:t>
      </w:r>
    </w:p>
    <w:p w:rsidR="004767DA" w:rsidRDefault="004767DA" w:rsidP="004767DA">
      <w:pPr>
        <w:rPr>
          <w:rFonts w:ascii="Calibri" w:hAnsi="Calibri" w:cs="Calibri"/>
        </w:rPr>
      </w:pPr>
      <w:r w:rsidRPr="00C3632E">
        <w:rPr>
          <w:rFonts w:ascii="Calibri" w:hAnsi="Calibri" w:cs="Calibri"/>
        </w:rPr>
        <w:tab/>
        <w:t>Sprawdzenie jakości robót polega na wizualnej ocenie kompletności usunięcia roślinności, wykarczowania korzeni i zasypania dołów. Zagęszczenie gruntu wypełniającego doły powinno spełniać odpowiednie wymagania okre</w:t>
      </w:r>
      <w:r>
        <w:rPr>
          <w:rFonts w:ascii="Calibri" w:hAnsi="Calibri" w:cs="Calibri"/>
        </w:rPr>
        <w:t>ślone w ST</w:t>
      </w:r>
      <w:r w:rsidRPr="00C3632E">
        <w:rPr>
          <w:rFonts w:ascii="Calibri" w:hAnsi="Calibri" w:cs="Calibri"/>
        </w:rPr>
        <w:t xml:space="preserve"> D-02.00.00 „Roboty ziemne”.</w:t>
      </w:r>
    </w:p>
    <w:p w:rsidR="004767DA" w:rsidRDefault="004767DA" w:rsidP="004767DA">
      <w:pPr>
        <w:rPr>
          <w:rFonts w:ascii="Calibri" w:hAnsi="Calibri" w:cs="Calibri"/>
          <w:b/>
        </w:rPr>
      </w:pPr>
    </w:p>
    <w:p w:rsidR="004A5932" w:rsidRDefault="004A5932" w:rsidP="004767DA">
      <w:pPr>
        <w:rPr>
          <w:rFonts w:ascii="Calibri" w:hAnsi="Calibri" w:cs="Calibri"/>
          <w:b/>
        </w:rPr>
      </w:pPr>
    </w:p>
    <w:p w:rsidR="004A5932" w:rsidRPr="00E1517D" w:rsidRDefault="004A5932" w:rsidP="004767DA">
      <w:pPr>
        <w:rPr>
          <w:rFonts w:ascii="Calibri" w:hAnsi="Calibri" w:cs="Calibri"/>
          <w:b/>
        </w:rPr>
      </w:pPr>
    </w:p>
    <w:p w:rsidR="004767DA" w:rsidRPr="00E1517D" w:rsidRDefault="004767DA" w:rsidP="004767DA">
      <w:pPr>
        <w:rPr>
          <w:rFonts w:ascii="Calibri" w:hAnsi="Calibri" w:cs="Calibri"/>
          <w:b/>
        </w:rPr>
      </w:pPr>
      <w:r w:rsidRPr="00E1517D">
        <w:rPr>
          <w:rFonts w:ascii="Calibri" w:hAnsi="Calibri" w:cs="Calibri"/>
          <w:b/>
        </w:rPr>
        <w:lastRenderedPageBreak/>
        <w:t>7. OBMIAR ROBÓT</w:t>
      </w:r>
    </w:p>
    <w:p w:rsidR="004767DA" w:rsidRPr="00C3632E" w:rsidRDefault="004767DA" w:rsidP="004767DA">
      <w:pPr>
        <w:rPr>
          <w:rFonts w:ascii="Calibri" w:hAnsi="Calibri" w:cs="Calibri"/>
        </w:rPr>
      </w:pPr>
      <w:r w:rsidRPr="00E1517D">
        <w:rPr>
          <w:rFonts w:ascii="Calibri" w:hAnsi="Calibri" w:cs="Calibri"/>
          <w:b/>
        </w:rPr>
        <w:t>7.1.</w:t>
      </w:r>
      <w:r w:rsidRPr="00C3632E">
        <w:rPr>
          <w:rFonts w:ascii="Calibri" w:hAnsi="Calibri" w:cs="Calibri"/>
        </w:rPr>
        <w:t xml:space="preserve"> Ogólne zasady obmiaru robót</w:t>
      </w:r>
    </w:p>
    <w:p w:rsidR="004767DA" w:rsidRPr="00C3632E" w:rsidRDefault="004767DA" w:rsidP="004767DA">
      <w:pPr>
        <w:rPr>
          <w:rFonts w:ascii="Calibri" w:hAnsi="Calibri" w:cs="Calibri"/>
        </w:rPr>
      </w:pPr>
      <w:r w:rsidRPr="00C3632E">
        <w:rPr>
          <w:rFonts w:ascii="Calibri" w:hAnsi="Calibri" w:cs="Calibri"/>
        </w:rPr>
        <w:tab/>
        <w:t>Ogólne</w:t>
      </w:r>
      <w:r>
        <w:rPr>
          <w:rFonts w:ascii="Calibri" w:hAnsi="Calibri" w:cs="Calibri"/>
        </w:rPr>
        <w:t xml:space="preserve"> zasady obmiaru robót podano w </w:t>
      </w:r>
      <w:r w:rsidRPr="00C3632E">
        <w:rPr>
          <w:rFonts w:ascii="Calibri" w:hAnsi="Calibri" w:cs="Calibri"/>
        </w:rPr>
        <w:t>ST D-M-00.00.00 „Wymagania ogólne” pkt 7.</w:t>
      </w:r>
    </w:p>
    <w:p w:rsidR="004767DA" w:rsidRPr="00C3632E" w:rsidRDefault="004767DA" w:rsidP="004767DA">
      <w:pPr>
        <w:rPr>
          <w:rFonts w:ascii="Calibri" w:hAnsi="Calibri" w:cs="Calibri"/>
        </w:rPr>
      </w:pPr>
      <w:r w:rsidRPr="00E1517D">
        <w:rPr>
          <w:rFonts w:ascii="Calibri" w:hAnsi="Calibri" w:cs="Calibri"/>
          <w:b/>
        </w:rPr>
        <w:t>7.2.</w:t>
      </w:r>
      <w:r w:rsidRPr="00C3632E">
        <w:rPr>
          <w:rFonts w:ascii="Calibri" w:hAnsi="Calibri" w:cs="Calibri"/>
        </w:rPr>
        <w:t xml:space="preserve"> Jednostka obmiarowa</w:t>
      </w:r>
    </w:p>
    <w:p w:rsidR="004767DA" w:rsidRPr="00C3632E" w:rsidRDefault="004767DA" w:rsidP="004767DA">
      <w:pPr>
        <w:rPr>
          <w:rFonts w:ascii="Calibri" w:hAnsi="Calibri" w:cs="Calibri"/>
        </w:rPr>
      </w:pPr>
      <w:r w:rsidRPr="00C3632E">
        <w:rPr>
          <w:rFonts w:ascii="Calibri" w:hAnsi="Calibri" w:cs="Calibri"/>
        </w:rPr>
        <w:tab/>
        <w:t>Jednostką obmiarową robót związanych z usunięciem drzew i krzaków jest:</w:t>
      </w:r>
    </w:p>
    <w:p w:rsidR="004767DA" w:rsidRPr="00C3632E" w:rsidRDefault="007A3E8C" w:rsidP="004767DA">
      <w:pPr>
        <w:rPr>
          <w:rFonts w:ascii="Calibri" w:hAnsi="Calibri" w:cs="Calibri"/>
        </w:rPr>
      </w:pPr>
      <w:r>
        <w:rPr>
          <w:rFonts w:ascii="Calibri" w:hAnsi="Calibri" w:cs="Calibri"/>
        </w:rPr>
        <w:t>-</w:t>
      </w:r>
      <w:r w:rsidR="004767DA" w:rsidRPr="00C3632E">
        <w:rPr>
          <w:rFonts w:ascii="Calibri" w:hAnsi="Calibri" w:cs="Calibri"/>
        </w:rPr>
        <w:t>dla drzew</w:t>
      </w:r>
      <w:r w:rsidR="004767DA" w:rsidRPr="00C3632E">
        <w:rPr>
          <w:rFonts w:ascii="Calibri" w:hAnsi="Calibri" w:cs="Calibri"/>
        </w:rPr>
        <w:tab/>
        <w:t>- sztuka,</w:t>
      </w:r>
    </w:p>
    <w:p w:rsidR="004767DA" w:rsidRDefault="007A3E8C" w:rsidP="004767DA">
      <w:pPr>
        <w:rPr>
          <w:rFonts w:ascii="Calibri" w:hAnsi="Calibri" w:cs="Calibri"/>
        </w:rPr>
      </w:pPr>
      <w:r>
        <w:rPr>
          <w:rFonts w:ascii="Calibri" w:hAnsi="Calibri" w:cs="Calibri"/>
        </w:rPr>
        <w:t>-</w:t>
      </w:r>
      <w:r w:rsidR="004767DA" w:rsidRPr="00C3632E">
        <w:rPr>
          <w:rFonts w:ascii="Calibri" w:hAnsi="Calibri" w:cs="Calibri"/>
        </w:rPr>
        <w:t>dla krzaków</w:t>
      </w:r>
      <w:r w:rsidR="004767DA" w:rsidRPr="00C3632E">
        <w:rPr>
          <w:rFonts w:ascii="Calibri" w:hAnsi="Calibri" w:cs="Calibri"/>
        </w:rPr>
        <w:tab/>
        <w:t>- hektar.</w:t>
      </w:r>
    </w:p>
    <w:p w:rsidR="004767DA" w:rsidRPr="00C3632E" w:rsidRDefault="004767DA" w:rsidP="004767DA">
      <w:pPr>
        <w:rPr>
          <w:rFonts w:ascii="Calibri" w:hAnsi="Calibri" w:cs="Calibri"/>
        </w:rPr>
      </w:pPr>
    </w:p>
    <w:p w:rsidR="004767DA" w:rsidRPr="00E1517D" w:rsidRDefault="004767DA" w:rsidP="004767DA">
      <w:pPr>
        <w:rPr>
          <w:rFonts w:ascii="Calibri" w:hAnsi="Calibri" w:cs="Calibri"/>
          <w:b/>
        </w:rPr>
      </w:pPr>
      <w:r w:rsidRPr="00E1517D">
        <w:rPr>
          <w:rFonts w:ascii="Calibri" w:hAnsi="Calibri" w:cs="Calibri"/>
          <w:b/>
        </w:rPr>
        <w:t>8. ODBIÓR ROBÓT</w:t>
      </w:r>
    </w:p>
    <w:p w:rsidR="004767DA" w:rsidRPr="00C3632E" w:rsidRDefault="004767DA" w:rsidP="004767DA">
      <w:pPr>
        <w:rPr>
          <w:rFonts w:ascii="Calibri" w:hAnsi="Calibri" w:cs="Calibri"/>
        </w:rPr>
      </w:pPr>
      <w:r w:rsidRPr="00E1517D">
        <w:rPr>
          <w:rFonts w:ascii="Calibri" w:hAnsi="Calibri" w:cs="Calibri"/>
          <w:b/>
        </w:rPr>
        <w:t>8.1.</w:t>
      </w:r>
      <w:r w:rsidRPr="00C3632E">
        <w:rPr>
          <w:rFonts w:ascii="Calibri" w:hAnsi="Calibri" w:cs="Calibri"/>
        </w:rPr>
        <w:t xml:space="preserve"> Ogólne zasady odbioru robót</w:t>
      </w:r>
    </w:p>
    <w:p w:rsidR="004767DA" w:rsidRPr="00C3632E" w:rsidRDefault="004767DA" w:rsidP="004767DA">
      <w:pPr>
        <w:rPr>
          <w:rFonts w:ascii="Calibri" w:hAnsi="Calibri" w:cs="Calibri"/>
        </w:rPr>
      </w:pPr>
      <w:r w:rsidRPr="00C3632E">
        <w:rPr>
          <w:rFonts w:ascii="Calibri" w:hAnsi="Calibri" w:cs="Calibri"/>
        </w:rPr>
        <w:tab/>
        <w:t>Ogólne</w:t>
      </w:r>
      <w:r>
        <w:rPr>
          <w:rFonts w:ascii="Calibri" w:hAnsi="Calibri" w:cs="Calibri"/>
        </w:rPr>
        <w:t xml:space="preserve"> zasady odbioru robót podano w </w:t>
      </w:r>
      <w:r w:rsidRPr="00C3632E">
        <w:rPr>
          <w:rFonts w:ascii="Calibri" w:hAnsi="Calibri" w:cs="Calibri"/>
        </w:rPr>
        <w:t>ST D-M-00.00.00 „Wymagania ogólne” pkt 8.</w:t>
      </w:r>
    </w:p>
    <w:p w:rsidR="004767DA" w:rsidRPr="00C3632E" w:rsidRDefault="004767DA" w:rsidP="004767DA">
      <w:pPr>
        <w:rPr>
          <w:rFonts w:ascii="Calibri" w:hAnsi="Calibri" w:cs="Calibri"/>
        </w:rPr>
      </w:pPr>
      <w:r w:rsidRPr="00E1517D">
        <w:rPr>
          <w:rFonts w:ascii="Calibri" w:hAnsi="Calibri" w:cs="Calibri"/>
          <w:b/>
        </w:rPr>
        <w:t>8.2.</w:t>
      </w:r>
      <w:r w:rsidRPr="00C3632E">
        <w:rPr>
          <w:rFonts w:ascii="Calibri" w:hAnsi="Calibri" w:cs="Calibri"/>
        </w:rPr>
        <w:t xml:space="preserve"> Odbiór robót zanikających i ulegających zakryciu</w:t>
      </w:r>
    </w:p>
    <w:p w:rsidR="004767DA" w:rsidRDefault="004767DA" w:rsidP="004767DA">
      <w:pPr>
        <w:rPr>
          <w:rFonts w:ascii="Calibri" w:hAnsi="Calibri" w:cs="Calibri"/>
        </w:rPr>
      </w:pPr>
      <w:r w:rsidRPr="00C3632E">
        <w:rPr>
          <w:rFonts w:ascii="Calibri" w:hAnsi="Calibri" w:cs="Calibri"/>
        </w:rPr>
        <w:tab/>
        <w:t>Odbiorowi robót zanikających i ulegających zakryciu podlega sprawdzenie dołów po wykarczowanych pniach, przed ich zasypaniem.</w:t>
      </w:r>
    </w:p>
    <w:p w:rsidR="004767DA" w:rsidRPr="00C3632E" w:rsidRDefault="004767DA" w:rsidP="004767DA">
      <w:pPr>
        <w:rPr>
          <w:rFonts w:ascii="Calibri" w:hAnsi="Calibri" w:cs="Calibri"/>
        </w:rPr>
      </w:pPr>
    </w:p>
    <w:p w:rsidR="004767DA" w:rsidRPr="00E1517D" w:rsidRDefault="004767DA" w:rsidP="004767DA">
      <w:pPr>
        <w:rPr>
          <w:rFonts w:ascii="Calibri" w:hAnsi="Calibri" w:cs="Calibri"/>
          <w:b/>
        </w:rPr>
      </w:pPr>
      <w:r w:rsidRPr="00E1517D">
        <w:rPr>
          <w:rFonts w:ascii="Calibri" w:hAnsi="Calibri" w:cs="Calibri"/>
          <w:b/>
        </w:rPr>
        <w:t>9. PODSTAWA PŁATNOŚCI</w:t>
      </w:r>
    </w:p>
    <w:p w:rsidR="004767DA" w:rsidRPr="00C3632E" w:rsidRDefault="004767DA" w:rsidP="004767DA">
      <w:pPr>
        <w:rPr>
          <w:rFonts w:ascii="Calibri" w:hAnsi="Calibri" w:cs="Calibri"/>
        </w:rPr>
      </w:pPr>
      <w:r w:rsidRPr="00E1517D">
        <w:rPr>
          <w:rFonts w:ascii="Calibri" w:hAnsi="Calibri" w:cs="Calibri"/>
          <w:b/>
        </w:rPr>
        <w:t>9.1.</w:t>
      </w:r>
      <w:r w:rsidRPr="00C3632E">
        <w:rPr>
          <w:rFonts w:ascii="Calibri" w:hAnsi="Calibri" w:cs="Calibri"/>
        </w:rPr>
        <w:t xml:space="preserve"> Ogólne ustalenia dotyczące podstawy płatności</w:t>
      </w:r>
    </w:p>
    <w:p w:rsidR="004767DA" w:rsidRPr="00C3632E" w:rsidRDefault="004767DA" w:rsidP="004767DA">
      <w:pPr>
        <w:rPr>
          <w:rFonts w:ascii="Calibri" w:hAnsi="Calibri" w:cs="Calibri"/>
        </w:rPr>
      </w:pPr>
      <w:r w:rsidRPr="00C3632E">
        <w:rPr>
          <w:rFonts w:ascii="Calibri" w:hAnsi="Calibri" w:cs="Calibri"/>
        </w:rPr>
        <w:tab/>
        <w:t>Ogólne ustalenia dotyczą</w:t>
      </w:r>
      <w:r>
        <w:rPr>
          <w:rFonts w:ascii="Calibri" w:hAnsi="Calibri" w:cs="Calibri"/>
        </w:rPr>
        <w:t xml:space="preserve">ce podstawy płatności podano w </w:t>
      </w:r>
      <w:r w:rsidRPr="00C3632E">
        <w:rPr>
          <w:rFonts w:ascii="Calibri" w:hAnsi="Calibri" w:cs="Calibri"/>
        </w:rPr>
        <w:t>ST D-M-00.00.00 „Wymagania ogólne” pkt 9.</w:t>
      </w:r>
    </w:p>
    <w:p w:rsidR="004767DA" w:rsidRPr="00C3632E" w:rsidRDefault="004767DA" w:rsidP="004767DA">
      <w:pPr>
        <w:rPr>
          <w:rFonts w:ascii="Calibri" w:hAnsi="Calibri" w:cs="Calibri"/>
        </w:rPr>
      </w:pPr>
      <w:r w:rsidRPr="00E1517D">
        <w:rPr>
          <w:rFonts w:ascii="Calibri" w:hAnsi="Calibri" w:cs="Calibri"/>
          <w:b/>
        </w:rPr>
        <w:t>9.2.</w:t>
      </w:r>
      <w:r w:rsidRPr="00C3632E">
        <w:rPr>
          <w:rFonts w:ascii="Calibri" w:hAnsi="Calibri" w:cs="Calibri"/>
        </w:rPr>
        <w:t xml:space="preserve"> Cena jednostki obmiarowej</w:t>
      </w:r>
    </w:p>
    <w:p w:rsidR="004767DA" w:rsidRPr="00C3632E" w:rsidRDefault="004767DA" w:rsidP="004767DA">
      <w:pPr>
        <w:rPr>
          <w:rFonts w:ascii="Calibri" w:hAnsi="Calibri" w:cs="Calibri"/>
        </w:rPr>
      </w:pPr>
      <w:r w:rsidRPr="00C3632E">
        <w:rPr>
          <w:rFonts w:ascii="Calibri" w:hAnsi="Calibri" w:cs="Calibri"/>
        </w:rPr>
        <w:tab/>
        <w:t>Płatność należy przyjmować na podstawie jednostek obmiarowych według pkt 7.</w:t>
      </w:r>
    </w:p>
    <w:p w:rsidR="004767DA" w:rsidRPr="00C3632E" w:rsidRDefault="004767DA" w:rsidP="004767DA">
      <w:pPr>
        <w:rPr>
          <w:rFonts w:ascii="Calibri" w:hAnsi="Calibri" w:cs="Calibri"/>
        </w:rPr>
      </w:pPr>
      <w:r w:rsidRPr="00C3632E">
        <w:rPr>
          <w:rFonts w:ascii="Calibri" w:hAnsi="Calibri" w:cs="Calibri"/>
        </w:rPr>
        <w:tab/>
        <w:t>Cena wykonania robót obejmuje:</w:t>
      </w:r>
    </w:p>
    <w:p w:rsidR="004767DA" w:rsidRPr="00C3632E" w:rsidRDefault="00301193" w:rsidP="004767DA">
      <w:pPr>
        <w:rPr>
          <w:rFonts w:ascii="Calibri" w:hAnsi="Calibri" w:cs="Calibri"/>
        </w:rPr>
      </w:pPr>
      <w:r>
        <w:rPr>
          <w:rFonts w:ascii="Calibri" w:hAnsi="Calibri" w:cs="Calibri"/>
        </w:rPr>
        <w:t>-</w:t>
      </w:r>
      <w:r w:rsidR="004767DA" w:rsidRPr="00C3632E">
        <w:rPr>
          <w:rFonts w:ascii="Calibri" w:hAnsi="Calibri" w:cs="Calibri"/>
        </w:rPr>
        <w:t>wycięcie i wykarczowanie drzew i krzaków,</w:t>
      </w:r>
    </w:p>
    <w:p w:rsidR="004767DA" w:rsidRPr="00C3632E" w:rsidRDefault="00301193" w:rsidP="004767DA">
      <w:pPr>
        <w:rPr>
          <w:rFonts w:ascii="Calibri" w:hAnsi="Calibri" w:cs="Calibri"/>
        </w:rPr>
      </w:pPr>
      <w:r>
        <w:rPr>
          <w:rFonts w:ascii="Calibri" w:hAnsi="Calibri" w:cs="Calibri"/>
        </w:rPr>
        <w:t>-</w:t>
      </w:r>
      <w:r w:rsidR="004767DA" w:rsidRPr="00C3632E">
        <w:rPr>
          <w:rFonts w:ascii="Calibri" w:hAnsi="Calibri" w:cs="Calibri"/>
        </w:rPr>
        <w:t>wywiezienie pni, karpiny i gałęzi poza teren budowy lub przerobienie gałęzi na korę drzewną, względnie spalenie na miejscu pozostałości po wykarczowaniu,</w:t>
      </w:r>
    </w:p>
    <w:p w:rsidR="004767DA" w:rsidRPr="00C3632E" w:rsidRDefault="00301193" w:rsidP="004767DA">
      <w:pPr>
        <w:rPr>
          <w:rFonts w:ascii="Calibri" w:hAnsi="Calibri" w:cs="Calibri"/>
        </w:rPr>
      </w:pPr>
      <w:r>
        <w:rPr>
          <w:rFonts w:ascii="Calibri" w:hAnsi="Calibri" w:cs="Calibri"/>
        </w:rPr>
        <w:t>-</w:t>
      </w:r>
      <w:r w:rsidR="004767DA" w:rsidRPr="00C3632E">
        <w:rPr>
          <w:rFonts w:ascii="Calibri" w:hAnsi="Calibri" w:cs="Calibri"/>
        </w:rPr>
        <w:t>zasypanie dołów,</w:t>
      </w:r>
    </w:p>
    <w:p w:rsidR="004767DA" w:rsidRDefault="00301193" w:rsidP="004767DA">
      <w:pPr>
        <w:rPr>
          <w:rFonts w:ascii="Calibri" w:hAnsi="Calibri" w:cs="Calibri"/>
        </w:rPr>
      </w:pPr>
      <w:r>
        <w:rPr>
          <w:rFonts w:ascii="Calibri" w:hAnsi="Calibri" w:cs="Calibri"/>
        </w:rPr>
        <w:t>-</w:t>
      </w:r>
      <w:r w:rsidR="004767DA" w:rsidRPr="00C3632E">
        <w:rPr>
          <w:rFonts w:ascii="Calibri" w:hAnsi="Calibri" w:cs="Calibri"/>
        </w:rPr>
        <w:t>uporządkowanie miejsca prowadzonych robót.</w:t>
      </w:r>
    </w:p>
    <w:p w:rsidR="004767DA" w:rsidRPr="00C3632E" w:rsidRDefault="004767DA" w:rsidP="004767DA">
      <w:pPr>
        <w:rPr>
          <w:rFonts w:ascii="Calibri" w:hAnsi="Calibri" w:cs="Calibri"/>
        </w:rPr>
      </w:pPr>
    </w:p>
    <w:p w:rsidR="004767DA" w:rsidRPr="00E1517D" w:rsidRDefault="004767DA" w:rsidP="004767DA">
      <w:pPr>
        <w:rPr>
          <w:rFonts w:ascii="Calibri" w:hAnsi="Calibri" w:cs="Calibri"/>
          <w:b/>
        </w:rPr>
      </w:pPr>
      <w:r w:rsidRPr="00E1517D">
        <w:rPr>
          <w:rFonts w:ascii="Calibri" w:hAnsi="Calibri" w:cs="Calibri"/>
          <w:b/>
        </w:rPr>
        <w:t>10. PRZEPISY ZWIĄZANE</w:t>
      </w:r>
    </w:p>
    <w:p w:rsidR="004767DA" w:rsidRPr="00C3632E" w:rsidRDefault="004767DA" w:rsidP="004767DA">
      <w:pPr>
        <w:rPr>
          <w:rFonts w:ascii="Calibri" w:hAnsi="Calibri" w:cs="Calibri"/>
        </w:rPr>
      </w:pPr>
      <w:r w:rsidRPr="00C3632E">
        <w:rPr>
          <w:rFonts w:ascii="Calibri" w:hAnsi="Calibri" w:cs="Calibri"/>
        </w:rPr>
        <w:tab/>
        <w:t>Nie występują.</w:t>
      </w:r>
    </w:p>
    <w:p w:rsidR="004767DA" w:rsidRPr="00C3632E" w:rsidRDefault="004767DA" w:rsidP="004767DA">
      <w:pPr>
        <w:rPr>
          <w:rFonts w:ascii="Calibri" w:hAnsi="Calibri" w:cs="Calibri"/>
        </w:rPr>
      </w:pPr>
    </w:p>
    <w:p w:rsidR="004767DA" w:rsidRPr="00C3632E" w:rsidRDefault="004767DA" w:rsidP="004767DA">
      <w:pPr>
        <w:rPr>
          <w:rFonts w:ascii="Calibri" w:hAnsi="Calibri" w:cs="Calibri"/>
        </w:rPr>
      </w:pPr>
      <w:r w:rsidRPr="00C3632E">
        <w:rPr>
          <w:rFonts w:ascii="Calibri" w:hAnsi="Calibri" w:cs="Calibri"/>
        </w:rPr>
        <w:tab/>
      </w:r>
    </w:p>
    <w:p w:rsidR="004767DA" w:rsidRPr="00C3632E" w:rsidRDefault="004767DA" w:rsidP="004767DA">
      <w:pPr>
        <w:rPr>
          <w:rFonts w:ascii="Calibri" w:hAnsi="Calibri" w:cs="Calibri"/>
        </w:rPr>
      </w:pPr>
    </w:p>
    <w:p w:rsidR="004767DA" w:rsidRPr="00C3632E" w:rsidRDefault="004767DA" w:rsidP="004767DA">
      <w:pPr>
        <w:rPr>
          <w:rFonts w:ascii="Calibri" w:hAnsi="Calibri" w:cs="Calibri"/>
        </w:rPr>
      </w:pPr>
    </w:p>
    <w:p w:rsidR="004767DA" w:rsidRPr="00C3632E" w:rsidRDefault="004767DA" w:rsidP="004767DA">
      <w:pPr>
        <w:rPr>
          <w:rFonts w:ascii="Calibri" w:hAnsi="Calibri" w:cs="Calibri"/>
        </w:rPr>
      </w:pPr>
    </w:p>
    <w:p w:rsidR="004767DA" w:rsidRPr="00C3632E" w:rsidRDefault="004767DA" w:rsidP="004767DA">
      <w:pPr>
        <w:rPr>
          <w:rFonts w:ascii="Calibri" w:hAnsi="Calibri" w:cs="Calibri"/>
        </w:rPr>
      </w:pPr>
    </w:p>
    <w:p w:rsidR="004767DA" w:rsidRPr="00C3632E" w:rsidRDefault="004767DA" w:rsidP="004767DA">
      <w:pPr>
        <w:rPr>
          <w:rFonts w:ascii="Calibri" w:hAnsi="Calibri" w:cs="Calibri"/>
        </w:rPr>
      </w:pPr>
    </w:p>
    <w:p w:rsidR="004767DA" w:rsidRPr="00C3632E" w:rsidRDefault="004767DA" w:rsidP="004767DA">
      <w:pPr>
        <w:rPr>
          <w:rFonts w:ascii="Calibri" w:hAnsi="Calibri" w:cs="Calibri"/>
        </w:rPr>
      </w:pPr>
    </w:p>
    <w:p w:rsidR="004767DA" w:rsidRPr="00C3632E" w:rsidRDefault="004767DA" w:rsidP="004767DA">
      <w:pPr>
        <w:rPr>
          <w:rFonts w:ascii="Calibri" w:hAnsi="Calibri" w:cs="Calibri"/>
        </w:rPr>
      </w:pPr>
    </w:p>
    <w:p w:rsidR="004767DA" w:rsidRPr="00C3632E" w:rsidRDefault="004767DA" w:rsidP="004767DA">
      <w:pPr>
        <w:rPr>
          <w:rFonts w:ascii="Calibri" w:hAnsi="Calibri" w:cs="Calibri"/>
        </w:rPr>
      </w:pPr>
    </w:p>
    <w:p w:rsidR="004767DA" w:rsidRPr="00C3632E" w:rsidRDefault="004767DA" w:rsidP="004767DA">
      <w:pPr>
        <w:rPr>
          <w:rFonts w:ascii="Calibri" w:hAnsi="Calibri" w:cs="Calibri"/>
        </w:rPr>
      </w:pPr>
    </w:p>
    <w:p w:rsidR="004767DA" w:rsidRDefault="004767DA" w:rsidP="004767DA">
      <w:pPr>
        <w:rPr>
          <w:rFonts w:ascii="Calibri" w:hAnsi="Calibri" w:cs="Calibri"/>
        </w:rPr>
      </w:pPr>
    </w:p>
    <w:p w:rsidR="007A3E8C" w:rsidRDefault="007A3E8C" w:rsidP="004767DA">
      <w:pPr>
        <w:rPr>
          <w:rFonts w:ascii="Calibri" w:hAnsi="Calibri" w:cs="Calibri"/>
        </w:rPr>
      </w:pPr>
    </w:p>
    <w:p w:rsidR="007A3E8C" w:rsidRDefault="007A3E8C" w:rsidP="004767DA">
      <w:pPr>
        <w:rPr>
          <w:rFonts w:ascii="Calibri" w:hAnsi="Calibri" w:cs="Calibri"/>
        </w:rPr>
      </w:pPr>
    </w:p>
    <w:p w:rsidR="007A3E8C" w:rsidRDefault="007A3E8C" w:rsidP="004767DA">
      <w:pPr>
        <w:rPr>
          <w:rFonts w:ascii="Calibri" w:hAnsi="Calibri" w:cs="Calibri"/>
        </w:rPr>
      </w:pPr>
    </w:p>
    <w:p w:rsidR="007A3E8C" w:rsidRDefault="007A3E8C" w:rsidP="004767DA">
      <w:pPr>
        <w:rPr>
          <w:rFonts w:ascii="Calibri" w:hAnsi="Calibri" w:cs="Calibri"/>
        </w:rPr>
      </w:pPr>
    </w:p>
    <w:p w:rsidR="007A3E8C" w:rsidRDefault="007A3E8C" w:rsidP="004767DA">
      <w:pPr>
        <w:rPr>
          <w:rFonts w:ascii="Calibri" w:hAnsi="Calibri" w:cs="Calibri"/>
        </w:rPr>
      </w:pPr>
    </w:p>
    <w:p w:rsidR="007A3E8C" w:rsidRDefault="007A3E8C" w:rsidP="004767DA">
      <w:pPr>
        <w:rPr>
          <w:rFonts w:ascii="Calibri" w:hAnsi="Calibri" w:cs="Calibri"/>
        </w:rPr>
      </w:pPr>
    </w:p>
    <w:p w:rsidR="007A3E8C" w:rsidRDefault="007A3E8C" w:rsidP="004767DA">
      <w:pPr>
        <w:rPr>
          <w:rFonts w:ascii="Calibri" w:hAnsi="Calibri" w:cs="Calibri"/>
        </w:rPr>
      </w:pPr>
    </w:p>
    <w:p w:rsidR="007A3E8C" w:rsidRDefault="007A3E8C" w:rsidP="004767DA">
      <w:pPr>
        <w:rPr>
          <w:rFonts w:ascii="Calibri" w:hAnsi="Calibri" w:cs="Calibri"/>
        </w:rPr>
      </w:pPr>
    </w:p>
    <w:p w:rsidR="007A3E8C" w:rsidRDefault="007A3E8C" w:rsidP="004767DA">
      <w:pPr>
        <w:rPr>
          <w:rFonts w:ascii="Calibri" w:hAnsi="Calibri" w:cs="Calibri"/>
        </w:rPr>
      </w:pPr>
    </w:p>
    <w:p w:rsidR="007A3E8C" w:rsidRDefault="007A3E8C" w:rsidP="004767DA">
      <w:pPr>
        <w:rPr>
          <w:rFonts w:ascii="Calibri" w:hAnsi="Calibri" w:cs="Calibri"/>
        </w:rPr>
      </w:pPr>
    </w:p>
    <w:p w:rsidR="007A3E8C" w:rsidRDefault="007A3E8C" w:rsidP="004767DA">
      <w:pPr>
        <w:rPr>
          <w:rFonts w:ascii="Calibri" w:hAnsi="Calibri" w:cs="Calibri"/>
        </w:rPr>
      </w:pPr>
    </w:p>
    <w:p w:rsidR="007A3E8C" w:rsidRDefault="007A3E8C" w:rsidP="004767DA">
      <w:pPr>
        <w:rPr>
          <w:rFonts w:ascii="Calibri" w:hAnsi="Calibri" w:cs="Calibri"/>
        </w:rPr>
      </w:pPr>
    </w:p>
    <w:p w:rsidR="007A3E8C" w:rsidRDefault="007A3E8C" w:rsidP="004767DA">
      <w:pPr>
        <w:rPr>
          <w:rFonts w:ascii="Calibri" w:hAnsi="Calibri" w:cs="Calibri"/>
        </w:rPr>
      </w:pPr>
    </w:p>
    <w:p w:rsidR="007A3E8C" w:rsidRPr="00C3632E" w:rsidRDefault="007A3E8C" w:rsidP="004767DA">
      <w:pPr>
        <w:rPr>
          <w:rFonts w:ascii="Calibri" w:hAnsi="Calibri" w:cs="Calibri"/>
        </w:rPr>
      </w:pPr>
    </w:p>
    <w:p w:rsidR="004767DA" w:rsidRPr="00C3632E" w:rsidRDefault="004767DA" w:rsidP="004767DA">
      <w:pPr>
        <w:rPr>
          <w:rFonts w:ascii="Calibri" w:hAnsi="Calibri" w:cs="Calibri"/>
        </w:rPr>
      </w:pPr>
    </w:p>
    <w:p w:rsidR="004767DA" w:rsidRPr="00C3632E" w:rsidRDefault="004767DA" w:rsidP="004767DA">
      <w:pPr>
        <w:rPr>
          <w:rFonts w:ascii="Calibri" w:hAnsi="Calibri" w:cs="Calibri"/>
        </w:rPr>
      </w:pPr>
    </w:p>
    <w:p w:rsidR="004767DA" w:rsidRPr="00C3632E" w:rsidRDefault="004767DA" w:rsidP="004767DA">
      <w:pPr>
        <w:rPr>
          <w:rFonts w:ascii="Calibri" w:hAnsi="Calibri" w:cs="Calibri"/>
        </w:rPr>
      </w:pPr>
    </w:p>
    <w:p w:rsidR="004767DA" w:rsidRPr="00C3632E" w:rsidRDefault="004767DA" w:rsidP="004767DA">
      <w:pPr>
        <w:rPr>
          <w:rFonts w:ascii="Calibri" w:hAnsi="Calibri" w:cs="Calibri"/>
        </w:rPr>
      </w:pPr>
    </w:p>
    <w:p w:rsidR="007A3E8C" w:rsidRDefault="007A3E8C" w:rsidP="004767DA">
      <w:pPr>
        <w:rPr>
          <w:rFonts w:ascii="Calibri" w:hAnsi="Calibri" w:cs="Calibri"/>
        </w:rPr>
      </w:pPr>
    </w:p>
    <w:p w:rsidR="007A3E8C" w:rsidRDefault="007A3E8C" w:rsidP="004767DA">
      <w:pPr>
        <w:rPr>
          <w:rFonts w:ascii="Calibri" w:hAnsi="Calibri" w:cs="Calibri"/>
        </w:rPr>
      </w:pPr>
    </w:p>
    <w:p w:rsidR="007A3E8C" w:rsidRDefault="007A3E8C" w:rsidP="004767DA">
      <w:pPr>
        <w:rPr>
          <w:rFonts w:ascii="Calibri" w:hAnsi="Calibri" w:cs="Calibri"/>
        </w:rPr>
      </w:pPr>
    </w:p>
    <w:p w:rsidR="007A3E8C" w:rsidRDefault="007A3E8C" w:rsidP="004767DA">
      <w:pPr>
        <w:rPr>
          <w:rFonts w:ascii="Calibri" w:hAnsi="Calibri" w:cs="Calibri"/>
        </w:rPr>
      </w:pPr>
    </w:p>
    <w:p w:rsidR="007A3E8C" w:rsidRDefault="007A3E8C" w:rsidP="004767DA">
      <w:pPr>
        <w:rPr>
          <w:rFonts w:ascii="Calibri" w:hAnsi="Calibri" w:cs="Calibri"/>
        </w:rPr>
      </w:pPr>
    </w:p>
    <w:p w:rsidR="007A3E8C" w:rsidRDefault="007A3E8C" w:rsidP="004767DA">
      <w:pPr>
        <w:rPr>
          <w:rFonts w:ascii="Calibri" w:hAnsi="Calibri" w:cs="Calibri"/>
        </w:rPr>
      </w:pPr>
    </w:p>
    <w:p w:rsidR="007A3E8C" w:rsidRPr="00C3632E" w:rsidRDefault="007A3E8C" w:rsidP="004767DA">
      <w:pPr>
        <w:rPr>
          <w:rFonts w:ascii="Calibri" w:hAnsi="Calibri" w:cs="Calibri"/>
        </w:rPr>
      </w:pPr>
    </w:p>
    <w:p w:rsidR="004767DA" w:rsidRPr="00C3632E" w:rsidRDefault="004767DA" w:rsidP="004767DA">
      <w:pPr>
        <w:rPr>
          <w:rFonts w:ascii="Calibri" w:hAnsi="Calibri" w:cs="Calibri"/>
        </w:rPr>
      </w:pPr>
    </w:p>
    <w:p w:rsidR="004767DA" w:rsidRPr="00C3632E" w:rsidRDefault="004767DA" w:rsidP="004767DA">
      <w:pPr>
        <w:rPr>
          <w:rFonts w:ascii="Calibri" w:hAnsi="Calibri" w:cs="Calibri"/>
        </w:rPr>
      </w:pPr>
    </w:p>
    <w:p w:rsidR="004767DA" w:rsidRDefault="004767DA" w:rsidP="004767DA">
      <w:pPr>
        <w:rPr>
          <w:rFonts w:ascii="Calibri" w:hAnsi="Calibri" w:cs="Calibri"/>
        </w:rPr>
      </w:pPr>
    </w:p>
    <w:p w:rsidR="008545BB" w:rsidRDefault="008545BB" w:rsidP="008545BB">
      <w:pPr>
        <w:pStyle w:val="Nagwek1"/>
        <w:rPr>
          <w:rFonts w:asciiTheme="minorHAnsi" w:hAnsiTheme="minorHAnsi"/>
        </w:rPr>
      </w:pPr>
    </w:p>
    <w:p w:rsidR="008545BB" w:rsidRDefault="008545BB" w:rsidP="008545BB"/>
    <w:p w:rsidR="008545BB" w:rsidRPr="008545BB" w:rsidRDefault="008545BB" w:rsidP="008545BB"/>
    <w:p w:rsidR="008545BB" w:rsidRPr="001C5F6A" w:rsidRDefault="008545BB" w:rsidP="008545BB">
      <w:pPr>
        <w:pStyle w:val="Nagwek1"/>
        <w:rPr>
          <w:rFonts w:asciiTheme="minorHAnsi" w:hAnsiTheme="minorHAnsi"/>
        </w:rPr>
      </w:pPr>
    </w:p>
    <w:p w:rsidR="008545BB" w:rsidRPr="001C5F6A" w:rsidRDefault="008545BB" w:rsidP="008545BB">
      <w:pPr>
        <w:pStyle w:val="Nagwek1"/>
        <w:rPr>
          <w:rFonts w:asciiTheme="minorHAnsi" w:hAnsiTheme="minorHAnsi"/>
        </w:rPr>
      </w:pPr>
    </w:p>
    <w:p w:rsidR="008545BB" w:rsidRPr="001C5F6A" w:rsidRDefault="008545BB" w:rsidP="008545BB">
      <w:pPr>
        <w:pStyle w:val="Nagwek1"/>
        <w:jc w:val="center"/>
      </w:pPr>
      <w:bookmarkStart w:id="256" w:name="_Toc404983721"/>
      <w:bookmarkStart w:id="257" w:name="_Toc438237714"/>
      <w:r w:rsidRPr="001C5F6A">
        <w:t>D–01.02.01a OCHRONA  ISTNIEJĄCYCH  DRZEW W  OKRESIE  BUDOWY  DROGI</w:t>
      </w:r>
      <w:bookmarkEnd w:id="256"/>
      <w:bookmarkEnd w:id="257"/>
    </w:p>
    <w:p w:rsidR="008545BB" w:rsidRPr="001C5F6A" w:rsidRDefault="008545BB" w:rsidP="008545BB">
      <w:pPr>
        <w:rPr>
          <w:rFonts w:asciiTheme="minorHAnsi" w:hAnsiTheme="minorHAnsi"/>
        </w:rPr>
      </w:pPr>
    </w:p>
    <w:p w:rsidR="008545BB" w:rsidRPr="001C5F6A" w:rsidRDefault="008545BB" w:rsidP="008545BB">
      <w:pPr>
        <w:rPr>
          <w:rFonts w:asciiTheme="minorHAnsi" w:hAnsiTheme="minorHAnsi"/>
        </w:rPr>
      </w:pPr>
    </w:p>
    <w:p w:rsidR="008545BB" w:rsidRPr="001C5F6A" w:rsidRDefault="008545BB" w:rsidP="008545BB">
      <w:pPr>
        <w:rPr>
          <w:rFonts w:asciiTheme="minorHAnsi" w:hAnsiTheme="minorHAnsi"/>
        </w:rPr>
      </w:pPr>
    </w:p>
    <w:p w:rsidR="008545BB" w:rsidRPr="001C5F6A" w:rsidRDefault="008545BB" w:rsidP="008545BB">
      <w:pPr>
        <w:rPr>
          <w:rFonts w:asciiTheme="minorHAnsi" w:hAnsiTheme="minorHAnsi"/>
        </w:rPr>
      </w:pPr>
    </w:p>
    <w:p w:rsidR="008545BB" w:rsidRPr="001C5F6A" w:rsidRDefault="008545BB" w:rsidP="008545BB">
      <w:pPr>
        <w:rPr>
          <w:rFonts w:asciiTheme="minorHAnsi" w:hAnsiTheme="minorHAnsi"/>
        </w:rPr>
      </w:pPr>
    </w:p>
    <w:p w:rsidR="008545BB" w:rsidRPr="001C5F6A" w:rsidRDefault="008545BB" w:rsidP="008545BB">
      <w:pPr>
        <w:rPr>
          <w:rFonts w:asciiTheme="minorHAnsi" w:hAnsiTheme="minorHAnsi"/>
        </w:rPr>
      </w:pPr>
    </w:p>
    <w:p w:rsidR="008545BB" w:rsidRPr="001C5F6A" w:rsidRDefault="008545BB" w:rsidP="008545BB">
      <w:pPr>
        <w:rPr>
          <w:rFonts w:asciiTheme="minorHAnsi" w:hAnsiTheme="minorHAnsi"/>
        </w:rPr>
      </w:pPr>
    </w:p>
    <w:p w:rsidR="008545BB" w:rsidRPr="001C5F6A" w:rsidRDefault="008545BB" w:rsidP="008545BB">
      <w:pPr>
        <w:rPr>
          <w:rFonts w:asciiTheme="minorHAnsi" w:hAnsiTheme="minorHAnsi"/>
        </w:rPr>
      </w:pPr>
    </w:p>
    <w:p w:rsidR="008545BB" w:rsidRPr="001C5F6A" w:rsidRDefault="008545BB" w:rsidP="008545BB">
      <w:pPr>
        <w:rPr>
          <w:rFonts w:asciiTheme="minorHAnsi" w:hAnsiTheme="minorHAnsi"/>
        </w:rPr>
      </w:pPr>
    </w:p>
    <w:p w:rsidR="008545BB" w:rsidRPr="001C5F6A" w:rsidRDefault="008545BB" w:rsidP="008545BB">
      <w:pPr>
        <w:rPr>
          <w:rFonts w:asciiTheme="minorHAnsi" w:hAnsiTheme="minorHAnsi"/>
        </w:rPr>
      </w:pPr>
    </w:p>
    <w:p w:rsidR="008545BB" w:rsidRPr="001C5F6A" w:rsidRDefault="008545BB" w:rsidP="008545BB">
      <w:pPr>
        <w:rPr>
          <w:rFonts w:asciiTheme="minorHAnsi" w:hAnsiTheme="minorHAnsi"/>
        </w:rPr>
      </w:pPr>
    </w:p>
    <w:p w:rsidR="008545BB" w:rsidRPr="001C5F6A" w:rsidRDefault="008545BB" w:rsidP="008545BB">
      <w:pPr>
        <w:rPr>
          <w:rFonts w:asciiTheme="minorHAnsi" w:hAnsiTheme="minorHAnsi"/>
        </w:rPr>
      </w:pPr>
    </w:p>
    <w:p w:rsidR="008545BB" w:rsidRPr="001C5F6A" w:rsidRDefault="008545BB" w:rsidP="008545BB">
      <w:pPr>
        <w:rPr>
          <w:rFonts w:asciiTheme="minorHAnsi" w:hAnsiTheme="minorHAnsi"/>
        </w:rPr>
      </w:pPr>
    </w:p>
    <w:p w:rsidR="008545BB" w:rsidRPr="001C5F6A" w:rsidRDefault="008545BB" w:rsidP="008545BB">
      <w:pPr>
        <w:rPr>
          <w:rFonts w:asciiTheme="minorHAnsi" w:hAnsiTheme="minorHAnsi"/>
        </w:rPr>
      </w:pPr>
    </w:p>
    <w:p w:rsidR="008545BB" w:rsidRPr="001C5F6A" w:rsidRDefault="008545BB" w:rsidP="008545BB">
      <w:pPr>
        <w:rPr>
          <w:rFonts w:asciiTheme="minorHAnsi" w:hAnsiTheme="minorHAnsi"/>
        </w:rPr>
      </w:pPr>
    </w:p>
    <w:p w:rsidR="008545BB" w:rsidRPr="001C5F6A" w:rsidRDefault="008545BB" w:rsidP="008545BB">
      <w:pPr>
        <w:rPr>
          <w:rFonts w:asciiTheme="minorHAnsi" w:hAnsiTheme="minorHAnsi"/>
        </w:rPr>
      </w:pPr>
    </w:p>
    <w:p w:rsidR="008545BB" w:rsidRPr="001C5F6A" w:rsidRDefault="008545BB" w:rsidP="008545BB">
      <w:pPr>
        <w:rPr>
          <w:rFonts w:asciiTheme="minorHAnsi" w:hAnsiTheme="minorHAnsi"/>
        </w:rPr>
      </w:pPr>
    </w:p>
    <w:p w:rsidR="008545BB" w:rsidRPr="001C5F6A" w:rsidRDefault="008545BB" w:rsidP="008545BB">
      <w:pPr>
        <w:rPr>
          <w:rFonts w:asciiTheme="minorHAnsi" w:hAnsiTheme="minorHAnsi"/>
        </w:rPr>
      </w:pPr>
    </w:p>
    <w:p w:rsidR="008545BB" w:rsidRPr="001C5F6A" w:rsidRDefault="008545BB" w:rsidP="008545BB">
      <w:pPr>
        <w:rPr>
          <w:rFonts w:asciiTheme="minorHAnsi" w:hAnsiTheme="minorHAnsi"/>
        </w:rPr>
      </w:pPr>
    </w:p>
    <w:p w:rsidR="008545BB" w:rsidRPr="001C5F6A" w:rsidRDefault="008545BB" w:rsidP="008545BB">
      <w:pPr>
        <w:rPr>
          <w:rFonts w:asciiTheme="minorHAnsi" w:hAnsiTheme="minorHAnsi"/>
        </w:rPr>
      </w:pPr>
    </w:p>
    <w:p w:rsidR="008545BB" w:rsidRPr="001C5F6A" w:rsidRDefault="008545BB" w:rsidP="008545BB">
      <w:pPr>
        <w:rPr>
          <w:rFonts w:asciiTheme="minorHAnsi" w:hAnsiTheme="minorHAnsi"/>
        </w:rPr>
      </w:pPr>
    </w:p>
    <w:p w:rsidR="008545BB" w:rsidRDefault="008545BB" w:rsidP="008545BB">
      <w:pPr>
        <w:rPr>
          <w:rFonts w:asciiTheme="minorHAnsi" w:hAnsiTheme="minorHAnsi"/>
        </w:rPr>
      </w:pPr>
    </w:p>
    <w:p w:rsidR="008545BB" w:rsidRDefault="008545BB" w:rsidP="008545BB">
      <w:pPr>
        <w:rPr>
          <w:rFonts w:asciiTheme="minorHAnsi" w:hAnsiTheme="minorHAnsi"/>
        </w:rPr>
      </w:pPr>
    </w:p>
    <w:p w:rsidR="008545BB" w:rsidRDefault="008545BB" w:rsidP="008545BB">
      <w:pPr>
        <w:rPr>
          <w:rFonts w:asciiTheme="minorHAnsi" w:hAnsiTheme="minorHAnsi"/>
        </w:rPr>
      </w:pPr>
    </w:p>
    <w:p w:rsidR="008545BB" w:rsidRDefault="008545BB" w:rsidP="008545BB">
      <w:pPr>
        <w:rPr>
          <w:rFonts w:asciiTheme="minorHAnsi" w:hAnsiTheme="minorHAnsi"/>
        </w:rPr>
      </w:pPr>
    </w:p>
    <w:p w:rsidR="008545BB" w:rsidRDefault="008545BB" w:rsidP="008545BB">
      <w:pPr>
        <w:rPr>
          <w:rFonts w:asciiTheme="minorHAnsi" w:hAnsiTheme="minorHAnsi"/>
        </w:rPr>
      </w:pPr>
    </w:p>
    <w:p w:rsidR="008545BB" w:rsidRDefault="008545BB" w:rsidP="008545BB">
      <w:pPr>
        <w:rPr>
          <w:rFonts w:asciiTheme="minorHAnsi" w:hAnsiTheme="minorHAnsi"/>
        </w:rPr>
      </w:pPr>
    </w:p>
    <w:p w:rsidR="008545BB" w:rsidRDefault="008545BB" w:rsidP="008545BB">
      <w:pPr>
        <w:rPr>
          <w:rFonts w:asciiTheme="minorHAnsi" w:hAnsiTheme="minorHAnsi"/>
        </w:rPr>
      </w:pPr>
    </w:p>
    <w:p w:rsidR="008545BB" w:rsidRDefault="008545BB" w:rsidP="008545BB">
      <w:pPr>
        <w:rPr>
          <w:rFonts w:asciiTheme="minorHAnsi" w:hAnsiTheme="minorHAnsi"/>
        </w:rPr>
      </w:pPr>
    </w:p>
    <w:p w:rsidR="008545BB" w:rsidRDefault="008545BB" w:rsidP="008545BB">
      <w:pPr>
        <w:rPr>
          <w:rFonts w:asciiTheme="minorHAnsi" w:hAnsiTheme="minorHAnsi"/>
        </w:rPr>
      </w:pPr>
    </w:p>
    <w:p w:rsidR="008545BB" w:rsidRDefault="008545BB" w:rsidP="008545BB">
      <w:pPr>
        <w:rPr>
          <w:rFonts w:asciiTheme="minorHAnsi" w:hAnsiTheme="minorHAnsi"/>
        </w:rPr>
      </w:pPr>
    </w:p>
    <w:p w:rsidR="008545BB" w:rsidRDefault="008545BB" w:rsidP="008545BB">
      <w:pPr>
        <w:rPr>
          <w:rFonts w:asciiTheme="minorHAnsi" w:hAnsiTheme="minorHAnsi"/>
        </w:rPr>
      </w:pPr>
    </w:p>
    <w:p w:rsidR="008545BB" w:rsidRDefault="008545BB" w:rsidP="008545BB">
      <w:pPr>
        <w:rPr>
          <w:rFonts w:asciiTheme="minorHAnsi" w:hAnsiTheme="minorHAnsi"/>
        </w:rPr>
      </w:pPr>
    </w:p>
    <w:p w:rsidR="008545BB" w:rsidRDefault="008545BB" w:rsidP="008545BB">
      <w:pPr>
        <w:rPr>
          <w:rFonts w:asciiTheme="minorHAnsi" w:hAnsiTheme="minorHAnsi"/>
        </w:rPr>
      </w:pPr>
    </w:p>
    <w:p w:rsidR="008545BB" w:rsidRDefault="008545BB" w:rsidP="008545BB">
      <w:pPr>
        <w:rPr>
          <w:rFonts w:asciiTheme="minorHAnsi" w:hAnsiTheme="minorHAnsi"/>
        </w:rPr>
      </w:pPr>
    </w:p>
    <w:p w:rsidR="008545BB" w:rsidRDefault="008545BB" w:rsidP="008545BB">
      <w:pPr>
        <w:rPr>
          <w:rFonts w:asciiTheme="minorHAnsi" w:hAnsiTheme="minorHAnsi"/>
        </w:rPr>
      </w:pPr>
    </w:p>
    <w:p w:rsidR="008545BB" w:rsidRPr="001C5F6A" w:rsidRDefault="008545BB" w:rsidP="008545BB">
      <w:pPr>
        <w:rPr>
          <w:rFonts w:asciiTheme="minorHAnsi" w:hAnsiTheme="minorHAnsi"/>
        </w:rPr>
      </w:pPr>
    </w:p>
    <w:p w:rsidR="008545BB" w:rsidRPr="001C5F6A" w:rsidRDefault="008545BB" w:rsidP="008545BB">
      <w:pPr>
        <w:rPr>
          <w:rFonts w:asciiTheme="minorHAnsi" w:hAnsiTheme="minorHAnsi"/>
        </w:rPr>
      </w:pPr>
      <w:bookmarkStart w:id="258" w:name="_Toc164048098"/>
    </w:p>
    <w:p w:rsidR="008545BB" w:rsidRPr="001C5F6A" w:rsidRDefault="008545BB" w:rsidP="008545BB">
      <w:pPr>
        <w:rPr>
          <w:rFonts w:asciiTheme="minorHAnsi" w:hAnsiTheme="minorHAnsi"/>
        </w:rPr>
      </w:pPr>
    </w:p>
    <w:p w:rsidR="008545BB" w:rsidRPr="001C5F6A" w:rsidRDefault="008545BB" w:rsidP="008545BB">
      <w:pPr>
        <w:rPr>
          <w:rFonts w:asciiTheme="minorHAnsi" w:hAnsiTheme="minorHAnsi"/>
          <w:b/>
        </w:rPr>
      </w:pPr>
      <w:r w:rsidRPr="001C5F6A">
        <w:rPr>
          <w:rFonts w:asciiTheme="minorHAnsi" w:hAnsiTheme="minorHAnsi"/>
          <w:b/>
        </w:rPr>
        <w:lastRenderedPageBreak/>
        <w:t>1. WSTĘP</w:t>
      </w:r>
    </w:p>
    <w:bookmarkEnd w:id="258"/>
    <w:p w:rsidR="008545BB" w:rsidRPr="001C5F6A" w:rsidRDefault="008545BB" w:rsidP="008545BB">
      <w:pPr>
        <w:rPr>
          <w:rFonts w:asciiTheme="minorHAnsi" w:hAnsiTheme="minorHAnsi"/>
        </w:rPr>
      </w:pPr>
      <w:r w:rsidRPr="001C5F6A">
        <w:rPr>
          <w:rFonts w:asciiTheme="minorHAnsi" w:hAnsiTheme="minorHAnsi"/>
          <w:b/>
        </w:rPr>
        <w:t>1.1.</w:t>
      </w:r>
      <w:r w:rsidRPr="001C5F6A">
        <w:rPr>
          <w:rFonts w:asciiTheme="minorHAnsi" w:hAnsiTheme="minorHAnsi"/>
        </w:rPr>
        <w:t xml:space="preserve"> Przedmiot ST</w:t>
      </w:r>
    </w:p>
    <w:p w:rsidR="008545BB" w:rsidRPr="001C5F6A" w:rsidRDefault="008545BB" w:rsidP="008545BB">
      <w:pPr>
        <w:rPr>
          <w:rFonts w:asciiTheme="minorHAnsi" w:hAnsiTheme="minorHAnsi"/>
        </w:rPr>
      </w:pPr>
      <w:r w:rsidRPr="001C5F6A">
        <w:rPr>
          <w:rFonts w:asciiTheme="minorHAnsi" w:hAnsiTheme="minorHAnsi"/>
        </w:rPr>
        <w:t>Przedmiotem niniejszej specyfikacji technicznej (ST) są wymagania dotyczące wykonania i odbioru robót budowlanych związanych z ochroną istniejących drzew w okresie budowy drogi.</w:t>
      </w:r>
    </w:p>
    <w:p w:rsidR="008545BB" w:rsidRPr="001C5F6A" w:rsidRDefault="008545BB" w:rsidP="008545BB">
      <w:pPr>
        <w:rPr>
          <w:rFonts w:asciiTheme="minorHAnsi" w:hAnsiTheme="minorHAnsi"/>
        </w:rPr>
      </w:pPr>
      <w:r w:rsidRPr="001C5F6A">
        <w:rPr>
          <w:rFonts w:asciiTheme="minorHAnsi" w:hAnsiTheme="minorHAnsi"/>
          <w:b/>
        </w:rPr>
        <w:t>1.2.</w:t>
      </w:r>
      <w:r w:rsidRPr="001C5F6A">
        <w:rPr>
          <w:rFonts w:asciiTheme="minorHAnsi" w:hAnsiTheme="minorHAnsi"/>
        </w:rPr>
        <w:t xml:space="preserve"> Zakres stosowania ST</w:t>
      </w:r>
    </w:p>
    <w:p w:rsidR="008545BB" w:rsidRPr="001C5F6A" w:rsidRDefault="008545BB" w:rsidP="008545BB">
      <w:pPr>
        <w:rPr>
          <w:rFonts w:asciiTheme="minorHAnsi" w:hAnsiTheme="minorHAnsi"/>
        </w:rPr>
      </w:pPr>
      <w:r w:rsidRPr="001C5F6A">
        <w:rPr>
          <w:rFonts w:asciiTheme="minorHAnsi" w:hAnsiTheme="minorHAnsi"/>
        </w:rPr>
        <w:tab/>
        <w:t>Specyfikacja techniczna określa wymagania dla wykonania i odbioru robót budowlanych przewidzianych do wykonania w ramach umowy a zawarte w niej zapisy w zakresie standardu materiałów, wykonania robót i wymaganej ich jakości oraz kontroli jakości robót należy traktować jako minimalne.</w:t>
      </w:r>
    </w:p>
    <w:p w:rsidR="008545BB" w:rsidRPr="001C5F6A" w:rsidRDefault="008545BB" w:rsidP="008545BB">
      <w:pPr>
        <w:rPr>
          <w:rFonts w:asciiTheme="minorHAnsi" w:hAnsiTheme="minorHAnsi"/>
        </w:rPr>
      </w:pPr>
      <w:r w:rsidRPr="001C5F6A">
        <w:rPr>
          <w:rFonts w:asciiTheme="minorHAnsi" w:hAnsiTheme="minorHAnsi"/>
          <w:b/>
        </w:rPr>
        <w:t>1.3.</w:t>
      </w:r>
      <w:r w:rsidRPr="001C5F6A">
        <w:rPr>
          <w:rFonts w:asciiTheme="minorHAnsi" w:hAnsiTheme="minorHAnsi"/>
        </w:rPr>
        <w:t xml:space="preserve"> Zakres robót objętych ST</w:t>
      </w:r>
    </w:p>
    <w:p w:rsidR="008545BB" w:rsidRPr="001C5F6A" w:rsidRDefault="008545BB" w:rsidP="008545BB">
      <w:pPr>
        <w:rPr>
          <w:rFonts w:asciiTheme="minorHAnsi" w:hAnsiTheme="minorHAnsi"/>
        </w:rPr>
      </w:pPr>
      <w:r w:rsidRPr="001C5F6A">
        <w:rPr>
          <w:rFonts w:asciiTheme="minorHAnsi" w:hAnsiTheme="minorHAnsi"/>
        </w:rPr>
        <w:t>Ustalenia zawarte w niniejszej specyfikacji  dotyczą zasad wykonania i odbioru robót trwających w okresie budowy drogi,</w:t>
      </w:r>
      <w:r w:rsidR="004A5932">
        <w:rPr>
          <w:rFonts w:asciiTheme="minorHAnsi" w:hAnsiTheme="minorHAnsi"/>
        </w:rPr>
        <w:t xml:space="preserve"> </w:t>
      </w:r>
      <w:r w:rsidR="004A5932">
        <w:rPr>
          <w:rFonts w:ascii="Calibri" w:hAnsi="Calibri" w:cs="Calibri"/>
        </w:rPr>
        <w:t>w związku z „</w:t>
      </w:r>
      <w:r w:rsidR="004A5932">
        <w:rPr>
          <w:rFonts w:asciiTheme="minorHAnsi" w:hAnsiTheme="minorHAnsi"/>
        </w:rPr>
        <w:t>Przebudową ul.55 Pułku Piechoty w L</w:t>
      </w:r>
      <w:r w:rsidR="004A5932" w:rsidRPr="00B61884">
        <w:rPr>
          <w:rFonts w:asciiTheme="minorHAnsi" w:hAnsiTheme="minorHAnsi"/>
        </w:rPr>
        <w:t>esznie wraz z przebudową oświetlenia</w:t>
      </w:r>
      <w:r w:rsidR="004A5932">
        <w:rPr>
          <w:rFonts w:asciiTheme="minorHAnsi" w:hAnsiTheme="minorHAnsi"/>
        </w:rPr>
        <w:t>” i</w:t>
      </w:r>
      <w:r w:rsidRPr="001C5F6A">
        <w:rPr>
          <w:rFonts w:asciiTheme="minorHAnsi" w:hAnsiTheme="minorHAnsi"/>
        </w:rPr>
        <w:t xml:space="preserve"> związanych z ochroną i zabezpieczeniem istniejących drzew zlokalizowanych:</w:t>
      </w:r>
    </w:p>
    <w:p w:rsidR="008545BB" w:rsidRPr="001C5F6A" w:rsidRDefault="004A5932" w:rsidP="008545BB">
      <w:pPr>
        <w:rPr>
          <w:rFonts w:asciiTheme="minorHAnsi" w:hAnsiTheme="minorHAnsi"/>
        </w:rPr>
      </w:pPr>
      <w:r>
        <w:rPr>
          <w:rFonts w:asciiTheme="minorHAnsi" w:hAnsiTheme="minorHAnsi"/>
        </w:rPr>
        <w:t>-</w:t>
      </w:r>
      <w:r w:rsidR="008545BB" w:rsidRPr="001C5F6A">
        <w:rPr>
          <w:rFonts w:asciiTheme="minorHAnsi" w:hAnsiTheme="minorHAnsi"/>
        </w:rPr>
        <w:t>w pasie wykonywania budowlanych robót drogowych, k</w:t>
      </w:r>
      <w:r>
        <w:rPr>
          <w:rFonts w:asciiTheme="minorHAnsi" w:hAnsiTheme="minorHAnsi"/>
        </w:rPr>
        <w:t>tóre dokumentacja projektowa</w:t>
      </w:r>
      <w:r w:rsidR="008545BB" w:rsidRPr="001C5F6A">
        <w:rPr>
          <w:rFonts w:asciiTheme="minorHAnsi" w:hAnsiTheme="minorHAnsi"/>
        </w:rPr>
        <w:t xml:space="preserve"> lub Inżynier przewiduje pozostawić po zakończeniu budowy,</w:t>
      </w:r>
    </w:p>
    <w:p w:rsidR="008545BB" w:rsidRPr="001C5F6A" w:rsidRDefault="004A5932" w:rsidP="008545BB">
      <w:pPr>
        <w:rPr>
          <w:rFonts w:asciiTheme="minorHAnsi" w:hAnsiTheme="minorHAnsi"/>
        </w:rPr>
      </w:pPr>
      <w:r>
        <w:rPr>
          <w:rFonts w:asciiTheme="minorHAnsi" w:hAnsiTheme="minorHAnsi"/>
        </w:rPr>
        <w:t>-</w:t>
      </w:r>
      <w:r w:rsidR="008545BB" w:rsidRPr="001C5F6A">
        <w:rPr>
          <w:rFonts w:asciiTheme="minorHAnsi" w:hAnsiTheme="minorHAnsi"/>
        </w:rPr>
        <w:t>na terenie tymczasowych dróg dojazdowych do placu budowy, placów manewrowych i zaplecza budowy,</w:t>
      </w:r>
    </w:p>
    <w:p w:rsidR="008545BB" w:rsidRPr="001C5F6A" w:rsidRDefault="004A5932" w:rsidP="008545BB">
      <w:pPr>
        <w:rPr>
          <w:rFonts w:asciiTheme="minorHAnsi" w:hAnsiTheme="minorHAnsi"/>
        </w:rPr>
      </w:pPr>
      <w:r>
        <w:rPr>
          <w:rFonts w:asciiTheme="minorHAnsi" w:hAnsiTheme="minorHAnsi"/>
        </w:rPr>
        <w:t>-</w:t>
      </w:r>
      <w:r w:rsidR="008545BB" w:rsidRPr="001C5F6A">
        <w:rPr>
          <w:rFonts w:asciiTheme="minorHAnsi" w:hAnsiTheme="minorHAnsi"/>
        </w:rPr>
        <w:t>z uwzględnieniem tymczasowego zabezpieczenia na okres budowy, stałego zabezpieczenia na okres po zakończeniu budowy i pielęgnacji drzew uszkodzonych w czasie prowadzenia robót.</w:t>
      </w:r>
    </w:p>
    <w:p w:rsidR="008545BB" w:rsidRPr="001C5F6A" w:rsidRDefault="008545BB" w:rsidP="008545BB">
      <w:pPr>
        <w:rPr>
          <w:rFonts w:asciiTheme="minorHAnsi" w:hAnsiTheme="minorHAnsi"/>
        </w:rPr>
      </w:pPr>
      <w:r w:rsidRPr="001C5F6A">
        <w:rPr>
          <w:rFonts w:asciiTheme="minorHAnsi" w:hAnsiTheme="minorHAnsi"/>
          <w:b/>
        </w:rPr>
        <w:t>1.4.</w:t>
      </w:r>
      <w:r w:rsidRPr="001C5F6A">
        <w:rPr>
          <w:rFonts w:asciiTheme="minorHAnsi" w:hAnsiTheme="minorHAnsi"/>
        </w:rPr>
        <w:t xml:space="preserve"> Określenia podstawowe</w:t>
      </w:r>
    </w:p>
    <w:p w:rsidR="008545BB" w:rsidRPr="001C5F6A" w:rsidRDefault="008545BB" w:rsidP="008545BB">
      <w:pPr>
        <w:rPr>
          <w:rFonts w:asciiTheme="minorHAnsi" w:hAnsiTheme="minorHAnsi"/>
        </w:rPr>
      </w:pPr>
      <w:r w:rsidRPr="001C5F6A">
        <w:rPr>
          <w:rFonts w:asciiTheme="minorHAnsi" w:hAnsiTheme="minorHAnsi"/>
          <w:b/>
        </w:rPr>
        <w:t>1.4.1.</w:t>
      </w:r>
      <w:r w:rsidRPr="001C5F6A">
        <w:rPr>
          <w:rFonts w:asciiTheme="minorHAnsi" w:hAnsiTheme="minorHAnsi"/>
        </w:rPr>
        <w:t xml:space="preserve"> Drzewo – roślina wieloletnia drzewiasta o silnie zdrewniałym pędzie głównym (pniu).</w:t>
      </w:r>
    </w:p>
    <w:p w:rsidR="008545BB" w:rsidRPr="001C5F6A" w:rsidRDefault="008545BB" w:rsidP="008545BB">
      <w:pPr>
        <w:rPr>
          <w:rFonts w:asciiTheme="minorHAnsi" w:hAnsiTheme="minorHAnsi"/>
        </w:rPr>
      </w:pPr>
      <w:r w:rsidRPr="001C5F6A">
        <w:rPr>
          <w:rFonts w:asciiTheme="minorHAnsi" w:hAnsiTheme="minorHAnsi"/>
          <w:b/>
        </w:rPr>
        <w:t>1.4.2.</w:t>
      </w:r>
      <w:r w:rsidRPr="001C5F6A">
        <w:rPr>
          <w:rFonts w:asciiTheme="minorHAnsi" w:hAnsiTheme="minorHAnsi"/>
        </w:rPr>
        <w:t xml:space="preserve"> Korona – górna część drzewa utworzona przez jego pędy boczne.</w:t>
      </w:r>
    </w:p>
    <w:p w:rsidR="008545BB" w:rsidRPr="001C5F6A" w:rsidRDefault="008545BB" w:rsidP="008545BB">
      <w:pPr>
        <w:rPr>
          <w:rFonts w:asciiTheme="minorHAnsi" w:hAnsiTheme="minorHAnsi"/>
        </w:rPr>
      </w:pPr>
      <w:r w:rsidRPr="001C5F6A">
        <w:rPr>
          <w:rFonts w:asciiTheme="minorHAnsi" w:hAnsiTheme="minorHAnsi"/>
          <w:b/>
        </w:rPr>
        <w:t>1.4.3.</w:t>
      </w:r>
      <w:r w:rsidRPr="001C5F6A">
        <w:rPr>
          <w:rFonts w:asciiTheme="minorHAnsi" w:hAnsiTheme="minorHAnsi"/>
        </w:rPr>
        <w:t xml:space="preserve"> Ziemia urodzajna – ziemia posiadająca właściwości zapewniające roślinom prawidłowy rozwój.</w:t>
      </w:r>
    </w:p>
    <w:p w:rsidR="008545BB" w:rsidRPr="001C5F6A" w:rsidRDefault="008545BB" w:rsidP="008545BB">
      <w:pPr>
        <w:rPr>
          <w:rFonts w:asciiTheme="minorHAnsi" w:hAnsiTheme="minorHAnsi"/>
        </w:rPr>
      </w:pPr>
      <w:r w:rsidRPr="001C5F6A">
        <w:rPr>
          <w:rFonts w:asciiTheme="minorHAnsi" w:hAnsiTheme="minorHAnsi"/>
          <w:b/>
        </w:rPr>
        <w:t>1.4.4.</w:t>
      </w:r>
      <w:r w:rsidRPr="001C5F6A">
        <w:rPr>
          <w:rFonts w:asciiTheme="minorHAnsi" w:hAnsiTheme="minorHAnsi"/>
        </w:rPr>
        <w:t xml:space="preserve"> Forma pienna – forma drzew z pniami wysokości od 1,8 do </w:t>
      </w:r>
      <w:smartTag w:uri="urn:schemas-microsoft-com:office:smarttags" w:element="metricconverter">
        <w:smartTagPr>
          <w:attr w:name="ProductID" w:val="2,2 m"/>
        </w:smartTagPr>
        <w:r w:rsidRPr="001C5F6A">
          <w:rPr>
            <w:rFonts w:asciiTheme="minorHAnsi" w:hAnsiTheme="minorHAnsi"/>
          </w:rPr>
          <w:t>2,2 m</w:t>
        </w:r>
      </w:smartTag>
      <w:r w:rsidRPr="001C5F6A">
        <w:rPr>
          <w:rFonts w:asciiTheme="minorHAnsi" w:hAnsiTheme="minorHAnsi"/>
        </w:rPr>
        <w:t xml:space="preserve">, z wyraźnym nie przyciętym przewodnikiem i uformowaną koroną. </w:t>
      </w:r>
    </w:p>
    <w:p w:rsidR="008545BB" w:rsidRPr="001C5F6A" w:rsidRDefault="008545BB" w:rsidP="008545BB">
      <w:pPr>
        <w:rPr>
          <w:rFonts w:asciiTheme="minorHAnsi" w:hAnsiTheme="minorHAnsi"/>
        </w:rPr>
      </w:pPr>
      <w:r w:rsidRPr="001C5F6A">
        <w:rPr>
          <w:rFonts w:asciiTheme="minorHAnsi" w:hAnsiTheme="minorHAnsi"/>
          <w:b/>
        </w:rPr>
        <w:t>1.4.5.</w:t>
      </w:r>
      <w:r w:rsidRPr="001C5F6A">
        <w:rPr>
          <w:rFonts w:asciiTheme="minorHAnsi" w:hAnsiTheme="minorHAnsi"/>
        </w:rPr>
        <w:t xml:space="preserve"> Bryła korzeniowa – uformowana bryła ziemi z przerastającymi ją korzeniami rośliny.</w:t>
      </w:r>
    </w:p>
    <w:p w:rsidR="008545BB" w:rsidRPr="001C5F6A" w:rsidRDefault="008545BB" w:rsidP="008545BB">
      <w:pPr>
        <w:rPr>
          <w:rFonts w:asciiTheme="minorHAnsi" w:hAnsiTheme="minorHAnsi"/>
        </w:rPr>
      </w:pPr>
      <w:r w:rsidRPr="001C5F6A">
        <w:rPr>
          <w:rFonts w:asciiTheme="minorHAnsi" w:hAnsiTheme="minorHAnsi"/>
          <w:b/>
        </w:rPr>
        <w:t>1.4.6.</w:t>
      </w:r>
      <w:r w:rsidRPr="001C5F6A">
        <w:rPr>
          <w:rFonts w:asciiTheme="minorHAnsi" w:hAnsiTheme="minorHAnsi"/>
        </w:rPr>
        <w:t xml:space="preserve"> Pozostałe określenia podstawowe są zgodne z obowiązującymi, odpowiednimi polskimi normami i z definicjami podanymi w ST D-M-00.00.00 „Wymagania ogólne” pkt 1.4.  </w:t>
      </w:r>
    </w:p>
    <w:p w:rsidR="008545BB" w:rsidRPr="001C5F6A" w:rsidRDefault="008545BB" w:rsidP="008545BB">
      <w:pPr>
        <w:rPr>
          <w:rFonts w:asciiTheme="minorHAnsi" w:hAnsiTheme="minorHAnsi"/>
        </w:rPr>
      </w:pPr>
      <w:r w:rsidRPr="001C5F6A">
        <w:rPr>
          <w:rFonts w:asciiTheme="minorHAnsi" w:hAnsiTheme="minorHAnsi"/>
          <w:b/>
        </w:rPr>
        <w:t>1.5.</w:t>
      </w:r>
      <w:r w:rsidRPr="001C5F6A">
        <w:rPr>
          <w:rFonts w:asciiTheme="minorHAnsi" w:hAnsiTheme="minorHAnsi"/>
        </w:rPr>
        <w:t>Ogólne wymagania dotyczące robót</w:t>
      </w:r>
    </w:p>
    <w:p w:rsidR="008545BB" w:rsidRPr="001C5F6A" w:rsidRDefault="008545BB" w:rsidP="008545BB">
      <w:pPr>
        <w:rPr>
          <w:rFonts w:asciiTheme="minorHAnsi" w:hAnsiTheme="minorHAnsi"/>
        </w:rPr>
      </w:pPr>
      <w:r w:rsidRPr="001C5F6A">
        <w:rPr>
          <w:rFonts w:asciiTheme="minorHAnsi" w:hAnsiTheme="minorHAnsi"/>
        </w:rPr>
        <w:t>Ogólne wymagania dotyczące robót podano w ST D-M-00.00.00 „Wymagania ogólne” pkt 1.5.</w:t>
      </w:r>
    </w:p>
    <w:p w:rsidR="008545BB" w:rsidRPr="001C5F6A" w:rsidRDefault="008545BB" w:rsidP="008545BB">
      <w:pPr>
        <w:rPr>
          <w:rFonts w:asciiTheme="minorHAnsi" w:hAnsiTheme="minorHAnsi"/>
        </w:rPr>
      </w:pPr>
    </w:p>
    <w:p w:rsidR="008545BB" w:rsidRPr="001C5F6A" w:rsidRDefault="008545BB" w:rsidP="008545BB">
      <w:pPr>
        <w:rPr>
          <w:rFonts w:asciiTheme="minorHAnsi" w:hAnsiTheme="minorHAnsi"/>
          <w:b/>
        </w:rPr>
      </w:pPr>
      <w:r w:rsidRPr="001C5F6A">
        <w:rPr>
          <w:rFonts w:asciiTheme="minorHAnsi" w:hAnsiTheme="minorHAnsi"/>
          <w:b/>
        </w:rPr>
        <w:t>2. MATERIAŁY</w:t>
      </w:r>
    </w:p>
    <w:p w:rsidR="008545BB" w:rsidRPr="001C5F6A" w:rsidRDefault="008545BB" w:rsidP="008545BB">
      <w:pPr>
        <w:rPr>
          <w:rFonts w:asciiTheme="minorHAnsi" w:hAnsiTheme="minorHAnsi"/>
        </w:rPr>
      </w:pPr>
      <w:r w:rsidRPr="001C5F6A">
        <w:rPr>
          <w:rFonts w:asciiTheme="minorHAnsi" w:hAnsiTheme="minorHAnsi"/>
          <w:b/>
        </w:rPr>
        <w:t>2.1.</w:t>
      </w:r>
      <w:r w:rsidRPr="001C5F6A">
        <w:rPr>
          <w:rFonts w:asciiTheme="minorHAnsi" w:hAnsiTheme="minorHAnsi"/>
        </w:rPr>
        <w:t xml:space="preserve"> Ogólne wymagania dotyczące materiałów</w:t>
      </w:r>
    </w:p>
    <w:p w:rsidR="008545BB" w:rsidRPr="001C5F6A" w:rsidRDefault="008545BB" w:rsidP="008545BB">
      <w:pPr>
        <w:rPr>
          <w:rFonts w:asciiTheme="minorHAnsi" w:hAnsiTheme="minorHAnsi"/>
        </w:rPr>
      </w:pPr>
      <w:r w:rsidRPr="001C5F6A">
        <w:rPr>
          <w:rFonts w:asciiTheme="minorHAnsi" w:hAnsiTheme="minorHAnsi"/>
        </w:rPr>
        <w:t>Ogólne wymagania dotyczące materiałów, ich pozyskiwania i składowania, podano w ST D-M-00.00.00 „Wymagania ogólne” pkt 2.</w:t>
      </w:r>
    </w:p>
    <w:p w:rsidR="008545BB" w:rsidRPr="001C5F6A" w:rsidRDefault="008545BB" w:rsidP="008545BB">
      <w:pPr>
        <w:rPr>
          <w:rFonts w:asciiTheme="minorHAnsi" w:hAnsiTheme="minorHAnsi"/>
        </w:rPr>
      </w:pPr>
      <w:r w:rsidRPr="001C5F6A">
        <w:rPr>
          <w:rFonts w:asciiTheme="minorHAnsi" w:hAnsiTheme="minorHAnsi"/>
          <w:b/>
        </w:rPr>
        <w:t>2.2.</w:t>
      </w:r>
      <w:r w:rsidRPr="001C5F6A">
        <w:rPr>
          <w:rFonts w:asciiTheme="minorHAnsi" w:hAnsiTheme="minorHAnsi"/>
        </w:rPr>
        <w:t xml:space="preserve"> Materiały do wykonania robót</w:t>
      </w:r>
    </w:p>
    <w:p w:rsidR="008545BB" w:rsidRPr="001C5F6A" w:rsidRDefault="008545BB" w:rsidP="008545BB">
      <w:pPr>
        <w:rPr>
          <w:rFonts w:asciiTheme="minorHAnsi" w:hAnsiTheme="minorHAnsi"/>
        </w:rPr>
      </w:pPr>
      <w:r w:rsidRPr="001C5F6A">
        <w:rPr>
          <w:rFonts w:asciiTheme="minorHAnsi" w:hAnsiTheme="minorHAnsi"/>
          <w:b/>
        </w:rPr>
        <w:t>2.2.1.</w:t>
      </w:r>
      <w:r w:rsidRPr="001C5F6A">
        <w:rPr>
          <w:rFonts w:asciiTheme="minorHAnsi" w:hAnsiTheme="minorHAnsi"/>
        </w:rPr>
        <w:t xml:space="preserve"> Zgodność materiałów z dokumentacją projektową </w:t>
      </w:r>
    </w:p>
    <w:p w:rsidR="008545BB" w:rsidRPr="001C5F6A" w:rsidRDefault="008545BB" w:rsidP="008545BB">
      <w:pPr>
        <w:rPr>
          <w:rFonts w:asciiTheme="minorHAnsi" w:hAnsiTheme="minorHAnsi"/>
        </w:rPr>
      </w:pPr>
      <w:r w:rsidRPr="001C5F6A">
        <w:rPr>
          <w:rFonts w:asciiTheme="minorHAnsi" w:hAnsiTheme="minorHAnsi"/>
        </w:rPr>
        <w:tab/>
        <w:t>Materiały do wykonania robót powinny być zgodne z ustaleniami dokumentacji projektowej lub ST.</w:t>
      </w:r>
    </w:p>
    <w:p w:rsidR="008545BB" w:rsidRPr="001C5F6A" w:rsidRDefault="008545BB" w:rsidP="008545BB">
      <w:pPr>
        <w:rPr>
          <w:rFonts w:asciiTheme="minorHAnsi" w:hAnsiTheme="minorHAnsi"/>
        </w:rPr>
      </w:pPr>
      <w:r w:rsidRPr="001C5F6A">
        <w:rPr>
          <w:rFonts w:asciiTheme="minorHAnsi" w:hAnsiTheme="minorHAnsi"/>
          <w:b/>
        </w:rPr>
        <w:t>2.2.2.</w:t>
      </w:r>
      <w:r w:rsidRPr="001C5F6A">
        <w:rPr>
          <w:rFonts w:asciiTheme="minorHAnsi" w:hAnsiTheme="minorHAnsi"/>
        </w:rPr>
        <w:t xml:space="preserve"> Stosowane materiały</w:t>
      </w:r>
    </w:p>
    <w:p w:rsidR="008545BB" w:rsidRPr="001C5F6A" w:rsidRDefault="008545BB" w:rsidP="008545BB">
      <w:pPr>
        <w:rPr>
          <w:rFonts w:asciiTheme="minorHAnsi" w:hAnsiTheme="minorHAnsi"/>
        </w:rPr>
      </w:pPr>
      <w:r w:rsidRPr="001C5F6A">
        <w:rPr>
          <w:rFonts w:asciiTheme="minorHAnsi" w:hAnsiTheme="minorHAnsi"/>
        </w:rPr>
        <w:tab/>
        <w:t>Przy ochronie i zabezpieczeniu istniejących drzew w okresie budowy drogi można stosować następujące materiały:</w:t>
      </w:r>
    </w:p>
    <w:p w:rsidR="008545BB" w:rsidRPr="001C5F6A" w:rsidRDefault="008545BB" w:rsidP="008545BB">
      <w:pPr>
        <w:rPr>
          <w:rFonts w:asciiTheme="minorHAnsi" w:hAnsiTheme="minorHAnsi"/>
        </w:rPr>
      </w:pPr>
      <w:r w:rsidRPr="004A5932">
        <w:rPr>
          <w:rFonts w:asciiTheme="minorHAnsi" w:hAnsiTheme="minorHAnsi"/>
          <w:b/>
        </w:rPr>
        <w:t>a)</w:t>
      </w:r>
      <w:r w:rsidRPr="001C5F6A">
        <w:rPr>
          <w:rFonts w:asciiTheme="minorHAnsi" w:hAnsiTheme="minorHAnsi"/>
        </w:rPr>
        <w:t xml:space="preserve">   materiały do wykonania tymczasowej ochrony drzew, jak:</w:t>
      </w:r>
    </w:p>
    <w:p w:rsidR="008545BB" w:rsidRPr="001C5F6A" w:rsidRDefault="008545BB" w:rsidP="008545BB">
      <w:pPr>
        <w:rPr>
          <w:rFonts w:asciiTheme="minorHAnsi" w:hAnsiTheme="minorHAnsi"/>
        </w:rPr>
      </w:pPr>
      <w:r w:rsidRPr="001C5F6A">
        <w:rPr>
          <w:rFonts w:asciiTheme="minorHAnsi" w:hAnsiTheme="minorHAnsi"/>
        </w:rPr>
        <w:t xml:space="preserve">deski iglaste grubości min. </w:t>
      </w:r>
      <w:smartTag w:uri="urn:schemas-microsoft-com:office:smarttags" w:element="metricconverter">
        <w:smartTagPr>
          <w:attr w:name="ProductID" w:val="20 mm"/>
        </w:smartTagPr>
        <w:r w:rsidRPr="001C5F6A">
          <w:rPr>
            <w:rFonts w:asciiTheme="minorHAnsi" w:hAnsiTheme="minorHAnsi"/>
          </w:rPr>
          <w:t>20 mm</w:t>
        </w:r>
      </w:smartTag>
      <w:r w:rsidRPr="001C5F6A">
        <w:rPr>
          <w:rFonts w:asciiTheme="minorHAnsi" w:hAnsiTheme="minorHAnsi"/>
        </w:rPr>
        <w:t>, słupki drewniane, żerdzie, itp.,</w:t>
      </w:r>
    </w:p>
    <w:p w:rsidR="008545BB" w:rsidRPr="001C5F6A" w:rsidRDefault="008545BB" w:rsidP="008545BB">
      <w:pPr>
        <w:rPr>
          <w:rFonts w:asciiTheme="minorHAnsi" w:hAnsiTheme="minorHAnsi"/>
        </w:rPr>
      </w:pPr>
      <w:r w:rsidRPr="001C5F6A">
        <w:rPr>
          <w:rFonts w:asciiTheme="minorHAnsi" w:hAnsiTheme="minorHAnsi"/>
        </w:rPr>
        <w:t>maty słomiane,</w:t>
      </w:r>
    </w:p>
    <w:p w:rsidR="008545BB" w:rsidRPr="001C5F6A" w:rsidRDefault="008545BB" w:rsidP="008545BB">
      <w:pPr>
        <w:rPr>
          <w:rFonts w:asciiTheme="minorHAnsi" w:hAnsiTheme="minorHAnsi"/>
        </w:rPr>
      </w:pPr>
      <w:r w:rsidRPr="001C5F6A">
        <w:rPr>
          <w:rFonts w:asciiTheme="minorHAnsi" w:hAnsiTheme="minorHAnsi"/>
        </w:rPr>
        <w:t>zużyte opony samochodowe,</w:t>
      </w:r>
    </w:p>
    <w:p w:rsidR="008545BB" w:rsidRPr="001C5F6A" w:rsidRDefault="008545BB" w:rsidP="008545BB">
      <w:pPr>
        <w:rPr>
          <w:rFonts w:asciiTheme="minorHAnsi" w:hAnsiTheme="minorHAnsi"/>
        </w:rPr>
      </w:pPr>
      <w:r w:rsidRPr="001C5F6A">
        <w:rPr>
          <w:rFonts w:asciiTheme="minorHAnsi" w:hAnsiTheme="minorHAnsi"/>
        </w:rPr>
        <w:t>drut, taśmę stalową, gwoździe,</w:t>
      </w:r>
    </w:p>
    <w:p w:rsidR="008545BB" w:rsidRPr="001C5F6A" w:rsidRDefault="008545BB" w:rsidP="008545BB">
      <w:pPr>
        <w:rPr>
          <w:rFonts w:asciiTheme="minorHAnsi" w:hAnsiTheme="minorHAnsi"/>
        </w:rPr>
      </w:pPr>
      <w:r w:rsidRPr="001C5F6A">
        <w:rPr>
          <w:rFonts w:asciiTheme="minorHAnsi" w:hAnsiTheme="minorHAnsi"/>
        </w:rPr>
        <w:t>wodę,</w:t>
      </w:r>
    </w:p>
    <w:p w:rsidR="008545BB" w:rsidRPr="001C5F6A" w:rsidRDefault="008545BB" w:rsidP="008545BB">
      <w:pPr>
        <w:rPr>
          <w:rFonts w:asciiTheme="minorHAnsi" w:hAnsiTheme="minorHAnsi"/>
        </w:rPr>
      </w:pPr>
      <w:r w:rsidRPr="004A5932">
        <w:rPr>
          <w:rFonts w:asciiTheme="minorHAnsi" w:hAnsiTheme="minorHAnsi"/>
          <w:b/>
        </w:rPr>
        <w:t>b)</w:t>
      </w:r>
      <w:r w:rsidRPr="001C5F6A">
        <w:rPr>
          <w:rFonts w:asciiTheme="minorHAnsi" w:hAnsiTheme="minorHAnsi"/>
        </w:rPr>
        <w:t xml:space="preserve">   materiały do wykonania stałych konstrukcji ochronnych wokół drzew, według ustaleń dokumentacji projektowej, jak:</w:t>
      </w:r>
    </w:p>
    <w:p w:rsidR="008545BB" w:rsidRPr="001C5F6A" w:rsidRDefault="008545BB" w:rsidP="008545BB">
      <w:pPr>
        <w:rPr>
          <w:rFonts w:asciiTheme="minorHAnsi" w:hAnsiTheme="minorHAnsi"/>
        </w:rPr>
      </w:pPr>
      <w:r w:rsidRPr="001C5F6A">
        <w:rPr>
          <w:rFonts w:asciiTheme="minorHAnsi" w:hAnsiTheme="minorHAnsi"/>
        </w:rPr>
        <w:t>mury kamienne, np. z kamienia łamanego na zaprawie bądź na sucho,</w:t>
      </w:r>
    </w:p>
    <w:p w:rsidR="008545BB" w:rsidRPr="001C5F6A" w:rsidRDefault="008545BB" w:rsidP="008545BB">
      <w:pPr>
        <w:rPr>
          <w:rFonts w:asciiTheme="minorHAnsi" w:hAnsiTheme="minorHAnsi"/>
        </w:rPr>
      </w:pPr>
      <w:r w:rsidRPr="001C5F6A">
        <w:rPr>
          <w:rFonts w:asciiTheme="minorHAnsi" w:hAnsiTheme="minorHAnsi"/>
        </w:rPr>
        <w:t>mury betonowe i ew. żelbetowe,</w:t>
      </w:r>
    </w:p>
    <w:p w:rsidR="008545BB" w:rsidRPr="001C5F6A" w:rsidRDefault="008545BB" w:rsidP="008545BB">
      <w:pPr>
        <w:rPr>
          <w:rFonts w:asciiTheme="minorHAnsi" w:hAnsiTheme="minorHAnsi"/>
        </w:rPr>
      </w:pPr>
      <w:r w:rsidRPr="001C5F6A">
        <w:rPr>
          <w:rFonts w:asciiTheme="minorHAnsi" w:hAnsiTheme="minorHAnsi"/>
        </w:rPr>
        <w:t>mury klinkierowe, z betonowej kostki brukowej, ew. ceglane i inne,</w:t>
      </w:r>
    </w:p>
    <w:p w:rsidR="008545BB" w:rsidRPr="001C5F6A" w:rsidRDefault="008545BB" w:rsidP="008545BB">
      <w:pPr>
        <w:rPr>
          <w:rFonts w:asciiTheme="minorHAnsi" w:hAnsiTheme="minorHAnsi"/>
        </w:rPr>
      </w:pPr>
      <w:r w:rsidRPr="001C5F6A">
        <w:rPr>
          <w:rFonts w:asciiTheme="minorHAnsi" w:hAnsiTheme="minorHAnsi"/>
        </w:rPr>
        <w:t>pomosty zabezpieczające z rusztów stalowych, płyt betonowych, z ew. stopami fundamentowymi itp.,</w:t>
      </w:r>
    </w:p>
    <w:p w:rsidR="008545BB" w:rsidRPr="001C5F6A" w:rsidRDefault="008545BB" w:rsidP="008545BB">
      <w:pPr>
        <w:rPr>
          <w:rFonts w:asciiTheme="minorHAnsi" w:hAnsiTheme="minorHAnsi"/>
        </w:rPr>
      </w:pPr>
      <w:r w:rsidRPr="004A5932">
        <w:rPr>
          <w:rFonts w:asciiTheme="minorHAnsi" w:hAnsiTheme="minorHAnsi"/>
          <w:b/>
        </w:rPr>
        <w:t>c)</w:t>
      </w:r>
      <w:r w:rsidRPr="001C5F6A">
        <w:rPr>
          <w:rFonts w:asciiTheme="minorHAnsi" w:hAnsiTheme="minorHAnsi"/>
        </w:rPr>
        <w:t xml:space="preserve">   materiały pielęgnacyjne drzew uszkodzonych, jak:</w:t>
      </w:r>
    </w:p>
    <w:p w:rsidR="008545BB" w:rsidRPr="001C5F6A" w:rsidRDefault="008545BB" w:rsidP="008545BB">
      <w:pPr>
        <w:rPr>
          <w:rFonts w:asciiTheme="minorHAnsi" w:hAnsiTheme="minorHAnsi"/>
        </w:rPr>
      </w:pPr>
      <w:r w:rsidRPr="001C5F6A">
        <w:rPr>
          <w:rFonts w:asciiTheme="minorHAnsi" w:hAnsiTheme="minorHAnsi"/>
        </w:rPr>
        <w:t>preparaty emulsyjne, powierzchniowe,</w:t>
      </w:r>
    </w:p>
    <w:p w:rsidR="008545BB" w:rsidRPr="001C5F6A" w:rsidRDefault="008545BB" w:rsidP="008545BB">
      <w:pPr>
        <w:rPr>
          <w:rFonts w:asciiTheme="minorHAnsi" w:hAnsiTheme="minorHAnsi"/>
        </w:rPr>
      </w:pPr>
      <w:r w:rsidRPr="001C5F6A">
        <w:rPr>
          <w:rFonts w:asciiTheme="minorHAnsi" w:hAnsiTheme="minorHAnsi"/>
        </w:rPr>
        <w:t>środki impregnujące,</w:t>
      </w:r>
    </w:p>
    <w:p w:rsidR="008545BB" w:rsidRPr="001C5F6A" w:rsidRDefault="008545BB" w:rsidP="008545BB">
      <w:pPr>
        <w:rPr>
          <w:rFonts w:asciiTheme="minorHAnsi" w:hAnsiTheme="minorHAnsi"/>
        </w:rPr>
      </w:pPr>
      <w:r w:rsidRPr="001C5F6A">
        <w:rPr>
          <w:rFonts w:asciiTheme="minorHAnsi" w:hAnsiTheme="minorHAnsi"/>
        </w:rPr>
        <w:t>wodę.</w:t>
      </w:r>
    </w:p>
    <w:p w:rsidR="008545BB" w:rsidRPr="001C5F6A" w:rsidRDefault="008545BB" w:rsidP="008545BB">
      <w:pPr>
        <w:ind w:firstLine="709"/>
        <w:rPr>
          <w:rFonts w:asciiTheme="minorHAnsi" w:hAnsiTheme="minorHAnsi"/>
        </w:rPr>
      </w:pPr>
      <w:r w:rsidRPr="001C5F6A">
        <w:rPr>
          <w:rFonts w:asciiTheme="minorHAnsi" w:hAnsiTheme="minorHAnsi"/>
        </w:rPr>
        <w:t xml:space="preserve">Materiały stosowane do tymczasowej ochrony drzew i materiały pielęgnacyjne powinny być zaproponowane przez Wykonawcę i zaakceptowane przez Inżyniera. Wymagania dotyczące materiałów </w:t>
      </w:r>
      <w:r w:rsidRPr="001C5F6A">
        <w:rPr>
          <w:rFonts w:asciiTheme="minorHAnsi" w:hAnsiTheme="minorHAnsi"/>
        </w:rPr>
        <w:lastRenderedPageBreak/>
        <w:t>do wykonania stałych konstrukcji ochronnych wokół drzew, powinny odpowiadać ustaleniom dokumentacji projektowej, a w przypadku ich braku lub niepełnych danych  mogą odpowiadać wymaganiom ST D-05.03.23a, D-09.01.01.</w:t>
      </w:r>
    </w:p>
    <w:p w:rsidR="008545BB" w:rsidRPr="001C5F6A" w:rsidRDefault="008545BB" w:rsidP="008545BB">
      <w:pPr>
        <w:rPr>
          <w:rFonts w:asciiTheme="minorHAnsi" w:hAnsiTheme="minorHAnsi"/>
        </w:rPr>
      </w:pPr>
      <w:r w:rsidRPr="001C5F6A">
        <w:rPr>
          <w:rFonts w:asciiTheme="minorHAnsi" w:hAnsiTheme="minorHAnsi"/>
        </w:rPr>
        <w:t>Zaleca się, aby:</w:t>
      </w:r>
    </w:p>
    <w:p w:rsidR="008545BB" w:rsidRPr="001C5F6A" w:rsidRDefault="008545BB" w:rsidP="008545BB">
      <w:pPr>
        <w:rPr>
          <w:rFonts w:asciiTheme="minorHAnsi" w:hAnsiTheme="minorHAnsi"/>
        </w:rPr>
      </w:pPr>
      <w:r w:rsidRPr="001C5F6A">
        <w:rPr>
          <w:rFonts w:asciiTheme="minorHAnsi" w:hAnsiTheme="minorHAnsi"/>
        </w:rPr>
        <w:t>elementy stalowe były ocynkowane lub w inny sposób zabezpieczone przed korozją,</w:t>
      </w:r>
    </w:p>
    <w:p w:rsidR="008545BB" w:rsidRPr="001C5F6A" w:rsidRDefault="008545BB" w:rsidP="008545BB">
      <w:pPr>
        <w:rPr>
          <w:rFonts w:asciiTheme="minorHAnsi" w:hAnsiTheme="minorHAnsi"/>
        </w:rPr>
      </w:pPr>
      <w:r w:rsidRPr="001C5F6A">
        <w:rPr>
          <w:rFonts w:asciiTheme="minorHAnsi" w:hAnsiTheme="minorHAnsi"/>
        </w:rPr>
        <w:t>beton do drobnych elementów miał klasę co najmniej B 35.</w:t>
      </w:r>
    </w:p>
    <w:p w:rsidR="008545BB" w:rsidRPr="001C5F6A" w:rsidRDefault="008545BB" w:rsidP="008545BB">
      <w:pPr>
        <w:rPr>
          <w:rFonts w:asciiTheme="minorHAnsi" w:hAnsiTheme="minorHAnsi"/>
        </w:rPr>
      </w:pPr>
    </w:p>
    <w:p w:rsidR="008545BB" w:rsidRPr="001C5F6A" w:rsidRDefault="008545BB" w:rsidP="008545BB">
      <w:pPr>
        <w:rPr>
          <w:rFonts w:asciiTheme="minorHAnsi" w:hAnsiTheme="minorHAnsi"/>
          <w:b/>
        </w:rPr>
      </w:pPr>
      <w:r w:rsidRPr="001C5F6A">
        <w:rPr>
          <w:rFonts w:asciiTheme="minorHAnsi" w:hAnsiTheme="minorHAnsi"/>
          <w:b/>
        </w:rPr>
        <w:t>3. SPRZĘT</w:t>
      </w:r>
    </w:p>
    <w:p w:rsidR="008545BB" w:rsidRPr="001C5F6A" w:rsidRDefault="008545BB" w:rsidP="008545BB">
      <w:pPr>
        <w:rPr>
          <w:rFonts w:asciiTheme="minorHAnsi" w:hAnsiTheme="minorHAnsi"/>
        </w:rPr>
      </w:pPr>
      <w:r w:rsidRPr="001C5F6A">
        <w:rPr>
          <w:rFonts w:asciiTheme="minorHAnsi" w:hAnsiTheme="minorHAnsi"/>
          <w:b/>
        </w:rPr>
        <w:t>3.1.</w:t>
      </w:r>
      <w:r w:rsidRPr="001C5F6A">
        <w:rPr>
          <w:rFonts w:asciiTheme="minorHAnsi" w:hAnsiTheme="minorHAnsi"/>
        </w:rPr>
        <w:t xml:space="preserve"> Ogólne wymagania dotyczące sprzętu</w:t>
      </w:r>
    </w:p>
    <w:p w:rsidR="008545BB" w:rsidRPr="001C5F6A" w:rsidRDefault="008545BB" w:rsidP="008545BB">
      <w:pPr>
        <w:rPr>
          <w:rFonts w:asciiTheme="minorHAnsi" w:hAnsiTheme="minorHAnsi"/>
        </w:rPr>
      </w:pPr>
      <w:r w:rsidRPr="001C5F6A">
        <w:rPr>
          <w:rFonts w:asciiTheme="minorHAnsi" w:hAnsiTheme="minorHAnsi"/>
        </w:rPr>
        <w:t>Ogólne wymagania dotyczące sprzętu podano w ST D-M-00.00.00 „Wymagania ogólne”, pkt 3.</w:t>
      </w:r>
    </w:p>
    <w:p w:rsidR="008545BB" w:rsidRPr="001C5F6A" w:rsidRDefault="008545BB" w:rsidP="008545BB">
      <w:pPr>
        <w:rPr>
          <w:rFonts w:asciiTheme="minorHAnsi" w:hAnsiTheme="minorHAnsi"/>
        </w:rPr>
      </w:pPr>
      <w:r w:rsidRPr="001C5F6A">
        <w:rPr>
          <w:rFonts w:asciiTheme="minorHAnsi" w:hAnsiTheme="minorHAnsi"/>
          <w:b/>
        </w:rPr>
        <w:t>3.2.</w:t>
      </w:r>
      <w:r w:rsidRPr="001C5F6A">
        <w:rPr>
          <w:rFonts w:asciiTheme="minorHAnsi" w:hAnsiTheme="minorHAnsi"/>
        </w:rPr>
        <w:t xml:space="preserve"> Sprzęt stosowany do wykonania robót</w:t>
      </w:r>
    </w:p>
    <w:p w:rsidR="008545BB" w:rsidRPr="001C5F6A" w:rsidRDefault="008545BB" w:rsidP="008545BB">
      <w:pPr>
        <w:rPr>
          <w:rFonts w:asciiTheme="minorHAnsi" w:hAnsiTheme="minorHAnsi"/>
        </w:rPr>
      </w:pPr>
      <w:r w:rsidRPr="001C5F6A">
        <w:rPr>
          <w:rFonts w:asciiTheme="minorHAnsi" w:hAnsiTheme="minorHAnsi"/>
        </w:rPr>
        <w:tab/>
        <w:t>Przy wykonywaniu robót Wykonawca, w zależności od potrzeb, powinien wykazać się możliwością korzystania ze sprzętu dostosowanego do przyjętej metody robót:</w:t>
      </w:r>
    </w:p>
    <w:p w:rsidR="008545BB" w:rsidRPr="001C5F6A" w:rsidRDefault="008545BB" w:rsidP="008545BB">
      <w:pPr>
        <w:rPr>
          <w:rFonts w:asciiTheme="minorHAnsi" w:hAnsiTheme="minorHAnsi"/>
        </w:rPr>
      </w:pPr>
      <w:r w:rsidRPr="004A5932">
        <w:rPr>
          <w:rFonts w:asciiTheme="minorHAnsi" w:hAnsiTheme="minorHAnsi"/>
          <w:b/>
        </w:rPr>
        <w:t>a)</w:t>
      </w:r>
      <w:r w:rsidRPr="001C5F6A">
        <w:rPr>
          <w:rFonts w:asciiTheme="minorHAnsi" w:hAnsiTheme="minorHAnsi"/>
        </w:rPr>
        <w:t xml:space="preserve">   sprzętu do tymczasowej ochrony drzew:</w:t>
      </w:r>
    </w:p>
    <w:p w:rsidR="008545BB" w:rsidRPr="001C5F6A" w:rsidRDefault="008545BB" w:rsidP="008545BB">
      <w:pPr>
        <w:rPr>
          <w:rFonts w:asciiTheme="minorHAnsi" w:hAnsiTheme="minorHAnsi"/>
        </w:rPr>
      </w:pPr>
      <w:r w:rsidRPr="001C5F6A">
        <w:rPr>
          <w:rFonts w:asciiTheme="minorHAnsi" w:hAnsiTheme="minorHAnsi"/>
        </w:rPr>
        <w:t>ręcznego sprzętu do prac ziemnych jak szpadle, drągi, łopaty,</w:t>
      </w:r>
    </w:p>
    <w:p w:rsidR="008545BB" w:rsidRPr="001C5F6A" w:rsidRDefault="008545BB" w:rsidP="008545BB">
      <w:pPr>
        <w:rPr>
          <w:rFonts w:asciiTheme="minorHAnsi" w:hAnsiTheme="minorHAnsi"/>
        </w:rPr>
      </w:pPr>
      <w:r w:rsidRPr="001C5F6A">
        <w:rPr>
          <w:rFonts w:asciiTheme="minorHAnsi" w:hAnsiTheme="minorHAnsi"/>
        </w:rPr>
        <w:t>samochodu skrzyniowego do transportu,</w:t>
      </w:r>
    </w:p>
    <w:p w:rsidR="008545BB" w:rsidRPr="001C5F6A" w:rsidRDefault="008545BB" w:rsidP="008545BB">
      <w:pPr>
        <w:rPr>
          <w:rFonts w:asciiTheme="minorHAnsi" w:hAnsiTheme="minorHAnsi"/>
        </w:rPr>
      </w:pPr>
      <w:r w:rsidRPr="001C5F6A">
        <w:rPr>
          <w:rFonts w:asciiTheme="minorHAnsi" w:hAnsiTheme="minorHAnsi"/>
        </w:rPr>
        <w:t>sprzętu do podlewania, z ew. przewoźnymi zbiornikami do wody, ew. wiadrami, konewkami,</w:t>
      </w:r>
    </w:p>
    <w:p w:rsidR="008545BB" w:rsidRPr="001C5F6A" w:rsidRDefault="008545BB" w:rsidP="008545BB">
      <w:pPr>
        <w:rPr>
          <w:rFonts w:asciiTheme="minorHAnsi" w:hAnsiTheme="minorHAnsi"/>
        </w:rPr>
      </w:pPr>
      <w:r w:rsidRPr="001C5F6A">
        <w:rPr>
          <w:rFonts w:asciiTheme="minorHAnsi" w:hAnsiTheme="minorHAnsi"/>
        </w:rPr>
        <w:t>wyposażenia pomocniczego, drobnych narzędzi, drabin itp.,</w:t>
      </w:r>
    </w:p>
    <w:p w:rsidR="008545BB" w:rsidRPr="001C5F6A" w:rsidRDefault="008545BB" w:rsidP="008545BB">
      <w:pPr>
        <w:rPr>
          <w:rFonts w:asciiTheme="minorHAnsi" w:hAnsiTheme="minorHAnsi"/>
        </w:rPr>
      </w:pPr>
      <w:r w:rsidRPr="004A5932">
        <w:rPr>
          <w:rFonts w:asciiTheme="minorHAnsi" w:hAnsiTheme="minorHAnsi"/>
          <w:b/>
        </w:rPr>
        <w:t>b)</w:t>
      </w:r>
      <w:r w:rsidRPr="001C5F6A">
        <w:rPr>
          <w:rFonts w:asciiTheme="minorHAnsi" w:hAnsiTheme="minorHAnsi"/>
        </w:rPr>
        <w:t xml:space="preserve">   sprzętu do wykonania stałych konstrukcji ochronnych wokół drzew:</w:t>
      </w:r>
    </w:p>
    <w:p w:rsidR="008545BB" w:rsidRPr="001C5F6A" w:rsidRDefault="008545BB" w:rsidP="008545BB">
      <w:pPr>
        <w:rPr>
          <w:rFonts w:asciiTheme="minorHAnsi" w:hAnsiTheme="minorHAnsi"/>
        </w:rPr>
      </w:pPr>
      <w:r w:rsidRPr="001C5F6A">
        <w:rPr>
          <w:rFonts w:asciiTheme="minorHAnsi" w:hAnsiTheme="minorHAnsi"/>
        </w:rPr>
        <w:t>wg ustaleń ST wymienionych w punkcie 2.2.2,</w:t>
      </w:r>
    </w:p>
    <w:p w:rsidR="008545BB" w:rsidRPr="001C5F6A" w:rsidRDefault="008545BB" w:rsidP="008545BB">
      <w:pPr>
        <w:rPr>
          <w:rFonts w:asciiTheme="minorHAnsi" w:hAnsiTheme="minorHAnsi"/>
        </w:rPr>
      </w:pPr>
      <w:r w:rsidRPr="004A5932">
        <w:rPr>
          <w:rFonts w:asciiTheme="minorHAnsi" w:hAnsiTheme="minorHAnsi"/>
          <w:b/>
        </w:rPr>
        <w:t>c)</w:t>
      </w:r>
      <w:r w:rsidRPr="001C5F6A">
        <w:rPr>
          <w:rFonts w:asciiTheme="minorHAnsi" w:hAnsiTheme="minorHAnsi"/>
        </w:rPr>
        <w:t xml:space="preserve">   sprzętu do pielęgnacji drzew uszkodzonych:</w:t>
      </w:r>
    </w:p>
    <w:p w:rsidR="008545BB" w:rsidRPr="001C5F6A" w:rsidRDefault="008545BB" w:rsidP="008545BB">
      <w:pPr>
        <w:rPr>
          <w:rFonts w:asciiTheme="minorHAnsi" w:hAnsiTheme="minorHAnsi"/>
        </w:rPr>
      </w:pPr>
      <w:r w:rsidRPr="001C5F6A">
        <w:rPr>
          <w:rFonts w:asciiTheme="minorHAnsi" w:hAnsiTheme="minorHAnsi"/>
        </w:rPr>
        <w:t>ręcznego sprzętu pomocniczego, jak: piły, sekatory, dłuta, noże, skrobaki,</w:t>
      </w:r>
    </w:p>
    <w:p w:rsidR="008545BB" w:rsidRPr="001C5F6A" w:rsidRDefault="008545BB" w:rsidP="008545BB">
      <w:pPr>
        <w:rPr>
          <w:rFonts w:asciiTheme="minorHAnsi" w:hAnsiTheme="minorHAnsi"/>
        </w:rPr>
      </w:pPr>
      <w:r w:rsidRPr="001C5F6A">
        <w:rPr>
          <w:rFonts w:asciiTheme="minorHAnsi" w:hAnsiTheme="minorHAnsi"/>
        </w:rPr>
        <w:t>ręcznego sprzętu do robót ziemnych, jak szpadle, łopaty itp.</w:t>
      </w:r>
    </w:p>
    <w:p w:rsidR="008545BB" w:rsidRPr="001C5F6A" w:rsidRDefault="008545BB" w:rsidP="008545BB">
      <w:pPr>
        <w:rPr>
          <w:rFonts w:asciiTheme="minorHAnsi" w:hAnsiTheme="minorHAnsi"/>
        </w:rPr>
      </w:pPr>
      <w:r w:rsidRPr="001C5F6A">
        <w:rPr>
          <w:rFonts w:asciiTheme="minorHAnsi" w:hAnsiTheme="minorHAnsi"/>
        </w:rPr>
        <w:t>Sprzęt powinien odpowiadać wymaganiom określonym w dokumentacji projektowej, ST, instrukcjach producentów lub propozycji Wykonawcy i powinien być zaakceptowany przez Inżyniera.</w:t>
      </w:r>
    </w:p>
    <w:p w:rsidR="008545BB" w:rsidRPr="001C5F6A" w:rsidRDefault="008545BB" w:rsidP="008545BB">
      <w:pPr>
        <w:rPr>
          <w:rFonts w:asciiTheme="minorHAnsi" w:hAnsiTheme="minorHAnsi"/>
        </w:rPr>
      </w:pPr>
    </w:p>
    <w:p w:rsidR="008545BB" w:rsidRPr="001C5F6A" w:rsidRDefault="008545BB" w:rsidP="008545BB">
      <w:pPr>
        <w:rPr>
          <w:rFonts w:asciiTheme="minorHAnsi" w:hAnsiTheme="minorHAnsi"/>
          <w:b/>
        </w:rPr>
      </w:pPr>
      <w:r w:rsidRPr="001C5F6A">
        <w:rPr>
          <w:rFonts w:asciiTheme="minorHAnsi" w:hAnsiTheme="minorHAnsi"/>
          <w:b/>
        </w:rPr>
        <w:t>4. TRANSPORT</w:t>
      </w:r>
    </w:p>
    <w:p w:rsidR="008545BB" w:rsidRPr="001C5F6A" w:rsidRDefault="008545BB" w:rsidP="008545BB">
      <w:pPr>
        <w:rPr>
          <w:rFonts w:asciiTheme="minorHAnsi" w:hAnsiTheme="minorHAnsi"/>
        </w:rPr>
      </w:pPr>
      <w:r w:rsidRPr="001C5F6A">
        <w:rPr>
          <w:rFonts w:asciiTheme="minorHAnsi" w:hAnsiTheme="minorHAnsi"/>
          <w:b/>
        </w:rPr>
        <w:t>4.1.</w:t>
      </w:r>
      <w:r w:rsidRPr="001C5F6A">
        <w:rPr>
          <w:rFonts w:asciiTheme="minorHAnsi" w:hAnsiTheme="minorHAnsi"/>
        </w:rPr>
        <w:t xml:space="preserve"> Ogólne wymagania dotyczące transportu</w:t>
      </w:r>
    </w:p>
    <w:p w:rsidR="008545BB" w:rsidRPr="001C5F6A" w:rsidRDefault="008545BB" w:rsidP="008545BB">
      <w:pPr>
        <w:rPr>
          <w:rFonts w:asciiTheme="minorHAnsi" w:hAnsiTheme="minorHAnsi"/>
        </w:rPr>
      </w:pPr>
      <w:r w:rsidRPr="001C5F6A">
        <w:rPr>
          <w:rFonts w:asciiTheme="minorHAnsi" w:hAnsiTheme="minorHAnsi"/>
        </w:rPr>
        <w:tab/>
        <w:t>Ogólne wymagania dotyczące transportu podano w ST D-M-00.00.00 „Wymagania ogólne”  pkt 4.</w:t>
      </w:r>
      <w:r w:rsidRPr="001C5F6A">
        <w:rPr>
          <w:rFonts w:asciiTheme="minorHAnsi" w:hAnsiTheme="minorHAnsi"/>
        </w:rPr>
        <w:tab/>
      </w:r>
    </w:p>
    <w:p w:rsidR="008545BB" w:rsidRPr="001C5F6A" w:rsidRDefault="008545BB" w:rsidP="008545BB">
      <w:pPr>
        <w:rPr>
          <w:rFonts w:asciiTheme="minorHAnsi" w:hAnsiTheme="minorHAnsi"/>
        </w:rPr>
      </w:pPr>
      <w:r w:rsidRPr="001C5F6A">
        <w:rPr>
          <w:rFonts w:asciiTheme="minorHAnsi" w:hAnsiTheme="minorHAnsi"/>
          <w:b/>
        </w:rPr>
        <w:t>4.2.</w:t>
      </w:r>
      <w:r w:rsidRPr="001C5F6A">
        <w:rPr>
          <w:rFonts w:asciiTheme="minorHAnsi" w:hAnsiTheme="minorHAnsi"/>
        </w:rPr>
        <w:t xml:space="preserve"> Transport materiałów </w:t>
      </w:r>
    </w:p>
    <w:p w:rsidR="008545BB" w:rsidRPr="001C5F6A" w:rsidRDefault="008545BB" w:rsidP="008545BB">
      <w:pPr>
        <w:rPr>
          <w:rFonts w:asciiTheme="minorHAnsi" w:hAnsiTheme="minorHAnsi"/>
        </w:rPr>
      </w:pPr>
      <w:r w:rsidRPr="001C5F6A">
        <w:rPr>
          <w:rFonts w:asciiTheme="minorHAnsi" w:hAnsiTheme="minorHAnsi"/>
        </w:rPr>
        <w:tab/>
        <w:t>Materiały do wykonania robót można przewozić dowolnymi środkami transportu, w warunkach zabezpieczających je przed zanieczyszczeniem, zmieszaniem z innymi materiałami i nadmiernym zawilgoceniem lub wysuszeniem.</w:t>
      </w:r>
    </w:p>
    <w:p w:rsidR="008545BB" w:rsidRPr="001C5F6A" w:rsidRDefault="008545BB" w:rsidP="008545BB">
      <w:pPr>
        <w:rPr>
          <w:rFonts w:asciiTheme="minorHAnsi" w:hAnsiTheme="minorHAnsi"/>
        </w:rPr>
      </w:pPr>
      <w:r w:rsidRPr="001C5F6A">
        <w:rPr>
          <w:rFonts w:asciiTheme="minorHAnsi" w:hAnsiTheme="minorHAnsi"/>
        </w:rPr>
        <w:tab/>
        <w:t>Materiały do wykonania stałych konstrukcji ochronnych wokół drzew, wymagające specjalnego sposobu zabezpieczenia w czasie transportu, należy przewozić według ustaleń ST wymienionych w punkcie 2.2.2.</w:t>
      </w:r>
    </w:p>
    <w:p w:rsidR="008545BB" w:rsidRPr="001C5F6A" w:rsidRDefault="008545BB" w:rsidP="008545BB">
      <w:pPr>
        <w:rPr>
          <w:rFonts w:asciiTheme="minorHAnsi" w:hAnsiTheme="minorHAnsi"/>
        </w:rPr>
      </w:pPr>
    </w:p>
    <w:p w:rsidR="008545BB" w:rsidRPr="001C5F6A" w:rsidRDefault="008545BB" w:rsidP="008545BB">
      <w:pPr>
        <w:rPr>
          <w:rFonts w:asciiTheme="minorHAnsi" w:hAnsiTheme="minorHAnsi"/>
          <w:b/>
        </w:rPr>
      </w:pPr>
      <w:r w:rsidRPr="001C5F6A">
        <w:rPr>
          <w:rFonts w:asciiTheme="minorHAnsi" w:hAnsiTheme="minorHAnsi"/>
          <w:b/>
        </w:rPr>
        <w:t>5. WYKONANIE ROBÓT</w:t>
      </w:r>
    </w:p>
    <w:p w:rsidR="008545BB" w:rsidRPr="001C5F6A" w:rsidRDefault="008545BB" w:rsidP="008545BB">
      <w:pPr>
        <w:rPr>
          <w:rFonts w:asciiTheme="minorHAnsi" w:hAnsiTheme="minorHAnsi"/>
        </w:rPr>
      </w:pPr>
      <w:r w:rsidRPr="001C5F6A">
        <w:rPr>
          <w:rFonts w:asciiTheme="minorHAnsi" w:hAnsiTheme="minorHAnsi"/>
          <w:b/>
        </w:rPr>
        <w:t>5.1.</w:t>
      </w:r>
      <w:r w:rsidRPr="001C5F6A">
        <w:rPr>
          <w:rFonts w:asciiTheme="minorHAnsi" w:hAnsiTheme="minorHAnsi"/>
        </w:rPr>
        <w:t xml:space="preserve"> Ogólne zasady wykonania robót</w:t>
      </w:r>
    </w:p>
    <w:p w:rsidR="008545BB" w:rsidRPr="001C5F6A" w:rsidRDefault="008545BB" w:rsidP="008545BB">
      <w:pPr>
        <w:rPr>
          <w:rFonts w:asciiTheme="minorHAnsi" w:hAnsiTheme="minorHAnsi"/>
        </w:rPr>
      </w:pPr>
      <w:r w:rsidRPr="001C5F6A">
        <w:rPr>
          <w:rFonts w:asciiTheme="minorHAnsi" w:hAnsiTheme="minorHAnsi"/>
        </w:rPr>
        <w:tab/>
        <w:t>Ogólne zasady wykonania robót podano w ST D-M-00.00.00 „Wymagania ogólne”  pkt 5.</w:t>
      </w:r>
    </w:p>
    <w:p w:rsidR="008545BB" w:rsidRPr="001C5F6A" w:rsidRDefault="008545BB" w:rsidP="008545BB">
      <w:pPr>
        <w:rPr>
          <w:rFonts w:asciiTheme="minorHAnsi" w:hAnsiTheme="minorHAnsi"/>
        </w:rPr>
      </w:pPr>
      <w:r w:rsidRPr="001C5F6A">
        <w:rPr>
          <w:rFonts w:asciiTheme="minorHAnsi" w:hAnsiTheme="minorHAnsi"/>
          <w:b/>
        </w:rPr>
        <w:t>5.2.</w:t>
      </w:r>
      <w:r w:rsidRPr="001C5F6A">
        <w:rPr>
          <w:rFonts w:asciiTheme="minorHAnsi" w:hAnsiTheme="minorHAnsi"/>
        </w:rPr>
        <w:t xml:space="preserve"> Zasady wykonywania robót</w:t>
      </w:r>
    </w:p>
    <w:p w:rsidR="008545BB" w:rsidRPr="001C5F6A" w:rsidRDefault="008545BB" w:rsidP="008545BB">
      <w:pPr>
        <w:rPr>
          <w:rFonts w:asciiTheme="minorHAnsi" w:hAnsiTheme="minorHAnsi"/>
        </w:rPr>
      </w:pPr>
      <w:r w:rsidRPr="001C5F6A">
        <w:rPr>
          <w:rFonts w:asciiTheme="minorHAnsi" w:hAnsiTheme="minorHAnsi"/>
        </w:rPr>
        <w:t>Sposób wykonania robót powinien być zgodny z dokumentacją projektową. W przypadku braku wystarczających danych można korzystać z ustaleń podanych w niniejszej specyfikacji oraz z informacji podanych w załącznikach.</w:t>
      </w:r>
    </w:p>
    <w:p w:rsidR="008545BB" w:rsidRPr="001C5F6A" w:rsidRDefault="008545BB" w:rsidP="008545BB">
      <w:pPr>
        <w:rPr>
          <w:rFonts w:asciiTheme="minorHAnsi" w:hAnsiTheme="minorHAnsi"/>
        </w:rPr>
      </w:pPr>
      <w:r w:rsidRPr="001C5F6A">
        <w:rPr>
          <w:rFonts w:asciiTheme="minorHAnsi" w:hAnsiTheme="minorHAnsi"/>
        </w:rPr>
        <w:tab/>
        <w:t>Podstawowe czynności przy wykonywaniu robót obejmują:</w:t>
      </w:r>
    </w:p>
    <w:p w:rsidR="008545BB" w:rsidRPr="001C5F6A" w:rsidRDefault="008545BB" w:rsidP="008545BB">
      <w:pPr>
        <w:rPr>
          <w:rFonts w:asciiTheme="minorHAnsi" w:hAnsiTheme="minorHAnsi"/>
        </w:rPr>
      </w:pPr>
      <w:r w:rsidRPr="001C5F6A">
        <w:rPr>
          <w:rFonts w:asciiTheme="minorHAnsi" w:hAnsiTheme="minorHAnsi"/>
        </w:rPr>
        <w:t xml:space="preserve">roboty przygotowawcze, </w:t>
      </w:r>
    </w:p>
    <w:p w:rsidR="008545BB" w:rsidRPr="001C5F6A" w:rsidRDefault="008545BB" w:rsidP="008545BB">
      <w:pPr>
        <w:rPr>
          <w:rFonts w:asciiTheme="minorHAnsi" w:hAnsiTheme="minorHAnsi"/>
        </w:rPr>
      </w:pPr>
      <w:r w:rsidRPr="001C5F6A">
        <w:rPr>
          <w:rFonts w:asciiTheme="minorHAnsi" w:hAnsiTheme="minorHAnsi"/>
        </w:rPr>
        <w:t>roboty zabezpieczające drzewo lub czynności pielęgnacyjne,</w:t>
      </w:r>
    </w:p>
    <w:p w:rsidR="008545BB" w:rsidRPr="001C5F6A" w:rsidRDefault="008545BB" w:rsidP="008545BB">
      <w:pPr>
        <w:rPr>
          <w:rFonts w:asciiTheme="minorHAnsi" w:hAnsiTheme="minorHAnsi"/>
        </w:rPr>
      </w:pPr>
      <w:r w:rsidRPr="001C5F6A">
        <w:rPr>
          <w:rFonts w:asciiTheme="minorHAnsi" w:hAnsiTheme="minorHAnsi"/>
        </w:rPr>
        <w:t>roboty wykończeniowe.</w:t>
      </w:r>
    </w:p>
    <w:p w:rsidR="008545BB" w:rsidRPr="001C5F6A" w:rsidRDefault="008545BB" w:rsidP="008545BB">
      <w:pPr>
        <w:rPr>
          <w:rFonts w:asciiTheme="minorHAnsi" w:hAnsiTheme="minorHAnsi"/>
        </w:rPr>
      </w:pPr>
      <w:r w:rsidRPr="001C5F6A">
        <w:rPr>
          <w:rFonts w:asciiTheme="minorHAnsi" w:hAnsiTheme="minorHAnsi"/>
          <w:b/>
        </w:rPr>
        <w:t>5.3.</w:t>
      </w:r>
      <w:r w:rsidRPr="001C5F6A">
        <w:rPr>
          <w:rFonts w:asciiTheme="minorHAnsi" w:hAnsiTheme="minorHAnsi"/>
        </w:rPr>
        <w:t xml:space="preserve"> Roboty przygotowawcze</w:t>
      </w:r>
    </w:p>
    <w:p w:rsidR="008545BB" w:rsidRPr="001C5F6A" w:rsidRDefault="008545BB" w:rsidP="008545BB">
      <w:pPr>
        <w:rPr>
          <w:rFonts w:asciiTheme="minorHAnsi" w:hAnsiTheme="minorHAnsi"/>
        </w:rPr>
      </w:pPr>
      <w:r w:rsidRPr="001C5F6A">
        <w:rPr>
          <w:rFonts w:asciiTheme="minorHAnsi" w:hAnsiTheme="minorHAnsi"/>
        </w:rPr>
        <w:tab/>
        <w:t>Przed przystąpieniem do robót należy, na podstawie dokumentacji projektowej,  ST lub wskazań Inżyniera:</w:t>
      </w:r>
    </w:p>
    <w:p w:rsidR="008545BB" w:rsidRPr="001C5F6A" w:rsidRDefault="008545BB" w:rsidP="008545BB">
      <w:pPr>
        <w:rPr>
          <w:rFonts w:asciiTheme="minorHAnsi" w:hAnsiTheme="minorHAnsi"/>
        </w:rPr>
      </w:pPr>
      <w:r w:rsidRPr="001C5F6A">
        <w:rPr>
          <w:rFonts w:asciiTheme="minorHAnsi" w:hAnsiTheme="minorHAnsi"/>
        </w:rPr>
        <w:t>ustalić lokalizację drzewa podlegającego zabezpieczeniu,</w:t>
      </w:r>
    </w:p>
    <w:p w:rsidR="008545BB" w:rsidRPr="001C5F6A" w:rsidRDefault="008545BB" w:rsidP="008545BB">
      <w:pPr>
        <w:rPr>
          <w:rFonts w:asciiTheme="minorHAnsi" w:hAnsiTheme="minorHAnsi"/>
        </w:rPr>
      </w:pPr>
      <w:r w:rsidRPr="001C5F6A">
        <w:rPr>
          <w:rFonts w:asciiTheme="minorHAnsi" w:hAnsiTheme="minorHAnsi"/>
        </w:rPr>
        <w:t>szczegółowo wytyczyć roboty z danymi wysokościowymi przy stałych obiektach zabezpieczających drzewa,</w:t>
      </w:r>
    </w:p>
    <w:p w:rsidR="008545BB" w:rsidRPr="001C5F6A" w:rsidRDefault="008545BB" w:rsidP="008545BB">
      <w:pPr>
        <w:rPr>
          <w:rFonts w:asciiTheme="minorHAnsi" w:hAnsiTheme="minorHAnsi"/>
        </w:rPr>
      </w:pPr>
      <w:r w:rsidRPr="001C5F6A">
        <w:rPr>
          <w:rFonts w:asciiTheme="minorHAnsi" w:hAnsiTheme="minorHAnsi"/>
        </w:rPr>
        <w:t>usunąć przeszkody, np. drzewa, krzaki, elementy ogrodzeń itd.</w:t>
      </w:r>
    </w:p>
    <w:p w:rsidR="008545BB" w:rsidRPr="001C5F6A" w:rsidRDefault="008545BB" w:rsidP="008545BB">
      <w:pPr>
        <w:rPr>
          <w:rFonts w:asciiTheme="minorHAnsi" w:hAnsiTheme="minorHAnsi"/>
        </w:rPr>
      </w:pPr>
      <w:r w:rsidRPr="001C5F6A">
        <w:rPr>
          <w:rFonts w:asciiTheme="minorHAnsi" w:hAnsiTheme="minorHAnsi"/>
        </w:rPr>
        <w:t>Zaleca się korzystanie z ustaleń ST D-01.00.00 w zakresie niezbędnym do wykonania robót przygotowawczych oraz z ustaleń ST D-02.00.00 przy występowaniu robót ziemnych.</w:t>
      </w:r>
    </w:p>
    <w:p w:rsidR="004A5932" w:rsidRDefault="004A5932" w:rsidP="008545BB">
      <w:pPr>
        <w:rPr>
          <w:rFonts w:asciiTheme="minorHAnsi" w:hAnsiTheme="minorHAnsi"/>
          <w:b/>
        </w:rPr>
      </w:pPr>
    </w:p>
    <w:p w:rsidR="004A5932" w:rsidRDefault="004A5932" w:rsidP="008545BB">
      <w:pPr>
        <w:rPr>
          <w:rFonts w:asciiTheme="minorHAnsi" w:hAnsiTheme="minorHAnsi"/>
          <w:b/>
        </w:rPr>
      </w:pPr>
    </w:p>
    <w:p w:rsidR="008545BB" w:rsidRPr="001C5F6A" w:rsidRDefault="008545BB" w:rsidP="008545BB">
      <w:pPr>
        <w:rPr>
          <w:rFonts w:asciiTheme="minorHAnsi" w:hAnsiTheme="minorHAnsi"/>
        </w:rPr>
      </w:pPr>
      <w:r w:rsidRPr="001C5F6A">
        <w:rPr>
          <w:rFonts w:asciiTheme="minorHAnsi" w:hAnsiTheme="minorHAnsi"/>
          <w:b/>
        </w:rPr>
        <w:lastRenderedPageBreak/>
        <w:t>5.4.</w:t>
      </w:r>
      <w:r w:rsidRPr="001C5F6A">
        <w:rPr>
          <w:rFonts w:asciiTheme="minorHAnsi" w:hAnsiTheme="minorHAnsi"/>
        </w:rPr>
        <w:t xml:space="preserve"> Tymczasowe zabezpieczenie drzew, na okres budowy</w:t>
      </w:r>
    </w:p>
    <w:p w:rsidR="008545BB" w:rsidRPr="001C5F6A" w:rsidRDefault="008545BB" w:rsidP="008545BB">
      <w:pPr>
        <w:rPr>
          <w:rFonts w:asciiTheme="minorHAnsi" w:hAnsiTheme="minorHAnsi"/>
        </w:rPr>
      </w:pPr>
      <w:r w:rsidRPr="001C5F6A">
        <w:rPr>
          <w:rFonts w:asciiTheme="minorHAnsi" w:hAnsiTheme="minorHAnsi"/>
        </w:rPr>
        <w:tab/>
        <w:t>Tymczasowe zabezpieczenie drzew, które pozostaną w terenie po zakończeniu robót drogowych , a są narażone na uszkodzenia w czasie robót budowlanych, wymaga wykonania wszystkich czynności:</w:t>
      </w:r>
    </w:p>
    <w:p w:rsidR="008545BB" w:rsidRPr="001C5F6A" w:rsidRDefault="004A5932" w:rsidP="008545BB">
      <w:pPr>
        <w:rPr>
          <w:rFonts w:asciiTheme="minorHAnsi" w:hAnsiTheme="minorHAnsi"/>
        </w:rPr>
      </w:pPr>
      <w:r>
        <w:rPr>
          <w:rFonts w:asciiTheme="minorHAnsi" w:hAnsiTheme="minorHAnsi"/>
        </w:rPr>
        <w:t>-</w:t>
      </w:r>
      <w:r w:rsidR="008545BB" w:rsidRPr="001C5F6A">
        <w:rPr>
          <w:rFonts w:asciiTheme="minorHAnsi" w:hAnsiTheme="minorHAnsi"/>
        </w:rPr>
        <w:t>w sposób uniemożliwiający uszkodzenie mechaniczne drzew,</w:t>
      </w:r>
    </w:p>
    <w:p w:rsidR="008545BB" w:rsidRPr="001C5F6A" w:rsidRDefault="004A5932" w:rsidP="008545BB">
      <w:pPr>
        <w:rPr>
          <w:rFonts w:asciiTheme="minorHAnsi" w:hAnsiTheme="minorHAnsi"/>
        </w:rPr>
      </w:pPr>
      <w:r>
        <w:rPr>
          <w:rFonts w:asciiTheme="minorHAnsi" w:hAnsiTheme="minorHAnsi"/>
        </w:rPr>
        <w:t>-</w:t>
      </w:r>
      <w:r w:rsidR="008545BB" w:rsidRPr="001C5F6A">
        <w:rPr>
          <w:rFonts w:asciiTheme="minorHAnsi" w:hAnsiTheme="minorHAnsi"/>
        </w:rPr>
        <w:t xml:space="preserve">tylko ręcznie w zasięgu korony drzewa i w odległości co najmniej </w:t>
      </w:r>
      <w:smartTag w:uri="urn:schemas-microsoft-com:office:smarttags" w:element="metricconverter">
        <w:smartTagPr>
          <w:attr w:name="ProductID" w:val="2 m"/>
        </w:smartTagPr>
        <w:r w:rsidR="008545BB" w:rsidRPr="001C5F6A">
          <w:rPr>
            <w:rFonts w:asciiTheme="minorHAnsi" w:hAnsiTheme="minorHAnsi"/>
          </w:rPr>
          <w:t>2 m</w:t>
        </w:r>
      </w:smartTag>
      <w:r w:rsidR="008545BB" w:rsidRPr="001C5F6A">
        <w:rPr>
          <w:rFonts w:asciiTheme="minorHAnsi" w:hAnsiTheme="minorHAnsi"/>
        </w:rPr>
        <w:t xml:space="preserve"> na zewnątrz od obrysu korony drzewa, przy czym wyjątkowe zastosowanie sprzętu mechanicznego wymaga zgody Inżyniera.</w:t>
      </w:r>
    </w:p>
    <w:p w:rsidR="008545BB" w:rsidRPr="001C5F6A" w:rsidRDefault="008545BB" w:rsidP="008545BB">
      <w:pPr>
        <w:ind w:firstLine="709"/>
        <w:rPr>
          <w:rFonts w:asciiTheme="minorHAnsi" w:hAnsiTheme="minorHAnsi"/>
        </w:rPr>
      </w:pPr>
      <w:r w:rsidRPr="001C5F6A">
        <w:rPr>
          <w:rFonts w:asciiTheme="minorHAnsi" w:hAnsiTheme="minorHAnsi"/>
        </w:rPr>
        <w:t xml:space="preserve">W zasięgu korony drzewa i w odległości co najmniej </w:t>
      </w:r>
      <w:smartTag w:uri="urn:schemas-microsoft-com:office:smarttags" w:element="metricconverter">
        <w:smartTagPr>
          <w:attr w:name="ProductID" w:val="2 m"/>
        </w:smartTagPr>
        <w:r w:rsidRPr="001C5F6A">
          <w:rPr>
            <w:rFonts w:asciiTheme="minorHAnsi" w:hAnsiTheme="minorHAnsi"/>
          </w:rPr>
          <w:t>2 m</w:t>
        </w:r>
      </w:smartTag>
      <w:r w:rsidRPr="001C5F6A">
        <w:rPr>
          <w:rFonts w:asciiTheme="minorHAnsi" w:hAnsiTheme="minorHAnsi"/>
        </w:rPr>
        <w:t xml:space="preserve"> na zewnątrz od obrysu korony drzewa (lub w strefie 4 × </w:t>
      </w:r>
      <w:smartTag w:uri="urn:schemas-microsoft-com:office:smarttags" w:element="metricconverter">
        <w:smartTagPr>
          <w:attr w:name="ProductID" w:val="4 m"/>
        </w:smartTagPr>
        <w:r w:rsidRPr="001C5F6A">
          <w:rPr>
            <w:rFonts w:asciiTheme="minorHAnsi" w:hAnsiTheme="minorHAnsi"/>
          </w:rPr>
          <w:t>4 m</w:t>
        </w:r>
      </w:smartTag>
      <w:r w:rsidRPr="001C5F6A">
        <w:rPr>
          <w:rFonts w:asciiTheme="minorHAnsi" w:hAnsiTheme="minorHAnsi"/>
        </w:rPr>
        <w:t xml:space="preserve"> wokół drzewa) nie powinno dopuścić się do:</w:t>
      </w:r>
    </w:p>
    <w:p w:rsidR="008545BB" w:rsidRPr="001C5F6A" w:rsidRDefault="004A5932" w:rsidP="008545BB">
      <w:pPr>
        <w:rPr>
          <w:rFonts w:asciiTheme="minorHAnsi" w:hAnsiTheme="minorHAnsi"/>
        </w:rPr>
      </w:pPr>
      <w:r>
        <w:rPr>
          <w:rFonts w:asciiTheme="minorHAnsi" w:hAnsiTheme="minorHAnsi"/>
        </w:rPr>
        <w:t>-</w:t>
      </w:r>
      <w:r w:rsidR="008545BB" w:rsidRPr="001C5F6A">
        <w:rPr>
          <w:rFonts w:asciiTheme="minorHAnsi" w:hAnsiTheme="minorHAnsi"/>
        </w:rPr>
        <w:t>wykonania placów składowych i dróg dojazdowych,</w:t>
      </w:r>
    </w:p>
    <w:p w:rsidR="008545BB" w:rsidRPr="001C5F6A" w:rsidRDefault="004A5932" w:rsidP="008545BB">
      <w:pPr>
        <w:rPr>
          <w:rFonts w:asciiTheme="minorHAnsi" w:hAnsiTheme="minorHAnsi"/>
        </w:rPr>
      </w:pPr>
      <w:r>
        <w:rPr>
          <w:rFonts w:asciiTheme="minorHAnsi" w:hAnsiTheme="minorHAnsi"/>
        </w:rPr>
        <w:t>-</w:t>
      </w:r>
      <w:r w:rsidR="008545BB" w:rsidRPr="001C5F6A">
        <w:rPr>
          <w:rFonts w:asciiTheme="minorHAnsi" w:hAnsiTheme="minorHAnsi"/>
        </w:rPr>
        <w:t>poruszania się sprzętu mechanicznego,</w:t>
      </w:r>
    </w:p>
    <w:p w:rsidR="008545BB" w:rsidRPr="001C5F6A" w:rsidRDefault="004A5932" w:rsidP="008545BB">
      <w:pPr>
        <w:rPr>
          <w:rFonts w:asciiTheme="minorHAnsi" w:hAnsiTheme="minorHAnsi"/>
        </w:rPr>
      </w:pPr>
      <w:r>
        <w:rPr>
          <w:rFonts w:asciiTheme="minorHAnsi" w:hAnsiTheme="minorHAnsi"/>
        </w:rPr>
        <w:t>-</w:t>
      </w:r>
      <w:r w:rsidR="008545BB" w:rsidRPr="001C5F6A">
        <w:rPr>
          <w:rFonts w:asciiTheme="minorHAnsi" w:hAnsiTheme="minorHAnsi"/>
        </w:rPr>
        <w:t>składowania materiałów budowlanych,</w:t>
      </w:r>
    </w:p>
    <w:p w:rsidR="008545BB" w:rsidRPr="001C5F6A" w:rsidRDefault="004A5932" w:rsidP="008545BB">
      <w:pPr>
        <w:rPr>
          <w:rFonts w:asciiTheme="minorHAnsi" w:hAnsiTheme="minorHAnsi"/>
        </w:rPr>
      </w:pPr>
      <w:r>
        <w:rPr>
          <w:rFonts w:asciiTheme="minorHAnsi" w:hAnsiTheme="minorHAnsi"/>
        </w:rPr>
        <w:t>-</w:t>
      </w:r>
      <w:r w:rsidR="008545BB" w:rsidRPr="001C5F6A">
        <w:rPr>
          <w:rFonts w:asciiTheme="minorHAnsi" w:hAnsiTheme="minorHAnsi"/>
        </w:rPr>
        <w:t>zmian poziomu gruntu.</w:t>
      </w:r>
    </w:p>
    <w:p w:rsidR="008545BB" w:rsidRPr="001C5F6A" w:rsidRDefault="008545BB" w:rsidP="008545BB">
      <w:pPr>
        <w:ind w:firstLine="709"/>
        <w:rPr>
          <w:rFonts w:asciiTheme="minorHAnsi" w:hAnsiTheme="minorHAnsi"/>
        </w:rPr>
      </w:pPr>
      <w:r w:rsidRPr="001C5F6A">
        <w:rPr>
          <w:rFonts w:asciiTheme="minorHAnsi" w:hAnsiTheme="minorHAnsi"/>
        </w:rPr>
        <w:t xml:space="preserve">Zaleca się, aby w strefie do </w:t>
      </w:r>
      <w:smartTag w:uri="urn:schemas-microsoft-com:office:smarttags" w:element="metricconverter">
        <w:smartTagPr>
          <w:attr w:name="ProductID" w:val="10 m"/>
        </w:smartTagPr>
        <w:r w:rsidRPr="001C5F6A">
          <w:rPr>
            <w:rFonts w:asciiTheme="minorHAnsi" w:hAnsiTheme="minorHAnsi"/>
          </w:rPr>
          <w:t>10 m</w:t>
        </w:r>
      </w:smartTag>
      <w:r w:rsidRPr="001C5F6A">
        <w:rPr>
          <w:rFonts w:asciiTheme="minorHAnsi" w:hAnsiTheme="minorHAnsi"/>
        </w:rPr>
        <w:t xml:space="preserve"> od pnia drzewa nie składować cementu, kruszywa, olejów, paliw i lepiszcz.</w:t>
      </w:r>
    </w:p>
    <w:p w:rsidR="008545BB" w:rsidRPr="001C5F6A" w:rsidRDefault="008545BB" w:rsidP="008545BB">
      <w:pPr>
        <w:rPr>
          <w:rFonts w:asciiTheme="minorHAnsi" w:hAnsiTheme="minorHAnsi"/>
        </w:rPr>
      </w:pPr>
      <w:r w:rsidRPr="001C5F6A">
        <w:rPr>
          <w:rFonts w:asciiTheme="minorHAnsi" w:hAnsiTheme="minorHAnsi"/>
        </w:rPr>
        <w:t>Zaleca się, aby roboty ziemne w obrębie korzeni drzewa nie były prowadzone w okresie wegetacji roślin, a szczególnie w okresie letnim. Najkorzystniejszym okresem do wykonania tych robót są miesiące od października do kwietnia.</w:t>
      </w:r>
    </w:p>
    <w:p w:rsidR="008545BB" w:rsidRPr="001C5F6A" w:rsidRDefault="008545BB" w:rsidP="008545BB">
      <w:pPr>
        <w:rPr>
          <w:rFonts w:asciiTheme="minorHAnsi" w:hAnsiTheme="minorHAnsi"/>
        </w:rPr>
      </w:pPr>
      <w:r w:rsidRPr="001C5F6A">
        <w:rPr>
          <w:rFonts w:asciiTheme="minorHAnsi" w:hAnsiTheme="minorHAnsi"/>
        </w:rPr>
        <w:t xml:space="preserve">Zaleca się, aby czasowe wykopy instalacyjne wykonywane w strefie korzeniowej drzew były wykonywane wyłącznie ręcznie. Za deskowaniem czasowego wąskiego wykopu powinno się wykonać osłonę korzeni w formie szczeliny o szerokości 0,3 ÷ </w:t>
      </w:r>
      <w:smartTag w:uri="urn:schemas-microsoft-com:office:smarttags" w:element="metricconverter">
        <w:smartTagPr>
          <w:attr w:name="ProductID" w:val="0,5 m"/>
        </w:smartTagPr>
        <w:r w:rsidRPr="001C5F6A">
          <w:rPr>
            <w:rFonts w:asciiTheme="minorHAnsi" w:hAnsiTheme="minorHAnsi"/>
          </w:rPr>
          <w:t>0,5 m</w:t>
        </w:r>
      </w:smartTag>
      <w:r w:rsidRPr="001C5F6A">
        <w:rPr>
          <w:rFonts w:asciiTheme="minorHAnsi" w:hAnsiTheme="minorHAnsi"/>
        </w:rPr>
        <w:t xml:space="preserve">  i głębokości 1,5 ÷ </w:t>
      </w:r>
      <w:smartTag w:uri="urn:schemas-microsoft-com:office:smarttags" w:element="metricconverter">
        <w:smartTagPr>
          <w:attr w:name="ProductID" w:val="2,0 m"/>
        </w:smartTagPr>
        <w:r w:rsidRPr="001C5F6A">
          <w:rPr>
            <w:rFonts w:asciiTheme="minorHAnsi" w:hAnsiTheme="minorHAnsi"/>
          </w:rPr>
          <w:t>2,0 m</w:t>
        </w:r>
      </w:smartTag>
      <w:r w:rsidRPr="001C5F6A">
        <w:rPr>
          <w:rFonts w:asciiTheme="minorHAnsi" w:hAnsiTheme="minorHAnsi"/>
        </w:rPr>
        <w:t xml:space="preserve">  wypełnionej kompostem i torfem. Wskazane jest wykonanie takiej osłony rok wcześniej niż właściwy wykop. Z osłon takich można zrezygnować pod warunkiem wykonania robót instalacyjnych poza okresem wegetacji roślin (patrz rys. 1).</w:t>
      </w:r>
    </w:p>
    <w:p w:rsidR="008545BB" w:rsidRPr="001C5F6A" w:rsidRDefault="008545BB" w:rsidP="008545BB">
      <w:pPr>
        <w:ind w:firstLine="709"/>
        <w:rPr>
          <w:rFonts w:asciiTheme="minorHAnsi" w:hAnsiTheme="minorHAnsi"/>
        </w:rPr>
      </w:pPr>
      <w:r w:rsidRPr="001C5F6A">
        <w:rPr>
          <w:rFonts w:asciiTheme="minorHAnsi" w:hAnsiTheme="minorHAnsi"/>
        </w:rPr>
        <w:t>Zabezpieczenie drzewa na okres budowy drogi powinno obejmować:</w:t>
      </w:r>
    </w:p>
    <w:p w:rsidR="008545BB" w:rsidRPr="001C5F6A" w:rsidRDefault="008545BB" w:rsidP="008545BB">
      <w:pPr>
        <w:rPr>
          <w:rFonts w:asciiTheme="minorHAnsi" w:hAnsiTheme="minorHAnsi"/>
        </w:rPr>
      </w:pPr>
      <w:r w:rsidRPr="001C5F6A">
        <w:rPr>
          <w:rFonts w:asciiTheme="minorHAnsi" w:hAnsiTheme="minorHAnsi"/>
        </w:rPr>
        <w:t xml:space="preserve">owinięcie pnia matami słomianymi (np. w ilości </w:t>
      </w:r>
      <w:smartTag w:uri="urn:schemas-microsoft-com:office:smarttags" w:element="metricconverter">
        <w:smartTagPr>
          <w:attr w:name="ProductID" w:val="4 m2"/>
        </w:smartTagPr>
        <w:r w:rsidRPr="001C5F6A">
          <w:rPr>
            <w:rFonts w:asciiTheme="minorHAnsi" w:hAnsiTheme="minorHAnsi"/>
          </w:rPr>
          <w:t>4 m2</w:t>
        </w:r>
      </w:smartTag>
      <w:r w:rsidRPr="001C5F6A">
        <w:rPr>
          <w:rFonts w:asciiTheme="minorHAnsi" w:hAnsiTheme="minorHAnsi"/>
        </w:rPr>
        <w:t xml:space="preserve"> na jeden pień) lub zużytymi oponami samochodowymi, a następnie oszalowanie ich deskami do wysokości pierwszych gałęzi. Dolna część każdej deski powinna opierać się na podłożu, będąc lekko wkopaną w grunt lub obsypaną ziemią. Oszalowanie powinno być otoczone opaskami z drutu lub taśmy stalowej w odległości wzajemnej co 40÷60 cm,</w:t>
      </w:r>
    </w:p>
    <w:p w:rsidR="008545BB" w:rsidRPr="001C5F6A" w:rsidRDefault="008545BB" w:rsidP="008545BB">
      <w:pPr>
        <w:rPr>
          <w:rFonts w:asciiTheme="minorHAnsi" w:hAnsiTheme="minorHAnsi"/>
        </w:rPr>
      </w:pPr>
      <w:r w:rsidRPr="001C5F6A">
        <w:rPr>
          <w:rFonts w:asciiTheme="minorHAnsi" w:hAnsiTheme="minorHAnsi"/>
        </w:rPr>
        <w:t xml:space="preserve">przykrycie odkrytych korzeni matami słomianymi w ilości około </w:t>
      </w:r>
      <w:smartTag w:uri="urn:schemas-microsoft-com:office:smarttags" w:element="metricconverter">
        <w:smartTagPr>
          <w:attr w:name="ProductID" w:val="4 m2"/>
        </w:smartTagPr>
        <w:r w:rsidRPr="001C5F6A">
          <w:rPr>
            <w:rFonts w:asciiTheme="minorHAnsi" w:hAnsiTheme="minorHAnsi"/>
          </w:rPr>
          <w:t>4 m2</w:t>
        </w:r>
      </w:smartTag>
      <w:r w:rsidRPr="001C5F6A">
        <w:rPr>
          <w:rFonts w:asciiTheme="minorHAnsi" w:hAnsiTheme="minorHAnsi"/>
        </w:rPr>
        <w:t xml:space="preserve"> na jedno drzewo,</w:t>
      </w:r>
    </w:p>
    <w:p w:rsidR="008545BB" w:rsidRPr="001C5F6A" w:rsidRDefault="008545BB" w:rsidP="008545BB">
      <w:pPr>
        <w:rPr>
          <w:rFonts w:asciiTheme="minorHAnsi" w:hAnsiTheme="minorHAnsi"/>
        </w:rPr>
      </w:pPr>
      <w:r w:rsidRPr="001C5F6A">
        <w:rPr>
          <w:rFonts w:asciiTheme="minorHAnsi" w:hAnsiTheme="minorHAnsi"/>
        </w:rPr>
        <w:t>podlewanie drzewa wodą w ilości około 20 dm3 na jedno drzewo przez cały okres trwania robót, w zależności od warunków atmosferycznych oraz wskazań Inżyniera.</w:t>
      </w:r>
    </w:p>
    <w:p w:rsidR="008545BB" w:rsidRPr="001C5F6A" w:rsidRDefault="008545BB" w:rsidP="008545BB">
      <w:pPr>
        <w:ind w:firstLine="709"/>
        <w:rPr>
          <w:rFonts w:asciiTheme="minorHAnsi" w:hAnsiTheme="minorHAnsi"/>
        </w:rPr>
      </w:pPr>
      <w:r w:rsidRPr="001C5F6A">
        <w:rPr>
          <w:rFonts w:asciiTheme="minorHAnsi" w:hAnsiTheme="minorHAnsi"/>
        </w:rPr>
        <w:t>Po zakończeniu robót należy wykonać demontaż zabezpieczenia drzewa, obejmujący:</w:t>
      </w:r>
    </w:p>
    <w:p w:rsidR="008545BB" w:rsidRPr="001C5F6A" w:rsidRDefault="008545BB" w:rsidP="008545BB">
      <w:pPr>
        <w:rPr>
          <w:rFonts w:asciiTheme="minorHAnsi" w:hAnsiTheme="minorHAnsi"/>
        </w:rPr>
      </w:pPr>
      <w:r w:rsidRPr="001C5F6A">
        <w:rPr>
          <w:rFonts w:asciiTheme="minorHAnsi" w:hAnsiTheme="minorHAnsi"/>
        </w:rPr>
        <w:t>rozebranie konstrukcji zabezpieczającej drzewo,</w:t>
      </w:r>
    </w:p>
    <w:p w:rsidR="008545BB" w:rsidRPr="001C5F6A" w:rsidRDefault="008545BB" w:rsidP="008545BB">
      <w:pPr>
        <w:rPr>
          <w:rFonts w:asciiTheme="minorHAnsi" w:hAnsiTheme="minorHAnsi"/>
        </w:rPr>
      </w:pPr>
      <w:r w:rsidRPr="001C5F6A">
        <w:rPr>
          <w:rFonts w:asciiTheme="minorHAnsi" w:hAnsiTheme="minorHAnsi"/>
        </w:rPr>
        <w:t>usunięcie materiałów zabezpieczających,</w:t>
      </w:r>
    </w:p>
    <w:p w:rsidR="008545BB" w:rsidRPr="001C5F6A" w:rsidRDefault="008545BB" w:rsidP="008545BB">
      <w:pPr>
        <w:rPr>
          <w:rFonts w:asciiTheme="minorHAnsi" w:hAnsiTheme="minorHAnsi"/>
        </w:rPr>
      </w:pPr>
      <w:r w:rsidRPr="001C5F6A">
        <w:rPr>
          <w:rFonts w:asciiTheme="minorHAnsi" w:hAnsiTheme="minorHAnsi"/>
        </w:rPr>
        <w:t>lekkie spulchnienie ziemi w strefie korzeniowej drzewa.</w:t>
      </w:r>
    </w:p>
    <w:p w:rsidR="008545BB" w:rsidRPr="001C5F6A" w:rsidRDefault="008545BB" w:rsidP="008545BB">
      <w:pPr>
        <w:rPr>
          <w:rFonts w:asciiTheme="minorHAnsi" w:hAnsiTheme="minorHAnsi"/>
        </w:rPr>
      </w:pPr>
      <w:r w:rsidRPr="001C5F6A">
        <w:rPr>
          <w:rFonts w:asciiTheme="minorHAnsi" w:hAnsiTheme="minorHAnsi"/>
          <w:b/>
        </w:rPr>
        <w:t>5.5.</w:t>
      </w:r>
      <w:r w:rsidRPr="001C5F6A">
        <w:rPr>
          <w:rFonts w:asciiTheme="minorHAnsi" w:hAnsiTheme="minorHAnsi"/>
        </w:rPr>
        <w:t xml:space="preserve"> Stałe zabezpieczenie drzew</w:t>
      </w:r>
    </w:p>
    <w:p w:rsidR="008545BB" w:rsidRPr="001C5F6A" w:rsidRDefault="008545BB" w:rsidP="008545BB">
      <w:pPr>
        <w:rPr>
          <w:rFonts w:asciiTheme="minorHAnsi" w:hAnsiTheme="minorHAnsi"/>
        </w:rPr>
      </w:pPr>
      <w:r w:rsidRPr="001C5F6A">
        <w:rPr>
          <w:rFonts w:asciiTheme="minorHAnsi" w:hAnsiTheme="minorHAnsi"/>
        </w:rPr>
        <w:tab/>
        <w:t>Drzewa, które dokumentacja projektowa przewiduje pozostawić po zakończeniu drogowych robót budowlanych, mogą podlegać:</w:t>
      </w:r>
    </w:p>
    <w:p w:rsidR="008545BB" w:rsidRPr="001C5F6A" w:rsidRDefault="008545BB" w:rsidP="008545BB">
      <w:pPr>
        <w:rPr>
          <w:rFonts w:asciiTheme="minorHAnsi" w:hAnsiTheme="minorHAnsi"/>
        </w:rPr>
      </w:pPr>
      <w:r w:rsidRPr="001C5F6A">
        <w:rPr>
          <w:rFonts w:asciiTheme="minorHAnsi" w:hAnsiTheme="minorHAnsi"/>
        </w:rPr>
        <w:t>tymczasowemu zabezpieczeniu, według punktu 5.4, jeśli poziom terenu wokół drzewa nie zmieni się,</w:t>
      </w:r>
    </w:p>
    <w:p w:rsidR="008545BB" w:rsidRPr="001C5F6A" w:rsidRDefault="008545BB" w:rsidP="008545BB">
      <w:pPr>
        <w:rPr>
          <w:rFonts w:asciiTheme="minorHAnsi" w:hAnsiTheme="minorHAnsi"/>
        </w:rPr>
      </w:pPr>
      <w:r w:rsidRPr="001C5F6A">
        <w:rPr>
          <w:rFonts w:asciiTheme="minorHAnsi" w:hAnsiTheme="minorHAnsi"/>
        </w:rPr>
        <w:t>niewielkim robotom ziemnym, przy nieznacznym obniżeniu lub podwyższeniu terenu wokół drzewa,</w:t>
      </w:r>
    </w:p>
    <w:p w:rsidR="008545BB" w:rsidRPr="001C5F6A" w:rsidRDefault="008545BB" w:rsidP="008545BB">
      <w:pPr>
        <w:rPr>
          <w:rFonts w:asciiTheme="minorHAnsi" w:hAnsiTheme="minorHAnsi"/>
        </w:rPr>
      </w:pPr>
      <w:r w:rsidRPr="001C5F6A">
        <w:rPr>
          <w:rFonts w:asciiTheme="minorHAnsi" w:hAnsiTheme="minorHAnsi"/>
        </w:rPr>
        <w:t>obudowie stałymi konstrukcjami ochronnymi wokół drzewa, przy większych różnicach pomiędzy terenem istniejącym a projektowanym.</w:t>
      </w:r>
    </w:p>
    <w:p w:rsidR="008545BB" w:rsidRPr="001C5F6A" w:rsidRDefault="008545BB" w:rsidP="008545BB">
      <w:pPr>
        <w:ind w:firstLine="709"/>
        <w:rPr>
          <w:rFonts w:asciiTheme="minorHAnsi" w:hAnsiTheme="minorHAnsi"/>
        </w:rPr>
      </w:pPr>
      <w:r w:rsidRPr="001C5F6A">
        <w:rPr>
          <w:rFonts w:asciiTheme="minorHAnsi" w:hAnsiTheme="minorHAnsi"/>
        </w:rPr>
        <w:t>Decyzja, dotycząca sposobu stałego zabezpieczenia każdego drzewa oraz rodzaju konstrukcji ochronnej wokół określonych drzew powinna być zawarta w dokumentacji projektowej. W przypadku niepełnych danych można przyjmować następujące rozwiązania, po akceptacji ich przez Inżyniera:</w:t>
      </w:r>
    </w:p>
    <w:p w:rsidR="008545BB" w:rsidRPr="001C5F6A" w:rsidRDefault="008545BB" w:rsidP="008545BB">
      <w:pPr>
        <w:rPr>
          <w:rFonts w:asciiTheme="minorHAnsi" w:hAnsiTheme="minorHAnsi"/>
        </w:rPr>
      </w:pPr>
      <w:r w:rsidRPr="001C5F6A">
        <w:rPr>
          <w:rFonts w:asciiTheme="minorHAnsi" w:hAnsiTheme="minorHAnsi"/>
        </w:rPr>
        <w:t>przy obniżeniu terenu o 1÷1,2 m można wokół drzewa pozostawić ścięty stożek gruntowy ze skarpami 1:1, ochraniający korzenie drzewa (patrz rys. 2a), ew. na skarpach może być rumosz skalny, otoczaki bądź kamienie,</w:t>
      </w:r>
    </w:p>
    <w:p w:rsidR="008545BB" w:rsidRPr="001C5F6A" w:rsidRDefault="008545BB" w:rsidP="008545BB">
      <w:pPr>
        <w:rPr>
          <w:rFonts w:asciiTheme="minorHAnsi" w:hAnsiTheme="minorHAnsi"/>
        </w:rPr>
      </w:pPr>
      <w:r w:rsidRPr="001C5F6A">
        <w:rPr>
          <w:rFonts w:asciiTheme="minorHAnsi" w:hAnsiTheme="minorHAnsi"/>
        </w:rPr>
        <w:t xml:space="preserve">przy obniżeniu terenu ponad </w:t>
      </w:r>
      <w:smartTag w:uri="urn:schemas-microsoft-com:office:smarttags" w:element="metricconverter">
        <w:smartTagPr>
          <w:attr w:name="ProductID" w:val="1 m"/>
        </w:smartTagPr>
        <w:r w:rsidRPr="001C5F6A">
          <w:rPr>
            <w:rFonts w:asciiTheme="minorHAnsi" w:hAnsiTheme="minorHAnsi"/>
          </w:rPr>
          <w:t>1 m</w:t>
        </w:r>
      </w:smartTag>
      <w:r w:rsidRPr="001C5F6A">
        <w:rPr>
          <w:rFonts w:asciiTheme="minorHAnsi" w:hAnsiTheme="minorHAnsi"/>
        </w:rPr>
        <w:t>, wokół drzewa można wykonać ściankę oporową o kształcie okrągłym lub prostokątnym z kamienia, klinkieru, betonowej kostki brukowej lub betonu z otworami (patrz rys.2b),</w:t>
      </w:r>
    </w:p>
    <w:p w:rsidR="008545BB" w:rsidRPr="001C5F6A" w:rsidRDefault="008545BB" w:rsidP="008545BB">
      <w:pPr>
        <w:rPr>
          <w:rFonts w:asciiTheme="minorHAnsi" w:hAnsiTheme="minorHAnsi"/>
        </w:rPr>
      </w:pPr>
      <w:r w:rsidRPr="001C5F6A">
        <w:rPr>
          <w:rFonts w:asciiTheme="minorHAnsi" w:hAnsiTheme="minorHAnsi"/>
        </w:rPr>
        <w:t xml:space="preserve">przy podwyższeniu terenu o 0,2 ÷ </w:t>
      </w:r>
      <w:smartTag w:uri="urn:schemas-microsoft-com:office:smarttags" w:element="metricconverter">
        <w:smartTagPr>
          <w:attr w:name="ProductID" w:val="0,4 m"/>
        </w:smartTagPr>
        <w:r w:rsidRPr="001C5F6A">
          <w:rPr>
            <w:rFonts w:asciiTheme="minorHAnsi" w:hAnsiTheme="minorHAnsi"/>
          </w:rPr>
          <w:t>0,4 m</w:t>
        </w:r>
      </w:smartTag>
      <w:r w:rsidRPr="001C5F6A">
        <w:rPr>
          <w:rFonts w:asciiTheme="minorHAnsi" w:hAnsiTheme="minorHAnsi"/>
        </w:rPr>
        <w:t>, a niekiedy większym, można wymodelować nieckę o łagodnym pochyleniu wokół drzewa pod warunkiem, że warunki miejscowe na to pozwolą, obsypując drzewo lekką ziemią (patrz rys. 3),</w:t>
      </w:r>
    </w:p>
    <w:p w:rsidR="008545BB" w:rsidRPr="001C5F6A" w:rsidRDefault="008545BB" w:rsidP="008545BB">
      <w:pPr>
        <w:rPr>
          <w:rFonts w:asciiTheme="minorHAnsi" w:hAnsiTheme="minorHAnsi"/>
        </w:rPr>
      </w:pPr>
      <w:r w:rsidRPr="001C5F6A">
        <w:rPr>
          <w:rFonts w:asciiTheme="minorHAnsi" w:hAnsiTheme="minorHAnsi"/>
        </w:rPr>
        <w:t xml:space="preserve">przy podwyższeniu terenu o około </w:t>
      </w:r>
      <w:smartTag w:uri="urn:schemas-microsoft-com:office:smarttags" w:element="metricconverter">
        <w:smartTagPr>
          <w:attr w:name="ProductID" w:val="0,2 m"/>
        </w:smartTagPr>
        <w:r w:rsidRPr="001C5F6A">
          <w:rPr>
            <w:rFonts w:asciiTheme="minorHAnsi" w:hAnsiTheme="minorHAnsi"/>
          </w:rPr>
          <w:t>0,2 m</w:t>
        </w:r>
      </w:smartTag>
      <w:r w:rsidRPr="001C5F6A">
        <w:rPr>
          <w:rFonts w:asciiTheme="minorHAnsi" w:hAnsiTheme="minorHAnsi"/>
        </w:rPr>
        <w:t xml:space="preserve"> pnie drzew można obsypać ziemią ponad pierwotny poziom terenu,</w:t>
      </w:r>
    </w:p>
    <w:p w:rsidR="008545BB" w:rsidRPr="001C5F6A" w:rsidRDefault="008545BB" w:rsidP="008545BB">
      <w:pPr>
        <w:rPr>
          <w:rFonts w:asciiTheme="minorHAnsi" w:hAnsiTheme="minorHAnsi"/>
        </w:rPr>
      </w:pPr>
      <w:r w:rsidRPr="001C5F6A">
        <w:rPr>
          <w:rFonts w:asciiTheme="minorHAnsi" w:hAnsiTheme="minorHAnsi"/>
        </w:rPr>
        <w:t xml:space="preserve">przy podwyższeniu terenu o 0,2 ÷ </w:t>
      </w:r>
      <w:smartTag w:uri="urn:schemas-microsoft-com:office:smarttags" w:element="metricconverter">
        <w:smartTagPr>
          <w:attr w:name="ProductID" w:val="0,5 m"/>
        </w:smartTagPr>
        <w:r w:rsidRPr="001C5F6A">
          <w:rPr>
            <w:rFonts w:asciiTheme="minorHAnsi" w:hAnsiTheme="minorHAnsi"/>
          </w:rPr>
          <w:t>0,5 m</w:t>
        </w:r>
      </w:smartTag>
      <w:r w:rsidRPr="001C5F6A">
        <w:rPr>
          <w:rFonts w:asciiTheme="minorHAnsi" w:hAnsiTheme="minorHAnsi"/>
        </w:rPr>
        <w:t xml:space="preserve"> pnie drzew można obsypać ziemią, lecz z wykonaniem specjalnych napowietrzających warstw żwirowych i urządzeń (patrz rys. 4),</w:t>
      </w:r>
    </w:p>
    <w:p w:rsidR="008545BB" w:rsidRPr="001C5F6A" w:rsidRDefault="008545BB" w:rsidP="008545BB">
      <w:pPr>
        <w:rPr>
          <w:rFonts w:asciiTheme="minorHAnsi" w:hAnsiTheme="minorHAnsi"/>
        </w:rPr>
      </w:pPr>
      <w:r w:rsidRPr="001C5F6A">
        <w:rPr>
          <w:rFonts w:asciiTheme="minorHAnsi" w:hAnsiTheme="minorHAnsi"/>
        </w:rPr>
        <w:lastRenderedPageBreak/>
        <w:t xml:space="preserve">przy podwyższeniu terenu powyżej </w:t>
      </w:r>
      <w:smartTag w:uri="urn:schemas-microsoft-com:office:smarttags" w:element="metricconverter">
        <w:smartTagPr>
          <w:attr w:name="ProductID" w:val="0,5 m"/>
        </w:smartTagPr>
        <w:r w:rsidRPr="001C5F6A">
          <w:rPr>
            <w:rFonts w:asciiTheme="minorHAnsi" w:hAnsiTheme="minorHAnsi"/>
          </w:rPr>
          <w:t>0,5 m</w:t>
        </w:r>
      </w:smartTag>
      <w:r w:rsidRPr="001C5F6A">
        <w:rPr>
          <w:rFonts w:asciiTheme="minorHAnsi" w:hAnsiTheme="minorHAnsi"/>
        </w:rPr>
        <w:t xml:space="preserve"> wykonuje się mury lub studzienki zabezpieczające pień przed zasypaniem z urządzeniami napowietrzającymi (patrz rys. 5).</w:t>
      </w:r>
    </w:p>
    <w:p w:rsidR="008545BB" w:rsidRPr="001C5F6A" w:rsidRDefault="008545BB" w:rsidP="008545BB">
      <w:pPr>
        <w:rPr>
          <w:rFonts w:asciiTheme="minorHAnsi" w:hAnsiTheme="minorHAnsi"/>
        </w:rPr>
      </w:pPr>
      <w:r w:rsidRPr="001C5F6A">
        <w:rPr>
          <w:rFonts w:asciiTheme="minorHAnsi" w:hAnsiTheme="minorHAnsi"/>
        </w:rPr>
        <w:t>W warunkach miejskich studzienkę można przykryć kratą.</w:t>
      </w:r>
    </w:p>
    <w:p w:rsidR="008545BB" w:rsidRPr="001C5F6A" w:rsidRDefault="008545BB" w:rsidP="008545BB">
      <w:pPr>
        <w:rPr>
          <w:rFonts w:asciiTheme="minorHAnsi" w:hAnsiTheme="minorHAnsi"/>
        </w:rPr>
      </w:pPr>
      <w:r w:rsidRPr="001C5F6A">
        <w:rPr>
          <w:rFonts w:asciiTheme="minorHAnsi" w:hAnsiTheme="minorHAnsi"/>
          <w:b/>
        </w:rPr>
        <w:t>5.6.</w:t>
      </w:r>
      <w:r w:rsidRPr="001C5F6A">
        <w:rPr>
          <w:rFonts w:asciiTheme="minorHAnsi" w:hAnsiTheme="minorHAnsi"/>
        </w:rPr>
        <w:t xml:space="preserve"> Pielęgnacja drzew, uszkodzonych w czasie prowadzenia robót budowlanych</w:t>
      </w:r>
    </w:p>
    <w:p w:rsidR="008545BB" w:rsidRPr="001C5F6A" w:rsidRDefault="008545BB" w:rsidP="008545BB">
      <w:pPr>
        <w:rPr>
          <w:rFonts w:asciiTheme="minorHAnsi" w:hAnsiTheme="minorHAnsi"/>
        </w:rPr>
      </w:pPr>
      <w:r w:rsidRPr="001C5F6A">
        <w:rPr>
          <w:rFonts w:asciiTheme="minorHAnsi" w:hAnsiTheme="minorHAnsi"/>
        </w:rPr>
        <w:tab/>
        <w:t>Drzewa uszkodzone w czasie prowadzenia robót powinny być natychmiast poddane zabiegom pielęgnacyjnym.</w:t>
      </w:r>
    </w:p>
    <w:p w:rsidR="008545BB" w:rsidRPr="001C5F6A" w:rsidRDefault="008545BB" w:rsidP="008545BB">
      <w:pPr>
        <w:rPr>
          <w:rFonts w:asciiTheme="minorHAnsi" w:hAnsiTheme="minorHAnsi"/>
        </w:rPr>
      </w:pPr>
      <w:r w:rsidRPr="001C5F6A">
        <w:rPr>
          <w:rFonts w:asciiTheme="minorHAnsi" w:hAnsiTheme="minorHAnsi"/>
        </w:rPr>
        <w:tab/>
        <w:t>Należy wykonać następujące zabiegi pielęgnacyjne uzależnione od rodzaju uszkodzenia:</w:t>
      </w:r>
    </w:p>
    <w:p w:rsidR="008545BB" w:rsidRPr="001C5F6A" w:rsidRDefault="008545BB" w:rsidP="008545BB">
      <w:pPr>
        <w:rPr>
          <w:rFonts w:asciiTheme="minorHAnsi" w:hAnsiTheme="minorHAnsi"/>
        </w:rPr>
      </w:pPr>
      <w:r w:rsidRPr="004A5932">
        <w:rPr>
          <w:rFonts w:asciiTheme="minorHAnsi" w:hAnsiTheme="minorHAnsi"/>
          <w:b/>
        </w:rPr>
        <w:t>a)</w:t>
      </w:r>
      <w:r w:rsidRPr="001C5F6A">
        <w:rPr>
          <w:rFonts w:asciiTheme="minorHAnsi" w:hAnsiTheme="minorHAnsi"/>
        </w:rPr>
        <w:t xml:space="preserve">  przy uszkodzeniu korzeni:</w:t>
      </w:r>
    </w:p>
    <w:p w:rsidR="008545BB" w:rsidRPr="001C5F6A" w:rsidRDefault="004A5932" w:rsidP="008545BB">
      <w:pPr>
        <w:rPr>
          <w:rFonts w:asciiTheme="minorHAnsi" w:hAnsiTheme="minorHAnsi"/>
        </w:rPr>
      </w:pPr>
      <w:r>
        <w:rPr>
          <w:rFonts w:asciiTheme="minorHAnsi" w:hAnsiTheme="minorHAnsi"/>
        </w:rPr>
        <w:t>-</w:t>
      </w:r>
      <w:r w:rsidR="008545BB" w:rsidRPr="001C5F6A">
        <w:rPr>
          <w:rFonts w:asciiTheme="minorHAnsi" w:hAnsiTheme="minorHAnsi"/>
        </w:rPr>
        <w:t>zmniejszyć koronę drzewa, proporcjonalnie do ubytku korzeni,</w:t>
      </w:r>
    </w:p>
    <w:p w:rsidR="008545BB" w:rsidRPr="001C5F6A" w:rsidRDefault="004A5932" w:rsidP="008545BB">
      <w:pPr>
        <w:rPr>
          <w:rFonts w:asciiTheme="minorHAnsi" w:hAnsiTheme="minorHAnsi"/>
        </w:rPr>
      </w:pPr>
      <w:r>
        <w:rPr>
          <w:rFonts w:asciiTheme="minorHAnsi" w:hAnsiTheme="minorHAnsi"/>
        </w:rPr>
        <w:t>-</w:t>
      </w:r>
      <w:r w:rsidR="008545BB" w:rsidRPr="001C5F6A">
        <w:rPr>
          <w:rFonts w:asciiTheme="minorHAnsi" w:hAnsiTheme="minorHAnsi"/>
        </w:rPr>
        <w:t>wykonać cięcia sanitarne korzeni pod kątem prostym, dokonując cięcia tam, gdzie zaczyna się korzeń zdrowy (żywy),</w:t>
      </w:r>
    </w:p>
    <w:p w:rsidR="008545BB" w:rsidRPr="001C5F6A" w:rsidRDefault="004A5932" w:rsidP="008545BB">
      <w:pPr>
        <w:rPr>
          <w:rFonts w:asciiTheme="minorHAnsi" w:hAnsiTheme="minorHAnsi"/>
        </w:rPr>
      </w:pPr>
      <w:r>
        <w:rPr>
          <w:rFonts w:asciiTheme="minorHAnsi" w:hAnsiTheme="minorHAnsi"/>
        </w:rPr>
        <w:t>-</w:t>
      </w:r>
      <w:r w:rsidR="008545BB" w:rsidRPr="001C5F6A">
        <w:rPr>
          <w:rFonts w:asciiTheme="minorHAnsi" w:hAnsiTheme="minorHAnsi"/>
        </w:rPr>
        <w:t>zabezpieczyć powierzchnię ran preparatem impregnującym,</w:t>
      </w:r>
    </w:p>
    <w:p w:rsidR="008545BB" w:rsidRPr="001C5F6A" w:rsidRDefault="004A5932" w:rsidP="008545BB">
      <w:pPr>
        <w:rPr>
          <w:rFonts w:asciiTheme="minorHAnsi" w:hAnsiTheme="minorHAnsi"/>
        </w:rPr>
      </w:pPr>
      <w:r>
        <w:rPr>
          <w:rFonts w:asciiTheme="minorHAnsi" w:hAnsiTheme="minorHAnsi"/>
        </w:rPr>
        <w:t>-</w:t>
      </w:r>
      <w:r w:rsidR="008545BB" w:rsidRPr="001C5F6A">
        <w:rPr>
          <w:rFonts w:asciiTheme="minorHAnsi" w:hAnsiTheme="minorHAnsi"/>
        </w:rPr>
        <w:t>posypać glebą na bieżąco zabezpieczone korzenie,</w:t>
      </w:r>
    </w:p>
    <w:p w:rsidR="008545BB" w:rsidRPr="001C5F6A" w:rsidRDefault="004A5932" w:rsidP="008545BB">
      <w:pPr>
        <w:rPr>
          <w:rFonts w:asciiTheme="minorHAnsi" w:hAnsiTheme="minorHAnsi"/>
        </w:rPr>
      </w:pPr>
      <w:r>
        <w:rPr>
          <w:rFonts w:asciiTheme="minorHAnsi" w:hAnsiTheme="minorHAnsi"/>
        </w:rPr>
        <w:t>-</w:t>
      </w:r>
      <w:r w:rsidR="008545BB" w:rsidRPr="001C5F6A">
        <w:rPr>
          <w:rFonts w:asciiTheme="minorHAnsi" w:hAnsiTheme="minorHAnsi"/>
        </w:rPr>
        <w:t>zastąpić, przynajmniej w najbliższym otoczeniu uszkodzonych korzeni, dotychczasową ziemię glebą bardziej zasobną,</w:t>
      </w:r>
    </w:p>
    <w:p w:rsidR="008545BB" w:rsidRPr="001C5F6A" w:rsidRDefault="008545BB" w:rsidP="008545BB">
      <w:pPr>
        <w:rPr>
          <w:rFonts w:asciiTheme="minorHAnsi" w:hAnsiTheme="minorHAnsi"/>
        </w:rPr>
      </w:pPr>
      <w:r w:rsidRPr="004A5932">
        <w:rPr>
          <w:rFonts w:asciiTheme="minorHAnsi" w:hAnsiTheme="minorHAnsi"/>
          <w:b/>
        </w:rPr>
        <w:t>b)</w:t>
      </w:r>
      <w:r w:rsidRPr="001C5F6A">
        <w:rPr>
          <w:rFonts w:asciiTheme="minorHAnsi" w:hAnsiTheme="minorHAnsi"/>
        </w:rPr>
        <w:t xml:space="preserve">  przy uszkodzeniu gałęzi:</w:t>
      </w:r>
    </w:p>
    <w:p w:rsidR="008545BB" w:rsidRPr="001C5F6A" w:rsidRDefault="004A5932" w:rsidP="008545BB">
      <w:pPr>
        <w:rPr>
          <w:rFonts w:asciiTheme="minorHAnsi" w:hAnsiTheme="minorHAnsi"/>
        </w:rPr>
      </w:pPr>
      <w:r>
        <w:rPr>
          <w:rFonts w:asciiTheme="minorHAnsi" w:hAnsiTheme="minorHAnsi"/>
        </w:rPr>
        <w:t>-</w:t>
      </w:r>
      <w:r w:rsidR="008545BB" w:rsidRPr="001C5F6A">
        <w:rPr>
          <w:rFonts w:asciiTheme="minorHAnsi" w:hAnsiTheme="minorHAnsi"/>
        </w:rPr>
        <w:t xml:space="preserve">wykonywać cięcia gałęzi o średnicy powyżej </w:t>
      </w:r>
      <w:smartTag w:uri="urn:schemas-microsoft-com:office:smarttags" w:element="metricconverter">
        <w:smartTagPr>
          <w:attr w:name="ProductID" w:val="3 cm"/>
        </w:smartTagPr>
        <w:r w:rsidR="008545BB" w:rsidRPr="001C5F6A">
          <w:rPr>
            <w:rFonts w:asciiTheme="minorHAnsi" w:hAnsiTheme="minorHAnsi"/>
          </w:rPr>
          <w:t>3 cm</w:t>
        </w:r>
      </w:smartTag>
      <w:r w:rsidR="008545BB" w:rsidRPr="001C5F6A">
        <w:rPr>
          <w:rFonts w:asciiTheme="minorHAnsi" w:hAnsiTheme="minorHAnsi"/>
        </w:rPr>
        <w:t xml:space="preserve"> zawsze trzyetapowo,</w:t>
      </w:r>
    </w:p>
    <w:p w:rsidR="008545BB" w:rsidRPr="001C5F6A" w:rsidRDefault="004A5932" w:rsidP="008545BB">
      <w:pPr>
        <w:rPr>
          <w:rFonts w:asciiTheme="minorHAnsi" w:hAnsiTheme="minorHAnsi"/>
        </w:rPr>
      </w:pPr>
      <w:r>
        <w:rPr>
          <w:rFonts w:asciiTheme="minorHAnsi" w:hAnsiTheme="minorHAnsi"/>
        </w:rPr>
        <w:t>-</w:t>
      </w:r>
      <w:r w:rsidR="008545BB" w:rsidRPr="001C5F6A">
        <w:rPr>
          <w:rFonts w:asciiTheme="minorHAnsi" w:hAnsiTheme="minorHAnsi"/>
        </w:rPr>
        <w:t>zabezpieczyć natychmiast powstałą ranę po usunięciu żywej gałęzi:</w:t>
      </w:r>
    </w:p>
    <w:p w:rsidR="008545BB" w:rsidRPr="001C5F6A" w:rsidRDefault="008545BB" w:rsidP="008545BB">
      <w:pPr>
        <w:rPr>
          <w:rFonts w:asciiTheme="minorHAnsi" w:hAnsiTheme="minorHAnsi"/>
        </w:rPr>
      </w:pPr>
      <w:r w:rsidRPr="001C5F6A">
        <w:rPr>
          <w:rFonts w:asciiTheme="minorHAnsi" w:hAnsiTheme="minorHAnsi"/>
        </w:rPr>
        <w:t xml:space="preserve">o średnicy do </w:t>
      </w:r>
      <w:smartTag w:uri="urn:schemas-microsoft-com:office:smarttags" w:element="metricconverter">
        <w:smartTagPr>
          <w:attr w:name="ProductID" w:val="10 cm"/>
        </w:smartTagPr>
        <w:r w:rsidRPr="001C5F6A">
          <w:rPr>
            <w:rFonts w:asciiTheme="minorHAnsi" w:hAnsiTheme="minorHAnsi"/>
          </w:rPr>
          <w:t>10 cm</w:t>
        </w:r>
      </w:smartTag>
      <w:r w:rsidRPr="001C5F6A">
        <w:rPr>
          <w:rFonts w:asciiTheme="minorHAnsi" w:hAnsiTheme="minorHAnsi"/>
        </w:rPr>
        <w:t>, zasmarowując w całości preparatem o działaniu powierzchniowym,</w:t>
      </w:r>
    </w:p>
    <w:p w:rsidR="008545BB" w:rsidRPr="001C5F6A" w:rsidRDefault="008545BB" w:rsidP="008545BB">
      <w:pPr>
        <w:rPr>
          <w:rFonts w:asciiTheme="minorHAnsi" w:hAnsiTheme="minorHAnsi"/>
        </w:rPr>
      </w:pPr>
      <w:r w:rsidRPr="001C5F6A">
        <w:rPr>
          <w:rFonts w:asciiTheme="minorHAnsi" w:hAnsiTheme="minorHAnsi"/>
        </w:rPr>
        <w:t xml:space="preserve">o średnicy ponad </w:t>
      </w:r>
      <w:smartTag w:uri="urn:schemas-microsoft-com:office:smarttags" w:element="metricconverter">
        <w:smartTagPr>
          <w:attr w:name="ProductID" w:val="10 cm"/>
        </w:smartTagPr>
        <w:r w:rsidRPr="001C5F6A">
          <w:rPr>
            <w:rFonts w:asciiTheme="minorHAnsi" w:hAnsiTheme="minorHAnsi"/>
          </w:rPr>
          <w:t>10 cm</w:t>
        </w:r>
      </w:smartTag>
      <w:r w:rsidRPr="001C5F6A">
        <w:rPr>
          <w:rFonts w:asciiTheme="minorHAnsi" w:hAnsiTheme="minorHAnsi"/>
        </w:rPr>
        <w:t xml:space="preserve">, zabezpieczając dwuskładnikowo, tj. krawędzie rany (miejsca, z których będzie wyrastała tkanka żywa – kalus) i drewno czynne (pierścień o grubości 1,5 ÷ </w:t>
      </w:r>
      <w:smartTag w:uri="urn:schemas-microsoft-com:office:smarttags" w:element="metricconverter">
        <w:smartTagPr>
          <w:attr w:name="ProductID" w:val="2 cm"/>
        </w:smartTagPr>
        <w:r w:rsidRPr="001C5F6A">
          <w:rPr>
            <w:rFonts w:asciiTheme="minorHAnsi" w:hAnsiTheme="minorHAnsi"/>
          </w:rPr>
          <w:t>2 cm</w:t>
        </w:r>
      </w:smartTag>
      <w:r w:rsidRPr="001C5F6A">
        <w:rPr>
          <w:rFonts w:asciiTheme="minorHAnsi" w:hAnsiTheme="minorHAnsi"/>
        </w:rPr>
        <w:t>) – środkiem o działaniu powierzchniowym, a pozostałą część rany wewnątrz pierścienia – środkiem impregnującym,</w:t>
      </w:r>
    </w:p>
    <w:p w:rsidR="008545BB" w:rsidRPr="001C5F6A" w:rsidRDefault="008545BB" w:rsidP="008545BB">
      <w:pPr>
        <w:rPr>
          <w:rFonts w:asciiTheme="minorHAnsi" w:hAnsiTheme="minorHAnsi"/>
        </w:rPr>
      </w:pPr>
      <w:r w:rsidRPr="004A5932">
        <w:rPr>
          <w:rFonts w:asciiTheme="minorHAnsi" w:hAnsiTheme="minorHAnsi"/>
          <w:b/>
        </w:rPr>
        <w:t>c)</w:t>
      </w:r>
      <w:r w:rsidRPr="001C5F6A">
        <w:rPr>
          <w:rFonts w:asciiTheme="minorHAnsi" w:hAnsiTheme="minorHAnsi"/>
        </w:rPr>
        <w:t xml:space="preserve">  przy ubytkach powierzchniowych:  </w:t>
      </w:r>
    </w:p>
    <w:p w:rsidR="008545BB" w:rsidRPr="001C5F6A" w:rsidRDefault="004A5932" w:rsidP="008545BB">
      <w:pPr>
        <w:rPr>
          <w:rFonts w:asciiTheme="minorHAnsi" w:hAnsiTheme="minorHAnsi"/>
        </w:rPr>
      </w:pPr>
      <w:r>
        <w:rPr>
          <w:rFonts w:asciiTheme="minorHAnsi" w:hAnsiTheme="minorHAnsi"/>
        </w:rPr>
        <w:t>-</w:t>
      </w:r>
      <w:r w:rsidR="008545BB" w:rsidRPr="001C5F6A">
        <w:rPr>
          <w:rFonts w:asciiTheme="minorHAnsi" w:hAnsiTheme="minorHAnsi"/>
        </w:rPr>
        <w:t>wygładzić i uformować powierzchnię rany,</w:t>
      </w:r>
    </w:p>
    <w:p w:rsidR="008545BB" w:rsidRPr="001C5F6A" w:rsidRDefault="004A5932" w:rsidP="008545BB">
      <w:pPr>
        <w:rPr>
          <w:rFonts w:asciiTheme="minorHAnsi" w:hAnsiTheme="minorHAnsi"/>
        </w:rPr>
      </w:pPr>
      <w:r>
        <w:rPr>
          <w:rFonts w:asciiTheme="minorHAnsi" w:hAnsiTheme="minorHAnsi"/>
        </w:rPr>
        <w:t>-</w:t>
      </w:r>
      <w:r w:rsidR="008545BB" w:rsidRPr="001C5F6A">
        <w:rPr>
          <w:rFonts w:asciiTheme="minorHAnsi" w:hAnsiTheme="minorHAnsi"/>
        </w:rPr>
        <w:t>uformować krawędź rany (ubytku),</w:t>
      </w:r>
    </w:p>
    <w:p w:rsidR="008545BB" w:rsidRPr="001C5F6A" w:rsidRDefault="004A5932" w:rsidP="008545BB">
      <w:pPr>
        <w:rPr>
          <w:rFonts w:asciiTheme="minorHAnsi" w:hAnsiTheme="minorHAnsi"/>
        </w:rPr>
      </w:pPr>
      <w:r>
        <w:rPr>
          <w:rFonts w:asciiTheme="minorHAnsi" w:hAnsiTheme="minorHAnsi"/>
        </w:rPr>
        <w:t>-</w:t>
      </w:r>
      <w:r w:rsidR="008545BB" w:rsidRPr="001C5F6A">
        <w:rPr>
          <w:rFonts w:asciiTheme="minorHAnsi" w:hAnsiTheme="minorHAnsi"/>
        </w:rPr>
        <w:t>zabezpieczyć całą powierzchnię rany, z tym, że świeże rany zabezpieczyć jedynie przez zasmarowanie w całości preparatem emulsyjnym, powierzchniowym typu Dendromal, Lak-Balsam lub Funaben.</w:t>
      </w:r>
    </w:p>
    <w:p w:rsidR="008545BB" w:rsidRPr="001C5F6A" w:rsidRDefault="008545BB" w:rsidP="008545BB">
      <w:pPr>
        <w:rPr>
          <w:rFonts w:asciiTheme="minorHAnsi" w:hAnsiTheme="minorHAnsi"/>
        </w:rPr>
      </w:pPr>
      <w:r w:rsidRPr="001C5F6A">
        <w:rPr>
          <w:rFonts w:asciiTheme="minorHAnsi" w:hAnsiTheme="minorHAnsi"/>
          <w:b/>
        </w:rPr>
        <w:t>5.7.</w:t>
      </w:r>
      <w:r w:rsidRPr="001C5F6A">
        <w:rPr>
          <w:rFonts w:asciiTheme="minorHAnsi" w:hAnsiTheme="minorHAnsi"/>
        </w:rPr>
        <w:t xml:space="preserve"> Roboty wykończeniowe</w:t>
      </w:r>
    </w:p>
    <w:p w:rsidR="008545BB" w:rsidRPr="001C5F6A" w:rsidRDefault="008545BB" w:rsidP="008545BB">
      <w:pPr>
        <w:rPr>
          <w:rFonts w:asciiTheme="minorHAnsi" w:hAnsiTheme="minorHAnsi"/>
        </w:rPr>
      </w:pPr>
      <w:r w:rsidRPr="001C5F6A">
        <w:rPr>
          <w:rFonts w:asciiTheme="minorHAnsi" w:hAnsiTheme="minorHAnsi"/>
        </w:rPr>
        <w:t>Roboty wykończeniowe powinny być zgodne z dokumentacją projektową i ST. Do robót wykończeniowych należą prace związane z dostosowaniem wykonanych robót do istniejących warunków terenowych, takie jak:</w:t>
      </w:r>
    </w:p>
    <w:p w:rsidR="008545BB" w:rsidRPr="001C5F6A" w:rsidRDefault="004A5932" w:rsidP="008545BB">
      <w:pPr>
        <w:rPr>
          <w:rFonts w:asciiTheme="minorHAnsi" w:hAnsiTheme="minorHAnsi"/>
        </w:rPr>
      </w:pPr>
      <w:r>
        <w:rPr>
          <w:rFonts w:asciiTheme="minorHAnsi" w:hAnsiTheme="minorHAnsi"/>
        </w:rPr>
        <w:t>-</w:t>
      </w:r>
      <w:r w:rsidR="008545BB" w:rsidRPr="001C5F6A">
        <w:rPr>
          <w:rFonts w:asciiTheme="minorHAnsi" w:hAnsiTheme="minorHAnsi"/>
        </w:rPr>
        <w:t>odtworzenie przeszkód czasowo usuniętych,</w:t>
      </w:r>
    </w:p>
    <w:p w:rsidR="008545BB" w:rsidRPr="001C5F6A" w:rsidRDefault="004A5932" w:rsidP="008545BB">
      <w:pPr>
        <w:rPr>
          <w:rFonts w:asciiTheme="minorHAnsi" w:hAnsiTheme="minorHAnsi"/>
        </w:rPr>
      </w:pPr>
      <w:r>
        <w:rPr>
          <w:rFonts w:asciiTheme="minorHAnsi" w:hAnsiTheme="minorHAnsi"/>
        </w:rPr>
        <w:t>-</w:t>
      </w:r>
      <w:r w:rsidR="008545BB" w:rsidRPr="001C5F6A">
        <w:rPr>
          <w:rFonts w:asciiTheme="minorHAnsi" w:hAnsiTheme="minorHAnsi"/>
        </w:rPr>
        <w:t xml:space="preserve">niezbędne uzupełnienia zniszczonej w czasie robót roślinności, np. zatrawienia,  </w:t>
      </w:r>
    </w:p>
    <w:p w:rsidR="008545BB" w:rsidRPr="001C5F6A" w:rsidRDefault="004A5932" w:rsidP="008545BB">
      <w:pPr>
        <w:rPr>
          <w:rFonts w:asciiTheme="minorHAnsi" w:hAnsiTheme="minorHAnsi"/>
        </w:rPr>
      </w:pPr>
      <w:r>
        <w:rPr>
          <w:rFonts w:asciiTheme="minorHAnsi" w:hAnsiTheme="minorHAnsi"/>
        </w:rPr>
        <w:t>-</w:t>
      </w:r>
      <w:r w:rsidR="008545BB" w:rsidRPr="001C5F6A">
        <w:rPr>
          <w:rFonts w:asciiTheme="minorHAnsi" w:hAnsiTheme="minorHAnsi"/>
        </w:rPr>
        <w:t>roboty porządkujące otoczenie terenu robót.</w:t>
      </w:r>
    </w:p>
    <w:p w:rsidR="008545BB" w:rsidRPr="001C5F6A" w:rsidRDefault="008545BB" w:rsidP="008545BB">
      <w:pPr>
        <w:rPr>
          <w:rFonts w:asciiTheme="minorHAnsi" w:hAnsiTheme="minorHAnsi"/>
          <w:b/>
        </w:rPr>
      </w:pPr>
    </w:p>
    <w:p w:rsidR="008545BB" w:rsidRPr="001C5F6A" w:rsidRDefault="008545BB" w:rsidP="008545BB">
      <w:pPr>
        <w:rPr>
          <w:rFonts w:asciiTheme="minorHAnsi" w:hAnsiTheme="minorHAnsi"/>
          <w:b/>
        </w:rPr>
      </w:pPr>
      <w:r w:rsidRPr="001C5F6A">
        <w:rPr>
          <w:rFonts w:asciiTheme="minorHAnsi" w:hAnsiTheme="minorHAnsi"/>
          <w:b/>
        </w:rPr>
        <w:t>6. KONTROLA JAKOŚCI ROBÓT</w:t>
      </w:r>
    </w:p>
    <w:p w:rsidR="008545BB" w:rsidRPr="001C5F6A" w:rsidRDefault="008545BB" w:rsidP="008545BB">
      <w:pPr>
        <w:rPr>
          <w:rFonts w:asciiTheme="minorHAnsi" w:hAnsiTheme="minorHAnsi"/>
        </w:rPr>
      </w:pPr>
      <w:r w:rsidRPr="001C5F6A">
        <w:rPr>
          <w:rFonts w:asciiTheme="minorHAnsi" w:hAnsiTheme="minorHAnsi"/>
          <w:b/>
        </w:rPr>
        <w:t>6.1.</w:t>
      </w:r>
      <w:r w:rsidRPr="001C5F6A">
        <w:rPr>
          <w:rFonts w:asciiTheme="minorHAnsi" w:hAnsiTheme="minorHAnsi"/>
        </w:rPr>
        <w:t xml:space="preserve"> Ogólne zasady kontroli jakości robót</w:t>
      </w:r>
    </w:p>
    <w:p w:rsidR="008545BB" w:rsidRPr="001C5F6A" w:rsidRDefault="008545BB" w:rsidP="008545BB">
      <w:pPr>
        <w:rPr>
          <w:rFonts w:asciiTheme="minorHAnsi" w:hAnsiTheme="minorHAnsi"/>
        </w:rPr>
      </w:pPr>
      <w:r w:rsidRPr="001C5F6A">
        <w:rPr>
          <w:rFonts w:asciiTheme="minorHAnsi" w:hAnsiTheme="minorHAnsi"/>
        </w:rPr>
        <w:tab/>
        <w:t>Ogólne zasady kontroli jakości robót podano w ST D-M-00.00.00 „Wymagania ogólne” pkt 6.</w:t>
      </w:r>
    </w:p>
    <w:p w:rsidR="008545BB" w:rsidRPr="001C5F6A" w:rsidRDefault="008545BB" w:rsidP="008545BB">
      <w:pPr>
        <w:rPr>
          <w:rFonts w:asciiTheme="minorHAnsi" w:hAnsiTheme="minorHAnsi"/>
        </w:rPr>
      </w:pPr>
      <w:r w:rsidRPr="001C5F6A">
        <w:rPr>
          <w:rFonts w:asciiTheme="minorHAnsi" w:hAnsiTheme="minorHAnsi"/>
          <w:b/>
        </w:rPr>
        <w:t>6.2.</w:t>
      </w:r>
      <w:r w:rsidRPr="001C5F6A">
        <w:rPr>
          <w:rFonts w:asciiTheme="minorHAnsi" w:hAnsiTheme="minorHAnsi"/>
        </w:rPr>
        <w:t xml:space="preserve"> Badania  przed przystąpieniem do robót</w:t>
      </w:r>
    </w:p>
    <w:p w:rsidR="008545BB" w:rsidRPr="001C5F6A" w:rsidRDefault="008545BB" w:rsidP="008545BB">
      <w:pPr>
        <w:rPr>
          <w:rFonts w:asciiTheme="minorHAnsi" w:hAnsiTheme="minorHAnsi"/>
        </w:rPr>
      </w:pPr>
      <w:r w:rsidRPr="001C5F6A">
        <w:rPr>
          <w:rFonts w:asciiTheme="minorHAnsi" w:hAnsiTheme="minorHAnsi"/>
        </w:rPr>
        <w:tab/>
        <w:t>Przed przystąpieniem do robót Wykonawca powinien:</w:t>
      </w:r>
    </w:p>
    <w:p w:rsidR="008545BB" w:rsidRPr="001C5F6A" w:rsidRDefault="004A5932" w:rsidP="008545BB">
      <w:pPr>
        <w:rPr>
          <w:rFonts w:asciiTheme="minorHAnsi" w:hAnsiTheme="minorHAnsi"/>
        </w:rPr>
      </w:pPr>
      <w:r>
        <w:rPr>
          <w:rFonts w:asciiTheme="minorHAnsi" w:hAnsiTheme="minorHAnsi"/>
        </w:rPr>
        <w:t>-</w:t>
      </w:r>
      <w:r w:rsidR="008545BB" w:rsidRPr="001C5F6A">
        <w:rPr>
          <w:rFonts w:asciiTheme="minorHAnsi" w:hAnsiTheme="minorHAnsi"/>
        </w:rPr>
        <w:t>uzyskać wymagane dokumenty, dopuszczające wyroby budowlane do obrotu i powszechnego stosowania (aprobaty techniczne, certyfikaty zgodności, deklaracje zgodności, ew. badania materiałów wykonane przez dostawców itp.),</w:t>
      </w:r>
    </w:p>
    <w:p w:rsidR="008545BB" w:rsidRPr="001C5F6A" w:rsidRDefault="004A5932" w:rsidP="008545BB">
      <w:pPr>
        <w:rPr>
          <w:rFonts w:asciiTheme="minorHAnsi" w:hAnsiTheme="minorHAnsi"/>
        </w:rPr>
      </w:pPr>
      <w:r>
        <w:rPr>
          <w:rFonts w:asciiTheme="minorHAnsi" w:hAnsiTheme="minorHAnsi"/>
        </w:rPr>
        <w:t>-</w:t>
      </w:r>
      <w:r w:rsidR="008545BB" w:rsidRPr="001C5F6A">
        <w:rPr>
          <w:rFonts w:asciiTheme="minorHAnsi" w:hAnsiTheme="minorHAnsi"/>
        </w:rPr>
        <w:t>ew. wykonać własne badania właściwości materiałów przeznaczonych do wykonania robót, określone w pkcie 2 lub ustalone przez Inżyniera,</w:t>
      </w:r>
    </w:p>
    <w:p w:rsidR="008545BB" w:rsidRPr="001C5F6A" w:rsidRDefault="004A5932" w:rsidP="008545BB">
      <w:pPr>
        <w:rPr>
          <w:rFonts w:asciiTheme="minorHAnsi" w:hAnsiTheme="minorHAnsi"/>
        </w:rPr>
      </w:pPr>
      <w:r>
        <w:rPr>
          <w:rFonts w:asciiTheme="minorHAnsi" w:hAnsiTheme="minorHAnsi"/>
        </w:rPr>
        <w:t>-</w:t>
      </w:r>
      <w:r w:rsidR="008545BB" w:rsidRPr="001C5F6A">
        <w:rPr>
          <w:rFonts w:asciiTheme="minorHAnsi" w:hAnsiTheme="minorHAnsi"/>
        </w:rPr>
        <w:t>sprawdzić cechy zewnętrzne gotowych materiałów z tworzyw i prefabrykowanych.</w:t>
      </w:r>
    </w:p>
    <w:p w:rsidR="008545BB" w:rsidRPr="001C5F6A" w:rsidRDefault="008545BB" w:rsidP="008545BB">
      <w:pPr>
        <w:rPr>
          <w:rFonts w:asciiTheme="minorHAnsi" w:hAnsiTheme="minorHAnsi"/>
        </w:rPr>
      </w:pPr>
      <w:r w:rsidRPr="001C5F6A">
        <w:rPr>
          <w:rFonts w:asciiTheme="minorHAnsi" w:hAnsiTheme="minorHAnsi"/>
        </w:rPr>
        <w:t>Wszystkie dokumenty oraz wyniki badań Wykonawca przedstawia Inżynierowi do akceptacji.</w:t>
      </w:r>
    </w:p>
    <w:p w:rsidR="008545BB" w:rsidRPr="001C5F6A" w:rsidRDefault="008545BB" w:rsidP="008545BB">
      <w:pPr>
        <w:rPr>
          <w:rFonts w:asciiTheme="minorHAnsi" w:hAnsiTheme="minorHAnsi"/>
        </w:rPr>
      </w:pPr>
      <w:r w:rsidRPr="001C5F6A">
        <w:rPr>
          <w:rFonts w:asciiTheme="minorHAnsi" w:hAnsiTheme="minorHAnsi"/>
          <w:b/>
        </w:rPr>
        <w:t>6.3.</w:t>
      </w:r>
      <w:r w:rsidRPr="001C5F6A">
        <w:rPr>
          <w:rFonts w:asciiTheme="minorHAnsi" w:hAnsiTheme="minorHAnsi"/>
        </w:rPr>
        <w:t xml:space="preserve"> Badania w czasie robót</w:t>
      </w:r>
    </w:p>
    <w:p w:rsidR="008545BB" w:rsidRPr="001C5F6A" w:rsidRDefault="008545BB" w:rsidP="008545BB">
      <w:pPr>
        <w:rPr>
          <w:rFonts w:asciiTheme="minorHAnsi" w:hAnsiTheme="minorHAnsi"/>
        </w:rPr>
      </w:pPr>
      <w:r w:rsidRPr="001C5F6A">
        <w:rPr>
          <w:rFonts w:asciiTheme="minorHAnsi" w:hAnsiTheme="minorHAnsi"/>
          <w:b/>
        </w:rPr>
        <w:t>6.3.1.</w:t>
      </w:r>
      <w:r w:rsidRPr="001C5F6A">
        <w:rPr>
          <w:rFonts w:asciiTheme="minorHAnsi" w:hAnsiTheme="minorHAnsi"/>
        </w:rPr>
        <w:t xml:space="preserve"> Badania wykonania tymczasowej ochrony drzew</w:t>
      </w:r>
    </w:p>
    <w:p w:rsidR="008545BB" w:rsidRPr="001C5F6A" w:rsidRDefault="008545BB" w:rsidP="008545BB">
      <w:pPr>
        <w:rPr>
          <w:rFonts w:asciiTheme="minorHAnsi" w:hAnsiTheme="minorHAnsi"/>
        </w:rPr>
      </w:pPr>
      <w:r w:rsidRPr="001C5F6A">
        <w:rPr>
          <w:rFonts w:asciiTheme="minorHAnsi" w:hAnsiTheme="minorHAnsi"/>
        </w:rPr>
        <w:tab/>
        <w:t>Badania wykonania tymczasowej ochrony drzew dotyczą sprawdzenia:</w:t>
      </w:r>
    </w:p>
    <w:p w:rsidR="008545BB" w:rsidRPr="001C5F6A" w:rsidRDefault="004A5932" w:rsidP="008545BB">
      <w:pPr>
        <w:rPr>
          <w:rFonts w:asciiTheme="minorHAnsi" w:hAnsiTheme="minorHAnsi"/>
        </w:rPr>
      </w:pPr>
      <w:r>
        <w:rPr>
          <w:rFonts w:asciiTheme="minorHAnsi" w:hAnsiTheme="minorHAnsi"/>
        </w:rPr>
        <w:t>-</w:t>
      </w:r>
      <w:r w:rsidR="008545BB" w:rsidRPr="001C5F6A">
        <w:rPr>
          <w:rFonts w:asciiTheme="minorHAnsi" w:hAnsiTheme="minorHAnsi"/>
        </w:rPr>
        <w:t>obudowy drzewa w zakresie spełniania warunków zabezpieczenia przed uszkodzeniami mechanicznymi, wymienionymi w pkcie 5.4,</w:t>
      </w:r>
    </w:p>
    <w:p w:rsidR="008545BB" w:rsidRPr="001C5F6A" w:rsidRDefault="004A5932" w:rsidP="008545BB">
      <w:pPr>
        <w:rPr>
          <w:rFonts w:asciiTheme="minorHAnsi" w:hAnsiTheme="minorHAnsi"/>
        </w:rPr>
      </w:pPr>
      <w:r>
        <w:rPr>
          <w:rFonts w:asciiTheme="minorHAnsi" w:hAnsiTheme="minorHAnsi"/>
        </w:rPr>
        <w:t>-</w:t>
      </w:r>
      <w:r w:rsidR="008545BB" w:rsidRPr="001C5F6A">
        <w:rPr>
          <w:rFonts w:asciiTheme="minorHAnsi" w:hAnsiTheme="minorHAnsi"/>
        </w:rPr>
        <w:t>zaopatrzenia drzewa w wodę i powietrze, zgodnie z pktem 5.4,</w:t>
      </w:r>
    </w:p>
    <w:p w:rsidR="008545BB" w:rsidRPr="001C5F6A" w:rsidRDefault="004A5932" w:rsidP="008545BB">
      <w:pPr>
        <w:rPr>
          <w:rFonts w:asciiTheme="minorHAnsi" w:hAnsiTheme="minorHAnsi"/>
        </w:rPr>
      </w:pPr>
      <w:r>
        <w:rPr>
          <w:rFonts w:asciiTheme="minorHAnsi" w:hAnsiTheme="minorHAnsi"/>
        </w:rPr>
        <w:t>-</w:t>
      </w:r>
      <w:r w:rsidR="008545BB" w:rsidRPr="001C5F6A">
        <w:rPr>
          <w:rFonts w:asciiTheme="minorHAnsi" w:hAnsiTheme="minorHAnsi"/>
        </w:rPr>
        <w:t>ewentualnych uszkodzeń drzewa, w tym pnia, korzeni i konarów, w czasie robót zabezpieczających.</w:t>
      </w:r>
    </w:p>
    <w:p w:rsidR="008545BB" w:rsidRPr="001C5F6A" w:rsidRDefault="008545BB" w:rsidP="008545BB">
      <w:pPr>
        <w:rPr>
          <w:rFonts w:asciiTheme="minorHAnsi" w:hAnsiTheme="minorHAnsi"/>
        </w:rPr>
      </w:pPr>
      <w:r w:rsidRPr="001C5F6A">
        <w:rPr>
          <w:rFonts w:asciiTheme="minorHAnsi" w:hAnsiTheme="minorHAnsi"/>
          <w:b/>
        </w:rPr>
        <w:t>6.3.2.</w:t>
      </w:r>
      <w:r w:rsidRPr="001C5F6A">
        <w:rPr>
          <w:rFonts w:asciiTheme="minorHAnsi" w:hAnsiTheme="minorHAnsi"/>
        </w:rPr>
        <w:t xml:space="preserve"> Badania w czasie robót stałego zabezpieczenia drzew</w:t>
      </w:r>
    </w:p>
    <w:p w:rsidR="008545BB" w:rsidRPr="001C5F6A" w:rsidRDefault="008545BB" w:rsidP="008545BB">
      <w:pPr>
        <w:rPr>
          <w:rFonts w:asciiTheme="minorHAnsi" w:hAnsiTheme="minorHAnsi"/>
        </w:rPr>
      </w:pPr>
      <w:r w:rsidRPr="001C5F6A">
        <w:rPr>
          <w:rFonts w:asciiTheme="minorHAnsi" w:hAnsiTheme="minorHAnsi"/>
        </w:rPr>
        <w:tab/>
        <w:t>W czasie robót przy stałym zabezpieczeniu drzew należy:</w:t>
      </w:r>
    </w:p>
    <w:p w:rsidR="008545BB" w:rsidRPr="001C5F6A" w:rsidRDefault="004A5932" w:rsidP="008545BB">
      <w:pPr>
        <w:rPr>
          <w:rFonts w:asciiTheme="minorHAnsi" w:hAnsiTheme="minorHAnsi"/>
        </w:rPr>
      </w:pPr>
      <w:r>
        <w:rPr>
          <w:rFonts w:asciiTheme="minorHAnsi" w:hAnsiTheme="minorHAnsi"/>
        </w:rPr>
        <w:t>-</w:t>
      </w:r>
      <w:r w:rsidR="008545BB" w:rsidRPr="001C5F6A">
        <w:rPr>
          <w:rFonts w:asciiTheme="minorHAnsi" w:hAnsiTheme="minorHAnsi"/>
        </w:rPr>
        <w:t>badać zgodność wykonania stałego zabezpieczenia drzewa z dokumentacją projektową i ST,</w:t>
      </w:r>
    </w:p>
    <w:p w:rsidR="008545BB" w:rsidRPr="001C5F6A" w:rsidRDefault="004A5932" w:rsidP="008545BB">
      <w:pPr>
        <w:rPr>
          <w:rFonts w:asciiTheme="minorHAnsi" w:hAnsiTheme="minorHAnsi"/>
        </w:rPr>
      </w:pPr>
      <w:r>
        <w:rPr>
          <w:rFonts w:asciiTheme="minorHAnsi" w:hAnsiTheme="minorHAnsi"/>
        </w:rPr>
        <w:t>-</w:t>
      </w:r>
      <w:r w:rsidR="008545BB" w:rsidRPr="001C5F6A">
        <w:rPr>
          <w:rFonts w:asciiTheme="minorHAnsi" w:hAnsiTheme="minorHAnsi"/>
        </w:rPr>
        <w:t>sprawdzać ewentualne uszkodzenia drzewa w czasie robót.</w:t>
      </w:r>
    </w:p>
    <w:p w:rsidR="004A5932" w:rsidRDefault="004A5932" w:rsidP="008545BB">
      <w:pPr>
        <w:rPr>
          <w:rFonts w:asciiTheme="minorHAnsi" w:hAnsiTheme="minorHAnsi"/>
          <w:b/>
        </w:rPr>
      </w:pPr>
    </w:p>
    <w:p w:rsidR="004A5932" w:rsidRDefault="004A5932" w:rsidP="008545BB">
      <w:pPr>
        <w:rPr>
          <w:rFonts w:asciiTheme="minorHAnsi" w:hAnsiTheme="minorHAnsi"/>
          <w:b/>
        </w:rPr>
      </w:pPr>
    </w:p>
    <w:p w:rsidR="008545BB" w:rsidRPr="001C5F6A" w:rsidRDefault="008545BB" w:rsidP="008545BB">
      <w:pPr>
        <w:rPr>
          <w:rFonts w:asciiTheme="minorHAnsi" w:hAnsiTheme="minorHAnsi"/>
        </w:rPr>
      </w:pPr>
      <w:r w:rsidRPr="001C5F6A">
        <w:rPr>
          <w:rFonts w:asciiTheme="minorHAnsi" w:hAnsiTheme="minorHAnsi"/>
          <w:b/>
        </w:rPr>
        <w:lastRenderedPageBreak/>
        <w:t>6.3.3.</w:t>
      </w:r>
      <w:r w:rsidRPr="001C5F6A">
        <w:rPr>
          <w:rFonts w:asciiTheme="minorHAnsi" w:hAnsiTheme="minorHAnsi"/>
        </w:rPr>
        <w:t xml:space="preserve"> Badania robót pielęgnacyjnych drzew uszkodzonych</w:t>
      </w:r>
    </w:p>
    <w:p w:rsidR="008545BB" w:rsidRPr="001C5F6A" w:rsidRDefault="008545BB" w:rsidP="008545BB">
      <w:pPr>
        <w:rPr>
          <w:rFonts w:asciiTheme="minorHAnsi" w:hAnsiTheme="minorHAnsi"/>
        </w:rPr>
      </w:pPr>
      <w:r w:rsidRPr="001C5F6A">
        <w:rPr>
          <w:rFonts w:asciiTheme="minorHAnsi" w:hAnsiTheme="minorHAnsi"/>
        </w:rPr>
        <w:tab/>
        <w:t>Roboty pielęgnacyjne drzew uszkodzonych w czasie budowy drogi polegają na sprawdzeniu, w nawiązaniu do ustaleń pktu 5.6:</w:t>
      </w:r>
    </w:p>
    <w:p w:rsidR="008545BB" w:rsidRPr="001C5F6A" w:rsidRDefault="004A5932" w:rsidP="008545BB">
      <w:pPr>
        <w:rPr>
          <w:rFonts w:asciiTheme="minorHAnsi" w:hAnsiTheme="minorHAnsi"/>
        </w:rPr>
      </w:pPr>
      <w:r>
        <w:rPr>
          <w:rFonts w:asciiTheme="minorHAnsi" w:hAnsiTheme="minorHAnsi"/>
        </w:rPr>
        <w:t>-</w:t>
      </w:r>
      <w:r w:rsidR="008545BB" w:rsidRPr="001C5F6A">
        <w:rPr>
          <w:rFonts w:asciiTheme="minorHAnsi" w:hAnsiTheme="minorHAnsi"/>
        </w:rPr>
        <w:t>prawidłowości wykonania cięć (korony, korzeni, gałęzi),</w:t>
      </w:r>
    </w:p>
    <w:p w:rsidR="008545BB" w:rsidRPr="001C5F6A" w:rsidRDefault="004A5932" w:rsidP="008545BB">
      <w:pPr>
        <w:rPr>
          <w:rFonts w:asciiTheme="minorHAnsi" w:hAnsiTheme="minorHAnsi"/>
        </w:rPr>
      </w:pPr>
      <w:r>
        <w:rPr>
          <w:rFonts w:asciiTheme="minorHAnsi" w:hAnsiTheme="minorHAnsi"/>
        </w:rPr>
        <w:t>-</w:t>
      </w:r>
      <w:r w:rsidR="008545BB" w:rsidRPr="001C5F6A">
        <w:rPr>
          <w:rFonts w:asciiTheme="minorHAnsi" w:hAnsiTheme="minorHAnsi"/>
        </w:rPr>
        <w:t>poprawności wykonania zabezpieczeń uszkodzonych fragmentów drzewa (ran),</w:t>
      </w:r>
    </w:p>
    <w:p w:rsidR="008545BB" w:rsidRPr="001C5F6A" w:rsidRDefault="004A5932" w:rsidP="008545BB">
      <w:pPr>
        <w:rPr>
          <w:rFonts w:asciiTheme="minorHAnsi" w:hAnsiTheme="minorHAnsi"/>
        </w:rPr>
      </w:pPr>
      <w:r>
        <w:rPr>
          <w:rFonts w:asciiTheme="minorHAnsi" w:hAnsiTheme="minorHAnsi"/>
        </w:rPr>
        <w:t>-</w:t>
      </w:r>
      <w:r w:rsidR="008545BB" w:rsidRPr="001C5F6A">
        <w:rPr>
          <w:rFonts w:asciiTheme="minorHAnsi" w:hAnsiTheme="minorHAnsi"/>
        </w:rPr>
        <w:t>zabezpieczeń glebą uszkodzonych korzeni,</w:t>
      </w:r>
    </w:p>
    <w:p w:rsidR="008545BB" w:rsidRPr="001C5F6A" w:rsidRDefault="004A5932" w:rsidP="008545BB">
      <w:pPr>
        <w:rPr>
          <w:rFonts w:asciiTheme="minorHAnsi" w:hAnsiTheme="minorHAnsi"/>
        </w:rPr>
      </w:pPr>
      <w:r>
        <w:rPr>
          <w:rFonts w:asciiTheme="minorHAnsi" w:hAnsiTheme="minorHAnsi"/>
        </w:rPr>
        <w:t>-</w:t>
      </w:r>
      <w:r w:rsidR="008545BB" w:rsidRPr="001C5F6A">
        <w:rPr>
          <w:rFonts w:asciiTheme="minorHAnsi" w:hAnsiTheme="minorHAnsi"/>
        </w:rPr>
        <w:t>stopnia zaopatrzenia drzewa w wodę i powietrze.</w:t>
      </w:r>
    </w:p>
    <w:p w:rsidR="008545BB" w:rsidRPr="001C5F6A" w:rsidRDefault="008545BB" w:rsidP="008545BB">
      <w:pPr>
        <w:rPr>
          <w:rFonts w:asciiTheme="minorHAnsi" w:hAnsiTheme="minorHAnsi"/>
        </w:rPr>
      </w:pPr>
    </w:p>
    <w:p w:rsidR="008545BB" w:rsidRPr="001C5F6A" w:rsidRDefault="008545BB" w:rsidP="008545BB">
      <w:pPr>
        <w:rPr>
          <w:rFonts w:asciiTheme="minorHAnsi" w:hAnsiTheme="minorHAnsi"/>
          <w:b/>
        </w:rPr>
      </w:pPr>
      <w:bookmarkStart w:id="259" w:name="_Toc424534471"/>
      <w:bookmarkStart w:id="260" w:name="_Toc46644002"/>
      <w:bookmarkStart w:id="261" w:name="_Toc51995835"/>
      <w:bookmarkStart w:id="262" w:name="_Toc70745917"/>
      <w:bookmarkStart w:id="263" w:name="_Toc113338103"/>
      <w:bookmarkStart w:id="264" w:name="_Toc122409840"/>
      <w:bookmarkStart w:id="265" w:name="_Toc128547956"/>
      <w:bookmarkStart w:id="266" w:name="_Toc144694241"/>
      <w:bookmarkStart w:id="267" w:name="_Toc144793981"/>
      <w:bookmarkStart w:id="268" w:name="_Toc146429506"/>
      <w:bookmarkStart w:id="269" w:name="_Toc147039498"/>
      <w:bookmarkStart w:id="270" w:name="_Toc161023548"/>
      <w:bookmarkStart w:id="271" w:name="_Toc164048104"/>
      <w:r w:rsidRPr="001C5F6A">
        <w:rPr>
          <w:rFonts w:asciiTheme="minorHAnsi" w:hAnsiTheme="minorHAnsi"/>
          <w:b/>
        </w:rPr>
        <w:t>7. OBMIAR ROBÓT</w:t>
      </w:r>
      <w:bookmarkEnd w:id="259"/>
      <w:bookmarkEnd w:id="260"/>
      <w:bookmarkEnd w:id="261"/>
      <w:bookmarkEnd w:id="262"/>
      <w:bookmarkEnd w:id="263"/>
      <w:bookmarkEnd w:id="264"/>
      <w:bookmarkEnd w:id="265"/>
      <w:bookmarkEnd w:id="266"/>
      <w:bookmarkEnd w:id="267"/>
      <w:bookmarkEnd w:id="268"/>
      <w:bookmarkEnd w:id="269"/>
      <w:bookmarkEnd w:id="270"/>
      <w:bookmarkEnd w:id="271"/>
    </w:p>
    <w:p w:rsidR="008545BB" w:rsidRPr="001C5F6A" w:rsidRDefault="008545BB" w:rsidP="008545BB">
      <w:pPr>
        <w:rPr>
          <w:rFonts w:asciiTheme="minorHAnsi" w:hAnsiTheme="minorHAnsi"/>
        </w:rPr>
      </w:pPr>
      <w:r w:rsidRPr="001C5F6A">
        <w:rPr>
          <w:rFonts w:asciiTheme="minorHAnsi" w:hAnsiTheme="minorHAnsi"/>
          <w:b/>
        </w:rPr>
        <w:t>7.1.</w:t>
      </w:r>
      <w:r w:rsidRPr="001C5F6A">
        <w:rPr>
          <w:rFonts w:asciiTheme="minorHAnsi" w:hAnsiTheme="minorHAnsi"/>
        </w:rPr>
        <w:t xml:space="preserve"> Ogólne zasady obmiaru robót</w:t>
      </w:r>
    </w:p>
    <w:p w:rsidR="008545BB" w:rsidRPr="001C5F6A" w:rsidRDefault="008545BB" w:rsidP="008545BB">
      <w:pPr>
        <w:rPr>
          <w:rFonts w:asciiTheme="minorHAnsi" w:hAnsiTheme="minorHAnsi"/>
        </w:rPr>
      </w:pPr>
      <w:r w:rsidRPr="001C5F6A">
        <w:rPr>
          <w:rFonts w:asciiTheme="minorHAnsi" w:hAnsiTheme="minorHAnsi"/>
        </w:rPr>
        <w:tab/>
        <w:t>Ogólne zasady obmiaru robót podano w ST D-M-00.00.00 „Wymagania ogólne”  pkt 7.</w:t>
      </w:r>
    </w:p>
    <w:p w:rsidR="008545BB" w:rsidRPr="001C5F6A" w:rsidRDefault="008545BB" w:rsidP="008545BB">
      <w:pPr>
        <w:rPr>
          <w:rFonts w:asciiTheme="minorHAnsi" w:hAnsiTheme="minorHAnsi"/>
        </w:rPr>
      </w:pPr>
      <w:r w:rsidRPr="001C5F6A">
        <w:rPr>
          <w:rFonts w:asciiTheme="minorHAnsi" w:hAnsiTheme="minorHAnsi"/>
          <w:b/>
        </w:rPr>
        <w:t>7.2.</w:t>
      </w:r>
      <w:r w:rsidRPr="001C5F6A">
        <w:rPr>
          <w:rFonts w:asciiTheme="minorHAnsi" w:hAnsiTheme="minorHAnsi"/>
        </w:rPr>
        <w:t xml:space="preserve"> Jednostka obmiarowa</w:t>
      </w:r>
    </w:p>
    <w:p w:rsidR="008545BB" w:rsidRPr="001C5F6A" w:rsidRDefault="008545BB" w:rsidP="008545BB">
      <w:pPr>
        <w:rPr>
          <w:rFonts w:asciiTheme="minorHAnsi" w:hAnsiTheme="minorHAnsi"/>
        </w:rPr>
      </w:pPr>
      <w:r w:rsidRPr="001C5F6A">
        <w:rPr>
          <w:rFonts w:asciiTheme="minorHAnsi" w:hAnsiTheme="minorHAnsi"/>
        </w:rPr>
        <w:tab/>
        <w:t>Jednostką obmiarową jest sztuka zabezpieczonego drzewa.</w:t>
      </w:r>
    </w:p>
    <w:p w:rsidR="008545BB" w:rsidRPr="001C5F6A" w:rsidRDefault="008545BB" w:rsidP="008545BB">
      <w:pPr>
        <w:rPr>
          <w:rFonts w:asciiTheme="minorHAnsi" w:hAnsiTheme="minorHAnsi"/>
        </w:rPr>
      </w:pPr>
    </w:p>
    <w:p w:rsidR="008545BB" w:rsidRPr="001C5F6A" w:rsidRDefault="008545BB" w:rsidP="008545BB">
      <w:pPr>
        <w:rPr>
          <w:rFonts w:asciiTheme="minorHAnsi" w:hAnsiTheme="minorHAnsi"/>
          <w:b/>
        </w:rPr>
      </w:pPr>
      <w:bookmarkStart w:id="272" w:name="_Toc424534472"/>
      <w:bookmarkStart w:id="273" w:name="_Toc46644003"/>
      <w:bookmarkStart w:id="274" w:name="_Toc51995836"/>
      <w:bookmarkStart w:id="275" w:name="_Toc70745918"/>
      <w:bookmarkStart w:id="276" w:name="_Toc113338104"/>
      <w:bookmarkStart w:id="277" w:name="_Toc122409841"/>
      <w:bookmarkStart w:id="278" w:name="_Toc128547957"/>
      <w:bookmarkStart w:id="279" w:name="_Toc144694242"/>
      <w:bookmarkStart w:id="280" w:name="_Toc144793982"/>
      <w:bookmarkStart w:id="281" w:name="_Toc146429507"/>
      <w:bookmarkStart w:id="282" w:name="_Toc147039499"/>
      <w:bookmarkStart w:id="283" w:name="_Toc161023549"/>
      <w:bookmarkStart w:id="284" w:name="_Toc164048105"/>
      <w:r w:rsidRPr="001C5F6A">
        <w:rPr>
          <w:rFonts w:asciiTheme="minorHAnsi" w:hAnsiTheme="minorHAnsi"/>
          <w:b/>
        </w:rPr>
        <w:t>8. ODBIÓR ROBÓT</w:t>
      </w:r>
      <w:bookmarkEnd w:id="272"/>
      <w:bookmarkEnd w:id="273"/>
      <w:bookmarkEnd w:id="274"/>
      <w:bookmarkEnd w:id="275"/>
      <w:bookmarkEnd w:id="276"/>
      <w:bookmarkEnd w:id="277"/>
      <w:bookmarkEnd w:id="278"/>
      <w:bookmarkEnd w:id="279"/>
      <w:bookmarkEnd w:id="280"/>
      <w:bookmarkEnd w:id="281"/>
      <w:bookmarkEnd w:id="282"/>
      <w:bookmarkEnd w:id="283"/>
      <w:bookmarkEnd w:id="284"/>
    </w:p>
    <w:p w:rsidR="008545BB" w:rsidRPr="001C5F6A" w:rsidRDefault="008545BB" w:rsidP="008545BB">
      <w:pPr>
        <w:rPr>
          <w:rFonts w:asciiTheme="minorHAnsi" w:hAnsiTheme="minorHAnsi"/>
        </w:rPr>
      </w:pPr>
      <w:r w:rsidRPr="001C5F6A">
        <w:rPr>
          <w:rFonts w:asciiTheme="minorHAnsi" w:hAnsiTheme="minorHAnsi"/>
          <w:b/>
        </w:rPr>
        <w:t>8.1.</w:t>
      </w:r>
      <w:r w:rsidRPr="001C5F6A">
        <w:rPr>
          <w:rFonts w:asciiTheme="minorHAnsi" w:hAnsiTheme="minorHAnsi"/>
        </w:rPr>
        <w:t xml:space="preserve"> Ogólne zasady odbioru robót</w:t>
      </w:r>
    </w:p>
    <w:p w:rsidR="008545BB" w:rsidRPr="001C5F6A" w:rsidRDefault="008545BB" w:rsidP="008545BB">
      <w:pPr>
        <w:rPr>
          <w:rFonts w:asciiTheme="minorHAnsi" w:hAnsiTheme="minorHAnsi"/>
        </w:rPr>
      </w:pPr>
      <w:r w:rsidRPr="001C5F6A">
        <w:rPr>
          <w:rFonts w:asciiTheme="minorHAnsi" w:hAnsiTheme="minorHAnsi"/>
        </w:rPr>
        <w:tab/>
        <w:t>Ogólne zasady odbioru robót podano w ST D-M-00.00.00 „Wymagania ogólne” pkt 8.</w:t>
      </w:r>
    </w:p>
    <w:p w:rsidR="008545BB" w:rsidRPr="001C5F6A" w:rsidRDefault="008545BB" w:rsidP="008545BB">
      <w:pPr>
        <w:rPr>
          <w:rFonts w:asciiTheme="minorHAnsi" w:hAnsiTheme="minorHAnsi"/>
        </w:rPr>
      </w:pPr>
      <w:r w:rsidRPr="001C5F6A">
        <w:rPr>
          <w:rFonts w:asciiTheme="minorHAnsi" w:hAnsiTheme="minorHAnsi"/>
        </w:rPr>
        <w:tab/>
        <w:t>Roboty uznaje się za wykonane zgodnie z dokumentacją projektową, ST i wymaganiami Inżyniera, jeżeli wszystkie pomiary i badania z zachowaniem tolerancji wg pkt 6 dały wyniki pozytywne.</w:t>
      </w:r>
    </w:p>
    <w:p w:rsidR="008545BB" w:rsidRPr="001C5F6A" w:rsidRDefault="008545BB" w:rsidP="008545BB">
      <w:pPr>
        <w:rPr>
          <w:rFonts w:asciiTheme="minorHAnsi" w:hAnsiTheme="minorHAnsi"/>
        </w:rPr>
      </w:pPr>
      <w:r w:rsidRPr="001C5F6A">
        <w:rPr>
          <w:rFonts w:asciiTheme="minorHAnsi" w:hAnsiTheme="minorHAnsi"/>
          <w:b/>
        </w:rPr>
        <w:t>8.2.</w:t>
      </w:r>
      <w:r w:rsidRPr="001C5F6A">
        <w:rPr>
          <w:rFonts w:asciiTheme="minorHAnsi" w:hAnsiTheme="minorHAnsi"/>
        </w:rPr>
        <w:t xml:space="preserve"> Odbiór robót zanikających i ulegających zakryciu</w:t>
      </w:r>
    </w:p>
    <w:p w:rsidR="008545BB" w:rsidRPr="001C5F6A" w:rsidRDefault="008545BB" w:rsidP="008545BB">
      <w:pPr>
        <w:rPr>
          <w:rFonts w:asciiTheme="minorHAnsi" w:hAnsiTheme="minorHAnsi"/>
        </w:rPr>
      </w:pPr>
      <w:r w:rsidRPr="001C5F6A">
        <w:rPr>
          <w:rFonts w:asciiTheme="minorHAnsi" w:hAnsiTheme="minorHAnsi"/>
        </w:rPr>
        <w:tab/>
        <w:t>Odbiorowi robót zanikających i ulegających zakryciu podlegają:</w:t>
      </w:r>
    </w:p>
    <w:p w:rsidR="008545BB" w:rsidRPr="001C5F6A" w:rsidRDefault="004A5932" w:rsidP="008545BB">
      <w:pPr>
        <w:rPr>
          <w:rFonts w:asciiTheme="minorHAnsi" w:hAnsiTheme="minorHAnsi"/>
        </w:rPr>
      </w:pPr>
      <w:r>
        <w:rPr>
          <w:rFonts w:asciiTheme="minorHAnsi" w:hAnsiTheme="minorHAnsi"/>
        </w:rPr>
        <w:t>-</w:t>
      </w:r>
      <w:r w:rsidR="008545BB" w:rsidRPr="001C5F6A">
        <w:rPr>
          <w:rFonts w:asciiTheme="minorHAnsi" w:hAnsiTheme="minorHAnsi"/>
        </w:rPr>
        <w:t>w zakresie robót stałego zabezpieczenia drzew – roboty określone w pkcie 5.5 niniejszej specyfikacji,</w:t>
      </w:r>
    </w:p>
    <w:p w:rsidR="008545BB" w:rsidRPr="001C5F6A" w:rsidRDefault="004A5932" w:rsidP="008545BB">
      <w:pPr>
        <w:rPr>
          <w:rFonts w:asciiTheme="minorHAnsi" w:hAnsiTheme="minorHAnsi"/>
        </w:rPr>
      </w:pPr>
      <w:r>
        <w:rPr>
          <w:rFonts w:asciiTheme="minorHAnsi" w:hAnsiTheme="minorHAnsi"/>
        </w:rPr>
        <w:t>-</w:t>
      </w:r>
      <w:r w:rsidR="008545BB" w:rsidRPr="001C5F6A">
        <w:rPr>
          <w:rFonts w:asciiTheme="minorHAnsi" w:hAnsiTheme="minorHAnsi"/>
        </w:rPr>
        <w:t>w zakresie robót pielęgnacyjnych drzew uszkodzonych – cięcie i zabezpieczenie uszkodzonych korzeni oraz wymiana gruntu w najbliższym otoczeniu uszkodzonych korzeni.</w:t>
      </w:r>
    </w:p>
    <w:p w:rsidR="008545BB" w:rsidRPr="001C5F6A" w:rsidRDefault="008545BB" w:rsidP="008545BB">
      <w:pPr>
        <w:rPr>
          <w:rFonts w:asciiTheme="minorHAnsi" w:hAnsiTheme="minorHAnsi"/>
        </w:rPr>
      </w:pPr>
    </w:p>
    <w:p w:rsidR="008545BB" w:rsidRPr="001C5F6A" w:rsidRDefault="008545BB" w:rsidP="008545BB">
      <w:pPr>
        <w:rPr>
          <w:rFonts w:asciiTheme="minorHAnsi" w:hAnsiTheme="minorHAnsi"/>
          <w:b/>
        </w:rPr>
      </w:pPr>
      <w:bookmarkStart w:id="285" w:name="_Toc424534473"/>
      <w:bookmarkStart w:id="286" w:name="_Toc46644004"/>
      <w:bookmarkStart w:id="287" w:name="_Toc51995837"/>
      <w:bookmarkStart w:id="288" w:name="_Toc70745919"/>
      <w:bookmarkStart w:id="289" w:name="_Toc113338105"/>
      <w:bookmarkStart w:id="290" w:name="_Toc122409842"/>
      <w:bookmarkStart w:id="291" w:name="_Toc128547958"/>
      <w:bookmarkStart w:id="292" w:name="_Toc144694243"/>
      <w:bookmarkStart w:id="293" w:name="_Toc144793983"/>
      <w:bookmarkStart w:id="294" w:name="_Toc146429508"/>
      <w:bookmarkStart w:id="295" w:name="_Toc147039500"/>
      <w:bookmarkStart w:id="296" w:name="_Toc161023550"/>
      <w:bookmarkStart w:id="297" w:name="_Toc164048106"/>
      <w:r w:rsidRPr="001C5F6A">
        <w:rPr>
          <w:rFonts w:asciiTheme="minorHAnsi" w:hAnsiTheme="minorHAnsi"/>
          <w:b/>
        </w:rPr>
        <w:t>9. PODSTAWA PŁATNOŚCI</w:t>
      </w:r>
      <w:bookmarkEnd w:id="285"/>
      <w:bookmarkEnd w:id="286"/>
      <w:bookmarkEnd w:id="287"/>
      <w:bookmarkEnd w:id="288"/>
      <w:bookmarkEnd w:id="289"/>
      <w:bookmarkEnd w:id="290"/>
      <w:bookmarkEnd w:id="291"/>
      <w:bookmarkEnd w:id="292"/>
      <w:bookmarkEnd w:id="293"/>
      <w:bookmarkEnd w:id="294"/>
      <w:bookmarkEnd w:id="295"/>
      <w:bookmarkEnd w:id="296"/>
      <w:bookmarkEnd w:id="297"/>
    </w:p>
    <w:p w:rsidR="008545BB" w:rsidRPr="001C5F6A" w:rsidRDefault="008545BB" w:rsidP="008545BB">
      <w:pPr>
        <w:rPr>
          <w:rFonts w:asciiTheme="minorHAnsi" w:hAnsiTheme="minorHAnsi"/>
        </w:rPr>
      </w:pPr>
      <w:r w:rsidRPr="001C5F6A">
        <w:rPr>
          <w:rFonts w:asciiTheme="minorHAnsi" w:hAnsiTheme="minorHAnsi"/>
          <w:b/>
        </w:rPr>
        <w:t>9.1.</w:t>
      </w:r>
      <w:r w:rsidRPr="001C5F6A">
        <w:rPr>
          <w:rFonts w:asciiTheme="minorHAnsi" w:hAnsiTheme="minorHAnsi"/>
        </w:rPr>
        <w:t xml:space="preserve"> Ogólne ustalenia dotyczące podstawy płatności</w:t>
      </w:r>
    </w:p>
    <w:p w:rsidR="008545BB" w:rsidRPr="001C5F6A" w:rsidRDefault="008545BB" w:rsidP="008545BB">
      <w:pPr>
        <w:rPr>
          <w:rFonts w:asciiTheme="minorHAnsi" w:hAnsiTheme="minorHAnsi"/>
        </w:rPr>
      </w:pPr>
      <w:r w:rsidRPr="001C5F6A">
        <w:rPr>
          <w:rFonts w:asciiTheme="minorHAnsi" w:hAnsiTheme="minorHAnsi"/>
        </w:rPr>
        <w:tab/>
        <w:t>Ogólne  ustalenia  dotyczące  podstawy  płatności  podano   w  ST D-M-00.00.00 „Wymagania ogólne”  pkt 9.</w:t>
      </w:r>
    </w:p>
    <w:p w:rsidR="008545BB" w:rsidRPr="001C5F6A" w:rsidRDefault="008545BB" w:rsidP="008545BB">
      <w:pPr>
        <w:rPr>
          <w:rFonts w:asciiTheme="minorHAnsi" w:hAnsiTheme="minorHAnsi"/>
        </w:rPr>
      </w:pPr>
      <w:r w:rsidRPr="001C5F6A">
        <w:rPr>
          <w:rFonts w:asciiTheme="minorHAnsi" w:hAnsiTheme="minorHAnsi"/>
          <w:b/>
        </w:rPr>
        <w:t>9.2.</w:t>
      </w:r>
      <w:r w:rsidRPr="001C5F6A">
        <w:rPr>
          <w:rFonts w:asciiTheme="minorHAnsi" w:hAnsiTheme="minorHAnsi"/>
        </w:rPr>
        <w:t xml:space="preserve"> Cena jednostki obmiarowej</w:t>
      </w:r>
    </w:p>
    <w:p w:rsidR="008545BB" w:rsidRPr="001C5F6A" w:rsidRDefault="008545BB" w:rsidP="008545BB">
      <w:pPr>
        <w:rPr>
          <w:rFonts w:asciiTheme="minorHAnsi" w:hAnsiTheme="minorHAnsi"/>
        </w:rPr>
      </w:pPr>
      <w:r w:rsidRPr="001C5F6A">
        <w:rPr>
          <w:rFonts w:asciiTheme="minorHAnsi" w:hAnsiTheme="minorHAnsi"/>
        </w:rPr>
        <w:tab/>
        <w:t>Cena zabezpieczenia 1 sztuki drzewa obejmuje:</w:t>
      </w:r>
    </w:p>
    <w:p w:rsidR="008545BB" w:rsidRPr="001C5F6A" w:rsidRDefault="004A5932" w:rsidP="008545BB">
      <w:pPr>
        <w:rPr>
          <w:rFonts w:asciiTheme="minorHAnsi" w:hAnsiTheme="minorHAnsi"/>
        </w:rPr>
      </w:pPr>
      <w:r>
        <w:rPr>
          <w:rFonts w:asciiTheme="minorHAnsi" w:hAnsiTheme="minorHAnsi"/>
        </w:rPr>
        <w:t>-</w:t>
      </w:r>
      <w:r w:rsidR="008545BB" w:rsidRPr="001C5F6A">
        <w:rPr>
          <w:rFonts w:asciiTheme="minorHAnsi" w:hAnsiTheme="minorHAnsi"/>
        </w:rPr>
        <w:t>roboty przygotowawcze, pomiarowe,</w:t>
      </w:r>
    </w:p>
    <w:p w:rsidR="008545BB" w:rsidRPr="001C5F6A" w:rsidRDefault="004A5932" w:rsidP="008545BB">
      <w:pPr>
        <w:rPr>
          <w:rFonts w:asciiTheme="minorHAnsi" w:hAnsiTheme="minorHAnsi"/>
        </w:rPr>
      </w:pPr>
      <w:r>
        <w:rPr>
          <w:rFonts w:asciiTheme="minorHAnsi" w:hAnsiTheme="minorHAnsi"/>
        </w:rPr>
        <w:t>-</w:t>
      </w:r>
      <w:r w:rsidR="008545BB" w:rsidRPr="001C5F6A">
        <w:rPr>
          <w:rFonts w:asciiTheme="minorHAnsi" w:hAnsiTheme="minorHAnsi"/>
        </w:rPr>
        <w:t>pozyskanie miejsca składowania materiałów,</w:t>
      </w:r>
    </w:p>
    <w:p w:rsidR="008545BB" w:rsidRPr="001C5F6A" w:rsidRDefault="004A5932" w:rsidP="008545BB">
      <w:pPr>
        <w:rPr>
          <w:rFonts w:asciiTheme="minorHAnsi" w:hAnsiTheme="minorHAnsi"/>
        </w:rPr>
      </w:pPr>
      <w:r>
        <w:rPr>
          <w:rFonts w:asciiTheme="minorHAnsi" w:hAnsiTheme="minorHAnsi"/>
        </w:rPr>
        <w:t>-</w:t>
      </w:r>
      <w:r w:rsidR="008545BB" w:rsidRPr="001C5F6A">
        <w:rPr>
          <w:rFonts w:asciiTheme="minorHAnsi" w:hAnsiTheme="minorHAnsi"/>
        </w:rPr>
        <w:t>dostarczenie materiałów i sprzętu,</w:t>
      </w:r>
    </w:p>
    <w:p w:rsidR="008545BB" w:rsidRPr="001C5F6A" w:rsidRDefault="004A5932" w:rsidP="008545BB">
      <w:pPr>
        <w:rPr>
          <w:rFonts w:asciiTheme="minorHAnsi" w:hAnsiTheme="minorHAnsi"/>
        </w:rPr>
      </w:pPr>
      <w:r>
        <w:rPr>
          <w:rFonts w:asciiTheme="minorHAnsi" w:hAnsiTheme="minorHAnsi"/>
        </w:rPr>
        <w:t>-</w:t>
      </w:r>
      <w:r w:rsidR="008545BB" w:rsidRPr="001C5F6A">
        <w:rPr>
          <w:rFonts w:asciiTheme="minorHAnsi" w:hAnsiTheme="minorHAnsi"/>
        </w:rPr>
        <w:t>wykonanie zabezpieczenia drzewa lub pielęgnacji drzewa uszkodzonego, zgodnie z wymaganiami dokumentacji projektowej i specyfikacji technicznej,</w:t>
      </w:r>
    </w:p>
    <w:p w:rsidR="008545BB" w:rsidRPr="001C5F6A" w:rsidRDefault="004A5932" w:rsidP="008545BB">
      <w:pPr>
        <w:rPr>
          <w:rFonts w:asciiTheme="minorHAnsi" w:hAnsiTheme="minorHAnsi"/>
        </w:rPr>
      </w:pPr>
      <w:r>
        <w:rPr>
          <w:rFonts w:asciiTheme="minorHAnsi" w:hAnsiTheme="minorHAnsi"/>
        </w:rPr>
        <w:t>-</w:t>
      </w:r>
      <w:r w:rsidR="008545BB" w:rsidRPr="001C5F6A">
        <w:rPr>
          <w:rFonts w:asciiTheme="minorHAnsi" w:hAnsiTheme="minorHAnsi"/>
        </w:rPr>
        <w:t>przeprowadzenie pomiarów i badań wymaganych w niniejszej specyfikacji technicznej,</w:t>
      </w:r>
    </w:p>
    <w:p w:rsidR="008545BB" w:rsidRPr="001C5F6A" w:rsidRDefault="004A5932" w:rsidP="008545BB">
      <w:pPr>
        <w:rPr>
          <w:rFonts w:asciiTheme="minorHAnsi" w:hAnsiTheme="minorHAnsi"/>
        </w:rPr>
      </w:pPr>
      <w:r>
        <w:rPr>
          <w:rFonts w:asciiTheme="minorHAnsi" w:hAnsiTheme="minorHAnsi"/>
        </w:rPr>
        <w:t>-</w:t>
      </w:r>
      <w:r w:rsidR="008545BB" w:rsidRPr="001C5F6A">
        <w:rPr>
          <w:rFonts w:asciiTheme="minorHAnsi" w:hAnsiTheme="minorHAnsi"/>
        </w:rPr>
        <w:t>odwiezienie sprzętu,</w:t>
      </w:r>
    </w:p>
    <w:p w:rsidR="008545BB" w:rsidRPr="001C5F6A" w:rsidRDefault="004A5932" w:rsidP="008545BB">
      <w:pPr>
        <w:rPr>
          <w:rFonts w:asciiTheme="minorHAnsi" w:hAnsiTheme="minorHAnsi"/>
        </w:rPr>
      </w:pPr>
      <w:r>
        <w:rPr>
          <w:rFonts w:asciiTheme="minorHAnsi" w:hAnsiTheme="minorHAnsi"/>
        </w:rPr>
        <w:t>-</w:t>
      </w:r>
      <w:r w:rsidR="008545BB" w:rsidRPr="001C5F6A">
        <w:rPr>
          <w:rFonts w:asciiTheme="minorHAnsi" w:hAnsiTheme="minorHAnsi"/>
        </w:rPr>
        <w:t>uporządkowanie terenu robót.</w:t>
      </w:r>
    </w:p>
    <w:p w:rsidR="008545BB" w:rsidRPr="001C5F6A" w:rsidRDefault="008545BB" w:rsidP="008545BB">
      <w:pPr>
        <w:rPr>
          <w:rFonts w:asciiTheme="minorHAnsi" w:hAnsiTheme="minorHAnsi"/>
        </w:rPr>
      </w:pPr>
      <w:r w:rsidRPr="001C5F6A">
        <w:rPr>
          <w:rFonts w:asciiTheme="minorHAnsi" w:hAnsiTheme="minorHAnsi"/>
          <w:b/>
        </w:rPr>
        <w:t>9.3.</w:t>
      </w:r>
      <w:r w:rsidRPr="001C5F6A">
        <w:rPr>
          <w:rFonts w:asciiTheme="minorHAnsi" w:hAnsiTheme="minorHAnsi"/>
        </w:rPr>
        <w:t xml:space="preserve"> Sposób rozliczenia robót tymczasowych i prac towarzyszących</w:t>
      </w:r>
    </w:p>
    <w:p w:rsidR="008545BB" w:rsidRPr="001C5F6A" w:rsidRDefault="008545BB" w:rsidP="008545BB">
      <w:pPr>
        <w:rPr>
          <w:rFonts w:asciiTheme="minorHAnsi" w:hAnsiTheme="minorHAnsi"/>
        </w:rPr>
      </w:pPr>
      <w:r w:rsidRPr="001C5F6A">
        <w:rPr>
          <w:rFonts w:asciiTheme="minorHAnsi" w:hAnsiTheme="minorHAnsi"/>
        </w:rPr>
        <w:tab/>
        <w:t>Cena wykonania robót określonych niniejsz</w:t>
      </w:r>
      <w:r w:rsidR="004A5932">
        <w:rPr>
          <w:rFonts w:asciiTheme="minorHAnsi" w:hAnsiTheme="minorHAnsi"/>
        </w:rPr>
        <w:t xml:space="preserve">ą </w:t>
      </w:r>
      <w:r w:rsidRPr="001C5F6A">
        <w:rPr>
          <w:rFonts w:asciiTheme="minorHAnsi" w:hAnsiTheme="minorHAnsi"/>
        </w:rPr>
        <w:t>ST obejmuje:</w:t>
      </w:r>
    </w:p>
    <w:p w:rsidR="008545BB" w:rsidRPr="001C5F6A" w:rsidRDefault="004A5932" w:rsidP="008545BB">
      <w:pPr>
        <w:rPr>
          <w:rFonts w:asciiTheme="minorHAnsi" w:hAnsiTheme="minorHAnsi"/>
        </w:rPr>
      </w:pPr>
      <w:r>
        <w:rPr>
          <w:rFonts w:asciiTheme="minorHAnsi" w:hAnsiTheme="minorHAnsi"/>
        </w:rPr>
        <w:t>-</w:t>
      </w:r>
      <w:r w:rsidR="008545BB" w:rsidRPr="001C5F6A">
        <w:rPr>
          <w:rFonts w:asciiTheme="minorHAnsi" w:hAnsiTheme="minorHAnsi"/>
        </w:rPr>
        <w:t>roboty tymczasowe, które są potrzebne do wykonania robót podstawowych, ale nie są przekazywane Zamawiającemu i są usuwane po wykonaniu robót podstawowych,</w:t>
      </w:r>
    </w:p>
    <w:p w:rsidR="008545BB" w:rsidRPr="001C5F6A" w:rsidRDefault="004A5932" w:rsidP="008545BB">
      <w:pPr>
        <w:rPr>
          <w:rFonts w:asciiTheme="minorHAnsi" w:hAnsiTheme="minorHAnsi"/>
        </w:rPr>
      </w:pPr>
      <w:r>
        <w:rPr>
          <w:rFonts w:asciiTheme="minorHAnsi" w:hAnsiTheme="minorHAnsi"/>
        </w:rPr>
        <w:t>-</w:t>
      </w:r>
      <w:r w:rsidR="008545BB" w:rsidRPr="001C5F6A">
        <w:rPr>
          <w:rFonts w:asciiTheme="minorHAnsi" w:hAnsiTheme="minorHAnsi"/>
        </w:rPr>
        <w:t>prace towarzyszące, które są niezbędne do wykonania robót podstawowych, niezaliczane do robót tymczasowych, jak geodezyjne wytyczenie robót itd.</w:t>
      </w:r>
    </w:p>
    <w:p w:rsidR="008545BB" w:rsidRPr="001C5F6A" w:rsidRDefault="008545BB" w:rsidP="008545BB">
      <w:pPr>
        <w:rPr>
          <w:rFonts w:asciiTheme="minorHAnsi" w:hAnsiTheme="minorHAnsi"/>
          <w:b/>
        </w:rPr>
      </w:pPr>
      <w:bookmarkStart w:id="298" w:name="_Toc424534474"/>
      <w:bookmarkStart w:id="299" w:name="_Toc46644005"/>
      <w:bookmarkStart w:id="300" w:name="_Toc51995838"/>
      <w:bookmarkStart w:id="301" w:name="_Toc70745920"/>
      <w:bookmarkStart w:id="302" w:name="_Toc113338106"/>
      <w:bookmarkStart w:id="303" w:name="_Toc122409843"/>
      <w:bookmarkStart w:id="304" w:name="_Toc128547959"/>
      <w:bookmarkStart w:id="305" w:name="_Toc144694244"/>
      <w:bookmarkStart w:id="306" w:name="_Toc144793984"/>
      <w:bookmarkStart w:id="307" w:name="_Toc146429509"/>
      <w:bookmarkStart w:id="308" w:name="_Toc147039501"/>
      <w:bookmarkStart w:id="309" w:name="_Toc161023551"/>
      <w:bookmarkStart w:id="310" w:name="_Toc164048107"/>
    </w:p>
    <w:p w:rsidR="008545BB" w:rsidRPr="001C5F6A" w:rsidRDefault="008545BB" w:rsidP="008545BB">
      <w:pPr>
        <w:rPr>
          <w:rFonts w:asciiTheme="minorHAnsi" w:hAnsiTheme="minorHAnsi"/>
          <w:b/>
        </w:rPr>
      </w:pPr>
      <w:r w:rsidRPr="001C5F6A">
        <w:rPr>
          <w:rFonts w:asciiTheme="minorHAnsi" w:hAnsiTheme="minorHAnsi"/>
          <w:b/>
        </w:rPr>
        <w:t>10. PRZEPISY ZWIĄZANE</w:t>
      </w:r>
      <w:bookmarkEnd w:id="298"/>
      <w:bookmarkEnd w:id="299"/>
      <w:bookmarkEnd w:id="300"/>
      <w:bookmarkEnd w:id="301"/>
      <w:bookmarkEnd w:id="302"/>
      <w:bookmarkEnd w:id="303"/>
      <w:bookmarkEnd w:id="304"/>
      <w:bookmarkEnd w:id="305"/>
      <w:bookmarkEnd w:id="306"/>
      <w:bookmarkEnd w:id="307"/>
      <w:bookmarkEnd w:id="308"/>
      <w:bookmarkEnd w:id="309"/>
      <w:bookmarkEnd w:id="310"/>
    </w:p>
    <w:p w:rsidR="008545BB" w:rsidRPr="001C5F6A" w:rsidRDefault="008545BB" w:rsidP="008545BB">
      <w:pPr>
        <w:rPr>
          <w:rFonts w:asciiTheme="minorHAnsi" w:hAnsiTheme="minorHAnsi"/>
        </w:rPr>
      </w:pPr>
      <w:r w:rsidRPr="001C5F6A">
        <w:rPr>
          <w:rFonts w:asciiTheme="minorHAnsi" w:hAnsiTheme="minorHAnsi"/>
          <w:b/>
        </w:rPr>
        <w:t>10.1.</w:t>
      </w:r>
      <w:r w:rsidRPr="001C5F6A">
        <w:rPr>
          <w:rFonts w:asciiTheme="minorHAnsi" w:hAnsiTheme="minorHAnsi"/>
        </w:rPr>
        <w:t xml:space="preserve"> Specyfikacje techniczne (ST)</w:t>
      </w:r>
    </w:p>
    <w:tbl>
      <w:tblPr>
        <w:tblW w:w="0" w:type="auto"/>
        <w:tblLayout w:type="fixed"/>
        <w:tblCellMar>
          <w:left w:w="70" w:type="dxa"/>
          <w:right w:w="70" w:type="dxa"/>
        </w:tblCellMar>
        <w:tblLook w:val="0000"/>
      </w:tblPr>
      <w:tblGrid>
        <w:gridCol w:w="7510"/>
      </w:tblGrid>
      <w:tr w:rsidR="008545BB" w:rsidRPr="001C5F6A" w:rsidTr="00C26550">
        <w:trPr>
          <w:trHeight w:val="1311"/>
        </w:trPr>
        <w:tc>
          <w:tcPr>
            <w:tcW w:w="7510" w:type="dxa"/>
          </w:tcPr>
          <w:p w:rsidR="008545BB" w:rsidRPr="001C5F6A" w:rsidRDefault="008545BB" w:rsidP="00C26550">
            <w:pPr>
              <w:rPr>
                <w:rFonts w:asciiTheme="minorHAnsi" w:hAnsiTheme="minorHAnsi"/>
              </w:rPr>
            </w:pPr>
            <w:r w:rsidRPr="001C5F6A">
              <w:rPr>
                <w:rFonts w:asciiTheme="minorHAnsi" w:hAnsiTheme="minorHAnsi"/>
              </w:rPr>
              <w:t>1. D-M-00.00.00 Wymagania ogólne</w:t>
            </w:r>
          </w:p>
          <w:p w:rsidR="008545BB" w:rsidRPr="001C5F6A" w:rsidRDefault="008545BB" w:rsidP="00C26550">
            <w:pPr>
              <w:rPr>
                <w:rFonts w:asciiTheme="minorHAnsi" w:hAnsiTheme="minorHAnsi"/>
              </w:rPr>
            </w:pPr>
            <w:r w:rsidRPr="001C5F6A">
              <w:rPr>
                <w:rFonts w:asciiTheme="minorHAnsi" w:hAnsiTheme="minorHAnsi"/>
              </w:rPr>
              <w:t>2. D-01.00.00 Roboty przygotowawcze</w:t>
            </w:r>
          </w:p>
          <w:p w:rsidR="008545BB" w:rsidRPr="001C5F6A" w:rsidRDefault="008545BB" w:rsidP="00C26550">
            <w:pPr>
              <w:rPr>
                <w:rFonts w:asciiTheme="minorHAnsi" w:hAnsiTheme="minorHAnsi"/>
              </w:rPr>
            </w:pPr>
            <w:r w:rsidRPr="001C5F6A">
              <w:rPr>
                <w:rFonts w:asciiTheme="minorHAnsi" w:hAnsiTheme="minorHAnsi"/>
              </w:rPr>
              <w:t>3. D-02.00.00 Roboty ziemne</w:t>
            </w:r>
          </w:p>
          <w:p w:rsidR="008545BB" w:rsidRPr="001C5F6A" w:rsidRDefault="008545BB" w:rsidP="00C26550">
            <w:pPr>
              <w:rPr>
                <w:rFonts w:asciiTheme="minorHAnsi" w:hAnsiTheme="minorHAnsi"/>
              </w:rPr>
            </w:pPr>
            <w:r w:rsidRPr="001C5F6A">
              <w:rPr>
                <w:rFonts w:asciiTheme="minorHAnsi" w:hAnsiTheme="minorHAnsi"/>
              </w:rPr>
              <w:t>4. D-05.03.23a Nawierzchnia z betonowej kostki brukowej dla dróg i ulic oraz placów i chodników</w:t>
            </w:r>
          </w:p>
          <w:p w:rsidR="008545BB" w:rsidRPr="001C5F6A" w:rsidRDefault="008545BB" w:rsidP="00C26550">
            <w:pPr>
              <w:rPr>
                <w:rFonts w:asciiTheme="minorHAnsi" w:hAnsiTheme="minorHAnsi"/>
              </w:rPr>
            </w:pPr>
            <w:r w:rsidRPr="001C5F6A">
              <w:rPr>
                <w:rFonts w:asciiTheme="minorHAnsi" w:hAnsiTheme="minorHAnsi"/>
              </w:rPr>
              <w:t>5. D-09.01.01 Zieleń drogowa</w:t>
            </w:r>
          </w:p>
        </w:tc>
      </w:tr>
    </w:tbl>
    <w:p w:rsidR="008545BB" w:rsidRPr="001C5F6A" w:rsidRDefault="008545BB" w:rsidP="008545BB">
      <w:pPr>
        <w:rPr>
          <w:rFonts w:asciiTheme="minorHAnsi" w:hAnsiTheme="minorHAnsi"/>
        </w:rPr>
      </w:pPr>
      <w:r w:rsidRPr="001C5F6A">
        <w:rPr>
          <w:rFonts w:asciiTheme="minorHAnsi" w:hAnsiTheme="minorHAnsi"/>
          <w:b/>
        </w:rPr>
        <w:t>10.2.</w:t>
      </w:r>
      <w:r w:rsidRPr="001C5F6A">
        <w:rPr>
          <w:rFonts w:asciiTheme="minorHAnsi" w:hAnsiTheme="minorHAnsi"/>
        </w:rPr>
        <w:t xml:space="preserve"> Inne dokumenty</w:t>
      </w:r>
    </w:p>
    <w:p w:rsidR="008545BB" w:rsidRPr="001C5F6A" w:rsidRDefault="008545BB" w:rsidP="008545BB">
      <w:pPr>
        <w:rPr>
          <w:rFonts w:asciiTheme="minorHAnsi" w:hAnsiTheme="minorHAnsi"/>
        </w:rPr>
      </w:pPr>
      <w:r w:rsidRPr="001C5F6A">
        <w:rPr>
          <w:rFonts w:asciiTheme="minorHAnsi" w:hAnsiTheme="minorHAnsi"/>
        </w:rPr>
        <w:t>Zasady ochrony środowiska w drogownictwie. Dział 4. Ochrona środowiska w budowie dróg. GDDP, Warszawa 2002 (projekt)</w:t>
      </w:r>
    </w:p>
    <w:p w:rsidR="008545BB" w:rsidRDefault="008545BB" w:rsidP="008545BB">
      <w:pPr>
        <w:rPr>
          <w:rFonts w:asciiTheme="minorHAnsi" w:hAnsiTheme="minorHAnsi"/>
        </w:rPr>
      </w:pPr>
    </w:p>
    <w:p w:rsidR="008545BB" w:rsidRDefault="008545BB" w:rsidP="008545BB">
      <w:pPr>
        <w:rPr>
          <w:rFonts w:asciiTheme="minorHAnsi" w:hAnsiTheme="minorHAnsi"/>
        </w:rPr>
      </w:pPr>
    </w:p>
    <w:p w:rsidR="008545BB" w:rsidRDefault="008545BB" w:rsidP="008545BB">
      <w:pPr>
        <w:rPr>
          <w:rFonts w:asciiTheme="minorHAnsi" w:hAnsiTheme="minorHAnsi"/>
        </w:rPr>
      </w:pPr>
    </w:p>
    <w:p w:rsidR="008545BB" w:rsidRPr="001C5F6A" w:rsidRDefault="008545BB" w:rsidP="008545BB">
      <w:pPr>
        <w:rPr>
          <w:rFonts w:asciiTheme="minorHAnsi" w:hAnsiTheme="minorHAnsi"/>
          <w:b/>
        </w:rPr>
      </w:pPr>
      <w:r w:rsidRPr="001C5F6A">
        <w:rPr>
          <w:rFonts w:asciiTheme="minorHAnsi" w:hAnsiTheme="minorHAnsi"/>
          <w:b/>
        </w:rPr>
        <w:lastRenderedPageBreak/>
        <w:t>11. ZAŁĄCZNIKI</w:t>
      </w:r>
    </w:p>
    <w:p w:rsidR="008545BB" w:rsidRPr="001C5F6A" w:rsidRDefault="008545BB" w:rsidP="008545BB">
      <w:pPr>
        <w:rPr>
          <w:rFonts w:asciiTheme="minorHAnsi" w:hAnsiTheme="minorHAnsi"/>
        </w:rPr>
      </w:pPr>
      <w:r w:rsidRPr="001C5F6A">
        <w:rPr>
          <w:rFonts w:asciiTheme="minorHAnsi" w:hAnsiTheme="minorHAnsi"/>
        </w:rPr>
        <w:t>ZAŁĄCZNIK 1</w:t>
      </w:r>
    </w:p>
    <w:p w:rsidR="008545BB" w:rsidRPr="001C5F6A" w:rsidRDefault="008545BB" w:rsidP="008545BB">
      <w:pPr>
        <w:rPr>
          <w:rFonts w:asciiTheme="minorHAnsi" w:hAnsiTheme="minorHAnsi"/>
        </w:rPr>
      </w:pPr>
      <w:r w:rsidRPr="001C5F6A">
        <w:rPr>
          <w:rFonts w:asciiTheme="minorHAnsi" w:hAnsiTheme="minorHAnsi"/>
        </w:rPr>
        <w:t>ZASADY  TYMCZASOWEGO  ZABEZPIECZENIA  DRZEW</w:t>
      </w:r>
    </w:p>
    <w:p w:rsidR="008545BB" w:rsidRPr="001C5F6A" w:rsidRDefault="008545BB" w:rsidP="008545BB">
      <w:pPr>
        <w:rPr>
          <w:rFonts w:asciiTheme="minorHAnsi" w:hAnsiTheme="minorHAnsi"/>
        </w:rPr>
      </w:pPr>
    </w:p>
    <w:p w:rsidR="008545BB" w:rsidRPr="001C5F6A" w:rsidRDefault="008545BB" w:rsidP="008545BB">
      <w:pPr>
        <w:rPr>
          <w:rFonts w:asciiTheme="minorHAnsi" w:hAnsiTheme="minorHAnsi"/>
        </w:rPr>
      </w:pPr>
      <w:r w:rsidRPr="001C5F6A">
        <w:rPr>
          <w:rFonts w:asciiTheme="minorHAnsi" w:hAnsiTheme="minorHAnsi"/>
        </w:rPr>
        <w:tab/>
        <w:t>Tymczasowe zabezpieczenie drzewa, które pozostanie w terenie po zakończeniu robót drogowych i jest narażone na uszkodzenia związane z robotami drogowymi, wykonuje się przede wszystkim:</w:t>
      </w:r>
    </w:p>
    <w:p w:rsidR="008545BB" w:rsidRPr="001C5F6A" w:rsidRDefault="008545BB" w:rsidP="008545BB">
      <w:pPr>
        <w:rPr>
          <w:rFonts w:asciiTheme="minorHAnsi" w:hAnsiTheme="minorHAnsi"/>
        </w:rPr>
      </w:pPr>
      <w:r w:rsidRPr="001C5F6A">
        <w:rPr>
          <w:rFonts w:asciiTheme="minorHAnsi" w:hAnsiTheme="minorHAnsi"/>
        </w:rPr>
        <w:t>na obszarze pasa robót drogowych, poza jezdnią, gdy nie zajdą zmiany poziomu gruntu,</w:t>
      </w:r>
    </w:p>
    <w:p w:rsidR="008545BB" w:rsidRPr="001C5F6A" w:rsidRDefault="008545BB" w:rsidP="008545BB">
      <w:pPr>
        <w:rPr>
          <w:rFonts w:asciiTheme="minorHAnsi" w:hAnsiTheme="minorHAnsi"/>
        </w:rPr>
      </w:pPr>
      <w:r w:rsidRPr="001C5F6A">
        <w:rPr>
          <w:rFonts w:asciiTheme="minorHAnsi" w:hAnsiTheme="minorHAnsi"/>
        </w:rPr>
        <w:t>na terenie zaplecza budowy drogi,</w:t>
      </w:r>
    </w:p>
    <w:p w:rsidR="008545BB" w:rsidRPr="001C5F6A" w:rsidRDefault="008545BB" w:rsidP="008545BB">
      <w:pPr>
        <w:rPr>
          <w:rFonts w:asciiTheme="minorHAnsi" w:hAnsiTheme="minorHAnsi"/>
        </w:rPr>
      </w:pPr>
      <w:r w:rsidRPr="001C5F6A">
        <w:rPr>
          <w:rFonts w:asciiTheme="minorHAnsi" w:hAnsiTheme="minorHAnsi"/>
        </w:rPr>
        <w:t>w pobliżu dróg tymczasowych, związanych z dojazdem do placu budowy.</w:t>
      </w:r>
    </w:p>
    <w:p w:rsidR="008545BB" w:rsidRPr="001C5F6A" w:rsidRDefault="008545BB" w:rsidP="008545BB">
      <w:pPr>
        <w:rPr>
          <w:rFonts w:asciiTheme="minorHAnsi" w:hAnsiTheme="minorHAnsi"/>
        </w:rPr>
      </w:pPr>
      <w:r w:rsidRPr="001C5F6A">
        <w:rPr>
          <w:rFonts w:asciiTheme="minorHAnsi" w:hAnsiTheme="minorHAnsi"/>
        </w:rPr>
        <w:t xml:space="preserve">Wokół każdego zagrożonego drzewa z zagrożoną bryłą korzeniową, zaleca się wydzielić strefę bezpieczeństwa o minimalnych wymiarach 4 × </w:t>
      </w:r>
      <w:smartTag w:uri="urn:schemas-microsoft-com:office:smarttags" w:element="metricconverter">
        <w:smartTagPr>
          <w:attr w:name="ProductID" w:val="4 m"/>
        </w:smartTagPr>
        <w:r w:rsidRPr="001C5F6A">
          <w:rPr>
            <w:rFonts w:asciiTheme="minorHAnsi" w:hAnsiTheme="minorHAnsi"/>
          </w:rPr>
          <w:t>4 m</w:t>
        </w:r>
      </w:smartTag>
      <w:r w:rsidRPr="001C5F6A">
        <w:rPr>
          <w:rFonts w:asciiTheme="minorHAnsi" w:hAnsiTheme="minorHAnsi"/>
        </w:rPr>
        <w:t>, wygrodzoną płotem z desek lub żerdzi. Konstrukcja wygrodzenia oparta jest na słupkach, wbitych w narożnikach. wzmocnienie wygrodzenia dokonuje się drutem lub taśmą stalową, opasującą całość wygrodzenia. Wokół wygrodzenia, w połowie jego wysokości, zaleca się umieścić pomalowaną deskę, zwracającą uwagę na wykonane zabezpieczenie. Na rysunku 6 przedstawiono przykład zabezpieczenia drzewa i jego bryły korzeniowej z lokalizacją urządzeń i materiałów placu budowy.</w:t>
      </w:r>
    </w:p>
    <w:p w:rsidR="008545BB" w:rsidRPr="001C5F6A" w:rsidRDefault="008545BB" w:rsidP="008545BB">
      <w:pPr>
        <w:rPr>
          <w:rFonts w:asciiTheme="minorHAnsi" w:hAnsiTheme="minorHAnsi"/>
        </w:rPr>
      </w:pPr>
      <w:r w:rsidRPr="001C5F6A">
        <w:rPr>
          <w:rFonts w:asciiTheme="minorHAnsi" w:hAnsiTheme="minorHAnsi"/>
        </w:rPr>
        <w:t xml:space="preserve">Zaleca się, aby w strefie do </w:t>
      </w:r>
      <w:smartTag w:uri="urn:schemas-microsoft-com:office:smarttags" w:element="metricconverter">
        <w:smartTagPr>
          <w:attr w:name="ProductID" w:val="10 m"/>
        </w:smartTagPr>
        <w:r w:rsidRPr="001C5F6A">
          <w:rPr>
            <w:rFonts w:asciiTheme="minorHAnsi" w:hAnsiTheme="minorHAnsi"/>
          </w:rPr>
          <w:t>10 m</w:t>
        </w:r>
      </w:smartTag>
      <w:r w:rsidRPr="001C5F6A">
        <w:rPr>
          <w:rFonts w:asciiTheme="minorHAnsi" w:hAnsiTheme="minorHAnsi"/>
        </w:rPr>
        <w:t xml:space="preserve"> od pnia drzewa nie składować cementu, kruszywa, olejów, paliw i lepiszczy, jako materiałów powodujących duże zagęszczenie gruntu względnie niebezpiecznych dla gleb w przypadku awarii, np. wycieku.</w:t>
      </w:r>
    </w:p>
    <w:p w:rsidR="008545BB" w:rsidRPr="001C5F6A" w:rsidRDefault="008545BB" w:rsidP="008545BB">
      <w:pPr>
        <w:rPr>
          <w:rFonts w:asciiTheme="minorHAnsi" w:hAnsiTheme="minorHAnsi"/>
        </w:rPr>
      </w:pPr>
      <w:r w:rsidRPr="001C5F6A">
        <w:rPr>
          <w:rFonts w:asciiTheme="minorHAnsi" w:hAnsiTheme="minorHAnsi"/>
        </w:rPr>
        <w:t>Drzewa, przy których głównym zadaniem jest ochrona ich pnia, mogą być zabezpieczane w sposób bezpośrednio chroniący pień.</w:t>
      </w:r>
    </w:p>
    <w:p w:rsidR="008545BB" w:rsidRPr="001C5F6A" w:rsidRDefault="008545BB" w:rsidP="008545BB">
      <w:pPr>
        <w:rPr>
          <w:rFonts w:asciiTheme="minorHAnsi" w:hAnsiTheme="minorHAnsi"/>
        </w:rPr>
      </w:pPr>
    </w:p>
    <w:p w:rsidR="008545BB" w:rsidRPr="001C5F6A" w:rsidRDefault="008545BB" w:rsidP="008545BB">
      <w:pPr>
        <w:rPr>
          <w:rFonts w:asciiTheme="minorHAnsi" w:hAnsiTheme="minorHAnsi"/>
        </w:rPr>
      </w:pPr>
      <w:r w:rsidRPr="001C5F6A">
        <w:rPr>
          <w:rFonts w:asciiTheme="minorHAnsi" w:hAnsiTheme="minorHAnsi"/>
        </w:rPr>
        <w:t>ZAŁĄCZNIK 2</w:t>
      </w:r>
    </w:p>
    <w:p w:rsidR="008545BB" w:rsidRPr="001C5F6A" w:rsidRDefault="008545BB" w:rsidP="008545BB">
      <w:pPr>
        <w:rPr>
          <w:rFonts w:asciiTheme="minorHAnsi" w:hAnsiTheme="minorHAnsi"/>
        </w:rPr>
      </w:pPr>
      <w:r w:rsidRPr="001C5F6A">
        <w:rPr>
          <w:rFonts w:asciiTheme="minorHAnsi" w:hAnsiTheme="minorHAnsi"/>
        </w:rPr>
        <w:t>ZASADY  STAŁEGO  ZABEZPIECZENIA  DRZEW  NA  TERENIE  BUDOWY  DROGI  (wg N.P. Ornatski: Drogi i ochrona przyrody, Transport 1982)</w:t>
      </w:r>
    </w:p>
    <w:p w:rsidR="008545BB" w:rsidRPr="001C5F6A" w:rsidRDefault="008545BB" w:rsidP="008545BB">
      <w:pPr>
        <w:rPr>
          <w:rFonts w:asciiTheme="minorHAnsi" w:hAnsiTheme="minorHAnsi"/>
        </w:rPr>
      </w:pPr>
      <w:r w:rsidRPr="001C5F6A">
        <w:rPr>
          <w:rFonts w:asciiTheme="minorHAnsi" w:hAnsiTheme="minorHAnsi"/>
        </w:rPr>
        <w:tab/>
      </w:r>
    </w:p>
    <w:p w:rsidR="008545BB" w:rsidRPr="001C5F6A" w:rsidRDefault="008545BB" w:rsidP="008545BB">
      <w:pPr>
        <w:rPr>
          <w:rFonts w:asciiTheme="minorHAnsi" w:hAnsiTheme="minorHAnsi"/>
        </w:rPr>
      </w:pPr>
      <w:r w:rsidRPr="001C5F6A">
        <w:rPr>
          <w:rFonts w:asciiTheme="minorHAnsi" w:hAnsiTheme="minorHAnsi"/>
        </w:rPr>
        <w:tab/>
        <w:t>Pozostawienie istniejących drzew (niewycinanie ich) przy budowie drogi powinno być najszerzej stosowaną praktyką projektową i wykonawczą.</w:t>
      </w:r>
    </w:p>
    <w:p w:rsidR="008545BB" w:rsidRPr="001C5F6A" w:rsidRDefault="008545BB" w:rsidP="008545BB">
      <w:pPr>
        <w:rPr>
          <w:rFonts w:asciiTheme="minorHAnsi" w:hAnsiTheme="minorHAnsi"/>
        </w:rPr>
      </w:pPr>
      <w:r w:rsidRPr="001C5F6A">
        <w:rPr>
          <w:rFonts w:asciiTheme="minorHAnsi" w:hAnsiTheme="minorHAnsi"/>
        </w:rPr>
        <w:tab/>
        <w:t>Najczęściej drzewa pozostawia się na zewnętrznym terenie granicznym pasa drogowego (pasa wywłaszczenia), na obszarze przyszłych miejsc obsługi podróżnych, parkingów, miejsc wypoczynku i w pasach dzielących dróg dwujezdniowych, pod warunkiem, że w zasadzie:</w:t>
      </w:r>
    </w:p>
    <w:p w:rsidR="008545BB" w:rsidRPr="001C5F6A" w:rsidRDefault="008545BB" w:rsidP="008545BB">
      <w:pPr>
        <w:rPr>
          <w:rFonts w:asciiTheme="minorHAnsi" w:hAnsiTheme="minorHAnsi"/>
        </w:rPr>
      </w:pPr>
      <w:r w:rsidRPr="001C5F6A">
        <w:rPr>
          <w:rFonts w:asciiTheme="minorHAnsi" w:hAnsiTheme="minorHAnsi"/>
        </w:rPr>
        <w:t>teren projektowany będzie obniżony lub podwyższony w stosunku do terenu istniejącego, w sposób pozwalający na zastosowanie rozwiązań technicznych, umożliwiających pozostawienie drzewa na stałe w terenie,</w:t>
      </w:r>
    </w:p>
    <w:p w:rsidR="008545BB" w:rsidRPr="001C5F6A" w:rsidRDefault="008545BB" w:rsidP="008545BB">
      <w:pPr>
        <w:rPr>
          <w:rFonts w:asciiTheme="minorHAnsi" w:hAnsiTheme="minorHAnsi"/>
        </w:rPr>
      </w:pPr>
      <w:r w:rsidRPr="001C5F6A">
        <w:rPr>
          <w:rFonts w:asciiTheme="minorHAnsi" w:hAnsiTheme="minorHAnsi"/>
        </w:rPr>
        <w:t>drzewo nie ograniczy widoczności poziomej i pionowej na drodze,</w:t>
      </w:r>
    </w:p>
    <w:p w:rsidR="008545BB" w:rsidRPr="001C5F6A" w:rsidRDefault="008545BB" w:rsidP="008545BB">
      <w:pPr>
        <w:rPr>
          <w:rFonts w:asciiTheme="minorHAnsi" w:hAnsiTheme="minorHAnsi"/>
        </w:rPr>
      </w:pPr>
      <w:r w:rsidRPr="001C5F6A">
        <w:rPr>
          <w:rFonts w:asciiTheme="minorHAnsi" w:hAnsiTheme="minorHAnsi"/>
        </w:rPr>
        <w:t>system korzeniowy drzewa nie będzie zagrażał niszczeniem konstrukcji jezdni drogi.</w:t>
      </w:r>
    </w:p>
    <w:p w:rsidR="008545BB" w:rsidRPr="001C5F6A" w:rsidRDefault="008545BB" w:rsidP="008545BB">
      <w:pPr>
        <w:rPr>
          <w:rFonts w:asciiTheme="minorHAnsi" w:hAnsiTheme="minorHAnsi"/>
        </w:rPr>
      </w:pPr>
      <w:r w:rsidRPr="001C5F6A">
        <w:rPr>
          <w:rFonts w:asciiTheme="minorHAnsi" w:hAnsiTheme="minorHAnsi"/>
        </w:rPr>
        <w:t>Drzewa, które przewidziano do pozostawienia, w czasie wykonywania robót ziemnych mogą być poddane niekorzystnym oddziaływaniom, np.:</w:t>
      </w:r>
    </w:p>
    <w:p w:rsidR="008545BB" w:rsidRPr="001C5F6A" w:rsidRDefault="008545BB" w:rsidP="008545BB">
      <w:pPr>
        <w:rPr>
          <w:rFonts w:asciiTheme="minorHAnsi" w:hAnsiTheme="minorHAnsi"/>
        </w:rPr>
      </w:pPr>
      <w:r w:rsidRPr="001C5F6A">
        <w:rPr>
          <w:rFonts w:asciiTheme="minorHAnsi" w:hAnsiTheme="minorHAnsi"/>
        </w:rPr>
        <w:t>w wykopach mogą nastąpić podcięcia korzeni oraz pogorszenie nawodnienia bryły korzeniowej,</w:t>
      </w:r>
    </w:p>
    <w:p w:rsidR="008545BB" w:rsidRPr="001C5F6A" w:rsidRDefault="008545BB" w:rsidP="008545BB">
      <w:pPr>
        <w:rPr>
          <w:rFonts w:asciiTheme="minorHAnsi" w:hAnsiTheme="minorHAnsi"/>
        </w:rPr>
      </w:pPr>
      <w:r w:rsidRPr="001C5F6A">
        <w:rPr>
          <w:rFonts w:asciiTheme="minorHAnsi" w:hAnsiTheme="minorHAnsi"/>
        </w:rPr>
        <w:t>w nasypach, zasypanie dolnej części drzewa może spowodować gnicie pnia oraz utrudnienie dostępu powietrza i wody do korzeni.</w:t>
      </w:r>
    </w:p>
    <w:p w:rsidR="008545BB" w:rsidRPr="001C5F6A" w:rsidRDefault="008545BB" w:rsidP="008545BB">
      <w:pPr>
        <w:rPr>
          <w:rFonts w:asciiTheme="minorHAnsi" w:hAnsiTheme="minorHAnsi"/>
        </w:rPr>
      </w:pPr>
      <w:r w:rsidRPr="001C5F6A">
        <w:rPr>
          <w:rFonts w:asciiTheme="minorHAnsi" w:hAnsiTheme="minorHAnsi"/>
        </w:rPr>
        <w:t>Decyzja o pozostawieniu drzewa zależy od stanu zdrowia drzewa i sposobu pogorszenia tego stanu w zależności od wysokości nasypu, gatunku drzewa, głębokości bryły korzeniowej i warunków nawodnienia. Drzewa z głębokim systemem korzeniowym, takie jak dąb, są bardziej odporne na zasypanie dolnej części pnia niż drzewa z powierzchniowym systemem korzeniowym, takie jak wiązy, topole, wierzby, akacje. Rodzaj gruntu wpływa również na możliwość pogorszenia stanu drzewa. Ciężka gleba gliniasta może pogarszać stan korzeni nawet przy kilkucentymetrowej nadsypce terenu, natomiast grunty piaszczyste są mniej szkodliwe przy grubszej warstwie. Zasypka żwirem lub kruszywem kamiennym nie jest zbyt szkodliwa, gdyż umożliwia łatwiejsze napowietrzenie i nawodnienie korzeni, a ułożenie warstwy 5÷10 cm żwiru zwykle powoduje wypuszczenie nowych korzeni w tę warstwę. Również obniżenie terenu o 10÷15 cm wokół drzewa spowoduje jego szybkie dostosowanie się do nowych warunków.</w:t>
      </w:r>
    </w:p>
    <w:p w:rsidR="008545BB" w:rsidRPr="001C5F6A" w:rsidRDefault="008545BB" w:rsidP="008545BB">
      <w:pPr>
        <w:rPr>
          <w:rFonts w:asciiTheme="minorHAnsi" w:hAnsiTheme="minorHAnsi"/>
        </w:rPr>
      </w:pPr>
      <w:r w:rsidRPr="001C5F6A">
        <w:rPr>
          <w:rFonts w:asciiTheme="minorHAnsi" w:hAnsiTheme="minorHAnsi"/>
        </w:rPr>
        <w:t xml:space="preserve">Przy głębszych wykopach (ponad </w:t>
      </w:r>
      <w:smartTag w:uri="urn:schemas-microsoft-com:office:smarttags" w:element="metricconverter">
        <w:smartTagPr>
          <w:attr w:name="ProductID" w:val="0,5 m"/>
        </w:smartTagPr>
        <w:r w:rsidRPr="001C5F6A">
          <w:rPr>
            <w:rFonts w:asciiTheme="minorHAnsi" w:hAnsiTheme="minorHAnsi"/>
          </w:rPr>
          <w:t>0,5 m</w:t>
        </w:r>
      </w:smartTag>
      <w:r w:rsidRPr="001C5F6A">
        <w:rPr>
          <w:rFonts w:asciiTheme="minorHAnsi" w:hAnsiTheme="minorHAnsi"/>
        </w:rPr>
        <w:t>), wymagane są specjalne konstrukcje chroniące drzewo, zwykle w postaci studni szczelnie chroniących ucieczkę wody lub muru kamiennego układanego na sucho. Przy nasypach z gruntu zwięzłego wokół drzewa z rozwiniętą bryłą korzeniową, wykonuje się wokół pnia okrągłą studnię na wysokość nasypu. Odległość od ściany studni do pnia średnicy 8-</w:t>
      </w:r>
      <w:smartTag w:uri="urn:schemas-microsoft-com:office:smarttags" w:element="metricconverter">
        <w:smartTagPr>
          <w:attr w:name="ProductID" w:val="10 cm"/>
        </w:smartTagPr>
        <w:r w:rsidRPr="001C5F6A">
          <w:rPr>
            <w:rFonts w:asciiTheme="minorHAnsi" w:hAnsiTheme="minorHAnsi"/>
          </w:rPr>
          <w:t>10 cm</w:t>
        </w:r>
      </w:smartTag>
      <w:r w:rsidRPr="001C5F6A">
        <w:rPr>
          <w:rFonts w:asciiTheme="minorHAnsi" w:hAnsiTheme="minorHAnsi"/>
        </w:rPr>
        <w:t xml:space="preserve"> powinno wynosić co najmniej </w:t>
      </w:r>
      <w:smartTag w:uri="urn:schemas-microsoft-com:office:smarttags" w:element="metricconverter">
        <w:smartTagPr>
          <w:attr w:name="ProductID" w:val="50 cm"/>
        </w:smartTagPr>
        <w:r w:rsidRPr="001C5F6A">
          <w:rPr>
            <w:rFonts w:asciiTheme="minorHAnsi" w:hAnsiTheme="minorHAnsi"/>
          </w:rPr>
          <w:t>50 cm</w:t>
        </w:r>
      </w:smartTag>
      <w:r w:rsidRPr="001C5F6A">
        <w:rPr>
          <w:rFonts w:asciiTheme="minorHAnsi" w:hAnsiTheme="minorHAnsi"/>
        </w:rPr>
        <w:t xml:space="preserve">. Na terenach zamieszkałych wnętrze studni pozostawia się puste, a wierzch studni przykrywa się metalowym rusztem. Poza terenami zamieszkałymi, studnię wypełnia się piaskiem i ew. węglem drzewnym w stosunku 1:1, a na wierzchu układa się warstwę 10÷12 cm żwiru lub kruszywa, </w:t>
      </w:r>
      <w:r w:rsidRPr="001C5F6A">
        <w:rPr>
          <w:rFonts w:asciiTheme="minorHAnsi" w:hAnsiTheme="minorHAnsi"/>
        </w:rPr>
        <w:lastRenderedPageBreak/>
        <w:t>tak aby warstwa ta zrównana była z poziomem otaczającego gruntu. W zależności od potrzeb można zastosować odwodnienie studni sączkami żwirowymi lub ceramicznymi i z tworzyw sztucznych.</w:t>
      </w:r>
    </w:p>
    <w:p w:rsidR="008545BB" w:rsidRPr="001C5F6A" w:rsidRDefault="008545BB" w:rsidP="008545BB">
      <w:pPr>
        <w:rPr>
          <w:rFonts w:asciiTheme="minorHAnsi" w:hAnsiTheme="minorHAnsi"/>
        </w:rPr>
      </w:pPr>
      <w:r w:rsidRPr="001C5F6A">
        <w:rPr>
          <w:rFonts w:asciiTheme="minorHAnsi" w:hAnsiTheme="minorHAnsi"/>
        </w:rPr>
        <w:t xml:space="preserve">Pojedyncze cenne drzewa można zabezpieczyć przy większej różnicy obniżonego terenu, np. przy wysokości 1 ÷ </w:t>
      </w:r>
      <w:smartTag w:uri="urn:schemas-microsoft-com:office:smarttags" w:element="metricconverter">
        <w:smartTagPr>
          <w:attr w:name="ProductID" w:val="1,2 m"/>
        </w:smartTagPr>
        <w:r w:rsidRPr="001C5F6A">
          <w:rPr>
            <w:rFonts w:asciiTheme="minorHAnsi" w:hAnsiTheme="minorHAnsi"/>
          </w:rPr>
          <w:t>1,2 m</w:t>
        </w:r>
      </w:smartTag>
      <w:r w:rsidRPr="001C5F6A">
        <w:rPr>
          <w:rFonts w:asciiTheme="minorHAnsi" w:hAnsiTheme="minorHAnsi"/>
        </w:rPr>
        <w:t xml:space="preserve"> usypać ścięty stożek gruntowy ze skarpami 1:1. Jeśli teren zostanie obniżony na głębokość większą od </w:t>
      </w:r>
      <w:smartTag w:uri="urn:schemas-microsoft-com:office:smarttags" w:element="metricconverter">
        <w:smartTagPr>
          <w:attr w:name="ProductID" w:val="1 m"/>
        </w:smartTagPr>
        <w:r w:rsidRPr="001C5F6A">
          <w:rPr>
            <w:rFonts w:asciiTheme="minorHAnsi" w:hAnsiTheme="minorHAnsi"/>
          </w:rPr>
          <w:t>1 m</w:t>
        </w:r>
      </w:smartTag>
      <w:r w:rsidRPr="001C5F6A">
        <w:rPr>
          <w:rFonts w:asciiTheme="minorHAnsi" w:hAnsiTheme="minorHAnsi"/>
        </w:rPr>
        <w:t>, wokół drzewa wykonuje się ściankę oporową o kształcie okrągłym lub prostokątnym z kamienia, klinkieru lub betonu, z otworami. Na terenie miejsc wypoczynkowych ściankę wokół drzewa można wykorzystać jako ławkę, odpowiednio ją dostosowując do odpoczynku podróżnych (rys. 2c).</w:t>
      </w:r>
    </w:p>
    <w:p w:rsidR="008545BB" w:rsidRPr="001C5F6A" w:rsidRDefault="008545BB" w:rsidP="008545BB">
      <w:pPr>
        <w:rPr>
          <w:rFonts w:asciiTheme="minorHAnsi" w:hAnsiTheme="minorHAnsi"/>
        </w:rPr>
      </w:pPr>
    </w:p>
    <w:p w:rsidR="008545BB" w:rsidRPr="001C5F6A" w:rsidRDefault="008545BB" w:rsidP="008545BB">
      <w:pPr>
        <w:rPr>
          <w:rFonts w:asciiTheme="minorHAnsi" w:hAnsiTheme="minorHAnsi"/>
        </w:rPr>
      </w:pPr>
      <w:r w:rsidRPr="001C5F6A">
        <w:rPr>
          <w:rFonts w:asciiTheme="minorHAnsi" w:hAnsiTheme="minorHAnsi"/>
        </w:rPr>
        <w:t>ZAŁĄCZNIK 3</w:t>
      </w:r>
    </w:p>
    <w:p w:rsidR="008545BB" w:rsidRPr="001C5F6A" w:rsidRDefault="008545BB" w:rsidP="008545BB">
      <w:pPr>
        <w:rPr>
          <w:rFonts w:asciiTheme="minorHAnsi" w:hAnsiTheme="minorHAnsi"/>
        </w:rPr>
      </w:pPr>
      <w:r w:rsidRPr="001C5F6A">
        <w:rPr>
          <w:rFonts w:asciiTheme="minorHAnsi" w:hAnsiTheme="minorHAnsi"/>
        </w:rPr>
        <w:t>RYSUNKI</w:t>
      </w:r>
    </w:p>
    <w:p w:rsidR="008545BB" w:rsidRPr="001C5F6A" w:rsidRDefault="008545BB" w:rsidP="008545BB">
      <w:pPr>
        <w:rPr>
          <w:rFonts w:asciiTheme="minorHAnsi" w:hAnsiTheme="minorHAnsi"/>
        </w:rPr>
      </w:pPr>
    </w:p>
    <w:p w:rsidR="008545BB" w:rsidRPr="001C5F6A" w:rsidRDefault="008545BB" w:rsidP="008545BB">
      <w:pPr>
        <w:rPr>
          <w:rFonts w:asciiTheme="minorHAnsi" w:hAnsiTheme="minorHAnsi"/>
        </w:rPr>
      </w:pPr>
      <w:r w:rsidRPr="001C5F6A">
        <w:rPr>
          <w:rFonts w:asciiTheme="minorHAnsi" w:hAnsiTheme="minorHAnsi"/>
        </w:rPr>
        <w:t>Rys. 1.</w:t>
      </w:r>
      <w:r w:rsidRPr="001C5F6A">
        <w:rPr>
          <w:rFonts w:asciiTheme="minorHAnsi" w:hAnsiTheme="minorHAnsi"/>
        </w:rPr>
        <w:tab/>
        <w:t xml:space="preserve">Wykonywanie wykopów instalacyjnych w obrębie strefy korzeniowej drzew </w:t>
      </w:r>
      <w:r w:rsidRPr="001C5F6A">
        <w:rPr>
          <w:rFonts w:asciiTheme="minorHAnsi" w:hAnsiTheme="minorHAnsi"/>
        </w:rPr>
        <w:br/>
      </w:r>
      <w:r>
        <w:rPr>
          <w:rFonts w:asciiTheme="minorHAnsi" w:hAnsiTheme="minorHAnsi"/>
          <w:noProof/>
        </w:rPr>
        <w:drawing>
          <wp:inline distT="0" distB="0" distL="0" distR="0">
            <wp:extent cx="2688590" cy="2074545"/>
            <wp:effectExtent l="19050" t="0" r="0" b="0"/>
            <wp:docPr id="11" name="Obraz 11" descr="r1ako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descr="r1akor"/>
                    <pic:cNvPicPr>
                      <a:picLocks noChangeAspect="1" noChangeArrowheads="1"/>
                    </pic:cNvPicPr>
                  </pic:nvPicPr>
                  <pic:blipFill>
                    <a:blip r:embed="rId10" cstate="print"/>
                    <a:srcRect/>
                    <a:stretch>
                      <a:fillRect/>
                    </a:stretch>
                  </pic:blipFill>
                  <pic:spPr bwMode="auto">
                    <a:xfrm>
                      <a:off x="0" y="0"/>
                      <a:ext cx="2688590" cy="2074545"/>
                    </a:xfrm>
                    <a:prstGeom prst="rect">
                      <a:avLst/>
                    </a:prstGeom>
                    <a:noFill/>
                    <a:ln w="9525">
                      <a:noFill/>
                      <a:miter lim="800000"/>
                      <a:headEnd/>
                      <a:tailEnd/>
                    </a:ln>
                  </pic:spPr>
                </pic:pic>
              </a:graphicData>
            </a:graphic>
          </wp:inline>
        </w:drawing>
      </w:r>
    </w:p>
    <w:p w:rsidR="008545BB" w:rsidRPr="001C5F6A" w:rsidRDefault="008545BB" w:rsidP="008545BB">
      <w:pPr>
        <w:rPr>
          <w:rFonts w:asciiTheme="minorHAnsi" w:hAnsiTheme="minorHAnsi"/>
        </w:rPr>
      </w:pPr>
      <w:r>
        <w:rPr>
          <w:rFonts w:asciiTheme="minorHAnsi" w:hAnsiTheme="minorHAnsi"/>
          <w:noProof/>
        </w:rPr>
        <w:drawing>
          <wp:inline distT="0" distB="0" distL="0" distR="0">
            <wp:extent cx="1323975" cy="1405890"/>
            <wp:effectExtent l="19050" t="0" r="9525" b="0"/>
            <wp:docPr id="12" name="Obraz 12" descr="r1bko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descr="r1bkor"/>
                    <pic:cNvPicPr>
                      <a:picLocks noChangeAspect="1" noChangeArrowheads="1"/>
                    </pic:cNvPicPr>
                  </pic:nvPicPr>
                  <pic:blipFill>
                    <a:blip r:embed="rId11" cstate="print"/>
                    <a:srcRect/>
                    <a:stretch>
                      <a:fillRect/>
                    </a:stretch>
                  </pic:blipFill>
                  <pic:spPr bwMode="auto">
                    <a:xfrm>
                      <a:off x="0" y="0"/>
                      <a:ext cx="1323975" cy="1405890"/>
                    </a:xfrm>
                    <a:prstGeom prst="rect">
                      <a:avLst/>
                    </a:prstGeom>
                    <a:noFill/>
                    <a:ln w="9525">
                      <a:noFill/>
                      <a:miter lim="800000"/>
                      <a:headEnd/>
                      <a:tailEnd/>
                    </a:ln>
                  </pic:spPr>
                </pic:pic>
              </a:graphicData>
            </a:graphic>
          </wp:inline>
        </w:drawing>
      </w:r>
    </w:p>
    <w:p w:rsidR="008545BB" w:rsidRPr="001C5F6A" w:rsidRDefault="008545BB" w:rsidP="008545BB">
      <w:pPr>
        <w:rPr>
          <w:rFonts w:asciiTheme="minorHAnsi" w:hAnsiTheme="minorHAnsi"/>
        </w:rPr>
      </w:pPr>
    </w:p>
    <w:p w:rsidR="008545BB" w:rsidRPr="001C5F6A" w:rsidRDefault="008545BB" w:rsidP="008545BB">
      <w:pPr>
        <w:rPr>
          <w:rFonts w:asciiTheme="minorHAnsi" w:hAnsiTheme="minorHAnsi"/>
        </w:rPr>
      </w:pPr>
      <w:r>
        <w:rPr>
          <w:rFonts w:asciiTheme="minorHAnsi" w:hAnsiTheme="minorHAnsi"/>
          <w:noProof/>
        </w:rPr>
        <w:drawing>
          <wp:inline distT="0" distB="0" distL="0" distR="0">
            <wp:extent cx="2620645" cy="1473835"/>
            <wp:effectExtent l="19050" t="0" r="8255" b="0"/>
            <wp:docPr id="13" name="Obraz 13" descr="r1cko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descr="r1ckor"/>
                    <pic:cNvPicPr>
                      <a:picLocks noChangeAspect="1" noChangeArrowheads="1"/>
                    </pic:cNvPicPr>
                  </pic:nvPicPr>
                  <pic:blipFill>
                    <a:blip r:embed="rId12" cstate="print"/>
                    <a:srcRect/>
                    <a:stretch>
                      <a:fillRect/>
                    </a:stretch>
                  </pic:blipFill>
                  <pic:spPr bwMode="auto">
                    <a:xfrm>
                      <a:off x="0" y="0"/>
                      <a:ext cx="2620645" cy="1473835"/>
                    </a:xfrm>
                    <a:prstGeom prst="rect">
                      <a:avLst/>
                    </a:prstGeom>
                    <a:noFill/>
                    <a:ln w="9525">
                      <a:noFill/>
                      <a:miter lim="800000"/>
                      <a:headEnd/>
                      <a:tailEnd/>
                    </a:ln>
                  </pic:spPr>
                </pic:pic>
              </a:graphicData>
            </a:graphic>
          </wp:inline>
        </w:drawing>
      </w:r>
    </w:p>
    <w:p w:rsidR="008545BB" w:rsidRPr="001C5F6A" w:rsidRDefault="008545BB" w:rsidP="008545BB">
      <w:pPr>
        <w:rPr>
          <w:rFonts w:asciiTheme="minorHAnsi" w:hAnsiTheme="minorHAnsi"/>
        </w:rPr>
      </w:pPr>
    </w:p>
    <w:p w:rsidR="008545BB" w:rsidRPr="001C5F6A" w:rsidRDefault="008545BB" w:rsidP="008545BB">
      <w:pPr>
        <w:rPr>
          <w:rFonts w:asciiTheme="minorHAnsi" w:hAnsiTheme="minorHAnsi"/>
        </w:rPr>
      </w:pPr>
      <w:r w:rsidRPr="001C5F6A">
        <w:rPr>
          <w:rFonts w:asciiTheme="minorHAnsi" w:hAnsiTheme="minorHAnsi"/>
        </w:rPr>
        <w:t>a) przekrój ogólny, b) szczegół wykopu, c) wstępna faza zabezpieczenia, wykonywana najlepiej rok przed właściwym wykopem</w:t>
      </w:r>
    </w:p>
    <w:p w:rsidR="008545BB" w:rsidRPr="001C5F6A" w:rsidRDefault="008545BB" w:rsidP="008545BB">
      <w:pPr>
        <w:rPr>
          <w:rFonts w:asciiTheme="minorHAnsi" w:hAnsiTheme="minorHAnsi"/>
        </w:rPr>
      </w:pPr>
    </w:p>
    <w:p w:rsidR="008545BB" w:rsidRDefault="008545BB" w:rsidP="008545BB">
      <w:pPr>
        <w:rPr>
          <w:rFonts w:asciiTheme="minorHAnsi" w:hAnsiTheme="minorHAnsi"/>
        </w:rPr>
      </w:pPr>
    </w:p>
    <w:p w:rsidR="008545BB" w:rsidRDefault="008545BB" w:rsidP="008545BB">
      <w:pPr>
        <w:rPr>
          <w:rFonts w:asciiTheme="minorHAnsi" w:hAnsiTheme="minorHAnsi"/>
        </w:rPr>
      </w:pPr>
    </w:p>
    <w:p w:rsidR="008545BB" w:rsidRDefault="008545BB" w:rsidP="008545BB">
      <w:pPr>
        <w:rPr>
          <w:rFonts w:asciiTheme="minorHAnsi" w:hAnsiTheme="minorHAnsi"/>
        </w:rPr>
      </w:pPr>
    </w:p>
    <w:p w:rsidR="008545BB" w:rsidRDefault="008545BB" w:rsidP="008545BB">
      <w:pPr>
        <w:rPr>
          <w:rFonts w:asciiTheme="minorHAnsi" w:hAnsiTheme="minorHAnsi"/>
        </w:rPr>
      </w:pPr>
    </w:p>
    <w:p w:rsidR="008545BB" w:rsidRDefault="008545BB" w:rsidP="008545BB">
      <w:pPr>
        <w:rPr>
          <w:rFonts w:asciiTheme="minorHAnsi" w:hAnsiTheme="minorHAnsi"/>
        </w:rPr>
      </w:pPr>
    </w:p>
    <w:p w:rsidR="008545BB" w:rsidRDefault="008545BB" w:rsidP="008545BB">
      <w:pPr>
        <w:rPr>
          <w:rFonts w:asciiTheme="minorHAnsi" w:hAnsiTheme="minorHAnsi"/>
        </w:rPr>
      </w:pPr>
    </w:p>
    <w:p w:rsidR="008545BB" w:rsidRDefault="008545BB" w:rsidP="008545BB">
      <w:pPr>
        <w:rPr>
          <w:rFonts w:asciiTheme="minorHAnsi" w:hAnsiTheme="minorHAnsi"/>
        </w:rPr>
      </w:pPr>
    </w:p>
    <w:p w:rsidR="008545BB" w:rsidRDefault="008545BB" w:rsidP="008545BB">
      <w:pPr>
        <w:rPr>
          <w:rFonts w:asciiTheme="minorHAnsi" w:hAnsiTheme="minorHAnsi"/>
        </w:rPr>
      </w:pPr>
    </w:p>
    <w:p w:rsidR="008545BB" w:rsidRPr="001C5F6A" w:rsidRDefault="008545BB" w:rsidP="008545BB">
      <w:pPr>
        <w:rPr>
          <w:rFonts w:asciiTheme="minorHAnsi" w:hAnsiTheme="minorHAnsi"/>
        </w:rPr>
      </w:pPr>
    </w:p>
    <w:p w:rsidR="008545BB" w:rsidRPr="001C5F6A" w:rsidRDefault="008545BB" w:rsidP="008545BB">
      <w:pPr>
        <w:rPr>
          <w:rFonts w:asciiTheme="minorHAnsi" w:hAnsiTheme="minorHAnsi"/>
        </w:rPr>
      </w:pPr>
      <w:r w:rsidRPr="001C5F6A">
        <w:rPr>
          <w:rFonts w:asciiTheme="minorHAnsi" w:hAnsiTheme="minorHAnsi"/>
        </w:rPr>
        <w:lastRenderedPageBreak/>
        <w:t>Rys. 2.</w:t>
      </w:r>
      <w:r w:rsidRPr="001C5F6A">
        <w:rPr>
          <w:rFonts w:asciiTheme="minorHAnsi" w:hAnsiTheme="minorHAnsi"/>
        </w:rPr>
        <w:tab/>
        <w:t xml:space="preserve">Zabezpieczenie drzew przy obniżeniu terenu, po wykonaniu wykopów </w:t>
      </w:r>
      <w:r w:rsidRPr="001C5F6A">
        <w:rPr>
          <w:rFonts w:asciiTheme="minorHAnsi" w:hAnsiTheme="minorHAnsi"/>
        </w:rPr>
        <w:br/>
        <w:t>(wg N.P. Ornatski: Drogi i ochrona przyrody, Transport 1982)</w:t>
      </w:r>
    </w:p>
    <w:p w:rsidR="008545BB" w:rsidRPr="001C5F6A" w:rsidRDefault="008545BB" w:rsidP="008545BB">
      <w:pPr>
        <w:rPr>
          <w:rFonts w:asciiTheme="minorHAnsi" w:hAnsiTheme="minorHAnsi"/>
        </w:rPr>
      </w:pPr>
    </w:p>
    <w:p w:rsidR="008545BB" w:rsidRPr="001C5F6A" w:rsidRDefault="008545BB" w:rsidP="008545BB">
      <w:pPr>
        <w:rPr>
          <w:rFonts w:asciiTheme="minorHAnsi" w:hAnsiTheme="minorHAnsi"/>
        </w:rPr>
      </w:pPr>
      <w:r>
        <w:rPr>
          <w:rFonts w:asciiTheme="minorHAnsi" w:hAnsiTheme="minorHAnsi"/>
          <w:noProof/>
        </w:rPr>
        <w:drawing>
          <wp:inline distT="0" distB="0" distL="0" distR="0">
            <wp:extent cx="4367530" cy="1391920"/>
            <wp:effectExtent l="19050" t="0" r="0" b="0"/>
            <wp:docPr id="14" name="Obraz 14" descr="r2ko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descr="r2kor"/>
                    <pic:cNvPicPr>
                      <a:picLocks noChangeAspect="1" noChangeArrowheads="1"/>
                    </pic:cNvPicPr>
                  </pic:nvPicPr>
                  <pic:blipFill>
                    <a:blip r:embed="rId13" cstate="print"/>
                    <a:srcRect/>
                    <a:stretch>
                      <a:fillRect/>
                    </a:stretch>
                  </pic:blipFill>
                  <pic:spPr bwMode="auto">
                    <a:xfrm>
                      <a:off x="0" y="0"/>
                      <a:ext cx="4367530" cy="1391920"/>
                    </a:xfrm>
                    <a:prstGeom prst="rect">
                      <a:avLst/>
                    </a:prstGeom>
                    <a:noFill/>
                    <a:ln w="9525">
                      <a:noFill/>
                      <a:miter lim="800000"/>
                      <a:headEnd/>
                      <a:tailEnd/>
                    </a:ln>
                  </pic:spPr>
                </pic:pic>
              </a:graphicData>
            </a:graphic>
          </wp:inline>
        </w:drawing>
      </w:r>
    </w:p>
    <w:p w:rsidR="008545BB" w:rsidRPr="001C5F6A" w:rsidRDefault="008545BB" w:rsidP="008545BB">
      <w:pPr>
        <w:rPr>
          <w:rFonts w:asciiTheme="minorHAnsi" w:hAnsiTheme="minorHAnsi"/>
        </w:rPr>
      </w:pPr>
      <w:r w:rsidRPr="001C5F6A">
        <w:rPr>
          <w:rFonts w:asciiTheme="minorHAnsi" w:hAnsiTheme="minorHAnsi"/>
        </w:rPr>
        <w:t>a) pozostawiony ścięty stożek z gruntu, ochraniający korzenie drzewa</w:t>
      </w:r>
    </w:p>
    <w:p w:rsidR="008545BB" w:rsidRPr="001C5F6A" w:rsidRDefault="008545BB" w:rsidP="008545BB">
      <w:pPr>
        <w:rPr>
          <w:rFonts w:asciiTheme="minorHAnsi" w:hAnsiTheme="minorHAnsi"/>
        </w:rPr>
      </w:pPr>
      <w:r w:rsidRPr="001C5F6A">
        <w:rPr>
          <w:rFonts w:asciiTheme="minorHAnsi" w:hAnsiTheme="minorHAnsi"/>
        </w:rPr>
        <w:t>b) ścianka podporowa z kamienia wokół drzewa pozostawionego na skarpie</w:t>
      </w:r>
    </w:p>
    <w:p w:rsidR="008545BB" w:rsidRPr="001C5F6A" w:rsidRDefault="008545BB" w:rsidP="008545BB">
      <w:pPr>
        <w:rPr>
          <w:rFonts w:asciiTheme="minorHAnsi" w:hAnsiTheme="minorHAnsi"/>
        </w:rPr>
      </w:pPr>
      <w:r w:rsidRPr="001C5F6A">
        <w:rPr>
          <w:rFonts w:asciiTheme="minorHAnsi" w:hAnsiTheme="minorHAnsi"/>
        </w:rPr>
        <w:t>c) ścianka oporowa dostosowana do odpoczynku podróżnych przez wykonanie ławki na jej górnej powierzchni</w:t>
      </w:r>
    </w:p>
    <w:p w:rsidR="008545BB" w:rsidRPr="001C5F6A" w:rsidRDefault="008545BB" w:rsidP="008545BB">
      <w:pPr>
        <w:rPr>
          <w:rFonts w:asciiTheme="minorHAnsi" w:hAnsiTheme="minorHAnsi"/>
        </w:rPr>
      </w:pPr>
    </w:p>
    <w:p w:rsidR="008545BB" w:rsidRPr="001C5F6A" w:rsidRDefault="008545BB" w:rsidP="008545BB">
      <w:pPr>
        <w:rPr>
          <w:rFonts w:asciiTheme="minorHAnsi" w:hAnsiTheme="minorHAnsi"/>
        </w:rPr>
      </w:pPr>
    </w:p>
    <w:p w:rsidR="008545BB" w:rsidRPr="001C5F6A" w:rsidRDefault="008545BB" w:rsidP="008545BB">
      <w:pPr>
        <w:rPr>
          <w:rFonts w:asciiTheme="minorHAnsi" w:hAnsiTheme="minorHAnsi"/>
        </w:rPr>
      </w:pPr>
      <w:r w:rsidRPr="001C5F6A">
        <w:rPr>
          <w:rFonts w:asciiTheme="minorHAnsi" w:hAnsiTheme="minorHAnsi"/>
        </w:rPr>
        <w:t>Rys. 3.</w:t>
      </w:r>
      <w:r w:rsidRPr="001C5F6A">
        <w:rPr>
          <w:rFonts w:asciiTheme="minorHAnsi" w:hAnsiTheme="minorHAnsi"/>
        </w:rPr>
        <w:tab/>
        <w:t xml:space="preserve">Niecka o łagodnym pochyleniu, dostosowująca drzewo do otaczającego terenu podwyższonego o 0,2 ÷ </w:t>
      </w:r>
      <w:smartTag w:uri="urn:schemas-microsoft-com:office:smarttags" w:element="metricconverter">
        <w:smartTagPr>
          <w:attr w:name="ProductID" w:val="0,4 m"/>
        </w:smartTagPr>
        <w:r w:rsidRPr="001C5F6A">
          <w:rPr>
            <w:rFonts w:asciiTheme="minorHAnsi" w:hAnsiTheme="minorHAnsi"/>
          </w:rPr>
          <w:t>0,4 m</w:t>
        </w:r>
      </w:smartTag>
    </w:p>
    <w:p w:rsidR="008545BB" w:rsidRPr="001C5F6A" w:rsidRDefault="008545BB" w:rsidP="008545BB">
      <w:pPr>
        <w:rPr>
          <w:rFonts w:asciiTheme="minorHAnsi" w:hAnsiTheme="minorHAnsi"/>
        </w:rPr>
      </w:pPr>
    </w:p>
    <w:p w:rsidR="008545BB" w:rsidRPr="001C5F6A" w:rsidRDefault="008545BB" w:rsidP="008545BB">
      <w:pPr>
        <w:rPr>
          <w:rFonts w:asciiTheme="minorHAnsi" w:hAnsiTheme="minorHAnsi"/>
        </w:rPr>
      </w:pPr>
      <w:r>
        <w:rPr>
          <w:rFonts w:asciiTheme="minorHAnsi" w:hAnsiTheme="minorHAnsi"/>
          <w:noProof/>
        </w:rPr>
        <w:drawing>
          <wp:inline distT="0" distB="0" distL="0" distR="0">
            <wp:extent cx="2988945" cy="1337310"/>
            <wp:effectExtent l="19050" t="0" r="1905" b="0"/>
            <wp:docPr id="15" name="Obraz 15" descr="r3ko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 descr="r3kor"/>
                    <pic:cNvPicPr>
                      <a:picLocks noChangeAspect="1" noChangeArrowheads="1"/>
                    </pic:cNvPicPr>
                  </pic:nvPicPr>
                  <pic:blipFill>
                    <a:blip r:embed="rId14" cstate="print"/>
                    <a:srcRect/>
                    <a:stretch>
                      <a:fillRect/>
                    </a:stretch>
                  </pic:blipFill>
                  <pic:spPr bwMode="auto">
                    <a:xfrm>
                      <a:off x="0" y="0"/>
                      <a:ext cx="2988945" cy="1337310"/>
                    </a:xfrm>
                    <a:prstGeom prst="rect">
                      <a:avLst/>
                    </a:prstGeom>
                    <a:noFill/>
                    <a:ln w="9525">
                      <a:noFill/>
                      <a:miter lim="800000"/>
                      <a:headEnd/>
                      <a:tailEnd/>
                    </a:ln>
                  </pic:spPr>
                </pic:pic>
              </a:graphicData>
            </a:graphic>
          </wp:inline>
        </w:drawing>
      </w:r>
    </w:p>
    <w:p w:rsidR="008545BB" w:rsidRPr="001C5F6A" w:rsidRDefault="008545BB" w:rsidP="008545BB">
      <w:pPr>
        <w:rPr>
          <w:rFonts w:asciiTheme="minorHAnsi" w:hAnsiTheme="minorHAnsi"/>
        </w:rPr>
      </w:pPr>
    </w:p>
    <w:p w:rsidR="008545BB" w:rsidRPr="001C5F6A" w:rsidRDefault="008545BB" w:rsidP="008545BB">
      <w:pPr>
        <w:rPr>
          <w:rFonts w:asciiTheme="minorHAnsi" w:hAnsiTheme="minorHAnsi"/>
        </w:rPr>
      </w:pPr>
    </w:p>
    <w:p w:rsidR="008545BB" w:rsidRPr="001C5F6A" w:rsidRDefault="008545BB" w:rsidP="008545BB">
      <w:pPr>
        <w:rPr>
          <w:rFonts w:asciiTheme="minorHAnsi" w:hAnsiTheme="minorHAnsi"/>
        </w:rPr>
      </w:pPr>
      <w:r w:rsidRPr="001C5F6A">
        <w:rPr>
          <w:rFonts w:asciiTheme="minorHAnsi" w:hAnsiTheme="minorHAnsi"/>
        </w:rPr>
        <w:t>Rys. 4.</w:t>
      </w:r>
      <w:r w:rsidRPr="001C5F6A">
        <w:rPr>
          <w:rFonts w:asciiTheme="minorHAnsi" w:hAnsiTheme="minorHAnsi"/>
        </w:rPr>
        <w:tab/>
        <w:t xml:space="preserve">Pień drzewa obsypany na wysokość 0,2 ÷ </w:t>
      </w:r>
      <w:smartTag w:uri="urn:schemas-microsoft-com:office:smarttags" w:element="metricconverter">
        <w:smartTagPr>
          <w:attr w:name="ProductID" w:val="0,5 m"/>
        </w:smartTagPr>
        <w:r w:rsidRPr="001C5F6A">
          <w:rPr>
            <w:rFonts w:asciiTheme="minorHAnsi" w:hAnsiTheme="minorHAnsi"/>
          </w:rPr>
          <w:t>0,5 m</w:t>
        </w:r>
      </w:smartTag>
      <w:r w:rsidRPr="001C5F6A">
        <w:rPr>
          <w:rFonts w:asciiTheme="minorHAnsi" w:hAnsiTheme="minorHAnsi"/>
        </w:rPr>
        <w:t xml:space="preserve"> ze specjalnymi napowietrzającymi warstwami żwirowymi</w:t>
      </w:r>
    </w:p>
    <w:p w:rsidR="008545BB" w:rsidRPr="001C5F6A" w:rsidRDefault="008545BB" w:rsidP="008545BB">
      <w:pPr>
        <w:rPr>
          <w:rFonts w:asciiTheme="minorHAnsi" w:hAnsiTheme="minorHAnsi"/>
        </w:rPr>
      </w:pPr>
    </w:p>
    <w:p w:rsidR="008545BB" w:rsidRPr="001C5F6A" w:rsidRDefault="008545BB" w:rsidP="008545BB">
      <w:pPr>
        <w:rPr>
          <w:rFonts w:asciiTheme="minorHAnsi" w:hAnsiTheme="minorHAnsi"/>
        </w:rPr>
      </w:pPr>
      <w:r>
        <w:rPr>
          <w:rFonts w:asciiTheme="minorHAnsi" w:hAnsiTheme="minorHAnsi"/>
          <w:noProof/>
        </w:rPr>
        <w:drawing>
          <wp:inline distT="0" distB="0" distL="0" distR="0">
            <wp:extent cx="2974975" cy="1473835"/>
            <wp:effectExtent l="19050" t="0" r="0" b="0"/>
            <wp:docPr id="16" name="Obraz 16" descr="r4ko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 descr="r4kor"/>
                    <pic:cNvPicPr>
                      <a:picLocks noChangeAspect="1" noChangeArrowheads="1"/>
                    </pic:cNvPicPr>
                  </pic:nvPicPr>
                  <pic:blipFill>
                    <a:blip r:embed="rId15" cstate="print"/>
                    <a:srcRect/>
                    <a:stretch>
                      <a:fillRect/>
                    </a:stretch>
                  </pic:blipFill>
                  <pic:spPr bwMode="auto">
                    <a:xfrm>
                      <a:off x="0" y="0"/>
                      <a:ext cx="2974975" cy="1473835"/>
                    </a:xfrm>
                    <a:prstGeom prst="rect">
                      <a:avLst/>
                    </a:prstGeom>
                    <a:noFill/>
                    <a:ln w="9525">
                      <a:noFill/>
                      <a:miter lim="800000"/>
                      <a:headEnd/>
                      <a:tailEnd/>
                    </a:ln>
                  </pic:spPr>
                </pic:pic>
              </a:graphicData>
            </a:graphic>
          </wp:inline>
        </w:drawing>
      </w:r>
    </w:p>
    <w:p w:rsidR="008545BB" w:rsidRPr="001C5F6A" w:rsidRDefault="008545BB" w:rsidP="008545BB">
      <w:pPr>
        <w:rPr>
          <w:rFonts w:asciiTheme="minorHAnsi" w:hAnsiTheme="minorHAnsi"/>
        </w:rPr>
      </w:pPr>
    </w:p>
    <w:p w:rsidR="008545BB" w:rsidRDefault="008545BB" w:rsidP="008545BB">
      <w:pPr>
        <w:rPr>
          <w:rFonts w:asciiTheme="minorHAnsi" w:hAnsiTheme="minorHAnsi"/>
        </w:rPr>
      </w:pPr>
    </w:p>
    <w:p w:rsidR="008545BB" w:rsidRDefault="008545BB" w:rsidP="008545BB">
      <w:pPr>
        <w:rPr>
          <w:rFonts w:asciiTheme="minorHAnsi" w:hAnsiTheme="minorHAnsi"/>
        </w:rPr>
      </w:pPr>
    </w:p>
    <w:p w:rsidR="008545BB" w:rsidRDefault="008545BB" w:rsidP="008545BB">
      <w:pPr>
        <w:rPr>
          <w:rFonts w:asciiTheme="minorHAnsi" w:hAnsiTheme="minorHAnsi"/>
        </w:rPr>
      </w:pPr>
    </w:p>
    <w:p w:rsidR="008545BB" w:rsidRDefault="008545BB" w:rsidP="008545BB">
      <w:pPr>
        <w:rPr>
          <w:rFonts w:asciiTheme="minorHAnsi" w:hAnsiTheme="minorHAnsi"/>
        </w:rPr>
      </w:pPr>
    </w:p>
    <w:p w:rsidR="008545BB" w:rsidRDefault="008545BB" w:rsidP="008545BB">
      <w:pPr>
        <w:rPr>
          <w:rFonts w:asciiTheme="minorHAnsi" w:hAnsiTheme="minorHAnsi"/>
        </w:rPr>
      </w:pPr>
    </w:p>
    <w:p w:rsidR="008545BB" w:rsidRDefault="008545BB" w:rsidP="008545BB">
      <w:pPr>
        <w:rPr>
          <w:rFonts w:asciiTheme="minorHAnsi" w:hAnsiTheme="minorHAnsi"/>
        </w:rPr>
      </w:pPr>
    </w:p>
    <w:p w:rsidR="008545BB" w:rsidRDefault="008545BB" w:rsidP="008545BB">
      <w:pPr>
        <w:rPr>
          <w:rFonts w:asciiTheme="minorHAnsi" w:hAnsiTheme="minorHAnsi"/>
        </w:rPr>
      </w:pPr>
    </w:p>
    <w:p w:rsidR="008545BB" w:rsidRDefault="008545BB" w:rsidP="008545BB">
      <w:pPr>
        <w:rPr>
          <w:rFonts w:asciiTheme="minorHAnsi" w:hAnsiTheme="minorHAnsi"/>
        </w:rPr>
      </w:pPr>
    </w:p>
    <w:p w:rsidR="008545BB" w:rsidRDefault="008545BB" w:rsidP="008545BB">
      <w:pPr>
        <w:rPr>
          <w:rFonts w:asciiTheme="minorHAnsi" w:hAnsiTheme="minorHAnsi"/>
        </w:rPr>
      </w:pPr>
    </w:p>
    <w:p w:rsidR="008545BB" w:rsidRDefault="008545BB" w:rsidP="008545BB">
      <w:pPr>
        <w:rPr>
          <w:rFonts w:asciiTheme="minorHAnsi" w:hAnsiTheme="minorHAnsi"/>
        </w:rPr>
      </w:pPr>
    </w:p>
    <w:p w:rsidR="008545BB" w:rsidRDefault="008545BB" w:rsidP="008545BB">
      <w:pPr>
        <w:rPr>
          <w:rFonts w:asciiTheme="minorHAnsi" w:hAnsiTheme="minorHAnsi"/>
        </w:rPr>
      </w:pPr>
    </w:p>
    <w:p w:rsidR="008545BB" w:rsidRDefault="008545BB" w:rsidP="008545BB">
      <w:pPr>
        <w:rPr>
          <w:rFonts w:asciiTheme="minorHAnsi" w:hAnsiTheme="minorHAnsi"/>
        </w:rPr>
      </w:pPr>
    </w:p>
    <w:p w:rsidR="008545BB" w:rsidRDefault="008545BB" w:rsidP="008545BB">
      <w:pPr>
        <w:rPr>
          <w:rFonts w:asciiTheme="minorHAnsi" w:hAnsiTheme="minorHAnsi"/>
        </w:rPr>
      </w:pPr>
    </w:p>
    <w:p w:rsidR="008545BB" w:rsidRDefault="008545BB" w:rsidP="008545BB">
      <w:pPr>
        <w:rPr>
          <w:rFonts w:asciiTheme="minorHAnsi" w:hAnsiTheme="minorHAnsi"/>
        </w:rPr>
      </w:pPr>
    </w:p>
    <w:p w:rsidR="008545BB" w:rsidRDefault="008545BB" w:rsidP="008545BB">
      <w:pPr>
        <w:rPr>
          <w:rFonts w:asciiTheme="minorHAnsi" w:hAnsiTheme="minorHAnsi"/>
        </w:rPr>
      </w:pPr>
    </w:p>
    <w:p w:rsidR="008545BB" w:rsidRPr="001C5F6A" w:rsidRDefault="008545BB" w:rsidP="008545BB">
      <w:pPr>
        <w:rPr>
          <w:rFonts w:asciiTheme="minorHAnsi" w:hAnsiTheme="minorHAnsi"/>
        </w:rPr>
      </w:pPr>
      <w:r w:rsidRPr="001C5F6A">
        <w:rPr>
          <w:rFonts w:asciiTheme="minorHAnsi" w:hAnsiTheme="minorHAnsi"/>
        </w:rPr>
        <w:lastRenderedPageBreak/>
        <w:t>Rys. 5.</w:t>
      </w:r>
      <w:r w:rsidRPr="001C5F6A">
        <w:rPr>
          <w:rFonts w:asciiTheme="minorHAnsi" w:hAnsiTheme="minorHAnsi"/>
        </w:rPr>
        <w:tab/>
        <w:t xml:space="preserve">Studzienka zabezpieczająca pień drzewa przy podwyższeniu terenu powyżej </w:t>
      </w:r>
      <w:smartTag w:uri="urn:schemas-microsoft-com:office:smarttags" w:element="metricconverter">
        <w:smartTagPr>
          <w:attr w:name="ProductID" w:val="0,5 m"/>
        </w:smartTagPr>
        <w:r w:rsidRPr="001C5F6A">
          <w:rPr>
            <w:rFonts w:asciiTheme="minorHAnsi" w:hAnsiTheme="minorHAnsi"/>
          </w:rPr>
          <w:t>0,5 m</w:t>
        </w:r>
      </w:smartTag>
    </w:p>
    <w:tbl>
      <w:tblPr>
        <w:tblW w:w="0" w:type="auto"/>
        <w:tblLook w:val="01E0"/>
      </w:tblPr>
      <w:tblGrid>
        <w:gridCol w:w="4035"/>
        <w:gridCol w:w="3552"/>
      </w:tblGrid>
      <w:tr w:rsidR="008545BB" w:rsidRPr="001C5F6A" w:rsidTr="00C26550">
        <w:tc>
          <w:tcPr>
            <w:tcW w:w="4035" w:type="dxa"/>
            <w:shd w:val="clear" w:color="auto" w:fill="auto"/>
          </w:tcPr>
          <w:p w:rsidR="008545BB" w:rsidRPr="001C5F6A" w:rsidRDefault="008545BB" w:rsidP="00C26550">
            <w:pPr>
              <w:rPr>
                <w:rFonts w:asciiTheme="minorHAnsi" w:hAnsiTheme="minorHAnsi"/>
              </w:rPr>
            </w:pPr>
            <w:r>
              <w:rPr>
                <w:rFonts w:asciiTheme="minorHAnsi" w:hAnsiTheme="minorHAnsi"/>
                <w:noProof/>
              </w:rPr>
              <w:drawing>
                <wp:inline distT="0" distB="0" distL="0" distR="0">
                  <wp:extent cx="2087880" cy="4176395"/>
                  <wp:effectExtent l="19050" t="0" r="7620" b="0"/>
                  <wp:docPr id="17" name="Obraz 17" descr="r5ko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 descr="r5kor"/>
                          <pic:cNvPicPr>
                            <a:picLocks noChangeAspect="1" noChangeArrowheads="1"/>
                          </pic:cNvPicPr>
                        </pic:nvPicPr>
                        <pic:blipFill>
                          <a:blip r:embed="rId16" cstate="print"/>
                          <a:srcRect/>
                          <a:stretch>
                            <a:fillRect/>
                          </a:stretch>
                        </pic:blipFill>
                        <pic:spPr bwMode="auto">
                          <a:xfrm>
                            <a:off x="0" y="0"/>
                            <a:ext cx="2087880" cy="4176395"/>
                          </a:xfrm>
                          <a:prstGeom prst="rect">
                            <a:avLst/>
                          </a:prstGeom>
                          <a:noFill/>
                          <a:ln w="9525">
                            <a:noFill/>
                            <a:miter lim="800000"/>
                            <a:headEnd/>
                            <a:tailEnd/>
                          </a:ln>
                        </pic:spPr>
                      </pic:pic>
                    </a:graphicData>
                  </a:graphic>
                </wp:inline>
              </w:drawing>
            </w:r>
          </w:p>
        </w:tc>
        <w:tc>
          <w:tcPr>
            <w:tcW w:w="3552" w:type="dxa"/>
            <w:shd w:val="clear" w:color="auto" w:fill="auto"/>
            <w:vAlign w:val="center"/>
          </w:tcPr>
          <w:p w:rsidR="008545BB" w:rsidRPr="001C5F6A" w:rsidRDefault="008545BB" w:rsidP="00C26550">
            <w:pPr>
              <w:rPr>
                <w:rFonts w:asciiTheme="minorHAnsi" w:hAnsiTheme="minorHAnsi"/>
              </w:rPr>
            </w:pPr>
            <w:r w:rsidRPr="001C5F6A">
              <w:rPr>
                <w:rFonts w:asciiTheme="minorHAnsi" w:hAnsiTheme="minorHAnsi"/>
              </w:rPr>
              <w:t>Objaśnienia:</w:t>
            </w:r>
          </w:p>
          <w:p w:rsidR="008545BB" w:rsidRPr="001C5F6A" w:rsidRDefault="008545BB" w:rsidP="00C26550">
            <w:pPr>
              <w:rPr>
                <w:rFonts w:asciiTheme="minorHAnsi" w:hAnsiTheme="minorHAnsi"/>
              </w:rPr>
            </w:pPr>
            <w:r w:rsidRPr="001C5F6A">
              <w:rPr>
                <w:rFonts w:asciiTheme="minorHAnsi" w:hAnsiTheme="minorHAnsi"/>
              </w:rPr>
              <w:t>A – szyb napowietrzający z ażurowym przykryciem,</w:t>
            </w:r>
          </w:p>
          <w:p w:rsidR="008545BB" w:rsidRPr="001C5F6A" w:rsidRDefault="008545BB" w:rsidP="00C26550">
            <w:pPr>
              <w:rPr>
                <w:rFonts w:asciiTheme="minorHAnsi" w:hAnsiTheme="minorHAnsi"/>
              </w:rPr>
            </w:pPr>
            <w:r w:rsidRPr="001C5F6A">
              <w:rPr>
                <w:rFonts w:asciiTheme="minorHAnsi" w:hAnsiTheme="minorHAnsi"/>
              </w:rPr>
              <w:t>B – nowy poziom terenu,</w:t>
            </w:r>
          </w:p>
          <w:p w:rsidR="008545BB" w:rsidRPr="001C5F6A" w:rsidRDefault="008545BB" w:rsidP="00C26550">
            <w:pPr>
              <w:rPr>
                <w:rFonts w:asciiTheme="minorHAnsi" w:hAnsiTheme="minorHAnsi"/>
              </w:rPr>
            </w:pPr>
            <w:r w:rsidRPr="001C5F6A">
              <w:rPr>
                <w:rFonts w:asciiTheme="minorHAnsi" w:hAnsiTheme="minorHAnsi"/>
              </w:rPr>
              <w:t>C – żwir,</w:t>
            </w:r>
          </w:p>
          <w:p w:rsidR="008545BB" w:rsidRPr="001C5F6A" w:rsidRDefault="008545BB" w:rsidP="00C26550">
            <w:pPr>
              <w:rPr>
                <w:rFonts w:asciiTheme="minorHAnsi" w:hAnsiTheme="minorHAnsi"/>
              </w:rPr>
            </w:pPr>
            <w:r w:rsidRPr="001C5F6A">
              <w:rPr>
                <w:rFonts w:asciiTheme="minorHAnsi" w:hAnsiTheme="minorHAnsi"/>
              </w:rPr>
              <w:t>D – perforowane rurki drenarskie,</w:t>
            </w:r>
          </w:p>
          <w:p w:rsidR="008545BB" w:rsidRPr="001C5F6A" w:rsidRDefault="008545BB" w:rsidP="00C26550">
            <w:pPr>
              <w:rPr>
                <w:rFonts w:asciiTheme="minorHAnsi" w:hAnsiTheme="minorHAnsi"/>
              </w:rPr>
            </w:pPr>
            <w:r w:rsidRPr="001C5F6A">
              <w:rPr>
                <w:rFonts w:asciiTheme="minorHAnsi" w:hAnsiTheme="minorHAnsi"/>
              </w:rPr>
              <w:t>E – krąg betonowy,</w:t>
            </w:r>
          </w:p>
          <w:p w:rsidR="008545BB" w:rsidRPr="001C5F6A" w:rsidRDefault="008545BB" w:rsidP="00C26550">
            <w:pPr>
              <w:rPr>
                <w:rFonts w:asciiTheme="minorHAnsi" w:hAnsiTheme="minorHAnsi"/>
              </w:rPr>
            </w:pPr>
            <w:r w:rsidRPr="001C5F6A">
              <w:rPr>
                <w:rFonts w:asciiTheme="minorHAnsi" w:hAnsiTheme="minorHAnsi"/>
              </w:rPr>
              <w:t>F – dawny poziom terenu,</w:t>
            </w:r>
          </w:p>
          <w:p w:rsidR="008545BB" w:rsidRPr="001C5F6A" w:rsidRDefault="008545BB" w:rsidP="00C26550">
            <w:pPr>
              <w:rPr>
                <w:rFonts w:asciiTheme="minorHAnsi" w:hAnsiTheme="minorHAnsi"/>
              </w:rPr>
            </w:pPr>
            <w:r w:rsidRPr="001C5F6A">
              <w:rPr>
                <w:rFonts w:asciiTheme="minorHAnsi" w:hAnsiTheme="minorHAnsi"/>
              </w:rPr>
              <w:t>G – metalowa krata, H – ławka</w:t>
            </w:r>
          </w:p>
          <w:p w:rsidR="008545BB" w:rsidRPr="001C5F6A" w:rsidRDefault="008545BB" w:rsidP="00C26550">
            <w:pPr>
              <w:rPr>
                <w:rFonts w:asciiTheme="minorHAnsi" w:hAnsiTheme="minorHAnsi"/>
              </w:rPr>
            </w:pPr>
          </w:p>
        </w:tc>
      </w:tr>
    </w:tbl>
    <w:p w:rsidR="008545BB" w:rsidRPr="001C5F6A" w:rsidRDefault="008545BB" w:rsidP="008545BB">
      <w:pPr>
        <w:rPr>
          <w:rFonts w:asciiTheme="minorHAnsi" w:hAnsiTheme="minorHAnsi"/>
        </w:rPr>
      </w:pPr>
    </w:p>
    <w:p w:rsidR="008545BB" w:rsidRPr="001C5F6A" w:rsidRDefault="008545BB" w:rsidP="008545BB">
      <w:pPr>
        <w:rPr>
          <w:rFonts w:asciiTheme="minorHAnsi" w:hAnsiTheme="minorHAnsi"/>
        </w:rPr>
      </w:pPr>
      <w:r w:rsidRPr="001C5F6A">
        <w:rPr>
          <w:rFonts w:asciiTheme="minorHAnsi" w:hAnsiTheme="minorHAnsi"/>
        </w:rPr>
        <w:t>Rys. 6.</w:t>
      </w:r>
      <w:r w:rsidRPr="001C5F6A">
        <w:rPr>
          <w:rFonts w:asciiTheme="minorHAnsi" w:hAnsiTheme="minorHAnsi"/>
        </w:rPr>
        <w:tab/>
        <w:t>Przykład ekologicznego zabezpieczenia drzewa z bryłą korzeniową na placu składowym</w:t>
      </w:r>
    </w:p>
    <w:p w:rsidR="008545BB" w:rsidRPr="001C5F6A" w:rsidRDefault="008545BB" w:rsidP="008545BB">
      <w:pPr>
        <w:rPr>
          <w:rFonts w:asciiTheme="minorHAnsi" w:hAnsiTheme="minorHAnsi"/>
        </w:rPr>
      </w:pPr>
    </w:p>
    <w:tbl>
      <w:tblPr>
        <w:tblW w:w="0" w:type="auto"/>
        <w:tblLook w:val="01E0"/>
      </w:tblPr>
      <w:tblGrid>
        <w:gridCol w:w="6049"/>
      </w:tblGrid>
      <w:tr w:rsidR="008545BB" w:rsidRPr="001C5F6A" w:rsidTr="00C26550">
        <w:tc>
          <w:tcPr>
            <w:tcW w:w="6013" w:type="dxa"/>
            <w:shd w:val="clear" w:color="auto" w:fill="auto"/>
          </w:tcPr>
          <w:p w:rsidR="008545BB" w:rsidRPr="001C5F6A" w:rsidRDefault="008545BB" w:rsidP="00C26550">
            <w:pPr>
              <w:rPr>
                <w:rFonts w:asciiTheme="minorHAnsi" w:hAnsiTheme="minorHAnsi"/>
              </w:rPr>
            </w:pPr>
            <w:r>
              <w:rPr>
                <w:rFonts w:asciiTheme="minorHAnsi" w:hAnsiTheme="minorHAnsi"/>
                <w:noProof/>
              </w:rPr>
              <w:drawing>
                <wp:inline distT="0" distB="0" distL="0" distR="0">
                  <wp:extent cx="3684905" cy="1733550"/>
                  <wp:effectExtent l="19050" t="0" r="0" b="0"/>
                  <wp:docPr id="18" name="Obraz 18" descr="r6ko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 descr="r6kor"/>
                          <pic:cNvPicPr>
                            <a:picLocks noChangeAspect="1" noChangeArrowheads="1"/>
                          </pic:cNvPicPr>
                        </pic:nvPicPr>
                        <pic:blipFill>
                          <a:blip r:embed="rId17" cstate="print"/>
                          <a:srcRect/>
                          <a:stretch>
                            <a:fillRect/>
                          </a:stretch>
                        </pic:blipFill>
                        <pic:spPr bwMode="auto">
                          <a:xfrm>
                            <a:off x="0" y="0"/>
                            <a:ext cx="3684905" cy="1733550"/>
                          </a:xfrm>
                          <a:prstGeom prst="rect">
                            <a:avLst/>
                          </a:prstGeom>
                          <a:noFill/>
                          <a:ln w="9525">
                            <a:noFill/>
                            <a:miter lim="800000"/>
                            <a:headEnd/>
                            <a:tailEnd/>
                          </a:ln>
                        </pic:spPr>
                      </pic:pic>
                    </a:graphicData>
                  </a:graphic>
                </wp:inline>
              </w:drawing>
            </w:r>
          </w:p>
        </w:tc>
      </w:tr>
    </w:tbl>
    <w:p w:rsidR="008545BB" w:rsidRPr="001C5F6A" w:rsidRDefault="008545BB" w:rsidP="008545BB">
      <w:pPr>
        <w:pStyle w:val="Nagwek1"/>
        <w:rPr>
          <w:rFonts w:asciiTheme="minorHAnsi" w:hAnsiTheme="minorHAnsi"/>
        </w:rPr>
      </w:pPr>
    </w:p>
    <w:p w:rsidR="008545BB" w:rsidRPr="001C5F6A" w:rsidRDefault="008545BB" w:rsidP="008545BB">
      <w:pPr>
        <w:jc w:val="center"/>
        <w:rPr>
          <w:rFonts w:asciiTheme="minorHAnsi" w:hAnsiTheme="minorHAnsi"/>
        </w:rPr>
      </w:pPr>
      <w:r w:rsidRPr="001C5F6A">
        <w:rPr>
          <w:rFonts w:asciiTheme="minorHAnsi" w:hAnsiTheme="minorHAnsi"/>
        </w:rPr>
        <w:t>(Oprócz wygrodzenia drzewa płotem z desek lub żerdzi pokazano z lewej sposób składowania materiału, a z prawej lokalizację baraku budowy)</w:t>
      </w:r>
    </w:p>
    <w:p w:rsidR="000C27BF" w:rsidRDefault="000C27BF" w:rsidP="004767DA">
      <w:pPr>
        <w:rPr>
          <w:rFonts w:ascii="Calibri" w:hAnsi="Calibri" w:cs="Calibri"/>
        </w:rPr>
      </w:pPr>
    </w:p>
    <w:p w:rsidR="000C27BF" w:rsidRDefault="000C27BF" w:rsidP="004767DA">
      <w:pPr>
        <w:rPr>
          <w:rFonts w:ascii="Calibri" w:hAnsi="Calibri" w:cs="Calibri"/>
        </w:rPr>
      </w:pPr>
    </w:p>
    <w:p w:rsidR="000C27BF" w:rsidRDefault="000C27BF" w:rsidP="004767DA">
      <w:pPr>
        <w:rPr>
          <w:rFonts w:ascii="Calibri" w:hAnsi="Calibri" w:cs="Calibri"/>
        </w:rPr>
      </w:pPr>
    </w:p>
    <w:p w:rsidR="008545BB" w:rsidRDefault="008545BB" w:rsidP="004767DA">
      <w:pPr>
        <w:rPr>
          <w:rFonts w:ascii="Calibri" w:hAnsi="Calibri" w:cs="Calibri"/>
        </w:rPr>
      </w:pPr>
    </w:p>
    <w:p w:rsidR="008545BB" w:rsidRDefault="008545BB" w:rsidP="004767DA">
      <w:pPr>
        <w:rPr>
          <w:rFonts w:ascii="Calibri" w:hAnsi="Calibri" w:cs="Calibri"/>
        </w:rPr>
      </w:pPr>
    </w:p>
    <w:p w:rsidR="008545BB" w:rsidRDefault="008545BB" w:rsidP="004767DA">
      <w:pPr>
        <w:rPr>
          <w:rFonts w:ascii="Calibri" w:hAnsi="Calibri" w:cs="Calibri"/>
        </w:rPr>
      </w:pPr>
    </w:p>
    <w:p w:rsidR="008545BB" w:rsidRDefault="008545BB" w:rsidP="004767DA">
      <w:pPr>
        <w:rPr>
          <w:rFonts w:ascii="Calibri" w:hAnsi="Calibri" w:cs="Calibri"/>
        </w:rPr>
      </w:pPr>
    </w:p>
    <w:p w:rsidR="008545BB" w:rsidRDefault="008545BB" w:rsidP="004767DA">
      <w:pPr>
        <w:rPr>
          <w:rFonts w:ascii="Calibri" w:hAnsi="Calibri" w:cs="Calibri"/>
        </w:rPr>
      </w:pPr>
    </w:p>
    <w:p w:rsidR="008545BB" w:rsidRDefault="008545BB" w:rsidP="004767DA">
      <w:pPr>
        <w:rPr>
          <w:rFonts w:ascii="Calibri" w:hAnsi="Calibri" w:cs="Calibri"/>
        </w:rPr>
      </w:pPr>
    </w:p>
    <w:p w:rsidR="008545BB" w:rsidRDefault="008545BB" w:rsidP="004767DA">
      <w:pPr>
        <w:rPr>
          <w:rFonts w:ascii="Calibri" w:hAnsi="Calibri" w:cs="Calibri"/>
        </w:rPr>
      </w:pPr>
    </w:p>
    <w:p w:rsidR="008545BB" w:rsidRDefault="008545BB" w:rsidP="004767DA">
      <w:pPr>
        <w:rPr>
          <w:rFonts w:ascii="Calibri" w:hAnsi="Calibri" w:cs="Calibri"/>
        </w:rPr>
      </w:pPr>
    </w:p>
    <w:p w:rsidR="008545BB" w:rsidRDefault="008545BB" w:rsidP="004767DA">
      <w:pPr>
        <w:rPr>
          <w:rFonts w:ascii="Calibri" w:hAnsi="Calibri" w:cs="Calibri"/>
        </w:rPr>
      </w:pPr>
    </w:p>
    <w:p w:rsidR="008545BB" w:rsidRDefault="008545BB" w:rsidP="004767DA">
      <w:pPr>
        <w:rPr>
          <w:rFonts w:ascii="Calibri" w:hAnsi="Calibri" w:cs="Calibri"/>
        </w:rPr>
      </w:pPr>
    </w:p>
    <w:p w:rsidR="008545BB" w:rsidRDefault="008545BB" w:rsidP="004767DA">
      <w:pPr>
        <w:rPr>
          <w:rFonts w:ascii="Calibri" w:hAnsi="Calibri" w:cs="Calibri"/>
        </w:rPr>
      </w:pPr>
    </w:p>
    <w:p w:rsidR="008545BB" w:rsidRDefault="008545BB" w:rsidP="004767DA">
      <w:pPr>
        <w:rPr>
          <w:rFonts w:ascii="Calibri" w:hAnsi="Calibri" w:cs="Calibri"/>
        </w:rPr>
      </w:pPr>
    </w:p>
    <w:p w:rsidR="008545BB" w:rsidRDefault="008545BB" w:rsidP="004767DA">
      <w:pPr>
        <w:rPr>
          <w:rFonts w:ascii="Calibri" w:hAnsi="Calibri" w:cs="Calibri"/>
        </w:rPr>
      </w:pPr>
    </w:p>
    <w:p w:rsidR="008545BB" w:rsidRDefault="008545BB" w:rsidP="004767DA">
      <w:pPr>
        <w:rPr>
          <w:rFonts w:ascii="Calibri" w:hAnsi="Calibri" w:cs="Calibri"/>
        </w:rPr>
      </w:pPr>
    </w:p>
    <w:p w:rsidR="008545BB" w:rsidRDefault="008545BB" w:rsidP="004767DA">
      <w:pPr>
        <w:rPr>
          <w:rFonts w:ascii="Calibri" w:hAnsi="Calibri" w:cs="Calibri"/>
        </w:rPr>
      </w:pPr>
    </w:p>
    <w:p w:rsidR="008545BB" w:rsidRDefault="008545BB" w:rsidP="004767DA">
      <w:pPr>
        <w:rPr>
          <w:rFonts w:ascii="Calibri" w:hAnsi="Calibri" w:cs="Calibri"/>
        </w:rPr>
      </w:pPr>
    </w:p>
    <w:p w:rsidR="008545BB" w:rsidRDefault="008545BB" w:rsidP="004767DA">
      <w:pPr>
        <w:rPr>
          <w:rFonts w:ascii="Calibri" w:hAnsi="Calibri" w:cs="Calibri"/>
        </w:rPr>
      </w:pPr>
    </w:p>
    <w:p w:rsidR="008545BB" w:rsidRDefault="008545BB" w:rsidP="004767DA">
      <w:pPr>
        <w:rPr>
          <w:rFonts w:ascii="Calibri" w:hAnsi="Calibri" w:cs="Calibri"/>
        </w:rPr>
      </w:pPr>
    </w:p>
    <w:p w:rsidR="008545BB" w:rsidRDefault="008545BB" w:rsidP="004767DA">
      <w:pPr>
        <w:rPr>
          <w:rFonts w:ascii="Calibri" w:hAnsi="Calibri" w:cs="Calibri"/>
        </w:rPr>
      </w:pPr>
    </w:p>
    <w:p w:rsidR="008545BB" w:rsidRDefault="008545BB" w:rsidP="004767DA">
      <w:pPr>
        <w:rPr>
          <w:rFonts w:ascii="Calibri" w:hAnsi="Calibri" w:cs="Calibri"/>
        </w:rPr>
      </w:pPr>
    </w:p>
    <w:p w:rsidR="008545BB" w:rsidRDefault="008545BB" w:rsidP="004767DA">
      <w:pPr>
        <w:rPr>
          <w:rFonts w:ascii="Calibri" w:hAnsi="Calibri" w:cs="Calibri"/>
        </w:rPr>
      </w:pPr>
    </w:p>
    <w:p w:rsidR="008545BB" w:rsidRDefault="008545BB" w:rsidP="004767DA">
      <w:pPr>
        <w:rPr>
          <w:rFonts w:ascii="Calibri" w:hAnsi="Calibri" w:cs="Calibri"/>
        </w:rPr>
      </w:pPr>
    </w:p>
    <w:p w:rsidR="008545BB" w:rsidRDefault="008545BB" w:rsidP="004767DA">
      <w:pPr>
        <w:rPr>
          <w:rFonts w:ascii="Calibri" w:hAnsi="Calibri" w:cs="Calibri"/>
        </w:rPr>
      </w:pPr>
    </w:p>
    <w:p w:rsidR="008545BB" w:rsidRDefault="008545BB" w:rsidP="004767DA">
      <w:pPr>
        <w:rPr>
          <w:rFonts w:ascii="Calibri" w:hAnsi="Calibri" w:cs="Calibri"/>
        </w:rPr>
      </w:pPr>
    </w:p>
    <w:p w:rsidR="000C27BF" w:rsidRDefault="000C27BF" w:rsidP="004767DA">
      <w:pPr>
        <w:rPr>
          <w:rFonts w:ascii="Calibri" w:hAnsi="Calibri" w:cs="Calibri"/>
        </w:rPr>
      </w:pPr>
    </w:p>
    <w:p w:rsidR="000C27BF" w:rsidRPr="00C3632E" w:rsidRDefault="000C27BF" w:rsidP="004767DA">
      <w:pPr>
        <w:rPr>
          <w:rFonts w:ascii="Calibri" w:hAnsi="Calibri" w:cs="Calibri"/>
        </w:rPr>
      </w:pPr>
    </w:p>
    <w:p w:rsidR="004767DA" w:rsidRPr="00C3632E" w:rsidRDefault="004767DA" w:rsidP="004767DA">
      <w:pPr>
        <w:rPr>
          <w:rFonts w:ascii="Calibri" w:hAnsi="Calibri" w:cs="Calibri"/>
        </w:rPr>
      </w:pPr>
    </w:p>
    <w:p w:rsidR="004767DA" w:rsidRPr="00E1517D" w:rsidRDefault="004767DA" w:rsidP="0043130B">
      <w:pPr>
        <w:pStyle w:val="Nagwek1"/>
        <w:jc w:val="center"/>
      </w:pPr>
      <w:bookmarkStart w:id="311" w:name="_Toc438237715"/>
      <w:r w:rsidRPr="00E1517D">
        <w:t>D-01.02.02</w:t>
      </w:r>
      <w:r w:rsidR="00FD47C7">
        <w:t xml:space="preserve">  ZDJĘCIE WARSTWY HUMUSU I/LUB</w:t>
      </w:r>
      <w:r w:rsidRPr="00E1517D">
        <w:t xml:space="preserve"> DARNINY</w:t>
      </w:r>
      <w:bookmarkEnd w:id="311"/>
    </w:p>
    <w:p w:rsidR="004767DA" w:rsidRPr="00C3632E" w:rsidRDefault="004767DA" w:rsidP="004767DA">
      <w:pPr>
        <w:rPr>
          <w:rFonts w:ascii="Calibri" w:hAnsi="Calibri" w:cs="Calibri"/>
        </w:rPr>
      </w:pPr>
    </w:p>
    <w:p w:rsidR="004767DA" w:rsidRPr="00C3632E" w:rsidRDefault="004767DA" w:rsidP="004767DA">
      <w:pPr>
        <w:rPr>
          <w:rFonts w:ascii="Calibri" w:hAnsi="Calibri" w:cs="Calibri"/>
        </w:rPr>
      </w:pPr>
    </w:p>
    <w:p w:rsidR="004767DA" w:rsidRPr="00C3632E" w:rsidRDefault="004767DA" w:rsidP="004767DA">
      <w:pPr>
        <w:rPr>
          <w:rFonts w:ascii="Calibri" w:hAnsi="Calibri" w:cs="Calibri"/>
        </w:rPr>
      </w:pPr>
    </w:p>
    <w:p w:rsidR="004767DA" w:rsidRPr="00C3632E" w:rsidRDefault="004767DA" w:rsidP="004767DA">
      <w:pPr>
        <w:rPr>
          <w:rFonts w:ascii="Calibri" w:hAnsi="Calibri" w:cs="Calibri"/>
        </w:rPr>
      </w:pPr>
    </w:p>
    <w:p w:rsidR="004767DA" w:rsidRPr="00C3632E" w:rsidRDefault="004767DA" w:rsidP="004767DA">
      <w:pPr>
        <w:rPr>
          <w:rFonts w:ascii="Calibri" w:hAnsi="Calibri" w:cs="Calibri"/>
        </w:rPr>
      </w:pPr>
    </w:p>
    <w:p w:rsidR="004767DA" w:rsidRPr="00C3632E" w:rsidRDefault="004767DA" w:rsidP="004767DA">
      <w:pPr>
        <w:rPr>
          <w:rFonts w:ascii="Calibri" w:hAnsi="Calibri" w:cs="Calibri"/>
        </w:rPr>
      </w:pPr>
    </w:p>
    <w:p w:rsidR="004767DA" w:rsidRPr="00C3632E" w:rsidRDefault="004767DA" w:rsidP="004767DA">
      <w:pPr>
        <w:rPr>
          <w:rFonts w:ascii="Calibri" w:hAnsi="Calibri" w:cs="Calibri"/>
        </w:rPr>
      </w:pPr>
    </w:p>
    <w:p w:rsidR="004767DA" w:rsidRPr="00C3632E" w:rsidRDefault="004767DA" w:rsidP="004767DA">
      <w:pPr>
        <w:rPr>
          <w:rFonts w:ascii="Calibri" w:hAnsi="Calibri" w:cs="Calibri"/>
        </w:rPr>
      </w:pPr>
    </w:p>
    <w:p w:rsidR="004767DA" w:rsidRPr="00C3632E" w:rsidRDefault="004767DA" w:rsidP="004767DA">
      <w:pPr>
        <w:rPr>
          <w:rFonts w:ascii="Calibri" w:hAnsi="Calibri" w:cs="Calibri"/>
        </w:rPr>
      </w:pPr>
    </w:p>
    <w:p w:rsidR="004767DA" w:rsidRPr="00C3632E" w:rsidRDefault="004767DA" w:rsidP="004767DA">
      <w:pPr>
        <w:rPr>
          <w:rFonts w:ascii="Calibri" w:hAnsi="Calibri" w:cs="Calibri"/>
        </w:rPr>
      </w:pPr>
    </w:p>
    <w:p w:rsidR="007A3E8C" w:rsidRDefault="007A3E8C" w:rsidP="004767DA">
      <w:pPr>
        <w:rPr>
          <w:rFonts w:ascii="Calibri" w:hAnsi="Calibri" w:cs="Calibri"/>
          <w:b/>
        </w:rPr>
      </w:pPr>
    </w:p>
    <w:p w:rsidR="007A3E8C" w:rsidRDefault="007A3E8C" w:rsidP="004767DA">
      <w:pPr>
        <w:rPr>
          <w:rFonts w:ascii="Calibri" w:hAnsi="Calibri" w:cs="Calibri"/>
          <w:b/>
        </w:rPr>
      </w:pPr>
    </w:p>
    <w:p w:rsidR="007A3E8C" w:rsidRDefault="007A3E8C" w:rsidP="004767DA">
      <w:pPr>
        <w:rPr>
          <w:rFonts w:ascii="Calibri" w:hAnsi="Calibri" w:cs="Calibri"/>
          <w:b/>
        </w:rPr>
      </w:pPr>
    </w:p>
    <w:p w:rsidR="007A3E8C" w:rsidRDefault="007A3E8C" w:rsidP="004767DA">
      <w:pPr>
        <w:rPr>
          <w:rFonts w:ascii="Calibri" w:hAnsi="Calibri" w:cs="Calibri"/>
          <w:b/>
        </w:rPr>
      </w:pPr>
    </w:p>
    <w:p w:rsidR="007A3E8C" w:rsidRDefault="007A3E8C" w:rsidP="004767DA">
      <w:pPr>
        <w:rPr>
          <w:rFonts w:ascii="Calibri" w:hAnsi="Calibri" w:cs="Calibri"/>
          <w:b/>
        </w:rPr>
      </w:pPr>
    </w:p>
    <w:p w:rsidR="007A3E8C" w:rsidRDefault="007A3E8C" w:rsidP="004767DA">
      <w:pPr>
        <w:rPr>
          <w:rFonts w:ascii="Calibri" w:hAnsi="Calibri" w:cs="Calibri"/>
          <w:b/>
        </w:rPr>
      </w:pPr>
    </w:p>
    <w:p w:rsidR="007A3E8C" w:rsidRDefault="007A3E8C" w:rsidP="004767DA">
      <w:pPr>
        <w:rPr>
          <w:rFonts w:ascii="Calibri" w:hAnsi="Calibri" w:cs="Calibri"/>
          <w:b/>
        </w:rPr>
      </w:pPr>
    </w:p>
    <w:p w:rsidR="007A3E8C" w:rsidRDefault="007A3E8C" w:rsidP="004767DA">
      <w:pPr>
        <w:rPr>
          <w:rFonts w:ascii="Calibri" w:hAnsi="Calibri" w:cs="Calibri"/>
          <w:b/>
        </w:rPr>
      </w:pPr>
    </w:p>
    <w:p w:rsidR="007A3E8C" w:rsidRDefault="007A3E8C" w:rsidP="004767DA">
      <w:pPr>
        <w:rPr>
          <w:rFonts w:ascii="Calibri" w:hAnsi="Calibri" w:cs="Calibri"/>
          <w:b/>
        </w:rPr>
      </w:pPr>
    </w:p>
    <w:p w:rsidR="007A3E8C" w:rsidRDefault="007A3E8C" w:rsidP="004767DA">
      <w:pPr>
        <w:rPr>
          <w:rFonts w:ascii="Calibri" w:hAnsi="Calibri" w:cs="Calibri"/>
          <w:b/>
        </w:rPr>
      </w:pPr>
    </w:p>
    <w:p w:rsidR="007A3E8C" w:rsidRDefault="007A3E8C" w:rsidP="004767DA">
      <w:pPr>
        <w:rPr>
          <w:rFonts w:ascii="Calibri" w:hAnsi="Calibri" w:cs="Calibri"/>
          <w:b/>
        </w:rPr>
      </w:pPr>
    </w:p>
    <w:p w:rsidR="007A3E8C" w:rsidRDefault="007A3E8C" w:rsidP="004767DA">
      <w:pPr>
        <w:rPr>
          <w:rFonts w:ascii="Calibri" w:hAnsi="Calibri" w:cs="Calibri"/>
          <w:b/>
        </w:rPr>
      </w:pPr>
    </w:p>
    <w:p w:rsidR="007A3E8C" w:rsidRDefault="007A3E8C" w:rsidP="004767DA">
      <w:pPr>
        <w:rPr>
          <w:rFonts w:ascii="Calibri" w:hAnsi="Calibri" w:cs="Calibri"/>
          <w:b/>
        </w:rPr>
      </w:pPr>
    </w:p>
    <w:p w:rsidR="007A3E8C" w:rsidRDefault="007A3E8C" w:rsidP="004767DA">
      <w:pPr>
        <w:rPr>
          <w:rFonts w:ascii="Calibri" w:hAnsi="Calibri" w:cs="Calibri"/>
          <w:b/>
        </w:rPr>
      </w:pPr>
    </w:p>
    <w:p w:rsidR="007A3E8C" w:rsidRDefault="007A3E8C" w:rsidP="004767DA">
      <w:pPr>
        <w:rPr>
          <w:rFonts w:ascii="Calibri" w:hAnsi="Calibri" w:cs="Calibri"/>
          <w:b/>
        </w:rPr>
      </w:pPr>
    </w:p>
    <w:p w:rsidR="007A3E8C" w:rsidRDefault="007A3E8C" w:rsidP="004767DA">
      <w:pPr>
        <w:rPr>
          <w:rFonts w:ascii="Calibri" w:hAnsi="Calibri" w:cs="Calibri"/>
          <w:b/>
        </w:rPr>
      </w:pPr>
    </w:p>
    <w:p w:rsidR="007A3E8C" w:rsidRDefault="007A3E8C" w:rsidP="004767DA">
      <w:pPr>
        <w:rPr>
          <w:rFonts w:ascii="Calibri" w:hAnsi="Calibri" w:cs="Calibri"/>
          <w:b/>
        </w:rPr>
      </w:pPr>
    </w:p>
    <w:p w:rsidR="007A3E8C" w:rsidRDefault="007A3E8C" w:rsidP="004767DA">
      <w:pPr>
        <w:rPr>
          <w:rFonts w:ascii="Calibri" w:hAnsi="Calibri" w:cs="Calibri"/>
          <w:b/>
        </w:rPr>
      </w:pPr>
    </w:p>
    <w:p w:rsidR="007A3E8C" w:rsidRDefault="007A3E8C" w:rsidP="004767DA">
      <w:pPr>
        <w:rPr>
          <w:rFonts w:ascii="Calibri" w:hAnsi="Calibri" w:cs="Calibri"/>
          <w:b/>
        </w:rPr>
      </w:pPr>
    </w:p>
    <w:p w:rsidR="007A3E8C" w:rsidRDefault="007A3E8C" w:rsidP="004767DA">
      <w:pPr>
        <w:rPr>
          <w:rFonts w:ascii="Calibri" w:hAnsi="Calibri" w:cs="Calibri"/>
          <w:b/>
        </w:rPr>
      </w:pPr>
    </w:p>
    <w:p w:rsidR="007A3E8C" w:rsidRDefault="007A3E8C" w:rsidP="004767DA">
      <w:pPr>
        <w:rPr>
          <w:rFonts w:ascii="Calibri" w:hAnsi="Calibri" w:cs="Calibri"/>
          <w:b/>
        </w:rPr>
      </w:pPr>
    </w:p>
    <w:p w:rsidR="007A3E8C" w:rsidRDefault="007A3E8C" w:rsidP="004767DA">
      <w:pPr>
        <w:rPr>
          <w:rFonts w:ascii="Calibri" w:hAnsi="Calibri" w:cs="Calibri"/>
          <w:b/>
        </w:rPr>
      </w:pPr>
    </w:p>
    <w:p w:rsidR="007A3E8C" w:rsidRDefault="007A3E8C" w:rsidP="004767DA">
      <w:pPr>
        <w:rPr>
          <w:rFonts w:ascii="Calibri" w:hAnsi="Calibri" w:cs="Calibri"/>
          <w:b/>
        </w:rPr>
      </w:pPr>
    </w:p>
    <w:p w:rsidR="007A3E8C" w:rsidRDefault="007A3E8C" w:rsidP="004767DA">
      <w:pPr>
        <w:rPr>
          <w:rFonts w:ascii="Calibri" w:hAnsi="Calibri" w:cs="Calibri"/>
          <w:b/>
        </w:rPr>
      </w:pPr>
    </w:p>
    <w:p w:rsidR="007A3E8C" w:rsidRDefault="007A3E8C" w:rsidP="004767DA">
      <w:pPr>
        <w:rPr>
          <w:rFonts w:ascii="Calibri" w:hAnsi="Calibri" w:cs="Calibri"/>
          <w:b/>
        </w:rPr>
      </w:pPr>
    </w:p>
    <w:p w:rsidR="007A3E8C" w:rsidRDefault="007A3E8C" w:rsidP="004767DA">
      <w:pPr>
        <w:rPr>
          <w:rFonts w:ascii="Calibri" w:hAnsi="Calibri" w:cs="Calibri"/>
          <w:b/>
        </w:rPr>
      </w:pPr>
    </w:p>
    <w:p w:rsidR="00301193" w:rsidRDefault="00301193" w:rsidP="004767DA">
      <w:pPr>
        <w:rPr>
          <w:rFonts w:ascii="Calibri" w:hAnsi="Calibri" w:cs="Calibri"/>
          <w:b/>
        </w:rPr>
      </w:pPr>
    </w:p>
    <w:p w:rsidR="00301193" w:rsidRDefault="00301193" w:rsidP="004767DA">
      <w:pPr>
        <w:rPr>
          <w:rFonts w:ascii="Calibri" w:hAnsi="Calibri" w:cs="Calibri"/>
          <w:b/>
        </w:rPr>
      </w:pPr>
    </w:p>
    <w:p w:rsidR="00301193" w:rsidRDefault="00301193" w:rsidP="004767DA">
      <w:pPr>
        <w:rPr>
          <w:rFonts w:ascii="Calibri" w:hAnsi="Calibri" w:cs="Calibri"/>
          <w:b/>
        </w:rPr>
      </w:pPr>
    </w:p>
    <w:p w:rsidR="00301193" w:rsidRDefault="00301193" w:rsidP="004767DA">
      <w:pPr>
        <w:rPr>
          <w:rFonts w:ascii="Calibri" w:hAnsi="Calibri" w:cs="Calibri"/>
          <w:b/>
        </w:rPr>
      </w:pPr>
    </w:p>
    <w:p w:rsidR="004767DA" w:rsidRPr="00666F76" w:rsidRDefault="004767DA" w:rsidP="004767DA">
      <w:pPr>
        <w:rPr>
          <w:rFonts w:ascii="Calibri" w:hAnsi="Calibri" w:cs="Calibri"/>
          <w:b/>
        </w:rPr>
      </w:pPr>
      <w:r w:rsidRPr="00666F76">
        <w:rPr>
          <w:rFonts w:ascii="Calibri" w:hAnsi="Calibri" w:cs="Calibri"/>
          <w:b/>
        </w:rPr>
        <w:lastRenderedPageBreak/>
        <w:t>1. WSTĘP</w:t>
      </w:r>
    </w:p>
    <w:p w:rsidR="004767DA" w:rsidRPr="00666F76" w:rsidRDefault="004767DA" w:rsidP="004767DA">
      <w:pPr>
        <w:rPr>
          <w:rFonts w:ascii="Calibri" w:hAnsi="Calibri" w:cs="Calibri"/>
        </w:rPr>
      </w:pPr>
      <w:r w:rsidRPr="00666F76">
        <w:rPr>
          <w:rFonts w:ascii="Calibri" w:hAnsi="Calibri" w:cs="Calibri"/>
          <w:b/>
        </w:rPr>
        <w:t>1.1.</w:t>
      </w:r>
      <w:r w:rsidRPr="00666F76">
        <w:rPr>
          <w:rFonts w:ascii="Calibri" w:hAnsi="Calibri" w:cs="Calibri"/>
        </w:rPr>
        <w:t xml:space="preserve"> Przedmiot ST</w:t>
      </w:r>
    </w:p>
    <w:p w:rsidR="004767DA" w:rsidRPr="00666F76" w:rsidRDefault="004767DA" w:rsidP="004767DA">
      <w:pPr>
        <w:rPr>
          <w:rFonts w:ascii="Calibri" w:hAnsi="Calibri" w:cs="Calibri"/>
        </w:rPr>
      </w:pPr>
      <w:r w:rsidRPr="00666F76">
        <w:rPr>
          <w:rFonts w:ascii="Calibri" w:hAnsi="Calibri" w:cs="Calibri"/>
        </w:rPr>
        <w:tab/>
        <w:t>Przedmiotem niniejszej specyfikacji technicznej (ST) są wymagania dotyczące wykonania i odbioru robót związanych ze zdjęciem warstwy humusu i/lub darniny.</w:t>
      </w:r>
    </w:p>
    <w:p w:rsidR="004767DA" w:rsidRPr="00666F76" w:rsidRDefault="004767DA" w:rsidP="004767DA">
      <w:pPr>
        <w:rPr>
          <w:rFonts w:ascii="Calibri" w:hAnsi="Calibri" w:cs="Calibri"/>
        </w:rPr>
      </w:pPr>
      <w:r w:rsidRPr="00666F76">
        <w:rPr>
          <w:rFonts w:ascii="Calibri" w:hAnsi="Calibri" w:cs="Calibri"/>
          <w:b/>
        </w:rPr>
        <w:t>1.2.</w:t>
      </w:r>
      <w:r w:rsidRPr="00666F76">
        <w:rPr>
          <w:rFonts w:ascii="Calibri" w:hAnsi="Calibri" w:cs="Calibri"/>
        </w:rPr>
        <w:t xml:space="preserve"> Zakres stosowania ST</w:t>
      </w:r>
    </w:p>
    <w:p w:rsidR="004767DA" w:rsidRPr="00666F76" w:rsidRDefault="004767DA" w:rsidP="004767DA">
      <w:pPr>
        <w:rPr>
          <w:rFonts w:ascii="Calibri" w:hAnsi="Calibri" w:cs="Calibri"/>
        </w:rPr>
      </w:pPr>
      <w:r w:rsidRPr="00666F76">
        <w:rPr>
          <w:rFonts w:ascii="Calibri" w:hAnsi="Calibri" w:cs="Calibri"/>
        </w:rPr>
        <w:tab/>
        <w:t>Specyfikacja techniczna określa wymagania dla wykonania i odbioru robót budowlanych przewidzianych do wykonania w ramach umowy a zawarte w niej zapisy w zakresie standardu materiałów, wykonania robót i wymaganej ich jakości oraz kontroli jakości robót należy traktować jako minimalne.</w:t>
      </w:r>
    </w:p>
    <w:p w:rsidR="004767DA" w:rsidRPr="00666F76" w:rsidRDefault="004767DA" w:rsidP="004767DA">
      <w:pPr>
        <w:rPr>
          <w:rFonts w:ascii="Calibri" w:hAnsi="Calibri" w:cs="Calibri"/>
        </w:rPr>
      </w:pPr>
      <w:r w:rsidRPr="00666F76">
        <w:rPr>
          <w:rFonts w:ascii="Calibri" w:hAnsi="Calibri" w:cs="Calibri"/>
          <w:b/>
        </w:rPr>
        <w:t>1.3.</w:t>
      </w:r>
      <w:r w:rsidRPr="00666F76">
        <w:rPr>
          <w:rFonts w:ascii="Calibri" w:hAnsi="Calibri" w:cs="Calibri"/>
        </w:rPr>
        <w:t xml:space="preserve"> Zakres robót objętych ST</w:t>
      </w:r>
    </w:p>
    <w:p w:rsidR="004A5932" w:rsidRPr="00666F76" w:rsidRDefault="004767DA" w:rsidP="004A5932">
      <w:pPr>
        <w:rPr>
          <w:rFonts w:asciiTheme="minorHAnsi" w:hAnsiTheme="minorHAnsi" w:cs="Calibri"/>
        </w:rPr>
      </w:pPr>
      <w:r w:rsidRPr="00666F76">
        <w:rPr>
          <w:rFonts w:ascii="Calibri" w:hAnsi="Calibri" w:cs="Calibri"/>
        </w:rPr>
        <w:tab/>
        <w:t xml:space="preserve">Ustalenia zawarte w niniejszej specyfikacji dotyczą zasad prowadzenia robót związanych ze zdjęciem warstwy humusu i/lub darniny, wykonywanych </w:t>
      </w:r>
      <w:r w:rsidR="00301193" w:rsidRPr="00666F76">
        <w:rPr>
          <w:rFonts w:ascii="Calibri" w:hAnsi="Calibri" w:cs="Calibri"/>
        </w:rPr>
        <w:t xml:space="preserve">w ramach robót przygotowawczych </w:t>
      </w:r>
      <w:r w:rsidR="004A5932" w:rsidRPr="00666F76">
        <w:rPr>
          <w:rFonts w:ascii="Calibri" w:hAnsi="Calibri" w:cs="Calibri"/>
        </w:rPr>
        <w:t>w związku z „</w:t>
      </w:r>
      <w:r w:rsidR="004A5932" w:rsidRPr="00666F76">
        <w:rPr>
          <w:rFonts w:asciiTheme="minorHAnsi" w:hAnsiTheme="minorHAnsi"/>
        </w:rPr>
        <w:t>Przebudową ul.55 Pułku Piechoty w Lesznie wraz z przebudową oświetlenia”</w:t>
      </w:r>
      <w:r w:rsidR="004A5932" w:rsidRPr="00666F76">
        <w:rPr>
          <w:rFonts w:asciiTheme="minorHAnsi" w:hAnsiTheme="minorHAnsi" w:cs="Calibri"/>
        </w:rPr>
        <w:t>.</w:t>
      </w:r>
    </w:p>
    <w:p w:rsidR="004767DA" w:rsidRPr="00666F76" w:rsidRDefault="004767DA" w:rsidP="004767DA">
      <w:pPr>
        <w:rPr>
          <w:rFonts w:ascii="Calibri" w:hAnsi="Calibri" w:cs="Calibri"/>
        </w:rPr>
      </w:pPr>
      <w:r w:rsidRPr="00666F76">
        <w:rPr>
          <w:rFonts w:ascii="Calibri" w:hAnsi="Calibri" w:cs="Calibri"/>
          <w:b/>
        </w:rPr>
        <w:t>1.4.</w:t>
      </w:r>
      <w:r w:rsidRPr="00666F76">
        <w:rPr>
          <w:rFonts w:ascii="Calibri" w:hAnsi="Calibri" w:cs="Calibri"/>
        </w:rPr>
        <w:t xml:space="preserve"> Określenia podstawowe</w:t>
      </w:r>
    </w:p>
    <w:p w:rsidR="004767DA" w:rsidRPr="00666F76" w:rsidRDefault="004767DA" w:rsidP="004767DA">
      <w:pPr>
        <w:rPr>
          <w:rFonts w:ascii="Calibri" w:hAnsi="Calibri" w:cs="Calibri"/>
        </w:rPr>
      </w:pPr>
      <w:r w:rsidRPr="00666F76">
        <w:rPr>
          <w:rFonts w:ascii="Calibri" w:hAnsi="Calibri" w:cs="Calibri"/>
        </w:rPr>
        <w:tab/>
        <w:t>Stosowane określenia podstawowe są zgodne z obowiązującymi, odpowiednimi polskimi normami oraz z definicjami podanymi w ST D-M-00.00.00 „Wymagania ogólne” pkt 1.4.</w:t>
      </w:r>
    </w:p>
    <w:p w:rsidR="004767DA" w:rsidRPr="00666F76" w:rsidRDefault="004767DA" w:rsidP="004767DA">
      <w:pPr>
        <w:rPr>
          <w:rFonts w:ascii="Calibri" w:hAnsi="Calibri" w:cs="Calibri"/>
        </w:rPr>
      </w:pPr>
      <w:r w:rsidRPr="00666F76">
        <w:rPr>
          <w:rFonts w:ascii="Calibri" w:hAnsi="Calibri" w:cs="Calibri"/>
          <w:b/>
        </w:rPr>
        <w:t>1.5.</w:t>
      </w:r>
      <w:r w:rsidRPr="00666F76">
        <w:rPr>
          <w:rFonts w:ascii="Calibri" w:hAnsi="Calibri" w:cs="Calibri"/>
        </w:rPr>
        <w:t xml:space="preserve"> Ogólne wymagania dotyczące robót</w:t>
      </w:r>
    </w:p>
    <w:p w:rsidR="004767DA" w:rsidRPr="00666F76" w:rsidRDefault="004767DA" w:rsidP="004767DA">
      <w:pPr>
        <w:rPr>
          <w:rFonts w:ascii="Calibri" w:hAnsi="Calibri" w:cs="Calibri"/>
        </w:rPr>
      </w:pPr>
      <w:r w:rsidRPr="00666F76">
        <w:rPr>
          <w:rFonts w:ascii="Calibri" w:hAnsi="Calibri" w:cs="Calibri"/>
        </w:rPr>
        <w:tab/>
        <w:t>Ogólne wymagania dotyczące robót podano w ST D-M-00.00.00 „Wymagania ogólne” pkt 1.5.</w:t>
      </w:r>
    </w:p>
    <w:p w:rsidR="004767DA" w:rsidRPr="00666F76" w:rsidRDefault="004767DA" w:rsidP="004767DA">
      <w:pPr>
        <w:rPr>
          <w:rFonts w:ascii="Calibri" w:hAnsi="Calibri" w:cs="Calibri"/>
        </w:rPr>
      </w:pPr>
    </w:p>
    <w:p w:rsidR="004767DA" w:rsidRPr="00666F76" w:rsidRDefault="004767DA" w:rsidP="004767DA">
      <w:pPr>
        <w:rPr>
          <w:rFonts w:ascii="Calibri" w:hAnsi="Calibri" w:cs="Calibri"/>
          <w:b/>
        </w:rPr>
      </w:pPr>
      <w:r w:rsidRPr="00666F76">
        <w:rPr>
          <w:rFonts w:ascii="Calibri" w:hAnsi="Calibri" w:cs="Calibri"/>
          <w:b/>
        </w:rPr>
        <w:t>2. MATERIAŁY</w:t>
      </w:r>
    </w:p>
    <w:p w:rsidR="004767DA" w:rsidRPr="00666F76" w:rsidRDefault="004767DA" w:rsidP="004767DA">
      <w:pPr>
        <w:rPr>
          <w:rFonts w:ascii="Calibri" w:hAnsi="Calibri" w:cs="Calibri"/>
        </w:rPr>
      </w:pPr>
      <w:r w:rsidRPr="00666F76">
        <w:rPr>
          <w:rFonts w:ascii="Calibri" w:hAnsi="Calibri" w:cs="Calibri"/>
        </w:rPr>
        <w:tab/>
        <w:t>Nie występują.</w:t>
      </w:r>
    </w:p>
    <w:p w:rsidR="004767DA" w:rsidRPr="00666F76" w:rsidRDefault="004767DA" w:rsidP="004767DA">
      <w:pPr>
        <w:rPr>
          <w:rFonts w:ascii="Calibri" w:hAnsi="Calibri" w:cs="Calibri"/>
        </w:rPr>
      </w:pPr>
    </w:p>
    <w:p w:rsidR="004767DA" w:rsidRPr="00666F76" w:rsidRDefault="004767DA" w:rsidP="004767DA">
      <w:pPr>
        <w:rPr>
          <w:rFonts w:ascii="Calibri" w:hAnsi="Calibri" w:cs="Calibri"/>
          <w:b/>
        </w:rPr>
      </w:pPr>
      <w:r w:rsidRPr="00666F76">
        <w:rPr>
          <w:rFonts w:ascii="Calibri" w:hAnsi="Calibri" w:cs="Calibri"/>
          <w:b/>
        </w:rPr>
        <w:t>3. SPRZĘT</w:t>
      </w:r>
    </w:p>
    <w:p w:rsidR="004767DA" w:rsidRPr="00666F76" w:rsidRDefault="004767DA" w:rsidP="004767DA">
      <w:pPr>
        <w:rPr>
          <w:rFonts w:ascii="Calibri" w:hAnsi="Calibri" w:cs="Calibri"/>
        </w:rPr>
      </w:pPr>
      <w:r w:rsidRPr="00666F76">
        <w:rPr>
          <w:rFonts w:ascii="Calibri" w:hAnsi="Calibri" w:cs="Calibri"/>
          <w:b/>
        </w:rPr>
        <w:t>3.1.</w:t>
      </w:r>
      <w:r w:rsidRPr="00666F76">
        <w:rPr>
          <w:rFonts w:ascii="Calibri" w:hAnsi="Calibri" w:cs="Calibri"/>
        </w:rPr>
        <w:t xml:space="preserve"> Ogólne wymagania dotyczące sprzętu</w:t>
      </w:r>
    </w:p>
    <w:p w:rsidR="004767DA" w:rsidRPr="00666F76" w:rsidRDefault="004767DA" w:rsidP="004767DA">
      <w:pPr>
        <w:rPr>
          <w:rFonts w:ascii="Calibri" w:hAnsi="Calibri" w:cs="Calibri"/>
        </w:rPr>
      </w:pPr>
      <w:r w:rsidRPr="00666F76">
        <w:rPr>
          <w:rFonts w:ascii="Calibri" w:hAnsi="Calibri" w:cs="Calibri"/>
        </w:rPr>
        <w:tab/>
        <w:t>Ogólne wymagania dotyczące sprzętu podano w ST D-M-00.00.00 „Wymagania ogólne” pkt 3.</w:t>
      </w:r>
    </w:p>
    <w:p w:rsidR="004767DA" w:rsidRPr="00666F76" w:rsidRDefault="004767DA" w:rsidP="004767DA">
      <w:pPr>
        <w:rPr>
          <w:rFonts w:ascii="Calibri" w:hAnsi="Calibri" w:cs="Calibri"/>
        </w:rPr>
      </w:pPr>
      <w:r w:rsidRPr="00666F76">
        <w:rPr>
          <w:rFonts w:ascii="Calibri" w:hAnsi="Calibri" w:cs="Calibri"/>
          <w:b/>
        </w:rPr>
        <w:t>3.2.</w:t>
      </w:r>
      <w:r w:rsidRPr="00666F76">
        <w:rPr>
          <w:rFonts w:ascii="Calibri" w:hAnsi="Calibri" w:cs="Calibri"/>
        </w:rPr>
        <w:t xml:space="preserve"> Sprzęt do zdjęcia humusu i/lub darniny</w:t>
      </w:r>
    </w:p>
    <w:p w:rsidR="004767DA" w:rsidRPr="00666F76" w:rsidRDefault="004767DA" w:rsidP="004767DA">
      <w:pPr>
        <w:rPr>
          <w:rFonts w:ascii="Calibri" w:hAnsi="Calibri" w:cs="Calibri"/>
        </w:rPr>
      </w:pPr>
      <w:r w:rsidRPr="00666F76">
        <w:rPr>
          <w:rFonts w:ascii="Calibri" w:hAnsi="Calibri" w:cs="Calibri"/>
        </w:rPr>
        <w:tab/>
        <w:t>Do wykonania robót związanych ze zdjęciem warstwy humusu lub/i darniny nie nadającej się do powtórnego użycia należy stosować:</w:t>
      </w:r>
    </w:p>
    <w:p w:rsidR="004767DA" w:rsidRPr="00666F76" w:rsidRDefault="007A3E8C" w:rsidP="004767DA">
      <w:pPr>
        <w:rPr>
          <w:rFonts w:ascii="Calibri" w:hAnsi="Calibri" w:cs="Calibri"/>
        </w:rPr>
      </w:pPr>
      <w:r w:rsidRPr="00666F76">
        <w:rPr>
          <w:rFonts w:ascii="Calibri" w:hAnsi="Calibri" w:cs="Calibri"/>
        </w:rPr>
        <w:t>-</w:t>
      </w:r>
      <w:r w:rsidR="004767DA" w:rsidRPr="00666F76">
        <w:rPr>
          <w:rFonts w:ascii="Calibri" w:hAnsi="Calibri" w:cs="Calibri"/>
        </w:rPr>
        <w:t>równiarki,</w:t>
      </w:r>
    </w:p>
    <w:p w:rsidR="004767DA" w:rsidRPr="00666F76" w:rsidRDefault="007A3E8C" w:rsidP="004767DA">
      <w:pPr>
        <w:rPr>
          <w:rFonts w:ascii="Calibri" w:hAnsi="Calibri" w:cs="Calibri"/>
        </w:rPr>
      </w:pPr>
      <w:r w:rsidRPr="00666F76">
        <w:rPr>
          <w:rFonts w:ascii="Calibri" w:hAnsi="Calibri" w:cs="Calibri"/>
        </w:rPr>
        <w:t>-</w:t>
      </w:r>
      <w:r w:rsidR="004767DA" w:rsidRPr="00666F76">
        <w:rPr>
          <w:rFonts w:ascii="Calibri" w:hAnsi="Calibri" w:cs="Calibri"/>
        </w:rPr>
        <w:t>spycharki,</w:t>
      </w:r>
    </w:p>
    <w:p w:rsidR="004767DA" w:rsidRPr="00666F76" w:rsidRDefault="007A3E8C" w:rsidP="004767DA">
      <w:pPr>
        <w:rPr>
          <w:rFonts w:ascii="Calibri" w:hAnsi="Calibri" w:cs="Calibri"/>
        </w:rPr>
      </w:pPr>
      <w:r w:rsidRPr="00666F76">
        <w:rPr>
          <w:rFonts w:ascii="Calibri" w:hAnsi="Calibri" w:cs="Calibri"/>
        </w:rPr>
        <w:t>-</w:t>
      </w:r>
      <w:r w:rsidR="004767DA" w:rsidRPr="00666F76">
        <w:rPr>
          <w:rFonts w:ascii="Calibri" w:hAnsi="Calibri" w:cs="Calibri"/>
        </w:rPr>
        <w:t>łopaty, szpadle i inny sprzęt do ręcznego wykonywania robót ziemnych - w miejscach, gdzie prawidłowe wykonanie robót sprzętem zmechanizowanym nie jest możliwe,</w:t>
      </w:r>
    </w:p>
    <w:p w:rsidR="004767DA" w:rsidRPr="00666F76" w:rsidRDefault="007A3E8C" w:rsidP="004767DA">
      <w:pPr>
        <w:rPr>
          <w:rFonts w:ascii="Calibri" w:hAnsi="Calibri" w:cs="Calibri"/>
        </w:rPr>
      </w:pPr>
      <w:r w:rsidRPr="00666F76">
        <w:rPr>
          <w:rFonts w:ascii="Calibri" w:hAnsi="Calibri" w:cs="Calibri"/>
        </w:rPr>
        <w:t>-</w:t>
      </w:r>
      <w:r w:rsidR="004767DA" w:rsidRPr="00666F76">
        <w:rPr>
          <w:rFonts w:ascii="Calibri" w:hAnsi="Calibri" w:cs="Calibri"/>
        </w:rPr>
        <w:t>koparki i samochody samowyładowcze - w przypadku transportu na odległość wymagającą zastosowania takiego sprzętu.</w:t>
      </w:r>
    </w:p>
    <w:p w:rsidR="004767DA" w:rsidRPr="00666F76" w:rsidRDefault="004767DA" w:rsidP="004767DA">
      <w:pPr>
        <w:rPr>
          <w:rFonts w:ascii="Calibri" w:hAnsi="Calibri" w:cs="Calibri"/>
        </w:rPr>
      </w:pPr>
      <w:r w:rsidRPr="00666F76">
        <w:rPr>
          <w:rFonts w:ascii="Calibri" w:hAnsi="Calibri" w:cs="Calibri"/>
        </w:rPr>
        <w:tab/>
        <w:t>Do wykonania robót związanych ze zdjęciem warstwy darniny nadającej się do powtórnego użycia, należy stosować:</w:t>
      </w:r>
    </w:p>
    <w:p w:rsidR="004767DA" w:rsidRPr="00666F76" w:rsidRDefault="007A3E8C" w:rsidP="004767DA">
      <w:pPr>
        <w:rPr>
          <w:rFonts w:ascii="Calibri" w:hAnsi="Calibri" w:cs="Calibri"/>
        </w:rPr>
      </w:pPr>
      <w:r w:rsidRPr="00666F76">
        <w:rPr>
          <w:rFonts w:ascii="Calibri" w:hAnsi="Calibri" w:cs="Calibri"/>
        </w:rPr>
        <w:t>-</w:t>
      </w:r>
      <w:r w:rsidR="004767DA" w:rsidRPr="00666F76">
        <w:rPr>
          <w:rFonts w:ascii="Calibri" w:hAnsi="Calibri" w:cs="Calibri"/>
        </w:rPr>
        <w:t>noże do cięcia darniny według zasad określonych w p. 5.3,</w:t>
      </w:r>
    </w:p>
    <w:p w:rsidR="004767DA" w:rsidRPr="00666F76" w:rsidRDefault="007A3E8C" w:rsidP="004767DA">
      <w:pPr>
        <w:rPr>
          <w:rFonts w:ascii="Calibri" w:hAnsi="Calibri" w:cs="Calibri"/>
        </w:rPr>
      </w:pPr>
      <w:r w:rsidRPr="00666F76">
        <w:rPr>
          <w:rFonts w:ascii="Calibri" w:hAnsi="Calibri" w:cs="Calibri"/>
        </w:rPr>
        <w:t>-</w:t>
      </w:r>
      <w:r w:rsidR="004767DA" w:rsidRPr="00666F76">
        <w:rPr>
          <w:rFonts w:ascii="Calibri" w:hAnsi="Calibri" w:cs="Calibri"/>
        </w:rPr>
        <w:t>łopaty i szpadle.</w:t>
      </w:r>
    </w:p>
    <w:p w:rsidR="004767DA" w:rsidRPr="00666F76" w:rsidRDefault="004767DA" w:rsidP="004767DA">
      <w:pPr>
        <w:rPr>
          <w:rFonts w:ascii="Calibri" w:hAnsi="Calibri" w:cs="Calibri"/>
        </w:rPr>
      </w:pPr>
    </w:p>
    <w:p w:rsidR="004767DA" w:rsidRPr="00666F76" w:rsidRDefault="004767DA" w:rsidP="004767DA">
      <w:pPr>
        <w:rPr>
          <w:rFonts w:ascii="Calibri" w:hAnsi="Calibri" w:cs="Calibri"/>
          <w:b/>
        </w:rPr>
      </w:pPr>
      <w:r w:rsidRPr="00666F76">
        <w:rPr>
          <w:rFonts w:ascii="Calibri" w:hAnsi="Calibri" w:cs="Calibri"/>
          <w:b/>
        </w:rPr>
        <w:t>4. TRANSPORT</w:t>
      </w:r>
    </w:p>
    <w:p w:rsidR="004767DA" w:rsidRPr="00666F76" w:rsidRDefault="004767DA" w:rsidP="004767DA">
      <w:pPr>
        <w:rPr>
          <w:rFonts w:ascii="Calibri" w:hAnsi="Calibri" w:cs="Calibri"/>
        </w:rPr>
      </w:pPr>
      <w:r w:rsidRPr="00666F76">
        <w:rPr>
          <w:rFonts w:ascii="Calibri" w:hAnsi="Calibri" w:cs="Calibri"/>
          <w:b/>
        </w:rPr>
        <w:t>4.1.</w:t>
      </w:r>
      <w:r w:rsidRPr="00666F76">
        <w:rPr>
          <w:rFonts w:ascii="Calibri" w:hAnsi="Calibri" w:cs="Calibri"/>
        </w:rPr>
        <w:t xml:space="preserve"> Ogólne wymagania dotyczące transportu</w:t>
      </w:r>
    </w:p>
    <w:p w:rsidR="004767DA" w:rsidRPr="00666F76" w:rsidRDefault="004767DA" w:rsidP="004767DA">
      <w:pPr>
        <w:rPr>
          <w:rFonts w:ascii="Calibri" w:hAnsi="Calibri" w:cs="Calibri"/>
        </w:rPr>
      </w:pPr>
      <w:r w:rsidRPr="00666F76">
        <w:rPr>
          <w:rFonts w:ascii="Calibri" w:hAnsi="Calibri" w:cs="Calibri"/>
        </w:rPr>
        <w:tab/>
        <w:t>Ogólne wymagania dotyczące transportu podano w ST D-M-00.00.00 „Wymagania ogólne” pkt 4.</w:t>
      </w:r>
    </w:p>
    <w:p w:rsidR="004767DA" w:rsidRPr="00666F76" w:rsidRDefault="004767DA" w:rsidP="004767DA">
      <w:pPr>
        <w:rPr>
          <w:rFonts w:ascii="Calibri" w:hAnsi="Calibri" w:cs="Calibri"/>
        </w:rPr>
      </w:pPr>
      <w:r w:rsidRPr="00666F76">
        <w:rPr>
          <w:rFonts w:ascii="Calibri" w:hAnsi="Calibri" w:cs="Calibri"/>
          <w:b/>
        </w:rPr>
        <w:t>4.2.</w:t>
      </w:r>
      <w:r w:rsidRPr="00666F76">
        <w:rPr>
          <w:rFonts w:ascii="Calibri" w:hAnsi="Calibri" w:cs="Calibri"/>
        </w:rPr>
        <w:t xml:space="preserve"> Transport humusu i darniny</w:t>
      </w:r>
    </w:p>
    <w:p w:rsidR="004767DA" w:rsidRPr="00666F76" w:rsidRDefault="004767DA" w:rsidP="004767DA">
      <w:pPr>
        <w:rPr>
          <w:rFonts w:ascii="Calibri" w:hAnsi="Calibri" w:cs="Calibri"/>
        </w:rPr>
      </w:pPr>
      <w:r w:rsidRPr="00666F76">
        <w:rPr>
          <w:rFonts w:ascii="Calibri" w:hAnsi="Calibri" w:cs="Calibri"/>
        </w:rPr>
        <w:tab/>
        <w:t>Humus należy przemieszczać z zastosowaniem równiarek lub spycharek albo przewozić transportem samochodowym. Wybór środka transportu zależy od odległości, warunków lokalnych i przeznaczenia humusu.</w:t>
      </w:r>
    </w:p>
    <w:p w:rsidR="004767DA" w:rsidRPr="00666F76" w:rsidRDefault="004767DA" w:rsidP="004767DA">
      <w:pPr>
        <w:rPr>
          <w:rFonts w:ascii="Calibri" w:hAnsi="Calibri" w:cs="Calibri"/>
        </w:rPr>
      </w:pPr>
      <w:r w:rsidRPr="00666F76">
        <w:rPr>
          <w:rFonts w:ascii="Calibri" w:hAnsi="Calibri" w:cs="Calibri"/>
        </w:rPr>
        <w:tab/>
        <w:t>Darninę należy przewozić transportem samochodowym. W przypadku darniny przeznaczonej do powtórnego zastosowania, powinna ona być transportowana w sposób nie powodujący uszkodzeń.</w:t>
      </w:r>
    </w:p>
    <w:p w:rsidR="004767DA" w:rsidRPr="00666F76" w:rsidRDefault="004767DA" w:rsidP="004767DA">
      <w:pPr>
        <w:rPr>
          <w:rFonts w:ascii="Calibri" w:hAnsi="Calibri" w:cs="Calibri"/>
        </w:rPr>
      </w:pPr>
    </w:p>
    <w:p w:rsidR="004767DA" w:rsidRPr="00666F76" w:rsidRDefault="004767DA" w:rsidP="004767DA">
      <w:pPr>
        <w:rPr>
          <w:rFonts w:ascii="Calibri" w:hAnsi="Calibri" w:cs="Calibri"/>
          <w:b/>
        </w:rPr>
      </w:pPr>
      <w:r w:rsidRPr="00666F76">
        <w:rPr>
          <w:rFonts w:ascii="Calibri" w:hAnsi="Calibri" w:cs="Calibri"/>
          <w:b/>
        </w:rPr>
        <w:t>5. WYKONANIE ROBÓT</w:t>
      </w:r>
    </w:p>
    <w:p w:rsidR="004767DA" w:rsidRPr="00666F76" w:rsidRDefault="004767DA" w:rsidP="004767DA">
      <w:pPr>
        <w:rPr>
          <w:rFonts w:ascii="Calibri" w:hAnsi="Calibri" w:cs="Calibri"/>
        </w:rPr>
      </w:pPr>
      <w:r w:rsidRPr="00666F76">
        <w:rPr>
          <w:rFonts w:ascii="Calibri" w:hAnsi="Calibri" w:cs="Calibri"/>
          <w:b/>
        </w:rPr>
        <w:t>5.1.</w:t>
      </w:r>
      <w:r w:rsidRPr="00666F76">
        <w:rPr>
          <w:rFonts w:ascii="Calibri" w:hAnsi="Calibri" w:cs="Calibri"/>
        </w:rPr>
        <w:t xml:space="preserve"> Ogólne zasady wykonania robót</w:t>
      </w:r>
    </w:p>
    <w:p w:rsidR="004767DA" w:rsidRPr="00666F76" w:rsidRDefault="004767DA" w:rsidP="004767DA">
      <w:pPr>
        <w:rPr>
          <w:rFonts w:ascii="Calibri" w:hAnsi="Calibri" w:cs="Calibri"/>
        </w:rPr>
      </w:pPr>
      <w:r w:rsidRPr="00666F76">
        <w:rPr>
          <w:rFonts w:ascii="Calibri" w:hAnsi="Calibri" w:cs="Calibri"/>
        </w:rPr>
        <w:tab/>
        <w:t>Ogólne zasady wykonania robót podano w ST D-M-00.00.00 „Wymagania ogólne” pkt 5.</w:t>
      </w:r>
    </w:p>
    <w:p w:rsidR="004767DA" w:rsidRPr="00666F76" w:rsidRDefault="004767DA" w:rsidP="004767DA">
      <w:pPr>
        <w:rPr>
          <w:rFonts w:ascii="Calibri" w:hAnsi="Calibri" w:cs="Calibri"/>
        </w:rPr>
      </w:pPr>
      <w:r w:rsidRPr="00666F76">
        <w:rPr>
          <w:rFonts w:ascii="Calibri" w:hAnsi="Calibri" w:cs="Calibri"/>
        </w:rPr>
        <w:tab/>
        <w:t>Teren pod budowę drogi w pasie robót ziemnych, w miejscach dokopów i w innych miejscach wskazanych w dokumentacji projektowej powinien być oczyszczony z humusu i/lub darniny.</w:t>
      </w:r>
    </w:p>
    <w:p w:rsidR="004767DA" w:rsidRPr="00666F76" w:rsidRDefault="004767DA" w:rsidP="004767DA">
      <w:pPr>
        <w:rPr>
          <w:rFonts w:ascii="Calibri" w:hAnsi="Calibri" w:cs="Calibri"/>
        </w:rPr>
      </w:pPr>
      <w:r w:rsidRPr="00666F76">
        <w:rPr>
          <w:rFonts w:ascii="Calibri" w:hAnsi="Calibri" w:cs="Calibri"/>
          <w:b/>
        </w:rPr>
        <w:t>5.2.</w:t>
      </w:r>
      <w:r w:rsidRPr="00666F76">
        <w:rPr>
          <w:rFonts w:ascii="Calibri" w:hAnsi="Calibri" w:cs="Calibri"/>
        </w:rPr>
        <w:t xml:space="preserve"> Zdjęcie warstwy humusu</w:t>
      </w:r>
    </w:p>
    <w:p w:rsidR="004767DA" w:rsidRPr="00666F76" w:rsidRDefault="004767DA" w:rsidP="004767DA">
      <w:pPr>
        <w:rPr>
          <w:rFonts w:ascii="Calibri" w:hAnsi="Calibri" w:cs="Calibri"/>
        </w:rPr>
      </w:pPr>
      <w:r w:rsidRPr="00666F76">
        <w:rPr>
          <w:rFonts w:ascii="Calibri" w:hAnsi="Calibri" w:cs="Calibri"/>
        </w:rPr>
        <w:tab/>
        <w:t>Warstwa humusu powinna być zdjęta z przeznaczeniem do późniejszego użycia przy umacnianiu skarp, zakładaniu trawników, sadzeniu drzew i krzewów oraz do innych czynności określonych w dokumentacji projektowej. Zagospodarowanie nadmiaru humusu powinno być wy</w:t>
      </w:r>
      <w:r w:rsidR="00301193" w:rsidRPr="00666F76">
        <w:rPr>
          <w:rFonts w:ascii="Calibri" w:hAnsi="Calibri" w:cs="Calibri"/>
        </w:rPr>
        <w:t>konane zgodnie z ustaleniami dokumentacji projektowej</w:t>
      </w:r>
      <w:r w:rsidRPr="00666F76">
        <w:rPr>
          <w:rFonts w:ascii="Calibri" w:hAnsi="Calibri" w:cs="Calibri"/>
        </w:rPr>
        <w:t xml:space="preserve"> lub wskazaniami Inżyniera.</w:t>
      </w:r>
    </w:p>
    <w:p w:rsidR="004767DA" w:rsidRPr="00C3632E" w:rsidRDefault="004767DA" w:rsidP="004767DA">
      <w:pPr>
        <w:rPr>
          <w:rFonts w:ascii="Calibri" w:hAnsi="Calibri" w:cs="Calibri"/>
        </w:rPr>
      </w:pPr>
      <w:r w:rsidRPr="00C3632E">
        <w:rPr>
          <w:rFonts w:ascii="Calibri" w:hAnsi="Calibri" w:cs="Calibri"/>
        </w:rPr>
        <w:lastRenderedPageBreak/>
        <w:tab/>
        <w:t>Humus należy zdejmować mechanicznie z zastosowaniem równiarek lub spycharek. W wyjątkowych sytuacjach, gdy zastosowanie maszyn nie jest wystarczające dla prawidłowego wykonania robót, względnie może stanowić zagrożenie dla bezpieczeństwa robót (zmienna grubość warstwy humusu, sąsiedztwo budowli), należy dodatkowo stosować ręczne wykonanie robót, jako uzupełnienie prac wykonywanych  mechanicznie.</w:t>
      </w:r>
    </w:p>
    <w:p w:rsidR="004767DA" w:rsidRPr="00C3632E" w:rsidRDefault="004767DA" w:rsidP="004767DA">
      <w:pPr>
        <w:rPr>
          <w:rFonts w:ascii="Calibri" w:hAnsi="Calibri" w:cs="Calibri"/>
        </w:rPr>
      </w:pPr>
      <w:r w:rsidRPr="00C3632E">
        <w:rPr>
          <w:rFonts w:ascii="Calibri" w:hAnsi="Calibri" w:cs="Calibri"/>
        </w:rPr>
        <w:tab/>
        <w:t>Warstwę humusu należy zdjąć z powierzchni całego pasa robót ziemnych oraz w innych miejscach określonych w dokumentacji projektowej lub wskazanych przez Inżyniera.</w:t>
      </w:r>
    </w:p>
    <w:p w:rsidR="004767DA" w:rsidRPr="00C3632E" w:rsidRDefault="004767DA" w:rsidP="004767DA">
      <w:pPr>
        <w:rPr>
          <w:rFonts w:ascii="Calibri" w:hAnsi="Calibri" w:cs="Calibri"/>
        </w:rPr>
      </w:pPr>
      <w:r w:rsidRPr="00C3632E">
        <w:rPr>
          <w:rFonts w:ascii="Calibri" w:hAnsi="Calibri" w:cs="Calibri"/>
        </w:rPr>
        <w:tab/>
        <w:t>Grubość zdejmowanej warstwy humusu (zależna od głębokości jego zalegania, wysokości nasypu, potrzeb jego wykorzystania na budowie itp.) powinna być zgodna z ustaleniami dokumentacji projektowej lub wskazana przez Inżyniera, według faktycznego stanu występowania. Stan faktyczny będzie stanowił podstawę do rozliczenia czynności związanych ze zdjęciem warstwy humusu.</w:t>
      </w:r>
    </w:p>
    <w:p w:rsidR="004767DA" w:rsidRPr="00C3632E" w:rsidRDefault="004767DA" w:rsidP="004767DA">
      <w:pPr>
        <w:rPr>
          <w:rFonts w:ascii="Calibri" w:hAnsi="Calibri" w:cs="Calibri"/>
        </w:rPr>
      </w:pPr>
      <w:r w:rsidRPr="00C3632E">
        <w:rPr>
          <w:rFonts w:ascii="Calibri" w:hAnsi="Calibri" w:cs="Calibri"/>
        </w:rPr>
        <w:tab/>
        <w:t>Zdjęty humus należy składować w regularnych pryzmach. Miejsca składowania humusu powinny być przez Wykonawcę tak dobrane, aby humus był zabezpieczony przed zanieczyszczeniem, a także najeżdżaniem przez pojazdy. Nie należy zdejmować humusu w czasie intensywnych opadów i bezpośrednio po nich, aby uniknąć zanieczyszczenia gliną lub innym gruntem nieorganicznym.</w:t>
      </w:r>
    </w:p>
    <w:p w:rsidR="004767DA" w:rsidRPr="00C3632E" w:rsidRDefault="004767DA" w:rsidP="004767DA">
      <w:pPr>
        <w:rPr>
          <w:rFonts w:ascii="Calibri" w:hAnsi="Calibri" w:cs="Calibri"/>
        </w:rPr>
      </w:pPr>
      <w:r w:rsidRPr="00BE29E7">
        <w:rPr>
          <w:rFonts w:ascii="Calibri" w:hAnsi="Calibri" w:cs="Calibri"/>
          <w:b/>
        </w:rPr>
        <w:t xml:space="preserve">5.3. </w:t>
      </w:r>
      <w:r w:rsidRPr="00C3632E">
        <w:rPr>
          <w:rFonts w:ascii="Calibri" w:hAnsi="Calibri" w:cs="Calibri"/>
        </w:rPr>
        <w:t>Zdjęcie darniny</w:t>
      </w:r>
    </w:p>
    <w:p w:rsidR="004767DA" w:rsidRPr="00C3632E" w:rsidRDefault="004767DA" w:rsidP="004767DA">
      <w:pPr>
        <w:rPr>
          <w:rFonts w:ascii="Calibri" w:hAnsi="Calibri" w:cs="Calibri"/>
        </w:rPr>
      </w:pPr>
      <w:r w:rsidRPr="00C3632E">
        <w:rPr>
          <w:rFonts w:ascii="Calibri" w:hAnsi="Calibri" w:cs="Calibri"/>
        </w:rPr>
        <w:tab/>
        <w:t>Jeżeli powierzchnia terenu w obrębie pasa przeznaczonego pod budowę trasy drogowej jest pokryta darniną przeznaczoną do umocnienia skarp, darninę należy zdjąć w sposób, który nie spowoduje jej uszkodzeń i przechowywać w odpowiednich warunkach do czasu wykorzystania.</w:t>
      </w:r>
    </w:p>
    <w:p w:rsidR="004767DA" w:rsidRPr="00C3632E" w:rsidRDefault="004767DA" w:rsidP="004767DA">
      <w:pPr>
        <w:rPr>
          <w:rFonts w:ascii="Calibri" w:hAnsi="Calibri" w:cs="Calibri"/>
        </w:rPr>
      </w:pPr>
      <w:r w:rsidRPr="00C3632E">
        <w:rPr>
          <w:rFonts w:ascii="Calibri" w:hAnsi="Calibri" w:cs="Calibri"/>
        </w:rPr>
        <w:tab/>
        <w:t xml:space="preserve">Wysokie trawy powinny być skoszone przed zdjęciem darniny. Darninę należy ciąć w regularne, prostokątne pasy o szerokości około </w:t>
      </w:r>
      <w:smartTag w:uri="urn:schemas-microsoft-com:office:smarttags" w:element="metricconverter">
        <w:smartTagPr>
          <w:attr w:name="ProductID" w:val="0,30 metra"/>
        </w:smartTagPr>
        <w:r w:rsidRPr="00C3632E">
          <w:rPr>
            <w:rFonts w:ascii="Calibri" w:hAnsi="Calibri" w:cs="Calibri"/>
          </w:rPr>
          <w:t>0,30 metra</w:t>
        </w:r>
      </w:smartTag>
      <w:r w:rsidRPr="00C3632E">
        <w:rPr>
          <w:rFonts w:ascii="Calibri" w:hAnsi="Calibri" w:cs="Calibri"/>
        </w:rPr>
        <w:t xml:space="preserve"> lub w kwadraty o długości boku około </w:t>
      </w:r>
      <w:smartTag w:uri="urn:schemas-microsoft-com:office:smarttags" w:element="metricconverter">
        <w:smartTagPr>
          <w:attr w:name="ProductID" w:val="0,30 metra"/>
        </w:smartTagPr>
        <w:r w:rsidRPr="00C3632E">
          <w:rPr>
            <w:rFonts w:ascii="Calibri" w:hAnsi="Calibri" w:cs="Calibri"/>
          </w:rPr>
          <w:t>0,30 metra</w:t>
        </w:r>
      </w:smartTag>
      <w:r w:rsidRPr="00C3632E">
        <w:rPr>
          <w:rFonts w:ascii="Calibri" w:hAnsi="Calibri" w:cs="Calibri"/>
        </w:rPr>
        <w:t xml:space="preserve">. Grubość darniny powinna wynosić od 0,05 do </w:t>
      </w:r>
      <w:smartTag w:uri="urn:schemas-microsoft-com:office:smarttags" w:element="metricconverter">
        <w:smartTagPr>
          <w:attr w:name="ProductID" w:val="0,10 metra"/>
        </w:smartTagPr>
        <w:r w:rsidRPr="00C3632E">
          <w:rPr>
            <w:rFonts w:ascii="Calibri" w:hAnsi="Calibri" w:cs="Calibri"/>
          </w:rPr>
          <w:t>0,10 metra</w:t>
        </w:r>
      </w:smartTag>
      <w:r w:rsidRPr="00C3632E">
        <w:rPr>
          <w:rFonts w:ascii="Calibri" w:hAnsi="Calibri" w:cs="Calibri"/>
        </w:rPr>
        <w:t>.</w:t>
      </w:r>
    </w:p>
    <w:p w:rsidR="004767DA" w:rsidRPr="00C3632E" w:rsidRDefault="004767DA" w:rsidP="004767DA">
      <w:pPr>
        <w:rPr>
          <w:rFonts w:ascii="Calibri" w:hAnsi="Calibri" w:cs="Calibri"/>
        </w:rPr>
      </w:pPr>
      <w:r w:rsidRPr="00C3632E">
        <w:rPr>
          <w:rFonts w:ascii="Calibri" w:hAnsi="Calibri" w:cs="Calibri"/>
        </w:rPr>
        <w:tab/>
        <w:t>Należy dążyć do jak najszybszego użycia pozyskanej darniny. Jeżeli darnina przed powtórnym wykorzystaniem musi być składowana, to zaleca się jej rozłożenie na gruncie rodzimym. Jeżeli brak miejsca na takie rozłożenie darniny, to należy ją magazynować w regularnych pryzmach. W porze rozwoju roślin darninę należy składować w warstwach trawą do dołu. W pozostałym okresie darninę należy składować warstwami na przemian trawą do góry i trawą do dołu. Czas składowania darniny przed wbudowaniem nie powinien przekraczać 4 tygodni.</w:t>
      </w:r>
    </w:p>
    <w:p w:rsidR="004767DA" w:rsidRDefault="004767DA" w:rsidP="004767DA">
      <w:pPr>
        <w:rPr>
          <w:rFonts w:ascii="Calibri" w:hAnsi="Calibri" w:cs="Calibri"/>
        </w:rPr>
      </w:pPr>
      <w:r w:rsidRPr="00C3632E">
        <w:rPr>
          <w:rFonts w:ascii="Calibri" w:hAnsi="Calibri" w:cs="Calibri"/>
        </w:rPr>
        <w:tab/>
        <w:t>Darninę nie nadającą się do powtórnego wykorzystania należy usunąć mechanicznie, z zastosowaniem równiarek lub spycharek i przewieźć na miejsce wskazane przez Inżyniera.</w:t>
      </w:r>
    </w:p>
    <w:p w:rsidR="004767DA" w:rsidRPr="00C3632E" w:rsidRDefault="004767DA" w:rsidP="004767DA">
      <w:pPr>
        <w:rPr>
          <w:rFonts w:ascii="Calibri" w:hAnsi="Calibri" w:cs="Calibri"/>
        </w:rPr>
      </w:pPr>
    </w:p>
    <w:p w:rsidR="004767DA" w:rsidRPr="00BE29E7" w:rsidRDefault="004767DA" w:rsidP="004767DA">
      <w:pPr>
        <w:rPr>
          <w:rFonts w:ascii="Calibri" w:hAnsi="Calibri" w:cs="Calibri"/>
          <w:b/>
        </w:rPr>
      </w:pPr>
      <w:r w:rsidRPr="00BE29E7">
        <w:rPr>
          <w:rFonts w:ascii="Calibri" w:hAnsi="Calibri" w:cs="Calibri"/>
          <w:b/>
        </w:rPr>
        <w:t>6. KONTROLA JAKOŚCI ROBÓT</w:t>
      </w:r>
    </w:p>
    <w:p w:rsidR="004767DA" w:rsidRPr="00C3632E" w:rsidRDefault="004767DA" w:rsidP="004767DA">
      <w:pPr>
        <w:rPr>
          <w:rFonts w:ascii="Calibri" w:hAnsi="Calibri" w:cs="Calibri"/>
        </w:rPr>
      </w:pPr>
      <w:r w:rsidRPr="00BE29E7">
        <w:rPr>
          <w:rFonts w:ascii="Calibri" w:hAnsi="Calibri" w:cs="Calibri"/>
          <w:b/>
        </w:rPr>
        <w:t>6.1.</w:t>
      </w:r>
      <w:r w:rsidRPr="00C3632E">
        <w:rPr>
          <w:rFonts w:ascii="Calibri" w:hAnsi="Calibri" w:cs="Calibri"/>
        </w:rPr>
        <w:t xml:space="preserve"> Ogólne zasady kontroli jakości robót</w:t>
      </w:r>
    </w:p>
    <w:p w:rsidR="004767DA" w:rsidRPr="00C3632E" w:rsidRDefault="004767DA" w:rsidP="004767DA">
      <w:pPr>
        <w:rPr>
          <w:rFonts w:ascii="Calibri" w:hAnsi="Calibri" w:cs="Calibri"/>
        </w:rPr>
      </w:pPr>
      <w:r w:rsidRPr="00C3632E">
        <w:rPr>
          <w:rFonts w:ascii="Calibri" w:hAnsi="Calibri" w:cs="Calibri"/>
        </w:rPr>
        <w:tab/>
        <w:t>Ogólne zasady k</w:t>
      </w:r>
      <w:r>
        <w:rPr>
          <w:rFonts w:ascii="Calibri" w:hAnsi="Calibri" w:cs="Calibri"/>
        </w:rPr>
        <w:t xml:space="preserve">ontroli jakości robót podano w </w:t>
      </w:r>
      <w:r w:rsidRPr="00C3632E">
        <w:rPr>
          <w:rFonts w:ascii="Calibri" w:hAnsi="Calibri" w:cs="Calibri"/>
        </w:rPr>
        <w:t>ST D-M-00.00.00 „Wymagania ogólne” pkt 6.</w:t>
      </w:r>
    </w:p>
    <w:p w:rsidR="004767DA" w:rsidRPr="00C3632E" w:rsidRDefault="004767DA" w:rsidP="004767DA">
      <w:pPr>
        <w:rPr>
          <w:rFonts w:ascii="Calibri" w:hAnsi="Calibri" w:cs="Calibri"/>
        </w:rPr>
      </w:pPr>
      <w:r w:rsidRPr="00BE29E7">
        <w:rPr>
          <w:rFonts w:ascii="Calibri" w:hAnsi="Calibri" w:cs="Calibri"/>
          <w:b/>
        </w:rPr>
        <w:t>6.2.</w:t>
      </w:r>
      <w:r w:rsidRPr="00C3632E">
        <w:rPr>
          <w:rFonts w:ascii="Calibri" w:hAnsi="Calibri" w:cs="Calibri"/>
        </w:rPr>
        <w:t xml:space="preserve"> Kontrola usunięcia humusu lub/i darniny</w:t>
      </w:r>
    </w:p>
    <w:p w:rsidR="004767DA" w:rsidRDefault="004767DA" w:rsidP="004767DA">
      <w:pPr>
        <w:rPr>
          <w:rFonts w:ascii="Calibri" w:hAnsi="Calibri" w:cs="Calibri"/>
        </w:rPr>
      </w:pPr>
      <w:r w:rsidRPr="00C3632E">
        <w:rPr>
          <w:rFonts w:ascii="Calibri" w:hAnsi="Calibri" w:cs="Calibri"/>
        </w:rPr>
        <w:tab/>
        <w:t>Sprawdzenie jakości robót polega na wizualnej ocenie kompletności usunięcia humusu lub/i darniny.</w:t>
      </w:r>
    </w:p>
    <w:p w:rsidR="004767DA" w:rsidRPr="00BE29E7" w:rsidRDefault="004767DA" w:rsidP="004767DA">
      <w:pPr>
        <w:rPr>
          <w:rFonts w:ascii="Calibri" w:hAnsi="Calibri" w:cs="Calibri"/>
          <w:b/>
        </w:rPr>
      </w:pPr>
    </w:p>
    <w:p w:rsidR="004767DA" w:rsidRPr="00BE29E7" w:rsidRDefault="004767DA" w:rsidP="004767DA">
      <w:pPr>
        <w:rPr>
          <w:rFonts w:ascii="Calibri" w:hAnsi="Calibri" w:cs="Calibri"/>
          <w:b/>
        </w:rPr>
      </w:pPr>
      <w:r w:rsidRPr="00BE29E7">
        <w:rPr>
          <w:rFonts w:ascii="Calibri" w:hAnsi="Calibri" w:cs="Calibri"/>
          <w:b/>
        </w:rPr>
        <w:t>7. OBMIAR ROBÓT</w:t>
      </w:r>
    </w:p>
    <w:p w:rsidR="004767DA" w:rsidRPr="00C3632E" w:rsidRDefault="004767DA" w:rsidP="004767DA">
      <w:pPr>
        <w:rPr>
          <w:rFonts w:ascii="Calibri" w:hAnsi="Calibri" w:cs="Calibri"/>
        </w:rPr>
      </w:pPr>
      <w:r w:rsidRPr="00BE29E7">
        <w:rPr>
          <w:rFonts w:ascii="Calibri" w:hAnsi="Calibri" w:cs="Calibri"/>
          <w:b/>
        </w:rPr>
        <w:t>7.1.</w:t>
      </w:r>
      <w:r w:rsidRPr="00C3632E">
        <w:rPr>
          <w:rFonts w:ascii="Calibri" w:hAnsi="Calibri" w:cs="Calibri"/>
        </w:rPr>
        <w:t xml:space="preserve"> Ogólne zasady obmiaru robót</w:t>
      </w:r>
    </w:p>
    <w:p w:rsidR="004767DA" w:rsidRPr="00C3632E" w:rsidRDefault="004767DA" w:rsidP="004767DA">
      <w:pPr>
        <w:rPr>
          <w:rFonts w:ascii="Calibri" w:hAnsi="Calibri" w:cs="Calibri"/>
        </w:rPr>
      </w:pPr>
      <w:r w:rsidRPr="00C3632E">
        <w:rPr>
          <w:rFonts w:ascii="Calibri" w:hAnsi="Calibri" w:cs="Calibri"/>
        </w:rPr>
        <w:tab/>
        <w:t>Ogólne</w:t>
      </w:r>
      <w:r>
        <w:rPr>
          <w:rFonts w:ascii="Calibri" w:hAnsi="Calibri" w:cs="Calibri"/>
        </w:rPr>
        <w:t xml:space="preserve"> zasady obmiaru robót podano w </w:t>
      </w:r>
      <w:r w:rsidRPr="00C3632E">
        <w:rPr>
          <w:rFonts w:ascii="Calibri" w:hAnsi="Calibri" w:cs="Calibri"/>
        </w:rPr>
        <w:t>ST D-M</w:t>
      </w:r>
      <w:r>
        <w:rPr>
          <w:rFonts w:ascii="Calibri" w:hAnsi="Calibri" w:cs="Calibri"/>
        </w:rPr>
        <w:t>-00.00.00 „Wymagania ogólne”</w:t>
      </w:r>
      <w:r w:rsidRPr="00C3632E">
        <w:rPr>
          <w:rFonts w:ascii="Calibri" w:hAnsi="Calibri" w:cs="Calibri"/>
        </w:rPr>
        <w:t xml:space="preserve">  pkt 7.</w:t>
      </w:r>
    </w:p>
    <w:p w:rsidR="004767DA" w:rsidRPr="00C3632E" w:rsidRDefault="004767DA" w:rsidP="004767DA">
      <w:pPr>
        <w:rPr>
          <w:rFonts w:ascii="Calibri" w:hAnsi="Calibri" w:cs="Calibri"/>
        </w:rPr>
      </w:pPr>
      <w:r w:rsidRPr="00BE29E7">
        <w:rPr>
          <w:rFonts w:ascii="Calibri" w:hAnsi="Calibri" w:cs="Calibri"/>
          <w:b/>
        </w:rPr>
        <w:t>7.2.</w:t>
      </w:r>
      <w:r w:rsidRPr="00C3632E">
        <w:rPr>
          <w:rFonts w:ascii="Calibri" w:hAnsi="Calibri" w:cs="Calibri"/>
        </w:rPr>
        <w:t xml:space="preserve"> Jednostka obmiarowa</w:t>
      </w:r>
    </w:p>
    <w:p w:rsidR="004767DA" w:rsidRDefault="004767DA" w:rsidP="004767DA">
      <w:pPr>
        <w:rPr>
          <w:rFonts w:ascii="Calibri" w:hAnsi="Calibri" w:cs="Calibri"/>
        </w:rPr>
      </w:pPr>
      <w:r w:rsidRPr="00C3632E">
        <w:rPr>
          <w:rFonts w:ascii="Calibri" w:hAnsi="Calibri" w:cs="Calibri"/>
        </w:rPr>
        <w:tab/>
        <w:t>Jednostką obmiarową jest m2 (metr kwadratowy) zdjętej warstwy humusu lub/i darniny.</w:t>
      </w:r>
    </w:p>
    <w:p w:rsidR="004767DA" w:rsidRPr="00C3632E" w:rsidRDefault="004767DA" w:rsidP="004767DA">
      <w:pPr>
        <w:rPr>
          <w:rFonts w:ascii="Calibri" w:hAnsi="Calibri" w:cs="Calibri"/>
        </w:rPr>
      </w:pPr>
    </w:p>
    <w:p w:rsidR="004767DA" w:rsidRPr="00BE29E7" w:rsidRDefault="004767DA" w:rsidP="004767DA">
      <w:pPr>
        <w:rPr>
          <w:rFonts w:ascii="Calibri" w:hAnsi="Calibri" w:cs="Calibri"/>
          <w:b/>
        </w:rPr>
      </w:pPr>
      <w:r w:rsidRPr="00BE29E7">
        <w:rPr>
          <w:rFonts w:ascii="Calibri" w:hAnsi="Calibri" w:cs="Calibri"/>
          <w:b/>
        </w:rPr>
        <w:t>8. ODBIÓR ROBÓT</w:t>
      </w:r>
    </w:p>
    <w:p w:rsidR="004767DA" w:rsidRDefault="004767DA" w:rsidP="004767DA">
      <w:pPr>
        <w:rPr>
          <w:rFonts w:ascii="Calibri" w:hAnsi="Calibri" w:cs="Calibri"/>
        </w:rPr>
      </w:pPr>
      <w:r w:rsidRPr="00C3632E">
        <w:rPr>
          <w:rFonts w:ascii="Calibri" w:hAnsi="Calibri" w:cs="Calibri"/>
        </w:rPr>
        <w:tab/>
        <w:t>Ogólne</w:t>
      </w:r>
      <w:r>
        <w:rPr>
          <w:rFonts w:ascii="Calibri" w:hAnsi="Calibri" w:cs="Calibri"/>
        </w:rPr>
        <w:t xml:space="preserve"> zasady odbioru robót podano w </w:t>
      </w:r>
      <w:r w:rsidRPr="00C3632E">
        <w:rPr>
          <w:rFonts w:ascii="Calibri" w:hAnsi="Calibri" w:cs="Calibri"/>
        </w:rPr>
        <w:t>ST D-M-00.</w:t>
      </w:r>
      <w:r>
        <w:rPr>
          <w:rFonts w:ascii="Calibri" w:hAnsi="Calibri" w:cs="Calibri"/>
        </w:rPr>
        <w:t xml:space="preserve">00.00 „Wymagania ogólne”  </w:t>
      </w:r>
      <w:r w:rsidRPr="00C3632E">
        <w:rPr>
          <w:rFonts w:ascii="Calibri" w:hAnsi="Calibri" w:cs="Calibri"/>
        </w:rPr>
        <w:t>pkt 8.</w:t>
      </w:r>
    </w:p>
    <w:p w:rsidR="004767DA" w:rsidRPr="00C3632E" w:rsidRDefault="004767DA" w:rsidP="004767DA">
      <w:pPr>
        <w:rPr>
          <w:rFonts w:ascii="Calibri" w:hAnsi="Calibri" w:cs="Calibri"/>
        </w:rPr>
      </w:pPr>
    </w:p>
    <w:p w:rsidR="004767DA" w:rsidRPr="00BE29E7" w:rsidRDefault="004767DA" w:rsidP="004767DA">
      <w:pPr>
        <w:rPr>
          <w:rFonts w:ascii="Calibri" w:hAnsi="Calibri" w:cs="Calibri"/>
          <w:b/>
        </w:rPr>
      </w:pPr>
      <w:r w:rsidRPr="00BE29E7">
        <w:rPr>
          <w:rFonts w:ascii="Calibri" w:hAnsi="Calibri" w:cs="Calibri"/>
          <w:b/>
        </w:rPr>
        <w:t>9. PODSTAWA PŁATNOŚCI</w:t>
      </w:r>
    </w:p>
    <w:p w:rsidR="004767DA" w:rsidRPr="00C3632E" w:rsidRDefault="004767DA" w:rsidP="004767DA">
      <w:pPr>
        <w:rPr>
          <w:rFonts w:ascii="Calibri" w:hAnsi="Calibri" w:cs="Calibri"/>
        </w:rPr>
      </w:pPr>
      <w:r w:rsidRPr="00BE29E7">
        <w:rPr>
          <w:rFonts w:ascii="Calibri" w:hAnsi="Calibri" w:cs="Calibri"/>
          <w:b/>
        </w:rPr>
        <w:t>9.1.</w:t>
      </w:r>
      <w:r w:rsidRPr="00C3632E">
        <w:rPr>
          <w:rFonts w:ascii="Calibri" w:hAnsi="Calibri" w:cs="Calibri"/>
        </w:rPr>
        <w:t xml:space="preserve"> Ogólne ustalenia dotyczące podstawy płatności</w:t>
      </w:r>
    </w:p>
    <w:p w:rsidR="004767DA" w:rsidRPr="00C3632E" w:rsidRDefault="004767DA" w:rsidP="004767DA">
      <w:pPr>
        <w:rPr>
          <w:rFonts w:ascii="Calibri" w:hAnsi="Calibri" w:cs="Calibri"/>
        </w:rPr>
      </w:pPr>
      <w:r w:rsidRPr="00C3632E">
        <w:rPr>
          <w:rFonts w:ascii="Calibri" w:hAnsi="Calibri" w:cs="Calibri"/>
        </w:rPr>
        <w:tab/>
        <w:t>Ogólne ustalenia dotyczące podstawy płatności podano w</w:t>
      </w:r>
      <w:r>
        <w:rPr>
          <w:rFonts w:ascii="Calibri" w:hAnsi="Calibri" w:cs="Calibri"/>
        </w:rPr>
        <w:t xml:space="preserve"> </w:t>
      </w:r>
      <w:r w:rsidRPr="00C3632E">
        <w:rPr>
          <w:rFonts w:ascii="Calibri" w:hAnsi="Calibri" w:cs="Calibri"/>
        </w:rPr>
        <w:t>ST D-M-00.00.00 „Wymagania ogólne” pkt 9.</w:t>
      </w:r>
    </w:p>
    <w:p w:rsidR="004767DA" w:rsidRPr="00C3632E" w:rsidRDefault="004767DA" w:rsidP="004767DA">
      <w:pPr>
        <w:rPr>
          <w:rFonts w:ascii="Calibri" w:hAnsi="Calibri" w:cs="Calibri"/>
        </w:rPr>
      </w:pPr>
      <w:r w:rsidRPr="00BE29E7">
        <w:rPr>
          <w:rFonts w:ascii="Calibri" w:hAnsi="Calibri" w:cs="Calibri"/>
          <w:b/>
        </w:rPr>
        <w:t>9.2.</w:t>
      </w:r>
      <w:r w:rsidRPr="00C3632E">
        <w:rPr>
          <w:rFonts w:ascii="Calibri" w:hAnsi="Calibri" w:cs="Calibri"/>
        </w:rPr>
        <w:t xml:space="preserve"> Cena jednostki obmiarowej</w:t>
      </w:r>
    </w:p>
    <w:p w:rsidR="004767DA" w:rsidRPr="00C3632E" w:rsidRDefault="004767DA" w:rsidP="004767DA">
      <w:pPr>
        <w:rPr>
          <w:rFonts w:ascii="Calibri" w:hAnsi="Calibri" w:cs="Calibri"/>
        </w:rPr>
      </w:pPr>
      <w:r w:rsidRPr="00C3632E">
        <w:rPr>
          <w:rFonts w:ascii="Calibri" w:hAnsi="Calibri" w:cs="Calibri"/>
        </w:rPr>
        <w:tab/>
        <w:t xml:space="preserve">Cena </w:t>
      </w:r>
      <w:smartTag w:uri="urn:schemas-microsoft-com:office:smarttags" w:element="metricconverter">
        <w:smartTagPr>
          <w:attr w:name="ProductID" w:val="1 m2"/>
        </w:smartTagPr>
        <w:r w:rsidRPr="00C3632E">
          <w:rPr>
            <w:rFonts w:ascii="Calibri" w:hAnsi="Calibri" w:cs="Calibri"/>
          </w:rPr>
          <w:t>1 m2</w:t>
        </w:r>
      </w:smartTag>
      <w:r w:rsidRPr="00C3632E">
        <w:rPr>
          <w:rFonts w:ascii="Calibri" w:hAnsi="Calibri" w:cs="Calibri"/>
        </w:rPr>
        <w:t xml:space="preserve"> wykonania robót obejmuje:</w:t>
      </w:r>
    </w:p>
    <w:p w:rsidR="004767DA" w:rsidRPr="00C3632E" w:rsidRDefault="00301193" w:rsidP="004767DA">
      <w:pPr>
        <w:rPr>
          <w:rFonts w:ascii="Calibri" w:hAnsi="Calibri" w:cs="Calibri"/>
        </w:rPr>
      </w:pPr>
      <w:r>
        <w:rPr>
          <w:rFonts w:ascii="Calibri" w:hAnsi="Calibri" w:cs="Calibri"/>
        </w:rPr>
        <w:t>-</w:t>
      </w:r>
      <w:r w:rsidR="004767DA" w:rsidRPr="00C3632E">
        <w:rPr>
          <w:rFonts w:ascii="Calibri" w:hAnsi="Calibri" w:cs="Calibri"/>
        </w:rPr>
        <w:t>zdjęcie humusu wraz z hałdowaniem w pryzmy wzdłuż drogi lub odwiezieniem na odkład,</w:t>
      </w:r>
    </w:p>
    <w:p w:rsidR="004767DA" w:rsidRDefault="00301193" w:rsidP="004767DA">
      <w:pPr>
        <w:rPr>
          <w:rFonts w:ascii="Calibri" w:hAnsi="Calibri" w:cs="Calibri"/>
        </w:rPr>
      </w:pPr>
      <w:r>
        <w:rPr>
          <w:rFonts w:ascii="Calibri" w:hAnsi="Calibri" w:cs="Calibri"/>
        </w:rPr>
        <w:t>-</w:t>
      </w:r>
      <w:r w:rsidR="004767DA" w:rsidRPr="00C3632E">
        <w:rPr>
          <w:rFonts w:ascii="Calibri" w:hAnsi="Calibri" w:cs="Calibri"/>
        </w:rPr>
        <w:t>zdjęcie darniny z ewentualnym odwiezieniem i składowaniem jej w regularnych pryzmach.</w:t>
      </w:r>
    </w:p>
    <w:p w:rsidR="004767DA" w:rsidRPr="00C3632E" w:rsidRDefault="004767DA" w:rsidP="004767DA">
      <w:pPr>
        <w:rPr>
          <w:rFonts w:ascii="Calibri" w:hAnsi="Calibri" w:cs="Calibri"/>
        </w:rPr>
      </w:pPr>
    </w:p>
    <w:p w:rsidR="00301193" w:rsidRDefault="00301193" w:rsidP="004767DA">
      <w:pPr>
        <w:rPr>
          <w:rFonts w:ascii="Calibri" w:hAnsi="Calibri" w:cs="Calibri"/>
          <w:b/>
        </w:rPr>
      </w:pPr>
    </w:p>
    <w:p w:rsidR="004767DA" w:rsidRDefault="004767DA" w:rsidP="004767DA">
      <w:pPr>
        <w:rPr>
          <w:rFonts w:ascii="Calibri" w:hAnsi="Calibri" w:cs="Calibri"/>
        </w:rPr>
      </w:pPr>
    </w:p>
    <w:p w:rsidR="004767DA" w:rsidRDefault="004767DA" w:rsidP="004767DA">
      <w:pPr>
        <w:rPr>
          <w:rFonts w:ascii="Calibri" w:hAnsi="Calibri" w:cs="Calibri"/>
        </w:rPr>
      </w:pPr>
    </w:p>
    <w:p w:rsidR="004767DA" w:rsidRDefault="004767DA" w:rsidP="004767DA">
      <w:pPr>
        <w:rPr>
          <w:rFonts w:ascii="Calibri" w:hAnsi="Calibri" w:cs="Calibri"/>
        </w:rPr>
      </w:pPr>
    </w:p>
    <w:p w:rsidR="004767DA" w:rsidRDefault="004767DA" w:rsidP="004767DA">
      <w:pPr>
        <w:rPr>
          <w:rFonts w:ascii="Calibri" w:hAnsi="Calibri" w:cs="Calibri"/>
        </w:rPr>
      </w:pPr>
    </w:p>
    <w:p w:rsidR="004767DA" w:rsidRDefault="004767DA" w:rsidP="004767DA">
      <w:pPr>
        <w:rPr>
          <w:rFonts w:ascii="Calibri" w:hAnsi="Calibri" w:cs="Calibri"/>
        </w:rPr>
      </w:pPr>
    </w:p>
    <w:p w:rsidR="004767DA" w:rsidRDefault="004767DA" w:rsidP="004767DA">
      <w:pPr>
        <w:rPr>
          <w:rFonts w:ascii="Calibri" w:hAnsi="Calibri" w:cs="Calibri"/>
        </w:rPr>
      </w:pPr>
    </w:p>
    <w:p w:rsidR="004767DA" w:rsidRDefault="004767DA" w:rsidP="004767DA">
      <w:pPr>
        <w:rPr>
          <w:rFonts w:ascii="Calibri" w:hAnsi="Calibri" w:cs="Calibri"/>
        </w:rPr>
      </w:pPr>
    </w:p>
    <w:p w:rsidR="004767DA" w:rsidRDefault="004767DA" w:rsidP="004767DA">
      <w:pPr>
        <w:rPr>
          <w:rFonts w:ascii="Calibri" w:hAnsi="Calibri" w:cs="Calibri"/>
        </w:rPr>
      </w:pPr>
    </w:p>
    <w:p w:rsidR="004767DA" w:rsidRDefault="004767DA" w:rsidP="004767DA">
      <w:pPr>
        <w:rPr>
          <w:rFonts w:ascii="Calibri" w:hAnsi="Calibri" w:cs="Calibri"/>
        </w:rPr>
      </w:pPr>
    </w:p>
    <w:p w:rsidR="004767DA" w:rsidRDefault="004767DA" w:rsidP="004767DA">
      <w:pPr>
        <w:rPr>
          <w:rFonts w:ascii="Calibri" w:hAnsi="Calibri" w:cs="Calibri"/>
        </w:rPr>
      </w:pPr>
    </w:p>
    <w:p w:rsidR="000C27BF" w:rsidRDefault="000C27BF" w:rsidP="004767DA">
      <w:pPr>
        <w:rPr>
          <w:rFonts w:ascii="Calibri" w:hAnsi="Calibri" w:cs="Calibri"/>
        </w:rPr>
      </w:pPr>
    </w:p>
    <w:p w:rsidR="000C27BF" w:rsidRDefault="000C27BF" w:rsidP="004767DA">
      <w:pPr>
        <w:rPr>
          <w:rFonts w:ascii="Calibri" w:hAnsi="Calibri" w:cs="Calibri"/>
        </w:rPr>
      </w:pPr>
    </w:p>
    <w:p w:rsidR="000C27BF" w:rsidRDefault="000C27BF" w:rsidP="004767DA">
      <w:pPr>
        <w:rPr>
          <w:rFonts w:ascii="Calibri" w:hAnsi="Calibri" w:cs="Calibri"/>
        </w:rPr>
      </w:pPr>
    </w:p>
    <w:p w:rsidR="000C27BF" w:rsidRDefault="000C27BF" w:rsidP="004767DA">
      <w:pPr>
        <w:rPr>
          <w:rFonts w:ascii="Calibri" w:hAnsi="Calibri" w:cs="Calibri"/>
        </w:rPr>
      </w:pPr>
    </w:p>
    <w:p w:rsidR="00666F76" w:rsidRDefault="00666F76" w:rsidP="004767DA">
      <w:pPr>
        <w:rPr>
          <w:rFonts w:ascii="Calibri" w:hAnsi="Calibri" w:cs="Calibri"/>
        </w:rPr>
      </w:pPr>
    </w:p>
    <w:p w:rsidR="00666F76" w:rsidRDefault="00666F76" w:rsidP="004767DA">
      <w:pPr>
        <w:rPr>
          <w:rFonts w:ascii="Calibri" w:hAnsi="Calibri" w:cs="Calibri"/>
        </w:rPr>
      </w:pPr>
    </w:p>
    <w:p w:rsidR="004767DA" w:rsidRDefault="004767DA" w:rsidP="004767DA">
      <w:pPr>
        <w:rPr>
          <w:rFonts w:ascii="Calibri" w:hAnsi="Calibri" w:cs="Calibri"/>
        </w:rPr>
      </w:pPr>
    </w:p>
    <w:p w:rsidR="004767DA" w:rsidRDefault="004767DA" w:rsidP="004767DA">
      <w:pPr>
        <w:rPr>
          <w:rFonts w:ascii="Calibri" w:hAnsi="Calibri" w:cs="Calibri"/>
        </w:rPr>
      </w:pPr>
    </w:p>
    <w:p w:rsidR="004767DA" w:rsidRDefault="004767DA" w:rsidP="004767DA">
      <w:pPr>
        <w:rPr>
          <w:rFonts w:ascii="Calibri" w:hAnsi="Calibri" w:cs="Calibri"/>
        </w:rPr>
      </w:pPr>
    </w:p>
    <w:p w:rsidR="004767DA" w:rsidRPr="00C3632E" w:rsidRDefault="004767DA" w:rsidP="004767DA">
      <w:pPr>
        <w:rPr>
          <w:rFonts w:ascii="Calibri" w:hAnsi="Calibri" w:cs="Calibri"/>
        </w:rPr>
      </w:pPr>
    </w:p>
    <w:p w:rsidR="004767DA" w:rsidRPr="00272F79" w:rsidRDefault="00417278" w:rsidP="0043130B">
      <w:pPr>
        <w:pStyle w:val="Nagwek1"/>
        <w:jc w:val="center"/>
      </w:pPr>
      <w:bookmarkStart w:id="312" w:name="_Toc438237716"/>
      <w:r>
        <w:t>D</w:t>
      </w:r>
      <w:r w:rsidR="004767DA" w:rsidRPr="00272F79">
        <w:t>–01.02.02a</w:t>
      </w:r>
      <w:r w:rsidR="00FD47C7">
        <w:t xml:space="preserve">  ZDJĘCIE WARSTWY ZIEMI </w:t>
      </w:r>
      <w:r w:rsidR="004767DA" w:rsidRPr="00272F79">
        <w:t>URODZAJNEJ</w:t>
      </w:r>
      <w:bookmarkEnd w:id="312"/>
    </w:p>
    <w:p w:rsidR="004767DA" w:rsidRPr="006F7B34" w:rsidRDefault="004767DA" w:rsidP="004767DA">
      <w:pPr>
        <w:rPr>
          <w:rFonts w:ascii="Calibri" w:hAnsi="Calibri" w:cs="Calibri"/>
        </w:rPr>
      </w:pPr>
    </w:p>
    <w:p w:rsidR="004767DA" w:rsidRPr="006F7B34" w:rsidRDefault="004767DA" w:rsidP="004767DA">
      <w:pPr>
        <w:rPr>
          <w:rFonts w:ascii="Calibri" w:hAnsi="Calibri" w:cs="Calibri"/>
        </w:rPr>
      </w:pPr>
    </w:p>
    <w:p w:rsidR="007A3E8C" w:rsidRDefault="007A3E8C" w:rsidP="004767DA">
      <w:pPr>
        <w:rPr>
          <w:rFonts w:ascii="Calibri" w:hAnsi="Calibri" w:cs="Calibri"/>
          <w:b/>
        </w:rPr>
      </w:pPr>
      <w:bookmarkStart w:id="313" w:name="_Toc283881720"/>
    </w:p>
    <w:p w:rsidR="007A3E8C" w:rsidRDefault="007A3E8C" w:rsidP="004767DA">
      <w:pPr>
        <w:rPr>
          <w:rFonts w:ascii="Calibri" w:hAnsi="Calibri" w:cs="Calibri"/>
          <w:b/>
        </w:rPr>
      </w:pPr>
    </w:p>
    <w:p w:rsidR="007A3E8C" w:rsidRDefault="007A3E8C" w:rsidP="004767DA">
      <w:pPr>
        <w:rPr>
          <w:rFonts w:ascii="Calibri" w:hAnsi="Calibri" w:cs="Calibri"/>
          <w:b/>
        </w:rPr>
      </w:pPr>
    </w:p>
    <w:p w:rsidR="007A3E8C" w:rsidRDefault="007A3E8C" w:rsidP="004767DA">
      <w:pPr>
        <w:rPr>
          <w:rFonts w:ascii="Calibri" w:hAnsi="Calibri" w:cs="Calibri"/>
          <w:b/>
        </w:rPr>
      </w:pPr>
    </w:p>
    <w:p w:rsidR="007A3E8C" w:rsidRDefault="007A3E8C" w:rsidP="004767DA">
      <w:pPr>
        <w:rPr>
          <w:rFonts w:ascii="Calibri" w:hAnsi="Calibri" w:cs="Calibri"/>
          <w:b/>
        </w:rPr>
      </w:pPr>
    </w:p>
    <w:p w:rsidR="007A3E8C" w:rsidRDefault="007A3E8C" w:rsidP="004767DA">
      <w:pPr>
        <w:rPr>
          <w:rFonts w:ascii="Calibri" w:hAnsi="Calibri" w:cs="Calibri"/>
          <w:b/>
        </w:rPr>
      </w:pPr>
    </w:p>
    <w:p w:rsidR="007A3E8C" w:rsidRDefault="007A3E8C" w:rsidP="004767DA">
      <w:pPr>
        <w:rPr>
          <w:rFonts w:ascii="Calibri" w:hAnsi="Calibri" w:cs="Calibri"/>
          <w:b/>
        </w:rPr>
      </w:pPr>
    </w:p>
    <w:p w:rsidR="007A3E8C" w:rsidRDefault="007A3E8C" w:rsidP="004767DA">
      <w:pPr>
        <w:rPr>
          <w:rFonts w:ascii="Calibri" w:hAnsi="Calibri" w:cs="Calibri"/>
          <w:b/>
        </w:rPr>
      </w:pPr>
    </w:p>
    <w:p w:rsidR="007A3E8C" w:rsidRDefault="007A3E8C" w:rsidP="004767DA">
      <w:pPr>
        <w:rPr>
          <w:rFonts w:ascii="Calibri" w:hAnsi="Calibri" w:cs="Calibri"/>
          <w:b/>
        </w:rPr>
      </w:pPr>
    </w:p>
    <w:p w:rsidR="007A3E8C" w:rsidRDefault="007A3E8C" w:rsidP="004767DA">
      <w:pPr>
        <w:rPr>
          <w:rFonts w:ascii="Calibri" w:hAnsi="Calibri" w:cs="Calibri"/>
          <w:b/>
        </w:rPr>
      </w:pPr>
    </w:p>
    <w:p w:rsidR="007A3E8C" w:rsidRDefault="007A3E8C" w:rsidP="004767DA">
      <w:pPr>
        <w:rPr>
          <w:rFonts w:ascii="Calibri" w:hAnsi="Calibri" w:cs="Calibri"/>
          <w:b/>
        </w:rPr>
      </w:pPr>
    </w:p>
    <w:p w:rsidR="007A3E8C" w:rsidRDefault="007A3E8C" w:rsidP="004767DA">
      <w:pPr>
        <w:rPr>
          <w:rFonts w:ascii="Calibri" w:hAnsi="Calibri" w:cs="Calibri"/>
          <w:b/>
        </w:rPr>
      </w:pPr>
    </w:p>
    <w:p w:rsidR="007A3E8C" w:rsidRDefault="007A3E8C" w:rsidP="004767DA">
      <w:pPr>
        <w:rPr>
          <w:rFonts w:ascii="Calibri" w:hAnsi="Calibri" w:cs="Calibri"/>
          <w:b/>
        </w:rPr>
      </w:pPr>
    </w:p>
    <w:p w:rsidR="007A3E8C" w:rsidRDefault="007A3E8C" w:rsidP="004767DA">
      <w:pPr>
        <w:rPr>
          <w:rFonts w:ascii="Calibri" w:hAnsi="Calibri" w:cs="Calibri"/>
          <w:b/>
        </w:rPr>
      </w:pPr>
    </w:p>
    <w:p w:rsidR="007A3E8C" w:rsidRDefault="007A3E8C" w:rsidP="004767DA">
      <w:pPr>
        <w:rPr>
          <w:rFonts w:ascii="Calibri" w:hAnsi="Calibri" w:cs="Calibri"/>
          <w:b/>
        </w:rPr>
      </w:pPr>
    </w:p>
    <w:p w:rsidR="007A3E8C" w:rsidRDefault="007A3E8C" w:rsidP="004767DA">
      <w:pPr>
        <w:rPr>
          <w:rFonts w:ascii="Calibri" w:hAnsi="Calibri" w:cs="Calibri"/>
          <w:b/>
        </w:rPr>
      </w:pPr>
    </w:p>
    <w:p w:rsidR="007A3E8C" w:rsidRDefault="007A3E8C" w:rsidP="004767DA">
      <w:pPr>
        <w:rPr>
          <w:rFonts w:ascii="Calibri" w:hAnsi="Calibri" w:cs="Calibri"/>
          <w:b/>
        </w:rPr>
      </w:pPr>
    </w:p>
    <w:p w:rsidR="007A3E8C" w:rsidRDefault="007A3E8C" w:rsidP="004767DA">
      <w:pPr>
        <w:rPr>
          <w:rFonts w:ascii="Calibri" w:hAnsi="Calibri" w:cs="Calibri"/>
          <w:b/>
        </w:rPr>
      </w:pPr>
    </w:p>
    <w:p w:rsidR="007A3E8C" w:rsidRDefault="007A3E8C" w:rsidP="004767DA">
      <w:pPr>
        <w:rPr>
          <w:rFonts w:ascii="Calibri" w:hAnsi="Calibri" w:cs="Calibri"/>
          <w:b/>
        </w:rPr>
      </w:pPr>
    </w:p>
    <w:p w:rsidR="007A3E8C" w:rsidRDefault="007A3E8C" w:rsidP="004767DA">
      <w:pPr>
        <w:rPr>
          <w:rFonts w:ascii="Calibri" w:hAnsi="Calibri" w:cs="Calibri"/>
          <w:b/>
        </w:rPr>
      </w:pPr>
    </w:p>
    <w:p w:rsidR="007A3E8C" w:rsidRDefault="007A3E8C" w:rsidP="004767DA">
      <w:pPr>
        <w:rPr>
          <w:rFonts w:ascii="Calibri" w:hAnsi="Calibri" w:cs="Calibri"/>
          <w:b/>
        </w:rPr>
      </w:pPr>
    </w:p>
    <w:p w:rsidR="007A3E8C" w:rsidRDefault="007A3E8C" w:rsidP="004767DA">
      <w:pPr>
        <w:rPr>
          <w:rFonts w:ascii="Calibri" w:hAnsi="Calibri" w:cs="Calibri"/>
          <w:b/>
        </w:rPr>
      </w:pPr>
    </w:p>
    <w:p w:rsidR="007A3E8C" w:rsidRDefault="007A3E8C" w:rsidP="004767DA">
      <w:pPr>
        <w:rPr>
          <w:rFonts w:ascii="Calibri" w:hAnsi="Calibri" w:cs="Calibri"/>
          <w:b/>
        </w:rPr>
      </w:pPr>
    </w:p>
    <w:p w:rsidR="007A3E8C" w:rsidRDefault="007A3E8C" w:rsidP="004767DA">
      <w:pPr>
        <w:rPr>
          <w:rFonts w:ascii="Calibri" w:hAnsi="Calibri" w:cs="Calibri"/>
          <w:b/>
        </w:rPr>
      </w:pPr>
    </w:p>
    <w:p w:rsidR="007A3E8C" w:rsidRDefault="007A3E8C" w:rsidP="004767DA">
      <w:pPr>
        <w:rPr>
          <w:rFonts w:ascii="Calibri" w:hAnsi="Calibri" w:cs="Calibri"/>
          <w:b/>
        </w:rPr>
      </w:pPr>
    </w:p>
    <w:p w:rsidR="007A3E8C" w:rsidRDefault="007A3E8C" w:rsidP="004767DA">
      <w:pPr>
        <w:rPr>
          <w:rFonts w:ascii="Calibri" w:hAnsi="Calibri" w:cs="Calibri"/>
          <w:b/>
        </w:rPr>
      </w:pPr>
    </w:p>
    <w:p w:rsidR="007A3E8C" w:rsidRDefault="007A3E8C" w:rsidP="004767DA">
      <w:pPr>
        <w:rPr>
          <w:rFonts w:ascii="Calibri" w:hAnsi="Calibri" w:cs="Calibri"/>
          <w:b/>
        </w:rPr>
      </w:pPr>
    </w:p>
    <w:p w:rsidR="007A3E8C" w:rsidRDefault="007A3E8C" w:rsidP="004767DA">
      <w:pPr>
        <w:rPr>
          <w:rFonts w:ascii="Calibri" w:hAnsi="Calibri" w:cs="Calibri"/>
          <w:b/>
        </w:rPr>
      </w:pPr>
    </w:p>
    <w:p w:rsidR="007A3E8C" w:rsidRDefault="007A3E8C" w:rsidP="004767DA">
      <w:pPr>
        <w:rPr>
          <w:rFonts w:ascii="Calibri" w:hAnsi="Calibri" w:cs="Calibri"/>
          <w:b/>
        </w:rPr>
      </w:pPr>
    </w:p>
    <w:p w:rsidR="007A3E8C" w:rsidRDefault="007A3E8C" w:rsidP="004767DA">
      <w:pPr>
        <w:rPr>
          <w:rFonts w:ascii="Calibri" w:hAnsi="Calibri" w:cs="Calibri"/>
          <w:b/>
        </w:rPr>
      </w:pPr>
    </w:p>
    <w:p w:rsidR="007A3E8C" w:rsidRDefault="007A3E8C" w:rsidP="004767DA">
      <w:pPr>
        <w:rPr>
          <w:rFonts w:ascii="Calibri" w:hAnsi="Calibri" w:cs="Calibri"/>
          <w:b/>
        </w:rPr>
      </w:pPr>
    </w:p>
    <w:p w:rsidR="007A3E8C" w:rsidRDefault="007A3E8C" w:rsidP="004767DA">
      <w:pPr>
        <w:rPr>
          <w:rFonts w:ascii="Calibri" w:hAnsi="Calibri" w:cs="Calibri"/>
          <w:b/>
        </w:rPr>
      </w:pPr>
    </w:p>
    <w:p w:rsidR="007A3E8C" w:rsidRDefault="007A3E8C" w:rsidP="004767DA">
      <w:pPr>
        <w:rPr>
          <w:rFonts w:ascii="Calibri" w:hAnsi="Calibri" w:cs="Calibri"/>
          <w:b/>
        </w:rPr>
      </w:pPr>
    </w:p>
    <w:p w:rsidR="00301193" w:rsidRDefault="00301193" w:rsidP="004767DA">
      <w:pPr>
        <w:rPr>
          <w:rFonts w:ascii="Calibri" w:hAnsi="Calibri" w:cs="Calibri"/>
          <w:b/>
        </w:rPr>
      </w:pPr>
    </w:p>
    <w:p w:rsidR="00301193" w:rsidRDefault="00301193" w:rsidP="004767DA">
      <w:pPr>
        <w:rPr>
          <w:rFonts w:ascii="Calibri" w:hAnsi="Calibri" w:cs="Calibri"/>
          <w:b/>
        </w:rPr>
      </w:pPr>
    </w:p>
    <w:p w:rsidR="00301193" w:rsidRDefault="00301193" w:rsidP="004767DA">
      <w:pPr>
        <w:rPr>
          <w:rFonts w:ascii="Calibri" w:hAnsi="Calibri" w:cs="Calibri"/>
          <w:b/>
        </w:rPr>
      </w:pPr>
    </w:p>
    <w:p w:rsidR="00301193" w:rsidRDefault="00301193" w:rsidP="004767DA">
      <w:pPr>
        <w:rPr>
          <w:rFonts w:ascii="Calibri" w:hAnsi="Calibri" w:cs="Calibri"/>
          <w:b/>
        </w:rPr>
      </w:pPr>
    </w:p>
    <w:p w:rsidR="007A3E8C" w:rsidRDefault="007A3E8C" w:rsidP="004767DA">
      <w:pPr>
        <w:rPr>
          <w:rFonts w:ascii="Calibri" w:hAnsi="Calibri" w:cs="Calibri"/>
          <w:b/>
        </w:rPr>
      </w:pPr>
    </w:p>
    <w:p w:rsidR="004767DA" w:rsidRPr="00272F79" w:rsidRDefault="004767DA" w:rsidP="004767DA">
      <w:pPr>
        <w:rPr>
          <w:rFonts w:ascii="Calibri" w:hAnsi="Calibri" w:cs="Calibri"/>
          <w:b/>
        </w:rPr>
      </w:pPr>
      <w:r w:rsidRPr="00272F79">
        <w:rPr>
          <w:rFonts w:ascii="Calibri" w:hAnsi="Calibri" w:cs="Calibri"/>
          <w:b/>
        </w:rPr>
        <w:lastRenderedPageBreak/>
        <w:t>1. WSTĘP</w:t>
      </w:r>
      <w:bookmarkEnd w:id="313"/>
    </w:p>
    <w:p w:rsidR="004767DA" w:rsidRPr="006F7B34" w:rsidRDefault="004767DA" w:rsidP="004767DA">
      <w:pPr>
        <w:rPr>
          <w:rFonts w:ascii="Calibri" w:hAnsi="Calibri" w:cs="Calibri"/>
        </w:rPr>
      </w:pPr>
      <w:r w:rsidRPr="00272F79">
        <w:rPr>
          <w:rFonts w:ascii="Calibri" w:hAnsi="Calibri" w:cs="Calibri"/>
          <w:b/>
        </w:rPr>
        <w:t>1.1.</w:t>
      </w:r>
      <w:r>
        <w:rPr>
          <w:rFonts w:ascii="Calibri" w:hAnsi="Calibri" w:cs="Calibri"/>
        </w:rPr>
        <w:t xml:space="preserve"> Przedmiot </w:t>
      </w:r>
      <w:r w:rsidRPr="006F7B34">
        <w:rPr>
          <w:rFonts w:ascii="Calibri" w:hAnsi="Calibri" w:cs="Calibri"/>
        </w:rPr>
        <w:t>ST</w:t>
      </w:r>
    </w:p>
    <w:p w:rsidR="004767DA" w:rsidRPr="006F7B34" w:rsidRDefault="004767DA" w:rsidP="004767DA">
      <w:pPr>
        <w:rPr>
          <w:rFonts w:ascii="Calibri" w:hAnsi="Calibri" w:cs="Calibri"/>
        </w:rPr>
      </w:pPr>
      <w:r>
        <w:rPr>
          <w:rFonts w:ascii="Calibri" w:hAnsi="Calibri" w:cs="Calibri"/>
        </w:rPr>
        <w:tab/>
        <w:t>Przedmiotem niniejszej specyfikacji technicznej (</w:t>
      </w:r>
      <w:r w:rsidRPr="006F7B34">
        <w:rPr>
          <w:rFonts w:ascii="Calibri" w:hAnsi="Calibri" w:cs="Calibri"/>
        </w:rPr>
        <w:t>ST) są wymagania dotyczące wykonania i odbioru robót związanych ze zdjęciem warstwy ziemi urodzajnej.</w:t>
      </w:r>
    </w:p>
    <w:p w:rsidR="004767DA" w:rsidRPr="006F7B34" w:rsidRDefault="004767DA" w:rsidP="004767DA">
      <w:pPr>
        <w:rPr>
          <w:rFonts w:ascii="Calibri" w:hAnsi="Calibri" w:cs="Calibri"/>
        </w:rPr>
      </w:pPr>
      <w:r w:rsidRPr="00272F79">
        <w:rPr>
          <w:rFonts w:ascii="Calibri" w:hAnsi="Calibri" w:cs="Calibri"/>
          <w:b/>
        </w:rPr>
        <w:t>1.2.</w:t>
      </w:r>
      <w:r>
        <w:rPr>
          <w:rFonts w:ascii="Calibri" w:hAnsi="Calibri" w:cs="Calibri"/>
        </w:rPr>
        <w:t xml:space="preserve"> Zakres stosowania </w:t>
      </w:r>
      <w:r w:rsidRPr="006F7B34">
        <w:rPr>
          <w:rFonts w:ascii="Calibri" w:hAnsi="Calibri" w:cs="Calibri"/>
        </w:rPr>
        <w:t>ST</w:t>
      </w:r>
    </w:p>
    <w:p w:rsidR="004767DA" w:rsidRPr="007621DF" w:rsidRDefault="004767DA" w:rsidP="004767DA">
      <w:pPr>
        <w:rPr>
          <w:rFonts w:ascii="Calibri" w:hAnsi="Calibri" w:cs="Calibri"/>
        </w:rPr>
      </w:pPr>
      <w:r w:rsidRPr="006F7B34">
        <w:rPr>
          <w:rFonts w:ascii="Calibri" w:hAnsi="Calibri" w:cs="Calibri"/>
        </w:rPr>
        <w:tab/>
      </w:r>
      <w:r w:rsidRPr="007621DF">
        <w:rPr>
          <w:rFonts w:ascii="Calibri" w:hAnsi="Calibri" w:cs="Calibri"/>
        </w:rPr>
        <w:t>Specyfikacja techniczna określa wymagania dla wykonania i odbioru robót budowlanych przewidzianych do wykonania w ramach umowy a zawarte w niej zapisy w zakresie standardu materiałów, wykonania robót i wymaganej ich jakości oraz kontroli jakości robót należy traktować jako minimalne.</w:t>
      </w:r>
    </w:p>
    <w:p w:rsidR="004767DA" w:rsidRPr="006F7B34" w:rsidRDefault="004767DA" w:rsidP="004767DA">
      <w:pPr>
        <w:rPr>
          <w:rFonts w:ascii="Calibri" w:hAnsi="Calibri" w:cs="Calibri"/>
        </w:rPr>
      </w:pPr>
      <w:r w:rsidRPr="00272F79">
        <w:rPr>
          <w:rFonts w:ascii="Calibri" w:hAnsi="Calibri" w:cs="Calibri"/>
          <w:b/>
        </w:rPr>
        <w:t>1.3.</w:t>
      </w:r>
      <w:r>
        <w:rPr>
          <w:rFonts w:ascii="Calibri" w:hAnsi="Calibri" w:cs="Calibri"/>
        </w:rPr>
        <w:t xml:space="preserve"> Zakres robót objętych </w:t>
      </w:r>
      <w:r w:rsidRPr="006F7B34">
        <w:rPr>
          <w:rFonts w:ascii="Calibri" w:hAnsi="Calibri" w:cs="Calibri"/>
        </w:rPr>
        <w:t>ST</w:t>
      </w:r>
    </w:p>
    <w:p w:rsidR="00666F76" w:rsidRPr="00666F76" w:rsidRDefault="004767DA" w:rsidP="00666F76">
      <w:pPr>
        <w:rPr>
          <w:rFonts w:asciiTheme="minorHAnsi" w:hAnsiTheme="minorHAnsi" w:cs="Calibri"/>
        </w:rPr>
      </w:pPr>
      <w:r w:rsidRPr="006F7B34">
        <w:rPr>
          <w:rFonts w:ascii="Calibri" w:hAnsi="Calibri" w:cs="Calibri"/>
        </w:rPr>
        <w:tab/>
        <w:t>Ustalenia zawarte w niniejszej specyfikacji dotyczą zasad prowadzenia robót związanych z wykonaniem i odbiorem ręcznego lub mechanicznego usunięcia ziemi urodzajnej z terenu przewidzianego do wykonania wykop</w:t>
      </w:r>
      <w:r w:rsidR="00301193">
        <w:rPr>
          <w:rFonts w:ascii="Calibri" w:hAnsi="Calibri" w:cs="Calibri"/>
        </w:rPr>
        <w:t xml:space="preserve">ów i nasypów przy budowie drogi </w:t>
      </w:r>
      <w:r w:rsidR="00666F76" w:rsidRPr="00666F76">
        <w:rPr>
          <w:rFonts w:ascii="Calibri" w:hAnsi="Calibri" w:cs="Calibri"/>
        </w:rPr>
        <w:t>w związku z „</w:t>
      </w:r>
      <w:r w:rsidR="00666F76" w:rsidRPr="00666F76">
        <w:rPr>
          <w:rFonts w:asciiTheme="minorHAnsi" w:hAnsiTheme="minorHAnsi"/>
        </w:rPr>
        <w:t>Przebudową ul.55 Pułku Piechoty w Lesznie wraz z przebudową oświetlenia”</w:t>
      </w:r>
      <w:r w:rsidR="00666F76" w:rsidRPr="00666F76">
        <w:rPr>
          <w:rFonts w:asciiTheme="minorHAnsi" w:hAnsiTheme="minorHAnsi" w:cs="Calibri"/>
        </w:rPr>
        <w:t>.</w:t>
      </w:r>
    </w:p>
    <w:p w:rsidR="004767DA" w:rsidRPr="006F7B34" w:rsidRDefault="004767DA" w:rsidP="004767DA">
      <w:pPr>
        <w:rPr>
          <w:rFonts w:ascii="Calibri" w:hAnsi="Calibri" w:cs="Calibri"/>
        </w:rPr>
      </w:pPr>
      <w:r w:rsidRPr="00272F79">
        <w:rPr>
          <w:rFonts w:ascii="Calibri" w:hAnsi="Calibri" w:cs="Calibri"/>
          <w:b/>
        </w:rPr>
        <w:t>1.4.</w:t>
      </w:r>
      <w:r w:rsidRPr="006F7B34">
        <w:rPr>
          <w:rFonts w:ascii="Calibri" w:hAnsi="Calibri" w:cs="Calibri"/>
        </w:rPr>
        <w:t xml:space="preserve"> Określenia podstawowe</w:t>
      </w:r>
    </w:p>
    <w:p w:rsidR="004767DA" w:rsidRPr="006F7B34" w:rsidRDefault="004767DA" w:rsidP="004767DA">
      <w:pPr>
        <w:rPr>
          <w:rFonts w:ascii="Calibri" w:hAnsi="Calibri" w:cs="Calibri"/>
        </w:rPr>
      </w:pPr>
      <w:r w:rsidRPr="00272F79">
        <w:rPr>
          <w:rFonts w:ascii="Calibri" w:hAnsi="Calibri" w:cs="Calibri"/>
          <w:b/>
        </w:rPr>
        <w:t>1.4.1.</w:t>
      </w:r>
      <w:r w:rsidRPr="006F7B34">
        <w:rPr>
          <w:rFonts w:ascii="Calibri" w:hAnsi="Calibri" w:cs="Calibri"/>
        </w:rPr>
        <w:tab/>
        <w:t>Ziemia urodzajna – powierzchniowa warstwa gruntu grubości 5÷30 cm o zawartości co najmniej 2% części organicznych.</w:t>
      </w:r>
    </w:p>
    <w:p w:rsidR="004767DA" w:rsidRPr="006F7B34" w:rsidRDefault="004767DA" w:rsidP="004767DA">
      <w:pPr>
        <w:rPr>
          <w:rFonts w:ascii="Calibri" w:hAnsi="Calibri" w:cs="Calibri"/>
        </w:rPr>
      </w:pPr>
      <w:r w:rsidRPr="00272F79">
        <w:rPr>
          <w:rFonts w:ascii="Calibri" w:hAnsi="Calibri" w:cs="Calibri"/>
          <w:b/>
        </w:rPr>
        <w:t>1.4.2.</w:t>
      </w:r>
      <w:r w:rsidRPr="006F7B34">
        <w:rPr>
          <w:rFonts w:ascii="Calibri" w:hAnsi="Calibri" w:cs="Calibri"/>
        </w:rPr>
        <w:tab/>
        <w:t>Zdjęcie warstwy ziemi urodzajnej – usunięcie powierzchniowej warstwy gruntu urodzajnego, zwykle z terenu przewidzianego do wykonania drogowych robót ziemnych oraz składowanie jej w celu późniejszego wykorzystania przy umocnieniu skarp, rowów i rekultywacji gruntu przydrożnego.</w:t>
      </w:r>
    </w:p>
    <w:p w:rsidR="004767DA" w:rsidRPr="006F7B34" w:rsidRDefault="004767DA" w:rsidP="004767DA">
      <w:pPr>
        <w:rPr>
          <w:rFonts w:ascii="Calibri" w:hAnsi="Calibri" w:cs="Calibri"/>
        </w:rPr>
      </w:pPr>
      <w:r w:rsidRPr="00272F79">
        <w:rPr>
          <w:rFonts w:ascii="Calibri" w:hAnsi="Calibri" w:cs="Calibri"/>
          <w:b/>
        </w:rPr>
        <w:t>1.4.3.</w:t>
      </w:r>
      <w:r w:rsidRPr="006F7B34">
        <w:rPr>
          <w:rFonts w:ascii="Calibri" w:hAnsi="Calibri" w:cs="Calibri"/>
        </w:rPr>
        <w:tab/>
        <w:t>Pozostałe określenia podstawowe są zgodne z obowiązującymi, odpowiednimi polskimi norm</w:t>
      </w:r>
      <w:r w:rsidR="00301193">
        <w:rPr>
          <w:rFonts w:ascii="Calibri" w:hAnsi="Calibri" w:cs="Calibri"/>
        </w:rPr>
        <w:t xml:space="preserve">ami i z definicjami podanymi w </w:t>
      </w:r>
      <w:r w:rsidRPr="006F7B34">
        <w:rPr>
          <w:rFonts w:ascii="Calibri" w:hAnsi="Calibri" w:cs="Calibri"/>
        </w:rPr>
        <w:t>ST D-M-00.00.00 „Wymagania ogólne” [1] pkt 1.4.</w:t>
      </w:r>
    </w:p>
    <w:p w:rsidR="004767DA" w:rsidRPr="006F7B34" w:rsidRDefault="004767DA" w:rsidP="004767DA">
      <w:pPr>
        <w:rPr>
          <w:rFonts w:ascii="Calibri" w:hAnsi="Calibri" w:cs="Calibri"/>
        </w:rPr>
      </w:pPr>
      <w:r w:rsidRPr="00272F79">
        <w:rPr>
          <w:rFonts w:ascii="Calibri" w:hAnsi="Calibri" w:cs="Calibri"/>
          <w:b/>
        </w:rPr>
        <w:t>1.5.</w:t>
      </w:r>
      <w:r w:rsidRPr="006F7B34">
        <w:rPr>
          <w:rFonts w:ascii="Calibri" w:hAnsi="Calibri" w:cs="Calibri"/>
        </w:rPr>
        <w:t xml:space="preserve"> Ogólne wymagania dotyczące robót</w:t>
      </w:r>
    </w:p>
    <w:p w:rsidR="004767DA" w:rsidRDefault="004767DA" w:rsidP="004767DA">
      <w:pPr>
        <w:rPr>
          <w:rFonts w:ascii="Calibri" w:hAnsi="Calibri" w:cs="Calibri"/>
        </w:rPr>
      </w:pPr>
      <w:r w:rsidRPr="006F7B34">
        <w:rPr>
          <w:rFonts w:ascii="Calibri" w:hAnsi="Calibri" w:cs="Calibri"/>
        </w:rPr>
        <w:tab/>
        <w:t>Ogólne wyma</w:t>
      </w:r>
      <w:r w:rsidR="00301193">
        <w:rPr>
          <w:rFonts w:ascii="Calibri" w:hAnsi="Calibri" w:cs="Calibri"/>
        </w:rPr>
        <w:t xml:space="preserve">gania dotyczące robót podano w </w:t>
      </w:r>
      <w:r w:rsidRPr="006F7B34">
        <w:rPr>
          <w:rFonts w:ascii="Calibri" w:hAnsi="Calibri" w:cs="Calibri"/>
        </w:rPr>
        <w:t>ST D-M-</w:t>
      </w:r>
      <w:r>
        <w:rPr>
          <w:rFonts w:ascii="Calibri" w:hAnsi="Calibri" w:cs="Calibri"/>
        </w:rPr>
        <w:t xml:space="preserve">00.00.00 „Wymagania ogólne” </w:t>
      </w:r>
      <w:r w:rsidRPr="006F7B34">
        <w:rPr>
          <w:rFonts w:ascii="Calibri" w:hAnsi="Calibri" w:cs="Calibri"/>
        </w:rPr>
        <w:t>pkt 1.5.</w:t>
      </w:r>
    </w:p>
    <w:p w:rsidR="004767DA" w:rsidRPr="006F7B34" w:rsidRDefault="004767DA" w:rsidP="004767DA">
      <w:pPr>
        <w:rPr>
          <w:rFonts w:ascii="Calibri" w:hAnsi="Calibri" w:cs="Calibri"/>
        </w:rPr>
      </w:pPr>
    </w:p>
    <w:p w:rsidR="004767DA" w:rsidRPr="00272F79" w:rsidRDefault="004767DA" w:rsidP="004767DA">
      <w:pPr>
        <w:rPr>
          <w:rFonts w:ascii="Calibri" w:hAnsi="Calibri" w:cs="Calibri"/>
          <w:b/>
        </w:rPr>
      </w:pPr>
      <w:bookmarkStart w:id="314" w:name="_Toc485450211"/>
      <w:bookmarkStart w:id="315" w:name="_Toc485608031"/>
      <w:bookmarkStart w:id="316" w:name="_Toc504453010"/>
      <w:bookmarkStart w:id="317" w:name="_Toc128547951"/>
      <w:bookmarkStart w:id="318" w:name="_Toc275335783"/>
      <w:bookmarkStart w:id="319" w:name="_Toc283881721"/>
      <w:r w:rsidRPr="00272F79">
        <w:rPr>
          <w:rFonts w:ascii="Calibri" w:hAnsi="Calibri" w:cs="Calibri"/>
          <w:b/>
        </w:rPr>
        <w:t xml:space="preserve">2. </w:t>
      </w:r>
      <w:bookmarkEnd w:id="314"/>
      <w:bookmarkEnd w:id="315"/>
      <w:bookmarkEnd w:id="316"/>
      <w:bookmarkEnd w:id="317"/>
      <w:bookmarkEnd w:id="318"/>
      <w:bookmarkEnd w:id="319"/>
      <w:r w:rsidRPr="00272F79">
        <w:rPr>
          <w:rFonts w:ascii="Calibri" w:hAnsi="Calibri" w:cs="Calibri"/>
          <w:b/>
        </w:rPr>
        <w:t>MATERIAŁY</w:t>
      </w:r>
    </w:p>
    <w:p w:rsidR="004767DA" w:rsidRDefault="004767DA" w:rsidP="004767DA">
      <w:pPr>
        <w:rPr>
          <w:rFonts w:ascii="Calibri" w:hAnsi="Calibri" w:cs="Calibri"/>
        </w:rPr>
      </w:pPr>
      <w:r w:rsidRPr="006F7B34">
        <w:rPr>
          <w:rFonts w:ascii="Calibri" w:hAnsi="Calibri" w:cs="Calibri"/>
        </w:rPr>
        <w:tab/>
        <w:t>Nie występują.</w:t>
      </w:r>
    </w:p>
    <w:p w:rsidR="004767DA" w:rsidRPr="006F7B34" w:rsidRDefault="004767DA" w:rsidP="004767DA">
      <w:pPr>
        <w:rPr>
          <w:rFonts w:ascii="Calibri" w:hAnsi="Calibri" w:cs="Calibri"/>
        </w:rPr>
      </w:pPr>
    </w:p>
    <w:p w:rsidR="004767DA" w:rsidRPr="00272F79" w:rsidRDefault="004767DA" w:rsidP="004767DA">
      <w:pPr>
        <w:rPr>
          <w:rFonts w:ascii="Calibri" w:hAnsi="Calibri" w:cs="Calibri"/>
          <w:b/>
        </w:rPr>
      </w:pPr>
      <w:bookmarkStart w:id="320" w:name="_Toc485450212"/>
      <w:bookmarkStart w:id="321" w:name="_Toc485608032"/>
      <w:bookmarkStart w:id="322" w:name="_Toc504453011"/>
      <w:bookmarkStart w:id="323" w:name="_Toc128547952"/>
      <w:bookmarkStart w:id="324" w:name="_Toc275335784"/>
      <w:bookmarkStart w:id="325" w:name="_Toc283881722"/>
      <w:r w:rsidRPr="00272F79">
        <w:rPr>
          <w:rFonts w:ascii="Calibri" w:hAnsi="Calibri" w:cs="Calibri"/>
          <w:b/>
        </w:rPr>
        <w:t xml:space="preserve">3. </w:t>
      </w:r>
      <w:bookmarkEnd w:id="320"/>
      <w:bookmarkEnd w:id="321"/>
      <w:bookmarkEnd w:id="322"/>
      <w:bookmarkEnd w:id="323"/>
      <w:bookmarkEnd w:id="324"/>
      <w:bookmarkEnd w:id="325"/>
      <w:r w:rsidRPr="00272F79">
        <w:rPr>
          <w:rFonts w:ascii="Calibri" w:hAnsi="Calibri" w:cs="Calibri"/>
          <w:b/>
        </w:rPr>
        <w:t>SPRZĘT</w:t>
      </w:r>
    </w:p>
    <w:p w:rsidR="004767DA" w:rsidRPr="006F7B34" w:rsidRDefault="004767DA" w:rsidP="004767DA">
      <w:pPr>
        <w:rPr>
          <w:rFonts w:ascii="Calibri" w:hAnsi="Calibri" w:cs="Calibri"/>
        </w:rPr>
      </w:pPr>
      <w:r w:rsidRPr="00272F79">
        <w:rPr>
          <w:rFonts w:ascii="Calibri" w:hAnsi="Calibri" w:cs="Calibri"/>
          <w:b/>
        </w:rPr>
        <w:t>3.1.</w:t>
      </w:r>
      <w:r w:rsidRPr="006F7B34">
        <w:rPr>
          <w:rFonts w:ascii="Calibri" w:hAnsi="Calibri" w:cs="Calibri"/>
        </w:rPr>
        <w:t xml:space="preserve"> Ogólne wymagania dotyczące sprzętu</w:t>
      </w:r>
    </w:p>
    <w:p w:rsidR="004767DA" w:rsidRPr="006F7B34" w:rsidRDefault="004767DA" w:rsidP="004767DA">
      <w:pPr>
        <w:rPr>
          <w:rFonts w:ascii="Calibri" w:hAnsi="Calibri" w:cs="Calibri"/>
        </w:rPr>
      </w:pPr>
      <w:r w:rsidRPr="006F7B34">
        <w:rPr>
          <w:rFonts w:ascii="Calibri" w:hAnsi="Calibri" w:cs="Calibri"/>
        </w:rPr>
        <w:tab/>
        <w:t xml:space="preserve">Ogólne wymagania dotyczące sprzętu </w:t>
      </w:r>
      <w:r>
        <w:rPr>
          <w:rFonts w:ascii="Calibri" w:hAnsi="Calibri" w:cs="Calibri"/>
        </w:rPr>
        <w:t xml:space="preserve">podano w </w:t>
      </w:r>
      <w:r w:rsidRPr="006F7B34">
        <w:rPr>
          <w:rFonts w:ascii="Calibri" w:hAnsi="Calibri" w:cs="Calibri"/>
        </w:rPr>
        <w:t>ST D-M-</w:t>
      </w:r>
      <w:r>
        <w:rPr>
          <w:rFonts w:ascii="Calibri" w:hAnsi="Calibri" w:cs="Calibri"/>
        </w:rPr>
        <w:t xml:space="preserve">00.00.00 „Wymagania ogólne” </w:t>
      </w:r>
      <w:r w:rsidRPr="006F7B34">
        <w:rPr>
          <w:rFonts w:ascii="Calibri" w:hAnsi="Calibri" w:cs="Calibri"/>
        </w:rPr>
        <w:t>pkt 3.</w:t>
      </w:r>
    </w:p>
    <w:p w:rsidR="004767DA" w:rsidRPr="006F7B34" w:rsidRDefault="004767DA" w:rsidP="004767DA">
      <w:pPr>
        <w:rPr>
          <w:rFonts w:ascii="Calibri" w:hAnsi="Calibri" w:cs="Calibri"/>
        </w:rPr>
      </w:pPr>
      <w:r w:rsidRPr="00272F79">
        <w:rPr>
          <w:rFonts w:ascii="Calibri" w:hAnsi="Calibri" w:cs="Calibri"/>
          <w:b/>
        </w:rPr>
        <w:t>3.2.</w:t>
      </w:r>
      <w:r w:rsidRPr="006F7B34">
        <w:rPr>
          <w:rFonts w:ascii="Calibri" w:hAnsi="Calibri" w:cs="Calibri"/>
        </w:rPr>
        <w:t xml:space="preserve"> Sprzęt stosowany do wykonania robót</w:t>
      </w:r>
    </w:p>
    <w:p w:rsidR="004767DA" w:rsidRPr="006F7B34" w:rsidRDefault="004767DA" w:rsidP="004767DA">
      <w:pPr>
        <w:rPr>
          <w:rFonts w:ascii="Calibri" w:hAnsi="Calibri" w:cs="Calibri"/>
        </w:rPr>
      </w:pPr>
      <w:r w:rsidRPr="006F7B34">
        <w:rPr>
          <w:rFonts w:ascii="Calibri" w:hAnsi="Calibri" w:cs="Calibri"/>
        </w:rPr>
        <w:tab/>
        <w:t>Przy wykonywaniu robót Wykonawca, w zależności od potrzeb,  powinien wykazać się możliwością korzystania ze sprzętu dostosowanego do przyjętej metody robót, jak:</w:t>
      </w:r>
    </w:p>
    <w:p w:rsidR="004767DA" w:rsidRPr="006F7B34" w:rsidRDefault="00FD47C7" w:rsidP="004767DA">
      <w:pPr>
        <w:rPr>
          <w:rFonts w:ascii="Calibri" w:hAnsi="Calibri" w:cs="Calibri"/>
        </w:rPr>
      </w:pPr>
      <w:r>
        <w:rPr>
          <w:rFonts w:ascii="Calibri" w:hAnsi="Calibri" w:cs="Calibri"/>
        </w:rPr>
        <w:t>-</w:t>
      </w:r>
      <w:r w:rsidR="004767DA" w:rsidRPr="006F7B34">
        <w:rPr>
          <w:rFonts w:ascii="Calibri" w:hAnsi="Calibri" w:cs="Calibri"/>
        </w:rPr>
        <w:t>spycharki,</w:t>
      </w:r>
    </w:p>
    <w:p w:rsidR="004767DA" w:rsidRPr="006F7B34" w:rsidRDefault="00FD47C7" w:rsidP="004767DA">
      <w:pPr>
        <w:rPr>
          <w:rFonts w:ascii="Calibri" w:hAnsi="Calibri" w:cs="Calibri"/>
        </w:rPr>
      </w:pPr>
      <w:r>
        <w:rPr>
          <w:rFonts w:ascii="Calibri" w:hAnsi="Calibri" w:cs="Calibri"/>
        </w:rPr>
        <w:t>-</w:t>
      </w:r>
      <w:r w:rsidR="004767DA" w:rsidRPr="006F7B34">
        <w:rPr>
          <w:rFonts w:ascii="Calibri" w:hAnsi="Calibri" w:cs="Calibri"/>
        </w:rPr>
        <w:t>równiarki,</w:t>
      </w:r>
    </w:p>
    <w:p w:rsidR="004767DA" w:rsidRPr="006F7B34" w:rsidRDefault="00FD47C7" w:rsidP="004767DA">
      <w:pPr>
        <w:rPr>
          <w:rFonts w:ascii="Calibri" w:hAnsi="Calibri" w:cs="Calibri"/>
        </w:rPr>
      </w:pPr>
      <w:r>
        <w:rPr>
          <w:rFonts w:ascii="Calibri" w:hAnsi="Calibri" w:cs="Calibri"/>
        </w:rPr>
        <w:t>-</w:t>
      </w:r>
      <w:r w:rsidR="004767DA" w:rsidRPr="006F7B34">
        <w:rPr>
          <w:rFonts w:ascii="Calibri" w:hAnsi="Calibri" w:cs="Calibri"/>
        </w:rPr>
        <w:t>zgarniarki,</w:t>
      </w:r>
    </w:p>
    <w:p w:rsidR="004767DA" w:rsidRPr="006F7B34" w:rsidRDefault="00FD47C7" w:rsidP="004767DA">
      <w:pPr>
        <w:rPr>
          <w:rFonts w:ascii="Calibri" w:hAnsi="Calibri" w:cs="Calibri"/>
        </w:rPr>
      </w:pPr>
      <w:r>
        <w:rPr>
          <w:rFonts w:ascii="Calibri" w:hAnsi="Calibri" w:cs="Calibri"/>
        </w:rPr>
        <w:t>-</w:t>
      </w:r>
      <w:r w:rsidR="004767DA" w:rsidRPr="006F7B34">
        <w:rPr>
          <w:rFonts w:ascii="Calibri" w:hAnsi="Calibri" w:cs="Calibri"/>
        </w:rPr>
        <w:t>koparki,</w:t>
      </w:r>
    </w:p>
    <w:p w:rsidR="004767DA" w:rsidRPr="006F7B34" w:rsidRDefault="00FD47C7" w:rsidP="004767DA">
      <w:pPr>
        <w:rPr>
          <w:rFonts w:ascii="Calibri" w:hAnsi="Calibri" w:cs="Calibri"/>
        </w:rPr>
      </w:pPr>
      <w:r>
        <w:rPr>
          <w:rFonts w:ascii="Calibri" w:hAnsi="Calibri" w:cs="Calibri"/>
        </w:rPr>
        <w:t>-</w:t>
      </w:r>
      <w:r w:rsidR="004767DA" w:rsidRPr="006F7B34">
        <w:rPr>
          <w:rFonts w:ascii="Calibri" w:hAnsi="Calibri" w:cs="Calibri"/>
        </w:rPr>
        <w:t>sprzęt transportowy, np. samochody wywrotki.</w:t>
      </w:r>
    </w:p>
    <w:p w:rsidR="004767DA" w:rsidRPr="006F7B34" w:rsidRDefault="004767DA" w:rsidP="004767DA">
      <w:pPr>
        <w:rPr>
          <w:rFonts w:ascii="Calibri" w:hAnsi="Calibri" w:cs="Calibri"/>
        </w:rPr>
      </w:pPr>
      <w:r w:rsidRPr="006F7B34">
        <w:rPr>
          <w:rFonts w:ascii="Calibri" w:hAnsi="Calibri" w:cs="Calibri"/>
        </w:rPr>
        <w:t>Przy niewielkim zakresie robót lub w miejscach, gdzie sprzęt mechaniczny ma niekorzystne warunki robót – można stosować ręczne usunięcie ziemi urodzajnej.</w:t>
      </w:r>
    </w:p>
    <w:p w:rsidR="004767DA" w:rsidRDefault="004767DA" w:rsidP="004767DA">
      <w:pPr>
        <w:rPr>
          <w:rFonts w:ascii="Calibri" w:hAnsi="Calibri" w:cs="Calibri"/>
        </w:rPr>
      </w:pPr>
      <w:r w:rsidRPr="006F7B34">
        <w:rPr>
          <w:rFonts w:ascii="Calibri" w:hAnsi="Calibri" w:cs="Calibri"/>
        </w:rPr>
        <w:t xml:space="preserve">Sprzęt powinien odpowiadać wymaganiom określonym </w:t>
      </w:r>
      <w:r>
        <w:rPr>
          <w:rFonts w:ascii="Calibri" w:hAnsi="Calibri" w:cs="Calibri"/>
        </w:rPr>
        <w:t xml:space="preserve">w dokumentacji projektowej, </w:t>
      </w:r>
      <w:r w:rsidRPr="006F7B34">
        <w:rPr>
          <w:rFonts w:ascii="Calibri" w:hAnsi="Calibri" w:cs="Calibri"/>
        </w:rPr>
        <w:t>instrukcjach producentów lub propozycji Wykonawcy i powinien być zaakceptowany przez Inżyniera.</w:t>
      </w:r>
    </w:p>
    <w:p w:rsidR="004767DA" w:rsidRPr="006F7B34" w:rsidRDefault="004767DA" w:rsidP="004767DA">
      <w:pPr>
        <w:rPr>
          <w:rFonts w:ascii="Calibri" w:hAnsi="Calibri" w:cs="Calibri"/>
        </w:rPr>
      </w:pPr>
    </w:p>
    <w:p w:rsidR="004767DA" w:rsidRPr="00272F79" w:rsidRDefault="004767DA" w:rsidP="004767DA">
      <w:pPr>
        <w:rPr>
          <w:rFonts w:ascii="Calibri" w:hAnsi="Calibri" w:cs="Calibri"/>
          <w:b/>
        </w:rPr>
      </w:pPr>
      <w:bookmarkStart w:id="326" w:name="_Toc122409837"/>
      <w:bookmarkStart w:id="327" w:name="_Toc128547953"/>
      <w:bookmarkStart w:id="328" w:name="_Toc275335785"/>
      <w:bookmarkStart w:id="329" w:name="_Toc283881723"/>
      <w:r w:rsidRPr="00272F79">
        <w:rPr>
          <w:rFonts w:ascii="Calibri" w:hAnsi="Calibri" w:cs="Calibri"/>
          <w:b/>
        </w:rPr>
        <w:t xml:space="preserve">4. </w:t>
      </w:r>
      <w:bookmarkEnd w:id="326"/>
      <w:bookmarkEnd w:id="327"/>
      <w:bookmarkEnd w:id="328"/>
      <w:bookmarkEnd w:id="329"/>
      <w:r w:rsidRPr="00272F79">
        <w:rPr>
          <w:rFonts w:ascii="Calibri" w:hAnsi="Calibri" w:cs="Calibri"/>
          <w:b/>
        </w:rPr>
        <w:t>TRANSPORT</w:t>
      </w:r>
    </w:p>
    <w:p w:rsidR="004767DA" w:rsidRPr="006F7B34" w:rsidRDefault="004767DA" w:rsidP="004767DA">
      <w:pPr>
        <w:rPr>
          <w:rFonts w:ascii="Calibri" w:hAnsi="Calibri" w:cs="Calibri"/>
        </w:rPr>
      </w:pPr>
      <w:r w:rsidRPr="00272F79">
        <w:rPr>
          <w:rFonts w:ascii="Calibri" w:hAnsi="Calibri" w:cs="Calibri"/>
          <w:b/>
        </w:rPr>
        <w:t>4.1.</w:t>
      </w:r>
      <w:r w:rsidRPr="006F7B34">
        <w:rPr>
          <w:rFonts w:ascii="Calibri" w:hAnsi="Calibri" w:cs="Calibri"/>
        </w:rPr>
        <w:t xml:space="preserve"> Ogólne wymagania dotyczące transportu</w:t>
      </w:r>
    </w:p>
    <w:p w:rsidR="004767DA" w:rsidRPr="006F7B34" w:rsidRDefault="004767DA" w:rsidP="004767DA">
      <w:pPr>
        <w:rPr>
          <w:rFonts w:ascii="Calibri" w:hAnsi="Calibri" w:cs="Calibri"/>
        </w:rPr>
      </w:pPr>
      <w:r w:rsidRPr="006F7B34">
        <w:rPr>
          <w:rFonts w:ascii="Calibri" w:hAnsi="Calibri" w:cs="Calibri"/>
        </w:rPr>
        <w:tab/>
        <w:t>Ogólne wymagania dotyczące transportu podano w ST D-M-00.00.00 „Wymagania ogólne” [1] pkt 4.</w:t>
      </w:r>
    </w:p>
    <w:p w:rsidR="004767DA" w:rsidRPr="006F7B34" w:rsidRDefault="004767DA" w:rsidP="004767DA">
      <w:pPr>
        <w:rPr>
          <w:rFonts w:ascii="Calibri" w:hAnsi="Calibri" w:cs="Calibri"/>
        </w:rPr>
      </w:pPr>
      <w:r w:rsidRPr="00272F79">
        <w:rPr>
          <w:rFonts w:ascii="Calibri" w:hAnsi="Calibri" w:cs="Calibri"/>
          <w:b/>
        </w:rPr>
        <w:t>4.2.</w:t>
      </w:r>
      <w:r w:rsidRPr="006F7B34">
        <w:rPr>
          <w:rFonts w:ascii="Calibri" w:hAnsi="Calibri" w:cs="Calibri"/>
        </w:rPr>
        <w:t xml:space="preserve"> Transport materiałów </w:t>
      </w:r>
    </w:p>
    <w:p w:rsidR="004767DA" w:rsidRPr="006F7B34" w:rsidRDefault="004767DA" w:rsidP="004767DA">
      <w:pPr>
        <w:rPr>
          <w:rFonts w:ascii="Calibri" w:hAnsi="Calibri" w:cs="Calibri"/>
        </w:rPr>
      </w:pPr>
      <w:r w:rsidRPr="006F7B34">
        <w:rPr>
          <w:rFonts w:ascii="Calibri" w:hAnsi="Calibri" w:cs="Calibri"/>
        </w:rPr>
        <w:tab/>
        <w:t>Ziemię urodzajną należy:</w:t>
      </w:r>
    </w:p>
    <w:p w:rsidR="004767DA" w:rsidRPr="006F7B34" w:rsidRDefault="00FD47C7" w:rsidP="004767DA">
      <w:pPr>
        <w:rPr>
          <w:rFonts w:ascii="Calibri" w:hAnsi="Calibri" w:cs="Calibri"/>
        </w:rPr>
      </w:pPr>
      <w:r>
        <w:rPr>
          <w:rFonts w:ascii="Calibri" w:hAnsi="Calibri" w:cs="Calibri"/>
        </w:rPr>
        <w:t>-</w:t>
      </w:r>
      <w:r w:rsidR="004767DA" w:rsidRPr="006F7B34">
        <w:rPr>
          <w:rFonts w:ascii="Calibri" w:hAnsi="Calibri" w:cs="Calibri"/>
        </w:rPr>
        <w:t>przemieszczać z zastosowaniem spycharek, równiarek i ew. zgarniarek (przy dużym zakresie robót),</w:t>
      </w:r>
    </w:p>
    <w:p w:rsidR="004767DA" w:rsidRPr="006F7B34" w:rsidRDefault="00FD47C7" w:rsidP="004767DA">
      <w:pPr>
        <w:rPr>
          <w:rFonts w:ascii="Calibri" w:hAnsi="Calibri" w:cs="Calibri"/>
        </w:rPr>
      </w:pPr>
      <w:r>
        <w:rPr>
          <w:rFonts w:ascii="Calibri" w:hAnsi="Calibri" w:cs="Calibri"/>
        </w:rPr>
        <w:t>-</w:t>
      </w:r>
      <w:r w:rsidR="004767DA" w:rsidRPr="006F7B34">
        <w:rPr>
          <w:rFonts w:ascii="Calibri" w:hAnsi="Calibri" w:cs="Calibri"/>
        </w:rPr>
        <w:t>przewozić transportem samochodowym.</w:t>
      </w:r>
    </w:p>
    <w:p w:rsidR="004767DA" w:rsidRDefault="004767DA" w:rsidP="004767DA">
      <w:pPr>
        <w:rPr>
          <w:rFonts w:ascii="Calibri" w:hAnsi="Calibri" w:cs="Calibri"/>
        </w:rPr>
      </w:pPr>
      <w:r w:rsidRPr="006F7B34">
        <w:rPr>
          <w:rFonts w:ascii="Calibri" w:hAnsi="Calibri" w:cs="Calibri"/>
        </w:rPr>
        <w:t>Wybór środka transportu zależy od odległości, warunków lokalnych i przeznaczenia ziemi urodzajnej.</w:t>
      </w:r>
    </w:p>
    <w:p w:rsidR="004767DA" w:rsidRPr="006F7B34" w:rsidRDefault="004767DA" w:rsidP="004767DA">
      <w:pPr>
        <w:rPr>
          <w:rFonts w:ascii="Calibri" w:hAnsi="Calibri" w:cs="Calibri"/>
        </w:rPr>
      </w:pPr>
    </w:p>
    <w:p w:rsidR="004767DA" w:rsidRPr="00272F79" w:rsidRDefault="004767DA" w:rsidP="004767DA">
      <w:pPr>
        <w:rPr>
          <w:rFonts w:ascii="Calibri" w:hAnsi="Calibri" w:cs="Calibri"/>
          <w:b/>
        </w:rPr>
      </w:pPr>
      <w:bookmarkStart w:id="330" w:name="_Toc122409838"/>
      <w:bookmarkStart w:id="331" w:name="_Toc128547954"/>
      <w:bookmarkStart w:id="332" w:name="_Toc275335786"/>
      <w:bookmarkStart w:id="333" w:name="_Toc283881724"/>
      <w:r w:rsidRPr="00272F79">
        <w:rPr>
          <w:rFonts w:ascii="Calibri" w:hAnsi="Calibri" w:cs="Calibri"/>
          <w:b/>
        </w:rPr>
        <w:t xml:space="preserve">5. </w:t>
      </w:r>
      <w:bookmarkEnd w:id="330"/>
      <w:bookmarkEnd w:id="331"/>
      <w:bookmarkEnd w:id="332"/>
      <w:bookmarkEnd w:id="333"/>
      <w:r w:rsidRPr="00272F79">
        <w:rPr>
          <w:rFonts w:ascii="Calibri" w:hAnsi="Calibri" w:cs="Calibri"/>
          <w:b/>
        </w:rPr>
        <w:t>WYKONANIE ROBÓT</w:t>
      </w:r>
    </w:p>
    <w:p w:rsidR="004767DA" w:rsidRPr="006F7B34" w:rsidRDefault="004767DA" w:rsidP="004767DA">
      <w:pPr>
        <w:rPr>
          <w:rFonts w:ascii="Calibri" w:hAnsi="Calibri" w:cs="Calibri"/>
        </w:rPr>
      </w:pPr>
      <w:r w:rsidRPr="00272F79">
        <w:rPr>
          <w:rFonts w:ascii="Calibri" w:hAnsi="Calibri" w:cs="Calibri"/>
          <w:b/>
        </w:rPr>
        <w:t>5.1.</w:t>
      </w:r>
      <w:r w:rsidRPr="006F7B34">
        <w:rPr>
          <w:rFonts w:ascii="Calibri" w:hAnsi="Calibri" w:cs="Calibri"/>
        </w:rPr>
        <w:t xml:space="preserve"> Ogólne zasady wykonania robót</w:t>
      </w:r>
    </w:p>
    <w:p w:rsidR="004767DA" w:rsidRPr="006F7B34" w:rsidRDefault="004767DA" w:rsidP="004767DA">
      <w:pPr>
        <w:rPr>
          <w:rFonts w:ascii="Calibri" w:hAnsi="Calibri" w:cs="Calibri"/>
        </w:rPr>
      </w:pPr>
      <w:r w:rsidRPr="006F7B34">
        <w:rPr>
          <w:rFonts w:ascii="Calibri" w:hAnsi="Calibri" w:cs="Calibri"/>
        </w:rPr>
        <w:tab/>
        <w:t>Ogólne z</w:t>
      </w:r>
      <w:r>
        <w:rPr>
          <w:rFonts w:ascii="Calibri" w:hAnsi="Calibri" w:cs="Calibri"/>
        </w:rPr>
        <w:t xml:space="preserve">asady wykonania robót podano w </w:t>
      </w:r>
      <w:r w:rsidRPr="006F7B34">
        <w:rPr>
          <w:rFonts w:ascii="Calibri" w:hAnsi="Calibri" w:cs="Calibri"/>
        </w:rPr>
        <w:t>ST D-M-00.00.00 „Wymagania ogólne” [1] pkt 5.</w:t>
      </w:r>
    </w:p>
    <w:p w:rsidR="00666F76" w:rsidRDefault="00666F76" w:rsidP="004767DA">
      <w:pPr>
        <w:rPr>
          <w:rFonts w:ascii="Calibri" w:hAnsi="Calibri" w:cs="Calibri"/>
          <w:b/>
        </w:rPr>
      </w:pPr>
    </w:p>
    <w:p w:rsidR="00666F76" w:rsidRDefault="00666F76" w:rsidP="004767DA">
      <w:pPr>
        <w:rPr>
          <w:rFonts w:ascii="Calibri" w:hAnsi="Calibri" w:cs="Calibri"/>
          <w:b/>
        </w:rPr>
      </w:pPr>
    </w:p>
    <w:p w:rsidR="00666F76" w:rsidRDefault="00666F76" w:rsidP="004767DA">
      <w:pPr>
        <w:rPr>
          <w:rFonts w:ascii="Calibri" w:hAnsi="Calibri" w:cs="Calibri"/>
          <w:b/>
        </w:rPr>
      </w:pPr>
    </w:p>
    <w:p w:rsidR="004767DA" w:rsidRPr="006F7B34" w:rsidRDefault="004767DA" w:rsidP="004767DA">
      <w:pPr>
        <w:rPr>
          <w:rFonts w:ascii="Calibri" w:hAnsi="Calibri" w:cs="Calibri"/>
        </w:rPr>
      </w:pPr>
      <w:r w:rsidRPr="00272F79">
        <w:rPr>
          <w:rFonts w:ascii="Calibri" w:hAnsi="Calibri" w:cs="Calibri"/>
          <w:b/>
        </w:rPr>
        <w:lastRenderedPageBreak/>
        <w:t>5.2.</w:t>
      </w:r>
      <w:r w:rsidRPr="006F7B34">
        <w:rPr>
          <w:rFonts w:ascii="Calibri" w:hAnsi="Calibri" w:cs="Calibri"/>
        </w:rPr>
        <w:t xml:space="preserve"> Zasady wykonywania robót</w:t>
      </w:r>
    </w:p>
    <w:p w:rsidR="004767DA" w:rsidRPr="006F7B34" w:rsidRDefault="004767DA" w:rsidP="004767DA">
      <w:pPr>
        <w:rPr>
          <w:rFonts w:ascii="Calibri" w:hAnsi="Calibri" w:cs="Calibri"/>
        </w:rPr>
      </w:pPr>
      <w:r w:rsidRPr="006F7B34">
        <w:rPr>
          <w:rFonts w:ascii="Calibri" w:hAnsi="Calibri" w:cs="Calibri"/>
        </w:rPr>
        <w:t>Sposób wykonania robót powinien być zgodn</w:t>
      </w:r>
      <w:r>
        <w:rPr>
          <w:rFonts w:ascii="Calibri" w:hAnsi="Calibri" w:cs="Calibri"/>
        </w:rPr>
        <w:t>y z dokumentacją projektową</w:t>
      </w:r>
      <w:r w:rsidRPr="006F7B34">
        <w:rPr>
          <w:rFonts w:ascii="Calibri" w:hAnsi="Calibri" w:cs="Calibri"/>
        </w:rPr>
        <w:t>. W przypadku braku wystarczających danych można korzystać z ustaleń podanych w niniejszej specyfikacji oraz z informacji podanych w załączniku.</w:t>
      </w:r>
    </w:p>
    <w:p w:rsidR="004767DA" w:rsidRPr="006F7B34" w:rsidRDefault="004767DA" w:rsidP="004767DA">
      <w:pPr>
        <w:rPr>
          <w:rFonts w:ascii="Calibri" w:hAnsi="Calibri" w:cs="Calibri"/>
        </w:rPr>
      </w:pPr>
      <w:r w:rsidRPr="006F7B34">
        <w:rPr>
          <w:rFonts w:ascii="Calibri" w:hAnsi="Calibri" w:cs="Calibri"/>
        </w:rPr>
        <w:tab/>
        <w:t>Podstawowe czynności przy wykonywaniu robót obejmują:</w:t>
      </w:r>
    </w:p>
    <w:p w:rsidR="004767DA" w:rsidRPr="006F7B34" w:rsidRDefault="004767DA" w:rsidP="004767DA">
      <w:pPr>
        <w:rPr>
          <w:rFonts w:ascii="Calibri" w:hAnsi="Calibri" w:cs="Calibri"/>
        </w:rPr>
      </w:pPr>
      <w:r w:rsidRPr="006F7B34">
        <w:rPr>
          <w:rFonts w:ascii="Calibri" w:hAnsi="Calibri" w:cs="Calibri"/>
        </w:rPr>
        <w:t>1. roboty przygotowawcze,</w:t>
      </w:r>
    </w:p>
    <w:p w:rsidR="004767DA" w:rsidRPr="006F7B34" w:rsidRDefault="004767DA" w:rsidP="004767DA">
      <w:pPr>
        <w:rPr>
          <w:rFonts w:ascii="Calibri" w:hAnsi="Calibri" w:cs="Calibri"/>
        </w:rPr>
      </w:pPr>
      <w:r w:rsidRPr="006F7B34">
        <w:rPr>
          <w:rFonts w:ascii="Calibri" w:hAnsi="Calibri" w:cs="Calibri"/>
        </w:rPr>
        <w:t>2. zdjęcie warstwy ziemi urodzajnej,</w:t>
      </w:r>
    </w:p>
    <w:p w:rsidR="004767DA" w:rsidRPr="006F7B34" w:rsidRDefault="004767DA" w:rsidP="004767DA">
      <w:pPr>
        <w:rPr>
          <w:rFonts w:ascii="Calibri" w:hAnsi="Calibri" w:cs="Calibri"/>
        </w:rPr>
      </w:pPr>
      <w:r w:rsidRPr="006F7B34">
        <w:rPr>
          <w:rFonts w:ascii="Calibri" w:hAnsi="Calibri" w:cs="Calibri"/>
        </w:rPr>
        <w:t>3. składowanie ziemi urodzajnej,</w:t>
      </w:r>
    </w:p>
    <w:p w:rsidR="004767DA" w:rsidRPr="006F7B34" w:rsidRDefault="004767DA" w:rsidP="004767DA">
      <w:pPr>
        <w:rPr>
          <w:rFonts w:ascii="Calibri" w:hAnsi="Calibri" w:cs="Calibri"/>
        </w:rPr>
      </w:pPr>
      <w:r w:rsidRPr="006F7B34">
        <w:rPr>
          <w:rFonts w:ascii="Calibri" w:hAnsi="Calibri" w:cs="Calibri"/>
        </w:rPr>
        <w:t>4. roboty wykończeniowe.</w:t>
      </w:r>
    </w:p>
    <w:p w:rsidR="004767DA" w:rsidRPr="006F7B34" w:rsidRDefault="004767DA" w:rsidP="004767DA">
      <w:pPr>
        <w:rPr>
          <w:rFonts w:ascii="Calibri" w:hAnsi="Calibri" w:cs="Calibri"/>
        </w:rPr>
      </w:pPr>
      <w:r w:rsidRPr="00272F79">
        <w:rPr>
          <w:rFonts w:ascii="Calibri" w:hAnsi="Calibri" w:cs="Calibri"/>
          <w:b/>
        </w:rPr>
        <w:t>5.3.</w:t>
      </w:r>
      <w:r w:rsidRPr="006F7B34">
        <w:rPr>
          <w:rFonts w:ascii="Calibri" w:hAnsi="Calibri" w:cs="Calibri"/>
        </w:rPr>
        <w:t xml:space="preserve"> Roboty przygotowawcze</w:t>
      </w:r>
    </w:p>
    <w:p w:rsidR="004767DA" w:rsidRPr="006F7B34" w:rsidRDefault="004767DA" w:rsidP="004767DA">
      <w:pPr>
        <w:rPr>
          <w:rFonts w:ascii="Calibri" w:hAnsi="Calibri" w:cs="Calibri"/>
        </w:rPr>
      </w:pPr>
      <w:r w:rsidRPr="006F7B34">
        <w:rPr>
          <w:rFonts w:ascii="Calibri" w:hAnsi="Calibri" w:cs="Calibri"/>
        </w:rPr>
        <w:tab/>
        <w:t>Przed przystąpieniem do robót należy, na podstaw</w:t>
      </w:r>
      <w:r>
        <w:rPr>
          <w:rFonts w:ascii="Calibri" w:hAnsi="Calibri" w:cs="Calibri"/>
        </w:rPr>
        <w:t xml:space="preserve">ie dokumentacji projektowej </w:t>
      </w:r>
      <w:r w:rsidRPr="006F7B34">
        <w:rPr>
          <w:rFonts w:ascii="Calibri" w:hAnsi="Calibri" w:cs="Calibri"/>
        </w:rPr>
        <w:t>lub wskazań Inżyniera:</w:t>
      </w:r>
    </w:p>
    <w:p w:rsidR="004767DA" w:rsidRPr="006F7B34" w:rsidRDefault="00301193" w:rsidP="004767DA">
      <w:pPr>
        <w:rPr>
          <w:rFonts w:ascii="Calibri" w:hAnsi="Calibri" w:cs="Calibri"/>
        </w:rPr>
      </w:pPr>
      <w:r>
        <w:rPr>
          <w:rFonts w:ascii="Calibri" w:hAnsi="Calibri" w:cs="Calibri"/>
        </w:rPr>
        <w:t>-</w:t>
      </w:r>
      <w:r w:rsidR="004767DA" w:rsidRPr="006F7B34">
        <w:rPr>
          <w:rFonts w:ascii="Calibri" w:hAnsi="Calibri" w:cs="Calibri"/>
        </w:rPr>
        <w:t>ustalić lokalizację terenu robót,</w:t>
      </w:r>
    </w:p>
    <w:p w:rsidR="004767DA" w:rsidRPr="006F7B34" w:rsidRDefault="00301193" w:rsidP="004767DA">
      <w:pPr>
        <w:rPr>
          <w:rFonts w:ascii="Calibri" w:hAnsi="Calibri" w:cs="Calibri"/>
        </w:rPr>
      </w:pPr>
      <w:r>
        <w:rPr>
          <w:rFonts w:ascii="Calibri" w:hAnsi="Calibri" w:cs="Calibri"/>
        </w:rPr>
        <w:t>-</w:t>
      </w:r>
      <w:r w:rsidR="004767DA" w:rsidRPr="006F7B34">
        <w:rPr>
          <w:rFonts w:ascii="Calibri" w:hAnsi="Calibri" w:cs="Calibri"/>
        </w:rPr>
        <w:t>przeprowadzić szczegółowe wytyczenie robót,</w:t>
      </w:r>
    </w:p>
    <w:p w:rsidR="004767DA" w:rsidRPr="006F7B34" w:rsidRDefault="00301193" w:rsidP="004767DA">
      <w:pPr>
        <w:rPr>
          <w:rFonts w:ascii="Calibri" w:hAnsi="Calibri" w:cs="Calibri"/>
        </w:rPr>
      </w:pPr>
      <w:r>
        <w:rPr>
          <w:rFonts w:ascii="Calibri" w:hAnsi="Calibri" w:cs="Calibri"/>
        </w:rPr>
        <w:t>-</w:t>
      </w:r>
      <w:r w:rsidR="004767DA" w:rsidRPr="006F7B34">
        <w:rPr>
          <w:rFonts w:ascii="Calibri" w:hAnsi="Calibri" w:cs="Calibri"/>
        </w:rPr>
        <w:t>usunąć przeszkody, np. drzewa, krzaki, obiekty, elementy dróg, ogrodzeń itd.,</w:t>
      </w:r>
    </w:p>
    <w:p w:rsidR="004767DA" w:rsidRPr="006F7B34" w:rsidRDefault="00301193" w:rsidP="004767DA">
      <w:pPr>
        <w:rPr>
          <w:rFonts w:ascii="Calibri" w:hAnsi="Calibri" w:cs="Calibri"/>
        </w:rPr>
      </w:pPr>
      <w:r>
        <w:rPr>
          <w:rFonts w:ascii="Calibri" w:hAnsi="Calibri" w:cs="Calibri"/>
        </w:rPr>
        <w:t>-</w:t>
      </w:r>
      <w:r w:rsidR="004767DA" w:rsidRPr="006F7B34">
        <w:rPr>
          <w:rFonts w:ascii="Calibri" w:hAnsi="Calibri" w:cs="Calibri"/>
        </w:rPr>
        <w:t>ew. usunąć darninę, jeśli znajduje się nad warstwą ziemi urodzajnej.</w:t>
      </w:r>
    </w:p>
    <w:p w:rsidR="004767DA" w:rsidRPr="006F7B34" w:rsidRDefault="004767DA" w:rsidP="004767DA">
      <w:pPr>
        <w:rPr>
          <w:rFonts w:ascii="Calibri" w:hAnsi="Calibri" w:cs="Calibri"/>
        </w:rPr>
      </w:pPr>
      <w:r w:rsidRPr="00272F79">
        <w:rPr>
          <w:rFonts w:ascii="Calibri" w:hAnsi="Calibri" w:cs="Calibri"/>
          <w:b/>
        </w:rPr>
        <w:t>5.4.</w:t>
      </w:r>
      <w:r w:rsidRPr="006F7B34">
        <w:rPr>
          <w:rFonts w:ascii="Calibri" w:hAnsi="Calibri" w:cs="Calibri"/>
        </w:rPr>
        <w:t xml:space="preserve"> Zdjęcie warstwy ziemi urodzajnej</w:t>
      </w:r>
    </w:p>
    <w:p w:rsidR="004767DA" w:rsidRPr="006F7B34" w:rsidRDefault="004767DA" w:rsidP="004767DA">
      <w:pPr>
        <w:rPr>
          <w:rFonts w:ascii="Calibri" w:hAnsi="Calibri" w:cs="Calibri"/>
        </w:rPr>
      </w:pPr>
      <w:r w:rsidRPr="00272F79">
        <w:rPr>
          <w:rFonts w:ascii="Calibri" w:hAnsi="Calibri" w:cs="Calibri"/>
          <w:b/>
        </w:rPr>
        <w:t>5.4.1.</w:t>
      </w:r>
      <w:r w:rsidRPr="006F7B34">
        <w:rPr>
          <w:rFonts w:ascii="Calibri" w:hAnsi="Calibri" w:cs="Calibri"/>
        </w:rPr>
        <w:t xml:space="preserve"> Wymagania ogólne</w:t>
      </w:r>
    </w:p>
    <w:p w:rsidR="004767DA" w:rsidRPr="006F7B34" w:rsidRDefault="004767DA" w:rsidP="004767DA">
      <w:pPr>
        <w:rPr>
          <w:rFonts w:ascii="Calibri" w:hAnsi="Calibri" w:cs="Calibri"/>
        </w:rPr>
      </w:pPr>
      <w:r w:rsidRPr="006F7B34">
        <w:rPr>
          <w:rFonts w:ascii="Calibri" w:hAnsi="Calibri" w:cs="Calibri"/>
        </w:rPr>
        <w:tab/>
        <w:t>Warstwę ziemi urodzajnej należy zdjąć z powierzchni całego pasa robót ziemnych oraz w innych miejscach określonych w dokumentacji projektowej lub wskazanych przez Inżyniera.</w:t>
      </w:r>
    </w:p>
    <w:p w:rsidR="004767DA" w:rsidRPr="006F7B34" w:rsidRDefault="004767DA" w:rsidP="004767DA">
      <w:pPr>
        <w:rPr>
          <w:rFonts w:ascii="Calibri" w:hAnsi="Calibri" w:cs="Calibri"/>
        </w:rPr>
      </w:pPr>
      <w:r w:rsidRPr="006F7B34">
        <w:rPr>
          <w:rFonts w:ascii="Calibri" w:hAnsi="Calibri" w:cs="Calibri"/>
        </w:rPr>
        <w:tab/>
        <w:t>Podczas usuwania ziemi urodzajnej należy pozostawić powierzchnię gruntu równą bez zagłębień, w których zbierałaby się woda. W tym celu w terenie falistym usuwanie ziemi urodzajnej należy prowadzić od miejsc niższych ku wyższym (pod górę).</w:t>
      </w:r>
    </w:p>
    <w:p w:rsidR="004767DA" w:rsidRPr="006F7B34" w:rsidRDefault="004767DA" w:rsidP="004767DA">
      <w:pPr>
        <w:rPr>
          <w:rFonts w:ascii="Calibri" w:hAnsi="Calibri" w:cs="Calibri"/>
        </w:rPr>
      </w:pPr>
      <w:r w:rsidRPr="006F7B34">
        <w:rPr>
          <w:rFonts w:ascii="Calibri" w:hAnsi="Calibri" w:cs="Calibri"/>
        </w:rPr>
        <w:tab/>
        <w:t xml:space="preserve">Jeśli nie przewiduje się natychmiastowego wykonywania robót ziemnych, zaleca się pozostawić na miejscu warstwę ziemi urodzajnej grubości około </w:t>
      </w:r>
      <w:smartTag w:uri="urn:schemas-microsoft-com:office:smarttags" w:element="metricconverter">
        <w:smartTagPr>
          <w:attr w:name="ProductID" w:val="20 cm"/>
        </w:smartTagPr>
        <w:r w:rsidRPr="006F7B34">
          <w:rPr>
            <w:rFonts w:ascii="Calibri" w:hAnsi="Calibri" w:cs="Calibri"/>
          </w:rPr>
          <w:t>20 cm</w:t>
        </w:r>
      </w:smartTag>
      <w:r w:rsidRPr="006F7B34">
        <w:rPr>
          <w:rFonts w:ascii="Calibri" w:hAnsi="Calibri" w:cs="Calibri"/>
        </w:rPr>
        <w:t>. Jeśli warstwa ziemi urodzajnej została zdjęta na pełną głębokość, a Wykonawca nie przystąpił do wykonywania robót drogowych, to powinien zabezpieczyć powierzchnię odsłoniętego gruntu przed negatywnymi skutkami czynników atmosferycznych. Jeżeli grunt podłoża ulegnie pogorszeniu, to Wykonawca przywróci ten grunt do stanu pierwotnego.</w:t>
      </w:r>
    </w:p>
    <w:p w:rsidR="004767DA" w:rsidRPr="006F7B34" w:rsidRDefault="004767DA" w:rsidP="004767DA">
      <w:pPr>
        <w:rPr>
          <w:rFonts w:ascii="Calibri" w:hAnsi="Calibri" w:cs="Calibri"/>
        </w:rPr>
      </w:pPr>
      <w:r w:rsidRPr="006F7B34">
        <w:rPr>
          <w:rFonts w:ascii="Calibri" w:hAnsi="Calibri" w:cs="Calibri"/>
        </w:rPr>
        <w:tab/>
        <w:t>Grubość zdejmowanej warstwy ziemi urodzajnej (zależna od głębokości jej zalegania, wysokości nasypu, potrzeb jej wykorzystania na budowie itp.) powinna być zgodna z ustalenia</w:t>
      </w:r>
      <w:r>
        <w:rPr>
          <w:rFonts w:ascii="Calibri" w:hAnsi="Calibri" w:cs="Calibri"/>
        </w:rPr>
        <w:t xml:space="preserve">mi dokumentacji projektowej </w:t>
      </w:r>
      <w:r w:rsidRPr="006F7B34">
        <w:rPr>
          <w:rFonts w:ascii="Calibri" w:hAnsi="Calibri" w:cs="Calibri"/>
        </w:rPr>
        <w:t>lub wskazana przez Inżyniera, według faktycznego stanu jej występowania.</w:t>
      </w:r>
    </w:p>
    <w:p w:rsidR="004767DA" w:rsidRPr="006F7B34" w:rsidRDefault="004767DA" w:rsidP="004767DA">
      <w:pPr>
        <w:rPr>
          <w:rFonts w:ascii="Calibri" w:hAnsi="Calibri" w:cs="Calibri"/>
        </w:rPr>
      </w:pPr>
      <w:r w:rsidRPr="006F7B34">
        <w:rPr>
          <w:rFonts w:ascii="Calibri" w:hAnsi="Calibri" w:cs="Calibri"/>
        </w:rPr>
        <w:tab/>
        <w:t>Nie należy zdejmować ziemi urodzajnej w czasie intensywnych opadów i bezpośrednio po nich, aby uniknąć zanieczyszczenia gliną lub innym gruntem nieorganicznym.</w:t>
      </w:r>
    </w:p>
    <w:p w:rsidR="004767DA" w:rsidRPr="006F7B34" w:rsidRDefault="004767DA" w:rsidP="004767DA">
      <w:pPr>
        <w:rPr>
          <w:rFonts w:ascii="Calibri" w:hAnsi="Calibri" w:cs="Calibri"/>
        </w:rPr>
      </w:pPr>
      <w:r w:rsidRPr="00272F79">
        <w:rPr>
          <w:rFonts w:ascii="Calibri" w:hAnsi="Calibri" w:cs="Calibri"/>
          <w:b/>
        </w:rPr>
        <w:t>5.4.2.</w:t>
      </w:r>
      <w:r w:rsidRPr="006F7B34">
        <w:rPr>
          <w:rFonts w:ascii="Calibri" w:hAnsi="Calibri" w:cs="Calibri"/>
        </w:rPr>
        <w:t xml:space="preserve"> Usunięcie ziemi urodzajnej</w:t>
      </w:r>
    </w:p>
    <w:p w:rsidR="004767DA" w:rsidRPr="006F7B34" w:rsidRDefault="004767DA" w:rsidP="004767DA">
      <w:pPr>
        <w:rPr>
          <w:rFonts w:ascii="Calibri" w:hAnsi="Calibri" w:cs="Calibri"/>
        </w:rPr>
      </w:pPr>
      <w:r w:rsidRPr="006F7B34">
        <w:rPr>
          <w:rFonts w:ascii="Calibri" w:hAnsi="Calibri" w:cs="Calibri"/>
        </w:rPr>
        <w:tab/>
        <w:t>Ziemię urodzajną należy zdejmować mechanicznie  z zastosowaniem spycharek lub równiarek, a przy dużym zakresie robót również zgarniarek. Maszyną, która najlepiej jest przystosowana do robót jest spycharka, bez względu na moc silnika. Przy stosowaniu równiarek uzyskuje się znacznie mniejsze wydajności niż przy użyciu spycharek.</w:t>
      </w:r>
    </w:p>
    <w:p w:rsidR="004767DA" w:rsidRPr="006F7B34" w:rsidRDefault="004767DA" w:rsidP="004767DA">
      <w:pPr>
        <w:rPr>
          <w:rFonts w:ascii="Calibri" w:hAnsi="Calibri" w:cs="Calibri"/>
        </w:rPr>
      </w:pPr>
      <w:r w:rsidRPr="006F7B34">
        <w:rPr>
          <w:rFonts w:ascii="Calibri" w:hAnsi="Calibri" w:cs="Calibri"/>
        </w:rPr>
        <w:tab/>
        <w:t>W przypadku, gdy ziemię urodzajną można składować w pasie drogowym, wzdłuż przyszłych skarp, to spycharka usuwa ziemię urodzajną z jednej połowy pasa robót ziemnych, posuwając się w kierunku poprzecznym do osi drogi, zbiera ziemię urodzajną i odsuwa poza pas robót ziemnych. Jeżeli ziemi urodzajnej z całej połowy pasa nie da się usunąć przy jednym przejściu, spycharka powraca tym samym śladem po jej resztę. Po usunięciu całej ziemi urodzajnej na danym śladzie roboczym, spycharka powraca ukosem do środka pasa robót ziemnych i zajmuje stanowisko przesunięte w kierunku podłużnym trasy o szerokość lemiesza, po czym cykl pracy powtarza się. Po usunięciu ziemi urodzajnej z jednej połowy na pewnej długości, odsuwa się w ten sam sposób ziemię urodzajną z drugiej połowy.</w:t>
      </w:r>
    </w:p>
    <w:p w:rsidR="004767DA" w:rsidRPr="006F7B34" w:rsidRDefault="004767DA" w:rsidP="004767DA">
      <w:pPr>
        <w:rPr>
          <w:rFonts w:ascii="Calibri" w:hAnsi="Calibri" w:cs="Calibri"/>
        </w:rPr>
      </w:pPr>
      <w:r w:rsidRPr="006F7B34">
        <w:rPr>
          <w:rFonts w:ascii="Calibri" w:hAnsi="Calibri" w:cs="Calibri"/>
        </w:rPr>
        <w:tab/>
        <w:t xml:space="preserve">W przypadku, gdy nie ma możliwości składowania ziemi urodzajnej w pasie drogowym lub wykorzystanie jej odbędzie się po dłuższym okresie, należy załadować ją na środki transportowe i odwieźć na miejsce hałdowania. </w:t>
      </w:r>
    </w:p>
    <w:p w:rsidR="004767DA" w:rsidRPr="006F7B34" w:rsidRDefault="004767DA" w:rsidP="004767DA">
      <w:pPr>
        <w:rPr>
          <w:rFonts w:ascii="Calibri" w:hAnsi="Calibri" w:cs="Calibri"/>
        </w:rPr>
      </w:pPr>
      <w:r w:rsidRPr="006F7B34">
        <w:rPr>
          <w:rFonts w:ascii="Calibri" w:hAnsi="Calibri" w:cs="Calibri"/>
        </w:rPr>
        <w:tab/>
        <w:t>Jeśli powierzchnia zdjęcia ziemi urodzajnej jest niewielka lub nie ma możliwości mechanicznego jej usunięcia, to roboty można wykonać ręcznie. Narzędziem do ręcznego odspojenia i odrzucenia lub załadowania ziemi urodzajnej jest szpadel, a środkiem do przewozu są zwykłe taczki. Przy słabym gruncie podłoża pod koło taczek podkłada się tory z płaskownika lub desek.</w:t>
      </w:r>
    </w:p>
    <w:p w:rsidR="004767DA" w:rsidRPr="006F7B34" w:rsidRDefault="004767DA" w:rsidP="004767DA">
      <w:pPr>
        <w:rPr>
          <w:rFonts w:ascii="Calibri" w:hAnsi="Calibri" w:cs="Calibri"/>
        </w:rPr>
      </w:pPr>
      <w:r w:rsidRPr="00272F79">
        <w:rPr>
          <w:rFonts w:ascii="Calibri" w:hAnsi="Calibri" w:cs="Calibri"/>
          <w:b/>
        </w:rPr>
        <w:t>5.4.3.</w:t>
      </w:r>
      <w:r w:rsidRPr="006F7B34">
        <w:rPr>
          <w:rFonts w:ascii="Calibri" w:hAnsi="Calibri" w:cs="Calibri"/>
        </w:rPr>
        <w:t xml:space="preserve"> Składowanie ziemi urodzajnej</w:t>
      </w:r>
    </w:p>
    <w:p w:rsidR="004767DA" w:rsidRPr="006F7B34" w:rsidRDefault="004767DA" w:rsidP="004767DA">
      <w:pPr>
        <w:rPr>
          <w:rFonts w:ascii="Calibri" w:hAnsi="Calibri" w:cs="Calibri"/>
        </w:rPr>
      </w:pPr>
      <w:r w:rsidRPr="006F7B34">
        <w:rPr>
          <w:rFonts w:ascii="Calibri" w:hAnsi="Calibri" w:cs="Calibri"/>
        </w:rPr>
        <w:tab/>
        <w:t>Miejsce składowania ziemi urodzajnej powinno być przez Wykonawcę tak dobrane, aby ziemia urodzajna była zabezpieczona przed zanieczyszczeniem, a także najeżdżaniem przez pojazdy. Wykonawca jest odpowiedzialny za znalezienie miejsca składowania, uzyskanie uzgodnień od odpowiednich władz, okres składowania i doprowadzenie terenu składowiska do stanu poprzedniego.</w:t>
      </w:r>
    </w:p>
    <w:p w:rsidR="004767DA" w:rsidRPr="006F7B34" w:rsidRDefault="004767DA" w:rsidP="004767DA">
      <w:pPr>
        <w:rPr>
          <w:rFonts w:ascii="Calibri" w:hAnsi="Calibri" w:cs="Calibri"/>
        </w:rPr>
      </w:pPr>
      <w:r w:rsidRPr="006F7B34">
        <w:rPr>
          <w:rFonts w:ascii="Calibri" w:hAnsi="Calibri" w:cs="Calibri"/>
        </w:rPr>
        <w:lastRenderedPageBreak/>
        <w:tab/>
        <w:t xml:space="preserve">Na składowisku ziemię urodzajną należy składować w regularnych pryzmach o wysokości do </w:t>
      </w:r>
      <w:smartTag w:uri="urn:schemas-microsoft-com:office:smarttags" w:element="metricconverter">
        <w:smartTagPr>
          <w:attr w:name="ProductID" w:val="2 m"/>
        </w:smartTagPr>
        <w:r w:rsidRPr="006F7B34">
          <w:rPr>
            <w:rFonts w:ascii="Calibri" w:hAnsi="Calibri" w:cs="Calibri"/>
          </w:rPr>
          <w:t>2 m</w:t>
        </w:r>
      </w:smartTag>
      <w:r w:rsidRPr="006F7B34">
        <w:rPr>
          <w:rFonts w:ascii="Calibri" w:hAnsi="Calibri" w:cs="Calibri"/>
        </w:rPr>
        <w:t xml:space="preserve"> i obsiać mieszankami traw ochronnych. Zgromadzona w pryzmach ziemia urodzajna nie może zawierać korzeni, kamieni i materiałów nieorganicznych.</w:t>
      </w:r>
    </w:p>
    <w:p w:rsidR="004767DA" w:rsidRPr="006F7B34" w:rsidRDefault="004767DA" w:rsidP="004767DA">
      <w:pPr>
        <w:rPr>
          <w:rFonts w:ascii="Calibri" w:hAnsi="Calibri" w:cs="Calibri"/>
        </w:rPr>
      </w:pPr>
      <w:r w:rsidRPr="006F7B34">
        <w:rPr>
          <w:rFonts w:ascii="Calibri" w:hAnsi="Calibri" w:cs="Calibri"/>
        </w:rPr>
        <w:tab/>
        <w:t xml:space="preserve">W okresach suchych zaleca się w górnej powierzchni pryzm wyrobić nieckę głębokości do </w:t>
      </w:r>
      <w:smartTag w:uri="urn:schemas-microsoft-com:office:smarttags" w:element="metricconverter">
        <w:smartTagPr>
          <w:attr w:name="ProductID" w:val="40 cm"/>
        </w:smartTagPr>
        <w:r w:rsidRPr="006F7B34">
          <w:rPr>
            <w:rFonts w:ascii="Calibri" w:hAnsi="Calibri" w:cs="Calibri"/>
          </w:rPr>
          <w:t>40 cm</w:t>
        </w:r>
      </w:smartTag>
      <w:r w:rsidRPr="006F7B34">
        <w:rPr>
          <w:rFonts w:ascii="Calibri" w:hAnsi="Calibri" w:cs="Calibri"/>
        </w:rPr>
        <w:t xml:space="preserve"> na zbieranie wody deszczowej, która zapobiegnie szkodliwym zmianom zgromadzonej ziemi, przesiąkając do wnętrza pryzmy.</w:t>
      </w:r>
    </w:p>
    <w:p w:rsidR="004767DA" w:rsidRPr="006F7B34" w:rsidRDefault="004767DA" w:rsidP="004767DA">
      <w:pPr>
        <w:rPr>
          <w:rFonts w:ascii="Calibri" w:hAnsi="Calibri" w:cs="Calibri"/>
        </w:rPr>
      </w:pPr>
      <w:r w:rsidRPr="006F7B34">
        <w:rPr>
          <w:rFonts w:ascii="Calibri" w:hAnsi="Calibri" w:cs="Calibri"/>
        </w:rPr>
        <w:tab/>
        <w:t>Ziemię urodzajną zaleca się odchwaścić przy zastosowaniu herbicydów.</w:t>
      </w:r>
    </w:p>
    <w:p w:rsidR="004767DA" w:rsidRPr="006F7B34" w:rsidRDefault="004767DA" w:rsidP="004767DA">
      <w:pPr>
        <w:rPr>
          <w:rFonts w:ascii="Calibri" w:hAnsi="Calibri" w:cs="Calibri"/>
        </w:rPr>
      </w:pPr>
      <w:r w:rsidRPr="00272F79">
        <w:rPr>
          <w:rFonts w:ascii="Calibri" w:hAnsi="Calibri" w:cs="Calibri"/>
          <w:b/>
        </w:rPr>
        <w:t>5.4.4.</w:t>
      </w:r>
      <w:r w:rsidRPr="006F7B34">
        <w:rPr>
          <w:rFonts w:ascii="Calibri" w:hAnsi="Calibri" w:cs="Calibri"/>
        </w:rPr>
        <w:t xml:space="preserve"> Nadmiar ziemi urodzajnej</w:t>
      </w:r>
    </w:p>
    <w:p w:rsidR="004767DA" w:rsidRPr="006F7B34" w:rsidRDefault="004767DA" w:rsidP="004767DA">
      <w:pPr>
        <w:rPr>
          <w:rFonts w:ascii="Calibri" w:hAnsi="Calibri" w:cs="Calibri"/>
        </w:rPr>
      </w:pPr>
      <w:r w:rsidRPr="006F7B34">
        <w:rPr>
          <w:rFonts w:ascii="Calibri" w:hAnsi="Calibri" w:cs="Calibri"/>
        </w:rPr>
        <w:tab/>
        <w:t>Nadmiar ziemi urodzajnej, pozostającej po wykorzystaniu jej przy umocnieniu skarp i innych robotach wykończeniowych należy wykorzystać do rekultywacji terenu po ukopach lub w innych miejscach ustalonych na podstawie decyzji właściwego organu ochrony środowiska.</w:t>
      </w:r>
    </w:p>
    <w:p w:rsidR="004767DA" w:rsidRPr="006F7B34" w:rsidRDefault="004767DA" w:rsidP="004767DA">
      <w:pPr>
        <w:rPr>
          <w:rFonts w:ascii="Calibri" w:hAnsi="Calibri" w:cs="Calibri"/>
        </w:rPr>
      </w:pPr>
      <w:r w:rsidRPr="006F7B34">
        <w:rPr>
          <w:rFonts w:ascii="Calibri" w:hAnsi="Calibri" w:cs="Calibri"/>
        </w:rPr>
        <w:tab/>
        <w:t>Lokalizację miejsca odwozu nadmiaru ziemi urodzajnej wraz ze wszystkimi pozwoleniami należy przedstawić Inżynierowi.</w:t>
      </w:r>
    </w:p>
    <w:p w:rsidR="004767DA" w:rsidRPr="006F7B34" w:rsidRDefault="004767DA" w:rsidP="004767DA">
      <w:pPr>
        <w:rPr>
          <w:rFonts w:ascii="Calibri" w:hAnsi="Calibri" w:cs="Calibri"/>
        </w:rPr>
      </w:pPr>
      <w:r w:rsidRPr="00301193">
        <w:rPr>
          <w:rFonts w:ascii="Calibri" w:hAnsi="Calibri" w:cs="Calibri"/>
          <w:b/>
        </w:rPr>
        <w:t>5.5.</w:t>
      </w:r>
      <w:r w:rsidRPr="006F7B34">
        <w:rPr>
          <w:rFonts w:ascii="Calibri" w:hAnsi="Calibri" w:cs="Calibri"/>
        </w:rPr>
        <w:t xml:space="preserve"> Roboty wykończeniowe</w:t>
      </w:r>
    </w:p>
    <w:p w:rsidR="004767DA" w:rsidRDefault="004767DA" w:rsidP="004767DA">
      <w:pPr>
        <w:rPr>
          <w:rFonts w:ascii="Calibri" w:hAnsi="Calibri" w:cs="Calibri"/>
        </w:rPr>
      </w:pPr>
      <w:r w:rsidRPr="006F7B34">
        <w:rPr>
          <w:rFonts w:ascii="Calibri" w:hAnsi="Calibri" w:cs="Calibri"/>
        </w:rPr>
        <w:t>Roboty wykończeniowe powinny być zgodn</w:t>
      </w:r>
      <w:r>
        <w:rPr>
          <w:rFonts w:ascii="Calibri" w:hAnsi="Calibri" w:cs="Calibri"/>
        </w:rPr>
        <w:t>e z dokumentacją projektową</w:t>
      </w:r>
      <w:r w:rsidRPr="006F7B34">
        <w:rPr>
          <w:rFonts w:ascii="Calibri" w:hAnsi="Calibri" w:cs="Calibri"/>
        </w:rPr>
        <w:t>. Do robót wykończeniowych należą prace związane z dostosowaniem wykonanych robót do istniejących warunków terenowych, takie jak roboty porządkujące otoczenie terenu robót.</w:t>
      </w:r>
    </w:p>
    <w:p w:rsidR="004767DA" w:rsidRPr="006F7B34" w:rsidRDefault="004767DA" w:rsidP="004767DA">
      <w:pPr>
        <w:rPr>
          <w:rFonts w:ascii="Calibri" w:hAnsi="Calibri" w:cs="Calibri"/>
        </w:rPr>
      </w:pPr>
    </w:p>
    <w:p w:rsidR="004767DA" w:rsidRPr="00272F79" w:rsidRDefault="004767DA" w:rsidP="004767DA">
      <w:pPr>
        <w:rPr>
          <w:rFonts w:ascii="Calibri" w:hAnsi="Calibri" w:cs="Calibri"/>
          <w:b/>
        </w:rPr>
      </w:pPr>
      <w:bookmarkStart w:id="334" w:name="_Toc122409839"/>
      <w:bookmarkStart w:id="335" w:name="_Toc128547955"/>
      <w:bookmarkStart w:id="336" w:name="_Toc275335787"/>
      <w:bookmarkStart w:id="337" w:name="_Toc283881725"/>
      <w:r w:rsidRPr="00272F79">
        <w:rPr>
          <w:rFonts w:ascii="Calibri" w:hAnsi="Calibri" w:cs="Calibri"/>
          <w:b/>
        </w:rPr>
        <w:t>6. KONTROLA JAKOŚCI ROBÓT</w:t>
      </w:r>
      <w:bookmarkEnd w:id="334"/>
      <w:bookmarkEnd w:id="335"/>
      <w:bookmarkEnd w:id="336"/>
      <w:bookmarkEnd w:id="337"/>
    </w:p>
    <w:p w:rsidR="004767DA" w:rsidRPr="006F7B34" w:rsidRDefault="004767DA" w:rsidP="004767DA">
      <w:pPr>
        <w:rPr>
          <w:rFonts w:ascii="Calibri" w:hAnsi="Calibri" w:cs="Calibri"/>
        </w:rPr>
      </w:pPr>
      <w:r w:rsidRPr="00272F79">
        <w:rPr>
          <w:rFonts w:ascii="Calibri" w:hAnsi="Calibri" w:cs="Calibri"/>
          <w:b/>
        </w:rPr>
        <w:t>6.1.</w:t>
      </w:r>
      <w:r w:rsidRPr="006F7B34">
        <w:rPr>
          <w:rFonts w:ascii="Calibri" w:hAnsi="Calibri" w:cs="Calibri"/>
        </w:rPr>
        <w:t xml:space="preserve"> Ogólne zasady kontroli jakości robót</w:t>
      </w:r>
    </w:p>
    <w:p w:rsidR="004767DA" w:rsidRPr="006F7B34" w:rsidRDefault="004767DA" w:rsidP="004767DA">
      <w:pPr>
        <w:rPr>
          <w:rFonts w:ascii="Calibri" w:hAnsi="Calibri" w:cs="Calibri"/>
        </w:rPr>
      </w:pPr>
      <w:r w:rsidRPr="006F7B34">
        <w:rPr>
          <w:rFonts w:ascii="Calibri" w:hAnsi="Calibri" w:cs="Calibri"/>
        </w:rPr>
        <w:tab/>
        <w:t>Ogólne zasady ko</w:t>
      </w:r>
      <w:r>
        <w:rPr>
          <w:rFonts w:ascii="Calibri" w:hAnsi="Calibri" w:cs="Calibri"/>
        </w:rPr>
        <w:t xml:space="preserve">ntroli jakości robót podano w </w:t>
      </w:r>
      <w:r w:rsidRPr="006F7B34">
        <w:rPr>
          <w:rFonts w:ascii="Calibri" w:hAnsi="Calibri" w:cs="Calibri"/>
        </w:rPr>
        <w:t>ST D</w:t>
      </w:r>
      <w:r>
        <w:rPr>
          <w:rFonts w:ascii="Calibri" w:hAnsi="Calibri" w:cs="Calibri"/>
        </w:rPr>
        <w:t xml:space="preserve">-M-00.00.00 „Wymagania ogólne” </w:t>
      </w:r>
      <w:r w:rsidRPr="006F7B34">
        <w:rPr>
          <w:rFonts w:ascii="Calibri" w:hAnsi="Calibri" w:cs="Calibri"/>
        </w:rPr>
        <w:t>pkt 6.</w:t>
      </w:r>
    </w:p>
    <w:p w:rsidR="004767DA" w:rsidRPr="006F7B34" w:rsidRDefault="004767DA" w:rsidP="004767DA">
      <w:pPr>
        <w:rPr>
          <w:rFonts w:ascii="Calibri" w:hAnsi="Calibri" w:cs="Calibri"/>
        </w:rPr>
      </w:pPr>
      <w:r w:rsidRPr="00272F79">
        <w:rPr>
          <w:rFonts w:ascii="Calibri" w:hAnsi="Calibri" w:cs="Calibri"/>
          <w:b/>
        </w:rPr>
        <w:t>6.2.</w:t>
      </w:r>
      <w:r w:rsidRPr="006F7B34">
        <w:rPr>
          <w:rFonts w:ascii="Calibri" w:hAnsi="Calibri" w:cs="Calibri"/>
        </w:rPr>
        <w:t xml:space="preserve"> Kontrola usunięcia ziemi urodzajnej</w:t>
      </w:r>
    </w:p>
    <w:p w:rsidR="004767DA" w:rsidRDefault="004767DA" w:rsidP="004767DA">
      <w:pPr>
        <w:rPr>
          <w:rFonts w:ascii="Calibri" w:hAnsi="Calibri" w:cs="Calibri"/>
        </w:rPr>
      </w:pPr>
      <w:r w:rsidRPr="006F7B34">
        <w:rPr>
          <w:rFonts w:ascii="Calibri" w:hAnsi="Calibri" w:cs="Calibri"/>
        </w:rPr>
        <w:tab/>
        <w:t>Sprawdzenie jakości robót polega na wizualnej ocenie kompletności i prawidłowości ich wykonania.</w:t>
      </w:r>
    </w:p>
    <w:p w:rsidR="004767DA" w:rsidRPr="006F7B34" w:rsidRDefault="004767DA" w:rsidP="004767DA">
      <w:pPr>
        <w:rPr>
          <w:rFonts w:ascii="Calibri" w:hAnsi="Calibri" w:cs="Calibri"/>
        </w:rPr>
      </w:pPr>
    </w:p>
    <w:p w:rsidR="004767DA" w:rsidRPr="00272F79" w:rsidRDefault="004767DA" w:rsidP="004767DA">
      <w:pPr>
        <w:rPr>
          <w:rFonts w:ascii="Calibri" w:hAnsi="Calibri" w:cs="Calibri"/>
          <w:b/>
        </w:rPr>
      </w:pPr>
      <w:bookmarkStart w:id="338" w:name="_Toc213468976"/>
      <w:bookmarkStart w:id="339" w:name="_Toc268244572"/>
      <w:bookmarkStart w:id="340" w:name="_Toc275335788"/>
      <w:bookmarkStart w:id="341" w:name="_Toc283881726"/>
      <w:r w:rsidRPr="00272F79">
        <w:rPr>
          <w:rFonts w:ascii="Calibri" w:hAnsi="Calibri" w:cs="Calibri"/>
          <w:b/>
        </w:rPr>
        <w:t>7. OBMIAR ROBÓT</w:t>
      </w:r>
      <w:bookmarkEnd w:id="338"/>
      <w:bookmarkEnd w:id="339"/>
      <w:bookmarkEnd w:id="340"/>
      <w:bookmarkEnd w:id="341"/>
    </w:p>
    <w:p w:rsidR="004767DA" w:rsidRPr="006F7B34" w:rsidRDefault="004767DA" w:rsidP="004767DA">
      <w:pPr>
        <w:rPr>
          <w:rFonts w:ascii="Calibri" w:hAnsi="Calibri" w:cs="Calibri"/>
        </w:rPr>
      </w:pPr>
      <w:r w:rsidRPr="00272F79">
        <w:rPr>
          <w:rFonts w:ascii="Calibri" w:hAnsi="Calibri" w:cs="Calibri"/>
          <w:b/>
        </w:rPr>
        <w:t>7.1.</w:t>
      </w:r>
      <w:r w:rsidRPr="006F7B34">
        <w:rPr>
          <w:rFonts w:ascii="Calibri" w:hAnsi="Calibri" w:cs="Calibri"/>
        </w:rPr>
        <w:t xml:space="preserve"> Ogólne zasady obmiaru robót</w:t>
      </w:r>
    </w:p>
    <w:p w:rsidR="004767DA" w:rsidRPr="006F7B34" w:rsidRDefault="004767DA" w:rsidP="004767DA">
      <w:pPr>
        <w:rPr>
          <w:rFonts w:ascii="Calibri" w:hAnsi="Calibri" w:cs="Calibri"/>
        </w:rPr>
      </w:pPr>
      <w:r w:rsidRPr="006F7B34">
        <w:rPr>
          <w:rFonts w:ascii="Calibri" w:hAnsi="Calibri" w:cs="Calibri"/>
        </w:rPr>
        <w:tab/>
        <w:t>Ogólne</w:t>
      </w:r>
      <w:r>
        <w:rPr>
          <w:rFonts w:ascii="Calibri" w:hAnsi="Calibri" w:cs="Calibri"/>
        </w:rPr>
        <w:t xml:space="preserve"> zasady obmiaru robót podano w </w:t>
      </w:r>
      <w:r w:rsidRPr="006F7B34">
        <w:rPr>
          <w:rFonts w:ascii="Calibri" w:hAnsi="Calibri" w:cs="Calibri"/>
        </w:rPr>
        <w:t>ST D-M-00.00.00 „Wymagania ogólne” [1]  pkt 7.</w:t>
      </w:r>
    </w:p>
    <w:p w:rsidR="004767DA" w:rsidRPr="006F7B34" w:rsidRDefault="004767DA" w:rsidP="004767DA">
      <w:pPr>
        <w:rPr>
          <w:rFonts w:ascii="Calibri" w:hAnsi="Calibri" w:cs="Calibri"/>
        </w:rPr>
      </w:pPr>
      <w:r w:rsidRPr="00272F79">
        <w:rPr>
          <w:rFonts w:ascii="Calibri" w:hAnsi="Calibri" w:cs="Calibri"/>
          <w:b/>
        </w:rPr>
        <w:t>7.2.</w:t>
      </w:r>
      <w:r w:rsidRPr="006F7B34">
        <w:rPr>
          <w:rFonts w:ascii="Calibri" w:hAnsi="Calibri" w:cs="Calibri"/>
        </w:rPr>
        <w:t xml:space="preserve"> Jednostka obmiarowa</w:t>
      </w:r>
    </w:p>
    <w:p w:rsidR="004767DA" w:rsidRDefault="004767DA" w:rsidP="004767DA">
      <w:pPr>
        <w:rPr>
          <w:rFonts w:ascii="Calibri" w:hAnsi="Calibri" w:cs="Calibri"/>
        </w:rPr>
      </w:pPr>
      <w:r w:rsidRPr="006F7B34">
        <w:rPr>
          <w:rFonts w:ascii="Calibri" w:hAnsi="Calibri" w:cs="Calibri"/>
        </w:rPr>
        <w:tab/>
        <w:t>Jednostką obmiarową jest m2 (metr kwadratowy) zdjętej warstwy ziemi urodzajnej o określonej grubości.</w:t>
      </w:r>
    </w:p>
    <w:p w:rsidR="004767DA" w:rsidRPr="006F7B34" w:rsidRDefault="004767DA" w:rsidP="004767DA">
      <w:pPr>
        <w:rPr>
          <w:rFonts w:ascii="Calibri" w:hAnsi="Calibri" w:cs="Calibri"/>
        </w:rPr>
      </w:pPr>
    </w:p>
    <w:p w:rsidR="004767DA" w:rsidRPr="00272F79" w:rsidRDefault="004767DA" w:rsidP="004767DA">
      <w:pPr>
        <w:rPr>
          <w:rFonts w:ascii="Calibri" w:hAnsi="Calibri" w:cs="Calibri"/>
          <w:b/>
        </w:rPr>
      </w:pPr>
      <w:bookmarkStart w:id="342" w:name="_Toc213468977"/>
      <w:bookmarkStart w:id="343" w:name="_Toc268244573"/>
      <w:bookmarkStart w:id="344" w:name="_Toc275335789"/>
      <w:bookmarkStart w:id="345" w:name="_Toc283881727"/>
      <w:r w:rsidRPr="00272F79">
        <w:rPr>
          <w:rFonts w:ascii="Calibri" w:hAnsi="Calibri" w:cs="Calibri"/>
          <w:b/>
        </w:rPr>
        <w:t>8. ODBIÓR ROBÓT</w:t>
      </w:r>
      <w:bookmarkEnd w:id="342"/>
      <w:bookmarkEnd w:id="343"/>
      <w:bookmarkEnd w:id="344"/>
      <w:bookmarkEnd w:id="345"/>
    </w:p>
    <w:p w:rsidR="004767DA" w:rsidRPr="006F7B34" w:rsidRDefault="004767DA" w:rsidP="004767DA">
      <w:pPr>
        <w:rPr>
          <w:rFonts w:ascii="Calibri" w:hAnsi="Calibri" w:cs="Calibri"/>
        </w:rPr>
      </w:pPr>
      <w:r w:rsidRPr="00272F79">
        <w:rPr>
          <w:rFonts w:ascii="Calibri" w:hAnsi="Calibri" w:cs="Calibri"/>
          <w:b/>
        </w:rPr>
        <w:t>8.1.</w:t>
      </w:r>
      <w:r w:rsidRPr="006F7B34">
        <w:rPr>
          <w:rFonts w:ascii="Calibri" w:hAnsi="Calibri" w:cs="Calibri"/>
        </w:rPr>
        <w:t xml:space="preserve"> Ogólne zasady odbioru robót</w:t>
      </w:r>
    </w:p>
    <w:p w:rsidR="004767DA" w:rsidRPr="006F7B34" w:rsidRDefault="004767DA" w:rsidP="004767DA">
      <w:pPr>
        <w:rPr>
          <w:rFonts w:ascii="Calibri" w:hAnsi="Calibri" w:cs="Calibri"/>
        </w:rPr>
      </w:pPr>
      <w:r w:rsidRPr="006F7B34">
        <w:rPr>
          <w:rFonts w:ascii="Calibri" w:hAnsi="Calibri" w:cs="Calibri"/>
        </w:rPr>
        <w:tab/>
        <w:t>Ogólne</w:t>
      </w:r>
      <w:r>
        <w:rPr>
          <w:rFonts w:ascii="Calibri" w:hAnsi="Calibri" w:cs="Calibri"/>
        </w:rPr>
        <w:t xml:space="preserve"> zasady odbioru robót podano w </w:t>
      </w:r>
      <w:r w:rsidRPr="006F7B34">
        <w:rPr>
          <w:rFonts w:ascii="Calibri" w:hAnsi="Calibri" w:cs="Calibri"/>
        </w:rPr>
        <w:t>ST D-M-00.00.00 „Wymagania ogólne” [1] pkt 8.</w:t>
      </w:r>
    </w:p>
    <w:p w:rsidR="004767DA" w:rsidRDefault="004767DA" w:rsidP="004767DA">
      <w:pPr>
        <w:rPr>
          <w:rFonts w:ascii="Calibri" w:hAnsi="Calibri" w:cs="Calibri"/>
        </w:rPr>
      </w:pPr>
      <w:r w:rsidRPr="006F7B34">
        <w:rPr>
          <w:rFonts w:ascii="Calibri" w:hAnsi="Calibri" w:cs="Calibri"/>
        </w:rPr>
        <w:tab/>
        <w:t>Roboty uznaje się za wykonane zgodnie z dokumentacją projektową, ST i wymaganiami Inżyniera, jeżeli ocena prawidłowości i kompletności ich wykonania okazała się pozytywna.</w:t>
      </w:r>
    </w:p>
    <w:p w:rsidR="004767DA" w:rsidRPr="006F7B34" w:rsidRDefault="004767DA" w:rsidP="004767DA">
      <w:pPr>
        <w:rPr>
          <w:rFonts w:ascii="Calibri" w:hAnsi="Calibri" w:cs="Calibri"/>
        </w:rPr>
      </w:pPr>
    </w:p>
    <w:p w:rsidR="004767DA" w:rsidRPr="00272F79" w:rsidRDefault="004767DA" w:rsidP="004767DA">
      <w:pPr>
        <w:rPr>
          <w:rFonts w:ascii="Calibri" w:hAnsi="Calibri" w:cs="Calibri"/>
          <w:b/>
        </w:rPr>
      </w:pPr>
      <w:bookmarkStart w:id="346" w:name="_Toc213468978"/>
      <w:bookmarkStart w:id="347" w:name="_Toc268244574"/>
      <w:bookmarkStart w:id="348" w:name="_Toc275335790"/>
      <w:bookmarkStart w:id="349" w:name="_Toc283881728"/>
      <w:r w:rsidRPr="00272F79">
        <w:rPr>
          <w:rFonts w:ascii="Calibri" w:hAnsi="Calibri" w:cs="Calibri"/>
          <w:b/>
        </w:rPr>
        <w:t>9. PODSTAWA PŁATNOŚCI</w:t>
      </w:r>
      <w:bookmarkEnd w:id="346"/>
      <w:bookmarkEnd w:id="347"/>
      <w:bookmarkEnd w:id="348"/>
      <w:bookmarkEnd w:id="349"/>
    </w:p>
    <w:p w:rsidR="004767DA" w:rsidRPr="006F7B34" w:rsidRDefault="004767DA" w:rsidP="004767DA">
      <w:pPr>
        <w:rPr>
          <w:rFonts w:ascii="Calibri" w:hAnsi="Calibri" w:cs="Calibri"/>
        </w:rPr>
      </w:pPr>
      <w:r w:rsidRPr="00272F79">
        <w:rPr>
          <w:rFonts w:ascii="Calibri" w:hAnsi="Calibri" w:cs="Calibri"/>
          <w:b/>
        </w:rPr>
        <w:t>9.1.</w:t>
      </w:r>
      <w:r w:rsidRPr="006F7B34">
        <w:rPr>
          <w:rFonts w:ascii="Calibri" w:hAnsi="Calibri" w:cs="Calibri"/>
        </w:rPr>
        <w:t xml:space="preserve"> Ogólne ustalenia dotyczące podstawy płatności</w:t>
      </w:r>
    </w:p>
    <w:p w:rsidR="004767DA" w:rsidRPr="006F7B34" w:rsidRDefault="004767DA" w:rsidP="004767DA">
      <w:pPr>
        <w:rPr>
          <w:rFonts w:ascii="Calibri" w:hAnsi="Calibri" w:cs="Calibri"/>
        </w:rPr>
      </w:pPr>
      <w:r w:rsidRPr="006F7B34">
        <w:rPr>
          <w:rFonts w:ascii="Calibri" w:hAnsi="Calibri" w:cs="Calibri"/>
        </w:rPr>
        <w:t xml:space="preserve">        </w:t>
      </w:r>
      <w:r w:rsidRPr="006F7B34">
        <w:rPr>
          <w:rFonts w:ascii="Calibri" w:hAnsi="Calibri" w:cs="Calibri"/>
        </w:rPr>
        <w:tab/>
        <w:t xml:space="preserve"> Ogólne  ustalenia  dotyczące  podstawy  płatności  podano   w  ST D-M-00.00.00 „Wymagania ogólne” [1]  pkt 9.</w:t>
      </w:r>
    </w:p>
    <w:p w:rsidR="004767DA" w:rsidRPr="006F7B34" w:rsidRDefault="004767DA" w:rsidP="004767DA">
      <w:pPr>
        <w:rPr>
          <w:rFonts w:ascii="Calibri" w:hAnsi="Calibri" w:cs="Calibri"/>
        </w:rPr>
      </w:pPr>
      <w:r w:rsidRPr="00272F79">
        <w:rPr>
          <w:rFonts w:ascii="Calibri" w:hAnsi="Calibri" w:cs="Calibri"/>
          <w:b/>
        </w:rPr>
        <w:t>9.2.</w:t>
      </w:r>
      <w:r w:rsidRPr="006F7B34">
        <w:rPr>
          <w:rFonts w:ascii="Calibri" w:hAnsi="Calibri" w:cs="Calibri"/>
        </w:rPr>
        <w:t xml:space="preserve"> Cena jednostki obmiarowej</w:t>
      </w:r>
    </w:p>
    <w:p w:rsidR="004767DA" w:rsidRPr="006F7B34" w:rsidRDefault="004767DA" w:rsidP="004767DA">
      <w:pPr>
        <w:rPr>
          <w:rFonts w:ascii="Calibri" w:hAnsi="Calibri" w:cs="Calibri"/>
        </w:rPr>
      </w:pPr>
      <w:r w:rsidRPr="006F7B34">
        <w:rPr>
          <w:rFonts w:ascii="Calibri" w:hAnsi="Calibri" w:cs="Calibri"/>
        </w:rPr>
        <w:tab/>
        <w:t xml:space="preserve">Cena wykonania </w:t>
      </w:r>
      <w:smartTag w:uri="urn:schemas-microsoft-com:office:smarttags" w:element="metricconverter">
        <w:smartTagPr>
          <w:attr w:name="ProductID" w:val="1 m2"/>
        </w:smartTagPr>
        <w:r w:rsidRPr="006F7B34">
          <w:rPr>
            <w:rFonts w:ascii="Calibri" w:hAnsi="Calibri" w:cs="Calibri"/>
          </w:rPr>
          <w:t>1 m2</w:t>
        </w:r>
      </w:smartTag>
      <w:r w:rsidRPr="006F7B34">
        <w:rPr>
          <w:rFonts w:ascii="Calibri" w:hAnsi="Calibri" w:cs="Calibri"/>
        </w:rPr>
        <w:t xml:space="preserve"> robót obejmuje:</w:t>
      </w:r>
    </w:p>
    <w:p w:rsidR="004767DA" w:rsidRPr="006F7B34" w:rsidRDefault="007A3E8C" w:rsidP="004767DA">
      <w:pPr>
        <w:rPr>
          <w:rFonts w:ascii="Calibri" w:hAnsi="Calibri" w:cs="Calibri"/>
        </w:rPr>
      </w:pPr>
      <w:r>
        <w:rPr>
          <w:rFonts w:ascii="Calibri" w:hAnsi="Calibri" w:cs="Calibri"/>
        </w:rPr>
        <w:t>-</w:t>
      </w:r>
      <w:r w:rsidR="004767DA" w:rsidRPr="006F7B34">
        <w:rPr>
          <w:rFonts w:ascii="Calibri" w:hAnsi="Calibri" w:cs="Calibri"/>
        </w:rPr>
        <w:t>prace pomiarowe i roboty przygotowawcze,</w:t>
      </w:r>
    </w:p>
    <w:p w:rsidR="004767DA" w:rsidRPr="006F7B34" w:rsidRDefault="007A3E8C" w:rsidP="004767DA">
      <w:pPr>
        <w:rPr>
          <w:rFonts w:ascii="Calibri" w:hAnsi="Calibri" w:cs="Calibri"/>
        </w:rPr>
      </w:pPr>
      <w:r>
        <w:rPr>
          <w:rFonts w:ascii="Calibri" w:hAnsi="Calibri" w:cs="Calibri"/>
        </w:rPr>
        <w:t>-</w:t>
      </w:r>
      <w:r w:rsidR="004767DA" w:rsidRPr="006F7B34">
        <w:rPr>
          <w:rFonts w:ascii="Calibri" w:hAnsi="Calibri" w:cs="Calibri"/>
        </w:rPr>
        <w:t>oznakowanie robót,</w:t>
      </w:r>
    </w:p>
    <w:p w:rsidR="004767DA" w:rsidRPr="006F7B34" w:rsidRDefault="007A3E8C" w:rsidP="004767DA">
      <w:pPr>
        <w:rPr>
          <w:rFonts w:ascii="Calibri" w:hAnsi="Calibri" w:cs="Calibri"/>
        </w:rPr>
      </w:pPr>
      <w:r>
        <w:rPr>
          <w:rFonts w:ascii="Calibri" w:hAnsi="Calibri" w:cs="Calibri"/>
        </w:rPr>
        <w:t>-</w:t>
      </w:r>
      <w:r w:rsidR="004767DA" w:rsidRPr="006F7B34">
        <w:rPr>
          <w:rFonts w:ascii="Calibri" w:hAnsi="Calibri" w:cs="Calibri"/>
        </w:rPr>
        <w:t>dostarczenie sprzętu,</w:t>
      </w:r>
    </w:p>
    <w:p w:rsidR="004767DA" w:rsidRPr="006F7B34" w:rsidRDefault="007A3E8C" w:rsidP="004767DA">
      <w:pPr>
        <w:rPr>
          <w:rFonts w:ascii="Calibri" w:hAnsi="Calibri" w:cs="Calibri"/>
        </w:rPr>
      </w:pPr>
      <w:r>
        <w:rPr>
          <w:rFonts w:ascii="Calibri" w:hAnsi="Calibri" w:cs="Calibri"/>
        </w:rPr>
        <w:t>-</w:t>
      </w:r>
      <w:r w:rsidR="004767DA" w:rsidRPr="006F7B34">
        <w:rPr>
          <w:rFonts w:ascii="Calibri" w:hAnsi="Calibri" w:cs="Calibri"/>
        </w:rPr>
        <w:t>zdjęcie warstwy ziemi urodzajnej,</w:t>
      </w:r>
    </w:p>
    <w:p w:rsidR="004767DA" w:rsidRPr="006F7B34" w:rsidRDefault="007A3E8C" w:rsidP="004767DA">
      <w:pPr>
        <w:rPr>
          <w:rFonts w:ascii="Calibri" w:hAnsi="Calibri" w:cs="Calibri"/>
        </w:rPr>
      </w:pPr>
      <w:r>
        <w:rPr>
          <w:rFonts w:ascii="Calibri" w:hAnsi="Calibri" w:cs="Calibri"/>
        </w:rPr>
        <w:t>-</w:t>
      </w:r>
      <w:r w:rsidR="004767DA" w:rsidRPr="006F7B34">
        <w:rPr>
          <w:rFonts w:ascii="Calibri" w:hAnsi="Calibri" w:cs="Calibri"/>
        </w:rPr>
        <w:t>oczyszczenie ziemi urodzajnej z zanieczyszczeń jak korzenie, kamienie, glina itp.,</w:t>
      </w:r>
    </w:p>
    <w:p w:rsidR="004767DA" w:rsidRPr="006F7B34" w:rsidRDefault="007A3E8C" w:rsidP="004767DA">
      <w:pPr>
        <w:rPr>
          <w:rFonts w:ascii="Calibri" w:hAnsi="Calibri" w:cs="Calibri"/>
        </w:rPr>
      </w:pPr>
      <w:r>
        <w:rPr>
          <w:rFonts w:ascii="Calibri" w:hAnsi="Calibri" w:cs="Calibri"/>
        </w:rPr>
        <w:t>-</w:t>
      </w:r>
      <w:r w:rsidR="004767DA" w:rsidRPr="006F7B34">
        <w:rPr>
          <w:rFonts w:ascii="Calibri" w:hAnsi="Calibri" w:cs="Calibri"/>
        </w:rPr>
        <w:t>przemieszczenie lub transport ziemi roślinnej na składowisko,</w:t>
      </w:r>
    </w:p>
    <w:p w:rsidR="004767DA" w:rsidRPr="006F7B34" w:rsidRDefault="007A3E8C" w:rsidP="004767DA">
      <w:pPr>
        <w:rPr>
          <w:rFonts w:ascii="Calibri" w:hAnsi="Calibri" w:cs="Calibri"/>
        </w:rPr>
      </w:pPr>
      <w:r>
        <w:rPr>
          <w:rFonts w:ascii="Calibri" w:hAnsi="Calibri" w:cs="Calibri"/>
        </w:rPr>
        <w:t>-</w:t>
      </w:r>
      <w:r w:rsidR="004767DA" w:rsidRPr="006F7B34">
        <w:rPr>
          <w:rFonts w:ascii="Calibri" w:hAnsi="Calibri" w:cs="Calibri"/>
        </w:rPr>
        <w:t>składowanie ziemi urodzajnej wraz z jej zabezpieczeniem,</w:t>
      </w:r>
    </w:p>
    <w:p w:rsidR="004767DA" w:rsidRPr="006F7B34" w:rsidRDefault="007A3E8C" w:rsidP="004767DA">
      <w:pPr>
        <w:rPr>
          <w:rFonts w:ascii="Calibri" w:hAnsi="Calibri" w:cs="Calibri"/>
        </w:rPr>
      </w:pPr>
      <w:r>
        <w:rPr>
          <w:rFonts w:ascii="Calibri" w:hAnsi="Calibri" w:cs="Calibri"/>
        </w:rPr>
        <w:t>-</w:t>
      </w:r>
      <w:r w:rsidR="004767DA" w:rsidRPr="006F7B34">
        <w:rPr>
          <w:rFonts w:ascii="Calibri" w:hAnsi="Calibri" w:cs="Calibri"/>
        </w:rPr>
        <w:t>odwiezienie sprzętu.</w:t>
      </w:r>
    </w:p>
    <w:p w:rsidR="004767DA" w:rsidRPr="006F7B34" w:rsidRDefault="004767DA" w:rsidP="004767DA">
      <w:pPr>
        <w:rPr>
          <w:rFonts w:ascii="Calibri" w:hAnsi="Calibri" w:cs="Calibri"/>
        </w:rPr>
      </w:pPr>
      <w:r w:rsidRPr="00272F79">
        <w:rPr>
          <w:rFonts w:ascii="Calibri" w:hAnsi="Calibri" w:cs="Calibri"/>
          <w:b/>
        </w:rPr>
        <w:t>9.3.</w:t>
      </w:r>
      <w:r w:rsidRPr="006F7B34">
        <w:rPr>
          <w:rFonts w:ascii="Calibri" w:hAnsi="Calibri" w:cs="Calibri"/>
        </w:rPr>
        <w:t xml:space="preserve"> Sposób rozliczenia robót tymczasowych i prac towarzyszących</w:t>
      </w:r>
    </w:p>
    <w:p w:rsidR="004767DA" w:rsidRPr="006F7B34" w:rsidRDefault="004767DA" w:rsidP="004767DA">
      <w:pPr>
        <w:rPr>
          <w:rFonts w:ascii="Calibri" w:hAnsi="Calibri" w:cs="Calibri"/>
        </w:rPr>
      </w:pPr>
      <w:r w:rsidRPr="006F7B34">
        <w:rPr>
          <w:rFonts w:ascii="Calibri" w:hAnsi="Calibri" w:cs="Calibri"/>
        </w:rPr>
        <w:tab/>
        <w:t>Cena wykonan</w:t>
      </w:r>
      <w:r>
        <w:rPr>
          <w:rFonts w:ascii="Calibri" w:hAnsi="Calibri" w:cs="Calibri"/>
        </w:rPr>
        <w:t xml:space="preserve">ia robót określonych niniejszą </w:t>
      </w:r>
      <w:r w:rsidRPr="006F7B34">
        <w:rPr>
          <w:rFonts w:ascii="Calibri" w:hAnsi="Calibri" w:cs="Calibri"/>
        </w:rPr>
        <w:t>ST obejmuje:</w:t>
      </w:r>
    </w:p>
    <w:p w:rsidR="004767DA" w:rsidRPr="006F7B34" w:rsidRDefault="007A3E8C" w:rsidP="004767DA">
      <w:pPr>
        <w:rPr>
          <w:rFonts w:ascii="Calibri" w:hAnsi="Calibri" w:cs="Calibri"/>
        </w:rPr>
      </w:pPr>
      <w:r>
        <w:rPr>
          <w:rFonts w:ascii="Calibri" w:hAnsi="Calibri" w:cs="Calibri"/>
        </w:rPr>
        <w:t>-</w:t>
      </w:r>
      <w:r w:rsidR="004767DA" w:rsidRPr="006F7B34">
        <w:rPr>
          <w:rFonts w:ascii="Calibri" w:hAnsi="Calibri" w:cs="Calibri"/>
        </w:rPr>
        <w:t>roboty tymczasowe, które są potrzebne do wykonania robót podstawowych, ale nie są przekazywane Zamawiającemu i są usuwane po wykonaniu robót podstawowych,</w:t>
      </w:r>
    </w:p>
    <w:p w:rsidR="004767DA" w:rsidRDefault="007A3E8C" w:rsidP="004767DA">
      <w:pPr>
        <w:rPr>
          <w:rFonts w:ascii="Calibri" w:hAnsi="Calibri" w:cs="Calibri"/>
        </w:rPr>
      </w:pPr>
      <w:r>
        <w:rPr>
          <w:rFonts w:ascii="Calibri" w:hAnsi="Calibri" w:cs="Calibri"/>
        </w:rPr>
        <w:t>-</w:t>
      </w:r>
      <w:r w:rsidR="004767DA" w:rsidRPr="006F7B34">
        <w:rPr>
          <w:rFonts w:ascii="Calibri" w:hAnsi="Calibri" w:cs="Calibri"/>
        </w:rPr>
        <w:t>prace towarzyszące, które są niezbędne do wykonania robót podstawowych, niezaliczane do robót tymczasowych, jak geodezyjne wytyczenie robót itd.</w:t>
      </w:r>
    </w:p>
    <w:p w:rsidR="00666F76" w:rsidRDefault="00666F76" w:rsidP="004767DA">
      <w:pPr>
        <w:rPr>
          <w:rFonts w:ascii="Calibri" w:hAnsi="Calibri" w:cs="Calibri"/>
          <w:b/>
        </w:rPr>
      </w:pPr>
      <w:bookmarkStart w:id="350" w:name="_Toc213468979"/>
      <w:bookmarkStart w:id="351" w:name="_Toc268244575"/>
      <w:bookmarkStart w:id="352" w:name="_Toc275335791"/>
      <w:bookmarkStart w:id="353" w:name="_Toc283881729"/>
    </w:p>
    <w:p w:rsidR="00666F76" w:rsidRDefault="00666F76" w:rsidP="004767DA">
      <w:pPr>
        <w:rPr>
          <w:rFonts w:ascii="Calibri" w:hAnsi="Calibri" w:cs="Calibri"/>
          <w:b/>
        </w:rPr>
      </w:pPr>
    </w:p>
    <w:p w:rsidR="004767DA" w:rsidRPr="00272F79" w:rsidRDefault="004767DA" w:rsidP="004767DA">
      <w:pPr>
        <w:rPr>
          <w:rFonts w:ascii="Calibri" w:hAnsi="Calibri" w:cs="Calibri"/>
          <w:b/>
        </w:rPr>
      </w:pPr>
      <w:r w:rsidRPr="00272F79">
        <w:rPr>
          <w:rFonts w:ascii="Calibri" w:hAnsi="Calibri" w:cs="Calibri"/>
          <w:b/>
        </w:rPr>
        <w:lastRenderedPageBreak/>
        <w:t>10. PRZEPISY ZWIĄZANE</w:t>
      </w:r>
      <w:bookmarkEnd w:id="350"/>
      <w:bookmarkEnd w:id="351"/>
      <w:bookmarkEnd w:id="352"/>
      <w:bookmarkEnd w:id="353"/>
    </w:p>
    <w:p w:rsidR="004767DA" w:rsidRPr="006F7B34" w:rsidRDefault="004767DA" w:rsidP="004767DA">
      <w:pPr>
        <w:rPr>
          <w:rFonts w:ascii="Calibri" w:hAnsi="Calibri" w:cs="Calibri"/>
        </w:rPr>
      </w:pPr>
      <w:r>
        <w:rPr>
          <w:rFonts w:ascii="Calibri" w:hAnsi="Calibri" w:cs="Calibri"/>
        </w:rPr>
        <w:t>S</w:t>
      </w:r>
      <w:r w:rsidRPr="006F7B34">
        <w:rPr>
          <w:rFonts w:ascii="Calibri" w:hAnsi="Calibri" w:cs="Calibri"/>
        </w:rPr>
        <w:t>pecyfikacje techni</w:t>
      </w:r>
      <w:r>
        <w:rPr>
          <w:rFonts w:ascii="Calibri" w:hAnsi="Calibri" w:cs="Calibri"/>
        </w:rPr>
        <w:t>czne (</w:t>
      </w:r>
      <w:r w:rsidRPr="006F7B34">
        <w:rPr>
          <w:rFonts w:ascii="Calibri" w:hAnsi="Calibri" w:cs="Calibri"/>
        </w:rPr>
        <w:t>ST)</w:t>
      </w:r>
    </w:p>
    <w:p w:rsidR="004767DA" w:rsidRPr="006F7B34" w:rsidRDefault="004767DA" w:rsidP="004767DA">
      <w:pPr>
        <w:rPr>
          <w:rFonts w:ascii="Calibri" w:hAnsi="Calibri" w:cs="Calibri"/>
        </w:rPr>
      </w:pPr>
      <w:r w:rsidRPr="006F7B34">
        <w:rPr>
          <w:rFonts w:ascii="Calibri" w:hAnsi="Calibri" w:cs="Calibri"/>
        </w:rPr>
        <w:t>D-M-00.00.00  Wymagania ogólne</w:t>
      </w:r>
    </w:p>
    <w:p w:rsidR="004767DA" w:rsidRPr="006F7B34" w:rsidRDefault="004767DA" w:rsidP="004767DA">
      <w:pPr>
        <w:rPr>
          <w:rFonts w:ascii="Calibri" w:hAnsi="Calibri" w:cs="Calibri"/>
        </w:rPr>
      </w:pPr>
    </w:p>
    <w:p w:rsidR="004767DA" w:rsidRPr="00272F79" w:rsidRDefault="004767DA" w:rsidP="004767DA">
      <w:pPr>
        <w:rPr>
          <w:rFonts w:ascii="Calibri" w:hAnsi="Calibri" w:cs="Calibri"/>
          <w:b/>
        </w:rPr>
      </w:pPr>
      <w:bookmarkStart w:id="354" w:name="_Toc283881730"/>
      <w:r w:rsidRPr="00272F79">
        <w:rPr>
          <w:rFonts w:ascii="Calibri" w:hAnsi="Calibri" w:cs="Calibri"/>
          <w:b/>
        </w:rPr>
        <w:t>11. ZAŁĄCZNIK</w:t>
      </w:r>
      <w:bookmarkEnd w:id="354"/>
    </w:p>
    <w:p w:rsidR="004767DA" w:rsidRPr="006F7B34" w:rsidRDefault="004767DA" w:rsidP="004767DA">
      <w:pPr>
        <w:rPr>
          <w:rFonts w:ascii="Calibri" w:hAnsi="Calibri" w:cs="Calibri"/>
        </w:rPr>
      </w:pPr>
      <w:r w:rsidRPr="006F7B34">
        <w:rPr>
          <w:rFonts w:ascii="Calibri" w:hAnsi="Calibri" w:cs="Calibri"/>
        </w:rPr>
        <w:t>ZASADY  ZDEJMOWANIA  ZIEMI  URODZAJNEJ</w:t>
      </w:r>
    </w:p>
    <w:p w:rsidR="004767DA" w:rsidRPr="006F7B34" w:rsidRDefault="004767DA" w:rsidP="004767DA">
      <w:pPr>
        <w:rPr>
          <w:rFonts w:ascii="Calibri" w:hAnsi="Calibri" w:cs="Calibri"/>
        </w:rPr>
      </w:pPr>
      <w:r w:rsidRPr="00272F79">
        <w:rPr>
          <w:rFonts w:ascii="Calibri" w:hAnsi="Calibri" w:cs="Calibri"/>
          <w:b/>
        </w:rPr>
        <w:t>1</w:t>
      </w:r>
      <w:r>
        <w:rPr>
          <w:rFonts w:ascii="Calibri" w:hAnsi="Calibri" w:cs="Calibri"/>
          <w:b/>
        </w:rPr>
        <w:t>1</w:t>
      </w:r>
      <w:r w:rsidRPr="00272F79">
        <w:rPr>
          <w:rFonts w:ascii="Calibri" w:hAnsi="Calibri" w:cs="Calibri"/>
          <w:b/>
        </w:rPr>
        <w:t>.1.</w:t>
      </w:r>
      <w:r>
        <w:rPr>
          <w:rFonts w:ascii="Calibri" w:hAnsi="Calibri" w:cs="Calibri"/>
        </w:rPr>
        <w:t xml:space="preserve"> </w:t>
      </w:r>
      <w:r w:rsidRPr="006F7B34">
        <w:rPr>
          <w:rFonts w:ascii="Calibri" w:hAnsi="Calibri" w:cs="Calibri"/>
        </w:rPr>
        <w:t xml:space="preserve"> Cele usuwania ziemi urodzajnej</w:t>
      </w:r>
    </w:p>
    <w:p w:rsidR="004767DA" w:rsidRPr="006F7B34" w:rsidRDefault="004767DA" w:rsidP="004767DA">
      <w:pPr>
        <w:rPr>
          <w:rFonts w:ascii="Calibri" w:hAnsi="Calibri" w:cs="Calibri"/>
        </w:rPr>
      </w:pPr>
      <w:r w:rsidRPr="006F7B34">
        <w:rPr>
          <w:rFonts w:ascii="Calibri" w:hAnsi="Calibri" w:cs="Calibri"/>
        </w:rPr>
        <w:tab/>
        <w:t>Zdjęcie ziemi urodzajnej należy do robót przygotowawczych przy budowie dróg, mających przygotować teren do wykonania wykopów i nasypów.</w:t>
      </w:r>
    </w:p>
    <w:p w:rsidR="004767DA" w:rsidRPr="006F7B34" w:rsidRDefault="004767DA" w:rsidP="004767DA">
      <w:pPr>
        <w:rPr>
          <w:rFonts w:ascii="Calibri" w:hAnsi="Calibri" w:cs="Calibri"/>
        </w:rPr>
      </w:pPr>
      <w:r w:rsidRPr="006F7B34">
        <w:rPr>
          <w:rFonts w:ascii="Calibri" w:hAnsi="Calibri" w:cs="Calibri"/>
        </w:rPr>
        <w:tab/>
        <w:t>Ziemię urodzajną (oraz darninę) usuwa się, gdyż:</w:t>
      </w:r>
    </w:p>
    <w:p w:rsidR="004767DA" w:rsidRPr="006F7B34" w:rsidRDefault="004767DA" w:rsidP="004767DA">
      <w:pPr>
        <w:rPr>
          <w:rFonts w:ascii="Calibri" w:hAnsi="Calibri" w:cs="Calibri"/>
        </w:rPr>
      </w:pPr>
      <w:r w:rsidRPr="006F7B34">
        <w:rPr>
          <w:rFonts w:ascii="Calibri" w:hAnsi="Calibri" w:cs="Calibri"/>
        </w:rPr>
        <w:t>pod nasypem uniemożliwiałaby związanie gruntu nasypanego z rodzimym, a w przypadku dużego nagromadzenia mogłaby w miarę butwienia i zmniejszania objętości, powodować osiadanie nasypu,</w:t>
      </w:r>
    </w:p>
    <w:p w:rsidR="004767DA" w:rsidRPr="006F7B34" w:rsidRDefault="004767DA" w:rsidP="004767DA">
      <w:pPr>
        <w:rPr>
          <w:rFonts w:ascii="Calibri" w:hAnsi="Calibri" w:cs="Calibri"/>
        </w:rPr>
      </w:pPr>
      <w:r w:rsidRPr="006F7B34">
        <w:rPr>
          <w:rFonts w:ascii="Calibri" w:hAnsi="Calibri" w:cs="Calibri"/>
        </w:rPr>
        <w:t>w miejscach wykopu stałaby się niepożądaną domieszką do materiału ziemnego,</w:t>
      </w:r>
    </w:p>
    <w:p w:rsidR="004767DA" w:rsidRPr="006F7B34" w:rsidRDefault="004767DA" w:rsidP="004767DA">
      <w:pPr>
        <w:rPr>
          <w:rFonts w:ascii="Calibri" w:hAnsi="Calibri" w:cs="Calibri"/>
        </w:rPr>
      </w:pPr>
      <w:r w:rsidRPr="006F7B34">
        <w:rPr>
          <w:rFonts w:ascii="Calibri" w:hAnsi="Calibri" w:cs="Calibri"/>
        </w:rPr>
        <w:t>jest nieodzownym materiałem do umocnienia skarp i rowów i za zdjęciem jej przemawiają względy ekonomiczne budowy drogi.</w:t>
      </w:r>
    </w:p>
    <w:p w:rsidR="004767DA" w:rsidRPr="006F7B34" w:rsidRDefault="004767DA" w:rsidP="004767DA">
      <w:pPr>
        <w:rPr>
          <w:rFonts w:ascii="Calibri" w:hAnsi="Calibri" w:cs="Calibri"/>
        </w:rPr>
      </w:pPr>
      <w:r w:rsidRPr="006F7B34">
        <w:rPr>
          <w:rFonts w:ascii="Calibri" w:hAnsi="Calibri" w:cs="Calibri"/>
        </w:rPr>
        <w:t>Ziemię urodzajną zdejmuje się w podstawie nasypu, na terenie planowanego wykopu, rowów odwadniających, żwirowni, a w przypadku zwiększonego zapotrzebowania również i w innych miejscach.</w:t>
      </w:r>
    </w:p>
    <w:p w:rsidR="004767DA" w:rsidRPr="006F7B34" w:rsidRDefault="004767DA" w:rsidP="004767DA">
      <w:pPr>
        <w:rPr>
          <w:rFonts w:ascii="Calibri" w:hAnsi="Calibri" w:cs="Calibri"/>
        </w:rPr>
      </w:pPr>
      <w:r w:rsidRPr="00272F79">
        <w:rPr>
          <w:rFonts w:ascii="Calibri" w:hAnsi="Calibri" w:cs="Calibri"/>
          <w:b/>
        </w:rPr>
        <w:t>11.2.</w:t>
      </w:r>
      <w:r w:rsidRPr="006F7B34">
        <w:rPr>
          <w:rFonts w:ascii="Calibri" w:hAnsi="Calibri" w:cs="Calibri"/>
        </w:rPr>
        <w:t xml:space="preserve"> Charakterystyka ziemi urodzajnej</w:t>
      </w:r>
    </w:p>
    <w:p w:rsidR="004767DA" w:rsidRPr="006F7B34" w:rsidRDefault="004767DA" w:rsidP="004767DA">
      <w:pPr>
        <w:rPr>
          <w:rFonts w:ascii="Calibri" w:hAnsi="Calibri" w:cs="Calibri"/>
        </w:rPr>
      </w:pPr>
      <w:r w:rsidRPr="006F7B34">
        <w:rPr>
          <w:rFonts w:ascii="Calibri" w:hAnsi="Calibri" w:cs="Calibri"/>
        </w:rPr>
        <w:tab/>
        <w:t xml:space="preserve">Grubość warstwy ziemi urodzajnej waha się od 5 do </w:t>
      </w:r>
      <w:smartTag w:uri="urn:schemas-microsoft-com:office:smarttags" w:element="metricconverter">
        <w:smartTagPr>
          <w:attr w:name="ProductID" w:val="30 cm"/>
        </w:smartTagPr>
        <w:r w:rsidRPr="006F7B34">
          <w:rPr>
            <w:rFonts w:ascii="Calibri" w:hAnsi="Calibri" w:cs="Calibri"/>
          </w:rPr>
          <w:t>30 cm</w:t>
        </w:r>
      </w:smartTag>
      <w:r w:rsidRPr="006F7B34">
        <w:rPr>
          <w:rFonts w:ascii="Calibri" w:hAnsi="Calibri" w:cs="Calibri"/>
        </w:rPr>
        <w:t xml:space="preserve">, zależnie od rodzaju gruntu podłoża i sposobu jego użytkowania. Zazwyczaj grubość ta wynosi około </w:t>
      </w:r>
      <w:smartTag w:uri="urn:schemas-microsoft-com:office:smarttags" w:element="metricconverter">
        <w:smartTagPr>
          <w:attr w:name="ProductID" w:val="20 cm"/>
        </w:smartTagPr>
        <w:r w:rsidRPr="006F7B34">
          <w:rPr>
            <w:rFonts w:ascii="Calibri" w:hAnsi="Calibri" w:cs="Calibri"/>
          </w:rPr>
          <w:t>20 cm</w:t>
        </w:r>
      </w:smartTag>
      <w:r w:rsidRPr="006F7B34">
        <w:rPr>
          <w:rFonts w:ascii="Calibri" w:hAnsi="Calibri" w:cs="Calibri"/>
        </w:rPr>
        <w:t>. Grubość warstwy zdejmowanej ziemi urodzajnej określa się na podstawie ciemniejszej barwy i występujących korzeni. Warstwę roślinną należy zdejmować przed nastaniem mrozów.</w:t>
      </w:r>
    </w:p>
    <w:p w:rsidR="004767DA" w:rsidRPr="006F7B34" w:rsidRDefault="004767DA" w:rsidP="004767DA">
      <w:pPr>
        <w:rPr>
          <w:rFonts w:ascii="Calibri" w:hAnsi="Calibri" w:cs="Calibri"/>
        </w:rPr>
      </w:pPr>
      <w:r w:rsidRPr="006F7B34">
        <w:rPr>
          <w:rFonts w:ascii="Calibri" w:hAnsi="Calibri" w:cs="Calibri"/>
        </w:rPr>
        <w:tab/>
        <w:t xml:space="preserve">Z powierzchni zarośniętych trawą najpierw zdejmuje się darninę, zwykle na głębokość </w:t>
      </w:r>
      <w:smartTag w:uri="urn:schemas-microsoft-com:office:smarttags" w:element="metricconverter">
        <w:smartTagPr>
          <w:attr w:name="ProductID" w:val="10 cm"/>
        </w:smartTagPr>
        <w:r w:rsidRPr="006F7B34">
          <w:rPr>
            <w:rFonts w:ascii="Calibri" w:hAnsi="Calibri" w:cs="Calibri"/>
          </w:rPr>
          <w:t>10 cm</w:t>
        </w:r>
      </w:smartTag>
      <w:r w:rsidRPr="006F7B34">
        <w:rPr>
          <w:rFonts w:ascii="Calibri" w:hAnsi="Calibri" w:cs="Calibri"/>
        </w:rPr>
        <w:t>, a dopiero następnie można zdjąć pozostałą pod spodem warstwę ziemi urodzajnej. Jeśli w czasie robót przygotowawczych usuwa się krzewy to należy uwzględniać, że połączone to jest z utratą ziemi urodzajnej, która zmieszana z gałęziami krzewów nie nadaje się do użycia, bowiem oddzielenie jej od krzewów nie zawsze jest opłacalne.</w:t>
      </w:r>
    </w:p>
    <w:p w:rsidR="004767DA" w:rsidRPr="006F7B34" w:rsidRDefault="004767DA" w:rsidP="004767DA">
      <w:pPr>
        <w:rPr>
          <w:rFonts w:ascii="Calibri" w:hAnsi="Calibri" w:cs="Calibri"/>
        </w:rPr>
      </w:pPr>
      <w:r w:rsidRPr="00272F79">
        <w:rPr>
          <w:rFonts w:ascii="Calibri" w:hAnsi="Calibri" w:cs="Calibri"/>
          <w:b/>
        </w:rPr>
        <w:t>11.3.</w:t>
      </w:r>
      <w:r w:rsidRPr="006F7B34">
        <w:rPr>
          <w:rFonts w:ascii="Calibri" w:hAnsi="Calibri" w:cs="Calibri"/>
        </w:rPr>
        <w:t xml:space="preserve"> Sposób usuwania ziemi urodzajnej</w:t>
      </w:r>
    </w:p>
    <w:p w:rsidR="004767DA" w:rsidRPr="006F7B34" w:rsidRDefault="004767DA" w:rsidP="004767DA">
      <w:pPr>
        <w:rPr>
          <w:rFonts w:ascii="Calibri" w:hAnsi="Calibri" w:cs="Calibri"/>
        </w:rPr>
      </w:pPr>
      <w:r w:rsidRPr="006F7B34">
        <w:rPr>
          <w:rFonts w:ascii="Calibri" w:hAnsi="Calibri" w:cs="Calibri"/>
        </w:rPr>
        <w:tab/>
        <w:t xml:space="preserve">Ręczne zdjęcie ziemi urodzajnej można stosować wyjątkowo, przede wszystkim, gdy powierzchnia robót jest niewielka lub istnieją przeszkody w stosowaniu sprzętu mechanicznego. Narzędziem do ręcznego odspojenia i odrzucenia lub załadowania ziemi urodzajnej jest szpadel prostokątny lub zaokrąglony, a środkiem przewozu są zwykłe taczki. Jeden robotnik w ciągu 8 godzin może usunąć i odrzucić w bok na odległość do </w:t>
      </w:r>
      <w:smartTag w:uri="urn:schemas-microsoft-com:office:smarttags" w:element="metricconverter">
        <w:smartTagPr>
          <w:attr w:name="ProductID" w:val="3 m"/>
        </w:smartTagPr>
        <w:r w:rsidRPr="006F7B34">
          <w:rPr>
            <w:rFonts w:ascii="Calibri" w:hAnsi="Calibri" w:cs="Calibri"/>
          </w:rPr>
          <w:t>3 m</w:t>
        </w:r>
      </w:smartTag>
      <w:r w:rsidRPr="006F7B34">
        <w:rPr>
          <w:rFonts w:ascii="Calibri" w:hAnsi="Calibri" w:cs="Calibri"/>
        </w:rPr>
        <w:t xml:space="preserve"> do </w:t>
      </w:r>
      <w:smartTag w:uri="urn:schemas-microsoft-com:office:smarttags" w:element="metricconverter">
        <w:smartTagPr>
          <w:attr w:name="ProductID" w:val="50 m2"/>
        </w:smartTagPr>
        <w:r w:rsidRPr="006F7B34">
          <w:rPr>
            <w:rFonts w:ascii="Calibri" w:hAnsi="Calibri" w:cs="Calibri"/>
          </w:rPr>
          <w:t>50 m2</w:t>
        </w:r>
      </w:smartTag>
      <w:r w:rsidRPr="006F7B34">
        <w:rPr>
          <w:rFonts w:ascii="Calibri" w:hAnsi="Calibri" w:cs="Calibri"/>
        </w:rPr>
        <w:t xml:space="preserve"> ziemi urodzajnej grubości </w:t>
      </w:r>
      <w:smartTag w:uri="urn:schemas-microsoft-com:office:smarttags" w:element="metricconverter">
        <w:smartTagPr>
          <w:attr w:name="ProductID" w:val="15 cm"/>
        </w:smartTagPr>
        <w:r w:rsidRPr="006F7B34">
          <w:rPr>
            <w:rFonts w:ascii="Calibri" w:hAnsi="Calibri" w:cs="Calibri"/>
          </w:rPr>
          <w:t>15 cm</w:t>
        </w:r>
      </w:smartTag>
      <w:r w:rsidRPr="006F7B34">
        <w:rPr>
          <w:rFonts w:ascii="Calibri" w:hAnsi="Calibri" w:cs="Calibri"/>
        </w:rPr>
        <w:t>.</w:t>
      </w:r>
    </w:p>
    <w:p w:rsidR="004767DA" w:rsidRPr="006F7B34" w:rsidRDefault="004767DA" w:rsidP="004767DA">
      <w:pPr>
        <w:rPr>
          <w:rFonts w:ascii="Calibri" w:hAnsi="Calibri" w:cs="Calibri"/>
        </w:rPr>
      </w:pPr>
      <w:r w:rsidRPr="006F7B34">
        <w:rPr>
          <w:rFonts w:ascii="Calibri" w:hAnsi="Calibri" w:cs="Calibri"/>
        </w:rPr>
        <w:tab/>
        <w:t xml:space="preserve">Do zdejmowania ziemi urodzajnej najwydajniejsza jest spycharka, której wydajność eksploatacyjna przy grubości warstwy </w:t>
      </w:r>
      <w:smartTag w:uri="urn:schemas-microsoft-com:office:smarttags" w:element="metricconverter">
        <w:smartTagPr>
          <w:attr w:name="ProductID" w:val="15 cm"/>
        </w:smartTagPr>
        <w:r w:rsidRPr="006F7B34">
          <w:rPr>
            <w:rFonts w:ascii="Calibri" w:hAnsi="Calibri" w:cs="Calibri"/>
          </w:rPr>
          <w:t>15 cm</w:t>
        </w:r>
      </w:smartTag>
      <w:r w:rsidRPr="006F7B34">
        <w:rPr>
          <w:rFonts w:ascii="Calibri" w:hAnsi="Calibri" w:cs="Calibri"/>
        </w:rPr>
        <w:t xml:space="preserve"> wynosi od 230 do 300 m2/h. Przy stosowaniu równiarki do zdjęcia warstwy ziemi urodzajnej należy się liczyć ze znacznie  mniejszymi wydajnościami od wydajności spycharki.</w:t>
      </w:r>
    </w:p>
    <w:p w:rsidR="004767DA" w:rsidRPr="006F7B34" w:rsidRDefault="004767DA" w:rsidP="004767DA">
      <w:pPr>
        <w:rPr>
          <w:rFonts w:ascii="Calibri" w:hAnsi="Calibri" w:cs="Calibri"/>
        </w:rPr>
      </w:pPr>
      <w:r w:rsidRPr="00272F79">
        <w:rPr>
          <w:rFonts w:ascii="Calibri" w:hAnsi="Calibri" w:cs="Calibri"/>
          <w:b/>
        </w:rPr>
        <w:t>11.4.</w:t>
      </w:r>
      <w:r w:rsidRPr="006F7B34">
        <w:rPr>
          <w:rFonts w:ascii="Calibri" w:hAnsi="Calibri" w:cs="Calibri"/>
        </w:rPr>
        <w:t xml:space="preserve"> Formowanie zwałów</w:t>
      </w:r>
    </w:p>
    <w:p w:rsidR="004767DA" w:rsidRDefault="004767DA" w:rsidP="004767DA">
      <w:pPr>
        <w:rPr>
          <w:rFonts w:ascii="Calibri" w:hAnsi="Calibri" w:cs="Calibri"/>
        </w:rPr>
      </w:pPr>
      <w:r w:rsidRPr="006F7B34">
        <w:rPr>
          <w:rFonts w:ascii="Calibri" w:hAnsi="Calibri" w:cs="Calibri"/>
        </w:rPr>
        <w:tab/>
        <w:t>Zdjęta z pasa drogowego ziemia urodzajna powinna być składowana w zwałach położonych w pobliżu budowanej drogi lub w miejscach bardziej odległych, nie kolidujących z robotami drogowymi. Schemat zdejmowania ziemi urodzajnej przez spycharkę przedstawiono na rysunku 1.</w:t>
      </w:r>
    </w:p>
    <w:p w:rsidR="004767DA" w:rsidRPr="006F7B34" w:rsidRDefault="004767DA" w:rsidP="004767DA">
      <w:pPr>
        <w:rPr>
          <w:rFonts w:ascii="Calibri" w:hAnsi="Calibri" w:cs="Calibri"/>
        </w:rPr>
      </w:pPr>
    </w:p>
    <w:p w:rsidR="004767DA" w:rsidRPr="006F7B34" w:rsidRDefault="004767DA" w:rsidP="004767DA">
      <w:pPr>
        <w:rPr>
          <w:rFonts w:ascii="Calibri" w:hAnsi="Calibri" w:cs="Calibri"/>
        </w:rPr>
      </w:pPr>
      <w:r w:rsidRPr="006F7B34">
        <w:rPr>
          <w:rFonts w:ascii="Calibri" w:hAnsi="Calibri" w:cs="Calibri"/>
        </w:rPr>
        <w:t>Rys. 1. Schemat zdjęcia ziemi urodzajnej za pomocą spycharki z przesunięciem jej na zwały</w:t>
      </w:r>
    </w:p>
    <w:p w:rsidR="004767DA" w:rsidRPr="006F7B34" w:rsidRDefault="004767DA" w:rsidP="004767DA">
      <w:pPr>
        <w:rPr>
          <w:rFonts w:ascii="Calibri" w:hAnsi="Calibri" w:cs="Calibri"/>
        </w:rPr>
      </w:pPr>
      <w:r w:rsidRPr="006F7B34">
        <w:rPr>
          <w:rFonts w:ascii="Calibri" w:hAnsi="Calibri" w:cs="Calibri"/>
        </w:rPr>
        <w:tab/>
        <w:t>(wg S. Datka, S. Lenczewski: Drogowe roboty ziemne, WKŁ 1979)</w:t>
      </w:r>
    </w:p>
    <w:p w:rsidR="004767DA" w:rsidRPr="00C3632E" w:rsidRDefault="004767DA" w:rsidP="004767DA">
      <w:pPr>
        <w:rPr>
          <w:rFonts w:ascii="Calibri" w:hAnsi="Calibri" w:cs="Calibri"/>
        </w:rPr>
      </w:pPr>
    </w:p>
    <w:p w:rsidR="004767DA" w:rsidRPr="00C3632E" w:rsidRDefault="004767DA" w:rsidP="004767DA">
      <w:pPr>
        <w:rPr>
          <w:rFonts w:ascii="Calibri" w:hAnsi="Calibri" w:cs="Calibri"/>
        </w:rPr>
      </w:pPr>
      <w:r>
        <w:rPr>
          <w:noProof/>
        </w:rPr>
        <w:drawing>
          <wp:inline distT="0" distB="0" distL="0" distR="0">
            <wp:extent cx="4400550" cy="1504950"/>
            <wp:effectExtent l="19050" t="0" r="0" b="0"/>
            <wp:docPr id="3" name="Obraz 3" descr="d010202abi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d010202abis"/>
                    <pic:cNvPicPr>
                      <a:picLocks noChangeAspect="1" noChangeArrowheads="1"/>
                    </pic:cNvPicPr>
                  </pic:nvPicPr>
                  <pic:blipFill>
                    <a:blip r:embed="rId18" cstate="print"/>
                    <a:srcRect/>
                    <a:stretch>
                      <a:fillRect/>
                    </a:stretch>
                  </pic:blipFill>
                  <pic:spPr bwMode="auto">
                    <a:xfrm>
                      <a:off x="0" y="0"/>
                      <a:ext cx="4400550" cy="1504950"/>
                    </a:xfrm>
                    <a:prstGeom prst="rect">
                      <a:avLst/>
                    </a:prstGeom>
                    <a:noFill/>
                    <a:ln w="9525">
                      <a:noFill/>
                      <a:miter lim="800000"/>
                      <a:headEnd/>
                      <a:tailEnd/>
                    </a:ln>
                  </pic:spPr>
                </pic:pic>
              </a:graphicData>
            </a:graphic>
          </wp:inline>
        </w:drawing>
      </w:r>
    </w:p>
    <w:p w:rsidR="004767DA" w:rsidRDefault="004767DA" w:rsidP="004767DA">
      <w:pPr>
        <w:rPr>
          <w:rFonts w:ascii="Calibri" w:hAnsi="Calibri" w:cs="Calibri"/>
        </w:rPr>
      </w:pPr>
    </w:p>
    <w:p w:rsidR="004767DA" w:rsidRDefault="004767DA" w:rsidP="004767DA">
      <w:pPr>
        <w:rPr>
          <w:rFonts w:ascii="Calibri" w:hAnsi="Calibri" w:cs="Calibri"/>
        </w:rPr>
      </w:pPr>
    </w:p>
    <w:p w:rsidR="004767DA" w:rsidRDefault="004767DA" w:rsidP="004767DA">
      <w:pPr>
        <w:rPr>
          <w:rFonts w:ascii="Calibri" w:hAnsi="Calibri" w:cs="Calibri"/>
        </w:rPr>
      </w:pPr>
    </w:p>
    <w:p w:rsidR="007A3E8C" w:rsidRDefault="007A3E8C" w:rsidP="004767DA">
      <w:pPr>
        <w:rPr>
          <w:rFonts w:ascii="Calibri" w:hAnsi="Calibri" w:cs="Calibri"/>
          <w:b/>
        </w:rPr>
      </w:pPr>
    </w:p>
    <w:p w:rsidR="007A3E8C" w:rsidRDefault="007A3E8C" w:rsidP="004767DA">
      <w:pPr>
        <w:rPr>
          <w:rFonts w:ascii="Calibri" w:hAnsi="Calibri" w:cs="Calibri"/>
          <w:b/>
        </w:rPr>
      </w:pPr>
    </w:p>
    <w:p w:rsidR="007A3E8C" w:rsidRDefault="007A3E8C" w:rsidP="004767DA">
      <w:pPr>
        <w:rPr>
          <w:rFonts w:ascii="Calibri" w:hAnsi="Calibri" w:cs="Calibri"/>
          <w:b/>
        </w:rPr>
      </w:pPr>
    </w:p>
    <w:p w:rsidR="007A3E8C" w:rsidRDefault="007A3E8C" w:rsidP="004767DA">
      <w:pPr>
        <w:rPr>
          <w:rFonts w:ascii="Calibri" w:hAnsi="Calibri" w:cs="Calibri"/>
          <w:b/>
        </w:rPr>
      </w:pPr>
    </w:p>
    <w:p w:rsidR="007A3E8C" w:rsidRDefault="007A3E8C" w:rsidP="004767DA">
      <w:pPr>
        <w:rPr>
          <w:rFonts w:ascii="Calibri" w:hAnsi="Calibri" w:cs="Calibri"/>
          <w:b/>
        </w:rPr>
      </w:pPr>
    </w:p>
    <w:p w:rsidR="007A3E8C" w:rsidRDefault="007A3E8C" w:rsidP="004767DA">
      <w:pPr>
        <w:rPr>
          <w:rFonts w:ascii="Calibri" w:hAnsi="Calibri" w:cs="Calibri"/>
          <w:b/>
        </w:rPr>
      </w:pPr>
    </w:p>
    <w:p w:rsidR="007A3E8C" w:rsidRDefault="007A3E8C" w:rsidP="004767DA">
      <w:pPr>
        <w:rPr>
          <w:rFonts w:ascii="Calibri" w:hAnsi="Calibri" w:cs="Calibri"/>
          <w:b/>
        </w:rPr>
      </w:pPr>
    </w:p>
    <w:p w:rsidR="007A3E8C" w:rsidRDefault="007A3E8C" w:rsidP="004767DA">
      <w:pPr>
        <w:rPr>
          <w:rFonts w:ascii="Calibri" w:hAnsi="Calibri" w:cs="Calibri"/>
          <w:b/>
        </w:rPr>
      </w:pPr>
    </w:p>
    <w:p w:rsidR="007A3E8C" w:rsidRDefault="007A3E8C" w:rsidP="004767DA">
      <w:pPr>
        <w:rPr>
          <w:rFonts w:ascii="Calibri" w:hAnsi="Calibri" w:cs="Calibri"/>
          <w:b/>
        </w:rPr>
      </w:pPr>
    </w:p>
    <w:p w:rsidR="007A3E8C" w:rsidRDefault="007A3E8C" w:rsidP="004767DA">
      <w:pPr>
        <w:rPr>
          <w:rFonts w:ascii="Calibri" w:hAnsi="Calibri" w:cs="Calibri"/>
          <w:b/>
        </w:rPr>
      </w:pPr>
    </w:p>
    <w:p w:rsidR="000C27BF" w:rsidRDefault="000C27BF" w:rsidP="004767DA">
      <w:pPr>
        <w:rPr>
          <w:rFonts w:ascii="Calibri" w:hAnsi="Calibri" w:cs="Calibri"/>
          <w:b/>
        </w:rPr>
      </w:pPr>
    </w:p>
    <w:p w:rsidR="000C27BF" w:rsidRDefault="000C27BF" w:rsidP="004767DA">
      <w:pPr>
        <w:rPr>
          <w:rFonts w:ascii="Calibri" w:hAnsi="Calibri" w:cs="Calibri"/>
          <w:b/>
        </w:rPr>
      </w:pPr>
    </w:p>
    <w:p w:rsidR="000C27BF" w:rsidRDefault="000C27BF" w:rsidP="004767DA">
      <w:pPr>
        <w:rPr>
          <w:rFonts w:ascii="Calibri" w:hAnsi="Calibri" w:cs="Calibri"/>
          <w:b/>
        </w:rPr>
      </w:pPr>
    </w:p>
    <w:p w:rsidR="000C27BF" w:rsidRDefault="000C27BF" w:rsidP="004767DA">
      <w:pPr>
        <w:rPr>
          <w:rFonts w:ascii="Calibri" w:hAnsi="Calibri" w:cs="Calibri"/>
          <w:b/>
        </w:rPr>
      </w:pPr>
    </w:p>
    <w:p w:rsidR="000C27BF" w:rsidRDefault="000C27BF" w:rsidP="004767DA">
      <w:pPr>
        <w:rPr>
          <w:rFonts w:ascii="Calibri" w:hAnsi="Calibri" w:cs="Calibri"/>
          <w:b/>
        </w:rPr>
      </w:pPr>
    </w:p>
    <w:p w:rsidR="007A3E8C" w:rsidRDefault="007A3E8C" w:rsidP="004767DA">
      <w:pPr>
        <w:rPr>
          <w:rFonts w:ascii="Calibri" w:hAnsi="Calibri" w:cs="Calibri"/>
          <w:b/>
        </w:rPr>
      </w:pPr>
    </w:p>
    <w:p w:rsidR="007A3E8C" w:rsidRDefault="007A3E8C" w:rsidP="004767DA">
      <w:pPr>
        <w:rPr>
          <w:rFonts w:ascii="Calibri" w:hAnsi="Calibri" w:cs="Calibri"/>
          <w:b/>
        </w:rPr>
      </w:pPr>
    </w:p>
    <w:p w:rsidR="007A3E8C" w:rsidRDefault="007A3E8C" w:rsidP="004767DA">
      <w:pPr>
        <w:rPr>
          <w:rFonts w:ascii="Calibri" w:hAnsi="Calibri" w:cs="Calibri"/>
          <w:b/>
        </w:rPr>
      </w:pPr>
    </w:p>
    <w:p w:rsidR="007A3E8C" w:rsidRDefault="007A3E8C" w:rsidP="004767DA">
      <w:pPr>
        <w:rPr>
          <w:rFonts w:ascii="Calibri" w:hAnsi="Calibri" w:cs="Calibri"/>
          <w:b/>
        </w:rPr>
      </w:pPr>
    </w:p>
    <w:p w:rsidR="004767DA" w:rsidRPr="00D452A9" w:rsidRDefault="004767DA" w:rsidP="00D01561">
      <w:pPr>
        <w:pStyle w:val="Nagwek1"/>
        <w:jc w:val="center"/>
      </w:pPr>
      <w:bookmarkStart w:id="355" w:name="_Toc438237717"/>
      <w:r w:rsidRPr="00D452A9">
        <w:t>D-01.02.04</w:t>
      </w:r>
      <w:r w:rsidR="00FD47C7">
        <w:t xml:space="preserve"> </w:t>
      </w:r>
      <w:r w:rsidR="00417278">
        <w:t xml:space="preserve"> </w:t>
      </w:r>
      <w:r w:rsidRPr="00D452A9">
        <w:t>ROZBIÓRKA ELEMENTÓW DRÓG</w:t>
      </w:r>
      <w:bookmarkEnd w:id="355"/>
    </w:p>
    <w:p w:rsidR="004767DA" w:rsidRPr="00C3632E" w:rsidRDefault="004767DA" w:rsidP="004767DA">
      <w:pPr>
        <w:rPr>
          <w:rFonts w:ascii="Calibri" w:hAnsi="Calibri" w:cs="Calibri"/>
        </w:rPr>
      </w:pPr>
    </w:p>
    <w:p w:rsidR="00FD47C7" w:rsidRDefault="00FD47C7" w:rsidP="004767DA">
      <w:pPr>
        <w:rPr>
          <w:rFonts w:ascii="Calibri" w:hAnsi="Calibri" w:cs="Calibri"/>
          <w:b/>
        </w:rPr>
      </w:pPr>
    </w:p>
    <w:p w:rsidR="00FD47C7" w:rsidRDefault="00FD47C7" w:rsidP="004767DA">
      <w:pPr>
        <w:rPr>
          <w:rFonts w:ascii="Calibri" w:hAnsi="Calibri" w:cs="Calibri"/>
          <w:b/>
        </w:rPr>
      </w:pPr>
    </w:p>
    <w:p w:rsidR="00FD47C7" w:rsidRDefault="00FD47C7" w:rsidP="004767DA">
      <w:pPr>
        <w:rPr>
          <w:rFonts w:ascii="Calibri" w:hAnsi="Calibri" w:cs="Calibri"/>
          <w:b/>
        </w:rPr>
      </w:pPr>
    </w:p>
    <w:p w:rsidR="007A3E8C" w:rsidRDefault="007A3E8C" w:rsidP="004767DA">
      <w:pPr>
        <w:rPr>
          <w:rFonts w:ascii="Calibri" w:hAnsi="Calibri" w:cs="Calibri"/>
          <w:b/>
        </w:rPr>
      </w:pPr>
    </w:p>
    <w:p w:rsidR="007A3E8C" w:rsidRDefault="007A3E8C" w:rsidP="004767DA">
      <w:pPr>
        <w:rPr>
          <w:rFonts w:ascii="Calibri" w:hAnsi="Calibri" w:cs="Calibri"/>
          <w:b/>
        </w:rPr>
      </w:pPr>
    </w:p>
    <w:p w:rsidR="007A3E8C" w:rsidRDefault="007A3E8C" w:rsidP="004767DA">
      <w:pPr>
        <w:rPr>
          <w:rFonts w:ascii="Calibri" w:hAnsi="Calibri" w:cs="Calibri"/>
          <w:b/>
        </w:rPr>
      </w:pPr>
    </w:p>
    <w:p w:rsidR="007A3E8C" w:rsidRDefault="007A3E8C" w:rsidP="004767DA">
      <w:pPr>
        <w:rPr>
          <w:rFonts w:ascii="Calibri" w:hAnsi="Calibri" w:cs="Calibri"/>
          <w:b/>
        </w:rPr>
      </w:pPr>
    </w:p>
    <w:p w:rsidR="007A3E8C" w:rsidRDefault="007A3E8C" w:rsidP="004767DA">
      <w:pPr>
        <w:rPr>
          <w:rFonts w:ascii="Calibri" w:hAnsi="Calibri" w:cs="Calibri"/>
          <w:b/>
        </w:rPr>
      </w:pPr>
    </w:p>
    <w:p w:rsidR="007A3E8C" w:rsidRDefault="007A3E8C" w:rsidP="004767DA">
      <w:pPr>
        <w:rPr>
          <w:rFonts w:ascii="Calibri" w:hAnsi="Calibri" w:cs="Calibri"/>
          <w:b/>
        </w:rPr>
      </w:pPr>
    </w:p>
    <w:p w:rsidR="007A3E8C" w:rsidRDefault="007A3E8C" w:rsidP="004767DA">
      <w:pPr>
        <w:rPr>
          <w:rFonts w:ascii="Calibri" w:hAnsi="Calibri" w:cs="Calibri"/>
          <w:b/>
        </w:rPr>
      </w:pPr>
    </w:p>
    <w:p w:rsidR="007A3E8C" w:rsidRDefault="007A3E8C" w:rsidP="004767DA">
      <w:pPr>
        <w:rPr>
          <w:rFonts w:ascii="Calibri" w:hAnsi="Calibri" w:cs="Calibri"/>
          <w:b/>
        </w:rPr>
      </w:pPr>
    </w:p>
    <w:p w:rsidR="007A3E8C" w:rsidRDefault="007A3E8C" w:rsidP="004767DA">
      <w:pPr>
        <w:rPr>
          <w:rFonts w:ascii="Calibri" w:hAnsi="Calibri" w:cs="Calibri"/>
          <w:b/>
        </w:rPr>
      </w:pPr>
    </w:p>
    <w:p w:rsidR="007A3E8C" w:rsidRDefault="007A3E8C" w:rsidP="004767DA">
      <w:pPr>
        <w:rPr>
          <w:rFonts w:ascii="Calibri" w:hAnsi="Calibri" w:cs="Calibri"/>
          <w:b/>
        </w:rPr>
      </w:pPr>
    </w:p>
    <w:p w:rsidR="007A3E8C" w:rsidRDefault="007A3E8C" w:rsidP="004767DA">
      <w:pPr>
        <w:rPr>
          <w:rFonts w:ascii="Calibri" w:hAnsi="Calibri" w:cs="Calibri"/>
          <w:b/>
        </w:rPr>
      </w:pPr>
    </w:p>
    <w:p w:rsidR="007A3E8C" w:rsidRDefault="007A3E8C" w:rsidP="004767DA">
      <w:pPr>
        <w:rPr>
          <w:rFonts w:ascii="Calibri" w:hAnsi="Calibri" w:cs="Calibri"/>
          <w:b/>
        </w:rPr>
      </w:pPr>
    </w:p>
    <w:p w:rsidR="007A3E8C" w:rsidRDefault="007A3E8C" w:rsidP="004767DA">
      <w:pPr>
        <w:rPr>
          <w:rFonts w:ascii="Calibri" w:hAnsi="Calibri" w:cs="Calibri"/>
          <w:b/>
        </w:rPr>
      </w:pPr>
    </w:p>
    <w:p w:rsidR="007A3E8C" w:rsidRDefault="007A3E8C" w:rsidP="004767DA">
      <w:pPr>
        <w:rPr>
          <w:rFonts w:ascii="Calibri" w:hAnsi="Calibri" w:cs="Calibri"/>
          <w:b/>
        </w:rPr>
      </w:pPr>
    </w:p>
    <w:p w:rsidR="007A3E8C" w:rsidRDefault="007A3E8C" w:rsidP="004767DA">
      <w:pPr>
        <w:rPr>
          <w:rFonts w:ascii="Calibri" w:hAnsi="Calibri" w:cs="Calibri"/>
          <w:b/>
        </w:rPr>
      </w:pPr>
    </w:p>
    <w:p w:rsidR="007A3E8C" w:rsidRDefault="007A3E8C" w:rsidP="004767DA">
      <w:pPr>
        <w:rPr>
          <w:rFonts w:ascii="Calibri" w:hAnsi="Calibri" w:cs="Calibri"/>
          <w:b/>
        </w:rPr>
      </w:pPr>
    </w:p>
    <w:p w:rsidR="007A3E8C" w:rsidRDefault="007A3E8C" w:rsidP="004767DA">
      <w:pPr>
        <w:rPr>
          <w:rFonts w:ascii="Calibri" w:hAnsi="Calibri" w:cs="Calibri"/>
          <w:b/>
        </w:rPr>
      </w:pPr>
    </w:p>
    <w:p w:rsidR="007A3E8C" w:rsidRDefault="007A3E8C" w:rsidP="004767DA">
      <w:pPr>
        <w:rPr>
          <w:rFonts w:ascii="Calibri" w:hAnsi="Calibri" w:cs="Calibri"/>
          <w:b/>
        </w:rPr>
      </w:pPr>
    </w:p>
    <w:p w:rsidR="007A3E8C" w:rsidRDefault="007A3E8C" w:rsidP="004767DA">
      <w:pPr>
        <w:rPr>
          <w:rFonts w:ascii="Calibri" w:hAnsi="Calibri" w:cs="Calibri"/>
          <w:b/>
        </w:rPr>
      </w:pPr>
    </w:p>
    <w:p w:rsidR="007A3E8C" w:rsidRDefault="007A3E8C" w:rsidP="004767DA">
      <w:pPr>
        <w:rPr>
          <w:rFonts w:ascii="Calibri" w:hAnsi="Calibri" w:cs="Calibri"/>
          <w:b/>
        </w:rPr>
      </w:pPr>
    </w:p>
    <w:p w:rsidR="007A3E8C" w:rsidRDefault="007A3E8C" w:rsidP="004767DA">
      <w:pPr>
        <w:rPr>
          <w:rFonts w:ascii="Calibri" w:hAnsi="Calibri" w:cs="Calibri"/>
          <w:b/>
        </w:rPr>
      </w:pPr>
    </w:p>
    <w:p w:rsidR="007A3E8C" w:rsidRDefault="007A3E8C" w:rsidP="004767DA">
      <w:pPr>
        <w:rPr>
          <w:rFonts w:ascii="Calibri" w:hAnsi="Calibri" w:cs="Calibri"/>
          <w:b/>
        </w:rPr>
      </w:pPr>
    </w:p>
    <w:p w:rsidR="007A3E8C" w:rsidRDefault="007A3E8C" w:rsidP="004767DA">
      <w:pPr>
        <w:rPr>
          <w:rFonts w:ascii="Calibri" w:hAnsi="Calibri" w:cs="Calibri"/>
          <w:b/>
        </w:rPr>
      </w:pPr>
    </w:p>
    <w:p w:rsidR="007A3E8C" w:rsidRDefault="007A3E8C" w:rsidP="004767DA">
      <w:pPr>
        <w:rPr>
          <w:rFonts w:ascii="Calibri" w:hAnsi="Calibri" w:cs="Calibri"/>
          <w:b/>
        </w:rPr>
      </w:pPr>
    </w:p>
    <w:p w:rsidR="007A3E8C" w:rsidRDefault="007A3E8C" w:rsidP="004767DA">
      <w:pPr>
        <w:rPr>
          <w:rFonts w:ascii="Calibri" w:hAnsi="Calibri" w:cs="Calibri"/>
          <w:b/>
        </w:rPr>
      </w:pPr>
    </w:p>
    <w:p w:rsidR="007A3E8C" w:rsidRDefault="007A3E8C" w:rsidP="004767DA">
      <w:pPr>
        <w:rPr>
          <w:rFonts w:ascii="Calibri" w:hAnsi="Calibri" w:cs="Calibri"/>
          <w:b/>
        </w:rPr>
      </w:pPr>
    </w:p>
    <w:p w:rsidR="007A3E8C" w:rsidRDefault="007A3E8C" w:rsidP="004767DA">
      <w:pPr>
        <w:rPr>
          <w:rFonts w:ascii="Calibri" w:hAnsi="Calibri" w:cs="Calibri"/>
          <w:b/>
        </w:rPr>
      </w:pPr>
    </w:p>
    <w:p w:rsidR="00301193" w:rsidRDefault="00301193" w:rsidP="004767DA">
      <w:pPr>
        <w:rPr>
          <w:rFonts w:ascii="Calibri" w:hAnsi="Calibri" w:cs="Calibri"/>
          <w:b/>
        </w:rPr>
      </w:pPr>
    </w:p>
    <w:p w:rsidR="00301193" w:rsidRDefault="00301193" w:rsidP="004767DA">
      <w:pPr>
        <w:rPr>
          <w:rFonts w:ascii="Calibri" w:hAnsi="Calibri" w:cs="Calibri"/>
          <w:b/>
        </w:rPr>
      </w:pPr>
    </w:p>
    <w:p w:rsidR="00301193" w:rsidRDefault="00301193" w:rsidP="004767DA">
      <w:pPr>
        <w:rPr>
          <w:rFonts w:ascii="Calibri" w:hAnsi="Calibri" w:cs="Calibri"/>
          <w:b/>
        </w:rPr>
      </w:pPr>
    </w:p>
    <w:p w:rsidR="00301193" w:rsidRDefault="00301193" w:rsidP="004767DA">
      <w:pPr>
        <w:rPr>
          <w:rFonts w:ascii="Calibri" w:hAnsi="Calibri" w:cs="Calibri"/>
          <w:b/>
        </w:rPr>
      </w:pPr>
    </w:p>
    <w:p w:rsidR="007A3E8C" w:rsidRDefault="007A3E8C" w:rsidP="004767DA">
      <w:pPr>
        <w:rPr>
          <w:rFonts w:ascii="Calibri" w:hAnsi="Calibri" w:cs="Calibri"/>
          <w:b/>
        </w:rPr>
      </w:pPr>
    </w:p>
    <w:p w:rsidR="007A3E8C" w:rsidRDefault="007A3E8C" w:rsidP="004767DA">
      <w:pPr>
        <w:rPr>
          <w:rFonts w:ascii="Calibri" w:hAnsi="Calibri" w:cs="Calibri"/>
          <w:b/>
        </w:rPr>
      </w:pPr>
    </w:p>
    <w:p w:rsidR="007A3E8C" w:rsidRDefault="007A3E8C" w:rsidP="004767DA">
      <w:pPr>
        <w:rPr>
          <w:rFonts w:ascii="Calibri" w:hAnsi="Calibri" w:cs="Calibri"/>
          <w:b/>
        </w:rPr>
      </w:pPr>
    </w:p>
    <w:p w:rsidR="007A3E8C" w:rsidRDefault="007A3E8C" w:rsidP="004767DA">
      <w:pPr>
        <w:rPr>
          <w:rFonts w:ascii="Calibri" w:hAnsi="Calibri" w:cs="Calibri"/>
          <w:b/>
        </w:rPr>
      </w:pPr>
    </w:p>
    <w:p w:rsidR="00D01561" w:rsidRDefault="00D01561" w:rsidP="004767DA">
      <w:pPr>
        <w:rPr>
          <w:rFonts w:ascii="Calibri" w:hAnsi="Calibri" w:cs="Calibri"/>
          <w:b/>
        </w:rPr>
      </w:pPr>
    </w:p>
    <w:p w:rsidR="004767DA" w:rsidRPr="00D452A9" w:rsidRDefault="004767DA" w:rsidP="004767DA">
      <w:pPr>
        <w:rPr>
          <w:rFonts w:ascii="Calibri" w:hAnsi="Calibri" w:cs="Calibri"/>
          <w:b/>
        </w:rPr>
      </w:pPr>
      <w:r w:rsidRPr="00D452A9">
        <w:rPr>
          <w:rFonts w:ascii="Calibri" w:hAnsi="Calibri" w:cs="Calibri"/>
          <w:b/>
        </w:rPr>
        <w:lastRenderedPageBreak/>
        <w:t>1. WSTĘP</w:t>
      </w:r>
    </w:p>
    <w:p w:rsidR="004767DA" w:rsidRPr="00C3632E" w:rsidRDefault="004767DA" w:rsidP="004767DA">
      <w:pPr>
        <w:rPr>
          <w:rFonts w:ascii="Calibri" w:hAnsi="Calibri" w:cs="Calibri"/>
        </w:rPr>
      </w:pPr>
      <w:r w:rsidRPr="00D452A9">
        <w:rPr>
          <w:rFonts w:ascii="Calibri" w:hAnsi="Calibri" w:cs="Calibri"/>
          <w:b/>
        </w:rPr>
        <w:t>1.1.</w:t>
      </w:r>
      <w:r>
        <w:rPr>
          <w:rFonts w:ascii="Calibri" w:hAnsi="Calibri" w:cs="Calibri"/>
        </w:rPr>
        <w:t xml:space="preserve"> Przedmiot </w:t>
      </w:r>
      <w:r w:rsidRPr="00C3632E">
        <w:rPr>
          <w:rFonts w:ascii="Calibri" w:hAnsi="Calibri" w:cs="Calibri"/>
        </w:rPr>
        <w:t>ST</w:t>
      </w:r>
    </w:p>
    <w:p w:rsidR="004767DA" w:rsidRPr="00C3632E" w:rsidRDefault="004767DA" w:rsidP="004767DA">
      <w:pPr>
        <w:rPr>
          <w:rFonts w:ascii="Calibri" w:hAnsi="Calibri" w:cs="Calibri"/>
        </w:rPr>
      </w:pPr>
      <w:r w:rsidRPr="00C3632E">
        <w:rPr>
          <w:rFonts w:ascii="Calibri" w:hAnsi="Calibri" w:cs="Calibri"/>
        </w:rPr>
        <w:tab/>
      </w:r>
      <w:r>
        <w:rPr>
          <w:rFonts w:ascii="Calibri" w:hAnsi="Calibri" w:cs="Calibri"/>
        </w:rPr>
        <w:t>Przedmiotem niniejszej specyfikacji technicznej (</w:t>
      </w:r>
      <w:r w:rsidRPr="00C3632E">
        <w:rPr>
          <w:rFonts w:ascii="Calibri" w:hAnsi="Calibri" w:cs="Calibri"/>
        </w:rPr>
        <w:t xml:space="preserve">ST) są wymagania dotyczące wykonania i odbioru robót związanych z rozbiórką elementów dróg. </w:t>
      </w:r>
    </w:p>
    <w:p w:rsidR="004767DA" w:rsidRPr="00C3632E" w:rsidRDefault="004767DA" w:rsidP="004767DA">
      <w:pPr>
        <w:rPr>
          <w:rFonts w:ascii="Calibri" w:hAnsi="Calibri" w:cs="Calibri"/>
        </w:rPr>
      </w:pPr>
      <w:r w:rsidRPr="00D452A9">
        <w:rPr>
          <w:rFonts w:ascii="Calibri" w:hAnsi="Calibri" w:cs="Calibri"/>
          <w:b/>
        </w:rPr>
        <w:t>1.2.</w:t>
      </w:r>
      <w:r>
        <w:rPr>
          <w:rFonts w:ascii="Calibri" w:hAnsi="Calibri" w:cs="Calibri"/>
        </w:rPr>
        <w:t xml:space="preserve"> Zakres stosowania </w:t>
      </w:r>
      <w:r w:rsidRPr="00C3632E">
        <w:rPr>
          <w:rFonts w:ascii="Calibri" w:hAnsi="Calibri" w:cs="Calibri"/>
        </w:rPr>
        <w:t>ST</w:t>
      </w:r>
    </w:p>
    <w:p w:rsidR="004767DA" w:rsidRPr="001C6311" w:rsidRDefault="004767DA" w:rsidP="004767DA">
      <w:pPr>
        <w:rPr>
          <w:rFonts w:ascii="Calibri" w:hAnsi="Calibri" w:cs="Calibri"/>
        </w:rPr>
      </w:pPr>
      <w:r w:rsidRPr="00C3632E">
        <w:rPr>
          <w:rFonts w:ascii="Calibri" w:hAnsi="Calibri" w:cs="Calibri"/>
        </w:rPr>
        <w:tab/>
      </w:r>
      <w:r w:rsidRPr="001C6311">
        <w:rPr>
          <w:rFonts w:ascii="Calibri" w:hAnsi="Calibri" w:cs="Calibri"/>
        </w:rPr>
        <w:t>Specyfikacja techniczna określa wymagania dla wykonania i odbioru robót budowlanych przewidzianych do wykonania w ramach umowy a zawarte w niej zapisy w zakresie standardu materiałów, wykonania robót i wymaganej ich jakości oraz kontroli jakości robót należy traktować jako minimalne.</w:t>
      </w:r>
    </w:p>
    <w:p w:rsidR="004767DA" w:rsidRPr="00C3632E" w:rsidRDefault="004767DA" w:rsidP="004767DA">
      <w:pPr>
        <w:rPr>
          <w:rFonts w:ascii="Calibri" w:hAnsi="Calibri" w:cs="Calibri"/>
        </w:rPr>
      </w:pPr>
      <w:r w:rsidRPr="00D452A9">
        <w:rPr>
          <w:rFonts w:ascii="Calibri" w:hAnsi="Calibri" w:cs="Calibri"/>
          <w:b/>
        </w:rPr>
        <w:t>1.3.</w:t>
      </w:r>
      <w:r w:rsidRPr="00C3632E">
        <w:rPr>
          <w:rFonts w:ascii="Calibri" w:hAnsi="Calibri" w:cs="Calibri"/>
        </w:rPr>
        <w:t xml:space="preserve"> Zakres </w:t>
      </w:r>
      <w:r>
        <w:rPr>
          <w:rFonts w:ascii="Calibri" w:hAnsi="Calibri" w:cs="Calibri"/>
        </w:rPr>
        <w:t xml:space="preserve">robót objętych </w:t>
      </w:r>
      <w:r w:rsidRPr="00C3632E">
        <w:rPr>
          <w:rFonts w:ascii="Calibri" w:hAnsi="Calibri" w:cs="Calibri"/>
        </w:rPr>
        <w:t>ST</w:t>
      </w:r>
    </w:p>
    <w:p w:rsidR="00666F76" w:rsidRPr="00666F76" w:rsidRDefault="004767DA" w:rsidP="00666F76">
      <w:pPr>
        <w:rPr>
          <w:rFonts w:asciiTheme="minorHAnsi" w:hAnsiTheme="minorHAnsi" w:cs="Calibri"/>
        </w:rPr>
      </w:pPr>
      <w:r w:rsidRPr="00C3632E">
        <w:rPr>
          <w:rFonts w:ascii="Calibri" w:hAnsi="Calibri" w:cs="Calibri"/>
        </w:rPr>
        <w:tab/>
        <w:t>Ustalenia zawarte w niniejszej specyfikacji dotyczą zasad prowadzenia robót związanych z rozbiórką:</w:t>
      </w:r>
      <w:r w:rsidR="00301193">
        <w:rPr>
          <w:rFonts w:ascii="Calibri" w:hAnsi="Calibri" w:cs="Calibri"/>
        </w:rPr>
        <w:t xml:space="preserve"> </w:t>
      </w:r>
      <w:r w:rsidRPr="00C3632E">
        <w:rPr>
          <w:rFonts w:ascii="Calibri" w:hAnsi="Calibri" w:cs="Calibri"/>
        </w:rPr>
        <w:t>warstw nawierzchni,</w:t>
      </w:r>
      <w:r w:rsidR="00301193">
        <w:rPr>
          <w:rFonts w:ascii="Calibri" w:hAnsi="Calibri" w:cs="Calibri"/>
        </w:rPr>
        <w:t xml:space="preserve"> </w:t>
      </w:r>
      <w:r w:rsidR="00DD5715">
        <w:rPr>
          <w:rFonts w:ascii="Calibri" w:hAnsi="Calibri" w:cs="Calibri"/>
        </w:rPr>
        <w:t>krawężników i obrzeży</w:t>
      </w:r>
      <w:r w:rsidRPr="00C3632E">
        <w:rPr>
          <w:rFonts w:ascii="Calibri" w:hAnsi="Calibri" w:cs="Calibri"/>
        </w:rPr>
        <w:t>,</w:t>
      </w:r>
      <w:r w:rsidR="00301193">
        <w:rPr>
          <w:rFonts w:ascii="Calibri" w:hAnsi="Calibri" w:cs="Calibri"/>
        </w:rPr>
        <w:t xml:space="preserve"> chodników i </w:t>
      </w:r>
      <w:r w:rsidR="00DD5715">
        <w:rPr>
          <w:rFonts w:ascii="Calibri" w:hAnsi="Calibri" w:cs="Calibri"/>
        </w:rPr>
        <w:t>znaków drogowych</w:t>
      </w:r>
      <w:r w:rsidR="00301193">
        <w:rPr>
          <w:rFonts w:ascii="Calibri" w:hAnsi="Calibri" w:cs="Calibri"/>
        </w:rPr>
        <w:t xml:space="preserve"> </w:t>
      </w:r>
      <w:r w:rsidR="00666F76" w:rsidRPr="00666F76">
        <w:rPr>
          <w:rFonts w:ascii="Calibri" w:hAnsi="Calibri" w:cs="Calibri"/>
        </w:rPr>
        <w:t>w związku z „</w:t>
      </w:r>
      <w:r w:rsidR="00666F76" w:rsidRPr="00666F76">
        <w:rPr>
          <w:rFonts w:asciiTheme="minorHAnsi" w:hAnsiTheme="minorHAnsi"/>
        </w:rPr>
        <w:t>Przebudową ul.55 Pułku Piechoty w Lesznie wraz z przebudową oświetlenia”</w:t>
      </w:r>
      <w:r w:rsidR="00666F76" w:rsidRPr="00666F76">
        <w:rPr>
          <w:rFonts w:asciiTheme="minorHAnsi" w:hAnsiTheme="minorHAnsi" w:cs="Calibri"/>
        </w:rPr>
        <w:t>.</w:t>
      </w:r>
    </w:p>
    <w:p w:rsidR="004767DA" w:rsidRPr="00C3632E" w:rsidRDefault="004767DA" w:rsidP="004767DA">
      <w:pPr>
        <w:rPr>
          <w:rFonts w:ascii="Calibri" w:hAnsi="Calibri" w:cs="Calibri"/>
        </w:rPr>
      </w:pPr>
      <w:r w:rsidRPr="00D452A9">
        <w:rPr>
          <w:rFonts w:ascii="Calibri" w:hAnsi="Calibri" w:cs="Calibri"/>
          <w:b/>
        </w:rPr>
        <w:t>1.4.</w:t>
      </w:r>
      <w:r w:rsidRPr="00C3632E">
        <w:rPr>
          <w:rFonts w:ascii="Calibri" w:hAnsi="Calibri" w:cs="Calibri"/>
        </w:rPr>
        <w:t xml:space="preserve"> Określenia podstawowe</w:t>
      </w:r>
    </w:p>
    <w:p w:rsidR="004767DA" w:rsidRPr="00C3632E" w:rsidRDefault="004767DA" w:rsidP="004767DA">
      <w:pPr>
        <w:rPr>
          <w:rFonts w:ascii="Calibri" w:hAnsi="Calibri" w:cs="Calibri"/>
        </w:rPr>
      </w:pPr>
      <w:r w:rsidRPr="00C3632E">
        <w:rPr>
          <w:rFonts w:ascii="Calibri" w:hAnsi="Calibri" w:cs="Calibri"/>
        </w:rPr>
        <w:tab/>
        <w:t>Stosowane określenia podstawowe są zgodne z obowiązującymi, odpowiednimi polskimi normami</w:t>
      </w:r>
      <w:r>
        <w:rPr>
          <w:rFonts w:ascii="Calibri" w:hAnsi="Calibri" w:cs="Calibri"/>
        </w:rPr>
        <w:t xml:space="preserve"> oraz z definicjami podanymi w </w:t>
      </w:r>
      <w:r w:rsidRPr="00C3632E">
        <w:rPr>
          <w:rFonts w:ascii="Calibri" w:hAnsi="Calibri" w:cs="Calibri"/>
        </w:rPr>
        <w:t>ST D-M-00.00.00 „Wymagania ogólne” pkt 1.4.</w:t>
      </w:r>
    </w:p>
    <w:p w:rsidR="004767DA" w:rsidRPr="00C3632E" w:rsidRDefault="004767DA" w:rsidP="004767DA">
      <w:pPr>
        <w:rPr>
          <w:rFonts w:ascii="Calibri" w:hAnsi="Calibri" w:cs="Calibri"/>
        </w:rPr>
      </w:pPr>
      <w:r w:rsidRPr="00D452A9">
        <w:rPr>
          <w:rFonts w:ascii="Calibri" w:hAnsi="Calibri" w:cs="Calibri"/>
          <w:b/>
        </w:rPr>
        <w:t>1.5.</w:t>
      </w:r>
      <w:r w:rsidRPr="00C3632E">
        <w:rPr>
          <w:rFonts w:ascii="Calibri" w:hAnsi="Calibri" w:cs="Calibri"/>
        </w:rPr>
        <w:t xml:space="preserve"> Ogólne wymagania dotyczące robót</w:t>
      </w:r>
    </w:p>
    <w:p w:rsidR="004767DA" w:rsidRDefault="004767DA" w:rsidP="004767DA">
      <w:pPr>
        <w:rPr>
          <w:rFonts w:ascii="Calibri" w:hAnsi="Calibri" w:cs="Calibri"/>
        </w:rPr>
      </w:pPr>
      <w:r w:rsidRPr="00C3632E">
        <w:rPr>
          <w:rFonts w:ascii="Calibri" w:hAnsi="Calibri" w:cs="Calibri"/>
        </w:rPr>
        <w:tab/>
        <w:t>Ogólne wyma</w:t>
      </w:r>
      <w:r>
        <w:rPr>
          <w:rFonts w:ascii="Calibri" w:hAnsi="Calibri" w:cs="Calibri"/>
        </w:rPr>
        <w:t xml:space="preserve">gania dotyczące robót podano w </w:t>
      </w:r>
      <w:r w:rsidRPr="00C3632E">
        <w:rPr>
          <w:rFonts w:ascii="Calibri" w:hAnsi="Calibri" w:cs="Calibri"/>
        </w:rPr>
        <w:t>ST D-M-00.00.00 „Wymagania ogólne” pkt 1.5.</w:t>
      </w:r>
    </w:p>
    <w:p w:rsidR="004767DA" w:rsidRPr="00C3632E" w:rsidRDefault="004767DA" w:rsidP="004767DA">
      <w:pPr>
        <w:rPr>
          <w:rFonts w:ascii="Calibri" w:hAnsi="Calibri" w:cs="Calibri"/>
        </w:rPr>
      </w:pPr>
    </w:p>
    <w:p w:rsidR="004767DA" w:rsidRPr="00D452A9" w:rsidRDefault="004767DA" w:rsidP="004767DA">
      <w:pPr>
        <w:rPr>
          <w:rFonts w:ascii="Calibri" w:hAnsi="Calibri" w:cs="Calibri"/>
          <w:b/>
        </w:rPr>
      </w:pPr>
      <w:r w:rsidRPr="00D452A9">
        <w:rPr>
          <w:rFonts w:ascii="Calibri" w:hAnsi="Calibri" w:cs="Calibri"/>
          <w:b/>
        </w:rPr>
        <w:t>2. MATERIAŁY</w:t>
      </w:r>
    </w:p>
    <w:p w:rsidR="004767DA" w:rsidRPr="00C3632E" w:rsidRDefault="004767DA" w:rsidP="004767DA">
      <w:pPr>
        <w:rPr>
          <w:rFonts w:ascii="Calibri" w:hAnsi="Calibri" w:cs="Calibri"/>
        </w:rPr>
      </w:pPr>
      <w:r w:rsidRPr="00D452A9">
        <w:rPr>
          <w:rFonts w:ascii="Calibri" w:hAnsi="Calibri" w:cs="Calibri"/>
          <w:b/>
        </w:rPr>
        <w:t>2.1.</w:t>
      </w:r>
      <w:r w:rsidRPr="00C3632E">
        <w:rPr>
          <w:rFonts w:ascii="Calibri" w:hAnsi="Calibri" w:cs="Calibri"/>
        </w:rPr>
        <w:t xml:space="preserve"> Ogólne wymagania dotyczące materiałów</w:t>
      </w:r>
    </w:p>
    <w:p w:rsidR="004767DA" w:rsidRPr="00C3632E" w:rsidRDefault="004767DA" w:rsidP="004767DA">
      <w:pPr>
        <w:rPr>
          <w:rFonts w:ascii="Calibri" w:hAnsi="Calibri" w:cs="Calibri"/>
        </w:rPr>
      </w:pPr>
      <w:r w:rsidRPr="00C3632E">
        <w:rPr>
          <w:rFonts w:ascii="Calibri" w:hAnsi="Calibri" w:cs="Calibri"/>
        </w:rPr>
        <w:tab/>
        <w:t>Ogólne wymagania dotyczące materiałów, ich pozysk</w:t>
      </w:r>
      <w:r>
        <w:rPr>
          <w:rFonts w:ascii="Calibri" w:hAnsi="Calibri" w:cs="Calibri"/>
        </w:rPr>
        <w:t xml:space="preserve">iwania i składowania, podano w </w:t>
      </w:r>
      <w:r w:rsidRPr="00C3632E">
        <w:rPr>
          <w:rFonts w:ascii="Calibri" w:hAnsi="Calibri" w:cs="Calibri"/>
        </w:rPr>
        <w:t>ST D-M-00.00.00 „Wymagania ogólne” pkt 2.</w:t>
      </w:r>
    </w:p>
    <w:p w:rsidR="004767DA" w:rsidRPr="00C3632E" w:rsidRDefault="004767DA" w:rsidP="004767DA">
      <w:pPr>
        <w:rPr>
          <w:rFonts w:ascii="Calibri" w:hAnsi="Calibri" w:cs="Calibri"/>
        </w:rPr>
      </w:pPr>
    </w:p>
    <w:p w:rsidR="004767DA" w:rsidRPr="00D452A9" w:rsidRDefault="004767DA" w:rsidP="004767DA">
      <w:pPr>
        <w:rPr>
          <w:rFonts w:ascii="Calibri" w:hAnsi="Calibri" w:cs="Calibri"/>
          <w:b/>
        </w:rPr>
      </w:pPr>
      <w:r w:rsidRPr="00D452A9">
        <w:rPr>
          <w:rFonts w:ascii="Calibri" w:hAnsi="Calibri" w:cs="Calibri"/>
          <w:b/>
        </w:rPr>
        <w:t>3. SPRZĘT</w:t>
      </w:r>
    </w:p>
    <w:p w:rsidR="004767DA" w:rsidRPr="00C3632E" w:rsidRDefault="004767DA" w:rsidP="004767DA">
      <w:pPr>
        <w:rPr>
          <w:rFonts w:ascii="Calibri" w:hAnsi="Calibri" w:cs="Calibri"/>
        </w:rPr>
      </w:pPr>
      <w:r w:rsidRPr="00D452A9">
        <w:rPr>
          <w:rFonts w:ascii="Calibri" w:hAnsi="Calibri" w:cs="Calibri"/>
          <w:b/>
        </w:rPr>
        <w:t>3.1.</w:t>
      </w:r>
      <w:r w:rsidRPr="00C3632E">
        <w:rPr>
          <w:rFonts w:ascii="Calibri" w:hAnsi="Calibri" w:cs="Calibri"/>
        </w:rPr>
        <w:t xml:space="preserve"> Ogólne wymagania dotyczące sprzętu</w:t>
      </w:r>
    </w:p>
    <w:p w:rsidR="004767DA" w:rsidRPr="00C3632E" w:rsidRDefault="004767DA" w:rsidP="004767DA">
      <w:pPr>
        <w:rPr>
          <w:rFonts w:ascii="Calibri" w:hAnsi="Calibri" w:cs="Calibri"/>
        </w:rPr>
      </w:pPr>
      <w:r w:rsidRPr="00C3632E">
        <w:rPr>
          <w:rFonts w:ascii="Calibri" w:hAnsi="Calibri" w:cs="Calibri"/>
        </w:rPr>
        <w:tab/>
        <w:t>Ogólne wymaga</w:t>
      </w:r>
      <w:r>
        <w:rPr>
          <w:rFonts w:ascii="Calibri" w:hAnsi="Calibri" w:cs="Calibri"/>
        </w:rPr>
        <w:t xml:space="preserve">nia dotyczące sprzętu podano w </w:t>
      </w:r>
      <w:r w:rsidRPr="00C3632E">
        <w:rPr>
          <w:rFonts w:ascii="Calibri" w:hAnsi="Calibri" w:cs="Calibri"/>
        </w:rPr>
        <w:t>ST D-M-00.00.00 „Wymagania ogólne” pkt 3.</w:t>
      </w:r>
    </w:p>
    <w:p w:rsidR="004767DA" w:rsidRPr="00C3632E" w:rsidRDefault="004767DA" w:rsidP="004767DA">
      <w:pPr>
        <w:rPr>
          <w:rFonts w:ascii="Calibri" w:hAnsi="Calibri" w:cs="Calibri"/>
        </w:rPr>
      </w:pPr>
      <w:r w:rsidRPr="00D452A9">
        <w:rPr>
          <w:rFonts w:ascii="Calibri" w:hAnsi="Calibri" w:cs="Calibri"/>
          <w:b/>
        </w:rPr>
        <w:t>3.2.</w:t>
      </w:r>
      <w:r w:rsidRPr="00C3632E">
        <w:rPr>
          <w:rFonts w:ascii="Calibri" w:hAnsi="Calibri" w:cs="Calibri"/>
        </w:rPr>
        <w:t xml:space="preserve"> Sprzęt do rozbiórki</w:t>
      </w:r>
    </w:p>
    <w:p w:rsidR="004767DA" w:rsidRPr="00C3632E" w:rsidRDefault="004767DA" w:rsidP="004767DA">
      <w:pPr>
        <w:rPr>
          <w:rFonts w:ascii="Calibri" w:hAnsi="Calibri" w:cs="Calibri"/>
        </w:rPr>
      </w:pPr>
      <w:r w:rsidRPr="00C3632E">
        <w:rPr>
          <w:rFonts w:ascii="Calibri" w:hAnsi="Calibri" w:cs="Calibri"/>
        </w:rPr>
        <w:tab/>
        <w:t>Do wykonania robót związanych z rozbiórką elementów dróg może być wykorzystany sprzęt podany poniżej, lub inny zaakceptowany przez Inżyniera:</w:t>
      </w:r>
    </w:p>
    <w:p w:rsidR="004767DA" w:rsidRPr="00C3632E" w:rsidRDefault="007A3E8C" w:rsidP="004767DA">
      <w:pPr>
        <w:rPr>
          <w:rFonts w:ascii="Calibri" w:hAnsi="Calibri" w:cs="Calibri"/>
        </w:rPr>
      </w:pPr>
      <w:r>
        <w:rPr>
          <w:rFonts w:ascii="Calibri" w:hAnsi="Calibri" w:cs="Calibri"/>
        </w:rPr>
        <w:t>-</w:t>
      </w:r>
      <w:r w:rsidR="004767DA" w:rsidRPr="00C3632E">
        <w:rPr>
          <w:rFonts w:ascii="Calibri" w:hAnsi="Calibri" w:cs="Calibri"/>
        </w:rPr>
        <w:t>spycharki,</w:t>
      </w:r>
    </w:p>
    <w:p w:rsidR="004767DA" w:rsidRPr="00C3632E" w:rsidRDefault="007A3E8C" w:rsidP="004767DA">
      <w:pPr>
        <w:rPr>
          <w:rFonts w:ascii="Calibri" w:hAnsi="Calibri" w:cs="Calibri"/>
        </w:rPr>
      </w:pPr>
      <w:r>
        <w:rPr>
          <w:rFonts w:ascii="Calibri" w:hAnsi="Calibri" w:cs="Calibri"/>
        </w:rPr>
        <w:t>-</w:t>
      </w:r>
      <w:r w:rsidR="004767DA" w:rsidRPr="00C3632E">
        <w:rPr>
          <w:rFonts w:ascii="Calibri" w:hAnsi="Calibri" w:cs="Calibri"/>
        </w:rPr>
        <w:t>ładowarki,</w:t>
      </w:r>
    </w:p>
    <w:p w:rsidR="004767DA" w:rsidRPr="00C3632E" w:rsidRDefault="007A3E8C" w:rsidP="004767DA">
      <w:pPr>
        <w:rPr>
          <w:rFonts w:ascii="Calibri" w:hAnsi="Calibri" w:cs="Calibri"/>
        </w:rPr>
      </w:pPr>
      <w:r>
        <w:rPr>
          <w:rFonts w:ascii="Calibri" w:hAnsi="Calibri" w:cs="Calibri"/>
        </w:rPr>
        <w:t>-</w:t>
      </w:r>
      <w:r w:rsidR="004767DA" w:rsidRPr="00C3632E">
        <w:rPr>
          <w:rFonts w:ascii="Calibri" w:hAnsi="Calibri" w:cs="Calibri"/>
        </w:rPr>
        <w:t>żurawie samochodowe,</w:t>
      </w:r>
    </w:p>
    <w:p w:rsidR="004767DA" w:rsidRPr="00C3632E" w:rsidRDefault="007A3E8C" w:rsidP="004767DA">
      <w:pPr>
        <w:rPr>
          <w:rFonts w:ascii="Calibri" w:hAnsi="Calibri" w:cs="Calibri"/>
        </w:rPr>
      </w:pPr>
      <w:r>
        <w:rPr>
          <w:rFonts w:ascii="Calibri" w:hAnsi="Calibri" w:cs="Calibri"/>
        </w:rPr>
        <w:t>-</w:t>
      </w:r>
      <w:r w:rsidR="004767DA" w:rsidRPr="00C3632E">
        <w:rPr>
          <w:rFonts w:ascii="Calibri" w:hAnsi="Calibri" w:cs="Calibri"/>
        </w:rPr>
        <w:t>samochody ciężarowe,</w:t>
      </w:r>
    </w:p>
    <w:p w:rsidR="004767DA" w:rsidRPr="00C3632E" w:rsidRDefault="007A3E8C" w:rsidP="004767DA">
      <w:pPr>
        <w:rPr>
          <w:rFonts w:ascii="Calibri" w:hAnsi="Calibri" w:cs="Calibri"/>
        </w:rPr>
      </w:pPr>
      <w:r>
        <w:rPr>
          <w:rFonts w:ascii="Calibri" w:hAnsi="Calibri" w:cs="Calibri"/>
        </w:rPr>
        <w:t>-</w:t>
      </w:r>
      <w:r w:rsidR="004767DA" w:rsidRPr="00C3632E">
        <w:rPr>
          <w:rFonts w:ascii="Calibri" w:hAnsi="Calibri" w:cs="Calibri"/>
        </w:rPr>
        <w:t>zrywarki,</w:t>
      </w:r>
    </w:p>
    <w:p w:rsidR="004767DA" w:rsidRPr="00C3632E" w:rsidRDefault="007A3E8C" w:rsidP="004767DA">
      <w:pPr>
        <w:rPr>
          <w:rFonts w:ascii="Calibri" w:hAnsi="Calibri" w:cs="Calibri"/>
        </w:rPr>
      </w:pPr>
      <w:r>
        <w:rPr>
          <w:rFonts w:ascii="Calibri" w:hAnsi="Calibri" w:cs="Calibri"/>
        </w:rPr>
        <w:t>-</w:t>
      </w:r>
      <w:r w:rsidR="004767DA" w:rsidRPr="00C3632E">
        <w:rPr>
          <w:rFonts w:ascii="Calibri" w:hAnsi="Calibri" w:cs="Calibri"/>
        </w:rPr>
        <w:t>młoty pneumatyczne,</w:t>
      </w:r>
    </w:p>
    <w:p w:rsidR="004767DA" w:rsidRPr="00C3632E" w:rsidRDefault="007A3E8C" w:rsidP="004767DA">
      <w:pPr>
        <w:rPr>
          <w:rFonts w:ascii="Calibri" w:hAnsi="Calibri" w:cs="Calibri"/>
        </w:rPr>
      </w:pPr>
      <w:r>
        <w:rPr>
          <w:rFonts w:ascii="Calibri" w:hAnsi="Calibri" w:cs="Calibri"/>
        </w:rPr>
        <w:t>-</w:t>
      </w:r>
      <w:r w:rsidR="004767DA" w:rsidRPr="00C3632E">
        <w:rPr>
          <w:rFonts w:ascii="Calibri" w:hAnsi="Calibri" w:cs="Calibri"/>
        </w:rPr>
        <w:t>piły mechaniczne,</w:t>
      </w:r>
    </w:p>
    <w:p w:rsidR="004767DA" w:rsidRPr="00C3632E" w:rsidRDefault="007A3E8C" w:rsidP="004767DA">
      <w:pPr>
        <w:rPr>
          <w:rFonts w:ascii="Calibri" w:hAnsi="Calibri" w:cs="Calibri"/>
        </w:rPr>
      </w:pPr>
      <w:r>
        <w:rPr>
          <w:rFonts w:ascii="Calibri" w:hAnsi="Calibri" w:cs="Calibri"/>
        </w:rPr>
        <w:t>-</w:t>
      </w:r>
      <w:r w:rsidR="004767DA" w:rsidRPr="00C3632E">
        <w:rPr>
          <w:rFonts w:ascii="Calibri" w:hAnsi="Calibri" w:cs="Calibri"/>
        </w:rPr>
        <w:t>frezarki nawierzchni,</w:t>
      </w:r>
    </w:p>
    <w:p w:rsidR="004767DA" w:rsidRDefault="007A3E8C" w:rsidP="004767DA">
      <w:pPr>
        <w:rPr>
          <w:rFonts w:ascii="Calibri" w:hAnsi="Calibri" w:cs="Calibri"/>
        </w:rPr>
      </w:pPr>
      <w:r>
        <w:rPr>
          <w:rFonts w:ascii="Calibri" w:hAnsi="Calibri" w:cs="Calibri"/>
        </w:rPr>
        <w:t>-</w:t>
      </w:r>
      <w:r w:rsidR="004767DA" w:rsidRPr="00C3632E">
        <w:rPr>
          <w:rFonts w:ascii="Calibri" w:hAnsi="Calibri" w:cs="Calibri"/>
        </w:rPr>
        <w:t>koparki.</w:t>
      </w:r>
    </w:p>
    <w:p w:rsidR="004767DA" w:rsidRPr="00C3632E" w:rsidRDefault="004767DA" w:rsidP="004767DA">
      <w:pPr>
        <w:rPr>
          <w:rFonts w:ascii="Calibri" w:hAnsi="Calibri" w:cs="Calibri"/>
        </w:rPr>
      </w:pPr>
    </w:p>
    <w:p w:rsidR="004767DA" w:rsidRPr="00D452A9" w:rsidRDefault="004767DA" w:rsidP="004767DA">
      <w:pPr>
        <w:rPr>
          <w:rFonts w:ascii="Calibri" w:hAnsi="Calibri" w:cs="Calibri"/>
          <w:b/>
        </w:rPr>
      </w:pPr>
      <w:r w:rsidRPr="00D452A9">
        <w:rPr>
          <w:rFonts w:ascii="Calibri" w:hAnsi="Calibri" w:cs="Calibri"/>
          <w:b/>
        </w:rPr>
        <w:t>4. TRANSPORT</w:t>
      </w:r>
    </w:p>
    <w:p w:rsidR="004767DA" w:rsidRPr="00C3632E" w:rsidRDefault="004767DA" w:rsidP="004767DA">
      <w:pPr>
        <w:rPr>
          <w:rFonts w:ascii="Calibri" w:hAnsi="Calibri" w:cs="Calibri"/>
        </w:rPr>
      </w:pPr>
      <w:r w:rsidRPr="00D452A9">
        <w:rPr>
          <w:rFonts w:ascii="Calibri" w:hAnsi="Calibri" w:cs="Calibri"/>
          <w:b/>
        </w:rPr>
        <w:t>4.1.</w:t>
      </w:r>
      <w:r w:rsidRPr="00C3632E">
        <w:rPr>
          <w:rFonts w:ascii="Calibri" w:hAnsi="Calibri" w:cs="Calibri"/>
        </w:rPr>
        <w:t xml:space="preserve"> Ogólne wymagania dotyczące transportu</w:t>
      </w:r>
    </w:p>
    <w:p w:rsidR="004767DA" w:rsidRPr="00C3632E" w:rsidRDefault="004767DA" w:rsidP="004767DA">
      <w:pPr>
        <w:rPr>
          <w:rFonts w:ascii="Calibri" w:hAnsi="Calibri" w:cs="Calibri"/>
        </w:rPr>
      </w:pPr>
      <w:r w:rsidRPr="00C3632E">
        <w:rPr>
          <w:rFonts w:ascii="Calibri" w:hAnsi="Calibri" w:cs="Calibri"/>
        </w:rPr>
        <w:tab/>
        <w:t>Ogólne wymagania</w:t>
      </w:r>
      <w:r>
        <w:rPr>
          <w:rFonts w:ascii="Calibri" w:hAnsi="Calibri" w:cs="Calibri"/>
        </w:rPr>
        <w:t xml:space="preserve"> dotyczące transportu podano w </w:t>
      </w:r>
      <w:r w:rsidRPr="00C3632E">
        <w:rPr>
          <w:rFonts w:ascii="Calibri" w:hAnsi="Calibri" w:cs="Calibri"/>
        </w:rPr>
        <w:t>ST D-M-00.00.00 „Wymagania ogólne” pkt 4.</w:t>
      </w:r>
    </w:p>
    <w:p w:rsidR="004767DA" w:rsidRPr="00C3632E" w:rsidRDefault="004767DA" w:rsidP="004767DA">
      <w:pPr>
        <w:rPr>
          <w:rFonts w:ascii="Calibri" w:hAnsi="Calibri" w:cs="Calibri"/>
        </w:rPr>
      </w:pPr>
      <w:r w:rsidRPr="00D452A9">
        <w:rPr>
          <w:rFonts w:ascii="Calibri" w:hAnsi="Calibri" w:cs="Calibri"/>
          <w:b/>
        </w:rPr>
        <w:t>4.2.</w:t>
      </w:r>
      <w:r w:rsidRPr="00C3632E">
        <w:rPr>
          <w:rFonts w:ascii="Calibri" w:hAnsi="Calibri" w:cs="Calibri"/>
        </w:rPr>
        <w:t xml:space="preserve"> Transport materiałów z rozbiórki</w:t>
      </w:r>
    </w:p>
    <w:p w:rsidR="004767DA" w:rsidRDefault="004767DA" w:rsidP="004767DA">
      <w:pPr>
        <w:rPr>
          <w:rFonts w:ascii="Calibri" w:hAnsi="Calibri" w:cs="Calibri"/>
        </w:rPr>
      </w:pPr>
      <w:r w:rsidRPr="00C3632E">
        <w:rPr>
          <w:rFonts w:ascii="Calibri" w:hAnsi="Calibri" w:cs="Calibri"/>
        </w:rPr>
        <w:tab/>
        <w:t>Materiał z rozbiórki można przewozić dowolnym środkiem transportu.</w:t>
      </w:r>
    </w:p>
    <w:p w:rsidR="004767DA" w:rsidRPr="00C3632E" w:rsidRDefault="004767DA" w:rsidP="004767DA">
      <w:pPr>
        <w:rPr>
          <w:rFonts w:ascii="Calibri" w:hAnsi="Calibri" w:cs="Calibri"/>
        </w:rPr>
      </w:pPr>
    </w:p>
    <w:p w:rsidR="004767DA" w:rsidRPr="00D452A9" w:rsidRDefault="004767DA" w:rsidP="004767DA">
      <w:pPr>
        <w:rPr>
          <w:rFonts w:ascii="Calibri" w:hAnsi="Calibri" w:cs="Calibri"/>
          <w:b/>
        </w:rPr>
      </w:pPr>
      <w:r w:rsidRPr="00D452A9">
        <w:rPr>
          <w:rFonts w:ascii="Calibri" w:hAnsi="Calibri" w:cs="Calibri"/>
          <w:b/>
        </w:rPr>
        <w:t>5. WYKONANIE ROBÓT</w:t>
      </w:r>
    </w:p>
    <w:p w:rsidR="004767DA" w:rsidRPr="00C3632E" w:rsidRDefault="004767DA" w:rsidP="004767DA">
      <w:pPr>
        <w:rPr>
          <w:rFonts w:ascii="Calibri" w:hAnsi="Calibri" w:cs="Calibri"/>
        </w:rPr>
      </w:pPr>
      <w:r w:rsidRPr="00D452A9">
        <w:rPr>
          <w:rFonts w:ascii="Calibri" w:hAnsi="Calibri" w:cs="Calibri"/>
          <w:b/>
        </w:rPr>
        <w:t>5.1.</w:t>
      </w:r>
      <w:r w:rsidRPr="00C3632E">
        <w:rPr>
          <w:rFonts w:ascii="Calibri" w:hAnsi="Calibri" w:cs="Calibri"/>
        </w:rPr>
        <w:t xml:space="preserve"> Ogólne zasady wykonania robót</w:t>
      </w:r>
    </w:p>
    <w:p w:rsidR="004767DA" w:rsidRPr="00C3632E" w:rsidRDefault="004767DA" w:rsidP="004767DA">
      <w:pPr>
        <w:rPr>
          <w:rFonts w:ascii="Calibri" w:hAnsi="Calibri" w:cs="Calibri"/>
        </w:rPr>
      </w:pPr>
      <w:r w:rsidRPr="00C3632E">
        <w:rPr>
          <w:rFonts w:ascii="Calibri" w:hAnsi="Calibri" w:cs="Calibri"/>
        </w:rPr>
        <w:tab/>
        <w:t>Ogólne z</w:t>
      </w:r>
      <w:r>
        <w:rPr>
          <w:rFonts w:ascii="Calibri" w:hAnsi="Calibri" w:cs="Calibri"/>
        </w:rPr>
        <w:t xml:space="preserve">asady wykonania robót podano w </w:t>
      </w:r>
      <w:r w:rsidRPr="00C3632E">
        <w:rPr>
          <w:rFonts w:ascii="Calibri" w:hAnsi="Calibri" w:cs="Calibri"/>
        </w:rPr>
        <w:t>ST D-M-00.00.00 „Wymagania ogólne” pkt 5.</w:t>
      </w:r>
    </w:p>
    <w:p w:rsidR="004767DA" w:rsidRPr="00C3632E" w:rsidRDefault="004767DA" w:rsidP="004767DA">
      <w:pPr>
        <w:rPr>
          <w:rFonts w:ascii="Calibri" w:hAnsi="Calibri" w:cs="Calibri"/>
        </w:rPr>
      </w:pPr>
      <w:r w:rsidRPr="00D452A9">
        <w:rPr>
          <w:rFonts w:ascii="Calibri" w:hAnsi="Calibri" w:cs="Calibri"/>
          <w:b/>
        </w:rPr>
        <w:t>5.2.</w:t>
      </w:r>
      <w:r w:rsidRPr="00C3632E">
        <w:rPr>
          <w:rFonts w:ascii="Calibri" w:hAnsi="Calibri" w:cs="Calibri"/>
        </w:rPr>
        <w:t xml:space="preserve"> Wykonanie robót rozbiórkowych</w:t>
      </w:r>
    </w:p>
    <w:p w:rsidR="004767DA" w:rsidRPr="00C3632E" w:rsidRDefault="004767DA" w:rsidP="004767DA">
      <w:pPr>
        <w:rPr>
          <w:rFonts w:ascii="Calibri" w:hAnsi="Calibri" w:cs="Calibri"/>
        </w:rPr>
      </w:pPr>
      <w:r w:rsidRPr="00C3632E">
        <w:rPr>
          <w:rFonts w:ascii="Calibri" w:hAnsi="Calibri" w:cs="Calibri"/>
        </w:rPr>
        <w:tab/>
        <w:t>Roboty rozbiórkowe elementów dróg obejmują usunięcie z terenu budowy wszystkich elementów wymienionych w pkt 1.3, zgodnie z dokumentacją projektową</w:t>
      </w:r>
      <w:r>
        <w:rPr>
          <w:rFonts w:ascii="Calibri" w:hAnsi="Calibri" w:cs="Calibri"/>
        </w:rPr>
        <w:t xml:space="preserve"> </w:t>
      </w:r>
      <w:r w:rsidRPr="00C3632E">
        <w:rPr>
          <w:rFonts w:ascii="Calibri" w:hAnsi="Calibri" w:cs="Calibri"/>
        </w:rPr>
        <w:t>lub wskazanych przez Inżyniera.</w:t>
      </w:r>
    </w:p>
    <w:p w:rsidR="004767DA" w:rsidRPr="00C3632E" w:rsidRDefault="004767DA" w:rsidP="004767DA">
      <w:pPr>
        <w:rPr>
          <w:rFonts w:ascii="Calibri" w:hAnsi="Calibri" w:cs="Calibri"/>
        </w:rPr>
      </w:pPr>
      <w:r w:rsidRPr="00C3632E">
        <w:rPr>
          <w:rFonts w:ascii="Calibri" w:hAnsi="Calibri" w:cs="Calibri"/>
        </w:rPr>
        <w:tab/>
        <w:t>Jeśli dokumentacja projektowa nie zawiera dokumentacji inwentaryzacyjnej lub/i rozbiórkowej, Inżynier może polecić Wykonawcy sporządzenie takiej dokumentacji, w której zostanie określony przewidziany odzysk materiałów.</w:t>
      </w:r>
    </w:p>
    <w:p w:rsidR="004767DA" w:rsidRPr="00C3632E" w:rsidRDefault="004767DA" w:rsidP="004767DA">
      <w:pPr>
        <w:rPr>
          <w:rFonts w:ascii="Calibri" w:hAnsi="Calibri" w:cs="Calibri"/>
        </w:rPr>
      </w:pPr>
      <w:r w:rsidRPr="00C3632E">
        <w:rPr>
          <w:rFonts w:ascii="Calibri" w:hAnsi="Calibri" w:cs="Calibri"/>
        </w:rPr>
        <w:tab/>
        <w:t>Roboty rozbiórkowe można wykonywać mechanicznie lub ręcznie w sposób określony przez Inżyniera.</w:t>
      </w:r>
    </w:p>
    <w:p w:rsidR="004767DA" w:rsidRPr="00C3632E" w:rsidRDefault="004767DA" w:rsidP="004767DA">
      <w:pPr>
        <w:rPr>
          <w:rFonts w:ascii="Calibri" w:hAnsi="Calibri" w:cs="Calibri"/>
        </w:rPr>
      </w:pPr>
      <w:r w:rsidRPr="00C3632E">
        <w:rPr>
          <w:rFonts w:ascii="Calibri" w:hAnsi="Calibri" w:cs="Calibri"/>
        </w:rPr>
        <w:lastRenderedPageBreak/>
        <w:tab/>
        <w:t>W przypadku usuwania warstw nawierzchni z zastosowaniem frezarek drogowych, nale</w:t>
      </w:r>
      <w:r>
        <w:rPr>
          <w:rFonts w:ascii="Calibri" w:hAnsi="Calibri" w:cs="Calibri"/>
        </w:rPr>
        <w:t xml:space="preserve">ży spełnić warunki określone w </w:t>
      </w:r>
      <w:r w:rsidRPr="00C3632E">
        <w:rPr>
          <w:rFonts w:ascii="Calibri" w:hAnsi="Calibri" w:cs="Calibri"/>
        </w:rPr>
        <w:t>ST D-05.03.11 „Recykling”.</w:t>
      </w:r>
    </w:p>
    <w:p w:rsidR="004767DA" w:rsidRPr="00C3632E" w:rsidRDefault="004767DA" w:rsidP="004767DA">
      <w:pPr>
        <w:rPr>
          <w:rFonts w:ascii="Calibri" w:hAnsi="Calibri" w:cs="Calibri"/>
        </w:rPr>
      </w:pPr>
      <w:r w:rsidRPr="00C3632E">
        <w:rPr>
          <w:rFonts w:ascii="Calibri" w:hAnsi="Calibri" w:cs="Calibri"/>
        </w:rPr>
        <w:tab/>
        <w:t>Wszystkie elementy możliwe do powtórnego wykorzystania powinny być usuwane bez powodowania zbędnych uszkodzeń. O ile uzyskane elementy nie stają się własnością Wykonawcy, powinien on przewieźć je na miejsce wskazane przez Inżyniera.</w:t>
      </w:r>
    </w:p>
    <w:p w:rsidR="004767DA" w:rsidRPr="00C3632E" w:rsidRDefault="004767DA" w:rsidP="004767DA">
      <w:pPr>
        <w:rPr>
          <w:rFonts w:ascii="Calibri" w:hAnsi="Calibri" w:cs="Calibri"/>
        </w:rPr>
      </w:pPr>
      <w:r w:rsidRPr="00C3632E">
        <w:rPr>
          <w:rFonts w:ascii="Calibri" w:hAnsi="Calibri" w:cs="Calibri"/>
        </w:rPr>
        <w:tab/>
        <w:t>Elementy i materiały, które stają się własnością Wykonawcy, powinny być usunięte z terenu budowy.</w:t>
      </w:r>
    </w:p>
    <w:p w:rsidR="004767DA" w:rsidRPr="00C3632E" w:rsidRDefault="004767DA" w:rsidP="004767DA">
      <w:pPr>
        <w:rPr>
          <w:rFonts w:ascii="Calibri" w:hAnsi="Calibri" w:cs="Calibri"/>
        </w:rPr>
      </w:pPr>
      <w:r w:rsidRPr="00C3632E">
        <w:rPr>
          <w:rFonts w:ascii="Calibri" w:hAnsi="Calibri" w:cs="Calibri"/>
        </w:rPr>
        <w:tab/>
        <w:t>Doły (wykopy) powstałe po rozbiórce elementów dróg znajdujące się w miejscach, gdzie zgodnie z dokumentacją projektową będą wykonane wykopy drogowe, powinny być tymczasowo zabezpieczone. W szczególności należy zapobiec gromadzeniu się w nich wody opadowej.</w:t>
      </w:r>
    </w:p>
    <w:p w:rsidR="004767DA" w:rsidRDefault="004767DA" w:rsidP="004767DA">
      <w:pPr>
        <w:rPr>
          <w:rFonts w:ascii="Calibri" w:hAnsi="Calibri" w:cs="Calibri"/>
        </w:rPr>
      </w:pPr>
      <w:r w:rsidRPr="00C3632E">
        <w:rPr>
          <w:rFonts w:ascii="Calibri" w:hAnsi="Calibri" w:cs="Calibri"/>
        </w:rPr>
        <w:tab/>
        <w:t>Doły w miejscach, gdzie nie przewiduje się wykonania wykopów drogowych należy wypełnić, warstwami, odpowiednim gruntem do poziomu otaczającego terenu i zagęścić zgodn</w:t>
      </w:r>
      <w:r>
        <w:rPr>
          <w:rFonts w:ascii="Calibri" w:hAnsi="Calibri" w:cs="Calibri"/>
        </w:rPr>
        <w:t xml:space="preserve">ie z wymaganiami określonymi w </w:t>
      </w:r>
      <w:r w:rsidRPr="00C3632E">
        <w:rPr>
          <w:rFonts w:ascii="Calibri" w:hAnsi="Calibri" w:cs="Calibri"/>
        </w:rPr>
        <w:t>ST D-02.00.00 „Roboty ziemne”.</w:t>
      </w:r>
    </w:p>
    <w:p w:rsidR="004767DA" w:rsidRPr="00C3632E" w:rsidRDefault="004767DA" w:rsidP="004767DA">
      <w:pPr>
        <w:rPr>
          <w:rFonts w:ascii="Calibri" w:hAnsi="Calibri" w:cs="Calibri"/>
        </w:rPr>
      </w:pPr>
    </w:p>
    <w:p w:rsidR="004767DA" w:rsidRPr="00D452A9" w:rsidRDefault="004767DA" w:rsidP="004767DA">
      <w:pPr>
        <w:rPr>
          <w:rFonts w:ascii="Calibri" w:hAnsi="Calibri" w:cs="Calibri"/>
          <w:b/>
        </w:rPr>
      </w:pPr>
      <w:r w:rsidRPr="00D452A9">
        <w:rPr>
          <w:rFonts w:ascii="Calibri" w:hAnsi="Calibri" w:cs="Calibri"/>
          <w:b/>
        </w:rPr>
        <w:t>6. KONTROLA JAKOŚCI ROBÓT</w:t>
      </w:r>
    </w:p>
    <w:p w:rsidR="004767DA" w:rsidRPr="00C3632E" w:rsidRDefault="004767DA" w:rsidP="004767DA">
      <w:pPr>
        <w:rPr>
          <w:rFonts w:ascii="Calibri" w:hAnsi="Calibri" w:cs="Calibri"/>
        </w:rPr>
      </w:pPr>
      <w:r w:rsidRPr="00D452A9">
        <w:rPr>
          <w:rFonts w:ascii="Calibri" w:hAnsi="Calibri" w:cs="Calibri"/>
          <w:b/>
        </w:rPr>
        <w:t>6.1.</w:t>
      </w:r>
      <w:r w:rsidRPr="00C3632E">
        <w:rPr>
          <w:rFonts w:ascii="Calibri" w:hAnsi="Calibri" w:cs="Calibri"/>
        </w:rPr>
        <w:t xml:space="preserve"> Ogólne zasady kontroli jakości robót</w:t>
      </w:r>
    </w:p>
    <w:p w:rsidR="004767DA" w:rsidRPr="00C3632E" w:rsidRDefault="004767DA" w:rsidP="004767DA">
      <w:pPr>
        <w:rPr>
          <w:rFonts w:ascii="Calibri" w:hAnsi="Calibri" w:cs="Calibri"/>
        </w:rPr>
      </w:pPr>
      <w:r w:rsidRPr="00C3632E">
        <w:rPr>
          <w:rFonts w:ascii="Calibri" w:hAnsi="Calibri" w:cs="Calibri"/>
        </w:rPr>
        <w:tab/>
        <w:t>Ogólne zasady k</w:t>
      </w:r>
      <w:r>
        <w:rPr>
          <w:rFonts w:ascii="Calibri" w:hAnsi="Calibri" w:cs="Calibri"/>
        </w:rPr>
        <w:t xml:space="preserve">ontroli jakości robót podano w </w:t>
      </w:r>
      <w:r w:rsidRPr="00C3632E">
        <w:rPr>
          <w:rFonts w:ascii="Calibri" w:hAnsi="Calibri" w:cs="Calibri"/>
        </w:rPr>
        <w:t>ST D-M-00.00.00 „Wymagania ogólne” pkt 6.</w:t>
      </w:r>
    </w:p>
    <w:p w:rsidR="004767DA" w:rsidRPr="00C3632E" w:rsidRDefault="004767DA" w:rsidP="004767DA">
      <w:pPr>
        <w:rPr>
          <w:rFonts w:ascii="Calibri" w:hAnsi="Calibri" w:cs="Calibri"/>
        </w:rPr>
      </w:pPr>
      <w:r w:rsidRPr="00D452A9">
        <w:rPr>
          <w:rFonts w:ascii="Calibri" w:hAnsi="Calibri" w:cs="Calibri"/>
          <w:b/>
        </w:rPr>
        <w:t>6.2.</w:t>
      </w:r>
      <w:r w:rsidRPr="00C3632E">
        <w:rPr>
          <w:rFonts w:ascii="Calibri" w:hAnsi="Calibri" w:cs="Calibri"/>
        </w:rPr>
        <w:t xml:space="preserve"> Kontrola jakości robót rozbiórkowych</w:t>
      </w:r>
    </w:p>
    <w:p w:rsidR="004767DA" w:rsidRPr="00C3632E" w:rsidRDefault="004767DA" w:rsidP="004767DA">
      <w:pPr>
        <w:rPr>
          <w:rFonts w:ascii="Calibri" w:hAnsi="Calibri" w:cs="Calibri"/>
        </w:rPr>
      </w:pPr>
      <w:r w:rsidRPr="00C3632E">
        <w:rPr>
          <w:rFonts w:ascii="Calibri" w:hAnsi="Calibri" w:cs="Calibri"/>
        </w:rPr>
        <w:tab/>
        <w:t>Kontrola jakości robót polega na wizualnej ocenie kompletności wykonanych robót rozbiórkowych oraz sprawdzeniu stopnia uszkodzenia elementów przewidzianych do powtórnego wykorzystania.</w:t>
      </w:r>
    </w:p>
    <w:p w:rsidR="004767DA" w:rsidRDefault="004767DA" w:rsidP="004767DA">
      <w:pPr>
        <w:rPr>
          <w:rFonts w:ascii="Calibri" w:hAnsi="Calibri" w:cs="Calibri"/>
        </w:rPr>
      </w:pPr>
      <w:r w:rsidRPr="00C3632E">
        <w:rPr>
          <w:rFonts w:ascii="Calibri" w:hAnsi="Calibri" w:cs="Calibri"/>
        </w:rPr>
        <w:tab/>
        <w:t>Zagęszczenie gruntu wypełniającego ewentualne doły po usuniętych elementach nawierzchni, ogrodzeń i przepustów powinno spełniać odp</w:t>
      </w:r>
      <w:r>
        <w:rPr>
          <w:rFonts w:ascii="Calibri" w:hAnsi="Calibri" w:cs="Calibri"/>
        </w:rPr>
        <w:t xml:space="preserve">owiednie wymagania określone w </w:t>
      </w:r>
      <w:r w:rsidRPr="00C3632E">
        <w:rPr>
          <w:rFonts w:ascii="Calibri" w:hAnsi="Calibri" w:cs="Calibri"/>
        </w:rPr>
        <w:t>ST D-02.00.00 „Roboty ziemne”.</w:t>
      </w:r>
    </w:p>
    <w:p w:rsidR="004767DA" w:rsidRPr="00C3632E" w:rsidRDefault="004767DA" w:rsidP="004767DA">
      <w:pPr>
        <w:rPr>
          <w:rFonts w:ascii="Calibri" w:hAnsi="Calibri" w:cs="Calibri"/>
        </w:rPr>
      </w:pPr>
    </w:p>
    <w:p w:rsidR="004767DA" w:rsidRPr="00D452A9" w:rsidRDefault="004767DA" w:rsidP="004767DA">
      <w:pPr>
        <w:rPr>
          <w:rFonts w:ascii="Calibri" w:hAnsi="Calibri" w:cs="Calibri"/>
          <w:b/>
        </w:rPr>
      </w:pPr>
      <w:r w:rsidRPr="00D452A9">
        <w:rPr>
          <w:rFonts w:ascii="Calibri" w:hAnsi="Calibri" w:cs="Calibri"/>
          <w:b/>
        </w:rPr>
        <w:t>7. OBMIAR ROBÓT</w:t>
      </w:r>
    </w:p>
    <w:p w:rsidR="004767DA" w:rsidRPr="00C3632E" w:rsidRDefault="004767DA" w:rsidP="004767DA">
      <w:pPr>
        <w:rPr>
          <w:rFonts w:ascii="Calibri" w:hAnsi="Calibri" w:cs="Calibri"/>
        </w:rPr>
      </w:pPr>
      <w:r w:rsidRPr="00D452A9">
        <w:rPr>
          <w:rFonts w:ascii="Calibri" w:hAnsi="Calibri" w:cs="Calibri"/>
          <w:b/>
        </w:rPr>
        <w:t>7.1.</w:t>
      </w:r>
      <w:r w:rsidRPr="00C3632E">
        <w:rPr>
          <w:rFonts w:ascii="Calibri" w:hAnsi="Calibri" w:cs="Calibri"/>
        </w:rPr>
        <w:t xml:space="preserve"> Ogólne zasady obmiaru robót</w:t>
      </w:r>
    </w:p>
    <w:p w:rsidR="004767DA" w:rsidRPr="00C3632E" w:rsidRDefault="004767DA" w:rsidP="004767DA">
      <w:pPr>
        <w:rPr>
          <w:rFonts w:ascii="Calibri" w:hAnsi="Calibri" w:cs="Calibri"/>
        </w:rPr>
      </w:pPr>
      <w:r w:rsidRPr="00C3632E">
        <w:rPr>
          <w:rFonts w:ascii="Calibri" w:hAnsi="Calibri" w:cs="Calibri"/>
        </w:rPr>
        <w:tab/>
        <w:t>Ogólne</w:t>
      </w:r>
      <w:r>
        <w:rPr>
          <w:rFonts w:ascii="Calibri" w:hAnsi="Calibri" w:cs="Calibri"/>
        </w:rPr>
        <w:t xml:space="preserve"> zasady obmiaru robót podano w </w:t>
      </w:r>
      <w:r w:rsidRPr="00C3632E">
        <w:rPr>
          <w:rFonts w:ascii="Calibri" w:hAnsi="Calibri" w:cs="Calibri"/>
        </w:rPr>
        <w:t>ST D-M-</w:t>
      </w:r>
      <w:r>
        <w:rPr>
          <w:rFonts w:ascii="Calibri" w:hAnsi="Calibri" w:cs="Calibri"/>
        </w:rPr>
        <w:t xml:space="preserve">00.00.00 „Wymagania ogólne” </w:t>
      </w:r>
      <w:r w:rsidRPr="00C3632E">
        <w:rPr>
          <w:rFonts w:ascii="Calibri" w:hAnsi="Calibri" w:cs="Calibri"/>
        </w:rPr>
        <w:t>pkt 7.</w:t>
      </w:r>
    </w:p>
    <w:p w:rsidR="004767DA" w:rsidRPr="00C3632E" w:rsidRDefault="004767DA" w:rsidP="004767DA">
      <w:pPr>
        <w:rPr>
          <w:rFonts w:ascii="Calibri" w:hAnsi="Calibri" w:cs="Calibri"/>
        </w:rPr>
      </w:pPr>
      <w:r w:rsidRPr="00D452A9">
        <w:rPr>
          <w:rFonts w:ascii="Calibri" w:hAnsi="Calibri" w:cs="Calibri"/>
          <w:b/>
        </w:rPr>
        <w:t>7.2.</w:t>
      </w:r>
      <w:r w:rsidRPr="00C3632E">
        <w:rPr>
          <w:rFonts w:ascii="Calibri" w:hAnsi="Calibri" w:cs="Calibri"/>
        </w:rPr>
        <w:t xml:space="preserve"> Jednostka obmiarowa</w:t>
      </w:r>
    </w:p>
    <w:p w:rsidR="004767DA" w:rsidRPr="00C3632E" w:rsidRDefault="004767DA" w:rsidP="004767DA">
      <w:pPr>
        <w:rPr>
          <w:rFonts w:ascii="Calibri" w:hAnsi="Calibri" w:cs="Calibri"/>
        </w:rPr>
      </w:pPr>
      <w:r w:rsidRPr="00C3632E">
        <w:rPr>
          <w:rFonts w:ascii="Calibri" w:hAnsi="Calibri" w:cs="Calibri"/>
        </w:rPr>
        <w:tab/>
        <w:t>Jednostką obmiarową robót związanych z rozbiórką elementów dróg jest:</w:t>
      </w:r>
    </w:p>
    <w:p w:rsidR="004767DA" w:rsidRPr="00C3632E" w:rsidRDefault="007A3E8C" w:rsidP="004767DA">
      <w:pPr>
        <w:rPr>
          <w:rFonts w:ascii="Calibri" w:hAnsi="Calibri" w:cs="Calibri"/>
        </w:rPr>
      </w:pPr>
      <w:r>
        <w:rPr>
          <w:rFonts w:ascii="Calibri" w:hAnsi="Calibri" w:cs="Calibri"/>
        </w:rPr>
        <w:t>-</w:t>
      </w:r>
      <w:r w:rsidR="004767DA" w:rsidRPr="00C3632E">
        <w:rPr>
          <w:rFonts w:ascii="Calibri" w:hAnsi="Calibri" w:cs="Calibri"/>
        </w:rPr>
        <w:t>dla nawierzchni i chodnika - m2 (metr kwadratowy),</w:t>
      </w:r>
    </w:p>
    <w:p w:rsidR="004767DA" w:rsidRPr="00C3632E" w:rsidRDefault="007A3E8C" w:rsidP="004767DA">
      <w:pPr>
        <w:rPr>
          <w:rFonts w:ascii="Calibri" w:hAnsi="Calibri" w:cs="Calibri"/>
        </w:rPr>
      </w:pPr>
      <w:r>
        <w:rPr>
          <w:rFonts w:ascii="Calibri" w:hAnsi="Calibri" w:cs="Calibri"/>
        </w:rPr>
        <w:t>-</w:t>
      </w:r>
      <w:r w:rsidR="004767DA" w:rsidRPr="00C3632E">
        <w:rPr>
          <w:rFonts w:ascii="Calibri" w:hAnsi="Calibri" w:cs="Calibri"/>
        </w:rPr>
        <w:t>dla krawężnika, opornika, obrzeża, - m (metr),</w:t>
      </w:r>
    </w:p>
    <w:p w:rsidR="004767DA" w:rsidRPr="00C3632E" w:rsidRDefault="007A3E8C" w:rsidP="004767DA">
      <w:pPr>
        <w:rPr>
          <w:rFonts w:ascii="Calibri" w:hAnsi="Calibri" w:cs="Calibri"/>
        </w:rPr>
      </w:pPr>
      <w:r>
        <w:rPr>
          <w:rFonts w:ascii="Calibri" w:hAnsi="Calibri" w:cs="Calibri"/>
        </w:rPr>
        <w:t>-</w:t>
      </w:r>
      <w:r w:rsidR="004767DA" w:rsidRPr="00C3632E">
        <w:rPr>
          <w:rFonts w:ascii="Calibri" w:hAnsi="Calibri" w:cs="Calibri"/>
        </w:rPr>
        <w:t>dla z</w:t>
      </w:r>
      <w:r w:rsidR="00DD5715">
        <w:rPr>
          <w:rFonts w:ascii="Calibri" w:hAnsi="Calibri" w:cs="Calibri"/>
        </w:rPr>
        <w:t>naków drogowych - szt. (sztuka).</w:t>
      </w:r>
    </w:p>
    <w:p w:rsidR="004767DA" w:rsidRPr="00C3632E" w:rsidRDefault="004767DA" w:rsidP="004767DA">
      <w:pPr>
        <w:rPr>
          <w:rFonts w:ascii="Calibri" w:hAnsi="Calibri" w:cs="Calibri"/>
        </w:rPr>
      </w:pPr>
    </w:p>
    <w:p w:rsidR="004767DA" w:rsidRPr="00D452A9" w:rsidRDefault="004767DA" w:rsidP="004767DA">
      <w:pPr>
        <w:rPr>
          <w:rFonts w:ascii="Calibri" w:hAnsi="Calibri" w:cs="Calibri"/>
          <w:b/>
        </w:rPr>
      </w:pPr>
      <w:r w:rsidRPr="00D452A9">
        <w:rPr>
          <w:rFonts w:ascii="Calibri" w:hAnsi="Calibri" w:cs="Calibri"/>
          <w:b/>
        </w:rPr>
        <w:t>8. ODBIÓR ROBÓT</w:t>
      </w:r>
    </w:p>
    <w:p w:rsidR="004767DA" w:rsidRDefault="004767DA" w:rsidP="004767DA">
      <w:pPr>
        <w:rPr>
          <w:rFonts w:ascii="Calibri" w:hAnsi="Calibri" w:cs="Calibri"/>
        </w:rPr>
      </w:pPr>
      <w:r w:rsidRPr="00C3632E">
        <w:rPr>
          <w:rFonts w:ascii="Calibri" w:hAnsi="Calibri" w:cs="Calibri"/>
        </w:rPr>
        <w:tab/>
        <w:t>Ogólne</w:t>
      </w:r>
      <w:r>
        <w:rPr>
          <w:rFonts w:ascii="Calibri" w:hAnsi="Calibri" w:cs="Calibri"/>
        </w:rPr>
        <w:t xml:space="preserve"> zasady odbioru robót podano w </w:t>
      </w:r>
      <w:r w:rsidRPr="00C3632E">
        <w:rPr>
          <w:rFonts w:ascii="Calibri" w:hAnsi="Calibri" w:cs="Calibri"/>
        </w:rPr>
        <w:t>ST D-M-00.00.</w:t>
      </w:r>
      <w:r>
        <w:rPr>
          <w:rFonts w:ascii="Calibri" w:hAnsi="Calibri" w:cs="Calibri"/>
        </w:rPr>
        <w:t xml:space="preserve">00 „Wymagania ogólne” </w:t>
      </w:r>
      <w:r w:rsidRPr="00C3632E">
        <w:rPr>
          <w:rFonts w:ascii="Calibri" w:hAnsi="Calibri" w:cs="Calibri"/>
        </w:rPr>
        <w:t xml:space="preserve"> pkt 8.</w:t>
      </w:r>
    </w:p>
    <w:p w:rsidR="004767DA" w:rsidRPr="00C3632E" w:rsidRDefault="004767DA" w:rsidP="004767DA">
      <w:pPr>
        <w:rPr>
          <w:rFonts w:ascii="Calibri" w:hAnsi="Calibri" w:cs="Calibri"/>
        </w:rPr>
      </w:pPr>
    </w:p>
    <w:p w:rsidR="004767DA" w:rsidRPr="00D452A9" w:rsidRDefault="004767DA" w:rsidP="004767DA">
      <w:pPr>
        <w:rPr>
          <w:rFonts w:ascii="Calibri" w:hAnsi="Calibri" w:cs="Calibri"/>
          <w:b/>
        </w:rPr>
      </w:pPr>
      <w:r w:rsidRPr="00D452A9">
        <w:rPr>
          <w:rFonts w:ascii="Calibri" w:hAnsi="Calibri" w:cs="Calibri"/>
          <w:b/>
        </w:rPr>
        <w:t>9. PODSTAWA PŁATNOŚCI</w:t>
      </w:r>
    </w:p>
    <w:p w:rsidR="004767DA" w:rsidRPr="00C3632E" w:rsidRDefault="004767DA" w:rsidP="004767DA">
      <w:pPr>
        <w:rPr>
          <w:rFonts w:ascii="Calibri" w:hAnsi="Calibri" w:cs="Calibri"/>
        </w:rPr>
      </w:pPr>
      <w:r w:rsidRPr="00D452A9">
        <w:rPr>
          <w:rFonts w:ascii="Calibri" w:hAnsi="Calibri" w:cs="Calibri"/>
          <w:b/>
        </w:rPr>
        <w:t>9.1.</w:t>
      </w:r>
      <w:r w:rsidRPr="00C3632E">
        <w:rPr>
          <w:rFonts w:ascii="Calibri" w:hAnsi="Calibri" w:cs="Calibri"/>
        </w:rPr>
        <w:t xml:space="preserve"> Ogólne ustalenia dotyczące podstawy płatności</w:t>
      </w:r>
    </w:p>
    <w:p w:rsidR="004767DA" w:rsidRPr="00C3632E" w:rsidRDefault="004767DA" w:rsidP="004767DA">
      <w:pPr>
        <w:rPr>
          <w:rFonts w:ascii="Calibri" w:hAnsi="Calibri" w:cs="Calibri"/>
        </w:rPr>
      </w:pPr>
      <w:r w:rsidRPr="00C3632E">
        <w:rPr>
          <w:rFonts w:ascii="Calibri" w:hAnsi="Calibri" w:cs="Calibri"/>
        </w:rPr>
        <w:tab/>
        <w:t>Ogólne ustalenia dotyczą</w:t>
      </w:r>
      <w:r>
        <w:rPr>
          <w:rFonts w:ascii="Calibri" w:hAnsi="Calibri" w:cs="Calibri"/>
        </w:rPr>
        <w:t xml:space="preserve">ce podstawy płatności podano w </w:t>
      </w:r>
      <w:r w:rsidRPr="00C3632E">
        <w:rPr>
          <w:rFonts w:ascii="Calibri" w:hAnsi="Calibri" w:cs="Calibri"/>
        </w:rPr>
        <w:t>ST D-M-00.00.00 „Wymagania ogólne” pkt 9.</w:t>
      </w:r>
    </w:p>
    <w:p w:rsidR="004767DA" w:rsidRPr="00C3632E" w:rsidRDefault="004767DA" w:rsidP="004767DA">
      <w:pPr>
        <w:rPr>
          <w:rFonts w:ascii="Calibri" w:hAnsi="Calibri" w:cs="Calibri"/>
        </w:rPr>
      </w:pPr>
      <w:r w:rsidRPr="00D452A9">
        <w:rPr>
          <w:rFonts w:ascii="Calibri" w:hAnsi="Calibri" w:cs="Calibri"/>
          <w:b/>
        </w:rPr>
        <w:t>9.2.</w:t>
      </w:r>
      <w:r w:rsidRPr="00C3632E">
        <w:rPr>
          <w:rFonts w:ascii="Calibri" w:hAnsi="Calibri" w:cs="Calibri"/>
        </w:rPr>
        <w:t xml:space="preserve"> Cena jednostki obmiarowej</w:t>
      </w:r>
    </w:p>
    <w:p w:rsidR="004767DA" w:rsidRPr="00C3632E" w:rsidRDefault="004767DA" w:rsidP="004767DA">
      <w:pPr>
        <w:rPr>
          <w:rFonts w:ascii="Calibri" w:hAnsi="Calibri" w:cs="Calibri"/>
        </w:rPr>
      </w:pPr>
      <w:r w:rsidRPr="00C3632E">
        <w:rPr>
          <w:rFonts w:ascii="Calibri" w:hAnsi="Calibri" w:cs="Calibri"/>
        </w:rPr>
        <w:tab/>
        <w:t>Cena wykonania robót obejmuje:</w:t>
      </w:r>
    </w:p>
    <w:p w:rsidR="004767DA" w:rsidRPr="00C3632E" w:rsidRDefault="004767DA" w:rsidP="004767DA">
      <w:pPr>
        <w:rPr>
          <w:rFonts w:ascii="Calibri" w:hAnsi="Calibri" w:cs="Calibri"/>
        </w:rPr>
      </w:pPr>
      <w:r w:rsidRPr="00C3632E">
        <w:rPr>
          <w:rFonts w:ascii="Calibri" w:hAnsi="Calibri" w:cs="Calibri"/>
        </w:rPr>
        <w:t>a) dla rozbiórki warstw nawierzchni:</w:t>
      </w:r>
    </w:p>
    <w:p w:rsidR="004767DA" w:rsidRPr="00C3632E" w:rsidRDefault="007A3E8C" w:rsidP="004767DA">
      <w:pPr>
        <w:rPr>
          <w:rFonts w:ascii="Calibri" w:hAnsi="Calibri" w:cs="Calibri"/>
        </w:rPr>
      </w:pPr>
      <w:r>
        <w:rPr>
          <w:rFonts w:ascii="Calibri" w:hAnsi="Calibri" w:cs="Calibri"/>
        </w:rPr>
        <w:t>-</w:t>
      </w:r>
      <w:r w:rsidR="004767DA" w:rsidRPr="00C3632E">
        <w:rPr>
          <w:rFonts w:ascii="Calibri" w:hAnsi="Calibri" w:cs="Calibri"/>
        </w:rPr>
        <w:t>wyznaczenie powierzchni przeznaczonej do rozbiórki,</w:t>
      </w:r>
    </w:p>
    <w:p w:rsidR="004767DA" w:rsidRPr="00C3632E" w:rsidRDefault="007A3E8C" w:rsidP="004767DA">
      <w:pPr>
        <w:rPr>
          <w:rFonts w:ascii="Calibri" w:hAnsi="Calibri" w:cs="Calibri"/>
        </w:rPr>
      </w:pPr>
      <w:r>
        <w:rPr>
          <w:rFonts w:ascii="Calibri" w:hAnsi="Calibri" w:cs="Calibri"/>
        </w:rPr>
        <w:t>-</w:t>
      </w:r>
      <w:r w:rsidR="004767DA" w:rsidRPr="00C3632E">
        <w:rPr>
          <w:rFonts w:ascii="Calibri" w:hAnsi="Calibri" w:cs="Calibri"/>
        </w:rPr>
        <w:t>rozkucie i zerwanie nawierzchni,</w:t>
      </w:r>
    </w:p>
    <w:p w:rsidR="004767DA" w:rsidRPr="00C3632E" w:rsidRDefault="007A3E8C" w:rsidP="004767DA">
      <w:pPr>
        <w:rPr>
          <w:rFonts w:ascii="Calibri" w:hAnsi="Calibri" w:cs="Calibri"/>
        </w:rPr>
      </w:pPr>
      <w:r>
        <w:rPr>
          <w:rFonts w:ascii="Calibri" w:hAnsi="Calibri" w:cs="Calibri"/>
        </w:rPr>
        <w:t>-</w:t>
      </w:r>
      <w:r w:rsidR="004767DA" w:rsidRPr="00C3632E">
        <w:rPr>
          <w:rFonts w:ascii="Calibri" w:hAnsi="Calibri" w:cs="Calibri"/>
        </w:rPr>
        <w:t>ew. przesortowanie materiału uzyskanego z rozbiórki, w celu ponownego jej użycia, z ułożeniem na poboczu,</w:t>
      </w:r>
    </w:p>
    <w:p w:rsidR="004767DA" w:rsidRPr="00C3632E" w:rsidRDefault="007A3E8C" w:rsidP="004767DA">
      <w:pPr>
        <w:rPr>
          <w:rFonts w:ascii="Calibri" w:hAnsi="Calibri" w:cs="Calibri"/>
        </w:rPr>
      </w:pPr>
      <w:r>
        <w:rPr>
          <w:rFonts w:ascii="Calibri" w:hAnsi="Calibri" w:cs="Calibri"/>
        </w:rPr>
        <w:t>-</w:t>
      </w:r>
      <w:r w:rsidR="004767DA" w:rsidRPr="00C3632E">
        <w:rPr>
          <w:rFonts w:ascii="Calibri" w:hAnsi="Calibri" w:cs="Calibri"/>
        </w:rPr>
        <w:t>załadunek i wywiezienie materiałów z rozbiórki,</w:t>
      </w:r>
    </w:p>
    <w:p w:rsidR="004767DA" w:rsidRPr="00C3632E" w:rsidRDefault="007A3E8C" w:rsidP="004767DA">
      <w:pPr>
        <w:rPr>
          <w:rFonts w:ascii="Calibri" w:hAnsi="Calibri" w:cs="Calibri"/>
        </w:rPr>
      </w:pPr>
      <w:r>
        <w:rPr>
          <w:rFonts w:ascii="Calibri" w:hAnsi="Calibri" w:cs="Calibri"/>
        </w:rPr>
        <w:t>-</w:t>
      </w:r>
      <w:r w:rsidR="004767DA" w:rsidRPr="00C3632E">
        <w:rPr>
          <w:rFonts w:ascii="Calibri" w:hAnsi="Calibri" w:cs="Calibri"/>
        </w:rPr>
        <w:t>wyrównanie podłoża i uporządkowanie terenu rozbiórki;</w:t>
      </w:r>
    </w:p>
    <w:p w:rsidR="004767DA" w:rsidRPr="00C3632E" w:rsidRDefault="004767DA" w:rsidP="004767DA">
      <w:pPr>
        <w:rPr>
          <w:rFonts w:ascii="Calibri" w:hAnsi="Calibri" w:cs="Calibri"/>
        </w:rPr>
      </w:pPr>
      <w:r w:rsidRPr="00C3632E">
        <w:rPr>
          <w:rFonts w:ascii="Calibri" w:hAnsi="Calibri" w:cs="Calibri"/>
        </w:rPr>
        <w:t>b) dla rozbiórki krawężników, obrzeży i oporników:</w:t>
      </w:r>
    </w:p>
    <w:p w:rsidR="004767DA" w:rsidRPr="00C3632E" w:rsidRDefault="007A3E8C" w:rsidP="004767DA">
      <w:pPr>
        <w:rPr>
          <w:rFonts w:ascii="Calibri" w:hAnsi="Calibri" w:cs="Calibri"/>
        </w:rPr>
      </w:pPr>
      <w:r>
        <w:rPr>
          <w:rFonts w:ascii="Calibri" w:hAnsi="Calibri" w:cs="Calibri"/>
        </w:rPr>
        <w:t>-</w:t>
      </w:r>
      <w:r w:rsidR="004767DA" w:rsidRPr="00C3632E">
        <w:rPr>
          <w:rFonts w:ascii="Calibri" w:hAnsi="Calibri" w:cs="Calibri"/>
        </w:rPr>
        <w:t>odkopanie krawężników, obrzeży i oporników wraz z wyjęciem i oczyszczeniem,</w:t>
      </w:r>
    </w:p>
    <w:p w:rsidR="004767DA" w:rsidRPr="00C3632E" w:rsidRDefault="007A3E8C" w:rsidP="004767DA">
      <w:pPr>
        <w:rPr>
          <w:rFonts w:ascii="Calibri" w:hAnsi="Calibri" w:cs="Calibri"/>
        </w:rPr>
      </w:pPr>
      <w:r>
        <w:rPr>
          <w:rFonts w:ascii="Calibri" w:hAnsi="Calibri" w:cs="Calibri"/>
        </w:rPr>
        <w:t>-</w:t>
      </w:r>
      <w:r w:rsidR="004767DA" w:rsidRPr="00C3632E">
        <w:rPr>
          <w:rFonts w:ascii="Calibri" w:hAnsi="Calibri" w:cs="Calibri"/>
        </w:rPr>
        <w:t>zerwanie podsypki cementowo-piaskowej i ew. ław,</w:t>
      </w:r>
    </w:p>
    <w:p w:rsidR="004767DA" w:rsidRPr="00C3632E" w:rsidRDefault="007A3E8C" w:rsidP="004767DA">
      <w:pPr>
        <w:rPr>
          <w:rFonts w:ascii="Calibri" w:hAnsi="Calibri" w:cs="Calibri"/>
        </w:rPr>
      </w:pPr>
      <w:r>
        <w:rPr>
          <w:rFonts w:ascii="Calibri" w:hAnsi="Calibri" w:cs="Calibri"/>
        </w:rPr>
        <w:t>-</w:t>
      </w:r>
      <w:r w:rsidR="004767DA" w:rsidRPr="00C3632E">
        <w:rPr>
          <w:rFonts w:ascii="Calibri" w:hAnsi="Calibri" w:cs="Calibri"/>
        </w:rPr>
        <w:t>załadunek i wywiezienie materiału z rozbiórki,</w:t>
      </w:r>
    </w:p>
    <w:p w:rsidR="004767DA" w:rsidRPr="00C3632E" w:rsidRDefault="007A3E8C" w:rsidP="004767DA">
      <w:pPr>
        <w:rPr>
          <w:rFonts w:ascii="Calibri" w:hAnsi="Calibri" w:cs="Calibri"/>
        </w:rPr>
      </w:pPr>
      <w:r>
        <w:rPr>
          <w:rFonts w:ascii="Calibri" w:hAnsi="Calibri" w:cs="Calibri"/>
        </w:rPr>
        <w:t>-</w:t>
      </w:r>
      <w:r w:rsidR="004767DA" w:rsidRPr="00C3632E">
        <w:rPr>
          <w:rFonts w:ascii="Calibri" w:hAnsi="Calibri" w:cs="Calibri"/>
        </w:rPr>
        <w:t>wyrównanie podłoża i uporządkowanie terenu rozbiórki;</w:t>
      </w:r>
    </w:p>
    <w:p w:rsidR="004767DA" w:rsidRPr="00C3632E" w:rsidRDefault="00DD5715" w:rsidP="004767DA">
      <w:pPr>
        <w:rPr>
          <w:rFonts w:ascii="Calibri" w:hAnsi="Calibri" w:cs="Calibri"/>
        </w:rPr>
      </w:pPr>
      <w:r>
        <w:rPr>
          <w:rFonts w:ascii="Calibri" w:hAnsi="Calibri" w:cs="Calibri"/>
        </w:rPr>
        <w:t>c</w:t>
      </w:r>
      <w:r w:rsidR="004767DA" w:rsidRPr="00C3632E">
        <w:rPr>
          <w:rFonts w:ascii="Calibri" w:hAnsi="Calibri" w:cs="Calibri"/>
        </w:rPr>
        <w:t>) dla rozbiórki chodników:</w:t>
      </w:r>
    </w:p>
    <w:p w:rsidR="004767DA" w:rsidRPr="00C3632E" w:rsidRDefault="007A3E8C" w:rsidP="004767DA">
      <w:pPr>
        <w:rPr>
          <w:rFonts w:ascii="Calibri" w:hAnsi="Calibri" w:cs="Calibri"/>
        </w:rPr>
      </w:pPr>
      <w:r>
        <w:rPr>
          <w:rFonts w:ascii="Calibri" w:hAnsi="Calibri" w:cs="Calibri"/>
        </w:rPr>
        <w:t>-</w:t>
      </w:r>
      <w:r w:rsidR="004767DA" w:rsidRPr="00C3632E">
        <w:rPr>
          <w:rFonts w:ascii="Calibri" w:hAnsi="Calibri" w:cs="Calibri"/>
        </w:rPr>
        <w:t>ręczne wyjęcie płyt chodnikowych, lub rozkucie i zerwanie innych materiałów chodnikowych,</w:t>
      </w:r>
    </w:p>
    <w:p w:rsidR="004767DA" w:rsidRPr="00C3632E" w:rsidRDefault="007A3E8C" w:rsidP="004767DA">
      <w:pPr>
        <w:rPr>
          <w:rFonts w:ascii="Calibri" w:hAnsi="Calibri" w:cs="Calibri"/>
        </w:rPr>
      </w:pPr>
      <w:r>
        <w:rPr>
          <w:rFonts w:ascii="Calibri" w:hAnsi="Calibri" w:cs="Calibri"/>
        </w:rPr>
        <w:t>-</w:t>
      </w:r>
      <w:r w:rsidR="004767DA" w:rsidRPr="00C3632E">
        <w:rPr>
          <w:rFonts w:ascii="Calibri" w:hAnsi="Calibri" w:cs="Calibri"/>
        </w:rPr>
        <w:t>ew. przesortowanie materiału uzyskanego z rozbiórki w celu ponownego jego użycia, z ułożeniem na poboczu,</w:t>
      </w:r>
    </w:p>
    <w:p w:rsidR="004767DA" w:rsidRPr="00C3632E" w:rsidRDefault="007A3E8C" w:rsidP="004767DA">
      <w:pPr>
        <w:rPr>
          <w:rFonts w:ascii="Calibri" w:hAnsi="Calibri" w:cs="Calibri"/>
        </w:rPr>
      </w:pPr>
      <w:r>
        <w:rPr>
          <w:rFonts w:ascii="Calibri" w:hAnsi="Calibri" w:cs="Calibri"/>
        </w:rPr>
        <w:t>-</w:t>
      </w:r>
      <w:r w:rsidR="004767DA" w:rsidRPr="00C3632E">
        <w:rPr>
          <w:rFonts w:ascii="Calibri" w:hAnsi="Calibri" w:cs="Calibri"/>
        </w:rPr>
        <w:t>zerwanie podsypki cementowo-piaskowej,</w:t>
      </w:r>
    </w:p>
    <w:p w:rsidR="004767DA" w:rsidRPr="00C3632E" w:rsidRDefault="007A3E8C" w:rsidP="004767DA">
      <w:pPr>
        <w:rPr>
          <w:rFonts w:ascii="Calibri" w:hAnsi="Calibri" w:cs="Calibri"/>
        </w:rPr>
      </w:pPr>
      <w:r>
        <w:rPr>
          <w:rFonts w:ascii="Calibri" w:hAnsi="Calibri" w:cs="Calibri"/>
        </w:rPr>
        <w:lastRenderedPageBreak/>
        <w:t>-</w:t>
      </w:r>
      <w:r w:rsidR="004767DA" w:rsidRPr="00C3632E">
        <w:rPr>
          <w:rFonts w:ascii="Calibri" w:hAnsi="Calibri" w:cs="Calibri"/>
        </w:rPr>
        <w:t>załadunek i wywiezienie materiałów z rozbiórki,</w:t>
      </w:r>
    </w:p>
    <w:p w:rsidR="004767DA" w:rsidRPr="00C3632E" w:rsidRDefault="007A3E8C" w:rsidP="004767DA">
      <w:pPr>
        <w:rPr>
          <w:rFonts w:ascii="Calibri" w:hAnsi="Calibri" w:cs="Calibri"/>
        </w:rPr>
      </w:pPr>
      <w:r>
        <w:rPr>
          <w:rFonts w:ascii="Calibri" w:hAnsi="Calibri" w:cs="Calibri"/>
        </w:rPr>
        <w:t>-</w:t>
      </w:r>
      <w:r w:rsidR="004767DA" w:rsidRPr="00C3632E">
        <w:rPr>
          <w:rFonts w:ascii="Calibri" w:hAnsi="Calibri" w:cs="Calibri"/>
        </w:rPr>
        <w:t>wyrównanie podłoża i uporządkowanie terenu rozbiórki;</w:t>
      </w:r>
    </w:p>
    <w:p w:rsidR="004767DA" w:rsidRPr="00C3632E" w:rsidRDefault="00DD5715" w:rsidP="004767DA">
      <w:pPr>
        <w:rPr>
          <w:rFonts w:ascii="Calibri" w:hAnsi="Calibri" w:cs="Calibri"/>
        </w:rPr>
      </w:pPr>
      <w:r>
        <w:rPr>
          <w:rFonts w:ascii="Calibri" w:hAnsi="Calibri" w:cs="Calibri"/>
        </w:rPr>
        <w:t>d</w:t>
      </w:r>
      <w:r w:rsidR="004767DA" w:rsidRPr="00C3632E">
        <w:rPr>
          <w:rFonts w:ascii="Calibri" w:hAnsi="Calibri" w:cs="Calibri"/>
        </w:rPr>
        <w:t>) dla rozbiórki znaków drogowych:</w:t>
      </w:r>
    </w:p>
    <w:p w:rsidR="004767DA" w:rsidRPr="00C3632E" w:rsidRDefault="007A3E8C" w:rsidP="004767DA">
      <w:pPr>
        <w:rPr>
          <w:rFonts w:ascii="Calibri" w:hAnsi="Calibri" w:cs="Calibri"/>
        </w:rPr>
      </w:pPr>
      <w:r>
        <w:rPr>
          <w:rFonts w:ascii="Calibri" w:hAnsi="Calibri" w:cs="Calibri"/>
        </w:rPr>
        <w:t>-</w:t>
      </w:r>
      <w:r w:rsidR="004767DA" w:rsidRPr="00C3632E">
        <w:rPr>
          <w:rFonts w:ascii="Calibri" w:hAnsi="Calibri" w:cs="Calibri"/>
        </w:rPr>
        <w:t>demontaż tablic znaków drogowych ze słupków,</w:t>
      </w:r>
    </w:p>
    <w:p w:rsidR="004767DA" w:rsidRPr="00C3632E" w:rsidRDefault="007A3E8C" w:rsidP="004767DA">
      <w:pPr>
        <w:rPr>
          <w:rFonts w:ascii="Calibri" w:hAnsi="Calibri" w:cs="Calibri"/>
        </w:rPr>
      </w:pPr>
      <w:r>
        <w:rPr>
          <w:rFonts w:ascii="Calibri" w:hAnsi="Calibri" w:cs="Calibri"/>
        </w:rPr>
        <w:t>-</w:t>
      </w:r>
      <w:r w:rsidR="004767DA" w:rsidRPr="00C3632E">
        <w:rPr>
          <w:rFonts w:ascii="Calibri" w:hAnsi="Calibri" w:cs="Calibri"/>
        </w:rPr>
        <w:t>odkopanie i wydobycie słupków,</w:t>
      </w:r>
    </w:p>
    <w:p w:rsidR="004767DA" w:rsidRPr="00C3632E" w:rsidRDefault="007A3E8C" w:rsidP="004767DA">
      <w:pPr>
        <w:rPr>
          <w:rFonts w:ascii="Calibri" w:hAnsi="Calibri" w:cs="Calibri"/>
        </w:rPr>
      </w:pPr>
      <w:r>
        <w:rPr>
          <w:rFonts w:ascii="Calibri" w:hAnsi="Calibri" w:cs="Calibri"/>
        </w:rPr>
        <w:t>-</w:t>
      </w:r>
      <w:r w:rsidR="004767DA" w:rsidRPr="00C3632E">
        <w:rPr>
          <w:rFonts w:ascii="Calibri" w:hAnsi="Calibri" w:cs="Calibri"/>
        </w:rPr>
        <w:t xml:space="preserve">zasypanie dołów po słupkach wraz z zagęszczeniem do uzyskania Is </w:t>
      </w:r>
      <w:r w:rsidR="004767DA" w:rsidRPr="00C3632E">
        <w:rPr>
          <w:rFonts w:ascii="Calibri" w:hAnsi="Calibri" w:cs="Calibri"/>
        </w:rPr>
        <w:sym w:font="Symbol" w:char="F0B3"/>
      </w:r>
      <w:r w:rsidR="004767DA" w:rsidRPr="00C3632E">
        <w:rPr>
          <w:rFonts w:ascii="Calibri" w:hAnsi="Calibri" w:cs="Calibri"/>
        </w:rPr>
        <w:t xml:space="preserve"> 1,00 wg BN-77/8931-12 [9],</w:t>
      </w:r>
    </w:p>
    <w:p w:rsidR="004767DA" w:rsidRPr="00C3632E" w:rsidRDefault="007A3E8C" w:rsidP="004767DA">
      <w:pPr>
        <w:rPr>
          <w:rFonts w:ascii="Calibri" w:hAnsi="Calibri" w:cs="Calibri"/>
        </w:rPr>
      </w:pPr>
      <w:r>
        <w:rPr>
          <w:rFonts w:ascii="Calibri" w:hAnsi="Calibri" w:cs="Calibri"/>
        </w:rPr>
        <w:t>-</w:t>
      </w:r>
      <w:r w:rsidR="004767DA" w:rsidRPr="00C3632E">
        <w:rPr>
          <w:rFonts w:ascii="Calibri" w:hAnsi="Calibri" w:cs="Calibri"/>
        </w:rPr>
        <w:t>załadunek i wywiezienie materiałów z rozbiórki,</w:t>
      </w:r>
    </w:p>
    <w:p w:rsidR="004767DA" w:rsidRPr="00C3632E" w:rsidRDefault="007A3E8C" w:rsidP="004767DA">
      <w:pPr>
        <w:rPr>
          <w:rFonts w:ascii="Calibri" w:hAnsi="Calibri" w:cs="Calibri"/>
        </w:rPr>
      </w:pPr>
      <w:r>
        <w:rPr>
          <w:rFonts w:ascii="Calibri" w:hAnsi="Calibri" w:cs="Calibri"/>
        </w:rPr>
        <w:t>-</w:t>
      </w:r>
      <w:r w:rsidR="00DD5715">
        <w:rPr>
          <w:rFonts w:ascii="Calibri" w:hAnsi="Calibri" w:cs="Calibri"/>
        </w:rPr>
        <w:t>uporządkowanie terenu rozbiórki.</w:t>
      </w:r>
    </w:p>
    <w:p w:rsidR="004767DA" w:rsidRPr="00C3632E" w:rsidRDefault="004767DA" w:rsidP="004767DA">
      <w:pPr>
        <w:rPr>
          <w:rFonts w:ascii="Calibri" w:hAnsi="Calibri" w:cs="Calibri"/>
        </w:rPr>
      </w:pPr>
    </w:p>
    <w:p w:rsidR="004767DA" w:rsidRPr="00D452A9" w:rsidRDefault="004767DA" w:rsidP="004767DA">
      <w:pPr>
        <w:rPr>
          <w:rFonts w:ascii="Calibri" w:hAnsi="Calibri" w:cs="Calibri"/>
          <w:b/>
        </w:rPr>
      </w:pPr>
      <w:r w:rsidRPr="00D452A9">
        <w:rPr>
          <w:rFonts w:ascii="Calibri" w:hAnsi="Calibri" w:cs="Calibri"/>
          <w:b/>
        </w:rPr>
        <w:t>10. PRZEPISY ZWIĄZANE</w:t>
      </w:r>
    </w:p>
    <w:p w:rsidR="004767DA" w:rsidRPr="00C3632E" w:rsidRDefault="004767DA" w:rsidP="004767DA">
      <w:pPr>
        <w:rPr>
          <w:rFonts w:ascii="Calibri" w:hAnsi="Calibri" w:cs="Calibri"/>
        </w:rPr>
      </w:pPr>
      <w:r w:rsidRPr="00C3632E">
        <w:rPr>
          <w:rFonts w:ascii="Calibri" w:hAnsi="Calibri" w:cs="Calibri"/>
        </w:rPr>
        <w:t>Normy</w:t>
      </w:r>
    </w:p>
    <w:tbl>
      <w:tblPr>
        <w:tblW w:w="0" w:type="auto"/>
        <w:tblLayout w:type="fixed"/>
        <w:tblCellMar>
          <w:left w:w="70" w:type="dxa"/>
          <w:right w:w="70" w:type="dxa"/>
        </w:tblCellMar>
        <w:tblLook w:val="0000"/>
      </w:tblPr>
      <w:tblGrid>
        <w:gridCol w:w="496"/>
        <w:gridCol w:w="2551"/>
        <w:gridCol w:w="4394"/>
      </w:tblGrid>
      <w:tr w:rsidR="004767DA" w:rsidRPr="009457E6" w:rsidTr="00FD47C7">
        <w:tc>
          <w:tcPr>
            <w:tcW w:w="496" w:type="dxa"/>
          </w:tcPr>
          <w:p w:rsidR="004767DA" w:rsidRPr="009457E6" w:rsidRDefault="00DD5715" w:rsidP="004767DA">
            <w:pPr>
              <w:tabs>
                <w:tab w:val="right" w:leader="dot" w:pos="-1985"/>
                <w:tab w:val="left" w:pos="426"/>
                <w:tab w:val="right" w:leader="dot" w:pos="8505"/>
              </w:tabs>
              <w:jc w:val="center"/>
              <w:rPr>
                <w:rFonts w:ascii="Calibri" w:hAnsi="Calibri" w:cs="Calibri"/>
              </w:rPr>
            </w:pPr>
            <w:r>
              <w:rPr>
                <w:rFonts w:ascii="Calibri" w:hAnsi="Calibri" w:cs="Calibri"/>
              </w:rPr>
              <w:t>1</w:t>
            </w:r>
            <w:r w:rsidR="004767DA" w:rsidRPr="009457E6">
              <w:rPr>
                <w:rFonts w:ascii="Calibri" w:hAnsi="Calibri" w:cs="Calibri"/>
              </w:rPr>
              <w:t>.</w:t>
            </w:r>
          </w:p>
        </w:tc>
        <w:tc>
          <w:tcPr>
            <w:tcW w:w="2551" w:type="dxa"/>
          </w:tcPr>
          <w:p w:rsidR="004767DA" w:rsidRPr="009457E6" w:rsidRDefault="004767DA" w:rsidP="004767DA">
            <w:pPr>
              <w:tabs>
                <w:tab w:val="right" w:leader="dot" w:pos="-1985"/>
                <w:tab w:val="left" w:pos="426"/>
                <w:tab w:val="right" w:leader="dot" w:pos="8505"/>
              </w:tabs>
              <w:rPr>
                <w:rFonts w:ascii="Calibri" w:hAnsi="Calibri" w:cs="Calibri"/>
              </w:rPr>
            </w:pPr>
            <w:r w:rsidRPr="009457E6">
              <w:rPr>
                <w:rFonts w:ascii="Calibri" w:hAnsi="Calibri" w:cs="Calibri"/>
              </w:rPr>
              <w:t>BN-77/8931-12</w:t>
            </w:r>
          </w:p>
        </w:tc>
        <w:tc>
          <w:tcPr>
            <w:tcW w:w="4394" w:type="dxa"/>
          </w:tcPr>
          <w:p w:rsidR="004767DA" w:rsidRPr="009457E6" w:rsidRDefault="004767DA" w:rsidP="004767DA">
            <w:pPr>
              <w:tabs>
                <w:tab w:val="right" w:leader="dot" w:pos="-1985"/>
                <w:tab w:val="left" w:pos="426"/>
                <w:tab w:val="right" w:leader="dot" w:pos="8505"/>
              </w:tabs>
              <w:rPr>
                <w:rFonts w:ascii="Calibri" w:hAnsi="Calibri" w:cs="Calibri"/>
              </w:rPr>
            </w:pPr>
            <w:r w:rsidRPr="009457E6">
              <w:rPr>
                <w:rFonts w:ascii="Calibri" w:hAnsi="Calibri" w:cs="Calibri"/>
              </w:rPr>
              <w:t>Oznaczenie wskaźnika zagęszczenia gruntu.</w:t>
            </w:r>
          </w:p>
        </w:tc>
      </w:tr>
    </w:tbl>
    <w:p w:rsidR="00E151AC" w:rsidRDefault="00E151AC" w:rsidP="004767DA"/>
    <w:p w:rsidR="004767DA" w:rsidRDefault="004767DA" w:rsidP="004767DA"/>
    <w:p w:rsidR="004767DA" w:rsidRDefault="004767DA" w:rsidP="004767DA"/>
    <w:p w:rsidR="004767DA" w:rsidRDefault="004767DA" w:rsidP="004767DA"/>
    <w:p w:rsidR="004767DA" w:rsidRDefault="004767DA" w:rsidP="004767DA"/>
    <w:p w:rsidR="004767DA" w:rsidRDefault="004767DA" w:rsidP="004767DA"/>
    <w:p w:rsidR="004767DA" w:rsidRDefault="004767DA" w:rsidP="004767DA"/>
    <w:p w:rsidR="004767DA" w:rsidRDefault="004767DA" w:rsidP="004767DA"/>
    <w:p w:rsidR="007A3E8C" w:rsidRDefault="007A3E8C" w:rsidP="004767DA"/>
    <w:p w:rsidR="007A3E8C" w:rsidRDefault="007A3E8C" w:rsidP="004767DA"/>
    <w:p w:rsidR="007A3E8C" w:rsidRDefault="007A3E8C" w:rsidP="004767DA"/>
    <w:p w:rsidR="007A3E8C" w:rsidRDefault="007A3E8C" w:rsidP="004767DA"/>
    <w:p w:rsidR="007A3E8C" w:rsidRDefault="007A3E8C" w:rsidP="004767DA"/>
    <w:p w:rsidR="007A3E8C" w:rsidRDefault="007A3E8C" w:rsidP="004767DA"/>
    <w:p w:rsidR="007A3E8C" w:rsidRDefault="007A3E8C" w:rsidP="004767DA"/>
    <w:p w:rsidR="007A3E8C" w:rsidRDefault="007A3E8C" w:rsidP="004767DA"/>
    <w:p w:rsidR="007A3E8C" w:rsidRDefault="007A3E8C" w:rsidP="004767DA"/>
    <w:p w:rsidR="007A3E8C" w:rsidRDefault="007A3E8C" w:rsidP="004767DA"/>
    <w:p w:rsidR="007A3E8C" w:rsidRDefault="007A3E8C" w:rsidP="004767DA"/>
    <w:p w:rsidR="007A3E8C" w:rsidRDefault="007A3E8C" w:rsidP="004767DA"/>
    <w:p w:rsidR="007A3E8C" w:rsidRDefault="007A3E8C" w:rsidP="004767DA"/>
    <w:p w:rsidR="007A3E8C" w:rsidRDefault="007A3E8C" w:rsidP="004767DA"/>
    <w:p w:rsidR="007A3E8C" w:rsidRDefault="007A3E8C" w:rsidP="004767DA"/>
    <w:p w:rsidR="007A3E8C" w:rsidRDefault="007A3E8C" w:rsidP="004767DA"/>
    <w:p w:rsidR="007A3E8C" w:rsidRDefault="007A3E8C" w:rsidP="004767DA"/>
    <w:p w:rsidR="007A3E8C" w:rsidRDefault="007A3E8C" w:rsidP="004767DA"/>
    <w:p w:rsidR="007A3E8C" w:rsidRDefault="007A3E8C" w:rsidP="004767DA"/>
    <w:p w:rsidR="007A3E8C" w:rsidRDefault="007A3E8C" w:rsidP="004767DA"/>
    <w:p w:rsidR="007A3E8C" w:rsidRDefault="007A3E8C" w:rsidP="004767DA"/>
    <w:p w:rsidR="007A3E8C" w:rsidRDefault="007A3E8C" w:rsidP="004767DA"/>
    <w:p w:rsidR="007A3E8C" w:rsidRDefault="007A3E8C" w:rsidP="004767DA"/>
    <w:p w:rsidR="00D30B13" w:rsidRDefault="00D30B13" w:rsidP="007A3E8C">
      <w:pPr>
        <w:pStyle w:val="Nagwek4"/>
        <w:jc w:val="center"/>
      </w:pPr>
    </w:p>
    <w:p w:rsidR="00D30B13" w:rsidRDefault="00D30B13" w:rsidP="007A3E8C">
      <w:pPr>
        <w:pStyle w:val="Nagwek4"/>
        <w:jc w:val="center"/>
      </w:pPr>
    </w:p>
    <w:p w:rsidR="00D30B13" w:rsidRDefault="00D30B13" w:rsidP="007A3E8C">
      <w:pPr>
        <w:pStyle w:val="Nagwek4"/>
        <w:jc w:val="center"/>
      </w:pPr>
    </w:p>
    <w:p w:rsidR="00DD5715" w:rsidRDefault="00DD5715" w:rsidP="00DD5715"/>
    <w:p w:rsidR="00DD5715" w:rsidRDefault="00DD5715" w:rsidP="00DD5715"/>
    <w:p w:rsidR="00DD5715" w:rsidRDefault="00DD5715" w:rsidP="00DD5715"/>
    <w:p w:rsidR="00DD5715" w:rsidRDefault="00DD5715" w:rsidP="00DD5715"/>
    <w:p w:rsidR="00DD5715" w:rsidRDefault="00DD5715" w:rsidP="00DD5715"/>
    <w:p w:rsidR="00DD5715" w:rsidRDefault="00DD5715" w:rsidP="00DD5715"/>
    <w:p w:rsidR="00DD5715" w:rsidRDefault="00DD5715" w:rsidP="00DD5715"/>
    <w:p w:rsidR="00DD5715" w:rsidRDefault="00DD5715" w:rsidP="00DD5715"/>
    <w:p w:rsidR="00DD5715" w:rsidRDefault="00DD5715" w:rsidP="00DD5715"/>
    <w:p w:rsidR="00DD5715" w:rsidRDefault="00DD5715" w:rsidP="00DD5715"/>
    <w:p w:rsidR="00DD5715" w:rsidRDefault="00DD5715" w:rsidP="00DD5715"/>
    <w:p w:rsidR="00DD5715" w:rsidRDefault="00DD5715" w:rsidP="00DD5715"/>
    <w:p w:rsidR="00DD5715" w:rsidRDefault="00DD5715" w:rsidP="00DD5715"/>
    <w:p w:rsidR="00DD5715" w:rsidRDefault="00DD5715" w:rsidP="00DD5715"/>
    <w:p w:rsidR="00DD5715" w:rsidRDefault="00DD5715" w:rsidP="00DD5715"/>
    <w:p w:rsidR="00DD5715" w:rsidRDefault="00DD5715" w:rsidP="00DD5715"/>
    <w:p w:rsidR="00DD5715" w:rsidRDefault="00DD5715" w:rsidP="00DD5715"/>
    <w:p w:rsidR="00DD5715" w:rsidRDefault="00DD5715" w:rsidP="00DD5715"/>
    <w:p w:rsidR="00DD5715" w:rsidRDefault="00DD5715" w:rsidP="00DD5715"/>
    <w:p w:rsidR="000C27BF" w:rsidRDefault="000C27BF" w:rsidP="00DD5715"/>
    <w:p w:rsidR="000C27BF" w:rsidRDefault="000C27BF" w:rsidP="00DD5715"/>
    <w:p w:rsidR="000C27BF" w:rsidRDefault="000C27BF" w:rsidP="00DD5715"/>
    <w:p w:rsidR="000C27BF" w:rsidRDefault="000C27BF" w:rsidP="00DD5715"/>
    <w:p w:rsidR="000C27BF" w:rsidRPr="00DD5715" w:rsidRDefault="000C27BF" w:rsidP="00DD5715"/>
    <w:p w:rsidR="00D30B13" w:rsidRDefault="00D30B13" w:rsidP="007A3E8C">
      <w:pPr>
        <w:pStyle w:val="Nagwek4"/>
        <w:jc w:val="center"/>
      </w:pPr>
    </w:p>
    <w:p w:rsidR="00D30B13" w:rsidRDefault="00D30B13" w:rsidP="007A3E8C">
      <w:pPr>
        <w:pStyle w:val="Nagwek4"/>
        <w:jc w:val="center"/>
      </w:pPr>
    </w:p>
    <w:p w:rsidR="00AB6A92" w:rsidRPr="00B67CD4" w:rsidRDefault="00417278" w:rsidP="00D01561">
      <w:pPr>
        <w:pStyle w:val="Nagwek1"/>
        <w:jc w:val="center"/>
      </w:pPr>
      <w:bookmarkStart w:id="356" w:name="_Toc438237718"/>
      <w:r>
        <w:t>D</w:t>
      </w:r>
      <w:r w:rsidR="00AB6A92" w:rsidRPr="00B67CD4">
        <w:t>-02.00.00</w:t>
      </w:r>
      <w:r>
        <w:t xml:space="preserve"> </w:t>
      </w:r>
      <w:r w:rsidR="00FD47C7">
        <w:t xml:space="preserve"> ROBOTY </w:t>
      </w:r>
      <w:r w:rsidR="00AB6A92" w:rsidRPr="00B67CD4">
        <w:t>ZIEMNE</w:t>
      </w:r>
      <w:bookmarkEnd w:id="356"/>
    </w:p>
    <w:p w:rsidR="00D30B13" w:rsidRDefault="00D30B13" w:rsidP="00FD47C7">
      <w:pPr>
        <w:pStyle w:val="Nagwek4"/>
      </w:pPr>
    </w:p>
    <w:p w:rsidR="00D30B13" w:rsidRDefault="00D30B13" w:rsidP="00FD47C7">
      <w:pPr>
        <w:pStyle w:val="Nagwek4"/>
      </w:pPr>
    </w:p>
    <w:p w:rsidR="00D30B13" w:rsidRDefault="00D30B13" w:rsidP="00FD47C7">
      <w:pPr>
        <w:pStyle w:val="Nagwek4"/>
      </w:pPr>
    </w:p>
    <w:p w:rsidR="00D30B13" w:rsidRDefault="00D30B13" w:rsidP="00FD47C7">
      <w:pPr>
        <w:pStyle w:val="Nagwek4"/>
      </w:pPr>
    </w:p>
    <w:p w:rsidR="00D30B13" w:rsidRDefault="00D30B13" w:rsidP="00FD47C7">
      <w:pPr>
        <w:pStyle w:val="Nagwek4"/>
      </w:pPr>
    </w:p>
    <w:p w:rsidR="00D30B13" w:rsidRDefault="00D30B13" w:rsidP="00FD47C7">
      <w:pPr>
        <w:pStyle w:val="Nagwek4"/>
      </w:pPr>
    </w:p>
    <w:p w:rsidR="00D30B13" w:rsidRDefault="00D30B13" w:rsidP="00FD47C7">
      <w:pPr>
        <w:pStyle w:val="Nagwek4"/>
      </w:pPr>
    </w:p>
    <w:p w:rsidR="00D30B13" w:rsidRDefault="00D30B13" w:rsidP="00FD47C7">
      <w:pPr>
        <w:pStyle w:val="Nagwek4"/>
      </w:pPr>
    </w:p>
    <w:p w:rsidR="00D30B13" w:rsidRDefault="00D30B13" w:rsidP="00FD47C7">
      <w:pPr>
        <w:pStyle w:val="Nagwek4"/>
      </w:pPr>
    </w:p>
    <w:p w:rsidR="00D30B13" w:rsidRDefault="00D30B13" w:rsidP="00FD47C7">
      <w:pPr>
        <w:pStyle w:val="Nagwek4"/>
      </w:pPr>
    </w:p>
    <w:p w:rsidR="00D30B13" w:rsidRDefault="00D30B13" w:rsidP="00FD47C7">
      <w:pPr>
        <w:pStyle w:val="Nagwek4"/>
      </w:pPr>
    </w:p>
    <w:p w:rsidR="00D30B13" w:rsidRDefault="00D30B13" w:rsidP="00FD47C7">
      <w:pPr>
        <w:pStyle w:val="Nagwek4"/>
      </w:pPr>
    </w:p>
    <w:p w:rsidR="00D30B13" w:rsidRDefault="00D30B13" w:rsidP="00FD47C7">
      <w:pPr>
        <w:pStyle w:val="Nagwek4"/>
      </w:pPr>
    </w:p>
    <w:p w:rsidR="00D30B13" w:rsidRDefault="00D30B13" w:rsidP="00FD47C7">
      <w:pPr>
        <w:pStyle w:val="Nagwek4"/>
      </w:pPr>
    </w:p>
    <w:p w:rsidR="00D30B13" w:rsidRDefault="00D30B13" w:rsidP="00FD47C7">
      <w:pPr>
        <w:pStyle w:val="Nagwek4"/>
      </w:pPr>
    </w:p>
    <w:p w:rsidR="00D30B13" w:rsidRDefault="00D30B13" w:rsidP="00D30B13"/>
    <w:p w:rsidR="00D30B13" w:rsidRDefault="00D30B13" w:rsidP="00D30B13"/>
    <w:p w:rsidR="00D30B13" w:rsidRDefault="00D30B13" w:rsidP="00D30B13"/>
    <w:p w:rsidR="00D30B13" w:rsidRDefault="00D30B13" w:rsidP="00D30B13"/>
    <w:p w:rsidR="00D30B13" w:rsidRDefault="00D30B13" w:rsidP="00D30B13"/>
    <w:p w:rsidR="00D30B13" w:rsidRDefault="00D30B13" w:rsidP="00D30B13"/>
    <w:p w:rsidR="00D30B13" w:rsidRDefault="00D30B13" w:rsidP="00D30B13"/>
    <w:p w:rsidR="00D30B13" w:rsidRDefault="00D30B13" w:rsidP="00D30B13"/>
    <w:p w:rsidR="00D30B13" w:rsidRDefault="00D30B13" w:rsidP="00D30B13"/>
    <w:p w:rsidR="00D30B13" w:rsidRDefault="00D30B13" w:rsidP="00D30B13"/>
    <w:p w:rsidR="00D30B13" w:rsidRDefault="00D30B13" w:rsidP="00D30B13"/>
    <w:p w:rsidR="00D30B13" w:rsidRDefault="00D30B13" w:rsidP="00D30B13"/>
    <w:p w:rsidR="00D30B13" w:rsidRDefault="00D30B13" w:rsidP="00D30B13"/>
    <w:p w:rsidR="00D30B13" w:rsidRDefault="00D30B13" w:rsidP="00D30B13"/>
    <w:p w:rsidR="00D30B13" w:rsidRDefault="00D30B13" w:rsidP="00D30B13"/>
    <w:p w:rsidR="00D30B13" w:rsidRDefault="00D30B13" w:rsidP="00D30B13"/>
    <w:p w:rsidR="00D30B13" w:rsidRDefault="00D30B13" w:rsidP="00D30B13"/>
    <w:p w:rsidR="00D30B13" w:rsidRDefault="00D30B13" w:rsidP="00D30B13"/>
    <w:p w:rsidR="000C27BF" w:rsidRDefault="000C27BF" w:rsidP="00D30B13"/>
    <w:p w:rsidR="000C27BF" w:rsidRDefault="000C27BF" w:rsidP="00D30B13"/>
    <w:p w:rsidR="000C27BF" w:rsidRDefault="000C27BF" w:rsidP="00D30B13"/>
    <w:p w:rsidR="00D30B13" w:rsidRDefault="00D30B13" w:rsidP="00D30B13"/>
    <w:p w:rsidR="00D30B13" w:rsidRDefault="00D30B13" w:rsidP="00D30B13"/>
    <w:p w:rsidR="00D01561" w:rsidRDefault="00D01561" w:rsidP="00D30B13"/>
    <w:p w:rsidR="00D30B13" w:rsidRPr="00D30B13" w:rsidRDefault="00D30B13" w:rsidP="00D30B13"/>
    <w:p w:rsidR="00AB6A92" w:rsidRPr="00B67CD4" w:rsidRDefault="00AB6A92" w:rsidP="00D01561">
      <w:pPr>
        <w:pStyle w:val="Nagwek1"/>
        <w:jc w:val="center"/>
      </w:pPr>
      <w:bookmarkStart w:id="357" w:name="_Toc438237719"/>
      <w:r w:rsidRPr="00B67CD4">
        <w:t>D-02.00.01</w:t>
      </w:r>
      <w:r w:rsidR="00417278">
        <w:t xml:space="preserve"> </w:t>
      </w:r>
      <w:r w:rsidR="00FD47C7">
        <w:t xml:space="preserve"> ROBOTY ZIEMNE. WYMAGANIA </w:t>
      </w:r>
      <w:r w:rsidRPr="00B67CD4">
        <w:t>OGÓLNE</w:t>
      </w:r>
      <w:bookmarkEnd w:id="357"/>
    </w:p>
    <w:p w:rsidR="00AB6A92" w:rsidRPr="00B67CD4" w:rsidRDefault="00AB6A92" w:rsidP="00AB6A92">
      <w:pPr>
        <w:rPr>
          <w:rFonts w:ascii="Calibri" w:hAnsi="Calibri"/>
        </w:rPr>
      </w:pPr>
    </w:p>
    <w:p w:rsidR="00AB6A92" w:rsidRPr="00B67CD4" w:rsidRDefault="00AB6A92" w:rsidP="00AB6A92">
      <w:pPr>
        <w:rPr>
          <w:rFonts w:ascii="Calibri" w:hAnsi="Calibri"/>
        </w:rPr>
      </w:pPr>
    </w:p>
    <w:p w:rsidR="00AB6A92" w:rsidRPr="00B67CD4" w:rsidRDefault="00AB6A92" w:rsidP="00AB6A92">
      <w:pPr>
        <w:rPr>
          <w:rFonts w:ascii="Calibri" w:hAnsi="Calibri"/>
        </w:rPr>
      </w:pPr>
    </w:p>
    <w:p w:rsidR="00AB6A92" w:rsidRPr="00B67CD4" w:rsidRDefault="00AB6A92" w:rsidP="00AB6A92">
      <w:pPr>
        <w:rPr>
          <w:rFonts w:ascii="Calibri" w:hAnsi="Calibri"/>
        </w:rPr>
      </w:pPr>
    </w:p>
    <w:p w:rsidR="00AB6A92" w:rsidRPr="00B67CD4" w:rsidRDefault="00AB6A92" w:rsidP="00AB6A92">
      <w:pPr>
        <w:rPr>
          <w:rFonts w:ascii="Calibri" w:hAnsi="Calibri"/>
        </w:rPr>
      </w:pPr>
    </w:p>
    <w:p w:rsidR="00AB6A92" w:rsidRPr="00B67CD4" w:rsidRDefault="00AB6A92" w:rsidP="00AB6A92">
      <w:pPr>
        <w:rPr>
          <w:rFonts w:ascii="Calibri" w:hAnsi="Calibri"/>
        </w:rPr>
      </w:pPr>
    </w:p>
    <w:p w:rsidR="00AB6A92" w:rsidRPr="00B67CD4" w:rsidRDefault="00AB6A92" w:rsidP="00AB6A92">
      <w:pPr>
        <w:rPr>
          <w:rFonts w:ascii="Calibri" w:hAnsi="Calibri"/>
        </w:rPr>
      </w:pPr>
    </w:p>
    <w:p w:rsidR="00AB6A92" w:rsidRDefault="00AB6A92" w:rsidP="00AB6A92">
      <w:pPr>
        <w:rPr>
          <w:rFonts w:ascii="Calibri" w:hAnsi="Calibri"/>
        </w:rPr>
      </w:pPr>
    </w:p>
    <w:p w:rsidR="00D30B13" w:rsidRDefault="00D30B13" w:rsidP="00AB6A92">
      <w:pPr>
        <w:rPr>
          <w:rFonts w:ascii="Calibri" w:hAnsi="Calibri"/>
        </w:rPr>
      </w:pPr>
    </w:p>
    <w:p w:rsidR="00D30B13" w:rsidRDefault="00D30B13" w:rsidP="00AB6A92">
      <w:pPr>
        <w:rPr>
          <w:rFonts w:ascii="Calibri" w:hAnsi="Calibri"/>
        </w:rPr>
      </w:pPr>
    </w:p>
    <w:p w:rsidR="00D30B13" w:rsidRPr="00B67CD4" w:rsidRDefault="00D30B13" w:rsidP="00AB6A92">
      <w:pPr>
        <w:rPr>
          <w:rFonts w:ascii="Calibri" w:hAnsi="Calibri"/>
        </w:rPr>
      </w:pPr>
    </w:p>
    <w:p w:rsidR="00AB6A92" w:rsidRPr="00B67CD4" w:rsidRDefault="00AB6A92" w:rsidP="00AB6A92">
      <w:pPr>
        <w:rPr>
          <w:rFonts w:ascii="Calibri" w:hAnsi="Calibri"/>
        </w:rPr>
      </w:pPr>
    </w:p>
    <w:p w:rsidR="00D30B13" w:rsidRDefault="00D30B13" w:rsidP="00AB6A92">
      <w:pPr>
        <w:rPr>
          <w:rFonts w:ascii="Calibri" w:hAnsi="Calibri"/>
          <w:b/>
        </w:rPr>
      </w:pPr>
      <w:bookmarkStart w:id="358" w:name="_Toc405615030"/>
      <w:bookmarkStart w:id="359" w:name="_Toc407161178"/>
      <w:bookmarkStart w:id="360" w:name="_Toc418996322"/>
      <w:bookmarkStart w:id="361" w:name="_Toc418996691"/>
      <w:bookmarkStart w:id="362" w:name="_Toc418997078"/>
      <w:bookmarkStart w:id="363" w:name="_Toc418998487"/>
      <w:bookmarkStart w:id="364" w:name="_Toc418998843"/>
      <w:bookmarkStart w:id="365" w:name="_Toc419000089"/>
    </w:p>
    <w:p w:rsidR="00D30B13" w:rsidRDefault="00D30B13" w:rsidP="00AB6A92">
      <w:pPr>
        <w:rPr>
          <w:rFonts w:ascii="Calibri" w:hAnsi="Calibri"/>
          <w:b/>
        </w:rPr>
      </w:pPr>
    </w:p>
    <w:p w:rsidR="00D30B13" w:rsidRDefault="00D30B13" w:rsidP="00AB6A92">
      <w:pPr>
        <w:rPr>
          <w:rFonts w:ascii="Calibri" w:hAnsi="Calibri"/>
          <w:b/>
        </w:rPr>
      </w:pPr>
    </w:p>
    <w:p w:rsidR="00D30B13" w:rsidRDefault="00D30B13" w:rsidP="00AB6A92">
      <w:pPr>
        <w:rPr>
          <w:rFonts w:ascii="Calibri" w:hAnsi="Calibri"/>
          <w:b/>
        </w:rPr>
      </w:pPr>
    </w:p>
    <w:p w:rsidR="00D30B13" w:rsidRDefault="00D30B13" w:rsidP="00AB6A92">
      <w:pPr>
        <w:rPr>
          <w:rFonts w:ascii="Calibri" w:hAnsi="Calibri"/>
          <w:b/>
        </w:rPr>
      </w:pPr>
    </w:p>
    <w:p w:rsidR="00D30B13" w:rsidRDefault="00D30B13" w:rsidP="00AB6A92">
      <w:pPr>
        <w:rPr>
          <w:rFonts w:ascii="Calibri" w:hAnsi="Calibri"/>
          <w:b/>
        </w:rPr>
      </w:pPr>
    </w:p>
    <w:p w:rsidR="00D30B13" w:rsidRDefault="00D30B13" w:rsidP="00AB6A92">
      <w:pPr>
        <w:rPr>
          <w:rFonts w:ascii="Calibri" w:hAnsi="Calibri"/>
          <w:b/>
        </w:rPr>
      </w:pPr>
    </w:p>
    <w:p w:rsidR="00D30B13" w:rsidRDefault="00D30B13" w:rsidP="00AB6A92">
      <w:pPr>
        <w:rPr>
          <w:rFonts w:ascii="Calibri" w:hAnsi="Calibri"/>
          <w:b/>
        </w:rPr>
      </w:pPr>
    </w:p>
    <w:p w:rsidR="00D30B13" w:rsidRDefault="00D30B13" w:rsidP="00AB6A92">
      <w:pPr>
        <w:rPr>
          <w:rFonts w:ascii="Calibri" w:hAnsi="Calibri"/>
          <w:b/>
        </w:rPr>
      </w:pPr>
    </w:p>
    <w:p w:rsidR="00D30B13" w:rsidRDefault="00D30B13" w:rsidP="00AB6A92">
      <w:pPr>
        <w:rPr>
          <w:rFonts w:ascii="Calibri" w:hAnsi="Calibri"/>
          <w:b/>
        </w:rPr>
      </w:pPr>
    </w:p>
    <w:p w:rsidR="00D30B13" w:rsidRDefault="00D30B13" w:rsidP="00AB6A92">
      <w:pPr>
        <w:rPr>
          <w:rFonts w:ascii="Calibri" w:hAnsi="Calibri"/>
          <w:b/>
        </w:rPr>
      </w:pPr>
    </w:p>
    <w:p w:rsidR="00D30B13" w:rsidRDefault="00D30B13" w:rsidP="00AB6A92">
      <w:pPr>
        <w:rPr>
          <w:rFonts w:ascii="Calibri" w:hAnsi="Calibri"/>
          <w:b/>
        </w:rPr>
      </w:pPr>
    </w:p>
    <w:p w:rsidR="00D30B13" w:rsidRDefault="00D30B13" w:rsidP="00AB6A92">
      <w:pPr>
        <w:rPr>
          <w:rFonts w:ascii="Calibri" w:hAnsi="Calibri"/>
          <w:b/>
        </w:rPr>
      </w:pPr>
    </w:p>
    <w:p w:rsidR="00D30B13" w:rsidRDefault="00D30B13" w:rsidP="00AB6A92">
      <w:pPr>
        <w:rPr>
          <w:rFonts w:ascii="Calibri" w:hAnsi="Calibri"/>
          <w:b/>
        </w:rPr>
      </w:pPr>
    </w:p>
    <w:p w:rsidR="00D30B13" w:rsidRDefault="00D30B13" w:rsidP="00AB6A92">
      <w:pPr>
        <w:rPr>
          <w:rFonts w:ascii="Calibri" w:hAnsi="Calibri"/>
          <w:b/>
        </w:rPr>
      </w:pPr>
    </w:p>
    <w:p w:rsidR="00D30B13" w:rsidRDefault="00D30B13" w:rsidP="00AB6A92">
      <w:pPr>
        <w:rPr>
          <w:rFonts w:ascii="Calibri" w:hAnsi="Calibri"/>
          <w:b/>
        </w:rPr>
      </w:pPr>
    </w:p>
    <w:p w:rsidR="00D30B13" w:rsidRDefault="00D30B13" w:rsidP="00AB6A92">
      <w:pPr>
        <w:rPr>
          <w:rFonts w:ascii="Calibri" w:hAnsi="Calibri"/>
          <w:b/>
        </w:rPr>
      </w:pPr>
    </w:p>
    <w:p w:rsidR="00D30B13" w:rsidRDefault="00D30B13" w:rsidP="00AB6A92">
      <w:pPr>
        <w:rPr>
          <w:rFonts w:ascii="Calibri" w:hAnsi="Calibri"/>
          <w:b/>
        </w:rPr>
      </w:pPr>
    </w:p>
    <w:p w:rsidR="00D30B13" w:rsidRDefault="00D30B13" w:rsidP="00AB6A92">
      <w:pPr>
        <w:rPr>
          <w:rFonts w:ascii="Calibri" w:hAnsi="Calibri"/>
          <w:b/>
        </w:rPr>
      </w:pPr>
    </w:p>
    <w:p w:rsidR="00D30B13" w:rsidRDefault="00D30B13" w:rsidP="00AB6A92">
      <w:pPr>
        <w:rPr>
          <w:rFonts w:ascii="Calibri" w:hAnsi="Calibri"/>
          <w:b/>
        </w:rPr>
      </w:pPr>
    </w:p>
    <w:p w:rsidR="00D30B13" w:rsidRDefault="00D30B13" w:rsidP="00AB6A92">
      <w:pPr>
        <w:rPr>
          <w:rFonts w:ascii="Calibri" w:hAnsi="Calibri"/>
          <w:b/>
        </w:rPr>
      </w:pPr>
    </w:p>
    <w:p w:rsidR="00D30B13" w:rsidRDefault="00D30B13" w:rsidP="00AB6A92">
      <w:pPr>
        <w:rPr>
          <w:rFonts w:ascii="Calibri" w:hAnsi="Calibri"/>
          <w:b/>
        </w:rPr>
      </w:pPr>
    </w:p>
    <w:p w:rsidR="00D30B13" w:rsidRDefault="00D30B13" w:rsidP="00AB6A92">
      <w:pPr>
        <w:rPr>
          <w:rFonts w:ascii="Calibri" w:hAnsi="Calibri"/>
          <w:b/>
        </w:rPr>
      </w:pPr>
    </w:p>
    <w:p w:rsidR="00D30B13" w:rsidRDefault="00D30B13" w:rsidP="00AB6A92">
      <w:pPr>
        <w:rPr>
          <w:rFonts w:ascii="Calibri" w:hAnsi="Calibri"/>
          <w:b/>
        </w:rPr>
      </w:pPr>
    </w:p>
    <w:p w:rsidR="00D30B13" w:rsidRDefault="00D30B13" w:rsidP="00AB6A92">
      <w:pPr>
        <w:rPr>
          <w:rFonts w:ascii="Calibri" w:hAnsi="Calibri"/>
          <w:b/>
        </w:rPr>
      </w:pPr>
    </w:p>
    <w:p w:rsidR="00301193" w:rsidRDefault="00301193" w:rsidP="00AB6A92">
      <w:pPr>
        <w:rPr>
          <w:rFonts w:ascii="Calibri" w:hAnsi="Calibri"/>
          <w:b/>
        </w:rPr>
      </w:pPr>
    </w:p>
    <w:p w:rsidR="00301193" w:rsidRDefault="00301193" w:rsidP="00AB6A92">
      <w:pPr>
        <w:rPr>
          <w:rFonts w:ascii="Calibri" w:hAnsi="Calibri"/>
          <w:b/>
        </w:rPr>
      </w:pPr>
    </w:p>
    <w:p w:rsidR="00D30B13" w:rsidRDefault="00D30B13" w:rsidP="00AB6A92">
      <w:pPr>
        <w:rPr>
          <w:rFonts w:ascii="Calibri" w:hAnsi="Calibri"/>
          <w:b/>
        </w:rPr>
      </w:pPr>
    </w:p>
    <w:p w:rsidR="00D30B13" w:rsidRDefault="00D30B13" w:rsidP="00AB6A92">
      <w:pPr>
        <w:rPr>
          <w:rFonts w:ascii="Calibri" w:hAnsi="Calibri"/>
          <w:b/>
        </w:rPr>
      </w:pPr>
    </w:p>
    <w:p w:rsidR="00AB6A92" w:rsidRPr="00B67CD4" w:rsidRDefault="00AB6A92" w:rsidP="00AB6A92">
      <w:pPr>
        <w:rPr>
          <w:rFonts w:ascii="Calibri" w:hAnsi="Calibri"/>
          <w:b/>
        </w:rPr>
      </w:pPr>
      <w:r w:rsidRPr="00B67CD4">
        <w:rPr>
          <w:rFonts w:ascii="Calibri" w:hAnsi="Calibri"/>
          <w:b/>
        </w:rPr>
        <w:lastRenderedPageBreak/>
        <w:t xml:space="preserve">1. </w:t>
      </w:r>
      <w:bookmarkEnd w:id="358"/>
      <w:bookmarkEnd w:id="359"/>
      <w:bookmarkEnd w:id="360"/>
      <w:bookmarkEnd w:id="361"/>
      <w:bookmarkEnd w:id="362"/>
      <w:bookmarkEnd w:id="363"/>
      <w:bookmarkEnd w:id="364"/>
      <w:bookmarkEnd w:id="365"/>
      <w:r w:rsidRPr="00B67CD4">
        <w:rPr>
          <w:rFonts w:ascii="Calibri" w:hAnsi="Calibri"/>
          <w:b/>
        </w:rPr>
        <w:t>WSTĘP</w:t>
      </w:r>
    </w:p>
    <w:p w:rsidR="00AB6A92" w:rsidRPr="00B67CD4" w:rsidRDefault="00AB6A92" w:rsidP="00AB6A92">
      <w:pPr>
        <w:rPr>
          <w:rFonts w:ascii="Calibri" w:hAnsi="Calibri"/>
        </w:rPr>
      </w:pPr>
      <w:r w:rsidRPr="00B67CD4">
        <w:rPr>
          <w:rFonts w:ascii="Calibri" w:hAnsi="Calibri"/>
          <w:b/>
        </w:rPr>
        <w:t>1.1.</w:t>
      </w:r>
      <w:r w:rsidRPr="00B67CD4">
        <w:rPr>
          <w:rFonts w:ascii="Calibri" w:hAnsi="Calibri"/>
        </w:rPr>
        <w:t xml:space="preserve"> Przedmiot ST</w:t>
      </w:r>
    </w:p>
    <w:p w:rsidR="00AB6A92" w:rsidRPr="00B67CD4" w:rsidRDefault="00AB6A92" w:rsidP="00AB6A92">
      <w:pPr>
        <w:rPr>
          <w:rFonts w:ascii="Calibri" w:hAnsi="Calibri"/>
        </w:rPr>
      </w:pPr>
      <w:r w:rsidRPr="00B67CD4">
        <w:rPr>
          <w:rFonts w:ascii="Calibri" w:hAnsi="Calibri"/>
        </w:rPr>
        <w:tab/>
        <w:t>Przedmiotem niniejszej specyfikacji technicznej (ST) są wymagania dotyczące wykonania i odbioru liniowych robót ziemnych.</w:t>
      </w:r>
    </w:p>
    <w:p w:rsidR="00AB6A92" w:rsidRPr="00B67CD4" w:rsidRDefault="00AB6A92" w:rsidP="00AB6A92">
      <w:pPr>
        <w:rPr>
          <w:rFonts w:ascii="Calibri" w:hAnsi="Calibri"/>
        </w:rPr>
      </w:pPr>
      <w:r w:rsidRPr="00B67CD4">
        <w:rPr>
          <w:rFonts w:ascii="Calibri" w:hAnsi="Calibri"/>
          <w:b/>
        </w:rPr>
        <w:t>1.2.</w:t>
      </w:r>
      <w:r w:rsidRPr="00B67CD4">
        <w:rPr>
          <w:rFonts w:ascii="Calibri" w:hAnsi="Calibri"/>
        </w:rPr>
        <w:t xml:space="preserve"> Zakres stosowania ST</w:t>
      </w:r>
    </w:p>
    <w:p w:rsidR="00AB6A92" w:rsidRPr="007621DF" w:rsidRDefault="00AB6A92" w:rsidP="00AB6A92">
      <w:pPr>
        <w:rPr>
          <w:rFonts w:ascii="Calibri" w:hAnsi="Calibri" w:cs="Calibri"/>
        </w:rPr>
      </w:pPr>
      <w:r w:rsidRPr="00B67CD4">
        <w:rPr>
          <w:rFonts w:ascii="Calibri" w:hAnsi="Calibri"/>
        </w:rPr>
        <w:tab/>
      </w:r>
      <w:r w:rsidRPr="007621DF">
        <w:rPr>
          <w:rFonts w:ascii="Calibri" w:hAnsi="Calibri" w:cs="Calibri"/>
        </w:rPr>
        <w:t>Specyfikacja techniczna określa wymagania dla wykonania i odbioru robót budowlanych przewidzianych do wykonania w ramach umowy a zawarte w niej zapisy w zakresie standardu materiałów, wykonania robót i wymaganej ich jakości oraz kontroli jakości robót należy traktować jako minimalne.</w:t>
      </w:r>
    </w:p>
    <w:p w:rsidR="00AB6A92" w:rsidRPr="00B67CD4" w:rsidRDefault="00AB6A92" w:rsidP="00AB6A92">
      <w:pPr>
        <w:rPr>
          <w:rFonts w:ascii="Calibri" w:hAnsi="Calibri"/>
        </w:rPr>
      </w:pPr>
      <w:r w:rsidRPr="00B67CD4">
        <w:rPr>
          <w:rFonts w:ascii="Calibri" w:hAnsi="Calibri"/>
        </w:rPr>
        <w:tab/>
        <w:t>Niniejsza specyfikacja nie ma zastosowania do robót fundamentowych i związanych z wykonaniem instalacji.</w:t>
      </w:r>
    </w:p>
    <w:p w:rsidR="00AB6A92" w:rsidRPr="00B67CD4" w:rsidRDefault="00AB6A92" w:rsidP="00AB6A92">
      <w:pPr>
        <w:rPr>
          <w:rFonts w:ascii="Calibri" w:hAnsi="Calibri"/>
        </w:rPr>
      </w:pPr>
      <w:r w:rsidRPr="00B67CD4">
        <w:rPr>
          <w:rFonts w:ascii="Calibri" w:hAnsi="Calibri"/>
          <w:b/>
        </w:rPr>
        <w:t>1.3.</w:t>
      </w:r>
      <w:r w:rsidRPr="00B67CD4">
        <w:rPr>
          <w:rFonts w:ascii="Calibri" w:hAnsi="Calibri"/>
        </w:rPr>
        <w:t xml:space="preserve"> Zakres robót objętych ST</w:t>
      </w:r>
    </w:p>
    <w:p w:rsidR="00AB6A92" w:rsidRPr="00B67CD4" w:rsidRDefault="00AB6A92" w:rsidP="00AB6A92">
      <w:pPr>
        <w:rPr>
          <w:rFonts w:ascii="Calibri" w:hAnsi="Calibri"/>
        </w:rPr>
      </w:pPr>
      <w:r w:rsidRPr="00B67CD4">
        <w:rPr>
          <w:rFonts w:ascii="Calibri" w:hAnsi="Calibri"/>
        </w:rPr>
        <w:tab/>
        <w:t xml:space="preserve">Ustalenia zawarte w niniejszej specyfikacji dotyczą zasad prowadzenia robót ziemnych </w:t>
      </w:r>
      <w:r w:rsidR="003843CA" w:rsidRPr="00666F76">
        <w:rPr>
          <w:rFonts w:ascii="Calibri" w:hAnsi="Calibri" w:cs="Calibri"/>
        </w:rPr>
        <w:t>w związku z „</w:t>
      </w:r>
      <w:r w:rsidR="003843CA" w:rsidRPr="00666F76">
        <w:rPr>
          <w:rFonts w:asciiTheme="minorHAnsi" w:hAnsiTheme="minorHAnsi"/>
        </w:rPr>
        <w:t>Przebudową ul.55 Pułku Piechoty w Lesznie wraz z przebudową oświetlenia”</w:t>
      </w:r>
      <w:r w:rsidR="003843CA">
        <w:rPr>
          <w:rFonts w:asciiTheme="minorHAnsi" w:hAnsiTheme="minorHAnsi" w:cs="Calibri"/>
        </w:rPr>
        <w:t xml:space="preserve"> </w:t>
      </w:r>
      <w:r w:rsidR="00190CF5">
        <w:rPr>
          <w:rFonts w:ascii="Calibri" w:hAnsi="Calibri"/>
        </w:rPr>
        <w:t xml:space="preserve">i obejmują </w:t>
      </w:r>
      <w:r w:rsidRPr="00B67CD4">
        <w:rPr>
          <w:rFonts w:ascii="Calibri" w:hAnsi="Calibri"/>
        </w:rPr>
        <w:t>wykonanie w</w:t>
      </w:r>
      <w:r w:rsidR="004E39E7">
        <w:rPr>
          <w:rFonts w:ascii="Calibri" w:hAnsi="Calibri"/>
        </w:rPr>
        <w:t>ykopów w gruntach nieskalistych.</w:t>
      </w:r>
    </w:p>
    <w:p w:rsidR="00AB6A92" w:rsidRPr="00B67CD4" w:rsidRDefault="00AB6A92" w:rsidP="00AB6A92">
      <w:pPr>
        <w:rPr>
          <w:rFonts w:ascii="Calibri" w:hAnsi="Calibri"/>
        </w:rPr>
      </w:pPr>
      <w:bookmarkStart w:id="366" w:name="_Toc405615034"/>
      <w:bookmarkStart w:id="367" w:name="_Toc407161182"/>
      <w:r w:rsidRPr="00B67CD4">
        <w:rPr>
          <w:rFonts w:ascii="Calibri" w:hAnsi="Calibri"/>
          <w:b/>
        </w:rPr>
        <w:t>1.4.</w:t>
      </w:r>
      <w:r w:rsidRPr="00B67CD4">
        <w:rPr>
          <w:rFonts w:ascii="Calibri" w:hAnsi="Calibri"/>
        </w:rPr>
        <w:t xml:space="preserve"> Określenia podstawowe</w:t>
      </w:r>
      <w:bookmarkEnd w:id="366"/>
      <w:bookmarkEnd w:id="367"/>
    </w:p>
    <w:p w:rsidR="00AB6A92" w:rsidRPr="00B67CD4" w:rsidRDefault="00AB6A92" w:rsidP="00AB6A92">
      <w:pPr>
        <w:rPr>
          <w:rFonts w:ascii="Calibri" w:hAnsi="Calibri"/>
        </w:rPr>
      </w:pPr>
      <w:r w:rsidRPr="00B67CD4">
        <w:rPr>
          <w:rFonts w:ascii="Calibri" w:hAnsi="Calibri"/>
          <w:b/>
        </w:rPr>
        <w:t>1.4.1.</w:t>
      </w:r>
      <w:r w:rsidRPr="00B67CD4">
        <w:rPr>
          <w:rFonts w:ascii="Calibri" w:hAnsi="Calibri"/>
        </w:rPr>
        <w:tab/>
        <w:t>Budowla ziemna - budowla wykonana w gruncie lub z gruntu naturalnego lub z gruntu antropogenicznego spełniająca warunki stateczności i odwodnienia.</w:t>
      </w:r>
    </w:p>
    <w:p w:rsidR="00AB6A92" w:rsidRPr="00B67CD4" w:rsidRDefault="00AB6A92" w:rsidP="00AB6A92">
      <w:pPr>
        <w:rPr>
          <w:rFonts w:ascii="Calibri" w:hAnsi="Calibri"/>
        </w:rPr>
      </w:pPr>
      <w:r w:rsidRPr="00B67CD4">
        <w:rPr>
          <w:rFonts w:ascii="Calibri" w:hAnsi="Calibri"/>
          <w:b/>
        </w:rPr>
        <w:t>1.4.2.</w:t>
      </w:r>
      <w:r w:rsidRPr="00B67CD4">
        <w:rPr>
          <w:rFonts w:ascii="Calibri" w:hAnsi="Calibri"/>
        </w:rPr>
        <w:tab/>
        <w:t xml:space="preserve">Korpus drogowy - nasyp lub ta część wykopu, która jest ograniczona koroną drogi i skarpami rowów. </w:t>
      </w:r>
    </w:p>
    <w:p w:rsidR="00AB6A92" w:rsidRPr="00B67CD4" w:rsidRDefault="00AB6A92" w:rsidP="00AB6A92">
      <w:pPr>
        <w:rPr>
          <w:rFonts w:ascii="Calibri" w:hAnsi="Calibri"/>
        </w:rPr>
      </w:pPr>
      <w:r w:rsidRPr="00B67CD4">
        <w:rPr>
          <w:rFonts w:ascii="Calibri" w:hAnsi="Calibri"/>
          <w:b/>
        </w:rPr>
        <w:t>1.4.3.</w:t>
      </w:r>
      <w:r w:rsidRPr="00B67CD4">
        <w:rPr>
          <w:rFonts w:ascii="Calibri" w:hAnsi="Calibri"/>
        </w:rPr>
        <w:tab/>
        <w:t>Wysokość nasypu lub głębokość wykopu - różnica rzędnej terenu i rzędnej robót ziemnych, wyznaczonych w osi nasypu lub wykopu.</w:t>
      </w:r>
    </w:p>
    <w:p w:rsidR="00AB6A92" w:rsidRPr="00B67CD4" w:rsidRDefault="004E39E7" w:rsidP="00AB6A92">
      <w:pPr>
        <w:rPr>
          <w:rFonts w:ascii="Calibri" w:hAnsi="Calibri"/>
        </w:rPr>
      </w:pPr>
      <w:r>
        <w:rPr>
          <w:rFonts w:ascii="Calibri" w:hAnsi="Calibri"/>
          <w:b/>
        </w:rPr>
        <w:t>1.4.4</w:t>
      </w:r>
      <w:r w:rsidR="00AB6A92" w:rsidRPr="00B67CD4">
        <w:rPr>
          <w:rFonts w:ascii="Calibri" w:hAnsi="Calibri"/>
          <w:b/>
        </w:rPr>
        <w:t>.</w:t>
      </w:r>
      <w:r w:rsidR="00AB6A92" w:rsidRPr="00B67CD4">
        <w:rPr>
          <w:rFonts w:ascii="Calibri" w:hAnsi="Calibri"/>
        </w:rPr>
        <w:tab/>
        <w:t>Wykop płytki - wykop, którego głębokość jest mniejsza niż 1 m.</w:t>
      </w:r>
    </w:p>
    <w:p w:rsidR="00AB6A92" w:rsidRPr="00B67CD4" w:rsidRDefault="004E39E7" w:rsidP="00AB6A92">
      <w:pPr>
        <w:rPr>
          <w:rFonts w:ascii="Calibri" w:hAnsi="Calibri"/>
        </w:rPr>
      </w:pPr>
      <w:r>
        <w:rPr>
          <w:rFonts w:ascii="Calibri" w:hAnsi="Calibri"/>
          <w:b/>
        </w:rPr>
        <w:t>1.4.5</w:t>
      </w:r>
      <w:r w:rsidR="00AB6A92" w:rsidRPr="00B67CD4">
        <w:rPr>
          <w:rFonts w:ascii="Calibri" w:hAnsi="Calibri"/>
          <w:b/>
        </w:rPr>
        <w:t>.</w:t>
      </w:r>
      <w:r w:rsidR="00AB6A92" w:rsidRPr="00B67CD4">
        <w:rPr>
          <w:rFonts w:ascii="Calibri" w:hAnsi="Calibri"/>
        </w:rPr>
        <w:tab/>
        <w:t>Odkład - miejsce wbudowania lub składowania (odwiezienia) gruntów pozyskanych w czasie wykonywania wykopów, a nie wykorzystanych do budowy nasypów oraz innych prac związanych z trasą drogową.</w:t>
      </w:r>
    </w:p>
    <w:p w:rsidR="00AB6A92" w:rsidRPr="00B67CD4" w:rsidRDefault="004E39E7" w:rsidP="00AB6A92">
      <w:pPr>
        <w:rPr>
          <w:rFonts w:ascii="Calibri" w:hAnsi="Calibri"/>
        </w:rPr>
      </w:pPr>
      <w:r>
        <w:rPr>
          <w:rFonts w:ascii="Calibri" w:hAnsi="Calibri"/>
          <w:b/>
        </w:rPr>
        <w:t>1.4.6</w:t>
      </w:r>
      <w:r w:rsidR="00AB6A92" w:rsidRPr="00B67CD4">
        <w:rPr>
          <w:rFonts w:ascii="Calibri" w:hAnsi="Calibri"/>
          <w:b/>
        </w:rPr>
        <w:t>.</w:t>
      </w:r>
      <w:r w:rsidR="00AB6A92" w:rsidRPr="00B67CD4">
        <w:rPr>
          <w:rFonts w:ascii="Calibri" w:hAnsi="Calibri"/>
        </w:rPr>
        <w:tab/>
        <w:t xml:space="preserve">Wskaźnik zagęszczenia gruntu - wielkość charakteryzująca stan zagęszczenia gruntu, określona wg wzoru: </w:t>
      </w:r>
    </w:p>
    <w:p w:rsidR="00AB6A92" w:rsidRDefault="00AB6A92" w:rsidP="00AB6A92">
      <w:pPr>
        <w:pStyle w:val="Standardowytekst"/>
        <w:spacing w:before="120"/>
        <w:jc w:val="center"/>
      </w:pPr>
      <w:r w:rsidRPr="00DF25DF">
        <w:rPr>
          <w:position w:val="-26"/>
        </w:rPr>
        <w:object w:dxaOrig="780" w:dyaOrig="60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37.35pt;height:29.9pt" o:ole="">
            <v:imagedata r:id="rId19" o:title=""/>
          </v:shape>
          <o:OLEObject Type="Embed" ProgID="Equation.3" ShapeID="_x0000_i1025" DrawAspect="Content" ObjectID="_1511981116" r:id="rId20"/>
        </w:object>
      </w:r>
    </w:p>
    <w:p w:rsidR="00AB6A92" w:rsidRPr="00B67CD4" w:rsidRDefault="00AB6A92" w:rsidP="00AB6A92">
      <w:pPr>
        <w:rPr>
          <w:rFonts w:ascii="Calibri" w:hAnsi="Calibri"/>
        </w:rPr>
      </w:pPr>
      <w:r w:rsidRPr="00B67CD4">
        <w:rPr>
          <w:rFonts w:ascii="Calibri" w:hAnsi="Calibri"/>
        </w:rPr>
        <w:t>gdzie:</w:t>
      </w:r>
    </w:p>
    <w:p w:rsidR="00AB6A92" w:rsidRPr="000628FB" w:rsidRDefault="00AB6A92" w:rsidP="00AB6A92">
      <w:pPr>
        <w:rPr>
          <w:rFonts w:ascii="Calibri" w:hAnsi="Calibri"/>
          <w:i/>
        </w:rPr>
      </w:pPr>
      <w:r w:rsidRPr="000628FB">
        <w:rPr>
          <w:rFonts w:ascii="Calibri" w:hAnsi="Calibri"/>
          <w:i/>
        </w:rPr>
        <w:sym w:font="Symbol" w:char="F072"/>
      </w:r>
      <w:r w:rsidRPr="000628FB">
        <w:rPr>
          <w:rFonts w:ascii="Calibri" w:hAnsi="Calibri"/>
          <w:i/>
        </w:rPr>
        <w:t>d</w:t>
      </w:r>
      <w:r w:rsidRPr="000628FB">
        <w:rPr>
          <w:rFonts w:ascii="Calibri" w:hAnsi="Calibri"/>
          <w:i/>
        </w:rPr>
        <w:tab/>
        <w:t>-</w:t>
      </w:r>
      <w:r w:rsidRPr="000628FB">
        <w:rPr>
          <w:rFonts w:ascii="Calibri" w:hAnsi="Calibri"/>
          <w:i/>
        </w:rPr>
        <w:tab/>
        <w:t>gęstość objętościowa szkieletu zagęszczonego gruntu, zgodnie z BN-77/8931-12 [9], (Mg/m3),</w:t>
      </w:r>
    </w:p>
    <w:p w:rsidR="00AB6A92" w:rsidRPr="000628FB" w:rsidRDefault="00AB6A92" w:rsidP="00AB6A92">
      <w:pPr>
        <w:rPr>
          <w:rFonts w:ascii="Calibri" w:hAnsi="Calibri"/>
          <w:i/>
        </w:rPr>
      </w:pPr>
      <w:r w:rsidRPr="000628FB">
        <w:rPr>
          <w:rFonts w:ascii="Calibri" w:hAnsi="Calibri"/>
          <w:i/>
        </w:rPr>
        <w:sym w:font="Symbol" w:char="F072"/>
      </w:r>
      <w:r w:rsidRPr="000628FB">
        <w:rPr>
          <w:rFonts w:ascii="Calibri" w:hAnsi="Calibri"/>
          <w:i/>
        </w:rPr>
        <w:t>ds</w:t>
      </w:r>
      <w:r w:rsidRPr="000628FB">
        <w:rPr>
          <w:rFonts w:ascii="Calibri" w:hAnsi="Calibri"/>
          <w:i/>
        </w:rPr>
        <w:tab/>
        <w:t>-</w:t>
      </w:r>
      <w:r w:rsidRPr="000628FB">
        <w:rPr>
          <w:rFonts w:ascii="Calibri" w:hAnsi="Calibri"/>
          <w:i/>
        </w:rPr>
        <w:tab/>
        <w:t>maksymalna gęstość objętościowa szkieletu gruntowego przy wilgotności optymalnej, zgodnie z PN-B-04481:1988 [2], służąca do oceny zagęszczenia gruntu w robotach ziemnych, (Mg/m3).</w:t>
      </w:r>
    </w:p>
    <w:p w:rsidR="00AB6A92" w:rsidRPr="00B67CD4" w:rsidRDefault="004E39E7" w:rsidP="00AB6A92">
      <w:pPr>
        <w:rPr>
          <w:rFonts w:ascii="Calibri" w:hAnsi="Calibri"/>
        </w:rPr>
      </w:pPr>
      <w:r>
        <w:rPr>
          <w:rFonts w:ascii="Calibri" w:hAnsi="Calibri"/>
          <w:b/>
        </w:rPr>
        <w:t>1.4.7</w:t>
      </w:r>
      <w:r w:rsidR="00AB6A92" w:rsidRPr="00B67CD4">
        <w:rPr>
          <w:rFonts w:ascii="Calibri" w:hAnsi="Calibri"/>
          <w:b/>
        </w:rPr>
        <w:t>.</w:t>
      </w:r>
      <w:r w:rsidR="00AB6A92" w:rsidRPr="00B67CD4">
        <w:rPr>
          <w:rFonts w:ascii="Calibri" w:hAnsi="Calibri"/>
        </w:rPr>
        <w:t xml:space="preserve"> Wskaźnik różnoziarnistości - wielkość charakteryzująca zagęszczalność gruntów niespoistych, określona wg wzoru:</w:t>
      </w:r>
    </w:p>
    <w:p w:rsidR="00AB6A92" w:rsidRDefault="00AB6A92" w:rsidP="00AB6A92">
      <w:pPr>
        <w:pStyle w:val="Standardowytekst"/>
        <w:jc w:val="center"/>
        <w:rPr>
          <w:b/>
        </w:rPr>
      </w:pPr>
      <w:r w:rsidRPr="00DF25DF">
        <w:rPr>
          <w:position w:val="-26"/>
        </w:rPr>
        <w:object w:dxaOrig="780" w:dyaOrig="600">
          <v:shape id="_x0000_i1026" type="#_x0000_t75" style="width:37.35pt;height:29.9pt" o:ole="">
            <v:imagedata r:id="rId21" o:title=""/>
          </v:shape>
          <o:OLEObject Type="Embed" ProgID="Equation.3" ShapeID="_x0000_i1026" DrawAspect="Content" ObjectID="_1511981117" r:id="rId22"/>
        </w:object>
      </w:r>
    </w:p>
    <w:p w:rsidR="00AB6A92" w:rsidRPr="00B67CD4" w:rsidRDefault="00AB6A92" w:rsidP="00AB6A92">
      <w:pPr>
        <w:rPr>
          <w:rFonts w:ascii="Calibri" w:hAnsi="Calibri"/>
        </w:rPr>
      </w:pPr>
      <w:r w:rsidRPr="00B67CD4">
        <w:rPr>
          <w:rFonts w:ascii="Calibri" w:hAnsi="Calibri"/>
        </w:rPr>
        <w:t>gdzie:</w:t>
      </w:r>
    </w:p>
    <w:p w:rsidR="00AB6A92" w:rsidRPr="000628FB" w:rsidRDefault="00AB6A92" w:rsidP="00AB6A92">
      <w:pPr>
        <w:rPr>
          <w:rFonts w:ascii="Calibri" w:hAnsi="Calibri"/>
          <w:i/>
        </w:rPr>
      </w:pPr>
      <w:r w:rsidRPr="000628FB">
        <w:rPr>
          <w:rFonts w:ascii="Calibri" w:hAnsi="Calibri"/>
          <w:i/>
        </w:rPr>
        <w:t>d60</w:t>
      </w:r>
      <w:r w:rsidRPr="000628FB">
        <w:rPr>
          <w:rFonts w:ascii="Calibri" w:hAnsi="Calibri"/>
          <w:i/>
        </w:rPr>
        <w:tab/>
        <w:t>-</w:t>
      </w:r>
      <w:r w:rsidRPr="000628FB">
        <w:rPr>
          <w:rFonts w:ascii="Calibri" w:hAnsi="Calibri"/>
          <w:i/>
        </w:rPr>
        <w:tab/>
        <w:t>średnica oczek sita, przez które przechodzi 60% gruntu, (mm),</w:t>
      </w:r>
    </w:p>
    <w:p w:rsidR="00AB6A92" w:rsidRPr="000628FB" w:rsidRDefault="00AB6A92" w:rsidP="00AB6A92">
      <w:pPr>
        <w:rPr>
          <w:rFonts w:ascii="Calibri" w:hAnsi="Calibri"/>
          <w:i/>
        </w:rPr>
      </w:pPr>
      <w:r w:rsidRPr="000628FB">
        <w:rPr>
          <w:rFonts w:ascii="Calibri" w:hAnsi="Calibri"/>
          <w:i/>
        </w:rPr>
        <w:t>d10</w:t>
      </w:r>
      <w:r w:rsidRPr="000628FB">
        <w:rPr>
          <w:rFonts w:ascii="Calibri" w:hAnsi="Calibri"/>
          <w:i/>
        </w:rPr>
        <w:tab/>
        <w:t>-</w:t>
      </w:r>
      <w:r w:rsidRPr="000628FB">
        <w:rPr>
          <w:rFonts w:ascii="Calibri" w:hAnsi="Calibri"/>
          <w:i/>
        </w:rPr>
        <w:tab/>
        <w:t>średnica oczek sita, przez które przechodzi 10% gruntu, (mm).</w:t>
      </w:r>
    </w:p>
    <w:p w:rsidR="00AB6A92" w:rsidRPr="00B67CD4" w:rsidRDefault="004E39E7" w:rsidP="00AB6A92">
      <w:pPr>
        <w:rPr>
          <w:rFonts w:ascii="Calibri" w:hAnsi="Calibri"/>
        </w:rPr>
      </w:pPr>
      <w:r w:rsidRPr="004E39E7">
        <w:rPr>
          <w:rFonts w:ascii="Calibri" w:hAnsi="Calibri"/>
          <w:b/>
        </w:rPr>
        <w:t>1.4.8</w:t>
      </w:r>
      <w:r w:rsidR="00AB6A92" w:rsidRPr="004E39E7">
        <w:rPr>
          <w:rFonts w:ascii="Calibri" w:hAnsi="Calibri"/>
          <w:b/>
        </w:rPr>
        <w:t>.</w:t>
      </w:r>
      <w:r w:rsidR="00AB6A92" w:rsidRPr="000628FB">
        <w:rPr>
          <w:rFonts w:ascii="Calibri" w:hAnsi="Calibri"/>
          <w:i/>
        </w:rPr>
        <w:t xml:space="preserve"> Wskaźnik odkształcenia gruntu - wielkość charakteryzująca stan zagęszczenia</w:t>
      </w:r>
      <w:r w:rsidR="00AB6A92" w:rsidRPr="00B67CD4">
        <w:rPr>
          <w:rFonts w:ascii="Calibri" w:hAnsi="Calibri"/>
        </w:rPr>
        <w:t xml:space="preserve"> gruntu, określona wg wzoru: </w:t>
      </w:r>
    </w:p>
    <w:p w:rsidR="00AB6A92" w:rsidRDefault="00AB6A92" w:rsidP="00AB6A92">
      <w:pPr>
        <w:pStyle w:val="Standardowytekst"/>
        <w:tabs>
          <w:tab w:val="left" w:pos="426"/>
          <w:tab w:val="left" w:pos="709"/>
        </w:tabs>
        <w:jc w:val="center"/>
      </w:pPr>
      <w:r w:rsidRPr="00DF25DF">
        <w:rPr>
          <w:position w:val="-26"/>
        </w:rPr>
        <w:object w:dxaOrig="720" w:dyaOrig="600">
          <v:shape id="_x0000_i1027" type="#_x0000_t75" style="width:37.35pt;height:29.9pt" o:ole="">
            <v:imagedata r:id="rId23" o:title=""/>
          </v:shape>
          <o:OLEObject Type="Embed" ProgID="Equation.3" ShapeID="_x0000_i1027" DrawAspect="Content" ObjectID="_1511981118" r:id="rId24"/>
        </w:object>
      </w:r>
    </w:p>
    <w:p w:rsidR="000628FB" w:rsidRDefault="000628FB" w:rsidP="00AB6A92">
      <w:pPr>
        <w:rPr>
          <w:rFonts w:ascii="Calibri" w:hAnsi="Calibri"/>
        </w:rPr>
      </w:pPr>
    </w:p>
    <w:p w:rsidR="00AB6A92" w:rsidRPr="00B67CD4" w:rsidRDefault="00AB6A92" w:rsidP="00AB6A92">
      <w:pPr>
        <w:rPr>
          <w:rFonts w:ascii="Calibri" w:hAnsi="Calibri"/>
        </w:rPr>
      </w:pPr>
      <w:r w:rsidRPr="00B67CD4">
        <w:rPr>
          <w:rFonts w:ascii="Calibri" w:hAnsi="Calibri"/>
        </w:rPr>
        <w:t>gdzie:</w:t>
      </w:r>
    </w:p>
    <w:p w:rsidR="00AB6A92" w:rsidRPr="000628FB" w:rsidRDefault="00AB6A92" w:rsidP="00AB6A92">
      <w:pPr>
        <w:rPr>
          <w:rFonts w:ascii="Calibri" w:hAnsi="Calibri"/>
          <w:i/>
        </w:rPr>
      </w:pPr>
      <w:r w:rsidRPr="000628FB">
        <w:rPr>
          <w:rFonts w:ascii="Calibri" w:hAnsi="Calibri"/>
          <w:i/>
        </w:rPr>
        <w:t>E1</w:t>
      </w:r>
      <w:r w:rsidRPr="000628FB">
        <w:rPr>
          <w:rFonts w:ascii="Calibri" w:hAnsi="Calibri"/>
          <w:i/>
        </w:rPr>
        <w:tab/>
        <w:t>-</w:t>
      </w:r>
      <w:r w:rsidRPr="000628FB">
        <w:rPr>
          <w:rFonts w:ascii="Calibri" w:hAnsi="Calibri"/>
          <w:i/>
        </w:rPr>
        <w:tab/>
        <w:t>moduł odkształcenia gruntu oznaczony w pierwszym obciążeniu badanej warstwy zgodnie z PN-S-02205:1998 [4],</w:t>
      </w:r>
    </w:p>
    <w:p w:rsidR="00AB6A92" w:rsidRPr="000628FB" w:rsidRDefault="00AB6A92" w:rsidP="00AB6A92">
      <w:pPr>
        <w:rPr>
          <w:rFonts w:ascii="Calibri" w:hAnsi="Calibri"/>
          <w:i/>
        </w:rPr>
      </w:pPr>
      <w:r w:rsidRPr="000628FB">
        <w:rPr>
          <w:rFonts w:ascii="Calibri" w:hAnsi="Calibri"/>
          <w:i/>
        </w:rPr>
        <w:t>E2</w:t>
      </w:r>
      <w:r w:rsidRPr="000628FB">
        <w:rPr>
          <w:rFonts w:ascii="Calibri" w:hAnsi="Calibri"/>
          <w:i/>
        </w:rPr>
        <w:tab/>
        <w:t>-</w:t>
      </w:r>
      <w:r w:rsidRPr="000628FB">
        <w:rPr>
          <w:rFonts w:ascii="Calibri" w:hAnsi="Calibri"/>
          <w:i/>
        </w:rPr>
        <w:tab/>
        <w:t>moduł odkształcenia gruntu oznaczony w powtórnym obciążeniu badanej warstwy zgodnie z PN-S-02205:1998 [4].</w:t>
      </w:r>
    </w:p>
    <w:p w:rsidR="00AB6A92" w:rsidRPr="00B67CD4" w:rsidRDefault="004E39E7" w:rsidP="00AB6A92">
      <w:pPr>
        <w:rPr>
          <w:rFonts w:ascii="Calibri" w:hAnsi="Calibri"/>
        </w:rPr>
      </w:pPr>
      <w:r>
        <w:rPr>
          <w:rFonts w:ascii="Calibri" w:hAnsi="Calibri"/>
          <w:b/>
        </w:rPr>
        <w:t>1.4.</w:t>
      </w:r>
      <w:r w:rsidR="00AB6A92" w:rsidRPr="00B67CD4">
        <w:rPr>
          <w:rFonts w:ascii="Calibri" w:hAnsi="Calibri"/>
          <w:b/>
        </w:rPr>
        <w:t>9.</w:t>
      </w:r>
      <w:r w:rsidR="00AB6A92" w:rsidRPr="00B67CD4">
        <w:rPr>
          <w:rFonts w:ascii="Calibri" w:hAnsi="Calibri"/>
        </w:rPr>
        <w:t xml:space="preserve"> Pozostałe określenia podstawowe są zgodne z obowiązującymi, odpowiednimi polskimi normami i z definicjami podanymi w ST D-M-00.00.00 „Wymagania ogólne” pkt 1.4.</w:t>
      </w:r>
    </w:p>
    <w:p w:rsidR="00AB6A92" w:rsidRPr="00B67CD4" w:rsidRDefault="00AB6A92" w:rsidP="00AB6A92">
      <w:pPr>
        <w:rPr>
          <w:rFonts w:ascii="Calibri" w:hAnsi="Calibri"/>
        </w:rPr>
      </w:pPr>
      <w:bookmarkStart w:id="368" w:name="_Toc405615035"/>
      <w:bookmarkStart w:id="369" w:name="_Toc407161183"/>
      <w:r w:rsidRPr="00B67CD4">
        <w:rPr>
          <w:rFonts w:ascii="Calibri" w:hAnsi="Calibri"/>
          <w:b/>
        </w:rPr>
        <w:t>1.5.</w:t>
      </w:r>
      <w:r w:rsidRPr="00B67CD4">
        <w:rPr>
          <w:rFonts w:ascii="Calibri" w:hAnsi="Calibri"/>
        </w:rPr>
        <w:t xml:space="preserve"> Ogólne wymagania dotyczące robót</w:t>
      </w:r>
      <w:bookmarkEnd w:id="368"/>
      <w:bookmarkEnd w:id="369"/>
    </w:p>
    <w:p w:rsidR="00AB6A92" w:rsidRPr="00B67CD4" w:rsidRDefault="00AB6A92" w:rsidP="00AB6A92">
      <w:pPr>
        <w:rPr>
          <w:rFonts w:ascii="Calibri" w:hAnsi="Calibri"/>
        </w:rPr>
      </w:pPr>
      <w:r w:rsidRPr="00B67CD4">
        <w:rPr>
          <w:rFonts w:ascii="Calibri" w:hAnsi="Calibri"/>
        </w:rPr>
        <w:tab/>
        <w:t>Ogólne wymagania dotyczące robót podano w ST D-M-00.00.00 „Wymagania ogólne” pkt 1.5.</w:t>
      </w:r>
    </w:p>
    <w:p w:rsidR="00AB6A92" w:rsidRDefault="00AB6A92" w:rsidP="00AB6A92">
      <w:pPr>
        <w:rPr>
          <w:rFonts w:ascii="Calibri" w:hAnsi="Calibri"/>
        </w:rPr>
      </w:pPr>
    </w:p>
    <w:p w:rsidR="004E39E7" w:rsidRPr="00B67CD4" w:rsidRDefault="004E39E7" w:rsidP="00AB6A92">
      <w:pPr>
        <w:rPr>
          <w:rFonts w:ascii="Calibri" w:hAnsi="Calibri"/>
        </w:rPr>
      </w:pPr>
    </w:p>
    <w:p w:rsidR="00AB6A92" w:rsidRPr="00B67CD4" w:rsidRDefault="00AB6A92" w:rsidP="00AB6A92">
      <w:pPr>
        <w:rPr>
          <w:rFonts w:ascii="Calibri" w:hAnsi="Calibri"/>
          <w:b/>
        </w:rPr>
      </w:pPr>
      <w:bookmarkStart w:id="370" w:name="_Toc405615036"/>
      <w:bookmarkStart w:id="371" w:name="_Toc407161184"/>
      <w:bookmarkStart w:id="372" w:name="_Toc418996323"/>
      <w:bookmarkStart w:id="373" w:name="_Toc418996692"/>
      <w:bookmarkStart w:id="374" w:name="_Toc418997079"/>
      <w:bookmarkStart w:id="375" w:name="_Toc418998489"/>
      <w:bookmarkStart w:id="376" w:name="_Toc418998845"/>
      <w:bookmarkStart w:id="377" w:name="_Toc419000090"/>
      <w:r w:rsidRPr="00B67CD4">
        <w:rPr>
          <w:rFonts w:ascii="Calibri" w:hAnsi="Calibri"/>
          <w:b/>
        </w:rPr>
        <w:lastRenderedPageBreak/>
        <w:t>2. MATERIAŁY (grunty)</w:t>
      </w:r>
      <w:bookmarkEnd w:id="370"/>
      <w:bookmarkEnd w:id="371"/>
      <w:bookmarkEnd w:id="372"/>
      <w:bookmarkEnd w:id="373"/>
      <w:bookmarkEnd w:id="374"/>
      <w:bookmarkEnd w:id="375"/>
      <w:bookmarkEnd w:id="376"/>
      <w:bookmarkEnd w:id="377"/>
    </w:p>
    <w:p w:rsidR="00AB6A92" w:rsidRPr="00B67CD4" w:rsidRDefault="00AB6A92" w:rsidP="00AB6A92">
      <w:pPr>
        <w:rPr>
          <w:rFonts w:ascii="Calibri" w:hAnsi="Calibri"/>
        </w:rPr>
      </w:pPr>
      <w:bookmarkStart w:id="378" w:name="_Toc405615037"/>
      <w:bookmarkStart w:id="379" w:name="_Toc407161185"/>
      <w:r w:rsidRPr="00B67CD4">
        <w:rPr>
          <w:rFonts w:ascii="Calibri" w:hAnsi="Calibri"/>
          <w:b/>
        </w:rPr>
        <w:t>2.1.</w:t>
      </w:r>
      <w:r w:rsidRPr="00B67CD4">
        <w:rPr>
          <w:rFonts w:ascii="Calibri" w:hAnsi="Calibri"/>
        </w:rPr>
        <w:t xml:space="preserve"> Ogólne wymagania dotyczące materiałów</w:t>
      </w:r>
      <w:bookmarkEnd w:id="378"/>
      <w:bookmarkEnd w:id="379"/>
    </w:p>
    <w:p w:rsidR="00AB6A92" w:rsidRPr="00B67CD4" w:rsidRDefault="00AB6A92" w:rsidP="00AB6A92">
      <w:pPr>
        <w:rPr>
          <w:rFonts w:ascii="Calibri" w:hAnsi="Calibri"/>
        </w:rPr>
      </w:pPr>
      <w:r w:rsidRPr="00B67CD4">
        <w:rPr>
          <w:rFonts w:ascii="Calibri" w:hAnsi="Calibri"/>
        </w:rPr>
        <w:tab/>
        <w:t>Ogólne wymagania dotyczące materiałów, ich pozyskiwania i składowania, podano w ST D-M-00.00.00 „Wymagania ogólne” pkt 2.</w:t>
      </w:r>
    </w:p>
    <w:p w:rsidR="00AB6A92" w:rsidRPr="00B67CD4" w:rsidRDefault="00AB6A92" w:rsidP="00AB6A92">
      <w:pPr>
        <w:rPr>
          <w:rFonts w:ascii="Calibri" w:hAnsi="Calibri"/>
        </w:rPr>
      </w:pPr>
      <w:bookmarkStart w:id="380" w:name="_Toc405615038"/>
      <w:bookmarkStart w:id="381" w:name="_Toc407161186"/>
      <w:r w:rsidRPr="00B67CD4">
        <w:rPr>
          <w:rFonts w:ascii="Calibri" w:hAnsi="Calibri"/>
          <w:b/>
        </w:rPr>
        <w:t>2.2.</w:t>
      </w:r>
      <w:r w:rsidRPr="00B67CD4">
        <w:rPr>
          <w:rFonts w:ascii="Calibri" w:hAnsi="Calibri"/>
        </w:rPr>
        <w:t xml:space="preserve"> Podział gruntów</w:t>
      </w:r>
      <w:bookmarkEnd w:id="380"/>
      <w:bookmarkEnd w:id="381"/>
    </w:p>
    <w:p w:rsidR="00AB6A92" w:rsidRPr="00B67CD4" w:rsidRDefault="00AB6A92" w:rsidP="00AB6A92">
      <w:pPr>
        <w:rPr>
          <w:rFonts w:ascii="Calibri" w:hAnsi="Calibri"/>
        </w:rPr>
      </w:pPr>
      <w:r w:rsidRPr="00B67CD4">
        <w:rPr>
          <w:rFonts w:ascii="Calibri" w:hAnsi="Calibri"/>
        </w:rPr>
        <w:tab/>
        <w:t>Podział gruntów pod względem wysadzinowości podaje tablica 1.</w:t>
      </w:r>
    </w:p>
    <w:p w:rsidR="00D01561" w:rsidRDefault="00AB6A92" w:rsidP="004E39E7">
      <w:pPr>
        <w:rPr>
          <w:rFonts w:ascii="Calibri" w:hAnsi="Calibri"/>
        </w:rPr>
      </w:pPr>
      <w:r w:rsidRPr="00B67CD4">
        <w:rPr>
          <w:rFonts w:ascii="Calibri" w:hAnsi="Calibri"/>
        </w:rPr>
        <w:tab/>
      </w:r>
    </w:p>
    <w:p w:rsidR="00AB6A92" w:rsidRPr="00B67CD4" w:rsidRDefault="00AB6A92" w:rsidP="000628FB">
      <w:pPr>
        <w:pStyle w:val="Standardowytekst"/>
        <w:spacing w:after="120"/>
        <w:ind w:left="709"/>
        <w:rPr>
          <w:rFonts w:ascii="Calibri" w:hAnsi="Calibri"/>
        </w:rPr>
      </w:pPr>
      <w:r w:rsidRPr="00B67CD4">
        <w:rPr>
          <w:rFonts w:ascii="Calibri" w:hAnsi="Calibri"/>
        </w:rPr>
        <w:t>Tablica 1. Podział gruntów pod względem wysadzinowości wg PN-S-02205:1998 [4]</w:t>
      </w:r>
    </w:p>
    <w:tbl>
      <w:tblPr>
        <w:tblW w:w="0" w:type="auto"/>
        <w:tblInd w:w="779" w:type="dxa"/>
        <w:tblLayout w:type="fixed"/>
        <w:tblCellMar>
          <w:left w:w="70" w:type="dxa"/>
          <w:right w:w="70" w:type="dxa"/>
        </w:tblCellMar>
        <w:tblLook w:val="0000"/>
      </w:tblPr>
      <w:tblGrid>
        <w:gridCol w:w="496"/>
        <w:gridCol w:w="1489"/>
        <w:gridCol w:w="708"/>
        <w:gridCol w:w="1557"/>
        <w:gridCol w:w="1628"/>
        <w:gridCol w:w="1629"/>
      </w:tblGrid>
      <w:tr w:rsidR="00AB6A92" w:rsidRPr="000628FB" w:rsidTr="000628FB">
        <w:tc>
          <w:tcPr>
            <w:tcW w:w="496" w:type="dxa"/>
            <w:tcBorders>
              <w:top w:val="single" w:sz="6" w:space="0" w:color="auto"/>
              <w:left w:val="single" w:sz="6" w:space="0" w:color="auto"/>
            </w:tcBorders>
          </w:tcPr>
          <w:p w:rsidR="00AB6A92" w:rsidRPr="000628FB" w:rsidRDefault="00AB6A92" w:rsidP="00AB6A92">
            <w:pPr>
              <w:pStyle w:val="Standardowytekst"/>
              <w:spacing w:before="60"/>
              <w:jc w:val="center"/>
              <w:rPr>
                <w:rFonts w:ascii="Calibri" w:hAnsi="Calibri"/>
                <w:b/>
                <w:sz w:val="18"/>
                <w:szCs w:val="18"/>
              </w:rPr>
            </w:pPr>
            <w:r w:rsidRPr="000628FB">
              <w:rPr>
                <w:rFonts w:ascii="Calibri" w:hAnsi="Calibri"/>
                <w:b/>
                <w:sz w:val="18"/>
                <w:szCs w:val="18"/>
              </w:rPr>
              <w:t>Lp.</w:t>
            </w:r>
          </w:p>
        </w:tc>
        <w:tc>
          <w:tcPr>
            <w:tcW w:w="1489" w:type="dxa"/>
            <w:tcBorders>
              <w:top w:val="single" w:sz="6" w:space="0" w:color="auto"/>
              <w:left w:val="single" w:sz="6" w:space="0" w:color="auto"/>
            </w:tcBorders>
          </w:tcPr>
          <w:p w:rsidR="00AB6A92" w:rsidRPr="000628FB" w:rsidRDefault="00AB6A92" w:rsidP="00AB6A92">
            <w:pPr>
              <w:pStyle w:val="Standardowytekst"/>
              <w:spacing w:before="60"/>
              <w:jc w:val="center"/>
              <w:rPr>
                <w:rFonts w:ascii="Calibri" w:hAnsi="Calibri"/>
                <w:b/>
                <w:sz w:val="18"/>
                <w:szCs w:val="18"/>
              </w:rPr>
            </w:pPr>
            <w:r w:rsidRPr="000628FB">
              <w:rPr>
                <w:rFonts w:ascii="Calibri" w:hAnsi="Calibri"/>
                <w:b/>
                <w:sz w:val="18"/>
                <w:szCs w:val="18"/>
              </w:rPr>
              <w:t>Wyszczególnienie</w:t>
            </w:r>
          </w:p>
        </w:tc>
        <w:tc>
          <w:tcPr>
            <w:tcW w:w="708" w:type="dxa"/>
            <w:tcBorders>
              <w:top w:val="single" w:sz="6" w:space="0" w:color="auto"/>
              <w:left w:val="single" w:sz="6" w:space="0" w:color="auto"/>
            </w:tcBorders>
          </w:tcPr>
          <w:p w:rsidR="00AB6A92" w:rsidRPr="000628FB" w:rsidRDefault="00AB6A92" w:rsidP="00AB6A92">
            <w:pPr>
              <w:pStyle w:val="Standardowytekst"/>
              <w:spacing w:before="60"/>
              <w:jc w:val="center"/>
              <w:rPr>
                <w:rFonts w:ascii="Calibri" w:hAnsi="Calibri"/>
                <w:b/>
                <w:sz w:val="18"/>
                <w:szCs w:val="18"/>
              </w:rPr>
            </w:pPr>
            <w:r w:rsidRPr="000628FB">
              <w:rPr>
                <w:rFonts w:ascii="Calibri" w:hAnsi="Calibri"/>
                <w:b/>
                <w:sz w:val="18"/>
                <w:szCs w:val="18"/>
              </w:rPr>
              <w:t>Jed-</w:t>
            </w:r>
          </w:p>
        </w:tc>
        <w:tc>
          <w:tcPr>
            <w:tcW w:w="4814" w:type="dxa"/>
            <w:gridSpan w:val="3"/>
            <w:tcBorders>
              <w:top w:val="single" w:sz="6" w:space="0" w:color="auto"/>
              <w:left w:val="single" w:sz="6" w:space="0" w:color="auto"/>
              <w:bottom w:val="single" w:sz="6" w:space="0" w:color="auto"/>
              <w:right w:val="single" w:sz="6" w:space="0" w:color="auto"/>
            </w:tcBorders>
          </w:tcPr>
          <w:p w:rsidR="00AB6A92" w:rsidRPr="000628FB" w:rsidRDefault="00AB6A92" w:rsidP="00AB6A92">
            <w:pPr>
              <w:pStyle w:val="Standardowytekst"/>
              <w:spacing w:before="60"/>
              <w:jc w:val="center"/>
              <w:rPr>
                <w:rFonts w:ascii="Calibri" w:hAnsi="Calibri"/>
                <w:b/>
                <w:sz w:val="18"/>
                <w:szCs w:val="18"/>
              </w:rPr>
            </w:pPr>
            <w:r w:rsidRPr="000628FB">
              <w:rPr>
                <w:rFonts w:ascii="Calibri" w:hAnsi="Calibri"/>
                <w:b/>
                <w:sz w:val="18"/>
                <w:szCs w:val="18"/>
              </w:rPr>
              <w:t>Grupy gruntów</w:t>
            </w:r>
          </w:p>
        </w:tc>
      </w:tr>
      <w:tr w:rsidR="00AB6A92" w:rsidRPr="000628FB" w:rsidTr="000628FB">
        <w:tc>
          <w:tcPr>
            <w:tcW w:w="496" w:type="dxa"/>
            <w:tcBorders>
              <w:left w:val="single" w:sz="6" w:space="0" w:color="auto"/>
              <w:bottom w:val="double" w:sz="6" w:space="0" w:color="auto"/>
            </w:tcBorders>
          </w:tcPr>
          <w:p w:rsidR="00AB6A92" w:rsidRPr="000628FB" w:rsidRDefault="00AB6A92" w:rsidP="00AB6A92">
            <w:pPr>
              <w:pStyle w:val="Standardowytekst"/>
              <w:jc w:val="center"/>
              <w:rPr>
                <w:rFonts w:ascii="Calibri" w:hAnsi="Calibri"/>
                <w:b/>
                <w:sz w:val="18"/>
                <w:szCs w:val="18"/>
              </w:rPr>
            </w:pPr>
          </w:p>
        </w:tc>
        <w:tc>
          <w:tcPr>
            <w:tcW w:w="1489" w:type="dxa"/>
            <w:tcBorders>
              <w:left w:val="single" w:sz="6" w:space="0" w:color="auto"/>
              <w:bottom w:val="double" w:sz="6" w:space="0" w:color="auto"/>
            </w:tcBorders>
          </w:tcPr>
          <w:p w:rsidR="00AB6A92" w:rsidRPr="000628FB" w:rsidRDefault="00AB6A92" w:rsidP="00AB6A92">
            <w:pPr>
              <w:pStyle w:val="Standardowytekst"/>
              <w:spacing w:after="60"/>
              <w:jc w:val="center"/>
              <w:rPr>
                <w:rFonts w:ascii="Calibri" w:hAnsi="Calibri"/>
                <w:b/>
                <w:sz w:val="18"/>
                <w:szCs w:val="18"/>
              </w:rPr>
            </w:pPr>
            <w:r w:rsidRPr="000628FB">
              <w:rPr>
                <w:rFonts w:ascii="Calibri" w:hAnsi="Calibri"/>
                <w:b/>
                <w:sz w:val="18"/>
                <w:szCs w:val="18"/>
              </w:rPr>
              <w:t>właściwości</w:t>
            </w:r>
          </w:p>
        </w:tc>
        <w:tc>
          <w:tcPr>
            <w:tcW w:w="708" w:type="dxa"/>
            <w:tcBorders>
              <w:left w:val="single" w:sz="6" w:space="0" w:color="auto"/>
              <w:bottom w:val="double" w:sz="6" w:space="0" w:color="auto"/>
            </w:tcBorders>
          </w:tcPr>
          <w:p w:rsidR="00AB6A92" w:rsidRPr="000628FB" w:rsidRDefault="00AB6A92" w:rsidP="00AB6A92">
            <w:pPr>
              <w:pStyle w:val="Standardowytekst"/>
              <w:spacing w:after="60"/>
              <w:jc w:val="center"/>
              <w:rPr>
                <w:rFonts w:ascii="Calibri" w:hAnsi="Calibri"/>
                <w:b/>
                <w:sz w:val="18"/>
                <w:szCs w:val="18"/>
              </w:rPr>
            </w:pPr>
            <w:r w:rsidRPr="000628FB">
              <w:rPr>
                <w:rFonts w:ascii="Calibri" w:hAnsi="Calibri"/>
                <w:b/>
                <w:sz w:val="18"/>
                <w:szCs w:val="18"/>
              </w:rPr>
              <w:t>nostki</w:t>
            </w:r>
          </w:p>
        </w:tc>
        <w:tc>
          <w:tcPr>
            <w:tcW w:w="1557" w:type="dxa"/>
            <w:tcBorders>
              <w:top w:val="single" w:sz="6" w:space="0" w:color="auto"/>
              <w:left w:val="single" w:sz="6" w:space="0" w:color="auto"/>
              <w:bottom w:val="double" w:sz="6" w:space="0" w:color="auto"/>
              <w:right w:val="single" w:sz="6" w:space="0" w:color="auto"/>
            </w:tcBorders>
          </w:tcPr>
          <w:p w:rsidR="00AB6A92" w:rsidRPr="000628FB" w:rsidRDefault="00AB6A92" w:rsidP="00AB6A92">
            <w:pPr>
              <w:pStyle w:val="Standardowytekst"/>
              <w:spacing w:after="60"/>
              <w:jc w:val="center"/>
              <w:rPr>
                <w:rFonts w:ascii="Calibri" w:hAnsi="Calibri"/>
                <w:b/>
                <w:sz w:val="18"/>
                <w:szCs w:val="18"/>
              </w:rPr>
            </w:pPr>
            <w:r w:rsidRPr="000628FB">
              <w:rPr>
                <w:rFonts w:ascii="Calibri" w:hAnsi="Calibri"/>
                <w:b/>
                <w:sz w:val="18"/>
                <w:szCs w:val="18"/>
              </w:rPr>
              <w:t>niewysadzinowe</w:t>
            </w:r>
          </w:p>
        </w:tc>
        <w:tc>
          <w:tcPr>
            <w:tcW w:w="1628" w:type="dxa"/>
            <w:tcBorders>
              <w:top w:val="single" w:sz="6" w:space="0" w:color="auto"/>
              <w:left w:val="single" w:sz="6" w:space="0" w:color="auto"/>
              <w:bottom w:val="double" w:sz="6" w:space="0" w:color="auto"/>
              <w:right w:val="single" w:sz="6" w:space="0" w:color="auto"/>
            </w:tcBorders>
          </w:tcPr>
          <w:p w:rsidR="00AB6A92" w:rsidRPr="000628FB" w:rsidRDefault="00AB6A92" w:rsidP="00AB6A92">
            <w:pPr>
              <w:pStyle w:val="Standardowytekst"/>
              <w:spacing w:after="60"/>
              <w:jc w:val="center"/>
              <w:rPr>
                <w:rFonts w:ascii="Calibri" w:hAnsi="Calibri"/>
                <w:b/>
                <w:sz w:val="18"/>
                <w:szCs w:val="18"/>
              </w:rPr>
            </w:pPr>
            <w:r w:rsidRPr="000628FB">
              <w:rPr>
                <w:rFonts w:ascii="Calibri" w:hAnsi="Calibri"/>
                <w:b/>
                <w:sz w:val="18"/>
                <w:szCs w:val="18"/>
              </w:rPr>
              <w:t>wątpliwe</w:t>
            </w:r>
          </w:p>
        </w:tc>
        <w:tc>
          <w:tcPr>
            <w:tcW w:w="1629" w:type="dxa"/>
            <w:tcBorders>
              <w:top w:val="single" w:sz="6" w:space="0" w:color="auto"/>
              <w:left w:val="single" w:sz="6" w:space="0" w:color="auto"/>
              <w:bottom w:val="double" w:sz="6" w:space="0" w:color="auto"/>
              <w:right w:val="single" w:sz="6" w:space="0" w:color="auto"/>
            </w:tcBorders>
          </w:tcPr>
          <w:p w:rsidR="00AB6A92" w:rsidRPr="000628FB" w:rsidRDefault="00AB6A92" w:rsidP="00AB6A92">
            <w:pPr>
              <w:pStyle w:val="Standardowytekst"/>
              <w:spacing w:after="60"/>
              <w:jc w:val="center"/>
              <w:rPr>
                <w:rFonts w:ascii="Calibri" w:hAnsi="Calibri"/>
                <w:b/>
                <w:sz w:val="18"/>
                <w:szCs w:val="18"/>
              </w:rPr>
            </w:pPr>
            <w:r w:rsidRPr="000628FB">
              <w:rPr>
                <w:rFonts w:ascii="Calibri" w:hAnsi="Calibri"/>
                <w:b/>
                <w:sz w:val="18"/>
                <w:szCs w:val="18"/>
              </w:rPr>
              <w:t>wysadzinowe</w:t>
            </w:r>
          </w:p>
        </w:tc>
      </w:tr>
      <w:tr w:rsidR="00AB6A92" w:rsidRPr="000628FB" w:rsidTr="000628FB">
        <w:tc>
          <w:tcPr>
            <w:tcW w:w="496" w:type="dxa"/>
            <w:tcBorders>
              <w:left w:val="single" w:sz="6" w:space="0" w:color="auto"/>
              <w:bottom w:val="single" w:sz="6" w:space="0" w:color="auto"/>
              <w:right w:val="single" w:sz="6" w:space="0" w:color="auto"/>
            </w:tcBorders>
          </w:tcPr>
          <w:p w:rsidR="00AB6A92" w:rsidRPr="000628FB" w:rsidRDefault="00AB6A92" w:rsidP="00AB6A92">
            <w:pPr>
              <w:pStyle w:val="Standardowytekst"/>
              <w:jc w:val="center"/>
              <w:rPr>
                <w:rFonts w:ascii="Calibri" w:hAnsi="Calibri"/>
                <w:sz w:val="18"/>
                <w:szCs w:val="18"/>
              </w:rPr>
            </w:pPr>
            <w:r w:rsidRPr="000628FB">
              <w:rPr>
                <w:rFonts w:ascii="Calibri" w:hAnsi="Calibri"/>
                <w:sz w:val="18"/>
                <w:szCs w:val="18"/>
              </w:rPr>
              <w:t>1</w:t>
            </w:r>
          </w:p>
        </w:tc>
        <w:tc>
          <w:tcPr>
            <w:tcW w:w="1489" w:type="dxa"/>
            <w:tcBorders>
              <w:left w:val="single" w:sz="6" w:space="0" w:color="auto"/>
              <w:bottom w:val="single" w:sz="6" w:space="0" w:color="auto"/>
              <w:right w:val="single" w:sz="6" w:space="0" w:color="auto"/>
            </w:tcBorders>
          </w:tcPr>
          <w:p w:rsidR="00AB6A92" w:rsidRPr="000628FB" w:rsidRDefault="00AB6A92" w:rsidP="00AB6A92">
            <w:pPr>
              <w:pStyle w:val="Standardowytekst"/>
              <w:rPr>
                <w:rFonts w:ascii="Calibri" w:hAnsi="Calibri"/>
                <w:sz w:val="18"/>
                <w:szCs w:val="18"/>
              </w:rPr>
            </w:pPr>
            <w:r w:rsidRPr="000628FB">
              <w:rPr>
                <w:rFonts w:ascii="Calibri" w:hAnsi="Calibri"/>
                <w:sz w:val="18"/>
                <w:szCs w:val="18"/>
              </w:rPr>
              <w:t>Rodzaj gruntu</w:t>
            </w:r>
          </w:p>
        </w:tc>
        <w:tc>
          <w:tcPr>
            <w:tcW w:w="708" w:type="dxa"/>
            <w:tcBorders>
              <w:left w:val="single" w:sz="6" w:space="0" w:color="auto"/>
              <w:bottom w:val="single" w:sz="6" w:space="0" w:color="auto"/>
              <w:right w:val="single" w:sz="6" w:space="0" w:color="auto"/>
            </w:tcBorders>
          </w:tcPr>
          <w:p w:rsidR="00AB6A92" w:rsidRPr="000628FB" w:rsidRDefault="00AB6A92" w:rsidP="00AB6A92">
            <w:pPr>
              <w:pStyle w:val="Standardowytekst"/>
              <w:jc w:val="center"/>
              <w:rPr>
                <w:rFonts w:ascii="Calibri" w:hAnsi="Calibri"/>
                <w:sz w:val="18"/>
                <w:szCs w:val="18"/>
              </w:rPr>
            </w:pPr>
          </w:p>
        </w:tc>
        <w:tc>
          <w:tcPr>
            <w:tcW w:w="1557" w:type="dxa"/>
            <w:tcBorders>
              <w:left w:val="single" w:sz="6" w:space="0" w:color="auto"/>
              <w:bottom w:val="single" w:sz="6" w:space="0" w:color="auto"/>
              <w:right w:val="single" w:sz="6" w:space="0" w:color="auto"/>
            </w:tcBorders>
          </w:tcPr>
          <w:p w:rsidR="00AB6A92" w:rsidRPr="000628FB" w:rsidRDefault="00AB6A92" w:rsidP="005D7D19">
            <w:pPr>
              <w:pStyle w:val="Standardowytekst"/>
              <w:numPr>
                <w:ilvl w:val="0"/>
                <w:numId w:val="1"/>
              </w:numPr>
              <w:ind w:left="0"/>
              <w:rPr>
                <w:rFonts w:ascii="Calibri" w:hAnsi="Calibri"/>
                <w:sz w:val="18"/>
                <w:szCs w:val="18"/>
              </w:rPr>
            </w:pPr>
            <w:r w:rsidRPr="000628FB">
              <w:rPr>
                <w:rFonts w:ascii="Calibri" w:hAnsi="Calibri"/>
                <w:sz w:val="18"/>
                <w:szCs w:val="18"/>
              </w:rPr>
              <w:t>rumosz niegliniasty</w:t>
            </w:r>
          </w:p>
          <w:p w:rsidR="00AB6A92" w:rsidRPr="000628FB" w:rsidRDefault="00AB6A92" w:rsidP="005D7D19">
            <w:pPr>
              <w:pStyle w:val="Standardowytekst"/>
              <w:numPr>
                <w:ilvl w:val="0"/>
                <w:numId w:val="1"/>
              </w:numPr>
              <w:ind w:left="0"/>
              <w:rPr>
                <w:rFonts w:ascii="Calibri" w:hAnsi="Calibri"/>
                <w:sz w:val="18"/>
                <w:szCs w:val="18"/>
              </w:rPr>
            </w:pPr>
            <w:r w:rsidRPr="000628FB">
              <w:rPr>
                <w:rFonts w:ascii="Calibri" w:hAnsi="Calibri"/>
                <w:sz w:val="18"/>
                <w:szCs w:val="18"/>
              </w:rPr>
              <w:t>żwir</w:t>
            </w:r>
          </w:p>
          <w:p w:rsidR="00AB6A92" w:rsidRPr="000628FB" w:rsidRDefault="00AB6A92" w:rsidP="005D7D19">
            <w:pPr>
              <w:pStyle w:val="Standardowytekst"/>
              <w:numPr>
                <w:ilvl w:val="0"/>
                <w:numId w:val="1"/>
              </w:numPr>
              <w:ind w:left="0"/>
              <w:rPr>
                <w:rFonts w:ascii="Calibri" w:hAnsi="Calibri"/>
                <w:sz w:val="18"/>
                <w:szCs w:val="18"/>
              </w:rPr>
            </w:pPr>
            <w:r w:rsidRPr="000628FB">
              <w:rPr>
                <w:rFonts w:ascii="Calibri" w:hAnsi="Calibri"/>
                <w:sz w:val="18"/>
                <w:szCs w:val="18"/>
              </w:rPr>
              <w:t>pospółka</w:t>
            </w:r>
          </w:p>
          <w:p w:rsidR="00AB6A92" w:rsidRPr="000628FB" w:rsidRDefault="00AB6A92" w:rsidP="005D7D19">
            <w:pPr>
              <w:pStyle w:val="Standardowytekst"/>
              <w:numPr>
                <w:ilvl w:val="0"/>
                <w:numId w:val="1"/>
              </w:numPr>
              <w:ind w:left="0"/>
              <w:rPr>
                <w:rFonts w:ascii="Calibri" w:hAnsi="Calibri"/>
                <w:sz w:val="18"/>
                <w:szCs w:val="18"/>
              </w:rPr>
            </w:pPr>
            <w:r w:rsidRPr="000628FB">
              <w:rPr>
                <w:rFonts w:ascii="Calibri" w:hAnsi="Calibri"/>
                <w:sz w:val="18"/>
                <w:szCs w:val="18"/>
              </w:rPr>
              <w:t>piasek gruby</w:t>
            </w:r>
          </w:p>
          <w:p w:rsidR="00AB6A92" w:rsidRPr="000628FB" w:rsidRDefault="00AB6A92" w:rsidP="005D7D19">
            <w:pPr>
              <w:pStyle w:val="Standardowytekst"/>
              <w:numPr>
                <w:ilvl w:val="0"/>
                <w:numId w:val="1"/>
              </w:numPr>
              <w:ind w:left="0"/>
              <w:rPr>
                <w:rFonts w:ascii="Calibri" w:hAnsi="Calibri"/>
                <w:sz w:val="18"/>
                <w:szCs w:val="18"/>
              </w:rPr>
            </w:pPr>
            <w:r w:rsidRPr="000628FB">
              <w:rPr>
                <w:rFonts w:ascii="Calibri" w:hAnsi="Calibri"/>
                <w:sz w:val="18"/>
                <w:szCs w:val="18"/>
              </w:rPr>
              <w:t>piasek średni</w:t>
            </w:r>
          </w:p>
          <w:p w:rsidR="00AB6A92" w:rsidRPr="000628FB" w:rsidRDefault="00AB6A92" w:rsidP="005D7D19">
            <w:pPr>
              <w:pStyle w:val="Standardowytekst"/>
              <w:numPr>
                <w:ilvl w:val="0"/>
                <w:numId w:val="1"/>
              </w:numPr>
              <w:ind w:left="0"/>
              <w:rPr>
                <w:rFonts w:ascii="Calibri" w:hAnsi="Calibri"/>
                <w:sz w:val="18"/>
                <w:szCs w:val="18"/>
              </w:rPr>
            </w:pPr>
            <w:r w:rsidRPr="000628FB">
              <w:rPr>
                <w:rFonts w:ascii="Calibri" w:hAnsi="Calibri"/>
                <w:sz w:val="18"/>
                <w:szCs w:val="18"/>
              </w:rPr>
              <w:t>piasek drobny</w:t>
            </w:r>
          </w:p>
          <w:p w:rsidR="00AB6A92" w:rsidRPr="000628FB" w:rsidRDefault="00AB6A92" w:rsidP="005D7D19">
            <w:pPr>
              <w:pStyle w:val="Standardowytekst"/>
              <w:numPr>
                <w:ilvl w:val="0"/>
                <w:numId w:val="1"/>
              </w:numPr>
              <w:ind w:left="0"/>
              <w:rPr>
                <w:rFonts w:ascii="Calibri" w:hAnsi="Calibri"/>
                <w:sz w:val="18"/>
                <w:szCs w:val="18"/>
              </w:rPr>
            </w:pPr>
            <w:r w:rsidRPr="000628FB">
              <w:rPr>
                <w:rFonts w:ascii="Calibri" w:hAnsi="Calibri"/>
                <w:sz w:val="18"/>
                <w:szCs w:val="18"/>
              </w:rPr>
              <w:t>żużel nierozpadowy</w:t>
            </w:r>
          </w:p>
        </w:tc>
        <w:tc>
          <w:tcPr>
            <w:tcW w:w="1628" w:type="dxa"/>
            <w:tcBorders>
              <w:left w:val="single" w:sz="6" w:space="0" w:color="auto"/>
              <w:bottom w:val="single" w:sz="6" w:space="0" w:color="auto"/>
              <w:right w:val="single" w:sz="6" w:space="0" w:color="auto"/>
            </w:tcBorders>
          </w:tcPr>
          <w:p w:rsidR="00AB6A92" w:rsidRPr="000628FB" w:rsidRDefault="00AB6A92" w:rsidP="005D7D19">
            <w:pPr>
              <w:pStyle w:val="Standardowytekst"/>
              <w:numPr>
                <w:ilvl w:val="0"/>
                <w:numId w:val="1"/>
              </w:numPr>
              <w:ind w:left="0"/>
              <w:rPr>
                <w:rFonts w:ascii="Calibri" w:hAnsi="Calibri"/>
                <w:sz w:val="18"/>
                <w:szCs w:val="18"/>
              </w:rPr>
            </w:pPr>
            <w:r w:rsidRPr="000628FB">
              <w:rPr>
                <w:rFonts w:ascii="Calibri" w:hAnsi="Calibri"/>
                <w:sz w:val="18"/>
                <w:szCs w:val="18"/>
              </w:rPr>
              <w:t>piasek pylasty</w:t>
            </w:r>
          </w:p>
          <w:p w:rsidR="00AB6A92" w:rsidRPr="000628FB" w:rsidRDefault="00AB6A92" w:rsidP="005D7D19">
            <w:pPr>
              <w:pStyle w:val="Standardowytekst"/>
              <w:numPr>
                <w:ilvl w:val="0"/>
                <w:numId w:val="1"/>
              </w:numPr>
              <w:ind w:left="0"/>
              <w:rPr>
                <w:rFonts w:ascii="Calibri" w:hAnsi="Calibri"/>
                <w:sz w:val="18"/>
                <w:szCs w:val="18"/>
              </w:rPr>
            </w:pPr>
            <w:r w:rsidRPr="000628FB">
              <w:rPr>
                <w:rFonts w:ascii="Calibri" w:hAnsi="Calibri"/>
                <w:sz w:val="18"/>
                <w:szCs w:val="18"/>
              </w:rPr>
              <w:t>zwietrzelina gliniasta</w:t>
            </w:r>
          </w:p>
          <w:p w:rsidR="00AB6A92" w:rsidRPr="000628FB" w:rsidRDefault="00AB6A92" w:rsidP="005D7D19">
            <w:pPr>
              <w:pStyle w:val="Standardowytekst"/>
              <w:numPr>
                <w:ilvl w:val="0"/>
                <w:numId w:val="1"/>
              </w:numPr>
              <w:ind w:left="0"/>
              <w:rPr>
                <w:rFonts w:ascii="Calibri" w:hAnsi="Calibri"/>
                <w:sz w:val="18"/>
                <w:szCs w:val="18"/>
              </w:rPr>
            </w:pPr>
            <w:r w:rsidRPr="000628FB">
              <w:rPr>
                <w:rFonts w:ascii="Calibri" w:hAnsi="Calibri"/>
                <w:sz w:val="18"/>
                <w:szCs w:val="18"/>
              </w:rPr>
              <w:t>rumosz gliniasty</w:t>
            </w:r>
          </w:p>
          <w:p w:rsidR="00AB6A92" w:rsidRPr="000628FB" w:rsidRDefault="00AB6A92" w:rsidP="005D7D19">
            <w:pPr>
              <w:pStyle w:val="Standardowytekst"/>
              <w:numPr>
                <w:ilvl w:val="0"/>
                <w:numId w:val="1"/>
              </w:numPr>
              <w:ind w:left="0"/>
              <w:rPr>
                <w:rFonts w:ascii="Calibri" w:hAnsi="Calibri"/>
                <w:sz w:val="18"/>
                <w:szCs w:val="18"/>
              </w:rPr>
            </w:pPr>
            <w:r w:rsidRPr="000628FB">
              <w:rPr>
                <w:rFonts w:ascii="Calibri" w:hAnsi="Calibri"/>
                <w:sz w:val="18"/>
                <w:szCs w:val="18"/>
              </w:rPr>
              <w:t>żwir gliniasty</w:t>
            </w:r>
          </w:p>
          <w:p w:rsidR="00AB6A92" w:rsidRPr="000628FB" w:rsidRDefault="00AB6A92" w:rsidP="005D7D19">
            <w:pPr>
              <w:pStyle w:val="Standardowytekst"/>
              <w:numPr>
                <w:ilvl w:val="0"/>
                <w:numId w:val="1"/>
              </w:numPr>
              <w:ind w:left="0"/>
              <w:rPr>
                <w:rFonts w:ascii="Calibri" w:hAnsi="Calibri"/>
                <w:sz w:val="18"/>
                <w:szCs w:val="18"/>
              </w:rPr>
            </w:pPr>
            <w:r w:rsidRPr="000628FB">
              <w:rPr>
                <w:rFonts w:ascii="Calibri" w:hAnsi="Calibri"/>
                <w:sz w:val="18"/>
                <w:szCs w:val="18"/>
              </w:rPr>
              <w:t>pospółka gliniasta</w:t>
            </w:r>
          </w:p>
        </w:tc>
        <w:tc>
          <w:tcPr>
            <w:tcW w:w="1629" w:type="dxa"/>
            <w:tcBorders>
              <w:left w:val="single" w:sz="6" w:space="0" w:color="auto"/>
              <w:bottom w:val="single" w:sz="6" w:space="0" w:color="auto"/>
              <w:right w:val="single" w:sz="6" w:space="0" w:color="auto"/>
            </w:tcBorders>
          </w:tcPr>
          <w:p w:rsidR="00AB6A92" w:rsidRPr="000628FB" w:rsidRDefault="00AB6A92" w:rsidP="00AB6A92">
            <w:pPr>
              <w:pStyle w:val="Standardowytekst"/>
              <w:numPr>
                <w:ilvl w:val="12"/>
                <w:numId w:val="0"/>
              </w:numPr>
              <w:rPr>
                <w:rFonts w:ascii="Calibri" w:hAnsi="Calibri"/>
                <w:sz w:val="18"/>
                <w:szCs w:val="18"/>
              </w:rPr>
            </w:pPr>
            <w:r w:rsidRPr="000628FB">
              <w:rPr>
                <w:rFonts w:ascii="Calibri" w:hAnsi="Calibri"/>
                <w:b/>
                <w:sz w:val="18"/>
                <w:szCs w:val="18"/>
              </w:rPr>
              <w:t>mało wysadzinowe</w:t>
            </w:r>
          </w:p>
          <w:p w:rsidR="00AB6A92" w:rsidRPr="000628FB" w:rsidRDefault="00AB6A92" w:rsidP="005D7D19">
            <w:pPr>
              <w:pStyle w:val="Standardowytekst"/>
              <w:numPr>
                <w:ilvl w:val="0"/>
                <w:numId w:val="1"/>
              </w:numPr>
              <w:ind w:left="0"/>
              <w:jc w:val="left"/>
              <w:rPr>
                <w:rFonts w:ascii="Calibri" w:hAnsi="Calibri"/>
                <w:sz w:val="18"/>
                <w:szCs w:val="18"/>
              </w:rPr>
            </w:pPr>
            <w:r w:rsidRPr="000628FB">
              <w:rPr>
                <w:rFonts w:ascii="Calibri" w:hAnsi="Calibri"/>
                <w:sz w:val="18"/>
                <w:szCs w:val="18"/>
              </w:rPr>
              <w:t>glina piaszczysta zwięzła,</w:t>
            </w:r>
          </w:p>
          <w:p w:rsidR="00AB6A92" w:rsidRPr="000628FB" w:rsidRDefault="00AB6A92" w:rsidP="005D7D19">
            <w:pPr>
              <w:pStyle w:val="Standardowytekst"/>
              <w:numPr>
                <w:ilvl w:val="0"/>
                <w:numId w:val="1"/>
              </w:numPr>
              <w:ind w:left="0"/>
              <w:jc w:val="left"/>
              <w:rPr>
                <w:rFonts w:ascii="Calibri" w:hAnsi="Calibri"/>
                <w:sz w:val="18"/>
                <w:szCs w:val="18"/>
              </w:rPr>
            </w:pPr>
            <w:r w:rsidRPr="000628FB">
              <w:rPr>
                <w:rFonts w:ascii="Calibri" w:hAnsi="Calibri"/>
                <w:sz w:val="18"/>
                <w:szCs w:val="18"/>
              </w:rPr>
              <w:t xml:space="preserve"> glina zwięzła,</w:t>
            </w:r>
          </w:p>
          <w:p w:rsidR="00AB6A92" w:rsidRPr="000628FB" w:rsidRDefault="00AB6A92" w:rsidP="005D7D19">
            <w:pPr>
              <w:pStyle w:val="Standardowytekst"/>
              <w:numPr>
                <w:ilvl w:val="0"/>
                <w:numId w:val="1"/>
              </w:numPr>
              <w:ind w:left="0"/>
              <w:jc w:val="left"/>
              <w:rPr>
                <w:rFonts w:ascii="Calibri" w:hAnsi="Calibri"/>
                <w:sz w:val="18"/>
                <w:szCs w:val="18"/>
              </w:rPr>
            </w:pPr>
            <w:r w:rsidRPr="000628FB">
              <w:rPr>
                <w:rFonts w:ascii="Calibri" w:hAnsi="Calibri"/>
                <w:sz w:val="18"/>
                <w:szCs w:val="18"/>
              </w:rPr>
              <w:t xml:space="preserve"> glina pylasta zwięzła</w:t>
            </w:r>
          </w:p>
          <w:p w:rsidR="00AB6A92" w:rsidRPr="000628FB" w:rsidRDefault="00AB6A92" w:rsidP="005D7D19">
            <w:pPr>
              <w:pStyle w:val="Standardowytekst"/>
              <w:numPr>
                <w:ilvl w:val="0"/>
                <w:numId w:val="1"/>
              </w:numPr>
              <w:ind w:left="0"/>
              <w:jc w:val="left"/>
              <w:rPr>
                <w:rFonts w:ascii="Calibri" w:hAnsi="Calibri"/>
                <w:sz w:val="18"/>
                <w:szCs w:val="18"/>
              </w:rPr>
            </w:pPr>
            <w:r w:rsidRPr="000628FB">
              <w:rPr>
                <w:rFonts w:ascii="Calibri" w:hAnsi="Calibri"/>
                <w:sz w:val="18"/>
                <w:szCs w:val="18"/>
              </w:rPr>
              <w:t>ił,</w:t>
            </w:r>
          </w:p>
          <w:p w:rsidR="00AB6A92" w:rsidRPr="000628FB" w:rsidRDefault="00AB6A92" w:rsidP="005D7D19">
            <w:pPr>
              <w:pStyle w:val="Standardowytekst"/>
              <w:numPr>
                <w:ilvl w:val="0"/>
                <w:numId w:val="1"/>
              </w:numPr>
              <w:ind w:left="0"/>
              <w:jc w:val="left"/>
              <w:rPr>
                <w:rFonts w:ascii="Calibri" w:hAnsi="Calibri"/>
                <w:sz w:val="18"/>
                <w:szCs w:val="18"/>
              </w:rPr>
            </w:pPr>
            <w:r w:rsidRPr="000628FB">
              <w:rPr>
                <w:rFonts w:ascii="Calibri" w:hAnsi="Calibri"/>
                <w:sz w:val="18"/>
                <w:szCs w:val="18"/>
              </w:rPr>
              <w:t xml:space="preserve"> ił piaszczysty, </w:t>
            </w:r>
          </w:p>
          <w:p w:rsidR="00AB6A92" w:rsidRPr="000628FB" w:rsidRDefault="00AB6A92" w:rsidP="005D7D19">
            <w:pPr>
              <w:pStyle w:val="Standardowytekst"/>
              <w:numPr>
                <w:ilvl w:val="0"/>
                <w:numId w:val="1"/>
              </w:numPr>
              <w:ind w:left="0"/>
              <w:jc w:val="left"/>
              <w:rPr>
                <w:rFonts w:ascii="Calibri" w:hAnsi="Calibri"/>
                <w:sz w:val="18"/>
                <w:szCs w:val="18"/>
              </w:rPr>
            </w:pPr>
            <w:r w:rsidRPr="000628FB">
              <w:rPr>
                <w:rFonts w:ascii="Calibri" w:hAnsi="Calibri"/>
                <w:sz w:val="18"/>
                <w:szCs w:val="18"/>
              </w:rPr>
              <w:t>ił pylasty</w:t>
            </w:r>
          </w:p>
          <w:p w:rsidR="00AB6A92" w:rsidRPr="000628FB" w:rsidRDefault="00AB6A92" w:rsidP="00AB6A92">
            <w:pPr>
              <w:pStyle w:val="Standardowytekst"/>
              <w:numPr>
                <w:ilvl w:val="12"/>
                <w:numId w:val="0"/>
              </w:numPr>
              <w:jc w:val="left"/>
              <w:rPr>
                <w:rFonts w:ascii="Calibri" w:hAnsi="Calibri"/>
                <w:b/>
                <w:sz w:val="18"/>
                <w:szCs w:val="18"/>
              </w:rPr>
            </w:pPr>
            <w:r w:rsidRPr="000628FB">
              <w:rPr>
                <w:rFonts w:ascii="Calibri" w:hAnsi="Calibri"/>
                <w:b/>
                <w:sz w:val="18"/>
                <w:szCs w:val="18"/>
              </w:rPr>
              <w:t>bardzo wysadzinowe</w:t>
            </w:r>
          </w:p>
          <w:p w:rsidR="00AB6A92" w:rsidRPr="000628FB" w:rsidRDefault="00AB6A92" w:rsidP="005D7D19">
            <w:pPr>
              <w:pStyle w:val="Standardowytekst"/>
              <w:numPr>
                <w:ilvl w:val="0"/>
                <w:numId w:val="1"/>
              </w:numPr>
              <w:ind w:left="0"/>
              <w:jc w:val="left"/>
              <w:rPr>
                <w:rFonts w:ascii="Calibri" w:hAnsi="Calibri"/>
                <w:sz w:val="18"/>
                <w:szCs w:val="18"/>
              </w:rPr>
            </w:pPr>
            <w:r w:rsidRPr="000628FB">
              <w:rPr>
                <w:rFonts w:ascii="Calibri" w:hAnsi="Calibri"/>
                <w:sz w:val="18"/>
                <w:szCs w:val="18"/>
              </w:rPr>
              <w:t>piasek gliniasty</w:t>
            </w:r>
          </w:p>
          <w:p w:rsidR="00AB6A92" w:rsidRPr="000628FB" w:rsidRDefault="00AB6A92" w:rsidP="005D7D19">
            <w:pPr>
              <w:pStyle w:val="Standardowytekst"/>
              <w:numPr>
                <w:ilvl w:val="0"/>
                <w:numId w:val="1"/>
              </w:numPr>
              <w:ind w:left="0"/>
              <w:jc w:val="left"/>
              <w:rPr>
                <w:rFonts w:ascii="Calibri" w:hAnsi="Calibri"/>
                <w:sz w:val="18"/>
                <w:szCs w:val="18"/>
              </w:rPr>
            </w:pPr>
            <w:r w:rsidRPr="000628FB">
              <w:rPr>
                <w:rFonts w:ascii="Calibri" w:hAnsi="Calibri"/>
                <w:sz w:val="18"/>
                <w:szCs w:val="18"/>
              </w:rPr>
              <w:t xml:space="preserve">pył, </w:t>
            </w:r>
          </w:p>
          <w:p w:rsidR="00AB6A92" w:rsidRPr="000628FB" w:rsidRDefault="00190CF5" w:rsidP="005D7D19">
            <w:pPr>
              <w:pStyle w:val="Standardowytekst"/>
              <w:numPr>
                <w:ilvl w:val="0"/>
                <w:numId w:val="1"/>
              </w:numPr>
              <w:ind w:left="0"/>
              <w:jc w:val="left"/>
              <w:rPr>
                <w:rFonts w:ascii="Calibri" w:hAnsi="Calibri"/>
                <w:sz w:val="18"/>
                <w:szCs w:val="18"/>
              </w:rPr>
            </w:pPr>
            <w:r>
              <w:rPr>
                <w:rFonts w:ascii="Calibri" w:hAnsi="Calibri"/>
                <w:sz w:val="18"/>
                <w:szCs w:val="18"/>
              </w:rPr>
              <w:t>pył piasz</w:t>
            </w:r>
            <w:r w:rsidR="00AB6A92" w:rsidRPr="000628FB">
              <w:rPr>
                <w:rFonts w:ascii="Calibri" w:hAnsi="Calibri"/>
                <w:sz w:val="18"/>
                <w:szCs w:val="18"/>
              </w:rPr>
              <w:t>czysty</w:t>
            </w:r>
          </w:p>
          <w:p w:rsidR="00AB6A92" w:rsidRPr="000628FB" w:rsidRDefault="00AB6A92" w:rsidP="005D7D19">
            <w:pPr>
              <w:pStyle w:val="Standardowytekst"/>
              <w:numPr>
                <w:ilvl w:val="0"/>
                <w:numId w:val="1"/>
              </w:numPr>
              <w:ind w:left="0"/>
              <w:jc w:val="left"/>
              <w:rPr>
                <w:rFonts w:ascii="Calibri" w:hAnsi="Calibri"/>
                <w:sz w:val="18"/>
                <w:szCs w:val="18"/>
              </w:rPr>
            </w:pPr>
            <w:r w:rsidRPr="000628FB">
              <w:rPr>
                <w:rFonts w:ascii="Calibri" w:hAnsi="Calibri"/>
                <w:sz w:val="18"/>
                <w:szCs w:val="18"/>
              </w:rPr>
              <w:t xml:space="preserve">glina piaszczysta, </w:t>
            </w:r>
          </w:p>
          <w:p w:rsidR="00AB6A92" w:rsidRPr="000628FB" w:rsidRDefault="00AB6A92" w:rsidP="005D7D19">
            <w:pPr>
              <w:pStyle w:val="Standardowytekst"/>
              <w:numPr>
                <w:ilvl w:val="0"/>
                <w:numId w:val="1"/>
              </w:numPr>
              <w:ind w:left="0"/>
              <w:jc w:val="left"/>
              <w:rPr>
                <w:rFonts w:ascii="Calibri" w:hAnsi="Calibri"/>
                <w:sz w:val="18"/>
                <w:szCs w:val="18"/>
              </w:rPr>
            </w:pPr>
            <w:r w:rsidRPr="000628FB">
              <w:rPr>
                <w:rFonts w:ascii="Calibri" w:hAnsi="Calibri"/>
                <w:sz w:val="18"/>
                <w:szCs w:val="18"/>
              </w:rPr>
              <w:t>glina,</w:t>
            </w:r>
          </w:p>
          <w:p w:rsidR="00AB6A92" w:rsidRPr="000628FB" w:rsidRDefault="00AB6A92" w:rsidP="005D7D19">
            <w:pPr>
              <w:pStyle w:val="Standardowytekst"/>
              <w:numPr>
                <w:ilvl w:val="0"/>
                <w:numId w:val="1"/>
              </w:numPr>
              <w:ind w:left="0"/>
              <w:jc w:val="left"/>
              <w:rPr>
                <w:rFonts w:ascii="Calibri" w:hAnsi="Calibri"/>
                <w:sz w:val="18"/>
                <w:szCs w:val="18"/>
              </w:rPr>
            </w:pPr>
            <w:r w:rsidRPr="000628FB">
              <w:rPr>
                <w:rFonts w:ascii="Calibri" w:hAnsi="Calibri"/>
                <w:sz w:val="18"/>
                <w:szCs w:val="18"/>
              </w:rPr>
              <w:t>glina pylasta</w:t>
            </w:r>
          </w:p>
          <w:p w:rsidR="00AB6A92" w:rsidRPr="000628FB" w:rsidRDefault="00AB6A92" w:rsidP="005D7D19">
            <w:pPr>
              <w:pStyle w:val="Standardowytekst"/>
              <w:numPr>
                <w:ilvl w:val="0"/>
                <w:numId w:val="1"/>
              </w:numPr>
              <w:ind w:left="0"/>
              <w:jc w:val="left"/>
              <w:rPr>
                <w:rFonts w:ascii="Calibri" w:hAnsi="Calibri"/>
                <w:sz w:val="18"/>
                <w:szCs w:val="18"/>
              </w:rPr>
            </w:pPr>
            <w:r w:rsidRPr="000628FB">
              <w:rPr>
                <w:rFonts w:ascii="Calibri" w:hAnsi="Calibri"/>
                <w:sz w:val="18"/>
                <w:szCs w:val="18"/>
              </w:rPr>
              <w:t>ił warwowy</w:t>
            </w:r>
          </w:p>
        </w:tc>
      </w:tr>
      <w:tr w:rsidR="00AB6A92" w:rsidRPr="000628FB" w:rsidTr="000628FB">
        <w:tc>
          <w:tcPr>
            <w:tcW w:w="496" w:type="dxa"/>
            <w:tcBorders>
              <w:top w:val="single" w:sz="6" w:space="0" w:color="auto"/>
              <w:left w:val="single" w:sz="6" w:space="0" w:color="auto"/>
              <w:bottom w:val="single" w:sz="6" w:space="0" w:color="auto"/>
              <w:right w:val="single" w:sz="6" w:space="0" w:color="auto"/>
            </w:tcBorders>
          </w:tcPr>
          <w:p w:rsidR="00AB6A92" w:rsidRPr="000628FB" w:rsidRDefault="00AB6A92" w:rsidP="00AB6A92">
            <w:pPr>
              <w:pStyle w:val="Standardowytekst"/>
              <w:numPr>
                <w:ilvl w:val="12"/>
                <w:numId w:val="0"/>
              </w:numPr>
              <w:jc w:val="center"/>
              <w:rPr>
                <w:rFonts w:ascii="Calibri" w:hAnsi="Calibri"/>
                <w:sz w:val="18"/>
                <w:szCs w:val="18"/>
              </w:rPr>
            </w:pPr>
            <w:r w:rsidRPr="000628FB">
              <w:rPr>
                <w:rFonts w:ascii="Calibri" w:hAnsi="Calibri"/>
                <w:sz w:val="18"/>
                <w:szCs w:val="18"/>
              </w:rPr>
              <w:t>2</w:t>
            </w:r>
          </w:p>
        </w:tc>
        <w:tc>
          <w:tcPr>
            <w:tcW w:w="1489" w:type="dxa"/>
            <w:tcBorders>
              <w:top w:val="single" w:sz="6" w:space="0" w:color="auto"/>
              <w:left w:val="single" w:sz="6" w:space="0" w:color="auto"/>
              <w:bottom w:val="single" w:sz="6" w:space="0" w:color="auto"/>
              <w:right w:val="single" w:sz="6" w:space="0" w:color="auto"/>
            </w:tcBorders>
          </w:tcPr>
          <w:p w:rsidR="00AB6A92" w:rsidRPr="000628FB" w:rsidRDefault="00AB6A92" w:rsidP="00AB6A92">
            <w:pPr>
              <w:pStyle w:val="Standardowytekst"/>
              <w:numPr>
                <w:ilvl w:val="12"/>
                <w:numId w:val="0"/>
              </w:numPr>
              <w:rPr>
                <w:rFonts w:ascii="Calibri" w:hAnsi="Calibri"/>
                <w:sz w:val="18"/>
                <w:szCs w:val="18"/>
              </w:rPr>
            </w:pPr>
            <w:r w:rsidRPr="000628FB">
              <w:rPr>
                <w:rFonts w:ascii="Calibri" w:hAnsi="Calibri"/>
                <w:sz w:val="18"/>
                <w:szCs w:val="18"/>
              </w:rPr>
              <w:t>Zawartość cząstek</w:t>
            </w:r>
          </w:p>
          <w:p w:rsidR="00AB6A92" w:rsidRPr="000628FB" w:rsidRDefault="00AB6A92" w:rsidP="00AB6A92">
            <w:pPr>
              <w:pStyle w:val="Standardowytekst"/>
              <w:numPr>
                <w:ilvl w:val="12"/>
                <w:numId w:val="0"/>
              </w:numPr>
              <w:rPr>
                <w:rFonts w:ascii="Calibri" w:hAnsi="Calibri"/>
                <w:sz w:val="18"/>
                <w:szCs w:val="18"/>
              </w:rPr>
            </w:pPr>
            <w:r w:rsidRPr="000628FB">
              <w:rPr>
                <w:rFonts w:ascii="Calibri" w:hAnsi="Calibri"/>
                <w:sz w:val="18"/>
                <w:szCs w:val="18"/>
              </w:rPr>
              <w:sym w:font="Symbol" w:char="F0A3"/>
            </w:r>
            <w:r w:rsidRPr="000628FB">
              <w:rPr>
                <w:rFonts w:ascii="Calibri" w:hAnsi="Calibri"/>
                <w:sz w:val="18"/>
                <w:szCs w:val="18"/>
              </w:rPr>
              <w:t xml:space="preserve"> 0,075 mm</w:t>
            </w:r>
          </w:p>
          <w:p w:rsidR="00AB6A92" w:rsidRPr="000628FB" w:rsidRDefault="00AB6A92" w:rsidP="00AB6A92">
            <w:pPr>
              <w:pStyle w:val="Standardowytekst"/>
              <w:numPr>
                <w:ilvl w:val="12"/>
                <w:numId w:val="0"/>
              </w:numPr>
              <w:rPr>
                <w:rFonts w:ascii="Calibri" w:hAnsi="Calibri"/>
                <w:sz w:val="18"/>
                <w:szCs w:val="18"/>
              </w:rPr>
            </w:pPr>
            <w:r w:rsidRPr="000628FB">
              <w:rPr>
                <w:rFonts w:ascii="Calibri" w:hAnsi="Calibri"/>
                <w:sz w:val="18"/>
                <w:szCs w:val="18"/>
              </w:rPr>
              <w:sym w:font="Symbol" w:char="F0A3"/>
            </w:r>
            <w:r w:rsidRPr="000628FB">
              <w:rPr>
                <w:rFonts w:ascii="Calibri" w:hAnsi="Calibri"/>
                <w:sz w:val="18"/>
                <w:szCs w:val="18"/>
              </w:rPr>
              <w:t xml:space="preserve"> 0,02   mm</w:t>
            </w:r>
          </w:p>
        </w:tc>
        <w:tc>
          <w:tcPr>
            <w:tcW w:w="708" w:type="dxa"/>
            <w:tcBorders>
              <w:top w:val="single" w:sz="6" w:space="0" w:color="auto"/>
              <w:left w:val="single" w:sz="6" w:space="0" w:color="auto"/>
              <w:bottom w:val="single" w:sz="6" w:space="0" w:color="auto"/>
              <w:right w:val="single" w:sz="6" w:space="0" w:color="auto"/>
            </w:tcBorders>
          </w:tcPr>
          <w:p w:rsidR="00AB6A92" w:rsidRPr="000628FB" w:rsidRDefault="00AB6A92" w:rsidP="00AB6A92">
            <w:pPr>
              <w:pStyle w:val="Standardowytekst"/>
              <w:numPr>
                <w:ilvl w:val="12"/>
                <w:numId w:val="0"/>
              </w:numPr>
              <w:jc w:val="center"/>
              <w:rPr>
                <w:rFonts w:ascii="Calibri" w:hAnsi="Calibri"/>
                <w:sz w:val="18"/>
                <w:szCs w:val="18"/>
              </w:rPr>
            </w:pPr>
          </w:p>
          <w:p w:rsidR="00AB6A92" w:rsidRPr="000628FB" w:rsidRDefault="00AB6A92" w:rsidP="00AB6A92">
            <w:pPr>
              <w:pStyle w:val="Standardowytekst"/>
              <w:numPr>
                <w:ilvl w:val="12"/>
                <w:numId w:val="0"/>
              </w:numPr>
              <w:jc w:val="center"/>
              <w:rPr>
                <w:rFonts w:ascii="Calibri" w:hAnsi="Calibri"/>
                <w:sz w:val="18"/>
                <w:szCs w:val="18"/>
              </w:rPr>
            </w:pPr>
            <w:r w:rsidRPr="000628FB">
              <w:rPr>
                <w:rFonts w:ascii="Calibri" w:hAnsi="Calibri"/>
                <w:sz w:val="18"/>
                <w:szCs w:val="18"/>
              </w:rPr>
              <w:t>%</w:t>
            </w:r>
          </w:p>
        </w:tc>
        <w:tc>
          <w:tcPr>
            <w:tcW w:w="1557" w:type="dxa"/>
            <w:tcBorders>
              <w:top w:val="single" w:sz="6" w:space="0" w:color="auto"/>
              <w:left w:val="single" w:sz="6" w:space="0" w:color="auto"/>
              <w:bottom w:val="single" w:sz="6" w:space="0" w:color="auto"/>
              <w:right w:val="single" w:sz="6" w:space="0" w:color="auto"/>
            </w:tcBorders>
          </w:tcPr>
          <w:p w:rsidR="00AB6A92" w:rsidRPr="000628FB" w:rsidRDefault="00AB6A92" w:rsidP="00AB6A92">
            <w:pPr>
              <w:pStyle w:val="Standardowytekst"/>
              <w:numPr>
                <w:ilvl w:val="12"/>
                <w:numId w:val="0"/>
              </w:numPr>
              <w:jc w:val="center"/>
              <w:rPr>
                <w:rFonts w:ascii="Calibri" w:hAnsi="Calibri"/>
                <w:sz w:val="18"/>
                <w:szCs w:val="18"/>
              </w:rPr>
            </w:pPr>
          </w:p>
          <w:p w:rsidR="00AB6A92" w:rsidRPr="000628FB" w:rsidRDefault="00AB6A92" w:rsidP="00AB6A92">
            <w:pPr>
              <w:pStyle w:val="Standardowytekst"/>
              <w:numPr>
                <w:ilvl w:val="12"/>
                <w:numId w:val="0"/>
              </w:numPr>
              <w:jc w:val="center"/>
              <w:rPr>
                <w:rFonts w:ascii="Calibri" w:hAnsi="Calibri"/>
                <w:sz w:val="18"/>
                <w:szCs w:val="18"/>
              </w:rPr>
            </w:pPr>
          </w:p>
          <w:p w:rsidR="00AB6A92" w:rsidRPr="000628FB" w:rsidRDefault="00AB6A92" w:rsidP="00AB6A92">
            <w:pPr>
              <w:pStyle w:val="Standardowytekst"/>
              <w:numPr>
                <w:ilvl w:val="12"/>
                <w:numId w:val="0"/>
              </w:numPr>
              <w:jc w:val="center"/>
              <w:rPr>
                <w:rFonts w:ascii="Calibri" w:hAnsi="Calibri"/>
                <w:sz w:val="18"/>
                <w:szCs w:val="18"/>
              </w:rPr>
            </w:pPr>
            <w:r w:rsidRPr="000628FB">
              <w:rPr>
                <w:rFonts w:ascii="Calibri" w:hAnsi="Calibri"/>
                <w:sz w:val="18"/>
                <w:szCs w:val="18"/>
              </w:rPr>
              <w:sym w:font="Symbol" w:char="F03C"/>
            </w:r>
            <w:r w:rsidRPr="000628FB">
              <w:rPr>
                <w:rFonts w:ascii="Calibri" w:hAnsi="Calibri"/>
                <w:sz w:val="18"/>
                <w:szCs w:val="18"/>
              </w:rPr>
              <w:t xml:space="preserve"> 15</w:t>
            </w:r>
          </w:p>
          <w:p w:rsidR="00AB6A92" w:rsidRPr="000628FB" w:rsidRDefault="00AB6A92" w:rsidP="00AB6A92">
            <w:pPr>
              <w:pStyle w:val="Standardowytekst"/>
              <w:numPr>
                <w:ilvl w:val="12"/>
                <w:numId w:val="0"/>
              </w:numPr>
              <w:jc w:val="center"/>
              <w:rPr>
                <w:rFonts w:ascii="Calibri" w:hAnsi="Calibri"/>
                <w:sz w:val="18"/>
                <w:szCs w:val="18"/>
              </w:rPr>
            </w:pPr>
            <w:r w:rsidRPr="000628FB">
              <w:rPr>
                <w:rFonts w:ascii="Calibri" w:hAnsi="Calibri"/>
                <w:sz w:val="18"/>
                <w:szCs w:val="18"/>
              </w:rPr>
              <w:sym w:font="Symbol" w:char="F03C"/>
            </w:r>
            <w:r w:rsidRPr="000628FB">
              <w:rPr>
                <w:rFonts w:ascii="Calibri" w:hAnsi="Calibri"/>
                <w:sz w:val="18"/>
                <w:szCs w:val="18"/>
              </w:rPr>
              <w:t xml:space="preserve"> 3</w:t>
            </w:r>
          </w:p>
        </w:tc>
        <w:tc>
          <w:tcPr>
            <w:tcW w:w="1628" w:type="dxa"/>
            <w:tcBorders>
              <w:top w:val="single" w:sz="6" w:space="0" w:color="auto"/>
              <w:left w:val="single" w:sz="6" w:space="0" w:color="auto"/>
              <w:bottom w:val="single" w:sz="6" w:space="0" w:color="auto"/>
              <w:right w:val="single" w:sz="6" w:space="0" w:color="auto"/>
            </w:tcBorders>
          </w:tcPr>
          <w:p w:rsidR="00AB6A92" w:rsidRPr="000628FB" w:rsidRDefault="00AB6A92" w:rsidP="00AB6A92">
            <w:pPr>
              <w:pStyle w:val="Standardowytekst"/>
              <w:numPr>
                <w:ilvl w:val="12"/>
                <w:numId w:val="0"/>
              </w:numPr>
              <w:jc w:val="center"/>
              <w:rPr>
                <w:rFonts w:ascii="Calibri" w:hAnsi="Calibri"/>
                <w:sz w:val="18"/>
                <w:szCs w:val="18"/>
              </w:rPr>
            </w:pPr>
          </w:p>
          <w:p w:rsidR="00AB6A92" w:rsidRPr="000628FB" w:rsidRDefault="00AB6A92" w:rsidP="00AB6A92">
            <w:pPr>
              <w:pStyle w:val="Standardowytekst"/>
              <w:numPr>
                <w:ilvl w:val="12"/>
                <w:numId w:val="0"/>
              </w:numPr>
              <w:jc w:val="center"/>
              <w:rPr>
                <w:rFonts w:ascii="Calibri" w:hAnsi="Calibri"/>
                <w:sz w:val="18"/>
                <w:szCs w:val="18"/>
              </w:rPr>
            </w:pPr>
          </w:p>
          <w:p w:rsidR="00AB6A92" w:rsidRPr="000628FB" w:rsidRDefault="00AB6A92" w:rsidP="00AB6A92">
            <w:pPr>
              <w:pStyle w:val="Standardowytekst"/>
              <w:numPr>
                <w:ilvl w:val="12"/>
                <w:numId w:val="0"/>
              </w:numPr>
              <w:jc w:val="center"/>
              <w:rPr>
                <w:rFonts w:ascii="Calibri" w:hAnsi="Calibri"/>
                <w:sz w:val="18"/>
                <w:szCs w:val="18"/>
              </w:rPr>
            </w:pPr>
            <w:r w:rsidRPr="000628FB">
              <w:rPr>
                <w:rFonts w:ascii="Calibri" w:hAnsi="Calibri"/>
                <w:sz w:val="18"/>
                <w:szCs w:val="18"/>
              </w:rPr>
              <w:t>od 15 do 30</w:t>
            </w:r>
          </w:p>
          <w:p w:rsidR="00AB6A92" w:rsidRPr="000628FB" w:rsidRDefault="00AB6A92" w:rsidP="00AB6A92">
            <w:pPr>
              <w:pStyle w:val="Standardowytekst"/>
              <w:numPr>
                <w:ilvl w:val="12"/>
                <w:numId w:val="0"/>
              </w:numPr>
              <w:jc w:val="center"/>
              <w:rPr>
                <w:rFonts w:ascii="Calibri" w:hAnsi="Calibri"/>
                <w:sz w:val="18"/>
                <w:szCs w:val="18"/>
              </w:rPr>
            </w:pPr>
            <w:r w:rsidRPr="000628FB">
              <w:rPr>
                <w:rFonts w:ascii="Calibri" w:hAnsi="Calibri"/>
                <w:sz w:val="18"/>
                <w:szCs w:val="18"/>
              </w:rPr>
              <w:t>od 3 do 10</w:t>
            </w:r>
          </w:p>
        </w:tc>
        <w:tc>
          <w:tcPr>
            <w:tcW w:w="1629" w:type="dxa"/>
            <w:tcBorders>
              <w:top w:val="single" w:sz="6" w:space="0" w:color="auto"/>
              <w:left w:val="single" w:sz="6" w:space="0" w:color="auto"/>
              <w:bottom w:val="single" w:sz="6" w:space="0" w:color="auto"/>
              <w:right w:val="single" w:sz="6" w:space="0" w:color="auto"/>
            </w:tcBorders>
          </w:tcPr>
          <w:p w:rsidR="00AB6A92" w:rsidRPr="000628FB" w:rsidRDefault="00AB6A92" w:rsidP="00AB6A92">
            <w:pPr>
              <w:pStyle w:val="Standardowytekst"/>
              <w:numPr>
                <w:ilvl w:val="12"/>
                <w:numId w:val="0"/>
              </w:numPr>
              <w:jc w:val="center"/>
              <w:rPr>
                <w:rFonts w:ascii="Calibri" w:hAnsi="Calibri"/>
                <w:sz w:val="18"/>
                <w:szCs w:val="18"/>
              </w:rPr>
            </w:pPr>
          </w:p>
          <w:p w:rsidR="00AB6A92" w:rsidRPr="000628FB" w:rsidRDefault="00AB6A92" w:rsidP="00AB6A92">
            <w:pPr>
              <w:pStyle w:val="Standardowytekst"/>
              <w:numPr>
                <w:ilvl w:val="12"/>
                <w:numId w:val="0"/>
              </w:numPr>
              <w:jc w:val="center"/>
              <w:rPr>
                <w:rFonts w:ascii="Calibri" w:hAnsi="Calibri"/>
                <w:sz w:val="18"/>
                <w:szCs w:val="18"/>
              </w:rPr>
            </w:pPr>
          </w:p>
          <w:p w:rsidR="00AB6A92" w:rsidRPr="000628FB" w:rsidRDefault="00AB6A92" w:rsidP="00AB6A92">
            <w:pPr>
              <w:pStyle w:val="Standardowytekst"/>
              <w:numPr>
                <w:ilvl w:val="12"/>
                <w:numId w:val="0"/>
              </w:numPr>
              <w:jc w:val="center"/>
              <w:rPr>
                <w:rFonts w:ascii="Calibri" w:hAnsi="Calibri"/>
                <w:sz w:val="18"/>
                <w:szCs w:val="18"/>
              </w:rPr>
            </w:pPr>
            <w:r w:rsidRPr="000628FB">
              <w:rPr>
                <w:rFonts w:ascii="Calibri" w:hAnsi="Calibri"/>
                <w:sz w:val="18"/>
                <w:szCs w:val="18"/>
              </w:rPr>
              <w:sym w:font="Symbol" w:char="F03E"/>
            </w:r>
            <w:r w:rsidRPr="000628FB">
              <w:rPr>
                <w:rFonts w:ascii="Calibri" w:hAnsi="Calibri"/>
                <w:sz w:val="18"/>
                <w:szCs w:val="18"/>
              </w:rPr>
              <w:t xml:space="preserve"> 30</w:t>
            </w:r>
          </w:p>
          <w:p w:rsidR="00AB6A92" w:rsidRPr="000628FB" w:rsidRDefault="00AB6A92" w:rsidP="00AB6A92">
            <w:pPr>
              <w:pStyle w:val="Standardowytekst"/>
              <w:numPr>
                <w:ilvl w:val="12"/>
                <w:numId w:val="0"/>
              </w:numPr>
              <w:jc w:val="center"/>
              <w:rPr>
                <w:rFonts w:ascii="Calibri" w:hAnsi="Calibri"/>
                <w:sz w:val="18"/>
                <w:szCs w:val="18"/>
              </w:rPr>
            </w:pPr>
            <w:r w:rsidRPr="000628FB">
              <w:rPr>
                <w:rFonts w:ascii="Calibri" w:hAnsi="Calibri"/>
                <w:sz w:val="18"/>
                <w:szCs w:val="18"/>
              </w:rPr>
              <w:sym w:font="Symbol" w:char="F03E"/>
            </w:r>
            <w:r w:rsidRPr="000628FB">
              <w:rPr>
                <w:rFonts w:ascii="Calibri" w:hAnsi="Calibri"/>
                <w:sz w:val="18"/>
                <w:szCs w:val="18"/>
              </w:rPr>
              <w:t xml:space="preserve"> 10</w:t>
            </w:r>
          </w:p>
        </w:tc>
      </w:tr>
      <w:tr w:rsidR="00AB6A92" w:rsidRPr="000628FB" w:rsidTr="000628FB">
        <w:tc>
          <w:tcPr>
            <w:tcW w:w="496" w:type="dxa"/>
            <w:tcBorders>
              <w:top w:val="single" w:sz="6" w:space="0" w:color="auto"/>
              <w:left w:val="single" w:sz="6" w:space="0" w:color="auto"/>
              <w:bottom w:val="single" w:sz="6" w:space="0" w:color="auto"/>
              <w:right w:val="single" w:sz="6" w:space="0" w:color="auto"/>
            </w:tcBorders>
          </w:tcPr>
          <w:p w:rsidR="00AB6A92" w:rsidRPr="000628FB" w:rsidRDefault="00AB6A92" w:rsidP="00AB6A92">
            <w:pPr>
              <w:pStyle w:val="Standardowytekst"/>
              <w:numPr>
                <w:ilvl w:val="12"/>
                <w:numId w:val="0"/>
              </w:numPr>
              <w:jc w:val="center"/>
              <w:rPr>
                <w:rFonts w:ascii="Calibri" w:hAnsi="Calibri"/>
                <w:sz w:val="18"/>
                <w:szCs w:val="18"/>
              </w:rPr>
            </w:pPr>
            <w:r w:rsidRPr="000628FB">
              <w:rPr>
                <w:rFonts w:ascii="Calibri" w:hAnsi="Calibri"/>
                <w:sz w:val="18"/>
                <w:szCs w:val="18"/>
              </w:rPr>
              <w:t>3</w:t>
            </w:r>
          </w:p>
        </w:tc>
        <w:tc>
          <w:tcPr>
            <w:tcW w:w="1489" w:type="dxa"/>
            <w:tcBorders>
              <w:top w:val="single" w:sz="6" w:space="0" w:color="auto"/>
              <w:left w:val="single" w:sz="6" w:space="0" w:color="auto"/>
              <w:bottom w:val="single" w:sz="6" w:space="0" w:color="auto"/>
              <w:right w:val="single" w:sz="6" w:space="0" w:color="auto"/>
            </w:tcBorders>
          </w:tcPr>
          <w:p w:rsidR="00AB6A92" w:rsidRPr="000628FB" w:rsidRDefault="00AB6A92" w:rsidP="00AB6A92">
            <w:pPr>
              <w:pStyle w:val="Standardowytekst"/>
              <w:numPr>
                <w:ilvl w:val="12"/>
                <w:numId w:val="0"/>
              </w:numPr>
              <w:rPr>
                <w:rFonts w:ascii="Calibri" w:hAnsi="Calibri"/>
                <w:sz w:val="18"/>
                <w:szCs w:val="18"/>
              </w:rPr>
            </w:pPr>
            <w:r w:rsidRPr="000628FB">
              <w:rPr>
                <w:rFonts w:ascii="Calibri" w:hAnsi="Calibri"/>
                <w:sz w:val="18"/>
                <w:szCs w:val="18"/>
              </w:rPr>
              <w:t>Kapilarność bierna H</w:t>
            </w:r>
            <w:r w:rsidRPr="000628FB">
              <w:rPr>
                <w:rFonts w:ascii="Calibri" w:hAnsi="Calibri"/>
                <w:sz w:val="18"/>
                <w:szCs w:val="18"/>
                <w:vertAlign w:val="subscript"/>
              </w:rPr>
              <w:t>kb</w:t>
            </w:r>
          </w:p>
        </w:tc>
        <w:tc>
          <w:tcPr>
            <w:tcW w:w="708" w:type="dxa"/>
            <w:tcBorders>
              <w:top w:val="single" w:sz="6" w:space="0" w:color="auto"/>
              <w:left w:val="single" w:sz="6" w:space="0" w:color="auto"/>
              <w:bottom w:val="single" w:sz="6" w:space="0" w:color="auto"/>
              <w:right w:val="single" w:sz="6" w:space="0" w:color="auto"/>
            </w:tcBorders>
          </w:tcPr>
          <w:p w:rsidR="00AB6A92" w:rsidRPr="000628FB" w:rsidRDefault="00AB6A92" w:rsidP="00AB6A92">
            <w:pPr>
              <w:pStyle w:val="Standardowytekst"/>
              <w:numPr>
                <w:ilvl w:val="12"/>
                <w:numId w:val="0"/>
              </w:numPr>
              <w:jc w:val="center"/>
              <w:rPr>
                <w:rFonts w:ascii="Calibri" w:hAnsi="Calibri"/>
                <w:sz w:val="18"/>
                <w:szCs w:val="18"/>
              </w:rPr>
            </w:pPr>
          </w:p>
          <w:p w:rsidR="00AB6A92" w:rsidRPr="000628FB" w:rsidRDefault="00AB6A92" w:rsidP="00AB6A92">
            <w:pPr>
              <w:pStyle w:val="Standardowytekst"/>
              <w:numPr>
                <w:ilvl w:val="12"/>
                <w:numId w:val="0"/>
              </w:numPr>
              <w:jc w:val="center"/>
              <w:rPr>
                <w:rFonts w:ascii="Calibri" w:hAnsi="Calibri"/>
                <w:sz w:val="18"/>
                <w:szCs w:val="18"/>
              </w:rPr>
            </w:pPr>
            <w:r w:rsidRPr="000628FB">
              <w:rPr>
                <w:rFonts w:ascii="Calibri" w:hAnsi="Calibri"/>
                <w:sz w:val="18"/>
                <w:szCs w:val="18"/>
              </w:rPr>
              <w:t>m</w:t>
            </w:r>
          </w:p>
        </w:tc>
        <w:tc>
          <w:tcPr>
            <w:tcW w:w="1557" w:type="dxa"/>
            <w:tcBorders>
              <w:top w:val="single" w:sz="6" w:space="0" w:color="auto"/>
              <w:left w:val="single" w:sz="6" w:space="0" w:color="auto"/>
              <w:bottom w:val="single" w:sz="6" w:space="0" w:color="auto"/>
              <w:right w:val="single" w:sz="6" w:space="0" w:color="auto"/>
            </w:tcBorders>
          </w:tcPr>
          <w:p w:rsidR="00AB6A92" w:rsidRPr="000628FB" w:rsidRDefault="00AB6A92" w:rsidP="00AB6A92">
            <w:pPr>
              <w:pStyle w:val="Standardowytekst"/>
              <w:numPr>
                <w:ilvl w:val="12"/>
                <w:numId w:val="0"/>
              </w:numPr>
              <w:jc w:val="center"/>
              <w:rPr>
                <w:rFonts w:ascii="Calibri" w:hAnsi="Calibri"/>
                <w:sz w:val="18"/>
                <w:szCs w:val="18"/>
              </w:rPr>
            </w:pPr>
          </w:p>
          <w:p w:rsidR="00AB6A92" w:rsidRPr="000628FB" w:rsidRDefault="00AB6A92" w:rsidP="00AB6A92">
            <w:pPr>
              <w:pStyle w:val="Standardowytekst"/>
              <w:numPr>
                <w:ilvl w:val="12"/>
                <w:numId w:val="0"/>
              </w:numPr>
              <w:jc w:val="center"/>
              <w:rPr>
                <w:rFonts w:ascii="Calibri" w:hAnsi="Calibri"/>
                <w:sz w:val="18"/>
                <w:szCs w:val="18"/>
              </w:rPr>
            </w:pPr>
            <w:r w:rsidRPr="000628FB">
              <w:rPr>
                <w:rFonts w:ascii="Calibri" w:hAnsi="Calibri"/>
                <w:sz w:val="18"/>
                <w:szCs w:val="18"/>
              </w:rPr>
              <w:sym w:font="Symbol" w:char="F03C"/>
            </w:r>
            <w:r w:rsidRPr="000628FB">
              <w:rPr>
                <w:rFonts w:ascii="Calibri" w:hAnsi="Calibri"/>
                <w:sz w:val="18"/>
                <w:szCs w:val="18"/>
              </w:rPr>
              <w:t xml:space="preserve"> 1,0</w:t>
            </w:r>
          </w:p>
        </w:tc>
        <w:tc>
          <w:tcPr>
            <w:tcW w:w="1628" w:type="dxa"/>
            <w:tcBorders>
              <w:top w:val="single" w:sz="6" w:space="0" w:color="auto"/>
              <w:left w:val="single" w:sz="6" w:space="0" w:color="auto"/>
              <w:bottom w:val="single" w:sz="6" w:space="0" w:color="auto"/>
              <w:right w:val="single" w:sz="6" w:space="0" w:color="auto"/>
            </w:tcBorders>
          </w:tcPr>
          <w:p w:rsidR="00AB6A92" w:rsidRPr="000628FB" w:rsidRDefault="00AB6A92" w:rsidP="00AB6A92">
            <w:pPr>
              <w:pStyle w:val="Standardowytekst"/>
              <w:numPr>
                <w:ilvl w:val="12"/>
                <w:numId w:val="0"/>
              </w:numPr>
              <w:jc w:val="center"/>
              <w:rPr>
                <w:rFonts w:ascii="Calibri" w:hAnsi="Calibri"/>
                <w:sz w:val="18"/>
                <w:szCs w:val="18"/>
              </w:rPr>
            </w:pPr>
          </w:p>
          <w:p w:rsidR="00AB6A92" w:rsidRPr="000628FB" w:rsidRDefault="00AB6A92" w:rsidP="00AB6A92">
            <w:pPr>
              <w:pStyle w:val="Standardowytekst"/>
              <w:numPr>
                <w:ilvl w:val="12"/>
                <w:numId w:val="0"/>
              </w:numPr>
              <w:jc w:val="center"/>
              <w:rPr>
                <w:rFonts w:ascii="Calibri" w:hAnsi="Calibri"/>
                <w:sz w:val="18"/>
                <w:szCs w:val="18"/>
              </w:rPr>
            </w:pPr>
            <w:r w:rsidRPr="000628FB">
              <w:rPr>
                <w:rFonts w:ascii="Calibri" w:hAnsi="Calibri"/>
                <w:sz w:val="18"/>
                <w:szCs w:val="18"/>
              </w:rPr>
              <w:sym w:font="Symbol" w:char="F0B3"/>
            </w:r>
            <w:r w:rsidRPr="000628FB">
              <w:rPr>
                <w:rFonts w:ascii="Calibri" w:hAnsi="Calibri"/>
                <w:sz w:val="18"/>
                <w:szCs w:val="18"/>
              </w:rPr>
              <w:t xml:space="preserve"> 1,0</w:t>
            </w:r>
          </w:p>
        </w:tc>
        <w:tc>
          <w:tcPr>
            <w:tcW w:w="1629" w:type="dxa"/>
            <w:tcBorders>
              <w:top w:val="single" w:sz="6" w:space="0" w:color="auto"/>
              <w:left w:val="single" w:sz="6" w:space="0" w:color="auto"/>
              <w:bottom w:val="single" w:sz="6" w:space="0" w:color="auto"/>
              <w:right w:val="single" w:sz="6" w:space="0" w:color="auto"/>
            </w:tcBorders>
          </w:tcPr>
          <w:p w:rsidR="00AB6A92" w:rsidRPr="000628FB" w:rsidRDefault="00AB6A92" w:rsidP="00AB6A92">
            <w:pPr>
              <w:pStyle w:val="Standardowytekst"/>
              <w:numPr>
                <w:ilvl w:val="12"/>
                <w:numId w:val="0"/>
              </w:numPr>
              <w:jc w:val="center"/>
              <w:rPr>
                <w:rFonts w:ascii="Calibri" w:hAnsi="Calibri"/>
                <w:sz w:val="18"/>
                <w:szCs w:val="18"/>
              </w:rPr>
            </w:pPr>
          </w:p>
          <w:p w:rsidR="00AB6A92" w:rsidRPr="000628FB" w:rsidRDefault="00AB6A92" w:rsidP="00AB6A92">
            <w:pPr>
              <w:pStyle w:val="Standardowytekst"/>
              <w:numPr>
                <w:ilvl w:val="12"/>
                <w:numId w:val="0"/>
              </w:numPr>
              <w:jc w:val="center"/>
              <w:rPr>
                <w:rFonts w:ascii="Calibri" w:hAnsi="Calibri"/>
                <w:sz w:val="18"/>
                <w:szCs w:val="18"/>
              </w:rPr>
            </w:pPr>
            <w:r w:rsidRPr="000628FB">
              <w:rPr>
                <w:rFonts w:ascii="Calibri" w:hAnsi="Calibri"/>
                <w:sz w:val="18"/>
                <w:szCs w:val="18"/>
              </w:rPr>
              <w:sym w:font="Symbol" w:char="F03E"/>
            </w:r>
            <w:r w:rsidRPr="000628FB">
              <w:rPr>
                <w:rFonts w:ascii="Calibri" w:hAnsi="Calibri"/>
                <w:sz w:val="18"/>
                <w:szCs w:val="18"/>
              </w:rPr>
              <w:t xml:space="preserve"> 1,0</w:t>
            </w:r>
          </w:p>
        </w:tc>
      </w:tr>
      <w:tr w:rsidR="00AB6A92" w:rsidRPr="000628FB" w:rsidTr="000628FB">
        <w:tc>
          <w:tcPr>
            <w:tcW w:w="496" w:type="dxa"/>
            <w:tcBorders>
              <w:top w:val="single" w:sz="6" w:space="0" w:color="auto"/>
              <w:left w:val="single" w:sz="6" w:space="0" w:color="auto"/>
              <w:bottom w:val="single" w:sz="6" w:space="0" w:color="auto"/>
              <w:right w:val="single" w:sz="6" w:space="0" w:color="auto"/>
            </w:tcBorders>
          </w:tcPr>
          <w:p w:rsidR="00AB6A92" w:rsidRPr="000628FB" w:rsidRDefault="00AB6A92" w:rsidP="00AB6A92">
            <w:pPr>
              <w:pStyle w:val="Standardowytekst"/>
              <w:numPr>
                <w:ilvl w:val="12"/>
                <w:numId w:val="0"/>
              </w:numPr>
              <w:jc w:val="center"/>
              <w:rPr>
                <w:rFonts w:ascii="Calibri" w:hAnsi="Calibri"/>
                <w:sz w:val="18"/>
                <w:szCs w:val="18"/>
              </w:rPr>
            </w:pPr>
            <w:r w:rsidRPr="000628FB">
              <w:rPr>
                <w:rFonts w:ascii="Calibri" w:hAnsi="Calibri"/>
                <w:sz w:val="18"/>
                <w:szCs w:val="18"/>
              </w:rPr>
              <w:t>4</w:t>
            </w:r>
          </w:p>
        </w:tc>
        <w:tc>
          <w:tcPr>
            <w:tcW w:w="1489" w:type="dxa"/>
            <w:tcBorders>
              <w:top w:val="single" w:sz="6" w:space="0" w:color="auto"/>
              <w:left w:val="single" w:sz="6" w:space="0" w:color="auto"/>
              <w:bottom w:val="single" w:sz="6" w:space="0" w:color="auto"/>
              <w:right w:val="single" w:sz="6" w:space="0" w:color="auto"/>
            </w:tcBorders>
          </w:tcPr>
          <w:p w:rsidR="00AB6A92" w:rsidRPr="000628FB" w:rsidRDefault="00AB6A92" w:rsidP="00AB6A92">
            <w:pPr>
              <w:pStyle w:val="Standardowytekst"/>
              <w:numPr>
                <w:ilvl w:val="12"/>
                <w:numId w:val="0"/>
              </w:numPr>
              <w:rPr>
                <w:rFonts w:ascii="Calibri" w:hAnsi="Calibri"/>
                <w:sz w:val="18"/>
                <w:szCs w:val="18"/>
              </w:rPr>
            </w:pPr>
            <w:r w:rsidRPr="000628FB">
              <w:rPr>
                <w:rFonts w:ascii="Calibri" w:hAnsi="Calibri"/>
                <w:sz w:val="18"/>
                <w:szCs w:val="18"/>
              </w:rPr>
              <w:t>Wskaźnik piaskowy WP</w:t>
            </w:r>
          </w:p>
        </w:tc>
        <w:tc>
          <w:tcPr>
            <w:tcW w:w="708" w:type="dxa"/>
            <w:tcBorders>
              <w:top w:val="single" w:sz="6" w:space="0" w:color="auto"/>
              <w:left w:val="single" w:sz="6" w:space="0" w:color="auto"/>
              <w:bottom w:val="single" w:sz="6" w:space="0" w:color="auto"/>
              <w:right w:val="single" w:sz="6" w:space="0" w:color="auto"/>
            </w:tcBorders>
          </w:tcPr>
          <w:p w:rsidR="00AB6A92" w:rsidRPr="000628FB" w:rsidRDefault="00AB6A92" w:rsidP="00AB6A92">
            <w:pPr>
              <w:pStyle w:val="Standardowytekst"/>
              <w:numPr>
                <w:ilvl w:val="12"/>
                <w:numId w:val="0"/>
              </w:numPr>
              <w:jc w:val="center"/>
              <w:rPr>
                <w:rFonts w:ascii="Calibri" w:hAnsi="Calibri"/>
                <w:sz w:val="18"/>
                <w:szCs w:val="18"/>
              </w:rPr>
            </w:pPr>
          </w:p>
        </w:tc>
        <w:tc>
          <w:tcPr>
            <w:tcW w:w="1557" w:type="dxa"/>
            <w:tcBorders>
              <w:top w:val="single" w:sz="6" w:space="0" w:color="auto"/>
              <w:left w:val="single" w:sz="6" w:space="0" w:color="auto"/>
              <w:bottom w:val="single" w:sz="6" w:space="0" w:color="auto"/>
              <w:right w:val="single" w:sz="6" w:space="0" w:color="auto"/>
            </w:tcBorders>
          </w:tcPr>
          <w:p w:rsidR="00AB6A92" w:rsidRPr="000628FB" w:rsidRDefault="00AB6A92" w:rsidP="00AB6A92">
            <w:pPr>
              <w:pStyle w:val="Standardowytekst"/>
              <w:numPr>
                <w:ilvl w:val="12"/>
                <w:numId w:val="0"/>
              </w:numPr>
              <w:jc w:val="center"/>
              <w:rPr>
                <w:rFonts w:ascii="Calibri" w:hAnsi="Calibri"/>
                <w:sz w:val="18"/>
                <w:szCs w:val="18"/>
              </w:rPr>
            </w:pPr>
          </w:p>
          <w:p w:rsidR="00AB6A92" w:rsidRPr="000628FB" w:rsidRDefault="00AB6A92" w:rsidP="00AB6A92">
            <w:pPr>
              <w:pStyle w:val="Standardowytekst"/>
              <w:numPr>
                <w:ilvl w:val="12"/>
                <w:numId w:val="0"/>
              </w:numPr>
              <w:jc w:val="center"/>
              <w:rPr>
                <w:rFonts w:ascii="Calibri" w:hAnsi="Calibri"/>
                <w:sz w:val="18"/>
                <w:szCs w:val="18"/>
              </w:rPr>
            </w:pPr>
            <w:r w:rsidRPr="000628FB">
              <w:rPr>
                <w:rFonts w:ascii="Calibri" w:hAnsi="Calibri"/>
                <w:sz w:val="18"/>
                <w:szCs w:val="18"/>
              </w:rPr>
              <w:sym w:font="Symbol" w:char="F03E"/>
            </w:r>
            <w:r w:rsidRPr="000628FB">
              <w:rPr>
                <w:rFonts w:ascii="Calibri" w:hAnsi="Calibri"/>
                <w:sz w:val="18"/>
                <w:szCs w:val="18"/>
              </w:rPr>
              <w:t xml:space="preserve"> 35</w:t>
            </w:r>
          </w:p>
        </w:tc>
        <w:tc>
          <w:tcPr>
            <w:tcW w:w="1628" w:type="dxa"/>
            <w:tcBorders>
              <w:top w:val="single" w:sz="6" w:space="0" w:color="auto"/>
              <w:left w:val="single" w:sz="6" w:space="0" w:color="auto"/>
              <w:bottom w:val="single" w:sz="6" w:space="0" w:color="auto"/>
              <w:right w:val="single" w:sz="6" w:space="0" w:color="auto"/>
            </w:tcBorders>
          </w:tcPr>
          <w:p w:rsidR="00AB6A92" w:rsidRPr="000628FB" w:rsidRDefault="00AB6A92" w:rsidP="00AB6A92">
            <w:pPr>
              <w:pStyle w:val="Standardowytekst"/>
              <w:numPr>
                <w:ilvl w:val="12"/>
                <w:numId w:val="0"/>
              </w:numPr>
              <w:jc w:val="center"/>
              <w:rPr>
                <w:rFonts w:ascii="Calibri" w:hAnsi="Calibri"/>
                <w:sz w:val="18"/>
                <w:szCs w:val="18"/>
              </w:rPr>
            </w:pPr>
          </w:p>
          <w:p w:rsidR="00AB6A92" w:rsidRPr="000628FB" w:rsidRDefault="00AB6A92" w:rsidP="00AB6A92">
            <w:pPr>
              <w:pStyle w:val="Standardowytekst"/>
              <w:numPr>
                <w:ilvl w:val="12"/>
                <w:numId w:val="0"/>
              </w:numPr>
              <w:jc w:val="center"/>
              <w:rPr>
                <w:rFonts w:ascii="Calibri" w:hAnsi="Calibri"/>
                <w:sz w:val="18"/>
                <w:szCs w:val="18"/>
              </w:rPr>
            </w:pPr>
            <w:r w:rsidRPr="000628FB">
              <w:rPr>
                <w:rFonts w:ascii="Calibri" w:hAnsi="Calibri"/>
                <w:sz w:val="18"/>
                <w:szCs w:val="18"/>
              </w:rPr>
              <w:t>od 25 do 35</w:t>
            </w:r>
          </w:p>
        </w:tc>
        <w:tc>
          <w:tcPr>
            <w:tcW w:w="1629" w:type="dxa"/>
            <w:tcBorders>
              <w:top w:val="single" w:sz="6" w:space="0" w:color="auto"/>
              <w:left w:val="single" w:sz="6" w:space="0" w:color="auto"/>
              <w:bottom w:val="single" w:sz="6" w:space="0" w:color="auto"/>
              <w:right w:val="single" w:sz="6" w:space="0" w:color="auto"/>
            </w:tcBorders>
          </w:tcPr>
          <w:p w:rsidR="00AB6A92" w:rsidRPr="000628FB" w:rsidRDefault="00AB6A92" w:rsidP="00AB6A92">
            <w:pPr>
              <w:pStyle w:val="Standardowytekst"/>
              <w:numPr>
                <w:ilvl w:val="12"/>
                <w:numId w:val="0"/>
              </w:numPr>
              <w:jc w:val="center"/>
              <w:rPr>
                <w:rFonts w:ascii="Calibri" w:hAnsi="Calibri"/>
                <w:sz w:val="18"/>
                <w:szCs w:val="18"/>
              </w:rPr>
            </w:pPr>
          </w:p>
          <w:p w:rsidR="00AB6A92" w:rsidRPr="000628FB" w:rsidRDefault="00AB6A92" w:rsidP="00AB6A92">
            <w:pPr>
              <w:pStyle w:val="Standardowytekst"/>
              <w:numPr>
                <w:ilvl w:val="12"/>
                <w:numId w:val="0"/>
              </w:numPr>
              <w:jc w:val="center"/>
              <w:rPr>
                <w:rFonts w:ascii="Calibri" w:hAnsi="Calibri"/>
                <w:sz w:val="18"/>
                <w:szCs w:val="18"/>
              </w:rPr>
            </w:pPr>
            <w:r w:rsidRPr="000628FB">
              <w:rPr>
                <w:rFonts w:ascii="Calibri" w:hAnsi="Calibri"/>
                <w:sz w:val="18"/>
                <w:szCs w:val="18"/>
              </w:rPr>
              <w:sym w:font="Symbol" w:char="F03C"/>
            </w:r>
            <w:r w:rsidRPr="000628FB">
              <w:rPr>
                <w:rFonts w:ascii="Calibri" w:hAnsi="Calibri"/>
                <w:sz w:val="18"/>
                <w:szCs w:val="18"/>
              </w:rPr>
              <w:t xml:space="preserve"> 25</w:t>
            </w:r>
          </w:p>
        </w:tc>
      </w:tr>
    </w:tbl>
    <w:p w:rsidR="00AB6A92" w:rsidRDefault="00AB6A92" w:rsidP="00AB6A92">
      <w:pPr>
        <w:pStyle w:val="Standardowytekst"/>
        <w:numPr>
          <w:ilvl w:val="12"/>
          <w:numId w:val="0"/>
        </w:numPr>
      </w:pPr>
    </w:p>
    <w:p w:rsidR="00AB6A92" w:rsidRPr="00B67CD4" w:rsidRDefault="00AB6A92" w:rsidP="00AB6A92">
      <w:pPr>
        <w:rPr>
          <w:rFonts w:ascii="Calibri" w:hAnsi="Calibri"/>
          <w:b/>
        </w:rPr>
      </w:pPr>
      <w:bookmarkStart w:id="382" w:name="_Toc418996324"/>
      <w:bookmarkStart w:id="383" w:name="_Toc418996693"/>
      <w:bookmarkStart w:id="384" w:name="_Toc418997080"/>
      <w:bookmarkStart w:id="385" w:name="_Toc418998490"/>
      <w:bookmarkStart w:id="386" w:name="_Toc418998846"/>
      <w:bookmarkStart w:id="387" w:name="_Toc419000091"/>
      <w:bookmarkStart w:id="388" w:name="_Toc405615042"/>
      <w:r w:rsidRPr="00B67CD4">
        <w:rPr>
          <w:rFonts w:ascii="Calibri" w:hAnsi="Calibri"/>
          <w:b/>
        </w:rPr>
        <w:t xml:space="preserve">3. </w:t>
      </w:r>
      <w:bookmarkEnd w:id="382"/>
      <w:bookmarkEnd w:id="383"/>
      <w:bookmarkEnd w:id="384"/>
      <w:bookmarkEnd w:id="385"/>
      <w:bookmarkEnd w:id="386"/>
      <w:bookmarkEnd w:id="387"/>
      <w:r w:rsidRPr="00B67CD4">
        <w:rPr>
          <w:rFonts w:ascii="Calibri" w:hAnsi="Calibri"/>
          <w:b/>
        </w:rPr>
        <w:t>SPRZĘT</w:t>
      </w:r>
    </w:p>
    <w:p w:rsidR="00AB6A92" w:rsidRPr="00B67CD4" w:rsidRDefault="00AB6A92" w:rsidP="00AB6A92">
      <w:pPr>
        <w:rPr>
          <w:rFonts w:ascii="Calibri" w:hAnsi="Calibri"/>
        </w:rPr>
      </w:pPr>
      <w:r w:rsidRPr="00B67CD4">
        <w:rPr>
          <w:rFonts w:ascii="Calibri" w:hAnsi="Calibri"/>
          <w:b/>
        </w:rPr>
        <w:t>3.1.</w:t>
      </w:r>
      <w:r w:rsidRPr="00B67CD4">
        <w:rPr>
          <w:rFonts w:ascii="Calibri" w:hAnsi="Calibri"/>
        </w:rPr>
        <w:t xml:space="preserve"> Ogólne wymagania dotyczące sprzętu</w:t>
      </w:r>
    </w:p>
    <w:p w:rsidR="00AB6A92" w:rsidRPr="00B67CD4" w:rsidRDefault="00AB6A92" w:rsidP="00AB6A92">
      <w:pPr>
        <w:rPr>
          <w:rFonts w:ascii="Calibri" w:hAnsi="Calibri"/>
        </w:rPr>
      </w:pPr>
      <w:r w:rsidRPr="00B67CD4">
        <w:rPr>
          <w:rFonts w:ascii="Calibri" w:hAnsi="Calibri"/>
        </w:rPr>
        <w:tab/>
        <w:t>Ogólne wymagania dotyczące sprzętu podano w ST D-M-00.00.00 „Wymagania ogólne” pkt 3.</w:t>
      </w:r>
    </w:p>
    <w:p w:rsidR="00AB6A92" w:rsidRPr="00B67CD4" w:rsidRDefault="00AB6A92" w:rsidP="00AB6A92">
      <w:pPr>
        <w:rPr>
          <w:rFonts w:ascii="Calibri" w:hAnsi="Calibri"/>
        </w:rPr>
      </w:pPr>
      <w:bookmarkStart w:id="389" w:name="_Toc407161190"/>
      <w:r w:rsidRPr="00B67CD4">
        <w:rPr>
          <w:rFonts w:ascii="Calibri" w:hAnsi="Calibri"/>
          <w:b/>
        </w:rPr>
        <w:t>3.2.</w:t>
      </w:r>
      <w:r w:rsidRPr="00B67CD4">
        <w:rPr>
          <w:rFonts w:ascii="Calibri" w:hAnsi="Calibri"/>
        </w:rPr>
        <w:t xml:space="preserve"> Sprzęt do robót ziemnych</w:t>
      </w:r>
      <w:bookmarkEnd w:id="388"/>
      <w:bookmarkEnd w:id="389"/>
    </w:p>
    <w:p w:rsidR="00AB6A92" w:rsidRPr="00B67CD4" w:rsidRDefault="00AB6A92" w:rsidP="00AB6A92">
      <w:pPr>
        <w:rPr>
          <w:rFonts w:ascii="Calibri" w:hAnsi="Calibri"/>
        </w:rPr>
      </w:pPr>
      <w:r w:rsidRPr="00B67CD4">
        <w:rPr>
          <w:rFonts w:ascii="Calibri" w:hAnsi="Calibri"/>
        </w:rPr>
        <w:tab/>
        <w:t>Wykonawca przystępujący do wykonania robót ziemnych powinien wykazać się możliwością korzystania z następującego sprzętu do:</w:t>
      </w:r>
    </w:p>
    <w:p w:rsidR="00AB6A92" w:rsidRPr="00B67CD4" w:rsidRDefault="000628FB" w:rsidP="00AB6A92">
      <w:pPr>
        <w:rPr>
          <w:rFonts w:ascii="Calibri" w:hAnsi="Calibri"/>
        </w:rPr>
      </w:pPr>
      <w:r>
        <w:rPr>
          <w:rFonts w:ascii="Calibri" w:hAnsi="Calibri"/>
        </w:rPr>
        <w:t>-</w:t>
      </w:r>
      <w:r w:rsidR="00AB6A92" w:rsidRPr="00B67CD4">
        <w:rPr>
          <w:rFonts w:ascii="Calibri" w:hAnsi="Calibri"/>
        </w:rPr>
        <w:t>odspajania i wydobywania gruntów (narzędzia mechaniczne, młoty pneumatyczne, zrywarki, koparki, ładowarki, wiertarki mechaniczne itp.),</w:t>
      </w:r>
    </w:p>
    <w:p w:rsidR="00AB6A92" w:rsidRPr="00B67CD4" w:rsidRDefault="000628FB" w:rsidP="00AB6A92">
      <w:pPr>
        <w:rPr>
          <w:rFonts w:ascii="Calibri" w:hAnsi="Calibri"/>
        </w:rPr>
      </w:pPr>
      <w:r>
        <w:rPr>
          <w:rFonts w:ascii="Calibri" w:hAnsi="Calibri"/>
        </w:rPr>
        <w:t>-</w:t>
      </w:r>
      <w:r w:rsidR="00AB6A92" w:rsidRPr="00B67CD4">
        <w:rPr>
          <w:rFonts w:ascii="Calibri" w:hAnsi="Calibri"/>
        </w:rPr>
        <w:t>jednoczesnego wydobywania i przemieszczania gruntów (spycharki, zgarniarki, równiarki, urządzenia do hydromechanizacji itp.),</w:t>
      </w:r>
    </w:p>
    <w:p w:rsidR="00AB6A92" w:rsidRPr="00B67CD4" w:rsidRDefault="000628FB" w:rsidP="00AB6A92">
      <w:pPr>
        <w:rPr>
          <w:rFonts w:ascii="Calibri" w:hAnsi="Calibri"/>
        </w:rPr>
      </w:pPr>
      <w:r>
        <w:rPr>
          <w:rFonts w:ascii="Calibri" w:hAnsi="Calibri"/>
        </w:rPr>
        <w:t>-</w:t>
      </w:r>
      <w:r w:rsidR="00AB6A92" w:rsidRPr="00B67CD4">
        <w:rPr>
          <w:rFonts w:ascii="Calibri" w:hAnsi="Calibri"/>
        </w:rPr>
        <w:t>transportu mas ziemnych (samochody wywrotki, samochody skrzyniowe, taśmociągi itp.),</w:t>
      </w:r>
    </w:p>
    <w:p w:rsidR="00AB6A92" w:rsidRPr="00B67CD4" w:rsidRDefault="000628FB" w:rsidP="00AB6A92">
      <w:pPr>
        <w:rPr>
          <w:rFonts w:ascii="Calibri" w:hAnsi="Calibri"/>
        </w:rPr>
      </w:pPr>
      <w:r>
        <w:rPr>
          <w:rFonts w:ascii="Calibri" w:hAnsi="Calibri"/>
        </w:rPr>
        <w:t>-</w:t>
      </w:r>
      <w:r w:rsidR="00AB6A92" w:rsidRPr="00B67CD4">
        <w:rPr>
          <w:rFonts w:ascii="Calibri" w:hAnsi="Calibri"/>
        </w:rPr>
        <w:t>sprzętu zagęszczającego (walce, ubijaki, płyty wibracyjne itp.).</w:t>
      </w:r>
    </w:p>
    <w:p w:rsidR="00AB6A92" w:rsidRPr="00B67CD4" w:rsidRDefault="00AB6A92" w:rsidP="00AB6A92">
      <w:pPr>
        <w:rPr>
          <w:rFonts w:ascii="Calibri" w:hAnsi="Calibri"/>
        </w:rPr>
      </w:pPr>
    </w:p>
    <w:p w:rsidR="00AB6A92" w:rsidRPr="00B67CD4" w:rsidRDefault="00AB6A92" w:rsidP="00AB6A92">
      <w:pPr>
        <w:rPr>
          <w:rFonts w:ascii="Calibri" w:hAnsi="Calibri"/>
          <w:b/>
        </w:rPr>
      </w:pPr>
      <w:bookmarkStart w:id="390" w:name="_Toc405615043"/>
      <w:bookmarkStart w:id="391" w:name="_Toc407161191"/>
      <w:bookmarkStart w:id="392" w:name="_Toc418996325"/>
      <w:bookmarkStart w:id="393" w:name="_Toc418996694"/>
      <w:bookmarkStart w:id="394" w:name="_Toc418997081"/>
      <w:bookmarkStart w:id="395" w:name="_Toc418998491"/>
      <w:bookmarkStart w:id="396" w:name="_Toc418998847"/>
      <w:bookmarkStart w:id="397" w:name="_Toc419000092"/>
      <w:r w:rsidRPr="00B67CD4">
        <w:rPr>
          <w:rFonts w:ascii="Calibri" w:hAnsi="Calibri"/>
          <w:b/>
        </w:rPr>
        <w:t xml:space="preserve">4. </w:t>
      </w:r>
      <w:bookmarkEnd w:id="390"/>
      <w:bookmarkEnd w:id="391"/>
      <w:bookmarkEnd w:id="392"/>
      <w:bookmarkEnd w:id="393"/>
      <w:bookmarkEnd w:id="394"/>
      <w:bookmarkEnd w:id="395"/>
      <w:bookmarkEnd w:id="396"/>
      <w:bookmarkEnd w:id="397"/>
      <w:r w:rsidRPr="00B67CD4">
        <w:rPr>
          <w:rFonts w:ascii="Calibri" w:hAnsi="Calibri"/>
          <w:b/>
        </w:rPr>
        <w:t>TRANSPORT</w:t>
      </w:r>
    </w:p>
    <w:p w:rsidR="00AB6A92" w:rsidRPr="00B67CD4" w:rsidRDefault="00AB6A92" w:rsidP="00AB6A92">
      <w:pPr>
        <w:rPr>
          <w:rFonts w:ascii="Calibri" w:hAnsi="Calibri"/>
        </w:rPr>
      </w:pPr>
      <w:bookmarkStart w:id="398" w:name="_Toc405615044"/>
      <w:bookmarkStart w:id="399" w:name="_Toc407161192"/>
      <w:r w:rsidRPr="00B67CD4">
        <w:rPr>
          <w:rFonts w:ascii="Calibri" w:hAnsi="Calibri"/>
          <w:b/>
        </w:rPr>
        <w:t>4.1.</w:t>
      </w:r>
      <w:r w:rsidRPr="00B67CD4">
        <w:rPr>
          <w:rFonts w:ascii="Calibri" w:hAnsi="Calibri"/>
        </w:rPr>
        <w:t xml:space="preserve"> Ogólne wymagania dotyczące transportu</w:t>
      </w:r>
      <w:bookmarkEnd w:id="398"/>
      <w:bookmarkEnd w:id="399"/>
    </w:p>
    <w:p w:rsidR="00AB6A92" w:rsidRPr="00B67CD4" w:rsidRDefault="00AB6A92" w:rsidP="00AB6A92">
      <w:pPr>
        <w:rPr>
          <w:rFonts w:ascii="Calibri" w:hAnsi="Calibri"/>
        </w:rPr>
      </w:pPr>
      <w:r w:rsidRPr="00B67CD4">
        <w:rPr>
          <w:rFonts w:ascii="Calibri" w:hAnsi="Calibri"/>
        </w:rPr>
        <w:tab/>
        <w:t>Ogólne wymagania dotyczące transportu podano w ST D-M-00.00.00 „Wymagania ogólne” pkt 4.</w:t>
      </w:r>
    </w:p>
    <w:p w:rsidR="00AB6A92" w:rsidRPr="00B67CD4" w:rsidRDefault="00AB6A92" w:rsidP="00AB6A92">
      <w:pPr>
        <w:rPr>
          <w:rFonts w:ascii="Calibri" w:hAnsi="Calibri"/>
        </w:rPr>
      </w:pPr>
      <w:bookmarkStart w:id="400" w:name="_Toc405615045"/>
      <w:bookmarkStart w:id="401" w:name="_Toc407161193"/>
      <w:r w:rsidRPr="00B67CD4">
        <w:rPr>
          <w:rFonts w:ascii="Calibri" w:hAnsi="Calibri"/>
          <w:b/>
        </w:rPr>
        <w:t>4.2.</w:t>
      </w:r>
      <w:r w:rsidRPr="00B67CD4">
        <w:rPr>
          <w:rFonts w:ascii="Calibri" w:hAnsi="Calibri"/>
        </w:rPr>
        <w:t xml:space="preserve"> Transport gruntów</w:t>
      </w:r>
      <w:bookmarkEnd w:id="400"/>
      <w:bookmarkEnd w:id="401"/>
    </w:p>
    <w:p w:rsidR="00AB6A92" w:rsidRPr="00B67CD4" w:rsidRDefault="00AB6A92" w:rsidP="00AB6A92">
      <w:pPr>
        <w:rPr>
          <w:rFonts w:ascii="Calibri" w:hAnsi="Calibri"/>
        </w:rPr>
      </w:pPr>
      <w:r w:rsidRPr="00B67CD4">
        <w:rPr>
          <w:rFonts w:ascii="Calibri" w:hAnsi="Calibri"/>
        </w:rPr>
        <w:tab/>
        <w:t>Wybór środków transportowych oraz metod transportu powinien być dostosowany do rodzaju gruntu (materiału), jego objętości, sposobu odspajania i załadunku oraz do odległości transportu. Wydajność środków transportowych powinna być ponadto dostosowana do wydajności sprzętu stosowanego do urabiania i wbudowania gruntu (materiału).</w:t>
      </w:r>
    </w:p>
    <w:p w:rsidR="00AB6A92" w:rsidRPr="00B67CD4" w:rsidRDefault="00AB6A92" w:rsidP="00AB6A92">
      <w:pPr>
        <w:rPr>
          <w:rFonts w:ascii="Calibri" w:hAnsi="Calibri"/>
        </w:rPr>
      </w:pPr>
      <w:r w:rsidRPr="00B67CD4">
        <w:rPr>
          <w:rFonts w:ascii="Calibri" w:hAnsi="Calibri"/>
        </w:rPr>
        <w:lastRenderedPageBreak/>
        <w:tab/>
        <w:t>Zwiększenie odległości transportu ponad wartości zatwierdzone nie może być podstawą roszczeń Wykonawcy, dotyczących dodatkowej zapłaty za transport, o ile zwiększone odległości nie zostały wcześniej zaakceptowane na piśmie przez Inżyniera.</w:t>
      </w:r>
    </w:p>
    <w:p w:rsidR="00AB6A92" w:rsidRPr="00B67CD4" w:rsidRDefault="00AB6A92" w:rsidP="00AB6A92">
      <w:pPr>
        <w:rPr>
          <w:rFonts w:ascii="Calibri" w:hAnsi="Calibri"/>
        </w:rPr>
      </w:pPr>
    </w:p>
    <w:p w:rsidR="00AB6A92" w:rsidRPr="005D3911" w:rsidRDefault="00AB6A92" w:rsidP="00AB6A92">
      <w:pPr>
        <w:rPr>
          <w:rFonts w:ascii="Calibri" w:hAnsi="Calibri"/>
          <w:b/>
        </w:rPr>
      </w:pPr>
      <w:bookmarkStart w:id="402" w:name="_Toc405615046"/>
      <w:bookmarkStart w:id="403" w:name="_Toc407161194"/>
      <w:bookmarkStart w:id="404" w:name="_Toc418996326"/>
      <w:bookmarkStart w:id="405" w:name="_Toc418996695"/>
      <w:bookmarkStart w:id="406" w:name="_Toc418997082"/>
      <w:bookmarkStart w:id="407" w:name="_Toc418998492"/>
      <w:bookmarkStart w:id="408" w:name="_Toc418998848"/>
      <w:bookmarkStart w:id="409" w:name="_Toc419000093"/>
      <w:r w:rsidRPr="005D3911">
        <w:rPr>
          <w:rFonts w:ascii="Calibri" w:hAnsi="Calibri"/>
          <w:b/>
        </w:rPr>
        <w:t xml:space="preserve">5. </w:t>
      </w:r>
      <w:bookmarkEnd w:id="402"/>
      <w:bookmarkEnd w:id="403"/>
      <w:bookmarkEnd w:id="404"/>
      <w:bookmarkEnd w:id="405"/>
      <w:bookmarkEnd w:id="406"/>
      <w:bookmarkEnd w:id="407"/>
      <w:bookmarkEnd w:id="408"/>
      <w:bookmarkEnd w:id="409"/>
      <w:r w:rsidRPr="005D3911">
        <w:rPr>
          <w:rFonts w:ascii="Calibri" w:hAnsi="Calibri"/>
          <w:b/>
        </w:rPr>
        <w:t>WYKONANIE ROBÓT</w:t>
      </w:r>
    </w:p>
    <w:p w:rsidR="00AB6A92" w:rsidRPr="00B67CD4" w:rsidRDefault="00AB6A92" w:rsidP="00AB6A92">
      <w:pPr>
        <w:rPr>
          <w:rFonts w:ascii="Calibri" w:hAnsi="Calibri"/>
        </w:rPr>
      </w:pPr>
      <w:bookmarkStart w:id="410" w:name="_Toc405615047"/>
      <w:bookmarkStart w:id="411" w:name="_Toc407161195"/>
      <w:r w:rsidRPr="005D3911">
        <w:rPr>
          <w:rFonts w:ascii="Calibri" w:hAnsi="Calibri"/>
          <w:b/>
        </w:rPr>
        <w:t>5.1.</w:t>
      </w:r>
      <w:r w:rsidRPr="00B67CD4">
        <w:rPr>
          <w:rFonts w:ascii="Calibri" w:hAnsi="Calibri"/>
        </w:rPr>
        <w:t xml:space="preserve"> Ogólne zasady wykonania robót</w:t>
      </w:r>
      <w:bookmarkEnd w:id="410"/>
      <w:bookmarkEnd w:id="411"/>
    </w:p>
    <w:p w:rsidR="00AB6A92" w:rsidRPr="00B67CD4" w:rsidRDefault="00AB6A92" w:rsidP="00AB6A92">
      <w:pPr>
        <w:rPr>
          <w:rFonts w:ascii="Calibri" w:hAnsi="Calibri"/>
        </w:rPr>
      </w:pPr>
      <w:r w:rsidRPr="00B67CD4">
        <w:rPr>
          <w:rFonts w:ascii="Calibri" w:hAnsi="Calibri"/>
        </w:rPr>
        <w:tab/>
        <w:t>Ogólne z</w:t>
      </w:r>
      <w:r>
        <w:rPr>
          <w:rFonts w:ascii="Calibri" w:hAnsi="Calibri"/>
        </w:rPr>
        <w:t xml:space="preserve">asady wykonania robót podano w </w:t>
      </w:r>
      <w:r w:rsidRPr="00B67CD4">
        <w:rPr>
          <w:rFonts w:ascii="Calibri" w:hAnsi="Calibri"/>
        </w:rPr>
        <w:t>ST D-M-00.00.00 „Wymagania ogólne” pkt 5.</w:t>
      </w:r>
    </w:p>
    <w:p w:rsidR="00AB6A92" w:rsidRPr="00B67CD4" w:rsidRDefault="00AB6A92" w:rsidP="00AB6A92">
      <w:pPr>
        <w:rPr>
          <w:rFonts w:ascii="Calibri" w:hAnsi="Calibri"/>
        </w:rPr>
      </w:pPr>
      <w:bookmarkStart w:id="412" w:name="_Toc405615048"/>
      <w:bookmarkStart w:id="413" w:name="_Toc407161196"/>
      <w:r w:rsidRPr="005D3911">
        <w:rPr>
          <w:rFonts w:ascii="Calibri" w:hAnsi="Calibri"/>
          <w:b/>
        </w:rPr>
        <w:t>5.2.</w:t>
      </w:r>
      <w:r w:rsidRPr="00B67CD4">
        <w:rPr>
          <w:rFonts w:ascii="Calibri" w:hAnsi="Calibri"/>
        </w:rPr>
        <w:t xml:space="preserve"> Dokładność wykonania wykopów i nasypów</w:t>
      </w:r>
      <w:bookmarkEnd w:id="412"/>
      <w:bookmarkEnd w:id="413"/>
    </w:p>
    <w:p w:rsidR="00AB6A92" w:rsidRPr="00B67CD4" w:rsidRDefault="00AB6A92" w:rsidP="00AB6A92">
      <w:pPr>
        <w:rPr>
          <w:rFonts w:ascii="Calibri" w:hAnsi="Calibri"/>
        </w:rPr>
      </w:pPr>
      <w:r w:rsidRPr="00B67CD4">
        <w:rPr>
          <w:rFonts w:ascii="Calibri" w:hAnsi="Calibri"/>
        </w:rPr>
        <w:tab/>
        <w:t xml:space="preserve">Odchylenie osi korpusu ziemnego, w wykopie od osi projektowanej nie powinny być większe niż </w:t>
      </w:r>
      <w:r w:rsidRPr="00B67CD4">
        <w:rPr>
          <w:rFonts w:ascii="Calibri" w:hAnsi="Calibri"/>
        </w:rPr>
        <w:sym w:font="Symbol" w:char="F0B1"/>
      </w:r>
      <w:r w:rsidRPr="00B67CD4">
        <w:rPr>
          <w:rFonts w:ascii="Calibri" w:hAnsi="Calibri"/>
        </w:rPr>
        <w:t xml:space="preserve"> 10 cm. Różnica w stosunku do projektowanych rzędnych robót ziemnych nie może przekraczać + 1 cm i -3 cm.</w:t>
      </w:r>
    </w:p>
    <w:p w:rsidR="00AB6A92" w:rsidRPr="00B67CD4" w:rsidRDefault="00AB6A92" w:rsidP="00AB6A92">
      <w:pPr>
        <w:rPr>
          <w:rFonts w:ascii="Calibri" w:hAnsi="Calibri"/>
        </w:rPr>
      </w:pPr>
      <w:r w:rsidRPr="00B67CD4">
        <w:rPr>
          <w:rFonts w:ascii="Calibri" w:hAnsi="Calibri"/>
        </w:rPr>
        <w:tab/>
        <w:t xml:space="preserve">Szerokość górnej powierzchni korpusu nie może różnić się od szerokości projektowanej o więcej niż </w:t>
      </w:r>
      <w:r w:rsidRPr="00B67CD4">
        <w:rPr>
          <w:rFonts w:ascii="Calibri" w:hAnsi="Calibri"/>
        </w:rPr>
        <w:sym w:font="Symbol" w:char="F0B1"/>
      </w:r>
      <w:r w:rsidRPr="00B67CD4">
        <w:rPr>
          <w:rFonts w:ascii="Calibri" w:hAnsi="Calibri"/>
        </w:rPr>
        <w:t xml:space="preserve"> 10 cm, a krawędzie korony drogi nie powinny mieć wyraźnych załamań w planie.</w:t>
      </w:r>
    </w:p>
    <w:p w:rsidR="00AB6A92" w:rsidRPr="00B67CD4" w:rsidRDefault="00AB6A92" w:rsidP="00AB6A92">
      <w:pPr>
        <w:rPr>
          <w:rFonts w:ascii="Calibri" w:hAnsi="Calibri"/>
        </w:rPr>
      </w:pPr>
      <w:bookmarkStart w:id="414" w:name="_Toc405615049"/>
      <w:bookmarkStart w:id="415" w:name="_Toc407161197"/>
      <w:r w:rsidRPr="005D3911">
        <w:rPr>
          <w:rFonts w:ascii="Calibri" w:hAnsi="Calibri"/>
          <w:b/>
        </w:rPr>
        <w:t>5.3.</w:t>
      </w:r>
      <w:r w:rsidRPr="00B67CD4">
        <w:rPr>
          <w:rFonts w:ascii="Calibri" w:hAnsi="Calibri"/>
        </w:rPr>
        <w:t xml:space="preserve"> Odwodnienia pasa robót ziemnych</w:t>
      </w:r>
      <w:bookmarkEnd w:id="414"/>
      <w:bookmarkEnd w:id="415"/>
    </w:p>
    <w:p w:rsidR="00AB6A92" w:rsidRPr="00B67CD4" w:rsidRDefault="00AB6A92" w:rsidP="00AB6A92">
      <w:pPr>
        <w:rPr>
          <w:rFonts w:ascii="Calibri" w:hAnsi="Calibri"/>
        </w:rPr>
      </w:pPr>
      <w:r w:rsidRPr="00B67CD4">
        <w:rPr>
          <w:rFonts w:ascii="Calibri" w:hAnsi="Calibri"/>
        </w:rPr>
        <w:tab/>
        <w:t>Niezależnie od budowy urządzeń, stanowiących elementy systemów odwadniających, ujętych w dokumentacji projektowej, Wykonawca powinien, o ile wymagają tego warunki terenowe, wykonać urządzenia, które zapewnią odprowadzenie wód gruntowych i opadowych poza obszar robót ziemnych tak, aby zabezpieczyć grunty przed przewilgoceniem i nawodnieniem. Wykonawca ma obowiązek takiego wykonywania wykopów aby powierzchniom gruntu nadawać w całym okresie trwania robót spadki, zapewniające prawidłowe odwodnienie.</w:t>
      </w:r>
    </w:p>
    <w:p w:rsidR="00AB6A92" w:rsidRPr="00B67CD4" w:rsidRDefault="00AB6A92" w:rsidP="00AB6A92">
      <w:pPr>
        <w:rPr>
          <w:rFonts w:ascii="Calibri" w:hAnsi="Calibri"/>
        </w:rPr>
      </w:pPr>
      <w:r w:rsidRPr="00B67CD4">
        <w:rPr>
          <w:rFonts w:ascii="Calibri" w:hAnsi="Calibri"/>
        </w:rPr>
        <w:tab/>
        <w:t>Jeżeli, wskutek zaniedbania Wykonawcy, grunty ulegną nawodnieniu, które spowoduje ich długotrwałą nieprzydatność, Wykonawca ma obowiązek usunięcia tych gruntów i zastąpienia ich gruntami przydatnymi na własny koszt bez jakichkolwiek dodatkowych opłat ze strony Zamawiającego za te czynności, jak również za dowieziony grunt.</w:t>
      </w:r>
    </w:p>
    <w:p w:rsidR="00AB6A92" w:rsidRPr="00B67CD4" w:rsidRDefault="00AB6A92" w:rsidP="00AB6A92">
      <w:pPr>
        <w:rPr>
          <w:rFonts w:ascii="Calibri" w:hAnsi="Calibri"/>
        </w:rPr>
      </w:pPr>
      <w:r w:rsidRPr="00B67CD4">
        <w:rPr>
          <w:rFonts w:ascii="Calibri" w:hAnsi="Calibri"/>
        </w:rPr>
        <w:tab/>
        <w:t>Odprowadzenie wód do istniejących urządzeń odwadniających musi być poprzedzone uzgodnieniem z odpowiednimi instytucjami.</w:t>
      </w:r>
    </w:p>
    <w:p w:rsidR="00AB6A92" w:rsidRPr="00B67CD4" w:rsidRDefault="00AB6A92" w:rsidP="00AB6A92">
      <w:pPr>
        <w:rPr>
          <w:rFonts w:ascii="Calibri" w:hAnsi="Calibri"/>
        </w:rPr>
      </w:pPr>
      <w:bookmarkStart w:id="416" w:name="_Toc405615050"/>
      <w:bookmarkStart w:id="417" w:name="_Toc407161198"/>
      <w:r w:rsidRPr="005D3911">
        <w:rPr>
          <w:rFonts w:ascii="Calibri" w:hAnsi="Calibri"/>
          <w:b/>
        </w:rPr>
        <w:t>5.4.</w:t>
      </w:r>
      <w:r w:rsidRPr="00B67CD4">
        <w:rPr>
          <w:rFonts w:ascii="Calibri" w:hAnsi="Calibri"/>
        </w:rPr>
        <w:t xml:space="preserve"> Odwodnienie wykopów</w:t>
      </w:r>
      <w:bookmarkEnd w:id="416"/>
      <w:bookmarkEnd w:id="417"/>
    </w:p>
    <w:p w:rsidR="00AB6A92" w:rsidRPr="00B67CD4" w:rsidRDefault="00AB6A92" w:rsidP="00AB6A92">
      <w:pPr>
        <w:rPr>
          <w:rFonts w:ascii="Calibri" w:hAnsi="Calibri"/>
        </w:rPr>
      </w:pPr>
      <w:r w:rsidRPr="00B67CD4">
        <w:rPr>
          <w:rFonts w:ascii="Calibri" w:hAnsi="Calibri"/>
        </w:rPr>
        <w:tab/>
        <w:t>Technologia wykonania wykopu musi umożliwiać jego prawidłowe odwodnienie w całym okresie trwania robót ziemnych. Wykonanie wykopów powinno postępować w kierunku podnoszenia się niwelety.</w:t>
      </w:r>
    </w:p>
    <w:p w:rsidR="00AB6A92" w:rsidRPr="00B67CD4" w:rsidRDefault="00AB6A92" w:rsidP="00AB6A92">
      <w:pPr>
        <w:rPr>
          <w:rFonts w:ascii="Calibri" w:hAnsi="Calibri"/>
        </w:rPr>
      </w:pPr>
      <w:r w:rsidRPr="00B67CD4">
        <w:rPr>
          <w:rFonts w:ascii="Calibri" w:hAnsi="Calibri"/>
        </w:rPr>
        <w:tab/>
        <w:t>W czasie robót ziemnych należy zachować odpowiedni spadek podłużny i nadać przekrojom poprzecznym spadki, umożliwiające szybki odpływ wód z wykopu. O ile w dokumentacji projektowej nie zawarto innego wymagania, spadek poprzeczny nie powinien być mniejszy niż 4% w przypadku gruntów spoistych i nie mniejszy niż 2% w przypadku gruntów niespoistych. Należy uwzględnić ewentualny wpływ kolejności i sposobu odspajania gruntów oraz terminów wykonywania innych robót na spełnienie wymagań dotyczących prawidłowego odwodnienia wykopu w czasie postępu robót ziemnych.</w:t>
      </w:r>
    </w:p>
    <w:p w:rsidR="00AB6A92" w:rsidRPr="00B67CD4" w:rsidRDefault="00AB6A92" w:rsidP="00AB6A92">
      <w:pPr>
        <w:rPr>
          <w:rFonts w:ascii="Calibri" w:hAnsi="Calibri"/>
        </w:rPr>
      </w:pPr>
      <w:r w:rsidRPr="00B67CD4">
        <w:rPr>
          <w:rFonts w:ascii="Calibri" w:hAnsi="Calibri"/>
        </w:rPr>
        <w:tab/>
        <w:t>Wody opadowe i gruntowe należy odprowadzić poza teren pasa robót ziemnych.</w:t>
      </w:r>
    </w:p>
    <w:p w:rsidR="00AB6A92" w:rsidRPr="00B67CD4" w:rsidRDefault="00AB6A92" w:rsidP="00AB6A92">
      <w:pPr>
        <w:rPr>
          <w:rFonts w:ascii="Calibri" w:hAnsi="Calibri"/>
        </w:rPr>
      </w:pPr>
    </w:p>
    <w:p w:rsidR="00AB6A92" w:rsidRPr="00DE502F" w:rsidRDefault="00AB6A92" w:rsidP="00AB6A92">
      <w:pPr>
        <w:rPr>
          <w:rFonts w:ascii="Calibri" w:hAnsi="Calibri"/>
          <w:b/>
        </w:rPr>
      </w:pPr>
      <w:bookmarkStart w:id="418" w:name="_Toc405615052"/>
      <w:bookmarkStart w:id="419" w:name="_Toc407161200"/>
      <w:bookmarkStart w:id="420" w:name="_Toc418996327"/>
      <w:bookmarkStart w:id="421" w:name="_Toc418996696"/>
      <w:bookmarkStart w:id="422" w:name="_Toc418997083"/>
      <w:bookmarkStart w:id="423" w:name="_Toc418998493"/>
      <w:bookmarkStart w:id="424" w:name="_Toc418998849"/>
      <w:bookmarkStart w:id="425" w:name="_Toc419000094"/>
      <w:r w:rsidRPr="00DE502F">
        <w:rPr>
          <w:rFonts w:ascii="Calibri" w:hAnsi="Calibri"/>
          <w:b/>
        </w:rPr>
        <w:t xml:space="preserve">6. </w:t>
      </w:r>
      <w:bookmarkEnd w:id="418"/>
      <w:bookmarkEnd w:id="419"/>
      <w:bookmarkEnd w:id="420"/>
      <w:bookmarkEnd w:id="421"/>
      <w:bookmarkEnd w:id="422"/>
      <w:bookmarkEnd w:id="423"/>
      <w:bookmarkEnd w:id="424"/>
      <w:bookmarkEnd w:id="425"/>
      <w:r w:rsidRPr="00DE502F">
        <w:rPr>
          <w:rFonts w:ascii="Calibri" w:hAnsi="Calibri"/>
          <w:b/>
        </w:rPr>
        <w:t>KONTROLA JAKOŚCI ROBÓT</w:t>
      </w:r>
    </w:p>
    <w:p w:rsidR="00AB6A92" w:rsidRPr="00B67CD4" w:rsidRDefault="00AB6A92" w:rsidP="00AB6A92">
      <w:pPr>
        <w:rPr>
          <w:rFonts w:ascii="Calibri" w:hAnsi="Calibri"/>
        </w:rPr>
      </w:pPr>
      <w:bookmarkStart w:id="426" w:name="_Toc405615053"/>
      <w:bookmarkStart w:id="427" w:name="_Toc407161201"/>
      <w:r w:rsidRPr="00DE502F">
        <w:rPr>
          <w:rFonts w:ascii="Calibri" w:hAnsi="Calibri"/>
          <w:b/>
        </w:rPr>
        <w:t>6.1.</w:t>
      </w:r>
      <w:r w:rsidRPr="00B67CD4">
        <w:rPr>
          <w:rFonts w:ascii="Calibri" w:hAnsi="Calibri"/>
        </w:rPr>
        <w:t xml:space="preserve"> Ogólne zasady kontroli jakości robót</w:t>
      </w:r>
      <w:bookmarkEnd w:id="426"/>
      <w:bookmarkEnd w:id="427"/>
    </w:p>
    <w:p w:rsidR="00AB6A92" w:rsidRPr="00B67CD4" w:rsidRDefault="00AB6A92" w:rsidP="00AB6A92">
      <w:pPr>
        <w:rPr>
          <w:rFonts w:ascii="Calibri" w:hAnsi="Calibri"/>
        </w:rPr>
      </w:pPr>
      <w:r w:rsidRPr="00B67CD4">
        <w:rPr>
          <w:rFonts w:ascii="Calibri" w:hAnsi="Calibri"/>
        </w:rPr>
        <w:tab/>
        <w:t>Ogólne zasady k</w:t>
      </w:r>
      <w:r>
        <w:rPr>
          <w:rFonts w:ascii="Calibri" w:hAnsi="Calibri"/>
        </w:rPr>
        <w:t xml:space="preserve">ontroli jakości robót podano w </w:t>
      </w:r>
      <w:r w:rsidRPr="00B67CD4">
        <w:rPr>
          <w:rFonts w:ascii="Calibri" w:hAnsi="Calibri"/>
        </w:rPr>
        <w:t>ST D-M-00.00.00 „Wymagania ogólne” pkt 6.</w:t>
      </w:r>
    </w:p>
    <w:p w:rsidR="00AB6A92" w:rsidRPr="00B67CD4" w:rsidRDefault="00AB6A92" w:rsidP="00AB6A92">
      <w:pPr>
        <w:rPr>
          <w:rFonts w:ascii="Calibri" w:hAnsi="Calibri"/>
        </w:rPr>
      </w:pPr>
      <w:bookmarkStart w:id="428" w:name="_Toc405615054"/>
      <w:bookmarkStart w:id="429" w:name="_Toc407161202"/>
      <w:r w:rsidRPr="00816DFD">
        <w:rPr>
          <w:rFonts w:ascii="Calibri" w:hAnsi="Calibri"/>
          <w:b/>
        </w:rPr>
        <w:t>6.2.</w:t>
      </w:r>
      <w:r w:rsidRPr="00B67CD4">
        <w:rPr>
          <w:rFonts w:ascii="Calibri" w:hAnsi="Calibri"/>
        </w:rPr>
        <w:t xml:space="preserve"> Badania i pomiary w czasie wykonywania robót ziemnych</w:t>
      </w:r>
      <w:bookmarkEnd w:id="428"/>
      <w:bookmarkEnd w:id="429"/>
    </w:p>
    <w:p w:rsidR="00AB6A92" w:rsidRPr="00B67CD4" w:rsidRDefault="00AB6A92" w:rsidP="00AB6A92">
      <w:pPr>
        <w:rPr>
          <w:rFonts w:ascii="Calibri" w:hAnsi="Calibri"/>
        </w:rPr>
      </w:pPr>
      <w:r w:rsidRPr="00816DFD">
        <w:rPr>
          <w:rFonts w:ascii="Calibri" w:hAnsi="Calibri"/>
          <w:b/>
        </w:rPr>
        <w:t>6.2.1.</w:t>
      </w:r>
      <w:r w:rsidRPr="00B67CD4">
        <w:rPr>
          <w:rFonts w:ascii="Calibri" w:hAnsi="Calibri"/>
        </w:rPr>
        <w:t xml:space="preserve"> Sprawdzenie odwodnienia</w:t>
      </w:r>
    </w:p>
    <w:p w:rsidR="00AB6A92" w:rsidRPr="00B67CD4" w:rsidRDefault="00AB6A92" w:rsidP="00AB6A92">
      <w:pPr>
        <w:rPr>
          <w:rFonts w:ascii="Calibri" w:hAnsi="Calibri"/>
        </w:rPr>
      </w:pPr>
      <w:r w:rsidRPr="00B67CD4">
        <w:rPr>
          <w:rFonts w:ascii="Calibri" w:hAnsi="Calibri"/>
        </w:rPr>
        <w:tab/>
        <w:t>Sprawdzenie odwodnienia korpusu ziemnego polega na kontroli zgodności z wymaganiami specyfikacji określonymi w pkcie 5 oraz z dokumentacją projektową.</w:t>
      </w:r>
    </w:p>
    <w:p w:rsidR="00AB6A92" w:rsidRPr="00B67CD4" w:rsidRDefault="00AB6A92" w:rsidP="00AB6A92">
      <w:pPr>
        <w:rPr>
          <w:rFonts w:ascii="Calibri" w:hAnsi="Calibri"/>
        </w:rPr>
      </w:pPr>
      <w:r w:rsidRPr="00B67CD4">
        <w:rPr>
          <w:rFonts w:ascii="Calibri" w:hAnsi="Calibri"/>
        </w:rPr>
        <w:tab/>
        <w:t>Szczególną uwagę należy zwrócić na:</w:t>
      </w:r>
    </w:p>
    <w:p w:rsidR="00AB6A92" w:rsidRPr="00B67CD4" w:rsidRDefault="00AB6A92" w:rsidP="00AB6A92">
      <w:pPr>
        <w:rPr>
          <w:rFonts w:ascii="Calibri" w:hAnsi="Calibri"/>
        </w:rPr>
      </w:pPr>
      <w:r w:rsidRPr="00B67CD4">
        <w:rPr>
          <w:rFonts w:ascii="Calibri" w:hAnsi="Calibri"/>
        </w:rPr>
        <w:t>- właściwe ujęcie i odprowadzenie wód opadowych,</w:t>
      </w:r>
    </w:p>
    <w:p w:rsidR="00AB6A92" w:rsidRPr="00B67CD4" w:rsidRDefault="00AB6A92" w:rsidP="00AB6A92">
      <w:pPr>
        <w:rPr>
          <w:rFonts w:ascii="Calibri" w:hAnsi="Calibri"/>
        </w:rPr>
      </w:pPr>
      <w:r w:rsidRPr="00B67CD4">
        <w:rPr>
          <w:rFonts w:ascii="Calibri" w:hAnsi="Calibri"/>
        </w:rPr>
        <w:t>- właściwe ujęcie i odprowadzenie wysięków wodnych.</w:t>
      </w:r>
    </w:p>
    <w:p w:rsidR="00AB6A92" w:rsidRPr="00B67CD4" w:rsidRDefault="00AB6A92" w:rsidP="00AB6A92">
      <w:pPr>
        <w:rPr>
          <w:rFonts w:ascii="Calibri" w:hAnsi="Calibri"/>
        </w:rPr>
      </w:pPr>
      <w:r w:rsidRPr="00816DFD">
        <w:rPr>
          <w:rFonts w:ascii="Calibri" w:hAnsi="Calibri"/>
          <w:b/>
        </w:rPr>
        <w:t>6.2.2.</w:t>
      </w:r>
      <w:r w:rsidRPr="00B67CD4">
        <w:rPr>
          <w:rFonts w:ascii="Calibri" w:hAnsi="Calibri"/>
        </w:rPr>
        <w:t xml:space="preserve"> Sprawdzenie jakości wykonania robót</w:t>
      </w:r>
    </w:p>
    <w:p w:rsidR="00AB6A92" w:rsidRPr="00B67CD4" w:rsidRDefault="00AB6A92" w:rsidP="00AB6A92">
      <w:pPr>
        <w:rPr>
          <w:rFonts w:ascii="Calibri" w:hAnsi="Calibri"/>
        </w:rPr>
      </w:pPr>
      <w:r w:rsidRPr="00B67CD4">
        <w:rPr>
          <w:rFonts w:ascii="Calibri" w:hAnsi="Calibri"/>
        </w:rPr>
        <w:tab/>
        <w:t>Czynności wchodzące w zakres sprawdzenia jakości wykon</w:t>
      </w:r>
      <w:r>
        <w:rPr>
          <w:rFonts w:ascii="Calibri" w:hAnsi="Calibri"/>
        </w:rPr>
        <w:t xml:space="preserve">ania robót określono w pkcie 6 </w:t>
      </w:r>
      <w:r w:rsidRPr="00B67CD4">
        <w:rPr>
          <w:rFonts w:ascii="Calibri" w:hAnsi="Calibri"/>
        </w:rPr>
        <w:t>ST D-02.01.01, D-02.02.01 oraz D-02.03.01.</w:t>
      </w:r>
    </w:p>
    <w:p w:rsidR="00AB6A92" w:rsidRPr="00B67CD4" w:rsidRDefault="00AB6A92" w:rsidP="00AB6A92">
      <w:pPr>
        <w:rPr>
          <w:rFonts w:ascii="Calibri" w:hAnsi="Calibri"/>
        </w:rPr>
      </w:pPr>
      <w:bookmarkStart w:id="430" w:name="_Toc405615055"/>
      <w:bookmarkStart w:id="431" w:name="_Toc407161203"/>
      <w:r w:rsidRPr="002171D8">
        <w:rPr>
          <w:rFonts w:ascii="Calibri" w:hAnsi="Calibri"/>
          <w:b/>
        </w:rPr>
        <w:t>6.3.</w:t>
      </w:r>
      <w:r w:rsidRPr="00B67CD4">
        <w:rPr>
          <w:rFonts w:ascii="Calibri" w:hAnsi="Calibri"/>
        </w:rPr>
        <w:t xml:space="preserve"> Badania do odbioru korpusu ziemnego</w:t>
      </w:r>
      <w:bookmarkEnd w:id="430"/>
      <w:bookmarkEnd w:id="431"/>
    </w:p>
    <w:p w:rsidR="00AB6A92" w:rsidRPr="00B67CD4" w:rsidRDefault="00AB6A92" w:rsidP="00AB6A92">
      <w:pPr>
        <w:rPr>
          <w:rFonts w:ascii="Calibri" w:hAnsi="Calibri"/>
        </w:rPr>
      </w:pPr>
      <w:r w:rsidRPr="002171D8">
        <w:rPr>
          <w:rFonts w:ascii="Calibri" w:hAnsi="Calibri"/>
          <w:b/>
        </w:rPr>
        <w:t>6.3.1.</w:t>
      </w:r>
      <w:r w:rsidRPr="00B67CD4">
        <w:rPr>
          <w:rFonts w:ascii="Calibri" w:hAnsi="Calibri"/>
        </w:rPr>
        <w:t xml:space="preserve"> Częstotliwość oraz zakres badań i pomiarów</w:t>
      </w:r>
    </w:p>
    <w:p w:rsidR="00AB6A92" w:rsidRDefault="00AB6A92" w:rsidP="00AB6A92">
      <w:pPr>
        <w:rPr>
          <w:rFonts w:ascii="Calibri" w:hAnsi="Calibri"/>
        </w:rPr>
      </w:pPr>
      <w:r w:rsidRPr="00B67CD4">
        <w:rPr>
          <w:rFonts w:ascii="Calibri" w:hAnsi="Calibri"/>
        </w:rPr>
        <w:tab/>
        <w:t>Częstotliwość oraz zakres badań i pomiarów do odbioru korpusu ziemnego podaje tablica 2.</w:t>
      </w:r>
    </w:p>
    <w:p w:rsidR="00AB6A92" w:rsidRDefault="00AB6A92" w:rsidP="00AB6A92">
      <w:pPr>
        <w:rPr>
          <w:rFonts w:ascii="Calibri" w:hAnsi="Calibri"/>
        </w:rPr>
      </w:pPr>
    </w:p>
    <w:p w:rsidR="00450ACE" w:rsidRDefault="00450ACE" w:rsidP="00AB6A92">
      <w:pPr>
        <w:rPr>
          <w:rFonts w:ascii="Calibri" w:hAnsi="Calibri"/>
        </w:rPr>
      </w:pPr>
    </w:p>
    <w:p w:rsidR="00450ACE" w:rsidRDefault="00450ACE" w:rsidP="00AB6A92">
      <w:pPr>
        <w:rPr>
          <w:rFonts w:ascii="Calibri" w:hAnsi="Calibri"/>
        </w:rPr>
      </w:pPr>
    </w:p>
    <w:p w:rsidR="003843CA" w:rsidRDefault="003843CA" w:rsidP="00AB6A92">
      <w:pPr>
        <w:rPr>
          <w:rFonts w:ascii="Calibri" w:hAnsi="Calibri"/>
        </w:rPr>
      </w:pPr>
    </w:p>
    <w:p w:rsidR="00450ACE" w:rsidRDefault="00450ACE" w:rsidP="00AB6A92">
      <w:pPr>
        <w:rPr>
          <w:rFonts w:ascii="Calibri" w:hAnsi="Calibri"/>
        </w:rPr>
      </w:pPr>
    </w:p>
    <w:p w:rsidR="00450ACE" w:rsidRPr="00B67CD4" w:rsidRDefault="00450ACE" w:rsidP="00AB6A92">
      <w:pPr>
        <w:rPr>
          <w:rFonts w:ascii="Calibri" w:hAnsi="Calibri"/>
        </w:rPr>
      </w:pPr>
    </w:p>
    <w:p w:rsidR="00AB6A92" w:rsidRPr="00B67CD4" w:rsidRDefault="00AB6A92" w:rsidP="000628FB">
      <w:pPr>
        <w:ind w:left="709"/>
        <w:rPr>
          <w:rFonts w:ascii="Calibri" w:hAnsi="Calibri"/>
        </w:rPr>
      </w:pPr>
      <w:r w:rsidRPr="00B67CD4">
        <w:rPr>
          <w:rFonts w:ascii="Calibri" w:hAnsi="Calibri"/>
        </w:rPr>
        <w:lastRenderedPageBreak/>
        <w:t>Tablica 2. Częstotliwość oraz zakres badań i pomiarów wykonanych robót ziemnych</w:t>
      </w:r>
    </w:p>
    <w:tbl>
      <w:tblPr>
        <w:tblW w:w="7510" w:type="dxa"/>
        <w:tblInd w:w="779" w:type="dxa"/>
        <w:tblLayout w:type="fixed"/>
        <w:tblCellMar>
          <w:left w:w="70" w:type="dxa"/>
          <w:right w:w="70" w:type="dxa"/>
        </w:tblCellMar>
        <w:tblLook w:val="0000"/>
      </w:tblPr>
      <w:tblGrid>
        <w:gridCol w:w="496"/>
        <w:gridCol w:w="2500"/>
        <w:gridCol w:w="4514"/>
      </w:tblGrid>
      <w:tr w:rsidR="00AB6A92" w:rsidRPr="0071153E" w:rsidTr="000628FB">
        <w:tc>
          <w:tcPr>
            <w:tcW w:w="496" w:type="dxa"/>
            <w:tcBorders>
              <w:top w:val="single" w:sz="6" w:space="0" w:color="auto"/>
              <w:left w:val="single" w:sz="6" w:space="0" w:color="auto"/>
              <w:bottom w:val="double" w:sz="6" w:space="0" w:color="auto"/>
              <w:right w:val="single" w:sz="6" w:space="0" w:color="auto"/>
            </w:tcBorders>
          </w:tcPr>
          <w:p w:rsidR="00AB6A92" w:rsidRPr="0071153E" w:rsidRDefault="00AB6A92" w:rsidP="00AB6A92">
            <w:pPr>
              <w:pStyle w:val="Standardowytekst"/>
              <w:spacing w:before="120" w:after="120"/>
              <w:jc w:val="center"/>
              <w:rPr>
                <w:rFonts w:ascii="Calibri" w:hAnsi="Calibri"/>
                <w:sz w:val="18"/>
                <w:szCs w:val="18"/>
              </w:rPr>
            </w:pPr>
            <w:r w:rsidRPr="0071153E">
              <w:rPr>
                <w:rFonts w:ascii="Calibri" w:hAnsi="Calibri"/>
                <w:sz w:val="18"/>
                <w:szCs w:val="18"/>
              </w:rPr>
              <w:t>Lp.</w:t>
            </w:r>
          </w:p>
        </w:tc>
        <w:tc>
          <w:tcPr>
            <w:tcW w:w="2500" w:type="dxa"/>
            <w:tcBorders>
              <w:top w:val="single" w:sz="6" w:space="0" w:color="auto"/>
              <w:left w:val="single" w:sz="6" w:space="0" w:color="auto"/>
              <w:bottom w:val="double" w:sz="6" w:space="0" w:color="auto"/>
              <w:right w:val="single" w:sz="6" w:space="0" w:color="auto"/>
            </w:tcBorders>
          </w:tcPr>
          <w:p w:rsidR="00AB6A92" w:rsidRPr="0071153E" w:rsidRDefault="00AB6A92" w:rsidP="00AB6A92">
            <w:pPr>
              <w:pStyle w:val="Standardowytekst"/>
              <w:spacing w:before="120" w:after="120"/>
              <w:jc w:val="center"/>
              <w:rPr>
                <w:rFonts w:ascii="Calibri" w:hAnsi="Calibri"/>
                <w:sz w:val="18"/>
                <w:szCs w:val="18"/>
              </w:rPr>
            </w:pPr>
            <w:r w:rsidRPr="0071153E">
              <w:rPr>
                <w:rFonts w:ascii="Calibri" w:hAnsi="Calibri"/>
                <w:sz w:val="18"/>
                <w:szCs w:val="18"/>
              </w:rPr>
              <w:t>Badana cecha</w:t>
            </w:r>
          </w:p>
        </w:tc>
        <w:tc>
          <w:tcPr>
            <w:tcW w:w="4514" w:type="dxa"/>
            <w:tcBorders>
              <w:top w:val="single" w:sz="6" w:space="0" w:color="auto"/>
              <w:bottom w:val="double" w:sz="6" w:space="0" w:color="auto"/>
              <w:right w:val="single" w:sz="6" w:space="0" w:color="auto"/>
            </w:tcBorders>
          </w:tcPr>
          <w:p w:rsidR="00AB6A92" w:rsidRPr="0071153E" w:rsidRDefault="00AB6A92" w:rsidP="00AB6A92">
            <w:pPr>
              <w:pStyle w:val="Standardowytekst"/>
              <w:spacing w:before="120" w:after="120"/>
              <w:jc w:val="center"/>
              <w:rPr>
                <w:rFonts w:ascii="Calibri" w:hAnsi="Calibri"/>
                <w:sz w:val="18"/>
                <w:szCs w:val="18"/>
              </w:rPr>
            </w:pPr>
            <w:r w:rsidRPr="0071153E">
              <w:rPr>
                <w:rFonts w:ascii="Calibri" w:hAnsi="Calibri"/>
                <w:sz w:val="18"/>
                <w:szCs w:val="18"/>
              </w:rPr>
              <w:t>Minimalna częstotliwość badań i pomiarów</w:t>
            </w:r>
          </w:p>
        </w:tc>
      </w:tr>
      <w:tr w:rsidR="00AB6A92" w:rsidRPr="0071153E" w:rsidTr="000628FB">
        <w:tc>
          <w:tcPr>
            <w:tcW w:w="496" w:type="dxa"/>
            <w:tcBorders>
              <w:left w:val="single" w:sz="6" w:space="0" w:color="auto"/>
              <w:bottom w:val="single" w:sz="6" w:space="0" w:color="auto"/>
              <w:right w:val="single" w:sz="6" w:space="0" w:color="auto"/>
            </w:tcBorders>
          </w:tcPr>
          <w:p w:rsidR="00AB6A92" w:rsidRPr="0071153E" w:rsidRDefault="00AB6A92" w:rsidP="00AB6A92">
            <w:pPr>
              <w:pStyle w:val="Standardowytekst"/>
              <w:jc w:val="center"/>
              <w:rPr>
                <w:rFonts w:ascii="Calibri" w:hAnsi="Calibri"/>
                <w:sz w:val="18"/>
                <w:szCs w:val="18"/>
              </w:rPr>
            </w:pPr>
            <w:r w:rsidRPr="0071153E">
              <w:rPr>
                <w:rFonts w:ascii="Calibri" w:hAnsi="Calibri"/>
                <w:sz w:val="18"/>
                <w:szCs w:val="18"/>
              </w:rPr>
              <w:t>1</w:t>
            </w:r>
          </w:p>
        </w:tc>
        <w:tc>
          <w:tcPr>
            <w:tcW w:w="2500" w:type="dxa"/>
            <w:tcBorders>
              <w:left w:val="single" w:sz="6" w:space="0" w:color="auto"/>
              <w:bottom w:val="single" w:sz="6" w:space="0" w:color="auto"/>
              <w:right w:val="single" w:sz="6" w:space="0" w:color="auto"/>
            </w:tcBorders>
          </w:tcPr>
          <w:p w:rsidR="00AB6A92" w:rsidRPr="0071153E" w:rsidRDefault="00AB6A92" w:rsidP="00AB6A92">
            <w:pPr>
              <w:pStyle w:val="Standardowytekst"/>
              <w:jc w:val="left"/>
              <w:rPr>
                <w:rFonts w:ascii="Calibri" w:hAnsi="Calibri"/>
                <w:sz w:val="18"/>
                <w:szCs w:val="18"/>
              </w:rPr>
            </w:pPr>
            <w:r w:rsidRPr="0071153E">
              <w:rPr>
                <w:rFonts w:ascii="Calibri" w:hAnsi="Calibri"/>
                <w:sz w:val="18"/>
                <w:szCs w:val="18"/>
              </w:rPr>
              <w:t>Pomiar szerokości korpusu ziemnego</w:t>
            </w:r>
          </w:p>
        </w:tc>
        <w:tc>
          <w:tcPr>
            <w:tcW w:w="4514" w:type="dxa"/>
            <w:tcBorders>
              <w:right w:val="single" w:sz="6" w:space="0" w:color="auto"/>
            </w:tcBorders>
          </w:tcPr>
          <w:p w:rsidR="00AB6A92" w:rsidRPr="0071153E" w:rsidRDefault="00AB6A92" w:rsidP="005A3F2A">
            <w:pPr>
              <w:pStyle w:val="Standardowytekst"/>
              <w:rPr>
                <w:rFonts w:ascii="Calibri" w:hAnsi="Calibri"/>
                <w:sz w:val="18"/>
                <w:szCs w:val="18"/>
              </w:rPr>
            </w:pPr>
            <w:r w:rsidRPr="0071153E">
              <w:rPr>
                <w:rFonts w:ascii="Calibri" w:hAnsi="Calibri"/>
                <w:sz w:val="18"/>
                <w:szCs w:val="18"/>
              </w:rPr>
              <w:t>Pomiar taśmą, szablonem, łatą o długości 3 m i poziomicą lub niwelatorem, w</w:t>
            </w:r>
            <w:r w:rsidR="005A3F2A">
              <w:rPr>
                <w:rFonts w:ascii="Calibri" w:hAnsi="Calibri"/>
                <w:sz w:val="18"/>
                <w:szCs w:val="18"/>
              </w:rPr>
              <w:t xml:space="preserve"> odstępach co 5</w:t>
            </w:r>
            <w:r w:rsidRPr="0071153E">
              <w:rPr>
                <w:rFonts w:ascii="Calibri" w:hAnsi="Calibri"/>
                <w:sz w:val="18"/>
                <w:szCs w:val="18"/>
              </w:rPr>
              <w:t xml:space="preserve">0 m </w:t>
            </w:r>
          </w:p>
        </w:tc>
      </w:tr>
      <w:tr w:rsidR="005A3F2A" w:rsidRPr="0071153E" w:rsidTr="000628FB">
        <w:tc>
          <w:tcPr>
            <w:tcW w:w="496" w:type="dxa"/>
            <w:tcBorders>
              <w:top w:val="single" w:sz="6" w:space="0" w:color="auto"/>
              <w:left w:val="single" w:sz="6" w:space="0" w:color="auto"/>
              <w:bottom w:val="single" w:sz="6" w:space="0" w:color="auto"/>
              <w:right w:val="single" w:sz="6" w:space="0" w:color="auto"/>
            </w:tcBorders>
          </w:tcPr>
          <w:p w:rsidR="005A3F2A" w:rsidRPr="0071153E" w:rsidRDefault="005A3F2A" w:rsidP="00AB6A92">
            <w:pPr>
              <w:pStyle w:val="Standardowytekst"/>
              <w:jc w:val="center"/>
              <w:rPr>
                <w:rFonts w:ascii="Calibri" w:hAnsi="Calibri"/>
                <w:sz w:val="18"/>
                <w:szCs w:val="18"/>
              </w:rPr>
            </w:pPr>
            <w:r w:rsidRPr="0071153E">
              <w:rPr>
                <w:rFonts w:ascii="Calibri" w:hAnsi="Calibri"/>
                <w:sz w:val="18"/>
                <w:szCs w:val="18"/>
              </w:rPr>
              <w:t>2</w:t>
            </w:r>
          </w:p>
        </w:tc>
        <w:tc>
          <w:tcPr>
            <w:tcW w:w="2500" w:type="dxa"/>
            <w:tcBorders>
              <w:top w:val="single" w:sz="6" w:space="0" w:color="auto"/>
              <w:left w:val="single" w:sz="6" w:space="0" w:color="auto"/>
              <w:bottom w:val="single" w:sz="6" w:space="0" w:color="auto"/>
              <w:right w:val="single" w:sz="6" w:space="0" w:color="auto"/>
            </w:tcBorders>
          </w:tcPr>
          <w:p w:rsidR="005A3F2A" w:rsidRPr="0071153E" w:rsidRDefault="005A3F2A" w:rsidP="00AB6A92">
            <w:pPr>
              <w:pStyle w:val="Standardowytekst"/>
              <w:jc w:val="left"/>
              <w:rPr>
                <w:rFonts w:ascii="Calibri" w:hAnsi="Calibri"/>
                <w:sz w:val="18"/>
                <w:szCs w:val="18"/>
              </w:rPr>
            </w:pPr>
            <w:r w:rsidRPr="0071153E">
              <w:rPr>
                <w:rFonts w:ascii="Calibri" w:hAnsi="Calibri"/>
                <w:sz w:val="18"/>
                <w:szCs w:val="18"/>
              </w:rPr>
              <w:t>Pomiar szerokości dna rowów</w:t>
            </w:r>
          </w:p>
        </w:tc>
        <w:tc>
          <w:tcPr>
            <w:tcW w:w="4514" w:type="dxa"/>
            <w:vMerge w:val="restart"/>
            <w:tcBorders>
              <w:right w:val="single" w:sz="6" w:space="0" w:color="auto"/>
            </w:tcBorders>
          </w:tcPr>
          <w:p w:rsidR="005A3F2A" w:rsidRPr="0071153E" w:rsidRDefault="005A3F2A" w:rsidP="00AB6A92">
            <w:pPr>
              <w:pStyle w:val="Standardowytekst"/>
              <w:rPr>
                <w:rFonts w:ascii="Calibri" w:hAnsi="Calibri"/>
                <w:sz w:val="18"/>
                <w:szCs w:val="18"/>
              </w:rPr>
            </w:pPr>
            <w:r w:rsidRPr="0071153E">
              <w:rPr>
                <w:rFonts w:ascii="Calibri" w:hAnsi="Calibri"/>
                <w:sz w:val="18"/>
                <w:szCs w:val="18"/>
              </w:rPr>
              <w:t>oraz w miejscach, które budzą wątpliwości</w:t>
            </w:r>
          </w:p>
        </w:tc>
      </w:tr>
      <w:tr w:rsidR="005A3F2A" w:rsidRPr="0071153E" w:rsidTr="000628FB">
        <w:tc>
          <w:tcPr>
            <w:tcW w:w="496" w:type="dxa"/>
            <w:tcBorders>
              <w:top w:val="single" w:sz="6" w:space="0" w:color="auto"/>
              <w:left w:val="single" w:sz="6" w:space="0" w:color="auto"/>
              <w:bottom w:val="single" w:sz="6" w:space="0" w:color="auto"/>
              <w:right w:val="single" w:sz="6" w:space="0" w:color="auto"/>
            </w:tcBorders>
          </w:tcPr>
          <w:p w:rsidR="005A3F2A" w:rsidRPr="0071153E" w:rsidRDefault="005A3F2A" w:rsidP="00AB6A92">
            <w:pPr>
              <w:pStyle w:val="Standardowytekst"/>
              <w:jc w:val="center"/>
              <w:rPr>
                <w:rFonts w:ascii="Calibri" w:hAnsi="Calibri"/>
                <w:sz w:val="18"/>
                <w:szCs w:val="18"/>
              </w:rPr>
            </w:pPr>
            <w:r w:rsidRPr="0071153E">
              <w:rPr>
                <w:rFonts w:ascii="Calibri" w:hAnsi="Calibri"/>
                <w:sz w:val="18"/>
                <w:szCs w:val="18"/>
              </w:rPr>
              <w:t>3</w:t>
            </w:r>
          </w:p>
        </w:tc>
        <w:tc>
          <w:tcPr>
            <w:tcW w:w="2500" w:type="dxa"/>
            <w:tcBorders>
              <w:top w:val="single" w:sz="6" w:space="0" w:color="auto"/>
              <w:left w:val="single" w:sz="6" w:space="0" w:color="auto"/>
              <w:bottom w:val="single" w:sz="6" w:space="0" w:color="auto"/>
              <w:right w:val="single" w:sz="6" w:space="0" w:color="auto"/>
            </w:tcBorders>
          </w:tcPr>
          <w:p w:rsidR="005A3F2A" w:rsidRPr="0071153E" w:rsidRDefault="005A3F2A" w:rsidP="00AB6A92">
            <w:pPr>
              <w:pStyle w:val="Standardowytekst"/>
              <w:jc w:val="left"/>
              <w:rPr>
                <w:rFonts w:ascii="Calibri" w:hAnsi="Calibri"/>
                <w:sz w:val="18"/>
                <w:szCs w:val="18"/>
              </w:rPr>
            </w:pPr>
            <w:r w:rsidRPr="0071153E">
              <w:rPr>
                <w:rFonts w:ascii="Calibri" w:hAnsi="Calibri"/>
                <w:sz w:val="18"/>
                <w:szCs w:val="18"/>
              </w:rPr>
              <w:t>Pomiar rzędnych powierzchni korpusu ziemnego</w:t>
            </w:r>
          </w:p>
        </w:tc>
        <w:tc>
          <w:tcPr>
            <w:tcW w:w="4514" w:type="dxa"/>
            <w:vMerge/>
            <w:tcBorders>
              <w:right w:val="single" w:sz="6" w:space="0" w:color="auto"/>
            </w:tcBorders>
          </w:tcPr>
          <w:p w:rsidR="005A3F2A" w:rsidRPr="0071153E" w:rsidRDefault="005A3F2A" w:rsidP="00AB6A92">
            <w:pPr>
              <w:pStyle w:val="Standardowytekst"/>
              <w:rPr>
                <w:rFonts w:ascii="Calibri" w:hAnsi="Calibri"/>
                <w:sz w:val="18"/>
                <w:szCs w:val="18"/>
              </w:rPr>
            </w:pPr>
          </w:p>
        </w:tc>
      </w:tr>
      <w:tr w:rsidR="005A3F2A" w:rsidRPr="0071153E" w:rsidTr="00786727">
        <w:tc>
          <w:tcPr>
            <w:tcW w:w="496" w:type="dxa"/>
            <w:vMerge w:val="restart"/>
            <w:tcBorders>
              <w:top w:val="single" w:sz="6" w:space="0" w:color="auto"/>
              <w:left w:val="single" w:sz="6" w:space="0" w:color="auto"/>
              <w:right w:val="single" w:sz="6" w:space="0" w:color="auto"/>
            </w:tcBorders>
          </w:tcPr>
          <w:p w:rsidR="005A3F2A" w:rsidRPr="0071153E" w:rsidRDefault="005A3F2A" w:rsidP="00AB6A92">
            <w:pPr>
              <w:pStyle w:val="Standardowytekst"/>
              <w:jc w:val="center"/>
              <w:rPr>
                <w:rFonts w:ascii="Calibri" w:hAnsi="Calibri"/>
                <w:sz w:val="18"/>
                <w:szCs w:val="18"/>
              </w:rPr>
            </w:pPr>
            <w:r w:rsidRPr="0071153E">
              <w:rPr>
                <w:rFonts w:ascii="Calibri" w:hAnsi="Calibri"/>
                <w:sz w:val="18"/>
                <w:szCs w:val="18"/>
              </w:rPr>
              <w:t>5</w:t>
            </w:r>
          </w:p>
        </w:tc>
        <w:tc>
          <w:tcPr>
            <w:tcW w:w="2500" w:type="dxa"/>
            <w:vMerge w:val="restart"/>
            <w:tcBorders>
              <w:top w:val="single" w:sz="6" w:space="0" w:color="auto"/>
              <w:left w:val="single" w:sz="6" w:space="0" w:color="auto"/>
              <w:right w:val="single" w:sz="6" w:space="0" w:color="auto"/>
            </w:tcBorders>
          </w:tcPr>
          <w:p w:rsidR="005A3F2A" w:rsidRPr="0071153E" w:rsidRDefault="005A3F2A" w:rsidP="00AB6A92">
            <w:pPr>
              <w:pStyle w:val="Standardowytekst"/>
              <w:jc w:val="left"/>
              <w:rPr>
                <w:rFonts w:ascii="Calibri" w:hAnsi="Calibri"/>
                <w:sz w:val="18"/>
                <w:szCs w:val="18"/>
              </w:rPr>
            </w:pPr>
            <w:r w:rsidRPr="0071153E">
              <w:rPr>
                <w:rFonts w:ascii="Calibri" w:hAnsi="Calibri"/>
                <w:sz w:val="18"/>
                <w:szCs w:val="18"/>
              </w:rPr>
              <w:t>Pomiar równości powierzchni korpusu</w:t>
            </w:r>
          </w:p>
        </w:tc>
        <w:tc>
          <w:tcPr>
            <w:tcW w:w="4514" w:type="dxa"/>
            <w:tcBorders>
              <w:right w:val="single" w:sz="6" w:space="0" w:color="auto"/>
            </w:tcBorders>
          </w:tcPr>
          <w:p w:rsidR="005A3F2A" w:rsidRPr="0071153E" w:rsidRDefault="005A3F2A" w:rsidP="00AB6A92">
            <w:pPr>
              <w:pStyle w:val="Standardowytekst"/>
              <w:rPr>
                <w:rFonts w:ascii="Calibri" w:hAnsi="Calibri"/>
                <w:sz w:val="18"/>
                <w:szCs w:val="18"/>
              </w:rPr>
            </w:pPr>
          </w:p>
        </w:tc>
      </w:tr>
      <w:tr w:rsidR="005A3F2A" w:rsidRPr="0071153E" w:rsidTr="00786727">
        <w:tc>
          <w:tcPr>
            <w:tcW w:w="496" w:type="dxa"/>
            <w:vMerge/>
            <w:tcBorders>
              <w:left w:val="single" w:sz="6" w:space="0" w:color="auto"/>
              <w:bottom w:val="single" w:sz="6" w:space="0" w:color="auto"/>
              <w:right w:val="single" w:sz="6" w:space="0" w:color="auto"/>
            </w:tcBorders>
          </w:tcPr>
          <w:p w:rsidR="005A3F2A" w:rsidRPr="0071153E" w:rsidRDefault="005A3F2A" w:rsidP="00AB6A92">
            <w:pPr>
              <w:pStyle w:val="Standardowytekst"/>
              <w:jc w:val="center"/>
              <w:rPr>
                <w:rFonts w:ascii="Calibri" w:hAnsi="Calibri"/>
                <w:sz w:val="18"/>
                <w:szCs w:val="18"/>
              </w:rPr>
            </w:pPr>
          </w:p>
        </w:tc>
        <w:tc>
          <w:tcPr>
            <w:tcW w:w="2500" w:type="dxa"/>
            <w:vMerge/>
            <w:tcBorders>
              <w:left w:val="single" w:sz="6" w:space="0" w:color="auto"/>
              <w:bottom w:val="single" w:sz="6" w:space="0" w:color="auto"/>
              <w:right w:val="single" w:sz="6" w:space="0" w:color="auto"/>
            </w:tcBorders>
          </w:tcPr>
          <w:p w:rsidR="005A3F2A" w:rsidRPr="0071153E" w:rsidRDefault="005A3F2A" w:rsidP="00AB6A92">
            <w:pPr>
              <w:pStyle w:val="Standardowytekst"/>
              <w:rPr>
                <w:rFonts w:ascii="Calibri" w:hAnsi="Calibri"/>
                <w:sz w:val="18"/>
                <w:szCs w:val="18"/>
              </w:rPr>
            </w:pPr>
          </w:p>
        </w:tc>
        <w:tc>
          <w:tcPr>
            <w:tcW w:w="4514" w:type="dxa"/>
            <w:tcBorders>
              <w:bottom w:val="single" w:sz="6" w:space="0" w:color="auto"/>
              <w:right w:val="single" w:sz="6" w:space="0" w:color="auto"/>
            </w:tcBorders>
          </w:tcPr>
          <w:p w:rsidR="005A3F2A" w:rsidRPr="0071153E" w:rsidRDefault="005A3F2A" w:rsidP="00AB6A92">
            <w:pPr>
              <w:pStyle w:val="Standardowytekst"/>
              <w:rPr>
                <w:rFonts w:ascii="Calibri" w:hAnsi="Calibri"/>
                <w:sz w:val="18"/>
                <w:szCs w:val="18"/>
              </w:rPr>
            </w:pPr>
          </w:p>
        </w:tc>
      </w:tr>
      <w:tr w:rsidR="00AB6A92" w:rsidRPr="0071153E" w:rsidTr="000628FB">
        <w:tc>
          <w:tcPr>
            <w:tcW w:w="496" w:type="dxa"/>
            <w:tcBorders>
              <w:left w:val="single" w:sz="6" w:space="0" w:color="auto"/>
              <w:bottom w:val="single" w:sz="6" w:space="0" w:color="auto"/>
              <w:right w:val="single" w:sz="6" w:space="0" w:color="auto"/>
            </w:tcBorders>
          </w:tcPr>
          <w:p w:rsidR="00AB6A92" w:rsidRPr="0071153E" w:rsidRDefault="00AB6A92" w:rsidP="00AB6A92">
            <w:pPr>
              <w:pStyle w:val="Standardowytekst"/>
              <w:jc w:val="center"/>
              <w:rPr>
                <w:rFonts w:ascii="Calibri" w:hAnsi="Calibri"/>
                <w:sz w:val="18"/>
                <w:szCs w:val="18"/>
              </w:rPr>
            </w:pPr>
            <w:r w:rsidRPr="0071153E">
              <w:rPr>
                <w:rFonts w:ascii="Calibri" w:hAnsi="Calibri"/>
                <w:sz w:val="18"/>
                <w:szCs w:val="18"/>
              </w:rPr>
              <w:t>7</w:t>
            </w:r>
          </w:p>
        </w:tc>
        <w:tc>
          <w:tcPr>
            <w:tcW w:w="2500" w:type="dxa"/>
            <w:tcBorders>
              <w:left w:val="single" w:sz="6" w:space="0" w:color="auto"/>
              <w:bottom w:val="single" w:sz="6" w:space="0" w:color="auto"/>
              <w:right w:val="single" w:sz="6" w:space="0" w:color="auto"/>
            </w:tcBorders>
          </w:tcPr>
          <w:p w:rsidR="00AB6A92" w:rsidRPr="0071153E" w:rsidRDefault="00AB6A92" w:rsidP="005A3F2A">
            <w:pPr>
              <w:pStyle w:val="Standardowytekst"/>
              <w:rPr>
                <w:rFonts w:ascii="Calibri" w:hAnsi="Calibri"/>
                <w:sz w:val="18"/>
                <w:szCs w:val="18"/>
              </w:rPr>
            </w:pPr>
            <w:r w:rsidRPr="0071153E">
              <w:rPr>
                <w:rFonts w:ascii="Calibri" w:hAnsi="Calibri"/>
                <w:sz w:val="18"/>
                <w:szCs w:val="18"/>
              </w:rPr>
              <w:t xml:space="preserve">Pomiar spadku podłużnego powierzchni korpusu </w:t>
            </w:r>
          </w:p>
        </w:tc>
        <w:tc>
          <w:tcPr>
            <w:tcW w:w="4514" w:type="dxa"/>
            <w:tcBorders>
              <w:left w:val="single" w:sz="6" w:space="0" w:color="auto"/>
              <w:bottom w:val="single" w:sz="6" w:space="0" w:color="auto"/>
              <w:right w:val="single" w:sz="6" w:space="0" w:color="auto"/>
            </w:tcBorders>
          </w:tcPr>
          <w:p w:rsidR="00AB6A92" w:rsidRPr="0071153E" w:rsidRDefault="00AB6A92" w:rsidP="00AB6A92">
            <w:pPr>
              <w:pStyle w:val="Standardowytekst"/>
              <w:rPr>
                <w:rFonts w:ascii="Calibri" w:hAnsi="Calibri"/>
                <w:sz w:val="18"/>
                <w:szCs w:val="18"/>
              </w:rPr>
            </w:pPr>
            <w:r w:rsidRPr="0071153E">
              <w:rPr>
                <w:rFonts w:ascii="Calibri" w:hAnsi="Calibri"/>
                <w:sz w:val="18"/>
                <w:szCs w:val="18"/>
              </w:rPr>
              <w:t>Pomiar niwela</w:t>
            </w:r>
            <w:r w:rsidR="005A3F2A">
              <w:rPr>
                <w:rFonts w:ascii="Calibri" w:hAnsi="Calibri"/>
                <w:sz w:val="18"/>
                <w:szCs w:val="18"/>
              </w:rPr>
              <w:t>torem rzędnych w odstępach co 5</w:t>
            </w:r>
            <w:r w:rsidRPr="0071153E">
              <w:rPr>
                <w:rFonts w:ascii="Calibri" w:hAnsi="Calibri"/>
                <w:sz w:val="18"/>
                <w:szCs w:val="18"/>
              </w:rPr>
              <w:t>0 m oraz w punktach wątpliwych</w:t>
            </w:r>
          </w:p>
        </w:tc>
      </w:tr>
      <w:tr w:rsidR="00AB6A92" w:rsidRPr="0071153E" w:rsidTr="000628FB">
        <w:tc>
          <w:tcPr>
            <w:tcW w:w="496" w:type="dxa"/>
            <w:tcBorders>
              <w:top w:val="single" w:sz="6" w:space="0" w:color="auto"/>
              <w:left w:val="single" w:sz="6" w:space="0" w:color="auto"/>
              <w:bottom w:val="single" w:sz="6" w:space="0" w:color="auto"/>
              <w:right w:val="single" w:sz="6" w:space="0" w:color="auto"/>
            </w:tcBorders>
          </w:tcPr>
          <w:p w:rsidR="00AB6A92" w:rsidRPr="0071153E" w:rsidRDefault="00AB6A92" w:rsidP="00AB6A92">
            <w:pPr>
              <w:pStyle w:val="Standardowytekst"/>
              <w:jc w:val="center"/>
              <w:rPr>
                <w:rFonts w:ascii="Calibri" w:hAnsi="Calibri"/>
                <w:sz w:val="18"/>
                <w:szCs w:val="18"/>
              </w:rPr>
            </w:pPr>
            <w:r w:rsidRPr="0071153E">
              <w:rPr>
                <w:rFonts w:ascii="Calibri" w:hAnsi="Calibri"/>
                <w:sz w:val="18"/>
                <w:szCs w:val="18"/>
              </w:rPr>
              <w:t>8</w:t>
            </w:r>
          </w:p>
        </w:tc>
        <w:tc>
          <w:tcPr>
            <w:tcW w:w="2500" w:type="dxa"/>
            <w:tcBorders>
              <w:top w:val="single" w:sz="6" w:space="0" w:color="auto"/>
              <w:left w:val="single" w:sz="6" w:space="0" w:color="auto"/>
              <w:bottom w:val="single" w:sz="6" w:space="0" w:color="auto"/>
              <w:right w:val="single" w:sz="6" w:space="0" w:color="auto"/>
            </w:tcBorders>
          </w:tcPr>
          <w:p w:rsidR="00AB6A92" w:rsidRPr="0071153E" w:rsidRDefault="00AB6A92" w:rsidP="00AB6A92">
            <w:pPr>
              <w:pStyle w:val="Standardowytekst"/>
              <w:rPr>
                <w:rFonts w:ascii="Calibri" w:hAnsi="Calibri"/>
                <w:sz w:val="18"/>
                <w:szCs w:val="18"/>
              </w:rPr>
            </w:pPr>
            <w:r w:rsidRPr="0071153E">
              <w:rPr>
                <w:rFonts w:ascii="Calibri" w:hAnsi="Calibri"/>
                <w:sz w:val="18"/>
                <w:szCs w:val="18"/>
              </w:rPr>
              <w:t>Badanie zagęszczenia gruntu</w:t>
            </w:r>
          </w:p>
        </w:tc>
        <w:tc>
          <w:tcPr>
            <w:tcW w:w="4514" w:type="dxa"/>
            <w:tcBorders>
              <w:top w:val="single" w:sz="6" w:space="0" w:color="auto"/>
              <w:left w:val="single" w:sz="6" w:space="0" w:color="auto"/>
              <w:bottom w:val="single" w:sz="6" w:space="0" w:color="auto"/>
              <w:right w:val="single" w:sz="6" w:space="0" w:color="auto"/>
            </w:tcBorders>
          </w:tcPr>
          <w:p w:rsidR="00AB6A92" w:rsidRPr="0071153E" w:rsidRDefault="00AB6A92" w:rsidP="00AB6A92">
            <w:pPr>
              <w:pStyle w:val="Standardowytekst"/>
              <w:rPr>
                <w:rFonts w:ascii="Calibri" w:hAnsi="Calibri"/>
                <w:sz w:val="18"/>
                <w:szCs w:val="18"/>
              </w:rPr>
            </w:pPr>
            <w:r w:rsidRPr="0071153E">
              <w:rPr>
                <w:rFonts w:ascii="Calibri" w:hAnsi="Calibri"/>
                <w:sz w:val="18"/>
                <w:szCs w:val="18"/>
              </w:rPr>
              <w:t>Wskaźnik zagęszczenia określać dla każdej ułożonej warstwy lecz nie rzad</w:t>
            </w:r>
            <w:r w:rsidR="005A3F2A">
              <w:rPr>
                <w:rFonts w:ascii="Calibri" w:hAnsi="Calibri"/>
                <w:sz w:val="18"/>
                <w:szCs w:val="18"/>
              </w:rPr>
              <w:t>ziej niż w trzech punktach na 2</w:t>
            </w:r>
            <w:r w:rsidRPr="0071153E">
              <w:rPr>
                <w:rFonts w:ascii="Calibri" w:hAnsi="Calibri"/>
                <w:sz w:val="18"/>
                <w:szCs w:val="18"/>
              </w:rPr>
              <w:t>00 m</w:t>
            </w:r>
            <w:r w:rsidRPr="0071153E">
              <w:rPr>
                <w:rFonts w:ascii="Calibri" w:hAnsi="Calibri"/>
                <w:sz w:val="18"/>
                <w:szCs w:val="18"/>
                <w:vertAlign w:val="superscript"/>
              </w:rPr>
              <w:t>2</w:t>
            </w:r>
            <w:r w:rsidRPr="0071153E">
              <w:rPr>
                <w:rFonts w:ascii="Calibri" w:hAnsi="Calibri"/>
                <w:sz w:val="18"/>
                <w:szCs w:val="18"/>
              </w:rPr>
              <w:t xml:space="preserve"> warstwy</w:t>
            </w:r>
          </w:p>
        </w:tc>
      </w:tr>
    </w:tbl>
    <w:p w:rsidR="00AB6A92" w:rsidRDefault="00AB6A92" w:rsidP="00AB6A92">
      <w:pPr>
        <w:pStyle w:val="Standardowytekst"/>
      </w:pPr>
    </w:p>
    <w:p w:rsidR="00AB6A92" w:rsidRPr="00B67CD4" w:rsidRDefault="00AB6A92" w:rsidP="00AB6A92">
      <w:pPr>
        <w:rPr>
          <w:rFonts w:ascii="Calibri" w:hAnsi="Calibri"/>
        </w:rPr>
      </w:pPr>
      <w:r w:rsidRPr="002171D8">
        <w:rPr>
          <w:rFonts w:ascii="Calibri" w:hAnsi="Calibri"/>
          <w:b/>
        </w:rPr>
        <w:t>6.3.2.</w:t>
      </w:r>
      <w:r w:rsidRPr="00B67CD4">
        <w:rPr>
          <w:rFonts w:ascii="Calibri" w:hAnsi="Calibri"/>
        </w:rPr>
        <w:t xml:space="preserve"> Szerokość korpusu ziemnego</w:t>
      </w:r>
    </w:p>
    <w:p w:rsidR="00AB6A92" w:rsidRPr="00B67CD4" w:rsidRDefault="00AB6A92" w:rsidP="00AB6A92">
      <w:pPr>
        <w:rPr>
          <w:rFonts w:ascii="Calibri" w:hAnsi="Calibri"/>
        </w:rPr>
      </w:pPr>
      <w:r w:rsidRPr="00B67CD4">
        <w:rPr>
          <w:rFonts w:ascii="Calibri" w:hAnsi="Calibri"/>
        </w:rPr>
        <w:tab/>
        <w:t xml:space="preserve">Szerokość korpusu ziemnego nie może różnić się od szerokości projektowanej o więcej niż </w:t>
      </w:r>
      <w:r w:rsidRPr="00B67CD4">
        <w:rPr>
          <w:rFonts w:ascii="Calibri" w:hAnsi="Calibri"/>
        </w:rPr>
        <w:sym w:font="Symbol" w:char="F0B1"/>
      </w:r>
      <w:r w:rsidRPr="00B67CD4">
        <w:rPr>
          <w:rFonts w:ascii="Calibri" w:hAnsi="Calibri"/>
        </w:rPr>
        <w:t xml:space="preserve"> 10 cm.</w:t>
      </w:r>
    </w:p>
    <w:p w:rsidR="00AB6A92" w:rsidRPr="00B67CD4" w:rsidRDefault="00AB6A92" w:rsidP="00AB6A92">
      <w:pPr>
        <w:rPr>
          <w:rFonts w:ascii="Calibri" w:hAnsi="Calibri"/>
        </w:rPr>
      </w:pPr>
      <w:r w:rsidRPr="002171D8">
        <w:rPr>
          <w:rFonts w:ascii="Calibri" w:hAnsi="Calibri"/>
          <w:b/>
        </w:rPr>
        <w:t>6.3.3.</w:t>
      </w:r>
      <w:r w:rsidRPr="00B67CD4">
        <w:rPr>
          <w:rFonts w:ascii="Calibri" w:hAnsi="Calibri"/>
        </w:rPr>
        <w:t xml:space="preserve"> Szerokość dna rowów</w:t>
      </w:r>
    </w:p>
    <w:p w:rsidR="00AB6A92" w:rsidRPr="00B67CD4" w:rsidRDefault="00AB6A92" w:rsidP="00AB6A92">
      <w:pPr>
        <w:rPr>
          <w:rFonts w:ascii="Calibri" w:hAnsi="Calibri"/>
        </w:rPr>
      </w:pPr>
      <w:r w:rsidRPr="00B67CD4">
        <w:rPr>
          <w:rFonts w:ascii="Calibri" w:hAnsi="Calibri"/>
        </w:rPr>
        <w:tab/>
        <w:t xml:space="preserve">Szerokość dna rowów nie może różnić się od szerokości projektowanej o więcej niż </w:t>
      </w:r>
      <w:r w:rsidRPr="00B67CD4">
        <w:rPr>
          <w:rFonts w:ascii="Calibri" w:hAnsi="Calibri"/>
        </w:rPr>
        <w:sym w:font="Symbol" w:char="F0B1"/>
      </w:r>
      <w:r w:rsidRPr="00B67CD4">
        <w:rPr>
          <w:rFonts w:ascii="Calibri" w:hAnsi="Calibri"/>
        </w:rPr>
        <w:t xml:space="preserve"> 5 cm.</w:t>
      </w:r>
    </w:p>
    <w:p w:rsidR="00AB6A92" w:rsidRPr="00B67CD4" w:rsidRDefault="00AB6A92" w:rsidP="00AB6A92">
      <w:pPr>
        <w:rPr>
          <w:rFonts w:ascii="Calibri" w:hAnsi="Calibri"/>
        </w:rPr>
      </w:pPr>
      <w:r w:rsidRPr="002171D8">
        <w:rPr>
          <w:rFonts w:ascii="Calibri" w:hAnsi="Calibri"/>
          <w:b/>
        </w:rPr>
        <w:t>6.3.4.</w:t>
      </w:r>
      <w:r w:rsidRPr="00B67CD4">
        <w:rPr>
          <w:rFonts w:ascii="Calibri" w:hAnsi="Calibri"/>
        </w:rPr>
        <w:t xml:space="preserve"> Rzędne korony korpusu ziemnego</w:t>
      </w:r>
    </w:p>
    <w:p w:rsidR="00AB6A92" w:rsidRPr="00B67CD4" w:rsidRDefault="00AB6A92" w:rsidP="00AB6A92">
      <w:pPr>
        <w:rPr>
          <w:rFonts w:ascii="Calibri" w:hAnsi="Calibri"/>
        </w:rPr>
      </w:pPr>
      <w:r w:rsidRPr="00B67CD4">
        <w:rPr>
          <w:rFonts w:ascii="Calibri" w:hAnsi="Calibri"/>
        </w:rPr>
        <w:tab/>
        <w:t>Rzędne korony korpusu ziemnego nie mogą różnić się od rzędnych projektowanych o więcej niż -3 cm lub +1 cm.</w:t>
      </w:r>
    </w:p>
    <w:p w:rsidR="00AB6A92" w:rsidRPr="00B67CD4" w:rsidRDefault="005A3F2A" w:rsidP="00AB6A92">
      <w:pPr>
        <w:rPr>
          <w:rFonts w:ascii="Calibri" w:hAnsi="Calibri"/>
        </w:rPr>
      </w:pPr>
      <w:r>
        <w:rPr>
          <w:rFonts w:ascii="Calibri" w:hAnsi="Calibri"/>
          <w:b/>
        </w:rPr>
        <w:t>6.3.5</w:t>
      </w:r>
      <w:r w:rsidR="00AB6A92" w:rsidRPr="00A13C6A">
        <w:rPr>
          <w:rFonts w:ascii="Calibri" w:hAnsi="Calibri"/>
          <w:b/>
        </w:rPr>
        <w:t>.</w:t>
      </w:r>
      <w:r w:rsidR="00AB6A92" w:rsidRPr="00B67CD4">
        <w:rPr>
          <w:rFonts w:ascii="Calibri" w:hAnsi="Calibri"/>
        </w:rPr>
        <w:t xml:space="preserve"> Równość korony korpusu</w:t>
      </w:r>
    </w:p>
    <w:p w:rsidR="00AB6A92" w:rsidRPr="00B67CD4" w:rsidRDefault="00AB6A92" w:rsidP="00AB6A92">
      <w:pPr>
        <w:rPr>
          <w:rFonts w:ascii="Calibri" w:hAnsi="Calibri"/>
        </w:rPr>
      </w:pPr>
      <w:r w:rsidRPr="00B67CD4">
        <w:rPr>
          <w:rFonts w:ascii="Calibri" w:hAnsi="Calibri"/>
        </w:rPr>
        <w:tab/>
        <w:t>Nierówności powierzchni korpusu ziemnego mierzone łatą 3-metrową, nie mogą przekraczać 3 cm.</w:t>
      </w:r>
    </w:p>
    <w:p w:rsidR="00AB6A92" w:rsidRPr="00B67CD4" w:rsidRDefault="00AB6A92" w:rsidP="00AB6A92">
      <w:pPr>
        <w:rPr>
          <w:rFonts w:ascii="Calibri" w:hAnsi="Calibri"/>
        </w:rPr>
      </w:pPr>
      <w:r w:rsidRPr="00A13C6A">
        <w:rPr>
          <w:rFonts w:ascii="Calibri" w:hAnsi="Calibri"/>
          <w:b/>
        </w:rPr>
        <w:t>6.3.8.</w:t>
      </w:r>
      <w:r w:rsidRPr="00B67CD4">
        <w:rPr>
          <w:rFonts w:ascii="Calibri" w:hAnsi="Calibri"/>
        </w:rPr>
        <w:t xml:space="preserve"> Spadek podłużny korony korpusu lub dna rowu</w:t>
      </w:r>
    </w:p>
    <w:p w:rsidR="00AB6A92" w:rsidRPr="00B67CD4" w:rsidRDefault="00AB6A92" w:rsidP="00AB6A92">
      <w:pPr>
        <w:rPr>
          <w:rFonts w:ascii="Calibri" w:hAnsi="Calibri"/>
        </w:rPr>
      </w:pPr>
      <w:r w:rsidRPr="00B67CD4">
        <w:rPr>
          <w:rFonts w:ascii="Calibri" w:hAnsi="Calibri"/>
        </w:rPr>
        <w:tab/>
        <w:t>Spadek podłużny powierzchni korpusu ziemnego lub dna rowu, sprawdzony przez pomiar niwelatorem rzędnych wysokościowych, nie może dawać różnic, w stosunku do rzędnych projektowanych, większych niż -3 cm lub +1 cm.</w:t>
      </w:r>
    </w:p>
    <w:p w:rsidR="00AB6A92" w:rsidRPr="00B67CD4" w:rsidRDefault="00AB6A92" w:rsidP="00AB6A92">
      <w:pPr>
        <w:rPr>
          <w:rFonts w:ascii="Calibri" w:hAnsi="Calibri"/>
        </w:rPr>
      </w:pPr>
      <w:r w:rsidRPr="00A13C6A">
        <w:rPr>
          <w:rFonts w:ascii="Calibri" w:hAnsi="Calibri"/>
          <w:b/>
        </w:rPr>
        <w:t>6.3.9.</w:t>
      </w:r>
      <w:r w:rsidRPr="00B67CD4">
        <w:rPr>
          <w:rFonts w:ascii="Calibri" w:hAnsi="Calibri"/>
        </w:rPr>
        <w:t xml:space="preserve"> Zagęszczenie gruntu</w:t>
      </w:r>
    </w:p>
    <w:p w:rsidR="00AB6A92" w:rsidRPr="00B67CD4" w:rsidRDefault="00AB6A92" w:rsidP="00AB6A92">
      <w:pPr>
        <w:rPr>
          <w:rFonts w:ascii="Calibri" w:hAnsi="Calibri"/>
        </w:rPr>
      </w:pPr>
      <w:r w:rsidRPr="00B67CD4">
        <w:rPr>
          <w:rFonts w:ascii="Calibri" w:hAnsi="Calibri"/>
        </w:rPr>
        <w:tab/>
        <w:t>Wskaźnik zagęszczenia gruntu określony zgodnie z BN-77/8931-12 [9] powinien być zgodny z założonym dla odpowiedniej kategorii ruchu. W przypadku gruntów dla których nie można określić wskaźnika zagęszczenia należy określić wskaźnik odkształcenia I0, zgodnie z normą PN-S-02205:1998 [4].</w:t>
      </w:r>
    </w:p>
    <w:p w:rsidR="00AB6A92" w:rsidRPr="00B67CD4" w:rsidRDefault="00AB6A92" w:rsidP="00AB6A92">
      <w:pPr>
        <w:rPr>
          <w:rFonts w:ascii="Calibri" w:hAnsi="Calibri"/>
        </w:rPr>
      </w:pPr>
      <w:bookmarkStart w:id="432" w:name="_Toc405615056"/>
      <w:bookmarkStart w:id="433" w:name="_Toc407161204"/>
      <w:r w:rsidRPr="00A13C6A">
        <w:rPr>
          <w:rFonts w:ascii="Calibri" w:hAnsi="Calibri"/>
          <w:b/>
        </w:rPr>
        <w:t>6.</w:t>
      </w:r>
      <w:r w:rsidR="005A3F2A">
        <w:rPr>
          <w:rFonts w:ascii="Calibri" w:hAnsi="Calibri"/>
          <w:b/>
        </w:rPr>
        <w:t>4</w:t>
      </w:r>
      <w:r w:rsidRPr="00A13C6A">
        <w:rPr>
          <w:rFonts w:ascii="Calibri" w:hAnsi="Calibri"/>
          <w:b/>
        </w:rPr>
        <w:t>.</w:t>
      </w:r>
      <w:r w:rsidRPr="00B67CD4">
        <w:rPr>
          <w:rFonts w:ascii="Calibri" w:hAnsi="Calibri"/>
        </w:rPr>
        <w:t xml:space="preserve"> Zasady postępowania z wadliwie wykonanymi robotami</w:t>
      </w:r>
      <w:bookmarkEnd w:id="432"/>
      <w:bookmarkEnd w:id="433"/>
    </w:p>
    <w:p w:rsidR="00AB6A92" w:rsidRPr="00B67CD4" w:rsidRDefault="00AB6A92" w:rsidP="00AB6A92">
      <w:pPr>
        <w:rPr>
          <w:rFonts w:ascii="Calibri" w:hAnsi="Calibri"/>
        </w:rPr>
      </w:pPr>
      <w:r w:rsidRPr="00B67CD4">
        <w:rPr>
          <w:rFonts w:ascii="Calibri" w:hAnsi="Calibri"/>
        </w:rPr>
        <w:tab/>
        <w:t>Wszystkie materiały nie spełniające wymagań podanych w odpowiednich punktach specyfikacji, zostaną odrzucone. Jeśli materiały nie spełniające wymagań zostaną wbudowane lub zastosowane, to na polecenie Inżyniera Wykonawca wymieni je na właściwe, na własny koszt.</w:t>
      </w:r>
    </w:p>
    <w:p w:rsidR="00AB6A92" w:rsidRPr="00B67CD4" w:rsidRDefault="00AB6A92" w:rsidP="00AB6A92">
      <w:pPr>
        <w:rPr>
          <w:rFonts w:ascii="Calibri" w:hAnsi="Calibri"/>
        </w:rPr>
      </w:pPr>
      <w:r w:rsidRPr="00B67CD4">
        <w:rPr>
          <w:rFonts w:ascii="Calibri" w:hAnsi="Calibri"/>
        </w:rPr>
        <w:tab/>
        <w:t>Wszystkie roboty, które wykazują większe odchylenia cech od określonych w punktach 5 i 6 specyfikacji powinny być ponownie wykonane przez Wykonawcę na jego koszt.</w:t>
      </w:r>
    </w:p>
    <w:p w:rsidR="00AB6A92" w:rsidRDefault="00AB6A92" w:rsidP="00AB6A92">
      <w:pPr>
        <w:rPr>
          <w:rFonts w:ascii="Calibri" w:hAnsi="Calibri"/>
        </w:rPr>
      </w:pPr>
      <w:r w:rsidRPr="00B67CD4">
        <w:rPr>
          <w:rFonts w:ascii="Calibri" w:hAnsi="Calibri"/>
        </w:rPr>
        <w:tab/>
        <w:t>Na pisemne wystąpienie Wykonawcy, Inżynier może uznać wadę za nie mającą zasadniczego wpływu na cechy eksploatacyjne drogi i ustali zakres i wielkość potrąceń za obniżoną jakość.</w:t>
      </w:r>
    </w:p>
    <w:p w:rsidR="00AB6A92" w:rsidRPr="00B67CD4" w:rsidRDefault="00AB6A92" w:rsidP="00AB6A92">
      <w:pPr>
        <w:rPr>
          <w:rFonts w:ascii="Calibri" w:hAnsi="Calibri"/>
        </w:rPr>
      </w:pPr>
    </w:p>
    <w:p w:rsidR="00AB6A92" w:rsidRPr="00A13C6A" w:rsidRDefault="00AB6A92" w:rsidP="00AB6A92">
      <w:pPr>
        <w:rPr>
          <w:rFonts w:ascii="Calibri" w:hAnsi="Calibri"/>
          <w:b/>
        </w:rPr>
      </w:pPr>
      <w:bookmarkStart w:id="434" w:name="_Toc405615057"/>
      <w:bookmarkStart w:id="435" w:name="_Toc407161205"/>
      <w:bookmarkStart w:id="436" w:name="_Toc418996328"/>
      <w:bookmarkStart w:id="437" w:name="_Toc418996697"/>
      <w:bookmarkStart w:id="438" w:name="_Toc418997084"/>
      <w:bookmarkStart w:id="439" w:name="_Toc418998494"/>
      <w:bookmarkStart w:id="440" w:name="_Toc418998850"/>
      <w:bookmarkStart w:id="441" w:name="_Toc419000095"/>
      <w:r w:rsidRPr="00A13C6A">
        <w:rPr>
          <w:rFonts w:ascii="Calibri" w:hAnsi="Calibri"/>
          <w:b/>
        </w:rPr>
        <w:t xml:space="preserve">7. </w:t>
      </w:r>
      <w:bookmarkEnd w:id="434"/>
      <w:bookmarkEnd w:id="435"/>
      <w:bookmarkEnd w:id="436"/>
      <w:bookmarkEnd w:id="437"/>
      <w:bookmarkEnd w:id="438"/>
      <w:bookmarkEnd w:id="439"/>
      <w:bookmarkEnd w:id="440"/>
      <w:bookmarkEnd w:id="441"/>
      <w:r w:rsidRPr="00A13C6A">
        <w:rPr>
          <w:rFonts w:ascii="Calibri" w:hAnsi="Calibri"/>
          <w:b/>
        </w:rPr>
        <w:t>OBMIAR ROBÓT</w:t>
      </w:r>
    </w:p>
    <w:p w:rsidR="00AB6A92" w:rsidRPr="00B67CD4" w:rsidRDefault="00AB6A92" w:rsidP="00AB6A92">
      <w:pPr>
        <w:rPr>
          <w:rFonts w:ascii="Calibri" w:hAnsi="Calibri"/>
        </w:rPr>
      </w:pPr>
      <w:bookmarkStart w:id="442" w:name="_Toc405615058"/>
      <w:bookmarkStart w:id="443" w:name="_Toc407161206"/>
      <w:r w:rsidRPr="0009405F">
        <w:rPr>
          <w:rFonts w:ascii="Calibri" w:hAnsi="Calibri"/>
          <w:b/>
        </w:rPr>
        <w:t>7.1.</w:t>
      </w:r>
      <w:r w:rsidRPr="00B67CD4">
        <w:rPr>
          <w:rFonts w:ascii="Calibri" w:hAnsi="Calibri"/>
        </w:rPr>
        <w:t xml:space="preserve"> Ogólne zasady obmiaru robót</w:t>
      </w:r>
      <w:bookmarkEnd w:id="442"/>
      <w:bookmarkEnd w:id="443"/>
    </w:p>
    <w:p w:rsidR="00AB6A92" w:rsidRPr="00B67CD4" w:rsidRDefault="00AB6A92" w:rsidP="00AB6A92">
      <w:pPr>
        <w:rPr>
          <w:rFonts w:ascii="Calibri" w:hAnsi="Calibri"/>
        </w:rPr>
      </w:pPr>
      <w:r w:rsidRPr="00B67CD4">
        <w:rPr>
          <w:rFonts w:ascii="Calibri" w:hAnsi="Calibri"/>
        </w:rPr>
        <w:tab/>
        <w:t>Ogólne</w:t>
      </w:r>
      <w:r>
        <w:rPr>
          <w:rFonts w:ascii="Calibri" w:hAnsi="Calibri"/>
        </w:rPr>
        <w:t xml:space="preserve"> zasady obmiaru robót podano w </w:t>
      </w:r>
      <w:r w:rsidRPr="00B67CD4">
        <w:rPr>
          <w:rFonts w:ascii="Calibri" w:hAnsi="Calibri"/>
        </w:rPr>
        <w:t>ST D-M-00.00.00 „Wymagania ogólne” pkt 7.</w:t>
      </w:r>
    </w:p>
    <w:p w:rsidR="00AB6A92" w:rsidRPr="00B67CD4" w:rsidRDefault="00AB6A92" w:rsidP="00AB6A92">
      <w:pPr>
        <w:rPr>
          <w:rFonts w:ascii="Calibri" w:hAnsi="Calibri"/>
        </w:rPr>
      </w:pPr>
      <w:bookmarkStart w:id="444" w:name="_Toc405615059"/>
      <w:bookmarkStart w:id="445" w:name="_Toc407161207"/>
      <w:r w:rsidRPr="0009405F">
        <w:rPr>
          <w:rFonts w:ascii="Calibri" w:hAnsi="Calibri"/>
          <w:b/>
        </w:rPr>
        <w:t>7.2.</w:t>
      </w:r>
      <w:r w:rsidRPr="00B67CD4">
        <w:rPr>
          <w:rFonts w:ascii="Calibri" w:hAnsi="Calibri"/>
        </w:rPr>
        <w:t xml:space="preserve"> Obmiar robót ziemnych</w:t>
      </w:r>
      <w:bookmarkEnd w:id="444"/>
      <w:bookmarkEnd w:id="445"/>
    </w:p>
    <w:p w:rsidR="00AB6A92" w:rsidRPr="00B67CD4" w:rsidRDefault="00AB6A92" w:rsidP="00AB6A92">
      <w:pPr>
        <w:rPr>
          <w:rFonts w:ascii="Calibri" w:hAnsi="Calibri"/>
        </w:rPr>
      </w:pPr>
      <w:r w:rsidRPr="00B67CD4">
        <w:rPr>
          <w:rFonts w:ascii="Calibri" w:hAnsi="Calibri"/>
        </w:rPr>
        <w:tab/>
        <w:t>Jednostka obmiarową jest m3 (metr sześcienny) wykonanych robót ziemnych.</w:t>
      </w:r>
    </w:p>
    <w:p w:rsidR="00AB6A92" w:rsidRPr="00B67CD4" w:rsidRDefault="00AB6A92" w:rsidP="00AB6A92">
      <w:pPr>
        <w:rPr>
          <w:rFonts w:ascii="Calibri" w:hAnsi="Calibri"/>
        </w:rPr>
      </w:pPr>
      <w:bookmarkStart w:id="446" w:name="_Toc405615060"/>
      <w:bookmarkStart w:id="447" w:name="_Toc407161208"/>
      <w:bookmarkStart w:id="448" w:name="_Toc418996329"/>
      <w:bookmarkStart w:id="449" w:name="_Toc418996698"/>
      <w:bookmarkStart w:id="450" w:name="_Toc418997085"/>
      <w:bookmarkStart w:id="451" w:name="_Toc418998495"/>
      <w:bookmarkStart w:id="452" w:name="_Toc418998851"/>
      <w:bookmarkStart w:id="453" w:name="_Toc419000096"/>
      <w:r w:rsidRPr="0009405F">
        <w:rPr>
          <w:rFonts w:ascii="Calibri" w:hAnsi="Calibri"/>
          <w:b/>
        </w:rPr>
        <w:t>8.</w:t>
      </w:r>
      <w:r w:rsidRPr="00B67CD4">
        <w:rPr>
          <w:rFonts w:ascii="Calibri" w:hAnsi="Calibri"/>
        </w:rPr>
        <w:t xml:space="preserve"> </w:t>
      </w:r>
      <w:r>
        <w:rPr>
          <w:rFonts w:ascii="Calibri" w:hAnsi="Calibri"/>
        </w:rPr>
        <w:t>O</w:t>
      </w:r>
      <w:r w:rsidRPr="00B67CD4">
        <w:rPr>
          <w:rFonts w:ascii="Calibri" w:hAnsi="Calibri"/>
        </w:rPr>
        <w:t>dbiór robót</w:t>
      </w:r>
      <w:bookmarkEnd w:id="446"/>
      <w:bookmarkEnd w:id="447"/>
      <w:bookmarkEnd w:id="448"/>
      <w:bookmarkEnd w:id="449"/>
      <w:bookmarkEnd w:id="450"/>
      <w:bookmarkEnd w:id="451"/>
      <w:bookmarkEnd w:id="452"/>
      <w:bookmarkEnd w:id="453"/>
    </w:p>
    <w:p w:rsidR="00AB6A92" w:rsidRPr="00B67CD4" w:rsidRDefault="00AB6A92" w:rsidP="00AB6A92">
      <w:pPr>
        <w:rPr>
          <w:rFonts w:ascii="Calibri" w:hAnsi="Calibri"/>
        </w:rPr>
      </w:pPr>
      <w:r w:rsidRPr="00B67CD4">
        <w:rPr>
          <w:rFonts w:ascii="Calibri" w:hAnsi="Calibri"/>
        </w:rPr>
        <w:tab/>
        <w:t>Ogólne</w:t>
      </w:r>
      <w:r>
        <w:rPr>
          <w:rFonts w:ascii="Calibri" w:hAnsi="Calibri"/>
        </w:rPr>
        <w:t xml:space="preserve"> zasady odbioru robót podano w </w:t>
      </w:r>
      <w:r w:rsidRPr="00B67CD4">
        <w:rPr>
          <w:rFonts w:ascii="Calibri" w:hAnsi="Calibri"/>
        </w:rPr>
        <w:t>ST D-M-00.00.00 „Wymagania ogólne” pkt 8.</w:t>
      </w:r>
    </w:p>
    <w:p w:rsidR="00AB6A92" w:rsidRPr="00B67CD4" w:rsidRDefault="00AB6A92" w:rsidP="00AB6A92">
      <w:pPr>
        <w:rPr>
          <w:rFonts w:ascii="Calibri" w:hAnsi="Calibri"/>
        </w:rPr>
      </w:pPr>
      <w:r w:rsidRPr="00B67CD4">
        <w:rPr>
          <w:rFonts w:ascii="Calibri" w:hAnsi="Calibri"/>
        </w:rPr>
        <w:tab/>
        <w:t>Roboty ziemne uznaje się za wykonane zgod</w:t>
      </w:r>
      <w:r>
        <w:rPr>
          <w:rFonts w:ascii="Calibri" w:hAnsi="Calibri"/>
        </w:rPr>
        <w:t xml:space="preserve">nie z dokumentacją projektową, </w:t>
      </w:r>
      <w:r w:rsidRPr="00B67CD4">
        <w:rPr>
          <w:rFonts w:ascii="Calibri" w:hAnsi="Calibri"/>
        </w:rPr>
        <w:t>ST i wymaganiami Inżyniera, jeżeli wszystkie pomiary i badania z zachowaniem tolerancji wg pkt 6 dały wyniki pozytywne.</w:t>
      </w:r>
    </w:p>
    <w:p w:rsidR="00AB6A92" w:rsidRPr="00B67CD4" w:rsidRDefault="00AB6A92" w:rsidP="00AB6A92">
      <w:pPr>
        <w:rPr>
          <w:rFonts w:ascii="Calibri" w:hAnsi="Calibri"/>
        </w:rPr>
      </w:pPr>
      <w:bookmarkStart w:id="454" w:name="_Toc405615061"/>
      <w:bookmarkStart w:id="455" w:name="_Toc407161209"/>
      <w:bookmarkStart w:id="456" w:name="_Toc418996330"/>
      <w:bookmarkStart w:id="457" w:name="_Toc418996699"/>
      <w:bookmarkStart w:id="458" w:name="_Toc418997086"/>
      <w:bookmarkStart w:id="459" w:name="_Toc418998496"/>
      <w:bookmarkStart w:id="460" w:name="_Toc418998852"/>
      <w:bookmarkStart w:id="461" w:name="_Toc419000097"/>
      <w:r w:rsidRPr="0009405F">
        <w:rPr>
          <w:rFonts w:ascii="Calibri" w:hAnsi="Calibri"/>
          <w:b/>
        </w:rPr>
        <w:t>9.</w:t>
      </w:r>
      <w:r w:rsidRPr="00B67CD4">
        <w:rPr>
          <w:rFonts w:ascii="Calibri" w:hAnsi="Calibri"/>
        </w:rPr>
        <w:t xml:space="preserve"> </w:t>
      </w:r>
      <w:r>
        <w:rPr>
          <w:rFonts w:ascii="Calibri" w:hAnsi="Calibri"/>
        </w:rPr>
        <w:t>P</w:t>
      </w:r>
      <w:r w:rsidRPr="00B67CD4">
        <w:rPr>
          <w:rFonts w:ascii="Calibri" w:hAnsi="Calibri"/>
        </w:rPr>
        <w:t>odstawa płatności</w:t>
      </w:r>
      <w:bookmarkEnd w:id="454"/>
      <w:bookmarkEnd w:id="455"/>
      <w:bookmarkEnd w:id="456"/>
      <w:bookmarkEnd w:id="457"/>
      <w:bookmarkEnd w:id="458"/>
      <w:bookmarkEnd w:id="459"/>
      <w:bookmarkEnd w:id="460"/>
      <w:bookmarkEnd w:id="461"/>
    </w:p>
    <w:p w:rsidR="00AB6A92" w:rsidRPr="00B67CD4" w:rsidRDefault="00AB6A92" w:rsidP="00AB6A92">
      <w:pPr>
        <w:rPr>
          <w:rFonts w:ascii="Calibri" w:hAnsi="Calibri"/>
        </w:rPr>
      </w:pPr>
      <w:r w:rsidRPr="00B67CD4">
        <w:rPr>
          <w:rFonts w:ascii="Calibri" w:hAnsi="Calibri"/>
        </w:rPr>
        <w:tab/>
        <w:t>Ogólne ustalenia dotyczą</w:t>
      </w:r>
      <w:r>
        <w:rPr>
          <w:rFonts w:ascii="Calibri" w:hAnsi="Calibri"/>
        </w:rPr>
        <w:t xml:space="preserve">ce podstawy płatności podano w </w:t>
      </w:r>
      <w:r w:rsidRPr="00B67CD4">
        <w:rPr>
          <w:rFonts w:ascii="Calibri" w:hAnsi="Calibri"/>
        </w:rPr>
        <w:t>ST D-M-00.00.00 „Wymagania ogólne” pkt 9.</w:t>
      </w:r>
    </w:p>
    <w:p w:rsidR="00AB6A92" w:rsidRDefault="00AB6A92" w:rsidP="00AB6A92">
      <w:pPr>
        <w:rPr>
          <w:rFonts w:ascii="Calibri" w:hAnsi="Calibri"/>
        </w:rPr>
      </w:pPr>
      <w:r w:rsidRPr="00B67CD4">
        <w:rPr>
          <w:rFonts w:ascii="Calibri" w:hAnsi="Calibri"/>
        </w:rPr>
        <w:tab/>
        <w:t>Zakres czynności obję</w:t>
      </w:r>
      <w:r>
        <w:rPr>
          <w:rFonts w:ascii="Calibri" w:hAnsi="Calibri"/>
        </w:rPr>
        <w:t xml:space="preserve">tych ceną jednostkową podano w </w:t>
      </w:r>
      <w:r w:rsidRPr="00B67CD4">
        <w:rPr>
          <w:rFonts w:ascii="Calibri" w:hAnsi="Calibri"/>
        </w:rPr>
        <w:t>ST D-02.01.01, D-02.02.01 oraz D-02.03.01 pkt 9.</w:t>
      </w:r>
    </w:p>
    <w:p w:rsidR="00727072" w:rsidRDefault="00727072" w:rsidP="00AB6A92">
      <w:pPr>
        <w:rPr>
          <w:rFonts w:ascii="Calibri" w:hAnsi="Calibri"/>
        </w:rPr>
      </w:pPr>
    </w:p>
    <w:p w:rsidR="003843CA" w:rsidRDefault="003843CA" w:rsidP="00AB6A92">
      <w:pPr>
        <w:rPr>
          <w:rFonts w:ascii="Calibri" w:hAnsi="Calibri"/>
        </w:rPr>
      </w:pPr>
    </w:p>
    <w:p w:rsidR="003843CA" w:rsidRDefault="003843CA" w:rsidP="00AB6A92">
      <w:pPr>
        <w:rPr>
          <w:rFonts w:ascii="Calibri" w:hAnsi="Calibri"/>
        </w:rPr>
      </w:pPr>
    </w:p>
    <w:p w:rsidR="00AB6A92" w:rsidRPr="0009405F" w:rsidRDefault="00AB6A92" w:rsidP="00AB6A92">
      <w:pPr>
        <w:rPr>
          <w:rFonts w:ascii="Calibri" w:hAnsi="Calibri"/>
          <w:b/>
        </w:rPr>
      </w:pPr>
      <w:bookmarkStart w:id="462" w:name="_Toc405615062"/>
      <w:bookmarkStart w:id="463" w:name="_Toc407161210"/>
      <w:bookmarkStart w:id="464" w:name="_Toc418994924"/>
      <w:bookmarkStart w:id="465" w:name="_Toc418996331"/>
      <w:bookmarkStart w:id="466" w:name="_Toc418996700"/>
      <w:bookmarkStart w:id="467" w:name="_Toc418997087"/>
      <w:bookmarkStart w:id="468" w:name="_Toc418998497"/>
      <w:bookmarkStart w:id="469" w:name="_Toc418998853"/>
      <w:bookmarkStart w:id="470" w:name="_Toc419000098"/>
      <w:r w:rsidRPr="0009405F">
        <w:rPr>
          <w:rFonts w:ascii="Calibri" w:hAnsi="Calibri"/>
          <w:b/>
        </w:rPr>
        <w:lastRenderedPageBreak/>
        <w:t xml:space="preserve">10. </w:t>
      </w:r>
      <w:bookmarkEnd w:id="462"/>
      <w:bookmarkEnd w:id="463"/>
      <w:bookmarkEnd w:id="464"/>
      <w:bookmarkEnd w:id="465"/>
      <w:bookmarkEnd w:id="466"/>
      <w:bookmarkEnd w:id="467"/>
      <w:bookmarkEnd w:id="468"/>
      <w:bookmarkEnd w:id="469"/>
      <w:bookmarkEnd w:id="470"/>
      <w:r w:rsidRPr="0009405F">
        <w:rPr>
          <w:rFonts w:ascii="Calibri" w:hAnsi="Calibri"/>
          <w:b/>
        </w:rPr>
        <w:t>PRZEPISY ZWIĄZANE</w:t>
      </w:r>
    </w:p>
    <w:p w:rsidR="00AB6A92" w:rsidRDefault="00AB6A92" w:rsidP="00AB6A92">
      <w:pPr>
        <w:rPr>
          <w:rFonts w:ascii="Calibri" w:hAnsi="Calibri"/>
        </w:rPr>
      </w:pPr>
      <w:bookmarkStart w:id="471" w:name="_Toc405615063"/>
      <w:bookmarkStart w:id="472" w:name="_Toc407161211"/>
      <w:r w:rsidRPr="0009405F">
        <w:rPr>
          <w:rFonts w:ascii="Calibri" w:hAnsi="Calibri"/>
          <w:b/>
        </w:rPr>
        <w:t>10.1.</w:t>
      </w:r>
      <w:r w:rsidRPr="00B67CD4">
        <w:rPr>
          <w:rFonts w:ascii="Calibri" w:hAnsi="Calibri"/>
        </w:rPr>
        <w:t xml:space="preserve"> Normy</w:t>
      </w:r>
      <w:bookmarkEnd w:id="471"/>
      <w:bookmarkEnd w:id="472"/>
    </w:p>
    <w:tbl>
      <w:tblPr>
        <w:tblW w:w="0" w:type="auto"/>
        <w:tblInd w:w="70" w:type="dxa"/>
        <w:tblLayout w:type="fixed"/>
        <w:tblCellMar>
          <w:left w:w="70" w:type="dxa"/>
          <w:right w:w="70" w:type="dxa"/>
        </w:tblCellMar>
        <w:tblLook w:val="0000"/>
      </w:tblPr>
      <w:tblGrid>
        <w:gridCol w:w="354"/>
        <w:gridCol w:w="1879"/>
        <w:gridCol w:w="5422"/>
      </w:tblGrid>
      <w:tr w:rsidR="00AB6A92" w:rsidTr="000628FB">
        <w:tc>
          <w:tcPr>
            <w:tcW w:w="354" w:type="dxa"/>
          </w:tcPr>
          <w:p w:rsidR="00AB6A92" w:rsidRPr="00005063" w:rsidRDefault="00AB6A92" w:rsidP="00AB6A92">
            <w:pPr>
              <w:pStyle w:val="Standardowytekst"/>
              <w:jc w:val="center"/>
              <w:rPr>
                <w:rFonts w:ascii="Calibri" w:hAnsi="Calibri" w:cs="Calibri"/>
              </w:rPr>
            </w:pPr>
            <w:r w:rsidRPr="00005063">
              <w:rPr>
                <w:rFonts w:ascii="Calibri" w:hAnsi="Calibri" w:cs="Calibri"/>
              </w:rPr>
              <w:t>1.</w:t>
            </w:r>
          </w:p>
        </w:tc>
        <w:tc>
          <w:tcPr>
            <w:tcW w:w="1879" w:type="dxa"/>
          </w:tcPr>
          <w:p w:rsidR="00AB6A92" w:rsidRPr="00005063" w:rsidRDefault="00AB6A92" w:rsidP="00AB6A92">
            <w:pPr>
              <w:pStyle w:val="Standardowytekst"/>
              <w:rPr>
                <w:rFonts w:ascii="Calibri" w:hAnsi="Calibri" w:cs="Calibri"/>
              </w:rPr>
            </w:pPr>
            <w:r w:rsidRPr="00005063">
              <w:rPr>
                <w:rFonts w:ascii="Calibri" w:hAnsi="Calibri" w:cs="Calibri"/>
              </w:rPr>
              <w:t>PN-B-02480:1986</w:t>
            </w:r>
          </w:p>
        </w:tc>
        <w:tc>
          <w:tcPr>
            <w:tcW w:w="5422" w:type="dxa"/>
          </w:tcPr>
          <w:p w:rsidR="00AB6A92" w:rsidRPr="00005063" w:rsidRDefault="00AB6A92" w:rsidP="00AB6A92">
            <w:pPr>
              <w:pStyle w:val="Standardowytekst"/>
              <w:rPr>
                <w:rFonts w:ascii="Calibri" w:hAnsi="Calibri" w:cs="Calibri"/>
              </w:rPr>
            </w:pPr>
            <w:r w:rsidRPr="00005063">
              <w:rPr>
                <w:rFonts w:ascii="Calibri" w:hAnsi="Calibri" w:cs="Calibri"/>
              </w:rPr>
              <w:t>Grunty budowlane. Określenia. Symbole. Podział i opis gruntów</w:t>
            </w:r>
          </w:p>
        </w:tc>
      </w:tr>
      <w:tr w:rsidR="00AB6A92" w:rsidTr="000628FB">
        <w:tc>
          <w:tcPr>
            <w:tcW w:w="354" w:type="dxa"/>
          </w:tcPr>
          <w:p w:rsidR="00AB6A92" w:rsidRPr="00005063" w:rsidRDefault="00AB6A92" w:rsidP="00AB6A92">
            <w:pPr>
              <w:pStyle w:val="Standardowytekst"/>
              <w:jc w:val="center"/>
              <w:rPr>
                <w:rFonts w:ascii="Calibri" w:hAnsi="Calibri" w:cs="Calibri"/>
              </w:rPr>
            </w:pPr>
            <w:r w:rsidRPr="00005063">
              <w:rPr>
                <w:rFonts w:ascii="Calibri" w:hAnsi="Calibri" w:cs="Calibri"/>
              </w:rPr>
              <w:t>2.</w:t>
            </w:r>
          </w:p>
        </w:tc>
        <w:tc>
          <w:tcPr>
            <w:tcW w:w="1879" w:type="dxa"/>
          </w:tcPr>
          <w:p w:rsidR="00AB6A92" w:rsidRPr="00005063" w:rsidRDefault="00AB6A92" w:rsidP="00AB6A92">
            <w:pPr>
              <w:pStyle w:val="Standardowytekst"/>
              <w:rPr>
                <w:rFonts w:ascii="Calibri" w:hAnsi="Calibri" w:cs="Calibri"/>
              </w:rPr>
            </w:pPr>
            <w:r w:rsidRPr="00005063">
              <w:rPr>
                <w:rFonts w:ascii="Calibri" w:hAnsi="Calibri" w:cs="Calibri"/>
              </w:rPr>
              <w:t>PN-B-04481:1988</w:t>
            </w:r>
          </w:p>
        </w:tc>
        <w:tc>
          <w:tcPr>
            <w:tcW w:w="5422" w:type="dxa"/>
          </w:tcPr>
          <w:p w:rsidR="00AB6A92" w:rsidRPr="00005063" w:rsidRDefault="00AB6A92" w:rsidP="00AB6A92">
            <w:pPr>
              <w:pStyle w:val="Standardowytekst"/>
              <w:rPr>
                <w:rFonts w:ascii="Calibri" w:hAnsi="Calibri" w:cs="Calibri"/>
              </w:rPr>
            </w:pPr>
            <w:r w:rsidRPr="00005063">
              <w:rPr>
                <w:rFonts w:ascii="Calibri" w:hAnsi="Calibri" w:cs="Calibri"/>
              </w:rPr>
              <w:t>Grunty budowlane. Badania próbek gruntów</w:t>
            </w:r>
          </w:p>
        </w:tc>
      </w:tr>
      <w:tr w:rsidR="00AB6A92" w:rsidTr="000628FB">
        <w:tc>
          <w:tcPr>
            <w:tcW w:w="354" w:type="dxa"/>
          </w:tcPr>
          <w:p w:rsidR="00AB6A92" w:rsidRPr="00005063" w:rsidRDefault="00AB6A92" w:rsidP="00AB6A92">
            <w:pPr>
              <w:pStyle w:val="Standardowytekst"/>
              <w:jc w:val="center"/>
              <w:rPr>
                <w:rFonts w:ascii="Calibri" w:hAnsi="Calibri" w:cs="Calibri"/>
              </w:rPr>
            </w:pPr>
            <w:r w:rsidRPr="00005063">
              <w:rPr>
                <w:rFonts w:ascii="Calibri" w:hAnsi="Calibri" w:cs="Calibri"/>
              </w:rPr>
              <w:t>3.</w:t>
            </w:r>
          </w:p>
        </w:tc>
        <w:tc>
          <w:tcPr>
            <w:tcW w:w="1879" w:type="dxa"/>
          </w:tcPr>
          <w:p w:rsidR="00AB6A92" w:rsidRPr="00005063" w:rsidRDefault="00AB6A92" w:rsidP="00AB6A92">
            <w:pPr>
              <w:pStyle w:val="Standardowytekst"/>
              <w:rPr>
                <w:rFonts w:ascii="Calibri" w:hAnsi="Calibri" w:cs="Calibri"/>
              </w:rPr>
            </w:pPr>
            <w:r w:rsidRPr="00005063">
              <w:rPr>
                <w:rFonts w:ascii="Calibri" w:hAnsi="Calibri" w:cs="Calibri"/>
              </w:rPr>
              <w:t>PN-B-04493:1960</w:t>
            </w:r>
          </w:p>
        </w:tc>
        <w:tc>
          <w:tcPr>
            <w:tcW w:w="5422" w:type="dxa"/>
          </w:tcPr>
          <w:p w:rsidR="00AB6A92" w:rsidRPr="00005063" w:rsidRDefault="00AB6A92" w:rsidP="00AB6A92">
            <w:pPr>
              <w:pStyle w:val="Standardowytekst"/>
              <w:rPr>
                <w:rFonts w:ascii="Calibri" w:hAnsi="Calibri" w:cs="Calibri"/>
              </w:rPr>
            </w:pPr>
            <w:r w:rsidRPr="00005063">
              <w:rPr>
                <w:rFonts w:ascii="Calibri" w:hAnsi="Calibri" w:cs="Calibri"/>
              </w:rPr>
              <w:t>Grunty budowlane. Oznaczanie kapilarności biernej</w:t>
            </w:r>
          </w:p>
        </w:tc>
      </w:tr>
      <w:tr w:rsidR="00AB6A92" w:rsidTr="000628FB">
        <w:tc>
          <w:tcPr>
            <w:tcW w:w="354" w:type="dxa"/>
          </w:tcPr>
          <w:p w:rsidR="00AB6A92" w:rsidRPr="00005063" w:rsidRDefault="00AB6A92" w:rsidP="00AB6A92">
            <w:pPr>
              <w:pStyle w:val="Standardowytekst"/>
              <w:jc w:val="center"/>
              <w:rPr>
                <w:rFonts w:ascii="Calibri" w:hAnsi="Calibri" w:cs="Calibri"/>
              </w:rPr>
            </w:pPr>
            <w:r w:rsidRPr="00005063">
              <w:rPr>
                <w:rFonts w:ascii="Calibri" w:hAnsi="Calibri" w:cs="Calibri"/>
              </w:rPr>
              <w:t>4.</w:t>
            </w:r>
          </w:p>
        </w:tc>
        <w:tc>
          <w:tcPr>
            <w:tcW w:w="1879" w:type="dxa"/>
          </w:tcPr>
          <w:p w:rsidR="00AB6A92" w:rsidRPr="00005063" w:rsidRDefault="00AB6A92" w:rsidP="00AB6A92">
            <w:pPr>
              <w:pStyle w:val="Standardowytekst"/>
              <w:rPr>
                <w:rFonts w:ascii="Calibri" w:hAnsi="Calibri" w:cs="Calibri"/>
              </w:rPr>
            </w:pPr>
            <w:r w:rsidRPr="00005063">
              <w:rPr>
                <w:rFonts w:ascii="Calibri" w:hAnsi="Calibri" w:cs="Calibri"/>
              </w:rPr>
              <w:t>PN-S-02205:1998</w:t>
            </w:r>
          </w:p>
        </w:tc>
        <w:tc>
          <w:tcPr>
            <w:tcW w:w="5422" w:type="dxa"/>
          </w:tcPr>
          <w:p w:rsidR="00AB6A92" w:rsidRPr="00005063" w:rsidRDefault="00AB6A92" w:rsidP="00AB6A92">
            <w:pPr>
              <w:pStyle w:val="Standardowytekst"/>
              <w:rPr>
                <w:rFonts w:ascii="Calibri" w:hAnsi="Calibri" w:cs="Calibri"/>
              </w:rPr>
            </w:pPr>
            <w:r w:rsidRPr="00005063">
              <w:rPr>
                <w:rFonts w:ascii="Calibri" w:hAnsi="Calibri" w:cs="Calibri"/>
              </w:rPr>
              <w:t>Drogi samochodowe. Roboty ziemne. Wymagania i badania</w:t>
            </w:r>
          </w:p>
        </w:tc>
      </w:tr>
      <w:tr w:rsidR="00AB6A92" w:rsidTr="000628FB">
        <w:tc>
          <w:tcPr>
            <w:tcW w:w="354" w:type="dxa"/>
          </w:tcPr>
          <w:p w:rsidR="00AB6A92" w:rsidRPr="00005063" w:rsidRDefault="00727072" w:rsidP="00AB6A92">
            <w:pPr>
              <w:pStyle w:val="Standardowytekst"/>
              <w:jc w:val="center"/>
              <w:rPr>
                <w:rFonts w:ascii="Calibri" w:hAnsi="Calibri" w:cs="Calibri"/>
              </w:rPr>
            </w:pPr>
            <w:r>
              <w:rPr>
                <w:rFonts w:ascii="Calibri" w:hAnsi="Calibri" w:cs="Calibri"/>
              </w:rPr>
              <w:t>5</w:t>
            </w:r>
            <w:r w:rsidR="00AB6A92" w:rsidRPr="00005063">
              <w:rPr>
                <w:rFonts w:ascii="Calibri" w:hAnsi="Calibri" w:cs="Calibri"/>
              </w:rPr>
              <w:t>.</w:t>
            </w:r>
          </w:p>
        </w:tc>
        <w:tc>
          <w:tcPr>
            <w:tcW w:w="1879" w:type="dxa"/>
          </w:tcPr>
          <w:p w:rsidR="00AB6A92" w:rsidRPr="00005063" w:rsidRDefault="00AB6A92" w:rsidP="00AB6A92">
            <w:pPr>
              <w:pStyle w:val="Standardowytekst"/>
              <w:rPr>
                <w:rFonts w:ascii="Calibri" w:hAnsi="Calibri" w:cs="Calibri"/>
              </w:rPr>
            </w:pPr>
            <w:r w:rsidRPr="00005063">
              <w:rPr>
                <w:rFonts w:ascii="Calibri" w:hAnsi="Calibri" w:cs="Calibri"/>
              </w:rPr>
              <w:t>BN-64/8931-01</w:t>
            </w:r>
          </w:p>
        </w:tc>
        <w:tc>
          <w:tcPr>
            <w:tcW w:w="5422" w:type="dxa"/>
          </w:tcPr>
          <w:p w:rsidR="00AB6A92" w:rsidRPr="00005063" w:rsidRDefault="00AB6A92" w:rsidP="00AB6A92">
            <w:pPr>
              <w:pStyle w:val="Standardowytekst"/>
              <w:rPr>
                <w:rFonts w:ascii="Calibri" w:hAnsi="Calibri" w:cs="Calibri"/>
              </w:rPr>
            </w:pPr>
            <w:r w:rsidRPr="00005063">
              <w:rPr>
                <w:rFonts w:ascii="Calibri" w:hAnsi="Calibri" w:cs="Calibri"/>
              </w:rPr>
              <w:t>Drogi samochodowe. Oznaczenie wskaźnika piaskowego</w:t>
            </w:r>
          </w:p>
        </w:tc>
      </w:tr>
      <w:tr w:rsidR="00AB6A92" w:rsidTr="000628FB">
        <w:tc>
          <w:tcPr>
            <w:tcW w:w="354" w:type="dxa"/>
          </w:tcPr>
          <w:p w:rsidR="00AB6A92" w:rsidRPr="00005063" w:rsidRDefault="00727072" w:rsidP="00AB6A92">
            <w:pPr>
              <w:pStyle w:val="Standardowytekst"/>
              <w:jc w:val="center"/>
              <w:rPr>
                <w:rFonts w:ascii="Calibri" w:hAnsi="Calibri" w:cs="Calibri"/>
              </w:rPr>
            </w:pPr>
            <w:r>
              <w:rPr>
                <w:rFonts w:ascii="Calibri" w:hAnsi="Calibri" w:cs="Calibri"/>
              </w:rPr>
              <w:t>6</w:t>
            </w:r>
            <w:r w:rsidR="00AB6A92" w:rsidRPr="00005063">
              <w:rPr>
                <w:rFonts w:ascii="Calibri" w:hAnsi="Calibri" w:cs="Calibri"/>
              </w:rPr>
              <w:t>.</w:t>
            </w:r>
          </w:p>
        </w:tc>
        <w:tc>
          <w:tcPr>
            <w:tcW w:w="1879" w:type="dxa"/>
          </w:tcPr>
          <w:p w:rsidR="00AB6A92" w:rsidRPr="00005063" w:rsidRDefault="00AB6A92" w:rsidP="00AB6A92">
            <w:pPr>
              <w:pStyle w:val="Standardowytekst"/>
              <w:rPr>
                <w:rFonts w:ascii="Calibri" w:hAnsi="Calibri" w:cs="Calibri"/>
              </w:rPr>
            </w:pPr>
            <w:r w:rsidRPr="00005063">
              <w:rPr>
                <w:rFonts w:ascii="Calibri" w:hAnsi="Calibri" w:cs="Calibri"/>
              </w:rPr>
              <w:t>BN-64/8931-02</w:t>
            </w:r>
          </w:p>
        </w:tc>
        <w:tc>
          <w:tcPr>
            <w:tcW w:w="5422" w:type="dxa"/>
          </w:tcPr>
          <w:p w:rsidR="00AB6A92" w:rsidRPr="00005063" w:rsidRDefault="00AB6A92" w:rsidP="00AB6A92">
            <w:pPr>
              <w:pStyle w:val="Standardowytekst"/>
              <w:rPr>
                <w:rFonts w:ascii="Calibri" w:hAnsi="Calibri" w:cs="Calibri"/>
              </w:rPr>
            </w:pPr>
            <w:r w:rsidRPr="00005063">
              <w:rPr>
                <w:rFonts w:ascii="Calibri" w:hAnsi="Calibri" w:cs="Calibri"/>
              </w:rPr>
              <w:t>Drogi samochodowe. Oznaczenie modułu odkształcenia nawierzchni podatnych i podłoża przez obciążenie płytą</w:t>
            </w:r>
          </w:p>
        </w:tc>
      </w:tr>
      <w:tr w:rsidR="00AB6A92" w:rsidTr="000628FB">
        <w:tc>
          <w:tcPr>
            <w:tcW w:w="354" w:type="dxa"/>
          </w:tcPr>
          <w:p w:rsidR="00AB6A92" w:rsidRPr="00005063" w:rsidRDefault="00727072" w:rsidP="00AB6A92">
            <w:pPr>
              <w:pStyle w:val="Standardowytekst"/>
              <w:jc w:val="center"/>
              <w:rPr>
                <w:rFonts w:ascii="Calibri" w:hAnsi="Calibri" w:cs="Calibri"/>
              </w:rPr>
            </w:pPr>
            <w:r>
              <w:rPr>
                <w:rFonts w:ascii="Calibri" w:hAnsi="Calibri" w:cs="Calibri"/>
              </w:rPr>
              <w:t>7</w:t>
            </w:r>
            <w:r w:rsidR="00AB6A92" w:rsidRPr="00005063">
              <w:rPr>
                <w:rFonts w:ascii="Calibri" w:hAnsi="Calibri" w:cs="Calibri"/>
              </w:rPr>
              <w:t>.</w:t>
            </w:r>
          </w:p>
        </w:tc>
        <w:tc>
          <w:tcPr>
            <w:tcW w:w="1879" w:type="dxa"/>
          </w:tcPr>
          <w:p w:rsidR="00AB6A92" w:rsidRPr="00005063" w:rsidRDefault="00AB6A92" w:rsidP="00AB6A92">
            <w:pPr>
              <w:pStyle w:val="Standardowytekst"/>
              <w:rPr>
                <w:rFonts w:ascii="Calibri" w:hAnsi="Calibri" w:cs="Calibri"/>
              </w:rPr>
            </w:pPr>
            <w:r w:rsidRPr="00005063">
              <w:rPr>
                <w:rFonts w:ascii="Calibri" w:hAnsi="Calibri" w:cs="Calibri"/>
              </w:rPr>
              <w:t>BN-77/8931-12</w:t>
            </w:r>
          </w:p>
        </w:tc>
        <w:tc>
          <w:tcPr>
            <w:tcW w:w="5422" w:type="dxa"/>
          </w:tcPr>
          <w:p w:rsidR="00AB6A92" w:rsidRPr="00005063" w:rsidRDefault="00AB6A92" w:rsidP="00AB6A92">
            <w:pPr>
              <w:pStyle w:val="Standardowytekst"/>
              <w:rPr>
                <w:rFonts w:ascii="Calibri" w:hAnsi="Calibri" w:cs="Calibri"/>
              </w:rPr>
            </w:pPr>
            <w:r w:rsidRPr="00005063">
              <w:rPr>
                <w:rFonts w:ascii="Calibri" w:hAnsi="Calibri" w:cs="Calibri"/>
              </w:rPr>
              <w:t>Oznaczenie wskaźnika zagęszczenia gruntu</w:t>
            </w:r>
          </w:p>
        </w:tc>
      </w:tr>
    </w:tbl>
    <w:p w:rsidR="00AB6A92" w:rsidRPr="00B67CD4" w:rsidRDefault="00AB6A92" w:rsidP="00AB6A92">
      <w:pPr>
        <w:rPr>
          <w:rFonts w:ascii="Calibri" w:hAnsi="Calibri"/>
        </w:rPr>
      </w:pPr>
      <w:bookmarkStart w:id="473" w:name="_Toc405615064"/>
      <w:bookmarkStart w:id="474" w:name="_Toc407161212"/>
      <w:r w:rsidRPr="0009405F">
        <w:rPr>
          <w:rFonts w:ascii="Calibri" w:hAnsi="Calibri"/>
          <w:b/>
        </w:rPr>
        <w:t>10.2.</w:t>
      </w:r>
      <w:r w:rsidRPr="00B67CD4">
        <w:rPr>
          <w:rFonts w:ascii="Calibri" w:hAnsi="Calibri"/>
        </w:rPr>
        <w:t xml:space="preserve"> Inne dokumenty</w:t>
      </w:r>
      <w:bookmarkEnd w:id="473"/>
      <w:bookmarkEnd w:id="474"/>
    </w:p>
    <w:p w:rsidR="00AB6A92" w:rsidRPr="00B67CD4" w:rsidRDefault="00727072" w:rsidP="000628FB">
      <w:pPr>
        <w:rPr>
          <w:rFonts w:ascii="Calibri" w:hAnsi="Calibri"/>
        </w:rPr>
      </w:pPr>
      <w:r>
        <w:rPr>
          <w:rFonts w:ascii="Calibri" w:hAnsi="Calibri"/>
        </w:rPr>
        <w:t>8</w:t>
      </w:r>
      <w:r w:rsidR="00AB6A92">
        <w:rPr>
          <w:rFonts w:ascii="Calibri" w:hAnsi="Calibri"/>
        </w:rPr>
        <w:t xml:space="preserve">. </w:t>
      </w:r>
      <w:r w:rsidR="00AB6A92" w:rsidRPr="00B67CD4">
        <w:rPr>
          <w:rFonts w:ascii="Calibri" w:hAnsi="Calibri"/>
        </w:rPr>
        <w:t>Instrukcja badań podłoża gruntowego budowli drogowych i mostowych, GDDP,Warszawa 1998.</w:t>
      </w:r>
    </w:p>
    <w:p w:rsidR="00AB6A92" w:rsidRPr="00B67CD4" w:rsidRDefault="00727072" w:rsidP="000628FB">
      <w:pPr>
        <w:rPr>
          <w:rFonts w:ascii="Calibri" w:hAnsi="Calibri"/>
        </w:rPr>
      </w:pPr>
      <w:r>
        <w:rPr>
          <w:rFonts w:ascii="Calibri" w:hAnsi="Calibri"/>
        </w:rPr>
        <w:t>9</w:t>
      </w:r>
      <w:r w:rsidR="00AB6A92">
        <w:rPr>
          <w:rFonts w:ascii="Calibri" w:hAnsi="Calibri"/>
        </w:rPr>
        <w:t xml:space="preserve">. </w:t>
      </w:r>
      <w:r w:rsidR="00AB6A92" w:rsidRPr="00B67CD4">
        <w:rPr>
          <w:rFonts w:ascii="Calibri" w:hAnsi="Calibri"/>
        </w:rPr>
        <w:t>Katalog typowych konstrukcji nawierzchni podatnych i półsztywnych, IBDiM, Warszawa 1997.</w:t>
      </w:r>
    </w:p>
    <w:p w:rsidR="00AB6A92" w:rsidRPr="00B67CD4" w:rsidRDefault="00727072" w:rsidP="000628FB">
      <w:pPr>
        <w:rPr>
          <w:rFonts w:ascii="Calibri" w:hAnsi="Calibri"/>
        </w:rPr>
      </w:pPr>
      <w:r>
        <w:rPr>
          <w:rFonts w:ascii="Calibri" w:hAnsi="Calibri"/>
        </w:rPr>
        <w:t>10</w:t>
      </w:r>
      <w:r w:rsidR="00AB6A92">
        <w:rPr>
          <w:rFonts w:ascii="Calibri" w:hAnsi="Calibri"/>
        </w:rPr>
        <w:t xml:space="preserve">. </w:t>
      </w:r>
      <w:r w:rsidR="00AB6A92" w:rsidRPr="00B67CD4">
        <w:rPr>
          <w:rFonts w:ascii="Calibri" w:hAnsi="Calibri"/>
        </w:rPr>
        <w:t>Wytyczne wzmacniania podłoża gruntowego w budownictwie drogowym, IBDiM, Warszawa 2002.</w:t>
      </w:r>
    </w:p>
    <w:p w:rsidR="00AB6A92" w:rsidRPr="00B67CD4" w:rsidRDefault="00AB6A92" w:rsidP="00AB6A92">
      <w:pPr>
        <w:rPr>
          <w:rFonts w:ascii="Calibri" w:hAnsi="Calibri"/>
        </w:rPr>
      </w:pPr>
      <w:r w:rsidRPr="00B67CD4">
        <w:rPr>
          <w:rFonts w:ascii="Calibri" w:hAnsi="Calibri"/>
        </w:rPr>
        <w:br w:type="page"/>
      </w:r>
    </w:p>
    <w:p w:rsidR="000628FB" w:rsidRDefault="000628FB" w:rsidP="00F35C31">
      <w:pPr>
        <w:pStyle w:val="Nagwek4"/>
      </w:pPr>
    </w:p>
    <w:p w:rsidR="000628FB" w:rsidRDefault="000628FB" w:rsidP="00F35C31">
      <w:pPr>
        <w:pStyle w:val="Nagwek4"/>
      </w:pPr>
    </w:p>
    <w:p w:rsidR="000628FB" w:rsidRDefault="000628FB" w:rsidP="00F35C31">
      <w:pPr>
        <w:pStyle w:val="Nagwek4"/>
      </w:pPr>
    </w:p>
    <w:p w:rsidR="000628FB" w:rsidRDefault="000628FB" w:rsidP="00F35C31">
      <w:pPr>
        <w:pStyle w:val="Nagwek4"/>
      </w:pPr>
    </w:p>
    <w:p w:rsidR="000C27BF" w:rsidRDefault="000C27BF" w:rsidP="000C27BF"/>
    <w:p w:rsidR="000C27BF" w:rsidRDefault="000C27BF" w:rsidP="000C27BF"/>
    <w:p w:rsidR="000C27BF" w:rsidRPr="000C27BF" w:rsidRDefault="000C27BF" w:rsidP="000C27BF"/>
    <w:p w:rsidR="000628FB" w:rsidRDefault="000628FB" w:rsidP="00F35C31">
      <w:pPr>
        <w:pStyle w:val="Nagwek4"/>
      </w:pPr>
    </w:p>
    <w:p w:rsidR="000628FB" w:rsidRDefault="000628FB" w:rsidP="00F35C31">
      <w:pPr>
        <w:pStyle w:val="Nagwek4"/>
      </w:pPr>
    </w:p>
    <w:p w:rsidR="00AB6A92" w:rsidRPr="00E42D85" w:rsidRDefault="00417278" w:rsidP="00D01561">
      <w:pPr>
        <w:pStyle w:val="Nagwek1"/>
        <w:jc w:val="center"/>
      </w:pPr>
      <w:bookmarkStart w:id="475" w:name="_Toc438237720"/>
      <w:r>
        <w:t>D-</w:t>
      </w:r>
      <w:r w:rsidR="00AB6A92" w:rsidRPr="00E42D85">
        <w:t>02.01.01</w:t>
      </w:r>
      <w:r>
        <w:t xml:space="preserve"> </w:t>
      </w:r>
      <w:r w:rsidR="00F35C31">
        <w:t xml:space="preserve"> WYKONANIE </w:t>
      </w:r>
      <w:r w:rsidR="00AB6A92" w:rsidRPr="00E42D85">
        <w:t>WYKOPÓW</w:t>
      </w:r>
      <w:r w:rsidR="00F35C31">
        <w:t xml:space="preserve"> W GRUNTACH </w:t>
      </w:r>
      <w:r w:rsidR="00AB6A92" w:rsidRPr="00E42D85">
        <w:t>NIESKALISTYCH</w:t>
      </w:r>
      <w:bookmarkEnd w:id="475"/>
    </w:p>
    <w:p w:rsidR="00AB6A92" w:rsidRPr="00B67CD4" w:rsidRDefault="00AB6A92" w:rsidP="00AB6A92">
      <w:pPr>
        <w:rPr>
          <w:rFonts w:ascii="Calibri" w:hAnsi="Calibri"/>
        </w:rPr>
      </w:pPr>
    </w:p>
    <w:p w:rsidR="00AB6A92" w:rsidRPr="00B67CD4" w:rsidRDefault="00AB6A92" w:rsidP="00AB6A92">
      <w:pPr>
        <w:rPr>
          <w:rFonts w:ascii="Calibri" w:hAnsi="Calibri"/>
        </w:rPr>
      </w:pPr>
    </w:p>
    <w:p w:rsidR="00AB6A92" w:rsidRPr="00B67CD4" w:rsidRDefault="00AB6A92" w:rsidP="00AB6A92">
      <w:pPr>
        <w:rPr>
          <w:rFonts w:ascii="Calibri" w:hAnsi="Calibri"/>
        </w:rPr>
      </w:pPr>
    </w:p>
    <w:p w:rsidR="00AB6A92" w:rsidRPr="00B67CD4" w:rsidRDefault="00AB6A92" w:rsidP="00AB6A92">
      <w:pPr>
        <w:rPr>
          <w:rFonts w:ascii="Calibri" w:hAnsi="Calibri"/>
        </w:rPr>
      </w:pPr>
    </w:p>
    <w:p w:rsidR="000628FB" w:rsidRDefault="000628FB" w:rsidP="00AB6A92">
      <w:pPr>
        <w:rPr>
          <w:rFonts w:ascii="Calibri" w:hAnsi="Calibri"/>
          <w:b/>
        </w:rPr>
      </w:pPr>
      <w:bookmarkStart w:id="476" w:name="_Toc407161213"/>
      <w:bookmarkStart w:id="477" w:name="_Toc418994925"/>
      <w:bookmarkStart w:id="478" w:name="_Toc418996332"/>
      <w:bookmarkStart w:id="479" w:name="_Toc418996701"/>
      <w:bookmarkStart w:id="480" w:name="_Toc418997088"/>
      <w:bookmarkStart w:id="481" w:name="_Toc418998498"/>
      <w:bookmarkStart w:id="482" w:name="_Toc418998854"/>
      <w:bookmarkStart w:id="483" w:name="_Toc419000099"/>
    </w:p>
    <w:p w:rsidR="000628FB" w:rsidRDefault="000628FB" w:rsidP="00AB6A92">
      <w:pPr>
        <w:rPr>
          <w:rFonts w:ascii="Calibri" w:hAnsi="Calibri"/>
          <w:b/>
        </w:rPr>
      </w:pPr>
    </w:p>
    <w:p w:rsidR="000628FB" w:rsidRDefault="000628FB" w:rsidP="00AB6A92">
      <w:pPr>
        <w:rPr>
          <w:rFonts w:ascii="Calibri" w:hAnsi="Calibri"/>
          <w:b/>
        </w:rPr>
      </w:pPr>
    </w:p>
    <w:p w:rsidR="000628FB" w:rsidRDefault="000628FB" w:rsidP="00AB6A92">
      <w:pPr>
        <w:rPr>
          <w:rFonts w:ascii="Calibri" w:hAnsi="Calibri"/>
          <w:b/>
        </w:rPr>
      </w:pPr>
    </w:p>
    <w:p w:rsidR="000628FB" w:rsidRDefault="000628FB" w:rsidP="00AB6A92">
      <w:pPr>
        <w:rPr>
          <w:rFonts w:ascii="Calibri" w:hAnsi="Calibri"/>
          <w:b/>
        </w:rPr>
      </w:pPr>
    </w:p>
    <w:p w:rsidR="000628FB" w:rsidRDefault="000628FB" w:rsidP="00AB6A92">
      <w:pPr>
        <w:rPr>
          <w:rFonts w:ascii="Calibri" w:hAnsi="Calibri"/>
          <w:b/>
        </w:rPr>
      </w:pPr>
    </w:p>
    <w:p w:rsidR="000628FB" w:rsidRDefault="000628FB" w:rsidP="00AB6A92">
      <w:pPr>
        <w:rPr>
          <w:rFonts w:ascii="Calibri" w:hAnsi="Calibri"/>
          <w:b/>
        </w:rPr>
      </w:pPr>
    </w:p>
    <w:p w:rsidR="000628FB" w:rsidRDefault="000628FB" w:rsidP="00AB6A92">
      <w:pPr>
        <w:rPr>
          <w:rFonts w:ascii="Calibri" w:hAnsi="Calibri"/>
          <w:b/>
        </w:rPr>
      </w:pPr>
    </w:p>
    <w:p w:rsidR="000628FB" w:rsidRDefault="000628FB" w:rsidP="00AB6A92">
      <w:pPr>
        <w:rPr>
          <w:rFonts w:ascii="Calibri" w:hAnsi="Calibri"/>
          <w:b/>
        </w:rPr>
      </w:pPr>
    </w:p>
    <w:p w:rsidR="000628FB" w:rsidRDefault="000628FB" w:rsidP="00AB6A92">
      <w:pPr>
        <w:rPr>
          <w:rFonts w:ascii="Calibri" w:hAnsi="Calibri"/>
          <w:b/>
        </w:rPr>
      </w:pPr>
    </w:p>
    <w:p w:rsidR="000628FB" w:rsidRDefault="000628FB" w:rsidP="00AB6A92">
      <w:pPr>
        <w:rPr>
          <w:rFonts w:ascii="Calibri" w:hAnsi="Calibri"/>
          <w:b/>
        </w:rPr>
      </w:pPr>
    </w:p>
    <w:p w:rsidR="000628FB" w:rsidRDefault="000628FB" w:rsidP="00AB6A92">
      <w:pPr>
        <w:rPr>
          <w:rFonts w:ascii="Calibri" w:hAnsi="Calibri"/>
          <w:b/>
        </w:rPr>
      </w:pPr>
    </w:p>
    <w:p w:rsidR="000628FB" w:rsidRDefault="000628FB" w:rsidP="00AB6A92">
      <w:pPr>
        <w:rPr>
          <w:rFonts w:ascii="Calibri" w:hAnsi="Calibri"/>
          <w:b/>
        </w:rPr>
      </w:pPr>
    </w:p>
    <w:p w:rsidR="000628FB" w:rsidRDefault="000628FB" w:rsidP="00AB6A92">
      <w:pPr>
        <w:rPr>
          <w:rFonts w:ascii="Calibri" w:hAnsi="Calibri"/>
          <w:b/>
        </w:rPr>
      </w:pPr>
    </w:p>
    <w:p w:rsidR="000628FB" w:rsidRDefault="000628FB" w:rsidP="00AB6A92">
      <w:pPr>
        <w:rPr>
          <w:rFonts w:ascii="Calibri" w:hAnsi="Calibri"/>
          <w:b/>
        </w:rPr>
      </w:pPr>
    </w:p>
    <w:p w:rsidR="000628FB" w:rsidRDefault="000628FB" w:rsidP="00AB6A92">
      <w:pPr>
        <w:rPr>
          <w:rFonts w:ascii="Calibri" w:hAnsi="Calibri"/>
          <w:b/>
        </w:rPr>
      </w:pPr>
    </w:p>
    <w:p w:rsidR="000628FB" w:rsidRDefault="000628FB" w:rsidP="00AB6A92">
      <w:pPr>
        <w:rPr>
          <w:rFonts w:ascii="Calibri" w:hAnsi="Calibri"/>
          <w:b/>
        </w:rPr>
      </w:pPr>
    </w:p>
    <w:p w:rsidR="000628FB" w:rsidRDefault="000628FB" w:rsidP="00AB6A92">
      <w:pPr>
        <w:rPr>
          <w:rFonts w:ascii="Calibri" w:hAnsi="Calibri"/>
          <w:b/>
        </w:rPr>
      </w:pPr>
    </w:p>
    <w:p w:rsidR="000628FB" w:rsidRDefault="000628FB" w:rsidP="00AB6A92">
      <w:pPr>
        <w:rPr>
          <w:rFonts w:ascii="Calibri" w:hAnsi="Calibri"/>
          <w:b/>
        </w:rPr>
      </w:pPr>
    </w:p>
    <w:p w:rsidR="000628FB" w:rsidRDefault="000628FB" w:rsidP="00AB6A92">
      <w:pPr>
        <w:rPr>
          <w:rFonts w:ascii="Calibri" w:hAnsi="Calibri"/>
          <w:b/>
        </w:rPr>
      </w:pPr>
    </w:p>
    <w:p w:rsidR="000628FB" w:rsidRDefault="000628FB" w:rsidP="00AB6A92">
      <w:pPr>
        <w:rPr>
          <w:rFonts w:ascii="Calibri" w:hAnsi="Calibri"/>
          <w:b/>
        </w:rPr>
      </w:pPr>
    </w:p>
    <w:p w:rsidR="000628FB" w:rsidRDefault="000628FB" w:rsidP="00AB6A92">
      <w:pPr>
        <w:rPr>
          <w:rFonts w:ascii="Calibri" w:hAnsi="Calibri"/>
          <w:b/>
        </w:rPr>
      </w:pPr>
    </w:p>
    <w:p w:rsidR="000628FB" w:rsidRDefault="000628FB" w:rsidP="00AB6A92">
      <w:pPr>
        <w:rPr>
          <w:rFonts w:ascii="Calibri" w:hAnsi="Calibri"/>
          <w:b/>
        </w:rPr>
      </w:pPr>
    </w:p>
    <w:p w:rsidR="000628FB" w:rsidRDefault="000628FB" w:rsidP="00AB6A92">
      <w:pPr>
        <w:rPr>
          <w:rFonts w:ascii="Calibri" w:hAnsi="Calibri"/>
          <w:b/>
        </w:rPr>
      </w:pPr>
    </w:p>
    <w:p w:rsidR="000628FB" w:rsidRDefault="000628FB" w:rsidP="00AB6A92">
      <w:pPr>
        <w:rPr>
          <w:rFonts w:ascii="Calibri" w:hAnsi="Calibri"/>
          <w:b/>
        </w:rPr>
      </w:pPr>
    </w:p>
    <w:p w:rsidR="000628FB" w:rsidRDefault="000628FB" w:rsidP="00AB6A92">
      <w:pPr>
        <w:rPr>
          <w:rFonts w:ascii="Calibri" w:hAnsi="Calibri"/>
          <w:b/>
        </w:rPr>
      </w:pPr>
    </w:p>
    <w:p w:rsidR="000628FB" w:rsidRDefault="000628FB" w:rsidP="00AB6A92">
      <w:pPr>
        <w:rPr>
          <w:rFonts w:ascii="Calibri" w:hAnsi="Calibri"/>
          <w:b/>
        </w:rPr>
      </w:pPr>
    </w:p>
    <w:p w:rsidR="000628FB" w:rsidRDefault="000628FB" w:rsidP="00AB6A92">
      <w:pPr>
        <w:rPr>
          <w:rFonts w:ascii="Calibri" w:hAnsi="Calibri"/>
          <w:b/>
        </w:rPr>
      </w:pPr>
    </w:p>
    <w:p w:rsidR="000628FB" w:rsidRDefault="000628FB" w:rsidP="00AB6A92">
      <w:pPr>
        <w:rPr>
          <w:rFonts w:ascii="Calibri" w:hAnsi="Calibri"/>
          <w:b/>
        </w:rPr>
      </w:pPr>
    </w:p>
    <w:p w:rsidR="000628FB" w:rsidRDefault="000628FB" w:rsidP="00AB6A92">
      <w:pPr>
        <w:rPr>
          <w:rFonts w:ascii="Calibri" w:hAnsi="Calibri"/>
          <w:b/>
        </w:rPr>
      </w:pPr>
    </w:p>
    <w:p w:rsidR="000628FB" w:rsidRDefault="000628FB" w:rsidP="00AB6A92">
      <w:pPr>
        <w:rPr>
          <w:rFonts w:ascii="Calibri" w:hAnsi="Calibri"/>
          <w:b/>
        </w:rPr>
      </w:pPr>
    </w:p>
    <w:p w:rsidR="000628FB" w:rsidRDefault="000628FB" w:rsidP="00AB6A92">
      <w:pPr>
        <w:rPr>
          <w:rFonts w:ascii="Calibri" w:hAnsi="Calibri"/>
          <w:b/>
        </w:rPr>
      </w:pPr>
    </w:p>
    <w:p w:rsidR="000628FB" w:rsidRDefault="000628FB" w:rsidP="00AB6A92">
      <w:pPr>
        <w:rPr>
          <w:rFonts w:ascii="Calibri" w:hAnsi="Calibri"/>
          <w:b/>
        </w:rPr>
      </w:pPr>
    </w:p>
    <w:p w:rsidR="00D01561" w:rsidRDefault="00D01561" w:rsidP="00AB6A92">
      <w:pPr>
        <w:rPr>
          <w:rFonts w:ascii="Calibri" w:hAnsi="Calibri"/>
          <w:b/>
        </w:rPr>
      </w:pPr>
    </w:p>
    <w:p w:rsidR="00190CF5" w:rsidRDefault="00190CF5" w:rsidP="00AB6A92">
      <w:pPr>
        <w:rPr>
          <w:rFonts w:ascii="Calibri" w:hAnsi="Calibri"/>
          <w:b/>
        </w:rPr>
      </w:pPr>
    </w:p>
    <w:p w:rsidR="00190CF5" w:rsidRDefault="00190CF5" w:rsidP="00AB6A92">
      <w:pPr>
        <w:rPr>
          <w:rFonts w:ascii="Calibri" w:hAnsi="Calibri"/>
          <w:b/>
        </w:rPr>
      </w:pPr>
    </w:p>
    <w:p w:rsidR="00190CF5" w:rsidRDefault="00190CF5" w:rsidP="00AB6A92">
      <w:pPr>
        <w:rPr>
          <w:rFonts w:ascii="Calibri" w:hAnsi="Calibri"/>
          <w:b/>
        </w:rPr>
      </w:pPr>
    </w:p>
    <w:p w:rsidR="00190CF5" w:rsidRDefault="00190CF5" w:rsidP="00AB6A92">
      <w:pPr>
        <w:rPr>
          <w:rFonts w:ascii="Calibri" w:hAnsi="Calibri"/>
          <w:b/>
        </w:rPr>
      </w:pPr>
    </w:p>
    <w:p w:rsidR="00AB6A92" w:rsidRPr="00A547A4" w:rsidRDefault="00AB6A92" w:rsidP="00AB6A92">
      <w:pPr>
        <w:rPr>
          <w:rFonts w:ascii="Calibri" w:hAnsi="Calibri"/>
          <w:b/>
        </w:rPr>
      </w:pPr>
      <w:r w:rsidRPr="00A547A4">
        <w:rPr>
          <w:rFonts w:ascii="Calibri" w:hAnsi="Calibri"/>
          <w:b/>
        </w:rPr>
        <w:lastRenderedPageBreak/>
        <w:t>1. WSTĘP</w:t>
      </w:r>
      <w:bookmarkEnd w:id="476"/>
      <w:bookmarkEnd w:id="477"/>
      <w:bookmarkEnd w:id="478"/>
      <w:bookmarkEnd w:id="479"/>
      <w:bookmarkEnd w:id="480"/>
      <w:bookmarkEnd w:id="481"/>
      <w:bookmarkEnd w:id="482"/>
      <w:bookmarkEnd w:id="483"/>
    </w:p>
    <w:p w:rsidR="00AB6A92" w:rsidRPr="00A547A4" w:rsidRDefault="00AB6A92" w:rsidP="00AB6A92">
      <w:pPr>
        <w:rPr>
          <w:rFonts w:ascii="Calibri" w:hAnsi="Calibri"/>
        </w:rPr>
      </w:pPr>
      <w:bookmarkStart w:id="484" w:name="_Toc407161214"/>
      <w:r w:rsidRPr="00A547A4">
        <w:rPr>
          <w:rFonts w:ascii="Calibri" w:hAnsi="Calibri"/>
          <w:b/>
        </w:rPr>
        <w:t>1.1.</w:t>
      </w:r>
      <w:r w:rsidRPr="00A547A4">
        <w:rPr>
          <w:rFonts w:ascii="Calibri" w:hAnsi="Calibri"/>
        </w:rPr>
        <w:t xml:space="preserve"> Przedmiot ST</w:t>
      </w:r>
      <w:bookmarkEnd w:id="484"/>
    </w:p>
    <w:p w:rsidR="00AB6A92" w:rsidRPr="00A547A4" w:rsidRDefault="00AB6A92" w:rsidP="00AB6A92">
      <w:pPr>
        <w:rPr>
          <w:rFonts w:ascii="Calibri" w:hAnsi="Calibri"/>
        </w:rPr>
      </w:pPr>
      <w:r w:rsidRPr="00A547A4">
        <w:rPr>
          <w:rFonts w:ascii="Calibri" w:hAnsi="Calibri"/>
        </w:rPr>
        <w:tab/>
        <w:t>Przedmiotem niniejszej specyfikacji technicznej (ST) są wymagania dotyczące wykonania i odbioru wykopów w gruntach nieskalistych</w:t>
      </w:r>
    </w:p>
    <w:p w:rsidR="00AB6A92" w:rsidRPr="00A547A4" w:rsidRDefault="00AB6A92" w:rsidP="00AB6A92">
      <w:pPr>
        <w:rPr>
          <w:rFonts w:ascii="Calibri" w:hAnsi="Calibri"/>
        </w:rPr>
      </w:pPr>
      <w:bookmarkStart w:id="485" w:name="_Toc407161215"/>
      <w:r w:rsidRPr="00A547A4">
        <w:rPr>
          <w:rFonts w:ascii="Calibri" w:hAnsi="Calibri"/>
          <w:b/>
        </w:rPr>
        <w:t>1.2.</w:t>
      </w:r>
      <w:r w:rsidRPr="00A547A4">
        <w:rPr>
          <w:rFonts w:ascii="Calibri" w:hAnsi="Calibri"/>
        </w:rPr>
        <w:t xml:space="preserve"> Zakres stosowania ST</w:t>
      </w:r>
      <w:bookmarkEnd w:id="485"/>
    </w:p>
    <w:p w:rsidR="00AB6A92" w:rsidRPr="00A547A4" w:rsidRDefault="00AB6A92" w:rsidP="00AB6A92">
      <w:pPr>
        <w:rPr>
          <w:rFonts w:ascii="Calibri" w:hAnsi="Calibri" w:cs="Calibri"/>
        </w:rPr>
      </w:pPr>
      <w:r w:rsidRPr="00A547A4">
        <w:rPr>
          <w:rFonts w:ascii="Calibri" w:hAnsi="Calibri"/>
        </w:rPr>
        <w:tab/>
      </w:r>
      <w:bookmarkStart w:id="486" w:name="_Toc407161216"/>
      <w:r w:rsidRPr="00A547A4">
        <w:rPr>
          <w:rFonts w:ascii="Calibri" w:hAnsi="Calibri" w:cs="Calibri"/>
        </w:rPr>
        <w:t>Specyfikacja techniczna określa wymagania dla wykonania i odbioru robót budowlanych przewidzianych do wykonania w ramach umowy a zawarte w niej zapisy w zakresie standardu materiałów, wykonania robót i wymaganej ich jakości oraz kontroli jakości robót należy traktować jako minimalne.</w:t>
      </w:r>
    </w:p>
    <w:p w:rsidR="00AB6A92" w:rsidRPr="00A547A4" w:rsidRDefault="00AB6A92" w:rsidP="00AB6A92">
      <w:pPr>
        <w:rPr>
          <w:rFonts w:ascii="Calibri" w:hAnsi="Calibri"/>
        </w:rPr>
      </w:pPr>
      <w:r w:rsidRPr="00A547A4">
        <w:rPr>
          <w:rFonts w:ascii="Calibri" w:hAnsi="Calibri"/>
          <w:b/>
        </w:rPr>
        <w:t>1.3.</w:t>
      </w:r>
      <w:r w:rsidRPr="00A547A4">
        <w:rPr>
          <w:rFonts w:ascii="Calibri" w:hAnsi="Calibri"/>
        </w:rPr>
        <w:t xml:space="preserve"> Zakres robót objętych ST</w:t>
      </w:r>
      <w:bookmarkEnd w:id="486"/>
    </w:p>
    <w:p w:rsidR="00AB6A92" w:rsidRPr="00A547A4" w:rsidRDefault="00AB6A92" w:rsidP="00AB6A92">
      <w:pPr>
        <w:rPr>
          <w:rFonts w:ascii="Calibri" w:hAnsi="Calibri"/>
        </w:rPr>
      </w:pPr>
      <w:r w:rsidRPr="00A547A4">
        <w:rPr>
          <w:rFonts w:ascii="Calibri" w:hAnsi="Calibri"/>
        </w:rPr>
        <w:tab/>
        <w:t>Ustalenia zawarte w niniejszej specyfikacji dotyczą zasad prowadzenia robót ziemnych w czasie budowy lub modernizacji dróg</w:t>
      </w:r>
      <w:r w:rsidR="00190CF5">
        <w:rPr>
          <w:rFonts w:ascii="Calibri" w:hAnsi="Calibri"/>
        </w:rPr>
        <w:t xml:space="preserve"> </w:t>
      </w:r>
      <w:r w:rsidR="003843CA" w:rsidRPr="00666F76">
        <w:rPr>
          <w:rFonts w:ascii="Calibri" w:hAnsi="Calibri" w:cs="Calibri"/>
        </w:rPr>
        <w:t>w związku z „</w:t>
      </w:r>
      <w:r w:rsidR="003843CA" w:rsidRPr="00666F76">
        <w:rPr>
          <w:rFonts w:asciiTheme="minorHAnsi" w:hAnsiTheme="minorHAnsi"/>
        </w:rPr>
        <w:t>Przebudową ul.55 Pułku Piechoty w Lesznie wraz z przebudową oświetlenia”</w:t>
      </w:r>
      <w:r w:rsidR="003843CA">
        <w:rPr>
          <w:rFonts w:asciiTheme="minorHAnsi" w:hAnsiTheme="minorHAnsi" w:cs="Calibri"/>
        </w:rPr>
        <w:t xml:space="preserve"> </w:t>
      </w:r>
      <w:r w:rsidRPr="00A547A4">
        <w:rPr>
          <w:rFonts w:ascii="Calibri" w:hAnsi="Calibri"/>
        </w:rPr>
        <w:t>i obejmują wykonanie wykopów w gruntach nieskalistych.</w:t>
      </w:r>
    </w:p>
    <w:p w:rsidR="00AB6A92" w:rsidRPr="00A547A4" w:rsidRDefault="00AB6A92" w:rsidP="00AB6A92">
      <w:pPr>
        <w:rPr>
          <w:rFonts w:ascii="Calibri" w:hAnsi="Calibri"/>
        </w:rPr>
      </w:pPr>
      <w:bookmarkStart w:id="487" w:name="_Toc407161217"/>
      <w:r w:rsidRPr="00A547A4">
        <w:rPr>
          <w:rFonts w:ascii="Calibri" w:hAnsi="Calibri"/>
          <w:b/>
        </w:rPr>
        <w:t>1.4.</w:t>
      </w:r>
      <w:r w:rsidRPr="00A547A4">
        <w:rPr>
          <w:rFonts w:ascii="Calibri" w:hAnsi="Calibri"/>
        </w:rPr>
        <w:t xml:space="preserve"> Określenia podstawowe</w:t>
      </w:r>
      <w:bookmarkEnd w:id="487"/>
    </w:p>
    <w:p w:rsidR="00AB6A92" w:rsidRPr="00A547A4" w:rsidRDefault="00AB6A92" w:rsidP="00AB6A92">
      <w:pPr>
        <w:rPr>
          <w:rFonts w:ascii="Calibri" w:hAnsi="Calibri"/>
        </w:rPr>
      </w:pPr>
      <w:r w:rsidRPr="00A547A4">
        <w:rPr>
          <w:rFonts w:ascii="Calibri" w:hAnsi="Calibri"/>
        </w:rPr>
        <w:tab/>
        <w:t>Podstawowe określenia zostały podane w ST D-02.00.01 pkt 1.4.</w:t>
      </w:r>
    </w:p>
    <w:p w:rsidR="00AB6A92" w:rsidRPr="00A547A4" w:rsidRDefault="00AB6A92" w:rsidP="00AB6A92">
      <w:pPr>
        <w:rPr>
          <w:rFonts w:ascii="Calibri" w:hAnsi="Calibri"/>
        </w:rPr>
      </w:pPr>
      <w:bookmarkStart w:id="488" w:name="_Toc407161218"/>
      <w:r w:rsidRPr="00A547A4">
        <w:rPr>
          <w:rFonts w:ascii="Calibri" w:hAnsi="Calibri"/>
          <w:b/>
        </w:rPr>
        <w:t>1.5.</w:t>
      </w:r>
      <w:r w:rsidRPr="00A547A4">
        <w:rPr>
          <w:rFonts w:ascii="Calibri" w:hAnsi="Calibri"/>
        </w:rPr>
        <w:t xml:space="preserve"> Ogólne wymagania dotyczące robót</w:t>
      </w:r>
      <w:bookmarkEnd w:id="488"/>
    </w:p>
    <w:p w:rsidR="00AB6A92" w:rsidRPr="00A547A4" w:rsidRDefault="00AB6A92" w:rsidP="00AB6A92">
      <w:pPr>
        <w:rPr>
          <w:rFonts w:ascii="Calibri" w:hAnsi="Calibri"/>
        </w:rPr>
      </w:pPr>
      <w:r w:rsidRPr="00A547A4">
        <w:rPr>
          <w:rFonts w:ascii="Calibri" w:hAnsi="Calibri"/>
        </w:rPr>
        <w:tab/>
        <w:t>Ogólne wymagania dotyczące robót podano w ST D-02.00.01 pkt 1.5.</w:t>
      </w:r>
    </w:p>
    <w:p w:rsidR="00AB6A92" w:rsidRPr="00A547A4" w:rsidRDefault="00AB6A92" w:rsidP="00AB6A92">
      <w:pPr>
        <w:rPr>
          <w:rFonts w:ascii="Calibri" w:hAnsi="Calibri"/>
        </w:rPr>
      </w:pPr>
    </w:p>
    <w:p w:rsidR="00AB6A92" w:rsidRPr="00A547A4" w:rsidRDefault="00AB6A92" w:rsidP="00AB6A92">
      <w:pPr>
        <w:rPr>
          <w:rFonts w:ascii="Calibri" w:hAnsi="Calibri"/>
          <w:b/>
        </w:rPr>
      </w:pPr>
      <w:bookmarkStart w:id="489" w:name="_Toc407161219"/>
      <w:bookmarkStart w:id="490" w:name="_Toc418994926"/>
      <w:bookmarkStart w:id="491" w:name="_Toc418996333"/>
      <w:bookmarkStart w:id="492" w:name="_Toc418996702"/>
      <w:bookmarkStart w:id="493" w:name="_Toc418997089"/>
      <w:bookmarkStart w:id="494" w:name="_Toc418998499"/>
      <w:bookmarkStart w:id="495" w:name="_Toc418998855"/>
      <w:bookmarkStart w:id="496" w:name="_Toc419000100"/>
      <w:r w:rsidRPr="00A547A4">
        <w:rPr>
          <w:rFonts w:ascii="Calibri" w:hAnsi="Calibri"/>
          <w:b/>
        </w:rPr>
        <w:t>2. MATERIAŁY (grunty)</w:t>
      </w:r>
      <w:bookmarkEnd w:id="489"/>
      <w:bookmarkEnd w:id="490"/>
      <w:bookmarkEnd w:id="491"/>
      <w:bookmarkEnd w:id="492"/>
      <w:bookmarkEnd w:id="493"/>
      <w:bookmarkEnd w:id="494"/>
      <w:bookmarkEnd w:id="495"/>
      <w:bookmarkEnd w:id="496"/>
    </w:p>
    <w:p w:rsidR="00AB6A92" w:rsidRPr="00A547A4" w:rsidRDefault="00AB6A92" w:rsidP="00AB6A92">
      <w:pPr>
        <w:rPr>
          <w:rFonts w:ascii="Calibri" w:hAnsi="Calibri"/>
        </w:rPr>
      </w:pPr>
      <w:r w:rsidRPr="00A547A4">
        <w:rPr>
          <w:rFonts w:ascii="Calibri" w:hAnsi="Calibri"/>
        </w:rPr>
        <w:tab/>
        <w:t>Materiał występujący w podłożu wykopu jest gruntem rodzimym, który będzie stanowił podłoże nawierzchni. Zgodnie z Katalogiem typowych konstrukcji nawierzchni podatnych i półsztywnych [12] powinien charakteryzować się grupą nośności G1. Gdy podłoże nawierzchni zaklasyfikowano do innej grupy nośności, należy podłoże doprowadzić do grupy nośności G1 zgodnie z dokumentacja projektową.</w:t>
      </w:r>
    </w:p>
    <w:p w:rsidR="00AB6A92" w:rsidRPr="00A547A4" w:rsidRDefault="00AB6A92" w:rsidP="00AB6A92">
      <w:pPr>
        <w:rPr>
          <w:rFonts w:ascii="Calibri" w:hAnsi="Calibri"/>
        </w:rPr>
      </w:pPr>
    </w:p>
    <w:p w:rsidR="00AB6A92" w:rsidRPr="00A547A4" w:rsidRDefault="00AB6A92" w:rsidP="00AB6A92">
      <w:pPr>
        <w:rPr>
          <w:rFonts w:ascii="Calibri" w:hAnsi="Calibri"/>
          <w:b/>
        </w:rPr>
      </w:pPr>
      <w:bookmarkStart w:id="497" w:name="_Toc407161220"/>
      <w:bookmarkStart w:id="498" w:name="_Toc418994927"/>
      <w:bookmarkStart w:id="499" w:name="_Toc418996334"/>
      <w:bookmarkStart w:id="500" w:name="_Toc418996703"/>
      <w:bookmarkStart w:id="501" w:name="_Toc418997090"/>
      <w:bookmarkStart w:id="502" w:name="_Toc418998500"/>
      <w:bookmarkStart w:id="503" w:name="_Toc418998856"/>
      <w:bookmarkStart w:id="504" w:name="_Toc419000101"/>
      <w:r w:rsidRPr="00A547A4">
        <w:rPr>
          <w:rFonts w:ascii="Calibri" w:hAnsi="Calibri"/>
          <w:b/>
        </w:rPr>
        <w:t xml:space="preserve">3. </w:t>
      </w:r>
      <w:bookmarkEnd w:id="497"/>
      <w:bookmarkEnd w:id="498"/>
      <w:bookmarkEnd w:id="499"/>
      <w:bookmarkEnd w:id="500"/>
      <w:bookmarkEnd w:id="501"/>
      <w:bookmarkEnd w:id="502"/>
      <w:bookmarkEnd w:id="503"/>
      <w:bookmarkEnd w:id="504"/>
      <w:r w:rsidRPr="00A547A4">
        <w:rPr>
          <w:rFonts w:ascii="Calibri" w:hAnsi="Calibri"/>
          <w:b/>
        </w:rPr>
        <w:t>SPRZĘT</w:t>
      </w:r>
    </w:p>
    <w:p w:rsidR="00AB6A92" w:rsidRPr="00A547A4" w:rsidRDefault="00AB6A92" w:rsidP="00AB6A92">
      <w:pPr>
        <w:rPr>
          <w:rFonts w:ascii="Calibri" w:hAnsi="Calibri"/>
        </w:rPr>
      </w:pPr>
      <w:r w:rsidRPr="00A547A4">
        <w:rPr>
          <w:rFonts w:ascii="Calibri" w:hAnsi="Calibri"/>
        </w:rPr>
        <w:tab/>
        <w:t>Ogólne wymagania i ustalenia dotyczące sprzętu określono w ST  D-02.00.01 pkt 3.</w:t>
      </w:r>
    </w:p>
    <w:p w:rsidR="00AB6A92" w:rsidRPr="00A547A4" w:rsidRDefault="00AB6A92" w:rsidP="00AB6A92">
      <w:pPr>
        <w:rPr>
          <w:rFonts w:ascii="Calibri" w:hAnsi="Calibri"/>
        </w:rPr>
      </w:pPr>
    </w:p>
    <w:p w:rsidR="00AB6A92" w:rsidRPr="00A547A4" w:rsidRDefault="00AB6A92" w:rsidP="00AB6A92">
      <w:pPr>
        <w:rPr>
          <w:rFonts w:ascii="Calibri" w:hAnsi="Calibri"/>
          <w:b/>
        </w:rPr>
      </w:pPr>
      <w:bookmarkStart w:id="505" w:name="_Toc407161221"/>
      <w:bookmarkStart w:id="506" w:name="_Toc418994928"/>
      <w:bookmarkStart w:id="507" w:name="_Toc418996335"/>
      <w:bookmarkStart w:id="508" w:name="_Toc418996704"/>
      <w:bookmarkStart w:id="509" w:name="_Toc418997091"/>
      <w:bookmarkStart w:id="510" w:name="_Toc418998501"/>
      <w:bookmarkStart w:id="511" w:name="_Toc418998857"/>
      <w:bookmarkStart w:id="512" w:name="_Toc419000102"/>
      <w:r w:rsidRPr="00A547A4">
        <w:rPr>
          <w:rFonts w:ascii="Calibri" w:hAnsi="Calibri"/>
          <w:b/>
        </w:rPr>
        <w:t xml:space="preserve">4. </w:t>
      </w:r>
      <w:bookmarkEnd w:id="505"/>
      <w:bookmarkEnd w:id="506"/>
      <w:bookmarkEnd w:id="507"/>
      <w:bookmarkEnd w:id="508"/>
      <w:bookmarkEnd w:id="509"/>
      <w:bookmarkEnd w:id="510"/>
      <w:bookmarkEnd w:id="511"/>
      <w:bookmarkEnd w:id="512"/>
      <w:r w:rsidRPr="00A547A4">
        <w:rPr>
          <w:rFonts w:ascii="Calibri" w:hAnsi="Calibri"/>
          <w:b/>
        </w:rPr>
        <w:t>TRANSPORT</w:t>
      </w:r>
    </w:p>
    <w:p w:rsidR="00AB6A92" w:rsidRDefault="00AB6A92" w:rsidP="00AB6A92">
      <w:pPr>
        <w:rPr>
          <w:rFonts w:ascii="Calibri" w:hAnsi="Calibri"/>
        </w:rPr>
      </w:pPr>
      <w:r w:rsidRPr="00B67CD4">
        <w:rPr>
          <w:rFonts w:ascii="Calibri" w:hAnsi="Calibri"/>
        </w:rPr>
        <w:tab/>
        <w:t>Ogólne wymagania i ustalenia do</w:t>
      </w:r>
      <w:r>
        <w:rPr>
          <w:rFonts w:ascii="Calibri" w:hAnsi="Calibri"/>
        </w:rPr>
        <w:t xml:space="preserve">tyczące transportu określono w </w:t>
      </w:r>
      <w:r w:rsidRPr="00B67CD4">
        <w:rPr>
          <w:rFonts w:ascii="Calibri" w:hAnsi="Calibri"/>
        </w:rPr>
        <w:t>ST D-02.00.01 pkt 4.</w:t>
      </w:r>
    </w:p>
    <w:p w:rsidR="00AB6A92" w:rsidRPr="00B67CD4" w:rsidRDefault="00AB6A92" w:rsidP="00AB6A92">
      <w:pPr>
        <w:rPr>
          <w:rFonts w:ascii="Calibri" w:hAnsi="Calibri"/>
        </w:rPr>
      </w:pPr>
    </w:p>
    <w:p w:rsidR="00AB6A92" w:rsidRPr="00FE5554" w:rsidRDefault="00AB6A92" w:rsidP="00AB6A92">
      <w:pPr>
        <w:rPr>
          <w:rFonts w:ascii="Calibri" w:hAnsi="Calibri"/>
          <w:b/>
        </w:rPr>
      </w:pPr>
      <w:bookmarkStart w:id="513" w:name="_Toc407161222"/>
      <w:bookmarkStart w:id="514" w:name="_Toc418994929"/>
      <w:bookmarkStart w:id="515" w:name="_Toc418996336"/>
      <w:bookmarkStart w:id="516" w:name="_Toc418996705"/>
      <w:bookmarkStart w:id="517" w:name="_Toc418997092"/>
      <w:bookmarkStart w:id="518" w:name="_Toc418998502"/>
      <w:bookmarkStart w:id="519" w:name="_Toc418998858"/>
      <w:bookmarkStart w:id="520" w:name="_Toc419000103"/>
      <w:r w:rsidRPr="00FE5554">
        <w:rPr>
          <w:rFonts w:ascii="Calibri" w:hAnsi="Calibri"/>
          <w:b/>
        </w:rPr>
        <w:t xml:space="preserve">5. </w:t>
      </w:r>
      <w:bookmarkEnd w:id="513"/>
      <w:bookmarkEnd w:id="514"/>
      <w:bookmarkEnd w:id="515"/>
      <w:bookmarkEnd w:id="516"/>
      <w:bookmarkEnd w:id="517"/>
      <w:bookmarkEnd w:id="518"/>
      <w:bookmarkEnd w:id="519"/>
      <w:bookmarkEnd w:id="520"/>
      <w:r w:rsidRPr="00FE5554">
        <w:rPr>
          <w:rFonts w:ascii="Calibri" w:hAnsi="Calibri"/>
          <w:b/>
        </w:rPr>
        <w:t>WYKONANIE ROBÓT</w:t>
      </w:r>
    </w:p>
    <w:p w:rsidR="00AB6A92" w:rsidRPr="00B67CD4" w:rsidRDefault="00AB6A92" w:rsidP="00AB6A92">
      <w:pPr>
        <w:rPr>
          <w:rFonts w:ascii="Calibri" w:hAnsi="Calibri"/>
        </w:rPr>
      </w:pPr>
      <w:bookmarkStart w:id="521" w:name="_Toc407161223"/>
      <w:r w:rsidRPr="00FE5554">
        <w:rPr>
          <w:rFonts w:ascii="Calibri" w:hAnsi="Calibri"/>
          <w:b/>
        </w:rPr>
        <w:t>5.1.</w:t>
      </w:r>
      <w:r w:rsidRPr="00B67CD4">
        <w:rPr>
          <w:rFonts w:ascii="Calibri" w:hAnsi="Calibri"/>
        </w:rPr>
        <w:t xml:space="preserve"> Zasady prowadzenia robót</w:t>
      </w:r>
      <w:bookmarkEnd w:id="521"/>
    </w:p>
    <w:p w:rsidR="00AB6A92" w:rsidRPr="00B67CD4" w:rsidRDefault="00AB6A92" w:rsidP="00AB6A92">
      <w:pPr>
        <w:rPr>
          <w:rFonts w:ascii="Calibri" w:hAnsi="Calibri"/>
        </w:rPr>
      </w:pPr>
      <w:r w:rsidRPr="00B67CD4">
        <w:rPr>
          <w:rFonts w:ascii="Calibri" w:hAnsi="Calibri"/>
        </w:rPr>
        <w:tab/>
        <w:t>Ogólne zas</w:t>
      </w:r>
      <w:r>
        <w:rPr>
          <w:rFonts w:ascii="Calibri" w:hAnsi="Calibri"/>
        </w:rPr>
        <w:t xml:space="preserve">ady prowadzenia robót podano w </w:t>
      </w:r>
      <w:r w:rsidRPr="00B67CD4">
        <w:rPr>
          <w:rFonts w:ascii="Calibri" w:hAnsi="Calibri"/>
        </w:rPr>
        <w:t>ST D-02.00.01 pkt 5.</w:t>
      </w:r>
    </w:p>
    <w:p w:rsidR="00AB6A92" w:rsidRPr="00B67CD4" w:rsidRDefault="00AB6A92" w:rsidP="00AB6A92">
      <w:pPr>
        <w:rPr>
          <w:rFonts w:ascii="Calibri" w:hAnsi="Calibri"/>
        </w:rPr>
      </w:pPr>
      <w:r w:rsidRPr="00B67CD4">
        <w:rPr>
          <w:rFonts w:ascii="Calibri" w:hAnsi="Calibri"/>
        </w:rPr>
        <w:tab/>
        <w:t>Sposób wykonania skarp wykopu powinien gwarantować ich stateczność w całym okresie prowadzenia robót, a naprawa uszkodzeń, wynikających z nieprawidłowego ukształtowania skarp wykopu, ich podcięcia lub innych odstępstw od dokumentacji projektowej obciąża Wykonawcę.</w:t>
      </w:r>
    </w:p>
    <w:p w:rsidR="00AB6A92" w:rsidRPr="00B67CD4" w:rsidRDefault="00AB6A92" w:rsidP="00AB6A92">
      <w:pPr>
        <w:rPr>
          <w:rFonts w:ascii="Calibri" w:hAnsi="Calibri"/>
        </w:rPr>
      </w:pPr>
      <w:r w:rsidRPr="00B67CD4">
        <w:rPr>
          <w:rFonts w:ascii="Calibri" w:hAnsi="Calibri"/>
        </w:rPr>
        <w:tab/>
        <w:t>Wykonawca powinien wykonywać wykopy w taki sposób, aby grunty o różnym stopniu przydatności do budowy nasypów były odspajane oddzielnie, w sposób uniemożliwiający ich wymieszanie. Odstępstwo od powyższego wymagania, uzasadnione skomplikowanym układem warstw geotechnicznych, wymaga zgody Inżyniera.</w:t>
      </w:r>
    </w:p>
    <w:p w:rsidR="00AB6A92" w:rsidRPr="00B67CD4" w:rsidRDefault="00AB6A92" w:rsidP="00AB6A92">
      <w:pPr>
        <w:rPr>
          <w:rFonts w:ascii="Calibri" w:hAnsi="Calibri"/>
        </w:rPr>
      </w:pPr>
      <w:r w:rsidRPr="00B67CD4">
        <w:rPr>
          <w:rFonts w:ascii="Calibri" w:hAnsi="Calibri"/>
        </w:rPr>
        <w:tab/>
        <w:t>Odspojone grunty przydatne do wykonania nasypów powinny być bezpośrednio wbudowane w nasyp lub przewiezione na odkład. O ile Inżynier dopuści czasowe składowanie odspojonych  gruntów, należy je odpowiednio zabezpieczyć przed nadmiernym zawilgoceniem.</w:t>
      </w:r>
    </w:p>
    <w:p w:rsidR="00AB6A92" w:rsidRPr="00B67CD4" w:rsidRDefault="00AB6A92" w:rsidP="00AB6A92">
      <w:pPr>
        <w:rPr>
          <w:rFonts w:ascii="Calibri" w:hAnsi="Calibri"/>
        </w:rPr>
      </w:pPr>
      <w:bookmarkStart w:id="522" w:name="_Toc407161224"/>
      <w:r w:rsidRPr="007476F0">
        <w:rPr>
          <w:rFonts w:ascii="Calibri" w:hAnsi="Calibri"/>
          <w:b/>
        </w:rPr>
        <w:t>5.2.</w:t>
      </w:r>
      <w:r w:rsidRPr="00B67CD4">
        <w:rPr>
          <w:rFonts w:ascii="Calibri" w:hAnsi="Calibri"/>
        </w:rPr>
        <w:t xml:space="preserve"> Wymagania dotyczące zagęszczenia</w:t>
      </w:r>
      <w:bookmarkEnd w:id="522"/>
      <w:r w:rsidRPr="00B67CD4">
        <w:rPr>
          <w:rFonts w:ascii="Calibri" w:hAnsi="Calibri"/>
        </w:rPr>
        <w:t xml:space="preserve"> i nośności gruntu</w:t>
      </w:r>
    </w:p>
    <w:p w:rsidR="00AB6A92" w:rsidRDefault="00AB6A92" w:rsidP="00AB6A92">
      <w:pPr>
        <w:rPr>
          <w:rFonts w:ascii="Calibri" w:hAnsi="Calibri"/>
        </w:rPr>
      </w:pPr>
      <w:r w:rsidRPr="00B67CD4">
        <w:rPr>
          <w:rFonts w:ascii="Calibri" w:hAnsi="Calibri"/>
        </w:rPr>
        <w:tab/>
        <w:t>Zagęszczenie gruntu w wykopach i miejscach zerowych robót ziemnych powinno spełniać wymagania, dotyczące minimalnej wartości wskaźnika zagęszczenia (Is), podanego w tablicy 1.</w:t>
      </w:r>
    </w:p>
    <w:p w:rsidR="00190CF5" w:rsidRDefault="00190CF5" w:rsidP="000628FB">
      <w:pPr>
        <w:ind w:left="709"/>
        <w:rPr>
          <w:rFonts w:ascii="Calibri" w:hAnsi="Calibri"/>
        </w:rPr>
      </w:pPr>
    </w:p>
    <w:p w:rsidR="00AB6A92" w:rsidRPr="00B67CD4" w:rsidRDefault="00AB6A92" w:rsidP="000628FB">
      <w:pPr>
        <w:ind w:left="709"/>
        <w:rPr>
          <w:rFonts w:ascii="Calibri" w:hAnsi="Calibri"/>
        </w:rPr>
      </w:pPr>
      <w:r w:rsidRPr="00B67CD4">
        <w:rPr>
          <w:rFonts w:ascii="Calibri" w:hAnsi="Calibri"/>
        </w:rPr>
        <w:t>Tablica 1. Minimalne wartości wskaźnika zagęszczenia w wykopach i miejscach zerowych robót ziemnych</w:t>
      </w:r>
    </w:p>
    <w:tbl>
      <w:tblPr>
        <w:tblW w:w="7510" w:type="dxa"/>
        <w:tblInd w:w="779" w:type="dxa"/>
        <w:tblLayout w:type="fixed"/>
        <w:tblCellMar>
          <w:left w:w="70" w:type="dxa"/>
          <w:right w:w="70" w:type="dxa"/>
        </w:tblCellMar>
        <w:tblLook w:val="0000"/>
      </w:tblPr>
      <w:tblGrid>
        <w:gridCol w:w="2905"/>
        <w:gridCol w:w="1603"/>
        <w:gridCol w:w="1501"/>
        <w:gridCol w:w="1501"/>
      </w:tblGrid>
      <w:tr w:rsidR="00AB6A92" w:rsidRPr="0071153E" w:rsidTr="000628FB">
        <w:tc>
          <w:tcPr>
            <w:tcW w:w="2905" w:type="dxa"/>
            <w:tcBorders>
              <w:top w:val="single" w:sz="6" w:space="0" w:color="auto"/>
              <w:left w:val="single" w:sz="6" w:space="0" w:color="auto"/>
            </w:tcBorders>
          </w:tcPr>
          <w:p w:rsidR="00AB6A92" w:rsidRPr="0071153E" w:rsidRDefault="00AB6A92" w:rsidP="00AB6A92">
            <w:pPr>
              <w:rPr>
                <w:rFonts w:ascii="Calibri" w:hAnsi="Calibri"/>
                <w:sz w:val="18"/>
                <w:szCs w:val="18"/>
              </w:rPr>
            </w:pPr>
          </w:p>
        </w:tc>
        <w:tc>
          <w:tcPr>
            <w:tcW w:w="4605" w:type="dxa"/>
            <w:gridSpan w:val="3"/>
            <w:tcBorders>
              <w:top w:val="single" w:sz="6" w:space="0" w:color="auto"/>
              <w:left w:val="single" w:sz="6" w:space="0" w:color="auto"/>
              <w:right w:val="single" w:sz="6" w:space="0" w:color="auto"/>
            </w:tcBorders>
          </w:tcPr>
          <w:p w:rsidR="00AB6A92" w:rsidRPr="0071153E" w:rsidRDefault="00AB6A92" w:rsidP="00AB6A92">
            <w:pPr>
              <w:spacing w:before="120"/>
              <w:jc w:val="center"/>
              <w:rPr>
                <w:rFonts w:ascii="Calibri" w:hAnsi="Calibri"/>
                <w:sz w:val="18"/>
                <w:szCs w:val="18"/>
              </w:rPr>
            </w:pPr>
            <w:r w:rsidRPr="0071153E">
              <w:rPr>
                <w:rFonts w:ascii="Calibri" w:hAnsi="Calibri"/>
                <w:sz w:val="18"/>
                <w:szCs w:val="18"/>
              </w:rPr>
              <w:t>Minimalna wartość I</w:t>
            </w:r>
            <w:r w:rsidRPr="0071153E">
              <w:rPr>
                <w:rFonts w:ascii="Calibri" w:hAnsi="Calibri"/>
                <w:sz w:val="18"/>
                <w:szCs w:val="18"/>
                <w:vertAlign w:val="subscript"/>
              </w:rPr>
              <w:t>s</w:t>
            </w:r>
            <w:r w:rsidRPr="0071153E">
              <w:rPr>
                <w:rFonts w:ascii="Calibri" w:hAnsi="Calibri"/>
                <w:sz w:val="18"/>
                <w:szCs w:val="18"/>
              </w:rPr>
              <w:t xml:space="preserve"> dla:</w:t>
            </w:r>
          </w:p>
        </w:tc>
      </w:tr>
      <w:tr w:rsidR="00AB6A92" w:rsidRPr="0071153E" w:rsidTr="000628FB">
        <w:tc>
          <w:tcPr>
            <w:tcW w:w="2905" w:type="dxa"/>
            <w:tcBorders>
              <w:left w:val="single" w:sz="6" w:space="0" w:color="auto"/>
            </w:tcBorders>
          </w:tcPr>
          <w:p w:rsidR="00AB6A92" w:rsidRPr="0071153E" w:rsidRDefault="00AB6A92" w:rsidP="00AB6A92">
            <w:pPr>
              <w:jc w:val="center"/>
              <w:rPr>
                <w:rFonts w:ascii="Calibri" w:hAnsi="Calibri"/>
                <w:sz w:val="18"/>
                <w:szCs w:val="18"/>
              </w:rPr>
            </w:pPr>
            <w:r w:rsidRPr="0071153E">
              <w:rPr>
                <w:rFonts w:ascii="Calibri" w:hAnsi="Calibri"/>
                <w:sz w:val="18"/>
                <w:szCs w:val="18"/>
              </w:rPr>
              <w:t>Strefa</w:t>
            </w:r>
          </w:p>
        </w:tc>
        <w:tc>
          <w:tcPr>
            <w:tcW w:w="1603" w:type="dxa"/>
            <w:tcBorders>
              <w:top w:val="single" w:sz="6" w:space="0" w:color="auto"/>
              <w:left w:val="single" w:sz="6" w:space="0" w:color="auto"/>
            </w:tcBorders>
          </w:tcPr>
          <w:p w:rsidR="00AB6A92" w:rsidRPr="0071153E" w:rsidRDefault="00AB6A92" w:rsidP="00AB6A92">
            <w:pPr>
              <w:jc w:val="center"/>
              <w:rPr>
                <w:rFonts w:ascii="Calibri" w:hAnsi="Calibri"/>
                <w:sz w:val="18"/>
                <w:szCs w:val="18"/>
              </w:rPr>
            </w:pPr>
            <w:r w:rsidRPr="0071153E">
              <w:rPr>
                <w:rFonts w:ascii="Calibri" w:hAnsi="Calibri"/>
                <w:sz w:val="18"/>
                <w:szCs w:val="18"/>
              </w:rPr>
              <w:t>autostrad</w:t>
            </w:r>
          </w:p>
        </w:tc>
        <w:tc>
          <w:tcPr>
            <w:tcW w:w="3002" w:type="dxa"/>
            <w:gridSpan w:val="2"/>
            <w:tcBorders>
              <w:top w:val="single" w:sz="6" w:space="0" w:color="auto"/>
              <w:left w:val="single" w:sz="6" w:space="0" w:color="auto"/>
              <w:bottom w:val="single" w:sz="6" w:space="0" w:color="auto"/>
              <w:right w:val="single" w:sz="6" w:space="0" w:color="auto"/>
            </w:tcBorders>
          </w:tcPr>
          <w:p w:rsidR="00AB6A92" w:rsidRPr="0071153E" w:rsidRDefault="00AB6A92" w:rsidP="00AB6A92">
            <w:pPr>
              <w:jc w:val="center"/>
              <w:rPr>
                <w:rFonts w:ascii="Calibri" w:hAnsi="Calibri"/>
                <w:sz w:val="18"/>
                <w:szCs w:val="18"/>
              </w:rPr>
            </w:pPr>
            <w:r w:rsidRPr="0071153E">
              <w:rPr>
                <w:rFonts w:ascii="Calibri" w:hAnsi="Calibri"/>
                <w:sz w:val="18"/>
                <w:szCs w:val="18"/>
              </w:rPr>
              <w:t>innych dróg</w:t>
            </w:r>
          </w:p>
        </w:tc>
      </w:tr>
      <w:tr w:rsidR="00AB6A92" w:rsidRPr="0071153E" w:rsidTr="000628FB">
        <w:tc>
          <w:tcPr>
            <w:tcW w:w="2905" w:type="dxa"/>
            <w:tcBorders>
              <w:left w:val="single" w:sz="6" w:space="0" w:color="auto"/>
              <w:bottom w:val="double" w:sz="6" w:space="0" w:color="auto"/>
            </w:tcBorders>
          </w:tcPr>
          <w:p w:rsidR="00AB6A92" w:rsidRPr="0071153E" w:rsidRDefault="00AB6A92" w:rsidP="00AB6A92">
            <w:pPr>
              <w:jc w:val="center"/>
              <w:rPr>
                <w:rFonts w:ascii="Calibri" w:hAnsi="Calibri"/>
                <w:sz w:val="18"/>
                <w:szCs w:val="18"/>
              </w:rPr>
            </w:pPr>
            <w:r w:rsidRPr="0071153E">
              <w:rPr>
                <w:rFonts w:ascii="Calibri" w:hAnsi="Calibri"/>
                <w:sz w:val="18"/>
                <w:szCs w:val="18"/>
              </w:rPr>
              <w:t>korpusu</w:t>
            </w:r>
          </w:p>
        </w:tc>
        <w:tc>
          <w:tcPr>
            <w:tcW w:w="1603" w:type="dxa"/>
            <w:tcBorders>
              <w:left w:val="single" w:sz="6" w:space="0" w:color="auto"/>
              <w:bottom w:val="double" w:sz="6" w:space="0" w:color="auto"/>
            </w:tcBorders>
          </w:tcPr>
          <w:p w:rsidR="00AB6A92" w:rsidRPr="0071153E" w:rsidRDefault="00AB6A92" w:rsidP="00AB6A92">
            <w:pPr>
              <w:jc w:val="center"/>
              <w:rPr>
                <w:rFonts w:ascii="Calibri" w:hAnsi="Calibri"/>
                <w:sz w:val="18"/>
                <w:szCs w:val="18"/>
              </w:rPr>
            </w:pPr>
            <w:r w:rsidRPr="0071153E">
              <w:rPr>
                <w:rFonts w:ascii="Calibri" w:hAnsi="Calibri"/>
                <w:sz w:val="18"/>
                <w:szCs w:val="18"/>
              </w:rPr>
              <w:t>i dróg</w:t>
            </w:r>
          </w:p>
          <w:p w:rsidR="00AB6A92" w:rsidRPr="0071153E" w:rsidRDefault="00AB6A92" w:rsidP="00AB6A92">
            <w:pPr>
              <w:spacing w:after="60"/>
              <w:jc w:val="center"/>
              <w:rPr>
                <w:rFonts w:ascii="Calibri" w:hAnsi="Calibri"/>
                <w:sz w:val="18"/>
                <w:szCs w:val="18"/>
              </w:rPr>
            </w:pPr>
            <w:r w:rsidRPr="0071153E">
              <w:rPr>
                <w:rFonts w:ascii="Calibri" w:hAnsi="Calibri"/>
                <w:sz w:val="18"/>
                <w:szCs w:val="18"/>
              </w:rPr>
              <w:t>ekspresowych</w:t>
            </w:r>
          </w:p>
        </w:tc>
        <w:tc>
          <w:tcPr>
            <w:tcW w:w="1501" w:type="dxa"/>
            <w:tcBorders>
              <w:top w:val="single" w:sz="6" w:space="0" w:color="auto"/>
              <w:left w:val="single" w:sz="6" w:space="0" w:color="auto"/>
              <w:bottom w:val="double" w:sz="6" w:space="0" w:color="auto"/>
              <w:right w:val="single" w:sz="6" w:space="0" w:color="auto"/>
            </w:tcBorders>
          </w:tcPr>
          <w:p w:rsidR="00AB6A92" w:rsidRPr="0071153E" w:rsidRDefault="00AB6A92" w:rsidP="00AB6A92">
            <w:pPr>
              <w:jc w:val="center"/>
              <w:rPr>
                <w:rFonts w:ascii="Calibri" w:hAnsi="Calibri"/>
                <w:sz w:val="18"/>
                <w:szCs w:val="18"/>
              </w:rPr>
            </w:pPr>
            <w:r w:rsidRPr="0071153E">
              <w:rPr>
                <w:rFonts w:ascii="Calibri" w:hAnsi="Calibri"/>
                <w:sz w:val="18"/>
                <w:szCs w:val="18"/>
              </w:rPr>
              <w:t>kategoria ruchu KR3-KR6</w:t>
            </w:r>
          </w:p>
        </w:tc>
        <w:tc>
          <w:tcPr>
            <w:tcW w:w="1501" w:type="dxa"/>
            <w:tcBorders>
              <w:top w:val="single" w:sz="6" w:space="0" w:color="auto"/>
              <w:left w:val="single" w:sz="6" w:space="0" w:color="auto"/>
              <w:bottom w:val="double" w:sz="6" w:space="0" w:color="auto"/>
              <w:right w:val="single" w:sz="6" w:space="0" w:color="auto"/>
            </w:tcBorders>
          </w:tcPr>
          <w:p w:rsidR="00AB6A92" w:rsidRPr="0071153E" w:rsidRDefault="00AB6A92" w:rsidP="00AB6A92">
            <w:pPr>
              <w:jc w:val="center"/>
              <w:rPr>
                <w:rFonts w:ascii="Calibri" w:hAnsi="Calibri"/>
                <w:sz w:val="18"/>
                <w:szCs w:val="18"/>
              </w:rPr>
            </w:pPr>
            <w:r w:rsidRPr="0071153E">
              <w:rPr>
                <w:rFonts w:ascii="Calibri" w:hAnsi="Calibri"/>
                <w:sz w:val="18"/>
                <w:szCs w:val="18"/>
              </w:rPr>
              <w:t>kategoria ruchu KR1-KR2</w:t>
            </w:r>
          </w:p>
        </w:tc>
      </w:tr>
      <w:tr w:rsidR="00AB6A92" w:rsidRPr="0071153E" w:rsidTr="000628FB">
        <w:tc>
          <w:tcPr>
            <w:tcW w:w="2905" w:type="dxa"/>
            <w:tcBorders>
              <w:left w:val="single" w:sz="6" w:space="0" w:color="auto"/>
              <w:bottom w:val="single" w:sz="6" w:space="0" w:color="auto"/>
              <w:right w:val="single" w:sz="6" w:space="0" w:color="auto"/>
            </w:tcBorders>
          </w:tcPr>
          <w:p w:rsidR="00AB6A92" w:rsidRPr="0071153E" w:rsidRDefault="00AB6A92" w:rsidP="00AB6A92">
            <w:pPr>
              <w:spacing w:before="120" w:after="120"/>
              <w:rPr>
                <w:rFonts w:ascii="Calibri" w:hAnsi="Calibri"/>
                <w:sz w:val="18"/>
                <w:szCs w:val="18"/>
              </w:rPr>
            </w:pPr>
            <w:r w:rsidRPr="0071153E">
              <w:rPr>
                <w:rFonts w:ascii="Calibri" w:hAnsi="Calibri"/>
                <w:sz w:val="18"/>
                <w:szCs w:val="18"/>
              </w:rPr>
              <w:t>Górna warstwa o grubości 20 cm</w:t>
            </w:r>
          </w:p>
        </w:tc>
        <w:tc>
          <w:tcPr>
            <w:tcW w:w="1603" w:type="dxa"/>
            <w:tcBorders>
              <w:left w:val="single" w:sz="6" w:space="0" w:color="auto"/>
              <w:bottom w:val="single" w:sz="6" w:space="0" w:color="auto"/>
              <w:right w:val="single" w:sz="6" w:space="0" w:color="auto"/>
            </w:tcBorders>
          </w:tcPr>
          <w:p w:rsidR="00AB6A92" w:rsidRPr="0071153E" w:rsidRDefault="00AB6A92" w:rsidP="00AB6A92">
            <w:pPr>
              <w:spacing w:before="120" w:after="120"/>
              <w:jc w:val="center"/>
              <w:rPr>
                <w:rFonts w:ascii="Calibri" w:hAnsi="Calibri"/>
                <w:sz w:val="18"/>
                <w:szCs w:val="18"/>
              </w:rPr>
            </w:pPr>
            <w:r w:rsidRPr="0071153E">
              <w:rPr>
                <w:rFonts w:ascii="Calibri" w:hAnsi="Calibri"/>
                <w:sz w:val="18"/>
                <w:szCs w:val="18"/>
              </w:rPr>
              <w:t>1,03</w:t>
            </w:r>
          </w:p>
        </w:tc>
        <w:tc>
          <w:tcPr>
            <w:tcW w:w="1501" w:type="dxa"/>
            <w:tcBorders>
              <w:left w:val="single" w:sz="6" w:space="0" w:color="auto"/>
              <w:bottom w:val="single" w:sz="6" w:space="0" w:color="auto"/>
              <w:right w:val="single" w:sz="6" w:space="0" w:color="auto"/>
            </w:tcBorders>
          </w:tcPr>
          <w:p w:rsidR="00AB6A92" w:rsidRPr="0071153E" w:rsidRDefault="00AB6A92" w:rsidP="00AB6A92">
            <w:pPr>
              <w:spacing w:before="120" w:after="120"/>
              <w:jc w:val="center"/>
              <w:rPr>
                <w:rFonts w:ascii="Calibri" w:hAnsi="Calibri"/>
                <w:sz w:val="18"/>
                <w:szCs w:val="18"/>
              </w:rPr>
            </w:pPr>
            <w:r w:rsidRPr="0071153E">
              <w:rPr>
                <w:rFonts w:ascii="Calibri" w:hAnsi="Calibri"/>
                <w:sz w:val="18"/>
                <w:szCs w:val="18"/>
              </w:rPr>
              <w:t>1,00</w:t>
            </w:r>
          </w:p>
        </w:tc>
        <w:tc>
          <w:tcPr>
            <w:tcW w:w="1501" w:type="dxa"/>
            <w:tcBorders>
              <w:left w:val="single" w:sz="6" w:space="0" w:color="auto"/>
              <w:bottom w:val="single" w:sz="6" w:space="0" w:color="auto"/>
              <w:right w:val="single" w:sz="6" w:space="0" w:color="auto"/>
            </w:tcBorders>
          </w:tcPr>
          <w:p w:rsidR="00AB6A92" w:rsidRPr="0071153E" w:rsidRDefault="00AB6A92" w:rsidP="00AB6A92">
            <w:pPr>
              <w:spacing w:before="120" w:after="120"/>
              <w:jc w:val="center"/>
              <w:rPr>
                <w:rFonts w:ascii="Calibri" w:hAnsi="Calibri"/>
                <w:sz w:val="18"/>
                <w:szCs w:val="18"/>
              </w:rPr>
            </w:pPr>
            <w:r w:rsidRPr="0071153E">
              <w:rPr>
                <w:rFonts w:ascii="Calibri" w:hAnsi="Calibri"/>
                <w:sz w:val="18"/>
                <w:szCs w:val="18"/>
              </w:rPr>
              <w:t>1,00</w:t>
            </w:r>
          </w:p>
        </w:tc>
      </w:tr>
      <w:tr w:rsidR="00AB6A92" w:rsidRPr="0071153E" w:rsidTr="000628FB">
        <w:tc>
          <w:tcPr>
            <w:tcW w:w="2905" w:type="dxa"/>
            <w:tcBorders>
              <w:top w:val="single" w:sz="6" w:space="0" w:color="auto"/>
              <w:left w:val="single" w:sz="6" w:space="0" w:color="auto"/>
              <w:bottom w:val="single" w:sz="6" w:space="0" w:color="auto"/>
              <w:right w:val="single" w:sz="6" w:space="0" w:color="auto"/>
            </w:tcBorders>
          </w:tcPr>
          <w:p w:rsidR="00AB6A92" w:rsidRPr="0071153E" w:rsidRDefault="00AB6A92" w:rsidP="00AB6A92">
            <w:pPr>
              <w:spacing w:before="120" w:after="120"/>
              <w:rPr>
                <w:rFonts w:ascii="Calibri" w:hAnsi="Calibri"/>
                <w:sz w:val="18"/>
                <w:szCs w:val="18"/>
              </w:rPr>
            </w:pPr>
            <w:r w:rsidRPr="0071153E">
              <w:rPr>
                <w:rFonts w:ascii="Calibri" w:hAnsi="Calibri"/>
                <w:sz w:val="18"/>
                <w:szCs w:val="18"/>
              </w:rPr>
              <w:t>Na głębokości od 20 do 50 cm od powierzchni robót ziemnych</w:t>
            </w:r>
          </w:p>
        </w:tc>
        <w:tc>
          <w:tcPr>
            <w:tcW w:w="1603" w:type="dxa"/>
            <w:tcBorders>
              <w:top w:val="single" w:sz="6" w:space="0" w:color="auto"/>
              <w:left w:val="single" w:sz="6" w:space="0" w:color="auto"/>
              <w:bottom w:val="single" w:sz="6" w:space="0" w:color="auto"/>
              <w:right w:val="single" w:sz="6" w:space="0" w:color="auto"/>
            </w:tcBorders>
          </w:tcPr>
          <w:p w:rsidR="00AB6A92" w:rsidRPr="0071153E" w:rsidRDefault="00AB6A92" w:rsidP="00AB6A92">
            <w:pPr>
              <w:jc w:val="center"/>
              <w:rPr>
                <w:rFonts w:ascii="Calibri" w:hAnsi="Calibri"/>
                <w:sz w:val="18"/>
                <w:szCs w:val="18"/>
              </w:rPr>
            </w:pPr>
          </w:p>
          <w:p w:rsidR="00AB6A92" w:rsidRPr="0071153E" w:rsidRDefault="00AB6A92" w:rsidP="00AB6A92">
            <w:pPr>
              <w:jc w:val="center"/>
              <w:rPr>
                <w:rFonts w:ascii="Calibri" w:hAnsi="Calibri"/>
                <w:sz w:val="18"/>
                <w:szCs w:val="18"/>
              </w:rPr>
            </w:pPr>
            <w:r w:rsidRPr="0071153E">
              <w:rPr>
                <w:rFonts w:ascii="Calibri" w:hAnsi="Calibri"/>
                <w:sz w:val="18"/>
                <w:szCs w:val="18"/>
              </w:rPr>
              <w:t>1,00</w:t>
            </w:r>
          </w:p>
        </w:tc>
        <w:tc>
          <w:tcPr>
            <w:tcW w:w="1501" w:type="dxa"/>
            <w:tcBorders>
              <w:top w:val="single" w:sz="6" w:space="0" w:color="auto"/>
              <w:left w:val="single" w:sz="6" w:space="0" w:color="auto"/>
              <w:bottom w:val="single" w:sz="6" w:space="0" w:color="auto"/>
              <w:right w:val="single" w:sz="6" w:space="0" w:color="auto"/>
            </w:tcBorders>
          </w:tcPr>
          <w:p w:rsidR="00AB6A92" w:rsidRPr="0071153E" w:rsidRDefault="00AB6A92" w:rsidP="00AB6A92">
            <w:pPr>
              <w:jc w:val="center"/>
              <w:rPr>
                <w:rFonts w:ascii="Calibri" w:hAnsi="Calibri"/>
                <w:sz w:val="18"/>
                <w:szCs w:val="18"/>
              </w:rPr>
            </w:pPr>
          </w:p>
          <w:p w:rsidR="00AB6A92" w:rsidRPr="0071153E" w:rsidRDefault="00AB6A92" w:rsidP="00AB6A92">
            <w:pPr>
              <w:jc w:val="center"/>
              <w:rPr>
                <w:rFonts w:ascii="Calibri" w:hAnsi="Calibri"/>
                <w:sz w:val="18"/>
                <w:szCs w:val="18"/>
              </w:rPr>
            </w:pPr>
            <w:r w:rsidRPr="0071153E">
              <w:rPr>
                <w:rFonts w:ascii="Calibri" w:hAnsi="Calibri"/>
                <w:sz w:val="18"/>
                <w:szCs w:val="18"/>
              </w:rPr>
              <w:t>1,00</w:t>
            </w:r>
          </w:p>
        </w:tc>
        <w:tc>
          <w:tcPr>
            <w:tcW w:w="1501" w:type="dxa"/>
            <w:tcBorders>
              <w:top w:val="single" w:sz="6" w:space="0" w:color="auto"/>
              <w:left w:val="single" w:sz="6" w:space="0" w:color="auto"/>
              <w:bottom w:val="single" w:sz="6" w:space="0" w:color="auto"/>
              <w:right w:val="single" w:sz="6" w:space="0" w:color="auto"/>
            </w:tcBorders>
          </w:tcPr>
          <w:p w:rsidR="00AB6A92" w:rsidRPr="0071153E" w:rsidRDefault="00AB6A92" w:rsidP="00AB6A92">
            <w:pPr>
              <w:jc w:val="center"/>
              <w:rPr>
                <w:rFonts w:ascii="Calibri" w:hAnsi="Calibri"/>
                <w:sz w:val="18"/>
                <w:szCs w:val="18"/>
              </w:rPr>
            </w:pPr>
          </w:p>
          <w:p w:rsidR="00AB6A92" w:rsidRPr="0071153E" w:rsidRDefault="00AB6A92" w:rsidP="00AB6A92">
            <w:pPr>
              <w:jc w:val="center"/>
              <w:rPr>
                <w:rFonts w:ascii="Calibri" w:hAnsi="Calibri"/>
                <w:sz w:val="18"/>
                <w:szCs w:val="18"/>
              </w:rPr>
            </w:pPr>
            <w:r w:rsidRPr="0071153E">
              <w:rPr>
                <w:rFonts w:ascii="Calibri" w:hAnsi="Calibri"/>
                <w:sz w:val="18"/>
                <w:szCs w:val="18"/>
              </w:rPr>
              <w:t>0,97</w:t>
            </w:r>
          </w:p>
        </w:tc>
      </w:tr>
    </w:tbl>
    <w:p w:rsidR="00190CF5" w:rsidRDefault="00AB6A92" w:rsidP="00AB6A92">
      <w:r>
        <w:tab/>
      </w:r>
    </w:p>
    <w:p w:rsidR="00AB6A92" w:rsidRPr="00B67CD4" w:rsidRDefault="00190CF5" w:rsidP="00AB6A92">
      <w:pPr>
        <w:rPr>
          <w:rFonts w:ascii="Calibri" w:hAnsi="Calibri"/>
        </w:rPr>
      </w:pPr>
      <w:r>
        <w:lastRenderedPageBreak/>
        <w:tab/>
      </w:r>
      <w:r w:rsidR="00AB6A92" w:rsidRPr="00B67CD4">
        <w:rPr>
          <w:rFonts w:ascii="Calibri" w:hAnsi="Calibri"/>
        </w:rPr>
        <w:t>Jeżeli grunty rodzime w wykopach i miejscach zerowych nie spełniają wymaganego wskaźnika zagęszczenia, to przed ułożeniem konstrukcji nawierzchni należy je dogęścić do wartości Is, podanych w tablicy 1.</w:t>
      </w:r>
    </w:p>
    <w:p w:rsidR="00AB6A92" w:rsidRPr="00B67CD4" w:rsidRDefault="00AB6A92" w:rsidP="00AB6A92">
      <w:pPr>
        <w:rPr>
          <w:rFonts w:ascii="Calibri" w:hAnsi="Calibri"/>
        </w:rPr>
      </w:pPr>
      <w:r w:rsidRPr="00B67CD4">
        <w:rPr>
          <w:rFonts w:ascii="Calibri" w:hAnsi="Calibri"/>
        </w:rPr>
        <w:tab/>
        <w:t>Jeżeli wartości wskaźnika zagęszczenia określone w tablicy 1 nie mogą być osiągnięte przez bezpośrednie zagęszczanie gruntów rodzimych, to należy podjąć środki w celu ulepszenia gruntu podłoża, umożliwiającego uzyskanie wymaganych wartości wskaźnika zagęszczenia. Możliwe do zastosowania śr</w:t>
      </w:r>
      <w:r>
        <w:rPr>
          <w:rFonts w:ascii="Calibri" w:hAnsi="Calibri"/>
        </w:rPr>
        <w:t>odki</w:t>
      </w:r>
      <w:r w:rsidRPr="00B67CD4">
        <w:rPr>
          <w:rFonts w:ascii="Calibri" w:hAnsi="Calibri"/>
        </w:rPr>
        <w:t xml:space="preserve"> proponuje Wykonawca i przedstawia do akceptacji Inżynierowi.</w:t>
      </w:r>
    </w:p>
    <w:p w:rsidR="00AB6A92" w:rsidRPr="00B67CD4" w:rsidRDefault="00AB6A92" w:rsidP="00AB6A92">
      <w:pPr>
        <w:rPr>
          <w:rFonts w:ascii="Calibri" w:hAnsi="Calibri"/>
        </w:rPr>
      </w:pPr>
      <w:r w:rsidRPr="00B67CD4">
        <w:rPr>
          <w:rFonts w:ascii="Calibri" w:hAnsi="Calibri"/>
        </w:rPr>
        <w:tab/>
        <w:t>Dodatkowo można sprawdzić nośność warstwy gruntu na powierzchni robót ziemnych na podstawie pomiaru wtórnego modułu odkształcenia E2 zgodnie z PN-02205:1998 [4] rysunek 4.</w:t>
      </w:r>
    </w:p>
    <w:p w:rsidR="00AB6A92" w:rsidRPr="00B67CD4" w:rsidRDefault="00AB6A92" w:rsidP="00AB6A92">
      <w:pPr>
        <w:rPr>
          <w:rFonts w:ascii="Calibri" w:hAnsi="Calibri"/>
        </w:rPr>
      </w:pPr>
      <w:bookmarkStart w:id="523" w:name="_Toc407161225"/>
      <w:r w:rsidRPr="007476F0">
        <w:rPr>
          <w:rFonts w:ascii="Calibri" w:hAnsi="Calibri"/>
          <w:b/>
        </w:rPr>
        <w:t>5.3.</w:t>
      </w:r>
      <w:r w:rsidRPr="00B67CD4">
        <w:rPr>
          <w:rFonts w:ascii="Calibri" w:hAnsi="Calibri"/>
        </w:rPr>
        <w:t xml:space="preserve"> Ruch budowlany</w:t>
      </w:r>
      <w:bookmarkEnd w:id="523"/>
    </w:p>
    <w:p w:rsidR="00AB6A92" w:rsidRPr="00B67CD4" w:rsidRDefault="00AB6A92" w:rsidP="00AB6A92">
      <w:pPr>
        <w:rPr>
          <w:rFonts w:ascii="Calibri" w:hAnsi="Calibri"/>
        </w:rPr>
      </w:pPr>
      <w:r w:rsidRPr="00B67CD4">
        <w:rPr>
          <w:rFonts w:ascii="Calibri" w:hAnsi="Calibri"/>
        </w:rPr>
        <w:tab/>
        <w:t>Nie należy dopuszczać ruchu budowlanego po dnie wykopu o ile grubość warstwy gruntu (nadkładu) powyżej rzędnych robót ziemnych jest mniejsza niż 0,3 m.</w:t>
      </w:r>
    </w:p>
    <w:p w:rsidR="00AB6A92" w:rsidRPr="00B67CD4" w:rsidRDefault="00AB6A92" w:rsidP="00AB6A92">
      <w:pPr>
        <w:rPr>
          <w:rFonts w:ascii="Calibri" w:hAnsi="Calibri"/>
        </w:rPr>
      </w:pPr>
      <w:r w:rsidRPr="00B67CD4">
        <w:rPr>
          <w:rFonts w:ascii="Calibri" w:hAnsi="Calibri"/>
        </w:rPr>
        <w:tab/>
        <w:t>Z chwilą przystąpienia do ostatecznego profilowania dna wykopu dopuszcza się po nim jedynie ruch maszyn wykonujących tę czynność budowlaną. Może odbywać się jedynie sporadyczny ruch pojazdów, które nie spowodują uszkodzeń powierzchni korpusu.</w:t>
      </w:r>
    </w:p>
    <w:p w:rsidR="00AB6A92" w:rsidRDefault="00AB6A92" w:rsidP="00AB6A92">
      <w:pPr>
        <w:rPr>
          <w:rFonts w:ascii="Calibri" w:hAnsi="Calibri"/>
        </w:rPr>
      </w:pPr>
      <w:r w:rsidRPr="00B67CD4">
        <w:rPr>
          <w:rFonts w:ascii="Calibri" w:hAnsi="Calibri"/>
        </w:rPr>
        <w:tab/>
        <w:t>Naprawa uszkodzeń powierzchni robót ziemnych, wynikających z niedotrzymania podanych powyżej warunków obciąża Wykonawcę robót ziemnych.</w:t>
      </w:r>
    </w:p>
    <w:p w:rsidR="00AB6A92" w:rsidRPr="00B67CD4" w:rsidRDefault="00AB6A92" w:rsidP="00AB6A92">
      <w:pPr>
        <w:rPr>
          <w:rFonts w:ascii="Calibri" w:hAnsi="Calibri"/>
        </w:rPr>
      </w:pPr>
    </w:p>
    <w:p w:rsidR="00AB6A92" w:rsidRPr="007476F0" w:rsidRDefault="00AB6A92" w:rsidP="00AB6A92">
      <w:pPr>
        <w:rPr>
          <w:rFonts w:ascii="Calibri" w:hAnsi="Calibri"/>
          <w:b/>
        </w:rPr>
      </w:pPr>
      <w:bookmarkStart w:id="524" w:name="_Toc407161226"/>
      <w:bookmarkStart w:id="525" w:name="_Toc418994930"/>
      <w:bookmarkStart w:id="526" w:name="_Toc418996337"/>
      <w:bookmarkStart w:id="527" w:name="_Toc418996706"/>
      <w:bookmarkStart w:id="528" w:name="_Toc418997093"/>
      <w:bookmarkStart w:id="529" w:name="_Toc418998503"/>
      <w:bookmarkStart w:id="530" w:name="_Toc418998859"/>
      <w:bookmarkStart w:id="531" w:name="_Toc419000104"/>
      <w:r w:rsidRPr="007476F0">
        <w:rPr>
          <w:rFonts w:ascii="Calibri" w:hAnsi="Calibri"/>
          <w:b/>
        </w:rPr>
        <w:t xml:space="preserve">6. </w:t>
      </w:r>
      <w:bookmarkEnd w:id="524"/>
      <w:bookmarkEnd w:id="525"/>
      <w:bookmarkEnd w:id="526"/>
      <w:bookmarkEnd w:id="527"/>
      <w:bookmarkEnd w:id="528"/>
      <w:bookmarkEnd w:id="529"/>
      <w:bookmarkEnd w:id="530"/>
      <w:bookmarkEnd w:id="531"/>
      <w:r w:rsidRPr="007476F0">
        <w:rPr>
          <w:rFonts w:ascii="Calibri" w:hAnsi="Calibri"/>
          <w:b/>
        </w:rPr>
        <w:t>KONTROLA JAKOŚCI ROBÓT</w:t>
      </w:r>
    </w:p>
    <w:p w:rsidR="00AB6A92" w:rsidRPr="00B67CD4" w:rsidRDefault="00AB6A92" w:rsidP="00AB6A92">
      <w:pPr>
        <w:rPr>
          <w:rFonts w:ascii="Calibri" w:hAnsi="Calibri"/>
        </w:rPr>
      </w:pPr>
      <w:bookmarkStart w:id="532" w:name="_Toc407161227"/>
      <w:r w:rsidRPr="007476F0">
        <w:rPr>
          <w:rFonts w:ascii="Calibri" w:hAnsi="Calibri"/>
          <w:b/>
        </w:rPr>
        <w:t>6.1.</w:t>
      </w:r>
      <w:r w:rsidRPr="00B67CD4">
        <w:rPr>
          <w:rFonts w:ascii="Calibri" w:hAnsi="Calibri"/>
        </w:rPr>
        <w:t xml:space="preserve"> Ogólne zasady kontroli jakości robót</w:t>
      </w:r>
      <w:bookmarkEnd w:id="532"/>
    </w:p>
    <w:p w:rsidR="00AB6A92" w:rsidRPr="00B67CD4" w:rsidRDefault="00AB6A92" w:rsidP="00AB6A92">
      <w:pPr>
        <w:rPr>
          <w:rFonts w:ascii="Calibri" w:hAnsi="Calibri"/>
        </w:rPr>
      </w:pPr>
      <w:r w:rsidRPr="00B67CD4">
        <w:rPr>
          <w:rFonts w:ascii="Calibri" w:hAnsi="Calibri"/>
        </w:rPr>
        <w:tab/>
        <w:t>Ogólne zasady k</w:t>
      </w:r>
      <w:r>
        <w:rPr>
          <w:rFonts w:ascii="Calibri" w:hAnsi="Calibri"/>
        </w:rPr>
        <w:t xml:space="preserve">ontroli jakości robót podano w </w:t>
      </w:r>
      <w:r w:rsidRPr="00B67CD4">
        <w:rPr>
          <w:rFonts w:ascii="Calibri" w:hAnsi="Calibri"/>
        </w:rPr>
        <w:t>ST D-02.00.01 pkt 6.</w:t>
      </w:r>
    </w:p>
    <w:p w:rsidR="00AB6A92" w:rsidRPr="00B67CD4" w:rsidRDefault="00AB6A92" w:rsidP="00AB6A92">
      <w:pPr>
        <w:rPr>
          <w:rFonts w:ascii="Calibri" w:hAnsi="Calibri"/>
        </w:rPr>
      </w:pPr>
      <w:bookmarkStart w:id="533" w:name="_Toc407161228"/>
      <w:r w:rsidRPr="007476F0">
        <w:rPr>
          <w:rFonts w:ascii="Calibri" w:hAnsi="Calibri"/>
          <w:b/>
        </w:rPr>
        <w:t>6.2.</w:t>
      </w:r>
      <w:r w:rsidRPr="00B67CD4">
        <w:rPr>
          <w:rFonts w:ascii="Calibri" w:hAnsi="Calibri"/>
        </w:rPr>
        <w:t xml:space="preserve"> Kontrola wykonania wykopów</w:t>
      </w:r>
      <w:bookmarkEnd w:id="533"/>
    </w:p>
    <w:p w:rsidR="00AB6A92" w:rsidRPr="00B67CD4" w:rsidRDefault="00AB6A92" w:rsidP="00AB6A92">
      <w:pPr>
        <w:rPr>
          <w:rFonts w:ascii="Calibri" w:hAnsi="Calibri"/>
        </w:rPr>
      </w:pPr>
      <w:r w:rsidRPr="00B67CD4">
        <w:rPr>
          <w:rFonts w:ascii="Calibri" w:hAnsi="Calibri"/>
        </w:rPr>
        <w:tab/>
        <w:t>Kontrola wykonania wykopów polega na sprawdzeniu zgodności z wymaganiami określonym</w:t>
      </w:r>
      <w:r>
        <w:rPr>
          <w:rFonts w:ascii="Calibri" w:hAnsi="Calibri"/>
        </w:rPr>
        <w:t xml:space="preserve">i w dokumentacji projektowej i </w:t>
      </w:r>
      <w:r w:rsidRPr="00B67CD4">
        <w:rPr>
          <w:rFonts w:ascii="Calibri" w:hAnsi="Calibri"/>
        </w:rPr>
        <w:t>ST. W czasie kontroli szczególną uwagę należy zwrócić na:</w:t>
      </w:r>
    </w:p>
    <w:p w:rsidR="00AB6A92" w:rsidRPr="00B67CD4" w:rsidRDefault="00E86A6B" w:rsidP="00AB6A92">
      <w:pPr>
        <w:rPr>
          <w:rFonts w:ascii="Calibri" w:hAnsi="Calibri"/>
        </w:rPr>
      </w:pPr>
      <w:r>
        <w:rPr>
          <w:rFonts w:ascii="Calibri" w:hAnsi="Calibri"/>
        </w:rPr>
        <w:t>-</w:t>
      </w:r>
      <w:r w:rsidR="00AB6A92" w:rsidRPr="00B67CD4">
        <w:rPr>
          <w:rFonts w:ascii="Calibri" w:hAnsi="Calibri"/>
        </w:rPr>
        <w:t>sposób odspajania gruntów nie pogarszający ich właściwości,</w:t>
      </w:r>
    </w:p>
    <w:p w:rsidR="00AB6A92" w:rsidRPr="00B67CD4" w:rsidRDefault="00E86A6B" w:rsidP="00AB6A92">
      <w:pPr>
        <w:rPr>
          <w:rFonts w:ascii="Calibri" w:hAnsi="Calibri"/>
        </w:rPr>
      </w:pPr>
      <w:r>
        <w:rPr>
          <w:rFonts w:ascii="Calibri" w:hAnsi="Calibri"/>
        </w:rPr>
        <w:t>-</w:t>
      </w:r>
      <w:r w:rsidR="00AB6A92" w:rsidRPr="00B67CD4">
        <w:rPr>
          <w:rFonts w:ascii="Calibri" w:hAnsi="Calibri"/>
        </w:rPr>
        <w:t>zapewnienie stateczności skarp,</w:t>
      </w:r>
    </w:p>
    <w:p w:rsidR="00AB6A92" w:rsidRPr="00B67CD4" w:rsidRDefault="00E86A6B" w:rsidP="00AB6A92">
      <w:pPr>
        <w:rPr>
          <w:rFonts w:ascii="Calibri" w:hAnsi="Calibri"/>
        </w:rPr>
      </w:pPr>
      <w:r>
        <w:rPr>
          <w:rFonts w:ascii="Calibri" w:hAnsi="Calibri"/>
        </w:rPr>
        <w:t>-</w:t>
      </w:r>
      <w:r w:rsidR="00AB6A92" w:rsidRPr="00B67CD4">
        <w:rPr>
          <w:rFonts w:ascii="Calibri" w:hAnsi="Calibri"/>
        </w:rPr>
        <w:t>odwodnienie wykopów w czasie wykonywania robót i po ich zakończeniu,</w:t>
      </w:r>
    </w:p>
    <w:p w:rsidR="00AB6A92" w:rsidRPr="00B67CD4" w:rsidRDefault="00E86A6B" w:rsidP="00AB6A92">
      <w:pPr>
        <w:rPr>
          <w:rFonts w:ascii="Calibri" w:hAnsi="Calibri"/>
        </w:rPr>
      </w:pPr>
      <w:r>
        <w:rPr>
          <w:rFonts w:ascii="Calibri" w:hAnsi="Calibri"/>
        </w:rPr>
        <w:t>-</w:t>
      </w:r>
      <w:r w:rsidR="00AB6A92" w:rsidRPr="00B67CD4">
        <w:rPr>
          <w:rFonts w:ascii="Calibri" w:hAnsi="Calibri"/>
        </w:rPr>
        <w:t>dokładność wykonania wykopów (usytuowanie i wykończenie),</w:t>
      </w:r>
    </w:p>
    <w:p w:rsidR="00AB6A92" w:rsidRDefault="00E86A6B" w:rsidP="00AB6A92">
      <w:pPr>
        <w:rPr>
          <w:rFonts w:ascii="Calibri" w:hAnsi="Calibri"/>
        </w:rPr>
      </w:pPr>
      <w:r>
        <w:rPr>
          <w:rFonts w:ascii="Calibri" w:hAnsi="Calibri"/>
        </w:rPr>
        <w:t>-</w:t>
      </w:r>
      <w:r w:rsidR="00AB6A92" w:rsidRPr="00B67CD4">
        <w:rPr>
          <w:rFonts w:ascii="Calibri" w:hAnsi="Calibri"/>
        </w:rPr>
        <w:t>zagęszczenie górnej strefy korpusu w wykopie według wymagań określonych w pkcie 5.2.</w:t>
      </w:r>
    </w:p>
    <w:p w:rsidR="00AB6A92" w:rsidRPr="00B67CD4" w:rsidRDefault="00AB6A92" w:rsidP="00AB6A92">
      <w:pPr>
        <w:rPr>
          <w:rFonts w:ascii="Calibri" w:hAnsi="Calibri"/>
        </w:rPr>
      </w:pPr>
    </w:p>
    <w:p w:rsidR="00AB6A92" w:rsidRPr="007476F0" w:rsidRDefault="00AB6A92" w:rsidP="00AB6A92">
      <w:pPr>
        <w:rPr>
          <w:rFonts w:ascii="Calibri" w:hAnsi="Calibri"/>
          <w:b/>
        </w:rPr>
      </w:pPr>
      <w:bookmarkStart w:id="534" w:name="_Toc407161229"/>
      <w:bookmarkStart w:id="535" w:name="_Toc418994931"/>
      <w:bookmarkStart w:id="536" w:name="_Toc418996338"/>
      <w:bookmarkStart w:id="537" w:name="_Toc418996707"/>
      <w:bookmarkStart w:id="538" w:name="_Toc418997094"/>
      <w:bookmarkStart w:id="539" w:name="_Toc418998504"/>
      <w:bookmarkStart w:id="540" w:name="_Toc418998860"/>
      <w:bookmarkStart w:id="541" w:name="_Toc419000105"/>
      <w:r w:rsidRPr="007476F0">
        <w:rPr>
          <w:rFonts w:ascii="Calibri" w:hAnsi="Calibri"/>
          <w:b/>
        </w:rPr>
        <w:t xml:space="preserve">7. </w:t>
      </w:r>
      <w:bookmarkEnd w:id="534"/>
      <w:bookmarkEnd w:id="535"/>
      <w:bookmarkEnd w:id="536"/>
      <w:bookmarkEnd w:id="537"/>
      <w:bookmarkEnd w:id="538"/>
      <w:bookmarkEnd w:id="539"/>
      <w:bookmarkEnd w:id="540"/>
      <w:bookmarkEnd w:id="541"/>
      <w:r w:rsidRPr="007476F0">
        <w:rPr>
          <w:rFonts w:ascii="Calibri" w:hAnsi="Calibri"/>
          <w:b/>
        </w:rPr>
        <w:t>OBMIAR ROBÓT</w:t>
      </w:r>
    </w:p>
    <w:p w:rsidR="00AB6A92" w:rsidRPr="00B67CD4" w:rsidRDefault="00AB6A92" w:rsidP="00AB6A92">
      <w:pPr>
        <w:rPr>
          <w:rFonts w:ascii="Calibri" w:hAnsi="Calibri"/>
        </w:rPr>
      </w:pPr>
      <w:bookmarkStart w:id="542" w:name="_Toc407161230"/>
      <w:r w:rsidRPr="008F7DFA">
        <w:rPr>
          <w:rFonts w:ascii="Calibri" w:hAnsi="Calibri"/>
          <w:b/>
        </w:rPr>
        <w:t>7.1.</w:t>
      </w:r>
      <w:r w:rsidRPr="00B67CD4">
        <w:rPr>
          <w:rFonts w:ascii="Calibri" w:hAnsi="Calibri"/>
        </w:rPr>
        <w:t xml:space="preserve"> Ogólne zasady obmiaru robót</w:t>
      </w:r>
      <w:bookmarkEnd w:id="542"/>
    </w:p>
    <w:p w:rsidR="00AB6A92" w:rsidRPr="00B67CD4" w:rsidRDefault="00AB6A92" w:rsidP="00AB6A92">
      <w:pPr>
        <w:rPr>
          <w:rFonts w:ascii="Calibri" w:hAnsi="Calibri"/>
        </w:rPr>
      </w:pPr>
      <w:r w:rsidRPr="00B67CD4">
        <w:rPr>
          <w:rFonts w:ascii="Calibri" w:hAnsi="Calibri"/>
        </w:rPr>
        <w:tab/>
        <w:t>Ogólne</w:t>
      </w:r>
      <w:r>
        <w:rPr>
          <w:rFonts w:ascii="Calibri" w:hAnsi="Calibri"/>
        </w:rPr>
        <w:t xml:space="preserve"> zasady obmiaru robót podano w </w:t>
      </w:r>
      <w:r w:rsidRPr="00B67CD4">
        <w:rPr>
          <w:rFonts w:ascii="Calibri" w:hAnsi="Calibri"/>
        </w:rPr>
        <w:t>ST D-02.00.01 pkt 7.</w:t>
      </w:r>
    </w:p>
    <w:p w:rsidR="00AB6A92" w:rsidRPr="00B67CD4" w:rsidRDefault="00AB6A92" w:rsidP="00AB6A92">
      <w:pPr>
        <w:rPr>
          <w:rFonts w:ascii="Calibri" w:hAnsi="Calibri"/>
        </w:rPr>
      </w:pPr>
      <w:bookmarkStart w:id="543" w:name="_Toc407161231"/>
      <w:r w:rsidRPr="008F7DFA">
        <w:rPr>
          <w:rFonts w:ascii="Calibri" w:hAnsi="Calibri"/>
          <w:b/>
        </w:rPr>
        <w:t>7.2.</w:t>
      </w:r>
      <w:r w:rsidRPr="00B67CD4">
        <w:rPr>
          <w:rFonts w:ascii="Calibri" w:hAnsi="Calibri"/>
        </w:rPr>
        <w:t xml:space="preserve"> Jednostka obmiarowa</w:t>
      </w:r>
      <w:bookmarkEnd w:id="543"/>
    </w:p>
    <w:p w:rsidR="00AB6A92" w:rsidRDefault="00AB6A92" w:rsidP="00AB6A92">
      <w:pPr>
        <w:rPr>
          <w:rFonts w:ascii="Calibri" w:hAnsi="Calibri"/>
        </w:rPr>
      </w:pPr>
      <w:r w:rsidRPr="00B67CD4">
        <w:rPr>
          <w:rFonts w:ascii="Calibri" w:hAnsi="Calibri"/>
        </w:rPr>
        <w:tab/>
        <w:t>Jednostką obmiarową jest m3 (metr sześcienny) wykonanego wykopu.</w:t>
      </w:r>
    </w:p>
    <w:p w:rsidR="00AB6A92" w:rsidRPr="00B67CD4" w:rsidRDefault="00AB6A92" w:rsidP="00AB6A92">
      <w:pPr>
        <w:rPr>
          <w:rFonts w:ascii="Calibri" w:hAnsi="Calibri"/>
        </w:rPr>
      </w:pPr>
    </w:p>
    <w:p w:rsidR="00AB6A92" w:rsidRPr="008F7DFA" w:rsidRDefault="00AB6A92" w:rsidP="00AB6A92">
      <w:pPr>
        <w:rPr>
          <w:rFonts w:ascii="Calibri" w:hAnsi="Calibri"/>
          <w:b/>
        </w:rPr>
      </w:pPr>
      <w:bookmarkStart w:id="544" w:name="_Toc407161232"/>
      <w:bookmarkStart w:id="545" w:name="_Toc418994932"/>
      <w:bookmarkStart w:id="546" w:name="_Toc418996339"/>
      <w:bookmarkStart w:id="547" w:name="_Toc418996708"/>
      <w:bookmarkStart w:id="548" w:name="_Toc418997095"/>
      <w:bookmarkStart w:id="549" w:name="_Toc418998505"/>
      <w:bookmarkStart w:id="550" w:name="_Toc418998861"/>
      <w:bookmarkStart w:id="551" w:name="_Toc419000106"/>
      <w:r w:rsidRPr="008F7DFA">
        <w:rPr>
          <w:rFonts w:ascii="Calibri" w:hAnsi="Calibri"/>
          <w:b/>
        </w:rPr>
        <w:t xml:space="preserve">8. </w:t>
      </w:r>
      <w:bookmarkEnd w:id="544"/>
      <w:bookmarkEnd w:id="545"/>
      <w:bookmarkEnd w:id="546"/>
      <w:bookmarkEnd w:id="547"/>
      <w:bookmarkEnd w:id="548"/>
      <w:bookmarkEnd w:id="549"/>
      <w:bookmarkEnd w:id="550"/>
      <w:bookmarkEnd w:id="551"/>
      <w:r w:rsidRPr="008F7DFA">
        <w:rPr>
          <w:rFonts w:ascii="Calibri" w:hAnsi="Calibri"/>
          <w:b/>
        </w:rPr>
        <w:t>ODBIÓR ROBÓT</w:t>
      </w:r>
    </w:p>
    <w:p w:rsidR="00AB6A92" w:rsidRDefault="00AB6A92" w:rsidP="00AB6A92">
      <w:pPr>
        <w:rPr>
          <w:rFonts w:ascii="Calibri" w:hAnsi="Calibri"/>
        </w:rPr>
      </w:pPr>
      <w:r w:rsidRPr="00B67CD4">
        <w:rPr>
          <w:rFonts w:ascii="Calibri" w:hAnsi="Calibri"/>
        </w:rPr>
        <w:tab/>
        <w:t>Ogólne</w:t>
      </w:r>
      <w:r>
        <w:rPr>
          <w:rFonts w:ascii="Calibri" w:hAnsi="Calibri"/>
        </w:rPr>
        <w:t xml:space="preserve"> zasady odbioru robót podano w </w:t>
      </w:r>
      <w:r w:rsidRPr="00B67CD4">
        <w:rPr>
          <w:rFonts w:ascii="Calibri" w:hAnsi="Calibri"/>
        </w:rPr>
        <w:t>ST D-02.00.01 pkt 8.</w:t>
      </w:r>
    </w:p>
    <w:p w:rsidR="00AB6A92" w:rsidRPr="00B67CD4" w:rsidRDefault="00AB6A92" w:rsidP="00AB6A92">
      <w:pPr>
        <w:rPr>
          <w:rFonts w:ascii="Calibri" w:hAnsi="Calibri"/>
        </w:rPr>
      </w:pPr>
    </w:p>
    <w:p w:rsidR="00AB6A92" w:rsidRPr="008F7DFA" w:rsidRDefault="00AB6A92" w:rsidP="00AB6A92">
      <w:pPr>
        <w:rPr>
          <w:rFonts w:ascii="Calibri" w:hAnsi="Calibri"/>
          <w:b/>
        </w:rPr>
      </w:pPr>
      <w:bookmarkStart w:id="552" w:name="_Toc407161233"/>
      <w:bookmarkStart w:id="553" w:name="_Toc418994933"/>
      <w:bookmarkStart w:id="554" w:name="_Toc418996340"/>
      <w:bookmarkStart w:id="555" w:name="_Toc418996709"/>
      <w:bookmarkStart w:id="556" w:name="_Toc418997096"/>
      <w:bookmarkStart w:id="557" w:name="_Toc418998506"/>
      <w:bookmarkStart w:id="558" w:name="_Toc418998862"/>
      <w:bookmarkStart w:id="559" w:name="_Toc419000107"/>
      <w:r w:rsidRPr="008F7DFA">
        <w:rPr>
          <w:rFonts w:ascii="Calibri" w:hAnsi="Calibri"/>
          <w:b/>
        </w:rPr>
        <w:t xml:space="preserve">9. </w:t>
      </w:r>
      <w:bookmarkEnd w:id="552"/>
      <w:bookmarkEnd w:id="553"/>
      <w:bookmarkEnd w:id="554"/>
      <w:bookmarkEnd w:id="555"/>
      <w:bookmarkEnd w:id="556"/>
      <w:bookmarkEnd w:id="557"/>
      <w:bookmarkEnd w:id="558"/>
      <w:bookmarkEnd w:id="559"/>
      <w:r w:rsidRPr="008F7DFA">
        <w:rPr>
          <w:rFonts w:ascii="Calibri" w:hAnsi="Calibri"/>
          <w:b/>
        </w:rPr>
        <w:t>PODSTAWA PŁATNOŚCI</w:t>
      </w:r>
    </w:p>
    <w:p w:rsidR="00AB6A92" w:rsidRPr="00B67CD4" w:rsidRDefault="00AB6A92" w:rsidP="00AB6A92">
      <w:pPr>
        <w:rPr>
          <w:rFonts w:ascii="Calibri" w:hAnsi="Calibri"/>
        </w:rPr>
      </w:pPr>
      <w:bookmarkStart w:id="560" w:name="_Toc407161234"/>
      <w:r w:rsidRPr="008F7DFA">
        <w:rPr>
          <w:rFonts w:ascii="Calibri" w:hAnsi="Calibri"/>
          <w:b/>
        </w:rPr>
        <w:t>9.1.</w:t>
      </w:r>
      <w:r w:rsidRPr="00B67CD4">
        <w:rPr>
          <w:rFonts w:ascii="Calibri" w:hAnsi="Calibri"/>
        </w:rPr>
        <w:t xml:space="preserve"> Ogólne ustalenia dotyczące podstawy płatności</w:t>
      </w:r>
      <w:bookmarkEnd w:id="560"/>
    </w:p>
    <w:p w:rsidR="00AB6A92" w:rsidRPr="00B67CD4" w:rsidRDefault="00AB6A92" w:rsidP="00AB6A92">
      <w:pPr>
        <w:rPr>
          <w:rFonts w:ascii="Calibri" w:hAnsi="Calibri"/>
        </w:rPr>
      </w:pPr>
      <w:r w:rsidRPr="00B67CD4">
        <w:rPr>
          <w:rFonts w:ascii="Calibri" w:hAnsi="Calibri"/>
        </w:rPr>
        <w:tab/>
        <w:t>Ogólne ustalenia dotyczą</w:t>
      </w:r>
      <w:r>
        <w:rPr>
          <w:rFonts w:ascii="Calibri" w:hAnsi="Calibri"/>
        </w:rPr>
        <w:t xml:space="preserve">ce podstawy płatności podano w </w:t>
      </w:r>
      <w:r w:rsidRPr="00B67CD4">
        <w:rPr>
          <w:rFonts w:ascii="Calibri" w:hAnsi="Calibri"/>
        </w:rPr>
        <w:t>ST D-02.00.01 pkt 9.</w:t>
      </w:r>
    </w:p>
    <w:p w:rsidR="00AB6A92" w:rsidRPr="00B67CD4" w:rsidRDefault="00AB6A92" w:rsidP="00AB6A92">
      <w:pPr>
        <w:rPr>
          <w:rFonts w:ascii="Calibri" w:hAnsi="Calibri"/>
        </w:rPr>
      </w:pPr>
      <w:bookmarkStart w:id="561" w:name="_Toc407161235"/>
      <w:r w:rsidRPr="008F7DFA">
        <w:rPr>
          <w:rFonts w:ascii="Calibri" w:hAnsi="Calibri"/>
          <w:b/>
        </w:rPr>
        <w:t>9.2.</w:t>
      </w:r>
      <w:r w:rsidRPr="00B67CD4">
        <w:rPr>
          <w:rFonts w:ascii="Calibri" w:hAnsi="Calibri"/>
        </w:rPr>
        <w:t xml:space="preserve"> Cena jednostki obmiarowej</w:t>
      </w:r>
      <w:bookmarkEnd w:id="561"/>
    </w:p>
    <w:p w:rsidR="00AB6A92" w:rsidRPr="00B67CD4" w:rsidRDefault="00AB6A92" w:rsidP="00AB6A92">
      <w:pPr>
        <w:rPr>
          <w:rFonts w:ascii="Calibri" w:hAnsi="Calibri"/>
        </w:rPr>
      </w:pPr>
      <w:r w:rsidRPr="00B67CD4">
        <w:rPr>
          <w:rFonts w:ascii="Calibri" w:hAnsi="Calibri"/>
        </w:rPr>
        <w:tab/>
        <w:t>Cena wykonania 1 m3 wykopów w gruntach nieskalistych obejmuje:</w:t>
      </w:r>
    </w:p>
    <w:p w:rsidR="00AB6A92" w:rsidRPr="00B67CD4" w:rsidRDefault="00E86A6B" w:rsidP="00AB6A92">
      <w:pPr>
        <w:rPr>
          <w:rFonts w:ascii="Calibri" w:hAnsi="Calibri"/>
        </w:rPr>
      </w:pPr>
      <w:r>
        <w:rPr>
          <w:rFonts w:ascii="Calibri" w:hAnsi="Calibri"/>
        </w:rPr>
        <w:t>-</w:t>
      </w:r>
      <w:r w:rsidR="00AB6A92" w:rsidRPr="00B67CD4">
        <w:rPr>
          <w:rFonts w:ascii="Calibri" w:hAnsi="Calibri"/>
        </w:rPr>
        <w:t>prace pomiarowe i roboty przygotowawcze,</w:t>
      </w:r>
    </w:p>
    <w:p w:rsidR="00AB6A92" w:rsidRPr="00B67CD4" w:rsidRDefault="00E86A6B" w:rsidP="00AB6A92">
      <w:pPr>
        <w:rPr>
          <w:rFonts w:ascii="Calibri" w:hAnsi="Calibri"/>
        </w:rPr>
      </w:pPr>
      <w:r>
        <w:rPr>
          <w:rFonts w:ascii="Calibri" w:hAnsi="Calibri"/>
        </w:rPr>
        <w:t>-</w:t>
      </w:r>
      <w:r w:rsidR="00AB6A92" w:rsidRPr="00B67CD4">
        <w:rPr>
          <w:rFonts w:ascii="Calibri" w:hAnsi="Calibri"/>
        </w:rPr>
        <w:t>oznakowanie robót,</w:t>
      </w:r>
    </w:p>
    <w:p w:rsidR="00AB6A92" w:rsidRPr="00B67CD4" w:rsidRDefault="00E86A6B" w:rsidP="00AB6A92">
      <w:pPr>
        <w:rPr>
          <w:rFonts w:ascii="Calibri" w:hAnsi="Calibri"/>
        </w:rPr>
      </w:pPr>
      <w:r>
        <w:rPr>
          <w:rFonts w:ascii="Calibri" w:hAnsi="Calibri"/>
        </w:rPr>
        <w:t>-</w:t>
      </w:r>
      <w:r w:rsidR="00AB6A92" w:rsidRPr="00B67CD4">
        <w:rPr>
          <w:rFonts w:ascii="Calibri" w:hAnsi="Calibri"/>
        </w:rPr>
        <w:t xml:space="preserve">wykonanie wykopu z transportem urobku na nasyp lub odkład, obejmujące: odspojenie, przemieszczenie, </w:t>
      </w:r>
      <w:r>
        <w:rPr>
          <w:rFonts w:ascii="Calibri" w:hAnsi="Calibri"/>
        </w:rPr>
        <w:t>-</w:t>
      </w:r>
      <w:r w:rsidR="00AB6A92" w:rsidRPr="00B67CD4">
        <w:rPr>
          <w:rFonts w:ascii="Calibri" w:hAnsi="Calibri"/>
        </w:rPr>
        <w:t>załadunek, przewiezienie i wyładunek,</w:t>
      </w:r>
    </w:p>
    <w:p w:rsidR="00AB6A92" w:rsidRPr="00B67CD4" w:rsidRDefault="00E86A6B" w:rsidP="00AB6A92">
      <w:pPr>
        <w:rPr>
          <w:rFonts w:ascii="Calibri" w:hAnsi="Calibri"/>
        </w:rPr>
      </w:pPr>
      <w:r>
        <w:rPr>
          <w:rFonts w:ascii="Calibri" w:hAnsi="Calibri"/>
        </w:rPr>
        <w:t>-</w:t>
      </w:r>
      <w:r w:rsidR="00AB6A92" w:rsidRPr="00B67CD4">
        <w:rPr>
          <w:rFonts w:ascii="Calibri" w:hAnsi="Calibri"/>
        </w:rPr>
        <w:t>odwodnienie wykopu na czas jego wykonywania,</w:t>
      </w:r>
    </w:p>
    <w:p w:rsidR="00AB6A92" w:rsidRPr="00B67CD4" w:rsidRDefault="00E86A6B" w:rsidP="00AB6A92">
      <w:pPr>
        <w:rPr>
          <w:rFonts w:ascii="Calibri" w:hAnsi="Calibri"/>
        </w:rPr>
      </w:pPr>
      <w:r>
        <w:rPr>
          <w:rFonts w:ascii="Calibri" w:hAnsi="Calibri"/>
        </w:rPr>
        <w:t>-</w:t>
      </w:r>
      <w:r w:rsidR="00AB6A92" w:rsidRPr="00B67CD4">
        <w:rPr>
          <w:rFonts w:ascii="Calibri" w:hAnsi="Calibri"/>
        </w:rPr>
        <w:t xml:space="preserve">profilowanie dna wykopu, rowów, skarp, </w:t>
      </w:r>
    </w:p>
    <w:p w:rsidR="00AB6A92" w:rsidRPr="00B67CD4" w:rsidRDefault="00E86A6B" w:rsidP="00AB6A92">
      <w:pPr>
        <w:rPr>
          <w:rFonts w:ascii="Calibri" w:hAnsi="Calibri"/>
        </w:rPr>
      </w:pPr>
      <w:r>
        <w:rPr>
          <w:rFonts w:ascii="Calibri" w:hAnsi="Calibri"/>
        </w:rPr>
        <w:t>-</w:t>
      </w:r>
      <w:r w:rsidR="00AB6A92" w:rsidRPr="00B67CD4">
        <w:rPr>
          <w:rFonts w:ascii="Calibri" w:hAnsi="Calibri"/>
        </w:rPr>
        <w:t xml:space="preserve">zagęszczenie powierzchni wykopu, </w:t>
      </w:r>
    </w:p>
    <w:p w:rsidR="00AB6A92" w:rsidRPr="00B67CD4" w:rsidRDefault="00E86A6B" w:rsidP="00AB6A92">
      <w:pPr>
        <w:rPr>
          <w:rFonts w:ascii="Calibri" w:hAnsi="Calibri"/>
        </w:rPr>
      </w:pPr>
      <w:r>
        <w:rPr>
          <w:rFonts w:ascii="Calibri" w:hAnsi="Calibri"/>
        </w:rPr>
        <w:t>-</w:t>
      </w:r>
      <w:r w:rsidR="00AB6A92" w:rsidRPr="00B67CD4">
        <w:rPr>
          <w:rFonts w:ascii="Calibri" w:hAnsi="Calibri"/>
        </w:rPr>
        <w:t>przeprowadzenie pomiarów i badań laboratoryjnych, wymaganych w specyfikacji technicznej,</w:t>
      </w:r>
    </w:p>
    <w:p w:rsidR="00AB6A92" w:rsidRDefault="00E86A6B" w:rsidP="00AB6A92">
      <w:pPr>
        <w:rPr>
          <w:rFonts w:ascii="Calibri" w:hAnsi="Calibri"/>
        </w:rPr>
      </w:pPr>
      <w:r>
        <w:rPr>
          <w:rFonts w:ascii="Calibri" w:hAnsi="Calibri"/>
        </w:rPr>
        <w:t>-</w:t>
      </w:r>
      <w:r w:rsidR="00AB6A92" w:rsidRPr="00B67CD4">
        <w:rPr>
          <w:rFonts w:ascii="Calibri" w:hAnsi="Calibri"/>
        </w:rPr>
        <w:t>rekultywację terenu.</w:t>
      </w:r>
      <w:r w:rsidR="00AB6A92" w:rsidRPr="00B67CD4">
        <w:rPr>
          <w:rFonts w:ascii="Calibri" w:hAnsi="Calibri"/>
        </w:rPr>
        <w:tab/>
      </w:r>
    </w:p>
    <w:p w:rsidR="00A547A4" w:rsidRDefault="00A547A4" w:rsidP="00AB6A92">
      <w:pPr>
        <w:rPr>
          <w:rFonts w:ascii="Calibri" w:hAnsi="Calibri"/>
          <w:b/>
        </w:rPr>
      </w:pPr>
      <w:bookmarkStart w:id="562" w:name="_Toc407161236"/>
      <w:bookmarkStart w:id="563" w:name="_Toc418994934"/>
      <w:bookmarkStart w:id="564" w:name="_Toc418996341"/>
      <w:bookmarkStart w:id="565" w:name="_Toc418996710"/>
      <w:bookmarkStart w:id="566" w:name="_Toc418997097"/>
      <w:bookmarkStart w:id="567" w:name="_Toc418998507"/>
      <w:bookmarkStart w:id="568" w:name="_Toc418998863"/>
      <w:bookmarkStart w:id="569" w:name="_Toc419000108"/>
    </w:p>
    <w:p w:rsidR="00AB6A92" w:rsidRPr="008F7DFA" w:rsidRDefault="00AB6A92" w:rsidP="00AB6A92">
      <w:pPr>
        <w:rPr>
          <w:rFonts w:ascii="Calibri" w:hAnsi="Calibri"/>
          <w:b/>
        </w:rPr>
      </w:pPr>
      <w:r w:rsidRPr="008F7DFA">
        <w:rPr>
          <w:rFonts w:ascii="Calibri" w:hAnsi="Calibri"/>
          <w:b/>
        </w:rPr>
        <w:t xml:space="preserve">10. </w:t>
      </w:r>
      <w:bookmarkEnd w:id="562"/>
      <w:bookmarkEnd w:id="563"/>
      <w:bookmarkEnd w:id="564"/>
      <w:bookmarkEnd w:id="565"/>
      <w:bookmarkEnd w:id="566"/>
      <w:bookmarkEnd w:id="567"/>
      <w:bookmarkEnd w:id="568"/>
      <w:bookmarkEnd w:id="569"/>
      <w:r w:rsidRPr="008F7DFA">
        <w:rPr>
          <w:rFonts w:ascii="Calibri" w:hAnsi="Calibri"/>
          <w:b/>
        </w:rPr>
        <w:t>PRZEPISY ZWIĄZANE</w:t>
      </w:r>
    </w:p>
    <w:p w:rsidR="00AB6A92" w:rsidRPr="00B67CD4" w:rsidRDefault="00AB6A92" w:rsidP="00AB6A92">
      <w:pPr>
        <w:rPr>
          <w:rFonts w:ascii="Calibri" w:hAnsi="Calibri"/>
        </w:rPr>
      </w:pPr>
      <w:r w:rsidRPr="00B67CD4">
        <w:rPr>
          <w:rFonts w:ascii="Calibri" w:hAnsi="Calibri"/>
        </w:rPr>
        <w:tab/>
        <w:t>Spis</w:t>
      </w:r>
      <w:r>
        <w:rPr>
          <w:rFonts w:ascii="Calibri" w:hAnsi="Calibri"/>
        </w:rPr>
        <w:t xml:space="preserve"> przepisów związanych podano w </w:t>
      </w:r>
      <w:r w:rsidRPr="00B67CD4">
        <w:rPr>
          <w:rFonts w:ascii="Calibri" w:hAnsi="Calibri"/>
        </w:rPr>
        <w:t>ST D-02.00.01 pkt 10.</w:t>
      </w:r>
    </w:p>
    <w:p w:rsidR="008D16FB" w:rsidRDefault="008D16FB" w:rsidP="00F35C31">
      <w:pPr>
        <w:pStyle w:val="Nagwek4"/>
      </w:pPr>
      <w:bookmarkStart w:id="570" w:name="_Toc404342026"/>
    </w:p>
    <w:p w:rsidR="008D16FB" w:rsidRDefault="008D16FB" w:rsidP="00F35C31">
      <w:pPr>
        <w:pStyle w:val="Nagwek4"/>
      </w:pPr>
    </w:p>
    <w:p w:rsidR="008D16FB" w:rsidRDefault="008D16FB" w:rsidP="00F35C31">
      <w:pPr>
        <w:pStyle w:val="Nagwek4"/>
      </w:pPr>
    </w:p>
    <w:p w:rsidR="00190CF5" w:rsidRDefault="00190CF5" w:rsidP="00190CF5"/>
    <w:p w:rsidR="00190CF5" w:rsidRDefault="00190CF5" w:rsidP="00190CF5"/>
    <w:p w:rsidR="00190CF5" w:rsidRDefault="00190CF5" w:rsidP="00190CF5"/>
    <w:p w:rsidR="00190CF5" w:rsidRDefault="00190CF5" w:rsidP="00190CF5"/>
    <w:p w:rsidR="00190CF5" w:rsidRDefault="00190CF5" w:rsidP="00190CF5"/>
    <w:p w:rsidR="000C27BF" w:rsidRDefault="000C27BF" w:rsidP="00190CF5"/>
    <w:p w:rsidR="000C27BF" w:rsidRDefault="000C27BF" w:rsidP="00190CF5"/>
    <w:p w:rsidR="00190CF5" w:rsidRDefault="00190CF5" w:rsidP="00190CF5"/>
    <w:p w:rsidR="00190CF5" w:rsidRDefault="00190CF5" w:rsidP="00190CF5"/>
    <w:p w:rsidR="00190CF5" w:rsidRDefault="00190CF5" w:rsidP="00190CF5"/>
    <w:p w:rsidR="00190CF5" w:rsidRDefault="00190CF5" w:rsidP="00190CF5"/>
    <w:p w:rsidR="00190CF5" w:rsidRPr="00190CF5" w:rsidRDefault="00190CF5" w:rsidP="00190CF5"/>
    <w:p w:rsidR="00AD54A3" w:rsidRPr="00CD1E02" w:rsidRDefault="00F35C31" w:rsidP="002B2C83">
      <w:pPr>
        <w:pStyle w:val="Nagwek1"/>
        <w:jc w:val="center"/>
      </w:pPr>
      <w:bookmarkStart w:id="571" w:name="_Toc404342027"/>
      <w:bookmarkStart w:id="572" w:name="_Toc438237721"/>
      <w:bookmarkEnd w:id="570"/>
      <w:r>
        <w:t xml:space="preserve">D-04.01.01 </w:t>
      </w:r>
      <w:r w:rsidR="008D16FB">
        <w:t xml:space="preserve"> </w:t>
      </w:r>
      <w:r>
        <w:t xml:space="preserve">KORYTO WRAZ Z PROFILOWANIEM I ZAGĘSZCZANIEM </w:t>
      </w:r>
      <w:r w:rsidR="00AD54A3" w:rsidRPr="00CD1E02">
        <w:t>PODŁOŻA</w:t>
      </w:r>
      <w:bookmarkEnd w:id="571"/>
      <w:bookmarkEnd w:id="572"/>
    </w:p>
    <w:p w:rsidR="00AD54A3" w:rsidRPr="00CA4A9E" w:rsidRDefault="00AD54A3" w:rsidP="00AD54A3">
      <w:pPr>
        <w:rPr>
          <w:rFonts w:ascii="Calibri" w:hAnsi="Calibri" w:cs="Calibri"/>
        </w:rPr>
      </w:pPr>
    </w:p>
    <w:p w:rsidR="00AD54A3" w:rsidRPr="00CA4A9E" w:rsidRDefault="00AD54A3" w:rsidP="00AD54A3">
      <w:pPr>
        <w:rPr>
          <w:rFonts w:ascii="Calibri" w:hAnsi="Calibri" w:cs="Calibri"/>
        </w:rPr>
      </w:pPr>
    </w:p>
    <w:p w:rsidR="00AD54A3" w:rsidRPr="00CA4A9E" w:rsidRDefault="00AD54A3" w:rsidP="00AD54A3">
      <w:pPr>
        <w:rPr>
          <w:rFonts w:ascii="Calibri" w:hAnsi="Calibri" w:cs="Calibri"/>
        </w:rPr>
      </w:pPr>
    </w:p>
    <w:p w:rsidR="00AD54A3" w:rsidRPr="00CA4A9E" w:rsidRDefault="00AD54A3" w:rsidP="00AD54A3">
      <w:pPr>
        <w:rPr>
          <w:rFonts w:ascii="Calibri" w:hAnsi="Calibri" w:cs="Calibri"/>
        </w:rPr>
      </w:pPr>
    </w:p>
    <w:p w:rsidR="00AD54A3" w:rsidRPr="00CA4A9E" w:rsidRDefault="00AD54A3" w:rsidP="00AD54A3">
      <w:pPr>
        <w:rPr>
          <w:rFonts w:ascii="Calibri" w:hAnsi="Calibri" w:cs="Calibri"/>
        </w:rPr>
      </w:pPr>
    </w:p>
    <w:p w:rsidR="00AD54A3" w:rsidRPr="00CA4A9E" w:rsidRDefault="00AD54A3" w:rsidP="00AD54A3">
      <w:pPr>
        <w:rPr>
          <w:rFonts w:ascii="Calibri" w:hAnsi="Calibri" w:cs="Calibri"/>
        </w:rPr>
      </w:pPr>
    </w:p>
    <w:p w:rsidR="00AD54A3" w:rsidRPr="00CA4A9E" w:rsidRDefault="00AD54A3" w:rsidP="00AD54A3">
      <w:pPr>
        <w:rPr>
          <w:rFonts w:ascii="Calibri" w:hAnsi="Calibri" w:cs="Calibri"/>
        </w:rPr>
      </w:pPr>
    </w:p>
    <w:p w:rsidR="00AD54A3" w:rsidRPr="00CA4A9E" w:rsidRDefault="00AD54A3" w:rsidP="00AD54A3">
      <w:pPr>
        <w:rPr>
          <w:rFonts w:ascii="Calibri" w:hAnsi="Calibri" w:cs="Calibri"/>
        </w:rPr>
      </w:pPr>
    </w:p>
    <w:p w:rsidR="00AD54A3" w:rsidRPr="00CA4A9E" w:rsidRDefault="00AD54A3" w:rsidP="00AD54A3">
      <w:pPr>
        <w:rPr>
          <w:rFonts w:ascii="Calibri" w:hAnsi="Calibri" w:cs="Calibri"/>
        </w:rPr>
      </w:pPr>
    </w:p>
    <w:p w:rsidR="00AD54A3" w:rsidRPr="00CA4A9E" w:rsidRDefault="00AD54A3" w:rsidP="00AD54A3">
      <w:pPr>
        <w:rPr>
          <w:rFonts w:ascii="Calibri" w:hAnsi="Calibri" w:cs="Calibri"/>
        </w:rPr>
      </w:pPr>
    </w:p>
    <w:p w:rsidR="00AD54A3" w:rsidRPr="00CA4A9E" w:rsidRDefault="00AD54A3" w:rsidP="00AD54A3">
      <w:pPr>
        <w:rPr>
          <w:rFonts w:ascii="Calibri" w:hAnsi="Calibri" w:cs="Calibri"/>
        </w:rPr>
      </w:pPr>
    </w:p>
    <w:p w:rsidR="00AD54A3" w:rsidRPr="00CA4A9E" w:rsidRDefault="00AD54A3" w:rsidP="00AD54A3">
      <w:pPr>
        <w:rPr>
          <w:rFonts w:ascii="Calibri" w:hAnsi="Calibri" w:cs="Calibri"/>
        </w:rPr>
      </w:pPr>
    </w:p>
    <w:p w:rsidR="00AD54A3" w:rsidRPr="00CA4A9E" w:rsidRDefault="00AD54A3" w:rsidP="00AD54A3">
      <w:pPr>
        <w:rPr>
          <w:rFonts w:ascii="Calibri" w:hAnsi="Calibri" w:cs="Calibri"/>
        </w:rPr>
      </w:pPr>
    </w:p>
    <w:p w:rsidR="00AD54A3" w:rsidRDefault="00AD54A3" w:rsidP="00AD54A3">
      <w:pPr>
        <w:rPr>
          <w:rFonts w:ascii="Calibri" w:hAnsi="Calibri" w:cs="Calibri"/>
        </w:rPr>
      </w:pPr>
    </w:p>
    <w:p w:rsidR="000C27BF" w:rsidRPr="00CA4A9E" w:rsidRDefault="000C27BF" w:rsidP="00AD54A3">
      <w:pPr>
        <w:rPr>
          <w:rFonts w:ascii="Calibri" w:hAnsi="Calibri" w:cs="Calibri"/>
        </w:rPr>
      </w:pPr>
    </w:p>
    <w:p w:rsidR="00AD54A3" w:rsidRPr="00CA4A9E" w:rsidRDefault="00AD54A3" w:rsidP="00AD54A3">
      <w:pPr>
        <w:rPr>
          <w:rFonts w:ascii="Calibri" w:hAnsi="Calibri" w:cs="Calibri"/>
        </w:rPr>
      </w:pPr>
    </w:p>
    <w:p w:rsidR="00AD54A3" w:rsidRPr="00CA4A9E" w:rsidRDefault="00AD54A3" w:rsidP="00AD54A3">
      <w:pPr>
        <w:rPr>
          <w:rFonts w:ascii="Calibri" w:hAnsi="Calibri" w:cs="Calibri"/>
        </w:rPr>
      </w:pPr>
    </w:p>
    <w:p w:rsidR="00AD54A3" w:rsidRPr="00CA4A9E" w:rsidRDefault="00AD54A3" w:rsidP="00AD54A3">
      <w:pPr>
        <w:rPr>
          <w:rFonts w:ascii="Calibri" w:hAnsi="Calibri" w:cs="Calibri"/>
        </w:rPr>
      </w:pPr>
    </w:p>
    <w:p w:rsidR="00AD54A3" w:rsidRPr="00CA4A9E" w:rsidRDefault="00AD54A3" w:rsidP="00AD54A3">
      <w:pPr>
        <w:rPr>
          <w:rFonts w:ascii="Calibri" w:hAnsi="Calibri" w:cs="Calibri"/>
        </w:rPr>
      </w:pPr>
    </w:p>
    <w:p w:rsidR="00AD54A3" w:rsidRPr="00CA4A9E" w:rsidRDefault="00AD54A3" w:rsidP="00AD54A3">
      <w:pPr>
        <w:rPr>
          <w:rFonts w:ascii="Calibri" w:hAnsi="Calibri" w:cs="Calibri"/>
        </w:rPr>
      </w:pPr>
    </w:p>
    <w:p w:rsidR="00AD54A3" w:rsidRPr="00CA4A9E" w:rsidRDefault="00AD54A3" w:rsidP="00AD54A3">
      <w:pPr>
        <w:rPr>
          <w:rFonts w:ascii="Calibri" w:hAnsi="Calibri" w:cs="Calibri"/>
        </w:rPr>
      </w:pPr>
    </w:p>
    <w:p w:rsidR="00AD54A3" w:rsidRPr="00CA4A9E" w:rsidRDefault="00AD54A3" w:rsidP="00AD54A3">
      <w:pPr>
        <w:rPr>
          <w:rFonts w:ascii="Calibri" w:hAnsi="Calibri" w:cs="Calibri"/>
        </w:rPr>
      </w:pPr>
    </w:p>
    <w:p w:rsidR="00AD54A3" w:rsidRPr="00CA4A9E" w:rsidRDefault="00AD54A3" w:rsidP="00AD54A3">
      <w:pPr>
        <w:rPr>
          <w:rFonts w:ascii="Calibri" w:hAnsi="Calibri" w:cs="Calibri"/>
        </w:rPr>
      </w:pPr>
    </w:p>
    <w:p w:rsidR="008D16FB" w:rsidRDefault="008D16FB" w:rsidP="00AD54A3">
      <w:pPr>
        <w:rPr>
          <w:rFonts w:ascii="Calibri" w:hAnsi="Calibri" w:cs="Calibri"/>
          <w:b/>
        </w:rPr>
      </w:pPr>
    </w:p>
    <w:p w:rsidR="008D16FB" w:rsidRDefault="008D16FB" w:rsidP="00AD54A3">
      <w:pPr>
        <w:rPr>
          <w:rFonts w:ascii="Calibri" w:hAnsi="Calibri" w:cs="Calibri"/>
          <w:b/>
        </w:rPr>
      </w:pPr>
    </w:p>
    <w:p w:rsidR="008D16FB" w:rsidRDefault="008D16FB" w:rsidP="00AD54A3">
      <w:pPr>
        <w:rPr>
          <w:rFonts w:ascii="Calibri" w:hAnsi="Calibri" w:cs="Calibri"/>
          <w:b/>
        </w:rPr>
      </w:pPr>
    </w:p>
    <w:p w:rsidR="008D16FB" w:rsidRDefault="008D16FB" w:rsidP="00AD54A3">
      <w:pPr>
        <w:rPr>
          <w:rFonts w:ascii="Calibri" w:hAnsi="Calibri" w:cs="Calibri"/>
          <w:b/>
        </w:rPr>
      </w:pPr>
    </w:p>
    <w:p w:rsidR="008D16FB" w:rsidRDefault="008D16FB" w:rsidP="00AD54A3">
      <w:pPr>
        <w:rPr>
          <w:rFonts w:ascii="Calibri" w:hAnsi="Calibri" w:cs="Calibri"/>
          <w:b/>
        </w:rPr>
      </w:pPr>
    </w:p>
    <w:p w:rsidR="008D16FB" w:rsidRDefault="008D16FB" w:rsidP="00AD54A3">
      <w:pPr>
        <w:rPr>
          <w:rFonts w:ascii="Calibri" w:hAnsi="Calibri" w:cs="Calibri"/>
          <w:b/>
        </w:rPr>
      </w:pPr>
    </w:p>
    <w:p w:rsidR="00190CF5" w:rsidRDefault="00190CF5" w:rsidP="00AD54A3">
      <w:pPr>
        <w:rPr>
          <w:rFonts w:ascii="Calibri" w:hAnsi="Calibri" w:cs="Calibri"/>
          <w:b/>
        </w:rPr>
      </w:pPr>
    </w:p>
    <w:p w:rsidR="00190CF5" w:rsidRDefault="00190CF5" w:rsidP="00AD54A3">
      <w:pPr>
        <w:rPr>
          <w:rFonts w:ascii="Calibri" w:hAnsi="Calibri" w:cs="Calibri"/>
          <w:b/>
        </w:rPr>
      </w:pPr>
    </w:p>
    <w:p w:rsidR="00190CF5" w:rsidRDefault="00190CF5" w:rsidP="00AD54A3">
      <w:pPr>
        <w:rPr>
          <w:rFonts w:ascii="Calibri" w:hAnsi="Calibri" w:cs="Calibri"/>
          <w:b/>
        </w:rPr>
      </w:pPr>
    </w:p>
    <w:p w:rsidR="008D16FB" w:rsidRDefault="008D16FB" w:rsidP="00AD54A3">
      <w:pPr>
        <w:rPr>
          <w:rFonts w:ascii="Calibri" w:hAnsi="Calibri" w:cs="Calibri"/>
          <w:b/>
        </w:rPr>
      </w:pPr>
    </w:p>
    <w:p w:rsidR="008D16FB" w:rsidRDefault="008D16FB" w:rsidP="00AD54A3">
      <w:pPr>
        <w:rPr>
          <w:rFonts w:ascii="Calibri" w:hAnsi="Calibri" w:cs="Calibri"/>
          <w:b/>
        </w:rPr>
      </w:pPr>
    </w:p>
    <w:p w:rsidR="008D16FB" w:rsidRDefault="008D16FB" w:rsidP="00AD54A3">
      <w:pPr>
        <w:rPr>
          <w:rFonts w:ascii="Calibri" w:hAnsi="Calibri" w:cs="Calibri"/>
          <w:b/>
        </w:rPr>
      </w:pPr>
    </w:p>
    <w:p w:rsidR="008D16FB" w:rsidRDefault="008D16FB" w:rsidP="00AD54A3">
      <w:pPr>
        <w:rPr>
          <w:rFonts w:ascii="Calibri" w:hAnsi="Calibri" w:cs="Calibri"/>
          <w:b/>
        </w:rPr>
      </w:pPr>
    </w:p>
    <w:p w:rsidR="008D16FB" w:rsidRDefault="008D16FB" w:rsidP="00AD54A3">
      <w:pPr>
        <w:rPr>
          <w:rFonts w:ascii="Calibri" w:hAnsi="Calibri" w:cs="Calibri"/>
          <w:b/>
        </w:rPr>
      </w:pPr>
    </w:p>
    <w:p w:rsidR="008D16FB" w:rsidRDefault="008D16FB" w:rsidP="00AD54A3">
      <w:pPr>
        <w:rPr>
          <w:rFonts w:ascii="Calibri" w:hAnsi="Calibri" w:cs="Calibri"/>
          <w:b/>
        </w:rPr>
      </w:pPr>
    </w:p>
    <w:p w:rsidR="008D16FB" w:rsidRDefault="008D16FB" w:rsidP="00AD54A3">
      <w:pPr>
        <w:rPr>
          <w:rFonts w:ascii="Calibri" w:hAnsi="Calibri" w:cs="Calibri"/>
          <w:b/>
        </w:rPr>
      </w:pPr>
    </w:p>
    <w:p w:rsidR="002B2C83" w:rsidRDefault="002B2C83" w:rsidP="00AD54A3">
      <w:pPr>
        <w:rPr>
          <w:rFonts w:ascii="Calibri" w:hAnsi="Calibri" w:cs="Calibri"/>
          <w:b/>
        </w:rPr>
      </w:pPr>
    </w:p>
    <w:p w:rsidR="00AD54A3" w:rsidRPr="00CD1E02" w:rsidRDefault="00AD54A3" w:rsidP="00AD54A3">
      <w:pPr>
        <w:rPr>
          <w:rFonts w:ascii="Calibri" w:hAnsi="Calibri" w:cs="Calibri"/>
          <w:b/>
        </w:rPr>
      </w:pPr>
      <w:r w:rsidRPr="00CD1E02">
        <w:rPr>
          <w:rFonts w:ascii="Calibri" w:hAnsi="Calibri" w:cs="Calibri"/>
          <w:b/>
        </w:rPr>
        <w:lastRenderedPageBreak/>
        <w:t>1. WSTĘP</w:t>
      </w:r>
    </w:p>
    <w:p w:rsidR="00AD54A3" w:rsidRPr="00CA4A9E" w:rsidRDefault="00AD54A3" w:rsidP="00AD54A3">
      <w:pPr>
        <w:rPr>
          <w:rFonts w:ascii="Calibri" w:hAnsi="Calibri" w:cs="Calibri"/>
        </w:rPr>
      </w:pPr>
      <w:bookmarkStart w:id="573" w:name="_Toc405704473"/>
      <w:bookmarkStart w:id="574" w:name="_Toc405780134"/>
      <w:bookmarkStart w:id="575" w:name="_Toc406913835"/>
      <w:bookmarkStart w:id="576" w:name="_Toc406914080"/>
      <w:bookmarkStart w:id="577" w:name="_Toc406914738"/>
      <w:bookmarkStart w:id="578" w:name="_Toc406915316"/>
      <w:bookmarkStart w:id="579" w:name="_Toc406984009"/>
      <w:bookmarkStart w:id="580" w:name="_Toc406984156"/>
      <w:bookmarkStart w:id="581" w:name="_Toc406984347"/>
      <w:bookmarkStart w:id="582" w:name="_Toc407069555"/>
      <w:bookmarkStart w:id="583" w:name="_Toc407081520"/>
      <w:bookmarkStart w:id="584" w:name="_Toc407083319"/>
      <w:bookmarkStart w:id="585" w:name="_Toc407084153"/>
      <w:bookmarkStart w:id="586" w:name="_Toc407085272"/>
      <w:bookmarkStart w:id="587" w:name="_Toc407085415"/>
      <w:bookmarkStart w:id="588" w:name="_Toc407085558"/>
      <w:bookmarkStart w:id="589" w:name="_Toc407086006"/>
      <w:r w:rsidRPr="00CD1E02">
        <w:rPr>
          <w:rFonts w:ascii="Calibri" w:hAnsi="Calibri" w:cs="Calibri"/>
          <w:b/>
        </w:rPr>
        <w:t>1.1.</w:t>
      </w:r>
      <w:r w:rsidRPr="00CA4A9E">
        <w:rPr>
          <w:rFonts w:ascii="Calibri" w:hAnsi="Calibri" w:cs="Calibri"/>
        </w:rPr>
        <w:t xml:space="preserve"> Przedmiot ST</w:t>
      </w:r>
      <w:bookmarkEnd w:id="573"/>
      <w:bookmarkEnd w:id="574"/>
      <w:bookmarkEnd w:id="575"/>
      <w:bookmarkEnd w:id="576"/>
      <w:bookmarkEnd w:id="577"/>
      <w:bookmarkEnd w:id="578"/>
      <w:bookmarkEnd w:id="579"/>
      <w:bookmarkEnd w:id="580"/>
      <w:bookmarkEnd w:id="581"/>
      <w:bookmarkEnd w:id="582"/>
      <w:bookmarkEnd w:id="583"/>
      <w:bookmarkEnd w:id="584"/>
      <w:bookmarkEnd w:id="585"/>
      <w:bookmarkEnd w:id="586"/>
      <w:bookmarkEnd w:id="587"/>
      <w:bookmarkEnd w:id="588"/>
      <w:bookmarkEnd w:id="589"/>
    </w:p>
    <w:p w:rsidR="00AD54A3" w:rsidRPr="00CA4A9E" w:rsidRDefault="00AD54A3" w:rsidP="00AD54A3">
      <w:pPr>
        <w:rPr>
          <w:rFonts w:ascii="Calibri" w:hAnsi="Calibri" w:cs="Calibri"/>
        </w:rPr>
      </w:pPr>
      <w:r w:rsidRPr="00CA4A9E">
        <w:rPr>
          <w:rFonts w:ascii="Calibri" w:hAnsi="Calibri" w:cs="Calibri"/>
        </w:rPr>
        <w:tab/>
        <w:t>Przedmiotem niniejszej specyfikacji technicznej (ST) są wymagania dotyczące wykonania i odbioru robót związanych z wykonywaniem koryta wraz z profilowaniem i zagęszczaniem podłoża gruntowego.</w:t>
      </w:r>
    </w:p>
    <w:p w:rsidR="00AD54A3" w:rsidRPr="00CA4A9E" w:rsidRDefault="00AD54A3" w:rsidP="00AD54A3">
      <w:pPr>
        <w:rPr>
          <w:rFonts w:ascii="Calibri" w:hAnsi="Calibri" w:cs="Calibri"/>
        </w:rPr>
      </w:pPr>
      <w:bookmarkStart w:id="590" w:name="_Toc405704475"/>
      <w:bookmarkStart w:id="591" w:name="_Toc405780136"/>
      <w:bookmarkStart w:id="592" w:name="_Toc406913837"/>
      <w:bookmarkStart w:id="593" w:name="_Toc406914082"/>
      <w:bookmarkStart w:id="594" w:name="_Toc406914740"/>
      <w:bookmarkStart w:id="595" w:name="_Toc406915318"/>
      <w:bookmarkStart w:id="596" w:name="_Toc406984011"/>
      <w:bookmarkStart w:id="597" w:name="_Toc406984158"/>
      <w:bookmarkStart w:id="598" w:name="_Toc406984349"/>
      <w:bookmarkStart w:id="599" w:name="_Toc407069557"/>
      <w:bookmarkStart w:id="600" w:name="_Toc407081522"/>
      <w:bookmarkStart w:id="601" w:name="_Toc407083321"/>
      <w:bookmarkStart w:id="602" w:name="_Toc407084155"/>
      <w:bookmarkStart w:id="603" w:name="_Toc407085274"/>
      <w:bookmarkStart w:id="604" w:name="_Toc407085417"/>
      <w:bookmarkStart w:id="605" w:name="_Toc407085560"/>
      <w:bookmarkStart w:id="606" w:name="_Toc407086008"/>
      <w:r w:rsidRPr="00CD1E02">
        <w:rPr>
          <w:rFonts w:ascii="Calibri" w:hAnsi="Calibri" w:cs="Calibri"/>
          <w:b/>
        </w:rPr>
        <w:t>1.2.</w:t>
      </w:r>
      <w:r w:rsidRPr="00CA4A9E">
        <w:rPr>
          <w:rFonts w:ascii="Calibri" w:hAnsi="Calibri" w:cs="Calibri"/>
        </w:rPr>
        <w:t xml:space="preserve"> Zakres stosowania ST</w:t>
      </w:r>
    </w:p>
    <w:p w:rsidR="00AD54A3" w:rsidRPr="00CA4A9E" w:rsidRDefault="00AD54A3" w:rsidP="00AD54A3">
      <w:pPr>
        <w:rPr>
          <w:rFonts w:ascii="Calibri" w:hAnsi="Calibri" w:cs="Calibri"/>
        </w:rPr>
      </w:pPr>
      <w:r w:rsidRPr="00CA4A9E">
        <w:rPr>
          <w:rFonts w:ascii="Calibri" w:hAnsi="Calibri" w:cs="Calibri"/>
        </w:rPr>
        <w:tab/>
        <w:t>Specyfikacja techniczna określa wymagania dla wykonania i odbioru robót budowlanych przewidzianych do wykonania w ramach umowy a zawarte w niej zapisy w zakresie standardu materiałów, wykonania robót i wymaganej ich jakości oraz kontroli jakości robót należy traktować jako minimalne.</w:t>
      </w:r>
    </w:p>
    <w:p w:rsidR="00AD54A3" w:rsidRPr="00CA4A9E" w:rsidRDefault="00AD54A3" w:rsidP="00AD54A3">
      <w:pPr>
        <w:rPr>
          <w:rFonts w:ascii="Calibri" w:hAnsi="Calibri" w:cs="Calibri"/>
        </w:rPr>
      </w:pPr>
      <w:r w:rsidRPr="00CD1E02">
        <w:rPr>
          <w:rFonts w:ascii="Calibri" w:hAnsi="Calibri" w:cs="Calibri"/>
          <w:b/>
        </w:rPr>
        <w:t>1.3.</w:t>
      </w:r>
      <w:r w:rsidRPr="00CA4A9E">
        <w:rPr>
          <w:rFonts w:ascii="Calibri" w:hAnsi="Calibri" w:cs="Calibri"/>
        </w:rPr>
        <w:t xml:space="preserve"> Zakres robót objętych ST</w:t>
      </w:r>
      <w:bookmarkEnd w:id="590"/>
      <w:bookmarkEnd w:id="591"/>
      <w:bookmarkEnd w:id="592"/>
      <w:bookmarkEnd w:id="593"/>
      <w:bookmarkEnd w:id="594"/>
      <w:bookmarkEnd w:id="595"/>
      <w:bookmarkEnd w:id="596"/>
      <w:bookmarkEnd w:id="597"/>
      <w:bookmarkEnd w:id="598"/>
      <w:bookmarkEnd w:id="599"/>
      <w:bookmarkEnd w:id="600"/>
      <w:bookmarkEnd w:id="601"/>
      <w:bookmarkEnd w:id="602"/>
      <w:bookmarkEnd w:id="603"/>
      <w:bookmarkEnd w:id="604"/>
      <w:bookmarkEnd w:id="605"/>
      <w:bookmarkEnd w:id="606"/>
    </w:p>
    <w:p w:rsidR="003843CA" w:rsidRPr="00666F76" w:rsidRDefault="00AD54A3" w:rsidP="003843CA">
      <w:pPr>
        <w:rPr>
          <w:rFonts w:asciiTheme="minorHAnsi" w:hAnsiTheme="minorHAnsi" w:cs="Calibri"/>
        </w:rPr>
      </w:pPr>
      <w:r w:rsidRPr="00CA4A9E">
        <w:rPr>
          <w:rFonts w:ascii="Calibri" w:hAnsi="Calibri" w:cs="Calibri"/>
        </w:rPr>
        <w:tab/>
        <w:t>Ustalenia zawarte w niniejszej specyfikacji dotyczą zasad prowadzenia robót związanych z wykonaniem koryta przeznaczonego do ułożenia konstrukcji nawierzchn</w:t>
      </w:r>
      <w:bookmarkStart w:id="607" w:name="_Toc405704476"/>
      <w:bookmarkStart w:id="608" w:name="_Toc405780137"/>
      <w:bookmarkStart w:id="609" w:name="_Toc406913838"/>
      <w:bookmarkStart w:id="610" w:name="_Toc406914083"/>
      <w:bookmarkStart w:id="611" w:name="_Toc406914741"/>
      <w:bookmarkStart w:id="612" w:name="_Toc406915319"/>
      <w:bookmarkStart w:id="613" w:name="_Toc406984012"/>
      <w:bookmarkStart w:id="614" w:name="_Toc406984159"/>
      <w:bookmarkStart w:id="615" w:name="_Toc406984350"/>
      <w:bookmarkStart w:id="616" w:name="_Toc407069558"/>
      <w:bookmarkStart w:id="617" w:name="_Toc407081523"/>
      <w:bookmarkStart w:id="618" w:name="_Toc407083322"/>
      <w:bookmarkStart w:id="619" w:name="_Toc407084156"/>
      <w:bookmarkStart w:id="620" w:name="_Toc407085275"/>
      <w:bookmarkStart w:id="621" w:name="_Toc407085418"/>
      <w:bookmarkStart w:id="622" w:name="_Toc407085561"/>
      <w:bookmarkStart w:id="623" w:name="_Toc407086009"/>
      <w:r w:rsidR="003843CA">
        <w:rPr>
          <w:rFonts w:ascii="Calibri" w:hAnsi="Calibri" w:cs="Calibri"/>
        </w:rPr>
        <w:t>i w</w:t>
      </w:r>
      <w:r w:rsidR="003843CA" w:rsidRPr="00666F76">
        <w:rPr>
          <w:rFonts w:ascii="Calibri" w:hAnsi="Calibri" w:cs="Calibri"/>
        </w:rPr>
        <w:t xml:space="preserve"> związku z „</w:t>
      </w:r>
      <w:r w:rsidR="003843CA" w:rsidRPr="00666F76">
        <w:rPr>
          <w:rFonts w:asciiTheme="minorHAnsi" w:hAnsiTheme="minorHAnsi"/>
        </w:rPr>
        <w:t>Przebudową ul.55 Pułku Piechoty w Lesznie wraz z przebudową oświetlenia”</w:t>
      </w:r>
      <w:r w:rsidR="003843CA" w:rsidRPr="00666F76">
        <w:rPr>
          <w:rFonts w:asciiTheme="minorHAnsi" w:hAnsiTheme="minorHAnsi" w:cs="Calibri"/>
        </w:rPr>
        <w:t>.</w:t>
      </w:r>
    </w:p>
    <w:p w:rsidR="00AD54A3" w:rsidRPr="00CA4A9E" w:rsidRDefault="00AD54A3" w:rsidP="00AD54A3">
      <w:pPr>
        <w:rPr>
          <w:rFonts w:ascii="Calibri" w:hAnsi="Calibri" w:cs="Calibri"/>
        </w:rPr>
      </w:pPr>
      <w:r w:rsidRPr="00CD1E02">
        <w:rPr>
          <w:rFonts w:ascii="Calibri" w:hAnsi="Calibri" w:cs="Calibri"/>
          <w:b/>
        </w:rPr>
        <w:t>1.4.</w:t>
      </w:r>
      <w:r w:rsidRPr="00CA4A9E">
        <w:rPr>
          <w:rFonts w:ascii="Calibri" w:hAnsi="Calibri" w:cs="Calibri"/>
        </w:rPr>
        <w:t xml:space="preserve"> Określenia podstawowe</w:t>
      </w:r>
      <w:bookmarkEnd w:id="607"/>
      <w:bookmarkEnd w:id="608"/>
      <w:bookmarkEnd w:id="609"/>
      <w:bookmarkEnd w:id="610"/>
      <w:bookmarkEnd w:id="611"/>
      <w:bookmarkEnd w:id="612"/>
      <w:bookmarkEnd w:id="613"/>
      <w:bookmarkEnd w:id="614"/>
      <w:bookmarkEnd w:id="615"/>
      <w:bookmarkEnd w:id="616"/>
      <w:bookmarkEnd w:id="617"/>
      <w:bookmarkEnd w:id="618"/>
      <w:bookmarkEnd w:id="619"/>
      <w:bookmarkEnd w:id="620"/>
      <w:bookmarkEnd w:id="621"/>
      <w:bookmarkEnd w:id="622"/>
      <w:bookmarkEnd w:id="623"/>
    </w:p>
    <w:p w:rsidR="00AD54A3" w:rsidRPr="00CA4A9E" w:rsidRDefault="00AD54A3" w:rsidP="00AD54A3">
      <w:pPr>
        <w:rPr>
          <w:rFonts w:ascii="Calibri" w:hAnsi="Calibri" w:cs="Calibri"/>
        </w:rPr>
      </w:pPr>
      <w:r w:rsidRPr="00CA4A9E">
        <w:rPr>
          <w:rFonts w:ascii="Calibri" w:hAnsi="Calibri" w:cs="Calibri"/>
        </w:rPr>
        <w:tab/>
        <w:t>Określenia podstawowe są zgodne z obowiązującymi, odpowiednimi polskimi normami i definicjami podanymi w ST D-M-00.00.00 „Wymagania ogólne” pkt 1.4.</w:t>
      </w:r>
    </w:p>
    <w:p w:rsidR="00AD54A3" w:rsidRPr="00CA4A9E" w:rsidRDefault="00AD54A3" w:rsidP="00AD54A3">
      <w:pPr>
        <w:rPr>
          <w:rFonts w:ascii="Calibri" w:hAnsi="Calibri" w:cs="Calibri"/>
        </w:rPr>
      </w:pPr>
      <w:bookmarkStart w:id="624" w:name="_Toc405704477"/>
      <w:bookmarkStart w:id="625" w:name="_Toc405780138"/>
      <w:bookmarkStart w:id="626" w:name="_Toc406913839"/>
      <w:bookmarkStart w:id="627" w:name="_Toc406914084"/>
      <w:bookmarkStart w:id="628" w:name="_Toc406914742"/>
      <w:bookmarkStart w:id="629" w:name="_Toc406915320"/>
      <w:bookmarkStart w:id="630" w:name="_Toc406984013"/>
      <w:bookmarkStart w:id="631" w:name="_Toc406984160"/>
      <w:bookmarkStart w:id="632" w:name="_Toc406984351"/>
      <w:bookmarkStart w:id="633" w:name="_Toc407069559"/>
      <w:bookmarkStart w:id="634" w:name="_Toc407081524"/>
      <w:bookmarkStart w:id="635" w:name="_Toc407083323"/>
      <w:bookmarkStart w:id="636" w:name="_Toc407084157"/>
      <w:bookmarkStart w:id="637" w:name="_Toc407085276"/>
      <w:bookmarkStart w:id="638" w:name="_Toc407085419"/>
      <w:bookmarkStart w:id="639" w:name="_Toc407085562"/>
      <w:bookmarkStart w:id="640" w:name="_Toc407086010"/>
      <w:r w:rsidRPr="00CD1E02">
        <w:rPr>
          <w:rFonts w:ascii="Calibri" w:hAnsi="Calibri" w:cs="Calibri"/>
          <w:b/>
        </w:rPr>
        <w:t>1.5.</w:t>
      </w:r>
      <w:r w:rsidRPr="00CA4A9E">
        <w:rPr>
          <w:rFonts w:ascii="Calibri" w:hAnsi="Calibri" w:cs="Calibri"/>
        </w:rPr>
        <w:t xml:space="preserve"> Ogólne wymagania dotyczące robót</w:t>
      </w:r>
      <w:bookmarkEnd w:id="624"/>
      <w:bookmarkEnd w:id="625"/>
      <w:bookmarkEnd w:id="626"/>
      <w:bookmarkEnd w:id="627"/>
      <w:bookmarkEnd w:id="628"/>
      <w:bookmarkEnd w:id="629"/>
      <w:bookmarkEnd w:id="630"/>
      <w:bookmarkEnd w:id="631"/>
      <w:bookmarkEnd w:id="632"/>
      <w:bookmarkEnd w:id="633"/>
      <w:bookmarkEnd w:id="634"/>
      <w:bookmarkEnd w:id="635"/>
      <w:bookmarkEnd w:id="636"/>
      <w:bookmarkEnd w:id="637"/>
      <w:bookmarkEnd w:id="638"/>
      <w:bookmarkEnd w:id="639"/>
      <w:bookmarkEnd w:id="640"/>
    </w:p>
    <w:p w:rsidR="00AD54A3" w:rsidRPr="00CA4A9E" w:rsidRDefault="00AD54A3" w:rsidP="00AD54A3">
      <w:pPr>
        <w:rPr>
          <w:rFonts w:ascii="Calibri" w:hAnsi="Calibri" w:cs="Calibri"/>
        </w:rPr>
      </w:pPr>
      <w:r w:rsidRPr="00CA4A9E">
        <w:rPr>
          <w:rFonts w:ascii="Calibri" w:hAnsi="Calibri" w:cs="Calibri"/>
        </w:rPr>
        <w:tab/>
        <w:t>Ogólne wymagania dotyczące robót podano w ST D-M-00.00.00 „Wymagania ogólne” pkt 1.5.</w:t>
      </w:r>
    </w:p>
    <w:p w:rsidR="00AD54A3" w:rsidRPr="00CA4A9E" w:rsidRDefault="00AD54A3" w:rsidP="00AD54A3">
      <w:pPr>
        <w:rPr>
          <w:rFonts w:ascii="Calibri" w:hAnsi="Calibri" w:cs="Calibri"/>
        </w:rPr>
      </w:pPr>
    </w:p>
    <w:p w:rsidR="00AD54A3" w:rsidRPr="00CD1E02" w:rsidRDefault="00AD54A3" w:rsidP="00AD54A3">
      <w:pPr>
        <w:rPr>
          <w:rFonts w:ascii="Calibri" w:hAnsi="Calibri" w:cs="Calibri"/>
          <w:b/>
        </w:rPr>
      </w:pPr>
      <w:bookmarkStart w:id="641" w:name="_Toc406913840"/>
      <w:bookmarkStart w:id="642" w:name="_Toc406914085"/>
      <w:bookmarkStart w:id="643" w:name="_Toc406914743"/>
      <w:bookmarkStart w:id="644" w:name="_Toc406915321"/>
      <w:bookmarkStart w:id="645" w:name="_Toc406984014"/>
      <w:bookmarkStart w:id="646" w:name="_Toc406984161"/>
      <w:bookmarkStart w:id="647" w:name="_Toc406984352"/>
      <w:bookmarkStart w:id="648" w:name="_Toc407069560"/>
      <w:bookmarkStart w:id="649" w:name="_Toc407081525"/>
      <w:bookmarkStart w:id="650" w:name="_Toc407083324"/>
      <w:bookmarkStart w:id="651" w:name="_Toc407084158"/>
      <w:bookmarkStart w:id="652" w:name="_Toc407085277"/>
      <w:bookmarkStart w:id="653" w:name="_Toc407085420"/>
      <w:bookmarkStart w:id="654" w:name="_Toc407085563"/>
      <w:bookmarkStart w:id="655" w:name="_Toc407086011"/>
      <w:r w:rsidRPr="00CD1E02">
        <w:rPr>
          <w:rFonts w:ascii="Calibri" w:hAnsi="Calibri" w:cs="Calibri"/>
          <w:b/>
        </w:rPr>
        <w:t xml:space="preserve">2. </w:t>
      </w:r>
      <w:bookmarkEnd w:id="641"/>
      <w:bookmarkEnd w:id="642"/>
      <w:bookmarkEnd w:id="643"/>
      <w:bookmarkEnd w:id="644"/>
      <w:bookmarkEnd w:id="645"/>
      <w:bookmarkEnd w:id="646"/>
      <w:bookmarkEnd w:id="647"/>
      <w:bookmarkEnd w:id="648"/>
      <w:bookmarkEnd w:id="649"/>
      <w:bookmarkEnd w:id="650"/>
      <w:bookmarkEnd w:id="651"/>
      <w:bookmarkEnd w:id="652"/>
      <w:bookmarkEnd w:id="653"/>
      <w:bookmarkEnd w:id="654"/>
      <w:bookmarkEnd w:id="655"/>
      <w:r w:rsidRPr="00CD1E02">
        <w:rPr>
          <w:rFonts w:ascii="Calibri" w:hAnsi="Calibri" w:cs="Calibri"/>
          <w:b/>
        </w:rPr>
        <w:t>MATERIAŁY</w:t>
      </w:r>
    </w:p>
    <w:p w:rsidR="00AD54A3" w:rsidRPr="00CA4A9E" w:rsidRDefault="00AD54A3" w:rsidP="00AD54A3">
      <w:pPr>
        <w:rPr>
          <w:rFonts w:ascii="Calibri" w:hAnsi="Calibri" w:cs="Calibri"/>
        </w:rPr>
      </w:pPr>
      <w:r w:rsidRPr="00CA4A9E">
        <w:rPr>
          <w:rFonts w:ascii="Calibri" w:hAnsi="Calibri" w:cs="Calibri"/>
        </w:rPr>
        <w:tab/>
        <w:t>Nie występują.</w:t>
      </w:r>
    </w:p>
    <w:p w:rsidR="00AD54A3" w:rsidRPr="00CA4A9E" w:rsidRDefault="00AD54A3" w:rsidP="00AD54A3">
      <w:pPr>
        <w:rPr>
          <w:rFonts w:ascii="Calibri" w:hAnsi="Calibri" w:cs="Calibri"/>
        </w:rPr>
      </w:pPr>
    </w:p>
    <w:p w:rsidR="00AD54A3" w:rsidRPr="00CD1E02" w:rsidRDefault="00AD54A3" w:rsidP="00AD54A3">
      <w:pPr>
        <w:rPr>
          <w:rFonts w:ascii="Calibri" w:hAnsi="Calibri" w:cs="Calibri"/>
          <w:b/>
        </w:rPr>
      </w:pPr>
      <w:bookmarkStart w:id="656" w:name="_Toc406913841"/>
      <w:bookmarkStart w:id="657" w:name="_Toc406914086"/>
      <w:bookmarkStart w:id="658" w:name="_Toc406914744"/>
      <w:bookmarkStart w:id="659" w:name="_Toc406915322"/>
      <w:bookmarkStart w:id="660" w:name="_Toc406984015"/>
      <w:bookmarkStart w:id="661" w:name="_Toc406984162"/>
      <w:bookmarkStart w:id="662" w:name="_Toc406984353"/>
      <w:bookmarkStart w:id="663" w:name="_Toc407069561"/>
      <w:bookmarkStart w:id="664" w:name="_Toc407081526"/>
      <w:bookmarkStart w:id="665" w:name="_Toc407083325"/>
      <w:bookmarkStart w:id="666" w:name="_Toc407084159"/>
      <w:bookmarkStart w:id="667" w:name="_Toc407085278"/>
      <w:bookmarkStart w:id="668" w:name="_Toc407085421"/>
      <w:bookmarkStart w:id="669" w:name="_Toc407085564"/>
      <w:bookmarkStart w:id="670" w:name="_Toc407086012"/>
      <w:r w:rsidRPr="00CD1E02">
        <w:rPr>
          <w:rFonts w:ascii="Calibri" w:hAnsi="Calibri" w:cs="Calibri"/>
          <w:b/>
        </w:rPr>
        <w:t xml:space="preserve">3. </w:t>
      </w:r>
      <w:bookmarkEnd w:id="656"/>
      <w:bookmarkEnd w:id="657"/>
      <w:bookmarkEnd w:id="658"/>
      <w:bookmarkEnd w:id="659"/>
      <w:bookmarkEnd w:id="660"/>
      <w:bookmarkEnd w:id="661"/>
      <w:bookmarkEnd w:id="662"/>
      <w:bookmarkEnd w:id="663"/>
      <w:bookmarkEnd w:id="664"/>
      <w:bookmarkEnd w:id="665"/>
      <w:bookmarkEnd w:id="666"/>
      <w:bookmarkEnd w:id="667"/>
      <w:bookmarkEnd w:id="668"/>
      <w:bookmarkEnd w:id="669"/>
      <w:bookmarkEnd w:id="670"/>
      <w:r w:rsidRPr="00CD1E02">
        <w:rPr>
          <w:rFonts w:ascii="Calibri" w:hAnsi="Calibri" w:cs="Calibri"/>
          <w:b/>
        </w:rPr>
        <w:t>SPRZĘT</w:t>
      </w:r>
    </w:p>
    <w:p w:rsidR="00AD54A3" w:rsidRPr="00CA4A9E" w:rsidRDefault="00AD54A3" w:rsidP="00AD54A3">
      <w:pPr>
        <w:rPr>
          <w:rFonts w:ascii="Calibri" w:hAnsi="Calibri" w:cs="Calibri"/>
        </w:rPr>
      </w:pPr>
      <w:bookmarkStart w:id="671" w:name="_Toc406913842"/>
      <w:bookmarkStart w:id="672" w:name="_Toc406914087"/>
      <w:bookmarkStart w:id="673" w:name="_Toc406914745"/>
      <w:bookmarkStart w:id="674" w:name="_Toc406915323"/>
      <w:bookmarkStart w:id="675" w:name="_Toc406984016"/>
      <w:bookmarkStart w:id="676" w:name="_Toc406984163"/>
      <w:bookmarkStart w:id="677" w:name="_Toc406984354"/>
      <w:bookmarkStart w:id="678" w:name="_Toc407069562"/>
      <w:bookmarkStart w:id="679" w:name="_Toc407081527"/>
      <w:bookmarkStart w:id="680" w:name="_Toc407083326"/>
      <w:bookmarkStart w:id="681" w:name="_Toc407084160"/>
      <w:bookmarkStart w:id="682" w:name="_Toc407085279"/>
      <w:bookmarkStart w:id="683" w:name="_Toc407085422"/>
      <w:bookmarkStart w:id="684" w:name="_Toc407085565"/>
      <w:bookmarkStart w:id="685" w:name="_Toc407086013"/>
      <w:r w:rsidRPr="00CD1E02">
        <w:rPr>
          <w:rFonts w:ascii="Calibri" w:hAnsi="Calibri" w:cs="Calibri"/>
          <w:b/>
        </w:rPr>
        <w:t>3.1.</w:t>
      </w:r>
      <w:r w:rsidRPr="00CA4A9E">
        <w:rPr>
          <w:rFonts w:ascii="Calibri" w:hAnsi="Calibri" w:cs="Calibri"/>
        </w:rPr>
        <w:t xml:space="preserve"> Ogólne wymagania dotyczące sprzętu</w:t>
      </w:r>
      <w:bookmarkEnd w:id="671"/>
      <w:bookmarkEnd w:id="672"/>
      <w:bookmarkEnd w:id="673"/>
      <w:bookmarkEnd w:id="674"/>
      <w:bookmarkEnd w:id="675"/>
      <w:bookmarkEnd w:id="676"/>
      <w:bookmarkEnd w:id="677"/>
      <w:bookmarkEnd w:id="678"/>
      <w:bookmarkEnd w:id="679"/>
      <w:bookmarkEnd w:id="680"/>
      <w:bookmarkEnd w:id="681"/>
      <w:bookmarkEnd w:id="682"/>
      <w:bookmarkEnd w:id="683"/>
      <w:bookmarkEnd w:id="684"/>
      <w:bookmarkEnd w:id="685"/>
    </w:p>
    <w:p w:rsidR="00AD54A3" w:rsidRPr="00CA4A9E" w:rsidRDefault="00AD54A3" w:rsidP="00AD54A3">
      <w:pPr>
        <w:rPr>
          <w:rFonts w:ascii="Calibri" w:hAnsi="Calibri" w:cs="Calibri"/>
        </w:rPr>
      </w:pPr>
      <w:r w:rsidRPr="00CA4A9E">
        <w:rPr>
          <w:rFonts w:ascii="Calibri" w:hAnsi="Calibri" w:cs="Calibri"/>
        </w:rPr>
        <w:tab/>
        <w:t>Ogólne wymagania dotyczące sprzętu podano w ST D-M-00.00.00 „Wymagania ogólne” pkt 3.</w:t>
      </w:r>
    </w:p>
    <w:p w:rsidR="00AD54A3" w:rsidRPr="00CA4A9E" w:rsidRDefault="00AD54A3" w:rsidP="00AD54A3">
      <w:pPr>
        <w:rPr>
          <w:rFonts w:ascii="Calibri" w:hAnsi="Calibri" w:cs="Calibri"/>
        </w:rPr>
      </w:pPr>
      <w:bookmarkStart w:id="686" w:name="_Toc406913843"/>
      <w:bookmarkStart w:id="687" w:name="_Toc406914088"/>
      <w:bookmarkStart w:id="688" w:name="_Toc406914746"/>
      <w:bookmarkStart w:id="689" w:name="_Toc406915324"/>
      <w:bookmarkStart w:id="690" w:name="_Toc406984017"/>
      <w:bookmarkStart w:id="691" w:name="_Toc406984164"/>
      <w:bookmarkStart w:id="692" w:name="_Toc406984355"/>
      <w:bookmarkStart w:id="693" w:name="_Toc407069563"/>
      <w:bookmarkStart w:id="694" w:name="_Toc407081528"/>
      <w:bookmarkStart w:id="695" w:name="_Toc407083327"/>
      <w:bookmarkStart w:id="696" w:name="_Toc407084161"/>
      <w:bookmarkStart w:id="697" w:name="_Toc407085280"/>
      <w:bookmarkStart w:id="698" w:name="_Toc407085423"/>
      <w:bookmarkStart w:id="699" w:name="_Toc407085566"/>
      <w:bookmarkStart w:id="700" w:name="_Toc407086014"/>
      <w:r w:rsidRPr="00CD1E02">
        <w:rPr>
          <w:rFonts w:ascii="Calibri" w:hAnsi="Calibri" w:cs="Calibri"/>
          <w:b/>
        </w:rPr>
        <w:t>3.2.</w:t>
      </w:r>
      <w:r w:rsidRPr="00CA4A9E">
        <w:rPr>
          <w:rFonts w:ascii="Calibri" w:hAnsi="Calibri" w:cs="Calibri"/>
        </w:rPr>
        <w:t xml:space="preserve"> Sprzęt do wykonania robót</w:t>
      </w:r>
      <w:bookmarkEnd w:id="686"/>
      <w:bookmarkEnd w:id="687"/>
      <w:bookmarkEnd w:id="688"/>
      <w:bookmarkEnd w:id="689"/>
      <w:bookmarkEnd w:id="690"/>
      <w:bookmarkEnd w:id="691"/>
      <w:bookmarkEnd w:id="692"/>
      <w:bookmarkEnd w:id="693"/>
      <w:bookmarkEnd w:id="694"/>
      <w:bookmarkEnd w:id="695"/>
      <w:bookmarkEnd w:id="696"/>
      <w:bookmarkEnd w:id="697"/>
      <w:bookmarkEnd w:id="698"/>
      <w:bookmarkEnd w:id="699"/>
      <w:bookmarkEnd w:id="700"/>
    </w:p>
    <w:p w:rsidR="00AD54A3" w:rsidRPr="00CA4A9E" w:rsidRDefault="00AD54A3" w:rsidP="00AD54A3">
      <w:pPr>
        <w:rPr>
          <w:rFonts w:ascii="Calibri" w:hAnsi="Calibri" w:cs="Calibri"/>
        </w:rPr>
      </w:pPr>
      <w:r w:rsidRPr="00CA4A9E">
        <w:rPr>
          <w:rFonts w:ascii="Calibri" w:hAnsi="Calibri" w:cs="Calibri"/>
        </w:rPr>
        <w:tab/>
        <w:t>Wykonawca przystępujący do wykonania koryta i profilowania podłoża powinien wykazać się możliwością korzystania z następującego sprzętu:</w:t>
      </w:r>
    </w:p>
    <w:p w:rsidR="00AD54A3" w:rsidRPr="00CA4A9E" w:rsidRDefault="00AD54A3" w:rsidP="00AD54A3">
      <w:pPr>
        <w:rPr>
          <w:rFonts w:ascii="Calibri" w:hAnsi="Calibri" w:cs="Calibri"/>
        </w:rPr>
      </w:pPr>
      <w:r>
        <w:rPr>
          <w:rFonts w:ascii="Calibri" w:hAnsi="Calibri" w:cs="Calibri"/>
        </w:rPr>
        <w:t>-</w:t>
      </w:r>
      <w:r w:rsidRPr="00CA4A9E">
        <w:rPr>
          <w:rFonts w:ascii="Calibri" w:hAnsi="Calibri" w:cs="Calibri"/>
        </w:rPr>
        <w:t>równiarek lub spycharek uniwersalnych z ukośnie ustawianym lemieszem; Inżynier może dopuścić wykonanie koryta i profilowanie podłoża z zastosowaniem spycharki z lemieszem ustawionym prostopadle do kierunku pracy maszyny,</w:t>
      </w:r>
    </w:p>
    <w:p w:rsidR="00AD54A3" w:rsidRPr="00CA4A9E" w:rsidRDefault="00AD54A3" w:rsidP="00AD54A3">
      <w:pPr>
        <w:rPr>
          <w:rFonts w:ascii="Calibri" w:hAnsi="Calibri" w:cs="Calibri"/>
        </w:rPr>
      </w:pPr>
      <w:r>
        <w:rPr>
          <w:rFonts w:ascii="Calibri" w:hAnsi="Calibri" w:cs="Calibri"/>
        </w:rPr>
        <w:t>-</w:t>
      </w:r>
      <w:r w:rsidRPr="00CA4A9E">
        <w:rPr>
          <w:rFonts w:ascii="Calibri" w:hAnsi="Calibri" w:cs="Calibri"/>
        </w:rPr>
        <w:t>koparek z czerpakami profilowymi (przy wykonywaniu wąskich koryt),</w:t>
      </w:r>
    </w:p>
    <w:p w:rsidR="00AD54A3" w:rsidRPr="00CA4A9E" w:rsidRDefault="00AD54A3" w:rsidP="00AD54A3">
      <w:pPr>
        <w:rPr>
          <w:rFonts w:ascii="Calibri" w:hAnsi="Calibri" w:cs="Calibri"/>
        </w:rPr>
      </w:pPr>
      <w:r>
        <w:rPr>
          <w:rFonts w:ascii="Calibri" w:hAnsi="Calibri" w:cs="Calibri"/>
        </w:rPr>
        <w:t>-</w:t>
      </w:r>
      <w:r w:rsidRPr="00CA4A9E">
        <w:rPr>
          <w:rFonts w:ascii="Calibri" w:hAnsi="Calibri" w:cs="Calibri"/>
        </w:rPr>
        <w:t>walców statycznych, wibracyjnych lub płyt wibracyjnych.</w:t>
      </w:r>
    </w:p>
    <w:p w:rsidR="00AD54A3" w:rsidRPr="00CA4A9E" w:rsidRDefault="00AD54A3" w:rsidP="00AD54A3">
      <w:pPr>
        <w:rPr>
          <w:rFonts w:ascii="Calibri" w:hAnsi="Calibri" w:cs="Calibri"/>
        </w:rPr>
      </w:pPr>
      <w:r w:rsidRPr="00CA4A9E">
        <w:rPr>
          <w:rFonts w:ascii="Calibri" w:hAnsi="Calibri" w:cs="Calibri"/>
        </w:rPr>
        <w:tab/>
        <w:t>Stosowany sprzęt nie może spowodować niekorzystnego wpływu na właściwości gruntu podłoża.</w:t>
      </w:r>
    </w:p>
    <w:p w:rsidR="00AD54A3" w:rsidRPr="00CA4A9E" w:rsidRDefault="00AD54A3" w:rsidP="00AD54A3">
      <w:pPr>
        <w:rPr>
          <w:rFonts w:ascii="Calibri" w:hAnsi="Calibri" w:cs="Calibri"/>
        </w:rPr>
      </w:pPr>
    </w:p>
    <w:p w:rsidR="00AD54A3" w:rsidRPr="00CD1E02" w:rsidRDefault="00AD54A3" w:rsidP="00AD54A3">
      <w:pPr>
        <w:rPr>
          <w:rFonts w:ascii="Calibri" w:hAnsi="Calibri" w:cs="Calibri"/>
          <w:b/>
        </w:rPr>
      </w:pPr>
      <w:bookmarkStart w:id="701" w:name="_Toc406913844"/>
      <w:bookmarkStart w:id="702" w:name="_Toc406914089"/>
      <w:bookmarkStart w:id="703" w:name="_Toc406914747"/>
      <w:bookmarkStart w:id="704" w:name="_Toc406915325"/>
      <w:bookmarkStart w:id="705" w:name="_Toc406984018"/>
      <w:bookmarkStart w:id="706" w:name="_Toc406984165"/>
      <w:bookmarkStart w:id="707" w:name="_Toc406984356"/>
      <w:bookmarkStart w:id="708" w:name="_Toc407069564"/>
      <w:bookmarkStart w:id="709" w:name="_Toc407081529"/>
      <w:bookmarkStart w:id="710" w:name="_Toc407083328"/>
      <w:bookmarkStart w:id="711" w:name="_Toc407084162"/>
      <w:bookmarkStart w:id="712" w:name="_Toc407085281"/>
      <w:bookmarkStart w:id="713" w:name="_Toc407085424"/>
      <w:bookmarkStart w:id="714" w:name="_Toc407085567"/>
      <w:bookmarkStart w:id="715" w:name="_Toc407086015"/>
      <w:r w:rsidRPr="00CD1E02">
        <w:rPr>
          <w:rFonts w:ascii="Calibri" w:hAnsi="Calibri" w:cs="Calibri"/>
          <w:b/>
        </w:rPr>
        <w:t xml:space="preserve">4. </w:t>
      </w:r>
      <w:bookmarkEnd w:id="701"/>
      <w:bookmarkEnd w:id="702"/>
      <w:bookmarkEnd w:id="703"/>
      <w:bookmarkEnd w:id="704"/>
      <w:bookmarkEnd w:id="705"/>
      <w:bookmarkEnd w:id="706"/>
      <w:bookmarkEnd w:id="707"/>
      <w:bookmarkEnd w:id="708"/>
      <w:bookmarkEnd w:id="709"/>
      <w:bookmarkEnd w:id="710"/>
      <w:bookmarkEnd w:id="711"/>
      <w:bookmarkEnd w:id="712"/>
      <w:bookmarkEnd w:id="713"/>
      <w:bookmarkEnd w:id="714"/>
      <w:bookmarkEnd w:id="715"/>
      <w:r w:rsidRPr="00CD1E02">
        <w:rPr>
          <w:rFonts w:ascii="Calibri" w:hAnsi="Calibri" w:cs="Calibri"/>
          <w:b/>
        </w:rPr>
        <w:t>TRANSPORT</w:t>
      </w:r>
    </w:p>
    <w:p w:rsidR="00AD54A3" w:rsidRPr="00CA4A9E" w:rsidRDefault="00AD54A3" w:rsidP="00AD54A3">
      <w:pPr>
        <w:rPr>
          <w:rFonts w:ascii="Calibri" w:hAnsi="Calibri" w:cs="Calibri"/>
        </w:rPr>
      </w:pPr>
      <w:bookmarkStart w:id="716" w:name="_Toc406913845"/>
      <w:bookmarkStart w:id="717" w:name="_Toc406914090"/>
      <w:bookmarkStart w:id="718" w:name="_Toc406914748"/>
      <w:bookmarkStart w:id="719" w:name="_Toc406915326"/>
      <w:bookmarkStart w:id="720" w:name="_Toc406984019"/>
      <w:bookmarkStart w:id="721" w:name="_Toc406984166"/>
      <w:bookmarkStart w:id="722" w:name="_Toc406984357"/>
      <w:bookmarkStart w:id="723" w:name="_Toc407069565"/>
      <w:bookmarkStart w:id="724" w:name="_Toc407081530"/>
      <w:bookmarkStart w:id="725" w:name="_Toc407083329"/>
      <w:bookmarkStart w:id="726" w:name="_Toc407084163"/>
      <w:bookmarkStart w:id="727" w:name="_Toc407085282"/>
      <w:bookmarkStart w:id="728" w:name="_Toc407085425"/>
      <w:bookmarkStart w:id="729" w:name="_Toc407085568"/>
      <w:bookmarkStart w:id="730" w:name="_Toc407086016"/>
      <w:r w:rsidRPr="00CD1E02">
        <w:rPr>
          <w:rFonts w:ascii="Calibri" w:hAnsi="Calibri" w:cs="Calibri"/>
          <w:b/>
        </w:rPr>
        <w:t>4.1.</w:t>
      </w:r>
      <w:r w:rsidRPr="00CA4A9E">
        <w:rPr>
          <w:rFonts w:ascii="Calibri" w:hAnsi="Calibri" w:cs="Calibri"/>
        </w:rPr>
        <w:t xml:space="preserve"> Ogólne wymagania dotyczące transportu</w:t>
      </w:r>
      <w:bookmarkEnd w:id="716"/>
      <w:bookmarkEnd w:id="717"/>
      <w:bookmarkEnd w:id="718"/>
      <w:bookmarkEnd w:id="719"/>
      <w:bookmarkEnd w:id="720"/>
      <w:bookmarkEnd w:id="721"/>
      <w:bookmarkEnd w:id="722"/>
      <w:bookmarkEnd w:id="723"/>
      <w:bookmarkEnd w:id="724"/>
      <w:bookmarkEnd w:id="725"/>
      <w:bookmarkEnd w:id="726"/>
      <w:bookmarkEnd w:id="727"/>
      <w:bookmarkEnd w:id="728"/>
      <w:bookmarkEnd w:id="729"/>
      <w:bookmarkEnd w:id="730"/>
    </w:p>
    <w:p w:rsidR="00AD54A3" w:rsidRPr="00CA4A9E" w:rsidRDefault="00AD54A3" w:rsidP="00AD54A3">
      <w:pPr>
        <w:rPr>
          <w:rFonts w:ascii="Calibri" w:hAnsi="Calibri" w:cs="Calibri"/>
        </w:rPr>
      </w:pPr>
      <w:r w:rsidRPr="00CA4A9E">
        <w:rPr>
          <w:rFonts w:ascii="Calibri" w:hAnsi="Calibri" w:cs="Calibri"/>
        </w:rPr>
        <w:tab/>
      </w:r>
      <w:bookmarkStart w:id="731" w:name="_Toc406822326"/>
      <w:bookmarkStart w:id="732" w:name="_Toc406913846"/>
      <w:bookmarkStart w:id="733" w:name="_Toc406914091"/>
      <w:r w:rsidRPr="00CA4A9E">
        <w:rPr>
          <w:rFonts w:ascii="Calibri" w:hAnsi="Calibri" w:cs="Calibri"/>
        </w:rPr>
        <w:t>Ogólne wymagania dotyczące transportu podano w ST D-M-00.00.00 „Wymagania ogólne” pkt 4.</w:t>
      </w:r>
      <w:bookmarkEnd w:id="731"/>
      <w:bookmarkEnd w:id="732"/>
      <w:bookmarkEnd w:id="733"/>
    </w:p>
    <w:p w:rsidR="00AD54A3" w:rsidRPr="00CA4A9E" w:rsidRDefault="00AD54A3" w:rsidP="00AD54A3">
      <w:pPr>
        <w:rPr>
          <w:rFonts w:ascii="Calibri" w:hAnsi="Calibri" w:cs="Calibri"/>
        </w:rPr>
      </w:pPr>
      <w:bookmarkStart w:id="734" w:name="_Toc406913847"/>
      <w:bookmarkStart w:id="735" w:name="_Toc406914092"/>
      <w:bookmarkStart w:id="736" w:name="_Toc406914749"/>
      <w:bookmarkStart w:id="737" w:name="_Toc406915327"/>
      <w:bookmarkStart w:id="738" w:name="_Toc406984020"/>
      <w:bookmarkStart w:id="739" w:name="_Toc406984167"/>
      <w:bookmarkStart w:id="740" w:name="_Toc406984358"/>
      <w:bookmarkStart w:id="741" w:name="_Toc407069566"/>
      <w:bookmarkStart w:id="742" w:name="_Toc407081531"/>
      <w:bookmarkStart w:id="743" w:name="_Toc407083330"/>
      <w:bookmarkStart w:id="744" w:name="_Toc407084164"/>
      <w:bookmarkStart w:id="745" w:name="_Toc407085283"/>
      <w:bookmarkStart w:id="746" w:name="_Toc407085426"/>
      <w:bookmarkStart w:id="747" w:name="_Toc407085569"/>
      <w:bookmarkStart w:id="748" w:name="_Toc407086017"/>
      <w:r w:rsidRPr="00CD1E02">
        <w:rPr>
          <w:rFonts w:ascii="Calibri" w:hAnsi="Calibri" w:cs="Calibri"/>
          <w:b/>
        </w:rPr>
        <w:t>4.2.</w:t>
      </w:r>
      <w:r w:rsidRPr="00CA4A9E">
        <w:rPr>
          <w:rFonts w:ascii="Calibri" w:hAnsi="Calibri" w:cs="Calibri"/>
        </w:rPr>
        <w:t xml:space="preserve"> Transport materiałów</w:t>
      </w:r>
      <w:bookmarkEnd w:id="734"/>
      <w:bookmarkEnd w:id="735"/>
      <w:bookmarkEnd w:id="736"/>
      <w:bookmarkEnd w:id="737"/>
      <w:bookmarkEnd w:id="738"/>
      <w:bookmarkEnd w:id="739"/>
      <w:bookmarkEnd w:id="740"/>
      <w:bookmarkEnd w:id="741"/>
      <w:bookmarkEnd w:id="742"/>
      <w:bookmarkEnd w:id="743"/>
      <w:bookmarkEnd w:id="744"/>
      <w:bookmarkEnd w:id="745"/>
      <w:bookmarkEnd w:id="746"/>
      <w:bookmarkEnd w:id="747"/>
      <w:bookmarkEnd w:id="748"/>
    </w:p>
    <w:p w:rsidR="00AD54A3" w:rsidRPr="00CA4A9E" w:rsidRDefault="00AD54A3" w:rsidP="00AD54A3">
      <w:pPr>
        <w:rPr>
          <w:rFonts w:ascii="Calibri" w:hAnsi="Calibri" w:cs="Calibri"/>
        </w:rPr>
      </w:pPr>
      <w:r w:rsidRPr="00CA4A9E">
        <w:rPr>
          <w:rFonts w:ascii="Calibri" w:hAnsi="Calibri" w:cs="Calibri"/>
        </w:rPr>
        <w:tab/>
      </w:r>
      <w:bookmarkStart w:id="749" w:name="_Toc406822328"/>
      <w:bookmarkStart w:id="750" w:name="_Toc406913848"/>
      <w:bookmarkStart w:id="751" w:name="_Toc406914093"/>
      <w:r w:rsidRPr="00CA4A9E">
        <w:rPr>
          <w:rFonts w:ascii="Calibri" w:hAnsi="Calibri" w:cs="Calibri"/>
        </w:rPr>
        <w:t>Wymagania dotyczące transportu materiałów podano w ST D-04.03.01</w:t>
      </w:r>
      <w:bookmarkEnd w:id="749"/>
      <w:bookmarkEnd w:id="750"/>
      <w:bookmarkEnd w:id="751"/>
      <w:r w:rsidRPr="00CA4A9E">
        <w:rPr>
          <w:rFonts w:ascii="Calibri" w:hAnsi="Calibri" w:cs="Calibri"/>
        </w:rPr>
        <w:t xml:space="preserve"> pkt 4.</w:t>
      </w:r>
    </w:p>
    <w:p w:rsidR="00AD54A3" w:rsidRPr="00CA4A9E" w:rsidRDefault="00AD54A3" w:rsidP="00AD54A3">
      <w:pPr>
        <w:rPr>
          <w:rFonts w:ascii="Calibri" w:hAnsi="Calibri" w:cs="Calibri"/>
        </w:rPr>
      </w:pPr>
    </w:p>
    <w:p w:rsidR="00AD54A3" w:rsidRPr="00CD1E02" w:rsidRDefault="00AD54A3" w:rsidP="00AD54A3">
      <w:pPr>
        <w:rPr>
          <w:rFonts w:ascii="Calibri" w:hAnsi="Calibri" w:cs="Calibri"/>
          <w:b/>
        </w:rPr>
      </w:pPr>
      <w:bookmarkStart w:id="752" w:name="_Toc406913849"/>
      <w:bookmarkStart w:id="753" w:name="_Toc406914094"/>
      <w:bookmarkStart w:id="754" w:name="_Toc406914750"/>
      <w:bookmarkStart w:id="755" w:name="_Toc406915328"/>
      <w:bookmarkStart w:id="756" w:name="_Toc406984021"/>
      <w:bookmarkStart w:id="757" w:name="_Toc406984168"/>
      <w:bookmarkStart w:id="758" w:name="_Toc406984359"/>
      <w:bookmarkStart w:id="759" w:name="_Toc407069567"/>
      <w:bookmarkStart w:id="760" w:name="_Toc407081532"/>
      <w:bookmarkStart w:id="761" w:name="_Toc407083331"/>
      <w:bookmarkStart w:id="762" w:name="_Toc407084165"/>
      <w:bookmarkStart w:id="763" w:name="_Toc407085284"/>
      <w:bookmarkStart w:id="764" w:name="_Toc407085427"/>
      <w:bookmarkStart w:id="765" w:name="_Toc407085570"/>
      <w:bookmarkStart w:id="766" w:name="_Toc407086018"/>
      <w:r w:rsidRPr="00CD1E02">
        <w:rPr>
          <w:rFonts w:ascii="Calibri" w:hAnsi="Calibri" w:cs="Calibri"/>
          <w:b/>
        </w:rPr>
        <w:t xml:space="preserve">5. </w:t>
      </w:r>
      <w:bookmarkEnd w:id="752"/>
      <w:bookmarkEnd w:id="753"/>
      <w:bookmarkEnd w:id="754"/>
      <w:bookmarkEnd w:id="755"/>
      <w:bookmarkEnd w:id="756"/>
      <w:bookmarkEnd w:id="757"/>
      <w:bookmarkEnd w:id="758"/>
      <w:bookmarkEnd w:id="759"/>
      <w:bookmarkEnd w:id="760"/>
      <w:bookmarkEnd w:id="761"/>
      <w:bookmarkEnd w:id="762"/>
      <w:bookmarkEnd w:id="763"/>
      <w:bookmarkEnd w:id="764"/>
      <w:bookmarkEnd w:id="765"/>
      <w:bookmarkEnd w:id="766"/>
      <w:r w:rsidRPr="00CD1E02">
        <w:rPr>
          <w:rFonts w:ascii="Calibri" w:hAnsi="Calibri" w:cs="Calibri"/>
          <w:b/>
        </w:rPr>
        <w:t>WYKONANIE ROBÓT</w:t>
      </w:r>
    </w:p>
    <w:p w:rsidR="00AD54A3" w:rsidRPr="00CA4A9E" w:rsidRDefault="00AD54A3" w:rsidP="00AD54A3">
      <w:pPr>
        <w:rPr>
          <w:rFonts w:ascii="Calibri" w:hAnsi="Calibri" w:cs="Calibri"/>
        </w:rPr>
      </w:pPr>
      <w:bookmarkStart w:id="767" w:name="_Toc406913850"/>
      <w:bookmarkStart w:id="768" w:name="_Toc406914095"/>
      <w:bookmarkStart w:id="769" w:name="_Toc406914751"/>
      <w:bookmarkStart w:id="770" w:name="_Toc406915329"/>
      <w:bookmarkStart w:id="771" w:name="_Toc406984022"/>
      <w:bookmarkStart w:id="772" w:name="_Toc406984169"/>
      <w:bookmarkStart w:id="773" w:name="_Toc406984360"/>
      <w:bookmarkStart w:id="774" w:name="_Toc407069568"/>
      <w:bookmarkStart w:id="775" w:name="_Toc407081533"/>
      <w:bookmarkStart w:id="776" w:name="_Toc407083332"/>
      <w:bookmarkStart w:id="777" w:name="_Toc407084166"/>
      <w:bookmarkStart w:id="778" w:name="_Toc407085285"/>
      <w:bookmarkStart w:id="779" w:name="_Toc407085428"/>
      <w:bookmarkStart w:id="780" w:name="_Toc407085571"/>
      <w:bookmarkStart w:id="781" w:name="_Toc407086019"/>
      <w:r w:rsidRPr="00CD1E02">
        <w:rPr>
          <w:rFonts w:ascii="Calibri" w:hAnsi="Calibri" w:cs="Calibri"/>
          <w:b/>
        </w:rPr>
        <w:t>5.1.</w:t>
      </w:r>
      <w:r w:rsidRPr="00CA4A9E">
        <w:rPr>
          <w:rFonts w:ascii="Calibri" w:hAnsi="Calibri" w:cs="Calibri"/>
        </w:rPr>
        <w:t xml:space="preserve"> Ogólne zasady wykonania robót</w:t>
      </w:r>
      <w:bookmarkEnd w:id="767"/>
      <w:bookmarkEnd w:id="768"/>
      <w:bookmarkEnd w:id="769"/>
      <w:bookmarkEnd w:id="770"/>
      <w:bookmarkEnd w:id="771"/>
      <w:bookmarkEnd w:id="772"/>
      <w:bookmarkEnd w:id="773"/>
      <w:bookmarkEnd w:id="774"/>
      <w:bookmarkEnd w:id="775"/>
      <w:bookmarkEnd w:id="776"/>
      <w:bookmarkEnd w:id="777"/>
      <w:bookmarkEnd w:id="778"/>
      <w:bookmarkEnd w:id="779"/>
      <w:bookmarkEnd w:id="780"/>
      <w:bookmarkEnd w:id="781"/>
    </w:p>
    <w:p w:rsidR="00AD54A3" w:rsidRPr="00CA4A9E" w:rsidRDefault="00AD54A3" w:rsidP="00AD54A3">
      <w:pPr>
        <w:rPr>
          <w:rFonts w:ascii="Calibri" w:hAnsi="Calibri" w:cs="Calibri"/>
        </w:rPr>
      </w:pPr>
      <w:r w:rsidRPr="00CA4A9E">
        <w:rPr>
          <w:rFonts w:ascii="Calibri" w:hAnsi="Calibri" w:cs="Calibri"/>
        </w:rPr>
        <w:tab/>
      </w:r>
      <w:bookmarkStart w:id="782" w:name="_Toc406822331"/>
      <w:bookmarkStart w:id="783" w:name="_Toc406913851"/>
      <w:bookmarkStart w:id="784" w:name="_Toc406914096"/>
      <w:r w:rsidRPr="00CA4A9E">
        <w:rPr>
          <w:rFonts w:ascii="Calibri" w:hAnsi="Calibri" w:cs="Calibri"/>
        </w:rPr>
        <w:t>Ogólne zasady wykonania robót podano w ST D-M-00.00.00 „Wymagania ogólne” pkt 5.</w:t>
      </w:r>
      <w:bookmarkEnd w:id="782"/>
      <w:bookmarkEnd w:id="783"/>
      <w:bookmarkEnd w:id="784"/>
    </w:p>
    <w:p w:rsidR="00AD54A3" w:rsidRPr="00CA4A9E" w:rsidRDefault="00AD54A3" w:rsidP="00AD54A3">
      <w:pPr>
        <w:rPr>
          <w:rFonts w:ascii="Calibri" w:hAnsi="Calibri" w:cs="Calibri"/>
        </w:rPr>
      </w:pPr>
      <w:bookmarkStart w:id="785" w:name="_Toc406913852"/>
      <w:bookmarkStart w:id="786" w:name="_Toc406914097"/>
      <w:bookmarkStart w:id="787" w:name="_Toc406914752"/>
      <w:bookmarkStart w:id="788" w:name="_Toc406915330"/>
      <w:bookmarkStart w:id="789" w:name="_Toc406984023"/>
      <w:bookmarkStart w:id="790" w:name="_Toc406984170"/>
      <w:bookmarkStart w:id="791" w:name="_Toc406984361"/>
      <w:bookmarkStart w:id="792" w:name="_Toc407069569"/>
      <w:bookmarkStart w:id="793" w:name="_Toc407081534"/>
      <w:bookmarkStart w:id="794" w:name="_Toc407083333"/>
      <w:bookmarkStart w:id="795" w:name="_Toc407084167"/>
      <w:bookmarkStart w:id="796" w:name="_Toc407085286"/>
      <w:bookmarkStart w:id="797" w:name="_Toc407085429"/>
      <w:bookmarkStart w:id="798" w:name="_Toc407085572"/>
      <w:bookmarkStart w:id="799" w:name="_Toc407086020"/>
      <w:r w:rsidRPr="00CD1E02">
        <w:rPr>
          <w:rFonts w:ascii="Calibri" w:hAnsi="Calibri" w:cs="Calibri"/>
          <w:b/>
        </w:rPr>
        <w:t>5.2.</w:t>
      </w:r>
      <w:r w:rsidRPr="00CA4A9E">
        <w:rPr>
          <w:rFonts w:ascii="Calibri" w:hAnsi="Calibri" w:cs="Calibri"/>
        </w:rPr>
        <w:t xml:space="preserve"> Warunki przystąpienia do robót</w:t>
      </w:r>
      <w:bookmarkEnd w:id="785"/>
      <w:bookmarkEnd w:id="786"/>
      <w:bookmarkEnd w:id="787"/>
      <w:bookmarkEnd w:id="788"/>
      <w:bookmarkEnd w:id="789"/>
      <w:bookmarkEnd w:id="790"/>
      <w:bookmarkEnd w:id="791"/>
      <w:bookmarkEnd w:id="792"/>
      <w:bookmarkEnd w:id="793"/>
      <w:bookmarkEnd w:id="794"/>
      <w:bookmarkEnd w:id="795"/>
      <w:bookmarkEnd w:id="796"/>
      <w:bookmarkEnd w:id="797"/>
      <w:bookmarkEnd w:id="798"/>
      <w:bookmarkEnd w:id="799"/>
    </w:p>
    <w:p w:rsidR="00AD54A3" w:rsidRPr="00CA4A9E" w:rsidRDefault="00AD54A3" w:rsidP="00AD54A3">
      <w:pPr>
        <w:rPr>
          <w:rFonts w:ascii="Calibri" w:hAnsi="Calibri" w:cs="Calibri"/>
        </w:rPr>
      </w:pPr>
      <w:r w:rsidRPr="00CA4A9E">
        <w:rPr>
          <w:rFonts w:ascii="Calibri" w:hAnsi="Calibri" w:cs="Calibri"/>
        </w:rPr>
        <w:tab/>
        <w:t>Wykonawca powinien przystąpić do wykonania koryta oraz profilowania i zagęszczenia podłoża bezpośrednio przed rozpoczęciem robót związanych z wykonaniem warstw nawierzchni. Wcześniejsze przystąpienie do wykonania koryta oraz profilowania i zagęszczania podłoża jest możliwe wyłącznie za zgodą Inżyniera, w korzystnych warunkach atmosferycznych.</w:t>
      </w:r>
    </w:p>
    <w:p w:rsidR="00AD54A3" w:rsidRPr="00CA4A9E" w:rsidRDefault="00AD54A3" w:rsidP="00AD54A3">
      <w:pPr>
        <w:rPr>
          <w:rFonts w:ascii="Calibri" w:hAnsi="Calibri" w:cs="Calibri"/>
        </w:rPr>
      </w:pPr>
      <w:r w:rsidRPr="00CA4A9E">
        <w:rPr>
          <w:rFonts w:ascii="Calibri" w:hAnsi="Calibri" w:cs="Calibri"/>
        </w:rPr>
        <w:tab/>
        <w:t>W wykonanym korycie oraz po wyprofilowanym i zagęszczonym podłożu nie może odbywać się ruch budowlany, niezwiązany bezpośrednio z wykonaniem pierwszej warstwy nawierzchni.</w:t>
      </w:r>
    </w:p>
    <w:p w:rsidR="00AD54A3" w:rsidRPr="00CA4A9E" w:rsidRDefault="00AD54A3" w:rsidP="00AD54A3">
      <w:pPr>
        <w:rPr>
          <w:rFonts w:ascii="Calibri" w:hAnsi="Calibri" w:cs="Calibri"/>
        </w:rPr>
      </w:pPr>
      <w:bookmarkStart w:id="800" w:name="_Toc406913853"/>
      <w:bookmarkStart w:id="801" w:name="_Toc406914098"/>
      <w:bookmarkStart w:id="802" w:name="_Toc406914753"/>
      <w:bookmarkStart w:id="803" w:name="_Toc406915331"/>
      <w:bookmarkStart w:id="804" w:name="_Toc406984024"/>
      <w:bookmarkStart w:id="805" w:name="_Toc406984171"/>
      <w:bookmarkStart w:id="806" w:name="_Toc406984362"/>
      <w:bookmarkStart w:id="807" w:name="_Toc407069570"/>
      <w:bookmarkStart w:id="808" w:name="_Toc407081535"/>
      <w:bookmarkStart w:id="809" w:name="_Toc407083334"/>
      <w:bookmarkStart w:id="810" w:name="_Toc407084168"/>
      <w:bookmarkStart w:id="811" w:name="_Toc407085287"/>
      <w:bookmarkStart w:id="812" w:name="_Toc407085430"/>
      <w:bookmarkStart w:id="813" w:name="_Toc407085573"/>
      <w:bookmarkStart w:id="814" w:name="_Toc407086021"/>
      <w:r w:rsidRPr="00CD1E02">
        <w:rPr>
          <w:rFonts w:ascii="Calibri" w:hAnsi="Calibri" w:cs="Calibri"/>
          <w:b/>
        </w:rPr>
        <w:t>5.3.</w:t>
      </w:r>
      <w:r w:rsidRPr="00CA4A9E">
        <w:rPr>
          <w:rFonts w:ascii="Calibri" w:hAnsi="Calibri" w:cs="Calibri"/>
        </w:rPr>
        <w:t xml:space="preserve"> Wykonanie koryta</w:t>
      </w:r>
      <w:bookmarkEnd w:id="800"/>
      <w:bookmarkEnd w:id="801"/>
      <w:bookmarkEnd w:id="802"/>
      <w:bookmarkEnd w:id="803"/>
      <w:bookmarkEnd w:id="804"/>
      <w:bookmarkEnd w:id="805"/>
      <w:bookmarkEnd w:id="806"/>
      <w:bookmarkEnd w:id="807"/>
      <w:bookmarkEnd w:id="808"/>
      <w:bookmarkEnd w:id="809"/>
      <w:bookmarkEnd w:id="810"/>
      <w:bookmarkEnd w:id="811"/>
      <w:bookmarkEnd w:id="812"/>
      <w:bookmarkEnd w:id="813"/>
      <w:bookmarkEnd w:id="814"/>
    </w:p>
    <w:p w:rsidR="00AD54A3" w:rsidRPr="00CA4A9E" w:rsidRDefault="00AD54A3" w:rsidP="00AD54A3">
      <w:pPr>
        <w:rPr>
          <w:rFonts w:ascii="Calibri" w:hAnsi="Calibri" w:cs="Calibri"/>
        </w:rPr>
      </w:pPr>
      <w:r w:rsidRPr="00CA4A9E">
        <w:rPr>
          <w:rFonts w:ascii="Calibri" w:hAnsi="Calibri" w:cs="Calibri"/>
        </w:rPr>
        <w:tab/>
        <w:t>Paliki lub szpilki do prawidłowego ukształtowania koryta w planie i profilu powinny być wcześniej przygotowane.</w:t>
      </w:r>
    </w:p>
    <w:p w:rsidR="00AD54A3" w:rsidRPr="00CA4A9E" w:rsidRDefault="00AD54A3" w:rsidP="00AD54A3">
      <w:pPr>
        <w:rPr>
          <w:rFonts w:ascii="Calibri" w:hAnsi="Calibri" w:cs="Calibri"/>
        </w:rPr>
      </w:pPr>
      <w:r w:rsidRPr="00CA4A9E">
        <w:rPr>
          <w:rFonts w:ascii="Calibri" w:hAnsi="Calibri" w:cs="Calibri"/>
        </w:rPr>
        <w:tab/>
        <w:t>Paliki lub szpilki należy ustawiać w osi drogi i w rzędach równoległych do osi drogi lub w inny sposób zaakceptowany przez Inżyniera. Rozmieszczenie palików lub szpilek powinno umożliwiać naciągnięcie sznurków lub linek do wytyczenia robót w odstępach nie większych niż co 10 metrów.</w:t>
      </w:r>
    </w:p>
    <w:p w:rsidR="00AD54A3" w:rsidRPr="00CA4A9E" w:rsidRDefault="00AD54A3" w:rsidP="00AD54A3">
      <w:pPr>
        <w:rPr>
          <w:rFonts w:ascii="Calibri" w:hAnsi="Calibri" w:cs="Calibri"/>
        </w:rPr>
      </w:pPr>
      <w:r w:rsidRPr="00CA4A9E">
        <w:rPr>
          <w:rFonts w:ascii="Calibri" w:hAnsi="Calibri" w:cs="Calibri"/>
        </w:rPr>
        <w:lastRenderedPageBreak/>
        <w:tab/>
        <w:t xml:space="preserve">Rodzaj sprzętu, a w szczególności jego moc należy dostosować do rodzaju gruntu, w którym prowadzone są roboty i do trudności jego odspojenia. </w:t>
      </w:r>
    </w:p>
    <w:p w:rsidR="00AD54A3" w:rsidRPr="00CA4A9E" w:rsidRDefault="00AD54A3" w:rsidP="00AD54A3">
      <w:pPr>
        <w:rPr>
          <w:rFonts w:ascii="Calibri" w:hAnsi="Calibri" w:cs="Calibri"/>
        </w:rPr>
      </w:pPr>
      <w:r w:rsidRPr="00CA4A9E">
        <w:rPr>
          <w:rFonts w:ascii="Calibri" w:hAnsi="Calibri" w:cs="Calibri"/>
        </w:rPr>
        <w:tab/>
        <w:t>Koryto można wykonywać ręcznie, gdy jego szerokość nie pozwala na zastosowanie maszyn, na przykład na poszerzeniach lub w przypadku robót o małym zakresie. Sposób wykonania musi być zaakceptowany przez Inżyniera.</w:t>
      </w:r>
    </w:p>
    <w:p w:rsidR="00AD54A3" w:rsidRPr="00CA4A9E" w:rsidRDefault="00AD54A3" w:rsidP="00AD54A3">
      <w:pPr>
        <w:rPr>
          <w:rFonts w:ascii="Calibri" w:hAnsi="Calibri" w:cs="Calibri"/>
        </w:rPr>
      </w:pPr>
      <w:r w:rsidRPr="00CA4A9E">
        <w:rPr>
          <w:rFonts w:ascii="Calibri" w:hAnsi="Calibri" w:cs="Calibri"/>
        </w:rPr>
        <w:tab/>
        <w:t>Grunt odspojony w czasie wykonywania koryta powinien być wykorzystany zgodnie z ustaleniami dokumentacji projekto</w:t>
      </w:r>
      <w:r>
        <w:rPr>
          <w:rFonts w:ascii="Calibri" w:hAnsi="Calibri" w:cs="Calibri"/>
        </w:rPr>
        <w:t>wej</w:t>
      </w:r>
      <w:r w:rsidRPr="00CA4A9E">
        <w:rPr>
          <w:rFonts w:ascii="Calibri" w:hAnsi="Calibri" w:cs="Calibri"/>
        </w:rPr>
        <w:t>, tj. wbudowany w nasyp lub odwieziony na odkład w miejsce wskazane przez Inżyniera.</w:t>
      </w:r>
    </w:p>
    <w:p w:rsidR="00AD54A3" w:rsidRPr="00CA4A9E" w:rsidRDefault="00AD54A3" w:rsidP="00AD54A3">
      <w:pPr>
        <w:rPr>
          <w:rFonts w:ascii="Calibri" w:hAnsi="Calibri" w:cs="Calibri"/>
        </w:rPr>
      </w:pPr>
      <w:r w:rsidRPr="00CA4A9E">
        <w:rPr>
          <w:rFonts w:ascii="Calibri" w:hAnsi="Calibri" w:cs="Calibri"/>
        </w:rPr>
        <w:tab/>
        <w:t>Profilowanie i zagęszczenie podłoża należy wykonać zgodnie z zasadami określonymi w pkt 5.4.</w:t>
      </w:r>
    </w:p>
    <w:p w:rsidR="00AD54A3" w:rsidRPr="00CA4A9E" w:rsidRDefault="00AD54A3" w:rsidP="00AD54A3">
      <w:pPr>
        <w:rPr>
          <w:rFonts w:ascii="Calibri" w:hAnsi="Calibri" w:cs="Calibri"/>
        </w:rPr>
      </w:pPr>
      <w:bookmarkStart w:id="815" w:name="_Toc406913854"/>
      <w:bookmarkStart w:id="816" w:name="_Toc406914099"/>
      <w:bookmarkStart w:id="817" w:name="_Toc406914754"/>
      <w:bookmarkStart w:id="818" w:name="_Toc406915332"/>
      <w:bookmarkStart w:id="819" w:name="_Toc406984025"/>
      <w:bookmarkStart w:id="820" w:name="_Toc406984172"/>
      <w:bookmarkStart w:id="821" w:name="_Toc406984363"/>
      <w:bookmarkStart w:id="822" w:name="_Toc407069571"/>
      <w:bookmarkStart w:id="823" w:name="_Toc407081536"/>
      <w:bookmarkStart w:id="824" w:name="_Toc407083335"/>
      <w:bookmarkStart w:id="825" w:name="_Toc407084169"/>
      <w:bookmarkStart w:id="826" w:name="_Toc407085288"/>
      <w:bookmarkStart w:id="827" w:name="_Toc407085431"/>
      <w:bookmarkStart w:id="828" w:name="_Toc407085574"/>
      <w:bookmarkStart w:id="829" w:name="_Toc407086022"/>
      <w:r w:rsidRPr="00CD1E02">
        <w:rPr>
          <w:rFonts w:ascii="Calibri" w:hAnsi="Calibri" w:cs="Calibri"/>
          <w:b/>
        </w:rPr>
        <w:t>5.4.</w:t>
      </w:r>
      <w:r w:rsidRPr="00CA4A9E">
        <w:rPr>
          <w:rFonts w:ascii="Calibri" w:hAnsi="Calibri" w:cs="Calibri"/>
        </w:rPr>
        <w:t xml:space="preserve"> Profilowanie i zagęszczanie podłoża</w:t>
      </w:r>
      <w:bookmarkEnd w:id="815"/>
      <w:bookmarkEnd w:id="816"/>
      <w:bookmarkEnd w:id="817"/>
      <w:bookmarkEnd w:id="818"/>
      <w:bookmarkEnd w:id="819"/>
      <w:bookmarkEnd w:id="820"/>
      <w:bookmarkEnd w:id="821"/>
      <w:bookmarkEnd w:id="822"/>
      <w:bookmarkEnd w:id="823"/>
      <w:bookmarkEnd w:id="824"/>
      <w:bookmarkEnd w:id="825"/>
      <w:bookmarkEnd w:id="826"/>
      <w:bookmarkEnd w:id="827"/>
      <w:bookmarkEnd w:id="828"/>
      <w:bookmarkEnd w:id="829"/>
    </w:p>
    <w:p w:rsidR="00AD54A3" w:rsidRPr="00CA4A9E" w:rsidRDefault="00AD54A3" w:rsidP="00AD54A3">
      <w:pPr>
        <w:rPr>
          <w:rFonts w:ascii="Calibri" w:hAnsi="Calibri" w:cs="Calibri"/>
        </w:rPr>
      </w:pPr>
      <w:r w:rsidRPr="00CA4A9E">
        <w:rPr>
          <w:rFonts w:ascii="Calibri" w:hAnsi="Calibri" w:cs="Calibri"/>
        </w:rPr>
        <w:tab/>
        <w:t>Przed przystąpieniem do profilowania podłoże powinno być oczyszczone ze wszelkich zanieczyszczeń.</w:t>
      </w:r>
    </w:p>
    <w:p w:rsidR="00AD54A3" w:rsidRPr="00CA4A9E" w:rsidRDefault="00AD54A3" w:rsidP="00AD54A3">
      <w:pPr>
        <w:rPr>
          <w:rFonts w:ascii="Calibri" w:hAnsi="Calibri" w:cs="Calibri"/>
        </w:rPr>
      </w:pPr>
      <w:r w:rsidRPr="00CA4A9E">
        <w:rPr>
          <w:rFonts w:ascii="Calibri" w:hAnsi="Calibri" w:cs="Calibri"/>
        </w:rPr>
        <w:tab/>
        <w:t>Po oczyszczeniu powierzchni podłoża należy sprawdzić, czy istniejące rzędne terenu umożliwiają uzyskanie po profilowaniu zaprojektowanych rzędnych podłoża. Zaleca się, aby rzędne terenu przed profilowaniem były o co najmniej 5 cm wyższe niż projektowane rzędne podłoża.</w:t>
      </w:r>
    </w:p>
    <w:p w:rsidR="00AD54A3" w:rsidRPr="00CA4A9E" w:rsidRDefault="00AD54A3" w:rsidP="00AD54A3">
      <w:pPr>
        <w:rPr>
          <w:rFonts w:ascii="Calibri" w:hAnsi="Calibri" w:cs="Calibri"/>
        </w:rPr>
      </w:pPr>
      <w:r w:rsidRPr="00CA4A9E">
        <w:rPr>
          <w:rFonts w:ascii="Calibri" w:hAnsi="Calibri" w:cs="Calibri"/>
        </w:rPr>
        <w:tab/>
        <w:t>Jeżeli powyższy warunek nie jest spełniony i występują zaniżenia poziomu w podłożu przewidzianym do profilowania, Wykonawca powinien spulchnić podłoże na głębokość zaakceptowaną przez Inżyniera, dowieźć dodatkowy grunt spełniający wymagania obowiązujące dla górnej strefy korpusu, w ilości koniecznej do uzyskania wymaganych rzędnych wysokościowych i zagęścić warstwę do uzyskania wartości wskaźnika zagęszczenia, określonych w tablicy 1.</w:t>
      </w:r>
    </w:p>
    <w:p w:rsidR="00AD54A3" w:rsidRPr="00CA4A9E" w:rsidRDefault="00AD54A3" w:rsidP="00AD54A3">
      <w:pPr>
        <w:rPr>
          <w:rFonts w:ascii="Calibri" w:hAnsi="Calibri" w:cs="Calibri"/>
        </w:rPr>
      </w:pPr>
      <w:r w:rsidRPr="00CA4A9E">
        <w:rPr>
          <w:rFonts w:ascii="Calibri" w:hAnsi="Calibri" w:cs="Calibri"/>
        </w:rPr>
        <w:tab/>
        <w:t>Do profilowania podłoża należy stosować równiarki. Ścięty grunt powinien być wykorzystany w robotach ziemnych lub w inny sposób zaakceptowany przez Inżyniera.</w:t>
      </w:r>
    </w:p>
    <w:p w:rsidR="00AD54A3" w:rsidRPr="00CA4A9E" w:rsidRDefault="00AD54A3" w:rsidP="00AD54A3">
      <w:pPr>
        <w:rPr>
          <w:rFonts w:ascii="Calibri" w:hAnsi="Calibri" w:cs="Calibri"/>
        </w:rPr>
      </w:pPr>
      <w:r w:rsidRPr="00CA4A9E">
        <w:rPr>
          <w:rFonts w:ascii="Calibri" w:hAnsi="Calibri" w:cs="Calibri"/>
        </w:rPr>
        <w:tab/>
        <w:t>Bezpośrednio po profilowaniu podłoża należy przystąpić do jego zagęszczania. Zagęszczanie podłoża należy kontynuować do osiągnięcia wskaźnika zagęszczenia nie mniejszego od podanego w tablicy 1. Wskaźnik zagęszczenia należy określać zgodnie z BN-77/8931-12.</w:t>
      </w:r>
    </w:p>
    <w:p w:rsidR="00AD54A3" w:rsidRPr="00CA4A9E" w:rsidRDefault="00AD54A3" w:rsidP="00AD54A3">
      <w:pPr>
        <w:rPr>
          <w:rFonts w:ascii="Calibri" w:hAnsi="Calibri" w:cs="Calibri"/>
        </w:rPr>
      </w:pPr>
    </w:p>
    <w:p w:rsidR="00AD54A3" w:rsidRPr="00CA4A9E" w:rsidRDefault="00AD54A3" w:rsidP="008D16FB">
      <w:pPr>
        <w:ind w:left="709"/>
        <w:rPr>
          <w:rFonts w:ascii="Calibri" w:hAnsi="Calibri" w:cs="Calibri"/>
        </w:rPr>
      </w:pPr>
      <w:r w:rsidRPr="00CA4A9E">
        <w:rPr>
          <w:rFonts w:ascii="Calibri" w:hAnsi="Calibri" w:cs="Calibri"/>
        </w:rPr>
        <w:t>Tablica 1. Minimalne wartości wskaźnika zagęszczenia podłoża (Is)</w:t>
      </w:r>
    </w:p>
    <w:tbl>
      <w:tblPr>
        <w:tblW w:w="0" w:type="auto"/>
        <w:tblInd w:w="779" w:type="dxa"/>
        <w:tblLayout w:type="fixed"/>
        <w:tblCellMar>
          <w:left w:w="70" w:type="dxa"/>
          <w:right w:w="70" w:type="dxa"/>
        </w:tblCellMar>
        <w:tblLook w:val="0000"/>
      </w:tblPr>
      <w:tblGrid>
        <w:gridCol w:w="2905"/>
        <w:gridCol w:w="1560"/>
        <w:gridCol w:w="1521"/>
        <w:gridCol w:w="1524"/>
      </w:tblGrid>
      <w:tr w:rsidR="00AD54A3" w:rsidRPr="00CA4A9E" w:rsidTr="008D16FB">
        <w:tc>
          <w:tcPr>
            <w:tcW w:w="2905" w:type="dxa"/>
            <w:tcBorders>
              <w:top w:val="single" w:sz="6" w:space="0" w:color="auto"/>
              <w:left w:val="single" w:sz="6" w:space="0" w:color="auto"/>
            </w:tcBorders>
          </w:tcPr>
          <w:p w:rsidR="00AD54A3" w:rsidRPr="00CA4A9E" w:rsidRDefault="00AD54A3" w:rsidP="00FD47C7">
            <w:pPr>
              <w:jc w:val="center"/>
              <w:rPr>
                <w:rFonts w:ascii="Calibri" w:hAnsi="Calibri" w:cs="Calibri"/>
                <w:sz w:val="18"/>
                <w:szCs w:val="18"/>
              </w:rPr>
            </w:pPr>
          </w:p>
        </w:tc>
        <w:tc>
          <w:tcPr>
            <w:tcW w:w="4605" w:type="dxa"/>
            <w:gridSpan w:val="3"/>
            <w:tcBorders>
              <w:top w:val="single" w:sz="6" w:space="0" w:color="auto"/>
              <w:left w:val="single" w:sz="6" w:space="0" w:color="auto"/>
              <w:bottom w:val="single" w:sz="6" w:space="0" w:color="auto"/>
              <w:right w:val="single" w:sz="6" w:space="0" w:color="auto"/>
            </w:tcBorders>
          </w:tcPr>
          <w:p w:rsidR="00AD54A3" w:rsidRPr="00CA4A9E" w:rsidRDefault="00AD54A3" w:rsidP="00FD47C7">
            <w:pPr>
              <w:jc w:val="center"/>
              <w:rPr>
                <w:rFonts w:ascii="Calibri" w:hAnsi="Calibri" w:cs="Calibri"/>
                <w:sz w:val="18"/>
                <w:szCs w:val="18"/>
              </w:rPr>
            </w:pPr>
            <w:r w:rsidRPr="00CA4A9E">
              <w:rPr>
                <w:rFonts w:ascii="Calibri" w:hAnsi="Calibri" w:cs="Calibri"/>
                <w:sz w:val="18"/>
                <w:szCs w:val="18"/>
              </w:rPr>
              <w:t>Minimalna wartość Is dla:</w:t>
            </w:r>
          </w:p>
        </w:tc>
      </w:tr>
      <w:tr w:rsidR="00AD54A3" w:rsidRPr="00CA4A9E" w:rsidTr="008D16FB">
        <w:tc>
          <w:tcPr>
            <w:tcW w:w="2905" w:type="dxa"/>
            <w:tcBorders>
              <w:left w:val="single" w:sz="6" w:space="0" w:color="auto"/>
            </w:tcBorders>
          </w:tcPr>
          <w:p w:rsidR="00AD54A3" w:rsidRPr="00CA4A9E" w:rsidRDefault="00AD54A3" w:rsidP="00FD47C7">
            <w:pPr>
              <w:jc w:val="center"/>
              <w:rPr>
                <w:rFonts w:ascii="Calibri" w:hAnsi="Calibri" w:cs="Calibri"/>
                <w:sz w:val="18"/>
                <w:szCs w:val="18"/>
              </w:rPr>
            </w:pPr>
            <w:r w:rsidRPr="00CA4A9E">
              <w:rPr>
                <w:rFonts w:ascii="Calibri" w:hAnsi="Calibri" w:cs="Calibri"/>
                <w:sz w:val="18"/>
                <w:szCs w:val="18"/>
              </w:rPr>
              <w:t>Strefa</w:t>
            </w:r>
          </w:p>
        </w:tc>
        <w:tc>
          <w:tcPr>
            <w:tcW w:w="1560" w:type="dxa"/>
            <w:tcBorders>
              <w:left w:val="single" w:sz="6" w:space="0" w:color="auto"/>
            </w:tcBorders>
          </w:tcPr>
          <w:p w:rsidR="00AD54A3" w:rsidRPr="00CA4A9E" w:rsidRDefault="00AD54A3" w:rsidP="00FD47C7">
            <w:pPr>
              <w:jc w:val="center"/>
              <w:rPr>
                <w:rFonts w:ascii="Calibri" w:hAnsi="Calibri" w:cs="Calibri"/>
                <w:sz w:val="18"/>
                <w:szCs w:val="18"/>
              </w:rPr>
            </w:pPr>
            <w:r w:rsidRPr="00CA4A9E">
              <w:rPr>
                <w:rFonts w:ascii="Calibri" w:hAnsi="Calibri" w:cs="Calibri"/>
                <w:sz w:val="18"/>
                <w:szCs w:val="18"/>
              </w:rPr>
              <w:t>Autostrad i dróg</w:t>
            </w:r>
          </w:p>
        </w:tc>
        <w:tc>
          <w:tcPr>
            <w:tcW w:w="3045" w:type="dxa"/>
            <w:gridSpan w:val="2"/>
            <w:tcBorders>
              <w:top w:val="single" w:sz="6" w:space="0" w:color="auto"/>
              <w:left w:val="single" w:sz="6" w:space="0" w:color="auto"/>
              <w:bottom w:val="single" w:sz="6" w:space="0" w:color="auto"/>
              <w:right w:val="single" w:sz="6" w:space="0" w:color="auto"/>
            </w:tcBorders>
          </w:tcPr>
          <w:p w:rsidR="00AD54A3" w:rsidRPr="00CA4A9E" w:rsidRDefault="00AD54A3" w:rsidP="00FD47C7">
            <w:pPr>
              <w:jc w:val="center"/>
              <w:rPr>
                <w:rFonts w:ascii="Calibri" w:hAnsi="Calibri" w:cs="Calibri"/>
                <w:sz w:val="18"/>
                <w:szCs w:val="18"/>
              </w:rPr>
            </w:pPr>
            <w:r w:rsidRPr="00CA4A9E">
              <w:rPr>
                <w:rFonts w:ascii="Calibri" w:hAnsi="Calibri" w:cs="Calibri"/>
                <w:sz w:val="18"/>
                <w:szCs w:val="18"/>
              </w:rPr>
              <w:t>Innych dróg</w:t>
            </w:r>
          </w:p>
        </w:tc>
      </w:tr>
      <w:tr w:rsidR="00AD54A3" w:rsidRPr="00CA4A9E" w:rsidTr="008D16FB">
        <w:tc>
          <w:tcPr>
            <w:tcW w:w="2905" w:type="dxa"/>
            <w:tcBorders>
              <w:left w:val="single" w:sz="6" w:space="0" w:color="auto"/>
              <w:bottom w:val="double" w:sz="6" w:space="0" w:color="auto"/>
            </w:tcBorders>
          </w:tcPr>
          <w:p w:rsidR="00AD54A3" w:rsidRPr="00CA4A9E" w:rsidRDefault="00AD54A3" w:rsidP="00FD47C7">
            <w:pPr>
              <w:jc w:val="center"/>
              <w:rPr>
                <w:rFonts w:ascii="Calibri" w:hAnsi="Calibri" w:cs="Calibri"/>
                <w:sz w:val="18"/>
                <w:szCs w:val="18"/>
              </w:rPr>
            </w:pPr>
            <w:r w:rsidRPr="00CA4A9E">
              <w:rPr>
                <w:rFonts w:ascii="Calibri" w:hAnsi="Calibri" w:cs="Calibri"/>
                <w:sz w:val="18"/>
                <w:szCs w:val="18"/>
              </w:rPr>
              <w:t>korpusu</w:t>
            </w:r>
          </w:p>
        </w:tc>
        <w:tc>
          <w:tcPr>
            <w:tcW w:w="1560" w:type="dxa"/>
            <w:tcBorders>
              <w:left w:val="single" w:sz="6" w:space="0" w:color="auto"/>
              <w:bottom w:val="double" w:sz="6" w:space="0" w:color="auto"/>
            </w:tcBorders>
          </w:tcPr>
          <w:p w:rsidR="00AD54A3" w:rsidRPr="00CA4A9E" w:rsidRDefault="00AD54A3" w:rsidP="00FD47C7">
            <w:pPr>
              <w:jc w:val="center"/>
              <w:rPr>
                <w:rFonts w:ascii="Calibri" w:hAnsi="Calibri" w:cs="Calibri"/>
                <w:sz w:val="18"/>
                <w:szCs w:val="18"/>
              </w:rPr>
            </w:pPr>
            <w:r w:rsidRPr="00CA4A9E">
              <w:rPr>
                <w:rFonts w:ascii="Calibri" w:hAnsi="Calibri" w:cs="Calibri"/>
                <w:sz w:val="18"/>
                <w:szCs w:val="18"/>
              </w:rPr>
              <w:t>ekspresowych</w:t>
            </w:r>
          </w:p>
        </w:tc>
        <w:tc>
          <w:tcPr>
            <w:tcW w:w="1521" w:type="dxa"/>
            <w:tcBorders>
              <w:top w:val="single" w:sz="6" w:space="0" w:color="auto"/>
              <w:left w:val="single" w:sz="6" w:space="0" w:color="auto"/>
              <w:bottom w:val="double" w:sz="6" w:space="0" w:color="auto"/>
              <w:right w:val="single" w:sz="6" w:space="0" w:color="auto"/>
            </w:tcBorders>
          </w:tcPr>
          <w:p w:rsidR="00AD54A3" w:rsidRPr="00CA4A9E" w:rsidRDefault="00AD54A3" w:rsidP="00FD47C7">
            <w:pPr>
              <w:jc w:val="center"/>
              <w:rPr>
                <w:rFonts w:ascii="Calibri" w:hAnsi="Calibri" w:cs="Calibri"/>
                <w:sz w:val="18"/>
                <w:szCs w:val="18"/>
              </w:rPr>
            </w:pPr>
            <w:r w:rsidRPr="00CA4A9E">
              <w:rPr>
                <w:rFonts w:ascii="Calibri" w:hAnsi="Calibri" w:cs="Calibri"/>
                <w:sz w:val="18"/>
                <w:szCs w:val="18"/>
              </w:rPr>
              <w:t>Ruch ciężki</w:t>
            </w:r>
          </w:p>
          <w:p w:rsidR="00AD54A3" w:rsidRPr="00CA4A9E" w:rsidRDefault="00AD54A3" w:rsidP="00FD47C7">
            <w:pPr>
              <w:jc w:val="center"/>
              <w:rPr>
                <w:rFonts w:ascii="Calibri" w:hAnsi="Calibri" w:cs="Calibri"/>
                <w:sz w:val="18"/>
                <w:szCs w:val="18"/>
              </w:rPr>
            </w:pPr>
            <w:r w:rsidRPr="00CA4A9E">
              <w:rPr>
                <w:rFonts w:ascii="Calibri" w:hAnsi="Calibri" w:cs="Calibri"/>
                <w:sz w:val="18"/>
                <w:szCs w:val="18"/>
              </w:rPr>
              <w:t>i bardzo ciężki</w:t>
            </w:r>
          </w:p>
        </w:tc>
        <w:tc>
          <w:tcPr>
            <w:tcW w:w="1524" w:type="dxa"/>
            <w:tcBorders>
              <w:top w:val="single" w:sz="6" w:space="0" w:color="auto"/>
              <w:left w:val="single" w:sz="6" w:space="0" w:color="auto"/>
              <w:bottom w:val="double" w:sz="6" w:space="0" w:color="auto"/>
              <w:right w:val="single" w:sz="6" w:space="0" w:color="auto"/>
            </w:tcBorders>
          </w:tcPr>
          <w:p w:rsidR="00AD54A3" w:rsidRPr="00CA4A9E" w:rsidRDefault="00AD54A3" w:rsidP="00FD47C7">
            <w:pPr>
              <w:jc w:val="center"/>
              <w:rPr>
                <w:rFonts w:ascii="Calibri" w:hAnsi="Calibri" w:cs="Calibri"/>
                <w:sz w:val="18"/>
                <w:szCs w:val="18"/>
              </w:rPr>
            </w:pPr>
            <w:r w:rsidRPr="00CA4A9E">
              <w:rPr>
                <w:rFonts w:ascii="Calibri" w:hAnsi="Calibri" w:cs="Calibri"/>
                <w:sz w:val="18"/>
                <w:szCs w:val="18"/>
              </w:rPr>
              <w:t>Ruch mniejszy</w:t>
            </w:r>
          </w:p>
          <w:p w:rsidR="00AD54A3" w:rsidRPr="00CA4A9E" w:rsidRDefault="00AD54A3" w:rsidP="00FD47C7">
            <w:pPr>
              <w:jc w:val="center"/>
              <w:rPr>
                <w:rFonts w:ascii="Calibri" w:hAnsi="Calibri" w:cs="Calibri"/>
                <w:sz w:val="18"/>
                <w:szCs w:val="18"/>
              </w:rPr>
            </w:pPr>
            <w:r w:rsidRPr="00CA4A9E">
              <w:rPr>
                <w:rFonts w:ascii="Calibri" w:hAnsi="Calibri" w:cs="Calibri"/>
                <w:sz w:val="18"/>
                <w:szCs w:val="18"/>
              </w:rPr>
              <w:t>od ciężkiego</w:t>
            </w:r>
          </w:p>
        </w:tc>
      </w:tr>
      <w:tr w:rsidR="00AD54A3" w:rsidRPr="00CA4A9E" w:rsidTr="008D16FB">
        <w:tc>
          <w:tcPr>
            <w:tcW w:w="2905" w:type="dxa"/>
            <w:tcBorders>
              <w:left w:val="single" w:sz="6" w:space="0" w:color="auto"/>
              <w:bottom w:val="single" w:sz="6" w:space="0" w:color="auto"/>
              <w:right w:val="single" w:sz="6" w:space="0" w:color="auto"/>
            </w:tcBorders>
          </w:tcPr>
          <w:p w:rsidR="00AD54A3" w:rsidRPr="00CA4A9E" w:rsidRDefault="00AD54A3" w:rsidP="00FD47C7">
            <w:pPr>
              <w:jc w:val="center"/>
              <w:rPr>
                <w:rFonts w:ascii="Calibri" w:hAnsi="Calibri" w:cs="Calibri"/>
                <w:sz w:val="18"/>
                <w:szCs w:val="18"/>
              </w:rPr>
            </w:pPr>
            <w:r w:rsidRPr="00CA4A9E">
              <w:rPr>
                <w:rFonts w:ascii="Calibri" w:hAnsi="Calibri" w:cs="Calibri"/>
                <w:sz w:val="18"/>
                <w:szCs w:val="18"/>
              </w:rPr>
              <w:t>Górna warstwa o grubości 20 cm</w:t>
            </w:r>
          </w:p>
        </w:tc>
        <w:tc>
          <w:tcPr>
            <w:tcW w:w="1560" w:type="dxa"/>
            <w:tcBorders>
              <w:left w:val="single" w:sz="6" w:space="0" w:color="auto"/>
              <w:bottom w:val="single" w:sz="6" w:space="0" w:color="auto"/>
              <w:right w:val="single" w:sz="6" w:space="0" w:color="auto"/>
            </w:tcBorders>
          </w:tcPr>
          <w:p w:rsidR="00AD54A3" w:rsidRPr="00CA4A9E" w:rsidRDefault="00AD54A3" w:rsidP="00FD47C7">
            <w:pPr>
              <w:jc w:val="center"/>
              <w:rPr>
                <w:rFonts w:ascii="Calibri" w:hAnsi="Calibri" w:cs="Calibri"/>
                <w:sz w:val="18"/>
                <w:szCs w:val="18"/>
              </w:rPr>
            </w:pPr>
            <w:r w:rsidRPr="00CA4A9E">
              <w:rPr>
                <w:rFonts w:ascii="Calibri" w:hAnsi="Calibri" w:cs="Calibri"/>
                <w:sz w:val="18"/>
                <w:szCs w:val="18"/>
              </w:rPr>
              <w:t>1,03</w:t>
            </w:r>
          </w:p>
        </w:tc>
        <w:tc>
          <w:tcPr>
            <w:tcW w:w="1521" w:type="dxa"/>
            <w:tcBorders>
              <w:left w:val="single" w:sz="6" w:space="0" w:color="auto"/>
              <w:bottom w:val="single" w:sz="6" w:space="0" w:color="auto"/>
              <w:right w:val="single" w:sz="6" w:space="0" w:color="auto"/>
            </w:tcBorders>
          </w:tcPr>
          <w:p w:rsidR="00AD54A3" w:rsidRPr="00CA4A9E" w:rsidRDefault="00AD54A3" w:rsidP="00FD47C7">
            <w:pPr>
              <w:jc w:val="center"/>
              <w:rPr>
                <w:rFonts w:ascii="Calibri" w:hAnsi="Calibri" w:cs="Calibri"/>
                <w:sz w:val="18"/>
                <w:szCs w:val="18"/>
              </w:rPr>
            </w:pPr>
            <w:r w:rsidRPr="00CA4A9E">
              <w:rPr>
                <w:rFonts w:ascii="Calibri" w:hAnsi="Calibri" w:cs="Calibri"/>
                <w:sz w:val="18"/>
                <w:szCs w:val="18"/>
              </w:rPr>
              <w:t>1,00</w:t>
            </w:r>
          </w:p>
        </w:tc>
        <w:tc>
          <w:tcPr>
            <w:tcW w:w="1524" w:type="dxa"/>
            <w:tcBorders>
              <w:left w:val="single" w:sz="6" w:space="0" w:color="auto"/>
              <w:bottom w:val="single" w:sz="6" w:space="0" w:color="auto"/>
              <w:right w:val="single" w:sz="6" w:space="0" w:color="auto"/>
            </w:tcBorders>
          </w:tcPr>
          <w:p w:rsidR="00AD54A3" w:rsidRPr="00CA4A9E" w:rsidRDefault="00AD54A3" w:rsidP="00FD47C7">
            <w:pPr>
              <w:jc w:val="center"/>
              <w:rPr>
                <w:rFonts w:ascii="Calibri" w:hAnsi="Calibri" w:cs="Calibri"/>
                <w:sz w:val="18"/>
                <w:szCs w:val="18"/>
              </w:rPr>
            </w:pPr>
            <w:r w:rsidRPr="00CA4A9E">
              <w:rPr>
                <w:rFonts w:ascii="Calibri" w:hAnsi="Calibri" w:cs="Calibri"/>
                <w:sz w:val="18"/>
                <w:szCs w:val="18"/>
              </w:rPr>
              <w:t>1,00</w:t>
            </w:r>
          </w:p>
        </w:tc>
      </w:tr>
      <w:tr w:rsidR="00AD54A3" w:rsidRPr="00CA4A9E" w:rsidTr="008D16FB">
        <w:tc>
          <w:tcPr>
            <w:tcW w:w="2905" w:type="dxa"/>
            <w:tcBorders>
              <w:top w:val="single" w:sz="6" w:space="0" w:color="auto"/>
              <w:left w:val="single" w:sz="6" w:space="0" w:color="auto"/>
              <w:bottom w:val="single" w:sz="6" w:space="0" w:color="auto"/>
              <w:right w:val="single" w:sz="6" w:space="0" w:color="auto"/>
            </w:tcBorders>
          </w:tcPr>
          <w:p w:rsidR="00AD54A3" w:rsidRPr="00CA4A9E" w:rsidRDefault="00AD54A3" w:rsidP="00FD47C7">
            <w:pPr>
              <w:jc w:val="center"/>
              <w:rPr>
                <w:rFonts w:ascii="Calibri" w:hAnsi="Calibri" w:cs="Calibri"/>
                <w:sz w:val="18"/>
                <w:szCs w:val="18"/>
              </w:rPr>
            </w:pPr>
            <w:r w:rsidRPr="00CA4A9E">
              <w:rPr>
                <w:rFonts w:ascii="Calibri" w:hAnsi="Calibri" w:cs="Calibri"/>
                <w:sz w:val="18"/>
                <w:szCs w:val="18"/>
              </w:rPr>
              <w:t>Na głębokości od 20 do 50 cm od powierzchni podłoża</w:t>
            </w:r>
          </w:p>
        </w:tc>
        <w:tc>
          <w:tcPr>
            <w:tcW w:w="1560" w:type="dxa"/>
            <w:tcBorders>
              <w:top w:val="single" w:sz="6" w:space="0" w:color="auto"/>
              <w:left w:val="single" w:sz="6" w:space="0" w:color="auto"/>
              <w:bottom w:val="single" w:sz="6" w:space="0" w:color="auto"/>
              <w:right w:val="single" w:sz="6" w:space="0" w:color="auto"/>
            </w:tcBorders>
          </w:tcPr>
          <w:p w:rsidR="00AD54A3" w:rsidRPr="00CA4A9E" w:rsidRDefault="00AD54A3" w:rsidP="00FD47C7">
            <w:pPr>
              <w:jc w:val="center"/>
              <w:rPr>
                <w:rFonts w:ascii="Calibri" w:hAnsi="Calibri" w:cs="Calibri"/>
                <w:sz w:val="18"/>
                <w:szCs w:val="18"/>
              </w:rPr>
            </w:pPr>
          </w:p>
          <w:p w:rsidR="00AD54A3" w:rsidRPr="00CA4A9E" w:rsidRDefault="00AD54A3" w:rsidP="00FD47C7">
            <w:pPr>
              <w:jc w:val="center"/>
              <w:rPr>
                <w:rFonts w:ascii="Calibri" w:hAnsi="Calibri" w:cs="Calibri"/>
                <w:sz w:val="18"/>
                <w:szCs w:val="18"/>
              </w:rPr>
            </w:pPr>
            <w:r w:rsidRPr="00CA4A9E">
              <w:rPr>
                <w:rFonts w:ascii="Calibri" w:hAnsi="Calibri" w:cs="Calibri"/>
                <w:sz w:val="18"/>
                <w:szCs w:val="18"/>
              </w:rPr>
              <w:t>1,00</w:t>
            </w:r>
          </w:p>
        </w:tc>
        <w:tc>
          <w:tcPr>
            <w:tcW w:w="1521" w:type="dxa"/>
            <w:tcBorders>
              <w:top w:val="single" w:sz="6" w:space="0" w:color="auto"/>
              <w:left w:val="single" w:sz="6" w:space="0" w:color="auto"/>
              <w:bottom w:val="single" w:sz="6" w:space="0" w:color="auto"/>
              <w:right w:val="single" w:sz="6" w:space="0" w:color="auto"/>
            </w:tcBorders>
          </w:tcPr>
          <w:p w:rsidR="00AD54A3" w:rsidRPr="00CA4A9E" w:rsidRDefault="00AD54A3" w:rsidP="00FD47C7">
            <w:pPr>
              <w:jc w:val="center"/>
              <w:rPr>
                <w:rFonts w:ascii="Calibri" w:hAnsi="Calibri" w:cs="Calibri"/>
                <w:sz w:val="18"/>
                <w:szCs w:val="18"/>
              </w:rPr>
            </w:pPr>
          </w:p>
          <w:p w:rsidR="00AD54A3" w:rsidRPr="00CA4A9E" w:rsidRDefault="00AD54A3" w:rsidP="00FD47C7">
            <w:pPr>
              <w:jc w:val="center"/>
              <w:rPr>
                <w:rFonts w:ascii="Calibri" w:hAnsi="Calibri" w:cs="Calibri"/>
                <w:sz w:val="18"/>
                <w:szCs w:val="18"/>
              </w:rPr>
            </w:pPr>
            <w:r w:rsidRPr="00CA4A9E">
              <w:rPr>
                <w:rFonts w:ascii="Calibri" w:hAnsi="Calibri" w:cs="Calibri"/>
                <w:sz w:val="18"/>
                <w:szCs w:val="18"/>
              </w:rPr>
              <w:t>1,00</w:t>
            </w:r>
          </w:p>
        </w:tc>
        <w:tc>
          <w:tcPr>
            <w:tcW w:w="1524" w:type="dxa"/>
            <w:tcBorders>
              <w:top w:val="single" w:sz="6" w:space="0" w:color="auto"/>
              <w:left w:val="single" w:sz="6" w:space="0" w:color="auto"/>
              <w:bottom w:val="single" w:sz="6" w:space="0" w:color="auto"/>
              <w:right w:val="single" w:sz="6" w:space="0" w:color="auto"/>
            </w:tcBorders>
          </w:tcPr>
          <w:p w:rsidR="00AD54A3" w:rsidRPr="00CA4A9E" w:rsidRDefault="00AD54A3" w:rsidP="00FD47C7">
            <w:pPr>
              <w:jc w:val="center"/>
              <w:rPr>
                <w:rFonts w:ascii="Calibri" w:hAnsi="Calibri" w:cs="Calibri"/>
                <w:sz w:val="18"/>
                <w:szCs w:val="18"/>
              </w:rPr>
            </w:pPr>
          </w:p>
          <w:p w:rsidR="00AD54A3" w:rsidRPr="00CA4A9E" w:rsidRDefault="00AD54A3" w:rsidP="00FD47C7">
            <w:pPr>
              <w:jc w:val="center"/>
              <w:rPr>
                <w:rFonts w:ascii="Calibri" w:hAnsi="Calibri" w:cs="Calibri"/>
                <w:sz w:val="18"/>
                <w:szCs w:val="18"/>
              </w:rPr>
            </w:pPr>
            <w:r w:rsidRPr="00CA4A9E">
              <w:rPr>
                <w:rFonts w:ascii="Calibri" w:hAnsi="Calibri" w:cs="Calibri"/>
                <w:sz w:val="18"/>
                <w:szCs w:val="18"/>
              </w:rPr>
              <w:t>0,97</w:t>
            </w:r>
          </w:p>
        </w:tc>
      </w:tr>
    </w:tbl>
    <w:p w:rsidR="00AD54A3" w:rsidRPr="00CA4A9E" w:rsidRDefault="00AD54A3" w:rsidP="00AD54A3">
      <w:pPr>
        <w:rPr>
          <w:rFonts w:ascii="Calibri" w:hAnsi="Calibri" w:cs="Calibri"/>
        </w:rPr>
      </w:pPr>
    </w:p>
    <w:p w:rsidR="00AD54A3" w:rsidRPr="00CA4A9E" w:rsidRDefault="00AD54A3" w:rsidP="00AD54A3">
      <w:pPr>
        <w:rPr>
          <w:rFonts w:ascii="Calibri" w:hAnsi="Calibri" w:cs="Calibri"/>
        </w:rPr>
      </w:pPr>
      <w:r w:rsidRPr="00CA4A9E">
        <w:rPr>
          <w:rFonts w:ascii="Calibri" w:hAnsi="Calibri" w:cs="Calibri"/>
        </w:rPr>
        <w:tab/>
        <w:t>W przypadku, gdy gruboziarnisty materiał tworzący podłoże uniemożliwia przeprowadzenie badania zagęszczenia, kontrolę zagęszczenia należy oprzeć na metodzie obciążeń płytowych. Należy określić pierwotny i wtórny moduł odkształcenia podłoża według BN-64/8931-02. Stosunek wtórnego i pierwotnego modułu odkształcenia nie powinien przekraczać 2,2.</w:t>
      </w:r>
    </w:p>
    <w:p w:rsidR="00AD54A3" w:rsidRPr="00CA4A9E" w:rsidRDefault="00AD54A3" w:rsidP="00AD54A3">
      <w:pPr>
        <w:rPr>
          <w:rFonts w:ascii="Calibri" w:hAnsi="Calibri" w:cs="Calibri"/>
        </w:rPr>
      </w:pPr>
      <w:r w:rsidRPr="00CA4A9E">
        <w:rPr>
          <w:rFonts w:ascii="Calibri" w:hAnsi="Calibri" w:cs="Calibri"/>
        </w:rPr>
        <w:tab/>
        <w:t>Wilgotność gruntu podłoża podczas zagęszczania powinna być równa wilgotności optymalnej z tolerancją od -20% do +10%.</w:t>
      </w:r>
    </w:p>
    <w:p w:rsidR="00AD54A3" w:rsidRPr="00CA4A9E" w:rsidRDefault="00AD54A3" w:rsidP="00AD54A3">
      <w:pPr>
        <w:rPr>
          <w:rFonts w:ascii="Calibri" w:hAnsi="Calibri" w:cs="Calibri"/>
        </w:rPr>
      </w:pPr>
      <w:bookmarkStart w:id="830" w:name="_Toc406913855"/>
      <w:bookmarkStart w:id="831" w:name="_Toc406914100"/>
      <w:bookmarkStart w:id="832" w:name="_Toc406914755"/>
      <w:bookmarkStart w:id="833" w:name="_Toc406915333"/>
      <w:bookmarkStart w:id="834" w:name="_Toc406984026"/>
      <w:bookmarkStart w:id="835" w:name="_Toc406984173"/>
      <w:bookmarkStart w:id="836" w:name="_Toc406984364"/>
      <w:bookmarkStart w:id="837" w:name="_Toc407069572"/>
      <w:bookmarkStart w:id="838" w:name="_Toc407081537"/>
      <w:bookmarkStart w:id="839" w:name="_Toc407083336"/>
      <w:bookmarkStart w:id="840" w:name="_Toc407084170"/>
      <w:bookmarkStart w:id="841" w:name="_Toc407085289"/>
      <w:bookmarkStart w:id="842" w:name="_Toc407085432"/>
      <w:bookmarkStart w:id="843" w:name="_Toc407085575"/>
      <w:bookmarkStart w:id="844" w:name="_Toc407086023"/>
      <w:r w:rsidRPr="00CD1E02">
        <w:rPr>
          <w:rFonts w:ascii="Calibri" w:hAnsi="Calibri" w:cs="Calibri"/>
          <w:b/>
        </w:rPr>
        <w:t>5.5.</w:t>
      </w:r>
      <w:r w:rsidRPr="00CA4A9E">
        <w:rPr>
          <w:rFonts w:ascii="Calibri" w:hAnsi="Calibri" w:cs="Calibri"/>
        </w:rPr>
        <w:t xml:space="preserve"> Utrzymanie koryta oraz wyprofilowanego i zagęszczonego podłoża</w:t>
      </w:r>
      <w:bookmarkEnd w:id="830"/>
      <w:bookmarkEnd w:id="831"/>
      <w:bookmarkEnd w:id="832"/>
      <w:bookmarkEnd w:id="833"/>
      <w:bookmarkEnd w:id="834"/>
      <w:bookmarkEnd w:id="835"/>
      <w:bookmarkEnd w:id="836"/>
      <w:bookmarkEnd w:id="837"/>
      <w:bookmarkEnd w:id="838"/>
      <w:bookmarkEnd w:id="839"/>
      <w:bookmarkEnd w:id="840"/>
      <w:bookmarkEnd w:id="841"/>
      <w:bookmarkEnd w:id="842"/>
      <w:bookmarkEnd w:id="843"/>
      <w:bookmarkEnd w:id="844"/>
    </w:p>
    <w:p w:rsidR="00AD54A3" w:rsidRPr="00CA4A9E" w:rsidRDefault="00AD54A3" w:rsidP="00AD54A3">
      <w:pPr>
        <w:rPr>
          <w:rFonts w:ascii="Calibri" w:hAnsi="Calibri" w:cs="Calibri"/>
        </w:rPr>
      </w:pPr>
      <w:r w:rsidRPr="00CA4A9E">
        <w:rPr>
          <w:rFonts w:ascii="Calibri" w:hAnsi="Calibri" w:cs="Calibri"/>
        </w:rPr>
        <w:tab/>
        <w:t>Podłoże (koryto) po wyprofilowaniu i zagęszczeniu powinno być utrzymywane w dobrym stanie.</w:t>
      </w:r>
    </w:p>
    <w:p w:rsidR="00AD54A3" w:rsidRPr="00CA4A9E" w:rsidRDefault="00AD54A3" w:rsidP="00AD54A3">
      <w:pPr>
        <w:rPr>
          <w:rFonts w:ascii="Calibri" w:hAnsi="Calibri" w:cs="Calibri"/>
        </w:rPr>
      </w:pPr>
      <w:r w:rsidRPr="00CA4A9E">
        <w:rPr>
          <w:rFonts w:ascii="Calibri" w:hAnsi="Calibri" w:cs="Calibri"/>
        </w:rPr>
        <w:tab/>
        <w:t>Jeżeli po wykonaniu robót związanych z profilowaniem i zagęszczeniem podłoża nastąpi przerwa w robotach i Wykonawca nie przystąpi natychmiast do układania warstw nawierzchni, to powinien on zabezpieczyć podłoże przed nadmiernym zawilgoceniem, na przykład przez rozłożenie folii lub w inny sposób zaakceptowany przez Inżyniera.</w:t>
      </w:r>
    </w:p>
    <w:p w:rsidR="00AD54A3" w:rsidRPr="00CA4A9E" w:rsidRDefault="00AD54A3" w:rsidP="00AD54A3">
      <w:pPr>
        <w:rPr>
          <w:rFonts w:ascii="Calibri" w:hAnsi="Calibri" w:cs="Calibri"/>
        </w:rPr>
      </w:pPr>
      <w:r w:rsidRPr="00CA4A9E">
        <w:rPr>
          <w:rFonts w:ascii="Calibri" w:hAnsi="Calibri" w:cs="Calibri"/>
        </w:rPr>
        <w:tab/>
        <w:t>Jeżeli wyprofilowane i zagęszczone podłoże uległo nadmiernemu zawilgoceniu, to do układania kolejnej warstwy można przystąpić dopiero po jego naturalnym osuszeniu.</w:t>
      </w:r>
    </w:p>
    <w:p w:rsidR="00AD54A3" w:rsidRPr="00CA4A9E" w:rsidRDefault="00AD54A3" w:rsidP="00AD54A3">
      <w:pPr>
        <w:rPr>
          <w:rFonts w:ascii="Calibri" w:hAnsi="Calibri" w:cs="Calibri"/>
        </w:rPr>
      </w:pPr>
      <w:r w:rsidRPr="00CA4A9E">
        <w:rPr>
          <w:rFonts w:ascii="Calibri" w:hAnsi="Calibri" w:cs="Calibri"/>
        </w:rPr>
        <w:tab/>
        <w:t>Po osuszeniu podłoża Inżynier oceni jego stan i ewentualnie zaleci wykonanie niezbędnych napraw. Jeżeli zawilgocenie nastąpiło wskutek zaniedbania Wykonawcy, to naprawę wykona on na własny koszt.</w:t>
      </w:r>
    </w:p>
    <w:p w:rsidR="00AD54A3" w:rsidRPr="00CA4A9E" w:rsidRDefault="00AD54A3" w:rsidP="00AD54A3">
      <w:pPr>
        <w:rPr>
          <w:rFonts w:ascii="Calibri" w:hAnsi="Calibri" w:cs="Calibri"/>
        </w:rPr>
      </w:pPr>
    </w:p>
    <w:p w:rsidR="00AD54A3" w:rsidRPr="00C514F7" w:rsidRDefault="00AD54A3" w:rsidP="00AD54A3">
      <w:pPr>
        <w:rPr>
          <w:rFonts w:ascii="Calibri" w:hAnsi="Calibri" w:cs="Calibri"/>
          <w:b/>
        </w:rPr>
      </w:pPr>
      <w:bookmarkStart w:id="845" w:name="_Toc406913856"/>
      <w:bookmarkStart w:id="846" w:name="_Toc406914101"/>
      <w:bookmarkStart w:id="847" w:name="_Toc406914756"/>
      <w:bookmarkStart w:id="848" w:name="_Toc406915334"/>
      <w:bookmarkStart w:id="849" w:name="_Toc406984027"/>
      <w:bookmarkStart w:id="850" w:name="_Toc406984174"/>
      <w:bookmarkStart w:id="851" w:name="_Toc406984365"/>
      <w:bookmarkStart w:id="852" w:name="_Toc407069573"/>
      <w:bookmarkStart w:id="853" w:name="_Toc407081538"/>
      <w:bookmarkStart w:id="854" w:name="_Toc407083337"/>
      <w:bookmarkStart w:id="855" w:name="_Toc407084171"/>
      <w:bookmarkStart w:id="856" w:name="_Toc407085290"/>
      <w:bookmarkStart w:id="857" w:name="_Toc407085433"/>
      <w:bookmarkStart w:id="858" w:name="_Toc407085576"/>
      <w:bookmarkStart w:id="859" w:name="_Toc407086024"/>
      <w:r w:rsidRPr="00C514F7">
        <w:rPr>
          <w:rFonts w:ascii="Calibri" w:hAnsi="Calibri" w:cs="Calibri"/>
          <w:b/>
        </w:rPr>
        <w:t xml:space="preserve">6. </w:t>
      </w:r>
      <w:bookmarkEnd w:id="845"/>
      <w:bookmarkEnd w:id="846"/>
      <w:bookmarkEnd w:id="847"/>
      <w:bookmarkEnd w:id="848"/>
      <w:bookmarkEnd w:id="849"/>
      <w:bookmarkEnd w:id="850"/>
      <w:bookmarkEnd w:id="851"/>
      <w:bookmarkEnd w:id="852"/>
      <w:bookmarkEnd w:id="853"/>
      <w:bookmarkEnd w:id="854"/>
      <w:bookmarkEnd w:id="855"/>
      <w:bookmarkEnd w:id="856"/>
      <w:bookmarkEnd w:id="857"/>
      <w:bookmarkEnd w:id="858"/>
      <w:bookmarkEnd w:id="859"/>
      <w:r w:rsidRPr="00C514F7">
        <w:rPr>
          <w:rFonts w:ascii="Calibri" w:hAnsi="Calibri" w:cs="Calibri"/>
          <w:b/>
        </w:rPr>
        <w:t>KONTROLA JAKOŚCI ROBÓT</w:t>
      </w:r>
    </w:p>
    <w:p w:rsidR="00AD54A3" w:rsidRPr="00CA4A9E" w:rsidRDefault="00AD54A3" w:rsidP="00AD54A3">
      <w:pPr>
        <w:rPr>
          <w:rFonts w:ascii="Calibri" w:hAnsi="Calibri" w:cs="Calibri"/>
        </w:rPr>
      </w:pPr>
      <w:bookmarkStart w:id="860" w:name="_Toc406913857"/>
      <w:bookmarkStart w:id="861" w:name="_Toc406914102"/>
      <w:bookmarkStart w:id="862" w:name="_Toc406914757"/>
      <w:bookmarkStart w:id="863" w:name="_Toc406915335"/>
      <w:bookmarkStart w:id="864" w:name="_Toc406984028"/>
      <w:bookmarkStart w:id="865" w:name="_Toc406984175"/>
      <w:bookmarkStart w:id="866" w:name="_Toc406984366"/>
      <w:bookmarkStart w:id="867" w:name="_Toc407069574"/>
      <w:bookmarkStart w:id="868" w:name="_Toc407081539"/>
      <w:bookmarkStart w:id="869" w:name="_Toc407083338"/>
      <w:bookmarkStart w:id="870" w:name="_Toc407084172"/>
      <w:bookmarkStart w:id="871" w:name="_Toc407085291"/>
      <w:bookmarkStart w:id="872" w:name="_Toc407085434"/>
      <w:bookmarkStart w:id="873" w:name="_Toc407085577"/>
      <w:bookmarkStart w:id="874" w:name="_Toc407086025"/>
      <w:r w:rsidRPr="00C514F7">
        <w:rPr>
          <w:rFonts w:ascii="Calibri" w:hAnsi="Calibri" w:cs="Calibri"/>
          <w:b/>
        </w:rPr>
        <w:t>6.1.</w:t>
      </w:r>
      <w:r w:rsidRPr="00CA4A9E">
        <w:rPr>
          <w:rFonts w:ascii="Calibri" w:hAnsi="Calibri" w:cs="Calibri"/>
        </w:rPr>
        <w:t xml:space="preserve"> Ogólne zasady kontroli jakości robót</w:t>
      </w:r>
      <w:bookmarkEnd w:id="860"/>
      <w:bookmarkEnd w:id="861"/>
      <w:bookmarkEnd w:id="862"/>
      <w:bookmarkEnd w:id="863"/>
      <w:bookmarkEnd w:id="864"/>
      <w:bookmarkEnd w:id="865"/>
      <w:bookmarkEnd w:id="866"/>
      <w:bookmarkEnd w:id="867"/>
      <w:bookmarkEnd w:id="868"/>
      <w:bookmarkEnd w:id="869"/>
      <w:bookmarkEnd w:id="870"/>
      <w:bookmarkEnd w:id="871"/>
      <w:bookmarkEnd w:id="872"/>
      <w:bookmarkEnd w:id="873"/>
      <w:bookmarkEnd w:id="874"/>
    </w:p>
    <w:p w:rsidR="00AD54A3" w:rsidRPr="00CA4A9E" w:rsidRDefault="00AD54A3" w:rsidP="00AD54A3">
      <w:pPr>
        <w:rPr>
          <w:rFonts w:ascii="Calibri" w:hAnsi="Calibri" w:cs="Calibri"/>
        </w:rPr>
      </w:pPr>
      <w:r w:rsidRPr="00CA4A9E">
        <w:rPr>
          <w:rFonts w:ascii="Calibri" w:hAnsi="Calibri" w:cs="Calibri"/>
        </w:rPr>
        <w:tab/>
        <w:t>Ogólne zasady kontroli jakości robót podano w ST D-M-00.00.00 „Wymagania ogólne” pkt 6.</w:t>
      </w:r>
    </w:p>
    <w:p w:rsidR="00AD54A3" w:rsidRPr="00CA4A9E" w:rsidRDefault="00AD54A3" w:rsidP="00AD54A3">
      <w:pPr>
        <w:rPr>
          <w:rFonts w:ascii="Calibri" w:hAnsi="Calibri" w:cs="Calibri"/>
        </w:rPr>
      </w:pPr>
      <w:bookmarkStart w:id="875" w:name="_Toc406913858"/>
      <w:bookmarkStart w:id="876" w:name="_Toc406914103"/>
      <w:bookmarkStart w:id="877" w:name="_Toc406914758"/>
      <w:bookmarkStart w:id="878" w:name="_Toc406915336"/>
      <w:bookmarkStart w:id="879" w:name="_Toc406984029"/>
      <w:bookmarkStart w:id="880" w:name="_Toc406984176"/>
      <w:bookmarkStart w:id="881" w:name="_Toc406984367"/>
      <w:bookmarkStart w:id="882" w:name="_Toc407069575"/>
      <w:bookmarkStart w:id="883" w:name="_Toc407081540"/>
      <w:bookmarkStart w:id="884" w:name="_Toc407083339"/>
      <w:bookmarkStart w:id="885" w:name="_Toc407084173"/>
      <w:bookmarkStart w:id="886" w:name="_Toc407085292"/>
      <w:bookmarkStart w:id="887" w:name="_Toc407085435"/>
      <w:bookmarkStart w:id="888" w:name="_Toc407085578"/>
      <w:bookmarkStart w:id="889" w:name="_Toc407086026"/>
      <w:r w:rsidRPr="00C514F7">
        <w:rPr>
          <w:rFonts w:ascii="Calibri" w:hAnsi="Calibri" w:cs="Calibri"/>
          <w:b/>
        </w:rPr>
        <w:t>6.2.</w:t>
      </w:r>
      <w:r w:rsidRPr="00CA4A9E">
        <w:rPr>
          <w:rFonts w:ascii="Calibri" w:hAnsi="Calibri" w:cs="Calibri"/>
        </w:rPr>
        <w:t xml:space="preserve"> Badania w czasie robót</w:t>
      </w:r>
      <w:bookmarkEnd w:id="875"/>
      <w:bookmarkEnd w:id="876"/>
      <w:bookmarkEnd w:id="877"/>
      <w:bookmarkEnd w:id="878"/>
      <w:bookmarkEnd w:id="879"/>
      <w:bookmarkEnd w:id="880"/>
      <w:bookmarkEnd w:id="881"/>
      <w:bookmarkEnd w:id="882"/>
      <w:bookmarkEnd w:id="883"/>
      <w:bookmarkEnd w:id="884"/>
      <w:bookmarkEnd w:id="885"/>
      <w:bookmarkEnd w:id="886"/>
      <w:bookmarkEnd w:id="887"/>
      <w:bookmarkEnd w:id="888"/>
      <w:bookmarkEnd w:id="889"/>
    </w:p>
    <w:p w:rsidR="00AD54A3" w:rsidRPr="00CA4A9E" w:rsidRDefault="00AD54A3" w:rsidP="00AD54A3">
      <w:pPr>
        <w:rPr>
          <w:rFonts w:ascii="Calibri" w:hAnsi="Calibri" w:cs="Calibri"/>
        </w:rPr>
      </w:pPr>
      <w:r w:rsidRPr="00C514F7">
        <w:rPr>
          <w:rFonts w:ascii="Calibri" w:hAnsi="Calibri" w:cs="Calibri"/>
          <w:b/>
        </w:rPr>
        <w:t>6.2.1.</w:t>
      </w:r>
      <w:r w:rsidRPr="00CA4A9E">
        <w:rPr>
          <w:rFonts w:ascii="Calibri" w:hAnsi="Calibri" w:cs="Calibri"/>
        </w:rPr>
        <w:t xml:space="preserve"> Częstotliwość oraz zakres badań i pomiarów</w:t>
      </w:r>
    </w:p>
    <w:p w:rsidR="00AD54A3" w:rsidRPr="00CA4A9E" w:rsidRDefault="00AD54A3" w:rsidP="00AD54A3">
      <w:pPr>
        <w:rPr>
          <w:rFonts w:ascii="Calibri" w:hAnsi="Calibri" w:cs="Calibri"/>
        </w:rPr>
      </w:pPr>
      <w:r w:rsidRPr="00CA4A9E">
        <w:rPr>
          <w:rFonts w:ascii="Calibri" w:hAnsi="Calibri" w:cs="Calibri"/>
        </w:rPr>
        <w:tab/>
        <w:t>Częstotliwość oraz zakres badań i pomiarów dotyczących cech geometrycznych i zagęszczenia koryta i wyprofilowanego podłoża podaje tablica 2.</w:t>
      </w:r>
    </w:p>
    <w:p w:rsidR="00AD54A3" w:rsidRPr="00CA4A9E" w:rsidRDefault="00AD54A3" w:rsidP="00AD54A3">
      <w:pPr>
        <w:rPr>
          <w:rFonts w:ascii="Calibri" w:hAnsi="Calibri" w:cs="Calibri"/>
        </w:rPr>
      </w:pPr>
    </w:p>
    <w:p w:rsidR="00AD54A3" w:rsidRPr="00CA4A9E" w:rsidRDefault="008D16FB" w:rsidP="008D16FB">
      <w:pPr>
        <w:ind w:left="709"/>
        <w:rPr>
          <w:rFonts w:ascii="Calibri" w:hAnsi="Calibri" w:cs="Calibri"/>
        </w:rPr>
      </w:pPr>
      <w:r>
        <w:rPr>
          <w:rFonts w:ascii="Calibri" w:hAnsi="Calibri" w:cs="Calibri"/>
        </w:rPr>
        <w:t xml:space="preserve">Tablica 2. </w:t>
      </w:r>
      <w:r w:rsidR="00AD54A3" w:rsidRPr="00CA4A9E">
        <w:rPr>
          <w:rFonts w:ascii="Calibri" w:hAnsi="Calibri" w:cs="Calibri"/>
        </w:rPr>
        <w:t>Częstotliwość oraz zakres badań i pomiarów wykonanego koryta i wyprofilowanego podłoża</w:t>
      </w:r>
    </w:p>
    <w:tbl>
      <w:tblPr>
        <w:tblW w:w="0" w:type="auto"/>
        <w:tblInd w:w="779" w:type="dxa"/>
        <w:tblLayout w:type="fixed"/>
        <w:tblCellMar>
          <w:left w:w="70" w:type="dxa"/>
          <w:right w:w="70" w:type="dxa"/>
        </w:tblCellMar>
        <w:tblLook w:val="0000"/>
      </w:tblPr>
      <w:tblGrid>
        <w:gridCol w:w="491"/>
        <w:gridCol w:w="2247"/>
        <w:gridCol w:w="4703"/>
      </w:tblGrid>
      <w:tr w:rsidR="00AD54A3" w:rsidRPr="00CA4A9E" w:rsidTr="008D16FB">
        <w:tc>
          <w:tcPr>
            <w:tcW w:w="491" w:type="dxa"/>
            <w:tcBorders>
              <w:top w:val="single" w:sz="6" w:space="0" w:color="auto"/>
              <w:left w:val="single" w:sz="6" w:space="0" w:color="auto"/>
              <w:bottom w:val="double" w:sz="6" w:space="0" w:color="auto"/>
              <w:right w:val="single" w:sz="6" w:space="0" w:color="auto"/>
            </w:tcBorders>
          </w:tcPr>
          <w:p w:rsidR="00AD54A3" w:rsidRPr="00CA4A9E" w:rsidRDefault="00AD54A3" w:rsidP="00FD47C7">
            <w:pPr>
              <w:jc w:val="center"/>
              <w:rPr>
                <w:rFonts w:ascii="Calibri" w:hAnsi="Calibri" w:cs="Calibri"/>
                <w:sz w:val="18"/>
                <w:szCs w:val="18"/>
              </w:rPr>
            </w:pPr>
            <w:r w:rsidRPr="00CA4A9E">
              <w:rPr>
                <w:rFonts w:ascii="Calibri" w:hAnsi="Calibri" w:cs="Calibri"/>
                <w:sz w:val="18"/>
                <w:szCs w:val="18"/>
              </w:rPr>
              <w:t>Lp.</w:t>
            </w:r>
          </w:p>
        </w:tc>
        <w:tc>
          <w:tcPr>
            <w:tcW w:w="2247" w:type="dxa"/>
            <w:tcBorders>
              <w:top w:val="single" w:sz="6" w:space="0" w:color="auto"/>
              <w:left w:val="single" w:sz="6" w:space="0" w:color="auto"/>
              <w:bottom w:val="double" w:sz="6" w:space="0" w:color="auto"/>
              <w:right w:val="single" w:sz="6" w:space="0" w:color="auto"/>
            </w:tcBorders>
          </w:tcPr>
          <w:p w:rsidR="00AD54A3" w:rsidRPr="00CA4A9E" w:rsidRDefault="00AD54A3" w:rsidP="00FD47C7">
            <w:pPr>
              <w:jc w:val="center"/>
              <w:rPr>
                <w:rFonts w:ascii="Calibri" w:hAnsi="Calibri" w:cs="Calibri"/>
                <w:sz w:val="18"/>
                <w:szCs w:val="18"/>
              </w:rPr>
            </w:pPr>
            <w:r w:rsidRPr="00CA4A9E">
              <w:rPr>
                <w:rFonts w:ascii="Calibri" w:hAnsi="Calibri" w:cs="Calibri"/>
                <w:sz w:val="18"/>
                <w:szCs w:val="18"/>
              </w:rPr>
              <w:t>Wyszczególnienie badań</w:t>
            </w:r>
          </w:p>
          <w:p w:rsidR="00AD54A3" w:rsidRPr="00CA4A9E" w:rsidRDefault="00AD54A3" w:rsidP="00FD47C7">
            <w:pPr>
              <w:jc w:val="center"/>
              <w:rPr>
                <w:rFonts w:ascii="Calibri" w:hAnsi="Calibri" w:cs="Calibri"/>
                <w:sz w:val="18"/>
                <w:szCs w:val="18"/>
              </w:rPr>
            </w:pPr>
            <w:r w:rsidRPr="00CA4A9E">
              <w:rPr>
                <w:rFonts w:ascii="Calibri" w:hAnsi="Calibri" w:cs="Calibri"/>
                <w:sz w:val="18"/>
                <w:szCs w:val="18"/>
              </w:rPr>
              <w:t>i pomiarów</w:t>
            </w:r>
          </w:p>
        </w:tc>
        <w:tc>
          <w:tcPr>
            <w:tcW w:w="4703" w:type="dxa"/>
            <w:tcBorders>
              <w:top w:val="single" w:sz="6" w:space="0" w:color="auto"/>
              <w:left w:val="single" w:sz="6" w:space="0" w:color="auto"/>
              <w:bottom w:val="double" w:sz="6" w:space="0" w:color="auto"/>
              <w:right w:val="single" w:sz="6" w:space="0" w:color="auto"/>
            </w:tcBorders>
          </w:tcPr>
          <w:p w:rsidR="00AD54A3" w:rsidRPr="00CA4A9E" w:rsidRDefault="00AD54A3" w:rsidP="00FD47C7">
            <w:pPr>
              <w:jc w:val="center"/>
              <w:rPr>
                <w:rFonts w:ascii="Calibri" w:hAnsi="Calibri" w:cs="Calibri"/>
                <w:sz w:val="18"/>
                <w:szCs w:val="18"/>
              </w:rPr>
            </w:pPr>
            <w:r w:rsidRPr="00CA4A9E">
              <w:rPr>
                <w:rFonts w:ascii="Calibri" w:hAnsi="Calibri" w:cs="Calibri"/>
                <w:sz w:val="18"/>
                <w:szCs w:val="18"/>
              </w:rPr>
              <w:t>Minimalna częstotliwość</w:t>
            </w:r>
          </w:p>
          <w:p w:rsidR="00AD54A3" w:rsidRPr="00CA4A9E" w:rsidRDefault="00AD54A3" w:rsidP="00FD47C7">
            <w:pPr>
              <w:jc w:val="center"/>
              <w:rPr>
                <w:rFonts w:ascii="Calibri" w:hAnsi="Calibri" w:cs="Calibri"/>
                <w:sz w:val="18"/>
                <w:szCs w:val="18"/>
              </w:rPr>
            </w:pPr>
            <w:r w:rsidRPr="00CA4A9E">
              <w:rPr>
                <w:rFonts w:ascii="Calibri" w:hAnsi="Calibri" w:cs="Calibri"/>
                <w:sz w:val="18"/>
                <w:szCs w:val="18"/>
              </w:rPr>
              <w:t>badań i pomiarów</w:t>
            </w:r>
          </w:p>
        </w:tc>
      </w:tr>
      <w:tr w:rsidR="00AD54A3" w:rsidRPr="00CA4A9E" w:rsidTr="008D16FB">
        <w:tc>
          <w:tcPr>
            <w:tcW w:w="491" w:type="dxa"/>
            <w:tcBorders>
              <w:left w:val="single" w:sz="6" w:space="0" w:color="auto"/>
              <w:bottom w:val="single" w:sz="6" w:space="0" w:color="auto"/>
              <w:right w:val="single" w:sz="6" w:space="0" w:color="auto"/>
            </w:tcBorders>
          </w:tcPr>
          <w:p w:rsidR="00AD54A3" w:rsidRPr="00CA4A9E" w:rsidRDefault="00AD54A3" w:rsidP="00FD47C7">
            <w:pPr>
              <w:jc w:val="center"/>
              <w:rPr>
                <w:rFonts w:ascii="Calibri" w:hAnsi="Calibri" w:cs="Calibri"/>
                <w:sz w:val="18"/>
                <w:szCs w:val="18"/>
              </w:rPr>
            </w:pPr>
            <w:r w:rsidRPr="00CA4A9E">
              <w:rPr>
                <w:rFonts w:ascii="Calibri" w:hAnsi="Calibri" w:cs="Calibri"/>
                <w:sz w:val="18"/>
                <w:szCs w:val="18"/>
              </w:rPr>
              <w:t>1</w:t>
            </w:r>
          </w:p>
        </w:tc>
        <w:tc>
          <w:tcPr>
            <w:tcW w:w="2247" w:type="dxa"/>
            <w:tcBorders>
              <w:left w:val="single" w:sz="6" w:space="0" w:color="auto"/>
              <w:bottom w:val="single" w:sz="6" w:space="0" w:color="auto"/>
              <w:right w:val="single" w:sz="6" w:space="0" w:color="auto"/>
            </w:tcBorders>
          </w:tcPr>
          <w:p w:rsidR="00AD54A3" w:rsidRPr="00CA4A9E" w:rsidRDefault="00AD54A3" w:rsidP="00FD47C7">
            <w:pPr>
              <w:jc w:val="center"/>
              <w:rPr>
                <w:rFonts w:ascii="Calibri" w:hAnsi="Calibri" w:cs="Calibri"/>
                <w:sz w:val="18"/>
                <w:szCs w:val="18"/>
              </w:rPr>
            </w:pPr>
            <w:r w:rsidRPr="00CA4A9E">
              <w:rPr>
                <w:rFonts w:ascii="Calibri" w:hAnsi="Calibri" w:cs="Calibri"/>
                <w:sz w:val="18"/>
                <w:szCs w:val="18"/>
              </w:rPr>
              <w:t>Szerokość koryta</w:t>
            </w:r>
          </w:p>
        </w:tc>
        <w:tc>
          <w:tcPr>
            <w:tcW w:w="4703" w:type="dxa"/>
            <w:tcBorders>
              <w:left w:val="single" w:sz="6" w:space="0" w:color="auto"/>
              <w:bottom w:val="single" w:sz="6" w:space="0" w:color="auto"/>
              <w:right w:val="single" w:sz="6" w:space="0" w:color="auto"/>
            </w:tcBorders>
          </w:tcPr>
          <w:p w:rsidR="00AD54A3" w:rsidRPr="00CA4A9E" w:rsidRDefault="009B4F21" w:rsidP="00FD47C7">
            <w:pPr>
              <w:jc w:val="center"/>
              <w:rPr>
                <w:rFonts w:ascii="Calibri" w:hAnsi="Calibri" w:cs="Calibri"/>
                <w:sz w:val="18"/>
                <w:szCs w:val="18"/>
              </w:rPr>
            </w:pPr>
            <w:r>
              <w:rPr>
                <w:rFonts w:ascii="Calibri" w:hAnsi="Calibri" w:cs="Calibri"/>
                <w:sz w:val="18"/>
                <w:szCs w:val="18"/>
              </w:rPr>
              <w:t>raz na 50 m</w:t>
            </w:r>
          </w:p>
        </w:tc>
      </w:tr>
      <w:tr w:rsidR="00AD54A3" w:rsidRPr="00CA4A9E" w:rsidTr="008D16FB">
        <w:tc>
          <w:tcPr>
            <w:tcW w:w="491" w:type="dxa"/>
            <w:tcBorders>
              <w:top w:val="single" w:sz="6" w:space="0" w:color="auto"/>
              <w:left w:val="single" w:sz="6" w:space="0" w:color="auto"/>
              <w:bottom w:val="single" w:sz="6" w:space="0" w:color="auto"/>
              <w:right w:val="single" w:sz="6" w:space="0" w:color="auto"/>
            </w:tcBorders>
          </w:tcPr>
          <w:p w:rsidR="00AD54A3" w:rsidRPr="00CA4A9E" w:rsidRDefault="00AD54A3" w:rsidP="00FD47C7">
            <w:pPr>
              <w:jc w:val="center"/>
              <w:rPr>
                <w:rFonts w:ascii="Calibri" w:hAnsi="Calibri" w:cs="Calibri"/>
                <w:sz w:val="18"/>
                <w:szCs w:val="18"/>
              </w:rPr>
            </w:pPr>
            <w:r w:rsidRPr="00CA4A9E">
              <w:rPr>
                <w:rFonts w:ascii="Calibri" w:hAnsi="Calibri" w:cs="Calibri"/>
                <w:sz w:val="18"/>
                <w:szCs w:val="18"/>
              </w:rPr>
              <w:t>2</w:t>
            </w:r>
          </w:p>
        </w:tc>
        <w:tc>
          <w:tcPr>
            <w:tcW w:w="2247" w:type="dxa"/>
            <w:tcBorders>
              <w:top w:val="single" w:sz="6" w:space="0" w:color="auto"/>
              <w:left w:val="single" w:sz="6" w:space="0" w:color="auto"/>
              <w:bottom w:val="single" w:sz="6" w:space="0" w:color="auto"/>
              <w:right w:val="single" w:sz="6" w:space="0" w:color="auto"/>
            </w:tcBorders>
          </w:tcPr>
          <w:p w:rsidR="00AD54A3" w:rsidRPr="00CA4A9E" w:rsidRDefault="00AD54A3" w:rsidP="00FD47C7">
            <w:pPr>
              <w:jc w:val="center"/>
              <w:rPr>
                <w:rFonts w:ascii="Calibri" w:hAnsi="Calibri" w:cs="Calibri"/>
                <w:sz w:val="18"/>
                <w:szCs w:val="18"/>
              </w:rPr>
            </w:pPr>
            <w:r w:rsidRPr="00CA4A9E">
              <w:rPr>
                <w:rFonts w:ascii="Calibri" w:hAnsi="Calibri" w:cs="Calibri"/>
                <w:sz w:val="18"/>
                <w:szCs w:val="18"/>
              </w:rPr>
              <w:t>Równość podłużna</w:t>
            </w:r>
          </w:p>
        </w:tc>
        <w:tc>
          <w:tcPr>
            <w:tcW w:w="4703" w:type="dxa"/>
            <w:tcBorders>
              <w:top w:val="single" w:sz="6" w:space="0" w:color="auto"/>
              <w:left w:val="single" w:sz="6" w:space="0" w:color="auto"/>
              <w:bottom w:val="single" w:sz="6" w:space="0" w:color="auto"/>
              <w:right w:val="single" w:sz="6" w:space="0" w:color="auto"/>
            </w:tcBorders>
          </w:tcPr>
          <w:p w:rsidR="00AD54A3" w:rsidRPr="00CA4A9E" w:rsidRDefault="009B4F21" w:rsidP="009B4F21">
            <w:pPr>
              <w:jc w:val="center"/>
              <w:rPr>
                <w:rFonts w:ascii="Calibri" w:hAnsi="Calibri" w:cs="Calibri"/>
                <w:sz w:val="18"/>
                <w:szCs w:val="18"/>
              </w:rPr>
            </w:pPr>
            <w:r>
              <w:rPr>
                <w:rFonts w:ascii="Calibri" w:hAnsi="Calibri" w:cs="Calibri"/>
                <w:sz w:val="18"/>
                <w:szCs w:val="18"/>
              </w:rPr>
              <w:t>co 1</w:t>
            </w:r>
            <w:r w:rsidR="00AD54A3" w:rsidRPr="00CA4A9E">
              <w:rPr>
                <w:rFonts w:ascii="Calibri" w:hAnsi="Calibri" w:cs="Calibri"/>
                <w:sz w:val="18"/>
                <w:szCs w:val="18"/>
              </w:rPr>
              <w:t xml:space="preserve">0 m </w:t>
            </w:r>
          </w:p>
        </w:tc>
      </w:tr>
      <w:tr w:rsidR="00AD54A3" w:rsidRPr="00CA4A9E" w:rsidTr="008D16FB">
        <w:tc>
          <w:tcPr>
            <w:tcW w:w="491" w:type="dxa"/>
            <w:tcBorders>
              <w:top w:val="single" w:sz="6" w:space="0" w:color="auto"/>
              <w:left w:val="single" w:sz="6" w:space="0" w:color="auto"/>
              <w:bottom w:val="single" w:sz="6" w:space="0" w:color="auto"/>
              <w:right w:val="single" w:sz="6" w:space="0" w:color="auto"/>
            </w:tcBorders>
          </w:tcPr>
          <w:p w:rsidR="00AD54A3" w:rsidRPr="00CA4A9E" w:rsidRDefault="00AD54A3" w:rsidP="00FD47C7">
            <w:pPr>
              <w:jc w:val="center"/>
              <w:rPr>
                <w:rFonts w:ascii="Calibri" w:hAnsi="Calibri" w:cs="Calibri"/>
                <w:sz w:val="18"/>
                <w:szCs w:val="18"/>
              </w:rPr>
            </w:pPr>
            <w:r w:rsidRPr="00CA4A9E">
              <w:rPr>
                <w:rFonts w:ascii="Calibri" w:hAnsi="Calibri" w:cs="Calibri"/>
                <w:sz w:val="18"/>
                <w:szCs w:val="18"/>
              </w:rPr>
              <w:t>3</w:t>
            </w:r>
          </w:p>
        </w:tc>
        <w:tc>
          <w:tcPr>
            <w:tcW w:w="2247" w:type="dxa"/>
            <w:tcBorders>
              <w:top w:val="single" w:sz="6" w:space="0" w:color="auto"/>
              <w:left w:val="single" w:sz="6" w:space="0" w:color="auto"/>
              <w:bottom w:val="single" w:sz="6" w:space="0" w:color="auto"/>
              <w:right w:val="single" w:sz="6" w:space="0" w:color="auto"/>
            </w:tcBorders>
          </w:tcPr>
          <w:p w:rsidR="00AD54A3" w:rsidRPr="00CA4A9E" w:rsidRDefault="00AD54A3" w:rsidP="00FD47C7">
            <w:pPr>
              <w:jc w:val="center"/>
              <w:rPr>
                <w:rFonts w:ascii="Calibri" w:hAnsi="Calibri" w:cs="Calibri"/>
                <w:sz w:val="18"/>
                <w:szCs w:val="18"/>
              </w:rPr>
            </w:pPr>
            <w:r w:rsidRPr="00CA4A9E">
              <w:rPr>
                <w:rFonts w:ascii="Calibri" w:hAnsi="Calibri" w:cs="Calibri"/>
                <w:sz w:val="18"/>
                <w:szCs w:val="18"/>
              </w:rPr>
              <w:t>Równość poprzeczna</w:t>
            </w:r>
          </w:p>
        </w:tc>
        <w:tc>
          <w:tcPr>
            <w:tcW w:w="4703" w:type="dxa"/>
            <w:tcBorders>
              <w:top w:val="single" w:sz="6" w:space="0" w:color="auto"/>
              <w:left w:val="single" w:sz="6" w:space="0" w:color="auto"/>
              <w:bottom w:val="single" w:sz="6" w:space="0" w:color="auto"/>
              <w:right w:val="single" w:sz="6" w:space="0" w:color="auto"/>
            </w:tcBorders>
          </w:tcPr>
          <w:p w:rsidR="00AD54A3" w:rsidRPr="00CA4A9E" w:rsidRDefault="009B4F21" w:rsidP="00FD47C7">
            <w:pPr>
              <w:jc w:val="center"/>
              <w:rPr>
                <w:rFonts w:ascii="Calibri" w:hAnsi="Calibri" w:cs="Calibri"/>
                <w:sz w:val="18"/>
                <w:szCs w:val="18"/>
              </w:rPr>
            </w:pPr>
            <w:r>
              <w:rPr>
                <w:rFonts w:ascii="Calibri" w:hAnsi="Calibri" w:cs="Calibri"/>
                <w:sz w:val="18"/>
                <w:szCs w:val="18"/>
              </w:rPr>
              <w:t>raz na 50 m</w:t>
            </w:r>
          </w:p>
        </w:tc>
      </w:tr>
      <w:tr w:rsidR="00AD54A3" w:rsidRPr="00CA4A9E" w:rsidTr="008D16FB">
        <w:tc>
          <w:tcPr>
            <w:tcW w:w="491" w:type="dxa"/>
            <w:tcBorders>
              <w:top w:val="single" w:sz="6" w:space="0" w:color="auto"/>
              <w:left w:val="single" w:sz="6" w:space="0" w:color="auto"/>
              <w:bottom w:val="single" w:sz="6" w:space="0" w:color="auto"/>
              <w:right w:val="single" w:sz="6" w:space="0" w:color="auto"/>
            </w:tcBorders>
          </w:tcPr>
          <w:p w:rsidR="00AD54A3" w:rsidRPr="00CA4A9E" w:rsidRDefault="00AD54A3" w:rsidP="00FD47C7">
            <w:pPr>
              <w:jc w:val="center"/>
              <w:rPr>
                <w:rFonts w:ascii="Calibri" w:hAnsi="Calibri" w:cs="Calibri"/>
                <w:sz w:val="18"/>
                <w:szCs w:val="18"/>
              </w:rPr>
            </w:pPr>
            <w:r w:rsidRPr="00CA4A9E">
              <w:rPr>
                <w:rFonts w:ascii="Calibri" w:hAnsi="Calibri" w:cs="Calibri"/>
                <w:sz w:val="18"/>
                <w:szCs w:val="18"/>
              </w:rPr>
              <w:t>4</w:t>
            </w:r>
          </w:p>
        </w:tc>
        <w:tc>
          <w:tcPr>
            <w:tcW w:w="2247" w:type="dxa"/>
            <w:tcBorders>
              <w:top w:val="single" w:sz="6" w:space="0" w:color="auto"/>
              <w:left w:val="single" w:sz="6" w:space="0" w:color="auto"/>
              <w:bottom w:val="single" w:sz="6" w:space="0" w:color="auto"/>
              <w:right w:val="single" w:sz="6" w:space="0" w:color="auto"/>
            </w:tcBorders>
          </w:tcPr>
          <w:p w:rsidR="00AD54A3" w:rsidRPr="00CA4A9E" w:rsidRDefault="00AD54A3" w:rsidP="00FD47C7">
            <w:pPr>
              <w:jc w:val="center"/>
              <w:rPr>
                <w:rFonts w:ascii="Calibri" w:hAnsi="Calibri" w:cs="Calibri"/>
                <w:sz w:val="18"/>
                <w:szCs w:val="18"/>
              </w:rPr>
            </w:pPr>
            <w:r w:rsidRPr="00CA4A9E">
              <w:rPr>
                <w:rFonts w:ascii="Calibri" w:hAnsi="Calibri" w:cs="Calibri"/>
                <w:sz w:val="18"/>
                <w:szCs w:val="18"/>
              </w:rPr>
              <w:t>Spadki poprzeczne *)</w:t>
            </w:r>
          </w:p>
        </w:tc>
        <w:tc>
          <w:tcPr>
            <w:tcW w:w="4703" w:type="dxa"/>
            <w:tcBorders>
              <w:top w:val="single" w:sz="6" w:space="0" w:color="auto"/>
              <w:left w:val="single" w:sz="6" w:space="0" w:color="auto"/>
              <w:bottom w:val="single" w:sz="6" w:space="0" w:color="auto"/>
              <w:right w:val="single" w:sz="6" w:space="0" w:color="auto"/>
            </w:tcBorders>
          </w:tcPr>
          <w:p w:rsidR="00AD54A3" w:rsidRPr="00CA4A9E" w:rsidRDefault="009B4F21" w:rsidP="00FD47C7">
            <w:pPr>
              <w:jc w:val="center"/>
              <w:rPr>
                <w:rFonts w:ascii="Calibri" w:hAnsi="Calibri" w:cs="Calibri"/>
                <w:sz w:val="18"/>
                <w:szCs w:val="18"/>
              </w:rPr>
            </w:pPr>
            <w:r>
              <w:rPr>
                <w:rFonts w:ascii="Calibri" w:hAnsi="Calibri" w:cs="Calibri"/>
                <w:sz w:val="18"/>
                <w:szCs w:val="18"/>
              </w:rPr>
              <w:t>raz na 50 m</w:t>
            </w:r>
          </w:p>
        </w:tc>
      </w:tr>
    </w:tbl>
    <w:p w:rsidR="00AD54A3" w:rsidRPr="00CA4A9E" w:rsidRDefault="00AD54A3" w:rsidP="00AD54A3">
      <w:pPr>
        <w:rPr>
          <w:rFonts w:ascii="Calibri" w:hAnsi="Calibri" w:cs="Calibri"/>
        </w:rPr>
      </w:pPr>
    </w:p>
    <w:p w:rsidR="00AD54A3" w:rsidRPr="00CA4A9E" w:rsidRDefault="00AD54A3" w:rsidP="00AD54A3">
      <w:pPr>
        <w:rPr>
          <w:rFonts w:ascii="Calibri" w:hAnsi="Calibri" w:cs="Calibri"/>
        </w:rPr>
      </w:pPr>
      <w:r w:rsidRPr="00C514F7">
        <w:rPr>
          <w:rFonts w:ascii="Calibri" w:hAnsi="Calibri" w:cs="Calibri"/>
          <w:b/>
        </w:rPr>
        <w:t>6.2.2.</w:t>
      </w:r>
      <w:r w:rsidRPr="00CA4A9E">
        <w:rPr>
          <w:rFonts w:ascii="Calibri" w:hAnsi="Calibri" w:cs="Calibri"/>
        </w:rPr>
        <w:t xml:space="preserve"> Szerokość koryta (profilowanego podłoża)</w:t>
      </w:r>
    </w:p>
    <w:p w:rsidR="00AD54A3" w:rsidRPr="00CA4A9E" w:rsidRDefault="00AD54A3" w:rsidP="00AD54A3">
      <w:pPr>
        <w:rPr>
          <w:rFonts w:ascii="Calibri" w:hAnsi="Calibri" w:cs="Calibri"/>
        </w:rPr>
      </w:pPr>
      <w:r w:rsidRPr="00CA4A9E">
        <w:rPr>
          <w:rFonts w:ascii="Calibri" w:hAnsi="Calibri" w:cs="Calibri"/>
        </w:rPr>
        <w:tab/>
        <w:t>Szerokość koryta i profilowanego podłoża nie może różnić się od szerokości projektowanej o więcej niż +10 cm i -5 cm.</w:t>
      </w:r>
    </w:p>
    <w:p w:rsidR="00AD54A3" w:rsidRPr="00CA4A9E" w:rsidRDefault="00AD54A3" w:rsidP="00AD54A3">
      <w:pPr>
        <w:rPr>
          <w:rFonts w:ascii="Calibri" w:hAnsi="Calibri" w:cs="Calibri"/>
        </w:rPr>
      </w:pPr>
      <w:r w:rsidRPr="00C514F7">
        <w:rPr>
          <w:rFonts w:ascii="Calibri" w:hAnsi="Calibri" w:cs="Calibri"/>
          <w:b/>
        </w:rPr>
        <w:t>6.2.3.</w:t>
      </w:r>
      <w:r w:rsidRPr="00CA4A9E">
        <w:rPr>
          <w:rFonts w:ascii="Calibri" w:hAnsi="Calibri" w:cs="Calibri"/>
        </w:rPr>
        <w:t xml:space="preserve"> Równość koryta (profilowanego podłoża)</w:t>
      </w:r>
    </w:p>
    <w:p w:rsidR="00AD54A3" w:rsidRPr="00CA4A9E" w:rsidRDefault="00AD54A3" w:rsidP="00AD54A3">
      <w:pPr>
        <w:rPr>
          <w:rFonts w:ascii="Calibri" w:hAnsi="Calibri" w:cs="Calibri"/>
        </w:rPr>
      </w:pPr>
      <w:r w:rsidRPr="00CA4A9E">
        <w:rPr>
          <w:rFonts w:ascii="Calibri" w:hAnsi="Calibri" w:cs="Calibri"/>
        </w:rPr>
        <w:tab/>
        <w:t>Nierówności podłużne koryta i profilowanego podłoża należy mierzyć 4-metrową łatą zgodnie z normą BN-68/8931-04.</w:t>
      </w:r>
    </w:p>
    <w:p w:rsidR="00AD54A3" w:rsidRPr="00CA4A9E" w:rsidRDefault="00AD54A3" w:rsidP="00AD54A3">
      <w:pPr>
        <w:rPr>
          <w:rFonts w:ascii="Calibri" w:hAnsi="Calibri" w:cs="Calibri"/>
        </w:rPr>
      </w:pPr>
      <w:r w:rsidRPr="00C514F7">
        <w:rPr>
          <w:rFonts w:ascii="Calibri" w:hAnsi="Calibri" w:cs="Calibri"/>
          <w:b/>
        </w:rPr>
        <w:t>6.2.4.</w:t>
      </w:r>
      <w:r w:rsidRPr="00CA4A9E">
        <w:rPr>
          <w:rFonts w:ascii="Calibri" w:hAnsi="Calibri" w:cs="Calibri"/>
        </w:rPr>
        <w:t xml:space="preserve"> Spadki poprzeczne</w:t>
      </w:r>
    </w:p>
    <w:p w:rsidR="00AD54A3" w:rsidRPr="00CA4A9E" w:rsidRDefault="00AD54A3" w:rsidP="00AD54A3">
      <w:pPr>
        <w:rPr>
          <w:rFonts w:ascii="Calibri" w:hAnsi="Calibri" w:cs="Calibri"/>
        </w:rPr>
      </w:pPr>
      <w:r w:rsidRPr="00CA4A9E">
        <w:rPr>
          <w:rFonts w:ascii="Calibri" w:hAnsi="Calibri" w:cs="Calibri"/>
        </w:rPr>
        <w:tab/>
        <w:t xml:space="preserve">Spadki poprzeczne koryta i profilowanego podłoża powinny być zgodne z dokumentacją projektową z tolerancją </w:t>
      </w:r>
      <w:r w:rsidRPr="00CA4A9E">
        <w:rPr>
          <w:rFonts w:ascii="Calibri" w:hAnsi="Calibri" w:cs="Calibri"/>
        </w:rPr>
        <w:sym w:font="Symbol" w:char="F0B1"/>
      </w:r>
      <w:r w:rsidRPr="00CA4A9E">
        <w:rPr>
          <w:rFonts w:ascii="Calibri" w:hAnsi="Calibri" w:cs="Calibri"/>
        </w:rPr>
        <w:t xml:space="preserve"> 0,5%.</w:t>
      </w:r>
    </w:p>
    <w:p w:rsidR="00AD54A3" w:rsidRPr="00CA4A9E" w:rsidRDefault="00AD54A3" w:rsidP="00AD54A3">
      <w:pPr>
        <w:rPr>
          <w:rFonts w:ascii="Calibri" w:hAnsi="Calibri" w:cs="Calibri"/>
        </w:rPr>
      </w:pPr>
      <w:r w:rsidRPr="00C514F7">
        <w:rPr>
          <w:rFonts w:ascii="Calibri" w:hAnsi="Calibri" w:cs="Calibri"/>
          <w:b/>
        </w:rPr>
        <w:t>6.2.</w:t>
      </w:r>
      <w:r w:rsidR="009B4F21">
        <w:rPr>
          <w:rFonts w:ascii="Calibri" w:hAnsi="Calibri" w:cs="Calibri"/>
          <w:b/>
        </w:rPr>
        <w:t>5</w:t>
      </w:r>
      <w:r w:rsidRPr="00C514F7">
        <w:rPr>
          <w:rFonts w:ascii="Calibri" w:hAnsi="Calibri" w:cs="Calibri"/>
          <w:b/>
        </w:rPr>
        <w:t>.</w:t>
      </w:r>
      <w:r w:rsidRPr="00CA4A9E">
        <w:rPr>
          <w:rFonts w:ascii="Calibri" w:hAnsi="Calibri" w:cs="Calibri"/>
        </w:rPr>
        <w:t xml:space="preserve"> Zagęszczenie koryta (profilowanego podłoża)</w:t>
      </w:r>
    </w:p>
    <w:p w:rsidR="00AD54A3" w:rsidRPr="00CA4A9E" w:rsidRDefault="00AD54A3" w:rsidP="00AD54A3">
      <w:pPr>
        <w:rPr>
          <w:rFonts w:ascii="Calibri" w:hAnsi="Calibri" w:cs="Calibri"/>
        </w:rPr>
      </w:pPr>
      <w:r w:rsidRPr="00CA4A9E">
        <w:rPr>
          <w:rFonts w:ascii="Calibri" w:hAnsi="Calibri" w:cs="Calibri"/>
        </w:rPr>
        <w:tab/>
        <w:t>Wskaźnik zagęszczenia koryta i wyprofilowanego podłoża określony wg BN-77/8931-12 nie powinien być mniejszy od podanego w tablicy 1.</w:t>
      </w:r>
    </w:p>
    <w:p w:rsidR="00AD54A3" w:rsidRPr="00CA4A9E" w:rsidRDefault="00AD54A3" w:rsidP="00AD54A3">
      <w:pPr>
        <w:rPr>
          <w:rFonts w:ascii="Calibri" w:hAnsi="Calibri" w:cs="Calibri"/>
        </w:rPr>
      </w:pPr>
      <w:r w:rsidRPr="00CA4A9E">
        <w:rPr>
          <w:rFonts w:ascii="Calibri" w:hAnsi="Calibri" w:cs="Calibri"/>
        </w:rPr>
        <w:tab/>
        <w:t>Jeśli jako kryterium dobrego zagęszczenia stosuje się porównanie wartości modułów odkształcenia, to wartość stosunku wtórnego do pierwotnego modułu odkształcenia, określonych zgodnie z normą BN-64/8931-02 nie powinna być większa od 2,2.</w:t>
      </w:r>
    </w:p>
    <w:p w:rsidR="00AD54A3" w:rsidRPr="00CA4A9E" w:rsidRDefault="00AD54A3" w:rsidP="00AD54A3">
      <w:pPr>
        <w:rPr>
          <w:rFonts w:ascii="Calibri" w:hAnsi="Calibri" w:cs="Calibri"/>
        </w:rPr>
      </w:pPr>
      <w:r w:rsidRPr="00CA4A9E">
        <w:rPr>
          <w:rFonts w:ascii="Calibri" w:hAnsi="Calibri" w:cs="Calibri"/>
        </w:rPr>
        <w:tab/>
        <w:t>Wilgotność w czasie zagęszczania należy badać według PN-B-06714-17. Wilgotność gruntu podłoża powinna być równa wilgotności optymalnej z tolerancją od  -20% do + 10%.</w:t>
      </w:r>
    </w:p>
    <w:p w:rsidR="00AD54A3" w:rsidRPr="00CA4A9E" w:rsidRDefault="00AD54A3" w:rsidP="00AD54A3">
      <w:pPr>
        <w:rPr>
          <w:rFonts w:ascii="Calibri" w:hAnsi="Calibri" w:cs="Calibri"/>
        </w:rPr>
      </w:pPr>
      <w:r w:rsidRPr="00C514F7">
        <w:rPr>
          <w:rFonts w:ascii="Calibri" w:hAnsi="Calibri" w:cs="Calibri"/>
          <w:b/>
        </w:rPr>
        <w:t xml:space="preserve"> </w:t>
      </w:r>
      <w:bookmarkStart w:id="890" w:name="_Toc406913860"/>
      <w:bookmarkStart w:id="891" w:name="_Toc406914105"/>
      <w:bookmarkStart w:id="892" w:name="_Toc406914759"/>
      <w:bookmarkStart w:id="893" w:name="_Toc406914862"/>
      <w:bookmarkStart w:id="894" w:name="_Toc406915337"/>
      <w:bookmarkStart w:id="895" w:name="_Toc406984030"/>
      <w:bookmarkStart w:id="896" w:name="_Toc406984177"/>
      <w:bookmarkStart w:id="897" w:name="_Toc406984368"/>
      <w:bookmarkStart w:id="898" w:name="_Toc407069576"/>
      <w:bookmarkStart w:id="899" w:name="_Toc407081541"/>
      <w:bookmarkStart w:id="900" w:name="_Toc407083340"/>
      <w:bookmarkStart w:id="901" w:name="_Toc407084174"/>
      <w:bookmarkStart w:id="902" w:name="_Toc407085293"/>
      <w:bookmarkStart w:id="903" w:name="_Toc407085436"/>
      <w:bookmarkStart w:id="904" w:name="_Toc407085579"/>
      <w:bookmarkStart w:id="905" w:name="_Toc407086027"/>
      <w:r w:rsidRPr="00C514F7">
        <w:rPr>
          <w:rFonts w:ascii="Calibri" w:hAnsi="Calibri" w:cs="Calibri"/>
          <w:b/>
        </w:rPr>
        <w:t>6.3.</w:t>
      </w:r>
      <w:r w:rsidRPr="00CA4A9E">
        <w:rPr>
          <w:rFonts w:ascii="Calibri" w:hAnsi="Calibri" w:cs="Calibri"/>
        </w:rPr>
        <w:t xml:space="preserve"> Zasady postępowania z wadliwie wykonanymi odcinkami koryta (profilowanego</w:t>
      </w:r>
      <w:bookmarkEnd w:id="890"/>
      <w:bookmarkEnd w:id="891"/>
      <w:bookmarkEnd w:id="892"/>
      <w:bookmarkEnd w:id="893"/>
      <w:bookmarkEnd w:id="894"/>
      <w:r w:rsidRPr="00CA4A9E">
        <w:rPr>
          <w:rFonts w:ascii="Calibri" w:hAnsi="Calibri" w:cs="Calibri"/>
        </w:rPr>
        <w:t xml:space="preserve"> podłoża)</w:t>
      </w:r>
      <w:bookmarkEnd w:id="895"/>
      <w:bookmarkEnd w:id="896"/>
      <w:bookmarkEnd w:id="897"/>
      <w:bookmarkEnd w:id="898"/>
      <w:bookmarkEnd w:id="899"/>
      <w:bookmarkEnd w:id="900"/>
      <w:bookmarkEnd w:id="901"/>
      <w:bookmarkEnd w:id="902"/>
      <w:bookmarkEnd w:id="903"/>
      <w:bookmarkEnd w:id="904"/>
      <w:bookmarkEnd w:id="905"/>
    </w:p>
    <w:p w:rsidR="00AD54A3" w:rsidRPr="00CA4A9E" w:rsidRDefault="00AD54A3" w:rsidP="00AD54A3">
      <w:pPr>
        <w:rPr>
          <w:rFonts w:ascii="Calibri" w:hAnsi="Calibri" w:cs="Calibri"/>
        </w:rPr>
      </w:pPr>
      <w:r w:rsidRPr="00CA4A9E">
        <w:rPr>
          <w:rFonts w:ascii="Calibri" w:hAnsi="Calibri" w:cs="Calibri"/>
        </w:rPr>
        <w:tab/>
        <w:t>Wszystkie powierzchnie, które wykazują większe odchylenia cech geometrycznych od określonych w punkcie 6.2 powinny być naprawione przez spulchnienie do głębokości co najmniej 10 cm, wyrównanie i powtórne zagęszczenie. Dodanie nowego materiału bez spulchnienia wykonanej warstwy jest niedopuszczalne.</w:t>
      </w:r>
    </w:p>
    <w:p w:rsidR="00AD54A3" w:rsidRPr="00CA4A9E" w:rsidRDefault="00AD54A3" w:rsidP="00AD54A3">
      <w:pPr>
        <w:rPr>
          <w:rFonts w:ascii="Calibri" w:hAnsi="Calibri" w:cs="Calibri"/>
        </w:rPr>
      </w:pPr>
    </w:p>
    <w:p w:rsidR="00AD54A3" w:rsidRPr="00C514F7" w:rsidRDefault="00AD54A3" w:rsidP="00AD54A3">
      <w:pPr>
        <w:rPr>
          <w:rFonts w:ascii="Calibri" w:hAnsi="Calibri" w:cs="Calibri"/>
          <w:b/>
        </w:rPr>
      </w:pPr>
      <w:bookmarkStart w:id="906" w:name="_Toc406913861"/>
      <w:bookmarkStart w:id="907" w:name="_Toc406914106"/>
      <w:bookmarkStart w:id="908" w:name="_Toc406914760"/>
      <w:bookmarkStart w:id="909" w:name="_Toc406915338"/>
      <w:bookmarkStart w:id="910" w:name="_Toc406984031"/>
      <w:bookmarkStart w:id="911" w:name="_Toc406984178"/>
      <w:bookmarkStart w:id="912" w:name="_Toc406984369"/>
      <w:bookmarkStart w:id="913" w:name="_Toc407069577"/>
      <w:bookmarkStart w:id="914" w:name="_Toc407081542"/>
      <w:bookmarkStart w:id="915" w:name="_Toc407083341"/>
      <w:bookmarkStart w:id="916" w:name="_Toc407084175"/>
      <w:bookmarkStart w:id="917" w:name="_Toc407085294"/>
      <w:bookmarkStart w:id="918" w:name="_Toc407085437"/>
      <w:bookmarkStart w:id="919" w:name="_Toc407085580"/>
      <w:bookmarkStart w:id="920" w:name="_Toc407086028"/>
      <w:r w:rsidRPr="00C514F7">
        <w:rPr>
          <w:rFonts w:ascii="Calibri" w:hAnsi="Calibri" w:cs="Calibri"/>
          <w:b/>
        </w:rPr>
        <w:t xml:space="preserve">7. </w:t>
      </w:r>
      <w:bookmarkEnd w:id="906"/>
      <w:bookmarkEnd w:id="907"/>
      <w:bookmarkEnd w:id="908"/>
      <w:bookmarkEnd w:id="909"/>
      <w:bookmarkEnd w:id="910"/>
      <w:bookmarkEnd w:id="911"/>
      <w:bookmarkEnd w:id="912"/>
      <w:bookmarkEnd w:id="913"/>
      <w:bookmarkEnd w:id="914"/>
      <w:bookmarkEnd w:id="915"/>
      <w:bookmarkEnd w:id="916"/>
      <w:bookmarkEnd w:id="917"/>
      <w:bookmarkEnd w:id="918"/>
      <w:bookmarkEnd w:id="919"/>
      <w:bookmarkEnd w:id="920"/>
      <w:r w:rsidRPr="00C514F7">
        <w:rPr>
          <w:rFonts w:ascii="Calibri" w:hAnsi="Calibri" w:cs="Calibri"/>
          <w:b/>
        </w:rPr>
        <w:t>OBMIAR ROBÓT</w:t>
      </w:r>
    </w:p>
    <w:p w:rsidR="00AD54A3" w:rsidRPr="00CA4A9E" w:rsidRDefault="00AD54A3" w:rsidP="00AD54A3">
      <w:pPr>
        <w:rPr>
          <w:rFonts w:ascii="Calibri" w:hAnsi="Calibri" w:cs="Calibri"/>
        </w:rPr>
      </w:pPr>
      <w:bookmarkStart w:id="921" w:name="_Toc406913862"/>
      <w:bookmarkStart w:id="922" w:name="_Toc406914107"/>
      <w:bookmarkStart w:id="923" w:name="_Toc406914761"/>
      <w:bookmarkStart w:id="924" w:name="_Toc406915339"/>
      <w:bookmarkStart w:id="925" w:name="_Toc406984032"/>
      <w:bookmarkStart w:id="926" w:name="_Toc406984179"/>
      <w:bookmarkStart w:id="927" w:name="_Toc406984370"/>
      <w:bookmarkStart w:id="928" w:name="_Toc407069578"/>
      <w:bookmarkStart w:id="929" w:name="_Toc407081543"/>
      <w:bookmarkStart w:id="930" w:name="_Toc407083342"/>
      <w:bookmarkStart w:id="931" w:name="_Toc407084176"/>
      <w:bookmarkStart w:id="932" w:name="_Toc407085295"/>
      <w:bookmarkStart w:id="933" w:name="_Toc407085438"/>
      <w:bookmarkStart w:id="934" w:name="_Toc407085581"/>
      <w:bookmarkStart w:id="935" w:name="_Toc407086029"/>
      <w:r w:rsidRPr="00C514F7">
        <w:rPr>
          <w:rFonts w:ascii="Calibri" w:hAnsi="Calibri" w:cs="Calibri"/>
          <w:b/>
        </w:rPr>
        <w:t>7.1.</w:t>
      </w:r>
      <w:r w:rsidRPr="00CA4A9E">
        <w:rPr>
          <w:rFonts w:ascii="Calibri" w:hAnsi="Calibri" w:cs="Calibri"/>
        </w:rPr>
        <w:t xml:space="preserve"> Ogólne zasady obmiaru robót</w:t>
      </w:r>
      <w:bookmarkEnd w:id="921"/>
      <w:bookmarkEnd w:id="922"/>
      <w:bookmarkEnd w:id="923"/>
      <w:bookmarkEnd w:id="924"/>
      <w:bookmarkEnd w:id="925"/>
      <w:bookmarkEnd w:id="926"/>
      <w:bookmarkEnd w:id="927"/>
      <w:bookmarkEnd w:id="928"/>
      <w:bookmarkEnd w:id="929"/>
      <w:bookmarkEnd w:id="930"/>
      <w:bookmarkEnd w:id="931"/>
      <w:bookmarkEnd w:id="932"/>
      <w:bookmarkEnd w:id="933"/>
      <w:bookmarkEnd w:id="934"/>
      <w:bookmarkEnd w:id="935"/>
    </w:p>
    <w:p w:rsidR="00AD54A3" w:rsidRPr="00CA4A9E" w:rsidRDefault="00AD54A3" w:rsidP="00AD54A3">
      <w:pPr>
        <w:rPr>
          <w:rFonts w:ascii="Calibri" w:hAnsi="Calibri" w:cs="Calibri"/>
        </w:rPr>
      </w:pPr>
      <w:r w:rsidRPr="00CA4A9E">
        <w:rPr>
          <w:rFonts w:ascii="Calibri" w:hAnsi="Calibri" w:cs="Calibri"/>
        </w:rPr>
        <w:tab/>
        <w:t>Ogólne zasady obmiaru robót podano w ST D-M-00.00.00 „Wymagania ogólne” pkt 7.</w:t>
      </w:r>
    </w:p>
    <w:p w:rsidR="00AD54A3" w:rsidRPr="00CA4A9E" w:rsidRDefault="00AD54A3" w:rsidP="00AD54A3">
      <w:pPr>
        <w:rPr>
          <w:rFonts w:ascii="Calibri" w:hAnsi="Calibri" w:cs="Calibri"/>
        </w:rPr>
      </w:pPr>
      <w:bookmarkStart w:id="936" w:name="_Toc406913863"/>
      <w:bookmarkStart w:id="937" w:name="_Toc406914108"/>
      <w:bookmarkStart w:id="938" w:name="_Toc406914762"/>
      <w:bookmarkStart w:id="939" w:name="_Toc406915340"/>
      <w:bookmarkStart w:id="940" w:name="_Toc406984033"/>
      <w:bookmarkStart w:id="941" w:name="_Toc406984180"/>
      <w:bookmarkStart w:id="942" w:name="_Toc406984371"/>
      <w:bookmarkStart w:id="943" w:name="_Toc407069579"/>
      <w:bookmarkStart w:id="944" w:name="_Toc407081544"/>
      <w:bookmarkStart w:id="945" w:name="_Toc407083343"/>
      <w:bookmarkStart w:id="946" w:name="_Toc407084177"/>
      <w:bookmarkStart w:id="947" w:name="_Toc407085296"/>
      <w:bookmarkStart w:id="948" w:name="_Toc407085439"/>
      <w:bookmarkStart w:id="949" w:name="_Toc407085582"/>
      <w:bookmarkStart w:id="950" w:name="_Toc407086030"/>
      <w:r w:rsidRPr="00C514F7">
        <w:rPr>
          <w:rFonts w:ascii="Calibri" w:hAnsi="Calibri" w:cs="Calibri"/>
          <w:b/>
        </w:rPr>
        <w:t>7.2.</w:t>
      </w:r>
      <w:r w:rsidRPr="00CA4A9E">
        <w:rPr>
          <w:rFonts w:ascii="Calibri" w:hAnsi="Calibri" w:cs="Calibri"/>
        </w:rPr>
        <w:t xml:space="preserve"> Jednostka obmiarowa</w:t>
      </w:r>
      <w:bookmarkEnd w:id="936"/>
      <w:bookmarkEnd w:id="937"/>
      <w:bookmarkEnd w:id="938"/>
      <w:bookmarkEnd w:id="939"/>
      <w:bookmarkEnd w:id="940"/>
      <w:bookmarkEnd w:id="941"/>
      <w:bookmarkEnd w:id="942"/>
      <w:bookmarkEnd w:id="943"/>
      <w:bookmarkEnd w:id="944"/>
      <w:bookmarkEnd w:id="945"/>
      <w:bookmarkEnd w:id="946"/>
      <w:bookmarkEnd w:id="947"/>
      <w:bookmarkEnd w:id="948"/>
      <w:bookmarkEnd w:id="949"/>
      <w:bookmarkEnd w:id="950"/>
    </w:p>
    <w:p w:rsidR="00AD54A3" w:rsidRPr="00CA4A9E" w:rsidRDefault="00AD54A3" w:rsidP="00AD54A3">
      <w:pPr>
        <w:rPr>
          <w:rFonts w:ascii="Calibri" w:hAnsi="Calibri" w:cs="Calibri"/>
        </w:rPr>
      </w:pPr>
      <w:r w:rsidRPr="00CA4A9E">
        <w:rPr>
          <w:rFonts w:ascii="Calibri" w:hAnsi="Calibri" w:cs="Calibri"/>
        </w:rPr>
        <w:tab/>
        <w:t>Jednostką obmiarową jest 1 m2 (metr kwadratowy) wykonanego i odebranego koryta.</w:t>
      </w:r>
    </w:p>
    <w:p w:rsidR="00AD54A3" w:rsidRPr="00CA4A9E" w:rsidRDefault="00AD54A3" w:rsidP="00AD54A3">
      <w:pPr>
        <w:rPr>
          <w:rFonts w:ascii="Calibri" w:hAnsi="Calibri" w:cs="Calibri"/>
        </w:rPr>
      </w:pPr>
    </w:p>
    <w:p w:rsidR="00AD54A3" w:rsidRPr="00C514F7" w:rsidRDefault="00AD54A3" w:rsidP="00AD54A3">
      <w:pPr>
        <w:rPr>
          <w:rFonts w:ascii="Calibri" w:hAnsi="Calibri" w:cs="Calibri"/>
          <w:b/>
        </w:rPr>
      </w:pPr>
      <w:bookmarkStart w:id="951" w:name="_Toc406913864"/>
      <w:bookmarkStart w:id="952" w:name="_Toc406914109"/>
      <w:bookmarkStart w:id="953" w:name="_Toc406914763"/>
      <w:bookmarkStart w:id="954" w:name="_Toc406915341"/>
      <w:bookmarkStart w:id="955" w:name="_Toc406984034"/>
      <w:bookmarkStart w:id="956" w:name="_Toc406984181"/>
      <w:bookmarkStart w:id="957" w:name="_Toc406984372"/>
      <w:bookmarkStart w:id="958" w:name="_Toc407069580"/>
      <w:bookmarkStart w:id="959" w:name="_Toc407081545"/>
      <w:bookmarkStart w:id="960" w:name="_Toc407083344"/>
      <w:bookmarkStart w:id="961" w:name="_Toc407084178"/>
      <w:bookmarkStart w:id="962" w:name="_Toc407085297"/>
      <w:bookmarkStart w:id="963" w:name="_Toc407085440"/>
      <w:bookmarkStart w:id="964" w:name="_Toc407085583"/>
      <w:bookmarkStart w:id="965" w:name="_Toc407086031"/>
      <w:r w:rsidRPr="00C514F7">
        <w:rPr>
          <w:rFonts w:ascii="Calibri" w:hAnsi="Calibri" w:cs="Calibri"/>
          <w:b/>
        </w:rPr>
        <w:t xml:space="preserve">8. </w:t>
      </w:r>
      <w:bookmarkEnd w:id="951"/>
      <w:bookmarkEnd w:id="952"/>
      <w:bookmarkEnd w:id="953"/>
      <w:bookmarkEnd w:id="954"/>
      <w:bookmarkEnd w:id="955"/>
      <w:bookmarkEnd w:id="956"/>
      <w:bookmarkEnd w:id="957"/>
      <w:bookmarkEnd w:id="958"/>
      <w:bookmarkEnd w:id="959"/>
      <w:bookmarkEnd w:id="960"/>
      <w:bookmarkEnd w:id="961"/>
      <w:bookmarkEnd w:id="962"/>
      <w:bookmarkEnd w:id="963"/>
      <w:bookmarkEnd w:id="964"/>
      <w:bookmarkEnd w:id="965"/>
      <w:r w:rsidRPr="00C514F7">
        <w:rPr>
          <w:rFonts w:ascii="Calibri" w:hAnsi="Calibri" w:cs="Calibri"/>
          <w:b/>
        </w:rPr>
        <w:t>ODBIÓR ROBÓT</w:t>
      </w:r>
    </w:p>
    <w:p w:rsidR="00AD54A3" w:rsidRPr="00CA4A9E" w:rsidRDefault="00AD54A3" w:rsidP="00AD54A3">
      <w:pPr>
        <w:rPr>
          <w:rFonts w:ascii="Calibri" w:hAnsi="Calibri" w:cs="Calibri"/>
        </w:rPr>
      </w:pPr>
      <w:r w:rsidRPr="00CA4A9E">
        <w:rPr>
          <w:rFonts w:ascii="Calibri" w:hAnsi="Calibri" w:cs="Calibri"/>
        </w:rPr>
        <w:tab/>
        <w:t>Ogólne zasady odbioru robót podano w ST D-M-00.00.00 „Wymagania ogólne” pkt 8.</w:t>
      </w:r>
    </w:p>
    <w:p w:rsidR="00AD54A3" w:rsidRPr="00CA4A9E" w:rsidRDefault="00AD54A3" w:rsidP="00AD54A3">
      <w:pPr>
        <w:rPr>
          <w:rFonts w:ascii="Calibri" w:hAnsi="Calibri" w:cs="Calibri"/>
        </w:rPr>
      </w:pPr>
      <w:r w:rsidRPr="00CA4A9E">
        <w:rPr>
          <w:rFonts w:ascii="Calibri" w:hAnsi="Calibri" w:cs="Calibri"/>
        </w:rPr>
        <w:tab/>
        <w:t>Roboty uznaje się za wykonane zgodnie z dokumentacja projektową, ST i wymaganiami Inżyniera, jeżeli wszystkie pomiary i badania z zachowaniem tolerancji wg punktu 6 dały wyniki pozytywne.</w:t>
      </w:r>
    </w:p>
    <w:p w:rsidR="008D16FB" w:rsidRPr="00CA4A9E" w:rsidRDefault="008D16FB" w:rsidP="00AD54A3">
      <w:pPr>
        <w:rPr>
          <w:rFonts w:ascii="Calibri" w:hAnsi="Calibri" w:cs="Calibri"/>
        </w:rPr>
      </w:pPr>
    </w:p>
    <w:p w:rsidR="00AD54A3" w:rsidRPr="00C514F7" w:rsidRDefault="00AD54A3" w:rsidP="00AD54A3">
      <w:pPr>
        <w:rPr>
          <w:rFonts w:ascii="Calibri" w:hAnsi="Calibri" w:cs="Calibri"/>
          <w:b/>
        </w:rPr>
      </w:pPr>
      <w:bookmarkStart w:id="966" w:name="_Toc406913865"/>
      <w:bookmarkStart w:id="967" w:name="_Toc406914110"/>
      <w:bookmarkStart w:id="968" w:name="_Toc406914764"/>
      <w:bookmarkStart w:id="969" w:name="_Toc406915342"/>
      <w:bookmarkStart w:id="970" w:name="_Toc406984035"/>
      <w:bookmarkStart w:id="971" w:name="_Toc406984182"/>
      <w:bookmarkStart w:id="972" w:name="_Toc406984373"/>
      <w:bookmarkStart w:id="973" w:name="_Toc407069581"/>
      <w:bookmarkStart w:id="974" w:name="_Toc407081546"/>
      <w:bookmarkStart w:id="975" w:name="_Toc407083345"/>
      <w:bookmarkStart w:id="976" w:name="_Toc407084179"/>
      <w:bookmarkStart w:id="977" w:name="_Toc407085298"/>
      <w:bookmarkStart w:id="978" w:name="_Toc407085441"/>
      <w:bookmarkStart w:id="979" w:name="_Toc407085584"/>
      <w:bookmarkStart w:id="980" w:name="_Toc407086032"/>
      <w:r w:rsidRPr="00C514F7">
        <w:rPr>
          <w:rFonts w:ascii="Calibri" w:hAnsi="Calibri" w:cs="Calibri"/>
          <w:b/>
        </w:rPr>
        <w:t xml:space="preserve">9. </w:t>
      </w:r>
      <w:bookmarkEnd w:id="966"/>
      <w:bookmarkEnd w:id="967"/>
      <w:bookmarkEnd w:id="968"/>
      <w:bookmarkEnd w:id="969"/>
      <w:bookmarkEnd w:id="970"/>
      <w:bookmarkEnd w:id="971"/>
      <w:bookmarkEnd w:id="972"/>
      <w:bookmarkEnd w:id="973"/>
      <w:bookmarkEnd w:id="974"/>
      <w:bookmarkEnd w:id="975"/>
      <w:bookmarkEnd w:id="976"/>
      <w:bookmarkEnd w:id="977"/>
      <w:bookmarkEnd w:id="978"/>
      <w:bookmarkEnd w:id="979"/>
      <w:bookmarkEnd w:id="980"/>
      <w:r w:rsidRPr="00C514F7">
        <w:rPr>
          <w:rFonts w:ascii="Calibri" w:hAnsi="Calibri" w:cs="Calibri"/>
          <w:b/>
        </w:rPr>
        <w:t>PODSTAWA PŁATNOŚCI</w:t>
      </w:r>
    </w:p>
    <w:p w:rsidR="00AD54A3" w:rsidRPr="00CA4A9E" w:rsidRDefault="00AD54A3" w:rsidP="00AD54A3">
      <w:pPr>
        <w:rPr>
          <w:rFonts w:ascii="Calibri" w:hAnsi="Calibri" w:cs="Calibri"/>
        </w:rPr>
      </w:pPr>
      <w:bookmarkStart w:id="981" w:name="_Toc406913866"/>
      <w:bookmarkStart w:id="982" w:name="_Toc406914111"/>
      <w:bookmarkStart w:id="983" w:name="_Toc406914765"/>
      <w:bookmarkStart w:id="984" w:name="_Toc406915343"/>
      <w:bookmarkStart w:id="985" w:name="_Toc406984036"/>
      <w:bookmarkStart w:id="986" w:name="_Toc406984183"/>
      <w:bookmarkStart w:id="987" w:name="_Toc406984374"/>
      <w:bookmarkStart w:id="988" w:name="_Toc407069582"/>
      <w:bookmarkStart w:id="989" w:name="_Toc407081547"/>
      <w:bookmarkStart w:id="990" w:name="_Toc407083346"/>
      <w:bookmarkStart w:id="991" w:name="_Toc407084180"/>
      <w:bookmarkStart w:id="992" w:name="_Toc407085299"/>
      <w:bookmarkStart w:id="993" w:name="_Toc407085442"/>
      <w:bookmarkStart w:id="994" w:name="_Toc407085585"/>
      <w:bookmarkStart w:id="995" w:name="_Toc407086033"/>
      <w:r w:rsidRPr="00C514F7">
        <w:rPr>
          <w:rFonts w:ascii="Calibri" w:hAnsi="Calibri" w:cs="Calibri"/>
          <w:b/>
        </w:rPr>
        <w:t>9.1.</w:t>
      </w:r>
      <w:r w:rsidRPr="00CA4A9E">
        <w:rPr>
          <w:rFonts w:ascii="Calibri" w:hAnsi="Calibri" w:cs="Calibri"/>
        </w:rPr>
        <w:t xml:space="preserve"> Ogólne ustalenia dotyczące podstawy płatności</w:t>
      </w:r>
      <w:bookmarkEnd w:id="981"/>
      <w:bookmarkEnd w:id="982"/>
      <w:bookmarkEnd w:id="983"/>
      <w:bookmarkEnd w:id="984"/>
      <w:bookmarkEnd w:id="985"/>
      <w:bookmarkEnd w:id="986"/>
      <w:bookmarkEnd w:id="987"/>
      <w:bookmarkEnd w:id="988"/>
      <w:bookmarkEnd w:id="989"/>
      <w:bookmarkEnd w:id="990"/>
      <w:bookmarkEnd w:id="991"/>
      <w:bookmarkEnd w:id="992"/>
      <w:bookmarkEnd w:id="993"/>
      <w:bookmarkEnd w:id="994"/>
      <w:bookmarkEnd w:id="995"/>
    </w:p>
    <w:p w:rsidR="00AD54A3" w:rsidRPr="00CA4A9E" w:rsidRDefault="00AD54A3" w:rsidP="00AD54A3">
      <w:pPr>
        <w:rPr>
          <w:rFonts w:ascii="Calibri" w:hAnsi="Calibri" w:cs="Calibri"/>
        </w:rPr>
      </w:pPr>
      <w:r w:rsidRPr="00CA4A9E">
        <w:rPr>
          <w:rFonts w:ascii="Calibri" w:hAnsi="Calibri" w:cs="Calibri"/>
        </w:rPr>
        <w:tab/>
        <w:t>Ogólne ustalenia dotyczące podstawy płatności podano w ST D-M-00.00.00 „Wymagania ogólne” pkt 9.</w:t>
      </w:r>
    </w:p>
    <w:p w:rsidR="00AD54A3" w:rsidRPr="00CA4A9E" w:rsidRDefault="00AD54A3" w:rsidP="00AD54A3">
      <w:pPr>
        <w:rPr>
          <w:rFonts w:ascii="Calibri" w:hAnsi="Calibri" w:cs="Calibri"/>
        </w:rPr>
      </w:pPr>
      <w:bookmarkStart w:id="996" w:name="_Toc406913867"/>
      <w:bookmarkStart w:id="997" w:name="_Toc406914112"/>
      <w:bookmarkStart w:id="998" w:name="_Toc406914766"/>
      <w:bookmarkStart w:id="999" w:name="_Toc406915344"/>
      <w:bookmarkStart w:id="1000" w:name="_Toc406984037"/>
      <w:bookmarkStart w:id="1001" w:name="_Toc406984184"/>
      <w:bookmarkStart w:id="1002" w:name="_Toc406984375"/>
      <w:bookmarkStart w:id="1003" w:name="_Toc407069583"/>
      <w:bookmarkStart w:id="1004" w:name="_Toc407081548"/>
      <w:bookmarkStart w:id="1005" w:name="_Toc407083347"/>
      <w:bookmarkStart w:id="1006" w:name="_Toc407084181"/>
      <w:bookmarkStart w:id="1007" w:name="_Toc407085300"/>
      <w:bookmarkStart w:id="1008" w:name="_Toc407085443"/>
      <w:bookmarkStart w:id="1009" w:name="_Toc407085586"/>
      <w:bookmarkStart w:id="1010" w:name="_Toc407086034"/>
      <w:r w:rsidRPr="00C514F7">
        <w:rPr>
          <w:rFonts w:ascii="Calibri" w:hAnsi="Calibri" w:cs="Calibri"/>
          <w:b/>
        </w:rPr>
        <w:t>9.2.</w:t>
      </w:r>
      <w:r w:rsidRPr="00CA4A9E">
        <w:rPr>
          <w:rFonts w:ascii="Calibri" w:hAnsi="Calibri" w:cs="Calibri"/>
        </w:rPr>
        <w:t xml:space="preserve"> Cena jednostki obmiarowej</w:t>
      </w:r>
      <w:bookmarkEnd w:id="996"/>
      <w:bookmarkEnd w:id="997"/>
      <w:bookmarkEnd w:id="998"/>
      <w:bookmarkEnd w:id="999"/>
      <w:bookmarkEnd w:id="1000"/>
      <w:bookmarkEnd w:id="1001"/>
      <w:bookmarkEnd w:id="1002"/>
      <w:bookmarkEnd w:id="1003"/>
      <w:bookmarkEnd w:id="1004"/>
      <w:bookmarkEnd w:id="1005"/>
      <w:bookmarkEnd w:id="1006"/>
      <w:bookmarkEnd w:id="1007"/>
      <w:bookmarkEnd w:id="1008"/>
      <w:bookmarkEnd w:id="1009"/>
      <w:bookmarkEnd w:id="1010"/>
    </w:p>
    <w:p w:rsidR="00AD54A3" w:rsidRPr="00CA4A9E" w:rsidRDefault="00AD54A3" w:rsidP="00AD54A3">
      <w:pPr>
        <w:rPr>
          <w:rFonts w:ascii="Calibri" w:hAnsi="Calibri" w:cs="Calibri"/>
        </w:rPr>
      </w:pPr>
      <w:r w:rsidRPr="00CA4A9E">
        <w:rPr>
          <w:rFonts w:ascii="Calibri" w:hAnsi="Calibri" w:cs="Calibri"/>
        </w:rPr>
        <w:tab/>
        <w:t>Cena wykonania 1 m2 koryta obejmuje:</w:t>
      </w:r>
    </w:p>
    <w:p w:rsidR="00AD54A3" w:rsidRPr="00CA4A9E" w:rsidRDefault="00AD54A3" w:rsidP="00AD54A3">
      <w:pPr>
        <w:rPr>
          <w:rFonts w:ascii="Calibri" w:hAnsi="Calibri" w:cs="Calibri"/>
        </w:rPr>
      </w:pPr>
      <w:r>
        <w:rPr>
          <w:rFonts w:ascii="Calibri" w:hAnsi="Calibri" w:cs="Calibri"/>
        </w:rPr>
        <w:t>-</w:t>
      </w:r>
      <w:r w:rsidRPr="00CA4A9E">
        <w:rPr>
          <w:rFonts w:ascii="Calibri" w:hAnsi="Calibri" w:cs="Calibri"/>
        </w:rPr>
        <w:t>prace pomiarowe i roboty przygotowawcze,</w:t>
      </w:r>
    </w:p>
    <w:p w:rsidR="00AD54A3" w:rsidRPr="00CA4A9E" w:rsidRDefault="00AD54A3" w:rsidP="00AD54A3">
      <w:pPr>
        <w:rPr>
          <w:rFonts w:ascii="Calibri" w:hAnsi="Calibri" w:cs="Calibri"/>
        </w:rPr>
      </w:pPr>
      <w:r>
        <w:rPr>
          <w:rFonts w:ascii="Calibri" w:hAnsi="Calibri" w:cs="Calibri"/>
        </w:rPr>
        <w:t>-</w:t>
      </w:r>
      <w:r w:rsidRPr="00CA4A9E">
        <w:rPr>
          <w:rFonts w:ascii="Calibri" w:hAnsi="Calibri" w:cs="Calibri"/>
        </w:rPr>
        <w:t>odspojenie gruntu z przerzutem na pobocze i rozplantowaniem,</w:t>
      </w:r>
    </w:p>
    <w:p w:rsidR="00AD54A3" w:rsidRPr="00CA4A9E" w:rsidRDefault="00AD54A3" w:rsidP="00AD54A3">
      <w:pPr>
        <w:rPr>
          <w:rFonts w:ascii="Calibri" w:hAnsi="Calibri" w:cs="Calibri"/>
        </w:rPr>
      </w:pPr>
      <w:r>
        <w:rPr>
          <w:rFonts w:ascii="Calibri" w:hAnsi="Calibri" w:cs="Calibri"/>
        </w:rPr>
        <w:t>-</w:t>
      </w:r>
      <w:r w:rsidRPr="00CA4A9E">
        <w:rPr>
          <w:rFonts w:ascii="Calibri" w:hAnsi="Calibri" w:cs="Calibri"/>
        </w:rPr>
        <w:t>załadunek nadmiaru odspojonego gruntu na środki transportowe i odwiezienie na odkład lub nasyp,</w:t>
      </w:r>
    </w:p>
    <w:p w:rsidR="00AD54A3" w:rsidRPr="00CA4A9E" w:rsidRDefault="00AD54A3" w:rsidP="00AD54A3">
      <w:pPr>
        <w:rPr>
          <w:rFonts w:ascii="Calibri" w:hAnsi="Calibri" w:cs="Calibri"/>
        </w:rPr>
      </w:pPr>
      <w:r>
        <w:rPr>
          <w:rFonts w:ascii="Calibri" w:hAnsi="Calibri" w:cs="Calibri"/>
        </w:rPr>
        <w:t>-</w:t>
      </w:r>
      <w:r w:rsidRPr="00CA4A9E">
        <w:rPr>
          <w:rFonts w:ascii="Calibri" w:hAnsi="Calibri" w:cs="Calibri"/>
        </w:rPr>
        <w:t>profilowanie dna koryta lub podłoża,</w:t>
      </w:r>
    </w:p>
    <w:p w:rsidR="00AD54A3" w:rsidRPr="00CA4A9E" w:rsidRDefault="00AD54A3" w:rsidP="00AD54A3">
      <w:pPr>
        <w:rPr>
          <w:rFonts w:ascii="Calibri" w:hAnsi="Calibri" w:cs="Calibri"/>
        </w:rPr>
      </w:pPr>
      <w:r>
        <w:rPr>
          <w:rFonts w:ascii="Calibri" w:hAnsi="Calibri" w:cs="Calibri"/>
        </w:rPr>
        <w:t>-</w:t>
      </w:r>
      <w:r w:rsidRPr="00CA4A9E">
        <w:rPr>
          <w:rFonts w:ascii="Calibri" w:hAnsi="Calibri" w:cs="Calibri"/>
        </w:rPr>
        <w:t>zagęszczenie,</w:t>
      </w:r>
    </w:p>
    <w:p w:rsidR="00AD54A3" w:rsidRPr="00CA4A9E" w:rsidRDefault="00AD54A3" w:rsidP="00AD54A3">
      <w:pPr>
        <w:rPr>
          <w:rFonts w:ascii="Calibri" w:hAnsi="Calibri" w:cs="Calibri"/>
        </w:rPr>
      </w:pPr>
      <w:r>
        <w:rPr>
          <w:rFonts w:ascii="Calibri" w:hAnsi="Calibri" w:cs="Calibri"/>
        </w:rPr>
        <w:t>-</w:t>
      </w:r>
      <w:r w:rsidRPr="00CA4A9E">
        <w:rPr>
          <w:rFonts w:ascii="Calibri" w:hAnsi="Calibri" w:cs="Calibri"/>
        </w:rPr>
        <w:t>utrzymanie koryta lub podłoża,</w:t>
      </w:r>
    </w:p>
    <w:p w:rsidR="00AD54A3" w:rsidRPr="00CA4A9E" w:rsidRDefault="00AD54A3" w:rsidP="00AD54A3">
      <w:pPr>
        <w:rPr>
          <w:rFonts w:ascii="Calibri" w:hAnsi="Calibri" w:cs="Calibri"/>
        </w:rPr>
      </w:pPr>
      <w:r>
        <w:rPr>
          <w:rFonts w:ascii="Calibri" w:hAnsi="Calibri" w:cs="Calibri"/>
        </w:rPr>
        <w:t>-</w:t>
      </w:r>
      <w:r w:rsidRPr="00CA4A9E">
        <w:rPr>
          <w:rFonts w:ascii="Calibri" w:hAnsi="Calibri" w:cs="Calibri"/>
        </w:rPr>
        <w:t>przeprowadzenie pomiarów i badań laboratoryjnych, wymaganych w specyfikacji technicznej.</w:t>
      </w:r>
    </w:p>
    <w:p w:rsidR="009B4F21" w:rsidRDefault="009B4F21" w:rsidP="00AD54A3">
      <w:pPr>
        <w:rPr>
          <w:rFonts w:ascii="Calibri" w:hAnsi="Calibri" w:cs="Calibri"/>
        </w:rPr>
      </w:pPr>
    </w:p>
    <w:p w:rsidR="003843CA" w:rsidRPr="00CA4A9E" w:rsidRDefault="003843CA" w:rsidP="00AD54A3">
      <w:pPr>
        <w:rPr>
          <w:rFonts w:ascii="Calibri" w:hAnsi="Calibri" w:cs="Calibri"/>
        </w:rPr>
      </w:pPr>
    </w:p>
    <w:p w:rsidR="00AD54A3" w:rsidRPr="00C514F7" w:rsidRDefault="00AD54A3" w:rsidP="00AD54A3">
      <w:pPr>
        <w:rPr>
          <w:rFonts w:ascii="Calibri" w:hAnsi="Calibri" w:cs="Calibri"/>
          <w:b/>
        </w:rPr>
      </w:pPr>
      <w:bookmarkStart w:id="1011" w:name="_Toc406913868"/>
      <w:bookmarkStart w:id="1012" w:name="_Toc406914113"/>
      <w:bookmarkStart w:id="1013" w:name="_Toc406914767"/>
      <w:bookmarkStart w:id="1014" w:name="_Toc406915345"/>
      <w:bookmarkStart w:id="1015" w:name="_Toc406984038"/>
      <w:bookmarkStart w:id="1016" w:name="_Toc406984185"/>
      <w:bookmarkStart w:id="1017" w:name="_Toc406984376"/>
      <w:bookmarkStart w:id="1018" w:name="_Toc407069584"/>
      <w:bookmarkStart w:id="1019" w:name="_Toc407081549"/>
      <w:bookmarkStart w:id="1020" w:name="_Toc407083348"/>
      <w:bookmarkStart w:id="1021" w:name="_Toc407084182"/>
      <w:bookmarkStart w:id="1022" w:name="_Toc407085301"/>
      <w:bookmarkStart w:id="1023" w:name="_Toc407085444"/>
      <w:bookmarkStart w:id="1024" w:name="_Toc407085587"/>
      <w:bookmarkStart w:id="1025" w:name="_Toc407086035"/>
      <w:r w:rsidRPr="00C514F7">
        <w:rPr>
          <w:rFonts w:ascii="Calibri" w:hAnsi="Calibri" w:cs="Calibri"/>
          <w:b/>
        </w:rPr>
        <w:lastRenderedPageBreak/>
        <w:t xml:space="preserve">10. </w:t>
      </w:r>
      <w:bookmarkEnd w:id="1011"/>
      <w:bookmarkEnd w:id="1012"/>
      <w:bookmarkEnd w:id="1013"/>
      <w:bookmarkEnd w:id="1014"/>
      <w:bookmarkEnd w:id="1015"/>
      <w:bookmarkEnd w:id="1016"/>
      <w:bookmarkEnd w:id="1017"/>
      <w:bookmarkEnd w:id="1018"/>
      <w:bookmarkEnd w:id="1019"/>
      <w:bookmarkEnd w:id="1020"/>
      <w:bookmarkEnd w:id="1021"/>
      <w:bookmarkEnd w:id="1022"/>
      <w:bookmarkEnd w:id="1023"/>
      <w:bookmarkEnd w:id="1024"/>
      <w:bookmarkEnd w:id="1025"/>
      <w:r w:rsidRPr="00C514F7">
        <w:rPr>
          <w:rFonts w:ascii="Calibri" w:hAnsi="Calibri" w:cs="Calibri"/>
          <w:b/>
        </w:rPr>
        <w:t>PRZEPISY ZWIĄZANE</w:t>
      </w:r>
    </w:p>
    <w:p w:rsidR="00AD54A3" w:rsidRPr="00CA4A9E" w:rsidRDefault="00AD54A3" w:rsidP="00AD54A3">
      <w:pPr>
        <w:rPr>
          <w:rFonts w:ascii="Calibri" w:hAnsi="Calibri" w:cs="Calibri"/>
        </w:rPr>
      </w:pPr>
      <w:bookmarkStart w:id="1026" w:name="_Toc406913869"/>
      <w:bookmarkStart w:id="1027" w:name="_Toc406914114"/>
      <w:bookmarkStart w:id="1028" w:name="_Toc406914768"/>
      <w:bookmarkStart w:id="1029" w:name="_Toc406915346"/>
      <w:bookmarkStart w:id="1030" w:name="_Toc406984039"/>
      <w:bookmarkStart w:id="1031" w:name="_Toc406984186"/>
      <w:bookmarkStart w:id="1032" w:name="_Toc406984377"/>
      <w:bookmarkStart w:id="1033" w:name="_Toc407069585"/>
      <w:bookmarkStart w:id="1034" w:name="_Toc407081550"/>
      <w:bookmarkStart w:id="1035" w:name="_Toc407083349"/>
      <w:bookmarkStart w:id="1036" w:name="_Toc407084183"/>
      <w:bookmarkStart w:id="1037" w:name="_Toc407085302"/>
      <w:bookmarkStart w:id="1038" w:name="_Toc407085445"/>
      <w:bookmarkStart w:id="1039" w:name="_Toc407085588"/>
      <w:bookmarkStart w:id="1040" w:name="_Toc407086036"/>
      <w:r w:rsidRPr="00C514F7">
        <w:rPr>
          <w:rFonts w:ascii="Calibri" w:hAnsi="Calibri" w:cs="Calibri"/>
          <w:b/>
        </w:rPr>
        <w:t>10.1.</w:t>
      </w:r>
      <w:r>
        <w:rPr>
          <w:rFonts w:ascii="Calibri" w:hAnsi="Calibri" w:cs="Calibri"/>
        </w:rPr>
        <w:t xml:space="preserve"> </w:t>
      </w:r>
      <w:r w:rsidRPr="00CA4A9E">
        <w:rPr>
          <w:rFonts w:ascii="Calibri" w:hAnsi="Calibri" w:cs="Calibri"/>
        </w:rPr>
        <w:t>Normy</w:t>
      </w:r>
      <w:bookmarkEnd w:id="1026"/>
      <w:bookmarkEnd w:id="1027"/>
      <w:bookmarkEnd w:id="1028"/>
      <w:bookmarkEnd w:id="1029"/>
      <w:bookmarkEnd w:id="1030"/>
      <w:bookmarkEnd w:id="1031"/>
      <w:bookmarkEnd w:id="1032"/>
      <w:bookmarkEnd w:id="1033"/>
      <w:bookmarkEnd w:id="1034"/>
      <w:bookmarkEnd w:id="1035"/>
      <w:bookmarkEnd w:id="1036"/>
      <w:bookmarkEnd w:id="1037"/>
      <w:bookmarkEnd w:id="1038"/>
      <w:bookmarkEnd w:id="1039"/>
      <w:bookmarkEnd w:id="1040"/>
    </w:p>
    <w:tbl>
      <w:tblPr>
        <w:tblW w:w="0" w:type="auto"/>
        <w:tblLayout w:type="fixed"/>
        <w:tblCellMar>
          <w:left w:w="70" w:type="dxa"/>
          <w:right w:w="70" w:type="dxa"/>
        </w:tblCellMar>
        <w:tblLook w:val="0000"/>
      </w:tblPr>
      <w:tblGrid>
        <w:gridCol w:w="496"/>
        <w:gridCol w:w="1701"/>
        <w:gridCol w:w="5313"/>
      </w:tblGrid>
      <w:tr w:rsidR="00AD54A3" w:rsidRPr="00CA4A9E" w:rsidTr="00FD47C7">
        <w:tc>
          <w:tcPr>
            <w:tcW w:w="496" w:type="dxa"/>
          </w:tcPr>
          <w:p w:rsidR="00AD54A3" w:rsidRPr="00CA4A9E" w:rsidRDefault="00AD54A3" w:rsidP="00FD47C7">
            <w:pPr>
              <w:rPr>
                <w:rFonts w:ascii="Calibri" w:hAnsi="Calibri" w:cs="Calibri"/>
              </w:rPr>
            </w:pPr>
            <w:r w:rsidRPr="00CA4A9E">
              <w:rPr>
                <w:rFonts w:ascii="Calibri" w:hAnsi="Calibri" w:cs="Calibri"/>
              </w:rPr>
              <w:t>1.</w:t>
            </w:r>
          </w:p>
        </w:tc>
        <w:tc>
          <w:tcPr>
            <w:tcW w:w="1701" w:type="dxa"/>
          </w:tcPr>
          <w:p w:rsidR="00AD54A3" w:rsidRPr="00CA4A9E" w:rsidRDefault="00AD54A3" w:rsidP="00FD47C7">
            <w:pPr>
              <w:rPr>
                <w:rFonts w:ascii="Calibri" w:hAnsi="Calibri" w:cs="Calibri"/>
              </w:rPr>
            </w:pPr>
            <w:r w:rsidRPr="00CA4A9E">
              <w:rPr>
                <w:rFonts w:ascii="Calibri" w:hAnsi="Calibri" w:cs="Calibri"/>
              </w:rPr>
              <w:t>PN-B-04481</w:t>
            </w:r>
          </w:p>
        </w:tc>
        <w:tc>
          <w:tcPr>
            <w:tcW w:w="5313" w:type="dxa"/>
          </w:tcPr>
          <w:p w:rsidR="00AD54A3" w:rsidRPr="00CA4A9E" w:rsidRDefault="00AD54A3" w:rsidP="00FD47C7">
            <w:pPr>
              <w:rPr>
                <w:rFonts w:ascii="Calibri" w:hAnsi="Calibri" w:cs="Calibri"/>
              </w:rPr>
            </w:pPr>
            <w:r w:rsidRPr="00CA4A9E">
              <w:rPr>
                <w:rFonts w:ascii="Calibri" w:hAnsi="Calibri" w:cs="Calibri"/>
              </w:rPr>
              <w:t>Grunty budowlane. Badania próbek gruntu</w:t>
            </w:r>
          </w:p>
        </w:tc>
      </w:tr>
      <w:tr w:rsidR="00AD54A3" w:rsidRPr="00CA4A9E" w:rsidTr="00FD47C7">
        <w:tc>
          <w:tcPr>
            <w:tcW w:w="496" w:type="dxa"/>
          </w:tcPr>
          <w:p w:rsidR="00AD54A3" w:rsidRPr="00CA4A9E" w:rsidRDefault="00AD54A3" w:rsidP="00FD47C7">
            <w:pPr>
              <w:rPr>
                <w:rFonts w:ascii="Calibri" w:hAnsi="Calibri" w:cs="Calibri"/>
              </w:rPr>
            </w:pPr>
            <w:r w:rsidRPr="00CA4A9E">
              <w:rPr>
                <w:rFonts w:ascii="Calibri" w:hAnsi="Calibri" w:cs="Calibri"/>
              </w:rPr>
              <w:t>2.</w:t>
            </w:r>
          </w:p>
        </w:tc>
        <w:tc>
          <w:tcPr>
            <w:tcW w:w="1701" w:type="dxa"/>
          </w:tcPr>
          <w:p w:rsidR="00AD54A3" w:rsidRPr="00CA4A9E" w:rsidRDefault="00AD54A3" w:rsidP="00FD47C7">
            <w:pPr>
              <w:rPr>
                <w:rFonts w:ascii="Calibri" w:hAnsi="Calibri" w:cs="Calibri"/>
              </w:rPr>
            </w:pPr>
            <w:r w:rsidRPr="00CA4A9E">
              <w:rPr>
                <w:rFonts w:ascii="Calibri" w:hAnsi="Calibri" w:cs="Calibri"/>
              </w:rPr>
              <w:t>PN-/B-06714-17</w:t>
            </w:r>
          </w:p>
        </w:tc>
        <w:tc>
          <w:tcPr>
            <w:tcW w:w="5313" w:type="dxa"/>
          </w:tcPr>
          <w:p w:rsidR="00AD54A3" w:rsidRPr="00CA4A9E" w:rsidRDefault="00AD54A3" w:rsidP="00FD47C7">
            <w:pPr>
              <w:rPr>
                <w:rFonts w:ascii="Calibri" w:hAnsi="Calibri" w:cs="Calibri"/>
              </w:rPr>
            </w:pPr>
            <w:r w:rsidRPr="00CA4A9E">
              <w:rPr>
                <w:rFonts w:ascii="Calibri" w:hAnsi="Calibri" w:cs="Calibri"/>
              </w:rPr>
              <w:t>Kruszywa mineralne. Badania. Oznaczanie wilgotności</w:t>
            </w:r>
          </w:p>
        </w:tc>
      </w:tr>
      <w:tr w:rsidR="00AD54A3" w:rsidRPr="00CA4A9E" w:rsidTr="00FD47C7">
        <w:tc>
          <w:tcPr>
            <w:tcW w:w="496" w:type="dxa"/>
          </w:tcPr>
          <w:p w:rsidR="00AD54A3" w:rsidRPr="00CA4A9E" w:rsidRDefault="00AD54A3" w:rsidP="00FD47C7">
            <w:pPr>
              <w:rPr>
                <w:rFonts w:ascii="Calibri" w:hAnsi="Calibri" w:cs="Calibri"/>
              </w:rPr>
            </w:pPr>
            <w:r w:rsidRPr="00CA4A9E">
              <w:rPr>
                <w:rFonts w:ascii="Calibri" w:hAnsi="Calibri" w:cs="Calibri"/>
              </w:rPr>
              <w:t>3.</w:t>
            </w:r>
          </w:p>
        </w:tc>
        <w:tc>
          <w:tcPr>
            <w:tcW w:w="1701" w:type="dxa"/>
          </w:tcPr>
          <w:p w:rsidR="00AD54A3" w:rsidRPr="00CA4A9E" w:rsidRDefault="00AD54A3" w:rsidP="00FD47C7">
            <w:pPr>
              <w:rPr>
                <w:rFonts w:ascii="Calibri" w:hAnsi="Calibri" w:cs="Calibri"/>
              </w:rPr>
            </w:pPr>
            <w:r w:rsidRPr="00CA4A9E">
              <w:rPr>
                <w:rFonts w:ascii="Calibri" w:hAnsi="Calibri" w:cs="Calibri"/>
              </w:rPr>
              <w:t>BN-64/8931-02</w:t>
            </w:r>
          </w:p>
        </w:tc>
        <w:tc>
          <w:tcPr>
            <w:tcW w:w="5313" w:type="dxa"/>
          </w:tcPr>
          <w:p w:rsidR="00AD54A3" w:rsidRPr="00CA4A9E" w:rsidRDefault="00AD54A3" w:rsidP="00FD47C7">
            <w:pPr>
              <w:rPr>
                <w:rFonts w:ascii="Calibri" w:hAnsi="Calibri" w:cs="Calibri"/>
              </w:rPr>
            </w:pPr>
            <w:r w:rsidRPr="00CA4A9E">
              <w:rPr>
                <w:rFonts w:ascii="Calibri" w:hAnsi="Calibri" w:cs="Calibri"/>
              </w:rPr>
              <w:t>Drogi samochodowe. Oznaczanie modułu odkształcenia nawierzchni podatnych i podłoża przez obciążenie płytą</w:t>
            </w:r>
          </w:p>
        </w:tc>
      </w:tr>
      <w:tr w:rsidR="00AD54A3" w:rsidRPr="00CA4A9E" w:rsidTr="00FD47C7">
        <w:tc>
          <w:tcPr>
            <w:tcW w:w="496" w:type="dxa"/>
          </w:tcPr>
          <w:p w:rsidR="00AD54A3" w:rsidRPr="00CA4A9E" w:rsidRDefault="00AD54A3" w:rsidP="00FD47C7">
            <w:pPr>
              <w:rPr>
                <w:rFonts w:ascii="Calibri" w:hAnsi="Calibri" w:cs="Calibri"/>
              </w:rPr>
            </w:pPr>
            <w:r w:rsidRPr="00CA4A9E">
              <w:rPr>
                <w:rFonts w:ascii="Calibri" w:hAnsi="Calibri" w:cs="Calibri"/>
              </w:rPr>
              <w:t>4.</w:t>
            </w:r>
          </w:p>
        </w:tc>
        <w:tc>
          <w:tcPr>
            <w:tcW w:w="1701" w:type="dxa"/>
          </w:tcPr>
          <w:p w:rsidR="00AD54A3" w:rsidRPr="00CA4A9E" w:rsidRDefault="00AD54A3" w:rsidP="00FD47C7">
            <w:pPr>
              <w:rPr>
                <w:rFonts w:ascii="Calibri" w:hAnsi="Calibri" w:cs="Calibri"/>
              </w:rPr>
            </w:pPr>
            <w:r w:rsidRPr="00CA4A9E">
              <w:rPr>
                <w:rFonts w:ascii="Calibri" w:hAnsi="Calibri" w:cs="Calibri"/>
              </w:rPr>
              <w:t>BN-68/8931-04</w:t>
            </w:r>
          </w:p>
        </w:tc>
        <w:tc>
          <w:tcPr>
            <w:tcW w:w="5313" w:type="dxa"/>
          </w:tcPr>
          <w:p w:rsidR="00AD54A3" w:rsidRPr="00CA4A9E" w:rsidRDefault="00AD54A3" w:rsidP="00FD47C7">
            <w:pPr>
              <w:rPr>
                <w:rFonts w:ascii="Calibri" w:hAnsi="Calibri" w:cs="Calibri"/>
              </w:rPr>
            </w:pPr>
            <w:r w:rsidRPr="00CA4A9E">
              <w:rPr>
                <w:rFonts w:ascii="Calibri" w:hAnsi="Calibri" w:cs="Calibri"/>
              </w:rPr>
              <w:t>Drogi samochodowe. Pomiar równości nawierzchni planografem i łatą</w:t>
            </w:r>
          </w:p>
        </w:tc>
      </w:tr>
      <w:tr w:rsidR="00AD54A3" w:rsidRPr="00CA4A9E" w:rsidTr="00FD47C7">
        <w:tc>
          <w:tcPr>
            <w:tcW w:w="496" w:type="dxa"/>
          </w:tcPr>
          <w:p w:rsidR="00AD54A3" w:rsidRPr="00CA4A9E" w:rsidRDefault="00AD54A3" w:rsidP="00FD47C7">
            <w:pPr>
              <w:rPr>
                <w:rFonts w:ascii="Calibri" w:hAnsi="Calibri" w:cs="Calibri"/>
              </w:rPr>
            </w:pPr>
            <w:r w:rsidRPr="00CA4A9E">
              <w:rPr>
                <w:rFonts w:ascii="Calibri" w:hAnsi="Calibri" w:cs="Calibri"/>
              </w:rPr>
              <w:t>5.</w:t>
            </w:r>
          </w:p>
        </w:tc>
        <w:tc>
          <w:tcPr>
            <w:tcW w:w="1701" w:type="dxa"/>
          </w:tcPr>
          <w:p w:rsidR="00AD54A3" w:rsidRPr="00CA4A9E" w:rsidRDefault="00AD54A3" w:rsidP="00FD47C7">
            <w:pPr>
              <w:rPr>
                <w:rFonts w:ascii="Calibri" w:hAnsi="Calibri" w:cs="Calibri"/>
              </w:rPr>
            </w:pPr>
            <w:r w:rsidRPr="00CA4A9E">
              <w:rPr>
                <w:rFonts w:ascii="Calibri" w:hAnsi="Calibri" w:cs="Calibri"/>
              </w:rPr>
              <w:t>BN-77/8931-12</w:t>
            </w:r>
          </w:p>
        </w:tc>
        <w:tc>
          <w:tcPr>
            <w:tcW w:w="5313" w:type="dxa"/>
          </w:tcPr>
          <w:p w:rsidR="00AD54A3" w:rsidRPr="00CA4A9E" w:rsidRDefault="00AD54A3" w:rsidP="00FD47C7">
            <w:pPr>
              <w:rPr>
                <w:rFonts w:ascii="Calibri" w:hAnsi="Calibri" w:cs="Calibri"/>
              </w:rPr>
            </w:pPr>
            <w:r w:rsidRPr="00CA4A9E">
              <w:rPr>
                <w:rFonts w:ascii="Calibri" w:hAnsi="Calibri" w:cs="Calibri"/>
              </w:rPr>
              <w:t>Oznaczanie wskaźnika zagęszczenia gruntu</w:t>
            </w:r>
          </w:p>
        </w:tc>
      </w:tr>
    </w:tbl>
    <w:p w:rsidR="00AD54A3" w:rsidRPr="00512A08" w:rsidRDefault="00AD54A3" w:rsidP="00AD54A3"/>
    <w:p w:rsidR="00AD54A3" w:rsidRPr="00CA4A9E" w:rsidRDefault="00AD54A3" w:rsidP="00AD54A3">
      <w:pPr>
        <w:rPr>
          <w:rFonts w:ascii="Calibri" w:hAnsi="Calibri" w:cs="Calibri"/>
        </w:rPr>
      </w:pPr>
    </w:p>
    <w:p w:rsidR="00AD54A3" w:rsidRPr="00CA4A9E" w:rsidRDefault="00AD54A3" w:rsidP="00AD54A3">
      <w:pPr>
        <w:rPr>
          <w:rFonts w:ascii="Calibri" w:hAnsi="Calibri" w:cs="Calibri"/>
        </w:rPr>
      </w:pPr>
    </w:p>
    <w:p w:rsidR="00AD54A3" w:rsidRDefault="00AD54A3" w:rsidP="00AD54A3">
      <w:pPr>
        <w:rPr>
          <w:rFonts w:ascii="Calibri" w:hAnsi="Calibri" w:cs="Calibri"/>
        </w:rPr>
      </w:pPr>
      <w:bookmarkStart w:id="1041" w:name="_Toc406984083"/>
      <w:bookmarkStart w:id="1042" w:name="_Toc406984230"/>
      <w:bookmarkStart w:id="1043" w:name="_Toc406984421"/>
      <w:bookmarkStart w:id="1044" w:name="_Toc407069629"/>
      <w:bookmarkStart w:id="1045" w:name="_Toc407081594"/>
      <w:bookmarkStart w:id="1046" w:name="_Toc407081737"/>
      <w:bookmarkStart w:id="1047" w:name="_Toc407084227"/>
      <w:bookmarkStart w:id="1048" w:name="_Toc407085346"/>
      <w:bookmarkStart w:id="1049" w:name="_Toc407085489"/>
      <w:bookmarkStart w:id="1050" w:name="_Toc407085632"/>
    </w:p>
    <w:p w:rsidR="0007731E" w:rsidRDefault="0007731E" w:rsidP="00AD54A3">
      <w:pPr>
        <w:rPr>
          <w:rFonts w:ascii="Calibri" w:hAnsi="Calibri" w:cs="Calibri"/>
        </w:rPr>
      </w:pPr>
    </w:p>
    <w:p w:rsidR="0007731E" w:rsidRDefault="0007731E" w:rsidP="00AD54A3">
      <w:pPr>
        <w:rPr>
          <w:rFonts w:ascii="Calibri" w:hAnsi="Calibri" w:cs="Calibri"/>
        </w:rPr>
      </w:pPr>
    </w:p>
    <w:p w:rsidR="0007731E" w:rsidRDefault="0007731E" w:rsidP="00AD54A3">
      <w:pPr>
        <w:rPr>
          <w:rFonts w:ascii="Calibri" w:hAnsi="Calibri" w:cs="Calibri"/>
        </w:rPr>
      </w:pPr>
    </w:p>
    <w:p w:rsidR="0007731E" w:rsidRDefault="0007731E" w:rsidP="00AD54A3">
      <w:pPr>
        <w:rPr>
          <w:rFonts w:ascii="Calibri" w:hAnsi="Calibri" w:cs="Calibri"/>
        </w:rPr>
      </w:pPr>
    </w:p>
    <w:p w:rsidR="0007731E" w:rsidRDefault="0007731E" w:rsidP="00AD54A3">
      <w:pPr>
        <w:rPr>
          <w:rFonts w:ascii="Calibri" w:hAnsi="Calibri" w:cs="Calibri"/>
        </w:rPr>
      </w:pPr>
    </w:p>
    <w:p w:rsidR="0007731E" w:rsidRDefault="0007731E" w:rsidP="00AD54A3">
      <w:pPr>
        <w:rPr>
          <w:rFonts w:ascii="Calibri" w:hAnsi="Calibri" w:cs="Calibri"/>
        </w:rPr>
      </w:pPr>
    </w:p>
    <w:p w:rsidR="008D16FB" w:rsidRDefault="008D16FB" w:rsidP="0007731E">
      <w:pPr>
        <w:pStyle w:val="Nagwek4"/>
      </w:pPr>
    </w:p>
    <w:p w:rsidR="008D16FB" w:rsidRDefault="008D16FB" w:rsidP="0007731E">
      <w:pPr>
        <w:pStyle w:val="Nagwek4"/>
      </w:pPr>
    </w:p>
    <w:p w:rsidR="008D16FB" w:rsidRDefault="008D16FB" w:rsidP="0007731E">
      <w:pPr>
        <w:pStyle w:val="Nagwek4"/>
      </w:pPr>
    </w:p>
    <w:p w:rsidR="008D16FB" w:rsidRDefault="008D16FB" w:rsidP="0007731E">
      <w:pPr>
        <w:pStyle w:val="Nagwek4"/>
      </w:pPr>
    </w:p>
    <w:p w:rsidR="008D16FB" w:rsidRDefault="008D16FB" w:rsidP="0007731E">
      <w:pPr>
        <w:pStyle w:val="Nagwek4"/>
      </w:pPr>
    </w:p>
    <w:p w:rsidR="008D16FB" w:rsidRDefault="008D16FB" w:rsidP="0007731E">
      <w:pPr>
        <w:pStyle w:val="Nagwek4"/>
      </w:pPr>
    </w:p>
    <w:p w:rsidR="008D16FB" w:rsidRDefault="008D16FB" w:rsidP="0007731E">
      <w:pPr>
        <w:pStyle w:val="Nagwek4"/>
      </w:pPr>
    </w:p>
    <w:p w:rsidR="008D16FB" w:rsidRDefault="008D16FB" w:rsidP="0007731E">
      <w:pPr>
        <w:pStyle w:val="Nagwek4"/>
      </w:pPr>
    </w:p>
    <w:p w:rsidR="008D16FB" w:rsidRDefault="008D16FB" w:rsidP="008D16FB"/>
    <w:p w:rsidR="008D16FB" w:rsidRDefault="008D16FB" w:rsidP="008D16FB"/>
    <w:p w:rsidR="008D16FB" w:rsidRDefault="008D16FB" w:rsidP="008D16FB"/>
    <w:p w:rsidR="008D16FB" w:rsidRDefault="008D16FB" w:rsidP="008D16FB"/>
    <w:p w:rsidR="008D16FB" w:rsidRDefault="008D16FB" w:rsidP="008D16FB"/>
    <w:p w:rsidR="008D16FB" w:rsidRDefault="008D16FB" w:rsidP="008D16FB"/>
    <w:p w:rsidR="008D16FB" w:rsidRDefault="008D16FB" w:rsidP="008D16FB"/>
    <w:p w:rsidR="008D16FB" w:rsidRDefault="008D16FB" w:rsidP="008D16FB"/>
    <w:p w:rsidR="008D16FB" w:rsidRDefault="008D16FB" w:rsidP="008D16FB"/>
    <w:p w:rsidR="008D16FB" w:rsidRDefault="008D16FB" w:rsidP="008D16FB"/>
    <w:p w:rsidR="008D16FB" w:rsidRDefault="008D16FB" w:rsidP="008D16FB"/>
    <w:p w:rsidR="008D16FB" w:rsidRDefault="008D16FB" w:rsidP="008D16FB"/>
    <w:p w:rsidR="008D16FB" w:rsidRDefault="008D16FB" w:rsidP="008D16FB"/>
    <w:p w:rsidR="008D16FB" w:rsidRDefault="008D16FB" w:rsidP="008D16FB"/>
    <w:p w:rsidR="008D16FB" w:rsidRDefault="008D16FB" w:rsidP="008D16FB"/>
    <w:p w:rsidR="008D16FB" w:rsidRDefault="008D16FB" w:rsidP="008D16FB"/>
    <w:p w:rsidR="008D16FB" w:rsidRDefault="008D16FB" w:rsidP="008D16FB"/>
    <w:p w:rsidR="008D16FB" w:rsidRDefault="008D16FB" w:rsidP="008D16FB"/>
    <w:p w:rsidR="008D16FB" w:rsidRDefault="008D16FB" w:rsidP="008D16FB"/>
    <w:p w:rsidR="008D16FB" w:rsidRPr="008D16FB" w:rsidRDefault="008D16FB" w:rsidP="008D16FB"/>
    <w:p w:rsidR="00DC63C2" w:rsidRDefault="00DC63C2" w:rsidP="00DC63C2">
      <w:bookmarkStart w:id="1051" w:name="_Toc404342028"/>
      <w:bookmarkStart w:id="1052" w:name="_Toc407069660"/>
      <w:bookmarkStart w:id="1053" w:name="_Toc407081625"/>
      <w:bookmarkStart w:id="1054" w:name="_Toc407081768"/>
      <w:bookmarkStart w:id="1055" w:name="_Toc407083424"/>
      <w:bookmarkStart w:id="1056" w:name="_Toc407084258"/>
      <w:bookmarkStart w:id="1057" w:name="_Toc407085377"/>
      <w:bookmarkStart w:id="1058" w:name="_Toc407085520"/>
      <w:bookmarkStart w:id="1059" w:name="_Toc407085663"/>
      <w:bookmarkStart w:id="1060" w:name="_Toc407086111"/>
      <w:bookmarkEnd w:id="1041"/>
      <w:bookmarkEnd w:id="1042"/>
      <w:bookmarkEnd w:id="1043"/>
      <w:bookmarkEnd w:id="1044"/>
      <w:bookmarkEnd w:id="1045"/>
      <w:bookmarkEnd w:id="1046"/>
      <w:bookmarkEnd w:id="1047"/>
      <w:bookmarkEnd w:id="1048"/>
      <w:bookmarkEnd w:id="1049"/>
      <w:bookmarkEnd w:id="1050"/>
    </w:p>
    <w:p w:rsidR="00DC63C2" w:rsidRDefault="00DC63C2" w:rsidP="00DC63C2"/>
    <w:p w:rsidR="00DC63C2" w:rsidRDefault="00DC63C2" w:rsidP="00DC63C2"/>
    <w:p w:rsidR="00DC63C2" w:rsidRDefault="00DC63C2" w:rsidP="00DC63C2"/>
    <w:p w:rsidR="00DC63C2" w:rsidRDefault="00DC63C2" w:rsidP="00DC63C2"/>
    <w:p w:rsidR="00DC63C2" w:rsidRDefault="00DC63C2" w:rsidP="00DC63C2"/>
    <w:p w:rsidR="00DC63C2" w:rsidRDefault="00DC63C2" w:rsidP="00DC63C2"/>
    <w:p w:rsidR="00DC63C2" w:rsidRDefault="00DC63C2" w:rsidP="00DC63C2"/>
    <w:p w:rsidR="00DC63C2" w:rsidRPr="00DC63C2" w:rsidRDefault="00DC63C2" w:rsidP="00DC63C2"/>
    <w:p w:rsidR="00DC63C2" w:rsidRDefault="00DC63C2" w:rsidP="00EF7FDC">
      <w:pPr>
        <w:pStyle w:val="Nagwek4"/>
      </w:pPr>
    </w:p>
    <w:p w:rsidR="003843CA" w:rsidRDefault="003843CA" w:rsidP="003843CA"/>
    <w:p w:rsidR="003843CA" w:rsidRDefault="003843CA" w:rsidP="003843CA"/>
    <w:p w:rsidR="003843CA" w:rsidRDefault="003843CA" w:rsidP="003843CA"/>
    <w:p w:rsidR="003843CA" w:rsidRDefault="003843CA" w:rsidP="003843CA"/>
    <w:p w:rsidR="003843CA" w:rsidRDefault="003843CA" w:rsidP="003843CA"/>
    <w:p w:rsidR="003843CA" w:rsidRPr="003843CA" w:rsidRDefault="003843CA" w:rsidP="003843CA"/>
    <w:p w:rsidR="000C27BF" w:rsidRDefault="000C27BF" w:rsidP="000C27BF"/>
    <w:p w:rsidR="000C27BF" w:rsidRDefault="000C27BF" w:rsidP="000C27BF"/>
    <w:p w:rsidR="000C27BF" w:rsidRDefault="000C27BF" w:rsidP="000C27BF"/>
    <w:p w:rsidR="000C27BF" w:rsidRPr="000C27BF" w:rsidRDefault="000C27BF" w:rsidP="000C27BF"/>
    <w:p w:rsidR="00AD54A3" w:rsidRPr="007E0D29" w:rsidRDefault="00F35C31" w:rsidP="002B2C83">
      <w:pPr>
        <w:pStyle w:val="Nagwek1"/>
        <w:jc w:val="center"/>
      </w:pPr>
      <w:bookmarkStart w:id="1061" w:name="_Toc438237722"/>
      <w:r>
        <w:t xml:space="preserve">D-04.03.01 </w:t>
      </w:r>
      <w:r w:rsidR="00DC63C2">
        <w:t xml:space="preserve"> </w:t>
      </w:r>
      <w:r>
        <w:t xml:space="preserve">OCZYSZCZENIE I SKROPIENIE WARSTW </w:t>
      </w:r>
      <w:r w:rsidR="00AD54A3" w:rsidRPr="007E0D29">
        <w:t>KONSTRUKCYJNYCH</w:t>
      </w:r>
      <w:bookmarkEnd w:id="1051"/>
      <w:bookmarkEnd w:id="1061"/>
    </w:p>
    <w:p w:rsidR="00AD54A3" w:rsidRPr="00CA4A9E" w:rsidRDefault="00AD54A3" w:rsidP="00AD54A3">
      <w:pPr>
        <w:rPr>
          <w:rFonts w:ascii="Calibri" w:hAnsi="Calibri" w:cs="Calibri"/>
        </w:rPr>
      </w:pPr>
    </w:p>
    <w:p w:rsidR="00AD54A3" w:rsidRPr="00CA4A9E" w:rsidRDefault="00AD54A3" w:rsidP="00AD54A3">
      <w:pPr>
        <w:rPr>
          <w:rFonts w:ascii="Calibri" w:hAnsi="Calibri" w:cs="Calibri"/>
        </w:rPr>
      </w:pPr>
    </w:p>
    <w:p w:rsidR="00AD54A3" w:rsidRPr="00CA4A9E" w:rsidRDefault="00AD54A3" w:rsidP="00AD54A3">
      <w:pPr>
        <w:rPr>
          <w:rFonts w:ascii="Calibri" w:hAnsi="Calibri" w:cs="Calibri"/>
        </w:rPr>
      </w:pPr>
    </w:p>
    <w:p w:rsidR="00AD54A3" w:rsidRPr="00CA4A9E" w:rsidRDefault="00AD54A3" w:rsidP="00AD54A3">
      <w:pPr>
        <w:rPr>
          <w:rFonts w:ascii="Calibri" w:hAnsi="Calibri" w:cs="Calibri"/>
        </w:rPr>
      </w:pPr>
    </w:p>
    <w:p w:rsidR="00AD54A3" w:rsidRPr="00CA4A9E" w:rsidRDefault="00AD54A3" w:rsidP="00AD54A3">
      <w:pPr>
        <w:rPr>
          <w:rFonts w:ascii="Calibri" w:hAnsi="Calibri" w:cs="Calibri"/>
        </w:rPr>
      </w:pPr>
    </w:p>
    <w:p w:rsidR="00AD54A3" w:rsidRPr="00CA4A9E" w:rsidRDefault="00AD54A3" w:rsidP="00AD54A3">
      <w:pPr>
        <w:rPr>
          <w:rFonts w:ascii="Calibri" w:hAnsi="Calibri" w:cs="Calibri"/>
        </w:rPr>
      </w:pPr>
    </w:p>
    <w:p w:rsidR="00AD54A3" w:rsidRPr="00CA4A9E" w:rsidRDefault="00AD54A3" w:rsidP="00AD54A3">
      <w:pPr>
        <w:rPr>
          <w:rFonts w:ascii="Calibri" w:hAnsi="Calibri" w:cs="Calibri"/>
        </w:rPr>
      </w:pPr>
    </w:p>
    <w:p w:rsidR="00AD54A3" w:rsidRPr="00CA4A9E" w:rsidRDefault="00AD54A3" w:rsidP="00AD54A3">
      <w:pPr>
        <w:rPr>
          <w:rFonts w:ascii="Calibri" w:hAnsi="Calibri" w:cs="Calibri"/>
        </w:rPr>
      </w:pPr>
    </w:p>
    <w:p w:rsidR="00AD54A3" w:rsidRPr="00CA4A9E" w:rsidRDefault="00AD54A3" w:rsidP="00AD54A3">
      <w:pPr>
        <w:rPr>
          <w:rFonts w:ascii="Calibri" w:hAnsi="Calibri" w:cs="Calibri"/>
        </w:rPr>
      </w:pPr>
    </w:p>
    <w:p w:rsidR="00DC63C2" w:rsidRDefault="00DC63C2" w:rsidP="00AD54A3">
      <w:pPr>
        <w:rPr>
          <w:rFonts w:ascii="Calibri" w:hAnsi="Calibri" w:cs="Calibri"/>
          <w:b/>
        </w:rPr>
      </w:pPr>
    </w:p>
    <w:p w:rsidR="00DC63C2" w:rsidRDefault="00DC63C2" w:rsidP="00AD54A3">
      <w:pPr>
        <w:rPr>
          <w:rFonts w:ascii="Calibri" w:hAnsi="Calibri" w:cs="Calibri"/>
          <w:b/>
        </w:rPr>
      </w:pPr>
    </w:p>
    <w:p w:rsidR="00DC63C2" w:rsidRDefault="00DC63C2" w:rsidP="00AD54A3">
      <w:pPr>
        <w:rPr>
          <w:rFonts w:ascii="Calibri" w:hAnsi="Calibri" w:cs="Calibri"/>
          <w:b/>
        </w:rPr>
      </w:pPr>
    </w:p>
    <w:p w:rsidR="00DC63C2" w:rsidRDefault="00DC63C2" w:rsidP="00AD54A3">
      <w:pPr>
        <w:rPr>
          <w:rFonts w:ascii="Calibri" w:hAnsi="Calibri" w:cs="Calibri"/>
          <w:b/>
        </w:rPr>
      </w:pPr>
    </w:p>
    <w:p w:rsidR="00DC63C2" w:rsidRDefault="00DC63C2" w:rsidP="00AD54A3">
      <w:pPr>
        <w:rPr>
          <w:rFonts w:ascii="Calibri" w:hAnsi="Calibri" w:cs="Calibri"/>
          <w:b/>
        </w:rPr>
      </w:pPr>
    </w:p>
    <w:p w:rsidR="00DC63C2" w:rsidRDefault="00DC63C2" w:rsidP="00AD54A3">
      <w:pPr>
        <w:rPr>
          <w:rFonts w:ascii="Calibri" w:hAnsi="Calibri" w:cs="Calibri"/>
          <w:b/>
        </w:rPr>
      </w:pPr>
    </w:p>
    <w:p w:rsidR="00DC63C2" w:rsidRDefault="00DC63C2" w:rsidP="00AD54A3">
      <w:pPr>
        <w:rPr>
          <w:rFonts w:ascii="Calibri" w:hAnsi="Calibri" w:cs="Calibri"/>
          <w:b/>
        </w:rPr>
      </w:pPr>
    </w:p>
    <w:p w:rsidR="00DC63C2" w:rsidRDefault="00DC63C2" w:rsidP="00AD54A3">
      <w:pPr>
        <w:rPr>
          <w:rFonts w:ascii="Calibri" w:hAnsi="Calibri" w:cs="Calibri"/>
          <w:b/>
        </w:rPr>
      </w:pPr>
    </w:p>
    <w:p w:rsidR="00DC63C2" w:rsidRDefault="00DC63C2" w:rsidP="00AD54A3">
      <w:pPr>
        <w:rPr>
          <w:rFonts w:ascii="Calibri" w:hAnsi="Calibri" w:cs="Calibri"/>
          <w:b/>
        </w:rPr>
      </w:pPr>
    </w:p>
    <w:p w:rsidR="00DC63C2" w:rsidRDefault="00DC63C2" w:rsidP="00AD54A3">
      <w:pPr>
        <w:rPr>
          <w:rFonts w:ascii="Calibri" w:hAnsi="Calibri" w:cs="Calibri"/>
          <w:b/>
        </w:rPr>
      </w:pPr>
    </w:p>
    <w:p w:rsidR="00DC63C2" w:rsidRDefault="00DC63C2" w:rsidP="00AD54A3">
      <w:pPr>
        <w:rPr>
          <w:rFonts w:ascii="Calibri" w:hAnsi="Calibri" w:cs="Calibri"/>
          <w:b/>
        </w:rPr>
      </w:pPr>
    </w:p>
    <w:p w:rsidR="00DC63C2" w:rsidRDefault="00DC63C2" w:rsidP="00AD54A3">
      <w:pPr>
        <w:rPr>
          <w:rFonts w:ascii="Calibri" w:hAnsi="Calibri" w:cs="Calibri"/>
          <w:b/>
        </w:rPr>
      </w:pPr>
    </w:p>
    <w:p w:rsidR="00DC63C2" w:rsidRDefault="00DC63C2" w:rsidP="00AD54A3">
      <w:pPr>
        <w:rPr>
          <w:rFonts w:ascii="Calibri" w:hAnsi="Calibri" w:cs="Calibri"/>
          <w:b/>
        </w:rPr>
      </w:pPr>
    </w:p>
    <w:p w:rsidR="00DC63C2" w:rsidRDefault="00DC63C2" w:rsidP="00AD54A3">
      <w:pPr>
        <w:rPr>
          <w:rFonts w:ascii="Calibri" w:hAnsi="Calibri" w:cs="Calibri"/>
          <w:b/>
        </w:rPr>
      </w:pPr>
    </w:p>
    <w:p w:rsidR="00DC63C2" w:rsidRDefault="00DC63C2" w:rsidP="00AD54A3">
      <w:pPr>
        <w:rPr>
          <w:rFonts w:ascii="Calibri" w:hAnsi="Calibri" w:cs="Calibri"/>
          <w:b/>
        </w:rPr>
      </w:pPr>
    </w:p>
    <w:p w:rsidR="00DC63C2" w:rsidRDefault="00DC63C2" w:rsidP="00AD54A3">
      <w:pPr>
        <w:rPr>
          <w:rFonts w:ascii="Calibri" w:hAnsi="Calibri" w:cs="Calibri"/>
          <w:b/>
        </w:rPr>
      </w:pPr>
    </w:p>
    <w:p w:rsidR="00DC63C2" w:rsidRDefault="00DC63C2" w:rsidP="00AD54A3">
      <w:pPr>
        <w:rPr>
          <w:rFonts w:ascii="Calibri" w:hAnsi="Calibri" w:cs="Calibri"/>
          <w:b/>
        </w:rPr>
      </w:pPr>
    </w:p>
    <w:p w:rsidR="00DC63C2" w:rsidRDefault="00DC63C2" w:rsidP="00AD54A3">
      <w:pPr>
        <w:rPr>
          <w:rFonts w:ascii="Calibri" w:hAnsi="Calibri" w:cs="Calibri"/>
          <w:b/>
        </w:rPr>
      </w:pPr>
    </w:p>
    <w:p w:rsidR="00DC63C2" w:rsidRDefault="00DC63C2" w:rsidP="00AD54A3">
      <w:pPr>
        <w:rPr>
          <w:rFonts w:ascii="Calibri" w:hAnsi="Calibri" w:cs="Calibri"/>
          <w:b/>
        </w:rPr>
      </w:pPr>
    </w:p>
    <w:p w:rsidR="00DC63C2" w:rsidRDefault="00DC63C2" w:rsidP="00AD54A3">
      <w:pPr>
        <w:rPr>
          <w:rFonts w:ascii="Calibri" w:hAnsi="Calibri" w:cs="Calibri"/>
          <w:b/>
        </w:rPr>
      </w:pPr>
    </w:p>
    <w:p w:rsidR="00DC63C2" w:rsidRDefault="00DC63C2" w:rsidP="00AD54A3">
      <w:pPr>
        <w:rPr>
          <w:rFonts w:ascii="Calibri" w:hAnsi="Calibri" w:cs="Calibri"/>
          <w:b/>
        </w:rPr>
      </w:pPr>
    </w:p>
    <w:p w:rsidR="00DC63C2" w:rsidRDefault="00DC63C2" w:rsidP="00AD54A3">
      <w:pPr>
        <w:rPr>
          <w:rFonts w:ascii="Calibri" w:hAnsi="Calibri" w:cs="Calibri"/>
          <w:b/>
        </w:rPr>
      </w:pPr>
    </w:p>
    <w:p w:rsidR="00DC63C2" w:rsidRDefault="00DC63C2" w:rsidP="00AD54A3">
      <w:pPr>
        <w:rPr>
          <w:rFonts w:ascii="Calibri" w:hAnsi="Calibri" w:cs="Calibri"/>
          <w:b/>
        </w:rPr>
      </w:pPr>
    </w:p>
    <w:p w:rsidR="00DC63C2" w:rsidRDefault="00DC63C2" w:rsidP="00AD54A3">
      <w:pPr>
        <w:rPr>
          <w:rFonts w:ascii="Calibri" w:hAnsi="Calibri" w:cs="Calibri"/>
          <w:b/>
        </w:rPr>
      </w:pPr>
    </w:p>
    <w:p w:rsidR="00DC63C2" w:rsidRDefault="00DC63C2" w:rsidP="00AD54A3">
      <w:pPr>
        <w:rPr>
          <w:rFonts w:ascii="Calibri" w:hAnsi="Calibri" w:cs="Calibri"/>
          <w:b/>
        </w:rPr>
      </w:pPr>
    </w:p>
    <w:p w:rsidR="00DC63C2" w:rsidRDefault="00DC63C2" w:rsidP="00AD54A3">
      <w:pPr>
        <w:rPr>
          <w:rFonts w:ascii="Calibri" w:hAnsi="Calibri" w:cs="Calibri"/>
          <w:b/>
        </w:rPr>
      </w:pPr>
    </w:p>
    <w:p w:rsidR="00DC63C2" w:rsidRDefault="00DC63C2" w:rsidP="00AD54A3">
      <w:pPr>
        <w:rPr>
          <w:rFonts w:ascii="Calibri" w:hAnsi="Calibri" w:cs="Calibri"/>
          <w:b/>
        </w:rPr>
      </w:pPr>
    </w:p>
    <w:p w:rsidR="00DC63C2" w:rsidRDefault="00DC63C2" w:rsidP="00AD54A3">
      <w:pPr>
        <w:rPr>
          <w:rFonts w:ascii="Calibri" w:hAnsi="Calibri" w:cs="Calibri"/>
          <w:b/>
        </w:rPr>
      </w:pPr>
    </w:p>
    <w:p w:rsidR="002B2C83" w:rsidRDefault="002B2C83" w:rsidP="00AD54A3">
      <w:pPr>
        <w:rPr>
          <w:rFonts w:ascii="Calibri" w:hAnsi="Calibri" w:cs="Calibri"/>
          <w:b/>
        </w:rPr>
      </w:pPr>
    </w:p>
    <w:p w:rsidR="00190CF5" w:rsidRDefault="00190CF5" w:rsidP="00AD54A3">
      <w:pPr>
        <w:rPr>
          <w:rFonts w:ascii="Calibri" w:hAnsi="Calibri" w:cs="Calibri"/>
          <w:b/>
        </w:rPr>
      </w:pPr>
    </w:p>
    <w:p w:rsidR="00190CF5" w:rsidRDefault="00190CF5" w:rsidP="00AD54A3">
      <w:pPr>
        <w:rPr>
          <w:rFonts w:ascii="Calibri" w:hAnsi="Calibri" w:cs="Calibri"/>
          <w:b/>
        </w:rPr>
      </w:pPr>
    </w:p>
    <w:p w:rsidR="002B2C83" w:rsidRDefault="002B2C83" w:rsidP="00AD54A3">
      <w:pPr>
        <w:rPr>
          <w:rFonts w:ascii="Calibri" w:hAnsi="Calibri" w:cs="Calibri"/>
          <w:b/>
        </w:rPr>
      </w:pPr>
    </w:p>
    <w:p w:rsidR="00AD54A3" w:rsidRPr="007E0D29" w:rsidRDefault="00AD54A3" w:rsidP="00AD54A3">
      <w:pPr>
        <w:rPr>
          <w:rFonts w:ascii="Calibri" w:hAnsi="Calibri" w:cs="Calibri"/>
          <w:b/>
        </w:rPr>
      </w:pPr>
      <w:r w:rsidRPr="007E0D29">
        <w:rPr>
          <w:rFonts w:ascii="Calibri" w:hAnsi="Calibri" w:cs="Calibri"/>
          <w:b/>
        </w:rPr>
        <w:lastRenderedPageBreak/>
        <w:t>1. WSTĘP</w:t>
      </w:r>
      <w:bookmarkEnd w:id="1052"/>
      <w:bookmarkEnd w:id="1053"/>
      <w:bookmarkEnd w:id="1054"/>
      <w:bookmarkEnd w:id="1055"/>
      <w:bookmarkEnd w:id="1056"/>
      <w:bookmarkEnd w:id="1057"/>
      <w:bookmarkEnd w:id="1058"/>
      <w:bookmarkEnd w:id="1059"/>
      <w:bookmarkEnd w:id="1060"/>
    </w:p>
    <w:p w:rsidR="00AD54A3" w:rsidRPr="00CA4A9E" w:rsidRDefault="00AD54A3" w:rsidP="00AD54A3">
      <w:pPr>
        <w:rPr>
          <w:rFonts w:ascii="Calibri" w:hAnsi="Calibri" w:cs="Calibri"/>
        </w:rPr>
      </w:pPr>
      <w:bookmarkStart w:id="1062" w:name="_Toc407069661"/>
      <w:bookmarkStart w:id="1063" w:name="_Toc407081626"/>
      <w:bookmarkStart w:id="1064" w:name="_Toc407081769"/>
      <w:bookmarkStart w:id="1065" w:name="_Toc407083425"/>
      <w:bookmarkStart w:id="1066" w:name="_Toc407084259"/>
      <w:bookmarkStart w:id="1067" w:name="_Toc407085378"/>
      <w:bookmarkStart w:id="1068" w:name="_Toc407085521"/>
      <w:bookmarkStart w:id="1069" w:name="_Toc407085664"/>
      <w:bookmarkStart w:id="1070" w:name="_Toc407086112"/>
      <w:r w:rsidRPr="007E0D29">
        <w:rPr>
          <w:rFonts w:ascii="Calibri" w:hAnsi="Calibri" w:cs="Calibri"/>
          <w:b/>
        </w:rPr>
        <w:t>1.1.</w:t>
      </w:r>
      <w:r w:rsidRPr="00CA4A9E">
        <w:rPr>
          <w:rFonts w:ascii="Calibri" w:hAnsi="Calibri" w:cs="Calibri"/>
        </w:rPr>
        <w:t xml:space="preserve"> Przedmiot ST</w:t>
      </w:r>
      <w:bookmarkEnd w:id="1062"/>
      <w:bookmarkEnd w:id="1063"/>
      <w:bookmarkEnd w:id="1064"/>
      <w:bookmarkEnd w:id="1065"/>
      <w:bookmarkEnd w:id="1066"/>
      <w:bookmarkEnd w:id="1067"/>
      <w:bookmarkEnd w:id="1068"/>
      <w:bookmarkEnd w:id="1069"/>
      <w:bookmarkEnd w:id="1070"/>
    </w:p>
    <w:p w:rsidR="00AD54A3" w:rsidRPr="00CA4A9E" w:rsidRDefault="00AD54A3" w:rsidP="00AD54A3">
      <w:pPr>
        <w:rPr>
          <w:rFonts w:ascii="Calibri" w:hAnsi="Calibri" w:cs="Calibri"/>
        </w:rPr>
      </w:pPr>
      <w:r w:rsidRPr="00CA4A9E">
        <w:rPr>
          <w:rFonts w:ascii="Calibri" w:hAnsi="Calibri" w:cs="Calibri"/>
        </w:rPr>
        <w:tab/>
        <w:t>Przedmiotem niniejszej specyfikacji technicznej (ST) są wymagania dotyczące wykonania i odbioru robót związanych z oczyszczeniem i skropieniem warstw konstrukcyjnych nawierzchni.</w:t>
      </w:r>
    </w:p>
    <w:p w:rsidR="00AD54A3" w:rsidRPr="00CA4A9E" w:rsidRDefault="00AD54A3" w:rsidP="00AD54A3">
      <w:pPr>
        <w:rPr>
          <w:rFonts w:ascii="Calibri" w:hAnsi="Calibri" w:cs="Calibri"/>
        </w:rPr>
      </w:pPr>
      <w:bookmarkStart w:id="1071" w:name="_Toc407069663"/>
      <w:bookmarkStart w:id="1072" w:name="_Toc407081628"/>
      <w:bookmarkStart w:id="1073" w:name="_Toc407081771"/>
      <w:bookmarkStart w:id="1074" w:name="_Toc407083427"/>
      <w:bookmarkStart w:id="1075" w:name="_Toc407084261"/>
      <w:bookmarkStart w:id="1076" w:name="_Toc407085380"/>
      <w:bookmarkStart w:id="1077" w:name="_Toc407085523"/>
      <w:bookmarkStart w:id="1078" w:name="_Toc407085666"/>
      <w:bookmarkStart w:id="1079" w:name="_Toc407086114"/>
      <w:r w:rsidRPr="007E0D29">
        <w:rPr>
          <w:rFonts w:ascii="Calibri" w:hAnsi="Calibri" w:cs="Calibri"/>
          <w:b/>
        </w:rPr>
        <w:t>1.2.</w:t>
      </w:r>
      <w:r w:rsidRPr="00CA4A9E">
        <w:rPr>
          <w:rFonts w:ascii="Calibri" w:hAnsi="Calibri" w:cs="Calibri"/>
        </w:rPr>
        <w:t xml:space="preserve"> Zakres stosowania ST</w:t>
      </w:r>
    </w:p>
    <w:p w:rsidR="00AD54A3" w:rsidRPr="00CA4A9E" w:rsidRDefault="00AD54A3" w:rsidP="00AD54A3">
      <w:pPr>
        <w:rPr>
          <w:rFonts w:ascii="Calibri" w:hAnsi="Calibri" w:cs="Calibri"/>
        </w:rPr>
      </w:pPr>
      <w:r w:rsidRPr="00CA4A9E">
        <w:rPr>
          <w:rFonts w:ascii="Calibri" w:hAnsi="Calibri" w:cs="Calibri"/>
        </w:rPr>
        <w:tab/>
        <w:t>Specyfikacja techniczna określa wymagania dla wykonania i odbioru robót budowlanych przewidzianych do wykonania w ramach umowy a zawarte w niej zapisy w zakresie standardu materiałów, wykonania robót i wymaganej ich jakości oraz kontroli jakości robót należy traktować jako minimalne.</w:t>
      </w:r>
    </w:p>
    <w:p w:rsidR="00AD54A3" w:rsidRPr="00CA4A9E" w:rsidRDefault="00AD54A3" w:rsidP="00AD54A3">
      <w:pPr>
        <w:rPr>
          <w:rFonts w:ascii="Calibri" w:hAnsi="Calibri" w:cs="Calibri"/>
        </w:rPr>
      </w:pPr>
      <w:r w:rsidRPr="007E0D29">
        <w:rPr>
          <w:rFonts w:ascii="Calibri" w:hAnsi="Calibri" w:cs="Calibri"/>
          <w:b/>
        </w:rPr>
        <w:t>1.3.</w:t>
      </w:r>
      <w:r w:rsidRPr="00CA4A9E">
        <w:rPr>
          <w:rFonts w:ascii="Calibri" w:hAnsi="Calibri" w:cs="Calibri"/>
        </w:rPr>
        <w:t xml:space="preserve"> Zakres robót objętych ST</w:t>
      </w:r>
      <w:bookmarkEnd w:id="1071"/>
      <w:bookmarkEnd w:id="1072"/>
      <w:bookmarkEnd w:id="1073"/>
      <w:bookmarkEnd w:id="1074"/>
      <w:bookmarkEnd w:id="1075"/>
      <w:bookmarkEnd w:id="1076"/>
      <w:bookmarkEnd w:id="1077"/>
      <w:bookmarkEnd w:id="1078"/>
      <w:bookmarkEnd w:id="1079"/>
    </w:p>
    <w:p w:rsidR="003843CA" w:rsidRPr="00666F76" w:rsidRDefault="00AD54A3" w:rsidP="003843CA">
      <w:pPr>
        <w:rPr>
          <w:rFonts w:asciiTheme="minorHAnsi" w:hAnsiTheme="minorHAnsi" w:cs="Calibri"/>
        </w:rPr>
      </w:pPr>
      <w:r w:rsidRPr="00CA4A9E">
        <w:rPr>
          <w:rFonts w:ascii="Calibri" w:hAnsi="Calibri" w:cs="Calibri"/>
        </w:rPr>
        <w:tab/>
        <w:t>Ustalenia zawarte w niniejszej specyfikacji dotyczą zasad prowadzenia robót związanych z oczyszczeniem i skropieniem warstw konstrukcyjnych przed ułożeniem</w:t>
      </w:r>
      <w:r w:rsidR="00190CF5">
        <w:rPr>
          <w:rFonts w:ascii="Calibri" w:hAnsi="Calibri" w:cs="Calibri"/>
        </w:rPr>
        <w:t xml:space="preserve"> następnej warstwy nawierzchni </w:t>
      </w:r>
      <w:bookmarkStart w:id="1080" w:name="_Toc407069664"/>
      <w:bookmarkStart w:id="1081" w:name="_Toc407081629"/>
      <w:bookmarkStart w:id="1082" w:name="_Toc407081772"/>
      <w:bookmarkStart w:id="1083" w:name="_Toc407083428"/>
      <w:bookmarkStart w:id="1084" w:name="_Toc407084262"/>
      <w:bookmarkStart w:id="1085" w:name="_Toc407085381"/>
      <w:bookmarkStart w:id="1086" w:name="_Toc407085524"/>
      <w:bookmarkStart w:id="1087" w:name="_Toc407085667"/>
      <w:bookmarkStart w:id="1088" w:name="_Toc407086115"/>
      <w:r w:rsidR="003843CA" w:rsidRPr="00666F76">
        <w:rPr>
          <w:rFonts w:ascii="Calibri" w:hAnsi="Calibri" w:cs="Calibri"/>
        </w:rPr>
        <w:t>w związku z „</w:t>
      </w:r>
      <w:r w:rsidR="003843CA" w:rsidRPr="00666F76">
        <w:rPr>
          <w:rFonts w:asciiTheme="minorHAnsi" w:hAnsiTheme="minorHAnsi"/>
        </w:rPr>
        <w:t>Przebudową ul.55 Pułku Piechoty w Lesznie wraz z przebudową oświetlenia”</w:t>
      </w:r>
      <w:r w:rsidR="003843CA" w:rsidRPr="00666F76">
        <w:rPr>
          <w:rFonts w:asciiTheme="minorHAnsi" w:hAnsiTheme="minorHAnsi" w:cs="Calibri"/>
        </w:rPr>
        <w:t>.</w:t>
      </w:r>
    </w:p>
    <w:p w:rsidR="00AD54A3" w:rsidRPr="00CA4A9E" w:rsidRDefault="00AD54A3" w:rsidP="00AD54A3">
      <w:pPr>
        <w:rPr>
          <w:rFonts w:ascii="Calibri" w:hAnsi="Calibri" w:cs="Calibri"/>
        </w:rPr>
      </w:pPr>
      <w:r w:rsidRPr="007E0D29">
        <w:rPr>
          <w:rFonts w:ascii="Calibri" w:hAnsi="Calibri" w:cs="Calibri"/>
          <w:b/>
        </w:rPr>
        <w:t>1.4.</w:t>
      </w:r>
      <w:r w:rsidRPr="00CA4A9E">
        <w:rPr>
          <w:rFonts w:ascii="Calibri" w:hAnsi="Calibri" w:cs="Calibri"/>
        </w:rPr>
        <w:t xml:space="preserve"> Określenia podstawowe</w:t>
      </w:r>
      <w:bookmarkEnd w:id="1080"/>
      <w:bookmarkEnd w:id="1081"/>
      <w:bookmarkEnd w:id="1082"/>
      <w:bookmarkEnd w:id="1083"/>
      <w:bookmarkEnd w:id="1084"/>
      <w:bookmarkEnd w:id="1085"/>
      <w:bookmarkEnd w:id="1086"/>
      <w:bookmarkEnd w:id="1087"/>
      <w:bookmarkEnd w:id="1088"/>
    </w:p>
    <w:p w:rsidR="00AD54A3" w:rsidRPr="00CA4A9E" w:rsidRDefault="00AD54A3" w:rsidP="00AD54A3">
      <w:pPr>
        <w:rPr>
          <w:rFonts w:ascii="Calibri" w:hAnsi="Calibri" w:cs="Calibri"/>
        </w:rPr>
      </w:pPr>
      <w:r w:rsidRPr="00CA4A9E">
        <w:rPr>
          <w:rFonts w:ascii="Calibri" w:hAnsi="Calibri" w:cs="Calibri"/>
        </w:rPr>
        <w:tab/>
        <w:t>Określenia podstawowe są zgodne z obowiązującymi, odpowiednimi polskimi normami i z definicjami podanymi w ST D-M-00.00.00 „Wymagania ogólne” pkt 1.4.</w:t>
      </w:r>
    </w:p>
    <w:p w:rsidR="00AD54A3" w:rsidRPr="00CA4A9E" w:rsidRDefault="00AD54A3" w:rsidP="00AD54A3">
      <w:pPr>
        <w:rPr>
          <w:rFonts w:ascii="Calibri" w:hAnsi="Calibri" w:cs="Calibri"/>
        </w:rPr>
      </w:pPr>
      <w:bookmarkStart w:id="1089" w:name="_Toc407069665"/>
      <w:bookmarkStart w:id="1090" w:name="_Toc407081630"/>
      <w:bookmarkStart w:id="1091" w:name="_Toc407081773"/>
      <w:bookmarkStart w:id="1092" w:name="_Toc407083429"/>
      <w:bookmarkStart w:id="1093" w:name="_Toc407084263"/>
      <w:bookmarkStart w:id="1094" w:name="_Toc407085382"/>
      <w:bookmarkStart w:id="1095" w:name="_Toc407085525"/>
      <w:bookmarkStart w:id="1096" w:name="_Toc407085668"/>
      <w:bookmarkStart w:id="1097" w:name="_Toc407086116"/>
      <w:r w:rsidRPr="007E0D29">
        <w:rPr>
          <w:rFonts w:ascii="Calibri" w:hAnsi="Calibri" w:cs="Calibri"/>
          <w:b/>
        </w:rPr>
        <w:t>1.5.</w:t>
      </w:r>
      <w:r w:rsidRPr="00CA4A9E">
        <w:rPr>
          <w:rFonts w:ascii="Calibri" w:hAnsi="Calibri" w:cs="Calibri"/>
        </w:rPr>
        <w:t xml:space="preserve"> Ogólne wymagania dotyczące robót</w:t>
      </w:r>
      <w:bookmarkEnd w:id="1089"/>
      <w:bookmarkEnd w:id="1090"/>
      <w:bookmarkEnd w:id="1091"/>
      <w:bookmarkEnd w:id="1092"/>
      <w:bookmarkEnd w:id="1093"/>
      <w:bookmarkEnd w:id="1094"/>
      <w:bookmarkEnd w:id="1095"/>
      <w:bookmarkEnd w:id="1096"/>
      <w:bookmarkEnd w:id="1097"/>
    </w:p>
    <w:p w:rsidR="00AD54A3" w:rsidRPr="00CA4A9E" w:rsidRDefault="00AD54A3" w:rsidP="00AD54A3">
      <w:pPr>
        <w:rPr>
          <w:rFonts w:ascii="Calibri" w:hAnsi="Calibri" w:cs="Calibri"/>
        </w:rPr>
      </w:pPr>
      <w:r w:rsidRPr="00CA4A9E">
        <w:rPr>
          <w:rFonts w:ascii="Calibri" w:hAnsi="Calibri" w:cs="Calibri"/>
        </w:rPr>
        <w:tab/>
        <w:t>Ogólne wymagania dotyczące robót podano w ST D-M-00.00.00 „Wymagania ogólne” pkt 1.5.</w:t>
      </w:r>
    </w:p>
    <w:p w:rsidR="00AD54A3" w:rsidRPr="00CA4A9E" w:rsidRDefault="00AD54A3" w:rsidP="00AD54A3">
      <w:pPr>
        <w:rPr>
          <w:rFonts w:ascii="Calibri" w:hAnsi="Calibri" w:cs="Calibri"/>
        </w:rPr>
      </w:pPr>
    </w:p>
    <w:p w:rsidR="00AD54A3" w:rsidRPr="007E0D29" w:rsidRDefault="00AD54A3" w:rsidP="00AD54A3">
      <w:pPr>
        <w:rPr>
          <w:rFonts w:ascii="Calibri" w:hAnsi="Calibri" w:cs="Calibri"/>
          <w:b/>
        </w:rPr>
      </w:pPr>
      <w:bookmarkStart w:id="1098" w:name="_Toc407069666"/>
      <w:bookmarkStart w:id="1099" w:name="_Toc407081631"/>
      <w:bookmarkStart w:id="1100" w:name="_Toc407081774"/>
      <w:bookmarkStart w:id="1101" w:name="_Toc407083430"/>
      <w:bookmarkStart w:id="1102" w:name="_Toc407084264"/>
      <w:bookmarkStart w:id="1103" w:name="_Toc407085383"/>
      <w:bookmarkStart w:id="1104" w:name="_Toc407085526"/>
      <w:bookmarkStart w:id="1105" w:name="_Toc407085669"/>
      <w:bookmarkStart w:id="1106" w:name="_Toc407086117"/>
      <w:r w:rsidRPr="007E0D29">
        <w:rPr>
          <w:rFonts w:ascii="Calibri" w:hAnsi="Calibri" w:cs="Calibri"/>
          <w:b/>
        </w:rPr>
        <w:t xml:space="preserve">2. </w:t>
      </w:r>
      <w:bookmarkEnd w:id="1098"/>
      <w:bookmarkEnd w:id="1099"/>
      <w:bookmarkEnd w:id="1100"/>
      <w:bookmarkEnd w:id="1101"/>
      <w:bookmarkEnd w:id="1102"/>
      <w:bookmarkEnd w:id="1103"/>
      <w:bookmarkEnd w:id="1104"/>
      <w:bookmarkEnd w:id="1105"/>
      <w:bookmarkEnd w:id="1106"/>
      <w:r w:rsidRPr="007E0D29">
        <w:rPr>
          <w:rFonts w:ascii="Calibri" w:hAnsi="Calibri" w:cs="Calibri"/>
          <w:b/>
        </w:rPr>
        <w:t>MATERIAŁY</w:t>
      </w:r>
    </w:p>
    <w:p w:rsidR="00AD54A3" w:rsidRPr="00CA4A9E" w:rsidRDefault="00AD54A3" w:rsidP="00AD54A3">
      <w:pPr>
        <w:rPr>
          <w:rFonts w:ascii="Calibri" w:hAnsi="Calibri" w:cs="Calibri"/>
        </w:rPr>
      </w:pPr>
      <w:bookmarkStart w:id="1107" w:name="_Toc407069667"/>
      <w:bookmarkStart w:id="1108" w:name="_Toc407081632"/>
      <w:bookmarkStart w:id="1109" w:name="_Toc407081775"/>
      <w:bookmarkStart w:id="1110" w:name="_Toc407083431"/>
      <w:bookmarkStart w:id="1111" w:name="_Toc407084265"/>
      <w:bookmarkStart w:id="1112" w:name="_Toc407085384"/>
      <w:bookmarkStart w:id="1113" w:name="_Toc407085527"/>
      <w:bookmarkStart w:id="1114" w:name="_Toc407085670"/>
      <w:bookmarkStart w:id="1115" w:name="_Toc407086118"/>
      <w:r w:rsidRPr="007E0D29">
        <w:rPr>
          <w:rFonts w:ascii="Calibri" w:hAnsi="Calibri" w:cs="Calibri"/>
          <w:b/>
        </w:rPr>
        <w:t>2.1.</w:t>
      </w:r>
      <w:r w:rsidRPr="00CA4A9E">
        <w:rPr>
          <w:rFonts w:ascii="Calibri" w:hAnsi="Calibri" w:cs="Calibri"/>
        </w:rPr>
        <w:t xml:space="preserve"> Ogólne wymagania dotyczące materiałów</w:t>
      </w:r>
      <w:bookmarkEnd w:id="1107"/>
      <w:bookmarkEnd w:id="1108"/>
      <w:bookmarkEnd w:id="1109"/>
      <w:bookmarkEnd w:id="1110"/>
      <w:bookmarkEnd w:id="1111"/>
      <w:bookmarkEnd w:id="1112"/>
      <w:bookmarkEnd w:id="1113"/>
      <w:bookmarkEnd w:id="1114"/>
      <w:bookmarkEnd w:id="1115"/>
    </w:p>
    <w:p w:rsidR="00AD54A3" w:rsidRPr="00CA4A9E" w:rsidRDefault="00AD54A3" w:rsidP="00AD54A3">
      <w:pPr>
        <w:rPr>
          <w:rFonts w:ascii="Calibri" w:hAnsi="Calibri" w:cs="Calibri"/>
        </w:rPr>
      </w:pPr>
      <w:r w:rsidRPr="00CA4A9E">
        <w:rPr>
          <w:rFonts w:ascii="Calibri" w:hAnsi="Calibri" w:cs="Calibri"/>
        </w:rPr>
        <w:tab/>
        <w:t>Ogólne wymagania dotyczące materiałów, ich pozyskiwania i składowania, podano w ST D-M-00.00.00 „Wymagania ogólne” pkt 2.</w:t>
      </w:r>
    </w:p>
    <w:p w:rsidR="00AD54A3" w:rsidRPr="00CA4A9E" w:rsidRDefault="00AD54A3" w:rsidP="00AD54A3">
      <w:pPr>
        <w:rPr>
          <w:rFonts w:ascii="Calibri" w:hAnsi="Calibri" w:cs="Calibri"/>
        </w:rPr>
      </w:pPr>
      <w:bookmarkStart w:id="1116" w:name="_Toc407069668"/>
      <w:bookmarkStart w:id="1117" w:name="_Toc407081633"/>
      <w:bookmarkStart w:id="1118" w:name="_Toc407081776"/>
      <w:bookmarkStart w:id="1119" w:name="_Toc407083432"/>
      <w:bookmarkStart w:id="1120" w:name="_Toc407084266"/>
      <w:bookmarkStart w:id="1121" w:name="_Toc407085385"/>
      <w:bookmarkStart w:id="1122" w:name="_Toc407085528"/>
      <w:bookmarkStart w:id="1123" w:name="_Toc407085671"/>
      <w:bookmarkStart w:id="1124" w:name="_Toc407086119"/>
      <w:r w:rsidRPr="007E0D29">
        <w:rPr>
          <w:rFonts w:ascii="Calibri" w:hAnsi="Calibri" w:cs="Calibri"/>
          <w:b/>
        </w:rPr>
        <w:t>2.2.</w:t>
      </w:r>
      <w:r w:rsidRPr="00CA4A9E">
        <w:rPr>
          <w:rFonts w:ascii="Calibri" w:hAnsi="Calibri" w:cs="Calibri"/>
        </w:rPr>
        <w:t xml:space="preserve"> Rodzaje materiałów do wykonania skropienia</w:t>
      </w:r>
      <w:bookmarkEnd w:id="1116"/>
      <w:bookmarkEnd w:id="1117"/>
      <w:bookmarkEnd w:id="1118"/>
      <w:bookmarkEnd w:id="1119"/>
      <w:bookmarkEnd w:id="1120"/>
      <w:bookmarkEnd w:id="1121"/>
      <w:bookmarkEnd w:id="1122"/>
      <w:bookmarkEnd w:id="1123"/>
      <w:bookmarkEnd w:id="1124"/>
    </w:p>
    <w:p w:rsidR="00AD54A3" w:rsidRPr="00CA4A9E" w:rsidRDefault="00AD54A3" w:rsidP="00AD54A3">
      <w:pPr>
        <w:rPr>
          <w:rFonts w:ascii="Calibri" w:hAnsi="Calibri" w:cs="Calibri"/>
        </w:rPr>
      </w:pPr>
      <w:r w:rsidRPr="00CA4A9E">
        <w:rPr>
          <w:rFonts w:ascii="Calibri" w:hAnsi="Calibri" w:cs="Calibri"/>
        </w:rPr>
        <w:tab/>
        <w:t>Materiałami stosowanymi przy skropieniu warstw konstrukcyjnych nawierzchni są:</w:t>
      </w:r>
    </w:p>
    <w:p w:rsidR="00AD54A3" w:rsidRPr="00CA4A9E" w:rsidRDefault="009B4F21" w:rsidP="00AD54A3">
      <w:pPr>
        <w:rPr>
          <w:rFonts w:ascii="Calibri" w:hAnsi="Calibri" w:cs="Calibri"/>
        </w:rPr>
      </w:pPr>
      <w:r>
        <w:rPr>
          <w:rFonts w:ascii="Calibri" w:hAnsi="Calibri" w:cs="Calibri"/>
        </w:rPr>
        <w:t>a</w:t>
      </w:r>
      <w:r w:rsidR="00AD54A3" w:rsidRPr="00CA4A9E">
        <w:rPr>
          <w:rFonts w:ascii="Calibri" w:hAnsi="Calibri" w:cs="Calibri"/>
        </w:rPr>
        <w:t>) do skropienia podbudów asfaltowych i warstw z mieszanek mineralno-asfaltowych:</w:t>
      </w:r>
    </w:p>
    <w:p w:rsidR="00AD54A3" w:rsidRPr="00CA4A9E" w:rsidRDefault="00AD54A3" w:rsidP="00AD54A3">
      <w:pPr>
        <w:rPr>
          <w:rFonts w:ascii="Calibri" w:hAnsi="Calibri" w:cs="Calibri"/>
        </w:rPr>
      </w:pPr>
      <w:r>
        <w:rPr>
          <w:rFonts w:ascii="Calibri" w:hAnsi="Calibri" w:cs="Calibri"/>
        </w:rPr>
        <w:t>-</w:t>
      </w:r>
      <w:r w:rsidRPr="00CA4A9E">
        <w:rPr>
          <w:rFonts w:ascii="Calibri" w:hAnsi="Calibri" w:cs="Calibri"/>
        </w:rPr>
        <w:t>kationowe emulsje szybkorozpadowe wg WT.EmA-1994,</w:t>
      </w:r>
    </w:p>
    <w:p w:rsidR="00AD54A3" w:rsidRPr="00CA4A9E" w:rsidRDefault="00AD54A3" w:rsidP="00AD54A3">
      <w:pPr>
        <w:rPr>
          <w:rFonts w:ascii="Calibri" w:hAnsi="Calibri" w:cs="Calibri"/>
        </w:rPr>
      </w:pPr>
      <w:r>
        <w:rPr>
          <w:rFonts w:ascii="Calibri" w:hAnsi="Calibri" w:cs="Calibri"/>
        </w:rPr>
        <w:t>-</w:t>
      </w:r>
      <w:r w:rsidRPr="00CA4A9E">
        <w:rPr>
          <w:rFonts w:ascii="Calibri" w:hAnsi="Calibri" w:cs="Calibri"/>
        </w:rPr>
        <w:t>upłynnione asfalty szybkoodparowywalne wg PN-C-96173,</w:t>
      </w:r>
    </w:p>
    <w:p w:rsidR="00AD54A3" w:rsidRPr="00CA4A9E" w:rsidRDefault="00AD54A3" w:rsidP="00AD54A3">
      <w:pPr>
        <w:rPr>
          <w:rFonts w:ascii="Calibri" w:hAnsi="Calibri" w:cs="Calibri"/>
        </w:rPr>
      </w:pPr>
      <w:r>
        <w:rPr>
          <w:rFonts w:ascii="Calibri" w:hAnsi="Calibri" w:cs="Calibri"/>
        </w:rPr>
        <w:t>-</w:t>
      </w:r>
      <w:r w:rsidRPr="00CA4A9E">
        <w:rPr>
          <w:rFonts w:ascii="Calibri" w:hAnsi="Calibri" w:cs="Calibri"/>
        </w:rPr>
        <w:t>asfalty drogowe D 200 lub D 300 wg PN-C-96170, za zgodą Inżyniera.</w:t>
      </w:r>
    </w:p>
    <w:p w:rsidR="00AD54A3" w:rsidRPr="00CA4A9E" w:rsidRDefault="00AD54A3" w:rsidP="00AD54A3">
      <w:pPr>
        <w:rPr>
          <w:rFonts w:ascii="Calibri" w:hAnsi="Calibri" w:cs="Calibri"/>
        </w:rPr>
      </w:pPr>
      <w:bookmarkStart w:id="1125" w:name="_Toc407069669"/>
      <w:bookmarkStart w:id="1126" w:name="_Toc407081634"/>
      <w:bookmarkStart w:id="1127" w:name="_Toc407081777"/>
      <w:bookmarkStart w:id="1128" w:name="_Toc407083433"/>
      <w:bookmarkStart w:id="1129" w:name="_Toc407084267"/>
      <w:bookmarkStart w:id="1130" w:name="_Toc407085386"/>
      <w:bookmarkStart w:id="1131" w:name="_Toc407085529"/>
      <w:bookmarkStart w:id="1132" w:name="_Toc407085672"/>
      <w:bookmarkStart w:id="1133" w:name="_Toc407086120"/>
      <w:r w:rsidRPr="007E0D29">
        <w:rPr>
          <w:rFonts w:ascii="Calibri" w:hAnsi="Calibri" w:cs="Calibri"/>
          <w:b/>
        </w:rPr>
        <w:t>2.3.</w:t>
      </w:r>
      <w:r w:rsidRPr="00CA4A9E">
        <w:rPr>
          <w:rFonts w:ascii="Calibri" w:hAnsi="Calibri" w:cs="Calibri"/>
        </w:rPr>
        <w:t xml:space="preserve"> Wymagania dla materiałów</w:t>
      </w:r>
      <w:bookmarkEnd w:id="1125"/>
      <w:bookmarkEnd w:id="1126"/>
      <w:bookmarkEnd w:id="1127"/>
      <w:bookmarkEnd w:id="1128"/>
      <w:bookmarkEnd w:id="1129"/>
      <w:bookmarkEnd w:id="1130"/>
      <w:bookmarkEnd w:id="1131"/>
      <w:bookmarkEnd w:id="1132"/>
      <w:bookmarkEnd w:id="1133"/>
    </w:p>
    <w:p w:rsidR="00AD54A3" w:rsidRPr="00CA4A9E" w:rsidRDefault="00AD54A3" w:rsidP="00AD54A3">
      <w:pPr>
        <w:ind w:firstLine="708"/>
        <w:rPr>
          <w:rFonts w:ascii="Calibri" w:hAnsi="Calibri" w:cs="Calibri"/>
        </w:rPr>
      </w:pPr>
      <w:r w:rsidRPr="00CA4A9E">
        <w:rPr>
          <w:rFonts w:ascii="Calibri" w:hAnsi="Calibri" w:cs="Calibri"/>
        </w:rPr>
        <w:t>Wymagania dla kationowej emu</w:t>
      </w:r>
      <w:r>
        <w:rPr>
          <w:rFonts w:ascii="Calibri" w:hAnsi="Calibri" w:cs="Calibri"/>
        </w:rPr>
        <w:t>lsji asfaltowej podano w EmA-94, w</w:t>
      </w:r>
      <w:r w:rsidRPr="00CA4A9E">
        <w:rPr>
          <w:rFonts w:ascii="Calibri" w:hAnsi="Calibri" w:cs="Calibri"/>
        </w:rPr>
        <w:t>ymagania dla asfaltów drogowych podano w PN-C-96170.</w:t>
      </w:r>
    </w:p>
    <w:p w:rsidR="00AD54A3" w:rsidRPr="00CA4A9E" w:rsidRDefault="00AD54A3" w:rsidP="00AD54A3">
      <w:pPr>
        <w:rPr>
          <w:rFonts w:ascii="Calibri" w:hAnsi="Calibri" w:cs="Calibri"/>
        </w:rPr>
      </w:pPr>
      <w:bookmarkStart w:id="1134" w:name="_Toc407069670"/>
      <w:bookmarkStart w:id="1135" w:name="_Toc407081635"/>
      <w:bookmarkStart w:id="1136" w:name="_Toc407081778"/>
      <w:bookmarkStart w:id="1137" w:name="_Toc407083434"/>
      <w:bookmarkStart w:id="1138" w:name="_Toc407084268"/>
      <w:bookmarkStart w:id="1139" w:name="_Toc407085387"/>
      <w:bookmarkStart w:id="1140" w:name="_Toc407085530"/>
      <w:bookmarkStart w:id="1141" w:name="_Toc407085673"/>
      <w:bookmarkStart w:id="1142" w:name="_Toc407086121"/>
      <w:r w:rsidRPr="007E0D29">
        <w:rPr>
          <w:rFonts w:ascii="Calibri" w:hAnsi="Calibri" w:cs="Calibri"/>
          <w:b/>
        </w:rPr>
        <w:t>2.4.</w:t>
      </w:r>
      <w:r w:rsidRPr="00CA4A9E">
        <w:rPr>
          <w:rFonts w:ascii="Calibri" w:hAnsi="Calibri" w:cs="Calibri"/>
        </w:rPr>
        <w:t xml:space="preserve"> Zużycie lepiszczy do skropienia</w:t>
      </w:r>
      <w:bookmarkEnd w:id="1134"/>
      <w:bookmarkEnd w:id="1135"/>
      <w:bookmarkEnd w:id="1136"/>
      <w:bookmarkEnd w:id="1137"/>
      <w:bookmarkEnd w:id="1138"/>
      <w:bookmarkEnd w:id="1139"/>
      <w:bookmarkEnd w:id="1140"/>
      <w:bookmarkEnd w:id="1141"/>
      <w:bookmarkEnd w:id="1142"/>
    </w:p>
    <w:p w:rsidR="00AD54A3" w:rsidRPr="00CA4A9E" w:rsidRDefault="00AD54A3" w:rsidP="00AD54A3">
      <w:pPr>
        <w:rPr>
          <w:rFonts w:ascii="Calibri" w:hAnsi="Calibri" w:cs="Calibri"/>
        </w:rPr>
      </w:pPr>
      <w:r w:rsidRPr="00CA4A9E">
        <w:rPr>
          <w:rFonts w:ascii="Calibri" w:hAnsi="Calibri" w:cs="Calibri"/>
        </w:rPr>
        <w:tab/>
        <w:t>Orientacyjne zużycie lepiszczy do skropienia warstw konstrukcyjnych nawierzchni podano w tablicy 1.</w:t>
      </w:r>
    </w:p>
    <w:p w:rsidR="00AD54A3" w:rsidRPr="00CA4A9E" w:rsidRDefault="00AD54A3" w:rsidP="00AD54A3">
      <w:pPr>
        <w:rPr>
          <w:rFonts w:ascii="Calibri" w:hAnsi="Calibri" w:cs="Calibri"/>
        </w:rPr>
      </w:pPr>
    </w:p>
    <w:p w:rsidR="00AD54A3" w:rsidRPr="00CA4A9E" w:rsidRDefault="00AD54A3" w:rsidP="00DC63C2">
      <w:pPr>
        <w:ind w:left="709"/>
        <w:rPr>
          <w:rFonts w:ascii="Calibri" w:hAnsi="Calibri" w:cs="Calibri"/>
        </w:rPr>
      </w:pPr>
      <w:r w:rsidRPr="00CA4A9E">
        <w:rPr>
          <w:rFonts w:ascii="Calibri" w:hAnsi="Calibri" w:cs="Calibri"/>
        </w:rPr>
        <w:t>Tablica 1. Orientacyjne zużycie lepiszczy do skropienia warstw konstrukcyjnych nawierzchni</w:t>
      </w:r>
    </w:p>
    <w:tbl>
      <w:tblPr>
        <w:tblW w:w="0" w:type="auto"/>
        <w:tblInd w:w="779" w:type="dxa"/>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ayout w:type="fixed"/>
        <w:tblCellMar>
          <w:left w:w="70" w:type="dxa"/>
          <w:right w:w="70" w:type="dxa"/>
        </w:tblCellMar>
        <w:tblLook w:val="0000"/>
      </w:tblPr>
      <w:tblGrid>
        <w:gridCol w:w="496"/>
        <w:gridCol w:w="4252"/>
        <w:gridCol w:w="2762"/>
      </w:tblGrid>
      <w:tr w:rsidR="00AD54A3" w:rsidRPr="00CA4A9E" w:rsidTr="00DC63C2">
        <w:tc>
          <w:tcPr>
            <w:tcW w:w="496" w:type="dxa"/>
            <w:tcBorders>
              <w:bottom w:val="double" w:sz="6" w:space="0" w:color="auto"/>
            </w:tcBorders>
          </w:tcPr>
          <w:p w:rsidR="00AD54A3" w:rsidRPr="00CA4A9E" w:rsidRDefault="00AD54A3" w:rsidP="00FD47C7">
            <w:pPr>
              <w:jc w:val="center"/>
              <w:rPr>
                <w:rFonts w:ascii="Calibri" w:hAnsi="Calibri" w:cs="Calibri"/>
                <w:sz w:val="18"/>
                <w:szCs w:val="18"/>
              </w:rPr>
            </w:pPr>
            <w:r w:rsidRPr="00CA4A9E">
              <w:rPr>
                <w:rFonts w:ascii="Calibri" w:hAnsi="Calibri" w:cs="Calibri"/>
                <w:sz w:val="18"/>
                <w:szCs w:val="18"/>
              </w:rPr>
              <w:t>Lp.</w:t>
            </w:r>
          </w:p>
        </w:tc>
        <w:tc>
          <w:tcPr>
            <w:tcW w:w="4252" w:type="dxa"/>
            <w:tcBorders>
              <w:bottom w:val="double" w:sz="6" w:space="0" w:color="auto"/>
            </w:tcBorders>
          </w:tcPr>
          <w:p w:rsidR="00AD54A3" w:rsidRPr="00CA4A9E" w:rsidRDefault="00AD54A3" w:rsidP="00FD47C7">
            <w:pPr>
              <w:jc w:val="center"/>
              <w:rPr>
                <w:rFonts w:ascii="Calibri" w:hAnsi="Calibri" w:cs="Calibri"/>
                <w:sz w:val="18"/>
                <w:szCs w:val="18"/>
              </w:rPr>
            </w:pPr>
            <w:r w:rsidRPr="00CA4A9E">
              <w:rPr>
                <w:rFonts w:ascii="Calibri" w:hAnsi="Calibri" w:cs="Calibri"/>
                <w:sz w:val="18"/>
                <w:szCs w:val="18"/>
              </w:rPr>
              <w:t>Rodzaj lepiszcza</w:t>
            </w:r>
          </w:p>
        </w:tc>
        <w:tc>
          <w:tcPr>
            <w:tcW w:w="2762" w:type="dxa"/>
            <w:tcBorders>
              <w:bottom w:val="double" w:sz="6" w:space="0" w:color="auto"/>
            </w:tcBorders>
          </w:tcPr>
          <w:p w:rsidR="00AD54A3" w:rsidRPr="00CA4A9E" w:rsidRDefault="00AD54A3" w:rsidP="00FD47C7">
            <w:pPr>
              <w:jc w:val="center"/>
              <w:rPr>
                <w:rFonts w:ascii="Calibri" w:hAnsi="Calibri" w:cs="Calibri"/>
                <w:sz w:val="18"/>
                <w:szCs w:val="18"/>
              </w:rPr>
            </w:pPr>
            <w:r w:rsidRPr="00CA4A9E">
              <w:rPr>
                <w:rFonts w:ascii="Calibri" w:hAnsi="Calibri" w:cs="Calibri"/>
                <w:sz w:val="18"/>
                <w:szCs w:val="18"/>
              </w:rPr>
              <w:t>Zużycie (kg/m2)</w:t>
            </w:r>
          </w:p>
        </w:tc>
      </w:tr>
      <w:tr w:rsidR="00AD54A3" w:rsidRPr="00CA4A9E" w:rsidTr="00DC63C2">
        <w:tc>
          <w:tcPr>
            <w:tcW w:w="496" w:type="dxa"/>
            <w:tcBorders>
              <w:top w:val="nil"/>
            </w:tcBorders>
          </w:tcPr>
          <w:p w:rsidR="00AD54A3" w:rsidRPr="00CA4A9E" w:rsidRDefault="00AD54A3" w:rsidP="00FD47C7">
            <w:pPr>
              <w:jc w:val="center"/>
              <w:rPr>
                <w:rFonts w:ascii="Calibri" w:hAnsi="Calibri" w:cs="Calibri"/>
                <w:sz w:val="18"/>
                <w:szCs w:val="18"/>
              </w:rPr>
            </w:pPr>
            <w:r w:rsidRPr="00CA4A9E">
              <w:rPr>
                <w:rFonts w:ascii="Calibri" w:hAnsi="Calibri" w:cs="Calibri"/>
                <w:sz w:val="18"/>
                <w:szCs w:val="18"/>
              </w:rPr>
              <w:t>1</w:t>
            </w:r>
          </w:p>
          <w:p w:rsidR="00AD54A3" w:rsidRPr="00CA4A9E" w:rsidRDefault="00AD54A3" w:rsidP="00FD47C7">
            <w:pPr>
              <w:jc w:val="center"/>
              <w:rPr>
                <w:rFonts w:ascii="Calibri" w:hAnsi="Calibri" w:cs="Calibri"/>
                <w:sz w:val="18"/>
                <w:szCs w:val="18"/>
              </w:rPr>
            </w:pPr>
            <w:r w:rsidRPr="00CA4A9E">
              <w:rPr>
                <w:rFonts w:ascii="Calibri" w:hAnsi="Calibri" w:cs="Calibri"/>
                <w:sz w:val="18"/>
                <w:szCs w:val="18"/>
              </w:rPr>
              <w:t>2</w:t>
            </w:r>
          </w:p>
        </w:tc>
        <w:tc>
          <w:tcPr>
            <w:tcW w:w="4252" w:type="dxa"/>
            <w:tcBorders>
              <w:top w:val="nil"/>
            </w:tcBorders>
          </w:tcPr>
          <w:p w:rsidR="00AD54A3" w:rsidRPr="00CA4A9E" w:rsidRDefault="00AD54A3" w:rsidP="00FD47C7">
            <w:pPr>
              <w:jc w:val="center"/>
              <w:rPr>
                <w:rFonts w:ascii="Calibri" w:hAnsi="Calibri" w:cs="Calibri"/>
                <w:sz w:val="18"/>
                <w:szCs w:val="18"/>
              </w:rPr>
            </w:pPr>
            <w:r w:rsidRPr="00CA4A9E">
              <w:rPr>
                <w:rFonts w:ascii="Calibri" w:hAnsi="Calibri" w:cs="Calibri"/>
                <w:sz w:val="18"/>
                <w:szCs w:val="18"/>
              </w:rPr>
              <w:t>Emulsja asfaltowa kationowa</w:t>
            </w:r>
          </w:p>
          <w:p w:rsidR="00AD54A3" w:rsidRPr="00CA4A9E" w:rsidRDefault="00AD54A3" w:rsidP="00FD47C7">
            <w:pPr>
              <w:jc w:val="center"/>
              <w:rPr>
                <w:rFonts w:ascii="Calibri" w:hAnsi="Calibri" w:cs="Calibri"/>
                <w:sz w:val="18"/>
                <w:szCs w:val="18"/>
              </w:rPr>
            </w:pPr>
            <w:r w:rsidRPr="00CA4A9E">
              <w:rPr>
                <w:rFonts w:ascii="Calibri" w:hAnsi="Calibri" w:cs="Calibri"/>
                <w:sz w:val="18"/>
                <w:szCs w:val="18"/>
              </w:rPr>
              <w:t>Asfalt drogowy D 200, D 300</w:t>
            </w:r>
          </w:p>
        </w:tc>
        <w:tc>
          <w:tcPr>
            <w:tcW w:w="2762" w:type="dxa"/>
            <w:tcBorders>
              <w:top w:val="nil"/>
            </w:tcBorders>
          </w:tcPr>
          <w:p w:rsidR="00AD54A3" w:rsidRPr="00CA4A9E" w:rsidRDefault="00AD54A3" w:rsidP="00FD47C7">
            <w:pPr>
              <w:jc w:val="center"/>
              <w:rPr>
                <w:rFonts w:ascii="Calibri" w:hAnsi="Calibri" w:cs="Calibri"/>
                <w:sz w:val="18"/>
                <w:szCs w:val="18"/>
              </w:rPr>
            </w:pPr>
            <w:r w:rsidRPr="00CA4A9E">
              <w:rPr>
                <w:rFonts w:ascii="Calibri" w:hAnsi="Calibri" w:cs="Calibri"/>
                <w:sz w:val="18"/>
                <w:szCs w:val="18"/>
              </w:rPr>
              <w:t>od 0,4  do  1,2</w:t>
            </w:r>
          </w:p>
          <w:p w:rsidR="00AD54A3" w:rsidRPr="00CA4A9E" w:rsidRDefault="00AD54A3" w:rsidP="00FD47C7">
            <w:pPr>
              <w:jc w:val="center"/>
              <w:rPr>
                <w:rFonts w:ascii="Calibri" w:hAnsi="Calibri" w:cs="Calibri"/>
                <w:sz w:val="18"/>
                <w:szCs w:val="18"/>
              </w:rPr>
            </w:pPr>
            <w:r w:rsidRPr="00CA4A9E">
              <w:rPr>
                <w:rFonts w:ascii="Calibri" w:hAnsi="Calibri" w:cs="Calibri"/>
                <w:sz w:val="18"/>
                <w:szCs w:val="18"/>
              </w:rPr>
              <w:t>od 0,4  do  0,6</w:t>
            </w:r>
          </w:p>
        </w:tc>
      </w:tr>
    </w:tbl>
    <w:p w:rsidR="00AD54A3" w:rsidRPr="00CA4A9E" w:rsidRDefault="00AD54A3" w:rsidP="00AD54A3">
      <w:pPr>
        <w:rPr>
          <w:rFonts w:ascii="Calibri" w:hAnsi="Calibri" w:cs="Calibri"/>
        </w:rPr>
      </w:pPr>
    </w:p>
    <w:p w:rsidR="00AD54A3" w:rsidRPr="00CA4A9E" w:rsidRDefault="00AD54A3" w:rsidP="00AD54A3">
      <w:pPr>
        <w:rPr>
          <w:rFonts w:ascii="Calibri" w:hAnsi="Calibri" w:cs="Calibri"/>
        </w:rPr>
      </w:pPr>
      <w:r w:rsidRPr="00CA4A9E">
        <w:rPr>
          <w:rFonts w:ascii="Calibri" w:hAnsi="Calibri" w:cs="Calibri"/>
        </w:rPr>
        <w:tab/>
        <w:t>Dokładne zużycie lepiszczy powinno być ustalone w zależności od rodzaju warstwy i stanu jej powierzchni i zaakceptowane przez Inżyniera.</w:t>
      </w:r>
    </w:p>
    <w:p w:rsidR="00AD54A3" w:rsidRPr="00CA4A9E" w:rsidRDefault="00AD54A3" w:rsidP="00AD54A3">
      <w:pPr>
        <w:rPr>
          <w:rFonts w:ascii="Calibri" w:hAnsi="Calibri" w:cs="Calibri"/>
        </w:rPr>
      </w:pPr>
      <w:bookmarkStart w:id="1143" w:name="_Toc407069671"/>
      <w:bookmarkStart w:id="1144" w:name="_Toc407081636"/>
      <w:bookmarkStart w:id="1145" w:name="_Toc407081779"/>
      <w:bookmarkStart w:id="1146" w:name="_Toc407083435"/>
      <w:bookmarkStart w:id="1147" w:name="_Toc407084269"/>
      <w:bookmarkStart w:id="1148" w:name="_Toc407085388"/>
      <w:bookmarkStart w:id="1149" w:name="_Toc407085531"/>
      <w:bookmarkStart w:id="1150" w:name="_Toc407085674"/>
      <w:bookmarkStart w:id="1151" w:name="_Toc407086122"/>
      <w:r w:rsidRPr="007E0D29">
        <w:rPr>
          <w:rFonts w:ascii="Calibri" w:hAnsi="Calibri" w:cs="Calibri"/>
          <w:b/>
        </w:rPr>
        <w:t>2.5.</w:t>
      </w:r>
      <w:r w:rsidRPr="00CA4A9E">
        <w:rPr>
          <w:rFonts w:ascii="Calibri" w:hAnsi="Calibri" w:cs="Calibri"/>
        </w:rPr>
        <w:t xml:space="preserve"> Składowanie lepiszczy</w:t>
      </w:r>
      <w:bookmarkEnd w:id="1143"/>
      <w:bookmarkEnd w:id="1144"/>
      <w:bookmarkEnd w:id="1145"/>
      <w:bookmarkEnd w:id="1146"/>
      <w:bookmarkEnd w:id="1147"/>
      <w:bookmarkEnd w:id="1148"/>
      <w:bookmarkEnd w:id="1149"/>
      <w:bookmarkEnd w:id="1150"/>
      <w:bookmarkEnd w:id="1151"/>
    </w:p>
    <w:p w:rsidR="00AD54A3" w:rsidRPr="00CA4A9E" w:rsidRDefault="00AD54A3" w:rsidP="00AD54A3">
      <w:pPr>
        <w:rPr>
          <w:rFonts w:ascii="Calibri" w:hAnsi="Calibri" w:cs="Calibri"/>
        </w:rPr>
      </w:pPr>
      <w:r w:rsidRPr="00CA4A9E">
        <w:rPr>
          <w:rFonts w:ascii="Calibri" w:hAnsi="Calibri" w:cs="Calibri"/>
        </w:rPr>
        <w:tab/>
        <w:t>Warunki przechowywania nie mogą powodować utraty cech lepiszcza i obniżenia jego jakości.</w:t>
      </w:r>
    </w:p>
    <w:p w:rsidR="00AD54A3" w:rsidRPr="00CA4A9E" w:rsidRDefault="00AD54A3" w:rsidP="00AD54A3">
      <w:pPr>
        <w:rPr>
          <w:rFonts w:ascii="Calibri" w:hAnsi="Calibri" w:cs="Calibri"/>
        </w:rPr>
      </w:pPr>
      <w:r w:rsidRPr="00CA4A9E">
        <w:rPr>
          <w:rFonts w:ascii="Calibri" w:hAnsi="Calibri" w:cs="Calibri"/>
        </w:rPr>
        <w:tab/>
        <w:t>Lepiszcze należy przechowywać w zbiornikach stalowych wyposażonych w urządzenia grzewcze i zabezpieczonych przed dostępem wody i zanieczyszczeniem. Dopuszcza się magazynowanie lepiszczy w zbiornikach murowanych, betonowych lub żelbetowych przy spełnieniu tych samych warunków, jakie podano dla zbiorników stalowych.</w:t>
      </w:r>
    </w:p>
    <w:p w:rsidR="00AD54A3" w:rsidRPr="00CA4A9E" w:rsidRDefault="00AD54A3" w:rsidP="00AD54A3">
      <w:pPr>
        <w:rPr>
          <w:rFonts w:ascii="Calibri" w:hAnsi="Calibri" w:cs="Calibri"/>
        </w:rPr>
      </w:pPr>
      <w:r w:rsidRPr="00CA4A9E">
        <w:rPr>
          <w:rFonts w:ascii="Calibri" w:hAnsi="Calibri" w:cs="Calibri"/>
        </w:rPr>
        <w:tab/>
        <w:t>Emulsję można magazynować w opakowaniach transportowych lub stacjonarnych zbiornikach pionowych z nalewaniem od dna.</w:t>
      </w:r>
    </w:p>
    <w:p w:rsidR="00AD54A3" w:rsidRPr="00CA4A9E" w:rsidRDefault="00AD54A3" w:rsidP="00AD54A3">
      <w:pPr>
        <w:rPr>
          <w:rFonts w:ascii="Calibri" w:hAnsi="Calibri" w:cs="Calibri"/>
        </w:rPr>
      </w:pPr>
      <w:r w:rsidRPr="00CA4A9E">
        <w:rPr>
          <w:rFonts w:ascii="Calibri" w:hAnsi="Calibri" w:cs="Calibri"/>
        </w:rPr>
        <w:tab/>
        <w:t>Nie należy stosować zbiornika walcowego leżącego, ze względu na tworzenie się na dużej powierzchni cieczy „kożucha” asfaltowego zatykającego później przewody.</w:t>
      </w:r>
    </w:p>
    <w:p w:rsidR="00AD54A3" w:rsidRPr="00CA4A9E" w:rsidRDefault="00AD54A3" w:rsidP="00AD54A3">
      <w:pPr>
        <w:rPr>
          <w:rFonts w:ascii="Calibri" w:hAnsi="Calibri" w:cs="Calibri"/>
        </w:rPr>
      </w:pPr>
      <w:r w:rsidRPr="00CA4A9E">
        <w:rPr>
          <w:rFonts w:ascii="Calibri" w:hAnsi="Calibri" w:cs="Calibri"/>
        </w:rPr>
        <w:tab/>
        <w:t>Przy przechowywaniu emulsji asfaltowej należy przestrzegać zasad ustalonych przez producenta.</w:t>
      </w:r>
    </w:p>
    <w:p w:rsidR="00DC63C2" w:rsidRDefault="00DC63C2" w:rsidP="00AD54A3">
      <w:pPr>
        <w:rPr>
          <w:rFonts w:ascii="Calibri" w:hAnsi="Calibri" w:cs="Calibri"/>
          <w:b/>
        </w:rPr>
      </w:pPr>
      <w:bookmarkStart w:id="1152" w:name="_Toc407069672"/>
      <w:bookmarkStart w:id="1153" w:name="_Toc407081637"/>
      <w:bookmarkStart w:id="1154" w:name="_Toc407081780"/>
      <w:bookmarkStart w:id="1155" w:name="_Toc407083436"/>
      <w:bookmarkStart w:id="1156" w:name="_Toc407084270"/>
      <w:bookmarkStart w:id="1157" w:name="_Toc407085389"/>
      <w:bookmarkStart w:id="1158" w:name="_Toc407085532"/>
      <w:bookmarkStart w:id="1159" w:name="_Toc407085675"/>
      <w:bookmarkStart w:id="1160" w:name="_Toc407086123"/>
    </w:p>
    <w:p w:rsidR="00AD54A3" w:rsidRPr="0056541A" w:rsidRDefault="00AD54A3" w:rsidP="00AD54A3">
      <w:pPr>
        <w:rPr>
          <w:rFonts w:ascii="Calibri" w:hAnsi="Calibri" w:cs="Calibri"/>
          <w:b/>
        </w:rPr>
      </w:pPr>
      <w:r w:rsidRPr="0056541A">
        <w:rPr>
          <w:rFonts w:ascii="Calibri" w:hAnsi="Calibri" w:cs="Calibri"/>
          <w:b/>
        </w:rPr>
        <w:t xml:space="preserve">3. </w:t>
      </w:r>
      <w:bookmarkEnd w:id="1152"/>
      <w:bookmarkEnd w:id="1153"/>
      <w:bookmarkEnd w:id="1154"/>
      <w:bookmarkEnd w:id="1155"/>
      <w:bookmarkEnd w:id="1156"/>
      <w:bookmarkEnd w:id="1157"/>
      <w:bookmarkEnd w:id="1158"/>
      <w:bookmarkEnd w:id="1159"/>
      <w:bookmarkEnd w:id="1160"/>
      <w:r w:rsidRPr="0056541A">
        <w:rPr>
          <w:rFonts w:ascii="Calibri" w:hAnsi="Calibri" w:cs="Calibri"/>
          <w:b/>
        </w:rPr>
        <w:t>SPRZĘT</w:t>
      </w:r>
    </w:p>
    <w:p w:rsidR="00AD54A3" w:rsidRPr="00CA4A9E" w:rsidRDefault="00AD54A3" w:rsidP="00AD54A3">
      <w:pPr>
        <w:rPr>
          <w:rFonts w:ascii="Calibri" w:hAnsi="Calibri" w:cs="Calibri"/>
        </w:rPr>
      </w:pPr>
      <w:bookmarkStart w:id="1161" w:name="_Toc407069673"/>
      <w:bookmarkStart w:id="1162" w:name="_Toc407081638"/>
      <w:bookmarkStart w:id="1163" w:name="_Toc407081781"/>
      <w:bookmarkStart w:id="1164" w:name="_Toc407083437"/>
      <w:bookmarkStart w:id="1165" w:name="_Toc407084271"/>
      <w:bookmarkStart w:id="1166" w:name="_Toc407085390"/>
      <w:bookmarkStart w:id="1167" w:name="_Toc407085533"/>
      <w:bookmarkStart w:id="1168" w:name="_Toc407085676"/>
      <w:bookmarkStart w:id="1169" w:name="_Toc407086124"/>
      <w:r w:rsidRPr="0056541A">
        <w:rPr>
          <w:rFonts w:ascii="Calibri" w:hAnsi="Calibri" w:cs="Calibri"/>
          <w:b/>
        </w:rPr>
        <w:t>3.1.</w:t>
      </w:r>
      <w:r w:rsidRPr="00CA4A9E">
        <w:rPr>
          <w:rFonts w:ascii="Calibri" w:hAnsi="Calibri" w:cs="Calibri"/>
        </w:rPr>
        <w:t xml:space="preserve"> Ogólne wymagania dotyczące sprzętu</w:t>
      </w:r>
      <w:bookmarkEnd w:id="1161"/>
      <w:bookmarkEnd w:id="1162"/>
      <w:bookmarkEnd w:id="1163"/>
      <w:bookmarkEnd w:id="1164"/>
      <w:bookmarkEnd w:id="1165"/>
      <w:bookmarkEnd w:id="1166"/>
      <w:bookmarkEnd w:id="1167"/>
      <w:bookmarkEnd w:id="1168"/>
      <w:bookmarkEnd w:id="1169"/>
    </w:p>
    <w:p w:rsidR="00AD54A3" w:rsidRPr="00CA4A9E" w:rsidRDefault="00AD54A3" w:rsidP="00AD54A3">
      <w:pPr>
        <w:rPr>
          <w:rFonts w:ascii="Calibri" w:hAnsi="Calibri" w:cs="Calibri"/>
        </w:rPr>
      </w:pPr>
      <w:r w:rsidRPr="00CA4A9E">
        <w:rPr>
          <w:rFonts w:ascii="Calibri" w:hAnsi="Calibri" w:cs="Calibri"/>
        </w:rPr>
        <w:tab/>
        <w:t>Ogólne wymagania dotyczące sprzętu podano w ST D-M-00.00.00 „Wymagania ogólne” pkt 3.</w:t>
      </w:r>
    </w:p>
    <w:p w:rsidR="00054F0C" w:rsidRDefault="00054F0C" w:rsidP="00AD54A3">
      <w:pPr>
        <w:rPr>
          <w:rFonts w:ascii="Calibri" w:hAnsi="Calibri" w:cs="Calibri"/>
          <w:b/>
        </w:rPr>
      </w:pPr>
      <w:bookmarkStart w:id="1170" w:name="_Toc407069674"/>
      <w:bookmarkStart w:id="1171" w:name="_Toc407081639"/>
      <w:bookmarkStart w:id="1172" w:name="_Toc407081782"/>
      <w:bookmarkStart w:id="1173" w:name="_Toc407083438"/>
      <w:bookmarkStart w:id="1174" w:name="_Toc407084272"/>
      <w:bookmarkStart w:id="1175" w:name="_Toc407085391"/>
      <w:bookmarkStart w:id="1176" w:name="_Toc407085534"/>
      <w:bookmarkStart w:id="1177" w:name="_Toc407085677"/>
      <w:bookmarkStart w:id="1178" w:name="_Toc407086125"/>
    </w:p>
    <w:p w:rsidR="00AD54A3" w:rsidRPr="00CA4A9E" w:rsidRDefault="00AD54A3" w:rsidP="00AD54A3">
      <w:pPr>
        <w:rPr>
          <w:rFonts w:ascii="Calibri" w:hAnsi="Calibri" w:cs="Calibri"/>
        </w:rPr>
      </w:pPr>
      <w:r w:rsidRPr="0056541A">
        <w:rPr>
          <w:rFonts w:ascii="Calibri" w:hAnsi="Calibri" w:cs="Calibri"/>
          <w:b/>
        </w:rPr>
        <w:lastRenderedPageBreak/>
        <w:t>3.2.</w:t>
      </w:r>
      <w:r w:rsidRPr="00CA4A9E">
        <w:rPr>
          <w:rFonts w:ascii="Calibri" w:hAnsi="Calibri" w:cs="Calibri"/>
        </w:rPr>
        <w:t xml:space="preserve"> Sprzęt do oczyszczania warstw nawierzchni</w:t>
      </w:r>
      <w:bookmarkEnd w:id="1170"/>
      <w:bookmarkEnd w:id="1171"/>
      <w:bookmarkEnd w:id="1172"/>
      <w:bookmarkEnd w:id="1173"/>
      <w:bookmarkEnd w:id="1174"/>
      <w:bookmarkEnd w:id="1175"/>
      <w:bookmarkEnd w:id="1176"/>
      <w:bookmarkEnd w:id="1177"/>
      <w:bookmarkEnd w:id="1178"/>
    </w:p>
    <w:p w:rsidR="00AD54A3" w:rsidRPr="00CA4A9E" w:rsidRDefault="00AD54A3" w:rsidP="00AD54A3">
      <w:pPr>
        <w:rPr>
          <w:rFonts w:ascii="Calibri" w:hAnsi="Calibri" w:cs="Calibri"/>
        </w:rPr>
      </w:pPr>
      <w:r w:rsidRPr="00CA4A9E">
        <w:rPr>
          <w:rFonts w:ascii="Calibri" w:hAnsi="Calibri" w:cs="Calibri"/>
        </w:rPr>
        <w:tab/>
        <w:t>Wykonawca przystępujący do oczyszczania warstw nawierzchni, powinien wykazać się możliwością korzystania z następującego sprzętu:</w:t>
      </w:r>
    </w:p>
    <w:p w:rsidR="00AD54A3" w:rsidRPr="00CA4A9E" w:rsidRDefault="00AD54A3" w:rsidP="00AD54A3">
      <w:pPr>
        <w:rPr>
          <w:rFonts w:ascii="Calibri" w:hAnsi="Calibri" w:cs="Calibri"/>
        </w:rPr>
      </w:pPr>
      <w:r w:rsidRPr="00054F0C">
        <w:rPr>
          <w:rFonts w:ascii="Calibri" w:hAnsi="Calibri" w:cs="Calibri"/>
          <w:b/>
        </w:rPr>
        <w:t>a)</w:t>
      </w:r>
      <w:r w:rsidRPr="00CA4A9E">
        <w:rPr>
          <w:rFonts w:ascii="Calibri" w:hAnsi="Calibri" w:cs="Calibri"/>
        </w:rPr>
        <w:t xml:space="preserve"> szczotek mechanicznych,              </w:t>
      </w:r>
    </w:p>
    <w:p w:rsidR="00AD54A3" w:rsidRPr="00CA4A9E" w:rsidRDefault="00AD54A3" w:rsidP="00AD54A3">
      <w:pPr>
        <w:rPr>
          <w:rFonts w:ascii="Calibri" w:hAnsi="Calibri" w:cs="Calibri"/>
        </w:rPr>
      </w:pPr>
      <w:r w:rsidRPr="00CA4A9E">
        <w:rPr>
          <w:rFonts w:ascii="Calibri" w:hAnsi="Calibri" w:cs="Calibri"/>
        </w:rPr>
        <w:t>Zaleca się użycie urządzeń dwuszczotkowych. Pierwsza ze szczotek powinna być wykonana z twardych elementów czyszczących i służyć do zdrapywania oraz usuwania zanieczyszczeń przylegających do czyszczonej warstwy. Druga szczotka powinna posiadać miękkie elementy czyszczące i służyć do zamiatania. Zaleca się używanie szczotek wyposażonych w urządzenia odpylające;</w:t>
      </w:r>
    </w:p>
    <w:p w:rsidR="00AD54A3" w:rsidRPr="00CA4A9E" w:rsidRDefault="00AD54A3" w:rsidP="00AD54A3">
      <w:pPr>
        <w:rPr>
          <w:rFonts w:ascii="Calibri" w:hAnsi="Calibri" w:cs="Calibri"/>
        </w:rPr>
      </w:pPr>
      <w:r w:rsidRPr="00054F0C">
        <w:rPr>
          <w:rFonts w:ascii="Calibri" w:hAnsi="Calibri" w:cs="Calibri"/>
          <w:b/>
        </w:rPr>
        <w:t>b)</w:t>
      </w:r>
      <w:r>
        <w:rPr>
          <w:rFonts w:ascii="Calibri" w:hAnsi="Calibri" w:cs="Calibri"/>
        </w:rPr>
        <w:t>sprężarek;</w:t>
      </w:r>
    </w:p>
    <w:p w:rsidR="00AD54A3" w:rsidRPr="00CA4A9E" w:rsidRDefault="00AD54A3" w:rsidP="00AD54A3">
      <w:pPr>
        <w:rPr>
          <w:rFonts w:ascii="Calibri" w:hAnsi="Calibri" w:cs="Calibri"/>
        </w:rPr>
      </w:pPr>
      <w:r w:rsidRPr="00054F0C">
        <w:rPr>
          <w:rFonts w:ascii="Calibri" w:hAnsi="Calibri" w:cs="Calibri"/>
          <w:b/>
        </w:rPr>
        <w:t>c)</w:t>
      </w:r>
      <w:r>
        <w:rPr>
          <w:rFonts w:ascii="Calibri" w:hAnsi="Calibri" w:cs="Calibri"/>
        </w:rPr>
        <w:t>zbiorników z wodą;</w:t>
      </w:r>
    </w:p>
    <w:p w:rsidR="00AD54A3" w:rsidRPr="00CA4A9E" w:rsidRDefault="00AD54A3" w:rsidP="00AD54A3">
      <w:pPr>
        <w:rPr>
          <w:rFonts w:ascii="Calibri" w:hAnsi="Calibri" w:cs="Calibri"/>
        </w:rPr>
      </w:pPr>
      <w:r w:rsidRPr="00054F0C">
        <w:rPr>
          <w:rFonts w:ascii="Calibri" w:hAnsi="Calibri" w:cs="Calibri"/>
          <w:b/>
        </w:rPr>
        <w:t>d)</w:t>
      </w:r>
      <w:r w:rsidRPr="00CA4A9E">
        <w:rPr>
          <w:rFonts w:ascii="Calibri" w:hAnsi="Calibri" w:cs="Calibri"/>
        </w:rPr>
        <w:t>szczotek ręcznych.</w:t>
      </w:r>
    </w:p>
    <w:p w:rsidR="00AD54A3" w:rsidRPr="00CA4A9E" w:rsidRDefault="00AD54A3" w:rsidP="00AD54A3">
      <w:pPr>
        <w:rPr>
          <w:rFonts w:ascii="Calibri" w:hAnsi="Calibri" w:cs="Calibri"/>
        </w:rPr>
      </w:pPr>
      <w:bookmarkStart w:id="1179" w:name="_Toc407069675"/>
      <w:bookmarkStart w:id="1180" w:name="_Toc407081640"/>
      <w:bookmarkStart w:id="1181" w:name="_Toc407081783"/>
      <w:bookmarkStart w:id="1182" w:name="_Toc407083439"/>
      <w:bookmarkStart w:id="1183" w:name="_Toc407084273"/>
      <w:bookmarkStart w:id="1184" w:name="_Toc407085392"/>
      <w:bookmarkStart w:id="1185" w:name="_Toc407085535"/>
      <w:bookmarkStart w:id="1186" w:name="_Toc407085678"/>
      <w:bookmarkStart w:id="1187" w:name="_Toc407086126"/>
      <w:r w:rsidRPr="0056541A">
        <w:rPr>
          <w:rFonts w:ascii="Calibri" w:hAnsi="Calibri" w:cs="Calibri"/>
          <w:b/>
        </w:rPr>
        <w:t>3.3.</w:t>
      </w:r>
      <w:r w:rsidRPr="00CA4A9E">
        <w:rPr>
          <w:rFonts w:ascii="Calibri" w:hAnsi="Calibri" w:cs="Calibri"/>
        </w:rPr>
        <w:t xml:space="preserve"> Sprzęt do skrapiania warstw nawierzchni</w:t>
      </w:r>
      <w:bookmarkEnd w:id="1179"/>
      <w:bookmarkEnd w:id="1180"/>
      <w:bookmarkEnd w:id="1181"/>
      <w:bookmarkEnd w:id="1182"/>
      <w:bookmarkEnd w:id="1183"/>
      <w:bookmarkEnd w:id="1184"/>
      <w:bookmarkEnd w:id="1185"/>
      <w:bookmarkEnd w:id="1186"/>
      <w:bookmarkEnd w:id="1187"/>
    </w:p>
    <w:p w:rsidR="00AD54A3" w:rsidRPr="00CA4A9E" w:rsidRDefault="00AD54A3" w:rsidP="00AD54A3">
      <w:pPr>
        <w:rPr>
          <w:rFonts w:ascii="Calibri" w:hAnsi="Calibri" w:cs="Calibri"/>
        </w:rPr>
      </w:pPr>
      <w:r w:rsidRPr="00CA4A9E">
        <w:rPr>
          <w:rFonts w:ascii="Calibri" w:hAnsi="Calibri" w:cs="Calibri"/>
        </w:rPr>
        <w:tab/>
        <w:t>Do skrapiania warstw nawierzchni należy używać skrapiarkę lepiszcza. Skrapiarka powinna być wyposażona w urządzenia pomiarowo-kontrolne pozwalające na sprawdzanie i regulowanie następujących parametrów:</w:t>
      </w:r>
    </w:p>
    <w:p w:rsidR="00AD54A3" w:rsidRPr="00CA4A9E" w:rsidRDefault="00AD54A3" w:rsidP="00AD54A3">
      <w:pPr>
        <w:rPr>
          <w:rFonts w:ascii="Calibri" w:hAnsi="Calibri" w:cs="Calibri"/>
        </w:rPr>
      </w:pPr>
      <w:r>
        <w:rPr>
          <w:rFonts w:ascii="Calibri" w:hAnsi="Calibri" w:cs="Calibri"/>
        </w:rPr>
        <w:t>-</w:t>
      </w:r>
      <w:r w:rsidRPr="00CA4A9E">
        <w:rPr>
          <w:rFonts w:ascii="Calibri" w:hAnsi="Calibri" w:cs="Calibri"/>
        </w:rPr>
        <w:t>temperatury rozkładanego lepiszcza,</w:t>
      </w:r>
    </w:p>
    <w:p w:rsidR="00AD54A3" w:rsidRPr="00CA4A9E" w:rsidRDefault="00AD54A3" w:rsidP="00AD54A3">
      <w:pPr>
        <w:rPr>
          <w:rFonts w:ascii="Calibri" w:hAnsi="Calibri" w:cs="Calibri"/>
        </w:rPr>
      </w:pPr>
      <w:r>
        <w:rPr>
          <w:rFonts w:ascii="Calibri" w:hAnsi="Calibri" w:cs="Calibri"/>
        </w:rPr>
        <w:t>-</w:t>
      </w:r>
      <w:r w:rsidRPr="00CA4A9E">
        <w:rPr>
          <w:rFonts w:ascii="Calibri" w:hAnsi="Calibri" w:cs="Calibri"/>
        </w:rPr>
        <w:t>ciśnienia lepiszcza w kolektorze,</w:t>
      </w:r>
    </w:p>
    <w:p w:rsidR="00AD54A3" w:rsidRPr="00CA4A9E" w:rsidRDefault="00AD54A3" w:rsidP="00AD54A3">
      <w:pPr>
        <w:rPr>
          <w:rFonts w:ascii="Calibri" w:hAnsi="Calibri" w:cs="Calibri"/>
        </w:rPr>
      </w:pPr>
      <w:r>
        <w:rPr>
          <w:rFonts w:ascii="Calibri" w:hAnsi="Calibri" w:cs="Calibri"/>
        </w:rPr>
        <w:t>-</w:t>
      </w:r>
      <w:r w:rsidRPr="00CA4A9E">
        <w:rPr>
          <w:rFonts w:ascii="Calibri" w:hAnsi="Calibri" w:cs="Calibri"/>
        </w:rPr>
        <w:t>obrotów pompy dozującej lepiszcze,</w:t>
      </w:r>
    </w:p>
    <w:p w:rsidR="00AD54A3" w:rsidRPr="00CA4A9E" w:rsidRDefault="00AD54A3" w:rsidP="00AD54A3">
      <w:pPr>
        <w:rPr>
          <w:rFonts w:ascii="Calibri" w:hAnsi="Calibri" w:cs="Calibri"/>
        </w:rPr>
      </w:pPr>
      <w:r>
        <w:rPr>
          <w:rFonts w:ascii="Calibri" w:hAnsi="Calibri" w:cs="Calibri"/>
        </w:rPr>
        <w:t>-</w:t>
      </w:r>
      <w:r w:rsidRPr="00CA4A9E">
        <w:rPr>
          <w:rFonts w:ascii="Calibri" w:hAnsi="Calibri" w:cs="Calibri"/>
        </w:rPr>
        <w:t>prędkości poruszania się skrapiarki,</w:t>
      </w:r>
    </w:p>
    <w:p w:rsidR="00AD54A3" w:rsidRPr="00CA4A9E" w:rsidRDefault="00AD54A3" w:rsidP="00AD54A3">
      <w:pPr>
        <w:rPr>
          <w:rFonts w:ascii="Calibri" w:hAnsi="Calibri" w:cs="Calibri"/>
        </w:rPr>
      </w:pPr>
      <w:r>
        <w:rPr>
          <w:rFonts w:ascii="Calibri" w:hAnsi="Calibri" w:cs="Calibri"/>
        </w:rPr>
        <w:t>-</w:t>
      </w:r>
      <w:r w:rsidRPr="00CA4A9E">
        <w:rPr>
          <w:rFonts w:ascii="Calibri" w:hAnsi="Calibri" w:cs="Calibri"/>
        </w:rPr>
        <w:t>wysokości i długości kolektora do rozkładania lepiszcza,</w:t>
      </w:r>
    </w:p>
    <w:p w:rsidR="00AD54A3" w:rsidRPr="00CA4A9E" w:rsidRDefault="00AD54A3" w:rsidP="00AD54A3">
      <w:pPr>
        <w:rPr>
          <w:rFonts w:ascii="Calibri" w:hAnsi="Calibri" w:cs="Calibri"/>
        </w:rPr>
      </w:pPr>
      <w:r>
        <w:rPr>
          <w:rFonts w:ascii="Calibri" w:hAnsi="Calibri" w:cs="Calibri"/>
        </w:rPr>
        <w:t>-</w:t>
      </w:r>
      <w:r w:rsidRPr="00CA4A9E">
        <w:rPr>
          <w:rFonts w:ascii="Calibri" w:hAnsi="Calibri" w:cs="Calibri"/>
        </w:rPr>
        <w:t>dozatora lepiszcza.</w:t>
      </w:r>
    </w:p>
    <w:p w:rsidR="00AD54A3" w:rsidRPr="00CA4A9E" w:rsidRDefault="00AD54A3" w:rsidP="00AD54A3">
      <w:pPr>
        <w:rPr>
          <w:rFonts w:ascii="Calibri" w:hAnsi="Calibri" w:cs="Calibri"/>
        </w:rPr>
      </w:pPr>
      <w:r w:rsidRPr="00CA4A9E">
        <w:rPr>
          <w:rFonts w:ascii="Calibri" w:hAnsi="Calibri" w:cs="Calibri"/>
        </w:rPr>
        <w:tab/>
        <w:t>Zbiornik na lepiszcze skrapiarki powinien być izolowany termicznie tak, aby było możliwe zachowanie stałej temperatury lepiszcza.</w:t>
      </w:r>
    </w:p>
    <w:p w:rsidR="00AD54A3" w:rsidRPr="00CA4A9E" w:rsidRDefault="00AD54A3" w:rsidP="00AD54A3">
      <w:pPr>
        <w:rPr>
          <w:rFonts w:ascii="Calibri" w:hAnsi="Calibri" w:cs="Calibri"/>
        </w:rPr>
      </w:pPr>
      <w:r w:rsidRPr="00CA4A9E">
        <w:rPr>
          <w:rFonts w:ascii="Calibri" w:hAnsi="Calibri" w:cs="Calibri"/>
        </w:rPr>
        <w:tab/>
        <w:t>Wykonawca powinien posiadać aktualne świadectwo cechowania skrapiarki.</w:t>
      </w:r>
    </w:p>
    <w:p w:rsidR="00AD54A3" w:rsidRPr="00CA4A9E" w:rsidRDefault="00AD54A3" w:rsidP="00AD54A3">
      <w:pPr>
        <w:rPr>
          <w:rFonts w:ascii="Calibri" w:hAnsi="Calibri" w:cs="Calibri"/>
        </w:rPr>
      </w:pPr>
      <w:r w:rsidRPr="00CA4A9E">
        <w:rPr>
          <w:rFonts w:ascii="Calibri" w:hAnsi="Calibri" w:cs="Calibri"/>
        </w:rPr>
        <w:tab/>
        <w:t xml:space="preserve">Skrapiarka powinna zapewnić rozkładanie lepiszcza z tolerancją </w:t>
      </w:r>
      <w:r w:rsidRPr="00CA4A9E">
        <w:rPr>
          <w:rFonts w:ascii="Calibri" w:hAnsi="Calibri" w:cs="Calibri"/>
        </w:rPr>
        <w:sym w:font="Symbol" w:char="F0B1"/>
      </w:r>
      <w:r w:rsidRPr="00CA4A9E">
        <w:rPr>
          <w:rFonts w:ascii="Calibri" w:hAnsi="Calibri" w:cs="Calibri"/>
        </w:rPr>
        <w:t xml:space="preserve"> 10% od ilości założonej.</w:t>
      </w:r>
    </w:p>
    <w:p w:rsidR="00AD54A3" w:rsidRPr="00CA4A9E" w:rsidRDefault="00AD54A3" w:rsidP="00AD54A3">
      <w:pPr>
        <w:rPr>
          <w:rFonts w:ascii="Calibri" w:hAnsi="Calibri" w:cs="Calibri"/>
        </w:rPr>
      </w:pPr>
    </w:p>
    <w:p w:rsidR="00AD54A3" w:rsidRPr="0056541A" w:rsidRDefault="00AD54A3" w:rsidP="00AD54A3">
      <w:pPr>
        <w:rPr>
          <w:rFonts w:ascii="Calibri" w:hAnsi="Calibri" w:cs="Calibri"/>
          <w:b/>
        </w:rPr>
      </w:pPr>
      <w:bookmarkStart w:id="1188" w:name="_Toc407069676"/>
      <w:bookmarkStart w:id="1189" w:name="_Toc407081641"/>
      <w:bookmarkStart w:id="1190" w:name="_Toc407081784"/>
      <w:bookmarkStart w:id="1191" w:name="_Toc407083440"/>
      <w:bookmarkStart w:id="1192" w:name="_Toc407084274"/>
      <w:bookmarkStart w:id="1193" w:name="_Toc407085393"/>
      <w:bookmarkStart w:id="1194" w:name="_Toc407085536"/>
      <w:bookmarkStart w:id="1195" w:name="_Toc407085679"/>
      <w:bookmarkStart w:id="1196" w:name="_Toc407086127"/>
      <w:r w:rsidRPr="0056541A">
        <w:rPr>
          <w:rFonts w:ascii="Calibri" w:hAnsi="Calibri" w:cs="Calibri"/>
          <w:b/>
        </w:rPr>
        <w:t xml:space="preserve">4. </w:t>
      </w:r>
      <w:bookmarkEnd w:id="1188"/>
      <w:bookmarkEnd w:id="1189"/>
      <w:bookmarkEnd w:id="1190"/>
      <w:bookmarkEnd w:id="1191"/>
      <w:bookmarkEnd w:id="1192"/>
      <w:bookmarkEnd w:id="1193"/>
      <w:bookmarkEnd w:id="1194"/>
      <w:bookmarkEnd w:id="1195"/>
      <w:bookmarkEnd w:id="1196"/>
      <w:r w:rsidRPr="0056541A">
        <w:rPr>
          <w:rFonts w:ascii="Calibri" w:hAnsi="Calibri" w:cs="Calibri"/>
          <w:b/>
        </w:rPr>
        <w:t>TRANSPORT</w:t>
      </w:r>
    </w:p>
    <w:p w:rsidR="00AD54A3" w:rsidRPr="00CA4A9E" w:rsidRDefault="00AD54A3" w:rsidP="00AD54A3">
      <w:pPr>
        <w:rPr>
          <w:rFonts w:ascii="Calibri" w:hAnsi="Calibri" w:cs="Calibri"/>
        </w:rPr>
      </w:pPr>
      <w:bookmarkStart w:id="1197" w:name="_Toc407069677"/>
      <w:bookmarkStart w:id="1198" w:name="_Toc407081642"/>
      <w:bookmarkStart w:id="1199" w:name="_Toc407081785"/>
      <w:bookmarkStart w:id="1200" w:name="_Toc407083441"/>
      <w:bookmarkStart w:id="1201" w:name="_Toc407084275"/>
      <w:bookmarkStart w:id="1202" w:name="_Toc407085394"/>
      <w:bookmarkStart w:id="1203" w:name="_Toc407085537"/>
      <w:bookmarkStart w:id="1204" w:name="_Toc407085680"/>
      <w:bookmarkStart w:id="1205" w:name="_Toc407086128"/>
      <w:r w:rsidRPr="0056541A">
        <w:rPr>
          <w:rFonts w:ascii="Calibri" w:hAnsi="Calibri" w:cs="Calibri"/>
          <w:b/>
        </w:rPr>
        <w:t>4.1.</w:t>
      </w:r>
      <w:r w:rsidRPr="00CA4A9E">
        <w:rPr>
          <w:rFonts w:ascii="Calibri" w:hAnsi="Calibri" w:cs="Calibri"/>
        </w:rPr>
        <w:t xml:space="preserve"> Ogólne wymagania dotyczące transportu</w:t>
      </w:r>
      <w:bookmarkEnd w:id="1197"/>
      <w:bookmarkEnd w:id="1198"/>
      <w:bookmarkEnd w:id="1199"/>
      <w:bookmarkEnd w:id="1200"/>
      <w:bookmarkEnd w:id="1201"/>
      <w:bookmarkEnd w:id="1202"/>
      <w:bookmarkEnd w:id="1203"/>
      <w:bookmarkEnd w:id="1204"/>
      <w:bookmarkEnd w:id="1205"/>
    </w:p>
    <w:p w:rsidR="00AD54A3" w:rsidRPr="00CA4A9E" w:rsidRDefault="00AD54A3" w:rsidP="00AD54A3">
      <w:pPr>
        <w:rPr>
          <w:rFonts w:ascii="Calibri" w:hAnsi="Calibri" w:cs="Calibri"/>
        </w:rPr>
      </w:pPr>
      <w:r w:rsidRPr="00CA4A9E">
        <w:rPr>
          <w:rFonts w:ascii="Calibri" w:hAnsi="Calibri" w:cs="Calibri"/>
        </w:rPr>
        <w:tab/>
        <w:t>Ogólne wymagania dotyczące transportu podano w ST D-M-00.00.00 „Wymagania ogólne” pkt 4.</w:t>
      </w:r>
    </w:p>
    <w:p w:rsidR="00AD54A3" w:rsidRPr="00CA4A9E" w:rsidRDefault="00AD54A3" w:rsidP="00AD54A3">
      <w:pPr>
        <w:rPr>
          <w:rFonts w:ascii="Calibri" w:hAnsi="Calibri" w:cs="Calibri"/>
        </w:rPr>
      </w:pPr>
      <w:bookmarkStart w:id="1206" w:name="_Toc407069678"/>
      <w:bookmarkStart w:id="1207" w:name="_Toc407081643"/>
      <w:bookmarkStart w:id="1208" w:name="_Toc407081786"/>
      <w:bookmarkStart w:id="1209" w:name="_Toc407083442"/>
      <w:bookmarkStart w:id="1210" w:name="_Toc407084276"/>
      <w:bookmarkStart w:id="1211" w:name="_Toc407085395"/>
      <w:bookmarkStart w:id="1212" w:name="_Toc407085538"/>
      <w:bookmarkStart w:id="1213" w:name="_Toc407085681"/>
      <w:bookmarkStart w:id="1214" w:name="_Toc407086129"/>
      <w:r w:rsidRPr="0056541A">
        <w:rPr>
          <w:rFonts w:ascii="Calibri" w:hAnsi="Calibri" w:cs="Calibri"/>
          <w:b/>
        </w:rPr>
        <w:t>4.2.</w:t>
      </w:r>
      <w:r w:rsidRPr="00CA4A9E">
        <w:rPr>
          <w:rFonts w:ascii="Calibri" w:hAnsi="Calibri" w:cs="Calibri"/>
        </w:rPr>
        <w:t xml:space="preserve"> Transport lepiszczy</w:t>
      </w:r>
      <w:bookmarkEnd w:id="1206"/>
      <w:bookmarkEnd w:id="1207"/>
      <w:bookmarkEnd w:id="1208"/>
      <w:bookmarkEnd w:id="1209"/>
      <w:bookmarkEnd w:id="1210"/>
      <w:bookmarkEnd w:id="1211"/>
      <w:bookmarkEnd w:id="1212"/>
      <w:bookmarkEnd w:id="1213"/>
      <w:bookmarkEnd w:id="1214"/>
    </w:p>
    <w:p w:rsidR="00AD54A3" w:rsidRPr="00CA4A9E" w:rsidRDefault="00AD54A3" w:rsidP="00AD54A3">
      <w:pPr>
        <w:rPr>
          <w:rFonts w:ascii="Calibri" w:hAnsi="Calibri" w:cs="Calibri"/>
        </w:rPr>
      </w:pPr>
      <w:r w:rsidRPr="00CA4A9E">
        <w:rPr>
          <w:rFonts w:ascii="Calibri" w:hAnsi="Calibri" w:cs="Calibri"/>
        </w:rPr>
        <w:tab/>
        <w:t>Asfalty mogą być transportowane w cysternach kolejowych lub samochodowych, posiadających izolację termiczną, zaopatrzonych w urządzenia grzewcze, zawory spustowe i zabezpieczonych przed dostępem wody.</w:t>
      </w:r>
    </w:p>
    <w:p w:rsidR="00AD54A3" w:rsidRPr="00CA4A9E" w:rsidRDefault="00AD54A3" w:rsidP="00AD54A3">
      <w:pPr>
        <w:rPr>
          <w:rFonts w:ascii="Calibri" w:hAnsi="Calibri" w:cs="Calibri"/>
        </w:rPr>
      </w:pPr>
      <w:r w:rsidRPr="00CA4A9E">
        <w:rPr>
          <w:rFonts w:ascii="Calibri" w:hAnsi="Calibri" w:cs="Calibri"/>
        </w:rPr>
        <w:tab/>
        <w:t>Emulsja może być transportowana w cysternach, autocysternach, skrapiarkach, beczkach i innych opakowaniach pod warunkiem, że nie będą korodowały pod wpływem emulsji i nie będą powodowały jej rozpadu. Cysterny przeznaczone do przewozu emulsji powinny być przedzielone przegrodami, dzielącymi je na komory o pojemności nie większej niż 1 m3, a każda przegroda powinna mieć wykroje w dnie umożliwiające przepływ emulsji. Cysterny, pojemniki i zbiorniki przeznaczone do transportu lub składowania emulsji powinny być czyste i nie powinny zawierać resztek innych lepiszczy.</w:t>
      </w:r>
    </w:p>
    <w:p w:rsidR="00AD54A3" w:rsidRPr="00CA4A9E" w:rsidRDefault="00AD54A3" w:rsidP="00AD54A3">
      <w:pPr>
        <w:rPr>
          <w:rFonts w:ascii="Calibri" w:hAnsi="Calibri" w:cs="Calibri"/>
        </w:rPr>
      </w:pPr>
    </w:p>
    <w:p w:rsidR="00AD54A3" w:rsidRPr="0056541A" w:rsidRDefault="00AD54A3" w:rsidP="00AD54A3">
      <w:pPr>
        <w:rPr>
          <w:rFonts w:ascii="Calibri" w:hAnsi="Calibri" w:cs="Calibri"/>
          <w:b/>
        </w:rPr>
      </w:pPr>
      <w:bookmarkStart w:id="1215" w:name="_Toc407069679"/>
      <w:bookmarkStart w:id="1216" w:name="_Toc407081644"/>
      <w:bookmarkStart w:id="1217" w:name="_Toc407081787"/>
      <w:bookmarkStart w:id="1218" w:name="_Toc407083443"/>
      <w:bookmarkStart w:id="1219" w:name="_Toc407084277"/>
      <w:bookmarkStart w:id="1220" w:name="_Toc407085396"/>
      <w:bookmarkStart w:id="1221" w:name="_Toc407085539"/>
      <w:bookmarkStart w:id="1222" w:name="_Toc407085682"/>
      <w:bookmarkStart w:id="1223" w:name="_Toc407086130"/>
      <w:r w:rsidRPr="0056541A">
        <w:rPr>
          <w:rFonts w:ascii="Calibri" w:hAnsi="Calibri" w:cs="Calibri"/>
          <w:b/>
        </w:rPr>
        <w:t xml:space="preserve">5. </w:t>
      </w:r>
      <w:bookmarkEnd w:id="1215"/>
      <w:bookmarkEnd w:id="1216"/>
      <w:bookmarkEnd w:id="1217"/>
      <w:bookmarkEnd w:id="1218"/>
      <w:bookmarkEnd w:id="1219"/>
      <w:bookmarkEnd w:id="1220"/>
      <w:bookmarkEnd w:id="1221"/>
      <w:bookmarkEnd w:id="1222"/>
      <w:bookmarkEnd w:id="1223"/>
      <w:r w:rsidRPr="0056541A">
        <w:rPr>
          <w:rFonts w:ascii="Calibri" w:hAnsi="Calibri" w:cs="Calibri"/>
          <w:b/>
        </w:rPr>
        <w:t>WYKONANIE ROBÓT</w:t>
      </w:r>
    </w:p>
    <w:p w:rsidR="00AD54A3" w:rsidRPr="00CA4A9E" w:rsidRDefault="00AD54A3" w:rsidP="00AD54A3">
      <w:pPr>
        <w:rPr>
          <w:rFonts w:ascii="Calibri" w:hAnsi="Calibri" w:cs="Calibri"/>
        </w:rPr>
      </w:pPr>
      <w:bookmarkStart w:id="1224" w:name="_Toc407069680"/>
      <w:bookmarkStart w:id="1225" w:name="_Toc407081645"/>
      <w:bookmarkStart w:id="1226" w:name="_Toc407081788"/>
      <w:bookmarkStart w:id="1227" w:name="_Toc407083444"/>
      <w:bookmarkStart w:id="1228" w:name="_Toc407084278"/>
      <w:bookmarkStart w:id="1229" w:name="_Toc407085397"/>
      <w:bookmarkStart w:id="1230" w:name="_Toc407085540"/>
      <w:bookmarkStart w:id="1231" w:name="_Toc407085683"/>
      <w:bookmarkStart w:id="1232" w:name="_Toc407086131"/>
      <w:r w:rsidRPr="0056541A">
        <w:rPr>
          <w:rFonts w:ascii="Calibri" w:hAnsi="Calibri" w:cs="Calibri"/>
          <w:b/>
        </w:rPr>
        <w:t>5.1.</w:t>
      </w:r>
      <w:r w:rsidRPr="00CA4A9E">
        <w:rPr>
          <w:rFonts w:ascii="Calibri" w:hAnsi="Calibri" w:cs="Calibri"/>
        </w:rPr>
        <w:t xml:space="preserve"> Ogólne zasady wykonania robót</w:t>
      </w:r>
      <w:bookmarkEnd w:id="1224"/>
      <w:bookmarkEnd w:id="1225"/>
      <w:bookmarkEnd w:id="1226"/>
      <w:bookmarkEnd w:id="1227"/>
      <w:bookmarkEnd w:id="1228"/>
      <w:bookmarkEnd w:id="1229"/>
      <w:bookmarkEnd w:id="1230"/>
      <w:bookmarkEnd w:id="1231"/>
      <w:bookmarkEnd w:id="1232"/>
    </w:p>
    <w:p w:rsidR="00AD54A3" w:rsidRPr="00CA4A9E" w:rsidRDefault="00AD54A3" w:rsidP="00AD54A3">
      <w:pPr>
        <w:rPr>
          <w:rFonts w:ascii="Calibri" w:hAnsi="Calibri" w:cs="Calibri"/>
        </w:rPr>
      </w:pPr>
      <w:r w:rsidRPr="00CA4A9E">
        <w:rPr>
          <w:rFonts w:ascii="Calibri" w:hAnsi="Calibri" w:cs="Calibri"/>
        </w:rPr>
        <w:tab/>
        <w:t>Ogólne zasady wykonania robót podano w ST D-M-00.00.00 „Wymagania ogólne” pkt 5.</w:t>
      </w:r>
    </w:p>
    <w:p w:rsidR="00AD54A3" w:rsidRPr="00CA4A9E" w:rsidRDefault="00AD54A3" w:rsidP="00AD54A3">
      <w:pPr>
        <w:rPr>
          <w:rFonts w:ascii="Calibri" w:hAnsi="Calibri" w:cs="Calibri"/>
        </w:rPr>
      </w:pPr>
      <w:bookmarkStart w:id="1233" w:name="_Toc407069681"/>
      <w:bookmarkStart w:id="1234" w:name="_Toc407081646"/>
      <w:bookmarkStart w:id="1235" w:name="_Toc407081789"/>
      <w:bookmarkStart w:id="1236" w:name="_Toc407083445"/>
      <w:bookmarkStart w:id="1237" w:name="_Toc407084279"/>
      <w:bookmarkStart w:id="1238" w:name="_Toc407085398"/>
      <w:bookmarkStart w:id="1239" w:name="_Toc407085541"/>
      <w:bookmarkStart w:id="1240" w:name="_Toc407085684"/>
      <w:bookmarkStart w:id="1241" w:name="_Toc407086132"/>
      <w:r w:rsidRPr="0056541A">
        <w:rPr>
          <w:rFonts w:ascii="Calibri" w:hAnsi="Calibri" w:cs="Calibri"/>
          <w:b/>
        </w:rPr>
        <w:t>5.2.</w:t>
      </w:r>
      <w:r w:rsidRPr="00CA4A9E">
        <w:rPr>
          <w:rFonts w:ascii="Calibri" w:hAnsi="Calibri" w:cs="Calibri"/>
        </w:rPr>
        <w:t xml:space="preserve"> Oczyszczenie warstw nawierzchni</w:t>
      </w:r>
      <w:bookmarkEnd w:id="1233"/>
      <w:bookmarkEnd w:id="1234"/>
      <w:bookmarkEnd w:id="1235"/>
      <w:bookmarkEnd w:id="1236"/>
      <w:bookmarkEnd w:id="1237"/>
      <w:bookmarkEnd w:id="1238"/>
      <w:bookmarkEnd w:id="1239"/>
      <w:bookmarkEnd w:id="1240"/>
      <w:bookmarkEnd w:id="1241"/>
    </w:p>
    <w:p w:rsidR="00AD54A3" w:rsidRPr="00CA4A9E" w:rsidRDefault="00AD54A3" w:rsidP="00AD54A3">
      <w:pPr>
        <w:rPr>
          <w:rFonts w:ascii="Calibri" w:hAnsi="Calibri" w:cs="Calibri"/>
        </w:rPr>
      </w:pPr>
      <w:r w:rsidRPr="00CA4A9E">
        <w:rPr>
          <w:rFonts w:ascii="Calibri" w:hAnsi="Calibri" w:cs="Calibri"/>
        </w:rPr>
        <w:tab/>
        <w:t>Oczyszczenie warstw nawierzchni polega na usunięciu luźnego materiału, brudu, błota i kurzu przy użyciu szczotek mechanicznych, a w razie potrzeby wody pod ciśnieniem. W miejscach trudno dostępnych należy używać szczotek ręcznych. W razie potrzeby, na terenach niezabudowanych, bezpośrednio przed skropieniem warstwa powinna być oczyszczona z kurzu przy użyciu sprężonego powietrza.</w:t>
      </w:r>
    </w:p>
    <w:p w:rsidR="00AD54A3" w:rsidRPr="00CA4A9E" w:rsidRDefault="00AD54A3" w:rsidP="00AD54A3">
      <w:pPr>
        <w:rPr>
          <w:rFonts w:ascii="Calibri" w:hAnsi="Calibri" w:cs="Calibri"/>
        </w:rPr>
      </w:pPr>
      <w:bookmarkStart w:id="1242" w:name="_Toc407069682"/>
      <w:bookmarkStart w:id="1243" w:name="_Toc407081647"/>
      <w:bookmarkStart w:id="1244" w:name="_Toc407081790"/>
      <w:bookmarkStart w:id="1245" w:name="_Toc407083446"/>
      <w:bookmarkStart w:id="1246" w:name="_Toc407084280"/>
      <w:bookmarkStart w:id="1247" w:name="_Toc407085399"/>
      <w:bookmarkStart w:id="1248" w:name="_Toc407085542"/>
      <w:bookmarkStart w:id="1249" w:name="_Toc407085685"/>
      <w:bookmarkStart w:id="1250" w:name="_Toc407086133"/>
      <w:r w:rsidRPr="0056541A">
        <w:rPr>
          <w:rFonts w:ascii="Calibri" w:hAnsi="Calibri" w:cs="Calibri"/>
          <w:b/>
        </w:rPr>
        <w:t>5.3.</w:t>
      </w:r>
      <w:r w:rsidRPr="00CA4A9E">
        <w:rPr>
          <w:rFonts w:ascii="Calibri" w:hAnsi="Calibri" w:cs="Calibri"/>
        </w:rPr>
        <w:t xml:space="preserve"> Skropienie warstw nawierzchni</w:t>
      </w:r>
      <w:bookmarkEnd w:id="1242"/>
      <w:bookmarkEnd w:id="1243"/>
      <w:bookmarkEnd w:id="1244"/>
      <w:bookmarkEnd w:id="1245"/>
      <w:bookmarkEnd w:id="1246"/>
      <w:bookmarkEnd w:id="1247"/>
      <w:bookmarkEnd w:id="1248"/>
      <w:bookmarkEnd w:id="1249"/>
      <w:bookmarkEnd w:id="1250"/>
    </w:p>
    <w:p w:rsidR="00AD54A3" w:rsidRPr="00CA4A9E" w:rsidRDefault="00AD54A3" w:rsidP="00AD54A3">
      <w:pPr>
        <w:rPr>
          <w:rFonts w:ascii="Calibri" w:hAnsi="Calibri" w:cs="Calibri"/>
        </w:rPr>
      </w:pPr>
      <w:r w:rsidRPr="00CA4A9E">
        <w:rPr>
          <w:rFonts w:ascii="Calibri" w:hAnsi="Calibri" w:cs="Calibri"/>
        </w:rPr>
        <w:tab/>
        <w:t>Warstwa przed skropieniem powinna być oczyszczona.</w:t>
      </w:r>
    </w:p>
    <w:p w:rsidR="00AD54A3" w:rsidRPr="00CA4A9E" w:rsidRDefault="00AD54A3" w:rsidP="00AD54A3">
      <w:pPr>
        <w:rPr>
          <w:rFonts w:ascii="Calibri" w:hAnsi="Calibri" w:cs="Calibri"/>
        </w:rPr>
      </w:pPr>
      <w:r w:rsidRPr="00CA4A9E">
        <w:rPr>
          <w:rFonts w:ascii="Calibri" w:hAnsi="Calibri" w:cs="Calibri"/>
        </w:rPr>
        <w:tab/>
        <w:t>Jeżeli do czyszczenia warstwy była używana woda, to skropienie lepiszczem może nastąpić dopiero po wyschnięciu warstwy, z wyjątkiem zastosowania emulsji, przy których nawierzchnia może być wilgotna.</w:t>
      </w:r>
    </w:p>
    <w:p w:rsidR="00AD54A3" w:rsidRPr="00CA4A9E" w:rsidRDefault="00AD54A3" w:rsidP="00AD54A3">
      <w:pPr>
        <w:rPr>
          <w:rFonts w:ascii="Calibri" w:hAnsi="Calibri" w:cs="Calibri"/>
        </w:rPr>
      </w:pPr>
      <w:r w:rsidRPr="00CA4A9E">
        <w:rPr>
          <w:rFonts w:ascii="Calibri" w:hAnsi="Calibri" w:cs="Calibri"/>
        </w:rPr>
        <w:tab/>
        <w:t>Skropienie warstwy może rozpocząć się po akceptacji przez Inżyniera jej oczyszczenia.</w:t>
      </w:r>
    </w:p>
    <w:p w:rsidR="00AD54A3" w:rsidRPr="00CA4A9E" w:rsidRDefault="00AD54A3" w:rsidP="00AD54A3">
      <w:pPr>
        <w:rPr>
          <w:rFonts w:ascii="Calibri" w:hAnsi="Calibri" w:cs="Calibri"/>
        </w:rPr>
      </w:pPr>
      <w:r w:rsidRPr="00CA4A9E">
        <w:rPr>
          <w:rFonts w:ascii="Calibri" w:hAnsi="Calibri" w:cs="Calibri"/>
        </w:rPr>
        <w:tab/>
        <w:t>Warstwa nawierzchni powinna być skrapiana lepiszczem przy użyciu skrapiarek, a w miejscach trudno dostępnych ręcznie (za pomocą węża z dyszą rozpryskową).</w:t>
      </w:r>
    </w:p>
    <w:p w:rsidR="00AD54A3" w:rsidRPr="00CA4A9E" w:rsidRDefault="00AD54A3" w:rsidP="00AD54A3">
      <w:pPr>
        <w:rPr>
          <w:rFonts w:ascii="Calibri" w:hAnsi="Calibri" w:cs="Calibri"/>
        </w:rPr>
      </w:pPr>
      <w:r w:rsidRPr="00CA4A9E">
        <w:rPr>
          <w:rFonts w:ascii="Calibri" w:hAnsi="Calibri" w:cs="Calibri"/>
        </w:rPr>
        <w:tab/>
        <w:t>Temperatury lepiszczy powinny mieścić się w przedziałach podanych w tablicy 2.</w:t>
      </w:r>
    </w:p>
    <w:p w:rsidR="00AD54A3" w:rsidRPr="00CA4A9E" w:rsidRDefault="00AD54A3" w:rsidP="00AD54A3">
      <w:pPr>
        <w:rPr>
          <w:rFonts w:ascii="Calibri" w:hAnsi="Calibri" w:cs="Calibri"/>
        </w:rPr>
      </w:pPr>
    </w:p>
    <w:p w:rsidR="00AD54A3" w:rsidRPr="00CA4A9E" w:rsidRDefault="00AD54A3" w:rsidP="00AD54A3">
      <w:pPr>
        <w:ind w:left="709"/>
        <w:rPr>
          <w:rFonts w:ascii="Calibri" w:hAnsi="Calibri" w:cs="Calibri"/>
        </w:rPr>
      </w:pPr>
      <w:r w:rsidRPr="00CA4A9E">
        <w:rPr>
          <w:rFonts w:ascii="Calibri" w:hAnsi="Calibri" w:cs="Calibri"/>
        </w:rPr>
        <w:lastRenderedPageBreak/>
        <w:t>Tablica 2. Temperatury lepiszczy przy skrapianiu</w:t>
      </w:r>
    </w:p>
    <w:tbl>
      <w:tblPr>
        <w:tblW w:w="0" w:type="auto"/>
        <w:tblInd w:w="779" w:type="dxa"/>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ayout w:type="fixed"/>
        <w:tblCellMar>
          <w:left w:w="70" w:type="dxa"/>
          <w:right w:w="70" w:type="dxa"/>
        </w:tblCellMar>
        <w:tblLook w:val="0000"/>
      </w:tblPr>
      <w:tblGrid>
        <w:gridCol w:w="496"/>
        <w:gridCol w:w="3507"/>
        <w:gridCol w:w="3507"/>
      </w:tblGrid>
      <w:tr w:rsidR="00AD54A3" w:rsidRPr="00CA4A9E" w:rsidTr="00FD47C7">
        <w:tc>
          <w:tcPr>
            <w:tcW w:w="496" w:type="dxa"/>
            <w:tcBorders>
              <w:bottom w:val="double" w:sz="6" w:space="0" w:color="auto"/>
            </w:tcBorders>
          </w:tcPr>
          <w:p w:rsidR="00AD54A3" w:rsidRPr="00CA4A9E" w:rsidRDefault="00AD54A3" w:rsidP="00FD47C7">
            <w:pPr>
              <w:jc w:val="center"/>
              <w:rPr>
                <w:rFonts w:ascii="Calibri" w:hAnsi="Calibri" w:cs="Calibri"/>
                <w:sz w:val="18"/>
                <w:szCs w:val="18"/>
              </w:rPr>
            </w:pPr>
            <w:r w:rsidRPr="00CA4A9E">
              <w:rPr>
                <w:rFonts w:ascii="Calibri" w:hAnsi="Calibri" w:cs="Calibri"/>
                <w:sz w:val="18"/>
                <w:szCs w:val="18"/>
              </w:rPr>
              <w:t>Lp.</w:t>
            </w:r>
          </w:p>
        </w:tc>
        <w:tc>
          <w:tcPr>
            <w:tcW w:w="3507" w:type="dxa"/>
            <w:tcBorders>
              <w:bottom w:val="double" w:sz="6" w:space="0" w:color="auto"/>
            </w:tcBorders>
          </w:tcPr>
          <w:p w:rsidR="00AD54A3" w:rsidRPr="00CA4A9E" w:rsidRDefault="00AD54A3" w:rsidP="00FD47C7">
            <w:pPr>
              <w:jc w:val="center"/>
              <w:rPr>
                <w:rFonts w:ascii="Calibri" w:hAnsi="Calibri" w:cs="Calibri"/>
                <w:sz w:val="18"/>
                <w:szCs w:val="18"/>
              </w:rPr>
            </w:pPr>
            <w:r w:rsidRPr="00CA4A9E">
              <w:rPr>
                <w:rFonts w:ascii="Calibri" w:hAnsi="Calibri" w:cs="Calibri"/>
                <w:sz w:val="18"/>
                <w:szCs w:val="18"/>
              </w:rPr>
              <w:t>Rodzaj lepiszcza</w:t>
            </w:r>
          </w:p>
        </w:tc>
        <w:tc>
          <w:tcPr>
            <w:tcW w:w="3507" w:type="dxa"/>
            <w:tcBorders>
              <w:bottom w:val="double" w:sz="6" w:space="0" w:color="auto"/>
            </w:tcBorders>
          </w:tcPr>
          <w:p w:rsidR="00AD54A3" w:rsidRPr="00CA4A9E" w:rsidRDefault="00AD54A3" w:rsidP="00FD47C7">
            <w:pPr>
              <w:jc w:val="center"/>
              <w:rPr>
                <w:rFonts w:ascii="Calibri" w:hAnsi="Calibri" w:cs="Calibri"/>
                <w:sz w:val="18"/>
                <w:szCs w:val="18"/>
              </w:rPr>
            </w:pPr>
            <w:r w:rsidRPr="00CA4A9E">
              <w:rPr>
                <w:rFonts w:ascii="Calibri" w:hAnsi="Calibri" w:cs="Calibri"/>
                <w:sz w:val="18"/>
                <w:szCs w:val="18"/>
              </w:rPr>
              <w:t>Temperatury (</w:t>
            </w:r>
            <w:r w:rsidRPr="00CA4A9E">
              <w:rPr>
                <w:rFonts w:ascii="Calibri" w:hAnsi="Calibri" w:cs="Calibri"/>
                <w:sz w:val="18"/>
                <w:szCs w:val="18"/>
                <w:vertAlign w:val="superscript"/>
              </w:rPr>
              <w:t>o</w:t>
            </w:r>
            <w:r w:rsidRPr="00CA4A9E">
              <w:rPr>
                <w:rFonts w:ascii="Calibri" w:hAnsi="Calibri" w:cs="Calibri"/>
                <w:sz w:val="18"/>
                <w:szCs w:val="18"/>
              </w:rPr>
              <w:t>C)</w:t>
            </w:r>
          </w:p>
        </w:tc>
      </w:tr>
      <w:tr w:rsidR="00AD54A3" w:rsidRPr="00CA4A9E" w:rsidTr="00FD47C7">
        <w:tc>
          <w:tcPr>
            <w:tcW w:w="496" w:type="dxa"/>
            <w:tcBorders>
              <w:top w:val="nil"/>
            </w:tcBorders>
          </w:tcPr>
          <w:p w:rsidR="00AD54A3" w:rsidRPr="00CA4A9E" w:rsidRDefault="00AD54A3" w:rsidP="00FD47C7">
            <w:pPr>
              <w:jc w:val="center"/>
              <w:rPr>
                <w:rFonts w:ascii="Calibri" w:hAnsi="Calibri" w:cs="Calibri"/>
                <w:sz w:val="18"/>
                <w:szCs w:val="18"/>
              </w:rPr>
            </w:pPr>
            <w:r w:rsidRPr="00CA4A9E">
              <w:rPr>
                <w:rFonts w:ascii="Calibri" w:hAnsi="Calibri" w:cs="Calibri"/>
                <w:sz w:val="18"/>
                <w:szCs w:val="18"/>
              </w:rPr>
              <w:t>1</w:t>
            </w:r>
          </w:p>
          <w:p w:rsidR="00AD54A3" w:rsidRPr="00CA4A9E" w:rsidRDefault="00AD54A3" w:rsidP="00FD47C7">
            <w:pPr>
              <w:jc w:val="center"/>
              <w:rPr>
                <w:rFonts w:ascii="Calibri" w:hAnsi="Calibri" w:cs="Calibri"/>
                <w:sz w:val="18"/>
                <w:szCs w:val="18"/>
              </w:rPr>
            </w:pPr>
            <w:r w:rsidRPr="00CA4A9E">
              <w:rPr>
                <w:rFonts w:ascii="Calibri" w:hAnsi="Calibri" w:cs="Calibri"/>
                <w:sz w:val="18"/>
                <w:szCs w:val="18"/>
              </w:rPr>
              <w:t>2</w:t>
            </w:r>
          </w:p>
          <w:p w:rsidR="00AD54A3" w:rsidRPr="00CA4A9E" w:rsidRDefault="00AD54A3" w:rsidP="00FD47C7">
            <w:pPr>
              <w:jc w:val="center"/>
              <w:rPr>
                <w:rFonts w:ascii="Calibri" w:hAnsi="Calibri" w:cs="Calibri"/>
                <w:sz w:val="18"/>
                <w:szCs w:val="18"/>
              </w:rPr>
            </w:pPr>
            <w:r w:rsidRPr="00CA4A9E">
              <w:rPr>
                <w:rFonts w:ascii="Calibri" w:hAnsi="Calibri" w:cs="Calibri"/>
                <w:sz w:val="18"/>
                <w:szCs w:val="18"/>
              </w:rPr>
              <w:t>3</w:t>
            </w:r>
          </w:p>
        </w:tc>
        <w:tc>
          <w:tcPr>
            <w:tcW w:w="3507" w:type="dxa"/>
            <w:tcBorders>
              <w:top w:val="nil"/>
            </w:tcBorders>
          </w:tcPr>
          <w:p w:rsidR="00AD54A3" w:rsidRPr="00CA4A9E" w:rsidRDefault="00AD54A3" w:rsidP="00FD47C7">
            <w:pPr>
              <w:jc w:val="center"/>
              <w:rPr>
                <w:rFonts w:ascii="Calibri" w:hAnsi="Calibri" w:cs="Calibri"/>
                <w:sz w:val="18"/>
                <w:szCs w:val="18"/>
              </w:rPr>
            </w:pPr>
            <w:r w:rsidRPr="00CA4A9E">
              <w:rPr>
                <w:rFonts w:ascii="Calibri" w:hAnsi="Calibri" w:cs="Calibri"/>
                <w:sz w:val="18"/>
                <w:szCs w:val="18"/>
              </w:rPr>
              <w:t>Emulsja asfaltowa kationowa</w:t>
            </w:r>
          </w:p>
          <w:p w:rsidR="00AD54A3" w:rsidRPr="00CA4A9E" w:rsidRDefault="00AD54A3" w:rsidP="00FD47C7">
            <w:pPr>
              <w:jc w:val="center"/>
              <w:rPr>
                <w:rFonts w:ascii="Calibri" w:hAnsi="Calibri" w:cs="Calibri"/>
                <w:sz w:val="18"/>
                <w:szCs w:val="18"/>
              </w:rPr>
            </w:pPr>
            <w:r w:rsidRPr="00CA4A9E">
              <w:rPr>
                <w:rFonts w:ascii="Calibri" w:hAnsi="Calibri" w:cs="Calibri"/>
                <w:sz w:val="18"/>
                <w:szCs w:val="18"/>
              </w:rPr>
              <w:t>Asfalt drogowy D 200</w:t>
            </w:r>
          </w:p>
          <w:p w:rsidR="00AD54A3" w:rsidRPr="00CA4A9E" w:rsidRDefault="00AD54A3" w:rsidP="00FD47C7">
            <w:pPr>
              <w:jc w:val="center"/>
              <w:rPr>
                <w:rFonts w:ascii="Calibri" w:hAnsi="Calibri" w:cs="Calibri"/>
                <w:sz w:val="18"/>
                <w:szCs w:val="18"/>
              </w:rPr>
            </w:pPr>
            <w:r w:rsidRPr="00CA4A9E">
              <w:rPr>
                <w:rFonts w:ascii="Calibri" w:hAnsi="Calibri" w:cs="Calibri"/>
                <w:sz w:val="18"/>
                <w:szCs w:val="18"/>
              </w:rPr>
              <w:t>Asfalt drogowy D 300</w:t>
            </w:r>
          </w:p>
        </w:tc>
        <w:tc>
          <w:tcPr>
            <w:tcW w:w="3507" w:type="dxa"/>
            <w:tcBorders>
              <w:top w:val="nil"/>
            </w:tcBorders>
          </w:tcPr>
          <w:p w:rsidR="00AD54A3" w:rsidRPr="00CA4A9E" w:rsidRDefault="00AD54A3" w:rsidP="00FD47C7">
            <w:pPr>
              <w:jc w:val="center"/>
              <w:rPr>
                <w:rFonts w:ascii="Calibri" w:hAnsi="Calibri" w:cs="Calibri"/>
                <w:sz w:val="18"/>
                <w:szCs w:val="18"/>
              </w:rPr>
            </w:pPr>
            <w:r w:rsidRPr="00CA4A9E">
              <w:rPr>
                <w:rFonts w:ascii="Calibri" w:hAnsi="Calibri" w:cs="Calibri"/>
                <w:sz w:val="18"/>
                <w:szCs w:val="18"/>
              </w:rPr>
              <w:t>od 20 do 40 *)</w:t>
            </w:r>
          </w:p>
          <w:p w:rsidR="00AD54A3" w:rsidRPr="00CA4A9E" w:rsidRDefault="00AD54A3" w:rsidP="00FD47C7">
            <w:pPr>
              <w:jc w:val="center"/>
              <w:rPr>
                <w:rFonts w:ascii="Calibri" w:hAnsi="Calibri" w:cs="Calibri"/>
                <w:sz w:val="18"/>
                <w:szCs w:val="18"/>
              </w:rPr>
            </w:pPr>
            <w:r w:rsidRPr="00CA4A9E">
              <w:rPr>
                <w:rFonts w:ascii="Calibri" w:hAnsi="Calibri" w:cs="Calibri"/>
                <w:sz w:val="18"/>
                <w:szCs w:val="18"/>
              </w:rPr>
              <w:t>od 140 do 150</w:t>
            </w:r>
          </w:p>
          <w:p w:rsidR="00AD54A3" w:rsidRPr="00CA4A9E" w:rsidRDefault="00AD54A3" w:rsidP="00FD47C7">
            <w:pPr>
              <w:jc w:val="center"/>
              <w:rPr>
                <w:rFonts w:ascii="Calibri" w:hAnsi="Calibri" w:cs="Calibri"/>
                <w:sz w:val="18"/>
                <w:szCs w:val="18"/>
              </w:rPr>
            </w:pPr>
            <w:r w:rsidRPr="00CA4A9E">
              <w:rPr>
                <w:rFonts w:ascii="Calibri" w:hAnsi="Calibri" w:cs="Calibri"/>
                <w:sz w:val="18"/>
                <w:szCs w:val="18"/>
              </w:rPr>
              <w:t>od 130 do 140</w:t>
            </w:r>
          </w:p>
        </w:tc>
      </w:tr>
    </w:tbl>
    <w:p w:rsidR="00AD54A3" w:rsidRPr="00CA4A9E" w:rsidRDefault="00AD54A3" w:rsidP="00AD54A3">
      <w:pPr>
        <w:ind w:left="709"/>
        <w:rPr>
          <w:rFonts w:ascii="Calibri" w:hAnsi="Calibri" w:cs="Calibri"/>
          <w:i/>
        </w:rPr>
      </w:pPr>
      <w:r w:rsidRPr="00CA4A9E">
        <w:rPr>
          <w:rFonts w:ascii="Calibri" w:hAnsi="Calibri" w:cs="Calibri"/>
          <w:i/>
        </w:rPr>
        <w:t>*) W razie potrzeby emulsję należy ogrzać do temperatury zapewniającej wymaganą lepkość.</w:t>
      </w:r>
    </w:p>
    <w:p w:rsidR="00AD54A3" w:rsidRPr="00CA4A9E" w:rsidRDefault="00AD54A3" w:rsidP="00AD54A3">
      <w:pPr>
        <w:rPr>
          <w:rFonts w:ascii="Calibri" w:hAnsi="Calibri" w:cs="Calibri"/>
        </w:rPr>
      </w:pPr>
    </w:p>
    <w:p w:rsidR="00AD54A3" w:rsidRPr="00CA4A9E" w:rsidRDefault="00AD54A3" w:rsidP="00AD54A3">
      <w:pPr>
        <w:rPr>
          <w:rFonts w:ascii="Calibri" w:hAnsi="Calibri" w:cs="Calibri"/>
        </w:rPr>
      </w:pPr>
      <w:r w:rsidRPr="00CA4A9E">
        <w:rPr>
          <w:rFonts w:ascii="Calibri" w:hAnsi="Calibri" w:cs="Calibri"/>
        </w:rPr>
        <w:tab/>
        <w:t>Jeżeli do skropienia została użyta emulsja asfaltowa, to skropiona warstwa powinna być pozostawiona bez jakiegokolwiek ruchu na czas niezbędny dla umożliwienia penetracji lepiszcza w warstwę i odparowania wody z emulsji. W zależności od rodzaju użytej emulsji czas ten wynosi od 1 godz. do 24 godzin.</w:t>
      </w:r>
    </w:p>
    <w:p w:rsidR="00AD54A3" w:rsidRPr="00CA4A9E" w:rsidRDefault="00AD54A3" w:rsidP="00AD54A3">
      <w:pPr>
        <w:rPr>
          <w:rFonts w:ascii="Calibri" w:hAnsi="Calibri" w:cs="Calibri"/>
        </w:rPr>
      </w:pPr>
      <w:r w:rsidRPr="00CA4A9E">
        <w:rPr>
          <w:rFonts w:ascii="Calibri" w:hAnsi="Calibri" w:cs="Calibri"/>
        </w:rPr>
        <w:tab/>
        <w:t xml:space="preserve">Przed ułożeniem warstwy z mieszanki mineralno-bitumicznej Wykonawca powinien zabezpieczyć skropioną warstwę nawierzchni przed uszkodzeniem dopuszczając tylko niezbędny ruch budowlany. </w:t>
      </w:r>
    </w:p>
    <w:p w:rsidR="00AD54A3" w:rsidRPr="00CA4A9E" w:rsidRDefault="00AD54A3" w:rsidP="00AD54A3">
      <w:pPr>
        <w:rPr>
          <w:rFonts w:ascii="Calibri" w:hAnsi="Calibri" w:cs="Calibri"/>
        </w:rPr>
      </w:pPr>
    </w:p>
    <w:p w:rsidR="00AD54A3" w:rsidRPr="0056541A" w:rsidRDefault="00AD54A3" w:rsidP="00AD54A3">
      <w:pPr>
        <w:rPr>
          <w:rFonts w:ascii="Calibri" w:hAnsi="Calibri" w:cs="Calibri"/>
          <w:b/>
        </w:rPr>
      </w:pPr>
      <w:bookmarkStart w:id="1251" w:name="_Toc407069683"/>
      <w:bookmarkStart w:id="1252" w:name="_Toc407081648"/>
      <w:bookmarkStart w:id="1253" w:name="_Toc407081791"/>
      <w:bookmarkStart w:id="1254" w:name="_Toc407083447"/>
      <w:bookmarkStart w:id="1255" w:name="_Toc407084281"/>
      <w:bookmarkStart w:id="1256" w:name="_Toc407085400"/>
      <w:bookmarkStart w:id="1257" w:name="_Toc407085543"/>
      <w:bookmarkStart w:id="1258" w:name="_Toc407085686"/>
      <w:bookmarkStart w:id="1259" w:name="_Toc407086134"/>
      <w:r w:rsidRPr="0056541A">
        <w:rPr>
          <w:rFonts w:ascii="Calibri" w:hAnsi="Calibri" w:cs="Calibri"/>
          <w:b/>
        </w:rPr>
        <w:t xml:space="preserve">6. </w:t>
      </w:r>
      <w:bookmarkEnd w:id="1251"/>
      <w:bookmarkEnd w:id="1252"/>
      <w:bookmarkEnd w:id="1253"/>
      <w:bookmarkEnd w:id="1254"/>
      <w:bookmarkEnd w:id="1255"/>
      <w:bookmarkEnd w:id="1256"/>
      <w:bookmarkEnd w:id="1257"/>
      <w:bookmarkEnd w:id="1258"/>
      <w:bookmarkEnd w:id="1259"/>
      <w:r w:rsidRPr="0056541A">
        <w:rPr>
          <w:rFonts w:ascii="Calibri" w:hAnsi="Calibri" w:cs="Calibri"/>
          <w:b/>
        </w:rPr>
        <w:t>KONTROLA JAKOŚCI ROBÓT</w:t>
      </w:r>
    </w:p>
    <w:p w:rsidR="00AD54A3" w:rsidRPr="00CA4A9E" w:rsidRDefault="00AD54A3" w:rsidP="00AD54A3">
      <w:pPr>
        <w:rPr>
          <w:rFonts w:ascii="Calibri" w:hAnsi="Calibri" w:cs="Calibri"/>
        </w:rPr>
      </w:pPr>
      <w:bookmarkStart w:id="1260" w:name="_Toc407069684"/>
      <w:bookmarkStart w:id="1261" w:name="_Toc407081649"/>
      <w:bookmarkStart w:id="1262" w:name="_Toc407081792"/>
      <w:bookmarkStart w:id="1263" w:name="_Toc407083448"/>
      <w:bookmarkStart w:id="1264" w:name="_Toc407084282"/>
      <w:bookmarkStart w:id="1265" w:name="_Toc407085401"/>
      <w:bookmarkStart w:id="1266" w:name="_Toc407085544"/>
      <w:bookmarkStart w:id="1267" w:name="_Toc407085687"/>
      <w:bookmarkStart w:id="1268" w:name="_Toc407086135"/>
      <w:r w:rsidRPr="0056541A">
        <w:rPr>
          <w:rFonts w:ascii="Calibri" w:hAnsi="Calibri" w:cs="Calibri"/>
          <w:b/>
        </w:rPr>
        <w:t>6.1.</w:t>
      </w:r>
      <w:r w:rsidRPr="00CA4A9E">
        <w:rPr>
          <w:rFonts w:ascii="Calibri" w:hAnsi="Calibri" w:cs="Calibri"/>
        </w:rPr>
        <w:t xml:space="preserve"> Ogólne zasady kontroli jakości robót</w:t>
      </w:r>
      <w:bookmarkEnd w:id="1260"/>
      <w:bookmarkEnd w:id="1261"/>
      <w:bookmarkEnd w:id="1262"/>
      <w:bookmarkEnd w:id="1263"/>
      <w:bookmarkEnd w:id="1264"/>
      <w:bookmarkEnd w:id="1265"/>
      <w:bookmarkEnd w:id="1266"/>
      <w:bookmarkEnd w:id="1267"/>
      <w:bookmarkEnd w:id="1268"/>
    </w:p>
    <w:p w:rsidR="00AD54A3" w:rsidRPr="00CA4A9E" w:rsidRDefault="00AD54A3" w:rsidP="00AD54A3">
      <w:pPr>
        <w:rPr>
          <w:rFonts w:ascii="Calibri" w:hAnsi="Calibri" w:cs="Calibri"/>
        </w:rPr>
      </w:pPr>
      <w:r w:rsidRPr="00CA4A9E">
        <w:rPr>
          <w:rFonts w:ascii="Calibri" w:hAnsi="Calibri" w:cs="Calibri"/>
        </w:rPr>
        <w:tab/>
        <w:t>Ogólne zasady kontroli jakości robót podano w ST D-M-00.00.00 „Wymagania ogólne” pkt 6.</w:t>
      </w:r>
    </w:p>
    <w:p w:rsidR="00AD54A3" w:rsidRPr="00CA4A9E" w:rsidRDefault="00AD54A3" w:rsidP="00AD54A3">
      <w:pPr>
        <w:rPr>
          <w:rFonts w:ascii="Calibri" w:hAnsi="Calibri" w:cs="Calibri"/>
        </w:rPr>
      </w:pPr>
      <w:bookmarkStart w:id="1269" w:name="_Toc407069685"/>
      <w:bookmarkStart w:id="1270" w:name="_Toc407081650"/>
      <w:bookmarkStart w:id="1271" w:name="_Toc407081793"/>
      <w:bookmarkStart w:id="1272" w:name="_Toc407083449"/>
      <w:bookmarkStart w:id="1273" w:name="_Toc407084283"/>
      <w:bookmarkStart w:id="1274" w:name="_Toc407085402"/>
      <w:bookmarkStart w:id="1275" w:name="_Toc407085545"/>
      <w:bookmarkStart w:id="1276" w:name="_Toc407085688"/>
      <w:bookmarkStart w:id="1277" w:name="_Toc407086136"/>
      <w:r w:rsidRPr="0056541A">
        <w:rPr>
          <w:rFonts w:ascii="Calibri" w:hAnsi="Calibri" w:cs="Calibri"/>
          <w:b/>
        </w:rPr>
        <w:t>6.2.</w:t>
      </w:r>
      <w:r w:rsidRPr="00CA4A9E">
        <w:rPr>
          <w:rFonts w:ascii="Calibri" w:hAnsi="Calibri" w:cs="Calibri"/>
        </w:rPr>
        <w:t xml:space="preserve"> Badania przed przystąpieniem do robót</w:t>
      </w:r>
      <w:bookmarkEnd w:id="1269"/>
      <w:bookmarkEnd w:id="1270"/>
      <w:bookmarkEnd w:id="1271"/>
      <w:bookmarkEnd w:id="1272"/>
      <w:bookmarkEnd w:id="1273"/>
      <w:bookmarkEnd w:id="1274"/>
      <w:bookmarkEnd w:id="1275"/>
      <w:bookmarkEnd w:id="1276"/>
      <w:bookmarkEnd w:id="1277"/>
    </w:p>
    <w:p w:rsidR="00AD54A3" w:rsidRPr="00CA4A9E" w:rsidRDefault="00AD54A3" w:rsidP="00AD54A3">
      <w:pPr>
        <w:rPr>
          <w:rFonts w:ascii="Calibri" w:hAnsi="Calibri" w:cs="Calibri"/>
        </w:rPr>
      </w:pPr>
      <w:r w:rsidRPr="00CA4A9E">
        <w:rPr>
          <w:rFonts w:ascii="Calibri" w:hAnsi="Calibri" w:cs="Calibri"/>
        </w:rPr>
        <w:tab/>
        <w:t>Przed przystąpieniem do robót Wykonawca powinien przeprowadzić próbne skropienie warstwy w celu określenia optymalnych parametrów pracy skrapiarki i określenia wymaganej ilości lepiszcza w zależności od rodzaju i stanu warstwy przewidzianej do skropienia.</w:t>
      </w:r>
    </w:p>
    <w:p w:rsidR="00AD54A3" w:rsidRPr="00CA4A9E" w:rsidRDefault="00AD54A3" w:rsidP="00AD54A3">
      <w:pPr>
        <w:rPr>
          <w:rFonts w:ascii="Calibri" w:hAnsi="Calibri" w:cs="Calibri"/>
        </w:rPr>
      </w:pPr>
      <w:bookmarkStart w:id="1278" w:name="_Toc407069686"/>
      <w:bookmarkStart w:id="1279" w:name="_Toc407081651"/>
      <w:bookmarkStart w:id="1280" w:name="_Toc407081794"/>
      <w:bookmarkStart w:id="1281" w:name="_Toc407083450"/>
      <w:bookmarkStart w:id="1282" w:name="_Toc407084284"/>
      <w:bookmarkStart w:id="1283" w:name="_Toc407085403"/>
      <w:bookmarkStart w:id="1284" w:name="_Toc407085546"/>
      <w:bookmarkStart w:id="1285" w:name="_Toc407085689"/>
      <w:bookmarkStart w:id="1286" w:name="_Toc407086137"/>
      <w:r w:rsidRPr="0056541A">
        <w:rPr>
          <w:rFonts w:ascii="Calibri" w:hAnsi="Calibri" w:cs="Calibri"/>
          <w:b/>
        </w:rPr>
        <w:t>6.3.</w:t>
      </w:r>
      <w:r w:rsidRPr="00CA4A9E">
        <w:rPr>
          <w:rFonts w:ascii="Calibri" w:hAnsi="Calibri" w:cs="Calibri"/>
        </w:rPr>
        <w:t xml:space="preserve"> Badania w czasie robót</w:t>
      </w:r>
      <w:bookmarkEnd w:id="1278"/>
      <w:bookmarkEnd w:id="1279"/>
      <w:bookmarkEnd w:id="1280"/>
      <w:bookmarkEnd w:id="1281"/>
      <w:bookmarkEnd w:id="1282"/>
      <w:bookmarkEnd w:id="1283"/>
      <w:bookmarkEnd w:id="1284"/>
      <w:bookmarkEnd w:id="1285"/>
      <w:bookmarkEnd w:id="1286"/>
    </w:p>
    <w:p w:rsidR="00AD54A3" w:rsidRPr="00CA4A9E" w:rsidRDefault="00AD54A3" w:rsidP="00AD54A3">
      <w:pPr>
        <w:rPr>
          <w:rFonts w:ascii="Calibri" w:hAnsi="Calibri" w:cs="Calibri"/>
        </w:rPr>
      </w:pPr>
      <w:r w:rsidRPr="0056541A">
        <w:rPr>
          <w:rFonts w:ascii="Calibri" w:hAnsi="Calibri" w:cs="Calibri"/>
          <w:b/>
        </w:rPr>
        <w:t>6.3.1.</w:t>
      </w:r>
      <w:r w:rsidRPr="00CA4A9E">
        <w:rPr>
          <w:rFonts w:ascii="Calibri" w:hAnsi="Calibri" w:cs="Calibri"/>
        </w:rPr>
        <w:t xml:space="preserve"> Badania lepiszczy</w:t>
      </w:r>
    </w:p>
    <w:p w:rsidR="00AD54A3" w:rsidRPr="00CA4A9E" w:rsidRDefault="00AD54A3" w:rsidP="00AD54A3">
      <w:pPr>
        <w:rPr>
          <w:rFonts w:ascii="Calibri" w:hAnsi="Calibri" w:cs="Calibri"/>
        </w:rPr>
      </w:pPr>
      <w:r w:rsidRPr="00CA4A9E">
        <w:rPr>
          <w:rFonts w:ascii="Calibri" w:hAnsi="Calibri" w:cs="Calibri"/>
        </w:rPr>
        <w:tab/>
        <w:t>Ocena lepiszczy powinna być oparta na atestach producenta z tym, że Wykonawca powinien kontrolować dla każdej dostawy właściwości lepiszczy podane w tablicy 3.</w:t>
      </w:r>
    </w:p>
    <w:p w:rsidR="00AD54A3" w:rsidRPr="00CA4A9E" w:rsidRDefault="00AD54A3" w:rsidP="00AD54A3">
      <w:pPr>
        <w:rPr>
          <w:rFonts w:ascii="Calibri" w:hAnsi="Calibri" w:cs="Calibri"/>
        </w:rPr>
      </w:pPr>
    </w:p>
    <w:p w:rsidR="00AD54A3" w:rsidRPr="00CA4A9E" w:rsidRDefault="00AD54A3" w:rsidP="00AD54A3">
      <w:pPr>
        <w:ind w:left="709"/>
        <w:rPr>
          <w:rFonts w:ascii="Calibri" w:hAnsi="Calibri" w:cs="Calibri"/>
        </w:rPr>
      </w:pPr>
      <w:r w:rsidRPr="00CA4A9E">
        <w:rPr>
          <w:rFonts w:ascii="Calibri" w:hAnsi="Calibri" w:cs="Calibri"/>
        </w:rPr>
        <w:t>Tablica 3. Właściwości lepiszczy kontrolowane w czasie robót</w:t>
      </w:r>
    </w:p>
    <w:tbl>
      <w:tblPr>
        <w:tblW w:w="0" w:type="auto"/>
        <w:tblInd w:w="779" w:type="dxa"/>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ayout w:type="fixed"/>
        <w:tblCellMar>
          <w:left w:w="70" w:type="dxa"/>
          <w:right w:w="70" w:type="dxa"/>
        </w:tblCellMar>
        <w:tblLook w:val="0000"/>
      </w:tblPr>
      <w:tblGrid>
        <w:gridCol w:w="637"/>
        <w:gridCol w:w="2977"/>
        <w:gridCol w:w="1947"/>
        <w:gridCol w:w="1947"/>
      </w:tblGrid>
      <w:tr w:rsidR="00AD54A3" w:rsidRPr="00CA4A9E" w:rsidTr="00FD47C7">
        <w:tc>
          <w:tcPr>
            <w:tcW w:w="637" w:type="dxa"/>
            <w:tcBorders>
              <w:bottom w:val="double" w:sz="6" w:space="0" w:color="auto"/>
            </w:tcBorders>
          </w:tcPr>
          <w:p w:rsidR="00AD54A3" w:rsidRPr="00CA4A9E" w:rsidRDefault="00AD54A3" w:rsidP="00FD47C7">
            <w:pPr>
              <w:jc w:val="center"/>
              <w:rPr>
                <w:rFonts w:ascii="Calibri" w:hAnsi="Calibri" w:cs="Calibri"/>
                <w:sz w:val="18"/>
                <w:szCs w:val="18"/>
              </w:rPr>
            </w:pPr>
            <w:r w:rsidRPr="00CA4A9E">
              <w:rPr>
                <w:rFonts w:ascii="Calibri" w:hAnsi="Calibri" w:cs="Calibri"/>
                <w:sz w:val="18"/>
                <w:szCs w:val="18"/>
              </w:rPr>
              <w:t>Lp.</w:t>
            </w:r>
          </w:p>
        </w:tc>
        <w:tc>
          <w:tcPr>
            <w:tcW w:w="2977" w:type="dxa"/>
            <w:tcBorders>
              <w:bottom w:val="double" w:sz="6" w:space="0" w:color="auto"/>
            </w:tcBorders>
          </w:tcPr>
          <w:p w:rsidR="00AD54A3" w:rsidRPr="00CA4A9E" w:rsidRDefault="00AD54A3" w:rsidP="00FD47C7">
            <w:pPr>
              <w:jc w:val="center"/>
              <w:rPr>
                <w:rFonts w:ascii="Calibri" w:hAnsi="Calibri" w:cs="Calibri"/>
                <w:sz w:val="18"/>
                <w:szCs w:val="18"/>
              </w:rPr>
            </w:pPr>
            <w:r w:rsidRPr="00CA4A9E">
              <w:rPr>
                <w:rFonts w:ascii="Calibri" w:hAnsi="Calibri" w:cs="Calibri"/>
                <w:sz w:val="18"/>
                <w:szCs w:val="18"/>
              </w:rPr>
              <w:t>Rodzaj lepiszcza</w:t>
            </w:r>
          </w:p>
        </w:tc>
        <w:tc>
          <w:tcPr>
            <w:tcW w:w="1947" w:type="dxa"/>
            <w:tcBorders>
              <w:bottom w:val="double" w:sz="6" w:space="0" w:color="auto"/>
            </w:tcBorders>
          </w:tcPr>
          <w:p w:rsidR="00AD54A3" w:rsidRPr="00CA4A9E" w:rsidRDefault="00AD54A3" w:rsidP="00FD47C7">
            <w:pPr>
              <w:jc w:val="center"/>
              <w:rPr>
                <w:rFonts w:ascii="Calibri" w:hAnsi="Calibri" w:cs="Calibri"/>
                <w:sz w:val="18"/>
                <w:szCs w:val="18"/>
              </w:rPr>
            </w:pPr>
            <w:r w:rsidRPr="00CA4A9E">
              <w:rPr>
                <w:rFonts w:ascii="Calibri" w:hAnsi="Calibri" w:cs="Calibri"/>
                <w:sz w:val="18"/>
                <w:szCs w:val="18"/>
              </w:rPr>
              <w:t>Kontrolowane właściwości</w:t>
            </w:r>
          </w:p>
        </w:tc>
        <w:tc>
          <w:tcPr>
            <w:tcW w:w="1947" w:type="dxa"/>
            <w:tcBorders>
              <w:bottom w:val="double" w:sz="6" w:space="0" w:color="auto"/>
            </w:tcBorders>
          </w:tcPr>
          <w:p w:rsidR="00AD54A3" w:rsidRPr="00CA4A9E" w:rsidRDefault="00AD54A3" w:rsidP="00FD47C7">
            <w:pPr>
              <w:jc w:val="center"/>
              <w:rPr>
                <w:rFonts w:ascii="Calibri" w:hAnsi="Calibri" w:cs="Calibri"/>
                <w:sz w:val="18"/>
                <w:szCs w:val="18"/>
              </w:rPr>
            </w:pPr>
            <w:r w:rsidRPr="00CA4A9E">
              <w:rPr>
                <w:rFonts w:ascii="Calibri" w:hAnsi="Calibri" w:cs="Calibri"/>
                <w:sz w:val="18"/>
                <w:szCs w:val="18"/>
              </w:rPr>
              <w:t>Badanie</w:t>
            </w:r>
          </w:p>
          <w:p w:rsidR="00AD54A3" w:rsidRPr="00CA4A9E" w:rsidRDefault="00AD54A3" w:rsidP="00FD47C7">
            <w:pPr>
              <w:jc w:val="center"/>
              <w:rPr>
                <w:rFonts w:ascii="Calibri" w:hAnsi="Calibri" w:cs="Calibri"/>
                <w:sz w:val="18"/>
                <w:szCs w:val="18"/>
              </w:rPr>
            </w:pPr>
            <w:r w:rsidRPr="00CA4A9E">
              <w:rPr>
                <w:rFonts w:ascii="Calibri" w:hAnsi="Calibri" w:cs="Calibri"/>
                <w:sz w:val="18"/>
                <w:szCs w:val="18"/>
              </w:rPr>
              <w:t>według normy</w:t>
            </w:r>
          </w:p>
        </w:tc>
      </w:tr>
      <w:tr w:rsidR="00AD54A3" w:rsidRPr="00CA4A9E" w:rsidTr="00FD47C7">
        <w:tc>
          <w:tcPr>
            <w:tcW w:w="637" w:type="dxa"/>
            <w:tcBorders>
              <w:top w:val="nil"/>
            </w:tcBorders>
          </w:tcPr>
          <w:p w:rsidR="00AD54A3" w:rsidRPr="00CA4A9E" w:rsidRDefault="00AD54A3" w:rsidP="00FD47C7">
            <w:pPr>
              <w:jc w:val="center"/>
              <w:rPr>
                <w:rFonts w:ascii="Calibri" w:hAnsi="Calibri" w:cs="Calibri"/>
                <w:sz w:val="18"/>
                <w:szCs w:val="18"/>
              </w:rPr>
            </w:pPr>
            <w:r w:rsidRPr="00CA4A9E">
              <w:rPr>
                <w:rFonts w:ascii="Calibri" w:hAnsi="Calibri" w:cs="Calibri"/>
                <w:sz w:val="18"/>
                <w:szCs w:val="18"/>
              </w:rPr>
              <w:t>1</w:t>
            </w:r>
          </w:p>
          <w:p w:rsidR="00AD54A3" w:rsidRPr="00CA4A9E" w:rsidRDefault="00AD54A3" w:rsidP="00FD47C7">
            <w:pPr>
              <w:jc w:val="center"/>
              <w:rPr>
                <w:rFonts w:ascii="Calibri" w:hAnsi="Calibri" w:cs="Calibri"/>
                <w:sz w:val="18"/>
                <w:szCs w:val="18"/>
              </w:rPr>
            </w:pPr>
            <w:r w:rsidRPr="00CA4A9E">
              <w:rPr>
                <w:rFonts w:ascii="Calibri" w:hAnsi="Calibri" w:cs="Calibri"/>
                <w:sz w:val="18"/>
                <w:szCs w:val="18"/>
              </w:rPr>
              <w:t>2</w:t>
            </w:r>
          </w:p>
        </w:tc>
        <w:tc>
          <w:tcPr>
            <w:tcW w:w="2977" w:type="dxa"/>
            <w:tcBorders>
              <w:top w:val="nil"/>
            </w:tcBorders>
          </w:tcPr>
          <w:p w:rsidR="00AD54A3" w:rsidRPr="00CA4A9E" w:rsidRDefault="00AD54A3" w:rsidP="00FD47C7">
            <w:pPr>
              <w:jc w:val="center"/>
              <w:rPr>
                <w:rFonts w:ascii="Calibri" w:hAnsi="Calibri" w:cs="Calibri"/>
                <w:sz w:val="18"/>
                <w:szCs w:val="18"/>
              </w:rPr>
            </w:pPr>
            <w:r w:rsidRPr="00CA4A9E">
              <w:rPr>
                <w:rFonts w:ascii="Calibri" w:hAnsi="Calibri" w:cs="Calibri"/>
                <w:sz w:val="18"/>
                <w:szCs w:val="18"/>
              </w:rPr>
              <w:t>Emulsja asfaltowa kationowa</w:t>
            </w:r>
          </w:p>
          <w:p w:rsidR="00AD54A3" w:rsidRPr="00CA4A9E" w:rsidRDefault="00AD54A3" w:rsidP="00FD47C7">
            <w:pPr>
              <w:jc w:val="center"/>
              <w:rPr>
                <w:rFonts w:ascii="Calibri" w:hAnsi="Calibri" w:cs="Calibri"/>
                <w:sz w:val="18"/>
                <w:szCs w:val="18"/>
              </w:rPr>
            </w:pPr>
            <w:r w:rsidRPr="00CA4A9E">
              <w:rPr>
                <w:rFonts w:ascii="Calibri" w:hAnsi="Calibri" w:cs="Calibri"/>
                <w:sz w:val="18"/>
                <w:szCs w:val="18"/>
              </w:rPr>
              <w:t>Asfalt drogowy</w:t>
            </w:r>
          </w:p>
        </w:tc>
        <w:tc>
          <w:tcPr>
            <w:tcW w:w="1947" w:type="dxa"/>
            <w:tcBorders>
              <w:top w:val="nil"/>
            </w:tcBorders>
          </w:tcPr>
          <w:p w:rsidR="00AD54A3" w:rsidRPr="00CA4A9E" w:rsidRDefault="00AD54A3" w:rsidP="00FD47C7">
            <w:pPr>
              <w:jc w:val="center"/>
              <w:rPr>
                <w:rFonts w:ascii="Calibri" w:hAnsi="Calibri" w:cs="Calibri"/>
                <w:sz w:val="18"/>
                <w:szCs w:val="18"/>
              </w:rPr>
            </w:pPr>
            <w:r w:rsidRPr="00CA4A9E">
              <w:rPr>
                <w:rFonts w:ascii="Calibri" w:hAnsi="Calibri" w:cs="Calibri"/>
                <w:sz w:val="18"/>
                <w:szCs w:val="18"/>
              </w:rPr>
              <w:t>lepkość</w:t>
            </w:r>
          </w:p>
          <w:p w:rsidR="00AD54A3" w:rsidRPr="00CA4A9E" w:rsidRDefault="00AD54A3" w:rsidP="00FD47C7">
            <w:pPr>
              <w:jc w:val="center"/>
              <w:rPr>
                <w:rFonts w:ascii="Calibri" w:hAnsi="Calibri" w:cs="Calibri"/>
                <w:sz w:val="18"/>
                <w:szCs w:val="18"/>
              </w:rPr>
            </w:pPr>
            <w:r w:rsidRPr="00CA4A9E">
              <w:rPr>
                <w:rFonts w:ascii="Calibri" w:hAnsi="Calibri" w:cs="Calibri"/>
                <w:sz w:val="18"/>
                <w:szCs w:val="18"/>
              </w:rPr>
              <w:t>penetracja</w:t>
            </w:r>
          </w:p>
        </w:tc>
        <w:tc>
          <w:tcPr>
            <w:tcW w:w="1947" w:type="dxa"/>
            <w:tcBorders>
              <w:top w:val="nil"/>
            </w:tcBorders>
          </w:tcPr>
          <w:p w:rsidR="00AD54A3" w:rsidRPr="00CA4A9E" w:rsidRDefault="00AD54A3" w:rsidP="00FD47C7">
            <w:pPr>
              <w:jc w:val="center"/>
              <w:rPr>
                <w:rFonts w:ascii="Calibri" w:hAnsi="Calibri" w:cs="Calibri"/>
                <w:sz w:val="18"/>
                <w:szCs w:val="18"/>
              </w:rPr>
            </w:pPr>
            <w:r w:rsidRPr="00CA4A9E">
              <w:rPr>
                <w:rFonts w:ascii="Calibri" w:hAnsi="Calibri" w:cs="Calibri"/>
                <w:sz w:val="18"/>
                <w:szCs w:val="18"/>
              </w:rPr>
              <w:t>EmA-94</w:t>
            </w:r>
          </w:p>
          <w:p w:rsidR="00AD54A3" w:rsidRPr="00CA4A9E" w:rsidRDefault="00AD54A3" w:rsidP="00FD47C7">
            <w:pPr>
              <w:jc w:val="center"/>
              <w:rPr>
                <w:rFonts w:ascii="Calibri" w:hAnsi="Calibri" w:cs="Calibri"/>
                <w:sz w:val="18"/>
                <w:szCs w:val="18"/>
              </w:rPr>
            </w:pPr>
            <w:r w:rsidRPr="00CA4A9E">
              <w:rPr>
                <w:rFonts w:ascii="Calibri" w:hAnsi="Calibri" w:cs="Calibri"/>
                <w:sz w:val="18"/>
                <w:szCs w:val="18"/>
              </w:rPr>
              <w:t>PN-C-04134</w:t>
            </w:r>
          </w:p>
        </w:tc>
      </w:tr>
    </w:tbl>
    <w:p w:rsidR="00AD54A3" w:rsidRPr="00CA4A9E" w:rsidRDefault="00AD54A3" w:rsidP="00AD54A3">
      <w:pPr>
        <w:rPr>
          <w:rFonts w:ascii="Calibri" w:hAnsi="Calibri" w:cs="Calibri"/>
        </w:rPr>
      </w:pPr>
    </w:p>
    <w:p w:rsidR="00AD54A3" w:rsidRPr="00CA4A9E" w:rsidRDefault="00AD54A3" w:rsidP="00AD54A3">
      <w:pPr>
        <w:rPr>
          <w:rFonts w:ascii="Calibri" w:hAnsi="Calibri" w:cs="Calibri"/>
        </w:rPr>
      </w:pPr>
      <w:r w:rsidRPr="00CA4A9E">
        <w:rPr>
          <w:rFonts w:ascii="Calibri" w:hAnsi="Calibri" w:cs="Calibri"/>
          <w:b/>
        </w:rPr>
        <w:t>6.3.2.</w:t>
      </w:r>
      <w:r w:rsidRPr="00CA4A9E">
        <w:rPr>
          <w:rFonts w:ascii="Calibri" w:hAnsi="Calibri" w:cs="Calibri"/>
        </w:rPr>
        <w:t xml:space="preserve"> Sprawdzenie jednorodności skropienia i zużycia lepiszcza</w:t>
      </w:r>
    </w:p>
    <w:p w:rsidR="00AD54A3" w:rsidRPr="00CA4A9E" w:rsidRDefault="00AD54A3" w:rsidP="00AD54A3">
      <w:pPr>
        <w:rPr>
          <w:rFonts w:ascii="Calibri" w:hAnsi="Calibri" w:cs="Calibri"/>
        </w:rPr>
      </w:pPr>
      <w:r w:rsidRPr="00CA4A9E">
        <w:rPr>
          <w:rFonts w:ascii="Calibri" w:hAnsi="Calibri" w:cs="Calibri"/>
        </w:rPr>
        <w:tab/>
        <w:t>Należy przeprowadzić kontrolę ilości rozkładanego lepiszcza według metody podanej w opracowaniu „Powierzchniowe utrwalenia. Oznaczanie ilości rozkładanego lepiszcza i kruszywa”.</w:t>
      </w:r>
    </w:p>
    <w:p w:rsidR="00AD54A3" w:rsidRPr="00CA4A9E" w:rsidRDefault="00AD54A3" w:rsidP="00AD54A3">
      <w:pPr>
        <w:rPr>
          <w:rFonts w:ascii="Calibri" w:hAnsi="Calibri" w:cs="Calibri"/>
        </w:rPr>
      </w:pPr>
    </w:p>
    <w:p w:rsidR="00AD54A3" w:rsidRPr="00CA4A9E" w:rsidRDefault="00AD54A3" w:rsidP="00AD54A3">
      <w:pPr>
        <w:rPr>
          <w:rFonts w:ascii="Calibri" w:hAnsi="Calibri" w:cs="Calibri"/>
          <w:b/>
        </w:rPr>
      </w:pPr>
      <w:bookmarkStart w:id="1287" w:name="_Toc407069687"/>
      <w:bookmarkStart w:id="1288" w:name="_Toc407081652"/>
      <w:bookmarkStart w:id="1289" w:name="_Toc407081795"/>
      <w:bookmarkStart w:id="1290" w:name="_Toc407083451"/>
      <w:bookmarkStart w:id="1291" w:name="_Toc407084285"/>
      <w:bookmarkStart w:id="1292" w:name="_Toc407085404"/>
      <w:bookmarkStart w:id="1293" w:name="_Toc407085547"/>
      <w:bookmarkStart w:id="1294" w:name="_Toc407085690"/>
      <w:bookmarkStart w:id="1295" w:name="_Toc407086138"/>
      <w:r w:rsidRPr="00CA4A9E">
        <w:rPr>
          <w:rFonts w:ascii="Calibri" w:hAnsi="Calibri" w:cs="Calibri"/>
          <w:b/>
        </w:rPr>
        <w:t xml:space="preserve">7. </w:t>
      </w:r>
      <w:bookmarkEnd w:id="1287"/>
      <w:bookmarkEnd w:id="1288"/>
      <w:bookmarkEnd w:id="1289"/>
      <w:bookmarkEnd w:id="1290"/>
      <w:bookmarkEnd w:id="1291"/>
      <w:bookmarkEnd w:id="1292"/>
      <w:bookmarkEnd w:id="1293"/>
      <w:bookmarkEnd w:id="1294"/>
      <w:bookmarkEnd w:id="1295"/>
      <w:r w:rsidRPr="00CA4A9E">
        <w:rPr>
          <w:rFonts w:ascii="Calibri" w:hAnsi="Calibri" w:cs="Calibri"/>
          <w:b/>
        </w:rPr>
        <w:t>OBMIAR ROBÓT</w:t>
      </w:r>
    </w:p>
    <w:p w:rsidR="00AD54A3" w:rsidRPr="00CA4A9E" w:rsidRDefault="00AD54A3" w:rsidP="00AD54A3">
      <w:pPr>
        <w:rPr>
          <w:rFonts w:ascii="Calibri" w:hAnsi="Calibri" w:cs="Calibri"/>
        </w:rPr>
      </w:pPr>
      <w:bookmarkStart w:id="1296" w:name="_Toc407069688"/>
      <w:bookmarkStart w:id="1297" w:name="_Toc407081653"/>
      <w:bookmarkStart w:id="1298" w:name="_Toc407081796"/>
      <w:bookmarkStart w:id="1299" w:name="_Toc407083452"/>
      <w:bookmarkStart w:id="1300" w:name="_Toc407084286"/>
      <w:bookmarkStart w:id="1301" w:name="_Toc407085405"/>
      <w:bookmarkStart w:id="1302" w:name="_Toc407085548"/>
      <w:bookmarkStart w:id="1303" w:name="_Toc407085691"/>
      <w:bookmarkStart w:id="1304" w:name="_Toc407086139"/>
      <w:r w:rsidRPr="00CA4A9E">
        <w:rPr>
          <w:rFonts w:ascii="Calibri" w:hAnsi="Calibri" w:cs="Calibri"/>
          <w:b/>
        </w:rPr>
        <w:t>7.1.</w:t>
      </w:r>
      <w:r w:rsidRPr="00CA4A9E">
        <w:rPr>
          <w:rFonts w:ascii="Calibri" w:hAnsi="Calibri" w:cs="Calibri"/>
        </w:rPr>
        <w:t xml:space="preserve"> Ogólne zasady obmiaru robót</w:t>
      </w:r>
      <w:bookmarkEnd w:id="1296"/>
      <w:bookmarkEnd w:id="1297"/>
      <w:bookmarkEnd w:id="1298"/>
      <w:bookmarkEnd w:id="1299"/>
      <w:bookmarkEnd w:id="1300"/>
      <w:bookmarkEnd w:id="1301"/>
      <w:bookmarkEnd w:id="1302"/>
      <w:bookmarkEnd w:id="1303"/>
      <w:bookmarkEnd w:id="1304"/>
    </w:p>
    <w:p w:rsidR="00AD54A3" w:rsidRPr="00CA4A9E" w:rsidRDefault="00AD54A3" w:rsidP="00AD54A3">
      <w:pPr>
        <w:rPr>
          <w:rFonts w:ascii="Calibri" w:hAnsi="Calibri" w:cs="Calibri"/>
        </w:rPr>
      </w:pPr>
      <w:r w:rsidRPr="00CA4A9E">
        <w:rPr>
          <w:rFonts w:ascii="Calibri" w:hAnsi="Calibri" w:cs="Calibri"/>
        </w:rPr>
        <w:tab/>
        <w:t>Ogólne zasady obmiaru robót podano w ST D-M-00.00.00 „Wymagania ogólne” pkt 7.</w:t>
      </w:r>
    </w:p>
    <w:p w:rsidR="00AD54A3" w:rsidRPr="00CA4A9E" w:rsidRDefault="00AD54A3" w:rsidP="00AD54A3">
      <w:pPr>
        <w:rPr>
          <w:rFonts w:ascii="Calibri" w:hAnsi="Calibri" w:cs="Calibri"/>
        </w:rPr>
      </w:pPr>
      <w:bookmarkStart w:id="1305" w:name="_Toc407069689"/>
      <w:bookmarkStart w:id="1306" w:name="_Toc407081654"/>
      <w:bookmarkStart w:id="1307" w:name="_Toc407081797"/>
      <w:bookmarkStart w:id="1308" w:name="_Toc407083453"/>
      <w:bookmarkStart w:id="1309" w:name="_Toc407084287"/>
      <w:bookmarkStart w:id="1310" w:name="_Toc407085406"/>
      <w:bookmarkStart w:id="1311" w:name="_Toc407085549"/>
      <w:bookmarkStart w:id="1312" w:name="_Toc407085692"/>
      <w:bookmarkStart w:id="1313" w:name="_Toc407086140"/>
      <w:r w:rsidRPr="00CA4A9E">
        <w:rPr>
          <w:rFonts w:ascii="Calibri" w:hAnsi="Calibri" w:cs="Calibri"/>
          <w:b/>
        </w:rPr>
        <w:t>7.2.</w:t>
      </w:r>
      <w:r w:rsidRPr="00CA4A9E">
        <w:rPr>
          <w:rFonts w:ascii="Calibri" w:hAnsi="Calibri" w:cs="Calibri"/>
        </w:rPr>
        <w:t xml:space="preserve"> Jednostka obmiarowa</w:t>
      </w:r>
      <w:bookmarkEnd w:id="1305"/>
      <w:bookmarkEnd w:id="1306"/>
      <w:bookmarkEnd w:id="1307"/>
      <w:bookmarkEnd w:id="1308"/>
      <w:bookmarkEnd w:id="1309"/>
      <w:bookmarkEnd w:id="1310"/>
      <w:bookmarkEnd w:id="1311"/>
      <w:bookmarkEnd w:id="1312"/>
      <w:bookmarkEnd w:id="1313"/>
    </w:p>
    <w:p w:rsidR="00AD54A3" w:rsidRPr="00CA4A9E" w:rsidRDefault="00AD54A3" w:rsidP="00AD54A3">
      <w:pPr>
        <w:rPr>
          <w:rFonts w:ascii="Calibri" w:hAnsi="Calibri" w:cs="Calibri"/>
        </w:rPr>
      </w:pPr>
      <w:r w:rsidRPr="00CA4A9E">
        <w:rPr>
          <w:rFonts w:ascii="Calibri" w:hAnsi="Calibri" w:cs="Calibri"/>
        </w:rPr>
        <w:tab/>
        <w:t>Jednostką obmiarową jest:</w:t>
      </w:r>
    </w:p>
    <w:p w:rsidR="00AD54A3" w:rsidRPr="00CA4A9E" w:rsidRDefault="00AD54A3" w:rsidP="00AD54A3">
      <w:pPr>
        <w:rPr>
          <w:rFonts w:ascii="Calibri" w:hAnsi="Calibri" w:cs="Calibri"/>
        </w:rPr>
      </w:pPr>
      <w:r w:rsidRPr="00CA4A9E">
        <w:rPr>
          <w:rFonts w:ascii="Calibri" w:hAnsi="Calibri" w:cs="Calibri"/>
        </w:rPr>
        <w:t>- 1 m2 (metr kwadratowy) oczyszczonej powierzchni,</w:t>
      </w:r>
    </w:p>
    <w:p w:rsidR="00AD54A3" w:rsidRPr="00CA4A9E" w:rsidRDefault="00AD54A3" w:rsidP="00AD54A3">
      <w:pPr>
        <w:rPr>
          <w:rFonts w:ascii="Calibri" w:hAnsi="Calibri" w:cs="Calibri"/>
        </w:rPr>
      </w:pPr>
      <w:r w:rsidRPr="00CA4A9E">
        <w:rPr>
          <w:rFonts w:ascii="Calibri" w:hAnsi="Calibri" w:cs="Calibri"/>
        </w:rPr>
        <w:t>- 1 m2 (metr kwadratowy) powierzchni skropionej.</w:t>
      </w:r>
    </w:p>
    <w:p w:rsidR="00AD54A3" w:rsidRPr="00CA4A9E" w:rsidRDefault="00AD54A3" w:rsidP="00AD54A3">
      <w:pPr>
        <w:rPr>
          <w:rFonts w:ascii="Calibri" w:hAnsi="Calibri" w:cs="Calibri"/>
        </w:rPr>
      </w:pPr>
    </w:p>
    <w:p w:rsidR="00AD54A3" w:rsidRPr="00CA4A9E" w:rsidRDefault="00AD54A3" w:rsidP="00AD54A3">
      <w:pPr>
        <w:rPr>
          <w:rFonts w:ascii="Calibri" w:hAnsi="Calibri" w:cs="Calibri"/>
          <w:b/>
        </w:rPr>
      </w:pPr>
      <w:bookmarkStart w:id="1314" w:name="_Toc407069690"/>
      <w:bookmarkStart w:id="1315" w:name="_Toc407081655"/>
      <w:bookmarkStart w:id="1316" w:name="_Toc407081798"/>
      <w:bookmarkStart w:id="1317" w:name="_Toc407083454"/>
      <w:bookmarkStart w:id="1318" w:name="_Toc407084288"/>
      <w:bookmarkStart w:id="1319" w:name="_Toc407085407"/>
      <w:bookmarkStart w:id="1320" w:name="_Toc407085550"/>
      <w:bookmarkStart w:id="1321" w:name="_Toc407085693"/>
      <w:bookmarkStart w:id="1322" w:name="_Toc407086141"/>
      <w:r w:rsidRPr="00CA4A9E">
        <w:rPr>
          <w:rFonts w:ascii="Calibri" w:hAnsi="Calibri" w:cs="Calibri"/>
          <w:b/>
        </w:rPr>
        <w:t xml:space="preserve">8. </w:t>
      </w:r>
      <w:bookmarkEnd w:id="1314"/>
      <w:bookmarkEnd w:id="1315"/>
      <w:bookmarkEnd w:id="1316"/>
      <w:bookmarkEnd w:id="1317"/>
      <w:bookmarkEnd w:id="1318"/>
      <w:bookmarkEnd w:id="1319"/>
      <w:bookmarkEnd w:id="1320"/>
      <w:bookmarkEnd w:id="1321"/>
      <w:bookmarkEnd w:id="1322"/>
      <w:r w:rsidRPr="00CA4A9E">
        <w:rPr>
          <w:rFonts w:ascii="Calibri" w:hAnsi="Calibri" w:cs="Calibri"/>
          <w:b/>
        </w:rPr>
        <w:t>ODBIÓR ROBÓT</w:t>
      </w:r>
    </w:p>
    <w:p w:rsidR="00AD54A3" w:rsidRPr="00CA4A9E" w:rsidRDefault="00AD54A3" w:rsidP="00AD54A3">
      <w:pPr>
        <w:rPr>
          <w:rFonts w:ascii="Calibri" w:hAnsi="Calibri" w:cs="Calibri"/>
        </w:rPr>
      </w:pPr>
      <w:r w:rsidRPr="00CA4A9E">
        <w:rPr>
          <w:rFonts w:ascii="Calibri" w:hAnsi="Calibri" w:cs="Calibri"/>
        </w:rPr>
        <w:tab/>
        <w:t>Ogólne zasady odbioru robót podano w ST D-M-00.00.00 „Wymagania ogólne” pkt 8.</w:t>
      </w:r>
    </w:p>
    <w:p w:rsidR="00AD54A3" w:rsidRPr="00CA4A9E" w:rsidRDefault="00AD54A3" w:rsidP="00AD54A3">
      <w:pPr>
        <w:rPr>
          <w:rFonts w:ascii="Calibri" w:hAnsi="Calibri" w:cs="Calibri"/>
        </w:rPr>
      </w:pPr>
      <w:r w:rsidRPr="00CA4A9E">
        <w:rPr>
          <w:rFonts w:ascii="Calibri" w:hAnsi="Calibri" w:cs="Calibri"/>
        </w:rPr>
        <w:tab/>
        <w:t>Roboty uznaje się za wykonane zgodnie z dokumentacją projektową, ST i wymaganiami Inżyniera, jeżeli wszystkie pomiary i badania z zachowaniem tolerancji wg pkt 6 dały wyniki pozytywne.</w:t>
      </w:r>
    </w:p>
    <w:p w:rsidR="00AD54A3" w:rsidRPr="00CA4A9E" w:rsidRDefault="00AD54A3" w:rsidP="00AD54A3">
      <w:pPr>
        <w:rPr>
          <w:rFonts w:ascii="Calibri" w:hAnsi="Calibri" w:cs="Calibri"/>
        </w:rPr>
      </w:pPr>
    </w:p>
    <w:p w:rsidR="00AD54A3" w:rsidRPr="00CA4A9E" w:rsidRDefault="00AD54A3" w:rsidP="00AD54A3">
      <w:pPr>
        <w:rPr>
          <w:rFonts w:ascii="Calibri" w:hAnsi="Calibri" w:cs="Calibri"/>
          <w:b/>
        </w:rPr>
      </w:pPr>
      <w:bookmarkStart w:id="1323" w:name="_Toc407069691"/>
      <w:bookmarkStart w:id="1324" w:name="_Toc407081656"/>
      <w:bookmarkStart w:id="1325" w:name="_Toc407081799"/>
      <w:bookmarkStart w:id="1326" w:name="_Toc407083455"/>
      <w:bookmarkStart w:id="1327" w:name="_Toc407084289"/>
      <w:bookmarkStart w:id="1328" w:name="_Toc407085408"/>
      <w:bookmarkStart w:id="1329" w:name="_Toc407085551"/>
      <w:bookmarkStart w:id="1330" w:name="_Toc407085694"/>
      <w:bookmarkStart w:id="1331" w:name="_Toc407086142"/>
      <w:r w:rsidRPr="00CA4A9E">
        <w:rPr>
          <w:rFonts w:ascii="Calibri" w:hAnsi="Calibri" w:cs="Calibri"/>
          <w:b/>
        </w:rPr>
        <w:t xml:space="preserve">9. </w:t>
      </w:r>
      <w:bookmarkEnd w:id="1323"/>
      <w:bookmarkEnd w:id="1324"/>
      <w:bookmarkEnd w:id="1325"/>
      <w:bookmarkEnd w:id="1326"/>
      <w:bookmarkEnd w:id="1327"/>
      <w:bookmarkEnd w:id="1328"/>
      <w:bookmarkEnd w:id="1329"/>
      <w:bookmarkEnd w:id="1330"/>
      <w:bookmarkEnd w:id="1331"/>
      <w:r w:rsidRPr="00CA4A9E">
        <w:rPr>
          <w:rFonts w:ascii="Calibri" w:hAnsi="Calibri" w:cs="Calibri"/>
          <w:b/>
        </w:rPr>
        <w:t>PODSTAWA PŁATNOŚCI</w:t>
      </w:r>
    </w:p>
    <w:p w:rsidR="00AD54A3" w:rsidRPr="00CA4A9E" w:rsidRDefault="00AD54A3" w:rsidP="00AD54A3">
      <w:pPr>
        <w:rPr>
          <w:rFonts w:ascii="Calibri" w:hAnsi="Calibri" w:cs="Calibri"/>
        </w:rPr>
      </w:pPr>
      <w:bookmarkStart w:id="1332" w:name="_Toc407069692"/>
      <w:bookmarkStart w:id="1333" w:name="_Toc407081657"/>
      <w:bookmarkStart w:id="1334" w:name="_Toc407081800"/>
      <w:bookmarkStart w:id="1335" w:name="_Toc407083456"/>
      <w:bookmarkStart w:id="1336" w:name="_Toc407084290"/>
      <w:bookmarkStart w:id="1337" w:name="_Toc407085409"/>
      <w:bookmarkStart w:id="1338" w:name="_Toc407085552"/>
      <w:bookmarkStart w:id="1339" w:name="_Toc407085695"/>
      <w:bookmarkStart w:id="1340" w:name="_Toc407086143"/>
      <w:r w:rsidRPr="00CA4A9E">
        <w:rPr>
          <w:rFonts w:ascii="Calibri" w:hAnsi="Calibri" w:cs="Calibri"/>
          <w:b/>
        </w:rPr>
        <w:t>9.1.</w:t>
      </w:r>
      <w:r w:rsidRPr="00CA4A9E">
        <w:rPr>
          <w:rFonts w:ascii="Calibri" w:hAnsi="Calibri" w:cs="Calibri"/>
        </w:rPr>
        <w:t xml:space="preserve"> Ogólne ustalenia dotyczące podstawy płatności</w:t>
      </w:r>
      <w:bookmarkEnd w:id="1332"/>
      <w:bookmarkEnd w:id="1333"/>
      <w:bookmarkEnd w:id="1334"/>
      <w:bookmarkEnd w:id="1335"/>
      <w:bookmarkEnd w:id="1336"/>
      <w:bookmarkEnd w:id="1337"/>
      <w:bookmarkEnd w:id="1338"/>
      <w:bookmarkEnd w:id="1339"/>
      <w:bookmarkEnd w:id="1340"/>
    </w:p>
    <w:p w:rsidR="00AD54A3" w:rsidRPr="00CA4A9E" w:rsidRDefault="00AD54A3" w:rsidP="00AD54A3">
      <w:pPr>
        <w:rPr>
          <w:rFonts w:ascii="Calibri" w:hAnsi="Calibri" w:cs="Calibri"/>
        </w:rPr>
      </w:pPr>
      <w:r w:rsidRPr="00CA4A9E">
        <w:rPr>
          <w:rFonts w:ascii="Calibri" w:hAnsi="Calibri" w:cs="Calibri"/>
        </w:rPr>
        <w:tab/>
        <w:t>Ogólne ustalenia dotyczące podstawy płatności podano w ST D-M-00.00.00 „Wymagania ogólne” pkt 9.</w:t>
      </w:r>
    </w:p>
    <w:p w:rsidR="00AD54A3" w:rsidRPr="00CA4A9E" w:rsidRDefault="00AD54A3" w:rsidP="00AD54A3">
      <w:pPr>
        <w:rPr>
          <w:rFonts w:ascii="Calibri" w:hAnsi="Calibri" w:cs="Calibri"/>
        </w:rPr>
      </w:pPr>
      <w:bookmarkStart w:id="1341" w:name="_Toc407069693"/>
      <w:bookmarkStart w:id="1342" w:name="_Toc407081658"/>
      <w:bookmarkStart w:id="1343" w:name="_Toc407081801"/>
      <w:bookmarkStart w:id="1344" w:name="_Toc407083457"/>
      <w:bookmarkStart w:id="1345" w:name="_Toc407084291"/>
      <w:bookmarkStart w:id="1346" w:name="_Toc407085410"/>
      <w:bookmarkStart w:id="1347" w:name="_Toc407085553"/>
      <w:bookmarkStart w:id="1348" w:name="_Toc407085696"/>
      <w:bookmarkStart w:id="1349" w:name="_Toc407086144"/>
      <w:r w:rsidRPr="00CA4A9E">
        <w:rPr>
          <w:rFonts w:ascii="Calibri" w:hAnsi="Calibri" w:cs="Calibri"/>
          <w:b/>
        </w:rPr>
        <w:t>9.2.</w:t>
      </w:r>
      <w:r w:rsidRPr="00CA4A9E">
        <w:rPr>
          <w:rFonts w:ascii="Calibri" w:hAnsi="Calibri" w:cs="Calibri"/>
        </w:rPr>
        <w:t xml:space="preserve"> Cena jednostki obmiarowej</w:t>
      </w:r>
      <w:bookmarkEnd w:id="1341"/>
      <w:bookmarkEnd w:id="1342"/>
      <w:bookmarkEnd w:id="1343"/>
      <w:bookmarkEnd w:id="1344"/>
      <w:bookmarkEnd w:id="1345"/>
      <w:bookmarkEnd w:id="1346"/>
      <w:bookmarkEnd w:id="1347"/>
      <w:bookmarkEnd w:id="1348"/>
      <w:bookmarkEnd w:id="1349"/>
    </w:p>
    <w:p w:rsidR="00AD54A3" w:rsidRPr="00CA4A9E" w:rsidRDefault="00AD54A3" w:rsidP="00AD54A3">
      <w:pPr>
        <w:rPr>
          <w:rFonts w:ascii="Calibri" w:hAnsi="Calibri" w:cs="Calibri"/>
        </w:rPr>
      </w:pPr>
      <w:r w:rsidRPr="00CA4A9E">
        <w:rPr>
          <w:rFonts w:ascii="Calibri" w:hAnsi="Calibri" w:cs="Calibri"/>
        </w:rPr>
        <w:tab/>
        <w:t>Cena 1 m2  oczyszczenia  warstw konstrukcyjnych obejmuje:</w:t>
      </w:r>
    </w:p>
    <w:p w:rsidR="00AD54A3" w:rsidRPr="00CA4A9E" w:rsidRDefault="00AD54A3" w:rsidP="00AD54A3">
      <w:pPr>
        <w:rPr>
          <w:rFonts w:ascii="Calibri" w:hAnsi="Calibri" w:cs="Calibri"/>
        </w:rPr>
      </w:pPr>
      <w:r>
        <w:rPr>
          <w:rFonts w:ascii="Calibri" w:hAnsi="Calibri" w:cs="Calibri"/>
        </w:rPr>
        <w:t>-</w:t>
      </w:r>
      <w:r w:rsidRPr="00CA4A9E">
        <w:rPr>
          <w:rFonts w:ascii="Calibri" w:hAnsi="Calibri" w:cs="Calibri"/>
        </w:rPr>
        <w:t xml:space="preserve">mechaniczne oczyszczenie każdej niżej położonej warstwy konstrukcyjnej nawierzchni z ewentualnym polewaniem wodą lub użyciem sprężonego powietrza, </w:t>
      </w:r>
    </w:p>
    <w:p w:rsidR="00AD54A3" w:rsidRPr="00CA4A9E" w:rsidRDefault="00AD54A3" w:rsidP="00AD54A3">
      <w:pPr>
        <w:rPr>
          <w:rFonts w:ascii="Calibri" w:hAnsi="Calibri" w:cs="Calibri"/>
        </w:rPr>
      </w:pPr>
      <w:r>
        <w:rPr>
          <w:rFonts w:ascii="Calibri" w:hAnsi="Calibri" w:cs="Calibri"/>
        </w:rPr>
        <w:t>-</w:t>
      </w:r>
      <w:r w:rsidRPr="00CA4A9E">
        <w:rPr>
          <w:rFonts w:ascii="Calibri" w:hAnsi="Calibri" w:cs="Calibri"/>
        </w:rPr>
        <w:t>ręczne odspojenie stwardniałych zanieczyszczeń.</w:t>
      </w:r>
    </w:p>
    <w:p w:rsidR="00054F0C" w:rsidRDefault="00AD54A3" w:rsidP="00AD54A3">
      <w:pPr>
        <w:rPr>
          <w:rFonts w:ascii="Calibri" w:hAnsi="Calibri" w:cs="Calibri"/>
        </w:rPr>
      </w:pPr>
      <w:r w:rsidRPr="00CA4A9E">
        <w:rPr>
          <w:rFonts w:ascii="Calibri" w:hAnsi="Calibri" w:cs="Calibri"/>
        </w:rPr>
        <w:tab/>
      </w:r>
    </w:p>
    <w:p w:rsidR="00AD54A3" w:rsidRPr="00CA4A9E" w:rsidRDefault="00AD54A3" w:rsidP="00054F0C">
      <w:pPr>
        <w:ind w:firstLine="708"/>
        <w:rPr>
          <w:rFonts w:ascii="Calibri" w:hAnsi="Calibri" w:cs="Calibri"/>
        </w:rPr>
      </w:pPr>
      <w:r w:rsidRPr="00CA4A9E">
        <w:rPr>
          <w:rFonts w:ascii="Calibri" w:hAnsi="Calibri" w:cs="Calibri"/>
        </w:rPr>
        <w:lastRenderedPageBreak/>
        <w:t>Cena  1 m2 skropienia warstw konstrukcyjnych obejmuje:</w:t>
      </w:r>
    </w:p>
    <w:p w:rsidR="00AD54A3" w:rsidRPr="00CA4A9E" w:rsidRDefault="00AD54A3" w:rsidP="00AD54A3">
      <w:pPr>
        <w:rPr>
          <w:rFonts w:ascii="Calibri" w:hAnsi="Calibri" w:cs="Calibri"/>
        </w:rPr>
      </w:pPr>
      <w:r>
        <w:rPr>
          <w:rFonts w:ascii="Calibri" w:hAnsi="Calibri" w:cs="Calibri"/>
        </w:rPr>
        <w:t>-</w:t>
      </w:r>
      <w:r w:rsidRPr="00CA4A9E">
        <w:rPr>
          <w:rFonts w:ascii="Calibri" w:hAnsi="Calibri" w:cs="Calibri"/>
        </w:rPr>
        <w:t>dostarczenie lepiszcza i napełnienie nim skrapiarek,</w:t>
      </w:r>
    </w:p>
    <w:p w:rsidR="00AD54A3" w:rsidRPr="00CA4A9E" w:rsidRDefault="00AD54A3" w:rsidP="00AD54A3">
      <w:pPr>
        <w:rPr>
          <w:rFonts w:ascii="Calibri" w:hAnsi="Calibri" w:cs="Calibri"/>
        </w:rPr>
      </w:pPr>
      <w:r>
        <w:rPr>
          <w:rFonts w:ascii="Calibri" w:hAnsi="Calibri" w:cs="Calibri"/>
        </w:rPr>
        <w:t>-</w:t>
      </w:r>
      <w:r w:rsidRPr="00CA4A9E">
        <w:rPr>
          <w:rFonts w:ascii="Calibri" w:hAnsi="Calibri" w:cs="Calibri"/>
        </w:rPr>
        <w:t>podgrzanie lepiszcza  do wymaganej temperatury,</w:t>
      </w:r>
    </w:p>
    <w:p w:rsidR="00AD54A3" w:rsidRPr="00CA4A9E" w:rsidRDefault="00AD54A3" w:rsidP="00AD54A3">
      <w:pPr>
        <w:rPr>
          <w:rFonts w:ascii="Calibri" w:hAnsi="Calibri" w:cs="Calibri"/>
        </w:rPr>
      </w:pPr>
      <w:r>
        <w:rPr>
          <w:rFonts w:ascii="Calibri" w:hAnsi="Calibri" w:cs="Calibri"/>
        </w:rPr>
        <w:t>-</w:t>
      </w:r>
      <w:r w:rsidRPr="00CA4A9E">
        <w:rPr>
          <w:rFonts w:ascii="Calibri" w:hAnsi="Calibri" w:cs="Calibri"/>
        </w:rPr>
        <w:t>skropienie powierzchni warstwy lepiszczem,</w:t>
      </w:r>
    </w:p>
    <w:p w:rsidR="00AD54A3" w:rsidRPr="00CA4A9E" w:rsidRDefault="00AD54A3" w:rsidP="00AD54A3">
      <w:pPr>
        <w:rPr>
          <w:rFonts w:ascii="Calibri" w:hAnsi="Calibri" w:cs="Calibri"/>
        </w:rPr>
      </w:pPr>
      <w:r>
        <w:rPr>
          <w:rFonts w:ascii="Calibri" w:hAnsi="Calibri" w:cs="Calibri"/>
        </w:rPr>
        <w:t>-</w:t>
      </w:r>
      <w:r w:rsidRPr="00CA4A9E">
        <w:rPr>
          <w:rFonts w:ascii="Calibri" w:hAnsi="Calibri" w:cs="Calibri"/>
        </w:rPr>
        <w:t>przeprowadzenie pomiarów i badań laboratoryjnych wymaganych w specyfikacji technicznej.</w:t>
      </w:r>
    </w:p>
    <w:p w:rsidR="00AD54A3" w:rsidRPr="00CA4A9E" w:rsidRDefault="00AD54A3" w:rsidP="00AD54A3">
      <w:pPr>
        <w:rPr>
          <w:rFonts w:ascii="Calibri" w:hAnsi="Calibri" w:cs="Calibri"/>
        </w:rPr>
      </w:pPr>
    </w:p>
    <w:p w:rsidR="00AD54A3" w:rsidRPr="00CA4A9E" w:rsidRDefault="00AD54A3" w:rsidP="00AD54A3">
      <w:pPr>
        <w:rPr>
          <w:rFonts w:ascii="Calibri" w:hAnsi="Calibri" w:cs="Calibri"/>
          <w:b/>
        </w:rPr>
      </w:pPr>
      <w:bookmarkStart w:id="1350" w:name="_Toc407069694"/>
      <w:bookmarkStart w:id="1351" w:name="_Toc407081659"/>
      <w:bookmarkStart w:id="1352" w:name="_Toc407081802"/>
      <w:bookmarkStart w:id="1353" w:name="_Toc407083458"/>
      <w:bookmarkStart w:id="1354" w:name="_Toc407084292"/>
      <w:bookmarkStart w:id="1355" w:name="_Toc407085411"/>
      <w:bookmarkStart w:id="1356" w:name="_Toc407085554"/>
      <w:bookmarkStart w:id="1357" w:name="_Toc407085697"/>
      <w:bookmarkStart w:id="1358" w:name="_Toc407086145"/>
      <w:r w:rsidRPr="00CA4A9E">
        <w:rPr>
          <w:rFonts w:ascii="Calibri" w:hAnsi="Calibri" w:cs="Calibri"/>
          <w:b/>
        </w:rPr>
        <w:t xml:space="preserve">10. </w:t>
      </w:r>
      <w:bookmarkEnd w:id="1350"/>
      <w:bookmarkEnd w:id="1351"/>
      <w:bookmarkEnd w:id="1352"/>
      <w:bookmarkEnd w:id="1353"/>
      <w:bookmarkEnd w:id="1354"/>
      <w:bookmarkEnd w:id="1355"/>
      <w:bookmarkEnd w:id="1356"/>
      <w:bookmarkEnd w:id="1357"/>
      <w:bookmarkEnd w:id="1358"/>
      <w:r w:rsidRPr="00CA4A9E">
        <w:rPr>
          <w:rFonts w:ascii="Calibri" w:hAnsi="Calibri" w:cs="Calibri"/>
          <w:b/>
        </w:rPr>
        <w:t>PRZEPISY ZWIĄZANE</w:t>
      </w:r>
    </w:p>
    <w:p w:rsidR="00AD54A3" w:rsidRPr="00CA4A9E" w:rsidRDefault="00AD54A3" w:rsidP="00AD54A3">
      <w:pPr>
        <w:rPr>
          <w:rFonts w:ascii="Calibri" w:hAnsi="Calibri" w:cs="Calibri"/>
        </w:rPr>
      </w:pPr>
      <w:bookmarkStart w:id="1359" w:name="_Toc407069695"/>
      <w:bookmarkStart w:id="1360" w:name="_Toc407081660"/>
      <w:bookmarkStart w:id="1361" w:name="_Toc407081803"/>
      <w:bookmarkStart w:id="1362" w:name="_Toc407083459"/>
      <w:bookmarkStart w:id="1363" w:name="_Toc407084293"/>
      <w:bookmarkStart w:id="1364" w:name="_Toc407085412"/>
      <w:bookmarkStart w:id="1365" w:name="_Toc407085555"/>
      <w:bookmarkStart w:id="1366" w:name="_Toc407085698"/>
      <w:bookmarkStart w:id="1367" w:name="_Toc407086146"/>
      <w:r w:rsidRPr="00CA4A9E">
        <w:rPr>
          <w:rFonts w:ascii="Calibri" w:hAnsi="Calibri" w:cs="Calibri"/>
          <w:b/>
        </w:rPr>
        <w:t>10.1.</w:t>
      </w:r>
      <w:r w:rsidRPr="00CA4A9E">
        <w:rPr>
          <w:rFonts w:ascii="Calibri" w:hAnsi="Calibri" w:cs="Calibri"/>
        </w:rPr>
        <w:t xml:space="preserve"> Normy</w:t>
      </w:r>
      <w:bookmarkEnd w:id="1359"/>
      <w:bookmarkEnd w:id="1360"/>
      <w:bookmarkEnd w:id="1361"/>
      <w:bookmarkEnd w:id="1362"/>
      <w:bookmarkEnd w:id="1363"/>
      <w:bookmarkEnd w:id="1364"/>
      <w:bookmarkEnd w:id="1365"/>
      <w:bookmarkEnd w:id="1366"/>
      <w:bookmarkEnd w:id="1367"/>
    </w:p>
    <w:tbl>
      <w:tblPr>
        <w:tblW w:w="0" w:type="auto"/>
        <w:tblLayout w:type="fixed"/>
        <w:tblCellMar>
          <w:left w:w="70" w:type="dxa"/>
          <w:right w:w="70" w:type="dxa"/>
        </w:tblCellMar>
        <w:tblLook w:val="0000"/>
      </w:tblPr>
      <w:tblGrid>
        <w:gridCol w:w="496"/>
        <w:gridCol w:w="1984"/>
        <w:gridCol w:w="5030"/>
      </w:tblGrid>
      <w:tr w:rsidR="00AD54A3" w:rsidRPr="00CA4A9E" w:rsidTr="00FD47C7">
        <w:tc>
          <w:tcPr>
            <w:tcW w:w="496" w:type="dxa"/>
          </w:tcPr>
          <w:p w:rsidR="00AD54A3" w:rsidRPr="00CA4A9E" w:rsidRDefault="00AD54A3" w:rsidP="00FD47C7">
            <w:pPr>
              <w:rPr>
                <w:rFonts w:ascii="Calibri" w:hAnsi="Calibri" w:cs="Calibri"/>
              </w:rPr>
            </w:pPr>
            <w:r w:rsidRPr="00CA4A9E">
              <w:rPr>
                <w:rFonts w:ascii="Calibri" w:hAnsi="Calibri" w:cs="Calibri"/>
              </w:rPr>
              <w:t>1.</w:t>
            </w:r>
          </w:p>
        </w:tc>
        <w:tc>
          <w:tcPr>
            <w:tcW w:w="1984" w:type="dxa"/>
          </w:tcPr>
          <w:p w:rsidR="00AD54A3" w:rsidRPr="00CA4A9E" w:rsidRDefault="00AD54A3" w:rsidP="00FD47C7">
            <w:pPr>
              <w:rPr>
                <w:rFonts w:ascii="Calibri" w:hAnsi="Calibri" w:cs="Calibri"/>
              </w:rPr>
            </w:pPr>
            <w:r w:rsidRPr="00CA4A9E">
              <w:rPr>
                <w:rFonts w:ascii="Calibri" w:hAnsi="Calibri" w:cs="Calibri"/>
              </w:rPr>
              <w:t>PN-C-04134</w:t>
            </w:r>
          </w:p>
        </w:tc>
        <w:tc>
          <w:tcPr>
            <w:tcW w:w="5030" w:type="dxa"/>
          </w:tcPr>
          <w:p w:rsidR="00AD54A3" w:rsidRPr="00CA4A9E" w:rsidRDefault="00AD54A3" w:rsidP="00FD47C7">
            <w:pPr>
              <w:rPr>
                <w:rFonts w:ascii="Calibri" w:hAnsi="Calibri" w:cs="Calibri"/>
              </w:rPr>
            </w:pPr>
            <w:r w:rsidRPr="00CA4A9E">
              <w:rPr>
                <w:rFonts w:ascii="Calibri" w:hAnsi="Calibri" w:cs="Calibri"/>
              </w:rPr>
              <w:t>Przetwory naftowe. Pomiar penetracji asfaltów</w:t>
            </w:r>
          </w:p>
        </w:tc>
      </w:tr>
      <w:tr w:rsidR="00AD54A3" w:rsidRPr="00CA4A9E" w:rsidTr="00FD47C7">
        <w:tc>
          <w:tcPr>
            <w:tcW w:w="496" w:type="dxa"/>
          </w:tcPr>
          <w:p w:rsidR="00AD54A3" w:rsidRPr="00CA4A9E" w:rsidRDefault="00AD54A3" w:rsidP="00FD47C7">
            <w:pPr>
              <w:rPr>
                <w:rFonts w:ascii="Calibri" w:hAnsi="Calibri" w:cs="Calibri"/>
              </w:rPr>
            </w:pPr>
            <w:r w:rsidRPr="00CA4A9E">
              <w:rPr>
                <w:rFonts w:ascii="Calibri" w:hAnsi="Calibri" w:cs="Calibri"/>
              </w:rPr>
              <w:t>2.</w:t>
            </w:r>
          </w:p>
        </w:tc>
        <w:tc>
          <w:tcPr>
            <w:tcW w:w="1984" w:type="dxa"/>
          </w:tcPr>
          <w:p w:rsidR="00AD54A3" w:rsidRPr="00CA4A9E" w:rsidRDefault="00AD54A3" w:rsidP="00FD47C7">
            <w:pPr>
              <w:rPr>
                <w:rFonts w:ascii="Calibri" w:hAnsi="Calibri" w:cs="Calibri"/>
              </w:rPr>
            </w:pPr>
            <w:r w:rsidRPr="00CA4A9E">
              <w:rPr>
                <w:rFonts w:ascii="Calibri" w:hAnsi="Calibri" w:cs="Calibri"/>
              </w:rPr>
              <w:t>PN-C-96170</w:t>
            </w:r>
          </w:p>
        </w:tc>
        <w:tc>
          <w:tcPr>
            <w:tcW w:w="5030" w:type="dxa"/>
          </w:tcPr>
          <w:p w:rsidR="00AD54A3" w:rsidRPr="00CA4A9E" w:rsidRDefault="00AD54A3" w:rsidP="00FD47C7">
            <w:pPr>
              <w:rPr>
                <w:rFonts w:ascii="Calibri" w:hAnsi="Calibri" w:cs="Calibri"/>
              </w:rPr>
            </w:pPr>
            <w:r w:rsidRPr="00CA4A9E">
              <w:rPr>
                <w:rFonts w:ascii="Calibri" w:hAnsi="Calibri" w:cs="Calibri"/>
              </w:rPr>
              <w:t>Przetwory naftowe. Asfalty drogowe</w:t>
            </w:r>
          </w:p>
        </w:tc>
      </w:tr>
      <w:tr w:rsidR="00AD54A3" w:rsidRPr="00CA4A9E" w:rsidTr="00FD47C7">
        <w:tc>
          <w:tcPr>
            <w:tcW w:w="496" w:type="dxa"/>
          </w:tcPr>
          <w:p w:rsidR="00AD54A3" w:rsidRPr="00CA4A9E" w:rsidRDefault="00AD54A3" w:rsidP="00FD47C7">
            <w:pPr>
              <w:rPr>
                <w:rFonts w:ascii="Calibri" w:hAnsi="Calibri" w:cs="Calibri"/>
              </w:rPr>
            </w:pPr>
            <w:r w:rsidRPr="00CA4A9E">
              <w:rPr>
                <w:rFonts w:ascii="Calibri" w:hAnsi="Calibri" w:cs="Calibri"/>
              </w:rPr>
              <w:t>3.</w:t>
            </w:r>
          </w:p>
        </w:tc>
        <w:tc>
          <w:tcPr>
            <w:tcW w:w="1984" w:type="dxa"/>
          </w:tcPr>
          <w:p w:rsidR="00AD54A3" w:rsidRPr="00CA4A9E" w:rsidRDefault="00AD54A3" w:rsidP="00FD47C7">
            <w:pPr>
              <w:rPr>
                <w:rFonts w:ascii="Calibri" w:hAnsi="Calibri" w:cs="Calibri"/>
              </w:rPr>
            </w:pPr>
            <w:r w:rsidRPr="00CA4A9E">
              <w:rPr>
                <w:rFonts w:ascii="Calibri" w:hAnsi="Calibri" w:cs="Calibri"/>
              </w:rPr>
              <w:t>PN-C-96173</w:t>
            </w:r>
          </w:p>
        </w:tc>
        <w:tc>
          <w:tcPr>
            <w:tcW w:w="5030" w:type="dxa"/>
          </w:tcPr>
          <w:p w:rsidR="00AD54A3" w:rsidRPr="00CA4A9E" w:rsidRDefault="00AD54A3" w:rsidP="00FD47C7">
            <w:pPr>
              <w:rPr>
                <w:rFonts w:ascii="Calibri" w:hAnsi="Calibri" w:cs="Calibri"/>
              </w:rPr>
            </w:pPr>
            <w:r w:rsidRPr="00CA4A9E">
              <w:rPr>
                <w:rFonts w:ascii="Calibri" w:hAnsi="Calibri" w:cs="Calibri"/>
              </w:rPr>
              <w:t>Przetwory naftowe. Asfalty upłynnione AUN do nawierzchni drogowych</w:t>
            </w:r>
          </w:p>
        </w:tc>
      </w:tr>
    </w:tbl>
    <w:p w:rsidR="00AD54A3" w:rsidRPr="00CA4A9E" w:rsidRDefault="00AD54A3" w:rsidP="00AD54A3">
      <w:pPr>
        <w:rPr>
          <w:rFonts w:ascii="Calibri" w:hAnsi="Calibri" w:cs="Calibri"/>
        </w:rPr>
      </w:pPr>
      <w:bookmarkStart w:id="1368" w:name="_Toc407069696"/>
      <w:bookmarkStart w:id="1369" w:name="_Toc407081661"/>
      <w:bookmarkStart w:id="1370" w:name="_Toc407081804"/>
      <w:bookmarkStart w:id="1371" w:name="_Toc407083460"/>
      <w:bookmarkStart w:id="1372" w:name="_Toc407084294"/>
      <w:bookmarkStart w:id="1373" w:name="_Toc407085413"/>
      <w:bookmarkStart w:id="1374" w:name="_Toc407085556"/>
      <w:bookmarkStart w:id="1375" w:name="_Toc407085699"/>
      <w:bookmarkStart w:id="1376" w:name="_Toc407086147"/>
      <w:r w:rsidRPr="00CA4A9E">
        <w:rPr>
          <w:rFonts w:ascii="Calibri" w:hAnsi="Calibri" w:cs="Calibri"/>
          <w:b/>
        </w:rPr>
        <w:t>10.2.</w:t>
      </w:r>
      <w:r w:rsidRPr="00CA4A9E">
        <w:rPr>
          <w:rFonts w:ascii="Calibri" w:hAnsi="Calibri" w:cs="Calibri"/>
        </w:rPr>
        <w:t xml:space="preserve"> Inne dokumenty</w:t>
      </w:r>
      <w:bookmarkEnd w:id="1368"/>
      <w:bookmarkEnd w:id="1369"/>
      <w:bookmarkEnd w:id="1370"/>
      <w:bookmarkEnd w:id="1371"/>
      <w:bookmarkEnd w:id="1372"/>
      <w:bookmarkEnd w:id="1373"/>
      <w:bookmarkEnd w:id="1374"/>
      <w:bookmarkEnd w:id="1375"/>
      <w:bookmarkEnd w:id="1376"/>
    </w:p>
    <w:p w:rsidR="00AD54A3" w:rsidRPr="00CA4A9E" w:rsidRDefault="00AD54A3" w:rsidP="00AD54A3">
      <w:pPr>
        <w:rPr>
          <w:rFonts w:ascii="Calibri" w:hAnsi="Calibri" w:cs="Calibri"/>
        </w:rPr>
      </w:pPr>
      <w:r w:rsidRPr="00CA4A9E">
        <w:rPr>
          <w:rFonts w:ascii="Calibri" w:hAnsi="Calibri" w:cs="Calibri"/>
        </w:rPr>
        <w:t>4. „Powierzchniowe utrwalenia. Oznaczanie ilości rozkładanego lepiszcza i kruszywa”. Zalecone przez GDDP do stosowania pismem GDDP-5.3a-551/5/92 z dnia 1992-02-03.</w:t>
      </w:r>
    </w:p>
    <w:p w:rsidR="00AD54A3" w:rsidRPr="00CA4A9E" w:rsidRDefault="00AD54A3" w:rsidP="00AD54A3">
      <w:pPr>
        <w:rPr>
          <w:rFonts w:ascii="Calibri" w:hAnsi="Calibri" w:cs="Calibri"/>
        </w:rPr>
      </w:pPr>
      <w:r w:rsidRPr="00CA4A9E">
        <w:rPr>
          <w:rFonts w:ascii="Calibri" w:hAnsi="Calibri" w:cs="Calibri"/>
        </w:rPr>
        <w:t>5. Warunki Techniczne. Drogowe kationowe emulsje asfaltowe EmA-94. IBDiM - 1994 r.</w:t>
      </w:r>
    </w:p>
    <w:p w:rsidR="00AD54A3" w:rsidRPr="00CA4A9E" w:rsidRDefault="00AD54A3" w:rsidP="00AD54A3">
      <w:pPr>
        <w:rPr>
          <w:rFonts w:ascii="Calibri" w:hAnsi="Calibri" w:cs="Calibri"/>
        </w:rPr>
      </w:pPr>
    </w:p>
    <w:p w:rsidR="00AD54A3" w:rsidRPr="00CA4A9E" w:rsidRDefault="00AD54A3" w:rsidP="00AD54A3">
      <w:pPr>
        <w:rPr>
          <w:rFonts w:ascii="Calibri" w:hAnsi="Calibri" w:cs="Calibri"/>
        </w:rPr>
      </w:pPr>
    </w:p>
    <w:p w:rsidR="00AD54A3" w:rsidRPr="00CA4A9E" w:rsidRDefault="00AD54A3" w:rsidP="00AD54A3">
      <w:pPr>
        <w:rPr>
          <w:rFonts w:ascii="Calibri" w:hAnsi="Calibri" w:cs="Calibri"/>
        </w:rPr>
      </w:pPr>
    </w:p>
    <w:p w:rsidR="00AD54A3" w:rsidRPr="00CA4A9E" w:rsidRDefault="00AD54A3" w:rsidP="00AD54A3">
      <w:pPr>
        <w:rPr>
          <w:rFonts w:ascii="Calibri" w:hAnsi="Calibri" w:cs="Calibri"/>
        </w:rPr>
      </w:pPr>
    </w:p>
    <w:p w:rsidR="00AD54A3" w:rsidRPr="00CA4A9E" w:rsidRDefault="00AD54A3" w:rsidP="00AD54A3">
      <w:pPr>
        <w:rPr>
          <w:rFonts w:ascii="Calibri" w:hAnsi="Calibri" w:cs="Calibri"/>
        </w:rPr>
      </w:pPr>
    </w:p>
    <w:p w:rsidR="00AD54A3" w:rsidRPr="00CA4A9E" w:rsidRDefault="00AD54A3" w:rsidP="00AD54A3">
      <w:pPr>
        <w:rPr>
          <w:rFonts w:ascii="Calibri" w:hAnsi="Calibri" w:cs="Calibri"/>
        </w:rPr>
      </w:pPr>
    </w:p>
    <w:p w:rsidR="00AD54A3" w:rsidRPr="00CA4A9E" w:rsidRDefault="00AD54A3" w:rsidP="00AD54A3">
      <w:pPr>
        <w:rPr>
          <w:rFonts w:ascii="Calibri" w:hAnsi="Calibri" w:cs="Calibri"/>
        </w:rPr>
      </w:pPr>
    </w:p>
    <w:p w:rsidR="00AD54A3" w:rsidRPr="00CA4A9E" w:rsidRDefault="00AD54A3" w:rsidP="00AD54A3">
      <w:pPr>
        <w:rPr>
          <w:rFonts w:ascii="Calibri" w:hAnsi="Calibri" w:cs="Calibri"/>
        </w:rPr>
      </w:pPr>
    </w:p>
    <w:p w:rsidR="00AD54A3" w:rsidRPr="00CA4A9E" w:rsidRDefault="00AD54A3" w:rsidP="00AD54A3">
      <w:pPr>
        <w:rPr>
          <w:rFonts w:ascii="Calibri" w:hAnsi="Calibri" w:cs="Calibri"/>
        </w:rPr>
      </w:pPr>
    </w:p>
    <w:p w:rsidR="00AD54A3" w:rsidRPr="00CA4A9E" w:rsidRDefault="00AD54A3" w:rsidP="00AD54A3">
      <w:pPr>
        <w:rPr>
          <w:rFonts w:ascii="Calibri" w:hAnsi="Calibri" w:cs="Calibri"/>
        </w:rPr>
      </w:pPr>
    </w:p>
    <w:p w:rsidR="00AD54A3" w:rsidRPr="00CA4A9E" w:rsidRDefault="00AD54A3" w:rsidP="00AD54A3">
      <w:pPr>
        <w:rPr>
          <w:rFonts w:ascii="Calibri" w:hAnsi="Calibri" w:cs="Calibri"/>
        </w:rPr>
      </w:pPr>
    </w:p>
    <w:p w:rsidR="00AD54A3" w:rsidRPr="00CA4A9E" w:rsidRDefault="00AD54A3" w:rsidP="00AD54A3">
      <w:pPr>
        <w:rPr>
          <w:rFonts w:ascii="Calibri" w:hAnsi="Calibri" w:cs="Calibri"/>
        </w:rPr>
      </w:pPr>
    </w:p>
    <w:p w:rsidR="00AD54A3" w:rsidRPr="00CA4A9E" w:rsidRDefault="00AD54A3" w:rsidP="00AD54A3">
      <w:pPr>
        <w:rPr>
          <w:rFonts w:ascii="Calibri" w:hAnsi="Calibri" w:cs="Calibri"/>
        </w:rPr>
      </w:pPr>
    </w:p>
    <w:p w:rsidR="00AD54A3" w:rsidRPr="00CA4A9E" w:rsidRDefault="00AD54A3" w:rsidP="00AD54A3">
      <w:pPr>
        <w:rPr>
          <w:rFonts w:ascii="Calibri" w:hAnsi="Calibri" w:cs="Calibri"/>
        </w:rPr>
      </w:pPr>
    </w:p>
    <w:p w:rsidR="00AD54A3" w:rsidRPr="00CA4A9E" w:rsidRDefault="00AD54A3" w:rsidP="00AD54A3">
      <w:pPr>
        <w:rPr>
          <w:rFonts w:ascii="Calibri" w:hAnsi="Calibri" w:cs="Calibri"/>
        </w:rPr>
      </w:pPr>
    </w:p>
    <w:p w:rsidR="00AD54A3" w:rsidRPr="00CA4A9E" w:rsidRDefault="00AD54A3" w:rsidP="00AD54A3">
      <w:pPr>
        <w:rPr>
          <w:rFonts w:ascii="Calibri" w:hAnsi="Calibri" w:cs="Calibri"/>
        </w:rPr>
      </w:pPr>
    </w:p>
    <w:p w:rsidR="00AD54A3" w:rsidRPr="00CA4A9E" w:rsidRDefault="00AD54A3" w:rsidP="00AD54A3">
      <w:pPr>
        <w:rPr>
          <w:rFonts w:ascii="Calibri" w:hAnsi="Calibri" w:cs="Calibri"/>
        </w:rPr>
      </w:pPr>
    </w:p>
    <w:p w:rsidR="00AD54A3" w:rsidRPr="00CA4A9E" w:rsidRDefault="00AD54A3" w:rsidP="00AD54A3">
      <w:pPr>
        <w:rPr>
          <w:rFonts w:ascii="Calibri" w:hAnsi="Calibri" w:cs="Calibri"/>
        </w:rPr>
      </w:pPr>
    </w:p>
    <w:p w:rsidR="00AD54A3" w:rsidRPr="00CA4A9E" w:rsidRDefault="00AD54A3" w:rsidP="00AD54A3">
      <w:pPr>
        <w:rPr>
          <w:rFonts w:ascii="Calibri" w:hAnsi="Calibri" w:cs="Calibri"/>
        </w:rPr>
      </w:pPr>
    </w:p>
    <w:p w:rsidR="00AD54A3" w:rsidRPr="00CA4A9E" w:rsidRDefault="00AD54A3" w:rsidP="00AD54A3">
      <w:pPr>
        <w:rPr>
          <w:rFonts w:ascii="Calibri" w:hAnsi="Calibri" w:cs="Calibri"/>
        </w:rPr>
      </w:pPr>
    </w:p>
    <w:p w:rsidR="00AD54A3" w:rsidRPr="00CA4A9E" w:rsidRDefault="00AD54A3" w:rsidP="00AD54A3">
      <w:pPr>
        <w:rPr>
          <w:rFonts w:ascii="Calibri" w:hAnsi="Calibri" w:cs="Calibri"/>
        </w:rPr>
      </w:pPr>
    </w:p>
    <w:p w:rsidR="00AD54A3" w:rsidRPr="00CA4A9E" w:rsidRDefault="00AD54A3" w:rsidP="00AD54A3">
      <w:pPr>
        <w:rPr>
          <w:rFonts w:ascii="Calibri" w:hAnsi="Calibri" w:cs="Calibri"/>
        </w:rPr>
      </w:pPr>
    </w:p>
    <w:p w:rsidR="00AD54A3" w:rsidRPr="00CA4A9E" w:rsidRDefault="00AD54A3" w:rsidP="00AD54A3">
      <w:pPr>
        <w:rPr>
          <w:rFonts w:ascii="Calibri" w:hAnsi="Calibri" w:cs="Calibri"/>
        </w:rPr>
      </w:pPr>
    </w:p>
    <w:p w:rsidR="00AD54A3" w:rsidRPr="00CA4A9E" w:rsidRDefault="00AD54A3" w:rsidP="00AD54A3">
      <w:pPr>
        <w:rPr>
          <w:rFonts w:ascii="Calibri" w:hAnsi="Calibri" w:cs="Calibri"/>
        </w:rPr>
      </w:pPr>
    </w:p>
    <w:p w:rsidR="00AD54A3" w:rsidRPr="00CA4A9E" w:rsidRDefault="00AD54A3" w:rsidP="00AD54A3">
      <w:pPr>
        <w:pStyle w:val="Nagwek1"/>
        <w:rPr>
          <w:rFonts w:ascii="Calibri" w:hAnsi="Calibri" w:cs="Calibri"/>
        </w:rPr>
      </w:pPr>
    </w:p>
    <w:p w:rsidR="00AD54A3" w:rsidRPr="00CA4A9E" w:rsidRDefault="00AD54A3" w:rsidP="00AD54A3">
      <w:pPr>
        <w:pStyle w:val="Nagwek1"/>
        <w:rPr>
          <w:rFonts w:ascii="Calibri" w:hAnsi="Calibri" w:cs="Calibri"/>
        </w:rPr>
      </w:pPr>
    </w:p>
    <w:p w:rsidR="00AD54A3" w:rsidRPr="00CA4A9E" w:rsidRDefault="00AD54A3" w:rsidP="00AD54A3">
      <w:pPr>
        <w:pStyle w:val="Nagwek1"/>
        <w:rPr>
          <w:rFonts w:ascii="Calibri" w:hAnsi="Calibri" w:cs="Calibri"/>
        </w:rPr>
      </w:pPr>
    </w:p>
    <w:p w:rsidR="00AD54A3" w:rsidRPr="00CA4A9E" w:rsidRDefault="00AD54A3" w:rsidP="00AD54A3">
      <w:pPr>
        <w:pStyle w:val="Nagwek1"/>
        <w:rPr>
          <w:rFonts w:ascii="Calibri" w:hAnsi="Calibri" w:cs="Calibri"/>
        </w:rPr>
      </w:pPr>
    </w:p>
    <w:p w:rsidR="00AD54A3" w:rsidRPr="00CA4A9E" w:rsidRDefault="00AD54A3" w:rsidP="00AD54A3">
      <w:pPr>
        <w:pStyle w:val="Nagwek1"/>
        <w:rPr>
          <w:rFonts w:ascii="Calibri" w:hAnsi="Calibri" w:cs="Calibri"/>
        </w:rPr>
      </w:pPr>
    </w:p>
    <w:p w:rsidR="00AD54A3" w:rsidRPr="00CA4A9E" w:rsidRDefault="00AD54A3" w:rsidP="00AD54A3">
      <w:pPr>
        <w:rPr>
          <w:rFonts w:ascii="Calibri" w:hAnsi="Calibri" w:cs="Calibri"/>
        </w:rPr>
      </w:pPr>
    </w:p>
    <w:p w:rsidR="00AD54A3" w:rsidRPr="00CA4A9E" w:rsidRDefault="00AD54A3" w:rsidP="00AD54A3">
      <w:pPr>
        <w:rPr>
          <w:rFonts w:ascii="Calibri" w:hAnsi="Calibri" w:cs="Calibri"/>
        </w:rPr>
      </w:pPr>
    </w:p>
    <w:p w:rsidR="00AD54A3" w:rsidRPr="00CA4A9E" w:rsidRDefault="00AD54A3" w:rsidP="00AD54A3">
      <w:pPr>
        <w:rPr>
          <w:rFonts w:ascii="Calibri" w:hAnsi="Calibri" w:cs="Calibri"/>
        </w:rPr>
      </w:pPr>
    </w:p>
    <w:p w:rsidR="00AD54A3" w:rsidRPr="00CA4A9E" w:rsidRDefault="00AD54A3" w:rsidP="00AD54A3">
      <w:pPr>
        <w:rPr>
          <w:rFonts w:ascii="Calibri" w:hAnsi="Calibri" w:cs="Calibri"/>
        </w:rPr>
      </w:pPr>
    </w:p>
    <w:p w:rsidR="00AD54A3" w:rsidRPr="00CA4A9E" w:rsidRDefault="00AD54A3" w:rsidP="00AD54A3">
      <w:pPr>
        <w:rPr>
          <w:rFonts w:ascii="Calibri" w:hAnsi="Calibri" w:cs="Calibri"/>
        </w:rPr>
      </w:pPr>
    </w:p>
    <w:p w:rsidR="00AD54A3" w:rsidRPr="00CA4A9E" w:rsidRDefault="00AD54A3" w:rsidP="00AD54A3">
      <w:pPr>
        <w:rPr>
          <w:rFonts w:ascii="Calibri" w:hAnsi="Calibri" w:cs="Calibri"/>
        </w:rPr>
      </w:pPr>
    </w:p>
    <w:p w:rsidR="00AD54A3" w:rsidRPr="00CA4A9E" w:rsidRDefault="00AD54A3" w:rsidP="00AD54A3">
      <w:pPr>
        <w:rPr>
          <w:rFonts w:ascii="Calibri" w:hAnsi="Calibri" w:cs="Calibri"/>
        </w:rPr>
      </w:pPr>
    </w:p>
    <w:p w:rsidR="00AD54A3" w:rsidRPr="00CA4A9E" w:rsidRDefault="00AD54A3" w:rsidP="00AD54A3">
      <w:pPr>
        <w:rPr>
          <w:rFonts w:ascii="Calibri" w:hAnsi="Calibri" w:cs="Calibri"/>
        </w:rPr>
      </w:pPr>
    </w:p>
    <w:p w:rsidR="00AD54A3" w:rsidRPr="00CA4A9E" w:rsidRDefault="00AD54A3" w:rsidP="00AD54A3">
      <w:pPr>
        <w:rPr>
          <w:rFonts w:ascii="Calibri" w:hAnsi="Calibri" w:cs="Calibri"/>
        </w:rPr>
      </w:pPr>
    </w:p>
    <w:p w:rsidR="00AD54A3" w:rsidRPr="00CA4A9E" w:rsidRDefault="00AD54A3" w:rsidP="00AD54A3">
      <w:pPr>
        <w:rPr>
          <w:rFonts w:ascii="Calibri" w:hAnsi="Calibri" w:cs="Calibri"/>
        </w:rPr>
      </w:pPr>
    </w:p>
    <w:p w:rsidR="00AD54A3" w:rsidRPr="00CA4A9E" w:rsidRDefault="00AD54A3" w:rsidP="00AD54A3">
      <w:pPr>
        <w:pStyle w:val="Nagwek1"/>
        <w:rPr>
          <w:rFonts w:ascii="Calibri" w:hAnsi="Calibri" w:cs="Calibri"/>
        </w:rPr>
      </w:pPr>
    </w:p>
    <w:p w:rsidR="00AD54A3" w:rsidRDefault="00AD54A3" w:rsidP="00AD54A3">
      <w:pPr>
        <w:pStyle w:val="Nagwek1"/>
        <w:rPr>
          <w:rFonts w:ascii="Calibri" w:hAnsi="Calibri" w:cs="Calibri"/>
        </w:rPr>
      </w:pPr>
    </w:p>
    <w:p w:rsidR="009B4F21" w:rsidRPr="009B4F21" w:rsidRDefault="009B4F21" w:rsidP="009B4F21"/>
    <w:p w:rsidR="00AD54A3" w:rsidRDefault="00AD54A3" w:rsidP="00AD54A3">
      <w:pPr>
        <w:pStyle w:val="Nagwek1"/>
        <w:rPr>
          <w:rFonts w:ascii="Calibri" w:hAnsi="Calibri" w:cs="Calibri"/>
        </w:rPr>
      </w:pPr>
    </w:p>
    <w:p w:rsidR="000C27BF" w:rsidRDefault="000C27BF" w:rsidP="000C27BF"/>
    <w:p w:rsidR="000C27BF" w:rsidRDefault="000C27BF" w:rsidP="000C27BF"/>
    <w:p w:rsidR="000C27BF" w:rsidRDefault="000C27BF" w:rsidP="000C27BF"/>
    <w:p w:rsidR="000C27BF" w:rsidRDefault="000C27BF" w:rsidP="000C27BF"/>
    <w:p w:rsidR="000C27BF" w:rsidRDefault="000C27BF" w:rsidP="000C27BF"/>
    <w:p w:rsidR="000C27BF" w:rsidRPr="000C27BF" w:rsidRDefault="000C27BF" w:rsidP="000C27BF"/>
    <w:p w:rsidR="00DC63C2" w:rsidRDefault="00DC63C2" w:rsidP="00EF7FDC">
      <w:pPr>
        <w:pStyle w:val="Nagwek4"/>
      </w:pPr>
      <w:bookmarkStart w:id="1377" w:name="_Toc404342030"/>
    </w:p>
    <w:p w:rsidR="00AD54A3" w:rsidRPr="00CA4A9E" w:rsidRDefault="00AD54A3" w:rsidP="002B2C83">
      <w:pPr>
        <w:pStyle w:val="Nagwek1"/>
        <w:jc w:val="center"/>
      </w:pPr>
      <w:bookmarkStart w:id="1378" w:name="_Toc438237723"/>
      <w:r w:rsidRPr="00CA4A9E">
        <w:t>D-04.04.00</w:t>
      </w:r>
      <w:r w:rsidR="00DC63C2">
        <w:t xml:space="preserve"> </w:t>
      </w:r>
      <w:r w:rsidRPr="00CA4A9E">
        <w:t xml:space="preserve"> </w:t>
      </w:r>
      <w:r w:rsidR="00DC63C2">
        <w:t xml:space="preserve">PODBUDOWA Z </w:t>
      </w:r>
      <w:r>
        <w:t>KRUSZYW -</w:t>
      </w:r>
      <w:r w:rsidRPr="00CA4A9E">
        <w:t>WYMAGANIA OGÓLNE</w:t>
      </w:r>
      <w:bookmarkEnd w:id="1377"/>
      <w:bookmarkEnd w:id="1378"/>
    </w:p>
    <w:p w:rsidR="00AD54A3" w:rsidRPr="00CA4A9E" w:rsidRDefault="00AD54A3" w:rsidP="00AD54A3">
      <w:pPr>
        <w:rPr>
          <w:rFonts w:ascii="Calibri" w:hAnsi="Calibri" w:cs="Calibri"/>
        </w:rPr>
      </w:pPr>
    </w:p>
    <w:p w:rsidR="00AD54A3" w:rsidRPr="00CA4A9E" w:rsidRDefault="00AD54A3" w:rsidP="00AD54A3">
      <w:pPr>
        <w:rPr>
          <w:rFonts w:ascii="Calibri" w:hAnsi="Calibri" w:cs="Calibri"/>
        </w:rPr>
      </w:pPr>
    </w:p>
    <w:p w:rsidR="00AD54A3" w:rsidRPr="00CA4A9E" w:rsidRDefault="00AD54A3" w:rsidP="00AD54A3">
      <w:pPr>
        <w:rPr>
          <w:rFonts w:ascii="Calibri" w:hAnsi="Calibri" w:cs="Calibri"/>
        </w:rPr>
      </w:pPr>
    </w:p>
    <w:p w:rsidR="00AD54A3" w:rsidRPr="00CA4A9E" w:rsidRDefault="00AD54A3" w:rsidP="00AD54A3">
      <w:pPr>
        <w:rPr>
          <w:rFonts w:ascii="Calibri" w:hAnsi="Calibri" w:cs="Calibri"/>
        </w:rPr>
      </w:pPr>
    </w:p>
    <w:p w:rsidR="00AD54A3" w:rsidRPr="00CA4A9E" w:rsidRDefault="00AD54A3" w:rsidP="00AD54A3">
      <w:pPr>
        <w:rPr>
          <w:rFonts w:ascii="Calibri" w:hAnsi="Calibri" w:cs="Calibri"/>
        </w:rPr>
      </w:pPr>
    </w:p>
    <w:p w:rsidR="00AD54A3" w:rsidRPr="00CA4A9E" w:rsidRDefault="00AD54A3" w:rsidP="00AD54A3">
      <w:pPr>
        <w:rPr>
          <w:rFonts w:ascii="Calibri" w:hAnsi="Calibri" w:cs="Calibri"/>
        </w:rPr>
      </w:pPr>
    </w:p>
    <w:p w:rsidR="00AD54A3" w:rsidRPr="00CA4A9E" w:rsidRDefault="00AD54A3" w:rsidP="00AD54A3">
      <w:pPr>
        <w:rPr>
          <w:rFonts w:ascii="Calibri" w:hAnsi="Calibri" w:cs="Calibri"/>
        </w:rPr>
      </w:pPr>
    </w:p>
    <w:p w:rsidR="00AD54A3" w:rsidRPr="00CA4A9E" w:rsidRDefault="00AD54A3" w:rsidP="00AD54A3">
      <w:pPr>
        <w:rPr>
          <w:rFonts w:ascii="Calibri" w:hAnsi="Calibri" w:cs="Calibri"/>
        </w:rPr>
      </w:pPr>
    </w:p>
    <w:p w:rsidR="00AD54A3" w:rsidRPr="00CA4A9E" w:rsidRDefault="00AD54A3" w:rsidP="00AD54A3">
      <w:pPr>
        <w:rPr>
          <w:rFonts w:ascii="Calibri" w:hAnsi="Calibri" w:cs="Calibri"/>
        </w:rPr>
      </w:pPr>
    </w:p>
    <w:p w:rsidR="00AD54A3" w:rsidRPr="00CA4A9E" w:rsidRDefault="00AD54A3" w:rsidP="00AD54A3">
      <w:pPr>
        <w:rPr>
          <w:rFonts w:ascii="Calibri" w:hAnsi="Calibri" w:cs="Calibri"/>
        </w:rPr>
      </w:pPr>
    </w:p>
    <w:p w:rsidR="00AD54A3" w:rsidRPr="00CA4A9E" w:rsidRDefault="00AD54A3" w:rsidP="00AD54A3">
      <w:pPr>
        <w:rPr>
          <w:rFonts w:ascii="Calibri" w:hAnsi="Calibri" w:cs="Calibri"/>
        </w:rPr>
      </w:pPr>
    </w:p>
    <w:p w:rsidR="00AD54A3" w:rsidRPr="00CA4A9E" w:rsidRDefault="00AD54A3" w:rsidP="00AD54A3">
      <w:pPr>
        <w:rPr>
          <w:rFonts w:ascii="Calibri" w:hAnsi="Calibri" w:cs="Calibri"/>
        </w:rPr>
      </w:pPr>
    </w:p>
    <w:p w:rsidR="00AD54A3" w:rsidRPr="00CA4A9E" w:rsidRDefault="00AD54A3" w:rsidP="00AD54A3">
      <w:pPr>
        <w:rPr>
          <w:rFonts w:ascii="Calibri" w:hAnsi="Calibri" w:cs="Calibri"/>
        </w:rPr>
      </w:pPr>
    </w:p>
    <w:p w:rsidR="00AD54A3" w:rsidRPr="00CA4A9E" w:rsidRDefault="00AD54A3" w:rsidP="00AD54A3">
      <w:pPr>
        <w:rPr>
          <w:rFonts w:ascii="Calibri" w:hAnsi="Calibri" w:cs="Calibri"/>
        </w:rPr>
      </w:pPr>
    </w:p>
    <w:p w:rsidR="00AD54A3" w:rsidRPr="00CA4A9E" w:rsidRDefault="00AD54A3" w:rsidP="00AD54A3">
      <w:pPr>
        <w:rPr>
          <w:rFonts w:ascii="Calibri" w:hAnsi="Calibri" w:cs="Calibri"/>
        </w:rPr>
      </w:pPr>
    </w:p>
    <w:p w:rsidR="00AD54A3" w:rsidRPr="00CA4A9E" w:rsidRDefault="00AD54A3" w:rsidP="00AD54A3">
      <w:pPr>
        <w:rPr>
          <w:rFonts w:ascii="Calibri" w:hAnsi="Calibri" w:cs="Calibri"/>
        </w:rPr>
      </w:pPr>
    </w:p>
    <w:p w:rsidR="00AD54A3" w:rsidRPr="00CA4A9E" w:rsidRDefault="00AD54A3" w:rsidP="00AD54A3">
      <w:pPr>
        <w:rPr>
          <w:rFonts w:ascii="Calibri" w:hAnsi="Calibri" w:cs="Calibri"/>
        </w:rPr>
      </w:pPr>
    </w:p>
    <w:p w:rsidR="00AD54A3" w:rsidRPr="00CA4A9E" w:rsidRDefault="00AD54A3" w:rsidP="00AD54A3">
      <w:pPr>
        <w:rPr>
          <w:rFonts w:ascii="Calibri" w:hAnsi="Calibri" w:cs="Calibri"/>
        </w:rPr>
      </w:pPr>
    </w:p>
    <w:p w:rsidR="00AD54A3" w:rsidRPr="00CA4A9E" w:rsidRDefault="00AD54A3" w:rsidP="00AD54A3">
      <w:pPr>
        <w:rPr>
          <w:rFonts w:ascii="Calibri" w:hAnsi="Calibri" w:cs="Calibri"/>
        </w:rPr>
      </w:pPr>
    </w:p>
    <w:p w:rsidR="00AD54A3" w:rsidRPr="00CA4A9E" w:rsidRDefault="00AD54A3" w:rsidP="00AD54A3">
      <w:pPr>
        <w:rPr>
          <w:rFonts w:ascii="Calibri" w:hAnsi="Calibri" w:cs="Calibri"/>
        </w:rPr>
      </w:pPr>
    </w:p>
    <w:p w:rsidR="00AD54A3" w:rsidRPr="00CA4A9E" w:rsidRDefault="00AD54A3" w:rsidP="00AD54A3">
      <w:pPr>
        <w:rPr>
          <w:rFonts w:ascii="Calibri" w:hAnsi="Calibri" w:cs="Calibri"/>
        </w:rPr>
      </w:pPr>
    </w:p>
    <w:p w:rsidR="00AD54A3" w:rsidRPr="00CA4A9E" w:rsidRDefault="00AD54A3" w:rsidP="00AD54A3">
      <w:pPr>
        <w:rPr>
          <w:rFonts w:ascii="Calibri" w:hAnsi="Calibri" w:cs="Calibri"/>
        </w:rPr>
      </w:pPr>
    </w:p>
    <w:p w:rsidR="00AD54A3" w:rsidRPr="00CA4A9E" w:rsidRDefault="00AD54A3" w:rsidP="00AD54A3">
      <w:pPr>
        <w:rPr>
          <w:rFonts w:ascii="Calibri" w:hAnsi="Calibri" w:cs="Calibri"/>
        </w:rPr>
      </w:pPr>
    </w:p>
    <w:p w:rsidR="00AD54A3" w:rsidRPr="00CA4A9E" w:rsidRDefault="00AD54A3" w:rsidP="00AD54A3">
      <w:pPr>
        <w:rPr>
          <w:rFonts w:ascii="Calibri" w:hAnsi="Calibri" w:cs="Calibri"/>
        </w:rPr>
      </w:pPr>
    </w:p>
    <w:p w:rsidR="00AD54A3" w:rsidRPr="00CA4A9E" w:rsidRDefault="00AD54A3" w:rsidP="00AD54A3">
      <w:pPr>
        <w:rPr>
          <w:rFonts w:ascii="Calibri" w:hAnsi="Calibri" w:cs="Calibri"/>
        </w:rPr>
      </w:pPr>
    </w:p>
    <w:p w:rsidR="00AD54A3" w:rsidRPr="00CA4A9E" w:rsidRDefault="00AD54A3" w:rsidP="00AD54A3">
      <w:pPr>
        <w:rPr>
          <w:rFonts w:ascii="Calibri" w:hAnsi="Calibri" w:cs="Calibri"/>
        </w:rPr>
      </w:pPr>
    </w:p>
    <w:p w:rsidR="00AD54A3" w:rsidRPr="00CA4A9E" w:rsidRDefault="00AD54A3" w:rsidP="00AD54A3">
      <w:pPr>
        <w:rPr>
          <w:rFonts w:ascii="Calibri" w:hAnsi="Calibri" w:cs="Calibri"/>
        </w:rPr>
      </w:pPr>
    </w:p>
    <w:p w:rsidR="00DC63C2" w:rsidRDefault="00DC63C2" w:rsidP="00AD54A3">
      <w:pPr>
        <w:rPr>
          <w:rFonts w:ascii="Calibri" w:hAnsi="Calibri" w:cs="Calibri"/>
          <w:b/>
        </w:rPr>
      </w:pPr>
    </w:p>
    <w:p w:rsidR="009B4F21" w:rsidRDefault="009B4F21" w:rsidP="00AD54A3">
      <w:pPr>
        <w:rPr>
          <w:rFonts w:ascii="Calibri" w:hAnsi="Calibri" w:cs="Calibri"/>
          <w:b/>
        </w:rPr>
      </w:pPr>
    </w:p>
    <w:p w:rsidR="009B4F21" w:rsidRDefault="009B4F21" w:rsidP="00AD54A3">
      <w:pPr>
        <w:rPr>
          <w:rFonts w:ascii="Calibri" w:hAnsi="Calibri" w:cs="Calibri"/>
          <w:b/>
        </w:rPr>
      </w:pPr>
    </w:p>
    <w:p w:rsidR="00DC63C2" w:rsidRDefault="00DC63C2" w:rsidP="00AD54A3">
      <w:pPr>
        <w:rPr>
          <w:rFonts w:ascii="Calibri" w:hAnsi="Calibri" w:cs="Calibri"/>
          <w:b/>
        </w:rPr>
      </w:pPr>
    </w:p>
    <w:p w:rsidR="00DC63C2" w:rsidRDefault="00DC63C2" w:rsidP="00AD54A3">
      <w:pPr>
        <w:rPr>
          <w:rFonts w:ascii="Calibri" w:hAnsi="Calibri" w:cs="Calibri"/>
          <w:b/>
        </w:rPr>
      </w:pPr>
    </w:p>
    <w:p w:rsidR="00DC63C2" w:rsidRDefault="00DC63C2" w:rsidP="00AD54A3">
      <w:pPr>
        <w:rPr>
          <w:rFonts w:ascii="Calibri" w:hAnsi="Calibri" w:cs="Calibri"/>
          <w:b/>
        </w:rPr>
      </w:pPr>
    </w:p>
    <w:p w:rsidR="00DC63C2" w:rsidRDefault="00DC63C2" w:rsidP="00AD54A3">
      <w:pPr>
        <w:rPr>
          <w:rFonts w:ascii="Calibri" w:hAnsi="Calibri" w:cs="Calibri"/>
          <w:b/>
        </w:rPr>
      </w:pPr>
    </w:p>
    <w:p w:rsidR="00DC63C2" w:rsidRDefault="00DC63C2" w:rsidP="00AD54A3">
      <w:pPr>
        <w:rPr>
          <w:rFonts w:ascii="Calibri" w:hAnsi="Calibri" w:cs="Calibri"/>
          <w:b/>
        </w:rPr>
      </w:pPr>
    </w:p>
    <w:p w:rsidR="00DC63C2" w:rsidRDefault="00DC63C2" w:rsidP="00AD54A3">
      <w:pPr>
        <w:rPr>
          <w:rFonts w:ascii="Calibri" w:hAnsi="Calibri" w:cs="Calibri"/>
          <w:b/>
        </w:rPr>
      </w:pPr>
    </w:p>
    <w:p w:rsidR="00DC63C2" w:rsidRDefault="00DC63C2" w:rsidP="00AD54A3">
      <w:pPr>
        <w:rPr>
          <w:rFonts w:ascii="Calibri" w:hAnsi="Calibri" w:cs="Calibri"/>
          <w:b/>
        </w:rPr>
      </w:pPr>
    </w:p>
    <w:p w:rsidR="00F57373" w:rsidRDefault="00F57373" w:rsidP="00AD54A3">
      <w:pPr>
        <w:rPr>
          <w:rFonts w:ascii="Calibri" w:hAnsi="Calibri" w:cs="Calibri"/>
          <w:b/>
        </w:rPr>
      </w:pPr>
    </w:p>
    <w:p w:rsidR="00F57373" w:rsidRDefault="00F57373" w:rsidP="00AD54A3">
      <w:pPr>
        <w:rPr>
          <w:rFonts w:ascii="Calibri" w:hAnsi="Calibri" w:cs="Calibri"/>
          <w:b/>
        </w:rPr>
      </w:pPr>
    </w:p>
    <w:p w:rsidR="00DC63C2" w:rsidRDefault="00DC63C2" w:rsidP="00AD54A3">
      <w:pPr>
        <w:rPr>
          <w:rFonts w:ascii="Calibri" w:hAnsi="Calibri" w:cs="Calibri"/>
          <w:b/>
        </w:rPr>
      </w:pPr>
    </w:p>
    <w:p w:rsidR="00DC63C2" w:rsidRDefault="00DC63C2" w:rsidP="00AD54A3">
      <w:pPr>
        <w:rPr>
          <w:rFonts w:ascii="Calibri" w:hAnsi="Calibri" w:cs="Calibri"/>
          <w:b/>
        </w:rPr>
      </w:pPr>
    </w:p>
    <w:p w:rsidR="00AD54A3" w:rsidRPr="00CA4A9E" w:rsidRDefault="00AD54A3" w:rsidP="00AD54A3">
      <w:pPr>
        <w:rPr>
          <w:rFonts w:ascii="Calibri" w:hAnsi="Calibri" w:cs="Calibri"/>
          <w:b/>
        </w:rPr>
      </w:pPr>
      <w:r w:rsidRPr="00CA4A9E">
        <w:rPr>
          <w:rFonts w:ascii="Calibri" w:hAnsi="Calibri" w:cs="Calibri"/>
          <w:b/>
        </w:rPr>
        <w:lastRenderedPageBreak/>
        <w:t>1. WSTĘP</w:t>
      </w:r>
    </w:p>
    <w:p w:rsidR="00AD54A3" w:rsidRPr="00CA4A9E" w:rsidRDefault="00AD54A3" w:rsidP="00AD54A3">
      <w:pPr>
        <w:rPr>
          <w:rFonts w:ascii="Calibri" w:hAnsi="Calibri" w:cs="Calibri"/>
        </w:rPr>
      </w:pPr>
      <w:r w:rsidRPr="00CA4A9E">
        <w:rPr>
          <w:rFonts w:ascii="Calibri" w:hAnsi="Calibri" w:cs="Calibri"/>
          <w:b/>
        </w:rPr>
        <w:t>1.1.</w:t>
      </w:r>
      <w:r w:rsidRPr="00CA4A9E">
        <w:rPr>
          <w:rFonts w:ascii="Calibri" w:hAnsi="Calibri" w:cs="Calibri"/>
        </w:rPr>
        <w:t xml:space="preserve"> Przedmiot ST</w:t>
      </w:r>
    </w:p>
    <w:p w:rsidR="00AD54A3" w:rsidRPr="00CA4A9E" w:rsidRDefault="00AD54A3" w:rsidP="00AD54A3">
      <w:pPr>
        <w:rPr>
          <w:rFonts w:ascii="Calibri" w:hAnsi="Calibri" w:cs="Calibri"/>
        </w:rPr>
      </w:pPr>
      <w:r w:rsidRPr="00CA4A9E">
        <w:rPr>
          <w:rFonts w:ascii="Calibri" w:hAnsi="Calibri" w:cs="Calibri"/>
        </w:rPr>
        <w:tab/>
        <w:t>Przedmiotem niniejszej specyfikacji technicznej (ST) są wymagania ogólne dotyczące wykonania i odbioru robót związanych z wykonywaniem podbudowy z kruszyw stabilizowanych mechanicznie.</w:t>
      </w:r>
    </w:p>
    <w:p w:rsidR="00AD54A3" w:rsidRPr="00CA4A9E" w:rsidRDefault="00AD54A3" w:rsidP="00AD54A3">
      <w:pPr>
        <w:rPr>
          <w:rFonts w:ascii="Calibri" w:hAnsi="Calibri" w:cs="Calibri"/>
        </w:rPr>
      </w:pPr>
      <w:r w:rsidRPr="00CA4A9E">
        <w:rPr>
          <w:rFonts w:ascii="Calibri" w:hAnsi="Calibri" w:cs="Calibri"/>
          <w:b/>
        </w:rPr>
        <w:t>1.2.</w:t>
      </w:r>
      <w:r w:rsidRPr="00CA4A9E">
        <w:rPr>
          <w:rFonts w:ascii="Calibri" w:hAnsi="Calibri" w:cs="Calibri"/>
        </w:rPr>
        <w:t xml:space="preserve"> Zakres stosowania ST</w:t>
      </w:r>
    </w:p>
    <w:p w:rsidR="00AD54A3" w:rsidRPr="00CA4A9E" w:rsidRDefault="00AD54A3" w:rsidP="00AD54A3">
      <w:pPr>
        <w:rPr>
          <w:rFonts w:ascii="Calibri" w:hAnsi="Calibri" w:cs="Calibri"/>
        </w:rPr>
      </w:pPr>
      <w:r w:rsidRPr="00CA4A9E">
        <w:rPr>
          <w:rFonts w:ascii="Calibri" w:hAnsi="Calibri" w:cs="Calibri"/>
        </w:rPr>
        <w:tab/>
        <w:t>Specyfikacja techniczna określa wymagania dla wykonania i odbioru robót budowlanych przewidzianych do wykonania w ramach umowy a zawarte w niej zapisy w zakresie standardu materiałów, wykonania robót i wymaganej ich jakości oraz kontroli jakości robót należy traktować jako minimalne.</w:t>
      </w:r>
    </w:p>
    <w:p w:rsidR="00AD54A3" w:rsidRPr="00CA4A9E" w:rsidRDefault="00AD54A3" w:rsidP="00AD54A3">
      <w:pPr>
        <w:rPr>
          <w:rFonts w:ascii="Calibri" w:hAnsi="Calibri" w:cs="Calibri"/>
        </w:rPr>
      </w:pPr>
      <w:r w:rsidRPr="00CA4A9E">
        <w:rPr>
          <w:rFonts w:ascii="Calibri" w:hAnsi="Calibri" w:cs="Calibri"/>
          <w:b/>
        </w:rPr>
        <w:t>1.3.</w:t>
      </w:r>
      <w:r w:rsidRPr="00CA4A9E">
        <w:rPr>
          <w:rFonts w:ascii="Calibri" w:hAnsi="Calibri" w:cs="Calibri"/>
        </w:rPr>
        <w:t xml:space="preserve"> Zakres robót objętych ST</w:t>
      </w:r>
    </w:p>
    <w:p w:rsidR="00AD54A3" w:rsidRPr="00CA4A9E" w:rsidRDefault="00AD54A3" w:rsidP="00AD54A3">
      <w:pPr>
        <w:rPr>
          <w:rFonts w:ascii="Calibri" w:hAnsi="Calibri" w:cs="Calibri"/>
        </w:rPr>
      </w:pPr>
      <w:r w:rsidRPr="00CA4A9E">
        <w:rPr>
          <w:rFonts w:ascii="Calibri" w:hAnsi="Calibri" w:cs="Calibri"/>
        </w:rPr>
        <w:tab/>
        <w:t>Ustalenia zawarte w niniejszej specyfikacji dotyczą zasad prowadzenia robót związanych z wykonywaniem podbudów z kruszyw stabilizowanych mechanicznie wg PN-S-06102</w:t>
      </w:r>
      <w:r w:rsidR="00F57373">
        <w:rPr>
          <w:rFonts w:ascii="Calibri" w:hAnsi="Calibri" w:cs="Calibri"/>
        </w:rPr>
        <w:t xml:space="preserve"> </w:t>
      </w:r>
      <w:r w:rsidR="00054F0C" w:rsidRPr="00666F76">
        <w:rPr>
          <w:rFonts w:ascii="Calibri" w:hAnsi="Calibri" w:cs="Calibri"/>
        </w:rPr>
        <w:t>w związku z „</w:t>
      </w:r>
      <w:r w:rsidR="00054F0C" w:rsidRPr="00666F76">
        <w:rPr>
          <w:rFonts w:asciiTheme="minorHAnsi" w:hAnsiTheme="minorHAnsi"/>
        </w:rPr>
        <w:t>Przebudową ul.55 Pułku Piechoty w Lesznie wraz z przebudową oświetlenia”</w:t>
      </w:r>
      <w:r w:rsidR="00054F0C">
        <w:rPr>
          <w:rFonts w:asciiTheme="minorHAnsi" w:hAnsiTheme="minorHAnsi" w:cs="Calibri"/>
        </w:rPr>
        <w:t xml:space="preserve"> </w:t>
      </w:r>
      <w:r w:rsidRPr="00CA4A9E">
        <w:rPr>
          <w:rFonts w:ascii="Calibri" w:hAnsi="Calibri" w:cs="Calibri"/>
        </w:rPr>
        <w:t>i obejmują ST D-04.04.02 podbudowa z kruszywa łamanego stabilizowanego mechanicznie.</w:t>
      </w:r>
    </w:p>
    <w:p w:rsidR="00AD54A3" w:rsidRPr="00CA4A9E" w:rsidRDefault="00AD54A3" w:rsidP="00AD54A3">
      <w:pPr>
        <w:rPr>
          <w:rFonts w:ascii="Calibri" w:hAnsi="Calibri" w:cs="Calibri"/>
        </w:rPr>
      </w:pPr>
      <w:r w:rsidRPr="00CA4A9E">
        <w:rPr>
          <w:rFonts w:ascii="Calibri" w:hAnsi="Calibri" w:cs="Calibri"/>
        </w:rPr>
        <w:tab/>
        <w:t>Podbudowę z kruszyw stabilizowanych mechanicznie wykonuje się, zgodnie z ustaleniami podanymi w dokumentacji projektowej, jako podbudowę pomocniczą i podbudowę zasadniczą wg Katalogu typowych konstrukcji nawierzchni podatnych i półsztywnych.</w:t>
      </w:r>
    </w:p>
    <w:p w:rsidR="00AD54A3" w:rsidRPr="00CA4A9E" w:rsidRDefault="00AD54A3" w:rsidP="00AD54A3">
      <w:pPr>
        <w:rPr>
          <w:rFonts w:ascii="Calibri" w:hAnsi="Calibri" w:cs="Calibri"/>
        </w:rPr>
      </w:pPr>
      <w:r w:rsidRPr="00CA4A9E">
        <w:rPr>
          <w:rFonts w:ascii="Calibri" w:hAnsi="Calibri" w:cs="Calibri"/>
          <w:b/>
        </w:rPr>
        <w:t>1.4.</w:t>
      </w:r>
      <w:r w:rsidRPr="00CA4A9E">
        <w:rPr>
          <w:rFonts w:ascii="Calibri" w:hAnsi="Calibri" w:cs="Calibri"/>
        </w:rPr>
        <w:t xml:space="preserve"> Określenia podstawowe</w:t>
      </w:r>
    </w:p>
    <w:p w:rsidR="00AD54A3" w:rsidRPr="00CA4A9E" w:rsidRDefault="00AD54A3" w:rsidP="00AD54A3">
      <w:pPr>
        <w:rPr>
          <w:rFonts w:ascii="Calibri" w:hAnsi="Calibri" w:cs="Calibri"/>
        </w:rPr>
      </w:pPr>
      <w:r w:rsidRPr="00CA4A9E">
        <w:rPr>
          <w:rFonts w:ascii="Calibri" w:hAnsi="Calibri" w:cs="Calibri"/>
          <w:b/>
        </w:rPr>
        <w:t>1.4.1.</w:t>
      </w:r>
      <w:r>
        <w:rPr>
          <w:rFonts w:ascii="Calibri" w:hAnsi="Calibri" w:cs="Calibri"/>
        </w:rPr>
        <w:t xml:space="preserve"> Stabilizacja mechaniczna -</w:t>
      </w:r>
      <w:r w:rsidRPr="00CA4A9E">
        <w:rPr>
          <w:rFonts w:ascii="Calibri" w:hAnsi="Calibri" w:cs="Calibri"/>
        </w:rPr>
        <w:t>proces technologiczny, polegający na odpowiednim zagęszczeniu w optymalnej wilgotności kruszywa o właściwie dobranym uziarnieniu.</w:t>
      </w:r>
    </w:p>
    <w:p w:rsidR="00AD54A3" w:rsidRPr="00CA4A9E" w:rsidRDefault="00AD54A3" w:rsidP="00AD54A3">
      <w:pPr>
        <w:rPr>
          <w:rFonts w:ascii="Calibri" w:hAnsi="Calibri" w:cs="Calibri"/>
        </w:rPr>
      </w:pPr>
      <w:r w:rsidRPr="00CA4A9E">
        <w:rPr>
          <w:rFonts w:ascii="Calibri" w:hAnsi="Calibri" w:cs="Calibri"/>
          <w:b/>
        </w:rPr>
        <w:t>1.4.2.</w:t>
      </w:r>
      <w:r w:rsidRPr="00CA4A9E">
        <w:rPr>
          <w:rFonts w:ascii="Calibri" w:hAnsi="Calibri" w:cs="Calibri"/>
        </w:rPr>
        <w:t xml:space="preserve"> Pozostałe określenia podstawowe są zgodne z obowiązującymi, odpowiednimi polskimi normami oraz z definicjami podanymi w ST D-M-00.00.00 „Wymagania ogólne” pkt 1.4 oraz w ST D-04.04.02 Podbudowa z kruszywa łamanego stabilizowanego mechanicznie.</w:t>
      </w:r>
    </w:p>
    <w:p w:rsidR="00AD54A3" w:rsidRPr="00CA4A9E" w:rsidRDefault="00AD54A3" w:rsidP="00AD54A3">
      <w:pPr>
        <w:rPr>
          <w:rFonts w:ascii="Calibri" w:hAnsi="Calibri" w:cs="Calibri"/>
        </w:rPr>
      </w:pPr>
      <w:r w:rsidRPr="00CA4A9E">
        <w:rPr>
          <w:rFonts w:ascii="Calibri" w:hAnsi="Calibri" w:cs="Calibri"/>
          <w:b/>
        </w:rPr>
        <w:t>1.5.</w:t>
      </w:r>
      <w:r w:rsidRPr="00CA4A9E">
        <w:rPr>
          <w:rFonts w:ascii="Calibri" w:hAnsi="Calibri" w:cs="Calibri"/>
        </w:rPr>
        <w:t xml:space="preserve"> Ogólne wymagania dotyczące robót</w:t>
      </w:r>
    </w:p>
    <w:p w:rsidR="00AD54A3" w:rsidRPr="00CA4A9E" w:rsidRDefault="00AD54A3" w:rsidP="00AD54A3">
      <w:pPr>
        <w:rPr>
          <w:rFonts w:ascii="Calibri" w:hAnsi="Calibri" w:cs="Calibri"/>
        </w:rPr>
      </w:pPr>
      <w:r w:rsidRPr="00CA4A9E">
        <w:rPr>
          <w:rFonts w:ascii="Calibri" w:hAnsi="Calibri" w:cs="Calibri"/>
        </w:rPr>
        <w:tab/>
        <w:t>Ogólne wymagania dotyczące robót podano w ST D-M-00.00.00 „Wymagania ogólne” pkt 1.5.</w:t>
      </w:r>
    </w:p>
    <w:p w:rsidR="00054F0C" w:rsidRDefault="00054F0C" w:rsidP="00AD54A3">
      <w:pPr>
        <w:rPr>
          <w:rFonts w:ascii="Calibri" w:hAnsi="Calibri" w:cs="Calibri"/>
          <w:b/>
        </w:rPr>
      </w:pPr>
    </w:p>
    <w:p w:rsidR="00AD54A3" w:rsidRPr="00CA4A9E" w:rsidRDefault="00AD54A3" w:rsidP="00AD54A3">
      <w:pPr>
        <w:rPr>
          <w:rFonts w:ascii="Calibri" w:hAnsi="Calibri" w:cs="Calibri"/>
          <w:b/>
        </w:rPr>
      </w:pPr>
      <w:r w:rsidRPr="00CA4A9E">
        <w:rPr>
          <w:rFonts w:ascii="Calibri" w:hAnsi="Calibri" w:cs="Calibri"/>
          <w:b/>
        </w:rPr>
        <w:t>2. MATERIAŁY</w:t>
      </w:r>
    </w:p>
    <w:p w:rsidR="00AD54A3" w:rsidRPr="00CA4A9E" w:rsidRDefault="00AD54A3" w:rsidP="00AD54A3">
      <w:pPr>
        <w:rPr>
          <w:rFonts w:ascii="Calibri" w:hAnsi="Calibri" w:cs="Calibri"/>
        </w:rPr>
      </w:pPr>
      <w:r w:rsidRPr="00CA4A9E">
        <w:rPr>
          <w:rFonts w:ascii="Calibri" w:hAnsi="Calibri" w:cs="Calibri"/>
          <w:b/>
        </w:rPr>
        <w:t>2.1.</w:t>
      </w:r>
      <w:r w:rsidRPr="00CA4A9E">
        <w:rPr>
          <w:rFonts w:ascii="Calibri" w:hAnsi="Calibri" w:cs="Calibri"/>
        </w:rPr>
        <w:t xml:space="preserve"> Ogólne wymagania dotyczące materiałów</w:t>
      </w:r>
    </w:p>
    <w:p w:rsidR="00AD54A3" w:rsidRPr="00CA4A9E" w:rsidRDefault="00AD54A3" w:rsidP="00AD54A3">
      <w:pPr>
        <w:rPr>
          <w:rFonts w:ascii="Calibri" w:hAnsi="Calibri" w:cs="Calibri"/>
        </w:rPr>
      </w:pPr>
      <w:r w:rsidRPr="00CA4A9E">
        <w:rPr>
          <w:rFonts w:ascii="Calibri" w:hAnsi="Calibri" w:cs="Calibri"/>
        </w:rPr>
        <w:tab/>
        <w:t>Ogólne wymagania dotyczące materiałów, ich pozyskiwania i składowania, podano w ST D-M-00.00.00 „Wymagania ogólne” pkt 2.</w:t>
      </w:r>
    </w:p>
    <w:p w:rsidR="00AD54A3" w:rsidRPr="00CA4A9E" w:rsidRDefault="00AD54A3" w:rsidP="00AD54A3">
      <w:pPr>
        <w:rPr>
          <w:rFonts w:ascii="Calibri" w:hAnsi="Calibri" w:cs="Calibri"/>
        </w:rPr>
      </w:pPr>
      <w:r w:rsidRPr="00CA4A9E">
        <w:rPr>
          <w:rFonts w:ascii="Calibri" w:hAnsi="Calibri" w:cs="Calibri"/>
          <w:b/>
        </w:rPr>
        <w:t>2.2.</w:t>
      </w:r>
      <w:r w:rsidRPr="00CA4A9E">
        <w:rPr>
          <w:rFonts w:ascii="Calibri" w:hAnsi="Calibri" w:cs="Calibri"/>
        </w:rPr>
        <w:t xml:space="preserve"> Rodzaje materiałów</w:t>
      </w:r>
    </w:p>
    <w:p w:rsidR="00AD54A3" w:rsidRPr="00CA4A9E" w:rsidRDefault="00AD54A3" w:rsidP="00AD54A3">
      <w:pPr>
        <w:rPr>
          <w:rFonts w:ascii="Calibri" w:hAnsi="Calibri" w:cs="Calibri"/>
        </w:rPr>
      </w:pPr>
      <w:r w:rsidRPr="00CA4A9E">
        <w:rPr>
          <w:rFonts w:ascii="Calibri" w:hAnsi="Calibri" w:cs="Calibri"/>
        </w:rPr>
        <w:tab/>
        <w:t>Materiały stosowane do wykonania podbudów z kruszyw stabilizowanych mechanicznie podano w ST D-04.04.02 Podbudowa z kruszywa łamanego stabilizowanego mechanicznie.</w:t>
      </w:r>
    </w:p>
    <w:p w:rsidR="00AD54A3" w:rsidRPr="00CA4A9E" w:rsidRDefault="00AD54A3" w:rsidP="00AD54A3">
      <w:pPr>
        <w:rPr>
          <w:rFonts w:ascii="Calibri" w:hAnsi="Calibri" w:cs="Calibri"/>
        </w:rPr>
      </w:pPr>
      <w:r w:rsidRPr="00CA4A9E">
        <w:rPr>
          <w:rFonts w:ascii="Calibri" w:hAnsi="Calibri" w:cs="Calibri"/>
          <w:b/>
        </w:rPr>
        <w:t>2.3.</w:t>
      </w:r>
      <w:r w:rsidRPr="00CA4A9E">
        <w:rPr>
          <w:rFonts w:ascii="Calibri" w:hAnsi="Calibri" w:cs="Calibri"/>
        </w:rPr>
        <w:t xml:space="preserve"> Wymagania dla materiałów</w:t>
      </w:r>
    </w:p>
    <w:p w:rsidR="00AD54A3" w:rsidRPr="00CA4A9E" w:rsidRDefault="00AD54A3" w:rsidP="00AD54A3">
      <w:pPr>
        <w:rPr>
          <w:rFonts w:ascii="Calibri" w:hAnsi="Calibri" w:cs="Calibri"/>
        </w:rPr>
      </w:pPr>
      <w:r w:rsidRPr="00CA4A9E">
        <w:rPr>
          <w:rFonts w:ascii="Calibri" w:hAnsi="Calibri" w:cs="Calibri"/>
          <w:b/>
        </w:rPr>
        <w:t>2.3.1.</w:t>
      </w:r>
      <w:r w:rsidRPr="00CA4A9E">
        <w:rPr>
          <w:rFonts w:ascii="Calibri" w:hAnsi="Calibri" w:cs="Calibri"/>
        </w:rPr>
        <w:t xml:space="preserve"> Uziarnienie kruszywa</w:t>
      </w:r>
    </w:p>
    <w:p w:rsidR="00AD54A3" w:rsidRDefault="00AD54A3" w:rsidP="00AD54A3">
      <w:pPr>
        <w:rPr>
          <w:rFonts w:ascii="Calibri" w:hAnsi="Calibri" w:cs="Calibri"/>
        </w:rPr>
      </w:pPr>
      <w:r w:rsidRPr="00CA4A9E">
        <w:rPr>
          <w:rFonts w:ascii="Calibri" w:hAnsi="Calibri" w:cs="Calibri"/>
        </w:rPr>
        <w:tab/>
        <w:t>Krzywa uziarnienia kruszywa, określona według PN-B-06714-15  powinna leżeć między krzywymi granicznymi pól dobrego uziarnienia podanymi na rysunku 1.</w:t>
      </w:r>
    </w:p>
    <w:p w:rsidR="00054F0C" w:rsidRDefault="00054F0C" w:rsidP="00AD54A3">
      <w:pPr>
        <w:rPr>
          <w:rFonts w:ascii="Calibri" w:hAnsi="Calibri" w:cs="Calibri"/>
        </w:rPr>
      </w:pPr>
    </w:p>
    <w:p w:rsidR="00AD54A3" w:rsidRPr="000203A8" w:rsidRDefault="00AD54A3" w:rsidP="00DC63C2">
      <w:pPr>
        <w:ind w:left="709"/>
      </w:pPr>
      <w:r>
        <w:rPr>
          <w:noProof/>
        </w:rPr>
        <w:drawing>
          <wp:inline distT="0" distB="0" distL="0" distR="0">
            <wp:extent cx="4714875" cy="3124200"/>
            <wp:effectExtent l="19050" t="0" r="9525" b="0"/>
            <wp:docPr id="163" name="Obraz 16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3"/>
                    <pic:cNvPicPr>
                      <a:picLocks noChangeAspect="1" noChangeArrowheads="1"/>
                    </pic:cNvPicPr>
                  </pic:nvPicPr>
                  <pic:blipFill>
                    <a:blip r:embed="rId25" cstate="print"/>
                    <a:srcRect/>
                    <a:stretch>
                      <a:fillRect/>
                    </a:stretch>
                  </pic:blipFill>
                  <pic:spPr bwMode="auto">
                    <a:xfrm>
                      <a:off x="0" y="0"/>
                      <a:ext cx="4714875" cy="3124200"/>
                    </a:xfrm>
                    <a:prstGeom prst="rect">
                      <a:avLst/>
                    </a:prstGeom>
                    <a:noFill/>
                    <a:ln w="9525">
                      <a:noFill/>
                      <a:miter lim="800000"/>
                      <a:headEnd/>
                      <a:tailEnd/>
                    </a:ln>
                  </pic:spPr>
                </pic:pic>
              </a:graphicData>
            </a:graphic>
          </wp:inline>
        </w:drawing>
      </w:r>
    </w:p>
    <w:p w:rsidR="00AD54A3" w:rsidRPr="00CA4A9E" w:rsidRDefault="00AD54A3" w:rsidP="00DC63C2">
      <w:pPr>
        <w:ind w:left="709"/>
        <w:rPr>
          <w:rFonts w:ascii="Calibri" w:hAnsi="Calibri" w:cs="Calibri"/>
        </w:rPr>
      </w:pPr>
      <w:r w:rsidRPr="00CA4A9E">
        <w:rPr>
          <w:rFonts w:ascii="Calibri" w:hAnsi="Calibri" w:cs="Calibri"/>
        </w:rPr>
        <w:t>Rysunek 1. Pole dobrego uziarnienia kruszyw przeznaczonych na podbudowy wykonywane metodą stabilizacji mechanicznej</w:t>
      </w:r>
    </w:p>
    <w:p w:rsidR="00AD54A3" w:rsidRPr="00DC63C2" w:rsidRDefault="00AD54A3" w:rsidP="00DC63C2">
      <w:pPr>
        <w:ind w:left="709"/>
        <w:rPr>
          <w:rFonts w:ascii="Calibri" w:hAnsi="Calibri" w:cs="Calibri"/>
          <w:i/>
        </w:rPr>
      </w:pPr>
      <w:r w:rsidRPr="00DC63C2">
        <w:rPr>
          <w:rFonts w:ascii="Calibri" w:hAnsi="Calibri" w:cs="Calibri"/>
          <w:i/>
        </w:rPr>
        <w:lastRenderedPageBreak/>
        <w:t>1-2  kruszywo na podbudowę zasadniczą (górną warstwę) lub podbudowę jednowarstwową</w:t>
      </w:r>
    </w:p>
    <w:p w:rsidR="00AD54A3" w:rsidRPr="00DC63C2" w:rsidRDefault="00AD54A3" w:rsidP="00DC63C2">
      <w:pPr>
        <w:ind w:left="709"/>
        <w:rPr>
          <w:rFonts w:ascii="Calibri" w:hAnsi="Calibri" w:cs="Calibri"/>
          <w:i/>
        </w:rPr>
      </w:pPr>
      <w:r w:rsidRPr="00DC63C2">
        <w:rPr>
          <w:rFonts w:ascii="Calibri" w:hAnsi="Calibri" w:cs="Calibri"/>
          <w:i/>
        </w:rPr>
        <w:t>1-3  kruszywo na podbudowę pomocniczą (dolną warstwę)</w:t>
      </w:r>
    </w:p>
    <w:p w:rsidR="00AD54A3" w:rsidRPr="00CA4A9E" w:rsidRDefault="00AD54A3" w:rsidP="00AD54A3">
      <w:pPr>
        <w:rPr>
          <w:rFonts w:ascii="Calibri" w:hAnsi="Calibri" w:cs="Calibri"/>
        </w:rPr>
      </w:pPr>
      <w:r w:rsidRPr="00CA4A9E">
        <w:rPr>
          <w:rFonts w:ascii="Calibri" w:hAnsi="Calibri" w:cs="Calibri"/>
        </w:rPr>
        <w:tab/>
        <w:t>Krzywa uziarnienia kruszywa powinna być ciągła i nie może przebiegać od dolnej krzywej granicznej uziarnienia do górnej krzywej granicznej uziarnienia na sąsiednich sitach. Wymiar największego ziarna kruszywa nie może przekraczać 2/3 grubości warstwy układanej jednorazowo.</w:t>
      </w:r>
    </w:p>
    <w:p w:rsidR="00AD54A3" w:rsidRPr="00CA4A9E" w:rsidRDefault="00AD54A3" w:rsidP="00AD54A3">
      <w:pPr>
        <w:rPr>
          <w:rFonts w:ascii="Calibri" w:hAnsi="Calibri" w:cs="Calibri"/>
        </w:rPr>
      </w:pPr>
      <w:r w:rsidRPr="00CA4A9E">
        <w:rPr>
          <w:rFonts w:ascii="Calibri" w:hAnsi="Calibri" w:cs="Calibri"/>
          <w:b/>
        </w:rPr>
        <w:t>2.3.2.</w:t>
      </w:r>
      <w:r w:rsidRPr="00CA4A9E">
        <w:rPr>
          <w:rFonts w:ascii="Calibri" w:hAnsi="Calibri" w:cs="Calibri"/>
        </w:rPr>
        <w:t xml:space="preserve"> Właściwości kruszywa</w:t>
      </w:r>
    </w:p>
    <w:p w:rsidR="00AD54A3" w:rsidRPr="00CA4A9E" w:rsidRDefault="00AD54A3" w:rsidP="00AD54A3">
      <w:pPr>
        <w:rPr>
          <w:rFonts w:ascii="Calibri" w:hAnsi="Calibri" w:cs="Calibri"/>
        </w:rPr>
      </w:pPr>
      <w:r w:rsidRPr="00CA4A9E">
        <w:rPr>
          <w:rFonts w:ascii="Calibri" w:hAnsi="Calibri" w:cs="Calibri"/>
        </w:rPr>
        <w:tab/>
        <w:t>Kruszywa powinny spełniać wymagania określone w tablicy 1.</w:t>
      </w:r>
    </w:p>
    <w:p w:rsidR="00AD54A3" w:rsidRPr="00CA4A9E" w:rsidRDefault="00AD54A3" w:rsidP="00AD54A3">
      <w:pPr>
        <w:rPr>
          <w:rFonts w:ascii="Calibri" w:hAnsi="Calibri" w:cs="Calibri"/>
        </w:rPr>
      </w:pPr>
    </w:p>
    <w:p w:rsidR="00AD54A3" w:rsidRPr="00CA4A9E" w:rsidRDefault="00AD54A3" w:rsidP="00AD54A3">
      <w:pPr>
        <w:ind w:left="709"/>
        <w:rPr>
          <w:rFonts w:ascii="Calibri" w:hAnsi="Calibri" w:cs="Calibri"/>
        </w:rPr>
      </w:pPr>
      <w:r w:rsidRPr="00CA4A9E">
        <w:rPr>
          <w:rFonts w:ascii="Calibri" w:hAnsi="Calibri" w:cs="Calibri"/>
        </w:rPr>
        <w:t>Tablica 1.</w:t>
      </w:r>
    </w:p>
    <w:tbl>
      <w:tblPr>
        <w:tblW w:w="7797" w:type="dxa"/>
        <w:tblInd w:w="779" w:type="dxa"/>
        <w:tblLayout w:type="fixed"/>
        <w:tblCellMar>
          <w:left w:w="70" w:type="dxa"/>
          <w:right w:w="70" w:type="dxa"/>
        </w:tblCellMar>
        <w:tblLook w:val="0000"/>
      </w:tblPr>
      <w:tblGrid>
        <w:gridCol w:w="425"/>
        <w:gridCol w:w="2694"/>
        <w:gridCol w:w="1559"/>
        <w:gridCol w:w="1701"/>
        <w:gridCol w:w="1418"/>
      </w:tblGrid>
      <w:tr w:rsidR="00AD54A3" w:rsidRPr="00CA4A9E" w:rsidTr="00C50010">
        <w:tc>
          <w:tcPr>
            <w:tcW w:w="425" w:type="dxa"/>
            <w:tcBorders>
              <w:top w:val="single" w:sz="6" w:space="0" w:color="auto"/>
              <w:left w:val="single" w:sz="6" w:space="0" w:color="auto"/>
              <w:right w:val="single" w:sz="6" w:space="0" w:color="auto"/>
            </w:tcBorders>
          </w:tcPr>
          <w:p w:rsidR="00AD54A3" w:rsidRPr="00CA4A9E" w:rsidRDefault="00AD54A3" w:rsidP="00FD47C7">
            <w:pPr>
              <w:jc w:val="center"/>
              <w:rPr>
                <w:rFonts w:ascii="Calibri" w:hAnsi="Calibri" w:cs="Calibri"/>
                <w:sz w:val="18"/>
                <w:szCs w:val="18"/>
              </w:rPr>
            </w:pPr>
          </w:p>
        </w:tc>
        <w:tc>
          <w:tcPr>
            <w:tcW w:w="2694" w:type="dxa"/>
            <w:tcBorders>
              <w:top w:val="single" w:sz="6" w:space="0" w:color="auto"/>
              <w:left w:val="nil"/>
            </w:tcBorders>
          </w:tcPr>
          <w:p w:rsidR="00AD54A3" w:rsidRPr="00CA4A9E" w:rsidRDefault="00AD54A3" w:rsidP="00FD47C7">
            <w:pPr>
              <w:jc w:val="center"/>
              <w:rPr>
                <w:rFonts w:ascii="Calibri" w:hAnsi="Calibri" w:cs="Calibri"/>
                <w:sz w:val="18"/>
                <w:szCs w:val="18"/>
              </w:rPr>
            </w:pPr>
          </w:p>
        </w:tc>
        <w:tc>
          <w:tcPr>
            <w:tcW w:w="3260" w:type="dxa"/>
            <w:gridSpan w:val="2"/>
            <w:tcBorders>
              <w:top w:val="single" w:sz="6" w:space="0" w:color="auto"/>
              <w:left w:val="single" w:sz="6" w:space="0" w:color="auto"/>
            </w:tcBorders>
          </w:tcPr>
          <w:p w:rsidR="00AD54A3" w:rsidRPr="00CA4A9E" w:rsidRDefault="00AD54A3" w:rsidP="00FD47C7">
            <w:pPr>
              <w:jc w:val="center"/>
              <w:rPr>
                <w:rFonts w:ascii="Calibri" w:hAnsi="Calibri" w:cs="Calibri"/>
                <w:sz w:val="18"/>
                <w:szCs w:val="18"/>
              </w:rPr>
            </w:pPr>
            <w:r w:rsidRPr="00CA4A9E">
              <w:rPr>
                <w:rFonts w:ascii="Calibri" w:hAnsi="Calibri" w:cs="Calibri"/>
                <w:sz w:val="18"/>
                <w:szCs w:val="18"/>
              </w:rPr>
              <w:t>Wymagania</w:t>
            </w:r>
          </w:p>
        </w:tc>
        <w:tc>
          <w:tcPr>
            <w:tcW w:w="1418" w:type="dxa"/>
            <w:tcBorders>
              <w:top w:val="single" w:sz="6" w:space="0" w:color="auto"/>
              <w:left w:val="single" w:sz="6" w:space="0" w:color="auto"/>
              <w:right w:val="single" w:sz="6" w:space="0" w:color="auto"/>
            </w:tcBorders>
          </w:tcPr>
          <w:p w:rsidR="00AD54A3" w:rsidRPr="00CA4A9E" w:rsidRDefault="00AD54A3" w:rsidP="00FD47C7">
            <w:pPr>
              <w:jc w:val="center"/>
              <w:rPr>
                <w:rFonts w:ascii="Calibri" w:hAnsi="Calibri" w:cs="Calibri"/>
                <w:sz w:val="18"/>
                <w:szCs w:val="18"/>
              </w:rPr>
            </w:pPr>
          </w:p>
        </w:tc>
      </w:tr>
      <w:tr w:rsidR="00AD54A3" w:rsidRPr="00CA4A9E" w:rsidTr="00C50010">
        <w:tc>
          <w:tcPr>
            <w:tcW w:w="425" w:type="dxa"/>
            <w:tcBorders>
              <w:left w:val="single" w:sz="6" w:space="0" w:color="auto"/>
              <w:right w:val="single" w:sz="6" w:space="0" w:color="auto"/>
            </w:tcBorders>
          </w:tcPr>
          <w:p w:rsidR="00AD54A3" w:rsidRPr="00CA4A9E" w:rsidRDefault="00AD54A3" w:rsidP="00FD47C7">
            <w:pPr>
              <w:jc w:val="center"/>
              <w:rPr>
                <w:rFonts w:ascii="Calibri" w:hAnsi="Calibri" w:cs="Calibri"/>
                <w:sz w:val="18"/>
                <w:szCs w:val="18"/>
              </w:rPr>
            </w:pPr>
          </w:p>
          <w:p w:rsidR="00AD54A3" w:rsidRPr="00CA4A9E" w:rsidRDefault="00AD54A3" w:rsidP="00FD47C7">
            <w:pPr>
              <w:jc w:val="center"/>
              <w:rPr>
                <w:rFonts w:ascii="Calibri" w:hAnsi="Calibri" w:cs="Calibri"/>
                <w:sz w:val="18"/>
                <w:szCs w:val="18"/>
              </w:rPr>
            </w:pPr>
            <w:r w:rsidRPr="00CA4A9E">
              <w:rPr>
                <w:rFonts w:ascii="Calibri" w:hAnsi="Calibri" w:cs="Calibri"/>
                <w:sz w:val="18"/>
                <w:szCs w:val="18"/>
              </w:rPr>
              <w:t>Lp.</w:t>
            </w:r>
          </w:p>
        </w:tc>
        <w:tc>
          <w:tcPr>
            <w:tcW w:w="2694" w:type="dxa"/>
            <w:tcBorders>
              <w:left w:val="nil"/>
            </w:tcBorders>
          </w:tcPr>
          <w:p w:rsidR="00AD54A3" w:rsidRPr="00CA4A9E" w:rsidRDefault="00AD54A3" w:rsidP="00FD47C7">
            <w:pPr>
              <w:jc w:val="center"/>
              <w:rPr>
                <w:rFonts w:ascii="Calibri" w:hAnsi="Calibri" w:cs="Calibri"/>
                <w:sz w:val="18"/>
                <w:szCs w:val="18"/>
              </w:rPr>
            </w:pPr>
          </w:p>
          <w:p w:rsidR="00AD54A3" w:rsidRPr="00CA4A9E" w:rsidRDefault="00AD54A3" w:rsidP="00FD47C7">
            <w:pPr>
              <w:jc w:val="center"/>
              <w:rPr>
                <w:rFonts w:ascii="Calibri" w:hAnsi="Calibri" w:cs="Calibri"/>
                <w:sz w:val="18"/>
                <w:szCs w:val="18"/>
              </w:rPr>
            </w:pPr>
            <w:r w:rsidRPr="00CA4A9E">
              <w:rPr>
                <w:rFonts w:ascii="Calibri" w:hAnsi="Calibri" w:cs="Calibri"/>
                <w:sz w:val="18"/>
                <w:szCs w:val="18"/>
              </w:rPr>
              <w:t>Wyszczególnienie</w:t>
            </w:r>
          </w:p>
        </w:tc>
        <w:tc>
          <w:tcPr>
            <w:tcW w:w="3260" w:type="dxa"/>
            <w:gridSpan w:val="2"/>
            <w:tcBorders>
              <w:top w:val="single" w:sz="6" w:space="0" w:color="auto"/>
              <w:left w:val="single" w:sz="6" w:space="0" w:color="auto"/>
              <w:bottom w:val="single" w:sz="6" w:space="0" w:color="auto"/>
              <w:right w:val="single" w:sz="6" w:space="0" w:color="auto"/>
            </w:tcBorders>
          </w:tcPr>
          <w:p w:rsidR="00AD54A3" w:rsidRPr="00CA4A9E" w:rsidRDefault="00AD54A3" w:rsidP="00FD47C7">
            <w:pPr>
              <w:jc w:val="center"/>
              <w:rPr>
                <w:rFonts w:ascii="Calibri" w:hAnsi="Calibri" w:cs="Calibri"/>
                <w:sz w:val="18"/>
                <w:szCs w:val="18"/>
              </w:rPr>
            </w:pPr>
            <w:r w:rsidRPr="00CA4A9E">
              <w:rPr>
                <w:rFonts w:ascii="Calibri" w:hAnsi="Calibri" w:cs="Calibri"/>
                <w:sz w:val="18"/>
                <w:szCs w:val="18"/>
              </w:rPr>
              <w:t>Kruszywa łamane</w:t>
            </w:r>
          </w:p>
        </w:tc>
        <w:tc>
          <w:tcPr>
            <w:tcW w:w="1418" w:type="dxa"/>
            <w:tcBorders>
              <w:left w:val="nil"/>
              <w:right w:val="single" w:sz="6" w:space="0" w:color="auto"/>
            </w:tcBorders>
          </w:tcPr>
          <w:p w:rsidR="00AD54A3" w:rsidRPr="00CA4A9E" w:rsidRDefault="00AD54A3" w:rsidP="00FD47C7">
            <w:pPr>
              <w:jc w:val="center"/>
              <w:rPr>
                <w:rFonts w:ascii="Calibri" w:hAnsi="Calibri" w:cs="Calibri"/>
                <w:sz w:val="18"/>
                <w:szCs w:val="18"/>
              </w:rPr>
            </w:pPr>
          </w:p>
          <w:p w:rsidR="00AD54A3" w:rsidRPr="00CA4A9E" w:rsidRDefault="00AD54A3" w:rsidP="00FD47C7">
            <w:pPr>
              <w:jc w:val="center"/>
              <w:rPr>
                <w:rFonts w:ascii="Calibri" w:hAnsi="Calibri" w:cs="Calibri"/>
                <w:sz w:val="18"/>
                <w:szCs w:val="18"/>
              </w:rPr>
            </w:pPr>
            <w:r w:rsidRPr="00CA4A9E">
              <w:rPr>
                <w:rFonts w:ascii="Calibri" w:hAnsi="Calibri" w:cs="Calibri"/>
                <w:sz w:val="18"/>
                <w:szCs w:val="18"/>
              </w:rPr>
              <w:t>Badania</w:t>
            </w:r>
          </w:p>
        </w:tc>
      </w:tr>
      <w:tr w:rsidR="00AD54A3" w:rsidRPr="00CA4A9E" w:rsidTr="00C50010">
        <w:tc>
          <w:tcPr>
            <w:tcW w:w="425" w:type="dxa"/>
            <w:tcBorders>
              <w:left w:val="single" w:sz="6" w:space="0" w:color="auto"/>
              <w:right w:val="single" w:sz="6" w:space="0" w:color="auto"/>
            </w:tcBorders>
          </w:tcPr>
          <w:p w:rsidR="00AD54A3" w:rsidRPr="00CA4A9E" w:rsidRDefault="00AD54A3" w:rsidP="00FD47C7">
            <w:pPr>
              <w:jc w:val="center"/>
              <w:rPr>
                <w:rFonts w:ascii="Calibri" w:hAnsi="Calibri" w:cs="Calibri"/>
                <w:sz w:val="18"/>
                <w:szCs w:val="18"/>
              </w:rPr>
            </w:pPr>
          </w:p>
        </w:tc>
        <w:tc>
          <w:tcPr>
            <w:tcW w:w="2694" w:type="dxa"/>
            <w:tcBorders>
              <w:left w:val="nil"/>
            </w:tcBorders>
          </w:tcPr>
          <w:p w:rsidR="00AD54A3" w:rsidRPr="00CA4A9E" w:rsidRDefault="00AD54A3" w:rsidP="00FD47C7">
            <w:pPr>
              <w:jc w:val="center"/>
              <w:rPr>
                <w:rFonts w:ascii="Calibri" w:hAnsi="Calibri" w:cs="Calibri"/>
                <w:sz w:val="18"/>
                <w:szCs w:val="18"/>
              </w:rPr>
            </w:pPr>
            <w:r w:rsidRPr="00CA4A9E">
              <w:rPr>
                <w:rFonts w:ascii="Calibri" w:hAnsi="Calibri" w:cs="Calibri"/>
                <w:sz w:val="18"/>
                <w:szCs w:val="18"/>
              </w:rPr>
              <w:t>właściwości</w:t>
            </w:r>
          </w:p>
        </w:tc>
        <w:tc>
          <w:tcPr>
            <w:tcW w:w="3260" w:type="dxa"/>
            <w:gridSpan w:val="2"/>
            <w:tcBorders>
              <w:left w:val="single" w:sz="6" w:space="0" w:color="auto"/>
              <w:right w:val="single" w:sz="6" w:space="0" w:color="auto"/>
            </w:tcBorders>
          </w:tcPr>
          <w:p w:rsidR="00AD54A3" w:rsidRPr="00CA4A9E" w:rsidRDefault="00AD54A3" w:rsidP="00FD47C7">
            <w:pPr>
              <w:jc w:val="center"/>
              <w:rPr>
                <w:rFonts w:ascii="Calibri" w:hAnsi="Calibri" w:cs="Calibri"/>
                <w:sz w:val="18"/>
                <w:szCs w:val="18"/>
              </w:rPr>
            </w:pPr>
            <w:r w:rsidRPr="00CA4A9E">
              <w:rPr>
                <w:rFonts w:ascii="Calibri" w:hAnsi="Calibri" w:cs="Calibri"/>
                <w:sz w:val="18"/>
                <w:szCs w:val="18"/>
              </w:rPr>
              <w:t>Podbudowa</w:t>
            </w:r>
          </w:p>
        </w:tc>
        <w:tc>
          <w:tcPr>
            <w:tcW w:w="1418" w:type="dxa"/>
            <w:tcBorders>
              <w:left w:val="nil"/>
              <w:right w:val="single" w:sz="6" w:space="0" w:color="auto"/>
            </w:tcBorders>
          </w:tcPr>
          <w:p w:rsidR="00AD54A3" w:rsidRPr="00CA4A9E" w:rsidRDefault="00AD54A3" w:rsidP="00FD47C7">
            <w:pPr>
              <w:jc w:val="center"/>
              <w:rPr>
                <w:rFonts w:ascii="Calibri" w:hAnsi="Calibri" w:cs="Calibri"/>
                <w:sz w:val="18"/>
                <w:szCs w:val="18"/>
              </w:rPr>
            </w:pPr>
            <w:r w:rsidRPr="00CA4A9E">
              <w:rPr>
                <w:rFonts w:ascii="Calibri" w:hAnsi="Calibri" w:cs="Calibri"/>
                <w:sz w:val="18"/>
                <w:szCs w:val="18"/>
              </w:rPr>
              <w:t>według</w:t>
            </w:r>
          </w:p>
        </w:tc>
      </w:tr>
      <w:tr w:rsidR="00AD54A3" w:rsidRPr="00CA4A9E" w:rsidTr="00C50010">
        <w:tc>
          <w:tcPr>
            <w:tcW w:w="425" w:type="dxa"/>
            <w:tcBorders>
              <w:left w:val="single" w:sz="6" w:space="0" w:color="auto"/>
              <w:bottom w:val="double" w:sz="6" w:space="0" w:color="auto"/>
              <w:right w:val="single" w:sz="6" w:space="0" w:color="auto"/>
            </w:tcBorders>
          </w:tcPr>
          <w:p w:rsidR="00AD54A3" w:rsidRPr="00CA4A9E" w:rsidRDefault="00AD54A3" w:rsidP="00FD47C7">
            <w:pPr>
              <w:jc w:val="center"/>
              <w:rPr>
                <w:rFonts w:ascii="Calibri" w:hAnsi="Calibri" w:cs="Calibri"/>
                <w:sz w:val="18"/>
                <w:szCs w:val="18"/>
              </w:rPr>
            </w:pPr>
          </w:p>
        </w:tc>
        <w:tc>
          <w:tcPr>
            <w:tcW w:w="2694" w:type="dxa"/>
            <w:tcBorders>
              <w:left w:val="nil"/>
              <w:bottom w:val="double" w:sz="6" w:space="0" w:color="auto"/>
            </w:tcBorders>
          </w:tcPr>
          <w:p w:rsidR="00AD54A3" w:rsidRPr="00CA4A9E" w:rsidRDefault="00AD54A3" w:rsidP="00FD47C7">
            <w:pPr>
              <w:jc w:val="center"/>
              <w:rPr>
                <w:rFonts w:ascii="Calibri" w:hAnsi="Calibri" w:cs="Calibri"/>
                <w:sz w:val="18"/>
                <w:szCs w:val="18"/>
              </w:rPr>
            </w:pPr>
          </w:p>
        </w:tc>
        <w:tc>
          <w:tcPr>
            <w:tcW w:w="1559" w:type="dxa"/>
            <w:tcBorders>
              <w:top w:val="single" w:sz="6" w:space="0" w:color="auto"/>
              <w:left w:val="single" w:sz="6" w:space="0" w:color="auto"/>
              <w:bottom w:val="double" w:sz="6" w:space="0" w:color="auto"/>
              <w:right w:val="single" w:sz="6" w:space="0" w:color="auto"/>
            </w:tcBorders>
          </w:tcPr>
          <w:p w:rsidR="00AD54A3" w:rsidRPr="00CA4A9E" w:rsidRDefault="00AD54A3" w:rsidP="00FD47C7">
            <w:pPr>
              <w:jc w:val="center"/>
              <w:rPr>
                <w:rFonts w:ascii="Calibri" w:hAnsi="Calibri" w:cs="Calibri"/>
                <w:sz w:val="18"/>
                <w:szCs w:val="18"/>
              </w:rPr>
            </w:pPr>
            <w:r w:rsidRPr="00CA4A9E">
              <w:rPr>
                <w:rFonts w:ascii="Calibri" w:hAnsi="Calibri" w:cs="Calibri"/>
                <w:sz w:val="18"/>
                <w:szCs w:val="18"/>
              </w:rPr>
              <w:t>zasadnicza</w:t>
            </w:r>
          </w:p>
        </w:tc>
        <w:tc>
          <w:tcPr>
            <w:tcW w:w="1701" w:type="dxa"/>
            <w:tcBorders>
              <w:top w:val="single" w:sz="6" w:space="0" w:color="auto"/>
              <w:left w:val="single" w:sz="6" w:space="0" w:color="auto"/>
              <w:bottom w:val="double" w:sz="6" w:space="0" w:color="auto"/>
              <w:right w:val="single" w:sz="6" w:space="0" w:color="auto"/>
            </w:tcBorders>
          </w:tcPr>
          <w:p w:rsidR="00AD54A3" w:rsidRPr="00CA4A9E" w:rsidRDefault="00AD54A3" w:rsidP="00FD47C7">
            <w:pPr>
              <w:jc w:val="center"/>
              <w:rPr>
                <w:rFonts w:ascii="Calibri" w:hAnsi="Calibri" w:cs="Calibri"/>
                <w:sz w:val="18"/>
                <w:szCs w:val="18"/>
              </w:rPr>
            </w:pPr>
            <w:r w:rsidRPr="00CA4A9E">
              <w:rPr>
                <w:rFonts w:ascii="Calibri" w:hAnsi="Calibri" w:cs="Calibri"/>
                <w:sz w:val="18"/>
                <w:szCs w:val="18"/>
              </w:rPr>
              <w:t>pomocnicza</w:t>
            </w:r>
          </w:p>
        </w:tc>
        <w:tc>
          <w:tcPr>
            <w:tcW w:w="1418" w:type="dxa"/>
            <w:tcBorders>
              <w:left w:val="nil"/>
              <w:bottom w:val="double" w:sz="6" w:space="0" w:color="auto"/>
              <w:right w:val="single" w:sz="6" w:space="0" w:color="auto"/>
            </w:tcBorders>
          </w:tcPr>
          <w:p w:rsidR="00AD54A3" w:rsidRPr="00CA4A9E" w:rsidRDefault="00AD54A3" w:rsidP="00FD47C7">
            <w:pPr>
              <w:jc w:val="center"/>
              <w:rPr>
                <w:rFonts w:ascii="Calibri" w:hAnsi="Calibri" w:cs="Calibri"/>
                <w:sz w:val="18"/>
                <w:szCs w:val="18"/>
              </w:rPr>
            </w:pPr>
          </w:p>
        </w:tc>
      </w:tr>
      <w:tr w:rsidR="00AD54A3" w:rsidRPr="00CA4A9E" w:rsidTr="00C50010">
        <w:tc>
          <w:tcPr>
            <w:tcW w:w="425" w:type="dxa"/>
            <w:tcBorders>
              <w:left w:val="single" w:sz="6" w:space="0" w:color="auto"/>
              <w:bottom w:val="single" w:sz="6" w:space="0" w:color="auto"/>
              <w:right w:val="single" w:sz="6" w:space="0" w:color="auto"/>
            </w:tcBorders>
          </w:tcPr>
          <w:p w:rsidR="00AD54A3" w:rsidRPr="00CA4A9E" w:rsidRDefault="00AD54A3" w:rsidP="00FD47C7">
            <w:pPr>
              <w:jc w:val="center"/>
              <w:rPr>
                <w:rFonts w:ascii="Calibri" w:hAnsi="Calibri" w:cs="Calibri"/>
                <w:sz w:val="18"/>
                <w:szCs w:val="18"/>
              </w:rPr>
            </w:pPr>
            <w:r w:rsidRPr="00CA4A9E">
              <w:rPr>
                <w:rFonts w:ascii="Calibri" w:hAnsi="Calibri" w:cs="Calibri"/>
                <w:sz w:val="18"/>
                <w:szCs w:val="18"/>
              </w:rPr>
              <w:t>1</w:t>
            </w:r>
          </w:p>
        </w:tc>
        <w:tc>
          <w:tcPr>
            <w:tcW w:w="2694" w:type="dxa"/>
            <w:tcBorders>
              <w:left w:val="single" w:sz="6" w:space="0" w:color="auto"/>
              <w:bottom w:val="single" w:sz="6" w:space="0" w:color="auto"/>
              <w:right w:val="single" w:sz="6" w:space="0" w:color="auto"/>
            </w:tcBorders>
          </w:tcPr>
          <w:p w:rsidR="00AD54A3" w:rsidRPr="00CA4A9E" w:rsidRDefault="00AD54A3" w:rsidP="00FD47C7">
            <w:pPr>
              <w:jc w:val="center"/>
              <w:rPr>
                <w:rFonts w:ascii="Calibri" w:hAnsi="Calibri" w:cs="Calibri"/>
                <w:sz w:val="18"/>
                <w:szCs w:val="18"/>
              </w:rPr>
            </w:pPr>
            <w:r w:rsidRPr="00CA4A9E">
              <w:rPr>
                <w:rFonts w:ascii="Calibri" w:hAnsi="Calibri" w:cs="Calibri"/>
                <w:sz w:val="18"/>
                <w:szCs w:val="18"/>
              </w:rPr>
              <w:t>Zawartość ziaren mniejszych niż 0,075 mm, % (m/m)</w:t>
            </w:r>
          </w:p>
        </w:tc>
        <w:tc>
          <w:tcPr>
            <w:tcW w:w="1559" w:type="dxa"/>
            <w:tcBorders>
              <w:left w:val="single" w:sz="6" w:space="0" w:color="auto"/>
              <w:bottom w:val="single" w:sz="6" w:space="0" w:color="auto"/>
              <w:right w:val="single" w:sz="6" w:space="0" w:color="auto"/>
            </w:tcBorders>
          </w:tcPr>
          <w:p w:rsidR="00AD54A3" w:rsidRPr="00CA4A9E" w:rsidRDefault="00AD54A3" w:rsidP="00FD47C7">
            <w:pPr>
              <w:jc w:val="center"/>
              <w:rPr>
                <w:rFonts w:ascii="Calibri" w:hAnsi="Calibri" w:cs="Calibri"/>
                <w:sz w:val="18"/>
                <w:szCs w:val="18"/>
              </w:rPr>
            </w:pPr>
            <w:r w:rsidRPr="00CA4A9E">
              <w:rPr>
                <w:rFonts w:ascii="Calibri" w:hAnsi="Calibri" w:cs="Calibri"/>
                <w:sz w:val="18"/>
                <w:szCs w:val="18"/>
              </w:rPr>
              <w:t>od 2 do 10</w:t>
            </w:r>
          </w:p>
        </w:tc>
        <w:tc>
          <w:tcPr>
            <w:tcW w:w="1701" w:type="dxa"/>
            <w:tcBorders>
              <w:left w:val="single" w:sz="6" w:space="0" w:color="auto"/>
              <w:bottom w:val="single" w:sz="6" w:space="0" w:color="auto"/>
              <w:right w:val="single" w:sz="6" w:space="0" w:color="auto"/>
            </w:tcBorders>
          </w:tcPr>
          <w:p w:rsidR="00AD54A3" w:rsidRPr="00CA4A9E" w:rsidRDefault="00AD54A3" w:rsidP="00FD47C7">
            <w:pPr>
              <w:jc w:val="center"/>
              <w:rPr>
                <w:rFonts w:ascii="Calibri" w:hAnsi="Calibri" w:cs="Calibri"/>
                <w:sz w:val="18"/>
                <w:szCs w:val="18"/>
              </w:rPr>
            </w:pPr>
            <w:r w:rsidRPr="00CA4A9E">
              <w:rPr>
                <w:rFonts w:ascii="Calibri" w:hAnsi="Calibri" w:cs="Calibri"/>
                <w:sz w:val="18"/>
                <w:szCs w:val="18"/>
              </w:rPr>
              <w:t>od 2         do 12</w:t>
            </w:r>
          </w:p>
        </w:tc>
        <w:tc>
          <w:tcPr>
            <w:tcW w:w="1418" w:type="dxa"/>
            <w:tcBorders>
              <w:left w:val="single" w:sz="6" w:space="0" w:color="auto"/>
              <w:bottom w:val="single" w:sz="6" w:space="0" w:color="auto"/>
              <w:right w:val="single" w:sz="6" w:space="0" w:color="auto"/>
            </w:tcBorders>
          </w:tcPr>
          <w:p w:rsidR="00AD54A3" w:rsidRPr="00CA4A9E" w:rsidRDefault="00AD54A3" w:rsidP="00FD47C7">
            <w:pPr>
              <w:jc w:val="center"/>
              <w:rPr>
                <w:rFonts w:ascii="Calibri" w:hAnsi="Calibri" w:cs="Calibri"/>
                <w:sz w:val="18"/>
                <w:szCs w:val="18"/>
              </w:rPr>
            </w:pPr>
            <w:r w:rsidRPr="00CA4A9E">
              <w:rPr>
                <w:rFonts w:ascii="Calibri" w:hAnsi="Calibri" w:cs="Calibri"/>
                <w:sz w:val="18"/>
                <w:szCs w:val="18"/>
              </w:rPr>
              <w:t>PN-B-06714</w:t>
            </w:r>
          </w:p>
          <w:p w:rsidR="00AD54A3" w:rsidRPr="00CA4A9E" w:rsidRDefault="00AD54A3" w:rsidP="00FD47C7">
            <w:pPr>
              <w:jc w:val="center"/>
              <w:rPr>
                <w:rFonts w:ascii="Calibri" w:hAnsi="Calibri" w:cs="Calibri"/>
                <w:sz w:val="18"/>
                <w:szCs w:val="18"/>
              </w:rPr>
            </w:pPr>
            <w:r w:rsidRPr="00CA4A9E">
              <w:rPr>
                <w:rFonts w:ascii="Calibri" w:hAnsi="Calibri" w:cs="Calibri"/>
                <w:sz w:val="18"/>
                <w:szCs w:val="18"/>
              </w:rPr>
              <w:t>-15</w:t>
            </w:r>
          </w:p>
        </w:tc>
      </w:tr>
      <w:tr w:rsidR="00AD54A3" w:rsidRPr="00CA4A9E" w:rsidTr="00C50010">
        <w:tc>
          <w:tcPr>
            <w:tcW w:w="425" w:type="dxa"/>
            <w:tcBorders>
              <w:top w:val="single" w:sz="6" w:space="0" w:color="auto"/>
              <w:left w:val="single" w:sz="6" w:space="0" w:color="auto"/>
              <w:bottom w:val="single" w:sz="6" w:space="0" w:color="auto"/>
              <w:right w:val="single" w:sz="6" w:space="0" w:color="auto"/>
            </w:tcBorders>
          </w:tcPr>
          <w:p w:rsidR="00AD54A3" w:rsidRPr="00CA4A9E" w:rsidRDefault="00AD54A3" w:rsidP="00FD47C7">
            <w:pPr>
              <w:jc w:val="center"/>
              <w:rPr>
                <w:rFonts w:ascii="Calibri" w:hAnsi="Calibri" w:cs="Calibri"/>
                <w:sz w:val="18"/>
                <w:szCs w:val="18"/>
              </w:rPr>
            </w:pPr>
            <w:r w:rsidRPr="00CA4A9E">
              <w:rPr>
                <w:rFonts w:ascii="Calibri" w:hAnsi="Calibri" w:cs="Calibri"/>
                <w:sz w:val="18"/>
                <w:szCs w:val="18"/>
              </w:rPr>
              <w:t>2</w:t>
            </w:r>
          </w:p>
        </w:tc>
        <w:tc>
          <w:tcPr>
            <w:tcW w:w="2694" w:type="dxa"/>
            <w:tcBorders>
              <w:top w:val="single" w:sz="6" w:space="0" w:color="auto"/>
              <w:left w:val="single" w:sz="6" w:space="0" w:color="auto"/>
              <w:bottom w:val="single" w:sz="6" w:space="0" w:color="auto"/>
              <w:right w:val="single" w:sz="6" w:space="0" w:color="auto"/>
            </w:tcBorders>
          </w:tcPr>
          <w:p w:rsidR="00AD54A3" w:rsidRPr="00CA4A9E" w:rsidRDefault="00AD54A3" w:rsidP="00FD47C7">
            <w:pPr>
              <w:jc w:val="center"/>
              <w:rPr>
                <w:rFonts w:ascii="Calibri" w:hAnsi="Calibri" w:cs="Calibri"/>
                <w:sz w:val="18"/>
                <w:szCs w:val="18"/>
              </w:rPr>
            </w:pPr>
            <w:r w:rsidRPr="00CA4A9E">
              <w:rPr>
                <w:rFonts w:ascii="Calibri" w:hAnsi="Calibri" w:cs="Calibri"/>
                <w:sz w:val="18"/>
                <w:szCs w:val="18"/>
              </w:rPr>
              <w:t>Zawartość nadziarna,                 % (m/m), nie więcej niż</w:t>
            </w:r>
          </w:p>
        </w:tc>
        <w:tc>
          <w:tcPr>
            <w:tcW w:w="1559" w:type="dxa"/>
            <w:tcBorders>
              <w:top w:val="single" w:sz="6" w:space="0" w:color="auto"/>
              <w:left w:val="single" w:sz="6" w:space="0" w:color="auto"/>
              <w:bottom w:val="single" w:sz="6" w:space="0" w:color="auto"/>
              <w:right w:val="single" w:sz="6" w:space="0" w:color="auto"/>
            </w:tcBorders>
          </w:tcPr>
          <w:p w:rsidR="00AD54A3" w:rsidRPr="00CA4A9E" w:rsidRDefault="00AD54A3" w:rsidP="00FD47C7">
            <w:pPr>
              <w:jc w:val="center"/>
              <w:rPr>
                <w:rFonts w:ascii="Calibri" w:hAnsi="Calibri" w:cs="Calibri"/>
                <w:sz w:val="18"/>
                <w:szCs w:val="18"/>
              </w:rPr>
            </w:pPr>
            <w:r w:rsidRPr="00CA4A9E">
              <w:rPr>
                <w:rFonts w:ascii="Calibri" w:hAnsi="Calibri" w:cs="Calibri"/>
                <w:sz w:val="18"/>
                <w:szCs w:val="18"/>
              </w:rPr>
              <w:t>5</w:t>
            </w:r>
          </w:p>
        </w:tc>
        <w:tc>
          <w:tcPr>
            <w:tcW w:w="1701" w:type="dxa"/>
            <w:tcBorders>
              <w:top w:val="single" w:sz="6" w:space="0" w:color="auto"/>
              <w:left w:val="single" w:sz="6" w:space="0" w:color="auto"/>
              <w:bottom w:val="single" w:sz="6" w:space="0" w:color="auto"/>
              <w:right w:val="single" w:sz="6" w:space="0" w:color="auto"/>
            </w:tcBorders>
          </w:tcPr>
          <w:p w:rsidR="00AD54A3" w:rsidRPr="00CA4A9E" w:rsidRDefault="00AD54A3" w:rsidP="00FD47C7">
            <w:pPr>
              <w:jc w:val="center"/>
              <w:rPr>
                <w:rFonts w:ascii="Calibri" w:hAnsi="Calibri" w:cs="Calibri"/>
                <w:sz w:val="18"/>
                <w:szCs w:val="18"/>
              </w:rPr>
            </w:pPr>
            <w:r w:rsidRPr="00CA4A9E">
              <w:rPr>
                <w:rFonts w:ascii="Calibri" w:hAnsi="Calibri" w:cs="Calibri"/>
                <w:sz w:val="18"/>
                <w:szCs w:val="18"/>
              </w:rPr>
              <w:t>10</w:t>
            </w:r>
          </w:p>
        </w:tc>
        <w:tc>
          <w:tcPr>
            <w:tcW w:w="1418" w:type="dxa"/>
            <w:tcBorders>
              <w:top w:val="single" w:sz="6" w:space="0" w:color="auto"/>
              <w:left w:val="single" w:sz="6" w:space="0" w:color="auto"/>
              <w:bottom w:val="single" w:sz="6" w:space="0" w:color="auto"/>
              <w:right w:val="single" w:sz="6" w:space="0" w:color="auto"/>
            </w:tcBorders>
          </w:tcPr>
          <w:p w:rsidR="00AD54A3" w:rsidRPr="00CA4A9E" w:rsidRDefault="00AD54A3" w:rsidP="00FD47C7">
            <w:pPr>
              <w:jc w:val="center"/>
              <w:rPr>
                <w:rFonts w:ascii="Calibri" w:hAnsi="Calibri" w:cs="Calibri"/>
                <w:sz w:val="18"/>
                <w:szCs w:val="18"/>
              </w:rPr>
            </w:pPr>
          </w:p>
          <w:p w:rsidR="00AD54A3" w:rsidRPr="00CA4A9E" w:rsidRDefault="00AD54A3" w:rsidP="00FD47C7">
            <w:pPr>
              <w:jc w:val="center"/>
              <w:rPr>
                <w:rFonts w:ascii="Calibri" w:hAnsi="Calibri" w:cs="Calibri"/>
                <w:sz w:val="18"/>
                <w:szCs w:val="18"/>
              </w:rPr>
            </w:pPr>
            <w:r w:rsidRPr="00CA4A9E">
              <w:rPr>
                <w:rFonts w:ascii="Calibri" w:hAnsi="Calibri" w:cs="Calibri"/>
                <w:sz w:val="18"/>
                <w:szCs w:val="18"/>
              </w:rPr>
              <w:t>PN-B-06714</w:t>
            </w:r>
          </w:p>
          <w:p w:rsidR="00AD54A3" w:rsidRPr="00CA4A9E" w:rsidRDefault="00AD54A3" w:rsidP="00FD47C7">
            <w:pPr>
              <w:jc w:val="center"/>
              <w:rPr>
                <w:rFonts w:ascii="Calibri" w:hAnsi="Calibri" w:cs="Calibri"/>
                <w:sz w:val="18"/>
                <w:szCs w:val="18"/>
              </w:rPr>
            </w:pPr>
            <w:r w:rsidRPr="00CA4A9E">
              <w:rPr>
                <w:rFonts w:ascii="Calibri" w:hAnsi="Calibri" w:cs="Calibri"/>
                <w:sz w:val="18"/>
                <w:szCs w:val="18"/>
              </w:rPr>
              <w:t>-15</w:t>
            </w:r>
          </w:p>
        </w:tc>
      </w:tr>
      <w:tr w:rsidR="00AD54A3" w:rsidRPr="00CA4A9E" w:rsidTr="00C50010">
        <w:tc>
          <w:tcPr>
            <w:tcW w:w="425" w:type="dxa"/>
            <w:tcBorders>
              <w:top w:val="single" w:sz="6" w:space="0" w:color="auto"/>
              <w:left w:val="single" w:sz="6" w:space="0" w:color="auto"/>
              <w:bottom w:val="single" w:sz="6" w:space="0" w:color="auto"/>
              <w:right w:val="single" w:sz="6" w:space="0" w:color="auto"/>
            </w:tcBorders>
          </w:tcPr>
          <w:p w:rsidR="00AD54A3" w:rsidRPr="00CA4A9E" w:rsidRDefault="00AD54A3" w:rsidP="00FD47C7">
            <w:pPr>
              <w:jc w:val="center"/>
              <w:rPr>
                <w:rFonts w:ascii="Calibri" w:hAnsi="Calibri" w:cs="Calibri"/>
                <w:sz w:val="18"/>
                <w:szCs w:val="18"/>
              </w:rPr>
            </w:pPr>
            <w:r w:rsidRPr="00CA4A9E">
              <w:rPr>
                <w:rFonts w:ascii="Calibri" w:hAnsi="Calibri" w:cs="Calibri"/>
                <w:sz w:val="18"/>
                <w:szCs w:val="18"/>
              </w:rPr>
              <w:t>3</w:t>
            </w:r>
          </w:p>
        </w:tc>
        <w:tc>
          <w:tcPr>
            <w:tcW w:w="2694" w:type="dxa"/>
            <w:tcBorders>
              <w:top w:val="single" w:sz="6" w:space="0" w:color="auto"/>
              <w:left w:val="single" w:sz="6" w:space="0" w:color="auto"/>
              <w:bottom w:val="single" w:sz="6" w:space="0" w:color="auto"/>
              <w:right w:val="single" w:sz="6" w:space="0" w:color="auto"/>
            </w:tcBorders>
          </w:tcPr>
          <w:p w:rsidR="00AD54A3" w:rsidRPr="00CA4A9E" w:rsidRDefault="00AD54A3" w:rsidP="00FD47C7">
            <w:pPr>
              <w:jc w:val="center"/>
              <w:rPr>
                <w:rFonts w:ascii="Calibri" w:hAnsi="Calibri" w:cs="Calibri"/>
                <w:sz w:val="18"/>
                <w:szCs w:val="18"/>
              </w:rPr>
            </w:pPr>
            <w:r w:rsidRPr="00CA4A9E">
              <w:rPr>
                <w:rFonts w:ascii="Calibri" w:hAnsi="Calibri" w:cs="Calibri"/>
                <w:sz w:val="18"/>
                <w:szCs w:val="18"/>
              </w:rPr>
              <w:t>Zawartość ziaren nieforemnych</w:t>
            </w:r>
          </w:p>
          <w:p w:rsidR="00AD54A3" w:rsidRPr="00CA4A9E" w:rsidRDefault="00AD54A3" w:rsidP="00FD47C7">
            <w:pPr>
              <w:jc w:val="center"/>
              <w:rPr>
                <w:rFonts w:ascii="Calibri" w:hAnsi="Calibri" w:cs="Calibri"/>
                <w:sz w:val="18"/>
                <w:szCs w:val="18"/>
              </w:rPr>
            </w:pPr>
            <w:r w:rsidRPr="00CA4A9E">
              <w:rPr>
                <w:rFonts w:ascii="Calibri" w:hAnsi="Calibri" w:cs="Calibri"/>
                <w:sz w:val="18"/>
                <w:szCs w:val="18"/>
              </w:rPr>
              <w:t>%(m/m), nie więcej niż</w:t>
            </w:r>
          </w:p>
        </w:tc>
        <w:tc>
          <w:tcPr>
            <w:tcW w:w="1559" w:type="dxa"/>
            <w:tcBorders>
              <w:top w:val="single" w:sz="6" w:space="0" w:color="auto"/>
              <w:left w:val="single" w:sz="6" w:space="0" w:color="auto"/>
              <w:bottom w:val="single" w:sz="6" w:space="0" w:color="auto"/>
              <w:right w:val="single" w:sz="6" w:space="0" w:color="auto"/>
            </w:tcBorders>
          </w:tcPr>
          <w:p w:rsidR="00AD54A3" w:rsidRPr="00CA4A9E" w:rsidRDefault="00AD54A3" w:rsidP="00FD47C7">
            <w:pPr>
              <w:jc w:val="center"/>
              <w:rPr>
                <w:rFonts w:ascii="Calibri" w:hAnsi="Calibri" w:cs="Calibri"/>
                <w:sz w:val="18"/>
                <w:szCs w:val="18"/>
              </w:rPr>
            </w:pPr>
            <w:r w:rsidRPr="00CA4A9E">
              <w:rPr>
                <w:rFonts w:ascii="Calibri" w:hAnsi="Calibri" w:cs="Calibri"/>
                <w:sz w:val="18"/>
                <w:szCs w:val="18"/>
              </w:rPr>
              <w:t>35</w:t>
            </w:r>
          </w:p>
        </w:tc>
        <w:tc>
          <w:tcPr>
            <w:tcW w:w="1701" w:type="dxa"/>
            <w:tcBorders>
              <w:top w:val="single" w:sz="6" w:space="0" w:color="auto"/>
              <w:left w:val="single" w:sz="6" w:space="0" w:color="auto"/>
              <w:bottom w:val="single" w:sz="6" w:space="0" w:color="auto"/>
              <w:right w:val="single" w:sz="6" w:space="0" w:color="auto"/>
            </w:tcBorders>
          </w:tcPr>
          <w:p w:rsidR="00AD54A3" w:rsidRPr="00CA4A9E" w:rsidRDefault="00AD54A3" w:rsidP="00FD47C7">
            <w:pPr>
              <w:jc w:val="center"/>
              <w:rPr>
                <w:rFonts w:ascii="Calibri" w:hAnsi="Calibri" w:cs="Calibri"/>
                <w:sz w:val="18"/>
                <w:szCs w:val="18"/>
              </w:rPr>
            </w:pPr>
            <w:r w:rsidRPr="00CA4A9E">
              <w:rPr>
                <w:rFonts w:ascii="Calibri" w:hAnsi="Calibri" w:cs="Calibri"/>
                <w:sz w:val="18"/>
                <w:szCs w:val="18"/>
              </w:rPr>
              <w:t>40</w:t>
            </w:r>
          </w:p>
        </w:tc>
        <w:tc>
          <w:tcPr>
            <w:tcW w:w="1418" w:type="dxa"/>
            <w:tcBorders>
              <w:top w:val="single" w:sz="6" w:space="0" w:color="auto"/>
              <w:left w:val="single" w:sz="6" w:space="0" w:color="auto"/>
              <w:bottom w:val="single" w:sz="6" w:space="0" w:color="auto"/>
              <w:right w:val="single" w:sz="6" w:space="0" w:color="auto"/>
            </w:tcBorders>
          </w:tcPr>
          <w:p w:rsidR="00AD54A3" w:rsidRPr="00CA4A9E" w:rsidRDefault="00AD54A3" w:rsidP="00FD47C7">
            <w:pPr>
              <w:jc w:val="center"/>
              <w:rPr>
                <w:rFonts w:ascii="Calibri" w:hAnsi="Calibri" w:cs="Calibri"/>
                <w:sz w:val="18"/>
                <w:szCs w:val="18"/>
              </w:rPr>
            </w:pPr>
          </w:p>
          <w:p w:rsidR="00AD54A3" w:rsidRPr="00CA4A9E" w:rsidRDefault="00AD54A3" w:rsidP="00FD47C7">
            <w:pPr>
              <w:jc w:val="center"/>
              <w:rPr>
                <w:rFonts w:ascii="Calibri" w:hAnsi="Calibri" w:cs="Calibri"/>
                <w:sz w:val="18"/>
                <w:szCs w:val="18"/>
              </w:rPr>
            </w:pPr>
            <w:r w:rsidRPr="00CA4A9E">
              <w:rPr>
                <w:rFonts w:ascii="Calibri" w:hAnsi="Calibri" w:cs="Calibri"/>
                <w:sz w:val="18"/>
                <w:szCs w:val="18"/>
              </w:rPr>
              <w:t>PN-B-06714</w:t>
            </w:r>
          </w:p>
          <w:p w:rsidR="00AD54A3" w:rsidRPr="00CA4A9E" w:rsidRDefault="00AD54A3" w:rsidP="00FD47C7">
            <w:pPr>
              <w:jc w:val="center"/>
              <w:rPr>
                <w:rFonts w:ascii="Calibri" w:hAnsi="Calibri" w:cs="Calibri"/>
                <w:sz w:val="18"/>
                <w:szCs w:val="18"/>
              </w:rPr>
            </w:pPr>
            <w:r w:rsidRPr="00CA4A9E">
              <w:rPr>
                <w:rFonts w:ascii="Calibri" w:hAnsi="Calibri" w:cs="Calibri"/>
                <w:sz w:val="18"/>
                <w:szCs w:val="18"/>
              </w:rPr>
              <w:t>-16</w:t>
            </w:r>
          </w:p>
        </w:tc>
      </w:tr>
      <w:tr w:rsidR="00AD54A3" w:rsidRPr="00CA4A9E" w:rsidTr="00C50010">
        <w:tc>
          <w:tcPr>
            <w:tcW w:w="425" w:type="dxa"/>
            <w:tcBorders>
              <w:top w:val="single" w:sz="6" w:space="0" w:color="auto"/>
              <w:left w:val="single" w:sz="6" w:space="0" w:color="auto"/>
              <w:bottom w:val="single" w:sz="6" w:space="0" w:color="auto"/>
              <w:right w:val="single" w:sz="6" w:space="0" w:color="auto"/>
            </w:tcBorders>
          </w:tcPr>
          <w:p w:rsidR="00AD54A3" w:rsidRPr="00CA4A9E" w:rsidRDefault="00AD54A3" w:rsidP="00FD47C7">
            <w:pPr>
              <w:jc w:val="center"/>
              <w:rPr>
                <w:rFonts w:ascii="Calibri" w:hAnsi="Calibri" w:cs="Calibri"/>
                <w:sz w:val="18"/>
                <w:szCs w:val="18"/>
              </w:rPr>
            </w:pPr>
            <w:r w:rsidRPr="00CA4A9E">
              <w:rPr>
                <w:rFonts w:ascii="Calibri" w:hAnsi="Calibri" w:cs="Calibri"/>
                <w:sz w:val="18"/>
                <w:szCs w:val="18"/>
              </w:rPr>
              <w:t>4</w:t>
            </w:r>
          </w:p>
        </w:tc>
        <w:tc>
          <w:tcPr>
            <w:tcW w:w="2694" w:type="dxa"/>
            <w:tcBorders>
              <w:top w:val="single" w:sz="6" w:space="0" w:color="auto"/>
              <w:left w:val="single" w:sz="6" w:space="0" w:color="auto"/>
              <w:bottom w:val="single" w:sz="6" w:space="0" w:color="auto"/>
              <w:right w:val="single" w:sz="6" w:space="0" w:color="auto"/>
            </w:tcBorders>
          </w:tcPr>
          <w:p w:rsidR="00AD54A3" w:rsidRPr="00CA4A9E" w:rsidRDefault="00AD54A3" w:rsidP="00FD47C7">
            <w:pPr>
              <w:jc w:val="center"/>
              <w:rPr>
                <w:rFonts w:ascii="Calibri" w:hAnsi="Calibri" w:cs="Calibri"/>
                <w:sz w:val="18"/>
                <w:szCs w:val="18"/>
              </w:rPr>
            </w:pPr>
            <w:r w:rsidRPr="00CA4A9E">
              <w:rPr>
                <w:rFonts w:ascii="Calibri" w:hAnsi="Calibri" w:cs="Calibri"/>
                <w:sz w:val="18"/>
                <w:szCs w:val="18"/>
              </w:rPr>
              <w:t>Zawartość zanieczyszczeń organicznych, %(m/m), nie więcej niż</w:t>
            </w:r>
          </w:p>
        </w:tc>
        <w:tc>
          <w:tcPr>
            <w:tcW w:w="1559" w:type="dxa"/>
            <w:tcBorders>
              <w:top w:val="single" w:sz="6" w:space="0" w:color="auto"/>
              <w:left w:val="single" w:sz="6" w:space="0" w:color="auto"/>
              <w:bottom w:val="single" w:sz="6" w:space="0" w:color="auto"/>
              <w:right w:val="single" w:sz="6" w:space="0" w:color="auto"/>
            </w:tcBorders>
          </w:tcPr>
          <w:p w:rsidR="00AD54A3" w:rsidRPr="00CA4A9E" w:rsidRDefault="00AD54A3" w:rsidP="00FD47C7">
            <w:pPr>
              <w:jc w:val="center"/>
              <w:rPr>
                <w:rFonts w:ascii="Calibri" w:hAnsi="Calibri" w:cs="Calibri"/>
                <w:sz w:val="18"/>
                <w:szCs w:val="18"/>
              </w:rPr>
            </w:pPr>
          </w:p>
          <w:p w:rsidR="00AD54A3" w:rsidRPr="00CA4A9E" w:rsidRDefault="00AD54A3" w:rsidP="00FD47C7">
            <w:pPr>
              <w:jc w:val="center"/>
              <w:rPr>
                <w:rFonts w:ascii="Calibri" w:hAnsi="Calibri" w:cs="Calibri"/>
                <w:sz w:val="18"/>
                <w:szCs w:val="18"/>
              </w:rPr>
            </w:pPr>
            <w:r w:rsidRPr="00CA4A9E">
              <w:rPr>
                <w:rFonts w:ascii="Calibri" w:hAnsi="Calibri" w:cs="Calibri"/>
                <w:sz w:val="18"/>
                <w:szCs w:val="18"/>
              </w:rPr>
              <w:t>1</w:t>
            </w:r>
          </w:p>
        </w:tc>
        <w:tc>
          <w:tcPr>
            <w:tcW w:w="1701" w:type="dxa"/>
            <w:tcBorders>
              <w:top w:val="single" w:sz="6" w:space="0" w:color="auto"/>
              <w:left w:val="single" w:sz="6" w:space="0" w:color="auto"/>
              <w:bottom w:val="single" w:sz="6" w:space="0" w:color="auto"/>
              <w:right w:val="single" w:sz="6" w:space="0" w:color="auto"/>
            </w:tcBorders>
          </w:tcPr>
          <w:p w:rsidR="00AD54A3" w:rsidRPr="00CA4A9E" w:rsidRDefault="00AD54A3" w:rsidP="00FD47C7">
            <w:pPr>
              <w:jc w:val="center"/>
              <w:rPr>
                <w:rFonts w:ascii="Calibri" w:hAnsi="Calibri" w:cs="Calibri"/>
                <w:sz w:val="18"/>
                <w:szCs w:val="18"/>
              </w:rPr>
            </w:pPr>
          </w:p>
          <w:p w:rsidR="00AD54A3" w:rsidRPr="00CA4A9E" w:rsidRDefault="00AD54A3" w:rsidP="00FD47C7">
            <w:pPr>
              <w:jc w:val="center"/>
              <w:rPr>
                <w:rFonts w:ascii="Calibri" w:hAnsi="Calibri" w:cs="Calibri"/>
                <w:sz w:val="18"/>
                <w:szCs w:val="18"/>
              </w:rPr>
            </w:pPr>
            <w:r w:rsidRPr="00CA4A9E">
              <w:rPr>
                <w:rFonts w:ascii="Calibri" w:hAnsi="Calibri" w:cs="Calibri"/>
                <w:sz w:val="18"/>
                <w:szCs w:val="18"/>
              </w:rPr>
              <w:t>1</w:t>
            </w:r>
          </w:p>
        </w:tc>
        <w:tc>
          <w:tcPr>
            <w:tcW w:w="1418" w:type="dxa"/>
            <w:tcBorders>
              <w:top w:val="single" w:sz="6" w:space="0" w:color="auto"/>
              <w:left w:val="single" w:sz="6" w:space="0" w:color="auto"/>
              <w:bottom w:val="single" w:sz="6" w:space="0" w:color="auto"/>
              <w:right w:val="single" w:sz="6" w:space="0" w:color="auto"/>
            </w:tcBorders>
          </w:tcPr>
          <w:p w:rsidR="00AD54A3" w:rsidRPr="00CA4A9E" w:rsidRDefault="00AD54A3" w:rsidP="00FD47C7">
            <w:pPr>
              <w:jc w:val="center"/>
              <w:rPr>
                <w:rFonts w:ascii="Calibri" w:hAnsi="Calibri" w:cs="Calibri"/>
                <w:sz w:val="18"/>
                <w:szCs w:val="18"/>
              </w:rPr>
            </w:pPr>
          </w:p>
          <w:p w:rsidR="00AD54A3" w:rsidRPr="00CA4A9E" w:rsidRDefault="00AD54A3" w:rsidP="00FD47C7">
            <w:pPr>
              <w:jc w:val="center"/>
              <w:rPr>
                <w:rFonts w:ascii="Calibri" w:hAnsi="Calibri" w:cs="Calibri"/>
                <w:sz w:val="18"/>
                <w:szCs w:val="18"/>
              </w:rPr>
            </w:pPr>
          </w:p>
          <w:p w:rsidR="00AD54A3" w:rsidRPr="00CA4A9E" w:rsidRDefault="00AD54A3" w:rsidP="00FD47C7">
            <w:pPr>
              <w:jc w:val="center"/>
              <w:rPr>
                <w:rFonts w:ascii="Calibri" w:hAnsi="Calibri" w:cs="Calibri"/>
                <w:sz w:val="18"/>
                <w:szCs w:val="18"/>
              </w:rPr>
            </w:pPr>
            <w:r w:rsidRPr="00CA4A9E">
              <w:rPr>
                <w:rFonts w:ascii="Calibri" w:hAnsi="Calibri" w:cs="Calibri"/>
                <w:sz w:val="18"/>
                <w:szCs w:val="18"/>
              </w:rPr>
              <w:t>PN-B-04481</w:t>
            </w:r>
          </w:p>
        </w:tc>
      </w:tr>
      <w:tr w:rsidR="00AD54A3" w:rsidRPr="00CA4A9E" w:rsidTr="00C50010">
        <w:tc>
          <w:tcPr>
            <w:tcW w:w="425" w:type="dxa"/>
            <w:tcBorders>
              <w:top w:val="single" w:sz="6" w:space="0" w:color="auto"/>
              <w:left w:val="single" w:sz="6" w:space="0" w:color="auto"/>
              <w:bottom w:val="single" w:sz="6" w:space="0" w:color="auto"/>
              <w:right w:val="single" w:sz="6" w:space="0" w:color="auto"/>
            </w:tcBorders>
          </w:tcPr>
          <w:p w:rsidR="00AD54A3" w:rsidRPr="00CA4A9E" w:rsidRDefault="00AD54A3" w:rsidP="00FD47C7">
            <w:pPr>
              <w:jc w:val="center"/>
              <w:rPr>
                <w:rFonts w:ascii="Calibri" w:hAnsi="Calibri" w:cs="Calibri"/>
                <w:sz w:val="18"/>
                <w:szCs w:val="18"/>
              </w:rPr>
            </w:pPr>
            <w:r w:rsidRPr="00CA4A9E">
              <w:rPr>
                <w:rFonts w:ascii="Calibri" w:hAnsi="Calibri" w:cs="Calibri"/>
                <w:sz w:val="18"/>
                <w:szCs w:val="18"/>
              </w:rPr>
              <w:t>5</w:t>
            </w:r>
          </w:p>
        </w:tc>
        <w:tc>
          <w:tcPr>
            <w:tcW w:w="2694" w:type="dxa"/>
            <w:tcBorders>
              <w:top w:val="single" w:sz="6" w:space="0" w:color="auto"/>
              <w:left w:val="single" w:sz="6" w:space="0" w:color="auto"/>
              <w:bottom w:val="single" w:sz="6" w:space="0" w:color="auto"/>
              <w:right w:val="single" w:sz="6" w:space="0" w:color="auto"/>
            </w:tcBorders>
          </w:tcPr>
          <w:p w:rsidR="00AD54A3" w:rsidRPr="00CA4A9E" w:rsidRDefault="00AD54A3" w:rsidP="00FD47C7">
            <w:pPr>
              <w:jc w:val="center"/>
              <w:rPr>
                <w:rFonts w:ascii="Calibri" w:hAnsi="Calibri" w:cs="Calibri"/>
                <w:sz w:val="18"/>
                <w:szCs w:val="18"/>
              </w:rPr>
            </w:pPr>
            <w:r w:rsidRPr="00CA4A9E">
              <w:rPr>
                <w:rFonts w:ascii="Calibri" w:hAnsi="Calibri" w:cs="Calibri"/>
                <w:sz w:val="18"/>
                <w:szCs w:val="18"/>
              </w:rPr>
              <w:t>Wskaźnik piaskowy po pięcio-krotnym zagęszczeniu metodą I lub II wg PN-B-04481, %</w:t>
            </w:r>
          </w:p>
          <w:p w:rsidR="00AD54A3" w:rsidRPr="00CA4A9E" w:rsidRDefault="00AD54A3" w:rsidP="00FD47C7">
            <w:pPr>
              <w:jc w:val="center"/>
              <w:rPr>
                <w:rFonts w:ascii="Calibri" w:hAnsi="Calibri" w:cs="Calibri"/>
                <w:sz w:val="18"/>
                <w:szCs w:val="18"/>
              </w:rPr>
            </w:pPr>
          </w:p>
        </w:tc>
        <w:tc>
          <w:tcPr>
            <w:tcW w:w="1559" w:type="dxa"/>
            <w:tcBorders>
              <w:top w:val="single" w:sz="6" w:space="0" w:color="auto"/>
              <w:left w:val="single" w:sz="6" w:space="0" w:color="auto"/>
              <w:bottom w:val="single" w:sz="6" w:space="0" w:color="auto"/>
              <w:right w:val="single" w:sz="6" w:space="0" w:color="auto"/>
            </w:tcBorders>
          </w:tcPr>
          <w:p w:rsidR="00AD54A3" w:rsidRPr="00CA4A9E" w:rsidRDefault="00AD54A3" w:rsidP="00FD47C7">
            <w:pPr>
              <w:jc w:val="center"/>
              <w:rPr>
                <w:rFonts w:ascii="Calibri" w:hAnsi="Calibri" w:cs="Calibri"/>
                <w:sz w:val="18"/>
                <w:szCs w:val="18"/>
              </w:rPr>
            </w:pPr>
            <w:r w:rsidRPr="00CA4A9E">
              <w:rPr>
                <w:rFonts w:ascii="Calibri" w:hAnsi="Calibri" w:cs="Calibri"/>
                <w:sz w:val="18"/>
                <w:szCs w:val="18"/>
              </w:rPr>
              <w:t>od 30 do 70</w:t>
            </w:r>
          </w:p>
        </w:tc>
        <w:tc>
          <w:tcPr>
            <w:tcW w:w="1701" w:type="dxa"/>
            <w:tcBorders>
              <w:top w:val="single" w:sz="6" w:space="0" w:color="auto"/>
              <w:left w:val="single" w:sz="6" w:space="0" w:color="auto"/>
              <w:bottom w:val="single" w:sz="6" w:space="0" w:color="auto"/>
              <w:right w:val="single" w:sz="6" w:space="0" w:color="auto"/>
            </w:tcBorders>
          </w:tcPr>
          <w:p w:rsidR="00AD54A3" w:rsidRPr="00CA4A9E" w:rsidRDefault="00AD54A3" w:rsidP="00FD47C7">
            <w:pPr>
              <w:jc w:val="center"/>
              <w:rPr>
                <w:rFonts w:ascii="Calibri" w:hAnsi="Calibri" w:cs="Calibri"/>
                <w:sz w:val="18"/>
                <w:szCs w:val="18"/>
              </w:rPr>
            </w:pPr>
            <w:r w:rsidRPr="00CA4A9E">
              <w:rPr>
                <w:rFonts w:ascii="Calibri" w:hAnsi="Calibri" w:cs="Calibri"/>
                <w:sz w:val="18"/>
                <w:szCs w:val="18"/>
              </w:rPr>
              <w:t>od 30 do 70</w:t>
            </w:r>
          </w:p>
        </w:tc>
        <w:tc>
          <w:tcPr>
            <w:tcW w:w="1418" w:type="dxa"/>
            <w:tcBorders>
              <w:top w:val="single" w:sz="6" w:space="0" w:color="auto"/>
              <w:left w:val="single" w:sz="6" w:space="0" w:color="auto"/>
              <w:bottom w:val="single" w:sz="6" w:space="0" w:color="auto"/>
              <w:right w:val="single" w:sz="6" w:space="0" w:color="auto"/>
            </w:tcBorders>
          </w:tcPr>
          <w:p w:rsidR="00AD54A3" w:rsidRPr="00CA4A9E" w:rsidRDefault="00AD54A3" w:rsidP="00FD47C7">
            <w:pPr>
              <w:jc w:val="center"/>
              <w:rPr>
                <w:rFonts w:ascii="Calibri" w:hAnsi="Calibri" w:cs="Calibri"/>
                <w:sz w:val="18"/>
                <w:szCs w:val="18"/>
              </w:rPr>
            </w:pPr>
          </w:p>
          <w:p w:rsidR="00AD54A3" w:rsidRPr="00CA4A9E" w:rsidRDefault="00AD54A3" w:rsidP="00FD47C7">
            <w:pPr>
              <w:jc w:val="center"/>
              <w:rPr>
                <w:rFonts w:ascii="Calibri" w:hAnsi="Calibri" w:cs="Calibri"/>
                <w:sz w:val="18"/>
                <w:szCs w:val="18"/>
              </w:rPr>
            </w:pPr>
            <w:r w:rsidRPr="00CA4A9E">
              <w:rPr>
                <w:rFonts w:ascii="Calibri" w:hAnsi="Calibri" w:cs="Calibri"/>
                <w:sz w:val="18"/>
                <w:szCs w:val="18"/>
              </w:rPr>
              <w:t>BN-64/8931</w:t>
            </w:r>
          </w:p>
          <w:p w:rsidR="00AD54A3" w:rsidRPr="00CA4A9E" w:rsidRDefault="00AD54A3" w:rsidP="00FD47C7">
            <w:pPr>
              <w:jc w:val="center"/>
              <w:rPr>
                <w:rFonts w:ascii="Calibri" w:hAnsi="Calibri" w:cs="Calibri"/>
                <w:sz w:val="18"/>
                <w:szCs w:val="18"/>
              </w:rPr>
            </w:pPr>
            <w:r w:rsidRPr="00CA4A9E">
              <w:rPr>
                <w:rFonts w:ascii="Calibri" w:hAnsi="Calibri" w:cs="Calibri"/>
                <w:sz w:val="18"/>
                <w:szCs w:val="18"/>
              </w:rPr>
              <w:t>-01</w:t>
            </w:r>
          </w:p>
        </w:tc>
      </w:tr>
      <w:tr w:rsidR="00AD54A3" w:rsidRPr="00CA4A9E" w:rsidTr="00C50010">
        <w:tc>
          <w:tcPr>
            <w:tcW w:w="425" w:type="dxa"/>
            <w:tcBorders>
              <w:top w:val="single" w:sz="6" w:space="0" w:color="auto"/>
              <w:left w:val="single" w:sz="6" w:space="0" w:color="auto"/>
              <w:bottom w:val="single" w:sz="6" w:space="0" w:color="auto"/>
              <w:right w:val="single" w:sz="6" w:space="0" w:color="auto"/>
            </w:tcBorders>
          </w:tcPr>
          <w:p w:rsidR="00AD54A3" w:rsidRPr="00CA4A9E" w:rsidRDefault="00AD54A3" w:rsidP="00FD47C7">
            <w:pPr>
              <w:jc w:val="center"/>
              <w:rPr>
                <w:rFonts w:ascii="Calibri" w:hAnsi="Calibri" w:cs="Calibri"/>
                <w:sz w:val="18"/>
                <w:szCs w:val="18"/>
              </w:rPr>
            </w:pPr>
            <w:r w:rsidRPr="00CA4A9E">
              <w:rPr>
                <w:rFonts w:ascii="Calibri" w:hAnsi="Calibri" w:cs="Calibri"/>
                <w:sz w:val="18"/>
                <w:szCs w:val="18"/>
              </w:rPr>
              <w:t>6</w:t>
            </w:r>
          </w:p>
        </w:tc>
        <w:tc>
          <w:tcPr>
            <w:tcW w:w="2694" w:type="dxa"/>
            <w:tcBorders>
              <w:top w:val="single" w:sz="6" w:space="0" w:color="auto"/>
              <w:left w:val="single" w:sz="6" w:space="0" w:color="auto"/>
              <w:bottom w:val="single" w:sz="6" w:space="0" w:color="auto"/>
              <w:right w:val="single" w:sz="6" w:space="0" w:color="auto"/>
            </w:tcBorders>
          </w:tcPr>
          <w:p w:rsidR="00AD54A3" w:rsidRPr="00CA4A9E" w:rsidRDefault="00AD54A3" w:rsidP="00FD47C7">
            <w:pPr>
              <w:jc w:val="center"/>
              <w:rPr>
                <w:rFonts w:ascii="Calibri" w:hAnsi="Calibri" w:cs="Calibri"/>
                <w:sz w:val="18"/>
                <w:szCs w:val="18"/>
              </w:rPr>
            </w:pPr>
            <w:r w:rsidRPr="00CA4A9E">
              <w:rPr>
                <w:rFonts w:ascii="Calibri" w:hAnsi="Calibri" w:cs="Calibri"/>
                <w:sz w:val="18"/>
                <w:szCs w:val="18"/>
              </w:rPr>
              <w:t xml:space="preserve">Ścieralność w bębnie Los </w:t>
            </w:r>
            <w:r w:rsidR="00C50010">
              <w:rPr>
                <w:rFonts w:ascii="Calibri" w:hAnsi="Calibri" w:cs="Calibri"/>
                <w:sz w:val="18"/>
                <w:szCs w:val="18"/>
              </w:rPr>
              <w:t>A</w:t>
            </w:r>
            <w:r w:rsidRPr="00CA4A9E">
              <w:rPr>
                <w:rFonts w:ascii="Calibri" w:hAnsi="Calibri" w:cs="Calibri"/>
                <w:sz w:val="18"/>
                <w:szCs w:val="18"/>
              </w:rPr>
              <w:t>ngeles</w:t>
            </w:r>
          </w:p>
          <w:p w:rsidR="00AD54A3" w:rsidRPr="00CA4A9E" w:rsidRDefault="00AD54A3" w:rsidP="00FD47C7">
            <w:pPr>
              <w:jc w:val="center"/>
              <w:rPr>
                <w:rFonts w:ascii="Calibri" w:hAnsi="Calibri" w:cs="Calibri"/>
                <w:sz w:val="18"/>
                <w:szCs w:val="18"/>
              </w:rPr>
            </w:pPr>
            <w:r w:rsidRPr="00CA4A9E">
              <w:rPr>
                <w:rFonts w:ascii="Calibri" w:hAnsi="Calibri" w:cs="Calibri"/>
                <w:sz w:val="18"/>
                <w:szCs w:val="18"/>
              </w:rPr>
              <w:t>a) ścieralność całkowita po pełnej liczbie obrotów, nie więcej niż</w:t>
            </w:r>
          </w:p>
          <w:p w:rsidR="00AD54A3" w:rsidRDefault="00AD54A3" w:rsidP="00FD47C7">
            <w:pPr>
              <w:jc w:val="center"/>
              <w:rPr>
                <w:rFonts w:ascii="Calibri" w:hAnsi="Calibri" w:cs="Calibri"/>
                <w:sz w:val="18"/>
                <w:szCs w:val="18"/>
              </w:rPr>
            </w:pPr>
            <w:r w:rsidRPr="00CA4A9E">
              <w:rPr>
                <w:rFonts w:ascii="Calibri" w:hAnsi="Calibri" w:cs="Calibri"/>
                <w:sz w:val="18"/>
                <w:szCs w:val="18"/>
              </w:rPr>
              <w:t>b) ścieralność częściowa po 1/5 pełnej liczby obrotów, nie więcej niż</w:t>
            </w:r>
          </w:p>
          <w:p w:rsidR="00C50010" w:rsidRPr="00CA4A9E" w:rsidRDefault="00C50010" w:rsidP="00FD47C7">
            <w:pPr>
              <w:jc w:val="center"/>
              <w:rPr>
                <w:rFonts w:ascii="Calibri" w:hAnsi="Calibri" w:cs="Calibri"/>
                <w:sz w:val="18"/>
                <w:szCs w:val="18"/>
              </w:rPr>
            </w:pPr>
          </w:p>
        </w:tc>
        <w:tc>
          <w:tcPr>
            <w:tcW w:w="1559" w:type="dxa"/>
            <w:tcBorders>
              <w:top w:val="single" w:sz="6" w:space="0" w:color="auto"/>
              <w:left w:val="single" w:sz="6" w:space="0" w:color="auto"/>
              <w:bottom w:val="single" w:sz="6" w:space="0" w:color="auto"/>
              <w:right w:val="single" w:sz="6" w:space="0" w:color="auto"/>
            </w:tcBorders>
          </w:tcPr>
          <w:p w:rsidR="00AD54A3" w:rsidRPr="00CA4A9E" w:rsidRDefault="00AD54A3" w:rsidP="00FD47C7">
            <w:pPr>
              <w:jc w:val="center"/>
              <w:rPr>
                <w:rFonts w:ascii="Calibri" w:hAnsi="Calibri" w:cs="Calibri"/>
                <w:sz w:val="18"/>
                <w:szCs w:val="18"/>
              </w:rPr>
            </w:pPr>
          </w:p>
          <w:p w:rsidR="00AD54A3" w:rsidRPr="00CA4A9E" w:rsidRDefault="00AD54A3" w:rsidP="00FD47C7">
            <w:pPr>
              <w:jc w:val="center"/>
              <w:rPr>
                <w:rFonts w:ascii="Calibri" w:hAnsi="Calibri" w:cs="Calibri"/>
                <w:sz w:val="18"/>
                <w:szCs w:val="18"/>
              </w:rPr>
            </w:pPr>
            <w:r w:rsidRPr="00CA4A9E">
              <w:rPr>
                <w:rFonts w:ascii="Calibri" w:hAnsi="Calibri" w:cs="Calibri"/>
                <w:sz w:val="18"/>
                <w:szCs w:val="18"/>
              </w:rPr>
              <w:t>35</w:t>
            </w:r>
          </w:p>
          <w:p w:rsidR="00AD54A3" w:rsidRPr="00CA4A9E" w:rsidRDefault="00AD54A3" w:rsidP="00FD47C7">
            <w:pPr>
              <w:jc w:val="center"/>
              <w:rPr>
                <w:rFonts w:ascii="Calibri" w:hAnsi="Calibri" w:cs="Calibri"/>
                <w:sz w:val="18"/>
                <w:szCs w:val="18"/>
              </w:rPr>
            </w:pPr>
          </w:p>
          <w:p w:rsidR="00AD54A3" w:rsidRPr="00CA4A9E" w:rsidRDefault="00AD54A3" w:rsidP="00FD47C7">
            <w:pPr>
              <w:jc w:val="center"/>
              <w:rPr>
                <w:rFonts w:ascii="Calibri" w:hAnsi="Calibri" w:cs="Calibri"/>
                <w:sz w:val="18"/>
                <w:szCs w:val="18"/>
              </w:rPr>
            </w:pPr>
          </w:p>
          <w:p w:rsidR="00AD54A3" w:rsidRPr="00CA4A9E" w:rsidRDefault="00AD54A3" w:rsidP="00FD47C7">
            <w:pPr>
              <w:jc w:val="center"/>
              <w:rPr>
                <w:rFonts w:ascii="Calibri" w:hAnsi="Calibri" w:cs="Calibri"/>
                <w:sz w:val="18"/>
                <w:szCs w:val="18"/>
              </w:rPr>
            </w:pPr>
            <w:r w:rsidRPr="00CA4A9E">
              <w:rPr>
                <w:rFonts w:ascii="Calibri" w:hAnsi="Calibri" w:cs="Calibri"/>
                <w:sz w:val="18"/>
                <w:szCs w:val="18"/>
              </w:rPr>
              <w:t>30</w:t>
            </w:r>
          </w:p>
        </w:tc>
        <w:tc>
          <w:tcPr>
            <w:tcW w:w="1701" w:type="dxa"/>
            <w:tcBorders>
              <w:top w:val="single" w:sz="6" w:space="0" w:color="auto"/>
              <w:left w:val="single" w:sz="6" w:space="0" w:color="auto"/>
              <w:bottom w:val="single" w:sz="6" w:space="0" w:color="auto"/>
              <w:right w:val="single" w:sz="6" w:space="0" w:color="auto"/>
            </w:tcBorders>
          </w:tcPr>
          <w:p w:rsidR="00AD54A3" w:rsidRPr="00CA4A9E" w:rsidRDefault="00AD54A3" w:rsidP="00FD47C7">
            <w:pPr>
              <w:jc w:val="center"/>
              <w:rPr>
                <w:rFonts w:ascii="Calibri" w:hAnsi="Calibri" w:cs="Calibri"/>
                <w:sz w:val="18"/>
                <w:szCs w:val="18"/>
              </w:rPr>
            </w:pPr>
          </w:p>
          <w:p w:rsidR="00AD54A3" w:rsidRPr="00CA4A9E" w:rsidRDefault="00AD54A3" w:rsidP="00FD47C7">
            <w:pPr>
              <w:jc w:val="center"/>
              <w:rPr>
                <w:rFonts w:ascii="Calibri" w:hAnsi="Calibri" w:cs="Calibri"/>
                <w:sz w:val="18"/>
                <w:szCs w:val="18"/>
              </w:rPr>
            </w:pPr>
            <w:r w:rsidRPr="00CA4A9E">
              <w:rPr>
                <w:rFonts w:ascii="Calibri" w:hAnsi="Calibri" w:cs="Calibri"/>
                <w:sz w:val="18"/>
                <w:szCs w:val="18"/>
              </w:rPr>
              <w:t>50</w:t>
            </w:r>
          </w:p>
          <w:p w:rsidR="00AD54A3" w:rsidRPr="00CA4A9E" w:rsidRDefault="00AD54A3" w:rsidP="00FD47C7">
            <w:pPr>
              <w:jc w:val="center"/>
              <w:rPr>
                <w:rFonts w:ascii="Calibri" w:hAnsi="Calibri" w:cs="Calibri"/>
                <w:sz w:val="18"/>
                <w:szCs w:val="18"/>
              </w:rPr>
            </w:pPr>
          </w:p>
          <w:p w:rsidR="00AD54A3" w:rsidRPr="00CA4A9E" w:rsidRDefault="00AD54A3" w:rsidP="00FD47C7">
            <w:pPr>
              <w:jc w:val="center"/>
              <w:rPr>
                <w:rFonts w:ascii="Calibri" w:hAnsi="Calibri" w:cs="Calibri"/>
                <w:sz w:val="18"/>
                <w:szCs w:val="18"/>
              </w:rPr>
            </w:pPr>
          </w:p>
          <w:p w:rsidR="00AD54A3" w:rsidRPr="00CA4A9E" w:rsidRDefault="00AD54A3" w:rsidP="00FD47C7">
            <w:pPr>
              <w:jc w:val="center"/>
              <w:rPr>
                <w:rFonts w:ascii="Calibri" w:hAnsi="Calibri" w:cs="Calibri"/>
                <w:sz w:val="18"/>
                <w:szCs w:val="18"/>
              </w:rPr>
            </w:pPr>
            <w:r w:rsidRPr="00CA4A9E">
              <w:rPr>
                <w:rFonts w:ascii="Calibri" w:hAnsi="Calibri" w:cs="Calibri"/>
                <w:sz w:val="18"/>
                <w:szCs w:val="18"/>
              </w:rPr>
              <w:t>35</w:t>
            </w:r>
          </w:p>
        </w:tc>
        <w:tc>
          <w:tcPr>
            <w:tcW w:w="1418" w:type="dxa"/>
            <w:tcBorders>
              <w:top w:val="single" w:sz="6" w:space="0" w:color="auto"/>
              <w:left w:val="single" w:sz="6" w:space="0" w:color="auto"/>
              <w:bottom w:val="single" w:sz="6" w:space="0" w:color="auto"/>
              <w:right w:val="single" w:sz="6" w:space="0" w:color="auto"/>
            </w:tcBorders>
          </w:tcPr>
          <w:p w:rsidR="00AD54A3" w:rsidRPr="00CA4A9E" w:rsidRDefault="00AD54A3" w:rsidP="00FD47C7">
            <w:pPr>
              <w:jc w:val="center"/>
              <w:rPr>
                <w:rFonts w:ascii="Calibri" w:hAnsi="Calibri" w:cs="Calibri"/>
                <w:sz w:val="18"/>
                <w:szCs w:val="18"/>
              </w:rPr>
            </w:pPr>
          </w:p>
          <w:p w:rsidR="00AD54A3" w:rsidRPr="00CA4A9E" w:rsidRDefault="00AD54A3" w:rsidP="00FD47C7">
            <w:pPr>
              <w:jc w:val="center"/>
              <w:rPr>
                <w:rFonts w:ascii="Calibri" w:hAnsi="Calibri" w:cs="Calibri"/>
                <w:sz w:val="18"/>
                <w:szCs w:val="18"/>
              </w:rPr>
            </w:pPr>
          </w:p>
          <w:p w:rsidR="00AD54A3" w:rsidRPr="00CA4A9E" w:rsidRDefault="00AD54A3" w:rsidP="00FD47C7">
            <w:pPr>
              <w:jc w:val="center"/>
              <w:rPr>
                <w:rFonts w:ascii="Calibri" w:hAnsi="Calibri" w:cs="Calibri"/>
                <w:sz w:val="18"/>
                <w:szCs w:val="18"/>
              </w:rPr>
            </w:pPr>
            <w:r w:rsidRPr="00CA4A9E">
              <w:rPr>
                <w:rFonts w:ascii="Calibri" w:hAnsi="Calibri" w:cs="Calibri"/>
                <w:sz w:val="18"/>
                <w:szCs w:val="18"/>
              </w:rPr>
              <w:t>PN-B-06714</w:t>
            </w:r>
          </w:p>
          <w:p w:rsidR="00AD54A3" w:rsidRPr="00CA4A9E" w:rsidRDefault="00AD54A3" w:rsidP="00FD47C7">
            <w:pPr>
              <w:jc w:val="center"/>
              <w:rPr>
                <w:rFonts w:ascii="Calibri" w:hAnsi="Calibri" w:cs="Calibri"/>
                <w:sz w:val="18"/>
                <w:szCs w:val="18"/>
              </w:rPr>
            </w:pPr>
            <w:r w:rsidRPr="00CA4A9E">
              <w:rPr>
                <w:rFonts w:ascii="Calibri" w:hAnsi="Calibri" w:cs="Calibri"/>
                <w:sz w:val="18"/>
                <w:szCs w:val="18"/>
              </w:rPr>
              <w:t>-42</w:t>
            </w:r>
          </w:p>
        </w:tc>
      </w:tr>
      <w:tr w:rsidR="00AD54A3" w:rsidRPr="00CA4A9E" w:rsidTr="00C50010">
        <w:tc>
          <w:tcPr>
            <w:tcW w:w="425" w:type="dxa"/>
            <w:tcBorders>
              <w:top w:val="single" w:sz="6" w:space="0" w:color="auto"/>
              <w:left w:val="single" w:sz="6" w:space="0" w:color="auto"/>
              <w:bottom w:val="single" w:sz="6" w:space="0" w:color="auto"/>
              <w:right w:val="single" w:sz="6" w:space="0" w:color="auto"/>
            </w:tcBorders>
          </w:tcPr>
          <w:p w:rsidR="00AD54A3" w:rsidRPr="00CA4A9E" w:rsidRDefault="00AD54A3" w:rsidP="00FD47C7">
            <w:pPr>
              <w:jc w:val="center"/>
              <w:rPr>
                <w:rFonts w:ascii="Calibri" w:hAnsi="Calibri" w:cs="Calibri"/>
                <w:sz w:val="18"/>
                <w:szCs w:val="18"/>
              </w:rPr>
            </w:pPr>
            <w:r w:rsidRPr="00CA4A9E">
              <w:rPr>
                <w:rFonts w:ascii="Calibri" w:hAnsi="Calibri" w:cs="Calibri"/>
                <w:sz w:val="18"/>
                <w:szCs w:val="18"/>
              </w:rPr>
              <w:t>7</w:t>
            </w:r>
          </w:p>
        </w:tc>
        <w:tc>
          <w:tcPr>
            <w:tcW w:w="2694" w:type="dxa"/>
            <w:tcBorders>
              <w:top w:val="single" w:sz="6" w:space="0" w:color="auto"/>
              <w:left w:val="single" w:sz="6" w:space="0" w:color="auto"/>
              <w:bottom w:val="single" w:sz="6" w:space="0" w:color="auto"/>
              <w:right w:val="single" w:sz="6" w:space="0" w:color="auto"/>
            </w:tcBorders>
          </w:tcPr>
          <w:p w:rsidR="00AD54A3" w:rsidRPr="00CA4A9E" w:rsidRDefault="00AD54A3" w:rsidP="00FD47C7">
            <w:pPr>
              <w:jc w:val="center"/>
              <w:rPr>
                <w:rFonts w:ascii="Calibri" w:hAnsi="Calibri" w:cs="Calibri"/>
                <w:sz w:val="18"/>
                <w:szCs w:val="18"/>
              </w:rPr>
            </w:pPr>
            <w:r w:rsidRPr="00CA4A9E">
              <w:rPr>
                <w:rFonts w:ascii="Calibri" w:hAnsi="Calibri" w:cs="Calibri"/>
                <w:sz w:val="18"/>
                <w:szCs w:val="18"/>
              </w:rPr>
              <w:t>Nasiąkliwość, %(m/m), nie więcej niż</w:t>
            </w:r>
          </w:p>
        </w:tc>
        <w:tc>
          <w:tcPr>
            <w:tcW w:w="1559" w:type="dxa"/>
            <w:tcBorders>
              <w:top w:val="single" w:sz="6" w:space="0" w:color="auto"/>
              <w:left w:val="single" w:sz="6" w:space="0" w:color="auto"/>
              <w:bottom w:val="single" w:sz="6" w:space="0" w:color="auto"/>
              <w:right w:val="single" w:sz="6" w:space="0" w:color="auto"/>
            </w:tcBorders>
          </w:tcPr>
          <w:p w:rsidR="00AD54A3" w:rsidRPr="00CA4A9E" w:rsidRDefault="00AD54A3" w:rsidP="00FD47C7">
            <w:pPr>
              <w:jc w:val="center"/>
              <w:rPr>
                <w:rFonts w:ascii="Calibri" w:hAnsi="Calibri" w:cs="Calibri"/>
                <w:sz w:val="18"/>
                <w:szCs w:val="18"/>
              </w:rPr>
            </w:pPr>
            <w:r w:rsidRPr="00CA4A9E">
              <w:rPr>
                <w:rFonts w:ascii="Calibri" w:hAnsi="Calibri" w:cs="Calibri"/>
                <w:sz w:val="18"/>
                <w:szCs w:val="18"/>
              </w:rPr>
              <w:t>3</w:t>
            </w:r>
          </w:p>
        </w:tc>
        <w:tc>
          <w:tcPr>
            <w:tcW w:w="1701" w:type="dxa"/>
            <w:tcBorders>
              <w:top w:val="single" w:sz="6" w:space="0" w:color="auto"/>
              <w:left w:val="single" w:sz="6" w:space="0" w:color="auto"/>
              <w:bottom w:val="single" w:sz="6" w:space="0" w:color="auto"/>
              <w:right w:val="single" w:sz="6" w:space="0" w:color="auto"/>
            </w:tcBorders>
          </w:tcPr>
          <w:p w:rsidR="00AD54A3" w:rsidRPr="00CA4A9E" w:rsidRDefault="00AD54A3" w:rsidP="00FD47C7">
            <w:pPr>
              <w:jc w:val="center"/>
              <w:rPr>
                <w:rFonts w:ascii="Calibri" w:hAnsi="Calibri" w:cs="Calibri"/>
                <w:sz w:val="18"/>
                <w:szCs w:val="18"/>
              </w:rPr>
            </w:pPr>
            <w:r w:rsidRPr="00CA4A9E">
              <w:rPr>
                <w:rFonts w:ascii="Calibri" w:hAnsi="Calibri" w:cs="Calibri"/>
                <w:sz w:val="18"/>
                <w:szCs w:val="18"/>
              </w:rPr>
              <w:t>5</w:t>
            </w:r>
          </w:p>
        </w:tc>
        <w:tc>
          <w:tcPr>
            <w:tcW w:w="1418" w:type="dxa"/>
            <w:tcBorders>
              <w:top w:val="single" w:sz="6" w:space="0" w:color="auto"/>
              <w:left w:val="single" w:sz="6" w:space="0" w:color="auto"/>
              <w:bottom w:val="single" w:sz="6" w:space="0" w:color="auto"/>
              <w:right w:val="single" w:sz="6" w:space="0" w:color="auto"/>
            </w:tcBorders>
          </w:tcPr>
          <w:p w:rsidR="00AD54A3" w:rsidRPr="00CA4A9E" w:rsidRDefault="00AD54A3" w:rsidP="00FD47C7">
            <w:pPr>
              <w:jc w:val="center"/>
              <w:rPr>
                <w:rFonts w:ascii="Calibri" w:hAnsi="Calibri" w:cs="Calibri"/>
                <w:sz w:val="18"/>
                <w:szCs w:val="18"/>
              </w:rPr>
            </w:pPr>
            <w:r w:rsidRPr="00CA4A9E">
              <w:rPr>
                <w:rFonts w:ascii="Calibri" w:hAnsi="Calibri" w:cs="Calibri"/>
                <w:sz w:val="18"/>
                <w:szCs w:val="18"/>
              </w:rPr>
              <w:t>PN-B-06714</w:t>
            </w:r>
          </w:p>
          <w:p w:rsidR="00AD54A3" w:rsidRPr="00CA4A9E" w:rsidRDefault="00AD54A3" w:rsidP="00FD47C7">
            <w:pPr>
              <w:jc w:val="center"/>
              <w:rPr>
                <w:rFonts w:ascii="Calibri" w:hAnsi="Calibri" w:cs="Calibri"/>
                <w:sz w:val="18"/>
                <w:szCs w:val="18"/>
              </w:rPr>
            </w:pPr>
            <w:r w:rsidRPr="00CA4A9E">
              <w:rPr>
                <w:rFonts w:ascii="Calibri" w:hAnsi="Calibri" w:cs="Calibri"/>
                <w:sz w:val="18"/>
                <w:szCs w:val="18"/>
              </w:rPr>
              <w:t>-18</w:t>
            </w:r>
          </w:p>
        </w:tc>
      </w:tr>
      <w:tr w:rsidR="00AD54A3" w:rsidRPr="00CA4A9E" w:rsidTr="00C50010">
        <w:tc>
          <w:tcPr>
            <w:tcW w:w="425" w:type="dxa"/>
            <w:tcBorders>
              <w:top w:val="single" w:sz="6" w:space="0" w:color="auto"/>
              <w:left w:val="single" w:sz="6" w:space="0" w:color="auto"/>
              <w:bottom w:val="single" w:sz="6" w:space="0" w:color="auto"/>
              <w:right w:val="single" w:sz="6" w:space="0" w:color="auto"/>
            </w:tcBorders>
          </w:tcPr>
          <w:p w:rsidR="00AD54A3" w:rsidRPr="00CA4A9E" w:rsidRDefault="00AD54A3" w:rsidP="00FD47C7">
            <w:pPr>
              <w:jc w:val="center"/>
              <w:rPr>
                <w:rFonts w:ascii="Calibri" w:hAnsi="Calibri" w:cs="Calibri"/>
                <w:sz w:val="18"/>
                <w:szCs w:val="18"/>
              </w:rPr>
            </w:pPr>
            <w:r w:rsidRPr="00CA4A9E">
              <w:rPr>
                <w:rFonts w:ascii="Calibri" w:hAnsi="Calibri" w:cs="Calibri"/>
                <w:sz w:val="18"/>
                <w:szCs w:val="18"/>
              </w:rPr>
              <w:t>8</w:t>
            </w:r>
          </w:p>
        </w:tc>
        <w:tc>
          <w:tcPr>
            <w:tcW w:w="2694" w:type="dxa"/>
            <w:tcBorders>
              <w:top w:val="single" w:sz="6" w:space="0" w:color="auto"/>
              <w:left w:val="single" w:sz="6" w:space="0" w:color="auto"/>
              <w:bottom w:val="single" w:sz="6" w:space="0" w:color="auto"/>
              <w:right w:val="single" w:sz="6" w:space="0" w:color="auto"/>
            </w:tcBorders>
          </w:tcPr>
          <w:p w:rsidR="00AD54A3" w:rsidRPr="00CA4A9E" w:rsidRDefault="00AD54A3" w:rsidP="00FD47C7">
            <w:pPr>
              <w:jc w:val="center"/>
              <w:rPr>
                <w:rFonts w:ascii="Calibri" w:hAnsi="Calibri" w:cs="Calibri"/>
                <w:sz w:val="18"/>
                <w:szCs w:val="18"/>
              </w:rPr>
            </w:pPr>
            <w:r w:rsidRPr="00CA4A9E">
              <w:rPr>
                <w:rFonts w:ascii="Calibri" w:hAnsi="Calibri" w:cs="Calibri"/>
                <w:sz w:val="18"/>
                <w:szCs w:val="18"/>
              </w:rPr>
              <w:t>Mrozoodporność, ubytek masy po 25 cyklach zamrażania, %(m/m), nie więcej niż</w:t>
            </w:r>
          </w:p>
        </w:tc>
        <w:tc>
          <w:tcPr>
            <w:tcW w:w="1559" w:type="dxa"/>
            <w:tcBorders>
              <w:top w:val="single" w:sz="6" w:space="0" w:color="auto"/>
              <w:left w:val="single" w:sz="6" w:space="0" w:color="auto"/>
              <w:bottom w:val="single" w:sz="6" w:space="0" w:color="auto"/>
              <w:right w:val="single" w:sz="6" w:space="0" w:color="auto"/>
            </w:tcBorders>
          </w:tcPr>
          <w:p w:rsidR="00AD54A3" w:rsidRPr="00CA4A9E" w:rsidRDefault="00AD54A3" w:rsidP="00FD47C7">
            <w:pPr>
              <w:jc w:val="center"/>
              <w:rPr>
                <w:rFonts w:ascii="Calibri" w:hAnsi="Calibri" w:cs="Calibri"/>
                <w:sz w:val="18"/>
                <w:szCs w:val="18"/>
              </w:rPr>
            </w:pPr>
          </w:p>
          <w:p w:rsidR="00AD54A3" w:rsidRPr="00CA4A9E" w:rsidRDefault="00AD54A3" w:rsidP="00FD47C7">
            <w:pPr>
              <w:jc w:val="center"/>
              <w:rPr>
                <w:rFonts w:ascii="Calibri" w:hAnsi="Calibri" w:cs="Calibri"/>
                <w:sz w:val="18"/>
                <w:szCs w:val="18"/>
              </w:rPr>
            </w:pPr>
            <w:r w:rsidRPr="00CA4A9E">
              <w:rPr>
                <w:rFonts w:ascii="Calibri" w:hAnsi="Calibri" w:cs="Calibri"/>
                <w:sz w:val="18"/>
                <w:szCs w:val="18"/>
              </w:rPr>
              <w:t>5</w:t>
            </w:r>
          </w:p>
        </w:tc>
        <w:tc>
          <w:tcPr>
            <w:tcW w:w="1701" w:type="dxa"/>
            <w:tcBorders>
              <w:top w:val="single" w:sz="6" w:space="0" w:color="auto"/>
              <w:left w:val="single" w:sz="6" w:space="0" w:color="auto"/>
              <w:bottom w:val="single" w:sz="6" w:space="0" w:color="auto"/>
              <w:right w:val="single" w:sz="6" w:space="0" w:color="auto"/>
            </w:tcBorders>
          </w:tcPr>
          <w:p w:rsidR="00AD54A3" w:rsidRPr="00CA4A9E" w:rsidRDefault="00AD54A3" w:rsidP="00FD47C7">
            <w:pPr>
              <w:jc w:val="center"/>
              <w:rPr>
                <w:rFonts w:ascii="Calibri" w:hAnsi="Calibri" w:cs="Calibri"/>
                <w:sz w:val="18"/>
                <w:szCs w:val="18"/>
              </w:rPr>
            </w:pPr>
          </w:p>
          <w:p w:rsidR="00AD54A3" w:rsidRPr="00CA4A9E" w:rsidRDefault="00AD54A3" w:rsidP="00FD47C7">
            <w:pPr>
              <w:jc w:val="center"/>
              <w:rPr>
                <w:rFonts w:ascii="Calibri" w:hAnsi="Calibri" w:cs="Calibri"/>
                <w:sz w:val="18"/>
                <w:szCs w:val="18"/>
              </w:rPr>
            </w:pPr>
            <w:r w:rsidRPr="00CA4A9E">
              <w:rPr>
                <w:rFonts w:ascii="Calibri" w:hAnsi="Calibri" w:cs="Calibri"/>
                <w:sz w:val="18"/>
                <w:szCs w:val="18"/>
              </w:rPr>
              <w:t>10</w:t>
            </w:r>
          </w:p>
        </w:tc>
        <w:tc>
          <w:tcPr>
            <w:tcW w:w="1418" w:type="dxa"/>
            <w:tcBorders>
              <w:top w:val="single" w:sz="6" w:space="0" w:color="auto"/>
              <w:left w:val="single" w:sz="6" w:space="0" w:color="auto"/>
              <w:bottom w:val="single" w:sz="6" w:space="0" w:color="auto"/>
              <w:right w:val="single" w:sz="6" w:space="0" w:color="auto"/>
            </w:tcBorders>
          </w:tcPr>
          <w:p w:rsidR="00AD54A3" w:rsidRPr="00CA4A9E" w:rsidRDefault="00AD54A3" w:rsidP="00FD47C7">
            <w:pPr>
              <w:jc w:val="center"/>
              <w:rPr>
                <w:rFonts w:ascii="Calibri" w:hAnsi="Calibri" w:cs="Calibri"/>
                <w:sz w:val="18"/>
                <w:szCs w:val="18"/>
              </w:rPr>
            </w:pPr>
            <w:r w:rsidRPr="00CA4A9E">
              <w:rPr>
                <w:rFonts w:ascii="Calibri" w:hAnsi="Calibri" w:cs="Calibri"/>
                <w:sz w:val="18"/>
                <w:szCs w:val="18"/>
              </w:rPr>
              <w:t>PN-B-06714</w:t>
            </w:r>
          </w:p>
          <w:p w:rsidR="00AD54A3" w:rsidRPr="00CA4A9E" w:rsidRDefault="00AD54A3" w:rsidP="00FD47C7">
            <w:pPr>
              <w:jc w:val="center"/>
              <w:rPr>
                <w:rFonts w:ascii="Calibri" w:hAnsi="Calibri" w:cs="Calibri"/>
                <w:sz w:val="18"/>
                <w:szCs w:val="18"/>
              </w:rPr>
            </w:pPr>
            <w:r w:rsidRPr="00CA4A9E">
              <w:rPr>
                <w:rFonts w:ascii="Calibri" w:hAnsi="Calibri" w:cs="Calibri"/>
                <w:sz w:val="18"/>
                <w:szCs w:val="18"/>
              </w:rPr>
              <w:t>-19</w:t>
            </w:r>
          </w:p>
        </w:tc>
      </w:tr>
      <w:tr w:rsidR="00AD54A3" w:rsidRPr="00CA4A9E" w:rsidTr="00C50010">
        <w:tc>
          <w:tcPr>
            <w:tcW w:w="425" w:type="dxa"/>
            <w:tcBorders>
              <w:top w:val="single" w:sz="6" w:space="0" w:color="auto"/>
              <w:left w:val="single" w:sz="6" w:space="0" w:color="auto"/>
              <w:bottom w:val="single" w:sz="6" w:space="0" w:color="auto"/>
              <w:right w:val="single" w:sz="6" w:space="0" w:color="auto"/>
            </w:tcBorders>
          </w:tcPr>
          <w:p w:rsidR="00AD54A3" w:rsidRPr="00CA4A9E" w:rsidRDefault="00AD54A3" w:rsidP="00FD47C7">
            <w:pPr>
              <w:jc w:val="center"/>
              <w:rPr>
                <w:rFonts w:ascii="Calibri" w:hAnsi="Calibri" w:cs="Calibri"/>
                <w:sz w:val="18"/>
                <w:szCs w:val="18"/>
              </w:rPr>
            </w:pPr>
            <w:r w:rsidRPr="00CA4A9E">
              <w:rPr>
                <w:rFonts w:ascii="Calibri" w:hAnsi="Calibri" w:cs="Calibri"/>
                <w:sz w:val="18"/>
                <w:szCs w:val="18"/>
              </w:rPr>
              <w:t>9</w:t>
            </w:r>
          </w:p>
        </w:tc>
        <w:tc>
          <w:tcPr>
            <w:tcW w:w="2694" w:type="dxa"/>
            <w:tcBorders>
              <w:top w:val="single" w:sz="6" w:space="0" w:color="auto"/>
              <w:left w:val="single" w:sz="6" w:space="0" w:color="auto"/>
              <w:bottom w:val="single" w:sz="6" w:space="0" w:color="auto"/>
              <w:right w:val="single" w:sz="6" w:space="0" w:color="auto"/>
            </w:tcBorders>
          </w:tcPr>
          <w:p w:rsidR="00AD54A3" w:rsidRPr="00CA4A9E" w:rsidRDefault="00AD54A3" w:rsidP="00FD47C7">
            <w:pPr>
              <w:jc w:val="center"/>
              <w:rPr>
                <w:rFonts w:ascii="Calibri" w:hAnsi="Calibri" w:cs="Calibri"/>
                <w:sz w:val="18"/>
                <w:szCs w:val="18"/>
              </w:rPr>
            </w:pPr>
            <w:r w:rsidRPr="00CA4A9E">
              <w:rPr>
                <w:rFonts w:ascii="Calibri" w:hAnsi="Calibri" w:cs="Calibri"/>
                <w:sz w:val="18"/>
                <w:szCs w:val="18"/>
              </w:rPr>
              <w:t>Rozpad krzemianowy i żelazawy łącznie, % (m/m), nie więcej niż</w:t>
            </w:r>
          </w:p>
        </w:tc>
        <w:tc>
          <w:tcPr>
            <w:tcW w:w="1559" w:type="dxa"/>
            <w:tcBorders>
              <w:top w:val="single" w:sz="6" w:space="0" w:color="auto"/>
              <w:left w:val="single" w:sz="6" w:space="0" w:color="auto"/>
              <w:bottom w:val="single" w:sz="6" w:space="0" w:color="auto"/>
              <w:right w:val="single" w:sz="6" w:space="0" w:color="auto"/>
            </w:tcBorders>
          </w:tcPr>
          <w:p w:rsidR="00AD54A3" w:rsidRPr="00CA4A9E" w:rsidRDefault="00AD54A3" w:rsidP="00FD47C7">
            <w:pPr>
              <w:jc w:val="center"/>
              <w:rPr>
                <w:rFonts w:ascii="Calibri" w:hAnsi="Calibri" w:cs="Calibri"/>
                <w:sz w:val="18"/>
                <w:szCs w:val="18"/>
              </w:rPr>
            </w:pPr>
          </w:p>
          <w:p w:rsidR="00AD54A3" w:rsidRPr="00CA4A9E" w:rsidRDefault="00AD54A3" w:rsidP="00FD47C7">
            <w:pPr>
              <w:jc w:val="center"/>
              <w:rPr>
                <w:rFonts w:ascii="Calibri" w:hAnsi="Calibri" w:cs="Calibri"/>
                <w:sz w:val="18"/>
                <w:szCs w:val="18"/>
              </w:rPr>
            </w:pPr>
            <w:r w:rsidRPr="00CA4A9E">
              <w:rPr>
                <w:rFonts w:ascii="Calibri" w:hAnsi="Calibri" w:cs="Calibri"/>
                <w:sz w:val="18"/>
                <w:szCs w:val="18"/>
              </w:rPr>
              <w:t>-</w:t>
            </w:r>
          </w:p>
        </w:tc>
        <w:tc>
          <w:tcPr>
            <w:tcW w:w="1701" w:type="dxa"/>
            <w:tcBorders>
              <w:top w:val="single" w:sz="6" w:space="0" w:color="auto"/>
              <w:left w:val="single" w:sz="6" w:space="0" w:color="auto"/>
              <w:bottom w:val="single" w:sz="6" w:space="0" w:color="auto"/>
              <w:right w:val="single" w:sz="6" w:space="0" w:color="auto"/>
            </w:tcBorders>
          </w:tcPr>
          <w:p w:rsidR="00AD54A3" w:rsidRPr="00CA4A9E" w:rsidRDefault="00AD54A3" w:rsidP="00FD47C7">
            <w:pPr>
              <w:jc w:val="center"/>
              <w:rPr>
                <w:rFonts w:ascii="Calibri" w:hAnsi="Calibri" w:cs="Calibri"/>
                <w:sz w:val="18"/>
                <w:szCs w:val="18"/>
              </w:rPr>
            </w:pPr>
          </w:p>
          <w:p w:rsidR="00AD54A3" w:rsidRPr="00CA4A9E" w:rsidRDefault="00AD54A3" w:rsidP="00FD47C7">
            <w:pPr>
              <w:jc w:val="center"/>
              <w:rPr>
                <w:rFonts w:ascii="Calibri" w:hAnsi="Calibri" w:cs="Calibri"/>
                <w:sz w:val="18"/>
                <w:szCs w:val="18"/>
              </w:rPr>
            </w:pPr>
            <w:r w:rsidRPr="00CA4A9E">
              <w:rPr>
                <w:rFonts w:ascii="Calibri" w:hAnsi="Calibri" w:cs="Calibri"/>
                <w:sz w:val="18"/>
                <w:szCs w:val="18"/>
              </w:rPr>
              <w:t>-</w:t>
            </w:r>
          </w:p>
        </w:tc>
        <w:tc>
          <w:tcPr>
            <w:tcW w:w="1418" w:type="dxa"/>
            <w:tcBorders>
              <w:top w:val="single" w:sz="6" w:space="0" w:color="auto"/>
              <w:left w:val="single" w:sz="6" w:space="0" w:color="auto"/>
              <w:bottom w:val="single" w:sz="6" w:space="0" w:color="auto"/>
              <w:right w:val="single" w:sz="6" w:space="0" w:color="auto"/>
            </w:tcBorders>
          </w:tcPr>
          <w:p w:rsidR="00AD54A3" w:rsidRPr="00CA4A9E" w:rsidRDefault="00AD54A3" w:rsidP="00FD47C7">
            <w:pPr>
              <w:jc w:val="center"/>
              <w:rPr>
                <w:rFonts w:ascii="Calibri" w:hAnsi="Calibri" w:cs="Calibri"/>
                <w:sz w:val="18"/>
                <w:szCs w:val="18"/>
              </w:rPr>
            </w:pPr>
            <w:r w:rsidRPr="00CA4A9E">
              <w:rPr>
                <w:rFonts w:ascii="Calibri" w:hAnsi="Calibri" w:cs="Calibri"/>
                <w:sz w:val="18"/>
                <w:szCs w:val="18"/>
              </w:rPr>
              <w:t>PN-B-06714</w:t>
            </w:r>
          </w:p>
          <w:p w:rsidR="00AD54A3" w:rsidRPr="00CA4A9E" w:rsidRDefault="00AD54A3" w:rsidP="00FD47C7">
            <w:pPr>
              <w:jc w:val="center"/>
              <w:rPr>
                <w:rFonts w:ascii="Calibri" w:hAnsi="Calibri" w:cs="Calibri"/>
                <w:sz w:val="18"/>
                <w:szCs w:val="18"/>
              </w:rPr>
            </w:pPr>
            <w:r w:rsidRPr="00CA4A9E">
              <w:rPr>
                <w:rFonts w:ascii="Calibri" w:hAnsi="Calibri" w:cs="Calibri"/>
                <w:sz w:val="18"/>
                <w:szCs w:val="18"/>
              </w:rPr>
              <w:t>-37</w:t>
            </w:r>
          </w:p>
          <w:p w:rsidR="00AD54A3" w:rsidRPr="00CA4A9E" w:rsidRDefault="00AD54A3" w:rsidP="00FD47C7">
            <w:pPr>
              <w:jc w:val="center"/>
              <w:rPr>
                <w:rFonts w:ascii="Calibri" w:hAnsi="Calibri" w:cs="Calibri"/>
                <w:sz w:val="18"/>
                <w:szCs w:val="18"/>
              </w:rPr>
            </w:pPr>
            <w:r w:rsidRPr="00CA4A9E">
              <w:rPr>
                <w:rFonts w:ascii="Calibri" w:hAnsi="Calibri" w:cs="Calibri"/>
                <w:sz w:val="18"/>
                <w:szCs w:val="18"/>
              </w:rPr>
              <w:t>PN-B-06714</w:t>
            </w:r>
          </w:p>
          <w:p w:rsidR="00AD54A3" w:rsidRPr="00CA4A9E" w:rsidRDefault="00AD54A3" w:rsidP="00FD47C7">
            <w:pPr>
              <w:jc w:val="center"/>
              <w:rPr>
                <w:rFonts w:ascii="Calibri" w:hAnsi="Calibri" w:cs="Calibri"/>
                <w:sz w:val="18"/>
                <w:szCs w:val="18"/>
              </w:rPr>
            </w:pPr>
            <w:r w:rsidRPr="00CA4A9E">
              <w:rPr>
                <w:rFonts w:ascii="Calibri" w:hAnsi="Calibri" w:cs="Calibri"/>
                <w:sz w:val="18"/>
                <w:szCs w:val="18"/>
              </w:rPr>
              <w:t>-39</w:t>
            </w:r>
          </w:p>
        </w:tc>
      </w:tr>
      <w:tr w:rsidR="00AD54A3" w:rsidRPr="00CA4A9E" w:rsidTr="00C50010">
        <w:tc>
          <w:tcPr>
            <w:tcW w:w="425" w:type="dxa"/>
            <w:tcBorders>
              <w:top w:val="single" w:sz="6" w:space="0" w:color="auto"/>
              <w:left w:val="single" w:sz="6" w:space="0" w:color="auto"/>
              <w:bottom w:val="single" w:sz="6" w:space="0" w:color="auto"/>
              <w:right w:val="single" w:sz="6" w:space="0" w:color="auto"/>
            </w:tcBorders>
          </w:tcPr>
          <w:p w:rsidR="00AD54A3" w:rsidRPr="00CA4A9E" w:rsidRDefault="00AD54A3" w:rsidP="00FD47C7">
            <w:pPr>
              <w:jc w:val="center"/>
              <w:rPr>
                <w:rFonts w:ascii="Calibri" w:hAnsi="Calibri" w:cs="Calibri"/>
                <w:sz w:val="18"/>
                <w:szCs w:val="18"/>
              </w:rPr>
            </w:pPr>
            <w:r w:rsidRPr="00CA4A9E">
              <w:rPr>
                <w:rFonts w:ascii="Calibri" w:hAnsi="Calibri" w:cs="Calibri"/>
                <w:sz w:val="18"/>
                <w:szCs w:val="18"/>
              </w:rPr>
              <w:t>10</w:t>
            </w:r>
          </w:p>
        </w:tc>
        <w:tc>
          <w:tcPr>
            <w:tcW w:w="2694" w:type="dxa"/>
            <w:tcBorders>
              <w:top w:val="single" w:sz="6" w:space="0" w:color="auto"/>
              <w:left w:val="single" w:sz="6" w:space="0" w:color="auto"/>
              <w:bottom w:val="single" w:sz="6" w:space="0" w:color="auto"/>
              <w:right w:val="single" w:sz="6" w:space="0" w:color="auto"/>
            </w:tcBorders>
          </w:tcPr>
          <w:p w:rsidR="00AD54A3" w:rsidRPr="00CA4A9E" w:rsidRDefault="00AD54A3" w:rsidP="00FD47C7">
            <w:pPr>
              <w:jc w:val="center"/>
              <w:rPr>
                <w:rFonts w:ascii="Calibri" w:hAnsi="Calibri" w:cs="Calibri"/>
                <w:sz w:val="18"/>
                <w:szCs w:val="18"/>
              </w:rPr>
            </w:pPr>
            <w:r w:rsidRPr="00CA4A9E">
              <w:rPr>
                <w:rFonts w:ascii="Calibri" w:hAnsi="Calibri" w:cs="Calibri"/>
                <w:sz w:val="18"/>
                <w:szCs w:val="18"/>
              </w:rPr>
              <w:t>Zawartość związków siarki w przeliczeniu na SO3, %(m/m), nie więcej niż</w:t>
            </w:r>
          </w:p>
        </w:tc>
        <w:tc>
          <w:tcPr>
            <w:tcW w:w="1559" w:type="dxa"/>
            <w:tcBorders>
              <w:top w:val="single" w:sz="6" w:space="0" w:color="auto"/>
              <w:left w:val="single" w:sz="6" w:space="0" w:color="auto"/>
              <w:bottom w:val="single" w:sz="6" w:space="0" w:color="auto"/>
              <w:right w:val="single" w:sz="6" w:space="0" w:color="auto"/>
            </w:tcBorders>
          </w:tcPr>
          <w:p w:rsidR="00AD54A3" w:rsidRPr="00CA4A9E" w:rsidRDefault="00AD54A3" w:rsidP="00FD47C7">
            <w:pPr>
              <w:jc w:val="center"/>
              <w:rPr>
                <w:rFonts w:ascii="Calibri" w:hAnsi="Calibri" w:cs="Calibri"/>
                <w:sz w:val="18"/>
                <w:szCs w:val="18"/>
              </w:rPr>
            </w:pPr>
          </w:p>
          <w:p w:rsidR="00AD54A3" w:rsidRPr="00CA4A9E" w:rsidRDefault="00AD54A3" w:rsidP="00FD47C7">
            <w:pPr>
              <w:jc w:val="center"/>
              <w:rPr>
                <w:rFonts w:ascii="Calibri" w:hAnsi="Calibri" w:cs="Calibri"/>
                <w:sz w:val="18"/>
                <w:szCs w:val="18"/>
              </w:rPr>
            </w:pPr>
            <w:r w:rsidRPr="00CA4A9E">
              <w:rPr>
                <w:rFonts w:ascii="Calibri" w:hAnsi="Calibri" w:cs="Calibri"/>
                <w:sz w:val="18"/>
                <w:szCs w:val="18"/>
              </w:rPr>
              <w:t>1</w:t>
            </w:r>
          </w:p>
        </w:tc>
        <w:tc>
          <w:tcPr>
            <w:tcW w:w="1701" w:type="dxa"/>
            <w:tcBorders>
              <w:top w:val="single" w:sz="6" w:space="0" w:color="auto"/>
              <w:left w:val="single" w:sz="6" w:space="0" w:color="auto"/>
              <w:bottom w:val="single" w:sz="6" w:space="0" w:color="auto"/>
              <w:right w:val="single" w:sz="6" w:space="0" w:color="auto"/>
            </w:tcBorders>
          </w:tcPr>
          <w:p w:rsidR="00AD54A3" w:rsidRPr="00CA4A9E" w:rsidRDefault="00AD54A3" w:rsidP="00FD47C7">
            <w:pPr>
              <w:jc w:val="center"/>
              <w:rPr>
                <w:rFonts w:ascii="Calibri" w:hAnsi="Calibri" w:cs="Calibri"/>
                <w:sz w:val="18"/>
                <w:szCs w:val="18"/>
              </w:rPr>
            </w:pPr>
          </w:p>
          <w:p w:rsidR="00AD54A3" w:rsidRPr="00CA4A9E" w:rsidRDefault="00AD54A3" w:rsidP="00FD47C7">
            <w:pPr>
              <w:jc w:val="center"/>
              <w:rPr>
                <w:rFonts w:ascii="Calibri" w:hAnsi="Calibri" w:cs="Calibri"/>
                <w:sz w:val="18"/>
                <w:szCs w:val="18"/>
              </w:rPr>
            </w:pPr>
            <w:r w:rsidRPr="00CA4A9E">
              <w:rPr>
                <w:rFonts w:ascii="Calibri" w:hAnsi="Calibri" w:cs="Calibri"/>
                <w:sz w:val="18"/>
                <w:szCs w:val="18"/>
              </w:rPr>
              <w:t>1</w:t>
            </w:r>
          </w:p>
        </w:tc>
        <w:tc>
          <w:tcPr>
            <w:tcW w:w="1418" w:type="dxa"/>
            <w:tcBorders>
              <w:top w:val="single" w:sz="6" w:space="0" w:color="auto"/>
              <w:left w:val="single" w:sz="6" w:space="0" w:color="auto"/>
              <w:bottom w:val="single" w:sz="6" w:space="0" w:color="auto"/>
              <w:right w:val="single" w:sz="6" w:space="0" w:color="auto"/>
            </w:tcBorders>
          </w:tcPr>
          <w:p w:rsidR="00AD54A3" w:rsidRPr="00CA4A9E" w:rsidRDefault="00AD54A3" w:rsidP="00FD47C7">
            <w:pPr>
              <w:jc w:val="center"/>
              <w:rPr>
                <w:rFonts w:ascii="Calibri" w:hAnsi="Calibri" w:cs="Calibri"/>
                <w:sz w:val="18"/>
                <w:szCs w:val="18"/>
              </w:rPr>
            </w:pPr>
            <w:r w:rsidRPr="00CA4A9E">
              <w:rPr>
                <w:rFonts w:ascii="Calibri" w:hAnsi="Calibri" w:cs="Calibri"/>
                <w:sz w:val="18"/>
                <w:szCs w:val="18"/>
              </w:rPr>
              <w:t>PN-B-06714</w:t>
            </w:r>
          </w:p>
          <w:p w:rsidR="00AD54A3" w:rsidRPr="00CA4A9E" w:rsidRDefault="00AD54A3" w:rsidP="00FD47C7">
            <w:pPr>
              <w:jc w:val="center"/>
              <w:rPr>
                <w:rFonts w:ascii="Calibri" w:hAnsi="Calibri" w:cs="Calibri"/>
                <w:sz w:val="18"/>
                <w:szCs w:val="18"/>
              </w:rPr>
            </w:pPr>
            <w:r w:rsidRPr="00CA4A9E">
              <w:rPr>
                <w:rFonts w:ascii="Calibri" w:hAnsi="Calibri" w:cs="Calibri"/>
                <w:sz w:val="18"/>
                <w:szCs w:val="18"/>
              </w:rPr>
              <w:t>-28</w:t>
            </w:r>
          </w:p>
        </w:tc>
      </w:tr>
      <w:tr w:rsidR="00AD54A3" w:rsidRPr="00CA4A9E" w:rsidTr="00C50010">
        <w:tc>
          <w:tcPr>
            <w:tcW w:w="425" w:type="dxa"/>
            <w:tcBorders>
              <w:top w:val="single" w:sz="6" w:space="0" w:color="auto"/>
              <w:left w:val="single" w:sz="6" w:space="0" w:color="auto"/>
              <w:bottom w:val="single" w:sz="6" w:space="0" w:color="auto"/>
              <w:right w:val="single" w:sz="6" w:space="0" w:color="auto"/>
            </w:tcBorders>
          </w:tcPr>
          <w:p w:rsidR="00AD54A3" w:rsidRPr="00CA4A9E" w:rsidRDefault="00AD54A3" w:rsidP="00FD47C7">
            <w:pPr>
              <w:jc w:val="center"/>
              <w:rPr>
                <w:rFonts w:ascii="Calibri" w:hAnsi="Calibri" w:cs="Calibri"/>
                <w:sz w:val="18"/>
                <w:szCs w:val="18"/>
              </w:rPr>
            </w:pPr>
            <w:r w:rsidRPr="00CA4A9E">
              <w:rPr>
                <w:rFonts w:ascii="Calibri" w:hAnsi="Calibri" w:cs="Calibri"/>
                <w:sz w:val="18"/>
                <w:szCs w:val="18"/>
              </w:rPr>
              <w:t>11</w:t>
            </w:r>
          </w:p>
        </w:tc>
        <w:tc>
          <w:tcPr>
            <w:tcW w:w="2694" w:type="dxa"/>
            <w:tcBorders>
              <w:top w:val="single" w:sz="6" w:space="0" w:color="auto"/>
              <w:left w:val="single" w:sz="6" w:space="0" w:color="auto"/>
              <w:bottom w:val="single" w:sz="6" w:space="0" w:color="auto"/>
              <w:right w:val="single" w:sz="6" w:space="0" w:color="auto"/>
            </w:tcBorders>
          </w:tcPr>
          <w:p w:rsidR="00AD54A3" w:rsidRPr="00CA4A9E" w:rsidRDefault="00AD54A3" w:rsidP="00FD47C7">
            <w:pPr>
              <w:jc w:val="center"/>
              <w:rPr>
                <w:rFonts w:ascii="Calibri" w:hAnsi="Calibri" w:cs="Calibri"/>
                <w:sz w:val="18"/>
                <w:szCs w:val="18"/>
              </w:rPr>
            </w:pPr>
            <w:r w:rsidRPr="00CA4A9E">
              <w:rPr>
                <w:rFonts w:ascii="Calibri" w:hAnsi="Calibri" w:cs="Calibri"/>
                <w:sz w:val="18"/>
                <w:szCs w:val="18"/>
              </w:rPr>
              <w:t>Wskaźnik nośności wnoś mieszanki kruszywa, %, nie mniejszy niż:</w:t>
            </w:r>
          </w:p>
          <w:p w:rsidR="00AD54A3" w:rsidRPr="00CA4A9E" w:rsidRDefault="00AD54A3" w:rsidP="00FD47C7">
            <w:pPr>
              <w:jc w:val="center"/>
              <w:rPr>
                <w:rFonts w:ascii="Calibri" w:hAnsi="Calibri" w:cs="Calibri"/>
                <w:sz w:val="18"/>
                <w:szCs w:val="18"/>
              </w:rPr>
            </w:pPr>
            <w:r w:rsidRPr="00CA4A9E">
              <w:rPr>
                <w:rFonts w:ascii="Calibri" w:hAnsi="Calibri" w:cs="Calibri"/>
                <w:sz w:val="18"/>
                <w:szCs w:val="18"/>
              </w:rPr>
              <w:t xml:space="preserve">a) przy zagęszczeniu IS </w:t>
            </w:r>
            <w:r w:rsidRPr="00CA4A9E">
              <w:rPr>
                <w:rFonts w:ascii="Calibri" w:hAnsi="Calibri" w:cs="Calibri"/>
                <w:sz w:val="18"/>
                <w:szCs w:val="18"/>
              </w:rPr>
              <w:sym w:font="Symbol" w:char="F0B3"/>
            </w:r>
            <w:r w:rsidRPr="00CA4A9E">
              <w:rPr>
                <w:rFonts w:ascii="Calibri" w:hAnsi="Calibri" w:cs="Calibri"/>
                <w:sz w:val="18"/>
                <w:szCs w:val="18"/>
              </w:rPr>
              <w:t xml:space="preserve"> 1,00</w:t>
            </w:r>
          </w:p>
          <w:p w:rsidR="00AD54A3" w:rsidRPr="00CA4A9E" w:rsidRDefault="00AD54A3" w:rsidP="00FD47C7">
            <w:pPr>
              <w:jc w:val="center"/>
              <w:rPr>
                <w:rFonts w:ascii="Calibri" w:hAnsi="Calibri" w:cs="Calibri"/>
                <w:sz w:val="18"/>
                <w:szCs w:val="18"/>
              </w:rPr>
            </w:pPr>
            <w:r w:rsidRPr="00CA4A9E">
              <w:rPr>
                <w:rFonts w:ascii="Calibri" w:hAnsi="Calibri" w:cs="Calibri"/>
                <w:sz w:val="18"/>
                <w:szCs w:val="18"/>
              </w:rPr>
              <w:t xml:space="preserve">b) przy zagęszczeniu IS </w:t>
            </w:r>
            <w:r w:rsidRPr="00CA4A9E">
              <w:rPr>
                <w:rFonts w:ascii="Calibri" w:hAnsi="Calibri" w:cs="Calibri"/>
                <w:sz w:val="18"/>
                <w:szCs w:val="18"/>
              </w:rPr>
              <w:sym w:font="Symbol" w:char="F0B3"/>
            </w:r>
            <w:r w:rsidRPr="00CA4A9E">
              <w:rPr>
                <w:rFonts w:ascii="Calibri" w:hAnsi="Calibri" w:cs="Calibri"/>
                <w:sz w:val="18"/>
                <w:szCs w:val="18"/>
              </w:rPr>
              <w:t xml:space="preserve"> 1,03</w:t>
            </w:r>
          </w:p>
        </w:tc>
        <w:tc>
          <w:tcPr>
            <w:tcW w:w="1559" w:type="dxa"/>
            <w:tcBorders>
              <w:top w:val="single" w:sz="6" w:space="0" w:color="auto"/>
              <w:left w:val="single" w:sz="6" w:space="0" w:color="auto"/>
              <w:bottom w:val="single" w:sz="6" w:space="0" w:color="auto"/>
              <w:right w:val="single" w:sz="6" w:space="0" w:color="auto"/>
            </w:tcBorders>
          </w:tcPr>
          <w:p w:rsidR="00AD54A3" w:rsidRPr="00CA4A9E" w:rsidRDefault="00AD54A3" w:rsidP="00FD47C7">
            <w:pPr>
              <w:jc w:val="center"/>
              <w:rPr>
                <w:rFonts w:ascii="Calibri" w:hAnsi="Calibri" w:cs="Calibri"/>
                <w:sz w:val="18"/>
                <w:szCs w:val="18"/>
              </w:rPr>
            </w:pPr>
          </w:p>
          <w:p w:rsidR="00AD54A3" w:rsidRPr="00CA4A9E" w:rsidRDefault="00AD54A3" w:rsidP="00FD47C7">
            <w:pPr>
              <w:jc w:val="center"/>
              <w:rPr>
                <w:rFonts w:ascii="Calibri" w:hAnsi="Calibri" w:cs="Calibri"/>
                <w:sz w:val="18"/>
                <w:szCs w:val="18"/>
              </w:rPr>
            </w:pPr>
          </w:p>
          <w:p w:rsidR="00AD54A3" w:rsidRPr="00CA4A9E" w:rsidRDefault="00AD54A3" w:rsidP="00FD47C7">
            <w:pPr>
              <w:jc w:val="center"/>
              <w:rPr>
                <w:rFonts w:ascii="Calibri" w:hAnsi="Calibri" w:cs="Calibri"/>
                <w:sz w:val="18"/>
                <w:szCs w:val="18"/>
              </w:rPr>
            </w:pPr>
          </w:p>
          <w:p w:rsidR="00AD54A3" w:rsidRPr="00CA4A9E" w:rsidRDefault="00AD54A3" w:rsidP="00FD47C7">
            <w:pPr>
              <w:jc w:val="center"/>
              <w:rPr>
                <w:rFonts w:ascii="Calibri" w:hAnsi="Calibri" w:cs="Calibri"/>
                <w:sz w:val="18"/>
                <w:szCs w:val="18"/>
              </w:rPr>
            </w:pPr>
            <w:r w:rsidRPr="00CA4A9E">
              <w:rPr>
                <w:rFonts w:ascii="Calibri" w:hAnsi="Calibri" w:cs="Calibri"/>
                <w:sz w:val="18"/>
                <w:szCs w:val="18"/>
              </w:rPr>
              <w:t>80</w:t>
            </w:r>
          </w:p>
          <w:p w:rsidR="00AD54A3" w:rsidRPr="00CA4A9E" w:rsidRDefault="00AD54A3" w:rsidP="00FD47C7">
            <w:pPr>
              <w:jc w:val="center"/>
              <w:rPr>
                <w:rFonts w:ascii="Calibri" w:hAnsi="Calibri" w:cs="Calibri"/>
                <w:sz w:val="18"/>
                <w:szCs w:val="18"/>
              </w:rPr>
            </w:pPr>
            <w:r w:rsidRPr="00CA4A9E">
              <w:rPr>
                <w:rFonts w:ascii="Calibri" w:hAnsi="Calibri" w:cs="Calibri"/>
                <w:sz w:val="18"/>
                <w:szCs w:val="18"/>
              </w:rPr>
              <w:t>120</w:t>
            </w:r>
          </w:p>
        </w:tc>
        <w:tc>
          <w:tcPr>
            <w:tcW w:w="1701" w:type="dxa"/>
            <w:tcBorders>
              <w:top w:val="single" w:sz="6" w:space="0" w:color="auto"/>
              <w:left w:val="single" w:sz="6" w:space="0" w:color="auto"/>
              <w:bottom w:val="single" w:sz="6" w:space="0" w:color="auto"/>
              <w:right w:val="single" w:sz="6" w:space="0" w:color="auto"/>
            </w:tcBorders>
          </w:tcPr>
          <w:p w:rsidR="00AD54A3" w:rsidRPr="00CA4A9E" w:rsidRDefault="00AD54A3" w:rsidP="00FD47C7">
            <w:pPr>
              <w:jc w:val="center"/>
              <w:rPr>
                <w:rFonts w:ascii="Calibri" w:hAnsi="Calibri" w:cs="Calibri"/>
                <w:sz w:val="18"/>
                <w:szCs w:val="18"/>
              </w:rPr>
            </w:pPr>
          </w:p>
          <w:p w:rsidR="00AD54A3" w:rsidRPr="00CA4A9E" w:rsidRDefault="00AD54A3" w:rsidP="00FD47C7">
            <w:pPr>
              <w:jc w:val="center"/>
              <w:rPr>
                <w:rFonts w:ascii="Calibri" w:hAnsi="Calibri" w:cs="Calibri"/>
                <w:sz w:val="18"/>
                <w:szCs w:val="18"/>
              </w:rPr>
            </w:pPr>
          </w:p>
          <w:p w:rsidR="00AD54A3" w:rsidRPr="00CA4A9E" w:rsidRDefault="00AD54A3" w:rsidP="00FD47C7">
            <w:pPr>
              <w:jc w:val="center"/>
              <w:rPr>
                <w:rFonts w:ascii="Calibri" w:hAnsi="Calibri" w:cs="Calibri"/>
                <w:sz w:val="18"/>
                <w:szCs w:val="18"/>
              </w:rPr>
            </w:pPr>
          </w:p>
          <w:p w:rsidR="00AD54A3" w:rsidRPr="00CA4A9E" w:rsidRDefault="00AD54A3" w:rsidP="00FD47C7">
            <w:pPr>
              <w:jc w:val="center"/>
              <w:rPr>
                <w:rFonts w:ascii="Calibri" w:hAnsi="Calibri" w:cs="Calibri"/>
                <w:sz w:val="18"/>
                <w:szCs w:val="18"/>
              </w:rPr>
            </w:pPr>
            <w:r w:rsidRPr="00CA4A9E">
              <w:rPr>
                <w:rFonts w:ascii="Calibri" w:hAnsi="Calibri" w:cs="Calibri"/>
                <w:sz w:val="18"/>
                <w:szCs w:val="18"/>
              </w:rPr>
              <w:t>60</w:t>
            </w:r>
          </w:p>
          <w:p w:rsidR="00AD54A3" w:rsidRPr="00CA4A9E" w:rsidRDefault="00AD54A3" w:rsidP="00FD47C7">
            <w:pPr>
              <w:jc w:val="center"/>
              <w:rPr>
                <w:rFonts w:ascii="Calibri" w:hAnsi="Calibri" w:cs="Calibri"/>
                <w:sz w:val="18"/>
                <w:szCs w:val="18"/>
              </w:rPr>
            </w:pPr>
            <w:r w:rsidRPr="00CA4A9E">
              <w:rPr>
                <w:rFonts w:ascii="Calibri" w:hAnsi="Calibri" w:cs="Calibri"/>
                <w:sz w:val="18"/>
                <w:szCs w:val="18"/>
              </w:rPr>
              <w:t>-</w:t>
            </w:r>
          </w:p>
        </w:tc>
        <w:tc>
          <w:tcPr>
            <w:tcW w:w="1418" w:type="dxa"/>
            <w:tcBorders>
              <w:top w:val="single" w:sz="6" w:space="0" w:color="auto"/>
              <w:left w:val="single" w:sz="6" w:space="0" w:color="auto"/>
              <w:bottom w:val="single" w:sz="6" w:space="0" w:color="auto"/>
              <w:right w:val="single" w:sz="6" w:space="0" w:color="auto"/>
            </w:tcBorders>
          </w:tcPr>
          <w:p w:rsidR="00AD54A3" w:rsidRPr="00CA4A9E" w:rsidRDefault="00AD54A3" w:rsidP="00FD47C7">
            <w:pPr>
              <w:jc w:val="center"/>
              <w:rPr>
                <w:rFonts w:ascii="Calibri" w:hAnsi="Calibri" w:cs="Calibri"/>
                <w:sz w:val="18"/>
                <w:szCs w:val="18"/>
              </w:rPr>
            </w:pPr>
          </w:p>
          <w:p w:rsidR="00AD54A3" w:rsidRPr="00CA4A9E" w:rsidRDefault="00AD54A3" w:rsidP="00FD47C7">
            <w:pPr>
              <w:jc w:val="center"/>
              <w:rPr>
                <w:rFonts w:ascii="Calibri" w:hAnsi="Calibri" w:cs="Calibri"/>
                <w:sz w:val="18"/>
                <w:szCs w:val="18"/>
              </w:rPr>
            </w:pPr>
          </w:p>
          <w:p w:rsidR="00AD54A3" w:rsidRPr="00CA4A9E" w:rsidRDefault="00AD54A3" w:rsidP="00FD47C7">
            <w:pPr>
              <w:jc w:val="center"/>
              <w:rPr>
                <w:rFonts w:ascii="Calibri" w:hAnsi="Calibri" w:cs="Calibri"/>
                <w:sz w:val="18"/>
                <w:szCs w:val="18"/>
              </w:rPr>
            </w:pPr>
          </w:p>
          <w:p w:rsidR="00AD54A3" w:rsidRPr="00CA4A9E" w:rsidRDefault="00AD54A3" w:rsidP="00FD47C7">
            <w:pPr>
              <w:jc w:val="center"/>
              <w:rPr>
                <w:rFonts w:ascii="Calibri" w:hAnsi="Calibri" w:cs="Calibri"/>
                <w:sz w:val="18"/>
                <w:szCs w:val="18"/>
              </w:rPr>
            </w:pPr>
            <w:r w:rsidRPr="00CA4A9E">
              <w:rPr>
                <w:rFonts w:ascii="Calibri" w:hAnsi="Calibri" w:cs="Calibri"/>
                <w:sz w:val="18"/>
                <w:szCs w:val="18"/>
              </w:rPr>
              <w:t>PN-S-06102</w:t>
            </w:r>
          </w:p>
          <w:p w:rsidR="00AD54A3" w:rsidRPr="00CA4A9E" w:rsidRDefault="00AD54A3" w:rsidP="00FD47C7">
            <w:pPr>
              <w:jc w:val="center"/>
              <w:rPr>
                <w:rFonts w:ascii="Calibri" w:hAnsi="Calibri" w:cs="Calibri"/>
                <w:sz w:val="18"/>
                <w:szCs w:val="18"/>
              </w:rPr>
            </w:pPr>
          </w:p>
        </w:tc>
      </w:tr>
    </w:tbl>
    <w:p w:rsidR="00DC63C2" w:rsidRDefault="00DC63C2" w:rsidP="00AD54A3">
      <w:pPr>
        <w:rPr>
          <w:rFonts w:ascii="Calibri" w:hAnsi="Calibri" w:cs="Calibri"/>
          <w:b/>
        </w:rPr>
      </w:pPr>
    </w:p>
    <w:p w:rsidR="00AD54A3" w:rsidRPr="00CA4A9E" w:rsidRDefault="00AD54A3" w:rsidP="00AD54A3">
      <w:pPr>
        <w:rPr>
          <w:rFonts w:ascii="Calibri" w:hAnsi="Calibri" w:cs="Calibri"/>
        </w:rPr>
      </w:pPr>
      <w:r w:rsidRPr="00CA4A9E">
        <w:rPr>
          <w:rFonts w:ascii="Calibri" w:hAnsi="Calibri" w:cs="Calibri"/>
          <w:b/>
        </w:rPr>
        <w:t>2.3.3.</w:t>
      </w:r>
      <w:r w:rsidRPr="00CA4A9E">
        <w:rPr>
          <w:rFonts w:ascii="Calibri" w:hAnsi="Calibri" w:cs="Calibri"/>
        </w:rPr>
        <w:t xml:space="preserve"> Woda</w:t>
      </w:r>
    </w:p>
    <w:p w:rsidR="00AD54A3" w:rsidRPr="00CA4A9E" w:rsidRDefault="00AD54A3" w:rsidP="00AD54A3">
      <w:pPr>
        <w:rPr>
          <w:rFonts w:ascii="Calibri" w:hAnsi="Calibri" w:cs="Calibri"/>
        </w:rPr>
      </w:pPr>
      <w:r w:rsidRPr="00CA4A9E">
        <w:rPr>
          <w:rFonts w:ascii="Calibri" w:hAnsi="Calibri" w:cs="Calibri"/>
        </w:rPr>
        <w:tab/>
        <w:t>Należy stosować wodę wg PN-B-32250.</w:t>
      </w:r>
    </w:p>
    <w:p w:rsidR="00AD54A3" w:rsidRPr="00CA4A9E" w:rsidRDefault="00AD54A3" w:rsidP="00AD54A3">
      <w:pPr>
        <w:rPr>
          <w:rFonts w:ascii="Calibri" w:hAnsi="Calibri" w:cs="Calibri"/>
        </w:rPr>
      </w:pPr>
    </w:p>
    <w:p w:rsidR="00AD54A3" w:rsidRPr="00CA4A9E" w:rsidRDefault="00AD54A3" w:rsidP="00AD54A3">
      <w:pPr>
        <w:rPr>
          <w:rFonts w:ascii="Calibri" w:hAnsi="Calibri" w:cs="Calibri"/>
          <w:b/>
        </w:rPr>
      </w:pPr>
      <w:r w:rsidRPr="00CA4A9E">
        <w:rPr>
          <w:rFonts w:ascii="Calibri" w:hAnsi="Calibri" w:cs="Calibri"/>
          <w:b/>
        </w:rPr>
        <w:t>3. SPRZĘT</w:t>
      </w:r>
    </w:p>
    <w:p w:rsidR="00AD54A3" w:rsidRPr="00CA4A9E" w:rsidRDefault="00AD54A3" w:rsidP="00AD54A3">
      <w:pPr>
        <w:rPr>
          <w:rFonts w:ascii="Calibri" w:hAnsi="Calibri" w:cs="Calibri"/>
        </w:rPr>
      </w:pPr>
      <w:r w:rsidRPr="00CA4A9E">
        <w:rPr>
          <w:rFonts w:ascii="Calibri" w:hAnsi="Calibri" w:cs="Calibri"/>
          <w:b/>
        </w:rPr>
        <w:t>3.1.</w:t>
      </w:r>
      <w:r w:rsidRPr="00CA4A9E">
        <w:rPr>
          <w:rFonts w:ascii="Calibri" w:hAnsi="Calibri" w:cs="Calibri"/>
        </w:rPr>
        <w:t xml:space="preserve"> Ogólne wymagania dotyczące sprzętu</w:t>
      </w:r>
    </w:p>
    <w:p w:rsidR="00AD54A3" w:rsidRPr="00CA4A9E" w:rsidRDefault="00AD54A3" w:rsidP="00AD54A3">
      <w:pPr>
        <w:rPr>
          <w:rFonts w:ascii="Calibri" w:hAnsi="Calibri" w:cs="Calibri"/>
        </w:rPr>
      </w:pPr>
      <w:r w:rsidRPr="00CA4A9E">
        <w:rPr>
          <w:rFonts w:ascii="Calibri" w:hAnsi="Calibri" w:cs="Calibri"/>
        </w:rPr>
        <w:t>Ogólne wymagania dotyczące sprzętu podano w ST D-M-00.00.00 „Wymagania ogólne” pkt 3.</w:t>
      </w:r>
    </w:p>
    <w:p w:rsidR="00AD54A3" w:rsidRPr="00CA4A9E" w:rsidRDefault="00AD54A3" w:rsidP="00AD54A3">
      <w:pPr>
        <w:rPr>
          <w:rFonts w:ascii="Calibri" w:hAnsi="Calibri" w:cs="Calibri"/>
        </w:rPr>
      </w:pPr>
      <w:r w:rsidRPr="00CA4A9E">
        <w:rPr>
          <w:rFonts w:ascii="Calibri" w:hAnsi="Calibri" w:cs="Calibri"/>
          <w:b/>
        </w:rPr>
        <w:t>3.2.</w:t>
      </w:r>
      <w:r w:rsidRPr="00CA4A9E">
        <w:rPr>
          <w:rFonts w:ascii="Calibri" w:hAnsi="Calibri" w:cs="Calibri"/>
        </w:rPr>
        <w:t xml:space="preserve"> Sprzęt do wykonania robót</w:t>
      </w:r>
    </w:p>
    <w:p w:rsidR="00AD54A3" w:rsidRPr="00CA4A9E" w:rsidRDefault="00AD54A3" w:rsidP="00AD54A3">
      <w:pPr>
        <w:rPr>
          <w:rFonts w:ascii="Calibri" w:hAnsi="Calibri" w:cs="Calibri"/>
        </w:rPr>
      </w:pPr>
      <w:r w:rsidRPr="00CA4A9E">
        <w:rPr>
          <w:rFonts w:ascii="Calibri" w:hAnsi="Calibri" w:cs="Calibri"/>
        </w:rPr>
        <w:tab/>
        <w:t>Wykonawca przystępujący do wykonania podbudowy z kruszyw stabilizowanych mechanicznie  powinien wykazać się możliwością korzystania z następującego sprzętu:</w:t>
      </w:r>
    </w:p>
    <w:p w:rsidR="00AD54A3" w:rsidRPr="00CA4A9E" w:rsidRDefault="00AD54A3" w:rsidP="00AD54A3">
      <w:pPr>
        <w:rPr>
          <w:rFonts w:ascii="Calibri" w:hAnsi="Calibri" w:cs="Calibri"/>
        </w:rPr>
      </w:pPr>
      <w:r>
        <w:rPr>
          <w:rFonts w:ascii="Calibri" w:hAnsi="Calibri" w:cs="Calibri"/>
        </w:rPr>
        <w:lastRenderedPageBreak/>
        <w:t>-</w:t>
      </w:r>
      <w:r w:rsidRPr="00CA4A9E">
        <w:rPr>
          <w:rFonts w:ascii="Calibri" w:hAnsi="Calibri" w:cs="Calibri"/>
        </w:rPr>
        <w:t>mieszarek do wytwarzania mieszanki, wyposażonych w urządzenia dozujące wodę. Mieszarki powinny zapewnić wytworzenie jednorodnej mieszanki o wilgotności optymalnej,</w:t>
      </w:r>
    </w:p>
    <w:p w:rsidR="00AD54A3" w:rsidRPr="00CA4A9E" w:rsidRDefault="00AD54A3" w:rsidP="00AD54A3">
      <w:pPr>
        <w:rPr>
          <w:rFonts w:ascii="Calibri" w:hAnsi="Calibri" w:cs="Calibri"/>
        </w:rPr>
      </w:pPr>
      <w:r w:rsidRPr="00CA4A9E">
        <w:rPr>
          <w:rFonts w:ascii="Calibri" w:hAnsi="Calibri" w:cs="Calibri"/>
        </w:rPr>
        <w:t>równiarek albo układarek do rozkładania mieszanki,</w:t>
      </w:r>
    </w:p>
    <w:p w:rsidR="00AD54A3" w:rsidRPr="00CA4A9E" w:rsidRDefault="00AD54A3" w:rsidP="00AD54A3">
      <w:pPr>
        <w:rPr>
          <w:rFonts w:ascii="Calibri" w:hAnsi="Calibri" w:cs="Calibri"/>
        </w:rPr>
      </w:pPr>
      <w:r>
        <w:rPr>
          <w:rFonts w:ascii="Calibri" w:hAnsi="Calibri" w:cs="Calibri"/>
        </w:rPr>
        <w:t>-</w:t>
      </w:r>
      <w:r w:rsidRPr="00CA4A9E">
        <w:rPr>
          <w:rFonts w:ascii="Calibri" w:hAnsi="Calibri" w:cs="Calibri"/>
        </w:rPr>
        <w:t>walców ogumionych i stalowych wibracyjnych lub statycznych do zagęszczania. W miejscach trudno dostępnych powinny być stosowane zagęszczarki płytowe, ubijaki mechaniczne lub małe walce wibracyjne.</w:t>
      </w:r>
    </w:p>
    <w:p w:rsidR="00AD54A3" w:rsidRPr="00CA4A9E" w:rsidRDefault="00AD54A3" w:rsidP="00AD54A3">
      <w:pPr>
        <w:rPr>
          <w:rFonts w:ascii="Calibri" w:hAnsi="Calibri" w:cs="Calibri"/>
        </w:rPr>
      </w:pPr>
    </w:p>
    <w:p w:rsidR="00AD54A3" w:rsidRPr="00CA4A9E" w:rsidRDefault="00AD54A3" w:rsidP="00AD54A3">
      <w:pPr>
        <w:rPr>
          <w:rFonts w:ascii="Calibri" w:hAnsi="Calibri" w:cs="Calibri"/>
          <w:b/>
        </w:rPr>
      </w:pPr>
      <w:r w:rsidRPr="00CA4A9E">
        <w:rPr>
          <w:rFonts w:ascii="Calibri" w:hAnsi="Calibri" w:cs="Calibri"/>
          <w:b/>
        </w:rPr>
        <w:t>4. TRANSPORT</w:t>
      </w:r>
    </w:p>
    <w:p w:rsidR="00AD54A3" w:rsidRPr="00CA4A9E" w:rsidRDefault="00AD54A3" w:rsidP="00AD54A3">
      <w:pPr>
        <w:rPr>
          <w:rFonts w:ascii="Calibri" w:hAnsi="Calibri" w:cs="Calibri"/>
        </w:rPr>
      </w:pPr>
      <w:r w:rsidRPr="00CA4A9E">
        <w:rPr>
          <w:rFonts w:ascii="Calibri" w:hAnsi="Calibri" w:cs="Calibri"/>
          <w:b/>
        </w:rPr>
        <w:t>4.1.</w:t>
      </w:r>
      <w:r w:rsidRPr="00CA4A9E">
        <w:rPr>
          <w:rFonts w:ascii="Calibri" w:hAnsi="Calibri" w:cs="Calibri"/>
        </w:rPr>
        <w:t xml:space="preserve"> Ogólne wymagania dotyczące transportu</w:t>
      </w:r>
    </w:p>
    <w:p w:rsidR="00AD54A3" w:rsidRPr="00CA4A9E" w:rsidRDefault="00AD54A3" w:rsidP="00AD54A3">
      <w:pPr>
        <w:rPr>
          <w:rFonts w:ascii="Calibri" w:hAnsi="Calibri" w:cs="Calibri"/>
        </w:rPr>
      </w:pPr>
      <w:r w:rsidRPr="00CA4A9E">
        <w:rPr>
          <w:rFonts w:ascii="Calibri" w:hAnsi="Calibri" w:cs="Calibri"/>
        </w:rPr>
        <w:t>Ogólne wymagania dotyczące transportu podano w ST D-M-00.00.00 „Wymagania ogólne” pkt 4.</w:t>
      </w:r>
    </w:p>
    <w:p w:rsidR="00AD54A3" w:rsidRPr="00CA4A9E" w:rsidRDefault="00AD54A3" w:rsidP="00AD54A3">
      <w:pPr>
        <w:rPr>
          <w:rFonts w:ascii="Calibri" w:hAnsi="Calibri" w:cs="Calibri"/>
        </w:rPr>
      </w:pPr>
      <w:r w:rsidRPr="00CA4A9E">
        <w:rPr>
          <w:rFonts w:ascii="Calibri" w:hAnsi="Calibri" w:cs="Calibri"/>
          <w:b/>
        </w:rPr>
        <w:t>4.2.</w:t>
      </w:r>
      <w:r w:rsidRPr="00CA4A9E">
        <w:rPr>
          <w:rFonts w:ascii="Calibri" w:hAnsi="Calibri" w:cs="Calibri"/>
        </w:rPr>
        <w:t xml:space="preserve"> Transport materiałów</w:t>
      </w:r>
    </w:p>
    <w:p w:rsidR="00AD54A3" w:rsidRPr="00CA4A9E" w:rsidRDefault="00AD54A3" w:rsidP="00AD54A3">
      <w:pPr>
        <w:rPr>
          <w:rFonts w:ascii="Calibri" w:hAnsi="Calibri" w:cs="Calibri"/>
        </w:rPr>
      </w:pPr>
      <w:r w:rsidRPr="00CA4A9E">
        <w:rPr>
          <w:rFonts w:ascii="Calibri" w:hAnsi="Calibri" w:cs="Calibri"/>
        </w:rPr>
        <w:tab/>
        <w:t>Kruszywa można przewozić dowolnymi środkami transportu w warunkach zabezpieczających je przed zanieczyszczeniem, zmieszaniem z innymi materiałami, nadmiernym wysuszeniem i zawilgoceniem.</w:t>
      </w:r>
    </w:p>
    <w:p w:rsidR="00AD54A3" w:rsidRPr="00CA4A9E" w:rsidRDefault="00AD54A3" w:rsidP="00AD54A3">
      <w:pPr>
        <w:rPr>
          <w:rFonts w:ascii="Calibri" w:hAnsi="Calibri" w:cs="Calibri"/>
        </w:rPr>
      </w:pPr>
      <w:r w:rsidRPr="00CA4A9E">
        <w:rPr>
          <w:rFonts w:ascii="Calibri" w:hAnsi="Calibri" w:cs="Calibri"/>
        </w:rPr>
        <w:tab/>
        <w:t>Transport materiałów powinien odbywać się zgodnie z wymaganiami norm przedmiotowych.</w:t>
      </w:r>
    </w:p>
    <w:p w:rsidR="00AD54A3" w:rsidRPr="00CA4A9E" w:rsidRDefault="00AD54A3" w:rsidP="00AD54A3">
      <w:pPr>
        <w:rPr>
          <w:rFonts w:ascii="Calibri" w:hAnsi="Calibri" w:cs="Calibri"/>
        </w:rPr>
      </w:pPr>
    </w:p>
    <w:p w:rsidR="00AD54A3" w:rsidRPr="00CA4A9E" w:rsidRDefault="00AD54A3" w:rsidP="00AD54A3">
      <w:pPr>
        <w:rPr>
          <w:rFonts w:ascii="Calibri" w:hAnsi="Calibri" w:cs="Calibri"/>
          <w:b/>
        </w:rPr>
      </w:pPr>
      <w:r w:rsidRPr="00CA4A9E">
        <w:rPr>
          <w:rFonts w:ascii="Calibri" w:hAnsi="Calibri" w:cs="Calibri"/>
          <w:b/>
        </w:rPr>
        <w:t>5. WYKONANIE ROBÓT</w:t>
      </w:r>
    </w:p>
    <w:p w:rsidR="00AD54A3" w:rsidRPr="00CA4A9E" w:rsidRDefault="00AD54A3" w:rsidP="00AD54A3">
      <w:pPr>
        <w:rPr>
          <w:rFonts w:ascii="Calibri" w:hAnsi="Calibri" w:cs="Calibri"/>
        </w:rPr>
      </w:pPr>
      <w:r w:rsidRPr="00CA4A9E">
        <w:rPr>
          <w:rFonts w:ascii="Calibri" w:hAnsi="Calibri" w:cs="Calibri"/>
          <w:b/>
        </w:rPr>
        <w:t>5.1.</w:t>
      </w:r>
      <w:r w:rsidRPr="00CA4A9E">
        <w:rPr>
          <w:rFonts w:ascii="Calibri" w:hAnsi="Calibri" w:cs="Calibri"/>
        </w:rPr>
        <w:t xml:space="preserve"> Ogólne zasady wykonania robót</w:t>
      </w:r>
    </w:p>
    <w:p w:rsidR="00AD54A3" w:rsidRPr="00CA4A9E" w:rsidRDefault="00AD54A3" w:rsidP="00AD54A3">
      <w:pPr>
        <w:rPr>
          <w:rFonts w:ascii="Calibri" w:hAnsi="Calibri" w:cs="Calibri"/>
        </w:rPr>
      </w:pPr>
      <w:r w:rsidRPr="00CA4A9E">
        <w:rPr>
          <w:rFonts w:ascii="Calibri" w:hAnsi="Calibri" w:cs="Calibri"/>
        </w:rPr>
        <w:tab/>
        <w:t>Ogólne zasady wykonania robót podano w ST D-M-00.00.00 „Wymagania ogólne” pkt 5.</w:t>
      </w:r>
    </w:p>
    <w:p w:rsidR="00AD54A3" w:rsidRPr="00CA4A9E" w:rsidRDefault="00AD54A3" w:rsidP="00AD54A3">
      <w:pPr>
        <w:rPr>
          <w:rFonts w:ascii="Calibri" w:hAnsi="Calibri" w:cs="Calibri"/>
        </w:rPr>
      </w:pPr>
      <w:r w:rsidRPr="00CA4A9E">
        <w:rPr>
          <w:rFonts w:ascii="Calibri" w:hAnsi="Calibri" w:cs="Calibri"/>
          <w:b/>
        </w:rPr>
        <w:t>5.2.</w:t>
      </w:r>
      <w:r w:rsidRPr="00CA4A9E">
        <w:rPr>
          <w:rFonts w:ascii="Calibri" w:hAnsi="Calibri" w:cs="Calibri"/>
        </w:rPr>
        <w:t xml:space="preserve"> Przygotowanie podłoża</w:t>
      </w:r>
    </w:p>
    <w:p w:rsidR="00AD54A3" w:rsidRPr="00CA4A9E" w:rsidRDefault="00AD54A3" w:rsidP="00AD54A3">
      <w:pPr>
        <w:rPr>
          <w:rFonts w:ascii="Calibri" w:hAnsi="Calibri" w:cs="Calibri"/>
        </w:rPr>
      </w:pPr>
      <w:r w:rsidRPr="00CA4A9E">
        <w:rPr>
          <w:rFonts w:ascii="Calibri" w:hAnsi="Calibri" w:cs="Calibri"/>
        </w:rPr>
        <w:tab/>
        <w:t>Podłoże pod podbudowę powinno spełniać wymagania określone w ST D-04.01.01 „Koryto wraz z profilowaniem i zagęszczeniem podłoża” i ST D-02.00.00 „Roboty ziemne”.</w:t>
      </w:r>
    </w:p>
    <w:p w:rsidR="00AD54A3" w:rsidRPr="00CA4A9E" w:rsidRDefault="00AD54A3" w:rsidP="00AD54A3">
      <w:pPr>
        <w:rPr>
          <w:rFonts w:ascii="Calibri" w:hAnsi="Calibri" w:cs="Calibri"/>
        </w:rPr>
      </w:pPr>
      <w:r w:rsidRPr="00CA4A9E">
        <w:rPr>
          <w:rFonts w:ascii="Calibri" w:hAnsi="Calibri" w:cs="Calibri"/>
        </w:rPr>
        <w:tab/>
        <w:t>Paliki lub szpilki do prawidłowego ukształtowania podbudowy powinny być wcześniej przygotowane.</w:t>
      </w:r>
    </w:p>
    <w:p w:rsidR="00AD54A3" w:rsidRPr="00CA4A9E" w:rsidRDefault="00AD54A3" w:rsidP="00AD54A3">
      <w:pPr>
        <w:rPr>
          <w:rFonts w:ascii="Calibri" w:hAnsi="Calibri" w:cs="Calibri"/>
        </w:rPr>
      </w:pPr>
      <w:r w:rsidRPr="00CA4A9E">
        <w:rPr>
          <w:rFonts w:ascii="Calibri" w:hAnsi="Calibri" w:cs="Calibri"/>
        </w:rPr>
        <w:tab/>
        <w:t>Paliki lub szpilki powinny być ustawione w osi drogi i w rzędach równoległych do osi drogi, lub w inny sposób zaakceptowany przez Inżyniera.</w:t>
      </w:r>
    </w:p>
    <w:p w:rsidR="00AD54A3" w:rsidRPr="00CA4A9E" w:rsidRDefault="00AD54A3" w:rsidP="00AD54A3">
      <w:pPr>
        <w:rPr>
          <w:rFonts w:ascii="Calibri" w:hAnsi="Calibri" w:cs="Calibri"/>
        </w:rPr>
      </w:pPr>
      <w:r w:rsidRPr="00CA4A9E">
        <w:rPr>
          <w:rFonts w:ascii="Calibri" w:hAnsi="Calibri" w:cs="Calibri"/>
        </w:rPr>
        <w:tab/>
        <w:t>Rozmieszczenie palików lub szpilek powinno umożliwiać naciągnięcie sznurków lub linek do wytyczenia robót w odstępach nie większych niż co 10 m.</w:t>
      </w:r>
    </w:p>
    <w:p w:rsidR="00AD54A3" w:rsidRPr="00CA4A9E" w:rsidRDefault="00AD54A3" w:rsidP="00AD54A3">
      <w:pPr>
        <w:rPr>
          <w:rFonts w:ascii="Calibri" w:hAnsi="Calibri" w:cs="Calibri"/>
        </w:rPr>
      </w:pPr>
      <w:r w:rsidRPr="00CA4A9E">
        <w:rPr>
          <w:rFonts w:ascii="Calibri" w:hAnsi="Calibri" w:cs="Calibri"/>
          <w:b/>
        </w:rPr>
        <w:t>5.3.</w:t>
      </w:r>
      <w:r w:rsidRPr="00CA4A9E">
        <w:rPr>
          <w:rFonts w:ascii="Calibri" w:hAnsi="Calibri" w:cs="Calibri"/>
        </w:rPr>
        <w:t xml:space="preserve"> Wytwarzanie mieszanki kruszywa</w:t>
      </w:r>
    </w:p>
    <w:p w:rsidR="00AD54A3" w:rsidRPr="00CA4A9E" w:rsidRDefault="00AD54A3" w:rsidP="00AD54A3">
      <w:pPr>
        <w:rPr>
          <w:rFonts w:ascii="Calibri" w:hAnsi="Calibri" w:cs="Calibri"/>
        </w:rPr>
      </w:pPr>
      <w:r w:rsidRPr="00CA4A9E">
        <w:rPr>
          <w:rFonts w:ascii="Calibri" w:hAnsi="Calibri" w:cs="Calibri"/>
        </w:rPr>
        <w:tab/>
        <w:t>Mieszankę kruszywa o ściśle określonym uziarnieniu i wilgotności optymalnej należy wytwarzać w mieszarkach gwarantujących otrzymanie jednorodnej mieszanki. Ze względu na konieczność zapewnienia jednorodności nie dopuszcza się wytwarzania mieszanki przez mieszanie poszczególnych frakcji na drodze. Mieszanka po wyprodukowaniu powinna być od razu transportowana na miejsce wbudowania w taki sposób, aby nie uległa rozsegregowaniu i wysychaniu.</w:t>
      </w:r>
    </w:p>
    <w:p w:rsidR="00AD54A3" w:rsidRPr="00CA4A9E" w:rsidRDefault="00AD54A3" w:rsidP="00AD54A3">
      <w:pPr>
        <w:rPr>
          <w:rFonts w:ascii="Calibri" w:hAnsi="Calibri" w:cs="Calibri"/>
        </w:rPr>
      </w:pPr>
      <w:r w:rsidRPr="00CA4A9E">
        <w:rPr>
          <w:rFonts w:ascii="Calibri" w:hAnsi="Calibri" w:cs="Calibri"/>
          <w:b/>
        </w:rPr>
        <w:t>5.4.</w:t>
      </w:r>
      <w:r w:rsidRPr="00CA4A9E">
        <w:rPr>
          <w:rFonts w:ascii="Calibri" w:hAnsi="Calibri" w:cs="Calibri"/>
        </w:rPr>
        <w:t xml:space="preserve"> Wbudowywanie i zagęszczanie mieszanki</w:t>
      </w:r>
    </w:p>
    <w:p w:rsidR="00AD54A3" w:rsidRPr="00CA4A9E" w:rsidRDefault="00AD54A3" w:rsidP="00AD54A3">
      <w:pPr>
        <w:rPr>
          <w:rFonts w:ascii="Calibri" w:hAnsi="Calibri" w:cs="Calibri"/>
        </w:rPr>
      </w:pPr>
      <w:r w:rsidRPr="00CA4A9E">
        <w:rPr>
          <w:rFonts w:ascii="Calibri" w:hAnsi="Calibri" w:cs="Calibri"/>
        </w:rPr>
        <w:tab/>
        <w:t>Mieszanka kruszywa powinna być rozkładana w warstwie o jednakowej grubości, takiej, aby jej ostateczna grubość po zagęszczeniu była równa grubości projektowanej. Grubość pojedynczo układanej warstwy nie może przekraczać 20 cm po zagęszczeniu. Warstwa podbudowy powinna być rozłożona w sposób zapewniający osiągnięcie wymaganych spadków i rzędnych wysokościowych. Jeżeli podbudowa składa się z więcej niż jednej warstwy kruszywa, to każda warstwa powinna być wyprofilowana i zagęszczona z zachowaniem wymaganych spadków i rzędnych wysokościowych. Rozpoczęcie budowy każdej następnej warstwy może nastąpić po odbiorze poprzedniej warstwy przez Inżyniera.</w:t>
      </w:r>
    </w:p>
    <w:p w:rsidR="00AD54A3" w:rsidRPr="00CA4A9E" w:rsidRDefault="00AD54A3" w:rsidP="00AD54A3">
      <w:pPr>
        <w:rPr>
          <w:rFonts w:ascii="Calibri" w:hAnsi="Calibri" w:cs="Calibri"/>
        </w:rPr>
      </w:pPr>
      <w:r w:rsidRPr="00CA4A9E">
        <w:rPr>
          <w:rFonts w:ascii="Calibri" w:hAnsi="Calibri" w:cs="Calibri"/>
        </w:rPr>
        <w:tab/>
        <w:t>Wilgotność mieszanki kruszywa podczas zagęszczania powinna odpowiadać wilgotności optymalnej, określonej według próby Proctora, zgodnie z PN-B-04481 (metoda II). Materiał nadmiernie nawilgocony, powinien zostać osuszony przez mieszanie i napowietrzanie. Jeżeli wilgotność mieszanki kruszywa jest niższa od optymalnej o 20% jej wartości, mieszanka powinna być zwilżona określoną ilością wody i równomiernie wymieszana. W przypadku, gdy wilgotność mieszanki kruszywa jest wyższa od optymalnej o 10% jej wartości, mieszankę należy osuszyć.</w:t>
      </w:r>
    </w:p>
    <w:p w:rsidR="00AD54A3" w:rsidRPr="00CA4A9E" w:rsidRDefault="00AD54A3" w:rsidP="00AD54A3">
      <w:pPr>
        <w:rPr>
          <w:rFonts w:ascii="Calibri" w:hAnsi="Calibri" w:cs="Calibri"/>
        </w:rPr>
      </w:pPr>
      <w:r w:rsidRPr="00CA4A9E">
        <w:rPr>
          <w:rFonts w:ascii="Calibri" w:hAnsi="Calibri" w:cs="Calibri"/>
        </w:rPr>
        <w:tab/>
        <w:t>Wskaźnik zagęszczenia podbudowy wg BN-77/8931-12 powinien odpowiadać przyjętemu poziomowi wskaźnika nośności podbudowy wg tablicy 1, lp. 11.</w:t>
      </w:r>
    </w:p>
    <w:p w:rsidR="00AD54A3" w:rsidRPr="00CA4A9E" w:rsidRDefault="00AD54A3" w:rsidP="00AD54A3">
      <w:pPr>
        <w:rPr>
          <w:rFonts w:ascii="Calibri" w:hAnsi="Calibri" w:cs="Calibri"/>
        </w:rPr>
      </w:pPr>
      <w:r w:rsidRPr="00CA4A9E">
        <w:rPr>
          <w:rFonts w:ascii="Calibri" w:hAnsi="Calibri" w:cs="Calibri"/>
          <w:b/>
        </w:rPr>
        <w:t>5.</w:t>
      </w:r>
      <w:r w:rsidR="00DE75B4">
        <w:rPr>
          <w:rFonts w:ascii="Calibri" w:hAnsi="Calibri" w:cs="Calibri"/>
          <w:b/>
        </w:rPr>
        <w:t>5</w:t>
      </w:r>
      <w:r w:rsidRPr="00CA4A9E">
        <w:rPr>
          <w:rFonts w:ascii="Calibri" w:hAnsi="Calibri" w:cs="Calibri"/>
          <w:b/>
        </w:rPr>
        <w:t>.</w:t>
      </w:r>
      <w:r w:rsidRPr="00CA4A9E">
        <w:rPr>
          <w:rFonts w:ascii="Calibri" w:hAnsi="Calibri" w:cs="Calibri"/>
        </w:rPr>
        <w:t xml:space="preserve"> Utrzymanie podbudowy </w:t>
      </w:r>
    </w:p>
    <w:p w:rsidR="00AD54A3" w:rsidRPr="00CA4A9E" w:rsidRDefault="00AD54A3" w:rsidP="00AD54A3">
      <w:pPr>
        <w:rPr>
          <w:rFonts w:ascii="Calibri" w:hAnsi="Calibri" w:cs="Calibri"/>
        </w:rPr>
      </w:pPr>
      <w:r w:rsidRPr="00CA4A9E">
        <w:rPr>
          <w:rFonts w:ascii="Calibri" w:hAnsi="Calibri" w:cs="Calibri"/>
        </w:rPr>
        <w:tab/>
        <w:t xml:space="preserve">Podbudowa po wykonaniu, a przed ułożeniem następnej warstwy, powinna być utrzymywana w dobrym stanie.  Jeżeli Wykonawca będzie wykorzystywał, za zgodą Inżyniera, gotową podbudowę do ruchu budowlanego, to jest obowiązany naprawić wszelkie uszkodzenia podbudowy, spowodowane przez ten ruch. Koszt napraw wynikłych z niewłaściwego utrzymania podbudowy obciąża Wykonawcę robót. </w:t>
      </w:r>
    </w:p>
    <w:p w:rsidR="00AD54A3" w:rsidRPr="00CA4A9E" w:rsidRDefault="00AD54A3" w:rsidP="00AD54A3">
      <w:pPr>
        <w:rPr>
          <w:rFonts w:ascii="Calibri" w:hAnsi="Calibri" w:cs="Calibri"/>
        </w:rPr>
      </w:pPr>
    </w:p>
    <w:p w:rsidR="00AD54A3" w:rsidRPr="00CA4A9E" w:rsidRDefault="00AD54A3" w:rsidP="00AD54A3">
      <w:pPr>
        <w:rPr>
          <w:rFonts w:ascii="Calibri" w:hAnsi="Calibri" w:cs="Calibri"/>
          <w:b/>
        </w:rPr>
      </w:pPr>
      <w:bookmarkStart w:id="1379" w:name="_Toc423398335"/>
      <w:bookmarkStart w:id="1380" w:name="_Toc423845943"/>
      <w:r w:rsidRPr="00CA4A9E">
        <w:rPr>
          <w:rFonts w:ascii="Calibri" w:hAnsi="Calibri" w:cs="Calibri"/>
          <w:b/>
        </w:rPr>
        <w:t xml:space="preserve">6. </w:t>
      </w:r>
      <w:bookmarkEnd w:id="1379"/>
      <w:bookmarkEnd w:id="1380"/>
      <w:r w:rsidRPr="00CA4A9E">
        <w:rPr>
          <w:rFonts w:ascii="Calibri" w:hAnsi="Calibri" w:cs="Calibri"/>
          <w:b/>
        </w:rPr>
        <w:t>KONTROLA JAKOŚCI ROBÓT</w:t>
      </w:r>
    </w:p>
    <w:p w:rsidR="00AD54A3" w:rsidRPr="00CA4A9E" w:rsidRDefault="00AD54A3" w:rsidP="00AD54A3">
      <w:pPr>
        <w:rPr>
          <w:rFonts w:ascii="Calibri" w:hAnsi="Calibri" w:cs="Calibri"/>
        </w:rPr>
      </w:pPr>
      <w:r w:rsidRPr="00CA4A9E">
        <w:rPr>
          <w:rFonts w:ascii="Calibri" w:hAnsi="Calibri" w:cs="Calibri"/>
          <w:b/>
        </w:rPr>
        <w:t>6.1.</w:t>
      </w:r>
      <w:r w:rsidRPr="00CA4A9E">
        <w:rPr>
          <w:rFonts w:ascii="Calibri" w:hAnsi="Calibri" w:cs="Calibri"/>
        </w:rPr>
        <w:t xml:space="preserve"> Ogólne zasady kontroli jakości robót</w:t>
      </w:r>
    </w:p>
    <w:p w:rsidR="00AD54A3" w:rsidRPr="00CA4A9E" w:rsidRDefault="00AD54A3" w:rsidP="00AD54A3">
      <w:pPr>
        <w:rPr>
          <w:rFonts w:ascii="Calibri" w:hAnsi="Calibri" w:cs="Calibri"/>
        </w:rPr>
      </w:pPr>
      <w:r w:rsidRPr="00CA4A9E">
        <w:rPr>
          <w:rFonts w:ascii="Calibri" w:hAnsi="Calibri" w:cs="Calibri"/>
        </w:rPr>
        <w:tab/>
        <w:t>Ogólne zasady kontroli jakości robót podano w ST D-M-00.00.00 „Wymagania ogólne” pkt 6.</w:t>
      </w:r>
    </w:p>
    <w:p w:rsidR="00AD54A3" w:rsidRPr="00CA4A9E" w:rsidRDefault="00AD54A3" w:rsidP="00AD54A3">
      <w:pPr>
        <w:rPr>
          <w:rFonts w:ascii="Calibri" w:hAnsi="Calibri" w:cs="Calibri"/>
        </w:rPr>
      </w:pPr>
      <w:r w:rsidRPr="00CA4A9E">
        <w:rPr>
          <w:rFonts w:ascii="Calibri" w:hAnsi="Calibri" w:cs="Calibri"/>
          <w:b/>
        </w:rPr>
        <w:lastRenderedPageBreak/>
        <w:t>6.2.</w:t>
      </w:r>
      <w:r w:rsidRPr="00CA4A9E">
        <w:rPr>
          <w:rFonts w:ascii="Calibri" w:hAnsi="Calibri" w:cs="Calibri"/>
        </w:rPr>
        <w:t xml:space="preserve"> Badania przed przystąpieniem do robót</w:t>
      </w:r>
    </w:p>
    <w:p w:rsidR="00AD54A3" w:rsidRPr="00CA4A9E" w:rsidRDefault="00AD54A3" w:rsidP="00AD54A3">
      <w:pPr>
        <w:rPr>
          <w:rFonts w:ascii="Calibri" w:hAnsi="Calibri" w:cs="Calibri"/>
        </w:rPr>
      </w:pPr>
      <w:r w:rsidRPr="00CA4A9E">
        <w:rPr>
          <w:rFonts w:ascii="Calibri" w:hAnsi="Calibri" w:cs="Calibri"/>
        </w:rPr>
        <w:tab/>
        <w:t>Przed przystąpieniem do robót Wykonawca powinien wykonać badania kruszyw  przeznaczonych do wykonania robót i przedstawić wyniki tych badań Inżynierowi w celu akceptacji materiałów. Badania te powinny obejmować wszystkie właściwości określone w pkt 2.3 niniejszej ST.</w:t>
      </w:r>
    </w:p>
    <w:p w:rsidR="00AD54A3" w:rsidRPr="00CA4A9E" w:rsidRDefault="00AD54A3" w:rsidP="00AD54A3">
      <w:pPr>
        <w:rPr>
          <w:rFonts w:ascii="Calibri" w:hAnsi="Calibri" w:cs="Calibri"/>
        </w:rPr>
      </w:pPr>
      <w:r w:rsidRPr="00CA4A9E">
        <w:rPr>
          <w:rFonts w:ascii="Calibri" w:hAnsi="Calibri" w:cs="Calibri"/>
          <w:b/>
        </w:rPr>
        <w:t>6.3.</w:t>
      </w:r>
      <w:r w:rsidRPr="00CA4A9E">
        <w:rPr>
          <w:rFonts w:ascii="Calibri" w:hAnsi="Calibri" w:cs="Calibri"/>
        </w:rPr>
        <w:t xml:space="preserve"> Badania w czasie robót</w:t>
      </w:r>
    </w:p>
    <w:p w:rsidR="00AD54A3" w:rsidRPr="00CA4A9E" w:rsidRDefault="00AD54A3" w:rsidP="00AD54A3">
      <w:pPr>
        <w:rPr>
          <w:rFonts w:ascii="Calibri" w:hAnsi="Calibri" w:cs="Calibri"/>
        </w:rPr>
      </w:pPr>
      <w:r w:rsidRPr="00CA4A9E">
        <w:rPr>
          <w:rFonts w:ascii="Calibri" w:hAnsi="Calibri" w:cs="Calibri"/>
          <w:b/>
        </w:rPr>
        <w:t>6.3.1.</w:t>
      </w:r>
      <w:r w:rsidRPr="00CA4A9E">
        <w:rPr>
          <w:rFonts w:ascii="Calibri" w:hAnsi="Calibri" w:cs="Calibri"/>
        </w:rPr>
        <w:t xml:space="preserve"> Częstotliwość oraz zakres badań i pomiarów</w:t>
      </w:r>
    </w:p>
    <w:p w:rsidR="00AD54A3" w:rsidRPr="00CA4A9E" w:rsidRDefault="00AD54A3" w:rsidP="00AD54A3">
      <w:pPr>
        <w:rPr>
          <w:rFonts w:ascii="Calibri" w:hAnsi="Calibri" w:cs="Calibri"/>
        </w:rPr>
      </w:pPr>
      <w:r w:rsidRPr="00CA4A9E">
        <w:rPr>
          <w:rFonts w:ascii="Calibri" w:hAnsi="Calibri" w:cs="Calibri"/>
        </w:rPr>
        <w:tab/>
        <w:t>Częstotliwość oraz zakres badań  podano w tablicy 2.</w:t>
      </w:r>
    </w:p>
    <w:p w:rsidR="00C50010" w:rsidRPr="00CA4A9E" w:rsidRDefault="00C50010" w:rsidP="00AD54A3">
      <w:pPr>
        <w:rPr>
          <w:rFonts w:ascii="Calibri" w:hAnsi="Calibri" w:cs="Calibri"/>
        </w:rPr>
      </w:pPr>
    </w:p>
    <w:p w:rsidR="00AD54A3" w:rsidRPr="00CA4A9E" w:rsidRDefault="00AD54A3" w:rsidP="00AD54A3">
      <w:pPr>
        <w:ind w:left="709"/>
        <w:rPr>
          <w:rFonts w:ascii="Calibri" w:hAnsi="Calibri" w:cs="Calibri"/>
        </w:rPr>
      </w:pPr>
      <w:r w:rsidRPr="00CA4A9E">
        <w:rPr>
          <w:rFonts w:ascii="Calibri" w:hAnsi="Calibri" w:cs="Calibri"/>
        </w:rPr>
        <w:t>Tablica 2. Częstotliwość ora zakres  badań przy budowie podbudowy z kruszyw stabilizowanych mechanicznie</w:t>
      </w:r>
    </w:p>
    <w:tbl>
      <w:tblPr>
        <w:tblW w:w="8223" w:type="dxa"/>
        <w:tblInd w:w="779" w:type="dxa"/>
        <w:tblLayout w:type="fixed"/>
        <w:tblCellMar>
          <w:left w:w="70" w:type="dxa"/>
          <w:right w:w="70" w:type="dxa"/>
        </w:tblCellMar>
        <w:tblLook w:val="0000"/>
      </w:tblPr>
      <w:tblGrid>
        <w:gridCol w:w="1134"/>
        <w:gridCol w:w="3828"/>
        <w:gridCol w:w="1701"/>
        <w:gridCol w:w="1560"/>
      </w:tblGrid>
      <w:tr w:rsidR="00AD54A3" w:rsidRPr="00CA4A9E" w:rsidTr="00FD47C7">
        <w:tc>
          <w:tcPr>
            <w:tcW w:w="1134" w:type="dxa"/>
            <w:tcBorders>
              <w:top w:val="single" w:sz="6" w:space="0" w:color="auto"/>
              <w:left w:val="single" w:sz="6" w:space="0" w:color="auto"/>
            </w:tcBorders>
          </w:tcPr>
          <w:p w:rsidR="00AD54A3" w:rsidRPr="00CA4A9E" w:rsidRDefault="00AD54A3" w:rsidP="00FD47C7">
            <w:pPr>
              <w:jc w:val="center"/>
              <w:rPr>
                <w:rFonts w:ascii="Calibri" w:hAnsi="Calibri" w:cs="Calibri"/>
                <w:sz w:val="18"/>
                <w:szCs w:val="18"/>
              </w:rPr>
            </w:pPr>
          </w:p>
        </w:tc>
        <w:tc>
          <w:tcPr>
            <w:tcW w:w="3828" w:type="dxa"/>
            <w:tcBorders>
              <w:top w:val="single" w:sz="6" w:space="0" w:color="auto"/>
              <w:left w:val="single" w:sz="6" w:space="0" w:color="auto"/>
            </w:tcBorders>
          </w:tcPr>
          <w:p w:rsidR="00AD54A3" w:rsidRPr="00CA4A9E" w:rsidRDefault="00AD54A3" w:rsidP="00FD47C7">
            <w:pPr>
              <w:jc w:val="center"/>
              <w:rPr>
                <w:rFonts w:ascii="Calibri" w:hAnsi="Calibri" w:cs="Calibri"/>
                <w:sz w:val="18"/>
                <w:szCs w:val="18"/>
              </w:rPr>
            </w:pPr>
          </w:p>
        </w:tc>
        <w:tc>
          <w:tcPr>
            <w:tcW w:w="3261" w:type="dxa"/>
            <w:gridSpan w:val="2"/>
            <w:tcBorders>
              <w:top w:val="single" w:sz="6" w:space="0" w:color="auto"/>
              <w:left w:val="single" w:sz="6" w:space="0" w:color="auto"/>
              <w:bottom w:val="single" w:sz="6" w:space="0" w:color="auto"/>
              <w:right w:val="single" w:sz="6" w:space="0" w:color="auto"/>
            </w:tcBorders>
          </w:tcPr>
          <w:p w:rsidR="00AD54A3" w:rsidRPr="00CA4A9E" w:rsidRDefault="00AD54A3" w:rsidP="00FD47C7">
            <w:pPr>
              <w:jc w:val="center"/>
              <w:rPr>
                <w:rFonts w:ascii="Calibri" w:hAnsi="Calibri" w:cs="Calibri"/>
                <w:sz w:val="18"/>
                <w:szCs w:val="18"/>
              </w:rPr>
            </w:pPr>
            <w:r w:rsidRPr="00CA4A9E">
              <w:rPr>
                <w:rFonts w:ascii="Calibri" w:hAnsi="Calibri" w:cs="Calibri"/>
                <w:sz w:val="18"/>
                <w:szCs w:val="18"/>
              </w:rPr>
              <w:t>Częstotliwość badań</w:t>
            </w:r>
          </w:p>
        </w:tc>
      </w:tr>
      <w:tr w:rsidR="00AD54A3" w:rsidRPr="00CA4A9E" w:rsidTr="00FD47C7">
        <w:tc>
          <w:tcPr>
            <w:tcW w:w="1134" w:type="dxa"/>
            <w:tcBorders>
              <w:left w:val="single" w:sz="6" w:space="0" w:color="auto"/>
              <w:bottom w:val="double" w:sz="6" w:space="0" w:color="auto"/>
              <w:right w:val="single" w:sz="6" w:space="0" w:color="auto"/>
            </w:tcBorders>
          </w:tcPr>
          <w:p w:rsidR="00AD54A3" w:rsidRPr="00CA4A9E" w:rsidRDefault="00AD54A3" w:rsidP="00FD47C7">
            <w:pPr>
              <w:jc w:val="center"/>
              <w:rPr>
                <w:rFonts w:ascii="Calibri" w:hAnsi="Calibri" w:cs="Calibri"/>
                <w:sz w:val="18"/>
                <w:szCs w:val="18"/>
              </w:rPr>
            </w:pPr>
          </w:p>
          <w:p w:rsidR="00AD54A3" w:rsidRPr="00CA4A9E" w:rsidRDefault="00AD54A3" w:rsidP="00FD47C7">
            <w:pPr>
              <w:jc w:val="center"/>
              <w:rPr>
                <w:rFonts w:ascii="Calibri" w:hAnsi="Calibri" w:cs="Calibri"/>
                <w:sz w:val="18"/>
                <w:szCs w:val="18"/>
              </w:rPr>
            </w:pPr>
            <w:r w:rsidRPr="00CA4A9E">
              <w:rPr>
                <w:rFonts w:ascii="Calibri" w:hAnsi="Calibri" w:cs="Calibri"/>
                <w:sz w:val="18"/>
                <w:szCs w:val="18"/>
              </w:rPr>
              <w:t>Lp.</w:t>
            </w:r>
          </w:p>
        </w:tc>
        <w:tc>
          <w:tcPr>
            <w:tcW w:w="3828" w:type="dxa"/>
            <w:tcBorders>
              <w:left w:val="nil"/>
              <w:bottom w:val="double" w:sz="6" w:space="0" w:color="auto"/>
            </w:tcBorders>
          </w:tcPr>
          <w:p w:rsidR="00AD54A3" w:rsidRPr="00CA4A9E" w:rsidRDefault="00AD54A3" w:rsidP="00FD47C7">
            <w:pPr>
              <w:jc w:val="center"/>
              <w:rPr>
                <w:rFonts w:ascii="Calibri" w:hAnsi="Calibri" w:cs="Calibri"/>
                <w:sz w:val="18"/>
                <w:szCs w:val="18"/>
              </w:rPr>
            </w:pPr>
          </w:p>
          <w:p w:rsidR="00AD54A3" w:rsidRPr="00CA4A9E" w:rsidRDefault="00AD54A3" w:rsidP="00FD47C7">
            <w:pPr>
              <w:jc w:val="center"/>
              <w:rPr>
                <w:rFonts w:ascii="Calibri" w:hAnsi="Calibri" w:cs="Calibri"/>
                <w:sz w:val="18"/>
                <w:szCs w:val="18"/>
              </w:rPr>
            </w:pPr>
            <w:r w:rsidRPr="00CA4A9E">
              <w:rPr>
                <w:rFonts w:ascii="Calibri" w:hAnsi="Calibri" w:cs="Calibri"/>
                <w:sz w:val="18"/>
                <w:szCs w:val="18"/>
              </w:rPr>
              <w:t>Wyszczególnienie badań</w:t>
            </w:r>
          </w:p>
        </w:tc>
        <w:tc>
          <w:tcPr>
            <w:tcW w:w="1701" w:type="dxa"/>
            <w:tcBorders>
              <w:top w:val="single" w:sz="6" w:space="0" w:color="auto"/>
              <w:left w:val="single" w:sz="6" w:space="0" w:color="auto"/>
              <w:bottom w:val="double" w:sz="6" w:space="0" w:color="auto"/>
              <w:right w:val="single" w:sz="6" w:space="0" w:color="auto"/>
            </w:tcBorders>
          </w:tcPr>
          <w:p w:rsidR="00AD54A3" w:rsidRPr="00CA4A9E" w:rsidRDefault="00AD54A3" w:rsidP="00FD47C7">
            <w:pPr>
              <w:jc w:val="center"/>
              <w:rPr>
                <w:rFonts w:ascii="Calibri" w:hAnsi="Calibri" w:cs="Calibri"/>
                <w:sz w:val="18"/>
                <w:szCs w:val="18"/>
              </w:rPr>
            </w:pPr>
            <w:r w:rsidRPr="00CA4A9E">
              <w:rPr>
                <w:rFonts w:ascii="Calibri" w:hAnsi="Calibri" w:cs="Calibri"/>
                <w:sz w:val="18"/>
                <w:szCs w:val="18"/>
              </w:rPr>
              <w:t>Minimalna liczba badań na dziennej działce roboczej</w:t>
            </w:r>
          </w:p>
        </w:tc>
        <w:tc>
          <w:tcPr>
            <w:tcW w:w="1560" w:type="dxa"/>
            <w:tcBorders>
              <w:top w:val="single" w:sz="6" w:space="0" w:color="auto"/>
              <w:left w:val="single" w:sz="6" w:space="0" w:color="auto"/>
              <w:bottom w:val="double" w:sz="6" w:space="0" w:color="auto"/>
              <w:right w:val="single" w:sz="6" w:space="0" w:color="auto"/>
            </w:tcBorders>
          </w:tcPr>
          <w:p w:rsidR="00AD54A3" w:rsidRPr="00CA4A9E" w:rsidRDefault="00AD54A3" w:rsidP="00FD47C7">
            <w:pPr>
              <w:jc w:val="center"/>
              <w:rPr>
                <w:rFonts w:ascii="Calibri" w:hAnsi="Calibri" w:cs="Calibri"/>
                <w:sz w:val="18"/>
                <w:szCs w:val="18"/>
              </w:rPr>
            </w:pPr>
            <w:r w:rsidRPr="00CA4A9E">
              <w:rPr>
                <w:rFonts w:ascii="Calibri" w:hAnsi="Calibri" w:cs="Calibri"/>
                <w:sz w:val="18"/>
                <w:szCs w:val="18"/>
              </w:rPr>
              <w:t>Maksymalna powierzchnia podbudowy przy-padająca na jedno badanie (m2)</w:t>
            </w:r>
          </w:p>
        </w:tc>
      </w:tr>
      <w:tr w:rsidR="00AD54A3" w:rsidRPr="00CA4A9E" w:rsidTr="00FD47C7">
        <w:tc>
          <w:tcPr>
            <w:tcW w:w="1134" w:type="dxa"/>
            <w:tcBorders>
              <w:left w:val="single" w:sz="6" w:space="0" w:color="auto"/>
              <w:bottom w:val="single" w:sz="6" w:space="0" w:color="auto"/>
              <w:right w:val="single" w:sz="6" w:space="0" w:color="auto"/>
            </w:tcBorders>
          </w:tcPr>
          <w:p w:rsidR="00AD54A3" w:rsidRPr="00CA4A9E" w:rsidRDefault="00AD54A3" w:rsidP="00FD47C7">
            <w:pPr>
              <w:jc w:val="center"/>
              <w:rPr>
                <w:rFonts w:ascii="Calibri" w:hAnsi="Calibri" w:cs="Calibri"/>
                <w:sz w:val="18"/>
                <w:szCs w:val="18"/>
              </w:rPr>
            </w:pPr>
            <w:r w:rsidRPr="00CA4A9E">
              <w:rPr>
                <w:rFonts w:ascii="Calibri" w:hAnsi="Calibri" w:cs="Calibri"/>
                <w:sz w:val="18"/>
                <w:szCs w:val="18"/>
              </w:rPr>
              <w:t>1</w:t>
            </w:r>
          </w:p>
        </w:tc>
        <w:tc>
          <w:tcPr>
            <w:tcW w:w="3828" w:type="dxa"/>
            <w:tcBorders>
              <w:left w:val="single" w:sz="6" w:space="0" w:color="auto"/>
              <w:bottom w:val="single" w:sz="6" w:space="0" w:color="auto"/>
            </w:tcBorders>
          </w:tcPr>
          <w:p w:rsidR="00AD54A3" w:rsidRPr="00CA4A9E" w:rsidRDefault="00AD54A3" w:rsidP="00FD47C7">
            <w:pPr>
              <w:jc w:val="center"/>
              <w:rPr>
                <w:rFonts w:ascii="Calibri" w:hAnsi="Calibri" w:cs="Calibri"/>
                <w:sz w:val="18"/>
                <w:szCs w:val="18"/>
              </w:rPr>
            </w:pPr>
            <w:r w:rsidRPr="00CA4A9E">
              <w:rPr>
                <w:rFonts w:ascii="Calibri" w:hAnsi="Calibri" w:cs="Calibri"/>
                <w:sz w:val="18"/>
                <w:szCs w:val="18"/>
              </w:rPr>
              <w:t>Uziarnienie mieszanki</w:t>
            </w:r>
          </w:p>
        </w:tc>
        <w:tc>
          <w:tcPr>
            <w:tcW w:w="1701" w:type="dxa"/>
            <w:tcBorders>
              <w:left w:val="single" w:sz="6" w:space="0" w:color="auto"/>
            </w:tcBorders>
          </w:tcPr>
          <w:p w:rsidR="00AD54A3" w:rsidRPr="00CA4A9E" w:rsidRDefault="00AD54A3" w:rsidP="00FD47C7">
            <w:pPr>
              <w:jc w:val="center"/>
              <w:rPr>
                <w:rFonts w:ascii="Calibri" w:hAnsi="Calibri" w:cs="Calibri"/>
                <w:sz w:val="18"/>
                <w:szCs w:val="18"/>
              </w:rPr>
            </w:pPr>
          </w:p>
        </w:tc>
        <w:tc>
          <w:tcPr>
            <w:tcW w:w="1560" w:type="dxa"/>
            <w:tcBorders>
              <w:left w:val="single" w:sz="6" w:space="0" w:color="auto"/>
              <w:right w:val="single" w:sz="6" w:space="0" w:color="auto"/>
            </w:tcBorders>
          </w:tcPr>
          <w:p w:rsidR="00AD54A3" w:rsidRPr="00CA4A9E" w:rsidRDefault="00AD54A3" w:rsidP="00FD47C7">
            <w:pPr>
              <w:jc w:val="center"/>
              <w:rPr>
                <w:rFonts w:ascii="Calibri" w:hAnsi="Calibri" w:cs="Calibri"/>
                <w:sz w:val="18"/>
                <w:szCs w:val="18"/>
              </w:rPr>
            </w:pPr>
          </w:p>
        </w:tc>
      </w:tr>
      <w:tr w:rsidR="00AD54A3" w:rsidRPr="00CA4A9E" w:rsidTr="00FD47C7">
        <w:tc>
          <w:tcPr>
            <w:tcW w:w="1134" w:type="dxa"/>
            <w:tcBorders>
              <w:top w:val="single" w:sz="6" w:space="0" w:color="auto"/>
              <w:left w:val="single" w:sz="6" w:space="0" w:color="auto"/>
              <w:bottom w:val="single" w:sz="6" w:space="0" w:color="auto"/>
              <w:right w:val="single" w:sz="6" w:space="0" w:color="auto"/>
            </w:tcBorders>
          </w:tcPr>
          <w:p w:rsidR="00AD54A3" w:rsidRPr="00CA4A9E" w:rsidRDefault="00AD54A3" w:rsidP="00FD47C7">
            <w:pPr>
              <w:jc w:val="center"/>
              <w:rPr>
                <w:rFonts w:ascii="Calibri" w:hAnsi="Calibri" w:cs="Calibri"/>
                <w:sz w:val="18"/>
                <w:szCs w:val="18"/>
              </w:rPr>
            </w:pPr>
            <w:r w:rsidRPr="00CA4A9E">
              <w:rPr>
                <w:rFonts w:ascii="Calibri" w:hAnsi="Calibri" w:cs="Calibri"/>
                <w:sz w:val="18"/>
                <w:szCs w:val="18"/>
              </w:rPr>
              <w:t>2</w:t>
            </w:r>
          </w:p>
        </w:tc>
        <w:tc>
          <w:tcPr>
            <w:tcW w:w="3828" w:type="dxa"/>
            <w:tcBorders>
              <w:top w:val="single" w:sz="6" w:space="0" w:color="auto"/>
              <w:left w:val="single" w:sz="6" w:space="0" w:color="auto"/>
              <w:bottom w:val="single" w:sz="6" w:space="0" w:color="auto"/>
            </w:tcBorders>
          </w:tcPr>
          <w:p w:rsidR="00AD54A3" w:rsidRPr="00CA4A9E" w:rsidRDefault="00AD54A3" w:rsidP="00FD47C7">
            <w:pPr>
              <w:jc w:val="center"/>
              <w:rPr>
                <w:rFonts w:ascii="Calibri" w:hAnsi="Calibri" w:cs="Calibri"/>
                <w:sz w:val="18"/>
                <w:szCs w:val="18"/>
              </w:rPr>
            </w:pPr>
            <w:r w:rsidRPr="00CA4A9E">
              <w:rPr>
                <w:rFonts w:ascii="Calibri" w:hAnsi="Calibri" w:cs="Calibri"/>
                <w:sz w:val="18"/>
                <w:szCs w:val="18"/>
              </w:rPr>
              <w:t>Wilgotność mieszanki</w:t>
            </w:r>
          </w:p>
        </w:tc>
        <w:tc>
          <w:tcPr>
            <w:tcW w:w="1701" w:type="dxa"/>
            <w:tcBorders>
              <w:left w:val="single" w:sz="6" w:space="0" w:color="auto"/>
            </w:tcBorders>
          </w:tcPr>
          <w:p w:rsidR="00AD54A3" w:rsidRPr="00CA4A9E" w:rsidRDefault="00AD54A3" w:rsidP="00FD47C7">
            <w:pPr>
              <w:jc w:val="center"/>
              <w:rPr>
                <w:rFonts w:ascii="Calibri" w:hAnsi="Calibri" w:cs="Calibri"/>
                <w:sz w:val="18"/>
                <w:szCs w:val="18"/>
              </w:rPr>
            </w:pPr>
            <w:r w:rsidRPr="00CA4A9E">
              <w:rPr>
                <w:rFonts w:ascii="Calibri" w:hAnsi="Calibri" w:cs="Calibri"/>
                <w:sz w:val="18"/>
                <w:szCs w:val="18"/>
              </w:rPr>
              <w:t>2</w:t>
            </w:r>
          </w:p>
        </w:tc>
        <w:tc>
          <w:tcPr>
            <w:tcW w:w="1560" w:type="dxa"/>
            <w:tcBorders>
              <w:left w:val="single" w:sz="6" w:space="0" w:color="auto"/>
              <w:bottom w:val="single" w:sz="6" w:space="0" w:color="auto"/>
              <w:right w:val="single" w:sz="6" w:space="0" w:color="auto"/>
            </w:tcBorders>
          </w:tcPr>
          <w:p w:rsidR="00AD54A3" w:rsidRPr="00CA4A9E" w:rsidRDefault="00AD54A3" w:rsidP="00FD47C7">
            <w:pPr>
              <w:jc w:val="center"/>
              <w:rPr>
                <w:rFonts w:ascii="Calibri" w:hAnsi="Calibri" w:cs="Calibri"/>
                <w:sz w:val="18"/>
                <w:szCs w:val="18"/>
              </w:rPr>
            </w:pPr>
            <w:r w:rsidRPr="00CA4A9E">
              <w:rPr>
                <w:rFonts w:ascii="Calibri" w:hAnsi="Calibri" w:cs="Calibri"/>
                <w:sz w:val="18"/>
                <w:szCs w:val="18"/>
              </w:rPr>
              <w:t>600</w:t>
            </w:r>
          </w:p>
        </w:tc>
      </w:tr>
      <w:tr w:rsidR="00AD54A3" w:rsidRPr="00CA4A9E" w:rsidTr="00FD47C7">
        <w:tc>
          <w:tcPr>
            <w:tcW w:w="1134" w:type="dxa"/>
            <w:tcBorders>
              <w:top w:val="single" w:sz="6" w:space="0" w:color="auto"/>
              <w:left w:val="single" w:sz="6" w:space="0" w:color="auto"/>
              <w:bottom w:val="single" w:sz="6" w:space="0" w:color="auto"/>
              <w:right w:val="single" w:sz="6" w:space="0" w:color="auto"/>
            </w:tcBorders>
          </w:tcPr>
          <w:p w:rsidR="00AD54A3" w:rsidRPr="00CA4A9E" w:rsidRDefault="00AD54A3" w:rsidP="00FD47C7">
            <w:pPr>
              <w:jc w:val="center"/>
              <w:rPr>
                <w:rFonts w:ascii="Calibri" w:hAnsi="Calibri" w:cs="Calibri"/>
                <w:sz w:val="18"/>
                <w:szCs w:val="18"/>
              </w:rPr>
            </w:pPr>
            <w:r w:rsidRPr="00CA4A9E">
              <w:rPr>
                <w:rFonts w:ascii="Calibri" w:hAnsi="Calibri" w:cs="Calibri"/>
                <w:sz w:val="18"/>
                <w:szCs w:val="18"/>
              </w:rPr>
              <w:t>3</w:t>
            </w:r>
          </w:p>
        </w:tc>
        <w:tc>
          <w:tcPr>
            <w:tcW w:w="3828" w:type="dxa"/>
            <w:tcBorders>
              <w:top w:val="single" w:sz="6" w:space="0" w:color="auto"/>
              <w:left w:val="single" w:sz="6" w:space="0" w:color="auto"/>
              <w:bottom w:val="single" w:sz="6" w:space="0" w:color="auto"/>
            </w:tcBorders>
          </w:tcPr>
          <w:p w:rsidR="00AD54A3" w:rsidRPr="00CA4A9E" w:rsidRDefault="00AD54A3" w:rsidP="00FD47C7">
            <w:pPr>
              <w:jc w:val="center"/>
              <w:rPr>
                <w:rFonts w:ascii="Calibri" w:hAnsi="Calibri" w:cs="Calibri"/>
                <w:sz w:val="18"/>
                <w:szCs w:val="18"/>
              </w:rPr>
            </w:pPr>
            <w:r w:rsidRPr="00CA4A9E">
              <w:rPr>
                <w:rFonts w:ascii="Calibri" w:hAnsi="Calibri" w:cs="Calibri"/>
                <w:sz w:val="18"/>
                <w:szCs w:val="18"/>
              </w:rPr>
              <w:t>Zagęszczenie warstwy</w:t>
            </w:r>
          </w:p>
        </w:tc>
        <w:tc>
          <w:tcPr>
            <w:tcW w:w="1701" w:type="dxa"/>
            <w:tcBorders>
              <w:top w:val="single" w:sz="6" w:space="0" w:color="auto"/>
              <w:left w:val="single" w:sz="6" w:space="0" w:color="auto"/>
              <w:bottom w:val="single" w:sz="6" w:space="0" w:color="auto"/>
            </w:tcBorders>
          </w:tcPr>
          <w:p w:rsidR="00AD54A3" w:rsidRPr="00CA4A9E" w:rsidRDefault="00AD54A3" w:rsidP="00FD47C7">
            <w:pPr>
              <w:jc w:val="center"/>
              <w:rPr>
                <w:rFonts w:ascii="Calibri" w:hAnsi="Calibri" w:cs="Calibri"/>
                <w:sz w:val="18"/>
                <w:szCs w:val="18"/>
              </w:rPr>
            </w:pPr>
            <w:r w:rsidRPr="00CA4A9E">
              <w:rPr>
                <w:rFonts w:ascii="Calibri" w:hAnsi="Calibri" w:cs="Calibri"/>
                <w:sz w:val="18"/>
                <w:szCs w:val="18"/>
              </w:rPr>
              <w:t>10 próbek</w:t>
            </w:r>
          </w:p>
        </w:tc>
        <w:tc>
          <w:tcPr>
            <w:tcW w:w="1560" w:type="dxa"/>
            <w:tcBorders>
              <w:left w:val="nil"/>
              <w:bottom w:val="single" w:sz="6" w:space="0" w:color="auto"/>
              <w:right w:val="single" w:sz="6" w:space="0" w:color="auto"/>
            </w:tcBorders>
          </w:tcPr>
          <w:p w:rsidR="00AD54A3" w:rsidRPr="00CA4A9E" w:rsidRDefault="00AD54A3" w:rsidP="00FD47C7">
            <w:pPr>
              <w:jc w:val="center"/>
              <w:rPr>
                <w:rFonts w:ascii="Calibri" w:hAnsi="Calibri" w:cs="Calibri"/>
                <w:sz w:val="18"/>
                <w:szCs w:val="18"/>
              </w:rPr>
            </w:pPr>
            <w:r w:rsidRPr="00CA4A9E">
              <w:rPr>
                <w:rFonts w:ascii="Calibri" w:hAnsi="Calibri" w:cs="Calibri"/>
                <w:sz w:val="18"/>
                <w:szCs w:val="18"/>
              </w:rPr>
              <w:t>na 10000 m2</w:t>
            </w:r>
          </w:p>
        </w:tc>
      </w:tr>
      <w:tr w:rsidR="00AD54A3" w:rsidRPr="00CA4A9E" w:rsidTr="00FD47C7">
        <w:tc>
          <w:tcPr>
            <w:tcW w:w="1134" w:type="dxa"/>
            <w:tcBorders>
              <w:top w:val="single" w:sz="6" w:space="0" w:color="auto"/>
              <w:left w:val="single" w:sz="6" w:space="0" w:color="auto"/>
              <w:bottom w:val="single" w:sz="6" w:space="0" w:color="auto"/>
              <w:right w:val="single" w:sz="6" w:space="0" w:color="auto"/>
            </w:tcBorders>
          </w:tcPr>
          <w:p w:rsidR="00AD54A3" w:rsidRPr="00CA4A9E" w:rsidRDefault="00AD54A3" w:rsidP="00FD47C7">
            <w:pPr>
              <w:jc w:val="center"/>
              <w:rPr>
                <w:rFonts w:ascii="Calibri" w:hAnsi="Calibri" w:cs="Calibri"/>
                <w:sz w:val="18"/>
                <w:szCs w:val="18"/>
              </w:rPr>
            </w:pPr>
            <w:r w:rsidRPr="00CA4A9E">
              <w:rPr>
                <w:rFonts w:ascii="Calibri" w:hAnsi="Calibri" w:cs="Calibri"/>
                <w:sz w:val="18"/>
                <w:szCs w:val="18"/>
              </w:rPr>
              <w:t>4</w:t>
            </w:r>
          </w:p>
        </w:tc>
        <w:tc>
          <w:tcPr>
            <w:tcW w:w="3828" w:type="dxa"/>
            <w:tcBorders>
              <w:top w:val="single" w:sz="6" w:space="0" w:color="auto"/>
              <w:left w:val="single" w:sz="6" w:space="0" w:color="auto"/>
              <w:bottom w:val="single" w:sz="6" w:space="0" w:color="auto"/>
              <w:right w:val="single" w:sz="6" w:space="0" w:color="auto"/>
            </w:tcBorders>
          </w:tcPr>
          <w:p w:rsidR="00AD54A3" w:rsidRPr="00CA4A9E" w:rsidRDefault="00AD54A3" w:rsidP="00FD47C7">
            <w:pPr>
              <w:jc w:val="center"/>
              <w:rPr>
                <w:rFonts w:ascii="Calibri" w:hAnsi="Calibri" w:cs="Calibri"/>
                <w:sz w:val="18"/>
                <w:szCs w:val="18"/>
              </w:rPr>
            </w:pPr>
            <w:r w:rsidRPr="00CA4A9E">
              <w:rPr>
                <w:rFonts w:ascii="Calibri" w:hAnsi="Calibri" w:cs="Calibri"/>
                <w:sz w:val="18"/>
                <w:szCs w:val="18"/>
              </w:rPr>
              <w:t>Badanie właściwości kruszywa wg tab. 1, pkt 2.3.2</w:t>
            </w:r>
          </w:p>
        </w:tc>
        <w:tc>
          <w:tcPr>
            <w:tcW w:w="3261" w:type="dxa"/>
            <w:gridSpan w:val="2"/>
            <w:tcBorders>
              <w:top w:val="single" w:sz="6" w:space="0" w:color="auto"/>
              <w:left w:val="single" w:sz="6" w:space="0" w:color="auto"/>
              <w:bottom w:val="single" w:sz="6" w:space="0" w:color="auto"/>
              <w:right w:val="single" w:sz="6" w:space="0" w:color="auto"/>
            </w:tcBorders>
          </w:tcPr>
          <w:p w:rsidR="00AD54A3" w:rsidRPr="00CA4A9E" w:rsidRDefault="00AD54A3" w:rsidP="00FD47C7">
            <w:pPr>
              <w:jc w:val="center"/>
              <w:rPr>
                <w:rFonts w:ascii="Calibri" w:hAnsi="Calibri" w:cs="Calibri"/>
                <w:sz w:val="18"/>
                <w:szCs w:val="18"/>
              </w:rPr>
            </w:pPr>
            <w:r w:rsidRPr="00CA4A9E">
              <w:rPr>
                <w:rFonts w:ascii="Calibri" w:hAnsi="Calibri" w:cs="Calibri"/>
                <w:sz w:val="18"/>
                <w:szCs w:val="18"/>
              </w:rPr>
              <w:t>dla każdej partii kruszywa i przy każdej zmianie kruszywa</w:t>
            </w:r>
          </w:p>
        </w:tc>
      </w:tr>
    </w:tbl>
    <w:p w:rsidR="00AD54A3" w:rsidRPr="00CA4A9E" w:rsidRDefault="00AD54A3" w:rsidP="00AD54A3">
      <w:pPr>
        <w:rPr>
          <w:rFonts w:ascii="Calibri" w:hAnsi="Calibri" w:cs="Calibri"/>
        </w:rPr>
      </w:pPr>
    </w:p>
    <w:p w:rsidR="00AD54A3" w:rsidRPr="00CA4A9E" w:rsidRDefault="00AD54A3" w:rsidP="00AD54A3">
      <w:pPr>
        <w:rPr>
          <w:rFonts w:ascii="Calibri" w:hAnsi="Calibri" w:cs="Calibri"/>
        </w:rPr>
      </w:pPr>
      <w:r w:rsidRPr="00CA4A9E">
        <w:rPr>
          <w:rFonts w:ascii="Calibri" w:hAnsi="Calibri" w:cs="Calibri"/>
          <w:b/>
        </w:rPr>
        <w:t>6.3.2.</w:t>
      </w:r>
      <w:r w:rsidRPr="00CA4A9E">
        <w:rPr>
          <w:rFonts w:ascii="Calibri" w:hAnsi="Calibri" w:cs="Calibri"/>
        </w:rPr>
        <w:t xml:space="preserve"> Uziarnienie mieszanki</w:t>
      </w:r>
    </w:p>
    <w:p w:rsidR="00AD54A3" w:rsidRPr="00CA4A9E" w:rsidRDefault="00AD54A3" w:rsidP="00AD54A3">
      <w:pPr>
        <w:rPr>
          <w:rFonts w:ascii="Calibri" w:hAnsi="Calibri" w:cs="Calibri"/>
        </w:rPr>
      </w:pPr>
      <w:r w:rsidRPr="00CA4A9E">
        <w:rPr>
          <w:rFonts w:ascii="Calibri" w:hAnsi="Calibri" w:cs="Calibri"/>
        </w:rPr>
        <w:tab/>
        <w:t>Uziarnienie mieszanki powinno być zgodne z wymaganiami podanymi w pkt 2.3. Próbki należy pobierać w sposób losowy, z rozłożonej warstwy, przed jej zagęszczeniem. Wyniki badań powinny być na bieżąco przekazywane Inżynierowi.</w:t>
      </w:r>
    </w:p>
    <w:p w:rsidR="00AD54A3" w:rsidRPr="00CA4A9E" w:rsidRDefault="00AD54A3" w:rsidP="00AD54A3">
      <w:pPr>
        <w:rPr>
          <w:rFonts w:ascii="Calibri" w:hAnsi="Calibri" w:cs="Calibri"/>
        </w:rPr>
      </w:pPr>
      <w:r w:rsidRPr="00CA4A9E">
        <w:rPr>
          <w:rFonts w:ascii="Calibri" w:hAnsi="Calibri" w:cs="Calibri"/>
          <w:b/>
        </w:rPr>
        <w:t>6.3.3.</w:t>
      </w:r>
      <w:r w:rsidRPr="00CA4A9E">
        <w:rPr>
          <w:rFonts w:ascii="Calibri" w:hAnsi="Calibri" w:cs="Calibri"/>
        </w:rPr>
        <w:t xml:space="preserve"> Wilgotność mieszanki </w:t>
      </w:r>
    </w:p>
    <w:p w:rsidR="00AD54A3" w:rsidRPr="00CA4A9E" w:rsidRDefault="00AD54A3" w:rsidP="00AD54A3">
      <w:pPr>
        <w:rPr>
          <w:rFonts w:ascii="Calibri" w:hAnsi="Calibri" w:cs="Calibri"/>
        </w:rPr>
      </w:pPr>
      <w:r w:rsidRPr="00CA4A9E">
        <w:rPr>
          <w:rFonts w:ascii="Calibri" w:hAnsi="Calibri" w:cs="Calibri"/>
        </w:rPr>
        <w:tab/>
        <w:t>Wilgotność mieszanki powinna odpowiadać wilgotności optymalnej, określonej według próby Proctora, zgodnie z PN-B-04481 (metoda II), z tolerancją +10% -20%.</w:t>
      </w:r>
    </w:p>
    <w:p w:rsidR="00AD54A3" w:rsidRPr="00CA4A9E" w:rsidRDefault="00AD54A3" w:rsidP="00AD54A3">
      <w:pPr>
        <w:rPr>
          <w:rFonts w:ascii="Calibri" w:hAnsi="Calibri" w:cs="Calibri"/>
        </w:rPr>
      </w:pPr>
      <w:r w:rsidRPr="00CA4A9E">
        <w:rPr>
          <w:rFonts w:ascii="Calibri" w:hAnsi="Calibri" w:cs="Calibri"/>
        </w:rPr>
        <w:tab/>
        <w:t>Wilgotność należy określić według PN-B-06714-17.</w:t>
      </w:r>
    </w:p>
    <w:p w:rsidR="00AD54A3" w:rsidRPr="00CA4A9E" w:rsidRDefault="00AD54A3" w:rsidP="00AD54A3">
      <w:pPr>
        <w:rPr>
          <w:rFonts w:ascii="Calibri" w:hAnsi="Calibri" w:cs="Calibri"/>
        </w:rPr>
      </w:pPr>
      <w:r w:rsidRPr="00CA4A9E">
        <w:rPr>
          <w:rFonts w:ascii="Calibri" w:hAnsi="Calibri" w:cs="Calibri"/>
          <w:b/>
        </w:rPr>
        <w:t>6.3.4.</w:t>
      </w:r>
      <w:r w:rsidRPr="00CA4A9E">
        <w:rPr>
          <w:rFonts w:ascii="Calibri" w:hAnsi="Calibri" w:cs="Calibri"/>
        </w:rPr>
        <w:t xml:space="preserve"> Zagęszczenie podbudowy</w:t>
      </w:r>
    </w:p>
    <w:p w:rsidR="00AD54A3" w:rsidRPr="00CA4A9E" w:rsidRDefault="00AD54A3" w:rsidP="00AD54A3">
      <w:pPr>
        <w:rPr>
          <w:rFonts w:ascii="Calibri" w:hAnsi="Calibri" w:cs="Calibri"/>
        </w:rPr>
      </w:pPr>
      <w:r w:rsidRPr="00CA4A9E">
        <w:rPr>
          <w:rFonts w:ascii="Calibri" w:hAnsi="Calibri" w:cs="Calibri"/>
        </w:rPr>
        <w:tab/>
        <w:t>Zagęszczenie każdej warstwy powinno odbywać się aż do osiągnięcia wymaganego wskaźnika zagęszczenia.</w:t>
      </w:r>
    </w:p>
    <w:p w:rsidR="00AD54A3" w:rsidRPr="00CA4A9E" w:rsidRDefault="00AD54A3" w:rsidP="00AD54A3">
      <w:pPr>
        <w:rPr>
          <w:rFonts w:ascii="Calibri" w:hAnsi="Calibri" w:cs="Calibri"/>
        </w:rPr>
      </w:pPr>
      <w:r w:rsidRPr="00CA4A9E">
        <w:rPr>
          <w:rFonts w:ascii="Calibri" w:hAnsi="Calibri" w:cs="Calibri"/>
        </w:rPr>
        <w:tab/>
        <w:t>Zagęszczenie podbudowy należy sprawdzać według BN-77/8931-12. W przypadku, gdy przeprowadzenie badania jest niemożliwe ze względu na gruboziarniste kruszywo, kontrolę zagęszczenia należy oprzeć na metodzie obciążeń płytowych, wg BN-64/8931-02 i nie rzadziej niż raz na 5000 m2, lub według zaleceń Inżyniera.</w:t>
      </w:r>
    </w:p>
    <w:p w:rsidR="00AD54A3" w:rsidRPr="00CA4A9E" w:rsidRDefault="00AD54A3" w:rsidP="00AD54A3">
      <w:pPr>
        <w:rPr>
          <w:rFonts w:ascii="Calibri" w:hAnsi="Calibri" w:cs="Calibri"/>
        </w:rPr>
      </w:pPr>
      <w:r w:rsidRPr="00CA4A9E">
        <w:rPr>
          <w:rFonts w:ascii="Calibri" w:hAnsi="Calibri" w:cs="Calibri"/>
        </w:rPr>
        <w:tab/>
        <w:t>Zagęszczenie podbudowy stabilizowanej mechanicznie należy uznać za prawidłowe, gdy stosunek wtórnego modułu E2 do pierwotnego modułu odkształcenia E1 jest nie większy od 2,2 dla każdej warstwy konstrukcyjnej podbudowy.</w:t>
      </w:r>
    </w:p>
    <w:p w:rsidR="00AD54A3" w:rsidRPr="00CA4A9E" w:rsidRDefault="00AD54A3" w:rsidP="00AD54A3">
      <w:pPr>
        <w:rPr>
          <w:rFonts w:ascii="Calibri" w:hAnsi="Calibri" w:cs="Calibri"/>
        </w:rPr>
      </w:pPr>
      <w:r w:rsidRPr="00CA4A9E">
        <w:rPr>
          <w:rFonts w:ascii="Calibri" w:hAnsi="Calibri" w:cs="Calibri"/>
        </w:rPr>
        <w:tab/>
      </w:r>
      <w:r w:rsidRPr="00CA4A9E">
        <w:rPr>
          <w:rFonts w:ascii="Calibri" w:hAnsi="Calibri" w:cs="Calibri"/>
        </w:rPr>
        <w:tab/>
      </w:r>
      <w:r w:rsidRPr="00CA4A9E">
        <w:rPr>
          <w:rFonts w:ascii="Calibri" w:hAnsi="Calibri" w:cs="Calibri"/>
        </w:rPr>
        <w:tab/>
      </w:r>
      <w:r w:rsidRPr="00CA4A9E">
        <w:rPr>
          <w:rFonts w:ascii="Calibri" w:hAnsi="Calibri" w:cs="Calibri"/>
        </w:rPr>
        <w:tab/>
      </w:r>
      <w:r w:rsidRPr="00CA4A9E">
        <w:rPr>
          <w:rFonts w:ascii="Calibri" w:hAnsi="Calibri" w:cs="Calibri"/>
          <w:position w:val="-28"/>
        </w:rPr>
        <w:object w:dxaOrig="340" w:dyaOrig="680">
          <v:shape id="_x0000_i1028" type="#_x0000_t75" style="width:14.95pt;height:34.65pt" o:ole="">
            <v:imagedata r:id="rId26" o:title=""/>
          </v:shape>
          <o:OLEObject Type="Embed" ProgID="Equation.3" ShapeID="_x0000_i1028" DrawAspect="Content" ObjectID="_1511981119" r:id="rId27"/>
        </w:object>
      </w:r>
      <w:r w:rsidRPr="00CA4A9E">
        <w:rPr>
          <w:rFonts w:ascii="Calibri" w:hAnsi="Calibri" w:cs="Calibri"/>
        </w:rPr>
        <w:t xml:space="preserve">  </w:t>
      </w:r>
      <w:r w:rsidRPr="00CA4A9E">
        <w:rPr>
          <w:rFonts w:ascii="Calibri" w:hAnsi="Calibri" w:cs="Calibri"/>
        </w:rPr>
        <w:sym w:font="Symbol" w:char="F0A3"/>
      </w:r>
      <w:r w:rsidRPr="00CA4A9E">
        <w:rPr>
          <w:rFonts w:ascii="Calibri" w:hAnsi="Calibri" w:cs="Calibri"/>
        </w:rPr>
        <w:t xml:space="preserve">   2,2</w:t>
      </w:r>
    </w:p>
    <w:p w:rsidR="00AD54A3" w:rsidRPr="00CA4A9E" w:rsidRDefault="00AD54A3" w:rsidP="00AD54A3">
      <w:pPr>
        <w:rPr>
          <w:rFonts w:ascii="Calibri" w:hAnsi="Calibri" w:cs="Calibri"/>
        </w:rPr>
      </w:pPr>
      <w:r w:rsidRPr="00CA4A9E">
        <w:rPr>
          <w:rFonts w:ascii="Calibri" w:hAnsi="Calibri" w:cs="Calibri"/>
          <w:b/>
        </w:rPr>
        <w:t>6.3.5.</w:t>
      </w:r>
      <w:r w:rsidRPr="00CA4A9E">
        <w:rPr>
          <w:rFonts w:ascii="Calibri" w:hAnsi="Calibri" w:cs="Calibri"/>
        </w:rPr>
        <w:t xml:space="preserve"> Właściwości kruszywa</w:t>
      </w:r>
    </w:p>
    <w:p w:rsidR="00AD54A3" w:rsidRPr="00CA4A9E" w:rsidRDefault="00AD54A3" w:rsidP="00AD54A3">
      <w:pPr>
        <w:rPr>
          <w:rFonts w:ascii="Calibri" w:hAnsi="Calibri" w:cs="Calibri"/>
        </w:rPr>
      </w:pPr>
      <w:r w:rsidRPr="00CA4A9E">
        <w:rPr>
          <w:rFonts w:ascii="Calibri" w:hAnsi="Calibri" w:cs="Calibri"/>
        </w:rPr>
        <w:tab/>
        <w:t>Badania kruszywa powinny obejmować ocenę wszystkich właściwości określonych w pkt 2.3.2.</w:t>
      </w:r>
    </w:p>
    <w:p w:rsidR="00AD54A3" w:rsidRPr="00CA4A9E" w:rsidRDefault="00AD54A3" w:rsidP="00AD54A3">
      <w:pPr>
        <w:rPr>
          <w:rFonts w:ascii="Calibri" w:hAnsi="Calibri" w:cs="Calibri"/>
        </w:rPr>
      </w:pPr>
      <w:r w:rsidRPr="00CA4A9E">
        <w:rPr>
          <w:rFonts w:ascii="Calibri" w:hAnsi="Calibri" w:cs="Calibri"/>
        </w:rPr>
        <w:tab/>
        <w:t>Próbki do badań pełnych powinny być pobierane przez Wykonawcę w sposób losowy w obecności Inżyniera.</w:t>
      </w:r>
    </w:p>
    <w:p w:rsidR="00AD54A3" w:rsidRPr="00CA4A9E" w:rsidRDefault="00AD54A3" w:rsidP="00AD54A3">
      <w:pPr>
        <w:rPr>
          <w:rFonts w:ascii="Calibri" w:hAnsi="Calibri" w:cs="Calibri"/>
        </w:rPr>
      </w:pPr>
      <w:r w:rsidRPr="00CA4A9E">
        <w:rPr>
          <w:rFonts w:ascii="Calibri" w:hAnsi="Calibri" w:cs="Calibri"/>
          <w:b/>
        </w:rPr>
        <w:t>6.4.</w:t>
      </w:r>
      <w:r w:rsidRPr="00CA4A9E">
        <w:rPr>
          <w:rFonts w:ascii="Calibri" w:hAnsi="Calibri" w:cs="Calibri"/>
        </w:rPr>
        <w:t xml:space="preserve"> Wymagania dotyczące cech geometrycznych podbudowy </w:t>
      </w:r>
    </w:p>
    <w:p w:rsidR="00AD54A3" w:rsidRPr="00CA4A9E" w:rsidRDefault="00AD54A3" w:rsidP="00AD54A3">
      <w:pPr>
        <w:rPr>
          <w:rFonts w:ascii="Calibri" w:hAnsi="Calibri" w:cs="Calibri"/>
        </w:rPr>
      </w:pPr>
      <w:r w:rsidRPr="00CA4A9E">
        <w:rPr>
          <w:rFonts w:ascii="Calibri" w:hAnsi="Calibri" w:cs="Calibri"/>
          <w:b/>
        </w:rPr>
        <w:t>6.4.1.</w:t>
      </w:r>
      <w:r w:rsidRPr="00CA4A9E">
        <w:rPr>
          <w:rFonts w:ascii="Calibri" w:hAnsi="Calibri" w:cs="Calibri"/>
        </w:rPr>
        <w:t xml:space="preserve"> Częstotliwość oraz zakres pomiarów</w:t>
      </w:r>
    </w:p>
    <w:p w:rsidR="00AD54A3" w:rsidRPr="00CA4A9E" w:rsidRDefault="00AD54A3" w:rsidP="00AD54A3">
      <w:pPr>
        <w:rPr>
          <w:rFonts w:ascii="Calibri" w:hAnsi="Calibri" w:cs="Calibri"/>
        </w:rPr>
      </w:pPr>
      <w:r w:rsidRPr="00CA4A9E">
        <w:rPr>
          <w:rFonts w:ascii="Calibri" w:hAnsi="Calibri" w:cs="Calibri"/>
        </w:rPr>
        <w:tab/>
        <w:t xml:space="preserve"> Częstotliwość oraz zakres pomiarów dotyczących cech geometrycznych podbudowy  podano w  tablicy 3.</w:t>
      </w:r>
    </w:p>
    <w:p w:rsidR="00AD54A3" w:rsidRPr="00CA4A9E" w:rsidRDefault="00AD54A3" w:rsidP="00AD54A3">
      <w:pPr>
        <w:rPr>
          <w:rFonts w:ascii="Calibri" w:hAnsi="Calibri" w:cs="Calibri"/>
        </w:rPr>
      </w:pPr>
    </w:p>
    <w:p w:rsidR="00AD54A3" w:rsidRPr="00CA4A9E" w:rsidRDefault="00AD54A3" w:rsidP="00AD54A3">
      <w:pPr>
        <w:ind w:left="709"/>
        <w:rPr>
          <w:rFonts w:ascii="Calibri" w:hAnsi="Calibri" w:cs="Calibri"/>
        </w:rPr>
      </w:pPr>
      <w:r w:rsidRPr="00CA4A9E">
        <w:rPr>
          <w:rFonts w:ascii="Calibri" w:hAnsi="Calibri" w:cs="Calibri"/>
        </w:rPr>
        <w:t>Tablica 3. Częstotliwość oraz zakres pomiarów wykonanej podbudowy z kruszywa stabilizowanego mechanicznie</w:t>
      </w:r>
    </w:p>
    <w:tbl>
      <w:tblPr>
        <w:tblW w:w="0" w:type="auto"/>
        <w:tblInd w:w="779" w:type="dxa"/>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ayout w:type="fixed"/>
        <w:tblCellMar>
          <w:left w:w="70" w:type="dxa"/>
          <w:right w:w="70" w:type="dxa"/>
        </w:tblCellMar>
        <w:tblLook w:val="0000"/>
      </w:tblPr>
      <w:tblGrid>
        <w:gridCol w:w="637"/>
        <w:gridCol w:w="3467"/>
        <w:gridCol w:w="3479"/>
      </w:tblGrid>
      <w:tr w:rsidR="00AD54A3" w:rsidRPr="003D464B" w:rsidTr="00FD47C7">
        <w:tc>
          <w:tcPr>
            <w:tcW w:w="637" w:type="dxa"/>
            <w:tcBorders>
              <w:bottom w:val="double" w:sz="6" w:space="0" w:color="auto"/>
            </w:tcBorders>
          </w:tcPr>
          <w:p w:rsidR="00AD54A3" w:rsidRPr="003D464B" w:rsidRDefault="00AD54A3" w:rsidP="00FD47C7">
            <w:pPr>
              <w:rPr>
                <w:rFonts w:ascii="Calibri" w:hAnsi="Calibri" w:cs="Calibri"/>
                <w:sz w:val="18"/>
                <w:szCs w:val="18"/>
              </w:rPr>
            </w:pPr>
            <w:r w:rsidRPr="003D464B">
              <w:rPr>
                <w:rFonts w:ascii="Calibri" w:hAnsi="Calibri" w:cs="Calibri"/>
                <w:sz w:val="18"/>
                <w:szCs w:val="18"/>
              </w:rPr>
              <w:t>Lp.</w:t>
            </w:r>
          </w:p>
        </w:tc>
        <w:tc>
          <w:tcPr>
            <w:tcW w:w="3467" w:type="dxa"/>
            <w:tcBorders>
              <w:bottom w:val="double" w:sz="6" w:space="0" w:color="auto"/>
            </w:tcBorders>
          </w:tcPr>
          <w:p w:rsidR="00AD54A3" w:rsidRPr="003D464B" w:rsidRDefault="00AD54A3" w:rsidP="00FD47C7">
            <w:pPr>
              <w:rPr>
                <w:rFonts w:ascii="Calibri" w:hAnsi="Calibri" w:cs="Calibri"/>
                <w:sz w:val="18"/>
                <w:szCs w:val="18"/>
              </w:rPr>
            </w:pPr>
            <w:r w:rsidRPr="003D464B">
              <w:rPr>
                <w:rFonts w:ascii="Calibri" w:hAnsi="Calibri" w:cs="Calibri"/>
                <w:sz w:val="18"/>
                <w:szCs w:val="18"/>
              </w:rPr>
              <w:t>Wyszczególnienie badań i pomiarów</w:t>
            </w:r>
          </w:p>
        </w:tc>
        <w:tc>
          <w:tcPr>
            <w:tcW w:w="3479" w:type="dxa"/>
            <w:tcBorders>
              <w:bottom w:val="double" w:sz="6" w:space="0" w:color="auto"/>
            </w:tcBorders>
          </w:tcPr>
          <w:p w:rsidR="00AD54A3" w:rsidRPr="003D464B" w:rsidRDefault="00AD54A3" w:rsidP="00FD47C7">
            <w:pPr>
              <w:rPr>
                <w:rFonts w:ascii="Calibri" w:hAnsi="Calibri" w:cs="Calibri"/>
                <w:sz w:val="18"/>
                <w:szCs w:val="18"/>
              </w:rPr>
            </w:pPr>
            <w:r w:rsidRPr="003D464B">
              <w:rPr>
                <w:rFonts w:ascii="Calibri" w:hAnsi="Calibri" w:cs="Calibri"/>
                <w:sz w:val="18"/>
                <w:szCs w:val="18"/>
              </w:rPr>
              <w:t>Minimalna częstotliwość pomiarów</w:t>
            </w:r>
          </w:p>
        </w:tc>
      </w:tr>
      <w:tr w:rsidR="00AD54A3" w:rsidRPr="003D464B" w:rsidTr="00FD47C7">
        <w:trPr>
          <w:trHeight w:val="438"/>
        </w:trPr>
        <w:tc>
          <w:tcPr>
            <w:tcW w:w="637" w:type="dxa"/>
            <w:tcBorders>
              <w:top w:val="nil"/>
            </w:tcBorders>
          </w:tcPr>
          <w:p w:rsidR="00AD54A3" w:rsidRPr="003D464B" w:rsidRDefault="00AD54A3" w:rsidP="00FD47C7">
            <w:pPr>
              <w:rPr>
                <w:rFonts w:ascii="Calibri" w:hAnsi="Calibri" w:cs="Calibri"/>
                <w:sz w:val="18"/>
                <w:szCs w:val="18"/>
              </w:rPr>
            </w:pPr>
            <w:r w:rsidRPr="003D464B">
              <w:rPr>
                <w:rFonts w:ascii="Calibri" w:hAnsi="Calibri" w:cs="Calibri"/>
                <w:sz w:val="18"/>
                <w:szCs w:val="18"/>
              </w:rPr>
              <w:t>1</w:t>
            </w:r>
          </w:p>
        </w:tc>
        <w:tc>
          <w:tcPr>
            <w:tcW w:w="3467" w:type="dxa"/>
            <w:tcBorders>
              <w:top w:val="nil"/>
            </w:tcBorders>
          </w:tcPr>
          <w:p w:rsidR="00AD54A3" w:rsidRPr="003D464B" w:rsidRDefault="00AD54A3" w:rsidP="00FD47C7">
            <w:pPr>
              <w:rPr>
                <w:rFonts w:ascii="Calibri" w:hAnsi="Calibri" w:cs="Calibri"/>
                <w:sz w:val="18"/>
                <w:szCs w:val="18"/>
              </w:rPr>
            </w:pPr>
            <w:r w:rsidRPr="003D464B">
              <w:rPr>
                <w:rFonts w:ascii="Calibri" w:hAnsi="Calibri" w:cs="Calibri"/>
                <w:sz w:val="18"/>
                <w:szCs w:val="18"/>
              </w:rPr>
              <w:t xml:space="preserve">Szerokość podbudowy </w:t>
            </w:r>
          </w:p>
        </w:tc>
        <w:tc>
          <w:tcPr>
            <w:tcW w:w="3479" w:type="dxa"/>
            <w:tcBorders>
              <w:top w:val="nil"/>
            </w:tcBorders>
          </w:tcPr>
          <w:p w:rsidR="00AD54A3" w:rsidRPr="003D464B" w:rsidRDefault="00DE75B4" w:rsidP="00FD47C7">
            <w:pPr>
              <w:rPr>
                <w:rFonts w:ascii="Calibri" w:hAnsi="Calibri" w:cs="Calibri"/>
                <w:sz w:val="18"/>
                <w:szCs w:val="18"/>
              </w:rPr>
            </w:pPr>
            <w:r>
              <w:rPr>
                <w:rFonts w:ascii="Calibri" w:hAnsi="Calibri" w:cs="Calibri"/>
                <w:sz w:val="18"/>
                <w:szCs w:val="18"/>
              </w:rPr>
              <w:t>raz na 50 m</w:t>
            </w:r>
          </w:p>
        </w:tc>
      </w:tr>
      <w:tr w:rsidR="00AD54A3" w:rsidRPr="003D464B" w:rsidTr="00FD47C7">
        <w:tc>
          <w:tcPr>
            <w:tcW w:w="637" w:type="dxa"/>
          </w:tcPr>
          <w:p w:rsidR="00AD54A3" w:rsidRPr="003D464B" w:rsidRDefault="00AD54A3" w:rsidP="00FD47C7">
            <w:pPr>
              <w:rPr>
                <w:rFonts w:ascii="Calibri" w:hAnsi="Calibri" w:cs="Calibri"/>
                <w:sz w:val="18"/>
                <w:szCs w:val="18"/>
              </w:rPr>
            </w:pPr>
            <w:r w:rsidRPr="003D464B">
              <w:rPr>
                <w:rFonts w:ascii="Calibri" w:hAnsi="Calibri" w:cs="Calibri"/>
                <w:sz w:val="18"/>
                <w:szCs w:val="18"/>
              </w:rPr>
              <w:t>2</w:t>
            </w:r>
          </w:p>
        </w:tc>
        <w:tc>
          <w:tcPr>
            <w:tcW w:w="3467" w:type="dxa"/>
          </w:tcPr>
          <w:p w:rsidR="00AD54A3" w:rsidRPr="003D464B" w:rsidRDefault="00AD54A3" w:rsidP="00FD47C7">
            <w:pPr>
              <w:rPr>
                <w:rFonts w:ascii="Calibri" w:hAnsi="Calibri" w:cs="Calibri"/>
                <w:sz w:val="18"/>
                <w:szCs w:val="18"/>
              </w:rPr>
            </w:pPr>
            <w:r w:rsidRPr="003D464B">
              <w:rPr>
                <w:rFonts w:ascii="Calibri" w:hAnsi="Calibri" w:cs="Calibri"/>
                <w:sz w:val="18"/>
                <w:szCs w:val="18"/>
              </w:rPr>
              <w:t>Równość podłużna</w:t>
            </w:r>
          </w:p>
        </w:tc>
        <w:tc>
          <w:tcPr>
            <w:tcW w:w="3479" w:type="dxa"/>
          </w:tcPr>
          <w:p w:rsidR="00AD54A3" w:rsidRPr="003D464B" w:rsidRDefault="00AD54A3" w:rsidP="00DE75B4">
            <w:pPr>
              <w:rPr>
                <w:rFonts w:ascii="Calibri" w:hAnsi="Calibri" w:cs="Calibri"/>
                <w:sz w:val="18"/>
                <w:szCs w:val="18"/>
              </w:rPr>
            </w:pPr>
            <w:r w:rsidRPr="003D464B">
              <w:rPr>
                <w:rFonts w:ascii="Calibri" w:hAnsi="Calibri" w:cs="Calibri"/>
                <w:sz w:val="18"/>
                <w:szCs w:val="18"/>
              </w:rPr>
              <w:t xml:space="preserve">w sposób ciągły planografem albo co 20 m łatą </w:t>
            </w:r>
          </w:p>
        </w:tc>
      </w:tr>
      <w:tr w:rsidR="00AD54A3" w:rsidRPr="003D464B" w:rsidTr="00FD47C7">
        <w:trPr>
          <w:trHeight w:val="496"/>
        </w:trPr>
        <w:tc>
          <w:tcPr>
            <w:tcW w:w="637" w:type="dxa"/>
          </w:tcPr>
          <w:p w:rsidR="00AD54A3" w:rsidRPr="003D464B" w:rsidRDefault="00AD54A3" w:rsidP="00FD47C7">
            <w:pPr>
              <w:rPr>
                <w:rFonts w:ascii="Calibri" w:hAnsi="Calibri" w:cs="Calibri"/>
                <w:sz w:val="18"/>
                <w:szCs w:val="18"/>
              </w:rPr>
            </w:pPr>
            <w:r w:rsidRPr="003D464B">
              <w:rPr>
                <w:rFonts w:ascii="Calibri" w:hAnsi="Calibri" w:cs="Calibri"/>
                <w:sz w:val="18"/>
                <w:szCs w:val="18"/>
              </w:rPr>
              <w:t>3</w:t>
            </w:r>
          </w:p>
        </w:tc>
        <w:tc>
          <w:tcPr>
            <w:tcW w:w="3467" w:type="dxa"/>
          </w:tcPr>
          <w:p w:rsidR="00AD54A3" w:rsidRPr="003D464B" w:rsidRDefault="00AD54A3" w:rsidP="00FD47C7">
            <w:pPr>
              <w:rPr>
                <w:rFonts w:ascii="Calibri" w:hAnsi="Calibri" w:cs="Calibri"/>
                <w:sz w:val="18"/>
                <w:szCs w:val="18"/>
              </w:rPr>
            </w:pPr>
            <w:r w:rsidRPr="003D464B">
              <w:rPr>
                <w:rFonts w:ascii="Calibri" w:hAnsi="Calibri" w:cs="Calibri"/>
                <w:sz w:val="18"/>
                <w:szCs w:val="18"/>
              </w:rPr>
              <w:t>Równość poprzeczna</w:t>
            </w:r>
          </w:p>
        </w:tc>
        <w:tc>
          <w:tcPr>
            <w:tcW w:w="3479" w:type="dxa"/>
          </w:tcPr>
          <w:p w:rsidR="00AD54A3" w:rsidRPr="003D464B" w:rsidRDefault="00DE75B4" w:rsidP="00FD47C7">
            <w:pPr>
              <w:rPr>
                <w:rFonts w:ascii="Calibri" w:hAnsi="Calibri" w:cs="Calibri"/>
                <w:sz w:val="18"/>
                <w:szCs w:val="18"/>
              </w:rPr>
            </w:pPr>
            <w:r>
              <w:rPr>
                <w:rFonts w:ascii="Calibri" w:hAnsi="Calibri" w:cs="Calibri"/>
                <w:sz w:val="18"/>
                <w:szCs w:val="18"/>
              </w:rPr>
              <w:t>raz na 50 m</w:t>
            </w:r>
          </w:p>
        </w:tc>
      </w:tr>
      <w:tr w:rsidR="00AD54A3" w:rsidRPr="003D464B" w:rsidTr="00FD47C7">
        <w:trPr>
          <w:trHeight w:val="560"/>
        </w:trPr>
        <w:tc>
          <w:tcPr>
            <w:tcW w:w="637" w:type="dxa"/>
          </w:tcPr>
          <w:p w:rsidR="00AD54A3" w:rsidRPr="003D464B" w:rsidRDefault="00AD54A3" w:rsidP="00FD47C7">
            <w:pPr>
              <w:rPr>
                <w:rFonts w:ascii="Calibri" w:hAnsi="Calibri" w:cs="Calibri"/>
                <w:sz w:val="18"/>
                <w:szCs w:val="18"/>
              </w:rPr>
            </w:pPr>
            <w:r w:rsidRPr="003D464B">
              <w:rPr>
                <w:rFonts w:ascii="Calibri" w:hAnsi="Calibri" w:cs="Calibri"/>
                <w:sz w:val="18"/>
                <w:szCs w:val="18"/>
              </w:rPr>
              <w:lastRenderedPageBreak/>
              <w:t>4</w:t>
            </w:r>
          </w:p>
        </w:tc>
        <w:tc>
          <w:tcPr>
            <w:tcW w:w="3467" w:type="dxa"/>
          </w:tcPr>
          <w:p w:rsidR="00AD54A3" w:rsidRPr="003D464B" w:rsidRDefault="00AD54A3" w:rsidP="00FD47C7">
            <w:pPr>
              <w:rPr>
                <w:rFonts w:ascii="Calibri" w:hAnsi="Calibri" w:cs="Calibri"/>
                <w:sz w:val="18"/>
                <w:szCs w:val="18"/>
              </w:rPr>
            </w:pPr>
            <w:r w:rsidRPr="003D464B">
              <w:rPr>
                <w:rFonts w:ascii="Calibri" w:hAnsi="Calibri" w:cs="Calibri"/>
                <w:sz w:val="18"/>
                <w:szCs w:val="18"/>
              </w:rPr>
              <w:t>Spadki poprzeczne*)</w:t>
            </w:r>
          </w:p>
        </w:tc>
        <w:tc>
          <w:tcPr>
            <w:tcW w:w="3479" w:type="dxa"/>
            <w:tcBorders>
              <w:bottom w:val="nil"/>
            </w:tcBorders>
          </w:tcPr>
          <w:p w:rsidR="00AD54A3" w:rsidRPr="003D464B" w:rsidRDefault="00DE75B4" w:rsidP="00FD47C7">
            <w:pPr>
              <w:rPr>
                <w:rFonts w:ascii="Calibri" w:hAnsi="Calibri" w:cs="Calibri"/>
                <w:sz w:val="18"/>
                <w:szCs w:val="18"/>
              </w:rPr>
            </w:pPr>
            <w:r>
              <w:rPr>
                <w:rFonts w:ascii="Calibri" w:hAnsi="Calibri" w:cs="Calibri"/>
                <w:sz w:val="18"/>
                <w:szCs w:val="18"/>
              </w:rPr>
              <w:t>raz na 50 m</w:t>
            </w:r>
          </w:p>
        </w:tc>
      </w:tr>
      <w:tr w:rsidR="00AD54A3" w:rsidRPr="003D464B" w:rsidTr="00FD47C7">
        <w:tc>
          <w:tcPr>
            <w:tcW w:w="637" w:type="dxa"/>
          </w:tcPr>
          <w:p w:rsidR="00AD54A3" w:rsidRPr="003D464B" w:rsidRDefault="00DE75B4" w:rsidP="00FD47C7">
            <w:pPr>
              <w:rPr>
                <w:rFonts w:ascii="Calibri" w:hAnsi="Calibri" w:cs="Calibri"/>
                <w:sz w:val="18"/>
                <w:szCs w:val="18"/>
              </w:rPr>
            </w:pPr>
            <w:r>
              <w:rPr>
                <w:rFonts w:ascii="Calibri" w:hAnsi="Calibri" w:cs="Calibri"/>
                <w:sz w:val="18"/>
                <w:szCs w:val="18"/>
              </w:rPr>
              <w:t>5</w:t>
            </w:r>
          </w:p>
        </w:tc>
        <w:tc>
          <w:tcPr>
            <w:tcW w:w="3467" w:type="dxa"/>
          </w:tcPr>
          <w:p w:rsidR="00AD54A3" w:rsidRPr="003D464B" w:rsidRDefault="00AD54A3" w:rsidP="00FD47C7">
            <w:pPr>
              <w:rPr>
                <w:rFonts w:ascii="Calibri" w:hAnsi="Calibri" w:cs="Calibri"/>
                <w:sz w:val="18"/>
                <w:szCs w:val="18"/>
              </w:rPr>
            </w:pPr>
            <w:r w:rsidRPr="003D464B">
              <w:rPr>
                <w:rFonts w:ascii="Calibri" w:hAnsi="Calibri" w:cs="Calibri"/>
                <w:sz w:val="18"/>
                <w:szCs w:val="18"/>
              </w:rPr>
              <w:t xml:space="preserve">Grubość podbudowy </w:t>
            </w:r>
          </w:p>
        </w:tc>
        <w:tc>
          <w:tcPr>
            <w:tcW w:w="3479" w:type="dxa"/>
          </w:tcPr>
          <w:p w:rsidR="00AD54A3" w:rsidRPr="003D464B" w:rsidRDefault="00AD54A3" w:rsidP="00FD47C7">
            <w:pPr>
              <w:rPr>
                <w:rFonts w:ascii="Calibri" w:hAnsi="Calibri" w:cs="Calibri"/>
                <w:sz w:val="18"/>
                <w:szCs w:val="18"/>
              </w:rPr>
            </w:pPr>
            <w:r w:rsidRPr="003D464B">
              <w:rPr>
                <w:rFonts w:ascii="Calibri" w:hAnsi="Calibri" w:cs="Calibri"/>
                <w:sz w:val="18"/>
                <w:szCs w:val="18"/>
              </w:rPr>
              <w:t>Podczas budowy:</w:t>
            </w:r>
          </w:p>
          <w:p w:rsidR="00AD54A3" w:rsidRPr="003D464B" w:rsidRDefault="00AD54A3" w:rsidP="00FD47C7">
            <w:pPr>
              <w:rPr>
                <w:rFonts w:ascii="Calibri" w:hAnsi="Calibri" w:cs="Calibri"/>
                <w:sz w:val="18"/>
                <w:szCs w:val="18"/>
              </w:rPr>
            </w:pPr>
            <w:r w:rsidRPr="003D464B">
              <w:rPr>
                <w:rFonts w:ascii="Calibri" w:hAnsi="Calibri" w:cs="Calibri"/>
                <w:sz w:val="18"/>
                <w:szCs w:val="18"/>
              </w:rPr>
              <w:t>w 3 punktach na każdej działce roboczej</w:t>
            </w:r>
            <w:r w:rsidR="00DE75B4">
              <w:rPr>
                <w:rFonts w:ascii="Calibri" w:hAnsi="Calibri" w:cs="Calibri"/>
                <w:sz w:val="18"/>
                <w:szCs w:val="18"/>
              </w:rPr>
              <w:t>, lecz nie rzadziej niż raz na 2</w:t>
            </w:r>
            <w:r w:rsidRPr="003D464B">
              <w:rPr>
                <w:rFonts w:ascii="Calibri" w:hAnsi="Calibri" w:cs="Calibri"/>
                <w:sz w:val="18"/>
                <w:szCs w:val="18"/>
              </w:rPr>
              <w:t>00 m2</w:t>
            </w:r>
          </w:p>
          <w:p w:rsidR="00AD54A3" w:rsidRPr="003D464B" w:rsidRDefault="00AD54A3" w:rsidP="00FD47C7">
            <w:pPr>
              <w:rPr>
                <w:rFonts w:ascii="Calibri" w:hAnsi="Calibri" w:cs="Calibri"/>
                <w:sz w:val="18"/>
                <w:szCs w:val="18"/>
              </w:rPr>
            </w:pPr>
            <w:r w:rsidRPr="003D464B">
              <w:rPr>
                <w:rFonts w:ascii="Calibri" w:hAnsi="Calibri" w:cs="Calibri"/>
                <w:sz w:val="18"/>
                <w:szCs w:val="18"/>
              </w:rPr>
              <w:t>Przed odbiorem:</w:t>
            </w:r>
          </w:p>
          <w:p w:rsidR="00AD54A3" w:rsidRPr="003D464B" w:rsidRDefault="00AD54A3" w:rsidP="00FD47C7">
            <w:pPr>
              <w:rPr>
                <w:rFonts w:ascii="Calibri" w:hAnsi="Calibri" w:cs="Calibri"/>
                <w:sz w:val="18"/>
                <w:szCs w:val="18"/>
              </w:rPr>
            </w:pPr>
            <w:r w:rsidRPr="003D464B">
              <w:rPr>
                <w:rFonts w:ascii="Calibri" w:hAnsi="Calibri" w:cs="Calibri"/>
                <w:sz w:val="18"/>
                <w:szCs w:val="18"/>
              </w:rPr>
              <w:t>w 3 punktach,</w:t>
            </w:r>
            <w:r w:rsidR="00DE75B4">
              <w:rPr>
                <w:rFonts w:ascii="Calibri" w:hAnsi="Calibri" w:cs="Calibri"/>
                <w:sz w:val="18"/>
                <w:szCs w:val="18"/>
              </w:rPr>
              <w:t xml:space="preserve"> lecz nie rzadziej niż raz na 5</w:t>
            </w:r>
            <w:r w:rsidRPr="003D464B">
              <w:rPr>
                <w:rFonts w:ascii="Calibri" w:hAnsi="Calibri" w:cs="Calibri"/>
                <w:sz w:val="18"/>
                <w:szCs w:val="18"/>
              </w:rPr>
              <w:t>00 m2</w:t>
            </w:r>
          </w:p>
        </w:tc>
      </w:tr>
    </w:tbl>
    <w:p w:rsidR="00AD54A3" w:rsidRPr="003D464B" w:rsidRDefault="00AD54A3" w:rsidP="00AD54A3">
      <w:pPr>
        <w:rPr>
          <w:rFonts w:ascii="Calibri" w:hAnsi="Calibri" w:cs="Calibri"/>
        </w:rPr>
      </w:pPr>
    </w:p>
    <w:p w:rsidR="00AD54A3" w:rsidRPr="003D464B" w:rsidRDefault="00AD54A3" w:rsidP="00AD54A3">
      <w:pPr>
        <w:rPr>
          <w:rFonts w:ascii="Calibri" w:hAnsi="Calibri" w:cs="Calibri"/>
        </w:rPr>
      </w:pPr>
      <w:r w:rsidRPr="003D464B">
        <w:rPr>
          <w:rFonts w:ascii="Calibri" w:hAnsi="Calibri" w:cs="Calibri"/>
          <w:b/>
        </w:rPr>
        <w:t>6.4.2.</w:t>
      </w:r>
      <w:r w:rsidRPr="003D464B">
        <w:rPr>
          <w:rFonts w:ascii="Calibri" w:hAnsi="Calibri" w:cs="Calibri"/>
        </w:rPr>
        <w:t xml:space="preserve"> Szerokość podbudowy </w:t>
      </w:r>
    </w:p>
    <w:p w:rsidR="00AD54A3" w:rsidRPr="003D464B" w:rsidRDefault="00AD54A3" w:rsidP="00AD54A3">
      <w:pPr>
        <w:rPr>
          <w:rFonts w:ascii="Calibri" w:hAnsi="Calibri" w:cs="Calibri"/>
        </w:rPr>
      </w:pPr>
      <w:r w:rsidRPr="003D464B">
        <w:rPr>
          <w:rFonts w:ascii="Calibri" w:hAnsi="Calibri" w:cs="Calibri"/>
        </w:rPr>
        <w:tab/>
        <w:t>Szerokość podbudowy nie może różnić się od szerokości projektowanej o więcej niż +10 cm, -5 cm.</w:t>
      </w:r>
    </w:p>
    <w:p w:rsidR="00AD54A3" w:rsidRPr="003D464B" w:rsidRDefault="00AD54A3" w:rsidP="00AD54A3">
      <w:pPr>
        <w:rPr>
          <w:rFonts w:ascii="Calibri" w:hAnsi="Calibri" w:cs="Calibri"/>
        </w:rPr>
      </w:pPr>
      <w:r w:rsidRPr="003D464B">
        <w:rPr>
          <w:rFonts w:ascii="Calibri" w:hAnsi="Calibri" w:cs="Calibri"/>
          <w:b/>
        </w:rPr>
        <w:t>6.4.3.</w:t>
      </w:r>
      <w:r w:rsidRPr="003D464B">
        <w:rPr>
          <w:rFonts w:ascii="Calibri" w:hAnsi="Calibri" w:cs="Calibri"/>
        </w:rPr>
        <w:t xml:space="preserve"> Równość podbudowy </w:t>
      </w:r>
    </w:p>
    <w:p w:rsidR="00AD54A3" w:rsidRPr="003D464B" w:rsidRDefault="00AD54A3" w:rsidP="00AD54A3">
      <w:pPr>
        <w:rPr>
          <w:rFonts w:ascii="Calibri" w:hAnsi="Calibri" w:cs="Calibri"/>
        </w:rPr>
      </w:pPr>
      <w:r w:rsidRPr="003D464B">
        <w:rPr>
          <w:rFonts w:ascii="Calibri" w:hAnsi="Calibri" w:cs="Calibri"/>
        </w:rPr>
        <w:tab/>
        <w:t xml:space="preserve">Nierówności podłużne podbudowy należy mierzyć 4-metrową łatą lub planografem, zgodnie z BN-68/8931-04. </w:t>
      </w:r>
    </w:p>
    <w:p w:rsidR="00AD54A3" w:rsidRPr="003D464B" w:rsidRDefault="00AD54A3" w:rsidP="00AD54A3">
      <w:pPr>
        <w:rPr>
          <w:rFonts w:ascii="Calibri" w:hAnsi="Calibri" w:cs="Calibri"/>
        </w:rPr>
      </w:pPr>
      <w:r w:rsidRPr="003D464B">
        <w:rPr>
          <w:rFonts w:ascii="Calibri" w:hAnsi="Calibri" w:cs="Calibri"/>
        </w:rPr>
        <w:tab/>
        <w:t>Nierówności podbudowy  nie mogą przekraczać:</w:t>
      </w:r>
    </w:p>
    <w:p w:rsidR="00AD54A3" w:rsidRPr="003D464B" w:rsidRDefault="00AD54A3" w:rsidP="00AD54A3">
      <w:pPr>
        <w:rPr>
          <w:rFonts w:ascii="Calibri" w:hAnsi="Calibri" w:cs="Calibri"/>
        </w:rPr>
      </w:pPr>
      <w:r w:rsidRPr="003D464B">
        <w:rPr>
          <w:rFonts w:ascii="Calibri" w:hAnsi="Calibri" w:cs="Calibri"/>
        </w:rPr>
        <w:t>-  10 mm dla podbudowy zasadniczej,</w:t>
      </w:r>
    </w:p>
    <w:p w:rsidR="00AD54A3" w:rsidRPr="003D464B" w:rsidRDefault="00AD54A3" w:rsidP="00AD54A3">
      <w:pPr>
        <w:rPr>
          <w:rFonts w:ascii="Calibri" w:hAnsi="Calibri" w:cs="Calibri"/>
        </w:rPr>
      </w:pPr>
      <w:r w:rsidRPr="003D464B">
        <w:rPr>
          <w:rFonts w:ascii="Calibri" w:hAnsi="Calibri" w:cs="Calibri"/>
        </w:rPr>
        <w:t>-  20 mm dla podbudowy pomocniczej.</w:t>
      </w:r>
    </w:p>
    <w:p w:rsidR="00AD54A3" w:rsidRPr="003D464B" w:rsidRDefault="00AD54A3" w:rsidP="00AD54A3">
      <w:pPr>
        <w:rPr>
          <w:rFonts w:ascii="Calibri" w:hAnsi="Calibri" w:cs="Calibri"/>
        </w:rPr>
      </w:pPr>
      <w:r w:rsidRPr="003D464B">
        <w:rPr>
          <w:rFonts w:ascii="Calibri" w:hAnsi="Calibri" w:cs="Calibri"/>
          <w:b/>
        </w:rPr>
        <w:t>6.4.4.</w:t>
      </w:r>
      <w:r w:rsidRPr="003D464B">
        <w:rPr>
          <w:rFonts w:ascii="Calibri" w:hAnsi="Calibri" w:cs="Calibri"/>
        </w:rPr>
        <w:t xml:space="preserve"> Spadki poprzeczne podbudowy </w:t>
      </w:r>
    </w:p>
    <w:p w:rsidR="00AD54A3" w:rsidRPr="003D464B" w:rsidRDefault="00AD54A3" w:rsidP="00AD54A3">
      <w:pPr>
        <w:rPr>
          <w:rFonts w:ascii="Calibri" w:hAnsi="Calibri" w:cs="Calibri"/>
        </w:rPr>
      </w:pPr>
      <w:r w:rsidRPr="003D464B">
        <w:rPr>
          <w:rFonts w:ascii="Calibri" w:hAnsi="Calibri" w:cs="Calibri"/>
        </w:rPr>
        <w:tab/>
        <w:t xml:space="preserve">Spadki poprzeczne podbudowy na prostych i łukach powinny być zgodne z dokumentacją projektową,  z tolerancją </w:t>
      </w:r>
      <w:r w:rsidRPr="003D464B">
        <w:rPr>
          <w:rFonts w:ascii="Calibri" w:hAnsi="Calibri" w:cs="Calibri"/>
        </w:rPr>
        <w:sym w:font="Symbol" w:char="F0B1"/>
      </w:r>
      <w:r w:rsidRPr="003D464B">
        <w:rPr>
          <w:rFonts w:ascii="Calibri" w:hAnsi="Calibri" w:cs="Calibri"/>
        </w:rPr>
        <w:t xml:space="preserve"> 0,5 %.</w:t>
      </w:r>
    </w:p>
    <w:p w:rsidR="00AD54A3" w:rsidRPr="003D464B" w:rsidRDefault="00AD54A3" w:rsidP="00AD54A3">
      <w:pPr>
        <w:rPr>
          <w:rFonts w:ascii="Calibri" w:hAnsi="Calibri" w:cs="Calibri"/>
        </w:rPr>
      </w:pPr>
      <w:r w:rsidRPr="003D464B">
        <w:rPr>
          <w:rFonts w:ascii="Calibri" w:hAnsi="Calibri" w:cs="Calibri"/>
          <w:b/>
        </w:rPr>
        <w:t>6.4.</w:t>
      </w:r>
      <w:r w:rsidR="00DE75B4">
        <w:rPr>
          <w:rFonts w:ascii="Calibri" w:hAnsi="Calibri" w:cs="Calibri"/>
          <w:b/>
        </w:rPr>
        <w:t>5</w:t>
      </w:r>
      <w:r w:rsidRPr="003D464B">
        <w:rPr>
          <w:rFonts w:ascii="Calibri" w:hAnsi="Calibri" w:cs="Calibri"/>
          <w:b/>
        </w:rPr>
        <w:t>.</w:t>
      </w:r>
      <w:r w:rsidRPr="003D464B">
        <w:rPr>
          <w:rFonts w:ascii="Calibri" w:hAnsi="Calibri" w:cs="Calibri"/>
        </w:rPr>
        <w:t xml:space="preserve"> Grubość podbudowy i ulepszonego podłoża</w:t>
      </w:r>
    </w:p>
    <w:p w:rsidR="00AD54A3" w:rsidRPr="003D464B" w:rsidRDefault="00AD54A3" w:rsidP="00AD54A3">
      <w:pPr>
        <w:rPr>
          <w:rFonts w:ascii="Calibri" w:hAnsi="Calibri" w:cs="Calibri"/>
        </w:rPr>
      </w:pPr>
      <w:r w:rsidRPr="003D464B">
        <w:rPr>
          <w:rFonts w:ascii="Calibri" w:hAnsi="Calibri" w:cs="Calibri"/>
        </w:rPr>
        <w:tab/>
        <w:t>Grubość podbudowy nie może się  różnić od grubości projektowanej o więcej niż:</w:t>
      </w:r>
    </w:p>
    <w:p w:rsidR="00AD54A3" w:rsidRPr="003D464B" w:rsidRDefault="00AD54A3" w:rsidP="00AD54A3">
      <w:pPr>
        <w:rPr>
          <w:rFonts w:ascii="Calibri" w:hAnsi="Calibri" w:cs="Calibri"/>
        </w:rPr>
      </w:pPr>
      <w:r w:rsidRPr="003D464B">
        <w:rPr>
          <w:rFonts w:ascii="Calibri" w:hAnsi="Calibri" w:cs="Calibri"/>
        </w:rPr>
        <w:t xml:space="preserve">- dla podbudowy zasadniczej  </w:t>
      </w:r>
      <w:r w:rsidRPr="003D464B">
        <w:rPr>
          <w:rFonts w:ascii="Calibri" w:hAnsi="Calibri" w:cs="Calibri"/>
        </w:rPr>
        <w:sym w:font="Symbol" w:char="F0B1"/>
      </w:r>
      <w:r w:rsidRPr="003D464B">
        <w:rPr>
          <w:rFonts w:ascii="Calibri" w:hAnsi="Calibri" w:cs="Calibri"/>
        </w:rPr>
        <w:t xml:space="preserve"> 10%,</w:t>
      </w:r>
    </w:p>
    <w:p w:rsidR="00AD54A3" w:rsidRPr="003D464B" w:rsidRDefault="00AD54A3" w:rsidP="00AD54A3">
      <w:pPr>
        <w:rPr>
          <w:rFonts w:ascii="Calibri" w:hAnsi="Calibri" w:cs="Calibri"/>
        </w:rPr>
      </w:pPr>
      <w:r w:rsidRPr="003D464B">
        <w:rPr>
          <w:rFonts w:ascii="Calibri" w:hAnsi="Calibri" w:cs="Calibri"/>
        </w:rPr>
        <w:t>- dla podbudowy pomocniczej +10%, -15%.</w:t>
      </w:r>
    </w:p>
    <w:p w:rsidR="00AD54A3" w:rsidRPr="003D464B" w:rsidRDefault="00AD54A3" w:rsidP="00AD54A3">
      <w:pPr>
        <w:rPr>
          <w:rFonts w:ascii="Calibri" w:hAnsi="Calibri" w:cs="Calibri"/>
        </w:rPr>
      </w:pPr>
      <w:r w:rsidRPr="003D464B">
        <w:rPr>
          <w:rFonts w:ascii="Calibri" w:hAnsi="Calibri" w:cs="Calibri"/>
          <w:b/>
        </w:rPr>
        <w:t>6.4.</w:t>
      </w:r>
      <w:r w:rsidR="00DE75B4">
        <w:rPr>
          <w:rFonts w:ascii="Calibri" w:hAnsi="Calibri" w:cs="Calibri"/>
          <w:b/>
        </w:rPr>
        <w:t>6</w:t>
      </w:r>
      <w:r w:rsidRPr="003D464B">
        <w:rPr>
          <w:rFonts w:ascii="Calibri" w:hAnsi="Calibri" w:cs="Calibri"/>
          <w:b/>
        </w:rPr>
        <w:t>.</w:t>
      </w:r>
      <w:r w:rsidRPr="003D464B">
        <w:rPr>
          <w:rFonts w:ascii="Calibri" w:hAnsi="Calibri" w:cs="Calibri"/>
        </w:rPr>
        <w:t xml:space="preserve"> Nośność podbudowy</w:t>
      </w:r>
    </w:p>
    <w:p w:rsidR="00AD54A3" w:rsidRPr="003D464B" w:rsidRDefault="00AD54A3" w:rsidP="00AD54A3">
      <w:pPr>
        <w:rPr>
          <w:rFonts w:ascii="Calibri" w:hAnsi="Calibri" w:cs="Calibri"/>
        </w:rPr>
      </w:pPr>
      <w:r w:rsidRPr="003D464B">
        <w:rPr>
          <w:rFonts w:ascii="Calibri" w:hAnsi="Calibri" w:cs="Calibri"/>
        </w:rPr>
        <w:t>moduł odkształcenia wg BN-64/8931-02  powinien być zgodny z podanym w tablicy 4,</w:t>
      </w:r>
    </w:p>
    <w:p w:rsidR="00AD54A3" w:rsidRPr="003D464B" w:rsidRDefault="00AD54A3" w:rsidP="00AD54A3">
      <w:pPr>
        <w:rPr>
          <w:rFonts w:ascii="Calibri" w:hAnsi="Calibri" w:cs="Calibri"/>
        </w:rPr>
      </w:pPr>
      <w:r w:rsidRPr="003D464B">
        <w:rPr>
          <w:rFonts w:ascii="Calibri" w:hAnsi="Calibri" w:cs="Calibri"/>
        </w:rPr>
        <w:t>ugięcie sprężyste wg BN-70/8931-06 powinno być zgodne z podanym w tablicy 4.</w:t>
      </w:r>
    </w:p>
    <w:p w:rsidR="00AD54A3" w:rsidRPr="003D464B" w:rsidRDefault="00AD54A3" w:rsidP="00AD54A3">
      <w:pPr>
        <w:rPr>
          <w:rFonts w:ascii="Calibri" w:hAnsi="Calibri" w:cs="Calibri"/>
        </w:rPr>
      </w:pPr>
    </w:p>
    <w:p w:rsidR="00AD54A3" w:rsidRPr="003D464B" w:rsidRDefault="00AD54A3" w:rsidP="00AD54A3">
      <w:pPr>
        <w:ind w:left="709"/>
        <w:rPr>
          <w:rFonts w:ascii="Calibri" w:hAnsi="Calibri" w:cs="Calibri"/>
        </w:rPr>
      </w:pPr>
      <w:r w:rsidRPr="003D464B">
        <w:rPr>
          <w:rFonts w:ascii="Calibri" w:hAnsi="Calibri" w:cs="Calibri"/>
        </w:rPr>
        <w:t>Tablica 4. Cechy podbudowy</w:t>
      </w:r>
    </w:p>
    <w:tbl>
      <w:tblPr>
        <w:tblW w:w="8292" w:type="dxa"/>
        <w:tblInd w:w="779" w:type="dxa"/>
        <w:tblLayout w:type="fixed"/>
        <w:tblCellMar>
          <w:left w:w="70" w:type="dxa"/>
          <w:right w:w="70" w:type="dxa"/>
        </w:tblCellMar>
        <w:tblLook w:val="0000"/>
      </w:tblPr>
      <w:tblGrid>
        <w:gridCol w:w="1488"/>
        <w:gridCol w:w="1417"/>
        <w:gridCol w:w="1134"/>
        <w:gridCol w:w="993"/>
        <w:gridCol w:w="19"/>
        <w:gridCol w:w="1540"/>
        <w:gridCol w:w="1701"/>
      </w:tblGrid>
      <w:tr w:rsidR="00AD54A3" w:rsidRPr="003D464B" w:rsidTr="00FD47C7">
        <w:tc>
          <w:tcPr>
            <w:tcW w:w="1488" w:type="dxa"/>
            <w:tcBorders>
              <w:top w:val="single" w:sz="6" w:space="0" w:color="auto"/>
              <w:left w:val="single" w:sz="6" w:space="0" w:color="auto"/>
            </w:tcBorders>
          </w:tcPr>
          <w:p w:rsidR="00AD54A3" w:rsidRPr="003D464B" w:rsidRDefault="00AD54A3" w:rsidP="00FD47C7">
            <w:pPr>
              <w:jc w:val="center"/>
              <w:rPr>
                <w:rFonts w:ascii="Calibri" w:hAnsi="Calibri" w:cs="Calibri"/>
                <w:sz w:val="18"/>
                <w:szCs w:val="18"/>
              </w:rPr>
            </w:pPr>
          </w:p>
        </w:tc>
        <w:tc>
          <w:tcPr>
            <w:tcW w:w="6804" w:type="dxa"/>
            <w:gridSpan w:val="6"/>
            <w:tcBorders>
              <w:top w:val="single" w:sz="6" w:space="0" w:color="auto"/>
              <w:left w:val="single" w:sz="6" w:space="0" w:color="auto"/>
              <w:bottom w:val="single" w:sz="6" w:space="0" w:color="auto"/>
              <w:right w:val="single" w:sz="6" w:space="0" w:color="auto"/>
            </w:tcBorders>
          </w:tcPr>
          <w:p w:rsidR="00AD54A3" w:rsidRPr="003D464B" w:rsidRDefault="00AD54A3" w:rsidP="00FD47C7">
            <w:pPr>
              <w:jc w:val="center"/>
              <w:rPr>
                <w:rFonts w:ascii="Calibri" w:hAnsi="Calibri" w:cs="Calibri"/>
                <w:sz w:val="18"/>
                <w:szCs w:val="18"/>
              </w:rPr>
            </w:pPr>
            <w:r w:rsidRPr="003D464B">
              <w:rPr>
                <w:rFonts w:ascii="Calibri" w:hAnsi="Calibri" w:cs="Calibri"/>
                <w:sz w:val="18"/>
                <w:szCs w:val="18"/>
              </w:rPr>
              <w:t>Wymagane cechy podbudowy</w:t>
            </w:r>
          </w:p>
        </w:tc>
      </w:tr>
      <w:tr w:rsidR="00AD54A3" w:rsidRPr="003D464B" w:rsidTr="00FD47C7">
        <w:tc>
          <w:tcPr>
            <w:tcW w:w="1488" w:type="dxa"/>
            <w:tcBorders>
              <w:left w:val="single" w:sz="6" w:space="0" w:color="auto"/>
            </w:tcBorders>
          </w:tcPr>
          <w:p w:rsidR="00AD54A3" w:rsidRPr="003D464B" w:rsidRDefault="00AD54A3" w:rsidP="00FD47C7">
            <w:pPr>
              <w:jc w:val="center"/>
              <w:rPr>
                <w:rFonts w:ascii="Calibri" w:hAnsi="Calibri" w:cs="Calibri"/>
                <w:sz w:val="18"/>
                <w:szCs w:val="18"/>
              </w:rPr>
            </w:pPr>
            <w:r w:rsidRPr="003D464B">
              <w:rPr>
                <w:rFonts w:ascii="Calibri" w:hAnsi="Calibri" w:cs="Calibri"/>
                <w:sz w:val="18"/>
                <w:szCs w:val="18"/>
              </w:rPr>
              <w:t>Podbudowa</w:t>
            </w:r>
          </w:p>
          <w:p w:rsidR="00AD54A3" w:rsidRPr="003D464B" w:rsidRDefault="00AD54A3" w:rsidP="00FD47C7">
            <w:pPr>
              <w:jc w:val="center"/>
              <w:rPr>
                <w:rFonts w:ascii="Calibri" w:hAnsi="Calibri" w:cs="Calibri"/>
                <w:sz w:val="18"/>
                <w:szCs w:val="18"/>
              </w:rPr>
            </w:pPr>
            <w:r w:rsidRPr="003D464B">
              <w:rPr>
                <w:rFonts w:ascii="Calibri" w:hAnsi="Calibri" w:cs="Calibri"/>
                <w:sz w:val="18"/>
                <w:szCs w:val="18"/>
              </w:rPr>
              <w:t>z kruszywa o wskaźniku wnoś nie mniejszym</w:t>
            </w:r>
          </w:p>
        </w:tc>
        <w:tc>
          <w:tcPr>
            <w:tcW w:w="1417" w:type="dxa"/>
            <w:tcBorders>
              <w:top w:val="single" w:sz="6" w:space="0" w:color="auto"/>
              <w:left w:val="single" w:sz="6" w:space="0" w:color="auto"/>
              <w:right w:val="single" w:sz="6" w:space="0" w:color="auto"/>
            </w:tcBorders>
          </w:tcPr>
          <w:p w:rsidR="00AD54A3" w:rsidRPr="003D464B" w:rsidRDefault="00AD54A3" w:rsidP="00FD47C7">
            <w:pPr>
              <w:jc w:val="center"/>
              <w:rPr>
                <w:rFonts w:ascii="Calibri" w:hAnsi="Calibri" w:cs="Calibri"/>
                <w:sz w:val="18"/>
                <w:szCs w:val="18"/>
              </w:rPr>
            </w:pPr>
          </w:p>
          <w:p w:rsidR="00AD54A3" w:rsidRPr="003D464B" w:rsidRDefault="00AD54A3" w:rsidP="00FD47C7">
            <w:pPr>
              <w:jc w:val="center"/>
              <w:rPr>
                <w:rFonts w:ascii="Calibri" w:hAnsi="Calibri" w:cs="Calibri"/>
                <w:sz w:val="18"/>
                <w:szCs w:val="18"/>
              </w:rPr>
            </w:pPr>
            <w:r w:rsidRPr="003D464B">
              <w:rPr>
                <w:rFonts w:ascii="Calibri" w:hAnsi="Calibri" w:cs="Calibri"/>
                <w:sz w:val="18"/>
                <w:szCs w:val="18"/>
              </w:rPr>
              <w:t>Wskaźnik zagęszczenia IS   nie</w:t>
            </w:r>
          </w:p>
          <w:p w:rsidR="00AD54A3" w:rsidRPr="003D464B" w:rsidRDefault="00AD54A3" w:rsidP="00FD47C7">
            <w:pPr>
              <w:jc w:val="center"/>
              <w:rPr>
                <w:rFonts w:ascii="Calibri" w:hAnsi="Calibri" w:cs="Calibri"/>
                <w:sz w:val="18"/>
                <w:szCs w:val="18"/>
              </w:rPr>
            </w:pPr>
            <w:r w:rsidRPr="003D464B">
              <w:rPr>
                <w:rFonts w:ascii="Calibri" w:hAnsi="Calibri" w:cs="Calibri"/>
                <w:sz w:val="18"/>
                <w:szCs w:val="18"/>
              </w:rPr>
              <w:t>mniejszy niż</w:t>
            </w:r>
          </w:p>
        </w:tc>
        <w:tc>
          <w:tcPr>
            <w:tcW w:w="2127" w:type="dxa"/>
            <w:gridSpan w:val="2"/>
            <w:tcBorders>
              <w:top w:val="single" w:sz="6" w:space="0" w:color="auto"/>
              <w:left w:val="single" w:sz="6" w:space="0" w:color="auto"/>
              <w:bottom w:val="single" w:sz="6" w:space="0" w:color="auto"/>
              <w:right w:val="single" w:sz="6" w:space="0" w:color="auto"/>
            </w:tcBorders>
          </w:tcPr>
          <w:p w:rsidR="00AD54A3" w:rsidRPr="003D464B" w:rsidRDefault="00AD54A3" w:rsidP="00FD47C7">
            <w:pPr>
              <w:jc w:val="center"/>
              <w:rPr>
                <w:rFonts w:ascii="Calibri" w:hAnsi="Calibri" w:cs="Calibri"/>
                <w:sz w:val="18"/>
                <w:szCs w:val="18"/>
              </w:rPr>
            </w:pPr>
          </w:p>
          <w:p w:rsidR="00AD54A3" w:rsidRPr="003D464B" w:rsidRDefault="00AD54A3" w:rsidP="00FD47C7">
            <w:pPr>
              <w:jc w:val="center"/>
              <w:rPr>
                <w:rFonts w:ascii="Calibri" w:hAnsi="Calibri" w:cs="Calibri"/>
                <w:sz w:val="18"/>
                <w:szCs w:val="18"/>
              </w:rPr>
            </w:pPr>
            <w:r w:rsidRPr="003D464B">
              <w:rPr>
                <w:rFonts w:ascii="Calibri" w:hAnsi="Calibri" w:cs="Calibri"/>
                <w:sz w:val="18"/>
                <w:szCs w:val="18"/>
              </w:rPr>
              <w:t>Maksymalne ugięcie sprężyste pod kołem, mm</w:t>
            </w:r>
          </w:p>
        </w:tc>
        <w:tc>
          <w:tcPr>
            <w:tcW w:w="3260" w:type="dxa"/>
            <w:gridSpan w:val="3"/>
            <w:tcBorders>
              <w:top w:val="single" w:sz="6" w:space="0" w:color="auto"/>
              <w:left w:val="single" w:sz="6" w:space="0" w:color="auto"/>
              <w:bottom w:val="single" w:sz="6" w:space="0" w:color="auto"/>
              <w:right w:val="single" w:sz="6" w:space="0" w:color="auto"/>
            </w:tcBorders>
          </w:tcPr>
          <w:p w:rsidR="00AD54A3" w:rsidRPr="003D464B" w:rsidRDefault="00AD54A3" w:rsidP="00FD47C7">
            <w:pPr>
              <w:jc w:val="center"/>
              <w:rPr>
                <w:rFonts w:ascii="Calibri" w:hAnsi="Calibri" w:cs="Calibri"/>
                <w:sz w:val="18"/>
                <w:szCs w:val="18"/>
              </w:rPr>
            </w:pPr>
            <w:r w:rsidRPr="003D464B">
              <w:rPr>
                <w:rFonts w:ascii="Calibri" w:hAnsi="Calibri" w:cs="Calibri"/>
                <w:sz w:val="18"/>
                <w:szCs w:val="18"/>
              </w:rPr>
              <w:t>Minimalny moduł odkształcenia mierzony płytą o średnicy 30 cm, MPa</w:t>
            </w:r>
          </w:p>
        </w:tc>
      </w:tr>
      <w:tr w:rsidR="00AD54A3" w:rsidRPr="003D464B" w:rsidTr="00FD47C7">
        <w:tc>
          <w:tcPr>
            <w:tcW w:w="1488" w:type="dxa"/>
            <w:tcBorders>
              <w:left w:val="single" w:sz="6" w:space="0" w:color="auto"/>
              <w:bottom w:val="double" w:sz="6" w:space="0" w:color="auto"/>
              <w:right w:val="single" w:sz="6" w:space="0" w:color="auto"/>
            </w:tcBorders>
          </w:tcPr>
          <w:p w:rsidR="00AD54A3" w:rsidRPr="003D464B" w:rsidRDefault="00AD54A3" w:rsidP="00FD47C7">
            <w:pPr>
              <w:jc w:val="center"/>
              <w:rPr>
                <w:rFonts w:ascii="Calibri" w:hAnsi="Calibri" w:cs="Calibri"/>
                <w:sz w:val="18"/>
                <w:szCs w:val="18"/>
              </w:rPr>
            </w:pPr>
            <w:r w:rsidRPr="003D464B">
              <w:rPr>
                <w:rFonts w:ascii="Calibri" w:hAnsi="Calibri" w:cs="Calibri"/>
                <w:sz w:val="18"/>
                <w:szCs w:val="18"/>
              </w:rPr>
              <w:t>niż,   %</w:t>
            </w:r>
          </w:p>
        </w:tc>
        <w:tc>
          <w:tcPr>
            <w:tcW w:w="1417" w:type="dxa"/>
            <w:tcBorders>
              <w:left w:val="single" w:sz="6" w:space="0" w:color="auto"/>
              <w:bottom w:val="double" w:sz="6" w:space="0" w:color="auto"/>
              <w:right w:val="single" w:sz="6" w:space="0" w:color="auto"/>
            </w:tcBorders>
          </w:tcPr>
          <w:p w:rsidR="00AD54A3" w:rsidRPr="003D464B" w:rsidRDefault="00AD54A3" w:rsidP="00FD47C7">
            <w:pPr>
              <w:jc w:val="center"/>
              <w:rPr>
                <w:rFonts w:ascii="Calibri" w:hAnsi="Calibri" w:cs="Calibri"/>
                <w:sz w:val="18"/>
                <w:szCs w:val="18"/>
              </w:rPr>
            </w:pPr>
          </w:p>
        </w:tc>
        <w:tc>
          <w:tcPr>
            <w:tcW w:w="1134" w:type="dxa"/>
            <w:tcBorders>
              <w:left w:val="single" w:sz="6" w:space="0" w:color="auto"/>
              <w:bottom w:val="double" w:sz="6" w:space="0" w:color="auto"/>
              <w:right w:val="single" w:sz="6" w:space="0" w:color="auto"/>
            </w:tcBorders>
          </w:tcPr>
          <w:p w:rsidR="00AD54A3" w:rsidRPr="003D464B" w:rsidRDefault="00AD54A3" w:rsidP="00FD47C7">
            <w:pPr>
              <w:jc w:val="center"/>
              <w:rPr>
                <w:rFonts w:ascii="Calibri" w:hAnsi="Calibri" w:cs="Calibri"/>
                <w:sz w:val="18"/>
                <w:szCs w:val="18"/>
              </w:rPr>
            </w:pPr>
            <w:r w:rsidRPr="003D464B">
              <w:rPr>
                <w:rFonts w:ascii="Calibri" w:hAnsi="Calibri" w:cs="Calibri"/>
                <w:sz w:val="18"/>
                <w:szCs w:val="18"/>
              </w:rPr>
              <w:t>40 kN</w:t>
            </w:r>
          </w:p>
        </w:tc>
        <w:tc>
          <w:tcPr>
            <w:tcW w:w="1012" w:type="dxa"/>
            <w:gridSpan w:val="2"/>
            <w:tcBorders>
              <w:left w:val="single" w:sz="6" w:space="0" w:color="auto"/>
              <w:bottom w:val="double" w:sz="6" w:space="0" w:color="auto"/>
              <w:right w:val="single" w:sz="6" w:space="0" w:color="auto"/>
            </w:tcBorders>
          </w:tcPr>
          <w:p w:rsidR="00AD54A3" w:rsidRPr="003D464B" w:rsidRDefault="00AD54A3" w:rsidP="00FD47C7">
            <w:pPr>
              <w:jc w:val="center"/>
              <w:rPr>
                <w:rFonts w:ascii="Calibri" w:hAnsi="Calibri" w:cs="Calibri"/>
                <w:sz w:val="18"/>
                <w:szCs w:val="18"/>
              </w:rPr>
            </w:pPr>
            <w:r w:rsidRPr="003D464B">
              <w:rPr>
                <w:rFonts w:ascii="Calibri" w:hAnsi="Calibri" w:cs="Calibri"/>
                <w:sz w:val="18"/>
                <w:szCs w:val="18"/>
              </w:rPr>
              <w:t>50 kN</w:t>
            </w:r>
          </w:p>
        </w:tc>
        <w:tc>
          <w:tcPr>
            <w:tcW w:w="1540" w:type="dxa"/>
            <w:tcBorders>
              <w:left w:val="single" w:sz="6" w:space="0" w:color="auto"/>
              <w:bottom w:val="double" w:sz="6" w:space="0" w:color="auto"/>
              <w:right w:val="single" w:sz="6" w:space="0" w:color="auto"/>
            </w:tcBorders>
          </w:tcPr>
          <w:p w:rsidR="00AD54A3" w:rsidRPr="003D464B" w:rsidRDefault="00AD54A3" w:rsidP="00FD47C7">
            <w:pPr>
              <w:jc w:val="center"/>
              <w:rPr>
                <w:rFonts w:ascii="Calibri" w:hAnsi="Calibri" w:cs="Calibri"/>
                <w:sz w:val="18"/>
                <w:szCs w:val="18"/>
              </w:rPr>
            </w:pPr>
            <w:r w:rsidRPr="003D464B">
              <w:rPr>
                <w:rFonts w:ascii="Calibri" w:hAnsi="Calibri" w:cs="Calibri"/>
                <w:sz w:val="18"/>
                <w:szCs w:val="18"/>
              </w:rPr>
              <w:t>od pierwszego obciążenia E1</w:t>
            </w:r>
          </w:p>
        </w:tc>
        <w:tc>
          <w:tcPr>
            <w:tcW w:w="1701" w:type="dxa"/>
            <w:tcBorders>
              <w:left w:val="single" w:sz="6" w:space="0" w:color="auto"/>
              <w:bottom w:val="double" w:sz="6" w:space="0" w:color="auto"/>
              <w:right w:val="single" w:sz="6" w:space="0" w:color="auto"/>
            </w:tcBorders>
          </w:tcPr>
          <w:p w:rsidR="00AD54A3" w:rsidRPr="003D464B" w:rsidRDefault="00AD54A3" w:rsidP="00FD47C7">
            <w:pPr>
              <w:jc w:val="center"/>
              <w:rPr>
                <w:rFonts w:ascii="Calibri" w:hAnsi="Calibri" w:cs="Calibri"/>
                <w:sz w:val="18"/>
                <w:szCs w:val="18"/>
              </w:rPr>
            </w:pPr>
            <w:r w:rsidRPr="003D464B">
              <w:rPr>
                <w:rFonts w:ascii="Calibri" w:hAnsi="Calibri" w:cs="Calibri"/>
                <w:sz w:val="18"/>
                <w:szCs w:val="18"/>
              </w:rPr>
              <w:t>od drugiego obciążenia E2</w:t>
            </w:r>
          </w:p>
        </w:tc>
      </w:tr>
      <w:tr w:rsidR="00AD54A3" w:rsidRPr="003D464B" w:rsidTr="00FD47C7">
        <w:tc>
          <w:tcPr>
            <w:tcW w:w="1488" w:type="dxa"/>
            <w:tcBorders>
              <w:left w:val="single" w:sz="6" w:space="0" w:color="auto"/>
              <w:bottom w:val="single" w:sz="6" w:space="0" w:color="auto"/>
              <w:right w:val="single" w:sz="6" w:space="0" w:color="auto"/>
            </w:tcBorders>
          </w:tcPr>
          <w:p w:rsidR="00AD54A3" w:rsidRPr="003D464B" w:rsidRDefault="00AD54A3" w:rsidP="00FD47C7">
            <w:pPr>
              <w:jc w:val="center"/>
              <w:rPr>
                <w:rFonts w:ascii="Calibri" w:hAnsi="Calibri" w:cs="Calibri"/>
                <w:sz w:val="18"/>
                <w:szCs w:val="18"/>
              </w:rPr>
            </w:pPr>
            <w:r w:rsidRPr="003D464B">
              <w:rPr>
                <w:rFonts w:ascii="Calibri" w:hAnsi="Calibri" w:cs="Calibri"/>
                <w:sz w:val="18"/>
                <w:szCs w:val="18"/>
              </w:rPr>
              <w:t>60</w:t>
            </w:r>
          </w:p>
          <w:p w:rsidR="00AD54A3" w:rsidRPr="003D464B" w:rsidRDefault="00AD54A3" w:rsidP="00FD47C7">
            <w:pPr>
              <w:jc w:val="center"/>
              <w:rPr>
                <w:rFonts w:ascii="Calibri" w:hAnsi="Calibri" w:cs="Calibri"/>
                <w:sz w:val="18"/>
                <w:szCs w:val="18"/>
              </w:rPr>
            </w:pPr>
            <w:r w:rsidRPr="003D464B">
              <w:rPr>
                <w:rFonts w:ascii="Calibri" w:hAnsi="Calibri" w:cs="Calibri"/>
                <w:sz w:val="18"/>
                <w:szCs w:val="18"/>
              </w:rPr>
              <w:t>80</w:t>
            </w:r>
          </w:p>
          <w:p w:rsidR="00AD54A3" w:rsidRPr="003D464B" w:rsidRDefault="00AD54A3" w:rsidP="00FD47C7">
            <w:pPr>
              <w:jc w:val="center"/>
              <w:rPr>
                <w:rFonts w:ascii="Calibri" w:hAnsi="Calibri" w:cs="Calibri"/>
                <w:sz w:val="18"/>
                <w:szCs w:val="18"/>
              </w:rPr>
            </w:pPr>
            <w:r w:rsidRPr="003D464B">
              <w:rPr>
                <w:rFonts w:ascii="Calibri" w:hAnsi="Calibri" w:cs="Calibri"/>
                <w:sz w:val="18"/>
                <w:szCs w:val="18"/>
              </w:rPr>
              <w:t>120</w:t>
            </w:r>
          </w:p>
        </w:tc>
        <w:tc>
          <w:tcPr>
            <w:tcW w:w="1417" w:type="dxa"/>
            <w:tcBorders>
              <w:left w:val="single" w:sz="6" w:space="0" w:color="auto"/>
              <w:bottom w:val="single" w:sz="6" w:space="0" w:color="auto"/>
              <w:right w:val="single" w:sz="6" w:space="0" w:color="auto"/>
            </w:tcBorders>
          </w:tcPr>
          <w:p w:rsidR="00AD54A3" w:rsidRPr="003D464B" w:rsidRDefault="00AD54A3" w:rsidP="00FD47C7">
            <w:pPr>
              <w:jc w:val="center"/>
              <w:rPr>
                <w:rFonts w:ascii="Calibri" w:hAnsi="Calibri" w:cs="Calibri"/>
                <w:sz w:val="18"/>
                <w:szCs w:val="18"/>
              </w:rPr>
            </w:pPr>
            <w:r w:rsidRPr="003D464B">
              <w:rPr>
                <w:rFonts w:ascii="Calibri" w:hAnsi="Calibri" w:cs="Calibri"/>
                <w:sz w:val="18"/>
                <w:szCs w:val="18"/>
              </w:rPr>
              <w:t>1,0</w:t>
            </w:r>
          </w:p>
          <w:p w:rsidR="00AD54A3" w:rsidRPr="003D464B" w:rsidRDefault="00AD54A3" w:rsidP="00FD47C7">
            <w:pPr>
              <w:jc w:val="center"/>
              <w:rPr>
                <w:rFonts w:ascii="Calibri" w:hAnsi="Calibri" w:cs="Calibri"/>
                <w:sz w:val="18"/>
                <w:szCs w:val="18"/>
              </w:rPr>
            </w:pPr>
            <w:r w:rsidRPr="003D464B">
              <w:rPr>
                <w:rFonts w:ascii="Calibri" w:hAnsi="Calibri" w:cs="Calibri"/>
                <w:sz w:val="18"/>
                <w:szCs w:val="18"/>
              </w:rPr>
              <w:t>1,0</w:t>
            </w:r>
          </w:p>
          <w:p w:rsidR="00AD54A3" w:rsidRPr="003D464B" w:rsidRDefault="00AD54A3" w:rsidP="00FD47C7">
            <w:pPr>
              <w:jc w:val="center"/>
              <w:rPr>
                <w:rFonts w:ascii="Calibri" w:hAnsi="Calibri" w:cs="Calibri"/>
                <w:sz w:val="18"/>
                <w:szCs w:val="18"/>
              </w:rPr>
            </w:pPr>
            <w:r w:rsidRPr="003D464B">
              <w:rPr>
                <w:rFonts w:ascii="Calibri" w:hAnsi="Calibri" w:cs="Calibri"/>
                <w:sz w:val="18"/>
                <w:szCs w:val="18"/>
              </w:rPr>
              <w:t>1,03</w:t>
            </w:r>
          </w:p>
        </w:tc>
        <w:tc>
          <w:tcPr>
            <w:tcW w:w="1134" w:type="dxa"/>
            <w:tcBorders>
              <w:left w:val="single" w:sz="6" w:space="0" w:color="auto"/>
              <w:bottom w:val="single" w:sz="6" w:space="0" w:color="auto"/>
              <w:right w:val="single" w:sz="6" w:space="0" w:color="auto"/>
            </w:tcBorders>
          </w:tcPr>
          <w:p w:rsidR="00AD54A3" w:rsidRPr="003D464B" w:rsidRDefault="00AD54A3" w:rsidP="00FD47C7">
            <w:pPr>
              <w:jc w:val="center"/>
              <w:rPr>
                <w:rFonts w:ascii="Calibri" w:hAnsi="Calibri" w:cs="Calibri"/>
                <w:sz w:val="18"/>
                <w:szCs w:val="18"/>
              </w:rPr>
            </w:pPr>
            <w:r w:rsidRPr="003D464B">
              <w:rPr>
                <w:rFonts w:ascii="Calibri" w:hAnsi="Calibri" w:cs="Calibri"/>
                <w:sz w:val="18"/>
                <w:szCs w:val="18"/>
              </w:rPr>
              <w:t>1,40</w:t>
            </w:r>
          </w:p>
          <w:p w:rsidR="00AD54A3" w:rsidRPr="003D464B" w:rsidRDefault="00AD54A3" w:rsidP="00FD47C7">
            <w:pPr>
              <w:jc w:val="center"/>
              <w:rPr>
                <w:rFonts w:ascii="Calibri" w:hAnsi="Calibri" w:cs="Calibri"/>
                <w:sz w:val="18"/>
                <w:szCs w:val="18"/>
              </w:rPr>
            </w:pPr>
            <w:r w:rsidRPr="003D464B">
              <w:rPr>
                <w:rFonts w:ascii="Calibri" w:hAnsi="Calibri" w:cs="Calibri"/>
                <w:sz w:val="18"/>
                <w:szCs w:val="18"/>
              </w:rPr>
              <w:t>1,25</w:t>
            </w:r>
          </w:p>
          <w:p w:rsidR="00AD54A3" w:rsidRPr="003D464B" w:rsidRDefault="00AD54A3" w:rsidP="00FD47C7">
            <w:pPr>
              <w:jc w:val="center"/>
              <w:rPr>
                <w:rFonts w:ascii="Calibri" w:hAnsi="Calibri" w:cs="Calibri"/>
                <w:sz w:val="18"/>
                <w:szCs w:val="18"/>
              </w:rPr>
            </w:pPr>
            <w:r w:rsidRPr="003D464B">
              <w:rPr>
                <w:rFonts w:ascii="Calibri" w:hAnsi="Calibri" w:cs="Calibri"/>
                <w:sz w:val="18"/>
                <w:szCs w:val="18"/>
              </w:rPr>
              <w:t>1,10</w:t>
            </w:r>
          </w:p>
        </w:tc>
        <w:tc>
          <w:tcPr>
            <w:tcW w:w="1012" w:type="dxa"/>
            <w:gridSpan w:val="2"/>
            <w:tcBorders>
              <w:left w:val="single" w:sz="6" w:space="0" w:color="auto"/>
              <w:bottom w:val="single" w:sz="6" w:space="0" w:color="auto"/>
              <w:right w:val="single" w:sz="6" w:space="0" w:color="auto"/>
            </w:tcBorders>
          </w:tcPr>
          <w:p w:rsidR="00AD54A3" w:rsidRPr="003D464B" w:rsidRDefault="00AD54A3" w:rsidP="00FD47C7">
            <w:pPr>
              <w:jc w:val="center"/>
              <w:rPr>
                <w:rFonts w:ascii="Calibri" w:hAnsi="Calibri" w:cs="Calibri"/>
                <w:sz w:val="18"/>
                <w:szCs w:val="18"/>
              </w:rPr>
            </w:pPr>
            <w:r w:rsidRPr="003D464B">
              <w:rPr>
                <w:rFonts w:ascii="Calibri" w:hAnsi="Calibri" w:cs="Calibri"/>
                <w:sz w:val="18"/>
                <w:szCs w:val="18"/>
              </w:rPr>
              <w:t>1,60</w:t>
            </w:r>
          </w:p>
          <w:p w:rsidR="00AD54A3" w:rsidRPr="003D464B" w:rsidRDefault="00AD54A3" w:rsidP="00FD47C7">
            <w:pPr>
              <w:jc w:val="center"/>
              <w:rPr>
                <w:rFonts w:ascii="Calibri" w:hAnsi="Calibri" w:cs="Calibri"/>
                <w:sz w:val="18"/>
                <w:szCs w:val="18"/>
              </w:rPr>
            </w:pPr>
            <w:r w:rsidRPr="003D464B">
              <w:rPr>
                <w:rFonts w:ascii="Calibri" w:hAnsi="Calibri" w:cs="Calibri"/>
                <w:sz w:val="18"/>
                <w:szCs w:val="18"/>
              </w:rPr>
              <w:t>1,40</w:t>
            </w:r>
          </w:p>
          <w:p w:rsidR="00AD54A3" w:rsidRPr="003D464B" w:rsidRDefault="00AD54A3" w:rsidP="00FD47C7">
            <w:pPr>
              <w:jc w:val="center"/>
              <w:rPr>
                <w:rFonts w:ascii="Calibri" w:hAnsi="Calibri" w:cs="Calibri"/>
                <w:sz w:val="18"/>
                <w:szCs w:val="18"/>
              </w:rPr>
            </w:pPr>
            <w:r w:rsidRPr="003D464B">
              <w:rPr>
                <w:rFonts w:ascii="Calibri" w:hAnsi="Calibri" w:cs="Calibri"/>
                <w:sz w:val="18"/>
                <w:szCs w:val="18"/>
              </w:rPr>
              <w:t>1,20</w:t>
            </w:r>
          </w:p>
        </w:tc>
        <w:tc>
          <w:tcPr>
            <w:tcW w:w="1540" w:type="dxa"/>
            <w:tcBorders>
              <w:left w:val="single" w:sz="6" w:space="0" w:color="auto"/>
              <w:bottom w:val="single" w:sz="6" w:space="0" w:color="auto"/>
              <w:right w:val="single" w:sz="6" w:space="0" w:color="auto"/>
            </w:tcBorders>
          </w:tcPr>
          <w:p w:rsidR="00AD54A3" w:rsidRPr="003D464B" w:rsidRDefault="00AD54A3" w:rsidP="00FD47C7">
            <w:pPr>
              <w:jc w:val="center"/>
              <w:rPr>
                <w:rFonts w:ascii="Calibri" w:hAnsi="Calibri" w:cs="Calibri"/>
                <w:sz w:val="18"/>
                <w:szCs w:val="18"/>
              </w:rPr>
            </w:pPr>
            <w:r w:rsidRPr="003D464B">
              <w:rPr>
                <w:rFonts w:ascii="Calibri" w:hAnsi="Calibri" w:cs="Calibri"/>
                <w:sz w:val="18"/>
                <w:szCs w:val="18"/>
              </w:rPr>
              <w:t>60</w:t>
            </w:r>
          </w:p>
          <w:p w:rsidR="00AD54A3" w:rsidRPr="003D464B" w:rsidRDefault="00AD54A3" w:rsidP="00FD47C7">
            <w:pPr>
              <w:jc w:val="center"/>
              <w:rPr>
                <w:rFonts w:ascii="Calibri" w:hAnsi="Calibri" w:cs="Calibri"/>
                <w:sz w:val="18"/>
                <w:szCs w:val="18"/>
              </w:rPr>
            </w:pPr>
            <w:r w:rsidRPr="003D464B">
              <w:rPr>
                <w:rFonts w:ascii="Calibri" w:hAnsi="Calibri" w:cs="Calibri"/>
                <w:sz w:val="18"/>
                <w:szCs w:val="18"/>
              </w:rPr>
              <w:t>80</w:t>
            </w:r>
          </w:p>
          <w:p w:rsidR="00AD54A3" w:rsidRPr="003D464B" w:rsidRDefault="00AD54A3" w:rsidP="00FD47C7">
            <w:pPr>
              <w:jc w:val="center"/>
              <w:rPr>
                <w:rFonts w:ascii="Calibri" w:hAnsi="Calibri" w:cs="Calibri"/>
                <w:sz w:val="18"/>
                <w:szCs w:val="18"/>
              </w:rPr>
            </w:pPr>
            <w:r w:rsidRPr="003D464B">
              <w:rPr>
                <w:rFonts w:ascii="Calibri" w:hAnsi="Calibri" w:cs="Calibri"/>
                <w:sz w:val="18"/>
                <w:szCs w:val="18"/>
              </w:rPr>
              <w:t>100</w:t>
            </w:r>
          </w:p>
        </w:tc>
        <w:tc>
          <w:tcPr>
            <w:tcW w:w="1701" w:type="dxa"/>
            <w:tcBorders>
              <w:left w:val="single" w:sz="6" w:space="0" w:color="auto"/>
              <w:bottom w:val="single" w:sz="6" w:space="0" w:color="auto"/>
              <w:right w:val="single" w:sz="6" w:space="0" w:color="auto"/>
            </w:tcBorders>
          </w:tcPr>
          <w:p w:rsidR="00AD54A3" w:rsidRPr="003D464B" w:rsidRDefault="00AD54A3" w:rsidP="00FD47C7">
            <w:pPr>
              <w:jc w:val="center"/>
              <w:rPr>
                <w:rFonts w:ascii="Calibri" w:hAnsi="Calibri" w:cs="Calibri"/>
                <w:sz w:val="18"/>
                <w:szCs w:val="18"/>
              </w:rPr>
            </w:pPr>
            <w:r w:rsidRPr="003D464B">
              <w:rPr>
                <w:rFonts w:ascii="Calibri" w:hAnsi="Calibri" w:cs="Calibri"/>
                <w:sz w:val="18"/>
                <w:szCs w:val="18"/>
              </w:rPr>
              <w:t>120</w:t>
            </w:r>
          </w:p>
          <w:p w:rsidR="00AD54A3" w:rsidRPr="003D464B" w:rsidRDefault="00AD54A3" w:rsidP="00FD47C7">
            <w:pPr>
              <w:jc w:val="center"/>
              <w:rPr>
                <w:rFonts w:ascii="Calibri" w:hAnsi="Calibri" w:cs="Calibri"/>
                <w:sz w:val="18"/>
                <w:szCs w:val="18"/>
              </w:rPr>
            </w:pPr>
            <w:r w:rsidRPr="003D464B">
              <w:rPr>
                <w:rFonts w:ascii="Calibri" w:hAnsi="Calibri" w:cs="Calibri"/>
                <w:sz w:val="18"/>
                <w:szCs w:val="18"/>
              </w:rPr>
              <w:t>140</w:t>
            </w:r>
          </w:p>
          <w:p w:rsidR="00AD54A3" w:rsidRPr="003D464B" w:rsidRDefault="00AD54A3" w:rsidP="00FD47C7">
            <w:pPr>
              <w:jc w:val="center"/>
              <w:rPr>
                <w:rFonts w:ascii="Calibri" w:hAnsi="Calibri" w:cs="Calibri"/>
                <w:sz w:val="18"/>
                <w:szCs w:val="18"/>
              </w:rPr>
            </w:pPr>
            <w:r w:rsidRPr="003D464B">
              <w:rPr>
                <w:rFonts w:ascii="Calibri" w:hAnsi="Calibri" w:cs="Calibri"/>
                <w:sz w:val="18"/>
                <w:szCs w:val="18"/>
              </w:rPr>
              <w:t>180</w:t>
            </w:r>
          </w:p>
        </w:tc>
      </w:tr>
    </w:tbl>
    <w:p w:rsidR="00AD54A3" w:rsidRPr="003D464B" w:rsidRDefault="00AD54A3" w:rsidP="00AD54A3">
      <w:pPr>
        <w:rPr>
          <w:rFonts w:ascii="Calibri" w:hAnsi="Calibri" w:cs="Calibri"/>
        </w:rPr>
      </w:pPr>
    </w:p>
    <w:p w:rsidR="00AD54A3" w:rsidRPr="003D464B" w:rsidRDefault="00AD54A3" w:rsidP="00AD54A3">
      <w:pPr>
        <w:rPr>
          <w:rFonts w:ascii="Calibri" w:hAnsi="Calibri" w:cs="Calibri"/>
        </w:rPr>
      </w:pPr>
      <w:r w:rsidRPr="003D464B">
        <w:rPr>
          <w:rFonts w:ascii="Calibri" w:hAnsi="Calibri" w:cs="Calibri"/>
          <w:b/>
        </w:rPr>
        <w:t>6.5.</w:t>
      </w:r>
      <w:r w:rsidRPr="003D464B">
        <w:rPr>
          <w:rFonts w:ascii="Calibri" w:hAnsi="Calibri" w:cs="Calibri"/>
        </w:rPr>
        <w:t xml:space="preserve"> Zasady postępowania z wadliwie wykonanymi odcinkami podbudowy </w:t>
      </w:r>
    </w:p>
    <w:p w:rsidR="00AD54A3" w:rsidRPr="003D464B" w:rsidRDefault="00AD54A3" w:rsidP="00AD54A3">
      <w:pPr>
        <w:rPr>
          <w:rFonts w:ascii="Calibri" w:hAnsi="Calibri" w:cs="Calibri"/>
        </w:rPr>
      </w:pPr>
      <w:r w:rsidRPr="003D464B">
        <w:rPr>
          <w:rFonts w:ascii="Calibri" w:hAnsi="Calibri" w:cs="Calibri"/>
          <w:b/>
        </w:rPr>
        <w:t>6.5.1.</w:t>
      </w:r>
      <w:r w:rsidRPr="003D464B">
        <w:rPr>
          <w:rFonts w:ascii="Calibri" w:hAnsi="Calibri" w:cs="Calibri"/>
        </w:rPr>
        <w:t xml:space="preserve"> Niewłaściwe cechy geometryczne podbudowy </w:t>
      </w:r>
    </w:p>
    <w:p w:rsidR="00AD54A3" w:rsidRPr="003D464B" w:rsidRDefault="00AD54A3" w:rsidP="00AD54A3">
      <w:pPr>
        <w:rPr>
          <w:rFonts w:ascii="Calibri" w:hAnsi="Calibri" w:cs="Calibri"/>
        </w:rPr>
      </w:pPr>
      <w:r w:rsidRPr="003D464B">
        <w:rPr>
          <w:rFonts w:ascii="Calibri" w:hAnsi="Calibri" w:cs="Calibri"/>
        </w:rPr>
        <w:tab/>
        <w:t>Wszystkie powierzchnie podbudowy, które wykazują większe odchylenia od  określonych w punkcie 6.4 powinny być naprawione przez spulchnienie lub zerwanie do głębokości co najmniej 10 cm, wyrównane i powtórnie zagęszczone. Dodanie nowego materiału bez spulchnienia wykonanej warstwy jest niedopuszczalne.</w:t>
      </w:r>
    </w:p>
    <w:p w:rsidR="00AD54A3" w:rsidRPr="003D464B" w:rsidRDefault="00AD54A3" w:rsidP="00AD54A3">
      <w:pPr>
        <w:rPr>
          <w:rFonts w:ascii="Calibri" w:hAnsi="Calibri" w:cs="Calibri"/>
        </w:rPr>
      </w:pPr>
      <w:r w:rsidRPr="003D464B">
        <w:rPr>
          <w:rFonts w:ascii="Calibri" w:hAnsi="Calibri" w:cs="Calibri"/>
        </w:rPr>
        <w:tab/>
        <w:t>Jeżeli szerokość podbudowy jest mniejsza od szerokości projektowanej o więcej niż 5 cm i nie zapewnia podparcia warstwom wyżej leżącym, to Wykonawca powinien na własny koszt poszerzyć podbudowę przez spulchnienie warstwy na pełną grubość do połowy szerokości pasa ruchu, dołożenie materiału i powtórne zagęszczenie.</w:t>
      </w:r>
    </w:p>
    <w:p w:rsidR="00AD54A3" w:rsidRPr="003D464B" w:rsidRDefault="00AD54A3" w:rsidP="00AD54A3">
      <w:pPr>
        <w:rPr>
          <w:rFonts w:ascii="Calibri" w:hAnsi="Calibri" w:cs="Calibri"/>
        </w:rPr>
      </w:pPr>
      <w:r w:rsidRPr="003D464B">
        <w:rPr>
          <w:rFonts w:ascii="Calibri" w:hAnsi="Calibri" w:cs="Calibri"/>
          <w:b/>
        </w:rPr>
        <w:t>6.5.2.</w:t>
      </w:r>
      <w:r w:rsidRPr="003D464B">
        <w:rPr>
          <w:rFonts w:ascii="Calibri" w:hAnsi="Calibri" w:cs="Calibri"/>
        </w:rPr>
        <w:t xml:space="preserve"> Niewłaściwa grubość podbudowy </w:t>
      </w:r>
    </w:p>
    <w:p w:rsidR="00AD54A3" w:rsidRPr="003D464B" w:rsidRDefault="00AD54A3" w:rsidP="00AD54A3">
      <w:pPr>
        <w:rPr>
          <w:rFonts w:ascii="Calibri" w:hAnsi="Calibri" w:cs="Calibri"/>
        </w:rPr>
      </w:pPr>
      <w:r w:rsidRPr="003D464B">
        <w:rPr>
          <w:rFonts w:ascii="Calibri" w:hAnsi="Calibri" w:cs="Calibri"/>
        </w:rPr>
        <w:tab/>
        <w:t>Na wszystkich powierzchniach wadliwych pod względem grubości, Wykonawca wykona naprawę podbudowy. Powierzchnie powinny być naprawione przez spulchnienie lub wybranie warstwy na odpowiednią głębokość, zgodnie z decyzją Inżyniera, uzupełnione nowym materiałem o odpowiednich właściwościach, wyrównane i ponownie zagęszczone.</w:t>
      </w:r>
    </w:p>
    <w:p w:rsidR="00AD54A3" w:rsidRPr="003D464B" w:rsidRDefault="00AD54A3" w:rsidP="00AD54A3">
      <w:pPr>
        <w:rPr>
          <w:rFonts w:ascii="Calibri" w:hAnsi="Calibri" w:cs="Calibri"/>
        </w:rPr>
      </w:pPr>
      <w:r w:rsidRPr="003D464B">
        <w:rPr>
          <w:rFonts w:ascii="Calibri" w:hAnsi="Calibri" w:cs="Calibri"/>
        </w:rPr>
        <w:t>Roboty te Wykonawca wykona na własny koszt. Po wykonaniu tych robót nastąpi ponowny pomiar i ocena grubości warstwy, według wyżej podanych zasad, na koszt Wykonawcy.</w:t>
      </w:r>
    </w:p>
    <w:p w:rsidR="00054F0C" w:rsidRDefault="00054F0C" w:rsidP="00AD54A3">
      <w:pPr>
        <w:rPr>
          <w:rFonts w:ascii="Calibri" w:hAnsi="Calibri" w:cs="Calibri"/>
          <w:b/>
        </w:rPr>
      </w:pPr>
    </w:p>
    <w:p w:rsidR="00054F0C" w:rsidRDefault="00054F0C" w:rsidP="00AD54A3">
      <w:pPr>
        <w:rPr>
          <w:rFonts w:ascii="Calibri" w:hAnsi="Calibri" w:cs="Calibri"/>
          <w:b/>
        </w:rPr>
      </w:pPr>
    </w:p>
    <w:p w:rsidR="00AD54A3" w:rsidRPr="003D464B" w:rsidRDefault="00AD54A3" w:rsidP="00AD54A3">
      <w:pPr>
        <w:rPr>
          <w:rFonts w:ascii="Calibri" w:hAnsi="Calibri" w:cs="Calibri"/>
        </w:rPr>
      </w:pPr>
      <w:r w:rsidRPr="003D464B">
        <w:rPr>
          <w:rFonts w:ascii="Calibri" w:hAnsi="Calibri" w:cs="Calibri"/>
          <w:b/>
        </w:rPr>
        <w:lastRenderedPageBreak/>
        <w:t>6.5.3.</w:t>
      </w:r>
      <w:r w:rsidRPr="003D464B">
        <w:rPr>
          <w:rFonts w:ascii="Calibri" w:hAnsi="Calibri" w:cs="Calibri"/>
        </w:rPr>
        <w:t xml:space="preserve"> Niewłaściwa nośność podbudowy </w:t>
      </w:r>
    </w:p>
    <w:p w:rsidR="00AD54A3" w:rsidRPr="003D464B" w:rsidRDefault="00AD54A3" w:rsidP="00AD54A3">
      <w:pPr>
        <w:rPr>
          <w:rFonts w:ascii="Calibri" w:hAnsi="Calibri" w:cs="Calibri"/>
        </w:rPr>
      </w:pPr>
      <w:r w:rsidRPr="003D464B">
        <w:rPr>
          <w:rFonts w:ascii="Calibri" w:hAnsi="Calibri" w:cs="Calibri"/>
        </w:rPr>
        <w:tab/>
        <w:t>Jeżeli nośność podbudowy będzie mniejsza od wymaganej, to Wykonawca wykona wszelkie roboty niezbędne do zapewnienia wymaganej nośności, zalecone przez Inżyniera.</w:t>
      </w:r>
    </w:p>
    <w:p w:rsidR="00AD54A3" w:rsidRPr="003D464B" w:rsidRDefault="00AD54A3" w:rsidP="00AD54A3">
      <w:pPr>
        <w:rPr>
          <w:rFonts w:ascii="Calibri" w:hAnsi="Calibri" w:cs="Calibri"/>
        </w:rPr>
      </w:pPr>
      <w:r w:rsidRPr="003D464B">
        <w:rPr>
          <w:rFonts w:ascii="Calibri" w:hAnsi="Calibri" w:cs="Calibri"/>
        </w:rPr>
        <w:tab/>
        <w:t>Koszty tych dodatkowych robót poniesie Wykonawca podbudowy tylko wtedy, gdy zaniżenie nośności podbudowy wynikło z niewłaściwego wykonania robót przez Wykonawcę podbudowy.</w:t>
      </w:r>
    </w:p>
    <w:p w:rsidR="00AD54A3" w:rsidRPr="003D464B" w:rsidRDefault="00AD54A3" w:rsidP="00AD54A3">
      <w:pPr>
        <w:rPr>
          <w:rFonts w:ascii="Calibri" w:hAnsi="Calibri" w:cs="Calibri"/>
        </w:rPr>
      </w:pPr>
    </w:p>
    <w:p w:rsidR="00AD54A3" w:rsidRPr="003D464B" w:rsidRDefault="00AD54A3" w:rsidP="00AD54A3">
      <w:pPr>
        <w:rPr>
          <w:rFonts w:ascii="Calibri" w:hAnsi="Calibri" w:cs="Calibri"/>
          <w:b/>
        </w:rPr>
      </w:pPr>
      <w:bookmarkStart w:id="1381" w:name="_Toc418394443"/>
      <w:bookmarkStart w:id="1382" w:name="_Toc423845944"/>
      <w:r w:rsidRPr="003D464B">
        <w:rPr>
          <w:rFonts w:ascii="Calibri" w:hAnsi="Calibri" w:cs="Calibri"/>
          <w:b/>
        </w:rPr>
        <w:t>7. OBMIAR ROBÓT</w:t>
      </w:r>
      <w:bookmarkEnd w:id="1381"/>
      <w:bookmarkEnd w:id="1382"/>
    </w:p>
    <w:p w:rsidR="00AD54A3" w:rsidRPr="003D464B" w:rsidRDefault="00AD54A3" w:rsidP="00AD54A3">
      <w:pPr>
        <w:rPr>
          <w:rFonts w:ascii="Calibri" w:hAnsi="Calibri" w:cs="Calibri"/>
        </w:rPr>
      </w:pPr>
      <w:r w:rsidRPr="003D464B">
        <w:rPr>
          <w:rFonts w:ascii="Calibri" w:hAnsi="Calibri" w:cs="Calibri"/>
          <w:b/>
        </w:rPr>
        <w:t>7.1.</w:t>
      </w:r>
      <w:r w:rsidRPr="003D464B">
        <w:rPr>
          <w:rFonts w:ascii="Calibri" w:hAnsi="Calibri" w:cs="Calibri"/>
        </w:rPr>
        <w:t xml:space="preserve"> Ogólne zasady obmiaru robót</w:t>
      </w:r>
    </w:p>
    <w:p w:rsidR="00AD54A3" w:rsidRPr="003D464B" w:rsidRDefault="00AD54A3" w:rsidP="00AD54A3">
      <w:pPr>
        <w:rPr>
          <w:rFonts w:ascii="Calibri" w:hAnsi="Calibri" w:cs="Calibri"/>
        </w:rPr>
      </w:pPr>
      <w:r w:rsidRPr="003D464B">
        <w:rPr>
          <w:rFonts w:ascii="Calibri" w:hAnsi="Calibri" w:cs="Calibri"/>
        </w:rPr>
        <w:tab/>
        <w:t>Ogólne zasady obmiaru robót podano w ST D-M-00.00.00 „Wymagania ogólne” pkt 7.</w:t>
      </w:r>
    </w:p>
    <w:p w:rsidR="00DC63C2" w:rsidRDefault="00DC63C2" w:rsidP="00AD54A3">
      <w:pPr>
        <w:rPr>
          <w:rFonts w:ascii="Calibri" w:hAnsi="Calibri" w:cs="Calibri"/>
          <w:b/>
        </w:rPr>
      </w:pPr>
    </w:p>
    <w:p w:rsidR="00AD54A3" w:rsidRPr="003D464B" w:rsidRDefault="00AD54A3" w:rsidP="00AD54A3">
      <w:pPr>
        <w:rPr>
          <w:rFonts w:ascii="Calibri" w:hAnsi="Calibri" w:cs="Calibri"/>
        </w:rPr>
      </w:pPr>
      <w:r w:rsidRPr="003D464B">
        <w:rPr>
          <w:rFonts w:ascii="Calibri" w:hAnsi="Calibri" w:cs="Calibri"/>
          <w:b/>
        </w:rPr>
        <w:t>7.2.</w:t>
      </w:r>
      <w:r w:rsidRPr="003D464B">
        <w:rPr>
          <w:rFonts w:ascii="Calibri" w:hAnsi="Calibri" w:cs="Calibri"/>
        </w:rPr>
        <w:t xml:space="preserve"> Jednostka obmiarowa</w:t>
      </w:r>
    </w:p>
    <w:p w:rsidR="00AD54A3" w:rsidRPr="003D464B" w:rsidRDefault="00AD54A3" w:rsidP="00AD54A3">
      <w:pPr>
        <w:rPr>
          <w:rFonts w:ascii="Calibri" w:hAnsi="Calibri" w:cs="Calibri"/>
        </w:rPr>
      </w:pPr>
      <w:r w:rsidRPr="003D464B">
        <w:rPr>
          <w:rFonts w:ascii="Calibri" w:hAnsi="Calibri" w:cs="Calibri"/>
        </w:rPr>
        <w:tab/>
        <w:t>J</w:t>
      </w:r>
      <w:r>
        <w:rPr>
          <w:rFonts w:ascii="Calibri" w:hAnsi="Calibri" w:cs="Calibri"/>
        </w:rPr>
        <w:t>ednostką obmiarową jest 1</w:t>
      </w:r>
      <w:r w:rsidRPr="003D464B">
        <w:rPr>
          <w:rFonts w:ascii="Calibri" w:hAnsi="Calibri" w:cs="Calibri"/>
        </w:rPr>
        <w:t xml:space="preserve"> m2 (metr kwadratowy) podbudowy  z kruszywa stabilizowanego mechanicznie.</w:t>
      </w:r>
    </w:p>
    <w:p w:rsidR="00AD54A3" w:rsidRPr="003D464B" w:rsidRDefault="00AD54A3" w:rsidP="00AD54A3">
      <w:pPr>
        <w:rPr>
          <w:rFonts w:ascii="Calibri" w:hAnsi="Calibri" w:cs="Calibri"/>
        </w:rPr>
      </w:pPr>
    </w:p>
    <w:p w:rsidR="00AD54A3" w:rsidRPr="003D464B" w:rsidRDefault="00AD54A3" w:rsidP="00AD54A3">
      <w:pPr>
        <w:rPr>
          <w:rFonts w:ascii="Calibri" w:hAnsi="Calibri" w:cs="Calibri"/>
          <w:b/>
        </w:rPr>
      </w:pPr>
      <w:bookmarkStart w:id="1383" w:name="_Toc418394444"/>
      <w:bookmarkStart w:id="1384" w:name="_Toc423845945"/>
      <w:r w:rsidRPr="003D464B">
        <w:rPr>
          <w:rFonts w:ascii="Calibri" w:hAnsi="Calibri" w:cs="Calibri"/>
          <w:b/>
        </w:rPr>
        <w:t>8. ODBIÓR ROBÓT</w:t>
      </w:r>
      <w:bookmarkEnd w:id="1383"/>
      <w:bookmarkEnd w:id="1384"/>
    </w:p>
    <w:p w:rsidR="00AD54A3" w:rsidRPr="003D464B" w:rsidRDefault="00AD54A3" w:rsidP="00AD54A3">
      <w:pPr>
        <w:rPr>
          <w:rFonts w:ascii="Calibri" w:hAnsi="Calibri" w:cs="Calibri"/>
        </w:rPr>
      </w:pPr>
      <w:r w:rsidRPr="003D464B">
        <w:rPr>
          <w:rFonts w:ascii="Calibri" w:hAnsi="Calibri" w:cs="Calibri"/>
        </w:rPr>
        <w:tab/>
        <w:t>Ogólne zasady odbioru robót podano w ST D-M-00.00.00 „Wymagania ogólne” pkt 8.</w:t>
      </w:r>
    </w:p>
    <w:p w:rsidR="00AD54A3" w:rsidRPr="003D464B" w:rsidRDefault="00AD54A3" w:rsidP="00AD54A3">
      <w:pPr>
        <w:rPr>
          <w:rFonts w:ascii="Calibri" w:hAnsi="Calibri" w:cs="Calibri"/>
        </w:rPr>
      </w:pPr>
      <w:r w:rsidRPr="003D464B">
        <w:rPr>
          <w:rFonts w:ascii="Calibri" w:hAnsi="Calibri" w:cs="Calibri"/>
        </w:rPr>
        <w:tab/>
        <w:t>Roboty uznaje się za zgodne z dokumentacją projektową, ST i wymaganiami Inżyniera, jeżeli wszystkie pomiary i badania z zachowaniem tolerancji wg pkt 6 dały wyniki pozytywne.</w:t>
      </w:r>
    </w:p>
    <w:p w:rsidR="00AD54A3" w:rsidRPr="003D464B" w:rsidRDefault="00AD54A3" w:rsidP="00AD54A3">
      <w:pPr>
        <w:rPr>
          <w:rFonts w:ascii="Calibri" w:hAnsi="Calibri" w:cs="Calibri"/>
        </w:rPr>
      </w:pPr>
    </w:p>
    <w:p w:rsidR="00AD54A3" w:rsidRPr="003D464B" w:rsidRDefault="00AD54A3" w:rsidP="00AD54A3">
      <w:pPr>
        <w:rPr>
          <w:rFonts w:ascii="Calibri" w:hAnsi="Calibri" w:cs="Calibri"/>
          <w:b/>
        </w:rPr>
      </w:pPr>
      <w:bookmarkStart w:id="1385" w:name="_Toc418394445"/>
      <w:bookmarkStart w:id="1386" w:name="_Toc423845946"/>
      <w:r w:rsidRPr="003D464B">
        <w:rPr>
          <w:rFonts w:ascii="Calibri" w:hAnsi="Calibri" w:cs="Calibri"/>
          <w:b/>
        </w:rPr>
        <w:t>9. PODSTAWA PŁATNOŚCI</w:t>
      </w:r>
      <w:bookmarkEnd w:id="1385"/>
      <w:bookmarkEnd w:id="1386"/>
    </w:p>
    <w:p w:rsidR="00AD54A3" w:rsidRPr="003D464B" w:rsidRDefault="00AD54A3" w:rsidP="00AD54A3">
      <w:pPr>
        <w:rPr>
          <w:rFonts w:ascii="Calibri" w:hAnsi="Calibri" w:cs="Calibri"/>
        </w:rPr>
      </w:pPr>
      <w:r w:rsidRPr="003D464B">
        <w:rPr>
          <w:rFonts w:ascii="Calibri" w:hAnsi="Calibri" w:cs="Calibri"/>
          <w:b/>
        </w:rPr>
        <w:t>9.1.</w:t>
      </w:r>
      <w:r w:rsidRPr="003D464B">
        <w:rPr>
          <w:rFonts w:ascii="Calibri" w:hAnsi="Calibri" w:cs="Calibri"/>
        </w:rPr>
        <w:t xml:space="preserve"> Ogólne ustalenia dotyczące podstawy płatności</w:t>
      </w:r>
    </w:p>
    <w:p w:rsidR="00AD54A3" w:rsidRPr="003D464B" w:rsidRDefault="00AD54A3" w:rsidP="00AD54A3">
      <w:pPr>
        <w:rPr>
          <w:rFonts w:ascii="Calibri" w:hAnsi="Calibri" w:cs="Calibri"/>
        </w:rPr>
      </w:pPr>
      <w:r w:rsidRPr="003D464B">
        <w:rPr>
          <w:rFonts w:ascii="Calibri" w:hAnsi="Calibri" w:cs="Calibri"/>
        </w:rPr>
        <w:tab/>
        <w:t>Ogólne ustalenia dotyczące podstawy płatności podano w ST D-M-00.00.00 „Wymagania ogólne” pkt 9.</w:t>
      </w:r>
    </w:p>
    <w:p w:rsidR="00AD54A3" w:rsidRPr="003D464B" w:rsidRDefault="00AD54A3" w:rsidP="00AD54A3">
      <w:pPr>
        <w:rPr>
          <w:rFonts w:ascii="Calibri" w:hAnsi="Calibri" w:cs="Calibri"/>
        </w:rPr>
      </w:pPr>
      <w:r w:rsidRPr="003D464B">
        <w:rPr>
          <w:rFonts w:ascii="Calibri" w:hAnsi="Calibri" w:cs="Calibri"/>
          <w:b/>
        </w:rPr>
        <w:t>9.2.</w:t>
      </w:r>
      <w:r w:rsidRPr="003D464B">
        <w:rPr>
          <w:rFonts w:ascii="Calibri" w:hAnsi="Calibri" w:cs="Calibri"/>
        </w:rPr>
        <w:t xml:space="preserve"> Cena jednostki obmiarowej</w:t>
      </w:r>
    </w:p>
    <w:p w:rsidR="00AD54A3" w:rsidRPr="003D464B" w:rsidRDefault="00AD54A3" w:rsidP="00AD54A3">
      <w:pPr>
        <w:rPr>
          <w:rFonts w:ascii="Calibri" w:hAnsi="Calibri" w:cs="Calibri"/>
        </w:rPr>
      </w:pPr>
      <w:r w:rsidRPr="003D464B">
        <w:rPr>
          <w:rFonts w:ascii="Calibri" w:hAnsi="Calibri" w:cs="Calibri"/>
        </w:rPr>
        <w:tab/>
        <w:t>Zakres czynności objętych ceną jednostkową 1 m2 podbudowy z kruszywa stabilizowanego mechanicznie, podano w ST D-04.04.02 Podbudowa z kruszywa łamanego stabilizowanego mechanicznie.</w:t>
      </w:r>
    </w:p>
    <w:p w:rsidR="00AD54A3" w:rsidRPr="003D464B" w:rsidRDefault="00AD54A3" w:rsidP="00AD54A3">
      <w:pPr>
        <w:rPr>
          <w:rFonts w:ascii="Calibri" w:hAnsi="Calibri" w:cs="Calibri"/>
        </w:rPr>
      </w:pPr>
    </w:p>
    <w:p w:rsidR="00AD54A3" w:rsidRPr="003D464B" w:rsidRDefault="00AD54A3" w:rsidP="00AD54A3">
      <w:pPr>
        <w:rPr>
          <w:rFonts w:ascii="Calibri" w:hAnsi="Calibri" w:cs="Calibri"/>
          <w:b/>
        </w:rPr>
      </w:pPr>
      <w:r w:rsidRPr="003D464B">
        <w:rPr>
          <w:rFonts w:ascii="Calibri" w:hAnsi="Calibri" w:cs="Calibri"/>
          <w:b/>
        </w:rPr>
        <w:t>10. PRZEPISY ZWIĄZANE</w:t>
      </w:r>
    </w:p>
    <w:p w:rsidR="00AD54A3" w:rsidRPr="003D464B" w:rsidRDefault="00AD54A3" w:rsidP="00AD54A3">
      <w:pPr>
        <w:rPr>
          <w:rFonts w:ascii="Calibri" w:hAnsi="Calibri" w:cs="Calibri"/>
        </w:rPr>
      </w:pPr>
      <w:r w:rsidRPr="003D464B">
        <w:rPr>
          <w:rFonts w:ascii="Calibri" w:hAnsi="Calibri" w:cs="Calibri"/>
          <w:b/>
        </w:rPr>
        <w:t>10.1.</w:t>
      </w:r>
      <w:r w:rsidRPr="003D464B">
        <w:rPr>
          <w:rFonts w:ascii="Calibri" w:hAnsi="Calibri" w:cs="Calibri"/>
        </w:rPr>
        <w:t xml:space="preserve"> Normy</w:t>
      </w:r>
    </w:p>
    <w:tbl>
      <w:tblPr>
        <w:tblW w:w="0" w:type="auto"/>
        <w:tblLayout w:type="fixed"/>
        <w:tblCellMar>
          <w:left w:w="70" w:type="dxa"/>
          <w:right w:w="70" w:type="dxa"/>
        </w:tblCellMar>
        <w:tblLook w:val="0000"/>
      </w:tblPr>
      <w:tblGrid>
        <w:gridCol w:w="637"/>
        <w:gridCol w:w="1701"/>
        <w:gridCol w:w="5171"/>
      </w:tblGrid>
      <w:tr w:rsidR="00AD54A3" w:rsidRPr="003D464B" w:rsidTr="00FD47C7">
        <w:tc>
          <w:tcPr>
            <w:tcW w:w="637" w:type="dxa"/>
          </w:tcPr>
          <w:p w:rsidR="00AD54A3" w:rsidRPr="003D464B" w:rsidRDefault="00AD54A3" w:rsidP="00FD47C7">
            <w:pPr>
              <w:rPr>
                <w:rFonts w:ascii="Calibri" w:hAnsi="Calibri" w:cs="Calibri"/>
              </w:rPr>
            </w:pPr>
            <w:r w:rsidRPr="003D464B">
              <w:rPr>
                <w:rFonts w:ascii="Calibri" w:hAnsi="Calibri" w:cs="Calibri"/>
              </w:rPr>
              <w:t xml:space="preserve">  1.</w:t>
            </w:r>
          </w:p>
        </w:tc>
        <w:tc>
          <w:tcPr>
            <w:tcW w:w="1701" w:type="dxa"/>
          </w:tcPr>
          <w:p w:rsidR="00AD54A3" w:rsidRPr="003D464B" w:rsidRDefault="00AD54A3" w:rsidP="00FD47C7">
            <w:pPr>
              <w:rPr>
                <w:rFonts w:ascii="Calibri" w:hAnsi="Calibri" w:cs="Calibri"/>
              </w:rPr>
            </w:pPr>
            <w:r w:rsidRPr="003D464B">
              <w:rPr>
                <w:rFonts w:ascii="Calibri" w:hAnsi="Calibri" w:cs="Calibri"/>
              </w:rPr>
              <w:t>PN-B-04481</w:t>
            </w:r>
          </w:p>
        </w:tc>
        <w:tc>
          <w:tcPr>
            <w:tcW w:w="5171" w:type="dxa"/>
          </w:tcPr>
          <w:p w:rsidR="00AD54A3" w:rsidRPr="003D464B" w:rsidRDefault="00AD54A3" w:rsidP="00FD47C7">
            <w:pPr>
              <w:rPr>
                <w:rFonts w:ascii="Calibri" w:hAnsi="Calibri" w:cs="Calibri"/>
              </w:rPr>
            </w:pPr>
            <w:r w:rsidRPr="003D464B">
              <w:rPr>
                <w:rFonts w:ascii="Calibri" w:hAnsi="Calibri" w:cs="Calibri"/>
              </w:rPr>
              <w:t>Grunty budowlane. Badania próbek gruntu</w:t>
            </w:r>
          </w:p>
        </w:tc>
      </w:tr>
      <w:tr w:rsidR="00AD54A3" w:rsidRPr="003D464B" w:rsidTr="00FD47C7">
        <w:tc>
          <w:tcPr>
            <w:tcW w:w="637" w:type="dxa"/>
          </w:tcPr>
          <w:p w:rsidR="00AD54A3" w:rsidRPr="003D464B" w:rsidRDefault="00AD54A3" w:rsidP="00FD47C7">
            <w:pPr>
              <w:rPr>
                <w:rFonts w:ascii="Calibri" w:hAnsi="Calibri" w:cs="Calibri"/>
              </w:rPr>
            </w:pPr>
            <w:r w:rsidRPr="003D464B">
              <w:rPr>
                <w:rFonts w:ascii="Calibri" w:hAnsi="Calibri" w:cs="Calibri"/>
              </w:rPr>
              <w:t xml:space="preserve">  2.</w:t>
            </w:r>
          </w:p>
        </w:tc>
        <w:tc>
          <w:tcPr>
            <w:tcW w:w="1701" w:type="dxa"/>
          </w:tcPr>
          <w:p w:rsidR="00AD54A3" w:rsidRPr="003D464B" w:rsidRDefault="00AD54A3" w:rsidP="00FD47C7">
            <w:pPr>
              <w:rPr>
                <w:rFonts w:ascii="Calibri" w:hAnsi="Calibri" w:cs="Calibri"/>
              </w:rPr>
            </w:pPr>
            <w:r w:rsidRPr="003D464B">
              <w:rPr>
                <w:rFonts w:ascii="Calibri" w:hAnsi="Calibri" w:cs="Calibri"/>
              </w:rPr>
              <w:t>PN-B-06714-12</w:t>
            </w:r>
          </w:p>
        </w:tc>
        <w:tc>
          <w:tcPr>
            <w:tcW w:w="5171" w:type="dxa"/>
          </w:tcPr>
          <w:p w:rsidR="00AD54A3" w:rsidRPr="003D464B" w:rsidRDefault="00AD54A3" w:rsidP="00FD47C7">
            <w:pPr>
              <w:rPr>
                <w:rFonts w:ascii="Calibri" w:hAnsi="Calibri" w:cs="Calibri"/>
              </w:rPr>
            </w:pPr>
            <w:r w:rsidRPr="003D464B">
              <w:rPr>
                <w:rFonts w:ascii="Calibri" w:hAnsi="Calibri" w:cs="Calibri"/>
              </w:rPr>
              <w:t>Kruszywa mineralne. Badania. Oznaczanie zawartości zanieczyszczeń obcych</w:t>
            </w:r>
          </w:p>
        </w:tc>
      </w:tr>
      <w:tr w:rsidR="00AD54A3" w:rsidRPr="003D464B" w:rsidTr="00FD47C7">
        <w:tc>
          <w:tcPr>
            <w:tcW w:w="637" w:type="dxa"/>
          </w:tcPr>
          <w:p w:rsidR="00AD54A3" w:rsidRPr="003D464B" w:rsidRDefault="00AD54A3" w:rsidP="00FD47C7">
            <w:pPr>
              <w:rPr>
                <w:rFonts w:ascii="Calibri" w:hAnsi="Calibri" w:cs="Calibri"/>
              </w:rPr>
            </w:pPr>
            <w:r w:rsidRPr="003D464B">
              <w:rPr>
                <w:rFonts w:ascii="Calibri" w:hAnsi="Calibri" w:cs="Calibri"/>
              </w:rPr>
              <w:t xml:space="preserve">  3.</w:t>
            </w:r>
          </w:p>
        </w:tc>
        <w:tc>
          <w:tcPr>
            <w:tcW w:w="1701" w:type="dxa"/>
          </w:tcPr>
          <w:p w:rsidR="00AD54A3" w:rsidRPr="003D464B" w:rsidRDefault="00AD54A3" w:rsidP="00FD47C7">
            <w:pPr>
              <w:rPr>
                <w:rFonts w:ascii="Calibri" w:hAnsi="Calibri" w:cs="Calibri"/>
              </w:rPr>
            </w:pPr>
            <w:r w:rsidRPr="003D464B">
              <w:rPr>
                <w:rFonts w:ascii="Calibri" w:hAnsi="Calibri" w:cs="Calibri"/>
              </w:rPr>
              <w:t>PN-B-06714-15</w:t>
            </w:r>
          </w:p>
        </w:tc>
        <w:tc>
          <w:tcPr>
            <w:tcW w:w="5171" w:type="dxa"/>
          </w:tcPr>
          <w:p w:rsidR="00AD54A3" w:rsidRPr="003D464B" w:rsidRDefault="00AD54A3" w:rsidP="00FD47C7">
            <w:pPr>
              <w:rPr>
                <w:rFonts w:ascii="Calibri" w:hAnsi="Calibri" w:cs="Calibri"/>
              </w:rPr>
            </w:pPr>
            <w:r w:rsidRPr="003D464B">
              <w:rPr>
                <w:rFonts w:ascii="Calibri" w:hAnsi="Calibri" w:cs="Calibri"/>
              </w:rPr>
              <w:t>Kruszywa mineralne. Badania. Oznaczanie składu ziarnowego</w:t>
            </w:r>
          </w:p>
        </w:tc>
      </w:tr>
      <w:tr w:rsidR="00AD54A3" w:rsidRPr="003D464B" w:rsidTr="00FD47C7">
        <w:tc>
          <w:tcPr>
            <w:tcW w:w="637" w:type="dxa"/>
          </w:tcPr>
          <w:p w:rsidR="00AD54A3" w:rsidRPr="003D464B" w:rsidRDefault="00AD54A3" w:rsidP="00FD47C7">
            <w:pPr>
              <w:rPr>
                <w:rFonts w:ascii="Calibri" w:hAnsi="Calibri" w:cs="Calibri"/>
              </w:rPr>
            </w:pPr>
            <w:r w:rsidRPr="003D464B">
              <w:rPr>
                <w:rFonts w:ascii="Calibri" w:hAnsi="Calibri" w:cs="Calibri"/>
              </w:rPr>
              <w:t xml:space="preserve">  4.</w:t>
            </w:r>
          </w:p>
        </w:tc>
        <w:tc>
          <w:tcPr>
            <w:tcW w:w="1701" w:type="dxa"/>
          </w:tcPr>
          <w:p w:rsidR="00AD54A3" w:rsidRPr="003D464B" w:rsidRDefault="00AD54A3" w:rsidP="00FD47C7">
            <w:pPr>
              <w:rPr>
                <w:rFonts w:ascii="Calibri" w:hAnsi="Calibri" w:cs="Calibri"/>
              </w:rPr>
            </w:pPr>
            <w:r w:rsidRPr="003D464B">
              <w:rPr>
                <w:rFonts w:ascii="Calibri" w:hAnsi="Calibri" w:cs="Calibri"/>
              </w:rPr>
              <w:t>PN-B-06714-16</w:t>
            </w:r>
          </w:p>
        </w:tc>
        <w:tc>
          <w:tcPr>
            <w:tcW w:w="5171" w:type="dxa"/>
          </w:tcPr>
          <w:p w:rsidR="00AD54A3" w:rsidRPr="003D464B" w:rsidRDefault="00AD54A3" w:rsidP="00FD47C7">
            <w:pPr>
              <w:rPr>
                <w:rFonts w:ascii="Calibri" w:hAnsi="Calibri" w:cs="Calibri"/>
              </w:rPr>
            </w:pPr>
            <w:r w:rsidRPr="003D464B">
              <w:rPr>
                <w:rFonts w:ascii="Calibri" w:hAnsi="Calibri" w:cs="Calibri"/>
              </w:rPr>
              <w:t>Kruszywa mineralne. Badania. Oznaczanie kształtu ziarn</w:t>
            </w:r>
          </w:p>
        </w:tc>
      </w:tr>
      <w:tr w:rsidR="00AD54A3" w:rsidRPr="003D464B" w:rsidTr="00FD47C7">
        <w:tc>
          <w:tcPr>
            <w:tcW w:w="637" w:type="dxa"/>
          </w:tcPr>
          <w:p w:rsidR="00AD54A3" w:rsidRPr="003D464B" w:rsidRDefault="00AD54A3" w:rsidP="00FD47C7">
            <w:pPr>
              <w:rPr>
                <w:rFonts w:ascii="Calibri" w:hAnsi="Calibri" w:cs="Calibri"/>
              </w:rPr>
            </w:pPr>
            <w:r w:rsidRPr="003D464B">
              <w:rPr>
                <w:rFonts w:ascii="Calibri" w:hAnsi="Calibri" w:cs="Calibri"/>
              </w:rPr>
              <w:t xml:space="preserve">  5.</w:t>
            </w:r>
          </w:p>
        </w:tc>
        <w:tc>
          <w:tcPr>
            <w:tcW w:w="1701" w:type="dxa"/>
          </w:tcPr>
          <w:p w:rsidR="00AD54A3" w:rsidRPr="003D464B" w:rsidRDefault="00AD54A3" w:rsidP="00FD47C7">
            <w:pPr>
              <w:rPr>
                <w:rFonts w:ascii="Calibri" w:hAnsi="Calibri" w:cs="Calibri"/>
              </w:rPr>
            </w:pPr>
            <w:r w:rsidRPr="003D464B">
              <w:rPr>
                <w:rFonts w:ascii="Calibri" w:hAnsi="Calibri" w:cs="Calibri"/>
              </w:rPr>
              <w:t>PN-B-06714-17</w:t>
            </w:r>
          </w:p>
        </w:tc>
        <w:tc>
          <w:tcPr>
            <w:tcW w:w="5171" w:type="dxa"/>
          </w:tcPr>
          <w:p w:rsidR="00AD54A3" w:rsidRPr="003D464B" w:rsidRDefault="00AD54A3" w:rsidP="00FD47C7">
            <w:pPr>
              <w:rPr>
                <w:rFonts w:ascii="Calibri" w:hAnsi="Calibri" w:cs="Calibri"/>
              </w:rPr>
            </w:pPr>
            <w:r w:rsidRPr="003D464B">
              <w:rPr>
                <w:rFonts w:ascii="Calibri" w:hAnsi="Calibri" w:cs="Calibri"/>
              </w:rPr>
              <w:t>Kruszywa mineralne. Badania. Oznaczanie wilgotności</w:t>
            </w:r>
          </w:p>
        </w:tc>
      </w:tr>
      <w:tr w:rsidR="00AD54A3" w:rsidRPr="003D464B" w:rsidTr="00FD47C7">
        <w:tc>
          <w:tcPr>
            <w:tcW w:w="637" w:type="dxa"/>
          </w:tcPr>
          <w:p w:rsidR="00AD54A3" w:rsidRPr="003D464B" w:rsidRDefault="00AD54A3" w:rsidP="00FD47C7">
            <w:pPr>
              <w:rPr>
                <w:rFonts w:ascii="Calibri" w:hAnsi="Calibri" w:cs="Calibri"/>
              </w:rPr>
            </w:pPr>
            <w:r w:rsidRPr="003D464B">
              <w:rPr>
                <w:rFonts w:ascii="Calibri" w:hAnsi="Calibri" w:cs="Calibri"/>
              </w:rPr>
              <w:t xml:space="preserve">  6.</w:t>
            </w:r>
          </w:p>
        </w:tc>
        <w:tc>
          <w:tcPr>
            <w:tcW w:w="1701" w:type="dxa"/>
          </w:tcPr>
          <w:p w:rsidR="00AD54A3" w:rsidRPr="003D464B" w:rsidRDefault="00AD54A3" w:rsidP="00FD47C7">
            <w:pPr>
              <w:rPr>
                <w:rFonts w:ascii="Calibri" w:hAnsi="Calibri" w:cs="Calibri"/>
              </w:rPr>
            </w:pPr>
            <w:r w:rsidRPr="003D464B">
              <w:rPr>
                <w:rFonts w:ascii="Calibri" w:hAnsi="Calibri" w:cs="Calibri"/>
              </w:rPr>
              <w:t>PN-B-06714-18</w:t>
            </w:r>
          </w:p>
        </w:tc>
        <w:tc>
          <w:tcPr>
            <w:tcW w:w="5171" w:type="dxa"/>
          </w:tcPr>
          <w:p w:rsidR="00AD54A3" w:rsidRPr="003D464B" w:rsidRDefault="00AD54A3" w:rsidP="00FD47C7">
            <w:pPr>
              <w:rPr>
                <w:rFonts w:ascii="Calibri" w:hAnsi="Calibri" w:cs="Calibri"/>
              </w:rPr>
            </w:pPr>
            <w:r w:rsidRPr="003D464B">
              <w:rPr>
                <w:rFonts w:ascii="Calibri" w:hAnsi="Calibri" w:cs="Calibri"/>
              </w:rPr>
              <w:t>Kruszywa mineralne. Badania. Oznaczanie nasiąkliwości</w:t>
            </w:r>
          </w:p>
        </w:tc>
      </w:tr>
      <w:tr w:rsidR="00AD54A3" w:rsidRPr="003D464B" w:rsidTr="00FD47C7">
        <w:tc>
          <w:tcPr>
            <w:tcW w:w="637" w:type="dxa"/>
          </w:tcPr>
          <w:p w:rsidR="00AD54A3" w:rsidRPr="003D464B" w:rsidRDefault="00AD54A3" w:rsidP="00FD47C7">
            <w:pPr>
              <w:rPr>
                <w:rFonts w:ascii="Calibri" w:hAnsi="Calibri" w:cs="Calibri"/>
              </w:rPr>
            </w:pPr>
            <w:r w:rsidRPr="003D464B">
              <w:rPr>
                <w:rFonts w:ascii="Calibri" w:hAnsi="Calibri" w:cs="Calibri"/>
              </w:rPr>
              <w:t xml:space="preserve">  7.</w:t>
            </w:r>
          </w:p>
        </w:tc>
        <w:tc>
          <w:tcPr>
            <w:tcW w:w="1701" w:type="dxa"/>
          </w:tcPr>
          <w:p w:rsidR="00AD54A3" w:rsidRPr="003D464B" w:rsidRDefault="00AD54A3" w:rsidP="00FD47C7">
            <w:pPr>
              <w:rPr>
                <w:rFonts w:ascii="Calibri" w:hAnsi="Calibri" w:cs="Calibri"/>
              </w:rPr>
            </w:pPr>
            <w:r w:rsidRPr="003D464B">
              <w:rPr>
                <w:rFonts w:ascii="Calibri" w:hAnsi="Calibri" w:cs="Calibri"/>
              </w:rPr>
              <w:t>PN-B-06714-19</w:t>
            </w:r>
          </w:p>
        </w:tc>
        <w:tc>
          <w:tcPr>
            <w:tcW w:w="5171" w:type="dxa"/>
          </w:tcPr>
          <w:p w:rsidR="00AD54A3" w:rsidRPr="003D464B" w:rsidRDefault="00AD54A3" w:rsidP="00FD47C7">
            <w:pPr>
              <w:rPr>
                <w:rFonts w:ascii="Calibri" w:hAnsi="Calibri" w:cs="Calibri"/>
              </w:rPr>
            </w:pPr>
            <w:r w:rsidRPr="003D464B">
              <w:rPr>
                <w:rFonts w:ascii="Calibri" w:hAnsi="Calibri" w:cs="Calibri"/>
              </w:rPr>
              <w:t>Kruszywa mineralne. Badania. Oznaczanie mrozoodporności metodą bezpośrednią</w:t>
            </w:r>
          </w:p>
        </w:tc>
      </w:tr>
      <w:tr w:rsidR="00AD54A3" w:rsidRPr="003D464B" w:rsidTr="00FD47C7">
        <w:tc>
          <w:tcPr>
            <w:tcW w:w="637" w:type="dxa"/>
          </w:tcPr>
          <w:p w:rsidR="00AD54A3" w:rsidRPr="003D464B" w:rsidRDefault="00AD54A3" w:rsidP="00FD47C7">
            <w:pPr>
              <w:rPr>
                <w:rFonts w:ascii="Calibri" w:hAnsi="Calibri" w:cs="Calibri"/>
              </w:rPr>
            </w:pPr>
            <w:r w:rsidRPr="003D464B">
              <w:rPr>
                <w:rFonts w:ascii="Calibri" w:hAnsi="Calibri" w:cs="Calibri"/>
              </w:rPr>
              <w:t xml:space="preserve">  8.</w:t>
            </w:r>
          </w:p>
        </w:tc>
        <w:tc>
          <w:tcPr>
            <w:tcW w:w="1701" w:type="dxa"/>
          </w:tcPr>
          <w:p w:rsidR="00AD54A3" w:rsidRPr="003D464B" w:rsidRDefault="00AD54A3" w:rsidP="00FD47C7">
            <w:pPr>
              <w:rPr>
                <w:rFonts w:ascii="Calibri" w:hAnsi="Calibri" w:cs="Calibri"/>
              </w:rPr>
            </w:pPr>
            <w:r w:rsidRPr="003D464B">
              <w:rPr>
                <w:rFonts w:ascii="Calibri" w:hAnsi="Calibri" w:cs="Calibri"/>
              </w:rPr>
              <w:t>PN-B-06714-26</w:t>
            </w:r>
          </w:p>
        </w:tc>
        <w:tc>
          <w:tcPr>
            <w:tcW w:w="5171" w:type="dxa"/>
          </w:tcPr>
          <w:p w:rsidR="00AD54A3" w:rsidRPr="003D464B" w:rsidRDefault="00AD54A3" w:rsidP="00FD47C7">
            <w:pPr>
              <w:rPr>
                <w:rFonts w:ascii="Calibri" w:hAnsi="Calibri" w:cs="Calibri"/>
              </w:rPr>
            </w:pPr>
            <w:r w:rsidRPr="003D464B">
              <w:rPr>
                <w:rFonts w:ascii="Calibri" w:hAnsi="Calibri" w:cs="Calibri"/>
              </w:rPr>
              <w:t>Kruszywa mineralne. Badania. Oznaczanie zawartości zanieczyszczeń organicznych</w:t>
            </w:r>
          </w:p>
        </w:tc>
      </w:tr>
      <w:tr w:rsidR="00AD54A3" w:rsidRPr="003D464B" w:rsidTr="00FD47C7">
        <w:tc>
          <w:tcPr>
            <w:tcW w:w="637" w:type="dxa"/>
          </w:tcPr>
          <w:p w:rsidR="00AD54A3" w:rsidRPr="003D464B" w:rsidRDefault="00AD54A3" w:rsidP="00FD47C7">
            <w:pPr>
              <w:rPr>
                <w:rFonts w:ascii="Calibri" w:hAnsi="Calibri" w:cs="Calibri"/>
              </w:rPr>
            </w:pPr>
            <w:r w:rsidRPr="003D464B">
              <w:rPr>
                <w:rFonts w:ascii="Calibri" w:hAnsi="Calibri" w:cs="Calibri"/>
              </w:rPr>
              <w:t xml:space="preserve">  9.</w:t>
            </w:r>
          </w:p>
        </w:tc>
        <w:tc>
          <w:tcPr>
            <w:tcW w:w="1701" w:type="dxa"/>
          </w:tcPr>
          <w:p w:rsidR="00AD54A3" w:rsidRPr="003D464B" w:rsidRDefault="00AD54A3" w:rsidP="00FD47C7">
            <w:pPr>
              <w:rPr>
                <w:rFonts w:ascii="Calibri" w:hAnsi="Calibri" w:cs="Calibri"/>
              </w:rPr>
            </w:pPr>
            <w:r w:rsidRPr="003D464B">
              <w:rPr>
                <w:rFonts w:ascii="Calibri" w:hAnsi="Calibri" w:cs="Calibri"/>
              </w:rPr>
              <w:t>PN-B-06714-28</w:t>
            </w:r>
          </w:p>
        </w:tc>
        <w:tc>
          <w:tcPr>
            <w:tcW w:w="5171" w:type="dxa"/>
          </w:tcPr>
          <w:p w:rsidR="00AD54A3" w:rsidRPr="003D464B" w:rsidRDefault="00AD54A3" w:rsidP="00FD47C7">
            <w:pPr>
              <w:rPr>
                <w:rFonts w:ascii="Calibri" w:hAnsi="Calibri" w:cs="Calibri"/>
              </w:rPr>
            </w:pPr>
            <w:r w:rsidRPr="003D464B">
              <w:rPr>
                <w:rFonts w:ascii="Calibri" w:hAnsi="Calibri" w:cs="Calibri"/>
              </w:rPr>
              <w:t>Kruszywa mineralne. Badania. Oznaczanie zawartości siarki metodą bromową</w:t>
            </w:r>
          </w:p>
        </w:tc>
      </w:tr>
      <w:tr w:rsidR="00AD54A3" w:rsidRPr="003D464B" w:rsidTr="00FD47C7">
        <w:tc>
          <w:tcPr>
            <w:tcW w:w="637" w:type="dxa"/>
          </w:tcPr>
          <w:p w:rsidR="00AD54A3" w:rsidRPr="003D464B" w:rsidRDefault="00AD54A3" w:rsidP="00FD47C7">
            <w:pPr>
              <w:rPr>
                <w:rFonts w:ascii="Calibri" w:hAnsi="Calibri" w:cs="Calibri"/>
              </w:rPr>
            </w:pPr>
            <w:r w:rsidRPr="003D464B">
              <w:rPr>
                <w:rFonts w:ascii="Calibri" w:hAnsi="Calibri" w:cs="Calibri"/>
              </w:rPr>
              <w:t>10.</w:t>
            </w:r>
          </w:p>
        </w:tc>
        <w:tc>
          <w:tcPr>
            <w:tcW w:w="1701" w:type="dxa"/>
          </w:tcPr>
          <w:p w:rsidR="00AD54A3" w:rsidRPr="003D464B" w:rsidRDefault="00AD54A3" w:rsidP="00FD47C7">
            <w:pPr>
              <w:rPr>
                <w:rFonts w:ascii="Calibri" w:hAnsi="Calibri" w:cs="Calibri"/>
              </w:rPr>
            </w:pPr>
            <w:r w:rsidRPr="003D464B">
              <w:rPr>
                <w:rFonts w:ascii="Calibri" w:hAnsi="Calibri" w:cs="Calibri"/>
              </w:rPr>
              <w:t>PN-B-06714-37</w:t>
            </w:r>
          </w:p>
        </w:tc>
        <w:tc>
          <w:tcPr>
            <w:tcW w:w="5171" w:type="dxa"/>
          </w:tcPr>
          <w:p w:rsidR="00AD54A3" w:rsidRPr="003D464B" w:rsidRDefault="00AD54A3" w:rsidP="00FD47C7">
            <w:pPr>
              <w:rPr>
                <w:rFonts w:ascii="Calibri" w:hAnsi="Calibri" w:cs="Calibri"/>
              </w:rPr>
            </w:pPr>
            <w:r w:rsidRPr="003D464B">
              <w:rPr>
                <w:rFonts w:ascii="Calibri" w:hAnsi="Calibri" w:cs="Calibri"/>
              </w:rPr>
              <w:t>Kruszywa mineralne. Badania. Oznaczanie rozpadu krzemianowego</w:t>
            </w:r>
          </w:p>
        </w:tc>
      </w:tr>
      <w:tr w:rsidR="00AD54A3" w:rsidRPr="003D464B" w:rsidTr="00FD47C7">
        <w:tc>
          <w:tcPr>
            <w:tcW w:w="637" w:type="dxa"/>
          </w:tcPr>
          <w:p w:rsidR="00AD54A3" w:rsidRPr="003D464B" w:rsidRDefault="00AD54A3" w:rsidP="00FD47C7">
            <w:pPr>
              <w:rPr>
                <w:rFonts w:ascii="Calibri" w:hAnsi="Calibri" w:cs="Calibri"/>
              </w:rPr>
            </w:pPr>
            <w:r w:rsidRPr="003D464B">
              <w:rPr>
                <w:rFonts w:ascii="Calibri" w:hAnsi="Calibri" w:cs="Calibri"/>
              </w:rPr>
              <w:t>11.</w:t>
            </w:r>
          </w:p>
        </w:tc>
        <w:tc>
          <w:tcPr>
            <w:tcW w:w="1701" w:type="dxa"/>
          </w:tcPr>
          <w:p w:rsidR="00AD54A3" w:rsidRPr="003D464B" w:rsidRDefault="00AD54A3" w:rsidP="00FD47C7">
            <w:pPr>
              <w:rPr>
                <w:rFonts w:ascii="Calibri" w:hAnsi="Calibri" w:cs="Calibri"/>
              </w:rPr>
            </w:pPr>
            <w:r w:rsidRPr="003D464B">
              <w:rPr>
                <w:rFonts w:ascii="Calibri" w:hAnsi="Calibri" w:cs="Calibri"/>
              </w:rPr>
              <w:t>PN-B-06714-39</w:t>
            </w:r>
          </w:p>
        </w:tc>
        <w:tc>
          <w:tcPr>
            <w:tcW w:w="5171" w:type="dxa"/>
          </w:tcPr>
          <w:p w:rsidR="00AD54A3" w:rsidRPr="003D464B" w:rsidRDefault="00AD54A3" w:rsidP="00FD47C7">
            <w:pPr>
              <w:rPr>
                <w:rFonts w:ascii="Calibri" w:hAnsi="Calibri" w:cs="Calibri"/>
              </w:rPr>
            </w:pPr>
            <w:r w:rsidRPr="003D464B">
              <w:rPr>
                <w:rFonts w:ascii="Calibri" w:hAnsi="Calibri" w:cs="Calibri"/>
              </w:rPr>
              <w:t>Kruszywa mineralne. Badania. Oznaczanie rozpadu żelazawego</w:t>
            </w:r>
          </w:p>
        </w:tc>
      </w:tr>
      <w:tr w:rsidR="00AD54A3" w:rsidRPr="003D464B" w:rsidTr="00FD47C7">
        <w:tc>
          <w:tcPr>
            <w:tcW w:w="637" w:type="dxa"/>
          </w:tcPr>
          <w:p w:rsidR="00AD54A3" w:rsidRPr="003D464B" w:rsidRDefault="00AD54A3" w:rsidP="00FD47C7">
            <w:pPr>
              <w:rPr>
                <w:rFonts w:ascii="Calibri" w:hAnsi="Calibri" w:cs="Calibri"/>
              </w:rPr>
            </w:pPr>
            <w:r w:rsidRPr="003D464B">
              <w:rPr>
                <w:rFonts w:ascii="Calibri" w:hAnsi="Calibri" w:cs="Calibri"/>
              </w:rPr>
              <w:t>12.</w:t>
            </w:r>
          </w:p>
        </w:tc>
        <w:tc>
          <w:tcPr>
            <w:tcW w:w="1701" w:type="dxa"/>
          </w:tcPr>
          <w:p w:rsidR="00AD54A3" w:rsidRPr="003D464B" w:rsidRDefault="00AD54A3" w:rsidP="00FD47C7">
            <w:pPr>
              <w:rPr>
                <w:rFonts w:ascii="Calibri" w:hAnsi="Calibri" w:cs="Calibri"/>
              </w:rPr>
            </w:pPr>
            <w:r w:rsidRPr="003D464B">
              <w:rPr>
                <w:rFonts w:ascii="Calibri" w:hAnsi="Calibri" w:cs="Calibri"/>
              </w:rPr>
              <w:t>PN-B-06714-42</w:t>
            </w:r>
          </w:p>
        </w:tc>
        <w:tc>
          <w:tcPr>
            <w:tcW w:w="5171" w:type="dxa"/>
          </w:tcPr>
          <w:p w:rsidR="00AD54A3" w:rsidRPr="003D464B" w:rsidRDefault="00AD54A3" w:rsidP="00FD47C7">
            <w:pPr>
              <w:rPr>
                <w:rFonts w:ascii="Calibri" w:hAnsi="Calibri" w:cs="Calibri"/>
              </w:rPr>
            </w:pPr>
            <w:r w:rsidRPr="003D464B">
              <w:rPr>
                <w:rFonts w:ascii="Calibri" w:hAnsi="Calibri" w:cs="Calibri"/>
              </w:rPr>
              <w:t>Kruszywa mineralne. Badania. Oznaczanie ścieralności w bębnie Los Angeles</w:t>
            </w:r>
          </w:p>
        </w:tc>
      </w:tr>
      <w:tr w:rsidR="00AD54A3" w:rsidRPr="003D464B" w:rsidTr="00FD47C7">
        <w:tc>
          <w:tcPr>
            <w:tcW w:w="637" w:type="dxa"/>
          </w:tcPr>
          <w:p w:rsidR="00AD54A3" w:rsidRPr="003D464B" w:rsidRDefault="00AD54A3" w:rsidP="00FD47C7">
            <w:pPr>
              <w:rPr>
                <w:rFonts w:ascii="Calibri" w:hAnsi="Calibri" w:cs="Calibri"/>
              </w:rPr>
            </w:pPr>
            <w:r w:rsidRPr="003D464B">
              <w:rPr>
                <w:rFonts w:ascii="Calibri" w:hAnsi="Calibri" w:cs="Calibri"/>
              </w:rPr>
              <w:t>13.</w:t>
            </w:r>
          </w:p>
        </w:tc>
        <w:tc>
          <w:tcPr>
            <w:tcW w:w="1701" w:type="dxa"/>
          </w:tcPr>
          <w:p w:rsidR="00AD54A3" w:rsidRPr="003D464B" w:rsidRDefault="00AD54A3" w:rsidP="00FD47C7">
            <w:pPr>
              <w:rPr>
                <w:rFonts w:ascii="Calibri" w:hAnsi="Calibri" w:cs="Calibri"/>
              </w:rPr>
            </w:pPr>
            <w:r w:rsidRPr="003D464B">
              <w:rPr>
                <w:rFonts w:ascii="Calibri" w:hAnsi="Calibri" w:cs="Calibri"/>
              </w:rPr>
              <w:t>BN-84/6774-02</w:t>
            </w:r>
          </w:p>
        </w:tc>
        <w:tc>
          <w:tcPr>
            <w:tcW w:w="5171" w:type="dxa"/>
          </w:tcPr>
          <w:p w:rsidR="00AD54A3" w:rsidRPr="003D464B" w:rsidRDefault="00AD54A3" w:rsidP="00FD47C7">
            <w:pPr>
              <w:rPr>
                <w:rFonts w:ascii="Calibri" w:hAnsi="Calibri" w:cs="Calibri"/>
              </w:rPr>
            </w:pPr>
            <w:r w:rsidRPr="003D464B">
              <w:rPr>
                <w:rFonts w:ascii="Calibri" w:hAnsi="Calibri" w:cs="Calibri"/>
              </w:rPr>
              <w:t>Kruszywo mineralne. Kruszywo kamienne łamane do nawierzchni drogowych</w:t>
            </w:r>
          </w:p>
        </w:tc>
      </w:tr>
      <w:tr w:rsidR="00AD54A3" w:rsidRPr="003D464B" w:rsidTr="00FD47C7">
        <w:tc>
          <w:tcPr>
            <w:tcW w:w="637" w:type="dxa"/>
          </w:tcPr>
          <w:p w:rsidR="00AD54A3" w:rsidRPr="003D464B" w:rsidRDefault="00AD54A3" w:rsidP="00FD47C7">
            <w:pPr>
              <w:rPr>
                <w:rFonts w:ascii="Calibri" w:hAnsi="Calibri" w:cs="Calibri"/>
              </w:rPr>
            </w:pPr>
            <w:r w:rsidRPr="003D464B">
              <w:rPr>
                <w:rFonts w:ascii="Calibri" w:hAnsi="Calibri" w:cs="Calibri"/>
              </w:rPr>
              <w:t>14.</w:t>
            </w:r>
          </w:p>
        </w:tc>
        <w:tc>
          <w:tcPr>
            <w:tcW w:w="1701" w:type="dxa"/>
          </w:tcPr>
          <w:p w:rsidR="00AD54A3" w:rsidRPr="003D464B" w:rsidRDefault="00AD54A3" w:rsidP="00FD47C7">
            <w:pPr>
              <w:rPr>
                <w:rFonts w:ascii="Calibri" w:hAnsi="Calibri" w:cs="Calibri"/>
              </w:rPr>
            </w:pPr>
            <w:r w:rsidRPr="003D464B">
              <w:rPr>
                <w:rFonts w:ascii="Calibri" w:hAnsi="Calibri" w:cs="Calibri"/>
              </w:rPr>
              <w:t>PN-B-11112</w:t>
            </w:r>
          </w:p>
        </w:tc>
        <w:tc>
          <w:tcPr>
            <w:tcW w:w="5171" w:type="dxa"/>
          </w:tcPr>
          <w:p w:rsidR="00AD54A3" w:rsidRPr="003D464B" w:rsidRDefault="00AD54A3" w:rsidP="00FD47C7">
            <w:pPr>
              <w:rPr>
                <w:rFonts w:ascii="Calibri" w:hAnsi="Calibri" w:cs="Calibri"/>
              </w:rPr>
            </w:pPr>
            <w:r w:rsidRPr="003D464B">
              <w:rPr>
                <w:rFonts w:ascii="Calibri" w:hAnsi="Calibri" w:cs="Calibri"/>
              </w:rPr>
              <w:t>Kruszywa mineralne. Kruszywa łamane do nawierzchni drogowych</w:t>
            </w:r>
          </w:p>
        </w:tc>
      </w:tr>
      <w:tr w:rsidR="00AD54A3" w:rsidRPr="003D464B" w:rsidTr="00FD47C7">
        <w:trPr>
          <w:trHeight w:val="237"/>
        </w:trPr>
        <w:tc>
          <w:tcPr>
            <w:tcW w:w="637" w:type="dxa"/>
          </w:tcPr>
          <w:p w:rsidR="00AD54A3" w:rsidRPr="003D464B" w:rsidRDefault="00AD54A3" w:rsidP="00FD47C7">
            <w:pPr>
              <w:rPr>
                <w:rFonts w:ascii="Calibri" w:hAnsi="Calibri" w:cs="Calibri"/>
              </w:rPr>
            </w:pPr>
            <w:r w:rsidRPr="003D464B">
              <w:rPr>
                <w:rFonts w:ascii="Calibri" w:hAnsi="Calibri" w:cs="Calibri"/>
              </w:rPr>
              <w:t>15.</w:t>
            </w:r>
          </w:p>
        </w:tc>
        <w:tc>
          <w:tcPr>
            <w:tcW w:w="1701" w:type="dxa"/>
          </w:tcPr>
          <w:p w:rsidR="00AD54A3" w:rsidRPr="003D464B" w:rsidRDefault="00AD54A3" w:rsidP="00FD47C7">
            <w:pPr>
              <w:rPr>
                <w:rFonts w:ascii="Calibri" w:hAnsi="Calibri" w:cs="Calibri"/>
              </w:rPr>
            </w:pPr>
            <w:r w:rsidRPr="003D464B">
              <w:rPr>
                <w:rFonts w:ascii="Calibri" w:hAnsi="Calibri" w:cs="Calibri"/>
              </w:rPr>
              <w:t>BN-77/8931-12</w:t>
            </w:r>
          </w:p>
        </w:tc>
        <w:tc>
          <w:tcPr>
            <w:tcW w:w="5171" w:type="dxa"/>
          </w:tcPr>
          <w:p w:rsidR="00AD54A3" w:rsidRPr="003D464B" w:rsidRDefault="00AD54A3" w:rsidP="00FD47C7">
            <w:pPr>
              <w:rPr>
                <w:rFonts w:ascii="Calibri" w:hAnsi="Calibri" w:cs="Calibri"/>
              </w:rPr>
            </w:pPr>
            <w:r w:rsidRPr="003D464B">
              <w:rPr>
                <w:rFonts w:ascii="Calibri" w:hAnsi="Calibri" w:cs="Calibri"/>
              </w:rPr>
              <w:t>Oznaczanie wskaźnika zagęszczenia gruntu</w:t>
            </w:r>
          </w:p>
        </w:tc>
      </w:tr>
      <w:tr w:rsidR="00AD54A3" w:rsidRPr="003D464B" w:rsidTr="00FD47C7">
        <w:trPr>
          <w:trHeight w:val="95"/>
        </w:trPr>
        <w:tc>
          <w:tcPr>
            <w:tcW w:w="637" w:type="dxa"/>
          </w:tcPr>
          <w:p w:rsidR="00AD54A3" w:rsidRPr="003D464B" w:rsidRDefault="00AD54A3" w:rsidP="00FD47C7">
            <w:pPr>
              <w:rPr>
                <w:rFonts w:ascii="Calibri" w:hAnsi="Calibri" w:cs="Calibri"/>
              </w:rPr>
            </w:pPr>
            <w:r w:rsidRPr="003D464B">
              <w:rPr>
                <w:rFonts w:ascii="Calibri" w:hAnsi="Calibri" w:cs="Calibri"/>
              </w:rPr>
              <w:t>16.</w:t>
            </w:r>
          </w:p>
        </w:tc>
        <w:tc>
          <w:tcPr>
            <w:tcW w:w="1701" w:type="dxa"/>
          </w:tcPr>
          <w:p w:rsidR="00AD54A3" w:rsidRPr="003D464B" w:rsidRDefault="00AD54A3" w:rsidP="00FD47C7">
            <w:pPr>
              <w:rPr>
                <w:rFonts w:ascii="Calibri" w:hAnsi="Calibri" w:cs="Calibri"/>
              </w:rPr>
            </w:pPr>
            <w:r w:rsidRPr="003D464B">
              <w:rPr>
                <w:rFonts w:ascii="Calibri" w:hAnsi="Calibri" w:cs="Calibri"/>
              </w:rPr>
              <w:t>BN-70/8931-06</w:t>
            </w:r>
          </w:p>
        </w:tc>
        <w:tc>
          <w:tcPr>
            <w:tcW w:w="5171" w:type="dxa"/>
          </w:tcPr>
          <w:p w:rsidR="00AD54A3" w:rsidRPr="003D464B" w:rsidRDefault="00AD54A3" w:rsidP="00FD47C7">
            <w:pPr>
              <w:rPr>
                <w:rFonts w:ascii="Calibri" w:hAnsi="Calibri" w:cs="Calibri"/>
              </w:rPr>
            </w:pPr>
            <w:r w:rsidRPr="003D464B">
              <w:rPr>
                <w:rFonts w:ascii="Calibri" w:hAnsi="Calibri" w:cs="Calibri"/>
              </w:rPr>
              <w:t>Drogi samochodowe. Pomiar ugięć podatnych ugięciomierzem belkowym</w:t>
            </w:r>
          </w:p>
        </w:tc>
      </w:tr>
      <w:tr w:rsidR="00AD54A3" w:rsidRPr="003D464B" w:rsidTr="00FD47C7">
        <w:trPr>
          <w:trHeight w:val="95"/>
        </w:trPr>
        <w:tc>
          <w:tcPr>
            <w:tcW w:w="637" w:type="dxa"/>
          </w:tcPr>
          <w:p w:rsidR="00AD54A3" w:rsidRPr="003D464B" w:rsidRDefault="00AD54A3" w:rsidP="00FD47C7">
            <w:pPr>
              <w:rPr>
                <w:rFonts w:ascii="Calibri" w:hAnsi="Calibri" w:cs="Calibri"/>
              </w:rPr>
            </w:pPr>
            <w:r w:rsidRPr="003D464B">
              <w:rPr>
                <w:rFonts w:ascii="Calibri" w:hAnsi="Calibri" w:cs="Calibri"/>
              </w:rPr>
              <w:t>17.</w:t>
            </w:r>
          </w:p>
        </w:tc>
        <w:tc>
          <w:tcPr>
            <w:tcW w:w="1701" w:type="dxa"/>
          </w:tcPr>
          <w:p w:rsidR="00AD54A3" w:rsidRPr="003D464B" w:rsidRDefault="00AD54A3" w:rsidP="00FD47C7">
            <w:pPr>
              <w:rPr>
                <w:rFonts w:ascii="Calibri" w:hAnsi="Calibri" w:cs="Calibri"/>
              </w:rPr>
            </w:pPr>
            <w:r w:rsidRPr="003D464B">
              <w:rPr>
                <w:rFonts w:ascii="Calibri" w:hAnsi="Calibri" w:cs="Calibri"/>
              </w:rPr>
              <w:t>BN-68/8931-04</w:t>
            </w:r>
          </w:p>
        </w:tc>
        <w:tc>
          <w:tcPr>
            <w:tcW w:w="5171" w:type="dxa"/>
          </w:tcPr>
          <w:p w:rsidR="00AD54A3" w:rsidRPr="003D464B" w:rsidRDefault="00AD54A3" w:rsidP="00FD47C7">
            <w:pPr>
              <w:rPr>
                <w:rFonts w:ascii="Calibri" w:hAnsi="Calibri" w:cs="Calibri"/>
              </w:rPr>
            </w:pPr>
            <w:r w:rsidRPr="003D464B">
              <w:rPr>
                <w:rFonts w:ascii="Calibri" w:hAnsi="Calibri" w:cs="Calibri"/>
              </w:rPr>
              <w:t>Drogi samochodowe. Pomiar równości nawierzchni planografem i łatą</w:t>
            </w:r>
          </w:p>
        </w:tc>
      </w:tr>
      <w:tr w:rsidR="00AD54A3" w:rsidRPr="003D464B" w:rsidTr="00FD47C7">
        <w:trPr>
          <w:trHeight w:val="95"/>
        </w:trPr>
        <w:tc>
          <w:tcPr>
            <w:tcW w:w="637" w:type="dxa"/>
          </w:tcPr>
          <w:p w:rsidR="00AD54A3" w:rsidRPr="003D464B" w:rsidRDefault="00AD54A3" w:rsidP="00FD47C7">
            <w:pPr>
              <w:rPr>
                <w:rFonts w:ascii="Calibri" w:hAnsi="Calibri" w:cs="Calibri"/>
              </w:rPr>
            </w:pPr>
            <w:r w:rsidRPr="003D464B">
              <w:rPr>
                <w:rFonts w:ascii="Calibri" w:hAnsi="Calibri" w:cs="Calibri"/>
              </w:rPr>
              <w:t>18.</w:t>
            </w:r>
          </w:p>
        </w:tc>
        <w:tc>
          <w:tcPr>
            <w:tcW w:w="1701" w:type="dxa"/>
          </w:tcPr>
          <w:p w:rsidR="00AD54A3" w:rsidRPr="003D464B" w:rsidRDefault="00AD54A3" w:rsidP="00FD47C7">
            <w:pPr>
              <w:rPr>
                <w:rFonts w:ascii="Calibri" w:hAnsi="Calibri" w:cs="Calibri"/>
              </w:rPr>
            </w:pPr>
            <w:r w:rsidRPr="003D464B">
              <w:rPr>
                <w:rFonts w:ascii="Calibri" w:hAnsi="Calibri" w:cs="Calibri"/>
              </w:rPr>
              <w:t>BN-64/8931-02</w:t>
            </w:r>
          </w:p>
        </w:tc>
        <w:tc>
          <w:tcPr>
            <w:tcW w:w="5171" w:type="dxa"/>
          </w:tcPr>
          <w:p w:rsidR="00AD54A3" w:rsidRPr="003D464B" w:rsidRDefault="00AD54A3" w:rsidP="00FD47C7">
            <w:pPr>
              <w:rPr>
                <w:rFonts w:ascii="Calibri" w:hAnsi="Calibri" w:cs="Calibri"/>
              </w:rPr>
            </w:pPr>
            <w:r w:rsidRPr="003D464B">
              <w:rPr>
                <w:rFonts w:ascii="Calibri" w:hAnsi="Calibri" w:cs="Calibri"/>
              </w:rPr>
              <w:t>Drogi samochodowe. Oznaczanie modułu odkształcenia nawierzchni podatnych i podłoża przez obciążenie płytą</w:t>
            </w:r>
          </w:p>
        </w:tc>
      </w:tr>
      <w:tr w:rsidR="00AD54A3" w:rsidRPr="003D464B" w:rsidTr="00FD47C7">
        <w:tc>
          <w:tcPr>
            <w:tcW w:w="637" w:type="dxa"/>
          </w:tcPr>
          <w:p w:rsidR="00AD54A3" w:rsidRPr="003D464B" w:rsidRDefault="00AD54A3" w:rsidP="00FD47C7">
            <w:pPr>
              <w:rPr>
                <w:rFonts w:ascii="Calibri" w:hAnsi="Calibri" w:cs="Calibri"/>
              </w:rPr>
            </w:pPr>
            <w:r w:rsidRPr="003D464B">
              <w:rPr>
                <w:rFonts w:ascii="Calibri" w:hAnsi="Calibri" w:cs="Calibri"/>
              </w:rPr>
              <w:lastRenderedPageBreak/>
              <w:t>19.</w:t>
            </w:r>
          </w:p>
        </w:tc>
        <w:tc>
          <w:tcPr>
            <w:tcW w:w="1701" w:type="dxa"/>
          </w:tcPr>
          <w:p w:rsidR="00AD54A3" w:rsidRPr="003D464B" w:rsidRDefault="00AD54A3" w:rsidP="00FD47C7">
            <w:pPr>
              <w:rPr>
                <w:rFonts w:ascii="Calibri" w:hAnsi="Calibri" w:cs="Calibri"/>
              </w:rPr>
            </w:pPr>
            <w:r w:rsidRPr="003D464B">
              <w:rPr>
                <w:rFonts w:ascii="Calibri" w:hAnsi="Calibri" w:cs="Calibri"/>
              </w:rPr>
              <w:t>BN-64/8931-01</w:t>
            </w:r>
          </w:p>
        </w:tc>
        <w:tc>
          <w:tcPr>
            <w:tcW w:w="5171" w:type="dxa"/>
          </w:tcPr>
          <w:p w:rsidR="00AD54A3" w:rsidRPr="003D464B" w:rsidRDefault="00AD54A3" w:rsidP="00FD47C7">
            <w:pPr>
              <w:rPr>
                <w:rFonts w:ascii="Calibri" w:hAnsi="Calibri" w:cs="Calibri"/>
              </w:rPr>
            </w:pPr>
            <w:r w:rsidRPr="003D464B">
              <w:rPr>
                <w:rFonts w:ascii="Calibri" w:hAnsi="Calibri" w:cs="Calibri"/>
              </w:rPr>
              <w:t>Drogi samochodowe. Oznaczanie wskaźnika piaskowego</w:t>
            </w:r>
          </w:p>
        </w:tc>
      </w:tr>
      <w:tr w:rsidR="00AD54A3" w:rsidRPr="003D464B" w:rsidTr="00FD47C7">
        <w:tc>
          <w:tcPr>
            <w:tcW w:w="637" w:type="dxa"/>
          </w:tcPr>
          <w:p w:rsidR="00AD54A3" w:rsidRPr="003D464B" w:rsidRDefault="00AD54A3" w:rsidP="00FD47C7">
            <w:pPr>
              <w:rPr>
                <w:rFonts w:ascii="Calibri" w:hAnsi="Calibri" w:cs="Calibri"/>
              </w:rPr>
            </w:pPr>
            <w:r w:rsidRPr="003D464B">
              <w:rPr>
                <w:rFonts w:ascii="Calibri" w:hAnsi="Calibri" w:cs="Calibri"/>
              </w:rPr>
              <w:t>20.</w:t>
            </w:r>
          </w:p>
        </w:tc>
        <w:tc>
          <w:tcPr>
            <w:tcW w:w="1701" w:type="dxa"/>
          </w:tcPr>
          <w:p w:rsidR="00AD54A3" w:rsidRPr="003D464B" w:rsidRDefault="00AD54A3" w:rsidP="00FD47C7">
            <w:pPr>
              <w:rPr>
                <w:rFonts w:ascii="Calibri" w:hAnsi="Calibri" w:cs="Calibri"/>
              </w:rPr>
            </w:pPr>
            <w:r w:rsidRPr="003D464B">
              <w:rPr>
                <w:rFonts w:ascii="Calibri" w:hAnsi="Calibri" w:cs="Calibri"/>
              </w:rPr>
              <w:t>PN-S-06102</w:t>
            </w:r>
          </w:p>
        </w:tc>
        <w:tc>
          <w:tcPr>
            <w:tcW w:w="5171" w:type="dxa"/>
          </w:tcPr>
          <w:p w:rsidR="00AD54A3" w:rsidRPr="003D464B" w:rsidRDefault="00AD54A3" w:rsidP="00FD47C7">
            <w:pPr>
              <w:rPr>
                <w:rFonts w:ascii="Calibri" w:hAnsi="Calibri" w:cs="Calibri"/>
              </w:rPr>
            </w:pPr>
            <w:r w:rsidRPr="003D464B">
              <w:rPr>
                <w:rFonts w:ascii="Calibri" w:hAnsi="Calibri" w:cs="Calibri"/>
              </w:rPr>
              <w:t>Drogi samochodowe. Podbudowy z kruszyw stabilizowanych mechanicznie</w:t>
            </w:r>
          </w:p>
        </w:tc>
      </w:tr>
    </w:tbl>
    <w:p w:rsidR="00AD54A3" w:rsidRPr="003D464B" w:rsidRDefault="00AD54A3" w:rsidP="00AD54A3">
      <w:pPr>
        <w:rPr>
          <w:rFonts w:ascii="Calibri" w:hAnsi="Calibri" w:cs="Calibri"/>
        </w:rPr>
      </w:pPr>
      <w:r w:rsidRPr="003D464B">
        <w:rPr>
          <w:rFonts w:ascii="Calibri" w:hAnsi="Calibri" w:cs="Calibri"/>
          <w:b/>
        </w:rPr>
        <w:t>10.2.</w:t>
      </w:r>
      <w:r w:rsidRPr="003D464B">
        <w:rPr>
          <w:rFonts w:ascii="Calibri" w:hAnsi="Calibri" w:cs="Calibri"/>
        </w:rPr>
        <w:t xml:space="preserve"> Inne dokumenty</w:t>
      </w:r>
    </w:p>
    <w:p w:rsidR="00AD54A3" w:rsidRPr="003D464B" w:rsidRDefault="00AD54A3" w:rsidP="00AD54A3">
      <w:pPr>
        <w:rPr>
          <w:rFonts w:ascii="Calibri" w:hAnsi="Calibri" w:cs="Calibri"/>
        </w:rPr>
      </w:pPr>
      <w:r w:rsidRPr="003D464B">
        <w:rPr>
          <w:rFonts w:ascii="Calibri" w:hAnsi="Calibri" w:cs="Calibri"/>
        </w:rPr>
        <w:t>21. Katalog typowych konstrukcji nawierzchni podatnych i półsztywnych, IBDiM - Warszawa 1997.</w:t>
      </w:r>
    </w:p>
    <w:p w:rsidR="00AD54A3" w:rsidRPr="003D464B" w:rsidRDefault="00AD54A3" w:rsidP="00AD54A3">
      <w:pPr>
        <w:rPr>
          <w:rFonts w:ascii="Calibri" w:hAnsi="Calibri" w:cs="Calibri"/>
        </w:rPr>
      </w:pPr>
    </w:p>
    <w:p w:rsidR="00AD54A3" w:rsidRPr="003D464B" w:rsidRDefault="00AD54A3" w:rsidP="00AD54A3">
      <w:pPr>
        <w:rPr>
          <w:rFonts w:ascii="Calibri" w:hAnsi="Calibri" w:cs="Calibri"/>
        </w:rPr>
      </w:pPr>
    </w:p>
    <w:p w:rsidR="00AD54A3" w:rsidRPr="003D464B" w:rsidRDefault="00AD54A3" w:rsidP="00AD54A3">
      <w:pPr>
        <w:rPr>
          <w:rFonts w:ascii="Calibri" w:hAnsi="Calibri" w:cs="Calibri"/>
        </w:rPr>
      </w:pPr>
    </w:p>
    <w:p w:rsidR="00AD54A3" w:rsidRPr="003D464B" w:rsidRDefault="00AD54A3" w:rsidP="00AD54A3">
      <w:pPr>
        <w:rPr>
          <w:rFonts w:ascii="Calibri" w:hAnsi="Calibri" w:cs="Calibri"/>
        </w:rPr>
      </w:pPr>
    </w:p>
    <w:p w:rsidR="00AD54A3" w:rsidRPr="003D464B" w:rsidRDefault="00AD54A3" w:rsidP="00AD54A3">
      <w:pPr>
        <w:rPr>
          <w:rFonts w:ascii="Calibri" w:hAnsi="Calibri" w:cs="Calibri"/>
        </w:rPr>
      </w:pPr>
    </w:p>
    <w:p w:rsidR="00AD54A3" w:rsidRPr="003D464B" w:rsidRDefault="00AD54A3" w:rsidP="00AD54A3">
      <w:pPr>
        <w:rPr>
          <w:rFonts w:ascii="Calibri" w:hAnsi="Calibri" w:cs="Calibri"/>
        </w:rPr>
      </w:pPr>
    </w:p>
    <w:p w:rsidR="00AD54A3" w:rsidRPr="003D464B" w:rsidRDefault="00AD54A3" w:rsidP="00AD54A3">
      <w:pPr>
        <w:rPr>
          <w:rFonts w:ascii="Calibri" w:hAnsi="Calibri" w:cs="Calibri"/>
        </w:rPr>
      </w:pPr>
    </w:p>
    <w:p w:rsidR="00AD54A3" w:rsidRPr="003D464B" w:rsidRDefault="00AD54A3" w:rsidP="00AD54A3">
      <w:pPr>
        <w:rPr>
          <w:rFonts w:ascii="Calibri" w:hAnsi="Calibri" w:cs="Calibri"/>
        </w:rPr>
      </w:pPr>
    </w:p>
    <w:p w:rsidR="00AD54A3" w:rsidRPr="003D464B" w:rsidRDefault="00AD54A3" w:rsidP="00AD54A3">
      <w:pPr>
        <w:rPr>
          <w:rFonts w:ascii="Calibri" w:hAnsi="Calibri" w:cs="Calibri"/>
        </w:rPr>
      </w:pPr>
    </w:p>
    <w:p w:rsidR="00AD54A3" w:rsidRPr="003D464B" w:rsidRDefault="00AD54A3" w:rsidP="00AD54A3">
      <w:pPr>
        <w:rPr>
          <w:rFonts w:ascii="Calibri" w:hAnsi="Calibri" w:cs="Calibri"/>
        </w:rPr>
      </w:pPr>
    </w:p>
    <w:p w:rsidR="00AD54A3" w:rsidRPr="003D464B" w:rsidRDefault="00AD54A3" w:rsidP="00AD54A3">
      <w:pPr>
        <w:rPr>
          <w:rFonts w:ascii="Calibri" w:hAnsi="Calibri" w:cs="Calibri"/>
        </w:rPr>
      </w:pPr>
    </w:p>
    <w:p w:rsidR="00AD54A3" w:rsidRPr="003D464B" w:rsidRDefault="00AD54A3" w:rsidP="00AD54A3">
      <w:pPr>
        <w:pStyle w:val="Nagwek1"/>
        <w:rPr>
          <w:rFonts w:ascii="Calibri" w:hAnsi="Calibri" w:cs="Calibri"/>
        </w:rPr>
      </w:pPr>
    </w:p>
    <w:p w:rsidR="00AD54A3" w:rsidRPr="003D464B" w:rsidRDefault="00AD54A3" w:rsidP="00AD54A3">
      <w:pPr>
        <w:rPr>
          <w:rFonts w:ascii="Calibri" w:hAnsi="Calibri" w:cs="Calibri"/>
        </w:rPr>
      </w:pPr>
    </w:p>
    <w:p w:rsidR="00AD54A3" w:rsidRDefault="00AD54A3" w:rsidP="00AD54A3">
      <w:pPr>
        <w:rPr>
          <w:rFonts w:ascii="Calibri" w:hAnsi="Calibri" w:cs="Calibri"/>
        </w:rPr>
      </w:pPr>
    </w:p>
    <w:p w:rsidR="00054F0C" w:rsidRDefault="00054F0C" w:rsidP="00AD54A3">
      <w:pPr>
        <w:rPr>
          <w:rFonts w:ascii="Calibri" w:hAnsi="Calibri" w:cs="Calibri"/>
        </w:rPr>
      </w:pPr>
    </w:p>
    <w:p w:rsidR="00054F0C" w:rsidRDefault="00054F0C" w:rsidP="00AD54A3">
      <w:pPr>
        <w:rPr>
          <w:rFonts w:ascii="Calibri" w:hAnsi="Calibri" w:cs="Calibri"/>
        </w:rPr>
      </w:pPr>
    </w:p>
    <w:p w:rsidR="00054F0C" w:rsidRDefault="00054F0C" w:rsidP="00AD54A3">
      <w:pPr>
        <w:rPr>
          <w:rFonts w:ascii="Calibri" w:hAnsi="Calibri" w:cs="Calibri"/>
        </w:rPr>
      </w:pPr>
    </w:p>
    <w:p w:rsidR="00054F0C" w:rsidRDefault="00054F0C" w:rsidP="00AD54A3">
      <w:pPr>
        <w:rPr>
          <w:rFonts w:ascii="Calibri" w:hAnsi="Calibri" w:cs="Calibri"/>
        </w:rPr>
      </w:pPr>
    </w:p>
    <w:p w:rsidR="00054F0C" w:rsidRDefault="00054F0C" w:rsidP="00AD54A3">
      <w:pPr>
        <w:rPr>
          <w:rFonts w:ascii="Calibri" w:hAnsi="Calibri" w:cs="Calibri"/>
        </w:rPr>
      </w:pPr>
    </w:p>
    <w:p w:rsidR="00054F0C" w:rsidRDefault="00054F0C" w:rsidP="00AD54A3">
      <w:pPr>
        <w:rPr>
          <w:rFonts w:ascii="Calibri" w:hAnsi="Calibri" w:cs="Calibri"/>
        </w:rPr>
      </w:pPr>
    </w:p>
    <w:p w:rsidR="00054F0C" w:rsidRDefault="00054F0C" w:rsidP="00AD54A3">
      <w:pPr>
        <w:rPr>
          <w:rFonts w:ascii="Calibri" w:hAnsi="Calibri" w:cs="Calibri"/>
        </w:rPr>
      </w:pPr>
    </w:p>
    <w:p w:rsidR="00054F0C" w:rsidRDefault="00054F0C" w:rsidP="00AD54A3">
      <w:pPr>
        <w:rPr>
          <w:rFonts w:ascii="Calibri" w:hAnsi="Calibri" w:cs="Calibri"/>
        </w:rPr>
      </w:pPr>
    </w:p>
    <w:p w:rsidR="00054F0C" w:rsidRDefault="00054F0C" w:rsidP="00AD54A3">
      <w:pPr>
        <w:rPr>
          <w:rFonts w:ascii="Calibri" w:hAnsi="Calibri" w:cs="Calibri"/>
        </w:rPr>
      </w:pPr>
    </w:p>
    <w:p w:rsidR="00054F0C" w:rsidRDefault="00054F0C" w:rsidP="00AD54A3">
      <w:pPr>
        <w:rPr>
          <w:rFonts w:ascii="Calibri" w:hAnsi="Calibri" w:cs="Calibri"/>
        </w:rPr>
      </w:pPr>
    </w:p>
    <w:p w:rsidR="00054F0C" w:rsidRDefault="00054F0C" w:rsidP="00AD54A3">
      <w:pPr>
        <w:rPr>
          <w:rFonts w:ascii="Calibri" w:hAnsi="Calibri" w:cs="Calibri"/>
        </w:rPr>
      </w:pPr>
    </w:p>
    <w:p w:rsidR="00054F0C" w:rsidRDefault="00054F0C" w:rsidP="00AD54A3">
      <w:pPr>
        <w:rPr>
          <w:rFonts w:ascii="Calibri" w:hAnsi="Calibri" w:cs="Calibri"/>
        </w:rPr>
      </w:pPr>
    </w:p>
    <w:p w:rsidR="00054F0C" w:rsidRDefault="00054F0C" w:rsidP="00AD54A3">
      <w:pPr>
        <w:rPr>
          <w:rFonts w:ascii="Calibri" w:hAnsi="Calibri" w:cs="Calibri"/>
        </w:rPr>
      </w:pPr>
    </w:p>
    <w:p w:rsidR="00054F0C" w:rsidRDefault="00054F0C" w:rsidP="00AD54A3">
      <w:pPr>
        <w:rPr>
          <w:rFonts w:ascii="Calibri" w:hAnsi="Calibri" w:cs="Calibri"/>
        </w:rPr>
      </w:pPr>
    </w:p>
    <w:p w:rsidR="00054F0C" w:rsidRDefault="00054F0C" w:rsidP="00AD54A3">
      <w:pPr>
        <w:rPr>
          <w:rFonts w:ascii="Calibri" w:hAnsi="Calibri" w:cs="Calibri"/>
        </w:rPr>
      </w:pPr>
    </w:p>
    <w:p w:rsidR="00054F0C" w:rsidRDefault="00054F0C" w:rsidP="00AD54A3">
      <w:pPr>
        <w:rPr>
          <w:rFonts w:ascii="Calibri" w:hAnsi="Calibri" w:cs="Calibri"/>
        </w:rPr>
      </w:pPr>
    </w:p>
    <w:p w:rsidR="00054F0C" w:rsidRDefault="00054F0C" w:rsidP="00AD54A3">
      <w:pPr>
        <w:rPr>
          <w:rFonts w:ascii="Calibri" w:hAnsi="Calibri" w:cs="Calibri"/>
        </w:rPr>
      </w:pPr>
    </w:p>
    <w:p w:rsidR="00054F0C" w:rsidRDefault="00054F0C" w:rsidP="00AD54A3">
      <w:pPr>
        <w:rPr>
          <w:rFonts w:ascii="Calibri" w:hAnsi="Calibri" w:cs="Calibri"/>
        </w:rPr>
      </w:pPr>
    </w:p>
    <w:p w:rsidR="00054F0C" w:rsidRDefault="00054F0C" w:rsidP="00AD54A3">
      <w:pPr>
        <w:rPr>
          <w:rFonts w:ascii="Calibri" w:hAnsi="Calibri" w:cs="Calibri"/>
        </w:rPr>
      </w:pPr>
    </w:p>
    <w:p w:rsidR="00054F0C" w:rsidRDefault="00054F0C" w:rsidP="00AD54A3">
      <w:pPr>
        <w:rPr>
          <w:rFonts w:ascii="Calibri" w:hAnsi="Calibri" w:cs="Calibri"/>
        </w:rPr>
      </w:pPr>
    </w:p>
    <w:p w:rsidR="00054F0C" w:rsidRDefault="00054F0C" w:rsidP="00AD54A3">
      <w:pPr>
        <w:rPr>
          <w:rFonts w:ascii="Calibri" w:hAnsi="Calibri" w:cs="Calibri"/>
        </w:rPr>
      </w:pPr>
    </w:p>
    <w:p w:rsidR="00054F0C" w:rsidRDefault="00054F0C" w:rsidP="00AD54A3">
      <w:pPr>
        <w:rPr>
          <w:rFonts w:ascii="Calibri" w:hAnsi="Calibri" w:cs="Calibri"/>
        </w:rPr>
      </w:pPr>
    </w:p>
    <w:p w:rsidR="00054F0C" w:rsidRDefault="00054F0C" w:rsidP="00AD54A3">
      <w:pPr>
        <w:rPr>
          <w:rFonts w:ascii="Calibri" w:hAnsi="Calibri" w:cs="Calibri"/>
        </w:rPr>
      </w:pPr>
    </w:p>
    <w:p w:rsidR="00054F0C" w:rsidRDefault="00054F0C" w:rsidP="00AD54A3">
      <w:pPr>
        <w:rPr>
          <w:rFonts w:ascii="Calibri" w:hAnsi="Calibri" w:cs="Calibri"/>
        </w:rPr>
      </w:pPr>
    </w:p>
    <w:p w:rsidR="00054F0C" w:rsidRDefault="00054F0C" w:rsidP="00AD54A3">
      <w:pPr>
        <w:rPr>
          <w:rFonts w:ascii="Calibri" w:hAnsi="Calibri" w:cs="Calibri"/>
        </w:rPr>
      </w:pPr>
    </w:p>
    <w:p w:rsidR="00054F0C" w:rsidRDefault="00054F0C" w:rsidP="00AD54A3">
      <w:pPr>
        <w:rPr>
          <w:rFonts w:ascii="Calibri" w:hAnsi="Calibri" w:cs="Calibri"/>
        </w:rPr>
      </w:pPr>
    </w:p>
    <w:p w:rsidR="00054F0C" w:rsidRDefault="00054F0C" w:rsidP="00AD54A3">
      <w:pPr>
        <w:rPr>
          <w:rFonts w:ascii="Calibri" w:hAnsi="Calibri" w:cs="Calibri"/>
        </w:rPr>
      </w:pPr>
    </w:p>
    <w:p w:rsidR="00054F0C" w:rsidRDefault="00054F0C" w:rsidP="00AD54A3">
      <w:pPr>
        <w:rPr>
          <w:rFonts w:ascii="Calibri" w:hAnsi="Calibri" w:cs="Calibri"/>
        </w:rPr>
      </w:pPr>
    </w:p>
    <w:p w:rsidR="00054F0C" w:rsidRDefault="00054F0C" w:rsidP="00AD54A3">
      <w:pPr>
        <w:rPr>
          <w:rFonts w:ascii="Calibri" w:hAnsi="Calibri" w:cs="Calibri"/>
        </w:rPr>
      </w:pPr>
    </w:p>
    <w:p w:rsidR="00054F0C" w:rsidRDefault="00054F0C" w:rsidP="00AD54A3">
      <w:pPr>
        <w:rPr>
          <w:rFonts w:ascii="Calibri" w:hAnsi="Calibri" w:cs="Calibri"/>
        </w:rPr>
      </w:pPr>
    </w:p>
    <w:p w:rsidR="00054F0C" w:rsidRDefault="00054F0C" w:rsidP="00AD54A3">
      <w:pPr>
        <w:rPr>
          <w:rFonts w:ascii="Calibri" w:hAnsi="Calibri" w:cs="Calibri"/>
        </w:rPr>
      </w:pPr>
    </w:p>
    <w:p w:rsidR="00054F0C" w:rsidRPr="003D464B" w:rsidRDefault="00054F0C" w:rsidP="00AD54A3">
      <w:pPr>
        <w:rPr>
          <w:rFonts w:ascii="Calibri" w:hAnsi="Calibri" w:cs="Calibri"/>
        </w:rPr>
      </w:pPr>
    </w:p>
    <w:p w:rsidR="00AD54A3" w:rsidRPr="003D464B" w:rsidRDefault="00AD54A3" w:rsidP="00AD54A3">
      <w:pPr>
        <w:rPr>
          <w:rFonts w:ascii="Calibri" w:hAnsi="Calibri" w:cs="Calibri"/>
        </w:rPr>
      </w:pPr>
    </w:p>
    <w:p w:rsidR="00AD54A3" w:rsidRPr="003D464B" w:rsidRDefault="00AD54A3" w:rsidP="00AD54A3">
      <w:pPr>
        <w:rPr>
          <w:rFonts w:ascii="Calibri" w:hAnsi="Calibri" w:cs="Calibri"/>
        </w:rPr>
      </w:pPr>
    </w:p>
    <w:p w:rsidR="00AD54A3" w:rsidRPr="003D464B" w:rsidRDefault="00AD54A3" w:rsidP="00AD54A3">
      <w:pPr>
        <w:rPr>
          <w:rFonts w:ascii="Calibri" w:hAnsi="Calibri" w:cs="Calibri"/>
        </w:rPr>
      </w:pPr>
    </w:p>
    <w:p w:rsidR="00AD54A3" w:rsidRDefault="00AD54A3" w:rsidP="00AD54A3">
      <w:pPr>
        <w:rPr>
          <w:rFonts w:ascii="Calibri" w:hAnsi="Calibri" w:cs="Calibri"/>
        </w:rPr>
      </w:pPr>
    </w:p>
    <w:p w:rsidR="00C50010" w:rsidRDefault="00C50010" w:rsidP="00AD54A3">
      <w:pPr>
        <w:rPr>
          <w:rFonts w:ascii="Calibri" w:hAnsi="Calibri" w:cs="Calibri"/>
        </w:rPr>
      </w:pPr>
    </w:p>
    <w:p w:rsidR="00C50010" w:rsidRDefault="00C50010" w:rsidP="00AD54A3">
      <w:pPr>
        <w:rPr>
          <w:rFonts w:ascii="Calibri" w:hAnsi="Calibri" w:cs="Calibri"/>
        </w:rPr>
      </w:pPr>
    </w:p>
    <w:p w:rsidR="00C50010" w:rsidRDefault="00C50010" w:rsidP="00AD54A3">
      <w:pPr>
        <w:rPr>
          <w:rFonts w:ascii="Calibri" w:hAnsi="Calibri" w:cs="Calibri"/>
        </w:rPr>
      </w:pPr>
    </w:p>
    <w:p w:rsidR="00C50010" w:rsidRDefault="00C50010" w:rsidP="00AD54A3">
      <w:pPr>
        <w:rPr>
          <w:rFonts w:ascii="Calibri" w:hAnsi="Calibri" w:cs="Calibri"/>
        </w:rPr>
      </w:pPr>
    </w:p>
    <w:p w:rsidR="00C50010" w:rsidRDefault="00C50010" w:rsidP="00AD54A3">
      <w:pPr>
        <w:rPr>
          <w:rFonts w:ascii="Calibri" w:hAnsi="Calibri" w:cs="Calibri"/>
        </w:rPr>
      </w:pPr>
    </w:p>
    <w:p w:rsidR="00C50010" w:rsidRDefault="00C50010" w:rsidP="00AD54A3">
      <w:pPr>
        <w:rPr>
          <w:rFonts w:ascii="Calibri" w:hAnsi="Calibri" w:cs="Calibri"/>
        </w:rPr>
      </w:pPr>
    </w:p>
    <w:p w:rsidR="00C50010" w:rsidRDefault="00C50010" w:rsidP="00AD54A3">
      <w:pPr>
        <w:rPr>
          <w:rFonts w:ascii="Calibri" w:hAnsi="Calibri" w:cs="Calibri"/>
        </w:rPr>
      </w:pPr>
    </w:p>
    <w:p w:rsidR="00C50010" w:rsidRDefault="00C50010" w:rsidP="00AD54A3">
      <w:pPr>
        <w:rPr>
          <w:rFonts w:ascii="Calibri" w:hAnsi="Calibri" w:cs="Calibri"/>
        </w:rPr>
      </w:pPr>
    </w:p>
    <w:p w:rsidR="00C50010" w:rsidRDefault="00C50010" w:rsidP="00AD54A3">
      <w:pPr>
        <w:rPr>
          <w:rFonts w:ascii="Calibri" w:hAnsi="Calibri" w:cs="Calibri"/>
        </w:rPr>
      </w:pPr>
    </w:p>
    <w:p w:rsidR="00C50010" w:rsidRDefault="00C50010" w:rsidP="00AD54A3">
      <w:pPr>
        <w:rPr>
          <w:rFonts w:ascii="Calibri" w:hAnsi="Calibri" w:cs="Calibri"/>
        </w:rPr>
      </w:pPr>
    </w:p>
    <w:p w:rsidR="00C50010" w:rsidRDefault="00C50010" w:rsidP="00AD54A3">
      <w:pPr>
        <w:rPr>
          <w:rFonts w:ascii="Calibri" w:hAnsi="Calibri" w:cs="Calibri"/>
        </w:rPr>
      </w:pPr>
    </w:p>
    <w:p w:rsidR="00C50010" w:rsidRDefault="00C50010" w:rsidP="00AD54A3">
      <w:pPr>
        <w:rPr>
          <w:rFonts w:ascii="Calibri" w:hAnsi="Calibri" w:cs="Calibri"/>
        </w:rPr>
      </w:pPr>
    </w:p>
    <w:p w:rsidR="00C50010" w:rsidRDefault="00C50010" w:rsidP="00AD54A3">
      <w:pPr>
        <w:rPr>
          <w:rFonts w:ascii="Calibri" w:hAnsi="Calibri" w:cs="Calibri"/>
        </w:rPr>
      </w:pPr>
    </w:p>
    <w:p w:rsidR="000C27BF" w:rsidRDefault="000C27BF" w:rsidP="00AD54A3">
      <w:pPr>
        <w:rPr>
          <w:rFonts w:ascii="Calibri" w:hAnsi="Calibri" w:cs="Calibri"/>
        </w:rPr>
      </w:pPr>
    </w:p>
    <w:p w:rsidR="000C27BF" w:rsidRDefault="000C27BF" w:rsidP="00AD54A3">
      <w:pPr>
        <w:rPr>
          <w:rFonts w:ascii="Calibri" w:hAnsi="Calibri" w:cs="Calibri"/>
        </w:rPr>
      </w:pPr>
    </w:p>
    <w:p w:rsidR="000C27BF" w:rsidRDefault="000C27BF" w:rsidP="00AD54A3">
      <w:pPr>
        <w:rPr>
          <w:rFonts w:ascii="Calibri" w:hAnsi="Calibri" w:cs="Calibri"/>
        </w:rPr>
      </w:pPr>
    </w:p>
    <w:p w:rsidR="000C27BF" w:rsidRDefault="000C27BF" w:rsidP="00AD54A3">
      <w:pPr>
        <w:rPr>
          <w:rFonts w:ascii="Calibri" w:hAnsi="Calibri" w:cs="Calibri"/>
        </w:rPr>
      </w:pPr>
    </w:p>
    <w:p w:rsidR="000C27BF" w:rsidRDefault="000C27BF" w:rsidP="00AD54A3">
      <w:pPr>
        <w:rPr>
          <w:rFonts w:ascii="Calibri" w:hAnsi="Calibri" w:cs="Calibri"/>
        </w:rPr>
      </w:pPr>
    </w:p>
    <w:p w:rsidR="000C27BF" w:rsidRDefault="000C27BF" w:rsidP="00AD54A3">
      <w:pPr>
        <w:rPr>
          <w:rFonts w:ascii="Calibri" w:hAnsi="Calibri" w:cs="Calibri"/>
        </w:rPr>
      </w:pPr>
    </w:p>
    <w:p w:rsidR="000C27BF" w:rsidRPr="003D464B" w:rsidRDefault="000C27BF" w:rsidP="00AD54A3">
      <w:pPr>
        <w:rPr>
          <w:rFonts w:ascii="Calibri" w:hAnsi="Calibri" w:cs="Calibri"/>
        </w:rPr>
      </w:pPr>
    </w:p>
    <w:p w:rsidR="00AD54A3" w:rsidRPr="003D464B" w:rsidRDefault="00AD54A3" w:rsidP="002B2C83">
      <w:pPr>
        <w:pStyle w:val="Nagwek1"/>
        <w:jc w:val="center"/>
      </w:pPr>
      <w:bookmarkStart w:id="1387" w:name="_Toc404342031"/>
      <w:bookmarkStart w:id="1388" w:name="_Toc438237724"/>
      <w:r w:rsidRPr="003D464B">
        <w:t xml:space="preserve">D-04.04.02 </w:t>
      </w:r>
      <w:r w:rsidR="000F7591">
        <w:t xml:space="preserve"> PODBUDOWA Z KRUSZYWA ŁAMANEGO STABILIZOWANEGO </w:t>
      </w:r>
      <w:r w:rsidRPr="003D464B">
        <w:t>MECHANICZNIE</w:t>
      </w:r>
      <w:bookmarkEnd w:id="1387"/>
      <w:bookmarkEnd w:id="1388"/>
    </w:p>
    <w:p w:rsidR="00AD54A3" w:rsidRPr="003D464B" w:rsidRDefault="00AD54A3" w:rsidP="00AD54A3">
      <w:pPr>
        <w:rPr>
          <w:rFonts w:ascii="Calibri" w:hAnsi="Calibri" w:cs="Calibri"/>
        </w:rPr>
      </w:pPr>
    </w:p>
    <w:p w:rsidR="00AD54A3" w:rsidRPr="003D464B" w:rsidRDefault="00AD54A3" w:rsidP="00AD54A3">
      <w:pPr>
        <w:rPr>
          <w:rFonts w:ascii="Calibri" w:hAnsi="Calibri" w:cs="Calibri"/>
        </w:rPr>
      </w:pPr>
    </w:p>
    <w:p w:rsidR="00AD54A3" w:rsidRPr="003D464B" w:rsidRDefault="00AD54A3" w:rsidP="00AD54A3">
      <w:pPr>
        <w:rPr>
          <w:rFonts w:ascii="Calibri" w:hAnsi="Calibri" w:cs="Calibri"/>
        </w:rPr>
      </w:pPr>
    </w:p>
    <w:p w:rsidR="00AD54A3" w:rsidRPr="003D464B" w:rsidRDefault="00AD54A3" w:rsidP="00AD54A3">
      <w:pPr>
        <w:rPr>
          <w:rFonts w:ascii="Calibri" w:hAnsi="Calibri" w:cs="Calibri"/>
        </w:rPr>
      </w:pPr>
    </w:p>
    <w:p w:rsidR="00AD54A3" w:rsidRPr="003D464B" w:rsidRDefault="00AD54A3" w:rsidP="00AD54A3">
      <w:pPr>
        <w:rPr>
          <w:rFonts w:ascii="Calibri" w:hAnsi="Calibri" w:cs="Calibri"/>
        </w:rPr>
      </w:pPr>
    </w:p>
    <w:p w:rsidR="00AD54A3" w:rsidRPr="003D464B" w:rsidRDefault="00AD54A3" w:rsidP="00AD54A3">
      <w:pPr>
        <w:rPr>
          <w:rFonts w:ascii="Calibri" w:hAnsi="Calibri" w:cs="Calibri"/>
        </w:rPr>
      </w:pPr>
    </w:p>
    <w:p w:rsidR="00AD54A3" w:rsidRPr="003D464B" w:rsidRDefault="00AD54A3" w:rsidP="00AD54A3">
      <w:pPr>
        <w:rPr>
          <w:rFonts w:ascii="Calibri" w:hAnsi="Calibri" w:cs="Calibri"/>
        </w:rPr>
      </w:pPr>
    </w:p>
    <w:p w:rsidR="00AD54A3" w:rsidRPr="003D464B" w:rsidRDefault="00AD54A3" w:rsidP="00AD54A3">
      <w:pPr>
        <w:rPr>
          <w:rFonts w:ascii="Calibri" w:hAnsi="Calibri" w:cs="Calibri"/>
        </w:rPr>
      </w:pPr>
    </w:p>
    <w:p w:rsidR="00AD54A3" w:rsidRPr="003D464B" w:rsidRDefault="00AD54A3" w:rsidP="00AD54A3">
      <w:pPr>
        <w:rPr>
          <w:rFonts w:ascii="Calibri" w:hAnsi="Calibri" w:cs="Calibri"/>
        </w:rPr>
      </w:pPr>
    </w:p>
    <w:p w:rsidR="00AD54A3" w:rsidRPr="003D464B" w:rsidRDefault="00AD54A3" w:rsidP="00AD54A3">
      <w:pPr>
        <w:rPr>
          <w:rFonts w:ascii="Calibri" w:hAnsi="Calibri" w:cs="Calibri"/>
        </w:rPr>
      </w:pPr>
    </w:p>
    <w:p w:rsidR="00AD54A3" w:rsidRPr="003D464B" w:rsidRDefault="00AD54A3" w:rsidP="00AD54A3">
      <w:pPr>
        <w:rPr>
          <w:rFonts w:ascii="Calibri" w:hAnsi="Calibri" w:cs="Calibri"/>
        </w:rPr>
      </w:pPr>
    </w:p>
    <w:p w:rsidR="00AD54A3" w:rsidRPr="003D464B" w:rsidRDefault="00AD54A3" w:rsidP="00AD54A3">
      <w:pPr>
        <w:rPr>
          <w:rFonts w:ascii="Calibri" w:hAnsi="Calibri" w:cs="Calibri"/>
        </w:rPr>
      </w:pPr>
    </w:p>
    <w:p w:rsidR="00AD54A3" w:rsidRPr="003D464B" w:rsidRDefault="00AD54A3" w:rsidP="00AD54A3">
      <w:pPr>
        <w:rPr>
          <w:rFonts w:ascii="Calibri" w:hAnsi="Calibri" w:cs="Calibri"/>
        </w:rPr>
      </w:pPr>
    </w:p>
    <w:p w:rsidR="00AD54A3" w:rsidRPr="003D464B" w:rsidRDefault="00AD54A3" w:rsidP="00AD54A3">
      <w:pPr>
        <w:rPr>
          <w:rFonts w:ascii="Calibri" w:hAnsi="Calibri" w:cs="Calibri"/>
        </w:rPr>
      </w:pPr>
    </w:p>
    <w:p w:rsidR="00AD54A3" w:rsidRPr="003D464B" w:rsidRDefault="00AD54A3" w:rsidP="00AD54A3">
      <w:pPr>
        <w:rPr>
          <w:rFonts w:ascii="Calibri" w:hAnsi="Calibri" w:cs="Calibri"/>
        </w:rPr>
      </w:pPr>
    </w:p>
    <w:p w:rsidR="00AD54A3" w:rsidRPr="003D464B" w:rsidRDefault="00AD54A3" w:rsidP="00AD54A3">
      <w:pPr>
        <w:rPr>
          <w:rFonts w:ascii="Calibri" w:hAnsi="Calibri" w:cs="Calibri"/>
        </w:rPr>
      </w:pPr>
    </w:p>
    <w:p w:rsidR="00AD54A3" w:rsidRPr="003D464B" w:rsidRDefault="00AD54A3" w:rsidP="00AD54A3">
      <w:pPr>
        <w:rPr>
          <w:rFonts w:ascii="Calibri" w:hAnsi="Calibri" w:cs="Calibri"/>
        </w:rPr>
      </w:pPr>
    </w:p>
    <w:p w:rsidR="00AD54A3" w:rsidRPr="003D464B" w:rsidRDefault="00AD54A3" w:rsidP="00AD54A3">
      <w:pPr>
        <w:rPr>
          <w:rFonts w:ascii="Calibri" w:hAnsi="Calibri" w:cs="Calibri"/>
        </w:rPr>
      </w:pPr>
    </w:p>
    <w:p w:rsidR="00AD54A3" w:rsidRPr="003D464B" w:rsidRDefault="00AD54A3" w:rsidP="00AD54A3">
      <w:pPr>
        <w:rPr>
          <w:rFonts w:ascii="Calibri" w:hAnsi="Calibri" w:cs="Calibri"/>
        </w:rPr>
      </w:pPr>
    </w:p>
    <w:p w:rsidR="00AD54A3" w:rsidRPr="003D464B" w:rsidRDefault="00AD54A3" w:rsidP="00AD54A3">
      <w:pPr>
        <w:rPr>
          <w:rFonts w:ascii="Calibri" w:hAnsi="Calibri" w:cs="Calibri"/>
        </w:rPr>
      </w:pPr>
    </w:p>
    <w:p w:rsidR="00AD54A3" w:rsidRPr="003D464B" w:rsidRDefault="00AD54A3" w:rsidP="00AD54A3">
      <w:pPr>
        <w:rPr>
          <w:rFonts w:ascii="Calibri" w:hAnsi="Calibri" w:cs="Calibri"/>
        </w:rPr>
      </w:pPr>
    </w:p>
    <w:p w:rsidR="00AD54A3" w:rsidRPr="003D464B" w:rsidRDefault="00AD54A3" w:rsidP="00AD54A3">
      <w:pPr>
        <w:rPr>
          <w:rFonts w:ascii="Calibri" w:hAnsi="Calibri" w:cs="Calibri"/>
        </w:rPr>
      </w:pPr>
    </w:p>
    <w:p w:rsidR="00AD54A3" w:rsidRPr="003D464B" w:rsidRDefault="00AD54A3" w:rsidP="00AD54A3">
      <w:pPr>
        <w:rPr>
          <w:rFonts w:ascii="Calibri" w:hAnsi="Calibri" w:cs="Calibri"/>
        </w:rPr>
      </w:pPr>
    </w:p>
    <w:p w:rsidR="00AD54A3" w:rsidRPr="003D464B" w:rsidRDefault="00AD54A3" w:rsidP="00AD54A3">
      <w:pPr>
        <w:rPr>
          <w:rFonts w:ascii="Calibri" w:hAnsi="Calibri" w:cs="Calibri"/>
        </w:rPr>
      </w:pPr>
    </w:p>
    <w:p w:rsidR="000F7591" w:rsidRDefault="000F7591" w:rsidP="00AD54A3">
      <w:pPr>
        <w:rPr>
          <w:rFonts w:ascii="Calibri" w:hAnsi="Calibri" w:cs="Calibri"/>
          <w:b/>
        </w:rPr>
      </w:pPr>
    </w:p>
    <w:p w:rsidR="000F7591" w:rsidRDefault="000F7591" w:rsidP="00AD54A3">
      <w:pPr>
        <w:rPr>
          <w:rFonts w:ascii="Calibri" w:hAnsi="Calibri" w:cs="Calibri"/>
          <w:b/>
        </w:rPr>
      </w:pPr>
    </w:p>
    <w:p w:rsidR="000F7591" w:rsidRDefault="000F7591" w:rsidP="00AD54A3">
      <w:pPr>
        <w:rPr>
          <w:rFonts w:ascii="Calibri" w:hAnsi="Calibri" w:cs="Calibri"/>
          <w:b/>
        </w:rPr>
      </w:pPr>
    </w:p>
    <w:p w:rsidR="000F7591" w:rsidRDefault="000F7591" w:rsidP="00AD54A3">
      <w:pPr>
        <w:rPr>
          <w:rFonts w:ascii="Calibri" w:hAnsi="Calibri" w:cs="Calibri"/>
          <w:b/>
        </w:rPr>
      </w:pPr>
    </w:p>
    <w:p w:rsidR="000F7591" w:rsidRDefault="000F7591" w:rsidP="00AD54A3">
      <w:pPr>
        <w:rPr>
          <w:rFonts w:ascii="Calibri" w:hAnsi="Calibri" w:cs="Calibri"/>
          <w:b/>
        </w:rPr>
      </w:pPr>
    </w:p>
    <w:p w:rsidR="000F7591" w:rsidRDefault="000F7591" w:rsidP="00AD54A3">
      <w:pPr>
        <w:rPr>
          <w:rFonts w:ascii="Calibri" w:hAnsi="Calibri" w:cs="Calibri"/>
          <w:b/>
        </w:rPr>
      </w:pPr>
    </w:p>
    <w:p w:rsidR="000F7591" w:rsidRDefault="000F7591" w:rsidP="00AD54A3">
      <w:pPr>
        <w:rPr>
          <w:rFonts w:ascii="Calibri" w:hAnsi="Calibri" w:cs="Calibri"/>
          <w:b/>
        </w:rPr>
      </w:pPr>
    </w:p>
    <w:p w:rsidR="000F7591" w:rsidRDefault="000F7591" w:rsidP="00AD54A3">
      <w:pPr>
        <w:rPr>
          <w:rFonts w:ascii="Calibri" w:hAnsi="Calibri" w:cs="Calibri"/>
          <w:b/>
        </w:rPr>
      </w:pPr>
    </w:p>
    <w:p w:rsidR="000F7591" w:rsidRDefault="000F7591" w:rsidP="00AD54A3">
      <w:pPr>
        <w:rPr>
          <w:rFonts w:ascii="Calibri" w:hAnsi="Calibri" w:cs="Calibri"/>
          <w:b/>
        </w:rPr>
      </w:pPr>
    </w:p>
    <w:p w:rsidR="000F7591" w:rsidRDefault="000F7591" w:rsidP="00AD54A3">
      <w:pPr>
        <w:rPr>
          <w:rFonts w:ascii="Calibri" w:hAnsi="Calibri" w:cs="Calibri"/>
          <w:b/>
        </w:rPr>
      </w:pPr>
    </w:p>
    <w:p w:rsidR="002C6A04" w:rsidRDefault="002C6A04" w:rsidP="00AD54A3">
      <w:pPr>
        <w:rPr>
          <w:rFonts w:ascii="Calibri" w:hAnsi="Calibri" w:cs="Calibri"/>
          <w:b/>
        </w:rPr>
      </w:pPr>
    </w:p>
    <w:p w:rsidR="002C6A04" w:rsidRDefault="002C6A04" w:rsidP="00AD54A3">
      <w:pPr>
        <w:rPr>
          <w:rFonts w:ascii="Calibri" w:hAnsi="Calibri" w:cs="Calibri"/>
          <w:b/>
        </w:rPr>
      </w:pPr>
    </w:p>
    <w:p w:rsidR="000F7591" w:rsidRDefault="000F7591" w:rsidP="00AD54A3">
      <w:pPr>
        <w:rPr>
          <w:rFonts w:ascii="Calibri" w:hAnsi="Calibri" w:cs="Calibri"/>
          <w:b/>
        </w:rPr>
      </w:pPr>
    </w:p>
    <w:p w:rsidR="000F7591" w:rsidRDefault="000F7591" w:rsidP="00AD54A3">
      <w:pPr>
        <w:rPr>
          <w:rFonts w:ascii="Calibri" w:hAnsi="Calibri" w:cs="Calibri"/>
          <w:b/>
        </w:rPr>
      </w:pPr>
    </w:p>
    <w:p w:rsidR="00C50010" w:rsidRDefault="00C50010" w:rsidP="00AD54A3">
      <w:pPr>
        <w:rPr>
          <w:rFonts w:ascii="Calibri" w:hAnsi="Calibri" w:cs="Calibri"/>
          <w:b/>
        </w:rPr>
      </w:pPr>
    </w:p>
    <w:p w:rsidR="00C50010" w:rsidRDefault="00C50010" w:rsidP="00AD54A3">
      <w:pPr>
        <w:rPr>
          <w:rFonts w:ascii="Calibri" w:hAnsi="Calibri" w:cs="Calibri"/>
          <w:b/>
        </w:rPr>
      </w:pPr>
    </w:p>
    <w:p w:rsidR="00AD54A3" w:rsidRPr="003D464B" w:rsidRDefault="00AD54A3" w:rsidP="00AD54A3">
      <w:pPr>
        <w:rPr>
          <w:rFonts w:ascii="Calibri" w:hAnsi="Calibri" w:cs="Calibri"/>
          <w:b/>
        </w:rPr>
      </w:pPr>
      <w:r w:rsidRPr="003D464B">
        <w:rPr>
          <w:rFonts w:ascii="Calibri" w:hAnsi="Calibri" w:cs="Calibri"/>
          <w:b/>
        </w:rPr>
        <w:lastRenderedPageBreak/>
        <w:t>1. WSTĘP</w:t>
      </w:r>
    </w:p>
    <w:p w:rsidR="00AD54A3" w:rsidRPr="003D464B" w:rsidRDefault="00AD54A3" w:rsidP="00AD54A3">
      <w:pPr>
        <w:rPr>
          <w:rFonts w:ascii="Calibri" w:hAnsi="Calibri" w:cs="Calibri"/>
        </w:rPr>
      </w:pPr>
      <w:r w:rsidRPr="003D464B">
        <w:rPr>
          <w:rFonts w:ascii="Calibri" w:hAnsi="Calibri" w:cs="Calibri"/>
          <w:b/>
        </w:rPr>
        <w:t>1.1.</w:t>
      </w:r>
      <w:r w:rsidRPr="003D464B">
        <w:rPr>
          <w:rFonts w:ascii="Calibri" w:hAnsi="Calibri" w:cs="Calibri"/>
        </w:rPr>
        <w:t xml:space="preserve"> Przedmiot ST</w:t>
      </w:r>
    </w:p>
    <w:p w:rsidR="00AD54A3" w:rsidRPr="003D464B" w:rsidRDefault="00AD54A3" w:rsidP="00AD54A3">
      <w:pPr>
        <w:rPr>
          <w:rFonts w:ascii="Calibri" w:hAnsi="Calibri" w:cs="Calibri"/>
        </w:rPr>
      </w:pPr>
      <w:r w:rsidRPr="003D464B">
        <w:rPr>
          <w:rFonts w:ascii="Calibri" w:hAnsi="Calibri" w:cs="Calibri"/>
        </w:rPr>
        <w:tab/>
        <w:t>Przedmiotem niniejszej specyfikacji technicznej (ST) są wymagania ogólne dotyczące wykonania i odbioru robót związanych z wykonywaniem podbudowy z kruszywa łamanego stabilizowanego mechanicznie.</w:t>
      </w:r>
    </w:p>
    <w:p w:rsidR="00AD54A3" w:rsidRPr="003D464B" w:rsidRDefault="00AD54A3" w:rsidP="00AD54A3">
      <w:pPr>
        <w:rPr>
          <w:rFonts w:ascii="Calibri" w:hAnsi="Calibri" w:cs="Calibri"/>
        </w:rPr>
      </w:pPr>
      <w:r w:rsidRPr="003D464B">
        <w:rPr>
          <w:rFonts w:ascii="Calibri" w:hAnsi="Calibri" w:cs="Calibri"/>
          <w:b/>
        </w:rPr>
        <w:t>1.2.</w:t>
      </w:r>
      <w:r w:rsidRPr="003D464B">
        <w:rPr>
          <w:rFonts w:ascii="Calibri" w:hAnsi="Calibri" w:cs="Calibri"/>
        </w:rPr>
        <w:t xml:space="preserve"> Zakres stosowania ST</w:t>
      </w:r>
    </w:p>
    <w:p w:rsidR="00AD54A3" w:rsidRPr="003D464B" w:rsidRDefault="00AD54A3" w:rsidP="00AD54A3">
      <w:pPr>
        <w:rPr>
          <w:rFonts w:ascii="Calibri" w:hAnsi="Calibri" w:cs="Calibri"/>
        </w:rPr>
      </w:pPr>
      <w:r w:rsidRPr="003D464B">
        <w:rPr>
          <w:rFonts w:ascii="Calibri" w:hAnsi="Calibri" w:cs="Calibri"/>
        </w:rPr>
        <w:tab/>
        <w:t>Specyfikacja techniczna określa wymagania dla wykonania i odbioru robót budowlanych przewidzianych do wykonania w ramach umowy a zawarte w niej zapisy w zakresie standardu materiałów, wykonania robót i wymaganej ich jakości oraz kontroli jakości robót należy traktować jako minimalne.</w:t>
      </w:r>
    </w:p>
    <w:p w:rsidR="00AD54A3" w:rsidRPr="003D464B" w:rsidRDefault="00AD54A3" w:rsidP="00AD54A3">
      <w:pPr>
        <w:rPr>
          <w:rFonts w:ascii="Calibri" w:hAnsi="Calibri" w:cs="Calibri"/>
        </w:rPr>
      </w:pPr>
      <w:r w:rsidRPr="003D464B">
        <w:rPr>
          <w:rFonts w:ascii="Calibri" w:hAnsi="Calibri" w:cs="Calibri"/>
          <w:b/>
        </w:rPr>
        <w:t>1.3.</w:t>
      </w:r>
      <w:r w:rsidRPr="003D464B">
        <w:rPr>
          <w:rFonts w:ascii="Calibri" w:hAnsi="Calibri" w:cs="Calibri"/>
        </w:rPr>
        <w:t xml:space="preserve"> Zakres robót objętych ST</w:t>
      </w:r>
    </w:p>
    <w:p w:rsidR="00054F0C" w:rsidRPr="00666F76" w:rsidRDefault="00AD54A3" w:rsidP="00054F0C">
      <w:pPr>
        <w:rPr>
          <w:rFonts w:asciiTheme="minorHAnsi" w:hAnsiTheme="minorHAnsi" w:cs="Calibri"/>
        </w:rPr>
      </w:pPr>
      <w:r w:rsidRPr="003D464B">
        <w:rPr>
          <w:rFonts w:ascii="Calibri" w:hAnsi="Calibri" w:cs="Calibri"/>
        </w:rPr>
        <w:tab/>
        <w:t>Ustalenia zawarte w niniejszej specyfikacji dotyczą zasad prowadzenia robót związanych z wykonywaniem podbudowy z kruszywa łamane</w:t>
      </w:r>
      <w:r w:rsidR="002C6A04">
        <w:rPr>
          <w:rFonts w:ascii="Calibri" w:hAnsi="Calibri" w:cs="Calibri"/>
        </w:rPr>
        <w:t xml:space="preserve">go stabilizowanego mechanicznie </w:t>
      </w:r>
      <w:r w:rsidR="00054F0C" w:rsidRPr="00666F76">
        <w:rPr>
          <w:rFonts w:ascii="Calibri" w:hAnsi="Calibri" w:cs="Calibri"/>
        </w:rPr>
        <w:t>w związku z „</w:t>
      </w:r>
      <w:r w:rsidR="00054F0C" w:rsidRPr="00666F76">
        <w:rPr>
          <w:rFonts w:asciiTheme="minorHAnsi" w:hAnsiTheme="minorHAnsi"/>
        </w:rPr>
        <w:t>Przebudową ul.55 Pułku Piechoty w Lesznie wraz z przebudową oświetlenia”</w:t>
      </w:r>
      <w:r w:rsidR="00054F0C" w:rsidRPr="00666F76">
        <w:rPr>
          <w:rFonts w:asciiTheme="minorHAnsi" w:hAnsiTheme="minorHAnsi" w:cs="Calibri"/>
        </w:rPr>
        <w:t>.</w:t>
      </w:r>
    </w:p>
    <w:p w:rsidR="00AD54A3" w:rsidRPr="003D464B" w:rsidRDefault="00AD54A3" w:rsidP="00AD54A3">
      <w:pPr>
        <w:rPr>
          <w:rFonts w:ascii="Calibri" w:hAnsi="Calibri" w:cs="Calibri"/>
        </w:rPr>
      </w:pPr>
      <w:r w:rsidRPr="003D464B">
        <w:rPr>
          <w:rFonts w:ascii="Calibri" w:hAnsi="Calibri" w:cs="Calibri"/>
        </w:rPr>
        <w:tab/>
        <w:t>Ustalenia zawarte są w ST D-04.04.00 „Podbudowa z kruszyw. Wymagania ogólne” pkt 1.3.</w:t>
      </w:r>
    </w:p>
    <w:p w:rsidR="00AD54A3" w:rsidRPr="003D464B" w:rsidRDefault="00AD54A3" w:rsidP="00AD54A3">
      <w:pPr>
        <w:rPr>
          <w:rFonts w:ascii="Calibri" w:hAnsi="Calibri" w:cs="Calibri"/>
        </w:rPr>
      </w:pPr>
      <w:r w:rsidRPr="003D464B">
        <w:rPr>
          <w:rFonts w:ascii="Calibri" w:hAnsi="Calibri" w:cs="Calibri"/>
          <w:b/>
        </w:rPr>
        <w:t>1.4.</w:t>
      </w:r>
      <w:r w:rsidRPr="003D464B">
        <w:rPr>
          <w:rFonts w:ascii="Calibri" w:hAnsi="Calibri" w:cs="Calibri"/>
        </w:rPr>
        <w:t xml:space="preserve"> Określenia podstawowe</w:t>
      </w:r>
    </w:p>
    <w:p w:rsidR="00AD54A3" w:rsidRPr="003D464B" w:rsidRDefault="00AD54A3" w:rsidP="00AD54A3">
      <w:pPr>
        <w:rPr>
          <w:rFonts w:ascii="Calibri" w:hAnsi="Calibri" w:cs="Calibri"/>
        </w:rPr>
      </w:pPr>
      <w:r w:rsidRPr="003D464B">
        <w:rPr>
          <w:rFonts w:ascii="Calibri" w:hAnsi="Calibri" w:cs="Calibri"/>
          <w:b/>
        </w:rPr>
        <w:t>1.4.1.</w:t>
      </w:r>
      <w:r w:rsidRPr="003D464B">
        <w:rPr>
          <w:rFonts w:ascii="Calibri" w:hAnsi="Calibri" w:cs="Calibri"/>
        </w:rPr>
        <w:t xml:space="preserve"> Podbudowa z kruszywa łamanego stabilizowanego mechanicznie - jedna lub więcej warstw zagęszczonej mieszanki, która stanowi warstwę nośną nawierzchni drogowej.</w:t>
      </w:r>
    </w:p>
    <w:p w:rsidR="00AD54A3" w:rsidRPr="003D464B" w:rsidRDefault="00AD54A3" w:rsidP="00AD54A3">
      <w:pPr>
        <w:rPr>
          <w:rFonts w:ascii="Calibri" w:hAnsi="Calibri" w:cs="Calibri"/>
        </w:rPr>
      </w:pPr>
      <w:r w:rsidRPr="003D464B">
        <w:rPr>
          <w:rFonts w:ascii="Calibri" w:hAnsi="Calibri" w:cs="Calibri"/>
          <w:b/>
        </w:rPr>
        <w:t>1.4.2.</w:t>
      </w:r>
      <w:r w:rsidRPr="003D464B">
        <w:rPr>
          <w:rFonts w:ascii="Calibri" w:hAnsi="Calibri" w:cs="Calibri"/>
        </w:rPr>
        <w:t xml:space="preserve"> Pozostałe określenia podstawowe są zgodne z obowiązującymi, odpowiednimi polskimi normami oraz z definicjami podanymi w ST D-04.04.00 „Podbudowa z kruszyw. Wymagania ogólne” pkt 1.4. </w:t>
      </w:r>
    </w:p>
    <w:p w:rsidR="00AD54A3" w:rsidRPr="003D464B" w:rsidRDefault="00AD54A3" w:rsidP="00AD54A3">
      <w:pPr>
        <w:rPr>
          <w:rFonts w:ascii="Calibri" w:hAnsi="Calibri" w:cs="Calibri"/>
        </w:rPr>
      </w:pPr>
      <w:r w:rsidRPr="003D464B">
        <w:rPr>
          <w:rFonts w:ascii="Calibri" w:hAnsi="Calibri" w:cs="Calibri"/>
          <w:b/>
        </w:rPr>
        <w:t>1.5.</w:t>
      </w:r>
      <w:r w:rsidRPr="003D464B">
        <w:rPr>
          <w:rFonts w:ascii="Calibri" w:hAnsi="Calibri" w:cs="Calibri"/>
        </w:rPr>
        <w:t xml:space="preserve"> Ogólne wymagania dotyczące robót</w:t>
      </w:r>
    </w:p>
    <w:p w:rsidR="00AD54A3" w:rsidRPr="003D464B" w:rsidRDefault="00AD54A3" w:rsidP="00AD54A3">
      <w:pPr>
        <w:rPr>
          <w:rFonts w:ascii="Calibri" w:hAnsi="Calibri" w:cs="Calibri"/>
        </w:rPr>
      </w:pPr>
      <w:r w:rsidRPr="003D464B">
        <w:rPr>
          <w:rFonts w:ascii="Calibri" w:hAnsi="Calibri" w:cs="Calibri"/>
        </w:rPr>
        <w:tab/>
        <w:t>Ogólne wymagania dotyczące robót podano w ST D-04.04.00 „Podbudowa z kruszyw. Wymagania ogólne” pkt 1.5.</w:t>
      </w:r>
    </w:p>
    <w:p w:rsidR="00AD54A3" w:rsidRPr="003D464B" w:rsidRDefault="00AD54A3" w:rsidP="00AD54A3">
      <w:pPr>
        <w:rPr>
          <w:rFonts w:ascii="Calibri" w:hAnsi="Calibri" w:cs="Calibri"/>
        </w:rPr>
      </w:pPr>
    </w:p>
    <w:p w:rsidR="00AD54A3" w:rsidRPr="003D464B" w:rsidRDefault="00AD54A3" w:rsidP="00AD54A3">
      <w:pPr>
        <w:rPr>
          <w:rFonts w:ascii="Calibri" w:hAnsi="Calibri" w:cs="Calibri"/>
          <w:b/>
        </w:rPr>
      </w:pPr>
      <w:r w:rsidRPr="003D464B">
        <w:rPr>
          <w:rFonts w:ascii="Calibri" w:hAnsi="Calibri" w:cs="Calibri"/>
          <w:b/>
        </w:rPr>
        <w:t>2. MATERIAŁY</w:t>
      </w:r>
    </w:p>
    <w:p w:rsidR="00AD54A3" w:rsidRPr="003D464B" w:rsidRDefault="00AD54A3" w:rsidP="00AD54A3">
      <w:pPr>
        <w:rPr>
          <w:rFonts w:ascii="Calibri" w:hAnsi="Calibri" w:cs="Calibri"/>
        </w:rPr>
      </w:pPr>
      <w:r w:rsidRPr="003D464B">
        <w:rPr>
          <w:rFonts w:ascii="Calibri" w:hAnsi="Calibri" w:cs="Calibri"/>
          <w:b/>
        </w:rPr>
        <w:t>2.1.</w:t>
      </w:r>
      <w:r w:rsidRPr="003D464B">
        <w:rPr>
          <w:rFonts w:ascii="Calibri" w:hAnsi="Calibri" w:cs="Calibri"/>
        </w:rPr>
        <w:t xml:space="preserve"> Ogólne wymagania dotyczące materiałów</w:t>
      </w:r>
    </w:p>
    <w:p w:rsidR="00AD54A3" w:rsidRPr="003D464B" w:rsidRDefault="00AD54A3" w:rsidP="00AD54A3">
      <w:pPr>
        <w:rPr>
          <w:rFonts w:ascii="Calibri" w:hAnsi="Calibri" w:cs="Calibri"/>
        </w:rPr>
      </w:pPr>
      <w:r w:rsidRPr="003D464B">
        <w:rPr>
          <w:rFonts w:ascii="Calibri" w:hAnsi="Calibri" w:cs="Calibri"/>
        </w:rPr>
        <w:tab/>
        <w:t>Ogólne wymagania dotyczące materiałów, ich pozyskiwania i składowania, podano w ST D-04.04.00 „Podbudowa z kruszyw. Wymagania ogólne” pkt 2.</w:t>
      </w:r>
    </w:p>
    <w:p w:rsidR="00AD54A3" w:rsidRPr="003D464B" w:rsidRDefault="00AD54A3" w:rsidP="00AD54A3">
      <w:pPr>
        <w:rPr>
          <w:rFonts w:ascii="Calibri" w:hAnsi="Calibri" w:cs="Calibri"/>
        </w:rPr>
      </w:pPr>
      <w:r w:rsidRPr="003D464B">
        <w:rPr>
          <w:rFonts w:ascii="Calibri" w:hAnsi="Calibri" w:cs="Calibri"/>
          <w:b/>
        </w:rPr>
        <w:t>2.2.</w:t>
      </w:r>
      <w:r w:rsidRPr="003D464B">
        <w:rPr>
          <w:rFonts w:ascii="Calibri" w:hAnsi="Calibri" w:cs="Calibri"/>
        </w:rPr>
        <w:t xml:space="preserve"> Rodzaje materiałów</w:t>
      </w:r>
    </w:p>
    <w:p w:rsidR="00AD54A3" w:rsidRPr="003D464B" w:rsidRDefault="00AD54A3" w:rsidP="00AD54A3">
      <w:pPr>
        <w:rPr>
          <w:rFonts w:ascii="Calibri" w:hAnsi="Calibri" w:cs="Calibri"/>
        </w:rPr>
      </w:pPr>
      <w:r w:rsidRPr="003D464B">
        <w:rPr>
          <w:rFonts w:ascii="Calibri" w:hAnsi="Calibri" w:cs="Calibri"/>
        </w:rPr>
        <w:tab/>
        <w:t xml:space="preserve">Materiałem do wykonania podbudowy z kruszyw łamanych stabilizowanych mechanicznie powinno być kruszywo łamane, uzyskane w wyniku przekruszenia surowca skalnego lub kamieni narzutowych i otoczaków albo ziarn żwiru większych od 8 mm.  </w:t>
      </w:r>
    </w:p>
    <w:p w:rsidR="00AD54A3" w:rsidRPr="003D464B" w:rsidRDefault="00AD54A3" w:rsidP="00AD54A3">
      <w:pPr>
        <w:rPr>
          <w:rFonts w:ascii="Calibri" w:hAnsi="Calibri" w:cs="Calibri"/>
        </w:rPr>
      </w:pPr>
      <w:r w:rsidRPr="003D464B">
        <w:rPr>
          <w:rFonts w:ascii="Calibri" w:hAnsi="Calibri" w:cs="Calibri"/>
        </w:rPr>
        <w:tab/>
        <w:t>Kruszywo powinno być jednorodne bez zanieczyszczeń obcych i bez domieszek gliny.</w:t>
      </w:r>
    </w:p>
    <w:p w:rsidR="00AD54A3" w:rsidRPr="003D464B" w:rsidRDefault="00AD54A3" w:rsidP="00AD54A3">
      <w:pPr>
        <w:rPr>
          <w:rFonts w:ascii="Calibri" w:hAnsi="Calibri" w:cs="Calibri"/>
        </w:rPr>
      </w:pPr>
      <w:r w:rsidRPr="003D464B">
        <w:rPr>
          <w:rFonts w:ascii="Calibri" w:hAnsi="Calibri" w:cs="Calibri"/>
          <w:b/>
        </w:rPr>
        <w:t>2.3.</w:t>
      </w:r>
      <w:r w:rsidRPr="003D464B">
        <w:rPr>
          <w:rFonts w:ascii="Calibri" w:hAnsi="Calibri" w:cs="Calibri"/>
        </w:rPr>
        <w:t xml:space="preserve"> Wymagania dla materiałów</w:t>
      </w:r>
    </w:p>
    <w:p w:rsidR="00AD54A3" w:rsidRPr="003D464B" w:rsidRDefault="00AD54A3" w:rsidP="00AD54A3">
      <w:pPr>
        <w:rPr>
          <w:rFonts w:ascii="Calibri" w:hAnsi="Calibri" w:cs="Calibri"/>
        </w:rPr>
      </w:pPr>
      <w:r w:rsidRPr="003D464B">
        <w:rPr>
          <w:rFonts w:ascii="Calibri" w:hAnsi="Calibri" w:cs="Calibri"/>
          <w:b/>
        </w:rPr>
        <w:t>2.3.1.</w:t>
      </w:r>
      <w:r w:rsidRPr="003D464B">
        <w:rPr>
          <w:rFonts w:ascii="Calibri" w:hAnsi="Calibri" w:cs="Calibri"/>
        </w:rPr>
        <w:t xml:space="preserve"> Uziarnienie kruszywa</w:t>
      </w:r>
    </w:p>
    <w:p w:rsidR="00AD54A3" w:rsidRPr="003D464B" w:rsidRDefault="00AD54A3" w:rsidP="00AD54A3">
      <w:pPr>
        <w:rPr>
          <w:rFonts w:ascii="Calibri" w:hAnsi="Calibri" w:cs="Calibri"/>
        </w:rPr>
      </w:pPr>
      <w:r w:rsidRPr="003D464B">
        <w:rPr>
          <w:rFonts w:ascii="Calibri" w:hAnsi="Calibri" w:cs="Calibri"/>
        </w:rPr>
        <w:tab/>
        <w:t>Uziarnienie kruszywa powinno być zgodne z wymaganiami podanymi w ST D-04.04.00 „Podbudowa z kruszyw. Wymagania ogólne” pkt 2.3.1.</w:t>
      </w:r>
    </w:p>
    <w:p w:rsidR="00AD54A3" w:rsidRPr="003D464B" w:rsidRDefault="00AD54A3" w:rsidP="00AD54A3">
      <w:pPr>
        <w:rPr>
          <w:rFonts w:ascii="Calibri" w:hAnsi="Calibri" w:cs="Calibri"/>
        </w:rPr>
      </w:pPr>
      <w:r w:rsidRPr="003D464B">
        <w:rPr>
          <w:rFonts w:ascii="Calibri" w:hAnsi="Calibri" w:cs="Calibri"/>
          <w:b/>
        </w:rPr>
        <w:t>2.3.2.</w:t>
      </w:r>
      <w:r w:rsidRPr="003D464B">
        <w:rPr>
          <w:rFonts w:ascii="Calibri" w:hAnsi="Calibri" w:cs="Calibri"/>
        </w:rPr>
        <w:t xml:space="preserve"> Właściwości kruszywa</w:t>
      </w:r>
    </w:p>
    <w:p w:rsidR="00AD54A3" w:rsidRPr="003D464B" w:rsidRDefault="00AD54A3" w:rsidP="00AD54A3">
      <w:pPr>
        <w:rPr>
          <w:rFonts w:ascii="Calibri" w:hAnsi="Calibri" w:cs="Calibri"/>
        </w:rPr>
      </w:pPr>
      <w:r w:rsidRPr="003D464B">
        <w:rPr>
          <w:rFonts w:ascii="Calibri" w:hAnsi="Calibri" w:cs="Calibri"/>
        </w:rPr>
        <w:tab/>
        <w:t>Kruszywo powinno spełniać wymagania określone w ST D-04.04.00 „Podbudowa z kruszyw. Wymagania ogólne” pkt 2.3.2.</w:t>
      </w:r>
    </w:p>
    <w:p w:rsidR="00AD54A3" w:rsidRPr="003D464B" w:rsidRDefault="00AD54A3" w:rsidP="00AD54A3">
      <w:pPr>
        <w:rPr>
          <w:rFonts w:ascii="Calibri" w:hAnsi="Calibri" w:cs="Calibri"/>
        </w:rPr>
      </w:pPr>
    </w:p>
    <w:p w:rsidR="00AD54A3" w:rsidRPr="003D464B" w:rsidRDefault="00AD54A3" w:rsidP="00AD54A3">
      <w:pPr>
        <w:rPr>
          <w:rFonts w:ascii="Calibri" w:hAnsi="Calibri" w:cs="Calibri"/>
          <w:b/>
        </w:rPr>
      </w:pPr>
      <w:r w:rsidRPr="003D464B">
        <w:rPr>
          <w:rFonts w:ascii="Calibri" w:hAnsi="Calibri" w:cs="Calibri"/>
          <w:b/>
        </w:rPr>
        <w:t>3. SPRZĘT</w:t>
      </w:r>
    </w:p>
    <w:p w:rsidR="00AD54A3" w:rsidRPr="003D464B" w:rsidRDefault="00AD54A3" w:rsidP="00AD54A3">
      <w:pPr>
        <w:rPr>
          <w:rFonts w:ascii="Calibri" w:hAnsi="Calibri" w:cs="Calibri"/>
        </w:rPr>
      </w:pPr>
      <w:r w:rsidRPr="003D464B">
        <w:rPr>
          <w:rFonts w:ascii="Calibri" w:hAnsi="Calibri" w:cs="Calibri"/>
        </w:rPr>
        <w:tab/>
        <w:t>Wymagania dotyczące sprzętu podano w ST D-04.04.00 „Podbudowa z kruszyw. Wymagania ogólne” pkt 3.</w:t>
      </w:r>
    </w:p>
    <w:p w:rsidR="00AD54A3" w:rsidRPr="003D464B" w:rsidRDefault="00AD54A3" w:rsidP="00AD54A3">
      <w:pPr>
        <w:rPr>
          <w:rFonts w:ascii="Calibri" w:hAnsi="Calibri" w:cs="Calibri"/>
        </w:rPr>
      </w:pPr>
    </w:p>
    <w:p w:rsidR="00AD54A3" w:rsidRPr="003D464B" w:rsidRDefault="00AD54A3" w:rsidP="00AD54A3">
      <w:pPr>
        <w:rPr>
          <w:rFonts w:ascii="Calibri" w:hAnsi="Calibri" w:cs="Calibri"/>
          <w:b/>
        </w:rPr>
      </w:pPr>
      <w:r w:rsidRPr="003D464B">
        <w:rPr>
          <w:rFonts w:ascii="Calibri" w:hAnsi="Calibri" w:cs="Calibri"/>
          <w:b/>
        </w:rPr>
        <w:t>4. TRANSPORT</w:t>
      </w:r>
    </w:p>
    <w:p w:rsidR="00AD54A3" w:rsidRPr="003D464B" w:rsidRDefault="00AD54A3" w:rsidP="00AD54A3">
      <w:pPr>
        <w:rPr>
          <w:rFonts w:ascii="Calibri" w:hAnsi="Calibri" w:cs="Calibri"/>
        </w:rPr>
      </w:pPr>
      <w:r w:rsidRPr="003D464B">
        <w:rPr>
          <w:rFonts w:ascii="Calibri" w:hAnsi="Calibri" w:cs="Calibri"/>
        </w:rPr>
        <w:tab/>
        <w:t>Wymagania dotyczące transportu podano w ST D-04.04.00 „Podbudowa z kruszyw. Wymagania ogólne” pkt 4.</w:t>
      </w:r>
    </w:p>
    <w:p w:rsidR="00AD54A3" w:rsidRPr="003D464B" w:rsidRDefault="00AD54A3" w:rsidP="00AD54A3">
      <w:pPr>
        <w:rPr>
          <w:rFonts w:ascii="Calibri" w:hAnsi="Calibri" w:cs="Calibri"/>
        </w:rPr>
      </w:pPr>
    </w:p>
    <w:p w:rsidR="00AD54A3" w:rsidRPr="003D464B" w:rsidRDefault="00AD54A3" w:rsidP="00AD54A3">
      <w:pPr>
        <w:rPr>
          <w:rFonts w:ascii="Calibri" w:hAnsi="Calibri" w:cs="Calibri"/>
          <w:b/>
        </w:rPr>
      </w:pPr>
      <w:r w:rsidRPr="003D464B">
        <w:rPr>
          <w:rFonts w:ascii="Calibri" w:hAnsi="Calibri" w:cs="Calibri"/>
          <w:b/>
        </w:rPr>
        <w:t>5. WYKONANIE ROBÓT</w:t>
      </w:r>
    </w:p>
    <w:p w:rsidR="00AD54A3" w:rsidRPr="003D464B" w:rsidRDefault="00AD54A3" w:rsidP="00AD54A3">
      <w:pPr>
        <w:rPr>
          <w:rFonts w:ascii="Calibri" w:hAnsi="Calibri" w:cs="Calibri"/>
        </w:rPr>
      </w:pPr>
      <w:r w:rsidRPr="003D464B">
        <w:rPr>
          <w:rFonts w:ascii="Calibri" w:hAnsi="Calibri" w:cs="Calibri"/>
        </w:rPr>
        <w:tab/>
        <w:t>Ogólne zasady wykonania robót podano w ST D-04.04.00 „Podbudowa z kruszyw. Wymagania ogólne” pkt 5.</w:t>
      </w:r>
    </w:p>
    <w:p w:rsidR="00AD54A3" w:rsidRPr="003D464B" w:rsidRDefault="00AD54A3" w:rsidP="00AD54A3">
      <w:pPr>
        <w:rPr>
          <w:rFonts w:ascii="Calibri" w:hAnsi="Calibri" w:cs="Calibri"/>
        </w:rPr>
      </w:pPr>
      <w:r w:rsidRPr="003D464B">
        <w:rPr>
          <w:rFonts w:ascii="Calibri" w:hAnsi="Calibri" w:cs="Calibri"/>
          <w:b/>
        </w:rPr>
        <w:t>5.1.</w:t>
      </w:r>
      <w:r w:rsidRPr="003D464B">
        <w:rPr>
          <w:rFonts w:ascii="Calibri" w:hAnsi="Calibri" w:cs="Calibri"/>
        </w:rPr>
        <w:t xml:space="preserve"> Przygotowanie podłoża</w:t>
      </w:r>
    </w:p>
    <w:p w:rsidR="00AD54A3" w:rsidRPr="003D464B" w:rsidRDefault="00AD54A3" w:rsidP="00AD54A3">
      <w:pPr>
        <w:rPr>
          <w:rFonts w:ascii="Calibri" w:hAnsi="Calibri" w:cs="Calibri"/>
        </w:rPr>
      </w:pPr>
      <w:r w:rsidRPr="003D464B">
        <w:rPr>
          <w:rFonts w:ascii="Calibri" w:hAnsi="Calibri" w:cs="Calibri"/>
        </w:rPr>
        <w:tab/>
        <w:t>Przygotowanie podłoża powinno odpowiadać wymaganiom określonym w ST D-04.04.00 „Podbudowa z kruszyw. Wymagania ogólne” pkt 5.2.</w:t>
      </w:r>
    </w:p>
    <w:p w:rsidR="00AD54A3" w:rsidRPr="003D464B" w:rsidRDefault="00AD54A3" w:rsidP="00AD54A3">
      <w:pPr>
        <w:rPr>
          <w:rFonts w:ascii="Calibri" w:hAnsi="Calibri" w:cs="Calibri"/>
        </w:rPr>
      </w:pPr>
      <w:r w:rsidRPr="003D464B">
        <w:rPr>
          <w:rFonts w:ascii="Calibri" w:hAnsi="Calibri" w:cs="Calibri"/>
          <w:b/>
        </w:rPr>
        <w:t>5.2.</w:t>
      </w:r>
      <w:r w:rsidRPr="003D464B">
        <w:rPr>
          <w:rFonts w:ascii="Calibri" w:hAnsi="Calibri" w:cs="Calibri"/>
        </w:rPr>
        <w:t xml:space="preserve"> Wytwarzanie mieszanki kruszywa</w:t>
      </w:r>
    </w:p>
    <w:p w:rsidR="00AD54A3" w:rsidRPr="003D464B" w:rsidRDefault="00AD54A3" w:rsidP="00AD54A3">
      <w:pPr>
        <w:rPr>
          <w:rFonts w:ascii="Calibri" w:hAnsi="Calibri" w:cs="Calibri"/>
        </w:rPr>
      </w:pPr>
      <w:r w:rsidRPr="003D464B">
        <w:rPr>
          <w:rFonts w:ascii="Calibri" w:hAnsi="Calibri" w:cs="Calibri"/>
        </w:rPr>
        <w:tab/>
        <w:t>Mieszankę kruszywa należy wytwarzać zgodnie z ustaleniami podanymi w ST  D-04.04.00 „Podbudowa z kruszyw. Wymagania ogólne” pkt 5.3.</w:t>
      </w:r>
    </w:p>
    <w:p w:rsidR="00AD54A3" w:rsidRPr="003D464B" w:rsidRDefault="00AD54A3" w:rsidP="00AD54A3">
      <w:pPr>
        <w:rPr>
          <w:rFonts w:ascii="Calibri" w:hAnsi="Calibri" w:cs="Calibri"/>
        </w:rPr>
      </w:pPr>
      <w:r w:rsidRPr="003D464B">
        <w:rPr>
          <w:rFonts w:ascii="Calibri" w:hAnsi="Calibri" w:cs="Calibri"/>
          <w:b/>
        </w:rPr>
        <w:t>5.3.</w:t>
      </w:r>
      <w:r w:rsidRPr="003D464B">
        <w:rPr>
          <w:rFonts w:ascii="Calibri" w:hAnsi="Calibri" w:cs="Calibri"/>
        </w:rPr>
        <w:t xml:space="preserve"> Wbudowywanie i zagęszczanie mieszanki kruszywa</w:t>
      </w:r>
    </w:p>
    <w:p w:rsidR="00AD54A3" w:rsidRPr="003D464B" w:rsidRDefault="00AD54A3" w:rsidP="00AD54A3">
      <w:pPr>
        <w:rPr>
          <w:rFonts w:ascii="Calibri" w:hAnsi="Calibri" w:cs="Calibri"/>
        </w:rPr>
      </w:pPr>
      <w:r w:rsidRPr="003D464B">
        <w:rPr>
          <w:rFonts w:ascii="Calibri" w:hAnsi="Calibri" w:cs="Calibri"/>
        </w:rPr>
        <w:lastRenderedPageBreak/>
        <w:tab/>
        <w:t>Ustalenia dotyczące rozkładania i zagęszczania mieszanki podano w ST D-04.04.00 „Podbudowa z kruszyw. Wymagania ogólne” pkt 5.4.</w:t>
      </w:r>
    </w:p>
    <w:p w:rsidR="00AD54A3" w:rsidRPr="003D464B" w:rsidRDefault="00AD54A3" w:rsidP="00AD54A3">
      <w:pPr>
        <w:rPr>
          <w:rFonts w:ascii="Calibri" w:hAnsi="Calibri" w:cs="Calibri"/>
        </w:rPr>
      </w:pPr>
      <w:r w:rsidRPr="003D464B">
        <w:rPr>
          <w:rFonts w:ascii="Calibri" w:hAnsi="Calibri" w:cs="Calibri"/>
          <w:b/>
        </w:rPr>
        <w:t>5.4.</w:t>
      </w:r>
      <w:r w:rsidRPr="003D464B">
        <w:rPr>
          <w:rFonts w:ascii="Calibri" w:hAnsi="Calibri" w:cs="Calibri"/>
        </w:rPr>
        <w:t xml:space="preserve"> Odcinek próbny</w:t>
      </w:r>
    </w:p>
    <w:p w:rsidR="00AD54A3" w:rsidRPr="003D464B" w:rsidRDefault="00AD54A3" w:rsidP="00AD54A3">
      <w:pPr>
        <w:rPr>
          <w:rFonts w:ascii="Calibri" w:hAnsi="Calibri" w:cs="Calibri"/>
        </w:rPr>
      </w:pPr>
      <w:r w:rsidRPr="003D464B">
        <w:rPr>
          <w:rFonts w:ascii="Calibri" w:hAnsi="Calibri" w:cs="Calibri"/>
        </w:rPr>
        <w:tab/>
        <w:t>Wykonawca powinien wykonać odcinki próbne, zgodnie z zasadami określonymi w ST D-04.04.00 „Podbudowa z kruszyw. Wymagania ogólne” pkt 5.5.</w:t>
      </w:r>
    </w:p>
    <w:p w:rsidR="00AD54A3" w:rsidRPr="003D464B" w:rsidRDefault="00AD54A3" w:rsidP="00AD54A3">
      <w:pPr>
        <w:rPr>
          <w:rFonts w:ascii="Calibri" w:hAnsi="Calibri" w:cs="Calibri"/>
        </w:rPr>
      </w:pPr>
      <w:r w:rsidRPr="003D464B">
        <w:rPr>
          <w:rFonts w:ascii="Calibri" w:hAnsi="Calibri" w:cs="Calibri"/>
          <w:b/>
        </w:rPr>
        <w:t>5.5.</w:t>
      </w:r>
      <w:r w:rsidRPr="003D464B">
        <w:rPr>
          <w:rFonts w:ascii="Calibri" w:hAnsi="Calibri" w:cs="Calibri"/>
        </w:rPr>
        <w:t xml:space="preserve"> Utrzymanie podbudowy</w:t>
      </w:r>
    </w:p>
    <w:p w:rsidR="00AD54A3" w:rsidRPr="003D464B" w:rsidRDefault="00AD54A3" w:rsidP="00AD54A3">
      <w:pPr>
        <w:rPr>
          <w:rFonts w:ascii="Calibri" w:hAnsi="Calibri" w:cs="Calibri"/>
        </w:rPr>
      </w:pPr>
      <w:r w:rsidRPr="003D464B">
        <w:rPr>
          <w:rFonts w:ascii="Calibri" w:hAnsi="Calibri" w:cs="Calibri"/>
        </w:rPr>
        <w:tab/>
        <w:t>Utrzymanie podbudowy powinno odpowia</w:t>
      </w:r>
      <w:r w:rsidR="0014295F">
        <w:rPr>
          <w:rFonts w:ascii="Calibri" w:hAnsi="Calibri" w:cs="Calibri"/>
        </w:rPr>
        <w:t xml:space="preserve">dać wymaganiom określonym w ST </w:t>
      </w:r>
      <w:r w:rsidRPr="003D464B">
        <w:rPr>
          <w:rFonts w:ascii="Calibri" w:hAnsi="Calibri" w:cs="Calibri"/>
        </w:rPr>
        <w:t>D-04.04.00 „Podbudowa z kruszyw. Wymagania ogólne” pkt 5.6.</w:t>
      </w:r>
    </w:p>
    <w:p w:rsidR="00AD54A3" w:rsidRPr="003D464B" w:rsidRDefault="00AD54A3" w:rsidP="00AD54A3">
      <w:pPr>
        <w:rPr>
          <w:rFonts w:ascii="Calibri" w:hAnsi="Calibri" w:cs="Calibri"/>
        </w:rPr>
      </w:pPr>
    </w:p>
    <w:p w:rsidR="00AD54A3" w:rsidRPr="003D464B" w:rsidRDefault="00AD54A3" w:rsidP="00AD54A3">
      <w:pPr>
        <w:rPr>
          <w:rFonts w:ascii="Calibri" w:hAnsi="Calibri" w:cs="Calibri"/>
          <w:b/>
        </w:rPr>
      </w:pPr>
      <w:r w:rsidRPr="003D464B">
        <w:rPr>
          <w:rFonts w:ascii="Calibri" w:hAnsi="Calibri" w:cs="Calibri"/>
          <w:b/>
        </w:rPr>
        <w:t>6. KONTROLA JAKOŚCI ROBÓT</w:t>
      </w:r>
    </w:p>
    <w:p w:rsidR="00AD54A3" w:rsidRPr="003D464B" w:rsidRDefault="00AD54A3" w:rsidP="00AD54A3">
      <w:pPr>
        <w:rPr>
          <w:rFonts w:ascii="Calibri" w:hAnsi="Calibri" w:cs="Calibri"/>
        </w:rPr>
      </w:pPr>
      <w:r w:rsidRPr="003D464B">
        <w:rPr>
          <w:rFonts w:ascii="Calibri" w:hAnsi="Calibri" w:cs="Calibri"/>
          <w:b/>
        </w:rPr>
        <w:t>6.1.</w:t>
      </w:r>
      <w:r w:rsidRPr="003D464B">
        <w:rPr>
          <w:rFonts w:ascii="Calibri" w:hAnsi="Calibri" w:cs="Calibri"/>
        </w:rPr>
        <w:t xml:space="preserve"> Ogólne zasady kontroli jakości robót</w:t>
      </w:r>
    </w:p>
    <w:p w:rsidR="00AD54A3" w:rsidRPr="003D464B" w:rsidRDefault="00AD54A3" w:rsidP="00AD54A3">
      <w:pPr>
        <w:rPr>
          <w:rFonts w:ascii="Calibri" w:hAnsi="Calibri" w:cs="Calibri"/>
        </w:rPr>
      </w:pPr>
      <w:r w:rsidRPr="003D464B">
        <w:rPr>
          <w:rFonts w:ascii="Calibri" w:hAnsi="Calibri" w:cs="Calibri"/>
        </w:rPr>
        <w:tab/>
        <w:t>Ogólne zasady kontroli jakości robót podano w ST D-04.04.00 „Podbudowa z kruszyw. Wymagania ogólne” pkt 6.</w:t>
      </w:r>
    </w:p>
    <w:p w:rsidR="00AD54A3" w:rsidRPr="003D464B" w:rsidRDefault="00AD54A3" w:rsidP="00AD54A3">
      <w:pPr>
        <w:rPr>
          <w:rFonts w:ascii="Calibri" w:hAnsi="Calibri" w:cs="Calibri"/>
        </w:rPr>
      </w:pPr>
      <w:r w:rsidRPr="003D464B">
        <w:rPr>
          <w:rFonts w:ascii="Calibri" w:hAnsi="Calibri" w:cs="Calibri"/>
          <w:b/>
        </w:rPr>
        <w:t>6.2.</w:t>
      </w:r>
      <w:r w:rsidRPr="003D464B">
        <w:rPr>
          <w:rFonts w:ascii="Calibri" w:hAnsi="Calibri" w:cs="Calibri"/>
        </w:rPr>
        <w:t xml:space="preserve"> Badania przed przystąpieniem do robót</w:t>
      </w:r>
    </w:p>
    <w:p w:rsidR="00AD54A3" w:rsidRPr="003D464B" w:rsidRDefault="00AD54A3" w:rsidP="00AD54A3">
      <w:pPr>
        <w:rPr>
          <w:rFonts w:ascii="Calibri" w:hAnsi="Calibri" w:cs="Calibri"/>
        </w:rPr>
      </w:pPr>
      <w:r w:rsidRPr="003D464B">
        <w:rPr>
          <w:rFonts w:ascii="Calibri" w:hAnsi="Calibri" w:cs="Calibri"/>
        </w:rPr>
        <w:tab/>
        <w:t>Przed przystąpieniem do robót Wykonawca powinien wykonać badania kruszyw, zgodnie z ustaleniami ST D-04.04.00 „Podbudowa z kruszyw. Wymagania ogólne” pkt 6.2.</w:t>
      </w:r>
    </w:p>
    <w:p w:rsidR="00AD54A3" w:rsidRPr="003D464B" w:rsidRDefault="00AD54A3" w:rsidP="00AD54A3">
      <w:pPr>
        <w:rPr>
          <w:rFonts w:ascii="Calibri" w:hAnsi="Calibri" w:cs="Calibri"/>
        </w:rPr>
      </w:pPr>
      <w:r w:rsidRPr="003D464B">
        <w:rPr>
          <w:rFonts w:ascii="Calibri" w:hAnsi="Calibri" w:cs="Calibri"/>
          <w:b/>
        </w:rPr>
        <w:t>6.3.</w:t>
      </w:r>
      <w:r w:rsidRPr="003D464B">
        <w:rPr>
          <w:rFonts w:ascii="Calibri" w:hAnsi="Calibri" w:cs="Calibri"/>
        </w:rPr>
        <w:t xml:space="preserve"> Badania w czasie robót</w:t>
      </w:r>
    </w:p>
    <w:p w:rsidR="00AD54A3" w:rsidRPr="003D464B" w:rsidRDefault="00AD54A3" w:rsidP="00AD54A3">
      <w:pPr>
        <w:rPr>
          <w:rFonts w:ascii="Calibri" w:hAnsi="Calibri" w:cs="Calibri"/>
        </w:rPr>
      </w:pPr>
      <w:r w:rsidRPr="003D464B">
        <w:rPr>
          <w:rFonts w:ascii="Calibri" w:hAnsi="Calibri" w:cs="Calibri"/>
        </w:rPr>
        <w:tab/>
        <w:t>Częstotliwość oraz zakres badań i pomiarów kontrolnych w czasie robót podano w ST D-04.04.00 „Podbudowa z kruszyw. Wymagania ogólne” pkt 6.3.</w:t>
      </w:r>
    </w:p>
    <w:p w:rsidR="00AD54A3" w:rsidRPr="003D464B" w:rsidRDefault="00AD54A3" w:rsidP="00AD54A3">
      <w:pPr>
        <w:rPr>
          <w:rFonts w:ascii="Calibri" w:hAnsi="Calibri" w:cs="Calibri"/>
        </w:rPr>
      </w:pPr>
      <w:r w:rsidRPr="003D464B">
        <w:rPr>
          <w:rFonts w:ascii="Calibri" w:hAnsi="Calibri" w:cs="Calibri"/>
          <w:b/>
        </w:rPr>
        <w:t>6.4.</w:t>
      </w:r>
      <w:r w:rsidRPr="003D464B">
        <w:rPr>
          <w:rFonts w:ascii="Calibri" w:hAnsi="Calibri" w:cs="Calibri"/>
        </w:rPr>
        <w:t xml:space="preserve"> Wymagania dotyczące cech geometrycznych podbudowy</w:t>
      </w:r>
    </w:p>
    <w:p w:rsidR="00AD54A3" w:rsidRPr="003D464B" w:rsidRDefault="00AD54A3" w:rsidP="00AD54A3">
      <w:pPr>
        <w:rPr>
          <w:rFonts w:ascii="Calibri" w:hAnsi="Calibri" w:cs="Calibri"/>
        </w:rPr>
      </w:pPr>
      <w:r w:rsidRPr="003D464B">
        <w:rPr>
          <w:rFonts w:ascii="Calibri" w:hAnsi="Calibri" w:cs="Calibri"/>
        </w:rPr>
        <w:tab/>
        <w:t>Częstotliwość oraz zakres pomiarów podano w ST D-04.04.00 „Podbudowa z kruszyw. Wymagania ogólne” pkt 6.4.</w:t>
      </w:r>
    </w:p>
    <w:p w:rsidR="00AD54A3" w:rsidRPr="003D464B" w:rsidRDefault="00AD54A3" w:rsidP="00AD54A3">
      <w:pPr>
        <w:rPr>
          <w:rFonts w:ascii="Calibri" w:hAnsi="Calibri" w:cs="Calibri"/>
        </w:rPr>
      </w:pPr>
      <w:r w:rsidRPr="003D464B">
        <w:rPr>
          <w:rFonts w:ascii="Calibri" w:hAnsi="Calibri" w:cs="Calibri"/>
          <w:b/>
        </w:rPr>
        <w:t>6.5.</w:t>
      </w:r>
      <w:r w:rsidRPr="003D464B">
        <w:rPr>
          <w:rFonts w:ascii="Calibri" w:hAnsi="Calibri" w:cs="Calibri"/>
        </w:rPr>
        <w:t xml:space="preserve"> Zasady postępowania z wadliwie wykonanymi odcinkami podbudowy</w:t>
      </w:r>
    </w:p>
    <w:p w:rsidR="00AD54A3" w:rsidRPr="003D464B" w:rsidRDefault="00AD54A3" w:rsidP="00AD54A3">
      <w:pPr>
        <w:rPr>
          <w:rFonts w:ascii="Calibri" w:hAnsi="Calibri" w:cs="Calibri"/>
        </w:rPr>
      </w:pPr>
      <w:r w:rsidRPr="003D464B">
        <w:rPr>
          <w:rFonts w:ascii="Calibri" w:hAnsi="Calibri" w:cs="Calibri"/>
        </w:rPr>
        <w:tab/>
        <w:t>Zasady postępowania z wadliwie wykonanymi odcinkami podbudowy podano w ST D-04.04.00 „Podbudowa z kruszyw. Wymagania ogólne” pkt 6.5.</w:t>
      </w:r>
    </w:p>
    <w:p w:rsidR="00AD54A3" w:rsidRPr="003D464B" w:rsidRDefault="00AD54A3" w:rsidP="00AD54A3">
      <w:pPr>
        <w:rPr>
          <w:rFonts w:ascii="Calibri" w:hAnsi="Calibri" w:cs="Calibri"/>
        </w:rPr>
      </w:pPr>
    </w:p>
    <w:p w:rsidR="00AD54A3" w:rsidRPr="003D464B" w:rsidRDefault="00AD54A3" w:rsidP="00AD54A3">
      <w:pPr>
        <w:rPr>
          <w:rFonts w:ascii="Calibri" w:hAnsi="Calibri" w:cs="Calibri"/>
          <w:b/>
        </w:rPr>
      </w:pPr>
      <w:r w:rsidRPr="003D464B">
        <w:rPr>
          <w:rFonts w:ascii="Calibri" w:hAnsi="Calibri" w:cs="Calibri"/>
          <w:b/>
        </w:rPr>
        <w:t>7. OBMIAR ROBÓT</w:t>
      </w:r>
    </w:p>
    <w:p w:rsidR="00AD54A3" w:rsidRPr="003D464B" w:rsidRDefault="00AD54A3" w:rsidP="00AD54A3">
      <w:pPr>
        <w:rPr>
          <w:rFonts w:ascii="Calibri" w:hAnsi="Calibri" w:cs="Calibri"/>
        </w:rPr>
      </w:pPr>
      <w:r w:rsidRPr="003D464B">
        <w:rPr>
          <w:rFonts w:ascii="Calibri" w:hAnsi="Calibri" w:cs="Calibri"/>
          <w:b/>
        </w:rPr>
        <w:t>7.1.</w:t>
      </w:r>
      <w:r w:rsidRPr="003D464B">
        <w:rPr>
          <w:rFonts w:ascii="Calibri" w:hAnsi="Calibri" w:cs="Calibri"/>
        </w:rPr>
        <w:t xml:space="preserve"> Ogólne zasady obmiaru robót</w:t>
      </w:r>
    </w:p>
    <w:p w:rsidR="00AD54A3" w:rsidRPr="003D464B" w:rsidRDefault="00AD54A3" w:rsidP="00AD54A3">
      <w:pPr>
        <w:rPr>
          <w:rFonts w:ascii="Calibri" w:hAnsi="Calibri" w:cs="Calibri"/>
        </w:rPr>
      </w:pPr>
      <w:r w:rsidRPr="003D464B">
        <w:rPr>
          <w:rFonts w:ascii="Calibri" w:hAnsi="Calibri" w:cs="Calibri"/>
        </w:rPr>
        <w:tab/>
        <w:t>Ogólne zasady obmiaru robót podano w ST D-04.04.00 „Podbudowa z kruszyw. Wymagania ogólne” pkt 7.</w:t>
      </w:r>
    </w:p>
    <w:p w:rsidR="00AD54A3" w:rsidRPr="003D464B" w:rsidRDefault="00AD54A3" w:rsidP="00AD54A3">
      <w:pPr>
        <w:rPr>
          <w:rFonts w:ascii="Calibri" w:hAnsi="Calibri" w:cs="Calibri"/>
        </w:rPr>
      </w:pPr>
      <w:r w:rsidRPr="003D464B">
        <w:rPr>
          <w:rFonts w:ascii="Calibri" w:hAnsi="Calibri" w:cs="Calibri"/>
          <w:b/>
        </w:rPr>
        <w:t>7.2.</w:t>
      </w:r>
      <w:r w:rsidRPr="003D464B">
        <w:rPr>
          <w:rFonts w:ascii="Calibri" w:hAnsi="Calibri" w:cs="Calibri"/>
        </w:rPr>
        <w:t xml:space="preserve"> Jednostka obmiarowa</w:t>
      </w:r>
    </w:p>
    <w:p w:rsidR="00AD54A3" w:rsidRPr="003D464B" w:rsidRDefault="00AD54A3" w:rsidP="00AD54A3">
      <w:pPr>
        <w:rPr>
          <w:rFonts w:ascii="Calibri" w:hAnsi="Calibri" w:cs="Calibri"/>
        </w:rPr>
      </w:pPr>
      <w:r w:rsidRPr="003D464B">
        <w:rPr>
          <w:rFonts w:ascii="Calibri" w:hAnsi="Calibri" w:cs="Calibri"/>
        </w:rPr>
        <w:tab/>
        <w:t>Jednostką obmiarową jest 1 m2 (metr kwadratowy) wykonanej i odebranej podbudowy z kruszywa łamanego stabilizowanego mechanicznie.</w:t>
      </w:r>
    </w:p>
    <w:p w:rsidR="00AD54A3" w:rsidRPr="003D464B" w:rsidRDefault="00AD54A3" w:rsidP="00AD54A3">
      <w:pPr>
        <w:rPr>
          <w:rFonts w:ascii="Calibri" w:hAnsi="Calibri" w:cs="Calibri"/>
        </w:rPr>
      </w:pPr>
    </w:p>
    <w:p w:rsidR="00AD54A3" w:rsidRPr="003D464B" w:rsidRDefault="00AD54A3" w:rsidP="00AD54A3">
      <w:pPr>
        <w:rPr>
          <w:rFonts w:ascii="Calibri" w:hAnsi="Calibri" w:cs="Calibri"/>
          <w:b/>
        </w:rPr>
      </w:pPr>
      <w:r w:rsidRPr="003D464B">
        <w:rPr>
          <w:rFonts w:ascii="Calibri" w:hAnsi="Calibri" w:cs="Calibri"/>
          <w:b/>
        </w:rPr>
        <w:t>8. ODBIÓR ROBÓT</w:t>
      </w:r>
    </w:p>
    <w:p w:rsidR="00AD54A3" w:rsidRPr="003D464B" w:rsidRDefault="00AD54A3" w:rsidP="00AD54A3">
      <w:pPr>
        <w:rPr>
          <w:rFonts w:ascii="Calibri" w:hAnsi="Calibri" w:cs="Calibri"/>
        </w:rPr>
      </w:pPr>
      <w:r w:rsidRPr="003D464B">
        <w:rPr>
          <w:rFonts w:ascii="Calibri" w:hAnsi="Calibri" w:cs="Calibri"/>
        </w:rPr>
        <w:tab/>
        <w:t>Ogólne zasady odbioru robót podano w ST D-04.04.00 „Podbudowa z kruszyw. Wymagania ogólne” pkt 8.</w:t>
      </w:r>
    </w:p>
    <w:p w:rsidR="00AD54A3" w:rsidRPr="003D464B" w:rsidRDefault="00AD54A3" w:rsidP="00AD54A3">
      <w:pPr>
        <w:rPr>
          <w:rFonts w:ascii="Calibri" w:hAnsi="Calibri" w:cs="Calibri"/>
        </w:rPr>
      </w:pPr>
    </w:p>
    <w:p w:rsidR="00AD54A3" w:rsidRPr="003D464B" w:rsidRDefault="00AD54A3" w:rsidP="00AD54A3">
      <w:pPr>
        <w:rPr>
          <w:rFonts w:ascii="Calibri" w:hAnsi="Calibri" w:cs="Calibri"/>
          <w:b/>
        </w:rPr>
      </w:pPr>
      <w:r w:rsidRPr="003D464B">
        <w:rPr>
          <w:rFonts w:ascii="Calibri" w:hAnsi="Calibri" w:cs="Calibri"/>
          <w:b/>
        </w:rPr>
        <w:t>9. PODSTAWA PŁATNOŚCI</w:t>
      </w:r>
    </w:p>
    <w:p w:rsidR="00AD54A3" w:rsidRPr="003D464B" w:rsidRDefault="00AD54A3" w:rsidP="00AD54A3">
      <w:pPr>
        <w:rPr>
          <w:rFonts w:ascii="Calibri" w:hAnsi="Calibri" w:cs="Calibri"/>
        </w:rPr>
      </w:pPr>
      <w:r w:rsidRPr="003D464B">
        <w:rPr>
          <w:rFonts w:ascii="Calibri" w:hAnsi="Calibri" w:cs="Calibri"/>
          <w:b/>
        </w:rPr>
        <w:t>9.1.</w:t>
      </w:r>
      <w:r w:rsidRPr="003D464B">
        <w:rPr>
          <w:rFonts w:ascii="Calibri" w:hAnsi="Calibri" w:cs="Calibri"/>
        </w:rPr>
        <w:t xml:space="preserve"> Ogólne ustalenia dotyczące podstawy płatności</w:t>
      </w:r>
    </w:p>
    <w:p w:rsidR="00AD54A3" w:rsidRPr="003D464B" w:rsidRDefault="00AD54A3" w:rsidP="00AD54A3">
      <w:pPr>
        <w:rPr>
          <w:rFonts w:ascii="Calibri" w:hAnsi="Calibri" w:cs="Calibri"/>
        </w:rPr>
      </w:pPr>
      <w:r w:rsidRPr="003D464B">
        <w:rPr>
          <w:rFonts w:ascii="Calibri" w:hAnsi="Calibri" w:cs="Calibri"/>
        </w:rPr>
        <w:tab/>
        <w:t>Ogólne ustalenia dotyczące podstawy płatności podano w ST D-04.04.00 „Podbudowa z kruszyw. Wymagania ogólne” pkt 9.</w:t>
      </w:r>
    </w:p>
    <w:p w:rsidR="00AD54A3" w:rsidRPr="003D464B" w:rsidRDefault="00AD54A3" w:rsidP="00AD54A3">
      <w:pPr>
        <w:rPr>
          <w:rFonts w:ascii="Calibri" w:hAnsi="Calibri" w:cs="Calibri"/>
        </w:rPr>
      </w:pPr>
      <w:r w:rsidRPr="003D464B">
        <w:rPr>
          <w:rFonts w:ascii="Calibri" w:hAnsi="Calibri" w:cs="Calibri"/>
          <w:b/>
        </w:rPr>
        <w:t>9.2.</w:t>
      </w:r>
      <w:r w:rsidRPr="003D464B">
        <w:rPr>
          <w:rFonts w:ascii="Calibri" w:hAnsi="Calibri" w:cs="Calibri"/>
        </w:rPr>
        <w:t xml:space="preserve"> Cena jednostki obmiarowej</w:t>
      </w:r>
    </w:p>
    <w:p w:rsidR="00AD54A3" w:rsidRPr="003D464B" w:rsidRDefault="00AD54A3" w:rsidP="00AD54A3">
      <w:pPr>
        <w:rPr>
          <w:rFonts w:ascii="Calibri" w:hAnsi="Calibri" w:cs="Calibri"/>
        </w:rPr>
      </w:pPr>
      <w:r w:rsidRPr="003D464B">
        <w:rPr>
          <w:rFonts w:ascii="Calibri" w:hAnsi="Calibri" w:cs="Calibri"/>
        </w:rPr>
        <w:tab/>
        <w:t>Cena wykonania 1 m2 podbudowy obejmuje:</w:t>
      </w:r>
    </w:p>
    <w:p w:rsidR="00AD54A3" w:rsidRPr="003D464B" w:rsidRDefault="00AD54A3" w:rsidP="00AD54A3">
      <w:pPr>
        <w:rPr>
          <w:rFonts w:ascii="Calibri" w:hAnsi="Calibri" w:cs="Calibri"/>
        </w:rPr>
      </w:pPr>
      <w:r>
        <w:rPr>
          <w:rFonts w:ascii="Calibri" w:hAnsi="Calibri" w:cs="Calibri"/>
        </w:rPr>
        <w:t>-</w:t>
      </w:r>
      <w:r w:rsidRPr="003D464B">
        <w:rPr>
          <w:rFonts w:ascii="Calibri" w:hAnsi="Calibri" w:cs="Calibri"/>
        </w:rPr>
        <w:t>prace pomiarowe i roboty przygotowawcze,</w:t>
      </w:r>
    </w:p>
    <w:p w:rsidR="00AD54A3" w:rsidRPr="003D464B" w:rsidRDefault="00AD54A3" w:rsidP="00AD54A3">
      <w:pPr>
        <w:rPr>
          <w:rFonts w:ascii="Calibri" w:hAnsi="Calibri" w:cs="Calibri"/>
        </w:rPr>
      </w:pPr>
      <w:r>
        <w:rPr>
          <w:rFonts w:ascii="Calibri" w:hAnsi="Calibri" w:cs="Calibri"/>
        </w:rPr>
        <w:t>-</w:t>
      </w:r>
      <w:r w:rsidRPr="003D464B">
        <w:rPr>
          <w:rFonts w:ascii="Calibri" w:hAnsi="Calibri" w:cs="Calibri"/>
        </w:rPr>
        <w:t>oznakowanie robót,</w:t>
      </w:r>
    </w:p>
    <w:p w:rsidR="00AD54A3" w:rsidRPr="003D464B" w:rsidRDefault="00AD54A3" w:rsidP="00AD54A3">
      <w:pPr>
        <w:rPr>
          <w:rFonts w:ascii="Calibri" w:hAnsi="Calibri" w:cs="Calibri"/>
        </w:rPr>
      </w:pPr>
      <w:r>
        <w:rPr>
          <w:rFonts w:ascii="Calibri" w:hAnsi="Calibri" w:cs="Calibri"/>
        </w:rPr>
        <w:t>-</w:t>
      </w:r>
      <w:r w:rsidRPr="003D464B">
        <w:rPr>
          <w:rFonts w:ascii="Calibri" w:hAnsi="Calibri" w:cs="Calibri"/>
        </w:rPr>
        <w:t>sprawdzenie i ewentualną naprawę podłoża,</w:t>
      </w:r>
    </w:p>
    <w:p w:rsidR="00AD54A3" w:rsidRPr="003D464B" w:rsidRDefault="00AD54A3" w:rsidP="00AD54A3">
      <w:pPr>
        <w:rPr>
          <w:rFonts w:ascii="Calibri" w:hAnsi="Calibri" w:cs="Calibri"/>
        </w:rPr>
      </w:pPr>
      <w:r>
        <w:rPr>
          <w:rFonts w:ascii="Calibri" w:hAnsi="Calibri" w:cs="Calibri"/>
        </w:rPr>
        <w:t>-</w:t>
      </w:r>
      <w:r w:rsidRPr="003D464B">
        <w:rPr>
          <w:rFonts w:ascii="Calibri" w:hAnsi="Calibri" w:cs="Calibri"/>
        </w:rPr>
        <w:t>przygotowanie mieszanki z kruszywa, zgodnie z receptą,</w:t>
      </w:r>
    </w:p>
    <w:p w:rsidR="00AD54A3" w:rsidRPr="003D464B" w:rsidRDefault="00AD54A3" w:rsidP="00AD54A3">
      <w:pPr>
        <w:rPr>
          <w:rFonts w:ascii="Calibri" w:hAnsi="Calibri" w:cs="Calibri"/>
        </w:rPr>
      </w:pPr>
      <w:r>
        <w:rPr>
          <w:rFonts w:ascii="Calibri" w:hAnsi="Calibri" w:cs="Calibri"/>
        </w:rPr>
        <w:t>-</w:t>
      </w:r>
      <w:r w:rsidRPr="003D464B">
        <w:rPr>
          <w:rFonts w:ascii="Calibri" w:hAnsi="Calibri" w:cs="Calibri"/>
        </w:rPr>
        <w:t>dostarczenie mieszanki na miejsce wbudowania,</w:t>
      </w:r>
    </w:p>
    <w:p w:rsidR="00AD54A3" w:rsidRPr="003D464B" w:rsidRDefault="00AD54A3" w:rsidP="00AD54A3">
      <w:pPr>
        <w:rPr>
          <w:rFonts w:ascii="Calibri" w:hAnsi="Calibri" w:cs="Calibri"/>
        </w:rPr>
      </w:pPr>
      <w:r>
        <w:rPr>
          <w:rFonts w:ascii="Calibri" w:hAnsi="Calibri" w:cs="Calibri"/>
        </w:rPr>
        <w:t>-</w:t>
      </w:r>
      <w:r w:rsidRPr="003D464B">
        <w:rPr>
          <w:rFonts w:ascii="Calibri" w:hAnsi="Calibri" w:cs="Calibri"/>
        </w:rPr>
        <w:t>rozłożenie mieszanki,</w:t>
      </w:r>
    </w:p>
    <w:p w:rsidR="00AD54A3" w:rsidRPr="003D464B" w:rsidRDefault="00AD54A3" w:rsidP="00AD54A3">
      <w:pPr>
        <w:rPr>
          <w:rFonts w:ascii="Calibri" w:hAnsi="Calibri" w:cs="Calibri"/>
        </w:rPr>
      </w:pPr>
      <w:r>
        <w:rPr>
          <w:rFonts w:ascii="Calibri" w:hAnsi="Calibri" w:cs="Calibri"/>
        </w:rPr>
        <w:t>-</w:t>
      </w:r>
      <w:r w:rsidRPr="003D464B">
        <w:rPr>
          <w:rFonts w:ascii="Calibri" w:hAnsi="Calibri" w:cs="Calibri"/>
        </w:rPr>
        <w:t>zagęszczenie rozłożonej mieszanki,</w:t>
      </w:r>
    </w:p>
    <w:p w:rsidR="00AD54A3" w:rsidRPr="003D464B" w:rsidRDefault="00AD54A3" w:rsidP="00AD54A3">
      <w:pPr>
        <w:rPr>
          <w:rFonts w:ascii="Calibri" w:hAnsi="Calibri" w:cs="Calibri"/>
        </w:rPr>
      </w:pPr>
      <w:r>
        <w:rPr>
          <w:rFonts w:ascii="Calibri" w:hAnsi="Calibri" w:cs="Calibri"/>
        </w:rPr>
        <w:t>-</w:t>
      </w:r>
      <w:r w:rsidRPr="003D464B">
        <w:rPr>
          <w:rFonts w:ascii="Calibri" w:hAnsi="Calibri" w:cs="Calibri"/>
        </w:rPr>
        <w:t>przeprowadzenie pomiarów i badań laboratoryjnych określonych w specyfikacji technicznej,</w:t>
      </w:r>
    </w:p>
    <w:p w:rsidR="00AD54A3" w:rsidRPr="003D464B" w:rsidRDefault="00AD54A3" w:rsidP="00AD54A3">
      <w:pPr>
        <w:rPr>
          <w:rFonts w:ascii="Calibri" w:hAnsi="Calibri" w:cs="Calibri"/>
        </w:rPr>
      </w:pPr>
      <w:r>
        <w:rPr>
          <w:rFonts w:ascii="Calibri" w:hAnsi="Calibri" w:cs="Calibri"/>
        </w:rPr>
        <w:t>-</w:t>
      </w:r>
      <w:r w:rsidRPr="003D464B">
        <w:rPr>
          <w:rFonts w:ascii="Calibri" w:hAnsi="Calibri" w:cs="Calibri"/>
        </w:rPr>
        <w:t>utrzymanie podbudowy w czasie robót.</w:t>
      </w:r>
    </w:p>
    <w:p w:rsidR="00AD54A3" w:rsidRPr="003D464B" w:rsidRDefault="00AD54A3" w:rsidP="00AD54A3">
      <w:pPr>
        <w:rPr>
          <w:rFonts w:ascii="Calibri" w:hAnsi="Calibri" w:cs="Calibri"/>
          <w:b/>
        </w:rPr>
      </w:pPr>
    </w:p>
    <w:p w:rsidR="00AD54A3" w:rsidRPr="003D464B" w:rsidRDefault="00AD54A3" w:rsidP="00AD54A3">
      <w:pPr>
        <w:rPr>
          <w:rFonts w:ascii="Calibri" w:hAnsi="Calibri" w:cs="Calibri"/>
          <w:b/>
        </w:rPr>
      </w:pPr>
      <w:r w:rsidRPr="003D464B">
        <w:rPr>
          <w:rFonts w:ascii="Calibri" w:hAnsi="Calibri" w:cs="Calibri"/>
          <w:b/>
        </w:rPr>
        <w:t>10. PRZEPISY ZWIĄZANE</w:t>
      </w:r>
    </w:p>
    <w:p w:rsidR="00AD54A3" w:rsidRPr="003D464B" w:rsidRDefault="00AD54A3" w:rsidP="00AD54A3">
      <w:pPr>
        <w:rPr>
          <w:rFonts w:ascii="Calibri" w:hAnsi="Calibri" w:cs="Calibri"/>
        </w:rPr>
      </w:pPr>
      <w:r w:rsidRPr="003D464B">
        <w:rPr>
          <w:rFonts w:ascii="Calibri" w:hAnsi="Calibri" w:cs="Calibri"/>
        </w:rPr>
        <w:t>Normy i przepisy związane podano w ST D-04.04.00 „Podbudowa z kruszyw. Wymagania ogólne” pkt 10.</w:t>
      </w:r>
    </w:p>
    <w:p w:rsidR="00AD54A3" w:rsidRPr="003D464B" w:rsidRDefault="00AD54A3" w:rsidP="00AD54A3">
      <w:pPr>
        <w:rPr>
          <w:rFonts w:ascii="Calibri" w:hAnsi="Calibri" w:cs="Calibri"/>
        </w:rPr>
      </w:pPr>
    </w:p>
    <w:p w:rsidR="00AD54A3" w:rsidRDefault="00AD54A3" w:rsidP="00AD54A3">
      <w:pPr>
        <w:rPr>
          <w:rFonts w:ascii="Calibri" w:hAnsi="Calibri" w:cs="Calibri"/>
        </w:rPr>
      </w:pPr>
    </w:p>
    <w:p w:rsidR="00AD54A3" w:rsidRDefault="00AD54A3" w:rsidP="00AD54A3">
      <w:pPr>
        <w:rPr>
          <w:rFonts w:ascii="Calibri" w:hAnsi="Calibri" w:cs="Calibri"/>
        </w:rPr>
      </w:pPr>
    </w:p>
    <w:p w:rsidR="00AD54A3" w:rsidRDefault="00AD54A3" w:rsidP="00AD54A3">
      <w:pPr>
        <w:rPr>
          <w:rFonts w:ascii="Calibri" w:hAnsi="Calibri" w:cs="Calibri"/>
        </w:rPr>
      </w:pPr>
    </w:p>
    <w:p w:rsidR="00AD54A3" w:rsidRDefault="00AD54A3" w:rsidP="00AD54A3">
      <w:pPr>
        <w:rPr>
          <w:rFonts w:ascii="Calibri" w:hAnsi="Calibri" w:cs="Calibri"/>
        </w:rPr>
      </w:pPr>
    </w:p>
    <w:p w:rsidR="00AD54A3" w:rsidRDefault="00AD54A3" w:rsidP="00AD54A3">
      <w:pPr>
        <w:rPr>
          <w:rFonts w:ascii="Calibri" w:hAnsi="Calibri" w:cs="Calibri"/>
        </w:rPr>
      </w:pPr>
    </w:p>
    <w:p w:rsidR="00AD54A3" w:rsidRDefault="00AD54A3" w:rsidP="00AD54A3">
      <w:pPr>
        <w:rPr>
          <w:rFonts w:ascii="Calibri" w:hAnsi="Calibri" w:cs="Calibri"/>
        </w:rPr>
      </w:pPr>
    </w:p>
    <w:p w:rsidR="00AD54A3" w:rsidRDefault="00AD54A3" w:rsidP="00AD54A3">
      <w:pPr>
        <w:rPr>
          <w:rFonts w:ascii="Calibri" w:hAnsi="Calibri" w:cs="Calibri"/>
        </w:rPr>
      </w:pPr>
    </w:p>
    <w:p w:rsidR="00AD54A3" w:rsidRDefault="00AD54A3" w:rsidP="00AD54A3">
      <w:pPr>
        <w:rPr>
          <w:rFonts w:ascii="Calibri" w:hAnsi="Calibri" w:cs="Calibri"/>
        </w:rPr>
      </w:pPr>
    </w:p>
    <w:p w:rsidR="0014295F" w:rsidRDefault="0014295F" w:rsidP="00AD54A3">
      <w:pPr>
        <w:rPr>
          <w:rFonts w:ascii="Calibri" w:hAnsi="Calibri" w:cs="Calibri"/>
        </w:rPr>
      </w:pPr>
    </w:p>
    <w:p w:rsidR="0014295F" w:rsidRDefault="0014295F" w:rsidP="00AD54A3">
      <w:pPr>
        <w:rPr>
          <w:rFonts w:ascii="Calibri" w:hAnsi="Calibri" w:cs="Calibri"/>
        </w:rPr>
      </w:pPr>
    </w:p>
    <w:p w:rsidR="000C27BF" w:rsidRDefault="000C27BF" w:rsidP="00AD54A3">
      <w:pPr>
        <w:rPr>
          <w:rFonts w:ascii="Calibri" w:hAnsi="Calibri" w:cs="Calibri"/>
        </w:rPr>
      </w:pPr>
    </w:p>
    <w:p w:rsidR="000C27BF" w:rsidRDefault="000C27BF" w:rsidP="00AD54A3">
      <w:pPr>
        <w:rPr>
          <w:rFonts w:ascii="Calibri" w:hAnsi="Calibri" w:cs="Calibri"/>
        </w:rPr>
      </w:pPr>
    </w:p>
    <w:p w:rsidR="000C27BF" w:rsidRDefault="000C27BF" w:rsidP="00AD54A3">
      <w:pPr>
        <w:rPr>
          <w:rFonts w:ascii="Calibri" w:hAnsi="Calibri" w:cs="Calibri"/>
        </w:rPr>
      </w:pPr>
    </w:p>
    <w:p w:rsidR="000C27BF" w:rsidRDefault="000C27BF" w:rsidP="00AD54A3">
      <w:pPr>
        <w:rPr>
          <w:rFonts w:ascii="Calibri" w:hAnsi="Calibri" w:cs="Calibri"/>
        </w:rPr>
      </w:pPr>
    </w:p>
    <w:p w:rsidR="000C27BF" w:rsidRDefault="000C27BF" w:rsidP="00AD54A3">
      <w:pPr>
        <w:rPr>
          <w:rFonts w:ascii="Calibri" w:hAnsi="Calibri" w:cs="Calibri"/>
        </w:rPr>
      </w:pPr>
    </w:p>
    <w:p w:rsidR="000C27BF" w:rsidRDefault="000C27BF" w:rsidP="00AD54A3">
      <w:pPr>
        <w:rPr>
          <w:rFonts w:ascii="Calibri" w:hAnsi="Calibri" w:cs="Calibri"/>
        </w:rPr>
      </w:pPr>
    </w:p>
    <w:p w:rsidR="000C27BF" w:rsidRDefault="000C27BF" w:rsidP="00AD54A3">
      <w:pPr>
        <w:rPr>
          <w:rFonts w:ascii="Calibri" w:hAnsi="Calibri" w:cs="Calibri"/>
        </w:rPr>
      </w:pPr>
    </w:p>
    <w:p w:rsidR="00AD54A3" w:rsidRPr="003D464B" w:rsidRDefault="00AD54A3" w:rsidP="00AD54A3">
      <w:pPr>
        <w:rPr>
          <w:rFonts w:ascii="Calibri" w:hAnsi="Calibri" w:cs="Calibri"/>
        </w:rPr>
      </w:pPr>
    </w:p>
    <w:p w:rsidR="00AD54A3" w:rsidRPr="00C403B6" w:rsidRDefault="00AD54A3" w:rsidP="00BB2441">
      <w:pPr>
        <w:pStyle w:val="Nagwek1"/>
        <w:jc w:val="center"/>
      </w:pPr>
      <w:bookmarkStart w:id="1389" w:name="_Toc404442658"/>
      <w:bookmarkStart w:id="1390" w:name="_Toc438237725"/>
      <w:r>
        <w:t>D–04.05.01A</w:t>
      </w:r>
      <w:r w:rsidR="0014295F">
        <w:t xml:space="preserve"> </w:t>
      </w:r>
      <w:r w:rsidR="00EF7FDC">
        <w:t xml:space="preserve"> PODBUDOWA I PODŁOŻE  ULEPSZONE Z MIESZANKI  KRUSZYWA ZWIĄZANEGO HYDRAULICZNIE </w:t>
      </w:r>
      <w:r w:rsidRPr="00C403B6">
        <w:t>CEMENTEM</w:t>
      </w:r>
      <w:bookmarkEnd w:id="1389"/>
      <w:bookmarkEnd w:id="1390"/>
    </w:p>
    <w:p w:rsidR="00AD54A3" w:rsidRPr="000203A8" w:rsidRDefault="00AD54A3" w:rsidP="00AD54A3"/>
    <w:p w:rsidR="00AD54A3" w:rsidRPr="000203A8" w:rsidRDefault="00AD54A3" w:rsidP="00AD54A3"/>
    <w:p w:rsidR="0014295F" w:rsidRDefault="0014295F" w:rsidP="00AD54A3">
      <w:pPr>
        <w:rPr>
          <w:rFonts w:ascii="Calibri" w:hAnsi="Calibri" w:cs="Calibri"/>
          <w:b/>
        </w:rPr>
      </w:pPr>
      <w:bookmarkStart w:id="1391" w:name="_Toc332010311"/>
    </w:p>
    <w:p w:rsidR="0014295F" w:rsidRDefault="0014295F" w:rsidP="00AD54A3">
      <w:pPr>
        <w:rPr>
          <w:rFonts w:ascii="Calibri" w:hAnsi="Calibri" w:cs="Calibri"/>
          <w:b/>
        </w:rPr>
      </w:pPr>
    </w:p>
    <w:p w:rsidR="0014295F" w:rsidRDefault="0014295F" w:rsidP="00AD54A3">
      <w:pPr>
        <w:rPr>
          <w:rFonts w:ascii="Calibri" w:hAnsi="Calibri" w:cs="Calibri"/>
          <w:b/>
        </w:rPr>
      </w:pPr>
    </w:p>
    <w:p w:rsidR="0014295F" w:rsidRDefault="0014295F" w:rsidP="00AD54A3">
      <w:pPr>
        <w:rPr>
          <w:rFonts w:ascii="Calibri" w:hAnsi="Calibri" w:cs="Calibri"/>
          <w:b/>
        </w:rPr>
      </w:pPr>
    </w:p>
    <w:p w:rsidR="0014295F" w:rsidRDefault="0014295F" w:rsidP="00AD54A3">
      <w:pPr>
        <w:rPr>
          <w:rFonts w:ascii="Calibri" w:hAnsi="Calibri" w:cs="Calibri"/>
          <w:b/>
        </w:rPr>
      </w:pPr>
    </w:p>
    <w:p w:rsidR="0014295F" w:rsidRDefault="0014295F" w:rsidP="00AD54A3">
      <w:pPr>
        <w:rPr>
          <w:rFonts w:ascii="Calibri" w:hAnsi="Calibri" w:cs="Calibri"/>
          <w:b/>
        </w:rPr>
      </w:pPr>
    </w:p>
    <w:p w:rsidR="0014295F" w:rsidRDefault="0014295F" w:rsidP="00AD54A3">
      <w:pPr>
        <w:rPr>
          <w:rFonts w:ascii="Calibri" w:hAnsi="Calibri" w:cs="Calibri"/>
          <w:b/>
        </w:rPr>
      </w:pPr>
    </w:p>
    <w:p w:rsidR="0014295F" w:rsidRDefault="0014295F" w:rsidP="00AD54A3">
      <w:pPr>
        <w:rPr>
          <w:rFonts w:ascii="Calibri" w:hAnsi="Calibri" w:cs="Calibri"/>
          <w:b/>
        </w:rPr>
      </w:pPr>
    </w:p>
    <w:p w:rsidR="0014295F" w:rsidRDefault="0014295F" w:rsidP="00AD54A3">
      <w:pPr>
        <w:rPr>
          <w:rFonts w:ascii="Calibri" w:hAnsi="Calibri" w:cs="Calibri"/>
          <w:b/>
        </w:rPr>
      </w:pPr>
    </w:p>
    <w:p w:rsidR="0014295F" w:rsidRDefault="0014295F" w:rsidP="00AD54A3">
      <w:pPr>
        <w:rPr>
          <w:rFonts w:ascii="Calibri" w:hAnsi="Calibri" w:cs="Calibri"/>
          <w:b/>
        </w:rPr>
      </w:pPr>
    </w:p>
    <w:p w:rsidR="0014295F" w:rsidRDefault="0014295F" w:rsidP="00AD54A3">
      <w:pPr>
        <w:rPr>
          <w:rFonts w:ascii="Calibri" w:hAnsi="Calibri" w:cs="Calibri"/>
          <w:b/>
        </w:rPr>
      </w:pPr>
    </w:p>
    <w:p w:rsidR="0014295F" w:rsidRDefault="0014295F" w:rsidP="00AD54A3">
      <w:pPr>
        <w:rPr>
          <w:rFonts w:ascii="Calibri" w:hAnsi="Calibri" w:cs="Calibri"/>
          <w:b/>
        </w:rPr>
      </w:pPr>
    </w:p>
    <w:p w:rsidR="0014295F" w:rsidRDefault="0014295F" w:rsidP="00AD54A3">
      <w:pPr>
        <w:rPr>
          <w:rFonts w:ascii="Calibri" w:hAnsi="Calibri" w:cs="Calibri"/>
          <w:b/>
        </w:rPr>
      </w:pPr>
    </w:p>
    <w:p w:rsidR="0014295F" w:rsidRDefault="0014295F" w:rsidP="00AD54A3">
      <w:pPr>
        <w:rPr>
          <w:rFonts w:ascii="Calibri" w:hAnsi="Calibri" w:cs="Calibri"/>
          <w:b/>
        </w:rPr>
      </w:pPr>
    </w:p>
    <w:p w:rsidR="0014295F" w:rsidRDefault="0014295F" w:rsidP="00AD54A3">
      <w:pPr>
        <w:rPr>
          <w:rFonts w:ascii="Calibri" w:hAnsi="Calibri" w:cs="Calibri"/>
          <w:b/>
        </w:rPr>
      </w:pPr>
    </w:p>
    <w:p w:rsidR="0014295F" w:rsidRDefault="0014295F" w:rsidP="00AD54A3">
      <w:pPr>
        <w:rPr>
          <w:rFonts w:ascii="Calibri" w:hAnsi="Calibri" w:cs="Calibri"/>
          <w:b/>
        </w:rPr>
      </w:pPr>
    </w:p>
    <w:p w:rsidR="0014295F" w:rsidRDefault="0014295F" w:rsidP="00AD54A3">
      <w:pPr>
        <w:rPr>
          <w:rFonts w:ascii="Calibri" w:hAnsi="Calibri" w:cs="Calibri"/>
          <w:b/>
        </w:rPr>
      </w:pPr>
    </w:p>
    <w:p w:rsidR="0014295F" w:rsidRDefault="0014295F" w:rsidP="00AD54A3">
      <w:pPr>
        <w:rPr>
          <w:rFonts w:ascii="Calibri" w:hAnsi="Calibri" w:cs="Calibri"/>
          <w:b/>
        </w:rPr>
      </w:pPr>
    </w:p>
    <w:p w:rsidR="0014295F" w:rsidRDefault="0014295F" w:rsidP="00AD54A3">
      <w:pPr>
        <w:rPr>
          <w:rFonts w:ascii="Calibri" w:hAnsi="Calibri" w:cs="Calibri"/>
          <w:b/>
        </w:rPr>
      </w:pPr>
    </w:p>
    <w:p w:rsidR="0014295F" w:rsidRDefault="0014295F" w:rsidP="00AD54A3">
      <w:pPr>
        <w:rPr>
          <w:rFonts w:ascii="Calibri" w:hAnsi="Calibri" w:cs="Calibri"/>
          <w:b/>
        </w:rPr>
      </w:pPr>
    </w:p>
    <w:p w:rsidR="0014295F" w:rsidRDefault="0014295F" w:rsidP="00AD54A3">
      <w:pPr>
        <w:rPr>
          <w:rFonts w:ascii="Calibri" w:hAnsi="Calibri" w:cs="Calibri"/>
          <w:b/>
        </w:rPr>
      </w:pPr>
    </w:p>
    <w:p w:rsidR="0014295F" w:rsidRDefault="0014295F" w:rsidP="00AD54A3">
      <w:pPr>
        <w:rPr>
          <w:rFonts w:ascii="Calibri" w:hAnsi="Calibri" w:cs="Calibri"/>
          <w:b/>
        </w:rPr>
      </w:pPr>
    </w:p>
    <w:p w:rsidR="0014295F" w:rsidRDefault="0014295F" w:rsidP="00AD54A3">
      <w:pPr>
        <w:rPr>
          <w:rFonts w:ascii="Calibri" w:hAnsi="Calibri" w:cs="Calibri"/>
          <w:b/>
        </w:rPr>
      </w:pPr>
    </w:p>
    <w:p w:rsidR="0014295F" w:rsidRDefault="0014295F" w:rsidP="00AD54A3">
      <w:pPr>
        <w:rPr>
          <w:rFonts w:ascii="Calibri" w:hAnsi="Calibri" w:cs="Calibri"/>
          <w:b/>
        </w:rPr>
      </w:pPr>
    </w:p>
    <w:p w:rsidR="0014295F" w:rsidRDefault="0014295F" w:rsidP="00AD54A3">
      <w:pPr>
        <w:rPr>
          <w:rFonts w:ascii="Calibri" w:hAnsi="Calibri" w:cs="Calibri"/>
          <w:b/>
        </w:rPr>
      </w:pPr>
    </w:p>
    <w:p w:rsidR="0014295F" w:rsidRDefault="0014295F" w:rsidP="00AD54A3">
      <w:pPr>
        <w:rPr>
          <w:rFonts w:ascii="Calibri" w:hAnsi="Calibri" w:cs="Calibri"/>
          <w:b/>
        </w:rPr>
      </w:pPr>
    </w:p>
    <w:p w:rsidR="0014295F" w:rsidRDefault="0014295F" w:rsidP="00AD54A3">
      <w:pPr>
        <w:rPr>
          <w:rFonts w:ascii="Calibri" w:hAnsi="Calibri" w:cs="Calibri"/>
          <w:b/>
        </w:rPr>
      </w:pPr>
    </w:p>
    <w:p w:rsidR="0014295F" w:rsidRDefault="0014295F" w:rsidP="00AD54A3">
      <w:pPr>
        <w:rPr>
          <w:rFonts w:ascii="Calibri" w:hAnsi="Calibri" w:cs="Calibri"/>
          <w:b/>
        </w:rPr>
      </w:pPr>
    </w:p>
    <w:p w:rsidR="0014295F" w:rsidRDefault="0014295F" w:rsidP="00AD54A3">
      <w:pPr>
        <w:rPr>
          <w:rFonts w:ascii="Calibri" w:hAnsi="Calibri" w:cs="Calibri"/>
          <w:b/>
        </w:rPr>
      </w:pPr>
    </w:p>
    <w:p w:rsidR="002C6A04" w:rsidRDefault="002C6A04" w:rsidP="00AD54A3">
      <w:pPr>
        <w:rPr>
          <w:rFonts w:ascii="Calibri" w:hAnsi="Calibri" w:cs="Calibri"/>
          <w:b/>
        </w:rPr>
      </w:pPr>
    </w:p>
    <w:p w:rsidR="002C6A04" w:rsidRDefault="002C6A04" w:rsidP="00AD54A3">
      <w:pPr>
        <w:rPr>
          <w:rFonts w:ascii="Calibri" w:hAnsi="Calibri" w:cs="Calibri"/>
          <w:b/>
        </w:rPr>
      </w:pPr>
    </w:p>
    <w:p w:rsidR="002C6A04" w:rsidRDefault="002C6A04" w:rsidP="00AD54A3">
      <w:pPr>
        <w:rPr>
          <w:rFonts w:ascii="Calibri" w:hAnsi="Calibri" w:cs="Calibri"/>
          <w:b/>
        </w:rPr>
      </w:pPr>
    </w:p>
    <w:p w:rsidR="0014295F" w:rsidRDefault="0014295F" w:rsidP="00AD54A3">
      <w:pPr>
        <w:rPr>
          <w:rFonts w:ascii="Calibri" w:hAnsi="Calibri" w:cs="Calibri"/>
          <w:b/>
        </w:rPr>
      </w:pPr>
    </w:p>
    <w:p w:rsidR="0014295F" w:rsidRDefault="0014295F" w:rsidP="00AD54A3">
      <w:pPr>
        <w:rPr>
          <w:rFonts w:ascii="Calibri" w:hAnsi="Calibri" w:cs="Calibri"/>
          <w:b/>
        </w:rPr>
      </w:pPr>
    </w:p>
    <w:p w:rsidR="0014295F" w:rsidRDefault="0014295F" w:rsidP="00AD54A3">
      <w:pPr>
        <w:rPr>
          <w:rFonts w:ascii="Calibri" w:hAnsi="Calibri" w:cs="Calibri"/>
          <w:b/>
        </w:rPr>
      </w:pPr>
    </w:p>
    <w:p w:rsidR="0014295F" w:rsidRDefault="0014295F" w:rsidP="00AD54A3">
      <w:pPr>
        <w:rPr>
          <w:rFonts w:ascii="Calibri" w:hAnsi="Calibri" w:cs="Calibri"/>
          <w:b/>
        </w:rPr>
      </w:pPr>
    </w:p>
    <w:p w:rsidR="0014295F" w:rsidRDefault="0014295F" w:rsidP="00AD54A3">
      <w:pPr>
        <w:rPr>
          <w:rFonts w:ascii="Calibri" w:hAnsi="Calibri" w:cs="Calibri"/>
          <w:b/>
        </w:rPr>
      </w:pPr>
    </w:p>
    <w:p w:rsidR="0014295F" w:rsidRDefault="0014295F" w:rsidP="00AD54A3">
      <w:pPr>
        <w:rPr>
          <w:rFonts w:ascii="Calibri" w:hAnsi="Calibri" w:cs="Calibri"/>
          <w:b/>
        </w:rPr>
      </w:pPr>
    </w:p>
    <w:p w:rsidR="0014295F" w:rsidRDefault="0014295F" w:rsidP="00AD54A3">
      <w:pPr>
        <w:rPr>
          <w:rFonts w:ascii="Calibri" w:hAnsi="Calibri" w:cs="Calibri"/>
          <w:b/>
        </w:rPr>
      </w:pPr>
    </w:p>
    <w:p w:rsidR="00BB2441" w:rsidRDefault="00BB2441" w:rsidP="00AD54A3">
      <w:pPr>
        <w:rPr>
          <w:rFonts w:ascii="Calibri" w:hAnsi="Calibri" w:cs="Calibri"/>
          <w:b/>
        </w:rPr>
      </w:pPr>
    </w:p>
    <w:p w:rsidR="00AD54A3" w:rsidRPr="00C403B6" w:rsidRDefault="0014295F" w:rsidP="00AD54A3">
      <w:pPr>
        <w:rPr>
          <w:rFonts w:ascii="Calibri" w:hAnsi="Calibri" w:cs="Calibri"/>
          <w:b/>
        </w:rPr>
      </w:pPr>
      <w:r>
        <w:rPr>
          <w:rFonts w:ascii="Calibri" w:hAnsi="Calibri" w:cs="Calibri"/>
          <w:b/>
        </w:rPr>
        <w:lastRenderedPageBreak/>
        <w:t xml:space="preserve">1. </w:t>
      </w:r>
      <w:r w:rsidR="00AD54A3" w:rsidRPr="00C403B6">
        <w:rPr>
          <w:rFonts w:ascii="Calibri" w:hAnsi="Calibri" w:cs="Calibri"/>
          <w:b/>
        </w:rPr>
        <w:t>WSTĘP</w:t>
      </w:r>
      <w:bookmarkEnd w:id="1391"/>
    </w:p>
    <w:p w:rsidR="00AD54A3" w:rsidRPr="00C403B6" w:rsidRDefault="00AD54A3" w:rsidP="00AD54A3">
      <w:pPr>
        <w:rPr>
          <w:rFonts w:ascii="Calibri" w:hAnsi="Calibri" w:cs="Calibri"/>
        </w:rPr>
      </w:pPr>
      <w:r w:rsidRPr="00C403B6">
        <w:rPr>
          <w:rFonts w:ascii="Calibri" w:hAnsi="Calibri" w:cs="Calibri"/>
          <w:b/>
        </w:rPr>
        <w:t>1.1.</w:t>
      </w:r>
      <w:r w:rsidRPr="00C403B6">
        <w:rPr>
          <w:rFonts w:ascii="Calibri" w:hAnsi="Calibri" w:cs="Calibri"/>
        </w:rPr>
        <w:t xml:space="preserve"> Przedmiot ST</w:t>
      </w:r>
    </w:p>
    <w:p w:rsidR="00AD54A3" w:rsidRPr="00C403B6" w:rsidRDefault="00AD54A3" w:rsidP="00AD54A3">
      <w:pPr>
        <w:rPr>
          <w:rFonts w:ascii="Calibri" w:hAnsi="Calibri" w:cs="Calibri"/>
        </w:rPr>
      </w:pPr>
      <w:r w:rsidRPr="00C403B6">
        <w:rPr>
          <w:rFonts w:ascii="Calibri" w:hAnsi="Calibri" w:cs="Calibri"/>
        </w:rPr>
        <w:tab/>
        <w:t>Przedmiotem niniejszej specyfikacji technicznej (ST) są wymagania dotyczące wykonania i odbioru robót związanych z wykonaniem podbudowy lub podłoża ulepszonego z mieszanki kruszywa związanego hydraulicznie cementem.</w:t>
      </w:r>
    </w:p>
    <w:p w:rsidR="00AD54A3" w:rsidRPr="00C403B6" w:rsidRDefault="00AD54A3" w:rsidP="00AD54A3">
      <w:pPr>
        <w:rPr>
          <w:rFonts w:ascii="Calibri" w:hAnsi="Calibri" w:cs="Calibri"/>
        </w:rPr>
      </w:pPr>
      <w:r w:rsidRPr="00C403B6">
        <w:rPr>
          <w:rFonts w:ascii="Calibri" w:hAnsi="Calibri" w:cs="Calibri"/>
          <w:b/>
        </w:rPr>
        <w:t>1.2.</w:t>
      </w:r>
      <w:r w:rsidRPr="00C403B6">
        <w:rPr>
          <w:rFonts w:ascii="Calibri" w:hAnsi="Calibri" w:cs="Calibri"/>
        </w:rPr>
        <w:t xml:space="preserve"> Zakres stosowania ST</w:t>
      </w:r>
    </w:p>
    <w:p w:rsidR="00AD54A3" w:rsidRPr="00C403B6" w:rsidRDefault="00AD54A3" w:rsidP="00AD54A3">
      <w:pPr>
        <w:rPr>
          <w:rFonts w:ascii="Calibri" w:hAnsi="Calibri" w:cs="Calibri"/>
        </w:rPr>
      </w:pPr>
      <w:r w:rsidRPr="00C403B6">
        <w:rPr>
          <w:rFonts w:ascii="Calibri" w:hAnsi="Calibri" w:cs="Calibri"/>
        </w:rPr>
        <w:tab/>
        <w:t>Specyfikacja techniczna określa wymagania dla wykonania i odbioru robót budowlanych przewidzianych do wykonania w ramach umowy a zawarte w niej zapisy w zakresie standardu materiałów, wykonania robót i wymaganej ich jakości oraz kontroli jakości robót należy traktować jako minimalne.</w:t>
      </w:r>
    </w:p>
    <w:p w:rsidR="00AD54A3" w:rsidRPr="00C403B6" w:rsidRDefault="00AD54A3" w:rsidP="00AD54A3">
      <w:pPr>
        <w:rPr>
          <w:rFonts w:ascii="Calibri" w:hAnsi="Calibri" w:cs="Calibri"/>
        </w:rPr>
      </w:pPr>
      <w:r w:rsidRPr="00C403B6">
        <w:rPr>
          <w:rFonts w:ascii="Calibri" w:hAnsi="Calibri" w:cs="Calibri"/>
          <w:b/>
        </w:rPr>
        <w:t>1.3.</w:t>
      </w:r>
      <w:r w:rsidRPr="00C403B6">
        <w:rPr>
          <w:rFonts w:ascii="Calibri" w:hAnsi="Calibri" w:cs="Calibri"/>
        </w:rPr>
        <w:t xml:space="preserve"> Zakres robót objętych ST</w:t>
      </w:r>
    </w:p>
    <w:p w:rsidR="00054F0C" w:rsidRPr="00666F76" w:rsidRDefault="00AD54A3" w:rsidP="00054F0C">
      <w:pPr>
        <w:rPr>
          <w:rFonts w:asciiTheme="minorHAnsi" w:hAnsiTheme="minorHAnsi" w:cs="Calibri"/>
        </w:rPr>
      </w:pPr>
      <w:r w:rsidRPr="00C403B6">
        <w:rPr>
          <w:rFonts w:ascii="Calibri" w:hAnsi="Calibri" w:cs="Calibri"/>
        </w:rPr>
        <w:tab/>
        <w:t>Ustalenia zawarte w niniejszej specyfikacji dotyczą zasad prowadzenia robót związanych z wykonaniem i odbiorem podbudowy zasadniczej, podbudowy pomocniczej lub podłoża ulepszonego z mieszanki kruszywa, wody, cementu i ewent</w:t>
      </w:r>
      <w:r w:rsidR="002C6A04">
        <w:rPr>
          <w:rFonts w:ascii="Calibri" w:hAnsi="Calibri" w:cs="Calibri"/>
        </w:rPr>
        <w:t>ualnych dodatków oraz domieszek</w:t>
      </w:r>
      <w:r w:rsidR="002C6A04" w:rsidRPr="002C6A04">
        <w:rPr>
          <w:rFonts w:ascii="Calibri" w:hAnsi="Calibri" w:cs="Calibri"/>
        </w:rPr>
        <w:t xml:space="preserve"> </w:t>
      </w:r>
      <w:r w:rsidR="00054F0C" w:rsidRPr="00666F76">
        <w:rPr>
          <w:rFonts w:ascii="Calibri" w:hAnsi="Calibri" w:cs="Calibri"/>
        </w:rPr>
        <w:t>w związku z „</w:t>
      </w:r>
      <w:r w:rsidR="00054F0C" w:rsidRPr="00666F76">
        <w:rPr>
          <w:rFonts w:asciiTheme="minorHAnsi" w:hAnsiTheme="minorHAnsi"/>
        </w:rPr>
        <w:t>Przebudową ul.55 Pułku Piechoty w Lesznie wraz z przebudową oświetlenia”</w:t>
      </w:r>
      <w:r w:rsidR="00054F0C" w:rsidRPr="00666F76">
        <w:rPr>
          <w:rFonts w:asciiTheme="minorHAnsi" w:hAnsiTheme="minorHAnsi" w:cs="Calibri"/>
        </w:rPr>
        <w:t>.</w:t>
      </w:r>
    </w:p>
    <w:p w:rsidR="00AD54A3" w:rsidRPr="00C403B6" w:rsidRDefault="00AD54A3" w:rsidP="00AD54A3">
      <w:pPr>
        <w:rPr>
          <w:rFonts w:ascii="Calibri" w:hAnsi="Calibri" w:cs="Calibri"/>
        </w:rPr>
      </w:pPr>
      <w:r w:rsidRPr="00C403B6">
        <w:rPr>
          <w:rFonts w:ascii="Calibri" w:hAnsi="Calibri" w:cs="Calibri"/>
        </w:rPr>
        <w:t xml:space="preserve"> </w:t>
      </w:r>
      <w:r w:rsidR="002C6A04">
        <w:rPr>
          <w:rFonts w:ascii="Calibri" w:hAnsi="Calibri" w:cs="Calibri"/>
        </w:rPr>
        <w:tab/>
      </w:r>
      <w:r w:rsidRPr="00C403B6">
        <w:rPr>
          <w:rFonts w:ascii="Calibri" w:hAnsi="Calibri" w:cs="Calibri"/>
        </w:rPr>
        <w:t>Materiał ten wiąże i twardnieje w obecności wody, tworząc stabilne i trwałe struktury.</w:t>
      </w:r>
    </w:p>
    <w:p w:rsidR="00AD54A3" w:rsidRPr="00C403B6" w:rsidRDefault="00AD54A3" w:rsidP="00AD54A3">
      <w:pPr>
        <w:rPr>
          <w:rFonts w:ascii="Calibri" w:hAnsi="Calibri" w:cs="Calibri"/>
        </w:rPr>
      </w:pPr>
      <w:r w:rsidRPr="00C403B6">
        <w:rPr>
          <w:rFonts w:ascii="Calibri" w:hAnsi="Calibri" w:cs="Calibri"/>
        </w:rPr>
        <w:tab/>
        <w:t>W mieszance można stosować kruszywo naturalne, kruszywo z recyklingu oraz połączenia tych kruszyw. Do kruszyw mogą  należeć kruszywo kamienne, kruszywo żużlowe z żużla kawałkowego wielkopiecowego i kruszywo żużlowe z żużla stalowniczego, dla rodzajów mieszanek mineralnych 0/31,5 mm, 0/22,4 mm, 0/16 mm, 0/11,2 mm i 0/8 mm.</w:t>
      </w:r>
    </w:p>
    <w:p w:rsidR="00AD54A3" w:rsidRPr="00C403B6" w:rsidRDefault="00AD54A3" w:rsidP="00AD54A3">
      <w:pPr>
        <w:rPr>
          <w:rFonts w:ascii="Calibri" w:hAnsi="Calibri" w:cs="Calibri"/>
        </w:rPr>
      </w:pPr>
      <w:r w:rsidRPr="00C403B6">
        <w:rPr>
          <w:rFonts w:ascii="Calibri" w:hAnsi="Calibri" w:cs="Calibri"/>
        </w:rPr>
        <w:tab/>
        <w:t>Mieszanki mogą być stosowane do wymienionych wyżej warstw nawierzchni drogowych, przenoszących ruch kategorii od KR1 do KR6.</w:t>
      </w:r>
    </w:p>
    <w:p w:rsidR="00AD54A3" w:rsidRPr="00C403B6" w:rsidRDefault="00AD54A3" w:rsidP="00AD54A3">
      <w:pPr>
        <w:rPr>
          <w:rFonts w:ascii="Calibri" w:hAnsi="Calibri" w:cs="Calibri"/>
        </w:rPr>
      </w:pPr>
      <w:r w:rsidRPr="00C403B6">
        <w:rPr>
          <w:rFonts w:ascii="Calibri" w:hAnsi="Calibri" w:cs="Calibri"/>
        </w:rPr>
        <w:tab/>
        <w:t>Niniejsza specyfikacja techniczna dotyczy tylko mieszanek kruszyw związanych cementem, nie dotyczy gruntów ulepszonych cementem.</w:t>
      </w:r>
    </w:p>
    <w:p w:rsidR="00AD54A3" w:rsidRPr="00C403B6" w:rsidRDefault="00AD54A3" w:rsidP="00AD54A3">
      <w:pPr>
        <w:rPr>
          <w:rFonts w:ascii="Calibri" w:hAnsi="Calibri" w:cs="Calibri"/>
        </w:rPr>
      </w:pPr>
      <w:r w:rsidRPr="00C403B6">
        <w:rPr>
          <w:rFonts w:ascii="Calibri" w:hAnsi="Calibri" w:cs="Calibri"/>
          <w:b/>
        </w:rPr>
        <w:t>1.4.</w:t>
      </w:r>
      <w:r w:rsidRPr="00C403B6">
        <w:rPr>
          <w:rFonts w:ascii="Calibri" w:hAnsi="Calibri" w:cs="Calibri"/>
        </w:rPr>
        <w:t xml:space="preserve"> Określenia podstawowe</w:t>
      </w:r>
    </w:p>
    <w:p w:rsidR="00AD54A3" w:rsidRPr="00C403B6" w:rsidRDefault="00AD54A3" w:rsidP="00AD54A3">
      <w:pPr>
        <w:rPr>
          <w:rFonts w:ascii="Calibri" w:hAnsi="Calibri" w:cs="Calibri"/>
        </w:rPr>
      </w:pPr>
      <w:r w:rsidRPr="00C403B6">
        <w:rPr>
          <w:rFonts w:ascii="Calibri" w:hAnsi="Calibri" w:cs="Calibri"/>
          <w:b/>
        </w:rPr>
        <w:t>1.4.1.</w:t>
      </w:r>
      <w:r w:rsidRPr="00C403B6">
        <w:rPr>
          <w:rFonts w:ascii="Calibri" w:hAnsi="Calibri" w:cs="Calibri"/>
        </w:rPr>
        <w:t xml:space="preserve"> Mieszanka związana spoiwem hydraulicznym – mieszanka, w której następuje wiązanie i twardnienie na skutek reakcji hydraulicznych.</w:t>
      </w:r>
    </w:p>
    <w:p w:rsidR="00AD54A3" w:rsidRPr="00C403B6" w:rsidRDefault="00AD54A3" w:rsidP="00AD54A3">
      <w:pPr>
        <w:rPr>
          <w:rFonts w:ascii="Calibri" w:hAnsi="Calibri" w:cs="Calibri"/>
          <w:color w:val="FF0000"/>
        </w:rPr>
      </w:pPr>
      <w:r w:rsidRPr="00C403B6">
        <w:rPr>
          <w:rFonts w:ascii="Calibri" w:hAnsi="Calibri" w:cs="Calibri"/>
          <w:b/>
        </w:rPr>
        <w:t>1.4.2.</w:t>
      </w:r>
      <w:r w:rsidRPr="00C403B6">
        <w:rPr>
          <w:rFonts w:ascii="Calibri" w:hAnsi="Calibri" w:cs="Calibri"/>
        </w:rPr>
        <w:t xml:space="preserve"> Podłoże ulepszone z  mieszanki związanej spoiwem hydraulicznym – warstwa zawierająca kruszywo naturalne lub sztuczne albo z recyklingu lub ich mieszaninę i spoiwo hydrauliczne, zapewniająca umożliwienie ruchu technologicznego i właściwego wykonania nawierzchni.</w:t>
      </w:r>
      <w:r w:rsidRPr="00C403B6">
        <w:rPr>
          <w:rFonts w:ascii="Calibri" w:hAnsi="Calibri" w:cs="Calibri"/>
          <w:color w:val="FF0000"/>
        </w:rPr>
        <w:t xml:space="preserve"> </w:t>
      </w:r>
    </w:p>
    <w:p w:rsidR="00AD54A3" w:rsidRPr="00C403B6" w:rsidRDefault="00AD54A3" w:rsidP="00AD54A3">
      <w:pPr>
        <w:rPr>
          <w:rFonts w:ascii="Calibri" w:hAnsi="Calibri" w:cs="Calibri"/>
        </w:rPr>
      </w:pPr>
      <w:r w:rsidRPr="00C403B6">
        <w:rPr>
          <w:rFonts w:ascii="Calibri" w:hAnsi="Calibri" w:cs="Calibri"/>
          <w:b/>
        </w:rPr>
        <w:t>1.4.3.</w:t>
      </w:r>
      <w:r w:rsidRPr="00C403B6">
        <w:rPr>
          <w:rFonts w:ascii="Calibri" w:hAnsi="Calibri" w:cs="Calibri"/>
        </w:rPr>
        <w:t xml:space="preserve"> Podbudowa pomocnicza z mieszanki związanej spoiwem hydraulicznym –  warstwa zawierająca kruszywo naturalne lub sztuczne a także z recyklingu lub ich mieszaninę i spoiwo hydrauliczne, zapewniająca przenoszenie obciążeń z warstwy podbudowy zasadniczej na warstwę podłoża.</w:t>
      </w:r>
    </w:p>
    <w:p w:rsidR="00AD54A3" w:rsidRPr="00C403B6" w:rsidRDefault="00AD54A3" w:rsidP="00AD54A3">
      <w:pPr>
        <w:rPr>
          <w:rFonts w:ascii="Calibri" w:hAnsi="Calibri" w:cs="Calibri"/>
        </w:rPr>
      </w:pPr>
      <w:r w:rsidRPr="00C403B6">
        <w:rPr>
          <w:rFonts w:ascii="Calibri" w:hAnsi="Calibri" w:cs="Calibri"/>
          <w:b/>
        </w:rPr>
        <w:t>1.4.4.</w:t>
      </w:r>
      <w:r w:rsidRPr="00C403B6">
        <w:rPr>
          <w:rFonts w:ascii="Calibri" w:hAnsi="Calibri" w:cs="Calibri"/>
        </w:rPr>
        <w:t xml:space="preserve"> Podbudowa zasadnicza z mieszanki związanej spoiwem hydraulicznym –  warstwa zawierająca kruszywo naturalne lub sztuczne a także z recyklingu lub ich mieszaninę i spoiwo hydrauliczne, zapewniająca</w:t>
      </w:r>
      <w:r w:rsidRPr="00C403B6">
        <w:rPr>
          <w:rFonts w:ascii="Calibri" w:hAnsi="Calibri" w:cs="Calibri"/>
          <w:color w:val="FF0000"/>
        </w:rPr>
        <w:t xml:space="preserve"> </w:t>
      </w:r>
      <w:r w:rsidRPr="00C403B6">
        <w:rPr>
          <w:rFonts w:ascii="Calibri" w:hAnsi="Calibri" w:cs="Calibri"/>
        </w:rPr>
        <w:t>przenoszenie obciążeń z warstw jezdnych na warstwę podbudowy pomocniczej lub podłoże.</w:t>
      </w:r>
    </w:p>
    <w:p w:rsidR="00AD54A3" w:rsidRPr="00C403B6" w:rsidRDefault="00AD54A3" w:rsidP="00AD54A3">
      <w:pPr>
        <w:rPr>
          <w:rFonts w:ascii="Calibri" w:hAnsi="Calibri" w:cs="Calibri"/>
        </w:rPr>
      </w:pPr>
      <w:r w:rsidRPr="00C403B6">
        <w:rPr>
          <w:rFonts w:ascii="Calibri" w:hAnsi="Calibri" w:cs="Calibri"/>
          <w:b/>
        </w:rPr>
        <w:t>1.4.5.</w:t>
      </w:r>
      <w:r w:rsidRPr="00C403B6">
        <w:rPr>
          <w:rFonts w:ascii="Calibri" w:hAnsi="Calibri" w:cs="Calibri"/>
        </w:rPr>
        <w:t xml:space="preserve"> Kruszywo – materiał ziarnisty stosowany w budownictwie, który może być naturalny, sztuczny lub z recyklingu.</w:t>
      </w:r>
    </w:p>
    <w:p w:rsidR="00AD54A3" w:rsidRPr="00C403B6" w:rsidRDefault="00AD54A3" w:rsidP="00AD54A3">
      <w:pPr>
        <w:rPr>
          <w:rFonts w:ascii="Calibri" w:hAnsi="Calibri" w:cs="Calibri"/>
        </w:rPr>
      </w:pPr>
      <w:r w:rsidRPr="00C403B6">
        <w:rPr>
          <w:rFonts w:ascii="Calibri" w:hAnsi="Calibri" w:cs="Calibri"/>
          <w:b/>
        </w:rPr>
        <w:t>1.4.6.</w:t>
      </w:r>
      <w:r w:rsidRPr="00C403B6">
        <w:rPr>
          <w:rFonts w:ascii="Calibri" w:hAnsi="Calibri" w:cs="Calibri"/>
        </w:rPr>
        <w:t xml:space="preserve"> Kruszywo naturalne – kruszywo ze złóż naturalnych pochodzenia mineralnego, które może być poddane wyłącznie obróbce mechanicznej. Kruszywo naturalne jest uzyskiwane z mineralnych surowców naturalnych występujących w przyrodzie jak żwir, piasek, żwir kruszony, kruszywo z mechanicznie rozdrobnionych skał, nadziarna żwirowego lub otoczaków.</w:t>
      </w:r>
    </w:p>
    <w:p w:rsidR="00AD54A3" w:rsidRPr="00C403B6" w:rsidRDefault="00AD54A3" w:rsidP="00AD54A3">
      <w:pPr>
        <w:rPr>
          <w:rFonts w:ascii="Calibri" w:hAnsi="Calibri" w:cs="Calibri"/>
        </w:rPr>
      </w:pPr>
      <w:r w:rsidRPr="00C403B6">
        <w:rPr>
          <w:rFonts w:ascii="Calibri" w:hAnsi="Calibri" w:cs="Calibri"/>
          <w:b/>
        </w:rPr>
        <w:t>1.4.7.</w:t>
      </w:r>
      <w:r w:rsidRPr="00C403B6">
        <w:rPr>
          <w:rFonts w:ascii="Calibri" w:hAnsi="Calibri" w:cs="Calibri"/>
        </w:rPr>
        <w:t xml:space="preserve">  Kruszywo sztuczne – kruszywo pochodzenia mineralnego, uzyskiwane w wyniku procesu przemysłowego obejmującego obróbkę termiczną lub inną modyfikację. Do kruszywa sztucznego zalicza się w szczególności kruszywo z żużli: wielkopiecowych, stalowniczych i pomiedziowych.</w:t>
      </w:r>
    </w:p>
    <w:p w:rsidR="00AD54A3" w:rsidRPr="00C403B6" w:rsidRDefault="00AD54A3" w:rsidP="00AD54A3">
      <w:pPr>
        <w:rPr>
          <w:rFonts w:ascii="Calibri" w:hAnsi="Calibri" w:cs="Calibri"/>
        </w:rPr>
      </w:pPr>
      <w:r w:rsidRPr="00C403B6">
        <w:rPr>
          <w:rFonts w:ascii="Calibri" w:hAnsi="Calibri" w:cs="Calibri"/>
          <w:b/>
        </w:rPr>
        <w:t>1.4.8.</w:t>
      </w:r>
      <w:r w:rsidRPr="00C403B6">
        <w:rPr>
          <w:rFonts w:ascii="Calibri" w:hAnsi="Calibri" w:cs="Calibri"/>
        </w:rPr>
        <w:t xml:space="preserve"> Kruszywo z recyklingu – kruszywo powstałe w wyniku przeróbki materiału zastosowanego uprzednio w budownictwie.</w:t>
      </w:r>
    </w:p>
    <w:p w:rsidR="00AD54A3" w:rsidRPr="00C403B6" w:rsidRDefault="00AD54A3" w:rsidP="00AD54A3">
      <w:pPr>
        <w:rPr>
          <w:rFonts w:ascii="Calibri" w:hAnsi="Calibri" w:cs="Calibri"/>
        </w:rPr>
      </w:pPr>
      <w:r w:rsidRPr="00C403B6">
        <w:rPr>
          <w:rFonts w:ascii="Calibri" w:hAnsi="Calibri" w:cs="Calibri"/>
          <w:b/>
        </w:rPr>
        <w:t>1.4.9.</w:t>
      </w:r>
      <w:r w:rsidRPr="00C403B6">
        <w:rPr>
          <w:rFonts w:ascii="Calibri" w:hAnsi="Calibri" w:cs="Calibri"/>
        </w:rPr>
        <w:t xml:space="preserve"> Kruszywo kamienne – kruszywo z mineralnych surowców jak żwir kruszony, mechanicznie rozdrobnione skały, nadziarno żwirowe.</w:t>
      </w:r>
    </w:p>
    <w:p w:rsidR="00AD54A3" w:rsidRPr="00C403B6" w:rsidRDefault="00AD54A3" w:rsidP="00AD54A3">
      <w:pPr>
        <w:rPr>
          <w:rFonts w:ascii="Calibri" w:hAnsi="Calibri" w:cs="Calibri"/>
        </w:rPr>
      </w:pPr>
      <w:r w:rsidRPr="00C403B6">
        <w:rPr>
          <w:rFonts w:ascii="Calibri" w:hAnsi="Calibri" w:cs="Calibri"/>
          <w:b/>
        </w:rPr>
        <w:t>1.4.10.</w:t>
      </w:r>
      <w:r w:rsidRPr="00C403B6">
        <w:rPr>
          <w:rFonts w:ascii="Calibri" w:hAnsi="Calibri" w:cs="Calibri"/>
        </w:rPr>
        <w:t xml:space="preserve"> Kruszywo żużlowe z żużla wielkopiecowego – kruszywo składające się głównie ze skrystalizowanych krzemianów lub glinokrzemianów wapnia i magnezu uzyskanych przez powolne schładzanie powietrzem ciekłego żużla wielkopiecowego. Proces chłodzenia może odbywać się przy kontrolowanym dodawaniu wody. Chłodzony powietrzem żużel wielkopiecowy twardnieje dzięki reakcji hydraulicznej lub karbonatyzacji.</w:t>
      </w:r>
    </w:p>
    <w:p w:rsidR="00AD54A3" w:rsidRPr="00C403B6" w:rsidRDefault="00AD54A3" w:rsidP="00AD54A3">
      <w:pPr>
        <w:rPr>
          <w:rFonts w:ascii="Calibri" w:hAnsi="Calibri" w:cs="Calibri"/>
        </w:rPr>
      </w:pPr>
      <w:r w:rsidRPr="00C403B6">
        <w:rPr>
          <w:rFonts w:ascii="Calibri" w:hAnsi="Calibri" w:cs="Calibri"/>
          <w:b/>
        </w:rPr>
        <w:t>1.4.11.</w:t>
      </w:r>
      <w:r w:rsidRPr="00C403B6">
        <w:rPr>
          <w:rFonts w:ascii="Calibri" w:hAnsi="Calibri" w:cs="Calibri"/>
        </w:rPr>
        <w:t xml:space="preserve"> Kruszywo żużlowe z żużla stalowniczego – kruszywo składające się głównie ze skrystalizowanego krzemianu wapnia i ferrytu zawierającego CaO, SiO2, MgO oraz tlenek żelaza. Kruszywo otrzymuje się przez powolne schładzanie powietrzem ciekłego żużla stalowniczego. Proces chłodzenia może odbywać się przy kontrolowanym dodawaniu wody.</w:t>
      </w:r>
    </w:p>
    <w:p w:rsidR="00AD54A3" w:rsidRPr="00C403B6" w:rsidRDefault="00AD54A3" w:rsidP="00AD54A3">
      <w:pPr>
        <w:rPr>
          <w:rFonts w:ascii="Calibri" w:hAnsi="Calibri" w:cs="Calibri"/>
        </w:rPr>
      </w:pPr>
      <w:r w:rsidRPr="00C403B6">
        <w:rPr>
          <w:rFonts w:ascii="Calibri" w:hAnsi="Calibri" w:cs="Calibri"/>
          <w:b/>
        </w:rPr>
        <w:lastRenderedPageBreak/>
        <w:t>1.4.12.</w:t>
      </w:r>
      <w:r w:rsidRPr="00C403B6">
        <w:rPr>
          <w:rFonts w:ascii="Calibri" w:hAnsi="Calibri" w:cs="Calibri"/>
        </w:rPr>
        <w:t xml:space="preserve"> Kategoria ruchu (KR1–KR6) – obciążenie drogi ruchem samochodowym, wyrażone w osiach obliczeniowych (100 kN) według „Katalogu typowych konstrukcji nawierzchni podatnych i półsztywnych”. Generalna Dyrekcja Dróg Publicznych – Instytut Badawczy Dróg i Mostów, Warszawa 1997.</w:t>
      </w:r>
    </w:p>
    <w:p w:rsidR="00AD54A3" w:rsidRPr="00C403B6" w:rsidRDefault="00AD54A3" w:rsidP="00AD54A3">
      <w:pPr>
        <w:rPr>
          <w:rFonts w:ascii="Calibri" w:hAnsi="Calibri" w:cs="Calibri"/>
        </w:rPr>
      </w:pPr>
      <w:r w:rsidRPr="00C403B6">
        <w:rPr>
          <w:rFonts w:ascii="Calibri" w:hAnsi="Calibri" w:cs="Calibri"/>
          <w:b/>
        </w:rPr>
        <w:t>1.4.13.</w:t>
      </w:r>
      <w:r w:rsidRPr="00C403B6">
        <w:rPr>
          <w:rFonts w:ascii="Calibri" w:hAnsi="Calibri" w:cs="Calibri"/>
        </w:rPr>
        <w:t xml:space="preserve"> Kruszywo grube (wg PN-EN 13242) – oznaczenie kruszywa o wymiarach ziaren d (dolnego) równym lub większym niż </w:t>
      </w:r>
      <w:smartTag w:uri="urn:schemas-microsoft-com:office:smarttags" w:element="metricconverter">
        <w:smartTagPr>
          <w:attr w:name="ProductID" w:val="1 mm"/>
        </w:smartTagPr>
        <w:r w:rsidRPr="00C403B6">
          <w:rPr>
            <w:rFonts w:ascii="Calibri" w:hAnsi="Calibri" w:cs="Calibri"/>
          </w:rPr>
          <w:t>1 mm</w:t>
        </w:r>
      </w:smartTag>
      <w:r w:rsidRPr="00C403B6">
        <w:rPr>
          <w:rFonts w:ascii="Calibri" w:hAnsi="Calibri" w:cs="Calibri"/>
        </w:rPr>
        <w:t xml:space="preserve"> oraz D (górnego) większym niż </w:t>
      </w:r>
      <w:smartTag w:uri="urn:schemas-microsoft-com:office:smarttags" w:element="metricconverter">
        <w:smartTagPr>
          <w:attr w:name="ProductID" w:val="2 mm"/>
        </w:smartTagPr>
        <w:r w:rsidRPr="00C403B6">
          <w:rPr>
            <w:rFonts w:ascii="Calibri" w:hAnsi="Calibri" w:cs="Calibri"/>
          </w:rPr>
          <w:t>2 mm</w:t>
        </w:r>
      </w:smartTag>
      <w:r w:rsidRPr="00C403B6">
        <w:rPr>
          <w:rFonts w:ascii="Calibri" w:hAnsi="Calibri" w:cs="Calibri"/>
        </w:rPr>
        <w:t>.</w:t>
      </w:r>
    </w:p>
    <w:p w:rsidR="00AD54A3" w:rsidRPr="00C403B6" w:rsidRDefault="00AD54A3" w:rsidP="00AD54A3">
      <w:pPr>
        <w:rPr>
          <w:rFonts w:ascii="Calibri" w:hAnsi="Calibri" w:cs="Calibri"/>
        </w:rPr>
      </w:pPr>
      <w:r w:rsidRPr="00C403B6">
        <w:rPr>
          <w:rFonts w:ascii="Calibri" w:hAnsi="Calibri" w:cs="Calibri"/>
          <w:b/>
        </w:rPr>
        <w:t>1.4.14.</w:t>
      </w:r>
      <w:r w:rsidRPr="00C403B6">
        <w:rPr>
          <w:rFonts w:ascii="Calibri" w:hAnsi="Calibri" w:cs="Calibri"/>
        </w:rPr>
        <w:t xml:space="preserve"> Kruszywo drobne (wg PN-EN 13242) – oznaczenie kruszywa o wymiarach ziaren d równym 0 oraz D równym </w:t>
      </w:r>
      <w:smartTag w:uri="urn:schemas-microsoft-com:office:smarttags" w:element="metricconverter">
        <w:smartTagPr>
          <w:attr w:name="ProductID" w:val="6,3 mm"/>
        </w:smartTagPr>
        <w:r w:rsidRPr="00C403B6">
          <w:rPr>
            <w:rFonts w:ascii="Calibri" w:hAnsi="Calibri" w:cs="Calibri"/>
          </w:rPr>
          <w:t>6,3 mm</w:t>
        </w:r>
      </w:smartTag>
      <w:r w:rsidRPr="00C403B6">
        <w:rPr>
          <w:rFonts w:ascii="Calibri" w:hAnsi="Calibri" w:cs="Calibri"/>
        </w:rPr>
        <w:t xml:space="preserve"> lub mniejszym.</w:t>
      </w:r>
    </w:p>
    <w:p w:rsidR="00AD54A3" w:rsidRPr="00C403B6" w:rsidRDefault="00AD54A3" w:rsidP="00AD54A3">
      <w:pPr>
        <w:rPr>
          <w:rFonts w:ascii="Calibri" w:hAnsi="Calibri" w:cs="Calibri"/>
        </w:rPr>
      </w:pPr>
      <w:r w:rsidRPr="00C403B6">
        <w:rPr>
          <w:rFonts w:ascii="Calibri" w:hAnsi="Calibri" w:cs="Calibri"/>
          <w:b/>
        </w:rPr>
        <w:t>1.4.15.</w:t>
      </w:r>
      <w:r w:rsidRPr="00C403B6">
        <w:rPr>
          <w:rFonts w:ascii="Calibri" w:hAnsi="Calibri" w:cs="Calibri"/>
        </w:rPr>
        <w:t xml:space="preserve"> Kruszywo o ciągłym uziarnieniu (wg PN-EN 13242) – kruszywo stanowiące mieszankę kruszyw grubych i drobnych, w której D jest większe niż </w:t>
      </w:r>
      <w:smartTag w:uri="urn:schemas-microsoft-com:office:smarttags" w:element="metricconverter">
        <w:smartTagPr>
          <w:attr w:name="ProductID" w:val="6,3 mm"/>
        </w:smartTagPr>
        <w:r w:rsidRPr="00C403B6">
          <w:rPr>
            <w:rFonts w:ascii="Calibri" w:hAnsi="Calibri" w:cs="Calibri"/>
          </w:rPr>
          <w:t>6,3 mm</w:t>
        </w:r>
      </w:smartTag>
      <w:r w:rsidRPr="00C403B6">
        <w:rPr>
          <w:rFonts w:ascii="Calibri" w:hAnsi="Calibri" w:cs="Calibri"/>
        </w:rPr>
        <w:t>.</w:t>
      </w:r>
    </w:p>
    <w:p w:rsidR="00AD54A3" w:rsidRPr="00C403B6" w:rsidRDefault="00AD54A3" w:rsidP="00AD54A3">
      <w:pPr>
        <w:rPr>
          <w:rFonts w:ascii="Calibri" w:hAnsi="Calibri" w:cs="Calibri"/>
        </w:rPr>
      </w:pPr>
      <w:r w:rsidRPr="00C403B6">
        <w:rPr>
          <w:rFonts w:ascii="Calibri" w:hAnsi="Calibri" w:cs="Calibri"/>
          <w:b/>
        </w:rPr>
        <w:t>1.4.16.</w:t>
      </w:r>
      <w:r w:rsidRPr="00C403B6">
        <w:rPr>
          <w:rFonts w:ascii="Calibri" w:hAnsi="Calibri" w:cs="Calibri"/>
        </w:rPr>
        <w:t xml:space="preserve"> Mieszanka związana cementem – mieszanka związana hydraulicznie, składająca się z kruszywa o kontrolowanym uziarnieniu i cementu, wymieszana w sposób zapewniający uzyskanie jednorodnej mieszanki.</w:t>
      </w:r>
    </w:p>
    <w:p w:rsidR="00AD54A3" w:rsidRPr="00C403B6" w:rsidRDefault="00AD54A3" w:rsidP="00AD54A3">
      <w:pPr>
        <w:rPr>
          <w:rFonts w:ascii="Calibri" w:hAnsi="Calibri" w:cs="Calibri"/>
        </w:rPr>
      </w:pPr>
      <w:r w:rsidRPr="00C403B6">
        <w:rPr>
          <w:rFonts w:ascii="Calibri" w:hAnsi="Calibri" w:cs="Calibri"/>
          <w:b/>
        </w:rPr>
        <w:t>1.4.17.</w:t>
      </w:r>
      <w:r w:rsidRPr="00C403B6">
        <w:rPr>
          <w:rFonts w:ascii="Calibri" w:hAnsi="Calibri" w:cs="Calibri"/>
        </w:rPr>
        <w:t xml:space="preserve"> Symbole i skróty dodatkowe</w:t>
      </w:r>
    </w:p>
    <w:p w:rsidR="00AD54A3" w:rsidRPr="00C403B6" w:rsidRDefault="00AD54A3" w:rsidP="00AD54A3">
      <w:pPr>
        <w:rPr>
          <w:rFonts w:ascii="Calibri" w:hAnsi="Calibri" w:cs="Calibri"/>
        </w:rPr>
      </w:pPr>
      <w:r>
        <w:rPr>
          <w:rFonts w:ascii="Calibri" w:hAnsi="Calibri" w:cs="Calibri"/>
        </w:rPr>
        <w:t>% m/m</w:t>
      </w:r>
      <w:r>
        <w:rPr>
          <w:rFonts w:ascii="Calibri" w:hAnsi="Calibri" w:cs="Calibri"/>
        </w:rPr>
        <w:tab/>
        <w:t>-</w:t>
      </w:r>
      <w:r w:rsidRPr="00C403B6">
        <w:rPr>
          <w:rFonts w:ascii="Calibri" w:hAnsi="Calibri" w:cs="Calibri"/>
        </w:rPr>
        <w:t>procent masy,</w:t>
      </w:r>
    </w:p>
    <w:p w:rsidR="00AD54A3" w:rsidRPr="00C403B6" w:rsidRDefault="00AD54A3" w:rsidP="00AD54A3">
      <w:pPr>
        <w:rPr>
          <w:rFonts w:ascii="Calibri" w:hAnsi="Calibri" w:cs="Calibri"/>
        </w:rPr>
      </w:pPr>
      <w:r>
        <w:rPr>
          <w:rFonts w:ascii="Calibri" w:hAnsi="Calibri" w:cs="Calibri"/>
        </w:rPr>
        <w:t>NR</w:t>
      </w:r>
      <w:r>
        <w:rPr>
          <w:rFonts w:ascii="Calibri" w:hAnsi="Calibri" w:cs="Calibri"/>
        </w:rPr>
        <w:tab/>
        <w:t>-</w:t>
      </w:r>
      <w:r w:rsidRPr="00C403B6">
        <w:rPr>
          <w:rFonts w:ascii="Calibri" w:hAnsi="Calibri" w:cs="Calibri"/>
        </w:rPr>
        <w:t>brak konieczności badania danej cechy,</w:t>
      </w:r>
    </w:p>
    <w:p w:rsidR="00AD54A3" w:rsidRPr="00C403B6" w:rsidRDefault="00AD54A3" w:rsidP="00AD54A3">
      <w:pPr>
        <w:rPr>
          <w:rFonts w:ascii="Calibri" w:hAnsi="Calibri" w:cs="Calibri"/>
        </w:rPr>
      </w:pPr>
      <w:r>
        <w:rPr>
          <w:rFonts w:ascii="Calibri" w:hAnsi="Calibri" w:cs="Calibri"/>
        </w:rPr>
        <w:t>CBGM</w:t>
      </w:r>
      <w:r>
        <w:rPr>
          <w:rFonts w:ascii="Calibri" w:hAnsi="Calibri" w:cs="Calibri"/>
        </w:rPr>
        <w:tab/>
        <w:t>-</w:t>
      </w:r>
      <w:r w:rsidRPr="00C403B6">
        <w:rPr>
          <w:rFonts w:ascii="Calibri" w:hAnsi="Calibri" w:cs="Calibri"/>
        </w:rPr>
        <w:t>mieszanka związana cementem,</w:t>
      </w:r>
    </w:p>
    <w:p w:rsidR="00AD54A3" w:rsidRPr="00C403B6" w:rsidRDefault="00AD54A3" w:rsidP="00AD54A3">
      <w:pPr>
        <w:rPr>
          <w:rFonts w:ascii="Calibri" w:hAnsi="Calibri" w:cs="Calibri"/>
        </w:rPr>
      </w:pPr>
      <w:r>
        <w:rPr>
          <w:rFonts w:ascii="Calibri" w:hAnsi="Calibri" w:cs="Calibri"/>
        </w:rPr>
        <w:t>CBR</w:t>
      </w:r>
      <w:r>
        <w:rPr>
          <w:rFonts w:ascii="Calibri" w:hAnsi="Calibri" w:cs="Calibri"/>
        </w:rPr>
        <w:tab/>
        <w:t>-</w:t>
      </w:r>
      <w:r w:rsidRPr="00C403B6">
        <w:rPr>
          <w:rFonts w:ascii="Calibri" w:hAnsi="Calibri" w:cs="Calibri"/>
        </w:rPr>
        <w:t>kalifornijski wskaźnik nośności, w procentach (%),</w:t>
      </w:r>
    </w:p>
    <w:p w:rsidR="00AD54A3" w:rsidRPr="00C403B6" w:rsidRDefault="00AD54A3" w:rsidP="00AD54A3">
      <w:pPr>
        <w:rPr>
          <w:rFonts w:ascii="Calibri" w:hAnsi="Calibri" w:cs="Calibri"/>
        </w:rPr>
      </w:pPr>
      <w:r>
        <w:rPr>
          <w:rFonts w:ascii="Calibri" w:hAnsi="Calibri" w:cs="Calibri"/>
        </w:rPr>
        <w:t>d</w:t>
      </w:r>
      <w:r>
        <w:rPr>
          <w:rFonts w:ascii="Calibri" w:hAnsi="Calibri" w:cs="Calibri"/>
        </w:rPr>
        <w:tab/>
        <w:t>-</w:t>
      </w:r>
      <w:r w:rsidRPr="00C403B6">
        <w:rPr>
          <w:rFonts w:ascii="Calibri" w:hAnsi="Calibri" w:cs="Calibri"/>
        </w:rPr>
        <w:t>dolny wymiar sita (przy określaniu wielkości ziaren kruszywa),</w:t>
      </w:r>
    </w:p>
    <w:p w:rsidR="00AD54A3" w:rsidRPr="00C403B6" w:rsidRDefault="00AD54A3" w:rsidP="00AD54A3">
      <w:pPr>
        <w:rPr>
          <w:rFonts w:ascii="Calibri" w:hAnsi="Calibri" w:cs="Calibri"/>
        </w:rPr>
      </w:pPr>
      <w:r>
        <w:rPr>
          <w:rFonts w:ascii="Calibri" w:hAnsi="Calibri" w:cs="Calibri"/>
        </w:rPr>
        <w:t>D</w:t>
      </w:r>
      <w:r>
        <w:rPr>
          <w:rFonts w:ascii="Calibri" w:hAnsi="Calibri" w:cs="Calibri"/>
        </w:rPr>
        <w:tab/>
        <w:t>-</w:t>
      </w:r>
      <w:r w:rsidRPr="00C403B6">
        <w:rPr>
          <w:rFonts w:ascii="Calibri" w:hAnsi="Calibri" w:cs="Calibri"/>
        </w:rPr>
        <w:t>górny wymiar sita (przy określaniu wielkości ziaren kruszywa),</w:t>
      </w:r>
    </w:p>
    <w:p w:rsidR="00AD54A3" w:rsidRPr="00C403B6" w:rsidRDefault="00AD54A3" w:rsidP="00AD54A3">
      <w:pPr>
        <w:rPr>
          <w:rFonts w:ascii="Calibri" w:hAnsi="Calibri" w:cs="Calibri"/>
        </w:rPr>
      </w:pPr>
      <w:r>
        <w:rPr>
          <w:rFonts w:ascii="Calibri" w:hAnsi="Calibri" w:cs="Calibri"/>
        </w:rPr>
        <w:t>H/D</w:t>
      </w:r>
      <w:r>
        <w:rPr>
          <w:rFonts w:ascii="Calibri" w:hAnsi="Calibri" w:cs="Calibri"/>
        </w:rPr>
        <w:tab/>
        <w:t>-</w:t>
      </w:r>
      <w:r w:rsidRPr="00C403B6">
        <w:rPr>
          <w:rFonts w:ascii="Calibri" w:hAnsi="Calibri" w:cs="Calibri"/>
        </w:rPr>
        <w:t>stosunek wysokości do średnicy próbki.</w:t>
      </w:r>
    </w:p>
    <w:p w:rsidR="00AD54A3" w:rsidRPr="00C403B6" w:rsidRDefault="00AD54A3" w:rsidP="00AD54A3">
      <w:pPr>
        <w:rPr>
          <w:rFonts w:ascii="Calibri" w:hAnsi="Calibri" w:cs="Calibri"/>
        </w:rPr>
      </w:pPr>
      <w:r w:rsidRPr="00C403B6">
        <w:rPr>
          <w:rFonts w:ascii="Calibri" w:hAnsi="Calibri" w:cs="Calibri"/>
          <w:b/>
        </w:rPr>
        <w:t>1.4.18.</w:t>
      </w:r>
      <w:r w:rsidRPr="00C403B6">
        <w:rPr>
          <w:rFonts w:ascii="Calibri" w:hAnsi="Calibri" w:cs="Calibri"/>
        </w:rPr>
        <w:t xml:space="preserve"> Pozostałe określenia podstawowe są zgodne z obowiązującymi, odpowiednimi polskimi normami i z definicjami podanymi w ST D-M-00.00.00 „Wymagania ogólne” pkt 1.4.</w:t>
      </w:r>
    </w:p>
    <w:p w:rsidR="00AD54A3" w:rsidRPr="00C403B6" w:rsidRDefault="00AD54A3" w:rsidP="00AD54A3">
      <w:pPr>
        <w:rPr>
          <w:rFonts w:ascii="Calibri" w:hAnsi="Calibri" w:cs="Calibri"/>
        </w:rPr>
      </w:pPr>
      <w:r w:rsidRPr="00C403B6">
        <w:rPr>
          <w:rFonts w:ascii="Calibri" w:hAnsi="Calibri" w:cs="Calibri"/>
          <w:b/>
        </w:rPr>
        <w:t>1.5.</w:t>
      </w:r>
      <w:r w:rsidRPr="00C403B6">
        <w:rPr>
          <w:rFonts w:ascii="Calibri" w:hAnsi="Calibri" w:cs="Calibri"/>
        </w:rPr>
        <w:t xml:space="preserve"> Ogólne wymagania dotyczące robót</w:t>
      </w:r>
    </w:p>
    <w:p w:rsidR="00AD54A3" w:rsidRPr="00C403B6" w:rsidRDefault="00AD54A3" w:rsidP="00AD54A3">
      <w:pPr>
        <w:rPr>
          <w:rFonts w:ascii="Calibri" w:hAnsi="Calibri" w:cs="Calibri"/>
        </w:rPr>
      </w:pPr>
      <w:r w:rsidRPr="00C403B6">
        <w:rPr>
          <w:rFonts w:ascii="Calibri" w:hAnsi="Calibri" w:cs="Calibri"/>
        </w:rPr>
        <w:tab/>
        <w:t>Ogólne wymagania dotyczące robót podano w ST D-M-00.00.00 „Wymagania ogólne” pkt 1.5.</w:t>
      </w:r>
    </w:p>
    <w:p w:rsidR="00AD54A3" w:rsidRPr="00C403B6" w:rsidRDefault="00AD54A3" w:rsidP="00AD54A3">
      <w:pPr>
        <w:rPr>
          <w:rFonts w:ascii="Calibri" w:hAnsi="Calibri" w:cs="Calibri"/>
        </w:rPr>
      </w:pPr>
    </w:p>
    <w:p w:rsidR="00AD54A3" w:rsidRPr="00C403B6" w:rsidRDefault="00AD54A3" w:rsidP="00AD54A3">
      <w:pPr>
        <w:rPr>
          <w:rFonts w:ascii="Calibri" w:hAnsi="Calibri" w:cs="Calibri"/>
          <w:b/>
        </w:rPr>
      </w:pPr>
      <w:bookmarkStart w:id="1392" w:name="_Toc236626156"/>
      <w:bookmarkStart w:id="1393" w:name="_Toc332010312"/>
      <w:r w:rsidRPr="00C403B6">
        <w:rPr>
          <w:rFonts w:ascii="Calibri" w:hAnsi="Calibri" w:cs="Calibri"/>
          <w:b/>
        </w:rPr>
        <w:t>2. MATERIAŁY</w:t>
      </w:r>
      <w:bookmarkEnd w:id="1392"/>
      <w:bookmarkEnd w:id="1393"/>
    </w:p>
    <w:p w:rsidR="00AD54A3" w:rsidRPr="00C403B6" w:rsidRDefault="00AD54A3" w:rsidP="00AD54A3">
      <w:pPr>
        <w:rPr>
          <w:rFonts w:ascii="Calibri" w:hAnsi="Calibri" w:cs="Calibri"/>
        </w:rPr>
      </w:pPr>
      <w:r w:rsidRPr="00C403B6">
        <w:rPr>
          <w:rFonts w:ascii="Calibri" w:hAnsi="Calibri" w:cs="Calibri"/>
          <w:b/>
        </w:rPr>
        <w:t>2.1.</w:t>
      </w:r>
      <w:r w:rsidRPr="00C403B6">
        <w:rPr>
          <w:rFonts w:ascii="Calibri" w:hAnsi="Calibri" w:cs="Calibri"/>
        </w:rPr>
        <w:t xml:space="preserve"> Ogólne wymagania dotyczące materiałów</w:t>
      </w:r>
    </w:p>
    <w:p w:rsidR="00AD54A3" w:rsidRPr="00C403B6" w:rsidRDefault="00AD54A3" w:rsidP="00AD54A3">
      <w:pPr>
        <w:rPr>
          <w:rFonts w:ascii="Calibri" w:hAnsi="Calibri" w:cs="Calibri"/>
        </w:rPr>
      </w:pPr>
      <w:r w:rsidRPr="00C403B6">
        <w:rPr>
          <w:rFonts w:ascii="Calibri" w:hAnsi="Calibri" w:cs="Calibri"/>
        </w:rPr>
        <w:tab/>
        <w:t>Ogólne wymagania dotyczące materiałów, ich pozyskiwania i składowania, podano w ST D-M-00.00.00 „Wymagania ogólne”  pkt 2.</w:t>
      </w:r>
    </w:p>
    <w:p w:rsidR="00AD54A3" w:rsidRPr="00C403B6" w:rsidRDefault="00AD54A3" w:rsidP="00AD54A3">
      <w:pPr>
        <w:rPr>
          <w:rFonts w:ascii="Calibri" w:hAnsi="Calibri" w:cs="Calibri"/>
        </w:rPr>
      </w:pPr>
      <w:r w:rsidRPr="00C403B6">
        <w:rPr>
          <w:rFonts w:ascii="Calibri" w:hAnsi="Calibri" w:cs="Calibri"/>
          <w:b/>
        </w:rPr>
        <w:t>2.2.</w:t>
      </w:r>
      <w:r w:rsidRPr="00C403B6">
        <w:rPr>
          <w:rFonts w:ascii="Calibri" w:hAnsi="Calibri" w:cs="Calibri"/>
        </w:rPr>
        <w:t xml:space="preserve"> Materiały do wykonania robót</w:t>
      </w:r>
    </w:p>
    <w:p w:rsidR="00AD54A3" w:rsidRPr="00C403B6" w:rsidRDefault="00AD54A3" w:rsidP="00AD54A3">
      <w:pPr>
        <w:rPr>
          <w:rFonts w:ascii="Calibri" w:hAnsi="Calibri" w:cs="Calibri"/>
        </w:rPr>
      </w:pPr>
      <w:r w:rsidRPr="00C403B6">
        <w:rPr>
          <w:rFonts w:ascii="Calibri" w:hAnsi="Calibri" w:cs="Calibri"/>
          <w:b/>
        </w:rPr>
        <w:t>2.2.1.</w:t>
      </w:r>
      <w:r w:rsidRPr="00C403B6">
        <w:rPr>
          <w:rFonts w:ascii="Calibri" w:hAnsi="Calibri" w:cs="Calibri"/>
        </w:rPr>
        <w:t>Zgodność materiałów z dokumentacją projektową i aprobatą techniczną</w:t>
      </w:r>
    </w:p>
    <w:p w:rsidR="00AD54A3" w:rsidRPr="00C403B6" w:rsidRDefault="00AD54A3" w:rsidP="00AD54A3">
      <w:pPr>
        <w:rPr>
          <w:rFonts w:ascii="Calibri" w:hAnsi="Calibri" w:cs="Calibri"/>
        </w:rPr>
      </w:pPr>
      <w:r w:rsidRPr="00C403B6">
        <w:rPr>
          <w:rFonts w:ascii="Calibri" w:hAnsi="Calibri" w:cs="Calibri"/>
        </w:rPr>
        <w:tab/>
        <w:t>Materiały do wykonania robót powinny być zgodne z ustaleniami dokumentacji projektowej względnie z wymaganiami europejskiej lub krajowej aprobaty technicznej.</w:t>
      </w:r>
    </w:p>
    <w:p w:rsidR="00AD54A3" w:rsidRPr="00C403B6" w:rsidRDefault="00AD54A3" w:rsidP="00AD54A3">
      <w:pPr>
        <w:rPr>
          <w:rFonts w:ascii="Calibri" w:hAnsi="Calibri" w:cs="Calibri"/>
        </w:rPr>
      </w:pPr>
      <w:r w:rsidRPr="00C403B6">
        <w:rPr>
          <w:rFonts w:ascii="Calibri" w:hAnsi="Calibri" w:cs="Calibri"/>
          <w:b/>
        </w:rPr>
        <w:t>2.2.2.</w:t>
      </w:r>
      <w:r w:rsidRPr="00C403B6">
        <w:rPr>
          <w:rFonts w:ascii="Calibri" w:hAnsi="Calibri" w:cs="Calibri"/>
        </w:rPr>
        <w:t xml:space="preserve"> Materiały wchodzące w skład mieszanki</w:t>
      </w:r>
    </w:p>
    <w:p w:rsidR="00AD54A3" w:rsidRPr="00C403B6" w:rsidRDefault="00AD54A3" w:rsidP="00AD54A3">
      <w:pPr>
        <w:rPr>
          <w:rFonts w:ascii="Calibri" w:hAnsi="Calibri" w:cs="Calibri"/>
        </w:rPr>
      </w:pPr>
      <w:r w:rsidRPr="00C403B6">
        <w:rPr>
          <w:rFonts w:ascii="Calibri" w:hAnsi="Calibri" w:cs="Calibri"/>
        </w:rPr>
        <w:tab/>
        <w:t>Materiałami stosowanymi do wytwarzania mieszanek związanych cementem są:</w:t>
      </w:r>
    </w:p>
    <w:p w:rsidR="00AD54A3" w:rsidRPr="00C403B6" w:rsidRDefault="00AD54A3" w:rsidP="00AD54A3">
      <w:pPr>
        <w:rPr>
          <w:rFonts w:ascii="Calibri" w:hAnsi="Calibri" w:cs="Calibri"/>
        </w:rPr>
      </w:pPr>
      <w:r>
        <w:rPr>
          <w:rFonts w:ascii="Calibri" w:hAnsi="Calibri" w:cs="Calibri"/>
        </w:rPr>
        <w:t>-</w:t>
      </w:r>
      <w:r w:rsidRPr="00C403B6">
        <w:rPr>
          <w:rFonts w:ascii="Calibri" w:hAnsi="Calibri" w:cs="Calibri"/>
        </w:rPr>
        <w:t>kruszywo,</w:t>
      </w:r>
    </w:p>
    <w:p w:rsidR="00AD54A3" w:rsidRPr="00C403B6" w:rsidRDefault="00AD54A3" w:rsidP="00AD54A3">
      <w:pPr>
        <w:rPr>
          <w:rFonts w:ascii="Calibri" w:hAnsi="Calibri" w:cs="Calibri"/>
        </w:rPr>
      </w:pPr>
      <w:r>
        <w:rPr>
          <w:rFonts w:ascii="Calibri" w:hAnsi="Calibri" w:cs="Calibri"/>
        </w:rPr>
        <w:t>-</w:t>
      </w:r>
      <w:r w:rsidRPr="00C403B6">
        <w:rPr>
          <w:rFonts w:ascii="Calibri" w:hAnsi="Calibri" w:cs="Calibri"/>
        </w:rPr>
        <w:t>cement,</w:t>
      </w:r>
    </w:p>
    <w:p w:rsidR="00AD54A3" w:rsidRPr="00C403B6" w:rsidRDefault="00AD54A3" w:rsidP="00AD54A3">
      <w:pPr>
        <w:rPr>
          <w:rFonts w:ascii="Calibri" w:hAnsi="Calibri" w:cs="Calibri"/>
        </w:rPr>
      </w:pPr>
      <w:r>
        <w:rPr>
          <w:rFonts w:ascii="Calibri" w:hAnsi="Calibri" w:cs="Calibri"/>
        </w:rPr>
        <w:t>-</w:t>
      </w:r>
      <w:r w:rsidRPr="00C403B6">
        <w:rPr>
          <w:rFonts w:ascii="Calibri" w:hAnsi="Calibri" w:cs="Calibri"/>
        </w:rPr>
        <w:t>woda zarobowa,</w:t>
      </w:r>
    </w:p>
    <w:p w:rsidR="00AD54A3" w:rsidRPr="00C403B6" w:rsidRDefault="00AD54A3" w:rsidP="00AD54A3">
      <w:pPr>
        <w:rPr>
          <w:rFonts w:ascii="Calibri" w:hAnsi="Calibri" w:cs="Calibri"/>
        </w:rPr>
      </w:pPr>
      <w:r>
        <w:rPr>
          <w:rFonts w:ascii="Calibri" w:hAnsi="Calibri" w:cs="Calibri"/>
        </w:rPr>
        <w:t>-</w:t>
      </w:r>
      <w:r w:rsidRPr="00C403B6">
        <w:rPr>
          <w:rFonts w:ascii="Calibri" w:hAnsi="Calibri" w:cs="Calibri"/>
        </w:rPr>
        <w:t>ew. dodatki,</w:t>
      </w:r>
    </w:p>
    <w:p w:rsidR="00AD54A3" w:rsidRPr="00C403B6" w:rsidRDefault="00AD54A3" w:rsidP="00AD54A3">
      <w:pPr>
        <w:rPr>
          <w:rFonts w:ascii="Calibri" w:hAnsi="Calibri" w:cs="Calibri"/>
        </w:rPr>
      </w:pPr>
      <w:r>
        <w:rPr>
          <w:rFonts w:ascii="Calibri" w:hAnsi="Calibri" w:cs="Calibri"/>
        </w:rPr>
        <w:t>-</w:t>
      </w:r>
      <w:r w:rsidRPr="00C403B6">
        <w:rPr>
          <w:rFonts w:ascii="Calibri" w:hAnsi="Calibri" w:cs="Calibri"/>
        </w:rPr>
        <w:t>ew. domieszki.</w:t>
      </w:r>
    </w:p>
    <w:p w:rsidR="00AD54A3" w:rsidRPr="00C403B6" w:rsidRDefault="00AD54A3" w:rsidP="00AD54A3">
      <w:pPr>
        <w:rPr>
          <w:rFonts w:ascii="Calibri" w:hAnsi="Calibri" w:cs="Calibri"/>
        </w:rPr>
      </w:pPr>
      <w:r w:rsidRPr="00C403B6">
        <w:rPr>
          <w:rFonts w:ascii="Calibri" w:hAnsi="Calibri" w:cs="Calibri"/>
          <w:b/>
        </w:rPr>
        <w:t>2.2.3.</w:t>
      </w:r>
      <w:r w:rsidRPr="00C403B6">
        <w:rPr>
          <w:rFonts w:ascii="Calibri" w:hAnsi="Calibri" w:cs="Calibri"/>
        </w:rPr>
        <w:t xml:space="preserve"> Kruszywa</w:t>
      </w:r>
    </w:p>
    <w:p w:rsidR="00AD54A3" w:rsidRPr="00C403B6" w:rsidRDefault="00AD54A3" w:rsidP="00AD54A3">
      <w:pPr>
        <w:rPr>
          <w:rFonts w:ascii="Calibri" w:hAnsi="Calibri" w:cs="Calibri"/>
        </w:rPr>
      </w:pPr>
      <w:r w:rsidRPr="00C403B6">
        <w:rPr>
          <w:rFonts w:ascii="Calibri" w:hAnsi="Calibri" w:cs="Calibri"/>
        </w:rPr>
        <w:tab/>
        <w:t>Do mieszanek można stosować następujące rodzaje kruszyw:</w:t>
      </w:r>
    </w:p>
    <w:p w:rsidR="00AD54A3" w:rsidRPr="00C403B6" w:rsidRDefault="00AD54A3" w:rsidP="00AD54A3">
      <w:pPr>
        <w:rPr>
          <w:rFonts w:ascii="Calibri" w:hAnsi="Calibri" w:cs="Calibri"/>
        </w:rPr>
      </w:pPr>
      <w:r w:rsidRPr="00C403B6">
        <w:rPr>
          <w:rFonts w:ascii="Calibri" w:hAnsi="Calibri" w:cs="Calibri"/>
        </w:rPr>
        <w:t>a)kruszywo naturalne lub sztuczne,</w:t>
      </w:r>
    </w:p>
    <w:p w:rsidR="00AD54A3" w:rsidRPr="00C403B6" w:rsidRDefault="00AD54A3" w:rsidP="00AD54A3">
      <w:pPr>
        <w:rPr>
          <w:rFonts w:ascii="Calibri" w:hAnsi="Calibri" w:cs="Calibri"/>
        </w:rPr>
      </w:pPr>
      <w:r w:rsidRPr="00C403B6">
        <w:rPr>
          <w:rFonts w:ascii="Calibri" w:hAnsi="Calibri" w:cs="Calibri"/>
        </w:rPr>
        <w:t>b)kruszywo z recyklingu,</w:t>
      </w:r>
    </w:p>
    <w:p w:rsidR="00AD54A3" w:rsidRPr="00C403B6" w:rsidRDefault="00AD54A3" w:rsidP="00AD54A3">
      <w:pPr>
        <w:rPr>
          <w:rFonts w:ascii="Calibri" w:hAnsi="Calibri" w:cs="Calibri"/>
        </w:rPr>
      </w:pPr>
      <w:r w:rsidRPr="00C403B6">
        <w:rPr>
          <w:rFonts w:ascii="Calibri" w:hAnsi="Calibri" w:cs="Calibri"/>
        </w:rPr>
        <w:t>c)połączenie kruszyw wymienionych w punktach a) i b) z określeniem proporcji kruszyw z a) i b) z dokładnością ± 5% m/m.</w:t>
      </w:r>
    </w:p>
    <w:p w:rsidR="00AD54A3" w:rsidRPr="00C403B6" w:rsidRDefault="00AD54A3" w:rsidP="00AD54A3">
      <w:pPr>
        <w:rPr>
          <w:rFonts w:ascii="Calibri" w:hAnsi="Calibri" w:cs="Calibri"/>
        </w:rPr>
      </w:pPr>
      <w:r w:rsidRPr="00C403B6">
        <w:rPr>
          <w:rFonts w:ascii="Calibri" w:hAnsi="Calibri" w:cs="Calibri"/>
        </w:rPr>
        <w:t>Wymagania wobec kruszywa do warstw podbudowy i podłoża ulepszonego przedstawia tablica 1.</w:t>
      </w:r>
    </w:p>
    <w:p w:rsidR="00AD54A3" w:rsidRDefault="00AD54A3" w:rsidP="00AD54A3">
      <w:pPr>
        <w:rPr>
          <w:rFonts w:ascii="Calibri" w:eastAsia="Calibri" w:hAnsi="Calibri" w:cs="Calibri"/>
        </w:rPr>
      </w:pPr>
    </w:p>
    <w:p w:rsidR="0014295F" w:rsidRDefault="0014295F" w:rsidP="00AD54A3">
      <w:pPr>
        <w:rPr>
          <w:rFonts w:ascii="Calibri" w:eastAsia="Calibri" w:hAnsi="Calibri" w:cs="Calibri"/>
        </w:rPr>
      </w:pPr>
    </w:p>
    <w:p w:rsidR="0014295F" w:rsidRDefault="0014295F" w:rsidP="00AD54A3">
      <w:pPr>
        <w:rPr>
          <w:rFonts w:ascii="Calibri" w:eastAsia="Calibri" w:hAnsi="Calibri" w:cs="Calibri"/>
        </w:rPr>
      </w:pPr>
    </w:p>
    <w:p w:rsidR="0014295F" w:rsidRDefault="0014295F" w:rsidP="00AD54A3">
      <w:pPr>
        <w:rPr>
          <w:rFonts w:ascii="Calibri" w:eastAsia="Calibri" w:hAnsi="Calibri" w:cs="Calibri"/>
        </w:rPr>
      </w:pPr>
    </w:p>
    <w:p w:rsidR="0014295F" w:rsidRDefault="0014295F" w:rsidP="00AD54A3">
      <w:pPr>
        <w:rPr>
          <w:rFonts w:ascii="Calibri" w:eastAsia="Calibri" w:hAnsi="Calibri" w:cs="Calibri"/>
        </w:rPr>
      </w:pPr>
    </w:p>
    <w:p w:rsidR="0014295F" w:rsidRDefault="0014295F" w:rsidP="00AD54A3">
      <w:pPr>
        <w:rPr>
          <w:rFonts w:ascii="Calibri" w:eastAsia="Calibri" w:hAnsi="Calibri" w:cs="Calibri"/>
        </w:rPr>
      </w:pPr>
    </w:p>
    <w:p w:rsidR="0014295F" w:rsidRDefault="0014295F" w:rsidP="00AD54A3">
      <w:pPr>
        <w:rPr>
          <w:rFonts w:ascii="Calibri" w:eastAsia="Calibri" w:hAnsi="Calibri" w:cs="Calibri"/>
        </w:rPr>
      </w:pPr>
    </w:p>
    <w:p w:rsidR="0014295F" w:rsidRDefault="0014295F" w:rsidP="00AD54A3">
      <w:pPr>
        <w:rPr>
          <w:rFonts w:ascii="Calibri" w:eastAsia="Calibri" w:hAnsi="Calibri" w:cs="Calibri"/>
        </w:rPr>
      </w:pPr>
    </w:p>
    <w:p w:rsidR="000C27BF" w:rsidRDefault="000C27BF" w:rsidP="00AD54A3">
      <w:pPr>
        <w:rPr>
          <w:rFonts w:ascii="Calibri" w:eastAsia="Calibri" w:hAnsi="Calibri" w:cs="Calibri"/>
        </w:rPr>
      </w:pPr>
    </w:p>
    <w:p w:rsidR="0014295F" w:rsidRDefault="0014295F" w:rsidP="00AD54A3">
      <w:pPr>
        <w:rPr>
          <w:rFonts w:ascii="Calibri" w:eastAsia="Calibri" w:hAnsi="Calibri" w:cs="Calibri"/>
        </w:rPr>
      </w:pPr>
    </w:p>
    <w:p w:rsidR="0014295F" w:rsidRDefault="0014295F" w:rsidP="00AD54A3">
      <w:pPr>
        <w:rPr>
          <w:rFonts w:ascii="Calibri" w:eastAsia="Calibri" w:hAnsi="Calibri" w:cs="Calibri"/>
        </w:rPr>
      </w:pPr>
    </w:p>
    <w:p w:rsidR="00AD54A3" w:rsidRPr="00C403B6" w:rsidRDefault="00AD54A3" w:rsidP="00AD54A3">
      <w:pPr>
        <w:rPr>
          <w:rFonts w:ascii="Calibri" w:eastAsia="Calibri" w:hAnsi="Calibri" w:cs="Calibri"/>
        </w:rPr>
      </w:pPr>
      <w:r w:rsidRPr="00C403B6">
        <w:rPr>
          <w:rFonts w:ascii="Calibri" w:eastAsia="Calibri" w:hAnsi="Calibri" w:cs="Calibri"/>
        </w:rPr>
        <w:lastRenderedPageBreak/>
        <w:t>Tablica 1. Wymagane właściwości kruszywa do warstw podbudowy i podłoża ulepszonego z mieszanek związanych cementem</w:t>
      </w:r>
    </w:p>
    <w:tbl>
      <w:tblPr>
        <w:tblW w:w="9214"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tblPr>
      <w:tblGrid>
        <w:gridCol w:w="3120"/>
        <w:gridCol w:w="1275"/>
        <w:gridCol w:w="1134"/>
        <w:gridCol w:w="1930"/>
        <w:gridCol w:w="55"/>
        <w:gridCol w:w="157"/>
        <w:gridCol w:w="1543"/>
      </w:tblGrid>
      <w:tr w:rsidR="00AD54A3" w:rsidRPr="00C403B6" w:rsidTr="00FD47C7">
        <w:tc>
          <w:tcPr>
            <w:tcW w:w="3120" w:type="dxa"/>
            <w:vMerge w:val="restart"/>
            <w:vAlign w:val="center"/>
          </w:tcPr>
          <w:p w:rsidR="00AD54A3" w:rsidRPr="00C403B6" w:rsidRDefault="00AD54A3" w:rsidP="00FD47C7">
            <w:pPr>
              <w:jc w:val="center"/>
              <w:rPr>
                <w:rFonts w:ascii="Calibri" w:eastAsia="Calibri" w:hAnsi="Calibri" w:cs="Calibri"/>
                <w:sz w:val="16"/>
                <w:szCs w:val="16"/>
              </w:rPr>
            </w:pPr>
            <w:r w:rsidRPr="00C403B6">
              <w:rPr>
                <w:rFonts w:ascii="Calibri" w:eastAsia="Calibri" w:hAnsi="Calibri" w:cs="Calibri"/>
                <w:sz w:val="16"/>
                <w:szCs w:val="16"/>
              </w:rPr>
              <w:t>Właściwość</w:t>
            </w:r>
          </w:p>
          <w:p w:rsidR="00AD54A3" w:rsidRPr="00C403B6" w:rsidRDefault="00AD54A3" w:rsidP="00FD47C7">
            <w:pPr>
              <w:jc w:val="center"/>
              <w:rPr>
                <w:rFonts w:ascii="Calibri" w:eastAsia="Calibri" w:hAnsi="Calibri" w:cs="Calibri"/>
                <w:sz w:val="16"/>
                <w:szCs w:val="16"/>
              </w:rPr>
            </w:pPr>
            <w:r w:rsidRPr="00C403B6">
              <w:rPr>
                <w:rFonts w:ascii="Calibri" w:eastAsia="Calibri" w:hAnsi="Calibri" w:cs="Calibri"/>
                <w:sz w:val="16"/>
                <w:szCs w:val="16"/>
              </w:rPr>
              <w:t>kruszywa</w:t>
            </w:r>
          </w:p>
        </w:tc>
        <w:tc>
          <w:tcPr>
            <w:tcW w:w="1275" w:type="dxa"/>
            <w:vMerge w:val="restart"/>
            <w:vAlign w:val="center"/>
          </w:tcPr>
          <w:p w:rsidR="00AD54A3" w:rsidRPr="00C403B6" w:rsidRDefault="00AD54A3" w:rsidP="00FD47C7">
            <w:pPr>
              <w:jc w:val="center"/>
              <w:rPr>
                <w:rFonts w:ascii="Calibri" w:eastAsia="Calibri" w:hAnsi="Calibri" w:cs="Calibri"/>
                <w:sz w:val="16"/>
                <w:szCs w:val="16"/>
              </w:rPr>
            </w:pPr>
            <w:r w:rsidRPr="00C403B6">
              <w:rPr>
                <w:rFonts w:ascii="Calibri" w:eastAsia="Calibri" w:hAnsi="Calibri" w:cs="Calibri"/>
                <w:sz w:val="16"/>
                <w:szCs w:val="16"/>
              </w:rPr>
              <w:t>Metoda</w:t>
            </w:r>
          </w:p>
          <w:p w:rsidR="00AD54A3" w:rsidRPr="00C403B6" w:rsidRDefault="00AD54A3" w:rsidP="00FD47C7">
            <w:pPr>
              <w:jc w:val="center"/>
              <w:rPr>
                <w:rFonts w:ascii="Calibri" w:eastAsia="Calibri" w:hAnsi="Calibri" w:cs="Calibri"/>
                <w:sz w:val="16"/>
                <w:szCs w:val="16"/>
              </w:rPr>
            </w:pPr>
            <w:r w:rsidRPr="00C403B6">
              <w:rPr>
                <w:rFonts w:ascii="Calibri" w:eastAsia="Calibri" w:hAnsi="Calibri" w:cs="Calibri"/>
                <w:sz w:val="16"/>
                <w:szCs w:val="16"/>
              </w:rPr>
              <w:t>badania</w:t>
            </w:r>
          </w:p>
          <w:p w:rsidR="00AD54A3" w:rsidRPr="00C403B6" w:rsidRDefault="00AD54A3" w:rsidP="00FD47C7">
            <w:pPr>
              <w:jc w:val="center"/>
              <w:rPr>
                <w:rFonts w:ascii="Calibri" w:eastAsia="Calibri" w:hAnsi="Calibri" w:cs="Calibri"/>
                <w:sz w:val="16"/>
                <w:szCs w:val="16"/>
              </w:rPr>
            </w:pPr>
            <w:r w:rsidRPr="00C403B6">
              <w:rPr>
                <w:rFonts w:ascii="Calibri" w:eastAsia="Calibri" w:hAnsi="Calibri" w:cs="Calibri"/>
                <w:sz w:val="16"/>
                <w:szCs w:val="16"/>
              </w:rPr>
              <w:t>wg</w:t>
            </w:r>
          </w:p>
        </w:tc>
        <w:tc>
          <w:tcPr>
            <w:tcW w:w="4819" w:type="dxa"/>
            <w:gridSpan w:val="5"/>
          </w:tcPr>
          <w:p w:rsidR="00AD54A3" w:rsidRPr="00C403B6" w:rsidRDefault="00AD54A3" w:rsidP="00FD47C7">
            <w:pPr>
              <w:jc w:val="center"/>
              <w:rPr>
                <w:rFonts w:ascii="Calibri" w:eastAsia="Calibri" w:hAnsi="Calibri" w:cs="Calibri"/>
                <w:sz w:val="16"/>
                <w:szCs w:val="16"/>
              </w:rPr>
            </w:pPr>
            <w:r w:rsidRPr="00C403B6">
              <w:rPr>
                <w:rFonts w:ascii="Calibri" w:eastAsia="Calibri" w:hAnsi="Calibri" w:cs="Calibri"/>
                <w:sz w:val="16"/>
                <w:szCs w:val="16"/>
              </w:rPr>
              <w:t>Wymagania wg WT-5, pkt 1.1.1  i PN-EN 13242</w:t>
            </w:r>
          </w:p>
          <w:p w:rsidR="00AD54A3" w:rsidRPr="00C403B6" w:rsidRDefault="00AD54A3" w:rsidP="00FD47C7">
            <w:pPr>
              <w:jc w:val="center"/>
              <w:rPr>
                <w:rFonts w:ascii="Calibri" w:eastAsia="Calibri" w:hAnsi="Calibri" w:cs="Calibri"/>
                <w:sz w:val="16"/>
                <w:szCs w:val="16"/>
              </w:rPr>
            </w:pPr>
            <w:r w:rsidRPr="00C403B6">
              <w:rPr>
                <w:rFonts w:ascii="Calibri" w:eastAsia="Calibri" w:hAnsi="Calibri" w:cs="Calibri"/>
                <w:sz w:val="16"/>
                <w:szCs w:val="16"/>
              </w:rPr>
              <w:t>dla ruchu kategorii KR1 ÷ KR6</w:t>
            </w:r>
          </w:p>
        </w:tc>
      </w:tr>
      <w:tr w:rsidR="00AD54A3" w:rsidRPr="00C403B6" w:rsidTr="00FD47C7">
        <w:trPr>
          <w:trHeight w:val="284"/>
        </w:trPr>
        <w:tc>
          <w:tcPr>
            <w:tcW w:w="3120" w:type="dxa"/>
            <w:vMerge/>
          </w:tcPr>
          <w:p w:rsidR="00AD54A3" w:rsidRPr="00C403B6" w:rsidRDefault="00AD54A3" w:rsidP="00FD47C7">
            <w:pPr>
              <w:jc w:val="center"/>
              <w:rPr>
                <w:rFonts w:ascii="Calibri" w:eastAsia="Calibri" w:hAnsi="Calibri" w:cs="Calibri"/>
                <w:sz w:val="16"/>
                <w:szCs w:val="16"/>
              </w:rPr>
            </w:pPr>
          </w:p>
        </w:tc>
        <w:tc>
          <w:tcPr>
            <w:tcW w:w="1275" w:type="dxa"/>
            <w:vMerge/>
          </w:tcPr>
          <w:p w:rsidR="00AD54A3" w:rsidRPr="00C403B6" w:rsidRDefault="00AD54A3" w:rsidP="00FD47C7">
            <w:pPr>
              <w:jc w:val="center"/>
              <w:rPr>
                <w:rFonts w:ascii="Calibri" w:eastAsia="Calibri" w:hAnsi="Calibri" w:cs="Calibri"/>
                <w:sz w:val="16"/>
                <w:szCs w:val="16"/>
              </w:rPr>
            </w:pPr>
          </w:p>
        </w:tc>
        <w:tc>
          <w:tcPr>
            <w:tcW w:w="1134" w:type="dxa"/>
            <w:vMerge w:val="restart"/>
            <w:vAlign w:val="center"/>
          </w:tcPr>
          <w:p w:rsidR="00AD54A3" w:rsidRPr="00C403B6" w:rsidRDefault="00AD54A3" w:rsidP="00FD47C7">
            <w:pPr>
              <w:jc w:val="center"/>
              <w:rPr>
                <w:rFonts w:ascii="Calibri" w:eastAsia="Calibri" w:hAnsi="Calibri" w:cs="Calibri"/>
                <w:sz w:val="16"/>
                <w:szCs w:val="16"/>
              </w:rPr>
            </w:pPr>
            <w:r w:rsidRPr="00C403B6">
              <w:rPr>
                <w:rFonts w:ascii="Calibri" w:eastAsia="Calibri" w:hAnsi="Calibri" w:cs="Calibri"/>
                <w:sz w:val="16"/>
                <w:szCs w:val="16"/>
              </w:rPr>
              <w:t>Punkt</w:t>
            </w:r>
          </w:p>
          <w:p w:rsidR="00AD54A3" w:rsidRPr="00C403B6" w:rsidRDefault="00AD54A3" w:rsidP="00FD47C7">
            <w:pPr>
              <w:jc w:val="center"/>
              <w:rPr>
                <w:rFonts w:ascii="Calibri" w:eastAsia="Calibri" w:hAnsi="Calibri" w:cs="Calibri"/>
                <w:sz w:val="16"/>
                <w:szCs w:val="16"/>
              </w:rPr>
            </w:pPr>
            <w:r w:rsidRPr="00C403B6">
              <w:rPr>
                <w:rFonts w:ascii="Calibri" w:eastAsia="Calibri" w:hAnsi="Calibri" w:cs="Calibri"/>
                <w:sz w:val="16"/>
                <w:szCs w:val="16"/>
              </w:rPr>
              <w:t>PN-EN</w:t>
            </w:r>
          </w:p>
          <w:p w:rsidR="00AD54A3" w:rsidRPr="00C403B6" w:rsidRDefault="00AD54A3" w:rsidP="00FD47C7">
            <w:pPr>
              <w:jc w:val="center"/>
              <w:rPr>
                <w:rFonts w:ascii="Calibri" w:eastAsia="Calibri" w:hAnsi="Calibri" w:cs="Calibri"/>
                <w:sz w:val="16"/>
                <w:szCs w:val="16"/>
              </w:rPr>
            </w:pPr>
            <w:r w:rsidRPr="00C403B6">
              <w:rPr>
                <w:rFonts w:ascii="Calibri" w:eastAsia="Calibri" w:hAnsi="Calibri" w:cs="Calibri"/>
                <w:sz w:val="16"/>
                <w:szCs w:val="16"/>
              </w:rPr>
              <w:t>13242</w:t>
            </w:r>
          </w:p>
        </w:tc>
        <w:tc>
          <w:tcPr>
            <w:tcW w:w="3685" w:type="dxa"/>
            <w:gridSpan w:val="4"/>
          </w:tcPr>
          <w:p w:rsidR="00AD54A3" w:rsidRPr="00C403B6" w:rsidRDefault="00AD54A3" w:rsidP="00FD47C7">
            <w:pPr>
              <w:jc w:val="center"/>
              <w:rPr>
                <w:rFonts w:ascii="Calibri" w:eastAsia="Calibri" w:hAnsi="Calibri" w:cs="Calibri"/>
                <w:sz w:val="16"/>
                <w:szCs w:val="16"/>
              </w:rPr>
            </w:pPr>
            <w:r w:rsidRPr="00C403B6">
              <w:rPr>
                <w:rFonts w:ascii="Calibri" w:eastAsia="Calibri" w:hAnsi="Calibri" w:cs="Calibri"/>
                <w:sz w:val="16"/>
                <w:szCs w:val="16"/>
              </w:rPr>
              <w:t>dla kruszywa związanego cementem w warstwie</w:t>
            </w:r>
          </w:p>
        </w:tc>
      </w:tr>
      <w:tr w:rsidR="00AD54A3" w:rsidRPr="00C403B6" w:rsidTr="00FD47C7">
        <w:trPr>
          <w:trHeight w:val="372"/>
        </w:trPr>
        <w:tc>
          <w:tcPr>
            <w:tcW w:w="3120" w:type="dxa"/>
            <w:vMerge/>
            <w:tcBorders>
              <w:bottom w:val="double" w:sz="4" w:space="0" w:color="auto"/>
            </w:tcBorders>
          </w:tcPr>
          <w:p w:rsidR="00AD54A3" w:rsidRPr="00C403B6" w:rsidRDefault="00AD54A3" w:rsidP="00FD47C7">
            <w:pPr>
              <w:jc w:val="center"/>
              <w:rPr>
                <w:rFonts w:ascii="Calibri" w:eastAsia="Calibri" w:hAnsi="Calibri" w:cs="Calibri"/>
                <w:sz w:val="16"/>
                <w:szCs w:val="16"/>
              </w:rPr>
            </w:pPr>
          </w:p>
        </w:tc>
        <w:tc>
          <w:tcPr>
            <w:tcW w:w="1275" w:type="dxa"/>
            <w:vMerge/>
            <w:tcBorders>
              <w:bottom w:val="double" w:sz="4" w:space="0" w:color="auto"/>
            </w:tcBorders>
          </w:tcPr>
          <w:p w:rsidR="00AD54A3" w:rsidRPr="00C403B6" w:rsidRDefault="00AD54A3" w:rsidP="00FD47C7">
            <w:pPr>
              <w:jc w:val="center"/>
              <w:rPr>
                <w:rFonts w:ascii="Calibri" w:eastAsia="Calibri" w:hAnsi="Calibri" w:cs="Calibri"/>
                <w:sz w:val="16"/>
                <w:szCs w:val="16"/>
              </w:rPr>
            </w:pPr>
          </w:p>
        </w:tc>
        <w:tc>
          <w:tcPr>
            <w:tcW w:w="1134" w:type="dxa"/>
            <w:vMerge/>
            <w:tcBorders>
              <w:bottom w:val="double" w:sz="4" w:space="0" w:color="auto"/>
            </w:tcBorders>
          </w:tcPr>
          <w:p w:rsidR="00AD54A3" w:rsidRPr="00C403B6" w:rsidRDefault="00AD54A3" w:rsidP="00FD47C7">
            <w:pPr>
              <w:jc w:val="center"/>
              <w:rPr>
                <w:rFonts w:ascii="Calibri" w:eastAsia="Calibri" w:hAnsi="Calibri" w:cs="Calibri"/>
                <w:sz w:val="16"/>
                <w:szCs w:val="16"/>
              </w:rPr>
            </w:pPr>
          </w:p>
        </w:tc>
        <w:tc>
          <w:tcPr>
            <w:tcW w:w="1985" w:type="dxa"/>
            <w:gridSpan w:val="2"/>
            <w:tcBorders>
              <w:bottom w:val="double" w:sz="4" w:space="0" w:color="auto"/>
            </w:tcBorders>
          </w:tcPr>
          <w:p w:rsidR="00AD54A3" w:rsidRPr="00C403B6" w:rsidRDefault="00AD54A3" w:rsidP="00FD47C7">
            <w:pPr>
              <w:jc w:val="center"/>
              <w:rPr>
                <w:rFonts w:ascii="Calibri" w:eastAsia="Calibri" w:hAnsi="Calibri" w:cs="Calibri"/>
                <w:sz w:val="16"/>
                <w:szCs w:val="16"/>
              </w:rPr>
            </w:pPr>
            <w:r w:rsidRPr="00C403B6">
              <w:rPr>
                <w:rFonts w:ascii="Calibri" w:eastAsia="Calibri" w:hAnsi="Calibri" w:cs="Calibri"/>
                <w:sz w:val="16"/>
                <w:szCs w:val="16"/>
              </w:rPr>
              <w:t>podłoża ulepszonego i podbudowy pomocniczej</w:t>
            </w:r>
          </w:p>
        </w:tc>
        <w:tc>
          <w:tcPr>
            <w:tcW w:w="1700" w:type="dxa"/>
            <w:gridSpan w:val="2"/>
            <w:tcBorders>
              <w:bottom w:val="double" w:sz="4" w:space="0" w:color="auto"/>
            </w:tcBorders>
            <w:vAlign w:val="center"/>
          </w:tcPr>
          <w:p w:rsidR="00AD54A3" w:rsidRPr="00C403B6" w:rsidRDefault="00AD54A3" w:rsidP="00FD47C7">
            <w:pPr>
              <w:jc w:val="center"/>
              <w:rPr>
                <w:rFonts w:ascii="Calibri" w:eastAsia="Calibri" w:hAnsi="Calibri" w:cs="Calibri"/>
                <w:sz w:val="16"/>
                <w:szCs w:val="16"/>
              </w:rPr>
            </w:pPr>
            <w:r w:rsidRPr="00C403B6">
              <w:rPr>
                <w:rFonts w:ascii="Calibri" w:eastAsia="Calibri" w:hAnsi="Calibri" w:cs="Calibri"/>
                <w:sz w:val="16"/>
                <w:szCs w:val="16"/>
              </w:rPr>
              <w:t>podbudowy zasadniczej</w:t>
            </w:r>
          </w:p>
        </w:tc>
      </w:tr>
      <w:tr w:rsidR="00AD54A3" w:rsidRPr="00C403B6" w:rsidTr="00FD47C7">
        <w:trPr>
          <w:trHeight w:val="414"/>
        </w:trPr>
        <w:tc>
          <w:tcPr>
            <w:tcW w:w="3120" w:type="dxa"/>
            <w:tcBorders>
              <w:top w:val="double" w:sz="4" w:space="0" w:color="auto"/>
            </w:tcBorders>
          </w:tcPr>
          <w:p w:rsidR="00AD54A3" w:rsidRPr="00C403B6" w:rsidRDefault="00AD54A3" w:rsidP="00FD47C7">
            <w:pPr>
              <w:jc w:val="center"/>
              <w:rPr>
                <w:rFonts w:ascii="Calibri" w:eastAsia="Calibri" w:hAnsi="Calibri" w:cs="Calibri"/>
                <w:sz w:val="16"/>
                <w:szCs w:val="16"/>
              </w:rPr>
            </w:pPr>
            <w:r w:rsidRPr="00C403B6">
              <w:rPr>
                <w:rFonts w:ascii="Calibri" w:eastAsia="Calibri" w:hAnsi="Calibri" w:cs="Calibri"/>
                <w:sz w:val="16"/>
                <w:szCs w:val="16"/>
              </w:rPr>
              <w:t>Frakcje/zestaw sit #</w:t>
            </w:r>
          </w:p>
        </w:tc>
        <w:tc>
          <w:tcPr>
            <w:tcW w:w="1275" w:type="dxa"/>
            <w:tcBorders>
              <w:top w:val="double" w:sz="4" w:space="0" w:color="auto"/>
            </w:tcBorders>
          </w:tcPr>
          <w:p w:rsidR="00AD54A3" w:rsidRPr="00C403B6" w:rsidRDefault="00AD54A3" w:rsidP="00FD47C7">
            <w:pPr>
              <w:jc w:val="center"/>
              <w:rPr>
                <w:rFonts w:ascii="Calibri" w:eastAsia="Calibri" w:hAnsi="Calibri" w:cs="Calibri"/>
                <w:sz w:val="16"/>
                <w:szCs w:val="16"/>
              </w:rPr>
            </w:pPr>
            <w:r w:rsidRPr="00C403B6">
              <w:rPr>
                <w:rFonts w:ascii="Calibri" w:eastAsia="Calibri" w:hAnsi="Calibri" w:cs="Calibri"/>
                <w:sz w:val="16"/>
                <w:szCs w:val="16"/>
              </w:rPr>
              <w:t>-</w:t>
            </w:r>
          </w:p>
        </w:tc>
        <w:tc>
          <w:tcPr>
            <w:tcW w:w="1134" w:type="dxa"/>
            <w:tcBorders>
              <w:top w:val="double" w:sz="4" w:space="0" w:color="auto"/>
            </w:tcBorders>
          </w:tcPr>
          <w:p w:rsidR="00AD54A3" w:rsidRPr="00C403B6" w:rsidRDefault="00AD54A3" w:rsidP="00FD47C7">
            <w:pPr>
              <w:jc w:val="center"/>
              <w:rPr>
                <w:rFonts w:ascii="Calibri" w:eastAsia="Calibri" w:hAnsi="Calibri" w:cs="Calibri"/>
                <w:sz w:val="16"/>
                <w:szCs w:val="16"/>
              </w:rPr>
            </w:pPr>
            <w:r w:rsidRPr="00C403B6">
              <w:rPr>
                <w:rFonts w:ascii="Calibri" w:eastAsia="Calibri" w:hAnsi="Calibri" w:cs="Calibri"/>
                <w:sz w:val="16"/>
                <w:szCs w:val="16"/>
              </w:rPr>
              <w:t>4.1</w:t>
            </w:r>
          </w:p>
        </w:tc>
        <w:tc>
          <w:tcPr>
            <w:tcW w:w="3685" w:type="dxa"/>
            <w:gridSpan w:val="4"/>
            <w:tcBorders>
              <w:top w:val="double" w:sz="4" w:space="0" w:color="auto"/>
            </w:tcBorders>
          </w:tcPr>
          <w:p w:rsidR="00AD54A3" w:rsidRPr="00C403B6" w:rsidRDefault="00AD54A3" w:rsidP="00FD47C7">
            <w:pPr>
              <w:jc w:val="center"/>
              <w:rPr>
                <w:rFonts w:ascii="Calibri" w:eastAsia="Calibri" w:hAnsi="Calibri" w:cs="Calibri"/>
                <w:sz w:val="16"/>
                <w:szCs w:val="16"/>
              </w:rPr>
            </w:pPr>
            <w:r w:rsidRPr="00C403B6">
              <w:rPr>
                <w:rFonts w:ascii="Calibri" w:eastAsia="Calibri" w:hAnsi="Calibri" w:cs="Calibri"/>
                <w:sz w:val="16"/>
                <w:szCs w:val="16"/>
              </w:rPr>
              <w:t>Zestaw sit podstawowy plus zestaw 1.</w:t>
            </w:r>
          </w:p>
          <w:p w:rsidR="00AD54A3" w:rsidRPr="00C403B6" w:rsidRDefault="00AD54A3" w:rsidP="00FD47C7">
            <w:pPr>
              <w:jc w:val="center"/>
              <w:rPr>
                <w:rFonts w:ascii="Calibri" w:eastAsia="Calibri" w:hAnsi="Calibri" w:cs="Calibri"/>
                <w:sz w:val="16"/>
                <w:szCs w:val="16"/>
              </w:rPr>
            </w:pPr>
            <w:r w:rsidRPr="00C403B6">
              <w:rPr>
                <w:rFonts w:ascii="Calibri" w:eastAsia="Calibri" w:hAnsi="Calibri" w:cs="Calibri"/>
                <w:sz w:val="16"/>
                <w:szCs w:val="16"/>
              </w:rPr>
              <w:t>Wszystkie frakcje dozwolone</w:t>
            </w:r>
          </w:p>
        </w:tc>
      </w:tr>
      <w:tr w:rsidR="00AD54A3" w:rsidRPr="00C403B6" w:rsidTr="00FD47C7">
        <w:trPr>
          <w:trHeight w:val="845"/>
        </w:trPr>
        <w:tc>
          <w:tcPr>
            <w:tcW w:w="3120" w:type="dxa"/>
          </w:tcPr>
          <w:p w:rsidR="00AD54A3" w:rsidRPr="00C403B6" w:rsidRDefault="00AD54A3" w:rsidP="00FD47C7">
            <w:pPr>
              <w:jc w:val="center"/>
              <w:rPr>
                <w:rFonts w:ascii="Calibri" w:eastAsia="Calibri" w:hAnsi="Calibri" w:cs="Calibri"/>
                <w:sz w:val="16"/>
                <w:szCs w:val="16"/>
              </w:rPr>
            </w:pPr>
            <w:r w:rsidRPr="00C403B6">
              <w:rPr>
                <w:rFonts w:ascii="Calibri" w:eastAsia="Calibri" w:hAnsi="Calibri" w:cs="Calibri"/>
                <w:sz w:val="16"/>
                <w:szCs w:val="16"/>
              </w:rPr>
              <w:t>Uziarnienie</w:t>
            </w:r>
          </w:p>
        </w:tc>
        <w:tc>
          <w:tcPr>
            <w:tcW w:w="1275" w:type="dxa"/>
          </w:tcPr>
          <w:p w:rsidR="00AD54A3" w:rsidRPr="00C403B6" w:rsidRDefault="00AD54A3" w:rsidP="00FD47C7">
            <w:pPr>
              <w:jc w:val="center"/>
              <w:rPr>
                <w:rFonts w:ascii="Calibri" w:eastAsia="Calibri" w:hAnsi="Calibri" w:cs="Calibri"/>
                <w:sz w:val="16"/>
                <w:szCs w:val="16"/>
              </w:rPr>
            </w:pPr>
            <w:r w:rsidRPr="00C403B6">
              <w:rPr>
                <w:rFonts w:ascii="Calibri" w:eastAsia="Calibri" w:hAnsi="Calibri" w:cs="Calibri"/>
                <w:sz w:val="16"/>
                <w:szCs w:val="16"/>
              </w:rPr>
              <w:t>PN-EN</w:t>
            </w:r>
          </w:p>
          <w:p w:rsidR="00AD54A3" w:rsidRPr="00C403B6" w:rsidRDefault="00AD54A3" w:rsidP="00FD47C7">
            <w:pPr>
              <w:jc w:val="center"/>
              <w:rPr>
                <w:rFonts w:ascii="Calibri" w:eastAsia="Calibri" w:hAnsi="Calibri" w:cs="Calibri"/>
                <w:sz w:val="16"/>
                <w:szCs w:val="16"/>
              </w:rPr>
            </w:pPr>
            <w:r w:rsidRPr="00C403B6">
              <w:rPr>
                <w:rFonts w:ascii="Calibri" w:eastAsia="Calibri" w:hAnsi="Calibri" w:cs="Calibri"/>
                <w:sz w:val="16"/>
                <w:szCs w:val="16"/>
              </w:rPr>
              <w:t>933-1</w:t>
            </w:r>
          </w:p>
          <w:p w:rsidR="00AD54A3" w:rsidRPr="00C403B6" w:rsidRDefault="00AD54A3" w:rsidP="00FD47C7">
            <w:pPr>
              <w:jc w:val="center"/>
              <w:rPr>
                <w:rFonts w:ascii="Calibri" w:eastAsia="Calibri" w:hAnsi="Calibri" w:cs="Calibri"/>
                <w:sz w:val="16"/>
                <w:szCs w:val="16"/>
              </w:rPr>
            </w:pPr>
          </w:p>
        </w:tc>
        <w:tc>
          <w:tcPr>
            <w:tcW w:w="1134" w:type="dxa"/>
          </w:tcPr>
          <w:p w:rsidR="00AD54A3" w:rsidRPr="00C403B6" w:rsidRDefault="00AD54A3" w:rsidP="00FD47C7">
            <w:pPr>
              <w:jc w:val="center"/>
              <w:rPr>
                <w:rFonts w:ascii="Calibri" w:eastAsia="Calibri" w:hAnsi="Calibri" w:cs="Calibri"/>
                <w:sz w:val="16"/>
                <w:szCs w:val="16"/>
              </w:rPr>
            </w:pPr>
            <w:r w:rsidRPr="00C403B6">
              <w:rPr>
                <w:rFonts w:ascii="Calibri" w:eastAsia="Calibri" w:hAnsi="Calibri" w:cs="Calibri"/>
                <w:sz w:val="16"/>
                <w:szCs w:val="16"/>
              </w:rPr>
              <w:t>4.3.1</w:t>
            </w:r>
          </w:p>
        </w:tc>
        <w:tc>
          <w:tcPr>
            <w:tcW w:w="3685" w:type="dxa"/>
            <w:gridSpan w:val="4"/>
          </w:tcPr>
          <w:p w:rsidR="00AD54A3" w:rsidRPr="00C403B6" w:rsidRDefault="00AD54A3" w:rsidP="00FD47C7">
            <w:pPr>
              <w:jc w:val="center"/>
              <w:rPr>
                <w:rFonts w:ascii="Calibri" w:eastAsia="Calibri" w:hAnsi="Calibri" w:cs="Calibri"/>
                <w:sz w:val="16"/>
                <w:szCs w:val="16"/>
              </w:rPr>
            </w:pPr>
            <w:r w:rsidRPr="00C403B6">
              <w:rPr>
                <w:rFonts w:ascii="Calibri" w:eastAsia="Calibri" w:hAnsi="Calibri" w:cs="Calibri"/>
                <w:sz w:val="16"/>
                <w:szCs w:val="16"/>
              </w:rPr>
              <w:t>Kruszywo grube: kat. GC80/20,   kruszywo drobne: kat. GF80,   kruszywo o ciągłym uziarnieniu: kat. GA75.</w:t>
            </w:r>
          </w:p>
          <w:p w:rsidR="00AD54A3" w:rsidRPr="00C403B6" w:rsidRDefault="00AD54A3" w:rsidP="00FD47C7">
            <w:pPr>
              <w:jc w:val="center"/>
              <w:rPr>
                <w:rFonts w:ascii="Calibri" w:eastAsia="Calibri" w:hAnsi="Calibri" w:cs="Calibri"/>
                <w:sz w:val="16"/>
                <w:szCs w:val="16"/>
              </w:rPr>
            </w:pPr>
            <w:r w:rsidRPr="00C403B6">
              <w:rPr>
                <w:rFonts w:ascii="Calibri" w:eastAsia="Calibri" w:hAnsi="Calibri" w:cs="Calibri"/>
                <w:sz w:val="16"/>
                <w:szCs w:val="16"/>
              </w:rPr>
              <w:t>Uziarnienie mieszanek kruszywa wg rysunków 1÷5</w:t>
            </w:r>
          </w:p>
        </w:tc>
      </w:tr>
      <w:tr w:rsidR="00AD54A3" w:rsidRPr="00C403B6" w:rsidTr="00FD47C7">
        <w:trPr>
          <w:trHeight w:val="559"/>
        </w:trPr>
        <w:tc>
          <w:tcPr>
            <w:tcW w:w="3120" w:type="dxa"/>
          </w:tcPr>
          <w:p w:rsidR="00AD54A3" w:rsidRPr="00C403B6" w:rsidRDefault="00AD54A3" w:rsidP="00FD47C7">
            <w:pPr>
              <w:jc w:val="center"/>
              <w:rPr>
                <w:rFonts w:ascii="Calibri" w:eastAsia="Calibri" w:hAnsi="Calibri" w:cs="Calibri"/>
                <w:sz w:val="16"/>
                <w:szCs w:val="16"/>
              </w:rPr>
            </w:pPr>
            <w:r w:rsidRPr="00C403B6">
              <w:rPr>
                <w:rFonts w:ascii="Calibri" w:eastAsia="Calibri" w:hAnsi="Calibri" w:cs="Calibri"/>
                <w:sz w:val="16"/>
                <w:szCs w:val="16"/>
              </w:rPr>
              <w:t>Ogólne granice i tolerancje uziarnienia kruszywa grubego na sitach pośrednich</w:t>
            </w:r>
          </w:p>
        </w:tc>
        <w:tc>
          <w:tcPr>
            <w:tcW w:w="1275" w:type="dxa"/>
          </w:tcPr>
          <w:p w:rsidR="00AD54A3" w:rsidRPr="00C403B6" w:rsidRDefault="00AD54A3" w:rsidP="00FD47C7">
            <w:pPr>
              <w:jc w:val="center"/>
              <w:rPr>
                <w:rFonts w:ascii="Calibri" w:eastAsia="Calibri" w:hAnsi="Calibri" w:cs="Calibri"/>
                <w:sz w:val="16"/>
                <w:szCs w:val="16"/>
              </w:rPr>
            </w:pPr>
            <w:r w:rsidRPr="00C403B6">
              <w:rPr>
                <w:rFonts w:ascii="Calibri" w:eastAsia="Calibri" w:hAnsi="Calibri" w:cs="Calibri"/>
                <w:sz w:val="16"/>
                <w:szCs w:val="16"/>
              </w:rPr>
              <w:t>PN-EN</w:t>
            </w:r>
          </w:p>
          <w:p w:rsidR="00AD54A3" w:rsidRPr="00C403B6" w:rsidRDefault="00AD54A3" w:rsidP="00FD47C7">
            <w:pPr>
              <w:jc w:val="center"/>
              <w:rPr>
                <w:rFonts w:ascii="Calibri" w:eastAsia="Calibri" w:hAnsi="Calibri" w:cs="Calibri"/>
                <w:sz w:val="16"/>
                <w:szCs w:val="16"/>
              </w:rPr>
            </w:pPr>
            <w:r w:rsidRPr="00C403B6">
              <w:rPr>
                <w:rFonts w:ascii="Calibri" w:eastAsia="Calibri" w:hAnsi="Calibri" w:cs="Calibri"/>
                <w:sz w:val="16"/>
                <w:szCs w:val="16"/>
              </w:rPr>
              <w:t>933-1</w:t>
            </w:r>
          </w:p>
          <w:p w:rsidR="00AD54A3" w:rsidRPr="00C403B6" w:rsidRDefault="00AD54A3" w:rsidP="00FD47C7">
            <w:pPr>
              <w:jc w:val="center"/>
              <w:rPr>
                <w:rFonts w:ascii="Calibri" w:eastAsia="Calibri" w:hAnsi="Calibri" w:cs="Calibri"/>
                <w:sz w:val="16"/>
                <w:szCs w:val="16"/>
              </w:rPr>
            </w:pPr>
          </w:p>
        </w:tc>
        <w:tc>
          <w:tcPr>
            <w:tcW w:w="1134" w:type="dxa"/>
          </w:tcPr>
          <w:p w:rsidR="00AD54A3" w:rsidRPr="00C403B6" w:rsidRDefault="00AD54A3" w:rsidP="00FD47C7">
            <w:pPr>
              <w:jc w:val="center"/>
              <w:rPr>
                <w:rFonts w:ascii="Calibri" w:eastAsia="Calibri" w:hAnsi="Calibri" w:cs="Calibri"/>
                <w:sz w:val="16"/>
                <w:szCs w:val="16"/>
              </w:rPr>
            </w:pPr>
            <w:r w:rsidRPr="00C403B6">
              <w:rPr>
                <w:rFonts w:ascii="Calibri" w:eastAsia="Calibri" w:hAnsi="Calibri" w:cs="Calibri"/>
                <w:sz w:val="16"/>
                <w:szCs w:val="16"/>
              </w:rPr>
              <w:t>4.3.2</w:t>
            </w:r>
          </w:p>
        </w:tc>
        <w:tc>
          <w:tcPr>
            <w:tcW w:w="3685" w:type="dxa"/>
            <w:gridSpan w:val="4"/>
          </w:tcPr>
          <w:p w:rsidR="00AD54A3" w:rsidRPr="00C403B6" w:rsidRDefault="00AD54A3" w:rsidP="00FD47C7">
            <w:pPr>
              <w:jc w:val="center"/>
              <w:rPr>
                <w:rFonts w:ascii="Calibri" w:eastAsia="Calibri" w:hAnsi="Calibri" w:cs="Calibri"/>
                <w:sz w:val="16"/>
                <w:szCs w:val="16"/>
              </w:rPr>
            </w:pPr>
            <w:r w:rsidRPr="00C403B6">
              <w:rPr>
                <w:rFonts w:ascii="Calibri" w:eastAsia="Calibri" w:hAnsi="Calibri" w:cs="Calibri"/>
                <w:sz w:val="16"/>
                <w:szCs w:val="16"/>
              </w:rPr>
              <w:t>Kat. GTCNR (tj. brak wymagania)</w:t>
            </w:r>
          </w:p>
        </w:tc>
      </w:tr>
      <w:tr w:rsidR="00AD54A3" w:rsidRPr="00C403B6" w:rsidTr="00FD47C7">
        <w:trPr>
          <w:trHeight w:val="526"/>
        </w:trPr>
        <w:tc>
          <w:tcPr>
            <w:tcW w:w="3120" w:type="dxa"/>
          </w:tcPr>
          <w:p w:rsidR="00AD54A3" w:rsidRPr="00C403B6" w:rsidRDefault="00AD54A3" w:rsidP="00FD47C7">
            <w:pPr>
              <w:jc w:val="center"/>
              <w:rPr>
                <w:rFonts w:ascii="Calibri" w:eastAsia="Calibri" w:hAnsi="Calibri" w:cs="Calibri"/>
                <w:sz w:val="16"/>
                <w:szCs w:val="16"/>
              </w:rPr>
            </w:pPr>
            <w:r w:rsidRPr="00C403B6">
              <w:rPr>
                <w:rFonts w:ascii="Calibri" w:eastAsia="Calibri" w:hAnsi="Calibri" w:cs="Calibri"/>
                <w:sz w:val="16"/>
                <w:szCs w:val="16"/>
              </w:rPr>
              <w:t>Tolerancje typowego uziarnienia kruszywa drobnego i kruszywa o ciągłym uziarnieniu</w:t>
            </w:r>
          </w:p>
        </w:tc>
        <w:tc>
          <w:tcPr>
            <w:tcW w:w="1275" w:type="dxa"/>
          </w:tcPr>
          <w:p w:rsidR="00AD54A3" w:rsidRPr="00C403B6" w:rsidRDefault="00AD54A3" w:rsidP="00FD47C7">
            <w:pPr>
              <w:jc w:val="center"/>
              <w:rPr>
                <w:rFonts w:ascii="Calibri" w:eastAsia="Calibri" w:hAnsi="Calibri" w:cs="Calibri"/>
                <w:sz w:val="16"/>
                <w:szCs w:val="16"/>
              </w:rPr>
            </w:pPr>
            <w:r w:rsidRPr="00C403B6">
              <w:rPr>
                <w:rFonts w:ascii="Calibri" w:eastAsia="Calibri" w:hAnsi="Calibri" w:cs="Calibri"/>
                <w:sz w:val="16"/>
                <w:szCs w:val="16"/>
              </w:rPr>
              <w:t>PN-EN</w:t>
            </w:r>
          </w:p>
          <w:p w:rsidR="00AD54A3" w:rsidRPr="00C403B6" w:rsidRDefault="00AD54A3" w:rsidP="00FD47C7">
            <w:pPr>
              <w:jc w:val="center"/>
              <w:rPr>
                <w:rFonts w:ascii="Calibri" w:eastAsia="Calibri" w:hAnsi="Calibri" w:cs="Calibri"/>
                <w:sz w:val="16"/>
                <w:szCs w:val="16"/>
              </w:rPr>
            </w:pPr>
            <w:r w:rsidRPr="00C403B6">
              <w:rPr>
                <w:rFonts w:ascii="Calibri" w:eastAsia="Calibri" w:hAnsi="Calibri" w:cs="Calibri"/>
                <w:sz w:val="16"/>
                <w:szCs w:val="16"/>
              </w:rPr>
              <w:t>933-1</w:t>
            </w:r>
          </w:p>
          <w:p w:rsidR="00AD54A3" w:rsidRPr="00C403B6" w:rsidRDefault="00AD54A3" w:rsidP="00FD47C7">
            <w:pPr>
              <w:jc w:val="center"/>
              <w:rPr>
                <w:rFonts w:ascii="Calibri" w:eastAsia="Calibri" w:hAnsi="Calibri" w:cs="Calibri"/>
                <w:sz w:val="16"/>
                <w:szCs w:val="16"/>
              </w:rPr>
            </w:pPr>
          </w:p>
        </w:tc>
        <w:tc>
          <w:tcPr>
            <w:tcW w:w="1134" w:type="dxa"/>
          </w:tcPr>
          <w:p w:rsidR="00AD54A3" w:rsidRPr="00C403B6" w:rsidRDefault="00AD54A3" w:rsidP="00FD47C7">
            <w:pPr>
              <w:jc w:val="center"/>
              <w:rPr>
                <w:rFonts w:ascii="Calibri" w:eastAsia="Calibri" w:hAnsi="Calibri" w:cs="Calibri"/>
                <w:sz w:val="16"/>
                <w:szCs w:val="16"/>
              </w:rPr>
            </w:pPr>
            <w:r w:rsidRPr="00C403B6">
              <w:rPr>
                <w:rFonts w:ascii="Calibri" w:eastAsia="Calibri" w:hAnsi="Calibri" w:cs="Calibri"/>
                <w:sz w:val="16"/>
                <w:szCs w:val="16"/>
              </w:rPr>
              <w:t>4.3.3</w:t>
            </w:r>
          </w:p>
        </w:tc>
        <w:tc>
          <w:tcPr>
            <w:tcW w:w="3685" w:type="dxa"/>
            <w:gridSpan w:val="4"/>
          </w:tcPr>
          <w:p w:rsidR="00AD54A3" w:rsidRPr="00C403B6" w:rsidRDefault="00AD54A3" w:rsidP="00FD47C7">
            <w:pPr>
              <w:jc w:val="center"/>
              <w:rPr>
                <w:rFonts w:ascii="Calibri" w:eastAsia="Calibri" w:hAnsi="Calibri" w:cs="Calibri"/>
                <w:sz w:val="16"/>
                <w:szCs w:val="16"/>
              </w:rPr>
            </w:pPr>
            <w:r w:rsidRPr="00C403B6">
              <w:rPr>
                <w:rFonts w:ascii="Calibri" w:eastAsia="Calibri" w:hAnsi="Calibri" w:cs="Calibri"/>
                <w:sz w:val="16"/>
                <w:szCs w:val="16"/>
              </w:rPr>
              <w:t>Kruszywo drobne: kat. GTFNR (tj. brak wymagania), kruszywo o ciągłym uziarnieniu: kat. GTANR (tj. brak wymagania)</w:t>
            </w:r>
          </w:p>
        </w:tc>
      </w:tr>
      <w:tr w:rsidR="00AD54A3" w:rsidRPr="00C403B6" w:rsidTr="00FD47C7">
        <w:trPr>
          <w:trHeight w:val="492"/>
        </w:trPr>
        <w:tc>
          <w:tcPr>
            <w:tcW w:w="3120" w:type="dxa"/>
          </w:tcPr>
          <w:p w:rsidR="00AD54A3" w:rsidRPr="00C403B6" w:rsidRDefault="00AD54A3" w:rsidP="00FD47C7">
            <w:pPr>
              <w:jc w:val="center"/>
              <w:rPr>
                <w:rFonts w:ascii="Calibri" w:eastAsia="Calibri" w:hAnsi="Calibri" w:cs="Calibri"/>
                <w:sz w:val="16"/>
                <w:szCs w:val="16"/>
              </w:rPr>
            </w:pPr>
            <w:r w:rsidRPr="00C403B6">
              <w:rPr>
                <w:rFonts w:ascii="Calibri" w:eastAsia="Calibri" w:hAnsi="Calibri" w:cs="Calibri"/>
                <w:sz w:val="16"/>
                <w:szCs w:val="16"/>
              </w:rPr>
              <w:t>Kształt kruszywa grubego – maksymalne warunki wskaźnika płaskości</w:t>
            </w:r>
          </w:p>
        </w:tc>
        <w:tc>
          <w:tcPr>
            <w:tcW w:w="1275" w:type="dxa"/>
          </w:tcPr>
          <w:p w:rsidR="00AD54A3" w:rsidRPr="00C403B6" w:rsidRDefault="00AD54A3" w:rsidP="00FD47C7">
            <w:pPr>
              <w:jc w:val="center"/>
              <w:rPr>
                <w:rFonts w:ascii="Calibri" w:eastAsia="Calibri" w:hAnsi="Calibri" w:cs="Calibri"/>
                <w:sz w:val="16"/>
                <w:szCs w:val="16"/>
              </w:rPr>
            </w:pPr>
            <w:r w:rsidRPr="00C403B6">
              <w:rPr>
                <w:rFonts w:ascii="Calibri" w:eastAsia="Calibri" w:hAnsi="Calibri" w:cs="Calibri"/>
                <w:sz w:val="16"/>
                <w:szCs w:val="16"/>
              </w:rPr>
              <w:t>PN-EN</w:t>
            </w:r>
          </w:p>
          <w:p w:rsidR="00AD54A3" w:rsidRPr="00C403B6" w:rsidRDefault="00AD54A3" w:rsidP="00FD47C7">
            <w:pPr>
              <w:jc w:val="center"/>
              <w:rPr>
                <w:rFonts w:ascii="Calibri" w:eastAsia="Calibri" w:hAnsi="Calibri" w:cs="Calibri"/>
                <w:sz w:val="16"/>
                <w:szCs w:val="16"/>
              </w:rPr>
            </w:pPr>
            <w:r w:rsidRPr="00C403B6">
              <w:rPr>
                <w:rFonts w:ascii="Calibri" w:eastAsia="Calibri" w:hAnsi="Calibri" w:cs="Calibri"/>
                <w:sz w:val="16"/>
                <w:szCs w:val="16"/>
              </w:rPr>
              <w:t>933-3*)</w:t>
            </w:r>
          </w:p>
        </w:tc>
        <w:tc>
          <w:tcPr>
            <w:tcW w:w="1134" w:type="dxa"/>
          </w:tcPr>
          <w:p w:rsidR="00AD54A3" w:rsidRPr="00C403B6" w:rsidRDefault="00AD54A3" w:rsidP="00FD47C7">
            <w:pPr>
              <w:jc w:val="center"/>
              <w:rPr>
                <w:rFonts w:ascii="Calibri" w:eastAsia="Calibri" w:hAnsi="Calibri" w:cs="Calibri"/>
                <w:sz w:val="16"/>
                <w:szCs w:val="16"/>
              </w:rPr>
            </w:pPr>
            <w:r w:rsidRPr="00C403B6">
              <w:rPr>
                <w:rFonts w:ascii="Calibri" w:eastAsia="Calibri" w:hAnsi="Calibri" w:cs="Calibri"/>
                <w:sz w:val="16"/>
                <w:szCs w:val="16"/>
              </w:rPr>
              <w:t>4.4</w:t>
            </w:r>
          </w:p>
        </w:tc>
        <w:tc>
          <w:tcPr>
            <w:tcW w:w="1985" w:type="dxa"/>
            <w:gridSpan w:val="2"/>
          </w:tcPr>
          <w:p w:rsidR="00AD54A3" w:rsidRPr="00C403B6" w:rsidRDefault="00AD54A3" w:rsidP="00FD47C7">
            <w:pPr>
              <w:jc w:val="center"/>
              <w:rPr>
                <w:rFonts w:ascii="Calibri" w:eastAsia="Calibri" w:hAnsi="Calibri" w:cs="Calibri"/>
                <w:sz w:val="16"/>
                <w:szCs w:val="16"/>
              </w:rPr>
            </w:pPr>
            <w:r w:rsidRPr="00C403B6">
              <w:rPr>
                <w:rFonts w:ascii="Calibri" w:eastAsia="Calibri" w:hAnsi="Calibri" w:cs="Calibri"/>
                <w:sz w:val="16"/>
                <w:szCs w:val="16"/>
              </w:rPr>
              <w:t>Kat. FIDekl (tj. wsk. płaskości &gt; 50)</w:t>
            </w:r>
          </w:p>
        </w:tc>
        <w:tc>
          <w:tcPr>
            <w:tcW w:w="1700" w:type="dxa"/>
            <w:gridSpan w:val="2"/>
          </w:tcPr>
          <w:p w:rsidR="00AD54A3" w:rsidRPr="00C403B6" w:rsidRDefault="00AD54A3" w:rsidP="00FD47C7">
            <w:pPr>
              <w:jc w:val="center"/>
              <w:rPr>
                <w:rFonts w:ascii="Calibri" w:eastAsia="Calibri" w:hAnsi="Calibri" w:cs="Calibri"/>
                <w:sz w:val="16"/>
                <w:szCs w:val="16"/>
              </w:rPr>
            </w:pPr>
            <w:r w:rsidRPr="00C403B6">
              <w:rPr>
                <w:rFonts w:ascii="Calibri" w:eastAsia="Calibri" w:hAnsi="Calibri" w:cs="Calibri"/>
                <w:sz w:val="16"/>
                <w:szCs w:val="16"/>
              </w:rPr>
              <w:t>Kat. FI50 (tj. wsk. płaskości  ≤ 50)</w:t>
            </w:r>
          </w:p>
        </w:tc>
      </w:tr>
      <w:tr w:rsidR="00AD54A3" w:rsidRPr="00C403B6" w:rsidTr="00FD47C7">
        <w:trPr>
          <w:trHeight w:val="413"/>
        </w:trPr>
        <w:tc>
          <w:tcPr>
            <w:tcW w:w="3120" w:type="dxa"/>
          </w:tcPr>
          <w:p w:rsidR="00AD54A3" w:rsidRPr="00C403B6" w:rsidRDefault="00AD54A3" w:rsidP="00FD47C7">
            <w:pPr>
              <w:jc w:val="center"/>
              <w:rPr>
                <w:rFonts w:ascii="Calibri" w:eastAsia="Calibri" w:hAnsi="Calibri" w:cs="Calibri"/>
                <w:sz w:val="16"/>
                <w:szCs w:val="16"/>
              </w:rPr>
            </w:pPr>
            <w:r w:rsidRPr="00C403B6">
              <w:rPr>
                <w:rFonts w:ascii="Calibri" w:eastAsia="Calibri" w:hAnsi="Calibri" w:cs="Calibri"/>
                <w:sz w:val="16"/>
                <w:szCs w:val="16"/>
              </w:rPr>
              <w:t>Kształt kruszywa grubego – maksymalne wartości wskaźnika kształtu</w:t>
            </w:r>
          </w:p>
        </w:tc>
        <w:tc>
          <w:tcPr>
            <w:tcW w:w="1275" w:type="dxa"/>
          </w:tcPr>
          <w:p w:rsidR="00AD54A3" w:rsidRPr="00C403B6" w:rsidRDefault="00AD54A3" w:rsidP="00FD47C7">
            <w:pPr>
              <w:jc w:val="center"/>
              <w:rPr>
                <w:rFonts w:ascii="Calibri" w:eastAsia="Calibri" w:hAnsi="Calibri" w:cs="Calibri"/>
                <w:sz w:val="16"/>
                <w:szCs w:val="16"/>
              </w:rPr>
            </w:pPr>
            <w:r w:rsidRPr="00C403B6">
              <w:rPr>
                <w:rFonts w:ascii="Calibri" w:eastAsia="Calibri" w:hAnsi="Calibri" w:cs="Calibri"/>
                <w:sz w:val="16"/>
                <w:szCs w:val="16"/>
              </w:rPr>
              <w:t>PN-EN</w:t>
            </w:r>
          </w:p>
          <w:p w:rsidR="00AD54A3" w:rsidRPr="00C403B6" w:rsidRDefault="00AD54A3" w:rsidP="00FD47C7">
            <w:pPr>
              <w:jc w:val="center"/>
              <w:rPr>
                <w:rFonts w:ascii="Calibri" w:eastAsia="Calibri" w:hAnsi="Calibri" w:cs="Calibri"/>
                <w:sz w:val="16"/>
                <w:szCs w:val="16"/>
              </w:rPr>
            </w:pPr>
            <w:r w:rsidRPr="00C403B6">
              <w:rPr>
                <w:rFonts w:ascii="Calibri" w:eastAsia="Calibri" w:hAnsi="Calibri" w:cs="Calibri"/>
                <w:sz w:val="16"/>
                <w:szCs w:val="16"/>
              </w:rPr>
              <w:t>933-4*)</w:t>
            </w:r>
          </w:p>
        </w:tc>
        <w:tc>
          <w:tcPr>
            <w:tcW w:w="1134" w:type="dxa"/>
          </w:tcPr>
          <w:p w:rsidR="00AD54A3" w:rsidRPr="00C403B6" w:rsidRDefault="00AD54A3" w:rsidP="00FD47C7">
            <w:pPr>
              <w:jc w:val="center"/>
              <w:rPr>
                <w:rFonts w:ascii="Calibri" w:eastAsia="Calibri" w:hAnsi="Calibri" w:cs="Calibri"/>
                <w:sz w:val="16"/>
                <w:szCs w:val="16"/>
              </w:rPr>
            </w:pPr>
            <w:r w:rsidRPr="00C403B6">
              <w:rPr>
                <w:rFonts w:ascii="Calibri" w:eastAsia="Calibri" w:hAnsi="Calibri" w:cs="Calibri"/>
                <w:sz w:val="16"/>
                <w:szCs w:val="16"/>
              </w:rPr>
              <w:t>4.4</w:t>
            </w:r>
          </w:p>
        </w:tc>
        <w:tc>
          <w:tcPr>
            <w:tcW w:w="1985" w:type="dxa"/>
            <w:gridSpan w:val="2"/>
          </w:tcPr>
          <w:p w:rsidR="00AD54A3" w:rsidRPr="00C403B6" w:rsidRDefault="00AD54A3" w:rsidP="00FD47C7">
            <w:pPr>
              <w:jc w:val="center"/>
              <w:rPr>
                <w:rFonts w:ascii="Calibri" w:eastAsia="Calibri" w:hAnsi="Calibri" w:cs="Calibri"/>
                <w:sz w:val="16"/>
                <w:szCs w:val="16"/>
              </w:rPr>
            </w:pPr>
            <w:r w:rsidRPr="00C403B6">
              <w:rPr>
                <w:rFonts w:ascii="Calibri" w:eastAsia="Calibri" w:hAnsi="Calibri" w:cs="Calibri"/>
                <w:sz w:val="16"/>
                <w:szCs w:val="16"/>
              </w:rPr>
              <w:t>Kat. SIDekl (tj. wsk. kształtu &gt;55)</w:t>
            </w:r>
          </w:p>
        </w:tc>
        <w:tc>
          <w:tcPr>
            <w:tcW w:w="1700" w:type="dxa"/>
            <w:gridSpan w:val="2"/>
          </w:tcPr>
          <w:p w:rsidR="00AD54A3" w:rsidRPr="00C403B6" w:rsidRDefault="00AD54A3" w:rsidP="00FD47C7">
            <w:pPr>
              <w:jc w:val="center"/>
              <w:rPr>
                <w:rFonts w:ascii="Calibri" w:eastAsia="Calibri" w:hAnsi="Calibri" w:cs="Calibri"/>
                <w:sz w:val="16"/>
                <w:szCs w:val="16"/>
              </w:rPr>
            </w:pPr>
            <w:r w:rsidRPr="00C403B6">
              <w:rPr>
                <w:rFonts w:ascii="Calibri" w:eastAsia="Calibri" w:hAnsi="Calibri" w:cs="Calibri"/>
                <w:sz w:val="16"/>
                <w:szCs w:val="16"/>
              </w:rPr>
              <w:t>Kat. SI50 (tj. wsk. kształtu ≤ 55)</w:t>
            </w:r>
          </w:p>
        </w:tc>
      </w:tr>
      <w:tr w:rsidR="00AD54A3" w:rsidRPr="00C403B6" w:rsidTr="00FD47C7">
        <w:trPr>
          <w:trHeight w:val="853"/>
        </w:trPr>
        <w:tc>
          <w:tcPr>
            <w:tcW w:w="3120" w:type="dxa"/>
          </w:tcPr>
          <w:p w:rsidR="00AD54A3" w:rsidRPr="00C403B6" w:rsidRDefault="00AD54A3" w:rsidP="00FD47C7">
            <w:pPr>
              <w:jc w:val="center"/>
              <w:rPr>
                <w:rFonts w:ascii="Calibri" w:eastAsia="Calibri" w:hAnsi="Calibri" w:cs="Calibri"/>
                <w:sz w:val="16"/>
                <w:szCs w:val="16"/>
              </w:rPr>
            </w:pPr>
            <w:r w:rsidRPr="00C403B6">
              <w:rPr>
                <w:rFonts w:ascii="Calibri" w:eastAsia="Calibri" w:hAnsi="Calibri" w:cs="Calibri"/>
                <w:sz w:val="16"/>
                <w:szCs w:val="16"/>
              </w:rPr>
              <w:t>Kategorie procentowych zawartości ziaren o powierzchniach przekruszonych lub łamanych oraz ziaren całkowicie zaokrąglonych w kruszywie grubym</w:t>
            </w:r>
          </w:p>
        </w:tc>
        <w:tc>
          <w:tcPr>
            <w:tcW w:w="1275" w:type="dxa"/>
          </w:tcPr>
          <w:p w:rsidR="00AD54A3" w:rsidRPr="00C403B6" w:rsidRDefault="00AD54A3" w:rsidP="00FD47C7">
            <w:pPr>
              <w:jc w:val="center"/>
              <w:rPr>
                <w:rFonts w:ascii="Calibri" w:eastAsia="Calibri" w:hAnsi="Calibri" w:cs="Calibri"/>
                <w:sz w:val="16"/>
                <w:szCs w:val="16"/>
              </w:rPr>
            </w:pPr>
            <w:r w:rsidRPr="00C403B6">
              <w:rPr>
                <w:rFonts w:ascii="Calibri" w:eastAsia="Calibri" w:hAnsi="Calibri" w:cs="Calibri"/>
                <w:sz w:val="16"/>
                <w:szCs w:val="16"/>
              </w:rPr>
              <w:t>PN-EN</w:t>
            </w:r>
          </w:p>
          <w:p w:rsidR="00AD54A3" w:rsidRPr="00C403B6" w:rsidRDefault="00AD54A3" w:rsidP="00FD47C7">
            <w:pPr>
              <w:jc w:val="center"/>
              <w:rPr>
                <w:rFonts w:ascii="Calibri" w:eastAsia="Calibri" w:hAnsi="Calibri" w:cs="Calibri"/>
                <w:sz w:val="16"/>
                <w:szCs w:val="16"/>
              </w:rPr>
            </w:pPr>
            <w:r w:rsidRPr="00C403B6">
              <w:rPr>
                <w:rFonts w:ascii="Calibri" w:eastAsia="Calibri" w:hAnsi="Calibri" w:cs="Calibri"/>
                <w:sz w:val="16"/>
                <w:szCs w:val="16"/>
              </w:rPr>
              <w:t>933-5</w:t>
            </w:r>
          </w:p>
        </w:tc>
        <w:tc>
          <w:tcPr>
            <w:tcW w:w="1134" w:type="dxa"/>
          </w:tcPr>
          <w:p w:rsidR="00AD54A3" w:rsidRPr="00C403B6" w:rsidRDefault="00AD54A3" w:rsidP="00FD47C7">
            <w:pPr>
              <w:jc w:val="center"/>
              <w:rPr>
                <w:rFonts w:ascii="Calibri" w:eastAsia="Calibri" w:hAnsi="Calibri" w:cs="Calibri"/>
                <w:sz w:val="16"/>
                <w:szCs w:val="16"/>
              </w:rPr>
            </w:pPr>
            <w:r w:rsidRPr="00C403B6">
              <w:rPr>
                <w:rFonts w:ascii="Calibri" w:eastAsia="Calibri" w:hAnsi="Calibri" w:cs="Calibri"/>
                <w:sz w:val="16"/>
                <w:szCs w:val="16"/>
              </w:rPr>
              <w:t>4.5</w:t>
            </w:r>
          </w:p>
        </w:tc>
        <w:tc>
          <w:tcPr>
            <w:tcW w:w="3685" w:type="dxa"/>
            <w:gridSpan w:val="4"/>
          </w:tcPr>
          <w:p w:rsidR="00AD54A3" w:rsidRPr="00C403B6" w:rsidRDefault="00AD54A3" w:rsidP="00FD47C7">
            <w:pPr>
              <w:jc w:val="center"/>
              <w:rPr>
                <w:rFonts w:ascii="Calibri" w:eastAsia="Calibri" w:hAnsi="Calibri" w:cs="Calibri"/>
                <w:sz w:val="16"/>
                <w:szCs w:val="16"/>
              </w:rPr>
            </w:pPr>
            <w:r w:rsidRPr="00C403B6">
              <w:rPr>
                <w:rFonts w:ascii="Calibri" w:eastAsia="Calibri" w:hAnsi="Calibri" w:cs="Calibri"/>
                <w:sz w:val="16"/>
                <w:szCs w:val="16"/>
              </w:rPr>
              <w:t>Kat. CNR (tj. brak wymagania)</w:t>
            </w:r>
          </w:p>
        </w:tc>
      </w:tr>
      <w:tr w:rsidR="00AD54A3" w:rsidRPr="00C403B6" w:rsidTr="00FD47C7">
        <w:trPr>
          <w:trHeight w:val="406"/>
        </w:trPr>
        <w:tc>
          <w:tcPr>
            <w:tcW w:w="3120" w:type="dxa"/>
          </w:tcPr>
          <w:p w:rsidR="00AD54A3" w:rsidRPr="00C403B6" w:rsidRDefault="00AD54A3" w:rsidP="00FD47C7">
            <w:pPr>
              <w:jc w:val="center"/>
              <w:rPr>
                <w:rFonts w:ascii="Calibri" w:eastAsia="Calibri" w:hAnsi="Calibri" w:cs="Calibri"/>
                <w:sz w:val="16"/>
                <w:szCs w:val="16"/>
              </w:rPr>
            </w:pPr>
            <w:r w:rsidRPr="00C403B6">
              <w:rPr>
                <w:rFonts w:ascii="Calibri" w:eastAsia="Calibri" w:hAnsi="Calibri" w:cs="Calibri"/>
                <w:sz w:val="16"/>
                <w:szCs w:val="16"/>
              </w:rPr>
              <w:t>Zawartość pyłów**) w kruszywie grubym</w:t>
            </w:r>
          </w:p>
        </w:tc>
        <w:tc>
          <w:tcPr>
            <w:tcW w:w="1275" w:type="dxa"/>
          </w:tcPr>
          <w:p w:rsidR="00AD54A3" w:rsidRPr="00C403B6" w:rsidRDefault="00AD54A3" w:rsidP="00FD47C7">
            <w:pPr>
              <w:jc w:val="center"/>
              <w:rPr>
                <w:rFonts w:ascii="Calibri" w:eastAsia="Calibri" w:hAnsi="Calibri" w:cs="Calibri"/>
                <w:sz w:val="16"/>
                <w:szCs w:val="16"/>
              </w:rPr>
            </w:pPr>
            <w:r w:rsidRPr="00C403B6">
              <w:rPr>
                <w:rFonts w:ascii="Calibri" w:eastAsia="Calibri" w:hAnsi="Calibri" w:cs="Calibri"/>
                <w:sz w:val="16"/>
                <w:szCs w:val="16"/>
              </w:rPr>
              <w:t>PN-EN</w:t>
            </w:r>
          </w:p>
          <w:p w:rsidR="00AD54A3" w:rsidRPr="00C403B6" w:rsidRDefault="00AD54A3" w:rsidP="00FD47C7">
            <w:pPr>
              <w:jc w:val="center"/>
              <w:rPr>
                <w:rFonts w:ascii="Calibri" w:eastAsia="Calibri" w:hAnsi="Calibri" w:cs="Calibri"/>
                <w:sz w:val="16"/>
                <w:szCs w:val="16"/>
              </w:rPr>
            </w:pPr>
            <w:r w:rsidRPr="00C403B6">
              <w:rPr>
                <w:rFonts w:ascii="Calibri" w:eastAsia="Calibri" w:hAnsi="Calibri" w:cs="Calibri"/>
                <w:sz w:val="16"/>
                <w:szCs w:val="16"/>
              </w:rPr>
              <w:t>933-1</w:t>
            </w:r>
          </w:p>
        </w:tc>
        <w:tc>
          <w:tcPr>
            <w:tcW w:w="1134" w:type="dxa"/>
          </w:tcPr>
          <w:p w:rsidR="00AD54A3" w:rsidRPr="00C403B6" w:rsidRDefault="00AD54A3" w:rsidP="00FD47C7">
            <w:pPr>
              <w:jc w:val="center"/>
              <w:rPr>
                <w:rFonts w:ascii="Calibri" w:eastAsia="Calibri" w:hAnsi="Calibri" w:cs="Calibri"/>
                <w:sz w:val="16"/>
                <w:szCs w:val="16"/>
              </w:rPr>
            </w:pPr>
            <w:r w:rsidRPr="00C403B6">
              <w:rPr>
                <w:rFonts w:ascii="Calibri" w:eastAsia="Calibri" w:hAnsi="Calibri" w:cs="Calibri"/>
                <w:sz w:val="16"/>
                <w:szCs w:val="16"/>
              </w:rPr>
              <w:t>4.6</w:t>
            </w:r>
          </w:p>
        </w:tc>
        <w:tc>
          <w:tcPr>
            <w:tcW w:w="3685" w:type="dxa"/>
            <w:gridSpan w:val="4"/>
          </w:tcPr>
          <w:p w:rsidR="00AD54A3" w:rsidRPr="00C403B6" w:rsidRDefault="00AD54A3" w:rsidP="00FD47C7">
            <w:pPr>
              <w:jc w:val="center"/>
              <w:rPr>
                <w:rFonts w:ascii="Calibri" w:eastAsia="Calibri" w:hAnsi="Calibri" w:cs="Calibri"/>
                <w:sz w:val="16"/>
                <w:szCs w:val="16"/>
              </w:rPr>
            </w:pPr>
            <w:r w:rsidRPr="00C403B6">
              <w:rPr>
                <w:rFonts w:ascii="Calibri" w:eastAsia="Calibri" w:hAnsi="Calibri" w:cs="Calibri"/>
                <w:sz w:val="16"/>
                <w:szCs w:val="16"/>
              </w:rPr>
              <w:t xml:space="preserve">Kat. fDekl  (tj. masa frakcji przechodzącej przez sito </w:t>
            </w:r>
            <w:smartTag w:uri="urn:schemas-microsoft-com:office:smarttags" w:element="metricconverter">
              <w:smartTagPr>
                <w:attr w:name="ProductID" w:val="0,063 mm"/>
              </w:smartTagPr>
              <w:r w:rsidRPr="00C403B6">
                <w:rPr>
                  <w:rFonts w:ascii="Calibri" w:eastAsia="Calibri" w:hAnsi="Calibri" w:cs="Calibri"/>
                  <w:sz w:val="16"/>
                  <w:szCs w:val="16"/>
                </w:rPr>
                <w:t>0,063 mm</w:t>
              </w:r>
            </w:smartTag>
            <w:r w:rsidRPr="00C403B6">
              <w:rPr>
                <w:rFonts w:ascii="Calibri" w:eastAsia="Calibri" w:hAnsi="Calibri" w:cs="Calibri"/>
                <w:sz w:val="16"/>
                <w:szCs w:val="16"/>
              </w:rPr>
              <w:t xml:space="preserve"> jest &gt; 4)</w:t>
            </w:r>
          </w:p>
        </w:tc>
      </w:tr>
      <w:tr w:rsidR="00AD54A3" w:rsidRPr="00C403B6" w:rsidTr="00FD47C7">
        <w:trPr>
          <w:trHeight w:val="426"/>
        </w:trPr>
        <w:tc>
          <w:tcPr>
            <w:tcW w:w="3120" w:type="dxa"/>
          </w:tcPr>
          <w:p w:rsidR="00AD54A3" w:rsidRPr="00C403B6" w:rsidRDefault="00AD54A3" w:rsidP="00FD47C7">
            <w:pPr>
              <w:jc w:val="center"/>
              <w:rPr>
                <w:rFonts w:ascii="Calibri" w:eastAsia="Calibri" w:hAnsi="Calibri" w:cs="Calibri"/>
                <w:sz w:val="16"/>
                <w:szCs w:val="16"/>
              </w:rPr>
            </w:pPr>
            <w:r w:rsidRPr="00C403B6">
              <w:rPr>
                <w:rFonts w:ascii="Calibri" w:eastAsia="Calibri" w:hAnsi="Calibri" w:cs="Calibri"/>
                <w:sz w:val="16"/>
                <w:szCs w:val="16"/>
              </w:rPr>
              <w:t>Zawartość pyłów**)   w  kruszywie drobnym</w:t>
            </w:r>
          </w:p>
        </w:tc>
        <w:tc>
          <w:tcPr>
            <w:tcW w:w="1275" w:type="dxa"/>
          </w:tcPr>
          <w:p w:rsidR="00AD54A3" w:rsidRPr="00C403B6" w:rsidRDefault="00AD54A3" w:rsidP="00FD47C7">
            <w:pPr>
              <w:jc w:val="center"/>
              <w:rPr>
                <w:rFonts w:ascii="Calibri" w:eastAsia="Calibri" w:hAnsi="Calibri" w:cs="Calibri"/>
                <w:sz w:val="16"/>
                <w:szCs w:val="16"/>
              </w:rPr>
            </w:pPr>
            <w:r w:rsidRPr="00C403B6">
              <w:rPr>
                <w:rFonts w:ascii="Calibri" w:eastAsia="Calibri" w:hAnsi="Calibri" w:cs="Calibri"/>
                <w:sz w:val="16"/>
                <w:szCs w:val="16"/>
              </w:rPr>
              <w:t>PN-EN</w:t>
            </w:r>
          </w:p>
          <w:p w:rsidR="00AD54A3" w:rsidRPr="00C403B6" w:rsidRDefault="00AD54A3" w:rsidP="00FD47C7">
            <w:pPr>
              <w:jc w:val="center"/>
              <w:rPr>
                <w:rFonts w:ascii="Calibri" w:eastAsia="Calibri" w:hAnsi="Calibri" w:cs="Calibri"/>
                <w:sz w:val="16"/>
                <w:szCs w:val="16"/>
              </w:rPr>
            </w:pPr>
            <w:r w:rsidRPr="00C403B6">
              <w:rPr>
                <w:rFonts w:ascii="Calibri" w:eastAsia="Calibri" w:hAnsi="Calibri" w:cs="Calibri"/>
                <w:sz w:val="16"/>
                <w:szCs w:val="16"/>
              </w:rPr>
              <w:t>933-1</w:t>
            </w:r>
          </w:p>
        </w:tc>
        <w:tc>
          <w:tcPr>
            <w:tcW w:w="1134" w:type="dxa"/>
          </w:tcPr>
          <w:p w:rsidR="00AD54A3" w:rsidRPr="00C403B6" w:rsidRDefault="00AD54A3" w:rsidP="00FD47C7">
            <w:pPr>
              <w:jc w:val="center"/>
              <w:rPr>
                <w:rFonts w:ascii="Calibri" w:eastAsia="Calibri" w:hAnsi="Calibri" w:cs="Calibri"/>
                <w:sz w:val="16"/>
                <w:szCs w:val="16"/>
              </w:rPr>
            </w:pPr>
            <w:r w:rsidRPr="00C403B6">
              <w:rPr>
                <w:rFonts w:ascii="Calibri" w:eastAsia="Calibri" w:hAnsi="Calibri" w:cs="Calibri"/>
                <w:sz w:val="16"/>
                <w:szCs w:val="16"/>
              </w:rPr>
              <w:t>4.6</w:t>
            </w:r>
          </w:p>
        </w:tc>
        <w:tc>
          <w:tcPr>
            <w:tcW w:w="3685" w:type="dxa"/>
            <w:gridSpan w:val="4"/>
          </w:tcPr>
          <w:p w:rsidR="00AD54A3" w:rsidRPr="00C403B6" w:rsidRDefault="00AD54A3" w:rsidP="00FD47C7">
            <w:pPr>
              <w:jc w:val="center"/>
              <w:rPr>
                <w:rFonts w:ascii="Calibri" w:eastAsia="Calibri" w:hAnsi="Calibri" w:cs="Calibri"/>
                <w:sz w:val="16"/>
                <w:szCs w:val="16"/>
              </w:rPr>
            </w:pPr>
            <w:r w:rsidRPr="00C403B6">
              <w:rPr>
                <w:rFonts w:ascii="Calibri" w:eastAsia="Calibri" w:hAnsi="Calibri" w:cs="Calibri"/>
                <w:sz w:val="16"/>
                <w:szCs w:val="16"/>
              </w:rPr>
              <w:t xml:space="preserve">Kat. fDekl  (tj. masa frakcji przechodzącej przez sito </w:t>
            </w:r>
            <w:smartTag w:uri="urn:schemas-microsoft-com:office:smarttags" w:element="metricconverter">
              <w:smartTagPr>
                <w:attr w:name="ProductID" w:val="0,063 mm"/>
              </w:smartTagPr>
              <w:r w:rsidRPr="00C403B6">
                <w:rPr>
                  <w:rFonts w:ascii="Calibri" w:eastAsia="Calibri" w:hAnsi="Calibri" w:cs="Calibri"/>
                  <w:sz w:val="16"/>
                  <w:szCs w:val="16"/>
                </w:rPr>
                <w:t>0,063 mm</w:t>
              </w:r>
            </w:smartTag>
            <w:r w:rsidRPr="00C403B6">
              <w:rPr>
                <w:rFonts w:ascii="Calibri" w:eastAsia="Calibri" w:hAnsi="Calibri" w:cs="Calibri"/>
                <w:sz w:val="16"/>
                <w:szCs w:val="16"/>
              </w:rPr>
              <w:t xml:space="preserve"> jest &gt; 22)</w:t>
            </w:r>
          </w:p>
        </w:tc>
      </w:tr>
      <w:tr w:rsidR="00AD54A3" w:rsidRPr="00C403B6" w:rsidTr="00FD47C7">
        <w:trPr>
          <w:trHeight w:val="417"/>
        </w:trPr>
        <w:tc>
          <w:tcPr>
            <w:tcW w:w="3120" w:type="dxa"/>
          </w:tcPr>
          <w:p w:rsidR="00AD54A3" w:rsidRPr="00C403B6" w:rsidRDefault="00AD54A3" w:rsidP="00FD47C7">
            <w:pPr>
              <w:jc w:val="center"/>
              <w:rPr>
                <w:rFonts w:ascii="Calibri" w:eastAsia="Calibri" w:hAnsi="Calibri" w:cs="Calibri"/>
                <w:sz w:val="16"/>
                <w:szCs w:val="16"/>
              </w:rPr>
            </w:pPr>
            <w:r w:rsidRPr="00C403B6">
              <w:rPr>
                <w:rFonts w:ascii="Calibri" w:eastAsia="Calibri" w:hAnsi="Calibri" w:cs="Calibri"/>
                <w:sz w:val="16"/>
                <w:szCs w:val="16"/>
              </w:rPr>
              <w:t>Jakość pyłów</w:t>
            </w:r>
          </w:p>
        </w:tc>
        <w:tc>
          <w:tcPr>
            <w:tcW w:w="1275" w:type="dxa"/>
          </w:tcPr>
          <w:p w:rsidR="00AD54A3" w:rsidRPr="00C403B6" w:rsidRDefault="00AD54A3" w:rsidP="00FD47C7">
            <w:pPr>
              <w:jc w:val="center"/>
              <w:rPr>
                <w:rFonts w:ascii="Calibri" w:eastAsia="Calibri" w:hAnsi="Calibri" w:cs="Calibri"/>
                <w:sz w:val="16"/>
                <w:szCs w:val="16"/>
              </w:rPr>
            </w:pPr>
            <w:r w:rsidRPr="00C403B6">
              <w:rPr>
                <w:rFonts w:ascii="Calibri" w:eastAsia="Calibri" w:hAnsi="Calibri" w:cs="Calibri"/>
                <w:sz w:val="16"/>
                <w:szCs w:val="16"/>
              </w:rPr>
              <w:t>-</w:t>
            </w:r>
          </w:p>
        </w:tc>
        <w:tc>
          <w:tcPr>
            <w:tcW w:w="1134" w:type="dxa"/>
          </w:tcPr>
          <w:p w:rsidR="00AD54A3" w:rsidRPr="00C403B6" w:rsidRDefault="00AD54A3" w:rsidP="00FD47C7">
            <w:pPr>
              <w:jc w:val="center"/>
              <w:rPr>
                <w:rFonts w:ascii="Calibri" w:eastAsia="Calibri" w:hAnsi="Calibri" w:cs="Calibri"/>
                <w:sz w:val="16"/>
                <w:szCs w:val="16"/>
              </w:rPr>
            </w:pPr>
            <w:r w:rsidRPr="00C403B6">
              <w:rPr>
                <w:rFonts w:ascii="Calibri" w:eastAsia="Calibri" w:hAnsi="Calibri" w:cs="Calibri"/>
                <w:sz w:val="16"/>
                <w:szCs w:val="16"/>
              </w:rPr>
              <w:t>4.7</w:t>
            </w:r>
          </w:p>
        </w:tc>
        <w:tc>
          <w:tcPr>
            <w:tcW w:w="3685" w:type="dxa"/>
            <w:gridSpan w:val="4"/>
          </w:tcPr>
          <w:p w:rsidR="00AD54A3" w:rsidRPr="00C403B6" w:rsidRDefault="00AD54A3" w:rsidP="00FD47C7">
            <w:pPr>
              <w:jc w:val="center"/>
              <w:rPr>
                <w:rFonts w:ascii="Calibri" w:eastAsia="Calibri" w:hAnsi="Calibri" w:cs="Calibri"/>
                <w:sz w:val="16"/>
                <w:szCs w:val="16"/>
              </w:rPr>
            </w:pPr>
            <w:r w:rsidRPr="00C403B6">
              <w:rPr>
                <w:rFonts w:ascii="Calibri" w:eastAsia="Calibri" w:hAnsi="Calibri" w:cs="Calibri"/>
                <w:sz w:val="16"/>
                <w:szCs w:val="16"/>
              </w:rPr>
              <w:t>Brak wymagań</w:t>
            </w:r>
          </w:p>
        </w:tc>
      </w:tr>
      <w:tr w:rsidR="00AD54A3" w:rsidRPr="00C3299C" w:rsidTr="00FD47C7">
        <w:trPr>
          <w:trHeight w:val="551"/>
        </w:trPr>
        <w:tc>
          <w:tcPr>
            <w:tcW w:w="3120" w:type="dxa"/>
          </w:tcPr>
          <w:p w:rsidR="00AD54A3" w:rsidRPr="00C403B6" w:rsidRDefault="00AD54A3" w:rsidP="00FD47C7">
            <w:pPr>
              <w:jc w:val="center"/>
              <w:rPr>
                <w:rFonts w:ascii="Calibri" w:eastAsia="Calibri" w:hAnsi="Calibri" w:cs="Calibri"/>
                <w:sz w:val="16"/>
                <w:szCs w:val="16"/>
              </w:rPr>
            </w:pPr>
            <w:r w:rsidRPr="00C403B6">
              <w:rPr>
                <w:rFonts w:ascii="Calibri" w:eastAsia="Calibri" w:hAnsi="Calibri" w:cs="Calibri"/>
                <w:sz w:val="16"/>
                <w:szCs w:val="16"/>
              </w:rPr>
              <w:t>Odporność na rozdrabnianie kruszywa grubego</w:t>
            </w:r>
          </w:p>
        </w:tc>
        <w:tc>
          <w:tcPr>
            <w:tcW w:w="1275" w:type="dxa"/>
          </w:tcPr>
          <w:p w:rsidR="00AD54A3" w:rsidRPr="00C403B6" w:rsidRDefault="00AD54A3" w:rsidP="00FD47C7">
            <w:pPr>
              <w:jc w:val="center"/>
              <w:rPr>
                <w:rFonts w:ascii="Calibri" w:eastAsia="Calibri" w:hAnsi="Calibri" w:cs="Calibri"/>
                <w:sz w:val="16"/>
                <w:szCs w:val="16"/>
              </w:rPr>
            </w:pPr>
            <w:r w:rsidRPr="00C403B6">
              <w:rPr>
                <w:rFonts w:ascii="Calibri" w:eastAsia="Calibri" w:hAnsi="Calibri" w:cs="Calibri"/>
                <w:sz w:val="16"/>
                <w:szCs w:val="16"/>
              </w:rPr>
              <w:t>PN-EN</w:t>
            </w:r>
          </w:p>
          <w:p w:rsidR="00AD54A3" w:rsidRPr="00C403B6" w:rsidRDefault="00AD54A3" w:rsidP="00FD47C7">
            <w:pPr>
              <w:jc w:val="center"/>
              <w:rPr>
                <w:rFonts w:ascii="Calibri" w:eastAsia="Calibri" w:hAnsi="Calibri" w:cs="Calibri"/>
                <w:sz w:val="16"/>
                <w:szCs w:val="16"/>
              </w:rPr>
            </w:pPr>
            <w:r w:rsidRPr="00C403B6">
              <w:rPr>
                <w:rFonts w:ascii="Calibri" w:eastAsia="Calibri" w:hAnsi="Calibri" w:cs="Calibri"/>
                <w:sz w:val="16"/>
                <w:szCs w:val="16"/>
              </w:rPr>
              <w:t>1097-2</w:t>
            </w:r>
          </w:p>
        </w:tc>
        <w:tc>
          <w:tcPr>
            <w:tcW w:w="1134" w:type="dxa"/>
          </w:tcPr>
          <w:p w:rsidR="00AD54A3" w:rsidRPr="00C403B6" w:rsidRDefault="00AD54A3" w:rsidP="00FD47C7">
            <w:pPr>
              <w:jc w:val="center"/>
              <w:rPr>
                <w:rFonts w:ascii="Calibri" w:eastAsia="Calibri" w:hAnsi="Calibri" w:cs="Calibri"/>
                <w:sz w:val="16"/>
                <w:szCs w:val="16"/>
              </w:rPr>
            </w:pPr>
            <w:r w:rsidRPr="00C403B6">
              <w:rPr>
                <w:rFonts w:ascii="Calibri" w:eastAsia="Calibri" w:hAnsi="Calibri" w:cs="Calibri"/>
                <w:sz w:val="16"/>
                <w:szCs w:val="16"/>
              </w:rPr>
              <w:t>5.2</w:t>
            </w:r>
          </w:p>
        </w:tc>
        <w:tc>
          <w:tcPr>
            <w:tcW w:w="1930" w:type="dxa"/>
          </w:tcPr>
          <w:p w:rsidR="00AD54A3" w:rsidRPr="00C403B6" w:rsidRDefault="00AD54A3" w:rsidP="00FD47C7">
            <w:pPr>
              <w:jc w:val="center"/>
              <w:rPr>
                <w:rFonts w:ascii="Calibri" w:eastAsia="Calibri" w:hAnsi="Calibri" w:cs="Calibri"/>
                <w:sz w:val="16"/>
                <w:szCs w:val="16"/>
                <w:lang w:val="en-US"/>
              </w:rPr>
            </w:pPr>
            <w:r w:rsidRPr="00C403B6">
              <w:rPr>
                <w:rFonts w:ascii="Calibri" w:eastAsia="Calibri" w:hAnsi="Calibri" w:cs="Calibri"/>
                <w:sz w:val="16"/>
                <w:szCs w:val="16"/>
                <w:lang w:val="en-US"/>
              </w:rPr>
              <w:t>Kat. LA60 (tj. wsp. Los Angeles jest ≤ 60)</w:t>
            </w:r>
          </w:p>
        </w:tc>
        <w:tc>
          <w:tcPr>
            <w:tcW w:w="1755" w:type="dxa"/>
            <w:gridSpan w:val="3"/>
          </w:tcPr>
          <w:p w:rsidR="00AD54A3" w:rsidRPr="00C403B6" w:rsidRDefault="00AD54A3" w:rsidP="00FD47C7">
            <w:pPr>
              <w:jc w:val="center"/>
              <w:rPr>
                <w:rFonts w:ascii="Calibri" w:eastAsia="Calibri" w:hAnsi="Calibri" w:cs="Calibri"/>
                <w:sz w:val="16"/>
                <w:szCs w:val="16"/>
                <w:lang w:val="en-US"/>
              </w:rPr>
            </w:pPr>
            <w:r w:rsidRPr="00C403B6">
              <w:rPr>
                <w:rFonts w:ascii="Calibri" w:eastAsia="Calibri" w:hAnsi="Calibri" w:cs="Calibri"/>
                <w:sz w:val="16"/>
                <w:szCs w:val="16"/>
                <w:lang w:val="en-US"/>
              </w:rPr>
              <w:t>Kat. LA50 (tj. wsp. Los Angeles jest ≤ 50)</w:t>
            </w:r>
          </w:p>
        </w:tc>
      </w:tr>
      <w:tr w:rsidR="00AD54A3" w:rsidRPr="00C403B6" w:rsidTr="00FD47C7">
        <w:tc>
          <w:tcPr>
            <w:tcW w:w="3120" w:type="dxa"/>
          </w:tcPr>
          <w:p w:rsidR="00AD54A3" w:rsidRPr="00C403B6" w:rsidRDefault="00AD54A3" w:rsidP="00FD47C7">
            <w:pPr>
              <w:jc w:val="center"/>
              <w:rPr>
                <w:rFonts w:ascii="Calibri" w:eastAsia="Calibri" w:hAnsi="Calibri" w:cs="Calibri"/>
                <w:sz w:val="16"/>
                <w:szCs w:val="16"/>
              </w:rPr>
            </w:pPr>
            <w:r w:rsidRPr="00C403B6">
              <w:rPr>
                <w:rFonts w:ascii="Calibri" w:eastAsia="Calibri" w:hAnsi="Calibri" w:cs="Calibri"/>
                <w:sz w:val="16"/>
                <w:szCs w:val="16"/>
              </w:rPr>
              <w:t>Odporność na ścieranie</w:t>
            </w:r>
          </w:p>
        </w:tc>
        <w:tc>
          <w:tcPr>
            <w:tcW w:w="1275" w:type="dxa"/>
          </w:tcPr>
          <w:p w:rsidR="00AD54A3" w:rsidRPr="00C403B6" w:rsidRDefault="00AD54A3" w:rsidP="00FD47C7">
            <w:pPr>
              <w:jc w:val="center"/>
              <w:rPr>
                <w:rFonts w:ascii="Calibri" w:eastAsia="Calibri" w:hAnsi="Calibri" w:cs="Calibri"/>
                <w:sz w:val="16"/>
                <w:szCs w:val="16"/>
              </w:rPr>
            </w:pPr>
            <w:r w:rsidRPr="00C403B6">
              <w:rPr>
                <w:rFonts w:ascii="Calibri" w:eastAsia="Calibri" w:hAnsi="Calibri" w:cs="Calibri"/>
                <w:sz w:val="16"/>
                <w:szCs w:val="16"/>
              </w:rPr>
              <w:t>PN-EN</w:t>
            </w:r>
          </w:p>
          <w:p w:rsidR="00AD54A3" w:rsidRPr="00C403B6" w:rsidRDefault="00AD54A3" w:rsidP="00FD47C7">
            <w:pPr>
              <w:jc w:val="center"/>
              <w:rPr>
                <w:rFonts w:ascii="Calibri" w:eastAsia="Calibri" w:hAnsi="Calibri" w:cs="Calibri"/>
                <w:sz w:val="16"/>
                <w:szCs w:val="16"/>
              </w:rPr>
            </w:pPr>
            <w:r w:rsidRPr="00C403B6">
              <w:rPr>
                <w:rFonts w:ascii="Calibri" w:eastAsia="Calibri" w:hAnsi="Calibri" w:cs="Calibri"/>
                <w:sz w:val="16"/>
                <w:szCs w:val="16"/>
              </w:rPr>
              <w:t>1097-1</w:t>
            </w:r>
          </w:p>
        </w:tc>
        <w:tc>
          <w:tcPr>
            <w:tcW w:w="1134" w:type="dxa"/>
          </w:tcPr>
          <w:p w:rsidR="00AD54A3" w:rsidRPr="00C403B6" w:rsidRDefault="00AD54A3" w:rsidP="00FD47C7">
            <w:pPr>
              <w:jc w:val="center"/>
              <w:rPr>
                <w:rFonts w:ascii="Calibri" w:eastAsia="Calibri" w:hAnsi="Calibri" w:cs="Calibri"/>
                <w:sz w:val="16"/>
                <w:szCs w:val="16"/>
              </w:rPr>
            </w:pPr>
            <w:r w:rsidRPr="00C403B6">
              <w:rPr>
                <w:rFonts w:ascii="Calibri" w:eastAsia="Calibri" w:hAnsi="Calibri" w:cs="Calibri"/>
                <w:sz w:val="16"/>
                <w:szCs w:val="16"/>
              </w:rPr>
              <w:t>5.3</w:t>
            </w:r>
          </w:p>
        </w:tc>
        <w:tc>
          <w:tcPr>
            <w:tcW w:w="3685" w:type="dxa"/>
            <w:gridSpan w:val="4"/>
          </w:tcPr>
          <w:p w:rsidR="00AD54A3" w:rsidRPr="00C403B6" w:rsidRDefault="00AD54A3" w:rsidP="00FD47C7">
            <w:pPr>
              <w:jc w:val="center"/>
              <w:rPr>
                <w:rFonts w:ascii="Calibri" w:eastAsia="Calibri" w:hAnsi="Calibri" w:cs="Calibri"/>
                <w:sz w:val="16"/>
                <w:szCs w:val="16"/>
              </w:rPr>
            </w:pPr>
            <w:r w:rsidRPr="00C403B6">
              <w:rPr>
                <w:rFonts w:ascii="Calibri" w:eastAsia="Calibri" w:hAnsi="Calibri" w:cs="Calibri"/>
                <w:sz w:val="16"/>
                <w:szCs w:val="16"/>
              </w:rPr>
              <w:t>Kat. MDENR (tj. brak wymagania)</w:t>
            </w:r>
          </w:p>
        </w:tc>
      </w:tr>
      <w:tr w:rsidR="00AD54A3" w:rsidRPr="00C403B6" w:rsidTr="00FD47C7">
        <w:trPr>
          <w:trHeight w:val="438"/>
        </w:trPr>
        <w:tc>
          <w:tcPr>
            <w:tcW w:w="3120" w:type="dxa"/>
          </w:tcPr>
          <w:p w:rsidR="00AD54A3" w:rsidRPr="00C403B6" w:rsidRDefault="00AD54A3" w:rsidP="00FD47C7">
            <w:pPr>
              <w:jc w:val="center"/>
              <w:rPr>
                <w:rFonts w:ascii="Calibri" w:eastAsia="Calibri" w:hAnsi="Calibri" w:cs="Calibri"/>
                <w:sz w:val="16"/>
                <w:szCs w:val="16"/>
              </w:rPr>
            </w:pPr>
            <w:r w:rsidRPr="00C403B6">
              <w:rPr>
                <w:rFonts w:ascii="Calibri" w:eastAsia="Calibri" w:hAnsi="Calibri" w:cs="Calibri"/>
                <w:sz w:val="16"/>
                <w:szCs w:val="16"/>
              </w:rPr>
              <w:t>Gęstość ziaren</w:t>
            </w:r>
          </w:p>
        </w:tc>
        <w:tc>
          <w:tcPr>
            <w:tcW w:w="1275" w:type="dxa"/>
          </w:tcPr>
          <w:p w:rsidR="00AD54A3" w:rsidRPr="00C403B6" w:rsidRDefault="00AD54A3" w:rsidP="00FD47C7">
            <w:pPr>
              <w:jc w:val="center"/>
              <w:rPr>
                <w:rFonts w:ascii="Calibri" w:eastAsia="Calibri" w:hAnsi="Calibri" w:cs="Calibri"/>
                <w:sz w:val="16"/>
                <w:szCs w:val="16"/>
              </w:rPr>
            </w:pPr>
            <w:r w:rsidRPr="00C403B6">
              <w:rPr>
                <w:rFonts w:ascii="Calibri" w:eastAsia="Calibri" w:hAnsi="Calibri" w:cs="Calibri"/>
                <w:sz w:val="16"/>
                <w:szCs w:val="16"/>
              </w:rPr>
              <w:t>PN-EN 1097-6, roz. 7, 8 i 9</w:t>
            </w:r>
          </w:p>
        </w:tc>
        <w:tc>
          <w:tcPr>
            <w:tcW w:w="1134" w:type="dxa"/>
          </w:tcPr>
          <w:p w:rsidR="00AD54A3" w:rsidRPr="00C403B6" w:rsidRDefault="00AD54A3" w:rsidP="00FD47C7">
            <w:pPr>
              <w:jc w:val="center"/>
              <w:rPr>
                <w:rFonts w:ascii="Calibri" w:eastAsia="Calibri" w:hAnsi="Calibri" w:cs="Calibri"/>
                <w:sz w:val="16"/>
                <w:szCs w:val="16"/>
              </w:rPr>
            </w:pPr>
            <w:r w:rsidRPr="00C403B6">
              <w:rPr>
                <w:rFonts w:ascii="Calibri" w:eastAsia="Calibri" w:hAnsi="Calibri" w:cs="Calibri"/>
                <w:sz w:val="16"/>
                <w:szCs w:val="16"/>
              </w:rPr>
              <w:t>5.4</w:t>
            </w:r>
          </w:p>
        </w:tc>
        <w:tc>
          <w:tcPr>
            <w:tcW w:w="3685" w:type="dxa"/>
            <w:gridSpan w:val="4"/>
          </w:tcPr>
          <w:p w:rsidR="00AD54A3" w:rsidRPr="00C403B6" w:rsidRDefault="00AD54A3" w:rsidP="00FD47C7">
            <w:pPr>
              <w:jc w:val="center"/>
              <w:rPr>
                <w:rFonts w:ascii="Calibri" w:eastAsia="Calibri" w:hAnsi="Calibri" w:cs="Calibri"/>
                <w:sz w:val="16"/>
                <w:szCs w:val="16"/>
              </w:rPr>
            </w:pPr>
            <w:r w:rsidRPr="00C403B6">
              <w:rPr>
                <w:rFonts w:ascii="Calibri" w:eastAsia="Calibri" w:hAnsi="Calibri" w:cs="Calibri"/>
                <w:sz w:val="16"/>
                <w:szCs w:val="16"/>
              </w:rPr>
              <w:t>Deklarowana</w:t>
            </w:r>
          </w:p>
        </w:tc>
      </w:tr>
      <w:tr w:rsidR="00AD54A3" w:rsidRPr="00C403B6" w:rsidTr="00FD47C7">
        <w:trPr>
          <w:trHeight w:val="416"/>
        </w:trPr>
        <w:tc>
          <w:tcPr>
            <w:tcW w:w="3120" w:type="dxa"/>
          </w:tcPr>
          <w:p w:rsidR="00AD54A3" w:rsidRPr="00C403B6" w:rsidRDefault="00AD54A3" w:rsidP="00FD47C7">
            <w:pPr>
              <w:jc w:val="center"/>
              <w:rPr>
                <w:rFonts w:ascii="Calibri" w:eastAsia="Calibri" w:hAnsi="Calibri" w:cs="Calibri"/>
                <w:sz w:val="16"/>
                <w:szCs w:val="16"/>
              </w:rPr>
            </w:pPr>
            <w:r w:rsidRPr="00C403B6">
              <w:rPr>
                <w:rFonts w:ascii="Calibri" w:eastAsia="Calibri" w:hAnsi="Calibri" w:cs="Calibri"/>
                <w:sz w:val="16"/>
                <w:szCs w:val="16"/>
              </w:rPr>
              <w:t>Nasiąkliwość</w:t>
            </w:r>
          </w:p>
        </w:tc>
        <w:tc>
          <w:tcPr>
            <w:tcW w:w="1275" w:type="dxa"/>
          </w:tcPr>
          <w:p w:rsidR="00AD54A3" w:rsidRPr="00C403B6" w:rsidRDefault="00AD54A3" w:rsidP="00FD47C7">
            <w:pPr>
              <w:jc w:val="center"/>
              <w:rPr>
                <w:rFonts w:ascii="Calibri" w:eastAsia="Calibri" w:hAnsi="Calibri" w:cs="Calibri"/>
                <w:sz w:val="16"/>
                <w:szCs w:val="16"/>
              </w:rPr>
            </w:pPr>
            <w:r w:rsidRPr="00C403B6">
              <w:rPr>
                <w:rFonts w:ascii="Calibri" w:eastAsia="Calibri" w:hAnsi="Calibri" w:cs="Calibri"/>
                <w:sz w:val="16"/>
                <w:szCs w:val="16"/>
              </w:rPr>
              <w:t>PN-EN 1097-</w:t>
            </w:r>
          </w:p>
          <w:p w:rsidR="00AD54A3" w:rsidRPr="00C403B6" w:rsidRDefault="00AD54A3" w:rsidP="00FD47C7">
            <w:pPr>
              <w:jc w:val="center"/>
              <w:rPr>
                <w:rFonts w:ascii="Calibri" w:eastAsia="Calibri" w:hAnsi="Calibri" w:cs="Calibri"/>
                <w:sz w:val="16"/>
                <w:szCs w:val="16"/>
              </w:rPr>
            </w:pPr>
            <w:r w:rsidRPr="00C403B6">
              <w:rPr>
                <w:rFonts w:ascii="Calibri" w:eastAsia="Calibri" w:hAnsi="Calibri" w:cs="Calibri"/>
                <w:sz w:val="16"/>
                <w:szCs w:val="16"/>
              </w:rPr>
              <w:t>6, roz. 7, 8 i 9</w:t>
            </w:r>
          </w:p>
        </w:tc>
        <w:tc>
          <w:tcPr>
            <w:tcW w:w="1134" w:type="dxa"/>
          </w:tcPr>
          <w:p w:rsidR="00AD54A3" w:rsidRPr="00C403B6" w:rsidRDefault="00AD54A3" w:rsidP="00FD47C7">
            <w:pPr>
              <w:jc w:val="center"/>
              <w:rPr>
                <w:rFonts w:ascii="Calibri" w:eastAsia="Calibri" w:hAnsi="Calibri" w:cs="Calibri"/>
                <w:sz w:val="16"/>
                <w:szCs w:val="16"/>
              </w:rPr>
            </w:pPr>
            <w:r w:rsidRPr="00C403B6">
              <w:rPr>
                <w:rFonts w:ascii="Calibri" w:eastAsia="Calibri" w:hAnsi="Calibri" w:cs="Calibri"/>
                <w:sz w:val="16"/>
                <w:szCs w:val="16"/>
              </w:rPr>
              <w:t>5.5</w:t>
            </w:r>
          </w:p>
        </w:tc>
        <w:tc>
          <w:tcPr>
            <w:tcW w:w="3685" w:type="dxa"/>
            <w:gridSpan w:val="4"/>
          </w:tcPr>
          <w:p w:rsidR="00AD54A3" w:rsidRPr="00C403B6" w:rsidRDefault="00AD54A3" w:rsidP="00FD47C7">
            <w:pPr>
              <w:jc w:val="center"/>
              <w:rPr>
                <w:rFonts w:ascii="Calibri" w:eastAsia="Calibri" w:hAnsi="Calibri" w:cs="Calibri"/>
                <w:sz w:val="16"/>
                <w:szCs w:val="16"/>
              </w:rPr>
            </w:pPr>
            <w:r w:rsidRPr="00C403B6">
              <w:rPr>
                <w:rFonts w:ascii="Calibri" w:eastAsia="Calibri" w:hAnsi="Calibri" w:cs="Calibri"/>
                <w:sz w:val="16"/>
                <w:szCs w:val="16"/>
              </w:rPr>
              <w:t>Deklarowana</w:t>
            </w:r>
          </w:p>
        </w:tc>
      </w:tr>
      <w:tr w:rsidR="00AD54A3" w:rsidRPr="00C403B6" w:rsidTr="00FD47C7">
        <w:trPr>
          <w:trHeight w:val="839"/>
        </w:trPr>
        <w:tc>
          <w:tcPr>
            <w:tcW w:w="3120" w:type="dxa"/>
          </w:tcPr>
          <w:p w:rsidR="00AD54A3" w:rsidRPr="00C403B6" w:rsidRDefault="00AD54A3" w:rsidP="00FD47C7">
            <w:pPr>
              <w:jc w:val="center"/>
              <w:rPr>
                <w:rFonts w:ascii="Calibri" w:eastAsia="Calibri" w:hAnsi="Calibri" w:cs="Calibri"/>
                <w:sz w:val="16"/>
                <w:szCs w:val="16"/>
              </w:rPr>
            </w:pPr>
            <w:r w:rsidRPr="00C403B6">
              <w:rPr>
                <w:rFonts w:ascii="Calibri" w:eastAsia="Calibri" w:hAnsi="Calibri" w:cs="Calibri"/>
                <w:sz w:val="16"/>
                <w:szCs w:val="16"/>
              </w:rPr>
              <w:t>Siarczany rozpuszczalne w kwasie</w:t>
            </w:r>
          </w:p>
        </w:tc>
        <w:tc>
          <w:tcPr>
            <w:tcW w:w="1275" w:type="dxa"/>
          </w:tcPr>
          <w:p w:rsidR="00AD54A3" w:rsidRPr="00C403B6" w:rsidRDefault="00AD54A3" w:rsidP="00FD47C7">
            <w:pPr>
              <w:jc w:val="center"/>
              <w:rPr>
                <w:rFonts w:ascii="Calibri" w:eastAsia="Calibri" w:hAnsi="Calibri" w:cs="Calibri"/>
                <w:sz w:val="16"/>
                <w:szCs w:val="16"/>
              </w:rPr>
            </w:pPr>
            <w:r w:rsidRPr="00C403B6">
              <w:rPr>
                <w:rFonts w:ascii="Calibri" w:eastAsia="Calibri" w:hAnsi="Calibri" w:cs="Calibri"/>
                <w:sz w:val="16"/>
                <w:szCs w:val="16"/>
              </w:rPr>
              <w:t>PN-EN</w:t>
            </w:r>
          </w:p>
          <w:p w:rsidR="00AD54A3" w:rsidRPr="00C403B6" w:rsidRDefault="00AD54A3" w:rsidP="00FD47C7">
            <w:pPr>
              <w:jc w:val="center"/>
              <w:rPr>
                <w:rFonts w:ascii="Calibri" w:eastAsia="Calibri" w:hAnsi="Calibri" w:cs="Calibri"/>
                <w:sz w:val="16"/>
                <w:szCs w:val="16"/>
              </w:rPr>
            </w:pPr>
            <w:r w:rsidRPr="00C403B6">
              <w:rPr>
                <w:rFonts w:ascii="Calibri" w:eastAsia="Calibri" w:hAnsi="Calibri" w:cs="Calibri"/>
                <w:sz w:val="16"/>
                <w:szCs w:val="16"/>
              </w:rPr>
              <w:t>1744-1</w:t>
            </w:r>
          </w:p>
        </w:tc>
        <w:tc>
          <w:tcPr>
            <w:tcW w:w="1134" w:type="dxa"/>
          </w:tcPr>
          <w:p w:rsidR="00AD54A3" w:rsidRPr="00C403B6" w:rsidRDefault="00AD54A3" w:rsidP="00FD47C7">
            <w:pPr>
              <w:jc w:val="center"/>
              <w:rPr>
                <w:rFonts w:ascii="Calibri" w:eastAsia="Calibri" w:hAnsi="Calibri" w:cs="Calibri"/>
                <w:sz w:val="16"/>
                <w:szCs w:val="16"/>
              </w:rPr>
            </w:pPr>
            <w:r w:rsidRPr="00C403B6">
              <w:rPr>
                <w:rFonts w:ascii="Calibri" w:eastAsia="Calibri" w:hAnsi="Calibri" w:cs="Calibri"/>
                <w:sz w:val="16"/>
                <w:szCs w:val="16"/>
              </w:rPr>
              <w:t>6.2</w:t>
            </w:r>
          </w:p>
        </w:tc>
        <w:tc>
          <w:tcPr>
            <w:tcW w:w="3685" w:type="dxa"/>
            <w:gridSpan w:val="4"/>
          </w:tcPr>
          <w:p w:rsidR="00AD54A3" w:rsidRPr="00C403B6" w:rsidRDefault="00AD54A3" w:rsidP="00FD47C7">
            <w:pPr>
              <w:jc w:val="center"/>
              <w:rPr>
                <w:rFonts w:ascii="Calibri" w:eastAsia="Calibri" w:hAnsi="Calibri" w:cs="Calibri"/>
                <w:sz w:val="16"/>
                <w:szCs w:val="16"/>
              </w:rPr>
            </w:pPr>
            <w:r w:rsidRPr="00C403B6">
              <w:rPr>
                <w:rFonts w:ascii="Calibri" w:eastAsia="Calibri" w:hAnsi="Calibri" w:cs="Calibri"/>
                <w:sz w:val="16"/>
                <w:szCs w:val="16"/>
              </w:rPr>
              <w:t>Kruszywo kamienne:  kat. AS0,2   (tj. zawartość siarczanów</w:t>
            </w:r>
          </w:p>
          <w:p w:rsidR="00AD54A3" w:rsidRPr="00C403B6" w:rsidRDefault="00AD54A3" w:rsidP="00FD47C7">
            <w:pPr>
              <w:jc w:val="center"/>
              <w:rPr>
                <w:rFonts w:ascii="Calibri" w:eastAsia="Calibri" w:hAnsi="Calibri" w:cs="Calibri"/>
                <w:sz w:val="16"/>
                <w:szCs w:val="16"/>
              </w:rPr>
            </w:pPr>
            <w:r w:rsidRPr="00C403B6">
              <w:rPr>
                <w:rFonts w:ascii="Calibri" w:eastAsia="Calibri" w:hAnsi="Calibri" w:cs="Calibri"/>
                <w:sz w:val="16"/>
                <w:szCs w:val="16"/>
              </w:rPr>
              <w:t>≤ 0,2%), żużel kawałkowy wielkopiecowy: kat. AS1,0 (tj. zawartość siarczanów ≤ 1,0%)</w:t>
            </w:r>
          </w:p>
        </w:tc>
      </w:tr>
      <w:tr w:rsidR="00AD54A3" w:rsidRPr="00C403B6" w:rsidTr="00FD47C7">
        <w:trPr>
          <w:trHeight w:val="844"/>
        </w:trPr>
        <w:tc>
          <w:tcPr>
            <w:tcW w:w="3120" w:type="dxa"/>
          </w:tcPr>
          <w:p w:rsidR="00AD54A3" w:rsidRPr="00C403B6" w:rsidRDefault="00AD54A3" w:rsidP="00FD47C7">
            <w:pPr>
              <w:jc w:val="center"/>
              <w:rPr>
                <w:rFonts w:ascii="Calibri" w:eastAsia="Calibri" w:hAnsi="Calibri" w:cs="Calibri"/>
                <w:sz w:val="16"/>
                <w:szCs w:val="16"/>
              </w:rPr>
            </w:pPr>
            <w:r w:rsidRPr="00C403B6">
              <w:rPr>
                <w:rFonts w:ascii="Calibri" w:eastAsia="Calibri" w:hAnsi="Calibri" w:cs="Calibri"/>
                <w:sz w:val="16"/>
                <w:szCs w:val="16"/>
              </w:rPr>
              <w:t>Całkowita zawartość siarki</w:t>
            </w:r>
          </w:p>
        </w:tc>
        <w:tc>
          <w:tcPr>
            <w:tcW w:w="1275" w:type="dxa"/>
          </w:tcPr>
          <w:p w:rsidR="00AD54A3" w:rsidRPr="00C403B6" w:rsidRDefault="00AD54A3" w:rsidP="00FD47C7">
            <w:pPr>
              <w:jc w:val="center"/>
              <w:rPr>
                <w:rFonts w:ascii="Calibri" w:eastAsia="Calibri" w:hAnsi="Calibri" w:cs="Calibri"/>
                <w:sz w:val="16"/>
                <w:szCs w:val="16"/>
              </w:rPr>
            </w:pPr>
            <w:r w:rsidRPr="00C403B6">
              <w:rPr>
                <w:rFonts w:ascii="Calibri" w:eastAsia="Calibri" w:hAnsi="Calibri" w:cs="Calibri"/>
                <w:sz w:val="16"/>
                <w:szCs w:val="16"/>
              </w:rPr>
              <w:t>PN-EN</w:t>
            </w:r>
          </w:p>
          <w:p w:rsidR="00AD54A3" w:rsidRPr="00C403B6" w:rsidRDefault="00AD54A3" w:rsidP="00FD47C7">
            <w:pPr>
              <w:jc w:val="center"/>
              <w:rPr>
                <w:rFonts w:ascii="Calibri" w:eastAsia="Calibri" w:hAnsi="Calibri" w:cs="Calibri"/>
                <w:sz w:val="16"/>
                <w:szCs w:val="16"/>
              </w:rPr>
            </w:pPr>
            <w:r w:rsidRPr="00C403B6">
              <w:rPr>
                <w:rFonts w:ascii="Calibri" w:eastAsia="Calibri" w:hAnsi="Calibri" w:cs="Calibri"/>
                <w:sz w:val="16"/>
                <w:szCs w:val="16"/>
              </w:rPr>
              <w:t>1744-1</w:t>
            </w:r>
          </w:p>
        </w:tc>
        <w:tc>
          <w:tcPr>
            <w:tcW w:w="1134" w:type="dxa"/>
          </w:tcPr>
          <w:p w:rsidR="00AD54A3" w:rsidRPr="00C403B6" w:rsidRDefault="00AD54A3" w:rsidP="00FD47C7">
            <w:pPr>
              <w:jc w:val="center"/>
              <w:rPr>
                <w:rFonts w:ascii="Calibri" w:eastAsia="Calibri" w:hAnsi="Calibri" w:cs="Calibri"/>
                <w:sz w:val="16"/>
                <w:szCs w:val="16"/>
              </w:rPr>
            </w:pPr>
            <w:r w:rsidRPr="00C403B6">
              <w:rPr>
                <w:rFonts w:ascii="Calibri" w:eastAsia="Calibri" w:hAnsi="Calibri" w:cs="Calibri"/>
                <w:sz w:val="16"/>
                <w:szCs w:val="16"/>
              </w:rPr>
              <w:t>6.3</w:t>
            </w:r>
          </w:p>
        </w:tc>
        <w:tc>
          <w:tcPr>
            <w:tcW w:w="3685" w:type="dxa"/>
            <w:gridSpan w:val="4"/>
          </w:tcPr>
          <w:p w:rsidR="00AD54A3" w:rsidRPr="00C403B6" w:rsidRDefault="00AD54A3" w:rsidP="00FD47C7">
            <w:pPr>
              <w:jc w:val="center"/>
              <w:rPr>
                <w:rFonts w:ascii="Calibri" w:eastAsia="Calibri" w:hAnsi="Calibri" w:cs="Calibri"/>
                <w:sz w:val="16"/>
                <w:szCs w:val="16"/>
              </w:rPr>
            </w:pPr>
            <w:r w:rsidRPr="00C403B6">
              <w:rPr>
                <w:rFonts w:ascii="Calibri" w:eastAsia="Calibri" w:hAnsi="Calibri" w:cs="Calibri"/>
                <w:sz w:val="16"/>
                <w:szCs w:val="16"/>
              </w:rPr>
              <w:t>Kruszywo kamienne: kat. SNR (tj. brak wymagania), żużel kawałkowy wielkopiecowy: kat. S2 (tj. zawartość siarki całkowitej ≤ 2%)</w:t>
            </w:r>
          </w:p>
        </w:tc>
      </w:tr>
      <w:tr w:rsidR="00AD54A3" w:rsidRPr="00C403B6" w:rsidTr="00FD47C7">
        <w:trPr>
          <w:trHeight w:val="704"/>
        </w:trPr>
        <w:tc>
          <w:tcPr>
            <w:tcW w:w="3120" w:type="dxa"/>
          </w:tcPr>
          <w:p w:rsidR="00AD54A3" w:rsidRPr="00C403B6" w:rsidRDefault="00AD54A3" w:rsidP="00FD47C7">
            <w:pPr>
              <w:jc w:val="center"/>
              <w:rPr>
                <w:rFonts w:ascii="Calibri" w:eastAsia="Calibri" w:hAnsi="Calibri" w:cs="Calibri"/>
                <w:sz w:val="16"/>
                <w:szCs w:val="16"/>
              </w:rPr>
            </w:pPr>
            <w:r w:rsidRPr="00C403B6">
              <w:rPr>
                <w:rFonts w:ascii="Calibri" w:eastAsia="Calibri" w:hAnsi="Calibri" w:cs="Calibri"/>
                <w:sz w:val="16"/>
                <w:szCs w:val="16"/>
              </w:rPr>
              <w:t>Składniki wpływające na szybkość wiązania i twardnienia mieszanek  związanych   hydraulicznie</w:t>
            </w:r>
          </w:p>
        </w:tc>
        <w:tc>
          <w:tcPr>
            <w:tcW w:w="1275" w:type="dxa"/>
          </w:tcPr>
          <w:p w:rsidR="00AD54A3" w:rsidRPr="00C403B6" w:rsidRDefault="00AD54A3" w:rsidP="00FD47C7">
            <w:pPr>
              <w:jc w:val="center"/>
              <w:rPr>
                <w:rFonts w:ascii="Calibri" w:eastAsia="Calibri" w:hAnsi="Calibri" w:cs="Calibri"/>
                <w:sz w:val="16"/>
                <w:szCs w:val="16"/>
              </w:rPr>
            </w:pPr>
            <w:r w:rsidRPr="00C403B6">
              <w:rPr>
                <w:rFonts w:ascii="Calibri" w:eastAsia="Calibri" w:hAnsi="Calibri" w:cs="Calibri"/>
                <w:sz w:val="16"/>
                <w:szCs w:val="16"/>
              </w:rPr>
              <w:t>PN-EN</w:t>
            </w:r>
          </w:p>
          <w:p w:rsidR="00AD54A3" w:rsidRPr="00C403B6" w:rsidRDefault="00AD54A3" w:rsidP="00FD47C7">
            <w:pPr>
              <w:jc w:val="center"/>
              <w:rPr>
                <w:rFonts w:ascii="Calibri" w:eastAsia="Calibri" w:hAnsi="Calibri" w:cs="Calibri"/>
                <w:sz w:val="16"/>
                <w:szCs w:val="16"/>
              </w:rPr>
            </w:pPr>
            <w:r w:rsidRPr="00C403B6">
              <w:rPr>
                <w:rFonts w:ascii="Calibri" w:eastAsia="Calibri" w:hAnsi="Calibri" w:cs="Calibri"/>
                <w:sz w:val="16"/>
                <w:szCs w:val="16"/>
              </w:rPr>
              <w:t>1744-1</w:t>
            </w:r>
          </w:p>
        </w:tc>
        <w:tc>
          <w:tcPr>
            <w:tcW w:w="1134" w:type="dxa"/>
          </w:tcPr>
          <w:p w:rsidR="00AD54A3" w:rsidRPr="00C403B6" w:rsidRDefault="00AD54A3" w:rsidP="00FD47C7">
            <w:pPr>
              <w:jc w:val="center"/>
              <w:rPr>
                <w:rFonts w:ascii="Calibri" w:eastAsia="Calibri" w:hAnsi="Calibri" w:cs="Calibri"/>
                <w:sz w:val="16"/>
                <w:szCs w:val="16"/>
              </w:rPr>
            </w:pPr>
            <w:r w:rsidRPr="00C403B6">
              <w:rPr>
                <w:rFonts w:ascii="Calibri" w:eastAsia="Calibri" w:hAnsi="Calibri" w:cs="Calibri"/>
                <w:sz w:val="16"/>
                <w:szCs w:val="16"/>
              </w:rPr>
              <w:t>6.4.1</w:t>
            </w:r>
          </w:p>
        </w:tc>
        <w:tc>
          <w:tcPr>
            <w:tcW w:w="3685" w:type="dxa"/>
            <w:gridSpan w:val="4"/>
          </w:tcPr>
          <w:p w:rsidR="00AD54A3" w:rsidRPr="00C403B6" w:rsidRDefault="00AD54A3" w:rsidP="00FD47C7">
            <w:pPr>
              <w:jc w:val="center"/>
              <w:rPr>
                <w:rFonts w:ascii="Calibri" w:eastAsia="Calibri" w:hAnsi="Calibri" w:cs="Calibri"/>
                <w:sz w:val="16"/>
                <w:szCs w:val="16"/>
              </w:rPr>
            </w:pPr>
            <w:r w:rsidRPr="00C403B6">
              <w:rPr>
                <w:rFonts w:ascii="Calibri" w:eastAsia="Calibri" w:hAnsi="Calibri" w:cs="Calibri"/>
                <w:sz w:val="16"/>
                <w:szCs w:val="16"/>
              </w:rPr>
              <w:t>Deklarowana</w:t>
            </w:r>
          </w:p>
        </w:tc>
      </w:tr>
      <w:tr w:rsidR="00AD54A3" w:rsidRPr="00C403B6" w:rsidTr="00FD47C7">
        <w:trPr>
          <w:trHeight w:val="685"/>
        </w:trPr>
        <w:tc>
          <w:tcPr>
            <w:tcW w:w="3120" w:type="dxa"/>
          </w:tcPr>
          <w:p w:rsidR="00AD54A3" w:rsidRPr="00C403B6" w:rsidRDefault="00AD54A3" w:rsidP="00FD47C7">
            <w:pPr>
              <w:jc w:val="center"/>
              <w:rPr>
                <w:rFonts w:ascii="Calibri" w:eastAsia="Calibri" w:hAnsi="Calibri" w:cs="Calibri"/>
                <w:sz w:val="16"/>
                <w:szCs w:val="16"/>
              </w:rPr>
            </w:pPr>
            <w:r w:rsidRPr="00C403B6">
              <w:rPr>
                <w:rFonts w:ascii="Calibri" w:eastAsia="Calibri" w:hAnsi="Calibri" w:cs="Calibri"/>
                <w:sz w:val="16"/>
                <w:szCs w:val="16"/>
              </w:rPr>
              <w:t>Stałość objętości żużla stalowniczego</w:t>
            </w:r>
          </w:p>
        </w:tc>
        <w:tc>
          <w:tcPr>
            <w:tcW w:w="1275" w:type="dxa"/>
          </w:tcPr>
          <w:p w:rsidR="00AD54A3" w:rsidRPr="00C403B6" w:rsidRDefault="00AD54A3" w:rsidP="00FD47C7">
            <w:pPr>
              <w:jc w:val="center"/>
              <w:rPr>
                <w:rFonts w:ascii="Calibri" w:eastAsia="Calibri" w:hAnsi="Calibri" w:cs="Calibri"/>
                <w:sz w:val="16"/>
                <w:szCs w:val="16"/>
              </w:rPr>
            </w:pPr>
            <w:r w:rsidRPr="00C403B6">
              <w:rPr>
                <w:rFonts w:ascii="Calibri" w:eastAsia="Calibri" w:hAnsi="Calibri" w:cs="Calibri"/>
                <w:sz w:val="16"/>
                <w:szCs w:val="16"/>
              </w:rPr>
              <w:t>PN-EN 1744-1, roz. 19.3</w:t>
            </w:r>
          </w:p>
        </w:tc>
        <w:tc>
          <w:tcPr>
            <w:tcW w:w="1134" w:type="dxa"/>
          </w:tcPr>
          <w:p w:rsidR="00AD54A3" w:rsidRPr="00C403B6" w:rsidRDefault="00AD54A3" w:rsidP="00FD47C7">
            <w:pPr>
              <w:jc w:val="center"/>
              <w:rPr>
                <w:rFonts w:ascii="Calibri" w:eastAsia="Calibri" w:hAnsi="Calibri" w:cs="Calibri"/>
                <w:sz w:val="16"/>
                <w:szCs w:val="16"/>
              </w:rPr>
            </w:pPr>
            <w:r w:rsidRPr="00C403B6">
              <w:rPr>
                <w:rFonts w:ascii="Calibri" w:eastAsia="Calibri" w:hAnsi="Calibri" w:cs="Calibri"/>
                <w:sz w:val="16"/>
                <w:szCs w:val="16"/>
              </w:rPr>
              <w:t>6.4.2.1</w:t>
            </w:r>
          </w:p>
        </w:tc>
        <w:tc>
          <w:tcPr>
            <w:tcW w:w="3685" w:type="dxa"/>
            <w:gridSpan w:val="4"/>
          </w:tcPr>
          <w:p w:rsidR="00AD54A3" w:rsidRPr="00C403B6" w:rsidRDefault="00AD54A3" w:rsidP="00FD47C7">
            <w:pPr>
              <w:jc w:val="center"/>
              <w:rPr>
                <w:rFonts w:ascii="Calibri" w:eastAsia="Calibri" w:hAnsi="Calibri" w:cs="Calibri"/>
                <w:sz w:val="16"/>
                <w:szCs w:val="16"/>
              </w:rPr>
            </w:pPr>
            <w:r w:rsidRPr="00C403B6">
              <w:rPr>
                <w:rFonts w:ascii="Calibri" w:eastAsia="Calibri" w:hAnsi="Calibri" w:cs="Calibri"/>
                <w:sz w:val="16"/>
                <w:szCs w:val="16"/>
              </w:rPr>
              <w:t>Kat. V5 (tj. pęcznienie ≤ 5 % objętości). Dotyczy żużla z klasycznego pieca tlenowego i elektrycznego pieca łukowego</w:t>
            </w:r>
          </w:p>
        </w:tc>
      </w:tr>
      <w:tr w:rsidR="00AD54A3" w:rsidRPr="00C403B6" w:rsidTr="00FD47C7">
        <w:trPr>
          <w:trHeight w:val="411"/>
        </w:trPr>
        <w:tc>
          <w:tcPr>
            <w:tcW w:w="3120" w:type="dxa"/>
          </w:tcPr>
          <w:p w:rsidR="00AD54A3" w:rsidRPr="00C403B6" w:rsidRDefault="00AD54A3" w:rsidP="00FD47C7">
            <w:pPr>
              <w:jc w:val="center"/>
              <w:rPr>
                <w:rFonts w:ascii="Calibri" w:eastAsia="Calibri" w:hAnsi="Calibri" w:cs="Calibri"/>
                <w:sz w:val="16"/>
                <w:szCs w:val="16"/>
              </w:rPr>
            </w:pPr>
            <w:r w:rsidRPr="00C403B6">
              <w:rPr>
                <w:rFonts w:ascii="Calibri" w:eastAsia="Calibri" w:hAnsi="Calibri" w:cs="Calibri"/>
                <w:sz w:val="16"/>
                <w:szCs w:val="16"/>
              </w:rPr>
              <w:t>Rozpad krzemianowy w żużlu wielkopiec. kawałkowym</w:t>
            </w:r>
          </w:p>
        </w:tc>
        <w:tc>
          <w:tcPr>
            <w:tcW w:w="1275" w:type="dxa"/>
          </w:tcPr>
          <w:p w:rsidR="00AD54A3" w:rsidRPr="00C403B6" w:rsidRDefault="00AD54A3" w:rsidP="00FD47C7">
            <w:pPr>
              <w:jc w:val="center"/>
              <w:rPr>
                <w:rFonts w:ascii="Calibri" w:eastAsia="Calibri" w:hAnsi="Calibri" w:cs="Calibri"/>
                <w:sz w:val="16"/>
                <w:szCs w:val="16"/>
              </w:rPr>
            </w:pPr>
            <w:r w:rsidRPr="00C403B6">
              <w:rPr>
                <w:rFonts w:ascii="Calibri" w:eastAsia="Calibri" w:hAnsi="Calibri" w:cs="Calibri"/>
                <w:sz w:val="16"/>
                <w:szCs w:val="16"/>
              </w:rPr>
              <w:t>PN-EN 1744-1, p. 19.1</w:t>
            </w:r>
          </w:p>
        </w:tc>
        <w:tc>
          <w:tcPr>
            <w:tcW w:w="1134" w:type="dxa"/>
          </w:tcPr>
          <w:p w:rsidR="00AD54A3" w:rsidRPr="00C403B6" w:rsidRDefault="00AD54A3" w:rsidP="00FD47C7">
            <w:pPr>
              <w:jc w:val="center"/>
              <w:rPr>
                <w:rFonts w:ascii="Calibri" w:eastAsia="Calibri" w:hAnsi="Calibri" w:cs="Calibri"/>
                <w:sz w:val="16"/>
                <w:szCs w:val="16"/>
              </w:rPr>
            </w:pPr>
            <w:r w:rsidRPr="00C403B6">
              <w:rPr>
                <w:rFonts w:ascii="Calibri" w:eastAsia="Calibri" w:hAnsi="Calibri" w:cs="Calibri"/>
                <w:sz w:val="16"/>
                <w:szCs w:val="16"/>
              </w:rPr>
              <w:t>6.4.2.2</w:t>
            </w:r>
          </w:p>
        </w:tc>
        <w:tc>
          <w:tcPr>
            <w:tcW w:w="3685" w:type="dxa"/>
            <w:gridSpan w:val="4"/>
          </w:tcPr>
          <w:p w:rsidR="00AD54A3" w:rsidRPr="00C403B6" w:rsidRDefault="00AD54A3" w:rsidP="00FD47C7">
            <w:pPr>
              <w:jc w:val="center"/>
              <w:rPr>
                <w:rFonts w:ascii="Calibri" w:eastAsia="Calibri" w:hAnsi="Calibri" w:cs="Calibri"/>
                <w:sz w:val="16"/>
                <w:szCs w:val="16"/>
              </w:rPr>
            </w:pPr>
            <w:r w:rsidRPr="00C403B6">
              <w:rPr>
                <w:rFonts w:ascii="Calibri" w:eastAsia="Calibri" w:hAnsi="Calibri" w:cs="Calibri"/>
                <w:sz w:val="16"/>
                <w:szCs w:val="16"/>
              </w:rPr>
              <w:t>Brak rozpadu</w:t>
            </w:r>
          </w:p>
        </w:tc>
      </w:tr>
      <w:tr w:rsidR="00AD54A3" w:rsidRPr="00C403B6" w:rsidTr="00FD47C7">
        <w:trPr>
          <w:trHeight w:val="418"/>
        </w:trPr>
        <w:tc>
          <w:tcPr>
            <w:tcW w:w="3120" w:type="dxa"/>
          </w:tcPr>
          <w:p w:rsidR="00AD54A3" w:rsidRPr="00C403B6" w:rsidRDefault="00AD54A3" w:rsidP="00FD47C7">
            <w:pPr>
              <w:jc w:val="center"/>
              <w:rPr>
                <w:rFonts w:ascii="Calibri" w:eastAsia="Calibri" w:hAnsi="Calibri" w:cs="Calibri"/>
                <w:sz w:val="16"/>
                <w:szCs w:val="16"/>
              </w:rPr>
            </w:pPr>
            <w:r w:rsidRPr="00C403B6">
              <w:rPr>
                <w:rFonts w:ascii="Calibri" w:eastAsia="Calibri" w:hAnsi="Calibri" w:cs="Calibri"/>
                <w:sz w:val="16"/>
                <w:szCs w:val="16"/>
              </w:rPr>
              <w:t>Rozpad żelazawy w żużlu wielkopiec. kawałkowym</w:t>
            </w:r>
          </w:p>
        </w:tc>
        <w:tc>
          <w:tcPr>
            <w:tcW w:w="1275" w:type="dxa"/>
          </w:tcPr>
          <w:p w:rsidR="00AD54A3" w:rsidRPr="00C403B6" w:rsidRDefault="00AD54A3" w:rsidP="00FD47C7">
            <w:pPr>
              <w:jc w:val="center"/>
              <w:rPr>
                <w:rFonts w:ascii="Calibri" w:eastAsia="Calibri" w:hAnsi="Calibri" w:cs="Calibri"/>
                <w:sz w:val="16"/>
                <w:szCs w:val="16"/>
              </w:rPr>
            </w:pPr>
            <w:r w:rsidRPr="00C403B6">
              <w:rPr>
                <w:rFonts w:ascii="Calibri" w:eastAsia="Calibri" w:hAnsi="Calibri" w:cs="Calibri"/>
                <w:sz w:val="16"/>
                <w:szCs w:val="16"/>
              </w:rPr>
              <w:t>PN-EN 1744-1, p.19.2</w:t>
            </w:r>
          </w:p>
        </w:tc>
        <w:tc>
          <w:tcPr>
            <w:tcW w:w="1134" w:type="dxa"/>
          </w:tcPr>
          <w:p w:rsidR="00AD54A3" w:rsidRPr="00C403B6" w:rsidRDefault="00AD54A3" w:rsidP="00FD47C7">
            <w:pPr>
              <w:jc w:val="center"/>
              <w:rPr>
                <w:rFonts w:ascii="Calibri" w:eastAsia="Calibri" w:hAnsi="Calibri" w:cs="Calibri"/>
                <w:sz w:val="16"/>
                <w:szCs w:val="16"/>
              </w:rPr>
            </w:pPr>
            <w:r w:rsidRPr="00C403B6">
              <w:rPr>
                <w:rFonts w:ascii="Calibri" w:eastAsia="Calibri" w:hAnsi="Calibri" w:cs="Calibri"/>
                <w:sz w:val="16"/>
                <w:szCs w:val="16"/>
              </w:rPr>
              <w:t>6.4.2.3</w:t>
            </w:r>
          </w:p>
        </w:tc>
        <w:tc>
          <w:tcPr>
            <w:tcW w:w="3685" w:type="dxa"/>
            <w:gridSpan w:val="4"/>
          </w:tcPr>
          <w:p w:rsidR="00AD54A3" w:rsidRPr="00C403B6" w:rsidRDefault="00AD54A3" w:rsidP="00FD47C7">
            <w:pPr>
              <w:jc w:val="center"/>
              <w:rPr>
                <w:rFonts w:ascii="Calibri" w:eastAsia="Calibri" w:hAnsi="Calibri" w:cs="Calibri"/>
                <w:sz w:val="16"/>
                <w:szCs w:val="16"/>
              </w:rPr>
            </w:pPr>
            <w:r w:rsidRPr="00C403B6">
              <w:rPr>
                <w:rFonts w:ascii="Calibri" w:eastAsia="Calibri" w:hAnsi="Calibri" w:cs="Calibri"/>
                <w:sz w:val="16"/>
                <w:szCs w:val="16"/>
              </w:rPr>
              <w:t>Brak rozpadu</w:t>
            </w:r>
          </w:p>
        </w:tc>
      </w:tr>
      <w:tr w:rsidR="00AD54A3" w:rsidRPr="00C403B6" w:rsidTr="00FD47C7">
        <w:trPr>
          <w:trHeight w:val="545"/>
        </w:trPr>
        <w:tc>
          <w:tcPr>
            <w:tcW w:w="3120" w:type="dxa"/>
          </w:tcPr>
          <w:p w:rsidR="00AD54A3" w:rsidRPr="00C403B6" w:rsidRDefault="00AD54A3" w:rsidP="00FD47C7">
            <w:pPr>
              <w:jc w:val="center"/>
              <w:rPr>
                <w:rFonts w:ascii="Calibri" w:eastAsia="Calibri" w:hAnsi="Calibri" w:cs="Calibri"/>
                <w:sz w:val="16"/>
                <w:szCs w:val="16"/>
              </w:rPr>
            </w:pPr>
            <w:r w:rsidRPr="00C403B6">
              <w:rPr>
                <w:rFonts w:ascii="Calibri" w:eastAsia="Calibri" w:hAnsi="Calibri" w:cs="Calibri"/>
                <w:sz w:val="16"/>
                <w:szCs w:val="16"/>
              </w:rPr>
              <w:t>Składniki rozpuszczalne w wodzie</w:t>
            </w:r>
          </w:p>
        </w:tc>
        <w:tc>
          <w:tcPr>
            <w:tcW w:w="1275" w:type="dxa"/>
          </w:tcPr>
          <w:p w:rsidR="00AD54A3" w:rsidRPr="00C403B6" w:rsidRDefault="00AD54A3" w:rsidP="00FD47C7">
            <w:pPr>
              <w:jc w:val="center"/>
              <w:rPr>
                <w:rFonts w:ascii="Calibri" w:eastAsia="Calibri" w:hAnsi="Calibri" w:cs="Calibri"/>
                <w:sz w:val="16"/>
                <w:szCs w:val="16"/>
              </w:rPr>
            </w:pPr>
            <w:r w:rsidRPr="00C403B6">
              <w:rPr>
                <w:rFonts w:ascii="Calibri" w:eastAsia="Calibri" w:hAnsi="Calibri" w:cs="Calibri"/>
                <w:sz w:val="16"/>
                <w:szCs w:val="16"/>
              </w:rPr>
              <w:t>PN-EN 1744-3</w:t>
            </w:r>
          </w:p>
        </w:tc>
        <w:tc>
          <w:tcPr>
            <w:tcW w:w="1134" w:type="dxa"/>
          </w:tcPr>
          <w:p w:rsidR="00AD54A3" w:rsidRPr="00C403B6" w:rsidRDefault="00AD54A3" w:rsidP="00FD47C7">
            <w:pPr>
              <w:jc w:val="center"/>
              <w:rPr>
                <w:rFonts w:ascii="Calibri" w:eastAsia="Calibri" w:hAnsi="Calibri" w:cs="Calibri"/>
                <w:sz w:val="16"/>
                <w:szCs w:val="16"/>
              </w:rPr>
            </w:pPr>
            <w:r w:rsidRPr="00C403B6">
              <w:rPr>
                <w:rFonts w:ascii="Calibri" w:eastAsia="Calibri" w:hAnsi="Calibri" w:cs="Calibri"/>
                <w:sz w:val="16"/>
                <w:szCs w:val="16"/>
              </w:rPr>
              <w:t>6.4.3</w:t>
            </w:r>
          </w:p>
        </w:tc>
        <w:tc>
          <w:tcPr>
            <w:tcW w:w="3685" w:type="dxa"/>
            <w:gridSpan w:val="4"/>
          </w:tcPr>
          <w:p w:rsidR="00AD54A3" w:rsidRPr="00C403B6" w:rsidRDefault="00AD54A3" w:rsidP="00FD47C7">
            <w:pPr>
              <w:jc w:val="center"/>
              <w:rPr>
                <w:rFonts w:ascii="Calibri" w:eastAsia="Calibri" w:hAnsi="Calibri" w:cs="Calibri"/>
                <w:sz w:val="16"/>
                <w:szCs w:val="16"/>
              </w:rPr>
            </w:pPr>
            <w:r w:rsidRPr="00C403B6">
              <w:rPr>
                <w:rFonts w:ascii="Calibri" w:eastAsia="Calibri" w:hAnsi="Calibri" w:cs="Calibri"/>
                <w:sz w:val="16"/>
                <w:szCs w:val="16"/>
              </w:rPr>
              <w:t>Brak substancji szkodliwych dla środowiska wg odrębnych przepisów</w:t>
            </w:r>
          </w:p>
        </w:tc>
      </w:tr>
      <w:tr w:rsidR="00AD54A3" w:rsidRPr="00C403B6" w:rsidTr="00FD47C7">
        <w:trPr>
          <w:trHeight w:val="553"/>
        </w:trPr>
        <w:tc>
          <w:tcPr>
            <w:tcW w:w="3120" w:type="dxa"/>
          </w:tcPr>
          <w:p w:rsidR="00AD54A3" w:rsidRPr="00C403B6" w:rsidRDefault="00AD54A3" w:rsidP="00FD47C7">
            <w:pPr>
              <w:jc w:val="center"/>
              <w:rPr>
                <w:rFonts w:ascii="Calibri" w:eastAsia="Calibri" w:hAnsi="Calibri" w:cs="Calibri"/>
                <w:sz w:val="16"/>
                <w:szCs w:val="16"/>
              </w:rPr>
            </w:pPr>
            <w:r w:rsidRPr="00C403B6">
              <w:rPr>
                <w:rFonts w:ascii="Calibri" w:eastAsia="Calibri" w:hAnsi="Calibri" w:cs="Calibri"/>
                <w:sz w:val="16"/>
                <w:szCs w:val="16"/>
              </w:rPr>
              <w:t>Zanieczyszczenia</w:t>
            </w:r>
          </w:p>
        </w:tc>
        <w:tc>
          <w:tcPr>
            <w:tcW w:w="1275" w:type="dxa"/>
          </w:tcPr>
          <w:p w:rsidR="00AD54A3" w:rsidRPr="00C403B6" w:rsidRDefault="00AD54A3" w:rsidP="00FD47C7">
            <w:pPr>
              <w:jc w:val="center"/>
              <w:rPr>
                <w:rFonts w:ascii="Calibri" w:eastAsia="Calibri" w:hAnsi="Calibri" w:cs="Calibri"/>
                <w:sz w:val="16"/>
                <w:szCs w:val="16"/>
              </w:rPr>
            </w:pPr>
            <w:r w:rsidRPr="00C403B6">
              <w:rPr>
                <w:rFonts w:ascii="Calibri" w:eastAsia="Calibri" w:hAnsi="Calibri" w:cs="Calibri"/>
                <w:sz w:val="16"/>
                <w:szCs w:val="16"/>
              </w:rPr>
              <w:t>-</w:t>
            </w:r>
          </w:p>
        </w:tc>
        <w:tc>
          <w:tcPr>
            <w:tcW w:w="1134" w:type="dxa"/>
          </w:tcPr>
          <w:p w:rsidR="00AD54A3" w:rsidRPr="00C403B6" w:rsidRDefault="00AD54A3" w:rsidP="00FD47C7">
            <w:pPr>
              <w:jc w:val="center"/>
              <w:rPr>
                <w:rFonts w:ascii="Calibri" w:eastAsia="Calibri" w:hAnsi="Calibri" w:cs="Calibri"/>
                <w:sz w:val="16"/>
                <w:szCs w:val="16"/>
              </w:rPr>
            </w:pPr>
            <w:r w:rsidRPr="00C403B6">
              <w:rPr>
                <w:rFonts w:ascii="Calibri" w:eastAsia="Calibri" w:hAnsi="Calibri" w:cs="Calibri"/>
                <w:sz w:val="16"/>
                <w:szCs w:val="16"/>
              </w:rPr>
              <w:t>6.4.4</w:t>
            </w:r>
          </w:p>
        </w:tc>
        <w:tc>
          <w:tcPr>
            <w:tcW w:w="3685" w:type="dxa"/>
            <w:gridSpan w:val="4"/>
          </w:tcPr>
          <w:p w:rsidR="00AD54A3" w:rsidRPr="00C403B6" w:rsidRDefault="00AD54A3" w:rsidP="00FD47C7">
            <w:pPr>
              <w:jc w:val="center"/>
              <w:rPr>
                <w:rFonts w:ascii="Calibri" w:eastAsia="Calibri" w:hAnsi="Calibri" w:cs="Calibri"/>
                <w:sz w:val="16"/>
                <w:szCs w:val="16"/>
              </w:rPr>
            </w:pPr>
            <w:r w:rsidRPr="00C403B6">
              <w:rPr>
                <w:rFonts w:ascii="Calibri" w:eastAsia="Calibri" w:hAnsi="Calibri" w:cs="Calibri"/>
                <w:sz w:val="16"/>
                <w:szCs w:val="16"/>
              </w:rPr>
              <w:t>Brak ciał obcych takich jak drewno, szkło i plastik, mogących pogorszyć wyrób końcowy</w:t>
            </w:r>
          </w:p>
        </w:tc>
      </w:tr>
      <w:tr w:rsidR="00AD54A3" w:rsidRPr="00C403B6" w:rsidTr="00FD47C7">
        <w:trPr>
          <w:trHeight w:val="560"/>
        </w:trPr>
        <w:tc>
          <w:tcPr>
            <w:tcW w:w="3120" w:type="dxa"/>
          </w:tcPr>
          <w:p w:rsidR="00AD54A3" w:rsidRPr="00C403B6" w:rsidRDefault="00AD54A3" w:rsidP="00FD47C7">
            <w:pPr>
              <w:jc w:val="center"/>
              <w:rPr>
                <w:rFonts w:ascii="Calibri" w:eastAsia="Calibri" w:hAnsi="Calibri" w:cs="Calibri"/>
                <w:sz w:val="16"/>
                <w:szCs w:val="16"/>
              </w:rPr>
            </w:pPr>
            <w:r w:rsidRPr="00C403B6">
              <w:rPr>
                <w:rFonts w:ascii="Calibri" w:eastAsia="Calibri" w:hAnsi="Calibri" w:cs="Calibri"/>
                <w:sz w:val="16"/>
                <w:szCs w:val="16"/>
              </w:rPr>
              <w:t>Zgorzel słoneczna bazaltu</w:t>
            </w:r>
          </w:p>
        </w:tc>
        <w:tc>
          <w:tcPr>
            <w:tcW w:w="1275" w:type="dxa"/>
          </w:tcPr>
          <w:p w:rsidR="00AD54A3" w:rsidRPr="00C403B6" w:rsidRDefault="00AD54A3" w:rsidP="00FD47C7">
            <w:pPr>
              <w:jc w:val="center"/>
              <w:rPr>
                <w:rFonts w:ascii="Calibri" w:eastAsia="Calibri" w:hAnsi="Calibri" w:cs="Calibri"/>
                <w:sz w:val="16"/>
                <w:szCs w:val="16"/>
              </w:rPr>
            </w:pPr>
            <w:r w:rsidRPr="00C403B6">
              <w:rPr>
                <w:rFonts w:ascii="Calibri" w:eastAsia="Calibri" w:hAnsi="Calibri" w:cs="Calibri"/>
                <w:sz w:val="16"/>
                <w:szCs w:val="16"/>
              </w:rPr>
              <w:t>PN-EN 1367-3 i PN-EN 1097-2</w:t>
            </w:r>
          </w:p>
        </w:tc>
        <w:tc>
          <w:tcPr>
            <w:tcW w:w="1134" w:type="dxa"/>
          </w:tcPr>
          <w:p w:rsidR="00AD54A3" w:rsidRPr="00C403B6" w:rsidRDefault="00AD54A3" w:rsidP="00FD47C7">
            <w:pPr>
              <w:jc w:val="center"/>
              <w:rPr>
                <w:rFonts w:ascii="Calibri" w:eastAsia="Calibri" w:hAnsi="Calibri" w:cs="Calibri"/>
                <w:sz w:val="16"/>
                <w:szCs w:val="16"/>
              </w:rPr>
            </w:pPr>
            <w:r w:rsidRPr="00C403B6">
              <w:rPr>
                <w:rFonts w:ascii="Calibri" w:eastAsia="Calibri" w:hAnsi="Calibri" w:cs="Calibri"/>
                <w:sz w:val="16"/>
                <w:szCs w:val="16"/>
              </w:rPr>
              <w:t>7.2</w:t>
            </w:r>
          </w:p>
        </w:tc>
        <w:tc>
          <w:tcPr>
            <w:tcW w:w="3685" w:type="dxa"/>
            <w:gridSpan w:val="4"/>
          </w:tcPr>
          <w:p w:rsidR="00AD54A3" w:rsidRPr="00C403B6" w:rsidRDefault="00AD54A3" w:rsidP="00FD47C7">
            <w:pPr>
              <w:jc w:val="center"/>
              <w:rPr>
                <w:rFonts w:ascii="Calibri" w:eastAsia="Calibri" w:hAnsi="Calibri" w:cs="Calibri"/>
                <w:sz w:val="16"/>
                <w:szCs w:val="16"/>
              </w:rPr>
            </w:pPr>
            <w:r w:rsidRPr="00C403B6">
              <w:rPr>
                <w:rFonts w:ascii="Calibri" w:eastAsia="Calibri" w:hAnsi="Calibri" w:cs="Calibri"/>
                <w:sz w:val="16"/>
                <w:szCs w:val="16"/>
              </w:rPr>
              <w:t>Kat. SBLA (tj. wzrost współczynnika Los Angeles po gotowaniu ≤ 8%)</w:t>
            </w:r>
          </w:p>
        </w:tc>
      </w:tr>
      <w:tr w:rsidR="00AD54A3" w:rsidRPr="00C403B6" w:rsidTr="00FD47C7">
        <w:trPr>
          <w:trHeight w:val="838"/>
        </w:trPr>
        <w:tc>
          <w:tcPr>
            <w:tcW w:w="3120" w:type="dxa"/>
          </w:tcPr>
          <w:p w:rsidR="00AD54A3" w:rsidRPr="00C403B6" w:rsidRDefault="00AD54A3" w:rsidP="00FD47C7">
            <w:pPr>
              <w:jc w:val="center"/>
              <w:rPr>
                <w:rFonts w:ascii="Calibri" w:eastAsia="Calibri" w:hAnsi="Calibri" w:cs="Calibri"/>
                <w:sz w:val="16"/>
                <w:szCs w:val="16"/>
              </w:rPr>
            </w:pPr>
            <w:r w:rsidRPr="00C403B6">
              <w:rPr>
                <w:rFonts w:ascii="Calibri" w:eastAsia="Calibri" w:hAnsi="Calibri" w:cs="Calibri"/>
                <w:sz w:val="16"/>
                <w:szCs w:val="16"/>
              </w:rPr>
              <w:lastRenderedPageBreak/>
              <w:t>Nasiąkliwość</w:t>
            </w:r>
          </w:p>
          <w:p w:rsidR="00AD54A3" w:rsidRPr="00C403B6" w:rsidRDefault="00AD54A3" w:rsidP="00FD47C7">
            <w:pPr>
              <w:jc w:val="center"/>
              <w:rPr>
                <w:rFonts w:ascii="Calibri" w:eastAsia="Calibri" w:hAnsi="Calibri" w:cs="Calibri"/>
                <w:sz w:val="16"/>
                <w:szCs w:val="16"/>
              </w:rPr>
            </w:pPr>
            <w:r w:rsidRPr="00C403B6">
              <w:rPr>
                <w:rFonts w:ascii="Calibri" w:eastAsia="Calibri" w:hAnsi="Calibri" w:cs="Calibri"/>
                <w:sz w:val="16"/>
                <w:szCs w:val="16"/>
              </w:rPr>
              <w:t>(Jeśli kruszywo nie spełni warunku W242, to należy zbadać jego mrozoodporność wg p. 7.3.3 – wiersz poniżej)</w:t>
            </w:r>
          </w:p>
        </w:tc>
        <w:tc>
          <w:tcPr>
            <w:tcW w:w="1275" w:type="dxa"/>
          </w:tcPr>
          <w:p w:rsidR="00AD54A3" w:rsidRPr="00C403B6" w:rsidRDefault="00AD54A3" w:rsidP="00FD47C7">
            <w:pPr>
              <w:jc w:val="center"/>
              <w:rPr>
                <w:rFonts w:ascii="Calibri" w:eastAsia="Calibri" w:hAnsi="Calibri" w:cs="Calibri"/>
                <w:sz w:val="16"/>
                <w:szCs w:val="16"/>
              </w:rPr>
            </w:pPr>
            <w:r w:rsidRPr="00C403B6">
              <w:rPr>
                <w:rFonts w:ascii="Calibri" w:eastAsia="Calibri" w:hAnsi="Calibri" w:cs="Calibri"/>
                <w:sz w:val="16"/>
                <w:szCs w:val="16"/>
              </w:rPr>
              <w:t>PN-EN 1097-6, roz. 7</w:t>
            </w:r>
          </w:p>
        </w:tc>
        <w:tc>
          <w:tcPr>
            <w:tcW w:w="1134" w:type="dxa"/>
          </w:tcPr>
          <w:p w:rsidR="00AD54A3" w:rsidRPr="00C403B6" w:rsidRDefault="00AD54A3" w:rsidP="00FD47C7">
            <w:pPr>
              <w:jc w:val="center"/>
              <w:rPr>
                <w:rFonts w:ascii="Calibri" w:eastAsia="Calibri" w:hAnsi="Calibri" w:cs="Calibri"/>
                <w:sz w:val="16"/>
                <w:szCs w:val="16"/>
              </w:rPr>
            </w:pPr>
            <w:r w:rsidRPr="00C403B6">
              <w:rPr>
                <w:rFonts w:ascii="Calibri" w:eastAsia="Calibri" w:hAnsi="Calibri" w:cs="Calibri"/>
                <w:sz w:val="16"/>
                <w:szCs w:val="16"/>
              </w:rPr>
              <w:t>7.3.2</w:t>
            </w:r>
          </w:p>
        </w:tc>
        <w:tc>
          <w:tcPr>
            <w:tcW w:w="3685" w:type="dxa"/>
            <w:gridSpan w:val="4"/>
          </w:tcPr>
          <w:p w:rsidR="00AD54A3" w:rsidRPr="00C403B6" w:rsidRDefault="00AD54A3" w:rsidP="00FD47C7">
            <w:pPr>
              <w:jc w:val="center"/>
              <w:rPr>
                <w:rFonts w:ascii="Calibri" w:eastAsia="Calibri" w:hAnsi="Calibri" w:cs="Calibri"/>
                <w:sz w:val="16"/>
                <w:szCs w:val="16"/>
              </w:rPr>
            </w:pPr>
            <w:r w:rsidRPr="00C403B6">
              <w:rPr>
                <w:rFonts w:ascii="Calibri" w:eastAsia="Calibri" w:hAnsi="Calibri" w:cs="Calibri"/>
                <w:sz w:val="16"/>
                <w:szCs w:val="16"/>
              </w:rPr>
              <w:t>Kat. W242 (tj. maksymalna wartość nasiąkliwości ≤ 2% masy)</w:t>
            </w:r>
          </w:p>
        </w:tc>
      </w:tr>
      <w:tr w:rsidR="00AD54A3" w:rsidRPr="00C403B6" w:rsidTr="00FD47C7">
        <w:tc>
          <w:tcPr>
            <w:tcW w:w="3120" w:type="dxa"/>
          </w:tcPr>
          <w:p w:rsidR="00AD54A3" w:rsidRPr="00C403B6" w:rsidRDefault="00AD54A3" w:rsidP="00FD47C7">
            <w:pPr>
              <w:jc w:val="center"/>
              <w:rPr>
                <w:rFonts w:ascii="Calibri" w:eastAsia="Calibri" w:hAnsi="Calibri" w:cs="Calibri"/>
                <w:sz w:val="16"/>
                <w:szCs w:val="16"/>
              </w:rPr>
            </w:pPr>
            <w:r w:rsidRPr="00C403B6">
              <w:rPr>
                <w:rFonts w:ascii="Calibri" w:eastAsia="Calibri" w:hAnsi="Calibri" w:cs="Calibri"/>
                <w:sz w:val="16"/>
                <w:szCs w:val="16"/>
              </w:rPr>
              <w:t>Mrozoodporność na kruszywa frakcji 8/16 mm  (Badanie</w:t>
            </w:r>
            <w:r>
              <w:rPr>
                <w:rFonts w:ascii="Calibri" w:eastAsia="Calibri" w:hAnsi="Calibri" w:cs="Calibri"/>
                <w:sz w:val="16"/>
                <w:szCs w:val="16"/>
              </w:rPr>
              <w:t xml:space="preserve"> </w:t>
            </w:r>
            <w:r w:rsidRPr="00C403B6">
              <w:rPr>
                <w:rFonts w:ascii="Calibri" w:eastAsia="Calibri" w:hAnsi="Calibri" w:cs="Calibri"/>
                <w:sz w:val="16"/>
                <w:szCs w:val="16"/>
              </w:rPr>
              <w:t>wykonywane tylko w przypadku, gdy nasiąkliwość kruszywa przekracza WA242)</w:t>
            </w:r>
          </w:p>
        </w:tc>
        <w:tc>
          <w:tcPr>
            <w:tcW w:w="1275" w:type="dxa"/>
          </w:tcPr>
          <w:p w:rsidR="00AD54A3" w:rsidRPr="00C403B6" w:rsidRDefault="00AD54A3" w:rsidP="00FD47C7">
            <w:pPr>
              <w:jc w:val="center"/>
              <w:rPr>
                <w:rFonts w:ascii="Calibri" w:eastAsia="Calibri" w:hAnsi="Calibri" w:cs="Calibri"/>
                <w:sz w:val="16"/>
                <w:szCs w:val="16"/>
              </w:rPr>
            </w:pPr>
            <w:r w:rsidRPr="00C403B6">
              <w:rPr>
                <w:rFonts w:ascii="Calibri" w:eastAsia="Calibri" w:hAnsi="Calibri" w:cs="Calibri"/>
                <w:sz w:val="16"/>
                <w:szCs w:val="16"/>
              </w:rPr>
              <w:t>PN-EN 1367-1</w:t>
            </w:r>
          </w:p>
        </w:tc>
        <w:tc>
          <w:tcPr>
            <w:tcW w:w="1134" w:type="dxa"/>
          </w:tcPr>
          <w:p w:rsidR="00AD54A3" w:rsidRPr="00C403B6" w:rsidRDefault="00AD54A3" w:rsidP="00FD47C7">
            <w:pPr>
              <w:jc w:val="center"/>
              <w:rPr>
                <w:rFonts w:ascii="Calibri" w:eastAsia="Calibri" w:hAnsi="Calibri" w:cs="Calibri"/>
                <w:sz w:val="16"/>
                <w:szCs w:val="16"/>
              </w:rPr>
            </w:pPr>
            <w:r w:rsidRPr="00C403B6">
              <w:rPr>
                <w:rFonts w:ascii="Calibri" w:eastAsia="Calibri" w:hAnsi="Calibri" w:cs="Calibri"/>
                <w:sz w:val="16"/>
                <w:szCs w:val="16"/>
              </w:rPr>
              <w:t>7.3.3</w:t>
            </w:r>
          </w:p>
        </w:tc>
        <w:tc>
          <w:tcPr>
            <w:tcW w:w="2142" w:type="dxa"/>
            <w:gridSpan w:val="3"/>
          </w:tcPr>
          <w:p w:rsidR="00AD54A3" w:rsidRPr="00C403B6" w:rsidRDefault="00AD54A3" w:rsidP="00FD47C7">
            <w:pPr>
              <w:jc w:val="center"/>
              <w:rPr>
                <w:rFonts w:ascii="Calibri" w:eastAsia="Calibri" w:hAnsi="Calibri" w:cs="Calibri"/>
                <w:sz w:val="16"/>
                <w:szCs w:val="16"/>
              </w:rPr>
            </w:pPr>
            <w:r w:rsidRPr="00C403B6">
              <w:rPr>
                <w:rFonts w:ascii="Calibri" w:eastAsia="Calibri" w:hAnsi="Calibri" w:cs="Calibri"/>
                <w:sz w:val="16"/>
                <w:szCs w:val="16"/>
              </w:rPr>
              <w:t xml:space="preserve">Skały magmowe i </w:t>
            </w:r>
            <w:r>
              <w:rPr>
                <w:rFonts w:ascii="Calibri" w:eastAsia="Calibri" w:hAnsi="Calibri" w:cs="Calibri"/>
                <w:sz w:val="16"/>
                <w:szCs w:val="16"/>
              </w:rPr>
              <w:t>p</w:t>
            </w:r>
            <w:r w:rsidRPr="00C403B6">
              <w:rPr>
                <w:rFonts w:ascii="Calibri" w:eastAsia="Calibri" w:hAnsi="Calibri" w:cs="Calibri"/>
                <w:sz w:val="16"/>
                <w:szCs w:val="16"/>
              </w:rPr>
              <w:t>rzeobrażone: kat. F4 (tj. zamrażanie</w:t>
            </w:r>
            <w:r>
              <w:rPr>
                <w:rFonts w:ascii="Calibri" w:eastAsia="Calibri" w:hAnsi="Calibri" w:cs="Calibri"/>
                <w:sz w:val="16"/>
                <w:szCs w:val="16"/>
              </w:rPr>
              <w:t>-</w:t>
            </w:r>
            <w:r w:rsidRPr="00C403B6">
              <w:rPr>
                <w:rFonts w:ascii="Calibri" w:eastAsia="Calibri" w:hAnsi="Calibri" w:cs="Calibri"/>
                <w:sz w:val="16"/>
                <w:szCs w:val="16"/>
              </w:rPr>
              <w:t>rozmrażanie ≤ 4% masy), skały osadowe: kat. F10, kruszywa z recyklingu: kat. F10 (F25***)</w:t>
            </w:r>
          </w:p>
        </w:tc>
        <w:tc>
          <w:tcPr>
            <w:tcW w:w="1543" w:type="dxa"/>
          </w:tcPr>
          <w:p w:rsidR="00AD54A3" w:rsidRPr="00C403B6" w:rsidRDefault="00AD54A3" w:rsidP="00FD47C7">
            <w:pPr>
              <w:jc w:val="center"/>
              <w:rPr>
                <w:rFonts w:ascii="Calibri" w:eastAsia="Calibri" w:hAnsi="Calibri" w:cs="Calibri"/>
                <w:sz w:val="16"/>
                <w:szCs w:val="16"/>
              </w:rPr>
            </w:pPr>
            <w:r w:rsidRPr="00C403B6">
              <w:rPr>
                <w:rFonts w:ascii="Calibri" w:eastAsia="Calibri" w:hAnsi="Calibri" w:cs="Calibri"/>
                <w:sz w:val="16"/>
                <w:szCs w:val="16"/>
              </w:rPr>
              <w:t>Kat. F4 (tj. zamrażanie-rozmrażanie ≤ 4%)</w:t>
            </w:r>
          </w:p>
        </w:tc>
      </w:tr>
      <w:tr w:rsidR="00AD54A3" w:rsidRPr="00C403B6" w:rsidTr="00FD47C7">
        <w:trPr>
          <w:trHeight w:val="370"/>
        </w:trPr>
        <w:tc>
          <w:tcPr>
            <w:tcW w:w="3120" w:type="dxa"/>
          </w:tcPr>
          <w:p w:rsidR="00AD54A3" w:rsidRPr="00C403B6" w:rsidRDefault="00AD54A3" w:rsidP="00FD47C7">
            <w:pPr>
              <w:jc w:val="center"/>
              <w:rPr>
                <w:rFonts w:ascii="Calibri" w:eastAsia="Calibri" w:hAnsi="Calibri" w:cs="Calibri"/>
                <w:sz w:val="16"/>
                <w:szCs w:val="16"/>
              </w:rPr>
            </w:pPr>
            <w:r w:rsidRPr="00C403B6">
              <w:rPr>
                <w:rFonts w:ascii="Calibri" w:eastAsia="Calibri" w:hAnsi="Calibri" w:cs="Calibri"/>
                <w:sz w:val="16"/>
                <w:szCs w:val="16"/>
              </w:rPr>
              <w:t>Skład mineralogiczny</w:t>
            </w:r>
          </w:p>
        </w:tc>
        <w:tc>
          <w:tcPr>
            <w:tcW w:w="1275" w:type="dxa"/>
          </w:tcPr>
          <w:p w:rsidR="00AD54A3" w:rsidRPr="00C403B6" w:rsidRDefault="00AD54A3" w:rsidP="00FD47C7">
            <w:pPr>
              <w:jc w:val="center"/>
              <w:rPr>
                <w:rFonts w:ascii="Calibri" w:eastAsia="Calibri" w:hAnsi="Calibri" w:cs="Calibri"/>
                <w:sz w:val="16"/>
                <w:szCs w:val="16"/>
              </w:rPr>
            </w:pPr>
            <w:r w:rsidRPr="00C403B6">
              <w:rPr>
                <w:rFonts w:ascii="Calibri" w:eastAsia="Calibri" w:hAnsi="Calibri" w:cs="Calibri"/>
                <w:sz w:val="16"/>
                <w:szCs w:val="16"/>
              </w:rPr>
              <w:t>-</w:t>
            </w:r>
          </w:p>
        </w:tc>
        <w:tc>
          <w:tcPr>
            <w:tcW w:w="1134" w:type="dxa"/>
          </w:tcPr>
          <w:p w:rsidR="00AD54A3" w:rsidRPr="00C403B6" w:rsidRDefault="00AD54A3" w:rsidP="00FD47C7">
            <w:pPr>
              <w:jc w:val="center"/>
              <w:rPr>
                <w:rFonts w:ascii="Calibri" w:eastAsia="Calibri" w:hAnsi="Calibri" w:cs="Calibri"/>
                <w:sz w:val="16"/>
                <w:szCs w:val="16"/>
              </w:rPr>
            </w:pPr>
            <w:r w:rsidRPr="00C403B6">
              <w:rPr>
                <w:rFonts w:ascii="Calibri" w:eastAsia="Calibri" w:hAnsi="Calibri" w:cs="Calibri"/>
                <w:sz w:val="16"/>
                <w:szCs w:val="16"/>
              </w:rPr>
              <w:t>Zał. C</w:t>
            </w:r>
          </w:p>
          <w:p w:rsidR="00AD54A3" w:rsidRPr="00C403B6" w:rsidRDefault="00AD54A3" w:rsidP="00FD47C7">
            <w:pPr>
              <w:jc w:val="center"/>
              <w:rPr>
                <w:rFonts w:ascii="Calibri" w:eastAsia="Calibri" w:hAnsi="Calibri" w:cs="Calibri"/>
                <w:sz w:val="16"/>
                <w:szCs w:val="16"/>
              </w:rPr>
            </w:pPr>
            <w:r w:rsidRPr="00C403B6">
              <w:rPr>
                <w:rFonts w:ascii="Calibri" w:eastAsia="Calibri" w:hAnsi="Calibri" w:cs="Calibri"/>
                <w:sz w:val="16"/>
                <w:szCs w:val="16"/>
              </w:rPr>
              <w:t>p.C3.4</w:t>
            </w:r>
          </w:p>
        </w:tc>
        <w:tc>
          <w:tcPr>
            <w:tcW w:w="3685" w:type="dxa"/>
            <w:gridSpan w:val="4"/>
          </w:tcPr>
          <w:p w:rsidR="00AD54A3" w:rsidRPr="00C403B6" w:rsidRDefault="00AD54A3" w:rsidP="00FD47C7">
            <w:pPr>
              <w:jc w:val="center"/>
              <w:rPr>
                <w:rFonts w:ascii="Calibri" w:eastAsia="Calibri" w:hAnsi="Calibri" w:cs="Calibri"/>
                <w:sz w:val="16"/>
                <w:szCs w:val="16"/>
              </w:rPr>
            </w:pPr>
            <w:r w:rsidRPr="00C403B6">
              <w:rPr>
                <w:rFonts w:ascii="Calibri" w:eastAsia="Calibri" w:hAnsi="Calibri" w:cs="Calibri"/>
                <w:sz w:val="16"/>
                <w:szCs w:val="16"/>
              </w:rPr>
              <w:t>Deklarowany</w:t>
            </w:r>
          </w:p>
        </w:tc>
      </w:tr>
      <w:tr w:rsidR="00AD54A3" w:rsidRPr="00C403B6" w:rsidTr="00FD47C7">
        <w:trPr>
          <w:trHeight w:val="1382"/>
        </w:trPr>
        <w:tc>
          <w:tcPr>
            <w:tcW w:w="3120" w:type="dxa"/>
          </w:tcPr>
          <w:p w:rsidR="00AD54A3" w:rsidRPr="00C403B6" w:rsidRDefault="00AD54A3" w:rsidP="00FD47C7">
            <w:pPr>
              <w:jc w:val="center"/>
              <w:rPr>
                <w:rFonts w:ascii="Calibri" w:eastAsia="Calibri" w:hAnsi="Calibri" w:cs="Calibri"/>
                <w:sz w:val="16"/>
                <w:szCs w:val="16"/>
              </w:rPr>
            </w:pPr>
            <w:r w:rsidRPr="00C403B6">
              <w:rPr>
                <w:rFonts w:ascii="Calibri" w:eastAsia="Calibri" w:hAnsi="Calibri" w:cs="Calibri"/>
                <w:sz w:val="16"/>
                <w:szCs w:val="16"/>
              </w:rPr>
              <w:t>Istotne cechy środowiskowe</w:t>
            </w:r>
          </w:p>
        </w:tc>
        <w:tc>
          <w:tcPr>
            <w:tcW w:w="1275" w:type="dxa"/>
          </w:tcPr>
          <w:p w:rsidR="00AD54A3" w:rsidRPr="00C403B6" w:rsidRDefault="00AD54A3" w:rsidP="00FD47C7">
            <w:pPr>
              <w:jc w:val="center"/>
              <w:rPr>
                <w:rFonts w:ascii="Calibri" w:eastAsia="Calibri" w:hAnsi="Calibri" w:cs="Calibri"/>
                <w:sz w:val="16"/>
                <w:szCs w:val="16"/>
              </w:rPr>
            </w:pPr>
            <w:r w:rsidRPr="00C403B6">
              <w:rPr>
                <w:rFonts w:ascii="Calibri" w:eastAsia="Calibri" w:hAnsi="Calibri" w:cs="Calibri"/>
                <w:sz w:val="16"/>
                <w:szCs w:val="16"/>
              </w:rPr>
              <w:t>-</w:t>
            </w:r>
          </w:p>
        </w:tc>
        <w:tc>
          <w:tcPr>
            <w:tcW w:w="1134" w:type="dxa"/>
          </w:tcPr>
          <w:p w:rsidR="00AD54A3" w:rsidRPr="00C403B6" w:rsidRDefault="00AD54A3" w:rsidP="00FD47C7">
            <w:pPr>
              <w:jc w:val="center"/>
              <w:rPr>
                <w:rFonts w:ascii="Calibri" w:eastAsia="Calibri" w:hAnsi="Calibri" w:cs="Calibri"/>
                <w:sz w:val="16"/>
                <w:szCs w:val="16"/>
              </w:rPr>
            </w:pPr>
            <w:r w:rsidRPr="00C403B6">
              <w:rPr>
                <w:rFonts w:ascii="Calibri" w:eastAsia="Calibri" w:hAnsi="Calibri" w:cs="Calibri"/>
                <w:sz w:val="16"/>
                <w:szCs w:val="16"/>
              </w:rPr>
              <w:t>Zał. C</w:t>
            </w:r>
          </w:p>
          <w:p w:rsidR="00AD54A3" w:rsidRPr="00C403B6" w:rsidRDefault="00AD54A3" w:rsidP="00FD47C7">
            <w:pPr>
              <w:jc w:val="center"/>
              <w:rPr>
                <w:rFonts w:ascii="Calibri" w:eastAsia="Calibri" w:hAnsi="Calibri" w:cs="Calibri"/>
                <w:sz w:val="16"/>
                <w:szCs w:val="16"/>
              </w:rPr>
            </w:pPr>
            <w:r w:rsidRPr="00C403B6">
              <w:rPr>
                <w:rFonts w:ascii="Calibri" w:eastAsia="Calibri" w:hAnsi="Calibri" w:cs="Calibri"/>
                <w:sz w:val="16"/>
                <w:szCs w:val="16"/>
              </w:rPr>
              <w:t>Pkt</w:t>
            </w:r>
            <w:r>
              <w:rPr>
                <w:rFonts w:ascii="Calibri" w:eastAsia="Calibri" w:hAnsi="Calibri" w:cs="Calibri"/>
                <w:sz w:val="16"/>
                <w:szCs w:val="16"/>
              </w:rPr>
              <w:t xml:space="preserve"> </w:t>
            </w:r>
            <w:r w:rsidRPr="00C403B6">
              <w:rPr>
                <w:rFonts w:ascii="Calibri" w:eastAsia="Calibri" w:hAnsi="Calibri" w:cs="Calibri"/>
                <w:sz w:val="16"/>
                <w:szCs w:val="16"/>
              </w:rPr>
              <w:t>C.3.4</w:t>
            </w:r>
          </w:p>
        </w:tc>
        <w:tc>
          <w:tcPr>
            <w:tcW w:w="3685" w:type="dxa"/>
            <w:gridSpan w:val="4"/>
          </w:tcPr>
          <w:p w:rsidR="00AD54A3" w:rsidRPr="00C403B6" w:rsidRDefault="00AD54A3" w:rsidP="00FD47C7">
            <w:pPr>
              <w:jc w:val="center"/>
              <w:rPr>
                <w:rFonts w:ascii="Calibri" w:eastAsia="Calibri" w:hAnsi="Calibri" w:cs="Calibri"/>
                <w:sz w:val="16"/>
                <w:szCs w:val="16"/>
              </w:rPr>
            </w:pPr>
            <w:r w:rsidRPr="00C403B6">
              <w:rPr>
                <w:rFonts w:ascii="Calibri" w:eastAsia="Calibri" w:hAnsi="Calibri" w:cs="Calibri"/>
                <w:sz w:val="16"/>
                <w:szCs w:val="16"/>
              </w:rPr>
              <w:t>Większość substancji niebezpiecznych określonych w dyrektywie Rady 76/769/EWG zazwyczaj nie występuje w źródłach kruszywa pochodzenia mineralnego. Jednak w odniesieniu do kruszyw sztucznych i odpadowych należy badać czy zawartość substancji niebezpiecznych nie przekracza wartości dopuszczalnych wg odrębnych przepisów</w:t>
            </w:r>
          </w:p>
        </w:tc>
      </w:tr>
    </w:tbl>
    <w:p w:rsidR="00AD54A3" w:rsidRPr="00C403B6" w:rsidRDefault="00AD54A3" w:rsidP="00AD54A3">
      <w:pPr>
        <w:rPr>
          <w:rFonts w:ascii="Calibri" w:eastAsia="Calibri" w:hAnsi="Calibri" w:cs="Calibri"/>
        </w:rPr>
      </w:pPr>
      <w:r w:rsidRPr="00C403B6">
        <w:rPr>
          <w:rFonts w:ascii="Calibri" w:eastAsia="Calibri" w:hAnsi="Calibri" w:cs="Calibri"/>
        </w:rPr>
        <w:t>Skróty użyte w tablicy: Kat. – kategoria właściwości,  Dekl – deklarowana, wsk. – wskaźnik, wsp. – współczynnik, roz. -rozdział</w:t>
      </w:r>
    </w:p>
    <w:p w:rsidR="00AD54A3" w:rsidRPr="00E4644B" w:rsidRDefault="00AD54A3" w:rsidP="00AD54A3">
      <w:pPr>
        <w:rPr>
          <w:rFonts w:ascii="Calibri" w:eastAsia="Calibri" w:hAnsi="Calibri" w:cs="Calibri"/>
          <w:i/>
          <w:sz w:val="16"/>
          <w:szCs w:val="16"/>
        </w:rPr>
      </w:pPr>
      <w:r w:rsidRPr="00E4644B">
        <w:rPr>
          <w:rFonts w:ascii="Calibri" w:eastAsia="Calibri" w:hAnsi="Calibri" w:cs="Calibri"/>
          <w:i/>
          <w:sz w:val="16"/>
          <w:szCs w:val="16"/>
        </w:rPr>
        <w:t>*)      Badaniem wzorcowym oznaczania kształtu kruszywa grubego jest badanie wskaźnika płaskości</w:t>
      </w:r>
    </w:p>
    <w:p w:rsidR="00AD54A3" w:rsidRPr="00E4644B" w:rsidRDefault="00AD54A3" w:rsidP="00AD54A3">
      <w:pPr>
        <w:rPr>
          <w:rFonts w:ascii="Calibri" w:eastAsia="Calibri" w:hAnsi="Calibri" w:cs="Calibri"/>
          <w:i/>
          <w:sz w:val="16"/>
          <w:szCs w:val="16"/>
        </w:rPr>
      </w:pPr>
      <w:r w:rsidRPr="00E4644B">
        <w:rPr>
          <w:rFonts w:ascii="Calibri" w:eastAsia="Calibri" w:hAnsi="Calibri" w:cs="Calibri"/>
          <w:i/>
          <w:sz w:val="16"/>
          <w:szCs w:val="16"/>
        </w:rPr>
        <w:t xml:space="preserve">**)    Łączna zawartość pyłów w mieszance powinna się mieścić w wybranych krzywych granicznych </w:t>
      </w:r>
    </w:p>
    <w:p w:rsidR="00AD54A3" w:rsidRPr="00E4644B" w:rsidRDefault="00AD54A3" w:rsidP="00AD54A3">
      <w:pPr>
        <w:rPr>
          <w:rFonts w:ascii="Calibri" w:eastAsia="Calibri" w:hAnsi="Calibri" w:cs="Calibri"/>
          <w:sz w:val="16"/>
          <w:szCs w:val="16"/>
        </w:rPr>
      </w:pPr>
      <w:r w:rsidRPr="00E4644B">
        <w:rPr>
          <w:rFonts w:ascii="Calibri" w:eastAsia="Calibri" w:hAnsi="Calibri" w:cs="Calibri"/>
          <w:i/>
          <w:sz w:val="16"/>
          <w:szCs w:val="16"/>
        </w:rPr>
        <w:t>***)  Pod warunkiem, gdy zawartość w mieszance nie przekracza 50% m</w:t>
      </w:r>
      <w:r w:rsidRPr="00E4644B">
        <w:rPr>
          <w:rFonts w:ascii="Calibri" w:eastAsia="Calibri" w:hAnsi="Calibri" w:cs="Calibri"/>
          <w:sz w:val="16"/>
          <w:szCs w:val="16"/>
        </w:rPr>
        <w:t>/m</w:t>
      </w:r>
    </w:p>
    <w:p w:rsidR="00AD54A3" w:rsidRPr="00E4644B" w:rsidRDefault="00AD54A3" w:rsidP="00AD54A3">
      <w:pPr>
        <w:rPr>
          <w:rFonts w:ascii="Calibri" w:eastAsia="Calibri" w:hAnsi="Calibri" w:cs="Calibri"/>
          <w:sz w:val="16"/>
          <w:szCs w:val="16"/>
        </w:rPr>
      </w:pPr>
    </w:p>
    <w:p w:rsidR="00AD54A3" w:rsidRPr="00E4644B" w:rsidRDefault="00AD54A3" w:rsidP="00AD54A3">
      <w:pPr>
        <w:rPr>
          <w:rFonts w:ascii="Calibri" w:hAnsi="Calibri" w:cs="Calibri"/>
        </w:rPr>
      </w:pPr>
      <w:r w:rsidRPr="00E4644B">
        <w:rPr>
          <w:rFonts w:ascii="Calibri" w:hAnsi="Calibri" w:cs="Calibri"/>
          <w:b/>
        </w:rPr>
        <w:t>2.2.4.</w:t>
      </w:r>
      <w:r w:rsidRPr="00E4644B">
        <w:rPr>
          <w:rFonts w:ascii="Calibri" w:hAnsi="Calibri" w:cs="Calibri"/>
        </w:rPr>
        <w:t xml:space="preserve"> Cement</w:t>
      </w:r>
    </w:p>
    <w:p w:rsidR="00AD54A3" w:rsidRPr="00E4644B" w:rsidRDefault="00AD54A3" w:rsidP="00AD54A3">
      <w:pPr>
        <w:rPr>
          <w:rFonts w:ascii="Calibri" w:hAnsi="Calibri" w:cs="Calibri"/>
        </w:rPr>
      </w:pPr>
      <w:r w:rsidRPr="00E4644B">
        <w:rPr>
          <w:rFonts w:ascii="Calibri" w:hAnsi="Calibri" w:cs="Calibri"/>
        </w:rPr>
        <w:tab/>
        <w:t>Należy stosować cement wg PN-EN 197-1, np. CEM I, klasy 32,5 N, 42,5 N, 52,5 N.</w:t>
      </w:r>
    </w:p>
    <w:p w:rsidR="00AD54A3" w:rsidRPr="00E4644B" w:rsidRDefault="00AD54A3" w:rsidP="00AD54A3">
      <w:pPr>
        <w:rPr>
          <w:rFonts w:ascii="Calibri" w:hAnsi="Calibri" w:cs="Calibri"/>
        </w:rPr>
      </w:pPr>
      <w:r w:rsidRPr="00E4644B">
        <w:rPr>
          <w:rFonts w:ascii="Calibri" w:hAnsi="Calibri" w:cs="Calibri"/>
        </w:rPr>
        <w:tab/>
        <w:t>Przechowywanie cementu dostarczonego:</w:t>
      </w:r>
    </w:p>
    <w:p w:rsidR="00AD54A3" w:rsidRPr="00E4644B" w:rsidRDefault="00AD54A3" w:rsidP="00AD54A3">
      <w:pPr>
        <w:rPr>
          <w:rFonts w:ascii="Calibri" w:hAnsi="Calibri" w:cs="Calibri"/>
        </w:rPr>
      </w:pPr>
      <w:r>
        <w:rPr>
          <w:rFonts w:ascii="Calibri" w:hAnsi="Calibri" w:cs="Calibri"/>
        </w:rPr>
        <w:t>-</w:t>
      </w:r>
      <w:r w:rsidRPr="00E4644B">
        <w:rPr>
          <w:rFonts w:ascii="Calibri" w:hAnsi="Calibri" w:cs="Calibri"/>
        </w:rPr>
        <w:t xml:space="preserve">w workach, co najmniej trzywarstwowych, o masie np. </w:t>
      </w:r>
      <w:smartTag w:uri="urn:schemas-microsoft-com:office:smarttags" w:element="metricconverter">
        <w:smartTagPr>
          <w:attr w:name="ProductID" w:val="50 kg"/>
        </w:smartTagPr>
        <w:r w:rsidRPr="00E4644B">
          <w:rPr>
            <w:rFonts w:ascii="Calibri" w:hAnsi="Calibri" w:cs="Calibri"/>
          </w:rPr>
          <w:t>50 kg</w:t>
        </w:r>
      </w:smartTag>
      <w:r w:rsidRPr="00E4644B">
        <w:rPr>
          <w:rFonts w:ascii="Calibri" w:hAnsi="Calibri" w:cs="Calibri"/>
        </w:rPr>
        <w:t xml:space="preserve"> – do 10 dni w miejscach zadaszonych na otwartym terenie o podłożu twardym i suchym oraz do terminu trwałości podanego przez producenta w pomieszczeniach o szczelnym dachu i ścianach oraz podłogach suchych i czystych. Cement na paletach magazynuje się z dopuszczalną wysokością 3 palet, cement niespaletowany układa się w stosy płaskie o liczbie 12 warstw (dla worków trzywarstwowych),</w:t>
      </w:r>
    </w:p>
    <w:p w:rsidR="00AD54A3" w:rsidRPr="00E4644B" w:rsidRDefault="00AD54A3" w:rsidP="00AD54A3">
      <w:pPr>
        <w:rPr>
          <w:rFonts w:ascii="Calibri" w:hAnsi="Calibri" w:cs="Calibri"/>
        </w:rPr>
      </w:pPr>
      <w:r>
        <w:rPr>
          <w:rFonts w:ascii="Calibri" w:hAnsi="Calibri" w:cs="Calibri"/>
        </w:rPr>
        <w:t>-</w:t>
      </w:r>
      <w:r w:rsidRPr="00E4644B">
        <w:rPr>
          <w:rFonts w:ascii="Calibri" w:hAnsi="Calibri" w:cs="Calibri"/>
        </w:rPr>
        <w:t>luzem – przechowuje się w magazynach specjalnych (zbiornikach stalowych, betonowych) przystosowanych do pneumatycznego załadowania i wyładowania.</w:t>
      </w:r>
    </w:p>
    <w:p w:rsidR="00AD54A3" w:rsidRPr="00E4644B" w:rsidRDefault="00AD54A3" w:rsidP="00AD54A3">
      <w:pPr>
        <w:rPr>
          <w:rFonts w:ascii="Calibri" w:hAnsi="Calibri" w:cs="Calibri"/>
        </w:rPr>
      </w:pPr>
      <w:r w:rsidRPr="00E4644B">
        <w:rPr>
          <w:rFonts w:ascii="Calibri" w:hAnsi="Calibri" w:cs="Calibri"/>
          <w:b/>
        </w:rPr>
        <w:t>2.2.5.</w:t>
      </w:r>
      <w:r w:rsidRPr="00E4644B">
        <w:rPr>
          <w:rFonts w:ascii="Calibri" w:hAnsi="Calibri" w:cs="Calibri"/>
        </w:rPr>
        <w:t xml:space="preserve"> Woda zarobowa</w:t>
      </w:r>
    </w:p>
    <w:p w:rsidR="00AD54A3" w:rsidRPr="00E4644B" w:rsidRDefault="00AD54A3" w:rsidP="00AD54A3">
      <w:pPr>
        <w:rPr>
          <w:rFonts w:ascii="Calibri" w:hAnsi="Calibri" w:cs="Calibri"/>
        </w:rPr>
      </w:pPr>
      <w:r w:rsidRPr="00E4644B">
        <w:rPr>
          <w:rFonts w:ascii="Calibri" w:hAnsi="Calibri" w:cs="Calibri"/>
        </w:rPr>
        <w:tab/>
        <w:t>Woda zarobowa powinna być zgodna z PN-EN 1008.</w:t>
      </w:r>
    </w:p>
    <w:p w:rsidR="00AD54A3" w:rsidRPr="00E4644B" w:rsidRDefault="00AD54A3" w:rsidP="00AD54A3">
      <w:pPr>
        <w:rPr>
          <w:rFonts w:ascii="Calibri" w:hAnsi="Calibri" w:cs="Calibri"/>
        </w:rPr>
      </w:pPr>
      <w:r w:rsidRPr="00E4644B">
        <w:rPr>
          <w:rFonts w:ascii="Calibri" w:hAnsi="Calibri" w:cs="Calibri"/>
          <w:b/>
        </w:rPr>
        <w:t>2.2.6.</w:t>
      </w:r>
      <w:r w:rsidRPr="00E4644B">
        <w:rPr>
          <w:rFonts w:ascii="Calibri" w:hAnsi="Calibri" w:cs="Calibri"/>
        </w:rPr>
        <w:t xml:space="preserve"> Dodatki</w:t>
      </w:r>
    </w:p>
    <w:p w:rsidR="00AD54A3" w:rsidRPr="00E4644B" w:rsidRDefault="00AD54A3" w:rsidP="00AD54A3">
      <w:pPr>
        <w:rPr>
          <w:rFonts w:ascii="Calibri" w:hAnsi="Calibri" w:cs="Calibri"/>
        </w:rPr>
      </w:pPr>
      <w:r w:rsidRPr="00E4644B">
        <w:rPr>
          <w:rFonts w:ascii="Calibri" w:hAnsi="Calibri" w:cs="Calibri"/>
        </w:rPr>
        <w:tab/>
        <w:t>W przypadkach uzasadnionych mieszanka może zawierać dodatki, które powinny być uwzględnione w projekcie mieszanki.</w:t>
      </w:r>
    </w:p>
    <w:p w:rsidR="00AD54A3" w:rsidRPr="00E4644B" w:rsidRDefault="00AD54A3" w:rsidP="00AD54A3">
      <w:pPr>
        <w:rPr>
          <w:rFonts w:ascii="Calibri" w:hAnsi="Calibri" w:cs="Calibri"/>
        </w:rPr>
      </w:pPr>
      <w:r w:rsidRPr="00E4644B">
        <w:rPr>
          <w:rFonts w:ascii="Calibri" w:hAnsi="Calibri" w:cs="Calibri"/>
        </w:rPr>
        <w:tab/>
        <w:t>Dodatki powinny być o sprawdzonym działaniu jak np. mielony granulowany żużel wielkopiecowy lub popiół lotny pod warunkiem, że odpowiada ona wymaganiom europejskiej lub krajowej aprobaty technicznej.</w:t>
      </w:r>
    </w:p>
    <w:p w:rsidR="00AD54A3" w:rsidRPr="00E4644B" w:rsidRDefault="00AD54A3" w:rsidP="00AD54A3">
      <w:pPr>
        <w:rPr>
          <w:rFonts w:ascii="Calibri" w:hAnsi="Calibri" w:cs="Calibri"/>
        </w:rPr>
      </w:pPr>
      <w:r w:rsidRPr="00E4644B">
        <w:rPr>
          <w:rFonts w:ascii="Calibri" w:hAnsi="Calibri" w:cs="Calibri"/>
          <w:b/>
        </w:rPr>
        <w:t>2.2.7.</w:t>
      </w:r>
      <w:r w:rsidRPr="00E4644B">
        <w:rPr>
          <w:rFonts w:ascii="Calibri" w:hAnsi="Calibri" w:cs="Calibri"/>
        </w:rPr>
        <w:t xml:space="preserve"> Domieszki</w:t>
      </w:r>
    </w:p>
    <w:p w:rsidR="00AD54A3" w:rsidRPr="00E4644B" w:rsidRDefault="00AD54A3" w:rsidP="00AD54A3">
      <w:pPr>
        <w:rPr>
          <w:rFonts w:ascii="Calibri" w:hAnsi="Calibri" w:cs="Calibri"/>
        </w:rPr>
      </w:pPr>
      <w:r w:rsidRPr="00E4644B">
        <w:rPr>
          <w:rFonts w:ascii="Calibri" w:hAnsi="Calibri" w:cs="Calibri"/>
        </w:rPr>
        <w:tab/>
        <w:t>Domieszki powinny być zgodne z PN-EN 934-2.</w:t>
      </w:r>
    </w:p>
    <w:p w:rsidR="00AD54A3" w:rsidRPr="00E4644B" w:rsidRDefault="00AD54A3" w:rsidP="00AD54A3">
      <w:pPr>
        <w:rPr>
          <w:rFonts w:ascii="Calibri" w:hAnsi="Calibri" w:cs="Calibri"/>
        </w:rPr>
      </w:pPr>
      <w:r w:rsidRPr="00E4644B">
        <w:rPr>
          <w:rFonts w:ascii="Calibri" w:hAnsi="Calibri" w:cs="Calibri"/>
        </w:rPr>
        <w:t>Jeżeli w mieszance przewiduje się zastosowanie środków przyspieszających lub opóźniających wiązanie, należy to uwzględnić przy projektowaniu składu mieszanki.</w:t>
      </w:r>
    </w:p>
    <w:p w:rsidR="00AD54A3" w:rsidRPr="00E4644B" w:rsidRDefault="00AD54A3" w:rsidP="00AD54A3">
      <w:pPr>
        <w:rPr>
          <w:rFonts w:ascii="Calibri" w:hAnsi="Calibri" w:cs="Calibri"/>
        </w:rPr>
      </w:pPr>
    </w:p>
    <w:p w:rsidR="00AD54A3" w:rsidRPr="00E4644B" w:rsidRDefault="00AD54A3" w:rsidP="00AD54A3">
      <w:pPr>
        <w:rPr>
          <w:rFonts w:ascii="Calibri" w:hAnsi="Calibri" w:cs="Calibri"/>
          <w:b/>
        </w:rPr>
      </w:pPr>
      <w:bookmarkStart w:id="1394" w:name="_Toc332010313"/>
      <w:r w:rsidRPr="00E4644B">
        <w:rPr>
          <w:rFonts w:ascii="Calibri" w:hAnsi="Calibri" w:cs="Calibri"/>
          <w:b/>
        </w:rPr>
        <w:t xml:space="preserve">3. </w:t>
      </w:r>
      <w:bookmarkEnd w:id="1394"/>
      <w:r w:rsidRPr="00E4644B">
        <w:rPr>
          <w:rFonts w:ascii="Calibri" w:hAnsi="Calibri" w:cs="Calibri"/>
          <w:b/>
        </w:rPr>
        <w:t>SPRZĘT</w:t>
      </w:r>
    </w:p>
    <w:p w:rsidR="00AD54A3" w:rsidRPr="00E4644B" w:rsidRDefault="00AD54A3" w:rsidP="00AD54A3">
      <w:pPr>
        <w:rPr>
          <w:rFonts w:ascii="Calibri" w:hAnsi="Calibri" w:cs="Calibri"/>
        </w:rPr>
      </w:pPr>
      <w:r w:rsidRPr="00E4644B">
        <w:rPr>
          <w:rFonts w:ascii="Calibri" w:hAnsi="Calibri" w:cs="Calibri"/>
          <w:b/>
        </w:rPr>
        <w:t>3.1.</w:t>
      </w:r>
      <w:r w:rsidRPr="00E4644B">
        <w:rPr>
          <w:rFonts w:ascii="Calibri" w:hAnsi="Calibri" w:cs="Calibri"/>
        </w:rPr>
        <w:t xml:space="preserve"> Ogólne wymagania dotyczące sprzętu</w:t>
      </w:r>
    </w:p>
    <w:p w:rsidR="00AD54A3" w:rsidRPr="00E4644B" w:rsidRDefault="00AD54A3" w:rsidP="00AD54A3">
      <w:pPr>
        <w:rPr>
          <w:rFonts w:ascii="Calibri" w:hAnsi="Calibri" w:cs="Calibri"/>
        </w:rPr>
      </w:pPr>
      <w:r w:rsidRPr="00E4644B">
        <w:rPr>
          <w:rFonts w:ascii="Calibri" w:hAnsi="Calibri" w:cs="Calibri"/>
        </w:rPr>
        <w:tab/>
        <w:t>Ogólne wymagania dotyczące sprzętu podano w ST  D-M-00.00.00 „Wymagania ogólne” pkt 3.</w:t>
      </w:r>
    </w:p>
    <w:p w:rsidR="00AD54A3" w:rsidRPr="00E4644B" w:rsidRDefault="00AD54A3" w:rsidP="00AD54A3">
      <w:pPr>
        <w:rPr>
          <w:rFonts w:ascii="Calibri" w:hAnsi="Calibri" w:cs="Calibri"/>
        </w:rPr>
      </w:pPr>
      <w:r w:rsidRPr="00E4644B">
        <w:rPr>
          <w:rFonts w:ascii="Calibri" w:hAnsi="Calibri" w:cs="Calibri"/>
          <w:b/>
        </w:rPr>
        <w:t>3.2.</w:t>
      </w:r>
      <w:r w:rsidRPr="00E4644B">
        <w:rPr>
          <w:rFonts w:ascii="Calibri" w:hAnsi="Calibri" w:cs="Calibri"/>
        </w:rPr>
        <w:t xml:space="preserve"> Sprzęt stosowany do wykonania robót</w:t>
      </w:r>
    </w:p>
    <w:p w:rsidR="00AD54A3" w:rsidRPr="00E4644B" w:rsidRDefault="00AD54A3" w:rsidP="00AD54A3">
      <w:pPr>
        <w:rPr>
          <w:rFonts w:ascii="Calibri" w:hAnsi="Calibri" w:cs="Calibri"/>
        </w:rPr>
      </w:pPr>
      <w:r w:rsidRPr="00E4644B">
        <w:rPr>
          <w:rFonts w:ascii="Calibri" w:hAnsi="Calibri" w:cs="Calibri"/>
        </w:rPr>
        <w:tab/>
        <w:t>Przy wykonywaniu robót Wykonawca w zależności od potrzeb, powinien wykazać się możliwością korzystania ze sprzętu dostosowanego do przyjętej metody robót, jak:</w:t>
      </w:r>
    </w:p>
    <w:p w:rsidR="00AD54A3" w:rsidRPr="00E4644B" w:rsidRDefault="00AD54A3" w:rsidP="00AD54A3">
      <w:pPr>
        <w:rPr>
          <w:rFonts w:ascii="Calibri" w:hAnsi="Calibri" w:cs="Calibri"/>
        </w:rPr>
      </w:pPr>
      <w:r>
        <w:rPr>
          <w:rFonts w:ascii="Calibri" w:hAnsi="Calibri" w:cs="Calibri"/>
        </w:rPr>
        <w:t>-</w:t>
      </w:r>
      <w:r w:rsidRPr="00E4644B">
        <w:rPr>
          <w:rFonts w:ascii="Calibri" w:hAnsi="Calibri" w:cs="Calibri"/>
        </w:rPr>
        <w:t>wytwórnia stacjonarna lub mobilna do wytwarzania mieszanki,</w:t>
      </w:r>
    </w:p>
    <w:p w:rsidR="00AD54A3" w:rsidRPr="00E4644B" w:rsidRDefault="00AD54A3" w:rsidP="00AD54A3">
      <w:pPr>
        <w:rPr>
          <w:rFonts w:ascii="Calibri" w:hAnsi="Calibri" w:cs="Calibri"/>
        </w:rPr>
      </w:pPr>
      <w:r>
        <w:rPr>
          <w:rFonts w:ascii="Calibri" w:hAnsi="Calibri" w:cs="Calibri"/>
        </w:rPr>
        <w:t>-</w:t>
      </w:r>
      <w:r w:rsidRPr="00E4644B">
        <w:rPr>
          <w:rFonts w:ascii="Calibri" w:hAnsi="Calibri" w:cs="Calibri"/>
        </w:rPr>
        <w:t>przewoźne zbiorniki na wodę,</w:t>
      </w:r>
    </w:p>
    <w:p w:rsidR="00AD54A3" w:rsidRPr="00E4644B" w:rsidRDefault="00AD54A3" w:rsidP="00AD54A3">
      <w:pPr>
        <w:rPr>
          <w:rFonts w:ascii="Calibri" w:hAnsi="Calibri" w:cs="Calibri"/>
        </w:rPr>
      </w:pPr>
      <w:r>
        <w:rPr>
          <w:rFonts w:ascii="Calibri" w:hAnsi="Calibri" w:cs="Calibri"/>
        </w:rPr>
        <w:t>-</w:t>
      </w:r>
      <w:r w:rsidRPr="00E4644B">
        <w:rPr>
          <w:rFonts w:ascii="Calibri" w:hAnsi="Calibri" w:cs="Calibri"/>
        </w:rPr>
        <w:t>układarki do rozkładania mieszanki lub równiarki,</w:t>
      </w:r>
    </w:p>
    <w:p w:rsidR="00AD54A3" w:rsidRPr="00E4644B" w:rsidRDefault="00AD54A3" w:rsidP="00AD54A3">
      <w:pPr>
        <w:rPr>
          <w:rFonts w:ascii="Calibri" w:hAnsi="Calibri" w:cs="Calibri"/>
        </w:rPr>
      </w:pPr>
      <w:r>
        <w:rPr>
          <w:rFonts w:ascii="Calibri" w:hAnsi="Calibri" w:cs="Calibri"/>
        </w:rPr>
        <w:t>-</w:t>
      </w:r>
      <w:r w:rsidRPr="00E4644B">
        <w:rPr>
          <w:rFonts w:ascii="Calibri" w:hAnsi="Calibri" w:cs="Calibri"/>
        </w:rPr>
        <w:t>walce wibracyjne, statyczne lub ogumione,</w:t>
      </w:r>
    </w:p>
    <w:p w:rsidR="00AD54A3" w:rsidRPr="00E4644B" w:rsidRDefault="00AD54A3" w:rsidP="00AD54A3">
      <w:pPr>
        <w:rPr>
          <w:rFonts w:ascii="Calibri" w:hAnsi="Calibri" w:cs="Calibri"/>
        </w:rPr>
      </w:pPr>
      <w:r>
        <w:rPr>
          <w:rFonts w:ascii="Calibri" w:hAnsi="Calibri" w:cs="Calibri"/>
        </w:rPr>
        <w:t>-</w:t>
      </w:r>
      <w:r w:rsidRPr="00E4644B">
        <w:rPr>
          <w:rFonts w:ascii="Calibri" w:hAnsi="Calibri" w:cs="Calibri"/>
        </w:rPr>
        <w:t>zagęszczarki płytowe, ubijaki mechaniczne lub małe walce wibracyjne do zagęszczania w miejscach trudno dostępnych.</w:t>
      </w:r>
    </w:p>
    <w:p w:rsidR="00AD54A3" w:rsidRPr="00E4644B" w:rsidRDefault="00AD54A3" w:rsidP="00AD54A3">
      <w:pPr>
        <w:ind w:firstLine="708"/>
        <w:rPr>
          <w:rFonts w:ascii="Calibri" w:hAnsi="Calibri" w:cs="Calibri"/>
        </w:rPr>
      </w:pPr>
      <w:r w:rsidRPr="00E4644B">
        <w:rPr>
          <w:rFonts w:ascii="Calibri" w:hAnsi="Calibri" w:cs="Calibri"/>
        </w:rPr>
        <w:t>Sprzęt powinien odpowiadać wymaganiom określonym w dokumentacji projektowej</w:t>
      </w:r>
      <w:r>
        <w:rPr>
          <w:rFonts w:ascii="Calibri" w:hAnsi="Calibri" w:cs="Calibri"/>
        </w:rPr>
        <w:t>,</w:t>
      </w:r>
      <w:r w:rsidRPr="00E4644B">
        <w:rPr>
          <w:rFonts w:ascii="Calibri" w:hAnsi="Calibri" w:cs="Calibri"/>
        </w:rPr>
        <w:t xml:space="preserve"> instrukcjach producentów lub propozycji Wykonawcy i powinien być zaakceptowany przez Inżyniera.</w:t>
      </w:r>
    </w:p>
    <w:p w:rsidR="00AD54A3" w:rsidRDefault="00AD54A3" w:rsidP="00AD54A3">
      <w:pPr>
        <w:rPr>
          <w:rFonts w:ascii="Calibri" w:hAnsi="Calibri" w:cs="Calibri"/>
        </w:rPr>
      </w:pPr>
    </w:p>
    <w:p w:rsidR="00054F0C" w:rsidRPr="00E4644B" w:rsidRDefault="00054F0C" w:rsidP="00AD54A3">
      <w:pPr>
        <w:rPr>
          <w:rFonts w:ascii="Calibri" w:hAnsi="Calibri" w:cs="Calibri"/>
        </w:rPr>
      </w:pPr>
    </w:p>
    <w:p w:rsidR="00AD54A3" w:rsidRPr="00E4644B" w:rsidRDefault="00AD54A3" w:rsidP="00AD54A3">
      <w:pPr>
        <w:rPr>
          <w:rFonts w:ascii="Calibri" w:hAnsi="Calibri" w:cs="Calibri"/>
          <w:b/>
        </w:rPr>
      </w:pPr>
      <w:bookmarkStart w:id="1395" w:name="_Toc332010314"/>
      <w:r w:rsidRPr="00E4644B">
        <w:rPr>
          <w:rFonts w:ascii="Calibri" w:hAnsi="Calibri" w:cs="Calibri"/>
          <w:b/>
        </w:rPr>
        <w:lastRenderedPageBreak/>
        <w:t>4. TRANSPORT</w:t>
      </w:r>
      <w:bookmarkEnd w:id="1395"/>
    </w:p>
    <w:p w:rsidR="00AD54A3" w:rsidRPr="00E4644B" w:rsidRDefault="00AD54A3" w:rsidP="00AD54A3">
      <w:pPr>
        <w:rPr>
          <w:rFonts w:ascii="Calibri" w:hAnsi="Calibri" w:cs="Calibri"/>
        </w:rPr>
      </w:pPr>
      <w:r w:rsidRPr="00E4644B">
        <w:rPr>
          <w:rFonts w:ascii="Calibri" w:hAnsi="Calibri" w:cs="Calibri"/>
          <w:b/>
        </w:rPr>
        <w:t>4.1.</w:t>
      </w:r>
      <w:r w:rsidRPr="00E4644B">
        <w:rPr>
          <w:rFonts w:ascii="Calibri" w:hAnsi="Calibri" w:cs="Calibri"/>
        </w:rPr>
        <w:t xml:space="preserve"> Ogólne wymagania dotyczące transportu </w:t>
      </w:r>
    </w:p>
    <w:p w:rsidR="00AD54A3" w:rsidRPr="00E4644B" w:rsidRDefault="00AD54A3" w:rsidP="00AD54A3">
      <w:pPr>
        <w:rPr>
          <w:rFonts w:ascii="Calibri" w:hAnsi="Calibri" w:cs="Calibri"/>
        </w:rPr>
      </w:pPr>
      <w:r>
        <w:rPr>
          <w:rFonts w:ascii="Calibri" w:hAnsi="Calibri" w:cs="Calibri"/>
        </w:rPr>
        <w:tab/>
      </w:r>
      <w:r w:rsidRPr="00E4644B">
        <w:rPr>
          <w:rFonts w:ascii="Calibri" w:hAnsi="Calibri" w:cs="Calibri"/>
        </w:rPr>
        <w:t>Ogólne wymagania dotyczące transportu podano w ST D-M-00.00.00 „Wymagania ogólne” pkt 4.</w:t>
      </w:r>
    </w:p>
    <w:p w:rsidR="00AD54A3" w:rsidRPr="00E4644B" w:rsidRDefault="00AD54A3" w:rsidP="00AD54A3">
      <w:pPr>
        <w:rPr>
          <w:rFonts w:ascii="Calibri" w:hAnsi="Calibri" w:cs="Calibri"/>
        </w:rPr>
      </w:pPr>
      <w:r w:rsidRPr="00E4644B">
        <w:rPr>
          <w:rFonts w:ascii="Calibri" w:hAnsi="Calibri" w:cs="Calibri"/>
          <w:b/>
        </w:rPr>
        <w:t>4.2.</w:t>
      </w:r>
      <w:r w:rsidRPr="00E4644B">
        <w:rPr>
          <w:rFonts w:ascii="Calibri" w:hAnsi="Calibri" w:cs="Calibri"/>
        </w:rPr>
        <w:t xml:space="preserve"> Transport materiałów</w:t>
      </w:r>
    </w:p>
    <w:p w:rsidR="00AD54A3" w:rsidRPr="00E4644B" w:rsidRDefault="00AD54A3" w:rsidP="00AD54A3">
      <w:pPr>
        <w:rPr>
          <w:rFonts w:ascii="Calibri" w:hAnsi="Calibri" w:cs="Calibri"/>
        </w:rPr>
      </w:pPr>
      <w:r w:rsidRPr="00E4644B">
        <w:rPr>
          <w:rFonts w:ascii="Calibri" w:hAnsi="Calibri" w:cs="Calibri"/>
        </w:rPr>
        <w:tab/>
        <w:t>Materiały sypkie można przewozić dowolnymi środkami transportu, w warunkach zabezpieczających je przed  zanieczyszczeniem, zmieszaniem z innymi materiałami i nadmiernym zawilgoceniem.</w:t>
      </w:r>
    </w:p>
    <w:p w:rsidR="00AD54A3" w:rsidRPr="00E4644B" w:rsidRDefault="00AD54A3" w:rsidP="00AD54A3">
      <w:pPr>
        <w:rPr>
          <w:rFonts w:ascii="Calibri" w:hAnsi="Calibri" w:cs="Calibri"/>
        </w:rPr>
      </w:pPr>
      <w:r w:rsidRPr="00E4644B">
        <w:rPr>
          <w:rFonts w:ascii="Calibri" w:hAnsi="Calibri" w:cs="Calibri"/>
        </w:rPr>
        <w:tab/>
        <w:t>Cement w workach może być przewożony samochodami krytymi, wagonami towarowymi i innymi środkami transportu, w sposób nie powodujący uszkodzeń opakowania. Worki na paletach układa się po 5 warstw po 4 szt. w warstwie. Worki niespaletowane układa się na płask w wysokości do 10 warstw. Cement luzem przewozi się w zbiornikach (wagonach, samochodach), czystych i nie zanieczyszczanych podczas transportu. Środki transportu powinny być wyposażone we wsypy i urządzenia do wyładowania cementu.</w:t>
      </w:r>
    </w:p>
    <w:p w:rsidR="00AD54A3" w:rsidRPr="00E4644B" w:rsidRDefault="00AD54A3" w:rsidP="00AD54A3">
      <w:pPr>
        <w:rPr>
          <w:rFonts w:ascii="Calibri" w:hAnsi="Calibri" w:cs="Calibri"/>
        </w:rPr>
      </w:pPr>
      <w:r w:rsidRPr="00E4644B">
        <w:rPr>
          <w:rFonts w:ascii="Calibri" w:hAnsi="Calibri" w:cs="Calibri"/>
        </w:rPr>
        <w:tab/>
        <w:t>Woda może być dostarczana wodociągiem lub przewoźnymi zbiornikami wody.</w:t>
      </w:r>
    </w:p>
    <w:p w:rsidR="00AD54A3" w:rsidRPr="00E4644B" w:rsidRDefault="00AD54A3" w:rsidP="00AD54A3">
      <w:pPr>
        <w:rPr>
          <w:rFonts w:ascii="Calibri" w:hAnsi="Calibri" w:cs="Calibri"/>
        </w:rPr>
      </w:pPr>
      <w:r w:rsidRPr="00E4644B">
        <w:rPr>
          <w:rFonts w:ascii="Calibri" w:hAnsi="Calibri" w:cs="Calibri"/>
        </w:rPr>
        <w:tab/>
        <w:t>Inne materiały należy przewozić w sposób zalecony przez producentów i dostawców, nie powodując pogorszenia ich walorów użytkowych.</w:t>
      </w:r>
    </w:p>
    <w:p w:rsidR="00AD54A3" w:rsidRPr="00E4644B" w:rsidRDefault="00AD54A3" w:rsidP="00AD54A3">
      <w:pPr>
        <w:rPr>
          <w:rFonts w:ascii="Calibri" w:hAnsi="Calibri" w:cs="Calibri"/>
        </w:rPr>
      </w:pPr>
    </w:p>
    <w:p w:rsidR="00AD54A3" w:rsidRPr="00E4644B" w:rsidRDefault="00AD54A3" w:rsidP="00AD54A3">
      <w:pPr>
        <w:rPr>
          <w:rFonts w:ascii="Calibri" w:hAnsi="Calibri" w:cs="Calibri"/>
          <w:b/>
        </w:rPr>
      </w:pPr>
      <w:bookmarkStart w:id="1396" w:name="_Toc51995833"/>
      <w:bookmarkStart w:id="1397" w:name="_Toc63568301"/>
      <w:bookmarkStart w:id="1398" w:name="_Toc73770659"/>
      <w:bookmarkStart w:id="1399" w:name="_Toc113935591"/>
      <w:bookmarkStart w:id="1400" w:name="_Toc116360496"/>
      <w:bookmarkStart w:id="1401" w:name="_Toc174333137"/>
      <w:bookmarkStart w:id="1402" w:name="_Toc208892385"/>
      <w:bookmarkStart w:id="1403" w:name="_Toc210107781"/>
      <w:bookmarkStart w:id="1404" w:name="_Toc211316616"/>
      <w:bookmarkStart w:id="1405" w:name="_Toc236626159"/>
      <w:bookmarkStart w:id="1406" w:name="_Toc332010315"/>
      <w:r w:rsidRPr="00E4644B">
        <w:rPr>
          <w:rFonts w:ascii="Calibri" w:hAnsi="Calibri" w:cs="Calibri"/>
          <w:b/>
        </w:rPr>
        <w:t>5. WYKONANIE ROBÓT</w:t>
      </w:r>
      <w:bookmarkEnd w:id="1396"/>
      <w:bookmarkEnd w:id="1397"/>
      <w:bookmarkEnd w:id="1398"/>
      <w:bookmarkEnd w:id="1399"/>
      <w:bookmarkEnd w:id="1400"/>
      <w:bookmarkEnd w:id="1401"/>
      <w:bookmarkEnd w:id="1402"/>
      <w:bookmarkEnd w:id="1403"/>
      <w:bookmarkEnd w:id="1404"/>
      <w:bookmarkEnd w:id="1405"/>
      <w:bookmarkEnd w:id="1406"/>
    </w:p>
    <w:p w:rsidR="00AD54A3" w:rsidRPr="00E4644B" w:rsidRDefault="00AD54A3" w:rsidP="00AD54A3">
      <w:pPr>
        <w:rPr>
          <w:rFonts w:ascii="Calibri" w:hAnsi="Calibri" w:cs="Calibri"/>
        </w:rPr>
      </w:pPr>
      <w:r w:rsidRPr="00E4644B">
        <w:rPr>
          <w:rFonts w:ascii="Calibri" w:hAnsi="Calibri" w:cs="Calibri"/>
          <w:b/>
        </w:rPr>
        <w:t>5.1.</w:t>
      </w:r>
      <w:r w:rsidRPr="00E4644B">
        <w:rPr>
          <w:rFonts w:ascii="Calibri" w:hAnsi="Calibri" w:cs="Calibri"/>
        </w:rPr>
        <w:t xml:space="preserve"> Ogólne zasady wykonania robót</w:t>
      </w:r>
    </w:p>
    <w:p w:rsidR="00AD54A3" w:rsidRPr="00E4644B" w:rsidRDefault="00AD54A3" w:rsidP="00AD54A3">
      <w:pPr>
        <w:rPr>
          <w:rFonts w:ascii="Calibri" w:hAnsi="Calibri" w:cs="Calibri"/>
        </w:rPr>
      </w:pPr>
      <w:r>
        <w:rPr>
          <w:rFonts w:ascii="Calibri" w:hAnsi="Calibri" w:cs="Calibri"/>
        </w:rPr>
        <w:tab/>
      </w:r>
      <w:r w:rsidRPr="00E4644B">
        <w:rPr>
          <w:rFonts w:ascii="Calibri" w:hAnsi="Calibri" w:cs="Calibri"/>
        </w:rPr>
        <w:t>Ogólne zasady wykonania robót podano w ST D-M-00.00.00 „Wymagania ogólne” pkt 5.</w:t>
      </w:r>
    </w:p>
    <w:p w:rsidR="00AD54A3" w:rsidRPr="00E4644B" w:rsidRDefault="00AD54A3" w:rsidP="00AD54A3">
      <w:pPr>
        <w:rPr>
          <w:rFonts w:ascii="Calibri" w:hAnsi="Calibri" w:cs="Calibri"/>
        </w:rPr>
      </w:pPr>
      <w:r w:rsidRPr="00E4644B">
        <w:rPr>
          <w:rFonts w:ascii="Calibri" w:hAnsi="Calibri" w:cs="Calibri"/>
          <w:b/>
        </w:rPr>
        <w:t>5.2.</w:t>
      </w:r>
      <w:r w:rsidRPr="00E4644B">
        <w:rPr>
          <w:rFonts w:ascii="Calibri" w:hAnsi="Calibri" w:cs="Calibri"/>
        </w:rPr>
        <w:t xml:space="preserve"> Zasady wykonywania robót</w:t>
      </w:r>
    </w:p>
    <w:p w:rsidR="00AD54A3" w:rsidRPr="00E4644B" w:rsidRDefault="00AD54A3" w:rsidP="00AD54A3">
      <w:pPr>
        <w:rPr>
          <w:rFonts w:ascii="Calibri" w:hAnsi="Calibri" w:cs="Calibri"/>
        </w:rPr>
      </w:pPr>
      <w:r w:rsidRPr="00E4644B">
        <w:rPr>
          <w:rFonts w:ascii="Calibri" w:hAnsi="Calibri" w:cs="Calibri"/>
        </w:rPr>
        <w:t>Sposób wykonania robót powinien być zgodny z dokumentacją projektową. W przypadku braku wystarczających danych można korzystać z ustaleń podanych w niniejszej specyfikacji oraz z informacji podanych w załączniku.</w:t>
      </w:r>
    </w:p>
    <w:p w:rsidR="00AD54A3" w:rsidRPr="00E4644B" w:rsidRDefault="00AD54A3" w:rsidP="00AD54A3">
      <w:pPr>
        <w:rPr>
          <w:rFonts w:ascii="Calibri" w:hAnsi="Calibri" w:cs="Calibri"/>
        </w:rPr>
      </w:pPr>
      <w:r w:rsidRPr="00E4644B">
        <w:rPr>
          <w:rFonts w:ascii="Calibri" w:hAnsi="Calibri" w:cs="Calibri"/>
        </w:rPr>
        <w:tab/>
        <w:t>Podstawowe czynności przy wykonaniu robót obejmują:</w:t>
      </w:r>
    </w:p>
    <w:p w:rsidR="00AD54A3" w:rsidRPr="00E4644B" w:rsidRDefault="00AD54A3" w:rsidP="00AD54A3">
      <w:pPr>
        <w:rPr>
          <w:rFonts w:ascii="Calibri" w:hAnsi="Calibri" w:cs="Calibri"/>
        </w:rPr>
      </w:pPr>
      <w:r>
        <w:rPr>
          <w:rFonts w:ascii="Calibri" w:hAnsi="Calibri" w:cs="Calibri"/>
        </w:rPr>
        <w:t>-</w:t>
      </w:r>
      <w:r w:rsidRPr="00E4644B">
        <w:rPr>
          <w:rFonts w:ascii="Calibri" w:hAnsi="Calibri" w:cs="Calibri"/>
        </w:rPr>
        <w:t xml:space="preserve">roboty przygotowawcze, </w:t>
      </w:r>
    </w:p>
    <w:p w:rsidR="00AD54A3" w:rsidRPr="00E4644B" w:rsidRDefault="00AD54A3" w:rsidP="00AD54A3">
      <w:pPr>
        <w:rPr>
          <w:rFonts w:ascii="Calibri" w:hAnsi="Calibri" w:cs="Calibri"/>
        </w:rPr>
      </w:pPr>
      <w:r>
        <w:rPr>
          <w:rFonts w:ascii="Calibri" w:hAnsi="Calibri" w:cs="Calibri"/>
        </w:rPr>
        <w:t>-</w:t>
      </w:r>
      <w:r w:rsidRPr="00E4644B">
        <w:rPr>
          <w:rFonts w:ascii="Calibri" w:hAnsi="Calibri" w:cs="Calibri"/>
        </w:rPr>
        <w:t>projektowanie mieszanki,</w:t>
      </w:r>
    </w:p>
    <w:p w:rsidR="00AD54A3" w:rsidRPr="00E4644B" w:rsidRDefault="00AD54A3" w:rsidP="00AD54A3">
      <w:pPr>
        <w:rPr>
          <w:rFonts w:ascii="Calibri" w:hAnsi="Calibri" w:cs="Calibri"/>
        </w:rPr>
      </w:pPr>
      <w:r>
        <w:rPr>
          <w:rFonts w:ascii="Calibri" w:hAnsi="Calibri" w:cs="Calibri"/>
        </w:rPr>
        <w:t>-</w:t>
      </w:r>
      <w:r w:rsidRPr="00E4644B">
        <w:rPr>
          <w:rFonts w:ascii="Calibri" w:hAnsi="Calibri" w:cs="Calibri"/>
        </w:rPr>
        <w:t>odcinek próbny,</w:t>
      </w:r>
    </w:p>
    <w:p w:rsidR="00AD54A3" w:rsidRPr="00E4644B" w:rsidRDefault="00AD54A3" w:rsidP="00AD54A3">
      <w:pPr>
        <w:rPr>
          <w:rFonts w:ascii="Calibri" w:hAnsi="Calibri" w:cs="Calibri"/>
        </w:rPr>
      </w:pPr>
      <w:r>
        <w:rPr>
          <w:rFonts w:ascii="Calibri" w:hAnsi="Calibri" w:cs="Calibri"/>
        </w:rPr>
        <w:t>-</w:t>
      </w:r>
      <w:r w:rsidRPr="00E4644B">
        <w:rPr>
          <w:rFonts w:ascii="Calibri" w:hAnsi="Calibri" w:cs="Calibri"/>
        </w:rPr>
        <w:t>wbudowanie mieszanki,</w:t>
      </w:r>
    </w:p>
    <w:p w:rsidR="00AD54A3" w:rsidRPr="00E4644B" w:rsidRDefault="00AD54A3" w:rsidP="00AD54A3">
      <w:pPr>
        <w:rPr>
          <w:rFonts w:ascii="Calibri" w:hAnsi="Calibri" w:cs="Calibri"/>
        </w:rPr>
      </w:pPr>
      <w:r>
        <w:rPr>
          <w:rFonts w:ascii="Calibri" w:hAnsi="Calibri" w:cs="Calibri"/>
        </w:rPr>
        <w:t>-</w:t>
      </w:r>
      <w:r w:rsidRPr="00E4644B">
        <w:rPr>
          <w:rFonts w:ascii="Calibri" w:hAnsi="Calibri" w:cs="Calibri"/>
        </w:rPr>
        <w:t>roboty wykończeniowe.</w:t>
      </w:r>
    </w:p>
    <w:p w:rsidR="00AD54A3" w:rsidRPr="00E4644B" w:rsidRDefault="00AD54A3" w:rsidP="00AD54A3">
      <w:pPr>
        <w:rPr>
          <w:rFonts w:ascii="Calibri" w:hAnsi="Calibri" w:cs="Calibri"/>
        </w:rPr>
      </w:pPr>
      <w:r w:rsidRPr="00E4644B">
        <w:rPr>
          <w:rFonts w:ascii="Calibri" w:hAnsi="Calibri" w:cs="Calibri"/>
          <w:b/>
        </w:rPr>
        <w:t>5.3.</w:t>
      </w:r>
      <w:r w:rsidRPr="00E4644B">
        <w:rPr>
          <w:rFonts w:ascii="Calibri" w:hAnsi="Calibri" w:cs="Calibri"/>
        </w:rPr>
        <w:t xml:space="preserve"> Roboty przygotowawcze</w:t>
      </w:r>
    </w:p>
    <w:p w:rsidR="00AD54A3" w:rsidRPr="00E4644B" w:rsidRDefault="00AD54A3" w:rsidP="00AD54A3">
      <w:pPr>
        <w:rPr>
          <w:rFonts w:ascii="Calibri" w:hAnsi="Calibri" w:cs="Calibri"/>
        </w:rPr>
      </w:pPr>
      <w:r w:rsidRPr="00E4644B">
        <w:rPr>
          <w:rFonts w:ascii="Calibri" w:hAnsi="Calibri" w:cs="Calibri"/>
        </w:rPr>
        <w:tab/>
        <w:t>Przed przystąpieniem do robót należy, na podstawie dokumentacji projektowej lub wskazań Inżyniera:</w:t>
      </w:r>
    </w:p>
    <w:p w:rsidR="00AD54A3" w:rsidRPr="00E4644B" w:rsidRDefault="00AD54A3" w:rsidP="00AD54A3">
      <w:pPr>
        <w:rPr>
          <w:rFonts w:ascii="Calibri" w:hAnsi="Calibri" w:cs="Calibri"/>
        </w:rPr>
      </w:pPr>
      <w:r>
        <w:rPr>
          <w:rFonts w:ascii="Calibri" w:hAnsi="Calibri" w:cs="Calibri"/>
        </w:rPr>
        <w:t>-</w:t>
      </w:r>
      <w:r w:rsidRPr="00E4644B">
        <w:rPr>
          <w:rFonts w:ascii="Calibri" w:hAnsi="Calibri" w:cs="Calibri"/>
        </w:rPr>
        <w:t>ustalić lokalizację robót,</w:t>
      </w:r>
    </w:p>
    <w:p w:rsidR="00AD54A3" w:rsidRPr="00E4644B" w:rsidRDefault="00AD54A3" w:rsidP="00AD54A3">
      <w:pPr>
        <w:rPr>
          <w:rFonts w:ascii="Calibri" w:hAnsi="Calibri" w:cs="Calibri"/>
        </w:rPr>
      </w:pPr>
      <w:r>
        <w:rPr>
          <w:rFonts w:ascii="Calibri" w:hAnsi="Calibri" w:cs="Calibri"/>
        </w:rPr>
        <w:t>-</w:t>
      </w:r>
      <w:r w:rsidRPr="00E4644B">
        <w:rPr>
          <w:rFonts w:ascii="Calibri" w:hAnsi="Calibri" w:cs="Calibri"/>
        </w:rPr>
        <w:t>przeprowadzić obliczenia i pomiary niezbędne do szczegółowego wytyczenia robót oraz ustalenia danych wysokościowych,</w:t>
      </w:r>
    </w:p>
    <w:p w:rsidR="00AD54A3" w:rsidRPr="00E4644B" w:rsidRDefault="00AD54A3" w:rsidP="00AD54A3">
      <w:pPr>
        <w:rPr>
          <w:rFonts w:ascii="Calibri" w:hAnsi="Calibri" w:cs="Calibri"/>
        </w:rPr>
      </w:pPr>
      <w:r>
        <w:rPr>
          <w:rFonts w:ascii="Calibri" w:hAnsi="Calibri" w:cs="Calibri"/>
        </w:rPr>
        <w:t>-</w:t>
      </w:r>
      <w:r w:rsidRPr="00E4644B">
        <w:rPr>
          <w:rFonts w:ascii="Calibri" w:hAnsi="Calibri" w:cs="Calibri"/>
        </w:rPr>
        <w:t>usunąć przeszkody utrudniające wykonanie robót,</w:t>
      </w:r>
    </w:p>
    <w:p w:rsidR="00AD54A3" w:rsidRPr="00E4644B" w:rsidRDefault="00AD54A3" w:rsidP="00AD54A3">
      <w:pPr>
        <w:rPr>
          <w:rFonts w:ascii="Calibri" w:hAnsi="Calibri" w:cs="Calibri"/>
        </w:rPr>
      </w:pPr>
      <w:r>
        <w:rPr>
          <w:rFonts w:ascii="Calibri" w:hAnsi="Calibri" w:cs="Calibri"/>
        </w:rPr>
        <w:t>-</w:t>
      </w:r>
      <w:r w:rsidRPr="00E4644B">
        <w:rPr>
          <w:rFonts w:ascii="Calibri" w:hAnsi="Calibri" w:cs="Calibri"/>
        </w:rPr>
        <w:t>wprowadzić oznakowanie drogi na okres robót,</w:t>
      </w:r>
    </w:p>
    <w:p w:rsidR="00AD54A3" w:rsidRPr="00E4644B" w:rsidRDefault="00AD54A3" w:rsidP="00AD54A3">
      <w:pPr>
        <w:rPr>
          <w:rFonts w:ascii="Calibri" w:hAnsi="Calibri" w:cs="Calibri"/>
        </w:rPr>
      </w:pPr>
      <w:r>
        <w:rPr>
          <w:rFonts w:ascii="Calibri" w:hAnsi="Calibri" w:cs="Calibri"/>
        </w:rPr>
        <w:t>-</w:t>
      </w:r>
      <w:r w:rsidRPr="00E4644B">
        <w:rPr>
          <w:rFonts w:ascii="Calibri" w:hAnsi="Calibri" w:cs="Calibri"/>
        </w:rPr>
        <w:t>zgromadzić materiały i sprzęt potrzebne do rozpoczęcia robót.</w:t>
      </w:r>
    </w:p>
    <w:p w:rsidR="00AD54A3" w:rsidRPr="00E4644B" w:rsidRDefault="00AD54A3" w:rsidP="00AD54A3">
      <w:pPr>
        <w:rPr>
          <w:rFonts w:ascii="Calibri" w:hAnsi="Calibri" w:cs="Calibri"/>
        </w:rPr>
      </w:pPr>
      <w:r w:rsidRPr="00E4644B">
        <w:rPr>
          <w:rFonts w:ascii="Calibri" w:hAnsi="Calibri" w:cs="Calibri"/>
        </w:rPr>
        <w:t xml:space="preserve">Można dodatkowo korzystać z ST D-01.00.00 przy robotach przygotowawczych oraz z ST D-02.00.00 przy występowaniu robót ziemnych. </w:t>
      </w:r>
    </w:p>
    <w:p w:rsidR="00AD54A3" w:rsidRPr="00E4644B" w:rsidRDefault="00AD54A3" w:rsidP="00AD54A3">
      <w:pPr>
        <w:rPr>
          <w:rFonts w:ascii="Calibri" w:hAnsi="Calibri" w:cs="Calibri"/>
        </w:rPr>
      </w:pPr>
      <w:r w:rsidRPr="00E4644B">
        <w:rPr>
          <w:rFonts w:ascii="Calibri" w:hAnsi="Calibri" w:cs="Calibri"/>
          <w:b/>
        </w:rPr>
        <w:t>5.4.</w:t>
      </w:r>
      <w:r w:rsidRPr="00E4644B">
        <w:rPr>
          <w:rFonts w:ascii="Calibri" w:hAnsi="Calibri" w:cs="Calibri"/>
        </w:rPr>
        <w:t xml:space="preserve"> Projektowanie mieszanki związanej cementem</w:t>
      </w:r>
    </w:p>
    <w:p w:rsidR="00AD54A3" w:rsidRPr="00E4644B" w:rsidRDefault="00AD54A3" w:rsidP="00AD54A3">
      <w:pPr>
        <w:rPr>
          <w:rFonts w:ascii="Calibri" w:hAnsi="Calibri" w:cs="Calibri"/>
        </w:rPr>
      </w:pPr>
      <w:r w:rsidRPr="00E4644B">
        <w:rPr>
          <w:rFonts w:ascii="Calibri" w:hAnsi="Calibri" w:cs="Calibri"/>
        </w:rPr>
        <w:tab/>
        <w:t>Przed przystąpieniem do robót, w terminie uzgodnionym z Inżynierem, Wykonawca dostarczy Inżynierowi do akceptacji projekt składu mieszanki związanej cementem oraz wyniki badań laboratoryjnych poszczególnych składników i próbki materiałów pobrane w obecności Inżyniera do wykonania badań kontrolnych przez Inżyniera.</w:t>
      </w:r>
    </w:p>
    <w:p w:rsidR="00AD54A3" w:rsidRPr="00E4644B" w:rsidRDefault="00AD54A3" w:rsidP="00AD54A3">
      <w:pPr>
        <w:rPr>
          <w:rFonts w:ascii="Calibri" w:hAnsi="Calibri" w:cs="Calibri"/>
        </w:rPr>
      </w:pPr>
      <w:r w:rsidRPr="00E4644B">
        <w:rPr>
          <w:rFonts w:ascii="Calibri" w:hAnsi="Calibri" w:cs="Calibri"/>
        </w:rPr>
        <w:tab/>
        <w:t>Projektowanie mieszanki polega na doborze kruszywa do mieszanki, ilości cementu, ilości wody. Procedura projektowa powinna być oparta na próbach laboratoryjnych i/lub polowych przeprowadzonych na tych samych składnikach, z tych samych źródeł i o takich samych właściwościach, jak te które będą stosowane do wykonania podbudowy lub podłoża ulepszonego.</w:t>
      </w:r>
    </w:p>
    <w:p w:rsidR="00AD54A3" w:rsidRPr="00E4644B" w:rsidRDefault="00AD54A3" w:rsidP="00AD54A3">
      <w:pPr>
        <w:rPr>
          <w:rFonts w:ascii="Calibri" w:hAnsi="Calibri" w:cs="Calibri"/>
        </w:rPr>
      </w:pPr>
      <w:r w:rsidRPr="00E4644B">
        <w:rPr>
          <w:rFonts w:ascii="Calibri" w:hAnsi="Calibri" w:cs="Calibri"/>
        </w:rPr>
        <w:tab/>
        <w:t>Skład mieszanek projektuje się ze względu na wytrzymałość na ściskanie próbek (system I), zagęszczanych metodą Proctora wg PN-EN 13286-50 w formach walcowych H/D = 1. Klasy wytrzymałości przyjmuje się wg tablicy 2.</w:t>
      </w:r>
    </w:p>
    <w:p w:rsidR="00AD54A3" w:rsidRPr="00E4644B" w:rsidRDefault="00AD54A3" w:rsidP="00AD54A3">
      <w:pPr>
        <w:rPr>
          <w:rFonts w:ascii="Calibri" w:hAnsi="Calibri" w:cs="Calibri"/>
        </w:rPr>
      </w:pPr>
      <w:r w:rsidRPr="00E4644B">
        <w:rPr>
          <w:rFonts w:ascii="Calibri" w:hAnsi="Calibri" w:cs="Calibri"/>
        </w:rPr>
        <w:tab/>
        <w:t>Wytrzymałość na ściskanie Rc określonej mieszanki oznaczona zgodnie z PN-EN 13286-41 powinna być równa lub większa od wytrzymałości na ściskanie wymaganej dla danej klasy wytrzymałości podanej w tablicy 2.</w:t>
      </w:r>
    </w:p>
    <w:p w:rsidR="00AD54A3" w:rsidRDefault="00AD54A3" w:rsidP="00AD54A3">
      <w:pPr>
        <w:rPr>
          <w:rFonts w:ascii="Calibri" w:hAnsi="Calibri" w:cs="Calibri"/>
        </w:rPr>
      </w:pPr>
    </w:p>
    <w:p w:rsidR="00054F0C" w:rsidRDefault="00054F0C" w:rsidP="00AD54A3">
      <w:pPr>
        <w:rPr>
          <w:rFonts w:ascii="Calibri" w:hAnsi="Calibri" w:cs="Calibri"/>
        </w:rPr>
      </w:pPr>
    </w:p>
    <w:p w:rsidR="00054F0C" w:rsidRPr="00E4644B" w:rsidRDefault="00054F0C" w:rsidP="00AD54A3">
      <w:pPr>
        <w:rPr>
          <w:rFonts w:ascii="Calibri" w:hAnsi="Calibri" w:cs="Calibri"/>
        </w:rPr>
      </w:pPr>
    </w:p>
    <w:p w:rsidR="00AD54A3" w:rsidRPr="00E4644B" w:rsidRDefault="00AD54A3" w:rsidP="00AD54A3">
      <w:pPr>
        <w:ind w:left="709"/>
        <w:rPr>
          <w:rFonts w:ascii="Calibri" w:hAnsi="Calibri" w:cs="Calibri"/>
        </w:rPr>
      </w:pPr>
      <w:r w:rsidRPr="00E4644B">
        <w:rPr>
          <w:rFonts w:ascii="Calibri" w:hAnsi="Calibri" w:cs="Calibri"/>
        </w:rPr>
        <w:lastRenderedPageBreak/>
        <w:t>Tablica 2. Klasy wytrzymałości wg normy PN-EN 14227-1</w:t>
      </w:r>
    </w:p>
    <w:tbl>
      <w:tblPr>
        <w:tblW w:w="0" w:type="auto"/>
        <w:tblInd w:w="81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tblPr>
      <w:tblGrid>
        <w:gridCol w:w="1668"/>
        <w:gridCol w:w="2087"/>
        <w:gridCol w:w="2023"/>
        <w:gridCol w:w="1733"/>
      </w:tblGrid>
      <w:tr w:rsidR="00AD54A3" w:rsidRPr="00E4644B" w:rsidTr="00FD47C7">
        <w:tc>
          <w:tcPr>
            <w:tcW w:w="1668" w:type="dxa"/>
            <w:vMerge w:val="restart"/>
          </w:tcPr>
          <w:p w:rsidR="00AD54A3" w:rsidRPr="00E4644B" w:rsidRDefault="00AD54A3" w:rsidP="00FD47C7">
            <w:pPr>
              <w:jc w:val="center"/>
              <w:rPr>
                <w:rFonts w:ascii="Calibri" w:hAnsi="Calibri" w:cs="Calibri"/>
                <w:sz w:val="16"/>
                <w:szCs w:val="16"/>
              </w:rPr>
            </w:pPr>
          </w:p>
          <w:p w:rsidR="00AD54A3" w:rsidRPr="00E4644B" w:rsidRDefault="00AD54A3" w:rsidP="00FD47C7">
            <w:pPr>
              <w:jc w:val="center"/>
              <w:rPr>
                <w:rFonts w:ascii="Calibri" w:hAnsi="Calibri" w:cs="Calibri"/>
                <w:sz w:val="16"/>
                <w:szCs w:val="16"/>
              </w:rPr>
            </w:pPr>
            <w:r w:rsidRPr="00E4644B">
              <w:rPr>
                <w:rFonts w:ascii="Calibri" w:hAnsi="Calibri" w:cs="Calibri"/>
                <w:sz w:val="16"/>
                <w:szCs w:val="16"/>
              </w:rPr>
              <w:t>Lp.</w:t>
            </w:r>
          </w:p>
        </w:tc>
        <w:tc>
          <w:tcPr>
            <w:tcW w:w="4110" w:type="dxa"/>
            <w:gridSpan w:val="2"/>
          </w:tcPr>
          <w:p w:rsidR="00AD54A3" w:rsidRPr="00E4644B" w:rsidRDefault="00AD54A3" w:rsidP="00FD47C7">
            <w:pPr>
              <w:jc w:val="center"/>
              <w:rPr>
                <w:rFonts w:ascii="Calibri" w:hAnsi="Calibri" w:cs="Calibri"/>
                <w:sz w:val="16"/>
                <w:szCs w:val="16"/>
              </w:rPr>
            </w:pPr>
            <w:r w:rsidRPr="00E4644B">
              <w:rPr>
                <w:rFonts w:ascii="Calibri" w:hAnsi="Calibri" w:cs="Calibri"/>
                <w:sz w:val="16"/>
                <w:szCs w:val="16"/>
              </w:rPr>
              <w:t>Wytrzymałość charakterystyczna na ściskanie Rc , po 28 dniach, MPa dla próbek walcowych o</w:t>
            </w:r>
          </w:p>
        </w:tc>
        <w:tc>
          <w:tcPr>
            <w:tcW w:w="1733" w:type="dxa"/>
            <w:vMerge w:val="restart"/>
          </w:tcPr>
          <w:p w:rsidR="00AD54A3" w:rsidRPr="00E4644B" w:rsidRDefault="00AD54A3" w:rsidP="00FD47C7">
            <w:pPr>
              <w:jc w:val="center"/>
              <w:rPr>
                <w:rFonts w:ascii="Calibri" w:hAnsi="Calibri" w:cs="Calibri"/>
                <w:sz w:val="16"/>
                <w:szCs w:val="16"/>
              </w:rPr>
            </w:pPr>
            <w:r w:rsidRPr="00E4644B">
              <w:rPr>
                <w:rFonts w:ascii="Calibri" w:hAnsi="Calibri" w:cs="Calibri"/>
                <w:sz w:val="16"/>
                <w:szCs w:val="16"/>
              </w:rPr>
              <w:t>Klasa wytrzymałości</w:t>
            </w:r>
          </w:p>
          <w:p w:rsidR="00AD54A3" w:rsidRPr="00E4644B" w:rsidRDefault="00AD54A3" w:rsidP="00FD47C7">
            <w:pPr>
              <w:jc w:val="center"/>
              <w:rPr>
                <w:rFonts w:ascii="Calibri" w:hAnsi="Calibri" w:cs="Calibri"/>
                <w:sz w:val="16"/>
                <w:szCs w:val="16"/>
              </w:rPr>
            </w:pPr>
          </w:p>
        </w:tc>
      </w:tr>
      <w:tr w:rsidR="00AD54A3" w:rsidRPr="00E4644B" w:rsidTr="00FD47C7">
        <w:tc>
          <w:tcPr>
            <w:tcW w:w="1668" w:type="dxa"/>
            <w:vMerge/>
          </w:tcPr>
          <w:p w:rsidR="00AD54A3" w:rsidRPr="00E4644B" w:rsidRDefault="00AD54A3" w:rsidP="00FD47C7">
            <w:pPr>
              <w:jc w:val="center"/>
              <w:rPr>
                <w:rFonts w:ascii="Calibri" w:hAnsi="Calibri" w:cs="Calibri"/>
                <w:sz w:val="16"/>
                <w:szCs w:val="16"/>
              </w:rPr>
            </w:pPr>
          </w:p>
        </w:tc>
        <w:tc>
          <w:tcPr>
            <w:tcW w:w="2087" w:type="dxa"/>
          </w:tcPr>
          <w:p w:rsidR="00AD54A3" w:rsidRPr="00E4644B" w:rsidRDefault="00AD54A3" w:rsidP="00FD47C7">
            <w:pPr>
              <w:jc w:val="center"/>
              <w:rPr>
                <w:rFonts w:ascii="Calibri" w:hAnsi="Calibri" w:cs="Calibri"/>
                <w:sz w:val="16"/>
                <w:szCs w:val="16"/>
              </w:rPr>
            </w:pPr>
            <w:r w:rsidRPr="00E4644B">
              <w:rPr>
                <w:rFonts w:ascii="Calibri" w:hAnsi="Calibri" w:cs="Calibri"/>
                <w:sz w:val="16"/>
                <w:szCs w:val="16"/>
              </w:rPr>
              <w:t>H/Da = 2,0</w:t>
            </w:r>
          </w:p>
        </w:tc>
        <w:tc>
          <w:tcPr>
            <w:tcW w:w="2023" w:type="dxa"/>
          </w:tcPr>
          <w:p w:rsidR="00AD54A3" w:rsidRPr="00E4644B" w:rsidRDefault="00AD54A3" w:rsidP="00FD47C7">
            <w:pPr>
              <w:jc w:val="center"/>
              <w:rPr>
                <w:rFonts w:ascii="Calibri" w:hAnsi="Calibri" w:cs="Calibri"/>
                <w:sz w:val="16"/>
                <w:szCs w:val="16"/>
              </w:rPr>
            </w:pPr>
            <w:r w:rsidRPr="00E4644B">
              <w:rPr>
                <w:rFonts w:ascii="Calibri" w:hAnsi="Calibri" w:cs="Calibri"/>
                <w:sz w:val="16"/>
                <w:szCs w:val="16"/>
              </w:rPr>
              <w:t>H/Da = 1,0b</w:t>
            </w:r>
          </w:p>
        </w:tc>
        <w:tc>
          <w:tcPr>
            <w:tcW w:w="1733" w:type="dxa"/>
            <w:vMerge/>
          </w:tcPr>
          <w:p w:rsidR="00AD54A3" w:rsidRPr="00E4644B" w:rsidRDefault="00AD54A3" w:rsidP="00FD47C7">
            <w:pPr>
              <w:jc w:val="center"/>
              <w:rPr>
                <w:rFonts w:ascii="Calibri" w:hAnsi="Calibri" w:cs="Calibri"/>
                <w:sz w:val="16"/>
                <w:szCs w:val="16"/>
              </w:rPr>
            </w:pPr>
          </w:p>
        </w:tc>
      </w:tr>
      <w:tr w:rsidR="00AD54A3" w:rsidRPr="00E4644B" w:rsidTr="00FD47C7">
        <w:tc>
          <w:tcPr>
            <w:tcW w:w="1668" w:type="dxa"/>
          </w:tcPr>
          <w:p w:rsidR="00AD54A3" w:rsidRPr="00E4644B" w:rsidRDefault="00AD54A3" w:rsidP="00FD47C7">
            <w:pPr>
              <w:jc w:val="center"/>
              <w:rPr>
                <w:rFonts w:ascii="Calibri" w:hAnsi="Calibri" w:cs="Calibri"/>
                <w:sz w:val="16"/>
                <w:szCs w:val="16"/>
              </w:rPr>
            </w:pPr>
            <w:r w:rsidRPr="00E4644B">
              <w:rPr>
                <w:rFonts w:ascii="Calibri" w:hAnsi="Calibri" w:cs="Calibri"/>
                <w:sz w:val="16"/>
                <w:szCs w:val="16"/>
              </w:rPr>
              <w:t>1</w:t>
            </w:r>
          </w:p>
        </w:tc>
        <w:tc>
          <w:tcPr>
            <w:tcW w:w="4110" w:type="dxa"/>
            <w:gridSpan w:val="2"/>
          </w:tcPr>
          <w:p w:rsidR="00AD54A3" w:rsidRPr="00E4644B" w:rsidRDefault="00AD54A3" w:rsidP="00FD47C7">
            <w:pPr>
              <w:jc w:val="center"/>
              <w:rPr>
                <w:rFonts w:ascii="Calibri" w:hAnsi="Calibri" w:cs="Calibri"/>
                <w:sz w:val="16"/>
                <w:szCs w:val="16"/>
              </w:rPr>
            </w:pPr>
            <w:r w:rsidRPr="00E4644B">
              <w:rPr>
                <w:rFonts w:ascii="Calibri" w:hAnsi="Calibri" w:cs="Calibri"/>
                <w:sz w:val="16"/>
                <w:szCs w:val="16"/>
              </w:rPr>
              <w:t>brak wymagań</w:t>
            </w:r>
          </w:p>
        </w:tc>
        <w:tc>
          <w:tcPr>
            <w:tcW w:w="1733" w:type="dxa"/>
          </w:tcPr>
          <w:p w:rsidR="00AD54A3" w:rsidRPr="00E4644B" w:rsidRDefault="00AD54A3" w:rsidP="00FD47C7">
            <w:pPr>
              <w:jc w:val="center"/>
              <w:rPr>
                <w:rFonts w:ascii="Calibri" w:hAnsi="Calibri" w:cs="Calibri"/>
                <w:sz w:val="16"/>
                <w:szCs w:val="16"/>
              </w:rPr>
            </w:pPr>
            <w:r w:rsidRPr="00E4644B">
              <w:rPr>
                <w:rFonts w:ascii="Calibri" w:hAnsi="Calibri" w:cs="Calibri"/>
                <w:sz w:val="16"/>
                <w:szCs w:val="16"/>
              </w:rPr>
              <w:t>C0</w:t>
            </w:r>
          </w:p>
        </w:tc>
      </w:tr>
      <w:tr w:rsidR="00AD54A3" w:rsidRPr="00E4644B" w:rsidTr="00FD47C7">
        <w:tc>
          <w:tcPr>
            <w:tcW w:w="1668" w:type="dxa"/>
          </w:tcPr>
          <w:p w:rsidR="00AD54A3" w:rsidRPr="00E4644B" w:rsidRDefault="00AD54A3" w:rsidP="00FD47C7">
            <w:pPr>
              <w:jc w:val="center"/>
              <w:rPr>
                <w:rFonts w:ascii="Calibri" w:hAnsi="Calibri" w:cs="Calibri"/>
                <w:sz w:val="16"/>
                <w:szCs w:val="16"/>
              </w:rPr>
            </w:pPr>
            <w:r w:rsidRPr="00E4644B">
              <w:rPr>
                <w:rFonts w:ascii="Calibri" w:hAnsi="Calibri" w:cs="Calibri"/>
                <w:sz w:val="16"/>
                <w:szCs w:val="16"/>
              </w:rPr>
              <w:t>2</w:t>
            </w:r>
          </w:p>
        </w:tc>
        <w:tc>
          <w:tcPr>
            <w:tcW w:w="2087" w:type="dxa"/>
          </w:tcPr>
          <w:p w:rsidR="00AD54A3" w:rsidRPr="00E4644B" w:rsidRDefault="00AD54A3" w:rsidP="00FD47C7">
            <w:pPr>
              <w:jc w:val="center"/>
              <w:rPr>
                <w:rFonts w:ascii="Calibri" w:hAnsi="Calibri" w:cs="Calibri"/>
                <w:sz w:val="16"/>
                <w:szCs w:val="16"/>
              </w:rPr>
            </w:pPr>
            <w:r w:rsidRPr="00E4644B">
              <w:rPr>
                <w:rFonts w:ascii="Calibri" w:hAnsi="Calibri" w:cs="Calibri"/>
                <w:sz w:val="16"/>
                <w:szCs w:val="16"/>
              </w:rPr>
              <w:t>1,5</w:t>
            </w:r>
          </w:p>
        </w:tc>
        <w:tc>
          <w:tcPr>
            <w:tcW w:w="2023" w:type="dxa"/>
          </w:tcPr>
          <w:p w:rsidR="00AD54A3" w:rsidRPr="00E4644B" w:rsidRDefault="00AD54A3" w:rsidP="00FD47C7">
            <w:pPr>
              <w:jc w:val="center"/>
              <w:rPr>
                <w:rFonts w:ascii="Calibri" w:hAnsi="Calibri" w:cs="Calibri"/>
                <w:sz w:val="16"/>
                <w:szCs w:val="16"/>
              </w:rPr>
            </w:pPr>
            <w:r w:rsidRPr="00E4644B">
              <w:rPr>
                <w:rFonts w:ascii="Calibri" w:hAnsi="Calibri" w:cs="Calibri"/>
                <w:sz w:val="16"/>
                <w:szCs w:val="16"/>
              </w:rPr>
              <w:t>2,0</w:t>
            </w:r>
          </w:p>
        </w:tc>
        <w:tc>
          <w:tcPr>
            <w:tcW w:w="1733" w:type="dxa"/>
          </w:tcPr>
          <w:p w:rsidR="00AD54A3" w:rsidRPr="00E4644B" w:rsidRDefault="00AD54A3" w:rsidP="00FD47C7">
            <w:pPr>
              <w:jc w:val="center"/>
              <w:rPr>
                <w:rFonts w:ascii="Calibri" w:hAnsi="Calibri" w:cs="Calibri"/>
                <w:sz w:val="16"/>
                <w:szCs w:val="16"/>
              </w:rPr>
            </w:pPr>
            <w:r w:rsidRPr="00E4644B">
              <w:rPr>
                <w:rFonts w:ascii="Calibri" w:hAnsi="Calibri" w:cs="Calibri"/>
                <w:sz w:val="16"/>
                <w:szCs w:val="16"/>
              </w:rPr>
              <w:t>C1,5/2,0</w:t>
            </w:r>
          </w:p>
        </w:tc>
      </w:tr>
      <w:tr w:rsidR="00AD54A3" w:rsidRPr="00E4644B" w:rsidTr="00FD47C7">
        <w:tc>
          <w:tcPr>
            <w:tcW w:w="1668" w:type="dxa"/>
          </w:tcPr>
          <w:p w:rsidR="00AD54A3" w:rsidRPr="00E4644B" w:rsidRDefault="00AD54A3" w:rsidP="00FD47C7">
            <w:pPr>
              <w:jc w:val="center"/>
              <w:rPr>
                <w:rFonts w:ascii="Calibri" w:hAnsi="Calibri" w:cs="Calibri"/>
                <w:sz w:val="16"/>
                <w:szCs w:val="16"/>
              </w:rPr>
            </w:pPr>
            <w:r w:rsidRPr="00E4644B">
              <w:rPr>
                <w:rFonts w:ascii="Calibri" w:hAnsi="Calibri" w:cs="Calibri"/>
                <w:sz w:val="16"/>
                <w:szCs w:val="16"/>
              </w:rPr>
              <w:t>3</w:t>
            </w:r>
          </w:p>
        </w:tc>
        <w:tc>
          <w:tcPr>
            <w:tcW w:w="2087" w:type="dxa"/>
          </w:tcPr>
          <w:p w:rsidR="00AD54A3" w:rsidRPr="00E4644B" w:rsidRDefault="00AD54A3" w:rsidP="00FD47C7">
            <w:pPr>
              <w:jc w:val="center"/>
              <w:rPr>
                <w:rFonts w:ascii="Calibri" w:hAnsi="Calibri" w:cs="Calibri"/>
                <w:sz w:val="16"/>
                <w:szCs w:val="16"/>
              </w:rPr>
            </w:pPr>
            <w:r w:rsidRPr="00E4644B">
              <w:rPr>
                <w:rFonts w:ascii="Calibri" w:hAnsi="Calibri" w:cs="Calibri"/>
                <w:sz w:val="16"/>
                <w:szCs w:val="16"/>
              </w:rPr>
              <w:t>3,0</w:t>
            </w:r>
          </w:p>
        </w:tc>
        <w:tc>
          <w:tcPr>
            <w:tcW w:w="2023" w:type="dxa"/>
          </w:tcPr>
          <w:p w:rsidR="00AD54A3" w:rsidRPr="00E4644B" w:rsidRDefault="00AD54A3" w:rsidP="00FD47C7">
            <w:pPr>
              <w:jc w:val="center"/>
              <w:rPr>
                <w:rFonts w:ascii="Calibri" w:hAnsi="Calibri" w:cs="Calibri"/>
                <w:sz w:val="16"/>
                <w:szCs w:val="16"/>
              </w:rPr>
            </w:pPr>
            <w:r w:rsidRPr="00E4644B">
              <w:rPr>
                <w:rFonts w:ascii="Calibri" w:hAnsi="Calibri" w:cs="Calibri"/>
                <w:sz w:val="16"/>
                <w:szCs w:val="16"/>
              </w:rPr>
              <w:t>4,0</w:t>
            </w:r>
          </w:p>
        </w:tc>
        <w:tc>
          <w:tcPr>
            <w:tcW w:w="1733" w:type="dxa"/>
          </w:tcPr>
          <w:p w:rsidR="00AD54A3" w:rsidRPr="00E4644B" w:rsidRDefault="00AD54A3" w:rsidP="00FD47C7">
            <w:pPr>
              <w:jc w:val="center"/>
              <w:rPr>
                <w:rFonts w:ascii="Calibri" w:hAnsi="Calibri" w:cs="Calibri"/>
                <w:sz w:val="16"/>
                <w:szCs w:val="16"/>
              </w:rPr>
            </w:pPr>
            <w:r w:rsidRPr="00E4644B">
              <w:rPr>
                <w:rFonts w:ascii="Calibri" w:hAnsi="Calibri" w:cs="Calibri"/>
                <w:sz w:val="16"/>
                <w:szCs w:val="16"/>
              </w:rPr>
              <w:t>C3/4</w:t>
            </w:r>
          </w:p>
        </w:tc>
      </w:tr>
      <w:tr w:rsidR="00AD54A3" w:rsidRPr="00E4644B" w:rsidTr="00FD47C7">
        <w:tc>
          <w:tcPr>
            <w:tcW w:w="1668" w:type="dxa"/>
          </w:tcPr>
          <w:p w:rsidR="00AD54A3" w:rsidRPr="00E4644B" w:rsidRDefault="00AD54A3" w:rsidP="00FD47C7">
            <w:pPr>
              <w:jc w:val="center"/>
              <w:rPr>
                <w:rFonts w:ascii="Calibri" w:hAnsi="Calibri" w:cs="Calibri"/>
                <w:sz w:val="16"/>
                <w:szCs w:val="16"/>
              </w:rPr>
            </w:pPr>
            <w:r w:rsidRPr="00E4644B">
              <w:rPr>
                <w:rFonts w:ascii="Calibri" w:hAnsi="Calibri" w:cs="Calibri"/>
                <w:sz w:val="16"/>
                <w:szCs w:val="16"/>
              </w:rPr>
              <w:t>4</w:t>
            </w:r>
          </w:p>
        </w:tc>
        <w:tc>
          <w:tcPr>
            <w:tcW w:w="2087" w:type="dxa"/>
          </w:tcPr>
          <w:p w:rsidR="00AD54A3" w:rsidRPr="00E4644B" w:rsidRDefault="00AD54A3" w:rsidP="00FD47C7">
            <w:pPr>
              <w:jc w:val="center"/>
              <w:rPr>
                <w:rFonts w:ascii="Calibri" w:hAnsi="Calibri" w:cs="Calibri"/>
                <w:sz w:val="16"/>
                <w:szCs w:val="16"/>
              </w:rPr>
            </w:pPr>
            <w:r w:rsidRPr="00E4644B">
              <w:rPr>
                <w:rFonts w:ascii="Calibri" w:hAnsi="Calibri" w:cs="Calibri"/>
                <w:sz w:val="16"/>
                <w:szCs w:val="16"/>
              </w:rPr>
              <w:t>5,0</w:t>
            </w:r>
          </w:p>
        </w:tc>
        <w:tc>
          <w:tcPr>
            <w:tcW w:w="2023" w:type="dxa"/>
          </w:tcPr>
          <w:p w:rsidR="00AD54A3" w:rsidRPr="00E4644B" w:rsidRDefault="00AD54A3" w:rsidP="00FD47C7">
            <w:pPr>
              <w:jc w:val="center"/>
              <w:rPr>
                <w:rFonts w:ascii="Calibri" w:hAnsi="Calibri" w:cs="Calibri"/>
                <w:sz w:val="16"/>
                <w:szCs w:val="16"/>
              </w:rPr>
            </w:pPr>
            <w:r w:rsidRPr="00E4644B">
              <w:rPr>
                <w:rFonts w:ascii="Calibri" w:hAnsi="Calibri" w:cs="Calibri"/>
                <w:sz w:val="16"/>
                <w:szCs w:val="16"/>
              </w:rPr>
              <w:t>6,0</w:t>
            </w:r>
          </w:p>
        </w:tc>
        <w:tc>
          <w:tcPr>
            <w:tcW w:w="1733" w:type="dxa"/>
          </w:tcPr>
          <w:p w:rsidR="00AD54A3" w:rsidRPr="00E4644B" w:rsidRDefault="00AD54A3" w:rsidP="00FD47C7">
            <w:pPr>
              <w:jc w:val="center"/>
              <w:rPr>
                <w:rFonts w:ascii="Calibri" w:hAnsi="Calibri" w:cs="Calibri"/>
                <w:sz w:val="16"/>
                <w:szCs w:val="16"/>
              </w:rPr>
            </w:pPr>
            <w:r w:rsidRPr="00E4644B">
              <w:rPr>
                <w:rFonts w:ascii="Calibri" w:hAnsi="Calibri" w:cs="Calibri"/>
                <w:sz w:val="16"/>
                <w:szCs w:val="16"/>
              </w:rPr>
              <w:t>C5/6</w:t>
            </w:r>
          </w:p>
        </w:tc>
      </w:tr>
      <w:tr w:rsidR="00AD54A3" w:rsidRPr="00E4644B" w:rsidTr="00FD47C7">
        <w:tc>
          <w:tcPr>
            <w:tcW w:w="1668" w:type="dxa"/>
          </w:tcPr>
          <w:p w:rsidR="00AD54A3" w:rsidRPr="00E4644B" w:rsidRDefault="00AD54A3" w:rsidP="00FD47C7">
            <w:pPr>
              <w:jc w:val="center"/>
              <w:rPr>
                <w:rFonts w:ascii="Calibri" w:hAnsi="Calibri" w:cs="Calibri"/>
                <w:sz w:val="16"/>
                <w:szCs w:val="16"/>
              </w:rPr>
            </w:pPr>
            <w:r w:rsidRPr="00E4644B">
              <w:rPr>
                <w:rFonts w:ascii="Calibri" w:hAnsi="Calibri" w:cs="Calibri"/>
                <w:sz w:val="16"/>
                <w:szCs w:val="16"/>
              </w:rPr>
              <w:t>5</w:t>
            </w:r>
          </w:p>
        </w:tc>
        <w:tc>
          <w:tcPr>
            <w:tcW w:w="2087" w:type="dxa"/>
          </w:tcPr>
          <w:p w:rsidR="00AD54A3" w:rsidRPr="00E4644B" w:rsidRDefault="00AD54A3" w:rsidP="00FD47C7">
            <w:pPr>
              <w:jc w:val="center"/>
              <w:rPr>
                <w:rFonts w:ascii="Calibri" w:hAnsi="Calibri" w:cs="Calibri"/>
                <w:sz w:val="16"/>
                <w:szCs w:val="16"/>
              </w:rPr>
            </w:pPr>
            <w:r w:rsidRPr="00E4644B">
              <w:rPr>
                <w:rFonts w:ascii="Calibri" w:hAnsi="Calibri" w:cs="Calibri"/>
                <w:sz w:val="16"/>
                <w:szCs w:val="16"/>
              </w:rPr>
              <w:t>8,0</w:t>
            </w:r>
          </w:p>
        </w:tc>
        <w:tc>
          <w:tcPr>
            <w:tcW w:w="2023" w:type="dxa"/>
          </w:tcPr>
          <w:p w:rsidR="00AD54A3" w:rsidRPr="00E4644B" w:rsidRDefault="00AD54A3" w:rsidP="00FD47C7">
            <w:pPr>
              <w:jc w:val="center"/>
              <w:rPr>
                <w:rFonts w:ascii="Calibri" w:hAnsi="Calibri" w:cs="Calibri"/>
                <w:sz w:val="16"/>
                <w:szCs w:val="16"/>
              </w:rPr>
            </w:pPr>
            <w:r w:rsidRPr="00E4644B">
              <w:rPr>
                <w:rFonts w:ascii="Calibri" w:hAnsi="Calibri" w:cs="Calibri"/>
                <w:sz w:val="16"/>
                <w:szCs w:val="16"/>
              </w:rPr>
              <w:t>10,0</w:t>
            </w:r>
          </w:p>
        </w:tc>
        <w:tc>
          <w:tcPr>
            <w:tcW w:w="1733" w:type="dxa"/>
          </w:tcPr>
          <w:p w:rsidR="00AD54A3" w:rsidRPr="00E4644B" w:rsidRDefault="00AD54A3" w:rsidP="00FD47C7">
            <w:pPr>
              <w:jc w:val="center"/>
              <w:rPr>
                <w:rFonts w:ascii="Calibri" w:hAnsi="Calibri" w:cs="Calibri"/>
                <w:sz w:val="16"/>
                <w:szCs w:val="16"/>
              </w:rPr>
            </w:pPr>
            <w:r w:rsidRPr="00E4644B">
              <w:rPr>
                <w:rFonts w:ascii="Calibri" w:hAnsi="Calibri" w:cs="Calibri"/>
                <w:sz w:val="16"/>
                <w:szCs w:val="16"/>
              </w:rPr>
              <w:t>C8/10</w:t>
            </w:r>
          </w:p>
        </w:tc>
      </w:tr>
      <w:tr w:rsidR="00AD54A3" w:rsidRPr="00E4644B" w:rsidTr="00FD47C7">
        <w:tc>
          <w:tcPr>
            <w:tcW w:w="1668" w:type="dxa"/>
          </w:tcPr>
          <w:p w:rsidR="00AD54A3" w:rsidRPr="00E4644B" w:rsidRDefault="00AD54A3" w:rsidP="00FD47C7">
            <w:pPr>
              <w:jc w:val="center"/>
              <w:rPr>
                <w:rFonts w:ascii="Calibri" w:hAnsi="Calibri" w:cs="Calibri"/>
                <w:sz w:val="16"/>
                <w:szCs w:val="16"/>
              </w:rPr>
            </w:pPr>
            <w:r w:rsidRPr="00E4644B">
              <w:rPr>
                <w:rFonts w:ascii="Calibri" w:hAnsi="Calibri" w:cs="Calibri"/>
                <w:sz w:val="16"/>
                <w:szCs w:val="16"/>
              </w:rPr>
              <w:t>6</w:t>
            </w:r>
          </w:p>
        </w:tc>
        <w:tc>
          <w:tcPr>
            <w:tcW w:w="2087" w:type="dxa"/>
          </w:tcPr>
          <w:p w:rsidR="00AD54A3" w:rsidRPr="00E4644B" w:rsidRDefault="00AD54A3" w:rsidP="00FD47C7">
            <w:pPr>
              <w:jc w:val="center"/>
              <w:rPr>
                <w:rFonts w:ascii="Calibri" w:hAnsi="Calibri" w:cs="Calibri"/>
                <w:sz w:val="16"/>
                <w:szCs w:val="16"/>
              </w:rPr>
            </w:pPr>
            <w:r w:rsidRPr="00E4644B">
              <w:rPr>
                <w:rFonts w:ascii="Calibri" w:hAnsi="Calibri" w:cs="Calibri"/>
                <w:sz w:val="16"/>
                <w:szCs w:val="16"/>
              </w:rPr>
              <w:t>12</w:t>
            </w:r>
          </w:p>
        </w:tc>
        <w:tc>
          <w:tcPr>
            <w:tcW w:w="2023" w:type="dxa"/>
          </w:tcPr>
          <w:p w:rsidR="00AD54A3" w:rsidRPr="00E4644B" w:rsidRDefault="00AD54A3" w:rsidP="00FD47C7">
            <w:pPr>
              <w:jc w:val="center"/>
              <w:rPr>
                <w:rFonts w:ascii="Calibri" w:hAnsi="Calibri" w:cs="Calibri"/>
                <w:sz w:val="16"/>
                <w:szCs w:val="16"/>
              </w:rPr>
            </w:pPr>
            <w:r w:rsidRPr="00E4644B">
              <w:rPr>
                <w:rFonts w:ascii="Calibri" w:hAnsi="Calibri" w:cs="Calibri"/>
                <w:sz w:val="16"/>
                <w:szCs w:val="16"/>
              </w:rPr>
              <w:t>15</w:t>
            </w:r>
          </w:p>
        </w:tc>
        <w:tc>
          <w:tcPr>
            <w:tcW w:w="1733" w:type="dxa"/>
          </w:tcPr>
          <w:p w:rsidR="00AD54A3" w:rsidRPr="00E4644B" w:rsidRDefault="00AD54A3" w:rsidP="00FD47C7">
            <w:pPr>
              <w:jc w:val="center"/>
              <w:rPr>
                <w:rFonts w:ascii="Calibri" w:hAnsi="Calibri" w:cs="Calibri"/>
                <w:sz w:val="16"/>
                <w:szCs w:val="16"/>
              </w:rPr>
            </w:pPr>
            <w:r w:rsidRPr="00E4644B">
              <w:rPr>
                <w:rFonts w:ascii="Calibri" w:hAnsi="Calibri" w:cs="Calibri"/>
                <w:sz w:val="16"/>
                <w:szCs w:val="16"/>
              </w:rPr>
              <w:t>C12/15</w:t>
            </w:r>
          </w:p>
        </w:tc>
      </w:tr>
      <w:tr w:rsidR="00AD54A3" w:rsidRPr="00E4644B" w:rsidTr="00FD47C7">
        <w:tc>
          <w:tcPr>
            <w:tcW w:w="1668" w:type="dxa"/>
          </w:tcPr>
          <w:p w:rsidR="00AD54A3" w:rsidRPr="00E4644B" w:rsidRDefault="00AD54A3" w:rsidP="00FD47C7">
            <w:pPr>
              <w:jc w:val="center"/>
              <w:rPr>
                <w:rFonts w:ascii="Calibri" w:hAnsi="Calibri" w:cs="Calibri"/>
                <w:sz w:val="16"/>
                <w:szCs w:val="16"/>
              </w:rPr>
            </w:pPr>
            <w:r w:rsidRPr="00E4644B">
              <w:rPr>
                <w:rFonts w:ascii="Calibri" w:hAnsi="Calibri" w:cs="Calibri"/>
                <w:sz w:val="16"/>
                <w:szCs w:val="16"/>
              </w:rPr>
              <w:t>7</w:t>
            </w:r>
          </w:p>
        </w:tc>
        <w:tc>
          <w:tcPr>
            <w:tcW w:w="2087" w:type="dxa"/>
          </w:tcPr>
          <w:p w:rsidR="00AD54A3" w:rsidRPr="00E4644B" w:rsidRDefault="00AD54A3" w:rsidP="00FD47C7">
            <w:pPr>
              <w:jc w:val="center"/>
              <w:rPr>
                <w:rFonts w:ascii="Calibri" w:hAnsi="Calibri" w:cs="Calibri"/>
                <w:sz w:val="16"/>
                <w:szCs w:val="16"/>
              </w:rPr>
            </w:pPr>
            <w:r w:rsidRPr="00E4644B">
              <w:rPr>
                <w:rFonts w:ascii="Calibri" w:hAnsi="Calibri" w:cs="Calibri"/>
                <w:sz w:val="16"/>
                <w:szCs w:val="16"/>
              </w:rPr>
              <w:t>16</w:t>
            </w:r>
          </w:p>
        </w:tc>
        <w:tc>
          <w:tcPr>
            <w:tcW w:w="2023" w:type="dxa"/>
          </w:tcPr>
          <w:p w:rsidR="00AD54A3" w:rsidRPr="00E4644B" w:rsidRDefault="00AD54A3" w:rsidP="00FD47C7">
            <w:pPr>
              <w:jc w:val="center"/>
              <w:rPr>
                <w:rFonts w:ascii="Calibri" w:hAnsi="Calibri" w:cs="Calibri"/>
                <w:sz w:val="16"/>
                <w:szCs w:val="16"/>
              </w:rPr>
            </w:pPr>
            <w:r w:rsidRPr="00E4644B">
              <w:rPr>
                <w:rFonts w:ascii="Calibri" w:hAnsi="Calibri" w:cs="Calibri"/>
                <w:sz w:val="16"/>
                <w:szCs w:val="16"/>
              </w:rPr>
              <w:t>20</w:t>
            </w:r>
          </w:p>
        </w:tc>
        <w:tc>
          <w:tcPr>
            <w:tcW w:w="1733" w:type="dxa"/>
          </w:tcPr>
          <w:p w:rsidR="00AD54A3" w:rsidRPr="00E4644B" w:rsidRDefault="00AD54A3" w:rsidP="00FD47C7">
            <w:pPr>
              <w:jc w:val="center"/>
              <w:rPr>
                <w:rFonts w:ascii="Calibri" w:hAnsi="Calibri" w:cs="Calibri"/>
                <w:sz w:val="16"/>
                <w:szCs w:val="16"/>
              </w:rPr>
            </w:pPr>
            <w:r w:rsidRPr="00E4644B">
              <w:rPr>
                <w:rFonts w:ascii="Calibri" w:hAnsi="Calibri" w:cs="Calibri"/>
                <w:sz w:val="16"/>
                <w:szCs w:val="16"/>
              </w:rPr>
              <w:t>C16/20</w:t>
            </w:r>
          </w:p>
        </w:tc>
      </w:tr>
      <w:tr w:rsidR="00AD54A3" w:rsidRPr="00E4644B" w:rsidTr="00FD47C7">
        <w:tc>
          <w:tcPr>
            <w:tcW w:w="1668" w:type="dxa"/>
          </w:tcPr>
          <w:p w:rsidR="00AD54A3" w:rsidRPr="00E4644B" w:rsidRDefault="00AD54A3" w:rsidP="00FD47C7">
            <w:pPr>
              <w:jc w:val="center"/>
              <w:rPr>
                <w:rFonts w:ascii="Calibri" w:hAnsi="Calibri" w:cs="Calibri"/>
                <w:sz w:val="16"/>
                <w:szCs w:val="16"/>
              </w:rPr>
            </w:pPr>
            <w:r w:rsidRPr="00E4644B">
              <w:rPr>
                <w:rFonts w:ascii="Calibri" w:hAnsi="Calibri" w:cs="Calibri"/>
                <w:sz w:val="16"/>
                <w:szCs w:val="16"/>
              </w:rPr>
              <w:t>8</w:t>
            </w:r>
          </w:p>
        </w:tc>
        <w:tc>
          <w:tcPr>
            <w:tcW w:w="2087" w:type="dxa"/>
          </w:tcPr>
          <w:p w:rsidR="00AD54A3" w:rsidRPr="00E4644B" w:rsidRDefault="00AD54A3" w:rsidP="00FD47C7">
            <w:pPr>
              <w:jc w:val="center"/>
              <w:rPr>
                <w:rFonts w:ascii="Calibri" w:hAnsi="Calibri" w:cs="Calibri"/>
                <w:sz w:val="16"/>
                <w:szCs w:val="16"/>
              </w:rPr>
            </w:pPr>
            <w:r w:rsidRPr="00E4644B">
              <w:rPr>
                <w:rFonts w:ascii="Calibri" w:hAnsi="Calibri" w:cs="Calibri"/>
                <w:sz w:val="16"/>
                <w:szCs w:val="16"/>
              </w:rPr>
              <w:t>20</w:t>
            </w:r>
          </w:p>
        </w:tc>
        <w:tc>
          <w:tcPr>
            <w:tcW w:w="2023" w:type="dxa"/>
          </w:tcPr>
          <w:p w:rsidR="00AD54A3" w:rsidRPr="00E4644B" w:rsidRDefault="00AD54A3" w:rsidP="00FD47C7">
            <w:pPr>
              <w:jc w:val="center"/>
              <w:rPr>
                <w:rFonts w:ascii="Calibri" w:hAnsi="Calibri" w:cs="Calibri"/>
                <w:sz w:val="16"/>
                <w:szCs w:val="16"/>
              </w:rPr>
            </w:pPr>
            <w:r w:rsidRPr="00E4644B">
              <w:rPr>
                <w:rFonts w:ascii="Calibri" w:hAnsi="Calibri" w:cs="Calibri"/>
                <w:sz w:val="16"/>
                <w:szCs w:val="16"/>
              </w:rPr>
              <w:t>25</w:t>
            </w:r>
          </w:p>
        </w:tc>
        <w:tc>
          <w:tcPr>
            <w:tcW w:w="1733" w:type="dxa"/>
          </w:tcPr>
          <w:p w:rsidR="00AD54A3" w:rsidRPr="00E4644B" w:rsidRDefault="00AD54A3" w:rsidP="00FD47C7">
            <w:pPr>
              <w:jc w:val="center"/>
              <w:rPr>
                <w:rFonts w:ascii="Calibri" w:hAnsi="Calibri" w:cs="Calibri"/>
                <w:sz w:val="16"/>
                <w:szCs w:val="16"/>
              </w:rPr>
            </w:pPr>
            <w:r w:rsidRPr="00E4644B">
              <w:rPr>
                <w:rFonts w:ascii="Calibri" w:hAnsi="Calibri" w:cs="Calibri"/>
                <w:sz w:val="16"/>
                <w:szCs w:val="16"/>
              </w:rPr>
              <w:t>C20/25</w:t>
            </w:r>
          </w:p>
        </w:tc>
      </w:tr>
      <w:tr w:rsidR="00AD54A3" w:rsidRPr="00E4644B" w:rsidTr="00FD47C7">
        <w:tc>
          <w:tcPr>
            <w:tcW w:w="7511" w:type="dxa"/>
            <w:gridSpan w:val="4"/>
          </w:tcPr>
          <w:p w:rsidR="00AD54A3" w:rsidRPr="00E4644B" w:rsidRDefault="00AD54A3" w:rsidP="00FD47C7">
            <w:pPr>
              <w:jc w:val="center"/>
              <w:rPr>
                <w:rFonts w:ascii="Calibri" w:hAnsi="Calibri" w:cs="Calibri"/>
                <w:sz w:val="16"/>
                <w:szCs w:val="16"/>
              </w:rPr>
            </w:pPr>
            <w:r w:rsidRPr="00E4644B">
              <w:rPr>
                <w:rFonts w:ascii="Calibri" w:hAnsi="Calibri" w:cs="Calibri"/>
                <w:sz w:val="16"/>
                <w:szCs w:val="16"/>
              </w:rPr>
              <w:t>a H/D = stosunek wysokości do średnicy próbki</w:t>
            </w:r>
          </w:p>
          <w:p w:rsidR="00AD54A3" w:rsidRPr="00E4644B" w:rsidRDefault="00AD54A3" w:rsidP="00FD47C7">
            <w:pPr>
              <w:jc w:val="center"/>
              <w:rPr>
                <w:rFonts w:ascii="Calibri" w:hAnsi="Calibri" w:cs="Calibri"/>
                <w:sz w:val="16"/>
                <w:szCs w:val="16"/>
              </w:rPr>
            </w:pPr>
            <w:r w:rsidRPr="00E4644B">
              <w:rPr>
                <w:rFonts w:ascii="Calibri" w:hAnsi="Calibri" w:cs="Calibri"/>
                <w:sz w:val="16"/>
                <w:szCs w:val="16"/>
              </w:rPr>
              <w:t>b H/D = 0,8 d0 1,21</w:t>
            </w:r>
          </w:p>
        </w:tc>
      </w:tr>
    </w:tbl>
    <w:p w:rsidR="00AD54A3" w:rsidRDefault="00AD54A3" w:rsidP="00AD54A3">
      <w:r w:rsidRPr="000203A8">
        <w:tab/>
      </w:r>
    </w:p>
    <w:p w:rsidR="00AD54A3" w:rsidRPr="00E4644B" w:rsidRDefault="00AD54A3" w:rsidP="00AD54A3">
      <w:pPr>
        <w:rPr>
          <w:rFonts w:ascii="Calibri" w:hAnsi="Calibri" w:cs="Calibri"/>
        </w:rPr>
      </w:pPr>
      <w:r>
        <w:tab/>
      </w:r>
      <w:r w:rsidRPr="00E4644B">
        <w:rPr>
          <w:rFonts w:ascii="Calibri" w:hAnsi="Calibri" w:cs="Calibri"/>
        </w:rPr>
        <w:t>Dopuszcza się podawanie wytrzymałości na ściskanie Rc z dodatkowym indeksem informującym o czasie pielęgnacji, np. Rc7, Rc14, Rc28.</w:t>
      </w:r>
    </w:p>
    <w:p w:rsidR="00AD54A3" w:rsidRPr="00E4644B" w:rsidRDefault="00AD54A3" w:rsidP="00AD54A3">
      <w:pPr>
        <w:rPr>
          <w:rFonts w:ascii="Calibri" w:hAnsi="Calibri" w:cs="Calibri"/>
        </w:rPr>
      </w:pPr>
      <w:r w:rsidRPr="00E4644B">
        <w:rPr>
          <w:rFonts w:ascii="Calibri" w:hAnsi="Calibri" w:cs="Calibri"/>
        </w:rPr>
        <w:tab/>
        <w:t>Określone w badaniu progowe ilości wody powinny uwzględniać właściwe zagęszczenie i oczekiwane parametry mechaniczne mieszanki. Należy określić procentowy udział składników w stosunku do całkowitej masy mieszanki w stanie suchym oraz uziarnienie i gęstość objętościową. Proporcję należy określić laboratoryjnie lub/i na podstawie praktycznych doświadczeń z mieszankami wykonywanymi z tych samych składników i w tych samych warunkach, spełniające wymagania niniejszej specyfikacji.</w:t>
      </w:r>
    </w:p>
    <w:p w:rsidR="00AD54A3" w:rsidRPr="00E4644B" w:rsidRDefault="00AD54A3" w:rsidP="00AD54A3">
      <w:pPr>
        <w:rPr>
          <w:rFonts w:ascii="Calibri" w:hAnsi="Calibri" w:cs="Calibri"/>
        </w:rPr>
      </w:pPr>
      <w:r w:rsidRPr="00E4644B">
        <w:rPr>
          <w:rFonts w:ascii="Calibri" w:hAnsi="Calibri" w:cs="Calibri"/>
        </w:rPr>
        <w:tab/>
        <w:t>Sprawdzenie uziarnienia mieszanki mineralnej należy wykonać zgodnie z metodą wg PN-EN 933-1. Do analizy stosuje się zestaw sit podstawowy + 1, składający się z następujących sit o oczkach kwadratowych w mm: 0,063; 0,50; 1,0; 2,0; 4,0; 5,6; 8,0; 11,2; 16,0; 22,4; 31,5; 45,0.</w:t>
      </w:r>
    </w:p>
    <w:p w:rsidR="00AD54A3" w:rsidRDefault="00AD54A3" w:rsidP="00AD54A3">
      <w:pPr>
        <w:rPr>
          <w:rFonts w:ascii="Calibri" w:hAnsi="Calibri" w:cs="Calibri"/>
        </w:rPr>
      </w:pPr>
      <w:r w:rsidRPr="00E4644B">
        <w:rPr>
          <w:rFonts w:ascii="Calibri" w:hAnsi="Calibri" w:cs="Calibri"/>
        </w:rPr>
        <w:tab/>
        <w:t>Krzywa uziarnienia mieszanki powinna zawierać się w obszarze między krzywymi granicznymi uziarnienia przedstawionych na rys. 1÷5, odpowiednio dla każdego rodzaju mieszanki.</w:t>
      </w:r>
    </w:p>
    <w:p w:rsidR="0014295F" w:rsidRDefault="0014295F" w:rsidP="00AD54A3">
      <w:pPr>
        <w:rPr>
          <w:rFonts w:ascii="Calibri" w:hAnsi="Calibri" w:cs="Calibri"/>
        </w:rPr>
      </w:pPr>
    </w:p>
    <w:p w:rsidR="0014295F" w:rsidRPr="00E4644B" w:rsidRDefault="0014295F" w:rsidP="00AD54A3">
      <w:pPr>
        <w:rPr>
          <w:rFonts w:ascii="Calibri" w:hAnsi="Calibri" w:cs="Calibri"/>
        </w:rPr>
      </w:pPr>
    </w:p>
    <w:p w:rsidR="00AD54A3" w:rsidRPr="000203A8" w:rsidRDefault="00AD54A3" w:rsidP="00AD54A3"/>
    <w:p w:rsidR="00AD54A3" w:rsidRPr="000203A8" w:rsidRDefault="00AD54A3" w:rsidP="00AD54A3">
      <w:pPr>
        <w:ind w:left="709"/>
      </w:pPr>
      <w:r>
        <w:rPr>
          <w:noProof/>
        </w:rPr>
        <w:drawing>
          <wp:inline distT="0" distB="0" distL="0" distR="0">
            <wp:extent cx="4162425" cy="3038475"/>
            <wp:effectExtent l="19050" t="0" r="9525" b="0"/>
            <wp:docPr id="165" name="Obraz 1" descr="rys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az 1" descr="rys1"/>
                    <pic:cNvPicPr>
                      <a:picLocks noChangeAspect="1" noChangeArrowheads="1"/>
                    </pic:cNvPicPr>
                  </pic:nvPicPr>
                  <pic:blipFill>
                    <a:blip r:embed="rId28" cstate="print"/>
                    <a:srcRect/>
                    <a:stretch>
                      <a:fillRect/>
                    </a:stretch>
                  </pic:blipFill>
                  <pic:spPr bwMode="auto">
                    <a:xfrm>
                      <a:off x="0" y="0"/>
                      <a:ext cx="4162425" cy="3038475"/>
                    </a:xfrm>
                    <a:prstGeom prst="rect">
                      <a:avLst/>
                    </a:prstGeom>
                    <a:noFill/>
                    <a:ln w="9525">
                      <a:noFill/>
                      <a:miter lim="800000"/>
                      <a:headEnd/>
                      <a:tailEnd/>
                    </a:ln>
                  </pic:spPr>
                </pic:pic>
              </a:graphicData>
            </a:graphic>
          </wp:inline>
        </w:drawing>
      </w:r>
    </w:p>
    <w:p w:rsidR="00AD54A3" w:rsidRPr="00E4644B" w:rsidRDefault="00AD54A3" w:rsidP="00AD54A3">
      <w:pPr>
        <w:ind w:left="709"/>
        <w:rPr>
          <w:rFonts w:ascii="Calibri" w:hAnsi="Calibri" w:cs="Calibri"/>
        </w:rPr>
      </w:pPr>
      <w:r w:rsidRPr="00E4644B">
        <w:rPr>
          <w:rFonts w:ascii="Calibri" w:hAnsi="Calibri" w:cs="Calibri"/>
        </w:rPr>
        <w:t>Rys. 1. Krzywe graniczne uziarnienia mieszanki mineralnej 0/31,5 mm</w:t>
      </w:r>
    </w:p>
    <w:p w:rsidR="00AD54A3" w:rsidRDefault="00AD54A3" w:rsidP="00AD54A3">
      <w:pPr>
        <w:rPr>
          <w:rFonts w:ascii="Calibri" w:hAnsi="Calibri" w:cs="Calibri"/>
        </w:rPr>
      </w:pPr>
    </w:p>
    <w:p w:rsidR="0014295F" w:rsidRDefault="0014295F" w:rsidP="00AD54A3">
      <w:pPr>
        <w:rPr>
          <w:rFonts w:ascii="Calibri" w:hAnsi="Calibri" w:cs="Calibri"/>
        </w:rPr>
      </w:pPr>
    </w:p>
    <w:p w:rsidR="0014295F" w:rsidRPr="00E4644B" w:rsidRDefault="0014295F" w:rsidP="00AD54A3">
      <w:pPr>
        <w:rPr>
          <w:rFonts w:ascii="Calibri" w:hAnsi="Calibri" w:cs="Calibri"/>
        </w:rPr>
      </w:pPr>
    </w:p>
    <w:p w:rsidR="00AD54A3" w:rsidRPr="000203A8" w:rsidRDefault="00AD54A3" w:rsidP="00AD54A3">
      <w:pPr>
        <w:ind w:left="709"/>
      </w:pPr>
      <w:r>
        <w:rPr>
          <w:noProof/>
        </w:rPr>
        <w:lastRenderedPageBreak/>
        <w:drawing>
          <wp:inline distT="0" distB="0" distL="0" distR="0">
            <wp:extent cx="4200525" cy="3067050"/>
            <wp:effectExtent l="19050" t="0" r="9525" b="0"/>
            <wp:docPr id="166" name="Obraz 2" descr="rys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az 2" descr="rys2"/>
                    <pic:cNvPicPr>
                      <a:picLocks noChangeAspect="1" noChangeArrowheads="1"/>
                    </pic:cNvPicPr>
                  </pic:nvPicPr>
                  <pic:blipFill>
                    <a:blip r:embed="rId29" cstate="print"/>
                    <a:srcRect/>
                    <a:stretch>
                      <a:fillRect/>
                    </a:stretch>
                  </pic:blipFill>
                  <pic:spPr bwMode="auto">
                    <a:xfrm>
                      <a:off x="0" y="0"/>
                      <a:ext cx="4200525" cy="3067050"/>
                    </a:xfrm>
                    <a:prstGeom prst="rect">
                      <a:avLst/>
                    </a:prstGeom>
                    <a:noFill/>
                    <a:ln w="9525">
                      <a:noFill/>
                      <a:miter lim="800000"/>
                      <a:headEnd/>
                      <a:tailEnd/>
                    </a:ln>
                  </pic:spPr>
                </pic:pic>
              </a:graphicData>
            </a:graphic>
          </wp:inline>
        </w:drawing>
      </w:r>
    </w:p>
    <w:p w:rsidR="00AD54A3" w:rsidRDefault="00AD54A3" w:rsidP="00AD54A3">
      <w:pPr>
        <w:ind w:left="709"/>
        <w:rPr>
          <w:rFonts w:ascii="Calibri" w:hAnsi="Calibri" w:cs="Calibri"/>
        </w:rPr>
      </w:pPr>
      <w:r w:rsidRPr="00E4644B">
        <w:rPr>
          <w:rFonts w:ascii="Calibri" w:hAnsi="Calibri" w:cs="Calibri"/>
        </w:rPr>
        <w:t>Rys. 2. Krzywe graniczne uziarnienia mieszanki mineralnej 0/22,4 mm</w:t>
      </w:r>
    </w:p>
    <w:p w:rsidR="0014295F" w:rsidRDefault="0014295F" w:rsidP="00AD54A3">
      <w:pPr>
        <w:ind w:left="709"/>
        <w:rPr>
          <w:rFonts w:ascii="Calibri" w:hAnsi="Calibri" w:cs="Calibri"/>
        </w:rPr>
      </w:pPr>
    </w:p>
    <w:p w:rsidR="0014295F" w:rsidRDefault="0014295F" w:rsidP="00AD54A3">
      <w:pPr>
        <w:ind w:left="709"/>
        <w:rPr>
          <w:rFonts w:ascii="Calibri" w:hAnsi="Calibri" w:cs="Calibri"/>
        </w:rPr>
      </w:pPr>
    </w:p>
    <w:p w:rsidR="0014295F" w:rsidRDefault="0014295F" w:rsidP="00AD54A3">
      <w:pPr>
        <w:ind w:left="709"/>
        <w:rPr>
          <w:rFonts w:ascii="Calibri" w:hAnsi="Calibri" w:cs="Calibri"/>
        </w:rPr>
      </w:pPr>
    </w:p>
    <w:p w:rsidR="0014295F" w:rsidRPr="00E4644B" w:rsidRDefault="0014295F" w:rsidP="00AD54A3">
      <w:pPr>
        <w:ind w:left="709"/>
        <w:rPr>
          <w:rFonts w:ascii="Calibri" w:hAnsi="Calibri" w:cs="Calibri"/>
        </w:rPr>
      </w:pPr>
    </w:p>
    <w:p w:rsidR="00AD54A3" w:rsidRPr="000203A8" w:rsidRDefault="00AD54A3" w:rsidP="00AD54A3">
      <w:pPr>
        <w:ind w:left="709"/>
      </w:pPr>
      <w:r>
        <w:rPr>
          <w:noProof/>
        </w:rPr>
        <w:drawing>
          <wp:inline distT="0" distB="0" distL="0" distR="0">
            <wp:extent cx="4095750" cy="3133725"/>
            <wp:effectExtent l="19050" t="0" r="0" b="0"/>
            <wp:docPr id="167" name="Obraz 3" descr="rys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az 3" descr="rys3"/>
                    <pic:cNvPicPr>
                      <a:picLocks noChangeAspect="1" noChangeArrowheads="1"/>
                    </pic:cNvPicPr>
                  </pic:nvPicPr>
                  <pic:blipFill>
                    <a:blip r:embed="rId30" cstate="print"/>
                    <a:srcRect/>
                    <a:stretch>
                      <a:fillRect/>
                    </a:stretch>
                  </pic:blipFill>
                  <pic:spPr bwMode="auto">
                    <a:xfrm>
                      <a:off x="0" y="0"/>
                      <a:ext cx="4095750" cy="3133725"/>
                    </a:xfrm>
                    <a:prstGeom prst="rect">
                      <a:avLst/>
                    </a:prstGeom>
                    <a:noFill/>
                    <a:ln w="9525">
                      <a:noFill/>
                      <a:miter lim="800000"/>
                      <a:headEnd/>
                      <a:tailEnd/>
                    </a:ln>
                  </pic:spPr>
                </pic:pic>
              </a:graphicData>
            </a:graphic>
          </wp:inline>
        </w:drawing>
      </w:r>
    </w:p>
    <w:p w:rsidR="00AD54A3" w:rsidRPr="00E4644B" w:rsidRDefault="00AD54A3" w:rsidP="00AD54A3">
      <w:pPr>
        <w:ind w:left="709"/>
        <w:rPr>
          <w:rFonts w:ascii="Calibri" w:hAnsi="Calibri" w:cs="Calibri"/>
        </w:rPr>
      </w:pPr>
      <w:r w:rsidRPr="00E4644B">
        <w:rPr>
          <w:rFonts w:ascii="Calibri" w:hAnsi="Calibri" w:cs="Calibri"/>
        </w:rPr>
        <w:t>Rys. 3. Krzywe graniczne uziarnienia mieszanki mineralnej 0/16 mm</w:t>
      </w:r>
    </w:p>
    <w:p w:rsidR="00AD54A3" w:rsidRPr="00E4644B" w:rsidRDefault="00AD54A3" w:rsidP="00AD54A3">
      <w:pPr>
        <w:rPr>
          <w:rFonts w:ascii="Calibri" w:hAnsi="Calibri" w:cs="Calibri"/>
        </w:rPr>
      </w:pPr>
    </w:p>
    <w:p w:rsidR="00AD54A3" w:rsidRPr="000203A8" w:rsidRDefault="00AD54A3" w:rsidP="00AD54A3">
      <w:pPr>
        <w:ind w:left="709"/>
      </w:pPr>
      <w:r>
        <w:rPr>
          <w:noProof/>
        </w:rPr>
        <w:lastRenderedPageBreak/>
        <w:drawing>
          <wp:inline distT="0" distB="0" distL="0" distR="0">
            <wp:extent cx="4171950" cy="3095625"/>
            <wp:effectExtent l="19050" t="0" r="0" b="0"/>
            <wp:docPr id="168" name="Obraz 4" descr="rys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az 4" descr="rys4"/>
                    <pic:cNvPicPr>
                      <a:picLocks noChangeAspect="1" noChangeArrowheads="1"/>
                    </pic:cNvPicPr>
                  </pic:nvPicPr>
                  <pic:blipFill>
                    <a:blip r:embed="rId31" cstate="print"/>
                    <a:srcRect/>
                    <a:stretch>
                      <a:fillRect/>
                    </a:stretch>
                  </pic:blipFill>
                  <pic:spPr bwMode="auto">
                    <a:xfrm>
                      <a:off x="0" y="0"/>
                      <a:ext cx="4171950" cy="3095625"/>
                    </a:xfrm>
                    <a:prstGeom prst="rect">
                      <a:avLst/>
                    </a:prstGeom>
                    <a:noFill/>
                    <a:ln w="9525">
                      <a:noFill/>
                      <a:miter lim="800000"/>
                      <a:headEnd/>
                      <a:tailEnd/>
                    </a:ln>
                  </pic:spPr>
                </pic:pic>
              </a:graphicData>
            </a:graphic>
          </wp:inline>
        </w:drawing>
      </w:r>
    </w:p>
    <w:p w:rsidR="00AD54A3" w:rsidRDefault="00AD54A3" w:rsidP="00AD54A3">
      <w:pPr>
        <w:ind w:left="709"/>
        <w:rPr>
          <w:rFonts w:ascii="Calibri" w:hAnsi="Calibri" w:cs="Calibri"/>
        </w:rPr>
      </w:pPr>
      <w:r w:rsidRPr="00E4644B">
        <w:rPr>
          <w:rFonts w:ascii="Calibri" w:hAnsi="Calibri" w:cs="Calibri"/>
        </w:rPr>
        <w:t>Rys. 4. Krzywe graniczne uziarnienia mieszanki mineralnej 0/11,2 mm</w:t>
      </w:r>
    </w:p>
    <w:p w:rsidR="0014295F" w:rsidRDefault="0014295F" w:rsidP="00AD54A3">
      <w:pPr>
        <w:ind w:left="709"/>
        <w:rPr>
          <w:rFonts w:ascii="Calibri" w:hAnsi="Calibri" w:cs="Calibri"/>
        </w:rPr>
      </w:pPr>
    </w:p>
    <w:p w:rsidR="00AD54A3" w:rsidRPr="000203A8" w:rsidRDefault="00AD54A3" w:rsidP="00AD54A3">
      <w:pPr>
        <w:ind w:left="709"/>
      </w:pPr>
      <w:r>
        <w:rPr>
          <w:noProof/>
        </w:rPr>
        <w:drawing>
          <wp:inline distT="0" distB="0" distL="0" distR="0">
            <wp:extent cx="4200525" cy="3095625"/>
            <wp:effectExtent l="19050" t="0" r="9525" b="0"/>
            <wp:docPr id="169" name="Obraz 5" descr="rys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az 5" descr="rys5"/>
                    <pic:cNvPicPr>
                      <a:picLocks noChangeAspect="1" noChangeArrowheads="1"/>
                    </pic:cNvPicPr>
                  </pic:nvPicPr>
                  <pic:blipFill>
                    <a:blip r:embed="rId32" cstate="print"/>
                    <a:srcRect/>
                    <a:stretch>
                      <a:fillRect/>
                    </a:stretch>
                  </pic:blipFill>
                  <pic:spPr bwMode="auto">
                    <a:xfrm>
                      <a:off x="0" y="0"/>
                      <a:ext cx="4200525" cy="3095625"/>
                    </a:xfrm>
                    <a:prstGeom prst="rect">
                      <a:avLst/>
                    </a:prstGeom>
                    <a:noFill/>
                    <a:ln w="9525">
                      <a:noFill/>
                      <a:miter lim="800000"/>
                      <a:headEnd/>
                      <a:tailEnd/>
                    </a:ln>
                  </pic:spPr>
                </pic:pic>
              </a:graphicData>
            </a:graphic>
          </wp:inline>
        </w:drawing>
      </w:r>
    </w:p>
    <w:p w:rsidR="00AD54A3" w:rsidRPr="00E4644B" w:rsidRDefault="00AD54A3" w:rsidP="00AD54A3">
      <w:pPr>
        <w:ind w:left="709"/>
        <w:rPr>
          <w:rFonts w:ascii="Calibri" w:hAnsi="Calibri" w:cs="Calibri"/>
        </w:rPr>
      </w:pPr>
      <w:r w:rsidRPr="00E4644B">
        <w:rPr>
          <w:rFonts w:ascii="Calibri" w:hAnsi="Calibri" w:cs="Calibri"/>
        </w:rPr>
        <w:t>Rys.5. Krzywe graniczne uziarnienia mieszanki mineralnej 0/8 mm</w:t>
      </w:r>
    </w:p>
    <w:p w:rsidR="00AD54A3" w:rsidRPr="00E4644B" w:rsidRDefault="00AD54A3" w:rsidP="00AD54A3">
      <w:pPr>
        <w:rPr>
          <w:rFonts w:ascii="Calibri" w:hAnsi="Calibri" w:cs="Calibri"/>
        </w:rPr>
      </w:pPr>
      <w:r w:rsidRPr="00E4644B">
        <w:rPr>
          <w:rFonts w:ascii="Calibri" w:hAnsi="Calibri" w:cs="Calibri"/>
        </w:rPr>
        <w:tab/>
      </w:r>
    </w:p>
    <w:p w:rsidR="00AD54A3" w:rsidRPr="00E4644B" w:rsidRDefault="00AD54A3" w:rsidP="00AD54A3">
      <w:pPr>
        <w:ind w:firstLine="708"/>
        <w:rPr>
          <w:rFonts w:ascii="Calibri" w:hAnsi="Calibri" w:cs="Calibri"/>
        </w:rPr>
      </w:pPr>
      <w:r w:rsidRPr="00E4644B">
        <w:rPr>
          <w:rFonts w:ascii="Calibri" w:hAnsi="Calibri" w:cs="Calibri"/>
        </w:rPr>
        <w:t>Zawartość spoiwa (cementu) w mieszance powinna być określona na podstawie procedury projektowej i/lub doświadczenia z mieszankami wyprodukowanymi przy użyciu proponowanych składników. Zawartość spoiwa nie powinna być mniejsza od minimalnych wartości przedstawionych w tablicy 3.</w:t>
      </w:r>
    </w:p>
    <w:p w:rsidR="00AD54A3" w:rsidRPr="00E4644B" w:rsidRDefault="00AD54A3" w:rsidP="00AD54A3">
      <w:pPr>
        <w:rPr>
          <w:rFonts w:ascii="Calibri" w:hAnsi="Calibri" w:cs="Calibri"/>
        </w:rPr>
      </w:pPr>
    </w:p>
    <w:p w:rsidR="00AD54A3" w:rsidRPr="00E4644B" w:rsidRDefault="00AD54A3" w:rsidP="00AD54A3">
      <w:pPr>
        <w:ind w:left="709"/>
        <w:rPr>
          <w:rFonts w:ascii="Calibri" w:hAnsi="Calibri" w:cs="Calibri"/>
        </w:rPr>
      </w:pPr>
      <w:r w:rsidRPr="00E4644B">
        <w:rPr>
          <w:rFonts w:ascii="Calibri" w:hAnsi="Calibri" w:cs="Calibri"/>
        </w:rPr>
        <w:t>Tablica 3. Minimalna zawartość spoiwa (cementu) w mieszance wg PN-EN 14227-1</w:t>
      </w:r>
    </w:p>
    <w:tbl>
      <w:tblPr>
        <w:tblW w:w="0" w:type="auto"/>
        <w:tblInd w:w="81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tblPr>
      <w:tblGrid>
        <w:gridCol w:w="4077"/>
        <w:gridCol w:w="3434"/>
      </w:tblGrid>
      <w:tr w:rsidR="00AD54A3" w:rsidRPr="00E4644B" w:rsidTr="00FD47C7">
        <w:tc>
          <w:tcPr>
            <w:tcW w:w="4077" w:type="dxa"/>
          </w:tcPr>
          <w:p w:rsidR="00AD54A3" w:rsidRPr="00E4644B" w:rsidRDefault="00AD54A3" w:rsidP="00FD47C7">
            <w:pPr>
              <w:jc w:val="center"/>
              <w:rPr>
                <w:rFonts w:ascii="Calibri" w:hAnsi="Calibri" w:cs="Calibri"/>
                <w:sz w:val="18"/>
                <w:szCs w:val="18"/>
              </w:rPr>
            </w:pPr>
            <w:r w:rsidRPr="00E4644B">
              <w:rPr>
                <w:rFonts w:ascii="Calibri" w:hAnsi="Calibri" w:cs="Calibri"/>
                <w:sz w:val="18"/>
                <w:szCs w:val="18"/>
              </w:rPr>
              <w:t>Maksymalny nominalny wymiar kruszywa, mm</w:t>
            </w:r>
          </w:p>
        </w:tc>
        <w:tc>
          <w:tcPr>
            <w:tcW w:w="3434" w:type="dxa"/>
          </w:tcPr>
          <w:p w:rsidR="00AD54A3" w:rsidRPr="00E4644B" w:rsidRDefault="00AD54A3" w:rsidP="00FD47C7">
            <w:pPr>
              <w:jc w:val="center"/>
              <w:rPr>
                <w:rFonts w:ascii="Calibri" w:hAnsi="Calibri" w:cs="Calibri"/>
                <w:sz w:val="18"/>
                <w:szCs w:val="18"/>
              </w:rPr>
            </w:pPr>
            <w:r w:rsidRPr="00E4644B">
              <w:rPr>
                <w:rFonts w:ascii="Calibri" w:hAnsi="Calibri" w:cs="Calibri"/>
                <w:sz w:val="18"/>
                <w:szCs w:val="18"/>
              </w:rPr>
              <w:t>Minimalna zawartość spoiwa, % m/m</w:t>
            </w:r>
          </w:p>
        </w:tc>
      </w:tr>
      <w:tr w:rsidR="00AD54A3" w:rsidRPr="00E4644B" w:rsidTr="00FD47C7">
        <w:tc>
          <w:tcPr>
            <w:tcW w:w="4077" w:type="dxa"/>
          </w:tcPr>
          <w:p w:rsidR="00AD54A3" w:rsidRPr="00E4644B" w:rsidRDefault="00AD54A3" w:rsidP="00FD47C7">
            <w:pPr>
              <w:jc w:val="center"/>
              <w:rPr>
                <w:rFonts w:ascii="Calibri" w:hAnsi="Calibri" w:cs="Calibri"/>
                <w:sz w:val="18"/>
                <w:szCs w:val="18"/>
              </w:rPr>
            </w:pPr>
            <w:r w:rsidRPr="00E4644B">
              <w:rPr>
                <w:rFonts w:ascii="Calibri" w:hAnsi="Calibri" w:cs="Calibri"/>
                <w:sz w:val="18"/>
                <w:szCs w:val="18"/>
              </w:rPr>
              <w:t>&gt; 8,0 do 31,5</w:t>
            </w:r>
          </w:p>
        </w:tc>
        <w:tc>
          <w:tcPr>
            <w:tcW w:w="3434" w:type="dxa"/>
          </w:tcPr>
          <w:p w:rsidR="00AD54A3" w:rsidRPr="00E4644B" w:rsidRDefault="00AD54A3" w:rsidP="00FD47C7">
            <w:pPr>
              <w:jc w:val="center"/>
              <w:rPr>
                <w:rFonts w:ascii="Calibri" w:hAnsi="Calibri" w:cs="Calibri"/>
                <w:sz w:val="18"/>
                <w:szCs w:val="18"/>
              </w:rPr>
            </w:pPr>
            <w:r w:rsidRPr="00E4644B">
              <w:rPr>
                <w:rFonts w:ascii="Calibri" w:hAnsi="Calibri" w:cs="Calibri"/>
                <w:sz w:val="18"/>
                <w:szCs w:val="18"/>
              </w:rPr>
              <w:t>3</w:t>
            </w:r>
          </w:p>
        </w:tc>
      </w:tr>
      <w:tr w:rsidR="00AD54A3" w:rsidRPr="00E4644B" w:rsidTr="00FD47C7">
        <w:tc>
          <w:tcPr>
            <w:tcW w:w="4077" w:type="dxa"/>
          </w:tcPr>
          <w:p w:rsidR="00AD54A3" w:rsidRPr="00E4644B" w:rsidRDefault="00AD54A3" w:rsidP="00FD47C7">
            <w:pPr>
              <w:jc w:val="center"/>
              <w:rPr>
                <w:rFonts w:ascii="Calibri" w:hAnsi="Calibri" w:cs="Calibri"/>
                <w:sz w:val="18"/>
                <w:szCs w:val="18"/>
              </w:rPr>
            </w:pPr>
            <w:r w:rsidRPr="00E4644B">
              <w:rPr>
                <w:rFonts w:ascii="Calibri" w:hAnsi="Calibri" w:cs="Calibri"/>
                <w:sz w:val="18"/>
                <w:szCs w:val="18"/>
              </w:rPr>
              <w:t>2,0 do 8,0</w:t>
            </w:r>
          </w:p>
        </w:tc>
        <w:tc>
          <w:tcPr>
            <w:tcW w:w="3434" w:type="dxa"/>
          </w:tcPr>
          <w:p w:rsidR="00AD54A3" w:rsidRPr="00E4644B" w:rsidRDefault="00AD54A3" w:rsidP="00FD47C7">
            <w:pPr>
              <w:jc w:val="center"/>
              <w:rPr>
                <w:rFonts w:ascii="Calibri" w:hAnsi="Calibri" w:cs="Calibri"/>
                <w:sz w:val="18"/>
                <w:szCs w:val="18"/>
              </w:rPr>
            </w:pPr>
            <w:r w:rsidRPr="00E4644B">
              <w:rPr>
                <w:rFonts w:ascii="Calibri" w:hAnsi="Calibri" w:cs="Calibri"/>
                <w:sz w:val="18"/>
                <w:szCs w:val="18"/>
              </w:rPr>
              <w:t>4</w:t>
            </w:r>
          </w:p>
        </w:tc>
      </w:tr>
      <w:tr w:rsidR="00AD54A3" w:rsidRPr="00E4644B" w:rsidTr="00FD47C7">
        <w:tc>
          <w:tcPr>
            <w:tcW w:w="4077" w:type="dxa"/>
          </w:tcPr>
          <w:p w:rsidR="00AD54A3" w:rsidRPr="00E4644B" w:rsidRDefault="00AD54A3" w:rsidP="00FD47C7">
            <w:pPr>
              <w:jc w:val="center"/>
              <w:rPr>
                <w:rFonts w:ascii="Calibri" w:hAnsi="Calibri" w:cs="Calibri"/>
                <w:sz w:val="18"/>
                <w:szCs w:val="18"/>
              </w:rPr>
            </w:pPr>
            <w:r w:rsidRPr="00E4644B">
              <w:rPr>
                <w:rFonts w:ascii="Calibri" w:hAnsi="Calibri" w:cs="Calibri"/>
                <w:sz w:val="18"/>
                <w:szCs w:val="18"/>
              </w:rPr>
              <w:t>&lt; 2,0</w:t>
            </w:r>
          </w:p>
        </w:tc>
        <w:tc>
          <w:tcPr>
            <w:tcW w:w="3434" w:type="dxa"/>
          </w:tcPr>
          <w:p w:rsidR="00AD54A3" w:rsidRPr="00E4644B" w:rsidRDefault="00AD54A3" w:rsidP="00FD47C7">
            <w:pPr>
              <w:jc w:val="center"/>
              <w:rPr>
                <w:rFonts w:ascii="Calibri" w:hAnsi="Calibri" w:cs="Calibri"/>
                <w:sz w:val="18"/>
                <w:szCs w:val="18"/>
              </w:rPr>
            </w:pPr>
            <w:r w:rsidRPr="00E4644B">
              <w:rPr>
                <w:rFonts w:ascii="Calibri" w:hAnsi="Calibri" w:cs="Calibri"/>
                <w:sz w:val="18"/>
                <w:szCs w:val="18"/>
              </w:rPr>
              <w:t>5</w:t>
            </w:r>
          </w:p>
        </w:tc>
      </w:tr>
    </w:tbl>
    <w:p w:rsidR="002C6A04" w:rsidRDefault="00AD54A3" w:rsidP="00AD54A3">
      <w:pPr>
        <w:rPr>
          <w:rFonts w:ascii="Calibri" w:hAnsi="Calibri" w:cs="Calibri"/>
        </w:rPr>
      </w:pPr>
      <w:r w:rsidRPr="00E4644B">
        <w:rPr>
          <w:rFonts w:ascii="Calibri" w:hAnsi="Calibri" w:cs="Calibri"/>
        </w:rPr>
        <w:tab/>
      </w:r>
    </w:p>
    <w:p w:rsidR="00AD54A3" w:rsidRPr="00E4644B" w:rsidRDefault="002C6A04" w:rsidP="00AD54A3">
      <w:pPr>
        <w:rPr>
          <w:rFonts w:ascii="Calibri" w:hAnsi="Calibri" w:cs="Calibri"/>
        </w:rPr>
      </w:pPr>
      <w:r>
        <w:rPr>
          <w:rFonts w:ascii="Calibri" w:hAnsi="Calibri" w:cs="Calibri"/>
        </w:rPr>
        <w:tab/>
      </w:r>
      <w:r w:rsidR="00AD54A3" w:rsidRPr="00E4644B">
        <w:rPr>
          <w:rFonts w:ascii="Calibri" w:hAnsi="Calibri" w:cs="Calibri"/>
        </w:rPr>
        <w:t>Dopuszczalne jest zastosowanie mniejszej ilości spoiwa niż podano w tablicy 3, jeśli podczas procesu produkcyjnego stwierdzone zostanie, że zachowana jest zgodność z wymaganiami tablic 4÷6 niniejszej specyfikacji.</w:t>
      </w:r>
    </w:p>
    <w:p w:rsidR="00AD54A3" w:rsidRPr="00E4644B" w:rsidRDefault="00AD54A3" w:rsidP="00AD54A3">
      <w:pPr>
        <w:rPr>
          <w:rFonts w:ascii="Calibri" w:hAnsi="Calibri" w:cs="Calibri"/>
        </w:rPr>
      </w:pPr>
      <w:r w:rsidRPr="00E4644B">
        <w:rPr>
          <w:rFonts w:ascii="Calibri" w:hAnsi="Calibri" w:cs="Calibri"/>
        </w:rPr>
        <w:lastRenderedPageBreak/>
        <w:tab/>
        <w:t>Zawartość wody w mieszance powinna być określona na podstawie procedury projektowej wg metody Proctora i/lub doświadczenia z mieszankami wyprodukowanymi przy użyciu proponowanych składników. Zawartość wody należy określić zgodnie z PN-EN 13286-2.</w:t>
      </w:r>
    </w:p>
    <w:p w:rsidR="00AD54A3" w:rsidRPr="00E4644B" w:rsidRDefault="00AD54A3" w:rsidP="00AD54A3">
      <w:pPr>
        <w:rPr>
          <w:rFonts w:ascii="Calibri" w:hAnsi="Calibri" w:cs="Calibri"/>
        </w:rPr>
      </w:pPr>
      <w:r w:rsidRPr="00E4644B">
        <w:rPr>
          <w:rFonts w:ascii="Calibri" w:hAnsi="Calibri" w:cs="Calibri"/>
        </w:rPr>
        <w:tab/>
        <w:t>Próbki walcowe zagęszczane ubijakiem Proctora, powinny być przygotowane zgodnie z PN-EN 13286-50. Próbki należy przechowywać przez 14 dni w temperaturze pokojowej z zabezpieczeniem przed wysychaniem (w komorze o wilgotności powyżej 95% - 100% lub w wilgotnym piasku) i następnie zanurzyć na 14 dni do wody o temperaturze pokojowej. Nasycanie próbek wodą odbywa się pod ciśnieniem normalnym i przy całkowitym ich zanurzeniu w wodzie.</w:t>
      </w:r>
    </w:p>
    <w:p w:rsidR="00AD54A3" w:rsidRPr="00E4644B" w:rsidRDefault="00AD54A3" w:rsidP="00AD54A3">
      <w:pPr>
        <w:rPr>
          <w:rFonts w:ascii="Calibri" w:hAnsi="Calibri" w:cs="Calibri"/>
        </w:rPr>
      </w:pPr>
      <w:r w:rsidRPr="00E4644B">
        <w:rPr>
          <w:rFonts w:ascii="Calibri" w:hAnsi="Calibri" w:cs="Calibri"/>
        </w:rPr>
        <w:tab/>
        <w:t>Badanie wytrzymałości na ściskanie (system I) należy przeprowadzić na próbkach walcowych przygotowanych metodą Proctora zgodnie z PN-EN 13286-50, przy wykorzystaniu metody badawczej zgodniej z PN-EN 13286-41. Wytrzymałość na ściskanie określonej mieszanki powinna być oznaczana zgodnie z PN-EN 13286-41, po 28 dniach pielęgnacji. Dopuszcza się w praktyce wykonawczej stosowanie dodatkowo wytrzymałości na ściskanie określonej po innym okresie pielęgnacji, np. po 7 lub 14 dniach. Wymagane właściwości po 28 dniach pielęgnacji pozostają bez zmian.</w:t>
      </w:r>
    </w:p>
    <w:p w:rsidR="00AD54A3" w:rsidRPr="00E4644B" w:rsidRDefault="00AD54A3" w:rsidP="00AD54A3">
      <w:pPr>
        <w:rPr>
          <w:rFonts w:ascii="Calibri" w:hAnsi="Calibri" w:cs="Calibri"/>
        </w:rPr>
      </w:pPr>
      <w:r w:rsidRPr="00E4644B">
        <w:rPr>
          <w:rFonts w:ascii="Calibri" w:hAnsi="Calibri" w:cs="Calibri"/>
        </w:rPr>
        <w:tab/>
        <w:t xml:space="preserve">Wskaźnik mrozoodporności mieszanki związanej cementem określany jest stosunkiem wytrzymałości na ściskanie </w:t>
      </w:r>
      <w:r>
        <w:rPr>
          <w:rFonts w:ascii="Calibri" w:hAnsi="Calibri" w:cs="Calibri"/>
          <w:noProof/>
        </w:rPr>
        <w:drawing>
          <wp:inline distT="0" distB="0" distL="0" distR="0">
            <wp:extent cx="304800" cy="219075"/>
            <wp:effectExtent l="0" t="0" r="0" b="0"/>
            <wp:docPr id="170" name="Obraz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az 6"/>
                    <pic:cNvPicPr>
                      <a:picLocks noChangeAspect="1" noChangeArrowheads="1"/>
                    </pic:cNvPicPr>
                  </pic:nvPicPr>
                  <pic:blipFill>
                    <a:blip r:embed="rId33" cstate="print"/>
                    <a:srcRect/>
                    <a:stretch>
                      <a:fillRect/>
                    </a:stretch>
                  </pic:blipFill>
                  <pic:spPr bwMode="auto">
                    <a:xfrm>
                      <a:off x="0" y="0"/>
                      <a:ext cx="304800" cy="219075"/>
                    </a:xfrm>
                    <a:prstGeom prst="rect">
                      <a:avLst/>
                    </a:prstGeom>
                    <a:noFill/>
                    <a:ln w="9525">
                      <a:noFill/>
                      <a:miter lim="800000"/>
                      <a:headEnd/>
                      <a:tailEnd/>
                    </a:ln>
                  </pic:spPr>
                </pic:pic>
              </a:graphicData>
            </a:graphic>
          </wp:inline>
        </w:drawing>
      </w:r>
      <w:r w:rsidRPr="00E4644B">
        <w:rPr>
          <w:rFonts w:ascii="Calibri" w:hAnsi="Calibri" w:cs="Calibri"/>
        </w:rPr>
        <w:t xml:space="preserve"> próbki po 28 dniach pielęgnacji i po 14 cyklach zamrażania i odmrażania do wytrzymałości na ściskanie Rc próbki po 28 dniach pielęgnacji.</w:t>
      </w:r>
    </w:p>
    <w:p w:rsidR="00AD54A3" w:rsidRPr="00E4644B" w:rsidRDefault="00AD54A3" w:rsidP="00AD54A3">
      <w:pPr>
        <w:rPr>
          <w:rFonts w:ascii="Calibri" w:hAnsi="Calibri" w:cs="Calibri"/>
        </w:rPr>
      </w:pPr>
      <w:r w:rsidRPr="00E4644B">
        <w:rPr>
          <w:rFonts w:ascii="Calibri" w:hAnsi="Calibri" w:cs="Calibri"/>
        </w:rPr>
        <w:t>Wskaźnik mrozoodporności:</w:t>
      </w:r>
    </w:p>
    <w:p w:rsidR="00AD54A3" w:rsidRPr="00512A08" w:rsidRDefault="00AD54A3" w:rsidP="0014295F">
      <w:pPr>
        <w:ind w:left="709"/>
      </w:pPr>
      <w:r>
        <w:rPr>
          <w:rFonts w:ascii="Calibri" w:hAnsi="Calibri" w:cs="Calibri"/>
          <w:noProof/>
        </w:rPr>
        <w:drawing>
          <wp:inline distT="0" distB="0" distL="0" distR="0">
            <wp:extent cx="609600" cy="571500"/>
            <wp:effectExtent l="0" t="0" r="0" b="0"/>
            <wp:docPr id="171" name="Obraz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az 7"/>
                    <pic:cNvPicPr>
                      <a:picLocks noChangeAspect="1" noChangeArrowheads="1"/>
                    </pic:cNvPicPr>
                  </pic:nvPicPr>
                  <pic:blipFill>
                    <a:blip r:embed="rId34" cstate="print"/>
                    <a:srcRect/>
                    <a:stretch>
                      <a:fillRect/>
                    </a:stretch>
                  </pic:blipFill>
                  <pic:spPr bwMode="auto">
                    <a:xfrm>
                      <a:off x="0" y="0"/>
                      <a:ext cx="609600" cy="571500"/>
                    </a:xfrm>
                    <a:prstGeom prst="rect">
                      <a:avLst/>
                    </a:prstGeom>
                    <a:noFill/>
                    <a:ln w="9525">
                      <a:noFill/>
                      <a:miter lim="800000"/>
                      <a:headEnd/>
                      <a:tailEnd/>
                    </a:ln>
                  </pic:spPr>
                </pic:pic>
              </a:graphicData>
            </a:graphic>
          </wp:inline>
        </w:drawing>
      </w:r>
      <w:r w:rsidRPr="00512A08">
        <w:t xml:space="preserve">. </w:t>
      </w:r>
    </w:p>
    <w:p w:rsidR="00AD54A3" w:rsidRPr="00E4644B" w:rsidRDefault="00AD54A3" w:rsidP="00AD54A3">
      <w:pPr>
        <w:rPr>
          <w:rFonts w:ascii="Calibri" w:hAnsi="Calibri" w:cs="Calibri"/>
        </w:rPr>
      </w:pPr>
      <w:r w:rsidRPr="00E4644B">
        <w:rPr>
          <w:rFonts w:ascii="Calibri" w:hAnsi="Calibri" w:cs="Calibri"/>
        </w:rPr>
        <w:t>Próbki do oznaczenia wskaźnika mrozoodporności należy przechowywać przez 28 dni w temperaturze pokojowej z zabezpieczeniem przed wysychaniem (w komorze o wilgotności 95% ÷ 100% lub w wilgotnym piasku). Następnie należy je całkowicie zanurzyć na 1 dobę w wodzie, a następnie w ciągu kolejnych 14 dni poddać cyklom zamrażania i odmrażania. Jeden cykl zamrażania i odmrażania polega na zamrażaniu próbki w temperaturze -23 ±2</w:t>
      </w:r>
      <w:r w:rsidRPr="00E4644B">
        <w:rPr>
          <w:rFonts w:ascii="Calibri" w:hAnsi="Calibri" w:cs="Calibri"/>
          <w:vertAlign w:val="superscript"/>
        </w:rPr>
        <w:t>o</w:t>
      </w:r>
      <w:r w:rsidRPr="00E4644B">
        <w:rPr>
          <w:rFonts w:ascii="Calibri" w:hAnsi="Calibri" w:cs="Calibri"/>
        </w:rPr>
        <w:t>C przez  8 godzin i odmrażania w wodzie o temperaturze +18 ±2</w:t>
      </w:r>
      <w:r w:rsidRPr="00E4644B">
        <w:rPr>
          <w:rFonts w:ascii="Calibri" w:hAnsi="Calibri" w:cs="Calibri"/>
          <w:vertAlign w:val="superscript"/>
        </w:rPr>
        <w:t>o</w:t>
      </w:r>
      <w:r w:rsidRPr="00E4644B">
        <w:rPr>
          <w:rFonts w:ascii="Calibri" w:hAnsi="Calibri" w:cs="Calibri"/>
        </w:rPr>
        <w:t xml:space="preserve">C przez 16 godzin. Oznaczenie wskaźnika mrozoodporności należy przeprowadzać na 3 próbkach i do obliczeń przyjmować średnią. Wynik badania różniący się od średniej o więcej niż 20% należy odrzucić, a jako miarodajną wartość wytrzymałości na ściskanie </w:t>
      </w:r>
      <w:r>
        <w:rPr>
          <w:rFonts w:ascii="Calibri" w:hAnsi="Calibri" w:cs="Calibri"/>
          <w:noProof/>
        </w:rPr>
        <w:drawing>
          <wp:inline distT="0" distB="0" distL="0" distR="0">
            <wp:extent cx="304800" cy="219075"/>
            <wp:effectExtent l="0" t="0" r="0" b="0"/>
            <wp:docPr id="172" name="Obraz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az 8"/>
                    <pic:cNvPicPr>
                      <a:picLocks noChangeAspect="1" noChangeArrowheads="1"/>
                    </pic:cNvPicPr>
                  </pic:nvPicPr>
                  <pic:blipFill>
                    <a:blip r:embed="rId35" cstate="print"/>
                    <a:srcRect/>
                    <a:stretch>
                      <a:fillRect/>
                    </a:stretch>
                  </pic:blipFill>
                  <pic:spPr bwMode="auto">
                    <a:xfrm>
                      <a:off x="0" y="0"/>
                      <a:ext cx="304800" cy="219075"/>
                    </a:xfrm>
                    <a:prstGeom prst="rect">
                      <a:avLst/>
                    </a:prstGeom>
                    <a:noFill/>
                    <a:ln w="9525">
                      <a:noFill/>
                      <a:miter lim="800000"/>
                      <a:headEnd/>
                      <a:tailEnd/>
                    </a:ln>
                  </pic:spPr>
                </pic:pic>
              </a:graphicData>
            </a:graphic>
          </wp:inline>
        </w:drawing>
      </w:r>
      <w:r w:rsidRPr="00E4644B">
        <w:rPr>
          <w:rFonts w:ascii="Calibri" w:hAnsi="Calibri" w:cs="Calibri"/>
        </w:rPr>
        <w:t xml:space="preserve">, Rc należy przyjąć średnią obliczoną z pozostałych dwóch wyników, z dokładnością 0,1. </w:t>
      </w:r>
    </w:p>
    <w:p w:rsidR="00AD54A3" w:rsidRPr="00E4644B" w:rsidRDefault="00AD54A3" w:rsidP="00AD54A3">
      <w:pPr>
        <w:rPr>
          <w:rFonts w:ascii="Calibri" w:hAnsi="Calibri" w:cs="Calibri"/>
        </w:rPr>
      </w:pPr>
      <w:r w:rsidRPr="00E4644B">
        <w:rPr>
          <w:rFonts w:ascii="Calibri" w:hAnsi="Calibri" w:cs="Calibri"/>
        </w:rPr>
        <w:t>Wymagania wobec mieszanek</w:t>
      </w:r>
    </w:p>
    <w:p w:rsidR="00AD54A3" w:rsidRPr="00E4644B" w:rsidRDefault="00AD54A3" w:rsidP="00AD54A3">
      <w:pPr>
        <w:rPr>
          <w:rFonts w:ascii="Calibri" w:hAnsi="Calibri" w:cs="Calibri"/>
        </w:rPr>
      </w:pPr>
      <w:r w:rsidRPr="00E4644B">
        <w:rPr>
          <w:rFonts w:ascii="Calibri" w:hAnsi="Calibri" w:cs="Calibri"/>
        </w:rPr>
        <w:tab/>
        <w:t>Mieszanki związane cementem klasyfikuje się pod względem właściwości wytrzymałościowych mieszanki przez wytrzymałość charakterystyczną na ściskanie Rc próbek zgodnie z przyjętym systemem I.</w:t>
      </w:r>
    </w:p>
    <w:p w:rsidR="00AD54A3" w:rsidRPr="00E4644B" w:rsidRDefault="00AD54A3" w:rsidP="00AD54A3">
      <w:pPr>
        <w:rPr>
          <w:rFonts w:ascii="Calibri" w:hAnsi="Calibri" w:cs="Calibri"/>
        </w:rPr>
      </w:pPr>
      <w:r w:rsidRPr="00E4644B">
        <w:rPr>
          <w:rFonts w:ascii="Calibri" w:hAnsi="Calibri" w:cs="Calibri"/>
        </w:rPr>
        <w:tab/>
        <w:t>W tablicach 4 ÷ 6 przedstawia się zbiorcze zestawienia wymagań wobec mieszanek wraz z wymaganymi wytrzymałościami na ściskanie.</w:t>
      </w:r>
    </w:p>
    <w:p w:rsidR="00AD54A3" w:rsidRPr="00E4644B" w:rsidRDefault="00AD54A3" w:rsidP="00AD54A3">
      <w:pPr>
        <w:rPr>
          <w:rFonts w:ascii="Calibri" w:hAnsi="Calibri" w:cs="Calibri"/>
        </w:rPr>
      </w:pPr>
    </w:p>
    <w:p w:rsidR="00AD54A3" w:rsidRPr="00E4644B" w:rsidRDefault="00AD54A3" w:rsidP="00AD54A3">
      <w:pPr>
        <w:ind w:left="709"/>
        <w:rPr>
          <w:rFonts w:ascii="Calibri" w:hAnsi="Calibri" w:cs="Calibri"/>
        </w:rPr>
      </w:pPr>
      <w:r w:rsidRPr="00E4644B">
        <w:rPr>
          <w:rFonts w:ascii="Calibri" w:hAnsi="Calibri" w:cs="Calibri"/>
        </w:rPr>
        <w:t>Tablica 4. Wymagania wobec mieszanek związanych cementem do warstwy podłoża ulepszonego</w:t>
      </w:r>
    </w:p>
    <w:tbl>
      <w:tblPr>
        <w:tblW w:w="0" w:type="auto"/>
        <w:tblInd w:w="81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tblPr>
      <w:tblGrid>
        <w:gridCol w:w="817"/>
        <w:gridCol w:w="4190"/>
        <w:gridCol w:w="2504"/>
      </w:tblGrid>
      <w:tr w:rsidR="00AD54A3" w:rsidRPr="00E4644B" w:rsidTr="00FD47C7">
        <w:tc>
          <w:tcPr>
            <w:tcW w:w="817" w:type="dxa"/>
          </w:tcPr>
          <w:p w:rsidR="00AD54A3" w:rsidRPr="00E4644B" w:rsidRDefault="00AD54A3" w:rsidP="00FD47C7">
            <w:pPr>
              <w:jc w:val="center"/>
              <w:rPr>
                <w:rFonts w:ascii="Calibri" w:hAnsi="Calibri" w:cs="Calibri"/>
                <w:sz w:val="18"/>
                <w:szCs w:val="18"/>
              </w:rPr>
            </w:pPr>
            <w:r w:rsidRPr="00E4644B">
              <w:rPr>
                <w:rFonts w:ascii="Calibri" w:hAnsi="Calibri" w:cs="Calibri"/>
                <w:sz w:val="18"/>
                <w:szCs w:val="18"/>
              </w:rPr>
              <w:t>Lp.</w:t>
            </w:r>
          </w:p>
        </w:tc>
        <w:tc>
          <w:tcPr>
            <w:tcW w:w="4190" w:type="dxa"/>
          </w:tcPr>
          <w:p w:rsidR="00AD54A3" w:rsidRPr="00E4644B" w:rsidRDefault="00AD54A3" w:rsidP="00FD47C7">
            <w:pPr>
              <w:jc w:val="center"/>
              <w:rPr>
                <w:rFonts w:ascii="Calibri" w:hAnsi="Calibri" w:cs="Calibri"/>
                <w:sz w:val="18"/>
                <w:szCs w:val="18"/>
              </w:rPr>
            </w:pPr>
            <w:r w:rsidRPr="00E4644B">
              <w:rPr>
                <w:rFonts w:ascii="Calibri" w:hAnsi="Calibri" w:cs="Calibri"/>
                <w:sz w:val="18"/>
                <w:szCs w:val="18"/>
              </w:rPr>
              <w:t>Właściwość</w:t>
            </w:r>
          </w:p>
        </w:tc>
        <w:tc>
          <w:tcPr>
            <w:tcW w:w="2504" w:type="dxa"/>
          </w:tcPr>
          <w:p w:rsidR="00AD54A3" w:rsidRPr="00E4644B" w:rsidRDefault="00AD54A3" w:rsidP="00FD47C7">
            <w:pPr>
              <w:jc w:val="center"/>
              <w:rPr>
                <w:rFonts w:ascii="Calibri" w:hAnsi="Calibri" w:cs="Calibri"/>
                <w:sz w:val="18"/>
                <w:szCs w:val="18"/>
              </w:rPr>
            </w:pPr>
            <w:r w:rsidRPr="00E4644B">
              <w:rPr>
                <w:rFonts w:ascii="Calibri" w:hAnsi="Calibri" w:cs="Calibri"/>
                <w:sz w:val="18"/>
                <w:szCs w:val="18"/>
              </w:rPr>
              <w:t>Wymagania dla ruchu</w:t>
            </w:r>
          </w:p>
          <w:p w:rsidR="00AD54A3" w:rsidRPr="00E4644B" w:rsidRDefault="00AD54A3" w:rsidP="00FD47C7">
            <w:pPr>
              <w:jc w:val="center"/>
              <w:rPr>
                <w:rFonts w:ascii="Calibri" w:hAnsi="Calibri" w:cs="Calibri"/>
                <w:sz w:val="18"/>
                <w:szCs w:val="18"/>
              </w:rPr>
            </w:pPr>
            <w:r w:rsidRPr="00E4644B">
              <w:rPr>
                <w:rFonts w:ascii="Calibri" w:hAnsi="Calibri" w:cs="Calibri"/>
                <w:sz w:val="18"/>
                <w:szCs w:val="18"/>
              </w:rPr>
              <w:t>KR1 ÷ KR6</w:t>
            </w:r>
          </w:p>
        </w:tc>
      </w:tr>
      <w:tr w:rsidR="00AD54A3" w:rsidRPr="00E4644B" w:rsidTr="00FD47C7">
        <w:tc>
          <w:tcPr>
            <w:tcW w:w="817" w:type="dxa"/>
          </w:tcPr>
          <w:p w:rsidR="00AD54A3" w:rsidRPr="00E4644B" w:rsidRDefault="00AD54A3" w:rsidP="00FD47C7">
            <w:pPr>
              <w:jc w:val="center"/>
              <w:rPr>
                <w:rFonts w:ascii="Calibri" w:hAnsi="Calibri" w:cs="Calibri"/>
                <w:sz w:val="18"/>
                <w:szCs w:val="18"/>
              </w:rPr>
            </w:pPr>
            <w:r w:rsidRPr="00E4644B">
              <w:rPr>
                <w:rFonts w:ascii="Calibri" w:hAnsi="Calibri" w:cs="Calibri"/>
                <w:sz w:val="18"/>
                <w:szCs w:val="18"/>
              </w:rPr>
              <w:t>1.0</w:t>
            </w:r>
          </w:p>
        </w:tc>
        <w:tc>
          <w:tcPr>
            <w:tcW w:w="4190" w:type="dxa"/>
          </w:tcPr>
          <w:p w:rsidR="00AD54A3" w:rsidRPr="00E4644B" w:rsidRDefault="00AD54A3" w:rsidP="00FD47C7">
            <w:pPr>
              <w:jc w:val="center"/>
              <w:rPr>
                <w:rFonts w:ascii="Calibri" w:hAnsi="Calibri" w:cs="Calibri"/>
                <w:sz w:val="18"/>
                <w:szCs w:val="18"/>
              </w:rPr>
            </w:pPr>
            <w:r w:rsidRPr="00E4644B">
              <w:rPr>
                <w:rFonts w:ascii="Calibri" w:hAnsi="Calibri" w:cs="Calibri"/>
                <w:sz w:val="18"/>
                <w:szCs w:val="18"/>
              </w:rPr>
              <w:t>Składniki</w:t>
            </w:r>
          </w:p>
        </w:tc>
        <w:tc>
          <w:tcPr>
            <w:tcW w:w="2504" w:type="dxa"/>
          </w:tcPr>
          <w:p w:rsidR="00AD54A3" w:rsidRPr="00E4644B" w:rsidRDefault="00AD54A3" w:rsidP="00FD47C7">
            <w:pPr>
              <w:jc w:val="center"/>
              <w:rPr>
                <w:rFonts w:ascii="Calibri" w:hAnsi="Calibri" w:cs="Calibri"/>
                <w:sz w:val="18"/>
                <w:szCs w:val="18"/>
              </w:rPr>
            </w:pPr>
          </w:p>
        </w:tc>
      </w:tr>
      <w:tr w:rsidR="00AD54A3" w:rsidRPr="00E4644B" w:rsidTr="00FD47C7">
        <w:tc>
          <w:tcPr>
            <w:tcW w:w="817" w:type="dxa"/>
          </w:tcPr>
          <w:p w:rsidR="00AD54A3" w:rsidRPr="00E4644B" w:rsidRDefault="00AD54A3" w:rsidP="00FD47C7">
            <w:pPr>
              <w:jc w:val="center"/>
              <w:rPr>
                <w:rFonts w:ascii="Calibri" w:hAnsi="Calibri" w:cs="Calibri"/>
                <w:sz w:val="18"/>
                <w:szCs w:val="18"/>
              </w:rPr>
            </w:pPr>
            <w:r w:rsidRPr="00E4644B">
              <w:rPr>
                <w:rFonts w:ascii="Calibri" w:hAnsi="Calibri" w:cs="Calibri"/>
                <w:sz w:val="18"/>
                <w:szCs w:val="18"/>
              </w:rPr>
              <w:t>1.1</w:t>
            </w:r>
          </w:p>
        </w:tc>
        <w:tc>
          <w:tcPr>
            <w:tcW w:w="4190" w:type="dxa"/>
          </w:tcPr>
          <w:p w:rsidR="00AD54A3" w:rsidRPr="00E4644B" w:rsidRDefault="00AD54A3" w:rsidP="00FD47C7">
            <w:pPr>
              <w:jc w:val="center"/>
              <w:rPr>
                <w:rFonts w:ascii="Calibri" w:hAnsi="Calibri" w:cs="Calibri"/>
                <w:sz w:val="18"/>
                <w:szCs w:val="18"/>
              </w:rPr>
            </w:pPr>
            <w:r w:rsidRPr="00E4644B">
              <w:rPr>
                <w:rFonts w:ascii="Calibri" w:hAnsi="Calibri" w:cs="Calibri"/>
                <w:sz w:val="18"/>
                <w:szCs w:val="18"/>
              </w:rPr>
              <w:t>Cement</w:t>
            </w:r>
          </w:p>
        </w:tc>
        <w:tc>
          <w:tcPr>
            <w:tcW w:w="2504" w:type="dxa"/>
          </w:tcPr>
          <w:p w:rsidR="00AD54A3" w:rsidRPr="00E4644B" w:rsidRDefault="00AD54A3" w:rsidP="00FD47C7">
            <w:pPr>
              <w:jc w:val="center"/>
              <w:rPr>
                <w:rFonts w:ascii="Calibri" w:hAnsi="Calibri" w:cs="Calibri"/>
                <w:sz w:val="18"/>
                <w:szCs w:val="18"/>
              </w:rPr>
            </w:pPr>
            <w:r w:rsidRPr="00E4644B">
              <w:rPr>
                <w:rFonts w:ascii="Calibri" w:hAnsi="Calibri" w:cs="Calibri"/>
                <w:sz w:val="18"/>
                <w:szCs w:val="18"/>
              </w:rPr>
              <w:t>wg p. 2.2.4</w:t>
            </w:r>
          </w:p>
        </w:tc>
      </w:tr>
      <w:tr w:rsidR="00AD54A3" w:rsidRPr="00E4644B" w:rsidTr="00FD47C7">
        <w:tc>
          <w:tcPr>
            <w:tcW w:w="817" w:type="dxa"/>
          </w:tcPr>
          <w:p w:rsidR="00AD54A3" w:rsidRPr="00E4644B" w:rsidRDefault="00AD54A3" w:rsidP="00FD47C7">
            <w:pPr>
              <w:jc w:val="center"/>
              <w:rPr>
                <w:rFonts w:ascii="Calibri" w:hAnsi="Calibri" w:cs="Calibri"/>
                <w:sz w:val="18"/>
                <w:szCs w:val="18"/>
              </w:rPr>
            </w:pPr>
            <w:r w:rsidRPr="00E4644B">
              <w:rPr>
                <w:rFonts w:ascii="Calibri" w:hAnsi="Calibri" w:cs="Calibri"/>
                <w:sz w:val="18"/>
                <w:szCs w:val="18"/>
              </w:rPr>
              <w:t>1.2</w:t>
            </w:r>
          </w:p>
        </w:tc>
        <w:tc>
          <w:tcPr>
            <w:tcW w:w="4190" w:type="dxa"/>
          </w:tcPr>
          <w:p w:rsidR="00AD54A3" w:rsidRPr="00E4644B" w:rsidRDefault="00AD54A3" w:rsidP="00FD47C7">
            <w:pPr>
              <w:jc w:val="center"/>
              <w:rPr>
                <w:rFonts w:ascii="Calibri" w:hAnsi="Calibri" w:cs="Calibri"/>
                <w:sz w:val="18"/>
                <w:szCs w:val="18"/>
              </w:rPr>
            </w:pPr>
            <w:r w:rsidRPr="00E4644B">
              <w:rPr>
                <w:rFonts w:ascii="Calibri" w:hAnsi="Calibri" w:cs="Calibri"/>
                <w:sz w:val="18"/>
                <w:szCs w:val="18"/>
              </w:rPr>
              <w:t>Kruszywo</w:t>
            </w:r>
          </w:p>
        </w:tc>
        <w:tc>
          <w:tcPr>
            <w:tcW w:w="2504" w:type="dxa"/>
          </w:tcPr>
          <w:p w:rsidR="00AD54A3" w:rsidRPr="00E4644B" w:rsidRDefault="00AD54A3" w:rsidP="00FD47C7">
            <w:pPr>
              <w:jc w:val="center"/>
              <w:rPr>
                <w:rFonts w:ascii="Calibri" w:hAnsi="Calibri" w:cs="Calibri"/>
                <w:sz w:val="18"/>
                <w:szCs w:val="18"/>
              </w:rPr>
            </w:pPr>
            <w:r w:rsidRPr="00E4644B">
              <w:rPr>
                <w:rFonts w:ascii="Calibri" w:hAnsi="Calibri" w:cs="Calibri"/>
                <w:sz w:val="18"/>
                <w:szCs w:val="18"/>
              </w:rPr>
              <w:t>wg tablicy 1</w:t>
            </w:r>
          </w:p>
        </w:tc>
      </w:tr>
      <w:tr w:rsidR="00AD54A3" w:rsidRPr="00E4644B" w:rsidTr="00FD47C7">
        <w:tc>
          <w:tcPr>
            <w:tcW w:w="817" w:type="dxa"/>
          </w:tcPr>
          <w:p w:rsidR="00AD54A3" w:rsidRPr="00E4644B" w:rsidRDefault="00AD54A3" w:rsidP="00FD47C7">
            <w:pPr>
              <w:jc w:val="center"/>
              <w:rPr>
                <w:rFonts w:ascii="Calibri" w:hAnsi="Calibri" w:cs="Calibri"/>
                <w:sz w:val="18"/>
                <w:szCs w:val="18"/>
              </w:rPr>
            </w:pPr>
            <w:r w:rsidRPr="00E4644B">
              <w:rPr>
                <w:rFonts w:ascii="Calibri" w:hAnsi="Calibri" w:cs="Calibri"/>
                <w:sz w:val="18"/>
                <w:szCs w:val="18"/>
              </w:rPr>
              <w:t>1.3</w:t>
            </w:r>
          </w:p>
        </w:tc>
        <w:tc>
          <w:tcPr>
            <w:tcW w:w="4190" w:type="dxa"/>
          </w:tcPr>
          <w:p w:rsidR="00AD54A3" w:rsidRPr="00E4644B" w:rsidRDefault="00AD54A3" w:rsidP="00FD47C7">
            <w:pPr>
              <w:jc w:val="center"/>
              <w:rPr>
                <w:rFonts w:ascii="Calibri" w:hAnsi="Calibri" w:cs="Calibri"/>
                <w:sz w:val="18"/>
                <w:szCs w:val="18"/>
              </w:rPr>
            </w:pPr>
            <w:r w:rsidRPr="00E4644B">
              <w:rPr>
                <w:rFonts w:ascii="Calibri" w:hAnsi="Calibri" w:cs="Calibri"/>
                <w:sz w:val="18"/>
                <w:szCs w:val="18"/>
              </w:rPr>
              <w:t>Woda zarobowa</w:t>
            </w:r>
          </w:p>
        </w:tc>
        <w:tc>
          <w:tcPr>
            <w:tcW w:w="2504" w:type="dxa"/>
          </w:tcPr>
          <w:p w:rsidR="00AD54A3" w:rsidRPr="00E4644B" w:rsidRDefault="00AD54A3" w:rsidP="00FD47C7">
            <w:pPr>
              <w:jc w:val="center"/>
              <w:rPr>
                <w:rFonts w:ascii="Calibri" w:hAnsi="Calibri" w:cs="Calibri"/>
                <w:sz w:val="18"/>
                <w:szCs w:val="18"/>
              </w:rPr>
            </w:pPr>
            <w:r w:rsidRPr="00E4644B">
              <w:rPr>
                <w:rFonts w:ascii="Calibri" w:hAnsi="Calibri" w:cs="Calibri"/>
                <w:sz w:val="18"/>
                <w:szCs w:val="18"/>
              </w:rPr>
              <w:t>wg p. 2.2.5</w:t>
            </w:r>
          </w:p>
        </w:tc>
      </w:tr>
      <w:tr w:rsidR="00AD54A3" w:rsidRPr="00E4644B" w:rsidTr="00FD47C7">
        <w:tc>
          <w:tcPr>
            <w:tcW w:w="817" w:type="dxa"/>
          </w:tcPr>
          <w:p w:rsidR="00AD54A3" w:rsidRPr="00E4644B" w:rsidRDefault="00AD54A3" w:rsidP="00FD47C7">
            <w:pPr>
              <w:jc w:val="center"/>
              <w:rPr>
                <w:rFonts w:ascii="Calibri" w:hAnsi="Calibri" w:cs="Calibri"/>
                <w:sz w:val="18"/>
                <w:szCs w:val="18"/>
              </w:rPr>
            </w:pPr>
            <w:r w:rsidRPr="00E4644B">
              <w:rPr>
                <w:rFonts w:ascii="Calibri" w:hAnsi="Calibri" w:cs="Calibri"/>
                <w:sz w:val="18"/>
                <w:szCs w:val="18"/>
              </w:rPr>
              <w:t>1.4</w:t>
            </w:r>
          </w:p>
        </w:tc>
        <w:tc>
          <w:tcPr>
            <w:tcW w:w="4190" w:type="dxa"/>
          </w:tcPr>
          <w:p w:rsidR="00AD54A3" w:rsidRPr="00E4644B" w:rsidRDefault="00AD54A3" w:rsidP="00FD47C7">
            <w:pPr>
              <w:jc w:val="center"/>
              <w:rPr>
                <w:rFonts w:ascii="Calibri" w:hAnsi="Calibri" w:cs="Calibri"/>
                <w:sz w:val="18"/>
                <w:szCs w:val="18"/>
              </w:rPr>
            </w:pPr>
            <w:r w:rsidRPr="00E4644B">
              <w:rPr>
                <w:rFonts w:ascii="Calibri" w:hAnsi="Calibri" w:cs="Calibri"/>
                <w:sz w:val="18"/>
                <w:szCs w:val="18"/>
              </w:rPr>
              <w:t>Dodatki</w:t>
            </w:r>
          </w:p>
        </w:tc>
        <w:tc>
          <w:tcPr>
            <w:tcW w:w="2504" w:type="dxa"/>
          </w:tcPr>
          <w:p w:rsidR="00AD54A3" w:rsidRPr="00E4644B" w:rsidRDefault="00AD54A3" w:rsidP="00FD47C7">
            <w:pPr>
              <w:jc w:val="center"/>
              <w:rPr>
                <w:rFonts w:ascii="Calibri" w:hAnsi="Calibri" w:cs="Calibri"/>
                <w:sz w:val="18"/>
                <w:szCs w:val="18"/>
              </w:rPr>
            </w:pPr>
            <w:r w:rsidRPr="00E4644B">
              <w:rPr>
                <w:rFonts w:ascii="Calibri" w:hAnsi="Calibri" w:cs="Calibri"/>
                <w:sz w:val="18"/>
                <w:szCs w:val="18"/>
              </w:rPr>
              <w:t>wg p. 2.2.6</w:t>
            </w:r>
          </w:p>
        </w:tc>
      </w:tr>
      <w:tr w:rsidR="00AD54A3" w:rsidRPr="00E4644B" w:rsidTr="00FD47C7">
        <w:tc>
          <w:tcPr>
            <w:tcW w:w="817" w:type="dxa"/>
          </w:tcPr>
          <w:p w:rsidR="00AD54A3" w:rsidRPr="00E4644B" w:rsidRDefault="00AD54A3" w:rsidP="00FD47C7">
            <w:pPr>
              <w:jc w:val="center"/>
              <w:rPr>
                <w:rFonts w:ascii="Calibri" w:hAnsi="Calibri" w:cs="Calibri"/>
                <w:sz w:val="18"/>
                <w:szCs w:val="18"/>
              </w:rPr>
            </w:pPr>
            <w:r w:rsidRPr="00E4644B">
              <w:rPr>
                <w:rFonts w:ascii="Calibri" w:hAnsi="Calibri" w:cs="Calibri"/>
                <w:sz w:val="18"/>
                <w:szCs w:val="18"/>
              </w:rPr>
              <w:t>2.0</w:t>
            </w:r>
          </w:p>
        </w:tc>
        <w:tc>
          <w:tcPr>
            <w:tcW w:w="4190" w:type="dxa"/>
          </w:tcPr>
          <w:p w:rsidR="00AD54A3" w:rsidRPr="00E4644B" w:rsidRDefault="00AD54A3" w:rsidP="00FD47C7">
            <w:pPr>
              <w:jc w:val="center"/>
              <w:rPr>
                <w:rFonts w:ascii="Calibri" w:hAnsi="Calibri" w:cs="Calibri"/>
                <w:sz w:val="18"/>
                <w:szCs w:val="18"/>
              </w:rPr>
            </w:pPr>
            <w:r w:rsidRPr="00E4644B">
              <w:rPr>
                <w:rFonts w:ascii="Calibri" w:hAnsi="Calibri" w:cs="Calibri"/>
                <w:sz w:val="18"/>
                <w:szCs w:val="18"/>
              </w:rPr>
              <w:t>Mieszanka</w:t>
            </w:r>
          </w:p>
        </w:tc>
        <w:tc>
          <w:tcPr>
            <w:tcW w:w="2504" w:type="dxa"/>
          </w:tcPr>
          <w:p w:rsidR="00AD54A3" w:rsidRPr="00E4644B" w:rsidRDefault="00AD54A3" w:rsidP="00FD47C7">
            <w:pPr>
              <w:jc w:val="center"/>
              <w:rPr>
                <w:rFonts w:ascii="Calibri" w:hAnsi="Calibri" w:cs="Calibri"/>
                <w:sz w:val="18"/>
                <w:szCs w:val="18"/>
              </w:rPr>
            </w:pPr>
          </w:p>
        </w:tc>
      </w:tr>
      <w:tr w:rsidR="00AD54A3" w:rsidRPr="00E4644B" w:rsidTr="00FD47C7">
        <w:tc>
          <w:tcPr>
            <w:tcW w:w="817" w:type="dxa"/>
          </w:tcPr>
          <w:p w:rsidR="00AD54A3" w:rsidRPr="00E4644B" w:rsidRDefault="00AD54A3" w:rsidP="00FD47C7">
            <w:pPr>
              <w:jc w:val="center"/>
              <w:rPr>
                <w:rFonts w:ascii="Calibri" w:hAnsi="Calibri" w:cs="Calibri"/>
                <w:sz w:val="18"/>
                <w:szCs w:val="18"/>
              </w:rPr>
            </w:pPr>
            <w:r w:rsidRPr="00E4644B">
              <w:rPr>
                <w:rFonts w:ascii="Calibri" w:hAnsi="Calibri" w:cs="Calibri"/>
                <w:sz w:val="18"/>
                <w:szCs w:val="18"/>
              </w:rPr>
              <w:t>2.1</w:t>
            </w:r>
          </w:p>
        </w:tc>
        <w:tc>
          <w:tcPr>
            <w:tcW w:w="4190" w:type="dxa"/>
          </w:tcPr>
          <w:p w:rsidR="00AD54A3" w:rsidRPr="00E4644B" w:rsidRDefault="00AD54A3" w:rsidP="00FD47C7">
            <w:pPr>
              <w:jc w:val="center"/>
              <w:rPr>
                <w:rFonts w:ascii="Calibri" w:hAnsi="Calibri" w:cs="Calibri"/>
                <w:sz w:val="18"/>
                <w:szCs w:val="18"/>
              </w:rPr>
            </w:pPr>
            <w:r w:rsidRPr="00E4644B">
              <w:rPr>
                <w:rFonts w:ascii="Calibri" w:hAnsi="Calibri" w:cs="Calibri"/>
                <w:sz w:val="18"/>
                <w:szCs w:val="18"/>
              </w:rPr>
              <w:t>Uziarnienie:</w:t>
            </w:r>
          </w:p>
        </w:tc>
        <w:tc>
          <w:tcPr>
            <w:tcW w:w="2504" w:type="dxa"/>
          </w:tcPr>
          <w:p w:rsidR="00AD54A3" w:rsidRPr="00E4644B" w:rsidRDefault="00AD54A3" w:rsidP="00FD47C7">
            <w:pPr>
              <w:jc w:val="center"/>
              <w:rPr>
                <w:rFonts w:ascii="Calibri" w:hAnsi="Calibri" w:cs="Calibri"/>
                <w:sz w:val="18"/>
                <w:szCs w:val="18"/>
              </w:rPr>
            </w:pPr>
            <w:r w:rsidRPr="00E4644B">
              <w:rPr>
                <w:rFonts w:ascii="Calibri" w:hAnsi="Calibri" w:cs="Calibri"/>
                <w:sz w:val="18"/>
                <w:szCs w:val="18"/>
              </w:rPr>
              <w:t>krzywe graniczne</w:t>
            </w:r>
          </w:p>
        </w:tc>
      </w:tr>
      <w:tr w:rsidR="00AD54A3" w:rsidRPr="00E4644B" w:rsidTr="00FD47C7">
        <w:tc>
          <w:tcPr>
            <w:tcW w:w="817" w:type="dxa"/>
          </w:tcPr>
          <w:p w:rsidR="00AD54A3" w:rsidRPr="00E4644B" w:rsidRDefault="00AD54A3" w:rsidP="00FD47C7">
            <w:pPr>
              <w:jc w:val="center"/>
              <w:rPr>
                <w:rFonts w:ascii="Calibri" w:hAnsi="Calibri" w:cs="Calibri"/>
                <w:sz w:val="18"/>
                <w:szCs w:val="18"/>
              </w:rPr>
            </w:pPr>
          </w:p>
        </w:tc>
        <w:tc>
          <w:tcPr>
            <w:tcW w:w="4190" w:type="dxa"/>
          </w:tcPr>
          <w:p w:rsidR="00AD54A3" w:rsidRPr="00E4644B" w:rsidRDefault="00AD54A3" w:rsidP="00FD47C7">
            <w:pPr>
              <w:jc w:val="center"/>
              <w:rPr>
                <w:rFonts w:ascii="Calibri" w:hAnsi="Calibri" w:cs="Calibri"/>
                <w:sz w:val="18"/>
                <w:szCs w:val="18"/>
              </w:rPr>
            </w:pPr>
            <w:r w:rsidRPr="00E4644B">
              <w:rPr>
                <w:rFonts w:ascii="Calibri" w:hAnsi="Calibri" w:cs="Calibri"/>
                <w:sz w:val="18"/>
                <w:szCs w:val="18"/>
              </w:rPr>
              <w:t>- mieszanka 0/8 mm</w:t>
            </w:r>
          </w:p>
        </w:tc>
        <w:tc>
          <w:tcPr>
            <w:tcW w:w="2504" w:type="dxa"/>
          </w:tcPr>
          <w:p w:rsidR="00AD54A3" w:rsidRPr="00E4644B" w:rsidRDefault="00AD54A3" w:rsidP="00FD47C7">
            <w:pPr>
              <w:jc w:val="center"/>
              <w:rPr>
                <w:rFonts w:ascii="Calibri" w:hAnsi="Calibri" w:cs="Calibri"/>
                <w:sz w:val="18"/>
                <w:szCs w:val="18"/>
              </w:rPr>
            </w:pPr>
            <w:r w:rsidRPr="00E4644B">
              <w:rPr>
                <w:rFonts w:ascii="Calibri" w:hAnsi="Calibri" w:cs="Calibri"/>
                <w:sz w:val="18"/>
                <w:szCs w:val="18"/>
              </w:rPr>
              <w:t>wg rys. 5*)</w:t>
            </w:r>
          </w:p>
        </w:tc>
      </w:tr>
      <w:tr w:rsidR="00AD54A3" w:rsidRPr="00E4644B" w:rsidTr="00FD47C7">
        <w:tc>
          <w:tcPr>
            <w:tcW w:w="817" w:type="dxa"/>
          </w:tcPr>
          <w:p w:rsidR="00AD54A3" w:rsidRPr="00E4644B" w:rsidRDefault="00AD54A3" w:rsidP="00FD47C7">
            <w:pPr>
              <w:jc w:val="center"/>
              <w:rPr>
                <w:rFonts w:ascii="Calibri" w:hAnsi="Calibri" w:cs="Calibri"/>
                <w:sz w:val="18"/>
                <w:szCs w:val="18"/>
              </w:rPr>
            </w:pPr>
          </w:p>
        </w:tc>
        <w:tc>
          <w:tcPr>
            <w:tcW w:w="4190" w:type="dxa"/>
          </w:tcPr>
          <w:p w:rsidR="00AD54A3" w:rsidRPr="00E4644B" w:rsidRDefault="00AD54A3" w:rsidP="00FD47C7">
            <w:pPr>
              <w:jc w:val="center"/>
              <w:rPr>
                <w:rFonts w:ascii="Calibri" w:hAnsi="Calibri" w:cs="Calibri"/>
                <w:sz w:val="18"/>
                <w:szCs w:val="18"/>
              </w:rPr>
            </w:pPr>
            <w:r w:rsidRPr="00E4644B">
              <w:rPr>
                <w:rFonts w:ascii="Calibri" w:hAnsi="Calibri" w:cs="Calibri"/>
                <w:sz w:val="18"/>
                <w:szCs w:val="18"/>
              </w:rPr>
              <w:t>- mieszanka 0/11,2 mm</w:t>
            </w:r>
          </w:p>
        </w:tc>
        <w:tc>
          <w:tcPr>
            <w:tcW w:w="2504" w:type="dxa"/>
          </w:tcPr>
          <w:p w:rsidR="00AD54A3" w:rsidRPr="00E4644B" w:rsidRDefault="00AD54A3" w:rsidP="00FD47C7">
            <w:pPr>
              <w:jc w:val="center"/>
              <w:rPr>
                <w:rFonts w:ascii="Calibri" w:hAnsi="Calibri" w:cs="Calibri"/>
                <w:sz w:val="18"/>
                <w:szCs w:val="18"/>
              </w:rPr>
            </w:pPr>
            <w:r w:rsidRPr="00E4644B">
              <w:rPr>
                <w:rFonts w:ascii="Calibri" w:hAnsi="Calibri" w:cs="Calibri"/>
                <w:sz w:val="18"/>
                <w:szCs w:val="18"/>
              </w:rPr>
              <w:t>wg rys. 4</w:t>
            </w:r>
          </w:p>
        </w:tc>
      </w:tr>
      <w:tr w:rsidR="00AD54A3" w:rsidRPr="00E4644B" w:rsidTr="00FD47C7">
        <w:tc>
          <w:tcPr>
            <w:tcW w:w="817" w:type="dxa"/>
          </w:tcPr>
          <w:p w:rsidR="00AD54A3" w:rsidRPr="00E4644B" w:rsidRDefault="00AD54A3" w:rsidP="00FD47C7">
            <w:pPr>
              <w:jc w:val="center"/>
              <w:rPr>
                <w:rFonts w:ascii="Calibri" w:hAnsi="Calibri" w:cs="Calibri"/>
                <w:sz w:val="18"/>
                <w:szCs w:val="18"/>
              </w:rPr>
            </w:pPr>
          </w:p>
        </w:tc>
        <w:tc>
          <w:tcPr>
            <w:tcW w:w="4190" w:type="dxa"/>
          </w:tcPr>
          <w:p w:rsidR="00AD54A3" w:rsidRPr="00E4644B" w:rsidRDefault="00AD54A3" w:rsidP="00FD47C7">
            <w:pPr>
              <w:jc w:val="center"/>
              <w:rPr>
                <w:rFonts w:ascii="Calibri" w:hAnsi="Calibri" w:cs="Calibri"/>
                <w:sz w:val="18"/>
                <w:szCs w:val="18"/>
              </w:rPr>
            </w:pPr>
            <w:r w:rsidRPr="00E4644B">
              <w:rPr>
                <w:rFonts w:ascii="Calibri" w:hAnsi="Calibri" w:cs="Calibri"/>
                <w:sz w:val="18"/>
                <w:szCs w:val="18"/>
              </w:rPr>
              <w:t>- mieszanka 0/16 mm</w:t>
            </w:r>
          </w:p>
        </w:tc>
        <w:tc>
          <w:tcPr>
            <w:tcW w:w="2504" w:type="dxa"/>
          </w:tcPr>
          <w:p w:rsidR="00AD54A3" w:rsidRPr="00E4644B" w:rsidRDefault="00AD54A3" w:rsidP="00FD47C7">
            <w:pPr>
              <w:jc w:val="center"/>
              <w:rPr>
                <w:rFonts w:ascii="Calibri" w:hAnsi="Calibri" w:cs="Calibri"/>
                <w:sz w:val="18"/>
                <w:szCs w:val="18"/>
              </w:rPr>
            </w:pPr>
            <w:r w:rsidRPr="00E4644B">
              <w:rPr>
                <w:rFonts w:ascii="Calibri" w:hAnsi="Calibri" w:cs="Calibri"/>
                <w:sz w:val="18"/>
                <w:szCs w:val="18"/>
              </w:rPr>
              <w:t>wg rys. 3</w:t>
            </w:r>
          </w:p>
        </w:tc>
      </w:tr>
      <w:tr w:rsidR="00AD54A3" w:rsidRPr="00E4644B" w:rsidTr="00FD47C7">
        <w:tc>
          <w:tcPr>
            <w:tcW w:w="817" w:type="dxa"/>
          </w:tcPr>
          <w:p w:rsidR="00AD54A3" w:rsidRPr="00E4644B" w:rsidRDefault="00AD54A3" w:rsidP="00FD47C7">
            <w:pPr>
              <w:jc w:val="center"/>
              <w:rPr>
                <w:rFonts w:ascii="Calibri" w:hAnsi="Calibri" w:cs="Calibri"/>
                <w:sz w:val="18"/>
                <w:szCs w:val="18"/>
              </w:rPr>
            </w:pPr>
          </w:p>
        </w:tc>
        <w:tc>
          <w:tcPr>
            <w:tcW w:w="4190" w:type="dxa"/>
          </w:tcPr>
          <w:p w:rsidR="00AD54A3" w:rsidRPr="00E4644B" w:rsidRDefault="00AD54A3" w:rsidP="00FD47C7">
            <w:pPr>
              <w:jc w:val="center"/>
              <w:rPr>
                <w:rFonts w:ascii="Calibri" w:hAnsi="Calibri" w:cs="Calibri"/>
                <w:sz w:val="18"/>
                <w:szCs w:val="18"/>
              </w:rPr>
            </w:pPr>
            <w:r w:rsidRPr="00E4644B">
              <w:rPr>
                <w:rFonts w:ascii="Calibri" w:hAnsi="Calibri" w:cs="Calibri"/>
                <w:sz w:val="18"/>
                <w:szCs w:val="18"/>
              </w:rPr>
              <w:t>- mieszanka 0/22,4 mm</w:t>
            </w:r>
          </w:p>
        </w:tc>
        <w:tc>
          <w:tcPr>
            <w:tcW w:w="2504" w:type="dxa"/>
          </w:tcPr>
          <w:p w:rsidR="00AD54A3" w:rsidRPr="00E4644B" w:rsidRDefault="00AD54A3" w:rsidP="00FD47C7">
            <w:pPr>
              <w:jc w:val="center"/>
              <w:rPr>
                <w:rFonts w:ascii="Calibri" w:hAnsi="Calibri" w:cs="Calibri"/>
                <w:sz w:val="18"/>
                <w:szCs w:val="18"/>
              </w:rPr>
            </w:pPr>
            <w:r w:rsidRPr="00E4644B">
              <w:rPr>
                <w:rFonts w:ascii="Calibri" w:hAnsi="Calibri" w:cs="Calibri"/>
                <w:sz w:val="18"/>
                <w:szCs w:val="18"/>
              </w:rPr>
              <w:t>wg rys. 2</w:t>
            </w:r>
          </w:p>
        </w:tc>
      </w:tr>
      <w:tr w:rsidR="00AD54A3" w:rsidRPr="00E4644B" w:rsidTr="00FD47C7">
        <w:tc>
          <w:tcPr>
            <w:tcW w:w="817" w:type="dxa"/>
          </w:tcPr>
          <w:p w:rsidR="00AD54A3" w:rsidRPr="00E4644B" w:rsidRDefault="00AD54A3" w:rsidP="00FD47C7">
            <w:pPr>
              <w:jc w:val="center"/>
              <w:rPr>
                <w:rFonts w:ascii="Calibri" w:hAnsi="Calibri" w:cs="Calibri"/>
                <w:sz w:val="18"/>
                <w:szCs w:val="18"/>
              </w:rPr>
            </w:pPr>
          </w:p>
        </w:tc>
        <w:tc>
          <w:tcPr>
            <w:tcW w:w="4190" w:type="dxa"/>
          </w:tcPr>
          <w:p w:rsidR="00AD54A3" w:rsidRPr="00E4644B" w:rsidRDefault="00AD54A3" w:rsidP="00FD47C7">
            <w:pPr>
              <w:jc w:val="center"/>
              <w:rPr>
                <w:rFonts w:ascii="Calibri" w:hAnsi="Calibri" w:cs="Calibri"/>
                <w:sz w:val="18"/>
                <w:szCs w:val="18"/>
              </w:rPr>
            </w:pPr>
            <w:r w:rsidRPr="00E4644B">
              <w:rPr>
                <w:rFonts w:ascii="Calibri" w:hAnsi="Calibri" w:cs="Calibri"/>
                <w:sz w:val="18"/>
                <w:szCs w:val="18"/>
              </w:rPr>
              <w:t>- mieszanka 0/31,5 mm</w:t>
            </w:r>
          </w:p>
        </w:tc>
        <w:tc>
          <w:tcPr>
            <w:tcW w:w="2504" w:type="dxa"/>
          </w:tcPr>
          <w:p w:rsidR="00AD54A3" w:rsidRPr="00E4644B" w:rsidRDefault="00AD54A3" w:rsidP="00FD47C7">
            <w:pPr>
              <w:jc w:val="center"/>
              <w:rPr>
                <w:rFonts w:ascii="Calibri" w:hAnsi="Calibri" w:cs="Calibri"/>
                <w:sz w:val="18"/>
                <w:szCs w:val="18"/>
              </w:rPr>
            </w:pPr>
            <w:r w:rsidRPr="00E4644B">
              <w:rPr>
                <w:rFonts w:ascii="Calibri" w:hAnsi="Calibri" w:cs="Calibri"/>
                <w:sz w:val="18"/>
                <w:szCs w:val="18"/>
              </w:rPr>
              <w:t>wg rys. 1</w:t>
            </w:r>
          </w:p>
        </w:tc>
      </w:tr>
      <w:tr w:rsidR="00AD54A3" w:rsidRPr="00E4644B" w:rsidTr="00FD47C7">
        <w:tc>
          <w:tcPr>
            <w:tcW w:w="817" w:type="dxa"/>
          </w:tcPr>
          <w:p w:rsidR="00AD54A3" w:rsidRPr="00E4644B" w:rsidRDefault="00AD54A3" w:rsidP="00FD47C7">
            <w:pPr>
              <w:jc w:val="center"/>
              <w:rPr>
                <w:rFonts w:ascii="Calibri" w:hAnsi="Calibri" w:cs="Calibri"/>
                <w:sz w:val="18"/>
                <w:szCs w:val="18"/>
              </w:rPr>
            </w:pPr>
            <w:r w:rsidRPr="00E4644B">
              <w:rPr>
                <w:rFonts w:ascii="Calibri" w:hAnsi="Calibri" w:cs="Calibri"/>
                <w:sz w:val="18"/>
                <w:szCs w:val="18"/>
              </w:rPr>
              <w:t>2.2</w:t>
            </w:r>
          </w:p>
        </w:tc>
        <w:tc>
          <w:tcPr>
            <w:tcW w:w="4190" w:type="dxa"/>
          </w:tcPr>
          <w:p w:rsidR="00AD54A3" w:rsidRPr="00E4644B" w:rsidRDefault="00AD54A3" w:rsidP="00FD47C7">
            <w:pPr>
              <w:jc w:val="center"/>
              <w:rPr>
                <w:rFonts w:ascii="Calibri" w:hAnsi="Calibri" w:cs="Calibri"/>
                <w:sz w:val="18"/>
                <w:szCs w:val="18"/>
              </w:rPr>
            </w:pPr>
            <w:r w:rsidRPr="00E4644B">
              <w:rPr>
                <w:rFonts w:ascii="Calibri" w:hAnsi="Calibri" w:cs="Calibri"/>
                <w:sz w:val="18"/>
                <w:szCs w:val="18"/>
              </w:rPr>
              <w:t>Minimalna zawartość cementu</w:t>
            </w:r>
          </w:p>
        </w:tc>
        <w:tc>
          <w:tcPr>
            <w:tcW w:w="2504" w:type="dxa"/>
          </w:tcPr>
          <w:p w:rsidR="00AD54A3" w:rsidRPr="00E4644B" w:rsidRDefault="00AD54A3" w:rsidP="00FD47C7">
            <w:pPr>
              <w:jc w:val="center"/>
              <w:rPr>
                <w:rFonts w:ascii="Calibri" w:hAnsi="Calibri" w:cs="Calibri"/>
                <w:sz w:val="18"/>
                <w:szCs w:val="18"/>
              </w:rPr>
            </w:pPr>
            <w:r w:rsidRPr="00E4644B">
              <w:rPr>
                <w:rFonts w:ascii="Calibri" w:hAnsi="Calibri" w:cs="Calibri"/>
                <w:sz w:val="18"/>
                <w:szCs w:val="18"/>
              </w:rPr>
              <w:t>wg tablicy 3</w:t>
            </w:r>
          </w:p>
        </w:tc>
      </w:tr>
      <w:tr w:rsidR="00AD54A3" w:rsidRPr="00E4644B" w:rsidTr="00FD47C7">
        <w:tc>
          <w:tcPr>
            <w:tcW w:w="817" w:type="dxa"/>
          </w:tcPr>
          <w:p w:rsidR="00AD54A3" w:rsidRPr="00E4644B" w:rsidRDefault="00AD54A3" w:rsidP="00FD47C7">
            <w:pPr>
              <w:jc w:val="center"/>
              <w:rPr>
                <w:rFonts w:ascii="Calibri" w:hAnsi="Calibri" w:cs="Calibri"/>
                <w:sz w:val="18"/>
                <w:szCs w:val="18"/>
              </w:rPr>
            </w:pPr>
            <w:r w:rsidRPr="00E4644B">
              <w:rPr>
                <w:rFonts w:ascii="Calibri" w:hAnsi="Calibri" w:cs="Calibri"/>
                <w:sz w:val="18"/>
                <w:szCs w:val="18"/>
              </w:rPr>
              <w:t>2.3</w:t>
            </w:r>
          </w:p>
        </w:tc>
        <w:tc>
          <w:tcPr>
            <w:tcW w:w="4190" w:type="dxa"/>
          </w:tcPr>
          <w:p w:rsidR="00AD54A3" w:rsidRPr="00E4644B" w:rsidRDefault="00AD54A3" w:rsidP="00FD47C7">
            <w:pPr>
              <w:jc w:val="center"/>
              <w:rPr>
                <w:rFonts w:ascii="Calibri" w:hAnsi="Calibri" w:cs="Calibri"/>
                <w:sz w:val="18"/>
                <w:szCs w:val="18"/>
              </w:rPr>
            </w:pPr>
            <w:r w:rsidRPr="00E4644B">
              <w:rPr>
                <w:rFonts w:ascii="Calibri" w:hAnsi="Calibri" w:cs="Calibri"/>
                <w:sz w:val="18"/>
                <w:szCs w:val="18"/>
              </w:rPr>
              <w:t>Zawartość wody</w:t>
            </w:r>
          </w:p>
        </w:tc>
        <w:tc>
          <w:tcPr>
            <w:tcW w:w="2504" w:type="dxa"/>
          </w:tcPr>
          <w:p w:rsidR="00AD54A3" w:rsidRPr="00E4644B" w:rsidRDefault="00AD54A3" w:rsidP="00FD47C7">
            <w:pPr>
              <w:jc w:val="center"/>
              <w:rPr>
                <w:rFonts w:ascii="Calibri" w:hAnsi="Calibri" w:cs="Calibri"/>
                <w:sz w:val="18"/>
                <w:szCs w:val="18"/>
              </w:rPr>
            </w:pPr>
            <w:r w:rsidRPr="00E4644B">
              <w:rPr>
                <w:rFonts w:ascii="Calibri" w:hAnsi="Calibri" w:cs="Calibri"/>
                <w:sz w:val="18"/>
                <w:szCs w:val="18"/>
              </w:rPr>
              <w:t>wg projektu mieszanki</w:t>
            </w:r>
          </w:p>
        </w:tc>
      </w:tr>
      <w:tr w:rsidR="00AD54A3" w:rsidRPr="00E4644B" w:rsidTr="00FD47C7">
        <w:tc>
          <w:tcPr>
            <w:tcW w:w="817" w:type="dxa"/>
          </w:tcPr>
          <w:p w:rsidR="00AD54A3" w:rsidRPr="00E4644B" w:rsidRDefault="00AD54A3" w:rsidP="00FD47C7">
            <w:pPr>
              <w:jc w:val="center"/>
              <w:rPr>
                <w:rFonts w:ascii="Calibri" w:hAnsi="Calibri" w:cs="Calibri"/>
                <w:sz w:val="18"/>
                <w:szCs w:val="18"/>
              </w:rPr>
            </w:pPr>
            <w:r w:rsidRPr="00E4644B">
              <w:rPr>
                <w:rFonts w:ascii="Calibri" w:hAnsi="Calibri" w:cs="Calibri"/>
                <w:sz w:val="18"/>
                <w:szCs w:val="18"/>
              </w:rPr>
              <w:t>2.4</w:t>
            </w:r>
          </w:p>
        </w:tc>
        <w:tc>
          <w:tcPr>
            <w:tcW w:w="4190" w:type="dxa"/>
          </w:tcPr>
          <w:p w:rsidR="00AD54A3" w:rsidRPr="00E4644B" w:rsidRDefault="00AD54A3" w:rsidP="00FD47C7">
            <w:pPr>
              <w:jc w:val="center"/>
              <w:rPr>
                <w:rFonts w:ascii="Calibri" w:hAnsi="Calibri" w:cs="Calibri"/>
                <w:sz w:val="18"/>
                <w:szCs w:val="18"/>
              </w:rPr>
            </w:pPr>
            <w:r w:rsidRPr="00E4644B">
              <w:rPr>
                <w:rFonts w:ascii="Calibri" w:hAnsi="Calibri" w:cs="Calibri"/>
                <w:sz w:val="18"/>
                <w:szCs w:val="18"/>
              </w:rPr>
              <w:t>Wytrzymałość na ściskanie (system I) – klasa wytrzymałości Rc wg tablicy 2</w:t>
            </w:r>
          </w:p>
        </w:tc>
        <w:tc>
          <w:tcPr>
            <w:tcW w:w="2504" w:type="dxa"/>
          </w:tcPr>
          <w:p w:rsidR="00AD54A3" w:rsidRPr="00E4644B" w:rsidRDefault="00AD54A3" w:rsidP="00FD47C7">
            <w:pPr>
              <w:jc w:val="center"/>
              <w:rPr>
                <w:rFonts w:ascii="Calibri" w:hAnsi="Calibri" w:cs="Calibri"/>
                <w:sz w:val="18"/>
                <w:szCs w:val="18"/>
              </w:rPr>
            </w:pPr>
            <w:r w:rsidRPr="00E4644B">
              <w:rPr>
                <w:rFonts w:ascii="Calibri" w:hAnsi="Calibri" w:cs="Calibri"/>
                <w:sz w:val="18"/>
                <w:szCs w:val="18"/>
              </w:rPr>
              <w:t>klasa C 1,5/2,0</w:t>
            </w:r>
          </w:p>
        </w:tc>
      </w:tr>
    </w:tbl>
    <w:p w:rsidR="00AD54A3" w:rsidRPr="00E4644B" w:rsidRDefault="00AD54A3" w:rsidP="00AD54A3">
      <w:pPr>
        <w:ind w:left="709"/>
        <w:rPr>
          <w:rFonts w:ascii="Calibri" w:hAnsi="Calibri" w:cs="Calibri"/>
          <w:i/>
        </w:rPr>
      </w:pPr>
      <w:r w:rsidRPr="00E4644B">
        <w:rPr>
          <w:rFonts w:ascii="Calibri" w:hAnsi="Calibri" w:cs="Calibri"/>
          <w:i/>
        </w:rPr>
        <w:t>*) Mieszankę 0/8 mm można stosować tylko dla ruchu KR1 i KR2</w:t>
      </w:r>
    </w:p>
    <w:p w:rsidR="00AD54A3" w:rsidRPr="00E4644B" w:rsidRDefault="00AD54A3" w:rsidP="00AD54A3">
      <w:pPr>
        <w:ind w:left="709"/>
        <w:rPr>
          <w:rFonts w:ascii="Calibri" w:hAnsi="Calibri" w:cs="Calibri"/>
        </w:rPr>
      </w:pPr>
      <w:r>
        <w:rPr>
          <w:rFonts w:ascii="Calibri" w:hAnsi="Calibri" w:cs="Calibri"/>
        </w:rPr>
        <w:lastRenderedPageBreak/>
        <w:t xml:space="preserve">Tablica 5. </w:t>
      </w:r>
      <w:r w:rsidRPr="00E4644B">
        <w:rPr>
          <w:rFonts w:ascii="Calibri" w:hAnsi="Calibri" w:cs="Calibri"/>
        </w:rPr>
        <w:t>Wymagania wobec mieszanek związanych cementem do warstwy podbudowy pomocniczej</w:t>
      </w:r>
    </w:p>
    <w:tbl>
      <w:tblPr>
        <w:tblW w:w="0" w:type="auto"/>
        <w:tblInd w:w="81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tblPr>
      <w:tblGrid>
        <w:gridCol w:w="817"/>
        <w:gridCol w:w="2835"/>
        <w:gridCol w:w="1276"/>
        <w:gridCol w:w="1276"/>
        <w:gridCol w:w="1307"/>
      </w:tblGrid>
      <w:tr w:rsidR="00AD54A3" w:rsidRPr="00E4644B" w:rsidTr="00FD47C7">
        <w:tc>
          <w:tcPr>
            <w:tcW w:w="817" w:type="dxa"/>
            <w:vMerge w:val="restart"/>
          </w:tcPr>
          <w:p w:rsidR="00AD54A3" w:rsidRPr="00E4644B" w:rsidRDefault="00AD54A3" w:rsidP="00FD47C7">
            <w:pPr>
              <w:jc w:val="center"/>
              <w:rPr>
                <w:rFonts w:ascii="Calibri" w:hAnsi="Calibri" w:cs="Calibri"/>
                <w:sz w:val="18"/>
                <w:szCs w:val="18"/>
              </w:rPr>
            </w:pPr>
            <w:r w:rsidRPr="00E4644B">
              <w:rPr>
                <w:rFonts w:ascii="Calibri" w:hAnsi="Calibri" w:cs="Calibri"/>
                <w:sz w:val="18"/>
                <w:szCs w:val="18"/>
              </w:rPr>
              <w:t>Lp.</w:t>
            </w:r>
          </w:p>
        </w:tc>
        <w:tc>
          <w:tcPr>
            <w:tcW w:w="2835" w:type="dxa"/>
            <w:vMerge w:val="restart"/>
          </w:tcPr>
          <w:p w:rsidR="00AD54A3" w:rsidRPr="00E4644B" w:rsidRDefault="00AD54A3" w:rsidP="00FD47C7">
            <w:pPr>
              <w:jc w:val="center"/>
              <w:rPr>
                <w:rFonts w:ascii="Calibri" w:hAnsi="Calibri" w:cs="Calibri"/>
                <w:sz w:val="18"/>
                <w:szCs w:val="18"/>
              </w:rPr>
            </w:pPr>
            <w:r w:rsidRPr="00E4644B">
              <w:rPr>
                <w:rFonts w:ascii="Calibri" w:hAnsi="Calibri" w:cs="Calibri"/>
                <w:sz w:val="18"/>
                <w:szCs w:val="18"/>
              </w:rPr>
              <w:t>Właściwość</w:t>
            </w:r>
          </w:p>
        </w:tc>
        <w:tc>
          <w:tcPr>
            <w:tcW w:w="3859" w:type="dxa"/>
            <w:gridSpan w:val="3"/>
          </w:tcPr>
          <w:p w:rsidR="00AD54A3" w:rsidRPr="00E4644B" w:rsidRDefault="00AD54A3" w:rsidP="00FD47C7">
            <w:pPr>
              <w:jc w:val="center"/>
              <w:rPr>
                <w:rFonts w:ascii="Calibri" w:hAnsi="Calibri" w:cs="Calibri"/>
                <w:sz w:val="18"/>
                <w:szCs w:val="18"/>
              </w:rPr>
            </w:pPr>
            <w:r w:rsidRPr="00E4644B">
              <w:rPr>
                <w:rFonts w:ascii="Calibri" w:hAnsi="Calibri" w:cs="Calibri"/>
                <w:sz w:val="18"/>
                <w:szCs w:val="18"/>
              </w:rPr>
              <w:t>Wymagania dla ruchu</w:t>
            </w:r>
          </w:p>
        </w:tc>
      </w:tr>
      <w:tr w:rsidR="00AD54A3" w:rsidRPr="00E4644B" w:rsidTr="00FD47C7">
        <w:tc>
          <w:tcPr>
            <w:tcW w:w="817" w:type="dxa"/>
            <w:vMerge/>
          </w:tcPr>
          <w:p w:rsidR="00AD54A3" w:rsidRPr="00E4644B" w:rsidRDefault="00AD54A3" w:rsidP="00FD47C7">
            <w:pPr>
              <w:jc w:val="center"/>
              <w:rPr>
                <w:rFonts w:ascii="Calibri" w:hAnsi="Calibri" w:cs="Calibri"/>
                <w:sz w:val="18"/>
                <w:szCs w:val="18"/>
              </w:rPr>
            </w:pPr>
          </w:p>
        </w:tc>
        <w:tc>
          <w:tcPr>
            <w:tcW w:w="2835" w:type="dxa"/>
            <w:vMerge/>
          </w:tcPr>
          <w:p w:rsidR="00AD54A3" w:rsidRPr="00E4644B" w:rsidRDefault="00AD54A3" w:rsidP="00FD47C7">
            <w:pPr>
              <w:jc w:val="center"/>
              <w:rPr>
                <w:rFonts w:ascii="Calibri" w:hAnsi="Calibri" w:cs="Calibri"/>
                <w:sz w:val="18"/>
                <w:szCs w:val="18"/>
              </w:rPr>
            </w:pPr>
          </w:p>
        </w:tc>
        <w:tc>
          <w:tcPr>
            <w:tcW w:w="1276" w:type="dxa"/>
          </w:tcPr>
          <w:p w:rsidR="00AD54A3" w:rsidRPr="00E4644B" w:rsidRDefault="00AD54A3" w:rsidP="00FD47C7">
            <w:pPr>
              <w:jc w:val="center"/>
              <w:rPr>
                <w:rFonts w:ascii="Calibri" w:hAnsi="Calibri" w:cs="Calibri"/>
                <w:sz w:val="18"/>
                <w:szCs w:val="18"/>
              </w:rPr>
            </w:pPr>
            <w:r w:rsidRPr="00E4644B">
              <w:rPr>
                <w:rFonts w:ascii="Calibri" w:hAnsi="Calibri" w:cs="Calibri"/>
                <w:sz w:val="18"/>
                <w:szCs w:val="18"/>
              </w:rPr>
              <w:t>KR1–KR2</w:t>
            </w:r>
          </w:p>
        </w:tc>
        <w:tc>
          <w:tcPr>
            <w:tcW w:w="1276" w:type="dxa"/>
          </w:tcPr>
          <w:p w:rsidR="00AD54A3" w:rsidRPr="00E4644B" w:rsidRDefault="00AD54A3" w:rsidP="00FD47C7">
            <w:pPr>
              <w:jc w:val="center"/>
              <w:rPr>
                <w:rFonts w:ascii="Calibri" w:hAnsi="Calibri" w:cs="Calibri"/>
                <w:sz w:val="18"/>
                <w:szCs w:val="18"/>
              </w:rPr>
            </w:pPr>
            <w:r w:rsidRPr="00E4644B">
              <w:rPr>
                <w:rFonts w:ascii="Calibri" w:hAnsi="Calibri" w:cs="Calibri"/>
                <w:sz w:val="18"/>
                <w:szCs w:val="18"/>
              </w:rPr>
              <w:t>KR3–KR4</w:t>
            </w:r>
          </w:p>
        </w:tc>
        <w:tc>
          <w:tcPr>
            <w:tcW w:w="1307" w:type="dxa"/>
          </w:tcPr>
          <w:p w:rsidR="00AD54A3" w:rsidRPr="00E4644B" w:rsidRDefault="00AD54A3" w:rsidP="00FD47C7">
            <w:pPr>
              <w:jc w:val="center"/>
              <w:rPr>
                <w:rFonts w:ascii="Calibri" w:hAnsi="Calibri" w:cs="Calibri"/>
                <w:sz w:val="18"/>
                <w:szCs w:val="18"/>
              </w:rPr>
            </w:pPr>
            <w:r w:rsidRPr="00E4644B">
              <w:rPr>
                <w:rFonts w:ascii="Calibri" w:hAnsi="Calibri" w:cs="Calibri"/>
                <w:sz w:val="18"/>
                <w:szCs w:val="18"/>
              </w:rPr>
              <w:t>KR5–KR6</w:t>
            </w:r>
          </w:p>
        </w:tc>
      </w:tr>
      <w:tr w:rsidR="00AD54A3" w:rsidRPr="00E4644B" w:rsidTr="00FD47C7">
        <w:tc>
          <w:tcPr>
            <w:tcW w:w="817" w:type="dxa"/>
          </w:tcPr>
          <w:p w:rsidR="00AD54A3" w:rsidRPr="00E4644B" w:rsidRDefault="00AD54A3" w:rsidP="00FD47C7">
            <w:pPr>
              <w:jc w:val="center"/>
              <w:rPr>
                <w:rFonts w:ascii="Calibri" w:hAnsi="Calibri" w:cs="Calibri"/>
                <w:sz w:val="18"/>
                <w:szCs w:val="18"/>
              </w:rPr>
            </w:pPr>
            <w:r w:rsidRPr="00E4644B">
              <w:rPr>
                <w:rFonts w:ascii="Calibri" w:hAnsi="Calibri" w:cs="Calibri"/>
                <w:sz w:val="18"/>
                <w:szCs w:val="18"/>
              </w:rPr>
              <w:t>1.0</w:t>
            </w:r>
          </w:p>
        </w:tc>
        <w:tc>
          <w:tcPr>
            <w:tcW w:w="6694" w:type="dxa"/>
            <w:gridSpan w:val="4"/>
          </w:tcPr>
          <w:p w:rsidR="00AD54A3" w:rsidRPr="00E4644B" w:rsidRDefault="00AD54A3" w:rsidP="00FD47C7">
            <w:pPr>
              <w:jc w:val="center"/>
              <w:rPr>
                <w:rFonts w:ascii="Calibri" w:hAnsi="Calibri" w:cs="Calibri"/>
                <w:sz w:val="18"/>
                <w:szCs w:val="18"/>
              </w:rPr>
            </w:pPr>
            <w:r w:rsidRPr="00E4644B">
              <w:rPr>
                <w:rFonts w:ascii="Calibri" w:hAnsi="Calibri" w:cs="Calibri"/>
                <w:sz w:val="18"/>
                <w:szCs w:val="18"/>
              </w:rPr>
              <w:t>Składniki</w:t>
            </w:r>
          </w:p>
        </w:tc>
      </w:tr>
      <w:tr w:rsidR="00AD54A3" w:rsidRPr="00E4644B" w:rsidTr="00FD47C7">
        <w:tc>
          <w:tcPr>
            <w:tcW w:w="817" w:type="dxa"/>
          </w:tcPr>
          <w:p w:rsidR="00AD54A3" w:rsidRPr="00E4644B" w:rsidRDefault="00AD54A3" w:rsidP="00FD47C7">
            <w:pPr>
              <w:jc w:val="center"/>
              <w:rPr>
                <w:rFonts w:ascii="Calibri" w:hAnsi="Calibri" w:cs="Calibri"/>
                <w:sz w:val="18"/>
                <w:szCs w:val="18"/>
              </w:rPr>
            </w:pPr>
            <w:r w:rsidRPr="00E4644B">
              <w:rPr>
                <w:rFonts w:ascii="Calibri" w:hAnsi="Calibri" w:cs="Calibri"/>
                <w:sz w:val="18"/>
                <w:szCs w:val="18"/>
              </w:rPr>
              <w:t>1.1</w:t>
            </w:r>
          </w:p>
        </w:tc>
        <w:tc>
          <w:tcPr>
            <w:tcW w:w="2835" w:type="dxa"/>
          </w:tcPr>
          <w:p w:rsidR="00AD54A3" w:rsidRPr="00E4644B" w:rsidRDefault="00AD54A3" w:rsidP="00FD47C7">
            <w:pPr>
              <w:jc w:val="center"/>
              <w:rPr>
                <w:rFonts w:ascii="Calibri" w:hAnsi="Calibri" w:cs="Calibri"/>
                <w:sz w:val="18"/>
                <w:szCs w:val="18"/>
              </w:rPr>
            </w:pPr>
            <w:r w:rsidRPr="00E4644B">
              <w:rPr>
                <w:rFonts w:ascii="Calibri" w:hAnsi="Calibri" w:cs="Calibri"/>
                <w:sz w:val="18"/>
                <w:szCs w:val="18"/>
              </w:rPr>
              <w:t>Cement</w:t>
            </w:r>
          </w:p>
        </w:tc>
        <w:tc>
          <w:tcPr>
            <w:tcW w:w="3859" w:type="dxa"/>
            <w:gridSpan w:val="3"/>
          </w:tcPr>
          <w:p w:rsidR="00AD54A3" w:rsidRPr="00E4644B" w:rsidRDefault="00AD54A3" w:rsidP="00FD47C7">
            <w:pPr>
              <w:jc w:val="center"/>
              <w:rPr>
                <w:rFonts w:ascii="Calibri" w:hAnsi="Calibri" w:cs="Calibri"/>
                <w:sz w:val="18"/>
                <w:szCs w:val="18"/>
              </w:rPr>
            </w:pPr>
            <w:r w:rsidRPr="00E4644B">
              <w:rPr>
                <w:rFonts w:ascii="Calibri" w:hAnsi="Calibri" w:cs="Calibri"/>
                <w:sz w:val="18"/>
                <w:szCs w:val="18"/>
              </w:rPr>
              <w:t>wg p. 2.2.4</w:t>
            </w:r>
          </w:p>
        </w:tc>
      </w:tr>
      <w:tr w:rsidR="00AD54A3" w:rsidRPr="00E4644B" w:rsidTr="00FD47C7">
        <w:tc>
          <w:tcPr>
            <w:tcW w:w="817" w:type="dxa"/>
          </w:tcPr>
          <w:p w:rsidR="00AD54A3" w:rsidRPr="00E4644B" w:rsidRDefault="00AD54A3" w:rsidP="00FD47C7">
            <w:pPr>
              <w:jc w:val="center"/>
              <w:rPr>
                <w:rFonts w:ascii="Calibri" w:hAnsi="Calibri" w:cs="Calibri"/>
                <w:sz w:val="18"/>
                <w:szCs w:val="18"/>
              </w:rPr>
            </w:pPr>
            <w:r w:rsidRPr="00E4644B">
              <w:rPr>
                <w:rFonts w:ascii="Calibri" w:hAnsi="Calibri" w:cs="Calibri"/>
                <w:sz w:val="18"/>
                <w:szCs w:val="18"/>
              </w:rPr>
              <w:t>1.2</w:t>
            </w:r>
          </w:p>
        </w:tc>
        <w:tc>
          <w:tcPr>
            <w:tcW w:w="2835" w:type="dxa"/>
          </w:tcPr>
          <w:p w:rsidR="00AD54A3" w:rsidRPr="00E4644B" w:rsidRDefault="00AD54A3" w:rsidP="00FD47C7">
            <w:pPr>
              <w:jc w:val="center"/>
              <w:rPr>
                <w:rFonts w:ascii="Calibri" w:hAnsi="Calibri" w:cs="Calibri"/>
                <w:sz w:val="18"/>
                <w:szCs w:val="18"/>
              </w:rPr>
            </w:pPr>
            <w:r w:rsidRPr="00E4644B">
              <w:rPr>
                <w:rFonts w:ascii="Calibri" w:hAnsi="Calibri" w:cs="Calibri"/>
                <w:sz w:val="18"/>
                <w:szCs w:val="18"/>
              </w:rPr>
              <w:t>Kruszywo</w:t>
            </w:r>
          </w:p>
        </w:tc>
        <w:tc>
          <w:tcPr>
            <w:tcW w:w="3859" w:type="dxa"/>
            <w:gridSpan w:val="3"/>
          </w:tcPr>
          <w:p w:rsidR="00AD54A3" w:rsidRPr="00E4644B" w:rsidRDefault="00AD54A3" w:rsidP="00FD47C7">
            <w:pPr>
              <w:jc w:val="center"/>
              <w:rPr>
                <w:rFonts w:ascii="Calibri" w:hAnsi="Calibri" w:cs="Calibri"/>
                <w:sz w:val="18"/>
                <w:szCs w:val="18"/>
              </w:rPr>
            </w:pPr>
            <w:r w:rsidRPr="00E4644B">
              <w:rPr>
                <w:rFonts w:ascii="Calibri" w:hAnsi="Calibri" w:cs="Calibri"/>
                <w:sz w:val="18"/>
                <w:szCs w:val="18"/>
              </w:rPr>
              <w:t>wg tablicy 1</w:t>
            </w:r>
          </w:p>
        </w:tc>
      </w:tr>
      <w:tr w:rsidR="00AD54A3" w:rsidRPr="00E4644B" w:rsidTr="00FD47C7">
        <w:tc>
          <w:tcPr>
            <w:tcW w:w="817" w:type="dxa"/>
          </w:tcPr>
          <w:p w:rsidR="00AD54A3" w:rsidRPr="00E4644B" w:rsidRDefault="00AD54A3" w:rsidP="00FD47C7">
            <w:pPr>
              <w:jc w:val="center"/>
              <w:rPr>
                <w:rFonts w:ascii="Calibri" w:hAnsi="Calibri" w:cs="Calibri"/>
                <w:sz w:val="18"/>
                <w:szCs w:val="18"/>
              </w:rPr>
            </w:pPr>
            <w:r w:rsidRPr="00E4644B">
              <w:rPr>
                <w:rFonts w:ascii="Calibri" w:hAnsi="Calibri" w:cs="Calibri"/>
                <w:sz w:val="18"/>
                <w:szCs w:val="18"/>
              </w:rPr>
              <w:t>1.3</w:t>
            </w:r>
          </w:p>
        </w:tc>
        <w:tc>
          <w:tcPr>
            <w:tcW w:w="2835" w:type="dxa"/>
          </w:tcPr>
          <w:p w:rsidR="00AD54A3" w:rsidRPr="00E4644B" w:rsidRDefault="00AD54A3" w:rsidP="00FD47C7">
            <w:pPr>
              <w:jc w:val="center"/>
              <w:rPr>
                <w:rFonts w:ascii="Calibri" w:hAnsi="Calibri" w:cs="Calibri"/>
                <w:sz w:val="18"/>
                <w:szCs w:val="18"/>
              </w:rPr>
            </w:pPr>
            <w:r w:rsidRPr="00E4644B">
              <w:rPr>
                <w:rFonts w:ascii="Calibri" w:hAnsi="Calibri" w:cs="Calibri"/>
                <w:sz w:val="18"/>
                <w:szCs w:val="18"/>
              </w:rPr>
              <w:t>Woda zarobowa</w:t>
            </w:r>
          </w:p>
        </w:tc>
        <w:tc>
          <w:tcPr>
            <w:tcW w:w="3859" w:type="dxa"/>
            <w:gridSpan w:val="3"/>
          </w:tcPr>
          <w:p w:rsidR="00AD54A3" w:rsidRPr="00E4644B" w:rsidRDefault="00AD54A3" w:rsidP="00FD47C7">
            <w:pPr>
              <w:jc w:val="center"/>
              <w:rPr>
                <w:rFonts w:ascii="Calibri" w:hAnsi="Calibri" w:cs="Calibri"/>
                <w:sz w:val="18"/>
                <w:szCs w:val="18"/>
              </w:rPr>
            </w:pPr>
            <w:r w:rsidRPr="00E4644B">
              <w:rPr>
                <w:rFonts w:ascii="Calibri" w:hAnsi="Calibri" w:cs="Calibri"/>
                <w:sz w:val="18"/>
                <w:szCs w:val="18"/>
              </w:rPr>
              <w:t>wg p. 2.2.5</w:t>
            </w:r>
          </w:p>
        </w:tc>
      </w:tr>
      <w:tr w:rsidR="00AD54A3" w:rsidRPr="00E4644B" w:rsidTr="00FD47C7">
        <w:tc>
          <w:tcPr>
            <w:tcW w:w="817" w:type="dxa"/>
          </w:tcPr>
          <w:p w:rsidR="00AD54A3" w:rsidRPr="00E4644B" w:rsidRDefault="00AD54A3" w:rsidP="00FD47C7">
            <w:pPr>
              <w:jc w:val="center"/>
              <w:rPr>
                <w:rFonts w:ascii="Calibri" w:hAnsi="Calibri" w:cs="Calibri"/>
                <w:sz w:val="18"/>
                <w:szCs w:val="18"/>
              </w:rPr>
            </w:pPr>
            <w:r w:rsidRPr="00E4644B">
              <w:rPr>
                <w:rFonts w:ascii="Calibri" w:hAnsi="Calibri" w:cs="Calibri"/>
                <w:sz w:val="18"/>
                <w:szCs w:val="18"/>
              </w:rPr>
              <w:t>1.4</w:t>
            </w:r>
          </w:p>
        </w:tc>
        <w:tc>
          <w:tcPr>
            <w:tcW w:w="2835" w:type="dxa"/>
          </w:tcPr>
          <w:p w:rsidR="00AD54A3" w:rsidRPr="00E4644B" w:rsidRDefault="00AD54A3" w:rsidP="00FD47C7">
            <w:pPr>
              <w:jc w:val="center"/>
              <w:rPr>
                <w:rFonts w:ascii="Calibri" w:hAnsi="Calibri" w:cs="Calibri"/>
                <w:sz w:val="18"/>
                <w:szCs w:val="18"/>
              </w:rPr>
            </w:pPr>
            <w:r w:rsidRPr="00E4644B">
              <w:rPr>
                <w:rFonts w:ascii="Calibri" w:hAnsi="Calibri" w:cs="Calibri"/>
                <w:sz w:val="18"/>
                <w:szCs w:val="18"/>
              </w:rPr>
              <w:t>Dodatki</w:t>
            </w:r>
          </w:p>
        </w:tc>
        <w:tc>
          <w:tcPr>
            <w:tcW w:w="3859" w:type="dxa"/>
            <w:gridSpan w:val="3"/>
          </w:tcPr>
          <w:p w:rsidR="00AD54A3" w:rsidRPr="00E4644B" w:rsidRDefault="00AD54A3" w:rsidP="00FD47C7">
            <w:pPr>
              <w:jc w:val="center"/>
              <w:rPr>
                <w:rFonts w:ascii="Calibri" w:hAnsi="Calibri" w:cs="Calibri"/>
                <w:sz w:val="18"/>
                <w:szCs w:val="18"/>
              </w:rPr>
            </w:pPr>
            <w:r w:rsidRPr="00E4644B">
              <w:rPr>
                <w:rFonts w:ascii="Calibri" w:hAnsi="Calibri" w:cs="Calibri"/>
                <w:sz w:val="18"/>
                <w:szCs w:val="18"/>
              </w:rPr>
              <w:t>wg p. 2.2.6</w:t>
            </w:r>
          </w:p>
        </w:tc>
      </w:tr>
      <w:tr w:rsidR="00AD54A3" w:rsidRPr="00E4644B" w:rsidTr="00FD47C7">
        <w:tc>
          <w:tcPr>
            <w:tcW w:w="817" w:type="dxa"/>
          </w:tcPr>
          <w:p w:rsidR="00AD54A3" w:rsidRPr="00E4644B" w:rsidRDefault="00AD54A3" w:rsidP="00FD47C7">
            <w:pPr>
              <w:jc w:val="center"/>
              <w:rPr>
                <w:rFonts w:ascii="Calibri" w:hAnsi="Calibri" w:cs="Calibri"/>
                <w:sz w:val="18"/>
                <w:szCs w:val="18"/>
              </w:rPr>
            </w:pPr>
            <w:r w:rsidRPr="00E4644B">
              <w:rPr>
                <w:rFonts w:ascii="Calibri" w:hAnsi="Calibri" w:cs="Calibri"/>
                <w:sz w:val="18"/>
                <w:szCs w:val="18"/>
              </w:rPr>
              <w:t>2.0</w:t>
            </w:r>
          </w:p>
        </w:tc>
        <w:tc>
          <w:tcPr>
            <w:tcW w:w="6694" w:type="dxa"/>
            <w:gridSpan w:val="4"/>
          </w:tcPr>
          <w:p w:rsidR="00AD54A3" w:rsidRPr="00E4644B" w:rsidRDefault="00AD54A3" w:rsidP="00FD47C7">
            <w:pPr>
              <w:jc w:val="center"/>
              <w:rPr>
                <w:rFonts w:ascii="Calibri" w:hAnsi="Calibri" w:cs="Calibri"/>
                <w:sz w:val="18"/>
                <w:szCs w:val="18"/>
              </w:rPr>
            </w:pPr>
            <w:r w:rsidRPr="00E4644B">
              <w:rPr>
                <w:rFonts w:ascii="Calibri" w:hAnsi="Calibri" w:cs="Calibri"/>
                <w:sz w:val="18"/>
                <w:szCs w:val="18"/>
              </w:rPr>
              <w:t>Mieszanka</w:t>
            </w:r>
          </w:p>
        </w:tc>
      </w:tr>
      <w:tr w:rsidR="00AD54A3" w:rsidRPr="00E4644B" w:rsidTr="00FD47C7">
        <w:tc>
          <w:tcPr>
            <w:tcW w:w="817" w:type="dxa"/>
          </w:tcPr>
          <w:p w:rsidR="00AD54A3" w:rsidRPr="00E4644B" w:rsidRDefault="00AD54A3" w:rsidP="00FD47C7">
            <w:pPr>
              <w:jc w:val="center"/>
              <w:rPr>
                <w:rFonts w:ascii="Calibri" w:hAnsi="Calibri" w:cs="Calibri"/>
                <w:sz w:val="18"/>
                <w:szCs w:val="18"/>
              </w:rPr>
            </w:pPr>
            <w:r w:rsidRPr="00E4644B">
              <w:rPr>
                <w:rFonts w:ascii="Calibri" w:hAnsi="Calibri" w:cs="Calibri"/>
                <w:sz w:val="18"/>
                <w:szCs w:val="18"/>
              </w:rPr>
              <w:t>2.1</w:t>
            </w:r>
          </w:p>
        </w:tc>
        <w:tc>
          <w:tcPr>
            <w:tcW w:w="2835" w:type="dxa"/>
          </w:tcPr>
          <w:p w:rsidR="00AD54A3" w:rsidRPr="00E4644B" w:rsidRDefault="00AD54A3" w:rsidP="00FD47C7">
            <w:pPr>
              <w:jc w:val="center"/>
              <w:rPr>
                <w:rFonts w:ascii="Calibri" w:hAnsi="Calibri" w:cs="Calibri"/>
                <w:sz w:val="18"/>
                <w:szCs w:val="18"/>
              </w:rPr>
            </w:pPr>
            <w:r w:rsidRPr="00E4644B">
              <w:rPr>
                <w:rFonts w:ascii="Calibri" w:hAnsi="Calibri" w:cs="Calibri"/>
                <w:sz w:val="18"/>
                <w:szCs w:val="18"/>
              </w:rPr>
              <w:t>Uziarnienie:</w:t>
            </w:r>
          </w:p>
        </w:tc>
        <w:tc>
          <w:tcPr>
            <w:tcW w:w="3859" w:type="dxa"/>
            <w:gridSpan w:val="3"/>
          </w:tcPr>
          <w:p w:rsidR="00AD54A3" w:rsidRPr="00E4644B" w:rsidRDefault="00AD54A3" w:rsidP="00FD47C7">
            <w:pPr>
              <w:jc w:val="center"/>
              <w:rPr>
                <w:rFonts w:ascii="Calibri" w:hAnsi="Calibri" w:cs="Calibri"/>
                <w:sz w:val="18"/>
                <w:szCs w:val="18"/>
              </w:rPr>
            </w:pPr>
            <w:r w:rsidRPr="00E4644B">
              <w:rPr>
                <w:rFonts w:ascii="Calibri" w:hAnsi="Calibri" w:cs="Calibri"/>
                <w:sz w:val="18"/>
                <w:szCs w:val="18"/>
              </w:rPr>
              <w:t>Krzywe graniczne uziarnienia</w:t>
            </w:r>
          </w:p>
        </w:tc>
      </w:tr>
      <w:tr w:rsidR="00AD54A3" w:rsidRPr="00E4644B" w:rsidTr="00FD47C7">
        <w:tc>
          <w:tcPr>
            <w:tcW w:w="817" w:type="dxa"/>
          </w:tcPr>
          <w:p w:rsidR="00AD54A3" w:rsidRPr="00E4644B" w:rsidRDefault="00AD54A3" w:rsidP="00FD47C7">
            <w:pPr>
              <w:jc w:val="center"/>
              <w:rPr>
                <w:rFonts w:ascii="Calibri" w:hAnsi="Calibri" w:cs="Calibri"/>
                <w:sz w:val="18"/>
                <w:szCs w:val="18"/>
              </w:rPr>
            </w:pPr>
          </w:p>
        </w:tc>
        <w:tc>
          <w:tcPr>
            <w:tcW w:w="2835" w:type="dxa"/>
          </w:tcPr>
          <w:p w:rsidR="00AD54A3" w:rsidRPr="00E4644B" w:rsidRDefault="00AD54A3" w:rsidP="00FD47C7">
            <w:pPr>
              <w:jc w:val="center"/>
              <w:rPr>
                <w:rFonts w:ascii="Calibri" w:hAnsi="Calibri" w:cs="Calibri"/>
                <w:sz w:val="18"/>
                <w:szCs w:val="18"/>
              </w:rPr>
            </w:pPr>
            <w:r w:rsidRPr="00E4644B">
              <w:rPr>
                <w:rFonts w:ascii="Calibri" w:hAnsi="Calibri" w:cs="Calibri"/>
                <w:sz w:val="18"/>
                <w:szCs w:val="18"/>
              </w:rPr>
              <w:t>- mieszanka 0/8 mm</w:t>
            </w:r>
          </w:p>
        </w:tc>
        <w:tc>
          <w:tcPr>
            <w:tcW w:w="3859" w:type="dxa"/>
            <w:gridSpan w:val="3"/>
          </w:tcPr>
          <w:p w:rsidR="00AD54A3" w:rsidRPr="00E4644B" w:rsidRDefault="00AD54A3" w:rsidP="00FD47C7">
            <w:pPr>
              <w:jc w:val="center"/>
              <w:rPr>
                <w:rFonts w:ascii="Calibri" w:hAnsi="Calibri" w:cs="Calibri"/>
                <w:sz w:val="18"/>
                <w:szCs w:val="18"/>
              </w:rPr>
            </w:pPr>
            <w:r w:rsidRPr="00E4644B">
              <w:rPr>
                <w:rFonts w:ascii="Calibri" w:hAnsi="Calibri" w:cs="Calibri"/>
                <w:sz w:val="18"/>
                <w:szCs w:val="18"/>
              </w:rPr>
              <w:t>wg rys. 5</w:t>
            </w:r>
          </w:p>
        </w:tc>
      </w:tr>
      <w:tr w:rsidR="00AD54A3" w:rsidRPr="00E4644B" w:rsidTr="00FD47C7">
        <w:tc>
          <w:tcPr>
            <w:tcW w:w="817" w:type="dxa"/>
          </w:tcPr>
          <w:p w:rsidR="00AD54A3" w:rsidRPr="00E4644B" w:rsidRDefault="00AD54A3" w:rsidP="00FD47C7">
            <w:pPr>
              <w:jc w:val="center"/>
              <w:rPr>
                <w:rFonts w:ascii="Calibri" w:hAnsi="Calibri" w:cs="Calibri"/>
                <w:sz w:val="18"/>
                <w:szCs w:val="18"/>
              </w:rPr>
            </w:pPr>
          </w:p>
        </w:tc>
        <w:tc>
          <w:tcPr>
            <w:tcW w:w="2835" w:type="dxa"/>
          </w:tcPr>
          <w:p w:rsidR="00AD54A3" w:rsidRPr="00E4644B" w:rsidRDefault="00AD54A3" w:rsidP="00FD47C7">
            <w:pPr>
              <w:jc w:val="center"/>
              <w:rPr>
                <w:rFonts w:ascii="Calibri" w:hAnsi="Calibri" w:cs="Calibri"/>
                <w:sz w:val="18"/>
                <w:szCs w:val="18"/>
              </w:rPr>
            </w:pPr>
            <w:r w:rsidRPr="00E4644B">
              <w:rPr>
                <w:rFonts w:ascii="Calibri" w:hAnsi="Calibri" w:cs="Calibri"/>
                <w:sz w:val="18"/>
                <w:szCs w:val="18"/>
              </w:rPr>
              <w:t>- mieszanka 0/11,2 mm</w:t>
            </w:r>
          </w:p>
        </w:tc>
        <w:tc>
          <w:tcPr>
            <w:tcW w:w="3859" w:type="dxa"/>
            <w:gridSpan w:val="3"/>
          </w:tcPr>
          <w:p w:rsidR="00AD54A3" w:rsidRPr="00E4644B" w:rsidRDefault="00AD54A3" w:rsidP="00FD47C7">
            <w:pPr>
              <w:jc w:val="center"/>
              <w:rPr>
                <w:rFonts w:ascii="Calibri" w:hAnsi="Calibri" w:cs="Calibri"/>
                <w:sz w:val="18"/>
                <w:szCs w:val="18"/>
              </w:rPr>
            </w:pPr>
            <w:r w:rsidRPr="00E4644B">
              <w:rPr>
                <w:rFonts w:ascii="Calibri" w:hAnsi="Calibri" w:cs="Calibri"/>
                <w:sz w:val="18"/>
                <w:szCs w:val="18"/>
              </w:rPr>
              <w:t>wg rys. 4</w:t>
            </w:r>
          </w:p>
        </w:tc>
      </w:tr>
      <w:tr w:rsidR="00AD54A3" w:rsidRPr="00E4644B" w:rsidTr="00FD47C7">
        <w:tc>
          <w:tcPr>
            <w:tcW w:w="817" w:type="dxa"/>
          </w:tcPr>
          <w:p w:rsidR="00AD54A3" w:rsidRPr="00E4644B" w:rsidRDefault="00AD54A3" w:rsidP="00FD47C7">
            <w:pPr>
              <w:jc w:val="center"/>
              <w:rPr>
                <w:rFonts w:ascii="Calibri" w:hAnsi="Calibri" w:cs="Calibri"/>
                <w:sz w:val="18"/>
                <w:szCs w:val="18"/>
              </w:rPr>
            </w:pPr>
          </w:p>
        </w:tc>
        <w:tc>
          <w:tcPr>
            <w:tcW w:w="2835" w:type="dxa"/>
          </w:tcPr>
          <w:p w:rsidR="00AD54A3" w:rsidRPr="00E4644B" w:rsidRDefault="00AD54A3" w:rsidP="00FD47C7">
            <w:pPr>
              <w:jc w:val="center"/>
              <w:rPr>
                <w:rFonts w:ascii="Calibri" w:hAnsi="Calibri" w:cs="Calibri"/>
                <w:sz w:val="18"/>
                <w:szCs w:val="18"/>
              </w:rPr>
            </w:pPr>
            <w:r w:rsidRPr="00E4644B">
              <w:rPr>
                <w:rFonts w:ascii="Calibri" w:hAnsi="Calibri" w:cs="Calibri"/>
                <w:sz w:val="18"/>
                <w:szCs w:val="18"/>
              </w:rPr>
              <w:t>- mieszanka 0/16 mm</w:t>
            </w:r>
          </w:p>
        </w:tc>
        <w:tc>
          <w:tcPr>
            <w:tcW w:w="3859" w:type="dxa"/>
            <w:gridSpan w:val="3"/>
          </w:tcPr>
          <w:p w:rsidR="00AD54A3" w:rsidRPr="00E4644B" w:rsidRDefault="00AD54A3" w:rsidP="00FD47C7">
            <w:pPr>
              <w:jc w:val="center"/>
              <w:rPr>
                <w:rFonts w:ascii="Calibri" w:hAnsi="Calibri" w:cs="Calibri"/>
                <w:sz w:val="18"/>
                <w:szCs w:val="18"/>
              </w:rPr>
            </w:pPr>
            <w:r w:rsidRPr="00E4644B">
              <w:rPr>
                <w:rFonts w:ascii="Calibri" w:hAnsi="Calibri" w:cs="Calibri"/>
                <w:sz w:val="18"/>
                <w:szCs w:val="18"/>
              </w:rPr>
              <w:t>wg rys. 3</w:t>
            </w:r>
          </w:p>
        </w:tc>
      </w:tr>
      <w:tr w:rsidR="00AD54A3" w:rsidRPr="00E4644B" w:rsidTr="00FD47C7">
        <w:tc>
          <w:tcPr>
            <w:tcW w:w="817" w:type="dxa"/>
          </w:tcPr>
          <w:p w:rsidR="00AD54A3" w:rsidRPr="00E4644B" w:rsidRDefault="00AD54A3" w:rsidP="00FD47C7">
            <w:pPr>
              <w:jc w:val="center"/>
              <w:rPr>
                <w:rFonts w:ascii="Calibri" w:hAnsi="Calibri" w:cs="Calibri"/>
                <w:sz w:val="18"/>
                <w:szCs w:val="18"/>
              </w:rPr>
            </w:pPr>
          </w:p>
        </w:tc>
        <w:tc>
          <w:tcPr>
            <w:tcW w:w="2835" w:type="dxa"/>
          </w:tcPr>
          <w:p w:rsidR="00AD54A3" w:rsidRPr="00E4644B" w:rsidRDefault="00AD54A3" w:rsidP="00FD47C7">
            <w:pPr>
              <w:jc w:val="center"/>
              <w:rPr>
                <w:rFonts w:ascii="Calibri" w:hAnsi="Calibri" w:cs="Calibri"/>
                <w:sz w:val="18"/>
                <w:szCs w:val="18"/>
              </w:rPr>
            </w:pPr>
            <w:r w:rsidRPr="00E4644B">
              <w:rPr>
                <w:rFonts w:ascii="Calibri" w:hAnsi="Calibri" w:cs="Calibri"/>
                <w:sz w:val="18"/>
                <w:szCs w:val="18"/>
              </w:rPr>
              <w:t>- mieszanka 0/22,4 mm</w:t>
            </w:r>
          </w:p>
        </w:tc>
        <w:tc>
          <w:tcPr>
            <w:tcW w:w="3859" w:type="dxa"/>
            <w:gridSpan w:val="3"/>
          </w:tcPr>
          <w:p w:rsidR="00AD54A3" w:rsidRPr="00E4644B" w:rsidRDefault="00AD54A3" w:rsidP="00FD47C7">
            <w:pPr>
              <w:jc w:val="center"/>
              <w:rPr>
                <w:rFonts w:ascii="Calibri" w:hAnsi="Calibri" w:cs="Calibri"/>
                <w:sz w:val="18"/>
                <w:szCs w:val="18"/>
              </w:rPr>
            </w:pPr>
            <w:r w:rsidRPr="00E4644B">
              <w:rPr>
                <w:rFonts w:ascii="Calibri" w:hAnsi="Calibri" w:cs="Calibri"/>
                <w:sz w:val="18"/>
                <w:szCs w:val="18"/>
              </w:rPr>
              <w:t>wg rys. 2</w:t>
            </w:r>
          </w:p>
        </w:tc>
      </w:tr>
      <w:tr w:rsidR="00AD54A3" w:rsidRPr="00E4644B" w:rsidTr="00FD47C7">
        <w:tc>
          <w:tcPr>
            <w:tcW w:w="817" w:type="dxa"/>
          </w:tcPr>
          <w:p w:rsidR="00AD54A3" w:rsidRPr="00E4644B" w:rsidRDefault="00AD54A3" w:rsidP="00FD47C7">
            <w:pPr>
              <w:jc w:val="center"/>
              <w:rPr>
                <w:rFonts w:ascii="Calibri" w:hAnsi="Calibri" w:cs="Calibri"/>
                <w:sz w:val="18"/>
                <w:szCs w:val="18"/>
              </w:rPr>
            </w:pPr>
          </w:p>
        </w:tc>
        <w:tc>
          <w:tcPr>
            <w:tcW w:w="2835" w:type="dxa"/>
          </w:tcPr>
          <w:p w:rsidR="00AD54A3" w:rsidRPr="00E4644B" w:rsidRDefault="00AD54A3" w:rsidP="00FD47C7">
            <w:pPr>
              <w:jc w:val="center"/>
              <w:rPr>
                <w:rFonts w:ascii="Calibri" w:hAnsi="Calibri" w:cs="Calibri"/>
                <w:sz w:val="18"/>
                <w:szCs w:val="18"/>
              </w:rPr>
            </w:pPr>
            <w:r w:rsidRPr="00E4644B">
              <w:rPr>
                <w:rFonts w:ascii="Calibri" w:hAnsi="Calibri" w:cs="Calibri"/>
                <w:sz w:val="18"/>
                <w:szCs w:val="18"/>
              </w:rPr>
              <w:t>- mieszanka 0/31,5 mm</w:t>
            </w:r>
          </w:p>
        </w:tc>
        <w:tc>
          <w:tcPr>
            <w:tcW w:w="3859" w:type="dxa"/>
            <w:gridSpan w:val="3"/>
          </w:tcPr>
          <w:p w:rsidR="00AD54A3" w:rsidRPr="00E4644B" w:rsidRDefault="00AD54A3" w:rsidP="00FD47C7">
            <w:pPr>
              <w:jc w:val="center"/>
              <w:rPr>
                <w:rFonts w:ascii="Calibri" w:hAnsi="Calibri" w:cs="Calibri"/>
                <w:sz w:val="18"/>
                <w:szCs w:val="18"/>
              </w:rPr>
            </w:pPr>
            <w:r w:rsidRPr="00E4644B">
              <w:rPr>
                <w:rFonts w:ascii="Calibri" w:hAnsi="Calibri" w:cs="Calibri"/>
                <w:sz w:val="18"/>
                <w:szCs w:val="18"/>
              </w:rPr>
              <w:t>wg rys. 1</w:t>
            </w:r>
          </w:p>
        </w:tc>
      </w:tr>
      <w:tr w:rsidR="00AD54A3" w:rsidRPr="00E4644B" w:rsidTr="00FD47C7">
        <w:tc>
          <w:tcPr>
            <w:tcW w:w="817" w:type="dxa"/>
          </w:tcPr>
          <w:p w:rsidR="00AD54A3" w:rsidRPr="00E4644B" w:rsidRDefault="00AD54A3" w:rsidP="00FD47C7">
            <w:pPr>
              <w:jc w:val="center"/>
              <w:rPr>
                <w:rFonts w:ascii="Calibri" w:hAnsi="Calibri" w:cs="Calibri"/>
                <w:sz w:val="18"/>
                <w:szCs w:val="18"/>
              </w:rPr>
            </w:pPr>
            <w:r w:rsidRPr="00E4644B">
              <w:rPr>
                <w:rFonts w:ascii="Calibri" w:hAnsi="Calibri" w:cs="Calibri"/>
                <w:sz w:val="18"/>
                <w:szCs w:val="18"/>
              </w:rPr>
              <w:t>2.2</w:t>
            </w:r>
          </w:p>
        </w:tc>
        <w:tc>
          <w:tcPr>
            <w:tcW w:w="2835" w:type="dxa"/>
          </w:tcPr>
          <w:p w:rsidR="00AD54A3" w:rsidRPr="00E4644B" w:rsidRDefault="00AD54A3" w:rsidP="00FD47C7">
            <w:pPr>
              <w:jc w:val="center"/>
              <w:rPr>
                <w:rFonts w:ascii="Calibri" w:hAnsi="Calibri" w:cs="Calibri"/>
                <w:sz w:val="18"/>
                <w:szCs w:val="18"/>
              </w:rPr>
            </w:pPr>
            <w:r w:rsidRPr="00E4644B">
              <w:rPr>
                <w:rFonts w:ascii="Calibri" w:hAnsi="Calibri" w:cs="Calibri"/>
                <w:sz w:val="18"/>
                <w:szCs w:val="18"/>
              </w:rPr>
              <w:t>Minimalna zawartość cementu</w:t>
            </w:r>
          </w:p>
        </w:tc>
        <w:tc>
          <w:tcPr>
            <w:tcW w:w="3859" w:type="dxa"/>
            <w:gridSpan w:val="3"/>
          </w:tcPr>
          <w:p w:rsidR="00AD54A3" w:rsidRPr="00E4644B" w:rsidRDefault="00AD54A3" w:rsidP="00FD47C7">
            <w:pPr>
              <w:jc w:val="center"/>
              <w:rPr>
                <w:rFonts w:ascii="Calibri" w:hAnsi="Calibri" w:cs="Calibri"/>
                <w:sz w:val="18"/>
                <w:szCs w:val="18"/>
              </w:rPr>
            </w:pPr>
            <w:r w:rsidRPr="00E4644B">
              <w:rPr>
                <w:rFonts w:ascii="Calibri" w:hAnsi="Calibri" w:cs="Calibri"/>
                <w:sz w:val="18"/>
                <w:szCs w:val="18"/>
              </w:rPr>
              <w:t>wg tablicy 3</w:t>
            </w:r>
          </w:p>
        </w:tc>
      </w:tr>
      <w:tr w:rsidR="00AD54A3" w:rsidRPr="00E4644B" w:rsidTr="00FD47C7">
        <w:tc>
          <w:tcPr>
            <w:tcW w:w="817" w:type="dxa"/>
          </w:tcPr>
          <w:p w:rsidR="00AD54A3" w:rsidRPr="00E4644B" w:rsidRDefault="00AD54A3" w:rsidP="00FD47C7">
            <w:pPr>
              <w:jc w:val="center"/>
              <w:rPr>
                <w:rFonts w:ascii="Calibri" w:hAnsi="Calibri" w:cs="Calibri"/>
                <w:sz w:val="18"/>
                <w:szCs w:val="18"/>
              </w:rPr>
            </w:pPr>
            <w:r w:rsidRPr="00E4644B">
              <w:rPr>
                <w:rFonts w:ascii="Calibri" w:hAnsi="Calibri" w:cs="Calibri"/>
                <w:sz w:val="18"/>
                <w:szCs w:val="18"/>
              </w:rPr>
              <w:t>2.3</w:t>
            </w:r>
          </w:p>
        </w:tc>
        <w:tc>
          <w:tcPr>
            <w:tcW w:w="2835" w:type="dxa"/>
          </w:tcPr>
          <w:p w:rsidR="00AD54A3" w:rsidRPr="00E4644B" w:rsidRDefault="00AD54A3" w:rsidP="00FD47C7">
            <w:pPr>
              <w:jc w:val="center"/>
              <w:rPr>
                <w:rFonts w:ascii="Calibri" w:hAnsi="Calibri" w:cs="Calibri"/>
                <w:sz w:val="18"/>
                <w:szCs w:val="18"/>
              </w:rPr>
            </w:pPr>
            <w:r w:rsidRPr="00E4644B">
              <w:rPr>
                <w:rFonts w:ascii="Calibri" w:hAnsi="Calibri" w:cs="Calibri"/>
                <w:sz w:val="18"/>
                <w:szCs w:val="18"/>
              </w:rPr>
              <w:t>Zawartość wody</w:t>
            </w:r>
          </w:p>
        </w:tc>
        <w:tc>
          <w:tcPr>
            <w:tcW w:w="3859" w:type="dxa"/>
            <w:gridSpan w:val="3"/>
          </w:tcPr>
          <w:p w:rsidR="00AD54A3" w:rsidRPr="00E4644B" w:rsidRDefault="00AD54A3" w:rsidP="00FD47C7">
            <w:pPr>
              <w:jc w:val="center"/>
              <w:rPr>
                <w:rFonts w:ascii="Calibri" w:hAnsi="Calibri" w:cs="Calibri"/>
                <w:sz w:val="18"/>
                <w:szCs w:val="18"/>
              </w:rPr>
            </w:pPr>
            <w:r w:rsidRPr="00E4644B">
              <w:rPr>
                <w:rFonts w:ascii="Calibri" w:hAnsi="Calibri" w:cs="Calibri"/>
                <w:sz w:val="18"/>
                <w:szCs w:val="18"/>
              </w:rPr>
              <w:t>wg projektu mieszanki</w:t>
            </w:r>
          </w:p>
        </w:tc>
      </w:tr>
      <w:tr w:rsidR="00AD54A3" w:rsidRPr="00E4644B" w:rsidTr="00FD47C7">
        <w:tc>
          <w:tcPr>
            <w:tcW w:w="817" w:type="dxa"/>
          </w:tcPr>
          <w:p w:rsidR="00AD54A3" w:rsidRPr="00E4644B" w:rsidRDefault="00AD54A3" w:rsidP="00FD47C7">
            <w:pPr>
              <w:jc w:val="center"/>
              <w:rPr>
                <w:rFonts w:ascii="Calibri" w:hAnsi="Calibri" w:cs="Calibri"/>
                <w:sz w:val="18"/>
                <w:szCs w:val="18"/>
              </w:rPr>
            </w:pPr>
            <w:r w:rsidRPr="00E4644B">
              <w:rPr>
                <w:rFonts w:ascii="Calibri" w:hAnsi="Calibri" w:cs="Calibri"/>
                <w:sz w:val="18"/>
                <w:szCs w:val="18"/>
              </w:rPr>
              <w:t>2.4</w:t>
            </w:r>
          </w:p>
        </w:tc>
        <w:tc>
          <w:tcPr>
            <w:tcW w:w="2835" w:type="dxa"/>
          </w:tcPr>
          <w:p w:rsidR="00AD54A3" w:rsidRDefault="00AD54A3" w:rsidP="00FD47C7">
            <w:pPr>
              <w:jc w:val="center"/>
              <w:rPr>
                <w:rFonts w:ascii="Calibri" w:hAnsi="Calibri" w:cs="Calibri"/>
                <w:sz w:val="18"/>
                <w:szCs w:val="18"/>
              </w:rPr>
            </w:pPr>
            <w:r w:rsidRPr="00E4644B">
              <w:rPr>
                <w:rFonts w:ascii="Calibri" w:hAnsi="Calibri" w:cs="Calibri"/>
                <w:sz w:val="18"/>
                <w:szCs w:val="18"/>
              </w:rPr>
              <w:t xml:space="preserve">Wytrzymałość na ściskanie </w:t>
            </w:r>
          </w:p>
          <w:p w:rsidR="00AD54A3" w:rsidRPr="00E4644B" w:rsidRDefault="00AD54A3" w:rsidP="00FD47C7">
            <w:pPr>
              <w:jc w:val="center"/>
              <w:rPr>
                <w:rFonts w:ascii="Calibri" w:hAnsi="Calibri" w:cs="Calibri"/>
                <w:sz w:val="18"/>
                <w:szCs w:val="18"/>
              </w:rPr>
            </w:pPr>
            <w:r w:rsidRPr="00E4644B">
              <w:rPr>
                <w:rFonts w:ascii="Calibri" w:hAnsi="Calibri" w:cs="Calibri"/>
                <w:sz w:val="18"/>
                <w:szCs w:val="18"/>
              </w:rPr>
              <w:t>(system</w:t>
            </w:r>
            <w:r>
              <w:rPr>
                <w:rFonts w:ascii="Calibri" w:hAnsi="Calibri" w:cs="Calibri"/>
                <w:sz w:val="18"/>
                <w:szCs w:val="18"/>
              </w:rPr>
              <w:t xml:space="preserve"> </w:t>
            </w:r>
            <w:r w:rsidRPr="00E4644B">
              <w:rPr>
                <w:rFonts w:ascii="Calibri" w:hAnsi="Calibri" w:cs="Calibri"/>
                <w:sz w:val="18"/>
                <w:szCs w:val="18"/>
              </w:rPr>
              <w:t>I) – klasa wytrzymałości Rc wg tablicy 2</w:t>
            </w:r>
          </w:p>
        </w:tc>
        <w:tc>
          <w:tcPr>
            <w:tcW w:w="1276" w:type="dxa"/>
          </w:tcPr>
          <w:p w:rsidR="00AD54A3" w:rsidRPr="00E4644B" w:rsidRDefault="00AD54A3" w:rsidP="00FD47C7">
            <w:pPr>
              <w:jc w:val="center"/>
              <w:rPr>
                <w:rFonts w:ascii="Calibri" w:hAnsi="Calibri" w:cs="Calibri"/>
                <w:sz w:val="18"/>
                <w:szCs w:val="18"/>
              </w:rPr>
            </w:pPr>
            <w:r w:rsidRPr="00E4644B">
              <w:rPr>
                <w:rFonts w:ascii="Calibri" w:hAnsi="Calibri" w:cs="Calibri"/>
                <w:sz w:val="18"/>
                <w:szCs w:val="18"/>
              </w:rPr>
              <w:t>klasa C 1,5/2,0 (nie więcej niż 4,0 MPa)</w:t>
            </w:r>
          </w:p>
        </w:tc>
        <w:tc>
          <w:tcPr>
            <w:tcW w:w="1276" w:type="dxa"/>
          </w:tcPr>
          <w:p w:rsidR="00AD54A3" w:rsidRPr="00E4644B" w:rsidRDefault="00AD54A3" w:rsidP="00FD47C7">
            <w:pPr>
              <w:jc w:val="center"/>
              <w:rPr>
                <w:rFonts w:ascii="Calibri" w:hAnsi="Calibri" w:cs="Calibri"/>
                <w:sz w:val="18"/>
                <w:szCs w:val="18"/>
              </w:rPr>
            </w:pPr>
            <w:r w:rsidRPr="00E4644B">
              <w:rPr>
                <w:rFonts w:ascii="Calibri" w:hAnsi="Calibri" w:cs="Calibri"/>
                <w:sz w:val="18"/>
                <w:szCs w:val="18"/>
              </w:rPr>
              <w:t>klasa C 3/4</w:t>
            </w:r>
          </w:p>
          <w:p w:rsidR="00AD54A3" w:rsidRPr="00E4644B" w:rsidRDefault="00AD54A3" w:rsidP="00FD47C7">
            <w:pPr>
              <w:jc w:val="center"/>
              <w:rPr>
                <w:rFonts w:ascii="Calibri" w:hAnsi="Calibri" w:cs="Calibri"/>
                <w:sz w:val="18"/>
                <w:szCs w:val="18"/>
              </w:rPr>
            </w:pPr>
            <w:r w:rsidRPr="00E4644B">
              <w:rPr>
                <w:rFonts w:ascii="Calibri" w:hAnsi="Calibri" w:cs="Calibri"/>
                <w:sz w:val="18"/>
                <w:szCs w:val="18"/>
              </w:rPr>
              <w:t>(nie więcej niż</w:t>
            </w:r>
          </w:p>
          <w:p w:rsidR="00AD54A3" w:rsidRPr="00E4644B" w:rsidRDefault="00AD54A3" w:rsidP="00FD47C7">
            <w:pPr>
              <w:jc w:val="center"/>
              <w:rPr>
                <w:rFonts w:ascii="Calibri" w:hAnsi="Calibri" w:cs="Calibri"/>
                <w:sz w:val="18"/>
                <w:szCs w:val="18"/>
              </w:rPr>
            </w:pPr>
            <w:r w:rsidRPr="00E4644B">
              <w:rPr>
                <w:rFonts w:ascii="Calibri" w:hAnsi="Calibri" w:cs="Calibri"/>
                <w:sz w:val="18"/>
                <w:szCs w:val="18"/>
              </w:rPr>
              <w:t>6,0 MPa)</w:t>
            </w:r>
          </w:p>
        </w:tc>
        <w:tc>
          <w:tcPr>
            <w:tcW w:w="1307" w:type="dxa"/>
          </w:tcPr>
          <w:p w:rsidR="00AD54A3" w:rsidRPr="00E4644B" w:rsidRDefault="00AD54A3" w:rsidP="00FD47C7">
            <w:pPr>
              <w:jc w:val="center"/>
              <w:rPr>
                <w:rFonts w:ascii="Calibri" w:hAnsi="Calibri" w:cs="Calibri"/>
                <w:sz w:val="18"/>
                <w:szCs w:val="18"/>
              </w:rPr>
            </w:pPr>
            <w:r w:rsidRPr="00E4644B">
              <w:rPr>
                <w:rFonts w:ascii="Calibri" w:hAnsi="Calibri" w:cs="Calibri"/>
                <w:sz w:val="18"/>
                <w:szCs w:val="18"/>
              </w:rPr>
              <w:t>klasa C 5/6</w:t>
            </w:r>
          </w:p>
          <w:p w:rsidR="00AD54A3" w:rsidRPr="00E4644B" w:rsidRDefault="00AD54A3" w:rsidP="00FD47C7">
            <w:pPr>
              <w:jc w:val="center"/>
              <w:rPr>
                <w:rFonts w:ascii="Calibri" w:hAnsi="Calibri" w:cs="Calibri"/>
                <w:sz w:val="18"/>
                <w:szCs w:val="18"/>
              </w:rPr>
            </w:pPr>
            <w:r w:rsidRPr="00E4644B">
              <w:rPr>
                <w:rFonts w:ascii="Calibri" w:hAnsi="Calibri" w:cs="Calibri"/>
                <w:sz w:val="18"/>
                <w:szCs w:val="18"/>
              </w:rPr>
              <w:t>(nie więcej niż</w:t>
            </w:r>
          </w:p>
          <w:p w:rsidR="00AD54A3" w:rsidRPr="00E4644B" w:rsidRDefault="00AD54A3" w:rsidP="00FD47C7">
            <w:pPr>
              <w:jc w:val="center"/>
              <w:rPr>
                <w:rFonts w:ascii="Calibri" w:hAnsi="Calibri" w:cs="Calibri"/>
                <w:sz w:val="18"/>
                <w:szCs w:val="18"/>
              </w:rPr>
            </w:pPr>
            <w:r w:rsidRPr="00E4644B">
              <w:rPr>
                <w:rFonts w:ascii="Calibri" w:hAnsi="Calibri" w:cs="Calibri"/>
                <w:sz w:val="18"/>
                <w:szCs w:val="18"/>
              </w:rPr>
              <w:t>10,0 MPa)</w:t>
            </w:r>
          </w:p>
        </w:tc>
      </w:tr>
      <w:tr w:rsidR="00AD54A3" w:rsidRPr="00E4644B" w:rsidTr="00FD47C7">
        <w:tc>
          <w:tcPr>
            <w:tcW w:w="817" w:type="dxa"/>
          </w:tcPr>
          <w:p w:rsidR="00AD54A3" w:rsidRPr="00E4644B" w:rsidRDefault="00AD54A3" w:rsidP="00FD47C7">
            <w:pPr>
              <w:jc w:val="center"/>
              <w:rPr>
                <w:rFonts w:ascii="Calibri" w:hAnsi="Calibri" w:cs="Calibri"/>
                <w:sz w:val="18"/>
                <w:szCs w:val="18"/>
              </w:rPr>
            </w:pPr>
            <w:r w:rsidRPr="00E4644B">
              <w:rPr>
                <w:rFonts w:ascii="Calibri" w:hAnsi="Calibri" w:cs="Calibri"/>
                <w:sz w:val="18"/>
                <w:szCs w:val="18"/>
              </w:rPr>
              <w:t>2.5</w:t>
            </w:r>
          </w:p>
        </w:tc>
        <w:tc>
          <w:tcPr>
            <w:tcW w:w="2835" w:type="dxa"/>
          </w:tcPr>
          <w:p w:rsidR="00AD54A3" w:rsidRPr="00E4644B" w:rsidRDefault="00AD54A3" w:rsidP="00FD47C7">
            <w:pPr>
              <w:jc w:val="center"/>
              <w:rPr>
                <w:rFonts w:ascii="Calibri" w:hAnsi="Calibri" w:cs="Calibri"/>
                <w:sz w:val="18"/>
                <w:szCs w:val="18"/>
              </w:rPr>
            </w:pPr>
            <w:r w:rsidRPr="00E4644B">
              <w:rPr>
                <w:rFonts w:ascii="Calibri" w:hAnsi="Calibri" w:cs="Calibri"/>
                <w:sz w:val="18"/>
                <w:szCs w:val="18"/>
              </w:rPr>
              <w:t>Mrozoodporność</w:t>
            </w:r>
          </w:p>
        </w:tc>
        <w:tc>
          <w:tcPr>
            <w:tcW w:w="1276" w:type="dxa"/>
          </w:tcPr>
          <w:p w:rsidR="00AD54A3" w:rsidRPr="00E4644B" w:rsidRDefault="00AD54A3" w:rsidP="00FD47C7">
            <w:pPr>
              <w:jc w:val="center"/>
              <w:rPr>
                <w:rFonts w:ascii="Calibri" w:hAnsi="Calibri" w:cs="Calibri"/>
                <w:sz w:val="18"/>
                <w:szCs w:val="18"/>
              </w:rPr>
            </w:pPr>
            <w:r w:rsidRPr="00E4644B">
              <w:rPr>
                <w:rFonts w:ascii="Calibri" w:hAnsi="Calibri" w:cs="Calibri"/>
                <w:sz w:val="18"/>
                <w:szCs w:val="18"/>
              </w:rPr>
              <w:t>≥ 0,6</w:t>
            </w:r>
          </w:p>
        </w:tc>
        <w:tc>
          <w:tcPr>
            <w:tcW w:w="1276" w:type="dxa"/>
          </w:tcPr>
          <w:p w:rsidR="00AD54A3" w:rsidRPr="00E4644B" w:rsidRDefault="00AD54A3" w:rsidP="00FD47C7">
            <w:pPr>
              <w:jc w:val="center"/>
              <w:rPr>
                <w:rFonts w:ascii="Calibri" w:hAnsi="Calibri" w:cs="Calibri"/>
                <w:sz w:val="18"/>
                <w:szCs w:val="18"/>
              </w:rPr>
            </w:pPr>
            <w:r w:rsidRPr="00E4644B">
              <w:rPr>
                <w:rFonts w:ascii="Calibri" w:hAnsi="Calibri" w:cs="Calibri"/>
                <w:sz w:val="18"/>
                <w:szCs w:val="18"/>
              </w:rPr>
              <w:t>≥ 0,6</w:t>
            </w:r>
          </w:p>
        </w:tc>
        <w:tc>
          <w:tcPr>
            <w:tcW w:w="1307" w:type="dxa"/>
          </w:tcPr>
          <w:p w:rsidR="00AD54A3" w:rsidRPr="00E4644B" w:rsidRDefault="00AD54A3" w:rsidP="00FD47C7">
            <w:pPr>
              <w:jc w:val="center"/>
              <w:rPr>
                <w:rFonts w:ascii="Calibri" w:hAnsi="Calibri" w:cs="Calibri"/>
                <w:sz w:val="18"/>
                <w:szCs w:val="18"/>
              </w:rPr>
            </w:pPr>
            <w:r w:rsidRPr="00E4644B">
              <w:rPr>
                <w:rFonts w:ascii="Calibri" w:hAnsi="Calibri" w:cs="Calibri"/>
                <w:sz w:val="18"/>
                <w:szCs w:val="18"/>
              </w:rPr>
              <w:t>≥ 0,6</w:t>
            </w:r>
          </w:p>
        </w:tc>
      </w:tr>
    </w:tbl>
    <w:p w:rsidR="00AD54A3" w:rsidRPr="00984EF1" w:rsidRDefault="00AD54A3" w:rsidP="00AD54A3">
      <w:pPr>
        <w:rPr>
          <w:rFonts w:ascii="Calibri" w:hAnsi="Calibri" w:cs="Calibri"/>
        </w:rPr>
      </w:pPr>
    </w:p>
    <w:p w:rsidR="00AD54A3" w:rsidRPr="00984EF1" w:rsidRDefault="00AD54A3" w:rsidP="00AD54A3">
      <w:pPr>
        <w:ind w:left="709"/>
        <w:rPr>
          <w:rFonts w:ascii="Calibri" w:hAnsi="Calibri" w:cs="Calibri"/>
        </w:rPr>
      </w:pPr>
      <w:r w:rsidRPr="00984EF1">
        <w:rPr>
          <w:rFonts w:ascii="Calibri" w:hAnsi="Calibri" w:cs="Calibri"/>
        </w:rPr>
        <w:t>Tablica 6.</w:t>
      </w:r>
      <w:r w:rsidRPr="00984EF1">
        <w:rPr>
          <w:rFonts w:ascii="Calibri" w:hAnsi="Calibri" w:cs="Calibri"/>
        </w:rPr>
        <w:tab/>
        <w:t>Wymagania wobec mieszanek związanych cementem do warstwy podbudowy zasadniczej</w:t>
      </w:r>
    </w:p>
    <w:tbl>
      <w:tblPr>
        <w:tblW w:w="0" w:type="auto"/>
        <w:tblInd w:w="81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tblPr>
      <w:tblGrid>
        <w:gridCol w:w="817"/>
        <w:gridCol w:w="2835"/>
        <w:gridCol w:w="1276"/>
        <w:gridCol w:w="1276"/>
        <w:gridCol w:w="1307"/>
      </w:tblGrid>
      <w:tr w:rsidR="00AD54A3" w:rsidRPr="00984EF1" w:rsidTr="00FD47C7">
        <w:tc>
          <w:tcPr>
            <w:tcW w:w="817" w:type="dxa"/>
            <w:vMerge w:val="restart"/>
          </w:tcPr>
          <w:p w:rsidR="00AD54A3" w:rsidRPr="00984EF1" w:rsidRDefault="00AD54A3" w:rsidP="00FD47C7">
            <w:pPr>
              <w:jc w:val="center"/>
              <w:rPr>
                <w:rFonts w:ascii="Calibri" w:hAnsi="Calibri" w:cs="Calibri"/>
                <w:sz w:val="18"/>
                <w:szCs w:val="18"/>
              </w:rPr>
            </w:pPr>
            <w:r w:rsidRPr="00984EF1">
              <w:rPr>
                <w:rFonts w:ascii="Calibri" w:hAnsi="Calibri" w:cs="Calibri"/>
                <w:sz w:val="18"/>
                <w:szCs w:val="18"/>
              </w:rPr>
              <w:t>Lp.</w:t>
            </w:r>
          </w:p>
        </w:tc>
        <w:tc>
          <w:tcPr>
            <w:tcW w:w="2835" w:type="dxa"/>
            <w:vMerge w:val="restart"/>
          </w:tcPr>
          <w:p w:rsidR="00AD54A3" w:rsidRPr="00984EF1" w:rsidRDefault="00AD54A3" w:rsidP="00FD47C7">
            <w:pPr>
              <w:jc w:val="center"/>
              <w:rPr>
                <w:rFonts w:ascii="Calibri" w:hAnsi="Calibri" w:cs="Calibri"/>
                <w:sz w:val="18"/>
                <w:szCs w:val="18"/>
              </w:rPr>
            </w:pPr>
            <w:r w:rsidRPr="00984EF1">
              <w:rPr>
                <w:rFonts w:ascii="Calibri" w:hAnsi="Calibri" w:cs="Calibri"/>
                <w:sz w:val="18"/>
                <w:szCs w:val="18"/>
              </w:rPr>
              <w:t>Właściwość</w:t>
            </w:r>
          </w:p>
        </w:tc>
        <w:tc>
          <w:tcPr>
            <w:tcW w:w="3859" w:type="dxa"/>
            <w:gridSpan w:val="3"/>
          </w:tcPr>
          <w:p w:rsidR="00AD54A3" w:rsidRPr="00984EF1" w:rsidRDefault="00AD54A3" w:rsidP="00FD47C7">
            <w:pPr>
              <w:jc w:val="center"/>
              <w:rPr>
                <w:rFonts w:ascii="Calibri" w:hAnsi="Calibri" w:cs="Calibri"/>
                <w:sz w:val="18"/>
                <w:szCs w:val="18"/>
              </w:rPr>
            </w:pPr>
            <w:r w:rsidRPr="00984EF1">
              <w:rPr>
                <w:rFonts w:ascii="Calibri" w:hAnsi="Calibri" w:cs="Calibri"/>
                <w:sz w:val="18"/>
                <w:szCs w:val="18"/>
              </w:rPr>
              <w:t>Wymagania dla ruchu</w:t>
            </w:r>
          </w:p>
        </w:tc>
      </w:tr>
      <w:tr w:rsidR="00AD54A3" w:rsidRPr="00984EF1" w:rsidTr="00FD47C7">
        <w:tc>
          <w:tcPr>
            <w:tcW w:w="817" w:type="dxa"/>
            <w:vMerge/>
          </w:tcPr>
          <w:p w:rsidR="00AD54A3" w:rsidRPr="00984EF1" w:rsidRDefault="00AD54A3" w:rsidP="00FD47C7">
            <w:pPr>
              <w:jc w:val="center"/>
              <w:rPr>
                <w:rFonts w:ascii="Calibri" w:hAnsi="Calibri" w:cs="Calibri"/>
                <w:sz w:val="18"/>
                <w:szCs w:val="18"/>
              </w:rPr>
            </w:pPr>
          </w:p>
        </w:tc>
        <w:tc>
          <w:tcPr>
            <w:tcW w:w="2835" w:type="dxa"/>
            <w:vMerge/>
          </w:tcPr>
          <w:p w:rsidR="00AD54A3" w:rsidRPr="00984EF1" w:rsidRDefault="00AD54A3" w:rsidP="00FD47C7">
            <w:pPr>
              <w:jc w:val="center"/>
              <w:rPr>
                <w:rFonts w:ascii="Calibri" w:hAnsi="Calibri" w:cs="Calibri"/>
                <w:sz w:val="18"/>
                <w:szCs w:val="18"/>
              </w:rPr>
            </w:pPr>
          </w:p>
        </w:tc>
        <w:tc>
          <w:tcPr>
            <w:tcW w:w="1276" w:type="dxa"/>
          </w:tcPr>
          <w:p w:rsidR="00AD54A3" w:rsidRPr="00984EF1" w:rsidRDefault="00AD54A3" w:rsidP="00FD47C7">
            <w:pPr>
              <w:jc w:val="center"/>
              <w:rPr>
                <w:rFonts w:ascii="Calibri" w:hAnsi="Calibri" w:cs="Calibri"/>
                <w:sz w:val="18"/>
                <w:szCs w:val="18"/>
              </w:rPr>
            </w:pPr>
            <w:r w:rsidRPr="00984EF1">
              <w:rPr>
                <w:rFonts w:ascii="Calibri" w:hAnsi="Calibri" w:cs="Calibri"/>
                <w:sz w:val="18"/>
                <w:szCs w:val="18"/>
              </w:rPr>
              <w:t>KR1 – KR2</w:t>
            </w:r>
          </w:p>
        </w:tc>
        <w:tc>
          <w:tcPr>
            <w:tcW w:w="1276" w:type="dxa"/>
          </w:tcPr>
          <w:p w:rsidR="00AD54A3" w:rsidRPr="00984EF1" w:rsidRDefault="00AD54A3" w:rsidP="00FD47C7">
            <w:pPr>
              <w:jc w:val="center"/>
              <w:rPr>
                <w:rFonts w:ascii="Calibri" w:hAnsi="Calibri" w:cs="Calibri"/>
                <w:sz w:val="18"/>
                <w:szCs w:val="18"/>
              </w:rPr>
            </w:pPr>
            <w:r w:rsidRPr="00984EF1">
              <w:rPr>
                <w:rFonts w:ascii="Calibri" w:hAnsi="Calibri" w:cs="Calibri"/>
                <w:sz w:val="18"/>
                <w:szCs w:val="18"/>
              </w:rPr>
              <w:t>KR3 – KR4</w:t>
            </w:r>
          </w:p>
        </w:tc>
        <w:tc>
          <w:tcPr>
            <w:tcW w:w="1307" w:type="dxa"/>
          </w:tcPr>
          <w:p w:rsidR="00AD54A3" w:rsidRPr="00984EF1" w:rsidRDefault="00AD54A3" w:rsidP="00FD47C7">
            <w:pPr>
              <w:jc w:val="center"/>
              <w:rPr>
                <w:rFonts w:ascii="Calibri" w:hAnsi="Calibri" w:cs="Calibri"/>
                <w:sz w:val="18"/>
                <w:szCs w:val="18"/>
              </w:rPr>
            </w:pPr>
            <w:r w:rsidRPr="00984EF1">
              <w:rPr>
                <w:rFonts w:ascii="Calibri" w:hAnsi="Calibri" w:cs="Calibri"/>
                <w:sz w:val="18"/>
                <w:szCs w:val="18"/>
              </w:rPr>
              <w:t>KR5 – KR6</w:t>
            </w:r>
          </w:p>
        </w:tc>
      </w:tr>
      <w:tr w:rsidR="00AD54A3" w:rsidRPr="00984EF1" w:rsidTr="00FD47C7">
        <w:tc>
          <w:tcPr>
            <w:tcW w:w="817" w:type="dxa"/>
          </w:tcPr>
          <w:p w:rsidR="00AD54A3" w:rsidRPr="00984EF1" w:rsidRDefault="00AD54A3" w:rsidP="00FD47C7">
            <w:pPr>
              <w:jc w:val="center"/>
              <w:rPr>
                <w:rFonts w:ascii="Calibri" w:hAnsi="Calibri" w:cs="Calibri"/>
                <w:sz w:val="18"/>
                <w:szCs w:val="18"/>
              </w:rPr>
            </w:pPr>
            <w:r w:rsidRPr="00984EF1">
              <w:rPr>
                <w:rFonts w:ascii="Calibri" w:hAnsi="Calibri" w:cs="Calibri"/>
                <w:sz w:val="18"/>
                <w:szCs w:val="18"/>
              </w:rPr>
              <w:t>1.0</w:t>
            </w:r>
          </w:p>
        </w:tc>
        <w:tc>
          <w:tcPr>
            <w:tcW w:w="6694" w:type="dxa"/>
            <w:gridSpan w:val="4"/>
          </w:tcPr>
          <w:p w:rsidR="00AD54A3" w:rsidRPr="00984EF1" w:rsidRDefault="00AD54A3" w:rsidP="00FD47C7">
            <w:pPr>
              <w:jc w:val="center"/>
              <w:rPr>
                <w:rFonts w:ascii="Calibri" w:hAnsi="Calibri" w:cs="Calibri"/>
                <w:sz w:val="18"/>
                <w:szCs w:val="18"/>
              </w:rPr>
            </w:pPr>
            <w:r w:rsidRPr="00984EF1">
              <w:rPr>
                <w:rFonts w:ascii="Calibri" w:hAnsi="Calibri" w:cs="Calibri"/>
                <w:sz w:val="18"/>
                <w:szCs w:val="18"/>
              </w:rPr>
              <w:t>Składniki</w:t>
            </w:r>
          </w:p>
        </w:tc>
      </w:tr>
      <w:tr w:rsidR="00AD54A3" w:rsidRPr="00984EF1" w:rsidTr="00FD47C7">
        <w:tc>
          <w:tcPr>
            <w:tcW w:w="817" w:type="dxa"/>
          </w:tcPr>
          <w:p w:rsidR="00AD54A3" w:rsidRPr="00984EF1" w:rsidRDefault="00AD54A3" w:rsidP="00FD47C7">
            <w:pPr>
              <w:jc w:val="center"/>
              <w:rPr>
                <w:rFonts w:ascii="Calibri" w:hAnsi="Calibri" w:cs="Calibri"/>
                <w:sz w:val="18"/>
                <w:szCs w:val="18"/>
              </w:rPr>
            </w:pPr>
            <w:r w:rsidRPr="00984EF1">
              <w:rPr>
                <w:rFonts w:ascii="Calibri" w:hAnsi="Calibri" w:cs="Calibri"/>
                <w:sz w:val="18"/>
                <w:szCs w:val="18"/>
              </w:rPr>
              <w:t>1.1</w:t>
            </w:r>
          </w:p>
        </w:tc>
        <w:tc>
          <w:tcPr>
            <w:tcW w:w="2835" w:type="dxa"/>
          </w:tcPr>
          <w:p w:rsidR="00AD54A3" w:rsidRPr="00984EF1" w:rsidRDefault="00AD54A3" w:rsidP="00FD47C7">
            <w:pPr>
              <w:jc w:val="center"/>
              <w:rPr>
                <w:rFonts w:ascii="Calibri" w:hAnsi="Calibri" w:cs="Calibri"/>
                <w:sz w:val="18"/>
                <w:szCs w:val="18"/>
              </w:rPr>
            </w:pPr>
            <w:r w:rsidRPr="00984EF1">
              <w:rPr>
                <w:rFonts w:ascii="Calibri" w:hAnsi="Calibri" w:cs="Calibri"/>
                <w:sz w:val="18"/>
                <w:szCs w:val="18"/>
              </w:rPr>
              <w:t>Cement</w:t>
            </w:r>
          </w:p>
        </w:tc>
        <w:tc>
          <w:tcPr>
            <w:tcW w:w="3859" w:type="dxa"/>
            <w:gridSpan w:val="3"/>
          </w:tcPr>
          <w:p w:rsidR="00AD54A3" w:rsidRPr="00984EF1" w:rsidRDefault="00AD54A3" w:rsidP="00FD47C7">
            <w:pPr>
              <w:jc w:val="center"/>
              <w:rPr>
                <w:rFonts w:ascii="Calibri" w:hAnsi="Calibri" w:cs="Calibri"/>
                <w:sz w:val="18"/>
                <w:szCs w:val="18"/>
              </w:rPr>
            </w:pPr>
            <w:r w:rsidRPr="00984EF1">
              <w:rPr>
                <w:rFonts w:ascii="Calibri" w:hAnsi="Calibri" w:cs="Calibri"/>
                <w:sz w:val="18"/>
                <w:szCs w:val="18"/>
              </w:rPr>
              <w:t>wg p. 2.2.4</w:t>
            </w:r>
          </w:p>
        </w:tc>
      </w:tr>
      <w:tr w:rsidR="00AD54A3" w:rsidRPr="00984EF1" w:rsidTr="00FD47C7">
        <w:tc>
          <w:tcPr>
            <w:tcW w:w="817" w:type="dxa"/>
          </w:tcPr>
          <w:p w:rsidR="00AD54A3" w:rsidRPr="00984EF1" w:rsidRDefault="00AD54A3" w:rsidP="00FD47C7">
            <w:pPr>
              <w:jc w:val="center"/>
              <w:rPr>
                <w:rFonts w:ascii="Calibri" w:hAnsi="Calibri" w:cs="Calibri"/>
                <w:sz w:val="18"/>
                <w:szCs w:val="18"/>
              </w:rPr>
            </w:pPr>
            <w:r w:rsidRPr="00984EF1">
              <w:rPr>
                <w:rFonts w:ascii="Calibri" w:hAnsi="Calibri" w:cs="Calibri"/>
                <w:sz w:val="18"/>
                <w:szCs w:val="18"/>
              </w:rPr>
              <w:t>1.2</w:t>
            </w:r>
          </w:p>
        </w:tc>
        <w:tc>
          <w:tcPr>
            <w:tcW w:w="2835" w:type="dxa"/>
          </w:tcPr>
          <w:p w:rsidR="00AD54A3" w:rsidRPr="00984EF1" w:rsidRDefault="00AD54A3" w:rsidP="00FD47C7">
            <w:pPr>
              <w:jc w:val="center"/>
              <w:rPr>
                <w:rFonts w:ascii="Calibri" w:hAnsi="Calibri" w:cs="Calibri"/>
                <w:sz w:val="18"/>
                <w:szCs w:val="18"/>
              </w:rPr>
            </w:pPr>
            <w:r w:rsidRPr="00984EF1">
              <w:rPr>
                <w:rFonts w:ascii="Calibri" w:hAnsi="Calibri" w:cs="Calibri"/>
                <w:sz w:val="18"/>
                <w:szCs w:val="18"/>
              </w:rPr>
              <w:t>Kruszywo</w:t>
            </w:r>
          </w:p>
        </w:tc>
        <w:tc>
          <w:tcPr>
            <w:tcW w:w="3859" w:type="dxa"/>
            <w:gridSpan w:val="3"/>
          </w:tcPr>
          <w:p w:rsidR="00AD54A3" w:rsidRPr="00984EF1" w:rsidRDefault="00AD54A3" w:rsidP="00FD47C7">
            <w:pPr>
              <w:jc w:val="center"/>
              <w:rPr>
                <w:rFonts w:ascii="Calibri" w:hAnsi="Calibri" w:cs="Calibri"/>
                <w:sz w:val="18"/>
                <w:szCs w:val="18"/>
              </w:rPr>
            </w:pPr>
            <w:r w:rsidRPr="00984EF1">
              <w:rPr>
                <w:rFonts w:ascii="Calibri" w:hAnsi="Calibri" w:cs="Calibri"/>
                <w:sz w:val="18"/>
                <w:szCs w:val="18"/>
              </w:rPr>
              <w:t>wg tablicy 1</w:t>
            </w:r>
          </w:p>
        </w:tc>
      </w:tr>
      <w:tr w:rsidR="00AD54A3" w:rsidRPr="00984EF1" w:rsidTr="00FD47C7">
        <w:tc>
          <w:tcPr>
            <w:tcW w:w="817" w:type="dxa"/>
          </w:tcPr>
          <w:p w:rsidR="00AD54A3" w:rsidRPr="00984EF1" w:rsidRDefault="00AD54A3" w:rsidP="00FD47C7">
            <w:pPr>
              <w:jc w:val="center"/>
              <w:rPr>
                <w:rFonts w:ascii="Calibri" w:hAnsi="Calibri" w:cs="Calibri"/>
                <w:sz w:val="18"/>
                <w:szCs w:val="18"/>
              </w:rPr>
            </w:pPr>
            <w:r w:rsidRPr="00984EF1">
              <w:rPr>
                <w:rFonts w:ascii="Calibri" w:hAnsi="Calibri" w:cs="Calibri"/>
                <w:sz w:val="18"/>
                <w:szCs w:val="18"/>
              </w:rPr>
              <w:t>1.3</w:t>
            </w:r>
          </w:p>
        </w:tc>
        <w:tc>
          <w:tcPr>
            <w:tcW w:w="2835" w:type="dxa"/>
          </w:tcPr>
          <w:p w:rsidR="00AD54A3" w:rsidRPr="00984EF1" w:rsidRDefault="00AD54A3" w:rsidP="00FD47C7">
            <w:pPr>
              <w:jc w:val="center"/>
              <w:rPr>
                <w:rFonts w:ascii="Calibri" w:hAnsi="Calibri" w:cs="Calibri"/>
                <w:sz w:val="18"/>
                <w:szCs w:val="18"/>
              </w:rPr>
            </w:pPr>
            <w:r w:rsidRPr="00984EF1">
              <w:rPr>
                <w:rFonts w:ascii="Calibri" w:hAnsi="Calibri" w:cs="Calibri"/>
                <w:sz w:val="18"/>
                <w:szCs w:val="18"/>
              </w:rPr>
              <w:t>Woda zarobowa</w:t>
            </w:r>
          </w:p>
        </w:tc>
        <w:tc>
          <w:tcPr>
            <w:tcW w:w="3859" w:type="dxa"/>
            <w:gridSpan w:val="3"/>
          </w:tcPr>
          <w:p w:rsidR="00AD54A3" w:rsidRPr="00984EF1" w:rsidRDefault="00AD54A3" w:rsidP="00FD47C7">
            <w:pPr>
              <w:jc w:val="center"/>
              <w:rPr>
                <w:rFonts w:ascii="Calibri" w:hAnsi="Calibri" w:cs="Calibri"/>
                <w:sz w:val="18"/>
                <w:szCs w:val="18"/>
              </w:rPr>
            </w:pPr>
            <w:r w:rsidRPr="00984EF1">
              <w:rPr>
                <w:rFonts w:ascii="Calibri" w:hAnsi="Calibri" w:cs="Calibri"/>
                <w:sz w:val="18"/>
                <w:szCs w:val="18"/>
              </w:rPr>
              <w:t>wg p. 2.2.5</w:t>
            </w:r>
          </w:p>
        </w:tc>
      </w:tr>
      <w:tr w:rsidR="00AD54A3" w:rsidRPr="00984EF1" w:rsidTr="00FD47C7">
        <w:tc>
          <w:tcPr>
            <w:tcW w:w="817" w:type="dxa"/>
          </w:tcPr>
          <w:p w:rsidR="00AD54A3" w:rsidRPr="00984EF1" w:rsidRDefault="00AD54A3" w:rsidP="00FD47C7">
            <w:pPr>
              <w:jc w:val="center"/>
              <w:rPr>
                <w:rFonts w:ascii="Calibri" w:hAnsi="Calibri" w:cs="Calibri"/>
                <w:sz w:val="18"/>
                <w:szCs w:val="18"/>
              </w:rPr>
            </w:pPr>
            <w:r w:rsidRPr="00984EF1">
              <w:rPr>
                <w:rFonts w:ascii="Calibri" w:hAnsi="Calibri" w:cs="Calibri"/>
                <w:sz w:val="18"/>
                <w:szCs w:val="18"/>
              </w:rPr>
              <w:t>1.4</w:t>
            </w:r>
          </w:p>
        </w:tc>
        <w:tc>
          <w:tcPr>
            <w:tcW w:w="2835" w:type="dxa"/>
          </w:tcPr>
          <w:p w:rsidR="00AD54A3" w:rsidRPr="00984EF1" w:rsidRDefault="00AD54A3" w:rsidP="00FD47C7">
            <w:pPr>
              <w:jc w:val="center"/>
              <w:rPr>
                <w:rFonts w:ascii="Calibri" w:hAnsi="Calibri" w:cs="Calibri"/>
                <w:sz w:val="18"/>
                <w:szCs w:val="18"/>
              </w:rPr>
            </w:pPr>
            <w:r w:rsidRPr="00984EF1">
              <w:rPr>
                <w:rFonts w:ascii="Calibri" w:hAnsi="Calibri" w:cs="Calibri"/>
                <w:sz w:val="18"/>
                <w:szCs w:val="18"/>
              </w:rPr>
              <w:t>Dodatki</w:t>
            </w:r>
          </w:p>
        </w:tc>
        <w:tc>
          <w:tcPr>
            <w:tcW w:w="3859" w:type="dxa"/>
            <w:gridSpan w:val="3"/>
          </w:tcPr>
          <w:p w:rsidR="00AD54A3" w:rsidRPr="00984EF1" w:rsidRDefault="00AD54A3" w:rsidP="00FD47C7">
            <w:pPr>
              <w:jc w:val="center"/>
              <w:rPr>
                <w:rFonts w:ascii="Calibri" w:hAnsi="Calibri" w:cs="Calibri"/>
                <w:sz w:val="18"/>
                <w:szCs w:val="18"/>
              </w:rPr>
            </w:pPr>
            <w:r w:rsidRPr="00984EF1">
              <w:rPr>
                <w:rFonts w:ascii="Calibri" w:hAnsi="Calibri" w:cs="Calibri"/>
                <w:sz w:val="18"/>
                <w:szCs w:val="18"/>
              </w:rPr>
              <w:t>wg p. 2.2.6</w:t>
            </w:r>
          </w:p>
        </w:tc>
      </w:tr>
      <w:tr w:rsidR="00AD54A3" w:rsidRPr="00984EF1" w:rsidTr="00FD47C7">
        <w:tc>
          <w:tcPr>
            <w:tcW w:w="817" w:type="dxa"/>
          </w:tcPr>
          <w:p w:rsidR="00AD54A3" w:rsidRPr="00984EF1" w:rsidRDefault="00AD54A3" w:rsidP="00FD47C7">
            <w:pPr>
              <w:jc w:val="center"/>
              <w:rPr>
                <w:rFonts w:ascii="Calibri" w:hAnsi="Calibri" w:cs="Calibri"/>
                <w:sz w:val="18"/>
                <w:szCs w:val="18"/>
              </w:rPr>
            </w:pPr>
            <w:r w:rsidRPr="00984EF1">
              <w:rPr>
                <w:rFonts w:ascii="Calibri" w:hAnsi="Calibri" w:cs="Calibri"/>
                <w:sz w:val="18"/>
                <w:szCs w:val="18"/>
              </w:rPr>
              <w:t>2.0</w:t>
            </w:r>
          </w:p>
        </w:tc>
        <w:tc>
          <w:tcPr>
            <w:tcW w:w="6694" w:type="dxa"/>
            <w:gridSpan w:val="4"/>
          </w:tcPr>
          <w:p w:rsidR="00AD54A3" w:rsidRPr="00984EF1" w:rsidRDefault="00AD54A3" w:rsidP="00FD47C7">
            <w:pPr>
              <w:jc w:val="center"/>
              <w:rPr>
                <w:rFonts w:ascii="Calibri" w:hAnsi="Calibri" w:cs="Calibri"/>
                <w:sz w:val="18"/>
                <w:szCs w:val="18"/>
              </w:rPr>
            </w:pPr>
            <w:r w:rsidRPr="00984EF1">
              <w:rPr>
                <w:rFonts w:ascii="Calibri" w:hAnsi="Calibri" w:cs="Calibri"/>
                <w:sz w:val="18"/>
                <w:szCs w:val="18"/>
              </w:rPr>
              <w:t>Mieszanka</w:t>
            </w:r>
          </w:p>
        </w:tc>
      </w:tr>
      <w:tr w:rsidR="00AD54A3" w:rsidRPr="00984EF1" w:rsidTr="00FD47C7">
        <w:tc>
          <w:tcPr>
            <w:tcW w:w="817" w:type="dxa"/>
          </w:tcPr>
          <w:p w:rsidR="00AD54A3" w:rsidRPr="00984EF1" w:rsidRDefault="00AD54A3" w:rsidP="00FD47C7">
            <w:pPr>
              <w:jc w:val="center"/>
              <w:rPr>
                <w:rFonts w:ascii="Calibri" w:hAnsi="Calibri" w:cs="Calibri"/>
                <w:sz w:val="18"/>
                <w:szCs w:val="18"/>
              </w:rPr>
            </w:pPr>
            <w:r w:rsidRPr="00984EF1">
              <w:rPr>
                <w:rFonts w:ascii="Calibri" w:hAnsi="Calibri" w:cs="Calibri"/>
                <w:sz w:val="18"/>
                <w:szCs w:val="18"/>
              </w:rPr>
              <w:t>2.1</w:t>
            </w:r>
          </w:p>
        </w:tc>
        <w:tc>
          <w:tcPr>
            <w:tcW w:w="2835" w:type="dxa"/>
          </w:tcPr>
          <w:p w:rsidR="00AD54A3" w:rsidRPr="00984EF1" w:rsidRDefault="00AD54A3" w:rsidP="00FD47C7">
            <w:pPr>
              <w:jc w:val="center"/>
              <w:rPr>
                <w:rFonts w:ascii="Calibri" w:hAnsi="Calibri" w:cs="Calibri"/>
                <w:sz w:val="18"/>
                <w:szCs w:val="18"/>
              </w:rPr>
            </w:pPr>
            <w:r w:rsidRPr="00984EF1">
              <w:rPr>
                <w:rFonts w:ascii="Calibri" w:hAnsi="Calibri" w:cs="Calibri"/>
                <w:sz w:val="18"/>
                <w:szCs w:val="18"/>
              </w:rPr>
              <w:t>Uziarnienie:</w:t>
            </w:r>
          </w:p>
        </w:tc>
        <w:tc>
          <w:tcPr>
            <w:tcW w:w="3859" w:type="dxa"/>
            <w:gridSpan w:val="3"/>
          </w:tcPr>
          <w:p w:rsidR="00AD54A3" w:rsidRPr="00984EF1" w:rsidRDefault="00AD54A3" w:rsidP="00FD47C7">
            <w:pPr>
              <w:jc w:val="center"/>
              <w:rPr>
                <w:rFonts w:ascii="Calibri" w:hAnsi="Calibri" w:cs="Calibri"/>
                <w:sz w:val="18"/>
                <w:szCs w:val="18"/>
              </w:rPr>
            </w:pPr>
            <w:r w:rsidRPr="00984EF1">
              <w:rPr>
                <w:rFonts w:ascii="Calibri" w:hAnsi="Calibri" w:cs="Calibri"/>
                <w:sz w:val="18"/>
                <w:szCs w:val="18"/>
              </w:rPr>
              <w:t>Krzywe graniczne uziarnienia</w:t>
            </w:r>
          </w:p>
        </w:tc>
      </w:tr>
      <w:tr w:rsidR="00AD54A3" w:rsidRPr="00984EF1" w:rsidTr="00FD47C7">
        <w:tc>
          <w:tcPr>
            <w:tcW w:w="817" w:type="dxa"/>
          </w:tcPr>
          <w:p w:rsidR="00AD54A3" w:rsidRPr="00984EF1" w:rsidRDefault="00AD54A3" w:rsidP="00FD47C7">
            <w:pPr>
              <w:jc w:val="center"/>
              <w:rPr>
                <w:rFonts w:ascii="Calibri" w:hAnsi="Calibri" w:cs="Calibri"/>
                <w:sz w:val="18"/>
                <w:szCs w:val="18"/>
              </w:rPr>
            </w:pPr>
          </w:p>
        </w:tc>
        <w:tc>
          <w:tcPr>
            <w:tcW w:w="2835" w:type="dxa"/>
          </w:tcPr>
          <w:p w:rsidR="00AD54A3" w:rsidRPr="00984EF1" w:rsidRDefault="00AD54A3" w:rsidP="00FD47C7">
            <w:pPr>
              <w:jc w:val="center"/>
              <w:rPr>
                <w:rFonts w:ascii="Calibri" w:hAnsi="Calibri" w:cs="Calibri"/>
                <w:sz w:val="18"/>
                <w:szCs w:val="18"/>
              </w:rPr>
            </w:pPr>
            <w:r w:rsidRPr="00984EF1">
              <w:rPr>
                <w:rFonts w:ascii="Calibri" w:hAnsi="Calibri" w:cs="Calibri"/>
                <w:sz w:val="18"/>
                <w:szCs w:val="18"/>
              </w:rPr>
              <w:t>- mieszanka 0/8 mm</w:t>
            </w:r>
          </w:p>
        </w:tc>
        <w:tc>
          <w:tcPr>
            <w:tcW w:w="3859" w:type="dxa"/>
            <w:gridSpan w:val="3"/>
          </w:tcPr>
          <w:p w:rsidR="00AD54A3" w:rsidRPr="00984EF1" w:rsidRDefault="00AD54A3" w:rsidP="00FD47C7">
            <w:pPr>
              <w:jc w:val="center"/>
              <w:rPr>
                <w:rFonts w:ascii="Calibri" w:hAnsi="Calibri" w:cs="Calibri"/>
                <w:sz w:val="18"/>
                <w:szCs w:val="18"/>
              </w:rPr>
            </w:pPr>
            <w:r w:rsidRPr="00984EF1">
              <w:rPr>
                <w:rFonts w:ascii="Calibri" w:hAnsi="Calibri" w:cs="Calibri"/>
                <w:sz w:val="18"/>
                <w:szCs w:val="18"/>
              </w:rPr>
              <w:t>wg rys. 5</w:t>
            </w:r>
          </w:p>
        </w:tc>
      </w:tr>
      <w:tr w:rsidR="00AD54A3" w:rsidRPr="00984EF1" w:rsidTr="00FD47C7">
        <w:tc>
          <w:tcPr>
            <w:tcW w:w="817" w:type="dxa"/>
          </w:tcPr>
          <w:p w:rsidR="00AD54A3" w:rsidRPr="00984EF1" w:rsidRDefault="00AD54A3" w:rsidP="00FD47C7">
            <w:pPr>
              <w:jc w:val="center"/>
              <w:rPr>
                <w:rFonts w:ascii="Calibri" w:hAnsi="Calibri" w:cs="Calibri"/>
                <w:sz w:val="18"/>
                <w:szCs w:val="18"/>
              </w:rPr>
            </w:pPr>
          </w:p>
        </w:tc>
        <w:tc>
          <w:tcPr>
            <w:tcW w:w="2835" w:type="dxa"/>
          </w:tcPr>
          <w:p w:rsidR="00AD54A3" w:rsidRPr="00984EF1" w:rsidRDefault="00AD54A3" w:rsidP="00FD47C7">
            <w:pPr>
              <w:jc w:val="center"/>
              <w:rPr>
                <w:rFonts w:ascii="Calibri" w:hAnsi="Calibri" w:cs="Calibri"/>
                <w:sz w:val="18"/>
                <w:szCs w:val="18"/>
              </w:rPr>
            </w:pPr>
            <w:r w:rsidRPr="00984EF1">
              <w:rPr>
                <w:rFonts w:ascii="Calibri" w:hAnsi="Calibri" w:cs="Calibri"/>
                <w:sz w:val="18"/>
                <w:szCs w:val="18"/>
              </w:rPr>
              <w:t>- mieszanka 0/11,2 mm</w:t>
            </w:r>
          </w:p>
        </w:tc>
        <w:tc>
          <w:tcPr>
            <w:tcW w:w="3859" w:type="dxa"/>
            <w:gridSpan w:val="3"/>
          </w:tcPr>
          <w:p w:rsidR="00AD54A3" w:rsidRPr="00984EF1" w:rsidRDefault="00AD54A3" w:rsidP="00FD47C7">
            <w:pPr>
              <w:jc w:val="center"/>
              <w:rPr>
                <w:rFonts w:ascii="Calibri" w:hAnsi="Calibri" w:cs="Calibri"/>
                <w:sz w:val="18"/>
                <w:szCs w:val="18"/>
              </w:rPr>
            </w:pPr>
            <w:r w:rsidRPr="00984EF1">
              <w:rPr>
                <w:rFonts w:ascii="Calibri" w:hAnsi="Calibri" w:cs="Calibri"/>
                <w:sz w:val="18"/>
                <w:szCs w:val="18"/>
              </w:rPr>
              <w:t>wg rys. 4</w:t>
            </w:r>
          </w:p>
        </w:tc>
      </w:tr>
      <w:tr w:rsidR="00AD54A3" w:rsidRPr="00984EF1" w:rsidTr="00FD47C7">
        <w:tc>
          <w:tcPr>
            <w:tcW w:w="817" w:type="dxa"/>
          </w:tcPr>
          <w:p w:rsidR="00AD54A3" w:rsidRPr="00984EF1" w:rsidRDefault="00AD54A3" w:rsidP="00FD47C7">
            <w:pPr>
              <w:jc w:val="center"/>
              <w:rPr>
                <w:rFonts w:ascii="Calibri" w:hAnsi="Calibri" w:cs="Calibri"/>
                <w:sz w:val="18"/>
                <w:szCs w:val="18"/>
              </w:rPr>
            </w:pPr>
          </w:p>
        </w:tc>
        <w:tc>
          <w:tcPr>
            <w:tcW w:w="2835" w:type="dxa"/>
          </w:tcPr>
          <w:p w:rsidR="00AD54A3" w:rsidRPr="00984EF1" w:rsidRDefault="00AD54A3" w:rsidP="00FD47C7">
            <w:pPr>
              <w:jc w:val="center"/>
              <w:rPr>
                <w:rFonts w:ascii="Calibri" w:hAnsi="Calibri" w:cs="Calibri"/>
                <w:sz w:val="18"/>
                <w:szCs w:val="18"/>
              </w:rPr>
            </w:pPr>
            <w:r w:rsidRPr="00984EF1">
              <w:rPr>
                <w:rFonts w:ascii="Calibri" w:hAnsi="Calibri" w:cs="Calibri"/>
                <w:sz w:val="18"/>
                <w:szCs w:val="18"/>
              </w:rPr>
              <w:t>- mieszanka 0/16 mm</w:t>
            </w:r>
          </w:p>
        </w:tc>
        <w:tc>
          <w:tcPr>
            <w:tcW w:w="3859" w:type="dxa"/>
            <w:gridSpan w:val="3"/>
          </w:tcPr>
          <w:p w:rsidR="00AD54A3" w:rsidRPr="00984EF1" w:rsidRDefault="00AD54A3" w:rsidP="00FD47C7">
            <w:pPr>
              <w:jc w:val="center"/>
              <w:rPr>
                <w:rFonts w:ascii="Calibri" w:hAnsi="Calibri" w:cs="Calibri"/>
                <w:sz w:val="18"/>
                <w:szCs w:val="18"/>
              </w:rPr>
            </w:pPr>
            <w:r w:rsidRPr="00984EF1">
              <w:rPr>
                <w:rFonts w:ascii="Calibri" w:hAnsi="Calibri" w:cs="Calibri"/>
                <w:sz w:val="18"/>
                <w:szCs w:val="18"/>
              </w:rPr>
              <w:t>wg rys. 3</w:t>
            </w:r>
          </w:p>
        </w:tc>
      </w:tr>
      <w:tr w:rsidR="00AD54A3" w:rsidRPr="00984EF1" w:rsidTr="00FD47C7">
        <w:tc>
          <w:tcPr>
            <w:tcW w:w="817" w:type="dxa"/>
          </w:tcPr>
          <w:p w:rsidR="00AD54A3" w:rsidRPr="00984EF1" w:rsidRDefault="00AD54A3" w:rsidP="00FD47C7">
            <w:pPr>
              <w:jc w:val="center"/>
              <w:rPr>
                <w:rFonts w:ascii="Calibri" w:hAnsi="Calibri" w:cs="Calibri"/>
                <w:sz w:val="18"/>
                <w:szCs w:val="18"/>
              </w:rPr>
            </w:pPr>
          </w:p>
        </w:tc>
        <w:tc>
          <w:tcPr>
            <w:tcW w:w="2835" w:type="dxa"/>
          </w:tcPr>
          <w:p w:rsidR="00AD54A3" w:rsidRPr="00984EF1" w:rsidRDefault="00AD54A3" w:rsidP="00FD47C7">
            <w:pPr>
              <w:jc w:val="center"/>
              <w:rPr>
                <w:rFonts w:ascii="Calibri" w:hAnsi="Calibri" w:cs="Calibri"/>
                <w:sz w:val="18"/>
                <w:szCs w:val="18"/>
              </w:rPr>
            </w:pPr>
            <w:r w:rsidRPr="00984EF1">
              <w:rPr>
                <w:rFonts w:ascii="Calibri" w:hAnsi="Calibri" w:cs="Calibri"/>
                <w:sz w:val="18"/>
                <w:szCs w:val="18"/>
              </w:rPr>
              <w:t>- mieszanka 0/22,4 mm</w:t>
            </w:r>
          </w:p>
        </w:tc>
        <w:tc>
          <w:tcPr>
            <w:tcW w:w="3859" w:type="dxa"/>
            <w:gridSpan w:val="3"/>
          </w:tcPr>
          <w:p w:rsidR="00AD54A3" w:rsidRPr="00984EF1" w:rsidRDefault="00AD54A3" w:rsidP="00FD47C7">
            <w:pPr>
              <w:jc w:val="center"/>
              <w:rPr>
                <w:rFonts w:ascii="Calibri" w:hAnsi="Calibri" w:cs="Calibri"/>
                <w:sz w:val="18"/>
                <w:szCs w:val="18"/>
              </w:rPr>
            </w:pPr>
            <w:r w:rsidRPr="00984EF1">
              <w:rPr>
                <w:rFonts w:ascii="Calibri" w:hAnsi="Calibri" w:cs="Calibri"/>
                <w:sz w:val="18"/>
                <w:szCs w:val="18"/>
              </w:rPr>
              <w:t>wg rys. 2</w:t>
            </w:r>
          </w:p>
        </w:tc>
      </w:tr>
      <w:tr w:rsidR="00AD54A3" w:rsidRPr="00984EF1" w:rsidTr="00FD47C7">
        <w:tc>
          <w:tcPr>
            <w:tcW w:w="817" w:type="dxa"/>
          </w:tcPr>
          <w:p w:rsidR="00AD54A3" w:rsidRPr="00984EF1" w:rsidRDefault="00AD54A3" w:rsidP="00FD47C7">
            <w:pPr>
              <w:jc w:val="center"/>
              <w:rPr>
                <w:rFonts w:ascii="Calibri" w:hAnsi="Calibri" w:cs="Calibri"/>
                <w:sz w:val="18"/>
                <w:szCs w:val="18"/>
              </w:rPr>
            </w:pPr>
          </w:p>
        </w:tc>
        <w:tc>
          <w:tcPr>
            <w:tcW w:w="2835" w:type="dxa"/>
          </w:tcPr>
          <w:p w:rsidR="00AD54A3" w:rsidRPr="00984EF1" w:rsidRDefault="00AD54A3" w:rsidP="00FD47C7">
            <w:pPr>
              <w:jc w:val="center"/>
              <w:rPr>
                <w:rFonts w:ascii="Calibri" w:hAnsi="Calibri" w:cs="Calibri"/>
                <w:sz w:val="18"/>
                <w:szCs w:val="18"/>
              </w:rPr>
            </w:pPr>
            <w:r w:rsidRPr="00984EF1">
              <w:rPr>
                <w:rFonts w:ascii="Calibri" w:hAnsi="Calibri" w:cs="Calibri"/>
                <w:sz w:val="18"/>
                <w:szCs w:val="18"/>
              </w:rPr>
              <w:t>- mieszanka 0/31,5 mm</w:t>
            </w:r>
          </w:p>
        </w:tc>
        <w:tc>
          <w:tcPr>
            <w:tcW w:w="3859" w:type="dxa"/>
            <w:gridSpan w:val="3"/>
          </w:tcPr>
          <w:p w:rsidR="00AD54A3" w:rsidRPr="00984EF1" w:rsidRDefault="00AD54A3" w:rsidP="00FD47C7">
            <w:pPr>
              <w:jc w:val="center"/>
              <w:rPr>
                <w:rFonts w:ascii="Calibri" w:hAnsi="Calibri" w:cs="Calibri"/>
                <w:sz w:val="18"/>
                <w:szCs w:val="18"/>
              </w:rPr>
            </w:pPr>
            <w:r w:rsidRPr="00984EF1">
              <w:rPr>
                <w:rFonts w:ascii="Calibri" w:hAnsi="Calibri" w:cs="Calibri"/>
                <w:sz w:val="18"/>
                <w:szCs w:val="18"/>
              </w:rPr>
              <w:t>wg rys. 1</w:t>
            </w:r>
          </w:p>
        </w:tc>
      </w:tr>
      <w:tr w:rsidR="00AD54A3" w:rsidRPr="00984EF1" w:rsidTr="00FD47C7">
        <w:tc>
          <w:tcPr>
            <w:tcW w:w="817" w:type="dxa"/>
          </w:tcPr>
          <w:p w:rsidR="00AD54A3" w:rsidRPr="00984EF1" w:rsidRDefault="00AD54A3" w:rsidP="00FD47C7">
            <w:pPr>
              <w:jc w:val="center"/>
              <w:rPr>
                <w:rFonts w:ascii="Calibri" w:hAnsi="Calibri" w:cs="Calibri"/>
                <w:sz w:val="18"/>
                <w:szCs w:val="18"/>
              </w:rPr>
            </w:pPr>
            <w:r w:rsidRPr="00984EF1">
              <w:rPr>
                <w:rFonts w:ascii="Calibri" w:hAnsi="Calibri" w:cs="Calibri"/>
                <w:sz w:val="18"/>
                <w:szCs w:val="18"/>
              </w:rPr>
              <w:t>2.2</w:t>
            </w:r>
          </w:p>
        </w:tc>
        <w:tc>
          <w:tcPr>
            <w:tcW w:w="2835" w:type="dxa"/>
          </w:tcPr>
          <w:p w:rsidR="00AD54A3" w:rsidRPr="00984EF1" w:rsidRDefault="00AD54A3" w:rsidP="00FD47C7">
            <w:pPr>
              <w:jc w:val="center"/>
              <w:rPr>
                <w:rFonts w:ascii="Calibri" w:hAnsi="Calibri" w:cs="Calibri"/>
                <w:sz w:val="18"/>
                <w:szCs w:val="18"/>
              </w:rPr>
            </w:pPr>
            <w:r w:rsidRPr="00984EF1">
              <w:rPr>
                <w:rFonts w:ascii="Calibri" w:hAnsi="Calibri" w:cs="Calibri"/>
                <w:sz w:val="18"/>
                <w:szCs w:val="18"/>
              </w:rPr>
              <w:t>Minimalna zawartość cementu</w:t>
            </w:r>
          </w:p>
        </w:tc>
        <w:tc>
          <w:tcPr>
            <w:tcW w:w="3859" w:type="dxa"/>
            <w:gridSpan w:val="3"/>
          </w:tcPr>
          <w:p w:rsidR="00AD54A3" w:rsidRPr="00984EF1" w:rsidRDefault="00AD54A3" w:rsidP="00FD47C7">
            <w:pPr>
              <w:jc w:val="center"/>
              <w:rPr>
                <w:rFonts w:ascii="Calibri" w:hAnsi="Calibri" w:cs="Calibri"/>
                <w:sz w:val="18"/>
                <w:szCs w:val="18"/>
              </w:rPr>
            </w:pPr>
            <w:r w:rsidRPr="00984EF1">
              <w:rPr>
                <w:rFonts w:ascii="Calibri" w:hAnsi="Calibri" w:cs="Calibri"/>
                <w:sz w:val="18"/>
                <w:szCs w:val="18"/>
              </w:rPr>
              <w:t>wg tablicy 3</w:t>
            </w:r>
          </w:p>
        </w:tc>
      </w:tr>
      <w:tr w:rsidR="00AD54A3" w:rsidRPr="00984EF1" w:rsidTr="00FD47C7">
        <w:tc>
          <w:tcPr>
            <w:tcW w:w="817" w:type="dxa"/>
          </w:tcPr>
          <w:p w:rsidR="00AD54A3" w:rsidRPr="00984EF1" w:rsidRDefault="00AD54A3" w:rsidP="00FD47C7">
            <w:pPr>
              <w:jc w:val="center"/>
              <w:rPr>
                <w:rFonts w:ascii="Calibri" w:hAnsi="Calibri" w:cs="Calibri"/>
                <w:sz w:val="18"/>
                <w:szCs w:val="18"/>
              </w:rPr>
            </w:pPr>
            <w:r w:rsidRPr="00984EF1">
              <w:rPr>
                <w:rFonts w:ascii="Calibri" w:hAnsi="Calibri" w:cs="Calibri"/>
                <w:sz w:val="18"/>
                <w:szCs w:val="18"/>
              </w:rPr>
              <w:t>2.3</w:t>
            </w:r>
          </w:p>
        </w:tc>
        <w:tc>
          <w:tcPr>
            <w:tcW w:w="2835" w:type="dxa"/>
          </w:tcPr>
          <w:p w:rsidR="00AD54A3" w:rsidRPr="00984EF1" w:rsidRDefault="00AD54A3" w:rsidP="00FD47C7">
            <w:pPr>
              <w:jc w:val="center"/>
              <w:rPr>
                <w:rFonts w:ascii="Calibri" w:hAnsi="Calibri" w:cs="Calibri"/>
                <w:sz w:val="18"/>
                <w:szCs w:val="18"/>
              </w:rPr>
            </w:pPr>
            <w:r w:rsidRPr="00984EF1">
              <w:rPr>
                <w:rFonts w:ascii="Calibri" w:hAnsi="Calibri" w:cs="Calibri"/>
                <w:sz w:val="18"/>
                <w:szCs w:val="18"/>
              </w:rPr>
              <w:t>Zawartość wody</w:t>
            </w:r>
          </w:p>
        </w:tc>
        <w:tc>
          <w:tcPr>
            <w:tcW w:w="3859" w:type="dxa"/>
            <w:gridSpan w:val="3"/>
          </w:tcPr>
          <w:p w:rsidR="00AD54A3" w:rsidRPr="00984EF1" w:rsidRDefault="00AD54A3" w:rsidP="00FD47C7">
            <w:pPr>
              <w:jc w:val="center"/>
              <w:rPr>
                <w:rFonts w:ascii="Calibri" w:hAnsi="Calibri" w:cs="Calibri"/>
                <w:sz w:val="18"/>
                <w:szCs w:val="18"/>
              </w:rPr>
            </w:pPr>
            <w:r w:rsidRPr="00984EF1">
              <w:rPr>
                <w:rFonts w:ascii="Calibri" w:hAnsi="Calibri" w:cs="Calibri"/>
                <w:sz w:val="18"/>
                <w:szCs w:val="18"/>
              </w:rPr>
              <w:t>wg projektu mieszanki</w:t>
            </w:r>
          </w:p>
        </w:tc>
      </w:tr>
      <w:tr w:rsidR="00AD54A3" w:rsidRPr="00984EF1" w:rsidTr="00FD47C7">
        <w:tc>
          <w:tcPr>
            <w:tcW w:w="817" w:type="dxa"/>
          </w:tcPr>
          <w:p w:rsidR="00AD54A3" w:rsidRPr="00984EF1" w:rsidRDefault="00AD54A3" w:rsidP="00FD47C7">
            <w:pPr>
              <w:jc w:val="center"/>
              <w:rPr>
                <w:rFonts w:ascii="Calibri" w:hAnsi="Calibri" w:cs="Calibri"/>
                <w:sz w:val="18"/>
                <w:szCs w:val="18"/>
              </w:rPr>
            </w:pPr>
            <w:r w:rsidRPr="00984EF1">
              <w:rPr>
                <w:rFonts w:ascii="Calibri" w:hAnsi="Calibri" w:cs="Calibri"/>
                <w:sz w:val="18"/>
                <w:szCs w:val="18"/>
              </w:rPr>
              <w:t>2.4</w:t>
            </w:r>
          </w:p>
        </w:tc>
        <w:tc>
          <w:tcPr>
            <w:tcW w:w="2835" w:type="dxa"/>
          </w:tcPr>
          <w:p w:rsidR="00AD54A3" w:rsidRPr="00984EF1" w:rsidRDefault="00AD54A3" w:rsidP="00FD47C7">
            <w:pPr>
              <w:jc w:val="center"/>
              <w:rPr>
                <w:rFonts w:ascii="Calibri" w:hAnsi="Calibri" w:cs="Calibri"/>
                <w:sz w:val="18"/>
                <w:szCs w:val="18"/>
              </w:rPr>
            </w:pPr>
            <w:r w:rsidRPr="00984EF1">
              <w:rPr>
                <w:rFonts w:ascii="Calibri" w:hAnsi="Calibri" w:cs="Calibri"/>
                <w:sz w:val="18"/>
                <w:szCs w:val="18"/>
              </w:rPr>
              <w:t>Wytrzymałość na ściskanie*)  (system I) – klasa wytrzymałości Rc wg tablicy 2</w:t>
            </w:r>
          </w:p>
        </w:tc>
        <w:tc>
          <w:tcPr>
            <w:tcW w:w="1276" w:type="dxa"/>
          </w:tcPr>
          <w:p w:rsidR="00AD54A3" w:rsidRPr="00984EF1" w:rsidRDefault="00AD54A3" w:rsidP="00FD47C7">
            <w:pPr>
              <w:jc w:val="center"/>
              <w:rPr>
                <w:rFonts w:ascii="Calibri" w:hAnsi="Calibri" w:cs="Calibri"/>
                <w:sz w:val="18"/>
                <w:szCs w:val="18"/>
              </w:rPr>
            </w:pPr>
            <w:r w:rsidRPr="00984EF1">
              <w:rPr>
                <w:rFonts w:ascii="Calibri" w:hAnsi="Calibri" w:cs="Calibri"/>
                <w:sz w:val="18"/>
                <w:szCs w:val="18"/>
              </w:rPr>
              <w:t>klasa C 3/4 (nie więcej niż</w:t>
            </w:r>
          </w:p>
          <w:p w:rsidR="00AD54A3" w:rsidRPr="00984EF1" w:rsidRDefault="00AD54A3" w:rsidP="00FD47C7">
            <w:pPr>
              <w:jc w:val="center"/>
              <w:rPr>
                <w:rFonts w:ascii="Calibri" w:hAnsi="Calibri" w:cs="Calibri"/>
                <w:sz w:val="18"/>
                <w:szCs w:val="18"/>
              </w:rPr>
            </w:pPr>
            <w:r w:rsidRPr="00984EF1">
              <w:rPr>
                <w:rFonts w:ascii="Calibri" w:hAnsi="Calibri" w:cs="Calibri"/>
                <w:sz w:val="18"/>
                <w:szCs w:val="18"/>
              </w:rPr>
              <w:t>6,0 MPa)</w:t>
            </w:r>
          </w:p>
        </w:tc>
        <w:tc>
          <w:tcPr>
            <w:tcW w:w="1276" w:type="dxa"/>
          </w:tcPr>
          <w:p w:rsidR="00AD54A3" w:rsidRPr="00984EF1" w:rsidRDefault="00AD54A3" w:rsidP="00FD47C7">
            <w:pPr>
              <w:jc w:val="center"/>
              <w:rPr>
                <w:rFonts w:ascii="Calibri" w:hAnsi="Calibri" w:cs="Calibri"/>
                <w:sz w:val="18"/>
                <w:szCs w:val="18"/>
              </w:rPr>
            </w:pPr>
            <w:r w:rsidRPr="00984EF1">
              <w:rPr>
                <w:rFonts w:ascii="Calibri" w:hAnsi="Calibri" w:cs="Calibri"/>
                <w:sz w:val="18"/>
                <w:szCs w:val="18"/>
              </w:rPr>
              <w:t>klasa C 5/6</w:t>
            </w:r>
          </w:p>
          <w:p w:rsidR="00AD54A3" w:rsidRPr="00984EF1" w:rsidRDefault="00AD54A3" w:rsidP="00FD47C7">
            <w:pPr>
              <w:jc w:val="center"/>
              <w:rPr>
                <w:rFonts w:ascii="Calibri" w:hAnsi="Calibri" w:cs="Calibri"/>
                <w:sz w:val="18"/>
                <w:szCs w:val="18"/>
              </w:rPr>
            </w:pPr>
            <w:r w:rsidRPr="00984EF1">
              <w:rPr>
                <w:rFonts w:ascii="Calibri" w:hAnsi="Calibri" w:cs="Calibri"/>
                <w:sz w:val="18"/>
                <w:szCs w:val="18"/>
              </w:rPr>
              <w:t>(nie więcej niż</w:t>
            </w:r>
          </w:p>
          <w:p w:rsidR="00AD54A3" w:rsidRPr="00984EF1" w:rsidRDefault="00AD54A3" w:rsidP="00FD47C7">
            <w:pPr>
              <w:jc w:val="center"/>
              <w:rPr>
                <w:rFonts w:ascii="Calibri" w:hAnsi="Calibri" w:cs="Calibri"/>
                <w:sz w:val="18"/>
                <w:szCs w:val="18"/>
              </w:rPr>
            </w:pPr>
            <w:r w:rsidRPr="00984EF1">
              <w:rPr>
                <w:rFonts w:ascii="Calibri" w:hAnsi="Calibri" w:cs="Calibri"/>
                <w:sz w:val="18"/>
                <w:szCs w:val="18"/>
              </w:rPr>
              <w:t>10,0 MPa)</w:t>
            </w:r>
          </w:p>
        </w:tc>
        <w:tc>
          <w:tcPr>
            <w:tcW w:w="1307" w:type="dxa"/>
          </w:tcPr>
          <w:p w:rsidR="00AD54A3" w:rsidRPr="00984EF1" w:rsidRDefault="00AD54A3" w:rsidP="00FD47C7">
            <w:pPr>
              <w:jc w:val="center"/>
              <w:rPr>
                <w:rFonts w:ascii="Calibri" w:hAnsi="Calibri" w:cs="Calibri"/>
                <w:sz w:val="18"/>
                <w:szCs w:val="18"/>
              </w:rPr>
            </w:pPr>
            <w:r w:rsidRPr="00984EF1">
              <w:rPr>
                <w:rFonts w:ascii="Calibri" w:hAnsi="Calibri" w:cs="Calibri"/>
                <w:sz w:val="18"/>
                <w:szCs w:val="18"/>
              </w:rPr>
              <w:t>klasa C 8/10</w:t>
            </w:r>
          </w:p>
          <w:p w:rsidR="00AD54A3" w:rsidRPr="00984EF1" w:rsidRDefault="00AD54A3" w:rsidP="00FD47C7">
            <w:pPr>
              <w:jc w:val="center"/>
              <w:rPr>
                <w:rFonts w:ascii="Calibri" w:hAnsi="Calibri" w:cs="Calibri"/>
                <w:sz w:val="18"/>
                <w:szCs w:val="18"/>
              </w:rPr>
            </w:pPr>
            <w:r w:rsidRPr="00984EF1">
              <w:rPr>
                <w:rFonts w:ascii="Calibri" w:hAnsi="Calibri" w:cs="Calibri"/>
                <w:sz w:val="18"/>
                <w:szCs w:val="18"/>
              </w:rPr>
              <w:t>(nie więcej niż</w:t>
            </w:r>
          </w:p>
          <w:p w:rsidR="00AD54A3" w:rsidRPr="00984EF1" w:rsidRDefault="00AD54A3" w:rsidP="00FD47C7">
            <w:pPr>
              <w:jc w:val="center"/>
              <w:rPr>
                <w:rFonts w:ascii="Calibri" w:hAnsi="Calibri" w:cs="Calibri"/>
                <w:sz w:val="18"/>
                <w:szCs w:val="18"/>
              </w:rPr>
            </w:pPr>
            <w:r w:rsidRPr="00984EF1">
              <w:rPr>
                <w:rFonts w:ascii="Calibri" w:hAnsi="Calibri" w:cs="Calibri"/>
                <w:sz w:val="18"/>
                <w:szCs w:val="18"/>
              </w:rPr>
              <w:t>20,0 MPa)</w:t>
            </w:r>
          </w:p>
        </w:tc>
      </w:tr>
      <w:tr w:rsidR="00AD54A3" w:rsidRPr="00984EF1" w:rsidTr="00FD47C7">
        <w:tc>
          <w:tcPr>
            <w:tcW w:w="817" w:type="dxa"/>
          </w:tcPr>
          <w:p w:rsidR="00AD54A3" w:rsidRPr="00984EF1" w:rsidRDefault="00AD54A3" w:rsidP="00FD47C7">
            <w:pPr>
              <w:jc w:val="center"/>
              <w:rPr>
                <w:rFonts w:ascii="Calibri" w:hAnsi="Calibri" w:cs="Calibri"/>
                <w:sz w:val="18"/>
                <w:szCs w:val="18"/>
              </w:rPr>
            </w:pPr>
            <w:r w:rsidRPr="00984EF1">
              <w:rPr>
                <w:rFonts w:ascii="Calibri" w:hAnsi="Calibri" w:cs="Calibri"/>
                <w:sz w:val="18"/>
                <w:szCs w:val="18"/>
              </w:rPr>
              <w:t>2.5</w:t>
            </w:r>
          </w:p>
        </w:tc>
        <w:tc>
          <w:tcPr>
            <w:tcW w:w="2835" w:type="dxa"/>
          </w:tcPr>
          <w:p w:rsidR="00AD54A3" w:rsidRPr="00984EF1" w:rsidRDefault="00AD54A3" w:rsidP="00FD47C7">
            <w:pPr>
              <w:jc w:val="center"/>
              <w:rPr>
                <w:rFonts w:ascii="Calibri" w:hAnsi="Calibri" w:cs="Calibri"/>
                <w:sz w:val="18"/>
                <w:szCs w:val="18"/>
              </w:rPr>
            </w:pPr>
            <w:r w:rsidRPr="00984EF1">
              <w:rPr>
                <w:rFonts w:ascii="Calibri" w:hAnsi="Calibri" w:cs="Calibri"/>
                <w:sz w:val="18"/>
                <w:szCs w:val="18"/>
              </w:rPr>
              <w:t>Mrozoodporność</w:t>
            </w:r>
          </w:p>
        </w:tc>
        <w:tc>
          <w:tcPr>
            <w:tcW w:w="1276" w:type="dxa"/>
          </w:tcPr>
          <w:p w:rsidR="00AD54A3" w:rsidRPr="00984EF1" w:rsidRDefault="00AD54A3" w:rsidP="00FD47C7">
            <w:pPr>
              <w:jc w:val="center"/>
              <w:rPr>
                <w:rFonts w:ascii="Calibri" w:hAnsi="Calibri" w:cs="Calibri"/>
                <w:sz w:val="18"/>
                <w:szCs w:val="18"/>
              </w:rPr>
            </w:pPr>
            <w:r w:rsidRPr="00984EF1">
              <w:rPr>
                <w:rFonts w:ascii="Calibri" w:hAnsi="Calibri" w:cs="Calibri"/>
                <w:sz w:val="18"/>
                <w:szCs w:val="18"/>
              </w:rPr>
              <w:t>≥ 0,7</w:t>
            </w:r>
          </w:p>
        </w:tc>
        <w:tc>
          <w:tcPr>
            <w:tcW w:w="1276" w:type="dxa"/>
          </w:tcPr>
          <w:p w:rsidR="00AD54A3" w:rsidRPr="00984EF1" w:rsidRDefault="00AD54A3" w:rsidP="00FD47C7">
            <w:pPr>
              <w:jc w:val="center"/>
              <w:rPr>
                <w:rFonts w:ascii="Calibri" w:hAnsi="Calibri" w:cs="Calibri"/>
                <w:sz w:val="18"/>
                <w:szCs w:val="18"/>
              </w:rPr>
            </w:pPr>
            <w:r w:rsidRPr="00984EF1">
              <w:rPr>
                <w:rFonts w:ascii="Calibri" w:hAnsi="Calibri" w:cs="Calibri"/>
                <w:sz w:val="18"/>
                <w:szCs w:val="18"/>
              </w:rPr>
              <w:t>≥ 0,7</w:t>
            </w:r>
          </w:p>
        </w:tc>
        <w:tc>
          <w:tcPr>
            <w:tcW w:w="1307" w:type="dxa"/>
          </w:tcPr>
          <w:p w:rsidR="00AD54A3" w:rsidRPr="00984EF1" w:rsidRDefault="00AD54A3" w:rsidP="00FD47C7">
            <w:pPr>
              <w:jc w:val="center"/>
              <w:rPr>
                <w:rFonts w:ascii="Calibri" w:hAnsi="Calibri" w:cs="Calibri"/>
                <w:sz w:val="18"/>
                <w:szCs w:val="18"/>
              </w:rPr>
            </w:pPr>
            <w:r w:rsidRPr="00984EF1">
              <w:rPr>
                <w:rFonts w:ascii="Calibri" w:hAnsi="Calibri" w:cs="Calibri"/>
                <w:sz w:val="18"/>
                <w:szCs w:val="18"/>
              </w:rPr>
              <w:t>≥ 0,7</w:t>
            </w:r>
          </w:p>
        </w:tc>
      </w:tr>
    </w:tbl>
    <w:p w:rsidR="00AD54A3" w:rsidRPr="00984EF1" w:rsidRDefault="00AD54A3" w:rsidP="00AD54A3">
      <w:pPr>
        <w:ind w:left="709"/>
        <w:rPr>
          <w:rFonts w:ascii="Calibri" w:hAnsi="Calibri" w:cs="Calibri"/>
          <w:i/>
        </w:rPr>
      </w:pPr>
      <w:r w:rsidRPr="00984EF1">
        <w:rPr>
          <w:rFonts w:ascii="Calibri" w:hAnsi="Calibri" w:cs="Calibri"/>
          <w:i/>
        </w:rPr>
        <w:t>*) W przypadku przekroczenia wytrzymałości na ściskanie 5 MPa należy stosować rozwiązania przeciwspękaniowe (patrz p.5.7)</w:t>
      </w:r>
    </w:p>
    <w:p w:rsidR="00AD54A3" w:rsidRPr="00984EF1" w:rsidRDefault="00AD54A3" w:rsidP="00AD54A3">
      <w:pPr>
        <w:ind w:left="567"/>
        <w:rPr>
          <w:rFonts w:ascii="Calibri" w:hAnsi="Calibri" w:cs="Calibri"/>
        </w:rPr>
      </w:pPr>
    </w:p>
    <w:p w:rsidR="00AD54A3" w:rsidRPr="00984EF1" w:rsidRDefault="00AD54A3" w:rsidP="00AD54A3">
      <w:pPr>
        <w:rPr>
          <w:rFonts w:ascii="Calibri" w:hAnsi="Calibri" w:cs="Calibri"/>
        </w:rPr>
      </w:pPr>
      <w:r w:rsidRPr="00984EF1">
        <w:rPr>
          <w:rFonts w:ascii="Calibri" w:hAnsi="Calibri" w:cs="Calibri"/>
          <w:b/>
        </w:rPr>
        <w:t>5.</w:t>
      </w:r>
      <w:r w:rsidR="00B46C53">
        <w:rPr>
          <w:rFonts w:ascii="Calibri" w:hAnsi="Calibri" w:cs="Calibri"/>
          <w:b/>
        </w:rPr>
        <w:t>5</w:t>
      </w:r>
      <w:r w:rsidRPr="00984EF1">
        <w:rPr>
          <w:rFonts w:ascii="Calibri" w:hAnsi="Calibri" w:cs="Calibri"/>
          <w:b/>
        </w:rPr>
        <w:t>.</w:t>
      </w:r>
      <w:r w:rsidRPr="00984EF1">
        <w:rPr>
          <w:rFonts w:ascii="Calibri" w:hAnsi="Calibri" w:cs="Calibri"/>
        </w:rPr>
        <w:t xml:space="preserve"> Warunki przystąpienia do robót i przygotowanie podłoża</w:t>
      </w:r>
    </w:p>
    <w:p w:rsidR="00AD54A3" w:rsidRPr="00984EF1" w:rsidRDefault="00AD54A3" w:rsidP="00AD54A3">
      <w:pPr>
        <w:rPr>
          <w:rFonts w:ascii="Calibri" w:hAnsi="Calibri" w:cs="Calibri"/>
        </w:rPr>
      </w:pPr>
      <w:r w:rsidRPr="00984EF1">
        <w:rPr>
          <w:rFonts w:ascii="Calibri" w:hAnsi="Calibri" w:cs="Calibri"/>
        </w:rPr>
        <w:tab/>
        <w:t>Podbudowa lub podłoże ulepszone z mieszanek związanych cementem nie powinny być wykonywane, gdy temperatura powietrza jest niższa od +5</w:t>
      </w:r>
      <w:r w:rsidRPr="00984EF1">
        <w:rPr>
          <w:rFonts w:ascii="Calibri" w:hAnsi="Calibri" w:cs="Calibri"/>
          <w:vertAlign w:val="superscript"/>
        </w:rPr>
        <w:t>o</w:t>
      </w:r>
      <w:r w:rsidRPr="00984EF1">
        <w:rPr>
          <w:rFonts w:ascii="Calibri" w:hAnsi="Calibri" w:cs="Calibri"/>
        </w:rPr>
        <w:t>C oraz gdy podłoże jest zamarznięte.</w:t>
      </w:r>
    </w:p>
    <w:p w:rsidR="00AD54A3" w:rsidRPr="00984EF1" w:rsidRDefault="00AD54A3" w:rsidP="00AD54A3">
      <w:pPr>
        <w:rPr>
          <w:rFonts w:ascii="Calibri" w:hAnsi="Calibri" w:cs="Calibri"/>
        </w:rPr>
      </w:pPr>
      <w:r w:rsidRPr="00984EF1">
        <w:rPr>
          <w:rFonts w:ascii="Calibri" w:hAnsi="Calibri" w:cs="Calibri"/>
        </w:rPr>
        <w:tab/>
        <w:t>Podłoże pod mieszankę powinno być przygotowane zgodnie z wymaganiami określonymi w dokumentacji projektowej i ST. Zaleca się do korzystania z ustaleń podanych w ST D-04.01.01 „Koryto wraz z profilowaniem i zagęszczeniem podłoża” i ST D-02.00.00 „Roboty ziemne”.</w:t>
      </w:r>
    </w:p>
    <w:p w:rsidR="00AD54A3" w:rsidRPr="00984EF1" w:rsidRDefault="00AD54A3" w:rsidP="00AD54A3">
      <w:pPr>
        <w:rPr>
          <w:rFonts w:ascii="Calibri" w:hAnsi="Calibri" w:cs="Calibri"/>
        </w:rPr>
      </w:pPr>
      <w:r w:rsidRPr="00984EF1">
        <w:rPr>
          <w:rFonts w:ascii="Calibri" w:hAnsi="Calibri" w:cs="Calibri"/>
        </w:rPr>
        <w:tab/>
        <w:t>Jeśli warstwa mieszanki kruszywa ma być układana w prowadnicach, to należy je ustawić na podłożu tak aby wyznaczały ściśle linie krawędzi układanej warstwy według dokumentacji projektowej. Wysokość prowadnic powinna odpowiadać grubości warstwy mieszanki kruszywa w stanie niezagęszczonym. Prowadnice powinny być ustawione stabilnie, w sposób wykluczający ich przesuwanie się pod wpływem oddziaływania maszyn użytych do wykonania warstwy. Od użycia prowadnic można odstąpić przy zastosowaniu technologii gwarantującej odpowiednią równość warstwy, po uzyskaniu zgody Inżyniera.</w:t>
      </w:r>
    </w:p>
    <w:p w:rsidR="00AD54A3" w:rsidRPr="00984EF1" w:rsidRDefault="00B46C53" w:rsidP="00AD54A3">
      <w:pPr>
        <w:rPr>
          <w:rFonts w:ascii="Calibri" w:hAnsi="Calibri" w:cs="Calibri"/>
        </w:rPr>
      </w:pPr>
      <w:r>
        <w:rPr>
          <w:rFonts w:ascii="Calibri" w:hAnsi="Calibri" w:cs="Calibri"/>
          <w:b/>
        </w:rPr>
        <w:lastRenderedPageBreak/>
        <w:t>5.6</w:t>
      </w:r>
      <w:r w:rsidR="00AD54A3" w:rsidRPr="00984EF1">
        <w:rPr>
          <w:rFonts w:ascii="Calibri" w:hAnsi="Calibri" w:cs="Calibri"/>
          <w:b/>
        </w:rPr>
        <w:t>.</w:t>
      </w:r>
      <w:r w:rsidR="00AD54A3" w:rsidRPr="00984EF1">
        <w:rPr>
          <w:rFonts w:ascii="Calibri" w:hAnsi="Calibri" w:cs="Calibri"/>
        </w:rPr>
        <w:t xml:space="preserve"> Wytwarzanie i wbudowanie mieszanki</w:t>
      </w:r>
    </w:p>
    <w:p w:rsidR="00AD54A3" w:rsidRPr="00984EF1" w:rsidRDefault="00AD54A3" w:rsidP="00AD54A3">
      <w:pPr>
        <w:rPr>
          <w:rFonts w:ascii="Calibri" w:hAnsi="Calibri" w:cs="Calibri"/>
        </w:rPr>
      </w:pPr>
      <w:r w:rsidRPr="00984EF1">
        <w:rPr>
          <w:rFonts w:ascii="Calibri" w:hAnsi="Calibri" w:cs="Calibri"/>
        </w:rPr>
        <w:tab/>
        <w:t>Mieszankę kruszywa związanego cementem o ściśle określonym składzie zawartym w recepcie laboratoryjnej należy wytwarzać w  wytwórniach (mieszarkach) stacjonarnych lub mobilnych zapewniających ciągłość produkcji i gwarantujących otrzymanie jednorodnej mieszanki. Mieszarka powinna być wyposażona w urządzenia do wagowego dozowania kruszywa i cementu oraz objętościowego dozowania wody.</w:t>
      </w:r>
    </w:p>
    <w:p w:rsidR="00AD54A3" w:rsidRPr="00984EF1" w:rsidRDefault="00AD54A3" w:rsidP="00AD54A3">
      <w:pPr>
        <w:rPr>
          <w:rFonts w:ascii="Calibri" w:hAnsi="Calibri" w:cs="Calibri"/>
        </w:rPr>
      </w:pPr>
      <w:r w:rsidRPr="00984EF1">
        <w:rPr>
          <w:rFonts w:ascii="Calibri" w:hAnsi="Calibri" w:cs="Calibri"/>
        </w:rPr>
        <w:tab/>
        <w:t>Przy produkcji mieszanek należy prowadzić kontrolę produkcji zgodnie z WT-5 część 5.</w:t>
      </w:r>
    </w:p>
    <w:p w:rsidR="00AD54A3" w:rsidRPr="00984EF1" w:rsidRDefault="00AD54A3" w:rsidP="00AD54A3">
      <w:pPr>
        <w:rPr>
          <w:rFonts w:ascii="Calibri" w:hAnsi="Calibri" w:cs="Calibri"/>
        </w:rPr>
      </w:pPr>
      <w:r w:rsidRPr="00984EF1">
        <w:rPr>
          <w:rFonts w:ascii="Calibri" w:hAnsi="Calibri" w:cs="Calibri"/>
        </w:rPr>
        <w:tab/>
        <w:t>Mieszanka po wyprodukowaniu powinna być od razu transportowana na miejsce wbudowania, w sposób zabezpieczony przed segregacją i nadmiernym wysychaniem.</w:t>
      </w:r>
    </w:p>
    <w:p w:rsidR="00AD54A3" w:rsidRPr="00984EF1" w:rsidRDefault="00AD54A3" w:rsidP="00AD54A3">
      <w:pPr>
        <w:rPr>
          <w:rFonts w:ascii="Calibri" w:hAnsi="Calibri" w:cs="Calibri"/>
        </w:rPr>
      </w:pPr>
      <w:r w:rsidRPr="00984EF1">
        <w:rPr>
          <w:rFonts w:ascii="Calibri" w:hAnsi="Calibri" w:cs="Calibri"/>
        </w:rPr>
        <w:tab/>
        <w:t xml:space="preserve">Mieszanka dowieziona z wytwórni powinna być układana przy pomocy układarek lub równiarek. Grubość układania mieszanki powinna zapewniać uzyskanie wymaganej grubości warstwy po zagęszczeniu. Warstwę można wykonać o grubości np. </w:t>
      </w:r>
      <w:smartTag w:uri="urn:schemas-microsoft-com:office:smarttags" w:element="metricconverter">
        <w:smartTagPr>
          <w:attr w:name="ProductID" w:val="20 cm"/>
        </w:smartTagPr>
        <w:r w:rsidRPr="00984EF1">
          <w:rPr>
            <w:rFonts w:ascii="Calibri" w:hAnsi="Calibri" w:cs="Calibri"/>
          </w:rPr>
          <w:t>20 cm</w:t>
        </w:r>
      </w:smartTag>
      <w:r w:rsidRPr="00984EF1">
        <w:rPr>
          <w:rFonts w:ascii="Calibri" w:hAnsi="Calibri" w:cs="Calibri"/>
        </w:rPr>
        <w:t xml:space="preserve"> po zagęszczeniu. Gdy wymagana jest większa grubość, to do układania drugiej warstwy można przystąpić po odbiorze pierwszej warstwy przez Inżyniera. Przy układaniu mieszanki za pomocą równiarek konieczne jest stosowanie prowadnic.</w:t>
      </w:r>
    </w:p>
    <w:p w:rsidR="00AD54A3" w:rsidRPr="00984EF1" w:rsidRDefault="00AD54A3" w:rsidP="00AD54A3">
      <w:pPr>
        <w:rPr>
          <w:rFonts w:ascii="Calibri" w:hAnsi="Calibri" w:cs="Calibri"/>
        </w:rPr>
      </w:pPr>
      <w:r w:rsidRPr="00984EF1">
        <w:rPr>
          <w:rFonts w:ascii="Calibri" w:hAnsi="Calibri" w:cs="Calibri"/>
        </w:rPr>
        <w:tab/>
        <w:t xml:space="preserve">Przed zagęszczeniem warstwa powinna być wyprofilowana do wymaganych rzędnych, spadków podłużnych i poprzecznych. Natychmiast po wyprofilowaniu mieszanki należy rozpocząć jej zagęszczanie, które należy kontynuować do osiągnięcia wskaźnika zagęszczenia nie mniejszego od 0,98 maksymalnego zagęszczenia określonego według normalnej próby Proctora. Zagęszczenie powinno być zakończone przed rozpoczęciem czasu wiązania cementu. Specjalną uwagę należy poświęcić zagęszczeniu mieszanki w sąsiedztwie spoin roboczych podłużnych i poprzecznych oraz wszelkich urządzeń obcych. Zaleca się aby Wykonawca organizował roboty w sposób unikający podłużnych spoin roboczych.  Jeśli jednak w dolnej warstwie podbudowy występują spoiny robocze, to spoiny w górnej warstwie podbudowy powinny być względem nich przesunięte o co najmniej </w:t>
      </w:r>
      <w:smartTag w:uri="urn:schemas-microsoft-com:office:smarttags" w:element="metricconverter">
        <w:smartTagPr>
          <w:attr w:name="ProductID" w:val="30 cm"/>
        </w:smartTagPr>
        <w:r w:rsidRPr="00984EF1">
          <w:rPr>
            <w:rFonts w:ascii="Calibri" w:hAnsi="Calibri" w:cs="Calibri"/>
          </w:rPr>
          <w:t>30 cm</w:t>
        </w:r>
      </w:smartTag>
      <w:r w:rsidRPr="00984EF1">
        <w:rPr>
          <w:rFonts w:ascii="Calibri" w:hAnsi="Calibri" w:cs="Calibri"/>
        </w:rPr>
        <w:t xml:space="preserve"> dla spoiny podłużnej i </w:t>
      </w:r>
      <w:smartTag w:uri="urn:schemas-microsoft-com:office:smarttags" w:element="metricconverter">
        <w:smartTagPr>
          <w:attr w:name="ProductID" w:val="1 m"/>
        </w:smartTagPr>
        <w:r w:rsidRPr="00984EF1">
          <w:rPr>
            <w:rFonts w:ascii="Calibri" w:hAnsi="Calibri" w:cs="Calibri"/>
          </w:rPr>
          <w:t>1 m</w:t>
        </w:r>
      </w:smartTag>
      <w:r w:rsidRPr="00984EF1">
        <w:rPr>
          <w:rFonts w:ascii="Calibri" w:hAnsi="Calibri" w:cs="Calibri"/>
        </w:rPr>
        <w:t xml:space="preserve"> dla spoiny poprzecznej.</w:t>
      </w:r>
    </w:p>
    <w:p w:rsidR="00AD54A3" w:rsidRPr="00984EF1" w:rsidRDefault="00AD54A3" w:rsidP="00AD54A3">
      <w:pPr>
        <w:rPr>
          <w:rFonts w:ascii="Calibri" w:hAnsi="Calibri" w:cs="Calibri"/>
        </w:rPr>
      </w:pPr>
      <w:r w:rsidRPr="00984EF1">
        <w:rPr>
          <w:rFonts w:ascii="Calibri" w:hAnsi="Calibri" w:cs="Calibri"/>
        </w:rPr>
        <w:tab/>
        <w:t>Jeśli dokumentacja projektowa przewiduje wykonanie szczelin pozornych w podbudowie, to zaleca się je wykonać przez wycięcie szczelin np. grubości 3÷5 mm na głębokość około 1/3 jej grubości w początkowej fazie twardnienia betonu, tak aby powierzchnia podbudowy była podzielona na kwadratowe lub prostokątne płyty.</w:t>
      </w:r>
    </w:p>
    <w:p w:rsidR="00AD54A3" w:rsidRPr="00984EF1" w:rsidRDefault="00AD54A3" w:rsidP="00AD54A3">
      <w:pPr>
        <w:rPr>
          <w:rFonts w:ascii="Calibri" w:hAnsi="Calibri" w:cs="Calibri"/>
        </w:rPr>
      </w:pPr>
      <w:r w:rsidRPr="00984EF1">
        <w:rPr>
          <w:rFonts w:ascii="Calibri" w:hAnsi="Calibri" w:cs="Calibri"/>
        </w:rPr>
        <w:tab/>
        <w:t>Dla warstwy podbudowy zasadniczej z mieszanki o wytrzymałości na ściskanie Rc powyżej 10 MPa należy stosować dylatowanie poprzeczne i podłużne według ustaleń dokumentacji projektowej.</w:t>
      </w:r>
    </w:p>
    <w:p w:rsidR="00AD54A3" w:rsidRPr="00984EF1" w:rsidRDefault="00AD54A3" w:rsidP="00AD54A3">
      <w:pPr>
        <w:rPr>
          <w:rFonts w:ascii="Calibri" w:hAnsi="Calibri" w:cs="Calibri"/>
        </w:rPr>
      </w:pPr>
      <w:r w:rsidRPr="00984EF1">
        <w:rPr>
          <w:rFonts w:ascii="Calibri" w:hAnsi="Calibri" w:cs="Calibri"/>
        </w:rPr>
        <w:tab/>
        <w:t>Dla warstwy podbudowy zasadniczej z mieszanki o wytrzymałości Rc przekraczającej 5 do 10 MPa należy stosować technologie przeciwspękaniowe według ustaleń dokumentacji projektowej, z zastosowaniem geosyntetyków lub membran, odpowiadających wymaganiom norm lub europejskich i krajowych aprobat technicznych.</w:t>
      </w:r>
    </w:p>
    <w:p w:rsidR="00AD54A3" w:rsidRPr="00984EF1" w:rsidRDefault="00B46C53" w:rsidP="00AD54A3">
      <w:pPr>
        <w:rPr>
          <w:rFonts w:ascii="Calibri" w:hAnsi="Calibri" w:cs="Calibri"/>
        </w:rPr>
      </w:pPr>
      <w:r>
        <w:rPr>
          <w:rFonts w:ascii="Calibri" w:hAnsi="Calibri" w:cs="Calibri"/>
          <w:b/>
        </w:rPr>
        <w:t>5.7</w:t>
      </w:r>
      <w:r w:rsidR="00AD54A3" w:rsidRPr="00984EF1">
        <w:rPr>
          <w:rFonts w:ascii="Calibri" w:hAnsi="Calibri" w:cs="Calibri"/>
          <w:b/>
        </w:rPr>
        <w:t>.</w:t>
      </w:r>
      <w:r w:rsidR="00AD54A3" w:rsidRPr="00984EF1">
        <w:rPr>
          <w:rFonts w:ascii="Calibri" w:hAnsi="Calibri" w:cs="Calibri"/>
        </w:rPr>
        <w:t xml:space="preserve"> Pielęgnacja warstwy kruszywa związanego cementem</w:t>
      </w:r>
    </w:p>
    <w:p w:rsidR="00AD54A3" w:rsidRPr="00984EF1" w:rsidRDefault="00AD54A3" w:rsidP="00AD54A3">
      <w:pPr>
        <w:rPr>
          <w:rFonts w:ascii="Calibri" w:hAnsi="Calibri" w:cs="Calibri"/>
        </w:rPr>
      </w:pPr>
      <w:r w:rsidRPr="00984EF1">
        <w:rPr>
          <w:rFonts w:ascii="Calibri" w:hAnsi="Calibri" w:cs="Calibri"/>
        </w:rPr>
        <w:tab/>
        <w:t>Warstwa kruszywa związanego cementem powinna być natychmiast po zagęszczeniu poddana pielęgnacji według jednego z następujących sposobów:</w:t>
      </w:r>
    </w:p>
    <w:p w:rsidR="00AD54A3" w:rsidRPr="00984EF1" w:rsidRDefault="00AD54A3" w:rsidP="00AD54A3">
      <w:pPr>
        <w:rPr>
          <w:rFonts w:ascii="Calibri" w:hAnsi="Calibri" w:cs="Calibri"/>
        </w:rPr>
      </w:pPr>
      <w:r>
        <w:rPr>
          <w:rFonts w:ascii="Calibri" w:hAnsi="Calibri" w:cs="Calibri"/>
        </w:rPr>
        <w:t>-</w:t>
      </w:r>
      <w:r w:rsidRPr="00984EF1">
        <w:rPr>
          <w:rFonts w:ascii="Calibri" w:hAnsi="Calibri" w:cs="Calibri"/>
        </w:rPr>
        <w:t>skropieniem preparatem pielęgnacyjnym, posiadającym aprobatę techniczną,</w:t>
      </w:r>
    </w:p>
    <w:p w:rsidR="00AD54A3" w:rsidRPr="00984EF1" w:rsidRDefault="00AD54A3" w:rsidP="00AD54A3">
      <w:pPr>
        <w:rPr>
          <w:rFonts w:ascii="Calibri" w:hAnsi="Calibri" w:cs="Calibri"/>
        </w:rPr>
      </w:pPr>
      <w:r>
        <w:rPr>
          <w:rFonts w:ascii="Calibri" w:hAnsi="Calibri" w:cs="Calibri"/>
        </w:rPr>
        <w:t>-</w:t>
      </w:r>
      <w:r w:rsidRPr="00984EF1">
        <w:rPr>
          <w:rFonts w:ascii="Calibri" w:hAnsi="Calibri" w:cs="Calibri"/>
        </w:rPr>
        <w:t xml:space="preserve">przykryciem na okres 7 do 10 dni nieprzepuszczalną folią z tworzywa sztucznego, ułożoną na zakład co najmniej </w:t>
      </w:r>
      <w:smartTag w:uri="urn:schemas-microsoft-com:office:smarttags" w:element="metricconverter">
        <w:smartTagPr>
          <w:attr w:name="ProductID" w:val="30 cm"/>
        </w:smartTagPr>
        <w:r w:rsidRPr="00984EF1">
          <w:rPr>
            <w:rFonts w:ascii="Calibri" w:hAnsi="Calibri" w:cs="Calibri"/>
          </w:rPr>
          <w:t>30 cm</w:t>
        </w:r>
      </w:smartTag>
      <w:r w:rsidRPr="00984EF1">
        <w:rPr>
          <w:rFonts w:ascii="Calibri" w:hAnsi="Calibri" w:cs="Calibri"/>
        </w:rPr>
        <w:t xml:space="preserve"> i zabezpieczoną przed zerwaniem przez wiatr,</w:t>
      </w:r>
    </w:p>
    <w:p w:rsidR="00AD54A3" w:rsidRPr="00984EF1" w:rsidRDefault="00AD54A3" w:rsidP="00AD54A3">
      <w:pPr>
        <w:rPr>
          <w:rFonts w:ascii="Calibri" w:hAnsi="Calibri" w:cs="Calibri"/>
        </w:rPr>
      </w:pPr>
      <w:r>
        <w:rPr>
          <w:rFonts w:ascii="Calibri" w:hAnsi="Calibri" w:cs="Calibri"/>
        </w:rPr>
        <w:t>-</w:t>
      </w:r>
      <w:r w:rsidRPr="00984EF1">
        <w:rPr>
          <w:rFonts w:ascii="Calibri" w:hAnsi="Calibri" w:cs="Calibri"/>
        </w:rPr>
        <w:t>przykryciem matami lub włókninami i spryskanie wodą przez okres 7÷10 dni,</w:t>
      </w:r>
    </w:p>
    <w:p w:rsidR="00AD54A3" w:rsidRPr="00984EF1" w:rsidRDefault="00AD54A3" w:rsidP="00AD54A3">
      <w:pPr>
        <w:rPr>
          <w:rFonts w:ascii="Calibri" w:hAnsi="Calibri" w:cs="Calibri"/>
        </w:rPr>
      </w:pPr>
      <w:r>
        <w:rPr>
          <w:rFonts w:ascii="Calibri" w:hAnsi="Calibri" w:cs="Calibri"/>
        </w:rPr>
        <w:t>-</w:t>
      </w:r>
      <w:r w:rsidRPr="00984EF1">
        <w:rPr>
          <w:rFonts w:ascii="Calibri" w:hAnsi="Calibri" w:cs="Calibri"/>
        </w:rPr>
        <w:t>przykryciem warstwą piasku i utrzymanie jej w stanie wilgotnym przez okres 7÷10 dni,</w:t>
      </w:r>
    </w:p>
    <w:p w:rsidR="00AD54A3" w:rsidRPr="00984EF1" w:rsidRDefault="00AD54A3" w:rsidP="00AD54A3">
      <w:pPr>
        <w:rPr>
          <w:rFonts w:ascii="Calibri" w:hAnsi="Calibri" w:cs="Calibri"/>
        </w:rPr>
      </w:pPr>
      <w:r>
        <w:rPr>
          <w:rFonts w:ascii="Calibri" w:hAnsi="Calibri" w:cs="Calibri"/>
        </w:rPr>
        <w:t>-</w:t>
      </w:r>
      <w:r w:rsidRPr="00984EF1">
        <w:rPr>
          <w:rFonts w:ascii="Calibri" w:hAnsi="Calibri" w:cs="Calibri"/>
        </w:rPr>
        <w:t>innymi środkami zaakceptowanymi przez Inżyniera.</w:t>
      </w:r>
    </w:p>
    <w:p w:rsidR="00AD54A3" w:rsidRPr="00984EF1" w:rsidRDefault="00AD54A3" w:rsidP="00AD54A3">
      <w:pPr>
        <w:rPr>
          <w:rFonts w:ascii="Calibri" w:hAnsi="Calibri" w:cs="Calibri"/>
        </w:rPr>
      </w:pPr>
      <w:r w:rsidRPr="00984EF1">
        <w:rPr>
          <w:rFonts w:ascii="Calibri" w:hAnsi="Calibri" w:cs="Calibri"/>
        </w:rPr>
        <w:t>Nie należy dopuszczać ruchu pojazdów i maszyn po warstwie kruszywa związanej cementem w okresie od 7 do 10 dni pielęgnacji, a po tym okresie ruch technologiczny może odbywać się wyłącznie za zgodą Inżyniera.</w:t>
      </w:r>
    </w:p>
    <w:p w:rsidR="00AD54A3" w:rsidRPr="00984EF1" w:rsidRDefault="00B46C53" w:rsidP="00AD54A3">
      <w:pPr>
        <w:rPr>
          <w:rFonts w:ascii="Calibri" w:hAnsi="Calibri" w:cs="Calibri"/>
        </w:rPr>
      </w:pPr>
      <w:r>
        <w:rPr>
          <w:rFonts w:ascii="Calibri" w:hAnsi="Calibri" w:cs="Calibri"/>
          <w:b/>
        </w:rPr>
        <w:t>5.8</w:t>
      </w:r>
      <w:r w:rsidR="00AD54A3" w:rsidRPr="00984EF1">
        <w:rPr>
          <w:rFonts w:ascii="Calibri" w:hAnsi="Calibri" w:cs="Calibri"/>
          <w:b/>
        </w:rPr>
        <w:t>.</w:t>
      </w:r>
      <w:r w:rsidR="00AD54A3" w:rsidRPr="00984EF1">
        <w:rPr>
          <w:rFonts w:ascii="Calibri" w:hAnsi="Calibri" w:cs="Calibri"/>
        </w:rPr>
        <w:t xml:space="preserve"> Roboty wykończeniowe</w:t>
      </w:r>
    </w:p>
    <w:p w:rsidR="00AD54A3" w:rsidRPr="00984EF1" w:rsidRDefault="00AD54A3" w:rsidP="00AD54A3">
      <w:pPr>
        <w:rPr>
          <w:rFonts w:ascii="Calibri" w:hAnsi="Calibri" w:cs="Calibri"/>
        </w:rPr>
      </w:pPr>
      <w:r w:rsidRPr="00984EF1">
        <w:rPr>
          <w:rFonts w:ascii="Calibri" w:hAnsi="Calibri" w:cs="Calibri"/>
        </w:rPr>
        <w:t>Roboty wykończeniowe, zgodne z dokumentacją projektową, ST i wskazaniami Inżyniera dotyczą prac związanych z dostosowaniem wykonanych  robót do istniejących warunków terenowych, takie jak:</w:t>
      </w:r>
    </w:p>
    <w:p w:rsidR="00AD54A3" w:rsidRPr="00984EF1" w:rsidRDefault="00AD54A3" w:rsidP="00AD54A3">
      <w:pPr>
        <w:rPr>
          <w:rFonts w:ascii="Calibri" w:hAnsi="Calibri" w:cs="Calibri"/>
        </w:rPr>
      </w:pPr>
      <w:r>
        <w:rPr>
          <w:rFonts w:ascii="Calibri" w:hAnsi="Calibri" w:cs="Calibri"/>
        </w:rPr>
        <w:t>-</w:t>
      </w:r>
      <w:r w:rsidRPr="00984EF1">
        <w:rPr>
          <w:rFonts w:ascii="Calibri" w:hAnsi="Calibri" w:cs="Calibri"/>
        </w:rPr>
        <w:t>odtworzenie przeszkód czasowo usuniętych,</w:t>
      </w:r>
    </w:p>
    <w:p w:rsidR="00AD54A3" w:rsidRPr="00984EF1" w:rsidRDefault="00AD54A3" w:rsidP="00AD54A3">
      <w:pPr>
        <w:rPr>
          <w:rFonts w:ascii="Calibri" w:hAnsi="Calibri" w:cs="Calibri"/>
        </w:rPr>
      </w:pPr>
      <w:r>
        <w:rPr>
          <w:rFonts w:ascii="Calibri" w:hAnsi="Calibri" w:cs="Calibri"/>
        </w:rPr>
        <w:t>-</w:t>
      </w:r>
      <w:r w:rsidRPr="00984EF1">
        <w:rPr>
          <w:rFonts w:ascii="Calibri" w:hAnsi="Calibri" w:cs="Calibri"/>
        </w:rPr>
        <w:t>uzupełnienie zniszczonych w czasie robót istniejących elementów drogowych lub terenowych,</w:t>
      </w:r>
    </w:p>
    <w:p w:rsidR="00AD54A3" w:rsidRPr="00984EF1" w:rsidRDefault="00AD54A3" w:rsidP="00AD54A3">
      <w:pPr>
        <w:rPr>
          <w:rFonts w:ascii="Calibri" w:hAnsi="Calibri" w:cs="Calibri"/>
        </w:rPr>
      </w:pPr>
      <w:r>
        <w:rPr>
          <w:rFonts w:ascii="Calibri" w:hAnsi="Calibri" w:cs="Calibri"/>
        </w:rPr>
        <w:t>-</w:t>
      </w:r>
      <w:r w:rsidRPr="00984EF1">
        <w:rPr>
          <w:rFonts w:ascii="Calibri" w:hAnsi="Calibri" w:cs="Calibri"/>
        </w:rPr>
        <w:t>roboty porządkujące otoczenie terenu robót,</w:t>
      </w:r>
    </w:p>
    <w:p w:rsidR="00AD54A3" w:rsidRPr="00984EF1" w:rsidRDefault="00AD54A3" w:rsidP="00AD54A3">
      <w:pPr>
        <w:rPr>
          <w:rFonts w:ascii="Calibri" w:hAnsi="Calibri" w:cs="Calibri"/>
        </w:rPr>
      </w:pPr>
      <w:r>
        <w:rPr>
          <w:rFonts w:ascii="Calibri" w:hAnsi="Calibri" w:cs="Calibri"/>
        </w:rPr>
        <w:t>-</w:t>
      </w:r>
      <w:r w:rsidRPr="00984EF1">
        <w:rPr>
          <w:rFonts w:ascii="Calibri" w:hAnsi="Calibri" w:cs="Calibri"/>
        </w:rPr>
        <w:t>usunięcie oznakowania drogi wprowadzonego na okres robót.</w:t>
      </w:r>
    </w:p>
    <w:p w:rsidR="00AD54A3" w:rsidRPr="00984EF1" w:rsidRDefault="00AD54A3" w:rsidP="00AD54A3">
      <w:pPr>
        <w:rPr>
          <w:rFonts w:ascii="Calibri" w:hAnsi="Calibri" w:cs="Calibri"/>
        </w:rPr>
      </w:pPr>
    </w:p>
    <w:p w:rsidR="00AD54A3" w:rsidRPr="00984EF1" w:rsidRDefault="00AD54A3" w:rsidP="00AD54A3">
      <w:pPr>
        <w:rPr>
          <w:rFonts w:ascii="Calibri" w:hAnsi="Calibri" w:cs="Calibri"/>
          <w:b/>
        </w:rPr>
      </w:pPr>
      <w:bookmarkStart w:id="1407" w:name="_Toc332010316"/>
      <w:r w:rsidRPr="00984EF1">
        <w:rPr>
          <w:rFonts w:ascii="Calibri" w:hAnsi="Calibri" w:cs="Calibri"/>
          <w:b/>
        </w:rPr>
        <w:t>6. KONTROLA JAKOŚCI ROBÓT</w:t>
      </w:r>
      <w:bookmarkEnd w:id="1407"/>
    </w:p>
    <w:p w:rsidR="00AD54A3" w:rsidRPr="00984EF1" w:rsidRDefault="00AD54A3" w:rsidP="00AD54A3">
      <w:pPr>
        <w:rPr>
          <w:rFonts w:ascii="Calibri" w:hAnsi="Calibri" w:cs="Calibri"/>
        </w:rPr>
      </w:pPr>
      <w:r w:rsidRPr="00984EF1">
        <w:rPr>
          <w:rFonts w:ascii="Calibri" w:hAnsi="Calibri" w:cs="Calibri"/>
          <w:b/>
        </w:rPr>
        <w:t>6.1.</w:t>
      </w:r>
      <w:r w:rsidRPr="00984EF1">
        <w:rPr>
          <w:rFonts w:ascii="Calibri" w:hAnsi="Calibri" w:cs="Calibri"/>
        </w:rPr>
        <w:t xml:space="preserve"> Ogólne zasady kontroli jakości robót</w:t>
      </w:r>
    </w:p>
    <w:p w:rsidR="00AD54A3" w:rsidRPr="00984EF1" w:rsidRDefault="00AD54A3" w:rsidP="00AD54A3">
      <w:pPr>
        <w:rPr>
          <w:rFonts w:ascii="Calibri" w:hAnsi="Calibri" w:cs="Calibri"/>
        </w:rPr>
      </w:pPr>
      <w:r w:rsidRPr="00984EF1">
        <w:rPr>
          <w:rFonts w:ascii="Calibri" w:hAnsi="Calibri" w:cs="Calibri"/>
        </w:rPr>
        <w:tab/>
        <w:t>Ogólne zasady kontroli jakości robót podano w ST  D-M-00.00.00 „Wymagania ogólne” pkt 6.</w:t>
      </w:r>
    </w:p>
    <w:p w:rsidR="00B46C53" w:rsidRDefault="00B46C53" w:rsidP="00AD54A3">
      <w:pPr>
        <w:rPr>
          <w:rFonts w:ascii="Calibri" w:hAnsi="Calibri" w:cs="Calibri"/>
          <w:b/>
        </w:rPr>
      </w:pPr>
    </w:p>
    <w:p w:rsidR="00AD54A3" w:rsidRPr="00984EF1" w:rsidRDefault="00AD54A3" w:rsidP="00AD54A3">
      <w:pPr>
        <w:rPr>
          <w:rFonts w:ascii="Calibri" w:hAnsi="Calibri" w:cs="Calibri"/>
        </w:rPr>
      </w:pPr>
      <w:r w:rsidRPr="00984EF1">
        <w:rPr>
          <w:rFonts w:ascii="Calibri" w:hAnsi="Calibri" w:cs="Calibri"/>
          <w:b/>
        </w:rPr>
        <w:t>6.2.</w:t>
      </w:r>
      <w:r w:rsidRPr="00984EF1">
        <w:rPr>
          <w:rFonts w:ascii="Calibri" w:hAnsi="Calibri" w:cs="Calibri"/>
        </w:rPr>
        <w:t xml:space="preserve"> Badania przed przystąpieniem do robót</w:t>
      </w:r>
    </w:p>
    <w:p w:rsidR="00AD54A3" w:rsidRPr="00984EF1" w:rsidRDefault="00AD54A3" w:rsidP="00AD54A3">
      <w:pPr>
        <w:rPr>
          <w:rFonts w:ascii="Calibri" w:hAnsi="Calibri" w:cs="Calibri"/>
        </w:rPr>
      </w:pPr>
      <w:r w:rsidRPr="00984EF1">
        <w:rPr>
          <w:rFonts w:ascii="Calibri" w:hAnsi="Calibri" w:cs="Calibri"/>
        </w:rPr>
        <w:tab/>
        <w:t>Przed przystąpieniem do robót Wykonawca powinien:</w:t>
      </w:r>
    </w:p>
    <w:p w:rsidR="00AD54A3" w:rsidRPr="00984EF1" w:rsidRDefault="00AD54A3" w:rsidP="00AD54A3">
      <w:pPr>
        <w:rPr>
          <w:rFonts w:ascii="Calibri" w:hAnsi="Calibri" w:cs="Calibri"/>
        </w:rPr>
      </w:pPr>
      <w:r>
        <w:rPr>
          <w:rFonts w:ascii="Calibri" w:hAnsi="Calibri" w:cs="Calibri"/>
        </w:rPr>
        <w:lastRenderedPageBreak/>
        <w:t>-</w:t>
      </w:r>
      <w:r w:rsidRPr="00984EF1">
        <w:rPr>
          <w:rFonts w:ascii="Calibri" w:hAnsi="Calibri" w:cs="Calibri"/>
        </w:rPr>
        <w:t>uzyskać wymagane dokumenty, dopuszczające wyroby budowlane do obrotu i powszechnego stosowania (np. stwierdzenie o oznakowaniu materiału znakiem CE lub znakiem budowlanym B, certyfikat zgodności, deklarację zgodności, aprobatę techniczną, ew. badania materiałów wykonane przez dostawców itp.),</w:t>
      </w:r>
    </w:p>
    <w:p w:rsidR="00AD54A3" w:rsidRPr="00984EF1" w:rsidRDefault="00AD54A3" w:rsidP="00AD54A3">
      <w:pPr>
        <w:rPr>
          <w:rFonts w:ascii="Calibri" w:hAnsi="Calibri" w:cs="Calibri"/>
        </w:rPr>
      </w:pPr>
      <w:r>
        <w:rPr>
          <w:rFonts w:ascii="Calibri" w:hAnsi="Calibri" w:cs="Calibri"/>
        </w:rPr>
        <w:t>-</w:t>
      </w:r>
      <w:r w:rsidRPr="00984EF1">
        <w:rPr>
          <w:rFonts w:ascii="Calibri" w:hAnsi="Calibri" w:cs="Calibri"/>
        </w:rPr>
        <w:t>ew. wykonać własne badania właściwości materiałów przeznaczonych do wykonania robót, określone przez Inżyniera.</w:t>
      </w:r>
    </w:p>
    <w:p w:rsidR="00AD54A3" w:rsidRPr="00984EF1" w:rsidRDefault="00AD54A3" w:rsidP="00AD54A3">
      <w:pPr>
        <w:rPr>
          <w:rFonts w:ascii="Calibri" w:hAnsi="Calibri" w:cs="Calibri"/>
        </w:rPr>
      </w:pPr>
      <w:r w:rsidRPr="00984EF1">
        <w:rPr>
          <w:rFonts w:ascii="Calibri" w:hAnsi="Calibri" w:cs="Calibri"/>
        </w:rPr>
        <w:tab/>
        <w:t>Wszystkie dokumenty oraz wyniki badań Wykonawca przedstawia Inżynierowi do akceptacji.</w:t>
      </w:r>
    </w:p>
    <w:p w:rsidR="00AD54A3" w:rsidRPr="00984EF1" w:rsidRDefault="00AD54A3" w:rsidP="00AD54A3">
      <w:pPr>
        <w:rPr>
          <w:rFonts w:ascii="Calibri" w:hAnsi="Calibri" w:cs="Calibri"/>
        </w:rPr>
      </w:pPr>
      <w:r w:rsidRPr="00984EF1">
        <w:rPr>
          <w:rFonts w:ascii="Calibri" w:hAnsi="Calibri" w:cs="Calibri"/>
          <w:b/>
        </w:rPr>
        <w:t>6.3.</w:t>
      </w:r>
      <w:r w:rsidRPr="00984EF1">
        <w:rPr>
          <w:rFonts w:ascii="Calibri" w:hAnsi="Calibri" w:cs="Calibri"/>
        </w:rPr>
        <w:t xml:space="preserve"> Badania w czasie robót</w:t>
      </w:r>
    </w:p>
    <w:p w:rsidR="00AD54A3" w:rsidRPr="00984EF1" w:rsidRDefault="00AD54A3" w:rsidP="00AD54A3">
      <w:pPr>
        <w:rPr>
          <w:rFonts w:ascii="Calibri" w:hAnsi="Calibri" w:cs="Calibri"/>
        </w:rPr>
      </w:pPr>
      <w:r w:rsidRPr="00984EF1">
        <w:rPr>
          <w:rFonts w:ascii="Calibri" w:hAnsi="Calibri" w:cs="Calibri"/>
        </w:rPr>
        <w:tab/>
        <w:t xml:space="preserve">Częstotliwość oraz zakres badań i pomiarów, które należy wykonać w czasie robót podaje tablica 7. </w:t>
      </w:r>
    </w:p>
    <w:p w:rsidR="00AD54A3" w:rsidRPr="00984EF1" w:rsidRDefault="00AD54A3" w:rsidP="00AD54A3">
      <w:pPr>
        <w:rPr>
          <w:rFonts w:ascii="Calibri" w:hAnsi="Calibri" w:cs="Calibri"/>
        </w:rPr>
      </w:pPr>
    </w:p>
    <w:p w:rsidR="00AD54A3" w:rsidRPr="00984EF1" w:rsidRDefault="00AD54A3" w:rsidP="00AD54A3">
      <w:pPr>
        <w:ind w:left="709"/>
        <w:rPr>
          <w:rFonts w:ascii="Calibri" w:hAnsi="Calibri" w:cs="Calibri"/>
        </w:rPr>
      </w:pPr>
      <w:r w:rsidRPr="00984EF1">
        <w:rPr>
          <w:rFonts w:ascii="Calibri" w:hAnsi="Calibri" w:cs="Calibri"/>
        </w:rPr>
        <w:t>Tablica 7. Częstotliwość oraz zakres badań i pomiarów w czasie robót</w:t>
      </w:r>
    </w:p>
    <w:tbl>
      <w:tblPr>
        <w:tblW w:w="7583" w:type="dxa"/>
        <w:tblInd w:w="779" w:type="dxa"/>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ayout w:type="fixed"/>
        <w:tblCellMar>
          <w:left w:w="70" w:type="dxa"/>
          <w:right w:w="70" w:type="dxa"/>
        </w:tblCellMar>
        <w:tblLook w:val="0000"/>
      </w:tblPr>
      <w:tblGrid>
        <w:gridCol w:w="496"/>
        <w:gridCol w:w="3118"/>
        <w:gridCol w:w="1276"/>
        <w:gridCol w:w="2693"/>
      </w:tblGrid>
      <w:tr w:rsidR="00AD54A3" w:rsidRPr="00984EF1" w:rsidTr="00FD47C7">
        <w:tc>
          <w:tcPr>
            <w:tcW w:w="496" w:type="dxa"/>
            <w:tcBorders>
              <w:bottom w:val="single" w:sz="4" w:space="0" w:color="auto"/>
            </w:tcBorders>
          </w:tcPr>
          <w:p w:rsidR="00AD54A3" w:rsidRPr="00984EF1" w:rsidRDefault="00AD54A3" w:rsidP="00FD47C7">
            <w:pPr>
              <w:jc w:val="center"/>
              <w:rPr>
                <w:rFonts w:ascii="Calibri" w:hAnsi="Calibri" w:cs="Calibri"/>
                <w:sz w:val="18"/>
                <w:szCs w:val="18"/>
              </w:rPr>
            </w:pPr>
            <w:r w:rsidRPr="00984EF1">
              <w:rPr>
                <w:rFonts w:ascii="Calibri" w:hAnsi="Calibri" w:cs="Calibri"/>
                <w:sz w:val="18"/>
                <w:szCs w:val="18"/>
              </w:rPr>
              <w:t>Lp.</w:t>
            </w:r>
          </w:p>
        </w:tc>
        <w:tc>
          <w:tcPr>
            <w:tcW w:w="3118" w:type="dxa"/>
            <w:tcBorders>
              <w:bottom w:val="single" w:sz="4" w:space="0" w:color="auto"/>
            </w:tcBorders>
          </w:tcPr>
          <w:p w:rsidR="00AD54A3" w:rsidRPr="00984EF1" w:rsidRDefault="00AD54A3" w:rsidP="00FD47C7">
            <w:pPr>
              <w:jc w:val="center"/>
              <w:rPr>
                <w:rFonts w:ascii="Calibri" w:hAnsi="Calibri" w:cs="Calibri"/>
                <w:sz w:val="18"/>
                <w:szCs w:val="18"/>
              </w:rPr>
            </w:pPr>
            <w:r w:rsidRPr="00984EF1">
              <w:rPr>
                <w:rFonts w:ascii="Calibri" w:hAnsi="Calibri" w:cs="Calibri"/>
                <w:sz w:val="18"/>
                <w:szCs w:val="18"/>
              </w:rPr>
              <w:t>Wyszczególnienie robót</w:t>
            </w:r>
          </w:p>
        </w:tc>
        <w:tc>
          <w:tcPr>
            <w:tcW w:w="1276" w:type="dxa"/>
            <w:tcBorders>
              <w:bottom w:val="single" w:sz="4" w:space="0" w:color="auto"/>
            </w:tcBorders>
          </w:tcPr>
          <w:p w:rsidR="00AD54A3" w:rsidRPr="00984EF1" w:rsidRDefault="00AD54A3" w:rsidP="00FD47C7">
            <w:pPr>
              <w:jc w:val="center"/>
              <w:rPr>
                <w:rFonts w:ascii="Calibri" w:hAnsi="Calibri" w:cs="Calibri"/>
                <w:sz w:val="18"/>
                <w:szCs w:val="18"/>
              </w:rPr>
            </w:pPr>
            <w:r w:rsidRPr="00984EF1">
              <w:rPr>
                <w:rFonts w:ascii="Calibri" w:hAnsi="Calibri" w:cs="Calibri"/>
                <w:sz w:val="18"/>
                <w:szCs w:val="18"/>
              </w:rPr>
              <w:t>Częstotliwość badań</w:t>
            </w:r>
          </w:p>
        </w:tc>
        <w:tc>
          <w:tcPr>
            <w:tcW w:w="2693" w:type="dxa"/>
            <w:tcBorders>
              <w:bottom w:val="single" w:sz="4" w:space="0" w:color="auto"/>
            </w:tcBorders>
          </w:tcPr>
          <w:p w:rsidR="00AD54A3" w:rsidRPr="00984EF1" w:rsidRDefault="00AD54A3" w:rsidP="00FD47C7">
            <w:pPr>
              <w:jc w:val="center"/>
              <w:rPr>
                <w:rFonts w:ascii="Calibri" w:hAnsi="Calibri" w:cs="Calibri"/>
                <w:sz w:val="18"/>
                <w:szCs w:val="18"/>
              </w:rPr>
            </w:pPr>
            <w:r w:rsidRPr="00984EF1">
              <w:rPr>
                <w:rFonts w:ascii="Calibri" w:hAnsi="Calibri" w:cs="Calibri"/>
                <w:sz w:val="18"/>
                <w:szCs w:val="18"/>
              </w:rPr>
              <w:t>Wartości dopuszczalne</w:t>
            </w:r>
          </w:p>
        </w:tc>
      </w:tr>
      <w:tr w:rsidR="00AD54A3" w:rsidRPr="00984EF1" w:rsidTr="00FD47C7">
        <w:tc>
          <w:tcPr>
            <w:tcW w:w="496" w:type="dxa"/>
            <w:tcBorders>
              <w:top w:val="single" w:sz="4" w:space="0" w:color="auto"/>
            </w:tcBorders>
            <w:vAlign w:val="center"/>
          </w:tcPr>
          <w:p w:rsidR="00AD54A3" w:rsidRPr="00984EF1" w:rsidRDefault="00AD54A3" w:rsidP="00FD47C7">
            <w:pPr>
              <w:jc w:val="center"/>
              <w:rPr>
                <w:rFonts w:ascii="Calibri" w:hAnsi="Calibri" w:cs="Calibri"/>
                <w:sz w:val="18"/>
                <w:szCs w:val="18"/>
              </w:rPr>
            </w:pPr>
            <w:r w:rsidRPr="00984EF1">
              <w:rPr>
                <w:rFonts w:ascii="Calibri" w:hAnsi="Calibri" w:cs="Calibri"/>
                <w:sz w:val="18"/>
                <w:szCs w:val="18"/>
              </w:rPr>
              <w:t>1</w:t>
            </w:r>
          </w:p>
        </w:tc>
        <w:tc>
          <w:tcPr>
            <w:tcW w:w="3118" w:type="dxa"/>
            <w:tcBorders>
              <w:top w:val="single" w:sz="4" w:space="0" w:color="auto"/>
            </w:tcBorders>
            <w:vAlign w:val="center"/>
          </w:tcPr>
          <w:p w:rsidR="00AD54A3" w:rsidRPr="00984EF1" w:rsidRDefault="00AD54A3" w:rsidP="00FD47C7">
            <w:pPr>
              <w:jc w:val="center"/>
              <w:rPr>
                <w:rFonts w:ascii="Calibri" w:hAnsi="Calibri" w:cs="Calibri"/>
                <w:sz w:val="18"/>
                <w:szCs w:val="18"/>
              </w:rPr>
            </w:pPr>
            <w:r w:rsidRPr="00984EF1">
              <w:rPr>
                <w:rFonts w:ascii="Calibri" w:hAnsi="Calibri" w:cs="Calibri"/>
                <w:sz w:val="18"/>
                <w:szCs w:val="18"/>
              </w:rPr>
              <w:t>Lokalizacja i zgodność granic terenu robót z dokumentacją projektową</w:t>
            </w:r>
          </w:p>
        </w:tc>
        <w:tc>
          <w:tcPr>
            <w:tcW w:w="1276" w:type="dxa"/>
            <w:tcBorders>
              <w:top w:val="single" w:sz="4" w:space="0" w:color="auto"/>
            </w:tcBorders>
            <w:vAlign w:val="center"/>
          </w:tcPr>
          <w:p w:rsidR="00AD54A3" w:rsidRPr="00984EF1" w:rsidRDefault="00AD54A3" w:rsidP="00FD47C7">
            <w:pPr>
              <w:jc w:val="center"/>
              <w:rPr>
                <w:rFonts w:ascii="Calibri" w:hAnsi="Calibri" w:cs="Calibri"/>
                <w:sz w:val="18"/>
                <w:szCs w:val="18"/>
              </w:rPr>
            </w:pPr>
            <w:r w:rsidRPr="00984EF1">
              <w:rPr>
                <w:rFonts w:ascii="Calibri" w:hAnsi="Calibri" w:cs="Calibri"/>
                <w:sz w:val="18"/>
                <w:szCs w:val="18"/>
              </w:rPr>
              <w:t>1 raz</w:t>
            </w:r>
          </w:p>
        </w:tc>
        <w:tc>
          <w:tcPr>
            <w:tcW w:w="2693" w:type="dxa"/>
            <w:tcBorders>
              <w:top w:val="single" w:sz="4" w:space="0" w:color="auto"/>
            </w:tcBorders>
            <w:vAlign w:val="center"/>
          </w:tcPr>
          <w:p w:rsidR="00AD54A3" w:rsidRPr="00984EF1" w:rsidRDefault="00AD54A3" w:rsidP="00FD47C7">
            <w:pPr>
              <w:jc w:val="center"/>
              <w:rPr>
                <w:rFonts w:ascii="Calibri" w:hAnsi="Calibri" w:cs="Calibri"/>
                <w:sz w:val="18"/>
                <w:szCs w:val="18"/>
              </w:rPr>
            </w:pPr>
            <w:r w:rsidRPr="00984EF1">
              <w:rPr>
                <w:rFonts w:ascii="Calibri" w:hAnsi="Calibri" w:cs="Calibri"/>
                <w:sz w:val="18"/>
                <w:szCs w:val="18"/>
              </w:rPr>
              <w:t>Wg pktu 5 i dokumentacji projektowej</w:t>
            </w:r>
          </w:p>
        </w:tc>
      </w:tr>
      <w:tr w:rsidR="00AD54A3" w:rsidRPr="00984EF1" w:rsidTr="00FD47C7">
        <w:tc>
          <w:tcPr>
            <w:tcW w:w="496" w:type="dxa"/>
            <w:vAlign w:val="center"/>
          </w:tcPr>
          <w:p w:rsidR="00AD54A3" w:rsidRPr="00984EF1" w:rsidRDefault="00AD54A3" w:rsidP="00FD47C7">
            <w:pPr>
              <w:jc w:val="center"/>
              <w:rPr>
                <w:rFonts w:ascii="Calibri" w:hAnsi="Calibri" w:cs="Calibri"/>
                <w:sz w:val="18"/>
                <w:szCs w:val="18"/>
              </w:rPr>
            </w:pPr>
            <w:r w:rsidRPr="00984EF1">
              <w:rPr>
                <w:rFonts w:ascii="Calibri" w:hAnsi="Calibri" w:cs="Calibri"/>
                <w:sz w:val="18"/>
                <w:szCs w:val="18"/>
              </w:rPr>
              <w:t>2</w:t>
            </w:r>
          </w:p>
        </w:tc>
        <w:tc>
          <w:tcPr>
            <w:tcW w:w="3118" w:type="dxa"/>
            <w:vAlign w:val="center"/>
          </w:tcPr>
          <w:p w:rsidR="00AD54A3" w:rsidRPr="00984EF1" w:rsidRDefault="00AD54A3" w:rsidP="00FD47C7">
            <w:pPr>
              <w:jc w:val="center"/>
              <w:rPr>
                <w:rFonts w:ascii="Calibri" w:hAnsi="Calibri" w:cs="Calibri"/>
                <w:sz w:val="18"/>
                <w:szCs w:val="18"/>
              </w:rPr>
            </w:pPr>
            <w:r w:rsidRPr="00984EF1">
              <w:rPr>
                <w:rFonts w:ascii="Calibri" w:hAnsi="Calibri" w:cs="Calibri"/>
                <w:sz w:val="18"/>
                <w:szCs w:val="18"/>
              </w:rPr>
              <w:t>Roboty przygotowawcze</w:t>
            </w:r>
          </w:p>
        </w:tc>
        <w:tc>
          <w:tcPr>
            <w:tcW w:w="1276" w:type="dxa"/>
            <w:vAlign w:val="center"/>
          </w:tcPr>
          <w:p w:rsidR="00AD54A3" w:rsidRPr="00984EF1" w:rsidRDefault="00AD54A3" w:rsidP="00FD47C7">
            <w:pPr>
              <w:jc w:val="center"/>
              <w:rPr>
                <w:rFonts w:ascii="Calibri" w:hAnsi="Calibri" w:cs="Calibri"/>
                <w:sz w:val="18"/>
                <w:szCs w:val="18"/>
              </w:rPr>
            </w:pPr>
            <w:r w:rsidRPr="00984EF1">
              <w:rPr>
                <w:rFonts w:ascii="Calibri" w:hAnsi="Calibri" w:cs="Calibri"/>
                <w:sz w:val="18"/>
                <w:szCs w:val="18"/>
              </w:rPr>
              <w:t>Ocena ciągła</w:t>
            </w:r>
          </w:p>
        </w:tc>
        <w:tc>
          <w:tcPr>
            <w:tcW w:w="2693" w:type="dxa"/>
            <w:vAlign w:val="center"/>
          </w:tcPr>
          <w:p w:rsidR="00AD54A3" w:rsidRPr="00984EF1" w:rsidRDefault="00AD54A3" w:rsidP="00FD47C7">
            <w:pPr>
              <w:jc w:val="center"/>
              <w:rPr>
                <w:rFonts w:ascii="Calibri" w:hAnsi="Calibri" w:cs="Calibri"/>
                <w:sz w:val="18"/>
                <w:szCs w:val="18"/>
              </w:rPr>
            </w:pPr>
            <w:r w:rsidRPr="00984EF1">
              <w:rPr>
                <w:rFonts w:ascii="Calibri" w:hAnsi="Calibri" w:cs="Calibri"/>
                <w:sz w:val="18"/>
                <w:szCs w:val="18"/>
              </w:rPr>
              <w:t>Wg pktu 5.3</w:t>
            </w:r>
          </w:p>
        </w:tc>
      </w:tr>
      <w:tr w:rsidR="00AD54A3" w:rsidRPr="00984EF1" w:rsidTr="00FD47C7">
        <w:tc>
          <w:tcPr>
            <w:tcW w:w="496" w:type="dxa"/>
            <w:vAlign w:val="center"/>
          </w:tcPr>
          <w:p w:rsidR="00AD54A3" w:rsidRPr="00984EF1" w:rsidRDefault="00AD54A3" w:rsidP="00FD47C7">
            <w:pPr>
              <w:jc w:val="center"/>
              <w:rPr>
                <w:rFonts w:ascii="Calibri" w:hAnsi="Calibri" w:cs="Calibri"/>
                <w:sz w:val="18"/>
                <w:szCs w:val="18"/>
              </w:rPr>
            </w:pPr>
            <w:r w:rsidRPr="00984EF1">
              <w:rPr>
                <w:rFonts w:ascii="Calibri" w:hAnsi="Calibri" w:cs="Calibri"/>
                <w:sz w:val="18"/>
                <w:szCs w:val="18"/>
              </w:rPr>
              <w:t>3</w:t>
            </w:r>
          </w:p>
        </w:tc>
        <w:tc>
          <w:tcPr>
            <w:tcW w:w="3118" w:type="dxa"/>
            <w:vAlign w:val="center"/>
          </w:tcPr>
          <w:p w:rsidR="00AD54A3" w:rsidRPr="00984EF1" w:rsidRDefault="00AD54A3" w:rsidP="00FD47C7">
            <w:pPr>
              <w:jc w:val="center"/>
              <w:rPr>
                <w:rFonts w:ascii="Calibri" w:hAnsi="Calibri" w:cs="Calibri"/>
                <w:sz w:val="18"/>
                <w:szCs w:val="18"/>
              </w:rPr>
            </w:pPr>
            <w:r w:rsidRPr="00984EF1">
              <w:rPr>
                <w:rFonts w:ascii="Calibri" w:hAnsi="Calibri" w:cs="Calibri"/>
                <w:sz w:val="18"/>
                <w:szCs w:val="18"/>
              </w:rPr>
              <w:t>Właściwości kruszywa</w:t>
            </w:r>
          </w:p>
        </w:tc>
        <w:tc>
          <w:tcPr>
            <w:tcW w:w="1276" w:type="dxa"/>
            <w:vAlign w:val="center"/>
          </w:tcPr>
          <w:p w:rsidR="00AD54A3" w:rsidRPr="00984EF1" w:rsidRDefault="00AD54A3" w:rsidP="00FD47C7">
            <w:pPr>
              <w:jc w:val="center"/>
              <w:rPr>
                <w:rFonts w:ascii="Calibri" w:hAnsi="Calibri" w:cs="Calibri"/>
                <w:sz w:val="18"/>
                <w:szCs w:val="18"/>
              </w:rPr>
            </w:pPr>
            <w:r w:rsidRPr="00984EF1">
              <w:rPr>
                <w:rFonts w:ascii="Calibri" w:hAnsi="Calibri" w:cs="Calibri"/>
                <w:sz w:val="18"/>
                <w:szCs w:val="18"/>
              </w:rPr>
              <w:t>Dla każdej partii kruszywa i przy każdej zmianie kruszywa</w:t>
            </w:r>
          </w:p>
        </w:tc>
        <w:tc>
          <w:tcPr>
            <w:tcW w:w="2693" w:type="dxa"/>
            <w:vAlign w:val="center"/>
          </w:tcPr>
          <w:p w:rsidR="00AD54A3" w:rsidRPr="00984EF1" w:rsidRDefault="00AD54A3" w:rsidP="00FD47C7">
            <w:pPr>
              <w:jc w:val="center"/>
              <w:rPr>
                <w:rFonts w:ascii="Calibri" w:hAnsi="Calibri" w:cs="Calibri"/>
                <w:sz w:val="18"/>
                <w:szCs w:val="18"/>
              </w:rPr>
            </w:pPr>
            <w:r w:rsidRPr="00984EF1">
              <w:rPr>
                <w:rFonts w:ascii="Calibri" w:hAnsi="Calibri" w:cs="Calibri"/>
                <w:sz w:val="18"/>
                <w:szCs w:val="18"/>
              </w:rPr>
              <w:t>Tablica 1</w:t>
            </w:r>
          </w:p>
        </w:tc>
      </w:tr>
      <w:tr w:rsidR="00AD54A3" w:rsidRPr="00984EF1" w:rsidTr="00FD47C7">
        <w:tc>
          <w:tcPr>
            <w:tcW w:w="496" w:type="dxa"/>
            <w:vAlign w:val="center"/>
          </w:tcPr>
          <w:p w:rsidR="00AD54A3" w:rsidRPr="00984EF1" w:rsidRDefault="00AD54A3" w:rsidP="00FD47C7">
            <w:pPr>
              <w:jc w:val="center"/>
              <w:rPr>
                <w:rFonts w:ascii="Calibri" w:hAnsi="Calibri" w:cs="Calibri"/>
                <w:sz w:val="18"/>
                <w:szCs w:val="18"/>
              </w:rPr>
            </w:pPr>
            <w:r w:rsidRPr="00984EF1">
              <w:rPr>
                <w:rFonts w:ascii="Calibri" w:hAnsi="Calibri" w:cs="Calibri"/>
                <w:sz w:val="18"/>
                <w:szCs w:val="18"/>
              </w:rPr>
              <w:t>4</w:t>
            </w:r>
          </w:p>
        </w:tc>
        <w:tc>
          <w:tcPr>
            <w:tcW w:w="3118" w:type="dxa"/>
            <w:vAlign w:val="center"/>
          </w:tcPr>
          <w:p w:rsidR="00AD54A3" w:rsidRPr="00984EF1" w:rsidRDefault="00AD54A3" w:rsidP="00FD47C7">
            <w:pPr>
              <w:jc w:val="center"/>
              <w:rPr>
                <w:rFonts w:ascii="Calibri" w:hAnsi="Calibri" w:cs="Calibri"/>
                <w:sz w:val="18"/>
                <w:szCs w:val="18"/>
              </w:rPr>
            </w:pPr>
            <w:r w:rsidRPr="00984EF1">
              <w:rPr>
                <w:rFonts w:ascii="Calibri" w:hAnsi="Calibri" w:cs="Calibri"/>
                <w:sz w:val="18"/>
                <w:szCs w:val="18"/>
              </w:rPr>
              <w:t>Właściwości wody</w:t>
            </w:r>
          </w:p>
        </w:tc>
        <w:tc>
          <w:tcPr>
            <w:tcW w:w="1276" w:type="dxa"/>
            <w:vAlign w:val="center"/>
          </w:tcPr>
          <w:p w:rsidR="00AD54A3" w:rsidRPr="00984EF1" w:rsidRDefault="00AD54A3" w:rsidP="00FD47C7">
            <w:pPr>
              <w:jc w:val="center"/>
              <w:rPr>
                <w:rFonts w:ascii="Calibri" w:hAnsi="Calibri" w:cs="Calibri"/>
                <w:sz w:val="18"/>
                <w:szCs w:val="18"/>
              </w:rPr>
            </w:pPr>
            <w:r w:rsidRPr="00984EF1">
              <w:rPr>
                <w:rFonts w:ascii="Calibri" w:hAnsi="Calibri" w:cs="Calibri"/>
                <w:sz w:val="18"/>
                <w:szCs w:val="18"/>
              </w:rPr>
              <w:t>Dla każdego wątpliwego źródła</w:t>
            </w:r>
          </w:p>
        </w:tc>
        <w:tc>
          <w:tcPr>
            <w:tcW w:w="2693" w:type="dxa"/>
            <w:vAlign w:val="center"/>
          </w:tcPr>
          <w:p w:rsidR="00AD54A3" w:rsidRPr="00984EF1" w:rsidRDefault="00AD54A3" w:rsidP="00FD47C7">
            <w:pPr>
              <w:jc w:val="center"/>
              <w:rPr>
                <w:rFonts w:ascii="Calibri" w:hAnsi="Calibri" w:cs="Calibri"/>
                <w:sz w:val="18"/>
                <w:szCs w:val="18"/>
              </w:rPr>
            </w:pPr>
            <w:r w:rsidRPr="00984EF1">
              <w:rPr>
                <w:rFonts w:ascii="Calibri" w:hAnsi="Calibri" w:cs="Calibri"/>
                <w:sz w:val="18"/>
                <w:szCs w:val="18"/>
              </w:rPr>
              <w:t>PN-EN 1008</w:t>
            </w:r>
          </w:p>
        </w:tc>
      </w:tr>
      <w:tr w:rsidR="00AD54A3" w:rsidRPr="00984EF1" w:rsidTr="00FD47C7">
        <w:tc>
          <w:tcPr>
            <w:tcW w:w="496" w:type="dxa"/>
            <w:vAlign w:val="center"/>
          </w:tcPr>
          <w:p w:rsidR="00AD54A3" w:rsidRPr="00984EF1" w:rsidRDefault="00AD54A3" w:rsidP="00FD47C7">
            <w:pPr>
              <w:jc w:val="center"/>
              <w:rPr>
                <w:rFonts w:ascii="Calibri" w:hAnsi="Calibri" w:cs="Calibri"/>
                <w:sz w:val="18"/>
                <w:szCs w:val="18"/>
              </w:rPr>
            </w:pPr>
            <w:r w:rsidRPr="00984EF1">
              <w:rPr>
                <w:rFonts w:ascii="Calibri" w:hAnsi="Calibri" w:cs="Calibri"/>
                <w:sz w:val="18"/>
                <w:szCs w:val="18"/>
              </w:rPr>
              <w:t>5</w:t>
            </w:r>
          </w:p>
        </w:tc>
        <w:tc>
          <w:tcPr>
            <w:tcW w:w="3118" w:type="dxa"/>
            <w:vAlign w:val="center"/>
          </w:tcPr>
          <w:p w:rsidR="00AD54A3" w:rsidRPr="00984EF1" w:rsidRDefault="00AD54A3" w:rsidP="00FD47C7">
            <w:pPr>
              <w:jc w:val="center"/>
              <w:rPr>
                <w:rFonts w:ascii="Calibri" w:hAnsi="Calibri" w:cs="Calibri"/>
                <w:sz w:val="18"/>
                <w:szCs w:val="18"/>
              </w:rPr>
            </w:pPr>
            <w:r w:rsidRPr="00984EF1">
              <w:rPr>
                <w:rFonts w:ascii="Calibri" w:hAnsi="Calibri" w:cs="Calibri"/>
                <w:sz w:val="18"/>
                <w:szCs w:val="18"/>
              </w:rPr>
              <w:t>Właściwości cementu</w:t>
            </w:r>
          </w:p>
        </w:tc>
        <w:tc>
          <w:tcPr>
            <w:tcW w:w="1276" w:type="dxa"/>
            <w:vAlign w:val="center"/>
          </w:tcPr>
          <w:p w:rsidR="00AD54A3" w:rsidRPr="00984EF1" w:rsidRDefault="00AD54A3" w:rsidP="00FD47C7">
            <w:pPr>
              <w:jc w:val="center"/>
              <w:rPr>
                <w:rFonts w:ascii="Calibri" w:hAnsi="Calibri" w:cs="Calibri"/>
                <w:sz w:val="18"/>
                <w:szCs w:val="18"/>
              </w:rPr>
            </w:pPr>
            <w:r w:rsidRPr="00984EF1">
              <w:rPr>
                <w:rFonts w:ascii="Calibri" w:hAnsi="Calibri" w:cs="Calibri"/>
                <w:sz w:val="18"/>
                <w:szCs w:val="18"/>
              </w:rPr>
              <w:t>Dla każdej partii</w:t>
            </w:r>
          </w:p>
        </w:tc>
        <w:tc>
          <w:tcPr>
            <w:tcW w:w="2693" w:type="dxa"/>
            <w:vAlign w:val="center"/>
          </w:tcPr>
          <w:p w:rsidR="00AD54A3" w:rsidRPr="00984EF1" w:rsidRDefault="00AD54A3" w:rsidP="00FD47C7">
            <w:pPr>
              <w:jc w:val="center"/>
              <w:rPr>
                <w:rFonts w:ascii="Calibri" w:hAnsi="Calibri" w:cs="Calibri"/>
                <w:sz w:val="18"/>
                <w:szCs w:val="18"/>
              </w:rPr>
            </w:pPr>
            <w:r w:rsidRPr="00984EF1">
              <w:rPr>
                <w:rFonts w:ascii="Calibri" w:hAnsi="Calibri" w:cs="Calibri"/>
                <w:sz w:val="18"/>
                <w:szCs w:val="18"/>
              </w:rPr>
              <w:t>PN-EN 197-1</w:t>
            </w:r>
          </w:p>
        </w:tc>
      </w:tr>
      <w:tr w:rsidR="00AD54A3" w:rsidRPr="00984EF1" w:rsidTr="00FD47C7">
        <w:tc>
          <w:tcPr>
            <w:tcW w:w="496" w:type="dxa"/>
            <w:vAlign w:val="center"/>
          </w:tcPr>
          <w:p w:rsidR="00AD54A3" w:rsidRPr="00984EF1" w:rsidRDefault="00AD54A3" w:rsidP="00FD47C7">
            <w:pPr>
              <w:jc w:val="center"/>
              <w:rPr>
                <w:rFonts w:ascii="Calibri" w:hAnsi="Calibri" w:cs="Calibri"/>
                <w:sz w:val="18"/>
                <w:szCs w:val="18"/>
              </w:rPr>
            </w:pPr>
            <w:r w:rsidRPr="00984EF1">
              <w:rPr>
                <w:rFonts w:ascii="Calibri" w:hAnsi="Calibri" w:cs="Calibri"/>
                <w:sz w:val="18"/>
                <w:szCs w:val="18"/>
              </w:rPr>
              <w:t>6</w:t>
            </w:r>
          </w:p>
        </w:tc>
        <w:tc>
          <w:tcPr>
            <w:tcW w:w="3118" w:type="dxa"/>
            <w:vAlign w:val="center"/>
          </w:tcPr>
          <w:p w:rsidR="00AD54A3" w:rsidRPr="00984EF1" w:rsidRDefault="00AD54A3" w:rsidP="00FD47C7">
            <w:pPr>
              <w:jc w:val="center"/>
              <w:rPr>
                <w:rFonts w:ascii="Calibri" w:hAnsi="Calibri" w:cs="Calibri"/>
                <w:sz w:val="18"/>
                <w:szCs w:val="18"/>
              </w:rPr>
            </w:pPr>
            <w:r w:rsidRPr="00984EF1">
              <w:rPr>
                <w:rFonts w:ascii="Calibri" w:hAnsi="Calibri" w:cs="Calibri"/>
                <w:sz w:val="18"/>
                <w:szCs w:val="18"/>
              </w:rPr>
              <w:t>Uziarnienie mieszanki</w:t>
            </w:r>
          </w:p>
        </w:tc>
        <w:tc>
          <w:tcPr>
            <w:tcW w:w="1276" w:type="dxa"/>
            <w:vAlign w:val="center"/>
          </w:tcPr>
          <w:p w:rsidR="00AD54A3" w:rsidRPr="00984EF1" w:rsidRDefault="00AD54A3" w:rsidP="00FD47C7">
            <w:pPr>
              <w:jc w:val="center"/>
              <w:rPr>
                <w:rFonts w:ascii="Calibri" w:hAnsi="Calibri" w:cs="Calibri"/>
                <w:sz w:val="18"/>
                <w:szCs w:val="18"/>
              </w:rPr>
            </w:pPr>
            <w:r w:rsidRPr="00984EF1">
              <w:rPr>
                <w:rFonts w:ascii="Calibri" w:hAnsi="Calibri" w:cs="Calibri"/>
                <w:sz w:val="18"/>
                <w:szCs w:val="18"/>
              </w:rPr>
              <w:t>2 razy dziennie</w:t>
            </w:r>
          </w:p>
        </w:tc>
        <w:tc>
          <w:tcPr>
            <w:tcW w:w="2693" w:type="dxa"/>
            <w:vAlign w:val="center"/>
          </w:tcPr>
          <w:p w:rsidR="00AD54A3" w:rsidRPr="00984EF1" w:rsidRDefault="00AD54A3" w:rsidP="00FD47C7">
            <w:pPr>
              <w:jc w:val="center"/>
              <w:rPr>
                <w:rFonts w:ascii="Calibri" w:hAnsi="Calibri" w:cs="Calibri"/>
                <w:sz w:val="18"/>
                <w:szCs w:val="18"/>
              </w:rPr>
            </w:pPr>
            <w:r w:rsidRPr="00984EF1">
              <w:rPr>
                <w:rFonts w:ascii="Calibri" w:hAnsi="Calibri" w:cs="Calibri"/>
                <w:sz w:val="18"/>
                <w:szCs w:val="18"/>
              </w:rPr>
              <w:t>Rys. 1 ÷ 5</w:t>
            </w:r>
          </w:p>
        </w:tc>
      </w:tr>
      <w:tr w:rsidR="00AD54A3" w:rsidRPr="00984EF1" w:rsidTr="00FD47C7">
        <w:tc>
          <w:tcPr>
            <w:tcW w:w="496" w:type="dxa"/>
            <w:vAlign w:val="center"/>
          </w:tcPr>
          <w:p w:rsidR="00AD54A3" w:rsidRPr="00984EF1" w:rsidRDefault="00AD54A3" w:rsidP="00FD47C7">
            <w:pPr>
              <w:jc w:val="center"/>
              <w:rPr>
                <w:rFonts w:ascii="Calibri" w:hAnsi="Calibri" w:cs="Calibri"/>
                <w:sz w:val="18"/>
                <w:szCs w:val="18"/>
              </w:rPr>
            </w:pPr>
            <w:r w:rsidRPr="00984EF1">
              <w:rPr>
                <w:rFonts w:ascii="Calibri" w:hAnsi="Calibri" w:cs="Calibri"/>
                <w:sz w:val="18"/>
                <w:szCs w:val="18"/>
              </w:rPr>
              <w:t>7</w:t>
            </w:r>
          </w:p>
        </w:tc>
        <w:tc>
          <w:tcPr>
            <w:tcW w:w="3118" w:type="dxa"/>
            <w:vAlign w:val="center"/>
          </w:tcPr>
          <w:p w:rsidR="00AD54A3" w:rsidRPr="00984EF1" w:rsidRDefault="00AD54A3" w:rsidP="00FD47C7">
            <w:pPr>
              <w:jc w:val="center"/>
              <w:rPr>
                <w:rFonts w:ascii="Calibri" w:hAnsi="Calibri" w:cs="Calibri"/>
                <w:sz w:val="18"/>
                <w:szCs w:val="18"/>
              </w:rPr>
            </w:pPr>
            <w:r w:rsidRPr="00984EF1">
              <w:rPr>
                <w:rFonts w:ascii="Calibri" w:hAnsi="Calibri" w:cs="Calibri"/>
                <w:sz w:val="18"/>
                <w:szCs w:val="18"/>
              </w:rPr>
              <w:t>Wilgotność mieszanki</w:t>
            </w:r>
          </w:p>
        </w:tc>
        <w:tc>
          <w:tcPr>
            <w:tcW w:w="1276" w:type="dxa"/>
            <w:vAlign w:val="center"/>
          </w:tcPr>
          <w:p w:rsidR="00AD54A3" w:rsidRPr="00984EF1" w:rsidRDefault="00AD54A3" w:rsidP="00FD47C7">
            <w:pPr>
              <w:jc w:val="center"/>
              <w:rPr>
                <w:rFonts w:ascii="Calibri" w:hAnsi="Calibri" w:cs="Calibri"/>
                <w:sz w:val="18"/>
                <w:szCs w:val="18"/>
              </w:rPr>
            </w:pPr>
            <w:r w:rsidRPr="00984EF1">
              <w:rPr>
                <w:rFonts w:ascii="Calibri" w:hAnsi="Calibri" w:cs="Calibri"/>
                <w:sz w:val="18"/>
                <w:szCs w:val="18"/>
              </w:rPr>
              <w:t>Jw.</w:t>
            </w:r>
          </w:p>
        </w:tc>
        <w:tc>
          <w:tcPr>
            <w:tcW w:w="2693" w:type="dxa"/>
            <w:vAlign w:val="center"/>
          </w:tcPr>
          <w:p w:rsidR="00AD54A3" w:rsidRPr="00984EF1" w:rsidRDefault="00AD54A3" w:rsidP="00FD47C7">
            <w:pPr>
              <w:jc w:val="center"/>
              <w:rPr>
                <w:rFonts w:ascii="Calibri" w:hAnsi="Calibri" w:cs="Calibri"/>
                <w:sz w:val="18"/>
                <w:szCs w:val="18"/>
              </w:rPr>
            </w:pPr>
            <w:r w:rsidRPr="00984EF1">
              <w:rPr>
                <w:rFonts w:ascii="Calibri" w:hAnsi="Calibri" w:cs="Calibri"/>
                <w:sz w:val="18"/>
                <w:szCs w:val="18"/>
              </w:rPr>
              <w:t>Wilgotność optymalna z tolerancją +10%, -20%</w:t>
            </w:r>
          </w:p>
        </w:tc>
      </w:tr>
      <w:tr w:rsidR="00AD54A3" w:rsidRPr="00984EF1" w:rsidTr="00FD47C7">
        <w:tc>
          <w:tcPr>
            <w:tcW w:w="496" w:type="dxa"/>
            <w:vAlign w:val="center"/>
          </w:tcPr>
          <w:p w:rsidR="00AD54A3" w:rsidRPr="00984EF1" w:rsidRDefault="00AD54A3" w:rsidP="00FD47C7">
            <w:pPr>
              <w:jc w:val="center"/>
              <w:rPr>
                <w:rFonts w:ascii="Calibri" w:hAnsi="Calibri" w:cs="Calibri"/>
                <w:sz w:val="18"/>
                <w:szCs w:val="18"/>
              </w:rPr>
            </w:pPr>
            <w:r w:rsidRPr="00984EF1">
              <w:rPr>
                <w:rFonts w:ascii="Calibri" w:hAnsi="Calibri" w:cs="Calibri"/>
                <w:sz w:val="18"/>
                <w:szCs w:val="18"/>
              </w:rPr>
              <w:t>8</w:t>
            </w:r>
          </w:p>
        </w:tc>
        <w:tc>
          <w:tcPr>
            <w:tcW w:w="3118" w:type="dxa"/>
            <w:vAlign w:val="center"/>
          </w:tcPr>
          <w:p w:rsidR="00AD54A3" w:rsidRPr="00984EF1" w:rsidRDefault="00AD54A3" w:rsidP="00FD47C7">
            <w:pPr>
              <w:jc w:val="center"/>
              <w:rPr>
                <w:rFonts w:ascii="Calibri" w:hAnsi="Calibri" w:cs="Calibri"/>
                <w:sz w:val="18"/>
                <w:szCs w:val="18"/>
              </w:rPr>
            </w:pPr>
            <w:r w:rsidRPr="00984EF1">
              <w:rPr>
                <w:rFonts w:ascii="Calibri" w:hAnsi="Calibri" w:cs="Calibri"/>
                <w:sz w:val="18"/>
                <w:szCs w:val="18"/>
              </w:rPr>
              <w:t>Grubość warstwy podbudowy</w:t>
            </w:r>
          </w:p>
        </w:tc>
        <w:tc>
          <w:tcPr>
            <w:tcW w:w="1276" w:type="dxa"/>
            <w:vAlign w:val="center"/>
          </w:tcPr>
          <w:p w:rsidR="00AD54A3" w:rsidRPr="00984EF1" w:rsidRDefault="00AD54A3" w:rsidP="00FD47C7">
            <w:pPr>
              <w:jc w:val="center"/>
              <w:rPr>
                <w:rFonts w:ascii="Calibri" w:hAnsi="Calibri" w:cs="Calibri"/>
                <w:sz w:val="18"/>
                <w:szCs w:val="18"/>
              </w:rPr>
            </w:pPr>
            <w:r w:rsidRPr="00984EF1">
              <w:rPr>
                <w:rFonts w:ascii="Calibri" w:hAnsi="Calibri" w:cs="Calibri"/>
                <w:sz w:val="18"/>
                <w:szCs w:val="18"/>
              </w:rPr>
              <w:t>Jw.</w:t>
            </w:r>
          </w:p>
        </w:tc>
        <w:tc>
          <w:tcPr>
            <w:tcW w:w="2693" w:type="dxa"/>
            <w:vAlign w:val="center"/>
          </w:tcPr>
          <w:p w:rsidR="00AD54A3" w:rsidRPr="00984EF1" w:rsidRDefault="00AD54A3" w:rsidP="00FD47C7">
            <w:pPr>
              <w:jc w:val="center"/>
              <w:rPr>
                <w:rFonts w:ascii="Calibri" w:hAnsi="Calibri" w:cs="Calibri"/>
                <w:sz w:val="18"/>
                <w:szCs w:val="18"/>
              </w:rPr>
            </w:pPr>
            <w:r w:rsidRPr="00984EF1">
              <w:rPr>
                <w:rFonts w:ascii="Calibri" w:hAnsi="Calibri" w:cs="Calibri"/>
                <w:sz w:val="18"/>
                <w:szCs w:val="18"/>
              </w:rPr>
              <w:t xml:space="preserve">Tolerancja ± </w:t>
            </w:r>
            <w:smartTag w:uri="urn:schemas-microsoft-com:office:smarttags" w:element="metricconverter">
              <w:smartTagPr>
                <w:attr w:name="ProductID" w:val="1 cm"/>
              </w:smartTagPr>
              <w:r w:rsidRPr="00984EF1">
                <w:rPr>
                  <w:rFonts w:ascii="Calibri" w:hAnsi="Calibri" w:cs="Calibri"/>
                  <w:sz w:val="18"/>
                  <w:szCs w:val="18"/>
                </w:rPr>
                <w:t>1 cm</w:t>
              </w:r>
            </w:smartTag>
          </w:p>
        </w:tc>
      </w:tr>
      <w:tr w:rsidR="00AD54A3" w:rsidRPr="00984EF1" w:rsidTr="00FD47C7">
        <w:tc>
          <w:tcPr>
            <w:tcW w:w="496" w:type="dxa"/>
            <w:vAlign w:val="center"/>
          </w:tcPr>
          <w:p w:rsidR="00AD54A3" w:rsidRPr="00984EF1" w:rsidRDefault="00AD54A3" w:rsidP="00FD47C7">
            <w:pPr>
              <w:jc w:val="center"/>
              <w:rPr>
                <w:rFonts w:ascii="Calibri" w:hAnsi="Calibri" w:cs="Calibri"/>
                <w:sz w:val="18"/>
                <w:szCs w:val="18"/>
              </w:rPr>
            </w:pPr>
            <w:r w:rsidRPr="00984EF1">
              <w:rPr>
                <w:rFonts w:ascii="Calibri" w:hAnsi="Calibri" w:cs="Calibri"/>
                <w:sz w:val="18"/>
                <w:szCs w:val="18"/>
              </w:rPr>
              <w:t>9</w:t>
            </w:r>
          </w:p>
        </w:tc>
        <w:tc>
          <w:tcPr>
            <w:tcW w:w="3118" w:type="dxa"/>
            <w:vAlign w:val="center"/>
          </w:tcPr>
          <w:p w:rsidR="00AD54A3" w:rsidRPr="00984EF1" w:rsidRDefault="00AD54A3" w:rsidP="00FD47C7">
            <w:pPr>
              <w:jc w:val="center"/>
              <w:rPr>
                <w:rFonts w:ascii="Calibri" w:hAnsi="Calibri" w:cs="Calibri"/>
                <w:sz w:val="18"/>
                <w:szCs w:val="18"/>
              </w:rPr>
            </w:pPr>
            <w:r w:rsidRPr="00984EF1">
              <w:rPr>
                <w:rFonts w:ascii="Calibri" w:hAnsi="Calibri" w:cs="Calibri"/>
                <w:sz w:val="18"/>
                <w:szCs w:val="18"/>
              </w:rPr>
              <w:t>Zagęszczenie warstwy mieszanki</w:t>
            </w:r>
          </w:p>
        </w:tc>
        <w:tc>
          <w:tcPr>
            <w:tcW w:w="1276" w:type="dxa"/>
            <w:vAlign w:val="center"/>
          </w:tcPr>
          <w:p w:rsidR="00AD54A3" w:rsidRPr="00984EF1" w:rsidRDefault="00AD54A3" w:rsidP="00FD47C7">
            <w:pPr>
              <w:jc w:val="center"/>
              <w:rPr>
                <w:rFonts w:ascii="Calibri" w:hAnsi="Calibri" w:cs="Calibri"/>
                <w:sz w:val="18"/>
                <w:szCs w:val="18"/>
              </w:rPr>
            </w:pPr>
            <w:r w:rsidRPr="00984EF1">
              <w:rPr>
                <w:rFonts w:ascii="Calibri" w:hAnsi="Calibri" w:cs="Calibri"/>
                <w:sz w:val="18"/>
                <w:szCs w:val="18"/>
              </w:rPr>
              <w:t>Jw.</w:t>
            </w:r>
          </w:p>
        </w:tc>
        <w:tc>
          <w:tcPr>
            <w:tcW w:w="2693" w:type="dxa"/>
            <w:vAlign w:val="center"/>
          </w:tcPr>
          <w:p w:rsidR="00AD54A3" w:rsidRPr="00984EF1" w:rsidRDefault="00AD54A3" w:rsidP="00FD47C7">
            <w:pPr>
              <w:jc w:val="center"/>
              <w:rPr>
                <w:rFonts w:ascii="Calibri" w:hAnsi="Calibri" w:cs="Calibri"/>
                <w:sz w:val="18"/>
                <w:szCs w:val="18"/>
              </w:rPr>
            </w:pPr>
            <w:r w:rsidRPr="00984EF1">
              <w:rPr>
                <w:rFonts w:ascii="Calibri" w:hAnsi="Calibri" w:cs="Calibri"/>
                <w:sz w:val="18"/>
                <w:szCs w:val="18"/>
              </w:rPr>
              <w:t>0,98 Proctora (p. 5.7)</w:t>
            </w:r>
          </w:p>
        </w:tc>
      </w:tr>
      <w:tr w:rsidR="00AD54A3" w:rsidRPr="00984EF1" w:rsidTr="00FD47C7">
        <w:tc>
          <w:tcPr>
            <w:tcW w:w="496" w:type="dxa"/>
            <w:vAlign w:val="center"/>
          </w:tcPr>
          <w:p w:rsidR="00AD54A3" w:rsidRPr="00984EF1" w:rsidRDefault="00AD54A3" w:rsidP="00FD47C7">
            <w:pPr>
              <w:jc w:val="center"/>
              <w:rPr>
                <w:rFonts w:ascii="Calibri" w:hAnsi="Calibri" w:cs="Calibri"/>
                <w:sz w:val="18"/>
                <w:szCs w:val="18"/>
              </w:rPr>
            </w:pPr>
            <w:r w:rsidRPr="00984EF1">
              <w:rPr>
                <w:rFonts w:ascii="Calibri" w:hAnsi="Calibri" w:cs="Calibri"/>
                <w:sz w:val="18"/>
                <w:szCs w:val="18"/>
              </w:rPr>
              <w:t>10</w:t>
            </w:r>
          </w:p>
        </w:tc>
        <w:tc>
          <w:tcPr>
            <w:tcW w:w="3118" w:type="dxa"/>
            <w:vAlign w:val="center"/>
          </w:tcPr>
          <w:p w:rsidR="00AD54A3" w:rsidRPr="00984EF1" w:rsidRDefault="00AD54A3" w:rsidP="00FD47C7">
            <w:pPr>
              <w:jc w:val="center"/>
              <w:rPr>
                <w:rFonts w:ascii="Calibri" w:hAnsi="Calibri" w:cs="Calibri"/>
                <w:sz w:val="18"/>
                <w:szCs w:val="18"/>
              </w:rPr>
            </w:pPr>
            <w:r w:rsidRPr="00984EF1">
              <w:rPr>
                <w:rFonts w:ascii="Calibri" w:hAnsi="Calibri" w:cs="Calibri"/>
                <w:sz w:val="18"/>
                <w:szCs w:val="18"/>
              </w:rPr>
              <w:t>Oznaczenie wytrzymałości na ściskanie</w:t>
            </w:r>
          </w:p>
          <w:p w:rsidR="00AD54A3" w:rsidRPr="00984EF1" w:rsidRDefault="00AD54A3" w:rsidP="00FD47C7">
            <w:pPr>
              <w:jc w:val="center"/>
              <w:rPr>
                <w:rFonts w:ascii="Calibri" w:hAnsi="Calibri" w:cs="Calibri"/>
                <w:sz w:val="18"/>
                <w:szCs w:val="18"/>
              </w:rPr>
            </w:pPr>
          </w:p>
        </w:tc>
        <w:tc>
          <w:tcPr>
            <w:tcW w:w="1276" w:type="dxa"/>
            <w:vAlign w:val="center"/>
          </w:tcPr>
          <w:p w:rsidR="00AD54A3" w:rsidRPr="00984EF1" w:rsidRDefault="00AD54A3" w:rsidP="00FD47C7">
            <w:pPr>
              <w:jc w:val="center"/>
              <w:rPr>
                <w:rFonts w:ascii="Calibri" w:hAnsi="Calibri" w:cs="Calibri"/>
                <w:sz w:val="18"/>
                <w:szCs w:val="18"/>
              </w:rPr>
            </w:pPr>
            <w:r w:rsidRPr="00984EF1">
              <w:rPr>
                <w:rFonts w:ascii="Calibri" w:hAnsi="Calibri" w:cs="Calibri"/>
                <w:sz w:val="18"/>
                <w:szCs w:val="18"/>
              </w:rPr>
              <w:t>3 próbki dziennie</w:t>
            </w:r>
          </w:p>
        </w:tc>
        <w:tc>
          <w:tcPr>
            <w:tcW w:w="2693" w:type="dxa"/>
            <w:vAlign w:val="center"/>
          </w:tcPr>
          <w:p w:rsidR="00AD54A3" w:rsidRPr="00984EF1" w:rsidRDefault="00AD54A3" w:rsidP="00FD47C7">
            <w:pPr>
              <w:jc w:val="center"/>
              <w:rPr>
                <w:rFonts w:ascii="Calibri" w:hAnsi="Calibri" w:cs="Calibri"/>
                <w:sz w:val="18"/>
                <w:szCs w:val="18"/>
              </w:rPr>
            </w:pPr>
            <w:r w:rsidRPr="00984EF1">
              <w:rPr>
                <w:rFonts w:ascii="Calibri" w:hAnsi="Calibri" w:cs="Calibri"/>
                <w:sz w:val="18"/>
                <w:szCs w:val="18"/>
              </w:rPr>
              <w:t>PN-EN 13286-41</w:t>
            </w:r>
          </w:p>
        </w:tc>
      </w:tr>
      <w:tr w:rsidR="00AD54A3" w:rsidRPr="00984EF1" w:rsidTr="00FD47C7">
        <w:tc>
          <w:tcPr>
            <w:tcW w:w="496" w:type="dxa"/>
            <w:vAlign w:val="center"/>
          </w:tcPr>
          <w:p w:rsidR="00AD54A3" w:rsidRPr="00984EF1" w:rsidRDefault="00AD54A3" w:rsidP="00FD47C7">
            <w:pPr>
              <w:jc w:val="center"/>
              <w:rPr>
                <w:rFonts w:ascii="Calibri" w:hAnsi="Calibri" w:cs="Calibri"/>
                <w:sz w:val="18"/>
                <w:szCs w:val="18"/>
              </w:rPr>
            </w:pPr>
            <w:r w:rsidRPr="00984EF1">
              <w:rPr>
                <w:rFonts w:ascii="Calibri" w:hAnsi="Calibri" w:cs="Calibri"/>
                <w:sz w:val="18"/>
                <w:szCs w:val="18"/>
              </w:rPr>
              <w:t>11</w:t>
            </w:r>
          </w:p>
        </w:tc>
        <w:tc>
          <w:tcPr>
            <w:tcW w:w="3118" w:type="dxa"/>
            <w:vAlign w:val="center"/>
          </w:tcPr>
          <w:p w:rsidR="00AD54A3" w:rsidRPr="00984EF1" w:rsidRDefault="00AD54A3" w:rsidP="00FD47C7">
            <w:pPr>
              <w:jc w:val="center"/>
              <w:rPr>
                <w:rFonts w:ascii="Calibri" w:hAnsi="Calibri" w:cs="Calibri"/>
                <w:sz w:val="18"/>
                <w:szCs w:val="18"/>
              </w:rPr>
            </w:pPr>
            <w:r w:rsidRPr="00984EF1">
              <w:rPr>
                <w:rFonts w:ascii="Calibri" w:hAnsi="Calibri" w:cs="Calibri"/>
                <w:sz w:val="18"/>
                <w:szCs w:val="18"/>
              </w:rPr>
              <w:t>Oznaczenie mrozoodporności</w:t>
            </w:r>
          </w:p>
        </w:tc>
        <w:tc>
          <w:tcPr>
            <w:tcW w:w="1276" w:type="dxa"/>
            <w:vAlign w:val="center"/>
          </w:tcPr>
          <w:p w:rsidR="00AD54A3" w:rsidRPr="00984EF1" w:rsidRDefault="00AD54A3" w:rsidP="00FD47C7">
            <w:pPr>
              <w:jc w:val="center"/>
              <w:rPr>
                <w:rFonts w:ascii="Calibri" w:hAnsi="Calibri" w:cs="Calibri"/>
                <w:sz w:val="18"/>
                <w:szCs w:val="18"/>
              </w:rPr>
            </w:pPr>
            <w:r w:rsidRPr="00984EF1">
              <w:rPr>
                <w:rFonts w:ascii="Calibri" w:hAnsi="Calibri" w:cs="Calibri"/>
                <w:sz w:val="18"/>
                <w:szCs w:val="18"/>
              </w:rPr>
              <w:t>Na zlecenie Inżyniera</w:t>
            </w:r>
          </w:p>
        </w:tc>
        <w:tc>
          <w:tcPr>
            <w:tcW w:w="2693" w:type="dxa"/>
            <w:vAlign w:val="center"/>
          </w:tcPr>
          <w:p w:rsidR="00AD54A3" w:rsidRPr="00984EF1" w:rsidRDefault="00AD54A3" w:rsidP="00FD47C7">
            <w:pPr>
              <w:jc w:val="center"/>
              <w:rPr>
                <w:rFonts w:ascii="Calibri" w:hAnsi="Calibri" w:cs="Calibri"/>
                <w:sz w:val="18"/>
                <w:szCs w:val="18"/>
              </w:rPr>
            </w:pPr>
            <w:r w:rsidRPr="00984EF1">
              <w:rPr>
                <w:rFonts w:ascii="Calibri" w:hAnsi="Calibri" w:cs="Calibri"/>
                <w:sz w:val="18"/>
                <w:szCs w:val="18"/>
              </w:rPr>
              <w:t>p. 5.4</w:t>
            </w:r>
          </w:p>
        </w:tc>
      </w:tr>
      <w:tr w:rsidR="00AD54A3" w:rsidRPr="00984EF1" w:rsidTr="00FD47C7">
        <w:tc>
          <w:tcPr>
            <w:tcW w:w="496" w:type="dxa"/>
            <w:vAlign w:val="center"/>
          </w:tcPr>
          <w:p w:rsidR="00AD54A3" w:rsidRPr="00984EF1" w:rsidRDefault="00AD54A3" w:rsidP="00FD47C7">
            <w:pPr>
              <w:jc w:val="center"/>
              <w:rPr>
                <w:rFonts w:ascii="Calibri" w:hAnsi="Calibri" w:cs="Calibri"/>
                <w:sz w:val="18"/>
                <w:szCs w:val="18"/>
              </w:rPr>
            </w:pPr>
            <w:r w:rsidRPr="00984EF1">
              <w:rPr>
                <w:rFonts w:ascii="Calibri" w:hAnsi="Calibri" w:cs="Calibri"/>
                <w:sz w:val="18"/>
                <w:szCs w:val="18"/>
              </w:rPr>
              <w:t>12</w:t>
            </w:r>
          </w:p>
        </w:tc>
        <w:tc>
          <w:tcPr>
            <w:tcW w:w="3118" w:type="dxa"/>
            <w:vAlign w:val="center"/>
          </w:tcPr>
          <w:p w:rsidR="00AD54A3" w:rsidRPr="00984EF1" w:rsidRDefault="00AD54A3" w:rsidP="00FD47C7">
            <w:pPr>
              <w:jc w:val="center"/>
              <w:rPr>
                <w:rFonts w:ascii="Calibri" w:hAnsi="Calibri" w:cs="Calibri"/>
                <w:sz w:val="18"/>
                <w:szCs w:val="18"/>
              </w:rPr>
            </w:pPr>
            <w:r w:rsidRPr="00984EF1">
              <w:rPr>
                <w:rFonts w:ascii="Calibri" w:hAnsi="Calibri" w:cs="Calibri"/>
                <w:sz w:val="18"/>
                <w:szCs w:val="18"/>
              </w:rPr>
              <w:t>Wykonanie robót wykończeniowych</w:t>
            </w:r>
          </w:p>
        </w:tc>
        <w:tc>
          <w:tcPr>
            <w:tcW w:w="1276" w:type="dxa"/>
            <w:vAlign w:val="center"/>
          </w:tcPr>
          <w:p w:rsidR="00AD54A3" w:rsidRPr="00984EF1" w:rsidRDefault="00AD54A3" w:rsidP="00FD47C7">
            <w:pPr>
              <w:jc w:val="center"/>
              <w:rPr>
                <w:rFonts w:ascii="Calibri" w:hAnsi="Calibri" w:cs="Calibri"/>
                <w:sz w:val="18"/>
                <w:szCs w:val="18"/>
              </w:rPr>
            </w:pPr>
            <w:r w:rsidRPr="00984EF1">
              <w:rPr>
                <w:rFonts w:ascii="Calibri" w:hAnsi="Calibri" w:cs="Calibri"/>
                <w:sz w:val="18"/>
                <w:szCs w:val="18"/>
              </w:rPr>
              <w:t>Ocena ciągła</w:t>
            </w:r>
          </w:p>
        </w:tc>
        <w:tc>
          <w:tcPr>
            <w:tcW w:w="2693" w:type="dxa"/>
            <w:vAlign w:val="center"/>
          </w:tcPr>
          <w:p w:rsidR="00AD54A3" w:rsidRPr="00984EF1" w:rsidRDefault="00AD54A3" w:rsidP="00FD47C7">
            <w:pPr>
              <w:jc w:val="center"/>
              <w:rPr>
                <w:rFonts w:ascii="Calibri" w:hAnsi="Calibri" w:cs="Calibri"/>
                <w:sz w:val="18"/>
                <w:szCs w:val="18"/>
              </w:rPr>
            </w:pPr>
            <w:r w:rsidRPr="00984EF1">
              <w:rPr>
                <w:rFonts w:ascii="Calibri" w:hAnsi="Calibri" w:cs="Calibri"/>
                <w:sz w:val="18"/>
                <w:szCs w:val="18"/>
              </w:rPr>
              <w:t>Według punktu 5.9</w:t>
            </w:r>
          </w:p>
        </w:tc>
      </w:tr>
    </w:tbl>
    <w:p w:rsidR="0014295F" w:rsidRDefault="0014295F" w:rsidP="00AD54A3">
      <w:pPr>
        <w:rPr>
          <w:rFonts w:ascii="Calibri" w:hAnsi="Calibri" w:cs="Calibri"/>
          <w:b/>
        </w:rPr>
      </w:pPr>
    </w:p>
    <w:p w:rsidR="00AD54A3" w:rsidRPr="00984EF1" w:rsidRDefault="00AD54A3" w:rsidP="00AD54A3">
      <w:pPr>
        <w:rPr>
          <w:rFonts w:ascii="Calibri" w:hAnsi="Calibri" w:cs="Calibri"/>
        </w:rPr>
      </w:pPr>
      <w:r w:rsidRPr="00984EF1">
        <w:rPr>
          <w:rFonts w:ascii="Calibri" w:hAnsi="Calibri" w:cs="Calibri"/>
          <w:b/>
        </w:rPr>
        <w:t>6.4.</w:t>
      </w:r>
      <w:r w:rsidRPr="00984EF1">
        <w:rPr>
          <w:rFonts w:ascii="Calibri" w:hAnsi="Calibri" w:cs="Calibri"/>
        </w:rPr>
        <w:t xml:space="preserve"> Wymagania dotyczące cech geometrycznych i wytrzymałościowych podbudowy lub ulepszonego podłoża</w:t>
      </w:r>
    </w:p>
    <w:p w:rsidR="00AD54A3" w:rsidRDefault="00AD54A3" w:rsidP="00AD54A3">
      <w:pPr>
        <w:rPr>
          <w:rFonts w:ascii="Calibri" w:hAnsi="Calibri" w:cs="Calibri"/>
        </w:rPr>
      </w:pPr>
      <w:r w:rsidRPr="00984EF1">
        <w:rPr>
          <w:rFonts w:ascii="Calibri" w:hAnsi="Calibri" w:cs="Calibri"/>
        </w:rPr>
        <w:t>Częstotliwość oraz zakres badań i pomiarów dotyczących cech geometrycznych podaje tablica 8.</w:t>
      </w:r>
    </w:p>
    <w:p w:rsidR="00AD54A3" w:rsidRPr="00984EF1" w:rsidRDefault="00AD54A3" w:rsidP="00AD54A3">
      <w:pPr>
        <w:ind w:left="567"/>
        <w:rPr>
          <w:rFonts w:ascii="Calibri" w:hAnsi="Calibri" w:cs="Calibri"/>
          <w:b/>
        </w:rPr>
      </w:pPr>
      <w:bookmarkStart w:id="1408" w:name="_Toc332010317"/>
    </w:p>
    <w:p w:rsidR="00AD54A3" w:rsidRPr="00984EF1" w:rsidRDefault="00AD54A3" w:rsidP="00AD54A3">
      <w:pPr>
        <w:rPr>
          <w:rFonts w:ascii="Calibri" w:hAnsi="Calibri" w:cs="Calibri"/>
          <w:b/>
        </w:rPr>
      </w:pPr>
      <w:r w:rsidRPr="00984EF1">
        <w:rPr>
          <w:rFonts w:ascii="Calibri" w:hAnsi="Calibri" w:cs="Calibri"/>
          <w:b/>
        </w:rPr>
        <w:t>7. OBMIAR ROBOT</w:t>
      </w:r>
      <w:bookmarkEnd w:id="1408"/>
    </w:p>
    <w:p w:rsidR="00AD54A3" w:rsidRPr="00984EF1" w:rsidRDefault="00AD54A3" w:rsidP="00AD54A3">
      <w:pPr>
        <w:rPr>
          <w:rFonts w:ascii="Calibri" w:hAnsi="Calibri" w:cs="Calibri"/>
        </w:rPr>
      </w:pPr>
      <w:r w:rsidRPr="00984EF1">
        <w:rPr>
          <w:rFonts w:ascii="Calibri" w:hAnsi="Calibri" w:cs="Calibri"/>
          <w:b/>
        </w:rPr>
        <w:t>7.1.</w:t>
      </w:r>
      <w:r w:rsidRPr="00984EF1">
        <w:rPr>
          <w:rFonts w:ascii="Calibri" w:hAnsi="Calibri" w:cs="Calibri"/>
        </w:rPr>
        <w:t xml:space="preserve"> Ogólne zasady obmiaru robót</w:t>
      </w:r>
    </w:p>
    <w:p w:rsidR="00AD54A3" w:rsidRPr="00984EF1" w:rsidRDefault="00AD54A3" w:rsidP="00AD54A3">
      <w:pPr>
        <w:rPr>
          <w:rFonts w:ascii="Calibri" w:hAnsi="Calibri" w:cs="Calibri"/>
        </w:rPr>
      </w:pPr>
      <w:r w:rsidRPr="00984EF1">
        <w:rPr>
          <w:rFonts w:ascii="Calibri" w:hAnsi="Calibri" w:cs="Calibri"/>
        </w:rPr>
        <w:tab/>
        <w:t>Ogólne zasady obmiaru robót podano w ST D-M-00.00.00 „Wymagania ogólne”  pkt 7.</w:t>
      </w:r>
    </w:p>
    <w:p w:rsidR="00AD54A3" w:rsidRPr="00984EF1" w:rsidRDefault="00AD54A3" w:rsidP="00AD54A3">
      <w:pPr>
        <w:rPr>
          <w:rFonts w:ascii="Calibri" w:hAnsi="Calibri" w:cs="Calibri"/>
        </w:rPr>
      </w:pPr>
      <w:r w:rsidRPr="00984EF1">
        <w:rPr>
          <w:rFonts w:ascii="Calibri" w:hAnsi="Calibri" w:cs="Calibri"/>
          <w:b/>
        </w:rPr>
        <w:t>7.2.</w:t>
      </w:r>
      <w:r w:rsidRPr="00984EF1">
        <w:rPr>
          <w:rFonts w:ascii="Calibri" w:hAnsi="Calibri" w:cs="Calibri"/>
        </w:rPr>
        <w:t xml:space="preserve"> Jednostka obmiarowa</w:t>
      </w:r>
    </w:p>
    <w:p w:rsidR="00AD54A3" w:rsidRPr="00984EF1" w:rsidRDefault="00AD54A3" w:rsidP="00AD54A3">
      <w:pPr>
        <w:rPr>
          <w:rFonts w:ascii="Calibri" w:hAnsi="Calibri" w:cs="Calibri"/>
        </w:rPr>
      </w:pPr>
      <w:r w:rsidRPr="00984EF1">
        <w:rPr>
          <w:rFonts w:ascii="Calibri" w:hAnsi="Calibri" w:cs="Calibri"/>
        </w:rPr>
        <w:tab/>
        <w:t>Jednostką obmiarową jest 1 m2 (metr kwadratowy) wykonanej podbudowy i podłoża ulepszonego.</w:t>
      </w:r>
    </w:p>
    <w:p w:rsidR="00AD54A3" w:rsidRPr="00984EF1" w:rsidRDefault="00AD54A3" w:rsidP="00AD54A3">
      <w:pPr>
        <w:rPr>
          <w:rFonts w:ascii="Calibri" w:hAnsi="Calibri" w:cs="Calibri"/>
        </w:rPr>
      </w:pPr>
    </w:p>
    <w:p w:rsidR="00AD54A3" w:rsidRPr="00984EF1" w:rsidRDefault="00AD54A3" w:rsidP="00AD54A3">
      <w:pPr>
        <w:rPr>
          <w:rFonts w:ascii="Calibri" w:hAnsi="Calibri" w:cs="Calibri"/>
          <w:b/>
        </w:rPr>
      </w:pPr>
      <w:r w:rsidRPr="00984EF1">
        <w:rPr>
          <w:rFonts w:ascii="Calibri" w:hAnsi="Calibri" w:cs="Calibri"/>
          <w:b/>
        </w:rPr>
        <w:t xml:space="preserve"> </w:t>
      </w:r>
      <w:bookmarkStart w:id="1409" w:name="_Toc332010318"/>
      <w:r w:rsidRPr="00984EF1">
        <w:rPr>
          <w:rFonts w:ascii="Calibri" w:hAnsi="Calibri" w:cs="Calibri"/>
          <w:b/>
        </w:rPr>
        <w:t>8. ODBIÓR ROBÓT</w:t>
      </w:r>
      <w:bookmarkEnd w:id="1409"/>
    </w:p>
    <w:p w:rsidR="00AD54A3" w:rsidRPr="00984EF1" w:rsidRDefault="00AD54A3" w:rsidP="00AD54A3">
      <w:pPr>
        <w:rPr>
          <w:rFonts w:ascii="Calibri" w:hAnsi="Calibri" w:cs="Calibri"/>
        </w:rPr>
      </w:pPr>
      <w:r w:rsidRPr="00984EF1">
        <w:rPr>
          <w:rFonts w:ascii="Calibri" w:hAnsi="Calibri" w:cs="Calibri"/>
        </w:rPr>
        <w:tab/>
        <w:t>Ogólne zasady odbioru robót podano w ST D-M-00.00.00 „Wymagania ogólne”  pkt 8.</w:t>
      </w:r>
    </w:p>
    <w:p w:rsidR="00AD54A3" w:rsidRPr="00984EF1" w:rsidRDefault="00AD54A3" w:rsidP="00AD54A3">
      <w:pPr>
        <w:rPr>
          <w:rFonts w:ascii="Calibri" w:hAnsi="Calibri" w:cs="Calibri"/>
        </w:rPr>
      </w:pPr>
      <w:r w:rsidRPr="00984EF1">
        <w:rPr>
          <w:rFonts w:ascii="Calibri" w:hAnsi="Calibri" w:cs="Calibri"/>
        </w:rPr>
        <w:tab/>
        <w:t>Roboty uznaje się za wykonane zgodnie z dokumentacją projektową, ST i wymaganiami Inżyniera, jeżeli wszystkie pomiary i badania z zachowaniem tolerancji według punktu 6 dały wyniki pozytywne.</w:t>
      </w:r>
    </w:p>
    <w:p w:rsidR="00AD54A3" w:rsidRPr="00984EF1" w:rsidRDefault="00AD54A3" w:rsidP="00AD54A3">
      <w:pPr>
        <w:rPr>
          <w:rFonts w:ascii="Calibri" w:hAnsi="Calibri" w:cs="Calibri"/>
        </w:rPr>
      </w:pPr>
    </w:p>
    <w:p w:rsidR="00AD54A3" w:rsidRPr="00984EF1" w:rsidRDefault="00AD54A3" w:rsidP="00AD54A3">
      <w:pPr>
        <w:rPr>
          <w:rFonts w:ascii="Calibri" w:hAnsi="Calibri" w:cs="Calibri"/>
          <w:b/>
        </w:rPr>
      </w:pPr>
      <w:bookmarkStart w:id="1410" w:name="_Toc332010319"/>
      <w:r w:rsidRPr="00984EF1">
        <w:rPr>
          <w:rFonts w:ascii="Calibri" w:hAnsi="Calibri" w:cs="Calibri"/>
          <w:b/>
        </w:rPr>
        <w:t>9. PODSTAWA PŁATNOŚCI</w:t>
      </w:r>
      <w:bookmarkEnd w:id="1410"/>
    </w:p>
    <w:p w:rsidR="00AD54A3" w:rsidRPr="00984EF1" w:rsidRDefault="00AD54A3" w:rsidP="00AD54A3">
      <w:pPr>
        <w:rPr>
          <w:rFonts w:ascii="Calibri" w:hAnsi="Calibri" w:cs="Calibri"/>
        </w:rPr>
      </w:pPr>
      <w:r w:rsidRPr="00984EF1">
        <w:rPr>
          <w:rFonts w:ascii="Calibri" w:hAnsi="Calibri" w:cs="Calibri"/>
          <w:b/>
        </w:rPr>
        <w:t>9.1.</w:t>
      </w:r>
      <w:r w:rsidRPr="00984EF1">
        <w:rPr>
          <w:rFonts w:ascii="Calibri" w:hAnsi="Calibri" w:cs="Calibri"/>
        </w:rPr>
        <w:t xml:space="preserve"> Ogólne ustalenia dotyczące podstawy płatności</w:t>
      </w:r>
    </w:p>
    <w:p w:rsidR="00AD54A3" w:rsidRPr="00984EF1" w:rsidRDefault="00AD54A3" w:rsidP="00AD54A3">
      <w:pPr>
        <w:rPr>
          <w:rFonts w:ascii="Calibri" w:hAnsi="Calibri" w:cs="Calibri"/>
        </w:rPr>
      </w:pPr>
      <w:r w:rsidRPr="00984EF1">
        <w:rPr>
          <w:rFonts w:ascii="Calibri" w:hAnsi="Calibri" w:cs="Calibri"/>
        </w:rPr>
        <w:tab/>
        <w:t>Ogólne ustalenia dotyczące podstawy płatności podano w ST D-M-00.00.00 „Wymagania ogólne”  pkt 9.</w:t>
      </w:r>
    </w:p>
    <w:p w:rsidR="00AD54A3" w:rsidRPr="00984EF1" w:rsidRDefault="00AD54A3" w:rsidP="00AD54A3">
      <w:pPr>
        <w:rPr>
          <w:rFonts w:ascii="Calibri" w:hAnsi="Calibri" w:cs="Calibri"/>
        </w:rPr>
      </w:pPr>
      <w:r w:rsidRPr="00984EF1">
        <w:rPr>
          <w:rFonts w:ascii="Calibri" w:hAnsi="Calibri" w:cs="Calibri"/>
          <w:b/>
        </w:rPr>
        <w:t>9.2.</w:t>
      </w:r>
      <w:r w:rsidRPr="00984EF1">
        <w:rPr>
          <w:rFonts w:ascii="Calibri" w:hAnsi="Calibri" w:cs="Calibri"/>
        </w:rPr>
        <w:t xml:space="preserve"> Cena jednostki obmiarowej</w:t>
      </w:r>
    </w:p>
    <w:p w:rsidR="00AD54A3" w:rsidRPr="00984EF1" w:rsidRDefault="00AD54A3" w:rsidP="00AD54A3">
      <w:pPr>
        <w:rPr>
          <w:rFonts w:ascii="Calibri" w:hAnsi="Calibri" w:cs="Calibri"/>
        </w:rPr>
      </w:pPr>
      <w:r w:rsidRPr="00984EF1">
        <w:rPr>
          <w:rFonts w:ascii="Calibri" w:hAnsi="Calibri" w:cs="Calibri"/>
        </w:rPr>
        <w:tab/>
        <w:t>Cena wykonania  jednostki obmiarowej (</w:t>
      </w:r>
      <w:smartTag w:uri="urn:schemas-microsoft-com:office:smarttags" w:element="metricconverter">
        <w:smartTagPr>
          <w:attr w:name="ProductID" w:val="1 m2"/>
        </w:smartTagPr>
        <w:r w:rsidRPr="00984EF1">
          <w:rPr>
            <w:rFonts w:ascii="Calibri" w:hAnsi="Calibri" w:cs="Calibri"/>
          </w:rPr>
          <w:t>1 m2</w:t>
        </w:r>
      </w:smartTag>
      <w:r w:rsidRPr="00984EF1">
        <w:rPr>
          <w:rFonts w:ascii="Calibri" w:hAnsi="Calibri" w:cs="Calibri"/>
        </w:rPr>
        <w:t>) obejmuje:</w:t>
      </w:r>
    </w:p>
    <w:p w:rsidR="00AD54A3" w:rsidRPr="00984EF1" w:rsidRDefault="00AD54A3" w:rsidP="00AD54A3">
      <w:pPr>
        <w:rPr>
          <w:rFonts w:ascii="Calibri" w:hAnsi="Calibri" w:cs="Calibri"/>
        </w:rPr>
      </w:pPr>
      <w:r>
        <w:rPr>
          <w:rFonts w:ascii="Calibri" w:hAnsi="Calibri" w:cs="Calibri"/>
        </w:rPr>
        <w:t>-</w:t>
      </w:r>
      <w:r w:rsidRPr="00984EF1">
        <w:rPr>
          <w:rFonts w:ascii="Calibri" w:hAnsi="Calibri" w:cs="Calibri"/>
        </w:rPr>
        <w:t>prace pomiarowe i roboty przygotowawcze,</w:t>
      </w:r>
    </w:p>
    <w:p w:rsidR="00AD54A3" w:rsidRPr="00984EF1" w:rsidRDefault="00AD54A3" w:rsidP="00AD54A3">
      <w:pPr>
        <w:rPr>
          <w:rFonts w:ascii="Calibri" w:hAnsi="Calibri" w:cs="Calibri"/>
        </w:rPr>
      </w:pPr>
      <w:r>
        <w:rPr>
          <w:rFonts w:ascii="Calibri" w:hAnsi="Calibri" w:cs="Calibri"/>
        </w:rPr>
        <w:lastRenderedPageBreak/>
        <w:t>-</w:t>
      </w:r>
      <w:r w:rsidRPr="00984EF1">
        <w:rPr>
          <w:rFonts w:ascii="Calibri" w:hAnsi="Calibri" w:cs="Calibri"/>
        </w:rPr>
        <w:t>oznakowanie robót,</w:t>
      </w:r>
    </w:p>
    <w:p w:rsidR="00AD54A3" w:rsidRPr="00984EF1" w:rsidRDefault="00AD54A3" w:rsidP="00AD54A3">
      <w:pPr>
        <w:rPr>
          <w:rFonts w:ascii="Calibri" w:hAnsi="Calibri" w:cs="Calibri"/>
        </w:rPr>
      </w:pPr>
      <w:r>
        <w:rPr>
          <w:rFonts w:ascii="Calibri" w:hAnsi="Calibri" w:cs="Calibri"/>
        </w:rPr>
        <w:t>-</w:t>
      </w:r>
      <w:r w:rsidRPr="00984EF1">
        <w:rPr>
          <w:rFonts w:ascii="Calibri" w:hAnsi="Calibri" w:cs="Calibri"/>
        </w:rPr>
        <w:t>dostarczenie materiałów i sprzętu,</w:t>
      </w:r>
    </w:p>
    <w:p w:rsidR="00AD54A3" w:rsidRPr="00984EF1" w:rsidRDefault="00AD54A3" w:rsidP="00AD54A3">
      <w:pPr>
        <w:rPr>
          <w:rFonts w:ascii="Calibri" w:hAnsi="Calibri" w:cs="Calibri"/>
        </w:rPr>
      </w:pPr>
      <w:r>
        <w:rPr>
          <w:rFonts w:ascii="Calibri" w:hAnsi="Calibri" w:cs="Calibri"/>
        </w:rPr>
        <w:t>-</w:t>
      </w:r>
      <w:r w:rsidRPr="00984EF1">
        <w:rPr>
          <w:rFonts w:ascii="Calibri" w:hAnsi="Calibri" w:cs="Calibri"/>
        </w:rPr>
        <w:t>wyprodukowanie mieszanki i jej transport na miejsce wbudowania,</w:t>
      </w:r>
    </w:p>
    <w:p w:rsidR="00AD54A3" w:rsidRPr="00984EF1" w:rsidRDefault="00AD54A3" w:rsidP="00AD54A3">
      <w:pPr>
        <w:rPr>
          <w:rFonts w:ascii="Calibri" w:hAnsi="Calibri" w:cs="Calibri"/>
        </w:rPr>
      </w:pPr>
      <w:r>
        <w:rPr>
          <w:rFonts w:ascii="Calibri" w:hAnsi="Calibri" w:cs="Calibri"/>
        </w:rPr>
        <w:t>-</w:t>
      </w:r>
      <w:r w:rsidRPr="00984EF1">
        <w:rPr>
          <w:rFonts w:ascii="Calibri" w:hAnsi="Calibri" w:cs="Calibri"/>
        </w:rPr>
        <w:t>dostarczenie, ustawienie, rozebranie i odwiezienie prowadnic oraz innych materiałów i urządzeń pomocniczych,</w:t>
      </w:r>
    </w:p>
    <w:p w:rsidR="00AD54A3" w:rsidRPr="00984EF1" w:rsidRDefault="00AD54A3" w:rsidP="00AD54A3">
      <w:pPr>
        <w:rPr>
          <w:rFonts w:ascii="Calibri" w:hAnsi="Calibri" w:cs="Calibri"/>
        </w:rPr>
      </w:pPr>
      <w:r>
        <w:rPr>
          <w:rFonts w:ascii="Calibri" w:hAnsi="Calibri" w:cs="Calibri"/>
        </w:rPr>
        <w:t>-</w:t>
      </w:r>
      <w:r w:rsidRPr="00984EF1">
        <w:rPr>
          <w:rFonts w:ascii="Calibri" w:hAnsi="Calibri" w:cs="Calibri"/>
        </w:rPr>
        <w:t>rozłożenie i zagęszczenie mieszanki,</w:t>
      </w:r>
    </w:p>
    <w:p w:rsidR="00AD54A3" w:rsidRPr="00984EF1" w:rsidRDefault="00AD54A3" w:rsidP="00AD54A3">
      <w:pPr>
        <w:rPr>
          <w:rFonts w:ascii="Calibri" w:hAnsi="Calibri" w:cs="Calibri"/>
        </w:rPr>
      </w:pPr>
      <w:r>
        <w:rPr>
          <w:rFonts w:ascii="Calibri" w:hAnsi="Calibri" w:cs="Calibri"/>
        </w:rPr>
        <w:t>-</w:t>
      </w:r>
      <w:r w:rsidRPr="00984EF1">
        <w:rPr>
          <w:rFonts w:ascii="Calibri" w:hAnsi="Calibri" w:cs="Calibri"/>
        </w:rPr>
        <w:t>ew. nacięcie szczelin i wykonanie technologii przeciwspękaniowych,</w:t>
      </w:r>
    </w:p>
    <w:p w:rsidR="00AD54A3" w:rsidRPr="00984EF1" w:rsidRDefault="00AD54A3" w:rsidP="00AD54A3">
      <w:pPr>
        <w:rPr>
          <w:rFonts w:ascii="Calibri" w:hAnsi="Calibri" w:cs="Calibri"/>
        </w:rPr>
      </w:pPr>
      <w:r>
        <w:rPr>
          <w:rFonts w:ascii="Calibri" w:hAnsi="Calibri" w:cs="Calibri"/>
        </w:rPr>
        <w:t>-</w:t>
      </w:r>
      <w:r w:rsidRPr="00984EF1">
        <w:rPr>
          <w:rFonts w:ascii="Calibri" w:hAnsi="Calibri" w:cs="Calibri"/>
        </w:rPr>
        <w:t>pielęgnacja wykonanej warstwy,</w:t>
      </w:r>
    </w:p>
    <w:p w:rsidR="00AD54A3" w:rsidRPr="00984EF1" w:rsidRDefault="00AD54A3" w:rsidP="00AD54A3">
      <w:pPr>
        <w:rPr>
          <w:rFonts w:ascii="Calibri" w:hAnsi="Calibri" w:cs="Calibri"/>
        </w:rPr>
      </w:pPr>
      <w:r>
        <w:rPr>
          <w:rFonts w:ascii="Calibri" w:hAnsi="Calibri" w:cs="Calibri"/>
        </w:rPr>
        <w:t>-</w:t>
      </w:r>
      <w:r w:rsidRPr="00984EF1">
        <w:rPr>
          <w:rFonts w:ascii="Calibri" w:hAnsi="Calibri" w:cs="Calibri"/>
        </w:rPr>
        <w:t>przeprowadzenie wymaganych  pomiarów i badań,</w:t>
      </w:r>
    </w:p>
    <w:p w:rsidR="00AD54A3" w:rsidRPr="00984EF1" w:rsidRDefault="00AD54A3" w:rsidP="00AD54A3">
      <w:pPr>
        <w:rPr>
          <w:rFonts w:ascii="Calibri" w:hAnsi="Calibri" w:cs="Calibri"/>
        </w:rPr>
      </w:pPr>
      <w:r>
        <w:rPr>
          <w:rFonts w:ascii="Calibri" w:hAnsi="Calibri" w:cs="Calibri"/>
        </w:rPr>
        <w:t>-</w:t>
      </w:r>
      <w:r w:rsidRPr="00984EF1">
        <w:rPr>
          <w:rFonts w:ascii="Calibri" w:hAnsi="Calibri" w:cs="Calibri"/>
        </w:rPr>
        <w:t>uporządkowanie terenu robót i jego otoczenia,</w:t>
      </w:r>
    </w:p>
    <w:p w:rsidR="00AD54A3" w:rsidRPr="00984EF1" w:rsidRDefault="00AD54A3" w:rsidP="00AD54A3">
      <w:pPr>
        <w:rPr>
          <w:rFonts w:ascii="Calibri" w:hAnsi="Calibri" w:cs="Calibri"/>
        </w:rPr>
      </w:pPr>
      <w:r>
        <w:rPr>
          <w:rFonts w:ascii="Calibri" w:hAnsi="Calibri" w:cs="Calibri"/>
        </w:rPr>
        <w:t>-</w:t>
      </w:r>
      <w:r w:rsidRPr="00984EF1">
        <w:rPr>
          <w:rFonts w:ascii="Calibri" w:hAnsi="Calibri" w:cs="Calibri"/>
        </w:rPr>
        <w:t>roboty wykończeniowe,</w:t>
      </w:r>
    </w:p>
    <w:p w:rsidR="00AD54A3" w:rsidRPr="00984EF1" w:rsidRDefault="00AD54A3" w:rsidP="00AD54A3">
      <w:pPr>
        <w:rPr>
          <w:rFonts w:ascii="Calibri" w:hAnsi="Calibri" w:cs="Calibri"/>
        </w:rPr>
      </w:pPr>
      <w:r>
        <w:rPr>
          <w:rFonts w:ascii="Calibri" w:hAnsi="Calibri" w:cs="Calibri"/>
        </w:rPr>
        <w:t>-</w:t>
      </w:r>
      <w:r w:rsidRPr="00984EF1">
        <w:rPr>
          <w:rFonts w:ascii="Calibri" w:hAnsi="Calibri" w:cs="Calibri"/>
        </w:rPr>
        <w:t>odwiezienie sprzętu.</w:t>
      </w:r>
    </w:p>
    <w:p w:rsidR="00AD54A3" w:rsidRPr="00984EF1" w:rsidRDefault="00AD54A3" w:rsidP="00AD54A3">
      <w:pPr>
        <w:rPr>
          <w:rFonts w:ascii="Calibri" w:hAnsi="Calibri" w:cs="Calibri"/>
        </w:rPr>
      </w:pPr>
      <w:r w:rsidRPr="00984EF1">
        <w:rPr>
          <w:rFonts w:ascii="Calibri" w:hAnsi="Calibri" w:cs="Calibri"/>
        </w:rPr>
        <w:t>Wszystkie roboty powinny być wykonane według wymagań dokumentacji projektowej, specyfikacji technicznej i postanowień Inżyniera.</w:t>
      </w:r>
    </w:p>
    <w:p w:rsidR="00AD54A3" w:rsidRPr="00984EF1" w:rsidRDefault="00AD54A3" w:rsidP="00AD54A3">
      <w:pPr>
        <w:rPr>
          <w:rFonts w:ascii="Calibri" w:hAnsi="Calibri" w:cs="Calibri"/>
        </w:rPr>
      </w:pPr>
      <w:r w:rsidRPr="00984EF1">
        <w:rPr>
          <w:rFonts w:ascii="Calibri" w:hAnsi="Calibri" w:cs="Calibri"/>
          <w:b/>
        </w:rPr>
        <w:t>9.3.</w:t>
      </w:r>
      <w:r w:rsidRPr="00984EF1">
        <w:rPr>
          <w:rFonts w:ascii="Calibri" w:hAnsi="Calibri" w:cs="Calibri"/>
        </w:rPr>
        <w:t xml:space="preserve"> Sposób rozliczenia robót tymczasowych i prac towarzyszących</w:t>
      </w:r>
    </w:p>
    <w:p w:rsidR="00AD54A3" w:rsidRPr="00984EF1" w:rsidRDefault="00AD54A3" w:rsidP="00AD54A3">
      <w:pPr>
        <w:rPr>
          <w:rFonts w:ascii="Calibri" w:hAnsi="Calibri" w:cs="Calibri"/>
        </w:rPr>
      </w:pPr>
      <w:r w:rsidRPr="00984EF1">
        <w:rPr>
          <w:rFonts w:ascii="Calibri" w:hAnsi="Calibri" w:cs="Calibri"/>
        </w:rPr>
        <w:tab/>
        <w:t>Cena wykonania robót określonych niniejszą ST obejmuje:</w:t>
      </w:r>
    </w:p>
    <w:p w:rsidR="00AD54A3" w:rsidRPr="00984EF1" w:rsidRDefault="00AD54A3" w:rsidP="00AD54A3">
      <w:pPr>
        <w:rPr>
          <w:rFonts w:ascii="Calibri" w:hAnsi="Calibri" w:cs="Calibri"/>
        </w:rPr>
      </w:pPr>
      <w:r>
        <w:rPr>
          <w:rFonts w:ascii="Calibri" w:hAnsi="Calibri" w:cs="Calibri"/>
        </w:rPr>
        <w:t>-</w:t>
      </w:r>
      <w:r w:rsidRPr="00984EF1">
        <w:rPr>
          <w:rFonts w:ascii="Calibri" w:hAnsi="Calibri" w:cs="Calibri"/>
        </w:rPr>
        <w:t>roboty tymczasowe, które są potrzebne do wykonania robót podstawowych, ale nie są przekazywane Zamawiającemu i są usuwane po wykonaniu robót podstawowych,</w:t>
      </w:r>
    </w:p>
    <w:p w:rsidR="00AD54A3" w:rsidRPr="00984EF1" w:rsidRDefault="00AD54A3" w:rsidP="00AD54A3">
      <w:pPr>
        <w:rPr>
          <w:rFonts w:ascii="Calibri" w:hAnsi="Calibri" w:cs="Calibri"/>
        </w:rPr>
      </w:pPr>
      <w:r>
        <w:rPr>
          <w:rFonts w:ascii="Calibri" w:hAnsi="Calibri" w:cs="Calibri"/>
        </w:rPr>
        <w:t>-</w:t>
      </w:r>
      <w:r w:rsidRPr="00984EF1">
        <w:rPr>
          <w:rFonts w:ascii="Calibri" w:hAnsi="Calibri" w:cs="Calibri"/>
        </w:rPr>
        <w:t>prace towarzyszące, które są niezbędne do wykonania robót podstawowych, niezaliczane do robót tymczasowych, jak geodezyjne wytyczenie robót itd.</w:t>
      </w:r>
    </w:p>
    <w:p w:rsidR="002C6A04" w:rsidRDefault="002C6A04" w:rsidP="00AD54A3">
      <w:pPr>
        <w:rPr>
          <w:rFonts w:ascii="Calibri" w:hAnsi="Calibri" w:cs="Calibri"/>
          <w:b/>
        </w:rPr>
      </w:pPr>
      <w:bookmarkStart w:id="1411" w:name="_Toc332010320"/>
    </w:p>
    <w:p w:rsidR="00AD54A3" w:rsidRPr="00984EF1" w:rsidRDefault="00AD54A3" w:rsidP="00AD54A3">
      <w:pPr>
        <w:rPr>
          <w:rFonts w:ascii="Calibri" w:hAnsi="Calibri" w:cs="Calibri"/>
          <w:b/>
        </w:rPr>
      </w:pPr>
      <w:r w:rsidRPr="00984EF1">
        <w:rPr>
          <w:rFonts w:ascii="Calibri" w:hAnsi="Calibri" w:cs="Calibri"/>
          <w:b/>
        </w:rPr>
        <w:t>10. PRZEPISY ZWIĄZANE</w:t>
      </w:r>
      <w:bookmarkEnd w:id="1411"/>
    </w:p>
    <w:p w:rsidR="00AD54A3" w:rsidRPr="00984EF1" w:rsidRDefault="00AD54A3" w:rsidP="00AD54A3">
      <w:pPr>
        <w:rPr>
          <w:rFonts w:ascii="Calibri" w:hAnsi="Calibri" w:cs="Calibri"/>
        </w:rPr>
      </w:pPr>
      <w:r w:rsidRPr="00984EF1">
        <w:rPr>
          <w:rFonts w:ascii="Calibri" w:hAnsi="Calibri" w:cs="Calibri"/>
          <w:b/>
        </w:rPr>
        <w:t>10.1.</w:t>
      </w:r>
      <w:r w:rsidRPr="00984EF1">
        <w:rPr>
          <w:rFonts w:ascii="Calibri" w:hAnsi="Calibri" w:cs="Calibri"/>
        </w:rPr>
        <w:t xml:space="preserve"> Specyfikacje techniczne (ST)</w:t>
      </w:r>
    </w:p>
    <w:tbl>
      <w:tblPr>
        <w:tblW w:w="0" w:type="auto"/>
        <w:tblLayout w:type="fixed"/>
        <w:tblCellMar>
          <w:left w:w="70" w:type="dxa"/>
          <w:right w:w="70" w:type="dxa"/>
        </w:tblCellMar>
        <w:tblLook w:val="0000"/>
      </w:tblPr>
      <w:tblGrid>
        <w:gridCol w:w="637"/>
        <w:gridCol w:w="1701"/>
        <w:gridCol w:w="5172"/>
      </w:tblGrid>
      <w:tr w:rsidR="00AD54A3" w:rsidRPr="00984EF1" w:rsidTr="00FD47C7">
        <w:tc>
          <w:tcPr>
            <w:tcW w:w="637" w:type="dxa"/>
          </w:tcPr>
          <w:p w:rsidR="00AD54A3" w:rsidRPr="00984EF1" w:rsidRDefault="00AD54A3" w:rsidP="00FD47C7">
            <w:pPr>
              <w:rPr>
                <w:rFonts w:ascii="Calibri" w:hAnsi="Calibri" w:cs="Calibri"/>
              </w:rPr>
            </w:pPr>
            <w:r w:rsidRPr="00984EF1">
              <w:rPr>
                <w:rFonts w:ascii="Calibri" w:hAnsi="Calibri" w:cs="Calibri"/>
              </w:rPr>
              <w:t>1.</w:t>
            </w:r>
          </w:p>
        </w:tc>
        <w:tc>
          <w:tcPr>
            <w:tcW w:w="1701" w:type="dxa"/>
          </w:tcPr>
          <w:p w:rsidR="00AD54A3" w:rsidRPr="00984EF1" w:rsidRDefault="00AD54A3" w:rsidP="00FD47C7">
            <w:pPr>
              <w:rPr>
                <w:rFonts w:ascii="Calibri" w:hAnsi="Calibri" w:cs="Calibri"/>
              </w:rPr>
            </w:pPr>
            <w:r w:rsidRPr="00984EF1">
              <w:rPr>
                <w:rFonts w:ascii="Calibri" w:hAnsi="Calibri" w:cs="Calibri"/>
              </w:rPr>
              <w:t xml:space="preserve"> D-M-00.00.00</w:t>
            </w:r>
          </w:p>
        </w:tc>
        <w:tc>
          <w:tcPr>
            <w:tcW w:w="5172" w:type="dxa"/>
          </w:tcPr>
          <w:p w:rsidR="00AD54A3" w:rsidRPr="00984EF1" w:rsidRDefault="00AD54A3" w:rsidP="00FD47C7">
            <w:pPr>
              <w:rPr>
                <w:rFonts w:ascii="Calibri" w:hAnsi="Calibri" w:cs="Calibri"/>
              </w:rPr>
            </w:pPr>
            <w:r w:rsidRPr="00984EF1">
              <w:rPr>
                <w:rFonts w:ascii="Calibri" w:hAnsi="Calibri" w:cs="Calibri"/>
              </w:rPr>
              <w:t>Wymagania ogólne</w:t>
            </w:r>
          </w:p>
        </w:tc>
      </w:tr>
      <w:tr w:rsidR="00AD54A3" w:rsidRPr="00984EF1" w:rsidTr="00FD47C7">
        <w:tc>
          <w:tcPr>
            <w:tcW w:w="637" w:type="dxa"/>
          </w:tcPr>
          <w:p w:rsidR="00AD54A3" w:rsidRPr="00984EF1" w:rsidRDefault="00AD54A3" w:rsidP="00FD47C7">
            <w:pPr>
              <w:rPr>
                <w:rFonts w:ascii="Calibri" w:hAnsi="Calibri" w:cs="Calibri"/>
              </w:rPr>
            </w:pPr>
            <w:r w:rsidRPr="00984EF1">
              <w:rPr>
                <w:rFonts w:ascii="Calibri" w:hAnsi="Calibri" w:cs="Calibri"/>
              </w:rPr>
              <w:t>2.</w:t>
            </w:r>
          </w:p>
        </w:tc>
        <w:tc>
          <w:tcPr>
            <w:tcW w:w="1701" w:type="dxa"/>
          </w:tcPr>
          <w:p w:rsidR="00AD54A3" w:rsidRPr="00984EF1" w:rsidRDefault="00AD54A3" w:rsidP="00FD47C7">
            <w:pPr>
              <w:rPr>
                <w:rFonts w:ascii="Calibri" w:hAnsi="Calibri" w:cs="Calibri"/>
              </w:rPr>
            </w:pPr>
            <w:r w:rsidRPr="00984EF1">
              <w:rPr>
                <w:rFonts w:ascii="Calibri" w:hAnsi="Calibri" w:cs="Calibri"/>
              </w:rPr>
              <w:t xml:space="preserve"> D-01.00.00</w:t>
            </w:r>
          </w:p>
        </w:tc>
        <w:tc>
          <w:tcPr>
            <w:tcW w:w="5172" w:type="dxa"/>
          </w:tcPr>
          <w:p w:rsidR="00AD54A3" w:rsidRPr="00984EF1" w:rsidRDefault="00AD54A3" w:rsidP="00FD47C7">
            <w:pPr>
              <w:rPr>
                <w:rFonts w:ascii="Calibri" w:hAnsi="Calibri" w:cs="Calibri"/>
              </w:rPr>
            </w:pPr>
            <w:r w:rsidRPr="00984EF1">
              <w:rPr>
                <w:rFonts w:ascii="Calibri" w:hAnsi="Calibri" w:cs="Calibri"/>
              </w:rPr>
              <w:t>Roboty przygotowawcze</w:t>
            </w:r>
          </w:p>
        </w:tc>
      </w:tr>
      <w:tr w:rsidR="00AD54A3" w:rsidRPr="00984EF1" w:rsidTr="00FD47C7">
        <w:tc>
          <w:tcPr>
            <w:tcW w:w="637" w:type="dxa"/>
          </w:tcPr>
          <w:p w:rsidR="00AD54A3" w:rsidRPr="00984EF1" w:rsidRDefault="00AD54A3" w:rsidP="00FD47C7">
            <w:pPr>
              <w:rPr>
                <w:rFonts w:ascii="Calibri" w:hAnsi="Calibri" w:cs="Calibri"/>
              </w:rPr>
            </w:pPr>
            <w:r w:rsidRPr="00984EF1">
              <w:rPr>
                <w:rFonts w:ascii="Calibri" w:hAnsi="Calibri" w:cs="Calibri"/>
              </w:rPr>
              <w:t>3.</w:t>
            </w:r>
          </w:p>
        </w:tc>
        <w:tc>
          <w:tcPr>
            <w:tcW w:w="1701" w:type="dxa"/>
          </w:tcPr>
          <w:p w:rsidR="00AD54A3" w:rsidRPr="00984EF1" w:rsidRDefault="00AD54A3" w:rsidP="00FD47C7">
            <w:pPr>
              <w:rPr>
                <w:rFonts w:ascii="Calibri" w:hAnsi="Calibri" w:cs="Calibri"/>
              </w:rPr>
            </w:pPr>
            <w:r w:rsidRPr="00984EF1">
              <w:rPr>
                <w:rFonts w:ascii="Calibri" w:hAnsi="Calibri" w:cs="Calibri"/>
              </w:rPr>
              <w:t xml:space="preserve"> D-02.00.00</w:t>
            </w:r>
          </w:p>
        </w:tc>
        <w:tc>
          <w:tcPr>
            <w:tcW w:w="5172" w:type="dxa"/>
          </w:tcPr>
          <w:p w:rsidR="00AD54A3" w:rsidRPr="00984EF1" w:rsidRDefault="00AD54A3" w:rsidP="00FD47C7">
            <w:pPr>
              <w:rPr>
                <w:rFonts w:ascii="Calibri" w:hAnsi="Calibri" w:cs="Calibri"/>
              </w:rPr>
            </w:pPr>
            <w:r w:rsidRPr="00984EF1">
              <w:rPr>
                <w:rFonts w:ascii="Calibri" w:hAnsi="Calibri" w:cs="Calibri"/>
              </w:rPr>
              <w:t>Roboty ziemne</w:t>
            </w:r>
          </w:p>
        </w:tc>
      </w:tr>
      <w:tr w:rsidR="00AD54A3" w:rsidRPr="00984EF1" w:rsidTr="00FD47C7">
        <w:tc>
          <w:tcPr>
            <w:tcW w:w="637" w:type="dxa"/>
          </w:tcPr>
          <w:p w:rsidR="00AD54A3" w:rsidRPr="00984EF1" w:rsidRDefault="00AD54A3" w:rsidP="00FD47C7">
            <w:pPr>
              <w:rPr>
                <w:rFonts w:ascii="Calibri" w:hAnsi="Calibri" w:cs="Calibri"/>
              </w:rPr>
            </w:pPr>
            <w:r w:rsidRPr="00984EF1">
              <w:rPr>
                <w:rFonts w:ascii="Calibri" w:hAnsi="Calibri" w:cs="Calibri"/>
              </w:rPr>
              <w:t>4.</w:t>
            </w:r>
          </w:p>
        </w:tc>
        <w:tc>
          <w:tcPr>
            <w:tcW w:w="1701" w:type="dxa"/>
          </w:tcPr>
          <w:p w:rsidR="00AD54A3" w:rsidRPr="00984EF1" w:rsidRDefault="00AD54A3" w:rsidP="00FD47C7">
            <w:pPr>
              <w:rPr>
                <w:rFonts w:ascii="Calibri" w:hAnsi="Calibri" w:cs="Calibri"/>
              </w:rPr>
            </w:pPr>
            <w:r w:rsidRPr="00984EF1">
              <w:rPr>
                <w:rFonts w:ascii="Calibri" w:hAnsi="Calibri" w:cs="Calibri"/>
              </w:rPr>
              <w:t xml:space="preserve"> D-04.01.01</w:t>
            </w:r>
          </w:p>
        </w:tc>
        <w:tc>
          <w:tcPr>
            <w:tcW w:w="5172" w:type="dxa"/>
          </w:tcPr>
          <w:p w:rsidR="00AD54A3" w:rsidRPr="00984EF1" w:rsidRDefault="00AD54A3" w:rsidP="00FD47C7">
            <w:pPr>
              <w:rPr>
                <w:rFonts w:ascii="Calibri" w:hAnsi="Calibri" w:cs="Calibri"/>
              </w:rPr>
            </w:pPr>
            <w:r w:rsidRPr="00984EF1">
              <w:rPr>
                <w:rFonts w:ascii="Calibri" w:hAnsi="Calibri" w:cs="Calibri"/>
              </w:rPr>
              <w:t>Koryto wraz z profilowaniem i zagęszczeniem podłoża</w:t>
            </w:r>
          </w:p>
        </w:tc>
      </w:tr>
    </w:tbl>
    <w:p w:rsidR="00AD54A3" w:rsidRPr="00984EF1" w:rsidRDefault="00AD54A3" w:rsidP="00AD54A3">
      <w:pPr>
        <w:rPr>
          <w:rFonts w:ascii="Calibri" w:hAnsi="Calibri" w:cs="Calibri"/>
        </w:rPr>
      </w:pPr>
      <w:r w:rsidRPr="00984EF1">
        <w:rPr>
          <w:rFonts w:ascii="Calibri" w:hAnsi="Calibri" w:cs="Calibri"/>
          <w:b/>
        </w:rPr>
        <w:t>10.2.</w:t>
      </w:r>
      <w:r w:rsidRPr="00984EF1">
        <w:rPr>
          <w:rFonts w:ascii="Calibri" w:hAnsi="Calibri" w:cs="Calibri"/>
        </w:rPr>
        <w:t xml:space="preserve"> Normy</w:t>
      </w:r>
    </w:p>
    <w:tbl>
      <w:tblPr>
        <w:tblW w:w="0" w:type="auto"/>
        <w:tblLook w:val="01E0"/>
      </w:tblPr>
      <w:tblGrid>
        <w:gridCol w:w="675"/>
        <w:gridCol w:w="1701"/>
        <w:gridCol w:w="5135"/>
      </w:tblGrid>
      <w:tr w:rsidR="00AD54A3" w:rsidRPr="00984EF1" w:rsidTr="00FD47C7">
        <w:tc>
          <w:tcPr>
            <w:tcW w:w="675" w:type="dxa"/>
          </w:tcPr>
          <w:p w:rsidR="00AD54A3" w:rsidRPr="00984EF1" w:rsidRDefault="00AD54A3" w:rsidP="00FD47C7">
            <w:pPr>
              <w:rPr>
                <w:rFonts w:ascii="Calibri" w:hAnsi="Calibri" w:cs="Calibri"/>
              </w:rPr>
            </w:pPr>
            <w:r w:rsidRPr="00984EF1">
              <w:rPr>
                <w:rFonts w:ascii="Calibri" w:hAnsi="Calibri" w:cs="Calibri"/>
              </w:rPr>
              <w:t>5.</w:t>
            </w:r>
          </w:p>
        </w:tc>
        <w:tc>
          <w:tcPr>
            <w:tcW w:w="1701" w:type="dxa"/>
          </w:tcPr>
          <w:p w:rsidR="00AD54A3" w:rsidRPr="00984EF1" w:rsidRDefault="00AD54A3" w:rsidP="00FD47C7">
            <w:pPr>
              <w:rPr>
                <w:rFonts w:ascii="Calibri" w:hAnsi="Calibri" w:cs="Calibri"/>
              </w:rPr>
            </w:pPr>
            <w:r w:rsidRPr="00984EF1">
              <w:rPr>
                <w:rFonts w:ascii="Calibri" w:hAnsi="Calibri" w:cs="Calibri"/>
              </w:rPr>
              <w:t>PN-EN 197-1</w:t>
            </w:r>
          </w:p>
        </w:tc>
        <w:tc>
          <w:tcPr>
            <w:tcW w:w="5135" w:type="dxa"/>
          </w:tcPr>
          <w:p w:rsidR="00AD54A3" w:rsidRPr="00984EF1" w:rsidRDefault="00AD54A3" w:rsidP="00FD47C7">
            <w:pPr>
              <w:rPr>
                <w:rFonts w:ascii="Calibri" w:hAnsi="Calibri" w:cs="Calibri"/>
              </w:rPr>
            </w:pPr>
            <w:r w:rsidRPr="00984EF1">
              <w:rPr>
                <w:rFonts w:ascii="Calibri" w:hAnsi="Calibri" w:cs="Calibri"/>
              </w:rPr>
              <w:t>Cement – Część 1: Skład, wymagania i kryteria zgodności dotyczące cementów powszechnego użytku</w:t>
            </w:r>
          </w:p>
        </w:tc>
      </w:tr>
      <w:tr w:rsidR="00AD54A3" w:rsidRPr="00984EF1" w:rsidTr="00FD47C7">
        <w:tc>
          <w:tcPr>
            <w:tcW w:w="675" w:type="dxa"/>
          </w:tcPr>
          <w:p w:rsidR="00AD54A3" w:rsidRPr="00984EF1" w:rsidRDefault="00AD54A3" w:rsidP="00FD47C7">
            <w:pPr>
              <w:rPr>
                <w:rFonts w:ascii="Calibri" w:hAnsi="Calibri" w:cs="Calibri"/>
              </w:rPr>
            </w:pPr>
            <w:r w:rsidRPr="00984EF1">
              <w:rPr>
                <w:rFonts w:ascii="Calibri" w:hAnsi="Calibri" w:cs="Calibri"/>
              </w:rPr>
              <w:t>6.</w:t>
            </w:r>
          </w:p>
        </w:tc>
        <w:tc>
          <w:tcPr>
            <w:tcW w:w="1701" w:type="dxa"/>
          </w:tcPr>
          <w:p w:rsidR="00AD54A3" w:rsidRPr="00984EF1" w:rsidRDefault="00AD54A3" w:rsidP="00FD47C7">
            <w:pPr>
              <w:rPr>
                <w:rFonts w:ascii="Calibri" w:hAnsi="Calibri" w:cs="Calibri"/>
              </w:rPr>
            </w:pPr>
            <w:r w:rsidRPr="00984EF1">
              <w:rPr>
                <w:rFonts w:ascii="Calibri" w:hAnsi="Calibri" w:cs="Calibri"/>
              </w:rPr>
              <w:t>PN-EN 933-1</w:t>
            </w:r>
          </w:p>
        </w:tc>
        <w:tc>
          <w:tcPr>
            <w:tcW w:w="5135" w:type="dxa"/>
          </w:tcPr>
          <w:p w:rsidR="00AD54A3" w:rsidRPr="00984EF1" w:rsidRDefault="00AD54A3" w:rsidP="00FD47C7">
            <w:pPr>
              <w:rPr>
                <w:rFonts w:ascii="Calibri" w:hAnsi="Calibri" w:cs="Calibri"/>
              </w:rPr>
            </w:pPr>
            <w:r w:rsidRPr="00984EF1">
              <w:rPr>
                <w:rFonts w:ascii="Calibri" w:hAnsi="Calibri" w:cs="Calibri"/>
              </w:rPr>
              <w:t>Badania geometrycznych właściwości kruszyw – Oznaczanie składu ziarnowego – Metoda przesiewania</w:t>
            </w:r>
          </w:p>
        </w:tc>
      </w:tr>
      <w:tr w:rsidR="00AD54A3" w:rsidRPr="00984EF1" w:rsidTr="00FD47C7">
        <w:tc>
          <w:tcPr>
            <w:tcW w:w="675" w:type="dxa"/>
          </w:tcPr>
          <w:p w:rsidR="00AD54A3" w:rsidRPr="00984EF1" w:rsidRDefault="00AD54A3" w:rsidP="00FD47C7">
            <w:pPr>
              <w:rPr>
                <w:rFonts w:ascii="Calibri" w:hAnsi="Calibri" w:cs="Calibri"/>
              </w:rPr>
            </w:pPr>
            <w:r w:rsidRPr="00984EF1">
              <w:rPr>
                <w:rFonts w:ascii="Calibri" w:hAnsi="Calibri" w:cs="Calibri"/>
              </w:rPr>
              <w:t>7.</w:t>
            </w:r>
          </w:p>
        </w:tc>
        <w:tc>
          <w:tcPr>
            <w:tcW w:w="1701" w:type="dxa"/>
          </w:tcPr>
          <w:p w:rsidR="00AD54A3" w:rsidRPr="00984EF1" w:rsidRDefault="00AD54A3" w:rsidP="00FD47C7">
            <w:pPr>
              <w:rPr>
                <w:rFonts w:ascii="Calibri" w:hAnsi="Calibri" w:cs="Calibri"/>
              </w:rPr>
            </w:pPr>
            <w:r w:rsidRPr="00984EF1">
              <w:rPr>
                <w:rFonts w:ascii="Calibri" w:hAnsi="Calibri" w:cs="Calibri"/>
              </w:rPr>
              <w:t>PN-EN 933-3</w:t>
            </w:r>
          </w:p>
        </w:tc>
        <w:tc>
          <w:tcPr>
            <w:tcW w:w="5135" w:type="dxa"/>
          </w:tcPr>
          <w:p w:rsidR="00AD54A3" w:rsidRPr="00984EF1" w:rsidRDefault="00AD54A3" w:rsidP="00FD47C7">
            <w:pPr>
              <w:rPr>
                <w:rFonts w:ascii="Calibri" w:hAnsi="Calibri" w:cs="Calibri"/>
              </w:rPr>
            </w:pPr>
            <w:r w:rsidRPr="00984EF1">
              <w:rPr>
                <w:rFonts w:ascii="Calibri" w:hAnsi="Calibri" w:cs="Calibri"/>
              </w:rPr>
              <w:t>Badania geometrycznych właściwości kruszyw – Oznaczanie kształtu ziaren za pomocą wskaźnika płaskości</w:t>
            </w:r>
          </w:p>
        </w:tc>
      </w:tr>
      <w:tr w:rsidR="00AD54A3" w:rsidRPr="00984EF1" w:rsidTr="00FD47C7">
        <w:tc>
          <w:tcPr>
            <w:tcW w:w="675" w:type="dxa"/>
          </w:tcPr>
          <w:p w:rsidR="00AD54A3" w:rsidRPr="00984EF1" w:rsidRDefault="00AD54A3" w:rsidP="00FD47C7">
            <w:pPr>
              <w:rPr>
                <w:rFonts w:ascii="Calibri" w:hAnsi="Calibri" w:cs="Calibri"/>
              </w:rPr>
            </w:pPr>
            <w:r w:rsidRPr="00984EF1">
              <w:rPr>
                <w:rFonts w:ascii="Calibri" w:hAnsi="Calibri" w:cs="Calibri"/>
              </w:rPr>
              <w:t>8.</w:t>
            </w:r>
          </w:p>
        </w:tc>
        <w:tc>
          <w:tcPr>
            <w:tcW w:w="1701" w:type="dxa"/>
          </w:tcPr>
          <w:p w:rsidR="00AD54A3" w:rsidRPr="00984EF1" w:rsidRDefault="00AD54A3" w:rsidP="00FD47C7">
            <w:pPr>
              <w:rPr>
                <w:rFonts w:ascii="Calibri" w:hAnsi="Calibri" w:cs="Calibri"/>
              </w:rPr>
            </w:pPr>
            <w:r w:rsidRPr="00984EF1">
              <w:rPr>
                <w:rFonts w:ascii="Calibri" w:hAnsi="Calibri" w:cs="Calibri"/>
              </w:rPr>
              <w:t>PN-EN 933-4</w:t>
            </w:r>
          </w:p>
        </w:tc>
        <w:tc>
          <w:tcPr>
            <w:tcW w:w="5135" w:type="dxa"/>
          </w:tcPr>
          <w:p w:rsidR="00AD54A3" w:rsidRPr="00984EF1" w:rsidRDefault="00AD54A3" w:rsidP="00FD47C7">
            <w:pPr>
              <w:rPr>
                <w:rFonts w:ascii="Calibri" w:hAnsi="Calibri" w:cs="Calibri"/>
              </w:rPr>
            </w:pPr>
            <w:r w:rsidRPr="00984EF1">
              <w:rPr>
                <w:rFonts w:ascii="Calibri" w:hAnsi="Calibri" w:cs="Calibri"/>
              </w:rPr>
              <w:t>Badania geometrycznych właściwości kruszyw – Oznaczanie kształtu ziaren – Wskaźnik kształtu</w:t>
            </w:r>
          </w:p>
        </w:tc>
      </w:tr>
      <w:tr w:rsidR="00AD54A3" w:rsidRPr="00984EF1" w:rsidTr="00FD47C7">
        <w:tc>
          <w:tcPr>
            <w:tcW w:w="675" w:type="dxa"/>
          </w:tcPr>
          <w:p w:rsidR="00AD54A3" w:rsidRPr="00984EF1" w:rsidRDefault="00AD54A3" w:rsidP="00FD47C7">
            <w:pPr>
              <w:rPr>
                <w:rFonts w:ascii="Calibri" w:hAnsi="Calibri" w:cs="Calibri"/>
              </w:rPr>
            </w:pPr>
            <w:r w:rsidRPr="00984EF1">
              <w:rPr>
                <w:rFonts w:ascii="Calibri" w:hAnsi="Calibri" w:cs="Calibri"/>
              </w:rPr>
              <w:t>9.</w:t>
            </w:r>
          </w:p>
        </w:tc>
        <w:tc>
          <w:tcPr>
            <w:tcW w:w="1701" w:type="dxa"/>
          </w:tcPr>
          <w:p w:rsidR="00AD54A3" w:rsidRPr="00984EF1" w:rsidRDefault="00AD54A3" w:rsidP="00FD47C7">
            <w:pPr>
              <w:rPr>
                <w:rFonts w:ascii="Calibri" w:hAnsi="Calibri" w:cs="Calibri"/>
              </w:rPr>
            </w:pPr>
            <w:r w:rsidRPr="00984EF1">
              <w:rPr>
                <w:rFonts w:ascii="Calibri" w:hAnsi="Calibri" w:cs="Calibri"/>
              </w:rPr>
              <w:t>PN-EN 933-5</w:t>
            </w:r>
          </w:p>
        </w:tc>
        <w:tc>
          <w:tcPr>
            <w:tcW w:w="5135" w:type="dxa"/>
          </w:tcPr>
          <w:p w:rsidR="00AD54A3" w:rsidRPr="00984EF1" w:rsidRDefault="00AD54A3" w:rsidP="00FD47C7">
            <w:pPr>
              <w:rPr>
                <w:rFonts w:ascii="Calibri" w:hAnsi="Calibri" w:cs="Calibri"/>
              </w:rPr>
            </w:pPr>
            <w:r w:rsidRPr="00984EF1">
              <w:rPr>
                <w:rFonts w:ascii="Calibri" w:hAnsi="Calibri" w:cs="Calibri"/>
              </w:rPr>
              <w:t>Badania geometrycznych właściwości kruszyw – Oznaczanie procentowej zawartości ziaren o powierzchniach powstałych w wyniku przekruszenia lub łamania kruszyw grubych</w:t>
            </w:r>
          </w:p>
        </w:tc>
      </w:tr>
      <w:tr w:rsidR="00AD54A3" w:rsidRPr="00984EF1" w:rsidTr="00FD47C7">
        <w:tc>
          <w:tcPr>
            <w:tcW w:w="675" w:type="dxa"/>
          </w:tcPr>
          <w:p w:rsidR="00AD54A3" w:rsidRPr="00984EF1" w:rsidRDefault="00AD54A3" w:rsidP="00FD47C7">
            <w:pPr>
              <w:rPr>
                <w:rFonts w:ascii="Calibri" w:hAnsi="Calibri" w:cs="Calibri"/>
              </w:rPr>
            </w:pPr>
            <w:r w:rsidRPr="00984EF1">
              <w:rPr>
                <w:rFonts w:ascii="Calibri" w:hAnsi="Calibri" w:cs="Calibri"/>
              </w:rPr>
              <w:t>10.</w:t>
            </w:r>
          </w:p>
        </w:tc>
        <w:tc>
          <w:tcPr>
            <w:tcW w:w="1701" w:type="dxa"/>
          </w:tcPr>
          <w:p w:rsidR="00AD54A3" w:rsidRPr="00984EF1" w:rsidRDefault="00AD54A3" w:rsidP="00FD47C7">
            <w:pPr>
              <w:rPr>
                <w:rFonts w:ascii="Calibri" w:hAnsi="Calibri" w:cs="Calibri"/>
              </w:rPr>
            </w:pPr>
            <w:r w:rsidRPr="00984EF1">
              <w:rPr>
                <w:rFonts w:ascii="Calibri" w:hAnsi="Calibri" w:cs="Calibri"/>
              </w:rPr>
              <w:t>PN-EN 934-2</w:t>
            </w:r>
          </w:p>
        </w:tc>
        <w:tc>
          <w:tcPr>
            <w:tcW w:w="5135" w:type="dxa"/>
          </w:tcPr>
          <w:p w:rsidR="00AD54A3" w:rsidRPr="00984EF1" w:rsidRDefault="00AD54A3" w:rsidP="00FD47C7">
            <w:pPr>
              <w:rPr>
                <w:rFonts w:ascii="Calibri" w:hAnsi="Calibri" w:cs="Calibri"/>
              </w:rPr>
            </w:pPr>
            <w:r w:rsidRPr="00984EF1">
              <w:rPr>
                <w:rFonts w:ascii="Calibri" w:hAnsi="Calibri" w:cs="Calibri"/>
              </w:rPr>
              <w:t>Domieszki do betonu, zaprawy i zaczynu – Domieszki do betonu – Definicje i wymagania</w:t>
            </w:r>
          </w:p>
        </w:tc>
      </w:tr>
      <w:tr w:rsidR="00AD54A3" w:rsidRPr="00984EF1" w:rsidTr="00FD47C7">
        <w:tc>
          <w:tcPr>
            <w:tcW w:w="675" w:type="dxa"/>
          </w:tcPr>
          <w:p w:rsidR="00AD54A3" w:rsidRPr="00984EF1" w:rsidRDefault="00AD54A3" w:rsidP="00FD47C7">
            <w:pPr>
              <w:rPr>
                <w:rFonts w:ascii="Calibri" w:hAnsi="Calibri" w:cs="Calibri"/>
              </w:rPr>
            </w:pPr>
            <w:r w:rsidRPr="00984EF1">
              <w:rPr>
                <w:rFonts w:ascii="Calibri" w:hAnsi="Calibri" w:cs="Calibri"/>
              </w:rPr>
              <w:t>11.</w:t>
            </w:r>
          </w:p>
        </w:tc>
        <w:tc>
          <w:tcPr>
            <w:tcW w:w="1701" w:type="dxa"/>
          </w:tcPr>
          <w:p w:rsidR="00AD54A3" w:rsidRPr="00984EF1" w:rsidRDefault="00AD54A3" w:rsidP="00FD47C7">
            <w:pPr>
              <w:rPr>
                <w:rFonts w:ascii="Calibri" w:hAnsi="Calibri" w:cs="Calibri"/>
              </w:rPr>
            </w:pPr>
            <w:r w:rsidRPr="00984EF1">
              <w:rPr>
                <w:rFonts w:ascii="Calibri" w:hAnsi="Calibri" w:cs="Calibri"/>
              </w:rPr>
              <w:t>PN-EN 1008</w:t>
            </w:r>
          </w:p>
        </w:tc>
        <w:tc>
          <w:tcPr>
            <w:tcW w:w="5135" w:type="dxa"/>
          </w:tcPr>
          <w:p w:rsidR="00AD54A3" w:rsidRPr="00984EF1" w:rsidRDefault="00AD54A3" w:rsidP="00FD47C7">
            <w:pPr>
              <w:rPr>
                <w:rFonts w:ascii="Calibri" w:hAnsi="Calibri" w:cs="Calibri"/>
              </w:rPr>
            </w:pPr>
            <w:r w:rsidRPr="00984EF1">
              <w:rPr>
                <w:rFonts w:ascii="Calibri" w:hAnsi="Calibri" w:cs="Calibri"/>
              </w:rPr>
              <w:t>Woda zarobowa do betonu – Specyfikacja pobierania próbek, badanie i ocena przydatności wody zarobowej do betonu, w tym wody odzyskanej z procesów produkcji betonu</w:t>
            </w:r>
          </w:p>
        </w:tc>
      </w:tr>
      <w:tr w:rsidR="00AD54A3" w:rsidRPr="00984EF1" w:rsidTr="00FD47C7">
        <w:tc>
          <w:tcPr>
            <w:tcW w:w="675" w:type="dxa"/>
          </w:tcPr>
          <w:p w:rsidR="00AD54A3" w:rsidRPr="00984EF1" w:rsidRDefault="00AD54A3" w:rsidP="00FD47C7">
            <w:pPr>
              <w:rPr>
                <w:rFonts w:ascii="Calibri" w:hAnsi="Calibri" w:cs="Calibri"/>
              </w:rPr>
            </w:pPr>
            <w:r w:rsidRPr="00984EF1">
              <w:rPr>
                <w:rFonts w:ascii="Calibri" w:hAnsi="Calibri" w:cs="Calibri"/>
              </w:rPr>
              <w:t>12.</w:t>
            </w:r>
          </w:p>
        </w:tc>
        <w:tc>
          <w:tcPr>
            <w:tcW w:w="1701" w:type="dxa"/>
          </w:tcPr>
          <w:p w:rsidR="00AD54A3" w:rsidRPr="00984EF1" w:rsidRDefault="00AD54A3" w:rsidP="00FD47C7">
            <w:pPr>
              <w:rPr>
                <w:rFonts w:ascii="Calibri" w:hAnsi="Calibri" w:cs="Calibri"/>
              </w:rPr>
            </w:pPr>
            <w:r w:rsidRPr="00984EF1">
              <w:rPr>
                <w:rFonts w:ascii="Calibri" w:hAnsi="Calibri" w:cs="Calibri"/>
              </w:rPr>
              <w:t>PN-EN 1097-1</w:t>
            </w:r>
          </w:p>
        </w:tc>
        <w:tc>
          <w:tcPr>
            <w:tcW w:w="5135" w:type="dxa"/>
          </w:tcPr>
          <w:p w:rsidR="00AD54A3" w:rsidRPr="00984EF1" w:rsidRDefault="00AD54A3" w:rsidP="00FD47C7">
            <w:pPr>
              <w:rPr>
                <w:rFonts w:ascii="Calibri" w:hAnsi="Calibri" w:cs="Calibri"/>
              </w:rPr>
            </w:pPr>
            <w:r w:rsidRPr="00984EF1">
              <w:rPr>
                <w:rFonts w:ascii="Calibri" w:hAnsi="Calibri" w:cs="Calibri"/>
              </w:rPr>
              <w:t>Badania mechanicznych i fizycznych właściwości kruszyw – Oznaczanie odporności na ścieranie (mikro-Deval)</w:t>
            </w:r>
          </w:p>
        </w:tc>
      </w:tr>
      <w:tr w:rsidR="00AD54A3" w:rsidRPr="00984EF1" w:rsidTr="00FD47C7">
        <w:tc>
          <w:tcPr>
            <w:tcW w:w="675" w:type="dxa"/>
          </w:tcPr>
          <w:p w:rsidR="00AD54A3" w:rsidRPr="00984EF1" w:rsidRDefault="00AD54A3" w:rsidP="00FD47C7">
            <w:pPr>
              <w:rPr>
                <w:rFonts w:ascii="Calibri" w:hAnsi="Calibri" w:cs="Calibri"/>
              </w:rPr>
            </w:pPr>
            <w:r w:rsidRPr="00984EF1">
              <w:rPr>
                <w:rFonts w:ascii="Calibri" w:hAnsi="Calibri" w:cs="Calibri"/>
              </w:rPr>
              <w:t>13.</w:t>
            </w:r>
          </w:p>
        </w:tc>
        <w:tc>
          <w:tcPr>
            <w:tcW w:w="1701" w:type="dxa"/>
          </w:tcPr>
          <w:p w:rsidR="00AD54A3" w:rsidRPr="00984EF1" w:rsidRDefault="00AD54A3" w:rsidP="00FD47C7">
            <w:pPr>
              <w:rPr>
                <w:rFonts w:ascii="Calibri" w:hAnsi="Calibri" w:cs="Calibri"/>
              </w:rPr>
            </w:pPr>
            <w:r w:rsidRPr="00984EF1">
              <w:rPr>
                <w:rFonts w:ascii="Calibri" w:hAnsi="Calibri" w:cs="Calibri"/>
              </w:rPr>
              <w:t>PN-EN 1097-2</w:t>
            </w:r>
          </w:p>
        </w:tc>
        <w:tc>
          <w:tcPr>
            <w:tcW w:w="5135" w:type="dxa"/>
          </w:tcPr>
          <w:p w:rsidR="00AD54A3" w:rsidRPr="00984EF1" w:rsidRDefault="00AD54A3" w:rsidP="00FD47C7">
            <w:pPr>
              <w:rPr>
                <w:rFonts w:ascii="Calibri" w:hAnsi="Calibri" w:cs="Calibri"/>
              </w:rPr>
            </w:pPr>
            <w:r w:rsidRPr="00984EF1">
              <w:rPr>
                <w:rFonts w:ascii="Calibri" w:hAnsi="Calibri" w:cs="Calibri"/>
              </w:rPr>
              <w:t>Badania mechanicznych i fizycznych właściwości kruszyw – Metody oznaczania odporności na rozdrabnianie</w:t>
            </w:r>
          </w:p>
        </w:tc>
      </w:tr>
      <w:tr w:rsidR="00AD54A3" w:rsidRPr="00984EF1" w:rsidTr="00FD47C7">
        <w:tc>
          <w:tcPr>
            <w:tcW w:w="675" w:type="dxa"/>
          </w:tcPr>
          <w:p w:rsidR="00AD54A3" w:rsidRPr="00984EF1" w:rsidRDefault="00AD54A3" w:rsidP="00FD47C7">
            <w:pPr>
              <w:rPr>
                <w:rFonts w:ascii="Calibri" w:hAnsi="Calibri" w:cs="Calibri"/>
              </w:rPr>
            </w:pPr>
            <w:r w:rsidRPr="00984EF1">
              <w:rPr>
                <w:rFonts w:ascii="Calibri" w:hAnsi="Calibri" w:cs="Calibri"/>
              </w:rPr>
              <w:t>14.</w:t>
            </w:r>
          </w:p>
        </w:tc>
        <w:tc>
          <w:tcPr>
            <w:tcW w:w="1701" w:type="dxa"/>
          </w:tcPr>
          <w:p w:rsidR="00AD54A3" w:rsidRPr="00984EF1" w:rsidRDefault="00AD54A3" w:rsidP="00FD47C7">
            <w:pPr>
              <w:rPr>
                <w:rFonts w:ascii="Calibri" w:hAnsi="Calibri" w:cs="Calibri"/>
              </w:rPr>
            </w:pPr>
            <w:r w:rsidRPr="00984EF1">
              <w:rPr>
                <w:rFonts w:ascii="Calibri" w:hAnsi="Calibri" w:cs="Calibri"/>
              </w:rPr>
              <w:t>PN-EN 1097-6</w:t>
            </w:r>
          </w:p>
        </w:tc>
        <w:tc>
          <w:tcPr>
            <w:tcW w:w="5135" w:type="dxa"/>
          </w:tcPr>
          <w:p w:rsidR="00AD54A3" w:rsidRPr="00984EF1" w:rsidRDefault="00AD54A3" w:rsidP="00FD47C7">
            <w:pPr>
              <w:rPr>
                <w:rFonts w:ascii="Calibri" w:hAnsi="Calibri" w:cs="Calibri"/>
              </w:rPr>
            </w:pPr>
            <w:r w:rsidRPr="00984EF1">
              <w:rPr>
                <w:rFonts w:ascii="Calibri" w:hAnsi="Calibri" w:cs="Calibri"/>
              </w:rPr>
              <w:t>Badania mechanicznych i fizycznych właściwości kruszyw – Część 6: Oznaczanie gęstości ziaren i nasiąkliwości</w:t>
            </w:r>
          </w:p>
        </w:tc>
      </w:tr>
      <w:tr w:rsidR="00AD54A3" w:rsidRPr="00984EF1" w:rsidTr="00FD47C7">
        <w:tc>
          <w:tcPr>
            <w:tcW w:w="675" w:type="dxa"/>
          </w:tcPr>
          <w:p w:rsidR="00AD54A3" w:rsidRPr="00984EF1" w:rsidRDefault="00AD54A3" w:rsidP="00FD47C7">
            <w:pPr>
              <w:rPr>
                <w:rFonts w:ascii="Calibri" w:hAnsi="Calibri" w:cs="Calibri"/>
              </w:rPr>
            </w:pPr>
            <w:r w:rsidRPr="00984EF1">
              <w:rPr>
                <w:rFonts w:ascii="Calibri" w:hAnsi="Calibri" w:cs="Calibri"/>
              </w:rPr>
              <w:t>15.</w:t>
            </w:r>
          </w:p>
        </w:tc>
        <w:tc>
          <w:tcPr>
            <w:tcW w:w="1701" w:type="dxa"/>
          </w:tcPr>
          <w:p w:rsidR="00AD54A3" w:rsidRPr="00984EF1" w:rsidRDefault="00AD54A3" w:rsidP="00FD47C7">
            <w:pPr>
              <w:rPr>
                <w:rFonts w:ascii="Calibri" w:hAnsi="Calibri" w:cs="Calibri"/>
              </w:rPr>
            </w:pPr>
            <w:r w:rsidRPr="00984EF1">
              <w:rPr>
                <w:rFonts w:ascii="Calibri" w:hAnsi="Calibri" w:cs="Calibri"/>
              </w:rPr>
              <w:t>PN-EN 1367-1</w:t>
            </w:r>
          </w:p>
        </w:tc>
        <w:tc>
          <w:tcPr>
            <w:tcW w:w="5135" w:type="dxa"/>
          </w:tcPr>
          <w:p w:rsidR="00AD54A3" w:rsidRPr="00984EF1" w:rsidRDefault="00AD54A3" w:rsidP="00FD47C7">
            <w:pPr>
              <w:rPr>
                <w:rFonts w:ascii="Calibri" w:hAnsi="Calibri" w:cs="Calibri"/>
              </w:rPr>
            </w:pPr>
            <w:r w:rsidRPr="00984EF1">
              <w:rPr>
                <w:rFonts w:ascii="Calibri" w:hAnsi="Calibri" w:cs="Calibri"/>
              </w:rPr>
              <w:t>Badania właściwości cieplnych i odporności kruszyw na działanie czynników atmosferycznych – Część 1: Oznaczanie mrozoodporności</w:t>
            </w:r>
          </w:p>
        </w:tc>
      </w:tr>
      <w:tr w:rsidR="00AD54A3" w:rsidRPr="00984EF1" w:rsidTr="00FD47C7">
        <w:tc>
          <w:tcPr>
            <w:tcW w:w="675" w:type="dxa"/>
          </w:tcPr>
          <w:p w:rsidR="00AD54A3" w:rsidRPr="00984EF1" w:rsidRDefault="00AD54A3" w:rsidP="00FD47C7">
            <w:pPr>
              <w:rPr>
                <w:rFonts w:ascii="Calibri" w:hAnsi="Calibri" w:cs="Calibri"/>
              </w:rPr>
            </w:pPr>
            <w:r w:rsidRPr="00984EF1">
              <w:rPr>
                <w:rFonts w:ascii="Calibri" w:hAnsi="Calibri" w:cs="Calibri"/>
              </w:rPr>
              <w:t>16.</w:t>
            </w:r>
          </w:p>
        </w:tc>
        <w:tc>
          <w:tcPr>
            <w:tcW w:w="1701" w:type="dxa"/>
          </w:tcPr>
          <w:p w:rsidR="00AD54A3" w:rsidRPr="00984EF1" w:rsidRDefault="00AD54A3" w:rsidP="00FD47C7">
            <w:pPr>
              <w:rPr>
                <w:rFonts w:ascii="Calibri" w:hAnsi="Calibri" w:cs="Calibri"/>
              </w:rPr>
            </w:pPr>
            <w:r w:rsidRPr="00984EF1">
              <w:rPr>
                <w:rFonts w:ascii="Calibri" w:hAnsi="Calibri" w:cs="Calibri"/>
              </w:rPr>
              <w:t>PN-EN 1367-3</w:t>
            </w:r>
          </w:p>
        </w:tc>
        <w:tc>
          <w:tcPr>
            <w:tcW w:w="5135" w:type="dxa"/>
          </w:tcPr>
          <w:p w:rsidR="00AD54A3" w:rsidRPr="00984EF1" w:rsidRDefault="00AD54A3" w:rsidP="00FD47C7">
            <w:pPr>
              <w:rPr>
                <w:rFonts w:ascii="Calibri" w:hAnsi="Calibri" w:cs="Calibri"/>
              </w:rPr>
            </w:pPr>
            <w:r w:rsidRPr="00984EF1">
              <w:rPr>
                <w:rFonts w:ascii="Calibri" w:hAnsi="Calibri" w:cs="Calibri"/>
              </w:rPr>
              <w:t>Badania właściwości cieplnych i odporności kruszyw na działanie czynników atmosferycznych – Część 3: Badanie bazaltowej zgorzeli słonecznej metodą gotowania</w:t>
            </w:r>
          </w:p>
        </w:tc>
      </w:tr>
      <w:tr w:rsidR="00AD54A3" w:rsidRPr="00984EF1" w:rsidTr="00FD47C7">
        <w:tc>
          <w:tcPr>
            <w:tcW w:w="675" w:type="dxa"/>
          </w:tcPr>
          <w:p w:rsidR="00AD54A3" w:rsidRPr="00984EF1" w:rsidRDefault="00AD54A3" w:rsidP="00FD47C7">
            <w:pPr>
              <w:rPr>
                <w:rFonts w:ascii="Calibri" w:hAnsi="Calibri" w:cs="Calibri"/>
              </w:rPr>
            </w:pPr>
            <w:r w:rsidRPr="00984EF1">
              <w:rPr>
                <w:rFonts w:ascii="Calibri" w:hAnsi="Calibri" w:cs="Calibri"/>
              </w:rPr>
              <w:t>17.</w:t>
            </w:r>
          </w:p>
        </w:tc>
        <w:tc>
          <w:tcPr>
            <w:tcW w:w="1701" w:type="dxa"/>
          </w:tcPr>
          <w:p w:rsidR="00AD54A3" w:rsidRPr="00984EF1" w:rsidRDefault="00AD54A3" w:rsidP="00FD47C7">
            <w:pPr>
              <w:rPr>
                <w:rFonts w:ascii="Calibri" w:hAnsi="Calibri" w:cs="Calibri"/>
              </w:rPr>
            </w:pPr>
            <w:r w:rsidRPr="00984EF1">
              <w:rPr>
                <w:rFonts w:ascii="Calibri" w:hAnsi="Calibri" w:cs="Calibri"/>
              </w:rPr>
              <w:t>PN-EN 1744-1</w:t>
            </w:r>
          </w:p>
        </w:tc>
        <w:tc>
          <w:tcPr>
            <w:tcW w:w="5135" w:type="dxa"/>
          </w:tcPr>
          <w:p w:rsidR="00AD54A3" w:rsidRPr="00984EF1" w:rsidRDefault="00AD54A3" w:rsidP="00FD47C7">
            <w:pPr>
              <w:rPr>
                <w:rFonts w:ascii="Calibri" w:hAnsi="Calibri" w:cs="Calibri"/>
              </w:rPr>
            </w:pPr>
            <w:r w:rsidRPr="00984EF1">
              <w:rPr>
                <w:rFonts w:ascii="Calibri" w:hAnsi="Calibri" w:cs="Calibri"/>
              </w:rPr>
              <w:t>Badania chemicznych właściwości kruszyw – Analiza chemiczna</w:t>
            </w:r>
          </w:p>
        </w:tc>
      </w:tr>
      <w:tr w:rsidR="00AD54A3" w:rsidRPr="00984EF1" w:rsidTr="00FD47C7">
        <w:tc>
          <w:tcPr>
            <w:tcW w:w="675" w:type="dxa"/>
          </w:tcPr>
          <w:p w:rsidR="00AD54A3" w:rsidRPr="00984EF1" w:rsidRDefault="00AD54A3" w:rsidP="00FD47C7">
            <w:pPr>
              <w:rPr>
                <w:rFonts w:ascii="Calibri" w:hAnsi="Calibri" w:cs="Calibri"/>
              </w:rPr>
            </w:pPr>
            <w:r w:rsidRPr="00984EF1">
              <w:rPr>
                <w:rFonts w:ascii="Calibri" w:hAnsi="Calibri" w:cs="Calibri"/>
              </w:rPr>
              <w:lastRenderedPageBreak/>
              <w:t>18.</w:t>
            </w:r>
          </w:p>
        </w:tc>
        <w:tc>
          <w:tcPr>
            <w:tcW w:w="1701" w:type="dxa"/>
          </w:tcPr>
          <w:p w:rsidR="00AD54A3" w:rsidRPr="00984EF1" w:rsidRDefault="00AD54A3" w:rsidP="00FD47C7">
            <w:pPr>
              <w:rPr>
                <w:rFonts w:ascii="Calibri" w:hAnsi="Calibri" w:cs="Calibri"/>
              </w:rPr>
            </w:pPr>
            <w:r w:rsidRPr="00984EF1">
              <w:rPr>
                <w:rFonts w:ascii="Calibri" w:hAnsi="Calibri" w:cs="Calibri"/>
              </w:rPr>
              <w:t>PN-EN 1744-3</w:t>
            </w:r>
          </w:p>
        </w:tc>
        <w:tc>
          <w:tcPr>
            <w:tcW w:w="5135" w:type="dxa"/>
          </w:tcPr>
          <w:p w:rsidR="00AD54A3" w:rsidRPr="00984EF1" w:rsidRDefault="00AD54A3" w:rsidP="00FD47C7">
            <w:pPr>
              <w:rPr>
                <w:rFonts w:ascii="Calibri" w:hAnsi="Calibri" w:cs="Calibri"/>
              </w:rPr>
            </w:pPr>
            <w:r w:rsidRPr="00984EF1">
              <w:rPr>
                <w:rFonts w:ascii="Calibri" w:hAnsi="Calibri" w:cs="Calibri"/>
              </w:rPr>
              <w:t>Badania chemicznych właściwości kruszyw – Część 3: Przygotowanie wyciągów przez wymywanie kruszyw</w:t>
            </w:r>
          </w:p>
        </w:tc>
      </w:tr>
      <w:tr w:rsidR="00AD54A3" w:rsidRPr="00984EF1" w:rsidTr="00FD47C7">
        <w:tc>
          <w:tcPr>
            <w:tcW w:w="675" w:type="dxa"/>
          </w:tcPr>
          <w:p w:rsidR="00AD54A3" w:rsidRPr="00984EF1" w:rsidRDefault="00AD54A3" w:rsidP="00FD47C7">
            <w:pPr>
              <w:rPr>
                <w:rFonts w:ascii="Calibri" w:hAnsi="Calibri" w:cs="Calibri"/>
              </w:rPr>
            </w:pPr>
            <w:r w:rsidRPr="00984EF1">
              <w:rPr>
                <w:rFonts w:ascii="Calibri" w:hAnsi="Calibri" w:cs="Calibri"/>
              </w:rPr>
              <w:t>19.</w:t>
            </w:r>
          </w:p>
        </w:tc>
        <w:tc>
          <w:tcPr>
            <w:tcW w:w="1701" w:type="dxa"/>
          </w:tcPr>
          <w:p w:rsidR="00AD54A3" w:rsidRPr="00984EF1" w:rsidRDefault="00AD54A3" w:rsidP="00FD47C7">
            <w:pPr>
              <w:rPr>
                <w:rFonts w:ascii="Calibri" w:hAnsi="Calibri" w:cs="Calibri"/>
              </w:rPr>
            </w:pPr>
            <w:r w:rsidRPr="00984EF1">
              <w:rPr>
                <w:rFonts w:ascii="Calibri" w:hAnsi="Calibri" w:cs="Calibri"/>
              </w:rPr>
              <w:t>PN-EN 13242</w:t>
            </w:r>
          </w:p>
        </w:tc>
        <w:tc>
          <w:tcPr>
            <w:tcW w:w="5135" w:type="dxa"/>
          </w:tcPr>
          <w:p w:rsidR="00AD54A3" w:rsidRPr="00984EF1" w:rsidRDefault="00AD54A3" w:rsidP="00FD47C7">
            <w:pPr>
              <w:rPr>
                <w:rFonts w:ascii="Calibri" w:hAnsi="Calibri" w:cs="Calibri"/>
              </w:rPr>
            </w:pPr>
            <w:r w:rsidRPr="00984EF1">
              <w:rPr>
                <w:rFonts w:ascii="Calibri" w:hAnsi="Calibri" w:cs="Calibri"/>
              </w:rPr>
              <w:t>Kruszywa do niezwiązanych i związanych hydraulicznie materiałów stosowanych w obiektach budowlanych i budownictwie drogowym</w:t>
            </w:r>
          </w:p>
        </w:tc>
      </w:tr>
      <w:tr w:rsidR="00AD54A3" w:rsidRPr="00984EF1" w:rsidTr="00FD47C7">
        <w:tc>
          <w:tcPr>
            <w:tcW w:w="675" w:type="dxa"/>
          </w:tcPr>
          <w:p w:rsidR="00AD54A3" w:rsidRPr="00984EF1" w:rsidRDefault="00AD54A3" w:rsidP="00FD47C7">
            <w:pPr>
              <w:rPr>
                <w:rFonts w:ascii="Calibri" w:hAnsi="Calibri" w:cs="Calibri"/>
              </w:rPr>
            </w:pPr>
            <w:r w:rsidRPr="00984EF1">
              <w:rPr>
                <w:rFonts w:ascii="Calibri" w:hAnsi="Calibri" w:cs="Calibri"/>
              </w:rPr>
              <w:t>20.</w:t>
            </w:r>
          </w:p>
        </w:tc>
        <w:tc>
          <w:tcPr>
            <w:tcW w:w="1701" w:type="dxa"/>
          </w:tcPr>
          <w:p w:rsidR="00AD54A3" w:rsidRPr="00984EF1" w:rsidRDefault="00AD54A3" w:rsidP="00FD47C7">
            <w:pPr>
              <w:rPr>
                <w:rFonts w:ascii="Calibri" w:hAnsi="Calibri" w:cs="Calibri"/>
              </w:rPr>
            </w:pPr>
            <w:r w:rsidRPr="00984EF1">
              <w:rPr>
                <w:rFonts w:ascii="Calibri" w:hAnsi="Calibri" w:cs="Calibri"/>
              </w:rPr>
              <w:t>PN-EN 13286-2</w:t>
            </w:r>
          </w:p>
        </w:tc>
        <w:tc>
          <w:tcPr>
            <w:tcW w:w="5135" w:type="dxa"/>
          </w:tcPr>
          <w:p w:rsidR="00AD54A3" w:rsidRPr="00984EF1" w:rsidRDefault="00AD54A3" w:rsidP="00FD47C7">
            <w:pPr>
              <w:rPr>
                <w:rFonts w:ascii="Calibri" w:hAnsi="Calibri" w:cs="Calibri"/>
              </w:rPr>
            </w:pPr>
            <w:r w:rsidRPr="00984EF1">
              <w:rPr>
                <w:rFonts w:ascii="Calibri" w:hAnsi="Calibri" w:cs="Calibri"/>
              </w:rPr>
              <w:t>Mieszanki niezwiązane i związane spoiwem hydraulicznym – Część 2: Metody określania gęstości i zawartości wody – Zagęszczanie metodą Proctora</w:t>
            </w:r>
          </w:p>
        </w:tc>
      </w:tr>
      <w:tr w:rsidR="00AD54A3" w:rsidRPr="00984EF1" w:rsidTr="00FD47C7">
        <w:tc>
          <w:tcPr>
            <w:tcW w:w="675" w:type="dxa"/>
          </w:tcPr>
          <w:p w:rsidR="00AD54A3" w:rsidRPr="00984EF1" w:rsidRDefault="00AD54A3" w:rsidP="00FD47C7">
            <w:pPr>
              <w:rPr>
                <w:rFonts w:ascii="Calibri" w:hAnsi="Calibri" w:cs="Calibri"/>
              </w:rPr>
            </w:pPr>
            <w:r w:rsidRPr="00984EF1">
              <w:rPr>
                <w:rFonts w:ascii="Calibri" w:hAnsi="Calibri" w:cs="Calibri"/>
              </w:rPr>
              <w:t>21.</w:t>
            </w:r>
          </w:p>
        </w:tc>
        <w:tc>
          <w:tcPr>
            <w:tcW w:w="1701" w:type="dxa"/>
          </w:tcPr>
          <w:p w:rsidR="00AD54A3" w:rsidRPr="00984EF1" w:rsidRDefault="00AD54A3" w:rsidP="00FD47C7">
            <w:pPr>
              <w:rPr>
                <w:rFonts w:ascii="Calibri" w:hAnsi="Calibri" w:cs="Calibri"/>
              </w:rPr>
            </w:pPr>
            <w:r w:rsidRPr="00984EF1">
              <w:rPr>
                <w:rFonts w:ascii="Calibri" w:hAnsi="Calibri" w:cs="Calibri"/>
              </w:rPr>
              <w:t>PN-EN 13286-41</w:t>
            </w:r>
          </w:p>
        </w:tc>
        <w:tc>
          <w:tcPr>
            <w:tcW w:w="5135" w:type="dxa"/>
          </w:tcPr>
          <w:p w:rsidR="00AD54A3" w:rsidRPr="00984EF1" w:rsidRDefault="00AD54A3" w:rsidP="00FD47C7">
            <w:pPr>
              <w:rPr>
                <w:rFonts w:ascii="Calibri" w:hAnsi="Calibri" w:cs="Calibri"/>
              </w:rPr>
            </w:pPr>
            <w:r w:rsidRPr="00984EF1">
              <w:rPr>
                <w:rFonts w:ascii="Calibri" w:hAnsi="Calibri" w:cs="Calibri"/>
              </w:rPr>
              <w:t>Mieszanki niezwiązane i związane spoiwem hydraulicznym – Część 41: Metoda oznaczania wytrzymałości na ściskanie mieszanek związanych spoiwem hydraulicznym</w:t>
            </w:r>
          </w:p>
        </w:tc>
      </w:tr>
      <w:tr w:rsidR="00AD54A3" w:rsidRPr="00984EF1" w:rsidTr="00FD47C7">
        <w:tc>
          <w:tcPr>
            <w:tcW w:w="675" w:type="dxa"/>
          </w:tcPr>
          <w:p w:rsidR="00AD54A3" w:rsidRPr="00984EF1" w:rsidRDefault="00AD54A3" w:rsidP="00FD47C7">
            <w:pPr>
              <w:rPr>
                <w:rFonts w:ascii="Calibri" w:hAnsi="Calibri" w:cs="Calibri"/>
              </w:rPr>
            </w:pPr>
            <w:r w:rsidRPr="00984EF1">
              <w:rPr>
                <w:rFonts w:ascii="Calibri" w:hAnsi="Calibri" w:cs="Calibri"/>
              </w:rPr>
              <w:t>22.</w:t>
            </w:r>
          </w:p>
        </w:tc>
        <w:tc>
          <w:tcPr>
            <w:tcW w:w="1701" w:type="dxa"/>
          </w:tcPr>
          <w:p w:rsidR="00AD54A3" w:rsidRPr="00984EF1" w:rsidRDefault="00AD54A3" w:rsidP="00FD47C7">
            <w:pPr>
              <w:rPr>
                <w:rFonts w:ascii="Calibri" w:hAnsi="Calibri" w:cs="Calibri"/>
              </w:rPr>
            </w:pPr>
            <w:r w:rsidRPr="00984EF1">
              <w:rPr>
                <w:rFonts w:ascii="Calibri" w:hAnsi="Calibri" w:cs="Calibri"/>
              </w:rPr>
              <w:t>PN-EN 13286-50</w:t>
            </w:r>
          </w:p>
        </w:tc>
        <w:tc>
          <w:tcPr>
            <w:tcW w:w="5135" w:type="dxa"/>
          </w:tcPr>
          <w:p w:rsidR="00AD54A3" w:rsidRPr="00984EF1" w:rsidRDefault="00AD54A3" w:rsidP="00FD47C7">
            <w:pPr>
              <w:rPr>
                <w:rFonts w:ascii="Calibri" w:hAnsi="Calibri" w:cs="Calibri"/>
              </w:rPr>
            </w:pPr>
            <w:r w:rsidRPr="00984EF1">
              <w:rPr>
                <w:rFonts w:ascii="Calibri" w:hAnsi="Calibri" w:cs="Calibri"/>
              </w:rPr>
              <w:t>Mieszanki niezwiązane i związane spoiwem hydraulicznym – Część 50: Metoda sporządzania próbek związanych hydraulicznie za pomocą aparatu Proctora lub zagęszczania na stole wibracyjnym</w:t>
            </w:r>
          </w:p>
        </w:tc>
      </w:tr>
      <w:tr w:rsidR="00AD54A3" w:rsidRPr="00984EF1" w:rsidTr="00FD47C7">
        <w:tc>
          <w:tcPr>
            <w:tcW w:w="675" w:type="dxa"/>
          </w:tcPr>
          <w:p w:rsidR="00AD54A3" w:rsidRPr="00984EF1" w:rsidRDefault="00AD54A3" w:rsidP="00FD47C7">
            <w:pPr>
              <w:rPr>
                <w:rFonts w:ascii="Calibri" w:hAnsi="Calibri" w:cs="Calibri"/>
              </w:rPr>
            </w:pPr>
            <w:r w:rsidRPr="00984EF1">
              <w:rPr>
                <w:rFonts w:ascii="Calibri" w:hAnsi="Calibri" w:cs="Calibri"/>
              </w:rPr>
              <w:t>23.</w:t>
            </w:r>
          </w:p>
        </w:tc>
        <w:tc>
          <w:tcPr>
            <w:tcW w:w="1701" w:type="dxa"/>
          </w:tcPr>
          <w:p w:rsidR="00AD54A3" w:rsidRPr="00984EF1" w:rsidRDefault="00AD54A3" w:rsidP="00FD47C7">
            <w:pPr>
              <w:rPr>
                <w:rFonts w:ascii="Calibri" w:hAnsi="Calibri" w:cs="Calibri"/>
              </w:rPr>
            </w:pPr>
            <w:r w:rsidRPr="00984EF1">
              <w:rPr>
                <w:rFonts w:ascii="Calibri" w:hAnsi="Calibri" w:cs="Calibri"/>
              </w:rPr>
              <w:t>PN-EN 14227-1</w:t>
            </w:r>
          </w:p>
        </w:tc>
        <w:tc>
          <w:tcPr>
            <w:tcW w:w="5135" w:type="dxa"/>
          </w:tcPr>
          <w:p w:rsidR="00AD54A3" w:rsidRPr="00984EF1" w:rsidRDefault="00AD54A3" w:rsidP="00FD47C7">
            <w:pPr>
              <w:rPr>
                <w:rFonts w:ascii="Calibri" w:hAnsi="Calibri" w:cs="Calibri"/>
              </w:rPr>
            </w:pPr>
            <w:r w:rsidRPr="00984EF1">
              <w:rPr>
                <w:rFonts w:ascii="Calibri" w:hAnsi="Calibri" w:cs="Calibri"/>
              </w:rPr>
              <w:t>Mieszanki związane spoiwem hydraulicznym – Wymagania – Część 1: Mieszanki związane cementem</w:t>
            </w:r>
          </w:p>
        </w:tc>
      </w:tr>
      <w:tr w:rsidR="00AD54A3" w:rsidRPr="00984EF1" w:rsidTr="00FD47C7">
        <w:tc>
          <w:tcPr>
            <w:tcW w:w="675" w:type="dxa"/>
          </w:tcPr>
          <w:p w:rsidR="00AD54A3" w:rsidRPr="00984EF1" w:rsidRDefault="00AD54A3" w:rsidP="00FD47C7">
            <w:pPr>
              <w:rPr>
                <w:rFonts w:ascii="Calibri" w:hAnsi="Calibri" w:cs="Calibri"/>
              </w:rPr>
            </w:pPr>
            <w:r w:rsidRPr="00984EF1">
              <w:rPr>
                <w:rFonts w:ascii="Calibri" w:hAnsi="Calibri" w:cs="Calibri"/>
              </w:rPr>
              <w:t>24.</w:t>
            </w:r>
          </w:p>
        </w:tc>
        <w:tc>
          <w:tcPr>
            <w:tcW w:w="1701" w:type="dxa"/>
          </w:tcPr>
          <w:p w:rsidR="00AD54A3" w:rsidRPr="00984EF1" w:rsidRDefault="00AD54A3" w:rsidP="00FD47C7">
            <w:pPr>
              <w:rPr>
                <w:rFonts w:ascii="Calibri" w:hAnsi="Calibri" w:cs="Calibri"/>
              </w:rPr>
            </w:pPr>
            <w:r w:rsidRPr="00984EF1">
              <w:rPr>
                <w:rFonts w:ascii="Calibri" w:hAnsi="Calibri" w:cs="Calibri"/>
              </w:rPr>
              <w:t>PN-EN 14227-10</w:t>
            </w:r>
          </w:p>
        </w:tc>
        <w:tc>
          <w:tcPr>
            <w:tcW w:w="5135" w:type="dxa"/>
          </w:tcPr>
          <w:p w:rsidR="00AD54A3" w:rsidRPr="00984EF1" w:rsidRDefault="00AD54A3" w:rsidP="00FD47C7">
            <w:pPr>
              <w:rPr>
                <w:rFonts w:ascii="Calibri" w:hAnsi="Calibri" w:cs="Calibri"/>
              </w:rPr>
            </w:pPr>
            <w:r w:rsidRPr="00984EF1">
              <w:rPr>
                <w:rFonts w:ascii="Calibri" w:hAnsi="Calibri" w:cs="Calibri"/>
              </w:rPr>
              <w:t>Mieszanki związane spoiwem hydraulicznym – Specyfikacja – Część 10: Grunty stabilizowane cementem</w:t>
            </w:r>
          </w:p>
        </w:tc>
      </w:tr>
    </w:tbl>
    <w:p w:rsidR="00AD54A3" w:rsidRPr="00984EF1" w:rsidRDefault="00AD54A3" w:rsidP="00AD54A3">
      <w:pPr>
        <w:rPr>
          <w:rFonts w:ascii="Calibri" w:hAnsi="Calibri" w:cs="Calibri"/>
        </w:rPr>
      </w:pPr>
      <w:r w:rsidRPr="00984EF1">
        <w:rPr>
          <w:rFonts w:ascii="Calibri" w:hAnsi="Calibri" w:cs="Calibri"/>
          <w:b/>
        </w:rPr>
        <w:t>10.3.</w:t>
      </w:r>
      <w:r w:rsidRPr="00984EF1">
        <w:rPr>
          <w:rFonts w:ascii="Calibri" w:hAnsi="Calibri" w:cs="Calibri"/>
        </w:rPr>
        <w:t xml:space="preserve"> Inne dokumenty</w:t>
      </w:r>
    </w:p>
    <w:p w:rsidR="00AD54A3" w:rsidRPr="00984EF1" w:rsidRDefault="00AD54A3" w:rsidP="00AD54A3">
      <w:pPr>
        <w:ind w:left="426" w:hanging="426"/>
        <w:rPr>
          <w:rFonts w:ascii="Calibri" w:hAnsi="Calibri" w:cs="Calibri"/>
        </w:rPr>
      </w:pPr>
      <w:r w:rsidRPr="00984EF1">
        <w:rPr>
          <w:rFonts w:ascii="Calibri" w:hAnsi="Calibri" w:cs="Calibri"/>
        </w:rPr>
        <w:t>25. Mieszanki związane spoiwem hydraulicznym do dróg krajowych – WT-5 2010 Wymagania techniczne (zalecone do stosowania w specyfikacji technicznej na roboty budowlane na drogach krajowych wg zarządzenia nr 102 GDDKiA z dnia 19.11.2010 r.)</w:t>
      </w:r>
    </w:p>
    <w:p w:rsidR="00AD54A3" w:rsidRPr="00984EF1" w:rsidRDefault="00AD54A3" w:rsidP="00AD54A3">
      <w:pPr>
        <w:ind w:left="426" w:hanging="426"/>
        <w:rPr>
          <w:rFonts w:ascii="Calibri" w:hAnsi="Calibri" w:cs="Calibri"/>
        </w:rPr>
      </w:pPr>
      <w:r w:rsidRPr="00984EF1">
        <w:rPr>
          <w:rFonts w:ascii="Calibri" w:hAnsi="Calibri" w:cs="Calibri"/>
        </w:rPr>
        <w:t>26. Rozporządzenie Ministra Transportu i Gospodarki Morskiej z dnia 2 marca 1999 r. w sprawie warunków technicznych, jakim powinny odpowiadać drogi publiczne i ich usytuowanie (Dz.U. nr 43, poz. 430)</w:t>
      </w:r>
    </w:p>
    <w:p w:rsidR="00AD54A3" w:rsidRPr="00984EF1" w:rsidRDefault="00AD54A3" w:rsidP="00AD54A3">
      <w:pPr>
        <w:ind w:left="426" w:hanging="426"/>
        <w:rPr>
          <w:rFonts w:ascii="Calibri" w:hAnsi="Calibri" w:cs="Calibri"/>
        </w:rPr>
      </w:pPr>
      <w:r w:rsidRPr="00984EF1">
        <w:rPr>
          <w:rFonts w:ascii="Calibri" w:hAnsi="Calibri" w:cs="Calibri"/>
        </w:rPr>
        <w:t>27. Katalog typowych konstrukcji nawierzchni podatnych i półsztywnych. Generalna Dyrekcja Dróg Publicznych – Instytut Badawczy Dróg i Mostów, Warszawa 1997</w:t>
      </w:r>
    </w:p>
    <w:p w:rsidR="00AD54A3" w:rsidRPr="00984EF1" w:rsidRDefault="00AD54A3" w:rsidP="00AD54A3">
      <w:pPr>
        <w:rPr>
          <w:rFonts w:ascii="Calibri" w:hAnsi="Calibri" w:cs="Calibri"/>
        </w:rPr>
      </w:pPr>
    </w:p>
    <w:p w:rsidR="00AD54A3" w:rsidRPr="00984EF1" w:rsidRDefault="00AD54A3" w:rsidP="00AD54A3">
      <w:pPr>
        <w:rPr>
          <w:rFonts w:ascii="Calibri" w:hAnsi="Calibri" w:cs="Calibri"/>
          <w:b/>
        </w:rPr>
      </w:pPr>
      <w:bookmarkStart w:id="1412" w:name="_Toc332010321"/>
      <w:r w:rsidRPr="00984EF1">
        <w:rPr>
          <w:rFonts w:ascii="Calibri" w:hAnsi="Calibri" w:cs="Calibri"/>
          <w:b/>
        </w:rPr>
        <w:t>11. ZAŁĄCZNIK</w:t>
      </w:r>
      <w:bookmarkEnd w:id="1412"/>
      <w:r w:rsidRPr="00984EF1">
        <w:rPr>
          <w:rFonts w:ascii="Calibri" w:hAnsi="Calibri" w:cs="Calibri"/>
          <w:b/>
        </w:rPr>
        <w:t>I</w:t>
      </w:r>
    </w:p>
    <w:p w:rsidR="00AD54A3" w:rsidRPr="00984EF1" w:rsidRDefault="00AD54A3" w:rsidP="00AD54A3">
      <w:pPr>
        <w:rPr>
          <w:rFonts w:ascii="Calibri" w:hAnsi="Calibri" w:cs="Calibri"/>
        </w:rPr>
      </w:pPr>
      <w:r w:rsidRPr="00984EF1">
        <w:rPr>
          <w:rFonts w:ascii="Calibri" w:hAnsi="Calibri" w:cs="Calibri"/>
        </w:rPr>
        <w:t>PODSTAWY  FORMALNE  OPRACOWANIA  ST</w:t>
      </w:r>
    </w:p>
    <w:p w:rsidR="00AD54A3" w:rsidRPr="00984EF1" w:rsidRDefault="00AD54A3" w:rsidP="00AD54A3">
      <w:pPr>
        <w:rPr>
          <w:rFonts w:ascii="Calibri" w:hAnsi="Calibri" w:cs="Calibri"/>
        </w:rPr>
      </w:pPr>
      <w:r w:rsidRPr="00984EF1">
        <w:rPr>
          <w:rFonts w:ascii="Calibri" w:hAnsi="Calibri" w:cs="Calibri"/>
        </w:rPr>
        <w:tab/>
        <w:t>W 2007 r. wprowadzono do zbioru Polskich Norm normę PN-EN 14227-1 „Mieszanki związane spoiwem hydraulicznym – Wymagania – Część 1: Mieszanki związane cementem”, opublikowaną w języku polskim. Norma jest normą klasyfikacyjną, nie określającą bezpośrednio wymagań wobec mieszanek do konkretnych zastosowań. Wprowadzenie normy do praktycznego stosowania umożliwia krajowy dokument aplikacyjny „Mieszanki związane spoiwem hydraulicznym do dróg krajowych – WT-5 2010 Wymagania techniczne” zalecony do stosowania w specyfikacjach technicznych wykonania i odbioru robót budowlanych, zarządzeniem nr 102 Generalnego Dyrektora Dróg Krajowych i Autostrad z 19 listopada 2010 r.</w:t>
      </w:r>
    </w:p>
    <w:p w:rsidR="00AD54A3" w:rsidRPr="00984EF1" w:rsidRDefault="00AD54A3" w:rsidP="00AD54A3">
      <w:pPr>
        <w:rPr>
          <w:rFonts w:ascii="Calibri" w:hAnsi="Calibri" w:cs="Calibri"/>
        </w:rPr>
      </w:pPr>
      <w:r w:rsidRPr="00984EF1">
        <w:rPr>
          <w:rFonts w:ascii="Calibri" w:hAnsi="Calibri" w:cs="Calibri"/>
        </w:rPr>
        <w:tab/>
        <w:t>Wyżej wymienione dwa dokumenty są pods</w:t>
      </w:r>
      <w:r>
        <w:rPr>
          <w:rFonts w:ascii="Calibri" w:hAnsi="Calibri" w:cs="Calibri"/>
        </w:rPr>
        <w:t xml:space="preserve">tawą do opracowania niniejszej </w:t>
      </w:r>
      <w:r w:rsidRPr="00984EF1">
        <w:rPr>
          <w:rFonts w:ascii="Calibri" w:hAnsi="Calibri" w:cs="Calibri"/>
        </w:rPr>
        <w:t>ST.</w:t>
      </w:r>
    </w:p>
    <w:p w:rsidR="00AD54A3" w:rsidRPr="00984EF1" w:rsidRDefault="00AD54A3" w:rsidP="00AD54A3">
      <w:pPr>
        <w:rPr>
          <w:rFonts w:ascii="Calibri" w:hAnsi="Calibri" w:cs="Calibri"/>
        </w:rPr>
      </w:pPr>
      <w:r w:rsidRPr="00984EF1">
        <w:rPr>
          <w:rFonts w:ascii="Calibri" w:hAnsi="Calibri" w:cs="Calibri"/>
        </w:rPr>
        <w:tab/>
        <w:t>Norma PN-EN 14227-1 wprowadza stosowanie kruszyw zgodnych z normą PN-EN 13242. Nowością jest dopuszczenie kruszyw sztucznych oraz kruszyw z recyklingu, a także oznaczenia pozaklasowe, o parametrach deklarowanych.</w:t>
      </w:r>
    </w:p>
    <w:p w:rsidR="00AD54A3" w:rsidRPr="00984EF1" w:rsidRDefault="00AD54A3" w:rsidP="00AD54A3">
      <w:pPr>
        <w:rPr>
          <w:rFonts w:ascii="Calibri" w:hAnsi="Calibri" w:cs="Calibri"/>
        </w:rPr>
      </w:pPr>
      <w:r w:rsidRPr="00984EF1">
        <w:rPr>
          <w:rFonts w:ascii="Calibri" w:hAnsi="Calibri" w:cs="Calibri"/>
        </w:rPr>
        <w:tab/>
        <w:t>Określony normą PN-EN 14227-1 zakres wytrzymałości na ściskanie mieszanek z kruszyw związanych cementem wynosi od 1,5 do 20 MPa. W tym przedziale mieszczą się wytrzymałości na ściskanie, charakteryzujące dotychczas stosowane w kraju mieszanki z chudego betonu (6÷9 MPa).</w:t>
      </w:r>
    </w:p>
    <w:p w:rsidR="00AD54A3" w:rsidRPr="00984EF1" w:rsidRDefault="00AD54A3" w:rsidP="00AD54A3">
      <w:pPr>
        <w:rPr>
          <w:rFonts w:ascii="Calibri" w:hAnsi="Calibri" w:cs="Calibri"/>
        </w:rPr>
      </w:pPr>
      <w:r w:rsidRPr="00984EF1">
        <w:rPr>
          <w:rFonts w:ascii="Calibri" w:hAnsi="Calibri" w:cs="Calibri"/>
        </w:rPr>
        <w:tab/>
        <w:t>Dotychczasowa normalizacja polska nie przewidywała oddzielnych norm PN dla kruszyw i gruntów stabilizowanych cementem. Obecnie w normach europejskich problem ten ujęto w dwóch normach:</w:t>
      </w:r>
    </w:p>
    <w:p w:rsidR="00AD54A3" w:rsidRPr="00984EF1" w:rsidRDefault="00AD54A3" w:rsidP="00AD54A3">
      <w:pPr>
        <w:rPr>
          <w:rFonts w:ascii="Calibri" w:hAnsi="Calibri" w:cs="Calibri"/>
        </w:rPr>
      </w:pPr>
      <w:r w:rsidRPr="00984EF1">
        <w:rPr>
          <w:rFonts w:ascii="Calibri" w:hAnsi="Calibri" w:cs="Calibri"/>
        </w:rPr>
        <w:t>PN-EN 14227-1, dotyczącej kruszyw związanych cementem,</w:t>
      </w:r>
    </w:p>
    <w:p w:rsidR="00AD54A3" w:rsidRPr="00984EF1" w:rsidRDefault="00AD54A3" w:rsidP="00AD54A3">
      <w:pPr>
        <w:rPr>
          <w:rFonts w:ascii="Calibri" w:hAnsi="Calibri" w:cs="Calibri"/>
        </w:rPr>
      </w:pPr>
      <w:r w:rsidRPr="00984EF1">
        <w:rPr>
          <w:rFonts w:ascii="Calibri" w:hAnsi="Calibri" w:cs="Calibri"/>
        </w:rPr>
        <w:t>PN-EN 14227-10, dotyczącej gruntów ulepszonych cementem.</w:t>
      </w:r>
    </w:p>
    <w:p w:rsidR="00AD54A3" w:rsidRPr="00984EF1" w:rsidRDefault="00AD54A3" w:rsidP="00AD54A3">
      <w:pPr>
        <w:rPr>
          <w:rFonts w:ascii="Calibri" w:hAnsi="Calibri" w:cs="Calibri"/>
        </w:rPr>
      </w:pPr>
      <w:r w:rsidRPr="00984EF1">
        <w:rPr>
          <w:rFonts w:ascii="Calibri" w:hAnsi="Calibri" w:cs="Calibri"/>
        </w:rPr>
        <w:t>Niniejsza ST nie dotyczy gruntów, lecz dotyczy tylko kruszyw związanych cementem, zastosowanych w podbudowie zasadniczej i pomocniczej oraz w podłożu ulepszonym. Warstwy nawierzchni ujęte w ST przedstawiono na rysunku warstw konstrukcji nawierzchni drogowej podatnej i półsztywnej.</w:t>
      </w:r>
    </w:p>
    <w:p w:rsidR="00AD54A3" w:rsidRDefault="00AD54A3" w:rsidP="00AD54A3">
      <w:pPr>
        <w:rPr>
          <w:rFonts w:ascii="Calibri" w:hAnsi="Calibri" w:cs="Calibri"/>
        </w:rPr>
      </w:pPr>
    </w:p>
    <w:p w:rsidR="002C6A04" w:rsidRDefault="002C6A04" w:rsidP="00AD54A3">
      <w:pPr>
        <w:rPr>
          <w:rFonts w:ascii="Calibri" w:hAnsi="Calibri" w:cs="Calibri"/>
        </w:rPr>
      </w:pPr>
    </w:p>
    <w:p w:rsidR="00A40D5E" w:rsidRDefault="00A40D5E" w:rsidP="00AD54A3">
      <w:pPr>
        <w:rPr>
          <w:rFonts w:ascii="Calibri" w:hAnsi="Calibri" w:cs="Calibri"/>
        </w:rPr>
      </w:pPr>
    </w:p>
    <w:p w:rsidR="00A40D5E" w:rsidRDefault="00A40D5E" w:rsidP="00AD54A3">
      <w:pPr>
        <w:rPr>
          <w:rFonts w:ascii="Calibri" w:hAnsi="Calibri" w:cs="Calibri"/>
        </w:rPr>
      </w:pPr>
    </w:p>
    <w:p w:rsidR="00A40D5E" w:rsidRDefault="00A40D5E" w:rsidP="00AD54A3">
      <w:pPr>
        <w:rPr>
          <w:rFonts w:ascii="Calibri" w:hAnsi="Calibri" w:cs="Calibri"/>
        </w:rPr>
      </w:pPr>
    </w:p>
    <w:p w:rsidR="002C6A04" w:rsidRPr="00984EF1" w:rsidRDefault="002C6A04" w:rsidP="00AD54A3">
      <w:pPr>
        <w:rPr>
          <w:rFonts w:ascii="Calibri" w:hAnsi="Calibri" w:cs="Calibri"/>
        </w:rPr>
      </w:pPr>
    </w:p>
    <w:p w:rsidR="00AD54A3" w:rsidRPr="00984EF1" w:rsidRDefault="00AD54A3" w:rsidP="00AD54A3">
      <w:pPr>
        <w:ind w:left="567"/>
        <w:rPr>
          <w:rFonts w:ascii="Calibri" w:hAnsi="Calibri" w:cs="Calibri"/>
        </w:rPr>
      </w:pPr>
      <w:r>
        <w:rPr>
          <w:rFonts w:ascii="Calibri" w:hAnsi="Calibri" w:cs="Calibri"/>
        </w:rPr>
        <w:lastRenderedPageBreak/>
        <w:t xml:space="preserve">Rys. 6. </w:t>
      </w:r>
      <w:r w:rsidRPr="00984EF1">
        <w:rPr>
          <w:rFonts w:ascii="Calibri" w:hAnsi="Calibri" w:cs="Calibri"/>
        </w:rPr>
        <w:t xml:space="preserve">Układ warstw w konstrukcji nawierzchni drogowej podatnej i półsztywnej </w:t>
      </w:r>
    </w:p>
    <w:tbl>
      <w:tblPr>
        <w:tblW w:w="0" w:type="auto"/>
        <w:tblInd w:w="67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D9D9D9"/>
        <w:tblLook w:val="01E0"/>
      </w:tblPr>
      <w:tblGrid>
        <w:gridCol w:w="3652"/>
        <w:gridCol w:w="1985"/>
        <w:gridCol w:w="1842"/>
      </w:tblGrid>
      <w:tr w:rsidR="00AD54A3" w:rsidRPr="00984EF1" w:rsidTr="00FD47C7">
        <w:tc>
          <w:tcPr>
            <w:tcW w:w="5637" w:type="dxa"/>
            <w:gridSpan w:val="2"/>
            <w:shd w:val="clear" w:color="auto" w:fill="D9D9D9"/>
          </w:tcPr>
          <w:p w:rsidR="00AD54A3" w:rsidRPr="00984EF1" w:rsidRDefault="00AD54A3" w:rsidP="00FD47C7">
            <w:pPr>
              <w:rPr>
                <w:rFonts w:ascii="Calibri" w:hAnsi="Calibri" w:cs="Calibri"/>
              </w:rPr>
            </w:pPr>
            <w:r w:rsidRPr="00984EF1">
              <w:rPr>
                <w:rFonts w:ascii="Calibri" w:hAnsi="Calibri" w:cs="Calibri"/>
              </w:rPr>
              <w:t>warstwa ścieralna</w:t>
            </w:r>
          </w:p>
        </w:tc>
        <w:tc>
          <w:tcPr>
            <w:tcW w:w="1842" w:type="dxa"/>
            <w:vMerge w:val="restart"/>
            <w:shd w:val="clear" w:color="auto" w:fill="D9D9D9"/>
          </w:tcPr>
          <w:p w:rsidR="00AD54A3" w:rsidRPr="00984EF1" w:rsidRDefault="00AD54A3" w:rsidP="00FD47C7">
            <w:pPr>
              <w:rPr>
                <w:rFonts w:ascii="Calibri" w:hAnsi="Calibri" w:cs="Calibri"/>
              </w:rPr>
            </w:pPr>
          </w:p>
          <w:p w:rsidR="00AD54A3" w:rsidRPr="00984EF1" w:rsidRDefault="00AD54A3" w:rsidP="00FD47C7">
            <w:pPr>
              <w:rPr>
                <w:rFonts w:ascii="Calibri" w:hAnsi="Calibri" w:cs="Calibri"/>
              </w:rPr>
            </w:pPr>
            <w:r w:rsidRPr="00984EF1">
              <w:rPr>
                <w:rFonts w:ascii="Calibri" w:hAnsi="Calibri" w:cs="Calibri"/>
              </w:rPr>
              <w:t>nawierzchnia</w:t>
            </w:r>
          </w:p>
        </w:tc>
      </w:tr>
      <w:tr w:rsidR="00AD54A3" w:rsidRPr="00984EF1" w:rsidTr="00FD47C7">
        <w:tc>
          <w:tcPr>
            <w:tcW w:w="5637" w:type="dxa"/>
            <w:gridSpan w:val="2"/>
            <w:shd w:val="clear" w:color="auto" w:fill="D9D9D9"/>
          </w:tcPr>
          <w:p w:rsidR="00AD54A3" w:rsidRPr="00984EF1" w:rsidRDefault="00AD54A3" w:rsidP="00FD47C7">
            <w:pPr>
              <w:rPr>
                <w:rFonts w:ascii="Calibri" w:hAnsi="Calibri" w:cs="Calibri"/>
              </w:rPr>
            </w:pPr>
            <w:r w:rsidRPr="00984EF1">
              <w:rPr>
                <w:rFonts w:ascii="Calibri" w:hAnsi="Calibri" w:cs="Calibri"/>
              </w:rPr>
              <w:t>warstwa wiążąca</w:t>
            </w:r>
          </w:p>
        </w:tc>
        <w:tc>
          <w:tcPr>
            <w:tcW w:w="1842" w:type="dxa"/>
            <w:vMerge/>
            <w:shd w:val="clear" w:color="auto" w:fill="D9D9D9"/>
          </w:tcPr>
          <w:p w:rsidR="00AD54A3" w:rsidRPr="00984EF1" w:rsidRDefault="00AD54A3" w:rsidP="00FD47C7">
            <w:pPr>
              <w:rPr>
                <w:rFonts w:ascii="Calibri" w:hAnsi="Calibri" w:cs="Calibri"/>
              </w:rPr>
            </w:pPr>
          </w:p>
        </w:tc>
      </w:tr>
      <w:tr w:rsidR="00AD54A3" w:rsidRPr="00984EF1" w:rsidTr="00FD47C7">
        <w:tc>
          <w:tcPr>
            <w:tcW w:w="3652" w:type="dxa"/>
            <w:shd w:val="clear" w:color="auto" w:fill="D9D9D9"/>
          </w:tcPr>
          <w:p w:rsidR="00AD54A3" w:rsidRPr="00984EF1" w:rsidRDefault="00AD54A3" w:rsidP="00FD47C7">
            <w:pPr>
              <w:rPr>
                <w:rFonts w:ascii="Calibri" w:hAnsi="Calibri" w:cs="Calibri"/>
              </w:rPr>
            </w:pPr>
            <w:r w:rsidRPr="00984EF1">
              <w:rPr>
                <w:rFonts w:ascii="Calibri" w:hAnsi="Calibri" w:cs="Calibri"/>
              </w:rPr>
              <w:t>podbudowa zasadnicza</w:t>
            </w:r>
          </w:p>
        </w:tc>
        <w:tc>
          <w:tcPr>
            <w:tcW w:w="1985" w:type="dxa"/>
            <w:vMerge w:val="restart"/>
            <w:shd w:val="clear" w:color="auto" w:fill="D9D9D9"/>
          </w:tcPr>
          <w:p w:rsidR="00AD54A3" w:rsidRPr="00984EF1" w:rsidRDefault="00AD54A3" w:rsidP="00FD47C7">
            <w:pPr>
              <w:rPr>
                <w:rFonts w:ascii="Calibri" w:hAnsi="Calibri" w:cs="Calibri"/>
              </w:rPr>
            </w:pPr>
            <w:r w:rsidRPr="00984EF1">
              <w:rPr>
                <w:rFonts w:ascii="Calibri" w:hAnsi="Calibri" w:cs="Calibri"/>
              </w:rPr>
              <w:t>podbudowa</w:t>
            </w:r>
          </w:p>
        </w:tc>
        <w:tc>
          <w:tcPr>
            <w:tcW w:w="1842" w:type="dxa"/>
            <w:vMerge/>
            <w:shd w:val="clear" w:color="auto" w:fill="D9D9D9"/>
          </w:tcPr>
          <w:p w:rsidR="00AD54A3" w:rsidRPr="00984EF1" w:rsidRDefault="00AD54A3" w:rsidP="00FD47C7">
            <w:pPr>
              <w:rPr>
                <w:rFonts w:ascii="Calibri" w:hAnsi="Calibri" w:cs="Calibri"/>
              </w:rPr>
            </w:pPr>
          </w:p>
        </w:tc>
      </w:tr>
      <w:tr w:rsidR="00AD54A3" w:rsidRPr="00984EF1" w:rsidTr="00FD47C7">
        <w:tc>
          <w:tcPr>
            <w:tcW w:w="3652" w:type="dxa"/>
            <w:shd w:val="clear" w:color="auto" w:fill="D9D9D9"/>
          </w:tcPr>
          <w:p w:rsidR="00AD54A3" w:rsidRPr="00984EF1" w:rsidRDefault="00AD54A3" w:rsidP="00FD47C7">
            <w:pPr>
              <w:rPr>
                <w:rFonts w:ascii="Calibri" w:hAnsi="Calibri" w:cs="Calibri"/>
              </w:rPr>
            </w:pPr>
            <w:r w:rsidRPr="00984EF1">
              <w:rPr>
                <w:rFonts w:ascii="Calibri" w:hAnsi="Calibri" w:cs="Calibri"/>
              </w:rPr>
              <w:t>podbudowa pomocnicza</w:t>
            </w:r>
          </w:p>
        </w:tc>
        <w:tc>
          <w:tcPr>
            <w:tcW w:w="1985" w:type="dxa"/>
            <w:vMerge/>
            <w:shd w:val="clear" w:color="auto" w:fill="D9D9D9"/>
          </w:tcPr>
          <w:p w:rsidR="00AD54A3" w:rsidRPr="00984EF1" w:rsidRDefault="00AD54A3" w:rsidP="00FD47C7">
            <w:pPr>
              <w:rPr>
                <w:rFonts w:ascii="Calibri" w:hAnsi="Calibri" w:cs="Calibri"/>
              </w:rPr>
            </w:pPr>
          </w:p>
        </w:tc>
        <w:tc>
          <w:tcPr>
            <w:tcW w:w="1842" w:type="dxa"/>
            <w:vMerge/>
            <w:shd w:val="clear" w:color="auto" w:fill="D9D9D9"/>
          </w:tcPr>
          <w:p w:rsidR="00AD54A3" w:rsidRPr="00984EF1" w:rsidRDefault="00AD54A3" w:rsidP="00FD47C7">
            <w:pPr>
              <w:rPr>
                <w:rFonts w:ascii="Calibri" w:hAnsi="Calibri" w:cs="Calibri"/>
              </w:rPr>
            </w:pPr>
          </w:p>
        </w:tc>
      </w:tr>
      <w:tr w:rsidR="00AD54A3" w:rsidRPr="00984EF1" w:rsidTr="00FD47C7">
        <w:tc>
          <w:tcPr>
            <w:tcW w:w="5637" w:type="dxa"/>
            <w:gridSpan w:val="2"/>
            <w:shd w:val="clear" w:color="auto" w:fill="D9D9D9"/>
          </w:tcPr>
          <w:p w:rsidR="00AD54A3" w:rsidRPr="00984EF1" w:rsidRDefault="00AD54A3" w:rsidP="00FD47C7">
            <w:pPr>
              <w:rPr>
                <w:rFonts w:ascii="Calibri" w:hAnsi="Calibri" w:cs="Calibri"/>
              </w:rPr>
            </w:pPr>
            <w:r w:rsidRPr="00984EF1">
              <w:rPr>
                <w:rFonts w:ascii="Calibri" w:hAnsi="Calibri" w:cs="Calibri"/>
              </w:rPr>
              <w:t xml:space="preserve">podłoże ulepszone </w:t>
            </w:r>
          </w:p>
        </w:tc>
        <w:tc>
          <w:tcPr>
            <w:tcW w:w="1842" w:type="dxa"/>
            <w:vMerge w:val="restart"/>
            <w:shd w:val="clear" w:color="auto" w:fill="D9D9D9"/>
          </w:tcPr>
          <w:p w:rsidR="00AD54A3" w:rsidRPr="00984EF1" w:rsidRDefault="00AD54A3" w:rsidP="00FD47C7">
            <w:pPr>
              <w:rPr>
                <w:rFonts w:ascii="Calibri" w:hAnsi="Calibri" w:cs="Calibri"/>
              </w:rPr>
            </w:pPr>
            <w:r w:rsidRPr="00984EF1">
              <w:rPr>
                <w:rFonts w:ascii="Calibri" w:hAnsi="Calibri" w:cs="Calibri"/>
              </w:rPr>
              <w:t>podłoże</w:t>
            </w:r>
          </w:p>
        </w:tc>
      </w:tr>
      <w:tr w:rsidR="00AD54A3" w:rsidRPr="00984EF1" w:rsidTr="00FD47C7">
        <w:tc>
          <w:tcPr>
            <w:tcW w:w="5637" w:type="dxa"/>
            <w:gridSpan w:val="2"/>
            <w:shd w:val="clear" w:color="auto" w:fill="D9D9D9"/>
          </w:tcPr>
          <w:p w:rsidR="00AD54A3" w:rsidRPr="00984EF1" w:rsidRDefault="00AD54A3" w:rsidP="00FD47C7">
            <w:pPr>
              <w:rPr>
                <w:rFonts w:ascii="Calibri" w:hAnsi="Calibri" w:cs="Calibri"/>
              </w:rPr>
            </w:pPr>
            <w:r w:rsidRPr="00984EF1">
              <w:rPr>
                <w:rFonts w:ascii="Calibri" w:hAnsi="Calibri" w:cs="Calibri"/>
              </w:rPr>
              <w:t>podłoże gruntowe</w:t>
            </w:r>
          </w:p>
        </w:tc>
        <w:tc>
          <w:tcPr>
            <w:tcW w:w="1842" w:type="dxa"/>
            <w:vMerge/>
            <w:shd w:val="clear" w:color="auto" w:fill="D9D9D9"/>
          </w:tcPr>
          <w:p w:rsidR="00AD54A3" w:rsidRPr="00984EF1" w:rsidRDefault="00AD54A3" w:rsidP="00FD47C7">
            <w:pPr>
              <w:rPr>
                <w:rFonts w:ascii="Calibri" w:hAnsi="Calibri" w:cs="Calibri"/>
              </w:rPr>
            </w:pPr>
          </w:p>
        </w:tc>
      </w:tr>
    </w:tbl>
    <w:p w:rsidR="00AD54A3" w:rsidRPr="00512A08" w:rsidRDefault="00AD54A3" w:rsidP="00AD54A3"/>
    <w:p w:rsidR="00AD54A3" w:rsidRPr="000203A8" w:rsidRDefault="00AD54A3" w:rsidP="00AD54A3"/>
    <w:p w:rsidR="00AD54A3" w:rsidRPr="000203A8" w:rsidRDefault="00AD54A3" w:rsidP="00AD54A3"/>
    <w:p w:rsidR="00AD54A3" w:rsidRPr="000203A8" w:rsidRDefault="00AD54A3" w:rsidP="00AD54A3"/>
    <w:p w:rsidR="00AD54A3" w:rsidRPr="000203A8" w:rsidRDefault="00AD54A3" w:rsidP="00AD54A3">
      <w:pPr>
        <w:ind w:left="567"/>
      </w:pPr>
      <w:r>
        <w:rPr>
          <w:noProof/>
        </w:rPr>
        <w:drawing>
          <wp:inline distT="0" distB="0" distL="0" distR="0">
            <wp:extent cx="4305300" cy="2085975"/>
            <wp:effectExtent l="19050" t="0" r="0" b="0"/>
            <wp:docPr id="173" name="Obraz 9" descr="rys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az 9" descr="rys6"/>
                    <pic:cNvPicPr>
                      <a:picLocks noChangeAspect="1" noChangeArrowheads="1"/>
                    </pic:cNvPicPr>
                  </pic:nvPicPr>
                  <pic:blipFill>
                    <a:blip r:embed="rId36" cstate="print"/>
                    <a:srcRect/>
                    <a:stretch>
                      <a:fillRect/>
                    </a:stretch>
                  </pic:blipFill>
                  <pic:spPr bwMode="auto">
                    <a:xfrm>
                      <a:off x="0" y="0"/>
                      <a:ext cx="4305300" cy="2085975"/>
                    </a:xfrm>
                    <a:prstGeom prst="rect">
                      <a:avLst/>
                    </a:prstGeom>
                    <a:noFill/>
                    <a:ln w="9525">
                      <a:noFill/>
                      <a:miter lim="800000"/>
                      <a:headEnd/>
                      <a:tailEnd/>
                    </a:ln>
                  </pic:spPr>
                </pic:pic>
              </a:graphicData>
            </a:graphic>
          </wp:inline>
        </w:drawing>
      </w:r>
    </w:p>
    <w:p w:rsidR="00AD54A3" w:rsidRPr="00984EF1" w:rsidRDefault="00AD54A3" w:rsidP="00AD54A3">
      <w:pPr>
        <w:rPr>
          <w:rFonts w:ascii="Calibri" w:hAnsi="Calibri" w:cs="Calibri"/>
        </w:rPr>
      </w:pPr>
      <w:r w:rsidRPr="00984EF1">
        <w:rPr>
          <w:rFonts w:ascii="Calibri" w:hAnsi="Calibri" w:cs="Calibri"/>
        </w:rPr>
        <w:t>Rys. 7.</w:t>
      </w:r>
      <w:r w:rsidRPr="00984EF1">
        <w:rPr>
          <w:rFonts w:ascii="Calibri" w:hAnsi="Calibri" w:cs="Calibri"/>
        </w:rPr>
        <w:tab/>
        <w:t>Schemat technologiczny wytwarzania mieszanki kruszywa związanej cementem w mieszarce o działaniu ciągłym (wg: S. Rolla, M. Rolla i W. Żarnoch – Budowa dróg cz. 1. Wyd. Szkolne i Pedagogiczne, 1993)</w:t>
      </w:r>
    </w:p>
    <w:p w:rsidR="00F45E03" w:rsidRDefault="00F45E03" w:rsidP="00785F00">
      <w:pPr>
        <w:spacing w:after="120"/>
      </w:pPr>
    </w:p>
    <w:p w:rsidR="00AD54A3" w:rsidRDefault="00AD54A3" w:rsidP="00785F00">
      <w:pPr>
        <w:spacing w:after="120"/>
      </w:pPr>
    </w:p>
    <w:p w:rsidR="00AD54A3" w:rsidRDefault="00AD54A3" w:rsidP="00785F00">
      <w:pPr>
        <w:spacing w:after="120"/>
      </w:pPr>
    </w:p>
    <w:p w:rsidR="00AD54A3" w:rsidRDefault="00AD54A3" w:rsidP="00785F00">
      <w:pPr>
        <w:spacing w:after="120"/>
      </w:pPr>
    </w:p>
    <w:p w:rsidR="00AD54A3" w:rsidRDefault="00AD54A3" w:rsidP="00785F00">
      <w:pPr>
        <w:spacing w:after="120"/>
      </w:pPr>
    </w:p>
    <w:p w:rsidR="00AD54A3" w:rsidRDefault="00AD54A3" w:rsidP="00785F00">
      <w:pPr>
        <w:spacing w:after="120"/>
      </w:pPr>
    </w:p>
    <w:p w:rsidR="0014295F" w:rsidRDefault="0014295F" w:rsidP="00785F00">
      <w:pPr>
        <w:spacing w:after="120"/>
      </w:pPr>
    </w:p>
    <w:p w:rsidR="0014295F" w:rsidRDefault="0014295F" w:rsidP="00785F00">
      <w:pPr>
        <w:spacing w:after="120"/>
      </w:pPr>
    </w:p>
    <w:p w:rsidR="0014295F" w:rsidRDefault="0014295F" w:rsidP="00785F00">
      <w:pPr>
        <w:spacing w:after="120"/>
      </w:pPr>
    </w:p>
    <w:p w:rsidR="0014295F" w:rsidRDefault="0014295F" w:rsidP="00785F00">
      <w:pPr>
        <w:spacing w:after="120"/>
      </w:pPr>
    </w:p>
    <w:p w:rsidR="0014295F" w:rsidRDefault="0014295F" w:rsidP="00785F00">
      <w:pPr>
        <w:spacing w:after="120"/>
      </w:pPr>
    </w:p>
    <w:p w:rsidR="0014295F" w:rsidRDefault="0014295F" w:rsidP="00785F00">
      <w:pPr>
        <w:spacing w:after="120"/>
      </w:pPr>
    </w:p>
    <w:p w:rsidR="0014295F" w:rsidRDefault="0014295F" w:rsidP="00785F00">
      <w:pPr>
        <w:spacing w:after="120"/>
      </w:pPr>
    </w:p>
    <w:p w:rsidR="0014295F" w:rsidRDefault="0014295F" w:rsidP="00785F00">
      <w:pPr>
        <w:spacing w:after="120"/>
      </w:pPr>
    </w:p>
    <w:p w:rsidR="0014295F" w:rsidRDefault="0014295F" w:rsidP="00785F00">
      <w:pPr>
        <w:spacing w:after="120"/>
      </w:pPr>
    </w:p>
    <w:p w:rsidR="0014295F" w:rsidRDefault="0014295F" w:rsidP="00785F00">
      <w:pPr>
        <w:spacing w:after="120"/>
      </w:pPr>
    </w:p>
    <w:p w:rsidR="0014295F" w:rsidRDefault="0014295F" w:rsidP="00785F00">
      <w:pPr>
        <w:spacing w:after="120"/>
      </w:pPr>
    </w:p>
    <w:p w:rsidR="0014295F" w:rsidRDefault="0014295F" w:rsidP="00785F00">
      <w:pPr>
        <w:spacing w:after="120"/>
      </w:pPr>
    </w:p>
    <w:p w:rsidR="0014295F" w:rsidRDefault="0014295F" w:rsidP="00785F00">
      <w:pPr>
        <w:spacing w:after="120"/>
      </w:pPr>
    </w:p>
    <w:p w:rsidR="0014295F" w:rsidRDefault="0014295F" w:rsidP="00785F00">
      <w:pPr>
        <w:spacing w:after="120"/>
      </w:pPr>
    </w:p>
    <w:p w:rsidR="0014295F" w:rsidRDefault="0014295F" w:rsidP="00785F00">
      <w:pPr>
        <w:spacing w:after="120"/>
      </w:pPr>
    </w:p>
    <w:p w:rsidR="00AE2AE6" w:rsidRPr="008C7781" w:rsidRDefault="00AE2AE6" w:rsidP="00AE2AE6">
      <w:pPr>
        <w:pStyle w:val="Nagwek1"/>
        <w:rPr>
          <w:rFonts w:asciiTheme="minorHAnsi" w:hAnsiTheme="minorHAnsi"/>
        </w:rPr>
      </w:pPr>
    </w:p>
    <w:p w:rsidR="00376DA1" w:rsidRDefault="00376DA1" w:rsidP="00376DA1">
      <w:pPr>
        <w:spacing w:after="120"/>
      </w:pPr>
    </w:p>
    <w:p w:rsidR="00376DA1" w:rsidRDefault="00376DA1" w:rsidP="00376DA1">
      <w:pPr>
        <w:spacing w:after="120"/>
      </w:pPr>
    </w:p>
    <w:p w:rsidR="00376DA1" w:rsidRDefault="00376DA1" w:rsidP="00376DA1">
      <w:pPr>
        <w:spacing w:after="120"/>
      </w:pPr>
    </w:p>
    <w:p w:rsidR="00A40D5E" w:rsidRDefault="00A40D5E" w:rsidP="00A40D5E">
      <w:pPr>
        <w:rPr>
          <w:rFonts w:asciiTheme="minorHAnsi" w:hAnsiTheme="minorHAnsi"/>
        </w:rPr>
      </w:pPr>
      <w:bookmarkStart w:id="1413" w:name="_Toc416565717"/>
    </w:p>
    <w:p w:rsidR="00A40D5E" w:rsidRPr="001C5F6A" w:rsidRDefault="00A40D5E" w:rsidP="00A40D5E">
      <w:pPr>
        <w:rPr>
          <w:rFonts w:asciiTheme="minorHAnsi" w:hAnsiTheme="minorHAnsi"/>
        </w:rPr>
      </w:pPr>
    </w:p>
    <w:p w:rsidR="00A40D5E" w:rsidRPr="001C5F6A" w:rsidRDefault="00A40D5E" w:rsidP="00A40D5E">
      <w:pPr>
        <w:rPr>
          <w:rFonts w:asciiTheme="minorHAnsi" w:hAnsiTheme="minorHAnsi"/>
        </w:rPr>
      </w:pPr>
    </w:p>
    <w:p w:rsidR="00A40D5E" w:rsidRDefault="00A40D5E" w:rsidP="00A40D5E">
      <w:pPr>
        <w:rPr>
          <w:rFonts w:asciiTheme="minorHAnsi" w:hAnsiTheme="minorHAnsi"/>
        </w:rPr>
      </w:pPr>
    </w:p>
    <w:p w:rsidR="00A40D5E" w:rsidRDefault="00A40D5E" w:rsidP="00A40D5E">
      <w:pPr>
        <w:rPr>
          <w:rFonts w:asciiTheme="minorHAnsi" w:hAnsiTheme="minorHAnsi"/>
        </w:rPr>
      </w:pPr>
    </w:p>
    <w:p w:rsidR="00A40D5E" w:rsidRDefault="00A40D5E" w:rsidP="00A40D5E">
      <w:pPr>
        <w:rPr>
          <w:rFonts w:asciiTheme="minorHAnsi" w:hAnsiTheme="minorHAnsi"/>
        </w:rPr>
      </w:pPr>
    </w:p>
    <w:p w:rsidR="00A40D5E" w:rsidRPr="001C5F6A" w:rsidRDefault="00A40D5E" w:rsidP="00A40D5E">
      <w:pPr>
        <w:rPr>
          <w:rFonts w:asciiTheme="minorHAnsi" w:hAnsiTheme="minorHAnsi"/>
        </w:rPr>
      </w:pPr>
    </w:p>
    <w:p w:rsidR="00A40D5E" w:rsidRPr="001C5F6A" w:rsidRDefault="00A40D5E" w:rsidP="00A40D5E">
      <w:pPr>
        <w:rPr>
          <w:rFonts w:asciiTheme="minorHAnsi" w:hAnsiTheme="minorHAnsi"/>
        </w:rPr>
      </w:pPr>
    </w:p>
    <w:p w:rsidR="00A40D5E" w:rsidRPr="001C5F6A" w:rsidRDefault="00A40D5E" w:rsidP="00A40D5E">
      <w:pPr>
        <w:rPr>
          <w:rFonts w:asciiTheme="minorHAnsi" w:hAnsiTheme="minorHAnsi"/>
        </w:rPr>
      </w:pPr>
    </w:p>
    <w:p w:rsidR="00A40D5E" w:rsidRPr="001C5F6A" w:rsidRDefault="00A40D5E" w:rsidP="00A40D5E">
      <w:pPr>
        <w:jc w:val="center"/>
        <w:rPr>
          <w:rFonts w:asciiTheme="minorHAnsi" w:hAnsiTheme="minorHAnsi"/>
          <w:b/>
          <w:sz w:val="28"/>
        </w:rPr>
      </w:pPr>
    </w:p>
    <w:p w:rsidR="00A40D5E" w:rsidRPr="001C5F6A" w:rsidRDefault="00A40D5E" w:rsidP="00A40D5E">
      <w:pPr>
        <w:jc w:val="center"/>
        <w:rPr>
          <w:rFonts w:asciiTheme="minorHAnsi" w:hAnsiTheme="minorHAnsi"/>
          <w:b/>
          <w:sz w:val="28"/>
        </w:rPr>
      </w:pPr>
    </w:p>
    <w:p w:rsidR="00A40D5E" w:rsidRPr="001C5F6A" w:rsidRDefault="00A40D5E" w:rsidP="00A40D5E">
      <w:pPr>
        <w:jc w:val="center"/>
        <w:rPr>
          <w:rFonts w:asciiTheme="minorHAnsi" w:hAnsiTheme="minorHAnsi"/>
          <w:b/>
          <w:sz w:val="28"/>
        </w:rPr>
      </w:pPr>
    </w:p>
    <w:p w:rsidR="00A40D5E" w:rsidRPr="001C5F6A" w:rsidRDefault="00A40D5E" w:rsidP="00A40D5E">
      <w:pPr>
        <w:pStyle w:val="Nagwek1"/>
        <w:jc w:val="center"/>
      </w:pPr>
      <w:bookmarkStart w:id="1414" w:name="_Toc404983735"/>
      <w:bookmarkStart w:id="1415" w:name="_Toc438237726"/>
      <w:r w:rsidRPr="001C5F6A">
        <w:t>D - 04.06.01b PODBUDOWA  Z  BETONU CEMENTOWEGO</w:t>
      </w:r>
      <w:bookmarkEnd w:id="1414"/>
      <w:bookmarkEnd w:id="1415"/>
    </w:p>
    <w:p w:rsidR="00A40D5E" w:rsidRPr="001C5F6A" w:rsidRDefault="00A40D5E" w:rsidP="00A40D5E">
      <w:pPr>
        <w:rPr>
          <w:rFonts w:asciiTheme="minorHAnsi" w:hAnsiTheme="minorHAnsi"/>
        </w:rPr>
      </w:pPr>
    </w:p>
    <w:p w:rsidR="00A40D5E" w:rsidRPr="001C5F6A" w:rsidRDefault="00A40D5E" w:rsidP="00A40D5E">
      <w:pPr>
        <w:rPr>
          <w:rFonts w:asciiTheme="minorHAnsi" w:hAnsiTheme="minorHAnsi"/>
        </w:rPr>
      </w:pPr>
    </w:p>
    <w:p w:rsidR="00A40D5E" w:rsidRPr="001C5F6A" w:rsidRDefault="00A40D5E" w:rsidP="00A40D5E">
      <w:pPr>
        <w:rPr>
          <w:rFonts w:asciiTheme="minorHAnsi" w:hAnsiTheme="minorHAnsi"/>
        </w:rPr>
      </w:pPr>
    </w:p>
    <w:p w:rsidR="00A40D5E" w:rsidRPr="001C5F6A" w:rsidRDefault="00A40D5E" w:rsidP="00A40D5E">
      <w:pPr>
        <w:rPr>
          <w:rFonts w:asciiTheme="minorHAnsi" w:hAnsiTheme="minorHAnsi"/>
        </w:rPr>
      </w:pPr>
    </w:p>
    <w:p w:rsidR="00A40D5E" w:rsidRPr="001C5F6A" w:rsidRDefault="00A40D5E" w:rsidP="00A40D5E">
      <w:pPr>
        <w:rPr>
          <w:rFonts w:asciiTheme="minorHAnsi" w:hAnsiTheme="minorHAnsi"/>
        </w:rPr>
      </w:pPr>
    </w:p>
    <w:p w:rsidR="00A40D5E" w:rsidRPr="001C5F6A" w:rsidRDefault="00A40D5E" w:rsidP="00A40D5E">
      <w:pPr>
        <w:rPr>
          <w:rFonts w:asciiTheme="minorHAnsi" w:hAnsiTheme="minorHAnsi"/>
        </w:rPr>
      </w:pPr>
    </w:p>
    <w:p w:rsidR="00A40D5E" w:rsidRPr="001C5F6A" w:rsidRDefault="00A40D5E" w:rsidP="00A40D5E">
      <w:pPr>
        <w:rPr>
          <w:rFonts w:asciiTheme="minorHAnsi" w:hAnsiTheme="minorHAnsi"/>
        </w:rPr>
      </w:pPr>
      <w:bookmarkStart w:id="1416" w:name="_Toc113935587"/>
    </w:p>
    <w:p w:rsidR="00A40D5E" w:rsidRPr="001C5F6A" w:rsidRDefault="00A40D5E" w:rsidP="00A40D5E">
      <w:pPr>
        <w:rPr>
          <w:rFonts w:asciiTheme="minorHAnsi" w:hAnsiTheme="minorHAnsi"/>
        </w:rPr>
      </w:pPr>
    </w:p>
    <w:p w:rsidR="00A40D5E" w:rsidRPr="001C5F6A" w:rsidRDefault="00A40D5E" w:rsidP="00A40D5E">
      <w:pPr>
        <w:rPr>
          <w:rFonts w:asciiTheme="minorHAnsi" w:hAnsiTheme="minorHAnsi"/>
        </w:rPr>
      </w:pPr>
    </w:p>
    <w:p w:rsidR="00A40D5E" w:rsidRPr="001C5F6A" w:rsidRDefault="00A40D5E" w:rsidP="00A40D5E">
      <w:pPr>
        <w:rPr>
          <w:rFonts w:asciiTheme="minorHAnsi" w:hAnsiTheme="minorHAnsi"/>
        </w:rPr>
      </w:pPr>
    </w:p>
    <w:p w:rsidR="00A40D5E" w:rsidRPr="001C5F6A" w:rsidRDefault="00A40D5E" w:rsidP="00A40D5E">
      <w:pPr>
        <w:rPr>
          <w:rFonts w:asciiTheme="minorHAnsi" w:hAnsiTheme="minorHAnsi"/>
        </w:rPr>
      </w:pPr>
    </w:p>
    <w:p w:rsidR="00A40D5E" w:rsidRPr="001C5F6A" w:rsidRDefault="00A40D5E" w:rsidP="00A40D5E">
      <w:pPr>
        <w:rPr>
          <w:rFonts w:asciiTheme="minorHAnsi" w:hAnsiTheme="minorHAnsi"/>
        </w:rPr>
      </w:pPr>
    </w:p>
    <w:p w:rsidR="00A40D5E" w:rsidRPr="001C5F6A" w:rsidRDefault="00A40D5E" w:rsidP="00A40D5E">
      <w:pPr>
        <w:rPr>
          <w:rFonts w:asciiTheme="minorHAnsi" w:hAnsiTheme="minorHAnsi"/>
        </w:rPr>
      </w:pPr>
    </w:p>
    <w:p w:rsidR="00A40D5E" w:rsidRPr="001C5F6A" w:rsidRDefault="00A40D5E" w:rsidP="00A40D5E">
      <w:pPr>
        <w:rPr>
          <w:rFonts w:asciiTheme="minorHAnsi" w:hAnsiTheme="minorHAnsi"/>
        </w:rPr>
      </w:pPr>
    </w:p>
    <w:p w:rsidR="00A40D5E" w:rsidRPr="001C5F6A" w:rsidRDefault="00A40D5E" w:rsidP="00A40D5E">
      <w:pPr>
        <w:rPr>
          <w:rFonts w:asciiTheme="minorHAnsi" w:hAnsiTheme="minorHAnsi"/>
        </w:rPr>
      </w:pPr>
    </w:p>
    <w:p w:rsidR="00A40D5E" w:rsidRPr="001C5F6A" w:rsidRDefault="00A40D5E" w:rsidP="00A40D5E">
      <w:pPr>
        <w:rPr>
          <w:rFonts w:asciiTheme="minorHAnsi" w:hAnsiTheme="minorHAnsi"/>
        </w:rPr>
      </w:pPr>
    </w:p>
    <w:p w:rsidR="00A40D5E" w:rsidRPr="001C5F6A" w:rsidRDefault="00A40D5E" w:rsidP="00A40D5E">
      <w:pPr>
        <w:rPr>
          <w:rFonts w:asciiTheme="minorHAnsi" w:hAnsiTheme="minorHAnsi"/>
        </w:rPr>
      </w:pPr>
    </w:p>
    <w:p w:rsidR="00A40D5E" w:rsidRPr="001C5F6A" w:rsidRDefault="00A40D5E" w:rsidP="00A40D5E">
      <w:pPr>
        <w:rPr>
          <w:rFonts w:asciiTheme="minorHAnsi" w:hAnsiTheme="minorHAnsi"/>
        </w:rPr>
      </w:pPr>
    </w:p>
    <w:p w:rsidR="00A40D5E" w:rsidRPr="001C5F6A" w:rsidRDefault="00A40D5E" w:rsidP="00A40D5E">
      <w:pPr>
        <w:rPr>
          <w:rFonts w:asciiTheme="minorHAnsi" w:hAnsiTheme="minorHAnsi"/>
        </w:rPr>
      </w:pPr>
    </w:p>
    <w:p w:rsidR="00A40D5E" w:rsidRPr="001C5F6A" w:rsidRDefault="00A40D5E" w:rsidP="00A40D5E">
      <w:pPr>
        <w:rPr>
          <w:rFonts w:asciiTheme="minorHAnsi" w:hAnsiTheme="minorHAnsi"/>
        </w:rPr>
      </w:pPr>
    </w:p>
    <w:p w:rsidR="00A40D5E" w:rsidRPr="001C5F6A" w:rsidRDefault="00A40D5E" w:rsidP="00A40D5E">
      <w:pPr>
        <w:rPr>
          <w:rFonts w:asciiTheme="minorHAnsi" w:hAnsiTheme="minorHAnsi"/>
        </w:rPr>
      </w:pPr>
    </w:p>
    <w:p w:rsidR="00A40D5E" w:rsidRPr="001C5F6A" w:rsidRDefault="00A40D5E" w:rsidP="00A40D5E">
      <w:pPr>
        <w:rPr>
          <w:rFonts w:asciiTheme="minorHAnsi" w:hAnsiTheme="minorHAnsi"/>
        </w:rPr>
      </w:pPr>
    </w:p>
    <w:p w:rsidR="00A40D5E" w:rsidRPr="001C5F6A" w:rsidRDefault="00A40D5E" w:rsidP="00A40D5E">
      <w:pPr>
        <w:rPr>
          <w:rFonts w:asciiTheme="minorHAnsi" w:hAnsiTheme="minorHAnsi"/>
        </w:rPr>
      </w:pPr>
    </w:p>
    <w:p w:rsidR="00A40D5E" w:rsidRPr="001C5F6A" w:rsidRDefault="00A40D5E" w:rsidP="00A40D5E">
      <w:pPr>
        <w:rPr>
          <w:rFonts w:asciiTheme="minorHAnsi" w:hAnsiTheme="minorHAnsi"/>
        </w:rPr>
      </w:pPr>
    </w:p>
    <w:p w:rsidR="00A40D5E" w:rsidRPr="001C5F6A" w:rsidRDefault="00A40D5E" w:rsidP="00A40D5E">
      <w:pPr>
        <w:rPr>
          <w:rFonts w:asciiTheme="minorHAnsi" w:hAnsiTheme="minorHAnsi"/>
        </w:rPr>
      </w:pPr>
    </w:p>
    <w:p w:rsidR="00A40D5E" w:rsidRPr="001C5F6A" w:rsidRDefault="00A40D5E" w:rsidP="00A40D5E">
      <w:pPr>
        <w:rPr>
          <w:rFonts w:asciiTheme="minorHAnsi" w:hAnsiTheme="minorHAnsi"/>
        </w:rPr>
      </w:pPr>
    </w:p>
    <w:p w:rsidR="00A40D5E" w:rsidRPr="001C5F6A" w:rsidRDefault="00A40D5E" w:rsidP="00A40D5E">
      <w:pPr>
        <w:rPr>
          <w:rFonts w:asciiTheme="minorHAnsi" w:hAnsiTheme="minorHAnsi"/>
        </w:rPr>
      </w:pPr>
    </w:p>
    <w:p w:rsidR="00A40D5E" w:rsidRDefault="00A40D5E" w:rsidP="00A40D5E">
      <w:pPr>
        <w:rPr>
          <w:rFonts w:asciiTheme="minorHAnsi" w:hAnsiTheme="minorHAnsi"/>
        </w:rPr>
      </w:pPr>
    </w:p>
    <w:p w:rsidR="00A40D5E" w:rsidRDefault="00A40D5E" w:rsidP="00A40D5E">
      <w:pPr>
        <w:rPr>
          <w:rFonts w:asciiTheme="minorHAnsi" w:hAnsiTheme="minorHAnsi"/>
        </w:rPr>
      </w:pPr>
    </w:p>
    <w:p w:rsidR="00A40D5E" w:rsidRDefault="00A40D5E" w:rsidP="00A40D5E">
      <w:pPr>
        <w:rPr>
          <w:rFonts w:asciiTheme="minorHAnsi" w:hAnsiTheme="minorHAnsi"/>
        </w:rPr>
      </w:pPr>
    </w:p>
    <w:p w:rsidR="00A40D5E" w:rsidRDefault="00A40D5E" w:rsidP="00A40D5E">
      <w:pPr>
        <w:rPr>
          <w:rFonts w:asciiTheme="minorHAnsi" w:hAnsiTheme="minorHAnsi"/>
        </w:rPr>
      </w:pPr>
    </w:p>
    <w:p w:rsidR="00A40D5E" w:rsidRDefault="00A40D5E" w:rsidP="00A40D5E">
      <w:pPr>
        <w:rPr>
          <w:rFonts w:asciiTheme="minorHAnsi" w:hAnsiTheme="minorHAnsi"/>
        </w:rPr>
      </w:pPr>
    </w:p>
    <w:p w:rsidR="00A40D5E" w:rsidRDefault="00A40D5E" w:rsidP="00A40D5E">
      <w:pPr>
        <w:rPr>
          <w:rFonts w:asciiTheme="minorHAnsi" w:hAnsiTheme="minorHAnsi"/>
        </w:rPr>
      </w:pPr>
    </w:p>
    <w:p w:rsidR="00A40D5E" w:rsidRPr="001C5F6A" w:rsidRDefault="00A40D5E" w:rsidP="00A40D5E">
      <w:pPr>
        <w:rPr>
          <w:rFonts w:asciiTheme="minorHAnsi" w:hAnsiTheme="minorHAnsi"/>
        </w:rPr>
      </w:pPr>
    </w:p>
    <w:p w:rsidR="00A40D5E" w:rsidRPr="001C5F6A" w:rsidRDefault="00A40D5E" w:rsidP="00A40D5E">
      <w:pPr>
        <w:rPr>
          <w:rFonts w:asciiTheme="minorHAnsi" w:hAnsiTheme="minorHAnsi"/>
        </w:rPr>
      </w:pPr>
    </w:p>
    <w:p w:rsidR="00A40D5E" w:rsidRPr="001C5F6A" w:rsidRDefault="00A40D5E" w:rsidP="00A40D5E">
      <w:pPr>
        <w:rPr>
          <w:rFonts w:asciiTheme="minorHAnsi" w:hAnsiTheme="minorHAnsi"/>
        </w:rPr>
      </w:pPr>
    </w:p>
    <w:p w:rsidR="00A40D5E" w:rsidRPr="001C5F6A" w:rsidRDefault="00A40D5E" w:rsidP="00A40D5E">
      <w:pPr>
        <w:rPr>
          <w:rFonts w:asciiTheme="minorHAnsi" w:hAnsiTheme="minorHAnsi"/>
        </w:rPr>
      </w:pPr>
    </w:p>
    <w:p w:rsidR="00A40D5E" w:rsidRPr="001C5F6A" w:rsidRDefault="00A40D5E" w:rsidP="00A40D5E">
      <w:pPr>
        <w:rPr>
          <w:rFonts w:asciiTheme="minorHAnsi" w:hAnsiTheme="minorHAnsi"/>
        </w:rPr>
      </w:pPr>
    </w:p>
    <w:p w:rsidR="00A40D5E" w:rsidRPr="001C5F6A" w:rsidRDefault="00A40D5E" w:rsidP="00A40D5E">
      <w:pPr>
        <w:rPr>
          <w:rFonts w:asciiTheme="minorHAnsi" w:hAnsiTheme="minorHAnsi"/>
          <w:b/>
        </w:rPr>
      </w:pPr>
      <w:r w:rsidRPr="001C5F6A">
        <w:rPr>
          <w:rFonts w:asciiTheme="minorHAnsi" w:hAnsiTheme="minorHAnsi"/>
          <w:b/>
        </w:rPr>
        <w:lastRenderedPageBreak/>
        <w:t>1. WSTĘP</w:t>
      </w:r>
      <w:bookmarkEnd w:id="1416"/>
    </w:p>
    <w:p w:rsidR="00A40D5E" w:rsidRPr="001C5F6A" w:rsidRDefault="00A40D5E" w:rsidP="00A40D5E">
      <w:pPr>
        <w:rPr>
          <w:rFonts w:asciiTheme="minorHAnsi" w:hAnsiTheme="minorHAnsi"/>
        </w:rPr>
      </w:pPr>
      <w:r w:rsidRPr="001C5F6A">
        <w:rPr>
          <w:rFonts w:asciiTheme="minorHAnsi" w:hAnsiTheme="minorHAnsi"/>
          <w:b/>
        </w:rPr>
        <w:t>1.1.</w:t>
      </w:r>
      <w:r w:rsidRPr="001C5F6A">
        <w:rPr>
          <w:rFonts w:asciiTheme="minorHAnsi" w:hAnsiTheme="minorHAnsi"/>
        </w:rPr>
        <w:t xml:space="preserve"> Przedmiot ST</w:t>
      </w:r>
    </w:p>
    <w:p w:rsidR="00A40D5E" w:rsidRPr="001C5F6A" w:rsidRDefault="00A40D5E" w:rsidP="00A40D5E">
      <w:pPr>
        <w:rPr>
          <w:rFonts w:asciiTheme="minorHAnsi" w:hAnsiTheme="minorHAnsi"/>
        </w:rPr>
      </w:pPr>
      <w:r w:rsidRPr="001C5F6A">
        <w:rPr>
          <w:rFonts w:asciiTheme="minorHAnsi" w:hAnsiTheme="minorHAnsi"/>
        </w:rPr>
        <w:tab/>
        <w:t>Przedmiotem niniejszej specyfikacji technicznej (ST) są wymagania dotyczące wykonania i odbioru robót związanych z wykonaniem podbudowy z betonu cementowego.</w:t>
      </w:r>
    </w:p>
    <w:p w:rsidR="00A40D5E" w:rsidRPr="001C5F6A" w:rsidRDefault="00A40D5E" w:rsidP="00A40D5E">
      <w:pPr>
        <w:rPr>
          <w:rFonts w:asciiTheme="minorHAnsi" w:hAnsiTheme="minorHAnsi"/>
        </w:rPr>
      </w:pPr>
      <w:r w:rsidRPr="001C5F6A">
        <w:rPr>
          <w:rFonts w:asciiTheme="minorHAnsi" w:hAnsiTheme="minorHAnsi"/>
          <w:b/>
        </w:rPr>
        <w:t>1.2.</w:t>
      </w:r>
      <w:r w:rsidRPr="001C5F6A">
        <w:rPr>
          <w:rFonts w:asciiTheme="minorHAnsi" w:hAnsiTheme="minorHAnsi"/>
        </w:rPr>
        <w:t xml:space="preserve"> Zakres stosowania ST</w:t>
      </w:r>
    </w:p>
    <w:p w:rsidR="00A40D5E" w:rsidRPr="001C5F6A" w:rsidRDefault="00A40D5E" w:rsidP="00A40D5E">
      <w:pPr>
        <w:rPr>
          <w:rFonts w:asciiTheme="minorHAnsi" w:hAnsiTheme="minorHAnsi"/>
        </w:rPr>
      </w:pPr>
      <w:r w:rsidRPr="001C5F6A">
        <w:rPr>
          <w:rFonts w:asciiTheme="minorHAnsi" w:hAnsiTheme="minorHAnsi"/>
        </w:rPr>
        <w:tab/>
        <w:t>Specyfikacja techniczna określa wymagania dla wykonania i odbioru robót budowlanych przewidzianych do wykonania w ramach umowy a zawarte w niej zapisy w zakresie standardu materiałów, wykonania robót i wymaganej ich jakości oraz kontroli jakości robót należy traktować jako minimalne.</w:t>
      </w:r>
    </w:p>
    <w:p w:rsidR="00A40D5E" w:rsidRPr="001C5F6A" w:rsidRDefault="00A40D5E" w:rsidP="00A40D5E">
      <w:pPr>
        <w:rPr>
          <w:rFonts w:asciiTheme="minorHAnsi" w:hAnsiTheme="minorHAnsi"/>
        </w:rPr>
      </w:pPr>
      <w:r w:rsidRPr="001C5F6A">
        <w:rPr>
          <w:rFonts w:asciiTheme="minorHAnsi" w:hAnsiTheme="minorHAnsi"/>
          <w:b/>
        </w:rPr>
        <w:t>1.3.</w:t>
      </w:r>
      <w:r w:rsidRPr="001C5F6A">
        <w:rPr>
          <w:rFonts w:asciiTheme="minorHAnsi" w:hAnsiTheme="minorHAnsi"/>
        </w:rPr>
        <w:t xml:space="preserve"> Zakres robót objętych ST</w:t>
      </w:r>
    </w:p>
    <w:p w:rsidR="00054F0C" w:rsidRPr="00666F76" w:rsidRDefault="00A40D5E" w:rsidP="00054F0C">
      <w:pPr>
        <w:rPr>
          <w:rFonts w:asciiTheme="minorHAnsi" w:hAnsiTheme="minorHAnsi" w:cs="Calibri"/>
        </w:rPr>
      </w:pPr>
      <w:r w:rsidRPr="001C5F6A">
        <w:rPr>
          <w:rFonts w:asciiTheme="minorHAnsi" w:hAnsiTheme="minorHAnsi"/>
        </w:rPr>
        <w:tab/>
        <w:t>Ustalenia zawarte w niniejszej specyfikacji dotyczą zasad prowadzenia robót związanych z wykonaniem i odbiorem podbudowy z betonu cementowego pod nawierzchnię zatok autobusowych</w:t>
      </w:r>
      <w:r w:rsidR="00054F0C">
        <w:rPr>
          <w:rFonts w:asciiTheme="minorHAnsi" w:hAnsiTheme="minorHAnsi"/>
        </w:rPr>
        <w:t xml:space="preserve"> </w:t>
      </w:r>
      <w:r w:rsidR="00054F0C" w:rsidRPr="00666F76">
        <w:rPr>
          <w:rFonts w:ascii="Calibri" w:hAnsi="Calibri" w:cs="Calibri"/>
        </w:rPr>
        <w:t>w związku z „</w:t>
      </w:r>
      <w:r w:rsidR="00054F0C" w:rsidRPr="00666F76">
        <w:rPr>
          <w:rFonts w:asciiTheme="minorHAnsi" w:hAnsiTheme="minorHAnsi"/>
        </w:rPr>
        <w:t>Przebudową ul.55 Pułku Piechoty w Lesznie wraz z przebudową oświetlenia”</w:t>
      </w:r>
      <w:r w:rsidR="00054F0C" w:rsidRPr="00666F76">
        <w:rPr>
          <w:rFonts w:asciiTheme="minorHAnsi" w:hAnsiTheme="minorHAnsi" w:cs="Calibri"/>
        </w:rPr>
        <w:t>.</w:t>
      </w:r>
    </w:p>
    <w:p w:rsidR="00A40D5E" w:rsidRPr="001C5F6A" w:rsidRDefault="00A40D5E" w:rsidP="00A40D5E">
      <w:pPr>
        <w:rPr>
          <w:rFonts w:asciiTheme="minorHAnsi" w:hAnsiTheme="minorHAnsi"/>
        </w:rPr>
      </w:pPr>
      <w:r w:rsidRPr="001C5F6A">
        <w:rPr>
          <w:rFonts w:asciiTheme="minorHAnsi" w:hAnsiTheme="minorHAnsi"/>
          <w:b/>
        </w:rPr>
        <w:t>1.4.</w:t>
      </w:r>
      <w:r w:rsidRPr="001C5F6A">
        <w:rPr>
          <w:rFonts w:asciiTheme="minorHAnsi" w:hAnsiTheme="minorHAnsi"/>
        </w:rPr>
        <w:t xml:space="preserve"> Określenia podstawowe</w:t>
      </w:r>
    </w:p>
    <w:p w:rsidR="00A40D5E" w:rsidRPr="001C5F6A" w:rsidRDefault="00A40D5E" w:rsidP="00A40D5E">
      <w:pPr>
        <w:rPr>
          <w:rFonts w:asciiTheme="minorHAnsi" w:hAnsiTheme="minorHAnsi"/>
        </w:rPr>
      </w:pPr>
      <w:r w:rsidRPr="001C5F6A">
        <w:rPr>
          <w:rFonts w:asciiTheme="minorHAnsi" w:hAnsiTheme="minorHAnsi"/>
          <w:b/>
        </w:rPr>
        <w:t>1.4.1.</w:t>
      </w:r>
      <w:r w:rsidRPr="001C5F6A">
        <w:rPr>
          <w:rFonts w:asciiTheme="minorHAnsi" w:hAnsiTheme="minorHAnsi"/>
        </w:rPr>
        <w:tab/>
        <w:t>Podbudowa - dolna część nawierzchni służąca do przenoszenia obciążeń od ruchu na podłoże.</w:t>
      </w:r>
    </w:p>
    <w:p w:rsidR="00A40D5E" w:rsidRPr="001C5F6A" w:rsidRDefault="00A40D5E" w:rsidP="00A40D5E">
      <w:pPr>
        <w:rPr>
          <w:rFonts w:asciiTheme="minorHAnsi" w:hAnsiTheme="minorHAnsi"/>
        </w:rPr>
      </w:pPr>
      <w:r w:rsidRPr="001C5F6A">
        <w:rPr>
          <w:rFonts w:asciiTheme="minorHAnsi" w:hAnsiTheme="minorHAnsi"/>
          <w:b/>
        </w:rPr>
        <w:t>1.4.2.</w:t>
      </w:r>
      <w:r w:rsidRPr="001C5F6A">
        <w:rPr>
          <w:rFonts w:asciiTheme="minorHAnsi" w:hAnsiTheme="minorHAnsi"/>
          <w:b/>
        </w:rPr>
        <w:tab/>
      </w:r>
      <w:r w:rsidRPr="001C5F6A">
        <w:rPr>
          <w:rFonts w:asciiTheme="minorHAnsi" w:hAnsiTheme="minorHAnsi"/>
        </w:rPr>
        <w:t>Podbudowa z betonu cementowego - warstwa zagęszczonej mieszanki betonowej, która po osiągnięciu wytrzymałości na ściskanie odpowiadającej klasie betonu B 15 (lub wyjątkowo wyższej), stanowi fragment nośnej części nawierzchni, służący do przenoszenia obciążeń od ruchu na podłoże.</w:t>
      </w:r>
    </w:p>
    <w:p w:rsidR="00A40D5E" w:rsidRPr="001C5F6A" w:rsidRDefault="00A40D5E" w:rsidP="00A40D5E">
      <w:pPr>
        <w:rPr>
          <w:rFonts w:asciiTheme="minorHAnsi" w:hAnsiTheme="minorHAnsi"/>
        </w:rPr>
      </w:pPr>
      <w:r w:rsidRPr="001C5F6A">
        <w:rPr>
          <w:rFonts w:asciiTheme="minorHAnsi" w:hAnsiTheme="minorHAnsi"/>
          <w:b/>
        </w:rPr>
        <w:t>1.4.3.</w:t>
      </w:r>
      <w:r w:rsidRPr="001C5F6A">
        <w:rPr>
          <w:rFonts w:asciiTheme="minorHAnsi" w:hAnsiTheme="minorHAnsi"/>
        </w:rPr>
        <w:tab/>
        <w:t>Klasa betonu - symbol literowo-liczbowy (np. betonu klasy B 15 przy R = 15 MPa), określający wytrzymałość gwarantowaną betonu (R).</w:t>
      </w:r>
    </w:p>
    <w:p w:rsidR="00A40D5E" w:rsidRPr="001C5F6A" w:rsidRDefault="00A40D5E" w:rsidP="00A40D5E">
      <w:pPr>
        <w:rPr>
          <w:rFonts w:asciiTheme="minorHAnsi" w:hAnsiTheme="minorHAnsi"/>
        </w:rPr>
      </w:pPr>
      <w:r w:rsidRPr="001C5F6A">
        <w:rPr>
          <w:rFonts w:asciiTheme="minorHAnsi" w:hAnsiTheme="minorHAnsi"/>
          <w:b/>
        </w:rPr>
        <w:t>1.4.4.</w:t>
      </w:r>
      <w:r w:rsidRPr="001C5F6A">
        <w:rPr>
          <w:rFonts w:asciiTheme="minorHAnsi" w:hAnsiTheme="minorHAnsi"/>
        </w:rPr>
        <w:tab/>
        <w:t xml:space="preserve"> Mieszanka betonowa - mieszanina wszystkich składników użytych do wykonania betonu przed zagęszczeniem.</w:t>
      </w:r>
    </w:p>
    <w:p w:rsidR="00A40D5E" w:rsidRPr="001C5F6A" w:rsidRDefault="00A40D5E" w:rsidP="00A40D5E">
      <w:pPr>
        <w:rPr>
          <w:rFonts w:asciiTheme="minorHAnsi" w:hAnsiTheme="minorHAnsi"/>
        </w:rPr>
      </w:pPr>
      <w:r w:rsidRPr="001C5F6A">
        <w:rPr>
          <w:rFonts w:asciiTheme="minorHAnsi" w:hAnsiTheme="minorHAnsi"/>
          <w:b/>
        </w:rPr>
        <w:t>1.4.5.</w:t>
      </w:r>
      <w:r w:rsidRPr="001C5F6A">
        <w:rPr>
          <w:rFonts w:asciiTheme="minorHAnsi" w:hAnsiTheme="minorHAnsi"/>
        </w:rPr>
        <w:tab/>
        <w:t>Szczelina skurczowa pełna - szczelina dzieląca płyty betonowe na całej grubości i umożliwiająca tylko kurczenie się płyt.</w:t>
      </w:r>
    </w:p>
    <w:p w:rsidR="00A40D5E" w:rsidRPr="001C5F6A" w:rsidRDefault="00A40D5E" w:rsidP="00A40D5E">
      <w:pPr>
        <w:rPr>
          <w:rFonts w:asciiTheme="minorHAnsi" w:hAnsiTheme="minorHAnsi"/>
        </w:rPr>
      </w:pPr>
      <w:r w:rsidRPr="001C5F6A">
        <w:rPr>
          <w:rFonts w:asciiTheme="minorHAnsi" w:hAnsiTheme="minorHAnsi"/>
          <w:b/>
        </w:rPr>
        <w:t>1.4.6.</w:t>
      </w:r>
      <w:r w:rsidRPr="001C5F6A">
        <w:rPr>
          <w:rFonts w:asciiTheme="minorHAnsi" w:hAnsiTheme="minorHAnsi"/>
        </w:rPr>
        <w:tab/>
        <w:t>Szczelina skurczowa pozorna - szczelina dzieląca płyty betonowe w części górnej przekroju poprzecznego.</w:t>
      </w:r>
    </w:p>
    <w:p w:rsidR="00A40D5E" w:rsidRPr="001C5F6A" w:rsidRDefault="00A40D5E" w:rsidP="00A40D5E">
      <w:pPr>
        <w:rPr>
          <w:rFonts w:asciiTheme="minorHAnsi" w:hAnsiTheme="minorHAnsi"/>
        </w:rPr>
      </w:pPr>
      <w:r w:rsidRPr="001C5F6A">
        <w:rPr>
          <w:rFonts w:asciiTheme="minorHAnsi" w:hAnsiTheme="minorHAnsi"/>
          <w:b/>
        </w:rPr>
        <w:t>1.4.7.</w:t>
      </w:r>
      <w:r w:rsidRPr="001C5F6A">
        <w:rPr>
          <w:rFonts w:asciiTheme="minorHAnsi" w:hAnsiTheme="minorHAnsi"/>
        </w:rPr>
        <w:tab/>
        <w:t xml:space="preserve"> Masa zalewowa na gorąco - mieszanina składająca się z asfaltu drogowego, modyfikowanego dodatkiem kauczuku lub żywic syntetycznych, wypełniaczy i innych dodatków uszlachetniających, przeznaczona do wypełniania szczelin nawierzchni na gorąco.</w:t>
      </w:r>
    </w:p>
    <w:p w:rsidR="00A40D5E" w:rsidRPr="001C5F6A" w:rsidRDefault="00A40D5E" w:rsidP="00A40D5E">
      <w:pPr>
        <w:rPr>
          <w:rFonts w:asciiTheme="minorHAnsi" w:hAnsiTheme="minorHAnsi"/>
        </w:rPr>
      </w:pPr>
      <w:r w:rsidRPr="001C5F6A">
        <w:rPr>
          <w:rFonts w:asciiTheme="minorHAnsi" w:hAnsiTheme="minorHAnsi"/>
          <w:b/>
        </w:rPr>
        <w:t>1.4.8.</w:t>
      </w:r>
      <w:r w:rsidRPr="001C5F6A">
        <w:rPr>
          <w:rFonts w:asciiTheme="minorHAnsi" w:hAnsiTheme="minorHAnsi"/>
        </w:rPr>
        <w:tab/>
        <w:t>Masa zalewowa na zimno - mieszanina żywic syntetycznych jedno- lub dwuskładnikowych, zawierająca konieczne dodatki uszlachetniające i wypełniające, przeznaczona do wypełniania szczelin na zimno.</w:t>
      </w:r>
    </w:p>
    <w:p w:rsidR="00A40D5E" w:rsidRPr="001C5F6A" w:rsidRDefault="00A40D5E" w:rsidP="00A40D5E">
      <w:pPr>
        <w:rPr>
          <w:rFonts w:asciiTheme="minorHAnsi" w:hAnsiTheme="minorHAnsi"/>
        </w:rPr>
      </w:pPr>
      <w:r w:rsidRPr="001C5F6A">
        <w:rPr>
          <w:rFonts w:asciiTheme="minorHAnsi" w:hAnsiTheme="minorHAnsi"/>
        </w:rPr>
        <w:t>Wkładki uszczelniające do szczelin - elastyczne profile zamknięte lub otwarte, zwykle wykonane z tworzywa sztucznego, wciskane w szczelinę w celu jej uszczelnienia.</w:t>
      </w:r>
    </w:p>
    <w:p w:rsidR="00A40D5E" w:rsidRPr="001C5F6A" w:rsidRDefault="00A40D5E" w:rsidP="00A40D5E">
      <w:pPr>
        <w:rPr>
          <w:rFonts w:asciiTheme="minorHAnsi" w:hAnsiTheme="minorHAnsi"/>
        </w:rPr>
      </w:pPr>
      <w:r w:rsidRPr="001C5F6A">
        <w:rPr>
          <w:rFonts w:asciiTheme="minorHAnsi" w:hAnsiTheme="minorHAnsi"/>
        </w:rPr>
        <w:t>Wskaźnik różnoziarnistości - wielkość charakteryzująca grunty niespoiste, określona wg wzoru U = d60 : d10, gdzie d60 - średnica oczek sita, przez które przechodzi 60% gruntu, d10 - średnica oczek sita, przez które przechodzi 10% gruntu.</w:t>
      </w:r>
    </w:p>
    <w:p w:rsidR="00A40D5E" w:rsidRPr="001C5F6A" w:rsidRDefault="00A40D5E" w:rsidP="00A40D5E">
      <w:pPr>
        <w:rPr>
          <w:rFonts w:asciiTheme="minorHAnsi" w:hAnsiTheme="minorHAnsi"/>
        </w:rPr>
      </w:pPr>
      <w:r w:rsidRPr="001C5F6A">
        <w:rPr>
          <w:rFonts w:asciiTheme="minorHAnsi" w:hAnsiTheme="minorHAnsi"/>
          <w:b/>
        </w:rPr>
        <w:t>1.4.9.</w:t>
      </w:r>
      <w:r w:rsidRPr="001C5F6A">
        <w:rPr>
          <w:rFonts w:asciiTheme="minorHAnsi" w:hAnsiTheme="minorHAnsi"/>
        </w:rPr>
        <w:tab/>
        <w:t>Pozostałe określenia podstawowe są zgodne z obowiązującymi, odpowiednimi polskimi normami i z definicjami podanymi w ST   D-M-00.00.00 „Wymagania ogólne” pkt 1.4.</w:t>
      </w:r>
    </w:p>
    <w:p w:rsidR="00A40D5E" w:rsidRPr="001C5F6A" w:rsidRDefault="00A40D5E" w:rsidP="00A40D5E">
      <w:pPr>
        <w:rPr>
          <w:rFonts w:asciiTheme="minorHAnsi" w:hAnsiTheme="minorHAnsi"/>
        </w:rPr>
      </w:pPr>
      <w:r w:rsidRPr="001C5F6A">
        <w:rPr>
          <w:rFonts w:asciiTheme="minorHAnsi" w:hAnsiTheme="minorHAnsi"/>
          <w:b/>
        </w:rPr>
        <w:t>1.5.</w:t>
      </w:r>
      <w:r w:rsidRPr="001C5F6A">
        <w:rPr>
          <w:rFonts w:asciiTheme="minorHAnsi" w:hAnsiTheme="minorHAnsi"/>
        </w:rPr>
        <w:t xml:space="preserve"> Ogólne wymagania dotyczące robót</w:t>
      </w:r>
    </w:p>
    <w:p w:rsidR="00A40D5E" w:rsidRPr="001C5F6A" w:rsidRDefault="00A40D5E" w:rsidP="00A40D5E">
      <w:pPr>
        <w:rPr>
          <w:rFonts w:asciiTheme="minorHAnsi" w:hAnsiTheme="minorHAnsi"/>
        </w:rPr>
      </w:pPr>
      <w:r w:rsidRPr="001C5F6A">
        <w:rPr>
          <w:rFonts w:asciiTheme="minorHAnsi" w:hAnsiTheme="minorHAnsi"/>
        </w:rPr>
        <w:tab/>
        <w:t>Ogólne wymagania dotyczące robót podano w ST   D-M-00.00.00 „Wymagania ogólne” pkt 1.5.</w:t>
      </w:r>
    </w:p>
    <w:p w:rsidR="00A40D5E" w:rsidRPr="001C5F6A" w:rsidRDefault="00A40D5E" w:rsidP="00A40D5E">
      <w:pPr>
        <w:rPr>
          <w:rFonts w:asciiTheme="minorHAnsi" w:hAnsiTheme="minorHAnsi"/>
        </w:rPr>
      </w:pPr>
    </w:p>
    <w:p w:rsidR="00A40D5E" w:rsidRPr="001C5F6A" w:rsidRDefault="00A40D5E" w:rsidP="00A40D5E">
      <w:pPr>
        <w:rPr>
          <w:rFonts w:asciiTheme="minorHAnsi" w:hAnsiTheme="minorHAnsi"/>
          <w:b/>
        </w:rPr>
      </w:pPr>
      <w:bookmarkStart w:id="1417" w:name="_Toc113935588"/>
      <w:r w:rsidRPr="001C5F6A">
        <w:rPr>
          <w:rFonts w:asciiTheme="minorHAnsi" w:hAnsiTheme="minorHAnsi"/>
          <w:b/>
        </w:rPr>
        <w:t xml:space="preserve">2. </w:t>
      </w:r>
      <w:bookmarkEnd w:id="1417"/>
      <w:r w:rsidRPr="001C5F6A">
        <w:rPr>
          <w:rFonts w:asciiTheme="minorHAnsi" w:hAnsiTheme="minorHAnsi"/>
          <w:b/>
        </w:rPr>
        <w:t>MATERIAŁY</w:t>
      </w:r>
    </w:p>
    <w:p w:rsidR="00A40D5E" w:rsidRPr="001C5F6A" w:rsidRDefault="00A40D5E" w:rsidP="00A40D5E">
      <w:pPr>
        <w:rPr>
          <w:rFonts w:asciiTheme="minorHAnsi" w:hAnsiTheme="minorHAnsi"/>
        </w:rPr>
      </w:pPr>
      <w:r w:rsidRPr="001C5F6A">
        <w:rPr>
          <w:rFonts w:asciiTheme="minorHAnsi" w:hAnsiTheme="minorHAnsi"/>
          <w:b/>
        </w:rPr>
        <w:t>2.1.</w:t>
      </w:r>
      <w:r w:rsidRPr="001C5F6A">
        <w:rPr>
          <w:rFonts w:asciiTheme="minorHAnsi" w:hAnsiTheme="minorHAnsi"/>
        </w:rPr>
        <w:t xml:space="preserve"> Ogólne wymagania dotyczące materiałów</w:t>
      </w:r>
    </w:p>
    <w:p w:rsidR="00A40D5E" w:rsidRPr="001C5F6A" w:rsidRDefault="00A40D5E" w:rsidP="00A40D5E">
      <w:pPr>
        <w:rPr>
          <w:rFonts w:asciiTheme="minorHAnsi" w:hAnsiTheme="minorHAnsi"/>
        </w:rPr>
      </w:pPr>
      <w:r w:rsidRPr="001C5F6A">
        <w:rPr>
          <w:rFonts w:asciiTheme="minorHAnsi" w:hAnsiTheme="minorHAnsi"/>
        </w:rPr>
        <w:tab/>
        <w:t>Ogólne wymagania dotyczące materiałów, ich pozyskiwania i składowania, podano w ST   D-M-00.00.00 „Wymagania ogólne” pkt 2.</w:t>
      </w:r>
    </w:p>
    <w:p w:rsidR="00A40D5E" w:rsidRPr="001C5F6A" w:rsidRDefault="00A40D5E" w:rsidP="00A40D5E">
      <w:pPr>
        <w:rPr>
          <w:rFonts w:asciiTheme="minorHAnsi" w:hAnsiTheme="minorHAnsi"/>
        </w:rPr>
      </w:pPr>
      <w:r w:rsidRPr="001C5F6A">
        <w:rPr>
          <w:rFonts w:asciiTheme="minorHAnsi" w:hAnsiTheme="minorHAnsi"/>
          <w:b/>
        </w:rPr>
        <w:t>2.2.</w:t>
      </w:r>
      <w:r w:rsidRPr="001C5F6A">
        <w:rPr>
          <w:rFonts w:asciiTheme="minorHAnsi" w:hAnsiTheme="minorHAnsi"/>
        </w:rPr>
        <w:t xml:space="preserve"> Materiały do wykonania robót</w:t>
      </w:r>
    </w:p>
    <w:p w:rsidR="00A40D5E" w:rsidRPr="001C5F6A" w:rsidRDefault="00A40D5E" w:rsidP="00A40D5E">
      <w:pPr>
        <w:rPr>
          <w:rFonts w:asciiTheme="minorHAnsi" w:hAnsiTheme="minorHAnsi"/>
        </w:rPr>
      </w:pPr>
      <w:r w:rsidRPr="001C5F6A">
        <w:rPr>
          <w:rFonts w:asciiTheme="minorHAnsi" w:hAnsiTheme="minorHAnsi"/>
        </w:rPr>
        <w:t>Zgodność materiałów z dokumentacją projektową i aprobatą techniczną</w:t>
      </w:r>
    </w:p>
    <w:p w:rsidR="00A40D5E" w:rsidRPr="001C5F6A" w:rsidRDefault="00A40D5E" w:rsidP="00A40D5E">
      <w:pPr>
        <w:rPr>
          <w:rFonts w:asciiTheme="minorHAnsi" w:hAnsiTheme="minorHAnsi"/>
        </w:rPr>
      </w:pPr>
      <w:r w:rsidRPr="001C5F6A">
        <w:rPr>
          <w:rFonts w:asciiTheme="minorHAnsi" w:hAnsiTheme="minorHAnsi"/>
        </w:rPr>
        <w:tab/>
        <w:t>Materiały do wykonania podbudowy z betonu cementowego powinny być zgodne z ustaleniami dokumentacji projektowej lub ST oraz z aprobatą techniczną IBDiM.</w:t>
      </w:r>
    </w:p>
    <w:p w:rsidR="00A40D5E" w:rsidRPr="001C5F6A" w:rsidRDefault="00A40D5E" w:rsidP="00A40D5E">
      <w:pPr>
        <w:rPr>
          <w:rFonts w:asciiTheme="minorHAnsi" w:hAnsiTheme="minorHAnsi"/>
        </w:rPr>
      </w:pPr>
      <w:r w:rsidRPr="001C5F6A">
        <w:rPr>
          <w:rFonts w:asciiTheme="minorHAnsi" w:hAnsiTheme="minorHAnsi"/>
        </w:rPr>
        <w:t>Cement</w:t>
      </w:r>
    </w:p>
    <w:p w:rsidR="00A40D5E" w:rsidRPr="001C5F6A" w:rsidRDefault="00A40D5E" w:rsidP="00A40D5E">
      <w:pPr>
        <w:rPr>
          <w:rFonts w:asciiTheme="minorHAnsi" w:hAnsiTheme="minorHAnsi"/>
        </w:rPr>
      </w:pPr>
      <w:r w:rsidRPr="001C5F6A">
        <w:rPr>
          <w:rFonts w:asciiTheme="minorHAnsi" w:hAnsiTheme="minorHAnsi"/>
        </w:rPr>
        <w:tab/>
        <w:t>Do produkcji mieszanki betonowej należy stosować cementy odpowiadające wymaganiom PN-EN 197-1:2002 klasy 32,5: cement portlandzki CEM I, mieszany CEM II, hutniczy CEM III lub inne zaakceptowane przez Inżyniera.</w:t>
      </w:r>
    </w:p>
    <w:p w:rsidR="00A40D5E" w:rsidRPr="001C5F6A" w:rsidRDefault="00A40D5E" w:rsidP="00A40D5E">
      <w:pPr>
        <w:rPr>
          <w:rFonts w:asciiTheme="minorHAnsi" w:hAnsiTheme="minorHAnsi"/>
        </w:rPr>
      </w:pPr>
      <w:r w:rsidRPr="001C5F6A">
        <w:rPr>
          <w:rFonts w:asciiTheme="minorHAnsi" w:hAnsiTheme="minorHAnsi"/>
        </w:rPr>
        <w:t>Kruszywo</w:t>
      </w:r>
    </w:p>
    <w:p w:rsidR="00A40D5E" w:rsidRPr="001C5F6A" w:rsidRDefault="00A40D5E" w:rsidP="00A40D5E">
      <w:pPr>
        <w:rPr>
          <w:rFonts w:asciiTheme="minorHAnsi" w:hAnsiTheme="minorHAnsi"/>
        </w:rPr>
      </w:pPr>
      <w:r w:rsidRPr="001C5F6A">
        <w:rPr>
          <w:rFonts w:asciiTheme="minorHAnsi" w:hAnsiTheme="minorHAnsi"/>
        </w:rPr>
        <w:tab/>
        <w:t>Do wytwarzania mieszanki betonowej należy stosować kruszywo mineralne naturalne, grys z otoczaków lub surowca skalnego, kruszywo z żużla wielkopiecowego kawałkowego oraz mieszanki tych kruszyw.</w:t>
      </w:r>
    </w:p>
    <w:p w:rsidR="00A40D5E" w:rsidRPr="001C5F6A" w:rsidRDefault="00A40D5E" w:rsidP="00A40D5E">
      <w:pPr>
        <w:rPr>
          <w:rFonts w:asciiTheme="minorHAnsi" w:hAnsiTheme="minorHAnsi"/>
        </w:rPr>
      </w:pPr>
      <w:r w:rsidRPr="001C5F6A">
        <w:rPr>
          <w:rFonts w:asciiTheme="minorHAnsi" w:hAnsiTheme="minorHAnsi"/>
        </w:rPr>
        <w:lastRenderedPageBreak/>
        <w:tab/>
        <w:t>Uziarnienie kruszywa wchodzącego w skład mieszanki betonowej powinno być tak dobrane, aby mieszanka ta wykazywała maksymalną szczelność i urabialność przy minimalnym zużyciu cementu i wody.</w:t>
      </w:r>
    </w:p>
    <w:p w:rsidR="00A40D5E" w:rsidRPr="001C5F6A" w:rsidRDefault="00A40D5E" w:rsidP="00A40D5E">
      <w:pPr>
        <w:rPr>
          <w:rFonts w:asciiTheme="minorHAnsi" w:hAnsiTheme="minorHAnsi"/>
        </w:rPr>
      </w:pPr>
      <w:r w:rsidRPr="001C5F6A">
        <w:rPr>
          <w:rFonts w:asciiTheme="minorHAnsi" w:hAnsiTheme="minorHAnsi"/>
        </w:rPr>
        <w:tab/>
        <w:t>Właściwości kruszywa oraz ich cechy fizyczne i chemiczne powinny odpowiadać wymaganiom określonym w PN-S-96014:1997.</w:t>
      </w:r>
    </w:p>
    <w:p w:rsidR="00A40D5E" w:rsidRPr="001C5F6A" w:rsidRDefault="00A40D5E" w:rsidP="00A40D5E">
      <w:pPr>
        <w:rPr>
          <w:rFonts w:asciiTheme="minorHAnsi" w:hAnsiTheme="minorHAnsi"/>
        </w:rPr>
      </w:pPr>
      <w:r w:rsidRPr="001C5F6A">
        <w:rPr>
          <w:rFonts w:asciiTheme="minorHAnsi" w:hAnsiTheme="minorHAnsi"/>
        </w:rPr>
        <w:t>Woda</w:t>
      </w:r>
    </w:p>
    <w:p w:rsidR="00A40D5E" w:rsidRPr="001C5F6A" w:rsidRDefault="00A40D5E" w:rsidP="00A40D5E">
      <w:pPr>
        <w:rPr>
          <w:rFonts w:asciiTheme="minorHAnsi" w:hAnsiTheme="minorHAnsi"/>
        </w:rPr>
      </w:pPr>
      <w:r w:rsidRPr="001C5F6A">
        <w:rPr>
          <w:rFonts w:asciiTheme="minorHAnsi" w:hAnsiTheme="minorHAnsi"/>
        </w:rPr>
        <w:tab/>
        <w:t>Do wytwarzania mieszanki betonowej i pielęgnacji podbudowy należy używać wody określonej w PN-S-96014:1997.</w:t>
      </w:r>
    </w:p>
    <w:p w:rsidR="00A40D5E" w:rsidRPr="001C5F6A" w:rsidRDefault="00A40D5E" w:rsidP="00A40D5E">
      <w:pPr>
        <w:rPr>
          <w:rFonts w:asciiTheme="minorHAnsi" w:hAnsiTheme="minorHAnsi"/>
        </w:rPr>
      </w:pPr>
      <w:r w:rsidRPr="001C5F6A">
        <w:rPr>
          <w:rFonts w:asciiTheme="minorHAnsi" w:hAnsiTheme="minorHAnsi"/>
        </w:rPr>
        <w:tab/>
        <w:t>Bez badań laboratoryjnych można stosować wodociągową wodę pitną.</w:t>
      </w:r>
    </w:p>
    <w:p w:rsidR="00A40D5E" w:rsidRPr="001C5F6A" w:rsidRDefault="00A40D5E" w:rsidP="00A40D5E">
      <w:pPr>
        <w:rPr>
          <w:rFonts w:asciiTheme="minorHAnsi" w:hAnsiTheme="minorHAnsi"/>
        </w:rPr>
      </w:pPr>
      <w:r w:rsidRPr="001C5F6A">
        <w:rPr>
          <w:rFonts w:asciiTheme="minorHAnsi" w:hAnsiTheme="minorHAnsi"/>
        </w:rPr>
        <w:t>Domieszki do betonu</w:t>
      </w:r>
    </w:p>
    <w:p w:rsidR="00A40D5E" w:rsidRPr="001C5F6A" w:rsidRDefault="00A40D5E" w:rsidP="00A40D5E">
      <w:pPr>
        <w:rPr>
          <w:rFonts w:asciiTheme="minorHAnsi" w:hAnsiTheme="minorHAnsi"/>
        </w:rPr>
      </w:pPr>
      <w:r w:rsidRPr="001C5F6A">
        <w:rPr>
          <w:rFonts w:asciiTheme="minorHAnsi" w:hAnsiTheme="minorHAnsi"/>
        </w:rPr>
        <w:tab/>
        <w:t>W celu zmiany warunków wiązania i twardnienia, poprawy właściwości betonu i mieszanki betonowej oraz ograniczenia zawartości cementu mogą być stosowane domieszki według PN-EN 934-2:1999.</w:t>
      </w:r>
    </w:p>
    <w:p w:rsidR="00A40D5E" w:rsidRPr="001C5F6A" w:rsidRDefault="00A40D5E" w:rsidP="00A40D5E">
      <w:pPr>
        <w:rPr>
          <w:rFonts w:asciiTheme="minorHAnsi" w:hAnsiTheme="minorHAnsi"/>
        </w:rPr>
      </w:pPr>
      <w:r w:rsidRPr="001C5F6A">
        <w:rPr>
          <w:rFonts w:asciiTheme="minorHAnsi" w:hAnsiTheme="minorHAnsi"/>
        </w:rPr>
        <w:tab/>
        <w:t>Przy wyborze domieszki należy uwzględnić jej zgodność z cementem. Zaleca się wykonać badanie zgodności w laboratorium oraz sprawdzić na odcinku próbnym.</w:t>
      </w:r>
    </w:p>
    <w:p w:rsidR="00A40D5E" w:rsidRPr="001C5F6A" w:rsidRDefault="00A40D5E" w:rsidP="00A40D5E">
      <w:pPr>
        <w:rPr>
          <w:rFonts w:asciiTheme="minorHAnsi" w:hAnsiTheme="minorHAnsi"/>
        </w:rPr>
      </w:pPr>
      <w:r w:rsidRPr="001C5F6A">
        <w:rPr>
          <w:rFonts w:asciiTheme="minorHAnsi" w:hAnsiTheme="minorHAnsi"/>
        </w:rPr>
        <w:t>Zalewa drogowa lub wkładki uszczelniające w szczelinach</w:t>
      </w:r>
    </w:p>
    <w:p w:rsidR="00A40D5E" w:rsidRPr="001C5F6A" w:rsidRDefault="00A40D5E" w:rsidP="00A40D5E">
      <w:pPr>
        <w:rPr>
          <w:rFonts w:asciiTheme="minorHAnsi" w:hAnsiTheme="minorHAnsi"/>
        </w:rPr>
      </w:pPr>
      <w:r w:rsidRPr="001C5F6A">
        <w:rPr>
          <w:rFonts w:asciiTheme="minorHAnsi" w:hAnsiTheme="minorHAnsi"/>
        </w:rPr>
        <w:tab/>
        <w:t>Do wypełnienia szczelin w podbudowie betonowej należy stosować specjalne masy zalewowe, wbudowywane na gorąco lub na zimno, względnie wkładki uszczelniające, posiadające aprobatę techniczną IBDiM.</w:t>
      </w:r>
    </w:p>
    <w:p w:rsidR="00A40D5E" w:rsidRPr="001C5F6A" w:rsidRDefault="00A40D5E" w:rsidP="00A40D5E">
      <w:pPr>
        <w:rPr>
          <w:rFonts w:asciiTheme="minorHAnsi" w:hAnsiTheme="minorHAnsi"/>
        </w:rPr>
      </w:pPr>
      <w:r w:rsidRPr="001C5F6A">
        <w:rPr>
          <w:rFonts w:asciiTheme="minorHAnsi" w:hAnsiTheme="minorHAnsi"/>
        </w:rPr>
        <w:t>Materiały do pielęgnacji podbudowy</w:t>
      </w:r>
    </w:p>
    <w:p w:rsidR="00A40D5E" w:rsidRPr="001C5F6A" w:rsidRDefault="00A40D5E" w:rsidP="00A40D5E">
      <w:pPr>
        <w:rPr>
          <w:rFonts w:asciiTheme="minorHAnsi" w:hAnsiTheme="minorHAnsi"/>
        </w:rPr>
      </w:pPr>
      <w:r w:rsidRPr="001C5F6A">
        <w:rPr>
          <w:rFonts w:asciiTheme="minorHAnsi" w:hAnsiTheme="minorHAnsi"/>
        </w:rPr>
        <w:tab/>
        <w:t>Do pielęgnacji świeżo ułożonej podbudowy z betonu cementowego należy stosować:</w:t>
      </w:r>
    </w:p>
    <w:p w:rsidR="00A40D5E" w:rsidRPr="001C5F6A" w:rsidRDefault="00A40D5E" w:rsidP="00A40D5E">
      <w:pPr>
        <w:rPr>
          <w:rFonts w:asciiTheme="minorHAnsi" w:hAnsiTheme="minorHAnsi"/>
        </w:rPr>
      </w:pPr>
      <w:r w:rsidRPr="001C5F6A">
        <w:rPr>
          <w:rFonts w:asciiTheme="minorHAnsi" w:hAnsiTheme="minorHAnsi"/>
        </w:rPr>
        <w:t>preparaty powłokowe,</w:t>
      </w:r>
    </w:p>
    <w:p w:rsidR="00A40D5E" w:rsidRPr="001C5F6A" w:rsidRDefault="00A40D5E" w:rsidP="00A40D5E">
      <w:pPr>
        <w:rPr>
          <w:rFonts w:asciiTheme="minorHAnsi" w:hAnsiTheme="minorHAnsi"/>
        </w:rPr>
      </w:pPr>
      <w:r w:rsidRPr="001C5F6A">
        <w:rPr>
          <w:rFonts w:asciiTheme="minorHAnsi" w:hAnsiTheme="minorHAnsi"/>
        </w:rPr>
        <w:t>folie z tworzyw sztucznych.</w:t>
      </w:r>
    </w:p>
    <w:p w:rsidR="00A40D5E" w:rsidRPr="001C5F6A" w:rsidRDefault="00A40D5E" w:rsidP="00A40D5E">
      <w:pPr>
        <w:rPr>
          <w:rFonts w:asciiTheme="minorHAnsi" w:hAnsiTheme="minorHAnsi"/>
        </w:rPr>
      </w:pPr>
      <w:r w:rsidRPr="001C5F6A">
        <w:rPr>
          <w:rFonts w:asciiTheme="minorHAnsi" w:hAnsiTheme="minorHAnsi"/>
        </w:rPr>
        <w:tab/>
        <w:t>Dopuszcza się pielęgnację warstwą piasku naturalnego, bez zanieczyszczeń organicznych lub warstwą włókniny o grubości, przy obciążeniu 2 kPa, co najmniej 5 mm, utrzymywanej w stanie wilgotnym przez zraszanie wodą.</w:t>
      </w:r>
    </w:p>
    <w:p w:rsidR="00A40D5E" w:rsidRPr="001C5F6A" w:rsidRDefault="00A40D5E" w:rsidP="00A40D5E">
      <w:pPr>
        <w:rPr>
          <w:rFonts w:asciiTheme="minorHAnsi" w:hAnsiTheme="minorHAnsi"/>
        </w:rPr>
      </w:pPr>
      <w:r w:rsidRPr="001C5F6A">
        <w:rPr>
          <w:rFonts w:asciiTheme="minorHAnsi" w:hAnsiTheme="minorHAnsi"/>
        </w:rPr>
        <w:t>Beton</w:t>
      </w:r>
    </w:p>
    <w:p w:rsidR="00A40D5E" w:rsidRPr="001C5F6A" w:rsidRDefault="00A40D5E" w:rsidP="00A40D5E">
      <w:pPr>
        <w:rPr>
          <w:rFonts w:asciiTheme="minorHAnsi" w:hAnsiTheme="minorHAnsi"/>
        </w:rPr>
      </w:pPr>
      <w:r w:rsidRPr="001C5F6A">
        <w:rPr>
          <w:rFonts w:asciiTheme="minorHAnsi" w:hAnsiTheme="minorHAnsi"/>
        </w:rPr>
        <w:tab/>
        <w:t>Zawartość cementu w 1 m3 zagęszczonej  mieszanki betonowej nie powinna przekraczać 250 kg.</w:t>
      </w:r>
    </w:p>
    <w:p w:rsidR="00A40D5E" w:rsidRPr="001C5F6A" w:rsidRDefault="00A40D5E" w:rsidP="00A40D5E">
      <w:pPr>
        <w:rPr>
          <w:rFonts w:asciiTheme="minorHAnsi" w:hAnsiTheme="minorHAnsi"/>
        </w:rPr>
      </w:pPr>
      <w:r w:rsidRPr="001C5F6A">
        <w:rPr>
          <w:rFonts w:asciiTheme="minorHAnsi" w:hAnsiTheme="minorHAnsi"/>
        </w:rPr>
        <w:tab/>
        <w:t>Konsystencja mieszanki betonowej powinna być co najmniej gęstoplastyczna.</w:t>
      </w:r>
    </w:p>
    <w:p w:rsidR="00A40D5E" w:rsidRPr="001C5F6A" w:rsidRDefault="00A40D5E" w:rsidP="00A40D5E">
      <w:pPr>
        <w:rPr>
          <w:rFonts w:asciiTheme="minorHAnsi" w:hAnsiTheme="minorHAnsi"/>
        </w:rPr>
      </w:pPr>
      <w:r w:rsidRPr="001C5F6A">
        <w:rPr>
          <w:rFonts w:asciiTheme="minorHAnsi" w:hAnsiTheme="minorHAnsi"/>
        </w:rPr>
        <w:tab/>
        <w:t>W podbudowie należy stosować beton o wytrzymałości odpowiadającej klasie B 15. W przypadkach szczególnych dopuszcza się stosowanie betonu o klasie wyższej.</w:t>
      </w:r>
    </w:p>
    <w:p w:rsidR="00A40D5E" w:rsidRPr="001C5F6A" w:rsidRDefault="00A40D5E" w:rsidP="00A40D5E">
      <w:pPr>
        <w:rPr>
          <w:rFonts w:asciiTheme="minorHAnsi" w:hAnsiTheme="minorHAnsi"/>
        </w:rPr>
      </w:pPr>
      <w:r w:rsidRPr="001C5F6A">
        <w:rPr>
          <w:rFonts w:asciiTheme="minorHAnsi" w:hAnsiTheme="minorHAnsi"/>
        </w:rPr>
        <w:tab/>
        <w:t>Nasiąkliwość betonu nie powinna przekraczać 7% (m/m).</w:t>
      </w:r>
    </w:p>
    <w:p w:rsidR="00A40D5E" w:rsidRPr="001C5F6A" w:rsidRDefault="00A40D5E" w:rsidP="00A40D5E">
      <w:pPr>
        <w:rPr>
          <w:rFonts w:asciiTheme="minorHAnsi" w:hAnsiTheme="minorHAnsi"/>
        </w:rPr>
      </w:pPr>
      <w:r w:rsidRPr="001C5F6A">
        <w:rPr>
          <w:rFonts w:asciiTheme="minorHAnsi" w:hAnsiTheme="minorHAnsi"/>
        </w:rPr>
        <w:tab/>
        <w:t>Średnia wytrzymałość na ściskanie próbek zamrażanych, badanych zgodnie z PN-S-96014:1997, nie powinna być mniejsza niż 80% wartości średniej wytrzymałości próbek niezamrażanych.</w:t>
      </w:r>
    </w:p>
    <w:p w:rsidR="00A40D5E" w:rsidRPr="001C5F6A" w:rsidRDefault="00A40D5E" w:rsidP="00A40D5E">
      <w:pPr>
        <w:rPr>
          <w:rFonts w:asciiTheme="minorHAnsi" w:hAnsiTheme="minorHAnsi"/>
        </w:rPr>
      </w:pPr>
    </w:p>
    <w:p w:rsidR="00A40D5E" w:rsidRPr="001C5F6A" w:rsidRDefault="00A40D5E" w:rsidP="00A40D5E">
      <w:pPr>
        <w:rPr>
          <w:rFonts w:asciiTheme="minorHAnsi" w:hAnsiTheme="minorHAnsi"/>
          <w:b/>
        </w:rPr>
      </w:pPr>
      <w:r w:rsidRPr="001C5F6A">
        <w:rPr>
          <w:rFonts w:asciiTheme="minorHAnsi" w:hAnsiTheme="minorHAnsi"/>
          <w:b/>
        </w:rPr>
        <w:t>3. SPRZĘT</w:t>
      </w:r>
    </w:p>
    <w:p w:rsidR="00A40D5E" w:rsidRPr="001C5F6A" w:rsidRDefault="00A40D5E" w:rsidP="00A40D5E">
      <w:pPr>
        <w:rPr>
          <w:rFonts w:asciiTheme="minorHAnsi" w:hAnsiTheme="minorHAnsi"/>
        </w:rPr>
      </w:pPr>
      <w:r w:rsidRPr="001C5F6A">
        <w:rPr>
          <w:rFonts w:asciiTheme="minorHAnsi" w:hAnsiTheme="minorHAnsi"/>
          <w:b/>
        </w:rPr>
        <w:t>3.1.</w:t>
      </w:r>
      <w:r w:rsidRPr="001C5F6A">
        <w:rPr>
          <w:rFonts w:asciiTheme="minorHAnsi" w:hAnsiTheme="minorHAnsi"/>
        </w:rPr>
        <w:t xml:space="preserve"> Ogólne wymagania dotyczące sprzętu</w:t>
      </w:r>
    </w:p>
    <w:p w:rsidR="00A40D5E" w:rsidRPr="001C5F6A" w:rsidRDefault="00A40D5E" w:rsidP="00A40D5E">
      <w:pPr>
        <w:rPr>
          <w:rFonts w:asciiTheme="minorHAnsi" w:hAnsiTheme="minorHAnsi"/>
        </w:rPr>
      </w:pPr>
      <w:r w:rsidRPr="001C5F6A">
        <w:rPr>
          <w:rFonts w:asciiTheme="minorHAnsi" w:hAnsiTheme="minorHAnsi"/>
        </w:rPr>
        <w:tab/>
        <w:t>Ogólne wymagania dotyczące sprzętu podano w ST  D-M-00.00.00 „Wymagania ogólne” pkt 3.</w:t>
      </w:r>
    </w:p>
    <w:p w:rsidR="00A40D5E" w:rsidRPr="001C5F6A" w:rsidRDefault="00A40D5E" w:rsidP="00A40D5E">
      <w:pPr>
        <w:rPr>
          <w:rFonts w:asciiTheme="minorHAnsi" w:hAnsiTheme="minorHAnsi"/>
        </w:rPr>
      </w:pPr>
      <w:r w:rsidRPr="001C5F6A">
        <w:rPr>
          <w:rFonts w:asciiTheme="minorHAnsi" w:hAnsiTheme="minorHAnsi"/>
          <w:b/>
        </w:rPr>
        <w:t>3.2.</w:t>
      </w:r>
      <w:r w:rsidRPr="001C5F6A">
        <w:rPr>
          <w:rFonts w:asciiTheme="minorHAnsi" w:hAnsiTheme="minorHAnsi"/>
        </w:rPr>
        <w:t xml:space="preserve"> Sprzęt stosowany do wykonania robót</w:t>
      </w:r>
    </w:p>
    <w:p w:rsidR="00A40D5E" w:rsidRPr="001C5F6A" w:rsidRDefault="00A40D5E" w:rsidP="00A40D5E">
      <w:pPr>
        <w:rPr>
          <w:rFonts w:asciiTheme="minorHAnsi" w:hAnsiTheme="minorHAnsi"/>
        </w:rPr>
      </w:pPr>
      <w:r w:rsidRPr="001C5F6A">
        <w:rPr>
          <w:rFonts w:asciiTheme="minorHAnsi" w:hAnsiTheme="minorHAnsi"/>
        </w:rPr>
        <w:tab/>
        <w:t>Wykonawca przystępujący do wykonania podbudowy z betonu cementowego powinien wykazać się możliwością korzystania z następującego sprzętu:</w:t>
      </w:r>
    </w:p>
    <w:p w:rsidR="00A40D5E" w:rsidRPr="001C5F6A" w:rsidRDefault="00A40D5E" w:rsidP="00A40D5E">
      <w:pPr>
        <w:rPr>
          <w:rFonts w:asciiTheme="minorHAnsi" w:hAnsiTheme="minorHAnsi"/>
        </w:rPr>
      </w:pPr>
      <w:r w:rsidRPr="001C5F6A">
        <w:rPr>
          <w:rFonts w:asciiTheme="minorHAnsi" w:hAnsiTheme="minorHAnsi"/>
        </w:rPr>
        <w:t>wytwórni stacjonarnej typu ciągłego do wytwarzania mieszanki betonowej lub odpowiedniej wielkości betoniarek,</w:t>
      </w:r>
    </w:p>
    <w:p w:rsidR="00A40D5E" w:rsidRPr="001C5F6A" w:rsidRDefault="00A40D5E" w:rsidP="00A40D5E">
      <w:pPr>
        <w:rPr>
          <w:rFonts w:asciiTheme="minorHAnsi" w:hAnsiTheme="minorHAnsi"/>
        </w:rPr>
      </w:pPr>
      <w:r w:rsidRPr="001C5F6A">
        <w:rPr>
          <w:rFonts w:asciiTheme="minorHAnsi" w:hAnsiTheme="minorHAnsi"/>
        </w:rPr>
        <w:t>przewoźnych zbiorników na wodę,</w:t>
      </w:r>
    </w:p>
    <w:p w:rsidR="00A40D5E" w:rsidRPr="001C5F6A" w:rsidRDefault="00A40D5E" w:rsidP="00A40D5E">
      <w:pPr>
        <w:rPr>
          <w:rFonts w:asciiTheme="minorHAnsi" w:hAnsiTheme="minorHAnsi"/>
        </w:rPr>
      </w:pPr>
      <w:r w:rsidRPr="001C5F6A">
        <w:rPr>
          <w:rFonts w:asciiTheme="minorHAnsi" w:hAnsiTheme="minorHAnsi"/>
        </w:rPr>
        <w:t>układarek albo równiarek do rozkładania mieszanki betonowej,</w:t>
      </w:r>
    </w:p>
    <w:p w:rsidR="00A40D5E" w:rsidRPr="001C5F6A" w:rsidRDefault="00A40D5E" w:rsidP="00A40D5E">
      <w:pPr>
        <w:rPr>
          <w:rFonts w:asciiTheme="minorHAnsi" w:hAnsiTheme="minorHAnsi"/>
        </w:rPr>
      </w:pPr>
      <w:r w:rsidRPr="001C5F6A">
        <w:rPr>
          <w:rFonts w:asciiTheme="minorHAnsi" w:hAnsiTheme="minorHAnsi"/>
        </w:rPr>
        <w:t>mechanicznych listw wibracyjnych do zagęszczania mieszanki betonowej,</w:t>
      </w:r>
    </w:p>
    <w:p w:rsidR="00A40D5E" w:rsidRPr="001C5F6A" w:rsidRDefault="00A40D5E" w:rsidP="00A40D5E">
      <w:pPr>
        <w:rPr>
          <w:rFonts w:asciiTheme="minorHAnsi" w:hAnsiTheme="minorHAnsi"/>
        </w:rPr>
      </w:pPr>
      <w:r w:rsidRPr="001C5F6A">
        <w:rPr>
          <w:rFonts w:asciiTheme="minorHAnsi" w:hAnsiTheme="minorHAnsi"/>
        </w:rPr>
        <w:t>walców wibracyjnych, zagęszczarek płytowych, małych walców wibracyjnych, m.in. do zagęszczania w miejscach trudno dostępnych.</w:t>
      </w:r>
    </w:p>
    <w:p w:rsidR="00A40D5E" w:rsidRPr="001C5F6A" w:rsidRDefault="00A40D5E" w:rsidP="00A40D5E">
      <w:pPr>
        <w:rPr>
          <w:rFonts w:asciiTheme="minorHAnsi" w:hAnsiTheme="minorHAnsi"/>
        </w:rPr>
      </w:pPr>
    </w:p>
    <w:p w:rsidR="00A40D5E" w:rsidRPr="001C5F6A" w:rsidRDefault="00A40D5E" w:rsidP="00A40D5E">
      <w:pPr>
        <w:rPr>
          <w:rFonts w:asciiTheme="minorHAnsi" w:hAnsiTheme="minorHAnsi"/>
          <w:b/>
        </w:rPr>
      </w:pPr>
      <w:r w:rsidRPr="001C5F6A">
        <w:rPr>
          <w:rFonts w:asciiTheme="minorHAnsi" w:hAnsiTheme="minorHAnsi"/>
          <w:b/>
        </w:rPr>
        <w:t>4. TRANSPORT</w:t>
      </w:r>
    </w:p>
    <w:p w:rsidR="00A40D5E" w:rsidRPr="001C5F6A" w:rsidRDefault="00A40D5E" w:rsidP="00A40D5E">
      <w:pPr>
        <w:rPr>
          <w:rFonts w:asciiTheme="minorHAnsi" w:hAnsiTheme="minorHAnsi"/>
        </w:rPr>
      </w:pPr>
      <w:r w:rsidRPr="001C5F6A">
        <w:rPr>
          <w:rFonts w:asciiTheme="minorHAnsi" w:hAnsiTheme="minorHAnsi"/>
          <w:b/>
        </w:rPr>
        <w:t>4.1.</w:t>
      </w:r>
      <w:r w:rsidRPr="001C5F6A">
        <w:rPr>
          <w:rFonts w:asciiTheme="minorHAnsi" w:hAnsiTheme="minorHAnsi"/>
        </w:rPr>
        <w:t xml:space="preserve"> Ogólne wymagania dotyczące transportu </w:t>
      </w:r>
    </w:p>
    <w:p w:rsidR="00A40D5E" w:rsidRPr="001C5F6A" w:rsidRDefault="00A40D5E" w:rsidP="00A40D5E">
      <w:pPr>
        <w:rPr>
          <w:rFonts w:asciiTheme="minorHAnsi" w:hAnsiTheme="minorHAnsi"/>
        </w:rPr>
      </w:pPr>
      <w:r w:rsidRPr="001C5F6A">
        <w:rPr>
          <w:rFonts w:asciiTheme="minorHAnsi" w:hAnsiTheme="minorHAnsi"/>
        </w:rPr>
        <w:tab/>
        <w:t xml:space="preserve">     Ogólne wymagania dotyczące transportu podano w ST D-M-00.00.00 „Wymagania ogólne” pkt 4.</w:t>
      </w:r>
    </w:p>
    <w:p w:rsidR="00A40D5E" w:rsidRPr="001C5F6A" w:rsidRDefault="00A40D5E" w:rsidP="00A40D5E">
      <w:pPr>
        <w:rPr>
          <w:rFonts w:asciiTheme="minorHAnsi" w:hAnsiTheme="minorHAnsi"/>
        </w:rPr>
      </w:pPr>
      <w:r w:rsidRPr="001C5F6A">
        <w:rPr>
          <w:rFonts w:asciiTheme="minorHAnsi" w:hAnsiTheme="minorHAnsi"/>
          <w:b/>
        </w:rPr>
        <w:t>4.2.</w:t>
      </w:r>
      <w:r w:rsidRPr="001C5F6A">
        <w:rPr>
          <w:rFonts w:asciiTheme="minorHAnsi" w:hAnsiTheme="minorHAnsi"/>
        </w:rPr>
        <w:t xml:space="preserve"> Transport materiałów</w:t>
      </w:r>
    </w:p>
    <w:p w:rsidR="00A40D5E" w:rsidRPr="001C5F6A" w:rsidRDefault="00A40D5E" w:rsidP="00A40D5E">
      <w:pPr>
        <w:rPr>
          <w:rFonts w:asciiTheme="minorHAnsi" w:hAnsiTheme="minorHAnsi"/>
        </w:rPr>
      </w:pPr>
      <w:r w:rsidRPr="001C5F6A">
        <w:rPr>
          <w:rFonts w:asciiTheme="minorHAnsi" w:hAnsiTheme="minorHAnsi"/>
        </w:rPr>
        <w:tab/>
        <w:t>Materiały sypkie, domieszki można przewozić dowolnymi środkami transportu, w warunkach zabezpieczających je przed  zanieczyszczeniem, zmieszaniem z innymi materiałami i nadmiernym zawilgoceniem.</w:t>
      </w:r>
    </w:p>
    <w:p w:rsidR="00A40D5E" w:rsidRPr="001C5F6A" w:rsidRDefault="00A40D5E" w:rsidP="00A40D5E">
      <w:pPr>
        <w:rPr>
          <w:rFonts w:asciiTheme="minorHAnsi" w:hAnsiTheme="minorHAnsi"/>
        </w:rPr>
      </w:pPr>
      <w:r w:rsidRPr="001C5F6A">
        <w:rPr>
          <w:rFonts w:asciiTheme="minorHAnsi" w:hAnsiTheme="minorHAnsi"/>
        </w:rPr>
        <w:tab/>
        <w:t>Cement luzem należy przewozić cementowozami, natomiast workowany można przewozić dowolnymi środkami transportu, w sposób zabezpieczony przed zawilgoceniem.</w:t>
      </w:r>
    </w:p>
    <w:p w:rsidR="00A40D5E" w:rsidRPr="001C5F6A" w:rsidRDefault="00A40D5E" w:rsidP="00A40D5E">
      <w:pPr>
        <w:rPr>
          <w:rFonts w:asciiTheme="minorHAnsi" w:hAnsiTheme="minorHAnsi"/>
        </w:rPr>
      </w:pPr>
      <w:r w:rsidRPr="001C5F6A">
        <w:rPr>
          <w:rFonts w:asciiTheme="minorHAnsi" w:hAnsiTheme="minorHAnsi"/>
        </w:rPr>
        <w:lastRenderedPageBreak/>
        <w:tab/>
        <w:t>Masy zalewowe, wkładki uszczelniające, materiały do pielęgnacji należy dostarczać zgodnie z warunkami podanymi w aprobatach technicznych lub ustaleniach producentów.</w:t>
      </w:r>
    </w:p>
    <w:p w:rsidR="00A40D5E" w:rsidRPr="001C5F6A" w:rsidRDefault="00A40D5E" w:rsidP="00A40D5E">
      <w:pPr>
        <w:rPr>
          <w:rFonts w:asciiTheme="minorHAnsi" w:hAnsiTheme="minorHAnsi"/>
        </w:rPr>
      </w:pPr>
    </w:p>
    <w:p w:rsidR="00A40D5E" w:rsidRPr="001C5F6A" w:rsidRDefault="00A40D5E" w:rsidP="00A40D5E">
      <w:pPr>
        <w:rPr>
          <w:rFonts w:asciiTheme="minorHAnsi" w:hAnsiTheme="minorHAnsi"/>
          <w:b/>
        </w:rPr>
      </w:pPr>
      <w:r w:rsidRPr="001C5F6A">
        <w:rPr>
          <w:rFonts w:asciiTheme="minorHAnsi" w:hAnsiTheme="minorHAnsi"/>
          <w:b/>
        </w:rPr>
        <w:t>5. WYKONANIE ROBÓT</w:t>
      </w:r>
    </w:p>
    <w:p w:rsidR="00A40D5E" w:rsidRPr="001C5F6A" w:rsidRDefault="00A40D5E" w:rsidP="00A40D5E">
      <w:pPr>
        <w:rPr>
          <w:rFonts w:asciiTheme="minorHAnsi" w:hAnsiTheme="minorHAnsi"/>
        </w:rPr>
      </w:pPr>
      <w:r w:rsidRPr="001C5F6A">
        <w:rPr>
          <w:rFonts w:asciiTheme="minorHAnsi" w:hAnsiTheme="minorHAnsi"/>
          <w:b/>
        </w:rPr>
        <w:t>5.1.</w:t>
      </w:r>
      <w:r w:rsidRPr="001C5F6A">
        <w:rPr>
          <w:rFonts w:asciiTheme="minorHAnsi" w:hAnsiTheme="minorHAnsi"/>
        </w:rPr>
        <w:t xml:space="preserve"> Ogólne zasady wykonania robót</w:t>
      </w:r>
    </w:p>
    <w:p w:rsidR="00A40D5E" w:rsidRPr="001C5F6A" w:rsidRDefault="00A40D5E" w:rsidP="00A40D5E">
      <w:pPr>
        <w:rPr>
          <w:rFonts w:asciiTheme="minorHAnsi" w:hAnsiTheme="minorHAnsi"/>
        </w:rPr>
      </w:pPr>
      <w:r w:rsidRPr="001C5F6A">
        <w:rPr>
          <w:rFonts w:asciiTheme="minorHAnsi" w:hAnsiTheme="minorHAnsi"/>
        </w:rPr>
        <w:tab/>
        <w:t xml:space="preserve">     Ogólne zasady wykonania robót podano w ST D-M-00.00.00 „Wymagania ogólne” pkt 5.</w:t>
      </w:r>
    </w:p>
    <w:p w:rsidR="00A40D5E" w:rsidRPr="001C5F6A" w:rsidRDefault="00A40D5E" w:rsidP="00A40D5E">
      <w:pPr>
        <w:rPr>
          <w:rFonts w:asciiTheme="minorHAnsi" w:hAnsiTheme="minorHAnsi"/>
        </w:rPr>
      </w:pPr>
      <w:r w:rsidRPr="001C5F6A">
        <w:rPr>
          <w:rFonts w:asciiTheme="minorHAnsi" w:hAnsiTheme="minorHAnsi"/>
          <w:b/>
        </w:rPr>
        <w:t>5.2.</w:t>
      </w:r>
      <w:r w:rsidRPr="001C5F6A">
        <w:rPr>
          <w:rFonts w:asciiTheme="minorHAnsi" w:hAnsiTheme="minorHAnsi"/>
        </w:rPr>
        <w:t xml:space="preserve"> Zasady wykonywania robót</w:t>
      </w:r>
    </w:p>
    <w:p w:rsidR="00A40D5E" w:rsidRPr="001C5F6A" w:rsidRDefault="00A40D5E" w:rsidP="00A40D5E">
      <w:pPr>
        <w:rPr>
          <w:rFonts w:asciiTheme="minorHAnsi" w:hAnsiTheme="minorHAnsi"/>
        </w:rPr>
      </w:pPr>
      <w:r w:rsidRPr="001C5F6A">
        <w:rPr>
          <w:rFonts w:asciiTheme="minorHAnsi" w:hAnsiTheme="minorHAnsi"/>
        </w:rPr>
        <w:tab/>
        <w:t>Konstrukcja i sposób wykonania robót powinny być zgodne z dokumentacją projektową. W przypadku braku wystarczających danych można korzystać z ustaleń podanych w niniejszej specyfikacji oraz z informacji podanych w załączniku 1.</w:t>
      </w:r>
    </w:p>
    <w:p w:rsidR="00A40D5E" w:rsidRPr="001C5F6A" w:rsidRDefault="00A40D5E" w:rsidP="00A40D5E">
      <w:pPr>
        <w:rPr>
          <w:rFonts w:asciiTheme="minorHAnsi" w:hAnsiTheme="minorHAnsi"/>
        </w:rPr>
      </w:pPr>
      <w:r w:rsidRPr="001C5F6A">
        <w:rPr>
          <w:rFonts w:asciiTheme="minorHAnsi" w:hAnsiTheme="minorHAnsi"/>
        </w:rPr>
        <w:tab/>
        <w:t>Podstawowe czynności przy wykonywaniu robót obejmują:</w:t>
      </w:r>
    </w:p>
    <w:p w:rsidR="00A40D5E" w:rsidRPr="001C5F6A" w:rsidRDefault="00054F0C" w:rsidP="00A40D5E">
      <w:pPr>
        <w:rPr>
          <w:rFonts w:asciiTheme="minorHAnsi" w:hAnsiTheme="minorHAnsi"/>
        </w:rPr>
      </w:pPr>
      <w:r>
        <w:rPr>
          <w:rFonts w:asciiTheme="minorHAnsi" w:hAnsiTheme="minorHAnsi"/>
        </w:rPr>
        <w:t>-</w:t>
      </w:r>
      <w:r w:rsidR="00A40D5E" w:rsidRPr="001C5F6A">
        <w:rPr>
          <w:rFonts w:asciiTheme="minorHAnsi" w:hAnsiTheme="minorHAnsi"/>
        </w:rPr>
        <w:t xml:space="preserve">roboty przygotowawcze, </w:t>
      </w:r>
    </w:p>
    <w:p w:rsidR="00A40D5E" w:rsidRPr="001C5F6A" w:rsidRDefault="00054F0C" w:rsidP="00A40D5E">
      <w:pPr>
        <w:rPr>
          <w:rFonts w:asciiTheme="minorHAnsi" w:hAnsiTheme="minorHAnsi"/>
        </w:rPr>
      </w:pPr>
      <w:r>
        <w:rPr>
          <w:rFonts w:asciiTheme="minorHAnsi" w:hAnsiTheme="minorHAnsi"/>
        </w:rPr>
        <w:t>-</w:t>
      </w:r>
      <w:r w:rsidR="00A40D5E" w:rsidRPr="001C5F6A">
        <w:rPr>
          <w:rFonts w:asciiTheme="minorHAnsi" w:hAnsiTheme="minorHAnsi"/>
        </w:rPr>
        <w:t>wykonanie podbudowy,</w:t>
      </w:r>
    </w:p>
    <w:p w:rsidR="00A40D5E" w:rsidRPr="001C5F6A" w:rsidRDefault="00054F0C" w:rsidP="00A40D5E">
      <w:pPr>
        <w:rPr>
          <w:rFonts w:asciiTheme="minorHAnsi" w:hAnsiTheme="minorHAnsi"/>
        </w:rPr>
      </w:pPr>
      <w:r>
        <w:rPr>
          <w:rFonts w:asciiTheme="minorHAnsi" w:hAnsiTheme="minorHAnsi"/>
        </w:rPr>
        <w:t>-</w:t>
      </w:r>
      <w:r w:rsidR="00A40D5E" w:rsidRPr="001C5F6A">
        <w:rPr>
          <w:rFonts w:asciiTheme="minorHAnsi" w:hAnsiTheme="minorHAnsi"/>
        </w:rPr>
        <w:t>pielęgnację podbudowy,</w:t>
      </w:r>
    </w:p>
    <w:p w:rsidR="00A40D5E" w:rsidRPr="001C5F6A" w:rsidRDefault="00054F0C" w:rsidP="00A40D5E">
      <w:pPr>
        <w:rPr>
          <w:rFonts w:asciiTheme="minorHAnsi" w:hAnsiTheme="minorHAnsi"/>
        </w:rPr>
      </w:pPr>
      <w:r>
        <w:rPr>
          <w:rFonts w:asciiTheme="minorHAnsi" w:hAnsiTheme="minorHAnsi"/>
        </w:rPr>
        <w:t>-</w:t>
      </w:r>
      <w:r w:rsidR="00A40D5E" w:rsidRPr="001C5F6A">
        <w:rPr>
          <w:rFonts w:asciiTheme="minorHAnsi" w:hAnsiTheme="minorHAnsi"/>
        </w:rPr>
        <w:t>roboty wykończeniowe.</w:t>
      </w:r>
    </w:p>
    <w:p w:rsidR="00A40D5E" w:rsidRPr="001C5F6A" w:rsidRDefault="00A40D5E" w:rsidP="00A40D5E">
      <w:pPr>
        <w:rPr>
          <w:rFonts w:asciiTheme="minorHAnsi" w:hAnsiTheme="minorHAnsi"/>
        </w:rPr>
      </w:pPr>
      <w:r w:rsidRPr="001C5F6A">
        <w:rPr>
          <w:rFonts w:asciiTheme="minorHAnsi" w:hAnsiTheme="minorHAnsi"/>
          <w:b/>
        </w:rPr>
        <w:t>5.3.</w:t>
      </w:r>
      <w:r w:rsidRPr="001C5F6A">
        <w:rPr>
          <w:rFonts w:asciiTheme="minorHAnsi" w:hAnsiTheme="minorHAnsi"/>
        </w:rPr>
        <w:t xml:space="preserve"> Roboty przygotowawcze</w:t>
      </w:r>
    </w:p>
    <w:p w:rsidR="00A40D5E" w:rsidRPr="001C5F6A" w:rsidRDefault="00A40D5E" w:rsidP="00A40D5E">
      <w:pPr>
        <w:rPr>
          <w:rFonts w:asciiTheme="minorHAnsi" w:hAnsiTheme="minorHAnsi"/>
        </w:rPr>
      </w:pPr>
      <w:r w:rsidRPr="001C5F6A">
        <w:rPr>
          <w:rFonts w:asciiTheme="minorHAnsi" w:hAnsiTheme="minorHAnsi"/>
          <w:b/>
        </w:rPr>
        <w:t>5.3.1.</w:t>
      </w:r>
      <w:r w:rsidRPr="001C5F6A">
        <w:rPr>
          <w:rFonts w:asciiTheme="minorHAnsi" w:hAnsiTheme="minorHAnsi"/>
        </w:rPr>
        <w:t xml:space="preserve"> Wstępne roboty przygotowawcze</w:t>
      </w:r>
    </w:p>
    <w:p w:rsidR="00A40D5E" w:rsidRPr="001C5F6A" w:rsidRDefault="00A40D5E" w:rsidP="00A40D5E">
      <w:pPr>
        <w:rPr>
          <w:rFonts w:asciiTheme="minorHAnsi" w:hAnsiTheme="minorHAnsi"/>
        </w:rPr>
      </w:pPr>
      <w:r w:rsidRPr="001C5F6A">
        <w:rPr>
          <w:rFonts w:asciiTheme="minorHAnsi" w:hAnsiTheme="minorHAnsi"/>
        </w:rPr>
        <w:t>Przed przystąpieniem do robót należy, na podstawie dokumentacji projektowej lub wskazań Inżyniera:</w:t>
      </w:r>
    </w:p>
    <w:p w:rsidR="00A40D5E" w:rsidRPr="001C5F6A" w:rsidRDefault="00A40D5E" w:rsidP="00A40D5E">
      <w:pPr>
        <w:rPr>
          <w:rFonts w:asciiTheme="minorHAnsi" w:hAnsiTheme="minorHAnsi"/>
        </w:rPr>
      </w:pPr>
      <w:r w:rsidRPr="001C5F6A">
        <w:rPr>
          <w:rFonts w:asciiTheme="minorHAnsi" w:hAnsiTheme="minorHAnsi"/>
        </w:rPr>
        <w:t>ustalić lokalizację terenu robót,</w:t>
      </w:r>
    </w:p>
    <w:p w:rsidR="00A40D5E" w:rsidRPr="001C5F6A" w:rsidRDefault="00A40D5E" w:rsidP="00A40D5E">
      <w:pPr>
        <w:rPr>
          <w:rFonts w:asciiTheme="minorHAnsi" w:hAnsiTheme="minorHAnsi"/>
        </w:rPr>
      </w:pPr>
      <w:r w:rsidRPr="001C5F6A">
        <w:rPr>
          <w:rFonts w:asciiTheme="minorHAnsi" w:hAnsiTheme="minorHAnsi"/>
        </w:rPr>
        <w:t>przeprowadzić obliczenia i pomiary geodezyjne niezbędne do szczegółowego wytyczenia robót oraz ustalenia danych wysokościowych,</w:t>
      </w:r>
    </w:p>
    <w:p w:rsidR="00A40D5E" w:rsidRPr="001C5F6A" w:rsidRDefault="00A40D5E" w:rsidP="00A40D5E">
      <w:pPr>
        <w:rPr>
          <w:rFonts w:asciiTheme="minorHAnsi" w:hAnsiTheme="minorHAnsi"/>
        </w:rPr>
      </w:pPr>
      <w:r w:rsidRPr="001C5F6A">
        <w:rPr>
          <w:rFonts w:asciiTheme="minorHAnsi" w:hAnsiTheme="minorHAnsi"/>
        </w:rPr>
        <w:t>usunąć przeszkody, np. drzewa, krzaki, obiekty, elementy dróg, ogrodzeń itd..</w:t>
      </w:r>
    </w:p>
    <w:p w:rsidR="00A40D5E" w:rsidRPr="001C5F6A" w:rsidRDefault="00A40D5E" w:rsidP="00A40D5E">
      <w:pPr>
        <w:rPr>
          <w:rFonts w:asciiTheme="minorHAnsi" w:hAnsiTheme="minorHAnsi"/>
        </w:rPr>
      </w:pPr>
      <w:r w:rsidRPr="001C5F6A">
        <w:rPr>
          <w:rFonts w:asciiTheme="minorHAnsi" w:hAnsiTheme="minorHAnsi"/>
        </w:rPr>
        <w:tab/>
        <w:t>Zaleca się korzystanie z ustaleń ST D-01.00.00 w zakresie niezbędnym do wykonania robót przygotowawczych.</w:t>
      </w:r>
    </w:p>
    <w:p w:rsidR="00A40D5E" w:rsidRPr="001C5F6A" w:rsidRDefault="00A40D5E" w:rsidP="00A40D5E">
      <w:pPr>
        <w:rPr>
          <w:rFonts w:asciiTheme="minorHAnsi" w:hAnsiTheme="minorHAnsi"/>
        </w:rPr>
      </w:pPr>
      <w:r w:rsidRPr="001C5F6A">
        <w:rPr>
          <w:rFonts w:asciiTheme="minorHAnsi" w:hAnsiTheme="minorHAnsi"/>
        </w:rPr>
        <w:t>Przygotowanie podłoża</w:t>
      </w:r>
    </w:p>
    <w:p w:rsidR="00A40D5E" w:rsidRPr="001C5F6A" w:rsidRDefault="00A40D5E" w:rsidP="00A40D5E">
      <w:pPr>
        <w:rPr>
          <w:rFonts w:asciiTheme="minorHAnsi" w:hAnsiTheme="minorHAnsi"/>
        </w:rPr>
      </w:pPr>
      <w:r w:rsidRPr="001C5F6A">
        <w:rPr>
          <w:rFonts w:asciiTheme="minorHAnsi" w:hAnsiTheme="minorHAnsi"/>
        </w:rPr>
        <w:tab/>
        <w:t>Grunty na podłoże powinny być jednorodne i zabezpieczone przed nadmiernym zawilgoceniem i ujemnymi skutkami przemarzania.</w:t>
      </w:r>
    </w:p>
    <w:p w:rsidR="00A40D5E" w:rsidRPr="001C5F6A" w:rsidRDefault="00A40D5E" w:rsidP="00A40D5E">
      <w:pPr>
        <w:rPr>
          <w:rFonts w:asciiTheme="minorHAnsi" w:hAnsiTheme="minorHAnsi"/>
        </w:rPr>
      </w:pPr>
      <w:r w:rsidRPr="001C5F6A">
        <w:rPr>
          <w:rFonts w:asciiTheme="minorHAnsi" w:hAnsiTheme="minorHAnsi"/>
        </w:rPr>
        <w:tab/>
        <w:t>Koryto pod podbudowę należy wykonać według ustaleń dokumentacji projektowej, zgodnie z wymaganiami ST D-04.01.01.</w:t>
      </w:r>
    </w:p>
    <w:p w:rsidR="00A40D5E" w:rsidRPr="001C5F6A" w:rsidRDefault="00A40D5E" w:rsidP="00A40D5E">
      <w:pPr>
        <w:rPr>
          <w:rFonts w:asciiTheme="minorHAnsi" w:hAnsiTheme="minorHAnsi"/>
        </w:rPr>
      </w:pPr>
      <w:r w:rsidRPr="001C5F6A">
        <w:rPr>
          <w:rFonts w:asciiTheme="minorHAnsi" w:hAnsiTheme="minorHAnsi"/>
        </w:rPr>
        <w:tab/>
        <w:t>Ewentualne wykonanie robót ziemnych powinno odpowiadać wymaganiom ST D-02.00.00.</w:t>
      </w:r>
    </w:p>
    <w:p w:rsidR="00A40D5E" w:rsidRPr="001C5F6A" w:rsidRDefault="00A40D5E" w:rsidP="00A40D5E">
      <w:pPr>
        <w:rPr>
          <w:rFonts w:asciiTheme="minorHAnsi" w:hAnsiTheme="minorHAnsi"/>
        </w:rPr>
      </w:pPr>
      <w:r w:rsidRPr="001C5F6A">
        <w:rPr>
          <w:rFonts w:asciiTheme="minorHAnsi" w:hAnsiTheme="minorHAnsi"/>
        </w:rPr>
        <w:tab/>
        <w:t xml:space="preserve">Rzędne podłoża nie powinny mieć, w stosunku do rzędnych projektowanych, odchyleń większych niż  </w:t>
      </w:r>
      <w:r w:rsidRPr="001C5F6A">
        <w:rPr>
          <w:rFonts w:asciiTheme="minorHAnsi" w:hAnsiTheme="minorHAnsi"/>
        </w:rPr>
        <w:sym w:font="Symbol" w:char="F0B1"/>
      </w:r>
      <w:r w:rsidRPr="001C5F6A">
        <w:rPr>
          <w:rFonts w:asciiTheme="minorHAnsi" w:hAnsiTheme="minorHAnsi"/>
        </w:rPr>
        <w:t xml:space="preserve"> 2 cm.</w:t>
      </w:r>
    </w:p>
    <w:p w:rsidR="00A40D5E" w:rsidRPr="001C5F6A" w:rsidRDefault="00A40D5E" w:rsidP="00A40D5E">
      <w:pPr>
        <w:rPr>
          <w:rFonts w:asciiTheme="minorHAnsi" w:hAnsiTheme="minorHAnsi"/>
        </w:rPr>
      </w:pPr>
      <w:r w:rsidRPr="001C5F6A">
        <w:rPr>
          <w:rFonts w:asciiTheme="minorHAnsi" w:hAnsiTheme="minorHAnsi"/>
        </w:rPr>
        <w:tab/>
        <w:t>Wskaźnik zagęszczenia gruntu powinien wynosić (wg PN-S-96014:1997):</w:t>
      </w:r>
    </w:p>
    <w:p w:rsidR="00A40D5E" w:rsidRPr="001C5F6A" w:rsidRDefault="00A40D5E" w:rsidP="00A40D5E">
      <w:pPr>
        <w:rPr>
          <w:rFonts w:asciiTheme="minorHAnsi" w:hAnsiTheme="minorHAnsi"/>
        </w:rPr>
      </w:pPr>
      <w:r w:rsidRPr="001C5F6A">
        <w:rPr>
          <w:rFonts w:asciiTheme="minorHAnsi" w:hAnsiTheme="minorHAnsi"/>
        </w:rPr>
        <w:t>w górnej warstwie do głębokości 20 cm - co najmniej 103% zagęszczania uzyskanego w laboratorium metodą I lub II,</w:t>
      </w:r>
    </w:p>
    <w:p w:rsidR="00A40D5E" w:rsidRPr="001C5F6A" w:rsidRDefault="00A40D5E" w:rsidP="00A40D5E">
      <w:pPr>
        <w:rPr>
          <w:rFonts w:asciiTheme="minorHAnsi" w:hAnsiTheme="minorHAnsi"/>
        </w:rPr>
      </w:pPr>
      <w:r w:rsidRPr="001C5F6A">
        <w:rPr>
          <w:rFonts w:asciiTheme="minorHAnsi" w:hAnsiTheme="minorHAnsi"/>
        </w:rPr>
        <w:t>w warstwie niższej do głębokości 50 cm - co najmniej 100% zagęszczenia uzyskanego jak wyżej.</w:t>
      </w:r>
    </w:p>
    <w:p w:rsidR="00A40D5E" w:rsidRPr="001C5F6A" w:rsidRDefault="00A40D5E" w:rsidP="00A40D5E">
      <w:pPr>
        <w:rPr>
          <w:rFonts w:asciiTheme="minorHAnsi" w:hAnsiTheme="minorHAnsi"/>
        </w:rPr>
      </w:pPr>
      <w:r w:rsidRPr="001C5F6A">
        <w:rPr>
          <w:rFonts w:asciiTheme="minorHAnsi" w:hAnsiTheme="minorHAnsi"/>
        </w:rPr>
        <w:tab/>
        <w:t>W przypadku występowania w podłożu gruntów piaszczystych równouziarnionych (o wskaźniku różnoziarnistości nie większym niż 5) należy je doziarnić albo ulepszyć cementem lub aktywnymi popiołami lotnymi.</w:t>
      </w:r>
    </w:p>
    <w:p w:rsidR="00A40D5E" w:rsidRPr="001C5F6A" w:rsidRDefault="00A40D5E" w:rsidP="00A40D5E">
      <w:pPr>
        <w:rPr>
          <w:rFonts w:asciiTheme="minorHAnsi" w:hAnsiTheme="minorHAnsi"/>
        </w:rPr>
      </w:pPr>
      <w:r w:rsidRPr="001C5F6A">
        <w:rPr>
          <w:rFonts w:asciiTheme="minorHAnsi" w:hAnsiTheme="minorHAnsi"/>
        </w:rPr>
        <w:t>Podbudowa pomocnicza</w:t>
      </w:r>
    </w:p>
    <w:p w:rsidR="00A40D5E" w:rsidRPr="001C5F6A" w:rsidRDefault="00A40D5E" w:rsidP="00A40D5E">
      <w:pPr>
        <w:rPr>
          <w:rFonts w:asciiTheme="minorHAnsi" w:hAnsiTheme="minorHAnsi"/>
        </w:rPr>
      </w:pPr>
      <w:r w:rsidRPr="001C5F6A">
        <w:rPr>
          <w:rFonts w:asciiTheme="minorHAnsi" w:hAnsiTheme="minorHAnsi"/>
        </w:rPr>
        <w:tab/>
        <w:t>Jeśli dokumentacja projektowa przewiduje wykonanie podbudowy pomocniczej z mieszanki kruszyw stabilizowanych cementem to powinna ona odpowiadać wymaganiom ST D-04.05.01a.</w:t>
      </w:r>
    </w:p>
    <w:p w:rsidR="00A40D5E" w:rsidRPr="001C5F6A" w:rsidRDefault="00A40D5E" w:rsidP="00A40D5E">
      <w:pPr>
        <w:rPr>
          <w:rFonts w:asciiTheme="minorHAnsi" w:hAnsiTheme="minorHAnsi"/>
        </w:rPr>
      </w:pPr>
      <w:r w:rsidRPr="001C5F6A">
        <w:rPr>
          <w:rFonts w:asciiTheme="minorHAnsi" w:hAnsiTheme="minorHAnsi"/>
          <w:b/>
        </w:rPr>
        <w:t>5.4.</w:t>
      </w:r>
      <w:r w:rsidRPr="001C5F6A">
        <w:rPr>
          <w:rFonts w:asciiTheme="minorHAnsi" w:hAnsiTheme="minorHAnsi"/>
        </w:rPr>
        <w:t xml:space="preserve"> Układanie mieszanki betonowej</w:t>
      </w:r>
    </w:p>
    <w:p w:rsidR="00A40D5E" w:rsidRPr="001C5F6A" w:rsidRDefault="00A40D5E" w:rsidP="00A40D5E">
      <w:pPr>
        <w:rPr>
          <w:rFonts w:asciiTheme="minorHAnsi" w:hAnsiTheme="minorHAnsi"/>
        </w:rPr>
      </w:pPr>
      <w:r w:rsidRPr="001C5F6A">
        <w:rPr>
          <w:rFonts w:asciiTheme="minorHAnsi" w:hAnsiTheme="minorHAnsi"/>
        </w:rPr>
        <w:t>Projektowanie mieszanki betonowej</w:t>
      </w:r>
    </w:p>
    <w:p w:rsidR="00A40D5E" w:rsidRPr="001C5F6A" w:rsidRDefault="00A40D5E" w:rsidP="00A40D5E">
      <w:pPr>
        <w:rPr>
          <w:rFonts w:asciiTheme="minorHAnsi" w:hAnsiTheme="minorHAnsi"/>
        </w:rPr>
      </w:pPr>
      <w:r w:rsidRPr="001C5F6A">
        <w:rPr>
          <w:rFonts w:asciiTheme="minorHAnsi" w:hAnsiTheme="minorHAnsi"/>
        </w:rPr>
        <w:tab/>
        <w:t>Ustalenie składu mieszanki betonowej powinno odpowiadać wymaganiom PN-S-96014:1997 oraz punktu 2.2.9 niniejszej specyfikacji.</w:t>
      </w:r>
    </w:p>
    <w:p w:rsidR="00A40D5E" w:rsidRPr="001C5F6A" w:rsidRDefault="00A40D5E" w:rsidP="00A40D5E">
      <w:pPr>
        <w:rPr>
          <w:rFonts w:asciiTheme="minorHAnsi" w:hAnsiTheme="minorHAnsi"/>
        </w:rPr>
      </w:pPr>
      <w:r w:rsidRPr="001C5F6A">
        <w:rPr>
          <w:rFonts w:asciiTheme="minorHAnsi" w:hAnsiTheme="minorHAnsi"/>
        </w:rPr>
        <w:tab/>
        <w:t>Podczas projektowania składu betonu należy wykonać próbne zaroby w celu sprawdzenia właściwości mieszanki w zakresie oznaczenia konsystencji, zawartości powietrza i oznaczenia gęstości.</w:t>
      </w:r>
    </w:p>
    <w:p w:rsidR="00A40D5E" w:rsidRPr="001C5F6A" w:rsidRDefault="00A40D5E" w:rsidP="00A40D5E">
      <w:pPr>
        <w:rPr>
          <w:rFonts w:asciiTheme="minorHAnsi" w:hAnsiTheme="minorHAnsi"/>
        </w:rPr>
      </w:pPr>
      <w:r w:rsidRPr="001C5F6A">
        <w:rPr>
          <w:rFonts w:asciiTheme="minorHAnsi" w:hAnsiTheme="minorHAnsi"/>
        </w:rPr>
        <w:t>Warunki przystąpienia do robót</w:t>
      </w:r>
    </w:p>
    <w:p w:rsidR="00A40D5E" w:rsidRPr="001C5F6A" w:rsidRDefault="00A40D5E" w:rsidP="00A40D5E">
      <w:pPr>
        <w:rPr>
          <w:rFonts w:asciiTheme="minorHAnsi" w:hAnsiTheme="minorHAnsi"/>
        </w:rPr>
      </w:pPr>
      <w:r w:rsidRPr="001C5F6A">
        <w:rPr>
          <w:rFonts w:asciiTheme="minorHAnsi" w:hAnsiTheme="minorHAnsi"/>
        </w:rPr>
        <w:tab/>
        <w:t>Podbudowę z betonu cementowego zaleca się wykonywać przy temperaturze powietrza od 5˚C do 25˚C. Dopuszcza się wykonywanie podbudowy w temperaturze powietrza powyżej 25˚C pod warunkiem nieprzekroczenia temperatury mieszanki betonowej powyżej 30˚C. Wykonywanie podbudowy w temperaturze poniżej 5˚C dopuszcza się pod warunkiem stosowania zabiegów specjalnych, pozwalających na utrzymanie temperatury mieszanki betonowej powyżej 5˚C przez okres co najmniej 3 dni.</w:t>
      </w:r>
    </w:p>
    <w:p w:rsidR="00A40D5E" w:rsidRPr="001C5F6A" w:rsidRDefault="00A40D5E" w:rsidP="00A40D5E">
      <w:pPr>
        <w:rPr>
          <w:rFonts w:asciiTheme="minorHAnsi" w:hAnsiTheme="minorHAnsi"/>
        </w:rPr>
      </w:pPr>
      <w:r w:rsidRPr="001C5F6A">
        <w:rPr>
          <w:rFonts w:asciiTheme="minorHAnsi" w:hAnsiTheme="minorHAnsi"/>
        </w:rPr>
        <w:tab/>
        <w:t>Betonowania nie można wykonywać podczas opadów deszczu.</w:t>
      </w:r>
    </w:p>
    <w:p w:rsidR="00A40D5E" w:rsidRPr="001C5F6A" w:rsidRDefault="00A40D5E" w:rsidP="00A40D5E">
      <w:pPr>
        <w:rPr>
          <w:rFonts w:asciiTheme="minorHAnsi" w:hAnsiTheme="minorHAnsi"/>
        </w:rPr>
      </w:pPr>
      <w:r w:rsidRPr="001C5F6A">
        <w:rPr>
          <w:rFonts w:asciiTheme="minorHAnsi" w:hAnsiTheme="minorHAnsi"/>
        </w:rPr>
        <w:t>Wytwarzanie mieszanki betonowej</w:t>
      </w:r>
    </w:p>
    <w:p w:rsidR="00A40D5E" w:rsidRPr="001C5F6A" w:rsidRDefault="00A40D5E" w:rsidP="00A40D5E">
      <w:pPr>
        <w:rPr>
          <w:rFonts w:asciiTheme="minorHAnsi" w:hAnsiTheme="minorHAnsi"/>
        </w:rPr>
      </w:pPr>
      <w:r w:rsidRPr="001C5F6A">
        <w:rPr>
          <w:rFonts w:asciiTheme="minorHAnsi" w:hAnsiTheme="minorHAnsi"/>
        </w:rPr>
        <w:tab/>
        <w:t>Mieszankę betonową o składzie zawartym w recepcie laboratoryjnej, należy wytwarzać w wytwórniach betonu, zapewniających ciągłość produkcji i gwarantujących otrzymanie jednorodnej mieszanki.</w:t>
      </w:r>
    </w:p>
    <w:p w:rsidR="00A40D5E" w:rsidRPr="001C5F6A" w:rsidRDefault="00A40D5E" w:rsidP="00A40D5E">
      <w:pPr>
        <w:rPr>
          <w:rFonts w:asciiTheme="minorHAnsi" w:hAnsiTheme="minorHAnsi"/>
        </w:rPr>
      </w:pPr>
      <w:r w:rsidRPr="001C5F6A">
        <w:rPr>
          <w:rFonts w:asciiTheme="minorHAnsi" w:hAnsiTheme="minorHAnsi"/>
        </w:rPr>
        <w:lastRenderedPageBreak/>
        <w:tab/>
        <w:t>Mieszanka po wyprodukowaniu powinna być od razu transportowana na miejsce wbudowania w sposób zabezpieczający przed segregacją i wysychaniem.</w:t>
      </w:r>
    </w:p>
    <w:p w:rsidR="00A40D5E" w:rsidRPr="001C5F6A" w:rsidRDefault="00A40D5E" w:rsidP="00A40D5E">
      <w:pPr>
        <w:rPr>
          <w:rFonts w:asciiTheme="minorHAnsi" w:hAnsiTheme="minorHAnsi"/>
        </w:rPr>
      </w:pPr>
      <w:r w:rsidRPr="001C5F6A">
        <w:rPr>
          <w:rFonts w:asciiTheme="minorHAnsi" w:hAnsiTheme="minorHAnsi"/>
        </w:rPr>
        <w:t>Wbudowanie mieszanki betonowej</w:t>
      </w:r>
    </w:p>
    <w:p w:rsidR="00A40D5E" w:rsidRPr="001C5F6A" w:rsidRDefault="00A40D5E" w:rsidP="00A40D5E">
      <w:pPr>
        <w:rPr>
          <w:rFonts w:asciiTheme="minorHAnsi" w:hAnsiTheme="minorHAnsi"/>
        </w:rPr>
      </w:pPr>
      <w:r w:rsidRPr="001C5F6A">
        <w:rPr>
          <w:rFonts w:asciiTheme="minorHAnsi" w:hAnsiTheme="minorHAnsi"/>
        </w:rPr>
        <w:tab/>
        <w:t>Wbudowanie mieszanki betonowej w podbudowę należy wykonywać mechanicznie, przy zastosowaniu odpowiedniego sprzętu, zapewniającego równomierne rozłożenie masy oraz zachowanie jej jednorodności.</w:t>
      </w:r>
    </w:p>
    <w:p w:rsidR="00A40D5E" w:rsidRPr="001C5F6A" w:rsidRDefault="00A40D5E" w:rsidP="00A40D5E">
      <w:pPr>
        <w:rPr>
          <w:rFonts w:asciiTheme="minorHAnsi" w:hAnsiTheme="minorHAnsi"/>
        </w:rPr>
      </w:pPr>
      <w:r w:rsidRPr="001C5F6A">
        <w:rPr>
          <w:rFonts w:asciiTheme="minorHAnsi" w:hAnsiTheme="minorHAnsi"/>
        </w:rPr>
        <w:tab/>
        <w:t>Dopuszcza się ręczne wbudowywanie mieszanki betonowej przy wykonywaniu małych robót, w tym o nieregularnych kształtach powierzchni, po uzyskaniu zgody Inżyniera.</w:t>
      </w:r>
    </w:p>
    <w:p w:rsidR="00A40D5E" w:rsidRPr="001C5F6A" w:rsidRDefault="00A40D5E" w:rsidP="00A40D5E">
      <w:pPr>
        <w:rPr>
          <w:rFonts w:asciiTheme="minorHAnsi" w:hAnsiTheme="minorHAnsi"/>
        </w:rPr>
      </w:pPr>
      <w:r w:rsidRPr="001C5F6A">
        <w:rPr>
          <w:rFonts w:asciiTheme="minorHAnsi" w:hAnsiTheme="minorHAnsi"/>
        </w:rPr>
        <w:tab/>
        <w:t>Wbudowanie mieszanki betonowej odbywa się za pomocą maszyn poruszających się po prowadnicach. Prowadnice powinny być tak skonstruowane, aby spełniały równocześnie rolę deskowań i dlatego od strony wewnętrznej powinny być zabezpieczone przed przyczepnością betonu (np. natłuszczone olejem mineralnym). Prowadnice powinny być przytwierdzone do podłoża w sposób uniemożliwiający ich przemieszczanie i zapewniający ciągłość na złączach. Powierzchnie styku prowadnic z mieszanką betonową muszą być gładkie, czyste i pozbawione resztek stwardniałego betonu.</w:t>
      </w:r>
    </w:p>
    <w:p w:rsidR="00A40D5E" w:rsidRPr="001C5F6A" w:rsidRDefault="00A40D5E" w:rsidP="00A40D5E">
      <w:pPr>
        <w:rPr>
          <w:rFonts w:asciiTheme="minorHAnsi" w:hAnsiTheme="minorHAnsi"/>
        </w:rPr>
      </w:pPr>
      <w:r w:rsidRPr="001C5F6A">
        <w:rPr>
          <w:rFonts w:asciiTheme="minorHAnsi" w:hAnsiTheme="minorHAnsi"/>
        </w:rPr>
        <w:tab/>
        <w:t>Ustawienie prowadnic winno być takie, aby zapewniało uzyskanie przez podbudowę wymaganej niwelety, spadków podłużnych i poprzecznych.</w:t>
      </w:r>
    </w:p>
    <w:p w:rsidR="00A40D5E" w:rsidRPr="001C5F6A" w:rsidRDefault="00A40D5E" w:rsidP="00A40D5E">
      <w:pPr>
        <w:rPr>
          <w:rFonts w:asciiTheme="minorHAnsi" w:hAnsiTheme="minorHAnsi"/>
        </w:rPr>
      </w:pPr>
      <w:r w:rsidRPr="001C5F6A">
        <w:rPr>
          <w:rFonts w:asciiTheme="minorHAnsi" w:hAnsiTheme="minorHAnsi"/>
        </w:rPr>
        <w:tab/>
        <w:t>Zdjęcie prowadnic może nastąpić nie wcześniej niż po upływie 36 godzin od zakończenia betonowania płyt w temperaturze otoczenia powyżej 10</w:t>
      </w:r>
      <w:r w:rsidRPr="001C5F6A">
        <w:rPr>
          <w:rFonts w:asciiTheme="minorHAnsi" w:hAnsiTheme="minorHAnsi"/>
          <w:vertAlign w:val="superscript"/>
        </w:rPr>
        <w:t>o</w:t>
      </w:r>
      <w:r w:rsidRPr="001C5F6A">
        <w:rPr>
          <w:rFonts w:asciiTheme="minorHAnsi" w:hAnsiTheme="minorHAnsi"/>
        </w:rPr>
        <w:t>C, a przy temperaturze otoczenia niższej - nie wcześniej niż po upływie 48 godzin. Prowadnice powinny być zdejmowane bez uszkodzenia wykonanej podbudowy.</w:t>
      </w:r>
    </w:p>
    <w:p w:rsidR="00A40D5E" w:rsidRPr="001C5F6A" w:rsidRDefault="00A40D5E" w:rsidP="00A40D5E">
      <w:pPr>
        <w:rPr>
          <w:rFonts w:asciiTheme="minorHAnsi" w:hAnsiTheme="minorHAnsi"/>
        </w:rPr>
      </w:pPr>
      <w:r w:rsidRPr="001C5F6A">
        <w:rPr>
          <w:rFonts w:asciiTheme="minorHAnsi" w:hAnsiTheme="minorHAnsi"/>
        </w:rPr>
        <w:tab/>
        <w:t>Przy stosowaniu deskowania ślizgowego (przesuwnego), wbudowywanie mieszanki betonowej dokonuje się układarką mechaniczną, która przesuwając się formuje płytę podbudowy, ograniczając ją z boku deskowaniem ślizgowym, bez stosowania prowadnic.</w:t>
      </w:r>
    </w:p>
    <w:p w:rsidR="00A40D5E" w:rsidRPr="001C5F6A" w:rsidRDefault="00A40D5E" w:rsidP="00A40D5E">
      <w:pPr>
        <w:rPr>
          <w:rFonts w:asciiTheme="minorHAnsi" w:hAnsiTheme="minorHAnsi"/>
        </w:rPr>
      </w:pPr>
      <w:r w:rsidRPr="001C5F6A">
        <w:rPr>
          <w:rFonts w:asciiTheme="minorHAnsi" w:hAnsiTheme="minorHAnsi"/>
        </w:rPr>
        <w:t>Zagęszczanie mieszanki betonowej</w:t>
      </w:r>
    </w:p>
    <w:p w:rsidR="00A40D5E" w:rsidRPr="001C5F6A" w:rsidRDefault="00A40D5E" w:rsidP="00A40D5E">
      <w:pPr>
        <w:rPr>
          <w:rFonts w:asciiTheme="minorHAnsi" w:hAnsiTheme="minorHAnsi"/>
        </w:rPr>
      </w:pPr>
      <w:r w:rsidRPr="001C5F6A">
        <w:rPr>
          <w:rFonts w:asciiTheme="minorHAnsi" w:hAnsiTheme="minorHAnsi"/>
        </w:rPr>
        <w:tab/>
        <w:t>Do zagęszczania mieszanki betonowej w podbudowie należy stosować odpowiednie mechaniczne urządzenia wibracyjne, zapewniające jednolite jej zagęszczenie.</w:t>
      </w:r>
    </w:p>
    <w:p w:rsidR="00A40D5E" w:rsidRPr="001C5F6A" w:rsidRDefault="00A40D5E" w:rsidP="00A40D5E">
      <w:pPr>
        <w:rPr>
          <w:rFonts w:asciiTheme="minorHAnsi" w:hAnsiTheme="minorHAnsi"/>
        </w:rPr>
      </w:pPr>
      <w:r w:rsidRPr="001C5F6A">
        <w:rPr>
          <w:rFonts w:asciiTheme="minorHAnsi" w:hAnsiTheme="minorHAnsi"/>
        </w:rPr>
        <w:tab/>
        <w:t>Powierzchnia warstwy zagęszczonej powinna mieć jednolitą teksturę i połysk, a grube ziarna kruszywa powinny być widoczne lub powinny znajdować się bezpośrednio pod powierzchnią.</w:t>
      </w:r>
    </w:p>
    <w:p w:rsidR="00A40D5E" w:rsidRPr="001C5F6A" w:rsidRDefault="00A40D5E" w:rsidP="00A40D5E">
      <w:pPr>
        <w:rPr>
          <w:rFonts w:asciiTheme="minorHAnsi" w:hAnsiTheme="minorHAnsi"/>
        </w:rPr>
      </w:pPr>
      <w:r w:rsidRPr="001C5F6A">
        <w:rPr>
          <w:rFonts w:asciiTheme="minorHAnsi" w:hAnsiTheme="minorHAnsi"/>
        </w:rPr>
        <w:t>Szczeliny</w:t>
      </w:r>
    </w:p>
    <w:p w:rsidR="00A40D5E" w:rsidRPr="001C5F6A" w:rsidRDefault="00A40D5E" w:rsidP="00A40D5E">
      <w:pPr>
        <w:rPr>
          <w:rFonts w:asciiTheme="minorHAnsi" w:hAnsiTheme="minorHAnsi"/>
        </w:rPr>
      </w:pPr>
      <w:r w:rsidRPr="001C5F6A">
        <w:rPr>
          <w:rFonts w:asciiTheme="minorHAnsi" w:hAnsiTheme="minorHAnsi"/>
        </w:rPr>
        <w:tab/>
        <w:t>Szczeliny powinny być wykonane zgodnie z dokumentacją projektową, dzieląc podbudowę na płyty kwadratowe lub prostokątne. Jeśli dokumentacja projektowa nie ustala inaczej, to stosunek długości płyt do ich szerokości nie powinien być większy niż 1,5 : 1.</w:t>
      </w:r>
    </w:p>
    <w:p w:rsidR="00A40D5E" w:rsidRPr="001C5F6A" w:rsidRDefault="00A40D5E" w:rsidP="00A40D5E">
      <w:pPr>
        <w:rPr>
          <w:rFonts w:asciiTheme="minorHAnsi" w:hAnsiTheme="minorHAnsi"/>
        </w:rPr>
      </w:pPr>
      <w:r w:rsidRPr="001C5F6A">
        <w:rPr>
          <w:rFonts w:asciiTheme="minorHAnsi" w:hAnsiTheme="minorHAnsi"/>
        </w:rPr>
        <w:tab/>
        <w:t>W podbudowie wykonuje się tylko szczeliny skurczowe pełne i pozorne. Szczeliny skurczowe pełne należy wykonywać na całej grubości płyty w miejscach ustalonych w dokumentacji projektowej oraz dodatkowo w bezpośrednim sąsiedztwie przepustów oraz między odcinkami betonowania, jeśli przerwa w betonowaniu trwała dłużej niż 1 godzinę.</w:t>
      </w:r>
    </w:p>
    <w:p w:rsidR="00A40D5E" w:rsidRPr="001C5F6A" w:rsidRDefault="00A40D5E" w:rsidP="00A40D5E">
      <w:pPr>
        <w:rPr>
          <w:rFonts w:asciiTheme="minorHAnsi" w:hAnsiTheme="minorHAnsi"/>
        </w:rPr>
      </w:pPr>
      <w:r w:rsidRPr="001C5F6A">
        <w:rPr>
          <w:rFonts w:asciiTheme="minorHAnsi" w:hAnsiTheme="minorHAnsi"/>
        </w:rPr>
        <w:tab/>
        <w:t xml:space="preserve">Szczeliny skurczowe pozorne należy wykonywać przez nacinanie stwardniałego betonu tarczowymi piłami mechanicznymi do głębokości 1/3 </w:t>
      </w:r>
      <w:r w:rsidRPr="001C5F6A">
        <w:rPr>
          <w:rFonts w:asciiTheme="minorHAnsi" w:hAnsiTheme="minorHAnsi"/>
        </w:rPr>
        <w:sym w:font="Symbol" w:char="F0B8"/>
      </w:r>
      <w:r w:rsidRPr="001C5F6A">
        <w:rPr>
          <w:rFonts w:asciiTheme="minorHAnsi" w:hAnsiTheme="minorHAnsi"/>
        </w:rPr>
        <w:t xml:space="preserve"> 1/4 grubości płyty.</w:t>
      </w:r>
    </w:p>
    <w:p w:rsidR="00A40D5E" w:rsidRPr="001C5F6A" w:rsidRDefault="00A40D5E" w:rsidP="00A40D5E">
      <w:pPr>
        <w:rPr>
          <w:rFonts w:asciiTheme="minorHAnsi" w:hAnsiTheme="minorHAnsi"/>
        </w:rPr>
      </w:pPr>
      <w:r w:rsidRPr="001C5F6A">
        <w:rPr>
          <w:rFonts w:asciiTheme="minorHAnsi" w:hAnsiTheme="minorHAnsi"/>
        </w:rPr>
        <w:tab/>
        <w:t>Szczeliny konstrukcyjne należy wykonać na całej grubości płyty w miejscach połączeń podbudowy z elementami infrastruktury drogowej (krawężniki, studzienki, korytka itp.).</w:t>
      </w:r>
    </w:p>
    <w:p w:rsidR="00A40D5E" w:rsidRPr="001C5F6A" w:rsidRDefault="00A40D5E" w:rsidP="00A40D5E">
      <w:pPr>
        <w:rPr>
          <w:rFonts w:asciiTheme="minorHAnsi" w:hAnsiTheme="minorHAnsi"/>
        </w:rPr>
      </w:pPr>
      <w:r w:rsidRPr="001C5F6A">
        <w:rPr>
          <w:rFonts w:asciiTheme="minorHAnsi" w:hAnsiTheme="minorHAnsi"/>
        </w:rPr>
        <w:tab/>
        <w:t>Jeśli dokumentacja projektowa przewiduje przykrycie podbudowy warstwami z mieszanek mineralno-asfaltowych to szczeliny, szerokości od 3 mm do 5 mm po pierwszym nacięciu betonu na głębokość około 35% grubości płyty, należy pozostawić bez poszerzania ich i wypełniania zalewą.</w:t>
      </w:r>
    </w:p>
    <w:p w:rsidR="00A40D5E" w:rsidRPr="001C5F6A" w:rsidRDefault="00A40D5E" w:rsidP="00A40D5E">
      <w:pPr>
        <w:rPr>
          <w:rFonts w:asciiTheme="minorHAnsi" w:hAnsiTheme="minorHAnsi"/>
        </w:rPr>
      </w:pPr>
      <w:r w:rsidRPr="001C5F6A">
        <w:rPr>
          <w:rFonts w:asciiTheme="minorHAnsi" w:hAnsiTheme="minorHAnsi"/>
          <w:b/>
        </w:rPr>
        <w:t>5.5.</w:t>
      </w:r>
      <w:r w:rsidRPr="001C5F6A">
        <w:rPr>
          <w:rFonts w:asciiTheme="minorHAnsi" w:hAnsiTheme="minorHAnsi"/>
        </w:rPr>
        <w:t xml:space="preserve"> Pielęgnacja podbudowy</w:t>
      </w:r>
    </w:p>
    <w:p w:rsidR="00A40D5E" w:rsidRPr="001C5F6A" w:rsidRDefault="00A40D5E" w:rsidP="00A40D5E">
      <w:pPr>
        <w:rPr>
          <w:rFonts w:asciiTheme="minorHAnsi" w:hAnsiTheme="minorHAnsi"/>
        </w:rPr>
      </w:pPr>
      <w:r w:rsidRPr="001C5F6A">
        <w:rPr>
          <w:rFonts w:asciiTheme="minorHAnsi" w:hAnsiTheme="minorHAnsi"/>
        </w:rPr>
        <w:tab/>
        <w:t>Bezpośrednio po zagęszczeniu  należy świeży beton zabezpieczyć przed wyparowaniem wody przez pokrycie jego powierzchni materiałami według punktu 2.2.8. Należy to wykonać przed upływem 90 min od chwili zakończenia zagęszczania.</w:t>
      </w:r>
    </w:p>
    <w:p w:rsidR="00A40D5E" w:rsidRPr="001C5F6A" w:rsidRDefault="00A40D5E" w:rsidP="00A40D5E">
      <w:pPr>
        <w:rPr>
          <w:rFonts w:asciiTheme="minorHAnsi" w:hAnsiTheme="minorHAnsi"/>
        </w:rPr>
      </w:pPr>
      <w:r w:rsidRPr="001C5F6A">
        <w:rPr>
          <w:rFonts w:asciiTheme="minorHAnsi" w:hAnsiTheme="minorHAnsi"/>
        </w:rPr>
        <w:tab/>
        <w:t>W przypadku pielęgnacji podbudowy wilgotną warstwą piasku lub grubej włókniny należy utrzymywać ją w stanie wilgotnym w czasie od siedmiu do dziesięciu dni. W przypadku gdy temperatura powietrza jest powyżej 25˚C pielęgnację należy przedłużyć do 14 dni.</w:t>
      </w:r>
    </w:p>
    <w:p w:rsidR="00A40D5E" w:rsidRPr="001C5F6A" w:rsidRDefault="00A40D5E" w:rsidP="00A40D5E">
      <w:pPr>
        <w:rPr>
          <w:rFonts w:asciiTheme="minorHAnsi" w:hAnsiTheme="minorHAnsi"/>
        </w:rPr>
      </w:pPr>
      <w:r w:rsidRPr="001C5F6A">
        <w:rPr>
          <w:rFonts w:asciiTheme="minorHAnsi" w:hAnsiTheme="minorHAnsi"/>
        </w:rPr>
        <w:tab/>
        <w:t>Stosowanie innych środków do pielęgnacji podbudowy wymaga każdorazowej zgody Inżyniera.</w:t>
      </w:r>
    </w:p>
    <w:p w:rsidR="00A40D5E" w:rsidRPr="001C5F6A" w:rsidRDefault="00A40D5E" w:rsidP="00A40D5E">
      <w:pPr>
        <w:rPr>
          <w:rFonts w:asciiTheme="minorHAnsi" w:hAnsiTheme="minorHAnsi"/>
        </w:rPr>
      </w:pPr>
      <w:r w:rsidRPr="001C5F6A">
        <w:rPr>
          <w:rFonts w:asciiTheme="minorHAnsi" w:hAnsiTheme="minorHAnsi"/>
          <w:b/>
        </w:rPr>
        <w:t>5.6.</w:t>
      </w:r>
      <w:r w:rsidRPr="001C5F6A">
        <w:rPr>
          <w:rFonts w:asciiTheme="minorHAnsi" w:hAnsiTheme="minorHAnsi"/>
        </w:rPr>
        <w:t xml:space="preserve"> Roboty wykończeniowe</w:t>
      </w:r>
    </w:p>
    <w:p w:rsidR="00A40D5E" w:rsidRPr="001C5F6A" w:rsidRDefault="00A40D5E" w:rsidP="00A40D5E">
      <w:pPr>
        <w:rPr>
          <w:rFonts w:asciiTheme="minorHAnsi" w:hAnsiTheme="minorHAnsi"/>
        </w:rPr>
      </w:pPr>
      <w:r w:rsidRPr="001C5F6A">
        <w:rPr>
          <w:rFonts w:asciiTheme="minorHAnsi" w:hAnsiTheme="minorHAnsi"/>
        </w:rPr>
        <w:t>Roboty wykończeniowe powinny być zgodne z dokumentacją projektową i ST. Do robót wykończeniowych należą prace związane z dostosowaniem wykonanych robót do istniejących warunków terenowych, takie jak:</w:t>
      </w:r>
    </w:p>
    <w:p w:rsidR="00A40D5E" w:rsidRPr="001C5F6A" w:rsidRDefault="00054F0C" w:rsidP="00A40D5E">
      <w:pPr>
        <w:rPr>
          <w:rFonts w:asciiTheme="minorHAnsi" w:hAnsiTheme="minorHAnsi"/>
        </w:rPr>
      </w:pPr>
      <w:r>
        <w:rPr>
          <w:rFonts w:asciiTheme="minorHAnsi" w:hAnsiTheme="minorHAnsi"/>
        </w:rPr>
        <w:t>-</w:t>
      </w:r>
      <w:r w:rsidR="00A40D5E" w:rsidRPr="001C5F6A">
        <w:rPr>
          <w:rFonts w:asciiTheme="minorHAnsi" w:hAnsiTheme="minorHAnsi"/>
        </w:rPr>
        <w:t>odtworzenie przeszkód czasowo usuniętych, np. parkanów, ogrodzeń, nawierzchni, chodników, krawężników itp.,</w:t>
      </w:r>
    </w:p>
    <w:p w:rsidR="00A40D5E" w:rsidRPr="001C5F6A" w:rsidRDefault="00054F0C" w:rsidP="00A40D5E">
      <w:pPr>
        <w:rPr>
          <w:rFonts w:asciiTheme="minorHAnsi" w:hAnsiTheme="minorHAnsi"/>
        </w:rPr>
      </w:pPr>
      <w:r>
        <w:rPr>
          <w:rFonts w:asciiTheme="minorHAnsi" w:hAnsiTheme="minorHAnsi"/>
        </w:rPr>
        <w:t>-</w:t>
      </w:r>
      <w:r w:rsidR="00A40D5E" w:rsidRPr="001C5F6A">
        <w:rPr>
          <w:rFonts w:asciiTheme="minorHAnsi" w:hAnsiTheme="minorHAnsi"/>
        </w:rPr>
        <w:t>niezbędne uzupełnienia zniszczonej w czasie robót roślinności, tj. zatrawienia, krzewów, ew. drzew,</w:t>
      </w:r>
    </w:p>
    <w:p w:rsidR="00A40D5E" w:rsidRPr="001C5F6A" w:rsidRDefault="00054F0C" w:rsidP="00A40D5E">
      <w:pPr>
        <w:rPr>
          <w:rFonts w:asciiTheme="minorHAnsi" w:hAnsiTheme="minorHAnsi"/>
        </w:rPr>
      </w:pPr>
      <w:r>
        <w:rPr>
          <w:rFonts w:asciiTheme="minorHAnsi" w:hAnsiTheme="minorHAnsi"/>
        </w:rPr>
        <w:t>-</w:t>
      </w:r>
      <w:r w:rsidR="00A40D5E" w:rsidRPr="001C5F6A">
        <w:rPr>
          <w:rFonts w:asciiTheme="minorHAnsi" w:hAnsiTheme="minorHAnsi"/>
        </w:rPr>
        <w:t>roboty porządkujące otoczenie terenu robót.</w:t>
      </w:r>
    </w:p>
    <w:p w:rsidR="00A40D5E" w:rsidRPr="001C5F6A" w:rsidRDefault="00A40D5E" w:rsidP="00A40D5E">
      <w:pPr>
        <w:rPr>
          <w:rFonts w:asciiTheme="minorHAnsi" w:hAnsiTheme="minorHAnsi"/>
        </w:rPr>
      </w:pPr>
    </w:p>
    <w:p w:rsidR="00A40D5E" w:rsidRPr="001C5F6A" w:rsidRDefault="00A40D5E" w:rsidP="00A40D5E">
      <w:pPr>
        <w:rPr>
          <w:rFonts w:asciiTheme="minorHAnsi" w:hAnsiTheme="minorHAnsi"/>
        </w:rPr>
      </w:pPr>
    </w:p>
    <w:p w:rsidR="00A40D5E" w:rsidRPr="001C5F6A" w:rsidRDefault="00A40D5E" w:rsidP="00A40D5E">
      <w:pPr>
        <w:rPr>
          <w:rFonts w:asciiTheme="minorHAnsi" w:hAnsiTheme="minorHAnsi"/>
        </w:rPr>
      </w:pPr>
      <w:r w:rsidRPr="001C5F6A">
        <w:rPr>
          <w:rFonts w:asciiTheme="minorHAnsi" w:hAnsiTheme="minorHAnsi"/>
          <w:b/>
        </w:rPr>
        <w:t>5.7.</w:t>
      </w:r>
      <w:r w:rsidRPr="001C5F6A">
        <w:rPr>
          <w:rFonts w:asciiTheme="minorHAnsi" w:hAnsiTheme="minorHAnsi"/>
        </w:rPr>
        <w:t xml:space="preserve"> Zasady układania na podbudowie z betonu cementowego następnej warstwy nawierzchni</w:t>
      </w:r>
    </w:p>
    <w:p w:rsidR="00A40D5E" w:rsidRPr="001C5F6A" w:rsidRDefault="00A40D5E" w:rsidP="00A40D5E">
      <w:pPr>
        <w:rPr>
          <w:rFonts w:asciiTheme="minorHAnsi" w:hAnsiTheme="minorHAnsi"/>
        </w:rPr>
      </w:pPr>
      <w:r w:rsidRPr="001C5F6A">
        <w:rPr>
          <w:rFonts w:asciiTheme="minorHAnsi" w:hAnsiTheme="minorHAnsi"/>
        </w:rPr>
        <w:tab/>
        <w:t>Następną warstwę nawierzchni można układać po osiągnięciu przez beton podbudowy co najmniej 60% projektowanej wytrzymałości, lecz nie wcześniej niż po siedmiu dniach twardnienia podbudowy.</w:t>
      </w:r>
    </w:p>
    <w:p w:rsidR="00A40D5E" w:rsidRPr="001C5F6A" w:rsidRDefault="00A40D5E" w:rsidP="00A40D5E">
      <w:pPr>
        <w:rPr>
          <w:rFonts w:asciiTheme="minorHAnsi" w:hAnsiTheme="minorHAnsi"/>
        </w:rPr>
      </w:pPr>
    </w:p>
    <w:p w:rsidR="00A40D5E" w:rsidRPr="001C5F6A" w:rsidRDefault="00A40D5E" w:rsidP="00A40D5E">
      <w:pPr>
        <w:rPr>
          <w:rFonts w:asciiTheme="minorHAnsi" w:hAnsiTheme="minorHAnsi"/>
          <w:b/>
        </w:rPr>
      </w:pPr>
      <w:bookmarkStart w:id="1418" w:name="_Toc63568302"/>
      <w:bookmarkStart w:id="1419" w:name="_Toc73770660"/>
      <w:bookmarkStart w:id="1420" w:name="_Toc113935592"/>
      <w:r w:rsidRPr="001C5F6A">
        <w:rPr>
          <w:rFonts w:asciiTheme="minorHAnsi" w:hAnsiTheme="minorHAnsi"/>
          <w:b/>
        </w:rPr>
        <w:t>6. KONTROLA JAKOŚCI ROBÓT</w:t>
      </w:r>
      <w:bookmarkEnd w:id="1418"/>
      <w:bookmarkEnd w:id="1419"/>
      <w:bookmarkEnd w:id="1420"/>
    </w:p>
    <w:p w:rsidR="00A40D5E" w:rsidRPr="001C5F6A" w:rsidRDefault="00A40D5E" w:rsidP="00A40D5E">
      <w:pPr>
        <w:rPr>
          <w:rFonts w:asciiTheme="minorHAnsi" w:hAnsiTheme="minorHAnsi"/>
        </w:rPr>
      </w:pPr>
      <w:r w:rsidRPr="001C5F6A">
        <w:rPr>
          <w:rFonts w:asciiTheme="minorHAnsi" w:hAnsiTheme="minorHAnsi"/>
          <w:b/>
        </w:rPr>
        <w:t>6.1.</w:t>
      </w:r>
      <w:r w:rsidRPr="001C5F6A">
        <w:rPr>
          <w:rFonts w:asciiTheme="minorHAnsi" w:hAnsiTheme="minorHAnsi"/>
        </w:rPr>
        <w:t xml:space="preserve"> Ogólne zasady kontroli jakości robót</w:t>
      </w:r>
    </w:p>
    <w:p w:rsidR="00A40D5E" w:rsidRPr="001C5F6A" w:rsidRDefault="00A40D5E" w:rsidP="00A40D5E">
      <w:pPr>
        <w:rPr>
          <w:rFonts w:asciiTheme="minorHAnsi" w:hAnsiTheme="minorHAnsi"/>
        </w:rPr>
      </w:pPr>
      <w:r w:rsidRPr="001C5F6A">
        <w:rPr>
          <w:rFonts w:asciiTheme="minorHAnsi" w:hAnsiTheme="minorHAnsi"/>
        </w:rPr>
        <w:tab/>
        <w:t>Ogólne zasady kontroli jakości robót podano w ST D-M-00.00.00 „Wymagania ogólne” pkt 6.</w:t>
      </w:r>
    </w:p>
    <w:p w:rsidR="00A40D5E" w:rsidRPr="001C5F6A" w:rsidRDefault="00A40D5E" w:rsidP="00A40D5E">
      <w:pPr>
        <w:rPr>
          <w:rFonts w:asciiTheme="minorHAnsi" w:hAnsiTheme="minorHAnsi"/>
        </w:rPr>
      </w:pPr>
      <w:r w:rsidRPr="001C5F6A">
        <w:rPr>
          <w:rFonts w:asciiTheme="minorHAnsi" w:hAnsiTheme="minorHAnsi"/>
          <w:b/>
        </w:rPr>
        <w:t>6.2.</w:t>
      </w:r>
      <w:r w:rsidRPr="001C5F6A">
        <w:rPr>
          <w:rFonts w:asciiTheme="minorHAnsi" w:hAnsiTheme="minorHAnsi"/>
        </w:rPr>
        <w:t xml:space="preserve"> Badania przed przystąpieniem do robót</w:t>
      </w:r>
    </w:p>
    <w:p w:rsidR="00A40D5E" w:rsidRPr="001C5F6A" w:rsidRDefault="00A40D5E" w:rsidP="00A40D5E">
      <w:pPr>
        <w:rPr>
          <w:rFonts w:asciiTheme="minorHAnsi" w:hAnsiTheme="minorHAnsi"/>
        </w:rPr>
      </w:pPr>
      <w:r w:rsidRPr="001C5F6A">
        <w:rPr>
          <w:rFonts w:asciiTheme="minorHAnsi" w:hAnsiTheme="minorHAnsi"/>
        </w:rPr>
        <w:tab/>
        <w:t>Przed przystąpieniem do robót Wykonawca powinien:</w:t>
      </w:r>
    </w:p>
    <w:p w:rsidR="00A40D5E" w:rsidRPr="001C5F6A" w:rsidRDefault="00054F0C" w:rsidP="00A40D5E">
      <w:pPr>
        <w:rPr>
          <w:rFonts w:asciiTheme="minorHAnsi" w:hAnsiTheme="minorHAnsi"/>
        </w:rPr>
      </w:pPr>
      <w:r>
        <w:rPr>
          <w:rFonts w:asciiTheme="minorHAnsi" w:hAnsiTheme="minorHAnsi"/>
        </w:rPr>
        <w:t>-</w:t>
      </w:r>
      <w:r w:rsidR="00A40D5E" w:rsidRPr="001C5F6A">
        <w:rPr>
          <w:rFonts w:asciiTheme="minorHAnsi" w:hAnsiTheme="minorHAnsi"/>
        </w:rPr>
        <w:t>uzyskać wymagane dokumenty, dopuszczające wyroby budowlane do obrotu i powszechnego stosowania (aprobaty techniczne, certyfikaty zgodności, deklaracje zgodności, ew. badania materiałów wykonane przez dostawców itp.),</w:t>
      </w:r>
    </w:p>
    <w:p w:rsidR="00A40D5E" w:rsidRPr="001C5F6A" w:rsidRDefault="00054F0C" w:rsidP="00A40D5E">
      <w:pPr>
        <w:rPr>
          <w:rFonts w:asciiTheme="minorHAnsi" w:hAnsiTheme="minorHAnsi"/>
        </w:rPr>
      </w:pPr>
      <w:r>
        <w:rPr>
          <w:rFonts w:asciiTheme="minorHAnsi" w:hAnsiTheme="minorHAnsi"/>
        </w:rPr>
        <w:t>-</w:t>
      </w:r>
      <w:r w:rsidR="00A40D5E" w:rsidRPr="001C5F6A">
        <w:rPr>
          <w:rFonts w:asciiTheme="minorHAnsi" w:hAnsiTheme="minorHAnsi"/>
        </w:rPr>
        <w:t>wykonać badania właściwości materiałów przeznaczonych do wykonania robót, określone w pkcie 2,</w:t>
      </w:r>
    </w:p>
    <w:p w:rsidR="00A40D5E" w:rsidRPr="001C5F6A" w:rsidRDefault="00054F0C" w:rsidP="00A40D5E">
      <w:pPr>
        <w:rPr>
          <w:rFonts w:asciiTheme="minorHAnsi" w:hAnsiTheme="minorHAnsi"/>
        </w:rPr>
      </w:pPr>
      <w:r>
        <w:rPr>
          <w:rFonts w:asciiTheme="minorHAnsi" w:hAnsiTheme="minorHAnsi"/>
        </w:rPr>
        <w:t>-</w:t>
      </w:r>
      <w:r w:rsidR="00A40D5E" w:rsidRPr="001C5F6A">
        <w:rPr>
          <w:rFonts w:asciiTheme="minorHAnsi" w:hAnsiTheme="minorHAnsi"/>
        </w:rPr>
        <w:t>sprawdzić cechy zewnętrzne gotowych materiałów z tworzyw i prefabrykowanych.</w:t>
      </w:r>
    </w:p>
    <w:p w:rsidR="00A40D5E" w:rsidRPr="001C5F6A" w:rsidRDefault="00A40D5E" w:rsidP="00A40D5E">
      <w:pPr>
        <w:rPr>
          <w:rFonts w:asciiTheme="minorHAnsi" w:hAnsiTheme="minorHAnsi"/>
        </w:rPr>
      </w:pPr>
      <w:r w:rsidRPr="001C5F6A">
        <w:rPr>
          <w:rFonts w:asciiTheme="minorHAnsi" w:hAnsiTheme="minorHAnsi"/>
        </w:rPr>
        <w:tab/>
        <w:t>Wszystkie dokumenty oraz wyniki badań Wykonawca przedstawia Inżynierowi do akceptacji.</w:t>
      </w:r>
    </w:p>
    <w:p w:rsidR="00A40D5E" w:rsidRPr="001C5F6A" w:rsidRDefault="00A40D5E" w:rsidP="00A40D5E">
      <w:pPr>
        <w:rPr>
          <w:rFonts w:asciiTheme="minorHAnsi" w:hAnsiTheme="minorHAnsi"/>
        </w:rPr>
      </w:pPr>
      <w:r w:rsidRPr="001C5F6A">
        <w:rPr>
          <w:rFonts w:asciiTheme="minorHAnsi" w:hAnsiTheme="minorHAnsi"/>
          <w:b/>
        </w:rPr>
        <w:t>6.3.</w:t>
      </w:r>
      <w:r w:rsidRPr="001C5F6A">
        <w:rPr>
          <w:rFonts w:asciiTheme="minorHAnsi" w:hAnsiTheme="minorHAnsi"/>
        </w:rPr>
        <w:t xml:space="preserve"> Badania w czasie robót i badania odbiorcze</w:t>
      </w:r>
    </w:p>
    <w:p w:rsidR="00A40D5E" w:rsidRPr="001C5F6A" w:rsidRDefault="00A40D5E" w:rsidP="00A40D5E">
      <w:pPr>
        <w:rPr>
          <w:rFonts w:asciiTheme="minorHAnsi" w:hAnsiTheme="minorHAnsi"/>
        </w:rPr>
      </w:pPr>
      <w:r w:rsidRPr="001C5F6A">
        <w:rPr>
          <w:rFonts w:asciiTheme="minorHAnsi" w:hAnsiTheme="minorHAnsi"/>
        </w:rPr>
        <w:tab/>
        <w:t xml:space="preserve">   Częstotliwość oraz zakres badań i pomiarów, które należy wykonać podaje tablica 1.</w:t>
      </w:r>
    </w:p>
    <w:p w:rsidR="00A40D5E" w:rsidRDefault="00A40D5E" w:rsidP="00A40D5E">
      <w:pPr>
        <w:rPr>
          <w:rFonts w:asciiTheme="minorHAnsi" w:hAnsiTheme="minorHAnsi"/>
        </w:rPr>
      </w:pPr>
    </w:p>
    <w:p w:rsidR="00054F0C" w:rsidRPr="001C5F6A" w:rsidRDefault="00054F0C" w:rsidP="00A40D5E">
      <w:pPr>
        <w:rPr>
          <w:rFonts w:asciiTheme="minorHAnsi" w:hAnsiTheme="minorHAnsi"/>
        </w:rPr>
      </w:pPr>
    </w:p>
    <w:p w:rsidR="00A40D5E" w:rsidRPr="001C5F6A" w:rsidRDefault="00A40D5E" w:rsidP="00054F0C">
      <w:pPr>
        <w:ind w:left="851"/>
        <w:rPr>
          <w:rFonts w:asciiTheme="minorHAnsi" w:hAnsiTheme="minorHAnsi"/>
        </w:rPr>
      </w:pPr>
      <w:r w:rsidRPr="001C5F6A">
        <w:rPr>
          <w:rFonts w:asciiTheme="minorHAnsi" w:hAnsiTheme="minorHAnsi"/>
        </w:rPr>
        <w:t xml:space="preserve">Tablica 1. Częstotliwość oraz zakres badań i pomiarów </w:t>
      </w:r>
    </w:p>
    <w:tbl>
      <w:tblPr>
        <w:tblW w:w="0" w:type="auto"/>
        <w:tblInd w:w="921" w:type="dxa"/>
        <w:tblLayout w:type="fixed"/>
        <w:tblCellMar>
          <w:left w:w="70" w:type="dxa"/>
          <w:right w:w="70" w:type="dxa"/>
        </w:tblCellMar>
        <w:tblLook w:val="0000"/>
      </w:tblPr>
      <w:tblGrid>
        <w:gridCol w:w="496"/>
        <w:gridCol w:w="3402"/>
        <w:gridCol w:w="1909"/>
        <w:gridCol w:w="1701"/>
      </w:tblGrid>
      <w:tr w:rsidR="00A40D5E" w:rsidRPr="001C5F6A" w:rsidTr="00054F0C">
        <w:tc>
          <w:tcPr>
            <w:tcW w:w="496" w:type="dxa"/>
            <w:tcBorders>
              <w:top w:val="single" w:sz="6" w:space="0" w:color="auto"/>
              <w:left w:val="single" w:sz="6" w:space="0" w:color="auto"/>
              <w:bottom w:val="single" w:sz="6" w:space="0" w:color="auto"/>
              <w:right w:val="single" w:sz="6" w:space="0" w:color="auto"/>
            </w:tcBorders>
          </w:tcPr>
          <w:p w:rsidR="00A40D5E" w:rsidRPr="001C5F6A" w:rsidRDefault="00A40D5E" w:rsidP="00C26550">
            <w:pPr>
              <w:rPr>
                <w:rFonts w:asciiTheme="minorHAnsi" w:hAnsiTheme="minorHAnsi"/>
              </w:rPr>
            </w:pPr>
            <w:r w:rsidRPr="001C5F6A">
              <w:rPr>
                <w:rFonts w:asciiTheme="minorHAnsi" w:hAnsiTheme="minorHAnsi"/>
              </w:rPr>
              <w:t>Lp.</w:t>
            </w:r>
          </w:p>
        </w:tc>
        <w:tc>
          <w:tcPr>
            <w:tcW w:w="3402" w:type="dxa"/>
            <w:tcBorders>
              <w:top w:val="single" w:sz="6" w:space="0" w:color="auto"/>
              <w:left w:val="single" w:sz="6" w:space="0" w:color="auto"/>
              <w:bottom w:val="single" w:sz="6" w:space="0" w:color="auto"/>
              <w:right w:val="single" w:sz="6" w:space="0" w:color="auto"/>
            </w:tcBorders>
          </w:tcPr>
          <w:p w:rsidR="00A40D5E" w:rsidRPr="001C5F6A" w:rsidRDefault="00A40D5E" w:rsidP="00C26550">
            <w:pPr>
              <w:rPr>
                <w:rFonts w:asciiTheme="minorHAnsi" w:hAnsiTheme="minorHAnsi"/>
              </w:rPr>
            </w:pPr>
            <w:r w:rsidRPr="001C5F6A">
              <w:rPr>
                <w:rFonts w:asciiTheme="minorHAnsi" w:hAnsiTheme="minorHAnsi"/>
              </w:rPr>
              <w:t>Wyszczególnienie badań i pomiarów</w:t>
            </w:r>
          </w:p>
        </w:tc>
        <w:tc>
          <w:tcPr>
            <w:tcW w:w="1909" w:type="dxa"/>
            <w:tcBorders>
              <w:top w:val="single" w:sz="6" w:space="0" w:color="auto"/>
              <w:left w:val="single" w:sz="6" w:space="0" w:color="auto"/>
              <w:bottom w:val="single" w:sz="6" w:space="0" w:color="auto"/>
              <w:right w:val="single" w:sz="6" w:space="0" w:color="auto"/>
            </w:tcBorders>
          </w:tcPr>
          <w:p w:rsidR="00A40D5E" w:rsidRPr="001C5F6A" w:rsidRDefault="00A40D5E" w:rsidP="00C26550">
            <w:pPr>
              <w:rPr>
                <w:rFonts w:asciiTheme="minorHAnsi" w:hAnsiTheme="minorHAnsi"/>
              </w:rPr>
            </w:pPr>
            <w:r w:rsidRPr="001C5F6A">
              <w:rPr>
                <w:rFonts w:asciiTheme="minorHAnsi" w:hAnsiTheme="minorHAnsi"/>
              </w:rPr>
              <w:t>Częstotliwość badań</w:t>
            </w:r>
          </w:p>
        </w:tc>
        <w:tc>
          <w:tcPr>
            <w:tcW w:w="1701" w:type="dxa"/>
            <w:tcBorders>
              <w:top w:val="single" w:sz="6" w:space="0" w:color="auto"/>
              <w:left w:val="single" w:sz="6" w:space="0" w:color="auto"/>
              <w:bottom w:val="single" w:sz="6" w:space="0" w:color="auto"/>
              <w:right w:val="single" w:sz="6" w:space="0" w:color="auto"/>
            </w:tcBorders>
          </w:tcPr>
          <w:p w:rsidR="00A40D5E" w:rsidRPr="001C5F6A" w:rsidRDefault="00A40D5E" w:rsidP="00C26550">
            <w:pPr>
              <w:rPr>
                <w:rFonts w:asciiTheme="minorHAnsi" w:hAnsiTheme="minorHAnsi"/>
              </w:rPr>
            </w:pPr>
            <w:r w:rsidRPr="001C5F6A">
              <w:rPr>
                <w:rFonts w:asciiTheme="minorHAnsi" w:hAnsiTheme="minorHAnsi"/>
              </w:rPr>
              <w:t>Wartości dopuszczalne</w:t>
            </w:r>
          </w:p>
        </w:tc>
      </w:tr>
      <w:tr w:rsidR="00A40D5E" w:rsidRPr="001C5F6A" w:rsidTr="00054F0C">
        <w:tc>
          <w:tcPr>
            <w:tcW w:w="496" w:type="dxa"/>
            <w:tcBorders>
              <w:top w:val="single" w:sz="6" w:space="0" w:color="auto"/>
              <w:left w:val="single" w:sz="6" w:space="0" w:color="auto"/>
              <w:bottom w:val="double" w:sz="6" w:space="0" w:color="auto"/>
              <w:right w:val="single" w:sz="6" w:space="0" w:color="auto"/>
            </w:tcBorders>
          </w:tcPr>
          <w:p w:rsidR="00A40D5E" w:rsidRPr="001C5F6A" w:rsidRDefault="00A40D5E" w:rsidP="00C26550">
            <w:pPr>
              <w:rPr>
                <w:rFonts w:asciiTheme="minorHAnsi" w:hAnsiTheme="minorHAnsi"/>
              </w:rPr>
            </w:pPr>
            <w:r w:rsidRPr="001C5F6A">
              <w:rPr>
                <w:rFonts w:asciiTheme="minorHAnsi" w:hAnsiTheme="minorHAnsi"/>
              </w:rPr>
              <w:t>1</w:t>
            </w:r>
          </w:p>
        </w:tc>
        <w:tc>
          <w:tcPr>
            <w:tcW w:w="3402" w:type="dxa"/>
            <w:tcBorders>
              <w:top w:val="single" w:sz="6" w:space="0" w:color="auto"/>
              <w:left w:val="single" w:sz="6" w:space="0" w:color="auto"/>
              <w:bottom w:val="double" w:sz="6" w:space="0" w:color="auto"/>
              <w:right w:val="single" w:sz="6" w:space="0" w:color="auto"/>
            </w:tcBorders>
          </w:tcPr>
          <w:p w:rsidR="00A40D5E" w:rsidRPr="001C5F6A" w:rsidRDefault="00A40D5E" w:rsidP="00C26550">
            <w:pPr>
              <w:rPr>
                <w:rFonts w:asciiTheme="minorHAnsi" w:hAnsiTheme="minorHAnsi"/>
              </w:rPr>
            </w:pPr>
            <w:r w:rsidRPr="001C5F6A">
              <w:rPr>
                <w:rFonts w:asciiTheme="minorHAnsi" w:hAnsiTheme="minorHAnsi"/>
              </w:rPr>
              <w:t>2</w:t>
            </w:r>
          </w:p>
        </w:tc>
        <w:tc>
          <w:tcPr>
            <w:tcW w:w="1909" w:type="dxa"/>
            <w:tcBorders>
              <w:top w:val="single" w:sz="6" w:space="0" w:color="auto"/>
              <w:left w:val="single" w:sz="6" w:space="0" w:color="auto"/>
              <w:bottom w:val="double" w:sz="6" w:space="0" w:color="auto"/>
              <w:right w:val="single" w:sz="6" w:space="0" w:color="auto"/>
            </w:tcBorders>
          </w:tcPr>
          <w:p w:rsidR="00A40D5E" w:rsidRPr="001C5F6A" w:rsidRDefault="00A40D5E" w:rsidP="00C26550">
            <w:pPr>
              <w:rPr>
                <w:rFonts w:asciiTheme="minorHAnsi" w:hAnsiTheme="minorHAnsi"/>
              </w:rPr>
            </w:pPr>
            <w:r w:rsidRPr="001C5F6A">
              <w:rPr>
                <w:rFonts w:asciiTheme="minorHAnsi" w:hAnsiTheme="minorHAnsi"/>
              </w:rPr>
              <w:t>3</w:t>
            </w:r>
          </w:p>
        </w:tc>
        <w:tc>
          <w:tcPr>
            <w:tcW w:w="1701" w:type="dxa"/>
            <w:tcBorders>
              <w:top w:val="single" w:sz="6" w:space="0" w:color="auto"/>
              <w:left w:val="single" w:sz="6" w:space="0" w:color="auto"/>
              <w:bottom w:val="double" w:sz="6" w:space="0" w:color="auto"/>
              <w:right w:val="single" w:sz="6" w:space="0" w:color="auto"/>
            </w:tcBorders>
          </w:tcPr>
          <w:p w:rsidR="00A40D5E" w:rsidRPr="001C5F6A" w:rsidRDefault="00A40D5E" w:rsidP="00C26550">
            <w:pPr>
              <w:rPr>
                <w:rFonts w:asciiTheme="minorHAnsi" w:hAnsiTheme="minorHAnsi"/>
              </w:rPr>
            </w:pPr>
            <w:r w:rsidRPr="001C5F6A">
              <w:rPr>
                <w:rFonts w:asciiTheme="minorHAnsi" w:hAnsiTheme="minorHAnsi"/>
              </w:rPr>
              <w:t>4</w:t>
            </w:r>
          </w:p>
        </w:tc>
      </w:tr>
      <w:tr w:rsidR="00A40D5E" w:rsidRPr="001C5F6A" w:rsidTr="00054F0C">
        <w:tc>
          <w:tcPr>
            <w:tcW w:w="496" w:type="dxa"/>
            <w:tcBorders>
              <w:left w:val="single" w:sz="6" w:space="0" w:color="auto"/>
              <w:bottom w:val="single" w:sz="6" w:space="0" w:color="auto"/>
              <w:right w:val="single" w:sz="6" w:space="0" w:color="auto"/>
            </w:tcBorders>
          </w:tcPr>
          <w:p w:rsidR="00A40D5E" w:rsidRPr="001C5F6A" w:rsidRDefault="00A40D5E" w:rsidP="00C26550">
            <w:pPr>
              <w:rPr>
                <w:rFonts w:asciiTheme="minorHAnsi" w:hAnsiTheme="minorHAnsi"/>
              </w:rPr>
            </w:pPr>
            <w:r w:rsidRPr="001C5F6A">
              <w:rPr>
                <w:rFonts w:asciiTheme="minorHAnsi" w:hAnsiTheme="minorHAnsi"/>
              </w:rPr>
              <w:t>1</w:t>
            </w:r>
          </w:p>
        </w:tc>
        <w:tc>
          <w:tcPr>
            <w:tcW w:w="3402" w:type="dxa"/>
            <w:tcBorders>
              <w:left w:val="nil"/>
              <w:bottom w:val="single" w:sz="6" w:space="0" w:color="auto"/>
              <w:right w:val="single" w:sz="6" w:space="0" w:color="auto"/>
            </w:tcBorders>
          </w:tcPr>
          <w:p w:rsidR="00A40D5E" w:rsidRPr="001C5F6A" w:rsidRDefault="00A40D5E" w:rsidP="00C26550">
            <w:pPr>
              <w:rPr>
                <w:rFonts w:asciiTheme="minorHAnsi" w:hAnsiTheme="minorHAnsi"/>
              </w:rPr>
            </w:pPr>
            <w:r w:rsidRPr="001C5F6A">
              <w:rPr>
                <w:rFonts w:asciiTheme="minorHAnsi" w:hAnsiTheme="minorHAnsi"/>
              </w:rPr>
              <w:t>Badania kwalifikacyjne: sprawdzenie materiałów, ustalenie składu mieszanki</w:t>
            </w:r>
          </w:p>
        </w:tc>
        <w:tc>
          <w:tcPr>
            <w:tcW w:w="1909" w:type="dxa"/>
            <w:tcBorders>
              <w:left w:val="single" w:sz="6" w:space="0" w:color="auto"/>
              <w:bottom w:val="single" w:sz="6" w:space="0" w:color="auto"/>
              <w:right w:val="single" w:sz="6" w:space="0" w:color="auto"/>
            </w:tcBorders>
          </w:tcPr>
          <w:p w:rsidR="00A40D5E" w:rsidRPr="001C5F6A" w:rsidRDefault="00A40D5E" w:rsidP="00C26550">
            <w:pPr>
              <w:rPr>
                <w:rFonts w:asciiTheme="minorHAnsi" w:hAnsiTheme="minorHAnsi"/>
              </w:rPr>
            </w:pPr>
            <w:r w:rsidRPr="001C5F6A">
              <w:rPr>
                <w:rFonts w:asciiTheme="minorHAnsi" w:hAnsiTheme="minorHAnsi"/>
              </w:rPr>
              <w:t>raz na etapie projek-towania składu mie-szanki i przy każdej zmianie materiału</w:t>
            </w:r>
          </w:p>
        </w:tc>
        <w:tc>
          <w:tcPr>
            <w:tcW w:w="1701" w:type="dxa"/>
            <w:tcBorders>
              <w:left w:val="single" w:sz="6" w:space="0" w:color="auto"/>
              <w:bottom w:val="single" w:sz="6" w:space="0" w:color="auto"/>
              <w:right w:val="single" w:sz="6" w:space="0" w:color="auto"/>
            </w:tcBorders>
          </w:tcPr>
          <w:p w:rsidR="00A40D5E" w:rsidRPr="001C5F6A" w:rsidRDefault="00A40D5E" w:rsidP="00C26550">
            <w:pPr>
              <w:rPr>
                <w:rFonts w:asciiTheme="minorHAnsi" w:hAnsiTheme="minorHAnsi"/>
              </w:rPr>
            </w:pPr>
            <w:r w:rsidRPr="001C5F6A">
              <w:rPr>
                <w:rFonts w:asciiTheme="minorHAnsi" w:hAnsiTheme="minorHAnsi"/>
              </w:rPr>
              <w:t>wg pktu 2 i 5</w:t>
            </w:r>
          </w:p>
        </w:tc>
      </w:tr>
      <w:tr w:rsidR="00A40D5E" w:rsidRPr="001C5F6A" w:rsidTr="00054F0C">
        <w:tc>
          <w:tcPr>
            <w:tcW w:w="496" w:type="dxa"/>
            <w:tcBorders>
              <w:left w:val="single" w:sz="6" w:space="0" w:color="auto"/>
              <w:right w:val="single" w:sz="6" w:space="0" w:color="auto"/>
            </w:tcBorders>
          </w:tcPr>
          <w:p w:rsidR="00A40D5E" w:rsidRPr="001C5F6A" w:rsidRDefault="00A40D5E" w:rsidP="00C26550">
            <w:pPr>
              <w:rPr>
                <w:rFonts w:asciiTheme="minorHAnsi" w:hAnsiTheme="minorHAnsi"/>
              </w:rPr>
            </w:pPr>
            <w:r w:rsidRPr="001C5F6A">
              <w:rPr>
                <w:rFonts w:asciiTheme="minorHAnsi" w:hAnsiTheme="minorHAnsi"/>
              </w:rPr>
              <w:t>2</w:t>
            </w:r>
          </w:p>
        </w:tc>
        <w:tc>
          <w:tcPr>
            <w:tcW w:w="3402" w:type="dxa"/>
            <w:tcBorders>
              <w:top w:val="single" w:sz="6" w:space="0" w:color="auto"/>
              <w:left w:val="nil"/>
              <w:bottom w:val="single" w:sz="6" w:space="0" w:color="auto"/>
              <w:right w:val="single" w:sz="6" w:space="0" w:color="auto"/>
            </w:tcBorders>
          </w:tcPr>
          <w:p w:rsidR="00A40D5E" w:rsidRPr="001C5F6A" w:rsidRDefault="00A40D5E" w:rsidP="00C26550">
            <w:pPr>
              <w:rPr>
                <w:rFonts w:asciiTheme="minorHAnsi" w:hAnsiTheme="minorHAnsi"/>
              </w:rPr>
            </w:pPr>
            <w:r w:rsidRPr="001C5F6A">
              <w:rPr>
                <w:rFonts w:asciiTheme="minorHAnsi" w:hAnsiTheme="minorHAnsi"/>
              </w:rPr>
              <w:t>Badania w czasie robót</w:t>
            </w:r>
          </w:p>
          <w:p w:rsidR="00A40D5E" w:rsidRPr="001C5F6A" w:rsidRDefault="00A40D5E" w:rsidP="00C26550">
            <w:pPr>
              <w:rPr>
                <w:rFonts w:asciiTheme="minorHAnsi" w:hAnsiTheme="minorHAnsi"/>
              </w:rPr>
            </w:pPr>
            <w:r w:rsidRPr="001C5F6A">
              <w:rPr>
                <w:rFonts w:asciiTheme="minorHAnsi" w:hAnsiTheme="minorHAnsi"/>
              </w:rPr>
              <w:t>rzędne podłoża gruntowego</w:t>
            </w:r>
          </w:p>
        </w:tc>
        <w:tc>
          <w:tcPr>
            <w:tcW w:w="1909" w:type="dxa"/>
            <w:tcBorders>
              <w:top w:val="single" w:sz="6" w:space="0" w:color="auto"/>
              <w:left w:val="single" w:sz="6" w:space="0" w:color="auto"/>
              <w:bottom w:val="single" w:sz="6" w:space="0" w:color="auto"/>
              <w:right w:val="single" w:sz="6" w:space="0" w:color="auto"/>
            </w:tcBorders>
          </w:tcPr>
          <w:p w:rsidR="00A40D5E" w:rsidRPr="001C5F6A" w:rsidRDefault="00A40D5E" w:rsidP="00C26550">
            <w:pPr>
              <w:rPr>
                <w:rFonts w:asciiTheme="minorHAnsi" w:hAnsiTheme="minorHAnsi"/>
              </w:rPr>
            </w:pPr>
            <w:r w:rsidRPr="001C5F6A">
              <w:rPr>
                <w:rFonts w:asciiTheme="minorHAnsi" w:hAnsiTheme="minorHAnsi"/>
              </w:rPr>
              <w:t>Wg wskazań Inżyniera</w:t>
            </w:r>
          </w:p>
        </w:tc>
        <w:tc>
          <w:tcPr>
            <w:tcW w:w="1701" w:type="dxa"/>
            <w:tcBorders>
              <w:top w:val="single" w:sz="6" w:space="0" w:color="auto"/>
              <w:left w:val="single" w:sz="6" w:space="0" w:color="auto"/>
              <w:bottom w:val="single" w:sz="6" w:space="0" w:color="auto"/>
              <w:right w:val="single" w:sz="6" w:space="0" w:color="auto"/>
            </w:tcBorders>
          </w:tcPr>
          <w:p w:rsidR="00A40D5E" w:rsidRPr="001C5F6A" w:rsidRDefault="00A40D5E" w:rsidP="00C26550">
            <w:pPr>
              <w:rPr>
                <w:rFonts w:asciiTheme="minorHAnsi" w:hAnsiTheme="minorHAnsi"/>
              </w:rPr>
            </w:pPr>
          </w:p>
          <w:p w:rsidR="00A40D5E" w:rsidRPr="001C5F6A" w:rsidRDefault="00A40D5E" w:rsidP="00C26550">
            <w:pPr>
              <w:rPr>
                <w:rFonts w:asciiTheme="minorHAnsi" w:hAnsiTheme="minorHAnsi"/>
              </w:rPr>
            </w:pPr>
            <w:r w:rsidRPr="001C5F6A">
              <w:rPr>
                <w:rFonts w:asciiTheme="minorHAnsi" w:hAnsiTheme="minorHAnsi"/>
              </w:rPr>
              <w:t>wg 5.3.2</w:t>
            </w:r>
          </w:p>
        </w:tc>
      </w:tr>
      <w:tr w:rsidR="00A40D5E" w:rsidRPr="001C5F6A" w:rsidTr="00054F0C">
        <w:tc>
          <w:tcPr>
            <w:tcW w:w="496" w:type="dxa"/>
            <w:tcBorders>
              <w:left w:val="single" w:sz="6" w:space="0" w:color="auto"/>
              <w:bottom w:val="single" w:sz="8" w:space="0" w:color="auto"/>
              <w:right w:val="single" w:sz="6" w:space="0" w:color="auto"/>
            </w:tcBorders>
          </w:tcPr>
          <w:p w:rsidR="00A40D5E" w:rsidRPr="001C5F6A" w:rsidRDefault="00A40D5E" w:rsidP="00C26550">
            <w:pPr>
              <w:rPr>
                <w:rFonts w:asciiTheme="minorHAnsi" w:hAnsiTheme="minorHAnsi"/>
              </w:rPr>
            </w:pPr>
          </w:p>
        </w:tc>
        <w:tc>
          <w:tcPr>
            <w:tcW w:w="3402" w:type="dxa"/>
            <w:tcBorders>
              <w:top w:val="single" w:sz="6" w:space="0" w:color="auto"/>
              <w:left w:val="nil"/>
              <w:bottom w:val="single" w:sz="6" w:space="0" w:color="auto"/>
              <w:right w:val="single" w:sz="6" w:space="0" w:color="auto"/>
            </w:tcBorders>
          </w:tcPr>
          <w:p w:rsidR="00A40D5E" w:rsidRPr="001C5F6A" w:rsidRDefault="00A40D5E" w:rsidP="00C26550">
            <w:pPr>
              <w:rPr>
                <w:rFonts w:asciiTheme="minorHAnsi" w:hAnsiTheme="minorHAnsi"/>
              </w:rPr>
            </w:pPr>
            <w:r w:rsidRPr="001C5F6A">
              <w:rPr>
                <w:rFonts w:asciiTheme="minorHAnsi" w:hAnsiTheme="minorHAnsi"/>
              </w:rPr>
              <w:t>zagęszczenie podłoża gruntowego</w:t>
            </w:r>
          </w:p>
        </w:tc>
        <w:tc>
          <w:tcPr>
            <w:tcW w:w="1909" w:type="dxa"/>
            <w:tcBorders>
              <w:top w:val="single" w:sz="6" w:space="0" w:color="auto"/>
              <w:left w:val="single" w:sz="6" w:space="0" w:color="auto"/>
              <w:bottom w:val="single" w:sz="6" w:space="0" w:color="auto"/>
              <w:right w:val="single" w:sz="6" w:space="0" w:color="auto"/>
            </w:tcBorders>
          </w:tcPr>
          <w:p w:rsidR="00A40D5E" w:rsidRPr="001C5F6A" w:rsidRDefault="00A40D5E" w:rsidP="00C26550">
            <w:pPr>
              <w:rPr>
                <w:rFonts w:asciiTheme="minorHAnsi" w:hAnsiTheme="minorHAnsi"/>
              </w:rPr>
            </w:pPr>
            <w:r w:rsidRPr="001C5F6A">
              <w:rPr>
                <w:rFonts w:asciiTheme="minorHAnsi" w:hAnsiTheme="minorHAnsi"/>
              </w:rPr>
              <w:t>Wg wskazań Inżyniera</w:t>
            </w:r>
          </w:p>
        </w:tc>
        <w:tc>
          <w:tcPr>
            <w:tcW w:w="1701" w:type="dxa"/>
            <w:tcBorders>
              <w:top w:val="single" w:sz="6" w:space="0" w:color="auto"/>
              <w:left w:val="single" w:sz="6" w:space="0" w:color="auto"/>
              <w:bottom w:val="single" w:sz="6" w:space="0" w:color="auto"/>
              <w:right w:val="single" w:sz="6" w:space="0" w:color="auto"/>
            </w:tcBorders>
          </w:tcPr>
          <w:p w:rsidR="00A40D5E" w:rsidRPr="001C5F6A" w:rsidRDefault="00A40D5E" w:rsidP="00C26550">
            <w:pPr>
              <w:rPr>
                <w:rFonts w:asciiTheme="minorHAnsi" w:hAnsiTheme="minorHAnsi"/>
              </w:rPr>
            </w:pPr>
            <w:r w:rsidRPr="001C5F6A">
              <w:rPr>
                <w:rFonts w:asciiTheme="minorHAnsi" w:hAnsiTheme="minorHAnsi"/>
              </w:rPr>
              <w:t>wg 5.3.2</w:t>
            </w:r>
          </w:p>
        </w:tc>
      </w:tr>
      <w:tr w:rsidR="00A40D5E" w:rsidRPr="001C5F6A" w:rsidTr="00054F0C">
        <w:tc>
          <w:tcPr>
            <w:tcW w:w="496" w:type="dxa"/>
            <w:tcBorders>
              <w:top w:val="single" w:sz="6" w:space="0" w:color="auto"/>
              <w:left w:val="single" w:sz="6" w:space="0" w:color="auto"/>
              <w:right w:val="single" w:sz="6" w:space="0" w:color="auto"/>
            </w:tcBorders>
          </w:tcPr>
          <w:p w:rsidR="00A40D5E" w:rsidRPr="001C5F6A" w:rsidRDefault="00A40D5E" w:rsidP="00C26550">
            <w:pPr>
              <w:rPr>
                <w:rFonts w:asciiTheme="minorHAnsi" w:hAnsiTheme="minorHAnsi"/>
              </w:rPr>
            </w:pPr>
          </w:p>
        </w:tc>
        <w:tc>
          <w:tcPr>
            <w:tcW w:w="3402" w:type="dxa"/>
            <w:tcBorders>
              <w:top w:val="single" w:sz="6" w:space="0" w:color="auto"/>
              <w:left w:val="nil"/>
              <w:bottom w:val="single" w:sz="6" w:space="0" w:color="auto"/>
              <w:right w:val="single" w:sz="6" w:space="0" w:color="auto"/>
            </w:tcBorders>
          </w:tcPr>
          <w:p w:rsidR="00A40D5E" w:rsidRPr="001C5F6A" w:rsidRDefault="00A40D5E" w:rsidP="00C26550">
            <w:pPr>
              <w:rPr>
                <w:rFonts w:asciiTheme="minorHAnsi" w:hAnsiTheme="minorHAnsi"/>
              </w:rPr>
            </w:pPr>
            <w:r w:rsidRPr="001C5F6A">
              <w:rPr>
                <w:rFonts w:asciiTheme="minorHAnsi" w:hAnsiTheme="minorHAnsi"/>
              </w:rPr>
              <w:t>konsystencja mieszanki betonowej</w:t>
            </w:r>
          </w:p>
        </w:tc>
        <w:tc>
          <w:tcPr>
            <w:tcW w:w="1909" w:type="dxa"/>
            <w:tcBorders>
              <w:top w:val="single" w:sz="6" w:space="0" w:color="auto"/>
              <w:left w:val="single" w:sz="6" w:space="0" w:color="auto"/>
              <w:bottom w:val="single" w:sz="6" w:space="0" w:color="auto"/>
              <w:right w:val="single" w:sz="6" w:space="0" w:color="auto"/>
            </w:tcBorders>
          </w:tcPr>
          <w:p w:rsidR="00A40D5E" w:rsidRPr="001C5F6A" w:rsidRDefault="00A40D5E" w:rsidP="00C26550">
            <w:pPr>
              <w:rPr>
                <w:rFonts w:asciiTheme="minorHAnsi" w:hAnsiTheme="minorHAnsi"/>
              </w:rPr>
            </w:pPr>
            <w:r w:rsidRPr="001C5F6A">
              <w:rPr>
                <w:rFonts w:asciiTheme="minorHAnsi" w:hAnsiTheme="minorHAnsi"/>
              </w:rPr>
              <w:t>2 razy w czasie zmiany roboczej</w:t>
            </w:r>
          </w:p>
        </w:tc>
        <w:tc>
          <w:tcPr>
            <w:tcW w:w="1701" w:type="dxa"/>
            <w:tcBorders>
              <w:top w:val="single" w:sz="6" w:space="0" w:color="auto"/>
              <w:left w:val="single" w:sz="6" w:space="0" w:color="auto"/>
              <w:bottom w:val="single" w:sz="6" w:space="0" w:color="auto"/>
              <w:right w:val="single" w:sz="6" w:space="0" w:color="auto"/>
            </w:tcBorders>
          </w:tcPr>
          <w:p w:rsidR="00A40D5E" w:rsidRPr="001C5F6A" w:rsidRDefault="00A40D5E" w:rsidP="00C26550">
            <w:pPr>
              <w:rPr>
                <w:rFonts w:asciiTheme="minorHAnsi" w:hAnsiTheme="minorHAnsi"/>
              </w:rPr>
            </w:pPr>
            <w:r w:rsidRPr="001C5F6A">
              <w:rPr>
                <w:rFonts w:asciiTheme="minorHAnsi" w:hAnsiTheme="minorHAnsi"/>
              </w:rPr>
              <w:t>wg 2.2.9</w:t>
            </w:r>
          </w:p>
        </w:tc>
      </w:tr>
      <w:tr w:rsidR="00A40D5E" w:rsidRPr="001C5F6A" w:rsidTr="00054F0C">
        <w:tc>
          <w:tcPr>
            <w:tcW w:w="496" w:type="dxa"/>
            <w:tcBorders>
              <w:left w:val="single" w:sz="6" w:space="0" w:color="auto"/>
              <w:right w:val="single" w:sz="6" w:space="0" w:color="auto"/>
            </w:tcBorders>
          </w:tcPr>
          <w:p w:rsidR="00A40D5E" w:rsidRPr="001C5F6A" w:rsidRDefault="00A40D5E" w:rsidP="00C26550">
            <w:pPr>
              <w:rPr>
                <w:rFonts w:asciiTheme="minorHAnsi" w:hAnsiTheme="minorHAnsi"/>
              </w:rPr>
            </w:pPr>
            <w:r w:rsidRPr="001C5F6A">
              <w:rPr>
                <w:rFonts w:asciiTheme="minorHAnsi" w:hAnsiTheme="minorHAnsi"/>
              </w:rPr>
              <w:t>3</w:t>
            </w:r>
          </w:p>
        </w:tc>
        <w:tc>
          <w:tcPr>
            <w:tcW w:w="3402" w:type="dxa"/>
            <w:tcBorders>
              <w:top w:val="single" w:sz="6" w:space="0" w:color="auto"/>
              <w:left w:val="nil"/>
              <w:bottom w:val="single" w:sz="6" w:space="0" w:color="auto"/>
              <w:right w:val="single" w:sz="6" w:space="0" w:color="auto"/>
            </w:tcBorders>
          </w:tcPr>
          <w:p w:rsidR="00A40D5E" w:rsidRPr="001C5F6A" w:rsidRDefault="00A40D5E" w:rsidP="00C26550">
            <w:pPr>
              <w:rPr>
                <w:rFonts w:asciiTheme="minorHAnsi" w:hAnsiTheme="minorHAnsi"/>
              </w:rPr>
            </w:pPr>
            <w:r w:rsidRPr="001C5F6A">
              <w:rPr>
                <w:rFonts w:asciiTheme="minorHAnsi" w:hAnsiTheme="minorHAnsi"/>
              </w:rPr>
              <w:t>wytrzymałość betonu na ściskanie</w:t>
            </w:r>
          </w:p>
        </w:tc>
        <w:tc>
          <w:tcPr>
            <w:tcW w:w="1909" w:type="dxa"/>
            <w:tcBorders>
              <w:top w:val="single" w:sz="6" w:space="0" w:color="auto"/>
              <w:left w:val="single" w:sz="6" w:space="0" w:color="auto"/>
              <w:bottom w:val="single" w:sz="6" w:space="0" w:color="auto"/>
              <w:right w:val="single" w:sz="6" w:space="0" w:color="auto"/>
            </w:tcBorders>
          </w:tcPr>
          <w:p w:rsidR="00A40D5E" w:rsidRPr="001C5F6A" w:rsidRDefault="00A40D5E" w:rsidP="00C26550">
            <w:pPr>
              <w:rPr>
                <w:rFonts w:asciiTheme="minorHAnsi" w:hAnsiTheme="minorHAnsi"/>
              </w:rPr>
            </w:pPr>
            <w:r w:rsidRPr="001C5F6A">
              <w:rPr>
                <w:rFonts w:asciiTheme="minorHAnsi" w:hAnsiTheme="minorHAnsi"/>
              </w:rPr>
              <w:t>raz dziennie</w:t>
            </w:r>
          </w:p>
        </w:tc>
        <w:tc>
          <w:tcPr>
            <w:tcW w:w="1701" w:type="dxa"/>
            <w:tcBorders>
              <w:top w:val="single" w:sz="6" w:space="0" w:color="auto"/>
              <w:left w:val="single" w:sz="6" w:space="0" w:color="auto"/>
              <w:bottom w:val="single" w:sz="6" w:space="0" w:color="auto"/>
              <w:right w:val="single" w:sz="6" w:space="0" w:color="auto"/>
            </w:tcBorders>
          </w:tcPr>
          <w:p w:rsidR="00A40D5E" w:rsidRPr="001C5F6A" w:rsidRDefault="00A40D5E" w:rsidP="00C26550">
            <w:pPr>
              <w:rPr>
                <w:rFonts w:asciiTheme="minorHAnsi" w:hAnsiTheme="minorHAnsi"/>
              </w:rPr>
            </w:pPr>
            <w:r w:rsidRPr="001C5F6A">
              <w:rPr>
                <w:rFonts w:asciiTheme="minorHAnsi" w:hAnsiTheme="minorHAnsi"/>
              </w:rPr>
              <w:t>wg 2.2.9</w:t>
            </w:r>
          </w:p>
        </w:tc>
      </w:tr>
      <w:tr w:rsidR="00A40D5E" w:rsidRPr="001C5F6A" w:rsidTr="00054F0C">
        <w:tc>
          <w:tcPr>
            <w:tcW w:w="496" w:type="dxa"/>
            <w:tcBorders>
              <w:left w:val="single" w:sz="6" w:space="0" w:color="auto"/>
              <w:right w:val="single" w:sz="6" w:space="0" w:color="auto"/>
            </w:tcBorders>
          </w:tcPr>
          <w:p w:rsidR="00A40D5E" w:rsidRPr="001C5F6A" w:rsidRDefault="00A40D5E" w:rsidP="00C26550">
            <w:pPr>
              <w:rPr>
                <w:rFonts w:asciiTheme="minorHAnsi" w:hAnsiTheme="minorHAnsi"/>
              </w:rPr>
            </w:pPr>
          </w:p>
        </w:tc>
        <w:tc>
          <w:tcPr>
            <w:tcW w:w="3402" w:type="dxa"/>
            <w:tcBorders>
              <w:top w:val="single" w:sz="6" w:space="0" w:color="auto"/>
              <w:left w:val="nil"/>
              <w:bottom w:val="single" w:sz="6" w:space="0" w:color="auto"/>
              <w:right w:val="single" w:sz="6" w:space="0" w:color="auto"/>
            </w:tcBorders>
          </w:tcPr>
          <w:p w:rsidR="00A40D5E" w:rsidRPr="001C5F6A" w:rsidRDefault="00A40D5E" w:rsidP="00C26550">
            <w:pPr>
              <w:rPr>
                <w:rFonts w:asciiTheme="minorHAnsi" w:hAnsiTheme="minorHAnsi"/>
              </w:rPr>
            </w:pPr>
            <w:r w:rsidRPr="001C5F6A">
              <w:rPr>
                <w:rFonts w:asciiTheme="minorHAnsi" w:hAnsiTheme="minorHAnsi"/>
              </w:rPr>
              <w:t>Badania odbiorcze po wykonaniu podbudowy</w:t>
            </w:r>
          </w:p>
          <w:p w:rsidR="00A40D5E" w:rsidRPr="001C5F6A" w:rsidRDefault="00A40D5E" w:rsidP="00C26550">
            <w:pPr>
              <w:rPr>
                <w:rFonts w:asciiTheme="minorHAnsi" w:hAnsiTheme="minorHAnsi"/>
              </w:rPr>
            </w:pPr>
            <w:r w:rsidRPr="001C5F6A">
              <w:rPr>
                <w:rFonts w:asciiTheme="minorHAnsi" w:hAnsiTheme="minorHAnsi"/>
              </w:rPr>
              <w:t>grubość podbudowy</w:t>
            </w:r>
          </w:p>
          <w:p w:rsidR="00A40D5E" w:rsidRPr="001C5F6A" w:rsidRDefault="00A40D5E" w:rsidP="00C26550">
            <w:pPr>
              <w:rPr>
                <w:rFonts w:asciiTheme="minorHAnsi" w:hAnsiTheme="minorHAnsi"/>
              </w:rPr>
            </w:pPr>
          </w:p>
        </w:tc>
        <w:tc>
          <w:tcPr>
            <w:tcW w:w="1909" w:type="dxa"/>
            <w:tcBorders>
              <w:top w:val="single" w:sz="6" w:space="0" w:color="auto"/>
              <w:left w:val="single" w:sz="6" w:space="0" w:color="auto"/>
              <w:right w:val="single" w:sz="6" w:space="0" w:color="auto"/>
            </w:tcBorders>
          </w:tcPr>
          <w:p w:rsidR="00A40D5E" w:rsidRPr="001C5F6A" w:rsidRDefault="00A40D5E" w:rsidP="00C26550">
            <w:pPr>
              <w:rPr>
                <w:rFonts w:asciiTheme="minorHAnsi" w:hAnsiTheme="minorHAnsi"/>
              </w:rPr>
            </w:pPr>
          </w:p>
          <w:p w:rsidR="00A40D5E" w:rsidRPr="001C5F6A" w:rsidRDefault="00A40D5E" w:rsidP="00C26550">
            <w:pPr>
              <w:rPr>
                <w:rFonts w:asciiTheme="minorHAnsi" w:hAnsiTheme="minorHAnsi"/>
              </w:rPr>
            </w:pPr>
          </w:p>
          <w:p w:rsidR="00A40D5E" w:rsidRPr="001C5F6A" w:rsidRDefault="00A40D5E" w:rsidP="00C26550">
            <w:pPr>
              <w:rPr>
                <w:rFonts w:asciiTheme="minorHAnsi" w:hAnsiTheme="minorHAnsi"/>
              </w:rPr>
            </w:pPr>
            <w:r w:rsidRPr="001C5F6A">
              <w:rPr>
                <w:rFonts w:asciiTheme="minorHAnsi" w:hAnsiTheme="minorHAnsi"/>
              </w:rPr>
              <w:t>Wg wskazań Inżyniera</w:t>
            </w:r>
          </w:p>
        </w:tc>
        <w:tc>
          <w:tcPr>
            <w:tcW w:w="1701" w:type="dxa"/>
            <w:tcBorders>
              <w:top w:val="single" w:sz="6" w:space="0" w:color="auto"/>
              <w:left w:val="single" w:sz="6" w:space="0" w:color="auto"/>
              <w:right w:val="single" w:sz="6" w:space="0" w:color="auto"/>
            </w:tcBorders>
          </w:tcPr>
          <w:p w:rsidR="00A40D5E" w:rsidRPr="001C5F6A" w:rsidRDefault="00A40D5E" w:rsidP="00C26550">
            <w:pPr>
              <w:rPr>
                <w:rFonts w:asciiTheme="minorHAnsi" w:hAnsiTheme="minorHAnsi"/>
              </w:rPr>
            </w:pPr>
          </w:p>
          <w:p w:rsidR="00A40D5E" w:rsidRPr="001C5F6A" w:rsidRDefault="00A40D5E" w:rsidP="00C26550">
            <w:pPr>
              <w:rPr>
                <w:rFonts w:asciiTheme="minorHAnsi" w:hAnsiTheme="minorHAnsi"/>
              </w:rPr>
            </w:pPr>
          </w:p>
          <w:p w:rsidR="00A40D5E" w:rsidRPr="001C5F6A" w:rsidRDefault="00A40D5E" w:rsidP="00C26550">
            <w:pPr>
              <w:rPr>
                <w:rFonts w:asciiTheme="minorHAnsi" w:hAnsiTheme="minorHAnsi"/>
              </w:rPr>
            </w:pPr>
            <w:r w:rsidRPr="001C5F6A">
              <w:rPr>
                <w:rFonts w:asciiTheme="minorHAnsi" w:hAnsiTheme="minorHAnsi"/>
              </w:rPr>
              <w:t xml:space="preserve">odchyłka grubości        </w:t>
            </w:r>
            <w:r w:rsidRPr="001C5F6A">
              <w:rPr>
                <w:rFonts w:asciiTheme="minorHAnsi" w:hAnsiTheme="minorHAnsi"/>
              </w:rPr>
              <w:sym w:font="Symbol" w:char="F0B1"/>
            </w:r>
            <w:r w:rsidRPr="001C5F6A">
              <w:rPr>
                <w:rFonts w:asciiTheme="minorHAnsi" w:hAnsiTheme="minorHAnsi"/>
              </w:rPr>
              <w:t xml:space="preserve"> 1 cm,</w:t>
            </w:r>
          </w:p>
        </w:tc>
      </w:tr>
      <w:tr w:rsidR="00A40D5E" w:rsidRPr="001C5F6A" w:rsidTr="00054F0C">
        <w:tc>
          <w:tcPr>
            <w:tcW w:w="496" w:type="dxa"/>
            <w:tcBorders>
              <w:left w:val="single" w:sz="6" w:space="0" w:color="auto"/>
              <w:right w:val="single" w:sz="6" w:space="0" w:color="auto"/>
            </w:tcBorders>
          </w:tcPr>
          <w:p w:rsidR="00A40D5E" w:rsidRPr="001C5F6A" w:rsidRDefault="00A40D5E" w:rsidP="00C26550">
            <w:pPr>
              <w:rPr>
                <w:rFonts w:asciiTheme="minorHAnsi" w:hAnsiTheme="minorHAnsi"/>
              </w:rPr>
            </w:pPr>
          </w:p>
        </w:tc>
        <w:tc>
          <w:tcPr>
            <w:tcW w:w="3402" w:type="dxa"/>
            <w:tcBorders>
              <w:top w:val="single" w:sz="6" w:space="0" w:color="auto"/>
              <w:left w:val="nil"/>
              <w:bottom w:val="single" w:sz="6" w:space="0" w:color="auto"/>
              <w:right w:val="single" w:sz="6" w:space="0" w:color="auto"/>
            </w:tcBorders>
          </w:tcPr>
          <w:p w:rsidR="00A40D5E" w:rsidRPr="001C5F6A" w:rsidRDefault="00A40D5E" w:rsidP="00C26550">
            <w:pPr>
              <w:rPr>
                <w:rFonts w:asciiTheme="minorHAnsi" w:hAnsiTheme="minorHAnsi"/>
              </w:rPr>
            </w:pPr>
            <w:r w:rsidRPr="001C5F6A">
              <w:rPr>
                <w:rFonts w:asciiTheme="minorHAnsi" w:hAnsiTheme="minorHAnsi"/>
              </w:rPr>
              <w:t>nasiąkliwość betonu w podbudowie</w:t>
            </w:r>
          </w:p>
        </w:tc>
        <w:tc>
          <w:tcPr>
            <w:tcW w:w="1909" w:type="dxa"/>
            <w:tcBorders>
              <w:left w:val="single" w:sz="6" w:space="0" w:color="auto"/>
              <w:bottom w:val="single" w:sz="6" w:space="0" w:color="auto"/>
              <w:right w:val="single" w:sz="6" w:space="0" w:color="auto"/>
            </w:tcBorders>
          </w:tcPr>
          <w:p w:rsidR="00A40D5E" w:rsidRPr="001C5F6A" w:rsidRDefault="00A40D5E" w:rsidP="00C26550">
            <w:pPr>
              <w:rPr>
                <w:rFonts w:asciiTheme="minorHAnsi" w:hAnsiTheme="minorHAnsi"/>
              </w:rPr>
            </w:pPr>
          </w:p>
        </w:tc>
        <w:tc>
          <w:tcPr>
            <w:tcW w:w="1701" w:type="dxa"/>
            <w:tcBorders>
              <w:left w:val="single" w:sz="6" w:space="0" w:color="auto"/>
              <w:bottom w:val="single" w:sz="6" w:space="0" w:color="auto"/>
              <w:right w:val="single" w:sz="6" w:space="0" w:color="auto"/>
            </w:tcBorders>
          </w:tcPr>
          <w:p w:rsidR="00A40D5E" w:rsidRPr="001C5F6A" w:rsidRDefault="00A40D5E" w:rsidP="00C26550">
            <w:pPr>
              <w:rPr>
                <w:rFonts w:asciiTheme="minorHAnsi" w:hAnsiTheme="minorHAnsi"/>
              </w:rPr>
            </w:pPr>
            <w:r w:rsidRPr="001C5F6A">
              <w:rPr>
                <w:rFonts w:asciiTheme="minorHAnsi" w:hAnsiTheme="minorHAnsi"/>
              </w:rPr>
              <w:t>nasiąkliwość wg PN-S-96014:1997  i pktu 2.2.9</w:t>
            </w:r>
          </w:p>
        </w:tc>
      </w:tr>
      <w:tr w:rsidR="00A40D5E" w:rsidRPr="001C5F6A" w:rsidTr="00054F0C">
        <w:tc>
          <w:tcPr>
            <w:tcW w:w="496" w:type="dxa"/>
            <w:tcBorders>
              <w:left w:val="single" w:sz="6" w:space="0" w:color="auto"/>
              <w:right w:val="single" w:sz="6" w:space="0" w:color="auto"/>
            </w:tcBorders>
          </w:tcPr>
          <w:p w:rsidR="00A40D5E" w:rsidRPr="001C5F6A" w:rsidRDefault="00A40D5E" w:rsidP="00C26550">
            <w:pPr>
              <w:rPr>
                <w:rFonts w:asciiTheme="minorHAnsi" w:hAnsiTheme="minorHAnsi"/>
              </w:rPr>
            </w:pPr>
          </w:p>
        </w:tc>
        <w:tc>
          <w:tcPr>
            <w:tcW w:w="3402" w:type="dxa"/>
            <w:tcBorders>
              <w:top w:val="single" w:sz="6" w:space="0" w:color="auto"/>
              <w:left w:val="nil"/>
              <w:bottom w:val="single" w:sz="6" w:space="0" w:color="auto"/>
              <w:right w:val="single" w:sz="6" w:space="0" w:color="auto"/>
            </w:tcBorders>
          </w:tcPr>
          <w:p w:rsidR="00A40D5E" w:rsidRPr="001C5F6A" w:rsidRDefault="00A40D5E" w:rsidP="00C26550">
            <w:pPr>
              <w:rPr>
                <w:rFonts w:asciiTheme="minorHAnsi" w:hAnsiTheme="minorHAnsi"/>
              </w:rPr>
            </w:pPr>
            <w:r w:rsidRPr="001C5F6A">
              <w:rPr>
                <w:rFonts w:asciiTheme="minorHAnsi" w:hAnsiTheme="minorHAnsi"/>
              </w:rPr>
              <w:t>mrozoodporność betonu w podbudowie</w:t>
            </w:r>
          </w:p>
        </w:tc>
        <w:tc>
          <w:tcPr>
            <w:tcW w:w="1909" w:type="dxa"/>
            <w:tcBorders>
              <w:top w:val="single" w:sz="6" w:space="0" w:color="auto"/>
              <w:left w:val="single" w:sz="6" w:space="0" w:color="auto"/>
              <w:bottom w:val="single" w:sz="6" w:space="0" w:color="auto"/>
              <w:right w:val="single" w:sz="6" w:space="0" w:color="auto"/>
            </w:tcBorders>
          </w:tcPr>
          <w:p w:rsidR="00A40D5E" w:rsidRPr="001C5F6A" w:rsidRDefault="00A40D5E" w:rsidP="00C26550">
            <w:pPr>
              <w:rPr>
                <w:rFonts w:asciiTheme="minorHAnsi" w:hAnsiTheme="minorHAnsi"/>
              </w:rPr>
            </w:pPr>
            <w:r w:rsidRPr="001C5F6A">
              <w:rPr>
                <w:rFonts w:asciiTheme="minorHAnsi" w:hAnsiTheme="minorHAnsi"/>
              </w:rPr>
              <w:t>na próbkach badanej nasiąkliwości</w:t>
            </w:r>
          </w:p>
        </w:tc>
        <w:tc>
          <w:tcPr>
            <w:tcW w:w="1701" w:type="dxa"/>
            <w:tcBorders>
              <w:top w:val="single" w:sz="6" w:space="0" w:color="auto"/>
              <w:left w:val="single" w:sz="6" w:space="0" w:color="auto"/>
              <w:bottom w:val="single" w:sz="6" w:space="0" w:color="auto"/>
              <w:right w:val="single" w:sz="6" w:space="0" w:color="auto"/>
            </w:tcBorders>
          </w:tcPr>
          <w:p w:rsidR="00A40D5E" w:rsidRPr="001C5F6A" w:rsidRDefault="00A40D5E" w:rsidP="00C26550">
            <w:pPr>
              <w:rPr>
                <w:rFonts w:asciiTheme="minorHAnsi" w:hAnsiTheme="minorHAnsi"/>
              </w:rPr>
            </w:pPr>
            <w:r w:rsidRPr="001C5F6A">
              <w:rPr>
                <w:rFonts w:asciiTheme="minorHAnsi" w:hAnsiTheme="minorHAnsi"/>
              </w:rPr>
              <w:t>wg PN-S-96014</w:t>
            </w:r>
          </w:p>
          <w:p w:rsidR="00A40D5E" w:rsidRPr="001C5F6A" w:rsidRDefault="00A40D5E" w:rsidP="00C26550">
            <w:pPr>
              <w:rPr>
                <w:rFonts w:asciiTheme="minorHAnsi" w:hAnsiTheme="minorHAnsi"/>
              </w:rPr>
            </w:pPr>
            <w:r w:rsidRPr="001C5F6A">
              <w:rPr>
                <w:rFonts w:asciiTheme="minorHAnsi" w:hAnsiTheme="minorHAnsi"/>
              </w:rPr>
              <w:t>:1997</w:t>
            </w:r>
          </w:p>
        </w:tc>
      </w:tr>
      <w:tr w:rsidR="00A40D5E" w:rsidRPr="001C5F6A" w:rsidTr="00054F0C">
        <w:tc>
          <w:tcPr>
            <w:tcW w:w="496" w:type="dxa"/>
            <w:tcBorders>
              <w:left w:val="single" w:sz="6" w:space="0" w:color="auto"/>
              <w:right w:val="single" w:sz="6" w:space="0" w:color="auto"/>
            </w:tcBorders>
          </w:tcPr>
          <w:p w:rsidR="00A40D5E" w:rsidRPr="001C5F6A" w:rsidRDefault="00A40D5E" w:rsidP="00C26550">
            <w:pPr>
              <w:rPr>
                <w:rFonts w:asciiTheme="minorHAnsi" w:hAnsiTheme="minorHAnsi"/>
              </w:rPr>
            </w:pPr>
          </w:p>
        </w:tc>
        <w:tc>
          <w:tcPr>
            <w:tcW w:w="3402" w:type="dxa"/>
            <w:tcBorders>
              <w:top w:val="single" w:sz="6" w:space="0" w:color="auto"/>
              <w:left w:val="nil"/>
              <w:bottom w:val="single" w:sz="6" w:space="0" w:color="auto"/>
              <w:right w:val="single" w:sz="6" w:space="0" w:color="auto"/>
            </w:tcBorders>
          </w:tcPr>
          <w:p w:rsidR="00A40D5E" w:rsidRPr="001C5F6A" w:rsidRDefault="00A40D5E" w:rsidP="00C26550">
            <w:pPr>
              <w:rPr>
                <w:rFonts w:asciiTheme="minorHAnsi" w:hAnsiTheme="minorHAnsi"/>
              </w:rPr>
            </w:pPr>
            <w:r w:rsidRPr="001C5F6A">
              <w:rPr>
                <w:rFonts w:asciiTheme="minorHAnsi" w:hAnsiTheme="minorHAnsi"/>
              </w:rPr>
              <w:t>szerokość podbudowy</w:t>
            </w:r>
          </w:p>
        </w:tc>
        <w:tc>
          <w:tcPr>
            <w:tcW w:w="1909" w:type="dxa"/>
            <w:tcBorders>
              <w:top w:val="single" w:sz="6" w:space="0" w:color="auto"/>
              <w:left w:val="single" w:sz="6" w:space="0" w:color="auto"/>
              <w:bottom w:val="single" w:sz="6" w:space="0" w:color="auto"/>
              <w:right w:val="single" w:sz="6" w:space="0" w:color="auto"/>
            </w:tcBorders>
          </w:tcPr>
          <w:p w:rsidR="00A40D5E" w:rsidRPr="001C5F6A" w:rsidRDefault="00A40D5E" w:rsidP="00C26550">
            <w:pPr>
              <w:rPr>
                <w:rFonts w:asciiTheme="minorHAnsi" w:hAnsiTheme="minorHAnsi"/>
              </w:rPr>
            </w:pPr>
            <w:r w:rsidRPr="001C5F6A">
              <w:rPr>
                <w:rFonts w:asciiTheme="minorHAnsi" w:hAnsiTheme="minorHAnsi"/>
              </w:rPr>
              <w:t>Wg wskazań Inżyniera</w:t>
            </w:r>
          </w:p>
        </w:tc>
        <w:tc>
          <w:tcPr>
            <w:tcW w:w="1701" w:type="dxa"/>
            <w:tcBorders>
              <w:top w:val="single" w:sz="6" w:space="0" w:color="auto"/>
              <w:left w:val="single" w:sz="6" w:space="0" w:color="auto"/>
              <w:bottom w:val="single" w:sz="6" w:space="0" w:color="auto"/>
              <w:right w:val="single" w:sz="6" w:space="0" w:color="auto"/>
            </w:tcBorders>
          </w:tcPr>
          <w:p w:rsidR="00A40D5E" w:rsidRPr="001C5F6A" w:rsidRDefault="00A40D5E" w:rsidP="00C26550">
            <w:pPr>
              <w:rPr>
                <w:rFonts w:asciiTheme="minorHAnsi" w:hAnsiTheme="minorHAnsi"/>
              </w:rPr>
            </w:pPr>
            <w:r w:rsidRPr="001C5F6A">
              <w:rPr>
                <w:rFonts w:asciiTheme="minorHAnsi" w:hAnsiTheme="minorHAnsi"/>
              </w:rPr>
              <w:t xml:space="preserve">odchyłka szerokości </w:t>
            </w:r>
            <w:r w:rsidRPr="001C5F6A">
              <w:rPr>
                <w:rFonts w:asciiTheme="minorHAnsi" w:hAnsiTheme="minorHAnsi"/>
              </w:rPr>
              <w:sym w:font="Symbol" w:char="F0B1"/>
            </w:r>
            <w:r w:rsidRPr="001C5F6A">
              <w:rPr>
                <w:rFonts w:asciiTheme="minorHAnsi" w:hAnsiTheme="minorHAnsi"/>
              </w:rPr>
              <w:t xml:space="preserve"> 5 cm</w:t>
            </w:r>
          </w:p>
        </w:tc>
      </w:tr>
      <w:tr w:rsidR="00A40D5E" w:rsidRPr="001C5F6A" w:rsidTr="00054F0C">
        <w:tc>
          <w:tcPr>
            <w:tcW w:w="496" w:type="dxa"/>
            <w:tcBorders>
              <w:left w:val="single" w:sz="6" w:space="0" w:color="auto"/>
              <w:right w:val="single" w:sz="6" w:space="0" w:color="auto"/>
            </w:tcBorders>
          </w:tcPr>
          <w:p w:rsidR="00A40D5E" w:rsidRPr="001C5F6A" w:rsidRDefault="00A40D5E" w:rsidP="00C26550">
            <w:pPr>
              <w:rPr>
                <w:rFonts w:asciiTheme="minorHAnsi" w:hAnsiTheme="minorHAnsi"/>
              </w:rPr>
            </w:pPr>
          </w:p>
        </w:tc>
        <w:tc>
          <w:tcPr>
            <w:tcW w:w="3402" w:type="dxa"/>
            <w:tcBorders>
              <w:top w:val="single" w:sz="6" w:space="0" w:color="auto"/>
              <w:left w:val="nil"/>
              <w:bottom w:val="single" w:sz="6" w:space="0" w:color="auto"/>
              <w:right w:val="single" w:sz="6" w:space="0" w:color="auto"/>
            </w:tcBorders>
          </w:tcPr>
          <w:p w:rsidR="00A40D5E" w:rsidRPr="001C5F6A" w:rsidRDefault="00A40D5E" w:rsidP="00C26550">
            <w:pPr>
              <w:rPr>
                <w:rFonts w:asciiTheme="minorHAnsi" w:hAnsiTheme="minorHAnsi"/>
              </w:rPr>
            </w:pPr>
            <w:r w:rsidRPr="001C5F6A">
              <w:rPr>
                <w:rFonts w:asciiTheme="minorHAnsi" w:hAnsiTheme="minorHAnsi"/>
              </w:rPr>
              <w:t>równość w przekroju poprzecznym</w:t>
            </w:r>
          </w:p>
        </w:tc>
        <w:tc>
          <w:tcPr>
            <w:tcW w:w="1909" w:type="dxa"/>
            <w:tcBorders>
              <w:top w:val="single" w:sz="6" w:space="0" w:color="auto"/>
              <w:left w:val="single" w:sz="6" w:space="0" w:color="auto"/>
              <w:bottom w:val="single" w:sz="6" w:space="0" w:color="auto"/>
              <w:right w:val="single" w:sz="6" w:space="0" w:color="auto"/>
            </w:tcBorders>
          </w:tcPr>
          <w:p w:rsidR="00A40D5E" w:rsidRPr="001C5F6A" w:rsidRDefault="00A40D5E" w:rsidP="00C26550">
            <w:pPr>
              <w:rPr>
                <w:rFonts w:asciiTheme="minorHAnsi" w:hAnsiTheme="minorHAnsi"/>
              </w:rPr>
            </w:pPr>
            <w:r w:rsidRPr="001C5F6A">
              <w:rPr>
                <w:rFonts w:asciiTheme="minorHAnsi" w:hAnsiTheme="minorHAnsi"/>
              </w:rPr>
              <w:t>Wg wskazań Inżyniera</w:t>
            </w:r>
          </w:p>
        </w:tc>
        <w:tc>
          <w:tcPr>
            <w:tcW w:w="1701" w:type="dxa"/>
            <w:tcBorders>
              <w:top w:val="single" w:sz="6" w:space="0" w:color="auto"/>
              <w:left w:val="single" w:sz="6" w:space="0" w:color="auto"/>
              <w:bottom w:val="single" w:sz="6" w:space="0" w:color="auto"/>
              <w:right w:val="single" w:sz="6" w:space="0" w:color="auto"/>
            </w:tcBorders>
          </w:tcPr>
          <w:p w:rsidR="00A40D5E" w:rsidRPr="001C5F6A" w:rsidRDefault="00A40D5E" w:rsidP="00C26550">
            <w:pPr>
              <w:rPr>
                <w:rFonts w:asciiTheme="minorHAnsi" w:hAnsiTheme="minorHAnsi"/>
              </w:rPr>
            </w:pPr>
            <w:r w:rsidRPr="001C5F6A">
              <w:rPr>
                <w:rFonts w:asciiTheme="minorHAnsi" w:hAnsiTheme="minorHAnsi"/>
              </w:rPr>
              <w:t>prześwity między łatą a powierzchnią ≤ 12 mm</w:t>
            </w:r>
          </w:p>
        </w:tc>
      </w:tr>
      <w:tr w:rsidR="00A40D5E" w:rsidRPr="001C5F6A" w:rsidTr="00054F0C">
        <w:trPr>
          <w:trHeight w:val="1132"/>
        </w:trPr>
        <w:tc>
          <w:tcPr>
            <w:tcW w:w="496" w:type="dxa"/>
            <w:tcBorders>
              <w:left w:val="single" w:sz="6" w:space="0" w:color="auto"/>
              <w:right w:val="single" w:sz="6" w:space="0" w:color="auto"/>
            </w:tcBorders>
          </w:tcPr>
          <w:p w:rsidR="00A40D5E" w:rsidRPr="001C5F6A" w:rsidRDefault="00A40D5E" w:rsidP="00C26550">
            <w:pPr>
              <w:rPr>
                <w:rFonts w:asciiTheme="minorHAnsi" w:hAnsiTheme="minorHAnsi"/>
              </w:rPr>
            </w:pPr>
          </w:p>
        </w:tc>
        <w:tc>
          <w:tcPr>
            <w:tcW w:w="3402" w:type="dxa"/>
            <w:tcBorders>
              <w:top w:val="single" w:sz="6" w:space="0" w:color="auto"/>
              <w:left w:val="nil"/>
              <w:bottom w:val="single" w:sz="6" w:space="0" w:color="auto"/>
              <w:right w:val="single" w:sz="6" w:space="0" w:color="auto"/>
            </w:tcBorders>
          </w:tcPr>
          <w:p w:rsidR="00A40D5E" w:rsidRPr="001C5F6A" w:rsidRDefault="00A40D5E" w:rsidP="00C26550">
            <w:pPr>
              <w:rPr>
                <w:rFonts w:asciiTheme="minorHAnsi" w:hAnsiTheme="minorHAnsi"/>
              </w:rPr>
            </w:pPr>
            <w:r w:rsidRPr="001C5F6A">
              <w:rPr>
                <w:rFonts w:asciiTheme="minorHAnsi" w:hAnsiTheme="minorHAnsi"/>
              </w:rPr>
              <w:t>spadki poprzeczne</w:t>
            </w:r>
          </w:p>
        </w:tc>
        <w:tc>
          <w:tcPr>
            <w:tcW w:w="1909" w:type="dxa"/>
            <w:tcBorders>
              <w:top w:val="single" w:sz="6" w:space="0" w:color="auto"/>
              <w:left w:val="single" w:sz="6" w:space="0" w:color="auto"/>
              <w:bottom w:val="single" w:sz="6" w:space="0" w:color="auto"/>
              <w:right w:val="single" w:sz="6" w:space="0" w:color="auto"/>
            </w:tcBorders>
          </w:tcPr>
          <w:p w:rsidR="00A40D5E" w:rsidRPr="001C5F6A" w:rsidRDefault="00A40D5E" w:rsidP="00C26550">
            <w:pPr>
              <w:rPr>
                <w:rFonts w:asciiTheme="minorHAnsi" w:hAnsiTheme="minorHAnsi"/>
              </w:rPr>
            </w:pPr>
            <w:r w:rsidRPr="001C5F6A">
              <w:rPr>
                <w:rFonts w:asciiTheme="minorHAnsi" w:hAnsiTheme="minorHAnsi"/>
              </w:rPr>
              <w:t>jw.</w:t>
            </w:r>
          </w:p>
        </w:tc>
        <w:tc>
          <w:tcPr>
            <w:tcW w:w="1701" w:type="dxa"/>
            <w:tcBorders>
              <w:top w:val="single" w:sz="6" w:space="0" w:color="auto"/>
              <w:left w:val="single" w:sz="6" w:space="0" w:color="auto"/>
              <w:bottom w:val="single" w:sz="6" w:space="0" w:color="auto"/>
              <w:right w:val="single" w:sz="6" w:space="0" w:color="auto"/>
            </w:tcBorders>
          </w:tcPr>
          <w:p w:rsidR="00A40D5E" w:rsidRPr="001C5F6A" w:rsidRDefault="00A40D5E" w:rsidP="00C26550">
            <w:pPr>
              <w:rPr>
                <w:rFonts w:asciiTheme="minorHAnsi" w:hAnsiTheme="minorHAnsi"/>
              </w:rPr>
            </w:pPr>
            <w:r w:rsidRPr="001C5F6A">
              <w:rPr>
                <w:rFonts w:asciiTheme="minorHAnsi" w:hAnsiTheme="minorHAnsi"/>
              </w:rPr>
              <w:t xml:space="preserve">odchylenia </w:t>
            </w:r>
            <w:r w:rsidRPr="001C5F6A">
              <w:rPr>
                <w:rFonts w:asciiTheme="minorHAnsi" w:hAnsiTheme="minorHAnsi"/>
              </w:rPr>
              <w:sym w:font="Symbol" w:char="F0B1"/>
            </w:r>
            <w:r w:rsidRPr="001C5F6A">
              <w:rPr>
                <w:rFonts w:asciiTheme="minorHAnsi" w:hAnsiTheme="minorHAnsi"/>
              </w:rPr>
              <w:t xml:space="preserve"> 0,5% spadków zaprojektowanych</w:t>
            </w:r>
          </w:p>
        </w:tc>
      </w:tr>
      <w:tr w:rsidR="00A40D5E" w:rsidRPr="001C5F6A" w:rsidTr="00054F0C">
        <w:tc>
          <w:tcPr>
            <w:tcW w:w="496" w:type="dxa"/>
            <w:tcBorders>
              <w:left w:val="single" w:sz="6" w:space="0" w:color="auto"/>
              <w:right w:val="single" w:sz="6" w:space="0" w:color="auto"/>
            </w:tcBorders>
          </w:tcPr>
          <w:p w:rsidR="00A40D5E" w:rsidRPr="001C5F6A" w:rsidRDefault="00A40D5E" w:rsidP="00C26550">
            <w:pPr>
              <w:rPr>
                <w:rFonts w:asciiTheme="minorHAnsi" w:hAnsiTheme="minorHAnsi"/>
              </w:rPr>
            </w:pPr>
          </w:p>
        </w:tc>
        <w:tc>
          <w:tcPr>
            <w:tcW w:w="3402" w:type="dxa"/>
            <w:tcBorders>
              <w:top w:val="single" w:sz="6" w:space="0" w:color="auto"/>
              <w:left w:val="nil"/>
              <w:bottom w:val="single" w:sz="6" w:space="0" w:color="auto"/>
              <w:right w:val="single" w:sz="6" w:space="0" w:color="auto"/>
            </w:tcBorders>
          </w:tcPr>
          <w:p w:rsidR="00A40D5E" w:rsidRPr="001C5F6A" w:rsidRDefault="00A40D5E" w:rsidP="00C26550">
            <w:pPr>
              <w:rPr>
                <w:rFonts w:asciiTheme="minorHAnsi" w:hAnsiTheme="minorHAnsi"/>
              </w:rPr>
            </w:pPr>
            <w:r w:rsidRPr="001C5F6A">
              <w:rPr>
                <w:rFonts w:asciiTheme="minorHAnsi" w:hAnsiTheme="minorHAnsi"/>
              </w:rPr>
              <w:t>rzędne wysokościowe podbudowy</w:t>
            </w:r>
          </w:p>
        </w:tc>
        <w:tc>
          <w:tcPr>
            <w:tcW w:w="1909" w:type="dxa"/>
            <w:tcBorders>
              <w:top w:val="single" w:sz="6" w:space="0" w:color="auto"/>
              <w:left w:val="single" w:sz="6" w:space="0" w:color="auto"/>
              <w:bottom w:val="single" w:sz="6" w:space="0" w:color="auto"/>
              <w:right w:val="single" w:sz="6" w:space="0" w:color="auto"/>
            </w:tcBorders>
          </w:tcPr>
          <w:p w:rsidR="00A40D5E" w:rsidRPr="001C5F6A" w:rsidRDefault="00A40D5E" w:rsidP="00C26550">
            <w:pPr>
              <w:rPr>
                <w:rFonts w:asciiTheme="minorHAnsi" w:hAnsiTheme="minorHAnsi"/>
              </w:rPr>
            </w:pPr>
            <w:r w:rsidRPr="001C5F6A">
              <w:rPr>
                <w:rFonts w:asciiTheme="minorHAnsi" w:hAnsiTheme="minorHAnsi"/>
              </w:rPr>
              <w:t xml:space="preserve">Wg wskazań Inżyniera </w:t>
            </w:r>
          </w:p>
        </w:tc>
        <w:tc>
          <w:tcPr>
            <w:tcW w:w="1701" w:type="dxa"/>
            <w:tcBorders>
              <w:top w:val="single" w:sz="6" w:space="0" w:color="auto"/>
              <w:left w:val="single" w:sz="6" w:space="0" w:color="auto"/>
              <w:bottom w:val="single" w:sz="6" w:space="0" w:color="auto"/>
              <w:right w:val="single" w:sz="6" w:space="0" w:color="auto"/>
            </w:tcBorders>
          </w:tcPr>
          <w:p w:rsidR="00A40D5E" w:rsidRPr="001C5F6A" w:rsidRDefault="00A40D5E" w:rsidP="00C26550">
            <w:pPr>
              <w:rPr>
                <w:rFonts w:asciiTheme="minorHAnsi" w:hAnsiTheme="minorHAnsi"/>
              </w:rPr>
            </w:pPr>
            <w:r w:rsidRPr="001C5F6A">
              <w:rPr>
                <w:rFonts w:asciiTheme="minorHAnsi" w:hAnsiTheme="minorHAnsi"/>
              </w:rPr>
              <w:t xml:space="preserve">odchylenie </w:t>
            </w:r>
            <w:r w:rsidRPr="001C5F6A">
              <w:rPr>
                <w:rFonts w:asciiTheme="minorHAnsi" w:hAnsiTheme="minorHAnsi"/>
              </w:rPr>
              <w:sym w:font="Symbol" w:char="F0B1"/>
            </w:r>
            <w:r w:rsidRPr="001C5F6A">
              <w:rPr>
                <w:rFonts w:asciiTheme="minorHAnsi" w:hAnsiTheme="minorHAnsi"/>
              </w:rPr>
              <w:t xml:space="preserve"> 10 mm od rzędnych zaprojektowanych</w:t>
            </w:r>
          </w:p>
        </w:tc>
      </w:tr>
      <w:tr w:rsidR="00A40D5E" w:rsidRPr="001C5F6A" w:rsidTr="00054F0C">
        <w:tc>
          <w:tcPr>
            <w:tcW w:w="496" w:type="dxa"/>
            <w:tcBorders>
              <w:left w:val="single" w:sz="6" w:space="0" w:color="auto"/>
              <w:right w:val="single" w:sz="6" w:space="0" w:color="auto"/>
            </w:tcBorders>
          </w:tcPr>
          <w:p w:rsidR="00A40D5E" w:rsidRPr="001C5F6A" w:rsidRDefault="00A40D5E" w:rsidP="00C26550">
            <w:pPr>
              <w:rPr>
                <w:rFonts w:asciiTheme="minorHAnsi" w:hAnsiTheme="minorHAnsi"/>
              </w:rPr>
            </w:pPr>
          </w:p>
        </w:tc>
        <w:tc>
          <w:tcPr>
            <w:tcW w:w="3402" w:type="dxa"/>
            <w:tcBorders>
              <w:top w:val="single" w:sz="6" w:space="0" w:color="auto"/>
              <w:left w:val="nil"/>
              <w:bottom w:val="single" w:sz="6" w:space="0" w:color="auto"/>
              <w:right w:val="single" w:sz="6" w:space="0" w:color="auto"/>
            </w:tcBorders>
          </w:tcPr>
          <w:p w:rsidR="00A40D5E" w:rsidRPr="001C5F6A" w:rsidRDefault="00A40D5E" w:rsidP="00C26550">
            <w:pPr>
              <w:rPr>
                <w:rFonts w:asciiTheme="minorHAnsi" w:hAnsiTheme="minorHAnsi"/>
              </w:rPr>
            </w:pPr>
            <w:r w:rsidRPr="001C5F6A">
              <w:rPr>
                <w:rFonts w:asciiTheme="minorHAnsi" w:hAnsiTheme="minorHAnsi"/>
              </w:rPr>
              <w:t>równość podbudowy w profilu podłużnym (badania planografem lub łatą 4-metrową)</w:t>
            </w:r>
          </w:p>
        </w:tc>
        <w:tc>
          <w:tcPr>
            <w:tcW w:w="1909" w:type="dxa"/>
            <w:tcBorders>
              <w:top w:val="single" w:sz="6" w:space="0" w:color="auto"/>
              <w:left w:val="single" w:sz="6" w:space="0" w:color="auto"/>
              <w:bottom w:val="single" w:sz="6" w:space="0" w:color="auto"/>
              <w:right w:val="single" w:sz="6" w:space="0" w:color="auto"/>
            </w:tcBorders>
          </w:tcPr>
          <w:p w:rsidR="00A40D5E" w:rsidRPr="001C5F6A" w:rsidRDefault="00A40D5E" w:rsidP="00C26550">
            <w:pPr>
              <w:rPr>
                <w:rFonts w:asciiTheme="minorHAnsi" w:hAnsiTheme="minorHAnsi"/>
              </w:rPr>
            </w:pPr>
            <w:r w:rsidRPr="001C5F6A">
              <w:rPr>
                <w:rFonts w:asciiTheme="minorHAnsi" w:hAnsiTheme="minorHAnsi"/>
              </w:rPr>
              <w:t>Wg wskazań Inżyniera</w:t>
            </w:r>
          </w:p>
        </w:tc>
        <w:tc>
          <w:tcPr>
            <w:tcW w:w="1701" w:type="dxa"/>
            <w:tcBorders>
              <w:top w:val="single" w:sz="6" w:space="0" w:color="auto"/>
              <w:left w:val="single" w:sz="6" w:space="0" w:color="auto"/>
              <w:bottom w:val="single" w:sz="6" w:space="0" w:color="auto"/>
              <w:right w:val="single" w:sz="6" w:space="0" w:color="auto"/>
            </w:tcBorders>
          </w:tcPr>
          <w:p w:rsidR="00A40D5E" w:rsidRPr="001C5F6A" w:rsidRDefault="00A40D5E" w:rsidP="00C26550">
            <w:pPr>
              <w:rPr>
                <w:rFonts w:asciiTheme="minorHAnsi" w:hAnsiTheme="minorHAnsi"/>
              </w:rPr>
            </w:pPr>
            <w:r w:rsidRPr="001C5F6A">
              <w:rPr>
                <w:rFonts w:asciiTheme="minorHAnsi" w:hAnsiTheme="minorHAnsi"/>
              </w:rPr>
              <w:t>nierówności           ≤ 12 mm</w:t>
            </w:r>
          </w:p>
        </w:tc>
      </w:tr>
      <w:tr w:rsidR="00A40D5E" w:rsidRPr="001C5F6A" w:rsidTr="00054F0C">
        <w:tc>
          <w:tcPr>
            <w:tcW w:w="496" w:type="dxa"/>
            <w:tcBorders>
              <w:left w:val="single" w:sz="6" w:space="0" w:color="auto"/>
              <w:right w:val="single" w:sz="6" w:space="0" w:color="auto"/>
            </w:tcBorders>
          </w:tcPr>
          <w:p w:rsidR="00A40D5E" w:rsidRPr="001C5F6A" w:rsidRDefault="00A40D5E" w:rsidP="00C26550">
            <w:pPr>
              <w:rPr>
                <w:rFonts w:asciiTheme="minorHAnsi" w:hAnsiTheme="minorHAnsi"/>
              </w:rPr>
            </w:pPr>
          </w:p>
        </w:tc>
        <w:tc>
          <w:tcPr>
            <w:tcW w:w="3402" w:type="dxa"/>
            <w:tcBorders>
              <w:top w:val="single" w:sz="6" w:space="0" w:color="auto"/>
              <w:left w:val="nil"/>
              <w:bottom w:val="single" w:sz="6" w:space="0" w:color="auto"/>
              <w:right w:val="single" w:sz="6" w:space="0" w:color="auto"/>
            </w:tcBorders>
          </w:tcPr>
          <w:p w:rsidR="00A40D5E" w:rsidRPr="001C5F6A" w:rsidRDefault="00A40D5E" w:rsidP="00C26550">
            <w:pPr>
              <w:rPr>
                <w:rFonts w:asciiTheme="minorHAnsi" w:hAnsiTheme="minorHAnsi"/>
              </w:rPr>
            </w:pPr>
            <w:r w:rsidRPr="001C5F6A">
              <w:rPr>
                <w:rFonts w:asciiTheme="minorHAnsi" w:hAnsiTheme="minorHAnsi"/>
              </w:rPr>
              <w:t>wytrzymałość betonu w podbudowie (metodą nieniszczącą lub na próbkach wyciętych)</w:t>
            </w:r>
          </w:p>
        </w:tc>
        <w:tc>
          <w:tcPr>
            <w:tcW w:w="1909" w:type="dxa"/>
            <w:tcBorders>
              <w:top w:val="single" w:sz="6" w:space="0" w:color="auto"/>
              <w:left w:val="single" w:sz="6" w:space="0" w:color="auto"/>
              <w:bottom w:val="single" w:sz="6" w:space="0" w:color="auto"/>
              <w:right w:val="single" w:sz="6" w:space="0" w:color="auto"/>
            </w:tcBorders>
          </w:tcPr>
          <w:p w:rsidR="00A40D5E" w:rsidRPr="001C5F6A" w:rsidRDefault="00A40D5E" w:rsidP="00C26550">
            <w:pPr>
              <w:rPr>
                <w:rFonts w:asciiTheme="minorHAnsi" w:hAnsiTheme="minorHAnsi"/>
              </w:rPr>
            </w:pPr>
            <w:r w:rsidRPr="001C5F6A">
              <w:rPr>
                <w:rFonts w:asciiTheme="minorHAnsi" w:hAnsiTheme="minorHAnsi"/>
              </w:rPr>
              <w:t>Wg wskazań Inżyniera</w:t>
            </w:r>
          </w:p>
        </w:tc>
        <w:tc>
          <w:tcPr>
            <w:tcW w:w="1701" w:type="dxa"/>
            <w:tcBorders>
              <w:top w:val="single" w:sz="6" w:space="0" w:color="auto"/>
              <w:left w:val="single" w:sz="6" w:space="0" w:color="auto"/>
              <w:bottom w:val="single" w:sz="6" w:space="0" w:color="auto"/>
              <w:right w:val="single" w:sz="6" w:space="0" w:color="auto"/>
            </w:tcBorders>
          </w:tcPr>
          <w:p w:rsidR="00A40D5E" w:rsidRPr="001C5F6A" w:rsidRDefault="00A40D5E" w:rsidP="00C26550">
            <w:pPr>
              <w:rPr>
                <w:rFonts w:asciiTheme="minorHAnsi" w:hAnsiTheme="minorHAnsi"/>
              </w:rPr>
            </w:pPr>
            <w:r w:rsidRPr="001C5F6A">
              <w:rPr>
                <w:rFonts w:asciiTheme="minorHAnsi" w:hAnsiTheme="minorHAnsi"/>
              </w:rPr>
              <w:t>wg PN-S-96014</w:t>
            </w:r>
          </w:p>
          <w:p w:rsidR="00A40D5E" w:rsidRPr="001C5F6A" w:rsidRDefault="00A40D5E" w:rsidP="00C26550">
            <w:pPr>
              <w:rPr>
                <w:rFonts w:asciiTheme="minorHAnsi" w:hAnsiTheme="minorHAnsi"/>
              </w:rPr>
            </w:pPr>
            <w:r w:rsidRPr="001C5F6A">
              <w:rPr>
                <w:rFonts w:asciiTheme="minorHAnsi" w:hAnsiTheme="minorHAnsi"/>
              </w:rPr>
              <w:t>:1997 [10]</w:t>
            </w:r>
          </w:p>
        </w:tc>
      </w:tr>
      <w:tr w:rsidR="00A40D5E" w:rsidRPr="001C5F6A" w:rsidTr="00054F0C">
        <w:tc>
          <w:tcPr>
            <w:tcW w:w="496" w:type="dxa"/>
            <w:tcBorders>
              <w:top w:val="single" w:sz="6" w:space="0" w:color="auto"/>
              <w:left w:val="single" w:sz="6" w:space="0" w:color="auto"/>
              <w:bottom w:val="single" w:sz="6" w:space="0" w:color="auto"/>
              <w:right w:val="single" w:sz="6" w:space="0" w:color="auto"/>
            </w:tcBorders>
          </w:tcPr>
          <w:p w:rsidR="00A40D5E" w:rsidRPr="001C5F6A" w:rsidRDefault="00A40D5E" w:rsidP="00C26550">
            <w:pPr>
              <w:rPr>
                <w:rFonts w:asciiTheme="minorHAnsi" w:hAnsiTheme="minorHAnsi"/>
              </w:rPr>
            </w:pPr>
          </w:p>
        </w:tc>
        <w:tc>
          <w:tcPr>
            <w:tcW w:w="3402" w:type="dxa"/>
            <w:tcBorders>
              <w:top w:val="single" w:sz="6" w:space="0" w:color="auto"/>
              <w:left w:val="nil"/>
              <w:bottom w:val="single" w:sz="6" w:space="0" w:color="auto"/>
              <w:right w:val="single" w:sz="6" w:space="0" w:color="auto"/>
            </w:tcBorders>
          </w:tcPr>
          <w:p w:rsidR="00A40D5E" w:rsidRPr="001C5F6A" w:rsidRDefault="00A40D5E" w:rsidP="00C26550">
            <w:pPr>
              <w:rPr>
                <w:rFonts w:asciiTheme="minorHAnsi" w:hAnsiTheme="minorHAnsi"/>
              </w:rPr>
            </w:pPr>
            <w:r w:rsidRPr="001C5F6A">
              <w:rPr>
                <w:rFonts w:asciiTheme="minorHAnsi" w:hAnsiTheme="minorHAnsi"/>
              </w:rPr>
              <w:t>rozmieszczenie i wypełnienie szczelin</w:t>
            </w:r>
          </w:p>
        </w:tc>
        <w:tc>
          <w:tcPr>
            <w:tcW w:w="1909" w:type="dxa"/>
            <w:tcBorders>
              <w:top w:val="single" w:sz="6" w:space="0" w:color="auto"/>
              <w:left w:val="single" w:sz="6" w:space="0" w:color="auto"/>
              <w:bottom w:val="single" w:sz="6" w:space="0" w:color="auto"/>
              <w:right w:val="single" w:sz="6" w:space="0" w:color="auto"/>
            </w:tcBorders>
          </w:tcPr>
          <w:p w:rsidR="00A40D5E" w:rsidRPr="001C5F6A" w:rsidRDefault="00A40D5E" w:rsidP="00C26550">
            <w:pPr>
              <w:rPr>
                <w:rFonts w:asciiTheme="minorHAnsi" w:hAnsiTheme="minorHAnsi"/>
              </w:rPr>
            </w:pPr>
            <w:r w:rsidRPr="001C5F6A">
              <w:rPr>
                <w:rFonts w:asciiTheme="minorHAnsi" w:hAnsiTheme="minorHAnsi"/>
              </w:rPr>
              <w:t>Wg wskazań Inżyniera</w:t>
            </w:r>
          </w:p>
        </w:tc>
        <w:tc>
          <w:tcPr>
            <w:tcW w:w="1701" w:type="dxa"/>
            <w:tcBorders>
              <w:top w:val="single" w:sz="6" w:space="0" w:color="auto"/>
              <w:left w:val="single" w:sz="6" w:space="0" w:color="auto"/>
              <w:bottom w:val="single" w:sz="6" w:space="0" w:color="auto"/>
              <w:right w:val="single" w:sz="6" w:space="0" w:color="auto"/>
            </w:tcBorders>
          </w:tcPr>
          <w:p w:rsidR="00A40D5E" w:rsidRPr="001C5F6A" w:rsidRDefault="00A40D5E" w:rsidP="00C26550">
            <w:pPr>
              <w:rPr>
                <w:rFonts w:asciiTheme="minorHAnsi" w:hAnsiTheme="minorHAnsi"/>
              </w:rPr>
            </w:pPr>
            <w:r w:rsidRPr="001C5F6A">
              <w:rPr>
                <w:rFonts w:asciiTheme="minorHAnsi" w:hAnsiTheme="minorHAnsi"/>
              </w:rPr>
              <w:t>oględziny zgodności z dokumentacją projektową</w:t>
            </w:r>
          </w:p>
        </w:tc>
      </w:tr>
    </w:tbl>
    <w:p w:rsidR="00A40D5E" w:rsidRPr="001C5F6A" w:rsidRDefault="00A40D5E" w:rsidP="00A40D5E">
      <w:pPr>
        <w:rPr>
          <w:rFonts w:asciiTheme="minorHAnsi" w:hAnsiTheme="minorHAnsi"/>
        </w:rPr>
      </w:pPr>
      <w:bookmarkStart w:id="1421" w:name="_Toc63568303"/>
      <w:bookmarkStart w:id="1422" w:name="_Toc73770661"/>
      <w:bookmarkStart w:id="1423" w:name="_Toc113935593"/>
    </w:p>
    <w:p w:rsidR="00A40D5E" w:rsidRPr="001C5F6A" w:rsidRDefault="00A40D5E" w:rsidP="00A40D5E">
      <w:pPr>
        <w:rPr>
          <w:rFonts w:asciiTheme="minorHAnsi" w:hAnsiTheme="minorHAnsi"/>
          <w:b/>
        </w:rPr>
      </w:pPr>
      <w:r w:rsidRPr="001C5F6A">
        <w:rPr>
          <w:rFonts w:asciiTheme="minorHAnsi" w:hAnsiTheme="minorHAnsi"/>
          <w:b/>
        </w:rPr>
        <w:t>7. OBMIAR ROBÓT</w:t>
      </w:r>
      <w:bookmarkEnd w:id="1421"/>
      <w:bookmarkEnd w:id="1422"/>
      <w:bookmarkEnd w:id="1423"/>
    </w:p>
    <w:p w:rsidR="00A40D5E" w:rsidRPr="001C5F6A" w:rsidRDefault="00A40D5E" w:rsidP="00A40D5E">
      <w:pPr>
        <w:rPr>
          <w:rFonts w:asciiTheme="minorHAnsi" w:hAnsiTheme="minorHAnsi"/>
        </w:rPr>
      </w:pPr>
      <w:r w:rsidRPr="001C5F6A">
        <w:rPr>
          <w:rFonts w:asciiTheme="minorHAnsi" w:hAnsiTheme="minorHAnsi"/>
          <w:b/>
        </w:rPr>
        <w:t>7.1.</w:t>
      </w:r>
      <w:r w:rsidRPr="001C5F6A">
        <w:rPr>
          <w:rFonts w:asciiTheme="minorHAnsi" w:hAnsiTheme="minorHAnsi"/>
        </w:rPr>
        <w:t xml:space="preserve"> Ogólne zasady obmiaru robót</w:t>
      </w:r>
    </w:p>
    <w:p w:rsidR="00A40D5E" w:rsidRPr="001C5F6A" w:rsidRDefault="00A40D5E" w:rsidP="00A40D5E">
      <w:pPr>
        <w:rPr>
          <w:rFonts w:asciiTheme="minorHAnsi" w:hAnsiTheme="minorHAnsi"/>
        </w:rPr>
      </w:pPr>
      <w:r w:rsidRPr="001C5F6A">
        <w:rPr>
          <w:rFonts w:asciiTheme="minorHAnsi" w:hAnsiTheme="minorHAnsi"/>
        </w:rPr>
        <w:tab/>
        <w:t>Ogólne zasady obmiaru robót podano w ST  D-M-00.00.00 „Wymagania ogólne” pkt 7.</w:t>
      </w:r>
    </w:p>
    <w:p w:rsidR="00A40D5E" w:rsidRPr="001C5F6A" w:rsidRDefault="00A40D5E" w:rsidP="00A40D5E">
      <w:pPr>
        <w:rPr>
          <w:rFonts w:asciiTheme="minorHAnsi" w:hAnsiTheme="minorHAnsi"/>
        </w:rPr>
      </w:pPr>
      <w:r w:rsidRPr="001C5F6A">
        <w:rPr>
          <w:rFonts w:asciiTheme="minorHAnsi" w:hAnsiTheme="minorHAnsi"/>
          <w:b/>
        </w:rPr>
        <w:t>7.2.</w:t>
      </w:r>
      <w:r w:rsidRPr="001C5F6A">
        <w:rPr>
          <w:rFonts w:asciiTheme="minorHAnsi" w:hAnsiTheme="minorHAnsi"/>
        </w:rPr>
        <w:t xml:space="preserve"> Jednostka obmiarowa</w:t>
      </w:r>
    </w:p>
    <w:p w:rsidR="00A40D5E" w:rsidRPr="001C5F6A" w:rsidRDefault="00A40D5E" w:rsidP="00A40D5E">
      <w:pPr>
        <w:rPr>
          <w:rFonts w:asciiTheme="minorHAnsi" w:hAnsiTheme="minorHAnsi"/>
        </w:rPr>
      </w:pPr>
      <w:r w:rsidRPr="001C5F6A">
        <w:rPr>
          <w:rFonts w:asciiTheme="minorHAnsi" w:hAnsiTheme="minorHAnsi"/>
        </w:rPr>
        <w:tab/>
        <w:t>Jednostką obmiarową jest 1 m2 (metr kwadratowy) wykonanej podbudowy.</w:t>
      </w:r>
    </w:p>
    <w:p w:rsidR="00A40D5E" w:rsidRPr="001C5F6A" w:rsidRDefault="00A40D5E" w:rsidP="00A40D5E">
      <w:pPr>
        <w:rPr>
          <w:rFonts w:asciiTheme="minorHAnsi" w:hAnsiTheme="minorHAnsi"/>
        </w:rPr>
      </w:pPr>
    </w:p>
    <w:p w:rsidR="00A40D5E" w:rsidRPr="001C5F6A" w:rsidRDefault="00A40D5E" w:rsidP="00A40D5E">
      <w:pPr>
        <w:rPr>
          <w:rFonts w:asciiTheme="minorHAnsi" w:hAnsiTheme="minorHAnsi"/>
          <w:b/>
        </w:rPr>
      </w:pPr>
      <w:bookmarkStart w:id="1424" w:name="_Toc25041749"/>
      <w:bookmarkStart w:id="1425" w:name="_Toc79371978"/>
      <w:bookmarkStart w:id="1426" w:name="_Toc84648748"/>
      <w:bookmarkStart w:id="1427" w:name="_Toc84822932"/>
      <w:bookmarkStart w:id="1428" w:name="_Toc85259365"/>
      <w:bookmarkStart w:id="1429" w:name="_Toc90274380"/>
      <w:bookmarkStart w:id="1430" w:name="_Toc92608249"/>
      <w:bookmarkStart w:id="1431" w:name="_Toc113935594"/>
      <w:r w:rsidRPr="001C5F6A">
        <w:rPr>
          <w:rFonts w:asciiTheme="minorHAnsi" w:hAnsiTheme="minorHAnsi"/>
          <w:b/>
        </w:rPr>
        <w:t xml:space="preserve">8. </w:t>
      </w:r>
      <w:bookmarkEnd w:id="1424"/>
      <w:bookmarkEnd w:id="1425"/>
      <w:bookmarkEnd w:id="1426"/>
      <w:bookmarkEnd w:id="1427"/>
      <w:bookmarkEnd w:id="1428"/>
      <w:bookmarkEnd w:id="1429"/>
      <w:bookmarkEnd w:id="1430"/>
      <w:bookmarkEnd w:id="1431"/>
      <w:r w:rsidRPr="001C5F6A">
        <w:rPr>
          <w:rFonts w:asciiTheme="minorHAnsi" w:hAnsiTheme="minorHAnsi"/>
          <w:b/>
        </w:rPr>
        <w:t>ODBIÓR ROBÓT</w:t>
      </w:r>
    </w:p>
    <w:p w:rsidR="00A40D5E" w:rsidRPr="001C5F6A" w:rsidRDefault="00A40D5E" w:rsidP="00A40D5E">
      <w:pPr>
        <w:rPr>
          <w:rFonts w:asciiTheme="minorHAnsi" w:hAnsiTheme="minorHAnsi"/>
        </w:rPr>
      </w:pPr>
      <w:r w:rsidRPr="001C5F6A">
        <w:rPr>
          <w:rFonts w:asciiTheme="minorHAnsi" w:hAnsiTheme="minorHAnsi"/>
          <w:b/>
        </w:rPr>
        <w:t>8.1.</w:t>
      </w:r>
      <w:r w:rsidRPr="001C5F6A">
        <w:rPr>
          <w:rFonts w:asciiTheme="minorHAnsi" w:hAnsiTheme="minorHAnsi"/>
        </w:rPr>
        <w:t xml:space="preserve"> Ogólne zasady odbioru robót</w:t>
      </w:r>
    </w:p>
    <w:p w:rsidR="00A40D5E" w:rsidRPr="001C5F6A" w:rsidRDefault="00A40D5E" w:rsidP="00A40D5E">
      <w:pPr>
        <w:rPr>
          <w:rFonts w:asciiTheme="minorHAnsi" w:hAnsiTheme="minorHAnsi"/>
        </w:rPr>
      </w:pPr>
      <w:r w:rsidRPr="001C5F6A">
        <w:rPr>
          <w:rFonts w:asciiTheme="minorHAnsi" w:hAnsiTheme="minorHAnsi"/>
        </w:rPr>
        <w:tab/>
        <w:t>Ogólne zasady odbioru robót podano w ST D-M-00.00.00 „Wymagania ogólne” pkt 8.</w:t>
      </w:r>
    </w:p>
    <w:p w:rsidR="00A40D5E" w:rsidRPr="001C5F6A" w:rsidRDefault="00A40D5E" w:rsidP="00A40D5E">
      <w:pPr>
        <w:rPr>
          <w:rFonts w:asciiTheme="minorHAnsi" w:hAnsiTheme="minorHAnsi"/>
        </w:rPr>
      </w:pPr>
      <w:r w:rsidRPr="001C5F6A">
        <w:rPr>
          <w:rFonts w:asciiTheme="minorHAnsi" w:hAnsiTheme="minorHAnsi"/>
        </w:rPr>
        <w:tab/>
        <w:t>Roboty uznaje się za wykonane zgodnie z dokumentacją projektową, ST i wymaganiami Inżyniera, jeżeli wszystkie pomiary i badania z zachowaniem tolerancji według pktu 6 dały wyniki pozytywne.</w:t>
      </w:r>
    </w:p>
    <w:p w:rsidR="00A40D5E" w:rsidRPr="001C5F6A" w:rsidRDefault="00A40D5E" w:rsidP="00A40D5E">
      <w:pPr>
        <w:rPr>
          <w:rFonts w:asciiTheme="minorHAnsi" w:hAnsiTheme="minorHAnsi"/>
        </w:rPr>
      </w:pPr>
      <w:r w:rsidRPr="001C5F6A">
        <w:rPr>
          <w:rFonts w:asciiTheme="minorHAnsi" w:hAnsiTheme="minorHAnsi"/>
          <w:b/>
        </w:rPr>
        <w:t>8.2.</w:t>
      </w:r>
      <w:r w:rsidRPr="001C5F6A">
        <w:rPr>
          <w:rFonts w:asciiTheme="minorHAnsi" w:hAnsiTheme="minorHAnsi"/>
        </w:rPr>
        <w:t xml:space="preserve"> Odbiór robót zanikających i ulegających zakryciu</w:t>
      </w:r>
    </w:p>
    <w:p w:rsidR="00A40D5E" w:rsidRPr="001C5F6A" w:rsidRDefault="00A40D5E" w:rsidP="00A40D5E">
      <w:pPr>
        <w:rPr>
          <w:rFonts w:asciiTheme="minorHAnsi" w:hAnsiTheme="minorHAnsi"/>
        </w:rPr>
      </w:pPr>
      <w:r w:rsidRPr="001C5F6A">
        <w:rPr>
          <w:rFonts w:asciiTheme="minorHAnsi" w:hAnsiTheme="minorHAnsi"/>
        </w:rPr>
        <w:tab/>
        <w:t>Odbiorowi robót zanikających i ulegających zakryciu podlegają:</w:t>
      </w:r>
    </w:p>
    <w:p w:rsidR="00A40D5E" w:rsidRPr="001C5F6A" w:rsidRDefault="00A40D5E" w:rsidP="00A40D5E">
      <w:pPr>
        <w:rPr>
          <w:rFonts w:asciiTheme="minorHAnsi" w:hAnsiTheme="minorHAnsi"/>
        </w:rPr>
      </w:pPr>
      <w:r w:rsidRPr="001C5F6A">
        <w:rPr>
          <w:rFonts w:asciiTheme="minorHAnsi" w:hAnsiTheme="minorHAnsi"/>
        </w:rPr>
        <w:t>przygotowanie podłoża,</w:t>
      </w:r>
    </w:p>
    <w:p w:rsidR="00A40D5E" w:rsidRPr="001C5F6A" w:rsidRDefault="00A40D5E" w:rsidP="00A40D5E">
      <w:pPr>
        <w:rPr>
          <w:rFonts w:asciiTheme="minorHAnsi" w:hAnsiTheme="minorHAnsi"/>
        </w:rPr>
      </w:pPr>
      <w:r w:rsidRPr="001C5F6A">
        <w:rPr>
          <w:rFonts w:asciiTheme="minorHAnsi" w:hAnsiTheme="minorHAnsi"/>
        </w:rPr>
        <w:t>wykonanie podbudowy pomocniczej.</w:t>
      </w:r>
    </w:p>
    <w:p w:rsidR="00A40D5E" w:rsidRPr="001C5F6A" w:rsidRDefault="00A40D5E" w:rsidP="00A40D5E">
      <w:pPr>
        <w:rPr>
          <w:rFonts w:asciiTheme="minorHAnsi" w:hAnsiTheme="minorHAnsi"/>
        </w:rPr>
      </w:pPr>
      <w:r w:rsidRPr="001C5F6A">
        <w:rPr>
          <w:rFonts w:asciiTheme="minorHAnsi" w:hAnsiTheme="minorHAnsi"/>
        </w:rPr>
        <w:tab/>
        <w:t>Odbiór tych robót powinien być zgodny z wymaganiami pktu 8.2 D-M-00.00.00 „Wymagania ogólne” oraz niniejszej ST.</w:t>
      </w:r>
    </w:p>
    <w:p w:rsidR="00A40D5E" w:rsidRPr="001C5F6A" w:rsidRDefault="00A40D5E" w:rsidP="00A40D5E">
      <w:pPr>
        <w:rPr>
          <w:rFonts w:asciiTheme="minorHAnsi" w:hAnsiTheme="minorHAnsi"/>
        </w:rPr>
      </w:pPr>
    </w:p>
    <w:p w:rsidR="00A40D5E" w:rsidRPr="001C5F6A" w:rsidRDefault="00A40D5E" w:rsidP="00A40D5E">
      <w:pPr>
        <w:rPr>
          <w:rFonts w:asciiTheme="minorHAnsi" w:hAnsiTheme="minorHAnsi"/>
          <w:b/>
        </w:rPr>
      </w:pPr>
      <w:bookmarkStart w:id="1432" w:name="_Toc25041750"/>
      <w:bookmarkStart w:id="1433" w:name="_Toc79371979"/>
      <w:bookmarkStart w:id="1434" w:name="_Toc84648749"/>
      <w:bookmarkStart w:id="1435" w:name="_Toc84822933"/>
      <w:bookmarkStart w:id="1436" w:name="_Toc85259366"/>
      <w:bookmarkStart w:id="1437" w:name="_Toc90274381"/>
      <w:bookmarkStart w:id="1438" w:name="_Toc92608250"/>
      <w:bookmarkStart w:id="1439" w:name="_Toc113935595"/>
      <w:r w:rsidRPr="001C5F6A">
        <w:rPr>
          <w:rFonts w:asciiTheme="minorHAnsi" w:hAnsiTheme="minorHAnsi"/>
          <w:b/>
        </w:rPr>
        <w:t xml:space="preserve">9. </w:t>
      </w:r>
      <w:bookmarkEnd w:id="1432"/>
      <w:bookmarkEnd w:id="1433"/>
      <w:bookmarkEnd w:id="1434"/>
      <w:bookmarkEnd w:id="1435"/>
      <w:bookmarkEnd w:id="1436"/>
      <w:bookmarkEnd w:id="1437"/>
      <w:bookmarkEnd w:id="1438"/>
      <w:bookmarkEnd w:id="1439"/>
      <w:r w:rsidRPr="001C5F6A">
        <w:rPr>
          <w:rFonts w:asciiTheme="minorHAnsi" w:hAnsiTheme="minorHAnsi"/>
          <w:b/>
        </w:rPr>
        <w:t>PODSTAWA PŁATNOŚCI</w:t>
      </w:r>
    </w:p>
    <w:p w:rsidR="00A40D5E" w:rsidRPr="001C5F6A" w:rsidRDefault="00A40D5E" w:rsidP="00A40D5E">
      <w:pPr>
        <w:rPr>
          <w:rFonts w:asciiTheme="minorHAnsi" w:hAnsiTheme="minorHAnsi"/>
        </w:rPr>
      </w:pPr>
      <w:r w:rsidRPr="001C5F6A">
        <w:rPr>
          <w:rFonts w:asciiTheme="minorHAnsi" w:hAnsiTheme="minorHAnsi"/>
          <w:b/>
        </w:rPr>
        <w:t>9.1.</w:t>
      </w:r>
      <w:r w:rsidRPr="001C5F6A">
        <w:rPr>
          <w:rFonts w:asciiTheme="minorHAnsi" w:hAnsiTheme="minorHAnsi"/>
        </w:rPr>
        <w:t xml:space="preserve"> Ogólne ustalenia dotyczące podstawy płatności</w:t>
      </w:r>
    </w:p>
    <w:p w:rsidR="00A40D5E" w:rsidRPr="001C5F6A" w:rsidRDefault="00A40D5E" w:rsidP="00A40D5E">
      <w:pPr>
        <w:rPr>
          <w:rFonts w:asciiTheme="minorHAnsi" w:hAnsiTheme="minorHAnsi"/>
        </w:rPr>
      </w:pPr>
      <w:r w:rsidRPr="001C5F6A">
        <w:rPr>
          <w:rFonts w:asciiTheme="minorHAnsi" w:hAnsiTheme="minorHAnsi"/>
        </w:rPr>
        <w:tab/>
        <w:t>Ogólne ustalenia dotyczące podstawy płatności podano w ST D-M-00.00.00 „Wymagania ogólne” pkt 9.</w:t>
      </w:r>
    </w:p>
    <w:p w:rsidR="00A40D5E" w:rsidRPr="001C5F6A" w:rsidRDefault="00A40D5E" w:rsidP="00A40D5E">
      <w:pPr>
        <w:rPr>
          <w:rFonts w:asciiTheme="minorHAnsi" w:hAnsiTheme="minorHAnsi"/>
        </w:rPr>
      </w:pPr>
      <w:r w:rsidRPr="001C5F6A">
        <w:rPr>
          <w:rFonts w:asciiTheme="minorHAnsi" w:hAnsiTheme="minorHAnsi"/>
          <w:b/>
        </w:rPr>
        <w:t>9.2.</w:t>
      </w:r>
      <w:r w:rsidRPr="001C5F6A">
        <w:rPr>
          <w:rFonts w:asciiTheme="minorHAnsi" w:hAnsiTheme="minorHAnsi"/>
        </w:rPr>
        <w:t xml:space="preserve"> Cena jednostki obmiarowej</w:t>
      </w:r>
    </w:p>
    <w:p w:rsidR="00A40D5E" w:rsidRPr="001C5F6A" w:rsidRDefault="00A40D5E" w:rsidP="00A40D5E">
      <w:pPr>
        <w:rPr>
          <w:rFonts w:asciiTheme="minorHAnsi" w:hAnsiTheme="minorHAnsi"/>
        </w:rPr>
      </w:pPr>
      <w:r w:rsidRPr="001C5F6A">
        <w:rPr>
          <w:rFonts w:asciiTheme="minorHAnsi" w:hAnsiTheme="minorHAnsi"/>
        </w:rPr>
        <w:tab/>
        <w:t>Cena wykonania 1 m2 podbudowy z betonu cementowego obejmuje:</w:t>
      </w:r>
    </w:p>
    <w:p w:rsidR="00A40D5E" w:rsidRPr="001C5F6A" w:rsidRDefault="00054F0C" w:rsidP="00A40D5E">
      <w:pPr>
        <w:rPr>
          <w:rFonts w:asciiTheme="minorHAnsi" w:hAnsiTheme="minorHAnsi"/>
        </w:rPr>
      </w:pPr>
      <w:r>
        <w:rPr>
          <w:rFonts w:asciiTheme="minorHAnsi" w:hAnsiTheme="minorHAnsi"/>
        </w:rPr>
        <w:t>-</w:t>
      </w:r>
      <w:r w:rsidR="00A40D5E" w:rsidRPr="001C5F6A">
        <w:rPr>
          <w:rFonts w:asciiTheme="minorHAnsi" w:hAnsiTheme="minorHAnsi"/>
        </w:rPr>
        <w:t>prace pomiarowe i roboty przygotowawcze,</w:t>
      </w:r>
    </w:p>
    <w:p w:rsidR="00A40D5E" w:rsidRPr="001C5F6A" w:rsidRDefault="00054F0C" w:rsidP="00A40D5E">
      <w:pPr>
        <w:rPr>
          <w:rFonts w:asciiTheme="minorHAnsi" w:hAnsiTheme="minorHAnsi"/>
        </w:rPr>
      </w:pPr>
      <w:r>
        <w:rPr>
          <w:rFonts w:asciiTheme="minorHAnsi" w:hAnsiTheme="minorHAnsi"/>
        </w:rPr>
        <w:t>-</w:t>
      </w:r>
      <w:r w:rsidR="00A40D5E" w:rsidRPr="001C5F6A">
        <w:rPr>
          <w:rFonts w:asciiTheme="minorHAnsi" w:hAnsiTheme="minorHAnsi"/>
        </w:rPr>
        <w:t>oznakowanie robót,</w:t>
      </w:r>
    </w:p>
    <w:p w:rsidR="00A40D5E" w:rsidRPr="001C5F6A" w:rsidRDefault="00054F0C" w:rsidP="00A40D5E">
      <w:pPr>
        <w:rPr>
          <w:rFonts w:asciiTheme="minorHAnsi" w:hAnsiTheme="minorHAnsi"/>
        </w:rPr>
      </w:pPr>
      <w:r>
        <w:rPr>
          <w:rFonts w:asciiTheme="minorHAnsi" w:hAnsiTheme="minorHAnsi"/>
        </w:rPr>
        <w:t>-</w:t>
      </w:r>
      <w:r w:rsidR="00A40D5E" w:rsidRPr="001C5F6A">
        <w:rPr>
          <w:rFonts w:asciiTheme="minorHAnsi" w:hAnsiTheme="minorHAnsi"/>
        </w:rPr>
        <w:t>przygotowanie podłoża,</w:t>
      </w:r>
    </w:p>
    <w:p w:rsidR="00A40D5E" w:rsidRPr="001C5F6A" w:rsidRDefault="00054F0C" w:rsidP="00A40D5E">
      <w:pPr>
        <w:rPr>
          <w:rFonts w:asciiTheme="minorHAnsi" w:hAnsiTheme="minorHAnsi"/>
        </w:rPr>
      </w:pPr>
      <w:r>
        <w:rPr>
          <w:rFonts w:asciiTheme="minorHAnsi" w:hAnsiTheme="minorHAnsi"/>
        </w:rPr>
        <w:t>-</w:t>
      </w:r>
      <w:r w:rsidR="00A40D5E" w:rsidRPr="001C5F6A">
        <w:rPr>
          <w:rFonts w:asciiTheme="minorHAnsi" w:hAnsiTheme="minorHAnsi"/>
        </w:rPr>
        <w:t>dostarczenie materiałów i sprzętu,</w:t>
      </w:r>
    </w:p>
    <w:p w:rsidR="00A40D5E" w:rsidRPr="001C5F6A" w:rsidRDefault="00054F0C" w:rsidP="00A40D5E">
      <w:pPr>
        <w:rPr>
          <w:rFonts w:asciiTheme="minorHAnsi" w:hAnsiTheme="minorHAnsi"/>
        </w:rPr>
      </w:pPr>
      <w:r>
        <w:rPr>
          <w:rFonts w:asciiTheme="minorHAnsi" w:hAnsiTheme="minorHAnsi"/>
        </w:rPr>
        <w:t>-</w:t>
      </w:r>
      <w:r w:rsidR="00A40D5E" w:rsidRPr="001C5F6A">
        <w:rPr>
          <w:rFonts w:asciiTheme="minorHAnsi" w:hAnsiTheme="minorHAnsi"/>
        </w:rPr>
        <w:t>wykonanie podbudowy z betonu cementowego według wymagań specyfikacji technicznej,</w:t>
      </w:r>
    </w:p>
    <w:p w:rsidR="00A40D5E" w:rsidRPr="001C5F6A" w:rsidRDefault="00054F0C" w:rsidP="00A40D5E">
      <w:pPr>
        <w:rPr>
          <w:rFonts w:asciiTheme="minorHAnsi" w:hAnsiTheme="minorHAnsi"/>
        </w:rPr>
      </w:pPr>
      <w:r>
        <w:rPr>
          <w:rFonts w:asciiTheme="minorHAnsi" w:hAnsiTheme="minorHAnsi"/>
        </w:rPr>
        <w:t>-</w:t>
      </w:r>
      <w:r w:rsidR="00A40D5E" w:rsidRPr="001C5F6A">
        <w:rPr>
          <w:rFonts w:asciiTheme="minorHAnsi" w:hAnsiTheme="minorHAnsi"/>
        </w:rPr>
        <w:t>przeprowadzenie pomiarów i badań  wymaganych w niniejszej specyfikacji technicznej,</w:t>
      </w:r>
    </w:p>
    <w:p w:rsidR="00A40D5E" w:rsidRPr="001C5F6A" w:rsidRDefault="00054F0C" w:rsidP="00A40D5E">
      <w:pPr>
        <w:rPr>
          <w:rFonts w:asciiTheme="minorHAnsi" w:hAnsiTheme="minorHAnsi"/>
        </w:rPr>
      </w:pPr>
      <w:r>
        <w:rPr>
          <w:rFonts w:asciiTheme="minorHAnsi" w:hAnsiTheme="minorHAnsi"/>
        </w:rPr>
        <w:t>-</w:t>
      </w:r>
      <w:r w:rsidR="00A40D5E" w:rsidRPr="001C5F6A">
        <w:rPr>
          <w:rFonts w:asciiTheme="minorHAnsi" w:hAnsiTheme="minorHAnsi"/>
        </w:rPr>
        <w:t>odwiezienie sprzętu.</w:t>
      </w:r>
    </w:p>
    <w:p w:rsidR="00A40D5E" w:rsidRPr="001C5F6A" w:rsidRDefault="00A40D5E" w:rsidP="00A40D5E">
      <w:pPr>
        <w:rPr>
          <w:rFonts w:asciiTheme="minorHAnsi" w:hAnsiTheme="minorHAnsi"/>
        </w:rPr>
      </w:pPr>
      <w:r w:rsidRPr="001C5F6A">
        <w:rPr>
          <w:rFonts w:asciiTheme="minorHAnsi" w:hAnsiTheme="minorHAnsi"/>
          <w:b/>
        </w:rPr>
        <w:t>9.3.</w:t>
      </w:r>
      <w:r w:rsidRPr="001C5F6A">
        <w:rPr>
          <w:rFonts w:asciiTheme="minorHAnsi" w:hAnsiTheme="minorHAnsi"/>
        </w:rPr>
        <w:t xml:space="preserve"> Sposób rozliczenia robót tymczasowych i prac towarzyszących</w:t>
      </w:r>
    </w:p>
    <w:p w:rsidR="00A40D5E" w:rsidRPr="001C5F6A" w:rsidRDefault="00A40D5E" w:rsidP="00A40D5E">
      <w:pPr>
        <w:rPr>
          <w:rFonts w:asciiTheme="minorHAnsi" w:hAnsiTheme="minorHAnsi"/>
        </w:rPr>
      </w:pPr>
      <w:r w:rsidRPr="001C5F6A">
        <w:rPr>
          <w:rFonts w:asciiTheme="minorHAnsi" w:hAnsiTheme="minorHAnsi"/>
        </w:rPr>
        <w:tab/>
        <w:t>Cena wykonania robót określonych niniejszą ST obejmuje:</w:t>
      </w:r>
    </w:p>
    <w:p w:rsidR="00A40D5E" w:rsidRPr="001C5F6A" w:rsidRDefault="00054F0C" w:rsidP="00A40D5E">
      <w:pPr>
        <w:rPr>
          <w:rFonts w:asciiTheme="minorHAnsi" w:hAnsiTheme="minorHAnsi"/>
        </w:rPr>
      </w:pPr>
      <w:r>
        <w:rPr>
          <w:rFonts w:asciiTheme="minorHAnsi" w:hAnsiTheme="minorHAnsi"/>
        </w:rPr>
        <w:t>-</w:t>
      </w:r>
      <w:r w:rsidR="00A40D5E" w:rsidRPr="001C5F6A">
        <w:rPr>
          <w:rFonts w:asciiTheme="minorHAnsi" w:hAnsiTheme="minorHAnsi"/>
        </w:rPr>
        <w:t>roboty tymczasowe, które są potrzebne do wykonania robót podstawowych, ale nie są przekazywane Zamawiającemu i są usuwane po wykonaniu robót podstawowych,</w:t>
      </w:r>
    </w:p>
    <w:p w:rsidR="00A40D5E" w:rsidRPr="001C5F6A" w:rsidRDefault="00054F0C" w:rsidP="00A40D5E">
      <w:pPr>
        <w:rPr>
          <w:rFonts w:asciiTheme="minorHAnsi" w:hAnsiTheme="minorHAnsi"/>
        </w:rPr>
      </w:pPr>
      <w:r>
        <w:rPr>
          <w:rFonts w:asciiTheme="minorHAnsi" w:hAnsiTheme="minorHAnsi"/>
        </w:rPr>
        <w:t>-</w:t>
      </w:r>
      <w:r w:rsidR="00A40D5E" w:rsidRPr="001C5F6A">
        <w:rPr>
          <w:rFonts w:asciiTheme="minorHAnsi" w:hAnsiTheme="minorHAnsi"/>
        </w:rPr>
        <w:t>prace towarzyszące, które są niezbędne do wykonania robót podstawowych, niezaliczane do robót tymczasowych, jak geodezyjne wytyczenie robót itd.</w:t>
      </w:r>
    </w:p>
    <w:p w:rsidR="00A40D5E" w:rsidRPr="001C5F6A" w:rsidRDefault="00A40D5E" w:rsidP="00A40D5E">
      <w:pPr>
        <w:rPr>
          <w:rFonts w:asciiTheme="minorHAnsi" w:hAnsiTheme="minorHAnsi"/>
        </w:rPr>
      </w:pPr>
    </w:p>
    <w:p w:rsidR="00A40D5E" w:rsidRPr="001C5F6A" w:rsidRDefault="00A40D5E" w:rsidP="00A40D5E">
      <w:pPr>
        <w:rPr>
          <w:rFonts w:asciiTheme="minorHAnsi" w:hAnsiTheme="minorHAnsi"/>
          <w:b/>
        </w:rPr>
      </w:pPr>
      <w:r w:rsidRPr="001C5F6A">
        <w:rPr>
          <w:rFonts w:asciiTheme="minorHAnsi" w:hAnsiTheme="minorHAnsi"/>
          <w:b/>
        </w:rPr>
        <w:t>10. PRZEPISY ZWIĄZANE</w:t>
      </w:r>
    </w:p>
    <w:p w:rsidR="00A40D5E" w:rsidRPr="001C5F6A" w:rsidRDefault="00A40D5E" w:rsidP="00A40D5E">
      <w:pPr>
        <w:rPr>
          <w:rFonts w:asciiTheme="minorHAnsi" w:hAnsiTheme="minorHAnsi"/>
        </w:rPr>
      </w:pPr>
      <w:r w:rsidRPr="001C5F6A">
        <w:rPr>
          <w:rFonts w:asciiTheme="minorHAnsi" w:hAnsiTheme="minorHAnsi"/>
          <w:b/>
        </w:rPr>
        <w:t>10.1.</w:t>
      </w:r>
      <w:r w:rsidRPr="001C5F6A">
        <w:rPr>
          <w:rFonts w:asciiTheme="minorHAnsi" w:hAnsiTheme="minorHAnsi"/>
        </w:rPr>
        <w:t xml:space="preserve"> Specyfikacje techniczne (ST)</w:t>
      </w:r>
    </w:p>
    <w:tbl>
      <w:tblPr>
        <w:tblW w:w="0" w:type="auto"/>
        <w:tblLayout w:type="fixed"/>
        <w:tblCellMar>
          <w:left w:w="70" w:type="dxa"/>
          <w:right w:w="70" w:type="dxa"/>
        </w:tblCellMar>
        <w:tblLook w:val="0000"/>
      </w:tblPr>
      <w:tblGrid>
        <w:gridCol w:w="496"/>
        <w:gridCol w:w="2126"/>
        <w:gridCol w:w="4888"/>
      </w:tblGrid>
      <w:tr w:rsidR="00A40D5E" w:rsidRPr="001C5F6A" w:rsidTr="00C26550">
        <w:tc>
          <w:tcPr>
            <w:tcW w:w="496" w:type="dxa"/>
          </w:tcPr>
          <w:p w:rsidR="00A40D5E" w:rsidRPr="001C5F6A" w:rsidRDefault="00A40D5E" w:rsidP="00C26550">
            <w:pPr>
              <w:rPr>
                <w:rFonts w:asciiTheme="minorHAnsi" w:hAnsiTheme="minorHAnsi"/>
              </w:rPr>
            </w:pPr>
            <w:r w:rsidRPr="001C5F6A">
              <w:rPr>
                <w:rFonts w:asciiTheme="minorHAnsi" w:hAnsiTheme="minorHAnsi"/>
              </w:rPr>
              <w:t xml:space="preserve">  1.</w:t>
            </w:r>
          </w:p>
        </w:tc>
        <w:tc>
          <w:tcPr>
            <w:tcW w:w="2126" w:type="dxa"/>
          </w:tcPr>
          <w:p w:rsidR="00A40D5E" w:rsidRPr="001C5F6A" w:rsidRDefault="00A40D5E" w:rsidP="00C26550">
            <w:pPr>
              <w:rPr>
                <w:rFonts w:asciiTheme="minorHAnsi" w:hAnsiTheme="minorHAnsi"/>
              </w:rPr>
            </w:pPr>
            <w:r w:rsidRPr="001C5F6A">
              <w:rPr>
                <w:rFonts w:asciiTheme="minorHAnsi" w:hAnsiTheme="minorHAnsi"/>
              </w:rPr>
              <w:t>D-M-00.00.00</w:t>
            </w:r>
          </w:p>
        </w:tc>
        <w:tc>
          <w:tcPr>
            <w:tcW w:w="4888" w:type="dxa"/>
          </w:tcPr>
          <w:p w:rsidR="00A40D5E" w:rsidRPr="001C5F6A" w:rsidRDefault="00A40D5E" w:rsidP="00C26550">
            <w:pPr>
              <w:rPr>
                <w:rFonts w:asciiTheme="minorHAnsi" w:hAnsiTheme="minorHAnsi"/>
              </w:rPr>
            </w:pPr>
            <w:r w:rsidRPr="001C5F6A">
              <w:rPr>
                <w:rFonts w:asciiTheme="minorHAnsi" w:hAnsiTheme="minorHAnsi"/>
              </w:rPr>
              <w:t>Wymagania ogólne</w:t>
            </w:r>
          </w:p>
        </w:tc>
      </w:tr>
      <w:tr w:rsidR="00A40D5E" w:rsidRPr="001C5F6A" w:rsidTr="00C26550">
        <w:tc>
          <w:tcPr>
            <w:tcW w:w="496" w:type="dxa"/>
          </w:tcPr>
          <w:p w:rsidR="00A40D5E" w:rsidRPr="001C5F6A" w:rsidRDefault="00A40D5E" w:rsidP="00C26550">
            <w:pPr>
              <w:rPr>
                <w:rFonts w:asciiTheme="minorHAnsi" w:hAnsiTheme="minorHAnsi"/>
              </w:rPr>
            </w:pPr>
            <w:r w:rsidRPr="001C5F6A">
              <w:rPr>
                <w:rFonts w:asciiTheme="minorHAnsi" w:hAnsiTheme="minorHAnsi"/>
              </w:rPr>
              <w:t xml:space="preserve">  2.</w:t>
            </w:r>
          </w:p>
        </w:tc>
        <w:tc>
          <w:tcPr>
            <w:tcW w:w="2126" w:type="dxa"/>
          </w:tcPr>
          <w:p w:rsidR="00A40D5E" w:rsidRPr="001C5F6A" w:rsidRDefault="00A40D5E" w:rsidP="00C26550">
            <w:pPr>
              <w:rPr>
                <w:rFonts w:asciiTheme="minorHAnsi" w:hAnsiTheme="minorHAnsi"/>
              </w:rPr>
            </w:pPr>
            <w:r w:rsidRPr="001C5F6A">
              <w:rPr>
                <w:rFonts w:asciiTheme="minorHAnsi" w:hAnsiTheme="minorHAnsi"/>
              </w:rPr>
              <w:t>D-01.00.00</w:t>
            </w:r>
          </w:p>
        </w:tc>
        <w:tc>
          <w:tcPr>
            <w:tcW w:w="4888" w:type="dxa"/>
          </w:tcPr>
          <w:p w:rsidR="00A40D5E" w:rsidRPr="001C5F6A" w:rsidRDefault="00A40D5E" w:rsidP="00C26550">
            <w:pPr>
              <w:rPr>
                <w:rFonts w:asciiTheme="minorHAnsi" w:hAnsiTheme="minorHAnsi"/>
              </w:rPr>
            </w:pPr>
            <w:r w:rsidRPr="001C5F6A">
              <w:rPr>
                <w:rFonts w:asciiTheme="minorHAnsi" w:hAnsiTheme="minorHAnsi"/>
              </w:rPr>
              <w:t>Roboty przygotowawcze</w:t>
            </w:r>
          </w:p>
        </w:tc>
      </w:tr>
      <w:tr w:rsidR="00A40D5E" w:rsidRPr="001C5F6A" w:rsidTr="00C26550">
        <w:tc>
          <w:tcPr>
            <w:tcW w:w="496" w:type="dxa"/>
          </w:tcPr>
          <w:p w:rsidR="00A40D5E" w:rsidRPr="001C5F6A" w:rsidRDefault="00A40D5E" w:rsidP="00C26550">
            <w:pPr>
              <w:rPr>
                <w:rFonts w:asciiTheme="minorHAnsi" w:hAnsiTheme="minorHAnsi"/>
              </w:rPr>
            </w:pPr>
            <w:r w:rsidRPr="001C5F6A">
              <w:rPr>
                <w:rFonts w:asciiTheme="minorHAnsi" w:hAnsiTheme="minorHAnsi"/>
              </w:rPr>
              <w:t xml:space="preserve">  3.</w:t>
            </w:r>
          </w:p>
        </w:tc>
        <w:tc>
          <w:tcPr>
            <w:tcW w:w="2126" w:type="dxa"/>
          </w:tcPr>
          <w:p w:rsidR="00A40D5E" w:rsidRPr="001C5F6A" w:rsidRDefault="00A40D5E" w:rsidP="00C26550">
            <w:pPr>
              <w:rPr>
                <w:rFonts w:asciiTheme="minorHAnsi" w:hAnsiTheme="minorHAnsi"/>
              </w:rPr>
            </w:pPr>
            <w:r w:rsidRPr="001C5F6A">
              <w:rPr>
                <w:rFonts w:asciiTheme="minorHAnsi" w:hAnsiTheme="minorHAnsi"/>
              </w:rPr>
              <w:t>D-02.00.00</w:t>
            </w:r>
          </w:p>
        </w:tc>
        <w:tc>
          <w:tcPr>
            <w:tcW w:w="4888" w:type="dxa"/>
          </w:tcPr>
          <w:p w:rsidR="00A40D5E" w:rsidRPr="001C5F6A" w:rsidRDefault="00A40D5E" w:rsidP="00C26550">
            <w:pPr>
              <w:rPr>
                <w:rFonts w:asciiTheme="minorHAnsi" w:hAnsiTheme="minorHAnsi"/>
              </w:rPr>
            </w:pPr>
            <w:r w:rsidRPr="001C5F6A">
              <w:rPr>
                <w:rFonts w:asciiTheme="minorHAnsi" w:hAnsiTheme="minorHAnsi"/>
              </w:rPr>
              <w:t>Roboty ziemne</w:t>
            </w:r>
          </w:p>
        </w:tc>
      </w:tr>
      <w:tr w:rsidR="00A40D5E" w:rsidRPr="001C5F6A" w:rsidTr="00C26550">
        <w:tc>
          <w:tcPr>
            <w:tcW w:w="496" w:type="dxa"/>
          </w:tcPr>
          <w:p w:rsidR="00A40D5E" w:rsidRPr="001C5F6A" w:rsidRDefault="00A40D5E" w:rsidP="00C26550">
            <w:pPr>
              <w:rPr>
                <w:rFonts w:asciiTheme="minorHAnsi" w:hAnsiTheme="minorHAnsi"/>
              </w:rPr>
            </w:pPr>
            <w:r w:rsidRPr="001C5F6A">
              <w:rPr>
                <w:rFonts w:asciiTheme="minorHAnsi" w:hAnsiTheme="minorHAnsi"/>
              </w:rPr>
              <w:t xml:space="preserve">  4.</w:t>
            </w:r>
          </w:p>
        </w:tc>
        <w:tc>
          <w:tcPr>
            <w:tcW w:w="2126" w:type="dxa"/>
          </w:tcPr>
          <w:p w:rsidR="00A40D5E" w:rsidRPr="001C5F6A" w:rsidRDefault="00A40D5E" w:rsidP="00C26550">
            <w:pPr>
              <w:rPr>
                <w:rFonts w:asciiTheme="minorHAnsi" w:hAnsiTheme="minorHAnsi"/>
              </w:rPr>
            </w:pPr>
            <w:r w:rsidRPr="001C5F6A">
              <w:rPr>
                <w:rFonts w:asciiTheme="minorHAnsi" w:hAnsiTheme="minorHAnsi"/>
              </w:rPr>
              <w:t>D-04.01.01</w:t>
            </w:r>
          </w:p>
        </w:tc>
        <w:tc>
          <w:tcPr>
            <w:tcW w:w="4888" w:type="dxa"/>
          </w:tcPr>
          <w:p w:rsidR="00A40D5E" w:rsidRPr="001C5F6A" w:rsidRDefault="00A40D5E" w:rsidP="00C26550">
            <w:pPr>
              <w:rPr>
                <w:rFonts w:asciiTheme="minorHAnsi" w:hAnsiTheme="minorHAnsi"/>
              </w:rPr>
            </w:pPr>
            <w:r w:rsidRPr="001C5F6A">
              <w:rPr>
                <w:rFonts w:asciiTheme="minorHAnsi" w:hAnsiTheme="minorHAnsi"/>
              </w:rPr>
              <w:t>Koryto wraz z profilowaniem i zagęszczaniem podłoża</w:t>
            </w:r>
          </w:p>
        </w:tc>
      </w:tr>
      <w:tr w:rsidR="00A40D5E" w:rsidRPr="001C5F6A" w:rsidTr="00C26550">
        <w:tc>
          <w:tcPr>
            <w:tcW w:w="496" w:type="dxa"/>
          </w:tcPr>
          <w:p w:rsidR="00A40D5E" w:rsidRPr="001C5F6A" w:rsidRDefault="00A40D5E" w:rsidP="00C26550">
            <w:pPr>
              <w:rPr>
                <w:rFonts w:asciiTheme="minorHAnsi" w:hAnsiTheme="minorHAnsi"/>
              </w:rPr>
            </w:pPr>
            <w:r w:rsidRPr="001C5F6A">
              <w:rPr>
                <w:rFonts w:asciiTheme="minorHAnsi" w:hAnsiTheme="minorHAnsi"/>
              </w:rPr>
              <w:t xml:space="preserve">  5.</w:t>
            </w:r>
          </w:p>
        </w:tc>
        <w:tc>
          <w:tcPr>
            <w:tcW w:w="2126" w:type="dxa"/>
          </w:tcPr>
          <w:p w:rsidR="00A40D5E" w:rsidRPr="001C5F6A" w:rsidRDefault="00A40D5E" w:rsidP="00C26550">
            <w:pPr>
              <w:rPr>
                <w:rFonts w:asciiTheme="minorHAnsi" w:hAnsiTheme="minorHAnsi"/>
              </w:rPr>
            </w:pPr>
            <w:r w:rsidRPr="001C5F6A">
              <w:rPr>
                <w:rFonts w:asciiTheme="minorHAnsi" w:hAnsiTheme="minorHAnsi"/>
              </w:rPr>
              <w:t>D-04.05.01a</w:t>
            </w:r>
          </w:p>
        </w:tc>
        <w:tc>
          <w:tcPr>
            <w:tcW w:w="4888" w:type="dxa"/>
          </w:tcPr>
          <w:p w:rsidR="00A40D5E" w:rsidRPr="001C5F6A" w:rsidRDefault="00A40D5E" w:rsidP="00C26550">
            <w:pPr>
              <w:rPr>
                <w:rFonts w:asciiTheme="minorHAnsi" w:hAnsiTheme="minorHAnsi"/>
              </w:rPr>
            </w:pPr>
            <w:r w:rsidRPr="001C5F6A">
              <w:rPr>
                <w:rFonts w:asciiTheme="minorHAnsi" w:hAnsiTheme="minorHAnsi"/>
              </w:rPr>
              <w:t>Podbudowa i podłoże ulepszone z mieszanki kruszywa związanego hydraulicznie cementem</w:t>
            </w:r>
          </w:p>
        </w:tc>
      </w:tr>
    </w:tbl>
    <w:p w:rsidR="00A40D5E" w:rsidRPr="001C5F6A" w:rsidRDefault="00A40D5E" w:rsidP="00A40D5E">
      <w:pPr>
        <w:rPr>
          <w:rFonts w:asciiTheme="minorHAnsi" w:hAnsiTheme="minorHAnsi"/>
        </w:rPr>
      </w:pPr>
      <w:r w:rsidRPr="001C5F6A">
        <w:rPr>
          <w:rFonts w:asciiTheme="minorHAnsi" w:hAnsiTheme="minorHAnsi"/>
          <w:b/>
        </w:rPr>
        <w:t>10.2.</w:t>
      </w:r>
      <w:r w:rsidRPr="001C5F6A">
        <w:rPr>
          <w:rFonts w:asciiTheme="minorHAnsi" w:hAnsiTheme="minorHAnsi"/>
        </w:rPr>
        <w:t xml:space="preserve"> Polskie normy</w:t>
      </w:r>
    </w:p>
    <w:tbl>
      <w:tblPr>
        <w:tblW w:w="0" w:type="auto"/>
        <w:tblLayout w:type="fixed"/>
        <w:tblCellMar>
          <w:left w:w="70" w:type="dxa"/>
          <w:right w:w="70" w:type="dxa"/>
        </w:tblCellMar>
        <w:tblLook w:val="0000"/>
      </w:tblPr>
      <w:tblGrid>
        <w:gridCol w:w="496"/>
        <w:gridCol w:w="2126"/>
        <w:gridCol w:w="4888"/>
      </w:tblGrid>
      <w:tr w:rsidR="00A40D5E" w:rsidRPr="001C5F6A" w:rsidTr="00C26550">
        <w:tc>
          <w:tcPr>
            <w:tcW w:w="496" w:type="dxa"/>
          </w:tcPr>
          <w:p w:rsidR="00A40D5E" w:rsidRPr="001C5F6A" w:rsidRDefault="00A40D5E" w:rsidP="00C26550">
            <w:pPr>
              <w:rPr>
                <w:rFonts w:asciiTheme="minorHAnsi" w:hAnsiTheme="minorHAnsi"/>
              </w:rPr>
            </w:pPr>
            <w:r w:rsidRPr="001C5F6A">
              <w:rPr>
                <w:rFonts w:asciiTheme="minorHAnsi" w:hAnsiTheme="minorHAnsi"/>
              </w:rPr>
              <w:t xml:space="preserve">  6.</w:t>
            </w:r>
          </w:p>
        </w:tc>
        <w:tc>
          <w:tcPr>
            <w:tcW w:w="2126" w:type="dxa"/>
          </w:tcPr>
          <w:p w:rsidR="00A40D5E" w:rsidRPr="001C5F6A" w:rsidRDefault="00A40D5E" w:rsidP="00C26550">
            <w:pPr>
              <w:rPr>
                <w:rFonts w:asciiTheme="minorHAnsi" w:hAnsiTheme="minorHAnsi"/>
              </w:rPr>
            </w:pPr>
            <w:r w:rsidRPr="001C5F6A">
              <w:rPr>
                <w:rFonts w:asciiTheme="minorHAnsi" w:hAnsiTheme="minorHAnsi"/>
              </w:rPr>
              <w:t>PN-EN 197-1: 2002</w:t>
            </w:r>
          </w:p>
        </w:tc>
        <w:tc>
          <w:tcPr>
            <w:tcW w:w="4888" w:type="dxa"/>
          </w:tcPr>
          <w:p w:rsidR="00A40D5E" w:rsidRPr="001C5F6A" w:rsidRDefault="00A40D5E" w:rsidP="00C26550">
            <w:pPr>
              <w:rPr>
                <w:rFonts w:asciiTheme="minorHAnsi" w:hAnsiTheme="minorHAnsi"/>
              </w:rPr>
            </w:pPr>
            <w:r w:rsidRPr="001C5F6A">
              <w:rPr>
                <w:rFonts w:asciiTheme="minorHAnsi" w:hAnsiTheme="minorHAnsi"/>
              </w:rPr>
              <w:t xml:space="preserve">Cement. Część I: Skład, wymagania i kryteria zgodności </w:t>
            </w:r>
            <w:r w:rsidRPr="001C5F6A">
              <w:rPr>
                <w:rFonts w:asciiTheme="minorHAnsi" w:hAnsiTheme="minorHAnsi"/>
              </w:rPr>
              <w:lastRenderedPageBreak/>
              <w:t>dotyczące cementu powszechnego użytku</w:t>
            </w:r>
          </w:p>
        </w:tc>
      </w:tr>
      <w:tr w:rsidR="00A40D5E" w:rsidRPr="001C5F6A" w:rsidTr="00C26550">
        <w:tc>
          <w:tcPr>
            <w:tcW w:w="496" w:type="dxa"/>
          </w:tcPr>
          <w:p w:rsidR="00A40D5E" w:rsidRPr="001C5F6A" w:rsidRDefault="00A40D5E" w:rsidP="00C26550">
            <w:pPr>
              <w:rPr>
                <w:rFonts w:asciiTheme="minorHAnsi" w:hAnsiTheme="minorHAnsi"/>
              </w:rPr>
            </w:pPr>
            <w:r w:rsidRPr="001C5F6A">
              <w:rPr>
                <w:rFonts w:asciiTheme="minorHAnsi" w:hAnsiTheme="minorHAnsi"/>
              </w:rPr>
              <w:lastRenderedPageBreak/>
              <w:t xml:space="preserve">  7.</w:t>
            </w:r>
          </w:p>
        </w:tc>
        <w:tc>
          <w:tcPr>
            <w:tcW w:w="2126" w:type="dxa"/>
          </w:tcPr>
          <w:p w:rsidR="00A40D5E" w:rsidRPr="001C5F6A" w:rsidRDefault="00A40D5E" w:rsidP="00C26550">
            <w:pPr>
              <w:rPr>
                <w:rFonts w:asciiTheme="minorHAnsi" w:hAnsiTheme="minorHAnsi"/>
              </w:rPr>
            </w:pPr>
            <w:r w:rsidRPr="001C5F6A">
              <w:rPr>
                <w:rFonts w:asciiTheme="minorHAnsi" w:hAnsiTheme="minorHAnsi"/>
              </w:rPr>
              <w:t>PN-EN 934-2: 1999</w:t>
            </w:r>
          </w:p>
        </w:tc>
        <w:tc>
          <w:tcPr>
            <w:tcW w:w="4888" w:type="dxa"/>
          </w:tcPr>
          <w:p w:rsidR="00A40D5E" w:rsidRPr="001C5F6A" w:rsidRDefault="00A40D5E" w:rsidP="00C26550">
            <w:pPr>
              <w:rPr>
                <w:rFonts w:asciiTheme="minorHAnsi" w:hAnsiTheme="minorHAnsi"/>
              </w:rPr>
            </w:pPr>
            <w:r w:rsidRPr="001C5F6A">
              <w:rPr>
                <w:rFonts w:asciiTheme="minorHAnsi" w:hAnsiTheme="minorHAnsi"/>
              </w:rPr>
              <w:t>Domieszki do betonu, zaprawy i zaczynu. Domieszki do betonu. Definicje i wymagania</w:t>
            </w:r>
          </w:p>
        </w:tc>
      </w:tr>
      <w:tr w:rsidR="00A40D5E" w:rsidRPr="001C5F6A" w:rsidTr="00C26550">
        <w:tc>
          <w:tcPr>
            <w:tcW w:w="496" w:type="dxa"/>
          </w:tcPr>
          <w:p w:rsidR="00A40D5E" w:rsidRPr="001C5F6A" w:rsidRDefault="00A40D5E" w:rsidP="00C26550">
            <w:pPr>
              <w:rPr>
                <w:rFonts w:asciiTheme="minorHAnsi" w:hAnsiTheme="minorHAnsi"/>
              </w:rPr>
            </w:pPr>
            <w:r w:rsidRPr="001C5F6A">
              <w:rPr>
                <w:rFonts w:asciiTheme="minorHAnsi" w:hAnsiTheme="minorHAnsi"/>
              </w:rPr>
              <w:t xml:space="preserve">  8.</w:t>
            </w:r>
          </w:p>
        </w:tc>
        <w:tc>
          <w:tcPr>
            <w:tcW w:w="2126" w:type="dxa"/>
          </w:tcPr>
          <w:p w:rsidR="00A40D5E" w:rsidRPr="001C5F6A" w:rsidRDefault="00A40D5E" w:rsidP="00C26550">
            <w:pPr>
              <w:rPr>
                <w:rFonts w:asciiTheme="minorHAnsi" w:hAnsiTheme="minorHAnsi"/>
              </w:rPr>
            </w:pPr>
            <w:r w:rsidRPr="001C5F6A">
              <w:rPr>
                <w:rFonts w:asciiTheme="minorHAnsi" w:hAnsiTheme="minorHAnsi"/>
              </w:rPr>
              <w:t>PN-S-96014:1997</w:t>
            </w:r>
          </w:p>
        </w:tc>
        <w:tc>
          <w:tcPr>
            <w:tcW w:w="4888" w:type="dxa"/>
          </w:tcPr>
          <w:p w:rsidR="00A40D5E" w:rsidRPr="001C5F6A" w:rsidRDefault="00A40D5E" w:rsidP="00C26550">
            <w:pPr>
              <w:rPr>
                <w:rFonts w:asciiTheme="minorHAnsi" w:hAnsiTheme="minorHAnsi"/>
              </w:rPr>
            </w:pPr>
            <w:r w:rsidRPr="001C5F6A">
              <w:rPr>
                <w:rFonts w:asciiTheme="minorHAnsi" w:hAnsiTheme="minorHAnsi"/>
              </w:rPr>
              <w:t>Drogi samochodowe i lotniskowe. Podbudowa z betonu cementowego pod nawierzchnię ulepszoną. Wymagania i badania</w:t>
            </w:r>
          </w:p>
        </w:tc>
      </w:tr>
    </w:tbl>
    <w:p w:rsidR="00A40D5E" w:rsidRPr="001C5F6A" w:rsidRDefault="00A40D5E" w:rsidP="00A40D5E">
      <w:pPr>
        <w:rPr>
          <w:rFonts w:asciiTheme="minorHAnsi" w:hAnsiTheme="minorHAnsi"/>
        </w:rPr>
      </w:pPr>
      <w:r w:rsidRPr="001C5F6A">
        <w:rPr>
          <w:rFonts w:asciiTheme="minorHAnsi" w:hAnsiTheme="minorHAnsi"/>
          <w:b/>
        </w:rPr>
        <w:t>10.3.</w:t>
      </w:r>
      <w:r w:rsidRPr="001C5F6A">
        <w:rPr>
          <w:rFonts w:asciiTheme="minorHAnsi" w:hAnsiTheme="minorHAnsi"/>
        </w:rPr>
        <w:t xml:space="preserve"> Inne dokumenty</w:t>
      </w:r>
    </w:p>
    <w:p w:rsidR="00A40D5E" w:rsidRPr="001C5F6A" w:rsidRDefault="00A40D5E" w:rsidP="00A40D5E">
      <w:pPr>
        <w:rPr>
          <w:rFonts w:asciiTheme="minorHAnsi" w:hAnsiTheme="minorHAnsi"/>
        </w:rPr>
      </w:pPr>
      <w:r w:rsidRPr="001C5F6A">
        <w:rPr>
          <w:rFonts w:asciiTheme="minorHAnsi" w:hAnsiTheme="minorHAnsi"/>
        </w:rPr>
        <w:t>Katalog typowych konstrukcji nawierzchni sztywnych.</w:t>
      </w:r>
    </w:p>
    <w:p w:rsidR="00A40D5E" w:rsidRPr="001C5F6A" w:rsidRDefault="00A40D5E" w:rsidP="00A40D5E">
      <w:pPr>
        <w:rPr>
          <w:rFonts w:asciiTheme="minorHAnsi" w:hAnsiTheme="minorHAnsi"/>
        </w:rPr>
      </w:pPr>
      <w:r w:rsidRPr="001C5F6A">
        <w:rPr>
          <w:rFonts w:asciiTheme="minorHAnsi" w:hAnsiTheme="minorHAnsi"/>
        </w:rPr>
        <w:t xml:space="preserve">       GDDP - IBDiM, Warszawa 2001</w:t>
      </w:r>
    </w:p>
    <w:p w:rsidR="00A40D5E" w:rsidRPr="001C5F6A" w:rsidRDefault="00A40D5E" w:rsidP="00A40D5E">
      <w:pPr>
        <w:rPr>
          <w:rFonts w:asciiTheme="minorHAnsi" w:hAnsiTheme="minorHAnsi"/>
        </w:rPr>
      </w:pPr>
    </w:p>
    <w:p w:rsidR="00A40D5E" w:rsidRPr="001C5F6A" w:rsidRDefault="00A40D5E" w:rsidP="00A40D5E">
      <w:pPr>
        <w:rPr>
          <w:rFonts w:asciiTheme="minorHAnsi" w:hAnsiTheme="minorHAnsi"/>
          <w:b/>
        </w:rPr>
      </w:pPr>
      <w:r w:rsidRPr="001C5F6A">
        <w:rPr>
          <w:rFonts w:asciiTheme="minorHAnsi" w:hAnsiTheme="minorHAnsi"/>
          <w:b/>
        </w:rPr>
        <w:t>11. ZAŁĄCZNIKI</w:t>
      </w:r>
    </w:p>
    <w:p w:rsidR="00A40D5E" w:rsidRPr="001C5F6A" w:rsidRDefault="00A40D5E" w:rsidP="00A40D5E">
      <w:pPr>
        <w:rPr>
          <w:rFonts w:asciiTheme="minorHAnsi" w:hAnsiTheme="minorHAnsi"/>
        </w:rPr>
      </w:pPr>
      <w:r w:rsidRPr="001C5F6A">
        <w:rPr>
          <w:rFonts w:asciiTheme="minorHAnsi" w:hAnsiTheme="minorHAnsi"/>
        </w:rPr>
        <w:t>ZAŁĄCZNIK 1</w:t>
      </w:r>
    </w:p>
    <w:p w:rsidR="00A40D5E" w:rsidRPr="001C5F6A" w:rsidRDefault="00A40D5E" w:rsidP="00A40D5E">
      <w:pPr>
        <w:rPr>
          <w:rFonts w:asciiTheme="minorHAnsi" w:hAnsiTheme="minorHAnsi"/>
        </w:rPr>
      </w:pPr>
      <w:r w:rsidRPr="001C5F6A">
        <w:rPr>
          <w:rFonts w:asciiTheme="minorHAnsi" w:hAnsiTheme="minorHAnsi"/>
        </w:rPr>
        <w:t>ZASADY  WYKONYWANIA  PODBUDOWY</w:t>
      </w:r>
    </w:p>
    <w:p w:rsidR="00A40D5E" w:rsidRPr="001C5F6A" w:rsidRDefault="00A40D5E" w:rsidP="00A40D5E">
      <w:pPr>
        <w:rPr>
          <w:rFonts w:asciiTheme="minorHAnsi" w:hAnsiTheme="minorHAnsi"/>
        </w:rPr>
      </w:pPr>
      <w:r w:rsidRPr="001C5F6A">
        <w:rPr>
          <w:rFonts w:asciiTheme="minorHAnsi" w:hAnsiTheme="minorHAnsi"/>
        </w:rPr>
        <w:t>Z  BETONU  CEMENTOWEGO</w:t>
      </w:r>
    </w:p>
    <w:p w:rsidR="00A40D5E" w:rsidRPr="001C5F6A" w:rsidRDefault="00A40D5E" w:rsidP="00A40D5E">
      <w:pPr>
        <w:rPr>
          <w:rFonts w:asciiTheme="minorHAnsi" w:hAnsiTheme="minorHAnsi"/>
        </w:rPr>
      </w:pPr>
      <w:r w:rsidRPr="001C5F6A">
        <w:rPr>
          <w:rFonts w:asciiTheme="minorHAnsi" w:hAnsiTheme="minorHAnsi"/>
        </w:rPr>
        <w:t xml:space="preserve">(wg W. Dębski: Mały poradnik drogowca, WKiŁ 1974 </w:t>
      </w:r>
    </w:p>
    <w:p w:rsidR="00A40D5E" w:rsidRPr="001C5F6A" w:rsidRDefault="00A40D5E" w:rsidP="00A40D5E">
      <w:pPr>
        <w:rPr>
          <w:rFonts w:asciiTheme="minorHAnsi" w:hAnsiTheme="minorHAnsi"/>
        </w:rPr>
      </w:pPr>
      <w:r w:rsidRPr="001C5F6A">
        <w:rPr>
          <w:rFonts w:asciiTheme="minorHAnsi" w:hAnsiTheme="minorHAnsi"/>
        </w:rPr>
        <w:t xml:space="preserve">i E. Skaldawski: Podbudowy nawierzchni drogowych, WKiŁ 1979, </w:t>
      </w:r>
    </w:p>
    <w:p w:rsidR="00A40D5E" w:rsidRPr="001C5F6A" w:rsidRDefault="00A40D5E" w:rsidP="00A40D5E">
      <w:pPr>
        <w:rPr>
          <w:rFonts w:asciiTheme="minorHAnsi" w:hAnsiTheme="minorHAnsi"/>
        </w:rPr>
      </w:pPr>
      <w:r w:rsidRPr="001C5F6A">
        <w:rPr>
          <w:rFonts w:asciiTheme="minorHAnsi" w:hAnsiTheme="minorHAnsi"/>
        </w:rPr>
        <w:t>S. Rolla: Kontrola techniczno-ekonomiczna robót drogowych, WKiŁ 1967)</w:t>
      </w:r>
    </w:p>
    <w:p w:rsidR="00A40D5E" w:rsidRPr="001C5F6A" w:rsidRDefault="00A40D5E" w:rsidP="00A40D5E">
      <w:pPr>
        <w:rPr>
          <w:rFonts w:asciiTheme="minorHAnsi" w:hAnsiTheme="minorHAnsi"/>
        </w:rPr>
      </w:pPr>
    </w:p>
    <w:p w:rsidR="00A40D5E" w:rsidRPr="001C5F6A" w:rsidRDefault="00A40D5E" w:rsidP="00A40D5E">
      <w:pPr>
        <w:rPr>
          <w:rFonts w:asciiTheme="minorHAnsi" w:hAnsiTheme="minorHAnsi"/>
        </w:rPr>
      </w:pPr>
      <w:r w:rsidRPr="001C5F6A">
        <w:rPr>
          <w:rFonts w:asciiTheme="minorHAnsi" w:hAnsiTheme="minorHAnsi"/>
        </w:rPr>
        <w:t>1.1. Cechy podbudowy</w:t>
      </w:r>
    </w:p>
    <w:p w:rsidR="00A40D5E" w:rsidRPr="001C5F6A" w:rsidRDefault="00A40D5E" w:rsidP="00A40D5E">
      <w:pPr>
        <w:rPr>
          <w:rFonts w:asciiTheme="minorHAnsi" w:hAnsiTheme="minorHAnsi"/>
        </w:rPr>
      </w:pPr>
      <w:r w:rsidRPr="001C5F6A">
        <w:rPr>
          <w:rFonts w:asciiTheme="minorHAnsi" w:hAnsiTheme="minorHAnsi"/>
        </w:rPr>
        <w:tab/>
        <w:t>Podbudowa z betonu cementowego należy do konstrukcji sztywnych. Ziarna kruszywa po związaniu cementu i stwardnieniu betonu są tak silnie ze sobą spojone, że ich żadne wzajemne przesunięcia nie są możliwe. W związku z tym, podbudowa z betonu cementowego rozkłada ciśnienie na duże powierzchnie i może być stosowana na słabszym, o małej nośności podłożu.</w:t>
      </w:r>
    </w:p>
    <w:p w:rsidR="00A40D5E" w:rsidRPr="001C5F6A" w:rsidRDefault="00A40D5E" w:rsidP="00A40D5E">
      <w:pPr>
        <w:rPr>
          <w:rFonts w:asciiTheme="minorHAnsi" w:hAnsiTheme="minorHAnsi"/>
        </w:rPr>
      </w:pPr>
      <w:r w:rsidRPr="001C5F6A">
        <w:rPr>
          <w:rFonts w:asciiTheme="minorHAnsi" w:hAnsiTheme="minorHAnsi"/>
        </w:rPr>
        <w:tab/>
        <w:t>Podbudowę z betonu cementowego stosuje się zwykle do wykonania warstwy (lub warstw) nośnych nawierzchni o ruchu ciężkim oraz przy wykonywaniu podbudów pod nawierzchnię parkingów i placów postojowych.</w:t>
      </w:r>
    </w:p>
    <w:p w:rsidR="00A40D5E" w:rsidRPr="001C5F6A" w:rsidRDefault="00A40D5E" w:rsidP="00A40D5E">
      <w:pPr>
        <w:rPr>
          <w:rFonts w:asciiTheme="minorHAnsi" w:hAnsiTheme="minorHAnsi"/>
        </w:rPr>
      </w:pPr>
      <w:r w:rsidRPr="001C5F6A">
        <w:rPr>
          <w:rFonts w:asciiTheme="minorHAnsi" w:hAnsiTheme="minorHAnsi"/>
        </w:rPr>
        <w:t>1.2. Grubość podbudowy</w:t>
      </w:r>
    </w:p>
    <w:p w:rsidR="00A40D5E" w:rsidRPr="001C5F6A" w:rsidRDefault="00A40D5E" w:rsidP="00A40D5E">
      <w:pPr>
        <w:rPr>
          <w:rFonts w:asciiTheme="minorHAnsi" w:hAnsiTheme="minorHAnsi"/>
        </w:rPr>
      </w:pPr>
      <w:r w:rsidRPr="001C5F6A">
        <w:rPr>
          <w:rFonts w:asciiTheme="minorHAnsi" w:hAnsiTheme="minorHAnsi"/>
        </w:rPr>
        <w:tab/>
        <w:t xml:space="preserve">Orientacyjną grubość podbudowy z betonu cementowego, przyjmuje się zwykle      10 </w:t>
      </w:r>
      <w:r w:rsidRPr="001C5F6A">
        <w:rPr>
          <w:rFonts w:asciiTheme="minorHAnsi" w:hAnsiTheme="minorHAnsi"/>
        </w:rPr>
        <w:sym w:font="Symbol" w:char="F0B8"/>
      </w:r>
      <w:r w:rsidRPr="001C5F6A">
        <w:rPr>
          <w:rFonts w:asciiTheme="minorHAnsi" w:hAnsiTheme="minorHAnsi"/>
        </w:rPr>
        <w:t xml:space="preserve"> 25 cm, np. na podłożu niewysadzinowym, dla ruchu lekkiego 10 cm, ruchu średniego 12 cm, ruchu ciężkiego 15 cm, a na podłożu wysadzinowym, dla ruchu lekkiego 15 cm, ruchu średniego 20 cm, ruchu ciężkiego 25 cm.</w:t>
      </w:r>
    </w:p>
    <w:p w:rsidR="00A40D5E" w:rsidRPr="001C5F6A" w:rsidRDefault="00A40D5E" w:rsidP="00A40D5E">
      <w:pPr>
        <w:rPr>
          <w:rFonts w:asciiTheme="minorHAnsi" w:hAnsiTheme="minorHAnsi"/>
        </w:rPr>
      </w:pPr>
      <w:r w:rsidRPr="001C5F6A">
        <w:rPr>
          <w:rFonts w:asciiTheme="minorHAnsi" w:hAnsiTheme="minorHAnsi"/>
        </w:rPr>
        <w:t>1.3. Klasa betonu</w:t>
      </w:r>
    </w:p>
    <w:p w:rsidR="00A40D5E" w:rsidRPr="001C5F6A" w:rsidRDefault="00A40D5E" w:rsidP="00A40D5E">
      <w:pPr>
        <w:rPr>
          <w:rFonts w:asciiTheme="minorHAnsi" w:hAnsiTheme="minorHAnsi"/>
        </w:rPr>
      </w:pPr>
      <w:r w:rsidRPr="001C5F6A">
        <w:rPr>
          <w:rFonts w:asciiTheme="minorHAnsi" w:hAnsiTheme="minorHAnsi"/>
        </w:rPr>
        <w:tab/>
        <w:t>W podbudowie zaleca się stosować beton o wytrzymałości odpowiadającej klasie B 15, a w przypadkach szczególnych można stosować beton o klasie wyższej, np. B 20, B 25.</w:t>
      </w:r>
    </w:p>
    <w:p w:rsidR="00A40D5E" w:rsidRPr="001C5F6A" w:rsidRDefault="00A40D5E" w:rsidP="00A40D5E">
      <w:pPr>
        <w:rPr>
          <w:rFonts w:asciiTheme="minorHAnsi" w:hAnsiTheme="minorHAnsi"/>
        </w:rPr>
      </w:pPr>
      <w:r w:rsidRPr="001C5F6A">
        <w:rPr>
          <w:rFonts w:asciiTheme="minorHAnsi" w:hAnsiTheme="minorHAnsi"/>
        </w:rPr>
        <w:tab/>
        <w:t>Mieszankę betonową wytwarza się z kruszywa naturalnego, łamanego kamiennego i żużlowego lub mieszaniny tych rodzajów kruszyw, cementu i wody. Skład mieszanki betonowej może być różny w dość szerokich granicach, zależnie od rodzaju kruszywa, klasy cementu i żądanej konsystencji.</w:t>
      </w:r>
    </w:p>
    <w:p w:rsidR="00A40D5E" w:rsidRPr="001C5F6A" w:rsidRDefault="00A40D5E" w:rsidP="00A40D5E">
      <w:pPr>
        <w:rPr>
          <w:rFonts w:asciiTheme="minorHAnsi" w:hAnsiTheme="minorHAnsi"/>
        </w:rPr>
      </w:pPr>
    </w:p>
    <w:p w:rsidR="00A40D5E" w:rsidRPr="001C5F6A" w:rsidRDefault="00A40D5E" w:rsidP="00054F0C">
      <w:pPr>
        <w:ind w:left="709"/>
        <w:rPr>
          <w:rFonts w:asciiTheme="minorHAnsi" w:hAnsiTheme="minorHAnsi"/>
        </w:rPr>
      </w:pPr>
      <w:r w:rsidRPr="001C5F6A">
        <w:rPr>
          <w:rFonts w:asciiTheme="minorHAnsi" w:hAnsiTheme="minorHAnsi"/>
        </w:rPr>
        <w:t>Orientacyjny skład mieszanki betonowej klasy B 15 na podbudowę</w:t>
      </w:r>
    </w:p>
    <w:p w:rsidR="00A40D5E" w:rsidRPr="001C5F6A" w:rsidRDefault="00A40D5E" w:rsidP="00054F0C">
      <w:pPr>
        <w:ind w:left="709"/>
        <w:rPr>
          <w:rFonts w:asciiTheme="minorHAnsi" w:hAnsiTheme="minorHAnsi"/>
        </w:rPr>
      </w:pPr>
      <w:r w:rsidRPr="001C5F6A">
        <w:rPr>
          <w:rFonts w:asciiTheme="minorHAnsi" w:hAnsiTheme="minorHAnsi"/>
        </w:rPr>
        <w:t>o konsystencji gęstoplastycznej</w:t>
      </w:r>
    </w:p>
    <w:tbl>
      <w:tblPr>
        <w:tblW w:w="0" w:type="auto"/>
        <w:tblInd w:w="779" w:type="dxa"/>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ayout w:type="fixed"/>
        <w:tblCellMar>
          <w:left w:w="70" w:type="dxa"/>
          <w:right w:w="70" w:type="dxa"/>
        </w:tblCellMar>
        <w:tblLook w:val="0000"/>
      </w:tblPr>
      <w:tblGrid>
        <w:gridCol w:w="496"/>
        <w:gridCol w:w="2976"/>
        <w:gridCol w:w="1701"/>
        <w:gridCol w:w="2335"/>
      </w:tblGrid>
      <w:tr w:rsidR="00A40D5E" w:rsidRPr="001C5F6A" w:rsidTr="00054F0C">
        <w:tc>
          <w:tcPr>
            <w:tcW w:w="496" w:type="dxa"/>
          </w:tcPr>
          <w:p w:rsidR="00A40D5E" w:rsidRPr="001C5F6A" w:rsidRDefault="00A40D5E" w:rsidP="00C26550">
            <w:pPr>
              <w:rPr>
                <w:rFonts w:asciiTheme="minorHAnsi" w:hAnsiTheme="minorHAnsi"/>
              </w:rPr>
            </w:pPr>
            <w:r w:rsidRPr="001C5F6A">
              <w:rPr>
                <w:rFonts w:asciiTheme="minorHAnsi" w:hAnsiTheme="minorHAnsi"/>
              </w:rPr>
              <w:t>Lp.</w:t>
            </w:r>
          </w:p>
        </w:tc>
        <w:tc>
          <w:tcPr>
            <w:tcW w:w="2976" w:type="dxa"/>
          </w:tcPr>
          <w:p w:rsidR="00A40D5E" w:rsidRPr="001C5F6A" w:rsidRDefault="00A40D5E" w:rsidP="00C26550">
            <w:pPr>
              <w:rPr>
                <w:rFonts w:asciiTheme="minorHAnsi" w:hAnsiTheme="minorHAnsi"/>
              </w:rPr>
            </w:pPr>
            <w:r w:rsidRPr="001C5F6A">
              <w:rPr>
                <w:rFonts w:asciiTheme="minorHAnsi" w:hAnsiTheme="minorHAnsi"/>
              </w:rPr>
              <w:t>Rodzaj materiału</w:t>
            </w:r>
          </w:p>
        </w:tc>
        <w:tc>
          <w:tcPr>
            <w:tcW w:w="1701" w:type="dxa"/>
          </w:tcPr>
          <w:p w:rsidR="00A40D5E" w:rsidRPr="001C5F6A" w:rsidRDefault="00A40D5E" w:rsidP="00C26550">
            <w:pPr>
              <w:rPr>
                <w:rFonts w:asciiTheme="minorHAnsi" w:hAnsiTheme="minorHAnsi"/>
              </w:rPr>
            </w:pPr>
            <w:r w:rsidRPr="001C5F6A">
              <w:rPr>
                <w:rFonts w:asciiTheme="minorHAnsi" w:hAnsiTheme="minorHAnsi"/>
              </w:rPr>
              <w:t>Jednostka</w:t>
            </w:r>
          </w:p>
        </w:tc>
        <w:tc>
          <w:tcPr>
            <w:tcW w:w="2335" w:type="dxa"/>
          </w:tcPr>
          <w:p w:rsidR="00A40D5E" w:rsidRPr="001C5F6A" w:rsidRDefault="00A40D5E" w:rsidP="00C26550">
            <w:pPr>
              <w:rPr>
                <w:rFonts w:asciiTheme="minorHAnsi" w:hAnsiTheme="minorHAnsi"/>
              </w:rPr>
            </w:pPr>
            <w:r w:rsidRPr="001C5F6A">
              <w:rPr>
                <w:rFonts w:asciiTheme="minorHAnsi" w:hAnsiTheme="minorHAnsi"/>
              </w:rPr>
              <w:t>Zawartość w 1 m3 mieszanki betonowej</w:t>
            </w:r>
          </w:p>
        </w:tc>
      </w:tr>
      <w:tr w:rsidR="00A40D5E" w:rsidRPr="001C5F6A" w:rsidTr="00054F0C">
        <w:tc>
          <w:tcPr>
            <w:tcW w:w="496" w:type="dxa"/>
          </w:tcPr>
          <w:p w:rsidR="00A40D5E" w:rsidRPr="001C5F6A" w:rsidRDefault="00A40D5E" w:rsidP="00C26550">
            <w:pPr>
              <w:rPr>
                <w:rFonts w:asciiTheme="minorHAnsi" w:hAnsiTheme="minorHAnsi"/>
              </w:rPr>
            </w:pPr>
            <w:r w:rsidRPr="001C5F6A">
              <w:rPr>
                <w:rFonts w:asciiTheme="minorHAnsi" w:hAnsiTheme="minorHAnsi"/>
              </w:rPr>
              <w:t>1</w:t>
            </w:r>
          </w:p>
          <w:p w:rsidR="00A40D5E" w:rsidRPr="001C5F6A" w:rsidRDefault="00A40D5E" w:rsidP="00C26550">
            <w:pPr>
              <w:rPr>
                <w:rFonts w:asciiTheme="minorHAnsi" w:hAnsiTheme="minorHAnsi"/>
              </w:rPr>
            </w:pPr>
            <w:r w:rsidRPr="001C5F6A">
              <w:rPr>
                <w:rFonts w:asciiTheme="minorHAnsi" w:hAnsiTheme="minorHAnsi"/>
              </w:rPr>
              <w:t>2</w:t>
            </w:r>
          </w:p>
          <w:p w:rsidR="00A40D5E" w:rsidRPr="001C5F6A" w:rsidRDefault="00A40D5E" w:rsidP="00C26550">
            <w:pPr>
              <w:rPr>
                <w:rFonts w:asciiTheme="minorHAnsi" w:hAnsiTheme="minorHAnsi"/>
              </w:rPr>
            </w:pPr>
            <w:r w:rsidRPr="001C5F6A">
              <w:rPr>
                <w:rFonts w:asciiTheme="minorHAnsi" w:hAnsiTheme="minorHAnsi"/>
              </w:rPr>
              <w:t>3</w:t>
            </w:r>
          </w:p>
        </w:tc>
        <w:tc>
          <w:tcPr>
            <w:tcW w:w="2976" w:type="dxa"/>
          </w:tcPr>
          <w:p w:rsidR="00A40D5E" w:rsidRPr="001C5F6A" w:rsidRDefault="00A40D5E" w:rsidP="00C26550">
            <w:pPr>
              <w:rPr>
                <w:rFonts w:asciiTheme="minorHAnsi" w:hAnsiTheme="minorHAnsi"/>
              </w:rPr>
            </w:pPr>
            <w:r w:rsidRPr="001C5F6A">
              <w:rPr>
                <w:rFonts w:asciiTheme="minorHAnsi" w:hAnsiTheme="minorHAnsi"/>
              </w:rPr>
              <w:t>Cement portlandzki klasy 32,5</w:t>
            </w:r>
          </w:p>
          <w:p w:rsidR="00A40D5E" w:rsidRPr="001C5F6A" w:rsidRDefault="00A40D5E" w:rsidP="00C26550">
            <w:pPr>
              <w:rPr>
                <w:rFonts w:asciiTheme="minorHAnsi" w:hAnsiTheme="minorHAnsi"/>
              </w:rPr>
            </w:pPr>
            <w:r w:rsidRPr="001C5F6A">
              <w:rPr>
                <w:rFonts w:asciiTheme="minorHAnsi" w:hAnsiTheme="minorHAnsi"/>
              </w:rPr>
              <w:t>Kruszywo</w:t>
            </w:r>
          </w:p>
          <w:p w:rsidR="00A40D5E" w:rsidRPr="001C5F6A" w:rsidRDefault="00A40D5E" w:rsidP="00C26550">
            <w:pPr>
              <w:rPr>
                <w:rFonts w:asciiTheme="minorHAnsi" w:hAnsiTheme="minorHAnsi"/>
              </w:rPr>
            </w:pPr>
            <w:r w:rsidRPr="001C5F6A">
              <w:rPr>
                <w:rFonts w:asciiTheme="minorHAnsi" w:hAnsiTheme="minorHAnsi"/>
              </w:rPr>
              <w:t>Woda</w:t>
            </w:r>
          </w:p>
        </w:tc>
        <w:tc>
          <w:tcPr>
            <w:tcW w:w="1701" w:type="dxa"/>
          </w:tcPr>
          <w:p w:rsidR="00A40D5E" w:rsidRPr="001C5F6A" w:rsidRDefault="00A40D5E" w:rsidP="00C26550">
            <w:pPr>
              <w:rPr>
                <w:rFonts w:asciiTheme="minorHAnsi" w:hAnsiTheme="minorHAnsi"/>
              </w:rPr>
            </w:pPr>
            <w:r w:rsidRPr="001C5F6A">
              <w:rPr>
                <w:rFonts w:asciiTheme="minorHAnsi" w:hAnsiTheme="minorHAnsi"/>
              </w:rPr>
              <w:t>t</w:t>
            </w:r>
          </w:p>
          <w:p w:rsidR="00A40D5E" w:rsidRPr="001C5F6A" w:rsidRDefault="00A40D5E" w:rsidP="00C26550">
            <w:pPr>
              <w:rPr>
                <w:rFonts w:asciiTheme="minorHAnsi" w:hAnsiTheme="minorHAnsi"/>
              </w:rPr>
            </w:pPr>
            <w:r w:rsidRPr="001C5F6A">
              <w:rPr>
                <w:rFonts w:asciiTheme="minorHAnsi" w:hAnsiTheme="minorHAnsi"/>
              </w:rPr>
              <w:t>m3</w:t>
            </w:r>
          </w:p>
          <w:p w:rsidR="00A40D5E" w:rsidRPr="001C5F6A" w:rsidRDefault="00A40D5E" w:rsidP="00C26550">
            <w:pPr>
              <w:rPr>
                <w:rFonts w:asciiTheme="minorHAnsi" w:hAnsiTheme="minorHAnsi"/>
              </w:rPr>
            </w:pPr>
            <w:r w:rsidRPr="001C5F6A">
              <w:rPr>
                <w:rFonts w:asciiTheme="minorHAnsi" w:hAnsiTheme="minorHAnsi"/>
              </w:rPr>
              <w:t>m3</w:t>
            </w:r>
          </w:p>
        </w:tc>
        <w:tc>
          <w:tcPr>
            <w:tcW w:w="2335" w:type="dxa"/>
          </w:tcPr>
          <w:p w:rsidR="00A40D5E" w:rsidRPr="001C5F6A" w:rsidRDefault="00A40D5E" w:rsidP="00C26550">
            <w:pPr>
              <w:rPr>
                <w:rFonts w:asciiTheme="minorHAnsi" w:hAnsiTheme="minorHAnsi"/>
              </w:rPr>
            </w:pPr>
            <w:r w:rsidRPr="001C5F6A">
              <w:rPr>
                <w:rFonts w:asciiTheme="minorHAnsi" w:hAnsiTheme="minorHAnsi"/>
              </w:rPr>
              <w:t xml:space="preserve">0,23 </w:t>
            </w:r>
            <w:r w:rsidRPr="001C5F6A">
              <w:rPr>
                <w:rFonts w:asciiTheme="minorHAnsi" w:hAnsiTheme="minorHAnsi"/>
              </w:rPr>
              <w:sym w:font="Symbol" w:char="F0B8"/>
            </w:r>
            <w:r w:rsidRPr="001C5F6A">
              <w:rPr>
                <w:rFonts w:asciiTheme="minorHAnsi" w:hAnsiTheme="minorHAnsi"/>
              </w:rPr>
              <w:t xml:space="preserve"> 0,35</w:t>
            </w:r>
          </w:p>
          <w:p w:rsidR="00A40D5E" w:rsidRPr="001C5F6A" w:rsidRDefault="00A40D5E" w:rsidP="00C26550">
            <w:pPr>
              <w:rPr>
                <w:rFonts w:asciiTheme="minorHAnsi" w:hAnsiTheme="minorHAnsi"/>
              </w:rPr>
            </w:pPr>
            <w:r w:rsidRPr="001C5F6A">
              <w:rPr>
                <w:rFonts w:asciiTheme="minorHAnsi" w:hAnsiTheme="minorHAnsi"/>
              </w:rPr>
              <w:t xml:space="preserve">0,70 </w:t>
            </w:r>
            <w:r w:rsidRPr="001C5F6A">
              <w:rPr>
                <w:rFonts w:asciiTheme="minorHAnsi" w:hAnsiTheme="minorHAnsi"/>
              </w:rPr>
              <w:sym w:font="Symbol" w:char="F0B8"/>
            </w:r>
            <w:r w:rsidRPr="001C5F6A">
              <w:rPr>
                <w:rFonts w:asciiTheme="minorHAnsi" w:hAnsiTheme="minorHAnsi"/>
              </w:rPr>
              <w:t xml:space="preserve"> 1,30</w:t>
            </w:r>
          </w:p>
          <w:p w:rsidR="00A40D5E" w:rsidRPr="001C5F6A" w:rsidRDefault="00A40D5E" w:rsidP="00C26550">
            <w:pPr>
              <w:rPr>
                <w:rFonts w:asciiTheme="minorHAnsi" w:hAnsiTheme="minorHAnsi"/>
              </w:rPr>
            </w:pPr>
            <w:r w:rsidRPr="001C5F6A">
              <w:rPr>
                <w:rFonts w:asciiTheme="minorHAnsi" w:hAnsiTheme="minorHAnsi"/>
              </w:rPr>
              <w:t xml:space="preserve">0,15 </w:t>
            </w:r>
            <w:r w:rsidRPr="001C5F6A">
              <w:rPr>
                <w:rFonts w:asciiTheme="minorHAnsi" w:hAnsiTheme="minorHAnsi"/>
              </w:rPr>
              <w:sym w:font="Symbol" w:char="F0B8"/>
            </w:r>
            <w:r w:rsidRPr="001C5F6A">
              <w:rPr>
                <w:rFonts w:asciiTheme="minorHAnsi" w:hAnsiTheme="minorHAnsi"/>
              </w:rPr>
              <w:t xml:space="preserve"> 0,25</w:t>
            </w:r>
          </w:p>
        </w:tc>
      </w:tr>
    </w:tbl>
    <w:p w:rsidR="00A40D5E" w:rsidRPr="001C5F6A" w:rsidRDefault="00A40D5E" w:rsidP="00A40D5E">
      <w:pPr>
        <w:rPr>
          <w:rFonts w:asciiTheme="minorHAnsi" w:hAnsiTheme="minorHAnsi"/>
        </w:rPr>
      </w:pPr>
    </w:p>
    <w:p w:rsidR="00A40D5E" w:rsidRPr="001C5F6A" w:rsidRDefault="00A40D5E" w:rsidP="00A40D5E">
      <w:pPr>
        <w:rPr>
          <w:rFonts w:asciiTheme="minorHAnsi" w:hAnsiTheme="minorHAnsi"/>
        </w:rPr>
      </w:pPr>
      <w:r w:rsidRPr="001C5F6A">
        <w:rPr>
          <w:rFonts w:asciiTheme="minorHAnsi" w:hAnsiTheme="minorHAnsi"/>
        </w:rPr>
        <w:t>1.4. Szczeliny w podbudowie</w:t>
      </w:r>
    </w:p>
    <w:p w:rsidR="00A40D5E" w:rsidRPr="001C5F6A" w:rsidRDefault="00A40D5E" w:rsidP="00A40D5E">
      <w:pPr>
        <w:rPr>
          <w:rFonts w:asciiTheme="minorHAnsi" w:hAnsiTheme="minorHAnsi"/>
        </w:rPr>
      </w:pPr>
      <w:r w:rsidRPr="001C5F6A">
        <w:rPr>
          <w:rFonts w:asciiTheme="minorHAnsi" w:hAnsiTheme="minorHAnsi"/>
        </w:rPr>
        <w:tab/>
        <w:t xml:space="preserve">Szczeliny powinny dzielić podbudowę na płyty kwadratowe lub prostokątne. Stosunek długości płyt do ich szerokości nie powinien być większy niż 1,5 : 1. Odstęp między szczelinami może wynosić 5 </w:t>
      </w:r>
      <w:r w:rsidRPr="001C5F6A">
        <w:rPr>
          <w:rFonts w:asciiTheme="minorHAnsi" w:hAnsiTheme="minorHAnsi"/>
        </w:rPr>
        <w:sym w:font="Symbol" w:char="F0B8"/>
      </w:r>
      <w:r w:rsidRPr="001C5F6A">
        <w:rPr>
          <w:rFonts w:asciiTheme="minorHAnsi" w:hAnsiTheme="minorHAnsi"/>
        </w:rPr>
        <w:t xml:space="preserve"> 6 m, z tym że między szczelinami poprzecznymi nie powinien być większy niż 6 m.</w:t>
      </w:r>
    </w:p>
    <w:p w:rsidR="00A40D5E" w:rsidRPr="001C5F6A" w:rsidRDefault="00A40D5E" w:rsidP="00A40D5E">
      <w:pPr>
        <w:rPr>
          <w:rFonts w:asciiTheme="minorHAnsi" w:hAnsiTheme="minorHAnsi"/>
        </w:rPr>
      </w:pPr>
      <w:r w:rsidRPr="001C5F6A">
        <w:rPr>
          <w:rFonts w:asciiTheme="minorHAnsi" w:hAnsiTheme="minorHAnsi"/>
        </w:rPr>
        <w:tab/>
        <w:t>W podbudowie betonowej wykonuje się tylko szczeliny skurczowe pełne i szczeliny skurczowe pozorne. Pełne szczeliny skurczowe wykonuje się na styku świeżo układanych płyt z płytami już poprzednio wykonanymi, szczeliny skurczowe pozorne - pomiędzy płytami układanymi w tym samym czasie. Mogą występować też szczeliny konstrukcyjne, wykonywane na całej wysokości przekroju płyty w miejscach połączeń podbudowy z elementami infrastruktury drogowej, takimi jak: krawężniki, studzienki kanalizacyjne, telefoniczne lub energetyczne. W osi podbudowy szerszej niż 6 m wykonuje się zwykle szczelinę podłużną.</w:t>
      </w:r>
    </w:p>
    <w:p w:rsidR="00A40D5E" w:rsidRPr="001C5F6A" w:rsidRDefault="00A40D5E" w:rsidP="00A40D5E">
      <w:pPr>
        <w:rPr>
          <w:rFonts w:asciiTheme="minorHAnsi" w:hAnsiTheme="minorHAnsi"/>
        </w:rPr>
      </w:pPr>
      <w:r w:rsidRPr="001C5F6A">
        <w:rPr>
          <w:rFonts w:asciiTheme="minorHAnsi" w:hAnsiTheme="minorHAnsi"/>
        </w:rPr>
        <w:tab/>
        <w:t>Przy przewidywanym przykryciu podbudowy asfaltową warstwą ścieralną nie zaleca się wypełniać szczelin masą zalewową, gdyż rozmiękną one w czasie rozkładania mieszanki asfaltowej jezdni i zostaną uszkodzone już w czasie wałowania warstwy.</w:t>
      </w:r>
    </w:p>
    <w:p w:rsidR="00A40D5E" w:rsidRPr="001C5F6A" w:rsidRDefault="00A40D5E" w:rsidP="00A40D5E">
      <w:pPr>
        <w:rPr>
          <w:rFonts w:asciiTheme="minorHAnsi" w:hAnsiTheme="minorHAnsi"/>
        </w:rPr>
      </w:pPr>
      <w:r w:rsidRPr="001C5F6A">
        <w:rPr>
          <w:rFonts w:asciiTheme="minorHAnsi" w:hAnsiTheme="minorHAnsi"/>
        </w:rPr>
        <w:lastRenderedPageBreak/>
        <w:tab/>
        <w:t xml:space="preserve">Przykłady konstrukcji szczelin przedstawiono na rysunku 1.1. </w:t>
      </w:r>
    </w:p>
    <w:p w:rsidR="00A40D5E" w:rsidRPr="001C5F6A" w:rsidRDefault="00A40D5E" w:rsidP="00A40D5E">
      <w:pPr>
        <w:rPr>
          <w:rFonts w:asciiTheme="minorHAnsi" w:hAnsiTheme="minorHAnsi"/>
        </w:rPr>
      </w:pPr>
      <w:r w:rsidRPr="001C5F6A">
        <w:rPr>
          <w:rFonts w:asciiTheme="minorHAnsi" w:hAnsiTheme="minorHAnsi"/>
        </w:rPr>
        <w:t>1.5. Układanie warstwy ścieralnej nawierzchni na podbudowie</w:t>
      </w:r>
    </w:p>
    <w:p w:rsidR="00A40D5E" w:rsidRPr="001C5F6A" w:rsidRDefault="00A40D5E" w:rsidP="00A40D5E">
      <w:pPr>
        <w:rPr>
          <w:rFonts w:asciiTheme="minorHAnsi" w:hAnsiTheme="minorHAnsi"/>
        </w:rPr>
      </w:pPr>
      <w:r w:rsidRPr="001C5F6A">
        <w:rPr>
          <w:rFonts w:asciiTheme="minorHAnsi" w:hAnsiTheme="minorHAnsi"/>
        </w:rPr>
        <w:tab/>
        <w:t>Na podbudowie z betonu cementowego najczęściej układa się warstwę ścieralną z mieszanek mineralno-asfaltowych oraz stosuje się niekiedy taką warstwę z betonu cementowego.</w:t>
      </w:r>
    </w:p>
    <w:p w:rsidR="00A40D5E" w:rsidRPr="001C5F6A" w:rsidRDefault="00A40D5E" w:rsidP="00A40D5E">
      <w:pPr>
        <w:rPr>
          <w:rFonts w:asciiTheme="minorHAnsi" w:hAnsiTheme="minorHAnsi"/>
        </w:rPr>
      </w:pPr>
      <w:r w:rsidRPr="001C5F6A">
        <w:rPr>
          <w:rFonts w:asciiTheme="minorHAnsi" w:hAnsiTheme="minorHAnsi"/>
        </w:rPr>
        <w:tab/>
        <w:t>Warstwę ścieralną można układać po osiągnięciu przez beton podbudowy co najmniej 60 % projektowanej wytrzymałości, lecz nie wcześniej niż po siedmiu dniach twardnienia podbudowy.</w:t>
      </w:r>
    </w:p>
    <w:p w:rsidR="00A40D5E" w:rsidRPr="001C5F6A" w:rsidRDefault="00A40D5E" w:rsidP="00A40D5E">
      <w:pPr>
        <w:rPr>
          <w:rFonts w:asciiTheme="minorHAnsi" w:hAnsiTheme="minorHAnsi"/>
        </w:rPr>
      </w:pPr>
      <w:r w:rsidRPr="001C5F6A">
        <w:rPr>
          <w:rFonts w:asciiTheme="minorHAnsi" w:hAnsiTheme="minorHAnsi"/>
        </w:rPr>
        <w:tab/>
        <w:t xml:space="preserve">Powierzchnia betonu podbudowy może mieć drobne nierówności, zapewniające dobrą przyczepność do asfaltowej warstwy jezdnej. W celu zabezpieczenia asfaltowej warstwy jezdnej przed pękaniem nad szczelinami podbudowy, zaleca się stosować niezbyt długie płyty betonowe (np. 5 </w:t>
      </w:r>
      <w:r w:rsidRPr="001C5F6A">
        <w:rPr>
          <w:rFonts w:asciiTheme="minorHAnsi" w:hAnsiTheme="minorHAnsi"/>
        </w:rPr>
        <w:sym w:font="Symbol" w:char="F0B8"/>
      </w:r>
      <w:r w:rsidRPr="001C5F6A">
        <w:rPr>
          <w:rFonts w:asciiTheme="minorHAnsi" w:hAnsiTheme="minorHAnsi"/>
        </w:rPr>
        <w:t xml:space="preserve"> 6 m) i grubość warstwy jezdnej co najmniej 8 cm.</w:t>
      </w:r>
    </w:p>
    <w:p w:rsidR="00A40D5E" w:rsidRPr="001C5F6A" w:rsidRDefault="00A40D5E" w:rsidP="00A40D5E">
      <w:pPr>
        <w:rPr>
          <w:rFonts w:asciiTheme="minorHAnsi" w:hAnsiTheme="minorHAnsi"/>
        </w:rPr>
      </w:pPr>
      <w:r w:rsidRPr="001C5F6A">
        <w:rPr>
          <w:rFonts w:asciiTheme="minorHAnsi" w:hAnsiTheme="minorHAnsi"/>
        </w:rPr>
        <w:tab/>
        <w:t>Jeśli szczeliny w podbudowie wypełniono zalewą, to istnieje możliwość pękania później ułożonej asfaltowej warstwy ścieralnej. Można temu częściowo zapobiec np. smarując podbudowę wapnem gaszonym lub układając pasek papy na szerokości po 15 cm z każdej strony szczeliny.</w:t>
      </w:r>
    </w:p>
    <w:p w:rsidR="00A40D5E" w:rsidRPr="001C5F6A" w:rsidRDefault="00A40D5E" w:rsidP="00A40D5E">
      <w:pPr>
        <w:rPr>
          <w:rFonts w:asciiTheme="minorHAnsi" w:hAnsiTheme="minorHAnsi"/>
        </w:rPr>
      </w:pPr>
    </w:p>
    <w:p w:rsidR="00A40D5E" w:rsidRPr="001C5F6A" w:rsidRDefault="00A40D5E" w:rsidP="00A40D5E">
      <w:pPr>
        <w:rPr>
          <w:rFonts w:asciiTheme="minorHAnsi" w:hAnsiTheme="minorHAnsi"/>
        </w:rPr>
      </w:pPr>
      <w:r w:rsidRPr="001C5F6A">
        <w:rPr>
          <w:rFonts w:asciiTheme="minorHAnsi" w:hAnsiTheme="minorHAnsi"/>
        </w:rPr>
        <w:t>Rys. 1.1. Przykłady konstrukcji szczelin w podbudowie z betonu cementowego (wymiary w cm)</w:t>
      </w:r>
    </w:p>
    <w:p w:rsidR="00A40D5E" w:rsidRPr="001C5F6A" w:rsidRDefault="00A40D5E" w:rsidP="00A40D5E">
      <w:pPr>
        <w:rPr>
          <w:rFonts w:asciiTheme="minorHAnsi" w:hAnsiTheme="minorHAnsi"/>
        </w:rPr>
      </w:pPr>
    </w:p>
    <w:p w:rsidR="00A40D5E" w:rsidRPr="001C5F6A" w:rsidRDefault="00A40D5E" w:rsidP="00A40D5E">
      <w:pPr>
        <w:rPr>
          <w:rFonts w:asciiTheme="minorHAnsi" w:hAnsiTheme="minorHAnsi"/>
        </w:rPr>
      </w:pPr>
      <w:r w:rsidRPr="001C5F6A">
        <w:rPr>
          <w:rFonts w:asciiTheme="minorHAnsi" w:hAnsiTheme="minorHAnsi"/>
        </w:rPr>
        <w:t>Szczelina skurczowa pełna</w:t>
      </w:r>
    </w:p>
    <w:p w:rsidR="00A40D5E" w:rsidRPr="001C5F6A" w:rsidRDefault="00A40D5E" w:rsidP="00A40D5E">
      <w:pPr>
        <w:rPr>
          <w:rFonts w:asciiTheme="minorHAnsi" w:hAnsiTheme="minorHAnsi"/>
        </w:rPr>
      </w:pPr>
      <w:r w:rsidRPr="001C5F6A">
        <w:rPr>
          <w:rFonts w:asciiTheme="minorHAnsi" w:hAnsiTheme="minorHAnsi"/>
        </w:rPr>
        <w:object w:dxaOrig="4970" w:dyaOrig="1886">
          <v:shape id="_x0000_i1029" type="#_x0000_t75" style="width:249.3pt;height:94.4pt" o:ole="">
            <v:imagedata r:id="rId37" o:title=""/>
          </v:shape>
          <o:OLEObject Type="Embed" ProgID="Word.Document.8" ShapeID="_x0000_i1029" DrawAspect="Content" ObjectID="_1511981120" r:id="rId38"/>
        </w:object>
      </w:r>
    </w:p>
    <w:p w:rsidR="00A40D5E" w:rsidRPr="001C5F6A" w:rsidRDefault="00A40D5E" w:rsidP="00A40D5E">
      <w:pPr>
        <w:rPr>
          <w:rFonts w:asciiTheme="minorHAnsi" w:hAnsiTheme="minorHAnsi"/>
        </w:rPr>
      </w:pPr>
    </w:p>
    <w:p w:rsidR="00A40D5E" w:rsidRPr="001C5F6A" w:rsidRDefault="00A40D5E" w:rsidP="00A40D5E">
      <w:pPr>
        <w:rPr>
          <w:rFonts w:asciiTheme="minorHAnsi" w:hAnsiTheme="minorHAnsi"/>
        </w:rPr>
      </w:pPr>
    </w:p>
    <w:p w:rsidR="00A40D5E" w:rsidRPr="001C5F6A" w:rsidRDefault="00A40D5E" w:rsidP="00A40D5E">
      <w:pPr>
        <w:rPr>
          <w:rFonts w:asciiTheme="minorHAnsi" w:hAnsiTheme="minorHAnsi"/>
        </w:rPr>
      </w:pPr>
      <w:r w:rsidRPr="001C5F6A">
        <w:rPr>
          <w:rFonts w:asciiTheme="minorHAnsi" w:hAnsiTheme="minorHAnsi"/>
        </w:rPr>
        <w:t>Szczelina skurczowa pozorna</w:t>
      </w:r>
    </w:p>
    <w:p w:rsidR="00A40D5E" w:rsidRPr="001C5F6A" w:rsidRDefault="00A40D5E" w:rsidP="00A40D5E">
      <w:pPr>
        <w:rPr>
          <w:rFonts w:asciiTheme="minorHAnsi" w:hAnsiTheme="minorHAnsi"/>
        </w:rPr>
      </w:pPr>
      <w:r>
        <w:rPr>
          <w:rFonts w:asciiTheme="minorHAnsi" w:hAnsiTheme="minorHAnsi"/>
          <w:noProof/>
        </w:rPr>
        <w:drawing>
          <wp:inline distT="0" distB="0" distL="0" distR="0">
            <wp:extent cx="3219450" cy="1219200"/>
            <wp:effectExtent l="19050" t="0" r="0" b="0"/>
            <wp:docPr id="174" name="Obraz 17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4"/>
                    <pic:cNvPicPr>
                      <a:picLocks noChangeAspect="1" noChangeArrowheads="1"/>
                    </pic:cNvPicPr>
                  </pic:nvPicPr>
                  <pic:blipFill>
                    <a:blip r:embed="rId39" cstate="print"/>
                    <a:srcRect/>
                    <a:stretch>
                      <a:fillRect/>
                    </a:stretch>
                  </pic:blipFill>
                  <pic:spPr bwMode="auto">
                    <a:xfrm>
                      <a:off x="0" y="0"/>
                      <a:ext cx="3219450" cy="1219200"/>
                    </a:xfrm>
                    <a:prstGeom prst="rect">
                      <a:avLst/>
                    </a:prstGeom>
                    <a:noFill/>
                    <a:ln w="9525">
                      <a:noFill/>
                      <a:miter lim="800000"/>
                      <a:headEnd/>
                      <a:tailEnd/>
                    </a:ln>
                  </pic:spPr>
                </pic:pic>
              </a:graphicData>
            </a:graphic>
          </wp:inline>
        </w:drawing>
      </w:r>
    </w:p>
    <w:p w:rsidR="00A40D5E" w:rsidRPr="001C5F6A" w:rsidRDefault="00A40D5E" w:rsidP="00A40D5E">
      <w:pPr>
        <w:rPr>
          <w:rFonts w:asciiTheme="minorHAnsi" w:hAnsiTheme="minorHAnsi"/>
        </w:rPr>
      </w:pPr>
    </w:p>
    <w:p w:rsidR="00A40D5E" w:rsidRPr="001C5F6A" w:rsidRDefault="00A40D5E" w:rsidP="00A40D5E">
      <w:pPr>
        <w:rPr>
          <w:rFonts w:asciiTheme="minorHAnsi" w:hAnsiTheme="minorHAnsi"/>
        </w:rPr>
      </w:pPr>
    </w:p>
    <w:p w:rsidR="00A40D5E" w:rsidRPr="001C5F6A" w:rsidRDefault="00A40D5E" w:rsidP="00A40D5E">
      <w:pPr>
        <w:rPr>
          <w:rFonts w:asciiTheme="minorHAnsi" w:hAnsiTheme="minorHAnsi"/>
        </w:rPr>
      </w:pPr>
      <w:r w:rsidRPr="001C5F6A">
        <w:rPr>
          <w:rFonts w:asciiTheme="minorHAnsi" w:hAnsiTheme="minorHAnsi"/>
        </w:rPr>
        <w:t>Szczelina przy krawężniku</w:t>
      </w:r>
    </w:p>
    <w:p w:rsidR="00A40D5E" w:rsidRPr="001C5F6A" w:rsidRDefault="00A40D5E" w:rsidP="00A40D5E">
      <w:pPr>
        <w:rPr>
          <w:rFonts w:asciiTheme="minorHAnsi" w:hAnsiTheme="minorHAnsi"/>
        </w:rPr>
      </w:pPr>
      <w:r>
        <w:rPr>
          <w:rFonts w:asciiTheme="minorHAnsi" w:hAnsiTheme="minorHAnsi"/>
          <w:noProof/>
        </w:rPr>
        <w:drawing>
          <wp:inline distT="0" distB="0" distL="0" distR="0">
            <wp:extent cx="3333750" cy="1600200"/>
            <wp:effectExtent l="19050" t="0" r="0" b="0"/>
            <wp:docPr id="175" name="Obraz 17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5"/>
                    <pic:cNvPicPr>
                      <a:picLocks noChangeAspect="1" noChangeArrowheads="1"/>
                    </pic:cNvPicPr>
                  </pic:nvPicPr>
                  <pic:blipFill>
                    <a:blip r:embed="rId40" cstate="print"/>
                    <a:srcRect/>
                    <a:stretch>
                      <a:fillRect/>
                    </a:stretch>
                  </pic:blipFill>
                  <pic:spPr bwMode="auto">
                    <a:xfrm>
                      <a:off x="0" y="0"/>
                      <a:ext cx="3333750" cy="1600200"/>
                    </a:xfrm>
                    <a:prstGeom prst="rect">
                      <a:avLst/>
                    </a:prstGeom>
                    <a:noFill/>
                    <a:ln w="9525">
                      <a:noFill/>
                      <a:miter lim="800000"/>
                      <a:headEnd/>
                      <a:tailEnd/>
                    </a:ln>
                  </pic:spPr>
                </pic:pic>
              </a:graphicData>
            </a:graphic>
          </wp:inline>
        </w:drawing>
      </w:r>
    </w:p>
    <w:p w:rsidR="00A40D5E" w:rsidRPr="001C5F6A" w:rsidRDefault="00A40D5E" w:rsidP="00A40D5E">
      <w:pPr>
        <w:rPr>
          <w:rFonts w:asciiTheme="minorHAnsi" w:hAnsiTheme="minorHAnsi"/>
        </w:rPr>
      </w:pPr>
    </w:p>
    <w:p w:rsidR="00A40D5E" w:rsidRPr="001C5F6A" w:rsidRDefault="00A40D5E" w:rsidP="00A40D5E">
      <w:pPr>
        <w:rPr>
          <w:rFonts w:asciiTheme="minorHAnsi" w:hAnsiTheme="minorHAnsi"/>
        </w:rPr>
      </w:pPr>
    </w:p>
    <w:p w:rsidR="00A40D5E" w:rsidRPr="001C5F6A" w:rsidRDefault="00A40D5E" w:rsidP="00A40D5E">
      <w:pPr>
        <w:rPr>
          <w:rFonts w:asciiTheme="minorHAnsi" w:hAnsiTheme="minorHAnsi"/>
        </w:rPr>
      </w:pPr>
      <w:r w:rsidRPr="001C5F6A">
        <w:rPr>
          <w:rFonts w:asciiTheme="minorHAnsi" w:hAnsiTheme="minorHAnsi"/>
        </w:rPr>
        <w:t xml:space="preserve">Szczelina nacięta w podbudowie (bez wypełnienia), </w:t>
      </w:r>
    </w:p>
    <w:p w:rsidR="00A40D5E" w:rsidRPr="001C5F6A" w:rsidRDefault="00A40D5E" w:rsidP="00A40D5E">
      <w:pPr>
        <w:rPr>
          <w:rFonts w:asciiTheme="minorHAnsi" w:hAnsiTheme="minorHAnsi"/>
        </w:rPr>
      </w:pPr>
      <w:r w:rsidRPr="001C5F6A">
        <w:rPr>
          <w:rFonts w:asciiTheme="minorHAnsi" w:hAnsiTheme="minorHAnsi"/>
        </w:rPr>
        <w:t>na której będzie ułożona warstwa ścieralna z mieszanki mineralno-asfaltowej</w:t>
      </w:r>
    </w:p>
    <w:p w:rsidR="00A40D5E" w:rsidRPr="001C5F6A" w:rsidRDefault="00A40D5E" w:rsidP="00A40D5E">
      <w:pPr>
        <w:rPr>
          <w:rFonts w:asciiTheme="minorHAnsi" w:hAnsiTheme="minorHAnsi"/>
        </w:rPr>
      </w:pPr>
      <w:r>
        <w:rPr>
          <w:rFonts w:asciiTheme="minorHAnsi" w:hAnsiTheme="minorHAnsi"/>
          <w:noProof/>
        </w:rPr>
        <w:drawing>
          <wp:inline distT="0" distB="0" distL="0" distR="0">
            <wp:extent cx="3333750" cy="1123950"/>
            <wp:effectExtent l="19050" t="0" r="0" b="0"/>
            <wp:docPr id="176" name="Obraz 17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6"/>
                    <pic:cNvPicPr>
                      <a:picLocks noChangeAspect="1" noChangeArrowheads="1"/>
                    </pic:cNvPicPr>
                  </pic:nvPicPr>
                  <pic:blipFill>
                    <a:blip r:embed="rId41" cstate="print"/>
                    <a:srcRect/>
                    <a:stretch>
                      <a:fillRect/>
                    </a:stretch>
                  </pic:blipFill>
                  <pic:spPr bwMode="auto">
                    <a:xfrm>
                      <a:off x="0" y="0"/>
                      <a:ext cx="3333750" cy="1123950"/>
                    </a:xfrm>
                    <a:prstGeom prst="rect">
                      <a:avLst/>
                    </a:prstGeom>
                    <a:noFill/>
                    <a:ln w="9525">
                      <a:noFill/>
                      <a:miter lim="800000"/>
                      <a:headEnd/>
                      <a:tailEnd/>
                    </a:ln>
                  </pic:spPr>
                </pic:pic>
              </a:graphicData>
            </a:graphic>
          </wp:inline>
        </w:drawing>
      </w:r>
    </w:p>
    <w:p w:rsidR="00A40D5E" w:rsidRPr="001C5F6A" w:rsidRDefault="00A40D5E" w:rsidP="00A40D5E">
      <w:pPr>
        <w:rPr>
          <w:rFonts w:asciiTheme="minorHAnsi" w:hAnsiTheme="minorHAnsi"/>
        </w:rPr>
      </w:pPr>
    </w:p>
    <w:p w:rsidR="00A40D5E" w:rsidRPr="001C5F6A" w:rsidRDefault="00A40D5E" w:rsidP="00A40D5E">
      <w:pPr>
        <w:rPr>
          <w:rFonts w:asciiTheme="minorHAnsi" w:hAnsiTheme="minorHAnsi"/>
        </w:rPr>
      </w:pPr>
    </w:p>
    <w:p w:rsidR="00A40D5E" w:rsidRPr="001C5F6A" w:rsidRDefault="00A40D5E" w:rsidP="00A40D5E">
      <w:pPr>
        <w:rPr>
          <w:rFonts w:asciiTheme="minorHAnsi" w:hAnsiTheme="minorHAnsi"/>
        </w:rPr>
      </w:pPr>
    </w:p>
    <w:p w:rsidR="00A40D5E" w:rsidRPr="001C5F6A" w:rsidRDefault="00A40D5E" w:rsidP="00A40D5E">
      <w:pPr>
        <w:rPr>
          <w:rFonts w:asciiTheme="minorHAnsi" w:hAnsiTheme="minorHAnsi"/>
        </w:rPr>
      </w:pPr>
    </w:p>
    <w:p w:rsidR="00A40D5E" w:rsidRPr="001C5F6A" w:rsidRDefault="00A40D5E" w:rsidP="00A40D5E">
      <w:pPr>
        <w:rPr>
          <w:rFonts w:asciiTheme="minorHAnsi" w:hAnsiTheme="minorHAnsi"/>
        </w:rPr>
      </w:pPr>
    </w:p>
    <w:p w:rsidR="00376DA1" w:rsidRDefault="00376DA1" w:rsidP="00376DA1">
      <w:pPr>
        <w:rPr>
          <w:b/>
        </w:rPr>
      </w:pPr>
    </w:p>
    <w:p w:rsidR="00376DA1" w:rsidRDefault="00376DA1" w:rsidP="00376DA1">
      <w:pPr>
        <w:rPr>
          <w:b/>
        </w:rPr>
      </w:pPr>
    </w:p>
    <w:p w:rsidR="00376DA1" w:rsidRDefault="00376DA1" w:rsidP="00376DA1">
      <w:pPr>
        <w:rPr>
          <w:b/>
        </w:rPr>
      </w:pPr>
    </w:p>
    <w:p w:rsidR="00376DA1" w:rsidRDefault="00376DA1" w:rsidP="00376DA1">
      <w:pPr>
        <w:rPr>
          <w:b/>
        </w:rPr>
      </w:pPr>
    </w:p>
    <w:p w:rsidR="00376DA1" w:rsidRDefault="00376DA1" w:rsidP="00376DA1">
      <w:pPr>
        <w:rPr>
          <w:b/>
        </w:rPr>
      </w:pPr>
    </w:p>
    <w:p w:rsidR="000C27BF" w:rsidRDefault="000C27BF" w:rsidP="00376DA1">
      <w:pPr>
        <w:rPr>
          <w:b/>
        </w:rPr>
      </w:pPr>
    </w:p>
    <w:p w:rsidR="00A40D5E" w:rsidRDefault="00A40D5E" w:rsidP="00376DA1">
      <w:pPr>
        <w:rPr>
          <w:b/>
        </w:rPr>
      </w:pPr>
    </w:p>
    <w:p w:rsidR="00A40D5E" w:rsidRDefault="00A40D5E" w:rsidP="00376DA1">
      <w:pPr>
        <w:rPr>
          <w:b/>
        </w:rPr>
      </w:pPr>
    </w:p>
    <w:p w:rsidR="00A40D5E" w:rsidRDefault="00A40D5E" w:rsidP="00376DA1">
      <w:pPr>
        <w:rPr>
          <w:b/>
        </w:rPr>
      </w:pPr>
    </w:p>
    <w:p w:rsidR="00A40D5E" w:rsidRDefault="00A40D5E" w:rsidP="00376DA1">
      <w:pPr>
        <w:rPr>
          <w:b/>
        </w:rPr>
      </w:pPr>
    </w:p>
    <w:p w:rsidR="00A40D5E" w:rsidRDefault="00A40D5E" w:rsidP="00376DA1">
      <w:pPr>
        <w:rPr>
          <w:b/>
        </w:rPr>
      </w:pPr>
    </w:p>
    <w:p w:rsidR="00A40D5E" w:rsidRDefault="00A40D5E" w:rsidP="00376DA1">
      <w:pPr>
        <w:rPr>
          <w:b/>
        </w:rPr>
      </w:pPr>
    </w:p>
    <w:p w:rsidR="00376DA1" w:rsidRDefault="00376DA1" w:rsidP="00376DA1">
      <w:pPr>
        <w:rPr>
          <w:b/>
        </w:rPr>
      </w:pPr>
    </w:p>
    <w:p w:rsidR="00376DA1" w:rsidRPr="00EC30F3" w:rsidRDefault="00376DA1" w:rsidP="00376DA1">
      <w:pPr>
        <w:pStyle w:val="Nagwek1"/>
        <w:jc w:val="center"/>
      </w:pPr>
      <w:bookmarkStart w:id="1440" w:name="_Toc438237727"/>
      <w:r w:rsidRPr="00EC30F3">
        <w:t>D–04.07.01a  PODBUDOWA Z BETONU ASFALTOWEGO wg WT-1 i WT-2 z 2010 r.</w:t>
      </w:r>
      <w:bookmarkEnd w:id="1413"/>
      <w:bookmarkEnd w:id="1440"/>
    </w:p>
    <w:p w:rsidR="00376DA1" w:rsidRPr="00E01903" w:rsidRDefault="00376DA1" w:rsidP="00376DA1">
      <w:pPr>
        <w:rPr>
          <w:rFonts w:ascii="Calibri" w:hAnsi="Calibri" w:cs="Calibri"/>
        </w:rPr>
      </w:pPr>
    </w:p>
    <w:p w:rsidR="00376DA1" w:rsidRDefault="00376DA1" w:rsidP="00376DA1">
      <w:pPr>
        <w:rPr>
          <w:rFonts w:ascii="Calibri" w:hAnsi="Calibri" w:cs="Calibri"/>
          <w:b/>
        </w:rPr>
      </w:pPr>
      <w:bookmarkStart w:id="1441" w:name="_Toc238276188"/>
    </w:p>
    <w:p w:rsidR="00376DA1" w:rsidRDefault="00376DA1" w:rsidP="00376DA1">
      <w:pPr>
        <w:rPr>
          <w:rFonts w:ascii="Calibri" w:hAnsi="Calibri" w:cs="Calibri"/>
          <w:b/>
        </w:rPr>
      </w:pPr>
    </w:p>
    <w:p w:rsidR="00376DA1" w:rsidRDefault="00376DA1" w:rsidP="00376DA1">
      <w:pPr>
        <w:rPr>
          <w:rFonts w:ascii="Calibri" w:hAnsi="Calibri" w:cs="Calibri"/>
          <w:b/>
        </w:rPr>
      </w:pPr>
    </w:p>
    <w:p w:rsidR="00376DA1" w:rsidRDefault="00376DA1" w:rsidP="00376DA1">
      <w:pPr>
        <w:rPr>
          <w:rFonts w:ascii="Calibri" w:hAnsi="Calibri" w:cs="Calibri"/>
          <w:b/>
        </w:rPr>
      </w:pPr>
    </w:p>
    <w:p w:rsidR="00376DA1" w:rsidRDefault="00376DA1" w:rsidP="00376DA1">
      <w:pPr>
        <w:rPr>
          <w:rFonts w:ascii="Calibri" w:hAnsi="Calibri" w:cs="Calibri"/>
          <w:b/>
        </w:rPr>
      </w:pPr>
    </w:p>
    <w:p w:rsidR="00376DA1" w:rsidRDefault="00376DA1" w:rsidP="00376DA1">
      <w:pPr>
        <w:rPr>
          <w:rFonts w:ascii="Calibri" w:hAnsi="Calibri" w:cs="Calibri"/>
          <w:b/>
        </w:rPr>
      </w:pPr>
    </w:p>
    <w:p w:rsidR="00376DA1" w:rsidRDefault="00376DA1" w:rsidP="00376DA1">
      <w:pPr>
        <w:rPr>
          <w:rFonts w:ascii="Calibri" w:hAnsi="Calibri" w:cs="Calibri"/>
          <w:b/>
        </w:rPr>
      </w:pPr>
    </w:p>
    <w:p w:rsidR="00376DA1" w:rsidRDefault="00376DA1" w:rsidP="00376DA1">
      <w:pPr>
        <w:rPr>
          <w:rFonts w:ascii="Calibri" w:hAnsi="Calibri" w:cs="Calibri"/>
          <w:b/>
        </w:rPr>
      </w:pPr>
    </w:p>
    <w:p w:rsidR="00376DA1" w:rsidRDefault="00376DA1" w:rsidP="00376DA1">
      <w:pPr>
        <w:rPr>
          <w:rFonts w:ascii="Calibri" w:hAnsi="Calibri" w:cs="Calibri"/>
          <w:b/>
        </w:rPr>
      </w:pPr>
    </w:p>
    <w:p w:rsidR="00376DA1" w:rsidRDefault="00376DA1" w:rsidP="00376DA1">
      <w:pPr>
        <w:rPr>
          <w:rFonts w:ascii="Calibri" w:hAnsi="Calibri" w:cs="Calibri"/>
          <w:b/>
        </w:rPr>
      </w:pPr>
    </w:p>
    <w:p w:rsidR="00376DA1" w:rsidRDefault="00376DA1" w:rsidP="00376DA1">
      <w:pPr>
        <w:rPr>
          <w:rFonts w:ascii="Calibri" w:hAnsi="Calibri" w:cs="Calibri"/>
          <w:b/>
        </w:rPr>
      </w:pPr>
    </w:p>
    <w:p w:rsidR="00376DA1" w:rsidRDefault="00376DA1" w:rsidP="00376DA1">
      <w:pPr>
        <w:rPr>
          <w:rFonts w:ascii="Calibri" w:hAnsi="Calibri" w:cs="Calibri"/>
          <w:b/>
        </w:rPr>
      </w:pPr>
    </w:p>
    <w:p w:rsidR="00376DA1" w:rsidRDefault="00376DA1" w:rsidP="00376DA1">
      <w:pPr>
        <w:rPr>
          <w:rFonts w:ascii="Calibri" w:hAnsi="Calibri" w:cs="Calibri"/>
          <w:b/>
        </w:rPr>
      </w:pPr>
    </w:p>
    <w:p w:rsidR="00376DA1" w:rsidRDefault="00376DA1" w:rsidP="00376DA1">
      <w:pPr>
        <w:rPr>
          <w:rFonts w:ascii="Calibri" w:hAnsi="Calibri" w:cs="Calibri"/>
          <w:b/>
        </w:rPr>
      </w:pPr>
    </w:p>
    <w:p w:rsidR="00376DA1" w:rsidRDefault="00376DA1" w:rsidP="00376DA1">
      <w:pPr>
        <w:rPr>
          <w:rFonts w:ascii="Calibri" w:hAnsi="Calibri" w:cs="Calibri"/>
          <w:b/>
        </w:rPr>
      </w:pPr>
    </w:p>
    <w:p w:rsidR="00376DA1" w:rsidRDefault="00376DA1" w:rsidP="00376DA1">
      <w:pPr>
        <w:rPr>
          <w:rFonts w:ascii="Calibri" w:hAnsi="Calibri" w:cs="Calibri"/>
          <w:b/>
        </w:rPr>
      </w:pPr>
    </w:p>
    <w:p w:rsidR="00376DA1" w:rsidRDefault="00376DA1" w:rsidP="00376DA1">
      <w:pPr>
        <w:rPr>
          <w:rFonts w:ascii="Calibri" w:hAnsi="Calibri" w:cs="Calibri"/>
          <w:b/>
        </w:rPr>
      </w:pPr>
    </w:p>
    <w:p w:rsidR="00376DA1" w:rsidRDefault="00376DA1" w:rsidP="00376DA1">
      <w:pPr>
        <w:rPr>
          <w:rFonts w:ascii="Calibri" w:hAnsi="Calibri" w:cs="Calibri"/>
          <w:b/>
        </w:rPr>
      </w:pPr>
    </w:p>
    <w:p w:rsidR="00376DA1" w:rsidRDefault="00376DA1" w:rsidP="00376DA1">
      <w:pPr>
        <w:rPr>
          <w:rFonts w:ascii="Calibri" w:hAnsi="Calibri" w:cs="Calibri"/>
          <w:b/>
        </w:rPr>
      </w:pPr>
    </w:p>
    <w:p w:rsidR="00376DA1" w:rsidRDefault="00376DA1" w:rsidP="00376DA1">
      <w:pPr>
        <w:rPr>
          <w:rFonts w:ascii="Calibri" w:hAnsi="Calibri" w:cs="Calibri"/>
          <w:b/>
        </w:rPr>
      </w:pPr>
    </w:p>
    <w:p w:rsidR="00376DA1" w:rsidRDefault="00376DA1" w:rsidP="00376DA1">
      <w:pPr>
        <w:rPr>
          <w:rFonts w:ascii="Calibri" w:hAnsi="Calibri" w:cs="Calibri"/>
          <w:b/>
        </w:rPr>
      </w:pPr>
    </w:p>
    <w:p w:rsidR="00376DA1" w:rsidRDefault="00376DA1" w:rsidP="00376DA1">
      <w:pPr>
        <w:rPr>
          <w:rFonts w:ascii="Calibri" w:hAnsi="Calibri" w:cs="Calibri"/>
          <w:b/>
        </w:rPr>
      </w:pPr>
    </w:p>
    <w:p w:rsidR="00376DA1" w:rsidRDefault="00376DA1" w:rsidP="00376DA1">
      <w:pPr>
        <w:rPr>
          <w:rFonts w:ascii="Calibri" w:hAnsi="Calibri" w:cs="Calibri"/>
          <w:b/>
        </w:rPr>
      </w:pPr>
    </w:p>
    <w:p w:rsidR="00376DA1" w:rsidRDefault="00376DA1" w:rsidP="00376DA1">
      <w:pPr>
        <w:rPr>
          <w:rFonts w:ascii="Calibri" w:hAnsi="Calibri" w:cs="Calibri"/>
          <w:b/>
        </w:rPr>
      </w:pPr>
    </w:p>
    <w:p w:rsidR="00376DA1" w:rsidRDefault="00376DA1" w:rsidP="00376DA1">
      <w:pPr>
        <w:rPr>
          <w:rFonts w:ascii="Calibri" w:hAnsi="Calibri" w:cs="Calibri"/>
          <w:b/>
        </w:rPr>
      </w:pPr>
    </w:p>
    <w:p w:rsidR="00376DA1" w:rsidRDefault="00376DA1" w:rsidP="00376DA1">
      <w:pPr>
        <w:rPr>
          <w:rFonts w:ascii="Calibri" w:hAnsi="Calibri" w:cs="Calibri"/>
          <w:b/>
        </w:rPr>
      </w:pPr>
    </w:p>
    <w:p w:rsidR="00376DA1" w:rsidRDefault="00376DA1" w:rsidP="00376DA1">
      <w:pPr>
        <w:rPr>
          <w:rFonts w:ascii="Calibri" w:hAnsi="Calibri" w:cs="Calibri"/>
          <w:b/>
        </w:rPr>
      </w:pPr>
    </w:p>
    <w:p w:rsidR="00376DA1" w:rsidRDefault="00376DA1" w:rsidP="00376DA1">
      <w:pPr>
        <w:rPr>
          <w:rFonts w:ascii="Calibri" w:hAnsi="Calibri" w:cs="Calibri"/>
          <w:b/>
        </w:rPr>
      </w:pPr>
    </w:p>
    <w:p w:rsidR="00376DA1" w:rsidRDefault="00376DA1" w:rsidP="00376DA1">
      <w:pPr>
        <w:rPr>
          <w:rFonts w:ascii="Calibri" w:hAnsi="Calibri" w:cs="Calibri"/>
          <w:b/>
        </w:rPr>
      </w:pPr>
    </w:p>
    <w:p w:rsidR="00376DA1" w:rsidRDefault="00376DA1" w:rsidP="00376DA1">
      <w:pPr>
        <w:rPr>
          <w:rFonts w:ascii="Calibri" w:hAnsi="Calibri" w:cs="Calibri"/>
          <w:b/>
        </w:rPr>
      </w:pPr>
    </w:p>
    <w:p w:rsidR="00376DA1" w:rsidRDefault="00376DA1" w:rsidP="00376DA1">
      <w:pPr>
        <w:rPr>
          <w:rFonts w:ascii="Calibri" w:hAnsi="Calibri" w:cs="Calibri"/>
          <w:b/>
        </w:rPr>
      </w:pPr>
    </w:p>
    <w:p w:rsidR="00376DA1" w:rsidRDefault="00376DA1" w:rsidP="00376DA1">
      <w:pPr>
        <w:rPr>
          <w:rFonts w:ascii="Calibri" w:hAnsi="Calibri" w:cs="Calibri"/>
          <w:b/>
        </w:rPr>
      </w:pPr>
    </w:p>
    <w:p w:rsidR="00376DA1" w:rsidRDefault="00376DA1" w:rsidP="00376DA1">
      <w:pPr>
        <w:rPr>
          <w:rFonts w:ascii="Calibri" w:hAnsi="Calibri" w:cs="Calibri"/>
          <w:b/>
        </w:rPr>
      </w:pPr>
    </w:p>
    <w:p w:rsidR="00376DA1" w:rsidRDefault="00376DA1" w:rsidP="00376DA1">
      <w:pPr>
        <w:rPr>
          <w:rFonts w:ascii="Calibri" w:hAnsi="Calibri" w:cs="Calibri"/>
          <w:b/>
        </w:rPr>
      </w:pPr>
    </w:p>
    <w:p w:rsidR="00376DA1" w:rsidRDefault="00376DA1" w:rsidP="00376DA1">
      <w:pPr>
        <w:rPr>
          <w:rFonts w:ascii="Calibri" w:hAnsi="Calibri" w:cs="Calibri"/>
          <w:b/>
        </w:rPr>
      </w:pPr>
    </w:p>
    <w:p w:rsidR="00376DA1" w:rsidRDefault="00376DA1" w:rsidP="00376DA1">
      <w:pPr>
        <w:rPr>
          <w:rFonts w:ascii="Calibri" w:hAnsi="Calibri" w:cs="Calibri"/>
          <w:b/>
        </w:rPr>
      </w:pPr>
    </w:p>
    <w:p w:rsidR="00376DA1" w:rsidRDefault="00376DA1" w:rsidP="00376DA1">
      <w:pPr>
        <w:rPr>
          <w:rFonts w:ascii="Calibri" w:hAnsi="Calibri" w:cs="Calibri"/>
          <w:b/>
        </w:rPr>
      </w:pPr>
    </w:p>
    <w:p w:rsidR="00376DA1" w:rsidRDefault="00376DA1" w:rsidP="00376DA1">
      <w:pPr>
        <w:rPr>
          <w:rFonts w:ascii="Calibri" w:hAnsi="Calibri" w:cs="Calibri"/>
          <w:b/>
        </w:rPr>
      </w:pPr>
    </w:p>
    <w:p w:rsidR="00376DA1" w:rsidRDefault="00376DA1" w:rsidP="00376DA1">
      <w:pPr>
        <w:rPr>
          <w:rFonts w:ascii="Calibri" w:hAnsi="Calibri" w:cs="Calibri"/>
          <w:b/>
        </w:rPr>
      </w:pPr>
    </w:p>
    <w:p w:rsidR="00376DA1" w:rsidRPr="0057609E" w:rsidRDefault="00376DA1" w:rsidP="00376DA1">
      <w:pPr>
        <w:rPr>
          <w:rFonts w:ascii="Calibri" w:hAnsi="Calibri" w:cs="Calibri"/>
          <w:b/>
        </w:rPr>
      </w:pPr>
      <w:r w:rsidRPr="0057609E">
        <w:rPr>
          <w:rFonts w:ascii="Calibri" w:hAnsi="Calibri" w:cs="Calibri"/>
          <w:b/>
        </w:rPr>
        <w:lastRenderedPageBreak/>
        <w:t>1. WSTĘP</w:t>
      </w:r>
      <w:bookmarkEnd w:id="1441"/>
    </w:p>
    <w:p w:rsidR="00376DA1" w:rsidRPr="00E01903" w:rsidRDefault="00376DA1" w:rsidP="00376DA1">
      <w:pPr>
        <w:rPr>
          <w:rFonts w:ascii="Calibri" w:hAnsi="Calibri" w:cs="Calibri"/>
        </w:rPr>
      </w:pPr>
      <w:r w:rsidRPr="0057609E">
        <w:rPr>
          <w:rFonts w:ascii="Calibri" w:hAnsi="Calibri" w:cs="Calibri"/>
          <w:b/>
        </w:rPr>
        <w:t>1.1.</w:t>
      </w:r>
      <w:r>
        <w:rPr>
          <w:rFonts w:ascii="Calibri" w:hAnsi="Calibri" w:cs="Calibri"/>
        </w:rPr>
        <w:t xml:space="preserve"> Przedmiot </w:t>
      </w:r>
      <w:r w:rsidRPr="00E01903">
        <w:rPr>
          <w:rFonts w:ascii="Calibri" w:hAnsi="Calibri" w:cs="Calibri"/>
        </w:rPr>
        <w:t>ST</w:t>
      </w:r>
    </w:p>
    <w:p w:rsidR="00376DA1" w:rsidRPr="00E01903" w:rsidRDefault="00376DA1" w:rsidP="00376DA1">
      <w:pPr>
        <w:rPr>
          <w:rFonts w:ascii="Calibri" w:hAnsi="Calibri" w:cs="Calibri"/>
        </w:rPr>
      </w:pPr>
      <w:r>
        <w:rPr>
          <w:rFonts w:ascii="Calibri" w:hAnsi="Calibri" w:cs="Calibri"/>
        </w:rPr>
        <w:tab/>
        <w:t xml:space="preserve">Przedmiotem niniejszej </w:t>
      </w:r>
      <w:r w:rsidRPr="00E01903">
        <w:rPr>
          <w:rFonts w:ascii="Calibri" w:hAnsi="Calibri" w:cs="Calibri"/>
        </w:rPr>
        <w:t>specy</w:t>
      </w:r>
      <w:r>
        <w:rPr>
          <w:rFonts w:ascii="Calibri" w:hAnsi="Calibri" w:cs="Calibri"/>
        </w:rPr>
        <w:t>fikacji technicznej (</w:t>
      </w:r>
      <w:r w:rsidRPr="00E01903">
        <w:rPr>
          <w:rFonts w:ascii="Calibri" w:hAnsi="Calibri" w:cs="Calibri"/>
        </w:rPr>
        <w:t>ST) są wymagania dotyczące wykonania i odbioru robót związanych z wykonaniem podbudowy z betonu asfaltowego.</w:t>
      </w:r>
    </w:p>
    <w:p w:rsidR="00376DA1" w:rsidRPr="00E01903" w:rsidRDefault="00376DA1" w:rsidP="00376DA1">
      <w:pPr>
        <w:rPr>
          <w:rFonts w:ascii="Calibri" w:hAnsi="Calibri" w:cs="Calibri"/>
        </w:rPr>
      </w:pPr>
      <w:r w:rsidRPr="0057609E">
        <w:rPr>
          <w:rFonts w:ascii="Calibri" w:hAnsi="Calibri" w:cs="Calibri"/>
          <w:b/>
        </w:rPr>
        <w:t>1.2.</w:t>
      </w:r>
      <w:r>
        <w:rPr>
          <w:rFonts w:ascii="Calibri" w:hAnsi="Calibri" w:cs="Calibri"/>
        </w:rPr>
        <w:t xml:space="preserve"> Zakres stosowania </w:t>
      </w:r>
      <w:r w:rsidRPr="00E01903">
        <w:rPr>
          <w:rFonts w:ascii="Calibri" w:hAnsi="Calibri" w:cs="Calibri"/>
        </w:rPr>
        <w:t>ST</w:t>
      </w:r>
    </w:p>
    <w:p w:rsidR="00376DA1" w:rsidRPr="007621DF" w:rsidRDefault="00376DA1" w:rsidP="00376DA1">
      <w:pPr>
        <w:rPr>
          <w:rFonts w:ascii="Calibri" w:hAnsi="Calibri" w:cs="Calibri"/>
        </w:rPr>
      </w:pPr>
      <w:r w:rsidRPr="00E01903">
        <w:rPr>
          <w:rFonts w:ascii="Calibri" w:hAnsi="Calibri" w:cs="Calibri"/>
        </w:rPr>
        <w:tab/>
      </w:r>
      <w:r w:rsidRPr="007621DF">
        <w:rPr>
          <w:rFonts w:ascii="Calibri" w:hAnsi="Calibri" w:cs="Calibri"/>
        </w:rPr>
        <w:t>Specyfikacja techniczna określa wymagania dla wykonania i odbioru robót budowlanych przewidzianych do wykonania w ramach umowy a zawarte w niej zapisy w zakresie standardu materiałów, wykonania robót i wymaganej ich jakości oraz kontroli jakości robót należy traktować jako minimalne.</w:t>
      </w:r>
    </w:p>
    <w:p w:rsidR="00376DA1" w:rsidRPr="00E01903" w:rsidRDefault="00376DA1" w:rsidP="00376DA1">
      <w:pPr>
        <w:rPr>
          <w:rFonts w:ascii="Calibri" w:hAnsi="Calibri" w:cs="Calibri"/>
        </w:rPr>
      </w:pPr>
      <w:r w:rsidRPr="0057609E">
        <w:rPr>
          <w:rFonts w:ascii="Calibri" w:hAnsi="Calibri" w:cs="Calibri"/>
          <w:b/>
        </w:rPr>
        <w:t>1.3.</w:t>
      </w:r>
      <w:r>
        <w:rPr>
          <w:rFonts w:ascii="Calibri" w:hAnsi="Calibri" w:cs="Calibri"/>
        </w:rPr>
        <w:t xml:space="preserve"> Zakres robót objętych </w:t>
      </w:r>
      <w:r w:rsidRPr="00E01903">
        <w:rPr>
          <w:rFonts w:ascii="Calibri" w:hAnsi="Calibri" w:cs="Calibri"/>
        </w:rPr>
        <w:t>ST</w:t>
      </w:r>
    </w:p>
    <w:p w:rsidR="00D553DB" w:rsidRPr="00666F76" w:rsidRDefault="00376DA1" w:rsidP="00D553DB">
      <w:pPr>
        <w:rPr>
          <w:rFonts w:asciiTheme="minorHAnsi" w:hAnsiTheme="minorHAnsi" w:cs="Calibri"/>
        </w:rPr>
      </w:pPr>
      <w:r w:rsidRPr="00E01903">
        <w:rPr>
          <w:rFonts w:ascii="Calibri" w:hAnsi="Calibri" w:cs="Calibri"/>
        </w:rPr>
        <w:tab/>
        <w:t>Ustalenia zawarte w niniejszej specyfikacji dotyczą zasad prowadzenia robót związanych z wykonaniem i odbiorem warstwy podbudowy z betonu asfaltowego wg PN-EN 13108-1 [47] i WT-2 Nawierzchnie asfaltowe 2010 [65] z mieszanki mineralno-asfalt</w:t>
      </w:r>
      <w:r w:rsidR="00D553DB">
        <w:rPr>
          <w:rFonts w:ascii="Calibri" w:hAnsi="Calibri" w:cs="Calibri"/>
        </w:rPr>
        <w:t xml:space="preserve">owej dostarczonej od producenta </w:t>
      </w:r>
      <w:r w:rsidR="00D553DB" w:rsidRPr="00666F76">
        <w:rPr>
          <w:rFonts w:ascii="Calibri" w:hAnsi="Calibri" w:cs="Calibri"/>
        </w:rPr>
        <w:t>w związku z „</w:t>
      </w:r>
      <w:r w:rsidR="00D553DB" w:rsidRPr="00666F76">
        <w:rPr>
          <w:rFonts w:asciiTheme="minorHAnsi" w:hAnsiTheme="minorHAnsi"/>
        </w:rPr>
        <w:t>Przebudową ul.55 Pułku Piechoty w Lesznie wraz z przebudową oświetlenia”</w:t>
      </w:r>
      <w:r w:rsidR="00D553DB" w:rsidRPr="00666F76">
        <w:rPr>
          <w:rFonts w:asciiTheme="minorHAnsi" w:hAnsiTheme="minorHAnsi" w:cs="Calibri"/>
        </w:rPr>
        <w:t>.</w:t>
      </w:r>
    </w:p>
    <w:p w:rsidR="00376DA1" w:rsidRPr="00E01903" w:rsidRDefault="00376DA1" w:rsidP="00376DA1">
      <w:pPr>
        <w:rPr>
          <w:rFonts w:ascii="Calibri" w:hAnsi="Calibri" w:cs="Calibri"/>
        </w:rPr>
      </w:pPr>
      <w:r w:rsidRPr="00E01903">
        <w:rPr>
          <w:rFonts w:ascii="Calibri" w:hAnsi="Calibri" w:cs="Calibri"/>
        </w:rPr>
        <w:t xml:space="preserve"> W przypadku produkcji mieszanki mineralno-asfaltowej przez Wykonawcę dla potrzeb budowy, Wykonawca zobowiązany jest prowadzić Zakładową kontrolę produkcji (ZKP) zgodnie z WT-2 [65] punkt 8.4.1.5.</w:t>
      </w:r>
    </w:p>
    <w:p w:rsidR="00376DA1" w:rsidRDefault="00376DA1" w:rsidP="00376DA1">
      <w:pPr>
        <w:rPr>
          <w:rFonts w:ascii="Calibri" w:hAnsi="Calibri" w:cs="Calibri"/>
        </w:rPr>
      </w:pPr>
      <w:r w:rsidRPr="00E01903">
        <w:rPr>
          <w:rFonts w:ascii="Calibri" w:hAnsi="Calibri" w:cs="Calibri"/>
        </w:rPr>
        <w:tab/>
        <w:t>Podbudowę z betonu asfaltowego można wykonywać dla dróg kategorii ruchu od KR1 do KR6 (określenie kategorii ruchu podano w punkcie 1.4.7). Stosowane mieszanki  betonu asfaltowego o wymiarze D podano w tablicy 1.</w:t>
      </w:r>
    </w:p>
    <w:p w:rsidR="00376DA1" w:rsidRPr="00E01903" w:rsidRDefault="00376DA1" w:rsidP="00376DA1">
      <w:pPr>
        <w:rPr>
          <w:rFonts w:ascii="Calibri" w:hAnsi="Calibri" w:cs="Calibri"/>
        </w:rPr>
      </w:pPr>
    </w:p>
    <w:p w:rsidR="00376DA1" w:rsidRPr="00E01903" w:rsidRDefault="00376DA1" w:rsidP="00376DA1">
      <w:pPr>
        <w:ind w:left="709"/>
        <w:rPr>
          <w:rFonts w:ascii="Calibri" w:hAnsi="Calibri" w:cs="Calibri"/>
        </w:rPr>
      </w:pPr>
      <w:r w:rsidRPr="00E01903">
        <w:rPr>
          <w:rFonts w:ascii="Calibri" w:hAnsi="Calibri" w:cs="Calibri"/>
        </w:rPr>
        <w:t xml:space="preserve">Tablica 1. Stosowane mieszanki </w:t>
      </w:r>
    </w:p>
    <w:tbl>
      <w:tblPr>
        <w:tblW w:w="0" w:type="auto"/>
        <w:tblInd w:w="81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tblPr>
      <w:tblGrid>
        <w:gridCol w:w="1276"/>
        <w:gridCol w:w="6132"/>
      </w:tblGrid>
      <w:tr w:rsidR="00376DA1" w:rsidRPr="00DC3A43" w:rsidTr="00556540">
        <w:trPr>
          <w:trHeight w:val="590"/>
        </w:trPr>
        <w:tc>
          <w:tcPr>
            <w:tcW w:w="1276" w:type="dxa"/>
            <w:vAlign w:val="center"/>
          </w:tcPr>
          <w:p w:rsidR="00376DA1" w:rsidRPr="00DC3A43" w:rsidRDefault="00376DA1" w:rsidP="00556540">
            <w:pPr>
              <w:spacing w:before="60"/>
              <w:jc w:val="center"/>
              <w:rPr>
                <w:rFonts w:ascii="Calibri" w:hAnsi="Calibri" w:cs="Calibri"/>
                <w:sz w:val="18"/>
                <w:szCs w:val="18"/>
              </w:rPr>
            </w:pPr>
            <w:r w:rsidRPr="00DC3A43">
              <w:rPr>
                <w:rFonts w:ascii="Calibri" w:hAnsi="Calibri" w:cs="Calibri"/>
                <w:sz w:val="18"/>
                <w:szCs w:val="18"/>
              </w:rPr>
              <w:t xml:space="preserve">Kategoria </w:t>
            </w:r>
          </w:p>
          <w:p w:rsidR="00376DA1" w:rsidRPr="00DC3A43" w:rsidRDefault="00376DA1" w:rsidP="00556540">
            <w:pPr>
              <w:jc w:val="center"/>
              <w:rPr>
                <w:rFonts w:ascii="Calibri" w:hAnsi="Calibri" w:cs="Calibri"/>
                <w:sz w:val="18"/>
                <w:szCs w:val="18"/>
              </w:rPr>
            </w:pPr>
            <w:r w:rsidRPr="00DC3A43">
              <w:rPr>
                <w:rFonts w:ascii="Calibri" w:hAnsi="Calibri" w:cs="Calibri"/>
                <w:sz w:val="18"/>
                <w:szCs w:val="18"/>
              </w:rPr>
              <w:t>ruchu</w:t>
            </w:r>
          </w:p>
        </w:tc>
        <w:tc>
          <w:tcPr>
            <w:tcW w:w="6132" w:type="dxa"/>
            <w:vAlign w:val="center"/>
          </w:tcPr>
          <w:p w:rsidR="00376DA1" w:rsidRPr="00DC3A43" w:rsidRDefault="00376DA1" w:rsidP="00556540">
            <w:pPr>
              <w:spacing w:before="60" w:after="60"/>
              <w:jc w:val="center"/>
              <w:rPr>
                <w:rFonts w:ascii="Calibri" w:hAnsi="Calibri" w:cs="Calibri"/>
                <w:sz w:val="18"/>
                <w:szCs w:val="18"/>
              </w:rPr>
            </w:pPr>
            <w:r w:rsidRPr="00DC3A43">
              <w:rPr>
                <w:rFonts w:ascii="Calibri" w:hAnsi="Calibri" w:cs="Calibri"/>
                <w:sz w:val="18"/>
                <w:szCs w:val="18"/>
              </w:rPr>
              <w:t>Mieszanki  o wymiarze D</w:t>
            </w:r>
            <w:r w:rsidRPr="00DC3A43">
              <w:rPr>
                <w:rFonts w:ascii="Calibri" w:hAnsi="Calibri" w:cs="Calibri"/>
                <w:sz w:val="18"/>
                <w:szCs w:val="18"/>
                <w:vertAlign w:val="superscript"/>
              </w:rPr>
              <w:t>1)</w:t>
            </w:r>
            <w:r w:rsidRPr="00DC3A43">
              <w:rPr>
                <w:rFonts w:ascii="Calibri" w:hAnsi="Calibri" w:cs="Calibri"/>
                <w:sz w:val="18"/>
                <w:szCs w:val="18"/>
              </w:rPr>
              <w:t>,  mm</w:t>
            </w:r>
          </w:p>
        </w:tc>
      </w:tr>
      <w:tr w:rsidR="00376DA1" w:rsidRPr="00C3299C" w:rsidTr="00556540">
        <w:tc>
          <w:tcPr>
            <w:tcW w:w="1276" w:type="dxa"/>
          </w:tcPr>
          <w:p w:rsidR="00376DA1" w:rsidRPr="00DC3A43" w:rsidRDefault="00376DA1" w:rsidP="00556540">
            <w:pPr>
              <w:spacing w:before="60" w:after="60"/>
              <w:jc w:val="center"/>
              <w:rPr>
                <w:rFonts w:ascii="Calibri" w:hAnsi="Calibri" w:cs="Calibri"/>
                <w:sz w:val="18"/>
                <w:szCs w:val="18"/>
              </w:rPr>
            </w:pPr>
            <w:r w:rsidRPr="00DC3A43">
              <w:rPr>
                <w:rFonts w:ascii="Calibri" w:hAnsi="Calibri" w:cs="Calibri"/>
                <w:sz w:val="18"/>
                <w:szCs w:val="18"/>
              </w:rPr>
              <w:t>KR 1-2</w:t>
            </w:r>
          </w:p>
          <w:p w:rsidR="00376DA1" w:rsidRPr="00DC3A43" w:rsidRDefault="00376DA1" w:rsidP="00556540">
            <w:pPr>
              <w:spacing w:before="60" w:after="60"/>
              <w:jc w:val="center"/>
              <w:rPr>
                <w:rFonts w:ascii="Calibri" w:hAnsi="Calibri" w:cs="Calibri"/>
                <w:sz w:val="18"/>
                <w:szCs w:val="18"/>
              </w:rPr>
            </w:pPr>
            <w:r w:rsidRPr="00DC3A43">
              <w:rPr>
                <w:rFonts w:ascii="Calibri" w:hAnsi="Calibri" w:cs="Calibri"/>
                <w:sz w:val="18"/>
                <w:szCs w:val="18"/>
              </w:rPr>
              <w:t>KR 3-4</w:t>
            </w:r>
          </w:p>
          <w:p w:rsidR="00376DA1" w:rsidRPr="00DC3A43" w:rsidRDefault="00376DA1" w:rsidP="00556540">
            <w:pPr>
              <w:spacing w:before="60" w:after="60"/>
              <w:jc w:val="center"/>
              <w:rPr>
                <w:rFonts w:ascii="Calibri" w:hAnsi="Calibri" w:cs="Calibri"/>
                <w:sz w:val="18"/>
                <w:szCs w:val="18"/>
              </w:rPr>
            </w:pPr>
            <w:r w:rsidRPr="00DC3A43">
              <w:rPr>
                <w:rFonts w:ascii="Calibri" w:hAnsi="Calibri" w:cs="Calibri"/>
                <w:sz w:val="18"/>
                <w:szCs w:val="18"/>
              </w:rPr>
              <w:t>KR 5-6</w:t>
            </w:r>
          </w:p>
        </w:tc>
        <w:tc>
          <w:tcPr>
            <w:tcW w:w="6132" w:type="dxa"/>
          </w:tcPr>
          <w:p w:rsidR="00376DA1" w:rsidRPr="00DC3A43" w:rsidRDefault="00376DA1" w:rsidP="00556540">
            <w:pPr>
              <w:spacing w:before="60" w:after="60"/>
              <w:jc w:val="center"/>
              <w:rPr>
                <w:rFonts w:ascii="Calibri" w:hAnsi="Calibri" w:cs="Calibri"/>
                <w:sz w:val="18"/>
                <w:szCs w:val="18"/>
                <w:lang w:val="en-US"/>
              </w:rPr>
            </w:pPr>
            <w:r w:rsidRPr="00DC3A43">
              <w:rPr>
                <w:rFonts w:ascii="Calibri" w:hAnsi="Calibri" w:cs="Calibri"/>
                <w:sz w:val="18"/>
                <w:szCs w:val="18"/>
                <w:lang w:val="en-US"/>
              </w:rPr>
              <w:t>AC16P, AC22P</w:t>
            </w:r>
          </w:p>
          <w:p w:rsidR="00376DA1" w:rsidRPr="00DC3A43" w:rsidRDefault="00376DA1" w:rsidP="00556540">
            <w:pPr>
              <w:spacing w:before="60" w:after="60"/>
              <w:jc w:val="center"/>
              <w:rPr>
                <w:rFonts w:ascii="Calibri" w:hAnsi="Calibri" w:cs="Calibri"/>
                <w:sz w:val="18"/>
                <w:szCs w:val="18"/>
                <w:lang w:val="en-US"/>
              </w:rPr>
            </w:pPr>
            <w:r w:rsidRPr="00DC3A43">
              <w:rPr>
                <w:rFonts w:ascii="Calibri" w:hAnsi="Calibri" w:cs="Calibri"/>
                <w:sz w:val="18"/>
                <w:szCs w:val="18"/>
                <w:lang w:val="en-US"/>
              </w:rPr>
              <w:t>AC16P, AC22P, AC32P</w:t>
            </w:r>
          </w:p>
          <w:p w:rsidR="00376DA1" w:rsidRPr="00DC3A43" w:rsidRDefault="00376DA1" w:rsidP="00556540">
            <w:pPr>
              <w:spacing w:before="60" w:after="60"/>
              <w:jc w:val="center"/>
              <w:rPr>
                <w:rFonts w:ascii="Calibri" w:hAnsi="Calibri" w:cs="Calibri"/>
                <w:sz w:val="18"/>
                <w:szCs w:val="18"/>
                <w:lang w:val="en-US"/>
              </w:rPr>
            </w:pPr>
            <w:r w:rsidRPr="00DC3A43">
              <w:rPr>
                <w:rFonts w:ascii="Calibri" w:hAnsi="Calibri" w:cs="Calibri"/>
                <w:sz w:val="18"/>
                <w:szCs w:val="18"/>
                <w:lang w:val="en-US"/>
              </w:rPr>
              <w:t>AC16P, AC22P, AC32P</w:t>
            </w:r>
          </w:p>
        </w:tc>
      </w:tr>
    </w:tbl>
    <w:p w:rsidR="00376DA1" w:rsidRPr="0057609E" w:rsidRDefault="00376DA1" w:rsidP="00376DA1">
      <w:pPr>
        <w:ind w:left="709"/>
        <w:rPr>
          <w:rFonts w:ascii="Calibri" w:hAnsi="Calibri" w:cs="Calibri"/>
          <w:sz w:val="16"/>
          <w:szCs w:val="16"/>
        </w:rPr>
      </w:pPr>
      <w:r w:rsidRPr="0057609E">
        <w:rPr>
          <w:rFonts w:ascii="Calibri" w:hAnsi="Calibri" w:cs="Calibri"/>
          <w:sz w:val="16"/>
          <w:szCs w:val="16"/>
        </w:rPr>
        <w:t>1)Podział ze względu na wymiar największego kruszywa w mieszance.</w:t>
      </w:r>
    </w:p>
    <w:p w:rsidR="00376DA1" w:rsidRPr="0057609E" w:rsidRDefault="00376DA1" w:rsidP="00376DA1">
      <w:pPr>
        <w:rPr>
          <w:rFonts w:ascii="Calibri" w:hAnsi="Calibri" w:cs="Calibri"/>
          <w:sz w:val="16"/>
          <w:szCs w:val="16"/>
        </w:rPr>
      </w:pPr>
    </w:p>
    <w:p w:rsidR="00376DA1" w:rsidRPr="00FD0AA8" w:rsidRDefault="00376DA1" w:rsidP="00376DA1">
      <w:pPr>
        <w:rPr>
          <w:rFonts w:ascii="Calibri" w:hAnsi="Calibri" w:cs="Calibri"/>
        </w:rPr>
      </w:pPr>
      <w:r w:rsidRPr="0057609E">
        <w:rPr>
          <w:rFonts w:ascii="Calibri" w:hAnsi="Calibri" w:cs="Calibri"/>
          <w:b/>
        </w:rPr>
        <w:t>1.4.</w:t>
      </w:r>
      <w:r w:rsidRPr="00FD0AA8">
        <w:rPr>
          <w:rFonts w:ascii="Calibri" w:hAnsi="Calibri" w:cs="Calibri"/>
        </w:rPr>
        <w:t xml:space="preserve"> Określenia podstawowe</w:t>
      </w:r>
    </w:p>
    <w:p w:rsidR="00376DA1" w:rsidRPr="00FD0AA8" w:rsidRDefault="00376DA1" w:rsidP="00376DA1">
      <w:pPr>
        <w:rPr>
          <w:rFonts w:ascii="Calibri" w:hAnsi="Calibri" w:cs="Calibri"/>
        </w:rPr>
      </w:pPr>
      <w:r w:rsidRPr="0057609E">
        <w:rPr>
          <w:rFonts w:ascii="Calibri" w:hAnsi="Calibri" w:cs="Calibri"/>
          <w:b/>
        </w:rPr>
        <w:t>1.4.1.</w:t>
      </w:r>
      <w:r w:rsidRPr="00FD0AA8">
        <w:rPr>
          <w:rFonts w:ascii="Calibri" w:hAnsi="Calibri" w:cs="Calibri"/>
        </w:rPr>
        <w:t xml:space="preserve"> Nawierzchnia – konstrukcja składająca się z jednej lub kilku warstw służących do przejmowania i rozkładania obciążeń od ruchu pojazdów na podłoże.</w:t>
      </w:r>
    </w:p>
    <w:p w:rsidR="00376DA1" w:rsidRPr="00FD0AA8" w:rsidRDefault="00376DA1" w:rsidP="00376DA1">
      <w:pPr>
        <w:rPr>
          <w:rFonts w:ascii="Calibri" w:hAnsi="Calibri" w:cs="Calibri"/>
        </w:rPr>
      </w:pPr>
      <w:r w:rsidRPr="0057609E">
        <w:rPr>
          <w:rFonts w:ascii="Calibri" w:hAnsi="Calibri" w:cs="Calibri"/>
          <w:b/>
        </w:rPr>
        <w:t xml:space="preserve">1.4.2. </w:t>
      </w:r>
      <w:r w:rsidRPr="00FD0AA8">
        <w:rPr>
          <w:rFonts w:ascii="Calibri" w:hAnsi="Calibri" w:cs="Calibri"/>
        </w:rPr>
        <w:t>Podbudowa – główny element konstrukcyjny nawierzchni, który może być ułożony w jednej lub kilku warstwach.</w:t>
      </w:r>
    </w:p>
    <w:p w:rsidR="00376DA1" w:rsidRPr="00FD0AA8" w:rsidRDefault="00376DA1" w:rsidP="00376DA1">
      <w:pPr>
        <w:rPr>
          <w:rFonts w:ascii="Calibri" w:hAnsi="Calibri" w:cs="Calibri"/>
        </w:rPr>
      </w:pPr>
      <w:r w:rsidRPr="0057609E">
        <w:rPr>
          <w:rFonts w:ascii="Calibri" w:hAnsi="Calibri" w:cs="Calibri"/>
          <w:b/>
        </w:rPr>
        <w:t>1.4.3.</w:t>
      </w:r>
      <w:r w:rsidRPr="00FD0AA8">
        <w:rPr>
          <w:rFonts w:ascii="Calibri" w:hAnsi="Calibri" w:cs="Calibri"/>
        </w:rPr>
        <w:t xml:space="preserve"> Mieszanka mineralno-asfaltowa – mieszanka kruszyw i lepiszcza asfaltowego.</w:t>
      </w:r>
    </w:p>
    <w:p w:rsidR="00376DA1" w:rsidRPr="00FD0AA8" w:rsidRDefault="00376DA1" w:rsidP="00376DA1">
      <w:pPr>
        <w:rPr>
          <w:rFonts w:ascii="Calibri" w:hAnsi="Calibri" w:cs="Calibri"/>
        </w:rPr>
      </w:pPr>
      <w:r w:rsidRPr="0057609E">
        <w:rPr>
          <w:rFonts w:ascii="Calibri" w:hAnsi="Calibri" w:cs="Calibri"/>
          <w:b/>
        </w:rPr>
        <w:t>1.4.4.</w:t>
      </w:r>
      <w:r w:rsidRPr="00FD0AA8">
        <w:rPr>
          <w:rFonts w:ascii="Calibri" w:hAnsi="Calibri" w:cs="Calibri"/>
        </w:rPr>
        <w:t xml:space="preserve"> Wymiar mieszanki mineralno-asfaltowej – określenie mieszanki mineralno-asfaltowej ze względu na największy wymiar kruszywa D, np. wymiar 16, 22 lub 32.</w:t>
      </w:r>
    </w:p>
    <w:p w:rsidR="00376DA1" w:rsidRPr="00FD0AA8" w:rsidRDefault="00376DA1" w:rsidP="00376DA1">
      <w:pPr>
        <w:rPr>
          <w:rFonts w:ascii="Calibri" w:hAnsi="Calibri" w:cs="Calibri"/>
        </w:rPr>
      </w:pPr>
      <w:r w:rsidRPr="0057609E">
        <w:rPr>
          <w:rFonts w:ascii="Calibri" w:hAnsi="Calibri" w:cs="Calibri"/>
          <w:b/>
        </w:rPr>
        <w:t>1.4.5.</w:t>
      </w:r>
      <w:r w:rsidRPr="00FD0AA8">
        <w:rPr>
          <w:rFonts w:ascii="Calibri" w:hAnsi="Calibri" w:cs="Calibri"/>
        </w:rPr>
        <w:t xml:space="preserve"> Beton asfaltowy – mieszanka mineralno-asfaltowa, w której kruszywo o uziarnieniu ciągłym lub nieciągłym tworzy strukturę wzajemnie klinującą się.</w:t>
      </w:r>
    </w:p>
    <w:p w:rsidR="00376DA1" w:rsidRPr="00FD0AA8" w:rsidRDefault="00376DA1" w:rsidP="00376DA1">
      <w:pPr>
        <w:rPr>
          <w:rFonts w:ascii="Calibri" w:hAnsi="Calibri" w:cs="Calibri"/>
        </w:rPr>
      </w:pPr>
      <w:r w:rsidRPr="0057609E">
        <w:rPr>
          <w:rFonts w:ascii="Calibri" w:hAnsi="Calibri" w:cs="Calibri"/>
          <w:b/>
        </w:rPr>
        <w:t>1.4.6.</w:t>
      </w:r>
      <w:r w:rsidRPr="00FD0AA8">
        <w:rPr>
          <w:rFonts w:ascii="Calibri" w:hAnsi="Calibri" w:cs="Calibri"/>
        </w:rPr>
        <w:t xml:space="preserve"> Uziarnienie – skład ziarnowy kruszywa, wyrażony w procentach masy ziaren przechodzących przez określony zestaw sit.</w:t>
      </w:r>
    </w:p>
    <w:p w:rsidR="00376DA1" w:rsidRPr="00FD0AA8" w:rsidRDefault="00376DA1" w:rsidP="00376DA1">
      <w:pPr>
        <w:rPr>
          <w:rFonts w:ascii="Calibri" w:hAnsi="Calibri" w:cs="Calibri"/>
        </w:rPr>
      </w:pPr>
      <w:r w:rsidRPr="0057609E">
        <w:rPr>
          <w:rFonts w:ascii="Calibri" w:hAnsi="Calibri" w:cs="Calibri"/>
          <w:b/>
        </w:rPr>
        <w:t>1.4.7.</w:t>
      </w:r>
      <w:r w:rsidRPr="00FD0AA8">
        <w:rPr>
          <w:rFonts w:ascii="Calibri" w:hAnsi="Calibri" w:cs="Calibri"/>
        </w:rPr>
        <w:t xml:space="preserve"> Kategoria ruchu – obciążenie drogi ruchem samochodowym, wyrażone w osiach obliczeniowych (100 kN) wg „Katalogu typowych konstrukcji nawierzchni podatnych i półsztywnych” GDDP-IBDiM [68].</w:t>
      </w:r>
    </w:p>
    <w:p w:rsidR="00376DA1" w:rsidRPr="00FD0AA8" w:rsidRDefault="00376DA1" w:rsidP="00376DA1">
      <w:pPr>
        <w:rPr>
          <w:rFonts w:ascii="Calibri" w:hAnsi="Calibri" w:cs="Calibri"/>
        </w:rPr>
      </w:pPr>
      <w:r w:rsidRPr="0057609E">
        <w:rPr>
          <w:rFonts w:ascii="Calibri" w:hAnsi="Calibri" w:cs="Calibri"/>
          <w:b/>
        </w:rPr>
        <w:t>1.4.8.</w:t>
      </w:r>
      <w:r w:rsidRPr="00FD0AA8">
        <w:rPr>
          <w:rFonts w:ascii="Calibri" w:hAnsi="Calibri" w:cs="Calibri"/>
        </w:rPr>
        <w:t xml:space="preserve"> Wymiar kruszywa – wielkość ziaren kruszywa, określona przez dolny (d) i górny (D) wymiar sita.</w:t>
      </w:r>
    </w:p>
    <w:p w:rsidR="00376DA1" w:rsidRPr="00FD0AA8" w:rsidRDefault="00376DA1" w:rsidP="00376DA1">
      <w:pPr>
        <w:rPr>
          <w:rFonts w:ascii="Calibri" w:hAnsi="Calibri" w:cs="Calibri"/>
        </w:rPr>
      </w:pPr>
      <w:r w:rsidRPr="0057609E">
        <w:rPr>
          <w:rFonts w:ascii="Calibri" w:hAnsi="Calibri" w:cs="Calibri"/>
          <w:b/>
        </w:rPr>
        <w:t>1.4.9.</w:t>
      </w:r>
      <w:r w:rsidRPr="00FD0AA8">
        <w:rPr>
          <w:rFonts w:ascii="Calibri" w:hAnsi="Calibri" w:cs="Calibri"/>
        </w:rPr>
        <w:t xml:space="preserve"> Kruszywo grube – kruszywo z ziaren o wymiarze: D ≤ </w:t>
      </w:r>
      <w:smartTag w:uri="urn:schemas-microsoft-com:office:smarttags" w:element="metricconverter">
        <w:smartTagPr>
          <w:attr w:name="ProductID" w:val="45 mm"/>
        </w:smartTagPr>
        <w:r w:rsidRPr="00FD0AA8">
          <w:rPr>
            <w:rFonts w:ascii="Calibri" w:hAnsi="Calibri" w:cs="Calibri"/>
          </w:rPr>
          <w:t>45 mm</w:t>
        </w:r>
      </w:smartTag>
      <w:r w:rsidRPr="00FD0AA8">
        <w:rPr>
          <w:rFonts w:ascii="Calibri" w:hAnsi="Calibri" w:cs="Calibri"/>
        </w:rPr>
        <w:t xml:space="preserve"> oraz d &gt; </w:t>
      </w:r>
      <w:smartTag w:uri="urn:schemas-microsoft-com:office:smarttags" w:element="metricconverter">
        <w:smartTagPr>
          <w:attr w:name="ProductID" w:val="2 mm"/>
        </w:smartTagPr>
        <w:r w:rsidRPr="00FD0AA8">
          <w:rPr>
            <w:rFonts w:ascii="Calibri" w:hAnsi="Calibri" w:cs="Calibri"/>
          </w:rPr>
          <w:t>2 mm</w:t>
        </w:r>
      </w:smartTag>
      <w:r w:rsidRPr="00FD0AA8">
        <w:rPr>
          <w:rFonts w:ascii="Calibri" w:hAnsi="Calibri" w:cs="Calibri"/>
        </w:rPr>
        <w:t>.</w:t>
      </w:r>
    </w:p>
    <w:p w:rsidR="00376DA1" w:rsidRPr="00FD0AA8" w:rsidRDefault="00376DA1" w:rsidP="00376DA1">
      <w:pPr>
        <w:rPr>
          <w:rFonts w:ascii="Calibri" w:hAnsi="Calibri" w:cs="Calibri"/>
        </w:rPr>
      </w:pPr>
      <w:r w:rsidRPr="0057609E">
        <w:rPr>
          <w:rFonts w:ascii="Calibri" w:hAnsi="Calibri" w:cs="Calibri"/>
          <w:b/>
        </w:rPr>
        <w:t>1.4.10.</w:t>
      </w:r>
      <w:r w:rsidRPr="00FD0AA8">
        <w:rPr>
          <w:rFonts w:ascii="Calibri" w:hAnsi="Calibri" w:cs="Calibri"/>
        </w:rPr>
        <w:t xml:space="preserve"> Kruszywo drobne – kruszywo z ziaren o wymiarze: D ≤ </w:t>
      </w:r>
      <w:smartTag w:uri="urn:schemas-microsoft-com:office:smarttags" w:element="metricconverter">
        <w:smartTagPr>
          <w:attr w:name="ProductID" w:val="2 mm"/>
        </w:smartTagPr>
        <w:r w:rsidRPr="00FD0AA8">
          <w:rPr>
            <w:rFonts w:ascii="Calibri" w:hAnsi="Calibri" w:cs="Calibri"/>
          </w:rPr>
          <w:t>2 mm</w:t>
        </w:r>
      </w:smartTag>
      <w:r w:rsidRPr="00FD0AA8">
        <w:rPr>
          <w:rFonts w:ascii="Calibri" w:hAnsi="Calibri" w:cs="Calibri"/>
        </w:rPr>
        <w:t xml:space="preserve">, którego większa część pozostaje na sicie </w:t>
      </w:r>
      <w:smartTag w:uri="urn:schemas-microsoft-com:office:smarttags" w:element="metricconverter">
        <w:smartTagPr>
          <w:attr w:name="ProductID" w:val="0,063 mm"/>
        </w:smartTagPr>
        <w:r w:rsidRPr="00FD0AA8">
          <w:rPr>
            <w:rFonts w:ascii="Calibri" w:hAnsi="Calibri" w:cs="Calibri"/>
          </w:rPr>
          <w:t>0,063 mm</w:t>
        </w:r>
      </w:smartTag>
      <w:r w:rsidRPr="00FD0AA8">
        <w:rPr>
          <w:rFonts w:ascii="Calibri" w:hAnsi="Calibri" w:cs="Calibri"/>
        </w:rPr>
        <w:t>.</w:t>
      </w:r>
    </w:p>
    <w:p w:rsidR="00376DA1" w:rsidRPr="00FD0AA8" w:rsidRDefault="00376DA1" w:rsidP="00376DA1">
      <w:pPr>
        <w:rPr>
          <w:rFonts w:ascii="Calibri" w:hAnsi="Calibri" w:cs="Calibri"/>
        </w:rPr>
      </w:pPr>
      <w:r w:rsidRPr="0057609E">
        <w:rPr>
          <w:rFonts w:ascii="Calibri" w:hAnsi="Calibri" w:cs="Calibri"/>
          <w:b/>
        </w:rPr>
        <w:t>1.4.11.</w:t>
      </w:r>
      <w:r w:rsidRPr="00FD0AA8">
        <w:rPr>
          <w:rFonts w:ascii="Calibri" w:hAnsi="Calibri" w:cs="Calibri"/>
        </w:rPr>
        <w:t xml:space="preserve"> Pył – kruszywo z ziaren przechodzących przez sito </w:t>
      </w:r>
      <w:smartTag w:uri="urn:schemas-microsoft-com:office:smarttags" w:element="metricconverter">
        <w:smartTagPr>
          <w:attr w:name="ProductID" w:val="0,063 mm"/>
        </w:smartTagPr>
        <w:r w:rsidRPr="00FD0AA8">
          <w:rPr>
            <w:rFonts w:ascii="Calibri" w:hAnsi="Calibri" w:cs="Calibri"/>
          </w:rPr>
          <w:t>0,063 mm</w:t>
        </w:r>
      </w:smartTag>
      <w:r w:rsidRPr="00FD0AA8">
        <w:rPr>
          <w:rFonts w:ascii="Calibri" w:hAnsi="Calibri" w:cs="Calibri"/>
        </w:rPr>
        <w:t>.</w:t>
      </w:r>
    </w:p>
    <w:p w:rsidR="00376DA1" w:rsidRPr="00FD0AA8" w:rsidRDefault="00376DA1" w:rsidP="00376DA1">
      <w:pPr>
        <w:rPr>
          <w:rFonts w:ascii="Calibri" w:hAnsi="Calibri" w:cs="Calibri"/>
        </w:rPr>
      </w:pPr>
      <w:r w:rsidRPr="0057609E">
        <w:rPr>
          <w:rFonts w:ascii="Calibri" w:hAnsi="Calibri" w:cs="Calibri"/>
          <w:b/>
        </w:rPr>
        <w:t>1.4.12.</w:t>
      </w:r>
      <w:r w:rsidRPr="00FD0AA8">
        <w:rPr>
          <w:rFonts w:ascii="Calibri" w:hAnsi="Calibri" w:cs="Calibri"/>
        </w:rPr>
        <w:t xml:space="preserve"> Wypełniacz – kruszywo, którego większa część przechodzi przez sito </w:t>
      </w:r>
      <w:smartTag w:uri="urn:schemas-microsoft-com:office:smarttags" w:element="metricconverter">
        <w:smartTagPr>
          <w:attr w:name="ProductID" w:val="0,063 mm"/>
        </w:smartTagPr>
        <w:r w:rsidRPr="00FD0AA8">
          <w:rPr>
            <w:rFonts w:ascii="Calibri" w:hAnsi="Calibri" w:cs="Calibri"/>
          </w:rPr>
          <w:t>0,063 mm</w:t>
        </w:r>
      </w:smartTag>
      <w:r w:rsidRPr="00FD0AA8">
        <w:rPr>
          <w:rFonts w:ascii="Calibri" w:hAnsi="Calibri" w:cs="Calibri"/>
        </w:rPr>
        <w:t>. (Wypełniacz mieszany – kruszywo, które składa się z wypełniacza pochodzenia mineralnego i wodorotlenku wapnia. Wypełniacz dodany – wypełniacz pochodzenia mineralnego, wyprodukowany oddzielnie).</w:t>
      </w:r>
    </w:p>
    <w:p w:rsidR="00376DA1" w:rsidRPr="00FD0AA8" w:rsidRDefault="00376DA1" w:rsidP="00376DA1">
      <w:pPr>
        <w:rPr>
          <w:rFonts w:ascii="Calibri" w:hAnsi="Calibri" w:cs="Calibri"/>
        </w:rPr>
      </w:pPr>
      <w:r w:rsidRPr="0057609E">
        <w:rPr>
          <w:rFonts w:ascii="Calibri" w:hAnsi="Calibri" w:cs="Calibri"/>
          <w:b/>
        </w:rPr>
        <w:t>1.4.13.</w:t>
      </w:r>
      <w:r w:rsidRPr="00FD0AA8">
        <w:rPr>
          <w:rFonts w:ascii="Calibri" w:hAnsi="Calibri" w:cs="Calibri"/>
        </w:rPr>
        <w:t xml:space="preserve"> Kationowa emulsja asfaltowa – emulsja, w której emulgator nadaje dodatnie ładunki cząstkom zdyspergowanego asfaltu.</w:t>
      </w:r>
    </w:p>
    <w:p w:rsidR="00376DA1" w:rsidRPr="00FD0AA8" w:rsidRDefault="00376DA1" w:rsidP="00376DA1">
      <w:pPr>
        <w:rPr>
          <w:rFonts w:ascii="Calibri" w:hAnsi="Calibri" w:cs="Calibri"/>
        </w:rPr>
      </w:pPr>
      <w:r w:rsidRPr="00067D08">
        <w:rPr>
          <w:rFonts w:ascii="Calibri" w:hAnsi="Calibri" w:cs="Calibri"/>
          <w:b/>
        </w:rPr>
        <w:t>1.4.14.</w:t>
      </w:r>
      <w:r w:rsidRPr="00FD0AA8">
        <w:rPr>
          <w:rFonts w:ascii="Calibri" w:hAnsi="Calibri" w:cs="Calibri"/>
        </w:rPr>
        <w:t xml:space="preserve"> Pozostałe określenia podstawowe są zgodne z obowiązującymi, odpowiednimi polskimi normami i z </w:t>
      </w:r>
      <w:r>
        <w:rPr>
          <w:rFonts w:ascii="Calibri" w:hAnsi="Calibri" w:cs="Calibri"/>
        </w:rPr>
        <w:t xml:space="preserve">definicjami podanymi w </w:t>
      </w:r>
      <w:r w:rsidRPr="00FD0AA8">
        <w:rPr>
          <w:rFonts w:ascii="Calibri" w:hAnsi="Calibri" w:cs="Calibri"/>
        </w:rPr>
        <w:t>ST D-M-00.00.00 „Wymagania ogólne” pkt 1.4.</w:t>
      </w:r>
    </w:p>
    <w:p w:rsidR="00376DA1" w:rsidRPr="00FD0AA8" w:rsidRDefault="00376DA1" w:rsidP="00376DA1">
      <w:pPr>
        <w:rPr>
          <w:rFonts w:ascii="Calibri" w:hAnsi="Calibri" w:cs="Calibri"/>
        </w:rPr>
      </w:pPr>
      <w:r w:rsidRPr="00067D08">
        <w:rPr>
          <w:rFonts w:ascii="Calibri" w:hAnsi="Calibri" w:cs="Calibri"/>
          <w:b/>
        </w:rPr>
        <w:t>1.4.15.</w:t>
      </w:r>
      <w:r w:rsidRPr="00FD0AA8">
        <w:rPr>
          <w:rFonts w:ascii="Calibri" w:hAnsi="Calibri" w:cs="Calibri"/>
        </w:rPr>
        <w:t xml:space="preserve"> Symbole i skróty dodatkowe</w:t>
      </w:r>
    </w:p>
    <w:tbl>
      <w:tblPr>
        <w:tblW w:w="0" w:type="auto"/>
        <w:tblLook w:val="04A0"/>
      </w:tblPr>
      <w:tblGrid>
        <w:gridCol w:w="817"/>
        <w:gridCol w:w="6694"/>
      </w:tblGrid>
      <w:tr w:rsidR="00376DA1" w:rsidRPr="000F0946" w:rsidTr="00556540">
        <w:tc>
          <w:tcPr>
            <w:tcW w:w="817" w:type="dxa"/>
          </w:tcPr>
          <w:p w:rsidR="00376DA1" w:rsidRPr="00FD0AA8" w:rsidRDefault="00376DA1" w:rsidP="00556540">
            <w:pPr>
              <w:pStyle w:val="StylIwony"/>
              <w:spacing w:before="0" w:after="0"/>
              <w:rPr>
                <w:rFonts w:ascii="Calibri" w:hAnsi="Calibri" w:cs="Calibri"/>
                <w:sz w:val="20"/>
              </w:rPr>
            </w:pPr>
            <w:r w:rsidRPr="00FD0AA8">
              <w:rPr>
                <w:rFonts w:ascii="Calibri" w:hAnsi="Calibri" w:cs="Calibri"/>
                <w:sz w:val="20"/>
              </w:rPr>
              <w:t xml:space="preserve">ACP   </w:t>
            </w:r>
          </w:p>
        </w:tc>
        <w:tc>
          <w:tcPr>
            <w:tcW w:w="6694" w:type="dxa"/>
          </w:tcPr>
          <w:p w:rsidR="00376DA1" w:rsidRPr="00FD0AA8" w:rsidRDefault="00376DA1" w:rsidP="00376DA1">
            <w:pPr>
              <w:pStyle w:val="StylIwony"/>
              <w:numPr>
                <w:ilvl w:val="0"/>
                <w:numId w:val="9"/>
              </w:numPr>
              <w:spacing w:before="0" w:after="0"/>
              <w:ind w:left="0"/>
              <w:rPr>
                <w:rFonts w:ascii="Calibri" w:hAnsi="Calibri" w:cs="Calibri"/>
                <w:sz w:val="20"/>
              </w:rPr>
            </w:pPr>
            <w:r w:rsidRPr="00FD0AA8">
              <w:rPr>
                <w:rFonts w:ascii="Calibri" w:hAnsi="Calibri" w:cs="Calibri"/>
                <w:sz w:val="20"/>
              </w:rPr>
              <w:t>beton asfaltowy do warstwy podbudowy,</w:t>
            </w:r>
          </w:p>
        </w:tc>
      </w:tr>
      <w:tr w:rsidR="00376DA1" w:rsidRPr="000F0946" w:rsidTr="00556540">
        <w:tc>
          <w:tcPr>
            <w:tcW w:w="817" w:type="dxa"/>
          </w:tcPr>
          <w:p w:rsidR="00376DA1" w:rsidRPr="00FD0AA8" w:rsidRDefault="00376DA1" w:rsidP="00556540">
            <w:pPr>
              <w:pStyle w:val="StylIwony"/>
              <w:spacing w:before="0" w:after="0"/>
              <w:rPr>
                <w:rFonts w:ascii="Calibri" w:hAnsi="Calibri" w:cs="Calibri"/>
                <w:sz w:val="20"/>
              </w:rPr>
            </w:pPr>
            <w:r w:rsidRPr="00FD0AA8">
              <w:rPr>
                <w:rFonts w:ascii="Calibri" w:hAnsi="Calibri" w:cs="Calibri"/>
                <w:sz w:val="20"/>
              </w:rPr>
              <w:t xml:space="preserve">PMB   </w:t>
            </w:r>
          </w:p>
        </w:tc>
        <w:tc>
          <w:tcPr>
            <w:tcW w:w="6694" w:type="dxa"/>
          </w:tcPr>
          <w:p w:rsidR="00376DA1" w:rsidRPr="00FD0AA8" w:rsidRDefault="00376DA1" w:rsidP="00376DA1">
            <w:pPr>
              <w:pStyle w:val="StylIwony"/>
              <w:numPr>
                <w:ilvl w:val="0"/>
                <w:numId w:val="9"/>
              </w:numPr>
              <w:spacing w:before="0" w:after="0"/>
              <w:ind w:left="0"/>
              <w:rPr>
                <w:rFonts w:ascii="Calibri" w:hAnsi="Calibri" w:cs="Calibri"/>
                <w:sz w:val="20"/>
              </w:rPr>
            </w:pPr>
            <w:r w:rsidRPr="00FD0AA8">
              <w:rPr>
                <w:rFonts w:ascii="Calibri" w:hAnsi="Calibri" w:cs="Calibri"/>
                <w:sz w:val="20"/>
              </w:rPr>
              <w:t>polimeroasfalt,</w:t>
            </w:r>
          </w:p>
        </w:tc>
      </w:tr>
      <w:tr w:rsidR="00376DA1" w:rsidRPr="000F0946" w:rsidTr="00556540">
        <w:tc>
          <w:tcPr>
            <w:tcW w:w="817" w:type="dxa"/>
          </w:tcPr>
          <w:p w:rsidR="00376DA1" w:rsidRPr="00FD0AA8" w:rsidRDefault="00376DA1" w:rsidP="00556540">
            <w:pPr>
              <w:pStyle w:val="StylIwony"/>
              <w:spacing w:before="0" w:after="0"/>
              <w:rPr>
                <w:rFonts w:ascii="Calibri" w:hAnsi="Calibri" w:cs="Calibri"/>
                <w:sz w:val="20"/>
              </w:rPr>
            </w:pPr>
            <w:r w:rsidRPr="00FD0AA8">
              <w:rPr>
                <w:rFonts w:ascii="Calibri" w:hAnsi="Calibri" w:cs="Calibri"/>
                <w:sz w:val="20"/>
              </w:rPr>
              <w:t xml:space="preserve">D         </w:t>
            </w:r>
          </w:p>
        </w:tc>
        <w:tc>
          <w:tcPr>
            <w:tcW w:w="6694" w:type="dxa"/>
          </w:tcPr>
          <w:p w:rsidR="00376DA1" w:rsidRPr="00FD0AA8" w:rsidRDefault="00376DA1" w:rsidP="00376DA1">
            <w:pPr>
              <w:pStyle w:val="StylIwony"/>
              <w:numPr>
                <w:ilvl w:val="0"/>
                <w:numId w:val="9"/>
              </w:numPr>
              <w:spacing w:before="0" w:after="0"/>
              <w:ind w:left="0"/>
              <w:rPr>
                <w:rFonts w:ascii="Calibri" w:hAnsi="Calibri" w:cs="Calibri"/>
                <w:sz w:val="20"/>
              </w:rPr>
            </w:pPr>
            <w:r w:rsidRPr="00FD0AA8">
              <w:rPr>
                <w:rFonts w:ascii="Calibri" w:hAnsi="Calibri" w:cs="Calibri"/>
                <w:sz w:val="20"/>
              </w:rPr>
              <w:t>górny wymiar sita (przy określaniu wielkości ziaren kruszywa),</w:t>
            </w:r>
          </w:p>
        </w:tc>
      </w:tr>
      <w:tr w:rsidR="00376DA1" w:rsidRPr="000F0946" w:rsidTr="00556540">
        <w:tc>
          <w:tcPr>
            <w:tcW w:w="817" w:type="dxa"/>
          </w:tcPr>
          <w:p w:rsidR="00376DA1" w:rsidRPr="00FD0AA8" w:rsidRDefault="00376DA1" w:rsidP="00556540">
            <w:pPr>
              <w:pStyle w:val="StylIwony"/>
              <w:spacing w:before="0" w:after="0"/>
              <w:rPr>
                <w:rFonts w:ascii="Calibri" w:hAnsi="Calibri" w:cs="Calibri"/>
                <w:sz w:val="20"/>
              </w:rPr>
            </w:pPr>
            <w:r w:rsidRPr="00FD0AA8">
              <w:rPr>
                <w:rFonts w:ascii="Calibri" w:hAnsi="Calibri" w:cs="Calibri"/>
                <w:sz w:val="20"/>
              </w:rPr>
              <w:lastRenderedPageBreak/>
              <w:t xml:space="preserve">d         </w:t>
            </w:r>
          </w:p>
        </w:tc>
        <w:tc>
          <w:tcPr>
            <w:tcW w:w="6694" w:type="dxa"/>
          </w:tcPr>
          <w:p w:rsidR="00376DA1" w:rsidRPr="00FD0AA8" w:rsidRDefault="00376DA1" w:rsidP="00376DA1">
            <w:pPr>
              <w:pStyle w:val="StylIwony"/>
              <w:numPr>
                <w:ilvl w:val="0"/>
                <w:numId w:val="9"/>
              </w:numPr>
              <w:spacing w:before="0" w:after="0"/>
              <w:ind w:left="0"/>
              <w:rPr>
                <w:rFonts w:ascii="Calibri" w:hAnsi="Calibri" w:cs="Calibri"/>
                <w:sz w:val="20"/>
              </w:rPr>
            </w:pPr>
            <w:r w:rsidRPr="00FD0AA8">
              <w:rPr>
                <w:rFonts w:ascii="Calibri" w:hAnsi="Calibri" w:cs="Calibri"/>
                <w:sz w:val="20"/>
              </w:rPr>
              <w:t>dolny wymiar sita (przy określaniu wielkości ziaren kruszywa),</w:t>
            </w:r>
          </w:p>
        </w:tc>
      </w:tr>
      <w:tr w:rsidR="00376DA1" w:rsidRPr="000F0946" w:rsidTr="00556540">
        <w:tc>
          <w:tcPr>
            <w:tcW w:w="817" w:type="dxa"/>
          </w:tcPr>
          <w:p w:rsidR="00376DA1" w:rsidRPr="00FD0AA8" w:rsidRDefault="00376DA1" w:rsidP="00556540">
            <w:pPr>
              <w:pStyle w:val="StylIwony"/>
              <w:spacing w:before="0" w:after="0"/>
              <w:rPr>
                <w:rFonts w:ascii="Calibri" w:hAnsi="Calibri" w:cs="Calibri"/>
                <w:sz w:val="20"/>
              </w:rPr>
            </w:pPr>
            <w:r w:rsidRPr="00FD0AA8">
              <w:rPr>
                <w:rFonts w:ascii="Calibri" w:hAnsi="Calibri" w:cs="Calibri"/>
                <w:sz w:val="20"/>
              </w:rPr>
              <w:t xml:space="preserve">C         </w:t>
            </w:r>
          </w:p>
        </w:tc>
        <w:tc>
          <w:tcPr>
            <w:tcW w:w="6694" w:type="dxa"/>
          </w:tcPr>
          <w:p w:rsidR="00376DA1" w:rsidRPr="00FD0AA8" w:rsidRDefault="00376DA1" w:rsidP="00376DA1">
            <w:pPr>
              <w:pStyle w:val="StylIwony"/>
              <w:numPr>
                <w:ilvl w:val="0"/>
                <w:numId w:val="9"/>
              </w:numPr>
              <w:spacing w:before="0" w:after="0"/>
              <w:ind w:left="0"/>
              <w:rPr>
                <w:rFonts w:ascii="Calibri" w:hAnsi="Calibri" w:cs="Calibri"/>
                <w:sz w:val="20"/>
              </w:rPr>
            </w:pPr>
            <w:r w:rsidRPr="00FD0AA8">
              <w:rPr>
                <w:rFonts w:ascii="Calibri" w:hAnsi="Calibri" w:cs="Calibri"/>
                <w:sz w:val="20"/>
              </w:rPr>
              <w:t>kationowa emulsja asfaltowa,</w:t>
            </w:r>
          </w:p>
        </w:tc>
      </w:tr>
      <w:tr w:rsidR="00376DA1" w:rsidRPr="000F0946" w:rsidTr="00556540">
        <w:tc>
          <w:tcPr>
            <w:tcW w:w="817" w:type="dxa"/>
          </w:tcPr>
          <w:p w:rsidR="00376DA1" w:rsidRPr="00FD0AA8" w:rsidRDefault="00376DA1" w:rsidP="00556540">
            <w:pPr>
              <w:pStyle w:val="StylIwony"/>
              <w:spacing w:before="0" w:after="0"/>
              <w:rPr>
                <w:rFonts w:ascii="Calibri" w:hAnsi="Calibri" w:cs="Calibri"/>
                <w:sz w:val="20"/>
              </w:rPr>
            </w:pPr>
            <w:r w:rsidRPr="00FD0AA8">
              <w:rPr>
                <w:rFonts w:ascii="Calibri" w:hAnsi="Calibri" w:cs="Calibri"/>
                <w:sz w:val="20"/>
              </w:rPr>
              <w:t xml:space="preserve">NPD   </w:t>
            </w:r>
          </w:p>
        </w:tc>
        <w:tc>
          <w:tcPr>
            <w:tcW w:w="6694" w:type="dxa"/>
          </w:tcPr>
          <w:p w:rsidR="00376DA1" w:rsidRPr="00FD0AA8" w:rsidRDefault="00376DA1" w:rsidP="00376DA1">
            <w:pPr>
              <w:pStyle w:val="StylIwony"/>
              <w:numPr>
                <w:ilvl w:val="0"/>
                <w:numId w:val="9"/>
              </w:numPr>
              <w:spacing w:before="0" w:after="0"/>
              <w:ind w:left="0"/>
              <w:rPr>
                <w:rFonts w:ascii="Calibri" w:hAnsi="Calibri" w:cs="Calibri"/>
                <w:sz w:val="20"/>
              </w:rPr>
            </w:pPr>
            <w:r w:rsidRPr="00FD0AA8">
              <w:rPr>
                <w:rFonts w:ascii="Calibri" w:hAnsi="Calibri" w:cs="Calibri"/>
                <w:sz w:val="20"/>
              </w:rPr>
              <w:t>właściwość użytkowa nie określana (ang. No Performance Determined; producent może jej nie określać),</w:t>
            </w:r>
          </w:p>
        </w:tc>
      </w:tr>
      <w:tr w:rsidR="00376DA1" w:rsidRPr="000F0946" w:rsidTr="00556540">
        <w:tc>
          <w:tcPr>
            <w:tcW w:w="817" w:type="dxa"/>
          </w:tcPr>
          <w:p w:rsidR="00376DA1" w:rsidRPr="00FD0AA8" w:rsidRDefault="00376DA1" w:rsidP="00556540">
            <w:pPr>
              <w:pStyle w:val="StylIwony"/>
              <w:spacing w:before="0" w:after="0"/>
              <w:rPr>
                <w:rFonts w:ascii="Calibri" w:hAnsi="Calibri" w:cs="Calibri"/>
                <w:sz w:val="20"/>
              </w:rPr>
            </w:pPr>
            <w:r w:rsidRPr="00FD0AA8">
              <w:rPr>
                <w:rFonts w:ascii="Calibri" w:hAnsi="Calibri" w:cs="Calibri"/>
                <w:sz w:val="20"/>
              </w:rPr>
              <w:t xml:space="preserve">TBR    </w:t>
            </w:r>
          </w:p>
        </w:tc>
        <w:tc>
          <w:tcPr>
            <w:tcW w:w="6694" w:type="dxa"/>
          </w:tcPr>
          <w:p w:rsidR="00376DA1" w:rsidRPr="00FD0AA8" w:rsidRDefault="00376DA1" w:rsidP="00376DA1">
            <w:pPr>
              <w:pStyle w:val="StylIwony"/>
              <w:numPr>
                <w:ilvl w:val="0"/>
                <w:numId w:val="9"/>
              </w:numPr>
              <w:spacing w:before="0" w:after="0"/>
              <w:ind w:left="0"/>
              <w:rPr>
                <w:rFonts w:ascii="Calibri" w:hAnsi="Calibri" w:cs="Calibri"/>
                <w:sz w:val="20"/>
              </w:rPr>
            </w:pPr>
            <w:r w:rsidRPr="00FD0AA8">
              <w:rPr>
                <w:rFonts w:ascii="Calibri" w:hAnsi="Calibri" w:cs="Calibri"/>
                <w:sz w:val="20"/>
              </w:rPr>
              <w:t>do zadeklarowania (ang. To Be Reported; producent może dostarczyć odpowiednie informacje, jednak nie jest do tego zobowiązany),</w:t>
            </w:r>
          </w:p>
        </w:tc>
      </w:tr>
      <w:tr w:rsidR="00376DA1" w:rsidRPr="000F0946" w:rsidTr="00556540">
        <w:tc>
          <w:tcPr>
            <w:tcW w:w="817" w:type="dxa"/>
          </w:tcPr>
          <w:p w:rsidR="00376DA1" w:rsidRPr="00FD0AA8" w:rsidRDefault="00376DA1" w:rsidP="00556540">
            <w:pPr>
              <w:pStyle w:val="StylIwony"/>
              <w:spacing w:before="0" w:after="0"/>
              <w:rPr>
                <w:rFonts w:ascii="Calibri" w:hAnsi="Calibri" w:cs="Calibri"/>
                <w:sz w:val="20"/>
              </w:rPr>
            </w:pPr>
            <w:r w:rsidRPr="00FD0AA8">
              <w:rPr>
                <w:rFonts w:ascii="Calibri" w:hAnsi="Calibri" w:cs="Calibri"/>
                <w:sz w:val="20"/>
              </w:rPr>
              <w:t xml:space="preserve">IRI      </w:t>
            </w:r>
          </w:p>
        </w:tc>
        <w:tc>
          <w:tcPr>
            <w:tcW w:w="6694" w:type="dxa"/>
          </w:tcPr>
          <w:p w:rsidR="00376DA1" w:rsidRPr="00FD0AA8" w:rsidRDefault="00376DA1" w:rsidP="00376DA1">
            <w:pPr>
              <w:pStyle w:val="StylIwony"/>
              <w:numPr>
                <w:ilvl w:val="0"/>
                <w:numId w:val="9"/>
              </w:numPr>
              <w:spacing w:before="0" w:after="0"/>
              <w:ind w:left="0"/>
              <w:rPr>
                <w:rFonts w:ascii="Calibri" w:hAnsi="Calibri" w:cs="Calibri"/>
                <w:sz w:val="20"/>
              </w:rPr>
            </w:pPr>
            <w:r w:rsidRPr="00FD0AA8">
              <w:rPr>
                <w:rFonts w:ascii="Calibri" w:hAnsi="Calibri" w:cs="Calibri"/>
                <w:sz w:val="20"/>
              </w:rPr>
              <w:t>(International Roughness Index) międzynarodowy wskaźnik równości,</w:t>
            </w:r>
          </w:p>
        </w:tc>
      </w:tr>
      <w:tr w:rsidR="00376DA1" w:rsidRPr="000F0946" w:rsidTr="00556540">
        <w:tc>
          <w:tcPr>
            <w:tcW w:w="817" w:type="dxa"/>
          </w:tcPr>
          <w:p w:rsidR="00376DA1" w:rsidRPr="00FD0AA8" w:rsidRDefault="00376DA1" w:rsidP="00556540">
            <w:pPr>
              <w:pStyle w:val="StylIwony"/>
              <w:spacing w:before="0" w:after="0"/>
              <w:rPr>
                <w:rFonts w:ascii="Calibri" w:hAnsi="Calibri" w:cs="Calibri"/>
                <w:sz w:val="20"/>
              </w:rPr>
            </w:pPr>
            <w:r w:rsidRPr="00FD0AA8">
              <w:rPr>
                <w:rFonts w:ascii="Calibri" w:hAnsi="Calibri" w:cs="Calibri"/>
                <w:sz w:val="20"/>
              </w:rPr>
              <w:t xml:space="preserve">MOP  </w:t>
            </w:r>
          </w:p>
        </w:tc>
        <w:tc>
          <w:tcPr>
            <w:tcW w:w="6694" w:type="dxa"/>
          </w:tcPr>
          <w:p w:rsidR="00376DA1" w:rsidRPr="00FD0AA8" w:rsidRDefault="00376DA1" w:rsidP="00376DA1">
            <w:pPr>
              <w:pStyle w:val="StylIwony"/>
              <w:numPr>
                <w:ilvl w:val="0"/>
                <w:numId w:val="9"/>
              </w:numPr>
              <w:spacing w:before="0" w:after="0"/>
              <w:ind w:left="0"/>
              <w:rPr>
                <w:rFonts w:ascii="Calibri" w:hAnsi="Calibri" w:cs="Calibri"/>
                <w:sz w:val="20"/>
              </w:rPr>
            </w:pPr>
            <w:r w:rsidRPr="00FD0AA8">
              <w:rPr>
                <w:rFonts w:ascii="Calibri" w:hAnsi="Calibri" w:cs="Calibri"/>
                <w:sz w:val="20"/>
              </w:rPr>
              <w:t xml:space="preserve">miejsce obsługi podróżnych. </w:t>
            </w:r>
          </w:p>
        </w:tc>
      </w:tr>
    </w:tbl>
    <w:p w:rsidR="00376DA1" w:rsidRPr="00FD0AA8" w:rsidRDefault="00376DA1" w:rsidP="00376DA1">
      <w:pPr>
        <w:rPr>
          <w:rFonts w:ascii="Calibri" w:hAnsi="Calibri" w:cs="Calibri"/>
        </w:rPr>
      </w:pPr>
      <w:r w:rsidRPr="00067D08">
        <w:rPr>
          <w:rFonts w:ascii="Calibri" w:hAnsi="Calibri" w:cs="Calibri"/>
          <w:b/>
        </w:rPr>
        <w:t>1.5.</w:t>
      </w:r>
      <w:r w:rsidRPr="00FD0AA8">
        <w:rPr>
          <w:rFonts w:ascii="Calibri" w:hAnsi="Calibri" w:cs="Calibri"/>
        </w:rPr>
        <w:t xml:space="preserve"> Ogólne wymagania dotyczące robót</w:t>
      </w:r>
    </w:p>
    <w:p w:rsidR="00376DA1" w:rsidRDefault="00376DA1" w:rsidP="00376DA1">
      <w:pPr>
        <w:rPr>
          <w:rFonts w:ascii="Calibri" w:hAnsi="Calibri" w:cs="Calibri"/>
        </w:rPr>
      </w:pPr>
      <w:r w:rsidRPr="00FD0AA8">
        <w:rPr>
          <w:rFonts w:ascii="Calibri" w:hAnsi="Calibri" w:cs="Calibri"/>
        </w:rPr>
        <w:tab/>
        <w:t>Ogólne wyma</w:t>
      </w:r>
      <w:r>
        <w:rPr>
          <w:rFonts w:ascii="Calibri" w:hAnsi="Calibri" w:cs="Calibri"/>
        </w:rPr>
        <w:t xml:space="preserve">gania dotyczące robót podano w </w:t>
      </w:r>
      <w:r w:rsidRPr="00FD0AA8">
        <w:rPr>
          <w:rFonts w:ascii="Calibri" w:hAnsi="Calibri" w:cs="Calibri"/>
        </w:rPr>
        <w:t>ST D-M-00.00.00 „Wymagania ogólne” [1] pkt 1.5.</w:t>
      </w:r>
    </w:p>
    <w:p w:rsidR="00376DA1" w:rsidRPr="00FD0AA8" w:rsidRDefault="00376DA1" w:rsidP="00376DA1">
      <w:pPr>
        <w:rPr>
          <w:rFonts w:ascii="Calibri" w:hAnsi="Calibri" w:cs="Calibri"/>
        </w:rPr>
      </w:pPr>
    </w:p>
    <w:p w:rsidR="00376DA1" w:rsidRPr="00067D08" w:rsidRDefault="00376DA1" w:rsidP="00376DA1">
      <w:pPr>
        <w:rPr>
          <w:rFonts w:ascii="Calibri" w:hAnsi="Calibri" w:cs="Calibri"/>
          <w:b/>
        </w:rPr>
      </w:pPr>
      <w:bookmarkStart w:id="1442" w:name="_Toc431184075"/>
      <w:bookmarkStart w:id="1443" w:name="_Toc208892382"/>
      <w:bookmarkStart w:id="1444" w:name="_Toc210107778"/>
      <w:bookmarkStart w:id="1445" w:name="_Toc238276189"/>
      <w:r w:rsidRPr="00067D08">
        <w:rPr>
          <w:rFonts w:ascii="Calibri" w:hAnsi="Calibri" w:cs="Calibri"/>
          <w:b/>
        </w:rPr>
        <w:t>2. MATERIAŁY</w:t>
      </w:r>
      <w:bookmarkEnd w:id="1442"/>
      <w:bookmarkEnd w:id="1443"/>
      <w:bookmarkEnd w:id="1444"/>
      <w:bookmarkEnd w:id="1445"/>
    </w:p>
    <w:p w:rsidR="00376DA1" w:rsidRPr="00FD0AA8" w:rsidRDefault="00376DA1" w:rsidP="00376DA1">
      <w:pPr>
        <w:rPr>
          <w:rFonts w:ascii="Calibri" w:hAnsi="Calibri" w:cs="Calibri"/>
        </w:rPr>
      </w:pPr>
      <w:r w:rsidRPr="00067D08">
        <w:rPr>
          <w:rFonts w:ascii="Calibri" w:hAnsi="Calibri" w:cs="Calibri"/>
          <w:b/>
        </w:rPr>
        <w:t>2.1.</w:t>
      </w:r>
      <w:r w:rsidRPr="00FD0AA8">
        <w:rPr>
          <w:rFonts w:ascii="Calibri" w:hAnsi="Calibri" w:cs="Calibri"/>
        </w:rPr>
        <w:t xml:space="preserve"> Ogólne wymagania dotyczące materiałów</w:t>
      </w:r>
    </w:p>
    <w:p w:rsidR="00376DA1" w:rsidRPr="00FD0AA8" w:rsidRDefault="00376DA1" w:rsidP="00376DA1">
      <w:pPr>
        <w:rPr>
          <w:rFonts w:ascii="Calibri" w:hAnsi="Calibri" w:cs="Calibri"/>
        </w:rPr>
      </w:pPr>
      <w:r w:rsidRPr="00FD0AA8">
        <w:rPr>
          <w:rFonts w:ascii="Calibri" w:hAnsi="Calibri" w:cs="Calibri"/>
        </w:rPr>
        <w:tab/>
        <w:t>Ogólne wymagania dotyczące materiałów, ich pozysk</w:t>
      </w:r>
      <w:r>
        <w:rPr>
          <w:rFonts w:ascii="Calibri" w:hAnsi="Calibri" w:cs="Calibri"/>
        </w:rPr>
        <w:t xml:space="preserve">iwania i składowania, podano w </w:t>
      </w:r>
      <w:r w:rsidRPr="00FD0AA8">
        <w:rPr>
          <w:rFonts w:ascii="Calibri" w:hAnsi="Calibri" w:cs="Calibri"/>
        </w:rPr>
        <w:t>ST D-M-00.00.00 „Wymagania ogólne” [1] pkt 2.</w:t>
      </w:r>
    </w:p>
    <w:p w:rsidR="00376DA1" w:rsidRPr="00FD0AA8" w:rsidRDefault="00376DA1" w:rsidP="00376DA1">
      <w:pPr>
        <w:rPr>
          <w:rFonts w:ascii="Calibri" w:hAnsi="Calibri" w:cs="Calibri"/>
        </w:rPr>
      </w:pPr>
      <w:r w:rsidRPr="00067D08">
        <w:rPr>
          <w:rFonts w:ascii="Calibri" w:hAnsi="Calibri" w:cs="Calibri"/>
          <w:b/>
        </w:rPr>
        <w:t>2.2.</w:t>
      </w:r>
      <w:r w:rsidRPr="00FD0AA8">
        <w:rPr>
          <w:rFonts w:ascii="Calibri" w:hAnsi="Calibri" w:cs="Calibri"/>
        </w:rPr>
        <w:t xml:space="preserve"> Lepiszcza asfaltowe</w:t>
      </w:r>
    </w:p>
    <w:p w:rsidR="00376DA1" w:rsidRDefault="00376DA1" w:rsidP="00376DA1">
      <w:pPr>
        <w:rPr>
          <w:rFonts w:ascii="Calibri" w:hAnsi="Calibri" w:cs="Calibri"/>
        </w:rPr>
      </w:pPr>
      <w:r w:rsidRPr="00FD0AA8">
        <w:rPr>
          <w:rFonts w:ascii="Calibri" w:hAnsi="Calibri" w:cs="Calibri"/>
        </w:rPr>
        <w:tab/>
        <w:t>Należy stosować asfalty drogowe wg PN-EN 12591 [27] lub polimeroasfalty wg PN-EN 14023 [59]. Rodzaje stosowanych lepiszcz</w:t>
      </w:r>
      <w:r>
        <w:rPr>
          <w:rFonts w:ascii="Calibri" w:hAnsi="Calibri" w:cs="Calibri"/>
        </w:rPr>
        <w:t>y</w:t>
      </w:r>
      <w:r w:rsidRPr="00FD0AA8">
        <w:rPr>
          <w:rFonts w:ascii="Calibri" w:hAnsi="Calibri" w:cs="Calibri"/>
        </w:rPr>
        <w:t xml:space="preserve"> asfaltowych podano w tablicy 2. Oprócz lepiszcz</w:t>
      </w:r>
      <w:r>
        <w:rPr>
          <w:rFonts w:ascii="Calibri" w:hAnsi="Calibri" w:cs="Calibri"/>
        </w:rPr>
        <w:t>y</w:t>
      </w:r>
      <w:r w:rsidRPr="00FD0AA8">
        <w:rPr>
          <w:rFonts w:ascii="Calibri" w:hAnsi="Calibri" w:cs="Calibri"/>
        </w:rPr>
        <w:t xml:space="preserve"> wymienionych w tablicy 2 można stosować inne lepiszcza nienormowe według aprobat technicznych.</w:t>
      </w:r>
    </w:p>
    <w:p w:rsidR="00376DA1" w:rsidRPr="00FD0AA8" w:rsidRDefault="00376DA1" w:rsidP="00376DA1">
      <w:pPr>
        <w:rPr>
          <w:rFonts w:ascii="Calibri" w:hAnsi="Calibri" w:cs="Calibri"/>
        </w:rPr>
      </w:pPr>
    </w:p>
    <w:p w:rsidR="00376DA1" w:rsidRPr="00FD0AA8" w:rsidRDefault="00376DA1" w:rsidP="00376DA1">
      <w:pPr>
        <w:ind w:left="709"/>
        <w:rPr>
          <w:rFonts w:ascii="Calibri" w:hAnsi="Calibri" w:cs="Calibri"/>
        </w:rPr>
      </w:pPr>
      <w:r w:rsidRPr="00FD0AA8">
        <w:rPr>
          <w:rFonts w:ascii="Calibri" w:hAnsi="Calibri" w:cs="Calibri"/>
        </w:rPr>
        <w:t>Tablica 2. Zalecane  lepiszcza asfaltowego do warstwy podbudowy z betonu asfaltowego</w:t>
      </w:r>
    </w:p>
    <w:tbl>
      <w:tblPr>
        <w:tblW w:w="7508" w:type="dxa"/>
        <w:tblInd w:w="81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tblPr>
      <w:tblGrid>
        <w:gridCol w:w="1383"/>
        <w:gridCol w:w="1603"/>
        <w:gridCol w:w="7"/>
        <w:gridCol w:w="2615"/>
        <w:gridCol w:w="1900"/>
      </w:tblGrid>
      <w:tr w:rsidR="00376DA1" w:rsidRPr="00DC3A43" w:rsidTr="00556540">
        <w:tc>
          <w:tcPr>
            <w:tcW w:w="1383" w:type="dxa"/>
            <w:tcBorders>
              <w:bottom w:val="nil"/>
            </w:tcBorders>
          </w:tcPr>
          <w:p w:rsidR="00376DA1" w:rsidRPr="00DC3A43" w:rsidRDefault="00376DA1" w:rsidP="00556540">
            <w:pPr>
              <w:spacing w:before="60"/>
              <w:jc w:val="center"/>
              <w:rPr>
                <w:rFonts w:ascii="Calibri" w:hAnsi="Calibri" w:cs="Calibri"/>
                <w:sz w:val="18"/>
                <w:szCs w:val="18"/>
              </w:rPr>
            </w:pPr>
            <w:r w:rsidRPr="00DC3A43">
              <w:rPr>
                <w:rFonts w:ascii="Calibri" w:hAnsi="Calibri" w:cs="Calibri"/>
                <w:sz w:val="18"/>
                <w:szCs w:val="18"/>
              </w:rPr>
              <w:t>Kategoria</w:t>
            </w:r>
          </w:p>
        </w:tc>
        <w:tc>
          <w:tcPr>
            <w:tcW w:w="1603" w:type="dxa"/>
            <w:tcBorders>
              <w:bottom w:val="nil"/>
            </w:tcBorders>
          </w:tcPr>
          <w:p w:rsidR="00376DA1" w:rsidRPr="00DC3A43" w:rsidRDefault="00376DA1" w:rsidP="00556540">
            <w:pPr>
              <w:spacing w:before="60"/>
              <w:jc w:val="center"/>
              <w:rPr>
                <w:rFonts w:ascii="Calibri" w:hAnsi="Calibri" w:cs="Calibri"/>
                <w:sz w:val="18"/>
                <w:szCs w:val="18"/>
              </w:rPr>
            </w:pPr>
            <w:r w:rsidRPr="00DC3A43">
              <w:rPr>
                <w:rFonts w:ascii="Calibri" w:hAnsi="Calibri" w:cs="Calibri"/>
                <w:sz w:val="18"/>
                <w:szCs w:val="18"/>
              </w:rPr>
              <w:t>Mieszanka</w:t>
            </w:r>
          </w:p>
        </w:tc>
        <w:tc>
          <w:tcPr>
            <w:tcW w:w="4522" w:type="dxa"/>
            <w:gridSpan w:val="3"/>
          </w:tcPr>
          <w:p w:rsidR="00376DA1" w:rsidRPr="00DC3A43" w:rsidRDefault="00376DA1" w:rsidP="00556540">
            <w:pPr>
              <w:spacing w:before="60"/>
              <w:jc w:val="center"/>
              <w:rPr>
                <w:rFonts w:ascii="Calibri" w:hAnsi="Calibri" w:cs="Calibri"/>
                <w:sz w:val="18"/>
                <w:szCs w:val="18"/>
              </w:rPr>
            </w:pPr>
            <w:r w:rsidRPr="00DC3A43">
              <w:rPr>
                <w:rFonts w:ascii="Calibri" w:hAnsi="Calibri" w:cs="Calibri"/>
                <w:sz w:val="18"/>
                <w:szCs w:val="18"/>
              </w:rPr>
              <w:t xml:space="preserve">Gatunek lepiszcza   </w:t>
            </w:r>
          </w:p>
        </w:tc>
      </w:tr>
      <w:tr w:rsidR="00376DA1" w:rsidRPr="00DC3A43" w:rsidTr="00556540">
        <w:tc>
          <w:tcPr>
            <w:tcW w:w="1383" w:type="dxa"/>
            <w:tcBorders>
              <w:top w:val="nil"/>
            </w:tcBorders>
          </w:tcPr>
          <w:p w:rsidR="00376DA1" w:rsidRPr="00DC3A43" w:rsidRDefault="00376DA1" w:rsidP="00556540">
            <w:pPr>
              <w:spacing w:after="60"/>
              <w:jc w:val="center"/>
              <w:rPr>
                <w:rFonts w:ascii="Calibri" w:hAnsi="Calibri" w:cs="Calibri"/>
                <w:sz w:val="18"/>
                <w:szCs w:val="18"/>
              </w:rPr>
            </w:pPr>
            <w:r w:rsidRPr="00DC3A43">
              <w:rPr>
                <w:rFonts w:ascii="Calibri" w:hAnsi="Calibri" w:cs="Calibri"/>
                <w:sz w:val="18"/>
                <w:szCs w:val="18"/>
              </w:rPr>
              <w:t>ruchu</w:t>
            </w:r>
          </w:p>
        </w:tc>
        <w:tc>
          <w:tcPr>
            <w:tcW w:w="1603" w:type="dxa"/>
            <w:tcBorders>
              <w:top w:val="nil"/>
            </w:tcBorders>
          </w:tcPr>
          <w:p w:rsidR="00376DA1" w:rsidRPr="00DC3A43" w:rsidRDefault="00376DA1" w:rsidP="00556540">
            <w:pPr>
              <w:spacing w:after="60"/>
              <w:jc w:val="center"/>
              <w:rPr>
                <w:rFonts w:ascii="Calibri" w:hAnsi="Calibri" w:cs="Calibri"/>
                <w:sz w:val="18"/>
                <w:szCs w:val="18"/>
              </w:rPr>
            </w:pPr>
            <w:r w:rsidRPr="00DC3A43">
              <w:rPr>
                <w:rFonts w:ascii="Calibri" w:hAnsi="Calibri" w:cs="Calibri"/>
                <w:sz w:val="18"/>
                <w:szCs w:val="18"/>
              </w:rPr>
              <w:t>ACP</w:t>
            </w:r>
          </w:p>
        </w:tc>
        <w:tc>
          <w:tcPr>
            <w:tcW w:w="2622" w:type="dxa"/>
            <w:gridSpan w:val="2"/>
          </w:tcPr>
          <w:p w:rsidR="00376DA1" w:rsidRPr="00DC3A43" w:rsidRDefault="00376DA1" w:rsidP="00556540">
            <w:pPr>
              <w:spacing w:after="60"/>
              <w:jc w:val="center"/>
              <w:rPr>
                <w:rFonts w:ascii="Calibri" w:hAnsi="Calibri" w:cs="Calibri"/>
                <w:sz w:val="18"/>
                <w:szCs w:val="18"/>
              </w:rPr>
            </w:pPr>
            <w:r w:rsidRPr="00DC3A43">
              <w:rPr>
                <w:rFonts w:ascii="Calibri" w:hAnsi="Calibri" w:cs="Calibri"/>
                <w:sz w:val="18"/>
                <w:szCs w:val="18"/>
              </w:rPr>
              <w:t>asfalt drogowy</w:t>
            </w:r>
          </w:p>
        </w:tc>
        <w:tc>
          <w:tcPr>
            <w:tcW w:w="1900" w:type="dxa"/>
          </w:tcPr>
          <w:p w:rsidR="00376DA1" w:rsidRPr="00DC3A43" w:rsidRDefault="00376DA1" w:rsidP="00556540">
            <w:pPr>
              <w:spacing w:after="60"/>
              <w:jc w:val="center"/>
              <w:rPr>
                <w:rFonts w:ascii="Calibri" w:hAnsi="Calibri" w:cs="Calibri"/>
                <w:sz w:val="18"/>
                <w:szCs w:val="18"/>
              </w:rPr>
            </w:pPr>
            <w:r w:rsidRPr="00DC3A43">
              <w:rPr>
                <w:rFonts w:ascii="Calibri" w:hAnsi="Calibri" w:cs="Calibri"/>
                <w:sz w:val="18"/>
                <w:szCs w:val="18"/>
              </w:rPr>
              <w:t>polimeroasfalt</w:t>
            </w:r>
          </w:p>
        </w:tc>
      </w:tr>
      <w:tr w:rsidR="00376DA1" w:rsidRPr="00DC3A43" w:rsidTr="00556540">
        <w:tc>
          <w:tcPr>
            <w:tcW w:w="1383" w:type="dxa"/>
          </w:tcPr>
          <w:p w:rsidR="00376DA1" w:rsidRPr="00DC3A43" w:rsidRDefault="00376DA1" w:rsidP="00556540">
            <w:pPr>
              <w:jc w:val="center"/>
              <w:rPr>
                <w:rFonts w:ascii="Calibri" w:hAnsi="Calibri" w:cs="Calibri"/>
                <w:sz w:val="18"/>
                <w:szCs w:val="18"/>
              </w:rPr>
            </w:pPr>
            <w:r w:rsidRPr="00DC3A43">
              <w:rPr>
                <w:rFonts w:ascii="Calibri" w:hAnsi="Calibri" w:cs="Calibri"/>
                <w:sz w:val="18"/>
                <w:szCs w:val="18"/>
              </w:rPr>
              <w:t>KR1 – KR2</w:t>
            </w:r>
          </w:p>
        </w:tc>
        <w:tc>
          <w:tcPr>
            <w:tcW w:w="1603" w:type="dxa"/>
          </w:tcPr>
          <w:p w:rsidR="00376DA1" w:rsidRPr="00DC3A43" w:rsidRDefault="00376DA1" w:rsidP="00556540">
            <w:pPr>
              <w:jc w:val="center"/>
              <w:rPr>
                <w:rFonts w:ascii="Calibri" w:hAnsi="Calibri" w:cs="Calibri"/>
                <w:sz w:val="18"/>
                <w:szCs w:val="18"/>
              </w:rPr>
            </w:pPr>
            <w:r w:rsidRPr="00DC3A43">
              <w:rPr>
                <w:rFonts w:ascii="Calibri" w:hAnsi="Calibri" w:cs="Calibri"/>
                <w:sz w:val="18"/>
                <w:szCs w:val="18"/>
                <w:lang w:val="en-US"/>
              </w:rPr>
              <w:t>AC16P, AC22P</w:t>
            </w:r>
          </w:p>
        </w:tc>
        <w:tc>
          <w:tcPr>
            <w:tcW w:w="2622" w:type="dxa"/>
            <w:gridSpan w:val="2"/>
          </w:tcPr>
          <w:p w:rsidR="00376DA1" w:rsidRPr="00DC3A43" w:rsidRDefault="00376DA1" w:rsidP="00556540">
            <w:pPr>
              <w:jc w:val="center"/>
              <w:rPr>
                <w:rFonts w:ascii="Calibri" w:hAnsi="Calibri" w:cs="Calibri"/>
                <w:sz w:val="18"/>
                <w:szCs w:val="18"/>
              </w:rPr>
            </w:pPr>
            <w:r w:rsidRPr="00DC3A43">
              <w:rPr>
                <w:rFonts w:ascii="Calibri" w:hAnsi="Calibri" w:cs="Calibri"/>
                <w:sz w:val="18"/>
                <w:szCs w:val="18"/>
              </w:rPr>
              <w:t>50/70</w:t>
            </w:r>
          </w:p>
        </w:tc>
        <w:tc>
          <w:tcPr>
            <w:tcW w:w="1900" w:type="dxa"/>
          </w:tcPr>
          <w:p w:rsidR="00376DA1" w:rsidRPr="00DC3A43" w:rsidRDefault="00376DA1" w:rsidP="00556540">
            <w:pPr>
              <w:jc w:val="center"/>
              <w:rPr>
                <w:rFonts w:ascii="Calibri" w:hAnsi="Calibri" w:cs="Calibri"/>
                <w:sz w:val="18"/>
                <w:szCs w:val="18"/>
                <w:vertAlign w:val="superscript"/>
              </w:rPr>
            </w:pPr>
            <w:r w:rsidRPr="00DC3A43">
              <w:rPr>
                <w:rFonts w:ascii="Calibri" w:hAnsi="Calibri" w:cs="Calibri"/>
                <w:sz w:val="18"/>
                <w:szCs w:val="18"/>
                <w:vertAlign w:val="superscript"/>
              </w:rPr>
              <w:t>__</w:t>
            </w:r>
          </w:p>
        </w:tc>
      </w:tr>
      <w:tr w:rsidR="00376DA1" w:rsidRPr="00DC3A43" w:rsidTr="00556540">
        <w:tc>
          <w:tcPr>
            <w:tcW w:w="1383" w:type="dxa"/>
          </w:tcPr>
          <w:p w:rsidR="00376DA1" w:rsidRPr="00DC3A43" w:rsidRDefault="00376DA1" w:rsidP="00556540">
            <w:pPr>
              <w:jc w:val="center"/>
              <w:rPr>
                <w:rFonts w:ascii="Calibri" w:hAnsi="Calibri" w:cs="Calibri"/>
                <w:sz w:val="18"/>
                <w:szCs w:val="18"/>
              </w:rPr>
            </w:pPr>
            <w:r w:rsidRPr="00DC3A43">
              <w:rPr>
                <w:rFonts w:ascii="Calibri" w:hAnsi="Calibri" w:cs="Calibri"/>
                <w:sz w:val="18"/>
                <w:szCs w:val="18"/>
              </w:rPr>
              <w:t>KR3 – KR4</w:t>
            </w:r>
          </w:p>
        </w:tc>
        <w:tc>
          <w:tcPr>
            <w:tcW w:w="1603" w:type="dxa"/>
          </w:tcPr>
          <w:p w:rsidR="00376DA1" w:rsidRPr="00DC3A43" w:rsidRDefault="00376DA1" w:rsidP="00556540">
            <w:pPr>
              <w:jc w:val="center"/>
              <w:rPr>
                <w:rFonts w:ascii="Calibri" w:hAnsi="Calibri" w:cs="Calibri"/>
                <w:sz w:val="18"/>
                <w:szCs w:val="18"/>
                <w:lang w:val="en-US"/>
              </w:rPr>
            </w:pPr>
            <w:r w:rsidRPr="00DC3A43">
              <w:rPr>
                <w:rFonts w:ascii="Calibri" w:hAnsi="Calibri" w:cs="Calibri"/>
                <w:sz w:val="18"/>
                <w:szCs w:val="18"/>
                <w:lang w:val="en-US"/>
              </w:rPr>
              <w:t>AC16P, AC22P,</w:t>
            </w:r>
          </w:p>
          <w:p w:rsidR="00376DA1" w:rsidRPr="00DC3A43" w:rsidRDefault="00376DA1" w:rsidP="00556540">
            <w:pPr>
              <w:jc w:val="left"/>
              <w:rPr>
                <w:rFonts w:ascii="Calibri" w:hAnsi="Calibri" w:cs="Calibri"/>
                <w:sz w:val="18"/>
                <w:szCs w:val="18"/>
              </w:rPr>
            </w:pPr>
            <w:r w:rsidRPr="00DC3A43">
              <w:rPr>
                <w:rFonts w:ascii="Calibri" w:hAnsi="Calibri" w:cs="Calibri"/>
                <w:sz w:val="18"/>
                <w:szCs w:val="18"/>
                <w:lang w:val="en-US"/>
              </w:rPr>
              <w:t xml:space="preserve"> AC32P</w:t>
            </w:r>
          </w:p>
        </w:tc>
        <w:tc>
          <w:tcPr>
            <w:tcW w:w="2622" w:type="dxa"/>
            <w:gridSpan w:val="2"/>
          </w:tcPr>
          <w:p w:rsidR="00376DA1" w:rsidRPr="00DC3A43" w:rsidRDefault="00376DA1" w:rsidP="00556540">
            <w:pPr>
              <w:jc w:val="center"/>
              <w:rPr>
                <w:rFonts w:ascii="Calibri" w:hAnsi="Calibri" w:cs="Calibri"/>
                <w:sz w:val="18"/>
                <w:szCs w:val="18"/>
              </w:rPr>
            </w:pPr>
            <w:r w:rsidRPr="00DC3A43">
              <w:rPr>
                <w:rFonts w:ascii="Calibri" w:hAnsi="Calibri" w:cs="Calibri"/>
                <w:sz w:val="18"/>
                <w:szCs w:val="18"/>
              </w:rPr>
              <w:t xml:space="preserve">35/50, 50/70, </w:t>
            </w:r>
          </w:p>
          <w:p w:rsidR="00376DA1" w:rsidRPr="00DC3A43" w:rsidRDefault="00376DA1" w:rsidP="00556540">
            <w:pPr>
              <w:jc w:val="center"/>
              <w:rPr>
                <w:rFonts w:ascii="Calibri" w:hAnsi="Calibri" w:cs="Calibri"/>
                <w:sz w:val="18"/>
                <w:szCs w:val="18"/>
              </w:rPr>
            </w:pPr>
            <w:r w:rsidRPr="00DC3A43">
              <w:rPr>
                <w:rFonts w:ascii="Calibri" w:hAnsi="Calibri" w:cs="Calibri"/>
                <w:sz w:val="18"/>
                <w:szCs w:val="18"/>
              </w:rPr>
              <w:t>wielorodzajowy-35/50, 50/70</w:t>
            </w:r>
          </w:p>
        </w:tc>
        <w:tc>
          <w:tcPr>
            <w:tcW w:w="1900" w:type="dxa"/>
            <w:tcBorders>
              <w:bottom w:val="nil"/>
            </w:tcBorders>
          </w:tcPr>
          <w:p w:rsidR="00376DA1" w:rsidRPr="00DC3A43" w:rsidRDefault="00376DA1" w:rsidP="00556540">
            <w:pPr>
              <w:jc w:val="center"/>
              <w:rPr>
                <w:rFonts w:ascii="Calibri" w:hAnsi="Calibri" w:cs="Calibri"/>
                <w:sz w:val="18"/>
                <w:szCs w:val="18"/>
              </w:rPr>
            </w:pPr>
            <w:r w:rsidRPr="00DC3A43">
              <w:rPr>
                <w:rFonts w:ascii="Calibri" w:hAnsi="Calibri" w:cs="Calibri"/>
                <w:sz w:val="18"/>
                <w:szCs w:val="18"/>
              </w:rPr>
              <w:t>PMB 25/55-60</w:t>
            </w:r>
          </w:p>
        </w:tc>
      </w:tr>
      <w:tr w:rsidR="00376DA1" w:rsidRPr="00DC3A43" w:rsidTr="00556540">
        <w:tc>
          <w:tcPr>
            <w:tcW w:w="1383" w:type="dxa"/>
          </w:tcPr>
          <w:p w:rsidR="00376DA1" w:rsidRPr="00DC3A43" w:rsidRDefault="00376DA1" w:rsidP="00556540">
            <w:pPr>
              <w:jc w:val="center"/>
              <w:rPr>
                <w:rFonts w:ascii="Calibri" w:hAnsi="Calibri" w:cs="Calibri"/>
                <w:sz w:val="18"/>
                <w:szCs w:val="18"/>
              </w:rPr>
            </w:pPr>
            <w:r w:rsidRPr="00DC3A43">
              <w:rPr>
                <w:rFonts w:ascii="Calibri" w:hAnsi="Calibri" w:cs="Calibri"/>
                <w:sz w:val="18"/>
                <w:szCs w:val="18"/>
              </w:rPr>
              <w:t>KR5 - KR6</w:t>
            </w:r>
          </w:p>
        </w:tc>
        <w:tc>
          <w:tcPr>
            <w:tcW w:w="1610" w:type="dxa"/>
            <w:gridSpan w:val="2"/>
          </w:tcPr>
          <w:p w:rsidR="00376DA1" w:rsidRPr="00DC3A43" w:rsidRDefault="00376DA1" w:rsidP="00556540">
            <w:pPr>
              <w:jc w:val="center"/>
              <w:rPr>
                <w:rFonts w:ascii="Calibri" w:hAnsi="Calibri" w:cs="Calibri"/>
                <w:sz w:val="18"/>
                <w:szCs w:val="18"/>
                <w:lang w:val="en-US"/>
              </w:rPr>
            </w:pPr>
            <w:r w:rsidRPr="00DC3A43">
              <w:rPr>
                <w:rFonts w:ascii="Calibri" w:hAnsi="Calibri" w:cs="Calibri"/>
                <w:sz w:val="18"/>
                <w:szCs w:val="18"/>
                <w:lang w:val="en-US"/>
              </w:rPr>
              <w:t>AC16P, AC22P,</w:t>
            </w:r>
          </w:p>
          <w:p w:rsidR="00376DA1" w:rsidRPr="00DC3A43" w:rsidRDefault="00376DA1" w:rsidP="00556540">
            <w:pPr>
              <w:jc w:val="left"/>
              <w:rPr>
                <w:rFonts w:ascii="Calibri" w:hAnsi="Calibri" w:cs="Calibri"/>
                <w:sz w:val="18"/>
                <w:szCs w:val="18"/>
              </w:rPr>
            </w:pPr>
            <w:r w:rsidRPr="00DC3A43">
              <w:rPr>
                <w:rFonts w:ascii="Calibri" w:hAnsi="Calibri" w:cs="Calibri"/>
                <w:sz w:val="18"/>
                <w:szCs w:val="18"/>
                <w:lang w:val="en-US"/>
              </w:rPr>
              <w:t xml:space="preserve"> AC32P</w:t>
            </w:r>
          </w:p>
        </w:tc>
        <w:tc>
          <w:tcPr>
            <w:tcW w:w="2615" w:type="dxa"/>
          </w:tcPr>
          <w:p w:rsidR="00376DA1" w:rsidRPr="00DC3A43" w:rsidRDefault="00376DA1" w:rsidP="00556540">
            <w:pPr>
              <w:jc w:val="center"/>
              <w:rPr>
                <w:rFonts w:ascii="Calibri" w:hAnsi="Calibri" w:cs="Calibri"/>
                <w:sz w:val="18"/>
                <w:szCs w:val="18"/>
              </w:rPr>
            </w:pPr>
            <w:r w:rsidRPr="00DC3A43">
              <w:rPr>
                <w:rFonts w:ascii="Calibri" w:hAnsi="Calibri" w:cs="Calibri"/>
                <w:sz w:val="18"/>
                <w:szCs w:val="18"/>
              </w:rPr>
              <w:t>35/5, 50/70,</w:t>
            </w:r>
          </w:p>
          <w:p w:rsidR="00376DA1" w:rsidRPr="00DC3A43" w:rsidRDefault="00376DA1" w:rsidP="00556540">
            <w:pPr>
              <w:rPr>
                <w:rFonts w:ascii="Calibri" w:hAnsi="Calibri" w:cs="Calibri"/>
                <w:sz w:val="18"/>
                <w:szCs w:val="18"/>
              </w:rPr>
            </w:pPr>
            <w:r w:rsidRPr="00DC3A43">
              <w:rPr>
                <w:rFonts w:ascii="Calibri" w:hAnsi="Calibri" w:cs="Calibri"/>
                <w:sz w:val="18"/>
                <w:szCs w:val="18"/>
              </w:rPr>
              <w:t>wielorodzajowy-35/50, 50/70</w:t>
            </w:r>
          </w:p>
        </w:tc>
        <w:tc>
          <w:tcPr>
            <w:tcW w:w="1900" w:type="dxa"/>
          </w:tcPr>
          <w:p w:rsidR="00376DA1" w:rsidRPr="00DC3A43" w:rsidRDefault="00376DA1" w:rsidP="00556540">
            <w:pPr>
              <w:jc w:val="center"/>
              <w:rPr>
                <w:rFonts w:ascii="Calibri" w:hAnsi="Calibri" w:cs="Calibri"/>
                <w:sz w:val="18"/>
                <w:szCs w:val="18"/>
              </w:rPr>
            </w:pPr>
            <w:r w:rsidRPr="00DC3A43">
              <w:rPr>
                <w:rFonts w:ascii="Calibri" w:hAnsi="Calibri" w:cs="Calibri"/>
                <w:sz w:val="18"/>
                <w:szCs w:val="18"/>
              </w:rPr>
              <w:t>PMB 25/55-60</w:t>
            </w:r>
          </w:p>
        </w:tc>
      </w:tr>
    </w:tbl>
    <w:p w:rsidR="00376DA1" w:rsidRDefault="00376DA1" w:rsidP="00376DA1">
      <w:pPr>
        <w:ind w:hanging="993"/>
        <w:rPr>
          <w:sz w:val="16"/>
          <w:szCs w:val="16"/>
        </w:rPr>
      </w:pPr>
    </w:p>
    <w:p w:rsidR="00376DA1" w:rsidRPr="00FD0AA8" w:rsidRDefault="00376DA1" w:rsidP="00376DA1">
      <w:pPr>
        <w:rPr>
          <w:rFonts w:ascii="Calibri" w:hAnsi="Calibri" w:cs="Calibri"/>
        </w:rPr>
      </w:pPr>
      <w:r w:rsidRPr="00FD0AA8">
        <w:rPr>
          <w:rFonts w:ascii="Calibri" w:hAnsi="Calibri" w:cs="Calibri"/>
        </w:rPr>
        <w:t xml:space="preserve">Asfalty drogowe powinny spełniać wymagania podane w tablicy 3. </w:t>
      </w:r>
    </w:p>
    <w:p w:rsidR="00376DA1" w:rsidRDefault="00376DA1" w:rsidP="00376DA1">
      <w:pPr>
        <w:rPr>
          <w:rFonts w:ascii="Calibri" w:hAnsi="Calibri" w:cs="Calibri"/>
        </w:rPr>
      </w:pPr>
      <w:r w:rsidRPr="00FD0AA8">
        <w:rPr>
          <w:rFonts w:ascii="Calibri" w:hAnsi="Calibri" w:cs="Calibri"/>
        </w:rPr>
        <w:t>Polimeroasfalty  powinny spełniać wymagania podane  w tablicy 4.</w:t>
      </w:r>
    </w:p>
    <w:p w:rsidR="00376DA1" w:rsidRPr="00FD0AA8" w:rsidRDefault="00376DA1" w:rsidP="00376DA1">
      <w:pPr>
        <w:rPr>
          <w:rFonts w:ascii="Calibri" w:hAnsi="Calibri" w:cs="Calibri"/>
        </w:rPr>
      </w:pPr>
    </w:p>
    <w:p w:rsidR="00376DA1" w:rsidRPr="00FD0AA8" w:rsidRDefault="00376DA1" w:rsidP="00376DA1">
      <w:pPr>
        <w:ind w:left="709"/>
        <w:rPr>
          <w:rFonts w:ascii="Calibri" w:hAnsi="Calibri" w:cs="Calibri"/>
        </w:rPr>
      </w:pPr>
      <w:r w:rsidRPr="00FD0AA8">
        <w:rPr>
          <w:rFonts w:ascii="Calibri" w:hAnsi="Calibri" w:cs="Calibri"/>
        </w:rPr>
        <w:t>Tablica 3. Wymagania wobec asfaltów drogowych wg PN-EN 12591 [27]</w:t>
      </w:r>
    </w:p>
    <w:tbl>
      <w:tblPr>
        <w:tblW w:w="0" w:type="auto"/>
        <w:tblInd w:w="81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tblPr>
      <w:tblGrid>
        <w:gridCol w:w="534"/>
        <w:gridCol w:w="2409"/>
        <w:gridCol w:w="851"/>
        <w:gridCol w:w="1984"/>
        <w:gridCol w:w="851"/>
        <w:gridCol w:w="882"/>
      </w:tblGrid>
      <w:tr w:rsidR="00376DA1" w:rsidTr="00556540">
        <w:tc>
          <w:tcPr>
            <w:tcW w:w="534" w:type="dxa"/>
            <w:tcBorders>
              <w:bottom w:val="nil"/>
            </w:tcBorders>
          </w:tcPr>
          <w:p w:rsidR="00376DA1" w:rsidRPr="00FD0AA8" w:rsidRDefault="00376DA1" w:rsidP="00556540">
            <w:pPr>
              <w:jc w:val="center"/>
              <w:rPr>
                <w:rFonts w:ascii="Calibri" w:hAnsi="Calibri" w:cs="Calibri"/>
                <w:sz w:val="16"/>
                <w:szCs w:val="16"/>
              </w:rPr>
            </w:pPr>
            <w:r w:rsidRPr="00FD0AA8">
              <w:rPr>
                <w:rFonts w:ascii="Calibri" w:hAnsi="Calibri" w:cs="Calibri"/>
                <w:sz w:val="16"/>
                <w:szCs w:val="16"/>
              </w:rPr>
              <w:t>Lp.</w:t>
            </w:r>
          </w:p>
        </w:tc>
        <w:tc>
          <w:tcPr>
            <w:tcW w:w="3260" w:type="dxa"/>
            <w:gridSpan w:val="2"/>
            <w:tcBorders>
              <w:bottom w:val="nil"/>
            </w:tcBorders>
          </w:tcPr>
          <w:p w:rsidR="00376DA1" w:rsidRPr="00FD0AA8" w:rsidRDefault="00376DA1" w:rsidP="00556540">
            <w:pPr>
              <w:jc w:val="center"/>
              <w:rPr>
                <w:rFonts w:ascii="Calibri" w:hAnsi="Calibri" w:cs="Calibri"/>
                <w:sz w:val="16"/>
                <w:szCs w:val="16"/>
              </w:rPr>
            </w:pPr>
            <w:r w:rsidRPr="00FD0AA8">
              <w:rPr>
                <w:rFonts w:ascii="Calibri" w:hAnsi="Calibri" w:cs="Calibri"/>
                <w:sz w:val="16"/>
                <w:szCs w:val="16"/>
              </w:rPr>
              <w:t>Właściwości</w:t>
            </w:r>
          </w:p>
        </w:tc>
        <w:tc>
          <w:tcPr>
            <w:tcW w:w="1984" w:type="dxa"/>
            <w:tcBorders>
              <w:bottom w:val="nil"/>
            </w:tcBorders>
          </w:tcPr>
          <w:p w:rsidR="00376DA1" w:rsidRPr="00FD0AA8" w:rsidRDefault="00376DA1" w:rsidP="00556540">
            <w:pPr>
              <w:jc w:val="center"/>
              <w:rPr>
                <w:rFonts w:ascii="Calibri" w:hAnsi="Calibri" w:cs="Calibri"/>
                <w:sz w:val="16"/>
                <w:szCs w:val="16"/>
              </w:rPr>
            </w:pPr>
            <w:r w:rsidRPr="00FD0AA8">
              <w:rPr>
                <w:rFonts w:ascii="Calibri" w:hAnsi="Calibri" w:cs="Calibri"/>
                <w:sz w:val="16"/>
                <w:szCs w:val="16"/>
              </w:rPr>
              <w:t>Metoda</w:t>
            </w:r>
          </w:p>
        </w:tc>
        <w:tc>
          <w:tcPr>
            <w:tcW w:w="1733" w:type="dxa"/>
            <w:gridSpan w:val="2"/>
          </w:tcPr>
          <w:p w:rsidR="00376DA1" w:rsidRPr="00FD0AA8" w:rsidRDefault="00376DA1" w:rsidP="00556540">
            <w:pPr>
              <w:jc w:val="center"/>
              <w:rPr>
                <w:rFonts w:ascii="Calibri" w:hAnsi="Calibri" w:cs="Calibri"/>
                <w:sz w:val="16"/>
                <w:szCs w:val="16"/>
              </w:rPr>
            </w:pPr>
            <w:r w:rsidRPr="00FD0AA8">
              <w:rPr>
                <w:rFonts w:ascii="Calibri" w:hAnsi="Calibri" w:cs="Calibri"/>
                <w:sz w:val="16"/>
                <w:szCs w:val="16"/>
              </w:rPr>
              <w:t>Rodzaj asfaltu</w:t>
            </w:r>
          </w:p>
        </w:tc>
      </w:tr>
      <w:tr w:rsidR="00376DA1" w:rsidTr="00556540">
        <w:tc>
          <w:tcPr>
            <w:tcW w:w="534" w:type="dxa"/>
            <w:tcBorders>
              <w:top w:val="nil"/>
            </w:tcBorders>
          </w:tcPr>
          <w:p w:rsidR="00376DA1" w:rsidRPr="00FD0AA8" w:rsidRDefault="00376DA1" w:rsidP="00556540">
            <w:pPr>
              <w:jc w:val="center"/>
              <w:rPr>
                <w:rFonts w:ascii="Calibri" w:hAnsi="Calibri" w:cs="Calibri"/>
                <w:sz w:val="16"/>
                <w:szCs w:val="16"/>
              </w:rPr>
            </w:pPr>
          </w:p>
        </w:tc>
        <w:tc>
          <w:tcPr>
            <w:tcW w:w="3260" w:type="dxa"/>
            <w:gridSpan w:val="2"/>
            <w:tcBorders>
              <w:top w:val="nil"/>
            </w:tcBorders>
          </w:tcPr>
          <w:p w:rsidR="00376DA1" w:rsidRPr="00FD0AA8" w:rsidRDefault="00376DA1" w:rsidP="00556540">
            <w:pPr>
              <w:jc w:val="center"/>
              <w:rPr>
                <w:rFonts w:ascii="Calibri" w:hAnsi="Calibri" w:cs="Calibri"/>
                <w:sz w:val="16"/>
                <w:szCs w:val="16"/>
              </w:rPr>
            </w:pPr>
          </w:p>
        </w:tc>
        <w:tc>
          <w:tcPr>
            <w:tcW w:w="1984" w:type="dxa"/>
            <w:tcBorders>
              <w:top w:val="nil"/>
            </w:tcBorders>
          </w:tcPr>
          <w:p w:rsidR="00376DA1" w:rsidRPr="00FD0AA8" w:rsidRDefault="00376DA1" w:rsidP="00556540">
            <w:pPr>
              <w:jc w:val="center"/>
              <w:rPr>
                <w:rFonts w:ascii="Calibri" w:hAnsi="Calibri" w:cs="Calibri"/>
                <w:sz w:val="16"/>
                <w:szCs w:val="16"/>
              </w:rPr>
            </w:pPr>
            <w:r w:rsidRPr="00FD0AA8">
              <w:rPr>
                <w:rFonts w:ascii="Calibri" w:hAnsi="Calibri" w:cs="Calibri"/>
                <w:sz w:val="16"/>
                <w:szCs w:val="16"/>
              </w:rPr>
              <w:t>badania</w:t>
            </w:r>
          </w:p>
        </w:tc>
        <w:tc>
          <w:tcPr>
            <w:tcW w:w="851" w:type="dxa"/>
          </w:tcPr>
          <w:p w:rsidR="00376DA1" w:rsidRPr="00FD0AA8" w:rsidRDefault="00376DA1" w:rsidP="00556540">
            <w:pPr>
              <w:jc w:val="center"/>
              <w:rPr>
                <w:rFonts w:ascii="Calibri" w:hAnsi="Calibri" w:cs="Calibri"/>
                <w:sz w:val="16"/>
                <w:szCs w:val="16"/>
              </w:rPr>
            </w:pPr>
            <w:r w:rsidRPr="00FD0AA8">
              <w:rPr>
                <w:rFonts w:ascii="Calibri" w:hAnsi="Calibri" w:cs="Calibri"/>
                <w:sz w:val="16"/>
                <w:szCs w:val="16"/>
              </w:rPr>
              <w:t>50/70</w:t>
            </w:r>
          </w:p>
        </w:tc>
        <w:tc>
          <w:tcPr>
            <w:tcW w:w="882" w:type="dxa"/>
          </w:tcPr>
          <w:p w:rsidR="00376DA1" w:rsidRPr="00FD0AA8" w:rsidRDefault="00376DA1" w:rsidP="00556540">
            <w:pPr>
              <w:jc w:val="center"/>
              <w:rPr>
                <w:rFonts w:ascii="Calibri" w:hAnsi="Calibri" w:cs="Calibri"/>
                <w:sz w:val="16"/>
                <w:szCs w:val="16"/>
              </w:rPr>
            </w:pPr>
            <w:r w:rsidRPr="00FD0AA8">
              <w:rPr>
                <w:rFonts w:ascii="Calibri" w:hAnsi="Calibri" w:cs="Calibri"/>
                <w:sz w:val="16"/>
                <w:szCs w:val="16"/>
              </w:rPr>
              <w:t>35/50</w:t>
            </w:r>
          </w:p>
        </w:tc>
      </w:tr>
      <w:tr w:rsidR="00376DA1" w:rsidTr="00556540">
        <w:tc>
          <w:tcPr>
            <w:tcW w:w="7511" w:type="dxa"/>
            <w:gridSpan w:val="6"/>
          </w:tcPr>
          <w:p w:rsidR="00376DA1" w:rsidRPr="00FD0AA8" w:rsidRDefault="00376DA1" w:rsidP="00556540">
            <w:pPr>
              <w:jc w:val="center"/>
              <w:rPr>
                <w:rFonts w:ascii="Calibri" w:hAnsi="Calibri" w:cs="Calibri"/>
                <w:sz w:val="16"/>
                <w:szCs w:val="16"/>
              </w:rPr>
            </w:pPr>
            <w:r w:rsidRPr="00FD0AA8">
              <w:rPr>
                <w:rFonts w:ascii="Calibri" w:hAnsi="Calibri" w:cs="Calibri"/>
                <w:sz w:val="16"/>
                <w:szCs w:val="16"/>
              </w:rPr>
              <w:t>WŁAŚCIWOŚCI   OBLIGATORYJNE</w:t>
            </w:r>
          </w:p>
        </w:tc>
      </w:tr>
      <w:tr w:rsidR="00376DA1" w:rsidTr="00556540">
        <w:tc>
          <w:tcPr>
            <w:tcW w:w="534" w:type="dxa"/>
          </w:tcPr>
          <w:p w:rsidR="00376DA1" w:rsidRPr="00FD0AA8" w:rsidRDefault="00376DA1" w:rsidP="00556540">
            <w:pPr>
              <w:jc w:val="center"/>
              <w:rPr>
                <w:rFonts w:ascii="Calibri" w:hAnsi="Calibri" w:cs="Calibri"/>
                <w:sz w:val="16"/>
                <w:szCs w:val="16"/>
              </w:rPr>
            </w:pPr>
            <w:r w:rsidRPr="00FD0AA8">
              <w:rPr>
                <w:rFonts w:ascii="Calibri" w:hAnsi="Calibri" w:cs="Calibri"/>
                <w:sz w:val="16"/>
                <w:szCs w:val="16"/>
              </w:rPr>
              <w:t>1</w:t>
            </w:r>
          </w:p>
        </w:tc>
        <w:tc>
          <w:tcPr>
            <w:tcW w:w="2409" w:type="dxa"/>
          </w:tcPr>
          <w:p w:rsidR="00376DA1" w:rsidRPr="00FD0AA8" w:rsidRDefault="00376DA1" w:rsidP="00556540">
            <w:pPr>
              <w:rPr>
                <w:rFonts w:ascii="Calibri" w:hAnsi="Calibri" w:cs="Calibri"/>
                <w:sz w:val="16"/>
                <w:szCs w:val="16"/>
              </w:rPr>
            </w:pPr>
            <w:r w:rsidRPr="00FD0AA8">
              <w:rPr>
                <w:rFonts w:ascii="Calibri" w:hAnsi="Calibri" w:cs="Calibri"/>
                <w:sz w:val="16"/>
                <w:szCs w:val="16"/>
              </w:rPr>
              <w:t xml:space="preserve">Penetracja w </w:t>
            </w:r>
            <w:smartTag w:uri="urn:schemas-microsoft-com:office:smarttags" w:element="metricconverter">
              <w:smartTagPr>
                <w:attr w:name="ProductID" w:val="25ﾰC"/>
              </w:smartTagPr>
              <w:r w:rsidRPr="00FD0AA8">
                <w:rPr>
                  <w:rFonts w:ascii="Calibri" w:hAnsi="Calibri" w:cs="Calibri"/>
                  <w:sz w:val="16"/>
                  <w:szCs w:val="16"/>
                </w:rPr>
                <w:t>25°C</w:t>
              </w:r>
            </w:smartTag>
          </w:p>
        </w:tc>
        <w:tc>
          <w:tcPr>
            <w:tcW w:w="851" w:type="dxa"/>
          </w:tcPr>
          <w:p w:rsidR="00376DA1" w:rsidRPr="00FD0AA8" w:rsidRDefault="00376DA1" w:rsidP="00556540">
            <w:pPr>
              <w:jc w:val="center"/>
              <w:rPr>
                <w:rFonts w:ascii="Calibri" w:hAnsi="Calibri" w:cs="Calibri"/>
                <w:sz w:val="16"/>
                <w:szCs w:val="16"/>
              </w:rPr>
            </w:pPr>
            <w:smartTag w:uri="urn:schemas-microsoft-com:office:smarttags" w:element="metricconverter">
              <w:smartTagPr>
                <w:attr w:name="ProductID" w:val="0,1 mm"/>
              </w:smartTagPr>
              <w:r w:rsidRPr="00FD0AA8">
                <w:rPr>
                  <w:rFonts w:ascii="Calibri" w:hAnsi="Calibri" w:cs="Calibri"/>
                  <w:sz w:val="16"/>
                  <w:szCs w:val="16"/>
                </w:rPr>
                <w:t>0,1 mm</w:t>
              </w:r>
            </w:smartTag>
          </w:p>
        </w:tc>
        <w:tc>
          <w:tcPr>
            <w:tcW w:w="1984" w:type="dxa"/>
          </w:tcPr>
          <w:p w:rsidR="00376DA1" w:rsidRPr="00FD0AA8" w:rsidRDefault="00376DA1" w:rsidP="00556540">
            <w:pPr>
              <w:rPr>
                <w:rFonts w:ascii="Calibri" w:hAnsi="Calibri" w:cs="Calibri"/>
                <w:sz w:val="16"/>
                <w:szCs w:val="16"/>
              </w:rPr>
            </w:pPr>
            <w:r w:rsidRPr="00FD0AA8">
              <w:rPr>
                <w:rFonts w:ascii="Calibri" w:hAnsi="Calibri" w:cs="Calibri"/>
                <w:sz w:val="16"/>
                <w:szCs w:val="16"/>
              </w:rPr>
              <w:t>PN-EN 1426 [21]</w:t>
            </w:r>
          </w:p>
        </w:tc>
        <w:tc>
          <w:tcPr>
            <w:tcW w:w="851" w:type="dxa"/>
          </w:tcPr>
          <w:p w:rsidR="00376DA1" w:rsidRPr="00FD0AA8" w:rsidRDefault="00376DA1" w:rsidP="00556540">
            <w:pPr>
              <w:jc w:val="center"/>
              <w:rPr>
                <w:rFonts w:ascii="Calibri" w:hAnsi="Calibri" w:cs="Calibri"/>
                <w:sz w:val="16"/>
                <w:szCs w:val="16"/>
              </w:rPr>
            </w:pPr>
            <w:r w:rsidRPr="00FD0AA8">
              <w:rPr>
                <w:rFonts w:ascii="Calibri" w:hAnsi="Calibri" w:cs="Calibri"/>
                <w:sz w:val="16"/>
                <w:szCs w:val="16"/>
              </w:rPr>
              <w:t>50-70</w:t>
            </w:r>
          </w:p>
        </w:tc>
        <w:tc>
          <w:tcPr>
            <w:tcW w:w="882" w:type="dxa"/>
          </w:tcPr>
          <w:p w:rsidR="00376DA1" w:rsidRPr="00FD0AA8" w:rsidRDefault="00376DA1" w:rsidP="00556540">
            <w:pPr>
              <w:jc w:val="center"/>
              <w:rPr>
                <w:rFonts w:ascii="Calibri" w:hAnsi="Calibri" w:cs="Calibri"/>
                <w:sz w:val="16"/>
                <w:szCs w:val="16"/>
              </w:rPr>
            </w:pPr>
            <w:r w:rsidRPr="00FD0AA8">
              <w:rPr>
                <w:rFonts w:ascii="Calibri" w:hAnsi="Calibri" w:cs="Calibri"/>
                <w:sz w:val="16"/>
                <w:szCs w:val="16"/>
              </w:rPr>
              <w:t>35-50</w:t>
            </w:r>
          </w:p>
        </w:tc>
      </w:tr>
      <w:tr w:rsidR="00376DA1" w:rsidTr="00556540">
        <w:tc>
          <w:tcPr>
            <w:tcW w:w="534" w:type="dxa"/>
          </w:tcPr>
          <w:p w:rsidR="00376DA1" w:rsidRPr="00FD0AA8" w:rsidRDefault="00376DA1" w:rsidP="00556540">
            <w:pPr>
              <w:jc w:val="center"/>
              <w:rPr>
                <w:rFonts w:ascii="Calibri" w:hAnsi="Calibri" w:cs="Calibri"/>
                <w:sz w:val="16"/>
                <w:szCs w:val="16"/>
              </w:rPr>
            </w:pPr>
            <w:r w:rsidRPr="00FD0AA8">
              <w:rPr>
                <w:rFonts w:ascii="Calibri" w:hAnsi="Calibri" w:cs="Calibri"/>
                <w:sz w:val="16"/>
                <w:szCs w:val="16"/>
              </w:rPr>
              <w:t>2</w:t>
            </w:r>
          </w:p>
        </w:tc>
        <w:tc>
          <w:tcPr>
            <w:tcW w:w="2409" w:type="dxa"/>
          </w:tcPr>
          <w:p w:rsidR="00376DA1" w:rsidRPr="00FD0AA8" w:rsidRDefault="00376DA1" w:rsidP="00556540">
            <w:pPr>
              <w:rPr>
                <w:rFonts w:ascii="Calibri" w:hAnsi="Calibri" w:cs="Calibri"/>
                <w:sz w:val="16"/>
                <w:szCs w:val="16"/>
              </w:rPr>
            </w:pPr>
            <w:r w:rsidRPr="00FD0AA8">
              <w:rPr>
                <w:rFonts w:ascii="Calibri" w:hAnsi="Calibri" w:cs="Calibri"/>
                <w:sz w:val="16"/>
                <w:szCs w:val="16"/>
              </w:rPr>
              <w:t>Temperatura mięknienia</w:t>
            </w:r>
          </w:p>
        </w:tc>
        <w:tc>
          <w:tcPr>
            <w:tcW w:w="851" w:type="dxa"/>
          </w:tcPr>
          <w:p w:rsidR="00376DA1" w:rsidRPr="00FD0AA8" w:rsidRDefault="00376DA1" w:rsidP="00556540">
            <w:pPr>
              <w:jc w:val="center"/>
              <w:rPr>
                <w:rFonts w:ascii="Calibri" w:hAnsi="Calibri" w:cs="Calibri"/>
                <w:sz w:val="16"/>
                <w:szCs w:val="16"/>
              </w:rPr>
            </w:pPr>
            <w:r w:rsidRPr="00FD0AA8">
              <w:rPr>
                <w:rFonts w:ascii="Calibri" w:hAnsi="Calibri" w:cs="Calibri"/>
                <w:sz w:val="16"/>
                <w:szCs w:val="16"/>
              </w:rPr>
              <w:t>°C</w:t>
            </w:r>
          </w:p>
        </w:tc>
        <w:tc>
          <w:tcPr>
            <w:tcW w:w="1984" w:type="dxa"/>
          </w:tcPr>
          <w:p w:rsidR="00376DA1" w:rsidRPr="00FD0AA8" w:rsidRDefault="00376DA1" w:rsidP="00556540">
            <w:pPr>
              <w:rPr>
                <w:rFonts w:ascii="Calibri" w:hAnsi="Calibri" w:cs="Calibri"/>
                <w:sz w:val="16"/>
                <w:szCs w:val="16"/>
              </w:rPr>
            </w:pPr>
            <w:r w:rsidRPr="00FD0AA8">
              <w:rPr>
                <w:rFonts w:ascii="Calibri" w:hAnsi="Calibri" w:cs="Calibri"/>
                <w:sz w:val="16"/>
                <w:szCs w:val="16"/>
              </w:rPr>
              <w:t>PN-EN 1427 [22]</w:t>
            </w:r>
          </w:p>
        </w:tc>
        <w:tc>
          <w:tcPr>
            <w:tcW w:w="851" w:type="dxa"/>
          </w:tcPr>
          <w:p w:rsidR="00376DA1" w:rsidRPr="00FD0AA8" w:rsidRDefault="00376DA1" w:rsidP="00556540">
            <w:pPr>
              <w:jc w:val="center"/>
              <w:rPr>
                <w:rFonts w:ascii="Calibri" w:hAnsi="Calibri" w:cs="Calibri"/>
                <w:sz w:val="16"/>
                <w:szCs w:val="16"/>
              </w:rPr>
            </w:pPr>
            <w:r w:rsidRPr="00FD0AA8">
              <w:rPr>
                <w:rFonts w:ascii="Calibri" w:hAnsi="Calibri" w:cs="Calibri"/>
                <w:sz w:val="16"/>
                <w:szCs w:val="16"/>
              </w:rPr>
              <w:t>46-54</w:t>
            </w:r>
          </w:p>
        </w:tc>
        <w:tc>
          <w:tcPr>
            <w:tcW w:w="882" w:type="dxa"/>
          </w:tcPr>
          <w:p w:rsidR="00376DA1" w:rsidRPr="00FD0AA8" w:rsidRDefault="00376DA1" w:rsidP="00556540">
            <w:pPr>
              <w:jc w:val="center"/>
              <w:rPr>
                <w:rFonts w:ascii="Calibri" w:hAnsi="Calibri" w:cs="Calibri"/>
                <w:sz w:val="16"/>
                <w:szCs w:val="16"/>
              </w:rPr>
            </w:pPr>
            <w:r w:rsidRPr="00FD0AA8">
              <w:rPr>
                <w:rFonts w:ascii="Calibri" w:hAnsi="Calibri" w:cs="Calibri"/>
                <w:sz w:val="16"/>
                <w:szCs w:val="16"/>
              </w:rPr>
              <w:t>50-58</w:t>
            </w:r>
          </w:p>
        </w:tc>
      </w:tr>
      <w:tr w:rsidR="00376DA1" w:rsidTr="00556540">
        <w:tc>
          <w:tcPr>
            <w:tcW w:w="534" w:type="dxa"/>
          </w:tcPr>
          <w:p w:rsidR="00376DA1" w:rsidRPr="00FD0AA8" w:rsidRDefault="00376DA1" w:rsidP="00556540">
            <w:pPr>
              <w:jc w:val="center"/>
              <w:rPr>
                <w:rFonts w:ascii="Calibri" w:hAnsi="Calibri" w:cs="Calibri"/>
                <w:sz w:val="16"/>
                <w:szCs w:val="16"/>
              </w:rPr>
            </w:pPr>
            <w:r w:rsidRPr="00FD0AA8">
              <w:rPr>
                <w:rFonts w:ascii="Calibri" w:hAnsi="Calibri" w:cs="Calibri"/>
                <w:sz w:val="16"/>
                <w:szCs w:val="16"/>
              </w:rPr>
              <w:t>3</w:t>
            </w:r>
          </w:p>
        </w:tc>
        <w:tc>
          <w:tcPr>
            <w:tcW w:w="2409" w:type="dxa"/>
          </w:tcPr>
          <w:p w:rsidR="00376DA1" w:rsidRPr="00FD0AA8" w:rsidRDefault="00376DA1" w:rsidP="00556540">
            <w:pPr>
              <w:rPr>
                <w:rFonts w:ascii="Calibri" w:hAnsi="Calibri" w:cs="Calibri"/>
                <w:sz w:val="16"/>
                <w:szCs w:val="16"/>
              </w:rPr>
            </w:pPr>
            <w:r w:rsidRPr="00FD0AA8">
              <w:rPr>
                <w:rFonts w:ascii="Calibri" w:hAnsi="Calibri" w:cs="Calibri"/>
                <w:sz w:val="16"/>
                <w:szCs w:val="16"/>
              </w:rPr>
              <w:t xml:space="preserve">Temperatura zapłonu, </w:t>
            </w:r>
          </w:p>
          <w:p w:rsidR="00376DA1" w:rsidRPr="00FD0AA8" w:rsidRDefault="00376DA1" w:rsidP="00556540">
            <w:pPr>
              <w:rPr>
                <w:rFonts w:ascii="Calibri" w:hAnsi="Calibri" w:cs="Calibri"/>
                <w:sz w:val="16"/>
                <w:szCs w:val="16"/>
              </w:rPr>
            </w:pPr>
            <w:r w:rsidRPr="00FD0AA8">
              <w:rPr>
                <w:rFonts w:ascii="Calibri" w:hAnsi="Calibri" w:cs="Calibri"/>
                <w:sz w:val="16"/>
                <w:szCs w:val="16"/>
              </w:rPr>
              <w:t>nie mniej niż</w:t>
            </w:r>
          </w:p>
        </w:tc>
        <w:tc>
          <w:tcPr>
            <w:tcW w:w="851" w:type="dxa"/>
          </w:tcPr>
          <w:p w:rsidR="00376DA1" w:rsidRPr="00FD0AA8" w:rsidRDefault="00376DA1" w:rsidP="00556540">
            <w:pPr>
              <w:jc w:val="center"/>
              <w:rPr>
                <w:rFonts w:ascii="Calibri" w:hAnsi="Calibri" w:cs="Calibri"/>
                <w:sz w:val="16"/>
                <w:szCs w:val="16"/>
              </w:rPr>
            </w:pPr>
            <w:r w:rsidRPr="00FD0AA8">
              <w:rPr>
                <w:rFonts w:ascii="Calibri" w:hAnsi="Calibri" w:cs="Calibri"/>
                <w:sz w:val="16"/>
                <w:szCs w:val="16"/>
              </w:rPr>
              <w:t>°C</w:t>
            </w:r>
          </w:p>
        </w:tc>
        <w:tc>
          <w:tcPr>
            <w:tcW w:w="1984" w:type="dxa"/>
          </w:tcPr>
          <w:p w:rsidR="00376DA1" w:rsidRPr="00FD0AA8" w:rsidRDefault="00376DA1" w:rsidP="00556540">
            <w:pPr>
              <w:rPr>
                <w:rFonts w:ascii="Calibri" w:hAnsi="Calibri" w:cs="Calibri"/>
                <w:sz w:val="16"/>
                <w:szCs w:val="16"/>
              </w:rPr>
            </w:pPr>
            <w:r w:rsidRPr="00FD0AA8">
              <w:rPr>
                <w:rFonts w:ascii="Calibri" w:hAnsi="Calibri" w:cs="Calibri"/>
                <w:sz w:val="16"/>
                <w:szCs w:val="16"/>
              </w:rPr>
              <w:t>PN-EN 22592 [62]</w:t>
            </w:r>
          </w:p>
        </w:tc>
        <w:tc>
          <w:tcPr>
            <w:tcW w:w="851" w:type="dxa"/>
          </w:tcPr>
          <w:p w:rsidR="00376DA1" w:rsidRPr="00FD0AA8" w:rsidRDefault="00376DA1" w:rsidP="00556540">
            <w:pPr>
              <w:jc w:val="center"/>
              <w:rPr>
                <w:rFonts w:ascii="Calibri" w:hAnsi="Calibri" w:cs="Calibri"/>
                <w:sz w:val="16"/>
                <w:szCs w:val="16"/>
              </w:rPr>
            </w:pPr>
            <w:r w:rsidRPr="00FD0AA8">
              <w:rPr>
                <w:rFonts w:ascii="Calibri" w:hAnsi="Calibri" w:cs="Calibri"/>
                <w:sz w:val="16"/>
                <w:szCs w:val="16"/>
              </w:rPr>
              <w:t>230</w:t>
            </w:r>
          </w:p>
        </w:tc>
        <w:tc>
          <w:tcPr>
            <w:tcW w:w="882" w:type="dxa"/>
          </w:tcPr>
          <w:p w:rsidR="00376DA1" w:rsidRPr="00FD0AA8" w:rsidRDefault="00376DA1" w:rsidP="00556540">
            <w:pPr>
              <w:jc w:val="center"/>
              <w:rPr>
                <w:rFonts w:ascii="Calibri" w:hAnsi="Calibri" w:cs="Calibri"/>
                <w:sz w:val="16"/>
                <w:szCs w:val="16"/>
              </w:rPr>
            </w:pPr>
            <w:r w:rsidRPr="00FD0AA8">
              <w:rPr>
                <w:rFonts w:ascii="Calibri" w:hAnsi="Calibri" w:cs="Calibri"/>
                <w:sz w:val="16"/>
                <w:szCs w:val="16"/>
              </w:rPr>
              <w:t>240</w:t>
            </w:r>
          </w:p>
        </w:tc>
      </w:tr>
      <w:tr w:rsidR="00376DA1" w:rsidTr="00556540">
        <w:tc>
          <w:tcPr>
            <w:tcW w:w="534" w:type="dxa"/>
          </w:tcPr>
          <w:p w:rsidR="00376DA1" w:rsidRPr="00FD0AA8" w:rsidRDefault="00376DA1" w:rsidP="00556540">
            <w:pPr>
              <w:jc w:val="center"/>
              <w:rPr>
                <w:rFonts w:ascii="Calibri" w:hAnsi="Calibri" w:cs="Calibri"/>
                <w:sz w:val="16"/>
                <w:szCs w:val="16"/>
              </w:rPr>
            </w:pPr>
            <w:r w:rsidRPr="00FD0AA8">
              <w:rPr>
                <w:rFonts w:ascii="Calibri" w:hAnsi="Calibri" w:cs="Calibri"/>
                <w:sz w:val="16"/>
                <w:szCs w:val="16"/>
              </w:rPr>
              <w:t>4</w:t>
            </w:r>
          </w:p>
        </w:tc>
        <w:tc>
          <w:tcPr>
            <w:tcW w:w="2409" w:type="dxa"/>
          </w:tcPr>
          <w:p w:rsidR="00376DA1" w:rsidRPr="00FD0AA8" w:rsidRDefault="00376DA1" w:rsidP="00556540">
            <w:pPr>
              <w:jc w:val="left"/>
              <w:rPr>
                <w:rFonts w:ascii="Calibri" w:hAnsi="Calibri" w:cs="Calibri"/>
                <w:sz w:val="16"/>
                <w:szCs w:val="16"/>
              </w:rPr>
            </w:pPr>
            <w:r w:rsidRPr="00FD0AA8">
              <w:rPr>
                <w:rFonts w:ascii="Calibri" w:hAnsi="Calibri" w:cs="Calibri"/>
                <w:sz w:val="16"/>
                <w:szCs w:val="16"/>
              </w:rPr>
              <w:t xml:space="preserve">Zawartość składników rozpuszczalnych, </w:t>
            </w:r>
          </w:p>
          <w:p w:rsidR="00376DA1" w:rsidRPr="00FD0AA8" w:rsidRDefault="00376DA1" w:rsidP="00556540">
            <w:pPr>
              <w:jc w:val="left"/>
              <w:rPr>
                <w:rFonts w:ascii="Calibri" w:hAnsi="Calibri" w:cs="Calibri"/>
                <w:sz w:val="16"/>
                <w:szCs w:val="16"/>
              </w:rPr>
            </w:pPr>
            <w:r w:rsidRPr="00FD0AA8">
              <w:rPr>
                <w:rFonts w:ascii="Calibri" w:hAnsi="Calibri" w:cs="Calibri"/>
                <w:sz w:val="16"/>
                <w:szCs w:val="16"/>
              </w:rPr>
              <w:t>nie mniej niż</w:t>
            </w:r>
          </w:p>
        </w:tc>
        <w:tc>
          <w:tcPr>
            <w:tcW w:w="851" w:type="dxa"/>
          </w:tcPr>
          <w:p w:rsidR="00376DA1" w:rsidRPr="00FD0AA8" w:rsidRDefault="00376DA1" w:rsidP="00556540">
            <w:pPr>
              <w:jc w:val="center"/>
              <w:rPr>
                <w:rFonts w:ascii="Calibri" w:hAnsi="Calibri" w:cs="Calibri"/>
                <w:sz w:val="16"/>
                <w:szCs w:val="16"/>
              </w:rPr>
            </w:pPr>
            <w:r w:rsidRPr="00FD0AA8">
              <w:rPr>
                <w:rFonts w:ascii="Calibri" w:hAnsi="Calibri" w:cs="Calibri"/>
                <w:sz w:val="16"/>
                <w:szCs w:val="16"/>
              </w:rPr>
              <w:t>% m/m</w:t>
            </w:r>
          </w:p>
        </w:tc>
        <w:tc>
          <w:tcPr>
            <w:tcW w:w="1984" w:type="dxa"/>
          </w:tcPr>
          <w:p w:rsidR="00376DA1" w:rsidRPr="00FD0AA8" w:rsidRDefault="00376DA1" w:rsidP="00556540">
            <w:pPr>
              <w:rPr>
                <w:rFonts w:ascii="Calibri" w:hAnsi="Calibri" w:cs="Calibri"/>
                <w:sz w:val="16"/>
                <w:szCs w:val="16"/>
              </w:rPr>
            </w:pPr>
            <w:r w:rsidRPr="00FD0AA8">
              <w:rPr>
                <w:rFonts w:ascii="Calibri" w:hAnsi="Calibri" w:cs="Calibri"/>
                <w:sz w:val="16"/>
                <w:szCs w:val="16"/>
              </w:rPr>
              <w:t>PN-EN 12592 [28]</w:t>
            </w:r>
          </w:p>
        </w:tc>
        <w:tc>
          <w:tcPr>
            <w:tcW w:w="851" w:type="dxa"/>
          </w:tcPr>
          <w:p w:rsidR="00376DA1" w:rsidRPr="00FD0AA8" w:rsidRDefault="00376DA1" w:rsidP="00556540">
            <w:pPr>
              <w:jc w:val="center"/>
              <w:rPr>
                <w:rFonts w:ascii="Calibri" w:hAnsi="Calibri" w:cs="Calibri"/>
                <w:sz w:val="16"/>
                <w:szCs w:val="16"/>
              </w:rPr>
            </w:pPr>
            <w:r w:rsidRPr="00FD0AA8">
              <w:rPr>
                <w:rFonts w:ascii="Calibri" w:hAnsi="Calibri" w:cs="Calibri"/>
                <w:sz w:val="16"/>
                <w:szCs w:val="16"/>
              </w:rPr>
              <w:t>99</w:t>
            </w:r>
          </w:p>
        </w:tc>
        <w:tc>
          <w:tcPr>
            <w:tcW w:w="882" w:type="dxa"/>
          </w:tcPr>
          <w:p w:rsidR="00376DA1" w:rsidRPr="00FD0AA8" w:rsidRDefault="00376DA1" w:rsidP="00556540">
            <w:pPr>
              <w:jc w:val="center"/>
              <w:rPr>
                <w:rFonts w:ascii="Calibri" w:hAnsi="Calibri" w:cs="Calibri"/>
                <w:sz w:val="16"/>
                <w:szCs w:val="16"/>
              </w:rPr>
            </w:pPr>
            <w:r w:rsidRPr="00FD0AA8">
              <w:rPr>
                <w:rFonts w:ascii="Calibri" w:hAnsi="Calibri" w:cs="Calibri"/>
                <w:sz w:val="16"/>
                <w:szCs w:val="16"/>
              </w:rPr>
              <w:t>99</w:t>
            </w:r>
          </w:p>
        </w:tc>
      </w:tr>
      <w:tr w:rsidR="00376DA1" w:rsidTr="00556540">
        <w:tc>
          <w:tcPr>
            <w:tcW w:w="534" w:type="dxa"/>
          </w:tcPr>
          <w:p w:rsidR="00376DA1" w:rsidRPr="00FD0AA8" w:rsidRDefault="00376DA1" w:rsidP="00556540">
            <w:pPr>
              <w:jc w:val="center"/>
              <w:rPr>
                <w:rFonts w:ascii="Calibri" w:hAnsi="Calibri" w:cs="Calibri"/>
                <w:sz w:val="16"/>
                <w:szCs w:val="16"/>
              </w:rPr>
            </w:pPr>
            <w:r w:rsidRPr="00FD0AA8">
              <w:rPr>
                <w:rFonts w:ascii="Calibri" w:hAnsi="Calibri" w:cs="Calibri"/>
                <w:sz w:val="16"/>
                <w:szCs w:val="16"/>
              </w:rPr>
              <w:t>5</w:t>
            </w:r>
          </w:p>
        </w:tc>
        <w:tc>
          <w:tcPr>
            <w:tcW w:w="2409" w:type="dxa"/>
          </w:tcPr>
          <w:p w:rsidR="00376DA1" w:rsidRPr="00FD0AA8" w:rsidRDefault="00376DA1" w:rsidP="00556540">
            <w:pPr>
              <w:rPr>
                <w:rFonts w:ascii="Calibri" w:hAnsi="Calibri" w:cs="Calibri"/>
                <w:sz w:val="16"/>
                <w:szCs w:val="16"/>
              </w:rPr>
            </w:pPr>
            <w:r w:rsidRPr="00FD0AA8">
              <w:rPr>
                <w:rFonts w:ascii="Calibri" w:hAnsi="Calibri" w:cs="Calibri"/>
                <w:sz w:val="16"/>
                <w:szCs w:val="16"/>
              </w:rPr>
              <w:t xml:space="preserve">Zmiana masy po starzeniu (ubytek lub przyrost), </w:t>
            </w:r>
          </w:p>
          <w:p w:rsidR="00376DA1" w:rsidRPr="00FD0AA8" w:rsidRDefault="00376DA1" w:rsidP="00556540">
            <w:pPr>
              <w:rPr>
                <w:rFonts w:ascii="Calibri" w:hAnsi="Calibri" w:cs="Calibri"/>
                <w:sz w:val="16"/>
                <w:szCs w:val="16"/>
              </w:rPr>
            </w:pPr>
            <w:r w:rsidRPr="00FD0AA8">
              <w:rPr>
                <w:rFonts w:ascii="Calibri" w:hAnsi="Calibri" w:cs="Calibri"/>
                <w:sz w:val="16"/>
                <w:szCs w:val="16"/>
              </w:rPr>
              <w:t>nie więcej niż</w:t>
            </w:r>
          </w:p>
        </w:tc>
        <w:tc>
          <w:tcPr>
            <w:tcW w:w="851" w:type="dxa"/>
          </w:tcPr>
          <w:p w:rsidR="00376DA1" w:rsidRPr="00FD0AA8" w:rsidRDefault="00376DA1" w:rsidP="00556540">
            <w:pPr>
              <w:jc w:val="center"/>
              <w:rPr>
                <w:rFonts w:ascii="Calibri" w:hAnsi="Calibri" w:cs="Calibri"/>
                <w:sz w:val="16"/>
                <w:szCs w:val="16"/>
              </w:rPr>
            </w:pPr>
            <w:r w:rsidRPr="00FD0AA8">
              <w:rPr>
                <w:rFonts w:ascii="Calibri" w:hAnsi="Calibri" w:cs="Calibri"/>
                <w:sz w:val="16"/>
                <w:szCs w:val="16"/>
              </w:rPr>
              <w:t>% m/m</w:t>
            </w:r>
          </w:p>
        </w:tc>
        <w:tc>
          <w:tcPr>
            <w:tcW w:w="1984" w:type="dxa"/>
          </w:tcPr>
          <w:p w:rsidR="00376DA1" w:rsidRPr="00FD0AA8" w:rsidRDefault="00376DA1" w:rsidP="00556540">
            <w:pPr>
              <w:rPr>
                <w:rFonts w:ascii="Calibri" w:hAnsi="Calibri" w:cs="Calibri"/>
                <w:sz w:val="16"/>
                <w:szCs w:val="16"/>
              </w:rPr>
            </w:pPr>
            <w:r w:rsidRPr="00FD0AA8">
              <w:rPr>
                <w:rFonts w:ascii="Calibri" w:hAnsi="Calibri" w:cs="Calibri"/>
                <w:sz w:val="16"/>
                <w:szCs w:val="16"/>
              </w:rPr>
              <w:t>PN-EN 12607-1 [31]</w:t>
            </w:r>
          </w:p>
        </w:tc>
        <w:tc>
          <w:tcPr>
            <w:tcW w:w="851" w:type="dxa"/>
          </w:tcPr>
          <w:p w:rsidR="00376DA1" w:rsidRPr="00FD0AA8" w:rsidRDefault="00376DA1" w:rsidP="00556540">
            <w:pPr>
              <w:jc w:val="center"/>
              <w:rPr>
                <w:rFonts w:ascii="Calibri" w:hAnsi="Calibri" w:cs="Calibri"/>
                <w:sz w:val="16"/>
                <w:szCs w:val="16"/>
              </w:rPr>
            </w:pPr>
            <w:r w:rsidRPr="00FD0AA8">
              <w:rPr>
                <w:rFonts w:ascii="Calibri" w:hAnsi="Calibri" w:cs="Calibri"/>
                <w:sz w:val="16"/>
                <w:szCs w:val="16"/>
              </w:rPr>
              <w:t>0,5</w:t>
            </w:r>
          </w:p>
        </w:tc>
        <w:tc>
          <w:tcPr>
            <w:tcW w:w="882" w:type="dxa"/>
          </w:tcPr>
          <w:p w:rsidR="00376DA1" w:rsidRPr="00FD0AA8" w:rsidRDefault="00376DA1" w:rsidP="00556540">
            <w:pPr>
              <w:jc w:val="center"/>
              <w:rPr>
                <w:rFonts w:ascii="Calibri" w:hAnsi="Calibri" w:cs="Calibri"/>
                <w:sz w:val="16"/>
                <w:szCs w:val="16"/>
              </w:rPr>
            </w:pPr>
            <w:r w:rsidRPr="00FD0AA8">
              <w:rPr>
                <w:rFonts w:ascii="Calibri" w:hAnsi="Calibri" w:cs="Calibri"/>
                <w:sz w:val="16"/>
                <w:szCs w:val="16"/>
              </w:rPr>
              <w:t>0,5</w:t>
            </w:r>
          </w:p>
        </w:tc>
      </w:tr>
      <w:tr w:rsidR="00376DA1" w:rsidTr="00556540">
        <w:tc>
          <w:tcPr>
            <w:tcW w:w="534" w:type="dxa"/>
          </w:tcPr>
          <w:p w:rsidR="00376DA1" w:rsidRPr="00FD0AA8" w:rsidRDefault="00376DA1" w:rsidP="00556540">
            <w:pPr>
              <w:jc w:val="center"/>
              <w:rPr>
                <w:rFonts w:ascii="Calibri" w:hAnsi="Calibri" w:cs="Calibri"/>
                <w:sz w:val="16"/>
                <w:szCs w:val="16"/>
              </w:rPr>
            </w:pPr>
            <w:r w:rsidRPr="00FD0AA8">
              <w:rPr>
                <w:rFonts w:ascii="Calibri" w:hAnsi="Calibri" w:cs="Calibri"/>
                <w:sz w:val="16"/>
                <w:szCs w:val="16"/>
              </w:rPr>
              <w:t>6</w:t>
            </w:r>
          </w:p>
        </w:tc>
        <w:tc>
          <w:tcPr>
            <w:tcW w:w="2409" w:type="dxa"/>
          </w:tcPr>
          <w:p w:rsidR="00376DA1" w:rsidRPr="00FD0AA8" w:rsidRDefault="00376DA1" w:rsidP="00556540">
            <w:pPr>
              <w:rPr>
                <w:rFonts w:ascii="Calibri" w:hAnsi="Calibri" w:cs="Calibri"/>
                <w:sz w:val="16"/>
                <w:szCs w:val="16"/>
              </w:rPr>
            </w:pPr>
            <w:r w:rsidRPr="00FD0AA8">
              <w:rPr>
                <w:rFonts w:ascii="Calibri" w:hAnsi="Calibri" w:cs="Calibri"/>
                <w:sz w:val="16"/>
                <w:szCs w:val="16"/>
              </w:rPr>
              <w:t>Pozostała penetracja po starzeniu, nie mniej niż</w:t>
            </w:r>
          </w:p>
        </w:tc>
        <w:tc>
          <w:tcPr>
            <w:tcW w:w="851" w:type="dxa"/>
          </w:tcPr>
          <w:p w:rsidR="00376DA1" w:rsidRPr="00FD0AA8" w:rsidRDefault="00376DA1" w:rsidP="00556540">
            <w:pPr>
              <w:jc w:val="center"/>
              <w:rPr>
                <w:rFonts w:ascii="Calibri" w:hAnsi="Calibri" w:cs="Calibri"/>
                <w:sz w:val="16"/>
                <w:szCs w:val="16"/>
              </w:rPr>
            </w:pPr>
            <w:r w:rsidRPr="00FD0AA8">
              <w:rPr>
                <w:rFonts w:ascii="Calibri" w:hAnsi="Calibri" w:cs="Calibri"/>
                <w:sz w:val="16"/>
                <w:szCs w:val="16"/>
              </w:rPr>
              <w:t>%</w:t>
            </w:r>
          </w:p>
        </w:tc>
        <w:tc>
          <w:tcPr>
            <w:tcW w:w="1984" w:type="dxa"/>
          </w:tcPr>
          <w:p w:rsidR="00376DA1" w:rsidRPr="00FD0AA8" w:rsidRDefault="00376DA1" w:rsidP="00556540">
            <w:pPr>
              <w:rPr>
                <w:rFonts w:ascii="Calibri" w:hAnsi="Calibri" w:cs="Calibri"/>
                <w:sz w:val="16"/>
                <w:szCs w:val="16"/>
              </w:rPr>
            </w:pPr>
            <w:r w:rsidRPr="00FD0AA8">
              <w:rPr>
                <w:rFonts w:ascii="Calibri" w:hAnsi="Calibri" w:cs="Calibri"/>
                <w:sz w:val="16"/>
                <w:szCs w:val="16"/>
              </w:rPr>
              <w:t>PN-EN 1426 [21]</w:t>
            </w:r>
          </w:p>
        </w:tc>
        <w:tc>
          <w:tcPr>
            <w:tcW w:w="851" w:type="dxa"/>
          </w:tcPr>
          <w:p w:rsidR="00376DA1" w:rsidRPr="00FD0AA8" w:rsidRDefault="00376DA1" w:rsidP="00556540">
            <w:pPr>
              <w:jc w:val="center"/>
              <w:rPr>
                <w:rFonts w:ascii="Calibri" w:hAnsi="Calibri" w:cs="Calibri"/>
                <w:sz w:val="16"/>
                <w:szCs w:val="16"/>
              </w:rPr>
            </w:pPr>
            <w:r w:rsidRPr="00FD0AA8">
              <w:rPr>
                <w:rFonts w:ascii="Calibri" w:hAnsi="Calibri" w:cs="Calibri"/>
                <w:sz w:val="16"/>
                <w:szCs w:val="16"/>
              </w:rPr>
              <w:t>50</w:t>
            </w:r>
          </w:p>
        </w:tc>
        <w:tc>
          <w:tcPr>
            <w:tcW w:w="882" w:type="dxa"/>
          </w:tcPr>
          <w:p w:rsidR="00376DA1" w:rsidRPr="00FD0AA8" w:rsidRDefault="00376DA1" w:rsidP="00556540">
            <w:pPr>
              <w:jc w:val="center"/>
              <w:rPr>
                <w:rFonts w:ascii="Calibri" w:hAnsi="Calibri" w:cs="Calibri"/>
                <w:sz w:val="16"/>
                <w:szCs w:val="16"/>
              </w:rPr>
            </w:pPr>
            <w:r w:rsidRPr="00FD0AA8">
              <w:rPr>
                <w:rFonts w:ascii="Calibri" w:hAnsi="Calibri" w:cs="Calibri"/>
                <w:sz w:val="16"/>
                <w:szCs w:val="16"/>
              </w:rPr>
              <w:t>53</w:t>
            </w:r>
          </w:p>
        </w:tc>
      </w:tr>
      <w:tr w:rsidR="00376DA1" w:rsidTr="00556540">
        <w:tc>
          <w:tcPr>
            <w:tcW w:w="534" w:type="dxa"/>
          </w:tcPr>
          <w:p w:rsidR="00376DA1" w:rsidRPr="00FD0AA8" w:rsidRDefault="00376DA1" w:rsidP="00556540">
            <w:pPr>
              <w:jc w:val="center"/>
              <w:rPr>
                <w:rFonts w:ascii="Calibri" w:hAnsi="Calibri" w:cs="Calibri"/>
                <w:sz w:val="16"/>
                <w:szCs w:val="16"/>
              </w:rPr>
            </w:pPr>
            <w:r w:rsidRPr="00FD0AA8">
              <w:rPr>
                <w:rFonts w:ascii="Calibri" w:hAnsi="Calibri" w:cs="Calibri"/>
                <w:sz w:val="16"/>
                <w:szCs w:val="16"/>
              </w:rPr>
              <w:t>7</w:t>
            </w:r>
          </w:p>
        </w:tc>
        <w:tc>
          <w:tcPr>
            <w:tcW w:w="2409" w:type="dxa"/>
          </w:tcPr>
          <w:p w:rsidR="00376DA1" w:rsidRPr="00FD0AA8" w:rsidRDefault="00376DA1" w:rsidP="00556540">
            <w:pPr>
              <w:rPr>
                <w:rFonts w:ascii="Calibri" w:hAnsi="Calibri" w:cs="Calibri"/>
                <w:sz w:val="16"/>
                <w:szCs w:val="16"/>
              </w:rPr>
            </w:pPr>
            <w:r w:rsidRPr="00FD0AA8">
              <w:rPr>
                <w:rFonts w:ascii="Calibri" w:hAnsi="Calibri" w:cs="Calibri"/>
                <w:sz w:val="16"/>
                <w:szCs w:val="16"/>
              </w:rPr>
              <w:t>Temperatura mięknienia po starzeniu, nie mniej niż</w:t>
            </w:r>
          </w:p>
        </w:tc>
        <w:tc>
          <w:tcPr>
            <w:tcW w:w="851" w:type="dxa"/>
          </w:tcPr>
          <w:p w:rsidR="00376DA1" w:rsidRPr="00FD0AA8" w:rsidRDefault="00376DA1" w:rsidP="00556540">
            <w:pPr>
              <w:jc w:val="center"/>
              <w:rPr>
                <w:rFonts w:ascii="Calibri" w:hAnsi="Calibri" w:cs="Calibri"/>
                <w:sz w:val="16"/>
                <w:szCs w:val="16"/>
              </w:rPr>
            </w:pPr>
            <w:r w:rsidRPr="00FD0AA8">
              <w:rPr>
                <w:rFonts w:ascii="Calibri" w:hAnsi="Calibri" w:cs="Calibri"/>
                <w:sz w:val="16"/>
                <w:szCs w:val="16"/>
              </w:rPr>
              <w:t>°C</w:t>
            </w:r>
          </w:p>
        </w:tc>
        <w:tc>
          <w:tcPr>
            <w:tcW w:w="1984" w:type="dxa"/>
          </w:tcPr>
          <w:p w:rsidR="00376DA1" w:rsidRPr="00FD0AA8" w:rsidRDefault="00376DA1" w:rsidP="00556540">
            <w:pPr>
              <w:rPr>
                <w:rFonts w:ascii="Calibri" w:hAnsi="Calibri" w:cs="Calibri"/>
                <w:sz w:val="16"/>
                <w:szCs w:val="16"/>
              </w:rPr>
            </w:pPr>
            <w:r w:rsidRPr="00FD0AA8">
              <w:rPr>
                <w:rFonts w:ascii="Calibri" w:hAnsi="Calibri" w:cs="Calibri"/>
                <w:sz w:val="16"/>
                <w:szCs w:val="16"/>
              </w:rPr>
              <w:t>PN-EN 1427 [22]</w:t>
            </w:r>
          </w:p>
        </w:tc>
        <w:tc>
          <w:tcPr>
            <w:tcW w:w="851" w:type="dxa"/>
          </w:tcPr>
          <w:p w:rsidR="00376DA1" w:rsidRPr="00FD0AA8" w:rsidRDefault="00376DA1" w:rsidP="00556540">
            <w:pPr>
              <w:jc w:val="center"/>
              <w:rPr>
                <w:rFonts w:ascii="Calibri" w:hAnsi="Calibri" w:cs="Calibri"/>
                <w:sz w:val="16"/>
                <w:szCs w:val="16"/>
              </w:rPr>
            </w:pPr>
            <w:r w:rsidRPr="00FD0AA8">
              <w:rPr>
                <w:rFonts w:ascii="Calibri" w:hAnsi="Calibri" w:cs="Calibri"/>
                <w:sz w:val="16"/>
                <w:szCs w:val="16"/>
              </w:rPr>
              <w:t>48</w:t>
            </w:r>
          </w:p>
        </w:tc>
        <w:tc>
          <w:tcPr>
            <w:tcW w:w="882" w:type="dxa"/>
          </w:tcPr>
          <w:p w:rsidR="00376DA1" w:rsidRPr="00FD0AA8" w:rsidRDefault="00376DA1" w:rsidP="00556540">
            <w:pPr>
              <w:jc w:val="center"/>
              <w:rPr>
                <w:rFonts w:ascii="Calibri" w:hAnsi="Calibri" w:cs="Calibri"/>
                <w:sz w:val="16"/>
                <w:szCs w:val="16"/>
              </w:rPr>
            </w:pPr>
            <w:r w:rsidRPr="00FD0AA8">
              <w:rPr>
                <w:rFonts w:ascii="Calibri" w:hAnsi="Calibri" w:cs="Calibri"/>
                <w:sz w:val="16"/>
                <w:szCs w:val="16"/>
              </w:rPr>
              <w:t>52</w:t>
            </w:r>
          </w:p>
        </w:tc>
      </w:tr>
      <w:tr w:rsidR="00376DA1" w:rsidTr="00556540">
        <w:tc>
          <w:tcPr>
            <w:tcW w:w="7511" w:type="dxa"/>
            <w:gridSpan w:val="6"/>
          </w:tcPr>
          <w:p w:rsidR="00376DA1" w:rsidRPr="00FD0AA8" w:rsidRDefault="00376DA1" w:rsidP="00556540">
            <w:pPr>
              <w:jc w:val="center"/>
              <w:rPr>
                <w:rFonts w:ascii="Calibri" w:hAnsi="Calibri" w:cs="Calibri"/>
                <w:sz w:val="16"/>
                <w:szCs w:val="16"/>
              </w:rPr>
            </w:pPr>
            <w:r w:rsidRPr="00FD0AA8">
              <w:rPr>
                <w:rFonts w:ascii="Calibri" w:hAnsi="Calibri" w:cs="Calibri"/>
                <w:sz w:val="16"/>
                <w:szCs w:val="16"/>
              </w:rPr>
              <w:t>WŁAŚCIWOŚCI   SPECJALNE   KRAJOWE</w:t>
            </w:r>
          </w:p>
        </w:tc>
      </w:tr>
      <w:tr w:rsidR="00376DA1" w:rsidTr="00556540">
        <w:tc>
          <w:tcPr>
            <w:tcW w:w="534" w:type="dxa"/>
          </w:tcPr>
          <w:p w:rsidR="00376DA1" w:rsidRPr="00FD0AA8" w:rsidRDefault="00376DA1" w:rsidP="00556540">
            <w:pPr>
              <w:jc w:val="center"/>
              <w:rPr>
                <w:rFonts w:ascii="Calibri" w:hAnsi="Calibri" w:cs="Calibri"/>
                <w:sz w:val="16"/>
                <w:szCs w:val="16"/>
              </w:rPr>
            </w:pPr>
            <w:r w:rsidRPr="00FD0AA8">
              <w:rPr>
                <w:rFonts w:ascii="Calibri" w:hAnsi="Calibri" w:cs="Calibri"/>
                <w:sz w:val="16"/>
                <w:szCs w:val="16"/>
              </w:rPr>
              <w:t>8</w:t>
            </w:r>
          </w:p>
        </w:tc>
        <w:tc>
          <w:tcPr>
            <w:tcW w:w="2409" w:type="dxa"/>
          </w:tcPr>
          <w:p w:rsidR="00376DA1" w:rsidRPr="00FD0AA8" w:rsidRDefault="00376DA1" w:rsidP="00556540">
            <w:pPr>
              <w:rPr>
                <w:rFonts w:ascii="Calibri" w:hAnsi="Calibri" w:cs="Calibri"/>
                <w:sz w:val="16"/>
                <w:szCs w:val="16"/>
              </w:rPr>
            </w:pPr>
            <w:r w:rsidRPr="00FD0AA8">
              <w:rPr>
                <w:rFonts w:ascii="Calibri" w:hAnsi="Calibri" w:cs="Calibri"/>
                <w:sz w:val="16"/>
                <w:szCs w:val="16"/>
              </w:rPr>
              <w:t xml:space="preserve">Zawartość parafiny, </w:t>
            </w:r>
          </w:p>
          <w:p w:rsidR="00376DA1" w:rsidRPr="00FD0AA8" w:rsidRDefault="00376DA1" w:rsidP="00556540">
            <w:pPr>
              <w:rPr>
                <w:rFonts w:ascii="Calibri" w:hAnsi="Calibri" w:cs="Calibri"/>
                <w:sz w:val="16"/>
                <w:szCs w:val="16"/>
              </w:rPr>
            </w:pPr>
            <w:r w:rsidRPr="00FD0AA8">
              <w:rPr>
                <w:rFonts w:ascii="Calibri" w:hAnsi="Calibri" w:cs="Calibri"/>
                <w:sz w:val="16"/>
                <w:szCs w:val="16"/>
              </w:rPr>
              <w:t>nie więcej niż</w:t>
            </w:r>
          </w:p>
        </w:tc>
        <w:tc>
          <w:tcPr>
            <w:tcW w:w="851" w:type="dxa"/>
          </w:tcPr>
          <w:p w:rsidR="00376DA1" w:rsidRPr="00FD0AA8" w:rsidRDefault="00376DA1" w:rsidP="00556540">
            <w:pPr>
              <w:jc w:val="center"/>
              <w:rPr>
                <w:rFonts w:ascii="Calibri" w:hAnsi="Calibri" w:cs="Calibri"/>
                <w:sz w:val="16"/>
                <w:szCs w:val="16"/>
              </w:rPr>
            </w:pPr>
            <w:r w:rsidRPr="00FD0AA8">
              <w:rPr>
                <w:rFonts w:ascii="Calibri" w:hAnsi="Calibri" w:cs="Calibri"/>
                <w:sz w:val="16"/>
                <w:szCs w:val="16"/>
              </w:rPr>
              <w:t>%</w:t>
            </w:r>
          </w:p>
        </w:tc>
        <w:tc>
          <w:tcPr>
            <w:tcW w:w="1984" w:type="dxa"/>
          </w:tcPr>
          <w:p w:rsidR="00376DA1" w:rsidRPr="00FD0AA8" w:rsidRDefault="00376DA1" w:rsidP="00556540">
            <w:pPr>
              <w:rPr>
                <w:rFonts w:ascii="Calibri" w:hAnsi="Calibri" w:cs="Calibri"/>
                <w:sz w:val="16"/>
                <w:szCs w:val="16"/>
              </w:rPr>
            </w:pPr>
            <w:r w:rsidRPr="00FD0AA8">
              <w:rPr>
                <w:rFonts w:ascii="Calibri" w:hAnsi="Calibri" w:cs="Calibri"/>
                <w:sz w:val="16"/>
                <w:szCs w:val="16"/>
              </w:rPr>
              <w:t>PN-EN 12606-1 [30]</w:t>
            </w:r>
          </w:p>
        </w:tc>
        <w:tc>
          <w:tcPr>
            <w:tcW w:w="851" w:type="dxa"/>
          </w:tcPr>
          <w:p w:rsidR="00376DA1" w:rsidRPr="00FD0AA8" w:rsidRDefault="00376DA1" w:rsidP="00556540">
            <w:pPr>
              <w:jc w:val="center"/>
              <w:rPr>
                <w:rFonts w:ascii="Calibri" w:hAnsi="Calibri" w:cs="Calibri"/>
                <w:sz w:val="16"/>
                <w:szCs w:val="16"/>
              </w:rPr>
            </w:pPr>
            <w:r w:rsidRPr="00FD0AA8">
              <w:rPr>
                <w:rFonts w:ascii="Calibri" w:hAnsi="Calibri" w:cs="Calibri"/>
                <w:sz w:val="16"/>
                <w:szCs w:val="16"/>
              </w:rPr>
              <w:t>2,2</w:t>
            </w:r>
          </w:p>
        </w:tc>
        <w:tc>
          <w:tcPr>
            <w:tcW w:w="882" w:type="dxa"/>
          </w:tcPr>
          <w:p w:rsidR="00376DA1" w:rsidRPr="00FD0AA8" w:rsidRDefault="00376DA1" w:rsidP="00556540">
            <w:pPr>
              <w:jc w:val="center"/>
              <w:rPr>
                <w:rFonts w:ascii="Calibri" w:hAnsi="Calibri" w:cs="Calibri"/>
                <w:sz w:val="16"/>
                <w:szCs w:val="16"/>
              </w:rPr>
            </w:pPr>
            <w:r w:rsidRPr="00FD0AA8">
              <w:rPr>
                <w:rFonts w:ascii="Calibri" w:hAnsi="Calibri" w:cs="Calibri"/>
                <w:sz w:val="16"/>
                <w:szCs w:val="16"/>
              </w:rPr>
              <w:t>2,2</w:t>
            </w:r>
          </w:p>
        </w:tc>
      </w:tr>
      <w:tr w:rsidR="00376DA1" w:rsidTr="00556540">
        <w:tc>
          <w:tcPr>
            <w:tcW w:w="534" w:type="dxa"/>
          </w:tcPr>
          <w:p w:rsidR="00376DA1" w:rsidRPr="00FD0AA8" w:rsidRDefault="00376DA1" w:rsidP="00556540">
            <w:pPr>
              <w:jc w:val="center"/>
              <w:rPr>
                <w:rFonts w:ascii="Calibri" w:hAnsi="Calibri" w:cs="Calibri"/>
                <w:sz w:val="16"/>
                <w:szCs w:val="16"/>
              </w:rPr>
            </w:pPr>
            <w:r w:rsidRPr="00FD0AA8">
              <w:rPr>
                <w:rFonts w:ascii="Calibri" w:hAnsi="Calibri" w:cs="Calibri"/>
                <w:sz w:val="16"/>
                <w:szCs w:val="16"/>
              </w:rPr>
              <w:t>9</w:t>
            </w:r>
          </w:p>
        </w:tc>
        <w:tc>
          <w:tcPr>
            <w:tcW w:w="2409" w:type="dxa"/>
          </w:tcPr>
          <w:p w:rsidR="00376DA1" w:rsidRPr="00FD0AA8" w:rsidRDefault="00376DA1" w:rsidP="00556540">
            <w:pPr>
              <w:rPr>
                <w:rFonts w:ascii="Calibri" w:hAnsi="Calibri" w:cs="Calibri"/>
                <w:sz w:val="16"/>
                <w:szCs w:val="16"/>
              </w:rPr>
            </w:pPr>
            <w:r w:rsidRPr="00FD0AA8">
              <w:rPr>
                <w:rFonts w:ascii="Calibri" w:hAnsi="Calibri" w:cs="Calibri"/>
                <w:sz w:val="16"/>
                <w:szCs w:val="16"/>
              </w:rPr>
              <w:t>Wzrost temp. mięknienia po starzeniu, nie więcej niż</w:t>
            </w:r>
          </w:p>
        </w:tc>
        <w:tc>
          <w:tcPr>
            <w:tcW w:w="851" w:type="dxa"/>
          </w:tcPr>
          <w:p w:rsidR="00376DA1" w:rsidRPr="00FD0AA8" w:rsidRDefault="00376DA1" w:rsidP="00556540">
            <w:pPr>
              <w:jc w:val="center"/>
              <w:rPr>
                <w:rFonts w:ascii="Calibri" w:hAnsi="Calibri" w:cs="Calibri"/>
                <w:sz w:val="16"/>
                <w:szCs w:val="16"/>
              </w:rPr>
            </w:pPr>
            <w:r w:rsidRPr="00FD0AA8">
              <w:rPr>
                <w:rFonts w:ascii="Calibri" w:hAnsi="Calibri" w:cs="Calibri"/>
                <w:sz w:val="16"/>
                <w:szCs w:val="16"/>
              </w:rPr>
              <w:t>°C</w:t>
            </w:r>
          </w:p>
        </w:tc>
        <w:tc>
          <w:tcPr>
            <w:tcW w:w="1984" w:type="dxa"/>
          </w:tcPr>
          <w:p w:rsidR="00376DA1" w:rsidRPr="00FD0AA8" w:rsidRDefault="00376DA1" w:rsidP="00556540">
            <w:pPr>
              <w:rPr>
                <w:rFonts w:ascii="Calibri" w:hAnsi="Calibri" w:cs="Calibri"/>
                <w:sz w:val="16"/>
                <w:szCs w:val="16"/>
              </w:rPr>
            </w:pPr>
            <w:r w:rsidRPr="00FD0AA8">
              <w:rPr>
                <w:rFonts w:ascii="Calibri" w:hAnsi="Calibri" w:cs="Calibri"/>
                <w:sz w:val="16"/>
                <w:szCs w:val="16"/>
              </w:rPr>
              <w:t>PN-EN 1427 [22]</w:t>
            </w:r>
          </w:p>
        </w:tc>
        <w:tc>
          <w:tcPr>
            <w:tcW w:w="851" w:type="dxa"/>
          </w:tcPr>
          <w:p w:rsidR="00376DA1" w:rsidRPr="00FD0AA8" w:rsidRDefault="00376DA1" w:rsidP="00556540">
            <w:pPr>
              <w:jc w:val="center"/>
              <w:rPr>
                <w:rFonts w:ascii="Calibri" w:hAnsi="Calibri" w:cs="Calibri"/>
                <w:sz w:val="16"/>
                <w:szCs w:val="16"/>
              </w:rPr>
            </w:pPr>
            <w:r w:rsidRPr="00FD0AA8">
              <w:rPr>
                <w:rFonts w:ascii="Calibri" w:hAnsi="Calibri" w:cs="Calibri"/>
                <w:sz w:val="16"/>
                <w:szCs w:val="16"/>
              </w:rPr>
              <w:t>9</w:t>
            </w:r>
          </w:p>
        </w:tc>
        <w:tc>
          <w:tcPr>
            <w:tcW w:w="882" w:type="dxa"/>
          </w:tcPr>
          <w:p w:rsidR="00376DA1" w:rsidRPr="00FD0AA8" w:rsidRDefault="00376DA1" w:rsidP="00556540">
            <w:pPr>
              <w:jc w:val="center"/>
              <w:rPr>
                <w:rFonts w:ascii="Calibri" w:hAnsi="Calibri" w:cs="Calibri"/>
                <w:sz w:val="16"/>
                <w:szCs w:val="16"/>
              </w:rPr>
            </w:pPr>
            <w:r w:rsidRPr="00FD0AA8">
              <w:rPr>
                <w:rFonts w:ascii="Calibri" w:hAnsi="Calibri" w:cs="Calibri"/>
                <w:sz w:val="16"/>
                <w:szCs w:val="16"/>
              </w:rPr>
              <w:t>8</w:t>
            </w:r>
          </w:p>
        </w:tc>
      </w:tr>
      <w:tr w:rsidR="00376DA1" w:rsidTr="00556540">
        <w:tc>
          <w:tcPr>
            <w:tcW w:w="534" w:type="dxa"/>
          </w:tcPr>
          <w:p w:rsidR="00376DA1" w:rsidRPr="00FD0AA8" w:rsidRDefault="00376DA1" w:rsidP="00556540">
            <w:pPr>
              <w:jc w:val="center"/>
              <w:rPr>
                <w:rFonts w:ascii="Calibri" w:hAnsi="Calibri" w:cs="Calibri"/>
                <w:sz w:val="16"/>
                <w:szCs w:val="16"/>
              </w:rPr>
            </w:pPr>
            <w:r w:rsidRPr="00FD0AA8">
              <w:rPr>
                <w:rFonts w:ascii="Calibri" w:hAnsi="Calibri" w:cs="Calibri"/>
                <w:sz w:val="16"/>
                <w:szCs w:val="16"/>
              </w:rPr>
              <w:t>10</w:t>
            </w:r>
          </w:p>
        </w:tc>
        <w:tc>
          <w:tcPr>
            <w:tcW w:w="2409" w:type="dxa"/>
          </w:tcPr>
          <w:p w:rsidR="00376DA1" w:rsidRPr="00FD0AA8" w:rsidRDefault="00376DA1" w:rsidP="00556540">
            <w:pPr>
              <w:rPr>
                <w:rFonts w:ascii="Calibri" w:hAnsi="Calibri" w:cs="Calibri"/>
                <w:sz w:val="16"/>
                <w:szCs w:val="16"/>
              </w:rPr>
            </w:pPr>
            <w:r w:rsidRPr="00FD0AA8">
              <w:rPr>
                <w:rFonts w:ascii="Calibri" w:hAnsi="Calibri" w:cs="Calibri"/>
                <w:sz w:val="16"/>
                <w:szCs w:val="16"/>
              </w:rPr>
              <w:t>Temperatura łamliwości Fraassa, nie więcej niż</w:t>
            </w:r>
          </w:p>
        </w:tc>
        <w:tc>
          <w:tcPr>
            <w:tcW w:w="851" w:type="dxa"/>
          </w:tcPr>
          <w:p w:rsidR="00376DA1" w:rsidRPr="00FD0AA8" w:rsidRDefault="00376DA1" w:rsidP="00556540">
            <w:pPr>
              <w:jc w:val="center"/>
              <w:rPr>
                <w:rFonts w:ascii="Calibri" w:hAnsi="Calibri" w:cs="Calibri"/>
                <w:sz w:val="16"/>
                <w:szCs w:val="16"/>
              </w:rPr>
            </w:pPr>
            <w:r w:rsidRPr="00FD0AA8">
              <w:rPr>
                <w:rFonts w:ascii="Calibri" w:hAnsi="Calibri" w:cs="Calibri"/>
                <w:sz w:val="16"/>
                <w:szCs w:val="16"/>
              </w:rPr>
              <w:t>°C</w:t>
            </w:r>
          </w:p>
        </w:tc>
        <w:tc>
          <w:tcPr>
            <w:tcW w:w="1984" w:type="dxa"/>
          </w:tcPr>
          <w:p w:rsidR="00376DA1" w:rsidRPr="00FD0AA8" w:rsidRDefault="00376DA1" w:rsidP="00556540">
            <w:pPr>
              <w:rPr>
                <w:rFonts w:ascii="Calibri" w:hAnsi="Calibri" w:cs="Calibri"/>
                <w:sz w:val="16"/>
                <w:szCs w:val="16"/>
              </w:rPr>
            </w:pPr>
            <w:r w:rsidRPr="00FD0AA8">
              <w:rPr>
                <w:rFonts w:ascii="Calibri" w:hAnsi="Calibri" w:cs="Calibri"/>
                <w:sz w:val="16"/>
                <w:szCs w:val="16"/>
              </w:rPr>
              <w:t>PN-EN 12593 [29]</w:t>
            </w:r>
          </w:p>
        </w:tc>
        <w:tc>
          <w:tcPr>
            <w:tcW w:w="851" w:type="dxa"/>
          </w:tcPr>
          <w:p w:rsidR="00376DA1" w:rsidRPr="00FD0AA8" w:rsidRDefault="00376DA1" w:rsidP="00556540">
            <w:pPr>
              <w:jc w:val="center"/>
              <w:rPr>
                <w:rFonts w:ascii="Calibri" w:hAnsi="Calibri" w:cs="Calibri"/>
                <w:sz w:val="16"/>
                <w:szCs w:val="16"/>
              </w:rPr>
            </w:pPr>
            <w:r w:rsidRPr="00FD0AA8">
              <w:rPr>
                <w:rFonts w:ascii="Calibri" w:hAnsi="Calibri" w:cs="Calibri"/>
                <w:sz w:val="16"/>
                <w:szCs w:val="16"/>
              </w:rPr>
              <w:t>-8</w:t>
            </w:r>
          </w:p>
        </w:tc>
        <w:tc>
          <w:tcPr>
            <w:tcW w:w="882" w:type="dxa"/>
          </w:tcPr>
          <w:p w:rsidR="00376DA1" w:rsidRPr="00FD0AA8" w:rsidRDefault="00376DA1" w:rsidP="00556540">
            <w:pPr>
              <w:jc w:val="center"/>
              <w:rPr>
                <w:rFonts w:ascii="Calibri" w:hAnsi="Calibri" w:cs="Calibri"/>
                <w:sz w:val="16"/>
                <w:szCs w:val="16"/>
              </w:rPr>
            </w:pPr>
            <w:r w:rsidRPr="00FD0AA8">
              <w:rPr>
                <w:rFonts w:ascii="Calibri" w:hAnsi="Calibri" w:cs="Calibri"/>
                <w:sz w:val="16"/>
                <w:szCs w:val="16"/>
              </w:rPr>
              <w:t>-5</w:t>
            </w:r>
          </w:p>
        </w:tc>
      </w:tr>
    </w:tbl>
    <w:p w:rsidR="00376DA1" w:rsidRPr="00763727" w:rsidRDefault="00376DA1" w:rsidP="00376DA1"/>
    <w:p w:rsidR="00376DA1" w:rsidRDefault="00376DA1" w:rsidP="00376DA1">
      <w:pPr>
        <w:ind w:left="709"/>
        <w:rPr>
          <w:rFonts w:ascii="Calibri" w:hAnsi="Calibri" w:cs="Calibri"/>
        </w:rPr>
      </w:pPr>
    </w:p>
    <w:p w:rsidR="00376DA1" w:rsidRDefault="00376DA1" w:rsidP="00376DA1">
      <w:pPr>
        <w:ind w:left="709"/>
        <w:rPr>
          <w:rFonts w:ascii="Calibri" w:hAnsi="Calibri" w:cs="Calibri"/>
        </w:rPr>
      </w:pPr>
    </w:p>
    <w:p w:rsidR="00A40D5E" w:rsidRDefault="00A40D5E" w:rsidP="00376DA1">
      <w:pPr>
        <w:ind w:left="709"/>
        <w:rPr>
          <w:rFonts w:ascii="Calibri" w:hAnsi="Calibri" w:cs="Calibri"/>
        </w:rPr>
      </w:pPr>
    </w:p>
    <w:p w:rsidR="00A40D5E" w:rsidRDefault="00A40D5E" w:rsidP="00376DA1">
      <w:pPr>
        <w:ind w:left="709"/>
        <w:rPr>
          <w:rFonts w:ascii="Calibri" w:hAnsi="Calibri" w:cs="Calibri"/>
        </w:rPr>
      </w:pPr>
    </w:p>
    <w:p w:rsidR="00376DA1" w:rsidRDefault="00376DA1" w:rsidP="00376DA1">
      <w:pPr>
        <w:rPr>
          <w:rFonts w:ascii="Calibri" w:hAnsi="Calibri" w:cs="Calibri"/>
        </w:rPr>
      </w:pPr>
    </w:p>
    <w:p w:rsidR="00376DA1" w:rsidRPr="00FD0AA8" w:rsidRDefault="00376DA1" w:rsidP="00376DA1">
      <w:pPr>
        <w:ind w:left="709"/>
        <w:rPr>
          <w:rFonts w:ascii="Calibri" w:hAnsi="Calibri" w:cs="Calibri"/>
        </w:rPr>
      </w:pPr>
      <w:r w:rsidRPr="00FD0AA8">
        <w:rPr>
          <w:rFonts w:ascii="Calibri" w:hAnsi="Calibri" w:cs="Calibri"/>
        </w:rPr>
        <w:lastRenderedPageBreak/>
        <w:t>Tablica 4. Wymagania wobec asfaltów modyfikowanych polimerami (polimeroasfaltów) wg PN-EN 14023 [59]</w:t>
      </w:r>
    </w:p>
    <w:tbl>
      <w:tblPr>
        <w:tblW w:w="7612" w:type="dxa"/>
        <w:tblInd w:w="81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tblPr>
      <w:tblGrid>
        <w:gridCol w:w="1091"/>
        <w:gridCol w:w="1357"/>
        <w:gridCol w:w="1440"/>
        <w:gridCol w:w="1080"/>
        <w:gridCol w:w="1260"/>
        <w:gridCol w:w="1384"/>
      </w:tblGrid>
      <w:tr w:rsidR="00376DA1" w:rsidRPr="00C64752" w:rsidTr="00556540">
        <w:tc>
          <w:tcPr>
            <w:tcW w:w="1091" w:type="dxa"/>
            <w:vMerge w:val="restart"/>
            <w:vAlign w:val="center"/>
          </w:tcPr>
          <w:p w:rsidR="00376DA1" w:rsidRPr="00FD0AA8" w:rsidRDefault="00376DA1" w:rsidP="00556540">
            <w:pPr>
              <w:jc w:val="center"/>
              <w:rPr>
                <w:rFonts w:ascii="Calibri" w:hAnsi="Calibri" w:cs="Calibri"/>
                <w:sz w:val="16"/>
                <w:szCs w:val="16"/>
              </w:rPr>
            </w:pPr>
            <w:r w:rsidRPr="00FD0AA8">
              <w:rPr>
                <w:rFonts w:ascii="Calibri" w:hAnsi="Calibri" w:cs="Calibri"/>
                <w:sz w:val="16"/>
                <w:szCs w:val="16"/>
              </w:rPr>
              <w:t>Wymaganie</w:t>
            </w:r>
          </w:p>
          <w:p w:rsidR="00376DA1" w:rsidRPr="00FD0AA8" w:rsidRDefault="00376DA1" w:rsidP="00556540">
            <w:pPr>
              <w:jc w:val="center"/>
              <w:rPr>
                <w:rFonts w:ascii="Calibri" w:hAnsi="Calibri" w:cs="Calibri"/>
                <w:sz w:val="16"/>
                <w:szCs w:val="16"/>
              </w:rPr>
            </w:pPr>
            <w:r w:rsidRPr="00FD0AA8">
              <w:rPr>
                <w:rFonts w:ascii="Calibri" w:hAnsi="Calibri" w:cs="Calibri"/>
                <w:sz w:val="16"/>
                <w:szCs w:val="16"/>
              </w:rPr>
              <w:t>podstawowe</w:t>
            </w:r>
          </w:p>
        </w:tc>
        <w:tc>
          <w:tcPr>
            <w:tcW w:w="1357" w:type="dxa"/>
            <w:vMerge w:val="restart"/>
            <w:vAlign w:val="center"/>
          </w:tcPr>
          <w:p w:rsidR="00376DA1" w:rsidRPr="00FD0AA8" w:rsidRDefault="00376DA1" w:rsidP="00556540">
            <w:pPr>
              <w:jc w:val="center"/>
              <w:rPr>
                <w:rFonts w:ascii="Calibri" w:hAnsi="Calibri" w:cs="Calibri"/>
                <w:sz w:val="16"/>
                <w:szCs w:val="16"/>
              </w:rPr>
            </w:pPr>
            <w:r w:rsidRPr="00FD0AA8">
              <w:rPr>
                <w:rFonts w:ascii="Calibri" w:hAnsi="Calibri" w:cs="Calibri"/>
                <w:sz w:val="16"/>
                <w:szCs w:val="16"/>
              </w:rPr>
              <w:t>Właściwość</w:t>
            </w:r>
          </w:p>
        </w:tc>
        <w:tc>
          <w:tcPr>
            <w:tcW w:w="1440" w:type="dxa"/>
            <w:vMerge w:val="restart"/>
            <w:vAlign w:val="center"/>
          </w:tcPr>
          <w:p w:rsidR="00376DA1" w:rsidRPr="00FD0AA8" w:rsidRDefault="00376DA1" w:rsidP="00556540">
            <w:pPr>
              <w:jc w:val="center"/>
              <w:rPr>
                <w:rFonts w:ascii="Calibri" w:hAnsi="Calibri" w:cs="Calibri"/>
                <w:sz w:val="16"/>
                <w:szCs w:val="16"/>
              </w:rPr>
            </w:pPr>
            <w:r w:rsidRPr="00FD0AA8">
              <w:rPr>
                <w:rFonts w:ascii="Calibri" w:hAnsi="Calibri" w:cs="Calibri"/>
                <w:sz w:val="16"/>
                <w:szCs w:val="16"/>
              </w:rPr>
              <w:t>Metoda</w:t>
            </w:r>
          </w:p>
          <w:p w:rsidR="00376DA1" w:rsidRPr="00FD0AA8" w:rsidRDefault="00376DA1" w:rsidP="00556540">
            <w:pPr>
              <w:jc w:val="center"/>
              <w:rPr>
                <w:rFonts w:ascii="Calibri" w:hAnsi="Calibri" w:cs="Calibri"/>
                <w:sz w:val="16"/>
                <w:szCs w:val="16"/>
              </w:rPr>
            </w:pPr>
            <w:r w:rsidRPr="00FD0AA8">
              <w:rPr>
                <w:rFonts w:ascii="Calibri" w:hAnsi="Calibri" w:cs="Calibri"/>
                <w:sz w:val="16"/>
                <w:szCs w:val="16"/>
              </w:rPr>
              <w:t>badania</w:t>
            </w:r>
          </w:p>
        </w:tc>
        <w:tc>
          <w:tcPr>
            <w:tcW w:w="1080" w:type="dxa"/>
            <w:vMerge w:val="restart"/>
            <w:vAlign w:val="center"/>
          </w:tcPr>
          <w:p w:rsidR="00376DA1" w:rsidRPr="00FD0AA8" w:rsidRDefault="00376DA1" w:rsidP="00556540">
            <w:pPr>
              <w:jc w:val="center"/>
              <w:rPr>
                <w:rFonts w:ascii="Calibri" w:hAnsi="Calibri" w:cs="Calibri"/>
                <w:sz w:val="16"/>
                <w:szCs w:val="16"/>
              </w:rPr>
            </w:pPr>
            <w:r w:rsidRPr="00FD0AA8">
              <w:rPr>
                <w:rFonts w:ascii="Calibri" w:hAnsi="Calibri" w:cs="Calibri"/>
                <w:sz w:val="16"/>
                <w:szCs w:val="16"/>
              </w:rPr>
              <w:t>Jednostka</w:t>
            </w:r>
          </w:p>
        </w:tc>
        <w:tc>
          <w:tcPr>
            <w:tcW w:w="2644" w:type="dxa"/>
            <w:gridSpan w:val="2"/>
          </w:tcPr>
          <w:p w:rsidR="00376DA1" w:rsidRPr="00FD0AA8" w:rsidRDefault="00376DA1" w:rsidP="00556540">
            <w:pPr>
              <w:jc w:val="center"/>
              <w:rPr>
                <w:rFonts w:ascii="Calibri" w:hAnsi="Calibri" w:cs="Calibri"/>
                <w:sz w:val="16"/>
                <w:szCs w:val="16"/>
              </w:rPr>
            </w:pPr>
            <w:r w:rsidRPr="00FD0AA8">
              <w:rPr>
                <w:rFonts w:ascii="Calibri" w:hAnsi="Calibri" w:cs="Calibri"/>
                <w:sz w:val="16"/>
                <w:szCs w:val="16"/>
              </w:rPr>
              <w:t>Gatunek asfaltu modyfikowanego</w:t>
            </w:r>
          </w:p>
          <w:p w:rsidR="00376DA1" w:rsidRPr="00FD0AA8" w:rsidRDefault="00376DA1" w:rsidP="00556540">
            <w:pPr>
              <w:jc w:val="center"/>
              <w:rPr>
                <w:rFonts w:ascii="Calibri" w:hAnsi="Calibri" w:cs="Calibri"/>
                <w:sz w:val="16"/>
                <w:szCs w:val="16"/>
              </w:rPr>
            </w:pPr>
            <w:r w:rsidRPr="00FD0AA8">
              <w:rPr>
                <w:rFonts w:ascii="Calibri" w:hAnsi="Calibri" w:cs="Calibri"/>
                <w:sz w:val="16"/>
                <w:szCs w:val="16"/>
              </w:rPr>
              <w:t>polimerami (PMB)</w:t>
            </w:r>
          </w:p>
        </w:tc>
      </w:tr>
      <w:tr w:rsidR="00376DA1" w:rsidRPr="00C64752" w:rsidTr="00556540">
        <w:tc>
          <w:tcPr>
            <w:tcW w:w="1091" w:type="dxa"/>
            <w:vMerge/>
          </w:tcPr>
          <w:p w:rsidR="00376DA1" w:rsidRPr="00FD0AA8" w:rsidRDefault="00376DA1" w:rsidP="00556540">
            <w:pPr>
              <w:jc w:val="center"/>
              <w:rPr>
                <w:rFonts w:ascii="Calibri" w:hAnsi="Calibri" w:cs="Calibri"/>
                <w:sz w:val="16"/>
                <w:szCs w:val="16"/>
              </w:rPr>
            </w:pPr>
          </w:p>
        </w:tc>
        <w:tc>
          <w:tcPr>
            <w:tcW w:w="1357" w:type="dxa"/>
            <w:vMerge/>
          </w:tcPr>
          <w:p w:rsidR="00376DA1" w:rsidRPr="00FD0AA8" w:rsidRDefault="00376DA1" w:rsidP="00556540">
            <w:pPr>
              <w:jc w:val="center"/>
              <w:rPr>
                <w:rFonts w:ascii="Calibri" w:hAnsi="Calibri" w:cs="Calibri"/>
                <w:sz w:val="16"/>
                <w:szCs w:val="16"/>
              </w:rPr>
            </w:pPr>
          </w:p>
        </w:tc>
        <w:tc>
          <w:tcPr>
            <w:tcW w:w="1440" w:type="dxa"/>
            <w:vMerge/>
          </w:tcPr>
          <w:p w:rsidR="00376DA1" w:rsidRPr="00FD0AA8" w:rsidRDefault="00376DA1" w:rsidP="00556540">
            <w:pPr>
              <w:jc w:val="center"/>
              <w:rPr>
                <w:rFonts w:ascii="Calibri" w:hAnsi="Calibri" w:cs="Calibri"/>
                <w:sz w:val="16"/>
                <w:szCs w:val="16"/>
              </w:rPr>
            </w:pPr>
          </w:p>
        </w:tc>
        <w:tc>
          <w:tcPr>
            <w:tcW w:w="1080" w:type="dxa"/>
            <w:vMerge/>
          </w:tcPr>
          <w:p w:rsidR="00376DA1" w:rsidRPr="00FD0AA8" w:rsidRDefault="00376DA1" w:rsidP="00556540">
            <w:pPr>
              <w:jc w:val="center"/>
              <w:rPr>
                <w:rFonts w:ascii="Calibri" w:hAnsi="Calibri" w:cs="Calibri"/>
                <w:sz w:val="16"/>
                <w:szCs w:val="16"/>
              </w:rPr>
            </w:pPr>
          </w:p>
        </w:tc>
        <w:tc>
          <w:tcPr>
            <w:tcW w:w="2644" w:type="dxa"/>
            <w:gridSpan w:val="2"/>
          </w:tcPr>
          <w:p w:rsidR="00376DA1" w:rsidRPr="00FD0AA8" w:rsidRDefault="00376DA1" w:rsidP="00556540">
            <w:pPr>
              <w:jc w:val="center"/>
              <w:rPr>
                <w:rFonts w:ascii="Calibri" w:hAnsi="Calibri" w:cs="Calibri"/>
                <w:sz w:val="16"/>
                <w:szCs w:val="16"/>
              </w:rPr>
            </w:pPr>
            <w:r w:rsidRPr="00FD0AA8">
              <w:rPr>
                <w:rFonts w:ascii="Calibri" w:hAnsi="Calibri" w:cs="Calibri"/>
                <w:sz w:val="16"/>
                <w:szCs w:val="16"/>
              </w:rPr>
              <w:t>25/55 – 60</w:t>
            </w:r>
          </w:p>
        </w:tc>
      </w:tr>
      <w:tr w:rsidR="00376DA1" w:rsidRPr="000215EC" w:rsidTr="00556540">
        <w:tc>
          <w:tcPr>
            <w:tcW w:w="1091" w:type="dxa"/>
            <w:vMerge/>
          </w:tcPr>
          <w:p w:rsidR="00376DA1" w:rsidRPr="00FD0AA8" w:rsidRDefault="00376DA1" w:rsidP="00556540">
            <w:pPr>
              <w:jc w:val="center"/>
              <w:rPr>
                <w:rFonts w:ascii="Calibri" w:hAnsi="Calibri" w:cs="Calibri"/>
                <w:sz w:val="16"/>
                <w:szCs w:val="16"/>
              </w:rPr>
            </w:pPr>
          </w:p>
        </w:tc>
        <w:tc>
          <w:tcPr>
            <w:tcW w:w="1357" w:type="dxa"/>
            <w:vMerge/>
          </w:tcPr>
          <w:p w:rsidR="00376DA1" w:rsidRPr="00FD0AA8" w:rsidRDefault="00376DA1" w:rsidP="00556540">
            <w:pPr>
              <w:jc w:val="center"/>
              <w:rPr>
                <w:rFonts w:ascii="Calibri" w:hAnsi="Calibri" w:cs="Calibri"/>
                <w:sz w:val="16"/>
                <w:szCs w:val="16"/>
              </w:rPr>
            </w:pPr>
          </w:p>
        </w:tc>
        <w:tc>
          <w:tcPr>
            <w:tcW w:w="1440" w:type="dxa"/>
            <w:vMerge/>
          </w:tcPr>
          <w:p w:rsidR="00376DA1" w:rsidRPr="00FD0AA8" w:rsidRDefault="00376DA1" w:rsidP="00556540">
            <w:pPr>
              <w:jc w:val="center"/>
              <w:rPr>
                <w:rFonts w:ascii="Calibri" w:hAnsi="Calibri" w:cs="Calibri"/>
                <w:sz w:val="16"/>
                <w:szCs w:val="16"/>
              </w:rPr>
            </w:pPr>
          </w:p>
        </w:tc>
        <w:tc>
          <w:tcPr>
            <w:tcW w:w="1080" w:type="dxa"/>
            <w:vMerge/>
          </w:tcPr>
          <w:p w:rsidR="00376DA1" w:rsidRPr="00FD0AA8" w:rsidRDefault="00376DA1" w:rsidP="00556540">
            <w:pPr>
              <w:jc w:val="center"/>
              <w:rPr>
                <w:rFonts w:ascii="Calibri" w:hAnsi="Calibri" w:cs="Calibri"/>
                <w:sz w:val="16"/>
                <w:szCs w:val="16"/>
              </w:rPr>
            </w:pPr>
          </w:p>
        </w:tc>
        <w:tc>
          <w:tcPr>
            <w:tcW w:w="1260" w:type="dxa"/>
          </w:tcPr>
          <w:p w:rsidR="00376DA1" w:rsidRPr="00FD0AA8" w:rsidRDefault="00376DA1" w:rsidP="00556540">
            <w:pPr>
              <w:spacing w:after="60"/>
              <w:jc w:val="center"/>
              <w:rPr>
                <w:rFonts w:ascii="Calibri" w:hAnsi="Calibri" w:cs="Calibri"/>
                <w:sz w:val="16"/>
                <w:szCs w:val="16"/>
              </w:rPr>
            </w:pPr>
            <w:r w:rsidRPr="00FD0AA8">
              <w:rPr>
                <w:rFonts w:ascii="Calibri" w:hAnsi="Calibri" w:cs="Calibri"/>
                <w:sz w:val="16"/>
                <w:szCs w:val="16"/>
              </w:rPr>
              <w:t>wymaganie</w:t>
            </w:r>
          </w:p>
        </w:tc>
        <w:tc>
          <w:tcPr>
            <w:tcW w:w="1384" w:type="dxa"/>
          </w:tcPr>
          <w:p w:rsidR="00376DA1" w:rsidRPr="00FD0AA8" w:rsidRDefault="00376DA1" w:rsidP="00556540">
            <w:pPr>
              <w:jc w:val="center"/>
              <w:rPr>
                <w:rFonts w:ascii="Calibri" w:hAnsi="Calibri" w:cs="Calibri"/>
                <w:sz w:val="16"/>
                <w:szCs w:val="16"/>
              </w:rPr>
            </w:pPr>
            <w:r w:rsidRPr="00FD0AA8">
              <w:rPr>
                <w:rFonts w:ascii="Calibri" w:hAnsi="Calibri" w:cs="Calibri"/>
                <w:sz w:val="16"/>
                <w:szCs w:val="16"/>
              </w:rPr>
              <w:t>klasa</w:t>
            </w:r>
          </w:p>
        </w:tc>
      </w:tr>
      <w:tr w:rsidR="00376DA1" w:rsidRPr="000215EC" w:rsidTr="00556540">
        <w:tc>
          <w:tcPr>
            <w:tcW w:w="1091" w:type="dxa"/>
          </w:tcPr>
          <w:p w:rsidR="00376DA1" w:rsidRPr="00FD0AA8" w:rsidRDefault="00376DA1" w:rsidP="00556540">
            <w:pPr>
              <w:rPr>
                <w:rFonts w:ascii="Calibri" w:hAnsi="Calibri" w:cs="Calibri"/>
                <w:sz w:val="16"/>
                <w:szCs w:val="16"/>
              </w:rPr>
            </w:pPr>
            <w:r w:rsidRPr="00FD0AA8">
              <w:rPr>
                <w:rFonts w:ascii="Calibri" w:hAnsi="Calibri" w:cs="Calibri"/>
                <w:sz w:val="16"/>
                <w:szCs w:val="16"/>
              </w:rPr>
              <w:t>Konsystencja w pośrednich temperatu-rach eksploa-tacyjnych</w:t>
            </w:r>
          </w:p>
        </w:tc>
        <w:tc>
          <w:tcPr>
            <w:tcW w:w="1357" w:type="dxa"/>
            <w:vAlign w:val="center"/>
          </w:tcPr>
          <w:p w:rsidR="00376DA1" w:rsidRPr="00FD0AA8" w:rsidRDefault="00376DA1" w:rsidP="00556540">
            <w:pPr>
              <w:rPr>
                <w:rFonts w:ascii="Calibri" w:hAnsi="Calibri" w:cs="Calibri"/>
                <w:sz w:val="16"/>
                <w:szCs w:val="16"/>
              </w:rPr>
            </w:pPr>
            <w:r w:rsidRPr="00FD0AA8">
              <w:rPr>
                <w:rFonts w:ascii="Calibri" w:hAnsi="Calibri" w:cs="Calibri"/>
                <w:sz w:val="16"/>
                <w:szCs w:val="16"/>
              </w:rPr>
              <w:t xml:space="preserve">Penetracja </w:t>
            </w:r>
          </w:p>
          <w:p w:rsidR="00376DA1" w:rsidRPr="00FD0AA8" w:rsidRDefault="00376DA1" w:rsidP="00556540">
            <w:pPr>
              <w:rPr>
                <w:rFonts w:ascii="Calibri" w:hAnsi="Calibri" w:cs="Calibri"/>
                <w:sz w:val="16"/>
                <w:szCs w:val="16"/>
              </w:rPr>
            </w:pPr>
            <w:r w:rsidRPr="00FD0AA8">
              <w:rPr>
                <w:rFonts w:ascii="Calibri" w:hAnsi="Calibri" w:cs="Calibri"/>
                <w:sz w:val="16"/>
                <w:szCs w:val="16"/>
              </w:rPr>
              <w:t xml:space="preserve">w </w:t>
            </w:r>
            <w:smartTag w:uri="urn:schemas-microsoft-com:office:smarttags" w:element="metricconverter">
              <w:smartTagPr>
                <w:attr w:name="ProductID" w:val="25ﾰC"/>
              </w:smartTagPr>
              <w:r w:rsidRPr="00FD0AA8">
                <w:rPr>
                  <w:rFonts w:ascii="Calibri" w:hAnsi="Calibri" w:cs="Calibri"/>
                  <w:sz w:val="16"/>
                  <w:szCs w:val="16"/>
                </w:rPr>
                <w:t>25°C</w:t>
              </w:r>
            </w:smartTag>
          </w:p>
        </w:tc>
        <w:tc>
          <w:tcPr>
            <w:tcW w:w="1440" w:type="dxa"/>
            <w:vAlign w:val="center"/>
          </w:tcPr>
          <w:p w:rsidR="00376DA1" w:rsidRPr="00FD0AA8" w:rsidRDefault="00376DA1" w:rsidP="00556540">
            <w:pPr>
              <w:tabs>
                <w:tab w:val="left" w:pos="285"/>
              </w:tabs>
              <w:jc w:val="center"/>
              <w:rPr>
                <w:rFonts w:ascii="Calibri" w:hAnsi="Calibri" w:cs="Calibri"/>
                <w:sz w:val="16"/>
                <w:szCs w:val="16"/>
              </w:rPr>
            </w:pPr>
            <w:r w:rsidRPr="00FD0AA8">
              <w:rPr>
                <w:rFonts w:ascii="Calibri" w:hAnsi="Calibri" w:cs="Calibri"/>
                <w:sz w:val="16"/>
                <w:szCs w:val="16"/>
              </w:rPr>
              <w:t>PN-EN 1426 [21]</w:t>
            </w:r>
          </w:p>
        </w:tc>
        <w:tc>
          <w:tcPr>
            <w:tcW w:w="1080" w:type="dxa"/>
            <w:vAlign w:val="center"/>
          </w:tcPr>
          <w:p w:rsidR="00376DA1" w:rsidRPr="00FD0AA8" w:rsidRDefault="00376DA1" w:rsidP="00556540">
            <w:pPr>
              <w:jc w:val="center"/>
              <w:rPr>
                <w:rFonts w:ascii="Calibri" w:hAnsi="Calibri" w:cs="Calibri"/>
                <w:sz w:val="16"/>
                <w:szCs w:val="16"/>
              </w:rPr>
            </w:pPr>
            <w:smartTag w:uri="urn:schemas-microsoft-com:office:smarttags" w:element="metricconverter">
              <w:smartTagPr>
                <w:attr w:name="ProductID" w:val="0,1 mm"/>
              </w:smartTagPr>
              <w:r w:rsidRPr="00FD0AA8">
                <w:rPr>
                  <w:rFonts w:ascii="Calibri" w:hAnsi="Calibri" w:cs="Calibri"/>
                  <w:sz w:val="16"/>
                  <w:szCs w:val="16"/>
                </w:rPr>
                <w:t>0,1 mm</w:t>
              </w:r>
            </w:smartTag>
          </w:p>
        </w:tc>
        <w:tc>
          <w:tcPr>
            <w:tcW w:w="1260" w:type="dxa"/>
            <w:vAlign w:val="center"/>
          </w:tcPr>
          <w:p w:rsidR="00376DA1" w:rsidRPr="00FD0AA8" w:rsidRDefault="00376DA1" w:rsidP="00556540">
            <w:pPr>
              <w:jc w:val="center"/>
              <w:rPr>
                <w:rFonts w:ascii="Calibri" w:hAnsi="Calibri" w:cs="Calibri"/>
                <w:sz w:val="16"/>
                <w:szCs w:val="16"/>
              </w:rPr>
            </w:pPr>
            <w:r w:rsidRPr="00FD0AA8">
              <w:rPr>
                <w:rFonts w:ascii="Calibri" w:hAnsi="Calibri" w:cs="Calibri"/>
                <w:sz w:val="16"/>
                <w:szCs w:val="16"/>
              </w:rPr>
              <w:t>25-55</w:t>
            </w:r>
          </w:p>
        </w:tc>
        <w:tc>
          <w:tcPr>
            <w:tcW w:w="1384" w:type="dxa"/>
            <w:tcBorders>
              <w:right w:val="single" w:sz="4" w:space="0" w:color="auto"/>
            </w:tcBorders>
            <w:vAlign w:val="center"/>
          </w:tcPr>
          <w:p w:rsidR="00376DA1" w:rsidRPr="00FD0AA8" w:rsidRDefault="00376DA1" w:rsidP="00556540">
            <w:pPr>
              <w:jc w:val="center"/>
              <w:rPr>
                <w:rFonts w:ascii="Calibri" w:hAnsi="Calibri" w:cs="Calibri"/>
                <w:sz w:val="16"/>
                <w:szCs w:val="16"/>
              </w:rPr>
            </w:pPr>
            <w:r w:rsidRPr="00FD0AA8">
              <w:rPr>
                <w:rFonts w:ascii="Calibri" w:hAnsi="Calibri" w:cs="Calibri"/>
                <w:sz w:val="16"/>
                <w:szCs w:val="16"/>
              </w:rPr>
              <w:t>3</w:t>
            </w:r>
          </w:p>
        </w:tc>
      </w:tr>
      <w:tr w:rsidR="00376DA1" w:rsidRPr="000215EC" w:rsidTr="00556540">
        <w:tc>
          <w:tcPr>
            <w:tcW w:w="1091" w:type="dxa"/>
          </w:tcPr>
          <w:p w:rsidR="00376DA1" w:rsidRPr="00FD0AA8" w:rsidRDefault="00376DA1" w:rsidP="00556540">
            <w:pPr>
              <w:jc w:val="left"/>
              <w:rPr>
                <w:rFonts w:ascii="Calibri" w:hAnsi="Calibri" w:cs="Calibri"/>
                <w:sz w:val="16"/>
                <w:szCs w:val="16"/>
              </w:rPr>
            </w:pPr>
            <w:r w:rsidRPr="00FD0AA8">
              <w:rPr>
                <w:rFonts w:ascii="Calibri" w:hAnsi="Calibri" w:cs="Calibri"/>
                <w:sz w:val="16"/>
                <w:szCs w:val="16"/>
              </w:rPr>
              <w:t>Konsystencja  w wysokich  temperatu-  rach eksplo-atacyjnych</w:t>
            </w:r>
          </w:p>
        </w:tc>
        <w:tc>
          <w:tcPr>
            <w:tcW w:w="1357" w:type="dxa"/>
            <w:vAlign w:val="center"/>
          </w:tcPr>
          <w:p w:rsidR="00376DA1" w:rsidRPr="00FD0AA8" w:rsidRDefault="00376DA1" w:rsidP="00556540">
            <w:pPr>
              <w:rPr>
                <w:rFonts w:ascii="Calibri" w:hAnsi="Calibri" w:cs="Calibri"/>
                <w:sz w:val="16"/>
                <w:szCs w:val="16"/>
              </w:rPr>
            </w:pPr>
            <w:r w:rsidRPr="00FD0AA8">
              <w:rPr>
                <w:rFonts w:ascii="Calibri" w:hAnsi="Calibri" w:cs="Calibri"/>
                <w:sz w:val="16"/>
                <w:szCs w:val="16"/>
              </w:rPr>
              <w:t>Temperatura mięknienia</w:t>
            </w:r>
          </w:p>
        </w:tc>
        <w:tc>
          <w:tcPr>
            <w:tcW w:w="1440" w:type="dxa"/>
            <w:vAlign w:val="center"/>
          </w:tcPr>
          <w:p w:rsidR="00376DA1" w:rsidRPr="00FD0AA8" w:rsidRDefault="00376DA1" w:rsidP="00556540">
            <w:pPr>
              <w:jc w:val="center"/>
              <w:rPr>
                <w:rFonts w:ascii="Calibri" w:hAnsi="Calibri" w:cs="Calibri"/>
                <w:sz w:val="16"/>
                <w:szCs w:val="16"/>
              </w:rPr>
            </w:pPr>
            <w:r w:rsidRPr="00FD0AA8">
              <w:rPr>
                <w:rFonts w:ascii="Calibri" w:hAnsi="Calibri" w:cs="Calibri"/>
                <w:sz w:val="16"/>
                <w:szCs w:val="16"/>
              </w:rPr>
              <w:t>PN-EN 1427 [22]</w:t>
            </w:r>
          </w:p>
        </w:tc>
        <w:tc>
          <w:tcPr>
            <w:tcW w:w="1080" w:type="dxa"/>
            <w:vAlign w:val="center"/>
          </w:tcPr>
          <w:p w:rsidR="00376DA1" w:rsidRPr="00FD0AA8" w:rsidRDefault="00376DA1" w:rsidP="00556540">
            <w:pPr>
              <w:jc w:val="center"/>
              <w:rPr>
                <w:rFonts w:ascii="Calibri" w:hAnsi="Calibri" w:cs="Calibri"/>
                <w:sz w:val="16"/>
                <w:szCs w:val="16"/>
              </w:rPr>
            </w:pPr>
            <w:r w:rsidRPr="00FD0AA8">
              <w:rPr>
                <w:rFonts w:ascii="Calibri" w:hAnsi="Calibri" w:cs="Calibri"/>
                <w:sz w:val="16"/>
                <w:szCs w:val="16"/>
              </w:rPr>
              <w:t>°C</w:t>
            </w:r>
          </w:p>
        </w:tc>
        <w:tc>
          <w:tcPr>
            <w:tcW w:w="1260" w:type="dxa"/>
            <w:vAlign w:val="center"/>
          </w:tcPr>
          <w:p w:rsidR="00376DA1" w:rsidRPr="00FD0AA8" w:rsidRDefault="00376DA1" w:rsidP="00556540">
            <w:pPr>
              <w:jc w:val="center"/>
              <w:rPr>
                <w:rFonts w:ascii="Calibri" w:hAnsi="Calibri" w:cs="Calibri"/>
                <w:sz w:val="16"/>
                <w:szCs w:val="16"/>
              </w:rPr>
            </w:pPr>
            <w:r w:rsidRPr="00FD0AA8">
              <w:rPr>
                <w:rFonts w:ascii="Calibri" w:hAnsi="Calibri" w:cs="Calibri"/>
                <w:sz w:val="16"/>
                <w:szCs w:val="16"/>
              </w:rPr>
              <w:t>≥ 60</w:t>
            </w:r>
          </w:p>
        </w:tc>
        <w:tc>
          <w:tcPr>
            <w:tcW w:w="1384" w:type="dxa"/>
            <w:tcBorders>
              <w:right w:val="single" w:sz="4" w:space="0" w:color="auto"/>
            </w:tcBorders>
            <w:vAlign w:val="center"/>
          </w:tcPr>
          <w:p w:rsidR="00376DA1" w:rsidRPr="00FD0AA8" w:rsidRDefault="00376DA1" w:rsidP="00556540">
            <w:pPr>
              <w:jc w:val="center"/>
              <w:rPr>
                <w:rFonts w:ascii="Calibri" w:hAnsi="Calibri" w:cs="Calibri"/>
                <w:sz w:val="16"/>
                <w:szCs w:val="16"/>
              </w:rPr>
            </w:pPr>
            <w:r w:rsidRPr="00FD0AA8">
              <w:rPr>
                <w:rFonts w:ascii="Calibri" w:hAnsi="Calibri" w:cs="Calibri"/>
                <w:sz w:val="16"/>
                <w:szCs w:val="16"/>
              </w:rPr>
              <w:t>6</w:t>
            </w:r>
          </w:p>
        </w:tc>
      </w:tr>
      <w:tr w:rsidR="00376DA1" w:rsidRPr="000215EC" w:rsidTr="00556540">
        <w:tc>
          <w:tcPr>
            <w:tcW w:w="1091" w:type="dxa"/>
            <w:vMerge w:val="restart"/>
            <w:vAlign w:val="center"/>
          </w:tcPr>
          <w:p w:rsidR="00376DA1" w:rsidRPr="00FD0AA8" w:rsidRDefault="00376DA1" w:rsidP="00556540">
            <w:pPr>
              <w:rPr>
                <w:rFonts w:ascii="Calibri" w:hAnsi="Calibri" w:cs="Calibri"/>
                <w:sz w:val="16"/>
                <w:szCs w:val="16"/>
              </w:rPr>
            </w:pPr>
            <w:r w:rsidRPr="00FD0AA8">
              <w:rPr>
                <w:rFonts w:ascii="Calibri" w:hAnsi="Calibri" w:cs="Calibri"/>
                <w:sz w:val="16"/>
                <w:szCs w:val="16"/>
              </w:rPr>
              <w:t>Kohezja</w:t>
            </w:r>
          </w:p>
        </w:tc>
        <w:tc>
          <w:tcPr>
            <w:tcW w:w="1357" w:type="dxa"/>
            <w:vAlign w:val="center"/>
          </w:tcPr>
          <w:p w:rsidR="00376DA1" w:rsidRPr="00FD0AA8" w:rsidRDefault="00376DA1" w:rsidP="00556540">
            <w:pPr>
              <w:jc w:val="left"/>
              <w:rPr>
                <w:rFonts w:ascii="Calibri" w:hAnsi="Calibri" w:cs="Calibri"/>
                <w:sz w:val="16"/>
                <w:szCs w:val="16"/>
              </w:rPr>
            </w:pPr>
            <w:r w:rsidRPr="00FD0AA8">
              <w:rPr>
                <w:rFonts w:ascii="Calibri" w:hAnsi="Calibri" w:cs="Calibri"/>
                <w:sz w:val="16"/>
                <w:szCs w:val="16"/>
              </w:rPr>
              <w:t>Siła rozciągania (mała prędkość rozciągania)</w:t>
            </w:r>
          </w:p>
        </w:tc>
        <w:tc>
          <w:tcPr>
            <w:tcW w:w="1440" w:type="dxa"/>
            <w:vAlign w:val="center"/>
          </w:tcPr>
          <w:p w:rsidR="00376DA1" w:rsidRPr="00FD0AA8" w:rsidRDefault="00376DA1" w:rsidP="00556540">
            <w:pPr>
              <w:jc w:val="center"/>
              <w:rPr>
                <w:rFonts w:ascii="Calibri" w:hAnsi="Calibri" w:cs="Calibri"/>
                <w:sz w:val="16"/>
                <w:szCs w:val="16"/>
              </w:rPr>
            </w:pPr>
            <w:r w:rsidRPr="00FD0AA8">
              <w:rPr>
                <w:rFonts w:ascii="Calibri" w:hAnsi="Calibri" w:cs="Calibri"/>
                <w:sz w:val="16"/>
                <w:szCs w:val="16"/>
              </w:rPr>
              <w:t>PN-EN 13589 [55]      PN-EN 13703 [57]</w:t>
            </w:r>
          </w:p>
        </w:tc>
        <w:tc>
          <w:tcPr>
            <w:tcW w:w="1080" w:type="dxa"/>
            <w:vAlign w:val="center"/>
          </w:tcPr>
          <w:p w:rsidR="00376DA1" w:rsidRPr="00FD0AA8" w:rsidRDefault="00376DA1" w:rsidP="00556540">
            <w:pPr>
              <w:jc w:val="center"/>
              <w:rPr>
                <w:rFonts w:ascii="Calibri" w:hAnsi="Calibri" w:cs="Calibri"/>
                <w:sz w:val="16"/>
                <w:szCs w:val="16"/>
              </w:rPr>
            </w:pPr>
            <w:r w:rsidRPr="00FD0AA8">
              <w:rPr>
                <w:rFonts w:ascii="Calibri" w:hAnsi="Calibri" w:cs="Calibri"/>
                <w:sz w:val="16"/>
                <w:szCs w:val="16"/>
              </w:rPr>
              <w:t>J/cm</w:t>
            </w:r>
            <w:r w:rsidRPr="00FD0AA8">
              <w:rPr>
                <w:rFonts w:ascii="Calibri" w:hAnsi="Calibri" w:cs="Calibri"/>
                <w:sz w:val="16"/>
                <w:szCs w:val="16"/>
                <w:vertAlign w:val="superscript"/>
              </w:rPr>
              <w:t>2</w:t>
            </w:r>
          </w:p>
        </w:tc>
        <w:tc>
          <w:tcPr>
            <w:tcW w:w="1260" w:type="dxa"/>
            <w:vAlign w:val="center"/>
          </w:tcPr>
          <w:p w:rsidR="00376DA1" w:rsidRPr="00FD0AA8" w:rsidRDefault="00376DA1" w:rsidP="00556540">
            <w:pPr>
              <w:jc w:val="center"/>
              <w:rPr>
                <w:rFonts w:ascii="Calibri" w:hAnsi="Calibri" w:cs="Calibri"/>
                <w:sz w:val="16"/>
                <w:szCs w:val="16"/>
              </w:rPr>
            </w:pPr>
            <w:r w:rsidRPr="00FD0AA8">
              <w:rPr>
                <w:rFonts w:ascii="Calibri" w:hAnsi="Calibri" w:cs="Calibri"/>
                <w:sz w:val="16"/>
                <w:szCs w:val="16"/>
              </w:rPr>
              <w:t xml:space="preserve">≥ 2 w </w:t>
            </w:r>
            <w:smartTag w:uri="urn:schemas-microsoft-com:office:smarttags" w:element="metricconverter">
              <w:smartTagPr>
                <w:attr w:name="ProductID" w:val="5ﾰC"/>
              </w:smartTagPr>
              <w:r w:rsidRPr="00FD0AA8">
                <w:rPr>
                  <w:rFonts w:ascii="Calibri" w:hAnsi="Calibri" w:cs="Calibri"/>
                  <w:sz w:val="16"/>
                  <w:szCs w:val="16"/>
                </w:rPr>
                <w:t>5°C</w:t>
              </w:r>
            </w:smartTag>
          </w:p>
        </w:tc>
        <w:tc>
          <w:tcPr>
            <w:tcW w:w="1384" w:type="dxa"/>
            <w:tcBorders>
              <w:right w:val="single" w:sz="4" w:space="0" w:color="auto"/>
            </w:tcBorders>
            <w:vAlign w:val="center"/>
          </w:tcPr>
          <w:p w:rsidR="00376DA1" w:rsidRPr="00FD0AA8" w:rsidRDefault="00376DA1" w:rsidP="00556540">
            <w:pPr>
              <w:jc w:val="center"/>
              <w:rPr>
                <w:rFonts w:ascii="Calibri" w:hAnsi="Calibri" w:cs="Calibri"/>
                <w:sz w:val="16"/>
                <w:szCs w:val="16"/>
              </w:rPr>
            </w:pPr>
            <w:r w:rsidRPr="00FD0AA8">
              <w:rPr>
                <w:rFonts w:ascii="Calibri" w:hAnsi="Calibri" w:cs="Calibri"/>
                <w:sz w:val="16"/>
                <w:szCs w:val="16"/>
              </w:rPr>
              <w:t>3</w:t>
            </w:r>
          </w:p>
        </w:tc>
      </w:tr>
      <w:tr w:rsidR="00376DA1" w:rsidRPr="000215EC" w:rsidTr="00556540">
        <w:tc>
          <w:tcPr>
            <w:tcW w:w="1091" w:type="dxa"/>
            <w:vMerge/>
          </w:tcPr>
          <w:p w:rsidR="00376DA1" w:rsidRPr="00FD0AA8" w:rsidRDefault="00376DA1" w:rsidP="00556540">
            <w:pPr>
              <w:rPr>
                <w:rFonts w:ascii="Calibri" w:hAnsi="Calibri" w:cs="Calibri"/>
                <w:sz w:val="16"/>
                <w:szCs w:val="16"/>
              </w:rPr>
            </w:pPr>
          </w:p>
        </w:tc>
        <w:tc>
          <w:tcPr>
            <w:tcW w:w="1357" w:type="dxa"/>
            <w:vAlign w:val="center"/>
          </w:tcPr>
          <w:p w:rsidR="00376DA1" w:rsidRPr="00FD0AA8" w:rsidRDefault="00376DA1" w:rsidP="00556540">
            <w:pPr>
              <w:jc w:val="left"/>
              <w:rPr>
                <w:rFonts w:ascii="Calibri" w:hAnsi="Calibri" w:cs="Calibri"/>
                <w:sz w:val="16"/>
                <w:szCs w:val="16"/>
              </w:rPr>
            </w:pPr>
            <w:r w:rsidRPr="00FD0AA8">
              <w:rPr>
                <w:rFonts w:ascii="Calibri" w:hAnsi="Calibri" w:cs="Calibri"/>
                <w:sz w:val="16"/>
                <w:szCs w:val="16"/>
              </w:rPr>
              <w:t xml:space="preserve">Siła rozciągania w </w:t>
            </w:r>
            <w:smartTag w:uri="urn:schemas-microsoft-com:office:smarttags" w:element="metricconverter">
              <w:smartTagPr>
                <w:attr w:name="ProductID" w:val="5ﾰC"/>
              </w:smartTagPr>
              <w:r w:rsidRPr="00FD0AA8">
                <w:rPr>
                  <w:rFonts w:ascii="Calibri" w:hAnsi="Calibri" w:cs="Calibri"/>
                  <w:sz w:val="16"/>
                  <w:szCs w:val="16"/>
                </w:rPr>
                <w:t>5°C</w:t>
              </w:r>
            </w:smartTag>
            <w:r w:rsidRPr="00FD0AA8">
              <w:rPr>
                <w:rFonts w:ascii="Calibri" w:hAnsi="Calibri" w:cs="Calibri"/>
                <w:sz w:val="16"/>
                <w:szCs w:val="16"/>
              </w:rPr>
              <w:t xml:space="preserve"> (duża prędkość rozciągania)</w:t>
            </w:r>
          </w:p>
        </w:tc>
        <w:tc>
          <w:tcPr>
            <w:tcW w:w="1440" w:type="dxa"/>
            <w:vAlign w:val="center"/>
          </w:tcPr>
          <w:p w:rsidR="00376DA1" w:rsidRPr="00FD0AA8" w:rsidRDefault="00376DA1" w:rsidP="00556540">
            <w:pPr>
              <w:jc w:val="center"/>
              <w:rPr>
                <w:rFonts w:ascii="Calibri" w:hAnsi="Calibri" w:cs="Calibri"/>
                <w:sz w:val="16"/>
                <w:szCs w:val="16"/>
              </w:rPr>
            </w:pPr>
            <w:r w:rsidRPr="00FD0AA8">
              <w:rPr>
                <w:rFonts w:ascii="Calibri" w:hAnsi="Calibri" w:cs="Calibri"/>
                <w:sz w:val="16"/>
                <w:szCs w:val="16"/>
              </w:rPr>
              <w:t>PN-EN 13587 [53]      PN-EN 13703 [57]</w:t>
            </w:r>
          </w:p>
        </w:tc>
        <w:tc>
          <w:tcPr>
            <w:tcW w:w="1080" w:type="dxa"/>
            <w:vAlign w:val="center"/>
          </w:tcPr>
          <w:p w:rsidR="00376DA1" w:rsidRPr="00FD0AA8" w:rsidRDefault="00376DA1" w:rsidP="00556540">
            <w:pPr>
              <w:jc w:val="center"/>
              <w:rPr>
                <w:rFonts w:ascii="Calibri" w:hAnsi="Calibri" w:cs="Calibri"/>
                <w:sz w:val="16"/>
                <w:szCs w:val="16"/>
              </w:rPr>
            </w:pPr>
            <w:r w:rsidRPr="00FD0AA8">
              <w:rPr>
                <w:rFonts w:ascii="Calibri" w:hAnsi="Calibri" w:cs="Calibri"/>
                <w:sz w:val="16"/>
                <w:szCs w:val="16"/>
              </w:rPr>
              <w:t>J/cm</w:t>
            </w:r>
            <w:r w:rsidRPr="00FD0AA8">
              <w:rPr>
                <w:rFonts w:ascii="Calibri" w:hAnsi="Calibri" w:cs="Calibri"/>
                <w:sz w:val="16"/>
                <w:szCs w:val="16"/>
                <w:vertAlign w:val="superscript"/>
              </w:rPr>
              <w:t>2</w:t>
            </w:r>
          </w:p>
        </w:tc>
        <w:tc>
          <w:tcPr>
            <w:tcW w:w="1260" w:type="dxa"/>
            <w:vAlign w:val="center"/>
          </w:tcPr>
          <w:p w:rsidR="00376DA1" w:rsidRPr="00FD0AA8" w:rsidRDefault="00376DA1" w:rsidP="00556540">
            <w:pPr>
              <w:jc w:val="center"/>
              <w:rPr>
                <w:rFonts w:ascii="Calibri" w:hAnsi="Calibri" w:cs="Calibri"/>
                <w:sz w:val="16"/>
                <w:szCs w:val="16"/>
                <w:vertAlign w:val="superscript"/>
              </w:rPr>
            </w:pPr>
            <w:r w:rsidRPr="00FD0AA8">
              <w:rPr>
                <w:rFonts w:ascii="Calibri" w:hAnsi="Calibri" w:cs="Calibri"/>
                <w:sz w:val="16"/>
                <w:szCs w:val="16"/>
              </w:rPr>
              <w:t>NPD</w:t>
            </w:r>
            <w:r w:rsidRPr="00FD0AA8">
              <w:rPr>
                <w:rFonts w:ascii="Calibri" w:hAnsi="Calibri" w:cs="Calibri"/>
                <w:sz w:val="16"/>
                <w:szCs w:val="16"/>
                <w:vertAlign w:val="superscript"/>
              </w:rPr>
              <w:t>a</w:t>
            </w:r>
          </w:p>
        </w:tc>
        <w:tc>
          <w:tcPr>
            <w:tcW w:w="1384" w:type="dxa"/>
            <w:tcBorders>
              <w:right w:val="single" w:sz="4" w:space="0" w:color="auto"/>
            </w:tcBorders>
            <w:vAlign w:val="center"/>
          </w:tcPr>
          <w:p w:rsidR="00376DA1" w:rsidRPr="00FD0AA8" w:rsidRDefault="00376DA1" w:rsidP="00556540">
            <w:pPr>
              <w:jc w:val="center"/>
              <w:rPr>
                <w:rFonts w:ascii="Calibri" w:hAnsi="Calibri" w:cs="Calibri"/>
                <w:sz w:val="16"/>
                <w:szCs w:val="16"/>
              </w:rPr>
            </w:pPr>
            <w:r w:rsidRPr="00FD0AA8">
              <w:rPr>
                <w:rFonts w:ascii="Calibri" w:hAnsi="Calibri" w:cs="Calibri"/>
                <w:sz w:val="16"/>
                <w:szCs w:val="16"/>
              </w:rPr>
              <w:t>0</w:t>
            </w:r>
          </w:p>
        </w:tc>
      </w:tr>
      <w:tr w:rsidR="00376DA1" w:rsidRPr="000215EC" w:rsidTr="00556540">
        <w:tc>
          <w:tcPr>
            <w:tcW w:w="1091" w:type="dxa"/>
            <w:vMerge/>
          </w:tcPr>
          <w:p w:rsidR="00376DA1" w:rsidRPr="00FD0AA8" w:rsidRDefault="00376DA1" w:rsidP="00556540">
            <w:pPr>
              <w:rPr>
                <w:rFonts w:ascii="Calibri" w:hAnsi="Calibri" w:cs="Calibri"/>
                <w:sz w:val="16"/>
                <w:szCs w:val="16"/>
              </w:rPr>
            </w:pPr>
          </w:p>
        </w:tc>
        <w:tc>
          <w:tcPr>
            <w:tcW w:w="1357" w:type="dxa"/>
            <w:vAlign w:val="center"/>
          </w:tcPr>
          <w:p w:rsidR="00376DA1" w:rsidRPr="00FD0AA8" w:rsidRDefault="00376DA1" w:rsidP="00556540">
            <w:pPr>
              <w:jc w:val="left"/>
              <w:rPr>
                <w:rFonts w:ascii="Calibri" w:hAnsi="Calibri" w:cs="Calibri"/>
                <w:sz w:val="16"/>
                <w:szCs w:val="16"/>
              </w:rPr>
            </w:pPr>
            <w:r w:rsidRPr="00FD0AA8">
              <w:rPr>
                <w:rFonts w:ascii="Calibri" w:hAnsi="Calibri" w:cs="Calibri"/>
                <w:sz w:val="16"/>
                <w:szCs w:val="16"/>
              </w:rPr>
              <w:t>Wahadło Vialit (metoda uderzenia)</w:t>
            </w:r>
          </w:p>
        </w:tc>
        <w:tc>
          <w:tcPr>
            <w:tcW w:w="1440" w:type="dxa"/>
            <w:vAlign w:val="center"/>
          </w:tcPr>
          <w:p w:rsidR="00376DA1" w:rsidRPr="00FD0AA8" w:rsidRDefault="00376DA1" w:rsidP="00556540">
            <w:pPr>
              <w:jc w:val="center"/>
              <w:rPr>
                <w:rFonts w:ascii="Calibri" w:hAnsi="Calibri" w:cs="Calibri"/>
                <w:sz w:val="16"/>
                <w:szCs w:val="16"/>
              </w:rPr>
            </w:pPr>
            <w:r w:rsidRPr="00FD0AA8">
              <w:rPr>
                <w:rFonts w:ascii="Calibri" w:hAnsi="Calibri" w:cs="Calibri"/>
                <w:sz w:val="16"/>
                <w:szCs w:val="16"/>
              </w:rPr>
              <w:t>PN-EN 13588 [54]</w:t>
            </w:r>
          </w:p>
        </w:tc>
        <w:tc>
          <w:tcPr>
            <w:tcW w:w="1080" w:type="dxa"/>
            <w:vAlign w:val="center"/>
          </w:tcPr>
          <w:p w:rsidR="00376DA1" w:rsidRPr="00FD0AA8" w:rsidRDefault="00376DA1" w:rsidP="00556540">
            <w:pPr>
              <w:jc w:val="center"/>
              <w:rPr>
                <w:rFonts w:ascii="Calibri" w:hAnsi="Calibri" w:cs="Calibri"/>
                <w:sz w:val="16"/>
                <w:szCs w:val="16"/>
              </w:rPr>
            </w:pPr>
            <w:r w:rsidRPr="00FD0AA8">
              <w:rPr>
                <w:rFonts w:ascii="Calibri" w:hAnsi="Calibri" w:cs="Calibri"/>
                <w:sz w:val="16"/>
                <w:szCs w:val="16"/>
              </w:rPr>
              <w:t>J/cm</w:t>
            </w:r>
            <w:r w:rsidRPr="00FD0AA8">
              <w:rPr>
                <w:rFonts w:ascii="Calibri" w:hAnsi="Calibri" w:cs="Calibri"/>
                <w:sz w:val="16"/>
                <w:szCs w:val="16"/>
                <w:vertAlign w:val="superscript"/>
              </w:rPr>
              <w:t>2</w:t>
            </w:r>
          </w:p>
        </w:tc>
        <w:tc>
          <w:tcPr>
            <w:tcW w:w="1260" w:type="dxa"/>
            <w:vAlign w:val="center"/>
          </w:tcPr>
          <w:p w:rsidR="00376DA1" w:rsidRPr="00FD0AA8" w:rsidRDefault="00376DA1" w:rsidP="00556540">
            <w:pPr>
              <w:jc w:val="center"/>
              <w:rPr>
                <w:rFonts w:ascii="Calibri" w:hAnsi="Calibri" w:cs="Calibri"/>
                <w:sz w:val="16"/>
                <w:szCs w:val="16"/>
                <w:vertAlign w:val="superscript"/>
              </w:rPr>
            </w:pPr>
            <w:r w:rsidRPr="00FD0AA8">
              <w:rPr>
                <w:rFonts w:ascii="Calibri" w:hAnsi="Calibri" w:cs="Calibri"/>
                <w:sz w:val="16"/>
                <w:szCs w:val="16"/>
              </w:rPr>
              <w:t>NPD</w:t>
            </w:r>
            <w:r w:rsidRPr="00FD0AA8">
              <w:rPr>
                <w:rFonts w:ascii="Calibri" w:hAnsi="Calibri" w:cs="Calibri"/>
                <w:sz w:val="16"/>
                <w:szCs w:val="16"/>
                <w:vertAlign w:val="superscript"/>
              </w:rPr>
              <w:t>a</w:t>
            </w:r>
          </w:p>
        </w:tc>
        <w:tc>
          <w:tcPr>
            <w:tcW w:w="1384" w:type="dxa"/>
            <w:tcBorders>
              <w:right w:val="single" w:sz="4" w:space="0" w:color="auto"/>
            </w:tcBorders>
            <w:vAlign w:val="center"/>
          </w:tcPr>
          <w:p w:rsidR="00376DA1" w:rsidRPr="00FD0AA8" w:rsidRDefault="00376DA1" w:rsidP="00556540">
            <w:pPr>
              <w:jc w:val="center"/>
              <w:rPr>
                <w:rFonts w:ascii="Calibri" w:hAnsi="Calibri" w:cs="Calibri"/>
                <w:sz w:val="16"/>
                <w:szCs w:val="16"/>
              </w:rPr>
            </w:pPr>
            <w:r w:rsidRPr="00FD0AA8">
              <w:rPr>
                <w:rFonts w:ascii="Calibri" w:hAnsi="Calibri" w:cs="Calibri"/>
                <w:sz w:val="16"/>
                <w:szCs w:val="16"/>
              </w:rPr>
              <w:t>0</w:t>
            </w:r>
          </w:p>
        </w:tc>
      </w:tr>
      <w:tr w:rsidR="00376DA1" w:rsidRPr="000215EC" w:rsidTr="00556540">
        <w:tc>
          <w:tcPr>
            <w:tcW w:w="1091" w:type="dxa"/>
            <w:vMerge w:val="restart"/>
          </w:tcPr>
          <w:p w:rsidR="00376DA1" w:rsidRPr="00FD0AA8" w:rsidRDefault="00376DA1" w:rsidP="00556540">
            <w:pPr>
              <w:rPr>
                <w:rFonts w:ascii="Calibri" w:hAnsi="Calibri" w:cs="Calibri"/>
                <w:sz w:val="16"/>
                <w:szCs w:val="16"/>
              </w:rPr>
            </w:pPr>
            <w:r w:rsidRPr="00FD0AA8">
              <w:rPr>
                <w:rFonts w:ascii="Calibri" w:hAnsi="Calibri" w:cs="Calibri"/>
                <w:sz w:val="16"/>
                <w:szCs w:val="16"/>
              </w:rPr>
              <w:t>Stałość kon-</w:t>
            </w:r>
          </w:p>
          <w:p w:rsidR="00376DA1" w:rsidRPr="00FD0AA8" w:rsidRDefault="00376DA1" w:rsidP="00556540">
            <w:pPr>
              <w:rPr>
                <w:rFonts w:ascii="Calibri" w:hAnsi="Calibri" w:cs="Calibri"/>
                <w:sz w:val="16"/>
                <w:szCs w:val="16"/>
              </w:rPr>
            </w:pPr>
            <w:r w:rsidRPr="00FD0AA8">
              <w:rPr>
                <w:rFonts w:ascii="Calibri" w:hAnsi="Calibri" w:cs="Calibri"/>
                <w:sz w:val="16"/>
                <w:szCs w:val="16"/>
              </w:rPr>
              <w:t xml:space="preserve">systencji (Odporność </w:t>
            </w:r>
          </w:p>
          <w:p w:rsidR="00376DA1" w:rsidRPr="00FD0AA8" w:rsidRDefault="00376DA1" w:rsidP="00556540">
            <w:pPr>
              <w:jc w:val="left"/>
              <w:rPr>
                <w:rFonts w:ascii="Calibri" w:hAnsi="Calibri" w:cs="Calibri"/>
                <w:sz w:val="16"/>
                <w:szCs w:val="16"/>
              </w:rPr>
            </w:pPr>
            <w:r w:rsidRPr="00FD0AA8">
              <w:rPr>
                <w:rFonts w:ascii="Calibri" w:hAnsi="Calibri" w:cs="Calibri"/>
                <w:sz w:val="16"/>
                <w:szCs w:val="16"/>
              </w:rPr>
              <w:t xml:space="preserve">na starzenie wg PN-EN 12607-1 </w:t>
            </w:r>
          </w:p>
          <w:p w:rsidR="00376DA1" w:rsidRPr="00FD0AA8" w:rsidRDefault="00376DA1" w:rsidP="00556540">
            <w:pPr>
              <w:jc w:val="left"/>
              <w:rPr>
                <w:rFonts w:ascii="Calibri" w:hAnsi="Calibri" w:cs="Calibri"/>
                <w:sz w:val="16"/>
                <w:szCs w:val="16"/>
              </w:rPr>
            </w:pPr>
            <w:r w:rsidRPr="00FD0AA8">
              <w:rPr>
                <w:rFonts w:ascii="Calibri" w:hAnsi="Calibri" w:cs="Calibri"/>
                <w:sz w:val="16"/>
                <w:szCs w:val="16"/>
              </w:rPr>
              <w:t>lub -3 [31]</w:t>
            </w:r>
          </w:p>
        </w:tc>
        <w:tc>
          <w:tcPr>
            <w:tcW w:w="1357" w:type="dxa"/>
            <w:vAlign w:val="center"/>
          </w:tcPr>
          <w:p w:rsidR="00376DA1" w:rsidRPr="00FD0AA8" w:rsidRDefault="00376DA1" w:rsidP="00556540">
            <w:pPr>
              <w:rPr>
                <w:rFonts w:ascii="Calibri" w:hAnsi="Calibri" w:cs="Calibri"/>
                <w:sz w:val="16"/>
                <w:szCs w:val="16"/>
              </w:rPr>
            </w:pPr>
            <w:r w:rsidRPr="00FD0AA8">
              <w:rPr>
                <w:rFonts w:ascii="Calibri" w:hAnsi="Calibri" w:cs="Calibri"/>
                <w:sz w:val="16"/>
                <w:szCs w:val="16"/>
              </w:rPr>
              <w:t>Zmiana masy</w:t>
            </w:r>
          </w:p>
        </w:tc>
        <w:tc>
          <w:tcPr>
            <w:tcW w:w="1440" w:type="dxa"/>
            <w:vAlign w:val="center"/>
          </w:tcPr>
          <w:p w:rsidR="00376DA1" w:rsidRPr="00FD0AA8" w:rsidRDefault="00376DA1" w:rsidP="00556540">
            <w:pPr>
              <w:jc w:val="center"/>
              <w:rPr>
                <w:rFonts w:ascii="Calibri" w:hAnsi="Calibri" w:cs="Calibri"/>
                <w:sz w:val="16"/>
                <w:szCs w:val="16"/>
              </w:rPr>
            </w:pPr>
          </w:p>
        </w:tc>
        <w:tc>
          <w:tcPr>
            <w:tcW w:w="1080" w:type="dxa"/>
            <w:vAlign w:val="center"/>
          </w:tcPr>
          <w:p w:rsidR="00376DA1" w:rsidRPr="00FD0AA8" w:rsidRDefault="00376DA1" w:rsidP="00556540">
            <w:pPr>
              <w:jc w:val="center"/>
              <w:rPr>
                <w:rFonts w:ascii="Calibri" w:hAnsi="Calibri" w:cs="Calibri"/>
                <w:sz w:val="16"/>
                <w:szCs w:val="16"/>
              </w:rPr>
            </w:pPr>
            <w:r w:rsidRPr="00FD0AA8">
              <w:rPr>
                <w:rFonts w:ascii="Calibri" w:hAnsi="Calibri" w:cs="Calibri"/>
                <w:sz w:val="16"/>
                <w:szCs w:val="16"/>
              </w:rPr>
              <w:t>%</w:t>
            </w:r>
          </w:p>
        </w:tc>
        <w:tc>
          <w:tcPr>
            <w:tcW w:w="1260" w:type="dxa"/>
            <w:vAlign w:val="center"/>
          </w:tcPr>
          <w:p w:rsidR="00376DA1" w:rsidRPr="00FD0AA8" w:rsidRDefault="00376DA1" w:rsidP="00556540">
            <w:pPr>
              <w:jc w:val="center"/>
              <w:rPr>
                <w:rFonts w:ascii="Calibri" w:hAnsi="Calibri" w:cs="Calibri"/>
                <w:sz w:val="16"/>
                <w:szCs w:val="16"/>
              </w:rPr>
            </w:pPr>
            <w:r w:rsidRPr="00FD0AA8">
              <w:rPr>
                <w:rFonts w:ascii="Calibri" w:hAnsi="Calibri" w:cs="Calibri"/>
                <w:sz w:val="16"/>
                <w:szCs w:val="16"/>
              </w:rPr>
              <w:t>≥ 0,5</w:t>
            </w:r>
          </w:p>
        </w:tc>
        <w:tc>
          <w:tcPr>
            <w:tcW w:w="1384" w:type="dxa"/>
            <w:tcBorders>
              <w:right w:val="single" w:sz="4" w:space="0" w:color="auto"/>
            </w:tcBorders>
            <w:vAlign w:val="center"/>
          </w:tcPr>
          <w:p w:rsidR="00376DA1" w:rsidRPr="00FD0AA8" w:rsidRDefault="00376DA1" w:rsidP="00556540">
            <w:pPr>
              <w:jc w:val="center"/>
              <w:rPr>
                <w:rFonts w:ascii="Calibri" w:hAnsi="Calibri" w:cs="Calibri"/>
                <w:sz w:val="16"/>
                <w:szCs w:val="16"/>
              </w:rPr>
            </w:pPr>
            <w:r w:rsidRPr="00FD0AA8">
              <w:rPr>
                <w:rFonts w:ascii="Calibri" w:hAnsi="Calibri" w:cs="Calibri"/>
                <w:sz w:val="16"/>
                <w:szCs w:val="16"/>
              </w:rPr>
              <w:t>3</w:t>
            </w:r>
          </w:p>
        </w:tc>
      </w:tr>
      <w:tr w:rsidR="00376DA1" w:rsidRPr="000215EC" w:rsidTr="00556540">
        <w:tc>
          <w:tcPr>
            <w:tcW w:w="1091" w:type="dxa"/>
            <w:vMerge/>
          </w:tcPr>
          <w:p w:rsidR="00376DA1" w:rsidRPr="00FD0AA8" w:rsidRDefault="00376DA1" w:rsidP="00556540">
            <w:pPr>
              <w:jc w:val="left"/>
              <w:rPr>
                <w:rFonts w:ascii="Calibri" w:hAnsi="Calibri" w:cs="Calibri"/>
                <w:sz w:val="16"/>
                <w:szCs w:val="16"/>
              </w:rPr>
            </w:pPr>
          </w:p>
        </w:tc>
        <w:tc>
          <w:tcPr>
            <w:tcW w:w="1357" w:type="dxa"/>
            <w:vAlign w:val="center"/>
          </w:tcPr>
          <w:p w:rsidR="00376DA1" w:rsidRPr="00FD0AA8" w:rsidRDefault="00376DA1" w:rsidP="00556540">
            <w:pPr>
              <w:rPr>
                <w:rFonts w:ascii="Calibri" w:hAnsi="Calibri" w:cs="Calibri"/>
                <w:sz w:val="16"/>
                <w:szCs w:val="16"/>
              </w:rPr>
            </w:pPr>
            <w:r w:rsidRPr="00FD0AA8">
              <w:rPr>
                <w:rFonts w:ascii="Calibri" w:hAnsi="Calibri" w:cs="Calibri"/>
                <w:sz w:val="16"/>
                <w:szCs w:val="16"/>
              </w:rPr>
              <w:t>Pozostała penetracja</w:t>
            </w:r>
          </w:p>
        </w:tc>
        <w:tc>
          <w:tcPr>
            <w:tcW w:w="1440" w:type="dxa"/>
            <w:vAlign w:val="center"/>
          </w:tcPr>
          <w:p w:rsidR="00376DA1" w:rsidRPr="00FD0AA8" w:rsidRDefault="00376DA1" w:rsidP="00556540">
            <w:pPr>
              <w:jc w:val="center"/>
              <w:rPr>
                <w:rFonts w:ascii="Calibri" w:hAnsi="Calibri" w:cs="Calibri"/>
                <w:sz w:val="16"/>
                <w:szCs w:val="16"/>
              </w:rPr>
            </w:pPr>
            <w:r w:rsidRPr="00FD0AA8">
              <w:rPr>
                <w:rFonts w:ascii="Calibri" w:hAnsi="Calibri" w:cs="Calibri"/>
                <w:sz w:val="16"/>
                <w:szCs w:val="16"/>
              </w:rPr>
              <w:t>PN-EN 1426 [21]</w:t>
            </w:r>
          </w:p>
        </w:tc>
        <w:tc>
          <w:tcPr>
            <w:tcW w:w="1080" w:type="dxa"/>
            <w:vAlign w:val="center"/>
          </w:tcPr>
          <w:p w:rsidR="00376DA1" w:rsidRPr="00FD0AA8" w:rsidRDefault="00376DA1" w:rsidP="00556540">
            <w:pPr>
              <w:jc w:val="center"/>
              <w:rPr>
                <w:rFonts w:ascii="Calibri" w:hAnsi="Calibri" w:cs="Calibri"/>
                <w:sz w:val="16"/>
                <w:szCs w:val="16"/>
              </w:rPr>
            </w:pPr>
            <w:r w:rsidRPr="00FD0AA8">
              <w:rPr>
                <w:rFonts w:ascii="Calibri" w:hAnsi="Calibri" w:cs="Calibri"/>
                <w:sz w:val="16"/>
                <w:szCs w:val="16"/>
              </w:rPr>
              <w:t>%</w:t>
            </w:r>
          </w:p>
        </w:tc>
        <w:tc>
          <w:tcPr>
            <w:tcW w:w="1260" w:type="dxa"/>
            <w:vAlign w:val="center"/>
          </w:tcPr>
          <w:p w:rsidR="00376DA1" w:rsidRPr="00FD0AA8" w:rsidRDefault="00376DA1" w:rsidP="00556540">
            <w:pPr>
              <w:jc w:val="center"/>
              <w:rPr>
                <w:rFonts w:ascii="Calibri" w:hAnsi="Calibri" w:cs="Calibri"/>
                <w:sz w:val="16"/>
                <w:szCs w:val="16"/>
              </w:rPr>
            </w:pPr>
            <w:r w:rsidRPr="00FD0AA8">
              <w:rPr>
                <w:rFonts w:ascii="Calibri" w:hAnsi="Calibri" w:cs="Calibri"/>
                <w:sz w:val="16"/>
                <w:szCs w:val="16"/>
              </w:rPr>
              <w:t>≥ 40</w:t>
            </w:r>
          </w:p>
        </w:tc>
        <w:tc>
          <w:tcPr>
            <w:tcW w:w="1384" w:type="dxa"/>
            <w:tcBorders>
              <w:right w:val="single" w:sz="4" w:space="0" w:color="auto"/>
            </w:tcBorders>
            <w:vAlign w:val="center"/>
          </w:tcPr>
          <w:p w:rsidR="00376DA1" w:rsidRPr="00FD0AA8" w:rsidRDefault="00376DA1" w:rsidP="00556540">
            <w:pPr>
              <w:jc w:val="center"/>
              <w:rPr>
                <w:rFonts w:ascii="Calibri" w:hAnsi="Calibri" w:cs="Calibri"/>
                <w:sz w:val="16"/>
                <w:szCs w:val="16"/>
              </w:rPr>
            </w:pPr>
            <w:r w:rsidRPr="00FD0AA8">
              <w:rPr>
                <w:rFonts w:ascii="Calibri" w:hAnsi="Calibri" w:cs="Calibri"/>
                <w:sz w:val="16"/>
                <w:szCs w:val="16"/>
              </w:rPr>
              <w:t>3</w:t>
            </w:r>
          </w:p>
        </w:tc>
      </w:tr>
      <w:tr w:rsidR="00376DA1" w:rsidRPr="000215EC" w:rsidTr="00556540">
        <w:tc>
          <w:tcPr>
            <w:tcW w:w="1091" w:type="dxa"/>
            <w:vMerge/>
          </w:tcPr>
          <w:p w:rsidR="00376DA1" w:rsidRPr="00FD0AA8" w:rsidRDefault="00376DA1" w:rsidP="00556540">
            <w:pPr>
              <w:jc w:val="left"/>
              <w:rPr>
                <w:rFonts w:ascii="Calibri" w:hAnsi="Calibri" w:cs="Calibri"/>
                <w:sz w:val="16"/>
                <w:szCs w:val="16"/>
              </w:rPr>
            </w:pPr>
          </w:p>
        </w:tc>
        <w:tc>
          <w:tcPr>
            <w:tcW w:w="1357" w:type="dxa"/>
            <w:tcBorders>
              <w:top w:val="nil"/>
            </w:tcBorders>
            <w:vAlign w:val="center"/>
          </w:tcPr>
          <w:p w:rsidR="00376DA1" w:rsidRPr="00FD0AA8" w:rsidRDefault="00376DA1" w:rsidP="00556540">
            <w:pPr>
              <w:jc w:val="left"/>
              <w:rPr>
                <w:rFonts w:ascii="Calibri" w:hAnsi="Calibri" w:cs="Calibri"/>
                <w:sz w:val="16"/>
                <w:szCs w:val="16"/>
              </w:rPr>
            </w:pPr>
            <w:r w:rsidRPr="00FD0AA8">
              <w:rPr>
                <w:rFonts w:ascii="Calibri" w:hAnsi="Calibri" w:cs="Calibri"/>
                <w:sz w:val="16"/>
                <w:szCs w:val="16"/>
              </w:rPr>
              <w:t>Wzrost tem-peratury mięknienia</w:t>
            </w:r>
          </w:p>
        </w:tc>
        <w:tc>
          <w:tcPr>
            <w:tcW w:w="1440" w:type="dxa"/>
            <w:tcBorders>
              <w:top w:val="nil"/>
            </w:tcBorders>
            <w:vAlign w:val="center"/>
          </w:tcPr>
          <w:p w:rsidR="00376DA1" w:rsidRPr="00FD0AA8" w:rsidRDefault="00376DA1" w:rsidP="00556540">
            <w:pPr>
              <w:jc w:val="center"/>
              <w:rPr>
                <w:rFonts w:ascii="Calibri" w:hAnsi="Calibri" w:cs="Calibri"/>
                <w:sz w:val="16"/>
                <w:szCs w:val="16"/>
              </w:rPr>
            </w:pPr>
            <w:r w:rsidRPr="00FD0AA8">
              <w:rPr>
                <w:rFonts w:ascii="Calibri" w:hAnsi="Calibri" w:cs="Calibri"/>
                <w:sz w:val="16"/>
                <w:szCs w:val="16"/>
              </w:rPr>
              <w:t>PN-EN 1427 [22]</w:t>
            </w:r>
          </w:p>
        </w:tc>
        <w:tc>
          <w:tcPr>
            <w:tcW w:w="1080" w:type="dxa"/>
            <w:tcBorders>
              <w:top w:val="nil"/>
            </w:tcBorders>
            <w:vAlign w:val="center"/>
          </w:tcPr>
          <w:p w:rsidR="00376DA1" w:rsidRPr="00FD0AA8" w:rsidRDefault="00376DA1" w:rsidP="00556540">
            <w:pPr>
              <w:jc w:val="center"/>
              <w:rPr>
                <w:rFonts w:ascii="Calibri" w:hAnsi="Calibri" w:cs="Calibri"/>
                <w:sz w:val="16"/>
                <w:szCs w:val="16"/>
              </w:rPr>
            </w:pPr>
            <w:r w:rsidRPr="00FD0AA8">
              <w:rPr>
                <w:rFonts w:ascii="Calibri" w:hAnsi="Calibri" w:cs="Calibri"/>
                <w:sz w:val="16"/>
                <w:szCs w:val="16"/>
              </w:rPr>
              <w:t>°C</w:t>
            </w:r>
          </w:p>
        </w:tc>
        <w:tc>
          <w:tcPr>
            <w:tcW w:w="1260" w:type="dxa"/>
            <w:tcBorders>
              <w:top w:val="nil"/>
            </w:tcBorders>
            <w:vAlign w:val="center"/>
          </w:tcPr>
          <w:p w:rsidR="00376DA1" w:rsidRPr="00FD0AA8" w:rsidRDefault="00376DA1" w:rsidP="00556540">
            <w:pPr>
              <w:jc w:val="center"/>
              <w:rPr>
                <w:rFonts w:ascii="Calibri" w:hAnsi="Calibri" w:cs="Calibri"/>
                <w:sz w:val="16"/>
                <w:szCs w:val="16"/>
              </w:rPr>
            </w:pPr>
            <w:r w:rsidRPr="00FD0AA8">
              <w:rPr>
                <w:rFonts w:ascii="Calibri" w:hAnsi="Calibri" w:cs="Calibri"/>
                <w:sz w:val="16"/>
                <w:szCs w:val="16"/>
              </w:rPr>
              <w:t>≤ 8</w:t>
            </w:r>
          </w:p>
        </w:tc>
        <w:tc>
          <w:tcPr>
            <w:tcW w:w="1384" w:type="dxa"/>
            <w:tcBorders>
              <w:top w:val="nil"/>
              <w:right w:val="single" w:sz="4" w:space="0" w:color="auto"/>
            </w:tcBorders>
            <w:vAlign w:val="center"/>
          </w:tcPr>
          <w:p w:rsidR="00376DA1" w:rsidRPr="00FD0AA8" w:rsidRDefault="00376DA1" w:rsidP="00556540">
            <w:pPr>
              <w:jc w:val="center"/>
              <w:rPr>
                <w:rFonts w:ascii="Calibri" w:hAnsi="Calibri" w:cs="Calibri"/>
                <w:sz w:val="16"/>
                <w:szCs w:val="16"/>
              </w:rPr>
            </w:pPr>
            <w:r w:rsidRPr="00FD0AA8">
              <w:rPr>
                <w:rFonts w:ascii="Calibri" w:hAnsi="Calibri" w:cs="Calibri"/>
                <w:sz w:val="16"/>
                <w:szCs w:val="16"/>
              </w:rPr>
              <w:t>3</w:t>
            </w:r>
          </w:p>
        </w:tc>
      </w:tr>
      <w:tr w:rsidR="00376DA1" w:rsidRPr="000215EC" w:rsidTr="00556540">
        <w:trPr>
          <w:trHeight w:val="510"/>
        </w:trPr>
        <w:tc>
          <w:tcPr>
            <w:tcW w:w="1091" w:type="dxa"/>
            <w:tcBorders>
              <w:bottom w:val="single" w:sz="4" w:space="0" w:color="auto"/>
            </w:tcBorders>
            <w:vAlign w:val="center"/>
          </w:tcPr>
          <w:p w:rsidR="00376DA1" w:rsidRPr="00FD0AA8" w:rsidRDefault="00376DA1" w:rsidP="00556540">
            <w:pPr>
              <w:rPr>
                <w:rFonts w:ascii="Calibri" w:hAnsi="Calibri" w:cs="Calibri"/>
                <w:sz w:val="16"/>
                <w:szCs w:val="16"/>
              </w:rPr>
            </w:pPr>
            <w:r w:rsidRPr="00FD0AA8">
              <w:rPr>
                <w:rFonts w:ascii="Calibri" w:hAnsi="Calibri" w:cs="Calibri"/>
                <w:sz w:val="16"/>
                <w:szCs w:val="16"/>
              </w:rPr>
              <w:t>Inne właściwości</w:t>
            </w:r>
          </w:p>
        </w:tc>
        <w:tc>
          <w:tcPr>
            <w:tcW w:w="1357" w:type="dxa"/>
            <w:tcBorders>
              <w:bottom w:val="single" w:sz="4" w:space="0" w:color="auto"/>
            </w:tcBorders>
            <w:vAlign w:val="center"/>
          </w:tcPr>
          <w:p w:rsidR="00376DA1" w:rsidRPr="00FD0AA8" w:rsidRDefault="00376DA1" w:rsidP="00556540">
            <w:pPr>
              <w:rPr>
                <w:rFonts w:ascii="Calibri" w:hAnsi="Calibri" w:cs="Calibri"/>
                <w:sz w:val="16"/>
                <w:szCs w:val="16"/>
              </w:rPr>
            </w:pPr>
            <w:r w:rsidRPr="00FD0AA8">
              <w:rPr>
                <w:rFonts w:ascii="Calibri" w:hAnsi="Calibri" w:cs="Calibri"/>
                <w:sz w:val="16"/>
                <w:szCs w:val="16"/>
              </w:rPr>
              <w:t>Temperatura zapłonu</w:t>
            </w:r>
          </w:p>
        </w:tc>
        <w:tc>
          <w:tcPr>
            <w:tcW w:w="1440" w:type="dxa"/>
            <w:tcBorders>
              <w:bottom w:val="single" w:sz="4" w:space="0" w:color="auto"/>
            </w:tcBorders>
            <w:vAlign w:val="center"/>
          </w:tcPr>
          <w:p w:rsidR="00376DA1" w:rsidRPr="00FD0AA8" w:rsidRDefault="00376DA1" w:rsidP="00556540">
            <w:pPr>
              <w:jc w:val="center"/>
              <w:rPr>
                <w:rFonts w:ascii="Calibri" w:hAnsi="Calibri" w:cs="Calibri"/>
                <w:sz w:val="16"/>
                <w:szCs w:val="16"/>
              </w:rPr>
            </w:pPr>
            <w:r w:rsidRPr="00FD0AA8">
              <w:rPr>
                <w:rFonts w:ascii="Calibri" w:hAnsi="Calibri" w:cs="Calibri"/>
                <w:sz w:val="16"/>
                <w:szCs w:val="16"/>
              </w:rPr>
              <w:t>PN-EN ISO 2592 [63]</w:t>
            </w:r>
          </w:p>
        </w:tc>
        <w:tc>
          <w:tcPr>
            <w:tcW w:w="1080" w:type="dxa"/>
            <w:tcBorders>
              <w:bottom w:val="single" w:sz="4" w:space="0" w:color="auto"/>
            </w:tcBorders>
            <w:vAlign w:val="center"/>
          </w:tcPr>
          <w:p w:rsidR="00376DA1" w:rsidRPr="00FD0AA8" w:rsidRDefault="00376DA1" w:rsidP="00556540">
            <w:pPr>
              <w:jc w:val="center"/>
              <w:rPr>
                <w:rFonts w:ascii="Calibri" w:hAnsi="Calibri" w:cs="Calibri"/>
                <w:sz w:val="16"/>
                <w:szCs w:val="16"/>
              </w:rPr>
            </w:pPr>
            <w:r w:rsidRPr="00FD0AA8">
              <w:rPr>
                <w:rFonts w:ascii="Calibri" w:hAnsi="Calibri" w:cs="Calibri"/>
                <w:sz w:val="16"/>
                <w:szCs w:val="16"/>
              </w:rPr>
              <w:t>°C</w:t>
            </w:r>
          </w:p>
        </w:tc>
        <w:tc>
          <w:tcPr>
            <w:tcW w:w="1260" w:type="dxa"/>
            <w:tcBorders>
              <w:bottom w:val="single" w:sz="4" w:space="0" w:color="auto"/>
            </w:tcBorders>
            <w:vAlign w:val="center"/>
          </w:tcPr>
          <w:p w:rsidR="00376DA1" w:rsidRPr="00FD0AA8" w:rsidRDefault="00376DA1" w:rsidP="00556540">
            <w:pPr>
              <w:jc w:val="center"/>
              <w:rPr>
                <w:rFonts w:ascii="Calibri" w:hAnsi="Calibri" w:cs="Calibri"/>
                <w:sz w:val="16"/>
                <w:szCs w:val="16"/>
              </w:rPr>
            </w:pPr>
            <w:r w:rsidRPr="00FD0AA8">
              <w:rPr>
                <w:rFonts w:ascii="Calibri" w:hAnsi="Calibri" w:cs="Calibri"/>
                <w:sz w:val="16"/>
                <w:szCs w:val="16"/>
              </w:rPr>
              <w:t>≥ 235</w:t>
            </w:r>
          </w:p>
        </w:tc>
        <w:tc>
          <w:tcPr>
            <w:tcW w:w="1384" w:type="dxa"/>
            <w:tcBorders>
              <w:top w:val="nil"/>
              <w:bottom w:val="single" w:sz="4" w:space="0" w:color="auto"/>
              <w:right w:val="single" w:sz="4" w:space="0" w:color="auto"/>
            </w:tcBorders>
            <w:vAlign w:val="center"/>
          </w:tcPr>
          <w:p w:rsidR="00376DA1" w:rsidRPr="00FD0AA8" w:rsidRDefault="00376DA1" w:rsidP="00556540">
            <w:pPr>
              <w:jc w:val="center"/>
              <w:rPr>
                <w:rFonts w:ascii="Calibri" w:hAnsi="Calibri" w:cs="Calibri"/>
                <w:sz w:val="16"/>
                <w:szCs w:val="16"/>
              </w:rPr>
            </w:pPr>
            <w:r w:rsidRPr="00FD0AA8">
              <w:rPr>
                <w:rFonts w:ascii="Calibri" w:hAnsi="Calibri" w:cs="Calibri"/>
                <w:sz w:val="16"/>
                <w:szCs w:val="16"/>
              </w:rPr>
              <w:t>3</w:t>
            </w:r>
          </w:p>
        </w:tc>
      </w:tr>
      <w:tr w:rsidR="00376DA1" w:rsidRPr="00FD0AA8" w:rsidTr="00556540">
        <w:trPr>
          <w:trHeight w:val="590"/>
        </w:trPr>
        <w:tc>
          <w:tcPr>
            <w:tcW w:w="1091" w:type="dxa"/>
            <w:vMerge w:val="restart"/>
            <w:vAlign w:val="center"/>
          </w:tcPr>
          <w:p w:rsidR="00376DA1" w:rsidRPr="00FD0AA8" w:rsidRDefault="00376DA1" w:rsidP="00556540">
            <w:pPr>
              <w:rPr>
                <w:rFonts w:ascii="Calibri" w:hAnsi="Calibri" w:cs="Calibri"/>
                <w:sz w:val="16"/>
                <w:szCs w:val="16"/>
              </w:rPr>
            </w:pPr>
            <w:r w:rsidRPr="00FD0AA8">
              <w:rPr>
                <w:rFonts w:ascii="Calibri" w:hAnsi="Calibri" w:cs="Calibri"/>
                <w:sz w:val="16"/>
                <w:szCs w:val="16"/>
              </w:rPr>
              <w:t>Wymagania</w:t>
            </w:r>
          </w:p>
          <w:p w:rsidR="00376DA1" w:rsidRPr="00FD0AA8" w:rsidRDefault="00376DA1" w:rsidP="00556540">
            <w:pPr>
              <w:rPr>
                <w:rFonts w:ascii="Calibri" w:hAnsi="Calibri" w:cs="Calibri"/>
                <w:sz w:val="16"/>
                <w:szCs w:val="16"/>
              </w:rPr>
            </w:pPr>
            <w:r w:rsidRPr="00FD0AA8">
              <w:rPr>
                <w:rFonts w:ascii="Calibri" w:hAnsi="Calibri" w:cs="Calibri"/>
                <w:sz w:val="16"/>
                <w:szCs w:val="16"/>
              </w:rPr>
              <w:t>dodatkowe</w:t>
            </w:r>
          </w:p>
        </w:tc>
        <w:tc>
          <w:tcPr>
            <w:tcW w:w="1357" w:type="dxa"/>
            <w:tcBorders>
              <w:bottom w:val="single" w:sz="4" w:space="0" w:color="auto"/>
            </w:tcBorders>
            <w:vAlign w:val="center"/>
          </w:tcPr>
          <w:p w:rsidR="00376DA1" w:rsidRPr="00FD0AA8" w:rsidRDefault="00376DA1" w:rsidP="00556540">
            <w:pPr>
              <w:rPr>
                <w:rFonts w:ascii="Calibri" w:hAnsi="Calibri" w:cs="Calibri"/>
                <w:sz w:val="16"/>
                <w:szCs w:val="16"/>
              </w:rPr>
            </w:pPr>
            <w:r w:rsidRPr="00FD0AA8">
              <w:rPr>
                <w:rFonts w:ascii="Calibri" w:hAnsi="Calibri" w:cs="Calibri"/>
                <w:sz w:val="16"/>
                <w:szCs w:val="16"/>
              </w:rPr>
              <w:t>Temperatura łamliwości</w:t>
            </w:r>
          </w:p>
        </w:tc>
        <w:tc>
          <w:tcPr>
            <w:tcW w:w="1440" w:type="dxa"/>
            <w:tcBorders>
              <w:bottom w:val="single" w:sz="4" w:space="0" w:color="auto"/>
            </w:tcBorders>
            <w:vAlign w:val="center"/>
          </w:tcPr>
          <w:p w:rsidR="00376DA1" w:rsidRPr="00FD0AA8" w:rsidRDefault="00376DA1" w:rsidP="00556540">
            <w:pPr>
              <w:jc w:val="center"/>
              <w:rPr>
                <w:rFonts w:ascii="Calibri" w:hAnsi="Calibri" w:cs="Calibri"/>
                <w:sz w:val="16"/>
                <w:szCs w:val="16"/>
              </w:rPr>
            </w:pPr>
            <w:r w:rsidRPr="00FD0AA8">
              <w:rPr>
                <w:rFonts w:ascii="Calibri" w:hAnsi="Calibri" w:cs="Calibri"/>
                <w:sz w:val="16"/>
                <w:szCs w:val="16"/>
              </w:rPr>
              <w:t>PN-EN 12593 [29]</w:t>
            </w:r>
          </w:p>
        </w:tc>
        <w:tc>
          <w:tcPr>
            <w:tcW w:w="1080" w:type="dxa"/>
            <w:tcBorders>
              <w:bottom w:val="single" w:sz="4" w:space="0" w:color="auto"/>
            </w:tcBorders>
            <w:vAlign w:val="center"/>
          </w:tcPr>
          <w:p w:rsidR="00376DA1" w:rsidRPr="00FD0AA8" w:rsidRDefault="00376DA1" w:rsidP="00556540">
            <w:pPr>
              <w:jc w:val="center"/>
              <w:rPr>
                <w:rFonts w:ascii="Calibri" w:hAnsi="Calibri" w:cs="Calibri"/>
                <w:sz w:val="16"/>
                <w:szCs w:val="16"/>
              </w:rPr>
            </w:pPr>
            <w:r w:rsidRPr="00FD0AA8">
              <w:rPr>
                <w:rFonts w:ascii="Calibri" w:hAnsi="Calibri" w:cs="Calibri"/>
                <w:sz w:val="16"/>
                <w:szCs w:val="16"/>
              </w:rPr>
              <w:t>°C</w:t>
            </w:r>
          </w:p>
        </w:tc>
        <w:tc>
          <w:tcPr>
            <w:tcW w:w="1260" w:type="dxa"/>
            <w:tcBorders>
              <w:bottom w:val="single" w:sz="4" w:space="0" w:color="auto"/>
            </w:tcBorders>
            <w:vAlign w:val="center"/>
          </w:tcPr>
          <w:p w:rsidR="00376DA1" w:rsidRPr="00FD0AA8" w:rsidRDefault="00376DA1" w:rsidP="00556540">
            <w:pPr>
              <w:jc w:val="center"/>
              <w:rPr>
                <w:rFonts w:ascii="Calibri" w:hAnsi="Calibri" w:cs="Calibri"/>
                <w:sz w:val="16"/>
                <w:szCs w:val="16"/>
              </w:rPr>
            </w:pPr>
            <w:r w:rsidRPr="00FD0AA8">
              <w:rPr>
                <w:rFonts w:ascii="Calibri" w:hAnsi="Calibri" w:cs="Calibri"/>
                <w:sz w:val="16"/>
                <w:szCs w:val="16"/>
              </w:rPr>
              <w:t>≤ -12</w:t>
            </w:r>
          </w:p>
        </w:tc>
        <w:tc>
          <w:tcPr>
            <w:tcW w:w="1384" w:type="dxa"/>
            <w:tcBorders>
              <w:bottom w:val="single" w:sz="4" w:space="0" w:color="auto"/>
              <w:right w:val="single" w:sz="4" w:space="0" w:color="auto"/>
            </w:tcBorders>
            <w:vAlign w:val="center"/>
          </w:tcPr>
          <w:p w:rsidR="00376DA1" w:rsidRPr="00FD0AA8" w:rsidRDefault="00376DA1" w:rsidP="00556540">
            <w:pPr>
              <w:jc w:val="center"/>
              <w:rPr>
                <w:rFonts w:ascii="Calibri" w:hAnsi="Calibri" w:cs="Calibri"/>
                <w:sz w:val="16"/>
                <w:szCs w:val="16"/>
              </w:rPr>
            </w:pPr>
            <w:r w:rsidRPr="00FD0AA8">
              <w:rPr>
                <w:rFonts w:ascii="Calibri" w:hAnsi="Calibri" w:cs="Calibri"/>
                <w:sz w:val="16"/>
                <w:szCs w:val="16"/>
              </w:rPr>
              <w:t>6</w:t>
            </w:r>
          </w:p>
        </w:tc>
      </w:tr>
      <w:tr w:rsidR="00376DA1" w:rsidRPr="00FD0AA8" w:rsidTr="00556540">
        <w:tc>
          <w:tcPr>
            <w:tcW w:w="1091" w:type="dxa"/>
            <w:vMerge/>
          </w:tcPr>
          <w:p w:rsidR="00376DA1" w:rsidRPr="00FD0AA8" w:rsidRDefault="00376DA1" w:rsidP="00556540">
            <w:pPr>
              <w:rPr>
                <w:rFonts w:ascii="Calibri" w:hAnsi="Calibri" w:cs="Calibri"/>
                <w:sz w:val="16"/>
                <w:szCs w:val="16"/>
              </w:rPr>
            </w:pPr>
          </w:p>
        </w:tc>
        <w:tc>
          <w:tcPr>
            <w:tcW w:w="1357" w:type="dxa"/>
            <w:vAlign w:val="center"/>
          </w:tcPr>
          <w:p w:rsidR="00376DA1" w:rsidRPr="00FD0AA8" w:rsidRDefault="00376DA1" w:rsidP="00556540">
            <w:pPr>
              <w:rPr>
                <w:rFonts w:ascii="Calibri" w:hAnsi="Calibri" w:cs="Calibri"/>
                <w:sz w:val="16"/>
                <w:szCs w:val="16"/>
              </w:rPr>
            </w:pPr>
            <w:r w:rsidRPr="00FD0AA8">
              <w:rPr>
                <w:rFonts w:ascii="Calibri" w:hAnsi="Calibri" w:cs="Calibri"/>
                <w:sz w:val="16"/>
                <w:szCs w:val="16"/>
              </w:rPr>
              <w:t xml:space="preserve">Nawrót sprężysty w </w:t>
            </w:r>
            <w:smartTag w:uri="urn:schemas-microsoft-com:office:smarttags" w:element="metricconverter">
              <w:smartTagPr>
                <w:attr w:name="ProductID" w:val="25ﾰC"/>
              </w:smartTagPr>
              <w:r w:rsidRPr="00FD0AA8">
                <w:rPr>
                  <w:rFonts w:ascii="Calibri" w:hAnsi="Calibri" w:cs="Calibri"/>
                  <w:sz w:val="16"/>
                  <w:szCs w:val="16"/>
                </w:rPr>
                <w:t>25°C</w:t>
              </w:r>
            </w:smartTag>
          </w:p>
        </w:tc>
        <w:tc>
          <w:tcPr>
            <w:tcW w:w="1440" w:type="dxa"/>
            <w:tcBorders>
              <w:bottom w:val="single" w:sz="4" w:space="0" w:color="auto"/>
            </w:tcBorders>
            <w:vAlign w:val="center"/>
          </w:tcPr>
          <w:p w:rsidR="00376DA1" w:rsidRPr="00FD0AA8" w:rsidRDefault="00376DA1" w:rsidP="00556540">
            <w:pPr>
              <w:jc w:val="left"/>
              <w:rPr>
                <w:rFonts w:ascii="Calibri" w:hAnsi="Calibri" w:cs="Calibri"/>
                <w:sz w:val="16"/>
                <w:szCs w:val="16"/>
              </w:rPr>
            </w:pPr>
            <w:r w:rsidRPr="00FD0AA8">
              <w:rPr>
                <w:rFonts w:ascii="Calibri" w:hAnsi="Calibri" w:cs="Calibri"/>
                <w:sz w:val="16"/>
                <w:szCs w:val="16"/>
              </w:rPr>
              <w:t>PN-EN 13398 [51]</w:t>
            </w:r>
          </w:p>
        </w:tc>
        <w:tc>
          <w:tcPr>
            <w:tcW w:w="1080" w:type="dxa"/>
            <w:tcBorders>
              <w:bottom w:val="single" w:sz="4" w:space="0" w:color="auto"/>
            </w:tcBorders>
            <w:vAlign w:val="center"/>
          </w:tcPr>
          <w:p w:rsidR="00376DA1" w:rsidRPr="00FD0AA8" w:rsidRDefault="00376DA1" w:rsidP="00556540">
            <w:pPr>
              <w:jc w:val="center"/>
              <w:rPr>
                <w:rFonts w:ascii="Calibri" w:hAnsi="Calibri" w:cs="Calibri"/>
                <w:sz w:val="16"/>
                <w:szCs w:val="16"/>
              </w:rPr>
            </w:pPr>
            <w:r w:rsidRPr="00FD0AA8">
              <w:rPr>
                <w:rFonts w:ascii="Calibri" w:hAnsi="Calibri" w:cs="Calibri"/>
                <w:sz w:val="16"/>
                <w:szCs w:val="16"/>
              </w:rPr>
              <w:t>%</w:t>
            </w:r>
          </w:p>
        </w:tc>
        <w:tc>
          <w:tcPr>
            <w:tcW w:w="1260" w:type="dxa"/>
            <w:tcBorders>
              <w:bottom w:val="single" w:sz="4" w:space="0" w:color="auto"/>
            </w:tcBorders>
            <w:vAlign w:val="center"/>
          </w:tcPr>
          <w:p w:rsidR="00376DA1" w:rsidRPr="00FD0AA8" w:rsidRDefault="00376DA1" w:rsidP="00556540">
            <w:pPr>
              <w:jc w:val="center"/>
              <w:rPr>
                <w:rFonts w:ascii="Calibri" w:hAnsi="Calibri" w:cs="Calibri"/>
                <w:sz w:val="16"/>
                <w:szCs w:val="16"/>
              </w:rPr>
            </w:pPr>
            <w:r w:rsidRPr="00FD0AA8">
              <w:rPr>
                <w:rFonts w:ascii="Calibri" w:hAnsi="Calibri" w:cs="Calibri"/>
                <w:sz w:val="16"/>
                <w:szCs w:val="16"/>
              </w:rPr>
              <w:t>≥ 50</w:t>
            </w:r>
          </w:p>
        </w:tc>
        <w:tc>
          <w:tcPr>
            <w:tcW w:w="1384" w:type="dxa"/>
            <w:tcBorders>
              <w:top w:val="nil"/>
            </w:tcBorders>
            <w:vAlign w:val="center"/>
          </w:tcPr>
          <w:p w:rsidR="00376DA1" w:rsidRPr="00FD0AA8" w:rsidRDefault="00376DA1" w:rsidP="00556540">
            <w:pPr>
              <w:jc w:val="center"/>
              <w:rPr>
                <w:rFonts w:ascii="Calibri" w:hAnsi="Calibri" w:cs="Calibri"/>
                <w:sz w:val="16"/>
                <w:szCs w:val="16"/>
              </w:rPr>
            </w:pPr>
            <w:r w:rsidRPr="00FD0AA8">
              <w:rPr>
                <w:rFonts w:ascii="Calibri" w:hAnsi="Calibri" w:cs="Calibri"/>
                <w:sz w:val="16"/>
                <w:szCs w:val="16"/>
              </w:rPr>
              <w:t>5</w:t>
            </w:r>
          </w:p>
        </w:tc>
      </w:tr>
      <w:tr w:rsidR="00376DA1" w:rsidRPr="00FD0AA8" w:rsidTr="00556540">
        <w:tc>
          <w:tcPr>
            <w:tcW w:w="1091" w:type="dxa"/>
            <w:vMerge/>
          </w:tcPr>
          <w:p w:rsidR="00376DA1" w:rsidRPr="00FD0AA8" w:rsidRDefault="00376DA1" w:rsidP="00556540">
            <w:pPr>
              <w:rPr>
                <w:rFonts w:ascii="Calibri" w:hAnsi="Calibri" w:cs="Calibri"/>
                <w:sz w:val="16"/>
                <w:szCs w:val="16"/>
              </w:rPr>
            </w:pPr>
          </w:p>
        </w:tc>
        <w:tc>
          <w:tcPr>
            <w:tcW w:w="1357" w:type="dxa"/>
            <w:vAlign w:val="center"/>
          </w:tcPr>
          <w:p w:rsidR="00376DA1" w:rsidRPr="00FD0AA8" w:rsidRDefault="00376DA1" w:rsidP="00556540">
            <w:pPr>
              <w:rPr>
                <w:rFonts w:ascii="Calibri" w:hAnsi="Calibri" w:cs="Calibri"/>
                <w:sz w:val="16"/>
                <w:szCs w:val="16"/>
              </w:rPr>
            </w:pPr>
            <w:r w:rsidRPr="00FD0AA8">
              <w:rPr>
                <w:rFonts w:ascii="Calibri" w:hAnsi="Calibri" w:cs="Calibri"/>
                <w:sz w:val="16"/>
                <w:szCs w:val="16"/>
              </w:rPr>
              <w:t xml:space="preserve">Nawrót sprężysty w </w:t>
            </w:r>
            <w:smartTag w:uri="urn:schemas-microsoft-com:office:smarttags" w:element="metricconverter">
              <w:smartTagPr>
                <w:attr w:name="ProductID" w:val="10ﾰC"/>
              </w:smartTagPr>
              <w:r w:rsidRPr="00FD0AA8">
                <w:rPr>
                  <w:rFonts w:ascii="Calibri" w:hAnsi="Calibri" w:cs="Calibri"/>
                  <w:sz w:val="16"/>
                  <w:szCs w:val="16"/>
                </w:rPr>
                <w:t>10°C</w:t>
              </w:r>
            </w:smartTag>
          </w:p>
        </w:tc>
        <w:tc>
          <w:tcPr>
            <w:tcW w:w="1440" w:type="dxa"/>
            <w:tcBorders>
              <w:top w:val="single" w:sz="4" w:space="0" w:color="auto"/>
            </w:tcBorders>
            <w:vAlign w:val="center"/>
          </w:tcPr>
          <w:p w:rsidR="00376DA1" w:rsidRPr="00FD0AA8" w:rsidRDefault="00376DA1" w:rsidP="00556540">
            <w:pPr>
              <w:jc w:val="center"/>
              <w:rPr>
                <w:rFonts w:ascii="Calibri" w:hAnsi="Calibri" w:cs="Calibri"/>
                <w:sz w:val="16"/>
                <w:szCs w:val="16"/>
              </w:rPr>
            </w:pPr>
          </w:p>
        </w:tc>
        <w:tc>
          <w:tcPr>
            <w:tcW w:w="1080" w:type="dxa"/>
            <w:tcBorders>
              <w:top w:val="single" w:sz="4" w:space="0" w:color="auto"/>
            </w:tcBorders>
            <w:vAlign w:val="center"/>
          </w:tcPr>
          <w:p w:rsidR="00376DA1" w:rsidRPr="00FD0AA8" w:rsidRDefault="00376DA1" w:rsidP="00556540">
            <w:pPr>
              <w:jc w:val="center"/>
              <w:rPr>
                <w:rFonts w:ascii="Calibri" w:hAnsi="Calibri" w:cs="Calibri"/>
                <w:sz w:val="16"/>
                <w:szCs w:val="16"/>
              </w:rPr>
            </w:pPr>
          </w:p>
        </w:tc>
        <w:tc>
          <w:tcPr>
            <w:tcW w:w="1260" w:type="dxa"/>
            <w:tcBorders>
              <w:top w:val="single" w:sz="4" w:space="0" w:color="auto"/>
            </w:tcBorders>
            <w:vAlign w:val="center"/>
          </w:tcPr>
          <w:p w:rsidR="00376DA1" w:rsidRPr="00FD0AA8" w:rsidRDefault="00376DA1" w:rsidP="00556540">
            <w:pPr>
              <w:jc w:val="center"/>
              <w:rPr>
                <w:rFonts w:ascii="Calibri" w:hAnsi="Calibri" w:cs="Calibri"/>
                <w:sz w:val="16"/>
                <w:szCs w:val="16"/>
              </w:rPr>
            </w:pPr>
            <w:r w:rsidRPr="00FD0AA8">
              <w:rPr>
                <w:rFonts w:ascii="Calibri" w:hAnsi="Calibri" w:cs="Calibri"/>
                <w:sz w:val="16"/>
                <w:szCs w:val="16"/>
              </w:rPr>
              <w:t>NPD</w:t>
            </w:r>
            <w:r w:rsidRPr="00FD0AA8">
              <w:rPr>
                <w:rFonts w:ascii="Calibri" w:hAnsi="Calibri" w:cs="Calibri"/>
                <w:sz w:val="16"/>
                <w:szCs w:val="16"/>
                <w:vertAlign w:val="superscript"/>
              </w:rPr>
              <w:t>a</w:t>
            </w:r>
          </w:p>
        </w:tc>
        <w:tc>
          <w:tcPr>
            <w:tcW w:w="1384" w:type="dxa"/>
            <w:vAlign w:val="center"/>
          </w:tcPr>
          <w:p w:rsidR="00376DA1" w:rsidRPr="00FD0AA8" w:rsidRDefault="00376DA1" w:rsidP="00556540">
            <w:pPr>
              <w:jc w:val="center"/>
              <w:rPr>
                <w:rFonts w:ascii="Calibri" w:hAnsi="Calibri" w:cs="Calibri"/>
                <w:sz w:val="16"/>
                <w:szCs w:val="16"/>
              </w:rPr>
            </w:pPr>
            <w:r w:rsidRPr="00FD0AA8">
              <w:rPr>
                <w:rFonts w:ascii="Calibri" w:hAnsi="Calibri" w:cs="Calibri"/>
                <w:sz w:val="16"/>
                <w:szCs w:val="16"/>
              </w:rPr>
              <w:t>0</w:t>
            </w:r>
          </w:p>
        </w:tc>
      </w:tr>
      <w:tr w:rsidR="00376DA1" w:rsidRPr="00FD0AA8" w:rsidTr="00556540">
        <w:tc>
          <w:tcPr>
            <w:tcW w:w="1091" w:type="dxa"/>
            <w:vMerge/>
          </w:tcPr>
          <w:p w:rsidR="00376DA1" w:rsidRPr="00FD0AA8" w:rsidRDefault="00376DA1" w:rsidP="00556540">
            <w:pPr>
              <w:rPr>
                <w:rFonts w:ascii="Calibri" w:hAnsi="Calibri" w:cs="Calibri"/>
                <w:sz w:val="16"/>
                <w:szCs w:val="16"/>
              </w:rPr>
            </w:pPr>
          </w:p>
        </w:tc>
        <w:tc>
          <w:tcPr>
            <w:tcW w:w="1357" w:type="dxa"/>
            <w:vAlign w:val="center"/>
          </w:tcPr>
          <w:p w:rsidR="00376DA1" w:rsidRPr="00FD0AA8" w:rsidRDefault="00376DA1" w:rsidP="00556540">
            <w:pPr>
              <w:rPr>
                <w:rFonts w:ascii="Calibri" w:hAnsi="Calibri" w:cs="Calibri"/>
                <w:sz w:val="16"/>
                <w:szCs w:val="16"/>
              </w:rPr>
            </w:pPr>
            <w:r w:rsidRPr="00FD0AA8">
              <w:rPr>
                <w:rFonts w:ascii="Calibri" w:hAnsi="Calibri" w:cs="Calibri"/>
                <w:sz w:val="16"/>
                <w:szCs w:val="16"/>
              </w:rPr>
              <w:t>Zakres plastyczności</w:t>
            </w:r>
          </w:p>
        </w:tc>
        <w:tc>
          <w:tcPr>
            <w:tcW w:w="1440" w:type="dxa"/>
            <w:vAlign w:val="center"/>
          </w:tcPr>
          <w:p w:rsidR="00376DA1" w:rsidRPr="00FD0AA8" w:rsidRDefault="00376DA1" w:rsidP="00556540">
            <w:pPr>
              <w:jc w:val="center"/>
              <w:rPr>
                <w:rFonts w:ascii="Calibri" w:hAnsi="Calibri" w:cs="Calibri"/>
                <w:sz w:val="16"/>
                <w:szCs w:val="16"/>
              </w:rPr>
            </w:pPr>
            <w:r w:rsidRPr="00FD0AA8">
              <w:rPr>
                <w:rFonts w:ascii="Calibri" w:hAnsi="Calibri" w:cs="Calibri"/>
                <w:sz w:val="16"/>
                <w:szCs w:val="16"/>
              </w:rPr>
              <w:t>PN-EN 14023 [59] Punkt 5.1.9</w:t>
            </w:r>
          </w:p>
        </w:tc>
        <w:tc>
          <w:tcPr>
            <w:tcW w:w="1080" w:type="dxa"/>
            <w:vAlign w:val="center"/>
          </w:tcPr>
          <w:p w:rsidR="00376DA1" w:rsidRPr="00FD0AA8" w:rsidRDefault="00376DA1" w:rsidP="00556540">
            <w:pPr>
              <w:jc w:val="center"/>
              <w:rPr>
                <w:rFonts w:ascii="Calibri" w:hAnsi="Calibri" w:cs="Calibri"/>
                <w:sz w:val="16"/>
                <w:szCs w:val="16"/>
              </w:rPr>
            </w:pPr>
            <w:r w:rsidRPr="00FD0AA8">
              <w:rPr>
                <w:rFonts w:ascii="Calibri" w:hAnsi="Calibri" w:cs="Calibri"/>
                <w:sz w:val="16"/>
                <w:szCs w:val="16"/>
              </w:rPr>
              <w:t>°C</w:t>
            </w:r>
          </w:p>
        </w:tc>
        <w:tc>
          <w:tcPr>
            <w:tcW w:w="1260" w:type="dxa"/>
            <w:vAlign w:val="center"/>
          </w:tcPr>
          <w:p w:rsidR="00376DA1" w:rsidRPr="00FD0AA8" w:rsidRDefault="00376DA1" w:rsidP="00556540">
            <w:pPr>
              <w:jc w:val="center"/>
              <w:rPr>
                <w:rFonts w:ascii="Calibri" w:hAnsi="Calibri" w:cs="Calibri"/>
                <w:sz w:val="16"/>
                <w:szCs w:val="16"/>
                <w:vertAlign w:val="superscript"/>
              </w:rPr>
            </w:pPr>
            <w:r w:rsidRPr="00FD0AA8">
              <w:rPr>
                <w:rFonts w:ascii="Calibri" w:hAnsi="Calibri" w:cs="Calibri"/>
                <w:sz w:val="16"/>
                <w:szCs w:val="16"/>
              </w:rPr>
              <w:t>TBR</w:t>
            </w:r>
            <w:r w:rsidRPr="00FD0AA8">
              <w:rPr>
                <w:rFonts w:ascii="Calibri" w:hAnsi="Calibri" w:cs="Calibri"/>
                <w:sz w:val="16"/>
                <w:szCs w:val="16"/>
                <w:vertAlign w:val="superscript"/>
              </w:rPr>
              <w:t>b</w:t>
            </w:r>
          </w:p>
        </w:tc>
        <w:tc>
          <w:tcPr>
            <w:tcW w:w="1384" w:type="dxa"/>
            <w:vAlign w:val="center"/>
          </w:tcPr>
          <w:p w:rsidR="00376DA1" w:rsidRPr="00FD0AA8" w:rsidRDefault="00376DA1" w:rsidP="00556540">
            <w:pPr>
              <w:jc w:val="center"/>
              <w:rPr>
                <w:rFonts w:ascii="Calibri" w:hAnsi="Calibri" w:cs="Calibri"/>
                <w:sz w:val="16"/>
                <w:szCs w:val="16"/>
              </w:rPr>
            </w:pPr>
            <w:r w:rsidRPr="00FD0AA8">
              <w:rPr>
                <w:rFonts w:ascii="Calibri" w:hAnsi="Calibri" w:cs="Calibri"/>
                <w:sz w:val="16"/>
                <w:szCs w:val="16"/>
              </w:rPr>
              <w:t>1</w:t>
            </w:r>
          </w:p>
        </w:tc>
      </w:tr>
      <w:tr w:rsidR="00376DA1" w:rsidRPr="00FD0AA8" w:rsidTr="00556540">
        <w:tc>
          <w:tcPr>
            <w:tcW w:w="1091" w:type="dxa"/>
            <w:vMerge/>
          </w:tcPr>
          <w:p w:rsidR="00376DA1" w:rsidRPr="00FD0AA8" w:rsidRDefault="00376DA1" w:rsidP="00556540">
            <w:pPr>
              <w:rPr>
                <w:rFonts w:ascii="Calibri" w:hAnsi="Calibri" w:cs="Calibri"/>
                <w:sz w:val="16"/>
                <w:szCs w:val="16"/>
              </w:rPr>
            </w:pPr>
          </w:p>
        </w:tc>
        <w:tc>
          <w:tcPr>
            <w:tcW w:w="1357" w:type="dxa"/>
            <w:vAlign w:val="center"/>
          </w:tcPr>
          <w:p w:rsidR="00376DA1" w:rsidRPr="00FD0AA8" w:rsidRDefault="00376DA1" w:rsidP="00556540">
            <w:pPr>
              <w:rPr>
                <w:rFonts w:ascii="Calibri" w:hAnsi="Calibri" w:cs="Calibri"/>
                <w:sz w:val="16"/>
                <w:szCs w:val="16"/>
              </w:rPr>
            </w:pPr>
            <w:r w:rsidRPr="00FD0AA8">
              <w:rPr>
                <w:rFonts w:ascii="Calibri" w:hAnsi="Calibri" w:cs="Calibri"/>
                <w:sz w:val="16"/>
                <w:szCs w:val="16"/>
              </w:rPr>
              <w:t>Stabilność magazynowania. Różnica temperatur mięknienia</w:t>
            </w:r>
          </w:p>
        </w:tc>
        <w:tc>
          <w:tcPr>
            <w:tcW w:w="1440" w:type="dxa"/>
            <w:vAlign w:val="center"/>
          </w:tcPr>
          <w:p w:rsidR="00376DA1" w:rsidRPr="00FD0AA8" w:rsidRDefault="00376DA1" w:rsidP="00556540">
            <w:pPr>
              <w:jc w:val="center"/>
              <w:rPr>
                <w:rFonts w:ascii="Calibri" w:hAnsi="Calibri" w:cs="Calibri"/>
                <w:sz w:val="16"/>
                <w:szCs w:val="16"/>
              </w:rPr>
            </w:pPr>
            <w:r w:rsidRPr="00FD0AA8">
              <w:rPr>
                <w:rFonts w:ascii="Calibri" w:hAnsi="Calibri" w:cs="Calibri"/>
                <w:sz w:val="16"/>
                <w:szCs w:val="16"/>
              </w:rPr>
              <w:t>PN-EN 13399 [52]</w:t>
            </w:r>
          </w:p>
          <w:p w:rsidR="00376DA1" w:rsidRPr="00FD0AA8" w:rsidRDefault="00376DA1" w:rsidP="00556540">
            <w:pPr>
              <w:jc w:val="center"/>
              <w:rPr>
                <w:rFonts w:ascii="Calibri" w:hAnsi="Calibri" w:cs="Calibri"/>
                <w:sz w:val="16"/>
                <w:szCs w:val="16"/>
              </w:rPr>
            </w:pPr>
            <w:r w:rsidRPr="00FD0AA8">
              <w:rPr>
                <w:rFonts w:ascii="Calibri" w:hAnsi="Calibri" w:cs="Calibri"/>
                <w:sz w:val="16"/>
                <w:szCs w:val="16"/>
              </w:rPr>
              <w:t>PN-EN 1427 [22]</w:t>
            </w:r>
          </w:p>
        </w:tc>
        <w:tc>
          <w:tcPr>
            <w:tcW w:w="1080" w:type="dxa"/>
            <w:vAlign w:val="center"/>
          </w:tcPr>
          <w:p w:rsidR="00376DA1" w:rsidRPr="00FD0AA8" w:rsidRDefault="00376DA1" w:rsidP="00556540">
            <w:pPr>
              <w:jc w:val="center"/>
              <w:rPr>
                <w:rFonts w:ascii="Calibri" w:hAnsi="Calibri" w:cs="Calibri"/>
                <w:sz w:val="16"/>
                <w:szCs w:val="16"/>
              </w:rPr>
            </w:pPr>
            <w:r w:rsidRPr="00FD0AA8">
              <w:rPr>
                <w:rFonts w:ascii="Calibri" w:hAnsi="Calibri" w:cs="Calibri"/>
                <w:sz w:val="16"/>
                <w:szCs w:val="16"/>
              </w:rPr>
              <w:t>°C</w:t>
            </w:r>
          </w:p>
        </w:tc>
        <w:tc>
          <w:tcPr>
            <w:tcW w:w="1260" w:type="dxa"/>
            <w:vAlign w:val="center"/>
          </w:tcPr>
          <w:p w:rsidR="00376DA1" w:rsidRPr="00FD0AA8" w:rsidRDefault="00376DA1" w:rsidP="00556540">
            <w:pPr>
              <w:jc w:val="center"/>
              <w:rPr>
                <w:rFonts w:ascii="Calibri" w:hAnsi="Calibri" w:cs="Calibri"/>
                <w:sz w:val="16"/>
                <w:szCs w:val="16"/>
              </w:rPr>
            </w:pPr>
            <w:r w:rsidRPr="00FD0AA8">
              <w:rPr>
                <w:rFonts w:ascii="Calibri" w:hAnsi="Calibri" w:cs="Calibri"/>
                <w:sz w:val="16"/>
                <w:szCs w:val="16"/>
              </w:rPr>
              <w:t>≤ 5</w:t>
            </w:r>
          </w:p>
        </w:tc>
        <w:tc>
          <w:tcPr>
            <w:tcW w:w="1384" w:type="dxa"/>
            <w:vAlign w:val="center"/>
          </w:tcPr>
          <w:p w:rsidR="00376DA1" w:rsidRPr="00FD0AA8" w:rsidRDefault="00376DA1" w:rsidP="00556540">
            <w:pPr>
              <w:jc w:val="center"/>
              <w:rPr>
                <w:rFonts w:ascii="Calibri" w:hAnsi="Calibri" w:cs="Calibri"/>
                <w:sz w:val="16"/>
                <w:szCs w:val="16"/>
              </w:rPr>
            </w:pPr>
            <w:r w:rsidRPr="00FD0AA8">
              <w:rPr>
                <w:rFonts w:ascii="Calibri" w:hAnsi="Calibri" w:cs="Calibri"/>
                <w:sz w:val="16"/>
                <w:szCs w:val="16"/>
              </w:rPr>
              <w:t>2</w:t>
            </w:r>
          </w:p>
        </w:tc>
      </w:tr>
      <w:tr w:rsidR="00376DA1" w:rsidRPr="00FD0AA8" w:rsidTr="00556540">
        <w:tc>
          <w:tcPr>
            <w:tcW w:w="1091" w:type="dxa"/>
            <w:vMerge/>
          </w:tcPr>
          <w:p w:rsidR="00376DA1" w:rsidRPr="00FD0AA8" w:rsidRDefault="00376DA1" w:rsidP="00556540">
            <w:pPr>
              <w:rPr>
                <w:rFonts w:ascii="Calibri" w:hAnsi="Calibri" w:cs="Calibri"/>
                <w:sz w:val="16"/>
                <w:szCs w:val="16"/>
              </w:rPr>
            </w:pPr>
          </w:p>
        </w:tc>
        <w:tc>
          <w:tcPr>
            <w:tcW w:w="1357" w:type="dxa"/>
            <w:vAlign w:val="center"/>
          </w:tcPr>
          <w:p w:rsidR="00376DA1" w:rsidRPr="00FD0AA8" w:rsidRDefault="00376DA1" w:rsidP="00556540">
            <w:pPr>
              <w:rPr>
                <w:rFonts w:ascii="Calibri" w:hAnsi="Calibri" w:cs="Calibri"/>
                <w:sz w:val="16"/>
                <w:szCs w:val="16"/>
              </w:rPr>
            </w:pPr>
            <w:r w:rsidRPr="00FD0AA8">
              <w:rPr>
                <w:rFonts w:ascii="Calibri" w:hAnsi="Calibri" w:cs="Calibri"/>
                <w:sz w:val="16"/>
                <w:szCs w:val="16"/>
              </w:rPr>
              <w:t>Stabilność magazynowania. Różnica penetracji</w:t>
            </w:r>
          </w:p>
        </w:tc>
        <w:tc>
          <w:tcPr>
            <w:tcW w:w="1440" w:type="dxa"/>
            <w:vAlign w:val="center"/>
          </w:tcPr>
          <w:p w:rsidR="00376DA1" w:rsidRPr="00FD0AA8" w:rsidRDefault="00376DA1" w:rsidP="00556540">
            <w:pPr>
              <w:jc w:val="center"/>
              <w:rPr>
                <w:rFonts w:ascii="Calibri" w:hAnsi="Calibri" w:cs="Calibri"/>
                <w:sz w:val="16"/>
                <w:szCs w:val="16"/>
              </w:rPr>
            </w:pPr>
            <w:r w:rsidRPr="00FD0AA8">
              <w:rPr>
                <w:rFonts w:ascii="Calibri" w:hAnsi="Calibri" w:cs="Calibri"/>
                <w:sz w:val="16"/>
                <w:szCs w:val="16"/>
              </w:rPr>
              <w:t>PN-EN 13399 [52]</w:t>
            </w:r>
          </w:p>
          <w:p w:rsidR="00376DA1" w:rsidRPr="00FD0AA8" w:rsidRDefault="00376DA1" w:rsidP="00556540">
            <w:pPr>
              <w:jc w:val="center"/>
              <w:rPr>
                <w:rFonts w:ascii="Calibri" w:hAnsi="Calibri" w:cs="Calibri"/>
                <w:sz w:val="16"/>
                <w:szCs w:val="16"/>
              </w:rPr>
            </w:pPr>
            <w:r w:rsidRPr="00FD0AA8">
              <w:rPr>
                <w:rFonts w:ascii="Calibri" w:hAnsi="Calibri" w:cs="Calibri"/>
                <w:sz w:val="16"/>
                <w:szCs w:val="16"/>
              </w:rPr>
              <w:t>PN-EN 1426 [21]</w:t>
            </w:r>
          </w:p>
        </w:tc>
        <w:tc>
          <w:tcPr>
            <w:tcW w:w="1080" w:type="dxa"/>
            <w:vAlign w:val="center"/>
          </w:tcPr>
          <w:p w:rsidR="00376DA1" w:rsidRPr="00FD0AA8" w:rsidRDefault="00376DA1" w:rsidP="00556540">
            <w:pPr>
              <w:jc w:val="center"/>
              <w:rPr>
                <w:rFonts w:ascii="Calibri" w:hAnsi="Calibri" w:cs="Calibri"/>
                <w:sz w:val="16"/>
                <w:szCs w:val="16"/>
              </w:rPr>
            </w:pPr>
            <w:smartTag w:uri="urn:schemas-microsoft-com:office:smarttags" w:element="metricconverter">
              <w:smartTagPr>
                <w:attr w:name="ProductID" w:val="0,1 mm"/>
              </w:smartTagPr>
              <w:r w:rsidRPr="00FD0AA8">
                <w:rPr>
                  <w:rFonts w:ascii="Calibri" w:hAnsi="Calibri" w:cs="Calibri"/>
                  <w:sz w:val="16"/>
                  <w:szCs w:val="16"/>
                </w:rPr>
                <w:t>0,1 mm</w:t>
              </w:r>
            </w:smartTag>
          </w:p>
        </w:tc>
        <w:tc>
          <w:tcPr>
            <w:tcW w:w="1260" w:type="dxa"/>
            <w:vAlign w:val="center"/>
          </w:tcPr>
          <w:p w:rsidR="00376DA1" w:rsidRPr="00FD0AA8" w:rsidRDefault="00376DA1" w:rsidP="00556540">
            <w:pPr>
              <w:jc w:val="center"/>
              <w:rPr>
                <w:rFonts w:ascii="Calibri" w:hAnsi="Calibri" w:cs="Calibri"/>
                <w:sz w:val="16"/>
                <w:szCs w:val="16"/>
              </w:rPr>
            </w:pPr>
            <w:r w:rsidRPr="00FD0AA8">
              <w:rPr>
                <w:rFonts w:ascii="Calibri" w:hAnsi="Calibri" w:cs="Calibri"/>
                <w:sz w:val="16"/>
                <w:szCs w:val="16"/>
              </w:rPr>
              <w:t>NPD</w:t>
            </w:r>
            <w:r w:rsidRPr="00FD0AA8">
              <w:rPr>
                <w:rFonts w:ascii="Calibri" w:hAnsi="Calibri" w:cs="Calibri"/>
                <w:sz w:val="16"/>
                <w:szCs w:val="16"/>
                <w:vertAlign w:val="superscript"/>
              </w:rPr>
              <w:t>a</w:t>
            </w:r>
          </w:p>
        </w:tc>
        <w:tc>
          <w:tcPr>
            <w:tcW w:w="1384" w:type="dxa"/>
            <w:vAlign w:val="center"/>
          </w:tcPr>
          <w:p w:rsidR="00376DA1" w:rsidRPr="00FD0AA8" w:rsidRDefault="00376DA1" w:rsidP="00556540">
            <w:pPr>
              <w:jc w:val="center"/>
              <w:rPr>
                <w:rFonts w:ascii="Calibri" w:hAnsi="Calibri" w:cs="Calibri"/>
                <w:sz w:val="16"/>
                <w:szCs w:val="16"/>
              </w:rPr>
            </w:pPr>
            <w:r w:rsidRPr="00FD0AA8">
              <w:rPr>
                <w:rFonts w:ascii="Calibri" w:hAnsi="Calibri" w:cs="Calibri"/>
                <w:sz w:val="16"/>
                <w:szCs w:val="16"/>
              </w:rPr>
              <w:t>0</w:t>
            </w:r>
          </w:p>
        </w:tc>
      </w:tr>
      <w:tr w:rsidR="00376DA1" w:rsidRPr="00FD0AA8" w:rsidTr="00556540">
        <w:tc>
          <w:tcPr>
            <w:tcW w:w="1091" w:type="dxa"/>
            <w:vMerge/>
          </w:tcPr>
          <w:p w:rsidR="00376DA1" w:rsidRPr="00FD0AA8" w:rsidRDefault="00376DA1" w:rsidP="00556540">
            <w:pPr>
              <w:rPr>
                <w:rFonts w:ascii="Calibri" w:hAnsi="Calibri" w:cs="Calibri"/>
                <w:sz w:val="16"/>
                <w:szCs w:val="16"/>
              </w:rPr>
            </w:pPr>
          </w:p>
        </w:tc>
        <w:tc>
          <w:tcPr>
            <w:tcW w:w="1357" w:type="dxa"/>
            <w:vAlign w:val="center"/>
          </w:tcPr>
          <w:p w:rsidR="00376DA1" w:rsidRPr="00FD0AA8" w:rsidRDefault="00376DA1" w:rsidP="00556540">
            <w:pPr>
              <w:jc w:val="left"/>
              <w:rPr>
                <w:rFonts w:ascii="Calibri" w:hAnsi="Calibri" w:cs="Calibri"/>
                <w:sz w:val="16"/>
                <w:szCs w:val="16"/>
              </w:rPr>
            </w:pPr>
            <w:r w:rsidRPr="00FD0AA8">
              <w:rPr>
                <w:rFonts w:ascii="Calibri" w:hAnsi="Calibri" w:cs="Calibri"/>
                <w:sz w:val="16"/>
                <w:szCs w:val="16"/>
              </w:rPr>
              <w:t xml:space="preserve">Spadek temperatury mięknienia po starzeniu wg PN-EN 12607-1 </w:t>
            </w:r>
          </w:p>
          <w:p w:rsidR="00376DA1" w:rsidRPr="00FD0AA8" w:rsidRDefault="00376DA1" w:rsidP="00556540">
            <w:pPr>
              <w:jc w:val="left"/>
              <w:rPr>
                <w:rFonts w:ascii="Calibri" w:hAnsi="Calibri" w:cs="Calibri"/>
                <w:sz w:val="16"/>
                <w:szCs w:val="16"/>
              </w:rPr>
            </w:pPr>
            <w:r w:rsidRPr="00FD0AA8">
              <w:rPr>
                <w:rFonts w:ascii="Calibri" w:hAnsi="Calibri" w:cs="Calibri"/>
                <w:sz w:val="16"/>
                <w:szCs w:val="16"/>
              </w:rPr>
              <w:t>lub -3 [31]</w:t>
            </w:r>
          </w:p>
        </w:tc>
        <w:tc>
          <w:tcPr>
            <w:tcW w:w="1440" w:type="dxa"/>
            <w:tcBorders>
              <w:bottom w:val="single" w:sz="4" w:space="0" w:color="auto"/>
            </w:tcBorders>
            <w:vAlign w:val="center"/>
          </w:tcPr>
          <w:p w:rsidR="00376DA1" w:rsidRPr="00FD0AA8" w:rsidRDefault="00376DA1" w:rsidP="00556540">
            <w:pPr>
              <w:jc w:val="center"/>
              <w:rPr>
                <w:rFonts w:ascii="Calibri" w:hAnsi="Calibri" w:cs="Calibri"/>
                <w:sz w:val="16"/>
                <w:szCs w:val="16"/>
              </w:rPr>
            </w:pPr>
            <w:r w:rsidRPr="00FD0AA8">
              <w:rPr>
                <w:rFonts w:ascii="Calibri" w:hAnsi="Calibri" w:cs="Calibri"/>
                <w:sz w:val="16"/>
                <w:szCs w:val="16"/>
              </w:rPr>
              <w:t>PN-EN 12607-1 [31]</w:t>
            </w:r>
          </w:p>
          <w:p w:rsidR="00376DA1" w:rsidRPr="00FD0AA8" w:rsidRDefault="00376DA1" w:rsidP="00556540">
            <w:pPr>
              <w:jc w:val="center"/>
              <w:rPr>
                <w:rFonts w:ascii="Calibri" w:hAnsi="Calibri" w:cs="Calibri"/>
                <w:sz w:val="16"/>
                <w:szCs w:val="16"/>
              </w:rPr>
            </w:pPr>
            <w:r w:rsidRPr="00FD0AA8">
              <w:rPr>
                <w:rFonts w:ascii="Calibri" w:hAnsi="Calibri" w:cs="Calibri"/>
                <w:sz w:val="16"/>
                <w:szCs w:val="16"/>
              </w:rPr>
              <w:t>PN-EN 1427 [22]</w:t>
            </w:r>
          </w:p>
        </w:tc>
        <w:tc>
          <w:tcPr>
            <w:tcW w:w="1080" w:type="dxa"/>
            <w:tcBorders>
              <w:bottom w:val="single" w:sz="4" w:space="0" w:color="auto"/>
            </w:tcBorders>
            <w:vAlign w:val="center"/>
          </w:tcPr>
          <w:p w:rsidR="00376DA1" w:rsidRPr="00FD0AA8" w:rsidRDefault="00376DA1" w:rsidP="00556540">
            <w:pPr>
              <w:jc w:val="center"/>
              <w:rPr>
                <w:rFonts w:ascii="Calibri" w:hAnsi="Calibri" w:cs="Calibri"/>
                <w:sz w:val="16"/>
                <w:szCs w:val="16"/>
              </w:rPr>
            </w:pPr>
            <w:r w:rsidRPr="00FD0AA8">
              <w:rPr>
                <w:rFonts w:ascii="Calibri" w:hAnsi="Calibri" w:cs="Calibri"/>
                <w:sz w:val="16"/>
                <w:szCs w:val="16"/>
              </w:rPr>
              <w:t>°C</w:t>
            </w:r>
          </w:p>
        </w:tc>
        <w:tc>
          <w:tcPr>
            <w:tcW w:w="1260" w:type="dxa"/>
            <w:vAlign w:val="center"/>
          </w:tcPr>
          <w:p w:rsidR="00376DA1" w:rsidRPr="00FD0AA8" w:rsidRDefault="00376DA1" w:rsidP="00556540">
            <w:pPr>
              <w:jc w:val="center"/>
              <w:rPr>
                <w:rFonts w:ascii="Calibri" w:hAnsi="Calibri" w:cs="Calibri"/>
                <w:sz w:val="16"/>
                <w:szCs w:val="16"/>
              </w:rPr>
            </w:pPr>
            <w:r w:rsidRPr="00FD0AA8">
              <w:rPr>
                <w:rFonts w:ascii="Calibri" w:hAnsi="Calibri" w:cs="Calibri"/>
                <w:sz w:val="16"/>
                <w:szCs w:val="16"/>
              </w:rPr>
              <w:t>TBR</w:t>
            </w:r>
            <w:r w:rsidRPr="00FD0AA8">
              <w:rPr>
                <w:rFonts w:ascii="Calibri" w:hAnsi="Calibri" w:cs="Calibri"/>
                <w:sz w:val="16"/>
                <w:szCs w:val="16"/>
                <w:vertAlign w:val="superscript"/>
              </w:rPr>
              <w:t>b</w:t>
            </w:r>
          </w:p>
        </w:tc>
        <w:tc>
          <w:tcPr>
            <w:tcW w:w="1384" w:type="dxa"/>
            <w:vAlign w:val="center"/>
          </w:tcPr>
          <w:p w:rsidR="00376DA1" w:rsidRPr="00FD0AA8" w:rsidRDefault="00376DA1" w:rsidP="00556540">
            <w:pPr>
              <w:jc w:val="center"/>
              <w:rPr>
                <w:rFonts w:ascii="Calibri" w:hAnsi="Calibri" w:cs="Calibri"/>
                <w:sz w:val="16"/>
                <w:szCs w:val="16"/>
              </w:rPr>
            </w:pPr>
            <w:r w:rsidRPr="00FD0AA8">
              <w:rPr>
                <w:rFonts w:ascii="Calibri" w:hAnsi="Calibri" w:cs="Calibri"/>
                <w:sz w:val="16"/>
                <w:szCs w:val="16"/>
              </w:rPr>
              <w:t>1</w:t>
            </w:r>
          </w:p>
        </w:tc>
      </w:tr>
      <w:tr w:rsidR="00376DA1" w:rsidRPr="00FD0AA8" w:rsidTr="00556540">
        <w:tc>
          <w:tcPr>
            <w:tcW w:w="1091" w:type="dxa"/>
            <w:vMerge/>
          </w:tcPr>
          <w:p w:rsidR="00376DA1" w:rsidRPr="00FD0AA8" w:rsidRDefault="00376DA1" w:rsidP="00556540">
            <w:pPr>
              <w:rPr>
                <w:rFonts w:ascii="Calibri" w:hAnsi="Calibri" w:cs="Calibri"/>
                <w:sz w:val="16"/>
                <w:szCs w:val="16"/>
              </w:rPr>
            </w:pPr>
          </w:p>
        </w:tc>
        <w:tc>
          <w:tcPr>
            <w:tcW w:w="1357" w:type="dxa"/>
            <w:vAlign w:val="center"/>
          </w:tcPr>
          <w:p w:rsidR="00376DA1" w:rsidRPr="00FD0AA8" w:rsidRDefault="00376DA1" w:rsidP="00556540">
            <w:pPr>
              <w:jc w:val="left"/>
              <w:rPr>
                <w:rFonts w:ascii="Calibri" w:hAnsi="Calibri" w:cs="Calibri"/>
                <w:sz w:val="16"/>
                <w:szCs w:val="16"/>
              </w:rPr>
            </w:pPr>
            <w:r w:rsidRPr="00FD0AA8">
              <w:rPr>
                <w:rFonts w:ascii="Calibri" w:hAnsi="Calibri" w:cs="Calibri"/>
                <w:sz w:val="16"/>
                <w:szCs w:val="16"/>
              </w:rPr>
              <w:t xml:space="preserve">Nawrót sprężysty w </w:t>
            </w:r>
            <w:smartTag w:uri="urn:schemas-microsoft-com:office:smarttags" w:element="metricconverter">
              <w:smartTagPr>
                <w:attr w:name="ProductID" w:val="25ﾰC"/>
              </w:smartTagPr>
              <w:r w:rsidRPr="00FD0AA8">
                <w:rPr>
                  <w:rFonts w:ascii="Calibri" w:hAnsi="Calibri" w:cs="Calibri"/>
                  <w:sz w:val="16"/>
                  <w:szCs w:val="16"/>
                </w:rPr>
                <w:t>25°C</w:t>
              </w:r>
            </w:smartTag>
            <w:r w:rsidRPr="00FD0AA8">
              <w:rPr>
                <w:rFonts w:ascii="Calibri" w:hAnsi="Calibri" w:cs="Calibri"/>
                <w:sz w:val="16"/>
                <w:szCs w:val="16"/>
              </w:rPr>
              <w:t xml:space="preserve"> po starzeniu wg PN-EN 12607-1 </w:t>
            </w:r>
          </w:p>
          <w:p w:rsidR="00376DA1" w:rsidRPr="00FD0AA8" w:rsidRDefault="00376DA1" w:rsidP="00556540">
            <w:pPr>
              <w:jc w:val="left"/>
              <w:rPr>
                <w:rFonts w:ascii="Calibri" w:hAnsi="Calibri" w:cs="Calibri"/>
                <w:sz w:val="16"/>
                <w:szCs w:val="16"/>
              </w:rPr>
            </w:pPr>
            <w:r w:rsidRPr="00FD0AA8">
              <w:rPr>
                <w:rFonts w:ascii="Calibri" w:hAnsi="Calibri" w:cs="Calibri"/>
                <w:sz w:val="16"/>
                <w:szCs w:val="16"/>
              </w:rPr>
              <w:t>lub -3 [31]</w:t>
            </w:r>
          </w:p>
        </w:tc>
        <w:tc>
          <w:tcPr>
            <w:tcW w:w="1440" w:type="dxa"/>
            <w:vMerge w:val="restart"/>
            <w:vAlign w:val="center"/>
          </w:tcPr>
          <w:p w:rsidR="00376DA1" w:rsidRPr="00FD0AA8" w:rsidRDefault="00376DA1" w:rsidP="00556540">
            <w:pPr>
              <w:jc w:val="center"/>
              <w:rPr>
                <w:rFonts w:ascii="Calibri" w:hAnsi="Calibri" w:cs="Calibri"/>
                <w:sz w:val="16"/>
                <w:szCs w:val="16"/>
              </w:rPr>
            </w:pPr>
            <w:r w:rsidRPr="00FD0AA8">
              <w:rPr>
                <w:rFonts w:ascii="Calibri" w:hAnsi="Calibri" w:cs="Calibri"/>
                <w:sz w:val="16"/>
                <w:szCs w:val="16"/>
              </w:rPr>
              <w:t>PN-EN 12607-1 [31]</w:t>
            </w:r>
          </w:p>
          <w:p w:rsidR="00376DA1" w:rsidRPr="00FD0AA8" w:rsidRDefault="00376DA1" w:rsidP="00556540">
            <w:pPr>
              <w:jc w:val="center"/>
              <w:rPr>
                <w:rFonts w:ascii="Calibri" w:hAnsi="Calibri" w:cs="Calibri"/>
                <w:sz w:val="16"/>
                <w:szCs w:val="16"/>
              </w:rPr>
            </w:pPr>
            <w:r w:rsidRPr="00FD0AA8">
              <w:rPr>
                <w:rFonts w:ascii="Calibri" w:hAnsi="Calibri" w:cs="Calibri"/>
                <w:sz w:val="16"/>
                <w:szCs w:val="16"/>
              </w:rPr>
              <w:t>PN-EN 13398 [51]</w:t>
            </w:r>
          </w:p>
        </w:tc>
        <w:tc>
          <w:tcPr>
            <w:tcW w:w="1080" w:type="dxa"/>
            <w:vMerge w:val="restart"/>
            <w:vAlign w:val="center"/>
          </w:tcPr>
          <w:p w:rsidR="00376DA1" w:rsidRPr="00FD0AA8" w:rsidRDefault="00376DA1" w:rsidP="00556540">
            <w:pPr>
              <w:jc w:val="center"/>
              <w:rPr>
                <w:rFonts w:ascii="Calibri" w:hAnsi="Calibri" w:cs="Calibri"/>
                <w:sz w:val="16"/>
                <w:szCs w:val="16"/>
              </w:rPr>
            </w:pPr>
            <w:r w:rsidRPr="00FD0AA8">
              <w:rPr>
                <w:rFonts w:ascii="Calibri" w:hAnsi="Calibri" w:cs="Calibri"/>
                <w:sz w:val="16"/>
                <w:szCs w:val="16"/>
              </w:rPr>
              <w:t>%</w:t>
            </w:r>
          </w:p>
        </w:tc>
        <w:tc>
          <w:tcPr>
            <w:tcW w:w="1260" w:type="dxa"/>
            <w:vAlign w:val="center"/>
          </w:tcPr>
          <w:p w:rsidR="00376DA1" w:rsidRPr="00FD0AA8" w:rsidRDefault="00376DA1" w:rsidP="00556540">
            <w:pPr>
              <w:jc w:val="center"/>
              <w:rPr>
                <w:rFonts w:ascii="Calibri" w:hAnsi="Calibri" w:cs="Calibri"/>
                <w:sz w:val="16"/>
                <w:szCs w:val="16"/>
              </w:rPr>
            </w:pPr>
            <w:r w:rsidRPr="00FD0AA8">
              <w:rPr>
                <w:rFonts w:ascii="Calibri" w:hAnsi="Calibri" w:cs="Calibri"/>
                <w:sz w:val="16"/>
                <w:szCs w:val="16"/>
              </w:rPr>
              <w:t>≥ 50</w:t>
            </w:r>
          </w:p>
        </w:tc>
        <w:tc>
          <w:tcPr>
            <w:tcW w:w="1384" w:type="dxa"/>
            <w:vAlign w:val="center"/>
          </w:tcPr>
          <w:p w:rsidR="00376DA1" w:rsidRPr="00FD0AA8" w:rsidRDefault="00376DA1" w:rsidP="00556540">
            <w:pPr>
              <w:jc w:val="center"/>
              <w:rPr>
                <w:rFonts w:ascii="Calibri" w:hAnsi="Calibri" w:cs="Calibri"/>
                <w:sz w:val="16"/>
                <w:szCs w:val="16"/>
              </w:rPr>
            </w:pPr>
            <w:r w:rsidRPr="00FD0AA8">
              <w:rPr>
                <w:rFonts w:ascii="Calibri" w:hAnsi="Calibri" w:cs="Calibri"/>
                <w:sz w:val="16"/>
                <w:szCs w:val="16"/>
              </w:rPr>
              <w:t>4</w:t>
            </w:r>
          </w:p>
        </w:tc>
      </w:tr>
      <w:tr w:rsidR="00376DA1" w:rsidRPr="00FD0AA8" w:rsidTr="00556540">
        <w:tc>
          <w:tcPr>
            <w:tcW w:w="1091" w:type="dxa"/>
            <w:vMerge/>
          </w:tcPr>
          <w:p w:rsidR="00376DA1" w:rsidRPr="00FD0AA8" w:rsidRDefault="00376DA1" w:rsidP="00556540">
            <w:pPr>
              <w:rPr>
                <w:rFonts w:ascii="Calibri" w:hAnsi="Calibri" w:cs="Calibri"/>
                <w:sz w:val="16"/>
                <w:szCs w:val="16"/>
              </w:rPr>
            </w:pPr>
          </w:p>
        </w:tc>
        <w:tc>
          <w:tcPr>
            <w:tcW w:w="1357" w:type="dxa"/>
            <w:vAlign w:val="center"/>
          </w:tcPr>
          <w:p w:rsidR="00376DA1" w:rsidRPr="00FD0AA8" w:rsidRDefault="00376DA1" w:rsidP="00556540">
            <w:pPr>
              <w:jc w:val="left"/>
              <w:rPr>
                <w:rFonts w:ascii="Calibri" w:hAnsi="Calibri" w:cs="Calibri"/>
                <w:sz w:val="16"/>
                <w:szCs w:val="16"/>
              </w:rPr>
            </w:pPr>
            <w:r w:rsidRPr="00FD0AA8">
              <w:rPr>
                <w:rFonts w:ascii="Calibri" w:hAnsi="Calibri" w:cs="Calibri"/>
                <w:sz w:val="16"/>
                <w:szCs w:val="16"/>
              </w:rPr>
              <w:t xml:space="preserve">Nawrót sprężysty w </w:t>
            </w:r>
            <w:smartTag w:uri="urn:schemas-microsoft-com:office:smarttags" w:element="metricconverter">
              <w:smartTagPr>
                <w:attr w:name="ProductID" w:val="10ﾰC"/>
              </w:smartTagPr>
              <w:r w:rsidRPr="00FD0AA8">
                <w:rPr>
                  <w:rFonts w:ascii="Calibri" w:hAnsi="Calibri" w:cs="Calibri"/>
                  <w:sz w:val="16"/>
                  <w:szCs w:val="16"/>
                </w:rPr>
                <w:t>10°C</w:t>
              </w:r>
            </w:smartTag>
            <w:r w:rsidRPr="00FD0AA8">
              <w:rPr>
                <w:rFonts w:ascii="Calibri" w:hAnsi="Calibri" w:cs="Calibri"/>
                <w:sz w:val="16"/>
                <w:szCs w:val="16"/>
              </w:rPr>
              <w:t xml:space="preserve"> po starzeniu wg PN-EN 12607-1 </w:t>
            </w:r>
          </w:p>
          <w:p w:rsidR="00376DA1" w:rsidRPr="00FD0AA8" w:rsidRDefault="00376DA1" w:rsidP="00556540">
            <w:pPr>
              <w:jc w:val="left"/>
              <w:rPr>
                <w:rFonts w:ascii="Calibri" w:hAnsi="Calibri" w:cs="Calibri"/>
                <w:sz w:val="16"/>
                <w:szCs w:val="16"/>
              </w:rPr>
            </w:pPr>
            <w:r w:rsidRPr="00FD0AA8">
              <w:rPr>
                <w:rFonts w:ascii="Calibri" w:hAnsi="Calibri" w:cs="Calibri"/>
                <w:sz w:val="16"/>
                <w:szCs w:val="16"/>
              </w:rPr>
              <w:t>lub -3 [31]</w:t>
            </w:r>
          </w:p>
        </w:tc>
        <w:tc>
          <w:tcPr>
            <w:tcW w:w="1440" w:type="dxa"/>
            <w:vMerge/>
            <w:vAlign w:val="center"/>
          </w:tcPr>
          <w:p w:rsidR="00376DA1" w:rsidRPr="00FD0AA8" w:rsidRDefault="00376DA1" w:rsidP="00556540">
            <w:pPr>
              <w:jc w:val="center"/>
              <w:rPr>
                <w:rFonts w:ascii="Calibri" w:hAnsi="Calibri" w:cs="Calibri"/>
                <w:sz w:val="16"/>
                <w:szCs w:val="16"/>
              </w:rPr>
            </w:pPr>
          </w:p>
        </w:tc>
        <w:tc>
          <w:tcPr>
            <w:tcW w:w="1080" w:type="dxa"/>
            <w:vMerge/>
            <w:vAlign w:val="center"/>
          </w:tcPr>
          <w:p w:rsidR="00376DA1" w:rsidRPr="00FD0AA8" w:rsidRDefault="00376DA1" w:rsidP="00556540">
            <w:pPr>
              <w:jc w:val="center"/>
              <w:rPr>
                <w:rFonts w:ascii="Calibri" w:hAnsi="Calibri" w:cs="Calibri"/>
                <w:sz w:val="16"/>
                <w:szCs w:val="16"/>
              </w:rPr>
            </w:pPr>
          </w:p>
        </w:tc>
        <w:tc>
          <w:tcPr>
            <w:tcW w:w="1260" w:type="dxa"/>
            <w:vAlign w:val="center"/>
          </w:tcPr>
          <w:p w:rsidR="00376DA1" w:rsidRPr="00FD0AA8" w:rsidRDefault="00376DA1" w:rsidP="00556540">
            <w:pPr>
              <w:jc w:val="center"/>
              <w:rPr>
                <w:rFonts w:ascii="Calibri" w:hAnsi="Calibri" w:cs="Calibri"/>
                <w:sz w:val="16"/>
                <w:szCs w:val="16"/>
              </w:rPr>
            </w:pPr>
            <w:r w:rsidRPr="00FD0AA8">
              <w:rPr>
                <w:rFonts w:ascii="Calibri" w:hAnsi="Calibri" w:cs="Calibri"/>
                <w:sz w:val="16"/>
                <w:szCs w:val="16"/>
              </w:rPr>
              <w:t>NPD</w:t>
            </w:r>
            <w:r w:rsidRPr="00FD0AA8">
              <w:rPr>
                <w:rFonts w:ascii="Calibri" w:hAnsi="Calibri" w:cs="Calibri"/>
                <w:sz w:val="16"/>
                <w:szCs w:val="16"/>
                <w:vertAlign w:val="superscript"/>
              </w:rPr>
              <w:t>a</w:t>
            </w:r>
          </w:p>
        </w:tc>
        <w:tc>
          <w:tcPr>
            <w:tcW w:w="1384" w:type="dxa"/>
            <w:vAlign w:val="center"/>
          </w:tcPr>
          <w:p w:rsidR="00376DA1" w:rsidRPr="00FD0AA8" w:rsidRDefault="00376DA1" w:rsidP="00556540">
            <w:pPr>
              <w:jc w:val="center"/>
              <w:rPr>
                <w:rFonts w:ascii="Calibri" w:hAnsi="Calibri" w:cs="Calibri"/>
                <w:sz w:val="16"/>
                <w:szCs w:val="16"/>
              </w:rPr>
            </w:pPr>
            <w:r w:rsidRPr="00FD0AA8">
              <w:rPr>
                <w:rFonts w:ascii="Calibri" w:hAnsi="Calibri" w:cs="Calibri"/>
                <w:sz w:val="16"/>
                <w:szCs w:val="16"/>
              </w:rPr>
              <w:t>0</w:t>
            </w:r>
          </w:p>
        </w:tc>
      </w:tr>
    </w:tbl>
    <w:p w:rsidR="00376DA1" w:rsidRPr="00BD7F4A" w:rsidRDefault="00376DA1" w:rsidP="00376DA1">
      <w:pPr>
        <w:ind w:left="709"/>
        <w:rPr>
          <w:rFonts w:ascii="Calibri" w:hAnsi="Calibri" w:cs="Calibri"/>
          <w:i/>
          <w:sz w:val="16"/>
          <w:szCs w:val="16"/>
        </w:rPr>
      </w:pPr>
      <w:r w:rsidRPr="00BD7F4A">
        <w:rPr>
          <w:rFonts w:ascii="Calibri" w:hAnsi="Calibri" w:cs="Calibri"/>
          <w:i/>
          <w:sz w:val="16"/>
          <w:szCs w:val="16"/>
          <w:vertAlign w:val="superscript"/>
        </w:rPr>
        <w:t>a</w:t>
      </w:r>
      <w:r w:rsidRPr="00BD7F4A">
        <w:rPr>
          <w:rFonts w:ascii="Calibri" w:hAnsi="Calibri" w:cs="Calibri"/>
          <w:i/>
          <w:sz w:val="16"/>
          <w:szCs w:val="16"/>
        </w:rPr>
        <w:t xml:space="preserve"> NPD – No Performance Determined (właściwość użytkowa nie określana)</w:t>
      </w:r>
    </w:p>
    <w:p w:rsidR="00376DA1" w:rsidRPr="00BD7F4A" w:rsidRDefault="00376DA1" w:rsidP="00376DA1">
      <w:pPr>
        <w:ind w:left="709"/>
        <w:rPr>
          <w:rFonts w:ascii="Calibri" w:hAnsi="Calibri" w:cs="Calibri"/>
          <w:i/>
        </w:rPr>
      </w:pPr>
      <w:r w:rsidRPr="00BD7F4A">
        <w:rPr>
          <w:rFonts w:ascii="Calibri" w:hAnsi="Calibri" w:cs="Calibri"/>
          <w:i/>
          <w:sz w:val="16"/>
          <w:szCs w:val="16"/>
          <w:vertAlign w:val="superscript"/>
        </w:rPr>
        <w:t>b</w:t>
      </w:r>
      <w:r w:rsidRPr="00BD7F4A">
        <w:rPr>
          <w:rFonts w:ascii="Calibri" w:hAnsi="Calibri" w:cs="Calibri"/>
          <w:i/>
          <w:sz w:val="16"/>
          <w:szCs w:val="16"/>
        </w:rPr>
        <w:t xml:space="preserve"> TBR – To Be Reported (do zadeklarowania)</w:t>
      </w:r>
    </w:p>
    <w:p w:rsidR="00376DA1" w:rsidRDefault="00376DA1" w:rsidP="00376DA1">
      <w:pPr>
        <w:rPr>
          <w:rFonts w:ascii="Calibri" w:hAnsi="Calibri" w:cs="Calibri"/>
        </w:rPr>
      </w:pPr>
      <w:r w:rsidRPr="00FD0AA8">
        <w:rPr>
          <w:rFonts w:ascii="Calibri" w:hAnsi="Calibri" w:cs="Calibri"/>
        </w:rPr>
        <w:tab/>
      </w:r>
    </w:p>
    <w:p w:rsidR="00376DA1" w:rsidRPr="00FD0AA8" w:rsidRDefault="00376DA1" w:rsidP="00376DA1">
      <w:pPr>
        <w:ind w:firstLine="708"/>
        <w:rPr>
          <w:rFonts w:ascii="Calibri" w:hAnsi="Calibri" w:cs="Calibri"/>
        </w:rPr>
      </w:pPr>
      <w:r w:rsidRPr="00FD0AA8">
        <w:rPr>
          <w:rFonts w:ascii="Calibri" w:hAnsi="Calibri" w:cs="Calibri"/>
        </w:rPr>
        <w:lastRenderedPageBreak/>
        <w:t xml:space="preserve">Składowanie asfaltu drogowego powinno się odbywać w zbiornikach, wykluczających zanieczyszczenie asfaltu i wyposażonych w system grzewczy pośredni (bez kontaktu asfaltu z przewodami grzewczymi). Zbiornik roboczy otaczarki powinien być izolowany termicznie, posiadać automatyczny system grzewczy z tolerancją ± </w:t>
      </w:r>
      <w:smartTag w:uri="urn:schemas-microsoft-com:office:smarttags" w:element="metricconverter">
        <w:smartTagPr>
          <w:attr w:name="ProductID" w:val="5ﾰC"/>
        </w:smartTagPr>
        <w:r w:rsidRPr="00FD0AA8">
          <w:rPr>
            <w:rFonts w:ascii="Calibri" w:hAnsi="Calibri" w:cs="Calibri"/>
          </w:rPr>
          <w:t>5°C</w:t>
        </w:r>
      </w:smartTag>
      <w:r w:rsidRPr="00FD0AA8">
        <w:rPr>
          <w:rFonts w:ascii="Calibri" w:hAnsi="Calibri" w:cs="Calibri"/>
        </w:rPr>
        <w:t xml:space="preserve"> oraz układ cyrkulacji asfaltu.</w:t>
      </w:r>
    </w:p>
    <w:p w:rsidR="00376DA1" w:rsidRPr="00FD0AA8" w:rsidRDefault="00376DA1" w:rsidP="00376DA1">
      <w:pPr>
        <w:rPr>
          <w:rFonts w:ascii="Calibri" w:hAnsi="Calibri" w:cs="Calibri"/>
        </w:rPr>
      </w:pPr>
      <w:r w:rsidRPr="00FD0AA8">
        <w:rPr>
          <w:rFonts w:ascii="Calibri" w:hAnsi="Calibri" w:cs="Calibri"/>
        </w:rPr>
        <w:tab/>
        <w:t xml:space="preserve">Polimeroasfalt powinien być magazynowany w zbiorniku wyposażonym w system grzewczy pośredni z termostatem kontrolującym temperaturę z dokładnością  ± </w:t>
      </w:r>
      <w:smartTag w:uri="urn:schemas-microsoft-com:office:smarttags" w:element="metricconverter">
        <w:smartTagPr>
          <w:attr w:name="ProductID" w:val="5ﾰC"/>
        </w:smartTagPr>
        <w:r w:rsidRPr="00FD0AA8">
          <w:rPr>
            <w:rFonts w:ascii="Calibri" w:hAnsi="Calibri" w:cs="Calibri"/>
          </w:rPr>
          <w:t>5°C</w:t>
        </w:r>
      </w:smartTag>
      <w:r w:rsidRPr="00FD0AA8">
        <w:rPr>
          <w:rFonts w:ascii="Calibri" w:hAnsi="Calibri" w:cs="Calibri"/>
        </w:rPr>
        <w:t>. Zaleca się wyposażenie zbiornika w mieszadło. Zaleca się bezpośrednie zużycie polimeroasfaltu po dostarczeniu. Należy unikać wielokrotnego rozgrzewania i chłodzenia polimeroasfaltu w okresie jego stosowania oraz unikać niekontrolowanego mieszania polimeroasfaltów różnego rodzaju i klasy oraz z asfaltem zwykłym.</w:t>
      </w:r>
    </w:p>
    <w:p w:rsidR="00376DA1" w:rsidRPr="00FD0AA8" w:rsidRDefault="00376DA1" w:rsidP="00376DA1">
      <w:pPr>
        <w:rPr>
          <w:rFonts w:ascii="Calibri" w:hAnsi="Calibri" w:cs="Calibri"/>
        </w:rPr>
      </w:pPr>
      <w:r w:rsidRPr="00067D08">
        <w:rPr>
          <w:rFonts w:ascii="Calibri" w:hAnsi="Calibri" w:cs="Calibri"/>
          <w:b/>
        </w:rPr>
        <w:t>2.3.</w:t>
      </w:r>
      <w:r w:rsidRPr="00FD0AA8">
        <w:rPr>
          <w:rFonts w:ascii="Calibri" w:hAnsi="Calibri" w:cs="Calibri"/>
        </w:rPr>
        <w:t xml:space="preserve"> Kruszywo </w:t>
      </w:r>
    </w:p>
    <w:p w:rsidR="00376DA1" w:rsidRPr="00FD0AA8" w:rsidRDefault="00376DA1" w:rsidP="00376DA1">
      <w:pPr>
        <w:rPr>
          <w:rFonts w:ascii="Calibri" w:hAnsi="Calibri" w:cs="Calibri"/>
        </w:rPr>
      </w:pPr>
      <w:r w:rsidRPr="00FD0AA8">
        <w:rPr>
          <w:rFonts w:ascii="Calibri" w:hAnsi="Calibri" w:cs="Calibri"/>
        </w:rPr>
        <w:tab/>
        <w:t>Do warstwy podbudowy z betonu asfaltowego należy stosować kruszywo według PN-EN 13043 [44] i WT-1 Kruszywa 2010 [64], obejmujące kruszywo grube , kruszywo drobne  i wypełniacz. Kruszywa powinny spełniać wymagania podane w WT-1 Kruszywa 2010 tablica 4, 5, 6, 6a, 7.</w:t>
      </w:r>
    </w:p>
    <w:p w:rsidR="00376DA1" w:rsidRPr="00FD0AA8" w:rsidRDefault="00376DA1" w:rsidP="00376DA1">
      <w:pPr>
        <w:rPr>
          <w:rFonts w:ascii="Calibri" w:hAnsi="Calibri" w:cs="Calibri"/>
        </w:rPr>
      </w:pPr>
      <w:r w:rsidRPr="00FD0AA8">
        <w:rPr>
          <w:rFonts w:ascii="Calibri" w:hAnsi="Calibri" w:cs="Calibri"/>
        </w:rPr>
        <w:tab/>
        <w:t>Składowanie kruszywa powinno się odbywać w warunkach zabezpieczających je przed zanieczyszczeniem i zmieszaniem z kruszywem o innym wymiarze lub pochodzeniu. Podłoże składowiska musi być równe, utwardzone i odwodnione. Składowanie wypełniacza powinno się odbywać w silosach wyposażonych w urządzenia do aeracji.</w:t>
      </w:r>
    </w:p>
    <w:p w:rsidR="00376DA1" w:rsidRPr="00FD0AA8" w:rsidRDefault="00376DA1" w:rsidP="00376DA1">
      <w:pPr>
        <w:rPr>
          <w:rFonts w:ascii="Calibri" w:hAnsi="Calibri" w:cs="Calibri"/>
        </w:rPr>
      </w:pPr>
      <w:r w:rsidRPr="00067D08">
        <w:rPr>
          <w:rFonts w:ascii="Calibri" w:hAnsi="Calibri" w:cs="Calibri"/>
          <w:b/>
        </w:rPr>
        <w:t>2.4.</w:t>
      </w:r>
      <w:r w:rsidRPr="00FD0AA8">
        <w:rPr>
          <w:rFonts w:ascii="Calibri" w:hAnsi="Calibri" w:cs="Calibri"/>
        </w:rPr>
        <w:t xml:space="preserve"> Środek adhezyjny</w:t>
      </w:r>
    </w:p>
    <w:p w:rsidR="00376DA1" w:rsidRPr="00FD0AA8" w:rsidRDefault="00376DA1" w:rsidP="00376DA1">
      <w:pPr>
        <w:rPr>
          <w:rFonts w:ascii="Calibri" w:hAnsi="Calibri" w:cs="Calibri"/>
        </w:rPr>
      </w:pPr>
      <w:r w:rsidRPr="00FD0AA8">
        <w:rPr>
          <w:rFonts w:ascii="Calibri" w:hAnsi="Calibri" w:cs="Calibri"/>
        </w:rPr>
        <w:tab/>
        <w:t>W celu poprawy powinowactwa fizykochemicznego lepiszcza asfaltowego i kruszywa, gwarantującego odpowiednią przyczepność (adhezję) lepiszcza do kruszywa i odporność mieszanki mineralno-asfaltowej na działanie wody, można zastosować środek adhezyjny, tak aby dla konkretnej pary kruszywo-lepiszcze wartość przyczepności określona według PN-EN 12697-11 [34], metoda C wynosiła co najmniej 80%.</w:t>
      </w:r>
    </w:p>
    <w:p w:rsidR="00376DA1" w:rsidRPr="00FD0AA8" w:rsidRDefault="00376DA1" w:rsidP="00376DA1">
      <w:pPr>
        <w:rPr>
          <w:rFonts w:ascii="Calibri" w:hAnsi="Calibri" w:cs="Calibri"/>
        </w:rPr>
      </w:pPr>
      <w:r w:rsidRPr="00FD0AA8">
        <w:rPr>
          <w:rFonts w:ascii="Calibri" w:hAnsi="Calibri" w:cs="Calibri"/>
        </w:rPr>
        <w:tab/>
        <w:t>Środek adhezyjny powinien odpowiadać wymaganiom określonym przez producenta.</w:t>
      </w:r>
    </w:p>
    <w:p w:rsidR="00376DA1" w:rsidRPr="00FD0AA8" w:rsidRDefault="00376DA1" w:rsidP="00376DA1">
      <w:pPr>
        <w:rPr>
          <w:rFonts w:ascii="Calibri" w:hAnsi="Calibri" w:cs="Calibri"/>
        </w:rPr>
      </w:pPr>
      <w:r w:rsidRPr="00FD0AA8">
        <w:rPr>
          <w:rFonts w:ascii="Calibri" w:hAnsi="Calibri" w:cs="Calibri"/>
        </w:rPr>
        <w:tab/>
        <w:t>Składowanie środka adhezyjnego jest dozwolone tylko w oryginalnych opakowaniach, w warunkach określonych przez producenta.</w:t>
      </w:r>
    </w:p>
    <w:p w:rsidR="00376DA1" w:rsidRPr="00FD0AA8" w:rsidRDefault="00376DA1" w:rsidP="00376DA1">
      <w:pPr>
        <w:rPr>
          <w:rFonts w:ascii="Calibri" w:hAnsi="Calibri" w:cs="Calibri"/>
        </w:rPr>
      </w:pPr>
      <w:r w:rsidRPr="00067D08">
        <w:rPr>
          <w:rFonts w:ascii="Calibri" w:hAnsi="Calibri" w:cs="Calibri"/>
          <w:b/>
        </w:rPr>
        <w:t>2.5.</w:t>
      </w:r>
      <w:r w:rsidRPr="00FD0AA8">
        <w:rPr>
          <w:rFonts w:ascii="Calibri" w:hAnsi="Calibri" w:cs="Calibri"/>
        </w:rPr>
        <w:t xml:space="preserve"> Materiały do uszczelnienia połączeń i krawędzi</w:t>
      </w:r>
    </w:p>
    <w:p w:rsidR="00376DA1" w:rsidRPr="00FD0AA8" w:rsidRDefault="00376DA1" w:rsidP="00376DA1">
      <w:pPr>
        <w:rPr>
          <w:rFonts w:ascii="Calibri" w:hAnsi="Calibri" w:cs="Calibri"/>
        </w:rPr>
      </w:pPr>
      <w:r w:rsidRPr="00FD0AA8">
        <w:rPr>
          <w:rFonts w:ascii="Calibri" w:hAnsi="Calibri" w:cs="Calibri"/>
        </w:rPr>
        <w:tab/>
        <w:t>Do uszczelnienia połączeń technologicznych (tj. złączy podłużnych i poprzecznych z tego samego materiału wykonywanego w różnym czasie oraz spoin stanowiących połączenia różnych materiałów lub połączenie warstwy asfaltowej z urządzeniami obcymi w nawierzchni lub ją ograniczającymi, należy stosować:</w:t>
      </w:r>
    </w:p>
    <w:p w:rsidR="00376DA1" w:rsidRPr="00FD0AA8" w:rsidRDefault="00376DA1" w:rsidP="00376DA1">
      <w:pPr>
        <w:rPr>
          <w:rFonts w:ascii="Calibri" w:hAnsi="Calibri" w:cs="Calibri"/>
        </w:rPr>
      </w:pPr>
      <w:r>
        <w:rPr>
          <w:rFonts w:ascii="Calibri" w:hAnsi="Calibri" w:cs="Calibri"/>
        </w:rPr>
        <w:t>-</w:t>
      </w:r>
      <w:r w:rsidRPr="00FD0AA8">
        <w:rPr>
          <w:rFonts w:ascii="Calibri" w:hAnsi="Calibri" w:cs="Calibri"/>
        </w:rPr>
        <w:t>materiały termoplastyczne, jak taśmy asfaltowe, pasty itp. według norm lub aprobat technicznych,</w:t>
      </w:r>
    </w:p>
    <w:p w:rsidR="00376DA1" w:rsidRPr="00FD0AA8" w:rsidRDefault="00376DA1" w:rsidP="00376DA1">
      <w:pPr>
        <w:rPr>
          <w:rFonts w:ascii="Calibri" w:hAnsi="Calibri" w:cs="Calibri"/>
        </w:rPr>
      </w:pPr>
      <w:r>
        <w:rPr>
          <w:rFonts w:ascii="Calibri" w:hAnsi="Calibri" w:cs="Calibri"/>
        </w:rPr>
        <w:t>-</w:t>
      </w:r>
      <w:r w:rsidRPr="00FD0AA8">
        <w:rPr>
          <w:rFonts w:ascii="Calibri" w:hAnsi="Calibri" w:cs="Calibri"/>
        </w:rPr>
        <w:t>emulsję asfaltową według PN-EN 13808 [58] lub inne lepiszcza według</w:t>
      </w:r>
      <w:r>
        <w:rPr>
          <w:rFonts w:ascii="Calibri" w:hAnsi="Calibri" w:cs="Calibri"/>
        </w:rPr>
        <w:t xml:space="preserve"> norm lub aprobat technicznych.</w:t>
      </w:r>
    </w:p>
    <w:p w:rsidR="00376DA1" w:rsidRPr="00FD0AA8" w:rsidRDefault="00376DA1" w:rsidP="00376DA1">
      <w:pPr>
        <w:rPr>
          <w:rFonts w:ascii="Calibri" w:hAnsi="Calibri" w:cs="Calibri"/>
        </w:rPr>
      </w:pPr>
      <w:r w:rsidRPr="00FD0AA8">
        <w:rPr>
          <w:rFonts w:ascii="Calibri" w:hAnsi="Calibri" w:cs="Calibri"/>
        </w:rPr>
        <w:t>Grubość materiału termoplastycznego do spoiny powinna wynosić:</w:t>
      </w:r>
    </w:p>
    <w:p w:rsidR="00376DA1" w:rsidRPr="00FD0AA8" w:rsidRDefault="00376DA1" w:rsidP="00376DA1">
      <w:pPr>
        <w:rPr>
          <w:rFonts w:ascii="Calibri" w:hAnsi="Calibri" w:cs="Calibri"/>
        </w:rPr>
      </w:pPr>
      <w:r>
        <w:rPr>
          <w:rFonts w:ascii="Calibri" w:hAnsi="Calibri" w:cs="Calibri"/>
        </w:rPr>
        <w:t>-</w:t>
      </w:r>
      <w:r w:rsidRPr="00FD0AA8">
        <w:rPr>
          <w:rFonts w:ascii="Calibri" w:hAnsi="Calibri" w:cs="Calibri"/>
        </w:rPr>
        <w:t xml:space="preserve">nie mniej niż </w:t>
      </w:r>
      <w:smartTag w:uri="urn:schemas-microsoft-com:office:smarttags" w:element="metricconverter">
        <w:smartTagPr>
          <w:attr w:name="ProductID" w:val="10 mm"/>
        </w:smartTagPr>
        <w:r w:rsidRPr="00FD0AA8">
          <w:rPr>
            <w:rFonts w:ascii="Calibri" w:hAnsi="Calibri" w:cs="Calibri"/>
          </w:rPr>
          <w:t>10 mm</w:t>
        </w:r>
      </w:smartTag>
      <w:r w:rsidRPr="00FD0AA8">
        <w:rPr>
          <w:rFonts w:ascii="Calibri" w:hAnsi="Calibri" w:cs="Calibri"/>
        </w:rPr>
        <w:t xml:space="preserve"> przy grubości warstwy technologicznej do </w:t>
      </w:r>
      <w:smartTag w:uri="urn:schemas-microsoft-com:office:smarttags" w:element="metricconverter">
        <w:smartTagPr>
          <w:attr w:name="ProductID" w:val="2,5 cm"/>
        </w:smartTagPr>
        <w:r w:rsidRPr="00FD0AA8">
          <w:rPr>
            <w:rFonts w:ascii="Calibri" w:hAnsi="Calibri" w:cs="Calibri"/>
          </w:rPr>
          <w:t>2,5 cm</w:t>
        </w:r>
      </w:smartTag>
      <w:r w:rsidRPr="00FD0AA8">
        <w:rPr>
          <w:rFonts w:ascii="Calibri" w:hAnsi="Calibri" w:cs="Calibri"/>
        </w:rPr>
        <w:t>,</w:t>
      </w:r>
    </w:p>
    <w:p w:rsidR="00376DA1" w:rsidRPr="00FD0AA8" w:rsidRDefault="00376DA1" w:rsidP="00376DA1">
      <w:pPr>
        <w:rPr>
          <w:rFonts w:ascii="Calibri" w:hAnsi="Calibri" w:cs="Calibri"/>
        </w:rPr>
      </w:pPr>
      <w:r>
        <w:rPr>
          <w:rFonts w:ascii="Calibri" w:hAnsi="Calibri" w:cs="Calibri"/>
        </w:rPr>
        <w:t>-</w:t>
      </w:r>
      <w:r w:rsidRPr="00FD0AA8">
        <w:rPr>
          <w:rFonts w:ascii="Calibri" w:hAnsi="Calibri" w:cs="Calibri"/>
        </w:rPr>
        <w:t xml:space="preserve">nie mniej niż </w:t>
      </w:r>
      <w:smartTag w:uri="urn:schemas-microsoft-com:office:smarttags" w:element="metricconverter">
        <w:smartTagPr>
          <w:attr w:name="ProductID" w:val="15 mm"/>
        </w:smartTagPr>
        <w:r w:rsidRPr="00FD0AA8">
          <w:rPr>
            <w:rFonts w:ascii="Calibri" w:hAnsi="Calibri" w:cs="Calibri"/>
          </w:rPr>
          <w:t>15 mm</w:t>
        </w:r>
      </w:smartTag>
      <w:r w:rsidRPr="00FD0AA8">
        <w:rPr>
          <w:rFonts w:ascii="Calibri" w:hAnsi="Calibri" w:cs="Calibri"/>
        </w:rPr>
        <w:t xml:space="preserve"> przy grubości warstwy technologicznej większej niż </w:t>
      </w:r>
      <w:smartTag w:uri="urn:schemas-microsoft-com:office:smarttags" w:element="metricconverter">
        <w:smartTagPr>
          <w:attr w:name="ProductID" w:val="2,5 cm"/>
        </w:smartTagPr>
        <w:r w:rsidRPr="00FD0AA8">
          <w:rPr>
            <w:rFonts w:ascii="Calibri" w:hAnsi="Calibri" w:cs="Calibri"/>
          </w:rPr>
          <w:t>2,5 cm</w:t>
        </w:r>
      </w:smartTag>
      <w:r w:rsidRPr="00FD0AA8">
        <w:rPr>
          <w:rFonts w:ascii="Calibri" w:hAnsi="Calibri" w:cs="Calibri"/>
        </w:rPr>
        <w:t>.</w:t>
      </w:r>
    </w:p>
    <w:p w:rsidR="00376DA1" w:rsidRPr="00FD0AA8" w:rsidRDefault="00376DA1" w:rsidP="00376DA1">
      <w:pPr>
        <w:rPr>
          <w:rFonts w:ascii="Calibri" w:hAnsi="Calibri" w:cs="Calibri"/>
        </w:rPr>
      </w:pPr>
      <w:r w:rsidRPr="00FD0AA8">
        <w:rPr>
          <w:rFonts w:ascii="Calibri" w:hAnsi="Calibri" w:cs="Calibri"/>
        </w:rPr>
        <w:t>Składowanie materiałów termoplastycznych jest dozwolone tylko w oryginalnych opakowaniach producenta, w warunkach określonych w aprobacie technicznej.</w:t>
      </w:r>
    </w:p>
    <w:p w:rsidR="00376DA1" w:rsidRPr="00FD0AA8" w:rsidRDefault="00376DA1" w:rsidP="00376DA1">
      <w:pPr>
        <w:rPr>
          <w:rFonts w:ascii="Calibri" w:hAnsi="Calibri" w:cs="Calibri"/>
        </w:rPr>
      </w:pPr>
      <w:r w:rsidRPr="00FD0AA8">
        <w:rPr>
          <w:rFonts w:ascii="Calibri" w:hAnsi="Calibri" w:cs="Calibri"/>
        </w:rPr>
        <w:t>Do uszczelnienia krawędzi należy stosować asfalt drogowy wg PN-EN 12591 [27], asfalt modyfikowany polimerami wg PN-EN 14023 [59] „metoda na gorąco”. Dopuszcza się inne rodzaje lepiszcza wg norm lub aprobat technicznych.</w:t>
      </w:r>
    </w:p>
    <w:p w:rsidR="00376DA1" w:rsidRPr="00FD0AA8" w:rsidRDefault="00376DA1" w:rsidP="00376DA1">
      <w:pPr>
        <w:rPr>
          <w:rFonts w:ascii="Calibri" w:hAnsi="Calibri" w:cs="Calibri"/>
        </w:rPr>
      </w:pPr>
      <w:r w:rsidRPr="00067D08">
        <w:rPr>
          <w:rFonts w:ascii="Calibri" w:hAnsi="Calibri" w:cs="Calibri"/>
          <w:b/>
        </w:rPr>
        <w:t>2.6.</w:t>
      </w:r>
      <w:r w:rsidRPr="00FD0AA8">
        <w:rPr>
          <w:rFonts w:ascii="Calibri" w:hAnsi="Calibri" w:cs="Calibri"/>
        </w:rPr>
        <w:t xml:space="preserve"> Materiały do złączenia warstw konstrukcji</w:t>
      </w:r>
    </w:p>
    <w:p w:rsidR="00376DA1" w:rsidRPr="00FD0AA8" w:rsidRDefault="00376DA1" w:rsidP="00376DA1">
      <w:pPr>
        <w:rPr>
          <w:rFonts w:ascii="Calibri" w:hAnsi="Calibri" w:cs="Calibri"/>
        </w:rPr>
      </w:pPr>
      <w:r w:rsidRPr="00FD0AA8">
        <w:rPr>
          <w:rFonts w:ascii="Calibri" w:hAnsi="Calibri" w:cs="Calibri"/>
        </w:rPr>
        <w:tab/>
        <w:t>Do złączania warstw konstrukcji nawierzchni  należy stosować  kationowe emulsje asfaltowe lub kationowe emulsje modyfikowane polimerami według PN-EN 13808 [58] i WT-3 Emulsje asfaltowe 2009 [66] punkt 5.1 tablica 2 i tablica 3.</w:t>
      </w:r>
    </w:p>
    <w:p w:rsidR="00376DA1" w:rsidRDefault="00376DA1" w:rsidP="00376DA1">
      <w:pPr>
        <w:rPr>
          <w:rFonts w:ascii="Calibri" w:hAnsi="Calibri" w:cs="Calibri"/>
        </w:rPr>
      </w:pPr>
      <w:r w:rsidRPr="00FD0AA8">
        <w:rPr>
          <w:rFonts w:ascii="Calibri" w:hAnsi="Calibri" w:cs="Calibri"/>
        </w:rPr>
        <w:tab/>
        <w:t xml:space="preserve">Emulsję asfaltową można składować w opakowaniach transportowych lub w stacjonarnych zbiornikach pionowych z nalewaniem od dna. Nie należy nalewać emulsji do opakowań i zbiorników zanieczyszczonych materiałami mineralnymi. </w:t>
      </w:r>
    </w:p>
    <w:p w:rsidR="00376DA1" w:rsidRPr="00FD0AA8" w:rsidRDefault="00376DA1" w:rsidP="00376DA1">
      <w:pPr>
        <w:rPr>
          <w:rFonts w:ascii="Calibri" w:hAnsi="Calibri" w:cs="Calibri"/>
        </w:rPr>
      </w:pPr>
    </w:p>
    <w:p w:rsidR="00376DA1" w:rsidRPr="00067D08" w:rsidRDefault="00376DA1" w:rsidP="00376DA1">
      <w:pPr>
        <w:rPr>
          <w:rFonts w:ascii="Calibri" w:hAnsi="Calibri" w:cs="Calibri"/>
          <w:b/>
        </w:rPr>
      </w:pPr>
      <w:bookmarkStart w:id="1446" w:name="_Toc238276190"/>
      <w:r w:rsidRPr="00067D08">
        <w:rPr>
          <w:rFonts w:ascii="Calibri" w:hAnsi="Calibri" w:cs="Calibri"/>
          <w:b/>
        </w:rPr>
        <w:t>3.</w:t>
      </w:r>
      <w:bookmarkEnd w:id="1446"/>
      <w:r w:rsidRPr="00067D08">
        <w:rPr>
          <w:rFonts w:ascii="Calibri" w:hAnsi="Calibri" w:cs="Calibri"/>
          <w:b/>
        </w:rPr>
        <w:t xml:space="preserve"> SPRZĘT</w:t>
      </w:r>
    </w:p>
    <w:p w:rsidR="00376DA1" w:rsidRPr="00FD0AA8" w:rsidRDefault="00376DA1" w:rsidP="00376DA1">
      <w:pPr>
        <w:rPr>
          <w:rFonts w:ascii="Calibri" w:hAnsi="Calibri" w:cs="Calibri"/>
        </w:rPr>
      </w:pPr>
      <w:r w:rsidRPr="00067D08">
        <w:rPr>
          <w:rFonts w:ascii="Calibri" w:hAnsi="Calibri" w:cs="Calibri"/>
          <w:b/>
        </w:rPr>
        <w:t>3.1.</w:t>
      </w:r>
      <w:r w:rsidRPr="00FD0AA8">
        <w:rPr>
          <w:rFonts w:ascii="Calibri" w:hAnsi="Calibri" w:cs="Calibri"/>
        </w:rPr>
        <w:t xml:space="preserve"> Ogólne wymagania dotyczące sprzętu</w:t>
      </w:r>
    </w:p>
    <w:p w:rsidR="00376DA1" w:rsidRPr="00FD0AA8" w:rsidRDefault="00376DA1" w:rsidP="00376DA1">
      <w:pPr>
        <w:rPr>
          <w:rFonts w:ascii="Calibri" w:hAnsi="Calibri" w:cs="Calibri"/>
        </w:rPr>
      </w:pPr>
      <w:r w:rsidRPr="00FD0AA8">
        <w:rPr>
          <w:rFonts w:ascii="Calibri" w:hAnsi="Calibri" w:cs="Calibri"/>
        </w:rPr>
        <w:tab/>
        <w:t>Ogólne wymaga</w:t>
      </w:r>
      <w:r>
        <w:rPr>
          <w:rFonts w:ascii="Calibri" w:hAnsi="Calibri" w:cs="Calibri"/>
        </w:rPr>
        <w:t xml:space="preserve">nia dotyczące sprzętu podano w </w:t>
      </w:r>
      <w:r w:rsidRPr="00FD0AA8">
        <w:rPr>
          <w:rFonts w:ascii="Calibri" w:hAnsi="Calibri" w:cs="Calibri"/>
        </w:rPr>
        <w:t>ST  D-M-00.00.00 „Wymagania ogólne” [1] pkt 3.</w:t>
      </w:r>
    </w:p>
    <w:p w:rsidR="00376DA1" w:rsidRPr="00FD0AA8" w:rsidRDefault="00376DA1" w:rsidP="00376DA1">
      <w:pPr>
        <w:rPr>
          <w:rFonts w:ascii="Calibri" w:hAnsi="Calibri" w:cs="Calibri"/>
        </w:rPr>
      </w:pPr>
      <w:r w:rsidRPr="00067D08">
        <w:rPr>
          <w:rFonts w:ascii="Calibri" w:hAnsi="Calibri" w:cs="Calibri"/>
          <w:b/>
        </w:rPr>
        <w:t>3.2.</w:t>
      </w:r>
      <w:r w:rsidRPr="00FD0AA8">
        <w:rPr>
          <w:rFonts w:ascii="Calibri" w:hAnsi="Calibri" w:cs="Calibri"/>
        </w:rPr>
        <w:t xml:space="preserve"> Sprzęt stosowany do wykonania robót</w:t>
      </w:r>
    </w:p>
    <w:p w:rsidR="00376DA1" w:rsidRPr="00FD0AA8" w:rsidRDefault="00376DA1" w:rsidP="00376DA1">
      <w:pPr>
        <w:rPr>
          <w:rFonts w:ascii="Calibri" w:hAnsi="Calibri" w:cs="Calibri"/>
        </w:rPr>
      </w:pPr>
      <w:r w:rsidRPr="00FD0AA8">
        <w:rPr>
          <w:rFonts w:ascii="Calibri" w:hAnsi="Calibri" w:cs="Calibri"/>
        </w:rPr>
        <w:tab/>
        <w:t>Przy wykonywaniu robót Wykonawca w zależności od potrzeb, powinien wykazać się możliwością korzystania ze sprzętu dostosowanego do przyjętej metody robót, jak:</w:t>
      </w:r>
    </w:p>
    <w:p w:rsidR="00376DA1" w:rsidRPr="00FD0AA8" w:rsidRDefault="00376DA1" w:rsidP="00376DA1">
      <w:pPr>
        <w:rPr>
          <w:rFonts w:ascii="Calibri" w:hAnsi="Calibri" w:cs="Calibri"/>
        </w:rPr>
      </w:pPr>
      <w:r>
        <w:rPr>
          <w:rFonts w:ascii="Calibri" w:hAnsi="Calibri" w:cs="Calibri"/>
        </w:rPr>
        <w:t>-</w:t>
      </w:r>
      <w:r w:rsidRPr="00FD0AA8">
        <w:rPr>
          <w:rFonts w:ascii="Calibri" w:hAnsi="Calibri" w:cs="Calibri"/>
        </w:rPr>
        <w:t xml:space="preserve">wytwórnia (otaczarka) o mieszaniu cyklicznym lub ciągłym, z automatycznym komputerowym sterowaniem produkcji, do wytwarzania mieszanek mineralno-asfaltowych, </w:t>
      </w:r>
    </w:p>
    <w:p w:rsidR="00376DA1" w:rsidRPr="00FD0AA8" w:rsidRDefault="00376DA1" w:rsidP="00376DA1">
      <w:pPr>
        <w:rPr>
          <w:rFonts w:ascii="Calibri" w:hAnsi="Calibri" w:cs="Calibri"/>
        </w:rPr>
      </w:pPr>
      <w:r>
        <w:rPr>
          <w:rFonts w:ascii="Calibri" w:hAnsi="Calibri" w:cs="Calibri"/>
        </w:rPr>
        <w:t>-</w:t>
      </w:r>
      <w:r w:rsidRPr="00FD0AA8">
        <w:rPr>
          <w:rFonts w:ascii="Calibri" w:hAnsi="Calibri" w:cs="Calibri"/>
        </w:rPr>
        <w:t>układarka gąsienicowa, z elektronicznym sterowaniem równości układanej warstwy,</w:t>
      </w:r>
    </w:p>
    <w:p w:rsidR="00376DA1" w:rsidRPr="00FD0AA8" w:rsidRDefault="00376DA1" w:rsidP="00376DA1">
      <w:pPr>
        <w:rPr>
          <w:rFonts w:ascii="Calibri" w:hAnsi="Calibri" w:cs="Calibri"/>
        </w:rPr>
      </w:pPr>
      <w:r>
        <w:rPr>
          <w:rFonts w:ascii="Calibri" w:hAnsi="Calibri" w:cs="Calibri"/>
        </w:rPr>
        <w:t>-</w:t>
      </w:r>
      <w:r w:rsidRPr="00FD0AA8">
        <w:rPr>
          <w:rFonts w:ascii="Calibri" w:hAnsi="Calibri" w:cs="Calibri"/>
        </w:rPr>
        <w:t>skrapiarka,</w:t>
      </w:r>
    </w:p>
    <w:p w:rsidR="00376DA1" w:rsidRPr="00FD0AA8" w:rsidRDefault="00376DA1" w:rsidP="00376DA1">
      <w:pPr>
        <w:rPr>
          <w:rFonts w:ascii="Calibri" w:hAnsi="Calibri" w:cs="Calibri"/>
        </w:rPr>
      </w:pPr>
      <w:r>
        <w:rPr>
          <w:rFonts w:ascii="Calibri" w:hAnsi="Calibri" w:cs="Calibri"/>
        </w:rPr>
        <w:lastRenderedPageBreak/>
        <w:t>-</w:t>
      </w:r>
      <w:r w:rsidRPr="00FD0AA8">
        <w:rPr>
          <w:rFonts w:ascii="Calibri" w:hAnsi="Calibri" w:cs="Calibri"/>
        </w:rPr>
        <w:t xml:space="preserve">walce stalowe gładkie, </w:t>
      </w:r>
    </w:p>
    <w:p w:rsidR="00376DA1" w:rsidRPr="00FD0AA8" w:rsidRDefault="00376DA1" w:rsidP="00376DA1">
      <w:pPr>
        <w:rPr>
          <w:rFonts w:ascii="Calibri" w:hAnsi="Calibri" w:cs="Calibri"/>
        </w:rPr>
      </w:pPr>
      <w:r>
        <w:rPr>
          <w:rFonts w:ascii="Calibri" w:hAnsi="Calibri" w:cs="Calibri"/>
        </w:rPr>
        <w:t>-</w:t>
      </w:r>
      <w:r w:rsidRPr="00FD0AA8">
        <w:rPr>
          <w:rFonts w:ascii="Calibri" w:hAnsi="Calibri" w:cs="Calibri"/>
        </w:rPr>
        <w:t>walce ogumione</w:t>
      </w:r>
    </w:p>
    <w:p w:rsidR="00376DA1" w:rsidRPr="00FD0AA8" w:rsidRDefault="00376DA1" w:rsidP="00376DA1">
      <w:pPr>
        <w:rPr>
          <w:rFonts w:ascii="Calibri" w:hAnsi="Calibri" w:cs="Calibri"/>
        </w:rPr>
      </w:pPr>
      <w:r>
        <w:rPr>
          <w:rFonts w:ascii="Calibri" w:hAnsi="Calibri" w:cs="Calibri"/>
        </w:rPr>
        <w:t>-</w:t>
      </w:r>
      <w:r w:rsidRPr="00FD0AA8">
        <w:rPr>
          <w:rFonts w:ascii="Calibri" w:hAnsi="Calibri" w:cs="Calibri"/>
        </w:rPr>
        <w:t>szczotki mechaniczne i/lub inne urządzenia czyszczące,</w:t>
      </w:r>
    </w:p>
    <w:p w:rsidR="00376DA1" w:rsidRPr="00FD0AA8" w:rsidRDefault="00376DA1" w:rsidP="00376DA1">
      <w:pPr>
        <w:rPr>
          <w:rFonts w:ascii="Calibri" w:hAnsi="Calibri" w:cs="Calibri"/>
        </w:rPr>
      </w:pPr>
      <w:r>
        <w:rPr>
          <w:rFonts w:ascii="Calibri" w:hAnsi="Calibri" w:cs="Calibri"/>
        </w:rPr>
        <w:t>-</w:t>
      </w:r>
      <w:r w:rsidRPr="00FD0AA8">
        <w:rPr>
          <w:rFonts w:ascii="Calibri" w:hAnsi="Calibri" w:cs="Calibri"/>
        </w:rPr>
        <w:t>samochody samowyładowcze z przykryciem brezentowym lub termosami,</w:t>
      </w:r>
    </w:p>
    <w:p w:rsidR="00376DA1" w:rsidRDefault="00376DA1" w:rsidP="00376DA1">
      <w:pPr>
        <w:rPr>
          <w:rFonts w:ascii="Calibri" w:hAnsi="Calibri" w:cs="Calibri"/>
        </w:rPr>
      </w:pPr>
      <w:r>
        <w:rPr>
          <w:rFonts w:ascii="Calibri" w:hAnsi="Calibri" w:cs="Calibri"/>
        </w:rPr>
        <w:t>-</w:t>
      </w:r>
      <w:r w:rsidRPr="00FD0AA8">
        <w:rPr>
          <w:rFonts w:ascii="Calibri" w:hAnsi="Calibri" w:cs="Calibri"/>
        </w:rPr>
        <w:t>sprzęt drobny.</w:t>
      </w:r>
    </w:p>
    <w:p w:rsidR="00376DA1" w:rsidRPr="00FD0AA8" w:rsidRDefault="00376DA1" w:rsidP="00376DA1">
      <w:pPr>
        <w:rPr>
          <w:rFonts w:ascii="Calibri" w:hAnsi="Calibri" w:cs="Calibri"/>
        </w:rPr>
      </w:pPr>
    </w:p>
    <w:p w:rsidR="00376DA1" w:rsidRPr="00067D08" w:rsidRDefault="00376DA1" w:rsidP="00376DA1">
      <w:pPr>
        <w:rPr>
          <w:rFonts w:ascii="Calibri" w:hAnsi="Calibri" w:cs="Calibri"/>
          <w:b/>
        </w:rPr>
      </w:pPr>
      <w:bookmarkStart w:id="1447" w:name="_Toc238276191"/>
      <w:r w:rsidRPr="00067D08">
        <w:rPr>
          <w:rFonts w:ascii="Calibri" w:hAnsi="Calibri" w:cs="Calibri"/>
          <w:b/>
        </w:rPr>
        <w:t>4. TRANSPORT</w:t>
      </w:r>
      <w:bookmarkEnd w:id="1447"/>
    </w:p>
    <w:p w:rsidR="00376DA1" w:rsidRPr="00FD0AA8" w:rsidRDefault="00376DA1" w:rsidP="00376DA1">
      <w:pPr>
        <w:rPr>
          <w:rFonts w:ascii="Calibri" w:hAnsi="Calibri" w:cs="Calibri"/>
        </w:rPr>
      </w:pPr>
      <w:r w:rsidRPr="00067D08">
        <w:rPr>
          <w:rFonts w:ascii="Calibri" w:hAnsi="Calibri" w:cs="Calibri"/>
          <w:b/>
        </w:rPr>
        <w:t>4.1.</w:t>
      </w:r>
      <w:r w:rsidRPr="00FD0AA8">
        <w:rPr>
          <w:rFonts w:ascii="Calibri" w:hAnsi="Calibri" w:cs="Calibri"/>
        </w:rPr>
        <w:t xml:space="preserve"> Ogólne wymagania dotyczące transportu</w:t>
      </w:r>
    </w:p>
    <w:p w:rsidR="00376DA1" w:rsidRPr="00FD0AA8" w:rsidRDefault="00376DA1" w:rsidP="00376DA1">
      <w:pPr>
        <w:rPr>
          <w:rFonts w:ascii="Calibri" w:hAnsi="Calibri" w:cs="Calibri"/>
        </w:rPr>
      </w:pPr>
      <w:r w:rsidRPr="00FD0AA8">
        <w:rPr>
          <w:rFonts w:ascii="Calibri" w:hAnsi="Calibri" w:cs="Calibri"/>
        </w:rPr>
        <w:tab/>
        <w:t>Ogólne wymagania</w:t>
      </w:r>
      <w:r>
        <w:rPr>
          <w:rFonts w:ascii="Calibri" w:hAnsi="Calibri" w:cs="Calibri"/>
        </w:rPr>
        <w:t xml:space="preserve"> dotyczące transportu podano w </w:t>
      </w:r>
      <w:r w:rsidRPr="00FD0AA8">
        <w:rPr>
          <w:rFonts w:ascii="Calibri" w:hAnsi="Calibri" w:cs="Calibri"/>
        </w:rPr>
        <w:t>ST D-M-00.00.00 „Wymagania ogólne” [1] pkt 4.</w:t>
      </w:r>
      <w:r w:rsidRPr="00FD0AA8">
        <w:rPr>
          <w:rFonts w:ascii="Calibri" w:hAnsi="Calibri" w:cs="Calibri"/>
        </w:rPr>
        <w:tab/>
      </w:r>
    </w:p>
    <w:p w:rsidR="00376DA1" w:rsidRPr="00FD0AA8" w:rsidRDefault="00376DA1" w:rsidP="00376DA1">
      <w:pPr>
        <w:rPr>
          <w:rFonts w:ascii="Calibri" w:hAnsi="Calibri" w:cs="Calibri"/>
        </w:rPr>
      </w:pPr>
      <w:r w:rsidRPr="00067D08">
        <w:rPr>
          <w:rFonts w:ascii="Calibri" w:hAnsi="Calibri" w:cs="Calibri"/>
          <w:b/>
        </w:rPr>
        <w:t>4.2.</w:t>
      </w:r>
      <w:r w:rsidRPr="00FD0AA8">
        <w:rPr>
          <w:rFonts w:ascii="Calibri" w:hAnsi="Calibri" w:cs="Calibri"/>
        </w:rPr>
        <w:t xml:space="preserve"> Transport materiałów </w:t>
      </w:r>
    </w:p>
    <w:p w:rsidR="00376DA1" w:rsidRPr="00FD0AA8" w:rsidRDefault="00376DA1" w:rsidP="00376DA1">
      <w:pPr>
        <w:rPr>
          <w:rFonts w:ascii="Calibri" w:hAnsi="Calibri" w:cs="Calibri"/>
        </w:rPr>
      </w:pPr>
      <w:r w:rsidRPr="00FD0AA8">
        <w:rPr>
          <w:rFonts w:ascii="Calibri" w:hAnsi="Calibri" w:cs="Calibri"/>
        </w:rPr>
        <w:tab/>
        <w:t>Asfalt i polimeroasfalt należy przewozić w cysternach kolejowych lub samochodach izolowanych i zaopatrzonych w urządzenia umożliwiające pośrednie ogrzewanie oraz w zawory spustowe.</w:t>
      </w:r>
    </w:p>
    <w:p w:rsidR="00376DA1" w:rsidRPr="00FD0AA8" w:rsidRDefault="00376DA1" w:rsidP="00376DA1">
      <w:pPr>
        <w:rPr>
          <w:rFonts w:ascii="Calibri" w:hAnsi="Calibri" w:cs="Calibri"/>
        </w:rPr>
      </w:pPr>
      <w:r w:rsidRPr="00FD0AA8">
        <w:rPr>
          <w:rFonts w:ascii="Calibri" w:hAnsi="Calibri" w:cs="Calibri"/>
        </w:rPr>
        <w:t>Kruszywa można przewozić dowolnymi środkami transportu, w warunkach zabezpieczających je przed zanieczyszczeniem, zmieszaniem z innymi materiałami i nadmiernym zawilgoceniem.</w:t>
      </w:r>
    </w:p>
    <w:p w:rsidR="00376DA1" w:rsidRPr="00FD0AA8" w:rsidRDefault="00376DA1" w:rsidP="00376DA1">
      <w:pPr>
        <w:rPr>
          <w:rFonts w:ascii="Calibri" w:hAnsi="Calibri" w:cs="Calibri"/>
        </w:rPr>
      </w:pPr>
      <w:r w:rsidRPr="00FD0AA8">
        <w:rPr>
          <w:rFonts w:ascii="Calibri" w:hAnsi="Calibri" w:cs="Calibri"/>
        </w:rPr>
        <w:t>Wypełniacz należy przewozić w sposób chroniący go przed zawilgoceniem, zbryleniem i zanieczyszczeniem. Wypełniacz luzem powinien być przewożony w odpowiednich cysternach przystosowanych do przewozu materiałów sypkich, umożliwiających rozładunek pneumatyczny.</w:t>
      </w:r>
    </w:p>
    <w:p w:rsidR="00376DA1" w:rsidRPr="00FD0AA8" w:rsidRDefault="00376DA1" w:rsidP="00376DA1">
      <w:pPr>
        <w:rPr>
          <w:rFonts w:ascii="Calibri" w:hAnsi="Calibri" w:cs="Calibri"/>
        </w:rPr>
      </w:pPr>
      <w:r w:rsidRPr="00FD0AA8">
        <w:rPr>
          <w:rFonts w:ascii="Calibri" w:hAnsi="Calibri" w:cs="Calibri"/>
        </w:rPr>
        <w:t>Emulsja asfaltowa może być transportowana w zamkniętych cysternach, autocysternach, beczkach i innych opakowaniach pod warunkiem, że nie będą korodowały pod wpływem emulsji i nie będą powodowały jej rozpadu. Cysterny powinny być wyposażone w przegrody. Nie należy używać do transportu opakowań z metali lekkich (może zachodzić wydzielanie wodoru i groźba wybuchu przy emulsjach o pH ≤ 4).</w:t>
      </w:r>
    </w:p>
    <w:p w:rsidR="00376DA1" w:rsidRDefault="00376DA1" w:rsidP="00376DA1">
      <w:pPr>
        <w:rPr>
          <w:rFonts w:ascii="Calibri" w:hAnsi="Calibri" w:cs="Calibri"/>
        </w:rPr>
      </w:pPr>
      <w:r w:rsidRPr="00FD0AA8">
        <w:rPr>
          <w:rFonts w:ascii="Calibri" w:hAnsi="Calibri" w:cs="Calibri"/>
        </w:rPr>
        <w:t>Mieszankę mineralno-asfaltową należy  dowozić na budowę pojazdami samowyładowczymi w zależności od postępu robót. Podczas transportu i postoju przed wbudowaniem mieszanka powinna być zabezpieczona przed ostygnięciem i dopływem powietrza (przez przykrycie, pojemniki termoizolacyjne lub ogrzewane itp.). Warunki i czas transportu mieszanki, od produkcji do wbudowania, powinna zapewniać utrzymanie temperatury w wymaganym przedziale. Powierzchnie pojemników używanych do transportu mieszanki powinny być czyste, a do zwilżania tych powierzchni można używać tylko środki antyadhezyjne niewpływające szkodliwie na mieszankę.</w:t>
      </w:r>
    </w:p>
    <w:p w:rsidR="00376DA1" w:rsidRPr="00FD0AA8" w:rsidRDefault="00376DA1" w:rsidP="00376DA1">
      <w:pPr>
        <w:rPr>
          <w:rFonts w:ascii="Calibri" w:hAnsi="Calibri" w:cs="Calibri"/>
        </w:rPr>
      </w:pPr>
    </w:p>
    <w:p w:rsidR="00376DA1" w:rsidRPr="00067D08" w:rsidRDefault="00376DA1" w:rsidP="00376DA1">
      <w:pPr>
        <w:rPr>
          <w:rFonts w:ascii="Calibri" w:hAnsi="Calibri" w:cs="Calibri"/>
          <w:b/>
        </w:rPr>
      </w:pPr>
      <w:bookmarkStart w:id="1448" w:name="_Toc238276192"/>
      <w:r w:rsidRPr="00067D08">
        <w:rPr>
          <w:rFonts w:ascii="Calibri" w:hAnsi="Calibri" w:cs="Calibri"/>
          <w:b/>
        </w:rPr>
        <w:t xml:space="preserve">5. </w:t>
      </w:r>
      <w:bookmarkEnd w:id="1448"/>
      <w:r w:rsidRPr="00067D08">
        <w:rPr>
          <w:rFonts w:ascii="Calibri" w:hAnsi="Calibri" w:cs="Calibri"/>
          <w:b/>
        </w:rPr>
        <w:t>WYKONANIE ROBÓT</w:t>
      </w:r>
    </w:p>
    <w:p w:rsidR="00376DA1" w:rsidRPr="00FD0AA8" w:rsidRDefault="00376DA1" w:rsidP="00376DA1">
      <w:pPr>
        <w:rPr>
          <w:rFonts w:ascii="Calibri" w:hAnsi="Calibri" w:cs="Calibri"/>
        </w:rPr>
      </w:pPr>
      <w:r w:rsidRPr="00067D08">
        <w:rPr>
          <w:rFonts w:ascii="Calibri" w:hAnsi="Calibri" w:cs="Calibri"/>
          <w:b/>
        </w:rPr>
        <w:t>5.1.</w:t>
      </w:r>
      <w:r w:rsidRPr="00FD0AA8">
        <w:rPr>
          <w:rFonts w:ascii="Calibri" w:hAnsi="Calibri" w:cs="Calibri"/>
        </w:rPr>
        <w:t xml:space="preserve"> Ogólne zasady wykonania robót</w:t>
      </w:r>
    </w:p>
    <w:p w:rsidR="00376DA1" w:rsidRPr="00FD0AA8" w:rsidRDefault="00376DA1" w:rsidP="00376DA1">
      <w:pPr>
        <w:rPr>
          <w:rFonts w:ascii="Calibri" w:hAnsi="Calibri" w:cs="Calibri"/>
        </w:rPr>
      </w:pPr>
      <w:r w:rsidRPr="00FD0AA8">
        <w:rPr>
          <w:rFonts w:ascii="Calibri" w:hAnsi="Calibri" w:cs="Calibri"/>
        </w:rPr>
        <w:tab/>
        <w:t>Ogólne z</w:t>
      </w:r>
      <w:r>
        <w:rPr>
          <w:rFonts w:ascii="Calibri" w:hAnsi="Calibri" w:cs="Calibri"/>
        </w:rPr>
        <w:t xml:space="preserve">asady wykonania robót podano w </w:t>
      </w:r>
      <w:r w:rsidRPr="00FD0AA8">
        <w:rPr>
          <w:rFonts w:ascii="Calibri" w:hAnsi="Calibri" w:cs="Calibri"/>
        </w:rPr>
        <w:t>ST D-M-00.00.00 „Wymagania ogólne” [1] pkt 5.</w:t>
      </w:r>
    </w:p>
    <w:p w:rsidR="00376DA1" w:rsidRPr="00FD0AA8" w:rsidRDefault="00376DA1" w:rsidP="00376DA1">
      <w:pPr>
        <w:rPr>
          <w:rFonts w:ascii="Calibri" w:hAnsi="Calibri" w:cs="Calibri"/>
        </w:rPr>
      </w:pPr>
      <w:r w:rsidRPr="00067D08">
        <w:rPr>
          <w:rFonts w:ascii="Calibri" w:hAnsi="Calibri" w:cs="Calibri"/>
          <w:b/>
        </w:rPr>
        <w:t>5.2.</w:t>
      </w:r>
      <w:r w:rsidRPr="00FD0AA8">
        <w:rPr>
          <w:rFonts w:ascii="Calibri" w:hAnsi="Calibri" w:cs="Calibri"/>
        </w:rPr>
        <w:t xml:space="preserve"> Projektowanie mieszanki mineralno-asfaltowej</w:t>
      </w:r>
    </w:p>
    <w:p w:rsidR="00376DA1" w:rsidRPr="00FD0AA8" w:rsidRDefault="00376DA1" w:rsidP="00376DA1">
      <w:pPr>
        <w:rPr>
          <w:rFonts w:ascii="Calibri" w:hAnsi="Calibri" w:cs="Calibri"/>
        </w:rPr>
      </w:pPr>
      <w:r w:rsidRPr="00FD0AA8">
        <w:rPr>
          <w:rFonts w:ascii="Calibri" w:hAnsi="Calibri" w:cs="Calibri"/>
        </w:rPr>
        <w:tab/>
        <w:t>Przed przystąpieniem do robót Wykonawca dostarczy Inżynierowi do akceptacji projekt składu mieszanki mineralno-asfaltowej (AC16P, AC22P, AC32P).</w:t>
      </w:r>
    </w:p>
    <w:p w:rsidR="00376DA1" w:rsidRPr="00FD0AA8" w:rsidRDefault="00376DA1" w:rsidP="00376DA1">
      <w:pPr>
        <w:rPr>
          <w:rFonts w:ascii="Calibri" w:hAnsi="Calibri" w:cs="Calibri"/>
        </w:rPr>
      </w:pPr>
      <w:r w:rsidRPr="00FD0AA8">
        <w:rPr>
          <w:rFonts w:ascii="Calibri" w:hAnsi="Calibri" w:cs="Calibri"/>
        </w:rPr>
        <w:tab/>
        <w:t>Uziarnienie mieszanki mineralnej oraz minimalna zawartość lepiszcza podane są w tablicy 6.</w:t>
      </w:r>
    </w:p>
    <w:p w:rsidR="00376DA1" w:rsidRDefault="00376DA1" w:rsidP="00376DA1">
      <w:pPr>
        <w:rPr>
          <w:rFonts w:ascii="Calibri" w:hAnsi="Calibri" w:cs="Calibri"/>
        </w:rPr>
      </w:pPr>
      <w:r w:rsidRPr="00FD0AA8">
        <w:rPr>
          <w:rFonts w:ascii="Calibri" w:hAnsi="Calibri" w:cs="Calibri"/>
        </w:rPr>
        <w:tab/>
        <w:t xml:space="preserve">Wymagane właściwości mieszanki mineralno-asfaltowej podane są w tablicach 7, 8, 9. </w:t>
      </w:r>
    </w:p>
    <w:p w:rsidR="00376DA1" w:rsidRPr="00FD0AA8" w:rsidRDefault="00376DA1" w:rsidP="00376DA1">
      <w:pPr>
        <w:rPr>
          <w:rFonts w:ascii="Calibri" w:hAnsi="Calibri" w:cs="Calibri"/>
        </w:rPr>
      </w:pPr>
    </w:p>
    <w:p w:rsidR="00376DA1" w:rsidRPr="00FD0AA8" w:rsidRDefault="00376DA1" w:rsidP="00376DA1">
      <w:pPr>
        <w:ind w:left="709"/>
        <w:rPr>
          <w:rFonts w:ascii="Calibri" w:hAnsi="Calibri" w:cs="Calibri"/>
        </w:rPr>
      </w:pPr>
      <w:r>
        <w:rPr>
          <w:rFonts w:ascii="Calibri" w:hAnsi="Calibri" w:cs="Calibri"/>
        </w:rPr>
        <w:t xml:space="preserve">Tablica 6. </w:t>
      </w:r>
      <w:r w:rsidRPr="00FD0AA8">
        <w:rPr>
          <w:rFonts w:ascii="Calibri" w:hAnsi="Calibri" w:cs="Calibri"/>
        </w:rPr>
        <w:t>Uziarnienie mieszanki mineralnej oraz zawartość lepiszcza do betonu asfaltowego do warstwy podbudowy dla ruchu KR1÷KR6 [65]</w:t>
      </w:r>
    </w:p>
    <w:tbl>
      <w:tblPr>
        <w:tblW w:w="0" w:type="auto"/>
        <w:tblInd w:w="81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tblPr>
      <w:tblGrid>
        <w:gridCol w:w="1900"/>
        <w:gridCol w:w="600"/>
        <w:gridCol w:w="700"/>
        <w:gridCol w:w="600"/>
        <w:gridCol w:w="700"/>
        <w:gridCol w:w="600"/>
        <w:gridCol w:w="700"/>
        <w:gridCol w:w="600"/>
        <w:gridCol w:w="700"/>
        <w:gridCol w:w="600"/>
        <w:gridCol w:w="603"/>
      </w:tblGrid>
      <w:tr w:rsidR="00376DA1" w:rsidTr="00556540">
        <w:tc>
          <w:tcPr>
            <w:tcW w:w="1900" w:type="dxa"/>
            <w:tcBorders>
              <w:bottom w:val="nil"/>
            </w:tcBorders>
          </w:tcPr>
          <w:p w:rsidR="00376DA1" w:rsidRPr="009F750B" w:rsidRDefault="00376DA1" w:rsidP="00556540">
            <w:pPr>
              <w:jc w:val="center"/>
              <w:rPr>
                <w:rFonts w:ascii="Calibri" w:hAnsi="Calibri" w:cs="Calibri"/>
              </w:rPr>
            </w:pPr>
          </w:p>
        </w:tc>
        <w:tc>
          <w:tcPr>
            <w:tcW w:w="6403" w:type="dxa"/>
            <w:gridSpan w:val="10"/>
          </w:tcPr>
          <w:p w:rsidR="00376DA1" w:rsidRPr="009F750B" w:rsidRDefault="00376DA1" w:rsidP="00556540">
            <w:pPr>
              <w:overflowPunct/>
              <w:autoSpaceDE/>
              <w:autoSpaceDN/>
              <w:adjustRightInd/>
              <w:jc w:val="center"/>
              <w:textAlignment w:val="auto"/>
              <w:rPr>
                <w:rFonts w:ascii="Calibri" w:hAnsi="Calibri" w:cs="Calibri"/>
              </w:rPr>
            </w:pPr>
            <w:r w:rsidRPr="009F750B">
              <w:rPr>
                <w:rFonts w:ascii="Calibri" w:hAnsi="Calibri" w:cs="Calibri"/>
              </w:rPr>
              <w:t>Przesiew,   [% (m/m)]</w:t>
            </w:r>
          </w:p>
        </w:tc>
      </w:tr>
      <w:tr w:rsidR="00376DA1" w:rsidTr="00556540">
        <w:tc>
          <w:tcPr>
            <w:tcW w:w="1900" w:type="dxa"/>
            <w:tcBorders>
              <w:top w:val="nil"/>
            </w:tcBorders>
          </w:tcPr>
          <w:p w:rsidR="00376DA1" w:rsidRPr="009F750B" w:rsidRDefault="00376DA1" w:rsidP="00556540">
            <w:pPr>
              <w:jc w:val="center"/>
              <w:rPr>
                <w:rFonts w:ascii="Calibri" w:hAnsi="Calibri" w:cs="Calibri"/>
              </w:rPr>
            </w:pPr>
            <w:r w:rsidRPr="009F750B">
              <w:rPr>
                <w:rFonts w:ascii="Calibri" w:hAnsi="Calibri" w:cs="Calibri"/>
              </w:rPr>
              <w:t>Właściwość</w:t>
            </w:r>
          </w:p>
        </w:tc>
        <w:tc>
          <w:tcPr>
            <w:tcW w:w="1300" w:type="dxa"/>
            <w:gridSpan w:val="2"/>
          </w:tcPr>
          <w:p w:rsidR="00376DA1" w:rsidRPr="009F750B" w:rsidRDefault="00376DA1" w:rsidP="00556540">
            <w:pPr>
              <w:jc w:val="center"/>
              <w:rPr>
                <w:rFonts w:ascii="Calibri" w:hAnsi="Calibri" w:cs="Calibri"/>
              </w:rPr>
            </w:pPr>
            <w:r w:rsidRPr="009F750B">
              <w:rPr>
                <w:rFonts w:ascii="Calibri" w:hAnsi="Calibri" w:cs="Calibri"/>
              </w:rPr>
              <w:t>AC16P</w:t>
            </w:r>
          </w:p>
          <w:p w:rsidR="00376DA1" w:rsidRPr="009F750B" w:rsidRDefault="00376DA1" w:rsidP="00556540">
            <w:pPr>
              <w:jc w:val="center"/>
              <w:rPr>
                <w:rFonts w:ascii="Calibri" w:hAnsi="Calibri" w:cs="Calibri"/>
              </w:rPr>
            </w:pPr>
            <w:r w:rsidRPr="009F750B">
              <w:rPr>
                <w:rFonts w:ascii="Calibri" w:hAnsi="Calibri" w:cs="Calibri"/>
              </w:rPr>
              <w:t>KR1-KR2</w:t>
            </w:r>
          </w:p>
        </w:tc>
        <w:tc>
          <w:tcPr>
            <w:tcW w:w="1300" w:type="dxa"/>
            <w:gridSpan w:val="2"/>
          </w:tcPr>
          <w:p w:rsidR="00376DA1" w:rsidRPr="009F750B" w:rsidRDefault="00376DA1" w:rsidP="00556540">
            <w:pPr>
              <w:overflowPunct/>
              <w:autoSpaceDE/>
              <w:autoSpaceDN/>
              <w:adjustRightInd/>
              <w:jc w:val="center"/>
              <w:textAlignment w:val="auto"/>
              <w:rPr>
                <w:rFonts w:ascii="Calibri" w:hAnsi="Calibri" w:cs="Calibri"/>
              </w:rPr>
            </w:pPr>
            <w:r w:rsidRPr="009F750B">
              <w:rPr>
                <w:rFonts w:ascii="Calibri" w:hAnsi="Calibri" w:cs="Calibri"/>
              </w:rPr>
              <w:t>AC22P</w:t>
            </w:r>
          </w:p>
          <w:p w:rsidR="00376DA1" w:rsidRPr="009F750B" w:rsidRDefault="00376DA1" w:rsidP="00556540">
            <w:pPr>
              <w:jc w:val="center"/>
              <w:rPr>
                <w:rFonts w:ascii="Calibri" w:hAnsi="Calibri" w:cs="Calibri"/>
              </w:rPr>
            </w:pPr>
            <w:r w:rsidRPr="009F750B">
              <w:rPr>
                <w:rFonts w:ascii="Calibri" w:hAnsi="Calibri" w:cs="Calibri"/>
              </w:rPr>
              <w:t>KR1-KR2</w:t>
            </w:r>
          </w:p>
        </w:tc>
        <w:tc>
          <w:tcPr>
            <w:tcW w:w="1300" w:type="dxa"/>
            <w:gridSpan w:val="2"/>
          </w:tcPr>
          <w:p w:rsidR="00376DA1" w:rsidRPr="009F750B" w:rsidRDefault="00376DA1" w:rsidP="00556540">
            <w:pPr>
              <w:jc w:val="center"/>
              <w:rPr>
                <w:rFonts w:ascii="Calibri" w:hAnsi="Calibri" w:cs="Calibri"/>
              </w:rPr>
            </w:pPr>
            <w:r w:rsidRPr="009F750B">
              <w:rPr>
                <w:rFonts w:ascii="Calibri" w:hAnsi="Calibri" w:cs="Calibri"/>
              </w:rPr>
              <w:t>AC16P</w:t>
            </w:r>
          </w:p>
          <w:p w:rsidR="00376DA1" w:rsidRPr="009F750B" w:rsidRDefault="00376DA1" w:rsidP="00556540">
            <w:pPr>
              <w:jc w:val="center"/>
              <w:rPr>
                <w:rFonts w:ascii="Calibri" w:hAnsi="Calibri" w:cs="Calibri"/>
              </w:rPr>
            </w:pPr>
            <w:r w:rsidRPr="009F750B">
              <w:rPr>
                <w:rFonts w:ascii="Calibri" w:hAnsi="Calibri" w:cs="Calibri"/>
              </w:rPr>
              <w:t>KR3-KR6</w:t>
            </w:r>
          </w:p>
        </w:tc>
        <w:tc>
          <w:tcPr>
            <w:tcW w:w="1300" w:type="dxa"/>
            <w:gridSpan w:val="2"/>
          </w:tcPr>
          <w:p w:rsidR="00376DA1" w:rsidRPr="009F750B" w:rsidRDefault="00376DA1" w:rsidP="00556540">
            <w:pPr>
              <w:overflowPunct/>
              <w:autoSpaceDE/>
              <w:autoSpaceDN/>
              <w:adjustRightInd/>
              <w:jc w:val="center"/>
              <w:textAlignment w:val="auto"/>
              <w:rPr>
                <w:rFonts w:ascii="Calibri" w:hAnsi="Calibri" w:cs="Calibri"/>
              </w:rPr>
            </w:pPr>
            <w:r w:rsidRPr="009F750B">
              <w:rPr>
                <w:rFonts w:ascii="Calibri" w:hAnsi="Calibri" w:cs="Calibri"/>
              </w:rPr>
              <w:t>AC22P</w:t>
            </w:r>
          </w:p>
          <w:p w:rsidR="00376DA1" w:rsidRPr="009F750B" w:rsidRDefault="00376DA1" w:rsidP="00556540">
            <w:pPr>
              <w:jc w:val="center"/>
              <w:rPr>
                <w:rFonts w:ascii="Calibri" w:hAnsi="Calibri" w:cs="Calibri"/>
              </w:rPr>
            </w:pPr>
            <w:r w:rsidRPr="009F750B">
              <w:rPr>
                <w:rFonts w:ascii="Calibri" w:hAnsi="Calibri" w:cs="Calibri"/>
              </w:rPr>
              <w:t>KR3-KR6</w:t>
            </w:r>
          </w:p>
        </w:tc>
        <w:tc>
          <w:tcPr>
            <w:tcW w:w="1203" w:type="dxa"/>
            <w:gridSpan w:val="2"/>
            <w:shd w:val="clear" w:color="auto" w:fill="auto"/>
          </w:tcPr>
          <w:p w:rsidR="00376DA1" w:rsidRPr="009F750B" w:rsidRDefault="00376DA1" w:rsidP="00556540">
            <w:pPr>
              <w:overflowPunct/>
              <w:autoSpaceDE/>
              <w:autoSpaceDN/>
              <w:adjustRightInd/>
              <w:jc w:val="left"/>
              <w:textAlignment w:val="auto"/>
              <w:rPr>
                <w:rFonts w:ascii="Calibri" w:hAnsi="Calibri" w:cs="Calibri"/>
              </w:rPr>
            </w:pPr>
            <w:r w:rsidRPr="009F750B">
              <w:rPr>
                <w:rFonts w:ascii="Calibri" w:hAnsi="Calibri" w:cs="Calibri"/>
              </w:rPr>
              <w:t>AC32P</w:t>
            </w:r>
          </w:p>
          <w:p w:rsidR="00376DA1" w:rsidRPr="009F750B" w:rsidRDefault="00376DA1" w:rsidP="00556540">
            <w:pPr>
              <w:overflowPunct/>
              <w:autoSpaceDE/>
              <w:autoSpaceDN/>
              <w:adjustRightInd/>
              <w:jc w:val="left"/>
              <w:textAlignment w:val="auto"/>
              <w:rPr>
                <w:rFonts w:ascii="Calibri" w:hAnsi="Calibri" w:cs="Calibri"/>
              </w:rPr>
            </w:pPr>
            <w:r w:rsidRPr="009F750B">
              <w:rPr>
                <w:rFonts w:ascii="Calibri" w:hAnsi="Calibri" w:cs="Calibri"/>
              </w:rPr>
              <w:t>KR3-KR-6</w:t>
            </w:r>
          </w:p>
        </w:tc>
      </w:tr>
      <w:tr w:rsidR="00376DA1" w:rsidTr="00556540">
        <w:tc>
          <w:tcPr>
            <w:tcW w:w="1900" w:type="dxa"/>
          </w:tcPr>
          <w:p w:rsidR="00376DA1" w:rsidRPr="009F750B" w:rsidRDefault="00376DA1" w:rsidP="00556540">
            <w:pPr>
              <w:jc w:val="center"/>
              <w:rPr>
                <w:rFonts w:ascii="Calibri" w:hAnsi="Calibri" w:cs="Calibri"/>
              </w:rPr>
            </w:pPr>
            <w:r w:rsidRPr="009F750B">
              <w:rPr>
                <w:rFonts w:ascii="Calibri" w:hAnsi="Calibri" w:cs="Calibri"/>
              </w:rPr>
              <w:t>Wymiar sita #, [mm]</w:t>
            </w:r>
          </w:p>
        </w:tc>
        <w:tc>
          <w:tcPr>
            <w:tcW w:w="600" w:type="dxa"/>
          </w:tcPr>
          <w:p w:rsidR="00376DA1" w:rsidRPr="009F750B" w:rsidRDefault="00376DA1" w:rsidP="00556540">
            <w:pPr>
              <w:jc w:val="center"/>
              <w:rPr>
                <w:rFonts w:ascii="Calibri" w:hAnsi="Calibri" w:cs="Calibri"/>
              </w:rPr>
            </w:pPr>
            <w:r w:rsidRPr="009F750B">
              <w:rPr>
                <w:rFonts w:ascii="Calibri" w:hAnsi="Calibri" w:cs="Calibri"/>
              </w:rPr>
              <w:t>od</w:t>
            </w:r>
          </w:p>
        </w:tc>
        <w:tc>
          <w:tcPr>
            <w:tcW w:w="700" w:type="dxa"/>
          </w:tcPr>
          <w:p w:rsidR="00376DA1" w:rsidRPr="009F750B" w:rsidRDefault="00376DA1" w:rsidP="00556540">
            <w:pPr>
              <w:jc w:val="center"/>
              <w:rPr>
                <w:rFonts w:ascii="Calibri" w:hAnsi="Calibri" w:cs="Calibri"/>
              </w:rPr>
            </w:pPr>
            <w:r w:rsidRPr="009F750B">
              <w:rPr>
                <w:rFonts w:ascii="Calibri" w:hAnsi="Calibri" w:cs="Calibri"/>
              </w:rPr>
              <w:t>do</w:t>
            </w:r>
          </w:p>
        </w:tc>
        <w:tc>
          <w:tcPr>
            <w:tcW w:w="600" w:type="dxa"/>
          </w:tcPr>
          <w:p w:rsidR="00376DA1" w:rsidRPr="009F750B" w:rsidRDefault="00376DA1" w:rsidP="00556540">
            <w:pPr>
              <w:jc w:val="center"/>
              <w:rPr>
                <w:rFonts w:ascii="Calibri" w:hAnsi="Calibri" w:cs="Calibri"/>
              </w:rPr>
            </w:pPr>
            <w:r w:rsidRPr="009F750B">
              <w:rPr>
                <w:rFonts w:ascii="Calibri" w:hAnsi="Calibri" w:cs="Calibri"/>
              </w:rPr>
              <w:t>od</w:t>
            </w:r>
          </w:p>
        </w:tc>
        <w:tc>
          <w:tcPr>
            <w:tcW w:w="700" w:type="dxa"/>
          </w:tcPr>
          <w:p w:rsidR="00376DA1" w:rsidRPr="009F750B" w:rsidRDefault="00376DA1" w:rsidP="00556540">
            <w:pPr>
              <w:jc w:val="center"/>
              <w:rPr>
                <w:rFonts w:ascii="Calibri" w:hAnsi="Calibri" w:cs="Calibri"/>
              </w:rPr>
            </w:pPr>
            <w:r w:rsidRPr="009F750B">
              <w:rPr>
                <w:rFonts w:ascii="Calibri" w:hAnsi="Calibri" w:cs="Calibri"/>
              </w:rPr>
              <w:t>do</w:t>
            </w:r>
          </w:p>
        </w:tc>
        <w:tc>
          <w:tcPr>
            <w:tcW w:w="600" w:type="dxa"/>
          </w:tcPr>
          <w:p w:rsidR="00376DA1" w:rsidRPr="009F750B" w:rsidRDefault="00376DA1" w:rsidP="00556540">
            <w:pPr>
              <w:jc w:val="center"/>
              <w:rPr>
                <w:rFonts w:ascii="Calibri" w:hAnsi="Calibri" w:cs="Calibri"/>
              </w:rPr>
            </w:pPr>
            <w:r w:rsidRPr="009F750B">
              <w:rPr>
                <w:rFonts w:ascii="Calibri" w:hAnsi="Calibri" w:cs="Calibri"/>
              </w:rPr>
              <w:t>od</w:t>
            </w:r>
          </w:p>
        </w:tc>
        <w:tc>
          <w:tcPr>
            <w:tcW w:w="700" w:type="dxa"/>
          </w:tcPr>
          <w:p w:rsidR="00376DA1" w:rsidRPr="009F750B" w:rsidRDefault="00376DA1" w:rsidP="00556540">
            <w:pPr>
              <w:jc w:val="center"/>
              <w:rPr>
                <w:rFonts w:ascii="Calibri" w:hAnsi="Calibri" w:cs="Calibri"/>
              </w:rPr>
            </w:pPr>
            <w:r w:rsidRPr="009F750B">
              <w:rPr>
                <w:rFonts w:ascii="Calibri" w:hAnsi="Calibri" w:cs="Calibri"/>
              </w:rPr>
              <w:t>do</w:t>
            </w:r>
          </w:p>
        </w:tc>
        <w:tc>
          <w:tcPr>
            <w:tcW w:w="600" w:type="dxa"/>
          </w:tcPr>
          <w:p w:rsidR="00376DA1" w:rsidRPr="009F750B" w:rsidRDefault="00376DA1" w:rsidP="00556540">
            <w:pPr>
              <w:jc w:val="center"/>
              <w:rPr>
                <w:rFonts w:ascii="Calibri" w:hAnsi="Calibri" w:cs="Calibri"/>
              </w:rPr>
            </w:pPr>
            <w:r w:rsidRPr="009F750B">
              <w:rPr>
                <w:rFonts w:ascii="Calibri" w:hAnsi="Calibri" w:cs="Calibri"/>
              </w:rPr>
              <w:t>od</w:t>
            </w:r>
          </w:p>
        </w:tc>
        <w:tc>
          <w:tcPr>
            <w:tcW w:w="700" w:type="dxa"/>
          </w:tcPr>
          <w:p w:rsidR="00376DA1" w:rsidRPr="009F750B" w:rsidRDefault="00376DA1" w:rsidP="00556540">
            <w:pPr>
              <w:jc w:val="center"/>
              <w:rPr>
                <w:rFonts w:ascii="Calibri" w:hAnsi="Calibri" w:cs="Calibri"/>
              </w:rPr>
            </w:pPr>
            <w:r w:rsidRPr="009F750B">
              <w:rPr>
                <w:rFonts w:ascii="Calibri" w:hAnsi="Calibri" w:cs="Calibri"/>
              </w:rPr>
              <w:t>do</w:t>
            </w:r>
          </w:p>
        </w:tc>
        <w:tc>
          <w:tcPr>
            <w:tcW w:w="600" w:type="dxa"/>
            <w:shd w:val="clear" w:color="auto" w:fill="auto"/>
          </w:tcPr>
          <w:p w:rsidR="00376DA1" w:rsidRPr="009F750B" w:rsidRDefault="00376DA1" w:rsidP="00556540">
            <w:pPr>
              <w:overflowPunct/>
              <w:autoSpaceDE/>
              <w:autoSpaceDN/>
              <w:adjustRightInd/>
              <w:jc w:val="left"/>
              <w:textAlignment w:val="auto"/>
              <w:rPr>
                <w:rFonts w:ascii="Calibri" w:hAnsi="Calibri" w:cs="Calibri"/>
              </w:rPr>
            </w:pPr>
            <w:r w:rsidRPr="009F750B">
              <w:rPr>
                <w:rFonts w:ascii="Calibri" w:hAnsi="Calibri" w:cs="Calibri"/>
              </w:rPr>
              <w:t>od</w:t>
            </w:r>
          </w:p>
        </w:tc>
        <w:tc>
          <w:tcPr>
            <w:tcW w:w="603" w:type="dxa"/>
            <w:shd w:val="clear" w:color="auto" w:fill="auto"/>
          </w:tcPr>
          <w:p w:rsidR="00376DA1" w:rsidRPr="009F750B" w:rsidRDefault="00376DA1" w:rsidP="00556540">
            <w:pPr>
              <w:overflowPunct/>
              <w:autoSpaceDE/>
              <w:autoSpaceDN/>
              <w:adjustRightInd/>
              <w:jc w:val="left"/>
              <w:textAlignment w:val="auto"/>
              <w:rPr>
                <w:rFonts w:ascii="Calibri" w:hAnsi="Calibri" w:cs="Calibri"/>
              </w:rPr>
            </w:pPr>
            <w:r w:rsidRPr="009F750B">
              <w:rPr>
                <w:rFonts w:ascii="Calibri" w:hAnsi="Calibri" w:cs="Calibri"/>
              </w:rPr>
              <w:t>do</w:t>
            </w:r>
          </w:p>
        </w:tc>
      </w:tr>
      <w:tr w:rsidR="00376DA1" w:rsidTr="00556540">
        <w:tc>
          <w:tcPr>
            <w:tcW w:w="1900" w:type="dxa"/>
          </w:tcPr>
          <w:p w:rsidR="00376DA1" w:rsidRPr="009F750B" w:rsidRDefault="00376DA1" w:rsidP="00556540">
            <w:pPr>
              <w:jc w:val="center"/>
              <w:rPr>
                <w:rFonts w:ascii="Calibri" w:hAnsi="Calibri" w:cs="Calibri"/>
              </w:rPr>
            </w:pPr>
            <w:r w:rsidRPr="009F750B">
              <w:rPr>
                <w:rFonts w:ascii="Calibri" w:hAnsi="Calibri" w:cs="Calibri"/>
              </w:rPr>
              <w:t>45</w:t>
            </w:r>
          </w:p>
        </w:tc>
        <w:tc>
          <w:tcPr>
            <w:tcW w:w="600" w:type="dxa"/>
          </w:tcPr>
          <w:p w:rsidR="00376DA1" w:rsidRPr="009F750B" w:rsidRDefault="00376DA1" w:rsidP="00556540">
            <w:pPr>
              <w:jc w:val="center"/>
              <w:rPr>
                <w:rFonts w:ascii="Calibri" w:hAnsi="Calibri" w:cs="Calibri"/>
              </w:rPr>
            </w:pPr>
            <w:r w:rsidRPr="009F750B">
              <w:rPr>
                <w:rFonts w:ascii="Calibri" w:hAnsi="Calibri" w:cs="Calibri"/>
              </w:rPr>
              <w:t>-</w:t>
            </w:r>
          </w:p>
        </w:tc>
        <w:tc>
          <w:tcPr>
            <w:tcW w:w="700" w:type="dxa"/>
          </w:tcPr>
          <w:p w:rsidR="00376DA1" w:rsidRPr="009F750B" w:rsidRDefault="00376DA1" w:rsidP="00556540">
            <w:pPr>
              <w:jc w:val="center"/>
              <w:rPr>
                <w:rFonts w:ascii="Calibri" w:hAnsi="Calibri" w:cs="Calibri"/>
              </w:rPr>
            </w:pPr>
            <w:r w:rsidRPr="009F750B">
              <w:rPr>
                <w:rFonts w:ascii="Calibri" w:hAnsi="Calibri" w:cs="Calibri"/>
              </w:rPr>
              <w:t>-</w:t>
            </w:r>
          </w:p>
        </w:tc>
        <w:tc>
          <w:tcPr>
            <w:tcW w:w="600" w:type="dxa"/>
          </w:tcPr>
          <w:p w:rsidR="00376DA1" w:rsidRPr="009F750B" w:rsidRDefault="00376DA1" w:rsidP="00556540">
            <w:pPr>
              <w:jc w:val="center"/>
              <w:rPr>
                <w:rFonts w:ascii="Calibri" w:hAnsi="Calibri" w:cs="Calibri"/>
              </w:rPr>
            </w:pPr>
            <w:r w:rsidRPr="009F750B">
              <w:rPr>
                <w:rFonts w:ascii="Calibri" w:hAnsi="Calibri" w:cs="Calibri"/>
              </w:rPr>
              <w:t>-</w:t>
            </w:r>
          </w:p>
        </w:tc>
        <w:tc>
          <w:tcPr>
            <w:tcW w:w="700" w:type="dxa"/>
          </w:tcPr>
          <w:p w:rsidR="00376DA1" w:rsidRPr="009F750B" w:rsidRDefault="00376DA1" w:rsidP="00556540">
            <w:pPr>
              <w:jc w:val="center"/>
              <w:rPr>
                <w:rFonts w:ascii="Calibri" w:hAnsi="Calibri" w:cs="Calibri"/>
              </w:rPr>
            </w:pPr>
            <w:r w:rsidRPr="009F750B">
              <w:rPr>
                <w:rFonts w:ascii="Calibri" w:hAnsi="Calibri" w:cs="Calibri"/>
              </w:rPr>
              <w:t>-</w:t>
            </w:r>
          </w:p>
        </w:tc>
        <w:tc>
          <w:tcPr>
            <w:tcW w:w="600" w:type="dxa"/>
          </w:tcPr>
          <w:p w:rsidR="00376DA1" w:rsidRPr="009F750B" w:rsidRDefault="00376DA1" w:rsidP="00556540">
            <w:pPr>
              <w:jc w:val="center"/>
              <w:rPr>
                <w:rFonts w:ascii="Calibri" w:hAnsi="Calibri" w:cs="Calibri"/>
              </w:rPr>
            </w:pPr>
            <w:r w:rsidRPr="009F750B">
              <w:rPr>
                <w:rFonts w:ascii="Calibri" w:hAnsi="Calibri" w:cs="Calibri"/>
              </w:rPr>
              <w:t>-</w:t>
            </w:r>
          </w:p>
        </w:tc>
        <w:tc>
          <w:tcPr>
            <w:tcW w:w="700" w:type="dxa"/>
          </w:tcPr>
          <w:p w:rsidR="00376DA1" w:rsidRPr="009F750B" w:rsidRDefault="00376DA1" w:rsidP="00556540">
            <w:pPr>
              <w:jc w:val="center"/>
              <w:rPr>
                <w:rFonts w:ascii="Calibri" w:hAnsi="Calibri" w:cs="Calibri"/>
              </w:rPr>
            </w:pPr>
            <w:r w:rsidRPr="009F750B">
              <w:rPr>
                <w:rFonts w:ascii="Calibri" w:hAnsi="Calibri" w:cs="Calibri"/>
              </w:rPr>
              <w:t>-</w:t>
            </w:r>
          </w:p>
        </w:tc>
        <w:tc>
          <w:tcPr>
            <w:tcW w:w="600" w:type="dxa"/>
          </w:tcPr>
          <w:p w:rsidR="00376DA1" w:rsidRPr="009F750B" w:rsidRDefault="00376DA1" w:rsidP="00556540">
            <w:pPr>
              <w:jc w:val="center"/>
              <w:rPr>
                <w:rFonts w:ascii="Calibri" w:hAnsi="Calibri" w:cs="Calibri"/>
              </w:rPr>
            </w:pPr>
            <w:r w:rsidRPr="009F750B">
              <w:rPr>
                <w:rFonts w:ascii="Calibri" w:hAnsi="Calibri" w:cs="Calibri"/>
              </w:rPr>
              <w:t>-</w:t>
            </w:r>
          </w:p>
        </w:tc>
        <w:tc>
          <w:tcPr>
            <w:tcW w:w="700" w:type="dxa"/>
          </w:tcPr>
          <w:p w:rsidR="00376DA1" w:rsidRPr="009F750B" w:rsidRDefault="00376DA1" w:rsidP="00556540">
            <w:pPr>
              <w:jc w:val="center"/>
              <w:rPr>
                <w:rFonts w:ascii="Calibri" w:hAnsi="Calibri" w:cs="Calibri"/>
              </w:rPr>
            </w:pPr>
            <w:r w:rsidRPr="009F750B">
              <w:rPr>
                <w:rFonts w:ascii="Calibri" w:hAnsi="Calibri" w:cs="Calibri"/>
              </w:rPr>
              <w:t>-</w:t>
            </w:r>
          </w:p>
        </w:tc>
        <w:tc>
          <w:tcPr>
            <w:tcW w:w="600" w:type="dxa"/>
            <w:shd w:val="clear" w:color="auto" w:fill="auto"/>
          </w:tcPr>
          <w:p w:rsidR="00376DA1" w:rsidRPr="009F750B" w:rsidRDefault="00376DA1" w:rsidP="00556540">
            <w:pPr>
              <w:overflowPunct/>
              <w:autoSpaceDE/>
              <w:autoSpaceDN/>
              <w:adjustRightInd/>
              <w:jc w:val="left"/>
              <w:textAlignment w:val="auto"/>
              <w:rPr>
                <w:rFonts w:ascii="Calibri" w:hAnsi="Calibri" w:cs="Calibri"/>
              </w:rPr>
            </w:pPr>
            <w:r w:rsidRPr="009F750B">
              <w:rPr>
                <w:rFonts w:ascii="Calibri" w:hAnsi="Calibri" w:cs="Calibri"/>
              </w:rPr>
              <w:t>100</w:t>
            </w:r>
          </w:p>
        </w:tc>
        <w:tc>
          <w:tcPr>
            <w:tcW w:w="603" w:type="dxa"/>
            <w:shd w:val="clear" w:color="auto" w:fill="auto"/>
          </w:tcPr>
          <w:p w:rsidR="00376DA1" w:rsidRPr="009F750B" w:rsidRDefault="00376DA1" w:rsidP="00556540">
            <w:pPr>
              <w:overflowPunct/>
              <w:autoSpaceDE/>
              <w:autoSpaceDN/>
              <w:adjustRightInd/>
              <w:jc w:val="left"/>
              <w:textAlignment w:val="auto"/>
              <w:rPr>
                <w:rFonts w:ascii="Calibri" w:hAnsi="Calibri" w:cs="Calibri"/>
              </w:rPr>
            </w:pPr>
            <w:r w:rsidRPr="009F750B">
              <w:rPr>
                <w:rFonts w:ascii="Calibri" w:hAnsi="Calibri" w:cs="Calibri"/>
              </w:rPr>
              <w:t>-</w:t>
            </w:r>
          </w:p>
        </w:tc>
      </w:tr>
      <w:tr w:rsidR="00376DA1" w:rsidTr="00556540">
        <w:tc>
          <w:tcPr>
            <w:tcW w:w="1900" w:type="dxa"/>
          </w:tcPr>
          <w:p w:rsidR="00376DA1" w:rsidRPr="009F750B" w:rsidRDefault="00376DA1" w:rsidP="00556540">
            <w:pPr>
              <w:jc w:val="center"/>
              <w:rPr>
                <w:rFonts w:ascii="Calibri" w:hAnsi="Calibri" w:cs="Calibri"/>
              </w:rPr>
            </w:pPr>
            <w:r w:rsidRPr="009F750B">
              <w:rPr>
                <w:rFonts w:ascii="Calibri" w:hAnsi="Calibri" w:cs="Calibri"/>
              </w:rPr>
              <w:t>31,5</w:t>
            </w:r>
          </w:p>
        </w:tc>
        <w:tc>
          <w:tcPr>
            <w:tcW w:w="600" w:type="dxa"/>
          </w:tcPr>
          <w:p w:rsidR="00376DA1" w:rsidRPr="009F750B" w:rsidRDefault="00376DA1" w:rsidP="00556540">
            <w:pPr>
              <w:jc w:val="center"/>
              <w:rPr>
                <w:rFonts w:ascii="Calibri" w:hAnsi="Calibri" w:cs="Calibri"/>
              </w:rPr>
            </w:pPr>
            <w:r w:rsidRPr="009F750B">
              <w:rPr>
                <w:rFonts w:ascii="Calibri" w:hAnsi="Calibri" w:cs="Calibri"/>
              </w:rPr>
              <w:t>-</w:t>
            </w:r>
          </w:p>
        </w:tc>
        <w:tc>
          <w:tcPr>
            <w:tcW w:w="700" w:type="dxa"/>
          </w:tcPr>
          <w:p w:rsidR="00376DA1" w:rsidRPr="009F750B" w:rsidRDefault="00376DA1" w:rsidP="00556540">
            <w:pPr>
              <w:jc w:val="center"/>
              <w:rPr>
                <w:rFonts w:ascii="Calibri" w:hAnsi="Calibri" w:cs="Calibri"/>
              </w:rPr>
            </w:pPr>
            <w:r w:rsidRPr="009F750B">
              <w:rPr>
                <w:rFonts w:ascii="Calibri" w:hAnsi="Calibri" w:cs="Calibri"/>
              </w:rPr>
              <w:t>-</w:t>
            </w:r>
          </w:p>
        </w:tc>
        <w:tc>
          <w:tcPr>
            <w:tcW w:w="600" w:type="dxa"/>
          </w:tcPr>
          <w:p w:rsidR="00376DA1" w:rsidRPr="009F750B" w:rsidRDefault="00376DA1" w:rsidP="00556540">
            <w:pPr>
              <w:jc w:val="center"/>
              <w:rPr>
                <w:rFonts w:ascii="Calibri" w:hAnsi="Calibri" w:cs="Calibri"/>
              </w:rPr>
            </w:pPr>
            <w:r w:rsidRPr="009F750B">
              <w:rPr>
                <w:rFonts w:ascii="Calibri" w:hAnsi="Calibri" w:cs="Calibri"/>
              </w:rPr>
              <w:t>100</w:t>
            </w:r>
          </w:p>
        </w:tc>
        <w:tc>
          <w:tcPr>
            <w:tcW w:w="700" w:type="dxa"/>
          </w:tcPr>
          <w:p w:rsidR="00376DA1" w:rsidRPr="009F750B" w:rsidRDefault="00376DA1" w:rsidP="00556540">
            <w:pPr>
              <w:jc w:val="center"/>
              <w:rPr>
                <w:rFonts w:ascii="Calibri" w:hAnsi="Calibri" w:cs="Calibri"/>
              </w:rPr>
            </w:pPr>
            <w:r w:rsidRPr="009F750B">
              <w:rPr>
                <w:rFonts w:ascii="Calibri" w:hAnsi="Calibri" w:cs="Calibri"/>
              </w:rPr>
              <w:t>-</w:t>
            </w:r>
          </w:p>
        </w:tc>
        <w:tc>
          <w:tcPr>
            <w:tcW w:w="600" w:type="dxa"/>
          </w:tcPr>
          <w:p w:rsidR="00376DA1" w:rsidRPr="009F750B" w:rsidRDefault="00376DA1" w:rsidP="00556540">
            <w:pPr>
              <w:jc w:val="center"/>
              <w:rPr>
                <w:rFonts w:ascii="Calibri" w:hAnsi="Calibri" w:cs="Calibri"/>
              </w:rPr>
            </w:pPr>
            <w:r w:rsidRPr="009F750B">
              <w:rPr>
                <w:rFonts w:ascii="Calibri" w:hAnsi="Calibri" w:cs="Calibri"/>
              </w:rPr>
              <w:t>-</w:t>
            </w:r>
          </w:p>
        </w:tc>
        <w:tc>
          <w:tcPr>
            <w:tcW w:w="700" w:type="dxa"/>
          </w:tcPr>
          <w:p w:rsidR="00376DA1" w:rsidRPr="009F750B" w:rsidRDefault="00376DA1" w:rsidP="00556540">
            <w:pPr>
              <w:jc w:val="center"/>
              <w:rPr>
                <w:rFonts w:ascii="Calibri" w:hAnsi="Calibri" w:cs="Calibri"/>
              </w:rPr>
            </w:pPr>
            <w:r w:rsidRPr="009F750B">
              <w:rPr>
                <w:rFonts w:ascii="Calibri" w:hAnsi="Calibri" w:cs="Calibri"/>
              </w:rPr>
              <w:t>-</w:t>
            </w:r>
          </w:p>
        </w:tc>
        <w:tc>
          <w:tcPr>
            <w:tcW w:w="600" w:type="dxa"/>
          </w:tcPr>
          <w:p w:rsidR="00376DA1" w:rsidRPr="009F750B" w:rsidRDefault="00376DA1" w:rsidP="00556540">
            <w:pPr>
              <w:jc w:val="center"/>
              <w:rPr>
                <w:rFonts w:ascii="Calibri" w:hAnsi="Calibri" w:cs="Calibri"/>
              </w:rPr>
            </w:pPr>
            <w:r w:rsidRPr="009F750B">
              <w:rPr>
                <w:rFonts w:ascii="Calibri" w:hAnsi="Calibri" w:cs="Calibri"/>
              </w:rPr>
              <w:t>100</w:t>
            </w:r>
          </w:p>
        </w:tc>
        <w:tc>
          <w:tcPr>
            <w:tcW w:w="700" w:type="dxa"/>
          </w:tcPr>
          <w:p w:rsidR="00376DA1" w:rsidRPr="009F750B" w:rsidRDefault="00376DA1" w:rsidP="00556540">
            <w:pPr>
              <w:jc w:val="center"/>
              <w:rPr>
                <w:rFonts w:ascii="Calibri" w:hAnsi="Calibri" w:cs="Calibri"/>
              </w:rPr>
            </w:pPr>
            <w:r w:rsidRPr="009F750B">
              <w:rPr>
                <w:rFonts w:ascii="Calibri" w:hAnsi="Calibri" w:cs="Calibri"/>
              </w:rPr>
              <w:t>-</w:t>
            </w:r>
          </w:p>
        </w:tc>
        <w:tc>
          <w:tcPr>
            <w:tcW w:w="600" w:type="dxa"/>
            <w:shd w:val="clear" w:color="auto" w:fill="auto"/>
          </w:tcPr>
          <w:p w:rsidR="00376DA1" w:rsidRPr="009F750B" w:rsidRDefault="00376DA1" w:rsidP="00556540">
            <w:pPr>
              <w:overflowPunct/>
              <w:autoSpaceDE/>
              <w:autoSpaceDN/>
              <w:adjustRightInd/>
              <w:jc w:val="left"/>
              <w:textAlignment w:val="auto"/>
              <w:rPr>
                <w:rFonts w:ascii="Calibri" w:hAnsi="Calibri" w:cs="Calibri"/>
              </w:rPr>
            </w:pPr>
            <w:r w:rsidRPr="009F750B">
              <w:rPr>
                <w:rFonts w:ascii="Calibri" w:hAnsi="Calibri" w:cs="Calibri"/>
              </w:rPr>
              <w:t>90</w:t>
            </w:r>
          </w:p>
        </w:tc>
        <w:tc>
          <w:tcPr>
            <w:tcW w:w="603" w:type="dxa"/>
            <w:shd w:val="clear" w:color="auto" w:fill="auto"/>
          </w:tcPr>
          <w:p w:rsidR="00376DA1" w:rsidRPr="009F750B" w:rsidRDefault="00376DA1" w:rsidP="00556540">
            <w:pPr>
              <w:overflowPunct/>
              <w:autoSpaceDE/>
              <w:autoSpaceDN/>
              <w:adjustRightInd/>
              <w:jc w:val="left"/>
              <w:textAlignment w:val="auto"/>
              <w:rPr>
                <w:rFonts w:ascii="Calibri" w:hAnsi="Calibri" w:cs="Calibri"/>
              </w:rPr>
            </w:pPr>
            <w:r w:rsidRPr="009F750B">
              <w:rPr>
                <w:rFonts w:ascii="Calibri" w:hAnsi="Calibri" w:cs="Calibri"/>
              </w:rPr>
              <w:t>100</w:t>
            </w:r>
          </w:p>
        </w:tc>
      </w:tr>
      <w:tr w:rsidR="00376DA1" w:rsidTr="00556540">
        <w:tc>
          <w:tcPr>
            <w:tcW w:w="1900" w:type="dxa"/>
          </w:tcPr>
          <w:p w:rsidR="00376DA1" w:rsidRPr="009F750B" w:rsidRDefault="00376DA1" w:rsidP="00556540">
            <w:pPr>
              <w:jc w:val="center"/>
              <w:rPr>
                <w:rFonts w:ascii="Calibri" w:hAnsi="Calibri" w:cs="Calibri"/>
              </w:rPr>
            </w:pPr>
            <w:r w:rsidRPr="009F750B">
              <w:rPr>
                <w:rFonts w:ascii="Calibri" w:hAnsi="Calibri" w:cs="Calibri"/>
              </w:rPr>
              <w:t>22,4</w:t>
            </w:r>
          </w:p>
        </w:tc>
        <w:tc>
          <w:tcPr>
            <w:tcW w:w="600" w:type="dxa"/>
          </w:tcPr>
          <w:p w:rsidR="00376DA1" w:rsidRPr="009F750B" w:rsidRDefault="00376DA1" w:rsidP="00556540">
            <w:pPr>
              <w:jc w:val="center"/>
              <w:rPr>
                <w:rFonts w:ascii="Calibri" w:hAnsi="Calibri" w:cs="Calibri"/>
              </w:rPr>
            </w:pPr>
            <w:r w:rsidRPr="009F750B">
              <w:rPr>
                <w:rFonts w:ascii="Calibri" w:hAnsi="Calibri" w:cs="Calibri"/>
              </w:rPr>
              <w:t>100</w:t>
            </w:r>
          </w:p>
        </w:tc>
        <w:tc>
          <w:tcPr>
            <w:tcW w:w="700" w:type="dxa"/>
          </w:tcPr>
          <w:p w:rsidR="00376DA1" w:rsidRPr="009F750B" w:rsidRDefault="00376DA1" w:rsidP="00556540">
            <w:pPr>
              <w:jc w:val="center"/>
              <w:rPr>
                <w:rFonts w:ascii="Calibri" w:hAnsi="Calibri" w:cs="Calibri"/>
              </w:rPr>
            </w:pPr>
            <w:r w:rsidRPr="009F750B">
              <w:rPr>
                <w:rFonts w:ascii="Calibri" w:hAnsi="Calibri" w:cs="Calibri"/>
              </w:rPr>
              <w:t>-</w:t>
            </w:r>
          </w:p>
        </w:tc>
        <w:tc>
          <w:tcPr>
            <w:tcW w:w="600" w:type="dxa"/>
          </w:tcPr>
          <w:p w:rsidR="00376DA1" w:rsidRPr="009F750B" w:rsidRDefault="00376DA1" w:rsidP="00556540">
            <w:pPr>
              <w:jc w:val="center"/>
              <w:rPr>
                <w:rFonts w:ascii="Calibri" w:hAnsi="Calibri" w:cs="Calibri"/>
              </w:rPr>
            </w:pPr>
            <w:r w:rsidRPr="009F750B">
              <w:rPr>
                <w:rFonts w:ascii="Calibri" w:hAnsi="Calibri" w:cs="Calibri"/>
              </w:rPr>
              <w:t>90</w:t>
            </w:r>
          </w:p>
        </w:tc>
        <w:tc>
          <w:tcPr>
            <w:tcW w:w="700" w:type="dxa"/>
          </w:tcPr>
          <w:p w:rsidR="00376DA1" w:rsidRPr="009F750B" w:rsidRDefault="00376DA1" w:rsidP="00556540">
            <w:pPr>
              <w:jc w:val="center"/>
              <w:rPr>
                <w:rFonts w:ascii="Calibri" w:hAnsi="Calibri" w:cs="Calibri"/>
              </w:rPr>
            </w:pPr>
            <w:r w:rsidRPr="009F750B">
              <w:rPr>
                <w:rFonts w:ascii="Calibri" w:hAnsi="Calibri" w:cs="Calibri"/>
              </w:rPr>
              <w:t>100</w:t>
            </w:r>
          </w:p>
        </w:tc>
        <w:tc>
          <w:tcPr>
            <w:tcW w:w="600" w:type="dxa"/>
          </w:tcPr>
          <w:p w:rsidR="00376DA1" w:rsidRPr="009F750B" w:rsidRDefault="00376DA1" w:rsidP="00556540">
            <w:pPr>
              <w:jc w:val="center"/>
              <w:rPr>
                <w:rFonts w:ascii="Calibri" w:hAnsi="Calibri" w:cs="Calibri"/>
              </w:rPr>
            </w:pPr>
            <w:r w:rsidRPr="009F750B">
              <w:rPr>
                <w:rFonts w:ascii="Calibri" w:hAnsi="Calibri" w:cs="Calibri"/>
              </w:rPr>
              <w:t>100</w:t>
            </w:r>
          </w:p>
        </w:tc>
        <w:tc>
          <w:tcPr>
            <w:tcW w:w="700" w:type="dxa"/>
          </w:tcPr>
          <w:p w:rsidR="00376DA1" w:rsidRPr="009F750B" w:rsidRDefault="00376DA1" w:rsidP="00556540">
            <w:pPr>
              <w:jc w:val="center"/>
              <w:rPr>
                <w:rFonts w:ascii="Calibri" w:hAnsi="Calibri" w:cs="Calibri"/>
              </w:rPr>
            </w:pPr>
            <w:r w:rsidRPr="009F750B">
              <w:rPr>
                <w:rFonts w:ascii="Calibri" w:hAnsi="Calibri" w:cs="Calibri"/>
              </w:rPr>
              <w:t>-</w:t>
            </w:r>
          </w:p>
        </w:tc>
        <w:tc>
          <w:tcPr>
            <w:tcW w:w="600" w:type="dxa"/>
          </w:tcPr>
          <w:p w:rsidR="00376DA1" w:rsidRPr="009F750B" w:rsidRDefault="00376DA1" w:rsidP="00556540">
            <w:pPr>
              <w:jc w:val="center"/>
              <w:rPr>
                <w:rFonts w:ascii="Calibri" w:hAnsi="Calibri" w:cs="Calibri"/>
              </w:rPr>
            </w:pPr>
            <w:r w:rsidRPr="009F750B">
              <w:rPr>
                <w:rFonts w:ascii="Calibri" w:hAnsi="Calibri" w:cs="Calibri"/>
              </w:rPr>
              <w:t>90</w:t>
            </w:r>
          </w:p>
        </w:tc>
        <w:tc>
          <w:tcPr>
            <w:tcW w:w="700" w:type="dxa"/>
          </w:tcPr>
          <w:p w:rsidR="00376DA1" w:rsidRPr="009F750B" w:rsidRDefault="00376DA1" w:rsidP="00556540">
            <w:pPr>
              <w:jc w:val="center"/>
              <w:rPr>
                <w:rFonts w:ascii="Calibri" w:hAnsi="Calibri" w:cs="Calibri"/>
              </w:rPr>
            </w:pPr>
            <w:r w:rsidRPr="009F750B">
              <w:rPr>
                <w:rFonts w:ascii="Calibri" w:hAnsi="Calibri" w:cs="Calibri"/>
              </w:rPr>
              <w:t>100</w:t>
            </w:r>
          </w:p>
        </w:tc>
        <w:tc>
          <w:tcPr>
            <w:tcW w:w="600" w:type="dxa"/>
            <w:shd w:val="clear" w:color="auto" w:fill="auto"/>
          </w:tcPr>
          <w:p w:rsidR="00376DA1" w:rsidRPr="009F750B" w:rsidRDefault="00376DA1" w:rsidP="00556540">
            <w:pPr>
              <w:overflowPunct/>
              <w:autoSpaceDE/>
              <w:autoSpaceDN/>
              <w:adjustRightInd/>
              <w:jc w:val="left"/>
              <w:textAlignment w:val="auto"/>
              <w:rPr>
                <w:rFonts w:ascii="Calibri" w:hAnsi="Calibri" w:cs="Calibri"/>
              </w:rPr>
            </w:pPr>
            <w:r w:rsidRPr="009F750B">
              <w:rPr>
                <w:rFonts w:ascii="Calibri" w:hAnsi="Calibri" w:cs="Calibri"/>
              </w:rPr>
              <w:t>65</w:t>
            </w:r>
          </w:p>
        </w:tc>
        <w:tc>
          <w:tcPr>
            <w:tcW w:w="603" w:type="dxa"/>
            <w:shd w:val="clear" w:color="auto" w:fill="auto"/>
          </w:tcPr>
          <w:p w:rsidR="00376DA1" w:rsidRPr="009F750B" w:rsidRDefault="00376DA1" w:rsidP="00556540">
            <w:pPr>
              <w:overflowPunct/>
              <w:autoSpaceDE/>
              <w:autoSpaceDN/>
              <w:adjustRightInd/>
              <w:jc w:val="left"/>
              <w:textAlignment w:val="auto"/>
              <w:rPr>
                <w:rFonts w:ascii="Calibri" w:hAnsi="Calibri" w:cs="Calibri"/>
              </w:rPr>
            </w:pPr>
            <w:r w:rsidRPr="009F750B">
              <w:rPr>
                <w:rFonts w:ascii="Calibri" w:hAnsi="Calibri" w:cs="Calibri"/>
              </w:rPr>
              <w:t>90</w:t>
            </w:r>
          </w:p>
        </w:tc>
      </w:tr>
      <w:tr w:rsidR="00376DA1" w:rsidTr="00556540">
        <w:tc>
          <w:tcPr>
            <w:tcW w:w="1900" w:type="dxa"/>
          </w:tcPr>
          <w:p w:rsidR="00376DA1" w:rsidRPr="009F750B" w:rsidRDefault="00376DA1" w:rsidP="00556540">
            <w:pPr>
              <w:jc w:val="center"/>
              <w:rPr>
                <w:rFonts w:ascii="Calibri" w:hAnsi="Calibri" w:cs="Calibri"/>
              </w:rPr>
            </w:pPr>
            <w:r w:rsidRPr="009F750B">
              <w:rPr>
                <w:rFonts w:ascii="Calibri" w:hAnsi="Calibri" w:cs="Calibri"/>
              </w:rPr>
              <w:t>16</w:t>
            </w:r>
          </w:p>
        </w:tc>
        <w:tc>
          <w:tcPr>
            <w:tcW w:w="600" w:type="dxa"/>
          </w:tcPr>
          <w:p w:rsidR="00376DA1" w:rsidRPr="009F750B" w:rsidRDefault="00376DA1" w:rsidP="00556540">
            <w:pPr>
              <w:jc w:val="center"/>
              <w:rPr>
                <w:rFonts w:ascii="Calibri" w:hAnsi="Calibri" w:cs="Calibri"/>
              </w:rPr>
            </w:pPr>
            <w:r w:rsidRPr="009F750B">
              <w:rPr>
                <w:rFonts w:ascii="Calibri" w:hAnsi="Calibri" w:cs="Calibri"/>
              </w:rPr>
              <w:t>90</w:t>
            </w:r>
          </w:p>
        </w:tc>
        <w:tc>
          <w:tcPr>
            <w:tcW w:w="700" w:type="dxa"/>
          </w:tcPr>
          <w:p w:rsidR="00376DA1" w:rsidRPr="009F750B" w:rsidRDefault="00376DA1" w:rsidP="00556540">
            <w:pPr>
              <w:jc w:val="center"/>
              <w:rPr>
                <w:rFonts w:ascii="Calibri" w:hAnsi="Calibri" w:cs="Calibri"/>
              </w:rPr>
            </w:pPr>
            <w:r w:rsidRPr="009F750B">
              <w:rPr>
                <w:rFonts w:ascii="Calibri" w:hAnsi="Calibri" w:cs="Calibri"/>
              </w:rPr>
              <w:t>100</w:t>
            </w:r>
          </w:p>
        </w:tc>
        <w:tc>
          <w:tcPr>
            <w:tcW w:w="600" w:type="dxa"/>
          </w:tcPr>
          <w:p w:rsidR="00376DA1" w:rsidRPr="009F750B" w:rsidRDefault="00376DA1" w:rsidP="00556540">
            <w:pPr>
              <w:jc w:val="center"/>
              <w:rPr>
                <w:rFonts w:ascii="Calibri" w:hAnsi="Calibri" w:cs="Calibri"/>
              </w:rPr>
            </w:pPr>
            <w:r w:rsidRPr="009F750B">
              <w:rPr>
                <w:rFonts w:ascii="Calibri" w:hAnsi="Calibri" w:cs="Calibri"/>
              </w:rPr>
              <w:t>65</w:t>
            </w:r>
          </w:p>
        </w:tc>
        <w:tc>
          <w:tcPr>
            <w:tcW w:w="700" w:type="dxa"/>
          </w:tcPr>
          <w:p w:rsidR="00376DA1" w:rsidRPr="009F750B" w:rsidRDefault="00376DA1" w:rsidP="00556540">
            <w:pPr>
              <w:jc w:val="center"/>
              <w:rPr>
                <w:rFonts w:ascii="Calibri" w:hAnsi="Calibri" w:cs="Calibri"/>
              </w:rPr>
            </w:pPr>
            <w:r w:rsidRPr="009F750B">
              <w:rPr>
                <w:rFonts w:ascii="Calibri" w:hAnsi="Calibri" w:cs="Calibri"/>
              </w:rPr>
              <w:t>93</w:t>
            </w:r>
          </w:p>
        </w:tc>
        <w:tc>
          <w:tcPr>
            <w:tcW w:w="600" w:type="dxa"/>
          </w:tcPr>
          <w:p w:rsidR="00376DA1" w:rsidRPr="009F750B" w:rsidRDefault="00376DA1" w:rsidP="00556540">
            <w:pPr>
              <w:jc w:val="center"/>
              <w:rPr>
                <w:rFonts w:ascii="Calibri" w:hAnsi="Calibri" w:cs="Calibri"/>
              </w:rPr>
            </w:pPr>
            <w:r w:rsidRPr="009F750B">
              <w:rPr>
                <w:rFonts w:ascii="Calibri" w:hAnsi="Calibri" w:cs="Calibri"/>
              </w:rPr>
              <w:t>90</w:t>
            </w:r>
          </w:p>
        </w:tc>
        <w:tc>
          <w:tcPr>
            <w:tcW w:w="700" w:type="dxa"/>
          </w:tcPr>
          <w:p w:rsidR="00376DA1" w:rsidRPr="009F750B" w:rsidRDefault="00376DA1" w:rsidP="00556540">
            <w:pPr>
              <w:jc w:val="center"/>
              <w:rPr>
                <w:rFonts w:ascii="Calibri" w:hAnsi="Calibri" w:cs="Calibri"/>
              </w:rPr>
            </w:pPr>
            <w:r w:rsidRPr="009F750B">
              <w:rPr>
                <w:rFonts w:ascii="Calibri" w:hAnsi="Calibri" w:cs="Calibri"/>
              </w:rPr>
              <w:t>100</w:t>
            </w:r>
          </w:p>
        </w:tc>
        <w:tc>
          <w:tcPr>
            <w:tcW w:w="600" w:type="dxa"/>
          </w:tcPr>
          <w:p w:rsidR="00376DA1" w:rsidRPr="009F750B" w:rsidRDefault="00376DA1" w:rsidP="00556540">
            <w:pPr>
              <w:jc w:val="center"/>
              <w:rPr>
                <w:rFonts w:ascii="Calibri" w:hAnsi="Calibri" w:cs="Calibri"/>
              </w:rPr>
            </w:pPr>
            <w:r w:rsidRPr="009F750B">
              <w:rPr>
                <w:rFonts w:ascii="Calibri" w:hAnsi="Calibri" w:cs="Calibri"/>
              </w:rPr>
              <w:t>65</w:t>
            </w:r>
          </w:p>
        </w:tc>
        <w:tc>
          <w:tcPr>
            <w:tcW w:w="700" w:type="dxa"/>
          </w:tcPr>
          <w:p w:rsidR="00376DA1" w:rsidRPr="009F750B" w:rsidRDefault="00376DA1" w:rsidP="00556540">
            <w:pPr>
              <w:jc w:val="center"/>
              <w:rPr>
                <w:rFonts w:ascii="Calibri" w:hAnsi="Calibri" w:cs="Calibri"/>
              </w:rPr>
            </w:pPr>
            <w:r w:rsidRPr="009F750B">
              <w:rPr>
                <w:rFonts w:ascii="Calibri" w:hAnsi="Calibri" w:cs="Calibri"/>
              </w:rPr>
              <w:t>90</w:t>
            </w:r>
          </w:p>
        </w:tc>
        <w:tc>
          <w:tcPr>
            <w:tcW w:w="600" w:type="dxa"/>
            <w:shd w:val="clear" w:color="auto" w:fill="auto"/>
          </w:tcPr>
          <w:p w:rsidR="00376DA1" w:rsidRPr="009F750B" w:rsidRDefault="00376DA1" w:rsidP="00556540">
            <w:pPr>
              <w:overflowPunct/>
              <w:autoSpaceDE/>
              <w:autoSpaceDN/>
              <w:adjustRightInd/>
              <w:jc w:val="left"/>
              <w:textAlignment w:val="auto"/>
              <w:rPr>
                <w:rFonts w:ascii="Calibri" w:hAnsi="Calibri" w:cs="Calibri"/>
              </w:rPr>
            </w:pPr>
            <w:r w:rsidRPr="009F750B">
              <w:rPr>
                <w:rFonts w:ascii="Calibri" w:hAnsi="Calibri" w:cs="Calibri"/>
              </w:rPr>
              <w:t>-</w:t>
            </w:r>
          </w:p>
        </w:tc>
        <w:tc>
          <w:tcPr>
            <w:tcW w:w="603" w:type="dxa"/>
            <w:shd w:val="clear" w:color="auto" w:fill="auto"/>
          </w:tcPr>
          <w:p w:rsidR="00376DA1" w:rsidRPr="009F750B" w:rsidRDefault="00376DA1" w:rsidP="00556540">
            <w:pPr>
              <w:overflowPunct/>
              <w:autoSpaceDE/>
              <w:autoSpaceDN/>
              <w:adjustRightInd/>
              <w:jc w:val="left"/>
              <w:textAlignment w:val="auto"/>
              <w:rPr>
                <w:rFonts w:ascii="Calibri" w:hAnsi="Calibri" w:cs="Calibri"/>
              </w:rPr>
            </w:pPr>
            <w:r w:rsidRPr="009F750B">
              <w:rPr>
                <w:rFonts w:ascii="Calibri" w:hAnsi="Calibri" w:cs="Calibri"/>
              </w:rPr>
              <w:t>-</w:t>
            </w:r>
          </w:p>
        </w:tc>
      </w:tr>
      <w:tr w:rsidR="00376DA1" w:rsidTr="00556540">
        <w:tc>
          <w:tcPr>
            <w:tcW w:w="1900" w:type="dxa"/>
          </w:tcPr>
          <w:p w:rsidR="00376DA1" w:rsidRPr="009F750B" w:rsidRDefault="00376DA1" w:rsidP="00556540">
            <w:pPr>
              <w:jc w:val="center"/>
              <w:rPr>
                <w:rFonts w:ascii="Calibri" w:hAnsi="Calibri" w:cs="Calibri"/>
              </w:rPr>
            </w:pPr>
            <w:r w:rsidRPr="009F750B">
              <w:rPr>
                <w:rFonts w:ascii="Calibri" w:hAnsi="Calibri" w:cs="Calibri"/>
              </w:rPr>
              <w:t>11,2</w:t>
            </w:r>
          </w:p>
        </w:tc>
        <w:tc>
          <w:tcPr>
            <w:tcW w:w="600" w:type="dxa"/>
          </w:tcPr>
          <w:p w:rsidR="00376DA1" w:rsidRPr="009F750B" w:rsidRDefault="00376DA1" w:rsidP="00556540">
            <w:pPr>
              <w:jc w:val="center"/>
              <w:rPr>
                <w:rFonts w:ascii="Calibri" w:hAnsi="Calibri" w:cs="Calibri"/>
              </w:rPr>
            </w:pPr>
            <w:r w:rsidRPr="009F750B">
              <w:rPr>
                <w:rFonts w:ascii="Calibri" w:hAnsi="Calibri" w:cs="Calibri"/>
              </w:rPr>
              <w:t>70</w:t>
            </w:r>
          </w:p>
        </w:tc>
        <w:tc>
          <w:tcPr>
            <w:tcW w:w="700" w:type="dxa"/>
          </w:tcPr>
          <w:p w:rsidR="00376DA1" w:rsidRPr="009F750B" w:rsidRDefault="00376DA1" w:rsidP="00556540">
            <w:pPr>
              <w:jc w:val="center"/>
              <w:rPr>
                <w:rFonts w:ascii="Calibri" w:hAnsi="Calibri" w:cs="Calibri"/>
              </w:rPr>
            </w:pPr>
            <w:r w:rsidRPr="009F750B">
              <w:rPr>
                <w:rFonts w:ascii="Calibri" w:hAnsi="Calibri" w:cs="Calibri"/>
              </w:rPr>
              <w:t>92</w:t>
            </w:r>
          </w:p>
        </w:tc>
        <w:tc>
          <w:tcPr>
            <w:tcW w:w="600" w:type="dxa"/>
          </w:tcPr>
          <w:p w:rsidR="00376DA1" w:rsidRPr="009F750B" w:rsidRDefault="00376DA1" w:rsidP="00556540">
            <w:pPr>
              <w:jc w:val="center"/>
              <w:rPr>
                <w:rFonts w:ascii="Calibri" w:hAnsi="Calibri" w:cs="Calibri"/>
              </w:rPr>
            </w:pPr>
            <w:r w:rsidRPr="009F750B">
              <w:rPr>
                <w:rFonts w:ascii="Calibri" w:hAnsi="Calibri" w:cs="Calibri"/>
              </w:rPr>
              <w:t>-</w:t>
            </w:r>
          </w:p>
        </w:tc>
        <w:tc>
          <w:tcPr>
            <w:tcW w:w="700" w:type="dxa"/>
          </w:tcPr>
          <w:p w:rsidR="00376DA1" w:rsidRPr="009F750B" w:rsidRDefault="00376DA1" w:rsidP="00556540">
            <w:pPr>
              <w:jc w:val="center"/>
              <w:rPr>
                <w:rFonts w:ascii="Calibri" w:hAnsi="Calibri" w:cs="Calibri"/>
              </w:rPr>
            </w:pPr>
            <w:r w:rsidRPr="009F750B">
              <w:rPr>
                <w:rFonts w:ascii="Calibri" w:hAnsi="Calibri" w:cs="Calibri"/>
              </w:rPr>
              <w:t>-</w:t>
            </w:r>
          </w:p>
        </w:tc>
        <w:tc>
          <w:tcPr>
            <w:tcW w:w="600" w:type="dxa"/>
          </w:tcPr>
          <w:p w:rsidR="00376DA1" w:rsidRPr="009F750B" w:rsidRDefault="00376DA1" w:rsidP="00556540">
            <w:pPr>
              <w:jc w:val="center"/>
              <w:rPr>
                <w:rFonts w:ascii="Calibri" w:hAnsi="Calibri" w:cs="Calibri"/>
              </w:rPr>
            </w:pPr>
            <w:r w:rsidRPr="009F750B">
              <w:rPr>
                <w:rFonts w:ascii="Calibri" w:hAnsi="Calibri" w:cs="Calibri"/>
              </w:rPr>
              <w:t>65</w:t>
            </w:r>
          </w:p>
        </w:tc>
        <w:tc>
          <w:tcPr>
            <w:tcW w:w="700" w:type="dxa"/>
          </w:tcPr>
          <w:p w:rsidR="00376DA1" w:rsidRPr="009F750B" w:rsidRDefault="00376DA1" w:rsidP="00556540">
            <w:pPr>
              <w:jc w:val="center"/>
              <w:rPr>
                <w:rFonts w:ascii="Calibri" w:hAnsi="Calibri" w:cs="Calibri"/>
              </w:rPr>
            </w:pPr>
            <w:r w:rsidRPr="009F750B">
              <w:rPr>
                <w:rFonts w:ascii="Calibri" w:hAnsi="Calibri" w:cs="Calibri"/>
              </w:rPr>
              <w:t>85</w:t>
            </w:r>
          </w:p>
        </w:tc>
        <w:tc>
          <w:tcPr>
            <w:tcW w:w="600" w:type="dxa"/>
          </w:tcPr>
          <w:p w:rsidR="00376DA1" w:rsidRPr="009F750B" w:rsidRDefault="00376DA1" w:rsidP="00556540">
            <w:pPr>
              <w:jc w:val="center"/>
              <w:rPr>
                <w:rFonts w:ascii="Calibri" w:hAnsi="Calibri" w:cs="Calibri"/>
              </w:rPr>
            </w:pPr>
            <w:r w:rsidRPr="009F750B">
              <w:rPr>
                <w:rFonts w:ascii="Calibri" w:hAnsi="Calibri" w:cs="Calibri"/>
              </w:rPr>
              <w:t>-</w:t>
            </w:r>
          </w:p>
        </w:tc>
        <w:tc>
          <w:tcPr>
            <w:tcW w:w="700" w:type="dxa"/>
          </w:tcPr>
          <w:p w:rsidR="00376DA1" w:rsidRPr="009F750B" w:rsidRDefault="00376DA1" w:rsidP="00556540">
            <w:pPr>
              <w:jc w:val="center"/>
              <w:rPr>
                <w:rFonts w:ascii="Calibri" w:hAnsi="Calibri" w:cs="Calibri"/>
              </w:rPr>
            </w:pPr>
            <w:r w:rsidRPr="009F750B">
              <w:rPr>
                <w:rFonts w:ascii="Calibri" w:hAnsi="Calibri" w:cs="Calibri"/>
              </w:rPr>
              <w:t>-</w:t>
            </w:r>
          </w:p>
        </w:tc>
        <w:tc>
          <w:tcPr>
            <w:tcW w:w="600" w:type="dxa"/>
            <w:shd w:val="clear" w:color="auto" w:fill="auto"/>
          </w:tcPr>
          <w:p w:rsidR="00376DA1" w:rsidRPr="009F750B" w:rsidRDefault="00376DA1" w:rsidP="00556540">
            <w:pPr>
              <w:overflowPunct/>
              <w:autoSpaceDE/>
              <w:autoSpaceDN/>
              <w:adjustRightInd/>
              <w:jc w:val="left"/>
              <w:textAlignment w:val="auto"/>
              <w:rPr>
                <w:rFonts w:ascii="Calibri" w:hAnsi="Calibri" w:cs="Calibri"/>
              </w:rPr>
            </w:pPr>
            <w:r w:rsidRPr="009F750B">
              <w:rPr>
                <w:rFonts w:ascii="Calibri" w:hAnsi="Calibri" w:cs="Calibri"/>
              </w:rPr>
              <w:t>-</w:t>
            </w:r>
          </w:p>
        </w:tc>
        <w:tc>
          <w:tcPr>
            <w:tcW w:w="603" w:type="dxa"/>
            <w:shd w:val="clear" w:color="auto" w:fill="auto"/>
          </w:tcPr>
          <w:p w:rsidR="00376DA1" w:rsidRPr="009F750B" w:rsidRDefault="00376DA1" w:rsidP="00556540">
            <w:pPr>
              <w:overflowPunct/>
              <w:autoSpaceDE/>
              <w:autoSpaceDN/>
              <w:adjustRightInd/>
              <w:jc w:val="left"/>
              <w:textAlignment w:val="auto"/>
              <w:rPr>
                <w:rFonts w:ascii="Calibri" w:hAnsi="Calibri" w:cs="Calibri"/>
              </w:rPr>
            </w:pPr>
            <w:r w:rsidRPr="009F750B">
              <w:rPr>
                <w:rFonts w:ascii="Calibri" w:hAnsi="Calibri" w:cs="Calibri"/>
              </w:rPr>
              <w:t>-</w:t>
            </w:r>
          </w:p>
        </w:tc>
      </w:tr>
      <w:tr w:rsidR="00376DA1" w:rsidTr="00556540">
        <w:tc>
          <w:tcPr>
            <w:tcW w:w="1900" w:type="dxa"/>
          </w:tcPr>
          <w:p w:rsidR="00376DA1" w:rsidRPr="009F750B" w:rsidRDefault="00376DA1" w:rsidP="00556540">
            <w:pPr>
              <w:jc w:val="center"/>
              <w:rPr>
                <w:rFonts w:ascii="Calibri" w:hAnsi="Calibri" w:cs="Calibri"/>
              </w:rPr>
            </w:pPr>
            <w:r w:rsidRPr="009F750B">
              <w:rPr>
                <w:rFonts w:ascii="Calibri" w:hAnsi="Calibri" w:cs="Calibri"/>
              </w:rPr>
              <w:t>8</w:t>
            </w:r>
          </w:p>
        </w:tc>
        <w:tc>
          <w:tcPr>
            <w:tcW w:w="600" w:type="dxa"/>
          </w:tcPr>
          <w:p w:rsidR="00376DA1" w:rsidRPr="009F750B" w:rsidRDefault="00376DA1" w:rsidP="00556540">
            <w:pPr>
              <w:jc w:val="center"/>
              <w:rPr>
                <w:rFonts w:ascii="Calibri" w:hAnsi="Calibri" w:cs="Calibri"/>
              </w:rPr>
            </w:pPr>
            <w:r w:rsidRPr="009F750B">
              <w:rPr>
                <w:rFonts w:ascii="Calibri" w:hAnsi="Calibri" w:cs="Calibri"/>
              </w:rPr>
              <w:t>50</w:t>
            </w:r>
          </w:p>
        </w:tc>
        <w:tc>
          <w:tcPr>
            <w:tcW w:w="700" w:type="dxa"/>
          </w:tcPr>
          <w:p w:rsidR="00376DA1" w:rsidRPr="009F750B" w:rsidRDefault="00376DA1" w:rsidP="00556540">
            <w:pPr>
              <w:jc w:val="center"/>
              <w:rPr>
                <w:rFonts w:ascii="Calibri" w:hAnsi="Calibri" w:cs="Calibri"/>
              </w:rPr>
            </w:pPr>
            <w:r w:rsidRPr="009F750B">
              <w:rPr>
                <w:rFonts w:ascii="Calibri" w:hAnsi="Calibri" w:cs="Calibri"/>
              </w:rPr>
              <w:t>85</w:t>
            </w:r>
          </w:p>
        </w:tc>
        <w:tc>
          <w:tcPr>
            <w:tcW w:w="600" w:type="dxa"/>
          </w:tcPr>
          <w:p w:rsidR="00376DA1" w:rsidRPr="009F750B" w:rsidRDefault="00376DA1" w:rsidP="00556540">
            <w:pPr>
              <w:jc w:val="center"/>
              <w:rPr>
                <w:rFonts w:ascii="Calibri" w:hAnsi="Calibri" w:cs="Calibri"/>
              </w:rPr>
            </w:pPr>
            <w:r w:rsidRPr="009F750B">
              <w:rPr>
                <w:rFonts w:ascii="Calibri" w:hAnsi="Calibri" w:cs="Calibri"/>
              </w:rPr>
              <w:t>42</w:t>
            </w:r>
          </w:p>
        </w:tc>
        <w:tc>
          <w:tcPr>
            <w:tcW w:w="700" w:type="dxa"/>
          </w:tcPr>
          <w:p w:rsidR="00376DA1" w:rsidRPr="009F750B" w:rsidRDefault="00376DA1" w:rsidP="00556540">
            <w:pPr>
              <w:jc w:val="center"/>
              <w:rPr>
                <w:rFonts w:ascii="Calibri" w:hAnsi="Calibri" w:cs="Calibri"/>
              </w:rPr>
            </w:pPr>
            <w:r w:rsidRPr="009F750B">
              <w:rPr>
                <w:rFonts w:ascii="Calibri" w:hAnsi="Calibri" w:cs="Calibri"/>
              </w:rPr>
              <w:t>72</w:t>
            </w:r>
          </w:p>
        </w:tc>
        <w:tc>
          <w:tcPr>
            <w:tcW w:w="600" w:type="dxa"/>
          </w:tcPr>
          <w:p w:rsidR="00376DA1" w:rsidRPr="009F750B" w:rsidRDefault="00376DA1" w:rsidP="00556540">
            <w:pPr>
              <w:jc w:val="center"/>
              <w:rPr>
                <w:rFonts w:ascii="Calibri" w:hAnsi="Calibri" w:cs="Calibri"/>
              </w:rPr>
            </w:pPr>
          </w:p>
        </w:tc>
        <w:tc>
          <w:tcPr>
            <w:tcW w:w="700" w:type="dxa"/>
          </w:tcPr>
          <w:p w:rsidR="00376DA1" w:rsidRPr="009F750B" w:rsidRDefault="00376DA1" w:rsidP="00556540">
            <w:pPr>
              <w:jc w:val="center"/>
              <w:rPr>
                <w:rFonts w:ascii="Calibri" w:hAnsi="Calibri" w:cs="Calibri"/>
              </w:rPr>
            </w:pPr>
            <w:r w:rsidRPr="009F750B">
              <w:rPr>
                <w:rFonts w:ascii="Calibri" w:hAnsi="Calibri" w:cs="Calibri"/>
              </w:rPr>
              <w:t>76</w:t>
            </w:r>
          </w:p>
        </w:tc>
        <w:tc>
          <w:tcPr>
            <w:tcW w:w="600" w:type="dxa"/>
          </w:tcPr>
          <w:p w:rsidR="00376DA1" w:rsidRPr="009F750B" w:rsidRDefault="00376DA1" w:rsidP="00556540">
            <w:pPr>
              <w:jc w:val="center"/>
              <w:rPr>
                <w:rFonts w:ascii="Calibri" w:hAnsi="Calibri" w:cs="Calibri"/>
              </w:rPr>
            </w:pPr>
            <w:r w:rsidRPr="009F750B">
              <w:rPr>
                <w:rFonts w:ascii="Calibri" w:hAnsi="Calibri" w:cs="Calibri"/>
              </w:rPr>
              <w:t>42</w:t>
            </w:r>
          </w:p>
        </w:tc>
        <w:tc>
          <w:tcPr>
            <w:tcW w:w="700" w:type="dxa"/>
          </w:tcPr>
          <w:p w:rsidR="00376DA1" w:rsidRPr="009F750B" w:rsidRDefault="00376DA1" w:rsidP="00556540">
            <w:pPr>
              <w:jc w:val="center"/>
              <w:rPr>
                <w:rFonts w:ascii="Calibri" w:hAnsi="Calibri" w:cs="Calibri"/>
              </w:rPr>
            </w:pPr>
            <w:r w:rsidRPr="009F750B">
              <w:rPr>
                <w:rFonts w:ascii="Calibri" w:hAnsi="Calibri" w:cs="Calibri"/>
              </w:rPr>
              <w:t>68</w:t>
            </w:r>
          </w:p>
        </w:tc>
        <w:tc>
          <w:tcPr>
            <w:tcW w:w="600" w:type="dxa"/>
            <w:shd w:val="clear" w:color="auto" w:fill="auto"/>
          </w:tcPr>
          <w:p w:rsidR="00376DA1" w:rsidRPr="009F750B" w:rsidRDefault="00376DA1" w:rsidP="00556540">
            <w:pPr>
              <w:overflowPunct/>
              <w:autoSpaceDE/>
              <w:autoSpaceDN/>
              <w:adjustRightInd/>
              <w:jc w:val="left"/>
              <w:textAlignment w:val="auto"/>
              <w:rPr>
                <w:rFonts w:ascii="Calibri" w:hAnsi="Calibri" w:cs="Calibri"/>
              </w:rPr>
            </w:pPr>
            <w:r w:rsidRPr="009F750B">
              <w:rPr>
                <w:rFonts w:ascii="Calibri" w:hAnsi="Calibri" w:cs="Calibri"/>
              </w:rPr>
              <w:t>33</w:t>
            </w:r>
          </w:p>
        </w:tc>
        <w:tc>
          <w:tcPr>
            <w:tcW w:w="603" w:type="dxa"/>
            <w:shd w:val="clear" w:color="auto" w:fill="auto"/>
          </w:tcPr>
          <w:p w:rsidR="00376DA1" w:rsidRPr="009F750B" w:rsidRDefault="00376DA1" w:rsidP="00556540">
            <w:pPr>
              <w:overflowPunct/>
              <w:autoSpaceDE/>
              <w:autoSpaceDN/>
              <w:adjustRightInd/>
              <w:jc w:val="left"/>
              <w:textAlignment w:val="auto"/>
              <w:rPr>
                <w:rFonts w:ascii="Calibri" w:hAnsi="Calibri" w:cs="Calibri"/>
              </w:rPr>
            </w:pPr>
            <w:r w:rsidRPr="009F750B">
              <w:rPr>
                <w:rFonts w:ascii="Calibri" w:hAnsi="Calibri" w:cs="Calibri"/>
              </w:rPr>
              <w:t>53</w:t>
            </w:r>
          </w:p>
        </w:tc>
      </w:tr>
      <w:tr w:rsidR="00376DA1" w:rsidTr="00556540">
        <w:tc>
          <w:tcPr>
            <w:tcW w:w="1900" w:type="dxa"/>
          </w:tcPr>
          <w:p w:rsidR="00376DA1" w:rsidRPr="009F750B" w:rsidRDefault="00376DA1" w:rsidP="00556540">
            <w:pPr>
              <w:jc w:val="center"/>
              <w:rPr>
                <w:rFonts w:ascii="Calibri" w:hAnsi="Calibri" w:cs="Calibri"/>
              </w:rPr>
            </w:pPr>
            <w:r w:rsidRPr="009F750B">
              <w:rPr>
                <w:rFonts w:ascii="Calibri" w:hAnsi="Calibri" w:cs="Calibri"/>
              </w:rPr>
              <w:t>2</w:t>
            </w:r>
          </w:p>
        </w:tc>
        <w:tc>
          <w:tcPr>
            <w:tcW w:w="600" w:type="dxa"/>
          </w:tcPr>
          <w:p w:rsidR="00376DA1" w:rsidRPr="009F750B" w:rsidRDefault="00376DA1" w:rsidP="00556540">
            <w:pPr>
              <w:jc w:val="center"/>
              <w:rPr>
                <w:rFonts w:ascii="Calibri" w:hAnsi="Calibri" w:cs="Calibri"/>
              </w:rPr>
            </w:pPr>
            <w:r w:rsidRPr="009F750B">
              <w:rPr>
                <w:rFonts w:ascii="Calibri" w:hAnsi="Calibri" w:cs="Calibri"/>
              </w:rPr>
              <w:t>25</w:t>
            </w:r>
          </w:p>
        </w:tc>
        <w:tc>
          <w:tcPr>
            <w:tcW w:w="700" w:type="dxa"/>
          </w:tcPr>
          <w:p w:rsidR="00376DA1" w:rsidRPr="009F750B" w:rsidRDefault="00376DA1" w:rsidP="00556540">
            <w:pPr>
              <w:jc w:val="center"/>
              <w:rPr>
                <w:rFonts w:ascii="Calibri" w:hAnsi="Calibri" w:cs="Calibri"/>
              </w:rPr>
            </w:pPr>
            <w:r w:rsidRPr="009F750B">
              <w:rPr>
                <w:rFonts w:ascii="Calibri" w:hAnsi="Calibri" w:cs="Calibri"/>
              </w:rPr>
              <w:t>50</w:t>
            </w:r>
          </w:p>
        </w:tc>
        <w:tc>
          <w:tcPr>
            <w:tcW w:w="600" w:type="dxa"/>
          </w:tcPr>
          <w:p w:rsidR="00376DA1" w:rsidRPr="009F750B" w:rsidRDefault="00376DA1" w:rsidP="00556540">
            <w:pPr>
              <w:jc w:val="center"/>
              <w:rPr>
                <w:rFonts w:ascii="Calibri" w:hAnsi="Calibri" w:cs="Calibri"/>
              </w:rPr>
            </w:pPr>
            <w:r w:rsidRPr="009F750B">
              <w:rPr>
                <w:rFonts w:ascii="Calibri" w:hAnsi="Calibri" w:cs="Calibri"/>
              </w:rPr>
              <w:t>15</w:t>
            </w:r>
          </w:p>
        </w:tc>
        <w:tc>
          <w:tcPr>
            <w:tcW w:w="700" w:type="dxa"/>
          </w:tcPr>
          <w:p w:rsidR="00376DA1" w:rsidRPr="009F750B" w:rsidRDefault="00376DA1" w:rsidP="00556540">
            <w:pPr>
              <w:jc w:val="center"/>
              <w:rPr>
                <w:rFonts w:ascii="Calibri" w:hAnsi="Calibri" w:cs="Calibri"/>
              </w:rPr>
            </w:pPr>
            <w:r w:rsidRPr="009F750B">
              <w:rPr>
                <w:rFonts w:ascii="Calibri" w:hAnsi="Calibri" w:cs="Calibri"/>
              </w:rPr>
              <w:t>45</w:t>
            </w:r>
          </w:p>
        </w:tc>
        <w:tc>
          <w:tcPr>
            <w:tcW w:w="600" w:type="dxa"/>
          </w:tcPr>
          <w:p w:rsidR="00376DA1" w:rsidRPr="009F750B" w:rsidRDefault="00376DA1" w:rsidP="00556540">
            <w:pPr>
              <w:jc w:val="center"/>
              <w:rPr>
                <w:rFonts w:ascii="Calibri" w:hAnsi="Calibri" w:cs="Calibri"/>
              </w:rPr>
            </w:pPr>
            <w:r w:rsidRPr="009F750B">
              <w:rPr>
                <w:rFonts w:ascii="Calibri" w:hAnsi="Calibri" w:cs="Calibri"/>
              </w:rPr>
              <w:t>25</w:t>
            </w:r>
          </w:p>
        </w:tc>
        <w:tc>
          <w:tcPr>
            <w:tcW w:w="700" w:type="dxa"/>
          </w:tcPr>
          <w:p w:rsidR="00376DA1" w:rsidRPr="009F750B" w:rsidRDefault="00376DA1" w:rsidP="00556540">
            <w:pPr>
              <w:jc w:val="center"/>
              <w:rPr>
                <w:rFonts w:ascii="Calibri" w:hAnsi="Calibri" w:cs="Calibri"/>
              </w:rPr>
            </w:pPr>
            <w:r w:rsidRPr="009F750B">
              <w:rPr>
                <w:rFonts w:ascii="Calibri" w:hAnsi="Calibri" w:cs="Calibri"/>
              </w:rPr>
              <w:t>50</w:t>
            </w:r>
          </w:p>
        </w:tc>
        <w:tc>
          <w:tcPr>
            <w:tcW w:w="600" w:type="dxa"/>
          </w:tcPr>
          <w:p w:rsidR="00376DA1" w:rsidRPr="009F750B" w:rsidRDefault="00376DA1" w:rsidP="00556540">
            <w:pPr>
              <w:jc w:val="center"/>
              <w:rPr>
                <w:rFonts w:ascii="Calibri" w:hAnsi="Calibri" w:cs="Calibri"/>
              </w:rPr>
            </w:pPr>
            <w:r w:rsidRPr="009F750B">
              <w:rPr>
                <w:rFonts w:ascii="Calibri" w:hAnsi="Calibri" w:cs="Calibri"/>
              </w:rPr>
              <w:t>15</w:t>
            </w:r>
          </w:p>
        </w:tc>
        <w:tc>
          <w:tcPr>
            <w:tcW w:w="700" w:type="dxa"/>
          </w:tcPr>
          <w:p w:rsidR="00376DA1" w:rsidRPr="009F750B" w:rsidRDefault="00376DA1" w:rsidP="00556540">
            <w:pPr>
              <w:jc w:val="center"/>
              <w:rPr>
                <w:rFonts w:ascii="Calibri" w:hAnsi="Calibri" w:cs="Calibri"/>
              </w:rPr>
            </w:pPr>
            <w:r w:rsidRPr="009F750B">
              <w:rPr>
                <w:rFonts w:ascii="Calibri" w:hAnsi="Calibri" w:cs="Calibri"/>
              </w:rPr>
              <w:t>45</w:t>
            </w:r>
          </w:p>
        </w:tc>
        <w:tc>
          <w:tcPr>
            <w:tcW w:w="600" w:type="dxa"/>
            <w:shd w:val="clear" w:color="auto" w:fill="auto"/>
          </w:tcPr>
          <w:p w:rsidR="00376DA1" w:rsidRPr="009F750B" w:rsidRDefault="00376DA1" w:rsidP="00556540">
            <w:pPr>
              <w:overflowPunct/>
              <w:autoSpaceDE/>
              <w:autoSpaceDN/>
              <w:adjustRightInd/>
              <w:jc w:val="left"/>
              <w:textAlignment w:val="auto"/>
              <w:rPr>
                <w:rFonts w:ascii="Calibri" w:hAnsi="Calibri" w:cs="Calibri"/>
              </w:rPr>
            </w:pPr>
            <w:r w:rsidRPr="009F750B">
              <w:rPr>
                <w:rFonts w:ascii="Calibri" w:hAnsi="Calibri" w:cs="Calibri"/>
              </w:rPr>
              <w:t>10</w:t>
            </w:r>
          </w:p>
        </w:tc>
        <w:tc>
          <w:tcPr>
            <w:tcW w:w="603" w:type="dxa"/>
            <w:shd w:val="clear" w:color="auto" w:fill="auto"/>
          </w:tcPr>
          <w:p w:rsidR="00376DA1" w:rsidRPr="009F750B" w:rsidRDefault="00376DA1" w:rsidP="00556540">
            <w:pPr>
              <w:overflowPunct/>
              <w:autoSpaceDE/>
              <w:autoSpaceDN/>
              <w:adjustRightInd/>
              <w:jc w:val="left"/>
              <w:textAlignment w:val="auto"/>
              <w:rPr>
                <w:rFonts w:ascii="Calibri" w:hAnsi="Calibri" w:cs="Calibri"/>
              </w:rPr>
            </w:pPr>
            <w:r w:rsidRPr="009F750B">
              <w:rPr>
                <w:rFonts w:ascii="Calibri" w:hAnsi="Calibri" w:cs="Calibri"/>
              </w:rPr>
              <w:t>40</w:t>
            </w:r>
          </w:p>
        </w:tc>
      </w:tr>
      <w:tr w:rsidR="00376DA1" w:rsidTr="00556540">
        <w:tc>
          <w:tcPr>
            <w:tcW w:w="1900" w:type="dxa"/>
          </w:tcPr>
          <w:p w:rsidR="00376DA1" w:rsidRPr="009F750B" w:rsidRDefault="00376DA1" w:rsidP="00556540">
            <w:pPr>
              <w:jc w:val="center"/>
              <w:rPr>
                <w:rFonts w:ascii="Calibri" w:hAnsi="Calibri" w:cs="Calibri"/>
              </w:rPr>
            </w:pPr>
            <w:r w:rsidRPr="009F750B">
              <w:rPr>
                <w:rFonts w:ascii="Calibri" w:hAnsi="Calibri" w:cs="Calibri"/>
              </w:rPr>
              <w:t>0,125</w:t>
            </w:r>
          </w:p>
        </w:tc>
        <w:tc>
          <w:tcPr>
            <w:tcW w:w="600" w:type="dxa"/>
          </w:tcPr>
          <w:p w:rsidR="00376DA1" w:rsidRPr="009F750B" w:rsidRDefault="00376DA1" w:rsidP="00556540">
            <w:pPr>
              <w:jc w:val="center"/>
              <w:rPr>
                <w:rFonts w:ascii="Calibri" w:hAnsi="Calibri" w:cs="Calibri"/>
              </w:rPr>
            </w:pPr>
            <w:r w:rsidRPr="009F750B">
              <w:rPr>
                <w:rFonts w:ascii="Calibri" w:hAnsi="Calibri" w:cs="Calibri"/>
              </w:rPr>
              <w:t>5</w:t>
            </w:r>
          </w:p>
        </w:tc>
        <w:tc>
          <w:tcPr>
            <w:tcW w:w="700" w:type="dxa"/>
          </w:tcPr>
          <w:p w:rsidR="00376DA1" w:rsidRPr="009F750B" w:rsidRDefault="00376DA1" w:rsidP="00556540">
            <w:pPr>
              <w:jc w:val="center"/>
              <w:rPr>
                <w:rFonts w:ascii="Calibri" w:hAnsi="Calibri" w:cs="Calibri"/>
              </w:rPr>
            </w:pPr>
            <w:r w:rsidRPr="009F750B">
              <w:rPr>
                <w:rFonts w:ascii="Calibri" w:hAnsi="Calibri" w:cs="Calibri"/>
              </w:rPr>
              <w:t>13</w:t>
            </w:r>
          </w:p>
        </w:tc>
        <w:tc>
          <w:tcPr>
            <w:tcW w:w="600" w:type="dxa"/>
          </w:tcPr>
          <w:p w:rsidR="00376DA1" w:rsidRPr="009F750B" w:rsidRDefault="00376DA1" w:rsidP="00556540">
            <w:pPr>
              <w:jc w:val="center"/>
              <w:rPr>
                <w:rFonts w:ascii="Calibri" w:hAnsi="Calibri" w:cs="Calibri"/>
              </w:rPr>
            </w:pPr>
            <w:r w:rsidRPr="009F750B">
              <w:rPr>
                <w:rFonts w:ascii="Calibri" w:hAnsi="Calibri" w:cs="Calibri"/>
              </w:rPr>
              <w:t>5</w:t>
            </w:r>
          </w:p>
        </w:tc>
        <w:tc>
          <w:tcPr>
            <w:tcW w:w="700" w:type="dxa"/>
          </w:tcPr>
          <w:p w:rsidR="00376DA1" w:rsidRPr="009F750B" w:rsidRDefault="00376DA1" w:rsidP="00556540">
            <w:pPr>
              <w:jc w:val="center"/>
              <w:rPr>
                <w:rFonts w:ascii="Calibri" w:hAnsi="Calibri" w:cs="Calibri"/>
              </w:rPr>
            </w:pPr>
            <w:r w:rsidRPr="009F750B">
              <w:rPr>
                <w:rFonts w:ascii="Calibri" w:hAnsi="Calibri" w:cs="Calibri"/>
              </w:rPr>
              <w:t>13</w:t>
            </w:r>
          </w:p>
        </w:tc>
        <w:tc>
          <w:tcPr>
            <w:tcW w:w="600" w:type="dxa"/>
          </w:tcPr>
          <w:p w:rsidR="00376DA1" w:rsidRPr="009F750B" w:rsidRDefault="00376DA1" w:rsidP="00556540">
            <w:pPr>
              <w:jc w:val="center"/>
              <w:rPr>
                <w:rFonts w:ascii="Calibri" w:hAnsi="Calibri" w:cs="Calibri"/>
              </w:rPr>
            </w:pPr>
            <w:r w:rsidRPr="009F750B">
              <w:rPr>
                <w:rFonts w:ascii="Calibri" w:hAnsi="Calibri" w:cs="Calibri"/>
              </w:rPr>
              <w:t>4</w:t>
            </w:r>
          </w:p>
        </w:tc>
        <w:tc>
          <w:tcPr>
            <w:tcW w:w="700" w:type="dxa"/>
          </w:tcPr>
          <w:p w:rsidR="00376DA1" w:rsidRPr="009F750B" w:rsidRDefault="00376DA1" w:rsidP="00556540">
            <w:pPr>
              <w:jc w:val="center"/>
              <w:rPr>
                <w:rFonts w:ascii="Calibri" w:hAnsi="Calibri" w:cs="Calibri"/>
              </w:rPr>
            </w:pPr>
            <w:r w:rsidRPr="009F750B">
              <w:rPr>
                <w:rFonts w:ascii="Calibri" w:hAnsi="Calibri" w:cs="Calibri"/>
              </w:rPr>
              <w:t>12</w:t>
            </w:r>
          </w:p>
        </w:tc>
        <w:tc>
          <w:tcPr>
            <w:tcW w:w="600" w:type="dxa"/>
          </w:tcPr>
          <w:p w:rsidR="00376DA1" w:rsidRPr="009F750B" w:rsidRDefault="00376DA1" w:rsidP="00556540">
            <w:pPr>
              <w:jc w:val="center"/>
              <w:rPr>
                <w:rFonts w:ascii="Calibri" w:hAnsi="Calibri" w:cs="Calibri"/>
              </w:rPr>
            </w:pPr>
            <w:r w:rsidRPr="009F750B">
              <w:rPr>
                <w:rFonts w:ascii="Calibri" w:hAnsi="Calibri" w:cs="Calibri"/>
              </w:rPr>
              <w:t>4</w:t>
            </w:r>
          </w:p>
        </w:tc>
        <w:tc>
          <w:tcPr>
            <w:tcW w:w="700" w:type="dxa"/>
          </w:tcPr>
          <w:p w:rsidR="00376DA1" w:rsidRPr="009F750B" w:rsidRDefault="00376DA1" w:rsidP="00556540">
            <w:pPr>
              <w:jc w:val="center"/>
              <w:rPr>
                <w:rFonts w:ascii="Calibri" w:hAnsi="Calibri" w:cs="Calibri"/>
              </w:rPr>
            </w:pPr>
            <w:r w:rsidRPr="009F750B">
              <w:rPr>
                <w:rFonts w:ascii="Calibri" w:hAnsi="Calibri" w:cs="Calibri"/>
              </w:rPr>
              <w:t>12</w:t>
            </w:r>
          </w:p>
        </w:tc>
        <w:tc>
          <w:tcPr>
            <w:tcW w:w="600" w:type="dxa"/>
            <w:shd w:val="clear" w:color="auto" w:fill="auto"/>
          </w:tcPr>
          <w:p w:rsidR="00376DA1" w:rsidRPr="009F750B" w:rsidRDefault="00376DA1" w:rsidP="00556540">
            <w:pPr>
              <w:overflowPunct/>
              <w:autoSpaceDE/>
              <w:autoSpaceDN/>
              <w:adjustRightInd/>
              <w:jc w:val="left"/>
              <w:textAlignment w:val="auto"/>
              <w:rPr>
                <w:rFonts w:ascii="Calibri" w:hAnsi="Calibri" w:cs="Calibri"/>
              </w:rPr>
            </w:pPr>
            <w:r w:rsidRPr="009F750B">
              <w:rPr>
                <w:rFonts w:ascii="Calibri" w:hAnsi="Calibri" w:cs="Calibri"/>
              </w:rPr>
              <w:t>4</w:t>
            </w:r>
          </w:p>
        </w:tc>
        <w:tc>
          <w:tcPr>
            <w:tcW w:w="603" w:type="dxa"/>
            <w:shd w:val="clear" w:color="auto" w:fill="auto"/>
          </w:tcPr>
          <w:p w:rsidR="00376DA1" w:rsidRPr="009F750B" w:rsidRDefault="00376DA1" w:rsidP="00556540">
            <w:pPr>
              <w:overflowPunct/>
              <w:autoSpaceDE/>
              <w:autoSpaceDN/>
              <w:adjustRightInd/>
              <w:jc w:val="left"/>
              <w:textAlignment w:val="auto"/>
              <w:rPr>
                <w:rFonts w:ascii="Calibri" w:hAnsi="Calibri" w:cs="Calibri"/>
              </w:rPr>
            </w:pPr>
            <w:r w:rsidRPr="009F750B">
              <w:rPr>
                <w:rFonts w:ascii="Calibri" w:hAnsi="Calibri" w:cs="Calibri"/>
              </w:rPr>
              <w:t>12</w:t>
            </w:r>
          </w:p>
        </w:tc>
      </w:tr>
      <w:tr w:rsidR="00376DA1" w:rsidTr="00556540">
        <w:tc>
          <w:tcPr>
            <w:tcW w:w="1900" w:type="dxa"/>
          </w:tcPr>
          <w:p w:rsidR="00376DA1" w:rsidRPr="009F750B" w:rsidRDefault="00376DA1" w:rsidP="00556540">
            <w:pPr>
              <w:jc w:val="center"/>
              <w:rPr>
                <w:rFonts w:ascii="Calibri" w:hAnsi="Calibri" w:cs="Calibri"/>
              </w:rPr>
            </w:pPr>
            <w:r w:rsidRPr="009F750B">
              <w:rPr>
                <w:rFonts w:ascii="Calibri" w:hAnsi="Calibri" w:cs="Calibri"/>
              </w:rPr>
              <w:t>0,063</w:t>
            </w:r>
          </w:p>
        </w:tc>
        <w:tc>
          <w:tcPr>
            <w:tcW w:w="600" w:type="dxa"/>
          </w:tcPr>
          <w:p w:rsidR="00376DA1" w:rsidRPr="009F750B" w:rsidRDefault="00376DA1" w:rsidP="00556540">
            <w:pPr>
              <w:jc w:val="center"/>
              <w:rPr>
                <w:rFonts w:ascii="Calibri" w:hAnsi="Calibri" w:cs="Calibri"/>
              </w:rPr>
            </w:pPr>
            <w:r w:rsidRPr="009F750B">
              <w:rPr>
                <w:rFonts w:ascii="Calibri" w:hAnsi="Calibri" w:cs="Calibri"/>
              </w:rPr>
              <w:t>4</w:t>
            </w:r>
          </w:p>
        </w:tc>
        <w:tc>
          <w:tcPr>
            <w:tcW w:w="700" w:type="dxa"/>
          </w:tcPr>
          <w:p w:rsidR="00376DA1" w:rsidRPr="009F750B" w:rsidRDefault="00376DA1" w:rsidP="00556540">
            <w:pPr>
              <w:jc w:val="center"/>
              <w:rPr>
                <w:rFonts w:ascii="Calibri" w:hAnsi="Calibri" w:cs="Calibri"/>
              </w:rPr>
            </w:pPr>
            <w:r w:rsidRPr="009F750B">
              <w:rPr>
                <w:rFonts w:ascii="Calibri" w:hAnsi="Calibri" w:cs="Calibri"/>
              </w:rPr>
              <w:t>10</w:t>
            </w:r>
          </w:p>
        </w:tc>
        <w:tc>
          <w:tcPr>
            <w:tcW w:w="600" w:type="dxa"/>
          </w:tcPr>
          <w:p w:rsidR="00376DA1" w:rsidRPr="009F750B" w:rsidRDefault="00376DA1" w:rsidP="00556540">
            <w:pPr>
              <w:jc w:val="center"/>
              <w:rPr>
                <w:rFonts w:ascii="Calibri" w:hAnsi="Calibri" w:cs="Calibri"/>
              </w:rPr>
            </w:pPr>
            <w:r w:rsidRPr="009F750B">
              <w:rPr>
                <w:rFonts w:ascii="Calibri" w:hAnsi="Calibri" w:cs="Calibri"/>
              </w:rPr>
              <w:t>4</w:t>
            </w:r>
          </w:p>
        </w:tc>
        <w:tc>
          <w:tcPr>
            <w:tcW w:w="700" w:type="dxa"/>
          </w:tcPr>
          <w:p w:rsidR="00376DA1" w:rsidRPr="009F750B" w:rsidRDefault="00376DA1" w:rsidP="00556540">
            <w:pPr>
              <w:jc w:val="center"/>
              <w:rPr>
                <w:rFonts w:ascii="Calibri" w:hAnsi="Calibri" w:cs="Calibri"/>
              </w:rPr>
            </w:pPr>
            <w:r w:rsidRPr="009F750B">
              <w:rPr>
                <w:rFonts w:ascii="Calibri" w:hAnsi="Calibri" w:cs="Calibri"/>
              </w:rPr>
              <w:t>10</w:t>
            </w:r>
          </w:p>
        </w:tc>
        <w:tc>
          <w:tcPr>
            <w:tcW w:w="600" w:type="dxa"/>
          </w:tcPr>
          <w:p w:rsidR="00376DA1" w:rsidRPr="009F750B" w:rsidRDefault="00376DA1" w:rsidP="00556540">
            <w:pPr>
              <w:jc w:val="center"/>
              <w:rPr>
                <w:rFonts w:ascii="Calibri" w:hAnsi="Calibri" w:cs="Calibri"/>
              </w:rPr>
            </w:pPr>
            <w:r w:rsidRPr="009F750B">
              <w:rPr>
                <w:rFonts w:ascii="Calibri" w:hAnsi="Calibri" w:cs="Calibri"/>
              </w:rPr>
              <w:t>2,0</w:t>
            </w:r>
          </w:p>
        </w:tc>
        <w:tc>
          <w:tcPr>
            <w:tcW w:w="700" w:type="dxa"/>
          </w:tcPr>
          <w:p w:rsidR="00376DA1" w:rsidRPr="009F750B" w:rsidRDefault="00376DA1" w:rsidP="00556540">
            <w:pPr>
              <w:jc w:val="center"/>
              <w:rPr>
                <w:rFonts w:ascii="Calibri" w:hAnsi="Calibri" w:cs="Calibri"/>
              </w:rPr>
            </w:pPr>
            <w:r w:rsidRPr="009F750B">
              <w:rPr>
                <w:rFonts w:ascii="Calibri" w:hAnsi="Calibri" w:cs="Calibri"/>
              </w:rPr>
              <w:t>8</w:t>
            </w:r>
          </w:p>
        </w:tc>
        <w:tc>
          <w:tcPr>
            <w:tcW w:w="600" w:type="dxa"/>
          </w:tcPr>
          <w:p w:rsidR="00376DA1" w:rsidRPr="009F750B" w:rsidRDefault="00376DA1" w:rsidP="00556540">
            <w:pPr>
              <w:jc w:val="center"/>
              <w:rPr>
                <w:rFonts w:ascii="Calibri" w:hAnsi="Calibri" w:cs="Calibri"/>
              </w:rPr>
            </w:pPr>
            <w:r w:rsidRPr="009F750B">
              <w:rPr>
                <w:rFonts w:ascii="Calibri" w:hAnsi="Calibri" w:cs="Calibri"/>
              </w:rPr>
              <w:t>4</w:t>
            </w:r>
          </w:p>
        </w:tc>
        <w:tc>
          <w:tcPr>
            <w:tcW w:w="700" w:type="dxa"/>
          </w:tcPr>
          <w:p w:rsidR="00376DA1" w:rsidRPr="009F750B" w:rsidRDefault="00376DA1" w:rsidP="00556540">
            <w:pPr>
              <w:jc w:val="center"/>
              <w:rPr>
                <w:rFonts w:ascii="Calibri" w:hAnsi="Calibri" w:cs="Calibri"/>
              </w:rPr>
            </w:pPr>
            <w:r w:rsidRPr="009F750B">
              <w:rPr>
                <w:rFonts w:ascii="Calibri" w:hAnsi="Calibri" w:cs="Calibri"/>
              </w:rPr>
              <w:t>8</w:t>
            </w:r>
          </w:p>
        </w:tc>
        <w:tc>
          <w:tcPr>
            <w:tcW w:w="600" w:type="dxa"/>
            <w:shd w:val="clear" w:color="auto" w:fill="auto"/>
          </w:tcPr>
          <w:p w:rsidR="00376DA1" w:rsidRPr="009F750B" w:rsidRDefault="00376DA1" w:rsidP="00556540">
            <w:pPr>
              <w:overflowPunct/>
              <w:autoSpaceDE/>
              <w:autoSpaceDN/>
              <w:adjustRightInd/>
              <w:jc w:val="left"/>
              <w:textAlignment w:val="auto"/>
              <w:rPr>
                <w:rFonts w:ascii="Calibri" w:hAnsi="Calibri" w:cs="Calibri"/>
              </w:rPr>
            </w:pPr>
            <w:r w:rsidRPr="009F750B">
              <w:rPr>
                <w:rFonts w:ascii="Calibri" w:hAnsi="Calibri" w:cs="Calibri"/>
              </w:rPr>
              <w:t>3</w:t>
            </w:r>
          </w:p>
        </w:tc>
        <w:tc>
          <w:tcPr>
            <w:tcW w:w="603" w:type="dxa"/>
            <w:shd w:val="clear" w:color="auto" w:fill="auto"/>
          </w:tcPr>
          <w:p w:rsidR="00376DA1" w:rsidRPr="009F750B" w:rsidRDefault="00376DA1" w:rsidP="00556540">
            <w:pPr>
              <w:overflowPunct/>
              <w:autoSpaceDE/>
              <w:autoSpaceDN/>
              <w:adjustRightInd/>
              <w:jc w:val="left"/>
              <w:textAlignment w:val="auto"/>
              <w:rPr>
                <w:rFonts w:ascii="Calibri" w:hAnsi="Calibri" w:cs="Calibri"/>
              </w:rPr>
            </w:pPr>
            <w:r w:rsidRPr="009F750B">
              <w:rPr>
                <w:rFonts w:ascii="Calibri" w:hAnsi="Calibri" w:cs="Calibri"/>
              </w:rPr>
              <w:t>7</w:t>
            </w:r>
          </w:p>
        </w:tc>
      </w:tr>
      <w:tr w:rsidR="00376DA1" w:rsidTr="00556540">
        <w:tc>
          <w:tcPr>
            <w:tcW w:w="1900" w:type="dxa"/>
          </w:tcPr>
          <w:p w:rsidR="00376DA1" w:rsidRPr="009F750B" w:rsidRDefault="00376DA1" w:rsidP="00556540">
            <w:pPr>
              <w:rPr>
                <w:rFonts w:ascii="Calibri" w:hAnsi="Calibri" w:cs="Calibri"/>
                <w:vertAlign w:val="superscript"/>
              </w:rPr>
            </w:pPr>
            <w:r w:rsidRPr="009F750B">
              <w:rPr>
                <w:rFonts w:ascii="Calibri" w:hAnsi="Calibri" w:cs="Calibri"/>
              </w:rPr>
              <w:t>Zawartość lepiszcza, minimum</w:t>
            </w:r>
            <w:r w:rsidRPr="009F750B">
              <w:rPr>
                <w:rFonts w:ascii="Calibri" w:hAnsi="Calibri" w:cs="Calibri"/>
                <w:vertAlign w:val="superscript"/>
              </w:rPr>
              <w:t>*)</w:t>
            </w:r>
          </w:p>
        </w:tc>
        <w:tc>
          <w:tcPr>
            <w:tcW w:w="1300" w:type="dxa"/>
            <w:gridSpan w:val="2"/>
          </w:tcPr>
          <w:p w:rsidR="00376DA1" w:rsidRPr="009F750B" w:rsidRDefault="00376DA1" w:rsidP="00556540">
            <w:pPr>
              <w:spacing w:before="120"/>
              <w:jc w:val="center"/>
              <w:rPr>
                <w:rFonts w:ascii="Calibri" w:hAnsi="Calibri" w:cs="Calibri"/>
              </w:rPr>
            </w:pPr>
            <w:r w:rsidRPr="009F750B">
              <w:rPr>
                <w:rFonts w:ascii="Calibri" w:hAnsi="Calibri" w:cs="Calibri"/>
              </w:rPr>
              <w:t>B</w:t>
            </w:r>
            <w:r w:rsidRPr="009F750B">
              <w:rPr>
                <w:rFonts w:ascii="Calibri" w:hAnsi="Calibri" w:cs="Calibri"/>
                <w:vertAlign w:val="subscript"/>
              </w:rPr>
              <w:t>min4,2</w:t>
            </w:r>
          </w:p>
        </w:tc>
        <w:tc>
          <w:tcPr>
            <w:tcW w:w="1300" w:type="dxa"/>
            <w:gridSpan w:val="2"/>
          </w:tcPr>
          <w:p w:rsidR="00376DA1" w:rsidRPr="009F750B" w:rsidRDefault="00376DA1" w:rsidP="00556540">
            <w:pPr>
              <w:spacing w:before="120"/>
              <w:jc w:val="center"/>
              <w:rPr>
                <w:rFonts w:ascii="Calibri" w:hAnsi="Calibri" w:cs="Calibri"/>
              </w:rPr>
            </w:pPr>
            <w:r w:rsidRPr="009F750B">
              <w:rPr>
                <w:rFonts w:ascii="Calibri" w:hAnsi="Calibri" w:cs="Calibri"/>
              </w:rPr>
              <w:t>B</w:t>
            </w:r>
            <w:r w:rsidRPr="009F750B">
              <w:rPr>
                <w:rFonts w:ascii="Calibri" w:hAnsi="Calibri" w:cs="Calibri"/>
                <w:vertAlign w:val="subscript"/>
              </w:rPr>
              <w:t>min4,0</w:t>
            </w:r>
          </w:p>
        </w:tc>
        <w:tc>
          <w:tcPr>
            <w:tcW w:w="1300" w:type="dxa"/>
            <w:gridSpan w:val="2"/>
          </w:tcPr>
          <w:p w:rsidR="00376DA1" w:rsidRPr="009F750B" w:rsidRDefault="00376DA1" w:rsidP="00556540">
            <w:pPr>
              <w:spacing w:before="120"/>
              <w:jc w:val="center"/>
              <w:rPr>
                <w:rFonts w:ascii="Calibri" w:hAnsi="Calibri" w:cs="Calibri"/>
              </w:rPr>
            </w:pPr>
            <w:r w:rsidRPr="009F750B">
              <w:rPr>
                <w:rFonts w:ascii="Calibri" w:hAnsi="Calibri" w:cs="Calibri"/>
              </w:rPr>
              <w:t>B</w:t>
            </w:r>
            <w:r w:rsidRPr="009F750B">
              <w:rPr>
                <w:rFonts w:ascii="Calibri" w:hAnsi="Calibri" w:cs="Calibri"/>
                <w:vertAlign w:val="subscript"/>
              </w:rPr>
              <w:t>min4,0</w:t>
            </w:r>
          </w:p>
        </w:tc>
        <w:tc>
          <w:tcPr>
            <w:tcW w:w="1300" w:type="dxa"/>
            <w:gridSpan w:val="2"/>
          </w:tcPr>
          <w:p w:rsidR="00376DA1" w:rsidRPr="009F750B" w:rsidRDefault="00376DA1" w:rsidP="00556540">
            <w:pPr>
              <w:spacing w:before="120"/>
              <w:jc w:val="center"/>
              <w:rPr>
                <w:rFonts w:ascii="Calibri" w:hAnsi="Calibri" w:cs="Calibri"/>
              </w:rPr>
            </w:pPr>
            <w:r w:rsidRPr="009F750B">
              <w:rPr>
                <w:rFonts w:ascii="Calibri" w:hAnsi="Calibri" w:cs="Calibri"/>
              </w:rPr>
              <w:t>B</w:t>
            </w:r>
            <w:r w:rsidRPr="009F750B">
              <w:rPr>
                <w:rFonts w:ascii="Calibri" w:hAnsi="Calibri" w:cs="Calibri"/>
                <w:vertAlign w:val="subscript"/>
              </w:rPr>
              <w:t>min3,8</w:t>
            </w:r>
          </w:p>
        </w:tc>
        <w:tc>
          <w:tcPr>
            <w:tcW w:w="1203" w:type="dxa"/>
            <w:gridSpan w:val="2"/>
            <w:shd w:val="clear" w:color="auto" w:fill="auto"/>
          </w:tcPr>
          <w:p w:rsidR="00376DA1" w:rsidRPr="009F750B" w:rsidRDefault="00376DA1" w:rsidP="00556540">
            <w:pPr>
              <w:overflowPunct/>
              <w:autoSpaceDE/>
              <w:autoSpaceDN/>
              <w:adjustRightInd/>
              <w:spacing w:before="100" w:beforeAutospacing="1" w:after="240"/>
              <w:jc w:val="center"/>
              <w:textAlignment w:val="auto"/>
              <w:rPr>
                <w:rFonts w:ascii="Calibri" w:hAnsi="Calibri" w:cs="Calibri"/>
              </w:rPr>
            </w:pPr>
            <w:r w:rsidRPr="009F750B">
              <w:rPr>
                <w:rFonts w:ascii="Calibri" w:hAnsi="Calibri" w:cs="Calibri"/>
              </w:rPr>
              <w:t>B</w:t>
            </w:r>
            <w:r w:rsidRPr="009F750B">
              <w:rPr>
                <w:rFonts w:ascii="Calibri" w:hAnsi="Calibri" w:cs="Calibri"/>
                <w:vertAlign w:val="subscript"/>
              </w:rPr>
              <w:t>min3,6</w:t>
            </w:r>
          </w:p>
        </w:tc>
      </w:tr>
      <w:tr w:rsidR="00376DA1" w:rsidTr="00556540">
        <w:tblPrEx>
          <w:tblCellMar>
            <w:left w:w="70" w:type="dxa"/>
            <w:right w:w="70" w:type="dxa"/>
          </w:tblCellMar>
          <w:tblLook w:val="0000"/>
        </w:tblPrEx>
        <w:trPr>
          <w:trHeight w:val="656"/>
        </w:trPr>
        <w:tc>
          <w:tcPr>
            <w:tcW w:w="8303" w:type="dxa"/>
            <w:gridSpan w:val="11"/>
          </w:tcPr>
          <w:p w:rsidR="00376DA1" w:rsidRPr="009F750B" w:rsidRDefault="00376DA1" w:rsidP="00556540">
            <w:pPr>
              <w:tabs>
                <w:tab w:val="left" w:pos="180"/>
              </w:tabs>
              <w:spacing w:before="120" w:after="120"/>
              <w:ind w:hanging="180"/>
              <w:rPr>
                <w:rFonts w:ascii="Calibri" w:hAnsi="Calibri" w:cs="Calibri"/>
              </w:rPr>
            </w:pPr>
            <w:r w:rsidRPr="009F750B">
              <w:rPr>
                <w:rFonts w:ascii="Calibri" w:hAnsi="Calibri" w:cs="Calibri"/>
                <w:sz w:val="16"/>
                <w:szCs w:val="16"/>
                <w:vertAlign w:val="superscript"/>
              </w:rPr>
              <w:lastRenderedPageBreak/>
              <w:t>*)</w:t>
            </w:r>
            <w:r w:rsidRPr="009F750B">
              <w:rPr>
                <w:rFonts w:ascii="Calibri" w:hAnsi="Calibri" w:cs="Calibri"/>
              </w:rPr>
              <w:tab/>
            </w:r>
            <w:r w:rsidRPr="009F750B">
              <w:rPr>
                <w:rFonts w:ascii="Calibri" w:hAnsi="Calibri" w:cs="Calibri"/>
                <w:sz w:val="16"/>
                <w:szCs w:val="16"/>
              </w:rPr>
              <w:t>Minimalna zawartość lepiszcza jest określona przy założonej gęstości mieszanki mineralnej 2,650 Mg/m</w:t>
            </w:r>
            <w:r w:rsidRPr="009F750B">
              <w:rPr>
                <w:rFonts w:ascii="Calibri" w:hAnsi="Calibri" w:cs="Calibri"/>
                <w:sz w:val="16"/>
                <w:szCs w:val="16"/>
                <w:vertAlign w:val="superscript"/>
              </w:rPr>
              <w:t>3</w:t>
            </w:r>
            <w:r w:rsidRPr="009F750B">
              <w:rPr>
                <w:rFonts w:ascii="Calibri" w:hAnsi="Calibri" w:cs="Calibri"/>
                <w:sz w:val="16"/>
                <w:szCs w:val="16"/>
              </w:rPr>
              <w:t>. Jeżeli stosowana mieszanka mineralna ma inną gęstość (</w:t>
            </w:r>
            <w:r w:rsidRPr="009F750B">
              <w:rPr>
                <w:rFonts w:ascii="Calibri" w:hAnsi="Calibri" w:cs="Calibri"/>
                <w:i/>
                <w:sz w:val="16"/>
                <w:szCs w:val="16"/>
              </w:rPr>
              <w:t>ρ</w:t>
            </w:r>
            <w:r w:rsidRPr="009F750B">
              <w:rPr>
                <w:rFonts w:ascii="Calibri" w:hAnsi="Calibri" w:cs="Calibri"/>
                <w:sz w:val="16"/>
                <w:szCs w:val="16"/>
                <w:vertAlign w:val="subscript"/>
              </w:rPr>
              <w:t>d</w:t>
            </w:r>
            <w:r w:rsidRPr="009F750B">
              <w:rPr>
                <w:rFonts w:ascii="Calibri" w:hAnsi="Calibri" w:cs="Calibri"/>
                <w:sz w:val="16"/>
                <w:szCs w:val="16"/>
              </w:rPr>
              <w:t xml:space="preserve">), to do wyznaczenia minimalnej zawartości lepiszcza podaną wartość należy pomnożyć przez współczynnik </w:t>
            </w:r>
            <w:r w:rsidRPr="009F750B">
              <w:rPr>
                <w:rFonts w:ascii="Calibri" w:hAnsi="Calibri" w:cs="Calibri"/>
                <w:position w:val="-6"/>
                <w:sz w:val="16"/>
                <w:szCs w:val="16"/>
              </w:rPr>
              <w:object w:dxaOrig="240" w:dyaOrig="220">
                <v:shape id="_x0000_i1030" type="#_x0000_t75" style="width:12.25pt;height:10.2pt" o:ole="">
                  <v:imagedata r:id="rId42" o:title=""/>
                </v:shape>
                <o:OLEObject Type="Embed" ProgID="Equation.3" ShapeID="_x0000_i1030" DrawAspect="Content" ObjectID="_1511981121" r:id="rId43"/>
              </w:object>
            </w:r>
            <w:r w:rsidRPr="009F750B">
              <w:rPr>
                <w:rFonts w:ascii="Calibri" w:hAnsi="Calibri" w:cs="Calibri"/>
                <w:sz w:val="16"/>
                <w:szCs w:val="16"/>
              </w:rPr>
              <w:t xml:space="preserve"> według równania:  </w:t>
            </w:r>
            <w:r w:rsidRPr="009F750B">
              <w:rPr>
                <w:rFonts w:ascii="Calibri" w:hAnsi="Calibri" w:cs="Calibri"/>
                <w:position w:val="-30"/>
                <w:sz w:val="16"/>
                <w:szCs w:val="16"/>
              </w:rPr>
              <w:object w:dxaOrig="880" w:dyaOrig="680">
                <v:shape id="_x0000_i1031" type="#_x0000_t75" style="width:44.15pt;height:34.65pt" o:ole="">
                  <v:imagedata r:id="rId44" o:title=""/>
                </v:shape>
                <o:OLEObject Type="Embed" ProgID="Equation.3" ShapeID="_x0000_i1031" DrawAspect="Content" ObjectID="_1511981122" r:id="rId45"/>
              </w:object>
            </w:r>
          </w:p>
        </w:tc>
      </w:tr>
    </w:tbl>
    <w:p w:rsidR="00D553DB" w:rsidRDefault="00D553DB" w:rsidP="00376DA1">
      <w:pPr>
        <w:ind w:left="709"/>
        <w:rPr>
          <w:rFonts w:ascii="Calibri" w:hAnsi="Calibri" w:cs="Calibri"/>
        </w:rPr>
      </w:pPr>
    </w:p>
    <w:p w:rsidR="00376DA1" w:rsidRPr="00FD0AA8" w:rsidRDefault="00376DA1" w:rsidP="00376DA1">
      <w:pPr>
        <w:ind w:left="709"/>
        <w:rPr>
          <w:rFonts w:ascii="Calibri" w:hAnsi="Calibri" w:cs="Calibri"/>
        </w:rPr>
      </w:pPr>
      <w:r w:rsidRPr="00FD0AA8">
        <w:rPr>
          <w:rFonts w:ascii="Calibri" w:hAnsi="Calibri" w:cs="Calibri"/>
        </w:rPr>
        <w:t>Tablica 7.</w:t>
      </w:r>
      <w:r>
        <w:rPr>
          <w:rFonts w:ascii="Calibri" w:hAnsi="Calibri" w:cs="Calibri"/>
        </w:rPr>
        <w:t xml:space="preserve"> </w:t>
      </w:r>
      <w:r w:rsidRPr="00FD0AA8">
        <w:rPr>
          <w:rFonts w:ascii="Calibri" w:hAnsi="Calibri" w:cs="Calibri"/>
        </w:rPr>
        <w:t>Wymagane właściwości mieszanki mineralno-asfaltowej do warstwy podbudowy, dla ruchu  KR1 ÷ KR2 [65]</w:t>
      </w:r>
    </w:p>
    <w:tbl>
      <w:tblPr>
        <w:tblW w:w="7308" w:type="dxa"/>
        <w:tblInd w:w="81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tblPr>
      <w:tblGrid>
        <w:gridCol w:w="1384"/>
        <w:gridCol w:w="1276"/>
        <w:gridCol w:w="2128"/>
        <w:gridCol w:w="1260"/>
        <w:gridCol w:w="1260"/>
      </w:tblGrid>
      <w:tr w:rsidR="00376DA1" w:rsidRPr="00C64752" w:rsidTr="00556540">
        <w:tc>
          <w:tcPr>
            <w:tcW w:w="1384" w:type="dxa"/>
            <w:vAlign w:val="center"/>
          </w:tcPr>
          <w:p w:rsidR="00376DA1" w:rsidRPr="009F750B" w:rsidRDefault="00376DA1" w:rsidP="00556540">
            <w:pPr>
              <w:jc w:val="center"/>
              <w:rPr>
                <w:rFonts w:ascii="Calibri" w:hAnsi="Calibri" w:cs="Calibri"/>
                <w:sz w:val="18"/>
                <w:szCs w:val="18"/>
              </w:rPr>
            </w:pPr>
            <w:r w:rsidRPr="009F750B">
              <w:rPr>
                <w:rFonts w:ascii="Calibri" w:hAnsi="Calibri" w:cs="Calibri"/>
                <w:sz w:val="18"/>
                <w:szCs w:val="18"/>
              </w:rPr>
              <w:t>Właściwość</w:t>
            </w:r>
          </w:p>
        </w:tc>
        <w:tc>
          <w:tcPr>
            <w:tcW w:w="1276" w:type="dxa"/>
            <w:vAlign w:val="center"/>
          </w:tcPr>
          <w:p w:rsidR="00376DA1" w:rsidRPr="009F750B" w:rsidRDefault="00376DA1" w:rsidP="00556540">
            <w:pPr>
              <w:jc w:val="center"/>
              <w:rPr>
                <w:rFonts w:ascii="Calibri" w:hAnsi="Calibri" w:cs="Calibri"/>
                <w:sz w:val="18"/>
                <w:szCs w:val="18"/>
              </w:rPr>
            </w:pPr>
            <w:r w:rsidRPr="009F750B">
              <w:rPr>
                <w:rFonts w:ascii="Calibri" w:hAnsi="Calibri" w:cs="Calibri"/>
                <w:sz w:val="18"/>
                <w:szCs w:val="18"/>
              </w:rPr>
              <w:t xml:space="preserve">Warunki zagęszczania wg PN-EN </w:t>
            </w:r>
          </w:p>
          <w:p w:rsidR="00376DA1" w:rsidRPr="009F750B" w:rsidRDefault="00376DA1" w:rsidP="00556540">
            <w:pPr>
              <w:jc w:val="center"/>
              <w:rPr>
                <w:rFonts w:ascii="Calibri" w:hAnsi="Calibri" w:cs="Calibri"/>
                <w:sz w:val="18"/>
                <w:szCs w:val="18"/>
              </w:rPr>
            </w:pPr>
            <w:r w:rsidRPr="009F750B">
              <w:rPr>
                <w:rFonts w:ascii="Calibri" w:hAnsi="Calibri" w:cs="Calibri"/>
                <w:sz w:val="18"/>
                <w:szCs w:val="18"/>
              </w:rPr>
              <w:t>13108-20 [48]</w:t>
            </w:r>
          </w:p>
        </w:tc>
        <w:tc>
          <w:tcPr>
            <w:tcW w:w="2128" w:type="dxa"/>
            <w:vAlign w:val="center"/>
          </w:tcPr>
          <w:p w:rsidR="00376DA1" w:rsidRPr="009F750B" w:rsidRDefault="00376DA1" w:rsidP="00556540">
            <w:pPr>
              <w:jc w:val="center"/>
              <w:rPr>
                <w:rFonts w:ascii="Calibri" w:hAnsi="Calibri" w:cs="Calibri"/>
                <w:sz w:val="18"/>
                <w:szCs w:val="18"/>
              </w:rPr>
            </w:pPr>
            <w:r w:rsidRPr="009F750B">
              <w:rPr>
                <w:rFonts w:ascii="Calibri" w:hAnsi="Calibri" w:cs="Calibri"/>
                <w:sz w:val="18"/>
                <w:szCs w:val="18"/>
              </w:rPr>
              <w:t>Metoda i warunki badania</w:t>
            </w:r>
          </w:p>
        </w:tc>
        <w:tc>
          <w:tcPr>
            <w:tcW w:w="1260" w:type="dxa"/>
            <w:shd w:val="clear" w:color="auto" w:fill="auto"/>
            <w:vAlign w:val="center"/>
          </w:tcPr>
          <w:p w:rsidR="00376DA1" w:rsidRPr="009F750B" w:rsidRDefault="00376DA1" w:rsidP="00556540">
            <w:pPr>
              <w:jc w:val="center"/>
              <w:rPr>
                <w:rFonts w:ascii="Calibri" w:hAnsi="Calibri" w:cs="Calibri"/>
                <w:sz w:val="18"/>
                <w:szCs w:val="18"/>
              </w:rPr>
            </w:pPr>
            <w:r w:rsidRPr="009F750B">
              <w:rPr>
                <w:rFonts w:ascii="Calibri" w:hAnsi="Calibri" w:cs="Calibri"/>
                <w:sz w:val="18"/>
                <w:szCs w:val="18"/>
              </w:rPr>
              <w:t>AC16P</w:t>
            </w:r>
          </w:p>
        </w:tc>
        <w:tc>
          <w:tcPr>
            <w:tcW w:w="1260" w:type="dxa"/>
            <w:shd w:val="clear" w:color="auto" w:fill="auto"/>
            <w:vAlign w:val="center"/>
          </w:tcPr>
          <w:p w:rsidR="00376DA1" w:rsidRPr="009F750B" w:rsidRDefault="00376DA1" w:rsidP="00556540">
            <w:pPr>
              <w:jc w:val="center"/>
              <w:rPr>
                <w:rFonts w:ascii="Calibri" w:hAnsi="Calibri" w:cs="Calibri"/>
                <w:sz w:val="18"/>
                <w:szCs w:val="18"/>
              </w:rPr>
            </w:pPr>
            <w:r w:rsidRPr="009F750B">
              <w:rPr>
                <w:rFonts w:ascii="Calibri" w:hAnsi="Calibri" w:cs="Calibri"/>
                <w:sz w:val="18"/>
                <w:szCs w:val="18"/>
              </w:rPr>
              <w:t>AC22P</w:t>
            </w:r>
          </w:p>
        </w:tc>
      </w:tr>
      <w:tr w:rsidR="00376DA1" w:rsidRPr="00C64752" w:rsidTr="00556540">
        <w:tc>
          <w:tcPr>
            <w:tcW w:w="1384" w:type="dxa"/>
            <w:vAlign w:val="center"/>
          </w:tcPr>
          <w:p w:rsidR="00376DA1" w:rsidRPr="009F750B" w:rsidRDefault="00376DA1" w:rsidP="00556540">
            <w:pPr>
              <w:rPr>
                <w:rFonts w:ascii="Calibri" w:hAnsi="Calibri" w:cs="Calibri"/>
                <w:sz w:val="18"/>
                <w:szCs w:val="18"/>
              </w:rPr>
            </w:pPr>
            <w:r w:rsidRPr="009F750B">
              <w:rPr>
                <w:rFonts w:ascii="Calibri" w:hAnsi="Calibri" w:cs="Calibri"/>
                <w:sz w:val="18"/>
                <w:szCs w:val="18"/>
              </w:rPr>
              <w:t>Zawartość wolnych przestrzeni</w:t>
            </w:r>
          </w:p>
        </w:tc>
        <w:tc>
          <w:tcPr>
            <w:tcW w:w="1276" w:type="dxa"/>
            <w:vAlign w:val="center"/>
          </w:tcPr>
          <w:p w:rsidR="00376DA1" w:rsidRPr="009F750B" w:rsidRDefault="00376DA1" w:rsidP="00556540">
            <w:pPr>
              <w:rPr>
                <w:rFonts w:ascii="Calibri" w:hAnsi="Calibri" w:cs="Calibri"/>
                <w:sz w:val="18"/>
                <w:szCs w:val="18"/>
              </w:rPr>
            </w:pPr>
            <w:r w:rsidRPr="009F750B">
              <w:rPr>
                <w:rFonts w:ascii="Calibri" w:hAnsi="Calibri" w:cs="Calibri"/>
                <w:sz w:val="18"/>
                <w:szCs w:val="18"/>
              </w:rPr>
              <w:t>C.1.2,ubijanie, 2×50 uderzeń</w:t>
            </w:r>
          </w:p>
        </w:tc>
        <w:tc>
          <w:tcPr>
            <w:tcW w:w="2128" w:type="dxa"/>
            <w:vAlign w:val="center"/>
          </w:tcPr>
          <w:p w:rsidR="00376DA1" w:rsidRPr="009F750B" w:rsidRDefault="00376DA1" w:rsidP="00556540">
            <w:pPr>
              <w:jc w:val="center"/>
              <w:rPr>
                <w:rFonts w:ascii="Calibri" w:hAnsi="Calibri" w:cs="Calibri"/>
                <w:sz w:val="18"/>
                <w:szCs w:val="18"/>
              </w:rPr>
            </w:pPr>
            <w:r w:rsidRPr="009F750B">
              <w:rPr>
                <w:rFonts w:ascii="Calibri" w:hAnsi="Calibri" w:cs="Calibri"/>
                <w:sz w:val="18"/>
                <w:szCs w:val="18"/>
              </w:rPr>
              <w:t xml:space="preserve">PN-EN 12697-8 [33], </w:t>
            </w:r>
          </w:p>
          <w:p w:rsidR="00376DA1" w:rsidRPr="009F750B" w:rsidRDefault="00376DA1" w:rsidP="00556540">
            <w:pPr>
              <w:jc w:val="center"/>
              <w:rPr>
                <w:rFonts w:ascii="Calibri" w:hAnsi="Calibri" w:cs="Calibri"/>
                <w:sz w:val="18"/>
                <w:szCs w:val="18"/>
              </w:rPr>
            </w:pPr>
            <w:r w:rsidRPr="009F750B">
              <w:rPr>
                <w:rFonts w:ascii="Calibri" w:hAnsi="Calibri" w:cs="Calibri"/>
                <w:sz w:val="18"/>
                <w:szCs w:val="18"/>
              </w:rPr>
              <w:t>p. 4</w:t>
            </w:r>
          </w:p>
        </w:tc>
        <w:tc>
          <w:tcPr>
            <w:tcW w:w="1260" w:type="dxa"/>
            <w:shd w:val="clear" w:color="auto" w:fill="auto"/>
            <w:vAlign w:val="center"/>
          </w:tcPr>
          <w:p w:rsidR="00376DA1" w:rsidRPr="009F750B" w:rsidRDefault="00376DA1" w:rsidP="00556540">
            <w:pPr>
              <w:jc w:val="center"/>
              <w:rPr>
                <w:rFonts w:ascii="Calibri" w:hAnsi="Calibri" w:cs="Calibri"/>
                <w:sz w:val="18"/>
                <w:szCs w:val="18"/>
              </w:rPr>
            </w:pPr>
            <w:r w:rsidRPr="009F750B">
              <w:rPr>
                <w:rFonts w:ascii="Calibri" w:hAnsi="Calibri" w:cs="Calibri"/>
                <w:i/>
                <w:sz w:val="18"/>
                <w:szCs w:val="18"/>
              </w:rPr>
              <w:t>V</w:t>
            </w:r>
            <w:r w:rsidRPr="009F750B">
              <w:rPr>
                <w:rFonts w:ascii="Calibri" w:hAnsi="Calibri" w:cs="Calibri"/>
                <w:sz w:val="18"/>
                <w:szCs w:val="18"/>
                <w:vertAlign w:val="subscript"/>
              </w:rPr>
              <w:t>min 4,0</w:t>
            </w:r>
          </w:p>
          <w:p w:rsidR="00376DA1" w:rsidRPr="009F750B" w:rsidRDefault="00376DA1" w:rsidP="00556540">
            <w:pPr>
              <w:jc w:val="center"/>
              <w:rPr>
                <w:rFonts w:ascii="Calibri" w:hAnsi="Calibri" w:cs="Calibri"/>
                <w:sz w:val="18"/>
                <w:szCs w:val="18"/>
              </w:rPr>
            </w:pPr>
            <w:r w:rsidRPr="009F750B">
              <w:rPr>
                <w:rFonts w:ascii="Calibri" w:hAnsi="Calibri" w:cs="Calibri"/>
                <w:i/>
                <w:sz w:val="18"/>
                <w:szCs w:val="18"/>
              </w:rPr>
              <w:t>V</w:t>
            </w:r>
            <w:r w:rsidRPr="009F750B">
              <w:rPr>
                <w:rFonts w:ascii="Calibri" w:hAnsi="Calibri" w:cs="Calibri"/>
                <w:sz w:val="18"/>
                <w:szCs w:val="18"/>
                <w:vertAlign w:val="subscript"/>
              </w:rPr>
              <w:t>max  8,0</w:t>
            </w:r>
          </w:p>
        </w:tc>
        <w:tc>
          <w:tcPr>
            <w:tcW w:w="1260" w:type="dxa"/>
            <w:shd w:val="clear" w:color="auto" w:fill="auto"/>
            <w:vAlign w:val="center"/>
          </w:tcPr>
          <w:p w:rsidR="00376DA1" w:rsidRPr="009F750B" w:rsidRDefault="00376DA1" w:rsidP="00556540">
            <w:pPr>
              <w:jc w:val="center"/>
              <w:rPr>
                <w:rFonts w:ascii="Calibri" w:hAnsi="Calibri" w:cs="Calibri"/>
                <w:sz w:val="18"/>
                <w:szCs w:val="18"/>
              </w:rPr>
            </w:pPr>
            <w:r w:rsidRPr="009F750B">
              <w:rPr>
                <w:rFonts w:ascii="Calibri" w:hAnsi="Calibri" w:cs="Calibri"/>
                <w:i/>
                <w:sz w:val="18"/>
                <w:szCs w:val="18"/>
              </w:rPr>
              <w:t>V</w:t>
            </w:r>
            <w:r w:rsidRPr="009F750B">
              <w:rPr>
                <w:rFonts w:ascii="Calibri" w:hAnsi="Calibri" w:cs="Calibri"/>
                <w:sz w:val="18"/>
                <w:szCs w:val="18"/>
                <w:vertAlign w:val="subscript"/>
              </w:rPr>
              <w:t>min  4,0</w:t>
            </w:r>
          </w:p>
          <w:p w:rsidR="00376DA1" w:rsidRPr="009F750B" w:rsidRDefault="00376DA1" w:rsidP="00556540">
            <w:pPr>
              <w:jc w:val="center"/>
              <w:rPr>
                <w:rFonts w:ascii="Calibri" w:hAnsi="Calibri" w:cs="Calibri"/>
                <w:sz w:val="18"/>
                <w:szCs w:val="18"/>
              </w:rPr>
            </w:pPr>
            <w:r w:rsidRPr="009F750B">
              <w:rPr>
                <w:rFonts w:ascii="Calibri" w:hAnsi="Calibri" w:cs="Calibri"/>
                <w:i/>
                <w:sz w:val="18"/>
                <w:szCs w:val="18"/>
              </w:rPr>
              <w:t>V</w:t>
            </w:r>
            <w:r w:rsidRPr="009F750B">
              <w:rPr>
                <w:rFonts w:ascii="Calibri" w:hAnsi="Calibri" w:cs="Calibri"/>
                <w:sz w:val="18"/>
                <w:szCs w:val="18"/>
                <w:vertAlign w:val="subscript"/>
              </w:rPr>
              <w:t>max  8,0</w:t>
            </w:r>
          </w:p>
        </w:tc>
      </w:tr>
      <w:tr w:rsidR="00376DA1" w:rsidRPr="00C64752" w:rsidTr="00556540">
        <w:tc>
          <w:tcPr>
            <w:tcW w:w="1384" w:type="dxa"/>
            <w:vAlign w:val="center"/>
          </w:tcPr>
          <w:p w:rsidR="00376DA1" w:rsidRPr="009F750B" w:rsidRDefault="00376DA1" w:rsidP="00556540">
            <w:pPr>
              <w:jc w:val="left"/>
              <w:rPr>
                <w:rFonts w:ascii="Calibri" w:hAnsi="Calibri" w:cs="Calibri"/>
                <w:sz w:val="18"/>
                <w:szCs w:val="18"/>
              </w:rPr>
            </w:pPr>
            <w:r w:rsidRPr="009F750B">
              <w:rPr>
                <w:rFonts w:ascii="Calibri" w:hAnsi="Calibri" w:cs="Calibri"/>
                <w:sz w:val="18"/>
                <w:szCs w:val="18"/>
              </w:rPr>
              <w:t>Wolne przestrzenie wypełnione lepiszczem</w:t>
            </w:r>
          </w:p>
        </w:tc>
        <w:tc>
          <w:tcPr>
            <w:tcW w:w="1276" w:type="dxa"/>
            <w:vAlign w:val="center"/>
          </w:tcPr>
          <w:p w:rsidR="00376DA1" w:rsidRPr="009F750B" w:rsidRDefault="00376DA1" w:rsidP="00556540">
            <w:pPr>
              <w:rPr>
                <w:rFonts w:ascii="Calibri" w:hAnsi="Calibri" w:cs="Calibri"/>
                <w:sz w:val="18"/>
                <w:szCs w:val="18"/>
              </w:rPr>
            </w:pPr>
            <w:r w:rsidRPr="009F750B">
              <w:rPr>
                <w:rFonts w:ascii="Calibri" w:hAnsi="Calibri" w:cs="Calibri"/>
                <w:sz w:val="18"/>
                <w:szCs w:val="18"/>
              </w:rPr>
              <w:t>C.1.2,ubijanie, 2×50 uderzeń</w:t>
            </w:r>
          </w:p>
        </w:tc>
        <w:tc>
          <w:tcPr>
            <w:tcW w:w="2128" w:type="dxa"/>
            <w:vAlign w:val="center"/>
          </w:tcPr>
          <w:p w:rsidR="00376DA1" w:rsidRPr="009F750B" w:rsidRDefault="00376DA1" w:rsidP="00556540">
            <w:pPr>
              <w:jc w:val="center"/>
              <w:rPr>
                <w:rFonts w:ascii="Calibri" w:hAnsi="Calibri" w:cs="Calibri"/>
                <w:sz w:val="18"/>
                <w:szCs w:val="18"/>
              </w:rPr>
            </w:pPr>
            <w:r w:rsidRPr="009F750B">
              <w:rPr>
                <w:rFonts w:ascii="Calibri" w:hAnsi="Calibri" w:cs="Calibri"/>
                <w:sz w:val="18"/>
                <w:szCs w:val="18"/>
              </w:rPr>
              <w:t xml:space="preserve">PN-EN 12697-8 [33], </w:t>
            </w:r>
          </w:p>
          <w:p w:rsidR="00376DA1" w:rsidRPr="009F750B" w:rsidRDefault="00376DA1" w:rsidP="00556540">
            <w:pPr>
              <w:jc w:val="center"/>
              <w:rPr>
                <w:rFonts w:ascii="Calibri" w:hAnsi="Calibri" w:cs="Calibri"/>
                <w:sz w:val="18"/>
                <w:szCs w:val="18"/>
              </w:rPr>
            </w:pPr>
            <w:r w:rsidRPr="009F750B">
              <w:rPr>
                <w:rFonts w:ascii="Calibri" w:hAnsi="Calibri" w:cs="Calibri"/>
                <w:sz w:val="18"/>
                <w:szCs w:val="18"/>
              </w:rPr>
              <w:t>p. 5</w:t>
            </w:r>
          </w:p>
        </w:tc>
        <w:tc>
          <w:tcPr>
            <w:tcW w:w="1260" w:type="dxa"/>
            <w:shd w:val="clear" w:color="auto" w:fill="auto"/>
            <w:vAlign w:val="center"/>
          </w:tcPr>
          <w:p w:rsidR="00376DA1" w:rsidRPr="009F750B" w:rsidRDefault="00376DA1" w:rsidP="00556540">
            <w:pPr>
              <w:jc w:val="center"/>
              <w:rPr>
                <w:rFonts w:ascii="Calibri" w:hAnsi="Calibri" w:cs="Calibri"/>
                <w:i/>
                <w:sz w:val="18"/>
                <w:szCs w:val="18"/>
                <w:vertAlign w:val="subscript"/>
              </w:rPr>
            </w:pPr>
            <w:r w:rsidRPr="009F750B">
              <w:rPr>
                <w:rFonts w:ascii="Calibri" w:hAnsi="Calibri" w:cs="Calibri"/>
                <w:i/>
                <w:sz w:val="18"/>
                <w:szCs w:val="18"/>
              </w:rPr>
              <w:t>VFB</w:t>
            </w:r>
            <w:r w:rsidRPr="009F750B">
              <w:rPr>
                <w:rFonts w:ascii="Calibri" w:hAnsi="Calibri" w:cs="Calibri"/>
                <w:i/>
                <w:sz w:val="18"/>
                <w:szCs w:val="18"/>
                <w:vertAlign w:val="subscript"/>
              </w:rPr>
              <w:t>min 50</w:t>
            </w:r>
          </w:p>
          <w:p w:rsidR="00376DA1" w:rsidRPr="009F750B" w:rsidRDefault="00376DA1" w:rsidP="00556540">
            <w:pPr>
              <w:jc w:val="center"/>
              <w:rPr>
                <w:rFonts w:ascii="Calibri" w:hAnsi="Calibri" w:cs="Calibri"/>
                <w:i/>
                <w:sz w:val="18"/>
                <w:szCs w:val="18"/>
                <w:vertAlign w:val="subscript"/>
              </w:rPr>
            </w:pPr>
            <w:r w:rsidRPr="009F750B">
              <w:rPr>
                <w:rFonts w:ascii="Calibri" w:hAnsi="Calibri" w:cs="Calibri"/>
                <w:i/>
                <w:sz w:val="18"/>
                <w:szCs w:val="18"/>
              </w:rPr>
              <w:t>VFB</w:t>
            </w:r>
            <w:r w:rsidRPr="009F750B">
              <w:rPr>
                <w:rFonts w:ascii="Calibri" w:hAnsi="Calibri" w:cs="Calibri"/>
                <w:i/>
                <w:sz w:val="18"/>
                <w:szCs w:val="18"/>
                <w:vertAlign w:val="subscript"/>
              </w:rPr>
              <w:t>min 74</w:t>
            </w:r>
          </w:p>
        </w:tc>
        <w:tc>
          <w:tcPr>
            <w:tcW w:w="1260" w:type="dxa"/>
            <w:shd w:val="clear" w:color="auto" w:fill="auto"/>
            <w:vAlign w:val="center"/>
          </w:tcPr>
          <w:p w:rsidR="00376DA1" w:rsidRPr="009F750B" w:rsidRDefault="00376DA1" w:rsidP="00556540">
            <w:pPr>
              <w:jc w:val="center"/>
              <w:rPr>
                <w:rFonts w:ascii="Calibri" w:hAnsi="Calibri" w:cs="Calibri"/>
                <w:i/>
                <w:sz w:val="18"/>
                <w:szCs w:val="18"/>
                <w:vertAlign w:val="subscript"/>
              </w:rPr>
            </w:pPr>
            <w:r w:rsidRPr="009F750B">
              <w:rPr>
                <w:rFonts w:ascii="Calibri" w:hAnsi="Calibri" w:cs="Calibri"/>
                <w:i/>
                <w:sz w:val="18"/>
                <w:szCs w:val="18"/>
              </w:rPr>
              <w:t>VFB</w:t>
            </w:r>
            <w:r w:rsidRPr="009F750B">
              <w:rPr>
                <w:rFonts w:ascii="Calibri" w:hAnsi="Calibri" w:cs="Calibri"/>
                <w:i/>
                <w:sz w:val="18"/>
                <w:szCs w:val="18"/>
                <w:vertAlign w:val="subscript"/>
              </w:rPr>
              <w:t>min 50</w:t>
            </w:r>
          </w:p>
          <w:p w:rsidR="00376DA1" w:rsidRPr="009F750B" w:rsidRDefault="00376DA1" w:rsidP="00556540">
            <w:pPr>
              <w:jc w:val="center"/>
              <w:rPr>
                <w:rFonts w:ascii="Calibri" w:hAnsi="Calibri" w:cs="Calibri"/>
                <w:sz w:val="18"/>
                <w:szCs w:val="18"/>
              </w:rPr>
            </w:pPr>
            <w:r w:rsidRPr="009F750B">
              <w:rPr>
                <w:rFonts w:ascii="Calibri" w:hAnsi="Calibri" w:cs="Calibri"/>
                <w:i/>
                <w:sz w:val="18"/>
                <w:szCs w:val="18"/>
              </w:rPr>
              <w:t>VFB</w:t>
            </w:r>
            <w:r w:rsidRPr="009F750B">
              <w:rPr>
                <w:rFonts w:ascii="Calibri" w:hAnsi="Calibri" w:cs="Calibri"/>
                <w:i/>
                <w:sz w:val="18"/>
                <w:szCs w:val="18"/>
                <w:vertAlign w:val="subscript"/>
              </w:rPr>
              <w:t>min 74</w:t>
            </w:r>
          </w:p>
        </w:tc>
      </w:tr>
      <w:tr w:rsidR="00376DA1" w:rsidRPr="00C64752" w:rsidTr="00556540">
        <w:tc>
          <w:tcPr>
            <w:tcW w:w="1384" w:type="dxa"/>
            <w:vAlign w:val="center"/>
          </w:tcPr>
          <w:p w:rsidR="00376DA1" w:rsidRPr="009F750B" w:rsidRDefault="00376DA1" w:rsidP="00556540">
            <w:pPr>
              <w:jc w:val="left"/>
              <w:rPr>
                <w:rFonts w:ascii="Calibri" w:hAnsi="Calibri" w:cs="Calibri"/>
                <w:sz w:val="18"/>
                <w:szCs w:val="18"/>
              </w:rPr>
            </w:pPr>
            <w:r w:rsidRPr="009F750B">
              <w:rPr>
                <w:rFonts w:ascii="Calibri" w:hAnsi="Calibri" w:cs="Calibri"/>
                <w:sz w:val="18"/>
                <w:szCs w:val="18"/>
              </w:rPr>
              <w:t>Zawartość wolnych przestrzeni w mieszance mineralnej</w:t>
            </w:r>
          </w:p>
        </w:tc>
        <w:tc>
          <w:tcPr>
            <w:tcW w:w="1276" w:type="dxa"/>
            <w:vAlign w:val="center"/>
          </w:tcPr>
          <w:p w:rsidR="00376DA1" w:rsidRPr="009F750B" w:rsidRDefault="00376DA1" w:rsidP="00556540">
            <w:pPr>
              <w:rPr>
                <w:rFonts w:ascii="Calibri" w:hAnsi="Calibri" w:cs="Calibri"/>
                <w:sz w:val="18"/>
                <w:szCs w:val="18"/>
              </w:rPr>
            </w:pPr>
            <w:r w:rsidRPr="009F750B">
              <w:rPr>
                <w:rFonts w:ascii="Calibri" w:hAnsi="Calibri" w:cs="Calibri"/>
                <w:sz w:val="18"/>
                <w:szCs w:val="18"/>
              </w:rPr>
              <w:t>C.1.2,ubijanie, 2×50 uderzeń</w:t>
            </w:r>
          </w:p>
        </w:tc>
        <w:tc>
          <w:tcPr>
            <w:tcW w:w="2128" w:type="dxa"/>
            <w:vAlign w:val="center"/>
          </w:tcPr>
          <w:p w:rsidR="00376DA1" w:rsidRPr="009F750B" w:rsidRDefault="00376DA1" w:rsidP="00556540">
            <w:pPr>
              <w:jc w:val="center"/>
              <w:rPr>
                <w:rFonts w:ascii="Calibri" w:hAnsi="Calibri" w:cs="Calibri"/>
                <w:sz w:val="18"/>
                <w:szCs w:val="18"/>
              </w:rPr>
            </w:pPr>
            <w:r w:rsidRPr="009F750B">
              <w:rPr>
                <w:rFonts w:ascii="Calibri" w:hAnsi="Calibri" w:cs="Calibri"/>
                <w:sz w:val="18"/>
                <w:szCs w:val="18"/>
              </w:rPr>
              <w:t xml:space="preserve">PN-EN 12697-8 [33], </w:t>
            </w:r>
          </w:p>
          <w:p w:rsidR="00376DA1" w:rsidRPr="009F750B" w:rsidRDefault="00376DA1" w:rsidP="00556540">
            <w:pPr>
              <w:jc w:val="center"/>
              <w:rPr>
                <w:rFonts w:ascii="Calibri" w:hAnsi="Calibri" w:cs="Calibri"/>
                <w:sz w:val="18"/>
                <w:szCs w:val="18"/>
              </w:rPr>
            </w:pPr>
            <w:r w:rsidRPr="009F750B">
              <w:rPr>
                <w:rFonts w:ascii="Calibri" w:hAnsi="Calibri" w:cs="Calibri"/>
                <w:sz w:val="18"/>
                <w:szCs w:val="18"/>
              </w:rPr>
              <w:t>p. 5</w:t>
            </w:r>
          </w:p>
        </w:tc>
        <w:tc>
          <w:tcPr>
            <w:tcW w:w="1260" w:type="dxa"/>
            <w:shd w:val="clear" w:color="auto" w:fill="auto"/>
            <w:vAlign w:val="center"/>
          </w:tcPr>
          <w:p w:rsidR="00376DA1" w:rsidRPr="009F750B" w:rsidRDefault="00376DA1" w:rsidP="00556540">
            <w:pPr>
              <w:jc w:val="center"/>
              <w:rPr>
                <w:rFonts w:ascii="Calibri" w:hAnsi="Calibri" w:cs="Calibri"/>
                <w:i/>
                <w:sz w:val="18"/>
                <w:szCs w:val="18"/>
                <w:vertAlign w:val="subscript"/>
              </w:rPr>
            </w:pPr>
            <w:r w:rsidRPr="009F750B">
              <w:rPr>
                <w:rFonts w:ascii="Calibri" w:hAnsi="Calibri" w:cs="Calibri"/>
                <w:i/>
                <w:sz w:val="18"/>
                <w:szCs w:val="18"/>
              </w:rPr>
              <w:t>VMA</w:t>
            </w:r>
            <w:r w:rsidRPr="009F750B">
              <w:rPr>
                <w:rFonts w:ascii="Calibri" w:hAnsi="Calibri" w:cs="Calibri"/>
                <w:i/>
                <w:sz w:val="18"/>
                <w:szCs w:val="18"/>
                <w:vertAlign w:val="subscript"/>
              </w:rPr>
              <w:t>min 14</w:t>
            </w:r>
          </w:p>
        </w:tc>
        <w:tc>
          <w:tcPr>
            <w:tcW w:w="1260" w:type="dxa"/>
            <w:shd w:val="clear" w:color="auto" w:fill="auto"/>
            <w:vAlign w:val="center"/>
          </w:tcPr>
          <w:p w:rsidR="00376DA1" w:rsidRPr="009F750B" w:rsidRDefault="00376DA1" w:rsidP="00556540">
            <w:pPr>
              <w:jc w:val="center"/>
              <w:rPr>
                <w:rFonts w:ascii="Calibri" w:hAnsi="Calibri" w:cs="Calibri"/>
                <w:i/>
                <w:sz w:val="18"/>
                <w:szCs w:val="18"/>
              </w:rPr>
            </w:pPr>
            <w:r w:rsidRPr="009F750B">
              <w:rPr>
                <w:rFonts w:ascii="Calibri" w:hAnsi="Calibri" w:cs="Calibri"/>
                <w:i/>
                <w:sz w:val="18"/>
                <w:szCs w:val="18"/>
              </w:rPr>
              <w:t>VMA</w:t>
            </w:r>
            <w:r w:rsidRPr="009F750B">
              <w:rPr>
                <w:rFonts w:ascii="Calibri" w:hAnsi="Calibri" w:cs="Calibri"/>
                <w:i/>
                <w:sz w:val="18"/>
                <w:szCs w:val="18"/>
                <w:vertAlign w:val="subscript"/>
              </w:rPr>
              <w:t>min 14</w:t>
            </w:r>
          </w:p>
        </w:tc>
      </w:tr>
      <w:tr w:rsidR="00376DA1" w:rsidRPr="00C64752" w:rsidTr="00556540">
        <w:tc>
          <w:tcPr>
            <w:tcW w:w="1384" w:type="dxa"/>
            <w:vAlign w:val="center"/>
          </w:tcPr>
          <w:p w:rsidR="00376DA1" w:rsidRPr="009F750B" w:rsidRDefault="00376DA1" w:rsidP="00556540">
            <w:pPr>
              <w:jc w:val="left"/>
              <w:rPr>
                <w:rFonts w:ascii="Calibri" w:hAnsi="Calibri" w:cs="Calibri"/>
                <w:sz w:val="18"/>
                <w:szCs w:val="18"/>
              </w:rPr>
            </w:pPr>
            <w:r w:rsidRPr="009F750B">
              <w:rPr>
                <w:rFonts w:ascii="Calibri" w:hAnsi="Calibri" w:cs="Calibri"/>
                <w:sz w:val="18"/>
                <w:szCs w:val="18"/>
              </w:rPr>
              <w:t>Odporność na działanie wody</w:t>
            </w:r>
          </w:p>
        </w:tc>
        <w:tc>
          <w:tcPr>
            <w:tcW w:w="1276" w:type="dxa"/>
            <w:vAlign w:val="center"/>
          </w:tcPr>
          <w:p w:rsidR="00376DA1" w:rsidRPr="009F750B" w:rsidRDefault="00376DA1" w:rsidP="00556540">
            <w:pPr>
              <w:rPr>
                <w:rFonts w:ascii="Calibri" w:hAnsi="Calibri" w:cs="Calibri"/>
                <w:sz w:val="18"/>
                <w:szCs w:val="18"/>
              </w:rPr>
            </w:pPr>
            <w:r w:rsidRPr="009F750B">
              <w:rPr>
                <w:rFonts w:ascii="Calibri" w:hAnsi="Calibri" w:cs="Calibri"/>
                <w:sz w:val="18"/>
                <w:szCs w:val="18"/>
              </w:rPr>
              <w:t>C.1.1,ubijanie, 2×35 uderzeń</w:t>
            </w:r>
          </w:p>
        </w:tc>
        <w:tc>
          <w:tcPr>
            <w:tcW w:w="2128" w:type="dxa"/>
            <w:vAlign w:val="center"/>
          </w:tcPr>
          <w:p w:rsidR="00376DA1" w:rsidRPr="009F750B" w:rsidRDefault="00376DA1" w:rsidP="00556540">
            <w:pPr>
              <w:jc w:val="center"/>
              <w:rPr>
                <w:rFonts w:ascii="Calibri" w:hAnsi="Calibri" w:cs="Calibri"/>
                <w:sz w:val="18"/>
                <w:szCs w:val="18"/>
                <w:vertAlign w:val="superscript"/>
              </w:rPr>
            </w:pPr>
            <w:r w:rsidRPr="009F750B">
              <w:rPr>
                <w:rFonts w:ascii="Calibri" w:hAnsi="Calibri" w:cs="Calibri"/>
                <w:sz w:val="18"/>
                <w:szCs w:val="18"/>
              </w:rPr>
              <w:t xml:space="preserve">PN-EN 12697-12 [35], przechowywanie w </w:t>
            </w:r>
            <w:smartTag w:uri="urn:schemas-microsoft-com:office:smarttags" w:element="metricconverter">
              <w:smartTagPr>
                <w:attr w:name="ProductID" w:val="40ﾰC"/>
              </w:smartTagPr>
              <w:r w:rsidRPr="009F750B">
                <w:rPr>
                  <w:rFonts w:ascii="Calibri" w:hAnsi="Calibri" w:cs="Calibri"/>
                  <w:sz w:val="18"/>
                  <w:szCs w:val="18"/>
                </w:rPr>
                <w:t>40°C</w:t>
              </w:r>
            </w:smartTag>
            <w:r w:rsidRPr="009F750B">
              <w:rPr>
                <w:rFonts w:ascii="Calibri" w:hAnsi="Calibri" w:cs="Calibri"/>
                <w:sz w:val="18"/>
                <w:szCs w:val="18"/>
              </w:rPr>
              <w:t xml:space="preserve"> z jednym cyklem zamrażania, </w:t>
            </w:r>
            <w:r w:rsidRPr="009F750B">
              <w:rPr>
                <w:rFonts w:ascii="Calibri" w:hAnsi="Calibri" w:cs="Calibri"/>
                <w:sz w:val="18"/>
                <w:szCs w:val="18"/>
                <w:vertAlign w:val="superscript"/>
              </w:rPr>
              <w:t>a)</w:t>
            </w:r>
          </w:p>
          <w:p w:rsidR="00376DA1" w:rsidRPr="009F750B" w:rsidRDefault="00376DA1" w:rsidP="00556540">
            <w:pPr>
              <w:jc w:val="center"/>
              <w:rPr>
                <w:rFonts w:ascii="Calibri" w:hAnsi="Calibri" w:cs="Calibri"/>
                <w:sz w:val="18"/>
                <w:szCs w:val="18"/>
              </w:rPr>
            </w:pPr>
            <w:r w:rsidRPr="009F750B">
              <w:rPr>
                <w:rFonts w:ascii="Calibri" w:hAnsi="Calibri" w:cs="Calibri"/>
                <w:sz w:val="18"/>
                <w:szCs w:val="18"/>
              </w:rPr>
              <w:t xml:space="preserve">badanie w </w:t>
            </w:r>
            <w:smartTag w:uri="urn:schemas-microsoft-com:office:smarttags" w:element="metricconverter">
              <w:smartTagPr>
                <w:attr w:name="ProductID" w:val="25ﾰC"/>
              </w:smartTagPr>
              <w:r w:rsidRPr="009F750B">
                <w:rPr>
                  <w:rFonts w:ascii="Calibri" w:hAnsi="Calibri" w:cs="Calibri"/>
                  <w:sz w:val="18"/>
                  <w:szCs w:val="18"/>
                </w:rPr>
                <w:t>25°C</w:t>
              </w:r>
            </w:smartTag>
          </w:p>
        </w:tc>
        <w:tc>
          <w:tcPr>
            <w:tcW w:w="1260" w:type="dxa"/>
            <w:shd w:val="clear" w:color="auto" w:fill="auto"/>
            <w:vAlign w:val="center"/>
          </w:tcPr>
          <w:p w:rsidR="00376DA1" w:rsidRPr="009F750B" w:rsidRDefault="00376DA1" w:rsidP="00556540">
            <w:pPr>
              <w:jc w:val="center"/>
              <w:rPr>
                <w:rFonts w:ascii="Calibri" w:hAnsi="Calibri" w:cs="Calibri"/>
                <w:sz w:val="18"/>
                <w:szCs w:val="18"/>
                <w:vertAlign w:val="subscript"/>
              </w:rPr>
            </w:pPr>
            <w:r w:rsidRPr="009F750B">
              <w:rPr>
                <w:rFonts w:ascii="Calibri" w:hAnsi="Calibri" w:cs="Calibri"/>
                <w:i/>
                <w:sz w:val="18"/>
                <w:szCs w:val="18"/>
              </w:rPr>
              <w:t>ITSR</w:t>
            </w:r>
            <w:r w:rsidRPr="009F750B">
              <w:rPr>
                <w:rFonts w:ascii="Calibri" w:hAnsi="Calibri" w:cs="Calibri"/>
                <w:i/>
                <w:sz w:val="18"/>
                <w:szCs w:val="18"/>
                <w:vertAlign w:val="subscript"/>
              </w:rPr>
              <w:t>70</w:t>
            </w:r>
          </w:p>
        </w:tc>
        <w:tc>
          <w:tcPr>
            <w:tcW w:w="1260" w:type="dxa"/>
            <w:shd w:val="clear" w:color="auto" w:fill="auto"/>
            <w:vAlign w:val="center"/>
          </w:tcPr>
          <w:p w:rsidR="00376DA1" w:rsidRPr="009F750B" w:rsidRDefault="00376DA1" w:rsidP="00556540">
            <w:pPr>
              <w:jc w:val="center"/>
              <w:rPr>
                <w:rFonts w:ascii="Calibri" w:hAnsi="Calibri" w:cs="Calibri"/>
                <w:sz w:val="18"/>
                <w:szCs w:val="18"/>
              </w:rPr>
            </w:pPr>
            <w:r w:rsidRPr="009F750B">
              <w:rPr>
                <w:rFonts w:ascii="Calibri" w:hAnsi="Calibri" w:cs="Calibri"/>
                <w:i/>
                <w:sz w:val="18"/>
                <w:szCs w:val="18"/>
              </w:rPr>
              <w:t>ITSR</w:t>
            </w:r>
            <w:r w:rsidRPr="009F750B">
              <w:rPr>
                <w:rFonts w:ascii="Calibri" w:hAnsi="Calibri" w:cs="Calibri"/>
                <w:sz w:val="18"/>
                <w:szCs w:val="18"/>
                <w:vertAlign w:val="subscript"/>
              </w:rPr>
              <w:t>70</w:t>
            </w:r>
          </w:p>
        </w:tc>
      </w:tr>
    </w:tbl>
    <w:p w:rsidR="00376DA1" w:rsidRDefault="00376DA1" w:rsidP="00376DA1">
      <w:pPr>
        <w:spacing w:before="120" w:after="120"/>
        <w:ind w:left="709"/>
        <w:rPr>
          <w:rFonts w:ascii="Calibri" w:hAnsi="Calibri" w:cs="Calibri"/>
          <w:sz w:val="16"/>
          <w:szCs w:val="16"/>
        </w:rPr>
      </w:pPr>
      <w:r w:rsidRPr="00FD0AA8">
        <w:rPr>
          <w:rFonts w:ascii="Calibri" w:hAnsi="Calibri" w:cs="Calibri"/>
          <w:sz w:val="16"/>
          <w:szCs w:val="16"/>
          <w:vertAlign w:val="superscript"/>
        </w:rPr>
        <w:t>a)</w:t>
      </w:r>
      <w:r w:rsidRPr="00FD0AA8">
        <w:rPr>
          <w:rFonts w:ascii="Calibri" w:hAnsi="Calibri" w:cs="Calibri"/>
          <w:sz w:val="16"/>
          <w:szCs w:val="16"/>
        </w:rPr>
        <w:t xml:space="preserve"> Ujednoliconą procedurę badania odporności na działanie wody podano w WT-2 2010 [65] w załączniku 1.</w:t>
      </w:r>
    </w:p>
    <w:p w:rsidR="00D553DB" w:rsidRDefault="00D553DB" w:rsidP="00376DA1">
      <w:pPr>
        <w:ind w:left="709"/>
        <w:rPr>
          <w:rFonts w:ascii="Calibri" w:hAnsi="Calibri" w:cs="Calibri"/>
        </w:rPr>
      </w:pPr>
    </w:p>
    <w:p w:rsidR="00376DA1" w:rsidRPr="00FD0AA8" w:rsidRDefault="00376DA1" w:rsidP="00376DA1">
      <w:pPr>
        <w:ind w:left="709"/>
        <w:rPr>
          <w:rFonts w:ascii="Calibri" w:hAnsi="Calibri" w:cs="Calibri"/>
        </w:rPr>
      </w:pPr>
      <w:r w:rsidRPr="00FD0AA8">
        <w:rPr>
          <w:rFonts w:ascii="Calibri" w:hAnsi="Calibri" w:cs="Calibri"/>
        </w:rPr>
        <w:t>Tablica 8.</w:t>
      </w:r>
      <w:r>
        <w:rPr>
          <w:rFonts w:ascii="Calibri" w:hAnsi="Calibri" w:cs="Calibri"/>
        </w:rPr>
        <w:t xml:space="preserve"> </w:t>
      </w:r>
      <w:r w:rsidRPr="00FD0AA8">
        <w:rPr>
          <w:rFonts w:ascii="Calibri" w:hAnsi="Calibri" w:cs="Calibri"/>
        </w:rPr>
        <w:t>Wymagane właściwości mieszanki mineralno-asfaltowej do warstwy podbudowy, dla ruchu KR3 ÷ KR4  [65]</w:t>
      </w:r>
    </w:p>
    <w:tbl>
      <w:tblPr>
        <w:tblW w:w="7905" w:type="dxa"/>
        <w:tblInd w:w="81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tblPr>
      <w:tblGrid>
        <w:gridCol w:w="1809"/>
        <w:gridCol w:w="1418"/>
        <w:gridCol w:w="2693"/>
        <w:gridCol w:w="992"/>
        <w:gridCol w:w="993"/>
      </w:tblGrid>
      <w:tr w:rsidR="00376DA1" w:rsidTr="00556540">
        <w:tc>
          <w:tcPr>
            <w:tcW w:w="1809" w:type="dxa"/>
            <w:vAlign w:val="center"/>
          </w:tcPr>
          <w:p w:rsidR="00376DA1" w:rsidRPr="009F750B" w:rsidRDefault="00376DA1" w:rsidP="00556540">
            <w:pPr>
              <w:jc w:val="center"/>
              <w:rPr>
                <w:rFonts w:ascii="Calibri" w:hAnsi="Calibri" w:cs="Calibri"/>
                <w:sz w:val="18"/>
                <w:szCs w:val="18"/>
              </w:rPr>
            </w:pPr>
            <w:r w:rsidRPr="009F750B">
              <w:rPr>
                <w:rFonts w:ascii="Calibri" w:hAnsi="Calibri" w:cs="Calibri"/>
                <w:sz w:val="18"/>
                <w:szCs w:val="18"/>
              </w:rPr>
              <w:t>Właściwość</w:t>
            </w:r>
          </w:p>
        </w:tc>
        <w:tc>
          <w:tcPr>
            <w:tcW w:w="1418" w:type="dxa"/>
            <w:vAlign w:val="center"/>
          </w:tcPr>
          <w:p w:rsidR="00376DA1" w:rsidRPr="009F750B" w:rsidRDefault="00376DA1" w:rsidP="00556540">
            <w:pPr>
              <w:jc w:val="center"/>
              <w:rPr>
                <w:rFonts w:ascii="Calibri" w:hAnsi="Calibri" w:cs="Calibri"/>
                <w:sz w:val="18"/>
                <w:szCs w:val="18"/>
              </w:rPr>
            </w:pPr>
            <w:r w:rsidRPr="009F750B">
              <w:rPr>
                <w:rFonts w:ascii="Calibri" w:hAnsi="Calibri" w:cs="Calibri"/>
                <w:sz w:val="18"/>
                <w:szCs w:val="18"/>
              </w:rPr>
              <w:t xml:space="preserve">Warunki zagęszczania wg PN-EN </w:t>
            </w:r>
          </w:p>
          <w:p w:rsidR="00376DA1" w:rsidRPr="009F750B" w:rsidRDefault="00376DA1" w:rsidP="00556540">
            <w:pPr>
              <w:jc w:val="center"/>
              <w:rPr>
                <w:rFonts w:ascii="Calibri" w:hAnsi="Calibri" w:cs="Calibri"/>
                <w:sz w:val="18"/>
                <w:szCs w:val="18"/>
              </w:rPr>
            </w:pPr>
            <w:r w:rsidRPr="009F750B">
              <w:rPr>
                <w:rFonts w:ascii="Calibri" w:hAnsi="Calibri" w:cs="Calibri"/>
                <w:sz w:val="18"/>
                <w:szCs w:val="18"/>
              </w:rPr>
              <w:t>13108-20  [48]</w:t>
            </w:r>
          </w:p>
        </w:tc>
        <w:tc>
          <w:tcPr>
            <w:tcW w:w="2693" w:type="dxa"/>
            <w:vAlign w:val="center"/>
          </w:tcPr>
          <w:p w:rsidR="00376DA1" w:rsidRPr="009F750B" w:rsidRDefault="00376DA1" w:rsidP="00556540">
            <w:pPr>
              <w:jc w:val="center"/>
              <w:rPr>
                <w:rFonts w:ascii="Calibri" w:hAnsi="Calibri" w:cs="Calibri"/>
                <w:sz w:val="18"/>
                <w:szCs w:val="18"/>
              </w:rPr>
            </w:pPr>
            <w:r w:rsidRPr="009F750B">
              <w:rPr>
                <w:rFonts w:ascii="Calibri" w:hAnsi="Calibri" w:cs="Calibri"/>
                <w:sz w:val="18"/>
                <w:szCs w:val="18"/>
              </w:rPr>
              <w:t>Metoda i warunki badania</w:t>
            </w:r>
          </w:p>
        </w:tc>
        <w:tc>
          <w:tcPr>
            <w:tcW w:w="992" w:type="dxa"/>
            <w:vAlign w:val="center"/>
          </w:tcPr>
          <w:p w:rsidR="00376DA1" w:rsidRPr="009F750B" w:rsidRDefault="00376DA1" w:rsidP="00556540">
            <w:pPr>
              <w:jc w:val="center"/>
              <w:rPr>
                <w:rFonts w:ascii="Calibri" w:hAnsi="Calibri" w:cs="Calibri"/>
                <w:sz w:val="18"/>
                <w:szCs w:val="18"/>
              </w:rPr>
            </w:pPr>
            <w:r w:rsidRPr="009F750B">
              <w:rPr>
                <w:rFonts w:ascii="Calibri" w:hAnsi="Calibri" w:cs="Calibri"/>
                <w:sz w:val="18"/>
                <w:szCs w:val="18"/>
              </w:rPr>
              <w:t>AC16P</w:t>
            </w:r>
          </w:p>
        </w:tc>
        <w:tc>
          <w:tcPr>
            <w:tcW w:w="993" w:type="dxa"/>
            <w:vAlign w:val="center"/>
          </w:tcPr>
          <w:p w:rsidR="00376DA1" w:rsidRPr="009F750B" w:rsidRDefault="00376DA1" w:rsidP="00556540">
            <w:pPr>
              <w:jc w:val="center"/>
              <w:rPr>
                <w:rFonts w:ascii="Calibri" w:hAnsi="Calibri" w:cs="Calibri"/>
                <w:sz w:val="18"/>
                <w:szCs w:val="18"/>
              </w:rPr>
            </w:pPr>
            <w:r w:rsidRPr="009F750B">
              <w:rPr>
                <w:rFonts w:ascii="Calibri" w:hAnsi="Calibri" w:cs="Calibri"/>
                <w:sz w:val="18"/>
                <w:szCs w:val="18"/>
              </w:rPr>
              <w:t>AC22P</w:t>
            </w:r>
          </w:p>
          <w:p w:rsidR="00376DA1" w:rsidRPr="009F750B" w:rsidRDefault="00376DA1" w:rsidP="00556540">
            <w:pPr>
              <w:jc w:val="center"/>
              <w:rPr>
                <w:rFonts w:ascii="Calibri" w:hAnsi="Calibri" w:cs="Calibri"/>
                <w:sz w:val="18"/>
                <w:szCs w:val="18"/>
              </w:rPr>
            </w:pPr>
            <w:r w:rsidRPr="009F750B">
              <w:rPr>
                <w:rFonts w:ascii="Calibri" w:hAnsi="Calibri" w:cs="Calibri"/>
                <w:sz w:val="18"/>
                <w:szCs w:val="18"/>
              </w:rPr>
              <w:t>AC32P</w:t>
            </w:r>
          </w:p>
        </w:tc>
      </w:tr>
      <w:tr w:rsidR="00376DA1" w:rsidTr="00556540">
        <w:tc>
          <w:tcPr>
            <w:tcW w:w="1809" w:type="dxa"/>
            <w:vAlign w:val="center"/>
          </w:tcPr>
          <w:p w:rsidR="00376DA1" w:rsidRPr="009F750B" w:rsidRDefault="00376DA1" w:rsidP="00556540">
            <w:pPr>
              <w:rPr>
                <w:rFonts w:ascii="Calibri" w:hAnsi="Calibri" w:cs="Calibri"/>
                <w:sz w:val="18"/>
                <w:szCs w:val="18"/>
              </w:rPr>
            </w:pPr>
            <w:r w:rsidRPr="009F750B">
              <w:rPr>
                <w:rFonts w:ascii="Calibri" w:hAnsi="Calibri" w:cs="Calibri"/>
                <w:sz w:val="18"/>
                <w:szCs w:val="18"/>
              </w:rPr>
              <w:t>Zawartość wolnych przestrzeni</w:t>
            </w:r>
          </w:p>
        </w:tc>
        <w:tc>
          <w:tcPr>
            <w:tcW w:w="1418" w:type="dxa"/>
          </w:tcPr>
          <w:p w:rsidR="00376DA1" w:rsidRPr="009F750B" w:rsidRDefault="00376DA1" w:rsidP="00556540">
            <w:pPr>
              <w:rPr>
                <w:rFonts w:ascii="Calibri" w:hAnsi="Calibri" w:cs="Calibri"/>
                <w:sz w:val="18"/>
                <w:szCs w:val="18"/>
              </w:rPr>
            </w:pPr>
            <w:r w:rsidRPr="009F750B">
              <w:rPr>
                <w:rFonts w:ascii="Calibri" w:hAnsi="Calibri" w:cs="Calibri"/>
                <w:sz w:val="18"/>
                <w:szCs w:val="18"/>
              </w:rPr>
              <w:t>C.1.3,ubijanie, 2×75 uderzeń</w:t>
            </w:r>
          </w:p>
        </w:tc>
        <w:tc>
          <w:tcPr>
            <w:tcW w:w="2693" w:type="dxa"/>
          </w:tcPr>
          <w:p w:rsidR="00376DA1" w:rsidRPr="009F750B" w:rsidRDefault="00376DA1" w:rsidP="00556540">
            <w:pPr>
              <w:spacing w:before="120"/>
              <w:jc w:val="center"/>
              <w:rPr>
                <w:rFonts w:ascii="Calibri" w:hAnsi="Calibri" w:cs="Calibri"/>
                <w:sz w:val="18"/>
                <w:szCs w:val="18"/>
              </w:rPr>
            </w:pPr>
            <w:r w:rsidRPr="009F750B">
              <w:rPr>
                <w:rFonts w:ascii="Calibri" w:hAnsi="Calibri" w:cs="Calibri"/>
                <w:sz w:val="18"/>
                <w:szCs w:val="18"/>
              </w:rPr>
              <w:t>PN-EN 12697-8 [33], p. 4</w:t>
            </w:r>
          </w:p>
        </w:tc>
        <w:tc>
          <w:tcPr>
            <w:tcW w:w="992" w:type="dxa"/>
          </w:tcPr>
          <w:p w:rsidR="00376DA1" w:rsidRPr="009F750B" w:rsidRDefault="00376DA1" w:rsidP="00556540">
            <w:pPr>
              <w:jc w:val="center"/>
              <w:rPr>
                <w:rFonts w:ascii="Calibri" w:hAnsi="Calibri" w:cs="Calibri"/>
                <w:sz w:val="18"/>
                <w:szCs w:val="18"/>
              </w:rPr>
            </w:pPr>
            <w:r w:rsidRPr="009F750B">
              <w:rPr>
                <w:rFonts w:ascii="Calibri" w:hAnsi="Calibri" w:cs="Calibri"/>
                <w:i/>
                <w:sz w:val="18"/>
                <w:szCs w:val="18"/>
              </w:rPr>
              <w:t>V</w:t>
            </w:r>
            <w:r w:rsidRPr="009F750B">
              <w:rPr>
                <w:rFonts w:ascii="Calibri" w:hAnsi="Calibri" w:cs="Calibri"/>
                <w:sz w:val="18"/>
                <w:szCs w:val="18"/>
                <w:vertAlign w:val="subscript"/>
              </w:rPr>
              <w:t>min 4,0</w:t>
            </w:r>
          </w:p>
          <w:p w:rsidR="00376DA1" w:rsidRPr="009F750B" w:rsidRDefault="00376DA1" w:rsidP="00556540">
            <w:pPr>
              <w:jc w:val="center"/>
              <w:rPr>
                <w:rFonts w:ascii="Calibri" w:hAnsi="Calibri" w:cs="Calibri"/>
                <w:sz w:val="18"/>
                <w:szCs w:val="18"/>
              </w:rPr>
            </w:pPr>
            <w:r w:rsidRPr="009F750B">
              <w:rPr>
                <w:rFonts w:ascii="Calibri" w:hAnsi="Calibri" w:cs="Calibri"/>
                <w:i/>
                <w:sz w:val="18"/>
                <w:szCs w:val="18"/>
              </w:rPr>
              <w:t>V</w:t>
            </w:r>
            <w:r w:rsidRPr="009F750B">
              <w:rPr>
                <w:rFonts w:ascii="Calibri" w:hAnsi="Calibri" w:cs="Calibri"/>
                <w:sz w:val="18"/>
                <w:szCs w:val="18"/>
                <w:vertAlign w:val="subscript"/>
              </w:rPr>
              <w:t>max 7,0</w:t>
            </w:r>
          </w:p>
        </w:tc>
        <w:tc>
          <w:tcPr>
            <w:tcW w:w="993" w:type="dxa"/>
          </w:tcPr>
          <w:p w:rsidR="00376DA1" w:rsidRPr="009F750B" w:rsidRDefault="00376DA1" w:rsidP="00556540">
            <w:pPr>
              <w:jc w:val="center"/>
              <w:rPr>
                <w:rFonts w:ascii="Calibri" w:hAnsi="Calibri" w:cs="Calibri"/>
                <w:sz w:val="18"/>
                <w:szCs w:val="18"/>
              </w:rPr>
            </w:pPr>
            <w:r w:rsidRPr="009F750B">
              <w:rPr>
                <w:rFonts w:ascii="Calibri" w:hAnsi="Calibri" w:cs="Calibri"/>
                <w:i/>
                <w:sz w:val="18"/>
                <w:szCs w:val="18"/>
              </w:rPr>
              <w:t>V</w:t>
            </w:r>
            <w:r w:rsidRPr="009F750B">
              <w:rPr>
                <w:rFonts w:ascii="Calibri" w:hAnsi="Calibri" w:cs="Calibri"/>
                <w:sz w:val="18"/>
                <w:szCs w:val="18"/>
                <w:vertAlign w:val="subscript"/>
              </w:rPr>
              <w:t>min 4,0</w:t>
            </w:r>
          </w:p>
          <w:p w:rsidR="00376DA1" w:rsidRPr="009F750B" w:rsidRDefault="00376DA1" w:rsidP="00556540">
            <w:pPr>
              <w:jc w:val="center"/>
              <w:rPr>
                <w:rFonts w:ascii="Calibri" w:hAnsi="Calibri" w:cs="Calibri"/>
                <w:sz w:val="18"/>
                <w:szCs w:val="18"/>
              </w:rPr>
            </w:pPr>
            <w:r w:rsidRPr="009F750B">
              <w:rPr>
                <w:rFonts w:ascii="Calibri" w:hAnsi="Calibri" w:cs="Calibri"/>
                <w:i/>
                <w:sz w:val="18"/>
                <w:szCs w:val="18"/>
              </w:rPr>
              <w:t>V</w:t>
            </w:r>
            <w:r w:rsidRPr="009F750B">
              <w:rPr>
                <w:rFonts w:ascii="Calibri" w:hAnsi="Calibri" w:cs="Calibri"/>
                <w:sz w:val="18"/>
                <w:szCs w:val="18"/>
                <w:vertAlign w:val="subscript"/>
              </w:rPr>
              <w:t>max 7,0</w:t>
            </w:r>
          </w:p>
        </w:tc>
      </w:tr>
      <w:tr w:rsidR="00376DA1" w:rsidTr="00556540">
        <w:tc>
          <w:tcPr>
            <w:tcW w:w="1809" w:type="dxa"/>
            <w:vAlign w:val="center"/>
          </w:tcPr>
          <w:p w:rsidR="00376DA1" w:rsidRPr="009F750B" w:rsidRDefault="00376DA1" w:rsidP="00556540">
            <w:pPr>
              <w:jc w:val="left"/>
              <w:rPr>
                <w:rFonts w:ascii="Calibri" w:hAnsi="Calibri" w:cs="Calibri"/>
                <w:sz w:val="18"/>
                <w:szCs w:val="18"/>
              </w:rPr>
            </w:pPr>
            <w:r w:rsidRPr="009F750B">
              <w:rPr>
                <w:rFonts w:ascii="Calibri" w:hAnsi="Calibri" w:cs="Calibri"/>
                <w:sz w:val="18"/>
                <w:szCs w:val="18"/>
              </w:rPr>
              <w:t xml:space="preserve">Odporność na deformacje trwałe </w:t>
            </w:r>
            <w:r w:rsidRPr="009F750B">
              <w:rPr>
                <w:rFonts w:ascii="Calibri" w:hAnsi="Calibri" w:cs="Calibri"/>
                <w:sz w:val="18"/>
                <w:szCs w:val="18"/>
                <w:vertAlign w:val="superscript"/>
              </w:rPr>
              <w:t>a)</w:t>
            </w:r>
          </w:p>
        </w:tc>
        <w:tc>
          <w:tcPr>
            <w:tcW w:w="1418" w:type="dxa"/>
          </w:tcPr>
          <w:p w:rsidR="00376DA1" w:rsidRPr="009F750B" w:rsidRDefault="00376DA1" w:rsidP="00556540">
            <w:pPr>
              <w:rPr>
                <w:rFonts w:ascii="Calibri" w:hAnsi="Calibri" w:cs="Calibri"/>
                <w:sz w:val="18"/>
                <w:szCs w:val="18"/>
              </w:rPr>
            </w:pPr>
            <w:r w:rsidRPr="009F750B">
              <w:rPr>
                <w:rFonts w:ascii="Calibri" w:hAnsi="Calibri" w:cs="Calibri"/>
                <w:sz w:val="18"/>
                <w:szCs w:val="18"/>
              </w:rPr>
              <w:t>C.1.20, wałowanie,</w:t>
            </w:r>
          </w:p>
          <w:p w:rsidR="00376DA1" w:rsidRPr="009F750B" w:rsidRDefault="00376DA1" w:rsidP="00556540">
            <w:pPr>
              <w:rPr>
                <w:rFonts w:ascii="Calibri" w:hAnsi="Calibri" w:cs="Calibri"/>
                <w:sz w:val="18"/>
                <w:szCs w:val="18"/>
              </w:rPr>
            </w:pPr>
            <w:r w:rsidRPr="009F750B">
              <w:rPr>
                <w:rFonts w:ascii="Calibri" w:hAnsi="Calibri" w:cs="Calibri"/>
                <w:sz w:val="18"/>
                <w:szCs w:val="18"/>
              </w:rPr>
              <w:t>P</w:t>
            </w:r>
            <w:r w:rsidRPr="009F750B">
              <w:rPr>
                <w:rFonts w:ascii="Calibri" w:hAnsi="Calibri" w:cs="Calibri"/>
                <w:sz w:val="18"/>
                <w:szCs w:val="18"/>
                <w:vertAlign w:val="subscript"/>
              </w:rPr>
              <w:t>98</w:t>
            </w:r>
            <w:r w:rsidRPr="009F750B">
              <w:rPr>
                <w:rFonts w:ascii="Calibri" w:hAnsi="Calibri" w:cs="Calibri"/>
                <w:sz w:val="18"/>
                <w:szCs w:val="18"/>
              </w:rPr>
              <w:t>-P</w:t>
            </w:r>
            <w:r w:rsidRPr="009F750B">
              <w:rPr>
                <w:rFonts w:ascii="Calibri" w:hAnsi="Calibri" w:cs="Calibri"/>
                <w:sz w:val="18"/>
                <w:szCs w:val="18"/>
                <w:vertAlign w:val="subscript"/>
              </w:rPr>
              <w:t>100</w:t>
            </w:r>
          </w:p>
        </w:tc>
        <w:tc>
          <w:tcPr>
            <w:tcW w:w="2693" w:type="dxa"/>
          </w:tcPr>
          <w:p w:rsidR="00376DA1" w:rsidRPr="009F750B" w:rsidRDefault="00376DA1" w:rsidP="00556540">
            <w:pPr>
              <w:jc w:val="center"/>
              <w:rPr>
                <w:rFonts w:ascii="Calibri" w:hAnsi="Calibri" w:cs="Calibri"/>
                <w:sz w:val="18"/>
                <w:szCs w:val="18"/>
              </w:rPr>
            </w:pPr>
            <w:r w:rsidRPr="009F750B">
              <w:rPr>
                <w:rFonts w:ascii="Calibri" w:hAnsi="Calibri" w:cs="Calibri"/>
                <w:sz w:val="18"/>
                <w:szCs w:val="18"/>
              </w:rPr>
              <w:t>PN-EN 12697-22 [38], metoda B       w powietrzu, PN-EN 13108-20, D.1.6,60°C, 10 000 cykli</w:t>
            </w:r>
          </w:p>
        </w:tc>
        <w:tc>
          <w:tcPr>
            <w:tcW w:w="992" w:type="dxa"/>
            <w:vAlign w:val="center"/>
          </w:tcPr>
          <w:p w:rsidR="00376DA1" w:rsidRPr="009F750B" w:rsidRDefault="00376DA1" w:rsidP="00556540">
            <w:pPr>
              <w:jc w:val="left"/>
              <w:rPr>
                <w:rFonts w:ascii="Calibri" w:hAnsi="Calibri" w:cs="Calibri"/>
                <w:sz w:val="18"/>
                <w:szCs w:val="18"/>
                <w:vertAlign w:val="subscript"/>
              </w:rPr>
            </w:pPr>
            <w:r w:rsidRPr="009F750B">
              <w:rPr>
                <w:rFonts w:ascii="Calibri" w:hAnsi="Calibri" w:cs="Calibri"/>
                <w:i/>
                <w:sz w:val="18"/>
                <w:szCs w:val="18"/>
              </w:rPr>
              <w:t>WTS</w:t>
            </w:r>
            <w:r w:rsidRPr="009F750B">
              <w:rPr>
                <w:rFonts w:ascii="Calibri" w:hAnsi="Calibri" w:cs="Calibri"/>
                <w:sz w:val="18"/>
                <w:szCs w:val="18"/>
                <w:vertAlign w:val="subscript"/>
              </w:rPr>
              <w:t>AIR 1,0</w:t>
            </w:r>
          </w:p>
          <w:p w:rsidR="00376DA1" w:rsidRPr="009F750B" w:rsidRDefault="00376DA1" w:rsidP="00556540">
            <w:pPr>
              <w:jc w:val="left"/>
              <w:rPr>
                <w:rFonts w:ascii="Calibri" w:hAnsi="Calibri" w:cs="Calibri"/>
                <w:sz w:val="18"/>
                <w:szCs w:val="18"/>
                <w:vertAlign w:val="subscript"/>
              </w:rPr>
            </w:pPr>
            <w:r w:rsidRPr="009F750B">
              <w:rPr>
                <w:rFonts w:ascii="Calibri" w:hAnsi="Calibri" w:cs="Calibri"/>
                <w:i/>
                <w:sz w:val="18"/>
                <w:szCs w:val="18"/>
              </w:rPr>
              <w:t>PRD</w:t>
            </w:r>
            <w:r w:rsidRPr="009F750B">
              <w:rPr>
                <w:rFonts w:ascii="Calibri" w:hAnsi="Calibri" w:cs="Calibri"/>
                <w:sz w:val="18"/>
                <w:szCs w:val="18"/>
                <w:vertAlign w:val="subscript"/>
              </w:rPr>
              <w:t>AIR deklar</w:t>
            </w:r>
          </w:p>
        </w:tc>
        <w:tc>
          <w:tcPr>
            <w:tcW w:w="993" w:type="dxa"/>
            <w:vAlign w:val="center"/>
          </w:tcPr>
          <w:p w:rsidR="00376DA1" w:rsidRPr="009F750B" w:rsidRDefault="00376DA1" w:rsidP="00556540">
            <w:pPr>
              <w:jc w:val="center"/>
              <w:rPr>
                <w:rFonts w:ascii="Calibri" w:hAnsi="Calibri" w:cs="Calibri"/>
                <w:sz w:val="18"/>
                <w:szCs w:val="18"/>
                <w:vertAlign w:val="subscript"/>
              </w:rPr>
            </w:pPr>
            <w:r w:rsidRPr="009F750B">
              <w:rPr>
                <w:rFonts w:ascii="Calibri" w:hAnsi="Calibri" w:cs="Calibri"/>
                <w:i/>
                <w:sz w:val="18"/>
                <w:szCs w:val="18"/>
              </w:rPr>
              <w:t>WTS</w:t>
            </w:r>
            <w:r w:rsidRPr="009F750B">
              <w:rPr>
                <w:rFonts w:ascii="Calibri" w:hAnsi="Calibri" w:cs="Calibri"/>
                <w:sz w:val="18"/>
                <w:szCs w:val="18"/>
                <w:vertAlign w:val="subscript"/>
              </w:rPr>
              <w:t>AIR 1,0</w:t>
            </w:r>
          </w:p>
          <w:p w:rsidR="00376DA1" w:rsidRPr="009F750B" w:rsidRDefault="00376DA1" w:rsidP="00556540">
            <w:pPr>
              <w:jc w:val="center"/>
              <w:rPr>
                <w:rFonts w:ascii="Calibri" w:hAnsi="Calibri" w:cs="Calibri"/>
                <w:sz w:val="18"/>
                <w:szCs w:val="18"/>
              </w:rPr>
            </w:pPr>
            <w:r w:rsidRPr="009F750B">
              <w:rPr>
                <w:rFonts w:ascii="Calibri" w:hAnsi="Calibri" w:cs="Calibri"/>
                <w:i/>
                <w:sz w:val="18"/>
                <w:szCs w:val="18"/>
              </w:rPr>
              <w:t>PRD</w:t>
            </w:r>
            <w:r w:rsidRPr="009F750B">
              <w:rPr>
                <w:rFonts w:ascii="Calibri" w:hAnsi="Calibri" w:cs="Calibri"/>
                <w:sz w:val="18"/>
                <w:szCs w:val="18"/>
                <w:vertAlign w:val="subscript"/>
              </w:rPr>
              <w:t>AIR deklar</w:t>
            </w:r>
          </w:p>
        </w:tc>
      </w:tr>
      <w:tr w:rsidR="00376DA1" w:rsidTr="00556540">
        <w:tc>
          <w:tcPr>
            <w:tcW w:w="1809" w:type="dxa"/>
            <w:vAlign w:val="center"/>
          </w:tcPr>
          <w:p w:rsidR="00376DA1" w:rsidRPr="009F750B" w:rsidRDefault="00376DA1" w:rsidP="00556540">
            <w:pPr>
              <w:jc w:val="left"/>
              <w:rPr>
                <w:rFonts w:ascii="Calibri" w:hAnsi="Calibri" w:cs="Calibri"/>
                <w:sz w:val="18"/>
                <w:szCs w:val="18"/>
              </w:rPr>
            </w:pPr>
            <w:r w:rsidRPr="009F750B">
              <w:rPr>
                <w:rFonts w:ascii="Calibri" w:hAnsi="Calibri" w:cs="Calibri"/>
                <w:sz w:val="18"/>
                <w:szCs w:val="18"/>
              </w:rPr>
              <w:t>Odporność na działanie wody</w:t>
            </w:r>
          </w:p>
        </w:tc>
        <w:tc>
          <w:tcPr>
            <w:tcW w:w="1418" w:type="dxa"/>
          </w:tcPr>
          <w:p w:rsidR="00376DA1" w:rsidRPr="009F750B" w:rsidRDefault="00376DA1" w:rsidP="00556540">
            <w:pPr>
              <w:rPr>
                <w:rFonts w:ascii="Calibri" w:hAnsi="Calibri" w:cs="Calibri"/>
                <w:sz w:val="18"/>
                <w:szCs w:val="18"/>
              </w:rPr>
            </w:pPr>
          </w:p>
          <w:p w:rsidR="00376DA1" w:rsidRPr="009F750B" w:rsidRDefault="00376DA1" w:rsidP="00556540">
            <w:pPr>
              <w:rPr>
                <w:rFonts w:ascii="Calibri" w:hAnsi="Calibri" w:cs="Calibri"/>
                <w:sz w:val="18"/>
                <w:szCs w:val="18"/>
              </w:rPr>
            </w:pPr>
            <w:r w:rsidRPr="009F750B">
              <w:rPr>
                <w:rFonts w:ascii="Calibri" w:hAnsi="Calibri" w:cs="Calibri"/>
                <w:sz w:val="18"/>
                <w:szCs w:val="18"/>
              </w:rPr>
              <w:t>C.1.1,ubijanie, 2×35 uderzeń</w:t>
            </w:r>
          </w:p>
        </w:tc>
        <w:tc>
          <w:tcPr>
            <w:tcW w:w="2693" w:type="dxa"/>
          </w:tcPr>
          <w:p w:rsidR="00376DA1" w:rsidRPr="009F750B" w:rsidRDefault="00376DA1" w:rsidP="00556540">
            <w:pPr>
              <w:jc w:val="center"/>
              <w:rPr>
                <w:rFonts w:ascii="Calibri" w:hAnsi="Calibri" w:cs="Calibri"/>
                <w:sz w:val="18"/>
                <w:szCs w:val="18"/>
              </w:rPr>
            </w:pPr>
            <w:r w:rsidRPr="009F750B">
              <w:rPr>
                <w:rFonts w:ascii="Calibri" w:hAnsi="Calibri" w:cs="Calibri"/>
                <w:sz w:val="18"/>
                <w:szCs w:val="18"/>
              </w:rPr>
              <w:t xml:space="preserve">PN-EN 12697-12 [35], przechowywanie w </w:t>
            </w:r>
            <w:smartTag w:uri="urn:schemas-microsoft-com:office:smarttags" w:element="metricconverter">
              <w:smartTagPr>
                <w:attr w:name="ProductID" w:val="40ﾰC"/>
              </w:smartTagPr>
              <w:r w:rsidRPr="009F750B">
                <w:rPr>
                  <w:rFonts w:ascii="Calibri" w:hAnsi="Calibri" w:cs="Calibri"/>
                  <w:sz w:val="18"/>
                  <w:szCs w:val="18"/>
                </w:rPr>
                <w:t>40°C</w:t>
              </w:r>
            </w:smartTag>
            <w:r w:rsidRPr="009F750B">
              <w:rPr>
                <w:rFonts w:ascii="Calibri" w:hAnsi="Calibri" w:cs="Calibri"/>
                <w:sz w:val="18"/>
                <w:szCs w:val="18"/>
              </w:rPr>
              <w:t xml:space="preserve"> z jednym cyklem zamrażania, </w:t>
            </w:r>
          </w:p>
          <w:p w:rsidR="00376DA1" w:rsidRPr="009F750B" w:rsidRDefault="00376DA1" w:rsidP="00556540">
            <w:pPr>
              <w:jc w:val="center"/>
              <w:rPr>
                <w:rFonts w:ascii="Calibri" w:hAnsi="Calibri" w:cs="Calibri"/>
                <w:sz w:val="18"/>
                <w:szCs w:val="18"/>
              </w:rPr>
            </w:pPr>
            <w:r w:rsidRPr="009F750B">
              <w:rPr>
                <w:rFonts w:ascii="Calibri" w:hAnsi="Calibri" w:cs="Calibri"/>
                <w:sz w:val="18"/>
                <w:szCs w:val="18"/>
              </w:rPr>
              <w:t xml:space="preserve">badanie w </w:t>
            </w:r>
            <w:smartTag w:uri="urn:schemas-microsoft-com:office:smarttags" w:element="metricconverter">
              <w:smartTagPr>
                <w:attr w:name="ProductID" w:val="25ﾰC"/>
              </w:smartTagPr>
              <w:r w:rsidRPr="009F750B">
                <w:rPr>
                  <w:rFonts w:ascii="Calibri" w:hAnsi="Calibri" w:cs="Calibri"/>
                  <w:sz w:val="18"/>
                  <w:szCs w:val="18"/>
                </w:rPr>
                <w:t>25°C</w:t>
              </w:r>
            </w:smartTag>
            <w:r w:rsidRPr="009F750B">
              <w:rPr>
                <w:rFonts w:ascii="Calibri" w:hAnsi="Calibri" w:cs="Calibri"/>
                <w:sz w:val="18"/>
                <w:szCs w:val="18"/>
              </w:rPr>
              <w:t xml:space="preserve"> </w:t>
            </w:r>
            <w:r w:rsidRPr="009F750B">
              <w:rPr>
                <w:rFonts w:ascii="Calibri" w:hAnsi="Calibri" w:cs="Calibri"/>
                <w:sz w:val="18"/>
                <w:szCs w:val="18"/>
                <w:vertAlign w:val="superscript"/>
              </w:rPr>
              <w:t>b)</w:t>
            </w:r>
          </w:p>
        </w:tc>
        <w:tc>
          <w:tcPr>
            <w:tcW w:w="992" w:type="dxa"/>
            <w:vAlign w:val="center"/>
          </w:tcPr>
          <w:p w:rsidR="00376DA1" w:rsidRPr="009F750B" w:rsidRDefault="00376DA1" w:rsidP="00556540">
            <w:pPr>
              <w:jc w:val="center"/>
              <w:rPr>
                <w:rFonts w:ascii="Calibri" w:hAnsi="Calibri" w:cs="Calibri"/>
                <w:sz w:val="18"/>
                <w:szCs w:val="18"/>
                <w:vertAlign w:val="subscript"/>
              </w:rPr>
            </w:pPr>
            <w:r w:rsidRPr="009F750B">
              <w:rPr>
                <w:rFonts w:ascii="Calibri" w:hAnsi="Calibri" w:cs="Calibri"/>
                <w:i/>
                <w:sz w:val="18"/>
                <w:szCs w:val="18"/>
              </w:rPr>
              <w:t>ITSR</w:t>
            </w:r>
            <w:r w:rsidRPr="009F750B">
              <w:rPr>
                <w:rFonts w:ascii="Calibri" w:hAnsi="Calibri" w:cs="Calibri"/>
                <w:i/>
                <w:sz w:val="18"/>
                <w:szCs w:val="18"/>
                <w:vertAlign w:val="subscript"/>
              </w:rPr>
              <w:t>70</w:t>
            </w:r>
          </w:p>
        </w:tc>
        <w:tc>
          <w:tcPr>
            <w:tcW w:w="993" w:type="dxa"/>
            <w:vAlign w:val="center"/>
          </w:tcPr>
          <w:p w:rsidR="00376DA1" w:rsidRPr="009F750B" w:rsidRDefault="00376DA1" w:rsidP="00556540">
            <w:pPr>
              <w:jc w:val="center"/>
              <w:rPr>
                <w:rFonts w:ascii="Calibri" w:hAnsi="Calibri" w:cs="Calibri"/>
                <w:sz w:val="18"/>
                <w:szCs w:val="18"/>
                <w:vertAlign w:val="subscript"/>
              </w:rPr>
            </w:pPr>
            <w:r w:rsidRPr="009F750B">
              <w:rPr>
                <w:rFonts w:ascii="Calibri" w:hAnsi="Calibri" w:cs="Calibri"/>
                <w:i/>
                <w:sz w:val="18"/>
                <w:szCs w:val="18"/>
              </w:rPr>
              <w:t>ITSR</w:t>
            </w:r>
            <w:r w:rsidRPr="009F750B">
              <w:rPr>
                <w:rFonts w:ascii="Calibri" w:hAnsi="Calibri" w:cs="Calibri"/>
                <w:i/>
                <w:sz w:val="18"/>
                <w:szCs w:val="18"/>
                <w:vertAlign w:val="subscript"/>
              </w:rPr>
              <w:t>70</w:t>
            </w:r>
          </w:p>
        </w:tc>
      </w:tr>
    </w:tbl>
    <w:p w:rsidR="00376DA1" w:rsidRPr="00FD0AA8" w:rsidRDefault="00376DA1" w:rsidP="00376DA1">
      <w:pPr>
        <w:tabs>
          <w:tab w:val="left" w:pos="142"/>
        </w:tabs>
        <w:ind w:left="709"/>
        <w:rPr>
          <w:rFonts w:ascii="Calibri" w:hAnsi="Calibri" w:cs="Calibri"/>
          <w:sz w:val="16"/>
          <w:szCs w:val="16"/>
        </w:rPr>
      </w:pPr>
      <w:r w:rsidRPr="00FD0AA8">
        <w:rPr>
          <w:rFonts w:ascii="Calibri" w:hAnsi="Calibri" w:cs="Calibri"/>
          <w:sz w:val="16"/>
          <w:szCs w:val="16"/>
          <w:vertAlign w:val="superscript"/>
        </w:rPr>
        <w:t>a)</w:t>
      </w:r>
      <w:r>
        <w:rPr>
          <w:rFonts w:ascii="Calibri" w:hAnsi="Calibri" w:cs="Calibri"/>
          <w:sz w:val="16"/>
          <w:szCs w:val="16"/>
        </w:rPr>
        <w:t xml:space="preserve"> </w:t>
      </w:r>
      <w:r w:rsidRPr="00FD0AA8">
        <w:rPr>
          <w:rFonts w:ascii="Calibri" w:hAnsi="Calibri" w:cs="Calibri"/>
          <w:sz w:val="16"/>
          <w:szCs w:val="16"/>
        </w:rPr>
        <w:t>Grubość płyty: AC16P, AC22P 60mm, AC32P 80mm.</w:t>
      </w:r>
    </w:p>
    <w:p w:rsidR="00376DA1" w:rsidRDefault="00376DA1" w:rsidP="00376DA1">
      <w:pPr>
        <w:tabs>
          <w:tab w:val="left" w:pos="142"/>
        </w:tabs>
        <w:ind w:left="709"/>
        <w:rPr>
          <w:rFonts w:ascii="Calibri" w:hAnsi="Calibri" w:cs="Calibri"/>
          <w:sz w:val="16"/>
          <w:szCs w:val="16"/>
        </w:rPr>
      </w:pPr>
      <w:r w:rsidRPr="00FD0AA8">
        <w:rPr>
          <w:rFonts w:ascii="Calibri" w:hAnsi="Calibri" w:cs="Calibri"/>
          <w:sz w:val="16"/>
          <w:szCs w:val="16"/>
          <w:vertAlign w:val="superscript"/>
        </w:rPr>
        <w:t>b)</w:t>
      </w:r>
      <w:r>
        <w:rPr>
          <w:rFonts w:ascii="Calibri" w:hAnsi="Calibri" w:cs="Calibri"/>
          <w:sz w:val="16"/>
          <w:szCs w:val="16"/>
          <w:vertAlign w:val="superscript"/>
        </w:rPr>
        <w:t xml:space="preserve"> </w:t>
      </w:r>
      <w:r w:rsidRPr="00FD0AA8">
        <w:rPr>
          <w:rFonts w:ascii="Calibri" w:hAnsi="Calibri" w:cs="Calibri"/>
          <w:sz w:val="16"/>
          <w:szCs w:val="16"/>
        </w:rPr>
        <w:t>Ujednoliconą procedurę badania odporności na działanie wody podano w WT-2 2010 [65] w załączniku 1.</w:t>
      </w:r>
    </w:p>
    <w:p w:rsidR="00376DA1" w:rsidRDefault="00376DA1" w:rsidP="00376DA1">
      <w:pPr>
        <w:ind w:left="709"/>
        <w:rPr>
          <w:rFonts w:ascii="Calibri" w:hAnsi="Calibri" w:cs="Calibri"/>
        </w:rPr>
      </w:pPr>
    </w:p>
    <w:p w:rsidR="00D553DB" w:rsidRDefault="00D553DB" w:rsidP="00376DA1">
      <w:pPr>
        <w:ind w:left="709"/>
        <w:rPr>
          <w:rFonts w:ascii="Calibri" w:hAnsi="Calibri" w:cs="Calibri"/>
        </w:rPr>
      </w:pPr>
    </w:p>
    <w:p w:rsidR="00D553DB" w:rsidRDefault="00D553DB" w:rsidP="00376DA1">
      <w:pPr>
        <w:ind w:left="709"/>
        <w:rPr>
          <w:rFonts w:ascii="Calibri" w:hAnsi="Calibri" w:cs="Calibri"/>
        </w:rPr>
      </w:pPr>
    </w:p>
    <w:p w:rsidR="00D553DB" w:rsidRDefault="00D553DB" w:rsidP="00376DA1">
      <w:pPr>
        <w:ind w:left="709"/>
        <w:rPr>
          <w:rFonts w:ascii="Calibri" w:hAnsi="Calibri" w:cs="Calibri"/>
        </w:rPr>
      </w:pPr>
    </w:p>
    <w:p w:rsidR="00D553DB" w:rsidRDefault="00D553DB" w:rsidP="00376DA1">
      <w:pPr>
        <w:ind w:left="709"/>
        <w:rPr>
          <w:rFonts w:ascii="Calibri" w:hAnsi="Calibri" w:cs="Calibri"/>
        </w:rPr>
      </w:pPr>
    </w:p>
    <w:p w:rsidR="00D553DB" w:rsidRDefault="00D553DB" w:rsidP="00376DA1">
      <w:pPr>
        <w:ind w:left="709"/>
        <w:rPr>
          <w:rFonts w:ascii="Calibri" w:hAnsi="Calibri" w:cs="Calibri"/>
        </w:rPr>
      </w:pPr>
    </w:p>
    <w:p w:rsidR="00D553DB" w:rsidRDefault="00D553DB" w:rsidP="00376DA1">
      <w:pPr>
        <w:ind w:left="709"/>
        <w:rPr>
          <w:rFonts w:ascii="Calibri" w:hAnsi="Calibri" w:cs="Calibri"/>
        </w:rPr>
      </w:pPr>
    </w:p>
    <w:p w:rsidR="00D553DB" w:rsidRDefault="00D553DB" w:rsidP="00376DA1">
      <w:pPr>
        <w:ind w:left="709"/>
        <w:rPr>
          <w:rFonts w:ascii="Calibri" w:hAnsi="Calibri" w:cs="Calibri"/>
        </w:rPr>
      </w:pPr>
    </w:p>
    <w:p w:rsidR="00D553DB" w:rsidRDefault="00D553DB" w:rsidP="00376DA1">
      <w:pPr>
        <w:ind w:left="709"/>
        <w:rPr>
          <w:rFonts w:ascii="Calibri" w:hAnsi="Calibri" w:cs="Calibri"/>
        </w:rPr>
      </w:pPr>
    </w:p>
    <w:p w:rsidR="00D553DB" w:rsidRDefault="00D553DB" w:rsidP="00376DA1">
      <w:pPr>
        <w:ind w:left="709"/>
        <w:rPr>
          <w:rFonts w:ascii="Calibri" w:hAnsi="Calibri" w:cs="Calibri"/>
        </w:rPr>
      </w:pPr>
    </w:p>
    <w:p w:rsidR="00D553DB" w:rsidRDefault="00D553DB" w:rsidP="00376DA1">
      <w:pPr>
        <w:ind w:left="709"/>
        <w:rPr>
          <w:rFonts w:ascii="Calibri" w:hAnsi="Calibri" w:cs="Calibri"/>
        </w:rPr>
      </w:pPr>
    </w:p>
    <w:p w:rsidR="00D553DB" w:rsidRDefault="00D553DB" w:rsidP="00376DA1">
      <w:pPr>
        <w:ind w:left="709"/>
        <w:rPr>
          <w:rFonts w:ascii="Calibri" w:hAnsi="Calibri" w:cs="Calibri"/>
        </w:rPr>
      </w:pPr>
    </w:p>
    <w:p w:rsidR="00D553DB" w:rsidRDefault="00D553DB" w:rsidP="00376DA1">
      <w:pPr>
        <w:ind w:left="709"/>
        <w:rPr>
          <w:rFonts w:ascii="Calibri" w:hAnsi="Calibri" w:cs="Calibri"/>
        </w:rPr>
      </w:pPr>
    </w:p>
    <w:p w:rsidR="00376DA1" w:rsidRPr="00FD0AA8" w:rsidRDefault="00376DA1" w:rsidP="00376DA1">
      <w:pPr>
        <w:ind w:left="709"/>
        <w:rPr>
          <w:rFonts w:ascii="Calibri" w:hAnsi="Calibri" w:cs="Calibri"/>
        </w:rPr>
      </w:pPr>
      <w:r w:rsidRPr="00FD0AA8">
        <w:rPr>
          <w:rFonts w:ascii="Calibri" w:hAnsi="Calibri" w:cs="Calibri"/>
        </w:rPr>
        <w:lastRenderedPageBreak/>
        <w:t>Tablica 9</w:t>
      </w:r>
      <w:r>
        <w:rPr>
          <w:rFonts w:ascii="Calibri" w:hAnsi="Calibri" w:cs="Calibri"/>
        </w:rPr>
        <w:t xml:space="preserve">. </w:t>
      </w:r>
      <w:r w:rsidRPr="00FD0AA8">
        <w:rPr>
          <w:rFonts w:ascii="Calibri" w:hAnsi="Calibri" w:cs="Calibri"/>
        </w:rPr>
        <w:t>Wymagane właściwości mieszanki mineralno-asfaltowej do warstwy podbudowy, dla ruchu KR5 ÷ KR6  [65]</w:t>
      </w:r>
    </w:p>
    <w:tbl>
      <w:tblPr>
        <w:tblW w:w="7955" w:type="dxa"/>
        <w:tblInd w:w="81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tblPr>
      <w:tblGrid>
        <w:gridCol w:w="2001"/>
        <w:gridCol w:w="1418"/>
        <w:gridCol w:w="2551"/>
        <w:gridCol w:w="993"/>
        <w:gridCol w:w="992"/>
      </w:tblGrid>
      <w:tr w:rsidR="00376DA1" w:rsidTr="00556540">
        <w:tc>
          <w:tcPr>
            <w:tcW w:w="2001" w:type="dxa"/>
            <w:vAlign w:val="center"/>
          </w:tcPr>
          <w:p w:rsidR="00376DA1" w:rsidRPr="009F750B" w:rsidRDefault="00376DA1" w:rsidP="00556540">
            <w:pPr>
              <w:jc w:val="center"/>
              <w:rPr>
                <w:rFonts w:ascii="Calibri" w:hAnsi="Calibri" w:cs="Calibri"/>
                <w:sz w:val="18"/>
                <w:szCs w:val="18"/>
              </w:rPr>
            </w:pPr>
            <w:r w:rsidRPr="009F750B">
              <w:rPr>
                <w:rFonts w:ascii="Calibri" w:hAnsi="Calibri" w:cs="Calibri"/>
                <w:sz w:val="18"/>
                <w:szCs w:val="18"/>
              </w:rPr>
              <w:t>Właściwość</w:t>
            </w:r>
          </w:p>
        </w:tc>
        <w:tc>
          <w:tcPr>
            <w:tcW w:w="1418" w:type="dxa"/>
            <w:vAlign w:val="center"/>
          </w:tcPr>
          <w:p w:rsidR="00376DA1" w:rsidRPr="009F750B" w:rsidRDefault="00376DA1" w:rsidP="00556540">
            <w:pPr>
              <w:jc w:val="center"/>
              <w:rPr>
                <w:rFonts w:ascii="Calibri" w:hAnsi="Calibri" w:cs="Calibri"/>
                <w:sz w:val="18"/>
                <w:szCs w:val="18"/>
              </w:rPr>
            </w:pPr>
            <w:r w:rsidRPr="009F750B">
              <w:rPr>
                <w:rFonts w:ascii="Calibri" w:hAnsi="Calibri" w:cs="Calibri"/>
                <w:sz w:val="18"/>
                <w:szCs w:val="18"/>
              </w:rPr>
              <w:t xml:space="preserve">Warunki zagęszczania wg PN-EN </w:t>
            </w:r>
          </w:p>
          <w:p w:rsidR="00376DA1" w:rsidRPr="009F750B" w:rsidRDefault="00376DA1" w:rsidP="00556540">
            <w:pPr>
              <w:jc w:val="center"/>
              <w:rPr>
                <w:rFonts w:ascii="Calibri" w:hAnsi="Calibri" w:cs="Calibri"/>
                <w:sz w:val="18"/>
                <w:szCs w:val="18"/>
              </w:rPr>
            </w:pPr>
            <w:r w:rsidRPr="009F750B">
              <w:rPr>
                <w:rFonts w:ascii="Calibri" w:hAnsi="Calibri" w:cs="Calibri"/>
                <w:sz w:val="18"/>
                <w:szCs w:val="18"/>
              </w:rPr>
              <w:t>13108-20  [48]</w:t>
            </w:r>
          </w:p>
        </w:tc>
        <w:tc>
          <w:tcPr>
            <w:tcW w:w="2551" w:type="dxa"/>
            <w:vAlign w:val="center"/>
          </w:tcPr>
          <w:p w:rsidR="00376DA1" w:rsidRPr="009F750B" w:rsidRDefault="00376DA1" w:rsidP="00556540">
            <w:pPr>
              <w:jc w:val="center"/>
              <w:rPr>
                <w:rFonts w:ascii="Calibri" w:hAnsi="Calibri" w:cs="Calibri"/>
                <w:sz w:val="18"/>
                <w:szCs w:val="18"/>
              </w:rPr>
            </w:pPr>
            <w:r w:rsidRPr="009F750B">
              <w:rPr>
                <w:rFonts w:ascii="Calibri" w:hAnsi="Calibri" w:cs="Calibri"/>
                <w:sz w:val="18"/>
                <w:szCs w:val="18"/>
              </w:rPr>
              <w:t>Metoda i warunki badania</w:t>
            </w:r>
          </w:p>
        </w:tc>
        <w:tc>
          <w:tcPr>
            <w:tcW w:w="993" w:type="dxa"/>
            <w:vAlign w:val="center"/>
          </w:tcPr>
          <w:p w:rsidR="00376DA1" w:rsidRPr="009F750B" w:rsidRDefault="00376DA1" w:rsidP="00556540">
            <w:pPr>
              <w:jc w:val="center"/>
              <w:rPr>
                <w:rFonts w:ascii="Calibri" w:hAnsi="Calibri" w:cs="Calibri"/>
                <w:sz w:val="18"/>
                <w:szCs w:val="18"/>
              </w:rPr>
            </w:pPr>
            <w:r w:rsidRPr="009F750B">
              <w:rPr>
                <w:rFonts w:ascii="Calibri" w:hAnsi="Calibri" w:cs="Calibri"/>
                <w:sz w:val="18"/>
                <w:szCs w:val="18"/>
              </w:rPr>
              <w:t>AC16P</w:t>
            </w:r>
          </w:p>
        </w:tc>
        <w:tc>
          <w:tcPr>
            <w:tcW w:w="992" w:type="dxa"/>
            <w:vAlign w:val="center"/>
          </w:tcPr>
          <w:p w:rsidR="00376DA1" w:rsidRPr="009F750B" w:rsidRDefault="00376DA1" w:rsidP="00556540">
            <w:pPr>
              <w:jc w:val="center"/>
              <w:rPr>
                <w:rFonts w:ascii="Calibri" w:hAnsi="Calibri" w:cs="Calibri"/>
                <w:sz w:val="18"/>
                <w:szCs w:val="18"/>
              </w:rPr>
            </w:pPr>
            <w:r w:rsidRPr="009F750B">
              <w:rPr>
                <w:rFonts w:ascii="Calibri" w:hAnsi="Calibri" w:cs="Calibri"/>
                <w:sz w:val="18"/>
                <w:szCs w:val="18"/>
              </w:rPr>
              <w:t>AC22P</w:t>
            </w:r>
          </w:p>
          <w:p w:rsidR="00376DA1" w:rsidRPr="009F750B" w:rsidRDefault="00376DA1" w:rsidP="00556540">
            <w:pPr>
              <w:jc w:val="center"/>
              <w:rPr>
                <w:rFonts w:ascii="Calibri" w:hAnsi="Calibri" w:cs="Calibri"/>
                <w:sz w:val="18"/>
                <w:szCs w:val="18"/>
              </w:rPr>
            </w:pPr>
            <w:r w:rsidRPr="009F750B">
              <w:rPr>
                <w:rFonts w:ascii="Calibri" w:hAnsi="Calibri" w:cs="Calibri"/>
                <w:sz w:val="18"/>
                <w:szCs w:val="18"/>
              </w:rPr>
              <w:t>AC32P</w:t>
            </w:r>
          </w:p>
        </w:tc>
      </w:tr>
      <w:tr w:rsidR="00376DA1" w:rsidTr="00556540">
        <w:tc>
          <w:tcPr>
            <w:tcW w:w="2001" w:type="dxa"/>
            <w:vAlign w:val="center"/>
          </w:tcPr>
          <w:p w:rsidR="00376DA1" w:rsidRPr="009F750B" w:rsidRDefault="00376DA1" w:rsidP="00556540">
            <w:pPr>
              <w:rPr>
                <w:rFonts w:ascii="Calibri" w:hAnsi="Calibri" w:cs="Calibri"/>
                <w:sz w:val="18"/>
                <w:szCs w:val="18"/>
              </w:rPr>
            </w:pPr>
            <w:r w:rsidRPr="009F750B">
              <w:rPr>
                <w:rFonts w:ascii="Calibri" w:hAnsi="Calibri" w:cs="Calibri"/>
                <w:sz w:val="18"/>
                <w:szCs w:val="18"/>
              </w:rPr>
              <w:t>Zawartość wolnych przestrzeni</w:t>
            </w:r>
          </w:p>
        </w:tc>
        <w:tc>
          <w:tcPr>
            <w:tcW w:w="1418" w:type="dxa"/>
            <w:vAlign w:val="center"/>
          </w:tcPr>
          <w:p w:rsidR="00376DA1" w:rsidRPr="009F750B" w:rsidRDefault="00376DA1" w:rsidP="00556540">
            <w:pPr>
              <w:rPr>
                <w:rFonts w:ascii="Calibri" w:hAnsi="Calibri" w:cs="Calibri"/>
                <w:sz w:val="18"/>
                <w:szCs w:val="18"/>
              </w:rPr>
            </w:pPr>
            <w:r w:rsidRPr="009F750B">
              <w:rPr>
                <w:rFonts w:ascii="Calibri" w:hAnsi="Calibri" w:cs="Calibri"/>
                <w:sz w:val="18"/>
                <w:szCs w:val="18"/>
              </w:rPr>
              <w:t>C.1.3,ubijanie, 2×75 uderzeń</w:t>
            </w:r>
          </w:p>
        </w:tc>
        <w:tc>
          <w:tcPr>
            <w:tcW w:w="2551" w:type="dxa"/>
            <w:vAlign w:val="center"/>
          </w:tcPr>
          <w:p w:rsidR="00376DA1" w:rsidRPr="009F750B" w:rsidRDefault="00376DA1" w:rsidP="00556540">
            <w:pPr>
              <w:jc w:val="center"/>
              <w:rPr>
                <w:rFonts w:ascii="Calibri" w:hAnsi="Calibri" w:cs="Calibri"/>
                <w:sz w:val="18"/>
                <w:szCs w:val="18"/>
              </w:rPr>
            </w:pPr>
            <w:r w:rsidRPr="009F750B">
              <w:rPr>
                <w:rFonts w:ascii="Calibri" w:hAnsi="Calibri" w:cs="Calibri"/>
                <w:sz w:val="18"/>
                <w:szCs w:val="18"/>
              </w:rPr>
              <w:t>PN-EN 12697-8 [33], p. 4</w:t>
            </w:r>
          </w:p>
        </w:tc>
        <w:tc>
          <w:tcPr>
            <w:tcW w:w="993" w:type="dxa"/>
            <w:vAlign w:val="center"/>
          </w:tcPr>
          <w:p w:rsidR="00376DA1" w:rsidRPr="009F750B" w:rsidRDefault="00376DA1" w:rsidP="00556540">
            <w:pPr>
              <w:jc w:val="center"/>
              <w:rPr>
                <w:rFonts w:ascii="Calibri" w:hAnsi="Calibri" w:cs="Calibri"/>
                <w:sz w:val="18"/>
                <w:szCs w:val="18"/>
              </w:rPr>
            </w:pPr>
            <w:r w:rsidRPr="009F750B">
              <w:rPr>
                <w:rFonts w:ascii="Calibri" w:hAnsi="Calibri" w:cs="Calibri"/>
                <w:i/>
                <w:sz w:val="18"/>
                <w:szCs w:val="18"/>
              </w:rPr>
              <w:t>V</w:t>
            </w:r>
            <w:r w:rsidRPr="009F750B">
              <w:rPr>
                <w:rFonts w:ascii="Calibri" w:hAnsi="Calibri" w:cs="Calibri"/>
                <w:sz w:val="18"/>
                <w:szCs w:val="18"/>
                <w:vertAlign w:val="subscript"/>
              </w:rPr>
              <w:t>min 4,0</w:t>
            </w:r>
          </w:p>
          <w:p w:rsidR="00376DA1" w:rsidRPr="009F750B" w:rsidRDefault="00376DA1" w:rsidP="00556540">
            <w:pPr>
              <w:jc w:val="center"/>
              <w:rPr>
                <w:rFonts w:ascii="Calibri" w:hAnsi="Calibri" w:cs="Calibri"/>
                <w:sz w:val="18"/>
                <w:szCs w:val="18"/>
              </w:rPr>
            </w:pPr>
            <w:r w:rsidRPr="009F750B">
              <w:rPr>
                <w:rFonts w:ascii="Calibri" w:hAnsi="Calibri" w:cs="Calibri"/>
                <w:i/>
                <w:sz w:val="18"/>
                <w:szCs w:val="18"/>
              </w:rPr>
              <w:t>V</w:t>
            </w:r>
            <w:r w:rsidRPr="009F750B">
              <w:rPr>
                <w:rFonts w:ascii="Calibri" w:hAnsi="Calibri" w:cs="Calibri"/>
                <w:sz w:val="18"/>
                <w:szCs w:val="18"/>
                <w:vertAlign w:val="subscript"/>
              </w:rPr>
              <w:t>max 7,0</w:t>
            </w:r>
          </w:p>
        </w:tc>
        <w:tc>
          <w:tcPr>
            <w:tcW w:w="992" w:type="dxa"/>
            <w:vAlign w:val="center"/>
          </w:tcPr>
          <w:p w:rsidR="00376DA1" w:rsidRPr="009F750B" w:rsidRDefault="00376DA1" w:rsidP="00556540">
            <w:pPr>
              <w:jc w:val="center"/>
              <w:rPr>
                <w:rFonts w:ascii="Calibri" w:hAnsi="Calibri" w:cs="Calibri"/>
                <w:sz w:val="18"/>
                <w:szCs w:val="18"/>
              </w:rPr>
            </w:pPr>
            <w:r w:rsidRPr="009F750B">
              <w:rPr>
                <w:rFonts w:ascii="Calibri" w:hAnsi="Calibri" w:cs="Calibri"/>
                <w:i/>
                <w:sz w:val="18"/>
                <w:szCs w:val="18"/>
              </w:rPr>
              <w:t>V</w:t>
            </w:r>
            <w:r w:rsidRPr="009F750B">
              <w:rPr>
                <w:rFonts w:ascii="Calibri" w:hAnsi="Calibri" w:cs="Calibri"/>
                <w:sz w:val="18"/>
                <w:szCs w:val="18"/>
                <w:vertAlign w:val="subscript"/>
              </w:rPr>
              <w:t>min 4,0</w:t>
            </w:r>
          </w:p>
          <w:p w:rsidR="00376DA1" w:rsidRPr="009F750B" w:rsidRDefault="00376DA1" w:rsidP="00556540">
            <w:pPr>
              <w:jc w:val="center"/>
              <w:rPr>
                <w:rFonts w:ascii="Calibri" w:hAnsi="Calibri" w:cs="Calibri"/>
                <w:sz w:val="18"/>
                <w:szCs w:val="18"/>
              </w:rPr>
            </w:pPr>
            <w:r w:rsidRPr="009F750B">
              <w:rPr>
                <w:rFonts w:ascii="Calibri" w:hAnsi="Calibri" w:cs="Calibri"/>
                <w:i/>
                <w:sz w:val="18"/>
                <w:szCs w:val="18"/>
              </w:rPr>
              <w:t>V</w:t>
            </w:r>
            <w:r w:rsidRPr="009F750B">
              <w:rPr>
                <w:rFonts w:ascii="Calibri" w:hAnsi="Calibri" w:cs="Calibri"/>
                <w:sz w:val="18"/>
                <w:szCs w:val="18"/>
                <w:vertAlign w:val="subscript"/>
              </w:rPr>
              <w:t>max 7,0</w:t>
            </w:r>
          </w:p>
        </w:tc>
      </w:tr>
      <w:tr w:rsidR="00376DA1" w:rsidTr="00556540">
        <w:tc>
          <w:tcPr>
            <w:tcW w:w="2001" w:type="dxa"/>
            <w:vAlign w:val="center"/>
          </w:tcPr>
          <w:p w:rsidR="00376DA1" w:rsidRPr="009F750B" w:rsidRDefault="00376DA1" w:rsidP="00556540">
            <w:pPr>
              <w:jc w:val="left"/>
              <w:rPr>
                <w:rFonts w:ascii="Calibri" w:hAnsi="Calibri" w:cs="Calibri"/>
                <w:sz w:val="18"/>
                <w:szCs w:val="18"/>
              </w:rPr>
            </w:pPr>
            <w:r w:rsidRPr="009F750B">
              <w:rPr>
                <w:rFonts w:ascii="Calibri" w:hAnsi="Calibri" w:cs="Calibri"/>
                <w:sz w:val="18"/>
                <w:szCs w:val="18"/>
              </w:rPr>
              <w:t xml:space="preserve">Odporność na deformacje trwałe </w:t>
            </w:r>
            <w:r w:rsidRPr="009F750B">
              <w:rPr>
                <w:rFonts w:ascii="Calibri" w:hAnsi="Calibri" w:cs="Calibri"/>
                <w:sz w:val="18"/>
                <w:szCs w:val="18"/>
                <w:vertAlign w:val="superscript"/>
              </w:rPr>
              <w:t>a</w:t>
            </w:r>
            <w:r w:rsidRPr="009F750B">
              <w:rPr>
                <w:rFonts w:ascii="Calibri" w:hAnsi="Calibri" w:cs="Calibri"/>
                <w:sz w:val="18"/>
                <w:szCs w:val="18"/>
              </w:rPr>
              <w:t>)</w:t>
            </w:r>
          </w:p>
        </w:tc>
        <w:tc>
          <w:tcPr>
            <w:tcW w:w="1418" w:type="dxa"/>
            <w:vAlign w:val="center"/>
          </w:tcPr>
          <w:p w:rsidR="00376DA1" w:rsidRPr="009F750B" w:rsidRDefault="00376DA1" w:rsidP="00556540">
            <w:pPr>
              <w:rPr>
                <w:rFonts w:ascii="Calibri" w:hAnsi="Calibri" w:cs="Calibri"/>
                <w:sz w:val="18"/>
                <w:szCs w:val="18"/>
              </w:rPr>
            </w:pPr>
            <w:r w:rsidRPr="009F750B">
              <w:rPr>
                <w:rFonts w:ascii="Calibri" w:hAnsi="Calibri" w:cs="Calibri"/>
                <w:sz w:val="18"/>
                <w:szCs w:val="18"/>
              </w:rPr>
              <w:t>C.1.20, wałowanie,</w:t>
            </w:r>
          </w:p>
          <w:p w:rsidR="00376DA1" w:rsidRPr="009F750B" w:rsidRDefault="00376DA1" w:rsidP="00556540">
            <w:pPr>
              <w:rPr>
                <w:rFonts w:ascii="Calibri" w:hAnsi="Calibri" w:cs="Calibri"/>
                <w:sz w:val="18"/>
                <w:szCs w:val="18"/>
              </w:rPr>
            </w:pPr>
            <w:r w:rsidRPr="009F750B">
              <w:rPr>
                <w:rFonts w:ascii="Calibri" w:hAnsi="Calibri" w:cs="Calibri"/>
                <w:sz w:val="18"/>
                <w:szCs w:val="18"/>
              </w:rPr>
              <w:t>P</w:t>
            </w:r>
            <w:r w:rsidRPr="009F750B">
              <w:rPr>
                <w:rFonts w:ascii="Calibri" w:hAnsi="Calibri" w:cs="Calibri"/>
                <w:sz w:val="18"/>
                <w:szCs w:val="18"/>
                <w:vertAlign w:val="subscript"/>
              </w:rPr>
              <w:t>98</w:t>
            </w:r>
            <w:r w:rsidRPr="009F750B">
              <w:rPr>
                <w:rFonts w:ascii="Calibri" w:hAnsi="Calibri" w:cs="Calibri"/>
                <w:sz w:val="18"/>
                <w:szCs w:val="18"/>
              </w:rPr>
              <w:t>-P</w:t>
            </w:r>
            <w:r w:rsidRPr="009F750B">
              <w:rPr>
                <w:rFonts w:ascii="Calibri" w:hAnsi="Calibri" w:cs="Calibri"/>
                <w:sz w:val="18"/>
                <w:szCs w:val="18"/>
                <w:vertAlign w:val="subscript"/>
              </w:rPr>
              <w:t>100</w:t>
            </w:r>
          </w:p>
        </w:tc>
        <w:tc>
          <w:tcPr>
            <w:tcW w:w="2551" w:type="dxa"/>
            <w:vAlign w:val="center"/>
          </w:tcPr>
          <w:p w:rsidR="00376DA1" w:rsidRPr="009F750B" w:rsidRDefault="00376DA1" w:rsidP="00556540">
            <w:pPr>
              <w:jc w:val="center"/>
              <w:rPr>
                <w:rFonts w:ascii="Calibri" w:hAnsi="Calibri" w:cs="Calibri"/>
                <w:sz w:val="18"/>
                <w:szCs w:val="18"/>
              </w:rPr>
            </w:pPr>
            <w:r w:rsidRPr="009F750B">
              <w:rPr>
                <w:rFonts w:ascii="Calibri" w:hAnsi="Calibri" w:cs="Calibri"/>
                <w:sz w:val="18"/>
                <w:szCs w:val="18"/>
              </w:rPr>
              <w:t xml:space="preserve">PN-EN 12697-22 [38], metoda B  w powietrzu, </w:t>
            </w:r>
          </w:p>
          <w:p w:rsidR="00376DA1" w:rsidRPr="009F750B" w:rsidRDefault="00376DA1" w:rsidP="00556540">
            <w:pPr>
              <w:jc w:val="center"/>
              <w:rPr>
                <w:rFonts w:ascii="Calibri" w:hAnsi="Calibri" w:cs="Calibri"/>
                <w:sz w:val="18"/>
                <w:szCs w:val="18"/>
              </w:rPr>
            </w:pPr>
            <w:r w:rsidRPr="009F750B">
              <w:rPr>
                <w:rFonts w:ascii="Calibri" w:hAnsi="Calibri" w:cs="Calibri"/>
                <w:sz w:val="18"/>
                <w:szCs w:val="18"/>
              </w:rPr>
              <w:t>PN-EN 13108-20, D.1.6,60°C, 10 000 cykli</w:t>
            </w:r>
          </w:p>
        </w:tc>
        <w:tc>
          <w:tcPr>
            <w:tcW w:w="993" w:type="dxa"/>
            <w:vAlign w:val="center"/>
          </w:tcPr>
          <w:p w:rsidR="00376DA1" w:rsidRPr="009F750B" w:rsidRDefault="00376DA1" w:rsidP="00556540">
            <w:pPr>
              <w:jc w:val="left"/>
              <w:rPr>
                <w:rFonts w:ascii="Calibri" w:hAnsi="Calibri" w:cs="Calibri"/>
                <w:sz w:val="18"/>
                <w:szCs w:val="18"/>
                <w:vertAlign w:val="subscript"/>
              </w:rPr>
            </w:pPr>
            <w:r w:rsidRPr="009F750B">
              <w:rPr>
                <w:rFonts w:ascii="Calibri" w:hAnsi="Calibri" w:cs="Calibri"/>
                <w:i/>
                <w:sz w:val="18"/>
                <w:szCs w:val="18"/>
              </w:rPr>
              <w:t>WTS</w:t>
            </w:r>
            <w:r w:rsidRPr="009F750B">
              <w:rPr>
                <w:rFonts w:ascii="Calibri" w:hAnsi="Calibri" w:cs="Calibri"/>
                <w:sz w:val="18"/>
                <w:szCs w:val="18"/>
                <w:vertAlign w:val="subscript"/>
              </w:rPr>
              <w:t>AIR 0,6</w:t>
            </w:r>
          </w:p>
          <w:p w:rsidR="00376DA1" w:rsidRPr="009F750B" w:rsidRDefault="00376DA1" w:rsidP="00556540">
            <w:pPr>
              <w:jc w:val="left"/>
              <w:rPr>
                <w:rFonts w:ascii="Calibri" w:hAnsi="Calibri" w:cs="Calibri"/>
                <w:sz w:val="18"/>
                <w:szCs w:val="18"/>
                <w:vertAlign w:val="subscript"/>
              </w:rPr>
            </w:pPr>
            <w:r w:rsidRPr="009F750B">
              <w:rPr>
                <w:rFonts w:ascii="Calibri" w:hAnsi="Calibri" w:cs="Calibri"/>
                <w:i/>
                <w:sz w:val="18"/>
                <w:szCs w:val="18"/>
              </w:rPr>
              <w:t>PRD</w:t>
            </w:r>
            <w:r w:rsidRPr="009F750B">
              <w:rPr>
                <w:rFonts w:ascii="Calibri" w:hAnsi="Calibri" w:cs="Calibri"/>
                <w:sz w:val="18"/>
                <w:szCs w:val="18"/>
                <w:vertAlign w:val="subscript"/>
              </w:rPr>
              <w:t>AIR deklar</w:t>
            </w:r>
          </w:p>
        </w:tc>
        <w:tc>
          <w:tcPr>
            <w:tcW w:w="992" w:type="dxa"/>
            <w:vAlign w:val="center"/>
          </w:tcPr>
          <w:p w:rsidR="00376DA1" w:rsidRPr="009F750B" w:rsidRDefault="00376DA1" w:rsidP="00556540">
            <w:pPr>
              <w:jc w:val="center"/>
              <w:rPr>
                <w:rFonts w:ascii="Calibri" w:hAnsi="Calibri" w:cs="Calibri"/>
                <w:sz w:val="18"/>
                <w:szCs w:val="18"/>
                <w:vertAlign w:val="subscript"/>
              </w:rPr>
            </w:pPr>
            <w:r w:rsidRPr="009F750B">
              <w:rPr>
                <w:rFonts w:ascii="Calibri" w:hAnsi="Calibri" w:cs="Calibri"/>
                <w:i/>
                <w:sz w:val="18"/>
                <w:szCs w:val="18"/>
              </w:rPr>
              <w:t>WTS</w:t>
            </w:r>
            <w:r w:rsidRPr="009F750B">
              <w:rPr>
                <w:rFonts w:ascii="Calibri" w:hAnsi="Calibri" w:cs="Calibri"/>
                <w:sz w:val="18"/>
                <w:szCs w:val="18"/>
                <w:vertAlign w:val="subscript"/>
              </w:rPr>
              <w:t>AIR 0,6</w:t>
            </w:r>
          </w:p>
          <w:p w:rsidR="00376DA1" w:rsidRPr="009F750B" w:rsidRDefault="00376DA1" w:rsidP="00556540">
            <w:pPr>
              <w:jc w:val="center"/>
              <w:rPr>
                <w:rFonts w:ascii="Calibri" w:hAnsi="Calibri" w:cs="Calibri"/>
                <w:sz w:val="18"/>
                <w:szCs w:val="18"/>
              </w:rPr>
            </w:pPr>
            <w:r w:rsidRPr="009F750B">
              <w:rPr>
                <w:rFonts w:ascii="Calibri" w:hAnsi="Calibri" w:cs="Calibri"/>
                <w:i/>
                <w:sz w:val="18"/>
                <w:szCs w:val="18"/>
              </w:rPr>
              <w:t>PRD</w:t>
            </w:r>
            <w:r w:rsidRPr="009F750B">
              <w:rPr>
                <w:rFonts w:ascii="Calibri" w:hAnsi="Calibri" w:cs="Calibri"/>
                <w:sz w:val="18"/>
                <w:szCs w:val="18"/>
                <w:vertAlign w:val="subscript"/>
              </w:rPr>
              <w:t>AIR deklar</w:t>
            </w:r>
          </w:p>
        </w:tc>
      </w:tr>
      <w:tr w:rsidR="00376DA1" w:rsidTr="00556540">
        <w:tc>
          <w:tcPr>
            <w:tcW w:w="2001" w:type="dxa"/>
            <w:vAlign w:val="center"/>
          </w:tcPr>
          <w:p w:rsidR="00376DA1" w:rsidRPr="009F750B" w:rsidRDefault="00376DA1" w:rsidP="00556540">
            <w:pPr>
              <w:jc w:val="left"/>
              <w:rPr>
                <w:rFonts w:ascii="Calibri" w:hAnsi="Calibri" w:cs="Calibri"/>
                <w:sz w:val="18"/>
                <w:szCs w:val="18"/>
              </w:rPr>
            </w:pPr>
            <w:r w:rsidRPr="009F750B">
              <w:rPr>
                <w:rFonts w:ascii="Calibri" w:hAnsi="Calibri" w:cs="Calibri"/>
                <w:sz w:val="18"/>
                <w:szCs w:val="18"/>
              </w:rPr>
              <w:t>Odporność na działanie wody</w:t>
            </w:r>
          </w:p>
        </w:tc>
        <w:tc>
          <w:tcPr>
            <w:tcW w:w="1418" w:type="dxa"/>
            <w:vAlign w:val="center"/>
          </w:tcPr>
          <w:p w:rsidR="00376DA1" w:rsidRPr="009F750B" w:rsidRDefault="00376DA1" w:rsidP="00556540">
            <w:pPr>
              <w:rPr>
                <w:rFonts w:ascii="Calibri" w:hAnsi="Calibri" w:cs="Calibri"/>
                <w:sz w:val="18"/>
                <w:szCs w:val="18"/>
              </w:rPr>
            </w:pPr>
            <w:r w:rsidRPr="009F750B">
              <w:rPr>
                <w:rFonts w:ascii="Calibri" w:hAnsi="Calibri" w:cs="Calibri"/>
                <w:sz w:val="18"/>
                <w:szCs w:val="18"/>
              </w:rPr>
              <w:t>C.1.1,ubijanie, 2×35 uderzeń</w:t>
            </w:r>
          </w:p>
        </w:tc>
        <w:tc>
          <w:tcPr>
            <w:tcW w:w="2551" w:type="dxa"/>
            <w:vAlign w:val="center"/>
          </w:tcPr>
          <w:p w:rsidR="00376DA1" w:rsidRPr="009F750B" w:rsidRDefault="00376DA1" w:rsidP="00556540">
            <w:pPr>
              <w:jc w:val="center"/>
              <w:rPr>
                <w:rFonts w:ascii="Calibri" w:hAnsi="Calibri" w:cs="Calibri"/>
                <w:sz w:val="18"/>
                <w:szCs w:val="18"/>
              </w:rPr>
            </w:pPr>
            <w:r w:rsidRPr="009F750B">
              <w:rPr>
                <w:rFonts w:ascii="Calibri" w:hAnsi="Calibri" w:cs="Calibri"/>
                <w:sz w:val="18"/>
                <w:szCs w:val="18"/>
              </w:rPr>
              <w:t xml:space="preserve">PN-EN 12697-12 [35], przechowywanie w </w:t>
            </w:r>
            <w:smartTag w:uri="urn:schemas-microsoft-com:office:smarttags" w:element="metricconverter">
              <w:smartTagPr>
                <w:attr w:name="ProductID" w:val="40ﾰC"/>
              </w:smartTagPr>
              <w:r w:rsidRPr="009F750B">
                <w:rPr>
                  <w:rFonts w:ascii="Calibri" w:hAnsi="Calibri" w:cs="Calibri"/>
                  <w:sz w:val="18"/>
                  <w:szCs w:val="18"/>
                </w:rPr>
                <w:t>40°C</w:t>
              </w:r>
            </w:smartTag>
            <w:r w:rsidRPr="009F750B">
              <w:rPr>
                <w:rFonts w:ascii="Calibri" w:hAnsi="Calibri" w:cs="Calibri"/>
                <w:sz w:val="18"/>
                <w:szCs w:val="18"/>
              </w:rPr>
              <w:t xml:space="preserve"> z jednym cyklem zamrażania, </w:t>
            </w:r>
          </w:p>
          <w:p w:rsidR="00376DA1" w:rsidRPr="009F750B" w:rsidRDefault="00376DA1" w:rsidP="00556540">
            <w:pPr>
              <w:jc w:val="center"/>
              <w:rPr>
                <w:rFonts w:ascii="Calibri" w:hAnsi="Calibri" w:cs="Calibri"/>
                <w:sz w:val="18"/>
                <w:szCs w:val="18"/>
              </w:rPr>
            </w:pPr>
            <w:r w:rsidRPr="009F750B">
              <w:rPr>
                <w:rFonts w:ascii="Calibri" w:hAnsi="Calibri" w:cs="Calibri"/>
                <w:sz w:val="18"/>
                <w:szCs w:val="18"/>
              </w:rPr>
              <w:t xml:space="preserve">badanie w </w:t>
            </w:r>
            <w:smartTag w:uri="urn:schemas-microsoft-com:office:smarttags" w:element="metricconverter">
              <w:smartTagPr>
                <w:attr w:name="ProductID" w:val="25ﾰC"/>
              </w:smartTagPr>
              <w:r w:rsidRPr="009F750B">
                <w:rPr>
                  <w:rFonts w:ascii="Calibri" w:hAnsi="Calibri" w:cs="Calibri"/>
                  <w:sz w:val="18"/>
                  <w:szCs w:val="18"/>
                </w:rPr>
                <w:t>25°C</w:t>
              </w:r>
            </w:smartTag>
            <w:r w:rsidRPr="009F750B">
              <w:rPr>
                <w:rFonts w:ascii="Calibri" w:hAnsi="Calibri" w:cs="Calibri"/>
                <w:sz w:val="18"/>
                <w:szCs w:val="18"/>
              </w:rPr>
              <w:t xml:space="preserve"> </w:t>
            </w:r>
            <w:r w:rsidRPr="009F750B">
              <w:rPr>
                <w:rFonts w:ascii="Calibri" w:hAnsi="Calibri" w:cs="Calibri"/>
                <w:sz w:val="18"/>
                <w:szCs w:val="18"/>
                <w:vertAlign w:val="superscript"/>
              </w:rPr>
              <w:t>b)</w:t>
            </w:r>
          </w:p>
        </w:tc>
        <w:tc>
          <w:tcPr>
            <w:tcW w:w="993" w:type="dxa"/>
            <w:vAlign w:val="center"/>
          </w:tcPr>
          <w:p w:rsidR="00376DA1" w:rsidRPr="009F750B" w:rsidRDefault="00376DA1" w:rsidP="00556540">
            <w:pPr>
              <w:jc w:val="center"/>
              <w:rPr>
                <w:rFonts w:ascii="Calibri" w:hAnsi="Calibri" w:cs="Calibri"/>
                <w:sz w:val="18"/>
                <w:szCs w:val="18"/>
                <w:vertAlign w:val="subscript"/>
              </w:rPr>
            </w:pPr>
            <w:r w:rsidRPr="009F750B">
              <w:rPr>
                <w:rFonts w:ascii="Calibri" w:hAnsi="Calibri" w:cs="Calibri"/>
                <w:i/>
                <w:sz w:val="18"/>
                <w:szCs w:val="18"/>
              </w:rPr>
              <w:t>ITSR</w:t>
            </w:r>
            <w:r w:rsidRPr="009F750B">
              <w:rPr>
                <w:rFonts w:ascii="Calibri" w:hAnsi="Calibri" w:cs="Calibri"/>
                <w:i/>
                <w:sz w:val="18"/>
                <w:szCs w:val="18"/>
                <w:vertAlign w:val="subscript"/>
              </w:rPr>
              <w:t>70</w:t>
            </w:r>
          </w:p>
        </w:tc>
        <w:tc>
          <w:tcPr>
            <w:tcW w:w="992" w:type="dxa"/>
            <w:vAlign w:val="center"/>
          </w:tcPr>
          <w:p w:rsidR="00376DA1" w:rsidRPr="009F750B" w:rsidRDefault="00376DA1" w:rsidP="00556540">
            <w:pPr>
              <w:jc w:val="center"/>
              <w:rPr>
                <w:rFonts w:ascii="Calibri" w:hAnsi="Calibri" w:cs="Calibri"/>
                <w:sz w:val="18"/>
                <w:szCs w:val="18"/>
                <w:vertAlign w:val="subscript"/>
              </w:rPr>
            </w:pPr>
            <w:r w:rsidRPr="009F750B">
              <w:rPr>
                <w:rFonts w:ascii="Calibri" w:hAnsi="Calibri" w:cs="Calibri"/>
                <w:i/>
                <w:sz w:val="18"/>
                <w:szCs w:val="18"/>
              </w:rPr>
              <w:t>ITSR</w:t>
            </w:r>
            <w:r w:rsidRPr="009F750B">
              <w:rPr>
                <w:rFonts w:ascii="Calibri" w:hAnsi="Calibri" w:cs="Calibri"/>
                <w:i/>
                <w:sz w:val="18"/>
                <w:szCs w:val="18"/>
                <w:vertAlign w:val="subscript"/>
              </w:rPr>
              <w:t>70</w:t>
            </w:r>
          </w:p>
        </w:tc>
      </w:tr>
    </w:tbl>
    <w:p w:rsidR="00376DA1" w:rsidRPr="00FD0AA8" w:rsidRDefault="00376DA1" w:rsidP="00376DA1">
      <w:pPr>
        <w:tabs>
          <w:tab w:val="left" w:pos="142"/>
        </w:tabs>
        <w:ind w:left="709"/>
        <w:rPr>
          <w:rFonts w:ascii="Calibri" w:hAnsi="Calibri" w:cs="Calibri"/>
          <w:sz w:val="16"/>
          <w:szCs w:val="16"/>
        </w:rPr>
      </w:pPr>
      <w:r w:rsidRPr="00FD0AA8">
        <w:rPr>
          <w:rFonts w:ascii="Calibri" w:hAnsi="Calibri" w:cs="Calibri"/>
          <w:sz w:val="16"/>
          <w:szCs w:val="16"/>
          <w:vertAlign w:val="superscript"/>
        </w:rPr>
        <w:t>a)</w:t>
      </w:r>
      <w:r>
        <w:rPr>
          <w:rFonts w:ascii="Calibri" w:hAnsi="Calibri" w:cs="Calibri"/>
          <w:sz w:val="16"/>
          <w:szCs w:val="16"/>
        </w:rPr>
        <w:t xml:space="preserve"> </w:t>
      </w:r>
      <w:r w:rsidRPr="00FD0AA8">
        <w:rPr>
          <w:rFonts w:ascii="Calibri" w:hAnsi="Calibri" w:cs="Calibri"/>
          <w:sz w:val="16"/>
          <w:szCs w:val="16"/>
        </w:rPr>
        <w:t>Grubość płyty: AC16P, AC22P 60mm, AC32P 80mm</w:t>
      </w:r>
    </w:p>
    <w:p w:rsidR="00376DA1" w:rsidRDefault="00376DA1" w:rsidP="00376DA1">
      <w:pPr>
        <w:tabs>
          <w:tab w:val="left" w:pos="142"/>
        </w:tabs>
        <w:ind w:left="709"/>
        <w:rPr>
          <w:rFonts w:ascii="Calibri" w:hAnsi="Calibri" w:cs="Calibri"/>
          <w:sz w:val="16"/>
          <w:szCs w:val="16"/>
        </w:rPr>
      </w:pPr>
      <w:r w:rsidRPr="00FD0AA8">
        <w:rPr>
          <w:rFonts w:ascii="Calibri" w:hAnsi="Calibri" w:cs="Calibri"/>
          <w:sz w:val="16"/>
          <w:szCs w:val="16"/>
          <w:vertAlign w:val="superscript"/>
        </w:rPr>
        <w:t>b)</w:t>
      </w:r>
      <w:r>
        <w:rPr>
          <w:rFonts w:ascii="Calibri" w:hAnsi="Calibri" w:cs="Calibri"/>
          <w:sz w:val="16"/>
          <w:szCs w:val="16"/>
          <w:vertAlign w:val="superscript"/>
        </w:rPr>
        <w:t xml:space="preserve"> </w:t>
      </w:r>
      <w:r w:rsidRPr="00FD0AA8">
        <w:rPr>
          <w:rFonts w:ascii="Calibri" w:hAnsi="Calibri" w:cs="Calibri"/>
          <w:sz w:val="16"/>
          <w:szCs w:val="16"/>
        </w:rPr>
        <w:t>Ujednoliconą procedurę badania odporności na działanie wody podano w WT-2 2010 [65] w załączniku 1.</w:t>
      </w:r>
    </w:p>
    <w:p w:rsidR="00376DA1" w:rsidRPr="00FD0AA8" w:rsidRDefault="00376DA1" w:rsidP="00376DA1">
      <w:pPr>
        <w:tabs>
          <w:tab w:val="left" w:pos="142"/>
        </w:tabs>
        <w:ind w:hanging="142"/>
        <w:rPr>
          <w:rFonts w:ascii="Calibri" w:hAnsi="Calibri" w:cs="Calibri"/>
          <w:sz w:val="16"/>
          <w:szCs w:val="16"/>
        </w:rPr>
      </w:pPr>
    </w:p>
    <w:p w:rsidR="00376DA1" w:rsidRPr="00FD0AA8" w:rsidRDefault="00376DA1" w:rsidP="00376DA1">
      <w:pPr>
        <w:rPr>
          <w:rFonts w:ascii="Calibri" w:hAnsi="Calibri" w:cs="Calibri"/>
        </w:rPr>
      </w:pPr>
      <w:r w:rsidRPr="00067D08">
        <w:rPr>
          <w:rFonts w:ascii="Calibri" w:hAnsi="Calibri" w:cs="Calibri"/>
          <w:b/>
        </w:rPr>
        <w:t>5.3.</w:t>
      </w:r>
      <w:r w:rsidRPr="00FD0AA8">
        <w:rPr>
          <w:rFonts w:ascii="Calibri" w:hAnsi="Calibri" w:cs="Calibri"/>
        </w:rPr>
        <w:t xml:space="preserve"> Wytwarzanie mieszanki mineralno-asfaltowej</w:t>
      </w:r>
    </w:p>
    <w:p w:rsidR="00376DA1" w:rsidRPr="00FD0AA8" w:rsidRDefault="00376DA1" w:rsidP="00376DA1">
      <w:pPr>
        <w:rPr>
          <w:rFonts w:ascii="Calibri" w:hAnsi="Calibri" w:cs="Calibri"/>
        </w:rPr>
      </w:pPr>
      <w:r w:rsidRPr="00FD0AA8">
        <w:rPr>
          <w:rFonts w:ascii="Calibri" w:hAnsi="Calibri" w:cs="Calibri"/>
        </w:rPr>
        <w:tab/>
        <w:t>Mieszankę mineralno-asfaltową należy wytwarzać na gorąco w otaczarce (zespole maszyn i urządzeń dozowania, podgrzewania i mieszania składników oraz przechowywania gotowej mieszanki).</w:t>
      </w:r>
    </w:p>
    <w:p w:rsidR="00376DA1" w:rsidRPr="00FD0AA8" w:rsidRDefault="00376DA1" w:rsidP="00376DA1">
      <w:pPr>
        <w:rPr>
          <w:rFonts w:ascii="Calibri" w:hAnsi="Calibri" w:cs="Calibri"/>
        </w:rPr>
      </w:pPr>
      <w:r w:rsidRPr="00FD0AA8">
        <w:rPr>
          <w:rFonts w:ascii="Calibri" w:hAnsi="Calibri" w:cs="Calibri"/>
        </w:rPr>
        <w:tab/>
        <w:t>Dozowanie składników mieszanki mineralno-asfaltowej w otaczarkach, w tym także wstępne, powinno być zautomatyzowane i zgodne z receptą roboczą, a urządzenia do dozowania składników oraz pomiaru temperatury powinny być okresowo sprawdzane. Kruszywo o różnym uziarnieniu lub pochodzeniu należy dodawać odmierzone oddzielnie.</w:t>
      </w:r>
    </w:p>
    <w:p w:rsidR="00376DA1" w:rsidRPr="00FD0AA8" w:rsidRDefault="00376DA1" w:rsidP="00376DA1">
      <w:pPr>
        <w:rPr>
          <w:rFonts w:ascii="Calibri" w:hAnsi="Calibri" w:cs="Calibri"/>
        </w:rPr>
      </w:pPr>
      <w:r w:rsidRPr="00FD0AA8">
        <w:rPr>
          <w:rFonts w:ascii="Calibri" w:hAnsi="Calibri" w:cs="Calibri"/>
        </w:rPr>
        <w:tab/>
        <w:t xml:space="preserve">Lepiszcze asfaltowe należy przechowywać w zbiorniku z pośrednim systemem ogrzewania, z układem termostatowania zapewniającym utrzymanie żądanej temperatury z dokładnością ± </w:t>
      </w:r>
      <w:smartTag w:uri="urn:schemas-microsoft-com:office:smarttags" w:element="metricconverter">
        <w:smartTagPr>
          <w:attr w:name="ProductID" w:val="5ﾰC"/>
        </w:smartTagPr>
        <w:r w:rsidRPr="00FD0AA8">
          <w:rPr>
            <w:rFonts w:ascii="Calibri" w:hAnsi="Calibri" w:cs="Calibri"/>
          </w:rPr>
          <w:t>5°C</w:t>
        </w:r>
      </w:smartTag>
      <w:r w:rsidRPr="00FD0AA8">
        <w:rPr>
          <w:rFonts w:ascii="Calibri" w:hAnsi="Calibri" w:cs="Calibri"/>
        </w:rPr>
        <w:t xml:space="preserve">. Temperatura lepiszcza asfaltowego w zbiorniku magazynowym (roboczym) nie może przekraczać </w:t>
      </w:r>
      <w:smartTag w:uri="urn:schemas-microsoft-com:office:smarttags" w:element="metricconverter">
        <w:smartTagPr>
          <w:attr w:name="ProductID" w:val="180ﾰC"/>
        </w:smartTagPr>
        <w:r w:rsidRPr="00FD0AA8">
          <w:rPr>
            <w:rFonts w:ascii="Calibri" w:hAnsi="Calibri" w:cs="Calibri"/>
          </w:rPr>
          <w:t>180°C</w:t>
        </w:r>
      </w:smartTag>
      <w:r w:rsidRPr="00FD0AA8">
        <w:rPr>
          <w:rFonts w:ascii="Calibri" w:hAnsi="Calibri" w:cs="Calibri"/>
        </w:rPr>
        <w:t xml:space="preserve"> dla asfaltu drogowego 50/70 i polimeroasfaltu drogowego 25/55-60 oraz </w:t>
      </w:r>
      <w:smartTag w:uri="urn:schemas-microsoft-com:office:smarttags" w:element="metricconverter">
        <w:smartTagPr>
          <w:attr w:name="ProductID" w:val="190ﾰC"/>
        </w:smartTagPr>
        <w:r w:rsidRPr="00FD0AA8">
          <w:rPr>
            <w:rFonts w:ascii="Calibri" w:hAnsi="Calibri" w:cs="Calibri"/>
          </w:rPr>
          <w:t>190°C</w:t>
        </w:r>
      </w:smartTag>
      <w:r w:rsidRPr="00FD0AA8">
        <w:rPr>
          <w:rFonts w:ascii="Calibri" w:hAnsi="Calibri" w:cs="Calibri"/>
        </w:rPr>
        <w:t xml:space="preserve"> dla asfaltu drogowego 35/50</w:t>
      </w:r>
      <w:r>
        <w:rPr>
          <w:rFonts w:ascii="Calibri" w:hAnsi="Calibri" w:cs="Calibri"/>
        </w:rPr>
        <w:t>.</w:t>
      </w:r>
      <w:r w:rsidRPr="00FD0AA8">
        <w:rPr>
          <w:rFonts w:ascii="Calibri" w:hAnsi="Calibri" w:cs="Calibri"/>
        </w:rPr>
        <w:t xml:space="preserve"> </w:t>
      </w:r>
    </w:p>
    <w:p w:rsidR="00376DA1" w:rsidRPr="00FD0AA8" w:rsidRDefault="00376DA1" w:rsidP="00376DA1">
      <w:pPr>
        <w:rPr>
          <w:rFonts w:ascii="Calibri" w:hAnsi="Calibri" w:cs="Calibri"/>
        </w:rPr>
      </w:pPr>
      <w:r w:rsidRPr="00FD0AA8">
        <w:rPr>
          <w:rFonts w:ascii="Calibri" w:hAnsi="Calibri" w:cs="Calibri"/>
        </w:rPr>
        <w:t xml:space="preserve">Kruszywo (ewentualnie z wypełniaczem) powinno być wysuszone i podgrzane tak, aby mieszanka mineralna uzyskała temperaturę właściwą do otoczenia lepiszczem asfaltowym. Temperatura mieszanki mineralnej nie powinna być wyższa o więcej niż </w:t>
      </w:r>
      <w:smartTag w:uri="urn:schemas-microsoft-com:office:smarttags" w:element="metricconverter">
        <w:smartTagPr>
          <w:attr w:name="ProductID" w:val="30ﾰC"/>
        </w:smartTagPr>
        <w:r w:rsidRPr="00FD0AA8">
          <w:rPr>
            <w:rFonts w:ascii="Calibri" w:hAnsi="Calibri" w:cs="Calibri"/>
          </w:rPr>
          <w:t>30°C</w:t>
        </w:r>
      </w:smartTag>
      <w:r w:rsidRPr="00FD0AA8">
        <w:rPr>
          <w:rFonts w:ascii="Calibri" w:hAnsi="Calibri" w:cs="Calibri"/>
        </w:rPr>
        <w:t xml:space="preserve"> od najwyższej temperatury mieszanki mineralno-asfaltowej podanej w tablicy 10. W tej tablicy najniższa temperatura dotyczy mieszanki mineralno-asfaltowej dostarczonej na miejsce wbudowania, a najwyższa temperatura dotyczy mieszanki mineralno-asfaltowej bezpośrednio po wytworzeniu w wytwórni.</w:t>
      </w:r>
    </w:p>
    <w:p w:rsidR="00376DA1" w:rsidRPr="00FD0AA8" w:rsidRDefault="00376DA1" w:rsidP="00376DA1">
      <w:pPr>
        <w:rPr>
          <w:rFonts w:ascii="Calibri" w:hAnsi="Calibri" w:cs="Calibri"/>
        </w:rPr>
      </w:pPr>
    </w:p>
    <w:p w:rsidR="00376DA1" w:rsidRPr="00FD0AA8" w:rsidRDefault="00376DA1" w:rsidP="00376DA1">
      <w:pPr>
        <w:ind w:left="709"/>
        <w:rPr>
          <w:rFonts w:ascii="Calibri" w:hAnsi="Calibri" w:cs="Calibri"/>
        </w:rPr>
      </w:pPr>
      <w:r w:rsidRPr="00FD0AA8">
        <w:rPr>
          <w:rFonts w:ascii="Calibri" w:hAnsi="Calibri" w:cs="Calibri"/>
        </w:rPr>
        <w:t>Tablica 10. Najwyższa i najniższa temperatura mieszanki AC [65]</w:t>
      </w:r>
    </w:p>
    <w:tbl>
      <w:tblPr>
        <w:tblW w:w="0" w:type="auto"/>
        <w:tblInd w:w="81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tblPr>
      <w:tblGrid>
        <w:gridCol w:w="2371"/>
        <w:gridCol w:w="2590"/>
      </w:tblGrid>
      <w:tr w:rsidR="00376DA1" w:rsidRPr="00BD7F4A" w:rsidTr="00556540">
        <w:tc>
          <w:tcPr>
            <w:tcW w:w="2371" w:type="dxa"/>
          </w:tcPr>
          <w:p w:rsidR="00376DA1" w:rsidRPr="00BD7F4A" w:rsidRDefault="00376DA1" w:rsidP="00556540">
            <w:pPr>
              <w:spacing w:before="60" w:after="60"/>
              <w:jc w:val="center"/>
              <w:rPr>
                <w:rFonts w:ascii="Calibri" w:hAnsi="Calibri" w:cs="Calibri"/>
                <w:sz w:val="18"/>
                <w:szCs w:val="18"/>
              </w:rPr>
            </w:pPr>
            <w:r w:rsidRPr="00BD7F4A">
              <w:rPr>
                <w:rFonts w:ascii="Calibri" w:hAnsi="Calibri" w:cs="Calibri"/>
                <w:sz w:val="18"/>
                <w:szCs w:val="18"/>
              </w:rPr>
              <w:t>Lepiszcze asfaltowe</w:t>
            </w:r>
          </w:p>
        </w:tc>
        <w:tc>
          <w:tcPr>
            <w:tcW w:w="2590" w:type="dxa"/>
          </w:tcPr>
          <w:p w:rsidR="00376DA1" w:rsidRPr="00BD7F4A" w:rsidRDefault="00376DA1" w:rsidP="00556540">
            <w:pPr>
              <w:spacing w:before="60" w:after="60"/>
              <w:jc w:val="center"/>
              <w:rPr>
                <w:rFonts w:ascii="Calibri" w:hAnsi="Calibri" w:cs="Calibri"/>
                <w:sz w:val="18"/>
                <w:szCs w:val="18"/>
              </w:rPr>
            </w:pPr>
            <w:r w:rsidRPr="00BD7F4A">
              <w:rPr>
                <w:rFonts w:ascii="Calibri" w:hAnsi="Calibri" w:cs="Calibri"/>
                <w:sz w:val="18"/>
                <w:szCs w:val="18"/>
              </w:rPr>
              <w:t>Temperatura mieszanki [°C]</w:t>
            </w:r>
          </w:p>
        </w:tc>
      </w:tr>
      <w:tr w:rsidR="00376DA1" w:rsidRPr="00BD7F4A" w:rsidTr="00556540">
        <w:tc>
          <w:tcPr>
            <w:tcW w:w="2371" w:type="dxa"/>
          </w:tcPr>
          <w:p w:rsidR="00376DA1" w:rsidRPr="00BD7F4A" w:rsidRDefault="00376DA1" w:rsidP="00556540">
            <w:pPr>
              <w:spacing w:before="60"/>
              <w:rPr>
                <w:rFonts w:ascii="Calibri" w:hAnsi="Calibri" w:cs="Calibri"/>
                <w:sz w:val="18"/>
                <w:szCs w:val="18"/>
              </w:rPr>
            </w:pPr>
            <w:r w:rsidRPr="00BD7F4A">
              <w:rPr>
                <w:rFonts w:ascii="Calibri" w:hAnsi="Calibri" w:cs="Calibri"/>
                <w:sz w:val="18"/>
                <w:szCs w:val="18"/>
              </w:rPr>
              <w:t>Asfalt 35/50</w:t>
            </w:r>
          </w:p>
          <w:p w:rsidR="00376DA1" w:rsidRPr="00BD7F4A" w:rsidRDefault="00376DA1" w:rsidP="00556540">
            <w:pPr>
              <w:spacing w:before="60"/>
              <w:rPr>
                <w:rFonts w:ascii="Calibri" w:hAnsi="Calibri" w:cs="Calibri"/>
                <w:sz w:val="18"/>
                <w:szCs w:val="18"/>
              </w:rPr>
            </w:pPr>
            <w:r w:rsidRPr="00BD7F4A">
              <w:rPr>
                <w:rFonts w:ascii="Calibri" w:hAnsi="Calibri" w:cs="Calibri"/>
                <w:sz w:val="18"/>
                <w:szCs w:val="18"/>
              </w:rPr>
              <w:t>Asfalt 50/70</w:t>
            </w:r>
          </w:p>
          <w:p w:rsidR="00376DA1" w:rsidRPr="00BD7F4A" w:rsidRDefault="00376DA1" w:rsidP="00556540">
            <w:pPr>
              <w:tabs>
                <w:tab w:val="left" w:pos="1400"/>
                <w:tab w:val="left" w:pos="1500"/>
              </w:tabs>
              <w:spacing w:before="60"/>
              <w:jc w:val="left"/>
              <w:rPr>
                <w:rFonts w:ascii="Calibri" w:hAnsi="Calibri" w:cs="Calibri"/>
                <w:sz w:val="18"/>
                <w:szCs w:val="18"/>
              </w:rPr>
            </w:pPr>
            <w:r w:rsidRPr="00BD7F4A">
              <w:rPr>
                <w:rFonts w:ascii="Calibri" w:hAnsi="Calibri" w:cs="Calibri"/>
                <w:sz w:val="18"/>
                <w:szCs w:val="18"/>
              </w:rPr>
              <w:t>Wielorodzajowy 35/50</w:t>
            </w:r>
          </w:p>
          <w:p w:rsidR="00376DA1" w:rsidRPr="00BD7F4A" w:rsidRDefault="00376DA1" w:rsidP="00556540">
            <w:pPr>
              <w:tabs>
                <w:tab w:val="left" w:pos="1400"/>
                <w:tab w:val="left" w:pos="1500"/>
              </w:tabs>
              <w:spacing w:before="60"/>
              <w:jc w:val="left"/>
              <w:rPr>
                <w:rFonts w:ascii="Calibri" w:hAnsi="Calibri" w:cs="Calibri"/>
                <w:sz w:val="18"/>
                <w:szCs w:val="18"/>
              </w:rPr>
            </w:pPr>
            <w:r w:rsidRPr="00BD7F4A">
              <w:rPr>
                <w:rFonts w:ascii="Calibri" w:hAnsi="Calibri" w:cs="Calibri"/>
                <w:sz w:val="18"/>
                <w:szCs w:val="18"/>
              </w:rPr>
              <w:t>Wielorodzajowy 50/70</w:t>
            </w:r>
          </w:p>
          <w:p w:rsidR="00376DA1" w:rsidRPr="00BD7F4A" w:rsidRDefault="00376DA1" w:rsidP="00556540">
            <w:pPr>
              <w:spacing w:before="60"/>
              <w:rPr>
                <w:rFonts w:ascii="Calibri" w:hAnsi="Calibri" w:cs="Calibri"/>
                <w:sz w:val="18"/>
                <w:szCs w:val="18"/>
              </w:rPr>
            </w:pPr>
            <w:r w:rsidRPr="00BD7F4A">
              <w:rPr>
                <w:rFonts w:ascii="Calibri" w:hAnsi="Calibri" w:cs="Calibri"/>
                <w:sz w:val="18"/>
                <w:szCs w:val="18"/>
              </w:rPr>
              <w:t>PMB 25/55-60</w:t>
            </w:r>
          </w:p>
        </w:tc>
        <w:tc>
          <w:tcPr>
            <w:tcW w:w="2590" w:type="dxa"/>
          </w:tcPr>
          <w:p w:rsidR="00376DA1" w:rsidRPr="00BD7F4A" w:rsidRDefault="00376DA1" w:rsidP="00556540">
            <w:pPr>
              <w:spacing w:before="60"/>
              <w:jc w:val="center"/>
              <w:rPr>
                <w:rFonts w:ascii="Calibri" w:hAnsi="Calibri" w:cs="Calibri"/>
                <w:sz w:val="18"/>
                <w:szCs w:val="18"/>
              </w:rPr>
            </w:pPr>
            <w:r w:rsidRPr="00BD7F4A">
              <w:rPr>
                <w:rFonts w:ascii="Calibri" w:hAnsi="Calibri" w:cs="Calibri"/>
                <w:sz w:val="18"/>
                <w:szCs w:val="18"/>
              </w:rPr>
              <w:t>od 155 do 195</w:t>
            </w:r>
          </w:p>
          <w:p w:rsidR="00376DA1" w:rsidRPr="00BD7F4A" w:rsidRDefault="00376DA1" w:rsidP="00556540">
            <w:pPr>
              <w:spacing w:before="60"/>
              <w:jc w:val="center"/>
              <w:rPr>
                <w:rFonts w:ascii="Calibri" w:hAnsi="Calibri" w:cs="Calibri"/>
                <w:sz w:val="18"/>
                <w:szCs w:val="18"/>
              </w:rPr>
            </w:pPr>
            <w:r w:rsidRPr="00BD7F4A">
              <w:rPr>
                <w:rFonts w:ascii="Calibri" w:hAnsi="Calibri" w:cs="Calibri"/>
                <w:sz w:val="18"/>
                <w:szCs w:val="18"/>
              </w:rPr>
              <w:t>od 140 do 180</w:t>
            </w:r>
          </w:p>
          <w:p w:rsidR="00376DA1" w:rsidRPr="00BD7F4A" w:rsidRDefault="00376DA1" w:rsidP="00556540">
            <w:pPr>
              <w:spacing w:before="60"/>
              <w:jc w:val="center"/>
              <w:rPr>
                <w:rFonts w:ascii="Calibri" w:hAnsi="Calibri" w:cs="Calibri"/>
                <w:sz w:val="18"/>
                <w:szCs w:val="18"/>
              </w:rPr>
            </w:pPr>
            <w:r w:rsidRPr="00BD7F4A">
              <w:rPr>
                <w:rFonts w:ascii="Calibri" w:hAnsi="Calibri" w:cs="Calibri"/>
                <w:sz w:val="18"/>
                <w:szCs w:val="18"/>
              </w:rPr>
              <w:t>od 155 do 195</w:t>
            </w:r>
          </w:p>
          <w:p w:rsidR="00376DA1" w:rsidRPr="00BD7F4A" w:rsidRDefault="00376DA1" w:rsidP="00556540">
            <w:pPr>
              <w:spacing w:before="60"/>
              <w:jc w:val="center"/>
              <w:rPr>
                <w:rFonts w:ascii="Calibri" w:hAnsi="Calibri" w:cs="Calibri"/>
                <w:sz w:val="18"/>
                <w:szCs w:val="18"/>
              </w:rPr>
            </w:pPr>
            <w:r w:rsidRPr="00BD7F4A">
              <w:rPr>
                <w:rFonts w:ascii="Calibri" w:hAnsi="Calibri" w:cs="Calibri"/>
                <w:sz w:val="18"/>
                <w:szCs w:val="18"/>
              </w:rPr>
              <w:t>od 140 do 180</w:t>
            </w:r>
          </w:p>
          <w:p w:rsidR="00376DA1" w:rsidRPr="00BD7F4A" w:rsidRDefault="00376DA1" w:rsidP="00556540">
            <w:pPr>
              <w:spacing w:before="60"/>
              <w:jc w:val="center"/>
              <w:rPr>
                <w:rFonts w:ascii="Calibri" w:hAnsi="Calibri" w:cs="Calibri"/>
                <w:sz w:val="18"/>
                <w:szCs w:val="18"/>
              </w:rPr>
            </w:pPr>
            <w:r w:rsidRPr="00BD7F4A">
              <w:rPr>
                <w:rFonts w:ascii="Calibri" w:hAnsi="Calibri" w:cs="Calibri"/>
                <w:sz w:val="18"/>
                <w:szCs w:val="18"/>
              </w:rPr>
              <w:t>od 140 do 180</w:t>
            </w:r>
          </w:p>
        </w:tc>
      </w:tr>
    </w:tbl>
    <w:p w:rsidR="00376DA1" w:rsidRPr="00FD0AA8" w:rsidRDefault="00376DA1" w:rsidP="00376DA1">
      <w:pPr>
        <w:rPr>
          <w:rFonts w:ascii="Calibri" w:hAnsi="Calibri" w:cs="Calibri"/>
        </w:rPr>
      </w:pPr>
    </w:p>
    <w:p w:rsidR="00376DA1" w:rsidRPr="00FD0AA8" w:rsidRDefault="00376DA1" w:rsidP="00376DA1">
      <w:pPr>
        <w:rPr>
          <w:rFonts w:ascii="Calibri" w:hAnsi="Calibri" w:cs="Calibri"/>
        </w:rPr>
      </w:pPr>
      <w:r w:rsidRPr="00FD0AA8">
        <w:rPr>
          <w:rFonts w:ascii="Calibri" w:hAnsi="Calibri" w:cs="Calibri"/>
        </w:rPr>
        <w:tab/>
        <w:t>Sposób i czas mieszania składników mieszanki mineralno-asfaltowej powinny zapewnić równomierne otoczenie kruszywa lepiszczem asfaltowym.</w:t>
      </w:r>
    </w:p>
    <w:p w:rsidR="00376DA1" w:rsidRPr="00FD0AA8" w:rsidRDefault="00376DA1" w:rsidP="00376DA1">
      <w:pPr>
        <w:rPr>
          <w:rFonts w:ascii="Calibri" w:hAnsi="Calibri" w:cs="Calibri"/>
        </w:rPr>
      </w:pPr>
      <w:r w:rsidRPr="00FD0AA8">
        <w:rPr>
          <w:rFonts w:ascii="Calibri" w:hAnsi="Calibri" w:cs="Calibri"/>
        </w:rPr>
        <w:tab/>
        <w:t>Dopuszcza się dostawy mieszanek mineralno-asfaltowych z kilku wytwórni, pod warunkiem skoordynowania między sobą deklarowanych przydatności mieszanek (m.in.: typ, rodzaj składników, właściwości objętościowe) z zachowaniem dopuszczalnych różnic ich składu:</w:t>
      </w:r>
    </w:p>
    <w:p w:rsidR="00376DA1" w:rsidRPr="00FD0AA8" w:rsidRDefault="00376DA1" w:rsidP="00376DA1">
      <w:pPr>
        <w:rPr>
          <w:rFonts w:ascii="Calibri" w:hAnsi="Calibri" w:cs="Calibri"/>
        </w:rPr>
      </w:pPr>
      <w:r w:rsidRPr="00FD0AA8">
        <w:rPr>
          <w:rFonts w:ascii="Calibri" w:hAnsi="Calibri" w:cs="Calibri"/>
        </w:rPr>
        <w:t>- zawartość lepiszcza: 0,3% (m/m),</w:t>
      </w:r>
    </w:p>
    <w:p w:rsidR="00376DA1" w:rsidRPr="00FD0AA8" w:rsidRDefault="00376DA1" w:rsidP="00376DA1">
      <w:pPr>
        <w:rPr>
          <w:rFonts w:ascii="Calibri" w:hAnsi="Calibri" w:cs="Calibri"/>
        </w:rPr>
      </w:pPr>
      <w:r w:rsidRPr="00FD0AA8">
        <w:rPr>
          <w:rFonts w:ascii="Calibri" w:hAnsi="Calibri" w:cs="Calibri"/>
        </w:rPr>
        <w:t>- zawartość kruszywa drobnego: 3,0% (m/m),</w:t>
      </w:r>
    </w:p>
    <w:p w:rsidR="00376DA1" w:rsidRPr="00FD0AA8" w:rsidRDefault="00376DA1" w:rsidP="00376DA1">
      <w:pPr>
        <w:rPr>
          <w:rFonts w:ascii="Calibri" w:hAnsi="Calibri" w:cs="Calibri"/>
        </w:rPr>
      </w:pPr>
      <w:r w:rsidRPr="00FD0AA8">
        <w:rPr>
          <w:rFonts w:ascii="Calibri" w:hAnsi="Calibri" w:cs="Calibri"/>
        </w:rPr>
        <w:t>- zawartość wypełniacza: 1,0% (m/m).</w:t>
      </w:r>
    </w:p>
    <w:p w:rsidR="00376DA1" w:rsidRPr="00FD0AA8" w:rsidRDefault="00376DA1" w:rsidP="00376DA1">
      <w:pPr>
        <w:rPr>
          <w:rFonts w:ascii="Calibri" w:hAnsi="Calibri" w:cs="Calibri"/>
        </w:rPr>
      </w:pPr>
      <w:r w:rsidRPr="00EF1D17">
        <w:rPr>
          <w:rFonts w:ascii="Calibri" w:hAnsi="Calibri" w:cs="Calibri"/>
          <w:b/>
        </w:rPr>
        <w:t>5.4.</w:t>
      </w:r>
      <w:r w:rsidRPr="00FD0AA8">
        <w:rPr>
          <w:rFonts w:ascii="Calibri" w:hAnsi="Calibri" w:cs="Calibri"/>
        </w:rPr>
        <w:t xml:space="preserve"> Przygotowanie podłoża</w:t>
      </w:r>
    </w:p>
    <w:p w:rsidR="00376DA1" w:rsidRPr="00FD0AA8" w:rsidRDefault="00376DA1" w:rsidP="00376DA1">
      <w:pPr>
        <w:rPr>
          <w:rFonts w:ascii="Calibri" w:hAnsi="Calibri" w:cs="Calibri"/>
        </w:rPr>
      </w:pPr>
      <w:r w:rsidRPr="00FD0AA8">
        <w:rPr>
          <w:rFonts w:ascii="Calibri" w:hAnsi="Calibri" w:cs="Calibri"/>
        </w:rPr>
        <w:tab/>
        <w:t>Podłoże (podbudowa z kruszywa niezwiązanego lub związanego) pod warstwę podbudowy z betonu asfaltowego powinno być na całej powierzchni:</w:t>
      </w:r>
    </w:p>
    <w:p w:rsidR="00376DA1" w:rsidRPr="00FD0AA8" w:rsidRDefault="00376DA1" w:rsidP="00376DA1">
      <w:pPr>
        <w:rPr>
          <w:rFonts w:ascii="Calibri" w:hAnsi="Calibri" w:cs="Calibri"/>
        </w:rPr>
      </w:pPr>
      <w:r>
        <w:rPr>
          <w:rFonts w:ascii="Calibri" w:hAnsi="Calibri" w:cs="Calibri"/>
        </w:rPr>
        <w:t>-</w:t>
      </w:r>
      <w:r w:rsidRPr="00FD0AA8">
        <w:rPr>
          <w:rFonts w:ascii="Calibri" w:hAnsi="Calibri" w:cs="Calibri"/>
        </w:rPr>
        <w:t>ustabilizowane i nośne,</w:t>
      </w:r>
    </w:p>
    <w:p w:rsidR="00376DA1" w:rsidRPr="00FD0AA8" w:rsidRDefault="00376DA1" w:rsidP="00376DA1">
      <w:pPr>
        <w:rPr>
          <w:rFonts w:ascii="Calibri" w:hAnsi="Calibri" w:cs="Calibri"/>
        </w:rPr>
      </w:pPr>
      <w:r>
        <w:rPr>
          <w:rFonts w:ascii="Calibri" w:hAnsi="Calibri" w:cs="Calibri"/>
        </w:rPr>
        <w:t>-</w:t>
      </w:r>
      <w:r w:rsidRPr="00FD0AA8">
        <w:rPr>
          <w:rFonts w:ascii="Calibri" w:hAnsi="Calibri" w:cs="Calibri"/>
        </w:rPr>
        <w:t>czyste, bez zanieczyszczenia lub pozostałości luźnego kruszywa,</w:t>
      </w:r>
    </w:p>
    <w:p w:rsidR="00376DA1" w:rsidRPr="00FD0AA8" w:rsidRDefault="00376DA1" w:rsidP="00376DA1">
      <w:pPr>
        <w:rPr>
          <w:rFonts w:ascii="Calibri" w:hAnsi="Calibri" w:cs="Calibri"/>
        </w:rPr>
      </w:pPr>
      <w:r>
        <w:rPr>
          <w:rFonts w:ascii="Calibri" w:hAnsi="Calibri" w:cs="Calibri"/>
        </w:rPr>
        <w:t>-</w:t>
      </w:r>
      <w:r w:rsidRPr="00FD0AA8">
        <w:rPr>
          <w:rFonts w:ascii="Calibri" w:hAnsi="Calibri" w:cs="Calibri"/>
        </w:rPr>
        <w:t>wyprofilowane, równe i bez kolein,</w:t>
      </w:r>
    </w:p>
    <w:p w:rsidR="00376DA1" w:rsidRPr="00FD0AA8" w:rsidRDefault="00376DA1" w:rsidP="00376DA1">
      <w:pPr>
        <w:rPr>
          <w:rFonts w:ascii="Calibri" w:hAnsi="Calibri" w:cs="Calibri"/>
        </w:rPr>
      </w:pPr>
      <w:r>
        <w:rPr>
          <w:rFonts w:ascii="Calibri" w:hAnsi="Calibri" w:cs="Calibri"/>
        </w:rPr>
        <w:lastRenderedPageBreak/>
        <w:t>-</w:t>
      </w:r>
      <w:r w:rsidRPr="00FD0AA8">
        <w:rPr>
          <w:rFonts w:ascii="Calibri" w:hAnsi="Calibri" w:cs="Calibri"/>
        </w:rPr>
        <w:t>suche</w:t>
      </w:r>
      <w:r>
        <w:rPr>
          <w:rFonts w:ascii="Calibri" w:hAnsi="Calibri" w:cs="Calibri"/>
        </w:rPr>
        <w:t>.</w:t>
      </w:r>
    </w:p>
    <w:p w:rsidR="00376DA1" w:rsidRDefault="00376DA1" w:rsidP="00376DA1">
      <w:pPr>
        <w:rPr>
          <w:rFonts w:ascii="Calibri" w:hAnsi="Calibri" w:cs="Calibri"/>
        </w:rPr>
      </w:pPr>
      <w:r w:rsidRPr="00FD0AA8">
        <w:rPr>
          <w:rFonts w:ascii="Calibri" w:hAnsi="Calibri" w:cs="Calibri"/>
        </w:rPr>
        <w:t>Maksymalne nierówności podłoża pod warstwę podbudowy, nie powinny przekraczać wartości podanych w tablicy 11.</w:t>
      </w:r>
    </w:p>
    <w:p w:rsidR="00376DA1" w:rsidRPr="00FD0AA8" w:rsidRDefault="00376DA1" w:rsidP="00376DA1">
      <w:pPr>
        <w:rPr>
          <w:rFonts w:ascii="Calibri" w:hAnsi="Calibri" w:cs="Calibri"/>
        </w:rPr>
      </w:pPr>
    </w:p>
    <w:p w:rsidR="00376DA1" w:rsidRPr="00FD0AA8" w:rsidRDefault="00376DA1" w:rsidP="00376DA1">
      <w:pPr>
        <w:ind w:left="709"/>
        <w:rPr>
          <w:rFonts w:ascii="Calibri" w:hAnsi="Calibri" w:cs="Calibri"/>
        </w:rPr>
      </w:pPr>
      <w:r w:rsidRPr="00FD0AA8">
        <w:rPr>
          <w:rFonts w:ascii="Calibri" w:hAnsi="Calibri" w:cs="Calibri"/>
        </w:rPr>
        <w:t xml:space="preserve">Tablica 11. Maksymalne nierówności podłoża pod warstwę podbudowy z betonu asfaltowego (pomiar łatą 4-metrową lub równoważną metodą) </w:t>
      </w:r>
    </w:p>
    <w:tbl>
      <w:tblPr>
        <w:tblW w:w="0" w:type="auto"/>
        <w:tblInd w:w="81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tblPr>
      <w:tblGrid>
        <w:gridCol w:w="1242"/>
        <w:gridCol w:w="3969"/>
        <w:gridCol w:w="2300"/>
      </w:tblGrid>
      <w:tr w:rsidR="00376DA1" w:rsidRPr="00BD7F4A" w:rsidTr="00556540">
        <w:tc>
          <w:tcPr>
            <w:tcW w:w="1242" w:type="dxa"/>
          </w:tcPr>
          <w:p w:rsidR="00376DA1" w:rsidRPr="00BD7F4A" w:rsidRDefault="00376DA1" w:rsidP="00556540">
            <w:pPr>
              <w:jc w:val="center"/>
              <w:rPr>
                <w:rFonts w:ascii="Calibri" w:hAnsi="Calibri" w:cs="Calibri"/>
                <w:sz w:val="18"/>
                <w:szCs w:val="18"/>
              </w:rPr>
            </w:pPr>
          </w:p>
          <w:p w:rsidR="00376DA1" w:rsidRPr="00BD7F4A" w:rsidRDefault="00376DA1" w:rsidP="00556540">
            <w:pPr>
              <w:jc w:val="center"/>
              <w:rPr>
                <w:rFonts w:ascii="Calibri" w:hAnsi="Calibri" w:cs="Calibri"/>
                <w:sz w:val="18"/>
                <w:szCs w:val="18"/>
              </w:rPr>
            </w:pPr>
            <w:r w:rsidRPr="00BD7F4A">
              <w:rPr>
                <w:rFonts w:ascii="Calibri" w:hAnsi="Calibri" w:cs="Calibri"/>
                <w:sz w:val="18"/>
                <w:szCs w:val="18"/>
              </w:rPr>
              <w:t>Klasa drogi</w:t>
            </w:r>
          </w:p>
        </w:tc>
        <w:tc>
          <w:tcPr>
            <w:tcW w:w="3969" w:type="dxa"/>
          </w:tcPr>
          <w:p w:rsidR="00376DA1" w:rsidRPr="00BD7F4A" w:rsidRDefault="00376DA1" w:rsidP="00556540">
            <w:pPr>
              <w:jc w:val="center"/>
              <w:rPr>
                <w:rFonts w:ascii="Calibri" w:hAnsi="Calibri" w:cs="Calibri"/>
                <w:sz w:val="18"/>
                <w:szCs w:val="18"/>
              </w:rPr>
            </w:pPr>
          </w:p>
          <w:p w:rsidR="00376DA1" w:rsidRPr="00BD7F4A" w:rsidRDefault="00376DA1" w:rsidP="00556540">
            <w:pPr>
              <w:jc w:val="center"/>
              <w:rPr>
                <w:rFonts w:ascii="Calibri" w:hAnsi="Calibri" w:cs="Calibri"/>
                <w:sz w:val="18"/>
                <w:szCs w:val="18"/>
              </w:rPr>
            </w:pPr>
            <w:r w:rsidRPr="00BD7F4A">
              <w:rPr>
                <w:rFonts w:ascii="Calibri" w:hAnsi="Calibri" w:cs="Calibri"/>
                <w:sz w:val="18"/>
                <w:szCs w:val="18"/>
              </w:rPr>
              <w:t>Element nawierzchni</w:t>
            </w:r>
          </w:p>
        </w:tc>
        <w:tc>
          <w:tcPr>
            <w:tcW w:w="2300" w:type="dxa"/>
          </w:tcPr>
          <w:p w:rsidR="00376DA1" w:rsidRPr="00BD7F4A" w:rsidRDefault="00376DA1" w:rsidP="00556540">
            <w:pPr>
              <w:jc w:val="center"/>
              <w:rPr>
                <w:rFonts w:ascii="Calibri" w:hAnsi="Calibri" w:cs="Calibri"/>
                <w:sz w:val="18"/>
                <w:szCs w:val="18"/>
              </w:rPr>
            </w:pPr>
            <w:r w:rsidRPr="00BD7F4A">
              <w:rPr>
                <w:rFonts w:ascii="Calibri" w:hAnsi="Calibri" w:cs="Calibri"/>
                <w:sz w:val="18"/>
                <w:szCs w:val="18"/>
              </w:rPr>
              <w:t>Maksymalna nierówność podłoża pod warstwę podbudowy [mm]</w:t>
            </w:r>
          </w:p>
        </w:tc>
      </w:tr>
      <w:tr w:rsidR="00376DA1" w:rsidRPr="00BD7F4A" w:rsidTr="00556540">
        <w:tc>
          <w:tcPr>
            <w:tcW w:w="1242" w:type="dxa"/>
            <w:tcBorders>
              <w:bottom w:val="nil"/>
            </w:tcBorders>
          </w:tcPr>
          <w:p w:rsidR="00376DA1" w:rsidRPr="00BD7F4A" w:rsidRDefault="00376DA1" w:rsidP="00556540">
            <w:pPr>
              <w:jc w:val="center"/>
              <w:rPr>
                <w:rFonts w:ascii="Calibri" w:hAnsi="Calibri" w:cs="Calibri"/>
                <w:sz w:val="18"/>
                <w:szCs w:val="18"/>
              </w:rPr>
            </w:pPr>
            <w:r w:rsidRPr="00BD7F4A">
              <w:rPr>
                <w:rFonts w:ascii="Calibri" w:hAnsi="Calibri" w:cs="Calibri"/>
                <w:sz w:val="18"/>
                <w:szCs w:val="18"/>
              </w:rPr>
              <w:t>A, S,</w:t>
            </w:r>
          </w:p>
        </w:tc>
        <w:tc>
          <w:tcPr>
            <w:tcW w:w="3969" w:type="dxa"/>
          </w:tcPr>
          <w:p w:rsidR="00376DA1" w:rsidRPr="00BD7F4A" w:rsidRDefault="00376DA1" w:rsidP="00556540">
            <w:pPr>
              <w:rPr>
                <w:rFonts w:ascii="Calibri" w:hAnsi="Calibri" w:cs="Calibri"/>
                <w:sz w:val="18"/>
                <w:szCs w:val="18"/>
              </w:rPr>
            </w:pPr>
            <w:r w:rsidRPr="00BD7F4A">
              <w:rPr>
                <w:rFonts w:ascii="Calibri" w:hAnsi="Calibri" w:cs="Calibri"/>
                <w:sz w:val="18"/>
                <w:szCs w:val="18"/>
              </w:rPr>
              <w:t>Pasy: ruchu, awaryjne, dodatkowe, włączania i wyłączania</w:t>
            </w:r>
          </w:p>
        </w:tc>
        <w:tc>
          <w:tcPr>
            <w:tcW w:w="2300" w:type="dxa"/>
          </w:tcPr>
          <w:p w:rsidR="00376DA1" w:rsidRPr="00BD7F4A" w:rsidRDefault="00376DA1" w:rsidP="00556540">
            <w:pPr>
              <w:spacing w:before="120"/>
              <w:jc w:val="center"/>
              <w:rPr>
                <w:rFonts w:ascii="Calibri" w:hAnsi="Calibri" w:cs="Calibri"/>
                <w:sz w:val="18"/>
                <w:szCs w:val="18"/>
              </w:rPr>
            </w:pPr>
            <w:r w:rsidRPr="00BD7F4A">
              <w:rPr>
                <w:rFonts w:ascii="Calibri" w:hAnsi="Calibri" w:cs="Calibri"/>
                <w:sz w:val="18"/>
                <w:szCs w:val="18"/>
              </w:rPr>
              <w:t>12</w:t>
            </w:r>
          </w:p>
        </w:tc>
      </w:tr>
      <w:tr w:rsidR="00376DA1" w:rsidRPr="00BD7F4A" w:rsidTr="00556540">
        <w:tc>
          <w:tcPr>
            <w:tcW w:w="1242" w:type="dxa"/>
            <w:tcBorders>
              <w:top w:val="nil"/>
            </w:tcBorders>
          </w:tcPr>
          <w:p w:rsidR="00376DA1" w:rsidRPr="00BD7F4A" w:rsidRDefault="00376DA1" w:rsidP="00556540">
            <w:pPr>
              <w:jc w:val="center"/>
              <w:rPr>
                <w:rFonts w:ascii="Calibri" w:hAnsi="Calibri" w:cs="Calibri"/>
                <w:sz w:val="18"/>
                <w:szCs w:val="18"/>
              </w:rPr>
            </w:pPr>
            <w:r w:rsidRPr="00BD7F4A">
              <w:rPr>
                <w:rFonts w:ascii="Calibri" w:hAnsi="Calibri" w:cs="Calibri"/>
                <w:sz w:val="18"/>
                <w:szCs w:val="18"/>
              </w:rPr>
              <w:t>GP</w:t>
            </w:r>
          </w:p>
        </w:tc>
        <w:tc>
          <w:tcPr>
            <w:tcW w:w="3969" w:type="dxa"/>
          </w:tcPr>
          <w:p w:rsidR="00376DA1" w:rsidRPr="00BD7F4A" w:rsidRDefault="00376DA1" w:rsidP="00556540">
            <w:pPr>
              <w:rPr>
                <w:rFonts w:ascii="Calibri" w:hAnsi="Calibri" w:cs="Calibri"/>
                <w:sz w:val="18"/>
                <w:szCs w:val="18"/>
              </w:rPr>
            </w:pPr>
            <w:r w:rsidRPr="00BD7F4A">
              <w:rPr>
                <w:rFonts w:ascii="Calibri" w:hAnsi="Calibri" w:cs="Calibri"/>
                <w:sz w:val="18"/>
                <w:szCs w:val="18"/>
              </w:rPr>
              <w:t>Jezdnie łącznic, jezdnie MOP, utwardzone pobocza</w:t>
            </w:r>
          </w:p>
        </w:tc>
        <w:tc>
          <w:tcPr>
            <w:tcW w:w="2300" w:type="dxa"/>
          </w:tcPr>
          <w:p w:rsidR="00376DA1" w:rsidRPr="00BD7F4A" w:rsidRDefault="00376DA1" w:rsidP="00556540">
            <w:pPr>
              <w:spacing w:before="120"/>
              <w:jc w:val="center"/>
              <w:rPr>
                <w:rFonts w:ascii="Calibri" w:hAnsi="Calibri" w:cs="Calibri"/>
                <w:sz w:val="18"/>
                <w:szCs w:val="18"/>
              </w:rPr>
            </w:pPr>
            <w:r w:rsidRPr="00BD7F4A">
              <w:rPr>
                <w:rFonts w:ascii="Calibri" w:hAnsi="Calibri" w:cs="Calibri"/>
                <w:sz w:val="18"/>
                <w:szCs w:val="18"/>
              </w:rPr>
              <w:t>12</w:t>
            </w:r>
          </w:p>
        </w:tc>
      </w:tr>
      <w:tr w:rsidR="00376DA1" w:rsidRPr="00BD7F4A" w:rsidTr="00556540">
        <w:tc>
          <w:tcPr>
            <w:tcW w:w="1242" w:type="dxa"/>
          </w:tcPr>
          <w:p w:rsidR="00376DA1" w:rsidRPr="00BD7F4A" w:rsidRDefault="00376DA1" w:rsidP="00556540">
            <w:pPr>
              <w:jc w:val="center"/>
              <w:rPr>
                <w:rFonts w:ascii="Calibri" w:hAnsi="Calibri" w:cs="Calibri"/>
                <w:sz w:val="18"/>
                <w:szCs w:val="18"/>
              </w:rPr>
            </w:pPr>
            <w:r w:rsidRPr="00BD7F4A">
              <w:rPr>
                <w:rFonts w:ascii="Calibri" w:hAnsi="Calibri" w:cs="Calibri"/>
                <w:sz w:val="18"/>
                <w:szCs w:val="18"/>
              </w:rPr>
              <w:t>G</w:t>
            </w:r>
          </w:p>
        </w:tc>
        <w:tc>
          <w:tcPr>
            <w:tcW w:w="3969" w:type="dxa"/>
          </w:tcPr>
          <w:p w:rsidR="00376DA1" w:rsidRPr="00BD7F4A" w:rsidRDefault="00376DA1" w:rsidP="00556540">
            <w:pPr>
              <w:jc w:val="left"/>
              <w:rPr>
                <w:rFonts w:ascii="Calibri" w:hAnsi="Calibri" w:cs="Calibri"/>
                <w:sz w:val="18"/>
                <w:szCs w:val="18"/>
              </w:rPr>
            </w:pPr>
            <w:r w:rsidRPr="00BD7F4A">
              <w:rPr>
                <w:rFonts w:ascii="Calibri" w:hAnsi="Calibri" w:cs="Calibri"/>
                <w:sz w:val="18"/>
                <w:szCs w:val="18"/>
              </w:rPr>
              <w:t>Pasy: ruchu, dodatkowe, włączania i wyłączania, postojowe, jezdnie łącznic, utwardzone pobocza</w:t>
            </w:r>
          </w:p>
        </w:tc>
        <w:tc>
          <w:tcPr>
            <w:tcW w:w="2300" w:type="dxa"/>
          </w:tcPr>
          <w:p w:rsidR="00376DA1" w:rsidRPr="00BD7F4A" w:rsidRDefault="00376DA1" w:rsidP="00556540">
            <w:pPr>
              <w:jc w:val="center"/>
              <w:rPr>
                <w:rFonts w:ascii="Calibri" w:hAnsi="Calibri" w:cs="Calibri"/>
                <w:sz w:val="18"/>
                <w:szCs w:val="18"/>
              </w:rPr>
            </w:pPr>
          </w:p>
          <w:p w:rsidR="00376DA1" w:rsidRPr="00BD7F4A" w:rsidRDefault="00376DA1" w:rsidP="00556540">
            <w:pPr>
              <w:jc w:val="center"/>
              <w:rPr>
                <w:rFonts w:ascii="Calibri" w:hAnsi="Calibri" w:cs="Calibri"/>
                <w:sz w:val="18"/>
                <w:szCs w:val="18"/>
              </w:rPr>
            </w:pPr>
            <w:r w:rsidRPr="00BD7F4A">
              <w:rPr>
                <w:rFonts w:ascii="Calibri" w:hAnsi="Calibri" w:cs="Calibri"/>
                <w:sz w:val="18"/>
                <w:szCs w:val="18"/>
              </w:rPr>
              <w:t>12</w:t>
            </w:r>
          </w:p>
        </w:tc>
      </w:tr>
      <w:tr w:rsidR="00376DA1" w:rsidRPr="00BD7F4A" w:rsidTr="00556540">
        <w:tc>
          <w:tcPr>
            <w:tcW w:w="1242" w:type="dxa"/>
          </w:tcPr>
          <w:p w:rsidR="00376DA1" w:rsidRPr="00BD7F4A" w:rsidRDefault="00376DA1" w:rsidP="00556540">
            <w:pPr>
              <w:spacing w:before="60" w:after="60"/>
              <w:jc w:val="center"/>
              <w:rPr>
                <w:rFonts w:ascii="Calibri" w:hAnsi="Calibri" w:cs="Calibri"/>
                <w:sz w:val="18"/>
                <w:szCs w:val="18"/>
              </w:rPr>
            </w:pPr>
            <w:r w:rsidRPr="00BD7F4A">
              <w:rPr>
                <w:rFonts w:ascii="Calibri" w:hAnsi="Calibri" w:cs="Calibri"/>
                <w:sz w:val="18"/>
                <w:szCs w:val="18"/>
              </w:rPr>
              <w:t>Z, L, D</w:t>
            </w:r>
          </w:p>
        </w:tc>
        <w:tc>
          <w:tcPr>
            <w:tcW w:w="3969" w:type="dxa"/>
          </w:tcPr>
          <w:p w:rsidR="00376DA1" w:rsidRPr="00BD7F4A" w:rsidRDefault="00376DA1" w:rsidP="00556540">
            <w:pPr>
              <w:spacing w:before="60" w:after="60"/>
              <w:rPr>
                <w:rFonts w:ascii="Calibri" w:hAnsi="Calibri" w:cs="Calibri"/>
                <w:sz w:val="18"/>
                <w:szCs w:val="18"/>
              </w:rPr>
            </w:pPr>
            <w:r w:rsidRPr="00BD7F4A">
              <w:rPr>
                <w:rFonts w:ascii="Calibri" w:hAnsi="Calibri" w:cs="Calibri"/>
                <w:sz w:val="18"/>
                <w:szCs w:val="18"/>
              </w:rPr>
              <w:t>Pasy ruchu</w:t>
            </w:r>
          </w:p>
        </w:tc>
        <w:tc>
          <w:tcPr>
            <w:tcW w:w="2300" w:type="dxa"/>
          </w:tcPr>
          <w:p w:rsidR="00376DA1" w:rsidRPr="00BD7F4A" w:rsidRDefault="00376DA1" w:rsidP="00556540">
            <w:pPr>
              <w:spacing w:before="60" w:after="60"/>
              <w:jc w:val="center"/>
              <w:rPr>
                <w:rFonts w:ascii="Calibri" w:hAnsi="Calibri" w:cs="Calibri"/>
                <w:sz w:val="18"/>
                <w:szCs w:val="18"/>
              </w:rPr>
            </w:pPr>
            <w:r w:rsidRPr="00BD7F4A">
              <w:rPr>
                <w:rFonts w:ascii="Calibri" w:hAnsi="Calibri" w:cs="Calibri"/>
                <w:sz w:val="18"/>
                <w:szCs w:val="18"/>
              </w:rPr>
              <w:t>15</w:t>
            </w:r>
          </w:p>
        </w:tc>
      </w:tr>
    </w:tbl>
    <w:p w:rsidR="00376DA1" w:rsidRPr="00763727" w:rsidRDefault="00376DA1" w:rsidP="00376DA1"/>
    <w:p w:rsidR="00376DA1" w:rsidRPr="00FD0AA8" w:rsidRDefault="00376DA1" w:rsidP="00376DA1">
      <w:pPr>
        <w:rPr>
          <w:rFonts w:ascii="Calibri" w:hAnsi="Calibri" w:cs="Calibri"/>
        </w:rPr>
      </w:pPr>
      <w:r w:rsidRPr="00FD0AA8">
        <w:rPr>
          <w:rFonts w:ascii="Calibri" w:hAnsi="Calibri" w:cs="Calibri"/>
        </w:rPr>
        <w:t>Jeżeli nierówności  są większe niż dopuszczalne, to należy wyrównać podłoże.</w:t>
      </w:r>
    </w:p>
    <w:p w:rsidR="00376DA1" w:rsidRPr="00FD0AA8" w:rsidRDefault="00376DA1" w:rsidP="00376DA1">
      <w:pPr>
        <w:rPr>
          <w:rFonts w:ascii="Calibri" w:hAnsi="Calibri" w:cs="Calibri"/>
        </w:rPr>
      </w:pPr>
      <w:r w:rsidRPr="00FD0AA8">
        <w:rPr>
          <w:rFonts w:ascii="Calibri" w:hAnsi="Calibri" w:cs="Calibri"/>
        </w:rPr>
        <w:tab/>
        <w:t>Rzędne wysokościowe podłoża oraz urządzeń usytuowanych w nawierzchni lub ją ograniczających powinny być zgodne z dokumentacją projektową. Z podłoża powinien być zapewniony odpływ wody.</w:t>
      </w:r>
    </w:p>
    <w:p w:rsidR="00376DA1" w:rsidRPr="00FD0AA8" w:rsidRDefault="00376DA1" w:rsidP="00376DA1">
      <w:pPr>
        <w:rPr>
          <w:rFonts w:ascii="Calibri" w:hAnsi="Calibri" w:cs="Calibri"/>
        </w:rPr>
      </w:pPr>
      <w:r w:rsidRPr="00FD0AA8">
        <w:rPr>
          <w:rFonts w:ascii="Calibri" w:hAnsi="Calibri" w:cs="Calibri"/>
        </w:rPr>
        <w:tab/>
        <w:t>Wykonane w podłożu łaty z materiału o mniejszej sztywności (np. łaty z asfaltu lanego w betonie asfaltowym) należy usunąć, a powstałe w ten sposób ubytki wypełnić materiałem o właściwościach zbliżonych do materiału podstawowego (np. wypełnić betonem asfaltowym).</w:t>
      </w:r>
    </w:p>
    <w:p w:rsidR="00376DA1" w:rsidRPr="00FD0AA8" w:rsidRDefault="00376DA1" w:rsidP="00376DA1">
      <w:pPr>
        <w:rPr>
          <w:rFonts w:ascii="Calibri" w:hAnsi="Calibri" w:cs="Calibri"/>
        </w:rPr>
      </w:pPr>
      <w:r w:rsidRPr="00FD0AA8">
        <w:rPr>
          <w:rFonts w:ascii="Calibri" w:hAnsi="Calibri" w:cs="Calibri"/>
        </w:rPr>
        <w:tab/>
        <w:t>W celu polepszenia połączenia między warstwami technologicznymi nawierzchni powierzchnia podłoża powinna być w ocenie wizualnej chropowata.</w:t>
      </w:r>
    </w:p>
    <w:p w:rsidR="00376DA1" w:rsidRPr="00FD0AA8" w:rsidRDefault="00376DA1" w:rsidP="00376DA1">
      <w:pPr>
        <w:rPr>
          <w:rFonts w:ascii="Calibri" w:hAnsi="Calibri" w:cs="Calibri"/>
        </w:rPr>
      </w:pPr>
      <w:r w:rsidRPr="00FD0AA8">
        <w:rPr>
          <w:rFonts w:ascii="Calibri" w:hAnsi="Calibri" w:cs="Calibri"/>
        </w:rPr>
        <w:tab/>
        <w:t>Szerokie szczeliny w podłożu należy wypełnić odpowiednim materiałem, np. zalewami drogowymi według PN-EN 14188-1 [60] lub PN-EN 14188-2 [61] albo innymi materiałami według norm lub aprobat technicznych.</w:t>
      </w:r>
    </w:p>
    <w:p w:rsidR="00376DA1" w:rsidRPr="00FD0AA8" w:rsidRDefault="00376DA1" w:rsidP="00376DA1">
      <w:pPr>
        <w:rPr>
          <w:rFonts w:ascii="Calibri" w:hAnsi="Calibri" w:cs="Calibri"/>
        </w:rPr>
      </w:pPr>
      <w:r w:rsidRPr="00EF1D17">
        <w:rPr>
          <w:rFonts w:ascii="Calibri" w:hAnsi="Calibri" w:cs="Calibri"/>
          <w:b/>
        </w:rPr>
        <w:t>5.5.</w:t>
      </w:r>
      <w:r w:rsidRPr="00FD0AA8">
        <w:rPr>
          <w:rFonts w:ascii="Calibri" w:hAnsi="Calibri" w:cs="Calibri"/>
        </w:rPr>
        <w:t xml:space="preserve"> Próba technologiczna</w:t>
      </w:r>
    </w:p>
    <w:p w:rsidR="00376DA1" w:rsidRPr="00FD0AA8" w:rsidRDefault="00376DA1" w:rsidP="00376DA1">
      <w:pPr>
        <w:rPr>
          <w:rFonts w:ascii="Calibri" w:hAnsi="Calibri" w:cs="Calibri"/>
        </w:rPr>
      </w:pPr>
      <w:r w:rsidRPr="00FD0AA8">
        <w:rPr>
          <w:rFonts w:ascii="Calibri" w:hAnsi="Calibri" w:cs="Calibri"/>
        </w:rPr>
        <w:tab/>
        <w:t>Wykonawca przed przystąpieniem do produkcji mieszanki jest zobowiązany do przeprowadzenia w obecności Inżyniera próby technologicznej, która ma na celu sprawdzenie zgodności właściwości wyprodukowanej mieszanki z receptą. W tym celu należy zaprogramować otaczarkę zgodnie z receptą roboczą i w cyklu automatycznym produkować mieszankę. Do badań należy pobrać mieszankę wyprodukowaną po ustabilizowaniu się pracy otaczarki.</w:t>
      </w:r>
    </w:p>
    <w:p w:rsidR="00376DA1" w:rsidRPr="00FD0AA8" w:rsidRDefault="00376DA1" w:rsidP="00376DA1">
      <w:pPr>
        <w:rPr>
          <w:rFonts w:ascii="Calibri" w:hAnsi="Calibri" w:cs="Calibri"/>
        </w:rPr>
      </w:pPr>
      <w:r w:rsidRPr="00FD0AA8">
        <w:rPr>
          <w:rFonts w:ascii="Calibri" w:hAnsi="Calibri" w:cs="Calibri"/>
        </w:rPr>
        <w:tab/>
        <w:t>Nie dopuszcza się oceniania dokładności pracy otaczarki oraz prawidłowości składu mieszanki mineralnej na podstawie tzw. suchego zarobu, z uwagi na możliwą segregację kruszywa.</w:t>
      </w:r>
    </w:p>
    <w:p w:rsidR="00376DA1" w:rsidRPr="00FD0AA8" w:rsidRDefault="00376DA1" w:rsidP="00376DA1">
      <w:pPr>
        <w:rPr>
          <w:rFonts w:ascii="Calibri" w:hAnsi="Calibri" w:cs="Calibri"/>
        </w:rPr>
      </w:pPr>
      <w:r w:rsidRPr="00FD0AA8">
        <w:rPr>
          <w:rFonts w:ascii="Calibri" w:hAnsi="Calibri" w:cs="Calibri"/>
        </w:rPr>
        <w:tab/>
        <w:t>Mieszankę wyprodukowaną po ustabilizowaniu się pracy otaczarki należy zgromadzić w silosie lub załadować na samochód. Próbki do badań należy pobierać ze skrzyni samochodu zgodnie z metodą określoną w PN-EN 12697-27 [39].</w:t>
      </w:r>
    </w:p>
    <w:p w:rsidR="00376DA1" w:rsidRPr="00FD0AA8" w:rsidRDefault="00376DA1" w:rsidP="00376DA1">
      <w:pPr>
        <w:rPr>
          <w:rFonts w:ascii="Calibri" w:hAnsi="Calibri" w:cs="Calibri"/>
        </w:rPr>
      </w:pPr>
      <w:r w:rsidRPr="00FD0AA8">
        <w:rPr>
          <w:rFonts w:ascii="Calibri" w:hAnsi="Calibri" w:cs="Calibri"/>
        </w:rPr>
        <w:tab/>
        <w:t>Na podstawie uzyskanych wyników Inżynier podejmuje decyzję o wykonaniu odcinka próbnego.</w:t>
      </w:r>
    </w:p>
    <w:p w:rsidR="00376DA1" w:rsidRPr="00FD0AA8" w:rsidRDefault="00376DA1" w:rsidP="00376DA1">
      <w:pPr>
        <w:rPr>
          <w:rFonts w:ascii="Calibri" w:hAnsi="Calibri" w:cs="Calibri"/>
        </w:rPr>
      </w:pPr>
      <w:r w:rsidRPr="00EF1D17">
        <w:rPr>
          <w:rFonts w:ascii="Calibri" w:hAnsi="Calibri" w:cs="Calibri"/>
          <w:b/>
        </w:rPr>
        <w:t>5.6.</w:t>
      </w:r>
      <w:r w:rsidRPr="00FD0AA8">
        <w:rPr>
          <w:rFonts w:ascii="Calibri" w:hAnsi="Calibri" w:cs="Calibri"/>
        </w:rPr>
        <w:t xml:space="preserve"> Odcinek próbny</w:t>
      </w:r>
    </w:p>
    <w:p w:rsidR="00376DA1" w:rsidRPr="00FD0AA8" w:rsidRDefault="00376DA1" w:rsidP="00376DA1">
      <w:pPr>
        <w:rPr>
          <w:rFonts w:ascii="Calibri" w:hAnsi="Calibri" w:cs="Calibri"/>
        </w:rPr>
      </w:pPr>
      <w:r w:rsidRPr="00FD0AA8">
        <w:rPr>
          <w:rFonts w:ascii="Calibri" w:hAnsi="Calibri" w:cs="Calibri"/>
        </w:rPr>
        <w:tab/>
        <w:t xml:space="preserve">Przed przystąpieniem do wykonania podbudowy z betonu asfaltowego Wykonawca wykona odcinek próbny celem uściślenia organizacji wytwarzania i układania oraz ustalenia warunków zagęszczania. </w:t>
      </w:r>
    </w:p>
    <w:p w:rsidR="00376DA1" w:rsidRPr="00FD0AA8" w:rsidRDefault="00376DA1" w:rsidP="00376DA1">
      <w:pPr>
        <w:rPr>
          <w:rFonts w:ascii="Calibri" w:hAnsi="Calibri" w:cs="Calibri"/>
        </w:rPr>
      </w:pPr>
      <w:r w:rsidRPr="00FD0AA8">
        <w:rPr>
          <w:rFonts w:ascii="Calibri" w:hAnsi="Calibri" w:cs="Calibri"/>
        </w:rPr>
        <w:tab/>
        <w:t xml:space="preserve">Odcinek próbny powinien być zlokalizowany w miejscu uzgodnionym z Inżynierem. Powierzchnia odcinka próbnego powinna wynosić co najmniej </w:t>
      </w:r>
      <w:smartTag w:uri="urn:schemas-microsoft-com:office:smarttags" w:element="metricconverter">
        <w:smartTagPr>
          <w:attr w:name="ProductID" w:val="500 m2"/>
        </w:smartTagPr>
        <w:r w:rsidRPr="00FD0AA8">
          <w:rPr>
            <w:rFonts w:ascii="Calibri" w:hAnsi="Calibri" w:cs="Calibri"/>
          </w:rPr>
          <w:t>500 m2</w:t>
        </w:r>
      </w:smartTag>
      <w:r w:rsidRPr="00FD0AA8">
        <w:rPr>
          <w:rFonts w:ascii="Calibri" w:hAnsi="Calibri" w:cs="Calibri"/>
        </w:rPr>
        <w:t xml:space="preserve">, a długość co najmniej </w:t>
      </w:r>
      <w:smartTag w:uri="urn:schemas-microsoft-com:office:smarttags" w:element="metricconverter">
        <w:smartTagPr>
          <w:attr w:name="ProductID" w:val="50 m"/>
        </w:smartTagPr>
        <w:r w:rsidRPr="00FD0AA8">
          <w:rPr>
            <w:rFonts w:ascii="Calibri" w:hAnsi="Calibri" w:cs="Calibri"/>
          </w:rPr>
          <w:t>50 m</w:t>
        </w:r>
      </w:smartTag>
      <w:r w:rsidRPr="00FD0AA8">
        <w:rPr>
          <w:rFonts w:ascii="Calibri" w:hAnsi="Calibri" w:cs="Calibri"/>
        </w:rPr>
        <w:t>. Na odcinku próbnym Wykonawca powinien użyć takich materiałów oraz sprzętu jakie zamierza stosować do wykonania podbudowy.</w:t>
      </w:r>
    </w:p>
    <w:p w:rsidR="00376DA1" w:rsidRPr="00FD0AA8" w:rsidRDefault="00376DA1" w:rsidP="00376DA1">
      <w:pPr>
        <w:rPr>
          <w:rFonts w:ascii="Calibri" w:hAnsi="Calibri" w:cs="Calibri"/>
        </w:rPr>
      </w:pPr>
      <w:r w:rsidRPr="00FD0AA8">
        <w:rPr>
          <w:rFonts w:ascii="Calibri" w:hAnsi="Calibri" w:cs="Calibri"/>
        </w:rPr>
        <w:tab/>
        <w:t>Wykonawca może przystąpić do realizacji robót po zaakceptowaniu przez Inżyniera technologii wbudowania i zagęszczania oraz wyników z odcinka próbnego.</w:t>
      </w:r>
    </w:p>
    <w:p w:rsidR="00376DA1" w:rsidRPr="00FD0AA8" w:rsidRDefault="00376DA1" w:rsidP="00376DA1">
      <w:pPr>
        <w:rPr>
          <w:rFonts w:ascii="Calibri" w:hAnsi="Calibri" w:cs="Calibri"/>
        </w:rPr>
      </w:pPr>
      <w:r w:rsidRPr="00EF1D17">
        <w:rPr>
          <w:rFonts w:ascii="Calibri" w:hAnsi="Calibri" w:cs="Calibri"/>
          <w:b/>
        </w:rPr>
        <w:t>5.7.</w:t>
      </w:r>
      <w:r w:rsidRPr="00FD0AA8">
        <w:rPr>
          <w:rFonts w:ascii="Calibri" w:hAnsi="Calibri" w:cs="Calibri"/>
        </w:rPr>
        <w:t xml:space="preserve"> Połączenie międzywarstwowe</w:t>
      </w:r>
    </w:p>
    <w:p w:rsidR="00376DA1" w:rsidRPr="00FD0AA8" w:rsidRDefault="00376DA1" w:rsidP="00376DA1">
      <w:pPr>
        <w:rPr>
          <w:rFonts w:ascii="Calibri" w:hAnsi="Calibri" w:cs="Calibri"/>
        </w:rPr>
      </w:pPr>
      <w:r w:rsidRPr="00FD0AA8">
        <w:rPr>
          <w:rFonts w:ascii="Calibri" w:hAnsi="Calibri" w:cs="Calibri"/>
        </w:rPr>
        <w:tab/>
        <w:t>Uzyskanie wymaganej trwałości nawierzchni jest uzależnione od zapewnienia połączenia między warstwami i ich współpracy w przenoszeniu obciążenia nawierzchni ruchem.</w:t>
      </w:r>
    </w:p>
    <w:p w:rsidR="00376DA1" w:rsidRPr="00FD0AA8" w:rsidRDefault="00376DA1" w:rsidP="00376DA1">
      <w:pPr>
        <w:rPr>
          <w:rFonts w:ascii="Calibri" w:hAnsi="Calibri" w:cs="Calibri"/>
        </w:rPr>
      </w:pPr>
      <w:r w:rsidRPr="00FD0AA8">
        <w:rPr>
          <w:rFonts w:ascii="Calibri" w:hAnsi="Calibri" w:cs="Calibri"/>
        </w:rPr>
        <w:tab/>
        <w:t>Podłoże powinno być skropione lepiszczem. Ma to na celu zwiększenie połączenia między warstwami konstrukcyjnymi oraz zabezpieczenie przed wnikaniem i zaleganiem wody między warstwami.</w:t>
      </w:r>
    </w:p>
    <w:p w:rsidR="00376DA1" w:rsidRDefault="00376DA1" w:rsidP="00376DA1">
      <w:pPr>
        <w:rPr>
          <w:rFonts w:ascii="Calibri" w:hAnsi="Calibri" w:cs="Calibri"/>
        </w:rPr>
      </w:pPr>
      <w:r w:rsidRPr="00FD0AA8">
        <w:rPr>
          <w:rFonts w:ascii="Calibri" w:hAnsi="Calibri" w:cs="Calibri"/>
        </w:rPr>
        <w:tab/>
        <w:t>Skropienie lepiszczem podłoża (np. podbudowa z kruszywa niezwiązanego lub związanego), przed ułożeniem warstwy podbudowy z betonu asfaltowego powinno być wykonane w ilości podanej w tablicy 12.</w:t>
      </w:r>
    </w:p>
    <w:p w:rsidR="00376DA1" w:rsidRPr="00FD0AA8" w:rsidRDefault="00376DA1" w:rsidP="00376DA1">
      <w:pPr>
        <w:rPr>
          <w:rFonts w:ascii="Calibri" w:hAnsi="Calibri" w:cs="Calibri"/>
        </w:rPr>
      </w:pPr>
    </w:p>
    <w:p w:rsidR="00376DA1" w:rsidRPr="00FD0AA8" w:rsidRDefault="00376DA1" w:rsidP="00376DA1">
      <w:pPr>
        <w:ind w:left="709"/>
        <w:rPr>
          <w:rFonts w:ascii="Calibri" w:hAnsi="Calibri" w:cs="Calibri"/>
        </w:rPr>
      </w:pPr>
      <w:r w:rsidRPr="00FD0AA8">
        <w:rPr>
          <w:rFonts w:ascii="Calibri" w:hAnsi="Calibri" w:cs="Calibri"/>
        </w:rPr>
        <w:lastRenderedPageBreak/>
        <w:t>Tablica 12. Zalecane ilości pozostałego lepiszcza do skropienia podłoża</w:t>
      </w:r>
    </w:p>
    <w:tbl>
      <w:tblPr>
        <w:tblW w:w="0" w:type="auto"/>
        <w:tblInd w:w="81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tblPr>
      <w:tblGrid>
        <w:gridCol w:w="2503"/>
        <w:gridCol w:w="3185"/>
        <w:gridCol w:w="1823"/>
      </w:tblGrid>
      <w:tr w:rsidR="00376DA1" w:rsidRPr="00BD7F4A" w:rsidTr="00556540">
        <w:tc>
          <w:tcPr>
            <w:tcW w:w="2503" w:type="dxa"/>
          </w:tcPr>
          <w:p w:rsidR="00376DA1" w:rsidRPr="00BD7F4A" w:rsidRDefault="00376DA1" w:rsidP="00556540">
            <w:pPr>
              <w:jc w:val="center"/>
              <w:rPr>
                <w:rFonts w:asciiTheme="minorHAnsi" w:hAnsiTheme="minorHAnsi"/>
                <w:sz w:val="18"/>
                <w:szCs w:val="18"/>
              </w:rPr>
            </w:pPr>
            <w:r w:rsidRPr="00BD7F4A">
              <w:rPr>
                <w:rFonts w:asciiTheme="minorHAnsi" w:hAnsiTheme="minorHAnsi"/>
                <w:sz w:val="18"/>
                <w:szCs w:val="18"/>
              </w:rPr>
              <w:t>Układana warstwa asfaltowa</w:t>
            </w:r>
          </w:p>
        </w:tc>
        <w:tc>
          <w:tcPr>
            <w:tcW w:w="3185" w:type="dxa"/>
          </w:tcPr>
          <w:p w:rsidR="00376DA1" w:rsidRPr="00BD7F4A" w:rsidRDefault="00376DA1" w:rsidP="00556540">
            <w:pPr>
              <w:spacing w:before="120"/>
              <w:jc w:val="center"/>
              <w:rPr>
                <w:rFonts w:asciiTheme="minorHAnsi" w:hAnsiTheme="minorHAnsi"/>
                <w:sz w:val="18"/>
                <w:szCs w:val="18"/>
              </w:rPr>
            </w:pPr>
            <w:r w:rsidRPr="00BD7F4A">
              <w:rPr>
                <w:rFonts w:asciiTheme="minorHAnsi" w:hAnsiTheme="minorHAnsi"/>
                <w:sz w:val="18"/>
                <w:szCs w:val="18"/>
              </w:rPr>
              <w:t>Podłoże pod warstwę asfaltową</w:t>
            </w:r>
          </w:p>
        </w:tc>
        <w:tc>
          <w:tcPr>
            <w:tcW w:w="1823" w:type="dxa"/>
          </w:tcPr>
          <w:p w:rsidR="00376DA1" w:rsidRPr="00BD7F4A" w:rsidRDefault="00376DA1" w:rsidP="00556540">
            <w:pPr>
              <w:jc w:val="center"/>
              <w:rPr>
                <w:rFonts w:asciiTheme="minorHAnsi" w:hAnsiTheme="minorHAnsi"/>
                <w:sz w:val="18"/>
                <w:szCs w:val="18"/>
              </w:rPr>
            </w:pPr>
            <w:r w:rsidRPr="00BD7F4A">
              <w:rPr>
                <w:rFonts w:asciiTheme="minorHAnsi" w:hAnsiTheme="minorHAnsi"/>
                <w:sz w:val="18"/>
                <w:szCs w:val="18"/>
              </w:rPr>
              <w:t>Ilość pozostałego</w:t>
            </w:r>
          </w:p>
          <w:p w:rsidR="00376DA1" w:rsidRPr="00BD7F4A" w:rsidRDefault="00376DA1" w:rsidP="00556540">
            <w:pPr>
              <w:jc w:val="center"/>
              <w:rPr>
                <w:rFonts w:asciiTheme="minorHAnsi" w:hAnsiTheme="minorHAnsi"/>
                <w:sz w:val="18"/>
                <w:szCs w:val="18"/>
              </w:rPr>
            </w:pPr>
            <w:r w:rsidRPr="00BD7F4A">
              <w:rPr>
                <w:rFonts w:asciiTheme="minorHAnsi" w:hAnsiTheme="minorHAnsi"/>
                <w:sz w:val="18"/>
                <w:szCs w:val="18"/>
              </w:rPr>
              <w:t>lepiszcza [kg/m</w:t>
            </w:r>
            <w:r w:rsidRPr="00BD7F4A">
              <w:rPr>
                <w:rFonts w:asciiTheme="minorHAnsi" w:hAnsiTheme="minorHAnsi"/>
                <w:sz w:val="18"/>
                <w:szCs w:val="18"/>
                <w:vertAlign w:val="superscript"/>
              </w:rPr>
              <w:t xml:space="preserve">2 </w:t>
            </w:r>
            <w:r w:rsidRPr="00BD7F4A">
              <w:rPr>
                <w:rFonts w:asciiTheme="minorHAnsi" w:hAnsiTheme="minorHAnsi"/>
                <w:sz w:val="18"/>
                <w:szCs w:val="18"/>
              </w:rPr>
              <w:t>]</w:t>
            </w:r>
          </w:p>
        </w:tc>
      </w:tr>
      <w:tr w:rsidR="00376DA1" w:rsidRPr="00BD7F4A" w:rsidTr="00556540">
        <w:tc>
          <w:tcPr>
            <w:tcW w:w="2503" w:type="dxa"/>
            <w:vMerge w:val="restart"/>
          </w:tcPr>
          <w:p w:rsidR="00376DA1" w:rsidRPr="00BD7F4A" w:rsidRDefault="00376DA1" w:rsidP="00556540">
            <w:pPr>
              <w:jc w:val="left"/>
              <w:rPr>
                <w:rFonts w:asciiTheme="minorHAnsi" w:hAnsiTheme="minorHAnsi"/>
                <w:sz w:val="18"/>
                <w:szCs w:val="18"/>
              </w:rPr>
            </w:pPr>
            <w:r w:rsidRPr="00BD7F4A">
              <w:rPr>
                <w:rFonts w:asciiTheme="minorHAnsi" w:hAnsiTheme="minorHAnsi"/>
                <w:sz w:val="18"/>
                <w:szCs w:val="18"/>
              </w:rPr>
              <w:t>Podbudowa z betonu asfaltowego</w:t>
            </w:r>
          </w:p>
        </w:tc>
        <w:tc>
          <w:tcPr>
            <w:tcW w:w="3185" w:type="dxa"/>
          </w:tcPr>
          <w:p w:rsidR="00376DA1" w:rsidRPr="00BD7F4A" w:rsidRDefault="00376DA1" w:rsidP="00556540">
            <w:pPr>
              <w:rPr>
                <w:rFonts w:asciiTheme="minorHAnsi" w:hAnsiTheme="minorHAnsi"/>
                <w:sz w:val="18"/>
                <w:szCs w:val="18"/>
              </w:rPr>
            </w:pPr>
            <w:r w:rsidRPr="00BD7F4A">
              <w:rPr>
                <w:rFonts w:asciiTheme="minorHAnsi" w:hAnsiTheme="minorHAnsi"/>
                <w:sz w:val="18"/>
                <w:szCs w:val="18"/>
              </w:rPr>
              <w:t>Podbudowa tłuczniowa</w:t>
            </w:r>
          </w:p>
        </w:tc>
        <w:tc>
          <w:tcPr>
            <w:tcW w:w="1823" w:type="dxa"/>
          </w:tcPr>
          <w:p w:rsidR="00376DA1" w:rsidRPr="00BD7F4A" w:rsidRDefault="00376DA1" w:rsidP="00556540">
            <w:pPr>
              <w:jc w:val="center"/>
              <w:rPr>
                <w:rFonts w:asciiTheme="minorHAnsi" w:hAnsiTheme="minorHAnsi"/>
                <w:sz w:val="18"/>
                <w:szCs w:val="18"/>
              </w:rPr>
            </w:pPr>
            <w:r w:rsidRPr="00BD7F4A">
              <w:rPr>
                <w:rFonts w:asciiTheme="minorHAnsi" w:hAnsiTheme="minorHAnsi"/>
                <w:sz w:val="18"/>
                <w:szCs w:val="18"/>
              </w:rPr>
              <w:t>0,7 - 1,0</w:t>
            </w:r>
          </w:p>
        </w:tc>
      </w:tr>
      <w:tr w:rsidR="00376DA1" w:rsidRPr="00BD7F4A" w:rsidTr="00556540">
        <w:tc>
          <w:tcPr>
            <w:tcW w:w="2503" w:type="dxa"/>
            <w:vMerge/>
          </w:tcPr>
          <w:p w:rsidR="00376DA1" w:rsidRPr="00BD7F4A" w:rsidRDefault="00376DA1" w:rsidP="00556540">
            <w:pPr>
              <w:rPr>
                <w:rFonts w:asciiTheme="minorHAnsi" w:hAnsiTheme="minorHAnsi"/>
                <w:sz w:val="18"/>
                <w:szCs w:val="18"/>
              </w:rPr>
            </w:pPr>
          </w:p>
        </w:tc>
        <w:tc>
          <w:tcPr>
            <w:tcW w:w="3185" w:type="dxa"/>
          </w:tcPr>
          <w:p w:rsidR="00376DA1" w:rsidRPr="00BD7F4A" w:rsidRDefault="00376DA1" w:rsidP="00556540">
            <w:pPr>
              <w:jc w:val="left"/>
              <w:rPr>
                <w:rFonts w:asciiTheme="minorHAnsi" w:hAnsiTheme="minorHAnsi"/>
                <w:sz w:val="18"/>
                <w:szCs w:val="18"/>
              </w:rPr>
            </w:pPr>
            <w:r w:rsidRPr="00BD7F4A">
              <w:rPr>
                <w:rFonts w:asciiTheme="minorHAnsi" w:hAnsiTheme="minorHAnsi"/>
                <w:sz w:val="18"/>
                <w:szCs w:val="18"/>
              </w:rPr>
              <w:t>Podbudowa z kruszywa stabilizowanego mechanicznie</w:t>
            </w:r>
          </w:p>
        </w:tc>
        <w:tc>
          <w:tcPr>
            <w:tcW w:w="1823" w:type="dxa"/>
          </w:tcPr>
          <w:p w:rsidR="00376DA1" w:rsidRPr="00BD7F4A" w:rsidRDefault="00376DA1" w:rsidP="00556540">
            <w:pPr>
              <w:jc w:val="center"/>
              <w:rPr>
                <w:rFonts w:asciiTheme="minorHAnsi" w:hAnsiTheme="minorHAnsi"/>
                <w:sz w:val="18"/>
                <w:szCs w:val="18"/>
              </w:rPr>
            </w:pPr>
            <w:r w:rsidRPr="00BD7F4A">
              <w:rPr>
                <w:rFonts w:asciiTheme="minorHAnsi" w:hAnsiTheme="minorHAnsi"/>
                <w:sz w:val="18"/>
                <w:szCs w:val="18"/>
              </w:rPr>
              <w:t>0,5 - 0,7</w:t>
            </w:r>
          </w:p>
        </w:tc>
      </w:tr>
      <w:tr w:rsidR="00376DA1" w:rsidRPr="00BD7F4A" w:rsidTr="00556540">
        <w:tc>
          <w:tcPr>
            <w:tcW w:w="2503" w:type="dxa"/>
            <w:vMerge/>
          </w:tcPr>
          <w:p w:rsidR="00376DA1" w:rsidRPr="00BD7F4A" w:rsidRDefault="00376DA1" w:rsidP="00556540">
            <w:pPr>
              <w:rPr>
                <w:rFonts w:asciiTheme="minorHAnsi" w:hAnsiTheme="minorHAnsi"/>
                <w:sz w:val="18"/>
                <w:szCs w:val="18"/>
              </w:rPr>
            </w:pPr>
          </w:p>
        </w:tc>
        <w:tc>
          <w:tcPr>
            <w:tcW w:w="3185" w:type="dxa"/>
          </w:tcPr>
          <w:p w:rsidR="00376DA1" w:rsidRPr="00BD7F4A" w:rsidRDefault="00376DA1" w:rsidP="00556540">
            <w:pPr>
              <w:jc w:val="left"/>
              <w:rPr>
                <w:rFonts w:asciiTheme="minorHAnsi" w:hAnsiTheme="minorHAnsi"/>
                <w:sz w:val="18"/>
                <w:szCs w:val="18"/>
              </w:rPr>
            </w:pPr>
            <w:r w:rsidRPr="00BD7F4A">
              <w:rPr>
                <w:rFonts w:asciiTheme="minorHAnsi" w:hAnsiTheme="minorHAnsi"/>
                <w:sz w:val="18"/>
                <w:szCs w:val="18"/>
              </w:rPr>
              <w:t>Podbudowa z chudego betonu lub gruntu stabilizowanego spoiwem</w:t>
            </w:r>
          </w:p>
        </w:tc>
        <w:tc>
          <w:tcPr>
            <w:tcW w:w="1823" w:type="dxa"/>
          </w:tcPr>
          <w:p w:rsidR="00376DA1" w:rsidRPr="00BD7F4A" w:rsidRDefault="00376DA1" w:rsidP="00556540">
            <w:pPr>
              <w:jc w:val="center"/>
              <w:rPr>
                <w:rFonts w:asciiTheme="minorHAnsi" w:hAnsiTheme="minorHAnsi"/>
                <w:sz w:val="18"/>
                <w:szCs w:val="18"/>
              </w:rPr>
            </w:pPr>
            <w:r w:rsidRPr="00BD7F4A">
              <w:rPr>
                <w:rFonts w:asciiTheme="minorHAnsi" w:hAnsiTheme="minorHAnsi"/>
                <w:sz w:val="18"/>
                <w:szCs w:val="18"/>
              </w:rPr>
              <w:t>0,3 - 0,5</w:t>
            </w:r>
            <w:r w:rsidRPr="00BD7F4A">
              <w:rPr>
                <w:rFonts w:asciiTheme="minorHAnsi" w:hAnsiTheme="minorHAnsi"/>
                <w:sz w:val="18"/>
                <w:szCs w:val="18"/>
                <w:vertAlign w:val="superscript"/>
              </w:rPr>
              <w:t xml:space="preserve">1) </w:t>
            </w:r>
          </w:p>
          <w:p w:rsidR="00376DA1" w:rsidRPr="00BD7F4A" w:rsidRDefault="00376DA1" w:rsidP="00556540">
            <w:pPr>
              <w:jc w:val="center"/>
              <w:rPr>
                <w:rFonts w:asciiTheme="minorHAnsi" w:hAnsiTheme="minorHAnsi"/>
                <w:sz w:val="18"/>
                <w:szCs w:val="18"/>
              </w:rPr>
            </w:pPr>
            <w:r w:rsidRPr="00BD7F4A">
              <w:rPr>
                <w:rFonts w:asciiTheme="minorHAnsi" w:hAnsiTheme="minorHAnsi"/>
                <w:sz w:val="18"/>
                <w:szCs w:val="18"/>
              </w:rPr>
              <w:t>0,7 - 1,0</w:t>
            </w:r>
            <w:r w:rsidRPr="00BD7F4A">
              <w:rPr>
                <w:rFonts w:asciiTheme="minorHAnsi" w:hAnsiTheme="minorHAnsi"/>
                <w:sz w:val="18"/>
                <w:szCs w:val="18"/>
                <w:vertAlign w:val="superscript"/>
              </w:rPr>
              <w:t xml:space="preserve">2) </w:t>
            </w:r>
          </w:p>
        </w:tc>
      </w:tr>
      <w:tr w:rsidR="00376DA1" w:rsidRPr="00BD7F4A" w:rsidTr="00556540">
        <w:tc>
          <w:tcPr>
            <w:tcW w:w="7511" w:type="dxa"/>
            <w:gridSpan w:val="3"/>
          </w:tcPr>
          <w:p w:rsidR="00376DA1" w:rsidRPr="00A0310B" w:rsidRDefault="00376DA1" w:rsidP="00556540">
            <w:pPr>
              <w:jc w:val="left"/>
              <w:rPr>
                <w:rFonts w:asciiTheme="minorHAnsi" w:hAnsiTheme="minorHAnsi"/>
                <w:i/>
                <w:sz w:val="18"/>
                <w:szCs w:val="18"/>
              </w:rPr>
            </w:pPr>
            <w:r w:rsidRPr="00A0310B">
              <w:rPr>
                <w:rFonts w:asciiTheme="minorHAnsi" w:hAnsiTheme="minorHAnsi"/>
                <w:i/>
                <w:sz w:val="18"/>
                <w:szCs w:val="18"/>
                <w:vertAlign w:val="superscript"/>
              </w:rPr>
              <w:t>1)</w:t>
            </w:r>
            <w:r w:rsidRPr="00A0310B">
              <w:rPr>
                <w:rFonts w:asciiTheme="minorHAnsi" w:hAnsiTheme="minorHAnsi"/>
                <w:i/>
                <w:sz w:val="18"/>
                <w:szCs w:val="18"/>
              </w:rPr>
              <w:t xml:space="preserve"> zalecana emulsja o pH &gt;4</w:t>
            </w:r>
          </w:p>
          <w:p w:rsidR="00376DA1" w:rsidRPr="00A0310B" w:rsidRDefault="00376DA1" w:rsidP="00556540">
            <w:pPr>
              <w:ind w:hanging="142"/>
              <w:jc w:val="left"/>
              <w:rPr>
                <w:rFonts w:asciiTheme="minorHAnsi" w:hAnsiTheme="minorHAnsi"/>
                <w:i/>
                <w:sz w:val="18"/>
                <w:szCs w:val="18"/>
              </w:rPr>
            </w:pPr>
            <w:r w:rsidRPr="00A0310B">
              <w:rPr>
                <w:rFonts w:asciiTheme="minorHAnsi" w:hAnsiTheme="minorHAnsi"/>
                <w:i/>
                <w:sz w:val="18"/>
                <w:szCs w:val="18"/>
                <w:vertAlign w:val="superscript"/>
              </w:rPr>
              <w:t xml:space="preserve">     2)</w:t>
            </w:r>
            <w:r w:rsidRPr="00A0310B">
              <w:rPr>
                <w:rFonts w:asciiTheme="minorHAnsi" w:hAnsiTheme="minorHAnsi"/>
                <w:i/>
                <w:sz w:val="18"/>
                <w:szCs w:val="18"/>
              </w:rPr>
              <w:t xml:space="preserve"> zalecana emulsja modyfikowana polimerem posypana grysem 2/5 w celu uzyskania membrany poprawiającej połączenie oraz zmniejszającej ryzyko spękań odbitych</w:t>
            </w:r>
          </w:p>
        </w:tc>
      </w:tr>
    </w:tbl>
    <w:p w:rsidR="00376DA1" w:rsidRPr="00FD0AA8" w:rsidRDefault="00376DA1" w:rsidP="00376DA1">
      <w:pPr>
        <w:rPr>
          <w:rFonts w:ascii="Calibri" w:hAnsi="Calibri" w:cs="Calibri"/>
        </w:rPr>
      </w:pPr>
    </w:p>
    <w:p w:rsidR="00376DA1" w:rsidRPr="00FD0AA8" w:rsidRDefault="00376DA1" w:rsidP="00376DA1">
      <w:pPr>
        <w:rPr>
          <w:rFonts w:ascii="Calibri" w:hAnsi="Calibri" w:cs="Calibri"/>
        </w:rPr>
      </w:pPr>
      <w:r w:rsidRPr="00FD0AA8">
        <w:rPr>
          <w:rFonts w:ascii="Calibri" w:hAnsi="Calibri" w:cs="Calibri"/>
        </w:rPr>
        <w:t xml:space="preserve">Skrapianie podłoża należy wykonywać równomiernie stosując rampy do skrapiania, np. skrapiarki do lepiszczy asfaltowych. Dopuszcza się skrapianie ręczne lancą w miejscach trudno dostępnych (np. ścieki uliczne) oraz przy urządzeniach usytuowanych w nawierzchni lub ją ograniczających. W razie potrzeby urządzenia te należy zabezpieczyć przed zabrudzeniem. </w:t>
      </w:r>
    </w:p>
    <w:p w:rsidR="00376DA1" w:rsidRPr="00FD0AA8" w:rsidRDefault="00376DA1" w:rsidP="00376DA1">
      <w:pPr>
        <w:rPr>
          <w:rFonts w:ascii="Calibri" w:hAnsi="Calibri" w:cs="Calibri"/>
        </w:rPr>
      </w:pPr>
      <w:r w:rsidRPr="00EF1D17">
        <w:rPr>
          <w:rFonts w:ascii="Calibri" w:hAnsi="Calibri" w:cs="Calibri"/>
          <w:b/>
        </w:rPr>
        <w:t>5.8.</w:t>
      </w:r>
      <w:r w:rsidRPr="00FD0AA8">
        <w:rPr>
          <w:rFonts w:ascii="Calibri" w:hAnsi="Calibri" w:cs="Calibri"/>
        </w:rPr>
        <w:t xml:space="preserve"> Wbudowanie mieszanki mineralno-asfaltowej</w:t>
      </w:r>
    </w:p>
    <w:p w:rsidR="00376DA1" w:rsidRPr="00FD0AA8" w:rsidRDefault="00376DA1" w:rsidP="00376DA1">
      <w:pPr>
        <w:rPr>
          <w:rFonts w:ascii="Calibri" w:hAnsi="Calibri" w:cs="Calibri"/>
        </w:rPr>
      </w:pPr>
      <w:r w:rsidRPr="00FD0AA8">
        <w:rPr>
          <w:rFonts w:ascii="Calibri" w:hAnsi="Calibri" w:cs="Calibri"/>
        </w:rPr>
        <w:tab/>
        <w:t>Mieszankę mineralno-asfaltową można wbudowywać na podłożu przygotowanym zgodnie z zapisami w punktach 5.4 i 5.7.</w:t>
      </w:r>
    </w:p>
    <w:p w:rsidR="00376DA1" w:rsidRPr="00FD0AA8" w:rsidRDefault="00376DA1" w:rsidP="00376DA1">
      <w:pPr>
        <w:rPr>
          <w:rFonts w:ascii="Calibri" w:hAnsi="Calibri" w:cs="Calibri"/>
        </w:rPr>
      </w:pPr>
      <w:r w:rsidRPr="00FD0AA8">
        <w:rPr>
          <w:rFonts w:ascii="Calibri" w:hAnsi="Calibri" w:cs="Calibri"/>
        </w:rPr>
        <w:t>Temperatura podłoża pod rozkładaną warstwę nie może być niższa niż  +5°C.</w:t>
      </w:r>
    </w:p>
    <w:p w:rsidR="00376DA1" w:rsidRPr="00FD0AA8" w:rsidRDefault="00376DA1" w:rsidP="00376DA1">
      <w:pPr>
        <w:rPr>
          <w:rFonts w:ascii="Calibri" w:hAnsi="Calibri" w:cs="Calibri"/>
        </w:rPr>
      </w:pPr>
      <w:r w:rsidRPr="00FD0AA8">
        <w:rPr>
          <w:rFonts w:ascii="Calibri" w:hAnsi="Calibri" w:cs="Calibri"/>
        </w:rPr>
        <w:tab/>
        <w:t>Transport mieszanki mineralno-asfaltowej asfaltowej powinien być zgodny z zaleceniami podanymi w punkcie 4.2.</w:t>
      </w:r>
    </w:p>
    <w:p w:rsidR="00376DA1" w:rsidRPr="00FD0AA8" w:rsidRDefault="00376DA1" w:rsidP="00376DA1">
      <w:pPr>
        <w:rPr>
          <w:rFonts w:ascii="Calibri" w:hAnsi="Calibri" w:cs="Calibri"/>
        </w:rPr>
      </w:pPr>
      <w:r w:rsidRPr="00FD0AA8">
        <w:rPr>
          <w:rFonts w:ascii="Calibri" w:hAnsi="Calibri" w:cs="Calibri"/>
        </w:rPr>
        <w:tab/>
        <w:t>Mieszankę mineralno-asfaltową asfaltową należy wbudowywać w odpowiednich warunkach atmosferycznych. Temperatura otoczenia w ciągu doby nie powinna być niższa od temperatury podanej w tablicy 13. Temperatura otoczenia może być niższa w wypadku stosowania ogrzewania podłoża. Nie dopuszcza się układania mieszanki mineralno-asfaltowej podczas silnego wiatru (V &gt; 16 m/s).</w:t>
      </w:r>
    </w:p>
    <w:p w:rsidR="00376DA1" w:rsidRPr="00FD0AA8" w:rsidRDefault="00376DA1" w:rsidP="00376DA1">
      <w:pPr>
        <w:rPr>
          <w:rFonts w:ascii="Calibri" w:hAnsi="Calibri" w:cs="Calibri"/>
        </w:rPr>
      </w:pPr>
      <w:r w:rsidRPr="00FD0AA8">
        <w:rPr>
          <w:rFonts w:ascii="Calibri" w:hAnsi="Calibri" w:cs="Calibri"/>
        </w:rPr>
        <w:tab/>
        <w:t>W wypadku stosowania mieszanek mineralno-asfaltowych z dodatkiem obniżającym temperaturę mieszania i wbudowania należy indywidualnie określić wymagane warunki otoczenia.</w:t>
      </w:r>
    </w:p>
    <w:p w:rsidR="00376DA1" w:rsidRPr="00FD0AA8" w:rsidRDefault="00376DA1" w:rsidP="00376DA1">
      <w:pPr>
        <w:rPr>
          <w:rFonts w:ascii="Calibri" w:hAnsi="Calibri" w:cs="Calibri"/>
        </w:rPr>
      </w:pPr>
    </w:p>
    <w:p w:rsidR="00376DA1" w:rsidRPr="00FD0AA8" w:rsidRDefault="00376DA1" w:rsidP="00376DA1">
      <w:pPr>
        <w:ind w:left="709"/>
        <w:rPr>
          <w:rFonts w:ascii="Calibri" w:hAnsi="Calibri" w:cs="Calibri"/>
        </w:rPr>
      </w:pPr>
      <w:r w:rsidRPr="00FD0AA8">
        <w:rPr>
          <w:rFonts w:ascii="Calibri" w:hAnsi="Calibri" w:cs="Calibri"/>
        </w:rPr>
        <w:t>Tablica 13. Minimalna temperatura otoczenia na wysokości 2m podczas wykonywania warstw asfaltowych</w:t>
      </w:r>
    </w:p>
    <w:tbl>
      <w:tblPr>
        <w:tblW w:w="0" w:type="auto"/>
        <w:tblInd w:w="81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tblPr>
      <w:tblGrid>
        <w:gridCol w:w="3227"/>
        <w:gridCol w:w="2693"/>
        <w:gridCol w:w="1591"/>
      </w:tblGrid>
      <w:tr w:rsidR="00376DA1" w:rsidRPr="00A0310B" w:rsidTr="00556540">
        <w:tc>
          <w:tcPr>
            <w:tcW w:w="3227" w:type="dxa"/>
            <w:vMerge w:val="restart"/>
            <w:vAlign w:val="center"/>
          </w:tcPr>
          <w:p w:rsidR="00376DA1" w:rsidRPr="00A0310B" w:rsidRDefault="00376DA1" w:rsidP="00556540">
            <w:pPr>
              <w:jc w:val="center"/>
              <w:rPr>
                <w:rFonts w:ascii="Calibri" w:hAnsi="Calibri" w:cs="Calibri"/>
                <w:sz w:val="18"/>
                <w:szCs w:val="18"/>
              </w:rPr>
            </w:pPr>
            <w:r w:rsidRPr="00A0310B">
              <w:rPr>
                <w:rFonts w:ascii="Calibri" w:hAnsi="Calibri" w:cs="Calibri"/>
                <w:sz w:val="18"/>
                <w:szCs w:val="18"/>
              </w:rPr>
              <w:t>Rodzaj robót</w:t>
            </w:r>
          </w:p>
        </w:tc>
        <w:tc>
          <w:tcPr>
            <w:tcW w:w="4284" w:type="dxa"/>
            <w:gridSpan w:val="2"/>
          </w:tcPr>
          <w:p w:rsidR="00376DA1" w:rsidRPr="00A0310B" w:rsidRDefault="00376DA1" w:rsidP="00556540">
            <w:pPr>
              <w:jc w:val="center"/>
              <w:rPr>
                <w:rFonts w:ascii="Calibri" w:hAnsi="Calibri" w:cs="Calibri"/>
                <w:sz w:val="18"/>
                <w:szCs w:val="18"/>
              </w:rPr>
            </w:pPr>
            <w:r w:rsidRPr="00A0310B">
              <w:rPr>
                <w:rFonts w:ascii="Calibri" w:hAnsi="Calibri" w:cs="Calibri"/>
                <w:sz w:val="18"/>
                <w:szCs w:val="18"/>
              </w:rPr>
              <w:t>Minimalna temperatura otoczenia  [°C]</w:t>
            </w:r>
          </w:p>
        </w:tc>
      </w:tr>
      <w:tr w:rsidR="00376DA1" w:rsidRPr="00A0310B" w:rsidTr="00556540">
        <w:tc>
          <w:tcPr>
            <w:tcW w:w="3227" w:type="dxa"/>
            <w:vMerge/>
          </w:tcPr>
          <w:p w:rsidR="00376DA1" w:rsidRPr="00A0310B" w:rsidRDefault="00376DA1" w:rsidP="00556540">
            <w:pPr>
              <w:rPr>
                <w:rFonts w:ascii="Calibri" w:hAnsi="Calibri" w:cs="Calibri"/>
                <w:sz w:val="18"/>
                <w:szCs w:val="18"/>
              </w:rPr>
            </w:pPr>
          </w:p>
        </w:tc>
        <w:tc>
          <w:tcPr>
            <w:tcW w:w="2693" w:type="dxa"/>
          </w:tcPr>
          <w:p w:rsidR="00376DA1" w:rsidRPr="00A0310B" w:rsidRDefault="00376DA1" w:rsidP="00556540">
            <w:pPr>
              <w:jc w:val="center"/>
              <w:rPr>
                <w:rFonts w:ascii="Calibri" w:hAnsi="Calibri" w:cs="Calibri"/>
                <w:sz w:val="18"/>
                <w:szCs w:val="18"/>
              </w:rPr>
            </w:pPr>
            <w:r w:rsidRPr="00A0310B">
              <w:rPr>
                <w:rFonts w:ascii="Calibri" w:hAnsi="Calibri" w:cs="Calibri"/>
                <w:sz w:val="18"/>
                <w:szCs w:val="18"/>
              </w:rPr>
              <w:t>przed przystąpieniem do robót</w:t>
            </w:r>
          </w:p>
        </w:tc>
        <w:tc>
          <w:tcPr>
            <w:tcW w:w="1591" w:type="dxa"/>
          </w:tcPr>
          <w:p w:rsidR="00376DA1" w:rsidRPr="00A0310B" w:rsidRDefault="00376DA1" w:rsidP="00556540">
            <w:pPr>
              <w:jc w:val="center"/>
              <w:rPr>
                <w:rFonts w:ascii="Calibri" w:hAnsi="Calibri" w:cs="Calibri"/>
                <w:sz w:val="18"/>
                <w:szCs w:val="18"/>
              </w:rPr>
            </w:pPr>
            <w:r w:rsidRPr="00A0310B">
              <w:rPr>
                <w:rFonts w:ascii="Calibri" w:hAnsi="Calibri" w:cs="Calibri"/>
                <w:sz w:val="18"/>
                <w:szCs w:val="18"/>
              </w:rPr>
              <w:t>w czasie robót</w:t>
            </w:r>
          </w:p>
        </w:tc>
      </w:tr>
      <w:tr w:rsidR="00376DA1" w:rsidRPr="00A0310B" w:rsidTr="00556540">
        <w:tc>
          <w:tcPr>
            <w:tcW w:w="3227" w:type="dxa"/>
          </w:tcPr>
          <w:p w:rsidR="00376DA1" w:rsidRPr="00A0310B" w:rsidRDefault="00376DA1" w:rsidP="00556540">
            <w:pPr>
              <w:spacing w:before="60" w:after="60"/>
              <w:rPr>
                <w:rFonts w:ascii="Calibri" w:hAnsi="Calibri" w:cs="Calibri"/>
                <w:sz w:val="18"/>
                <w:szCs w:val="18"/>
              </w:rPr>
            </w:pPr>
            <w:r w:rsidRPr="00A0310B">
              <w:rPr>
                <w:rFonts w:ascii="Calibri" w:hAnsi="Calibri" w:cs="Calibri"/>
                <w:sz w:val="18"/>
                <w:szCs w:val="18"/>
              </w:rPr>
              <w:t>Warstwa podbudowy</w:t>
            </w:r>
          </w:p>
        </w:tc>
        <w:tc>
          <w:tcPr>
            <w:tcW w:w="2693" w:type="dxa"/>
          </w:tcPr>
          <w:p w:rsidR="00376DA1" w:rsidRPr="00A0310B" w:rsidRDefault="00376DA1" w:rsidP="00556540">
            <w:pPr>
              <w:spacing w:before="60" w:after="60"/>
              <w:jc w:val="center"/>
              <w:rPr>
                <w:rFonts w:ascii="Calibri" w:hAnsi="Calibri" w:cs="Calibri"/>
                <w:sz w:val="18"/>
                <w:szCs w:val="18"/>
              </w:rPr>
            </w:pPr>
            <w:r w:rsidRPr="00A0310B">
              <w:rPr>
                <w:rFonts w:ascii="Calibri" w:hAnsi="Calibri" w:cs="Calibri"/>
                <w:sz w:val="18"/>
                <w:szCs w:val="18"/>
              </w:rPr>
              <w:t>0</w:t>
            </w:r>
          </w:p>
        </w:tc>
        <w:tc>
          <w:tcPr>
            <w:tcW w:w="1591" w:type="dxa"/>
          </w:tcPr>
          <w:p w:rsidR="00376DA1" w:rsidRPr="00A0310B" w:rsidRDefault="00376DA1" w:rsidP="00556540">
            <w:pPr>
              <w:spacing w:before="60" w:after="60"/>
              <w:jc w:val="center"/>
              <w:rPr>
                <w:rFonts w:ascii="Calibri" w:hAnsi="Calibri" w:cs="Calibri"/>
                <w:sz w:val="18"/>
                <w:szCs w:val="18"/>
              </w:rPr>
            </w:pPr>
            <w:r w:rsidRPr="00A0310B">
              <w:rPr>
                <w:rFonts w:ascii="Calibri" w:hAnsi="Calibri" w:cs="Calibri"/>
                <w:sz w:val="18"/>
                <w:szCs w:val="18"/>
              </w:rPr>
              <w:t>+ 5</w:t>
            </w:r>
          </w:p>
        </w:tc>
      </w:tr>
    </w:tbl>
    <w:p w:rsidR="00376DA1" w:rsidRDefault="00376DA1" w:rsidP="00376DA1">
      <w:pPr>
        <w:spacing w:before="120"/>
        <w:ind w:firstLine="708"/>
      </w:pPr>
    </w:p>
    <w:p w:rsidR="00376DA1" w:rsidRDefault="00376DA1" w:rsidP="00376DA1">
      <w:pPr>
        <w:rPr>
          <w:rFonts w:ascii="Calibri" w:hAnsi="Calibri" w:cs="Calibri"/>
        </w:rPr>
      </w:pPr>
      <w:r w:rsidRPr="00FD0AA8">
        <w:rPr>
          <w:rFonts w:ascii="Calibri" w:hAnsi="Calibri" w:cs="Calibri"/>
        </w:rPr>
        <w:t>Właściwości wykonanej warstwy podbudowy powinny spełniać warunki podane w tablicy 14.</w:t>
      </w:r>
    </w:p>
    <w:p w:rsidR="00376DA1" w:rsidRPr="00FD0AA8" w:rsidRDefault="00376DA1" w:rsidP="00376DA1">
      <w:pPr>
        <w:rPr>
          <w:rFonts w:ascii="Calibri" w:hAnsi="Calibri" w:cs="Calibri"/>
        </w:rPr>
      </w:pPr>
    </w:p>
    <w:p w:rsidR="00376DA1" w:rsidRPr="00FD0AA8" w:rsidRDefault="00376DA1" w:rsidP="00376DA1">
      <w:pPr>
        <w:ind w:left="709"/>
        <w:rPr>
          <w:rFonts w:ascii="Calibri" w:hAnsi="Calibri" w:cs="Calibri"/>
        </w:rPr>
      </w:pPr>
      <w:r w:rsidRPr="00FD0AA8">
        <w:rPr>
          <w:rFonts w:ascii="Calibri" w:hAnsi="Calibri" w:cs="Calibri"/>
        </w:rPr>
        <w:t xml:space="preserve">Tablica 14. Właściwości warstwy AC </w:t>
      </w:r>
    </w:p>
    <w:tbl>
      <w:tblPr>
        <w:tblW w:w="0" w:type="auto"/>
        <w:tblInd w:w="81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tblPr>
      <w:tblGrid>
        <w:gridCol w:w="2088"/>
        <w:gridCol w:w="1667"/>
        <w:gridCol w:w="1878"/>
        <w:gridCol w:w="1878"/>
      </w:tblGrid>
      <w:tr w:rsidR="00376DA1" w:rsidRPr="00A0310B" w:rsidTr="00556540">
        <w:tc>
          <w:tcPr>
            <w:tcW w:w="2088" w:type="dxa"/>
          </w:tcPr>
          <w:p w:rsidR="00376DA1" w:rsidRPr="00A0310B" w:rsidRDefault="00376DA1" w:rsidP="00556540">
            <w:pPr>
              <w:jc w:val="center"/>
              <w:rPr>
                <w:rFonts w:ascii="Calibri" w:hAnsi="Calibri" w:cs="Calibri"/>
                <w:sz w:val="18"/>
                <w:szCs w:val="18"/>
              </w:rPr>
            </w:pPr>
          </w:p>
          <w:p w:rsidR="00376DA1" w:rsidRPr="00A0310B" w:rsidRDefault="00376DA1" w:rsidP="00556540">
            <w:pPr>
              <w:jc w:val="center"/>
              <w:rPr>
                <w:rFonts w:ascii="Calibri" w:hAnsi="Calibri" w:cs="Calibri"/>
                <w:sz w:val="18"/>
                <w:szCs w:val="18"/>
              </w:rPr>
            </w:pPr>
            <w:r w:rsidRPr="00A0310B">
              <w:rPr>
                <w:rFonts w:ascii="Calibri" w:hAnsi="Calibri" w:cs="Calibri"/>
                <w:sz w:val="18"/>
                <w:szCs w:val="18"/>
              </w:rPr>
              <w:t>Typ i wymiar mieszanki</w:t>
            </w:r>
          </w:p>
        </w:tc>
        <w:tc>
          <w:tcPr>
            <w:tcW w:w="1667" w:type="dxa"/>
          </w:tcPr>
          <w:p w:rsidR="00376DA1" w:rsidRPr="00A0310B" w:rsidRDefault="00376DA1" w:rsidP="00556540">
            <w:pPr>
              <w:jc w:val="center"/>
              <w:rPr>
                <w:rFonts w:ascii="Calibri" w:hAnsi="Calibri" w:cs="Calibri"/>
                <w:sz w:val="18"/>
                <w:szCs w:val="18"/>
              </w:rPr>
            </w:pPr>
            <w:r w:rsidRPr="00A0310B">
              <w:rPr>
                <w:rFonts w:ascii="Calibri" w:hAnsi="Calibri" w:cs="Calibri"/>
                <w:sz w:val="18"/>
                <w:szCs w:val="18"/>
              </w:rPr>
              <w:t>Projektowana grubość warstwy technologicznej [cm]</w:t>
            </w:r>
          </w:p>
        </w:tc>
        <w:tc>
          <w:tcPr>
            <w:tcW w:w="1878" w:type="dxa"/>
          </w:tcPr>
          <w:p w:rsidR="00376DA1" w:rsidRPr="00A0310B" w:rsidRDefault="00376DA1" w:rsidP="00556540">
            <w:pPr>
              <w:spacing w:before="120"/>
              <w:jc w:val="center"/>
              <w:rPr>
                <w:rFonts w:ascii="Calibri" w:hAnsi="Calibri" w:cs="Calibri"/>
                <w:sz w:val="18"/>
                <w:szCs w:val="18"/>
              </w:rPr>
            </w:pPr>
            <w:r w:rsidRPr="00A0310B">
              <w:rPr>
                <w:rFonts w:ascii="Calibri" w:hAnsi="Calibri" w:cs="Calibri"/>
                <w:sz w:val="18"/>
                <w:szCs w:val="18"/>
              </w:rPr>
              <w:t xml:space="preserve">Wskaźnik zagęszczenia </w:t>
            </w:r>
          </w:p>
          <w:p w:rsidR="00376DA1" w:rsidRPr="00A0310B" w:rsidRDefault="00376DA1" w:rsidP="00556540">
            <w:pPr>
              <w:jc w:val="center"/>
              <w:rPr>
                <w:rFonts w:ascii="Calibri" w:hAnsi="Calibri" w:cs="Calibri"/>
                <w:sz w:val="18"/>
                <w:szCs w:val="18"/>
              </w:rPr>
            </w:pPr>
            <w:r w:rsidRPr="00A0310B">
              <w:rPr>
                <w:rFonts w:ascii="Calibri" w:hAnsi="Calibri" w:cs="Calibri"/>
                <w:sz w:val="18"/>
                <w:szCs w:val="18"/>
              </w:rPr>
              <w:t>[%]</w:t>
            </w:r>
          </w:p>
        </w:tc>
        <w:tc>
          <w:tcPr>
            <w:tcW w:w="1878" w:type="dxa"/>
          </w:tcPr>
          <w:p w:rsidR="00376DA1" w:rsidRPr="00A0310B" w:rsidRDefault="00376DA1" w:rsidP="00556540">
            <w:pPr>
              <w:jc w:val="center"/>
              <w:rPr>
                <w:rFonts w:ascii="Calibri" w:hAnsi="Calibri" w:cs="Calibri"/>
                <w:sz w:val="18"/>
                <w:szCs w:val="18"/>
              </w:rPr>
            </w:pPr>
            <w:r w:rsidRPr="00A0310B">
              <w:rPr>
                <w:rFonts w:ascii="Calibri" w:hAnsi="Calibri" w:cs="Calibri"/>
                <w:sz w:val="18"/>
                <w:szCs w:val="18"/>
              </w:rPr>
              <w:t>Zawartość wolnych przestrzeni w warstwie</w:t>
            </w:r>
          </w:p>
          <w:p w:rsidR="00376DA1" w:rsidRPr="00A0310B" w:rsidRDefault="00376DA1" w:rsidP="00556540">
            <w:pPr>
              <w:jc w:val="center"/>
              <w:rPr>
                <w:rFonts w:ascii="Calibri" w:hAnsi="Calibri" w:cs="Calibri"/>
                <w:sz w:val="18"/>
                <w:szCs w:val="18"/>
              </w:rPr>
            </w:pPr>
            <w:r w:rsidRPr="00A0310B">
              <w:rPr>
                <w:rFonts w:ascii="Calibri" w:hAnsi="Calibri" w:cs="Calibri"/>
                <w:sz w:val="18"/>
                <w:szCs w:val="18"/>
              </w:rPr>
              <w:t>[%(v/v)]</w:t>
            </w:r>
          </w:p>
        </w:tc>
      </w:tr>
      <w:tr w:rsidR="00376DA1" w:rsidRPr="00A0310B" w:rsidTr="00556540">
        <w:tc>
          <w:tcPr>
            <w:tcW w:w="2088" w:type="dxa"/>
          </w:tcPr>
          <w:p w:rsidR="00376DA1" w:rsidRPr="00A0310B" w:rsidRDefault="00376DA1" w:rsidP="00556540">
            <w:pPr>
              <w:spacing w:before="60" w:after="60"/>
              <w:jc w:val="left"/>
              <w:rPr>
                <w:rFonts w:ascii="Calibri" w:hAnsi="Calibri" w:cs="Calibri"/>
                <w:sz w:val="18"/>
                <w:szCs w:val="18"/>
                <w:vertAlign w:val="superscript"/>
              </w:rPr>
            </w:pPr>
            <w:r w:rsidRPr="00A0310B">
              <w:rPr>
                <w:rFonts w:ascii="Calibri" w:hAnsi="Calibri" w:cs="Calibri"/>
                <w:sz w:val="18"/>
                <w:szCs w:val="18"/>
              </w:rPr>
              <w:t xml:space="preserve">AC16P,  KR1÷KR2 </w:t>
            </w:r>
          </w:p>
        </w:tc>
        <w:tc>
          <w:tcPr>
            <w:tcW w:w="1667" w:type="dxa"/>
          </w:tcPr>
          <w:p w:rsidR="00376DA1" w:rsidRPr="00A0310B" w:rsidRDefault="00376DA1" w:rsidP="00556540">
            <w:pPr>
              <w:spacing w:before="60" w:after="60"/>
              <w:jc w:val="center"/>
              <w:rPr>
                <w:rFonts w:ascii="Calibri" w:hAnsi="Calibri" w:cs="Calibri"/>
                <w:sz w:val="18"/>
                <w:szCs w:val="18"/>
              </w:rPr>
            </w:pPr>
            <w:r w:rsidRPr="00A0310B">
              <w:rPr>
                <w:rFonts w:ascii="Calibri" w:hAnsi="Calibri" w:cs="Calibri"/>
                <w:sz w:val="18"/>
                <w:szCs w:val="18"/>
              </w:rPr>
              <w:t>5,0 ÷ 14,0</w:t>
            </w:r>
          </w:p>
        </w:tc>
        <w:tc>
          <w:tcPr>
            <w:tcW w:w="1878" w:type="dxa"/>
          </w:tcPr>
          <w:p w:rsidR="00376DA1" w:rsidRPr="00A0310B" w:rsidRDefault="00376DA1" w:rsidP="00556540">
            <w:pPr>
              <w:spacing w:before="60" w:after="60"/>
              <w:jc w:val="center"/>
              <w:rPr>
                <w:rFonts w:ascii="Calibri" w:hAnsi="Calibri" w:cs="Calibri"/>
                <w:sz w:val="18"/>
                <w:szCs w:val="18"/>
              </w:rPr>
            </w:pPr>
            <w:r w:rsidRPr="00A0310B">
              <w:rPr>
                <w:rFonts w:ascii="Calibri" w:hAnsi="Calibri" w:cs="Calibri"/>
                <w:sz w:val="18"/>
                <w:szCs w:val="18"/>
              </w:rPr>
              <w:t>≥ 98</w:t>
            </w:r>
          </w:p>
        </w:tc>
        <w:tc>
          <w:tcPr>
            <w:tcW w:w="1878" w:type="dxa"/>
          </w:tcPr>
          <w:p w:rsidR="00376DA1" w:rsidRPr="00A0310B" w:rsidRDefault="00376DA1" w:rsidP="00556540">
            <w:pPr>
              <w:spacing w:before="60" w:after="60"/>
              <w:jc w:val="center"/>
              <w:rPr>
                <w:rFonts w:ascii="Calibri" w:hAnsi="Calibri" w:cs="Calibri"/>
                <w:sz w:val="18"/>
                <w:szCs w:val="18"/>
              </w:rPr>
            </w:pPr>
            <w:r w:rsidRPr="00A0310B">
              <w:rPr>
                <w:rFonts w:ascii="Calibri" w:hAnsi="Calibri" w:cs="Calibri"/>
                <w:sz w:val="18"/>
                <w:szCs w:val="18"/>
              </w:rPr>
              <w:t>4,5 ÷ 9,0</w:t>
            </w:r>
          </w:p>
        </w:tc>
      </w:tr>
      <w:tr w:rsidR="00376DA1" w:rsidRPr="00A0310B" w:rsidTr="00556540">
        <w:tc>
          <w:tcPr>
            <w:tcW w:w="2088" w:type="dxa"/>
          </w:tcPr>
          <w:p w:rsidR="00376DA1" w:rsidRPr="00A0310B" w:rsidRDefault="00376DA1" w:rsidP="00556540">
            <w:pPr>
              <w:spacing w:before="60" w:after="60"/>
              <w:rPr>
                <w:rFonts w:ascii="Calibri" w:hAnsi="Calibri" w:cs="Calibri"/>
                <w:sz w:val="18"/>
                <w:szCs w:val="18"/>
                <w:vertAlign w:val="superscript"/>
              </w:rPr>
            </w:pPr>
            <w:r w:rsidRPr="00A0310B">
              <w:rPr>
                <w:rFonts w:ascii="Calibri" w:hAnsi="Calibri" w:cs="Calibri"/>
                <w:sz w:val="18"/>
                <w:szCs w:val="18"/>
              </w:rPr>
              <w:t xml:space="preserve">AC22P,  KR1÷KR2 </w:t>
            </w:r>
          </w:p>
        </w:tc>
        <w:tc>
          <w:tcPr>
            <w:tcW w:w="1667" w:type="dxa"/>
          </w:tcPr>
          <w:p w:rsidR="00376DA1" w:rsidRPr="00A0310B" w:rsidRDefault="00376DA1" w:rsidP="00556540">
            <w:pPr>
              <w:spacing w:before="60" w:after="60"/>
              <w:jc w:val="center"/>
              <w:rPr>
                <w:rFonts w:ascii="Calibri" w:hAnsi="Calibri" w:cs="Calibri"/>
                <w:sz w:val="18"/>
                <w:szCs w:val="18"/>
              </w:rPr>
            </w:pPr>
            <w:r w:rsidRPr="00A0310B">
              <w:rPr>
                <w:rFonts w:ascii="Calibri" w:hAnsi="Calibri" w:cs="Calibri"/>
                <w:sz w:val="18"/>
                <w:szCs w:val="18"/>
              </w:rPr>
              <w:t>7,0 ÷ 14,0</w:t>
            </w:r>
          </w:p>
        </w:tc>
        <w:tc>
          <w:tcPr>
            <w:tcW w:w="1878" w:type="dxa"/>
          </w:tcPr>
          <w:p w:rsidR="00376DA1" w:rsidRPr="00A0310B" w:rsidRDefault="00376DA1" w:rsidP="00556540">
            <w:pPr>
              <w:spacing w:before="60" w:after="60"/>
              <w:jc w:val="center"/>
              <w:rPr>
                <w:rFonts w:ascii="Calibri" w:hAnsi="Calibri" w:cs="Calibri"/>
                <w:sz w:val="18"/>
                <w:szCs w:val="18"/>
              </w:rPr>
            </w:pPr>
            <w:r w:rsidRPr="00A0310B">
              <w:rPr>
                <w:rFonts w:ascii="Calibri" w:hAnsi="Calibri" w:cs="Calibri"/>
                <w:sz w:val="18"/>
                <w:szCs w:val="18"/>
              </w:rPr>
              <w:t>≥ 98</w:t>
            </w:r>
          </w:p>
        </w:tc>
        <w:tc>
          <w:tcPr>
            <w:tcW w:w="1878" w:type="dxa"/>
          </w:tcPr>
          <w:p w:rsidR="00376DA1" w:rsidRPr="00A0310B" w:rsidRDefault="00376DA1" w:rsidP="00556540">
            <w:pPr>
              <w:spacing w:before="60" w:after="60"/>
              <w:jc w:val="center"/>
              <w:rPr>
                <w:rFonts w:ascii="Calibri" w:hAnsi="Calibri" w:cs="Calibri"/>
                <w:sz w:val="18"/>
                <w:szCs w:val="18"/>
              </w:rPr>
            </w:pPr>
            <w:r w:rsidRPr="00A0310B">
              <w:rPr>
                <w:rFonts w:ascii="Calibri" w:hAnsi="Calibri" w:cs="Calibri"/>
                <w:sz w:val="18"/>
                <w:szCs w:val="18"/>
              </w:rPr>
              <w:t>4,5 ÷ 9,0</w:t>
            </w:r>
          </w:p>
        </w:tc>
      </w:tr>
      <w:tr w:rsidR="00376DA1" w:rsidRPr="00A0310B" w:rsidTr="00556540">
        <w:tc>
          <w:tcPr>
            <w:tcW w:w="2088" w:type="dxa"/>
          </w:tcPr>
          <w:p w:rsidR="00376DA1" w:rsidRPr="00A0310B" w:rsidRDefault="00376DA1" w:rsidP="00556540">
            <w:pPr>
              <w:spacing w:before="60" w:after="60"/>
              <w:rPr>
                <w:rFonts w:ascii="Calibri" w:hAnsi="Calibri" w:cs="Calibri"/>
                <w:sz w:val="18"/>
                <w:szCs w:val="18"/>
                <w:vertAlign w:val="superscript"/>
              </w:rPr>
            </w:pPr>
            <w:r w:rsidRPr="00A0310B">
              <w:rPr>
                <w:rFonts w:ascii="Calibri" w:hAnsi="Calibri" w:cs="Calibri"/>
                <w:sz w:val="18"/>
                <w:szCs w:val="18"/>
              </w:rPr>
              <w:t xml:space="preserve">AC16P,  KR3÷KR6 </w:t>
            </w:r>
          </w:p>
        </w:tc>
        <w:tc>
          <w:tcPr>
            <w:tcW w:w="1667" w:type="dxa"/>
          </w:tcPr>
          <w:p w:rsidR="00376DA1" w:rsidRPr="00A0310B" w:rsidRDefault="00376DA1" w:rsidP="00556540">
            <w:pPr>
              <w:spacing w:before="60" w:after="60"/>
              <w:jc w:val="center"/>
              <w:rPr>
                <w:rFonts w:ascii="Calibri" w:hAnsi="Calibri" w:cs="Calibri"/>
                <w:sz w:val="18"/>
                <w:szCs w:val="18"/>
              </w:rPr>
            </w:pPr>
            <w:r w:rsidRPr="00A0310B">
              <w:rPr>
                <w:rFonts w:ascii="Calibri" w:hAnsi="Calibri" w:cs="Calibri"/>
                <w:sz w:val="18"/>
                <w:szCs w:val="18"/>
              </w:rPr>
              <w:t>5,0 ÷ 14,0</w:t>
            </w:r>
          </w:p>
        </w:tc>
        <w:tc>
          <w:tcPr>
            <w:tcW w:w="1878" w:type="dxa"/>
          </w:tcPr>
          <w:p w:rsidR="00376DA1" w:rsidRPr="00A0310B" w:rsidRDefault="00376DA1" w:rsidP="00556540">
            <w:pPr>
              <w:spacing w:before="60" w:after="60"/>
              <w:jc w:val="center"/>
              <w:rPr>
                <w:rFonts w:ascii="Calibri" w:hAnsi="Calibri" w:cs="Calibri"/>
                <w:sz w:val="18"/>
                <w:szCs w:val="18"/>
              </w:rPr>
            </w:pPr>
            <w:r w:rsidRPr="00A0310B">
              <w:rPr>
                <w:rFonts w:ascii="Calibri" w:hAnsi="Calibri" w:cs="Calibri"/>
                <w:sz w:val="18"/>
                <w:szCs w:val="18"/>
              </w:rPr>
              <w:t>≥ 98</w:t>
            </w:r>
          </w:p>
        </w:tc>
        <w:tc>
          <w:tcPr>
            <w:tcW w:w="1878" w:type="dxa"/>
          </w:tcPr>
          <w:p w:rsidR="00376DA1" w:rsidRPr="00A0310B" w:rsidRDefault="00376DA1" w:rsidP="00556540">
            <w:pPr>
              <w:spacing w:before="60" w:after="60"/>
              <w:jc w:val="center"/>
              <w:rPr>
                <w:rFonts w:ascii="Calibri" w:hAnsi="Calibri" w:cs="Calibri"/>
                <w:sz w:val="18"/>
                <w:szCs w:val="18"/>
              </w:rPr>
            </w:pPr>
            <w:r w:rsidRPr="00A0310B">
              <w:rPr>
                <w:rFonts w:ascii="Calibri" w:hAnsi="Calibri" w:cs="Calibri"/>
                <w:sz w:val="18"/>
                <w:szCs w:val="18"/>
              </w:rPr>
              <w:t>4,5 ÷ 8,0</w:t>
            </w:r>
          </w:p>
        </w:tc>
      </w:tr>
      <w:tr w:rsidR="00376DA1" w:rsidRPr="00A0310B" w:rsidTr="00556540">
        <w:tc>
          <w:tcPr>
            <w:tcW w:w="2088" w:type="dxa"/>
            <w:tcBorders>
              <w:bottom w:val="single" w:sz="4" w:space="0" w:color="auto"/>
            </w:tcBorders>
          </w:tcPr>
          <w:p w:rsidR="00376DA1" w:rsidRPr="00A0310B" w:rsidRDefault="00376DA1" w:rsidP="00556540">
            <w:pPr>
              <w:spacing w:before="60" w:after="60"/>
              <w:rPr>
                <w:rFonts w:ascii="Calibri" w:hAnsi="Calibri" w:cs="Calibri"/>
                <w:sz w:val="18"/>
                <w:szCs w:val="18"/>
                <w:vertAlign w:val="superscript"/>
              </w:rPr>
            </w:pPr>
            <w:r w:rsidRPr="00A0310B">
              <w:rPr>
                <w:rFonts w:ascii="Calibri" w:hAnsi="Calibri" w:cs="Calibri"/>
                <w:sz w:val="18"/>
                <w:szCs w:val="18"/>
              </w:rPr>
              <w:t xml:space="preserve">AC22P,  KR3÷KR6 </w:t>
            </w:r>
          </w:p>
        </w:tc>
        <w:tc>
          <w:tcPr>
            <w:tcW w:w="1667" w:type="dxa"/>
            <w:tcBorders>
              <w:bottom w:val="single" w:sz="4" w:space="0" w:color="auto"/>
            </w:tcBorders>
          </w:tcPr>
          <w:p w:rsidR="00376DA1" w:rsidRPr="00A0310B" w:rsidRDefault="00376DA1" w:rsidP="00556540">
            <w:pPr>
              <w:spacing w:before="60" w:after="60"/>
              <w:jc w:val="center"/>
              <w:rPr>
                <w:rFonts w:ascii="Calibri" w:hAnsi="Calibri" w:cs="Calibri"/>
                <w:sz w:val="18"/>
                <w:szCs w:val="18"/>
              </w:rPr>
            </w:pPr>
            <w:r w:rsidRPr="00A0310B">
              <w:rPr>
                <w:rFonts w:ascii="Calibri" w:hAnsi="Calibri" w:cs="Calibri"/>
                <w:sz w:val="18"/>
                <w:szCs w:val="18"/>
              </w:rPr>
              <w:t>7,0 ÷ 14,0</w:t>
            </w:r>
          </w:p>
        </w:tc>
        <w:tc>
          <w:tcPr>
            <w:tcW w:w="1878" w:type="dxa"/>
            <w:tcBorders>
              <w:bottom w:val="single" w:sz="4" w:space="0" w:color="auto"/>
            </w:tcBorders>
          </w:tcPr>
          <w:p w:rsidR="00376DA1" w:rsidRPr="00A0310B" w:rsidRDefault="00376DA1" w:rsidP="00556540">
            <w:pPr>
              <w:spacing w:before="60" w:after="60"/>
              <w:jc w:val="center"/>
              <w:rPr>
                <w:rFonts w:ascii="Calibri" w:hAnsi="Calibri" w:cs="Calibri"/>
                <w:sz w:val="18"/>
                <w:szCs w:val="18"/>
              </w:rPr>
            </w:pPr>
            <w:r w:rsidRPr="00A0310B">
              <w:rPr>
                <w:rFonts w:ascii="Calibri" w:hAnsi="Calibri" w:cs="Calibri"/>
                <w:sz w:val="18"/>
                <w:szCs w:val="18"/>
              </w:rPr>
              <w:t>≥ 98</w:t>
            </w:r>
          </w:p>
        </w:tc>
        <w:tc>
          <w:tcPr>
            <w:tcW w:w="1878" w:type="dxa"/>
            <w:tcBorders>
              <w:bottom w:val="single" w:sz="4" w:space="0" w:color="auto"/>
            </w:tcBorders>
          </w:tcPr>
          <w:p w:rsidR="00376DA1" w:rsidRPr="00A0310B" w:rsidRDefault="00376DA1" w:rsidP="00556540">
            <w:pPr>
              <w:spacing w:before="60" w:after="60"/>
              <w:jc w:val="center"/>
              <w:rPr>
                <w:rFonts w:ascii="Calibri" w:hAnsi="Calibri" w:cs="Calibri"/>
                <w:sz w:val="18"/>
                <w:szCs w:val="18"/>
              </w:rPr>
            </w:pPr>
            <w:r w:rsidRPr="00A0310B">
              <w:rPr>
                <w:rFonts w:ascii="Calibri" w:hAnsi="Calibri" w:cs="Calibri"/>
                <w:sz w:val="18"/>
                <w:szCs w:val="18"/>
              </w:rPr>
              <w:t>4,5 ÷8,0</w:t>
            </w:r>
          </w:p>
        </w:tc>
      </w:tr>
      <w:tr w:rsidR="00376DA1" w:rsidRPr="00A0310B" w:rsidTr="00556540">
        <w:tc>
          <w:tcPr>
            <w:tcW w:w="2088" w:type="dxa"/>
            <w:tcBorders>
              <w:top w:val="single" w:sz="4" w:space="0" w:color="auto"/>
            </w:tcBorders>
          </w:tcPr>
          <w:p w:rsidR="00376DA1" w:rsidRPr="00A0310B" w:rsidRDefault="00376DA1" w:rsidP="00556540">
            <w:pPr>
              <w:spacing w:before="60" w:after="60"/>
              <w:rPr>
                <w:rFonts w:ascii="Calibri" w:hAnsi="Calibri" w:cs="Calibri"/>
                <w:sz w:val="18"/>
                <w:szCs w:val="18"/>
                <w:vertAlign w:val="superscript"/>
              </w:rPr>
            </w:pPr>
            <w:r w:rsidRPr="00A0310B">
              <w:rPr>
                <w:rFonts w:ascii="Calibri" w:hAnsi="Calibri" w:cs="Calibri"/>
                <w:sz w:val="18"/>
                <w:szCs w:val="18"/>
              </w:rPr>
              <w:t xml:space="preserve">AC32P,  KR3÷KR6 </w:t>
            </w:r>
          </w:p>
        </w:tc>
        <w:tc>
          <w:tcPr>
            <w:tcW w:w="1667" w:type="dxa"/>
            <w:tcBorders>
              <w:top w:val="single" w:sz="4" w:space="0" w:color="auto"/>
            </w:tcBorders>
          </w:tcPr>
          <w:p w:rsidR="00376DA1" w:rsidRPr="00A0310B" w:rsidRDefault="00376DA1" w:rsidP="00556540">
            <w:pPr>
              <w:spacing w:before="60" w:after="60"/>
              <w:jc w:val="center"/>
              <w:rPr>
                <w:rFonts w:ascii="Calibri" w:hAnsi="Calibri" w:cs="Calibri"/>
                <w:sz w:val="18"/>
                <w:szCs w:val="18"/>
              </w:rPr>
            </w:pPr>
            <w:r w:rsidRPr="00A0310B">
              <w:rPr>
                <w:rFonts w:ascii="Calibri" w:hAnsi="Calibri" w:cs="Calibri"/>
                <w:sz w:val="18"/>
                <w:szCs w:val="18"/>
              </w:rPr>
              <w:t>9,0 ÷ 14,0</w:t>
            </w:r>
          </w:p>
        </w:tc>
        <w:tc>
          <w:tcPr>
            <w:tcW w:w="1878" w:type="dxa"/>
            <w:tcBorders>
              <w:top w:val="single" w:sz="4" w:space="0" w:color="auto"/>
            </w:tcBorders>
          </w:tcPr>
          <w:p w:rsidR="00376DA1" w:rsidRPr="00A0310B" w:rsidRDefault="00376DA1" w:rsidP="00556540">
            <w:pPr>
              <w:spacing w:before="60" w:after="60"/>
              <w:jc w:val="center"/>
              <w:rPr>
                <w:rFonts w:ascii="Calibri" w:hAnsi="Calibri" w:cs="Calibri"/>
                <w:sz w:val="18"/>
                <w:szCs w:val="18"/>
              </w:rPr>
            </w:pPr>
            <w:r w:rsidRPr="00A0310B">
              <w:rPr>
                <w:rFonts w:ascii="Calibri" w:hAnsi="Calibri" w:cs="Calibri"/>
                <w:sz w:val="18"/>
                <w:szCs w:val="18"/>
              </w:rPr>
              <w:t>≥ 98</w:t>
            </w:r>
          </w:p>
        </w:tc>
        <w:tc>
          <w:tcPr>
            <w:tcW w:w="1878" w:type="dxa"/>
            <w:tcBorders>
              <w:top w:val="single" w:sz="4" w:space="0" w:color="auto"/>
            </w:tcBorders>
          </w:tcPr>
          <w:p w:rsidR="00376DA1" w:rsidRPr="00A0310B" w:rsidRDefault="00376DA1" w:rsidP="00556540">
            <w:pPr>
              <w:spacing w:before="60" w:after="60"/>
              <w:jc w:val="center"/>
              <w:rPr>
                <w:rFonts w:ascii="Calibri" w:hAnsi="Calibri" w:cs="Calibri"/>
                <w:sz w:val="18"/>
                <w:szCs w:val="18"/>
              </w:rPr>
            </w:pPr>
            <w:r w:rsidRPr="00A0310B">
              <w:rPr>
                <w:rFonts w:ascii="Calibri" w:hAnsi="Calibri" w:cs="Calibri"/>
                <w:sz w:val="18"/>
                <w:szCs w:val="18"/>
              </w:rPr>
              <w:t>4,5 ÷ 8,0</w:t>
            </w:r>
          </w:p>
        </w:tc>
      </w:tr>
    </w:tbl>
    <w:p w:rsidR="00376DA1" w:rsidRPr="00FD0AA8" w:rsidRDefault="00376DA1" w:rsidP="00376DA1">
      <w:pPr>
        <w:rPr>
          <w:rFonts w:ascii="Calibri" w:hAnsi="Calibri" w:cs="Calibri"/>
        </w:rPr>
      </w:pPr>
    </w:p>
    <w:p w:rsidR="00376DA1" w:rsidRPr="00FD0AA8" w:rsidRDefault="00376DA1" w:rsidP="00376DA1">
      <w:pPr>
        <w:rPr>
          <w:rFonts w:ascii="Calibri" w:hAnsi="Calibri" w:cs="Calibri"/>
        </w:rPr>
      </w:pPr>
      <w:r w:rsidRPr="00FD0AA8">
        <w:rPr>
          <w:rFonts w:ascii="Calibri" w:hAnsi="Calibri" w:cs="Calibri"/>
        </w:rPr>
        <w:tab/>
        <w:t>Mieszanka mineralno-asfaltowa powinna być wbudowywana rozkładarką wyposażoną w układ automatycznego sterowania grubości warstwy i utrzymywania niwelety zgodnie z dokumentacją projektową. W miejscach niedostępnych dla sprzętu dopuszcza się wbudowywanie ręczne.</w:t>
      </w:r>
    </w:p>
    <w:p w:rsidR="00376DA1" w:rsidRPr="00FD0AA8" w:rsidRDefault="00376DA1" w:rsidP="00376DA1">
      <w:pPr>
        <w:rPr>
          <w:rFonts w:ascii="Calibri" w:hAnsi="Calibri" w:cs="Calibri"/>
        </w:rPr>
      </w:pPr>
      <w:r w:rsidRPr="00FD0AA8">
        <w:rPr>
          <w:rFonts w:ascii="Calibri" w:hAnsi="Calibri" w:cs="Calibri"/>
        </w:rPr>
        <w:tab/>
        <w:t xml:space="preserve">Grubość wykonywanej warstwy powinna być sprawdzana co </w:t>
      </w:r>
      <w:smartTag w:uri="urn:schemas-microsoft-com:office:smarttags" w:element="metricconverter">
        <w:smartTagPr>
          <w:attr w:name="ProductID" w:val="25 m"/>
        </w:smartTagPr>
        <w:r w:rsidRPr="00FD0AA8">
          <w:rPr>
            <w:rFonts w:ascii="Calibri" w:hAnsi="Calibri" w:cs="Calibri"/>
          </w:rPr>
          <w:t>25 m</w:t>
        </w:r>
      </w:smartTag>
      <w:r w:rsidRPr="00FD0AA8">
        <w:rPr>
          <w:rFonts w:ascii="Calibri" w:hAnsi="Calibri" w:cs="Calibri"/>
        </w:rPr>
        <w:t>, w co najmniej trzech miejscach (w osi i przy brzegach warstwy).</w:t>
      </w:r>
    </w:p>
    <w:p w:rsidR="00376DA1" w:rsidRDefault="00376DA1" w:rsidP="00376DA1">
      <w:pPr>
        <w:rPr>
          <w:rFonts w:ascii="Calibri" w:hAnsi="Calibri" w:cs="Calibri"/>
        </w:rPr>
      </w:pPr>
      <w:r w:rsidRPr="00FD0AA8">
        <w:rPr>
          <w:rFonts w:ascii="Calibri" w:hAnsi="Calibri" w:cs="Calibri"/>
        </w:rPr>
        <w:tab/>
        <w:t xml:space="preserve">Warstwy wałowane powinny być równomiernie zagęszczone ciężkimi walcami drogowymi. Do warstw z betonu asfaltowego należy stosować walce drogowe stalowe gładkie z możliwością wibracji, oscylacji lub walce ogumione. </w:t>
      </w:r>
    </w:p>
    <w:p w:rsidR="00376DA1" w:rsidRDefault="00376DA1" w:rsidP="00376DA1">
      <w:pPr>
        <w:rPr>
          <w:rFonts w:ascii="Calibri" w:hAnsi="Calibri" w:cs="Calibri"/>
        </w:rPr>
      </w:pPr>
    </w:p>
    <w:p w:rsidR="00D553DB" w:rsidRPr="00475EE5" w:rsidRDefault="00D553DB" w:rsidP="00376DA1">
      <w:pPr>
        <w:rPr>
          <w:rFonts w:ascii="Calibri" w:hAnsi="Calibri" w:cs="Calibri"/>
        </w:rPr>
      </w:pPr>
    </w:p>
    <w:p w:rsidR="00376DA1" w:rsidRPr="00475EE5" w:rsidRDefault="00376DA1" w:rsidP="00376DA1">
      <w:pPr>
        <w:rPr>
          <w:rFonts w:ascii="Calibri" w:hAnsi="Calibri" w:cs="Calibri"/>
          <w:b/>
        </w:rPr>
      </w:pPr>
      <w:bookmarkStart w:id="1449" w:name="_Toc217274568"/>
      <w:bookmarkStart w:id="1450" w:name="_Toc238276193"/>
      <w:r w:rsidRPr="00475EE5">
        <w:rPr>
          <w:rFonts w:ascii="Calibri" w:hAnsi="Calibri" w:cs="Calibri"/>
          <w:b/>
        </w:rPr>
        <w:lastRenderedPageBreak/>
        <w:t xml:space="preserve">6. </w:t>
      </w:r>
      <w:bookmarkEnd w:id="1449"/>
      <w:bookmarkEnd w:id="1450"/>
      <w:r w:rsidRPr="00475EE5">
        <w:rPr>
          <w:rFonts w:ascii="Calibri" w:hAnsi="Calibri" w:cs="Calibri"/>
          <w:b/>
        </w:rPr>
        <w:t>KONTROLA JAKOŚCI ROBÓT</w:t>
      </w:r>
    </w:p>
    <w:p w:rsidR="00376DA1" w:rsidRPr="00475EE5" w:rsidRDefault="00376DA1" w:rsidP="00376DA1">
      <w:pPr>
        <w:rPr>
          <w:rFonts w:ascii="Calibri" w:hAnsi="Calibri" w:cs="Calibri"/>
        </w:rPr>
      </w:pPr>
      <w:r w:rsidRPr="00475EE5">
        <w:rPr>
          <w:rFonts w:ascii="Calibri" w:hAnsi="Calibri" w:cs="Calibri"/>
          <w:b/>
        </w:rPr>
        <w:t>6.1.</w:t>
      </w:r>
      <w:r w:rsidRPr="00475EE5">
        <w:rPr>
          <w:rFonts w:ascii="Calibri" w:hAnsi="Calibri" w:cs="Calibri"/>
        </w:rPr>
        <w:t xml:space="preserve"> Ogólne zasady kontroli jakości robót</w:t>
      </w:r>
    </w:p>
    <w:p w:rsidR="00376DA1" w:rsidRPr="00475EE5" w:rsidRDefault="00376DA1" w:rsidP="00376DA1">
      <w:pPr>
        <w:rPr>
          <w:rFonts w:ascii="Calibri" w:hAnsi="Calibri" w:cs="Calibri"/>
        </w:rPr>
      </w:pPr>
      <w:r w:rsidRPr="00475EE5">
        <w:rPr>
          <w:rFonts w:ascii="Calibri" w:hAnsi="Calibri" w:cs="Calibri"/>
        </w:rPr>
        <w:tab/>
        <w:t>Ogólne zasady k</w:t>
      </w:r>
      <w:r>
        <w:rPr>
          <w:rFonts w:ascii="Calibri" w:hAnsi="Calibri" w:cs="Calibri"/>
        </w:rPr>
        <w:t xml:space="preserve">ontroli jakości robót podano w </w:t>
      </w:r>
      <w:r w:rsidRPr="00475EE5">
        <w:rPr>
          <w:rFonts w:ascii="Calibri" w:hAnsi="Calibri" w:cs="Calibri"/>
        </w:rPr>
        <w:t>ST   D-M-00.00.00 „Wymagania ogólne” [1] pkt 6.</w:t>
      </w:r>
    </w:p>
    <w:p w:rsidR="00376DA1" w:rsidRPr="00475EE5" w:rsidRDefault="00376DA1" w:rsidP="00376DA1">
      <w:pPr>
        <w:rPr>
          <w:rFonts w:ascii="Calibri" w:hAnsi="Calibri" w:cs="Calibri"/>
        </w:rPr>
      </w:pPr>
      <w:r w:rsidRPr="00475EE5">
        <w:rPr>
          <w:rFonts w:ascii="Calibri" w:hAnsi="Calibri" w:cs="Calibri"/>
          <w:b/>
        </w:rPr>
        <w:t>6.2.</w:t>
      </w:r>
      <w:r w:rsidRPr="00475EE5">
        <w:rPr>
          <w:rFonts w:ascii="Calibri" w:hAnsi="Calibri" w:cs="Calibri"/>
        </w:rPr>
        <w:t xml:space="preserve"> Badania przed przystąpieniem do robót</w:t>
      </w:r>
    </w:p>
    <w:p w:rsidR="00376DA1" w:rsidRPr="00475EE5" w:rsidRDefault="00376DA1" w:rsidP="00376DA1">
      <w:pPr>
        <w:rPr>
          <w:rFonts w:ascii="Calibri" w:hAnsi="Calibri" w:cs="Calibri"/>
        </w:rPr>
      </w:pPr>
      <w:r w:rsidRPr="00475EE5">
        <w:rPr>
          <w:rFonts w:ascii="Calibri" w:hAnsi="Calibri" w:cs="Calibri"/>
        </w:rPr>
        <w:tab/>
        <w:t>Przed przystąpieniem do robót Wykonawca powinien:</w:t>
      </w:r>
    </w:p>
    <w:p w:rsidR="00376DA1" w:rsidRPr="00FD0AA8" w:rsidRDefault="00376DA1" w:rsidP="00376DA1">
      <w:pPr>
        <w:rPr>
          <w:rFonts w:ascii="Calibri" w:hAnsi="Calibri" w:cs="Calibri"/>
        </w:rPr>
      </w:pPr>
      <w:r>
        <w:rPr>
          <w:rFonts w:ascii="Calibri" w:hAnsi="Calibri" w:cs="Calibri"/>
        </w:rPr>
        <w:t>-</w:t>
      </w:r>
      <w:r w:rsidRPr="00475EE5">
        <w:rPr>
          <w:rFonts w:ascii="Calibri" w:hAnsi="Calibri" w:cs="Calibri"/>
        </w:rPr>
        <w:t>uzyskać wymagane dokumenty, dopuszczające wyroby budowlane do obrotu i powszechnego stosowania</w:t>
      </w:r>
      <w:r w:rsidRPr="00FD0AA8">
        <w:rPr>
          <w:rFonts w:ascii="Calibri" w:hAnsi="Calibri" w:cs="Calibri"/>
        </w:rPr>
        <w:t xml:space="preserve"> (np. stwierdzenie o oznakowaniu materiału znakiem CE lub znakiem budowlanym B, certyfikat zgodności, deklarację zgodności, aprobatę techniczną, ew. badania materiałów wykonane przez dostawców itp.),</w:t>
      </w:r>
    </w:p>
    <w:p w:rsidR="00376DA1" w:rsidRPr="00FD0AA8" w:rsidRDefault="00376DA1" w:rsidP="00376DA1">
      <w:pPr>
        <w:rPr>
          <w:rFonts w:ascii="Calibri" w:hAnsi="Calibri" w:cs="Calibri"/>
        </w:rPr>
      </w:pPr>
      <w:r>
        <w:rPr>
          <w:rFonts w:ascii="Calibri" w:hAnsi="Calibri" w:cs="Calibri"/>
        </w:rPr>
        <w:t>-</w:t>
      </w:r>
      <w:r w:rsidRPr="00FD0AA8">
        <w:rPr>
          <w:rFonts w:ascii="Calibri" w:hAnsi="Calibri" w:cs="Calibri"/>
        </w:rPr>
        <w:t>ew. wykonać własne badania właściwości materiałów przeznaczonych do wykonania robót, określone przez Inżyniera.</w:t>
      </w:r>
    </w:p>
    <w:p w:rsidR="00376DA1" w:rsidRPr="00FD0AA8" w:rsidRDefault="00376DA1" w:rsidP="00376DA1">
      <w:pPr>
        <w:rPr>
          <w:rFonts w:ascii="Calibri" w:hAnsi="Calibri" w:cs="Calibri"/>
        </w:rPr>
      </w:pPr>
      <w:r w:rsidRPr="00FD0AA8">
        <w:rPr>
          <w:rFonts w:ascii="Calibri" w:hAnsi="Calibri" w:cs="Calibri"/>
        </w:rPr>
        <w:tab/>
        <w:t>Wszystkie dokumenty oraz wyniki badań Wykonawca przedstawia Inżynierowi do akceptacji.</w:t>
      </w:r>
    </w:p>
    <w:p w:rsidR="00376DA1" w:rsidRPr="00FD0AA8" w:rsidRDefault="00376DA1" w:rsidP="00376DA1">
      <w:pPr>
        <w:rPr>
          <w:rFonts w:ascii="Calibri" w:hAnsi="Calibri" w:cs="Calibri"/>
        </w:rPr>
      </w:pPr>
      <w:r w:rsidRPr="00475EE5">
        <w:rPr>
          <w:rFonts w:ascii="Calibri" w:hAnsi="Calibri" w:cs="Calibri"/>
          <w:b/>
        </w:rPr>
        <w:t>6.3.</w:t>
      </w:r>
      <w:r w:rsidRPr="00FD0AA8">
        <w:rPr>
          <w:rFonts w:ascii="Calibri" w:hAnsi="Calibri" w:cs="Calibri"/>
        </w:rPr>
        <w:t xml:space="preserve"> Badania w czasie robót</w:t>
      </w:r>
    </w:p>
    <w:p w:rsidR="00376DA1" w:rsidRPr="00FD0AA8" w:rsidRDefault="00376DA1" w:rsidP="00376DA1">
      <w:pPr>
        <w:rPr>
          <w:rFonts w:ascii="Calibri" w:hAnsi="Calibri" w:cs="Calibri"/>
        </w:rPr>
      </w:pPr>
      <w:r w:rsidRPr="00475EE5">
        <w:rPr>
          <w:rFonts w:ascii="Calibri" w:hAnsi="Calibri" w:cs="Calibri"/>
          <w:b/>
        </w:rPr>
        <w:t>6.3.1.</w:t>
      </w:r>
      <w:r w:rsidRPr="00FD0AA8">
        <w:rPr>
          <w:rFonts w:ascii="Calibri" w:hAnsi="Calibri" w:cs="Calibri"/>
        </w:rPr>
        <w:t xml:space="preserve"> Uwagi ogólne</w:t>
      </w:r>
    </w:p>
    <w:p w:rsidR="00376DA1" w:rsidRPr="00FD0AA8" w:rsidRDefault="00376DA1" w:rsidP="00376DA1">
      <w:pPr>
        <w:rPr>
          <w:rFonts w:ascii="Calibri" w:hAnsi="Calibri" w:cs="Calibri"/>
        </w:rPr>
      </w:pPr>
      <w:r w:rsidRPr="00FD0AA8">
        <w:rPr>
          <w:rFonts w:ascii="Calibri" w:hAnsi="Calibri" w:cs="Calibri"/>
        </w:rPr>
        <w:tab/>
        <w:t>Badania dzielą się na:</w:t>
      </w:r>
    </w:p>
    <w:p w:rsidR="00376DA1" w:rsidRPr="00FD0AA8" w:rsidRDefault="00376DA1" w:rsidP="00376DA1">
      <w:pPr>
        <w:rPr>
          <w:rFonts w:ascii="Calibri" w:hAnsi="Calibri" w:cs="Calibri"/>
        </w:rPr>
      </w:pPr>
      <w:r>
        <w:rPr>
          <w:rFonts w:ascii="Calibri" w:hAnsi="Calibri" w:cs="Calibri"/>
        </w:rPr>
        <w:t>-</w:t>
      </w:r>
      <w:r w:rsidRPr="00FD0AA8">
        <w:rPr>
          <w:rFonts w:ascii="Calibri" w:hAnsi="Calibri" w:cs="Calibri"/>
        </w:rPr>
        <w:t>badania wykonawcy (w ramach własnego nadzoru),</w:t>
      </w:r>
    </w:p>
    <w:p w:rsidR="00376DA1" w:rsidRPr="00FD0AA8" w:rsidRDefault="00376DA1" w:rsidP="00376DA1">
      <w:pPr>
        <w:rPr>
          <w:rFonts w:ascii="Calibri" w:hAnsi="Calibri" w:cs="Calibri"/>
        </w:rPr>
      </w:pPr>
      <w:r>
        <w:rPr>
          <w:rFonts w:ascii="Calibri" w:hAnsi="Calibri" w:cs="Calibri"/>
        </w:rPr>
        <w:t>-</w:t>
      </w:r>
      <w:r w:rsidRPr="00FD0AA8">
        <w:rPr>
          <w:rFonts w:ascii="Calibri" w:hAnsi="Calibri" w:cs="Calibri"/>
        </w:rPr>
        <w:t>badania kontrolne (w ramach nadzoru zleceniodawcy – Inżyniera).</w:t>
      </w:r>
    </w:p>
    <w:p w:rsidR="00376DA1" w:rsidRPr="00FD0AA8" w:rsidRDefault="00376DA1" w:rsidP="00376DA1">
      <w:pPr>
        <w:rPr>
          <w:rFonts w:ascii="Calibri" w:hAnsi="Calibri" w:cs="Calibri"/>
        </w:rPr>
      </w:pPr>
      <w:r w:rsidRPr="00475EE5">
        <w:rPr>
          <w:rFonts w:ascii="Calibri" w:hAnsi="Calibri" w:cs="Calibri"/>
          <w:b/>
        </w:rPr>
        <w:t>6.3.2.</w:t>
      </w:r>
      <w:r w:rsidRPr="00FD0AA8">
        <w:rPr>
          <w:rFonts w:ascii="Calibri" w:hAnsi="Calibri" w:cs="Calibri"/>
        </w:rPr>
        <w:t xml:space="preserve"> Badania Wykonawcy</w:t>
      </w:r>
    </w:p>
    <w:p w:rsidR="00376DA1" w:rsidRPr="00FD0AA8" w:rsidRDefault="00376DA1" w:rsidP="00376DA1">
      <w:pPr>
        <w:rPr>
          <w:rFonts w:ascii="Calibri" w:hAnsi="Calibri" w:cs="Calibri"/>
        </w:rPr>
      </w:pPr>
      <w:r w:rsidRPr="00FD0AA8">
        <w:rPr>
          <w:rFonts w:ascii="Calibri" w:hAnsi="Calibri" w:cs="Calibri"/>
        </w:rPr>
        <w:tab/>
        <w:t>Badania Wykonawcy są wykonywane przez Wykonawcę lub jego zleceniobiorców celem sprawdzenia, czy jakość materiałów budowlanych (mieszanek mineralno-asfaltowych i ich składników, lepiszczy i materiałów do uszczelnień itp.) oraz gotowej warstwy (wbudowane warstwy asfaltowe, połączenia itp.) spełniają wymagania określone w kontrakcie.</w:t>
      </w:r>
    </w:p>
    <w:p w:rsidR="00376DA1" w:rsidRPr="00FD0AA8" w:rsidRDefault="00376DA1" w:rsidP="00376DA1">
      <w:pPr>
        <w:rPr>
          <w:rFonts w:ascii="Calibri" w:hAnsi="Calibri" w:cs="Calibri"/>
        </w:rPr>
      </w:pPr>
      <w:r w:rsidRPr="00FD0AA8">
        <w:rPr>
          <w:rFonts w:ascii="Calibri" w:hAnsi="Calibri" w:cs="Calibri"/>
        </w:rPr>
        <w:tab/>
        <w:t>Wykonawca powinien wykonywać te badania podczas realizacji kontraktu, z niezbędną starannością i w wymaganym zakresie. Wyniki należy zapisywać w protokołach. W razie stwierdzenia uchybień w stosunku do wymagań kontraktu, ich przyczyny należy niezwłocznie usunąć.</w:t>
      </w:r>
    </w:p>
    <w:p w:rsidR="00376DA1" w:rsidRPr="00FD0AA8" w:rsidRDefault="00376DA1" w:rsidP="00376DA1">
      <w:pPr>
        <w:rPr>
          <w:rFonts w:ascii="Calibri" w:hAnsi="Calibri" w:cs="Calibri"/>
        </w:rPr>
      </w:pPr>
      <w:r w:rsidRPr="00FD0AA8">
        <w:rPr>
          <w:rFonts w:ascii="Calibri" w:hAnsi="Calibri" w:cs="Calibri"/>
        </w:rPr>
        <w:tab/>
        <w:t>Wyniki badań Wykonawcy należy przekazywać zleceniodawcy na jego żądanie. Inżynier może zdecydować o dokonaniu odbioru na podstawie badań Wykonawcy. W razie zastrzeżeń Inżynier może przeprowadzić badania kontrolne według pktu 6.3.3.</w:t>
      </w:r>
    </w:p>
    <w:p w:rsidR="00376DA1" w:rsidRPr="00FD0AA8" w:rsidRDefault="00376DA1" w:rsidP="00376DA1">
      <w:pPr>
        <w:rPr>
          <w:rFonts w:ascii="Calibri" w:hAnsi="Calibri" w:cs="Calibri"/>
        </w:rPr>
      </w:pPr>
      <w:r w:rsidRPr="00FD0AA8">
        <w:rPr>
          <w:rFonts w:ascii="Calibri" w:hAnsi="Calibri" w:cs="Calibri"/>
        </w:rPr>
        <w:tab/>
        <w:t>Zakres badań Wykonawcy związany z wykonywaniem nawierzchni:</w:t>
      </w:r>
    </w:p>
    <w:p w:rsidR="00376DA1" w:rsidRPr="00FD0AA8" w:rsidRDefault="00376DA1" w:rsidP="00376DA1">
      <w:pPr>
        <w:rPr>
          <w:rFonts w:ascii="Calibri" w:hAnsi="Calibri" w:cs="Calibri"/>
        </w:rPr>
      </w:pPr>
      <w:r>
        <w:rPr>
          <w:rFonts w:ascii="Calibri" w:hAnsi="Calibri" w:cs="Calibri"/>
        </w:rPr>
        <w:t>-</w:t>
      </w:r>
      <w:r w:rsidRPr="00FD0AA8">
        <w:rPr>
          <w:rFonts w:ascii="Calibri" w:hAnsi="Calibri" w:cs="Calibri"/>
        </w:rPr>
        <w:t>pomiar temperatury powietrza,</w:t>
      </w:r>
    </w:p>
    <w:p w:rsidR="00376DA1" w:rsidRPr="00FD0AA8" w:rsidRDefault="00376DA1" w:rsidP="00376DA1">
      <w:pPr>
        <w:rPr>
          <w:rFonts w:ascii="Calibri" w:hAnsi="Calibri" w:cs="Calibri"/>
        </w:rPr>
      </w:pPr>
      <w:r>
        <w:rPr>
          <w:rFonts w:ascii="Calibri" w:hAnsi="Calibri" w:cs="Calibri"/>
        </w:rPr>
        <w:t>-</w:t>
      </w:r>
      <w:r w:rsidRPr="00FD0AA8">
        <w:rPr>
          <w:rFonts w:ascii="Calibri" w:hAnsi="Calibri" w:cs="Calibri"/>
        </w:rPr>
        <w:t>pomiar temperatury mieszanki mineralno-asfaltowej podczas wykonywania nawierzchni (wg PN-EN 12697-13 [36]),</w:t>
      </w:r>
    </w:p>
    <w:p w:rsidR="00376DA1" w:rsidRPr="00FD0AA8" w:rsidRDefault="00376DA1" w:rsidP="00376DA1">
      <w:pPr>
        <w:rPr>
          <w:rFonts w:ascii="Calibri" w:hAnsi="Calibri" w:cs="Calibri"/>
        </w:rPr>
      </w:pPr>
      <w:r>
        <w:rPr>
          <w:rFonts w:ascii="Calibri" w:hAnsi="Calibri" w:cs="Calibri"/>
        </w:rPr>
        <w:t>-</w:t>
      </w:r>
      <w:r w:rsidRPr="00FD0AA8">
        <w:rPr>
          <w:rFonts w:ascii="Calibri" w:hAnsi="Calibri" w:cs="Calibri"/>
        </w:rPr>
        <w:t>ocena wizualna mieszanki mineralno-asfaltowej,</w:t>
      </w:r>
    </w:p>
    <w:p w:rsidR="00376DA1" w:rsidRPr="00FD0AA8" w:rsidRDefault="00376DA1" w:rsidP="00376DA1">
      <w:pPr>
        <w:rPr>
          <w:rFonts w:ascii="Calibri" w:hAnsi="Calibri" w:cs="Calibri"/>
        </w:rPr>
      </w:pPr>
      <w:r>
        <w:rPr>
          <w:rFonts w:ascii="Calibri" w:hAnsi="Calibri" w:cs="Calibri"/>
        </w:rPr>
        <w:t>-</w:t>
      </w:r>
      <w:r w:rsidRPr="00FD0AA8">
        <w:rPr>
          <w:rFonts w:ascii="Calibri" w:hAnsi="Calibri" w:cs="Calibri"/>
        </w:rPr>
        <w:t>wykaz ilości materiałów lub grubości wykonanej warstwy,</w:t>
      </w:r>
    </w:p>
    <w:p w:rsidR="00376DA1" w:rsidRPr="00FD0AA8" w:rsidRDefault="00376DA1" w:rsidP="00376DA1">
      <w:pPr>
        <w:rPr>
          <w:rFonts w:ascii="Calibri" w:hAnsi="Calibri" w:cs="Calibri"/>
        </w:rPr>
      </w:pPr>
      <w:r>
        <w:rPr>
          <w:rFonts w:ascii="Calibri" w:hAnsi="Calibri" w:cs="Calibri"/>
        </w:rPr>
        <w:t>-</w:t>
      </w:r>
      <w:r w:rsidRPr="00FD0AA8">
        <w:rPr>
          <w:rFonts w:ascii="Calibri" w:hAnsi="Calibri" w:cs="Calibri"/>
        </w:rPr>
        <w:t>pomiar spadku poprzecznego warstwy asfaltowej,</w:t>
      </w:r>
    </w:p>
    <w:p w:rsidR="00376DA1" w:rsidRPr="00FD0AA8" w:rsidRDefault="00376DA1" w:rsidP="00376DA1">
      <w:pPr>
        <w:rPr>
          <w:rFonts w:ascii="Calibri" w:hAnsi="Calibri" w:cs="Calibri"/>
        </w:rPr>
      </w:pPr>
      <w:r>
        <w:rPr>
          <w:rFonts w:ascii="Calibri" w:hAnsi="Calibri" w:cs="Calibri"/>
        </w:rPr>
        <w:t>-</w:t>
      </w:r>
      <w:r w:rsidRPr="00FD0AA8">
        <w:rPr>
          <w:rFonts w:ascii="Calibri" w:hAnsi="Calibri" w:cs="Calibri"/>
        </w:rPr>
        <w:t>pomiar równości warstwy asfaltowej (wg pktu 6.4.2.5),</w:t>
      </w:r>
    </w:p>
    <w:p w:rsidR="00376DA1" w:rsidRPr="00FD0AA8" w:rsidRDefault="00376DA1" w:rsidP="00376DA1">
      <w:pPr>
        <w:rPr>
          <w:rFonts w:ascii="Calibri" w:hAnsi="Calibri" w:cs="Calibri"/>
        </w:rPr>
      </w:pPr>
      <w:r>
        <w:rPr>
          <w:rFonts w:ascii="Calibri" w:hAnsi="Calibri" w:cs="Calibri"/>
        </w:rPr>
        <w:t>-</w:t>
      </w:r>
      <w:r w:rsidRPr="00FD0AA8">
        <w:rPr>
          <w:rFonts w:ascii="Calibri" w:hAnsi="Calibri" w:cs="Calibri"/>
        </w:rPr>
        <w:t>pomiar parametrów geometrycznych poboczy,</w:t>
      </w:r>
    </w:p>
    <w:p w:rsidR="00376DA1" w:rsidRPr="00FD0AA8" w:rsidRDefault="00376DA1" w:rsidP="00376DA1">
      <w:pPr>
        <w:rPr>
          <w:rFonts w:ascii="Calibri" w:hAnsi="Calibri" w:cs="Calibri"/>
        </w:rPr>
      </w:pPr>
      <w:r>
        <w:rPr>
          <w:rFonts w:ascii="Calibri" w:hAnsi="Calibri" w:cs="Calibri"/>
        </w:rPr>
        <w:t>-</w:t>
      </w:r>
      <w:r w:rsidRPr="00FD0AA8">
        <w:rPr>
          <w:rFonts w:ascii="Calibri" w:hAnsi="Calibri" w:cs="Calibri"/>
        </w:rPr>
        <w:t>ocena wizualna jednorodności powierzchni warstwy,</w:t>
      </w:r>
    </w:p>
    <w:p w:rsidR="00376DA1" w:rsidRPr="00FD0AA8" w:rsidRDefault="00376DA1" w:rsidP="00376DA1">
      <w:pPr>
        <w:rPr>
          <w:rFonts w:ascii="Calibri" w:hAnsi="Calibri" w:cs="Calibri"/>
        </w:rPr>
      </w:pPr>
      <w:r>
        <w:rPr>
          <w:rFonts w:ascii="Calibri" w:hAnsi="Calibri" w:cs="Calibri"/>
        </w:rPr>
        <w:t>-</w:t>
      </w:r>
      <w:r w:rsidRPr="00FD0AA8">
        <w:rPr>
          <w:rFonts w:ascii="Calibri" w:hAnsi="Calibri" w:cs="Calibri"/>
        </w:rPr>
        <w:t>ocena wizualna jakości wykonania połączeń technologicznych.</w:t>
      </w:r>
    </w:p>
    <w:p w:rsidR="00376DA1" w:rsidRPr="00FD0AA8" w:rsidRDefault="00376DA1" w:rsidP="00376DA1">
      <w:pPr>
        <w:rPr>
          <w:rFonts w:ascii="Calibri" w:hAnsi="Calibri" w:cs="Calibri"/>
        </w:rPr>
      </w:pPr>
      <w:r w:rsidRPr="00475EE5">
        <w:rPr>
          <w:rFonts w:ascii="Calibri" w:hAnsi="Calibri" w:cs="Calibri"/>
          <w:b/>
        </w:rPr>
        <w:t>6.3.3.</w:t>
      </w:r>
      <w:r w:rsidRPr="00FD0AA8">
        <w:rPr>
          <w:rFonts w:ascii="Calibri" w:hAnsi="Calibri" w:cs="Calibri"/>
        </w:rPr>
        <w:t xml:space="preserve"> Badania kontrolne </w:t>
      </w:r>
    </w:p>
    <w:p w:rsidR="00376DA1" w:rsidRPr="00FD0AA8" w:rsidRDefault="00376DA1" w:rsidP="00376DA1">
      <w:pPr>
        <w:rPr>
          <w:rFonts w:ascii="Calibri" w:hAnsi="Calibri" w:cs="Calibri"/>
        </w:rPr>
      </w:pPr>
      <w:r w:rsidRPr="00FD0AA8">
        <w:rPr>
          <w:rFonts w:ascii="Calibri" w:hAnsi="Calibri" w:cs="Calibri"/>
        </w:rPr>
        <w:tab/>
        <w:t>Badania kontrolne są badaniami Inżyniera, których celem jest sprawdzenie, czy jakość materiałów budowlanych (mieszanek mineralno-asfaltowych i ich składników, lepiszczy i materiałów do uszczelnień itp.) oraz gotowej warstwy (wbudowane warstwy asfaltowe, połączenia itp.) spełniają wymagania określone w kontrakcie. Wyniki tych badań są podstawą odbioru. Pobieraniem próbek i wykonaniem badań na miejscu budowy zajmuje się Inżynier w obecności Wykonawcy. Badania odbywają się również wtedy, gdy Wykonawca zostanie w porę powiadomiony o ich terminie, jednak nie będzie przy nich obecny.</w:t>
      </w:r>
    </w:p>
    <w:p w:rsidR="00376DA1" w:rsidRDefault="00376DA1" w:rsidP="00376DA1">
      <w:pPr>
        <w:rPr>
          <w:rFonts w:ascii="Calibri" w:hAnsi="Calibri" w:cs="Calibri"/>
        </w:rPr>
      </w:pPr>
      <w:r w:rsidRPr="00FD0AA8">
        <w:rPr>
          <w:rFonts w:ascii="Calibri" w:hAnsi="Calibri" w:cs="Calibri"/>
        </w:rPr>
        <w:tab/>
        <w:t>Rodzaj badań kontrolnych mieszanki mineralno-asfaltowej i wykonanej z niej warstwy podano w tablicy 15.</w:t>
      </w:r>
    </w:p>
    <w:p w:rsidR="00A40D5E" w:rsidRDefault="00A40D5E" w:rsidP="00376DA1">
      <w:pPr>
        <w:ind w:left="709"/>
        <w:rPr>
          <w:rFonts w:ascii="Calibri" w:hAnsi="Calibri" w:cs="Calibri"/>
        </w:rPr>
      </w:pPr>
    </w:p>
    <w:p w:rsidR="00376DA1" w:rsidRPr="00FD0AA8" w:rsidRDefault="00376DA1" w:rsidP="00376DA1">
      <w:pPr>
        <w:ind w:left="709"/>
        <w:rPr>
          <w:rFonts w:ascii="Calibri" w:hAnsi="Calibri" w:cs="Calibri"/>
        </w:rPr>
      </w:pPr>
      <w:r w:rsidRPr="00FD0AA8">
        <w:rPr>
          <w:rFonts w:ascii="Calibri" w:hAnsi="Calibri" w:cs="Calibri"/>
        </w:rPr>
        <w:t xml:space="preserve">Tablica 15. Rodzaj badań kontrolnych </w:t>
      </w:r>
    </w:p>
    <w:tbl>
      <w:tblPr>
        <w:tblW w:w="0" w:type="auto"/>
        <w:tblInd w:w="81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tblPr>
      <w:tblGrid>
        <w:gridCol w:w="1134"/>
        <w:gridCol w:w="6095"/>
      </w:tblGrid>
      <w:tr w:rsidR="00376DA1" w:rsidRPr="00A0310B" w:rsidTr="00556540">
        <w:tc>
          <w:tcPr>
            <w:tcW w:w="1134" w:type="dxa"/>
          </w:tcPr>
          <w:p w:rsidR="00376DA1" w:rsidRPr="00A0310B" w:rsidRDefault="00376DA1" w:rsidP="00556540">
            <w:pPr>
              <w:spacing w:before="60" w:after="60"/>
              <w:jc w:val="center"/>
              <w:rPr>
                <w:rFonts w:ascii="Calibri" w:hAnsi="Calibri" w:cs="Calibri"/>
                <w:sz w:val="18"/>
                <w:szCs w:val="18"/>
              </w:rPr>
            </w:pPr>
            <w:r w:rsidRPr="00A0310B">
              <w:rPr>
                <w:rFonts w:ascii="Calibri" w:hAnsi="Calibri" w:cs="Calibri"/>
                <w:sz w:val="18"/>
                <w:szCs w:val="18"/>
              </w:rPr>
              <w:t>Lp.</w:t>
            </w:r>
          </w:p>
        </w:tc>
        <w:tc>
          <w:tcPr>
            <w:tcW w:w="6095" w:type="dxa"/>
          </w:tcPr>
          <w:p w:rsidR="00376DA1" w:rsidRPr="00A0310B" w:rsidRDefault="00376DA1" w:rsidP="00556540">
            <w:pPr>
              <w:spacing w:before="60" w:after="60"/>
              <w:jc w:val="center"/>
              <w:rPr>
                <w:rFonts w:ascii="Calibri" w:hAnsi="Calibri" w:cs="Calibri"/>
                <w:sz w:val="18"/>
                <w:szCs w:val="18"/>
              </w:rPr>
            </w:pPr>
            <w:r w:rsidRPr="00A0310B">
              <w:rPr>
                <w:rFonts w:ascii="Calibri" w:hAnsi="Calibri" w:cs="Calibri"/>
                <w:sz w:val="18"/>
                <w:szCs w:val="18"/>
              </w:rPr>
              <w:t>Rodzaj badań</w:t>
            </w:r>
          </w:p>
        </w:tc>
      </w:tr>
      <w:tr w:rsidR="00376DA1" w:rsidRPr="00A0310B" w:rsidTr="00556540">
        <w:tc>
          <w:tcPr>
            <w:tcW w:w="1134" w:type="dxa"/>
          </w:tcPr>
          <w:p w:rsidR="00376DA1" w:rsidRPr="00A0310B" w:rsidRDefault="00376DA1" w:rsidP="00556540">
            <w:pPr>
              <w:jc w:val="center"/>
              <w:rPr>
                <w:rFonts w:ascii="Calibri" w:hAnsi="Calibri" w:cs="Calibri"/>
                <w:sz w:val="18"/>
                <w:szCs w:val="18"/>
              </w:rPr>
            </w:pPr>
            <w:r w:rsidRPr="00A0310B">
              <w:rPr>
                <w:rFonts w:ascii="Calibri" w:hAnsi="Calibri" w:cs="Calibri"/>
                <w:sz w:val="18"/>
                <w:szCs w:val="18"/>
              </w:rPr>
              <w:t>1</w:t>
            </w:r>
          </w:p>
          <w:p w:rsidR="00376DA1" w:rsidRPr="00A0310B" w:rsidRDefault="00376DA1" w:rsidP="00556540">
            <w:pPr>
              <w:jc w:val="center"/>
              <w:rPr>
                <w:rFonts w:ascii="Calibri" w:hAnsi="Calibri" w:cs="Calibri"/>
                <w:sz w:val="18"/>
                <w:szCs w:val="18"/>
              </w:rPr>
            </w:pPr>
            <w:r w:rsidRPr="00A0310B">
              <w:rPr>
                <w:rFonts w:ascii="Calibri" w:hAnsi="Calibri" w:cs="Calibri"/>
                <w:sz w:val="18"/>
                <w:szCs w:val="18"/>
              </w:rPr>
              <w:t>1.1</w:t>
            </w:r>
          </w:p>
          <w:p w:rsidR="00376DA1" w:rsidRPr="00A0310B" w:rsidRDefault="00376DA1" w:rsidP="00556540">
            <w:pPr>
              <w:jc w:val="center"/>
              <w:rPr>
                <w:rFonts w:ascii="Calibri" w:hAnsi="Calibri" w:cs="Calibri"/>
                <w:sz w:val="18"/>
                <w:szCs w:val="18"/>
              </w:rPr>
            </w:pPr>
            <w:r w:rsidRPr="00A0310B">
              <w:rPr>
                <w:rFonts w:ascii="Calibri" w:hAnsi="Calibri" w:cs="Calibri"/>
                <w:sz w:val="18"/>
                <w:szCs w:val="18"/>
              </w:rPr>
              <w:t>1.2</w:t>
            </w:r>
          </w:p>
          <w:p w:rsidR="00376DA1" w:rsidRPr="00A0310B" w:rsidRDefault="00376DA1" w:rsidP="00556540">
            <w:pPr>
              <w:jc w:val="center"/>
              <w:rPr>
                <w:rFonts w:ascii="Calibri" w:hAnsi="Calibri" w:cs="Calibri"/>
                <w:sz w:val="18"/>
                <w:szCs w:val="18"/>
              </w:rPr>
            </w:pPr>
            <w:r w:rsidRPr="00A0310B">
              <w:rPr>
                <w:rFonts w:ascii="Calibri" w:hAnsi="Calibri" w:cs="Calibri"/>
                <w:sz w:val="18"/>
                <w:szCs w:val="18"/>
              </w:rPr>
              <w:t>1.3</w:t>
            </w:r>
          </w:p>
          <w:p w:rsidR="00376DA1" w:rsidRPr="00A0310B" w:rsidRDefault="00376DA1" w:rsidP="00556540">
            <w:pPr>
              <w:jc w:val="center"/>
              <w:rPr>
                <w:rFonts w:ascii="Calibri" w:hAnsi="Calibri" w:cs="Calibri"/>
                <w:sz w:val="18"/>
                <w:szCs w:val="18"/>
              </w:rPr>
            </w:pPr>
            <w:r w:rsidRPr="00A0310B">
              <w:rPr>
                <w:rFonts w:ascii="Calibri" w:hAnsi="Calibri" w:cs="Calibri"/>
                <w:sz w:val="18"/>
                <w:szCs w:val="18"/>
              </w:rPr>
              <w:t>1.4</w:t>
            </w:r>
          </w:p>
          <w:p w:rsidR="00376DA1" w:rsidRPr="00A0310B" w:rsidRDefault="00376DA1" w:rsidP="00556540">
            <w:pPr>
              <w:jc w:val="center"/>
              <w:rPr>
                <w:rFonts w:ascii="Calibri" w:hAnsi="Calibri" w:cs="Calibri"/>
                <w:sz w:val="18"/>
                <w:szCs w:val="18"/>
              </w:rPr>
            </w:pPr>
            <w:r w:rsidRPr="00A0310B">
              <w:rPr>
                <w:rFonts w:ascii="Calibri" w:hAnsi="Calibri" w:cs="Calibri"/>
                <w:sz w:val="18"/>
                <w:szCs w:val="18"/>
              </w:rPr>
              <w:t>2</w:t>
            </w:r>
          </w:p>
          <w:p w:rsidR="00376DA1" w:rsidRPr="00A0310B" w:rsidRDefault="00376DA1" w:rsidP="00556540">
            <w:pPr>
              <w:jc w:val="center"/>
              <w:rPr>
                <w:rFonts w:ascii="Calibri" w:hAnsi="Calibri" w:cs="Calibri"/>
                <w:sz w:val="18"/>
                <w:szCs w:val="18"/>
              </w:rPr>
            </w:pPr>
            <w:r w:rsidRPr="00A0310B">
              <w:rPr>
                <w:rFonts w:ascii="Calibri" w:hAnsi="Calibri" w:cs="Calibri"/>
                <w:sz w:val="18"/>
                <w:szCs w:val="18"/>
              </w:rPr>
              <w:t>2.1</w:t>
            </w:r>
          </w:p>
          <w:p w:rsidR="00376DA1" w:rsidRPr="00A0310B" w:rsidRDefault="00376DA1" w:rsidP="00556540">
            <w:pPr>
              <w:jc w:val="center"/>
              <w:rPr>
                <w:rFonts w:ascii="Calibri" w:hAnsi="Calibri" w:cs="Calibri"/>
                <w:sz w:val="18"/>
                <w:szCs w:val="18"/>
              </w:rPr>
            </w:pPr>
            <w:r w:rsidRPr="00A0310B">
              <w:rPr>
                <w:rFonts w:ascii="Calibri" w:hAnsi="Calibri" w:cs="Calibri"/>
                <w:sz w:val="18"/>
                <w:szCs w:val="18"/>
              </w:rPr>
              <w:lastRenderedPageBreak/>
              <w:t>2.2</w:t>
            </w:r>
          </w:p>
          <w:p w:rsidR="00376DA1" w:rsidRPr="00A0310B" w:rsidRDefault="00376DA1" w:rsidP="00556540">
            <w:pPr>
              <w:jc w:val="center"/>
              <w:rPr>
                <w:rFonts w:ascii="Calibri" w:hAnsi="Calibri" w:cs="Calibri"/>
                <w:sz w:val="18"/>
                <w:szCs w:val="18"/>
              </w:rPr>
            </w:pPr>
            <w:r w:rsidRPr="00A0310B">
              <w:rPr>
                <w:rFonts w:ascii="Calibri" w:hAnsi="Calibri" w:cs="Calibri"/>
                <w:sz w:val="18"/>
                <w:szCs w:val="18"/>
              </w:rPr>
              <w:t>2.3</w:t>
            </w:r>
          </w:p>
          <w:p w:rsidR="00376DA1" w:rsidRPr="00A0310B" w:rsidRDefault="00376DA1" w:rsidP="00556540">
            <w:pPr>
              <w:jc w:val="center"/>
              <w:rPr>
                <w:rFonts w:ascii="Calibri" w:hAnsi="Calibri" w:cs="Calibri"/>
                <w:sz w:val="18"/>
                <w:szCs w:val="18"/>
              </w:rPr>
            </w:pPr>
            <w:r w:rsidRPr="00A0310B">
              <w:rPr>
                <w:rFonts w:ascii="Calibri" w:hAnsi="Calibri" w:cs="Calibri"/>
                <w:sz w:val="18"/>
                <w:szCs w:val="18"/>
              </w:rPr>
              <w:t>2.4</w:t>
            </w:r>
          </w:p>
          <w:p w:rsidR="00376DA1" w:rsidRPr="00A0310B" w:rsidRDefault="00376DA1" w:rsidP="00556540">
            <w:pPr>
              <w:jc w:val="center"/>
              <w:rPr>
                <w:rFonts w:ascii="Calibri" w:hAnsi="Calibri" w:cs="Calibri"/>
                <w:sz w:val="18"/>
                <w:szCs w:val="18"/>
              </w:rPr>
            </w:pPr>
            <w:r w:rsidRPr="00A0310B">
              <w:rPr>
                <w:rFonts w:ascii="Calibri" w:hAnsi="Calibri" w:cs="Calibri"/>
                <w:sz w:val="18"/>
                <w:szCs w:val="18"/>
              </w:rPr>
              <w:t>2.5</w:t>
            </w:r>
          </w:p>
          <w:p w:rsidR="00376DA1" w:rsidRPr="00A0310B" w:rsidRDefault="00376DA1" w:rsidP="00556540">
            <w:pPr>
              <w:jc w:val="center"/>
              <w:rPr>
                <w:rFonts w:ascii="Calibri" w:hAnsi="Calibri" w:cs="Calibri"/>
                <w:sz w:val="18"/>
                <w:szCs w:val="18"/>
              </w:rPr>
            </w:pPr>
            <w:r w:rsidRPr="00A0310B">
              <w:rPr>
                <w:rFonts w:ascii="Calibri" w:hAnsi="Calibri" w:cs="Calibri"/>
                <w:sz w:val="18"/>
                <w:szCs w:val="18"/>
              </w:rPr>
              <w:t>2.6</w:t>
            </w:r>
          </w:p>
        </w:tc>
        <w:tc>
          <w:tcPr>
            <w:tcW w:w="6095" w:type="dxa"/>
          </w:tcPr>
          <w:p w:rsidR="00376DA1" w:rsidRPr="00A0310B" w:rsidRDefault="00376DA1" w:rsidP="00556540">
            <w:pPr>
              <w:rPr>
                <w:rFonts w:ascii="Calibri" w:hAnsi="Calibri" w:cs="Calibri"/>
                <w:sz w:val="18"/>
                <w:szCs w:val="18"/>
                <w:vertAlign w:val="superscript"/>
              </w:rPr>
            </w:pPr>
            <w:r w:rsidRPr="00A0310B">
              <w:rPr>
                <w:rFonts w:ascii="Calibri" w:hAnsi="Calibri" w:cs="Calibri"/>
                <w:sz w:val="18"/>
                <w:szCs w:val="18"/>
              </w:rPr>
              <w:lastRenderedPageBreak/>
              <w:t xml:space="preserve">Mieszanka mineralno-asfaltowa </w:t>
            </w:r>
            <w:r w:rsidRPr="00A0310B">
              <w:rPr>
                <w:rFonts w:ascii="Calibri" w:hAnsi="Calibri" w:cs="Calibri"/>
                <w:sz w:val="18"/>
                <w:szCs w:val="18"/>
                <w:vertAlign w:val="superscript"/>
              </w:rPr>
              <w:t>a), b)</w:t>
            </w:r>
          </w:p>
          <w:p w:rsidR="00376DA1" w:rsidRPr="00A0310B" w:rsidRDefault="00376DA1" w:rsidP="00556540">
            <w:pPr>
              <w:rPr>
                <w:rFonts w:ascii="Calibri" w:hAnsi="Calibri" w:cs="Calibri"/>
                <w:sz w:val="18"/>
                <w:szCs w:val="18"/>
              </w:rPr>
            </w:pPr>
            <w:r w:rsidRPr="00A0310B">
              <w:rPr>
                <w:rFonts w:ascii="Calibri" w:hAnsi="Calibri" w:cs="Calibri"/>
                <w:sz w:val="18"/>
                <w:szCs w:val="18"/>
              </w:rPr>
              <w:t>Uziarnienie</w:t>
            </w:r>
          </w:p>
          <w:p w:rsidR="00376DA1" w:rsidRPr="00A0310B" w:rsidRDefault="00376DA1" w:rsidP="00556540">
            <w:pPr>
              <w:rPr>
                <w:rFonts w:ascii="Calibri" w:hAnsi="Calibri" w:cs="Calibri"/>
                <w:sz w:val="18"/>
                <w:szCs w:val="18"/>
              </w:rPr>
            </w:pPr>
            <w:r w:rsidRPr="00A0310B">
              <w:rPr>
                <w:rFonts w:ascii="Calibri" w:hAnsi="Calibri" w:cs="Calibri"/>
                <w:sz w:val="18"/>
                <w:szCs w:val="18"/>
              </w:rPr>
              <w:t>Zawartość lepiszcza</w:t>
            </w:r>
          </w:p>
          <w:p w:rsidR="00376DA1" w:rsidRPr="00A0310B" w:rsidRDefault="00376DA1" w:rsidP="00556540">
            <w:pPr>
              <w:rPr>
                <w:rFonts w:ascii="Calibri" w:hAnsi="Calibri" w:cs="Calibri"/>
                <w:sz w:val="18"/>
                <w:szCs w:val="18"/>
              </w:rPr>
            </w:pPr>
            <w:r w:rsidRPr="00A0310B">
              <w:rPr>
                <w:rFonts w:ascii="Calibri" w:hAnsi="Calibri" w:cs="Calibri"/>
                <w:sz w:val="18"/>
                <w:szCs w:val="18"/>
              </w:rPr>
              <w:t>Temperatura mięknienia lepiszcza odzyskanego</w:t>
            </w:r>
          </w:p>
          <w:p w:rsidR="00376DA1" w:rsidRPr="00A0310B" w:rsidRDefault="00376DA1" w:rsidP="00556540">
            <w:pPr>
              <w:rPr>
                <w:rFonts w:ascii="Calibri" w:hAnsi="Calibri" w:cs="Calibri"/>
                <w:sz w:val="18"/>
                <w:szCs w:val="18"/>
              </w:rPr>
            </w:pPr>
            <w:r w:rsidRPr="00A0310B">
              <w:rPr>
                <w:rFonts w:ascii="Calibri" w:hAnsi="Calibri" w:cs="Calibri"/>
                <w:sz w:val="18"/>
                <w:szCs w:val="18"/>
              </w:rPr>
              <w:t>Gęstość i zawartość wolnych przestrzeni próbki</w:t>
            </w:r>
          </w:p>
          <w:p w:rsidR="00376DA1" w:rsidRPr="00A0310B" w:rsidRDefault="00376DA1" w:rsidP="00556540">
            <w:pPr>
              <w:rPr>
                <w:rFonts w:ascii="Calibri" w:hAnsi="Calibri" w:cs="Calibri"/>
                <w:sz w:val="18"/>
                <w:szCs w:val="18"/>
              </w:rPr>
            </w:pPr>
            <w:r w:rsidRPr="00A0310B">
              <w:rPr>
                <w:rFonts w:ascii="Calibri" w:hAnsi="Calibri" w:cs="Calibri"/>
                <w:sz w:val="18"/>
                <w:szCs w:val="18"/>
              </w:rPr>
              <w:t>Warstwa asfaltowa</w:t>
            </w:r>
          </w:p>
          <w:p w:rsidR="00376DA1" w:rsidRPr="00A0310B" w:rsidRDefault="00376DA1" w:rsidP="00556540">
            <w:pPr>
              <w:rPr>
                <w:rFonts w:ascii="Calibri" w:hAnsi="Calibri" w:cs="Calibri"/>
                <w:sz w:val="18"/>
                <w:szCs w:val="18"/>
              </w:rPr>
            </w:pPr>
            <w:r w:rsidRPr="00A0310B">
              <w:rPr>
                <w:rFonts w:ascii="Calibri" w:hAnsi="Calibri" w:cs="Calibri"/>
                <w:sz w:val="18"/>
                <w:szCs w:val="18"/>
              </w:rPr>
              <w:t xml:space="preserve">Wskaźnik zagęszczenia </w:t>
            </w:r>
            <w:r w:rsidRPr="00A0310B">
              <w:rPr>
                <w:rFonts w:ascii="Calibri" w:hAnsi="Calibri" w:cs="Calibri"/>
                <w:sz w:val="18"/>
                <w:szCs w:val="18"/>
                <w:vertAlign w:val="superscript"/>
              </w:rPr>
              <w:t>a)</w:t>
            </w:r>
          </w:p>
          <w:p w:rsidR="00376DA1" w:rsidRPr="00A0310B" w:rsidRDefault="00376DA1" w:rsidP="00556540">
            <w:pPr>
              <w:rPr>
                <w:rFonts w:ascii="Calibri" w:hAnsi="Calibri" w:cs="Calibri"/>
                <w:sz w:val="18"/>
                <w:szCs w:val="18"/>
              </w:rPr>
            </w:pPr>
            <w:r w:rsidRPr="00A0310B">
              <w:rPr>
                <w:rFonts w:ascii="Calibri" w:hAnsi="Calibri" w:cs="Calibri"/>
                <w:sz w:val="18"/>
                <w:szCs w:val="18"/>
              </w:rPr>
              <w:lastRenderedPageBreak/>
              <w:t>Spadki poprzeczne</w:t>
            </w:r>
          </w:p>
          <w:p w:rsidR="00376DA1" w:rsidRPr="00A0310B" w:rsidRDefault="00376DA1" w:rsidP="00556540">
            <w:pPr>
              <w:rPr>
                <w:rFonts w:ascii="Calibri" w:hAnsi="Calibri" w:cs="Calibri"/>
                <w:sz w:val="18"/>
                <w:szCs w:val="18"/>
              </w:rPr>
            </w:pPr>
            <w:r w:rsidRPr="00A0310B">
              <w:rPr>
                <w:rFonts w:ascii="Calibri" w:hAnsi="Calibri" w:cs="Calibri"/>
                <w:sz w:val="18"/>
                <w:szCs w:val="18"/>
              </w:rPr>
              <w:t>Równość</w:t>
            </w:r>
          </w:p>
          <w:p w:rsidR="00376DA1" w:rsidRPr="00A0310B" w:rsidRDefault="00376DA1" w:rsidP="00556540">
            <w:pPr>
              <w:rPr>
                <w:rFonts w:ascii="Calibri" w:hAnsi="Calibri" w:cs="Calibri"/>
                <w:sz w:val="18"/>
                <w:szCs w:val="18"/>
              </w:rPr>
            </w:pPr>
            <w:r w:rsidRPr="00A0310B">
              <w:rPr>
                <w:rFonts w:ascii="Calibri" w:hAnsi="Calibri" w:cs="Calibri"/>
                <w:sz w:val="18"/>
                <w:szCs w:val="18"/>
              </w:rPr>
              <w:t>Grubość lub ilość materiału</w:t>
            </w:r>
          </w:p>
          <w:p w:rsidR="00376DA1" w:rsidRPr="00A0310B" w:rsidRDefault="00376DA1" w:rsidP="00556540">
            <w:pPr>
              <w:rPr>
                <w:rFonts w:ascii="Calibri" w:hAnsi="Calibri" w:cs="Calibri"/>
                <w:sz w:val="18"/>
                <w:szCs w:val="18"/>
              </w:rPr>
            </w:pPr>
            <w:r w:rsidRPr="00A0310B">
              <w:rPr>
                <w:rFonts w:ascii="Calibri" w:hAnsi="Calibri" w:cs="Calibri"/>
                <w:sz w:val="18"/>
                <w:szCs w:val="18"/>
              </w:rPr>
              <w:t xml:space="preserve">Zawartość wolnych przestrzeni </w:t>
            </w:r>
            <w:r w:rsidRPr="00A0310B">
              <w:rPr>
                <w:rFonts w:ascii="Calibri" w:hAnsi="Calibri" w:cs="Calibri"/>
                <w:sz w:val="18"/>
                <w:szCs w:val="18"/>
                <w:vertAlign w:val="superscript"/>
              </w:rPr>
              <w:t>a)</w:t>
            </w:r>
          </w:p>
          <w:p w:rsidR="00376DA1" w:rsidRPr="00A0310B" w:rsidRDefault="00376DA1" w:rsidP="00556540">
            <w:pPr>
              <w:rPr>
                <w:rFonts w:ascii="Calibri" w:hAnsi="Calibri" w:cs="Calibri"/>
                <w:sz w:val="18"/>
                <w:szCs w:val="18"/>
              </w:rPr>
            </w:pPr>
            <w:r w:rsidRPr="00A0310B">
              <w:rPr>
                <w:rFonts w:ascii="Calibri" w:hAnsi="Calibri" w:cs="Calibri"/>
                <w:sz w:val="18"/>
                <w:szCs w:val="18"/>
              </w:rPr>
              <w:t>Właściwości przeciwpoślizgowe</w:t>
            </w:r>
          </w:p>
        </w:tc>
      </w:tr>
      <w:tr w:rsidR="00376DA1" w:rsidRPr="00A0310B" w:rsidTr="00556540">
        <w:tc>
          <w:tcPr>
            <w:tcW w:w="7229" w:type="dxa"/>
            <w:gridSpan w:val="2"/>
          </w:tcPr>
          <w:p w:rsidR="00376DA1" w:rsidRPr="00A0310B" w:rsidRDefault="00376DA1" w:rsidP="00556540">
            <w:pPr>
              <w:tabs>
                <w:tab w:val="left" w:pos="176"/>
              </w:tabs>
              <w:ind w:hanging="176"/>
              <w:rPr>
                <w:rFonts w:ascii="Calibri" w:hAnsi="Calibri" w:cs="Calibri"/>
                <w:i/>
                <w:sz w:val="18"/>
                <w:szCs w:val="18"/>
              </w:rPr>
            </w:pPr>
            <w:r w:rsidRPr="00A0310B">
              <w:rPr>
                <w:rFonts w:ascii="Calibri" w:hAnsi="Calibri" w:cs="Calibri"/>
                <w:i/>
                <w:sz w:val="18"/>
                <w:szCs w:val="18"/>
                <w:vertAlign w:val="superscript"/>
              </w:rPr>
              <w:lastRenderedPageBreak/>
              <w:t xml:space="preserve">       a)</w:t>
            </w:r>
            <w:r w:rsidRPr="00A0310B">
              <w:rPr>
                <w:rFonts w:ascii="Calibri" w:hAnsi="Calibri" w:cs="Calibri"/>
                <w:i/>
                <w:sz w:val="18"/>
                <w:szCs w:val="18"/>
              </w:rPr>
              <w:t xml:space="preserve"> </w:t>
            </w:r>
            <w:r w:rsidRPr="00A0310B">
              <w:rPr>
                <w:rFonts w:ascii="Calibri" w:hAnsi="Calibri" w:cs="Calibri"/>
                <w:i/>
                <w:sz w:val="18"/>
                <w:szCs w:val="18"/>
              </w:rPr>
              <w:tab/>
              <w:t xml:space="preserve">do każdej warstwy i na każde rozpoczęte </w:t>
            </w:r>
            <w:smartTag w:uri="urn:schemas-microsoft-com:office:smarttags" w:element="metricconverter">
              <w:smartTagPr>
                <w:attr w:name="ProductID" w:val="6ﾠ000 m2"/>
              </w:smartTagPr>
              <w:r w:rsidRPr="00A0310B">
                <w:rPr>
                  <w:rFonts w:ascii="Calibri" w:hAnsi="Calibri" w:cs="Calibri"/>
                  <w:i/>
                  <w:sz w:val="18"/>
                  <w:szCs w:val="18"/>
                </w:rPr>
                <w:t>6 000 m</w:t>
              </w:r>
              <w:r w:rsidRPr="00A0310B">
                <w:rPr>
                  <w:rFonts w:ascii="Calibri" w:hAnsi="Calibri" w:cs="Calibri"/>
                  <w:i/>
                  <w:sz w:val="18"/>
                  <w:szCs w:val="18"/>
                  <w:vertAlign w:val="superscript"/>
                </w:rPr>
                <w:t>2</w:t>
              </w:r>
            </w:smartTag>
            <w:r w:rsidRPr="00A0310B">
              <w:rPr>
                <w:rFonts w:ascii="Calibri" w:hAnsi="Calibri" w:cs="Calibri"/>
                <w:i/>
                <w:sz w:val="18"/>
                <w:szCs w:val="18"/>
              </w:rPr>
              <w:t xml:space="preserve"> nawierzchni jedna próbka; w razie potrzeby liczba próbek może zostać zwiększona (np. nawierzchnie dróg w terenie zabudowy)</w:t>
            </w:r>
          </w:p>
          <w:p w:rsidR="00376DA1" w:rsidRPr="00A0310B" w:rsidRDefault="00376DA1" w:rsidP="00556540">
            <w:pPr>
              <w:tabs>
                <w:tab w:val="left" w:pos="176"/>
              </w:tabs>
              <w:ind w:hanging="176"/>
              <w:rPr>
                <w:rFonts w:ascii="Calibri" w:hAnsi="Calibri" w:cs="Calibri"/>
                <w:sz w:val="18"/>
                <w:szCs w:val="18"/>
              </w:rPr>
            </w:pPr>
            <w:r w:rsidRPr="00A0310B">
              <w:rPr>
                <w:rFonts w:ascii="Calibri" w:hAnsi="Calibri" w:cs="Calibri"/>
                <w:i/>
                <w:sz w:val="18"/>
                <w:szCs w:val="18"/>
                <w:vertAlign w:val="superscript"/>
              </w:rPr>
              <w:t xml:space="preserve">       b)</w:t>
            </w:r>
            <w:r w:rsidRPr="00A0310B">
              <w:rPr>
                <w:rFonts w:ascii="Calibri" w:hAnsi="Calibri" w:cs="Calibri"/>
                <w:i/>
                <w:sz w:val="18"/>
                <w:szCs w:val="18"/>
              </w:rPr>
              <w:t xml:space="preserve"> </w:t>
            </w:r>
            <w:r w:rsidRPr="00A0310B">
              <w:rPr>
                <w:rFonts w:ascii="Calibri" w:hAnsi="Calibri" w:cs="Calibri"/>
                <w:i/>
                <w:sz w:val="18"/>
                <w:szCs w:val="18"/>
              </w:rPr>
              <w:tab/>
              <w:t>w razie potrzeby specjalne kruszywa i dodatki</w:t>
            </w:r>
          </w:p>
        </w:tc>
      </w:tr>
    </w:tbl>
    <w:p w:rsidR="00376DA1" w:rsidRDefault="00376DA1" w:rsidP="00376DA1">
      <w:pPr>
        <w:rPr>
          <w:rFonts w:ascii="Calibri" w:hAnsi="Calibri" w:cs="Calibri"/>
        </w:rPr>
      </w:pPr>
    </w:p>
    <w:p w:rsidR="00376DA1" w:rsidRPr="00FD0AA8" w:rsidRDefault="00376DA1" w:rsidP="00376DA1">
      <w:pPr>
        <w:rPr>
          <w:rFonts w:ascii="Calibri" w:hAnsi="Calibri" w:cs="Calibri"/>
        </w:rPr>
      </w:pPr>
      <w:r w:rsidRPr="00475EE5">
        <w:rPr>
          <w:rFonts w:ascii="Calibri" w:hAnsi="Calibri" w:cs="Calibri"/>
          <w:b/>
        </w:rPr>
        <w:t>6.3.4.</w:t>
      </w:r>
      <w:r w:rsidRPr="00FD0AA8">
        <w:rPr>
          <w:rFonts w:ascii="Calibri" w:hAnsi="Calibri" w:cs="Calibri"/>
        </w:rPr>
        <w:t xml:space="preserve"> Badania kontrolne dodatkowe</w:t>
      </w:r>
    </w:p>
    <w:p w:rsidR="00376DA1" w:rsidRPr="00FD0AA8" w:rsidRDefault="00376DA1" w:rsidP="00376DA1">
      <w:pPr>
        <w:rPr>
          <w:rFonts w:ascii="Calibri" w:hAnsi="Calibri" w:cs="Calibri"/>
        </w:rPr>
      </w:pPr>
      <w:r w:rsidRPr="00FD0AA8">
        <w:rPr>
          <w:rFonts w:ascii="Calibri" w:hAnsi="Calibri" w:cs="Calibri"/>
        </w:rPr>
        <w:tab/>
        <w:t>W wypadku uznania, że jeden z wyników badań kontrolnych nie jest reprezentatywny dla ocenianego odcinka budowy, Wykonawca ma prawo żądać przeprowadzenia badań kontrolnych dodatkowych.</w:t>
      </w:r>
    </w:p>
    <w:p w:rsidR="00376DA1" w:rsidRPr="00FD0AA8" w:rsidRDefault="00376DA1" w:rsidP="00376DA1">
      <w:pPr>
        <w:rPr>
          <w:rFonts w:ascii="Calibri" w:hAnsi="Calibri" w:cs="Calibri"/>
        </w:rPr>
      </w:pPr>
      <w:r w:rsidRPr="00FD0AA8">
        <w:rPr>
          <w:rFonts w:ascii="Calibri" w:hAnsi="Calibri" w:cs="Calibri"/>
        </w:rPr>
        <w:tab/>
        <w:t>Inżynier i Wykonawca decydują wspólnie o miejscach pobierania próbek i wyznaczeniu odcinków częściowych ocenianego odcinka budowy. Jeżeli odcinek częściowy przyporządkowany do badań kontrolnych nie może być jednoznacznie i zgodnie wyznaczony, to odcinek ten nie powinien być mniejszy niż 20% ocenianego odcinka budowy.</w:t>
      </w:r>
    </w:p>
    <w:p w:rsidR="00376DA1" w:rsidRPr="00FD0AA8" w:rsidRDefault="00376DA1" w:rsidP="00376DA1">
      <w:pPr>
        <w:rPr>
          <w:rFonts w:ascii="Calibri" w:hAnsi="Calibri" w:cs="Calibri"/>
        </w:rPr>
      </w:pPr>
      <w:r w:rsidRPr="00FD0AA8">
        <w:rPr>
          <w:rFonts w:ascii="Calibri" w:hAnsi="Calibri" w:cs="Calibri"/>
        </w:rPr>
        <w:tab/>
        <w:t>Do odbioru uwzględniane są wyniki badań kontrolnych i badań kontrolnych dodatkowych do wyznaczonych odcinków częściowych.</w:t>
      </w:r>
    </w:p>
    <w:p w:rsidR="00376DA1" w:rsidRPr="00FD0AA8" w:rsidRDefault="00376DA1" w:rsidP="00376DA1">
      <w:pPr>
        <w:rPr>
          <w:rFonts w:ascii="Calibri" w:hAnsi="Calibri" w:cs="Calibri"/>
        </w:rPr>
      </w:pPr>
      <w:r w:rsidRPr="00FD0AA8">
        <w:rPr>
          <w:rFonts w:ascii="Calibri" w:hAnsi="Calibri" w:cs="Calibri"/>
        </w:rPr>
        <w:tab/>
        <w:t>Koszty badań kontrolnych dodatkowych zażądanych przez Wykonawcę ponosi Wykonawca.</w:t>
      </w:r>
    </w:p>
    <w:p w:rsidR="00376DA1" w:rsidRPr="00FD0AA8" w:rsidRDefault="00376DA1" w:rsidP="00376DA1">
      <w:pPr>
        <w:rPr>
          <w:rFonts w:ascii="Calibri" w:hAnsi="Calibri" w:cs="Calibri"/>
        </w:rPr>
      </w:pPr>
      <w:r w:rsidRPr="00475EE5">
        <w:rPr>
          <w:rFonts w:ascii="Calibri" w:hAnsi="Calibri" w:cs="Calibri"/>
          <w:b/>
        </w:rPr>
        <w:t>6.3.5.</w:t>
      </w:r>
      <w:r w:rsidRPr="00FD0AA8">
        <w:rPr>
          <w:rFonts w:ascii="Calibri" w:hAnsi="Calibri" w:cs="Calibri"/>
        </w:rPr>
        <w:t xml:space="preserve"> Badania arbitrażowe</w:t>
      </w:r>
    </w:p>
    <w:p w:rsidR="00376DA1" w:rsidRPr="00FD0AA8" w:rsidRDefault="00376DA1" w:rsidP="00376DA1">
      <w:pPr>
        <w:rPr>
          <w:rFonts w:ascii="Calibri" w:hAnsi="Calibri" w:cs="Calibri"/>
        </w:rPr>
      </w:pPr>
      <w:r w:rsidRPr="00FD0AA8">
        <w:rPr>
          <w:rFonts w:ascii="Calibri" w:hAnsi="Calibri" w:cs="Calibri"/>
        </w:rPr>
        <w:tab/>
        <w:t>Badania arbitrażowe są powtórzeniem badań kontrolnych, co do których istnieją uzasadnione wątpliwości ze strony Inżyniera lub Wykonawcy (np. na podstawie własnych badań).</w:t>
      </w:r>
    </w:p>
    <w:p w:rsidR="00376DA1" w:rsidRPr="00FD0AA8" w:rsidRDefault="00376DA1" w:rsidP="00376DA1">
      <w:pPr>
        <w:rPr>
          <w:rFonts w:ascii="Calibri" w:hAnsi="Calibri" w:cs="Calibri"/>
        </w:rPr>
      </w:pPr>
      <w:r w:rsidRPr="00FD0AA8">
        <w:rPr>
          <w:rFonts w:ascii="Calibri" w:hAnsi="Calibri" w:cs="Calibri"/>
        </w:rPr>
        <w:tab/>
        <w:t>Badania arbitrażowe wykonuje na wniosek strony kontraktu niezależne laboratorium, które nie wykonywało badań kontrolnych.</w:t>
      </w:r>
    </w:p>
    <w:p w:rsidR="00376DA1" w:rsidRPr="00FD0AA8" w:rsidRDefault="00376DA1" w:rsidP="00376DA1">
      <w:pPr>
        <w:rPr>
          <w:rFonts w:ascii="Calibri" w:hAnsi="Calibri" w:cs="Calibri"/>
        </w:rPr>
      </w:pPr>
      <w:r w:rsidRPr="00FD0AA8">
        <w:rPr>
          <w:rFonts w:ascii="Calibri" w:hAnsi="Calibri" w:cs="Calibri"/>
        </w:rPr>
        <w:tab/>
        <w:t>Koszty badań arbitrażowych wraz ze wszystkimi kosztami ubocznymi ponosi strona, na której niekorzyść przemawia wynik badania.</w:t>
      </w:r>
    </w:p>
    <w:p w:rsidR="00376DA1" w:rsidRPr="00FD0AA8" w:rsidRDefault="00376DA1" w:rsidP="00376DA1">
      <w:pPr>
        <w:rPr>
          <w:rFonts w:ascii="Calibri" w:hAnsi="Calibri" w:cs="Calibri"/>
        </w:rPr>
      </w:pPr>
      <w:r w:rsidRPr="00475EE5">
        <w:rPr>
          <w:rFonts w:ascii="Calibri" w:hAnsi="Calibri" w:cs="Calibri"/>
          <w:b/>
        </w:rPr>
        <w:t>6.4.</w:t>
      </w:r>
      <w:r w:rsidRPr="00FD0AA8">
        <w:rPr>
          <w:rFonts w:ascii="Calibri" w:hAnsi="Calibri" w:cs="Calibri"/>
        </w:rPr>
        <w:t xml:space="preserve"> Właściwości warstwy i nawierzchni oraz dopuszczalne odchyłki</w:t>
      </w:r>
    </w:p>
    <w:p w:rsidR="00376DA1" w:rsidRPr="00FD0AA8" w:rsidRDefault="00376DA1" w:rsidP="00376DA1">
      <w:pPr>
        <w:rPr>
          <w:rFonts w:ascii="Calibri" w:hAnsi="Calibri" w:cs="Calibri"/>
        </w:rPr>
      </w:pPr>
      <w:r w:rsidRPr="00475EE5">
        <w:rPr>
          <w:rFonts w:ascii="Calibri" w:hAnsi="Calibri" w:cs="Calibri"/>
          <w:b/>
        </w:rPr>
        <w:t>6.4.1.</w:t>
      </w:r>
      <w:r w:rsidRPr="00FD0AA8">
        <w:rPr>
          <w:rFonts w:ascii="Calibri" w:hAnsi="Calibri" w:cs="Calibri"/>
        </w:rPr>
        <w:t xml:space="preserve"> Uwagi ogólne</w:t>
      </w:r>
    </w:p>
    <w:p w:rsidR="00376DA1" w:rsidRPr="00FD0AA8" w:rsidRDefault="00376DA1" w:rsidP="00376DA1">
      <w:pPr>
        <w:rPr>
          <w:rFonts w:ascii="Calibri" w:hAnsi="Calibri" w:cs="Calibri"/>
        </w:rPr>
      </w:pPr>
      <w:r w:rsidRPr="00FD0AA8">
        <w:rPr>
          <w:rFonts w:ascii="Calibri" w:hAnsi="Calibri" w:cs="Calibri"/>
        </w:rPr>
        <w:tab/>
        <w:t>Właściwości mieszanki należy oceniać na podstawie badań pobranych próbek mieszanki mineralno-asfaltowej przed wbudowaniem (wbudowanie oznacza wykonanie warstwy asfaltowej). Wyjątkowo dopuszcza się badania próbek pobranych z wykonanej warstwy asfaltowej.</w:t>
      </w:r>
    </w:p>
    <w:p w:rsidR="00376DA1" w:rsidRPr="00FD0AA8" w:rsidRDefault="00376DA1" w:rsidP="00376DA1">
      <w:pPr>
        <w:rPr>
          <w:rFonts w:ascii="Calibri" w:hAnsi="Calibri" w:cs="Calibri"/>
        </w:rPr>
      </w:pPr>
      <w:r w:rsidRPr="00475EE5">
        <w:rPr>
          <w:rFonts w:ascii="Calibri" w:hAnsi="Calibri" w:cs="Calibri"/>
          <w:b/>
        </w:rPr>
        <w:t>6.4.2.</w:t>
      </w:r>
      <w:r w:rsidRPr="00FD0AA8">
        <w:rPr>
          <w:rFonts w:ascii="Calibri" w:hAnsi="Calibri" w:cs="Calibri"/>
        </w:rPr>
        <w:t xml:space="preserve"> Warstwa asfaltowa</w:t>
      </w:r>
    </w:p>
    <w:p w:rsidR="00376DA1" w:rsidRPr="00FD0AA8" w:rsidRDefault="00376DA1" w:rsidP="00376DA1">
      <w:pPr>
        <w:rPr>
          <w:rFonts w:ascii="Calibri" w:hAnsi="Calibri" w:cs="Calibri"/>
        </w:rPr>
      </w:pPr>
      <w:r w:rsidRPr="00475EE5">
        <w:rPr>
          <w:rFonts w:ascii="Calibri" w:hAnsi="Calibri" w:cs="Calibri"/>
          <w:b/>
        </w:rPr>
        <w:t xml:space="preserve">6.4.2.1. </w:t>
      </w:r>
      <w:r w:rsidRPr="00FD0AA8">
        <w:rPr>
          <w:rFonts w:ascii="Calibri" w:hAnsi="Calibri" w:cs="Calibri"/>
        </w:rPr>
        <w:t>Grubość warstwy oraz ilość materiału</w:t>
      </w:r>
    </w:p>
    <w:p w:rsidR="00376DA1" w:rsidRPr="00FD0AA8" w:rsidRDefault="00376DA1" w:rsidP="00376DA1">
      <w:pPr>
        <w:rPr>
          <w:rFonts w:ascii="Calibri" w:hAnsi="Calibri" w:cs="Calibri"/>
        </w:rPr>
      </w:pPr>
      <w:r w:rsidRPr="00FD0AA8">
        <w:rPr>
          <w:rFonts w:ascii="Calibri" w:hAnsi="Calibri" w:cs="Calibri"/>
        </w:rPr>
        <w:tab/>
        <w:t>Grubość wykonanej warstwy oznaczana według PN-EN 12697-36 [40] oraz ilość wbudowanego materiału na określoną powierzchnię (dotyczy przede wszystkim cienkich warstw) mogą odbiegać od projektu o wartości podane w tablicy 16.</w:t>
      </w:r>
    </w:p>
    <w:p w:rsidR="00376DA1" w:rsidRPr="00FD0AA8" w:rsidRDefault="00376DA1" w:rsidP="00376DA1">
      <w:pPr>
        <w:rPr>
          <w:rFonts w:ascii="Calibri" w:hAnsi="Calibri" w:cs="Calibri"/>
        </w:rPr>
      </w:pPr>
      <w:r w:rsidRPr="00FD0AA8">
        <w:rPr>
          <w:rFonts w:ascii="Calibri" w:hAnsi="Calibri" w:cs="Calibri"/>
        </w:rPr>
        <w:tab/>
        <w:t>W wypadku określania ilości materiału na powierzchnię i średniej wartości grubości warstwy z reguły należy przyjąć za podstawę cały odcinek budowy. Inżynier ma prawo sprawdzać odcinki częściowe. Odcinek częściowy powinien zawierać co najmniej jedną dzienną działkę roboczą. Do odcinka częściowego obowiązują te same wymagania jak do odcinka budowy.</w:t>
      </w:r>
    </w:p>
    <w:p w:rsidR="00376DA1" w:rsidRDefault="00376DA1" w:rsidP="00376DA1">
      <w:pPr>
        <w:rPr>
          <w:rFonts w:ascii="Calibri" w:hAnsi="Calibri" w:cs="Calibri"/>
        </w:rPr>
      </w:pPr>
      <w:r w:rsidRPr="00FD0AA8">
        <w:rPr>
          <w:rFonts w:ascii="Calibri" w:hAnsi="Calibri" w:cs="Calibri"/>
        </w:rPr>
        <w:tab/>
        <w:t>Za grubość warstwy lub warstw przyjmuje się średnią arytmetyczną wszystkich pojedynczych oznaczeń grubości warstwy na całym odcinku budowy lub odcinku częściowym.</w:t>
      </w:r>
    </w:p>
    <w:p w:rsidR="00376DA1" w:rsidRDefault="00376DA1" w:rsidP="00376DA1">
      <w:pPr>
        <w:rPr>
          <w:rFonts w:ascii="Calibri" w:hAnsi="Calibri" w:cs="Calibri"/>
        </w:rPr>
      </w:pPr>
    </w:p>
    <w:p w:rsidR="00376DA1" w:rsidRPr="00532721" w:rsidRDefault="00376DA1" w:rsidP="00376DA1">
      <w:pPr>
        <w:ind w:left="567"/>
        <w:rPr>
          <w:rFonts w:ascii="Calibri" w:hAnsi="Calibri" w:cs="Calibri"/>
        </w:rPr>
      </w:pPr>
      <w:r w:rsidRPr="00532721">
        <w:rPr>
          <w:rFonts w:ascii="Calibri" w:hAnsi="Calibri" w:cs="Calibri"/>
        </w:rPr>
        <w:t>Tablica 16</w:t>
      </w:r>
      <w:r>
        <w:rPr>
          <w:rFonts w:ascii="Calibri" w:hAnsi="Calibri" w:cs="Calibri"/>
        </w:rPr>
        <w:t xml:space="preserve">. </w:t>
      </w:r>
      <w:r w:rsidRPr="00532721">
        <w:rPr>
          <w:rFonts w:ascii="Calibri" w:hAnsi="Calibri" w:cs="Calibri"/>
        </w:rPr>
        <w:t xml:space="preserve">Dopuszczalne odchyłki grubości warstwy oraz ilości materiału na określonej powierzchni, [%] </w:t>
      </w:r>
    </w:p>
    <w:tbl>
      <w:tblPr>
        <w:tblW w:w="0" w:type="auto"/>
        <w:tblInd w:w="81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tblPr>
      <w:tblGrid>
        <w:gridCol w:w="4786"/>
        <w:gridCol w:w="2725"/>
      </w:tblGrid>
      <w:tr w:rsidR="00376DA1" w:rsidRPr="00EF7FDC" w:rsidTr="00556540">
        <w:tc>
          <w:tcPr>
            <w:tcW w:w="4786" w:type="dxa"/>
          </w:tcPr>
          <w:p w:rsidR="00376DA1" w:rsidRPr="00EF7FDC" w:rsidRDefault="00376DA1" w:rsidP="00556540">
            <w:pPr>
              <w:spacing w:before="60" w:after="60"/>
              <w:jc w:val="center"/>
              <w:rPr>
                <w:rFonts w:ascii="Calibri" w:hAnsi="Calibri" w:cs="Calibri"/>
                <w:sz w:val="18"/>
                <w:szCs w:val="18"/>
              </w:rPr>
            </w:pPr>
            <w:r w:rsidRPr="00EF7FDC">
              <w:rPr>
                <w:rFonts w:ascii="Calibri" w:hAnsi="Calibri" w:cs="Calibri"/>
                <w:sz w:val="18"/>
                <w:szCs w:val="18"/>
              </w:rPr>
              <w:t>Warunki oceny</w:t>
            </w:r>
          </w:p>
        </w:tc>
        <w:tc>
          <w:tcPr>
            <w:tcW w:w="2725" w:type="dxa"/>
          </w:tcPr>
          <w:p w:rsidR="00376DA1" w:rsidRPr="00EF7FDC" w:rsidRDefault="00376DA1" w:rsidP="00556540">
            <w:pPr>
              <w:spacing w:before="60" w:after="60"/>
              <w:jc w:val="center"/>
              <w:rPr>
                <w:rFonts w:ascii="Calibri" w:hAnsi="Calibri" w:cs="Calibri"/>
                <w:sz w:val="18"/>
                <w:szCs w:val="18"/>
              </w:rPr>
            </w:pPr>
            <w:r w:rsidRPr="00EF7FDC">
              <w:rPr>
                <w:rFonts w:ascii="Calibri" w:hAnsi="Calibri" w:cs="Calibri"/>
                <w:sz w:val="18"/>
                <w:szCs w:val="18"/>
              </w:rPr>
              <w:t>Warstwa asfaltowa ACP</w:t>
            </w:r>
          </w:p>
        </w:tc>
      </w:tr>
      <w:tr w:rsidR="00376DA1" w:rsidRPr="00EF7FDC" w:rsidTr="00556540">
        <w:trPr>
          <w:trHeight w:val="1146"/>
        </w:trPr>
        <w:tc>
          <w:tcPr>
            <w:tcW w:w="4786" w:type="dxa"/>
            <w:vAlign w:val="center"/>
          </w:tcPr>
          <w:p w:rsidR="00376DA1" w:rsidRPr="00EF7FDC" w:rsidRDefault="00376DA1" w:rsidP="00556540">
            <w:pPr>
              <w:spacing w:before="120"/>
              <w:rPr>
                <w:rFonts w:ascii="Calibri" w:hAnsi="Calibri" w:cs="Calibri"/>
                <w:sz w:val="18"/>
                <w:szCs w:val="18"/>
              </w:rPr>
            </w:pPr>
            <w:r w:rsidRPr="00EF7FDC">
              <w:rPr>
                <w:rFonts w:ascii="Calibri" w:hAnsi="Calibri" w:cs="Calibri"/>
                <w:sz w:val="18"/>
                <w:szCs w:val="18"/>
              </w:rPr>
              <w:t>Średnia z wielu oznaczeń grubości oraz ilości</w:t>
            </w:r>
          </w:p>
          <w:p w:rsidR="00376DA1" w:rsidRPr="00EF7FDC" w:rsidRDefault="00376DA1" w:rsidP="00556540">
            <w:pPr>
              <w:ind w:hanging="426"/>
              <w:rPr>
                <w:rFonts w:ascii="Calibri" w:hAnsi="Calibri" w:cs="Calibri"/>
                <w:sz w:val="18"/>
                <w:szCs w:val="18"/>
              </w:rPr>
            </w:pPr>
            <w:r w:rsidRPr="00EF7FDC">
              <w:rPr>
                <w:rFonts w:ascii="Calibri" w:hAnsi="Calibri" w:cs="Calibri"/>
                <w:sz w:val="18"/>
                <w:szCs w:val="18"/>
              </w:rPr>
              <w:t xml:space="preserve">1. – duży odcinek budowy, powierzchnia większa niż </w:t>
            </w:r>
            <w:smartTag w:uri="urn:schemas-microsoft-com:office:smarttags" w:element="metricconverter">
              <w:smartTagPr>
                <w:attr w:name="ProductID" w:val="6000 m2"/>
              </w:smartTagPr>
              <w:r w:rsidRPr="00EF7FDC">
                <w:rPr>
                  <w:rFonts w:ascii="Calibri" w:hAnsi="Calibri" w:cs="Calibri"/>
                  <w:sz w:val="18"/>
                  <w:szCs w:val="18"/>
                </w:rPr>
                <w:t>6000 m</w:t>
              </w:r>
              <w:r w:rsidRPr="00EF7FDC">
                <w:rPr>
                  <w:rFonts w:ascii="Calibri" w:hAnsi="Calibri" w:cs="Calibri"/>
                  <w:sz w:val="18"/>
                  <w:szCs w:val="18"/>
                  <w:vertAlign w:val="superscript"/>
                </w:rPr>
                <w:t>2</w:t>
              </w:r>
            </w:smartTag>
            <w:r w:rsidRPr="00EF7FDC">
              <w:rPr>
                <w:rFonts w:ascii="Calibri" w:hAnsi="Calibri" w:cs="Calibri"/>
                <w:sz w:val="18"/>
                <w:szCs w:val="18"/>
              </w:rPr>
              <w:t xml:space="preserve"> lub</w:t>
            </w:r>
          </w:p>
          <w:p w:rsidR="00376DA1" w:rsidRPr="00EF7FDC" w:rsidRDefault="00376DA1" w:rsidP="00556540">
            <w:pPr>
              <w:spacing w:after="120"/>
              <w:ind w:hanging="425"/>
              <w:rPr>
                <w:rFonts w:ascii="Calibri" w:hAnsi="Calibri" w:cs="Calibri"/>
                <w:sz w:val="18"/>
                <w:szCs w:val="18"/>
              </w:rPr>
            </w:pPr>
            <w:r w:rsidRPr="00EF7FDC">
              <w:rPr>
                <w:rFonts w:ascii="Calibri" w:hAnsi="Calibri" w:cs="Calibri"/>
                <w:sz w:val="18"/>
                <w:szCs w:val="18"/>
              </w:rPr>
              <w:t xml:space="preserve">     – droga ograniczona krawężnikami, powierzchnia większa niż </w:t>
            </w:r>
            <w:smartTag w:uri="urn:schemas-microsoft-com:office:smarttags" w:element="metricconverter">
              <w:smartTagPr>
                <w:attr w:name="ProductID" w:val="1000 m2"/>
              </w:smartTagPr>
              <w:r w:rsidRPr="00EF7FDC">
                <w:rPr>
                  <w:rFonts w:ascii="Calibri" w:hAnsi="Calibri" w:cs="Calibri"/>
                  <w:sz w:val="18"/>
                  <w:szCs w:val="18"/>
                </w:rPr>
                <w:t>1000 m</w:t>
              </w:r>
              <w:r w:rsidRPr="00EF7FDC">
                <w:rPr>
                  <w:rFonts w:ascii="Calibri" w:hAnsi="Calibri" w:cs="Calibri"/>
                  <w:sz w:val="18"/>
                  <w:szCs w:val="18"/>
                  <w:vertAlign w:val="superscript"/>
                </w:rPr>
                <w:t>2</w:t>
              </w:r>
            </w:smartTag>
            <w:r w:rsidRPr="00EF7FDC">
              <w:rPr>
                <w:rFonts w:ascii="Calibri" w:hAnsi="Calibri" w:cs="Calibri"/>
                <w:sz w:val="18"/>
                <w:szCs w:val="18"/>
              </w:rPr>
              <w:t xml:space="preserve"> lub</w:t>
            </w:r>
          </w:p>
        </w:tc>
        <w:tc>
          <w:tcPr>
            <w:tcW w:w="2725" w:type="dxa"/>
            <w:vAlign w:val="center"/>
          </w:tcPr>
          <w:p w:rsidR="00376DA1" w:rsidRPr="00EF7FDC" w:rsidRDefault="00376DA1" w:rsidP="00556540">
            <w:pPr>
              <w:jc w:val="center"/>
              <w:rPr>
                <w:rFonts w:ascii="Calibri" w:hAnsi="Calibri" w:cs="Calibri"/>
                <w:sz w:val="18"/>
                <w:szCs w:val="18"/>
              </w:rPr>
            </w:pPr>
            <w:r w:rsidRPr="00EF7FDC">
              <w:rPr>
                <w:rFonts w:ascii="Calibri" w:hAnsi="Calibri" w:cs="Calibri"/>
                <w:sz w:val="18"/>
                <w:szCs w:val="18"/>
              </w:rPr>
              <w:t>≤ 10</w:t>
            </w:r>
          </w:p>
        </w:tc>
      </w:tr>
      <w:tr w:rsidR="00376DA1" w:rsidRPr="00EF7FDC" w:rsidTr="00556540">
        <w:trPr>
          <w:trHeight w:val="466"/>
        </w:trPr>
        <w:tc>
          <w:tcPr>
            <w:tcW w:w="4786" w:type="dxa"/>
            <w:vAlign w:val="center"/>
          </w:tcPr>
          <w:p w:rsidR="00376DA1" w:rsidRPr="00EF7FDC" w:rsidRDefault="00376DA1" w:rsidP="00556540">
            <w:pPr>
              <w:spacing w:before="120" w:after="120"/>
              <w:rPr>
                <w:rFonts w:ascii="Calibri" w:hAnsi="Calibri" w:cs="Calibri"/>
                <w:sz w:val="18"/>
                <w:szCs w:val="18"/>
              </w:rPr>
            </w:pPr>
            <w:r w:rsidRPr="00EF7FDC">
              <w:rPr>
                <w:rFonts w:ascii="Calibri" w:hAnsi="Calibri" w:cs="Calibri"/>
                <w:sz w:val="18"/>
                <w:szCs w:val="18"/>
              </w:rPr>
              <w:t>2.  –  mały odcinek budowy</w:t>
            </w:r>
          </w:p>
        </w:tc>
        <w:tc>
          <w:tcPr>
            <w:tcW w:w="2725" w:type="dxa"/>
            <w:vAlign w:val="center"/>
          </w:tcPr>
          <w:p w:rsidR="00376DA1" w:rsidRPr="00EF7FDC" w:rsidRDefault="00376DA1" w:rsidP="00556540">
            <w:pPr>
              <w:spacing w:before="120" w:after="120"/>
              <w:jc w:val="center"/>
              <w:rPr>
                <w:rFonts w:ascii="Calibri" w:hAnsi="Calibri" w:cs="Calibri"/>
                <w:sz w:val="18"/>
                <w:szCs w:val="18"/>
              </w:rPr>
            </w:pPr>
            <w:r w:rsidRPr="00EF7FDC">
              <w:rPr>
                <w:rFonts w:ascii="Calibri" w:hAnsi="Calibri" w:cs="Calibri"/>
                <w:sz w:val="18"/>
                <w:szCs w:val="18"/>
              </w:rPr>
              <w:t>≤ 10</w:t>
            </w:r>
          </w:p>
        </w:tc>
      </w:tr>
    </w:tbl>
    <w:p w:rsidR="00376DA1" w:rsidRDefault="00376DA1" w:rsidP="00376DA1">
      <w:pPr>
        <w:rPr>
          <w:rFonts w:ascii="Calibri" w:hAnsi="Calibri" w:cs="Calibri"/>
        </w:rPr>
      </w:pPr>
    </w:p>
    <w:p w:rsidR="00376DA1" w:rsidRPr="00532721" w:rsidRDefault="00376DA1" w:rsidP="00376DA1">
      <w:pPr>
        <w:ind w:firstLine="567"/>
        <w:rPr>
          <w:rFonts w:ascii="Calibri" w:hAnsi="Calibri" w:cs="Calibri"/>
        </w:rPr>
      </w:pPr>
      <w:r w:rsidRPr="00532721">
        <w:rPr>
          <w:rFonts w:ascii="Calibri" w:hAnsi="Calibri" w:cs="Calibri"/>
        </w:rPr>
        <w:t xml:space="preserve">Niezależnie od średniej grubości, dla warstwy podbudowy grubość określona w pojedynczym oznaczeniu nie może być mniejsza od projektowanej grubości o więcej niż </w:t>
      </w:r>
      <w:smartTag w:uri="urn:schemas-microsoft-com:office:smarttags" w:element="metricconverter">
        <w:smartTagPr>
          <w:attr w:name="ProductID" w:val="2,5 cm"/>
        </w:smartTagPr>
        <w:r w:rsidRPr="00532721">
          <w:rPr>
            <w:rFonts w:ascii="Calibri" w:hAnsi="Calibri" w:cs="Calibri"/>
          </w:rPr>
          <w:t>2,5 cm</w:t>
        </w:r>
      </w:smartTag>
      <w:r w:rsidRPr="00532721">
        <w:rPr>
          <w:rFonts w:ascii="Calibri" w:hAnsi="Calibri" w:cs="Calibri"/>
        </w:rPr>
        <w:t>.</w:t>
      </w:r>
    </w:p>
    <w:p w:rsidR="00D553DB" w:rsidRDefault="00D553DB" w:rsidP="00376DA1">
      <w:pPr>
        <w:rPr>
          <w:rFonts w:ascii="Calibri" w:hAnsi="Calibri" w:cs="Calibri"/>
          <w:b/>
        </w:rPr>
      </w:pPr>
    </w:p>
    <w:p w:rsidR="00D553DB" w:rsidRDefault="00D553DB" w:rsidP="00376DA1">
      <w:pPr>
        <w:rPr>
          <w:rFonts w:ascii="Calibri" w:hAnsi="Calibri" w:cs="Calibri"/>
          <w:b/>
        </w:rPr>
      </w:pPr>
    </w:p>
    <w:p w:rsidR="00D553DB" w:rsidRDefault="00D553DB" w:rsidP="00376DA1">
      <w:pPr>
        <w:rPr>
          <w:rFonts w:ascii="Calibri" w:hAnsi="Calibri" w:cs="Calibri"/>
          <w:b/>
        </w:rPr>
      </w:pPr>
    </w:p>
    <w:p w:rsidR="00376DA1" w:rsidRPr="00532721" w:rsidRDefault="00376DA1" w:rsidP="00376DA1">
      <w:pPr>
        <w:rPr>
          <w:rFonts w:ascii="Calibri" w:hAnsi="Calibri" w:cs="Calibri"/>
        </w:rPr>
      </w:pPr>
      <w:r w:rsidRPr="00475EE5">
        <w:rPr>
          <w:rFonts w:ascii="Calibri" w:hAnsi="Calibri" w:cs="Calibri"/>
          <w:b/>
        </w:rPr>
        <w:lastRenderedPageBreak/>
        <w:t>6.4.2.2.</w:t>
      </w:r>
      <w:r w:rsidRPr="00532721">
        <w:rPr>
          <w:rFonts w:ascii="Calibri" w:hAnsi="Calibri" w:cs="Calibri"/>
        </w:rPr>
        <w:t xml:space="preserve"> Wskaźnik zagęszczenia warstwy</w:t>
      </w:r>
    </w:p>
    <w:p w:rsidR="00376DA1" w:rsidRPr="00532721" w:rsidRDefault="00376DA1" w:rsidP="00376DA1">
      <w:pPr>
        <w:rPr>
          <w:rFonts w:ascii="Calibri" w:hAnsi="Calibri" w:cs="Calibri"/>
        </w:rPr>
      </w:pPr>
      <w:r w:rsidRPr="00532721">
        <w:rPr>
          <w:rFonts w:ascii="Calibri" w:hAnsi="Calibri" w:cs="Calibri"/>
        </w:rPr>
        <w:tab/>
        <w:t>Zagęszczenie wykonanej warstwy, wyrażone wskaźnikiem zagęszczenia oraz zawartością wolnych przestrzeni, nie może przekroczyć wartości dopuszczalnych podanych w tablicy 14. Dotyczy to każdego pojedynczego oznaczenia danej właściwości.</w:t>
      </w:r>
    </w:p>
    <w:p w:rsidR="00376DA1" w:rsidRPr="00532721" w:rsidRDefault="00376DA1" w:rsidP="00376DA1">
      <w:pPr>
        <w:rPr>
          <w:rFonts w:ascii="Calibri" w:hAnsi="Calibri" w:cs="Calibri"/>
        </w:rPr>
      </w:pPr>
      <w:r w:rsidRPr="00532721">
        <w:rPr>
          <w:rFonts w:ascii="Calibri" w:hAnsi="Calibri" w:cs="Calibri"/>
        </w:rPr>
        <w:tab/>
        <w:t>Określenie gęstości objętościowej należy wykonywać według PN-EN 12697-6 [32].</w:t>
      </w:r>
    </w:p>
    <w:p w:rsidR="00376DA1" w:rsidRPr="00532721" w:rsidRDefault="00376DA1" w:rsidP="00376DA1">
      <w:pPr>
        <w:rPr>
          <w:rFonts w:ascii="Calibri" w:hAnsi="Calibri" w:cs="Calibri"/>
        </w:rPr>
      </w:pPr>
      <w:r w:rsidRPr="008079E6">
        <w:rPr>
          <w:rFonts w:ascii="Calibri" w:hAnsi="Calibri" w:cs="Calibri"/>
          <w:b/>
        </w:rPr>
        <w:t>6.4.2.3.</w:t>
      </w:r>
      <w:r w:rsidRPr="00532721">
        <w:rPr>
          <w:rFonts w:ascii="Calibri" w:hAnsi="Calibri" w:cs="Calibri"/>
        </w:rPr>
        <w:t xml:space="preserve"> Zawartość wolnych przestrzeni w nawierzchni</w:t>
      </w:r>
    </w:p>
    <w:p w:rsidR="00376DA1" w:rsidRPr="00532721" w:rsidRDefault="00376DA1" w:rsidP="00376DA1">
      <w:pPr>
        <w:rPr>
          <w:rFonts w:ascii="Calibri" w:hAnsi="Calibri" w:cs="Calibri"/>
        </w:rPr>
      </w:pPr>
      <w:r w:rsidRPr="00532721">
        <w:rPr>
          <w:rFonts w:ascii="Calibri" w:hAnsi="Calibri" w:cs="Calibri"/>
        </w:rPr>
        <w:tab/>
        <w:t>Zawartość wolnych przestrzeni w w</w:t>
      </w:r>
      <w:r>
        <w:rPr>
          <w:rFonts w:ascii="Calibri" w:hAnsi="Calibri" w:cs="Calibri"/>
        </w:rPr>
        <w:t>arstwie nawierzchni</w:t>
      </w:r>
      <w:r w:rsidRPr="00532721">
        <w:rPr>
          <w:rFonts w:ascii="Calibri" w:hAnsi="Calibri" w:cs="Calibri"/>
        </w:rPr>
        <w:t>,  nie może wykroczyć poza wartości dopuszczalne podane w tablicy 14.</w:t>
      </w:r>
    </w:p>
    <w:p w:rsidR="00376DA1" w:rsidRPr="00532721" w:rsidRDefault="00376DA1" w:rsidP="00376DA1">
      <w:pPr>
        <w:rPr>
          <w:rFonts w:ascii="Calibri" w:hAnsi="Calibri" w:cs="Calibri"/>
        </w:rPr>
      </w:pPr>
      <w:r w:rsidRPr="008079E6">
        <w:rPr>
          <w:rFonts w:ascii="Calibri" w:hAnsi="Calibri" w:cs="Calibri"/>
          <w:b/>
        </w:rPr>
        <w:t>6.4.2.4.</w:t>
      </w:r>
      <w:r w:rsidRPr="00532721">
        <w:rPr>
          <w:rFonts w:ascii="Calibri" w:hAnsi="Calibri" w:cs="Calibri"/>
        </w:rPr>
        <w:t xml:space="preserve"> Spadki poprzeczne</w:t>
      </w:r>
    </w:p>
    <w:p w:rsidR="00376DA1" w:rsidRPr="00532721" w:rsidRDefault="00376DA1" w:rsidP="00376DA1">
      <w:pPr>
        <w:rPr>
          <w:rFonts w:ascii="Calibri" w:hAnsi="Calibri" w:cs="Calibri"/>
        </w:rPr>
      </w:pPr>
      <w:r w:rsidRPr="00532721">
        <w:rPr>
          <w:rFonts w:ascii="Calibri" w:hAnsi="Calibri" w:cs="Calibri"/>
        </w:rPr>
        <w:tab/>
        <w:t xml:space="preserve">Spadki poprzeczne nawierzchni należy badać nie rzadziej niż co </w:t>
      </w:r>
      <w:smartTag w:uri="urn:schemas-microsoft-com:office:smarttags" w:element="metricconverter">
        <w:smartTagPr>
          <w:attr w:name="ProductID" w:val="20 m"/>
        </w:smartTagPr>
        <w:r w:rsidRPr="00532721">
          <w:rPr>
            <w:rFonts w:ascii="Calibri" w:hAnsi="Calibri" w:cs="Calibri"/>
          </w:rPr>
          <w:t>20 m</w:t>
        </w:r>
      </w:smartTag>
      <w:r w:rsidRPr="00532721">
        <w:rPr>
          <w:rFonts w:ascii="Calibri" w:hAnsi="Calibri" w:cs="Calibri"/>
        </w:rPr>
        <w:t xml:space="preserve"> oraz w punktach głównych łuków poziomych.</w:t>
      </w:r>
    </w:p>
    <w:p w:rsidR="00376DA1" w:rsidRPr="00532721" w:rsidRDefault="00376DA1" w:rsidP="00376DA1">
      <w:pPr>
        <w:rPr>
          <w:rFonts w:ascii="Calibri" w:hAnsi="Calibri" w:cs="Calibri"/>
        </w:rPr>
      </w:pPr>
      <w:r w:rsidRPr="00532721">
        <w:rPr>
          <w:rFonts w:ascii="Calibri" w:hAnsi="Calibri" w:cs="Calibri"/>
        </w:rPr>
        <w:tab/>
        <w:t>Spadki poprzeczne powinny być zgodne z dokumentacją projektową, z tolerancją ± 0,5%.</w:t>
      </w:r>
    </w:p>
    <w:p w:rsidR="00376DA1" w:rsidRPr="00532721" w:rsidRDefault="00376DA1" w:rsidP="00376DA1">
      <w:pPr>
        <w:rPr>
          <w:rFonts w:ascii="Calibri" w:hAnsi="Calibri" w:cs="Calibri"/>
        </w:rPr>
      </w:pPr>
      <w:r w:rsidRPr="008079E6">
        <w:rPr>
          <w:rFonts w:ascii="Calibri" w:hAnsi="Calibri" w:cs="Calibri"/>
          <w:b/>
        </w:rPr>
        <w:t>6.4.2.5.</w:t>
      </w:r>
      <w:r w:rsidRPr="00532721">
        <w:rPr>
          <w:rFonts w:ascii="Calibri" w:hAnsi="Calibri" w:cs="Calibri"/>
        </w:rPr>
        <w:t xml:space="preserve"> Równość podłużna i poprzeczna</w:t>
      </w:r>
    </w:p>
    <w:p w:rsidR="00376DA1" w:rsidRPr="00532721" w:rsidRDefault="00376DA1" w:rsidP="00376DA1">
      <w:pPr>
        <w:rPr>
          <w:rFonts w:ascii="Calibri" w:hAnsi="Calibri" w:cs="Calibri"/>
        </w:rPr>
      </w:pPr>
      <w:r w:rsidRPr="00532721">
        <w:rPr>
          <w:rFonts w:ascii="Calibri" w:hAnsi="Calibri" w:cs="Calibri"/>
        </w:rPr>
        <w:tab/>
        <w:t xml:space="preserve">Do oceny równości podłużnej warstwy podbudowy nawierzchni dróg wszystkich klas technicznych należy stosować metodę z wykorzystaniem łaty 4-metrowej i klina lub metody równoważnej użyciu łaty i klina, mierząc wysokość prześwitu w połowie długości łaty. Pomiar wykonuje się nie rzadziej niż co </w:t>
      </w:r>
      <w:smartTag w:uri="urn:schemas-microsoft-com:office:smarttags" w:element="metricconverter">
        <w:smartTagPr>
          <w:attr w:name="ProductID" w:val="10 m"/>
        </w:smartTagPr>
        <w:r w:rsidRPr="00532721">
          <w:rPr>
            <w:rFonts w:ascii="Calibri" w:hAnsi="Calibri" w:cs="Calibri"/>
          </w:rPr>
          <w:t>10 m</w:t>
        </w:r>
      </w:smartTag>
      <w:r w:rsidRPr="00532721">
        <w:rPr>
          <w:rFonts w:ascii="Calibri" w:hAnsi="Calibri" w:cs="Calibri"/>
        </w:rPr>
        <w:t>. Wymagana równość podłużna jest określona w rozporządzeniu dotyczącym warunków technicznych, jakim powinny odpowiadać drogi publiczne [67].</w:t>
      </w:r>
      <w:r w:rsidRPr="00532721">
        <w:rPr>
          <w:rFonts w:ascii="Calibri" w:hAnsi="Calibri" w:cs="Calibri"/>
        </w:rPr>
        <w:tab/>
      </w:r>
      <w:r w:rsidRPr="00532721">
        <w:rPr>
          <w:rFonts w:ascii="Calibri" w:hAnsi="Calibri" w:cs="Calibri"/>
        </w:rPr>
        <w:tab/>
      </w:r>
    </w:p>
    <w:p w:rsidR="00376DA1" w:rsidRPr="00532721" w:rsidRDefault="00376DA1" w:rsidP="00376DA1">
      <w:pPr>
        <w:rPr>
          <w:rFonts w:ascii="Calibri" w:hAnsi="Calibri" w:cs="Calibri"/>
        </w:rPr>
      </w:pPr>
      <w:r w:rsidRPr="00532721">
        <w:rPr>
          <w:rFonts w:ascii="Calibri" w:hAnsi="Calibri" w:cs="Calibri"/>
        </w:rPr>
        <w:t xml:space="preserve">Do oceny równości poprzecznej warstwy podbudowy nawierzchni dróg wszystkich klas technicznych należy stosować metodę z wykorzystaniem łaty 4-metrowej i klina lub metody równoważnej użyciu łaty i klina. Pomiar należy wykonywać w kierunku prostopadłym do osi jezdni, na każdym ocenianym pasie ruchu, nie rzadziej niż co </w:t>
      </w:r>
      <w:smartTag w:uri="urn:schemas-microsoft-com:office:smarttags" w:element="metricconverter">
        <w:smartTagPr>
          <w:attr w:name="ProductID" w:val="10 m"/>
        </w:smartTagPr>
        <w:r w:rsidRPr="00532721">
          <w:rPr>
            <w:rFonts w:ascii="Calibri" w:hAnsi="Calibri" w:cs="Calibri"/>
          </w:rPr>
          <w:t>10 m</w:t>
        </w:r>
      </w:smartTag>
      <w:r w:rsidRPr="00532721">
        <w:rPr>
          <w:rFonts w:ascii="Calibri" w:hAnsi="Calibri" w:cs="Calibri"/>
        </w:rPr>
        <w:t>. Wymagana równość poprzeczna jest określona w rozporządzeniu dotyczącym warunków technicznych, jakim powinny odpowiadać drogi publiczne [67].</w:t>
      </w:r>
    </w:p>
    <w:p w:rsidR="00376DA1" w:rsidRPr="00532721" w:rsidRDefault="00376DA1" w:rsidP="00376DA1">
      <w:pPr>
        <w:rPr>
          <w:rFonts w:ascii="Calibri" w:hAnsi="Calibri" w:cs="Calibri"/>
        </w:rPr>
      </w:pPr>
      <w:r w:rsidRPr="008079E6">
        <w:rPr>
          <w:rFonts w:ascii="Calibri" w:hAnsi="Calibri" w:cs="Calibri"/>
          <w:b/>
        </w:rPr>
        <w:t>6.4.2.6.</w:t>
      </w:r>
      <w:r w:rsidRPr="00532721">
        <w:rPr>
          <w:rFonts w:ascii="Calibri" w:hAnsi="Calibri" w:cs="Calibri"/>
        </w:rPr>
        <w:t xml:space="preserve"> Pozostałe właściwości warstwy asfaltowej</w:t>
      </w:r>
    </w:p>
    <w:p w:rsidR="00376DA1" w:rsidRPr="00532721" w:rsidRDefault="00376DA1" w:rsidP="00376DA1">
      <w:pPr>
        <w:rPr>
          <w:rFonts w:ascii="Calibri" w:hAnsi="Calibri" w:cs="Calibri"/>
        </w:rPr>
      </w:pPr>
      <w:r w:rsidRPr="00532721">
        <w:rPr>
          <w:rFonts w:ascii="Calibri" w:hAnsi="Calibri" w:cs="Calibri"/>
        </w:rPr>
        <w:tab/>
        <w:t xml:space="preserve">Szerokość warstwy, mierzona 10 razy na </w:t>
      </w:r>
      <w:smartTag w:uri="urn:schemas-microsoft-com:office:smarttags" w:element="metricconverter">
        <w:smartTagPr>
          <w:attr w:name="ProductID" w:val="1 km"/>
        </w:smartTagPr>
        <w:r w:rsidRPr="00532721">
          <w:rPr>
            <w:rFonts w:ascii="Calibri" w:hAnsi="Calibri" w:cs="Calibri"/>
          </w:rPr>
          <w:t>1 km</w:t>
        </w:r>
      </w:smartTag>
      <w:r w:rsidRPr="00532721">
        <w:rPr>
          <w:rFonts w:ascii="Calibri" w:hAnsi="Calibri" w:cs="Calibri"/>
        </w:rPr>
        <w:t xml:space="preserve"> każdej jezdni, nie może się różnić od szerokości projektowanej o więcej niż ± </w:t>
      </w:r>
      <w:smartTag w:uri="urn:schemas-microsoft-com:office:smarttags" w:element="metricconverter">
        <w:smartTagPr>
          <w:attr w:name="ProductID" w:val="5 cm"/>
        </w:smartTagPr>
        <w:r w:rsidRPr="00532721">
          <w:rPr>
            <w:rFonts w:ascii="Calibri" w:hAnsi="Calibri" w:cs="Calibri"/>
          </w:rPr>
          <w:t>5 cm</w:t>
        </w:r>
      </w:smartTag>
      <w:r w:rsidRPr="00532721">
        <w:rPr>
          <w:rFonts w:ascii="Calibri" w:hAnsi="Calibri" w:cs="Calibri"/>
        </w:rPr>
        <w:t>.</w:t>
      </w:r>
    </w:p>
    <w:p w:rsidR="00376DA1" w:rsidRPr="00532721" w:rsidRDefault="00376DA1" w:rsidP="00376DA1">
      <w:pPr>
        <w:rPr>
          <w:rFonts w:ascii="Calibri" w:hAnsi="Calibri" w:cs="Calibri"/>
        </w:rPr>
      </w:pPr>
      <w:r w:rsidRPr="00532721">
        <w:rPr>
          <w:rFonts w:ascii="Calibri" w:hAnsi="Calibri" w:cs="Calibri"/>
        </w:rPr>
        <w:tab/>
        <w:t xml:space="preserve">Rzędne wysokościowe, mierzone co </w:t>
      </w:r>
      <w:smartTag w:uri="urn:schemas-microsoft-com:office:smarttags" w:element="metricconverter">
        <w:smartTagPr>
          <w:attr w:name="ProductID" w:val="10 m"/>
        </w:smartTagPr>
        <w:r w:rsidRPr="00532721">
          <w:rPr>
            <w:rFonts w:ascii="Calibri" w:hAnsi="Calibri" w:cs="Calibri"/>
          </w:rPr>
          <w:t>10 m</w:t>
        </w:r>
      </w:smartTag>
      <w:r w:rsidRPr="00532721">
        <w:rPr>
          <w:rFonts w:ascii="Calibri" w:hAnsi="Calibri" w:cs="Calibri"/>
        </w:rPr>
        <w:t xml:space="preserve"> na prostych i co </w:t>
      </w:r>
      <w:smartTag w:uri="urn:schemas-microsoft-com:office:smarttags" w:element="metricconverter">
        <w:smartTagPr>
          <w:attr w:name="ProductID" w:val="10 m"/>
        </w:smartTagPr>
        <w:r w:rsidRPr="00532721">
          <w:rPr>
            <w:rFonts w:ascii="Calibri" w:hAnsi="Calibri" w:cs="Calibri"/>
          </w:rPr>
          <w:t>10 m</w:t>
        </w:r>
      </w:smartTag>
      <w:r w:rsidRPr="00532721">
        <w:rPr>
          <w:rFonts w:ascii="Calibri" w:hAnsi="Calibri" w:cs="Calibri"/>
        </w:rPr>
        <w:t xml:space="preserve"> na osi podłużnej i krawędziach, powinny być zgodne z dokumentacją projektową</w:t>
      </w:r>
      <w:r>
        <w:rPr>
          <w:rFonts w:ascii="Calibri" w:hAnsi="Calibri" w:cs="Calibri"/>
        </w:rPr>
        <w:t xml:space="preserve"> z dopuszczalną tolerancją </w:t>
      </w:r>
      <w:r w:rsidRPr="00532721">
        <w:rPr>
          <w:rFonts w:ascii="Calibri" w:hAnsi="Calibri" w:cs="Calibri"/>
        </w:rPr>
        <w:t>±1 cm, przy czym co najmniej 95% wykonanych pomiarów nie może przekraczać przedziału dopuszczalnych odchyleń.</w:t>
      </w:r>
    </w:p>
    <w:p w:rsidR="00376DA1" w:rsidRPr="00532721" w:rsidRDefault="00376DA1" w:rsidP="00376DA1">
      <w:pPr>
        <w:rPr>
          <w:rFonts w:ascii="Calibri" w:hAnsi="Calibri" w:cs="Calibri"/>
        </w:rPr>
      </w:pPr>
      <w:r w:rsidRPr="00532721">
        <w:rPr>
          <w:rFonts w:ascii="Calibri" w:hAnsi="Calibri" w:cs="Calibri"/>
        </w:rPr>
        <w:tab/>
        <w:t xml:space="preserve">Ukształtowanie osi w planie, mierzone co </w:t>
      </w:r>
      <w:smartTag w:uri="urn:schemas-microsoft-com:office:smarttags" w:element="metricconverter">
        <w:smartTagPr>
          <w:attr w:name="ProductID" w:val="100 m"/>
        </w:smartTagPr>
        <w:r w:rsidRPr="00532721">
          <w:rPr>
            <w:rFonts w:ascii="Calibri" w:hAnsi="Calibri" w:cs="Calibri"/>
          </w:rPr>
          <w:t>100 m</w:t>
        </w:r>
      </w:smartTag>
      <w:r w:rsidRPr="00532721">
        <w:rPr>
          <w:rFonts w:ascii="Calibri" w:hAnsi="Calibri" w:cs="Calibri"/>
        </w:rPr>
        <w:t xml:space="preserve">, nie powinno różnić się od dokumentacji projektowej o ± </w:t>
      </w:r>
      <w:smartTag w:uri="urn:schemas-microsoft-com:office:smarttags" w:element="metricconverter">
        <w:smartTagPr>
          <w:attr w:name="ProductID" w:val="5 cm"/>
        </w:smartTagPr>
        <w:r w:rsidRPr="00532721">
          <w:rPr>
            <w:rFonts w:ascii="Calibri" w:hAnsi="Calibri" w:cs="Calibri"/>
          </w:rPr>
          <w:t>5 cm</w:t>
        </w:r>
      </w:smartTag>
      <w:r w:rsidRPr="00532721">
        <w:rPr>
          <w:rFonts w:ascii="Calibri" w:hAnsi="Calibri" w:cs="Calibri"/>
        </w:rPr>
        <w:t>.</w:t>
      </w:r>
    </w:p>
    <w:p w:rsidR="00376DA1" w:rsidRPr="00532721" w:rsidRDefault="00376DA1" w:rsidP="00376DA1">
      <w:pPr>
        <w:rPr>
          <w:rFonts w:ascii="Calibri" w:hAnsi="Calibri" w:cs="Calibri"/>
        </w:rPr>
      </w:pPr>
      <w:r w:rsidRPr="00532721">
        <w:rPr>
          <w:rFonts w:ascii="Calibri" w:hAnsi="Calibri" w:cs="Calibri"/>
        </w:rPr>
        <w:tab/>
        <w:t>Złącza podłużne i poprzeczne, sprawdzone wizualnie, powinny być równe i związane, wykonane w linii prostej, równolegle lub prostopadle do osi drogi. Przylegające warstwy powinny być w jednym poziomie.</w:t>
      </w:r>
    </w:p>
    <w:p w:rsidR="00376DA1" w:rsidRDefault="00376DA1" w:rsidP="00376DA1">
      <w:pPr>
        <w:rPr>
          <w:rFonts w:ascii="Calibri" w:hAnsi="Calibri" w:cs="Calibri"/>
        </w:rPr>
      </w:pPr>
      <w:r w:rsidRPr="00532721">
        <w:rPr>
          <w:rFonts w:ascii="Calibri" w:hAnsi="Calibri" w:cs="Calibri"/>
        </w:rPr>
        <w:tab/>
        <w:t>Wygląd zewnętrzny warstwy, sprawdzony wizualnie, powinien być jednorodny, bez spękań, deformacji, plam i wykruszeń.</w:t>
      </w:r>
    </w:p>
    <w:p w:rsidR="00376DA1" w:rsidRPr="00532721" w:rsidRDefault="00376DA1" w:rsidP="00376DA1">
      <w:pPr>
        <w:rPr>
          <w:rFonts w:ascii="Calibri" w:hAnsi="Calibri" w:cs="Calibri"/>
        </w:rPr>
      </w:pPr>
    </w:p>
    <w:p w:rsidR="00376DA1" w:rsidRPr="008079E6" w:rsidRDefault="00376DA1" w:rsidP="00376DA1">
      <w:pPr>
        <w:rPr>
          <w:rFonts w:ascii="Calibri" w:hAnsi="Calibri" w:cs="Calibri"/>
          <w:b/>
        </w:rPr>
      </w:pPr>
      <w:bookmarkStart w:id="1451" w:name="_Toc217274569"/>
      <w:bookmarkStart w:id="1452" w:name="_Toc238276194"/>
      <w:r w:rsidRPr="008079E6">
        <w:rPr>
          <w:rFonts w:ascii="Calibri" w:hAnsi="Calibri" w:cs="Calibri"/>
          <w:b/>
        </w:rPr>
        <w:t xml:space="preserve">7. </w:t>
      </w:r>
      <w:bookmarkEnd w:id="1451"/>
      <w:bookmarkEnd w:id="1452"/>
      <w:r w:rsidRPr="008079E6">
        <w:rPr>
          <w:rFonts w:ascii="Calibri" w:hAnsi="Calibri" w:cs="Calibri"/>
          <w:b/>
        </w:rPr>
        <w:t>OBMIAR ROBÓT</w:t>
      </w:r>
    </w:p>
    <w:p w:rsidR="00376DA1" w:rsidRPr="00532721" w:rsidRDefault="00376DA1" w:rsidP="00376DA1">
      <w:pPr>
        <w:rPr>
          <w:rFonts w:ascii="Calibri" w:hAnsi="Calibri" w:cs="Calibri"/>
        </w:rPr>
      </w:pPr>
      <w:r w:rsidRPr="008079E6">
        <w:rPr>
          <w:rFonts w:ascii="Calibri" w:hAnsi="Calibri" w:cs="Calibri"/>
          <w:b/>
        </w:rPr>
        <w:t>7.1.</w:t>
      </w:r>
      <w:r w:rsidRPr="00532721">
        <w:rPr>
          <w:rFonts w:ascii="Calibri" w:hAnsi="Calibri" w:cs="Calibri"/>
        </w:rPr>
        <w:t xml:space="preserve"> Ogólne zasady obmiaru robót</w:t>
      </w:r>
    </w:p>
    <w:p w:rsidR="00376DA1" w:rsidRPr="00532721" w:rsidRDefault="00376DA1" w:rsidP="00376DA1">
      <w:pPr>
        <w:rPr>
          <w:rFonts w:ascii="Calibri" w:hAnsi="Calibri" w:cs="Calibri"/>
        </w:rPr>
      </w:pPr>
      <w:r w:rsidRPr="00532721">
        <w:rPr>
          <w:rFonts w:ascii="Calibri" w:hAnsi="Calibri" w:cs="Calibri"/>
        </w:rPr>
        <w:tab/>
        <w:t>Ogólne</w:t>
      </w:r>
      <w:r>
        <w:rPr>
          <w:rFonts w:ascii="Calibri" w:hAnsi="Calibri" w:cs="Calibri"/>
        </w:rPr>
        <w:t xml:space="preserve"> zasady obmiaru robót podano w </w:t>
      </w:r>
      <w:r w:rsidRPr="00532721">
        <w:rPr>
          <w:rFonts w:ascii="Calibri" w:hAnsi="Calibri" w:cs="Calibri"/>
        </w:rPr>
        <w:t>ST  D-M-00.00.00 „Wymagania ogólne” [1] pkt 7.</w:t>
      </w:r>
    </w:p>
    <w:p w:rsidR="00376DA1" w:rsidRPr="00532721" w:rsidRDefault="00376DA1" w:rsidP="00376DA1">
      <w:pPr>
        <w:rPr>
          <w:rFonts w:ascii="Calibri" w:hAnsi="Calibri" w:cs="Calibri"/>
        </w:rPr>
      </w:pPr>
      <w:r w:rsidRPr="008079E6">
        <w:rPr>
          <w:rFonts w:ascii="Calibri" w:hAnsi="Calibri" w:cs="Calibri"/>
          <w:b/>
        </w:rPr>
        <w:t>7.2.</w:t>
      </w:r>
      <w:r w:rsidRPr="00532721">
        <w:rPr>
          <w:rFonts w:ascii="Calibri" w:hAnsi="Calibri" w:cs="Calibri"/>
        </w:rPr>
        <w:t xml:space="preserve"> Jednostka obmiarowa</w:t>
      </w:r>
    </w:p>
    <w:p w:rsidR="00376DA1" w:rsidRDefault="00376DA1" w:rsidP="00376DA1">
      <w:pPr>
        <w:rPr>
          <w:rFonts w:ascii="Calibri" w:hAnsi="Calibri" w:cs="Calibri"/>
        </w:rPr>
      </w:pPr>
      <w:r w:rsidRPr="00532721">
        <w:rPr>
          <w:rFonts w:ascii="Calibri" w:hAnsi="Calibri" w:cs="Calibri"/>
        </w:rPr>
        <w:tab/>
        <w:t>Jednostką obmiarową jest m2 (metr kwadratowy) wykonanej warstwy podbudowy z betonu asfaltowego (ACP).</w:t>
      </w:r>
    </w:p>
    <w:p w:rsidR="00376DA1" w:rsidRPr="00532721" w:rsidRDefault="00376DA1" w:rsidP="00376DA1">
      <w:pPr>
        <w:rPr>
          <w:rFonts w:ascii="Calibri" w:hAnsi="Calibri" w:cs="Calibri"/>
        </w:rPr>
      </w:pPr>
    </w:p>
    <w:p w:rsidR="00376DA1" w:rsidRPr="008079E6" w:rsidRDefault="00376DA1" w:rsidP="00376DA1">
      <w:pPr>
        <w:rPr>
          <w:rFonts w:ascii="Calibri" w:hAnsi="Calibri" w:cs="Calibri"/>
          <w:b/>
        </w:rPr>
      </w:pPr>
      <w:r w:rsidRPr="008079E6">
        <w:rPr>
          <w:rFonts w:ascii="Calibri" w:hAnsi="Calibri" w:cs="Calibri"/>
          <w:b/>
        </w:rPr>
        <w:t xml:space="preserve"> </w:t>
      </w:r>
      <w:bookmarkStart w:id="1453" w:name="_Toc217274570"/>
      <w:bookmarkStart w:id="1454" w:name="_Toc238276195"/>
      <w:r w:rsidRPr="008079E6">
        <w:rPr>
          <w:rFonts w:ascii="Calibri" w:hAnsi="Calibri" w:cs="Calibri"/>
          <w:b/>
        </w:rPr>
        <w:t xml:space="preserve">8. </w:t>
      </w:r>
      <w:bookmarkEnd w:id="1453"/>
      <w:bookmarkEnd w:id="1454"/>
      <w:r w:rsidRPr="008079E6">
        <w:rPr>
          <w:rFonts w:ascii="Calibri" w:hAnsi="Calibri" w:cs="Calibri"/>
          <w:b/>
        </w:rPr>
        <w:t>ODBIÓR ROBÓT</w:t>
      </w:r>
    </w:p>
    <w:p w:rsidR="00376DA1" w:rsidRPr="00532721" w:rsidRDefault="00376DA1" w:rsidP="00376DA1">
      <w:pPr>
        <w:rPr>
          <w:rFonts w:ascii="Calibri" w:hAnsi="Calibri" w:cs="Calibri"/>
        </w:rPr>
      </w:pPr>
      <w:r w:rsidRPr="00532721">
        <w:rPr>
          <w:rFonts w:ascii="Calibri" w:hAnsi="Calibri" w:cs="Calibri"/>
        </w:rPr>
        <w:tab/>
        <w:t>Ogólne zasady odbi</w:t>
      </w:r>
      <w:r>
        <w:rPr>
          <w:rFonts w:ascii="Calibri" w:hAnsi="Calibri" w:cs="Calibri"/>
        </w:rPr>
        <w:t xml:space="preserve">oru robót podano w </w:t>
      </w:r>
      <w:r w:rsidRPr="00532721">
        <w:rPr>
          <w:rFonts w:ascii="Calibri" w:hAnsi="Calibri" w:cs="Calibri"/>
        </w:rPr>
        <w:t>ST  D-M-00.00.00 „Wymagania ogólne” [1] pkt 8.</w:t>
      </w:r>
    </w:p>
    <w:p w:rsidR="00376DA1" w:rsidRDefault="00376DA1" w:rsidP="00376DA1">
      <w:pPr>
        <w:rPr>
          <w:rFonts w:ascii="Calibri" w:hAnsi="Calibri" w:cs="Calibri"/>
        </w:rPr>
      </w:pPr>
      <w:r w:rsidRPr="00532721">
        <w:rPr>
          <w:rFonts w:ascii="Calibri" w:hAnsi="Calibri" w:cs="Calibri"/>
        </w:rPr>
        <w:tab/>
        <w:t>Roboty uznaje się za wykonane zgodnie z dokumentacją projektową, ST i wymaganiami Inżyniera, jeżeli wszystkie pomiary i badania z zachowaniem tolerancji według pktu 6 dały wyniki pozytywne.</w:t>
      </w:r>
    </w:p>
    <w:p w:rsidR="00376DA1" w:rsidRPr="00532721" w:rsidRDefault="00376DA1" w:rsidP="00376DA1">
      <w:pPr>
        <w:rPr>
          <w:rFonts w:ascii="Calibri" w:hAnsi="Calibri" w:cs="Calibri"/>
        </w:rPr>
      </w:pPr>
    </w:p>
    <w:p w:rsidR="00376DA1" w:rsidRPr="008079E6" w:rsidRDefault="00376DA1" w:rsidP="00376DA1">
      <w:pPr>
        <w:rPr>
          <w:rFonts w:ascii="Calibri" w:hAnsi="Calibri" w:cs="Calibri"/>
          <w:b/>
        </w:rPr>
      </w:pPr>
      <w:bookmarkStart w:id="1455" w:name="_Toc217274571"/>
      <w:bookmarkStart w:id="1456" w:name="_Toc238276196"/>
      <w:r w:rsidRPr="008079E6">
        <w:rPr>
          <w:rFonts w:ascii="Calibri" w:hAnsi="Calibri" w:cs="Calibri"/>
          <w:b/>
        </w:rPr>
        <w:t xml:space="preserve">9. </w:t>
      </w:r>
      <w:bookmarkEnd w:id="1455"/>
      <w:bookmarkEnd w:id="1456"/>
      <w:r w:rsidRPr="008079E6">
        <w:rPr>
          <w:rFonts w:ascii="Calibri" w:hAnsi="Calibri" w:cs="Calibri"/>
          <w:b/>
        </w:rPr>
        <w:t>PODSTAWA PŁATNOŚCI</w:t>
      </w:r>
    </w:p>
    <w:p w:rsidR="00376DA1" w:rsidRPr="00532721" w:rsidRDefault="00376DA1" w:rsidP="00376DA1">
      <w:pPr>
        <w:rPr>
          <w:rFonts w:ascii="Calibri" w:hAnsi="Calibri" w:cs="Calibri"/>
        </w:rPr>
      </w:pPr>
      <w:r w:rsidRPr="008079E6">
        <w:rPr>
          <w:rFonts w:ascii="Calibri" w:hAnsi="Calibri" w:cs="Calibri"/>
          <w:b/>
        </w:rPr>
        <w:t>9.1.</w:t>
      </w:r>
      <w:r w:rsidRPr="00532721">
        <w:rPr>
          <w:rFonts w:ascii="Calibri" w:hAnsi="Calibri" w:cs="Calibri"/>
        </w:rPr>
        <w:t xml:space="preserve"> Ogólne ustalenia dotyczące podstawy płatności</w:t>
      </w:r>
    </w:p>
    <w:p w:rsidR="00376DA1" w:rsidRPr="00532721" w:rsidRDefault="00376DA1" w:rsidP="00376DA1">
      <w:pPr>
        <w:rPr>
          <w:rFonts w:ascii="Calibri" w:hAnsi="Calibri" w:cs="Calibri"/>
        </w:rPr>
      </w:pPr>
      <w:r w:rsidRPr="00532721">
        <w:rPr>
          <w:rFonts w:ascii="Calibri" w:hAnsi="Calibri" w:cs="Calibri"/>
        </w:rPr>
        <w:tab/>
        <w:t>Ogólne ustalenia dotyczą</w:t>
      </w:r>
      <w:r>
        <w:rPr>
          <w:rFonts w:ascii="Calibri" w:hAnsi="Calibri" w:cs="Calibri"/>
        </w:rPr>
        <w:t xml:space="preserve">ce podstawy płatności podano w </w:t>
      </w:r>
      <w:r w:rsidRPr="00532721">
        <w:rPr>
          <w:rFonts w:ascii="Calibri" w:hAnsi="Calibri" w:cs="Calibri"/>
        </w:rPr>
        <w:t>ST D-M-00.00.00 „Wymagania ogólne” [1] pkt 9.</w:t>
      </w:r>
    </w:p>
    <w:p w:rsidR="00376DA1" w:rsidRPr="00532721" w:rsidRDefault="00376DA1" w:rsidP="00376DA1">
      <w:pPr>
        <w:rPr>
          <w:rFonts w:ascii="Calibri" w:hAnsi="Calibri" w:cs="Calibri"/>
        </w:rPr>
      </w:pPr>
      <w:r w:rsidRPr="008079E6">
        <w:rPr>
          <w:rFonts w:ascii="Calibri" w:hAnsi="Calibri" w:cs="Calibri"/>
          <w:b/>
        </w:rPr>
        <w:t>9.2.</w:t>
      </w:r>
      <w:r w:rsidRPr="00532721">
        <w:rPr>
          <w:rFonts w:ascii="Calibri" w:hAnsi="Calibri" w:cs="Calibri"/>
        </w:rPr>
        <w:t xml:space="preserve"> Cena jednostki obmiarowej</w:t>
      </w:r>
    </w:p>
    <w:p w:rsidR="00376DA1" w:rsidRPr="00532721" w:rsidRDefault="00376DA1" w:rsidP="00376DA1">
      <w:pPr>
        <w:rPr>
          <w:rFonts w:ascii="Calibri" w:hAnsi="Calibri" w:cs="Calibri"/>
        </w:rPr>
      </w:pPr>
      <w:r w:rsidRPr="00532721">
        <w:rPr>
          <w:rFonts w:ascii="Calibri" w:hAnsi="Calibri" w:cs="Calibri"/>
        </w:rPr>
        <w:tab/>
        <w:t xml:space="preserve">Cena wykonania </w:t>
      </w:r>
      <w:smartTag w:uri="urn:schemas-microsoft-com:office:smarttags" w:element="metricconverter">
        <w:smartTagPr>
          <w:attr w:name="ProductID" w:val="1 m2"/>
        </w:smartTagPr>
        <w:r w:rsidRPr="00532721">
          <w:rPr>
            <w:rFonts w:ascii="Calibri" w:hAnsi="Calibri" w:cs="Calibri"/>
          </w:rPr>
          <w:t>1 m2</w:t>
        </w:r>
      </w:smartTag>
      <w:r w:rsidRPr="00532721">
        <w:rPr>
          <w:rFonts w:ascii="Calibri" w:hAnsi="Calibri" w:cs="Calibri"/>
        </w:rPr>
        <w:t xml:space="preserve"> warstwy podbudowy z betonu asfaltowego (AC P) obejmuje:</w:t>
      </w:r>
    </w:p>
    <w:p w:rsidR="00376DA1" w:rsidRPr="00532721" w:rsidRDefault="00376DA1" w:rsidP="00376DA1">
      <w:pPr>
        <w:rPr>
          <w:rFonts w:ascii="Calibri" w:hAnsi="Calibri" w:cs="Calibri"/>
        </w:rPr>
      </w:pPr>
      <w:r>
        <w:rPr>
          <w:rFonts w:ascii="Calibri" w:hAnsi="Calibri" w:cs="Calibri"/>
        </w:rPr>
        <w:t>-</w:t>
      </w:r>
      <w:r w:rsidRPr="00532721">
        <w:rPr>
          <w:rFonts w:ascii="Calibri" w:hAnsi="Calibri" w:cs="Calibri"/>
        </w:rPr>
        <w:t>prace pomiarowe i roboty przygotowawcze,</w:t>
      </w:r>
    </w:p>
    <w:p w:rsidR="00376DA1" w:rsidRPr="00532721" w:rsidRDefault="00376DA1" w:rsidP="00376DA1">
      <w:pPr>
        <w:rPr>
          <w:rFonts w:ascii="Calibri" w:hAnsi="Calibri" w:cs="Calibri"/>
        </w:rPr>
      </w:pPr>
      <w:r>
        <w:rPr>
          <w:rFonts w:ascii="Calibri" w:hAnsi="Calibri" w:cs="Calibri"/>
        </w:rPr>
        <w:t>-</w:t>
      </w:r>
      <w:r w:rsidRPr="00532721">
        <w:rPr>
          <w:rFonts w:ascii="Calibri" w:hAnsi="Calibri" w:cs="Calibri"/>
        </w:rPr>
        <w:t>oznakowanie robót,</w:t>
      </w:r>
    </w:p>
    <w:p w:rsidR="00376DA1" w:rsidRPr="00532721" w:rsidRDefault="00376DA1" w:rsidP="00376DA1">
      <w:pPr>
        <w:rPr>
          <w:rFonts w:ascii="Calibri" w:hAnsi="Calibri" w:cs="Calibri"/>
        </w:rPr>
      </w:pPr>
      <w:r>
        <w:rPr>
          <w:rFonts w:ascii="Calibri" w:hAnsi="Calibri" w:cs="Calibri"/>
        </w:rPr>
        <w:t>-</w:t>
      </w:r>
      <w:r w:rsidRPr="00532721">
        <w:rPr>
          <w:rFonts w:ascii="Calibri" w:hAnsi="Calibri" w:cs="Calibri"/>
        </w:rPr>
        <w:t>oczyszczenie i skropienie podłoża,</w:t>
      </w:r>
    </w:p>
    <w:p w:rsidR="00376DA1" w:rsidRPr="00532721" w:rsidRDefault="00376DA1" w:rsidP="00376DA1">
      <w:pPr>
        <w:rPr>
          <w:rFonts w:ascii="Calibri" w:hAnsi="Calibri" w:cs="Calibri"/>
        </w:rPr>
      </w:pPr>
      <w:r>
        <w:rPr>
          <w:rFonts w:ascii="Calibri" w:hAnsi="Calibri" w:cs="Calibri"/>
        </w:rPr>
        <w:t>-</w:t>
      </w:r>
      <w:r w:rsidRPr="00532721">
        <w:rPr>
          <w:rFonts w:ascii="Calibri" w:hAnsi="Calibri" w:cs="Calibri"/>
        </w:rPr>
        <w:t>dostarczenie materiałów i sprzętu,</w:t>
      </w:r>
    </w:p>
    <w:p w:rsidR="00376DA1" w:rsidRPr="00532721" w:rsidRDefault="00376DA1" w:rsidP="00376DA1">
      <w:pPr>
        <w:rPr>
          <w:rFonts w:ascii="Calibri" w:hAnsi="Calibri" w:cs="Calibri"/>
        </w:rPr>
      </w:pPr>
      <w:r>
        <w:rPr>
          <w:rFonts w:ascii="Calibri" w:hAnsi="Calibri" w:cs="Calibri"/>
        </w:rPr>
        <w:lastRenderedPageBreak/>
        <w:t>-</w:t>
      </w:r>
      <w:r w:rsidRPr="00532721">
        <w:rPr>
          <w:rFonts w:ascii="Calibri" w:hAnsi="Calibri" w:cs="Calibri"/>
        </w:rPr>
        <w:t>opracowanie recepty laboratoryjnej,</w:t>
      </w:r>
    </w:p>
    <w:p w:rsidR="00376DA1" w:rsidRPr="00532721" w:rsidRDefault="00376DA1" w:rsidP="00376DA1">
      <w:pPr>
        <w:rPr>
          <w:rFonts w:ascii="Calibri" w:hAnsi="Calibri" w:cs="Calibri"/>
        </w:rPr>
      </w:pPr>
      <w:r>
        <w:rPr>
          <w:rFonts w:ascii="Calibri" w:hAnsi="Calibri" w:cs="Calibri"/>
        </w:rPr>
        <w:t>-</w:t>
      </w:r>
      <w:r w:rsidRPr="00532721">
        <w:rPr>
          <w:rFonts w:ascii="Calibri" w:hAnsi="Calibri" w:cs="Calibri"/>
        </w:rPr>
        <w:t>wykonanie próby technologicznej i odcinka próbnego,</w:t>
      </w:r>
    </w:p>
    <w:p w:rsidR="00376DA1" w:rsidRPr="00532721" w:rsidRDefault="00376DA1" w:rsidP="00376DA1">
      <w:pPr>
        <w:rPr>
          <w:rFonts w:ascii="Calibri" w:hAnsi="Calibri" w:cs="Calibri"/>
        </w:rPr>
      </w:pPr>
      <w:r>
        <w:rPr>
          <w:rFonts w:ascii="Calibri" w:hAnsi="Calibri" w:cs="Calibri"/>
        </w:rPr>
        <w:t>-</w:t>
      </w:r>
      <w:r w:rsidRPr="00532721">
        <w:rPr>
          <w:rFonts w:ascii="Calibri" w:hAnsi="Calibri" w:cs="Calibri"/>
        </w:rPr>
        <w:t>wyprodukowanie mieszanki betonu asfaltowego i jej transport na miejsce wbudowania,</w:t>
      </w:r>
    </w:p>
    <w:p w:rsidR="00376DA1" w:rsidRPr="00532721" w:rsidRDefault="00376DA1" w:rsidP="00376DA1">
      <w:pPr>
        <w:rPr>
          <w:rFonts w:ascii="Calibri" w:hAnsi="Calibri" w:cs="Calibri"/>
        </w:rPr>
      </w:pPr>
      <w:r>
        <w:rPr>
          <w:rFonts w:ascii="Calibri" w:hAnsi="Calibri" w:cs="Calibri"/>
        </w:rPr>
        <w:t>-</w:t>
      </w:r>
      <w:r w:rsidRPr="00532721">
        <w:rPr>
          <w:rFonts w:ascii="Calibri" w:hAnsi="Calibri" w:cs="Calibri"/>
        </w:rPr>
        <w:t>posmarowanie lepiszczem lub pokrycie taśmą asfaltową krawędzi urządzeń obcych i krawężników,</w:t>
      </w:r>
    </w:p>
    <w:p w:rsidR="00376DA1" w:rsidRPr="00532721" w:rsidRDefault="00376DA1" w:rsidP="00376DA1">
      <w:pPr>
        <w:rPr>
          <w:rFonts w:ascii="Calibri" w:hAnsi="Calibri" w:cs="Calibri"/>
        </w:rPr>
      </w:pPr>
      <w:r>
        <w:rPr>
          <w:rFonts w:ascii="Calibri" w:hAnsi="Calibri" w:cs="Calibri"/>
        </w:rPr>
        <w:t>-</w:t>
      </w:r>
      <w:r w:rsidRPr="00532721">
        <w:rPr>
          <w:rFonts w:ascii="Calibri" w:hAnsi="Calibri" w:cs="Calibri"/>
        </w:rPr>
        <w:t>rozłożenie i zagęszczenie mieszanki betonu asfaltowego,</w:t>
      </w:r>
    </w:p>
    <w:p w:rsidR="00376DA1" w:rsidRPr="00532721" w:rsidRDefault="00376DA1" w:rsidP="00376DA1">
      <w:pPr>
        <w:rPr>
          <w:rFonts w:ascii="Calibri" w:hAnsi="Calibri" w:cs="Calibri"/>
        </w:rPr>
      </w:pPr>
      <w:r>
        <w:rPr>
          <w:rFonts w:ascii="Calibri" w:hAnsi="Calibri" w:cs="Calibri"/>
        </w:rPr>
        <w:t>-</w:t>
      </w:r>
      <w:r w:rsidRPr="00532721">
        <w:rPr>
          <w:rFonts w:ascii="Calibri" w:hAnsi="Calibri" w:cs="Calibri"/>
        </w:rPr>
        <w:t>obcięcie krawędzi i posmarowanie lepiszczem,</w:t>
      </w:r>
    </w:p>
    <w:p w:rsidR="00376DA1" w:rsidRPr="00532721" w:rsidRDefault="00376DA1" w:rsidP="00376DA1">
      <w:pPr>
        <w:rPr>
          <w:rFonts w:ascii="Calibri" w:hAnsi="Calibri" w:cs="Calibri"/>
        </w:rPr>
      </w:pPr>
      <w:r>
        <w:rPr>
          <w:rFonts w:ascii="Calibri" w:hAnsi="Calibri" w:cs="Calibri"/>
        </w:rPr>
        <w:t>-</w:t>
      </w:r>
      <w:r w:rsidRPr="00532721">
        <w:rPr>
          <w:rFonts w:ascii="Calibri" w:hAnsi="Calibri" w:cs="Calibri"/>
        </w:rPr>
        <w:t>przeprowadzenie pomiarów i badań  wymaganych w specyfikacji technicznej,</w:t>
      </w:r>
    </w:p>
    <w:p w:rsidR="00376DA1" w:rsidRPr="00532721" w:rsidRDefault="00376DA1" w:rsidP="00376DA1">
      <w:pPr>
        <w:rPr>
          <w:rFonts w:ascii="Calibri" w:hAnsi="Calibri" w:cs="Calibri"/>
        </w:rPr>
      </w:pPr>
      <w:r>
        <w:rPr>
          <w:rFonts w:ascii="Calibri" w:hAnsi="Calibri" w:cs="Calibri"/>
        </w:rPr>
        <w:t>-</w:t>
      </w:r>
      <w:r w:rsidRPr="00532721">
        <w:rPr>
          <w:rFonts w:ascii="Calibri" w:hAnsi="Calibri" w:cs="Calibri"/>
        </w:rPr>
        <w:t>odwiezienie sprzętu.</w:t>
      </w:r>
    </w:p>
    <w:p w:rsidR="00376DA1" w:rsidRPr="00532721" w:rsidRDefault="00376DA1" w:rsidP="00376DA1">
      <w:pPr>
        <w:rPr>
          <w:rFonts w:ascii="Calibri" w:hAnsi="Calibri" w:cs="Calibri"/>
        </w:rPr>
      </w:pPr>
      <w:r w:rsidRPr="008079E6">
        <w:rPr>
          <w:rFonts w:ascii="Calibri" w:hAnsi="Calibri" w:cs="Calibri"/>
          <w:b/>
        </w:rPr>
        <w:t>9.3.</w:t>
      </w:r>
      <w:r w:rsidRPr="00532721">
        <w:rPr>
          <w:rFonts w:ascii="Calibri" w:hAnsi="Calibri" w:cs="Calibri"/>
        </w:rPr>
        <w:t xml:space="preserve"> Sposób rozliczenia robót tymczasowych i prac towarzyszących</w:t>
      </w:r>
    </w:p>
    <w:p w:rsidR="00376DA1" w:rsidRPr="00532721" w:rsidRDefault="00376DA1" w:rsidP="00376DA1">
      <w:pPr>
        <w:rPr>
          <w:rFonts w:ascii="Calibri" w:hAnsi="Calibri" w:cs="Calibri"/>
        </w:rPr>
      </w:pPr>
      <w:r w:rsidRPr="00532721">
        <w:rPr>
          <w:rFonts w:ascii="Calibri" w:hAnsi="Calibri" w:cs="Calibri"/>
        </w:rPr>
        <w:tab/>
        <w:t>Cena wykonan</w:t>
      </w:r>
      <w:r>
        <w:rPr>
          <w:rFonts w:ascii="Calibri" w:hAnsi="Calibri" w:cs="Calibri"/>
        </w:rPr>
        <w:t xml:space="preserve">ia robót określonych niniejszą </w:t>
      </w:r>
      <w:r w:rsidRPr="00532721">
        <w:rPr>
          <w:rFonts w:ascii="Calibri" w:hAnsi="Calibri" w:cs="Calibri"/>
        </w:rPr>
        <w:t>ST obejmuje:</w:t>
      </w:r>
    </w:p>
    <w:p w:rsidR="00376DA1" w:rsidRPr="00532721" w:rsidRDefault="00376DA1" w:rsidP="00376DA1">
      <w:pPr>
        <w:rPr>
          <w:rFonts w:ascii="Calibri" w:hAnsi="Calibri" w:cs="Calibri"/>
        </w:rPr>
      </w:pPr>
      <w:r>
        <w:rPr>
          <w:rFonts w:ascii="Calibri" w:hAnsi="Calibri" w:cs="Calibri"/>
        </w:rPr>
        <w:t>-</w:t>
      </w:r>
      <w:r w:rsidRPr="00532721">
        <w:rPr>
          <w:rFonts w:ascii="Calibri" w:hAnsi="Calibri" w:cs="Calibri"/>
        </w:rPr>
        <w:t>roboty tymczasowe, które są potrzebne do wykonania robót podstawowych, ale nie są przekazywane Zamawiającemu i są usuwane po wykonaniu robót podstawowych,</w:t>
      </w:r>
    </w:p>
    <w:p w:rsidR="00376DA1" w:rsidRDefault="00376DA1" w:rsidP="00376DA1">
      <w:pPr>
        <w:rPr>
          <w:rFonts w:ascii="Calibri" w:hAnsi="Calibri" w:cs="Calibri"/>
        </w:rPr>
      </w:pPr>
      <w:r>
        <w:rPr>
          <w:rFonts w:ascii="Calibri" w:hAnsi="Calibri" w:cs="Calibri"/>
        </w:rPr>
        <w:t>-</w:t>
      </w:r>
      <w:r w:rsidRPr="00532721">
        <w:rPr>
          <w:rFonts w:ascii="Calibri" w:hAnsi="Calibri" w:cs="Calibri"/>
        </w:rPr>
        <w:t>prace towarzyszące, które są niezbędne do wykonania robót podstawowych, niezaliczane do robót tymczasowych, jak geodezyjne wytyczenie robót itd.</w:t>
      </w:r>
    </w:p>
    <w:p w:rsidR="00376DA1" w:rsidRPr="00532721" w:rsidRDefault="00376DA1" w:rsidP="00376DA1">
      <w:pPr>
        <w:rPr>
          <w:rFonts w:ascii="Calibri" w:hAnsi="Calibri" w:cs="Calibri"/>
        </w:rPr>
      </w:pPr>
    </w:p>
    <w:p w:rsidR="00376DA1" w:rsidRPr="008079E6" w:rsidRDefault="00376DA1" w:rsidP="00376DA1">
      <w:pPr>
        <w:rPr>
          <w:rFonts w:ascii="Calibri" w:hAnsi="Calibri" w:cs="Calibri"/>
          <w:b/>
        </w:rPr>
      </w:pPr>
      <w:bookmarkStart w:id="1457" w:name="_Toc25128891"/>
      <w:bookmarkStart w:id="1458" w:name="_Toc25373389"/>
      <w:bookmarkStart w:id="1459" w:name="_Toc25379405"/>
      <w:bookmarkStart w:id="1460" w:name="_Toc174333142"/>
      <w:bookmarkStart w:id="1461" w:name="_Toc179183775"/>
      <w:bookmarkStart w:id="1462" w:name="_Toc198436144"/>
      <w:bookmarkStart w:id="1463" w:name="_Toc217274572"/>
      <w:bookmarkStart w:id="1464" w:name="_Toc238276197"/>
      <w:r w:rsidRPr="008079E6">
        <w:rPr>
          <w:rFonts w:ascii="Calibri" w:hAnsi="Calibri" w:cs="Calibri"/>
          <w:b/>
        </w:rPr>
        <w:t xml:space="preserve">10. </w:t>
      </w:r>
      <w:bookmarkEnd w:id="1457"/>
      <w:bookmarkEnd w:id="1458"/>
      <w:bookmarkEnd w:id="1459"/>
      <w:bookmarkEnd w:id="1460"/>
      <w:bookmarkEnd w:id="1461"/>
      <w:bookmarkEnd w:id="1462"/>
      <w:bookmarkEnd w:id="1463"/>
      <w:bookmarkEnd w:id="1464"/>
      <w:r w:rsidRPr="008079E6">
        <w:rPr>
          <w:rFonts w:ascii="Calibri" w:hAnsi="Calibri" w:cs="Calibri"/>
          <w:b/>
        </w:rPr>
        <w:t>PRZEPISY ZWIĄZANE</w:t>
      </w:r>
    </w:p>
    <w:p w:rsidR="00376DA1" w:rsidRPr="00532721" w:rsidRDefault="00376DA1" w:rsidP="00376DA1">
      <w:pPr>
        <w:rPr>
          <w:rFonts w:ascii="Calibri" w:hAnsi="Calibri" w:cs="Calibri"/>
        </w:rPr>
      </w:pPr>
      <w:r w:rsidRPr="008079E6">
        <w:rPr>
          <w:rFonts w:ascii="Calibri" w:hAnsi="Calibri" w:cs="Calibri"/>
          <w:b/>
        </w:rPr>
        <w:t>10.1.</w:t>
      </w:r>
      <w:r>
        <w:rPr>
          <w:rFonts w:ascii="Calibri" w:hAnsi="Calibri" w:cs="Calibri"/>
        </w:rPr>
        <w:t xml:space="preserve"> Specyfikacje techniczne (</w:t>
      </w:r>
      <w:r w:rsidRPr="00532721">
        <w:rPr>
          <w:rFonts w:ascii="Calibri" w:hAnsi="Calibri" w:cs="Calibri"/>
        </w:rPr>
        <w:t>ST)</w:t>
      </w:r>
    </w:p>
    <w:tbl>
      <w:tblPr>
        <w:tblW w:w="0" w:type="auto"/>
        <w:tblInd w:w="70" w:type="dxa"/>
        <w:tblLayout w:type="fixed"/>
        <w:tblCellMar>
          <w:left w:w="70" w:type="dxa"/>
          <w:right w:w="70" w:type="dxa"/>
        </w:tblCellMar>
        <w:tblLook w:val="0000"/>
      </w:tblPr>
      <w:tblGrid>
        <w:gridCol w:w="496"/>
        <w:gridCol w:w="1842"/>
        <w:gridCol w:w="5172"/>
      </w:tblGrid>
      <w:tr w:rsidR="00376DA1" w:rsidTr="00556540">
        <w:tc>
          <w:tcPr>
            <w:tcW w:w="496" w:type="dxa"/>
          </w:tcPr>
          <w:p w:rsidR="00376DA1" w:rsidRPr="00532721" w:rsidRDefault="00376DA1" w:rsidP="00556540">
            <w:pPr>
              <w:jc w:val="center"/>
              <w:rPr>
                <w:rFonts w:ascii="Calibri" w:hAnsi="Calibri" w:cs="Calibri"/>
              </w:rPr>
            </w:pPr>
            <w:r w:rsidRPr="00532721">
              <w:rPr>
                <w:rFonts w:ascii="Calibri" w:hAnsi="Calibri" w:cs="Calibri"/>
              </w:rPr>
              <w:t>1.</w:t>
            </w:r>
          </w:p>
        </w:tc>
        <w:tc>
          <w:tcPr>
            <w:tcW w:w="1842" w:type="dxa"/>
          </w:tcPr>
          <w:p w:rsidR="00376DA1" w:rsidRPr="00532721" w:rsidRDefault="00376DA1" w:rsidP="00556540">
            <w:pPr>
              <w:rPr>
                <w:rFonts w:ascii="Calibri" w:hAnsi="Calibri" w:cs="Calibri"/>
              </w:rPr>
            </w:pPr>
            <w:r w:rsidRPr="00532721">
              <w:rPr>
                <w:rFonts w:ascii="Calibri" w:hAnsi="Calibri" w:cs="Calibri"/>
              </w:rPr>
              <w:t>D-M-00.00.00</w:t>
            </w:r>
          </w:p>
        </w:tc>
        <w:tc>
          <w:tcPr>
            <w:tcW w:w="5172" w:type="dxa"/>
          </w:tcPr>
          <w:p w:rsidR="00376DA1" w:rsidRPr="00532721" w:rsidRDefault="00376DA1" w:rsidP="00556540">
            <w:pPr>
              <w:rPr>
                <w:rFonts w:ascii="Calibri" w:hAnsi="Calibri" w:cs="Calibri"/>
              </w:rPr>
            </w:pPr>
            <w:r w:rsidRPr="00532721">
              <w:rPr>
                <w:rFonts w:ascii="Calibri" w:hAnsi="Calibri" w:cs="Calibri"/>
              </w:rPr>
              <w:t xml:space="preserve"> Wymagania ogólne</w:t>
            </w:r>
          </w:p>
        </w:tc>
      </w:tr>
    </w:tbl>
    <w:p w:rsidR="00376DA1" w:rsidRPr="00532721" w:rsidRDefault="00376DA1" w:rsidP="00376DA1">
      <w:pPr>
        <w:rPr>
          <w:rFonts w:ascii="Calibri" w:hAnsi="Calibri" w:cs="Calibri"/>
        </w:rPr>
      </w:pPr>
      <w:r w:rsidRPr="008079E6">
        <w:rPr>
          <w:rFonts w:ascii="Calibri" w:hAnsi="Calibri" w:cs="Calibri"/>
          <w:b/>
        </w:rPr>
        <w:t>10.2.</w:t>
      </w:r>
      <w:r w:rsidRPr="00532721">
        <w:rPr>
          <w:rFonts w:ascii="Calibri" w:hAnsi="Calibri" w:cs="Calibri"/>
        </w:rPr>
        <w:t xml:space="preserve"> Normy</w:t>
      </w:r>
    </w:p>
    <w:p w:rsidR="00376DA1" w:rsidRPr="00532721" w:rsidRDefault="00376DA1" w:rsidP="00376DA1">
      <w:pPr>
        <w:rPr>
          <w:rFonts w:ascii="Calibri" w:hAnsi="Calibri" w:cs="Calibri"/>
        </w:rPr>
      </w:pPr>
      <w:r w:rsidRPr="00532721">
        <w:rPr>
          <w:rFonts w:ascii="Calibri" w:hAnsi="Calibri" w:cs="Calibri"/>
        </w:rPr>
        <w:t>(Zestawienie zawiera dodatkowo normy PN-EN związane z badaniami materiałów występujących w niniejszej ST)</w:t>
      </w:r>
    </w:p>
    <w:tbl>
      <w:tblPr>
        <w:tblW w:w="0" w:type="auto"/>
        <w:tblInd w:w="-34" w:type="dxa"/>
        <w:tblLook w:val="01E0"/>
      </w:tblPr>
      <w:tblGrid>
        <w:gridCol w:w="534"/>
        <w:gridCol w:w="1842"/>
        <w:gridCol w:w="5135"/>
      </w:tblGrid>
      <w:tr w:rsidR="00376DA1" w:rsidRPr="00532721" w:rsidTr="00556540">
        <w:tc>
          <w:tcPr>
            <w:tcW w:w="534" w:type="dxa"/>
          </w:tcPr>
          <w:p w:rsidR="00376DA1" w:rsidRPr="00532721" w:rsidRDefault="00376DA1" w:rsidP="00556540">
            <w:pPr>
              <w:jc w:val="right"/>
              <w:rPr>
                <w:rFonts w:ascii="Calibri" w:hAnsi="Calibri" w:cs="Calibri"/>
              </w:rPr>
            </w:pPr>
            <w:r w:rsidRPr="00532721">
              <w:rPr>
                <w:rFonts w:ascii="Calibri" w:hAnsi="Calibri" w:cs="Calibri"/>
              </w:rPr>
              <w:t>2.</w:t>
            </w:r>
          </w:p>
        </w:tc>
        <w:tc>
          <w:tcPr>
            <w:tcW w:w="1842" w:type="dxa"/>
          </w:tcPr>
          <w:p w:rsidR="00376DA1" w:rsidRPr="00532721" w:rsidRDefault="00376DA1" w:rsidP="00556540">
            <w:pPr>
              <w:rPr>
                <w:rFonts w:ascii="Calibri" w:hAnsi="Calibri" w:cs="Calibri"/>
              </w:rPr>
            </w:pPr>
            <w:r w:rsidRPr="00532721">
              <w:rPr>
                <w:rFonts w:ascii="Calibri" w:hAnsi="Calibri" w:cs="Calibri"/>
              </w:rPr>
              <w:t>PN-EN 196-21</w:t>
            </w:r>
          </w:p>
        </w:tc>
        <w:tc>
          <w:tcPr>
            <w:tcW w:w="5135" w:type="dxa"/>
          </w:tcPr>
          <w:p w:rsidR="00376DA1" w:rsidRPr="00532721" w:rsidRDefault="00376DA1" w:rsidP="00556540">
            <w:pPr>
              <w:rPr>
                <w:rFonts w:ascii="Calibri" w:hAnsi="Calibri" w:cs="Calibri"/>
              </w:rPr>
            </w:pPr>
            <w:r w:rsidRPr="00532721">
              <w:rPr>
                <w:rFonts w:ascii="Calibri" w:hAnsi="Calibri" w:cs="Calibri"/>
              </w:rPr>
              <w:t>Metody badania cementu – Oznaczanie zawartości chlorków, dwutlenku węgla i alkaliów w cemencie</w:t>
            </w:r>
            <w:r>
              <w:rPr>
                <w:rFonts w:ascii="Calibri" w:hAnsi="Calibri" w:cs="Calibri"/>
              </w:rPr>
              <w:t>.</w:t>
            </w:r>
          </w:p>
        </w:tc>
      </w:tr>
      <w:tr w:rsidR="00376DA1" w:rsidRPr="00532721" w:rsidTr="00556540">
        <w:tc>
          <w:tcPr>
            <w:tcW w:w="534" w:type="dxa"/>
          </w:tcPr>
          <w:p w:rsidR="00376DA1" w:rsidRPr="00532721" w:rsidRDefault="00376DA1" w:rsidP="00556540">
            <w:pPr>
              <w:jc w:val="right"/>
              <w:rPr>
                <w:rFonts w:ascii="Calibri" w:hAnsi="Calibri" w:cs="Calibri"/>
              </w:rPr>
            </w:pPr>
            <w:r w:rsidRPr="00532721">
              <w:rPr>
                <w:rFonts w:ascii="Calibri" w:hAnsi="Calibri" w:cs="Calibri"/>
              </w:rPr>
              <w:t>3.</w:t>
            </w:r>
          </w:p>
        </w:tc>
        <w:tc>
          <w:tcPr>
            <w:tcW w:w="1842" w:type="dxa"/>
          </w:tcPr>
          <w:p w:rsidR="00376DA1" w:rsidRPr="00532721" w:rsidRDefault="00376DA1" w:rsidP="00556540">
            <w:pPr>
              <w:rPr>
                <w:rFonts w:ascii="Calibri" w:hAnsi="Calibri" w:cs="Calibri"/>
              </w:rPr>
            </w:pPr>
            <w:r w:rsidRPr="00532721">
              <w:rPr>
                <w:rFonts w:ascii="Calibri" w:hAnsi="Calibri" w:cs="Calibri"/>
              </w:rPr>
              <w:t>PN-EN 459-2</w:t>
            </w:r>
          </w:p>
        </w:tc>
        <w:tc>
          <w:tcPr>
            <w:tcW w:w="5135" w:type="dxa"/>
          </w:tcPr>
          <w:p w:rsidR="00376DA1" w:rsidRPr="00532721" w:rsidRDefault="00376DA1" w:rsidP="00556540">
            <w:pPr>
              <w:rPr>
                <w:rFonts w:ascii="Calibri" w:hAnsi="Calibri" w:cs="Calibri"/>
              </w:rPr>
            </w:pPr>
            <w:r w:rsidRPr="00532721">
              <w:rPr>
                <w:rFonts w:ascii="Calibri" w:hAnsi="Calibri" w:cs="Calibri"/>
              </w:rPr>
              <w:t>Wapno budowlane – Część 2: Metody badań</w:t>
            </w:r>
            <w:r>
              <w:rPr>
                <w:rFonts w:ascii="Calibri" w:hAnsi="Calibri" w:cs="Calibri"/>
              </w:rPr>
              <w:t>.</w:t>
            </w:r>
          </w:p>
        </w:tc>
      </w:tr>
      <w:tr w:rsidR="00376DA1" w:rsidRPr="00532721" w:rsidTr="00556540">
        <w:tc>
          <w:tcPr>
            <w:tcW w:w="534" w:type="dxa"/>
          </w:tcPr>
          <w:p w:rsidR="00376DA1" w:rsidRPr="00532721" w:rsidRDefault="00376DA1" w:rsidP="00556540">
            <w:pPr>
              <w:jc w:val="right"/>
              <w:rPr>
                <w:rFonts w:ascii="Calibri" w:hAnsi="Calibri" w:cs="Calibri"/>
              </w:rPr>
            </w:pPr>
            <w:r w:rsidRPr="00532721">
              <w:rPr>
                <w:rFonts w:ascii="Calibri" w:hAnsi="Calibri" w:cs="Calibri"/>
              </w:rPr>
              <w:t>4.</w:t>
            </w:r>
          </w:p>
        </w:tc>
        <w:tc>
          <w:tcPr>
            <w:tcW w:w="1842" w:type="dxa"/>
          </w:tcPr>
          <w:p w:rsidR="00376DA1" w:rsidRPr="00532721" w:rsidRDefault="00376DA1" w:rsidP="00556540">
            <w:pPr>
              <w:rPr>
                <w:rFonts w:ascii="Calibri" w:hAnsi="Calibri" w:cs="Calibri"/>
              </w:rPr>
            </w:pPr>
            <w:r w:rsidRPr="00532721">
              <w:rPr>
                <w:rFonts w:ascii="Calibri" w:hAnsi="Calibri" w:cs="Calibri"/>
              </w:rPr>
              <w:t>PN-EN 932-3</w:t>
            </w:r>
          </w:p>
        </w:tc>
        <w:tc>
          <w:tcPr>
            <w:tcW w:w="5135" w:type="dxa"/>
          </w:tcPr>
          <w:p w:rsidR="00376DA1" w:rsidRPr="00532721" w:rsidRDefault="00376DA1" w:rsidP="00556540">
            <w:pPr>
              <w:rPr>
                <w:rFonts w:ascii="Calibri" w:hAnsi="Calibri" w:cs="Calibri"/>
              </w:rPr>
            </w:pPr>
            <w:r w:rsidRPr="00532721">
              <w:rPr>
                <w:rFonts w:ascii="Calibri" w:hAnsi="Calibri" w:cs="Calibri"/>
              </w:rPr>
              <w:t>Badania podstawowych właściwości kruszyw – Procedura i terminologia uproszczonego opisu petrograficznego</w:t>
            </w:r>
            <w:r>
              <w:rPr>
                <w:rFonts w:ascii="Calibri" w:hAnsi="Calibri" w:cs="Calibri"/>
              </w:rPr>
              <w:t>.</w:t>
            </w:r>
          </w:p>
        </w:tc>
      </w:tr>
      <w:tr w:rsidR="00376DA1" w:rsidRPr="00532721" w:rsidTr="00556540">
        <w:tc>
          <w:tcPr>
            <w:tcW w:w="534" w:type="dxa"/>
          </w:tcPr>
          <w:p w:rsidR="00376DA1" w:rsidRPr="00532721" w:rsidRDefault="00376DA1" w:rsidP="00556540">
            <w:pPr>
              <w:jc w:val="right"/>
              <w:rPr>
                <w:rFonts w:ascii="Calibri" w:hAnsi="Calibri" w:cs="Calibri"/>
              </w:rPr>
            </w:pPr>
            <w:r w:rsidRPr="00532721">
              <w:rPr>
                <w:rFonts w:ascii="Calibri" w:hAnsi="Calibri" w:cs="Calibri"/>
              </w:rPr>
              <w:t>5.</w:t>
            </w:r>
          </w:p>
        </w:tc>
        <w:tc>
          <w:tcPr>
            <w:tcW w:w="1842" w:type="dxa"/>
          </w:tcPr>
          <w:p w:rsidR="00376DA1" w:rsidRPr="00532721" w:rsidRDefault="00376DA1" w:rsidP="00556540">
            <w:pPr>
              <w:rPr>
                <w:rFonts w:ascii="Calibri" w:hAnsi="Calibri" w:cs="Calibri"/>
              </w:rPr>
            </w:pPr>
            <w:r w:rsidRPr="00532721">
              <w:rPr>
                <w:rFonts w:ascii="Calibri" w:hAnsi="Calibri" w:cs="Calibri"/>
              </w:rPr>
              <w:t>PN-EN 933-1</w:t>
            </w:r>
          </w:p>
        </w:tc>
        <w:tc>
          <w:tcPr>
            <w:tcW w:w="5135" w:type="dxa"/>
          </w:tcPr>
          <w:p w:rsidR="00376DA1" w:rsidRPr="00532721" w:rsidRDefault="00376DA1" w:rsidP="00556540">
            <w:pPr>
              <w:rPr>
                <w:rFonts w:ascii="Calibri" w:hAnsi="Calibri" w:cs="Calibri"/>
              </w:rPr>
            </w:pPr>
            <w:r w:rsidRPr="00532721">
              <w:rPr>
                <w:rFonts w:ascii="Calibri" w:hAnsi="Calibri" w:cs="Calibri"/>
              </w:rPr>
              <w:t>Badania geometrycznych właściwości kruszyw – Oznaczanie składu ziarnowego – Metoda przesiewania</w:t>
            </w:r>
            <w:r>
              <w:rPr>
                <w:rFonts w:ascii="Calibri" w:hAnsi="Calibri" w:cs="Calibri"/>
              </w:rPr>
              <w:t>.</w:t>
            </w:r>
          </w:p>
        </w:tc>
      </w:tr>
      <w:tr w:rsidR="00376DA1" w:rsidRPr="00532721" w:rsidTr="00556540">
        <w:tc>
          <w:tcPr>
            <w:tcW w:w="534" w:type="dxa"/>
          </w:tcPr>
          <w:p w:rsidR="00376DA1" w:rsidRPr="00532721" w:rsidRDefault="00376DA1" w:rsidP="00556540">
            <w:pPr>
              <w:jc w:val="right"/>
              <w:rPr>
                <w:rFonts w:ascii="Calibri" w:hAnsi="Calibri" w:cs="Calibri"/>
              </w:rPr>
            </w:pPr>
            <w:r w:rsidRPr="00532721">
              <w:rPr>
                <w:rFonts w:ascii="Calibri" w:hAnsi="Calibri" w:cs="Calibri"/>
              </w:rPr>
              <w:t>6.</w:t>
            </w:r>
          </w:p>
        </w:tc>
        <w:tc>
          <w:tcPr>
            <w:tcW w:w="1842" w:type="dxa"/>
          </w:tcPr>
          <w:p w:rsidR="00376DA1" w:rsidRPr="00532721" w:rsidRDefault="00376DA1" w:rsidP="00556540">
            <w:pPr>
              <w:rPr>
                <w:rFonts w:ascii="Calibri" w:hAnsi="Calibri" w:cs="Calibri"/>
              </w:rPr>
            </w:pPr>
            <w:r w:rsidRPr="00532721">
              <w:rPr>
                <w:rFonts w:ascii="Calibri" w:hAnsi="Calibri" w:cs="Calibri"/>
              </w:rPr>
              <w:t>PN-EN 933-3</w:t>
            </w:r>
          </w:p>
        </w:tc>
        <w:tc>
          <w:tcPr>
            <w:tcW w:w="5135" w:type="dxa"/>
          </w:tcPr>
          <w:p w:rsidR="00376DA1" w:rsidRPr="00532721" w:rsidRDefault="00376DA1" w:rsidP="00556540">
            <w:pPr>
              <w:rPr>
                <w:rFonts w:ascii="Calibri" w:hAnsi="Calibri" w:cs="Calibri"/>
              </w:rPr>
            </w:pPr>
            <w:r w:rsidRPr="00532721">
              <w:rPr>
                <w:rFonts w:ascii="Calibri" w:hAnsi="Calibri" w:cs="Calibri"/>
              </w:rPr>
              <w:t>Badania geometrycznych właściwości kruszyw – Oznaczanie kształtu ziaren za pomocą wskaźnika płaskości</w:t>
            </w:r>
            <w:r>
              <w:rPr>
                <w:rFonts w:ascii="Calibri" w:hAnsi="Calibri" w:cs="Calibri"/>
              </w:rPr>
              <w:t>.</w:t>
            </w:r>
          </w:p>
        </w:tc>
      </w:tr>
      <w:tr w:rsidR="00376DA1" w:rsidRPr="00532721" w:rsidTr="00556540">
        <w:tc>
          <w:tcPr>
            <w:tcW w:w="534" w:type="dxa"/>
          </w:tcPr>
          <w:p w:rsidR="00376DA1" w:rsidRPr="00532721" w:rsidRDefault="00376DA1" w:rsidP="00556540">
            <w:pPr>
              <w:jc w:val="right"/>
              <w:rPr>
                <w:rFonts w:ascii="Calibri" w:hAnsi="Calibri" w:cs="Calibri"/>
              </w:rPr>
            </w:pPr>
            <w:r w:rsidRPr="00532721">
              <w:rPr>
                <w:rFonts w:ascii="Calibri" w:hAnsi="Calibri" w:cs="Calibri"/>
              </w:rPr>
              <w:t>7.</w:t>
            </w:r>
          </w:p>
        </w:tc>
        <w:tc>
          <w:tcPr>
            <w:tcW w:w="1842" w:type="dxa"/>
          </w:tcPr>
          <w:p w:rsidR="00376DA1" w:rsidRPr="00532721" w:rsidRDefault="00376DA1" w:rsidP="00556540">
            <w:pPr>
              <w:rPr>
                <w:rFonts w:ascii="Calibri" w:hAnsi="Calibri" w:cs="Calibri"/>
              </w:rPr>
            </w:pPr>
            <w:r w:rsidRPr="00532721">
              <w:rPr>
                <w:rFonts w:ascii="Calibri" w:hAnsi="Calibri" w:cs="Calibri"/>
              </w:rPr>
              <w:t>PN-EN 933-4</w:t>
            </w:r>
          </w:p>
        </w:tc>
        <w:tc>
          <w:tcPr>
            <w:tcW w:w="5135" w:type="dxa"/>
          </w:tcPr>
          <w:p w:rsidR="00376DA1" w:rsidRPr="00532721" w:rsidRDefault="00376DA1" w:rsidP="00556540">
            <w:pPr>
              <w:rPr>
                <w:rFonts w:ascii="Calibri" w:hAnsi="Calibri" w:cs="Calibri"/>
              </w:rPr>
            </w:pPr>
            <w:r w:rsidRPr="00532721">
              <w:rPr>
                <w:rFonts w:ascii="Calibri" w:hAnsi="Calibri" w:cs="Calibri"/>
              </w:rPr>
              <w:t>Badania geometrycznych właściwości kruszyw – Część 4: Oznaczanie kształtu ziaren – Wskaźnik kształtu</w:t>
            </w:r>
            <w:r>
              <w:rPr>
                <w:rFonts w:ascii="Calibri" w:hAnsi="Calibri" w:cs="Calibri"/>
              </w:rPr>
              <w:t>.</w:t>
            </w:r>
          </w:p>
        </w:tc>
      </w:tr>
      <w:tr w:rsidR="00376DA1" w:rsidRPr="00532721" w:rsidTr="00556540">
        <w:tc>
          <w:tcPr>
            <w:tcW w:w="534" w:type="dxa"/>
          </w:tcPr>
          <w:p w:rsidR="00376DA1" w:rsidRPr="00532721" w:rsidRDefault="00376DA1" w:rsidP="00556540">
            <w:pPr>
              <w:jc w:val="right"/>
              <w:rPr>
                <w:rFonts w:ascii="Calibri" w:hAnsi="Calibri" w:cs="Calibri"/>
              </w:rPr>
            </w:pPr>
            <w:r w:rsidRPr="00532721">
              <w:rPr>
                <w:rFonts w:ascii="Calibri" w:hAnsi="Calibri" w:cs="Calibri"/>
              </w:rPr>
              <w:t>8.</w:t>
            </w:r>
          </w:p>
        </w:tc>
        <w:tc>
          <w:tcPr>
            <w:tcW w:w="1842" w:type="dxa"/>
          </w:tcPr>
          <w:p w:rsidR="00376DA1" w:rsidRPr="00532721" w:rsidRDefault="00376DA1" w:rsidP="00556540">
            <w:pPr>
              <w:rPr>
                <w:rFonts w:ascii="Calibri" w:hAnsi="Calibri" w:cs="Calibri"/>
              </w:rPr>
            </w:pPr>
            <w:r w:rsidRPr="00532721">
              <w:rPr>
                <w:rFonts w:ascii="Calibri" w:hAnsi="Calibri" w:cs="Calibri"/>
              </w:rPr>
              <w:t>PN-EN 933-5</w:t>
            </w:r>
          </w:p>
        </w:tc>
        <w:tc>
          <w:tcPr>
            <w:tcW w:w="5135" w:type="dxa"/>
          </w:tcPr>
          <w:p w:rsidR="00376DA1" w:rsidRPr="00532721" w:rsidRDefault="00376DA1" w:rsidP="00556540">
            <w:pPr>
              <w:rPr>
                <w:rFonts w:ascii="Calibri" w:hAnsi="Calibri" w:cs="Calibri"/>
              </w:rPr>
            </w:pPr>
            <w:r w:rsidRPr="00532721">
              <w:rPr>
                <w:rFonts w:ascii="Calibri" w:hAnsi="Calibri" w:cs="Calibri"/>
              </w:rPr>
              <w:t>Badania geometrycznych właściwości kruszyw – Oznaczanie procentowej zawartości ziaren o powierzchniach powstałych w wyniku przekruszenia lub łamania kruszyw grubych</w:t>
            </w:r>
            <w:r>
              <w:rPr>
                <w:rFonts w:ascii="Calibri" w:hAnsi="Calibri" w:cs="Calibri"/>
              </w:rPr>
              <w:t>.</w:t>
            </w:r>
          </w:p>
        </w:tc>
      </w:tr>
      <w:tr w:rsidR="00376DA1" w:rsidRPr="00532721" w:rsidTr="00556540">
        <w:tc>
          <w:tcPr>
            <w:tcW w:w="534" w:type="dxa"/>
          </w:tcPr>
          <w:p w:rsidR="00376DA1" w:rsidRPr="00532721" w:rsidRDefault="00376DA1" w:rsidP="00556540">
            <w:pPr>
              <w:jc w:val="right"/>
              <w:rPr>
                <w:rFonts w:ascii="Calibri" w:hAnsi="Calibri" w:cs="Calibri"/>
              </w:rPr>
            </w:pPr>
            <w:r w:rsidRPr="00532721">
              <w:rPr>
                <w:rFonts w:ascii="Calibri" w:hAnsi="Calibri" w:cs="Calibri"/>
              </w:rPr>
              <w:t>9.</w:t>
            </w:r>
          </w:p>
        </w:tc>
        <w:tc>
          <w:tcPr>
            <w:tcW w:w="1842" w:type="dxa"/>
          </w:tcPr>
          <w:p w:rsidR="00376DA1" w:rsidRPr="00532721" w:rsidRDefault="00376DA1" w:rsidP="00556540">
            <w:pPr>
              <w:rPr>
                <w:rFonts w:ascii="Calibri" w:hAnsi="Calibri" w:cs="Calibri"/>
              </w:rPr>
            </w:pPr>
            <w:r w:rsidRPr="00532721">
              <w:rPr>
                <w:rFonts w:ascii="Calibri" w:hAnsi="Calibri" w:cs="Calibri"/>
              </w:rPr>
              <w:t>PN-EN 933-6</w:t>
            </w:r>
          </w:p>
        </w:tc>
        <w:tc>
          <w:tcPr>
            <w:tcW w:w="5135" w:type="dxa"/>
          </w:tcPr>
          <w:p w:rsidR="00376DA1" w:rsidRPr="00532721" w:rsidRDefault="00376DA1" w:rsidP="00556540">
            <w:pPr>
              <w:rPr>
                <w:rFonts w:ascii="Calibri" w:hAnsi="Calibri" w:cs="Calibri"/>
              </w:rPr>
            </w:pPr>
            <w:r w:rsidRPr="00532721">
              <w:rPr>
                <w:rFonts w:ascii="Calibri" w:hAnsi="Calibri" w:cs="Calibri"/>
              </w:rPr>
              <w:t>Badania geometrycznych właściwości kruszyw – Część 6: Ocena właściwości powierzchni – Wskaźnik przepływu kruszywa</w:t>
            </w:r>
            <w:r>
              <w:rPr>
                <w:rFonts w:ascii="Calibri" w:hAnsi="Calibri" w:cs="Calibri"/>
              </w:rPr>
              <w:t>.</w:t>
            </w:r>
          </w:p>
        </w:tc>
      </w:tr>
      <w:tr w:rsidR="00376DA1" w:rsidRPr="00532721" w:rsidTr="00556540">
        <w:tc>
          <w:tcPr>
            <w:tcW w:w="534" w:type="dxa"/>
          </w:tcPr>
          <w:p w:rsidR="00376DA1" w:rsidRPr="00532721" w:rsidRDefault="00376DA1" w:rsidP="00556540">
            <w:pPr>
              <w:jc w:val="right"/>
              <w:rPr>
                <w:rFonts w:ascii="Calibri" w:hAnsi="Calibri" w:cs="Calibri"/>
              </w:rPr>
            </w:pPr>
            <w:r w:rsidRPr="00532721">
              <w:rPr>
                <w:rFonts w:ascii="Calibri" w:hAnsi="Calibri" w:cs="Calibri"/>
              </w:rPr>
              <w:t>10.</w:t>
            </w:r>
          </w:p>
        </w:tc>
        <w:tc>
          <w:tcPr>
            <w:tcW w:w="1842" w:type="dxa"/>
          </w:tcPr>
          <w:p w:rsidR="00376DA1" w:rsidRPr="00532721" w:rsidRDefault="00376DA1" w:rsidP="00556540">
            <w:pPr>
              <w:rPr>
                <w:rFonts w:ascii="Calibri" w:hAnsi="Calibri" w:cs="Calibri"/>
              </w:rPr>
            </w:pPr>
            <w:r w:rsidRPr="00532721">
              <w:rPr>
                <w:rFonts w:ascii="Calibri" w:hAnsi="Calibri" w:cs="Calibri"/>
              </w:rPr>
              <w:t>PN-EN 933-9</w:t>
            </w:r>
          </w:p>
        </w:tc>
        <w:tc>
          <w:tcPr>
            <w:tcW w:w="5135" w:type="dxa"/>
          </w:tcPr>
          <w:p w:rsidR="00376DA1" w:rsidRPr="00532721" w:rsidRDefault="00376DA1" w:rsidP="00556540">
            <w:pPr>
              <w:rPr>
                <w:rFonts w:ascii="Calibri" w:hAnsi="Calibri" w:cs="Calibri"/>
              </w:rPr>
            </w:pPr>
            <w:r w:rsidRPr="00532721">
              <w:rPr>
                <w:rFonts w:ascii="Calibri" w:hAnsi="Calibri" w:cs="Calibri"/>
              </w:rPr>
              <w:t>Badania geometrycznych właściwości kruszyw – Ocena zawartości drobnych cząstek – Badania błękitem metylenowym</w:t>
            </w:r>
            <w:r>
              <w:rPr>
                <w:rFonts w:ascii="Calibri" w:hAnsi="Calibri" w:cs="Calibri"/>
              </w:rPr>
              <w:t>.</w:t>
            </w:r>
          </w:p>
        </w:tc>
      </w:tr>
      <w:tr w:rsidR="00376DA1" w:rsidRPr="00532721" w:rsidTr="00556540">
        <w:tc>
          <w:tcPr>
            <w:tcW w:w="534" w:type="dxa"/>
          </w:tcPr>
          <w:p w:rsidR="00376DA1" w:rsidRPr="00532721" w:rsidRDefault="00376DA1" w:rsidP="00556540">
            <w:pPr>
              <w:jc w:val="right"/>
              <w:rPr>
                <w:rFonts w:ascii="Calibri" w:hAnsi="Calibri" w:cs="Calibri"/>
              </w:rPr>
            </w:pPr>
            <w:r w:rsidRPr="00532721">
              <w:rPr>
                <w:rFonts w:ascii="Calibri" w:hAnsi="Calibri" w:cs="Calibri"/>
              </w:rPr>
              <w:t>11.</w:t>
            </w:r>
          </w:p>
        </w:tc>
        <w:tc>
          <w:tcPr>
            <w:tcW w:w="1842" w:type="dxa"/>
          </w:tcPr>
          <w:p w:rsidR="00376DA1" w:rsidRPr="00532721" w:rsidRDefault="00376DA1" w:rsidP="00556540">
            <w:pPr>
              <w:rPr>
                <w:rFonts w:ascii="Calibri" w:hAnsi="Calibri" w:cs="Calibri"/>
              </w:rPr>
            </w:pPr>
            <w:r w:rsidRPr="00532721">
              <w:rPr>
                <w:rFonts w:ascii="Calibri" w:hAnsi="Calibri" w:cs="Calibri"/>
              </w:rPr>
              <w:t>PN-EN 933-10</w:t>
            </w:r>
          </w:p>
        </w:tc>
        <w:tc>
          <w:tcPr>
            <w:tcW w:w="5135" w:type="dxa"/>
          </w:tcPr>
          <w:p w:rsidR="00376DA1" w:rsidRPr="00532721" w:rsidRDefault="00376DA1" w:rsidP="00556540">
            <w:pPr>
              <w:rPr>
                <w:rFonts w:ascii="Calibri" w:hAnsi="Calibri" w:cs="Calibri"/>
              </w:rPr>
            </w:pPr>
            <w:r w:rsidRPr="00532721">
              <w:rPr>
                <w:rFonts w:ascii="Calibri" w:hAnsi="Calibri" w:cs="Calibri"/>
              </w:rPr>
              <w:t>Badania geometrycznych właściwości kruszyw – Część 10: Ocena zawartości drobnych cząstek – Uziarnienie wypełniaczy (przesiewanie w strumieniu powietrza)</w:t>
            </w:r>
            <w:r>
              <w:rPr>
                <w:rFonts w:ascii="Calibri" w:hAnsi="Calibri" w:cs="Calibri"/>
              </w:rPr>
              <w:t>.</w:t>
            </w:r>
          </w:p>
        </w:tc>
      </w:tr>
      <w:tr w:rsidR="00376DA1" w:rsidRPr="00532721" w:rsidTr="00556540">
        <w:tc>
          <w:tcPr>
            <w:tcW w:w="534" w:type="dxa"/>
          </w:tcPr>
          <w:p w:rsidR="00376DA1" w:rsidRPr="00532721" w:rsidRDefault="00376DA1" w:rsidP="00556540">
            <w:pPr>
              <w:jc w:val="right"/>
              <w:rPr>
                <w:rFonts w:ascii="Calibri" w:hAnsi="Calibri" w:cs="Calibri"/>
              </w:rPr>
            </w:pPr>
            <w:r w:rsidRPr="00532721">
              <w:rPr>
                <w:rFonts w:ascii="Calibri" w:hAnsi="Calibri" w:cs="Calibri"/>
              </w:rPr>
              <w:t>12.</w:t>
            </w:r>
          </w:p>
        </w:tc>
        <w:tc>
          <w:tcPr>
            <w:tcW w:w="1842" w:type="dxa"/>
          </w:tcPr>
          <w:p w:rsidR="00376DA1" w:rsidRPr="00532721" w:rsidRDefault="00376DA1" w:rsidP="00556540">
            <w:pPr>
              <w:rPr>
                <w:rFonts w:ascii="Calibri" w:hAnsi="Calibri" w:cs="Calibri"/>
              </w:rPr>
            </w:pPr>
            <w:r w:rsidRPr="00532721">
              <w:rPr>
                <w:rFonts w:ascii="Calibri" w:hAnsi="Calibri" w:cs="Calibri"/>
              </w:rPr>
              <w:t>PN-EN 1097-2</w:t>
            </w:r>
          </w:p>
        </w:tc>
        <w:tc>
          <w:tcPr>
            <w:tcW w:w="5135" w:type="dxa"/>
          </w:tcPr>
          <w:p w:rsidR="00376DA1" w:rsidRPr="00532721" w:rsidRDefault="00376DA1" w:rsidP="00556540">
            <w:pPr>
              <w:rPr>
                <w:rFonts w:ascii="Calibri" w:hAnsi="Calibri" w:cs="Calibri"/>
              </w:rPr>
            </w:pPr>
            <w:r w:rsidRPr="00532721">
              <w:rPr>
                <w:rFonts w:ascii="Calibri" w:hAnsi="Calibri" w:cs="Calibri"/>
              </w:rPr>
              <w:t>Badania mechanicznych i fizycznych właściwości kruszyw – Metody oznaczania odporności na rozdrabnianie</w:t>
            </w:r>
            <w:r>
              <w:rPr>
                <w:rFonts w:ascii="Calibri" w:hAnsi="Calibri" w:cs="Calibri"/>
              </w:rPr>
              <w:t>.</w:t>
            </w:r>
          </w:p>
        </w:tc>
      </w:tr>
      <w:tr w:rsidR="00376DA1" w:rsidRPr="00532721" w:rsidTr="00556540">
        <w:tc>
          <w:tcPr>
            <w:tcW w:w="534" w:type="dxa"/>
          </w:tcPr>
          <w:p w:rsidR="00376DA1" w:rsidRPr="00532721" w:rsidRDefault="00376DA1" w:rsidP="00556540">
            <w:pPr>
              <w:jc w:val="right"/>
              <w:rPr>
                <w:rFonts w:ascii="Calibri" w:hAnsi="Calibri" w:cs="Calibri"/>
              </w:rPr>
            </w:pPr>
            <w:r w:rsidRPr="00532721">
              <w:rPr>
                <w:rFonts w:ascii="Calibri" w:hAnsi="Calibri" w:cs="Calibri"/>
              </w:rPr>
              <w:t>13.</w:t>
            </w:r>
          </w:p>
        </w:tc>
        <w:tc>
          <w:tcPr>
            <w:tcW w:w="1842" w:type="dxa"/>
          </w:tcPr>
          <w:p w:rsidR="00376DA1" w:rsidRPr="00532721" w:rsidRDefault="00376DA1" w:rsidP="00556540">
            <w:pPr>
              <w:rPr>
                <w:rFonts w:ascii="Calibri" w:hAnsi="Calibri" w:cs="Calibri"/>
              </w:rPr>
            </w:pPr>
            <w:r w:rsidRPr="00532721">
              <w:rPr>
                <w:rFonts w:ascii="Calibri" w:hAnsi="Calibri" w:cs="Calibri"/>
              </w:rPr>
              <w:t>PN-EN 1097-3</w:t>
            </w:r>
          </w:p>
        </w:tc>
        <w:tc>
          <w:tcPr>
            <w:tcW w:w="5135" w:type="dxa"/>
          </w:tcPr>
          <w:p w:rsidR="00376DA1" w:rsidRPr="00532721" w:rsidRDefault="00376DA1" w:rsidP="00556540">
            <w:pPr>
              <w:rPr>
                <w:rFonts w:ascii="Calibri" w:hAnsi="Calibri" w:cs="Calibri"/>
              </w:rPr>
            </w:pPr>
            <w:r w:rsidRPr="00532721">
              <w:rPr>
                <w:rFonts w:ascii="Calibri" w:hAnsi="Calibri" w:cs="Calibri"/>
              </w:rPr>
              <w:t>Badania mechanicznych i fizycznych właściwości kruszyw – Oznaczanie gęstości nasypowej i jamistości</w:t>
            </w:r>
            <w:r>
              <w:rPr>
                <w:rFonts w:ascii="Calibri" w:hAnsi="Calibri" w:cs="Calibri"/>
              </w:rPr>
              <w:t>.</w:t>
            </w:r>
          </w:p>
        </w:tc>
      </w:tr>
      <w:tr w:rsidR="00376DA1" w:rsidRPr="00532721" w:rsidTr="00556540">
        <w:tc>
          <w:tcPr>
            <w:tcW w:w="534" w:type="dxa"/>
          </w:tcPr>
          <w:p w:rsidR="00376DA1" w:rsidRPr="00532721" w:rsidRDefault="00376DA1" w:rsidP="00556540">
            <w:pPr>
              <w:jc w:val="right"/>
              <w:rPr>
                <w:rFonts w:ascii="Calibri" w:hAnsi="Calibri" w:cs="Calibri"/>
              </w:rPr>
            </w:pPr>
            <w:r w:rsidRPr="00532721">
              <w:rPr>
                <w:rFonts w:ascii="Calibri" w:hAnsi="Calibri" w:cs="Calibri"/>
              </w:rPr>
              <w:t>14.</w:t>
            </w:r>
          </w:p>
        </w:tc>
        <w:tc>
          <w:tcPr>
            <w:tcW w:w="1842" w:type="dxa"/>
          </w:tcPr>
          <w:p w:rsidR="00376DA1" w:rsidRPr="00532721" w:rsidRDefault="00376DA1" w:rsidP="00556540">
            <w:pPr>
              <w:rPr>
                <w:rFonts w:ascii="Calibri" w:hAnsi="Calibri" w:cs="Calibri"/>
              </w:rPr>
            </w:pPr>
            <w:r w:rsidRPr="00532721">
              <w:rPr>
                <w:rFonts w:ascii="Calibri" w:hAnsi="Calibri" w:cs="Calibri"/>
              </w:rPr>
              <w:t>PN-EN 1097-4</w:t>
            </w:r>
          </w:p>
        </w:tc>
        <w:tc>
          <w:tcPr>
            <w:tcW w:w="5135" w:type="dxa"/>
          </w:tcPr>
          <w:p w:rsidR="00376DA1" w:rsidRPr="00532721" w:rsidRDefault="00376DA1" w:rsidP="00556540">
            <w:pPr>
              <w:rPr>
                <w:rFonts w:ascii="Calibri" w:hAnsi="Calibri" w:cs="Calibri"/>
              </w:rPr>
            </w:pPr>
            <w:r w:rsidRPr="00532721">
              <w:rPr>
                <w:rFonts w:ascii="Calibri" w:hAnsi="Calibri" w:cs="Calibri"/>
              </w:rPr>
              <w:t>Badania mechanicznych i fizycznych właściwości kruszyw – Część 4: Oznaczanie pustych przestrzeni suchego, zagęszczonego wypełniacza</w:t>
            </w:r>
            <w:r>
              <w:rPr>
                <w:rFonts w:ascii="Calibri" w:hAnsi="Calibri" w:cs="Calibri"/>
              </w:rPr>
              <w:t>.</w:t>
            </w:r>
          </w:p>
        </w:tc>
      </w:tr>
      <w:tr w:rsidR="00376DA1" w:rsidRPr="00532721" w:rsidTr="00556540">
        <w:tc>
          <w:tcPr>
            <w:tcW w:w="534" w:type="dxa"/>
          </w:tcPr>
          <w:p w:rsidR="00376DA1" w:rsidRPr="00532721" w:rsidRDefault="00376DA1" w:rsidP="00556540">
            <w:pPr>
              <w:jc w:val="right"/>
              <w:rPr>
                <w:rFonts w:ascii="Calibri" w:hAnsi="Calibri" w:cs="Calibri"/>
              </w:rPr>
            </w:pPr>
            <w:r w:rsidRPr="00532721">
              <w:rPr>
                <w:rFonts w:ascii="Calibri" w:hAnsi="Calibri" w:cs="Calibri"/>
              </w:rPr>
              <w:t>15.</w:t>
            </w:r>
          </w:p>
        </w:tc>
        <w:tc>
          <w:tcPr>
            <w:tcW w:w="1842" w:type="dxa"/>
          </w:tcPr>
          <w:p w:rsidR="00376DA1" w:rsidRPr="00532721" w:rsidRDefault="00376DA1" w:rsidP="00556540">
            <w:pPr>
              <w:rPr>
                <w:rFonts w:ascii="Calibri" w:hAnsi="Calibri" w:cs="Calibri"/>
              </w:rPr>
            </w:pPr>
            <w:r w:rsidRPr="00532721">
              <w:rPr>
                <w:rFonts w:ascii="Calibri" w:hAnsi="Calibri" w:cs="Calibri"/>
              </w:rPr>
              <w:t>PN-EN 1097-5</w:t>
            </w:r>
          </w:p>
        </w:tc>
        <w:tc>
          <w:tcPr>
            <w:tcW w:w="5135" w:type="dxa"/>
          </w:tcPr>
          <w:p w:rsidR="00376DA1" w:rsidRPr="00532721" w:rsidRDefault="00376DA1" w:rsidP="00556540">
            <w:pPr>
              <w:rPr>
                <w:rFonts w:ascii="Calibri" w:hAnsi="Calibri" w:cs="Calibri"/>
              </w:rPr>
            </w:pPr>
            <w:r w:rsidRPr="00532721">
              <w:rPr>
                <w:rFonts w:ascii="Calibri" w:hAnsi="Calibri" w:cs="Calibri"/>
              </w:rPr>
              <w:t>Badania mechanicznych i fizycznych właściwości kruszyw – Część 5: Oznaczanie zawartości wody przez suszenie w suszarce z wentylacją</w:t>
            </w:r>
            <w:r>
              <w:rPr>
                <w:rFonts w:ascii="Calibri" w:hAnsi="Calibri" w:cs="Calibri"/>
              </w:rPr>
              <w:t>.</w:t>
            </w:r>
          </w:p>
        </w:tc>
      </w:tr>
    </w:tbl>
    <w:p w:rsidR="00376DA1" w:rsidRDefault="00376DA1" w:rsidP="00376DA1"/>
    <w:tbl>
      <w:tblPr>
        <w:tblW w:w="0" w:type="auto"/>
        <w:tblInd w:w="-34" w:type="dxa"/>
        <w:tblLook w:val="01E0"/>
      </w:tblPr>
      <w:tblGrid>
        <w:gridCol w:w="534"/>
        <w:gridCol w:w="1842"/>
        <w:gridCol w:w="5135"/>
      </w:tblGrid>
      <w:tr w:rsidR="00376DA1" w:rsidRPr="00532721" w:rsidTr="00556540">
        <w:tc>
          <w:tcPr>
            <w:tcW w:w="534" w:type="dxa"/>
          </w:tcPr>
          <w:p w:rsidR="00376DA1" w:rsidRPr="00532721" w:rsidRDefault="00376DA1" w:rsidP="00556540">
            <w:pPr>
              <w:jc w:val="right"/>
              <w:rPr>
                <w:rFonts w:ascii="Calibri" w:hAnsi="Calibri" w:cs="Calibri"/>
              </w:rPr>
            </w:pPr>
            <w:r w:rsidRPr="00532721">
              <w:rPr>
                <w:rFonts w:ascii="Calibri" w:hAnsi="Calibri" w:cs="Calibri"/>
              </w:rPr>
              <w:t>16.</w:t>
            </w:r>
          </w:p>
        </w:tc>
        <w:tc>
          <w:tcPr>
            <w:tcW w:w="1842" w:type="dxa"/>
          </w:tcPr>
          <w:p w:rsidR="00376DA1" w:rsidRPr="00532721" w:rsidRDefault="00376DA1" w:rsidP="00556540">
            <w:pPr>
              <w:rPr>
                <w:rFonts w:ascii="Calibri" w:hAnsi="Calibri" w:cs="Calibri"/>
              </w:rPr>
            </w:pPr>
            <w:r w:rsidRPr="00532721">
              <w:rPr>
                <w:rFonts w:ascii="Calibri" w:hAnsi="Calibri" w:cs="Calibri"/>
              </w:rPr>
              <w:t>PN-EN 1097-6</w:t>
            </w:r>
          </w:p>
        </w:tc>
        <w:tc>
          <w:tcPr>
            <w:tcW w:w="5135" w:type="dxa"/>
          </w:tcPr>
          <w:p w:rsidR="00376DA1" w:rsidRPr="00532721" w:rsidRDefault="00376DA1" w:rsidP="00556540">
            <w:pPr>
              <w:rPr>
                <w:rFonts w:ascii="Calibri" w:hAnsi="Calibri" w:cs="Calibri"/>
              </w:rPr>
            </w:pPr>
            <w:r w:rsidRPr="00532721">
              <w:rPr>
                <w:rFonts w:ascii="Calibri" w:hAnsi="Calibri" w:cs="Calibri"/>
              </w:rPr>
              <w:t>Badania mechanicznych i fizycznych właściwości kruszyw –Część 6: Oznaczanie gęstości ziaren i nasiąkliwości</w:t>
            </w:r>
            <w:r>
              <w:rPr>
                <w:rFonts w:ascii="Calibri" w:hAnsi="Calibri" w:cs="Calibri"/>
              </w:rPr>
              <w:t>.</w:t>
            </w:r>
          </w:p>
        </w:tc>
      </w:tr>
      <w:tr w:rsidR="00376DA1" w:rsidRPr="00532721" w:rsidTr="00556540">
        <w:tc>
          <w:tcPr>
            <w:tcW w:w="534" w:type="dxa"/>
          </w:tcPr>
          <w:p w:rsidR="00376DA1" w:rsidRPr="00532721" w:rsidRDefault="00376DA1" w:rsidP="00556540">
            <w:pPr>
              <w:jc w:val="right"/>
              <w:rPr>
                <w:rFonts w:ascii="Calibri" w:hAnsi="Calibri" w:cs="Calibri"/>
              </w:rPr>
            </w:pPr>
            <w:r w:rsidRPr="00532721">
              <w:rPr>
                <w:rFonts w:ascii="Calibri" w:hAnsi="Calibri" w:cs="Calibri"/>
              </w:rPr>
              <w:t>17.</w:t>
            </w:r>
          </w:p>
        </w:tc>
        <w:tc>
          <w:tcPr>
            <w:tcW w:w="1842" w:type="dxa"/>
          </w:tcPr>
          <w:p w:rsidR="00376DA1" w:rsidRPr="00532721" w:rsidRDefault="00376DA1" w:rsidP="00556540">
            <w:pPr>
              <w:rPr>
                <w:rFonts w:ascii="Calibri" w:hAnsi="Calibri" w:cs="Calibri"/>
              </w:rPr>
            </w:pPr>
            <w:r w:rsidRPr="00532721">
              <w:rPr>
                <w:rFonts w:ascii="Calibri" w:hAnsi="Calibri" w:cs="Calibri"/>
              </w:rPr>
              <w:t>PN-EN 1097-7</w:t>
            </w:r>
          </w:p>
        </w:tc>
        <w:tc>
          <w:tcPr>
            <w:tcW w:w="5135" w:type="dxa"/>
          </w:tcPr>
          <w:p w:rsidR="00376DA1" w:rsidRPr="00532721" w:rsidRDefault="00376DA1" w:rsidP="00556540">
            <w:pPr>
              <w:rPr>
                <w:rFonts w:ascii="Calibri" w:hAnsi="Calibri" w:cs="Calibri"/>
              </w:rPr>
            </w:pPr>
            <w:r w:rsidRPr="00532721">
              <w:rPr>
                <w:rFonts w:ascii="Calibri" w:hAnsi="Calibri" w:cs="Calibri"/>
              </w:rPr>
              <w:t xml:space="preserve">Badania mechanicznych i fizycznych właściwości kruszyw – Część 7: Oznaczanie gęstości wypełniacza – Metoda </w:t>
            </w:r>
            <w:r w:rsidRPr="00532721">
              <w:rPr>
                <w:rFonts w:ascii="Calibri" w:hAnsi="Calibri" w:cs="Calibri"/>
              </w:rPr>
              <w:lastRenderedPageBreak/>
              <w:t>piknometryczna</w:t>
            </w:r>
            <w:r>
              <w:rPr>
                <w:rFonts w:ascii="Calibri" w:hAnsi="Calibri" w:cs="Calibri"/>
              </w:rPr>
              <w:t>.</w:t>
            </w:r>
          </w:p>
        </w:tc>
      </w:tr>
      <w:tr w:rsidR="00376DA1" w:rsidRPr="00532721" w:rsidTr="00556540">
        <w:tc>
          <w:tcPr>
            <w:tcW w:w="534" w:type="dxa"/>
          </w:tcPr>
          <w:p w:rsidR="00376DA1" w:rsidRPr="00532721" w:rsidRDefault="00376DA1" w:rsidP="00556540">
            <w:pPr>
              <w:jc w:val="right"/>
              <w:rPr>
                <w:rFonts w:ascii="Calibri" w:hAnsi="Calibri" w:cs="Calibri"/>
              </w:rPr>
            </w:pPr>
            <w:r w:rsidRPr="00532721">
              <w:rPr>
                <w:rFonts w:ascii="Calibri" w:hAnsi="Calibri" w:cs="Calibri"/>
              </w:rPr>
              <w:lastRenderedPageBreak/>
              <w:t>18.</w:t>
            </w:r>
          </w:p>
        </w:tc>
        <w:tc>
          <w:tcPr>
            <w:tcW w:w="1842" w:type="dxa"/>
          </w:tcPr>
          <w:p w:rsidR="00376DA1" w:rsidRPr="00532721" w:rsidRDefault="00376DA1" w:rsidP="00556540">
            <w:pPr>
              <w:rPr>
                <w:rFonts w:ascii="Calibri" w:hAnsi="Calibri" w:cs="Calibri"/>
              </w:rPr>
            </w:pPr>
            <w:r w:rsidRPr="00532721">
              <w:rPr>
                <w:rFonts w:ascii="Calibri" w:hAnsi="Calibri" w:cs="Calibri"/>
              </w:rPr>
              <w:t>PN-EN 1097-8</w:t>
            </w:r>
          </w:p>
        </w:tc>
        <w:tc>
          <w:tcPr>
            <w:tcW w:w="5135" w:type="dxa"/>
          </w:tcPr>
          <w:p w:rsidR="00376DA1" w:rsidRPr="00532721" w:rsidRDefault="00376DA1" w:rsidP="00556540">
            <w:pPr>
              <w:rPr>
                <w:rFonts w:ascii="Calibri" w:hAnsi="Calibri" w:cs="Calibri"/>
              </w:rPr>
            </w:pPr>
            <w:r w:rsidRPr="00532721">
              <w:rPr>
                <w:rFonts w:ascii="Calibri" w:hAnsi="Calibri" w:cs="Calibri"/>
              </w:rPr>
              <w:t>Badania mechanicznych i fizycznych właściwości kruszyw – Część 8: Oznaczanie polerowalności kamienia</w:t>
            </w:r>
            <w:r>
              <w:rPr>
                <w:rFonts w:ascii="Calibri" w:hAnsi="Calibri" w:cs="Calibri"/>
              </w:rPr>
              <w:t>.</w:t>
            </w:r>
          </w:p>
        </w:tc>
      </w:tr>
      <w:tr w:rsidR="00376DA1" w:rsidRPr="00532721" w:rsidTr="00556540">
        <w:tc>
          <w:tcPr>
            <w:tcW w:w="534" w:type="dxa"/>
          </w:tcPr>
          <w:p w:rsidR="00376DA1" w:rsidRPr="00532721" w:rsidRDefault="00376DA1" w:rsidP="00556540">
            <w:pPr>
              <w:jc w:val="right"/>
              <w:rPr>
                <w:rFonts w:ascii="Calibri" w:hAnsi="Calibri" w:cs="Calibri"/>
              </w:rPr>
            </w:pPr>
            <w:r w:rsidRPr="00532721">
              <w:rPr>
                <w:rFonts w:ascii="Calibri" w:hAnsi="Calibri" w:cs="Calibri"/>
              </w:rPr>
              <w:t>19.</w:t>
            </w:r>
          </w:p>
        </w:tc>
        <w:tc>
          <w:tcPr>
            <w:tcW w:w="1842" w:type="dxa"/>
          </w:tcPr>
          <w:p w:rsidR="00376DA1" w:rsidRPr="00532721" w:rsidRDefault="00376DA1" w:rsidP="00556540">
            <w:pPr>
              <w:rPr>
                <w:rFonts w:ascii="Calibri" w:hAnsi="Calibri" w:cs="Calibri"/>
              </w:rPr>
            </w:pPr>
            <w:r w:rsidRPr="00532721">
              <w:rPr>
                <w:rFonts w:ascii="Calibri" w:hAnsi="Calibri" w:cs="Calibri"/>
              </w:rPr>
              <w:t>PN-EN 1367-1</w:t>
            </w:r>
          </w:p>
        </w:tc>
        <w:tc>
          <w:tcPr>
            <w:tcW w:w="5135" w:type="dxa"/>
          </w:tcPr>
          <w:p w:rsidR="00376DA1" w:rsidRPr="00532721" w:rsidRDefault="00376DA1" w:rsidP="00556540">
            <w:pPr>
              <w:rPr>
                <w:rFonts w:ascii="Calibri" w:hAnsi="Calibri" w:cs="Calibri"/>
              </w:rPr>
            </w:pPr>
            <w:r w:rsidRPr="00532721">
              <w:rPr>
                <w:rFonts w:ascii="Calibri" w:hAnsi="Calibri" w:cs="Calibri"/>
              </w:rPr>
              <w:t>Badania właściwości cieplnych i odporności kruszyw na działanie czynników atmosferycznych – Część 1: Oznaczanie mrozoodporności</w:t>
            </w:r>
            <w:r>
              <w:rPr>
                <w:rFonts w:ascii="Calibri" w:hAnsi="Calibri" w:cs="Calibri"/>
              </w:rPr>
              <w:t>.</w:t>
            </w:r>
          </w:p>
        </w:tc>
      </w:tr>
      <w:tr w:rsidR="00376DA1" w:rsidRPr="00532721" w:rsidTr="00556540">
        <w:tc>
          <w:tcPr>
            <w:tcW w:w="534" w:type="dxa"/>
          </w:tcPr>
          <w:p w:rsidR="00376DA1" w:rsidRPr="00532721" w:rsidRDefault="00376DA1" w:rsidP="00556540">
            <w:pPr>
              <w:jc w:val="right"/>
              <w:rPr>
                <w:rFonts w:ascii="Calibri" w:hAnsi="Calibri" w:cs="Calibri"/>
              </w:rPr>
            </w:pPr>
            <w:r w:rsidRPr="00532721">
              <w:rPr>
                <w:rFonts w:ascii="Calibri" w:hAnsi="Calibri" w:cs="Calibri"/>
              </w:rPr>
              <w:t>20.</w:t>
            </w:r>
          </w:p>
        </w:tc>
        <w:tc>
          <w:tcPr>
            <w:tcW w:w="1842" w:type="dxa"/>
          </w:tcPr>
          <w:p w:rsidR="00376DA1" w:rsidRPr="00532721" w:rsidRDefault="00376DA1" w:rsidP="00556540">
            <w:pPr>
              <w:rPr>
                <w:rFonts w:ascii="Calibri" w:hAnsi="Calibri" w:cs="Calibri"/>
              </w:rPr>
            </w:pPr>
            <w:r w:rsidRPr="00532721">
              <w:rPr>
                <w:rFonts w:ascii="Calibri" w:hAnsi="Calibri" w:cs="Calibri"/>
              </w:rPr>
              <w:t>PN-EN 1367-3</w:t>
            </w:r>
          </w:p>
        </w:tc>
        <w:tc>
          <w:tcPr>
            <w:tcW w:w="5135" w:type="dxa"/>
          </w:tcPr>
          <w:p w:rsidR="00376DA1" w:rsidRPr="00532721" w:rsidRDefault="00376DA1" w:rsidP="00556540">
            <w:pPr>
              <w:rPr>
                <w:rFonts w:ascii="Calibri" w:hAnsi="Calibri" w:cs="Calibri"/>
              </w:rPr>
            </w:pPr>
            <w:r w:rsidRPr="00532721">
              <w:rPr>
                <w:rFonts w:ascii="Calibri" w:hAnsi="Calibri" w:cs="Calibri"/>
              </w:rPr>
              <w:t>Badania właściwości cieplnych i odporności kruszyw na działanie czynników atmosferycznych – Część 3: Badanie bazaltowej zgorzeli słonecznej metodą gotowania</w:t>
            </w:r>
            <w:r>
              <w:rPr>
                <w:rFonts w:ascii="Calibri" w:hAnsi="Calibri" w:cs="Calibri"/>
              </w:rPr>
              <w:t>.</w:t>
            </w:r>
          </w:p>
        </w:tc>
      </w:tr>
      <w:tr w:rsidR="00376DA1" w:rsidRPr="00532721" w:rsidTr="00556540">
        <w:tc>
          <w:tcPr>
            <w:tcW w:w="534" w:type="dxa"/>
          </w:tcPr>
          <w:p w:rsidR="00376DA1" w:rsidRPr="00532721" w:rsidRDefault="00376DA1" w:rsidP="00556540">
            <w:pPr>
              <w:jc w:val="right"/>
              <w:rPr>
                <w:rFonts w:ascii="Calibri" w:hAnsi="Calibri" w:cs="Calibri"/>
              </w:rPr>
            </w:pPr>
            <w:r w:rsidRPr="00532721">
              <w:rPr>
                <w:rFonts w:ascii="Calibri" w:hAnsi="Calibri" w:cs="Calibri"/>
              </w:rPr>
              <w:t>21.</w:t>
            </w:r>
          </w:p>
        </w:tc>
        <w:tc>
          <w:tcPr>
            <w:tcW w:w="1842" w:type="dxa"/>
          </w:tcPr>
          <w:p w:rsidR="00376DA1" w:rsidRPr="00532721" w:rsidRDefault="00376DA1" w:rsidP="00556540">
            <w:pPr>
              <w:rPr>
                <w:rFonts w:ascii="Calibri" w:hAnsi="Calibri" w:cs="Calibri"/>
              </w:rPr>
            </w:pPr>
            <w:r w:rsidRPr="00532721">
              <w:rPr>
                <w:rFonts w:ascii="Calibri" w:hAnsi="Calibri" w:cs="Calibri"/>
              </w:rPr>
              <w:t>PN-EN 1426</w:t>
            </w:r>
          </w:p>
        </w:tc>
        <w:tc>
          <w:tcPr>
            <w:tcW w:w="5135" w:type="dxa"/>
          </w:tcPr>
          <w:p w:rsidR="00376DA1" w:rsidRPr="00532721" w:rsidRDefault="00376DA1" w:rsidP="00556540">
            <w:pPr>
              <w:rPr>
                <w:rFonts w:ascii="Calibri" w:hAnsi="Calibri" w:cs="Calibri"/>
              </w:rPr>
            </w:pPr>
            <w:r w:rsidRPr="00532721">
              <w:rPr>
                <w:rFonts w:ascii="Calibri" w:hAnsi="Calibri" w:cs="Calibri"/>
              </w:rPr>
              <w:t>Asfalty i produkty asfaltowe – Oznaczanie penetracji igłą</w:t>
            </w:r>
            <w:r>
              <w:rPr>
                <w:rFonts w:ascii="Calibri" w:hAnsi="Calibri" w:cs="Calibri"/>
              </w:rPr>
              <w:t>.</w:t>
            </w:r>
          </w:p>
        </w:tc>
      </w:tr>
      <w:tr w:rsidR="00376DA1" w:rsidRPr="00532721" w:rsidTr="00556540">
        <w:tc>
          <w:tcPr>
            <w:tcW w:w="534" w:type="dxa"/>
          </w:tcPr>
          <w:p w:rsidR="00376DA1" w:rsidRPr="00532721" w:rsidRDefault="00376DA1" w:rsidP="00556540">
            <w:pPr>
              <w:jc w:val="right"/>
              <w:rPr>
                <w:rFonts w:ascii="Calibri" w:hAnsi="Calibri" w:cs="Calibri"/>
              </w:rPr>
            </w:pPr>
            <w:r w:rsidRPr="00532721">
              <w:rPr>
                <w:rFonts w:ascii="Calibri" w:hAnsi="Calibri" w:cs="Calibri"/>
              </w:rPr>
              <w:t xml:space="preserve">22. </w:t>
            </w:r>
          </w:p>
        </w:tc>
        <w:tc>
          <w:tcPr>
            <w:tcW w:w="1842" w:type="dxa"/>
          </w:tcPr>
          <w:p w:rsidR="00376DA1" w:rsidRPr="00532721" w:rsidRDefault="00376DA1" w:rsidP="00556540">
            <w:pPr>
              <w:rPr>
                <w:rFonts w:ascii="Calibri" w:hAnsi="Calibri" w:cs="Calibri"/>
              </w:rPr>
            </w:pPr>
            <w:r w:rsidRPr="00532721">
              <w:rPr>
                <w:rFonts w:ascii="Calibri" w:hAnsi="Calibri" w:cs="Calibri"/>
              </w:rPr>
              <w:t>PN-EN 1427</w:t>
            </w:r>
          </w:p>
        </w:tc>
        <w:tc>
          <w:tcPr>
            <w:tcW w:w="5135" w:type="dxa"/>
          </w:tcPr>
          <w:p w:rsidR="00376DA1" w:rsidRPr="00532721" w:rsidRDefault="00376DA1" w:rsidP="00556540">
            <w:pPr>
              <w:rPr>
                <w:rFonts w:ascii="Calibri" w:hAnsi="Calibri" w:cs="Calibri"/>
              </w:rPr>
            </w:pPr>
            <w:r w:rsidRPr="00532721">
              <w:rPr>
                <w:rFonts w:ascii="Calibri" w:hAnsi="Calibri" w:cs="Calibri"/>
              </w:rPr>
              <w:t>Asfalty i produkty asfaltowe – Oznaczanie temperatury mięknienia – Metoda Pierścień i Kula</w:t>
            </w:r>
            <w:r>
              <w:rPr>
                <w:rFonts w:ascii="Calibri" w:hAnsi="Calibri" w:cs="Calibri"/>
              </w:rPr>
              <w:t>.</w:t>
            </w:r>
          </w:p>
        </w:tc>
      </w:tr>
      <w:tr w:rsidR="00376DA1" w:rsidRPr="00532721" w:rsidTr="00556540">
        <w:tc>
          <w:tcPr>
            <w:tcW w:w="534" w:type="dxa"/>
          </w:tcPr>
          <w:p w:rsidR="00376DA1" w:rsidRPr="00532721" w:rsidRDefault="00376DA1" w:rsidP="00556540">
            <w:pPr>
              <w:jc w:val="right"/>
              <w:rPr>
                <w:rFonts w:ascii="Calibri" w:hAnsi="Calibri" w:cs="Calibri"/>
              </w:rPr>
            </w:pPr>
            <w:r w:rsidRPr="00532721">
              <w:rPr>
                <w:rFonts w:ascii="Calibri" w:hAnsi="Calibri" w:cs="Calibri"/>
              </w:rPr>
              <w:t xml:space="preserve">23. </w:t>
            </w:r>
          </w:p>
        </w:tc>
        <w:tc>
          <w:tcPr>
            <w:tcW w:w="1842" w:type="dxa"/>
          </w:tcPr>
          <w:p w:rsidR="00376DA1" w:rsidRPr="00532721" w:rsidRDefault="00376DA1" w:rsidP="00556540">
            <w:pPr>
              <w:rPr>
                <w:rFonts w:ascii="Calibri" w:hAnsi="Calibri" w:cs="Calibri"/>
              </w:rPr>
            </w:pPr>
            <w:r w:rsidRPr="00532721">
              <w:rPr>
                <w:rFonts w:ascii="Calibri" w:hAnsi="Calibri" w:cs="Calibri"/>
              </w:rPr>
              <w:t>PN-EN 1428</w:t>
            </w:r>
          </w:p>
        </w:tc>
        <w:tc>
          <w:tcPr>
            <w:tcW w:w="5135" w:type="dxa"/>
          </w:tcPr>
          <w:p w:rsidR="00376DA1" w:rsidRPr="00532721" w:rsidRDefault="00376DA1" w:rsidP="00556540">
            <w:pPr>
              <w:rPr>
                <w:rFonts w:ascii="Calibri" w:hAnsi="Calibri" w:cs="Calibri"/>
              </w:rPr>
            </w:pPr>
            <w:r w:rsidRPr="00532721">
              <w:rPr>
                <w:rFonts w:ascii="Calibri" w:hAnsi="Calibri" w:cs="Calibri"/>
              </w:rPr>
              <w:t>Asfalty i lepiszcza asfaltowe – Oznaczanie zawartości wody w emulsjach asfaltowych – Metoda destylacji azeotropowej</w:t>
            </w:r>
            <w:r>
              <w:rPr>
                <w:rFonts w:ascii="Calibri" w:hAnsi="Calibri" w:cs="Calibri"/>
              </w:rPr>
              <w:t>.</w:t>
            </w:r>
          </w:p>
        </w:tc>
      </w:tr>
      <w:tr w:rsidR="00376DA1" w:rsidRPr="00532721" w:rsidTr="00556540">
        <w:tc>
          <w:tcPr>
            <w:tcW w:w="534" w:type="dxa"/>
          </w:tcPr>
          <w:p w:rsidR="00376DA1" w:rsidRPr="00532721" w:rsidRDefault="00376DA1" w:rsidP="00556540">
            <w:pPr>
              <w:jc w:val="right"/>
              <w:rPr>
                <w:rFonts w:ascii="Calibri" w:hAnsi="Calibri" w:cs="Calibri"/>
              </w:rPr>
            </w:pPr>
            <w:r w:rsidRPr="00532721">
              <w:rPr>
                <w:rFonts w:ascii="Calibri" w:hAnsi="Calibri" w:cs="Calibri"/>
              </w:rPr>
              <w:t>24.</w:t>
            </w:r>
          </w:p>
        </w:tc>
        <w:tc>
          <w:tcPr>
            <w:tcW w:w="1842" w:type="dxa"/>
          </w:tcPr>
          <w:p w:rsidR="00376DA1" w:rsidRPr="00532721" w:rsidRDefault="00376DA1" w:rsidP="00556540">
            <w:pPr>
              <w:rPr>
                <w:rFonts w:ascii="Calibri" w:hAnsi="Calibri" w:cs="Calibri"/>
              </w:rPr>
            </w:pPr>
            <w:r w:rsidRPr="00532721">
              <w:rPr>
                <w:rFonts w:ascii="Calibri" w:hAnsi="Calibri" w:cs="Calibri"/>
              </w:rPr>
              <w:t>PN-EN 1429</w:t>
            </w:r>
          </w:p>
        </w:tc>
        <w:tc>
          <w:tcPr>
            <w:tcW w:w="5135" w:type="dxa"/>
          </w:tcPr>
          <w:p w:rsidR="00376DA1" w:rsidRPr="00532721" w:rsidRDefault="00376DA1" w:rsidP="00556540">
            <w:pPr>
              <w:rPr>
                <w:rFonts w:ascii="Calibri" w:hAnsi="Calibri" w:cs="Calibri"/>
              </w:rPr>
            </w:pPr>
            <w:r w:rsidRPr="00532721">
              <w:rPr>
                <w:rFonts w:ascii="Calibri" w:hAnsi="Calibri" w:cs="Calibri"/>
              </w:rPr>
              <w:t>Asfalty i lepiszcza asfaltowe – Oznaczanie pozostałości na sicie emulsji asfaltowych oraz trwałości podczas magazynowania metodą pozostałości na sicie</w:t>
            </w:r>
            <w:r>
              <w:rPr>
                <w:rFonts w:ascii="Calibri" w:hAnsi="Calibri" w:cs="Calibri"/>
              </w:rPr>
              <w:t>.</w:t>
            </w:r>
          </w:p>
        </w:tc>
      </w:tr>
      <w:tr w:rsidR="00376DA1" w:rsidRPr="00532721" w:rsidTr="00556540">
        <w:tc>
          <w:tcPr>
            <w:tcW w:w="534" w:type="dxa"/>
          </w:tcPr>
          <w:p w:rsidR="00376DA1" w:rsidRPr="00532721" w:rsidRDefault="00376DA1" w:rsidP="00556540">
            <w:pPr>
              <w:jc w:val="right"/>
              <w:rPr>
                <w:rFonts w:ascii="Calibri" w:hAnsi="Calibri" w:cs="Calibri"/>
              </w:rPr>
            </w:pPr>
            <w:r w:rsidRPr="00532721">
              <w:rPr>
                <w:rFonts w:ascii="Calibri" w:hAnsi="Calibri" w:cs="Calibri"/>
              </w:rPr>
              <w:t>25.</w:t>
            </w:r>
          </w:p>
        </w:tc>
        <w:tc>
          <w:tcPr>
            <w:tcW w:w="1842" w:type="dxa"/>
          </w:tcPr>
          <w:p w:rsidR="00376DA1" w:rsidRPr="00532721" w:rsidRDefault="00376DA1" w:rsidP="00556540">
            <w:pPr>
              <w:rPr>
                <w:rFonts w:ascii="Calibri" w:hAnsi="Calibri" w:cs="Calibri"/>
              </w:rPr>
            </w:pPr>
            <w:r w:rsidRPr="00532721">
              <w:rPr>
                <w:rFonts w:ascii="Calibri" w:hAnsi="Calibri" w:cs="Calibri"/>
              </w:rPr>
              <w:t>PN-EN 1744-1</w:t>
            </w:r>
          </w:p>
        </w:tc>
        <w:tc>
          <w:tcPr>
            <w:tcW w:w="5135" w:type="dxa"/>
          </w:tcPr>
          <w:p w:rsidR="00376DA1" w:rsidRPr="00532721" w:rsidRDefault="00376DA1" w:rsidP="00556540">
            <w:pPr>
              <w:rPr>
                <w:rFonts w:ascii="Calibri" w:hAnsi="Calibri" w:cs="Calibri"/>
              </w:rPr>
            </w:pPr>
            <w:r w:rsidRPr="00532721">
              <w:rPr>
                <w:rFonts w:ascii="Calibri" w:hAnsi="Calibri" w:cs="Calibri"/>
              </w:rPr>
              <w:t>Badania chemicznych właściwości kruszyw – Analiza chemiczna</w:t>
            </w:r>
            <w:r>
              <w:rPr>
                <w:rFonts w:ascii="Calibri" w:hAnsi="Calibri" w:cs="Calibri"/>
              </w:rPr>
              <w:t>.</w:t>
            </w:r>
          </w:p>
        </w:tc>
      </w:tr>
      <w:tr w:rsidR="00376DA1" w:rsidRPr="00532721" w:rsidTr="00556540">
        <w:tc>
          <w:tcPr>
            <w:tcW w:w="534" w:type="dxa"/>
          </w:tcPr>
          <w:p w:rsidR="00376DA1" w:rsidRPr="00532721" w:rsidRDefault="00376DA1" w:rsidP="00556540">
            <w:pPr>
              <w:jc w:val="right"/>
              <w:rPr>
                <w:rFonts w:ascii="Calibri" w:hAnsi="Calibri" w:cs="Calibri"/>
              </w:rPr>
            </w:pPr>
            <w:r w:rsidRPr="00532721">
              <w:rPr>
                <w:rFonts w:ascii="Calibri" w:hAnsi="Calibri" w:cs="Calibri"/>
              </w:rPr>
              <w:t>26.</w:t>
            </w:r>
          </w:p>
        </w:tc>
        <w:tc>
          <w:tcPr>
            <w:tcW w:w="1842" w:type="dxa"/>
          </w:tcPr>
          <w:p w:rsidR="00376DA1" w:rsidRPr="00532721" w:rsidRDefault="00376DA1" w:rsidP="00556540">
            <w:pPr>
              <w:rPr>
                <w:rFonts w:ascii="Calibri" w:hAnsi="Calibri" w:cs="Calibri"/>
              </w:rPr>
            </w:pPr>
            <w:r w:rsidRPr="00532721">
              <w:rPr>
                <w:rFonts w:ascii="Calibri" w:hAnsi="Calibri" w:cs="Calibri"/>
              </w:rPr>
              <w:t>PN-EN 1744-4</w:t>
            </w:r>
          </w:p>
        </w:tc>
        <w:tc>
          <w:tcPr>
            <w:tcW w:w="5135" w:type="dxa"/>
          </w:tcPr>
          <w:p w:rsidR="00376DA1" w:rsidRPr="00532721" w:rsidRDefault="00376DA1" w:rsidP="00556540">
            <w:pPr>
              <w:rPr>
                <w:rFonts w:ascii="Calibri" w:hAnsi="Calibri" w:cs="Calibri"/>
              </w:rPr>
            </w:pPr>
            <w:r w:rsidRPr="00532721">
              <w:rPr>
                <w:rFonts w:ascii="Calibri" w:hAnsi="Calibri" w:cs="Calibri"/>
              </w:rPr>
              <w:t>Badania chemicznych właściwości kruszyw – Część 4: Oznaczanie podatności wypełniaczy do mieszanek mineralno-asfaltowych na działanie wody</w:t>
            </w:r>
            <w:r>
              <w:rPr>
                <w:rFonts w:ascii="Calibri" w:hAnsi="Calibri" w:cs="Calibri"/>
              </w:rPr>
              <w:t>.</w:t>
            </w:r>
          </w:p>
        </w:tc>
      </w:tr>
      <w:tr w:rsidR="00376DA1" w:rsidRPr="00532721" w:rsidTr="00556540">
        <w:tc>
          <w:tcPr>
            <w:tcW w:w="534" w:type="dxa"/>
          </w:tcPr>
          <w:p w:rsidR="00376DA1" w:rsidRPr="00532721" w:rsidRDefault="00376DA1" w:rsidP="00556540">
            <w:pPr>
              <w:jc w:val="right"/>
              <w:rPr>
                <w:rFonts w:ascii="Calibri" w:hAnsi="Calibri" w:cs="Calibri"/>
              </w:rPr>
            </w:pPr>
            <w:r w:rsidRPr="00532721">
              <w:rPr>
                <w:rFonts w:ascii="Calibri" w:hAnsi="Calibri" w:cs="Calibri"/>
              </w:rPr>
              <w:t>27.</w:t>
            </w:r>
          </w:p>
        </w:tc>
        <w:tc>
          <w:tcPr>
            <w:tcW w:w="1842" w:type="dxa"/>
          </w:tcPr>
          <w:p w:rsidR="00376DA1" w:rsidRPr="00532721" w:rsidRDefault="00376DA1" w:rsidP="00556540">
            <w:pPr>
              <w:rPr>
                <w:rFonts w:ascii="Calibri" w:hAnsi="Calibri" w:cs="Calibri"/>
              </w:rPr>
            </w:pPr>
            <w:r w:rsidRPr="00532721">
              <w:rPr>
                <w:rFonts w:ascii="Calibri" w:hAnsi="Calibri" w:cs="Calibri"/>
              </w:rPr>
              <w:t>PN-EN 12591</w:t>
            </w:r>
          </w:p>
        </w:tc>
        <w:tc>
          <w:tcPr>
            <w:tcW w:w="5135" w:type="dxa"/>
          </w:tcPr>
          <w:p w:rsidR="00376DA1" w:rsidRPr="00532721" w:rsidRDefault="00376DA1" w:rsidP="00556540">
            <w:pPr>
              <w:rPr>
                <w:rFonts w:ascii="Calibri" w:hAnsi="Calibri" w:cs="Calibri"/>
              </w:rPr>
            </w:pPr>
            <w:r w:rsidRPr="00532721">
              <w:rPr>
                <w:rFonts w:ascii="Calibri" w:hAnsi="Calibri" w:cs="Calibri"/>
              </w:rPr>
              <w:t>Asfalty i produkty asfaltowe – Wymagania dla asfaltów drogowych</w:t>
            </w:r>
            <w:r>
              <w:rPr>
                <w:rFonts w:ascii="Calibri" w:hAnsi="Calibri" w:cs="Calibri"/>
              </w:rPr>
              <w:t>.</w:t>
            </w:r>
          </w:p>
        </w:tc>
      </w:tr>
      <w:tr w:rsidR="00376DA1" w:rsidRPr="00532721" w:rsidTr="00556540">
        <w:tc>
          <w:tcPr>
            <w:tcW w:w="534" w:type="dxa"/>
          </w:tcPr>
          <w:p w:rsidR="00376DA1" w:rsidRPr="00532721" w:rsidRDefault="00376DA1" w:rsidP="00556540">
            <w:pPr>
              <w:jc w:val="right"/>
              <w:rPr>
                <w:rFonts w:ascii="Calibri" w:hAnsi="Calibri" w:cs="Calibri"/>
              </w:rPr>
            </w:pPr>
            <w:r w:rsidRPr="00532721">
              <w:rPr>
                <w:rFonts w:ascii="Calibri" w:hAnsi="Calibri" w:cs="Calibri"/>
              </w:rPr>
              <w:t>28.</w:t>
            </w:r>
          </w:p>
        </w:tc>
        <w:tc>
          <w:tcPr>
            <w:tcW w:w="1842" w:type="dxa"/>
          </w:tcPr>
          <w:p w:rsidR="00376DA1" w:rsidRPr="00532721" w:rsidRDefault="00376DA1" w:rsidP="00556540">
            <w:pPr>
              <w:rPr>
                <w:rFonts w:ascii="Calibri" w:hAnsi="Calibri" w:cs="Calibri"/>
              </w:rPr>
            </w:pPr>
            <w:r w:rsidRPr="00532721">
              <w:rPr>
                <w:rFonts w:ascii="Calibri" w:hAnsi="Calibri" w:cs="Calibri"/>
              </w:rPr>
              <w:t>PN-EN 12592</w:t>
            </w:r>
          </w:p>
        </w:tc>
        <w:tc>
          <w:tcPr>
            <w:tcW w:w="5135" w:type="dxa"/>
          </w:tcPr>
          <w:p w:rsidR="00376DA1" w:rsidRPr="00532721" w:rsidRDefault="00376DA1" w:rsidP="00556540">
            <w:pPr>
              <w:rPr>
                <w:rFonts w:ascii="Calibri" w:hAnsi="Calibri" w:cs="Calibri"/>
              </w:rPr>
            </w:pPr>
            <w:r w:rsidRPr="00532721">
              <w:rPr>
                <w:rFonts w:ascii="Calibri" w:hAnsi="Calibri" w:cs="Calibri"/>
              </w:rPr>
              <w:t>Asfalty i produkty asfaltowe – Oznaczanie rozpuszczalności</w:t>
            </w:r>
            <w:r>
              <w:rPr>
                <w:rFonts w:ascii="Calibri" w:hAnsi="Calibri" w:cs="Calibri"/>
              </w:rPr>
              <w:t>.</w:t>
            </w:r>
          </w:p>
        </w:tc>
      </w:tr>
      <w:tr w:rsidR="00376DA1" w:rsidRPr="00532721" w:rsidTr="00556540">
        <w:tc>
          <w:tcPr>
            <w:tcW w:w="534" w:type="dxa"/>
          </w:tcPr>
          <w:p w:rsidR="00376DA1" w:rsidRPr="00532721" w:rsidRDefault="00376DA1" w:rsidP="00556540">
            <w:pPr>
              <w:jc w:val="right"/>
              <w:rPr>
                <w:rFonts w:ascii="Calibri" w:hAnsi="Calibri" w:cs="Calibri"/>
              </w:rPr>
            </w:pPr>
            <w:r w:rsidRPr="00532721">
              <w:rPr>
                <w:rFonts w:ascii="Calibri" w:hAnsi="Calibri" w:cs="Calibri"/>
              </w:rPr>
              <w:t>29.</w:t>
            </w:r>
          </w:p>
        </w:tc>
        <w:tc>
          <w:tcPr>
            <w:tcW w:w="1842" w:type="dxa"/>
          </w:tcPr>
          <w:p w:rsidR="00376DA1" w:rsidRPr="00532721" w:rsidRDefault="00376DA1" w:rsidP="00556540">
            <w:pPr>
              <w:rPr>
                <w:rFonts w:ascii="Calibri" w:hAnsi="Calibri" w:cs="Calibri"/>
              </w:rPr>
            </w:pPr>
            <w:r w:rsidRPr="00532721">
              <w:rPr>
                <w:rFonts w:ascii="Calibri" w:hAnsi="Calibri" w:cs="Calibri"/>
              </w:rPr>
              <w:t>PN-EN 12593</w:t>
            </w:r>
          </w:p>
        </w:tc>
        <w:tc>
          <w:tcPr>
            <w:tcW w:w="5135" w:type="dxa"/>
          </w:tcPr>
          <w:p w:rsidR="00376DA1" w:rsidRPr="00532721" w:rsidRDefault="00376DA1" w:rsidP="00556540">
            <w:pPr>
              <w:rPr>
                <w:rFonts w:ascii="Calibri" w:hAnsi="Calibri" w:cs="Calibri"/>
              </w:rPr>
            </w:pPr>
            <w:r w:rsidRPr="00532721">
              <w:rPr>
                <w:rFonts w:ascii="Calibri" w:hAnsi="Calibri" w:cs="Calibri"/>
              </w:rPr>
              <w:t>Asfalty i produkty asfaltowe – Oznaczanie temperatury łamliwości Fraassa</w:t>
            </w:r>
            <w:r>
              <w:rPr>
                <w:rFonts w:ascii="Calibri" w:hAnsi="Calibri" w:cs="Calibri"/>
              </w:rPr>
              <w:t>.</w:t>
            </w:r>
          </w:p>
        </w:tc>
      </w:tr>
      <w:tr w:rsidR="00376DA1" w:rsidRPr="00532721" w:rsidTr="00556540">
        <w:tc>
          <w:tcPr>
            <w:tcW w:w="534" w:type="dxa"/>
          </w:tcPr>
          <w:p w:rsidR="00376DA1" w:rsidRPr="00532721" w:rsidRDefault="00376DA1" w:rsidP="00556540">
            <w:pPr>
              <w:jc w:val="right"/>
              <w:rPr>
                <w:rFonts w:ascii="Calibri" w:hAnsi="Calibri" w:cs="Calibri"/>
              </w:rPr>
            </w:pPr>
            <w:r w:rsidRPr="00532721">
              <w:rPr>
                <w:rFonts w:ascii="Calibri" w:hAnsi="Calibri" w:cs="Calibri"/>
              </w:rPr>
              <w:t>30.</w:t>
            </w:r>
          </w:p>
        </w:tc>
        <w:tc>
          <w:tcPr>
            <w:tcW w:w="1842" w:type="dxa"/>
          </w:tcPr>
          <w:p w:rsidR="00376DA1" w:rsidRPr="00532721" w:rsidRDefault="00376DA1" w:rsidP="00556540">
            <w:pPr>
              <w:rPr>
                <w:rFonts w:ascii="Calibri" w:hAnsi="Calibri" w:cs="Calibri"/>
              </w:rPr>
            </w:pPr>
            <w:r w:rsidRPr="00532721">
              <w:rPr>
                <w:rFonts w:ascii="Calibri" w:hAnsi="Calibri" w:cs="Calibri"/>
              </w:rPr>
              <w:t>PN-EN 12606-1</w:t>
            </w:r>
          </w:p>
        </w:tc>
        <w:tc>
          <w:tcPr>
            <w:tcW w:w="5135" w:type="dxa"/>
          </w:tcPr>
          <w:p w:rsidR="00376DA1" w:rsidRPr="00532721" w:rsidRDefault="00376DA1" w:rsidP="00556540">
            <w:pPr>
              <w:rPr>
                <w:rFonts w:ascii="Calibri" w:hAnsi="Calibri" w:cs="Calibri"/>
              </w:rPr>
            </w:pPr>
            <w:r w:rsidRPr="00532721">
              <w:rPr>
                <w:rFonts w:ascii="Calibri" w:hAnsi="Calibri" w:cs="Calibri"/>
              </w:rPr>
              <w:t>Asfalty i produkty asfaltowe – Oznaczanie zawartości parafiny – Część 1: Metoda destylacyjna</w:t>
            </w:r>
            <w:r>
              <w:rPr>
                <w:rFonts w:ascii="Calibri" w:hAnsi="Calibri" w:cs="Calibri"/>
              </w:rPr>
              <w:t>.</w:t>
            </w:r>
          </w:p>
        </w:tc>
      </w:tr>
      <w:tr w:rsidR="00376DA1" w:rsidRPr="00532721" w:rsidTr="00556540">
        <w:tc>
          <w:tcPr>
            <w:tcW w:w="534" w:type="dxa"/>
          </w:tcPr>
          <w:p w:rsidR="00376DA1" w:rsidRPr="00532721" w:rsidRDefault="00376DA1" w:rsidP="00556540">
            <w:pPr>
              <w:jc w:val="right"/>
              <w:rPr>
                <w:rFonts w:ascii="Calibri" w:hAnsi="Calibri" w:cs="Calibri"/>
              </w:rPr>
            </w:pPr>
            <w:r w:rsidRPr="00532721">
              <w:rPr>
                <w:rFonts w:ascii="Calibri" w:hAnsi="Calibri" w:cs="Calibri"/>
              </w:rPr>
              <w:t>31.</w:t>
            </w:r>
          </w:p>
        </w:tc>
        <w:tc>
          <w:tcPr>
            <w:tcW w:w="1842" w:type="dxa"/>
          </w:tcPr>
          <w:p w:rsidR="00376DA1" w:rsidRPr="00532721" w:rsidRDefault="00376DA1" w:rsidP="00556540">
            <w:pPr>
              <w:rPr>
                <w:rFonts w:ascii="Calibri" w:hAnsi="Calibri" w:cs="Calibri"/>
              </w:rPr>
            </w:pPr>
            <w:r w:rsidRPr="00532721">
              <w:rPr>
                <w:rFonts w:ascii="Calibri" w:hAnsi="Calibri" w:cs="Calibri"/>
              </w:rPr>
              <w:t>PN-EN 12607-1</w:t>
            </w:r>
          </w:p>
          <w:p w:rsidR="00376DA1" w:rsidRPr="00532721" w:rsidRDefault="00376DA1" w:rsidP="00556540">
            <w:pPr>
              <w:rPr>
                <w:rFonts w:ascii="Calibri" w:hAnsi="Calibri" w:cs="Calibri"/>
              </w:rPr>
            </w:pPr>
            <w:r w:rsidRPr="00532721">
              <w:rPr>
                <w:rFonts w:ascii="Calibri" w:hAnsi="Calibri" w:cs="Calibri"/>
              </w:rPr>
              <w:t>i</w:t>
            </w:r>
          </w:p>
          <w:p w:rsidR="00376DA1" w:rsidRPr="00532721" w:rsidRDefault="00376DA1" w:rsidP="00556540">
            <w:pPr>
              <w:rPr>
                <w:rFonts w:ascii="Calibri" w:hAnsi="Calibri" w:cs="Calibri"/>
              </w:rPr>
            </w:pPr>
          </w:p>
          <w:p w:rsidR="00376DA1" w:rsidRPr="00532721" w:rsidRDefault="00376DA1" w:rsidP="00556540">
            <w:pPr>
              <w:rPr>
                <w:rFonts w:ascii="Calibri" w:hAnsi="Calibri" w:cs="Calibri"/>
              </w:rPr>
            </w:pPr>
            <w:r w:rsidRPr="00532721">
              <w:rPr>
                <w:rFonts w:ascii="Calibri" w:hAnsi="Calibri" w:cs="Calibri"/>
              </w:rPr>
              <w:t>PN-EN 12607-3</w:t>
            </w:r>
          </w:p>
        </w:tc>
        <w:tc>
          <w:tcPr>
            <w:tcW w:w="5135" w:type="dxa"/>
          </w:tcPr>
          <w:p w:rsidR="00376DA1" w:rsidRPr="00532721" w:rsidRDefault="00376DA1" w:rsidP="00556540">
            <w:pPr>
              <w:rPr>
                <w:rFonts w:ascii="Calibri" w:hAnsi="Calibri" w:cs="Calibri"/>
              </w:rPr>
            </w:pPr>
            <w:r w:rsidRPr="00532721">
              <w:rPr>
                <w:rFonts w:ascii="Calibri" w:hAnsi="Calibri" w:cs="Calibri"/>
              </w:rPr>
              <w:t>Asfalty i produkty asfaltowe – Oznaczanie odporności na twardnienie pod wpływem ciepła i powietrza – Część 1: Metoda RTFOT</w:t>
            </w:r>
            <w:r>
              <w:rPr>
                <w:rFonts w:ascii="Calibri" w:hAnsi="Calibri" w:cs="Calibri"/>
              </w:rPr>
              <w:t>.</w:t>
            </w:r>
          </w:p>
          <w:p w:rsidR="00376DA1" w:rsidRPr="00532721" w:rsidRDefault="00376DA1" w:rsidP="00556540">
            <w:pPr>
              <w:rPr>
                <w:rFonts w:ascii="Calibri" w:hAnsi="Calibri" w:cs="Calibri"/>
              </w:rPr>
            </w:pPr>
            <w:r w:rsidRPr="00532721">
              <w:rPr>
                <w:rFonts w:ascii="Calibri" w:hAnsi="Calibri" w:cs="Calibri"/>
              </w:rPr>
              <w:t>Jw. Część 3: Metoda RFT</w:t>
            </w:r>
            <w:r>
              <w:rPr>
                <w:rFonts w:ascii="Calibri" w:hAnsi="Calibri" w:cs="Calibri"/>
              </w:rPr>
              <w:t>.</w:t>
            </w:r>
          </w:p>
        </w:tc>
      </w:tr>
      <w:tr w:rsidR="00376DA1" w:rsidRPr="00532721" w:rsidTr="00556540">
        <w:tc>
          <w:tcPr>
            <w:tcW w:w="534" w:type="dxa"/>
          </w:tcPr>
          <w:p w:rsidR="00376DA1" w:rsidRPr="00532721" w:rsidRDefault="00376DA1" w:rsidP="00556540">
            <w:pPr>
              <w:jc w:val="right"/>
              <w:rPr>
                <w:rFonts w:ascii="Calibri" w:hAnsi="Calibri" w:cs="Calibri"/>
              </w:rPr>
            </w:pPr>
            <w:r w:rsidRPr="00532721">
              <w:rPr>
                <w:rFonts w:ascii="Calibri" w:hAnsi="Calibri" w:cs="Calibri"/>
              </w:rPr>
              <w:t>32.</w:t>
            </w:r>
          </w:p>
        </w:tc>
        <w:tc>
          <w:tcPr>
            <w:tcW w:w="1842" w:type="dxa"/>
          </w:tcPr>
          <w:p w:rsidR="00376DA1" w:rsidRPr="00532721" w:rsidRDefault="00376DA1" w:rsidP="00556540">
            <w:pPr>
              <w:rPr>
                <w:rFonts w:ascii="Calibri" w:hAnsi="Calibri" w:cs="Calibri"/>
              </w:rPr>
            </w:pPr>
            <w:r w:rsidRPr="00532721">
              <w:rPr>
                <w:rFonts w:ascii="Calibri" w:hAnsi="Calibri" w:cs="Calibri"/>
              </w:rPr>
              <w:t>PN-EN 12697-6</w:t>
            </w:r>
          </w:p>
        </w:tc>
        <w:tc>
          <w:tcPr>
            <w:tcW w:w="5135" w:type="dxa"/>
          </w:tcPr>
          <w:p w:rsidR="00376DA1" w:rsidRPr="00532721" w:rsidRDefault="00376DA1" w:rsidP="00556540">
            <w:pPr>
              <w:rPr>
                <w:rFonts w:ascii="Calibri" w:hAnsi="Calibri" w:cs="Calibri"/>
              </w:rPr>
            </w:pPr>
            <w:r w:rsidRPr="00532721">
              <w:rPr>
                <w:rFonts w:ascii="Calibri" w:hAnsi="Calibri" w:cs="Calibri"/>
              </w:rPr>
              <w:t>Mieszanki mineralno-asfaltowe – Metody badań mieszanek mineralno-asfaltowych na gorąco – Część 6: Oznaczanie gęstości objętościowej metodą hydrostatyczną</w:t>
            </w:r>
            <w:r>
              <w:rPr>
                <w:rFonts w:ascii="Calibri" w:hAnsi="Calibri" w:cs="Calibri"/>
              </w:rPr>
              <w:t>.</w:t>
            </w:r>
          </w:p>
        </w:tc>
      </w:tr>
      <w:tr w:rsidR="00376DA1" w:rsidRPr="00532721" w:rsidTr="00556540">
        <w:tc>
          <w:tcPr>
            <w:tcW w:w="534" w:type="dxa"/>
          </w:tcPr>
          <w:p w:rsidR="00376DA1" w:rsidRPr="00532721" w:rsidRDefault="00376DA1" w:rsidP="00556540">
            <w:pPr>
              <w:jc w:val="right"/>
              <w:rPr>
                <w:rFonts w:ascii="Calibri" w:hAnsi="Calibri" w:cs="Calibri"/>
              </w:rPr>
            </w:pPr>
            <w:r w:rsidRPr="00532721">
              <w:rPr>
                <w:rFonts w:ascii="Calibri" w:hAnsi="Calibri" w:cs="Calibri"/>
              </w:rPr>
              <w:t>33.</w:t>
            </w:r>
          </w:p>
        </w:tc>
        <w:tc>
          <w:tcPr>
            <w:tcW w:w="1842" w:type="dxa"/>
          </w:tcPr>
          <w:p w:rsidR="00376DA1" w:rsidRPr="00532721" w:rsidRDefault="00376DA1" w:rsidP="00556540">
            <w:pPr>
              <w:rPr>
                <w:rFonts w:ascii="Calibri" w:hAnsi="Calibri" w:cs="Calibri"/>
              </w:rPr>
            </w:pPr>
            <w:r w:rsidRPr="00532721">
              <w:rPr>
                <w:rFonts w:ascii="Calibri" w:hAnsi="Calibri" w:cs="Calibri"/>
              </w:rPr>
              <w:t>PN-EN 12697-8</w:t>
            </w:r>
          </w:p>
        </w:tc>
        <w:tc>
          <w:tcPr>
            <w:tcW w:w="5135" w:type="dxa"/>
          </w:tcPr>
          <w:p w:rsidR="00376DA1" w:rsidRPr="00532721" w:rsidRDefault="00376DA1" w:rsidP="00556540">
            <w:pPr>
              <w:rPr>
                <w:rFonts w:ascii="Calibri" w:hAnsi="Calibri" w:cs="Calibri"/>
              </w:rPr>
            </w:pPr>
            <w:r w:rsidRPr="00532721">
              <w:rPr>
                <w:rFonts w:ascii="Calibri" w:hAnsi="Calibri" w:cs="Calibri"/>
              </w:rPr>
              <w:t>Mieszanki mineralno-asfaltowe – Metody badań mieszanek mineralno-asfaltowych na gorąco – Część 8: Oznaczanie zawartości wolnej przestrzeni</w:t>
            </w:r>
            <w:r>
              <w:rPr>
                <w:rFonts w:ascii="Calibri" w:hAnsi="Calibri" w:cs="Calibri"/>
              </w:rPr>
              <w:t>.</w:t>
            </w:r>
          </w:p>
        </w:tc>
      </w:tr>
      <w:tr w:rsidR="00376DA1" w:rsidRPr="00532721" w:rsidTr="00556540">
        <w:tc>
          <w:tcPr>
            <w:tcW w:w="534" w:type="dxa"/>
          </w:tcPr>
          <w:p w:rsidR="00376DA1" w:rsidRPr="00532721" w:rsidRDefault="00376DA1" w:rsidP="00556540">
            <w:pPr>
              <w:jc w:val="right"/>
              <w:rPr>
                <w:rFonts w:ascii="Calibri" w:hAnsi="Calibri" w:cs="Calibri"/>
              </w:rPr>
            </w:pPr>
            <w:r w:rsidRPr="00532721">
              <w:rPr>
                <w:rFonts w:ascii="Calibri" w:hAnsi="Calibri" w:cs="Calibri"/>
              </w:rPr>
              <w:t>34.</w:t>
            </w:r>
          </w:p>
        </w:tc>
        <w:tc>
          <w:tcPr>
            <w:tcW w:w="1842" w:type="dxa"/>
          </w:tcPr>
          <w:p w:rsidR="00376DA1" w:rsidRPr="00532721" w:rsidRDefault="00376DA1" w:rsidP="00556540">
            <w:pPr>
              <w:rPr>
                <w:rFonts w:ascii="Calibri" w:hAnsi="Calibri" w:cs="Calibri"/>
              </w:rPr>
            </w:pPr>
            <w:r w:rsidRPr="00532721">
              <w:rPr>
                <w:rFonts w:ascii="Calibri" w:hAnsi="Calibri" w:cs="Calibri"/>
              </w:rPr>
              <w:t>PN-EN 12697-11</w:t>
            </w:r>
          </w:p>
        </w:tc>
        <w:tc>
          <w:tcPr>
            <w:tcW w:w="5135" w:type="dxa"/>
          </w:tcPr>
          <w:p w:rsidR="00376DA1" w:rsidRPr="00532721" w:rsidRDefault="00376DA1" w:rsidP="00556540">
            <w:pPr>
              <w:rPr>
                <w:rFonts w:ascii="Calibri" w:hAnsi="Calibri" w:cs="Calibri"/>
              </w:rPr>
            </w:pPr>
            <w:r w:rsidRPr="00532721">
              <w:rPr>
                <w:rFonts w:ascii="Calibri" w:hAnsi="Calibri" w:cs="Calibri"/>
              </w:rPr>
              <w:t>Mieszanki mineralno-asfaltowe – Metody badań mieszanek mineralno-asfaltowych na gorąco – Część 11: Określenie powiązania pomiędzy kruszywem i asfaltem</w:t>
            </w:r>
            <w:r>
              <w:rPr>
                <w:rFonts w:ascii="Calibri" w:hAnsi="Calibri" w:cs="Calibri"/>
              </w:rPr>
              <w:t>.</w:t>
            </w:r>
          </w:p>
        </w:tc>
      </w:tr>
      <w:tr w:rsidR="00376DA1" w:rsidRPr="00532721" w:rsidTr="00556540">
        <w:tc>
          <w:tcPr>
            <w:tcW w:w="534" w:type="dxa"/>
          </w:tcPr>
          <w:p w:rsidR="00376DA1" w:rsidRPr="00532721" w:rsidRDefault="00376DA1" w:rsidP="00556540">
            <w:pPr>
              <w:jc w:val="right"/>
              <w:rPr>
                <w:rFonts w:ascii="Calibri" w:hAnsi="Calibri" w:cs="Calibri"/>
              </w:rPr>
            </w:pPr>
            <w:r w:rsidRPr="00532721">
              <w:rPr>
                <w:rFonts w:ascii="Calibri" w:hAnsi="Calibri" w:cs="Calibri"/>
              </w:rPr>
              <w:t>35.</w:t>
            </w:r>
          </w:p>
        </w:tc>
        <w:tc>
          <w:tcPr>
            <w:tcW w:w="1842" w:type="dxa"/>
          </w:tcPr>
          <w:p w:rsidR="00376DA1" w:rsidRPr="00532721" w:rsidRDefault="00376DA1" w:rsidP="00556540">
            <w:pPr>
              <w:rPr>
                <w:rFonts w:ascii="Calibri" w:hAnsi="Calibri" w:cs="Calibri"/>
              </w:rPr>
            </w:pPr>
            <w:r w:rsidRPr="00532721">
              <w:rPr>
                <w:rFonts w:ascii="Calibri" w:hAnsi="Calibri" w:cs="Calibri"/>
              </w:rPr>
              <w:t>PN-EN 12697-12</w:t>
            </w:r>
          </w:p>
        </w:tc>
        <w:tc>
          <w:tcPr>
            <w:tcW w:w="5135" w:type="dxa"/>
          </w:tcPr>
          <w:p w:rsidR="00376DA1" w:rsidRPr="00532721" w:rsidRDefault="00376DA1" w:rsidP="00556540">
            <w:pPr>
              <w:rPr>
                <w:rFonts w:ascii="Calibri" w:hAnsi="Calibri" w:cs="Calibri"/>
              </w:rPr>
            </w:pPr>
            <w:r w:rsidRPr="00532721">
              <w:rPr>
                <w:rFonts w:ascii="Calibri" w:hAnsi="Calibri" w:cs="Calibri"/>
              </w:rPr>
              <w:t>Mieszanki mineralno-asfaltowe – Metody badań mieszanek mineralno-asfaltowych na gorąco – Część 12: Określanie wrażliwości na wodę</w:t>
            </w:r>
            <w:r>
              <w:rPr>
                <w:rFonts w:ascii="Calibri" w:hAnsi="Calibri" w:cs="Calibri"/>
              </w:rPr>
              <w:t>.</w:t>
            </w:r>
          </w:p>
        </w:tc>
      </w:tr>
      <w:tr w:rsidR="00376DA1" w:rsidRPr="00532721" w:rsidTr="00556540">
        <w:tc>
          <w:tcPr>
            <w:tcW w:w="534" w:type="dxa"/>
          </w:tcPr>
          <w:p w:rsidR="00376DA1" w:rsidRPr="00532721" w:rsidRDefault="00376DA1" w:rsidP="00556540">
            <w:pPr>
              <w:jc w:val="right"/>
              <w:rPr>
                <w:rFonts w:ascii="Calibri" w:hAnsi="Calibri" w:cs="Calibri"/>
              </w:rPr>
            </w:pPr>
            <w:r w:rsidRPr="00532721">
              <w:rPr>
                <w:rFonts w:ascii="Calibri" w:hAnsi="Calibri" w:cs="Calibri"/>
              </w:rPr>
              <w:t>36.</w:t>
            </w:r>
          </w:p>
        </w:tc>
        <w:tc>
          <w:tcPr>
            <w:tcW w:w="1842" w:type="dxa"/>
          </w:tcPr>
          <w:p w:rsidR="00376DA1" w:rsidRPr="00532721" w:rsidRDefault="00376DA1" w:rsidP="00556540">
            <w:pPr>
              <w:rPr>
                <w:rFonts w:ascii="Calibri" w:hAnsi="Calibri" w:cs="Calibri"/>
              </w:rPr>
            </w:pPr>
            <w:r w:rsidRPr="00532721">
              <w:rPr>
                <w:rFonts w:ascii="Calibri" w:hAnsi="Calibri" w:cs="Calibri"/>
              </w:rPr>
              <w:t>PN-EN 12697-13</w:t>
            </w:r>
          </w:p>
        </w:tc>
        <w:tc>
          <w:tcPr>
            <w:tcW w:w="5135" w:type="dxa"/>
          </w:tcPr>
          <w:p w:rsidR="00376DA1" w:rsidRPr="00532721" w:rsidRDefault="00376DA1" w:rsidP="00556540">
            <w:pPr>
              <w:rPr>
                <w:rFonts w:ascii="Calibri" w:hAnsi="Calibri" w:cs="Calibri"/>
              </w:rPr>
            </w:pPr>
            <w:r w:rsidRPr="00532721">
              <w:rPr>
                <w:rFonts w:ascii="Calibri" w:hAnsi="Calibri" w:cs="Calibri"/>
              </w:rPr>
              <w:t>Mieszanki mineralno-asfaltowe – Metody badań mieszanek mineralno-asfaltowych na gorąco – Część 13: Pomiar temperatury</w:t>
            </w:r>
            <w:r>
              <w:rPr>
                <w:rFonts w:ascii="Calibri" w:hAnsi="Calibri" w:cs="Calibri"/>
              </w:rPr>
              <w:t>.</w:t>
            </w:r>
          </w:p>
        </w:tc>
      </w:tr>
      <w:tr w:rsidR="00376DA1" w:rsidRPr="00532721" w:rsidTr="00556540">
        <w:tc>
          <w:tcPr>
            <w:tcW w:w="534" w:type="dxa"/>
          </w:tcPr>
          <w:p w:rsidR="00376DA1" w:rsidRPr="00532721" w:rsidRDefault="00376DA1" w:rsidP="00556540">
            <w:pPr>
              <w:jc w:val="right"/>
              <w:rPr>
                <w:rFonts w:ascii="Calibri" w:hAnsi="Calibri" w:cs="Calibri"/>
              </w:rPr>
            </w:pPr>
            <w:r w:rsidRPr="00532721">
              <w:rPr>
                <w:rFonts w:ascii="Calibri" w:hAnsi="Calibri" w:cs="Calibri"/>
              </w:rPr>
              <w:t>37.</w:t>
            </w:r>
          </w:p>
        </w:tc>
        <w:tc>
          <w:tcPr>
            <w:tcW w:w="1842" w:type="dxa"/>
          </w:tcPr>
          <w:p w:rsidR="00376DA1" w:rsidRPr="00532721" w:rsidRDefault="00376DA1" w:rsidP="00556540">
            <w:pPr>
              <w:rPr>
                <w:rFonts w:ascii="Calibri" w:hAnsi="Calibri" w:cs="Calibri"/>
              </w:rPr>
            </w:pPr>
            <w:r w:rsidRPr="00532721">
              <w:rPr>
                <w:rFonts w:ascii="Calibri" w:hAnsi="Calibri" w:cs="Calibri"/>
              </w:rPr>
              <w:t>PN-EN 12697-18</w:t>
            </w:r>
          </w:p>
        </w:tc>
        <w:tc>
          <w:tcPr>
            <w:tcW w:w="5135" w:type="dxa"/>
          </w:tcPr>
          <w:p w:rsidR="00376DA1" w:rsidRPr="00532721" w:rsidRDefault="00376DA1" w:rsidP="00556540">
            <w:pPr>
              <w:rPr>
                <w:rFonts w:ascii="Calibri" w:hAnsi="Calibri" w:cs="Calibri"/>
              </w:rPr>
            </w:pPr>
            <w:r w:rsidRPr="00532721">
              <w:rPr>
                <w:rFonts w:ascii="Calibri" w:hAnsi="Calibri" w:cs="Calibri"/>
              </w:rPr>
              <w:t>Mieszanki mineralno-asfaltowe – Metody badań mieszanek mineralno-asfaltowych na gorąco – Część 18: Spływanie lepiszcza</w:t>
            </w:r>
            <w:r>
              <w:rPr>
                <w:rFonts w:ascii="Calibri" w:hAnsi="Calibri" w:cs="Calibri"/>
              </w:rPr>
              <w:t>.</w:t>
            </w:r>
          </w:p>
        </w:tc>
      </w:tr>
      <w:tr w:rsidR="00376DA1" w:rsidRPr="00532721" w:rsidTr="00556540">
        <w:tc>
          <w:tcPr>
            <w:tcW w:w="534" w:type="dxa"/>
          </w:tcPr>
          <w:p w:rsidR="00376DA1" w:rsidRPr="00532721" w:rsidRDefault="00376DA1" w:rsidP="00556540">
            <w:pPr>
              <w:jc w:val="right"/>
              <w:rPr>
                <w:rFonts w:ascii="Calibri" w:hAnsi="Calibri" w:cs="Calibri"/>
              </w:rPr>
            </w:pPr>
            <w:r w:rsidRPr="00532721">
              <w:rPr>
                <w:rFonts w:ascii="Calibri" w:hAnsi="Calibri" w:cs="Calibri"/>
              </w:rPr>
              <w:t>38.</w:t>
            </w:r>
          </w:p>
        </w:tc>
        <w:tc>
          <w:tcPr>
            <w:tcW w:w="1842" w:type="dxa"/>
          </w:tcPr>
          <w:p w:rsidR="00376DA1" w:rsidRPr="00532721" w:rsidRDefault="00376DA1" w:rsidP="00556540">
            <w:pPr>
              <w:rPr>
                <w:rFonts w:ascii="Calibri" w:hAnsi="Calibri" w:cs="Calibri"/>
              </w:rPr>
            </w:pPr>
            <w:r w:rsidRPr="00532721">
              <w:rPr>
                <w:rFonts w:ascii="Calibri" w:hAnsi="Calibri" w:cs="Calibri"/>
              </w:rPr>
              <w:t>PN-EN 12697-22</w:t>
            </w:r>
          </w:p>
        </w:tc>
        <w:tc>
          <w:tcPr>
            <w:tcW w:w="5135" w:type="dxa"/>
          </w:tcPr>
          <w:p w:rsidR="00376DA1" w:rsidRPr="00532721" w:rsidRDefault="00376DA1" w:rsidP="00556540">
            <w:pPr>
              <w:rPr>
                <w:rFonts w:ascii="Calibri" w:hAnsi="Calibri" w:cs="Calibri"/>
              </w:rPr>
            </w:pPr>
            <w:r w:rsidRPr="00532721">
              <w:rPr>
                <w:rFonts w:ascii="Calibri" w:hAnsi="Calibri" w:cs="Calibri"/>
              </w:rPr>
              <w:t>Mieszanki mineralno-asfaltowe – Metody badań mieszanek mineralno-asfaltowych na gorąco – Część 22: Koleinowanie</w:t>
            </w:r>
            <w:r>
              <w:rPr>
                <w:rFonts w:ascii="Calibri" w:hAnsi="Calibri" w:cs="Calibri"/>
              </w:rPr>
              <w:t>.</w:t>
            </w:r>
          </w:p>
        </w:tc>
      </w:tr>
      <w:tr w:rsidR="00376DA1" w:rsidRPr="00532721" w:rsidTr="00556540">
        <w:tc>
          <w:tcPr>
            <w:tcW w:w="534" w:type="dxa"/>
          </w:tcPr>
          <w:p w:rsidR="00376DA1" w:rsidRPr="00532721" w:rsidRDefault="00376DA1" w:rsidP="00556540">
            <w:pPr>
              <w:jc w:val="right"/>
              <w:rPr>
                <w:rFonts w:ascii="Calibri" w:hAnsi="Calibri" w:cs="Calibri"/>
              </w:rPr>
            </w:pPr>
            <w:r w:rsidRPr="00532721">
              <w:rPr>
                <w:rFonts w:ascii="Calibri" w:hAnsi="Calibri" w:cs="Calibri"/>
              </w:rPr>
              <w:t>39.</w:t>
            </w:r>
          </w:p>
        </w:tc>
        <w:tc>
          <w:tcPr>
            <w:tcW w:w="1842" w:type="dxa"/>
          </w:tcPr>
          <w:p w:rsidR="00376DA1" w:rsidRPr="00532721" w:rsidRDefault="00376DA1" w:rsidP="00556540">
            <w:pPr>
              <w:rPr>
                <w:rFonts w:ascii="Calibri" w:hAnsi="Calibri" w:cs="Calibri"/>
              </w:rPr>
            </w:pPr>
            <w:r w:rsidRPr="00532721">
              <w:rPr>
                <w:rFonts w:ascii="Calibri" w:hAnsi="Calibri" w:cs="Calibri"/>
              </w:rPr>
              <w:t>PN-EN 12697-27</w:t>
            </w:r>
          </w:p>
        </w:tc>
        <w:tc>
          <w:tcPr>
            <w:tcW w:w="5135" w:type="dxa"/>
          </w:tcPr>
          <w:p w:rsidR="00376DA1" w:rsidRPr="00532721" w:rsidRDefault="00376DA1" w:rsidP="00556540">
            <w:pPr>
              <w:rPr>
                <w:rFonts w:ascii="Calibri" w:hAnsi="Calibri" w:cs="Calibri"/>
              </w:rPr>
            </w:pPr>
            <w:r w:rsidRPr="00532721">
              <w:rPr>
                <w:rFonts w:ascii="Calibri" w:hAnsi="Calibri" w:cs="Calibri"/>
              </w:rPr>
              <w:t>Mieszanki mineralno-asfaltowe – Metody badań mieszanek mineralno-asfaltowych na gorąco – Część 27: Pobieranie próbek</w:t>
            </w:r>
            <w:r>
              <w:rPr>
                <w:rFonts w:ascii="Calibri" w:hAnsi="Calibri" w:cs="Calibri"/>
              </w:rPr>
              <w:t>.</w:t>
            </w:r>
          </w:p>
        </w:tc>
      </w:tr>
      <w:tr w:rsidR="00376DA1" w:rsidRPr="00532721" w:rsidTr="00556540">
        <w:tc>
          <w:tcPr>
            <w:tcW w:w="534" w:type="dxa"/>
          </w:tcPr>
          <w:p w:rsidR="00376DA1" w:rsidRPr="00532721" w:rsidRDefault="00376DA1" w:rsidP="00556540">
            <w:pPr>
              <w:jc w:val="right"/>
              <w:rPr>
                <w:rFonts w:ascii="Calibri" w:hAnsi="Calibri" w:cs="Calibri"/>
              </w:rPr>
            </w:pPr>
            <w:r w:rsidRPr="00532721">
              <w:rPr>
                <w:rFonts w:ascii="Calibri" w:hAnsi="Calibri" w:cs="Calibri"/>
              </w:rPr>
              <w:t>40.</w:t>
            </w:r>
          </w:p>
        </w:tc>
        <w:tc>
          <w:tcPr>
            <w:tcW w:w="1842" w:type="dxa"/>
          </w:tcPr>
          <w:p w:rsidR="00376DA1" w:rsidRPr="00532721" w:rsidRDefault="00376DA1" w:rsidP="00556540">
            <w:pPr>
              <w:rPr>
                <w:rFonts w:ascii="Calibri" w:hAnsi="Calibri" w:cs="Calibri"/>
              </w:rPr>
            </w:pPr>
            <w:r w:rsidRPr="00532721">
              <w:rPr>
                <w:rFonts w:ascii="Calibri" w:hAnsi="Calibri" w:cs="Calibri"/>
              </w:rPr>
              <w:t>PN-EN 12697-36</w:t>
            </w:r>
          </w:p>
        </w:tc>
        <w:tc>
          <w:tcPr>
            <w:tcW w:w="5135" w:type="dxa"/>
          </w:tcPr>
          <w:p w:rsidR="00376DA1" w:rsidRPr="00532721" w:rsidRDefault="00376DA1" w:rsidP="00556540">
            <w:pPr>
              <w:rPr>
                <w:rFonts w:ascii="Calibri" w:hAnsi="Calibri" w:cs="Calibri"/>
              </w:rPr>
            </w:pPr>
            <w:r w:rsidRPr="00532721">
              <w:rPr>
                <w:rFonts w:ascii="Calibri" w:hAnsi="Calibri" w:cs="Calibri"/>
              </w:rPr>
              <w:t>Mieszanki mineralno-asfaltowe – Metody badań mieszanek mineralno-asfaltowych na gorąco – Część 36: Oznaczanie grubości nawierzchni asfaltowych</w:t>
            </w:r>
            <w:r>
              <w:rPr>
                <w:rFonts w:ascii="Calibri" w:hAnsi="Calibri" w:cs="Calibri"/>
              </w:rPr>
              <w:t>.</w:t>
            </w:r>
          </w:p>
        </w:tc>
      </w:tr>
      <w:tr w:rsidR="00376DA1" w:rsidRPr="00532721" w:rsidTr="00556540">
        <w:tc>
          <w:tcPr>
            <w:tcW w:w="534" w:type="dxa"/>
          </w:tcPr>
          <w:p w:rsidR="00376DA1" w:rsidRPr="00532721" w:rsidRDefault="00376DA1" w:rsidP="00556540">
            <w:pPr>
              <w:jc w:val="right"/>
              <w:rPr>
                <w:rFonts w:ascii="Calibri" w:hAnsi="Calibri" w:cs="Calibri"/>
              </w:rPr>
            </w:pPr>
            <w:r w:rsidRPr="00532721">
              <w:rPr>
                <w:rFonts w:ascii="Calibri" w:hAnsi="Calibri" w:cs="Calibri"/>
              </w:rPr>
              <w:t>41.</w:t>
            </w:r>
          </w:p>
        </w:tc>
        <w:tc>
          <w:tcPr>
            <w:tcW w:w="1842" w:type="dxa"/>
          </w:tcPr>
          <w:p w:rsidR="00376DA1" w:rsidRPr="00532721" w:rsidRDefault="00376DA1" w:rsidP="00556540">
            <w:pPr>
              <w:rPr>
                <w:rFonts w:ascii="Calibri" w:hAnsi="Calibri" w:cs="Calibri"/>
              </w:rPr>
            </w:pPr>
            <w:r w:rsidRPr="00532721">
              <w:rPr>
                <w:rFonts w:ascii="Calibri" w:hAnsi="Calibri" w:cs="Calibri"/>
              </w:rPr>
              <w:t>PN-EN 12846</w:t>
            </w:r>
          </w:p>
        </w:tc>
        <w:tc>
          <w:tcPr>
            <w:tcW w:w="5135" w:type="dxa"/>
          </w:tcPr>
          <w:p w:rsidR="00376DA1" w:rsidRPr="00532721" w:rsidRDefault="00376DA1" w:rsidP="00556540">
            <w:pPr>
              <w:rPr>
                <w:rFonts w:ascii="Calibri" w:hAnsi="Calibri" w:cs="Calibri"/>
              </w:rPr>
            </w:pPr>
            <w:r w:rsidRPr="00532721">
              <w:rPr>
                <w:rFonts w:ascii="Calibri" w:hAnsi="Calibri" w:cs="Calibri"/>
              </w:rPr>
              <w:t xml:space="preserve">Asfalty i lepiszcza asfaltowe – Oznaczanie czasu wypływu </w:t>
            </w:r>
            <w:r w:rsidRPr="00532721">
              <w:rPr>
                <w:rFonts w:ascii="Calibri" w:hAnsi="Calibri" w:cs="Calibri"/>
              </w:rPr>
              <w:lastRenderedPageBreak/>
              <w:t>emulsji asfaltowych lepkościomierzem wypływowym</w:t>
            </w:r>
            <w:r>
              <w:rPr>
                <w:rFonts w:ascii="Calibri" w:hAnsi="Calibri" w:cs="Calibri"/>
              </w:rPr>
              <w:t>.</w:t>
            </w:r>
          </w:p>
        </w:tc>
      </w:tr>
      <w:tr w:rsidR="00376DA1" w:rsidRPr="00532721" w:rsidTr="00556540">
        <w:tc>
          <w:tcPr>
            <w:tcW w:w="534" w:type="dxa"/>
          </w:tcPr>
          <w:p w:rsidR="00376DA1" w:rsidRPr="00532721" w:rsidRDefault="00376DA1" w:rsidP="00556540">
            <w:pPr>
              <w:jc w:val="right"/>
              <w:rPr>
                <w:rFonts w:ascii="Calibri" w:hAnsi="Calibri" w:cs="Calibri"/>
              </w:rPr>
            </w:pPr>
            <w:r w:rsidRPr="00532721">
              <w:rPr>
                <w:rFonts w:ascii="Calibri" w:hAnsi="Calibri" w:cs="Calibri"/>
              </w:rPr>
              <w:lastRenderedPageBreak/>
              <w:t>42.</w:t>
            </w:r>
          </w:p>
        </w:tc>
        <w:tc>
          <w:tcPr>
            <w:tcW w:w="1842" w:type="dxa"/>
          </w:tcPr>
          <w:p w:rsidR="00376DA1" w:rsidRPr="00532721" w:rsidRDefault="00376DA1" w:rsidP="00556540">
            <w:pPr>
              <w:rPr>
                <w:rFonts w:ascii="Calibri" w:hAnsi="Calibri" w:cs="Calibri"/>
              </w:rPr>
            </w:pPr>
            <w:r w:rsidRPr="00532721">
              <w:rPr>
                <w:rFonts w:ascii="Calibri" w:hAnsi="Calibri" w:cs="Calibri"/>
              </w:rPr>
              <w:t>PN-EN 12847</w:t>
            </w:r>
          </w:p>
        </w:tc>
        <w:tc>
          <w:tcPr>
            <w:tcW w:w="5135" w:type="dxa"/>
          </w:tcPr>
          <w:p w:rsidR="00376DA1" w:rsidRPr="00532721" w:rsidRDefault="00376DA1" w:rsidP="00556540">
            <w:pPr>
              <w:rPr>
                <w:rFonts w:ascii="Calibri" w:hAnsi="Calibri" w:cs="Calibri"/>
              </w:rPr>
            </w:pPr>
            <w:r w:rsidRPr="00532721">
              <w:rPr>
                <w:rFonts w:ascii="Calibri" w:hAnsi="Calibri" w:cs="Calibri"/>
              </w:rPr>
              <w:t>Asfalty i lepiszcza asfaltowe – Oznaczanie sedymentacji emulsji asfaltowych</w:t>
            </w:r>
            <w:r>
              <w:rPr>
                <w:rFonts w:ascii="Calibri" w:hAnsi="Calibri" w:cs="Calibri"/>
              </w:rPr>
              <w:t>.</w:t>
            </w:r>
          </w:p>
        </w:tc>
      </w:tr>
      <w:tr w:rsidR="00376DA1" w:rsidRPr="00532721" w:rsidTr="00556540">
        <w:tc>
          <w:tcPr>
            <w:tcW w:w="534" w:type="dxa"/>
          </w:tcPr>
          <w:p w:rsidR="00376DA1" w:rsidRPr="00532721" w:rsidRDefault="00376DA1" w:rsidP="00556540">
            <w:pPr>
              <w:jc w:val="right"/>
              <w:rPr>
                <w:rFonts w:ascii="Calibri" w:hAnsi="Calibri" w:cs="Calibri"/>
              </w:rPr>
            </w:pPr>
            <w:r w:rsidRPr="00532721">
              <w:rPr>
                <w:rFonts w:ascii="Calibri" w:hAnsi="Calibri" w:cs="Calibri"/>
              </w:rPr>
              <w:t>43.</w:t>
            </w:r>
          </w:p>
        </w:tc>
        <w:tc>
          <w:tcPr>
            <w:tcW w:w="1842" w:type="dxa"/>
          </w:tcPr>
          <w:p w:rsidR="00376DA1" w:rsidRPr="00532721" w:rsidRDefault="00376DA1" w:rsidP="00556540">
            <w:pPr>
              <w:rPr>
                <w:rFonts w:ascii="Calibri" w:hAnsi="Calibri" w:cs="Calibri"/>
              </w:rPr>
            </w:pPr>
            <w:r w:rsidRPr="00532721">
              <w:rPr>
                <w:rFonts w:ascii="Calibri" w:hAnsi="Calibri" w:cs="Calibri"/>
              </w:rPr>
              <w:t>PN-EN 12850</w:t>
            </w:r>
          </w:p>
        </w:tc>
        <w:tc>
          <w:tcPr>
            <w:tcW w:w="5135" w:type="dxa"/>
          </w:tcPr>
          <w:p w:rsidR="00376DA1" w:rsidRPr="00532721" w:rsidRDefault="00376DA1" w:rsidP="00556540">
            <w:pPr>
              <w:rPr>
                <w:rFonts w:ascii="Calibri" w:hAnsi="Calibri" w:cs="Calibri"/>
              </w:rPr>
            </w:pPr>
            <w:r w:rsidRPr="00532721">
              <w:rPr>
                <w:rFonts w:ascii="Calibri" w:hAnsi="Calibri" w:cs="Calibri"/>
              </w:rPr>
              <w:t>Asfalty i lepiszcza asfaltowe – Oznaczanie wartości pH emulsji asfaltowych</w:t>
            </w:r>
            <w:r>
              <w:rPr>
                <w:rFonts w:ascii="Calibri" w:hAnsi="Calibri" w:cs="Calibri"/>
              </w:rPr>
              <w:t>.</w:t>
            </w:r>
          </w:p>
        </w:tc>
      </w:tr>
      <w:tr w:rsidR="00376DA1" w:rsidRPr="00532721" w:rsidTr="00556540">
        <w:tc>
          <w:tcPr>
            <w:tcW w:w="534" w:type="dxa"/>
          </w:tcPr>
          <w:p w:rsidR="00376DA1" w:rsidRPr="00532721" w:rsidRDefault="00376DA1" w:rsidP="00556540">
            <w:pPr>
              <w:jc w:val="right"/>
              <w:rPr>
                <w:rFonts w:ascii="Calibri" w:hAnsi="Calibri" w:cs="Calibri"/>
              </w:rPr>
            </w:pPr>
            <w:r w:rsidRPr="00532721">
              <w:rPr>
                <w:rFonts w:ascii="Calibri" w:hAnsi="Calibri" w:cs="Calibri"/>
              </w:rPr>
              <w:t>44.</w:t>
            </w:r>
          </w:p>
        </w:tc>
        <w:tc>
          <w:tcPr>
            <w:tcW w:w="1842" w:type="dxa"/>
          </w:tcPr>
          <w:p w:rsidR="00376DA1" w:rsidRPr="00532721" w:rsidRDefault="00376DA1" w:rsidP="00556540">
            <w:pPr>
              <w:rPr>
                <w:rFonts w:ascii="Calibri" w:hAnsi="Calibri" w:cs="Calibri"/>
              </w:rPr>
            </w:pPr>
            <w:r w:rsidRPr="00532721">
              <w:rPr>
                <w:rFonts w:ascii="Calibri" w:hAnsi="Calibri" w:cs="Calibri"/>
              </w:rPr>
              <w:t>PN-EN 13043</w:t>
            </w:r>
          </w:p>
        </w:tc>
        <w:tc>
          <w:tcPr>
            <w:tcW w:w="5135" w:type="dxa"/>
          </w:tcPr>
          <w:p w:rsidR="00376DA1" w:rsidRPr="00532721" w:rsidRDefault="00376DA1" w:rsidP="00556540">
            <w:pPr>
              <w:rPr>
                <w:rFonts w:ascii="Calibri" w:hAnsi="Calibri" w:cs="Calibri"/>
              </w:rPr>
            </w:pPr>
            <w:r w:rsidRPr="00532721">
              <w:rPr>
                <w:rFonts w:ascii="Calibri" w:hAnsi="Calibri" w:cs="Calibri"/>
              </w:rPr>
              <w:t>Kruszywa do mieszanek bitumicznych i powierzchniowych utrwaleń stosowanych na drogach, lotniskach i innych powierzchniach przeznaczonych do ruchu</w:t>
            </w:r>
            <w:r>
              <w:rPr>
                <w:rFonts w:ascii="Calibri" w:hAnsi="Calibri" w:cs="Calibri"/>
              </w:rPr>
              <w:t>.</w:t>
            </w:r>
          </w:p>
        </w:tc>
      </w:tr>
      <w:tr w:rsidR="00376DA1" w:rsidRPr="00532721" w:rsidTr="00556540">
        <w:tc>
          <w:tcPr>
            <w:tcW w:w="534" w:type="dxa"/>
          </w:tcPr>
          <w:p w:rsidR="00376DA1" w:rsidRPr="00532721" w:rsidRDefault="00376DA1" w:rsidP="00556540">
            <w:pPr>
              <w:jc w:val="right"/>
              <w:rPr>
                <w:rFonts w:ascii="Calibri" w:hAnsi="Calibri" w:cs="Calibri"/>
              </w:rPr>
            </w:pPr>
            <w:r w:rsidRPr="00532721">
              <w:rPr>
                <w:rFonts w:ascii="Calibri" w:hAnsi="Calibri" w:cs="Calibri"/>
              </w:rPr>
              <w:t>45.</w:t>
            </w:r>
          </w:p>
        </w:tc>
        <w:tc>
          <w:tcPr>
            <w:tcW w:w="1842" w:type="dxa"/>
          </w:tcPr>
          <w:p w:rsidR="00376DA1" w:rsidRPr="00532721" w:rsidRDefault="00376DA1" w:rsidP="00556540">
            <w:pPr>
              <w:rPr>
                <w:rFonts w:ascii="Calibri" w:hAnsi="Calibri" w:cs="Calibri"/>
              </w:rPr>
            </w:pPr>
            <w:r w:rsidRPr="00532721">
              <w:rPr>
                <w:rFonts w:ascii="Calibri" w:hAnsi="Calibri" w:cs="Calibri"/>
              </w:rPr>
              <w:t>PN-EN 13074</w:t>
            </w:r>
          </w:p>
        </w:tc>
        <w:tc>
          <w:tcPr>
            <w:tcW w:w="5135" w:type="dxa"/>
          </w:tcPr>
          <w:p w:rsidR="00376DA1" w:rsidRPr="00532721" w:rsidRDefault="00376DA1" w:rsidP="00556540">
            <w:pPr>
              <w:rPr>
                <w:rFonts w:ascii="Calibri" w:hAnsi="Calibri" w:cs="Calibri"/>
              </w:rPr>
            </w:pPr>
            <w:r w:rsidRPr="00532721">
              <w:rPr>
                <w:rFonts w:ascii="Calibri" w:hAnsi="Calibri" w:cs="Calibri"/>
              </w:rPr>
              <w:t>Asfalty i lepiszcza asfaltowe – Oznaczanie lepiszczy z emulsji asfaltowych przez odparowanie</w:t>
            </w:r>
            <w:r>
              <w:rPr>
                <w:rFonts w:ascii="Calibri" w:hAnsi="Calibri" w:cs="Calibri"/>
              </w:rPr>
              <w:t>.</w:t>
            </w:r>
          </w:p>
        </w:tc>
      </w:tr>
      <w:tr w:rsidR="00376DA1" w:rsidRPr="00532721" w:rsidTr="00556540">
        <w:tc>
          <w:tcPr>
            <w:tcW w:w="534" w:type="dxa"/>
          </w:tcPr>
          <w:p w:rsidR="00376DA1" w:rsidRPr="00532721" w:rsidRDefault="00376DA1" w:rsidP="00556540">
            <w:pPr>
              <w:jc w:val="right"/>
              <w:rPr>
                <w:rFonts w:ascii="Calibri" w:hAnsi="Calibri" w:cs="Calibri"/>
              </w:rPr>
            </w:pPr>
            <w:r w:rsidRPr="00532721">
              <w:rPr>
                <w:rFonts w:ascii="Calibri" w:hAnsi="Calibri" w:cs="Calibri"/>
              </w:rPr>
              <w:t>46.</w:t>
            </w:r>
          </w:p>
        </w:tc>
        <w:tc>
          <w:tcPr>
            <w:tcW w:w="1842" w:type="dxa"/>
          </w:tcPr>
          <w:p w:rsidR="00376DA1" w:rsidRPr="00532721" w:rsidRDefault="00376DA1" w:rsidP="00556540">
            <w:pPr>
              <w:rPr>
                <w:rFonts w:ascii="Calibri" w:hAnsi="Calibri" w:cs="Calibri"/>
              </w:rPr>
            </w:pPr>
            <w:r w:rsidRPr="00532721">
              <w:rPr>
                <w:rFonts w:ascii="Calibri" w:hAnsi="Calibri" w:cs="Calibri"/>
              </w:rPr>
              <w:t>PN-EN 13075-1</w:t>
            </w:r>
          </w:p>
        </w:tc>
        <w:tc>
          <w:tcPr>
            <w:tcW w:w="5135" w:type="dxa"/>
          </w:tcPr>
          <w:p w:rsidR="00376DA1" w:rsidRPr="00532721" w:rsidRDefault="00376DA1" w:rsidP="00556540">
            <w:pPr>
              <w:rPr>
                <w:rFonts w:ascii="Calibri" w:hAnsi="Calibri" w:cs="Calibri"/>
              </w:rPr>
            </w:pPr>
            <w:r w:rsidRPr="00532721">
              <w:rPr>
                <w:rFonts w:ascii="Calibri" w:hAnsi="Calibri" w:cs="Calibri"/>
              </w:rPr>
              <w:t>Asfalty i lepiszcza asfaltowe – Badanie rozpadu – Część 1: Oznaczanie indeksu rozpadu kationowych emulsji asfaltowych, metoda z wypełniaczem mineralnym</w:t>
            </w:r>
            <w:r>
              <w:rPr>
                <w:rFonts w:ascii="Calibri" w:hAnsi="Calibri" w:cs="Calibri"/>
              </w:rPr>
              <w:t>.</w:t>
            </w:r>
          </w:p>
        </w:tc>
      </w:tr>
      <w:tr w:rsidR="00376DA1" w:rsidRPr="00532721" w:rsidTr="00556540">
        <w:tc>
          <w:tcPr>
            <w:tcW w:w="534" w:type="dxa"/>
          </w:tcPr>
          <w:p w:rsidR="00376DA1" w:rsidRPr="00532721" w:rsidRDefault="00376DA1" w:rsidP="00556540">
            <w:pPr>
              <w:jc w:val="right"/>
              <w:rPr>
                <w:rFonts w:ascii="Calibri" w:hAnsi="Calibri" w:cs="Calibri"/>
              </w:rPr>
            </w:pPr>
            <w:r w:rsidRPr="00532721">
              <w:rPr>
                <w:rFonts w:ascii="Calibri" w:hAnsi="Calibri" w:cs="Calibri"/>
              </w:rPr>
              <w:t>47.</w:t>
            </w:r>
          </w:p>
        </w:tc>
        <w:tc>
          <w:tcPr>
            <w:tcW w:w="1842" w:type="dxa"/>
          </w:tcPr>
          <w:p w:rsidR="00376DA1" w:rsidRPr="00532721" w:rsidRDefault="00376DA1" w:rsidP="00556540">
            <w:pPr>
              <w:rPr>
                <w:rFonts w:ascii="Calibri" w:hAnsi="Calibri" w:cs="Calibri"/>
              </w:rPr>
            </w:pPr>
            <w:r w:rsidRPr="00532721">
              <w:rPr>
                <w:rFonts w:ascii="Calibri" w:hAnsi="Calibri" w:cs="Calibri"/>
              </w:rPr>
              <w:t>PN-EN 13108-1</w:t>
            </w:r>
          </w:p>
        </w:tc>
        <w:tc>
          <w:tcPr>
            <w:tcW w:w="5135" w:type="dxa"/>
          </w:tcPr>
          <w:p w:rsidR="00376DA1" w:rsidRPr="00532721" w:rsidRDefault="00376DA1" w:rsidP="00556540">
            <w:pPr>
              <w:rPr>
                <w:rFonts w:ascii="Calibri" w:hAnsi="Calibri" w:cs="Calibri"/>
              </w:rPr>
            </w:pPr>
            <w:r w:rsidRPr="00532721">
              <w:rPr>
                <w:rFonts w:ascii="Calibri" w:hAnsi="Calibri" w:cs="Calibri"/>
              </w:rPr>
              <w:t>Mieszanki mineralno-asfaltowe – Wymagania – Część 1: Beton asfaltowy</w:t>
            </w:r>
            <w:r>
              <w:rPr>
                <w:rFonts w:ascii="Calibri" w:hAnsi="Calibri" w:cs="Calibri"/>
              </w:rPr>
              <w:t>.</w:t>
            </w:r>
          </w:p>
        </w:tc>
      </w:tr>
      <w:tr w:rsidR="00376DA1" w:rsidRPr="00532721" w:rsidTr="00556540">
        <w:tc>
          <w:tcPr>
            <w:tcW w:w="534" w:type="dxa"/>
          </w:tcPr>
          <w:p w:rsidR="00376DA1" w:rsidRPr="00532721" w:rsidRDefault="00376DA1" w:rsidP="00556540">
            <w:pPr>
              <w:jc w:val="right"/>
              <w:rPr>
                <w:rFonts w:ascii="Calibri" w:hAnsi="Calibri" w:cs="Calibri"/>
              </w:rPr>
            </w:pPr>
            <w:r w:rsidRPr="00532721">
              <w:rPr>
                <w:rFonts w:ascii="Calibri" w:hAnsi="Calibri" w:cs="Calibri"/>
              </w:rPr>
              <w:t>48.</w:t>
            </w:r>
          </w:p>
        </w:tc>
        <w:tc>
          <w:tcPr>
            <w:tcW w:w="1842" w:type="dxa"/>
          </w:tcPr>
          <w:p w:rsidR="00376DA1" w:rsidRPr="00532721" w:rsidRDefault="00376DA1" w:rsidP="00556540">
            <w:pPr>
              <w:rPr>
                <w:rFonts w:ascii="Calibri" w:hAnsi="Calibri" w:cs="Calibri"/>
              </w:rPr>
            </w:pPr>
            <w:r w:rsidRPr="00532721">
              <w:rPr>
                <w:rFonts w:ascii="Calibri" w:hAnsi="Calibri" w:cs="Calibri"/>
              </w:rPr>
              <w:t>PN-EN 13108-20</w:t>
            </w:r>
          </w:p>
        </w:tc>
        <w:tc>
          <w:tcPr>
            <w:tcW w:w="5135" w:type="dxa"/>
          </w:tcPr>
          <w:p w:rsidR="00376DA1" w:rsidRPr="00532721" w:rsidRDefault="00376DA1" w:rsidP="00556540">
            <w:pPr>
              <w:rPr>
                <w:rFonts w:ascii="Calibri" w:hAnsi="Calibri" w:cs="Calibri"/>
              </w:rPr>
            </w:pPr>
            <w:r w:rsidRPr="00532721">
              <w:rPr>
                <w:rFonts w:ascii="Calibri" w:hAnsi="Calibri" w:cs="Calibri"/>
              </w:rPr>
              <w:t>Mieszanki mineralno-asfaltowe – Wymagania – Część 20: Badanie typu</w:t>
            </w:r>
            <w:r>
              <w:rPr>
                <w:rFonts w:ascii="Calibri" w:hAnsi="Calibri" w:cs="Calibri"/>
              </w:rPr>
              <w:t>.</w:t>
            </w:r>
          </w:p>
        </w:tc>
      </w:tr>
      <w:tr w:rsidR="00376DA1" w:rsidRPr="00532721" w:rsidTr="00556540">
        <w:tc>
          <w:tcPr>
            <w:tcW w:w="534" w:type="dxa"/>
          </w:tcPr>
          <w:p w:rsidR="00376DA1" w:rsidRPr="00532721" w:rsidRDefault="00376DA1" w:rsidP="00556540">
            <w:pPr>
              <w:jc w:val="right"/>
              <w:rPr>
                <w:rFonts w:ascii="Calibri" w:hAnsi="Calibri" w:cs="Calibri"/>
              </w:rPr>
            </w:pPr>
            <w:r w:rsidRPr="00532721">
              <w:rPr>
                <w:rFonts w:ascii="Calibri" w:hAnsi="Calibri" w:cs="Calibri"/>
              </w:rPr>
              <w:t>49.</w:t>
            </w:r>
          </w:p>
        </w:tc>
        <w:tc>
          <w:tcPr>
            <w:tcW w:w="1842" w:type="dxa"/>
          </w:tcPr>
          <w:p w:rsidR="00376DA1" w:rsidRPr="00532721" w:rsidRDefault="00376DA1" w:rsidP="00556540">
            <w:pPr>
              <w:rPr>
                <w:rFonts w:ascii="Calibri" w:hAnsi="Calibri" w:cs="Calibri"/>
              </w:rPr>
            </w:pPr>
            <w:r w:rsidRPr="00532721">
              <w:rPr>
                <w:rFonts w:ascii="Calibri" w:hAnsi="Calibri" w:cs="Calibri"/>
              </w:rPr>
              <w:t>PN-EN 13179-1</w:t>
            </w:r>
          </w:p>
        </w:tc>
        <w:tc>
          <w:tcPr>
            <w:tcW w:w="5135" w:type="dxa"/>
          </w:tcPr>
          <w:p w:rsidR="00376DA1" w:rsidRPr="00532721" w:rsidRDefault="00376DA1" w:rsidP="00556540">
            <w:pPr>
              <w:rPr>
                <w:rFonts w:ascii="Calibri" w:hAnsi="Calibri" w:cs="Calibri"/>
              </w:rPr>
            </w:pPr>
            <w:r w:rsidRPr="00532721">
              <w:rPr>
                <w:rFonts w:ascii="Calibri" w:hAnsi="Calibri" w:cs="Calibri"/>
              </w:rPr>
              <w:t>Badania kruszyw wypełniających stosowanych do mieszanek bitumicznych – Część 1: Badanie metodą Pierścienia i Kuli</w:t>
            </w:r>
            <w:r>
              <w:rPr>
                <w:rFonts w:ascii="Calibri" w:hAnsi="Calibri" w:cs="Calibri"/>
              </w:rPr>
              <w:t>.</w:t>
            </w:r>
          </w:p>
        </w:tc>
      </w:tr>
      <w:tr w:rsidR="00376DA1" w:rsidRPr="00532721" w:rsidTr="00556540">
        <w:tc>
          <w:tcPr>
            <w:tcW w:w="534" w:type="dxa"/>
          </w:tcPr>
          <w:p w:rsidR="00376DA1" w:rsidRPr="00532721" w:rsidRDefault="00376DA1" w:rsidP="00556540">
            <w:pPr>
              <w:jc w:val="right"/>
              <w:rPr>
                <w:rFonts w:ascii="Calibri" w:hAnsi="Calibri" w:cs="Calibri"/>
              </w:rPr>
            </w:pPr>
            <w:r w:rsidRPr="00532721">
              <w:rPr>
                <w:rFonts w:ascii="Calibri" w:hAnsi="Calibri" w:cs="Calibri"/>
              </w:rPr>
              <w:t>50.</w:t>
            </w:r>
          </w:p>
        </w:tc>
        <w:tc>
          <w:tcPr>
            <w:tcW w:w="1842" w:type="dxa"/>
          </w:tcPr>
          <w:p w:rsidR="00376DA1" w:rsidRPr="00532721" w:rsidRDefault="00376DA1" w:rsidP="00556540">
            <w:pPr>
              <w:rPr>
                <w:rFonts w:ascii="Calibri" w:hAnsi="Calibri" w:cs="Calibri"/>
              </w:rPr>
            </w:pPr>
            <w:r w:rsidRPr="00532721">
              <w:rPr>
                <w:rFonts w:ascii="Calibri" w:hAnsi="Calibri" w:cs="Calibri"/>
              </w:rPr>
              <w:t>PN-EN 13179-2</w:t>
            </w:r>
          </w:p>
        </w:tc>
        <w:tc>
          <w:tcPr>
            <w:tcW w:w="5135" w:type="dxa"/>
          </w:tcPr>
          <w:p w:rsidR="00376DA1" w:rsidRPr="00532721" w:rsidRDefault="00376DA1" w:rsidP="00556540">
            <w:pPr>
              <w:rPr>
                <w:rFonts w:ascii="Calibri" w:hAnsi="Calibri" w:cs="Calibri"/>
              </w:rPr>
            </w:pPr>
            <w:r w:rsidRPr="00532721">
              <w:rPr>
                <w:rFonts w:ascii="Calibri" w:hAnsi="Calibri" w:cs="Calibri"/>
              </w:rPr>
              <w:t>Badania kruszyw wypełniających stosowanych do mieszanek bitumicznych – Część 2: Liczba bitumiczna</w:t>
            </w:r>
            <w:r>
              <w:rPr>
                <w:rFonts w:ascii="Calibri" w:hAnsi="Calibri" w:cs="Calibri"/>
              </w:rPr>
              <w:t>.</w:t>
            </w:r>
          </w:p>
        </w:tc>
      </w:tr>
      <w:tr w:rsidR="00376DA1" w:rsidRPr="00532721" w:rsidTr="00556540">
        <w:tc>
          <w:tcPr>
            <w:tcW w:w="534" w:type="dxa"/>
          </w:tcPr>
          <w:p w:rsidR="00376DA1" w:rsidRPr="00532721" w:rsidRDefault="00376DA1" w:rsidP="00556540">
            <w:pPr>
              <w:jc w:val="right"/>
              <w:rPr>
                <w:rFonts w:ascii="Calibri" w:hAnsi="Calibri" w:cs="Calibri"/>
              </w:rPr>
            </w:pPr>
            <w:r w:rsidRPr="00532721">
              <w:rPr>
                <w:rFonts w:ascii="Calibri" w:hAnsi="Calibri" w:cs="Calibri"/>
              </w:rPr>
              <w:t>51.</w:t>
            </w:r>
          </w:p>
        </w:tc>
        <w:tc>
          <w:tcPr>
            <w:tcW w:w="1842" w:type="dxa"/>
          </w:tcPr>
          <w:p w:rsidR="00376DA1" w:rsidRPr="00532721" w:rsidRDefault="00376DA1" w:rsidP="00556540">
            <w:pPr>
              <w:rPr>
                <w:rFonts w:ascii="Calibri" w:hAnsi="Calibri" w:cs="Calibri"/>
              </w:rPr>
            </w:pPr>
            <w:r w:rsidRPr="00532721">
              <w:rPr>
                <w:rFonts w:ascii="Calibri" w:hAnsi="Calibri" w:cs="Calibri"/>
              </w:rPr>
              <w:t>PN-EN 13398</w:t>
            </w:r>
          </w:p>
        </w:tc>
        <w:tc>
          <w:tcPr>
            <w:tcW w:w="5135" w:type="dxa"/>
          </w:tcPr>
          <w:p w:rsidR="00376DA1" w:rsidRPr="00532721" w:rsidRDefault="00376DA1" w:rsidP="00556540">
            <w:pPr>
              <w:rPr>
                <w:rFonts w:ascii="Calibri" w:hAnsi="Calibri" w:cs="Calibri"/>
              </w:rPr>
            </w:pPr>
            <w:r w:rsidRPr="00532721">
              <w:rPr>
                <w:rFonts w:ascii="Calibri" w:hAnsi="Calibri" w:cs="Calibri"/>
              </w:rPr>
              <w:t>Asfalty i lepiszcza asfaltowe – Oznaczanie nawrotu sprężystego asfaltów modyfikowanych</w:t>
            </w:r>
            <w:r>
              <w:rPr>
                <w:rFonts w:ascii="Calibri" w:hAnsi="Calibri" w:cs="Calibri"/>
              </w:rPr>
              <w:t>.</w:t>
            </w:r>
          </w:p>
        </w:tc>
      </w:tr>
      <w:tr w:rsidR="00376DA1" w:rsidRPr="00532721" w:rsidTr="00556540">
        <w:tc>
          <w:tcPr>
            <w:tcW w:w="534" w:type="dxa"/>
          </w:tcPr>
          <w:p w:rsidR="00376DA1" w:rsidRPr="00532721" w:rsidRDefault="00376DA1" w:rsidP="00556540">
            <w:pPr>
              <w:jc w:val="right"/>
              <w:rPr>
                <w:rFonts w:ascii="Calibri" w:hAnsi="Calibri" w:cs="Calibri"/>
              </w:rPr>
            </w:pPr>
            <w:r w:rsidRPr="00532721">
              <w:rPr>
                <w:rFonts w:ascii="Calibri" w:hAnsi="Calibri" w:cs="Calibri"/>
              </w:rPr>
              <w:t>52.</w:t>
            </w:r>
          </w:p>
        </w:tc>
        <w:tc>
          <w:tcPr>
            <w:tcW w:w="1842" w:type="dxa"/>
          </w:tcPr>
          <w:p w:rsidR="00376DA1" w:rsidRPr="00532721" w:rsidRDefault="00376DA1" w:rsidP="00556540">
            <w:pPr>
              <w:rPr>
                <w:rFonts w:ascii="Calibri" w:hAnsi="Calibri" w:cs="Calibri"/>
              </w:rPr>
            </w:pPr>
            <w:r w:rsidRPr="00532721">
              <w:rPr>
                <w:rFonts w:ascii="Calibri" w:hAnsi="Calibri" w:cs="Calibri"/>
              </w:rPr>
              <w:t>PN-EN 13399</w:t>
            </w:r>
          </w:p>
        </w:tc>
        <w:tc>
          <w:tcPr>
            <w:tcW w:w="5135" w:type="dxa"/>
          </w:tcPr>
          <w:p w:rsidR="00376DA1" w:rsidRPr="00532721" w:rsidRDefault="00376DA1" w:rsidP="00556540">
            <w:pPr>
              <w:rPr>
                <w:rFonts w:ascii="Calibri" w:hAnsi="Calibri" w:cs="Calibri"/>
              </w:rPr>
            </w:pPr>
            <w:r w:rsidRPr="00532721">
              <w:rPr>
                <w:rFonts w:ascii="Calibri" w:hAnsi="Calibri" w:cs="Calibri"/>
              </w:rPr>
              <w:t>Asfalty i lepiszcza asfaltowe – Oznaczanie odporności na magazynowanie modyfikowanych asfaltów</w:t>
            </w:r>
            <w:r>
              <w:rPr>
                <w:rFonts w:ascii="Calibri" w:hAnsi="Calibri" w:cs="Calibri"/>
              </w:rPr>
              <w:t>.</w:t>
            </w:r>
          </w:p>
        </w:tc>
      </w:tr>
      <w:tr w:rsidR="00376DA1" w:rsidRPr="00532721" w:rsidTr="00556540">
        <w:tc>
          <w:tcPr>
            <w:tcW w:w="534" w:type="dxa"/>
          </w:tcPr>
          <w:p w:rsidR="00376DA1" w:rsidRPr="00532721" w:rsidRDefault="00376DA1" w:rsidP="00556540">
            <w:pPr>
              <w:jc w:val="right"/>
              <w:rPr>
                <w:rFonts w:ascii="Calibri" w:hAnsi="Calibri" w:cs="Calibri"/>
              </w:rPr>
            </w:pPr>
            <w:r w:rsidRPr="00532721">
              <w:rPr>
                <w:rFonts w:ascii="Calibri" w:hAnsi="Calibri" w:cs="Calibri"/>
              </w:rPr>
              <w:t>53.</w:t>
            </w:r>
          </w:p>
        </w:tc>
        <w:tc>
          <w:tcPr>
            <w:tcW w:w="1842" w:type="dxa"/>
          </w:tcPr>
          <w:p w:rsidR="00376DA1" w:rsidRPr="00532721" w:rsidRDefault="00376DA1" w:rsidP="00556540">
            <w:pPr>
              <w:rPr>
                <w:rFonts w:ascii="Calibri" w:hAnsi="Calibri" w:cs="Calibri"/>
              </w:rPr>
            </w:pPr>
            <w:r w:rsidRPr="00532721">
              <w:rPr>
                <w:rFonts w:ascii="Calibri" w:hAnsi="Calibri" w:cs="Calibri"/>
              </w:rPr>
              <w:t>PN-EN 13587</w:t>
            </w:r>
          </w:p>
        </w:tc>
        <w:tc>
          <w:tcPr>
            <w:tcW w:w="5135" w:type="dxa"/>
          </w:tcPr>
          <w:p w:rsidR="00376DA1" w:rsidRPr="00532721" w:rsidRDefault="00376DA1" w:rsidP="00556540">
            <w:pPr>
              <w:rPr>
                <w:rFonts w:ascii="Calibri" w:hAnsi="Calibri" w:cs="Calibri"/>
              </w:rPr>
            </w:pPr>
            <w:r w:rsidRPr="00532721">
              <w:rPr>
                <w:rFonts w:ascii="Calibri" w:hAnsi="Calibri" w:cs="Calibri"/>
              </w:rPr>
              <w:t>Asfalty i lepiszcza asfaltowe – Oznaczanie ciągliwości lepiszczy asfaltowych metodą pomiaru ciągliwości</w:t>
            </w:r>
            <w:r>
              <w:rPr>
                <w:rFonts w:ascii="Calibri" w:hAnsi="Calibri" w:cs="Calibri"/>
              </w:rPr>
              <w:t>.</w:t>
            </w:r>
          </w:p>
        </w:tc>
      </w:tr>
    </w:tbl>
    <w:p w:rsidR="00376DA1" w:rsidRDefault="00376DA1" w:rsidP="00376DA1"/>
    <w:tbl>
      <w:tblPr>
        <w:tblW w:w="0" w:type="auto"/>
        <w:tblInd w:w="-34" w:type="dxa"/>
        <w:tblLook w:val="01E0"/>
      </w:tblPr>
      <w:tblGrid>
        <w:gridCol w:w="534"/>
        <w:gridCol w:w="1842"/>
        <w:gridCol w:w="5135"/>
      </w:tblGrid>
      <w:tr w:rsidR="00376DA1" w:rsidRPr="00532721" w:rsidTr="00556540">
        <w:tc>
          <w:tcPr>
            <w:tcW w:w="534" w:type="dxa"/>
          </w:tcPr>
          <w:p w:rsidR="00376DA1" w:rsidRPr="00532721" w:rsidRDefault="00376DA1" w:rsidP="00556540">
            <w:pPr>
              <w:jc w:val="right"/>
              <w:rPr>
                <w:rFonts w:ascii="Calibri" w:hAnsi="Calibri" w:cs="Calibri"/>
              </w:rPr>
            </w:pPr>
            <w:r w:rsidRPr="00532721">
              <w:rPr>
                <w:rFonts w:ascii="Calibri" w:hAnsi="Calibri" w:cs="Calibri"/>
              </w:rPr>
              <w:t>54.</w:t>
            </w:r>
          </w:p>
        </w:tc>
        <w:tc>
          <w:tcPr>
            <w:tcW w:w="1842" w:type="dxa"/>
          </w:tcPr>
          <w:p w:rsidR="00376DA1" w:rsidRPr="00532721" w:rsidRDefault="00376DA1" w:rsidP="00556540">
            <w:pPr>
              <w:rPr>
                <w:rFonts w:ascii="Calibri" w:hAnsi="Calibri" w:cs="Calibri"/>
              </w:rPr>
            </w:pPr>
            <w:r w:rsidRPr="00532721">
              <w:rPr>
                <w:rFonts w:ascii="Calibri" w:hAnsi="Calibri" w:cs="Calibri"/>
              </w:rPr>
              <w:t>PN-EN 13588</w:t>
            </w:r>
          </w:p>
        </w:tc>
        <w:tc>
          <w:tcPr>
            <w:tcW w:w="5135" w:type="dxa"/>
          </w:tcPr>
          <w:p w:rsidR="00376DA1" w:rsidRPr="00532721" w:rsidRDefault="00376DA1" w:rsidP="00556540">
            <w:pPr>
              <w:rPr>
                <w:rFonts w:ascii="Calibri" w:hAnsi="Calibri" w:cs="Calibri"/>
              </w:rPr>
            </w:pPr>
            <w:r w:rsidRPr="00532721">
              <w:rPr>
                <w:rFonts w:ascii="Calibri" w:hAnsi="Calibri" w:cs="Calibri"/>
              </w:rPr>
              <w:t>Asfalty i lepiszcza asfaltowe – Oznaczanie kohezji lepiszczy asfaltowych metodą testu wahadłowego</w:t>
            </w:r>
            <w:r>
              <w:rPr>
                <w:rFonts w:ascii="Calibri" w:hAnsi="Calibri" w:cs="Calibri"/>
              </w:rPr>
              <w:t>.</w:t>
            </w:r>
          </w:p>
        </w:tc>
      </w:tr>
      <w:tr w:rsidR="00376DA1" w:rsidRPr="00532721" w:rsidTr="00556540">
        <w:tc>
          <w:tcPr>
            <w:tcW w:w="534" w:type="dxa"/>
          </w:tcPr>
          <w:p w:rsidR="00376DA1" w:rsidRPr="00532721" w:rsidRDefault="00376DA1" w:rsidP="00556540">
            <w:pPr>
              <w:jc w:val="right"/>
              <w:rPr>
                <w:rFonts w:ascii="Calibri" w:hAnsi="Calibri" w:cs="Calibri"/>
              </w:rPr>
            </w:pPr>
            <w:r w:rsidRPr="00532721">
              <w:rPr>
                <w:rFonts w:ascii="Calibri" w:hAnsi="Calibri" w:cs="Calibri"/>
              </w:rPr>
              <w:t>55.</w:t>
            </w:r>
          </w:p>
        </w:tc>
        <w:tc>
          <w:tcPr>
            <w:tcW w:w="1842" w:type="dxa"/>
          </w:tcPr>
          <w:p w:rsidR="00376DA1" w:rsidRPr="00532721" w:rsidRDefault="00376DA1" w:rsidP="00556540">
            <w:pPr>
              <w:rPr>
                <w:rFonts w:ascii="Calibri" w:hAnsi="Calibri" w:cs="Calibri"/>
              </w:rPr>
            </w:pPr>
            <w:r w:rsidRPr="00532721">
              <w:rPr>
                <w:rFonts w:ascii="Calibri" w:hAnsi="Calibri" w:cs="Calibri"/>
              </w:rPr>
              <w:t>PN-EN 13589</w:t>
            </w:r>
          </w:p>
        </w:tc>
        <w:tc>
          <w:tcPr>
            <w:tcW w:w="5135" w:type="dxa"/>
          </w:tcPr>
          <w:p w:rsidR="00376DA1" w:rsidRPr="00532721" w:rsidRDefault="00376DA1" w:rsidP="00556540">
            <w:pPr>
              <w:rPr>
                <w:rFonts w:ascii="Calibri" w:hAnsi="Calibri" w:cs="Calibri"/>
              </w:rPr>
            </w:pPr>
            <w:r w:rsidRPr="00532721">
              <w:rPr>
                <w:rFonts w:ascii="Calibri" w:hAnsi="Calibri" w:cs="Calibri"/>
              </w:rPr>
              <w:t>Asfalty i lepiszcza asfaltowe – Oznaczanie ciągliwości modyfikowanych asfaltów – Metoda z duktylometrem</w:t>
            </w:r>
            <w:r>
              <w:rPr>
                <w:rFonts w:ascii="Calibri" w:hAnsi="Calibri" w:cs="Calibri"/>
              </w:rPr>
              <w:t>.</w:t>
            </w:r>
          </w:p>
        </w:tc>
      </w:tr>
      <w:tr w:rsidR="00376DA1" w:rsidRPr="00532721" w:rsidTr="00556540">
        <w:tc>
          <w:tcPr>
            <w:tcW w:w="534" w:type="dxa"/>
          </w:tcPr>
          <w:p w:rsidR="00376DA1" w:rsidRPr="00532721" w:rsidRDefault="00376DA1" w:rsidP="00556540">
            <w:pPr>
              <w:jc w:val="right"/>
              <w:rPr>
                <w:rFonts w:ascii="Calibri" w:hAnsi="Calibri" w:cs="Calibri"/>
              </w:rPr>
            </w:pPr>
            <w:r w:rsidRPr="00532721">
              <w:rPr>
                <w:rFonts w:ascii="Calibri" w:hAnsi="Calibri" w:cs="Calibri"/>
              </w:rPr>
              <w:t>56.</w:t>
            </w:r>
          </w:p>
        </w:tc>
        <w:tc>
          <w:tcPr>
            <w:tcW w:w="1842" w:type="dxa"/>
          </w:tcPr>
          <w:p w:rsidR="00376DA1" w:rsidRPr="00532721" w:rsidRDefault="00376DA1" w:rsidP="00556540">
            <w:pPr>
              <w:rPr>
                <w:rFonts w:ascii="Calibri" w:hAnsi="Calibri" w:cs="Calibri"/>
              </w:rPr>
            </w:pPr>
            <w:r w:rsidRPr="00532721">
              <w:rPr>
                <w:rFonts w:ascii="Calibri" w:hAnsi="Calibri" w:cs="Calibri"/>
              </w:rPr>
              <w:t>PN-EN 13614</w:t>
            </w:r>
          </w:p>
        </w:tc>
        <w:tc>
          <w:tcPr>
            <w:tcW w:w="5135" w:type="dxa"/>
          </w:tcPr>
          <w:p w:rsidR="00376DA1" w:rsidRPr="00532721" w:rsidRDefault="00376DA1" w:rsidP="00556540">
            <w:pPr>
              <w:rPr>
                <w:rFonts w:ascii="Calibri" w:hAnsi="Calibri" w:cs="Calibri"/>
              </w:rPr>
            </w:pPr>
            <w:r w:rsidRPr="00532721">
              <w:rPr>
                <w:rFonts w:ascii="Calibri" w:hAnsi="Calibri" w:cs="Calibri"/>
              </w:rPr>
              <w:t>Asfalty i lepiszcza asfaltowe – Oznaczanie przyczepności emulsji bitumicznych przez zanurzenie w wodzie – Metoda z kruszywem</w:t>
            </w:r>
            <w:r>
              <w:rPr>
                <w:rFonts w:ascii="Calibri" w:hAnsi="Calibri" w:cs="Calibri"/>
              </w:rPr>
              <w:t>.</w:t>
            </w:r>
          </w:p>
        </w:tc>
      </w:tr>
      <w:tr w:rsidR="00376DA1" w:rsidRPr="00532721" w:rsidTr="00556540">
        <w:tc>
          <w:tcPr>
            <w:tcW w:w="534" w:type="dxa"/>
          </w:tcPr>
          <w:p w:rsidR="00376DA1" w:rsidRPr="00532721" w:rsidRDefault="00376DA1" w:rsidP="00556540">
            <w:pPr>
              <w:jc w:val="right"/>
              <w:rPr>
                <w:rFonts w:ascii="Calibri" w:hAnsi="Calibri" w:cs="Calibri"/>
              </w:rPr>
            </w:pPr>
            <w:r w:rsidRPr="00532721">
              <w:rPr>
                <w:rFonts w:ascii="Calibri" w:hAnsi="Calibri" w:cs="Calibri"/>
              </w:rPr>
              <w:t>57.</w:t>
            </w:r>
          </w:p>
        </w:tc>
        <w:tc>
          <w:tcPr>
            <w:tcW w:w="1842" w:type="dxa"/>
          </w:tcPr>
          <w:p w:rsidR="00376DA1" w:rsidRPr="00532721" w:rsidRDefault="00376DA1" w:rsidP="00556540">
            <w:pPr>
              <w:rPr>
                <w:rFonts w:ascii="Calibri" w:hAnsi="Calibri" w:cs="Calibri"/>
              </w:rPr>
            </w:pPr>
            <w:r w:rsidRPr="00532721">
              <w:rPr>
                <w:rFonts w:ascii="Calibri" w:hAnsi="Calibri" w:cs="Calibri"/>
              </w:rPr>
              <w:t>PN-EN 13703</w:t>
            </w:r>
          </w:p>
        </w:tc>
        <w:tc>
          <w:tcPr>
            <w:tcW w:w="5135" w:type="dxa"/>
          </w:tcPr>
          <w:p w:rsidR="00376DA1" w:rsidRPr="00532721" w:rsidRDefault="00376DA1" w:rsidP="00556540">
            <w:pPr>
              <w:rPr>
                <w:rFonts w:ascii="Calibri" w:hAnsi="Calibri" w:cs="Calibri"/>
              </w:rPr>
            </w:pPr>
            <w:r w:rsidRPr="00532721">
              <w:rPr>
                <w:rFonts w:ascii="Calibri" w:hAnsi="Calibri" w:cs="Calibri"/>
              </w:rPr>
              <w:t>Asfalty i lepiszcza asfaltowe – Oznaczanie energii deformacji</w:t>
            </w:r>
          </w:p>
        </w:tc>
      </w:tr>
      <w:tr w:rsidR="00376DA1" w:rsidRPr="00532721" w:rsidTr="00556540">
        <w:tc>
          <w:tcPr>
            <w:tcW w:w="534" w:type="dxa"/>
          </w:tcPr>
          <w:p w:rsidR="00376DA1" w:rsidRPr="00532721" w:rsidRDefault="00376DA1" w:rsidP="00556540">
            <w:pPr>
              <w:jc w:val="right"/>
              <w:rPr>
                <w:rFonts w:ascii="Calibri" w:hAnsi="Calibri" w:cs="Calibri"/>
              </w:rPr>
            </w:pPr>
            <w:r w:rsidRPr="00532721">
              <w:rPr>
                <w:rFonts w:ascii="Calibri" w:hAnsi="Calibri" w:cs="Calibri"/>
              </w:rPr>
              <w:t>58.</w:t>
            </w:r>
          </w:p>
        </w:tc>
        <w:tc>
          <w:tcPr>
            <w:tcW w:w="1842" w:type="dxa"/>
          </w:tcPr>
          <w:p w:rsidR="00376DA1" w:rsidRPr="00532721" w:rsidRDefault="00376DA1" w:rsidP="00556540">
            <w:pPr>
              <w:rPr>
                <w:rFonts w:ascii="Calibri" w:hAnsi="Calibri" w:cs="Calibri"/>
              </w:rPr>
            </w:pPr>
            <w:r w:rsidRPr="00532721">
              <w:rPr>
                <w:rFonts w:ascii="Calibri" w:hAnsi="Calibri" w:cs="Calibri"/>
              </w:rPr>
              <w:t>PN-EN 13808</w:t>
            </w:r>
          </w:p>
        </w:tc>
        <w:tc>
          <w:tcPr>
            <w:tcW w:w="5135" w:type="dxa"/>
          </w:tcPr>
          <w:p w:rsidR="00376DA1" w:rsidRPr="00532721" w:rsidRDefault="00376DA1" w:rsidP="00556540">
            <w:pPr>
              <w:rPr>
                <w:rFonts w:ascii="Calibri" w:hAnsi="Calibri" w:cs="Calibri"/>
              </w:rPr>
            </w:pPr>
            <w:r w:rsidRPr="00532721">
              <w:rPr>
                <w:rFonts w:ascii="Calibri" w:hAnsi="Calibri" w:cs="Calibri"/>
              </w:rPr>
              <w:t>Asfalty i lepiszcza asfaltowe – Zasady specyfikacji kationowych emulsji asfaltowych</w:t>
            </w:r>
            <w:r>
              <w:rPr>
                <w:rFonts w:ascii="Calibri" w:hAnsi="Calibri" w:cs="Calibri"/>
              </w:rPr>
              <w:t>.</w:t>
            </w:r>
          </w:p>
        </w:tc>
      </w:tr>
      <w:tr w:rsidR="00376DA1" w:rsidRPr="00532721" w:rsidTr="00556540">
        <w:tc>
          <w:tcPr>
            <w:tcW w:w="534" w:type="dxa"/>
          </w:tcPr>
          <w:p w:rsidR="00376DA1" w:rsidRPr="00532721" w:rsidRDefault="00376DA1" w:rsidP="00556540">
            <w:pPr>
              <w:jc w:val="right"/>
              <w:rPr>
                <w:rFonts w:ascii="Calibri" w:hAnsi="Calibri" w:cs="Calibri"/>
              </w:rPr>
            </w:pPr>
            <w:r w:rsidRPr="00532721">
              <w:rPr>
                <w:rFonts w:ascii="Calibri" w:hAnsi="Calibri" w:cs="Calibri"/>
              </w:rPr>
              <w:t>59.</w:t>
            </w:r>
          </w:p>
        </w:tc>
        <w:tc>
          <w:tcPr>
            <w:tcW w:w="1842" w:type="dxa"/>
          </w:tcPr>
          <w:p w:rsidR="00376DA1" w:rsidRPr="00532721" w:rsidRDefault="00376DA1" w:rsidP="00556540">
            <w:pPr>
              <w:rPr>
                <w:rFonts w:ascii="Calibri" w:hAnsi="Calibri" w:cs="Calibri"/>
              </w:rPr>
            </w:pPr>
            <w:r w:rsidRPr="00532721">
              <w:rPr>
                <w:rFonts w:ascii="Calibri" w:hAnsi="Calibri" w:cs="Calibri"/>
              </w:rPr>
              <w:t>PN-EN 14023</w:t>
            </w:r>
          </w:p>
        </w:tc>
        <w:tc>
          <w:tcPr>
            <w:tcW w:w="5135" w:type="dxa"/>
          </w:tcPr>
          <w:p w:rsidR="00376DA1" w:rsidRPr="00532721" w:rsidRDefault="00376DA1" w:rsidP="00556540">
            <w:pPr>
              <w:rPr>
                <w:rFonts w:ascii="Calibri" w:hAnsi="Calibri" w:cs="Calibri"/>
              </w:rPr>
            </w:pPr>
            <w:r w:rsidRPr="00532721">
              <w:rPr>
                <w:rFonts w:ascii="Calibri" w:hAnsi="Calibri" w:cs="Calibri"/>
              </w:rPr>
              <w:t>Asfalty i lepiszcza asfaltowe – Zasady specyfikacji asfaltów modyfikowanych polimerami</w:t>
            </w:r>
            <w:r>
              <w:rPr>
                <w:rFonts w:ascii="Calibri" w:hAnsi="Calibri" w:cs="Calibri"/>
              </w:rPr>
              <w:t>.</w:t>
            </w:r>
          </w:p>
        </w:tc>
      </w:tr>
      <w:tr w:rsidR="00376DA1" w:rsidRPr="00532721" w:rsidTr="00556540">
        <w:tc>
          <w:tcPr>
            <w:tcW w:w="534" w:type="dxa"/>
          </w:tcPr>
          <w:p w:rsidR="00376DA1" w:rsidRPr="00532721" w:rsidRDefault="00376DA1" w:rsidP="00556540">
            <w:pPr>
              <w:jc w:val="right"/>
              <w:rPr>
                <w:rFonts w:ascii="Calibri" w:hAnsi="Calibri" w:cs="Calibri"/>
              </w:rPr>
            </w:pPr>
            <w:r w:rsidRPr="00532721">
              <w:rPr>
                <w:rFonts w:ascii="Calibri" w:hAnsi="Calibri" w:cs="Calibri"/>
              </w:rPr>
              <w:t>60.</w:t>
            </w:r>
          </w:p>
        </w:tc>
        <w:tc>
          <w:tcPr>
            <w:tcW w:w="1842" w:type="dxa"/>
          </w:tcPr>
          <w:p w:rsidR="00376DA1" w:rsidRPr="00532721" w:rsidRDefault="00376DA1" w:rsidP="00556540">
            <w:pPr>
              <w:rPr>
                <w:rFonts w:ascii="Calibri" w:hAnsi="Calibri" w:cs="Calibri"/>
              </w:rPr>
            </w:pPr>
            <w:r w:rsidRPr="00532721">
              <w:rPr>
                <w:rFonts w:ascii="Calibri" w:hAnsi="Calibri" w:cs="Calibri"/>
              </w:rPr>
              <w:t>PN-EN 14188-1</w:t>
            </w:r>
          </w:p>
        </w:tc>
        <w:tc>
          <w:tcPr>
            <w:tcW w:w="5135" w:type="dxa"/>
          </w:tcPr>
          <w:p w:rsidR="00376DA1" w:rsidRPr="00532721" w:rsidRDefault="00376DA1" w:rsidP="00556540">
            <w:pPr>
              <w:rPr>
                <w:rFonts w:ascii="Calibri" w:hAnsi="Calibri" w:cs="Calibri"/>
              </w:rPr>
            </w:pPr>
            <w:r w:rsidRPr="00532721">
              <w:rPr>
                <w:rFonts w:ascii="Calibri" w:hAnsi="Calibri" w:cs="Calibri"/>
              </w:rPr>
              <w:t>Wypełniacze złączy i zalewy – Część 1: Specyfikacja zalew na gorąco</w:t>
            </w:r>
            <w:r>
              <w:rPr>
                <w:rFonts w:ascii="Calibri" w:hAnsi="Calibri" w:cs="Calibri"/>
              </w:rPr>
              <w:t>.</w:t>
            </w:r>
          </w:p>
        </w:tc>
      </w:tr>
      <w:tr w:rsidR="00376DA1" w:rsidRPr="00532721" w:rsidTr="00556540">
        <w:tc>
          <w:tcPr>
            <w:tcW w:w="534" w:type="dxa"/>
          </w:tcPr>
          <w:p w:rsidR="00376DA1" w:rsidRPr="00532721" w:rsidRDefault="00376DA1" w:rsidP="00556540">
            <w:pPr>
              <w:jc w:val="right"/>
              <w:rPr>
                <w:rFonts w:ascii="Calibri" w:hAnsi="Calibri" w:cs="Calibri"/>
              </w:rPr>
            </w:pPr>
            <w:r w:rsidRPr="00532721">
              <w:rPr>
                <w:rFonts w:ascii="Calibri" w:hAnsi="Calibri" w:cs="Calibri"/>
              </w:rPr>
              <w:t>61.</w:t>
            </w:r>
          </w:p>
        </w:tc>
        <w:tc>
          <w:tcPr>
            <w:tcW w:w="1842" w:type="dxa"/>
          </w:tcPr>
          <w:p w:rsidR="00376DA1" w:rsidRPr="00532721" w:rsidRDefault="00376DA1" w:rsidP="00556540">
            <w:pPr>
              <w:rPr>
                <w:rFonts w:ascii="Calibri" w:hAnsi="Calibri" w:cs="Calibri"/>
              </w:rPr>
            </w:pPr>
            <w:r w:rsidRPr="00532721">
              <w:rPr>
                <w:rFonts w:ascii="Calibri" w:hAnsi="Calibri" w:cs="Calibri"/>
              </w:rPr>
              <w:t>PN-EN 14188-2</w:t>
            </w:r>
          </w:p>
        </w:tc>
        <w:tc>
          <w:tcPr>
            <w:tcW w:w="5135" w:type="dxa"/>
          </w:tcPr>
          <w:p w:rsidR="00376DA1" w:rsidRPr="00532721" w:rsidRDefault="00376DA1" w:rsidP="00556540">
            <w:pPr>
              <w:rPr>
                <w:rFonts w:ascii="Calibri" w:hAnsi="Calibri" w:cs="Calibri"/>
              </w:rPr>
            </w:pPr>
            <w:r w:rsidRPr="00532721">
              <w:rPr>
                <w:rFonts w:ascii="Calibri" w:hAnsi="Calibri" w:cs="Calibri"/>
              </w:rPr>
              <w:t>Wypełniacze złączy i zalewy – Część 2: Specyfikacja zalew na zimno</w:t>
            </w:r>
            <w:r>
              <w:rPr>
                <w:rFonts w:ascii="Calibri" w:hAnsi="Calibri" w:cs="Calibri"/>
              </w:rPr>
              <w:t>.</w:t>
            </w:r>
          </w:p>
        </w:tc>
      </w:tr>
      <w:tr w:rsidR="00376DA1" w:rsidRPr="00532721" w:rsidTr="00556540">
        <w:tc>
          <w:tcPr>
            <w:tcW w:w="534" w:type="dxa"/>
          </w:tcPr>
          <w:p w:rsidR="00376DA1" w:rsidRPr="00532721" w:rsidRDefault="00376DA1" w:rsidP="00556540">
            <w:pPr>
              <w:jc w:val="right"/>
              <w:rPr>
                <w:rFonts w:ascii="Calibri" w:hAnsi="Calibri" w:cs="Calibri"/>
              </w:rPr>
            </w:pPr>
            <w:r w:rsidRPr="00532721">
              <w:rPr>
                <w:rFonts w:ascii="Calibri" w:hAnsi="Calibri" w:cs="Calibri"/>
              </w:rPr>
              <w:t>62.</w:t>
            </w:r>
          </w:p>
        </w:tc>
        <w:tc>
          <w:tcPr>
            <w:tcW w:w="1842" w:type="dxa"/>
          </w:tcPr>
          <w:p w:rsidR="00376DA1" w:rsidRPr="00532721" w:rsidRDefault="00376DA1" w:rsidP="00556540">
            <w:pPr>
              <w:rPr>
                <w:rFonts w:ascii="Calibri" w:hAnsi="Calibri" w:cs="Calibri"/>
              </w:rPr>
            </w:pPr>
            <w:r w:rsidRPr="00532721">
              <w:rPr>
                <w:rFonts w:ascii="Calibri" w:hAnsi="Calibri" w:cs="Calibri"/>
              </w:rPr>
              <w:t>PN-EN 22592</w:t>
            </w:r>
          </w:p>
        </w:tc>
        <w:tc>
          <w:tcPr>
            <w:tcW w:w="5135" w:type="dxa"/>
          </w:tcPr>
          <w:p w:rsidR="00376DA1" w:rsidRPr="00532721" w:rsidRDefault="00376DA1" w:rsidP="00556540">
            <w:pPr>
              <w:rPr>
                <w:rFonts w:ascii="Calibri" w:hAnsi="Calibri" w:cs="Calibri"/>
              </w:rPr>
            </w:pPr>
            <w:r w:rsidRPr="00532721">
              <w:rPr>
                <w:rFonts w:ascii="Calibri" w:hAnsi="Calibri" w:cs="Calibri"/>
              </w:rPr>
              <w:t>Przetwory naftowe – Oznaczanie temperatury zapłonu i palenia – Pomiar metodą otwartego tygla Clevelanda</w:t>
            </w:r>
            <w:r>
              <w:rPr>
                <w:rFonts w:ascii="Calibri" w:hAnsi="Calibri" w:cs="Calibri"/>
              </w:rPr>
              <w:t>.</w:t>
            </w:r>
          </w:p>
        </w:tc>
      </w:tr>
      <w:tr w:rsidR="00376DA1" w:rsidRPr="00532721" w:rsidTr="00556540">
        <w:tc>
          <w:tcPr>
            <w:tcW w:w="534" w:type="dxa"/>
          </w:tcPr>
          <w:p w:rsidR="00376DA1" w:rsidRPr="00532721" w:rsidRDefault="00376DA1" w:rsidP="00556540">
            <w:pPr>
              <w:jc w:val="right"/>
              <w:rPr>
                <w:rFonts w:ascii="Calibri" w:hAnsi="Calibri" w:cs="Calibri"/>
              </w:rPr>
            </w:pPr>
            <w:r w:rsidRPr="00532721">
              <w:rPr>
                <w:rFonts w:ascii="Calibri" w:hAnsi="Calibri" w:cs="Calibri"/>
              </w:rPr>
              <w:t>63.</w:t>
            </w:r>
          </w:p>
        </w:tc>
        <w:tc>
          <w:tcPr>
            <w:tcW w:w="1842" w:type="dxa"/>
          </w:tcPr>
          <w:p w:rsidR="00376DA1" w:rsidRPr="00532721" w:rsidRDefault="00376DA1" w:rsidP="00556540">
            <w:pPr>
              <w:rPr>
                <w:rFonts w:ascii="Calibri" w:hAnsi="Calibri" w:cs="Calibri"/>
              </w:rPr>
            </w:pPr>
            <w:r w:rsidRPr="00532721">
              <w:rPr>
                <w:rFonts w:ascii="Calibri" w:hAnsi="Calibri" w:cs="Calibri"/>
              </w:rPr>
              <w:t>PN-EN ISO 2592</w:t>
            </w:r>
          </w:p>
        </w:tc>
        <w:tc>
          <w:tcPr>
            <w:tcW w:w="5135" w:type="dxa"/>
          </w:tcPr>
          <w:p w:rsidR="00376DA1" w:rsidRPr="00532721" w:rsidRDefault="00376DA1" w:rsidP="00556540">
            <w:pPr>
              <w:rPr>
                <w:rFonts w:ascii="Calibri" w:hAnsi="Calibri" w:cs="Calibri"/>
              </w:rPr>
            </w:pPr>
            <w:r w:rsidRPr="00532721">
              <w:rPr>
                <w:rFonts w:ascii="Calibri" w:hAnsi="Calibri" w:cs="Calibri"/>
              </w:rPr>
              <w:t>Oznaczanie temperatury zapłonu i palenia – Metoda otwartego tygla Clevelanda</w:t>
            </w:r>
            <w:r>
              <w:rPr>
                <w:rFonts w:ascii="Calibri" w:hAnsi="Calibri" w:cs="Calibri"/>
              </w:rPr>
              <w:t>.</w:t>
            </w:r>
          </w:p>
        </w:tc>
      </w:tr>
    </w:tbl>
    <w:p w:rsidR="00376DA1" w:rsidRPr="00532721" w:rsidRDefault="00376DA1" w:rsidP="00376DA1">
      <w:pPr>
        <w:rPr>
          <w:rFonts w:ascii="Calibri" w:hAnsi="Calibri" w:cs="Calibri"/>
        </w:rPr>
      </w:pPr>
      <w:r w:rsidRPr="008079E6">
        <w:rPr>
          <w:rFonts w:ascii="Calibri" w:hAnsi="Calibri" w:cs="Calibri"/>
          <w:b/>
        </w:rPr>
        <w:t>10.3.</w:t>
      </w:r>
      <w:r w:rsidRPr="00532721">
        <w:rPr>
          <w:rFonts w:ascii="Calibri" w:hAnsi="Calibri" w:cs="Calibri"/>
        </w:rPr>
        <w:t xml:space="preserve"> Wymagania techniczne </w:t>
      </w:r>
    </w:p>
    <w:p w:rsidR="00376DA1" w:rsidRPr="00532721" w:rsidRDefault="00376DA1" w:rsidP="00376DA1">
      <w:pPr>
        <w:rPr>
          <w:rFonts w:ascii="Calibri" w:hAnsi="Calibri" w:cs="Calibri"/>
        </w:rPr>
      </w:pPr>
      <w:r>
        <w:rPr>
          <w:rFonts w:ascii="Calibri" w:hAnsi="Calibri" w:cs="Calibri"/>
        </w:rPr>
        <w:t xml:space="preserve">64. </w:t>
      </w:r>
      <w:r w:rsidRPr="00532721">
        <w:rPr>
          <w:rFonts w:ascii="Calibri" w:hAnsi="Calibri" w:cs="Calibri"/>
        </w:rPr>
        <w:t>WT-1 Kruszywa 2010. Kruszywa do mieszanek mineralno-asfaltowych i powierzchniowych utrwaleń na drogach krajowych - Zarządzenie nr 102 Generalnego Dyrektora Dróg Krajowych i Autostrad z dnia 19 listopada 2010 r.</w:t>
      </w:r>
    </w:p>
    <w:p w:rsidR="00376DA1" w:rsidRPr="00532721" w:rsidRDefault="00376DA1" w:rsidP="00376DA1">
      <w:pPr>
        <w:rPr>
          <w:rFonts w:ascii="Calibri" w:hAnsi="Calibri" w:cs="Calibri"/>
        </w:rPr>
      </w:pPr>
      <w:r>
        <w:rPr>
          <w:rFonts w:ascii="Calibri" w:hAnsi="Calibri" w:cs="Calibri"/>
        </w:rPr>
        <w:t xml:space="preserve">65. </w:t>
      </w:r>
      <w:r w:rsidRPr="00532721">
        <w:rPr>
          <w:rFonts w:ascii="Calibri" w:hAnsi="Calibri" w:cs="Calibri"/>
        </w:rPr>
        <w:t>WT-2 Nawierzchnie asfaltowe 2010. Nawierzchnie asfaltowe na drogach krajowych -Zarządzenie nr 102 Generalnego Dyrektora Dróg Krajowych i Autostrad z dnia 19 listopada 2010 r.</w:t>
      </w:r>
    </w:p>
    <w:p w:rsidR="00376DA1" w:rsidRPr="00532721" w:rsidRDefault="00376DA1" w:rsidP="00376DA1">
      <w:pPr>
        <w:rPr>
          <w:rFonts w:ascii="Calibri" w:hAnsi="Calibri" w:cs="Calibri"/>
        </w:rPr>
      </w:pPr>
      <w:r>
        <w:rPr>
          <w:rFonts w:ascii="Calibri" w:hAnsi="Calibri" w:cs="Calibri"/>
        </w:rPr>
        <w:t xml:space="preserve">66. </w:t>
      </w:r>
      <w:r w:rsidRPr="00532721">
        <w:rPr>
          <w:rFonts w:ascii="Calibri" w:hAnsi="Calibri" w:cs="Calibri"/>
        </w:rPr>
        <w:t>WT-3 Emulsje asfaltowe 2009. Kationowe emulsje asfaltowe na drogach publicznych, Warszawa 2009</w:t>
      </w:r>
    </w:p>
    <w:p w:rsidR="00376DA1" w:rsidRPr="00532721" w:rsidRDefault="00376DA1" w:rsidP="00376DA1">
      <w:pPr>
        <w:rPr>
          <w:rFonts w:ascii="Calibri" w:hAnsi="Calibri" w:cs="Calibri"/>
        </w:rPr>
      </w:pPr>
      <w:r w:rsidRPr="008079E6">
        <w:rPr>
          <w:rFonts w:ascii="Calibri" w:hAnsi="Calibri" w:cs="Calibri"/>
          <w:b/>
        </w:rPr>
        <w:t>10.4.</w:t>
      </w:r>
      <w:r w:rsidRPr="00532721">
        <w:rPr>
          <w:rFonts w:ascii="Calibri" w:hAnsi="Calibri" w:cs="Calibri"/>
        </w:rPr>
        <w:t xml:space="preserve"> Inne dokumenty</w:t>
      </w:r>
    </w:p>
    <w:p w:rsidR="00376DA1" w:rsidRPr="00532721" w:rsidRDefault="00376DA1" w:rsidP="00376DA1">
      <w:pPr>
        <w:rPr>
          <w:rFonts w:ascii="Calibri" w:hAnsi="Calibri" w:cs="Calibri"/>
        </w:rPr>
      </w:pPr>
      <w:r>
        <w:rPr>
          <w:rFonts w:ascii="Calibri" w:hAnsi="Calibri" w:cs="Calibri"/>
        </w:rPr>
        <w:t xml:space="preserve">67. </w:t>
      </w:r>
      <w:r w:rsidRPr="00532721">
        <w:rPr>
          <w:rFonts w:ascii="Calibri" w:hAnsi="Calibri" w:cs="Calibri"/>
        </w:rPr>
        <w:t>Rozporządzenie Ministra Transportu i Gospodarki Morskiej z dnia 2 marca 1999 r. w sprawie warunków technicznych, jakim powinny odpowiadać drogi publiczne i ich usytuowanie (Dz.U. nr 43, poz. 430)</w:t>
      </w:r>
      <w:r>
        <w:rPr>
          <w:rFonts w:ascii="Calibri" w:hAnsi="Calibri" w:cs="Calibri"/>
        </w:rPr>
        <w:t>.</w:t>
      </w:r>
    </w:p>
    <w:p w:rsidR="00376DA1" w:rsidRPr="00532721" w:rsidRDefault="00376DA1" w:rsidP="00376DA1">
      <w:pPr>
        <w:rPr>
          <w:rFonts w:ascii="Calibri" w:hAnsi="Calibri" w:cs="Calibri"/>
        </w:rPr>
      </w:pPr>
      <w:r>
        <w:rPr>
          <w:rFonts w:ascii="Calibri" w:hAnsi="Calibri" w:cs="Calibri"/>
        </w:rPr>
        <w:lastRenderedPageBreak/>
        <w:t xml:space="preserve">68. </w:t>
      </w:r>
      <w:r w:rsidRPr="00532721">
        <w:rPr>
          <w:rFonts w:ascii="Calibri" w:hAnsi="Calibri" w:cs="Calibri"/>
        </w:rPr>
        <w:t>Katalog typowych konstrukcji nawierzchni podatnych i półsztywnych. Generalna Dyrekcja Dróg Publicznych – Instytut Badawczy Dróg i Mostów, Warszawa 1997</w:t>
      </w:r>
      <w:r>
        <w:rPr>
          <w:rFonts w:ascii="Calibri" w:hAnsi="Calibri" w:cs="Calibri"/>
        </w:rPr>
        <w:t>.</w:t>
      </w:r>
    </w:p>
    <w:p w:rsidR="00376DA1" w:rsidRDefault="00376DA1" w:rsidP="00376DA1">
      <w:pPr>
        <w:spacing w:after="120"/>
      </w:pPr>
    </w:p>
    <w:p w:rsidR="00376DA1" w:rsidRDefault="00376DA1" w:rsidP="00376DA1">
      <w:pPr>
        <w:spacing w:after="120"/>
      </w:pPr>
    </w:p>
    <w:p w:rsidR="00AE2AE6" w:rsidRPr="008C7781" w:rsidRDefault="00AE2AE6" w:rsidP="00AE2AE6">
      <w:pPr>
        <w:pStyle w:val="Nagwek1"/>
        <w:rPr>
          <w:rFonts w:asciiTheme="minorHAnsi" w:hAnsiTheme="minorHAnsi"/>
        </w:rPr>
      </w:pPr>
    </w:p>
    <w:p w:rsidR="00AE2AE6" w:rsidRPr="008C7781" w:rsidRDefault="00AE2AE6" w:rsidP="00AE2AE6">
      <w:pPr>
        <w:pStyle w:val="Nagwek1"/>
        <w:rPr>
          <w:rFonts w:asciiTheme="minorHAnsi" w:hAnsiTheme="minorHAnsi"/>
        </w:rPr>
      </w:pPr>
    </w:p>
    <w:p w:rsidR="00AE2AE6" w:rsidRPr="008C7781" w:rsidRDefault="00AE2AE6" w:rsidP="00AE2AE6">
      <w:pPr>
        <w:pStyle w:val="Nagwek1"/>
        <w:rPr>
          <w:rFonts w:asciiTheme="minorHAnsi" w:hAnsiTheme="minorHAnsi"/>
        </w:rPr>
      </w:pPr>
    </w:p>
    <w:p w:rsidR="00AE2AE6" w:rsidRPr="008C7781" w:rsidRDefault="00AE2AE6" w:rsidP="00AE2AE6">
      <w:pPr>
        <w:pStyle w:val="Nagwek1"/>
        <w:rPr>
          <w:rFonts w:asciiTheme="minorHAnsi" w:hAnsiTheme="minorHAnsi"/>
        </w:rPr>
      </w:pPr>
    </w:p>
    <w:p w:rsidR="00AE2AE6" w:rsidRPr="008C7781" w:rsidRDefault="00AE2AE6" w:rsidP="00AE2AE6">
      <w:pPr>
        <w:rPr>
          <w:rFonts w:asciiTheme="minorHAnsi" w:hAnsiTheme="minorHAnsi"/>
        </w:rPr>
      </w:pPr>
    </w:p>
    <w:p w:rsidR="00AE2AE6" w:rsidRPr="008C7781" w:rsidRDefault="00AE2AE6" w:rsidP="00AE2AE6">
      <w:pPr>
        <w:rPr>
          <w:rFonts w:asciiTheme="minorHAnsi" w:hAnsiTheme="minorHAnsi"/>
        </w:rPr>
      </w:pPr>
    </w:p>
    <w:p w:rsidR="00AE2AE6" w:rsidRPr="008C7781" w:rsidRDefault="00AE2AE6" w:rsidP="00AE2AE6">
      <w:pPr>
        <w:rPr>
          <w:rFonts w:asciiTheme="minorHAnsi" w:hAnsiTheme="minorHAnsi"/>
        </w:rPr>
      </w:pPr>
    </w:p>
    <w:p w:rsidR="00AE2AE6" w:rsidRDefault="00AE2AE6" w:rsidP="00AE2AE6">
      <w:pPr>
        <w:rPr>
          <w:rFonts w:asciiTheme="minorHAnsi" w:hAnsiTheme="minorHAnsi"/>
        </w:rPr>
      </w:pPr>
    </w:p>
    <w:p w:rsidR="000C27BF" w:rsidRDefault="000C27BF" w:rsidP="00AE2AE6">
      <w:pPr>
        <w:rPr>
          <w:rFonts w:asciiTheme="minorHAnsi" w:hAnsiTheme="minorHAnsi"/>
        </w:rPr>
      </w:pPr>
    </w:p>
    <w:p w:rsidR="000C27BF" w:rsidRDefault="000C27BF" w:rsidP="00AE2AE6">
      <w:pPr>
        <w:rPr>
          <w:rFonts w:asciiTheme="minorHAnsi" w:hAnsiTheme="minorHAnsi"/>
        </w:rPr>
      </w:pPr>
    </w:p>
    <w:p w:rsidR="000C27BF" w:rsidRDefault="000C27BF" w:rsidP="00AE2AE6">
      <w:pPr>
        <w:rPr>
          <w:rFonts w:asciiTheme="minorHAnsi" w:hAnsiTheme="minorHAnsi"/>
        </w:rPr>
      </w:pPr>
    </w:p>
    <w:p w:rsidR="000C27BF" w:rsidRDefault="000C27BF" w:rsidP="00AE2AE6">
      <w:pPr>
        <w:rPr>
          <w:rFonts w:asciiTheme="minorHAnsi" w:hAnsiTheme="minorHAnsi"/>
        </w:rPr>
      </w:pPr>
    </w:p>
    <w:p w:rsidR="00D553DB" w:rsidRDefault="00D553DB" w:rsidP="00AE2AE6">
      <w:pPr>
        <w:rPr>
          <w:rFonts w:asciiTheme="minorHAnsi" w:hAnsiTheme="minorHAnsi"/>
        </w:rPr>
      </w:pPr>
    </w:p>
    <w:p w:rsidR="00D553DB" w:rsidRDefault="00D553DB" w:rsidP="00AE2AE6">
      <w:pPr>
        <w:rPr>
          <w:rFonts w:asciiTheme="minorHAnsi" w:hAnsiTheme="minorHAnsi"/>
        </w:rPr>
      </w:pPr>
    </w:p>
    <w:p w:rsidR="00D553DB" w:rsidRDefault="00D553DB" w:rsidP="00AE2AE6">
      <w:pPr>
        <w:rPr>
          <w:rFonts w:asciiTheme="minorHAnsi" w:hAnsiTheme="minorHAnsi"/>
        </w:rPr>
      </w:pPr>
    </w:p>
    <w:p w:rsidR="00D553DB" w:rsidRDefault="00D553DB" w:rsidP="00AE2AE6">
      <w:pPr>
        <w:rPr>
          <w:rFonts w:asciiTheme="minorHAnsi" w:hAnsiTheme="minorHAnsi"/>
        </w:rPr>
      </w:pPr>
    </w:p>
    <w:p w:rsidR="00D553DB" w:rsidRDefault="00D553DB" w:rsidP="00AE2AE6">
      <w:pPr>
        <w:rPr>
          <w:rFonts w:asciiTheme="minorHAnsi" w:hAnsiTheme="minorHAnsi"/>
        </w:rPr>
      </w:pPr>
    </w:p>
    <w:p w:rsidR="00D553DB" w:rsidRDefault="00D553DB" w:rsidP="00AE2AE6">
      <w:pPr>
        <w:rPr>
          <w:rFonts w:asciiTheme="minorHAnsi" w:hAnsiTheme="minorHAnsi"/>
        </w:rPr>
      </w:pPr>
    </w:p>
    <w:p w:rsidR="00D553DB" w:rsidRDefault="00D553DB" w:rsidP="00AE2AE6">
      <w:pPr>
        <w:rPr>
          <w:rFonts w:asciiTheme="minorHAnsi" w:hAnsiTheme="minorHAnsi"/>
        </w:rPr>
      </w:pPr>
    </w:p>
    <w:p w:rsidR="00D553DB" w:rsidRDefault="00D553DB" w:rsidP="00AE2AE6">
      <w:pPr>
        <w:rPr>
          <w:rFonts w:asciiTheme="minorHAnsi" w:hAnsiTheme="minorHAnsi"/>
        </w:rPr>
      </w:pPr>
    </w:p>
    <w:p w:rsidR="00D553DB" w:rsidRDefault="00D553DB" w:rsidP="00AE2AE6">
      <w:pPr>
        <w:rPr>
          <w:rFonts w:asciiTheme="minorHAnsi" w:hAnsiTheme="minorHAnsi"/>
        </w:rPr>
      </w:pPr>
    </w:p>
    <w:p w:rsidR="00D553DB" w:rsidRDefault="00D553DB" w:rsidP="00AE2AE6">
      <w:pPr>
        <w:rPr>
          <w:rFonts w:asciiTheme="minorHAnsi" w:hAnsiTheme="minorHAnsi"/>
        </w:rPr>
      </w:pPr>
    </w:p>
    <w:p w:rsidR="00D553DB" w:rsidRDefault="00D553DB" w:rsidP="00AE2AE6">
      <w:pPr>
        <w:rPr>
          <w:rFonts w:asciiTheme="minorHAnsi" w:hAnsiTheme="minorHAnsi"/>
        </w:rPr>
      </w:pPr>
    </w:p>
    <w:p w:rsidR="00D553DB" w:rsidRDefault="00D553DB" w:rsidP="00AE2AE6">
      <w:pPr>
        <w:rPr>
          <w:rFonts w:asciiTheme="minorHAnsi" w:hAnsiTheme="minorHAnsi"/>
        </w:rPr>
      </w:pPr>
    </w:p>
    <w:p w:rsidR="00D553DB" w:rsidRDefault="00D553DB" w:rsidP="00AE2AE6">
      <w:pPr>
        <w:rPr>
          <w:rFonts w:asciiTheme="minorHAnsi" w:hAnsiTheme="minorHAnsi"/>
        </w:rPr>
      </w:pPr>
    </w:p>
    <w:p w:rsidR="00D553DB" w:rsidRDefault="00D553DB" w:rsidP="00AE2AE6">
      <w:pPr>
        <w:rPr>
          <w:rFonts w:asciiTheme="minorHAnsi" w:hAnsiTheme="minorHAnsi"/>
        </w:rPr>
      </w:pPr>
    </w:p>
    <w:p w:rsidR="00D553DB" w:rsidRDefault="00D553DB" w:rsidP="00AE2AE6">
      <w:pPr>
        <w:rPr>
          <w:rFonts w:asciiTheme="minorHAnsi" w:hAnsiTheme="minorHAnsi"/>
        </w:rPr>
      </w:pPr>
    </w:p>
    <w:p w:rsidR="00D553DB" w:rsidRDefault="00D553DB" w:rsidP="00AE2AE6">
      <w:pPr>
        <w:rPr>
          <w:rFonts w:asciiTheme="minorHAnsi" w:hAnsiTheme="minorHAnsi"/>
        </w:rPr>
      </w:pPr>
    </w:p>
    <w:p w:rsidR="00D553DB" w:rsidRDefault="00D553DB" w:rsidP="00AE2AE6">
      <w:pPr>
        <w:rPr>
          <w:rFonts w:asciiTheme="minorHAnsi" w:hAnsiTheme="minorHAnsi"/>
        </w:rPr>
      </w:pPr>
    </w:p>
    <w:p w:rsidR="00D553DB" w:rsidRDefault="00D553DB" w:rsidP="00AE2AE6">
      <w:pPr>
        <w:rPr>
          <w:rFonts w:asciiTheme="minorHAnsi" w:hAnsiTheme="minorHAnsi"/>
        </w:rPr>
      </w:pPr>
    </w:p>
    <w:p w:rsidR="00D553DB" w:rsidRDefault="00D553DB" w:rsidP="00AE2AE6">
      <w:pPr>
        <w:rPr>
          <w:rFonts w:asciiTheme="minorHAnsi" w:hAnsiTheme="minorHAnsi"/>
        </w:rPr>
      </w:pPr>
    </w:p>
    <w:p w:rsidR="00D553DB" w:rsidRDefault="00D553DB" w:rsidP="00AE2AE6">
      <w:pPr>
        <w:rPr>
          <w:rFonts w:asciiTheme="minorHAnsi" w:hAnsiTheme="minorHAnsi"/>
        </w:rPr>
      </w:pPr>
    </w:p>
    <w:p w:rsidR="00D553DB" w:rsidRDefault="00D553DB" w:rsidP="00AE2AE6">
      <w:pPr>
        <w:rPr>
          <w:rFonts w:asciiTheme="minorHAnsi" w:hAnsiTheme="minorHAnsi"/>
        </w:rPr>
      </w:pPr>
    </w:p>
    <w:p w:rsidR="00D553DB" w:rsidRDefault="00D553DB" w:rsidP="00AE2AE6">
      <w:pPr>
        <w:rPr>
          <w:rFonts w:asciiTheme="minorHAnsi" w:hAnsiTheme="minorHAnsi"/>
        </w:rPr>
      </w:pPr>
    </w:p>
    <w:p w:rsidR="00D553DB" w:rsidRDefault="00D553DB" w:rsidP="00AE2AE6">
      <w:pPr>
        <w:rPr>
          <w:rFonts w:asciiTheme="minorHAnsi" w:hAnsiTheme="minorHAnsi"/>
        </w:rPr>
      </w:pPr>
    </w:p>
    <w:p w:rsidR="00D553DB" w:rsidRDefault="00D553DB" w:rsidP="00AE2AE6">
      <w:pPr>
        <w:rPr>
          <w:rFonts w:asciiTheme="minorHAnsi" w:hAnsiTheme="minorHAnsi"/>
        </w:rPr>
      </w:pPr>
    </w:p>
    <w:p w:rsidR="00D553DB" w:rsidRDefault="00D553DB" w:rsidP="00AE2AE6">
      <w:pPr>
        <w:rPr>
          <w:rFonts w:asciiTheme="minorHAnsi" w:hAnsiTheme="minorHAnsi"/>
        </w:rPr>
      </w:pPr>
    </w:p>
    <w:p w:rsidR="00D553DB" w:rsidRDefault="00D553DB" w:rsidP="00AE2AE6">
      <w:pPr>
        <w:rPr>
          <w:rFonts w:asciiTheme="minorHAnsi" w:hAnsiTheme="minorHAnsi"/>
        </w:rPr>
      </w:pPr>
    </w:p>
    <w:p w:rsidR="00D553DB" w:rsidRDefault="00D553DB" w:rsidP="00AE2AE6">
      <w:pPr>
        <w:rPr>
          <w:rFonts w:asciiTheme="minorHAnsi" w:hAnsiTheme="minorHAnsi"/>
        </w:rPr>
      </w:pPr>
    </w:p>
    <w:p w:rsidR="00D553DB" w:rsidRDefault="00D553DB" w:rsidP="00AE2AE6">
      <w:pPr>
        <w:rPr>
          <w:rFonts w:asciiTheme="minorHAnsi" w:hAnsiTheme="minorHAnsi"/>
        </w:rPr>
      </w:pPr>
    </w:p>
    <w:p w:rsidR="00D553DB" w:rsidRDefault="00D553DB" w:rsidP="00AE2AE6">
      <w:pPr>
        <w:rPr>
          <w:rFonts w:asciiTheme="minorHAnsi" w:hAnsiTheme="minorHAnsi"/>
        </w:rPr>
      </w:pPr>
    </w:p>
    <w:p w:rsidR="00D553DB" w:rsidRDefault="00D553DB" w:rsidP="00AE2AE6">
      <w:pPr>
        <w:rPr>
          <w:rFonts w:asciiTheme="minorHAnsi" w:hAnsiTheme="minorHAnsi"/>
        </w:rPr>
      </w:pPr>
    </w:p>
    <w:p w:rsidR="00D553DB" w:rsidRDefault="00D553DB" w:rsidP="00AE2AE6">
      <w:pPr>
        <w:rPr>
          <w:rFonts w:asciiTheme="minorHAnsi" w:hAnsiTheme="minorHAnsi"/>
        </w:rPr>
      </w:pPr>
    </w:p>
    <w:p w:rsidR="00D553DB" w:rsidRDefault="00D553DB" w:rsidP="00AE2AE6">
      <w:pPr>
        <w:rPr>
          <w:rFonts w:asciiTheme="minorHAnsi" w:hAnsiTheme="minorHAnsi"/>
        </w:rPr>
      </w:pPr>
    </w:p>
    <w:p w:rsidR="00D553DB" w:rsidRDefault="00D553DB" w:rsidP="00AE2AE6">
      <w:pPr>
        <w:rPr>
          <w:rFonts w:asciiTheme="minorHAnsi" w:hAnsiTheme="minorHAnsi"/>
        </w:rPr>
      </w:pPr>
    </w:p>
    <w:p w:rsidR="00D553DB" w:rsidRDefault="00D553DB" w:rsidP="00AE2AE6">
      <w:pPr>
        <w:rPr>
          <w:rFonts w:asciiTheme="minorHAnsi" w:hAnsiTheme="minorHAnsi"/>
        </w:rPr>
      </w:pPr>
    </w:p>
    <w:p w:rsidR="00D553DB" w:rsidRDefault="00D553DB" w:rsidP="00AE2AE6">
      <w:pPr>
        <w:rPr>
          <w:rFonts w:asciiTheme="minorHAnsi" w:hAnsiTheme="minorHAnsi"/>
        </w:rPr>
      </w:pPr>
    </w:p>
    <w:p w:rsidR="00D553DB" w:rsidRDefault="00D553DB" w:rsidP="00AE2AE6">
      <w:pPr>
        <w:rPr>
          <w:rFonts w:asciiTheme="minorHAnsi" w:hAnsiTheme="minorHAnsi"/>
        </w:rPr>
      </w:pPr>
    </w:p>
    <w:p w:rsidR="00D553DB" w:rsidRDefault="00D553DB" w:rsidP="00AE2AE6">
      <w:pPr>
        <w:rPr>
          <w:rFonts w:asciiTheme="minorHAnsi" w:hAnsiTheme="minorHAnsi"/>
        </w:rPr>
      </w:pPr>
    </w:p>
    <w:p w:rsidR="00D553DB" w:rsidRDefault="00D553DB" w:rsidP="00AE2AE6">
      <w:pPr>
        <w:rPr>
          <w:rFonts w:asciiTheme="minorHAnsi" w:hAnsiTheme="minorHAnsi"/>
        </w:rPr>
      </w:pPr>
    </w:p>
    <w:p w:rsidR="00D553DB" w:rsidRDefault="00D553DB" w:rsidP="00AE2AE6">
      <w:pPr>
        <w:rPr>
          <w:rFonts w:asciiTheme="minorHAnsi" w:hAnsiTheme="minorHAnsi"/>
        </w:rPr>
      </w:pPr>
    </w:p>
    <w:p w:rsidR="00D553DB" w:rsidRDefault="00D553DB" w:rsidP="00AE2AE6">
      <w:pPr>
        <w:rPr>
          <w:rFonts w:asciiTheme="minorHAnsi" w:hAnsiTheme="minorHAnsi"/>
        </w:rPr>
      </w:pPr>
    </w:p>
    <w:p w:rsidR="00D553DB" w:rsidRDefault="00D553DB" w:rsidP="00AE2AE6">
      <w:pPr>
        <w:rPr>
          <w:rFonts w:asciiTheme="minorHAnsi" w:hAnsiTheme="minorHAnsi"/>
        </w:rPr>
      </w:pPr>
    </w:p>
    <w:p w:rsidR="00D553DB" w:rsidRDefault="00D553DB" w:rsidP="00AE2AE6">
      <w:pPr>
        <w:rPr>
          <w:rFonts w:asciiTheme="minorHAnsi" w:hAnsiTheme="minorHAnsi"/>
        </w:rPr>
      </w:pPr>
    </w:p>
    <w:p w:rsidR="00D553DB" w:rsidRDefault="00D553DB" w:rsidP="00AE2AE6">
      <w:pPr>
        <w:rPr>
          <w:rFonts w:asciiTheme="minorHAnsi" w:hAnsiTheme="minorHAnsi"/>
        </w:rPr>
      </w:pPr>
    </w:p>
    <w:p w:rsidR="00D553DB" w:rsidRDefault="00D553DB" w:rsidP="00AE2AE6">
      <w:pPr>
        <w:rPr>
          <w:rFonts w:asciiTheme="minorHAnsi" w:hAnsiTheme="minorHAnsi"/>
        </w:rPr>
      </w:pPr>
    </w:p>
    <w:p w:rsidR="00D553DB" w:rsidRDefault="00D553DB" w:rsidP="00AE2AE6">
      <w:pPr>
        <w:rPr>
          <w:rFonts w:asciiTheme="minorHAnsi" w:hAnsiTheme="minorHAnsi"/>
        </w:rPr>
      </w:pPr>
    </w:p>
    <w:p w:rsidR="00D553DB" w:rsidRDefault="00D553DB" w:rsidP="00AE2AE6">
      <w:pPr>
        <w:rPr>
          <w:rFonts w:asciiTheme="minorHAnsi" w:hAnsiTheme="minorHAnsi"/>
        </w:rPr>
      </w:pPr>
    </w:p>
    <w:p w:rsidR="00D553DB" w:rsidRDefault="00D553DB" w:rsidP="00AE2AE6">
      <w:pPr>
        <w:rPr>
          <w:rFonts w:asciiTheme="minorHAnsi" w:hAnsiTheme="minorHAnsi"/>
        </w:rPr>
      </w:pPr>
    </w:p>
    <w:p w:rsidR="00D553DB" w:rsidRDefault="00D553DB" w:rsidP="00AE2AE6">
      <w:pPr>
        <w:rPr>
          <w:rFonts w:asciiTheme="minorHAnsi" w:hAnsiTheme="minorHAnsi"/>
        </w:rPr>
      </w:pPr>
    </w:p>
    <w:p w:rsidR="00D553DB" w:rsidRDefault="00D553DB" w:rsidP="00AE2AE6">
      <w:pPr>
        <w:rPr>
          <w:rFonts w:asciiTheme="minorHAnsi" w:hAnsiTheme="minorHAnsi"/>
        </w:rPr>
      </w:pPr>
    </w:p>
    <w:p w:rsidR="00D553DB" w:rsidRDefault="00D553DB" w:rsidP="00AE2AE6">
      <w:pPr>
        <w:rPr>
          <w:rFonts w:asciiTheme="minorHAnsi" w:hAnsiTheme="minorHAnsi"/>
        </w:rPr>
      </w:pPr>
    </w:p>
    <w:p w:rsidR="00D553DB" w:rsidRDefault="00D553DB" w:rsidP="00AE2AE6">
      <w:pPr>
        <w:rPr>
          <w:rFonts w:asciiTheme="minorHAnsi" w:hAnsiTheme="minorHAnsi"/>
        </w:rPr>
      </w:pPr>
    </w:p>
    <w:p w:rsidR="00D553DB" w:rsidRDefault="00D553DB" w:rsidP="00AE2AE6">
      <w:pPr>
        <w:rPr>
          <w:rFonts w:asciiTheme="minorHAnsi" w:hAnsiTheme="minorHAnsi"/>
        </w:rPr>
      </w:pPr>
    </w:p>
    <w:p w:rsidR="00D553DB" w:rsidRDefault="00D553DB" w:rsidP="00AE2AE6">
      <w:pPr>
        <w:rPr>
          <w:rFonts w:asciiTheme="minorHAnsi" w:hAnsiTheme="minorHAnsi"/>
        </w:rPr>
      </w:pPr>
    </w:p>
    <w:p w:rsidR="00D553DB" w:rsidRDefault="00D553DB" w:rsidP="00AE2AE6">
      <w:pPr>
        <w:rPr>
          <w:rFonts w:asciiTheme="minorHAnsi" w:hAnsiTheme="minorHAnsi"/>
        </w:rPr>
      </w:pPr>
    </w:p>
    <w:p w:rsidR="00D553DB" w:rsidRPr="008C7781" w:rsidRDefault="00D553DB" w:rsidP="00AE2AE6">
      <w:pPr>
        <w:rPr>
          <w:rFonts w:asciiTheme="minorHAnsi" w:hAnsiTheme="minorHAnsi"/>
        </w:rPr>
      </w:pPr>
    </w:p>
    <w:p w:rsidR="00AE2AE6" w:rsidRPr="008C7781" w:rsidRDefault="00AE2AE6" w:rsidP="00AE2AE6">
      <w:pPr>
        <w:pStyle w:val="Nagwek1"/>
        <w:rPr>
          <w:rFonts w:asciiTheme="minorHAnsi" w:hAnsiTheme="minorHAnsi"/>
        </w:rPr>
      </w:pPr>
    </w:p>
    <w:p w:rsidR="00AE2AE6" w:rsidRPr="008C7781" w:rsidRDefault="00AE2AE6" w:rsidP="00AE2AE6">
      <w:pPr>
        <w:pStyle w:val="Nagwek1"/>
        <w:rPr>
          <w:rFonts w:asciiTheme="minorHAnsi" w:hAnsiTheme="minorHAnsi"/>
        </w:rPr>
      </w:pPr>
    </w:p>
    <w:p w:rsidR="00AE2AE6" w:rsidRPr="00AE2AE6" w:rsidRDefault="00AE2AE6" w:rsidP="00AE2AE6">
      <w:pPr>
        <w:pStyle w:val="Nagwek1"/>
        <w:jc w:val="center"/>
      </w:pPr>
      <w:bookmarkStart w:id="1465" w:name="_Toc430979239"/>
      <w:bookmarkStart w:id="1466" w:name="_Toc438237728"/>
      <w:r w:rsidRPr="00AE2AE6">
        <w:t>D - 05.03.01 NAWIERZCHNIA Z KOSTKI KAMIENNEJ</w:t>
      </w:r>
      <w:bookmarkEnd w:id="1465"/>
      <w:bookmarkEnd w:id="1466"/>
    </w:p>
    <w:p w:rsidR="00AE2AE6" w:rsidRPr="008C7781" w:rsidRDefault="00AE2AE6" w:rsidP="00AE2AE6">
      <w:pPr>
        <w:rPr>
          <w:rFonts w:asciiTheme="minorHAnsi" w:hAnsiTheme="minorHAnsi"/>
        </w:rPr>
      </w:pPr>
      <w:bookmarkStart w:id="1467" w:name="_Toc422115846"/>
    </w:p>
    <w:p w:rsidR="00AE2AE6" w:rsidRPr="008C7781" w:rsidRDefault="00AE2AE6" w:rsidP="00AE2AE6">
      <w:pPr>
        <w:rPr>
          <w:rFonts w:asciiTheme="minorHAnsi" w:hAnsiTheme="minorHAnsi"/>
        </w:rPr>
      </w:pPr>
    </w:p>
    <w:p w:rsidR="00AE2AE6" w:rsidRPr="008C7781" w:rsidRDefault="00AE2AE6" w:rsidP="00AE2AE6">
      <w:pPr>
        <w:rPr>
          <w:rFonts w:asciiTheme="minorHAnsi" w:hAnsiTheme="minorHAnsi"/>
        </w:rPr>
      </w:pPr>
    </w:p>
    <w:p w:rsidR="00AE2AE6" w:rsidRPr="008C7781" w:rsidRDefault="00AE2AE6" w:rsidP="00AE2AE6">
      <w:pPr>
        <w:rPr>
          <w:rFonts w:asciiTheme="minorHAnsi" w:hAnsiTheme="minorHAnsi"/>
        </w:rPr>
      </w:pPr>
    </w:p>
    <w:p w:rsidR="00AE2AE6" w:rsidRPr="008C7781" w:rsidRDefault="00AE2AE6" w:rsidP="00AE2AE6">
      <w:pPr>
        <w:rPr>
          <w:rFonts w:asciiTheme="minorHAnsi" w:hAnsiTheme="minorHAnsi"/>
        </w:rPr>
      </w:pPr>
    </w:p>
    <w:p w:rsidR="00AE2AE6" w:rsidRPr="008C7781" w:rsidRDefault="00AE2AE6" w:rsidP="00AE2AE6">
      <w:pPr>
        <w:rPr>
          <w:rFonts w:asciiTheme="minorHAnsi" w:hAnsiTheme="minorHAnsi"/>
        </w:rPr>
      </w:pPr>
    </w:p>
    <w:p w:rsidR="00AE2AE6" w:rsidRDefault="00AE2AE6" w:rsidP="00AE2AE6">
      <w:pPr>
        <w:rPr>
          <w:rFonts w:asciiTheme="minorHAnsi" w:hAnsiTheme="minorHAnsi"/>
        </w:rPr>
      </w:pPr>
    </w:p>
    <w:p w:rsidR="000C27BF" w:rsidRDefault="000C27BF" w:rsidP="00AE2AE6">
      <w:pPr>
        <w:rPr>
          <w:rFonts w:asciiTheme="minorHAnsi" w:hAnsiTheme="minorHAnsi"/>
        </w:rPr>
      </w:pPr>
    </w:p>
    <w:p w:rsidR="000C27BF" w:rsidRDefault="000C27BF" w:rsidP="00AE2AE6">
      <w:pPr>
        <w:rPr>
          <w:rFonts w:asciiTheme="minorHAnsi" w:hAnsiTheme="minorHAnsi"/>
        </w:rPr>
      </w:pPr>
    </w:p>
    <w:p w:rsidR="000C27BF" w:rsidRPr="008C7781" w:rsidRDefault="000C27BF" w:rsidP="00AE2AE6">
      <w:pPr>
        <w:rPr>
          <w:rFonts w:asciiTheme="minorHAnsi" w:hAnsiTheme="minorHAnsi"/>
        </w:rPr>
      </w:pPr>
    </w:p>
    <w:p w:rsidR="00AE2AE6" w:rsidRPr="008C7781" w:rsidRDefault="00AE2AE6" w:rsidP="00AE2AE6">
      <w:pPr>
        <w:rPr>
          <w:rFonts w:asciiTheme="minorHAnsi" w:hAnsiTheme="minorHAnsi"/>
        </w:rPr>
      </w:pPr>
    </w:p>
    <w:p w:rsidR="00AE2AE6" w:rsidRPr="008C7781" w:rsidRDefault="00AE2AE6" w:rsidP="00AE2AE6">
      <w:pPr>
        <w:rPr>
          <w:rFonts w:asciiTheme="minorHAnsi" w:hAnsiTheme="minorHAnsi"/>
        </w:rPr>
      </w:pPr>
    </w:p>
    <w:p w:rsidR="00AE2AE6" w:rsidRPr="008C7781" w:rsidRDefault="00AE2AE6" w:rsidP="00AE2AE6">
      <w:pPr>
        <w:rPr>
          <w:rFonts w:asciiTheme="minorHAnsi" w:hAnsiTheme="minorHAnsi"/>
        </w:rPr>
      </w:pPr>
    </w:p>
    <w:p w:rsidR="00AE2AE6" w:rsidRPr="008C7781" w:rsidRDefault="00AE2AE6" w:rsidP="00AE2AE6">
      <w:pPr>
        <w:rPr>
          <w:rFonts w:asciiTheme="minorHAnsi" w:hAnsiTheme="minorHAnsi"/>
        </w:rPr>
      </w:pPr>
    </w:p>
    <w:p w:rsidR="00AE2AE6" w:rsidRPr="008C7781" w:rsidRDefault="00AE2AE6" w:rsidP="00AE2AE6">
      <w:pPr>
        <w:rPr>
          <w:rFonts w:asciiTheme="minorHAnsi" w:hAnsiTheme="minorHAnsi"/>
        </w:rPr>
      </w:pPr>
    </w:p>
    <w:p w:rsidR="00AE2AE6" w:rsidRPr="008C7781" w:rsidRDefault="00AE2AE6" w:rsidP="00AE2AE6">
      <w:pPr>
        <w:rPr>
          <w:rFonts w:asciiTheme="minorHAnsi" w:hAnsiTheme="minorHAnsi"/>
        </w:rPr>
      </w:pPr>
    </w:p>
    <w:p w:rsidR="00AE2AE6" w:rsidRPr="008C7781" w:rsidRDefault="00AE2AE6" w:rsidP="00AE2AE6">
      <w:pPr>
        <w:rPr>
          <w:rFonts w:asciiTheme="minorHAnsi" w:hAnsiTheme="minorHAnsi"/>
        </w:rPr>
      </w:pPr>
    </w:p>
    <w:p w:rsidR="00AE2AE6" w:rsidRPr="008C7781" w:rsidRDefault="00AE2AE6" w:rsidP="00AE2AE6">
      <w:pPr>
        <w:rPr>
          <w:rFonts w:asciiTheme="minorHAnsi" w:hAnsiTheme="minorHAnsi"/>
        </w:rPr>
      </w:pPr>
    </w:p>
    <w:p w:rsidR="00AE2AE6" w:rsidRPr="008C7781" w:rsidRDefault="00AE2AE6" w:rsidP="00AE2AE6">
      <w:pPr>
        <w:rPr>
          <w:rFonts w:asciiTheme="minorHAnsi" w:hAnsiTheme="minorHAnsi"/>
        </w:rPr>
      </w:pPr>
    </w:p>
    <w:p w:rsidR="00AE2AE6" w:rsidRPr="008C7781" w:rsidRDefault="00AE2AE6" w:rsidP="00AE2AE6">
      <w:pPr>
        <w:rPr>
          <w:rFonts w:asciiTheme="minorHAnsi" w:hAnsiTheme="minorHAnsi"/>
        </w:rPr>
      </w:pPr>
    </w:p>
    <w:p w:rsidR="00AE2AE6" w:rsidRPr="008C7781" w:rsidRDefault="00AE2AE6" w:rsidP="00AE2AE6">
      <w:pPr>
        <w:rPr>
          <w:rFonts w:asciiTheme="minorHAnsi" w:hAnsiTheme="minorHAnsi"/>
        </w:rPr>
      </w:pPr>
    </w:p>
    <w:p w:rsidR="00AE2AE6" w:rsidRPr="008C7781" w:rsidRDefault="00AE2AE6" w:rsidP="00AE2AE6">
      <w:pPr>
        <w:rPr>
          <w:rFonts w:asciiTheme="minorHAnsi" w:hAnsiTheme="minorHAnsi"/>
        </w:rPr>
      </w:pPr>
    </w:p>
    <w:p w:rsidR="00AE2AE6" w:rsidRPr="008C7781" w:rsidRDefault="00AE2AE6" w:rsidP="00AE2AE6">
      <w:pPr>
        <w:rPr>
          <w:rFonts w:asciiTheme="minorHAnsi" w:hAnsiTheme="minorHAnsi"/>
        </w:rPr>
      </w:pPr>
    </w:p>
    <w:p w:rsidR="00AE2AE6" w:rsidRPr="008C7781" w:rsidRDefault="00AE2AE6" w:rsidP="00AE2AE6">
      <w:pPr>
        <w:rPr>
          <w:rFonts w:asciiTheme="minorHAnsi" w:hAnsiTheme="minorHAnsi"/>
        </w:rPr>
      </w:pPr>
    </w:p>
    <w:p w:rsidR="00AE2AE6" w:rsidRPr="008C7781" w:rsidRDefault="00AE2AE6" w:rsidP="00AE2AE6">
      <w:pPr>
        <w:rPr>
          <w:rFonts w:asciiTheme="minorHAnsi" w:hAnsiTheme="minorHAnsi"/>
        </w:rPr>
      </w:pPr>
    </w:p>
    <w:p w:rsidR="00AE2AE6" w:rsidRPr="008C7781" w:rsidRDefault="00AE2AE6" w:rsidP="00AE2AE6">
      <w:pPr>
        <w:rPr>
          <w:rFonts w:asciiTheme="minorHAnsi" w:hAnsiTheme="minorHAnsi"/>
        </w:rPr>
      </w:pPr>
    </w:p>
    <w:p w:rsidR="00AE2AE6" w:rsidRPr="008C7781" w:rsidRDefault="00AE2AE6" w:rsidP="00AE2AE6">
      <w:pPr>
        <w:rPr>
          <w:rFonts w:asciiTheme="minorHAnsi" w:hAnsiTheme="minorHAnsi"/>
        </w:rPr>
      </w:pPr>
    </w:p>
    <w:p w:rsidR="00AE2AE6" w:rsidRPr="008C7781" w:rsidRDefault="00AE2AE6" w:rsidP="00AE2AE6">
      <w:pPr>
        <w:rPr>
          <w:rFonts w:asciiTheme="minorHAnsi" w:hAnsiTheme="minorHAnsi"/>
        </w:rPr>
      </w:pPr>
    </w:p>
    <w:p w:rsidR="00AE2AE6" w:rsidRPr="008C7781" w:rsidRDefault="00AE2AE6" w:rsidP="00AE2AE6">
      <w:pPr>
        <w:rPr>
          <w:rFonts w:asciiTheme="minorHAnsi" w:hAnsiTheme="minorHAnsi"/>
        </w:rPr>
      </w:pPr>
    </w:p>
    <w:p w:rsidR="00AE2AE6" w:rsidRPr="008C7781" w:rsidRDefault="00AE2AE6" w:rsidP="00AE2AE6">
      <w:pPr>
        <w:rPr>
          <w:rFonts w:asciiTheme="minorHAnsi" w:hAnsiTheme="minorHAnsi"/>
        </w:rPr>
      </w:pPr>
    </w:p>
    <w:p w:rsidR="00AE2AE6" w:rsidRPr="008C7781" w:rsidRDefault="00AE2AE6" w:rsidP="00AE2AE6">
      <w:pPr>
        <w:rPr>
          <w:rFonts w:asciiTheme="minorHAnsi" w:hAnsiTheme="minorHAnsi"/>
        </w:rPr>
      </w:pPr>
    </w:p>
    <w:p w:rsidR="00AE2AE6" w:rsidRPr="008C7781" w:rsidRDefault="00AE2AE6" w:rsidP="00AE2AE6">
      <w:pPr>
        <w:rPr>
          <w:rFonts w:asciiTheme="minorHAnsi" w:hAnsiTheme="minorHAnsi"/>
        </w:rPr>
      </w:pPr>
    </w:p>
    <w:p w:rsidR="00AE2AE6" w:rsidRPr="008C7781" w:rsidRDefault="00AE2AE6" w:rsidP="00AE2AE6">
      <w:pPr>
        <w:rPr>
          <w:rFonts w:asciiTheme="minorHAnsi" w:hAnsiTheme="minorHAnsi"/>
        </w:rPr>
      </w:pPr>
    </w:p>
    <w:p w:rsidR="00AE2AE6" w:rsidRPr="008C7781" w:rsidRDefault="00AE2AE6" w:rsidP="00AE2AE6">
      <w:pPr>
        <w:rPr>
          <w:rFonts w:asciiTheme="minorHAnsi" w:hAnsiTheme="minorHAnsi"/>
        </w:rPr>
      </w:pPr>
    </w:p>
    <w:p w:rsidR="00AE2AE6" w:rsidRPr="008C7781" w:rsidRDefault="00AE2AE6" w:rsidP="00AE2AE6">
      <w:pPr>
        <w:rPr>
          <w:rFonts w:asciiTheme="minorHAnsi" w:hAnsiTheme="minorHAnsi"/>
        </w:rPr>
      </w:pPr>
    </w:p>
    <w:p w:rsidR="00AE2AE6" w:rsidRPr="008C7781" w:rsidRDefault="00AE2AE6" w:rsidP="00AE2AE6">
      <w:pPr>
        <w:rPr>
          <w:rFonts w:asciiTheme="minorHAnsi" w:hAnsiTheme="minorHAnsi"/>
        </w:rPr>
      </w:pPr>
    </w:p>
    <w:p w:rsidR="00AE2AE6" w:rsidRPr="008C7781" w:rsidRDefault="00AE2AE6" w:rsidP="00AE2AE6">
      <w:pPr>
        <w:rPr>
          <w:rFonts w:asciiTheme="minorHAnsi" w:hAnsiTheme="minorHAnsi"/>
        </w:rPr>
      </w:pPr>
    </w:p>
    <w:p w:rsidR="00AE2AE6" w:rsidRPr="008C7781" w:rsidRDefault="00AE2AE6" w:rsidP="00AE2AE6">
      <w:pPr>
        <w:rPr>
          <w:rFonts w:asciiTheme="minorHAnsi" w:hAnsiTheme="minorHAnsi"/>
        </w:rPr>
      </w:pPr>
    </w:p>
    <w:p w:rsidR="00AE2AE6" w:rsidRPr="00C3299C" w:rsidRDefault="00AE2AE6" w:rsidP="00AE2AE6">
      <w:pPr>
        <w:rPr>
          <w:rFonts w:asciiTheme="minorHAnsi" w:hAnsiTheme="minorHAnsi"/>
          <w:b/>
        </w:rPr>
      </w:pPr>
      <w:r w:rsidRPr="00C3299C">
        <w:rPr>
          <w:rFonts w:asciiTheme="minorHAnsi" w:hAnsiTheme="minorHAnsi"/>
          <w:b/>
        </w:rPr>
        <w:lastRenderedPageBreak/>
        <w:t>1. WSTĘP</w:t>
      </w:r>
      <w:bookmarkEnd w:id="1467"/>
    </w:p>
    <w:p w:rsidR="00AE2AE6" w:rsidRPr="00C3299C" w:rsidRDefault="00AE2AE6" w:rsidP="00AE2AE6">
      <w:pPr>
        <w:rPr>
          <w:rFonts w:asciiTheme="minorHAnsi" w:hAnsiTheme="minorHAnsi"/>
        </w:rPr>
      </w:pPr>
      <w:r w:rsidRPr="00C3299C">
        <w:rPr>
          <w:rFonts w:asciiTheme="minorHAnsi" w:hAnsiTheme="minorHAnsi"/>
          <w:b/>
        </w:rPr>
        <w:t>1.1.</w:t>
      </w:r>
      <w:r w:rsidRPr="00C3299C">
        <w:rPr>
          <w:rFonts w:asciiTheme="minorHAnsi" w:hAnsiTheme="minorHAnsi"/>
        </w:rPr>
        <w:t xml:space="preserve"> Przedmiot ST</w:t>
      </w:r>
    </w:p>
    <w:p w:rsidR="00AE2AE6" w:rsidRPr="00C3299C" w:rsidRDefault="00AE2AE6" w:rsidP="00AE2AE6">
      <w:pPr>
        <w:rPr>
          <w:rFonts w:asciiTheme="minorHAnsi" w:hAnsiTheme="minorHAnsi"/>
        </w:rPr>
      </w:pPr>
      <w:r w:rsidRPr="00C3299C">
        <w:rPr>
          <w:rFonts w:asciiTheme="minorHAnsi" w:hAnsiTheme="minorHAnsi"/>
        </w:rPr>
        <w:tab/>
        <w:t>Przedmiotem niniejszej specyfikacji technicznej (ST) są wymagania dotyczące wykonania i odbioru robót związanych z wykonywaniem nawierzchni z kostki kamiennej.</w:t>
      </w:r>
    </w:p>
    <w:p w:rsidR="00AE2AE6" w:rsidRPr="00C3299C" w:rsidRDefault="00AE2AE6" w:rsidP="00AE2AE6">
      <w:pPr>
        <w:rPr>
          <w:rFonts w:asciiTheme="minorHAnsi" w:hAnsiTheme="minorHAnsi"/>
        </w:rPr>
      </w:pPr>
      <w:r w:rsidRPr="00C3299C">
        <w:rPr>
          <w:rFonts w:asciiTheme="minorHAnsi" w:hAnsiTheme="minorHAnsi"/>
          <w:b/>
        </w:rPr>
        <w:t>1.2.</w:t>
      </w:r>
      <w:r w:rsidRPr="00C3299C">
        <w:rPr>
          <w:rFonts w:asciiTheme="minorHAnsi" w:hAnsiTheme="minorHAnsi"/>
        </w:rPr>
        <w:t xml:space="preserve"> Zakres stosowania ST</w:t>
      </w:r>
    </w:p>
    <w:p w:rsidR="00AE2AE6" w:rsidRPr="00C3299C" w:rsidRDefault="00AE2AE6" w:rsidP="00AE2AE6">
      <w:pPr>
        <w:rPr>
          <w:rFonts w:asciiTheme="minorHAnsi" w:hAnsiTheme="minorHAnsi"/>
        </w:rPr>
      </w:pPr>
      <w:r w:rsidRPr="00C3299C">
        <w:rPr>
          <w:rFonts w:asciiTheme="minorHAnsi" w:hAnsiTheme="minorHAnsi"/>
        </w:rPr>
        <w:tab/>
        <w:t>Specyfikacja techniczna określa wymagania dla wykonania i odbioru robót budowlanych przewidzianych do wykonania w ramach umowy a zawarte w niej zapisy w zakresie standardu materiałów, wykonania robót i wymaganej ich jakości oraz kontroli jakości robót należy traktować jako minimalne.</w:t>
      </w:r>
    </w:p>
    <w:p w:rsidR="00AE2AE6" w:rsidRPr="00C3299C" w:rsidRDefault="00AE2AE6" w:rsidP="00AE2AE6">
      <w:pPr>
        <w:rPr>
          <w:rFonts w:asciiTheme="minorHAnsi" w:hAnsiTheme="minorHAnsi"/>
        </w:rPr>
      </w:pPr>
      <w:r w:rsidRPr="00C3299C">
        <w:rPr>
          <w:rFonts w:asciiTheme="minorHAnsi" w:hAnsiTheme="minorHAnsi"/>
          <w:b/>
        </w:rPr>
        <w:t>1.3.</w:t>
      </w:r>
      <w:r w:rsidRPr="00C3299C">
        <w:rPr>
          <w:rFonts w:asciiTheme="minorHAnsi" w:hAnsiTheme="minorHAnsi"/>
        </w:rPr>
        <w:t xml:space="preserve"> Zakres robót objętych ST</w:t>
      </w:r>
    </w:p>
    <w:p w:rsidR="00D553DB" w:rsidRPr="00C3299C" w:rsidRDefault="00AE2AE6" w:rsidP="00D553DB">
      <w:pPr>
        <w:rPr>
          <w:rFonts w:asciiTheme="minorHAnsi" w:hAnsiTheme="minorHAnsi" w:cs="Calibri"/>
        </w:rPr>
      </w:pPr>
      <w:r w:rsidRPr="00C3299C">
        <w:rPr>
          <w:rFonts w:asciiTheme="minorHAnsi" w:hAnsiTheme="minorHAnsi"/>
        </w:rPr>
        <w:tab/>
        <w:t>Ustalenia zawarte w niniejszej specyfikacji dotyczą zasad prowadzenia robót związanych z wykonywaniem nawierzchni kostkowych - z kostki kamiennej niere</w:t>
      </w:r>
      <w:r w:rsidR="00D553DB" w:rsidRPr="00C3299C">
        <w:rPr>
          <w:rFonts w:asciiTheme="minorHAnsi" w:hAnsiTheme="minorHAnsi"/>
        </w:rPr>
        <w:t xml:space="preserve">gularnej, regularnej i rzędowej </w:t>
      </w:r>
      <w:r w:rsidR="00D553DB" w:rsidRPr="00C3299C">
        <w:rPr>
          <w:rFonts w:ascii="Calibri" w:hAnsi="Calibri" w:cs="Calibri"/>
        </w:rPr>
        <w:t>w związku z „</w:t>
      </w:r>
      <w:r w:rsidR="00D553DB" w:rsidRPr="00C3299C">
        <w:rPr>
          <w:rFonts w:asciiTheme="minorHAnsi" w:hAnsiTheme="minorHAnsi"/>
        </w:rPr>
        <w:t>Przebudową ul.55 Pułku Piechoty w Lesznie wraz z przebudową oświetlenia”</w:t>
      </w:r>
      <w:r w:rsidR="00D553DB" w:rsidRPr="00C3299C">
        <w:rPr>
          <w:rFonts w:asciiTheme="minorHAnsi" w:hAnsiTheme="minorHAnsi" w:cs="Calibri"/>
        </w:rPr>
        <w:t>.</w:t>
      </w:r>
    </w:p>
    <w:p w:rsidR="00AE2AE6" w:rsidRPr="00C3299C" w:rsidRDefault="00AE2AE6" w:rsidP="00AE2AE6">
      <w:pPr>
        <w:rPr>
          <w:rFonts w:asciiTheme="minorHAnsi" w:hAnsiTheme="minorHAnsi"/>
        </w:rPr>
      </w:pPr>
      <w:r w:rsidRPr="00C3299C">
        <w:rPr>
          <w:rFonts w:asciiTheme="minorHAnsi" w:hAnsiTheme="minorHAnsi"/>
        </w:rPr>
        <w:tab/>
        <w:t>Nawierzchnie z kostki kamiennej nieregularnej mogą być wykonywane:</w:t>
      </w:r>
    </w:p>
    <w:p w:rsidR="00AE2AE6" w:rsidRPr="00C3299C" w:rsidRDefault="00D553DB" w:rsidP="00AE2AE6">
      <w:pPr>
        <w:rPr>
          <w:rFonts w:asciiTheme="minorHAnsi" w:hAnsiTheme="minorHAnsi"/>
        </w:rPr>
      </w:pPr>
      <w:r w:rsidRPr="00C3299C">
        <w:rPr>
          <w:rFonts w:asciiTheme="minorHAnsi" w:hAnsiTheme="minorHAnsi"/>
        </w:rPr>
        <w:t>-</w:t>
      </w:r>
      <w:r w:rsidR="00AE2AE6" w:rsidRPr="00C3299C">
        <w:rPr>
          <w:rFonts w:asciiTheme="minorHAnsi" w:hAnsiTheme="minorHAnsi"/>
        </w:rPr>
        <w:t>na odcinkach dróg o dużych pochyleniach,</w:t>
      </w:r>
    </w:p>
    <w:p w:rsidR="00AE2AE6" w:rsidRPr="00C3299C" w:rsidRDefault="00D553DB" w:rsidP="00AE2AE6">
      <w:pPr>
        <w:rPr>
          <w:rFonts w:asciiTheme="minorHAnsi" w:hAnsiTheme="minorHAnsi"/>
        </w:rPr>
      </w:pPr>
      <w:r w:rsidRPr="00C3299C">
        <w:rPr>
          <w:rFonts w:asciiTheme="minorHAnsi" w:hAnsiTheme="minorHAnsi"/>
        </w:rPr>
        <w:t>-</w:t>
      </w:r>
      <w:r w:rsidR="00AE2AE6" w:rsidRPr="00C3299C">
        <w:rPr>
          <w:rFonts w:asciiTheme="minorHAnsi" w:hAnsiTheme="minorHAnsi"/>
        </w:rPr>
        <w:t>na placach, miejscach postojowych, wjazdach do bram.</w:t>
      </w:r>
    </w:p>
    <w:p w:rsidR="00AE2AE6" w:rsidRPr="00C3299C" w:rsidRDefault="00AE2AE6" w:rsidP="00AE2AE6">
      <w:pPr>
        <w:rPr>
          <w:rFonts w:asciiTheme="minorHAnsi" w:hAnsiTheme="minorHAnsi"/>
        </w:rPr>
      </w:pPr>
      <w:r w:rsidRPr="00C3299C">
        <w:rPr>
          <w:rFonts w:asciiTheme="minorHAnsi" w:hAnsiTheme="minorHAnsi"/>
        </w:rPr>
        <w:tab/>
        <w:t>Nawierzchnie z kostki kamiennej regularnej i rzędowej mogą być stosowane na ulicach i placach o charakterze reprezentacyjnym.</w:t>
      </w:r>
    </w:p>
    <w:p w:rsidR="00AE2AE6" w:rsidRPr="00C3299C" w:rsidRDefault="00AE2AE6" w:rsidP="00AE2AE6">
      <w:pPr>
        <w:rPr>
          <w:rFonts w:asciiTheme="minorHAnsi" w:hAnsiTheme="minorHAnsi"/>
        </w:rPr>
      </w:pPr>
      <w:r w:rsidRPr="00C3299C">
        <w:rPr>
          <w:rFonts w:asciiTheme="minorHAnsi" w:hAnsiTheme="minorHAnsi"/>
          <w:b/>
        </w:rPr>
        <w:t>1.4.</w:t>
      </w:r>
      <w:r w:rsidRPr="00C3299C">
        <w:rPr>
          <w:rFonts w:asciiTheme="minorHAnsi" w:hAnsiTheme="minorHAnsi"/>
        </w:rPr>
        <w:t xml:space="preserve"> Określenia podstawowe</w:t>
      </w:r>
    </w:p>
    <w:p w:rsidR="00AE2AE6" w:rsidRPr="00C3299C" w:rsidRDefault="00AE2AE6" w:rsidP="00AE2AE6">
      <w:pPr>
        <w:rPr>
          <w:rFonts w:asciiTheme="minorHAnsi" w:hAnsiTheme="minorHAnsi"/>
        </w:rPr>
      </w:pPr>
      <w:r w:rsidRPr="00C3299C">
        <w:rPr>
          <w:rFonts w:asciiTheme="minorHAnsi" w:hAnsiTheme="minorHAnsi"/>
          <w:b/>
        </w:rPr>
        <w:t>1.4.1.</w:t>
      </w:r>
      <w:r w:rsidRPr="00C3299C">
        <w:rPr>
          <w:rFonts w:asciiTheme="minorHAnsi" w:hAnsiTheme="minorHAnsi"/>
        </w:rPr>
        <w:t xml:space="preserve"> Nawierzchnia twarda ulepszona - nawierzchnia bezpylna i dostatecznie równa, przystosowana do szybkiego ruchu samochodowego.</w:t>
      </w:r>
    </w:p>
    <w:p w:rsidR="00AE2AE6" w:rsidRPr="00C3299C" w:rsidRDefault="00AE2AE6" w:rsidP="00AE2AE6">
      <w:pPr>
        <w:rPr>
          <w:rFonts w:asciiTheme="minorHAnsi" w:hAnsiTheme="minorHAnsi"/>
        </w:rPr>
      </w:pPr>
      <w:r w:rsidRPr="00C3299C">
        <w:rPr>
          <w:rFonts w:asciiTheme="minorHAnsi" w:hAnsiTheme="minorHAnsi"/>
          <w:b/>
        </w:rPr>
        <w:t>1.4.2.</w:t>
      </w:r>
      <w:r w:rsidRPr="00C3299C">
        <w:rPr>
          <w:rFonts w:asciiTheme="minorHAnsi" w:hAnsiTheme="minorHAnsi"/>
        </w:rPr>
        <w:t xml:space="preserve"> Nawierzchnia kostkowa - nawierzchnia, której warstwa ścieralna jest wykonana z kostek kamiennych.</w:t>
      </w:r>
    </w:p>
    <w:p w:rsidR="00AE2AE6" w:rsidRPr="00C3299C" w:rsidRDefault="00AE2AE6" w:rsidP="00AE2AE6">
      <w:pPr>
        <w:rPr>
          <w:rFonts w:asciiTheme="minorHAnsi" w:hAnsiTheme="minorHAnsi"/>
        </w:rPr>
      </w:pPr>
      <w:r w:rsidRPr="00C3299C">
        <w:rPr>
          <w:rFonts w:asciiTheme="minorHAnsi" w:hAnsiTheme="minorHAnsi"/>
          <w:b/>
        </w:rPr>
        <w:t>1.4.3.</w:t>
      </w:r>
      <w:r w:rsidRPr="00C3299C">
        <w:rPr>
          <w:rFonts w:asciiTheme="minorHAnsi" w:hAnsiTheme="minorHAnsi"/>
        </w:rPr>
        <w:t xml:space="preserve"> Pozostałe określenia podstawowe są zgodne z obowiązującymi, odpowiednimi polskimi normami i z definicjami podanymi w ST D-M-00.00.00 „Wymagania ogólne” pkt 1.4.</w:t>
      </w:r>
    </w:p>
    <w:p w:rsidR="00AE2AE6" w:rsidRPr="00C3299C" w:rsidRDefault="00AE2AE6" w:rsidP="00AE2AE6">
      <w:pPr>
        <w:rPr>
          <w:rFonts w:asciiTheme="minorHAnsi" w:hAnsiTheme="minorHAnsi"/>
        </w:rPr>
      </w:pPr>
      <w:r w:rsidRPr="00C3299C">
        <w:rPr>
          <w:rFonts w:asciiTheme="minorHAnsi" w:hAnsiTheme="minorHAnsi"/>
          <w:b/>
        </w:rPr>
        <w:t>1.5.</w:t>
      </w:r>
      <w:r w:rsidRPr="00C3299C">
        <w:rPr>
          <w:rFonts w:asciiTheme="minorHAnsi" w:hAnsiTheme="minorHAnsi"/>
        </w:rPr>
        <w:t xml:space="preserve"> Ogólne wymagania dotyczące robót </w:t>
      </w:r>
    </w:p>
    <w:p w:rsidR="00AE2AE6" w:rsidRPr="00C3299C" w:rsidRDefault="00AE2AE6" w:rsidP="00AE2AE6">
      <w:pPr>
        <w:rPr>
          <w:rFonts w:asciiTheme="minorHAnsi" w:hAnsiTheme="minorHAnsi"/>
        </w:rPr>
      </w:pPr>
      <w:r w:rsidRPr="00C3299C">
        <w:rPr>
          <w:rFonts w:asciiTheme="minorHAnsi" w:hAnsiTheme="minorHAnsi"/>
        </w:rPr>
        <w:tab/>
        <w:t>Ogólne wymagania dotyczące robót podano w ST D-M-00.00.00 „Wymagania ogólne” pkt 1.5.</w:t>
      </w:r>
    </w:p>
    <w:p w:rsidR="00AE2AE6" w:rsidRPr="00C3299C" w:rsidRDefault="00AE2AE6" w:rsidP="00AE2AE6">
      <w:pPr>
        <w:rPr>
          <w:rFonts w:asciiTheme="minorHAnsi" w:hAnsiTheme="minorHAnsi"/>
        </w:rPr>
      </w:pPr>
    </w:p>
    <w:p w:rsidR="00AE2AE6" w:rsidRPr="00C3299C" w:rsidRDefault="00AE2AE6" w:rsidP="00AE2AE6">
      <w:pPr>
        <w:rPr>
          <w:rFonts w:asciiTheme="minorHAnsi" w:hAnsiTheme="minorHAnsi"/>
          <w:b/>
        </w:rPr>
      </w:pPr>
      <w:bookmarkStart w:id="1468" w:name="_Toc421940497"/>
      <w:bookmarkStart w:id="1469" w:name="_Toc422115847"/>
      <w:r w:rsidRPr="00C3299C">
        <w:rPr>
          <w:rFonts w:asciiTheme="minorHAnsi" w:hAnsiTheme="minorHAnsi"/>
          <w:b/>
        </w:rPr>
        <w:t xml:space="preserve">2. </w:t>
      </w:r>
      <w:bookmarkEnd w:id="1468"/>
      <w:bookmarkEnd w:id="1469"/>
      <w:r w:rsidRPr="00C3299C">
        <w:rPr>
          <w:rFonts w:asciiTheme="minorHAnsi" w:hAnsiTheme="minorHAnsi"/>
          <w:b/>
        </w:rPr>
        <w:t>MATERIAŁY</w:t>
      </w:r>
    </w:p>
    <w:p w:rsidR="00AE2AE6" w:rsidRPr="00C3299C" w:rsidRDefault="00AE2AE6" w:rsidP="00AE2AE6">
      <w:pPr>
        <w:rPr>
          <w:rFonts w:asciiTheme="minorHAnsi" w:hAnsiTheme="minorHAnsi"/>
        </w:rPr>
      </w:pPr>
      <w:r w:rsidRPr="00C3299C">
        <w:rPr>
          <w:rFonts w:asciiTheme="minorHAnsi" w:hAnsiTheme="minorHAnsi"/>
          <w:b/>
        </w:rPr>
        <w:t>2.1.</w:t>
      </w:r>
      <w:r w:rsidRPr="00C3299C">
        <w:rPr>
          <w:rFonts w:asciiTheme="minorHAnsi" w:hAnsiTheme="minorHAnsi"/>
        </w:rPr>
        <w:t xml:space="preserve"> Ogólne wymagania dotyczące materiałów</w:t>
      </w:r>
    </w:p>
    <w:p w:rsidR="00AE2AE6" w:rsidRPr="00C3299C" w:rsidRDefault="00AE2AE6" w:rsidP="00AE2AE6">
      <w:pPr>
        <w:rPr>
          <w:rFonts w:asciiTheme="minorHAnsi" w:hAnsiTheme="minorHAnsi"/>
        </w:rPr>
      </w:pPr>
      <w:r w:rsidRPr="00C3299C">
        <w:rPr>
          <w:rFonts w:asciiTheme="minorHAnsi" w:hAnsiTheme="minorHAnsi"/>
        </w:rPr>
        <w:tab/>
        <w:t>Ogólne wymagania dotyczące materiałów, ich pozyskiwania i składowania, podano w ST D-M-00.00.00 „Wymagania ogólne” pkt 2.</w:t>
      </w:r>
    </w:p>
    <w:p w:rsidR="00AE2AE6" w:rsidRPr="00C3299C" w:rsidRDefault="00AE2AE6" w:rsidP="00AE2AE6">
      <w:pPr>
        <w:rPr>
          <w:rFonts w:asciiTheme="minorHAnsi" w:hAnsiTheme="minorHAnsi"/>
        </w:rPr>
      </w:pPr>
      <w:r w:rsidRPr="00C3299C">
        <w:rPr>
          <w:rFonts w:asciiTheme="minorHAnsi" w:hAnsiTheme="minorHAnsi"/>
          <w:b/>
        </w:rPr>
        <w:t>2.2.</w:t>
      </w:r>
      <w:r w:rsidRPr="00C3299C">
        <w:rPr>
          <w:rFonts w:asciiTheme="minorHAnsi" w:hAnsiTheme="minorHAnsi"/>
        </w:rPr>
        <w:t xml:space="preserve"> Kamienna kostka drogowa</w:t>
      </w:r>
    </w:p>
    <w:p w:rsidR="00AE2AE6" w:rsidRPr="00C3299C" w:rsidRDefault="00AE2AE6" w:rsidP="00AE2AE6">
      <w:pPr>
        <w:rPr>
          <w:rFonts w:asciiTheme="minorHAnsi" w:hAnsiTheme="minorHAnsi"/>
        </w:rPr>
      </w:pPr>
      <w:r w:rsidRPr="00C3299C">
        <w:rPr>
          <w:rFonts w:asciiTheme="minorHAnsi" w:hAnsiTheme="minorHAnsi"/>
          <w:b/>
        </w:rPr>
        <w:t>2.2.1.</w:t>
      </w:r>
      <w:r w:rsidRPr="00C3299C">
        <w:rPr>
          <w:rFonts w:asciiTheme="minorHAnsi" w:hAnsiTheme="minorHAnsi"/>
        </w:rPr>
        <w:t xml:space="preserve"> Klasyfikacja</w:t>
      </w:r>
    </w:p>
    <w:p w:rsidR="00AE2AE6" w:rsidRPr="00C3299C" w:rsidRDefault="00AE2AE6" w:rsidP="00AE2AE6">
      <w:pPr>
        <w:rPr>
          <w:rFonts w:asciiTheme="minorHAnsi" w:hAnsiTheme="minorHAnsi"/>
        </w:rPr>
      </w:pPr>
      <w:r w:rsidRPr="00C3299C">
        <w:rPr>
          <w:rFonts w:asciiTheme="minorHAnsi" w:hAnsiTheme="minorHAnsi"/>
        </w:rPr>
        <w:tab/>
        <w:t>Kamienna kostka drogowa wg PN-B-11100 [8] jest stosowana do budowy nawierzchni z kostki kamiennej wg PN-S-06100 [11] oraz do budowy nawierzchni z kostki kamiennej nieregularnej wg PN-S-96026 [12]</w:t>
      </w:r>
    </w:p>
    <w:p w:rsidR="00AE2AE6" w:rsidRPr="00C3299C" w:rsidRDefault="00AE2AE6" w:rsidP="00AE2AE6">
      <w:pPr>
        <w:rPr>
          <w:rFonts w:asciiTheme="minorHAnsi" w:hAnsiTheme="minorHAnsi"/>
        </w:rPr>
      </w:pPr>
      <w:r w:rsidRPr="00C3299C">
        <w:rPr>
          <w:rFonts w:asciiTheme="minorHAnsi" w:hAnsiTheme="minorHAnsi"/>
        </w:rPr>
        <w:tab/>
        <w:t>W zależności od kształtów rozróżnia się trzy typy kostki:</w:t>
      </w:r>
    </w:p>
    <w:p w:rsidR="00AE2AE6" w:rsidRPr="00C3299C" w:rsidRDefault="00AE2AE6" w:rsidP="00AE2AE6">
      <w:pPr>
        <w:rPr>
          <w:rFonts w:asciiTheme="minorHAnsi" w:hAnsiTheme="minorHAnsi"/>
        </w:rPr>
      </w:pPr>
      <w:r w:rsidRPr="00C3299C">
        <w:rPr>
          <w:rFonts w:asciiTheme="minorHAnsi" w:hAnsiTheme="minorHAnsi"/>
        </w:rPr>
        <w:t>-regularną,</w:t>
      </w:r>
    </w:p>
    <w:p w:rsidR="00AE2AE6" w:rsidRPr="00C3299C" w:rsidRDefault="00AE2AE6" w:rsidP="00AE2AE6">
      <w:pPr>
        <w:rPr>
          <w:rFonts w:asciiTheme="minorHAnsi" w:hAnsiTheme="minorHAnsi"/>
        </w:rPr>
      </w:pPr>
      <w:r w:rsidRPr="00C3299C">
        <w:rPr>
          <w:rFonts w:asciiTheme="minorHAnsi" w:hAnsiTheme="minorHAnsi"/>
        </w:rPr>
        <w:t>-rzędową,</w:t>
      </w:r>
    </w:p>
    <w:p w:rsidR="00AE2AE6" w:rsidRPr="00C3299C" w:rsidRDefault="00AE2AE6" w:rsidP="00AE2AE6">
      <w:pPr>
        <w:rPr>
          <w:rFonts w:asciiTheme="minorHAnsi" w:hAnsiTheme="minorHAnsi"/>
        </w:rPr>
      </w:pPr>
      <w:r w:rsidRPr="00C3299C">
        <w:rPr>
          <w:rFonts w:asciiTheme="minorHAnsi" w:hAnsiTheme="minorHAnsi"/>
        </w:rPr>
        <w:t>-nieregularną.</w:t>
      </w:r>
    </w:p>
    <w:p w:rsidR="00AE2AE6" w:rsidRPr="00C3299C" w:rsidRDefault="00AE2AE6" w:rsidP="00AE2AE6">
      <w:pPr>
        <w:rPr>
          <w:rFonts w:asciiTheme="minorHAnsi" w:hAnsiTheme="minorHAnsi"/>
        </w:rPr>
      </w:pPr>
      <w:r w:rsidRPr="00C3299C">
        <w:rPr>
          <w:rFonts w:asciiTheme="minorHAnsi" w:hAnsiTheme="minorHAnsi"/>
        </w:rPr>
        <w:tab/>
        <w:t>Rozróżnia się dwa rodzaje kostki regularnej: normalną i łącznikową.</w:t>
      </w:r>
    </w:p>
    <w:p w:rsidR="00AE2AE6" w:rsidRPr="00C3299C" w:rsidRDefault="00AE2AE6" w:rsidP="00AE2AE6">
      <w:pPr>
        <w:rPr>
          <w:rFonts w:asciiTheme="minorHAnsi" w:hAnsiTheme="minorHAnsi"/>
        </w:rPr>
      </w:pPr>
      <w:r w:rsidRPr="00C3299C">
        <w:rPr>
          <w:rFonts w:asciiTheme="minorHAnsi" w:hAnsiTheme="minorHAnsi"/>
        </w:rPr>
        <w:tab/>
        <w:t>W zależności od jakości surowca skalnego użytego do wyrobu kostki rozróżnia się dwie klasy kostki: I, II.</w:t>
      </w:r>
    </w:p>
    <w:p w:rsidR="00AE2AE6" w:rsidRPr="00C3299C" w:rsidRDefault="00AE2AE6" w:rsidP="00AE2AE6">
      <w:pPr>
        <w:rPr>
          <w:rFonts w:asciiTheme="minorHAnsi" w:hAnsiTheme="minorHAnsi"/>
        </w:rPr>
      </w:pPr>
      <w:r w:rsidRPr="00C3299C">
        <w:rPr>
          <w:rFonts w:asciiTheme="minorHAnsi" w:hAnsiTheme="minorHAnsi"/>
        </w:rPr>
        <w:tab/>
        <w:t>W zależności od dokładności wykonania rozróżnia się trzy gatunki kostki: 1, 2, 3.</w:t>
      </w:r>
    </w:p>
    <w:p w:rsidR="00AE2AE6" w:rsidRPr="00C3299C" w:rsidRDefault="00AE2AE6" w:rsidP="00AE2AE6">
      <w:pPr>
        <w:rPr>
          <w:rFonts w:asciiTheme="minorHAnsi" w:hAnsiTheme="minorHAnsi"/>
        </w:rPr>
      </w:pPr>
      <w:r w:rsidRPr="00C3299C">
        <w:rPr>
          <w:rFonts w:asciiTheme="minorHAnsi" w:hAnsiTheme="minorHAnsi"/>
        </w:rPr>
        <w:tab/>
        <w:t>W zależności od wymiaru zasadniczego - wysokości kostki, rozróżnia się następujące wielkości (cm):</w:t>
      </w:r>
    </w:p>
    <w:p w:rsidR="00AE2AE6" w:rsidRPr="00C3299C" w:rsidRDefault="00AE2AE6" w:rsidP="00AE2AE6">
      <w:pPr>
        <w:rPr>
          <w:rFonts w:asciiTheme="minorHAnsi" w:hAnsiTheme="minorHAnsi"/>
        </w:rPr>
      </w:pPr>
      <w:r w:rsidRPr="00C3299C">
        <w:rPr>
          <w:rFonts w:asciiTheme="minorHAnsi" w:hAnsiTheme="minorHAnsi"/>
        </w:rPr>
        <w:t>-kostka regularna i rzędowa - 12, 14, 16 i 18,</w:t>
      </w:r>
    </w:p>
    <w:p w:rsidR="00AE2AE6" w:rsidRPr="00C3299C" w:rsidRDefault="00AE2AE6" w:rsidP="00AE2AE6">
      <w:pPr>
        <w:rPr>
          <w:rFonts w:asciiTheme="minorHAnsi" w:hAnsiTheme="minorHAnsi"/>
        </w:rPr>
      </w:pPr>
      <w:r w:rsidRPr="00C3299C">
        <w:rPr>
          <w:rFonts w:asciiTheme="minorHAnsi" w:hAnsiTheme="minorHAnsi"/>
        </w:rPr>
        <w:t>-kostka nieregularna - 5, 6, 8 i 10.</w:t>
      </w:r>
    </w:p>
    <w:p w:rsidR="00AE2AE6" w:rsidRPr="00C3299C" w:rsidRDefault="00AE2AE6" w:rsidP="00AE2AE6">
      <w:pPr>
        <w:rPr>
          <w:rFonts w:asciiTheme="minorHAnsi" w:hAnsiTheme="minorHAnsi"/>
        </w:rPr>
      </w:pPr>
      <w:r w:rsidRPr="00C3299C">
        <w:rPr>
          <w:rFonts w:asciiTheme="minorHAnsi" w:hAnsiTheme="minorHAnsi"/>
          <w:b/>
        </w:rPr>
        <w:t>2.2.2.</w:t>
      </w:r>
      <w:r w:rsidRPr="00C3299C">
        <w:rPr>
          <w:rFonts w:asciiTheme="minorHAnsi" w:hAnsiTheme="minorHAnsi"/>
        </w:rPr>
        <w:t xml:space="preserve"> Wymagania</w:t>
      </w:r>
    </w:p>
    <w:p w:rsidR="00AE2AE6" w:rsidRPr="00C3299C" w:rsidRDefault="00AE2AE6" w:rsidP="00AE2AE6">
      <w:pPr>
        <w:rPr>
          <w:rFonts w:asciiTheme="minorHAnsi" w:hAnsiTheme="minorHAnsi"/>
        </w:rPr>
      </w:pPr>
      <w:r w:rsidRPr="00C3299C">
        <w:rPr>
          <w:rFonts w:asciiTheme="minorHAnsi" w:hAnsiTheme="minorHAnsi"/>
        </w:rPr>
        <w:tab/>
        <w:t>Surowcem do wyrobu kostki kamiennej są skały magmowe, osadowe i przeobrażone. Wymagane cechy fizyczne i wytrzymałościowe przedstawia tablica 1.</w:t>
      </w:r>
    </w:p>
    <w:p w:rsidR="00AE2AE6" w:rsidRPr="00C3299C" w:rsidRDefault="00AE2AE6" w:rsidP="00AE2AE6">
      <w:pPr>
        <w:rPr>
          <w:rFonts w:asciiTheme="minorHAnsi" w:hAnsiTheme="minorHAnsi"/>
        </w:rPr>
      </w:pPr>
    </w:p>
    <w:p w:rsidR="00C3299C" w:rsidRDefault="00C3299C" w:rsidP="00C3299C">
      <w:pPr>
        <w:ind w:left="709"/>
        <w:rPr>
          <w:rFonts w:asciiTheme="minorHAnsi" w:hAnsiTheme="minorHAnsi"/>
          <w:b/>
        </w:rPr>
      </w:pPr>
    </w:p>
    <w:p w:rsidR="00C3299C" w:rsidRDefault="00C3299C" w:rsidP="00C3299C">
      <w:pPr>
        <w:ind w:left="709"/>
        <w:rPr>
          <w:rFonts w:asciiTheme="minorHAnsi" w:hAnsiTheme="minorHAnsi"/>
          <w:b/>
        </w:rPr>
      </w:pPr>
    </w:p>
    <w:p w:rsidR="00C3299C" w:rsidRDefault="00C3299C" w:rsidP="00C3299C">
      <w:pPr>
        <w:ind w:left="709"/>
        <w:rPr>
          <w:rFonts w:asciiTheme="minorHAnsi" w:hAnsiTheme="minorHAnsi"/>
          <w:b/>
        </w:rPr>
      </w:pPr>
    </w:p>
    <w:p w:rsidR="00C3299C" w:rsidRDefault="00C3299C" w:rsidP="00C3299C">
      <w:pPr>
        <w:ind w:left="709"/>
        <w:rPr>
          <w:rFonts w:asciiTheme="minorHAnsi" w:hAnsiTheme="minorHAnsi"/>
          <w:b/>
        </w:rPr>
      </w:pPr>
    </w:p>
    <w:p w:rsidR="00C3299C" w:rsidRDefault="00C3299C" w:rsidP="00C3299C">
      <w:pPr>
        <w:ind w:left="709"/>
        <w:rPr>
          <w:rFonts w:asciiTheme="minorHAnsi" w:hAnsiTheme="minorHAnsi"/>
          <w:b/>
        </w:rPr>
      </w:pPr>
    </w:p>
    <w:p w:rsidR="00C3299C" w:rsidRDefault="00C3299C" w:rsidP="00C3299C">
      <w:pPr>
        <w:ind w:left="709"/>
        <w:rPr>
          <w:rFonts w:asciiTheme="minorHAnsi" w:hAnsiTheme="minorHAnsi"/>
          <w:b/>
        </w:rPr>
      </w:pPr>
    </w:p>
    <w:p w:rsidR="00C3299C" w:rsidRDefault="00C3299C" w:rsidP="00C3299C">
      <w:pPr>
        <w:ind w:left="709"/>
        <w:rPr>
          <w:rFonts w:asciiTheme="minorHAnsi" w:hAnsiTheme="minorHAnsi"/>
          <w:b/>
        </w:rPr>
      </w:pPr>
    </w:p>
    <w:p w:rsidR="00AE2AE6" w:rsidRPr="00C3299C" w:rsidRDefault="00AE2AE6" w:rsidP="00C3299C">
      <w:pPr>
        <w:ind w:left="709"/>
        <w:rPr>
          <w:rFonts w:asciiTheme="minorHAnsi" w:hAnsiTheme="minorHAnsi"/>
        </w:rPr>
      </w:pPr>
      <w:r w:rsidRPr="00C3299C">
        <w:rPr>
          <w:rFonts w:asciiTheme="minorHAnsi" w:hAnsiTheme="minorHAnsi"/>
          <w:b/>
        </w:rPr>
        <w:lastRenderedPageBreak/>
        <w:t>Tablica 1.</w:t>
      </w:r>
      <w:r w:rsidRPr="00C3299C">
        <w:rPr>
          <w:rFonts w:asciiTheme="minorHAnsi" w:hAnsiTheme="minorHAnsi"/>
        </w:rPr>
        <w:t xml:space="preserve"> Wymagane cechy fizyczne i wytrzymałościowe dla kostki kamiennej</w:t>
      </w:r>
    </w:p>
    <w:tbl>
      <w:tblPr>
        <w:tblW w:w="0" w:type="auto"/>
        <w:tblInd w:w="779" w:type="dxa"/>
        <w:tblLayout w:type="fixed"/>
        <w:tblCellMar>
          <w:left w:w="70" w:type="dxa"/>
          <w:right w:w="70" w:type="dxa"/>
        </w:tblCellMar>
        <w:tblLook w:val="0000"/>
      </w:tblPr>
      <w:tblGrid>
        <w:gridCol w:w="496"/>
        <w:gridCol w:w="3402"/>
        <w:gridCol w:w="954"/>
        <w:gridCol w:w="955"/>
        <w:gridCol w:w="1704"/>
      </w:tblGrid>
      <w:tr w:rsidR="00AE2AE6" w:rsidRPr="00C3299C" w:rsidTr="00C3299C">
        <w:tc>
          <w:tcPr>
            <w:tcW w:w="496" w:type="dxa"/>
            <w:tcBorders>
              <w:top w:val="single" w:sz="6" w:space="0" w:color="auto"/>
              <w:left w:val="single" w:sz="6" w:space="0" w:color="auto"/>
            </w:tcBorders>
          </w:tcPr>
          <w:p w:rsidR="00AE2AE6" w:rsidRPr="00C3299C" w:rsidRDefault="00AE2AE6" w:rsidP="00737B18">
            <w:pPr>
              <w:spacing w:before="60"/>
              <w:jc w:val="center"/>
              <w:rPr>
                <w:rFonts w:asciiTheme="minorHAnsi" w:hAnsiTheme="minorHAnsi"/>
              </w:rPr>
            </w:pPr>
            <w:r w:rsidRPr="00C3299C">
              <w:rPr>
                <w:rFonts w:asciiTheme="minorHAnsi" w:hAnsiTheme="minorHAnsi"/>
              </w:rPr>
              <w:t>Lp.</w:t>
            </w:r>
          </w:p>
        </w:tc>
        <w:tc>
          <w:tcPr>
            <w:tcW w:w="3402" w:type="dxa"/>
            <w:tcBorders>
              <w:top w:val="single" w:sz="6" w:space="0" w:color="auto"/>
              <w:left w:val="single" w:sz="6" w:space="0" w:color="auto"/>
            </w:tcBorders>
          </w:tcPr>
          <w:p w:rsidR="00AE2AE6" w:rsidRPr="00C3299C" w:rsidRDefault="00AE2AE6" w:rsidP="00737B18">
            <w:pPr>
              <w:spacing w:before="60"/>
              <w:jc w:val="center"/>
              <w:rPr>
                <w:rFonts w:asciiTheme="minorHAnsi" w:hAnsiTheme="minorHAnsi"/>
              </w:rPr>
            </w:pPr>
            <w:r w:rsidRPr="00C3299C">
              <w:rPr>
                <w:rFonts w:asciiTheme="minorHAnsi" w:hAnsiTheme="minorHAnsi"/>
              </w:rPr>
              <w:t>Cechy fizyczne</w:t>
            </w:r>
          </w:p>
        </w:tc>
        <w:tc>
          <w:tcPr>
            <w:tcW w:w="1909" w:type="dxa"/>
            <w:gridSpan w:val="2"/>
            <w:tcBorders>
              <w:top w:val="single" w:sz="6" w:space="0" w:color="auto"/>
              <w:left w:val="single" w:sz="6" w:space="0" w:color="auto"/>
            </w:tcBorders>
          </w:tcPr>
          <w:p w:rsidR="00AE2AE6" w:rsidRPr="00C3299C" w:rsidRDefault="00AE2AE6" w:rsidP="00737B18">
            <w:pPr>
              <w:spacing w:before="60"/>
              <w:jc w:val="center"/>
              <w:rPr>
                <w:rFonts w:asciiTheme="minorHAnsi" w:hAnsiTheme="minorHAnsi"/>
              </w:rPr>
            </w:pPr>
            <w:r w:rsidRPr="00C3299C">
              <w:rPr>
                <w:rFonts w:asciiTheme="minorHAnsi" w:hAnsiTheme="minorHAnsi"/>
              </w:rPr>
              <w:t>Klasa</w:t>
            </w:r>
          </w:p>
        </w:tc>
        <w:tc>
          <w:tcPr>
            <w:tcW w:w="1704" w:type="dxa"/>
            <w:tcBorders>
              <w:top w:val="single" w:sz="6" w:space="0" w:color="auto"/>
              <w:left w:val="single" w:sz="6" w:space="0" w:color="auto"/>
              <w:right w:val="single" w:sz="6" w:space="0" w:color="auto"/>
            </w:tcBorders>
          </w:tcPr>
          <w:p w:rsidR="00AE2AE6" w:rsidRPr="00C3299C" w:rsidRDefault="00AE2AE6" w:rsidP="00737B18">
            <w:pPr>
              <w:spacing w:before="60"/>
              <w:jc w:val="center"/>
              <w:rPr>
                <w:rFonts w:asciiTheme="minorHAnsi" w:hAnsiTheme="minorHAnsi"/>
              </w:rPr>
            </w:pPr>
            <w:r w:rsidRPr="00C3299C">
              <w:rPr>
                <w:rFonts w:asciiTheme="minorHAnsi" w:hAnsiTheme="minorHAnsi"/>
              </w:rPr>
              <w:t>Badania</w:t>
            </w:r>
          </w:p>
        </w:tc>
      </w:tr>
      <w:tr w:rsidR="00AE2AE6" w:rsidRPr="00C3299C" w:rsidTr="00C3299C">
        <w:tc>
          <w:tcPr>
            <w:tcW w:w="496" w:type="dxa"/>
            <w:tcBorders>
              <w:left w:val="single" w:sz="6" w:space="0" w:color="auto"/>
              <w:bottom w:val="double" w:sz="6" w:space="0" w:color="auto"/>
              <w:right w:val="single" w:sz="6" w:space="0" w:color="auto"/>
            </w:tcBorders>
          </w:tcPr>
          <w:p w:rsidR="00AE2AE6" w:rsidRPr="00C3299C" w:rsidRDefault="00AE2AE6" w:rsidP="00737B18">
            <w:pPr>
              <w:jc w:val="center"/>
              <w:rPr>
                <w:rFonts w:asciiTheme="minorHAnsi" w:hAnsiTheme="minorHAnsi"/>
              </w:rPr>
            </w:pPr>
          </w:p>
        </w:tc>
        <w:tc>
          <w:tcPr>
            <w:tcW w:w="3402" w:type="dxa"/>
            <w:tcBorders>
              <w:left w:val="nil"/>
              <w:bottom w:val="double" w:sz="6" w:space="0" w:color="auto"/>
            </w:tcBorders>
          </w:tcPr>
          <w:p w:rsidR="00AE2AE6" w:rsidRPr="00C3299C" w:rsidRDefault="00AE2AE6" w:rsidP="00737B18">
            <w:pPr>
              <w:spacing w:after="60"/>
              <w:jc w:val="center"/>
              <w:rPr>
                <w:rFonts w:asciiTheme="minorHAnsi" w:hAnsiTheme="minorHAnsi"/>
              </w:rPr>
            </w:pPr>
            <w:r w:rsidRPr="00C3299C">
              <w:rPr>
                <w:rFonts w:asciiTheme="minorHAnsi" w:hAnsiTheme="minorHAnsi"/>
              </w:rPr>
              <w:t>i wytrzymałościowe</w:t>
            </w:r>
          </w:p>
        </w:tc>
        <w:tc>
          <w:tcPr>
            <w:tcW w:w="954" w:type="dxa"/>
            <w:tcBorders>
              <w:top w:val="single" w:sz="6" w:space="0" w:color="auto"/>
              <w:left w:val="single" w:sz="6" w:space="0" w:color="auto"/>
              <w:bottom w:val="double" w:sz="6" w:space="0" w:color="auto"/>
              <w:right w:val="single" w:sz="6" w:space="0" w:color="auto"/>
            </w:tcBorders>
          </w:tcPr>
          <w:p w:rsidR="00AE2AE6" w:rsidRPr="00C3299C" w:rsidRDefault="00AE2AE6" w:rsidP="00737B18">
            <w:pPr>
              <w:spacing w:after="60"/>
              <w:jc w:val="center"/>
              <w:rPr>
                <w:rFonts w:asciiTheme="minorHAnsi" w:hAnsiTheme="minorHAnsi"/>
              </w:rPr>
            </w:pPr>
            <w:r w:rsidRPr="00C3299C">
              <w:rPr>
                <w:rFonts w:asciiTheme="minorHAnsi" w:hAnsiTheme="minorHAnsi"/>
              </w:rPr>
              <w:t>I</w:t>
            </w:r>
          </w:p>
        </w:tc>
        <w:tc>
          <w:tcPr>
            <w:tcW w:w="955" w:type="dxa"/>
            <w:tcBorders>
              <w:top w:val="single" w:sz="6" w:space="0" w:color="auto"/>
              <w:left w:val="single" w:sz="6" w:space="0" w:color="auto"/>
              <w:bottom w:val="double" w:sz="6" w:space="0" w:color="auto"/>
            </w:tcBorders>
          </w:tcPr>
          <w:p w:rsidR="00AE2AE6" w:rsidRPr="00C3299C" w:rsidRDefault="00AE2AE6" w:rsidP="00737B18">
            <w:pPr>
              <w:spacing w:after="60"/>
              <w:jc w:val="center"/>
              <w:rPr>
                <w:rFonts w:asciiTheme="minorHAnsi" w:hAnsiTheme="minorHAnsi"/>
              </w:rPr>
            </w:pPr>
            <w:r w:rsidRPr="00C3299C">
              <w:rPr>
                <w:rFonts w:asciiTheme="minorHAnsi" w:hAnsiTheme="minorHAnsi"/>
              </w:rPr>
              <w:t>II</w:t>
            </w:r>
          </w:p>
        </w:tc>
        <w:tc>
          <w:tcPr>
            <w:tcW w:w="1704" w:type="dxa"/>
            <w:tcBorders>
              <w:left w:val="single" w:sz="6" w:space="0" w:color="auto"/>
              <w:bottom w:val="double" w:sz="6" w:space="0" w:color="auto"/>
              <w:right w:val="single" w:sz="6" w:space="0" w:color="auto"/>
            </w:tcBorders>
          </w:tcPr>
          <w:p w:rsidR="00AE2AE6" w:rsidRPr="00C3299C" w:rsidRDefault="00AE2AE6" w:rsidP="00737B18">
            <w:pPr>
              <w:spacing w:after="60"/>
              <w:jc w:val="center"/>
              <w:rPr>
                <w:rFonts w:asciiTheme="minorHAnsi" w:hAnsiTheme="minorHAnsi"/>
              </w:rPr>
            </w:pPr>
            <w:r w:rsidRPr="00C3299C">
              <w:rPr>
                <w:rFonts w:asciiTheme="minorHAnsi" w:hAnsiTheme="minorHAnsi"/>
              </w:rPr>
              <w:t>według</w:t>
            </w:r>
          </w:p>
        </w:tc>
      </w:tr>
      <w:tr w:rsidR="00AE2AE6" w:rsidRPr="00C3299C" w:rsidTr="00C3299C">
        <w:tc>
          <w:tcPr>
            <w:tcW w:w="496" w:type="dxa"/>
            <w:tcBorders>
              <w:left w:val="single" w:sz="6" w:space="0" w:color="auto"/>
              <w:bottom w:val="single" w:sz="6" w:space="0" w:color="auto"/>
              <w:right w:val="single" w:sz="6" w:space="0" w:color="auto"/>
            </w:tcBorders>
          </w:tcPr>
          <w:p w:rsidR="00AE2AE6" w:rsidRPr="00C3299C" w:rsidRDefault="00AE2AE6" w:rsidP="00737B18">
            <w:pPr>
              <w:spacing w:before="120"/>
              <w:jc w:val="center"/>
              <w:rPr>
                <w:rFonts w:asciiTheme="minorHAnsi" w:hAnsiTheme="minorHAnsi"/>
              </w:rPr>
            </w:pPr>
            <w:r w:rsidRPr="00C3299C">
              <w:rPr>
                <w:rFonts w:asciiTheme="minorHAnsi" w:hAnsiTheme="minorHAnsi"/>
              </w:rPr>
              <w:t>1</w:t>
            </w:r>
          </w:p>
        </w:tc>
        <w:tc>
          <w:tcPr>
            <w:tcW w:w="3402" w:type="dxa"/>
            <w:tcBorders>
              <w:left w:val="single" w:sz="6" w:space="0" w:color="auto"/>
              <w:bottom w:val="single" w:sz="6" w:space="0" w:color="auto"/>
              <w:right w:val="single" w:sz="6" w:space="0" w:color="auto"/>
            </w:tcBorders>
          </w:tcPr>
          <w:p w:rsidR="00AE2AE6" w:rsidRPr="00C3299C" w:rsidRDefault="00AE2AE6" w:rsidP="00737B18">
            <w:pPr>
              <w:rPr>
                <w:rFonts w:asciiTheme="minorHAnsi" w:hAnsiTheme="minorHAnsi"/>
              </w:rPr>
            </w:pPr>
            <w:r w:rsidRPr="00C3299C">
              <w:rPr>
                <w:rFonts w:asciiTheme="minorHAnsi" w:hAnsiTheme="minorHAnsi"/>
              </w:rPr>
              <w:t>Wytrzymałość na ściskanie w stanie powietrzno-suchym, MPa, nie mniej niż</w:t>
            </w:r>
          </w:p>
        </w:tc>
        <w:tc>
          <w:tcPr>
            <w:tcW w:w="954" w:type="dxa"/>
            <w:tcBorders>
              <w:left w:val="single" w:sz="6" w:space="0" w:color="auto"/>
              <w:bottom w:val="single" w:sz="6" w:space="0" w:color="auto"/>
              <w:right w:val="single" w:sz="6" w:space="0" w:color="auto"/>
            </w:tcBorders>
          </w:tcPr>
          <w:p w:rsidR="00AE2AE6" w:rsidRPr="00C3299C" w:rsidRDefault="00AE2AE6" w:rsidP="00737B18">
            <w:pPr>
              <w:spacing w:before="120"/>
              <w:jc w:val="center"/>
              <w:rPr>
                <w:rFonts w:asciiTheme="minorHAnsi" w:hAnsiTheme="minorHAnsi"/>
              </w:rPr>
            </w:pPr>
            <w:r w:rsidRPr="00C3299C">
              <w:rPr>
                <w:rFonts w:asciiTheme="minorHAnsi" w:hAnsiTheme="minorHAnsi"/>
              </w:rPr>
              <w:t>160</w:t>
            </w:r>
          </w:p>
        </w:tc>
        <w:tc>
          <w:tcPr>
            <w:tcW w:w="955" w:type="dxa"/>
            <w:tcBorders>
              <w:left w:val="single" w:sz="6" w:space="0" w:color="auto"/>
              <w:bottom w:val="single" w:sz="6" w:space="0" w:color="auto"/>
              <w:right w:val="single" w:sz="6" w:space="0" w:color="auto"/>
            </w:tcBorders>
          </w:tcPr>
          <w:p w:rsidR="00AE2AE6" w:rsidRPr="00C3299C" w:rsidRDefault="00AE2AE6" w:rsidP="00737B18">
            <w:pPr>
              <w:spacing w:before="120"/>
              <w:jc w:val="center"/>
              <w:rPr>
                <w:rFonts w:asciiTheme="minorHAnsi" w:hAnsiTheme="minorHAnsi"/>
              </w:rPr>
            </w:pPr>
            <w:r w:rsidRPr="00C3299C">
              <w:rPr>
                <w:rFonts w:asciiTheme="minorHAnsi" w:hAnsiTheme="minorHAnsi"/>
              </w:rPr>
              <w:t>120</w:t>
            </w:r>
          </w:p>
        </w:tc>
        <w:tc>
          <w:tcPr>
            <w:tcW w:w="1704" w:type="dxa"/>
            <w:tcBorders>
              <w:left w:val="single" w:sz="6" w:space="0" w:color="auto"/>
              <w:bottom w:val="single" w:sz="6" w:space="0" w:color="auto"/>
              <w:right w:val="single" w:sz="6" w:space="0" w:color="auto"/>
            </w:tcBorders>
          </w:tcPr>
          <w:p w:rsidR="00AE2AE6" w:rsidRPr="00C3299C" w:rsidRDefault="00AE2AE6" w:rsidP="00737B18">
            <w:pPr>
              <w:jc w:val="center"/>
              <w:rPr>
                <w:rFonts w:asciiTheme="minorHAnsi" w:hAnsiTheme="minorHAnsi"/>
              </w:rPr>
            </w:pPr>
            <w:r w:rsidRPr="00C3299C">
              <w:rPr>
                <w:rFonts w:asciiTheme="minorHAnsi" w:hAnsiTheme="minorHAnsi"/>
              </w:rPr>
              <w:t>PN-B-04110</w:t>
            </w:r>
          </w:p>
          <w:p w:rsidR="00AE2AE6" w:rsidRPr="00C3299C" w:rsidRDefault="00AE2AE6" w:rsidP="00737B18">
            <w:pPr>
              <w:jc w:val="center"/>
              <w:rPr>
                <w:rFonts w:asciiTheme="minorHAnsi" w:hAnsiTheme="minorHAnsi"/>
              </w:rPr>
            </w:pPr>
            <w:r w:rsidRPr="00C3299C">
              <w:rPr>
                <w:rFonts w:asciiTheme="minorHAnsi" w:hAnsiTheme="minorHAnsi"/>
              </w:rPr>
              <w:t>[3]</w:t>
            </w:r>
          </w:p>
        </w:tc>
      </w:tr>
      <w:tr w:rsidR="00AE2AE6" w:rsidRPr="008C7781" w:rsidTr="00C3299C">
        <w:tc>
          <w:tcPr>
            <w:tcW w:w="496" w:type="dxa"/>
            <w:tcBorders>
              <w:top w:val="single" w:sz="6" w:space="0" w:color="auto"/>
              <w:left w:val="single" w:sz="6" w:space="0" w:color="auto"/>
              <w:bottom w:val="single" w:sz="6" w:space="0" w:color="auto"/>
              <w:right w:val="single" w:sz="6" w:space="0" w:color="auto"/>
            </w:tcBorders>
          </w:tcPr>
          <w:p w:rsidR="00AE2AE6" w:rsidRPr="008C7781" w:rsidRDefault="00AE2AE6" w:rsidP="00737B18">
            <w:pPr>
              <w:spacing w:before="120"/>
              <w:jc w:val="center"/>
              <w:rPr>
                <w:rFonts w:asciiTheme="minorHAnsi" w:hAnsiTheme="minorHAnsi"/>
              </w:rPr>
            </w:pPr>
            <w:r w:rsidRPr="008C7781">
              <w:rPr>
                <w:rFonts w:asciiTheme="minorHAnsi" w:hAnsiTheme="minorHAnsi"/>
              </w:rPr>
              <w:t>2</w:t>
            </w:r>
          </w:p>
        </w:tc>
        <w:tc>
          <w:tcPr>
            <w:tcW w:w="3402" w:type="dxa"/>
            <w:tcBorders>
              <w:top w:val="single" w:sz="6" w:space="0" w:color="auto"/>
              <w:left w:val="single" w:sz="6" w:space="0" w:color="auto"/>
              <w:bottom w:val="single" w:sz="6" w:space="0" w:color="auto"/>
              <w:right w:val="single" w:sz="6" w:space="0" w:color="auto"/>
            </w:tcBorders>
          </w:tcPr>
          <w:p w:rsidR="00AE2AE6" w:rsidRPr="008C7781" w:rsidRDefault="00AE2AE6" w:rsidP="00737B18">
            <w:pPr>
              <w:rPr>
                <w:rFonts w:asciiTheme="minorHAnsi" w:hAnsiTheme="minorHAnsi"/>
              </w:rPr>
            </w:pPr>
            <w:r w:rsidRPr="008C7781">
              <w:rPr>
                <w:rFonts w:asciiTheme="minorHAnsi" w:hAnsiTheme="minorHAnsi"/>
              </w:rPr>
              <w:t>Ścieralność na tarczy Boehmego,                     w centymetrach, nie więcej niż</w:t>
            </w:r>
          </w:p>
        </w:tc>
        <w:tc>
          <w:tcPr>
            <w:tcW w:w="954" w:type="dxa"/>
            <w:tcBorders>
              <w:top w:val="single" w:sz="6" w:space="0" w:color="auto"/>
              <w:left w:val="single" w:sz="6" w:space="0" w:color="auto"/>
              <w:bottom w:val="single" w:sz="6" w:space="0" w:color="auto"/>
              <w:right w:val="single" w:sz="6" w:space="0" w:color="auto"/>
            </w:tcBorders>
          </w:tcPr>
          <w:p w:rsidR="00AE2AE6" w:rsidRPr="008C7781" w:rsidRDefault="00AE2AE6" w:rsidP="00737B18">
            <w:pPr>
              <w:spacing w:before="120"/>
              <w:jc w:val="center"/>
              <w:rPr>
                <w:rFonts w:asciiTheme="minorHAnsi" w:hAnsiTheme="minorHAnsi"/>
              </w:rPr>
            </w:pPr>
            <w:r w:rsidRPr="008C7781">
              <w:rPr>
                <w:rFonts w:asciiTheme="minorHAnsi" w:hAnsiTheme="minorHAnsi"/>
              </w:rPr>
              <w:t>0,2</w:t>
            </w:r>
          </w:p>
        </w:tc>
        <w:tc>
          <w:tcPr>
            <w:tcW w:w="955" w:type="dxa"/>
            <w:tcBorders>
              <w:top w:val="single" w:sz="6" w:space="0" w:color="auto"/>
              <w:left w:val="single" w:sz="6" w:space="0" w:color="auto"/>
              <w:bottom w:val="single" w:sz="6" w:space="0" w:color="auto"/>
              <w:right w:val="single" w:sz="6" w:space="0" w:color="auto"/>
            </w:tcBorders>
          </w:tcPr>
          <w:p w:rsidR="00AE2AE6" w:rsidRPr="008C7781" w:rsidRDefault="00AE2AE6" w:rsidP="00737B18">
            <w:pPr>
              <w:spacing w:before="120"/>
              <w:jc w:val="center"/>
              <w:rPr>
                <w:rFonts w:asciiTheme="minorHAnsi" w:hAnsiTheme="minorHAnsi"/>
              </w:rPr>
            </w:pPr>
            <w:r w:rsidRPr="008C7781">
              <w:rPr>
                <w:rFonts w:asciiTheme="minorHAnsi" w:hAnsiTheme="minorHAnsi"/>
              </w:rPr>
              <w:t>0,4</w:t>
            </w:r>
          </w:p>
        </w:tc>
        <w:tc>
          <w:tcPr>
            <w:tcW w:w="1704" w:type="dxa"/>
            <w:tcBorders>
              <w:top w:val="single" w:sz="6" w:space="0" w:color="auto"/>
              <w:left w:val="single" w:sz="6" w:space="0" w:color="auto"/>
              <w:bottom w:val="single" w:sz="6" w:space="0" w:color="auto"/>
              <w:right w:val="single" w:sz="6" w:space="0" w:color="auto"/>
            </w:tcBorders>
          </w:tcPr>
          <w:p w:rsidR="00AE2AE6" w:rsidRPr="008C7781" w:rsidRDefault="00AE2AE6" w:rsidP="00737B18">
            <w:pPr>
              <w:jc w:val="center"/>
              <w:rPr>
                <w:rFonts w:asciiTheme="minorHAnsi" w:hAnsiTheme="minorHAnsi"/>
              </w:rPr>
            </w:pPr>
            <w:r w:rsidRPr="008C7781">
              <w:rPr>
                <w:rFonts w:asciiTheme="minorHAnsi" w:hAnsiTheme="minorHAnsi"/>
              </w:rPr>
              <w:t>PN-B-04111</w:t>
            </w:r>
          </w:p>
          <w:p w:rsidR="00AE2AE6" w:rsidRPr="008C7781" w:rsidRDefault="00AE2AE6" w:rsidP="00737B18">
            <w:pPr>
              <w:jc w:val="center"/>
              <w:rPr>
                <w:rFonts w:asciiTheme="minorHAnsi" w:hAnsiTheme="minorHAnsi"/>
              </w:rPr>
            </w:pPr>
            <w:r w:rsidRPr="008C7781">
              <w:rPr>
                <w:rFonts w:asciiTheme="minorHAnsi" w:hAnsiTheme="minorHAnsi"/>
              </w:rPr>
              <w:t>[4]</w:t>
            </w:r>
          </w:p>
        </w:tc>
      </w:tr>
      <w:tr w:rsidR="00AE2AE6" w:rsidRPr="008C7781" w:rsidTr="00C3299C">
        <w:tc>
          <w:tcPr>
            <w:tcW w:w="496" w:type="dxa"/>
            <w:tcBorders>
              <w:top w:val="single" w:sz="6" w:space="0" w:color="auto"/>
              <w:left w:val="single" w:sz="6" w:space="0" w:color="auto"/>
              <w:bottom w:val="single" w:sz="6" w:space="0" w:color="auto"/>
              <w:right w:val="single" w:sz="6" w:space="0" w:color="auto"/>
            </w:tcBorders>
          </w:tcPr>
          <w:p w:rsidR="00AE2AE6" w:rsidRPr="008C7781" w:rsidRDefault="00AE2AE6" w:rsidP="00737B18">
            <w:pPr>
              <w:spacing w:before="120"/>
              <w:jc w:val="center"/>
              <w:rPr>
                <w:rFonts w:asciiTheme="minorHAnsi" w:hAnsiTheme="minorHAnsi"/>
              </w:rPr>
            </w:pPr>
            <w:r w:rsidRPr="008C7781">
              <w:rPr>
                <w:rFonts w:asciiTheme="minorHAnsi" w:hAnsiTheme="minorHAnsi"/>
              </w:rPr>
              <w:t>3</w:t>
            </w:r>
          </w:p>
        </w:tc>
        <w:tc>
          <w:tcPr>
            <w:tcW w:w="3402" w:type="dxa"/>
            <w:tcBorders>
              <w:top w:val="single" w:sz="6" w:space="0" w:color="auto"/>
              <w:left w:val="single" w:sz="6" w:space="0" w:color="auto"/>
              <w:bottom w:val="single" w:sz="6" w:space="0" w:color="auto"/>
              <w:right w:val="single" w:sz="6" w:space="0" w:color="auto"/>
            </w:tcBorders>
          </w:tcPr>
          <w:p w:rsidR="00AE2AE6" w:rsidRPr="008C7781" w:rsidRDefault="00AE2AE6" w:rsidP="00737B18">
            <w:pPr>
              <w:rPr>
                <w:rFonts w:asciiTheme="minorHAnsi" w:hAnsiTheme="minorHAnsi"/>
              </w:rPr>
            </w:pPr>
            <w:r w:rsidRPr="008C7781">
              <w:rPr>
                <w:rFonts w:asciiTheme="minorHAnsi" w:hAnsiTheme="minorHAnsi"/>
              </w:rPr>
              <w:t>Wytrzymałość na uderzenie (zwięzłość), liczba uderzeń, nie mniej niż</w:t>
            </w:r>
          </w:p>
        </w:tc>
        <w:tc>
          <w:tcPr>
            <w:tcW w:w="954" w:type="dxa"/>
            <w:tcBorders>
              <w:top w:val="single" w:sz="6" w:space="0" w:color="auto"/>
              <w:left w:val="single" w:sz="6" w:space="0" w:color="auto"/>
              <w:bottom w:val="single" w:sz="6" w:space="0" w:color="auto"/>
              <w:right w:val="single" w:sz="6" w:space="0" w:color="auto"/>
            </w:tcBorders>
          </w:tcPr>
          <w:p w:rsidR="00AE2AE6" w:rsidRPr="008C7781" w:rsidRDefault="00AE2AE6" w:rsidP="00737B18">
            <w:pPr>
              <w:spacing w:before="120"/>
              <w:jc w:val="center"/>
              <w:rPr>
                <w:rFonts w:asciiTheme="minorHAnsi" w:hAnsiTheme="minorHAnsi"/>
              </w:rPr>
            </w:pPr>
            <w:r w:rsidRPr="008C7781">
              <w:rPr>
                <w:rFonts w:asciiTheme="minorHAnsi" w:hAnsiTheme="minorHAnsi"/>
              </w:rPr>
              <w:t>12</w:t>
            </w:r>
          </w:p>
        </w:tc>
        <w:tc>
          <w:tcPr>
            <w:tcW w:w="955" w:type="dxa"/>
            <w:tcBorders>
              <w:top w:val="single" w:sz="6" w:space="0" w:color="auto"/>
              <w:left w:val="single" w:sz="6" w:space="0" w:color="auto"/>
              <w:bottom w:val="single" w:sz="6" w:space="0" w:color="auto"/>
              <w:right w:val="single" w:sz="6" w:space="0" w:color="auto"/>
            </w:tcBorders>
          </w:tcPr>
          <w:p w:rsidR="00AE2AE6" w:rsidRPr="008C7781" w:rsidRDefault="00AE2AE6" w:rsidP="00737B18">
            <w:pPr>
              <w:spacing w:before="120"/>
              <w:jc w:val="center"/>
              <w:rPr>
                <w:rFonts w:asciiTheme="minorHAnsi" w:hAnsiTheme="minorHAnsi"/>
              </w:rPr>
            </w:pPr>
            <w:r w:rsidRPr="008C7781">
              <w:rPr>
                <w:rFonts w:asciiTheme="minorHAnsi" w:hAnsiTheme="minorHAnsi"/>
              </w:rPr>
              <w:t>8</w:t>
            </w:r>
          </w:p>
        </w:tc>
        <w:tc>
          <w:tcPr>
            <w:tcW w:w="1704" w:type="dxa"/>
            <w:tcBorders>
              <w:top w:val="single" w:sz="6" w:space="0" w:color="auto"/>
              <w:left w:val="single" w:sz="6" w:space="0" w:color="auto"/>
              <w:bottom w:val="single" w:sz="6" w:space="0" w:color="auto"/>
              <w:right w:val="single" w:sz="6" w:space="0" w:color="auto"/>
            </w:tcBorders>
          </w:tcPr>
          <w:p w:rsidR="00AE2AE6" w:rsidRPr="008C7781" w:rsidRDefault="00AE2AE6" w:rsidP="00737B18">
            <w:pPr>
              <w:jc w:val="center"/>
              <w:rPr>
                <w:rFonts w:asciiTheme="minorHAnsi" w:hAnsiTheme="minorHAnsi"/>
              </w:rPr>
            </w:pPr>
            <w:r w:rsidRPr="008C7781">
              <w:rPr>
                <w:rFonts w:asciiTheme="minorHAnsi" w:hAnsiTheme="minorHAnsi"/>
              </w:rPr>
              <w:t>PN-B-04115</w:t>
            </w:r>
          </w:p>
          <w:p w:rsidR="00AE2AE6" w:rsidRPr="008C7781" w:rsidRDefault="00AE2AE6" w:rsidP="00737B18">
            <w:pPr>
              <w:jc w:val="center"/>
              <w:rPr>
                <w:rFonts w:asciiTheme="minorHAnsi" w:hAnsiTheme="minorHAnsi"/>
              </w:rPr>
            </w:pPr>
            <w:r w:rsidRPr="008C7781">
              <w:rPr>
                <w:rFonts w:asciiTheme="minorHAnsi" w:hAnsiTheme="minorHAnsi"/>
              </w:rPr>
              <w:t>[5]</w:t>
            </w:r>
          </w:p>
        </w:tc>
      </w:tr>
      <w:tr w:rsidR="00AE2AE6" w:rsidRPr="008C7781" w:rsidTr="00C3299C">
        <w:tc>
          <w:tcPr>
            <w:tcW w:w="496" w:type="dxa"/>
            <w:tcBorders>
              <w:top w:val="single" w:sz="6" w:space="0" w:color="auto"/>
              <w:left w:val="single" w:sz="6" w:space="0" w:color="auto"/>
              <w:bottom w:val="single" w:sz="6" w:space="0" w:color="auto"/>
              <w:right w:val="single" w:sz="6" w:space="0" w:color="auto"/>
            </w:tcBorders>
          </w:tcPr>
          <w:p w:rsidR="00AE2AE6" w:rsidRPr="008C7781" w:rsidRDefault="00AE2AE6" w:rsidP="00737B18">
            <w:pPr>
              <w:spacing w:before="60" w:after="60"/>
              <w:jc w:val="center"/>
              <w:rPr>
                <w:rFonts w:asciiTheme="minorHAnsi" w:hAnsiTheme="minorHAnsi"/>
              </w:rPr>
            </w:pPr>
            <w:r w:rsidRPr="008C7781">
              <w:rPr>
                <w:rFonts w:asciiTheme="minorHAnsi" w:hAnsiTheme="minorHAnsi"/>
              </w:rPr>
              <w:t>4</w:t>
            </w:r>
          </w:p>
        </w:tc>
        <w:tc>
          <w:tcPr>
            <w:tcW w:w="3402" w:type="dxa"/>
            <w:tcBorders>
              <w:top w:val="single" w:sz="6" w:space="0" w:color="auto"/>
              <w:left w:val="single" w:sz="6" w:space="0" w:color="auto"/>
              <w:bottom w:val="single" w:sz="6" w:space="0" w:color="auto"/>
              <w:right w:val="single" w:sz="6" w:space="0" w:color="auto"/>
            </w:tcBorders>
          </w:tcPr>
          <w:p w:rsidR="00AE2AE6" w:rsidRPr="008C7781" w:rsidRDefault="00AE2AE6" w:rsidP="00737B18">
            <w:pPr>
              <w:spacing w:before="60" w:after="60"/>
              <w:rPr>
                <w:rFonts w:asciiTheme="minorHAnsi" w:hAnsiTheme="minorHAnsi"/>
              </w:rPr>
            </w:pPr>
            <w:r w:rsidRPr="008C7781">
              <w:rPr>
                <w:rFonts w:asciiTheme="minorHAnsi" w:hAnsiTheme="minorHAnsi"/>
              </w:rPr>
              <w:t>Nasiąkliwość wodą, w %, nie więcej niż</w:t>
            </w:r>
          </w:p>
        </w:tc>
        <w:tc>
          <w:tcPr>
            <w:tcW w:w="954" w:type="dxa"/>
            <w:tcBorders>
              <w:top w:val="single" w:sz="6" w:space="0" w:color="auto"/>
              <w:left w:val="single" w:sz="6" w:space="0" w:color="auto"/>
              <w:bottom w:val="single" w:sz="6" w:space="0" w:color="auto"/>
              <w:right w:val="single" w:sz="6" w:space="0" w:color="auto"/>
            </w:tcBorders>
          </w:tcPr>
          <w:p w:rsidR="00AE2AE6" w:rsidRPr="008C7781" w:rsidRDefault="00AE2AE6" w:rsidP="00737B18">
            <w:pPr>
              <w:spacing w:before="60" w:after="60"/>
              <w:jc w:val="center"/>
              <w:rPr>
                <w:rFonts w:asciiTheme="minorHAnsi" w:hAnsiTheme="minorHAnsi"/>
              </w:rPr>
            </w:pPr>
            <w:r w:rsidRPr="008C7781">
              <w:rPr>
                <w:rFonts w:asciiTheme="minorHAnsi" w:hAnsiTheme="minorHAnsi"/>
              </w:rPr>
              <w:t>0,5</w:t>
            </w:r>
          </w:p>
        </w:tc>
        <w:tc>
          <w:tcPr>
            <w:tcW w:w="955" w:type="dxa"/>
            <w:tcBorders>
              <w:top w:val="single" w:sz="6" w:space="0" w:color="auto"/>
              <w:left w:val="single" w:sz="6" w:space="0" w:color="auto"/>
              <w:bottom w:val="single" w:sz="6" w:space="0" w:color="auto"/>
              <w:right w:val="single" w:sz="6" w:space="0" w:color="auto"/>
            </w:tcBorders>
          </w:tcPr>
          <w:p w:rsidR="00AE2AE6" w:rsidRPr="008C7781" w:rsidRDefault="00AE2AE6" w:rsidP="00737B18">
            <w:pPr>
              <w:spacing w:before="60" w:after="60"/>
              <w:jc w:val="center"/>
              <w:rPr>
                <w:rFonts w:asciiTheme="minorHAnsi" w:hAnsiTheme="minorHAnsi"/>
              </w:rPr>
            </w:pPr>
            <w:r w:rsidRPr="008C7781">
              <w:rPr>
                <w:rFonts w:asciiTheme="minorHAnsi" w:hAnsiTheme="minorHAnsi"/>
              </w:rPr>
              <w:t>1,0</w:t>
            </w:r>
          </w:p>
        </w:tc>
        <w:tc>
          <w:tcPr>
            <w:tcW w:w="1704" w:type="dxa"/>
            <w:tcBorders>
              <w:top w:val="single" w:sz="6" w:space="0" w:color="auto"/>
              <w:left w:val="single" w:sz="6" w:space="0" w:color="auto"/>
              <w:bottom w:val="single" w:sz="6" w:space="0" w:color="auto"/>
              <w:right w:val="single" w:sz="6" w:space="0" w:color="auto"/>
            </w:tcBorders>
          </w:tcPr>
          <w:p w:rsidR="00AE2AE6" w:rsidRPr="008C7781" w:rsidRDefault="00AE2AE6" w:rsidP="00737B18">
            <w:pPr>
              <w:spacing w:before="60" w:after="60"/>
              <w:jc w:val="center"/>
              <w:rPr>
                <w:rFonts w:asciiTheme="minorHAnsi" w:hAnsiTheme="minorHAnsi"/>
              </w:rPr>
            </w:pPr>
            <w:r w:rsidRPr="008C7781">
              <w:rPr>
                <w:rFonts w:asciiTheme="minorHAnsi" w:hAnsiTheme="minorHAnsi"/>
              </w:rPr>
              <w:t>PN-B-04101 [1]</w:t>
            </w:r>
          </w:p>
        </w:tc>
      </w:tr>
      <w:tr w:rsidR="00AE2AE6" w:rsidRPr="008C7781" w:rsidTr="00C3299C">
        <w:tc>
          <w:tcPr>
            <w:tcW w:w="496" w:type="dxa"/>
            <w:tcBorders>
              <w:top w:val="single" w:sz="6" w:space="0" w:color="auto"/>
              <w:left w:val="single" w:sz="6" w:space="0" w:color="auto"/>
              <w:bottom w:val="single" w:sz="6" w:space="0" w:color="auto"/>
              <w:right w:val="single" w:sz="6" w:space="0" w:color="auto"/>
            </w:tcBorders>
          </w:tcPr>
          <w:p w:rsidR="00AE2AE6" w:rsidRPr="008C7781" w:rsidRDefault="00AE2AE6" w:rsidP="00737B18">
            <w:pPr>
              <w:spacing w:before="60" w:after="60"/>
              <w:jc w:val="center"/>
              <w:rPr>
                <w:rFonts w:asciiTheme="minorHAnsi" w:hAnsiTheme="minorHAnsi"/>
              </w:rPr>
            </w:pPr>
            <w:r w:rsidRPr="008C7781">
              <w:rPr>
                <w:rFonts w:asciiTheme="minorHAnsi" w:hAnsiTheme="minorHAnsi"/>
              </w:rPr>
              <w:t>5</w:t>
            </w:r>
          </w:p>
        </w:tc>
        <w:tc>
          <w:tcPr>
            <w:tcW w:w="3402" w:type="dxa"/>
            <w:tcBorders>
              <w:top w:val="single" w:sz="6" w:space="0" w:color="auto"/>
              <w:left w:val="single" w:sz="6" w:space="0" w:color="auto"/>
              <w:bottom w:val="single" w:sz="6" w:space="0" w:color="auto"/>
              <w:right w:val="single" w:sz="6" w:space="0" w:color="auto"/>
            </w:tcBorders>
          </w:tcPr>
          <w:p w:rsidR="00AE2AE6" w:rsidRPr="008C7781" w:rsidRDefault="00AE2AE6" w:rsidP="00737B18">
            <w:pPr>
              <w:spacing w:before="60" w:after="60"/>
              <w:rPr>
                <w:rFonts w:asciiTheme="minorHAnsi" w:hAnsiTheme="minorHAnsi"/>
              </w:rPr>
            </w:pPr>
            <w:r w:rsidRPr="008C7781">
              <w:rPr>
                <w:rFonts w:asciiTheme="minorHAnsi" w:hAnsiTheme="minorHAnsi"/>
              </w:rPr>
              <w:t>Odporność na zamrażanie</w:t>
            </w:r>
          </w:p>
        </w:tc>
        <w:tc>
          <w:tcPr>
            <w:tcW w:w="954" w:type="dxa"/>
            <w:tcBorders>
              <w:top w:val="single" w:sz="6" w:space="0" w:color="auto"/>
              <w:left w:val="single" w:sz="6" w:space="0" w:color="auto"/>
              <w:bottom w:val="single" w:sz="6" w:space="0" w:color="auto"/>
              <w:right w:val="single" w:sz="6" w:space="0" w:color="auto"/>
            </w:tcBorders>
          </w:tcPr>
          <w:p w:rsidR="00AE2AE6" w:rsidRPr="008C7781" w:rsidRDefault="00AE2AE6" w:rsidP="00737B18">
            <w:pPr>
              <w:spacing w:before="100" w:after="60"/>
              <w:jc w:val="center"/>
              <w:rPr>
                <w:rFonts w:asciiTheme="minorHAnsi" w:hAnsiTheme="minorHAnsi"/>
              </w:rPr>
            </w:pPr>
            <w:r w:rsidRPr="008C7781">
              <w:rPr>
                <w:rFonts w:asciiTheme="minorHAnsi" w:hAnsiTheme="minorHAnsi"/>
              </w:rPr>
              <w:t xml:space="preserve">nie bada się </w:t>
            </w:r>
          </w:p>
        </w:tc>
        <w:tc>
          <w:tcPr>
            <w:tcW w:w="955" w:type="dxa"/>
            <w:tcBorders>
              <w:top w:val="single" w:sz="6" w:space="0" w:color="auto"/>
              <w:left w:val="single" w:sz="6" w:space="0" w:color="auto"/>
              <w:bottom w:val="single" w:sz="6" w:space="0" w:color="auto"/>
              <w:right w:val="single" w:sz="6" w:space="0" w:color="auto"/>
            </w:tcBorders>
          </w:tcPr>
          <w:p w:rsidR="00AE2AE6" w:rsidRPr="008C7781" w:rsidRDefault="00AE2AE6" w:rsidP="00737B18">
            <w:pPr>
              <w:spacing w:before="60" w:after="60"/>
              <w:jc w:val="center"/>
              <w:rPr>
                <w:rFonts w:asciiTheme="minorHAnsi" w:hAnsiTheme="minorHAnsi"/>
              </w:rPr>
            </w:pPr>
            <w:r w:rsidRPr="008C7781">
              <w:rPr>
                <w:rFonts w:asciiTheme="minorHAnsi" w:hAnsiTheme="minorHAnsi"/>
              </w:rPr>
              <w:t>całkowita</w:t>
            </w:r>
          </w:p>
        </w:tc>
        <w:tc>
          <w:tcPr>
            <w:tcW w:w="1704" w:type="dxa"/>
            <w:tcBorders>
              <w:top w:val="single" w:sz="6" w:space="0" w:color="auto"/>
              <w:left w:val="single" w:sz="6" w:space="0" w:color="auto"/>
              <w:bottom w:val="single" w:sz="6" w:space="0" w:color="auto"/>
              <w:right w:val="single" w:sz="6" w:space="0" w:color="auto"/>
            </w:tcBorders>
          </w:tcPr>
          <w:p w:rsidR="00AE2AE6" w:rsidRPr="008C7781" w:rsidRDefault="00AE2AE6" w:rsidP="00737B18">
            <w:pPr>
              <w:spacing w:before="60" w:after="60"/>
              <w:jc w:val="center"/>
              <w:rPr>
                <w:rFonts w:asciiTheme="minorHAnsi" w:hAnsiTheme="minorHAnsi"/>
              </w:rPr>
            </w:pPr>
            <w:r w:rsidRPr="008C7781">
              <w:rPr>
                <w:rFonts w:asciiTheme="minorHAnsi" w:hAnsiTheme="minorHAnsi"/>
              </w:rPr>
              <w:t>PN-B-04102 [2]</w:t>
            </w:r>
          </w:p>
        </w:tc>
      </w:tr>
    </w:tbl>
    <w:p w:rsidR="00AE2AE6" w:rsidRPr="008C7781" w:rsidRDefault="00AE2AE6" w:rsidP="00AE2AE6">
      <w:pPr>
        <w:rPr>
          <w:rFonts w:asciiTheme="minorHAnsi" w:hAnsiTheme="minorHAnsi"/>
        </w:rPr>
      </w:pPr>
    </w:p>
    <w:p w:rsidR="00AE2AE6" w:rsidRPr="008C7781" w:rsidRDefault="00AE2AE6" w:rsidP="00AE2AE6">
      <w:pPr>
        <w:rPr>
          <w:rFonts w:asciiTheme="minorHAnsi" w:hAnsiTheme="minorHAnsi"/>
        </w:rPr>
      </w:pPr>
      <w:r w:rsidRPr="008C7781">
        <w:rPr>
          <w:rFonts w:asciiTheme="minorHAnsi" w:hAnsiTheme="minorHAnsi"/>
          <w:b/>
        </w:rPr>
        <w:t>2.2.3.</w:t>
      </w:r>
      <w:r w:rsidRPr="008C7781">
        <w:rPr>
          <w:rFonts w:asciiTheme="minorHAnsi" w:hAnsiTheme="minorHAnsi"/>
        </w:rPr>
        <w:t xml:space="preserve"> Kształt i wymiary kostki regularnej</w:t>
      </w:r>
    </w:p>
    <w:p w:rsidR="00AE2AE6" w:rsidRPr="008C7781" w:rsidRDefault="00AE2AE6" w:rsidP="00AE2AE6">
      <w:pPr>
        <w:rPr>
          <w:rFonts w:asciiTheme="minorHAnsi" w:hAnsiTheme="minorHAnsi"/>
        </w:rPr>
      </w:pPr>
      <w:r w:rsidRPr="008C7781">
        <w:rPr>
          <w:rFonts w:asciiTheme="minorHAnsi" w:hAnsiTheme="minorHAnsi"/>
        </w:rPr>
        <w:tab/>
        <w:t>Kostka regularna normalna powinna mieć kształt sześcianu.</w:t>
      </w:r>
    </w:p>
    <w:p w:rsidR="00AE2AE6" w:rsidRPr="008C7781" w:rsidRDefault="00AE2AE6" w:rsidP="00AE2AE6">
      <w:pPr>
        <w:rPr>
          <w:rFonts w:asciiTheme="minorHAnsi" w:hAnsiTheme="minorHAnsi"/>
        </w:rPr>
      </w:pPr>
      <w:r w:rsidRPr="008C7781">
        <w:rPr>
          <w:rFonts w:asciiTheme="minorHAnsi" w:hAnsiTheme="minorHAnsi"/>
        </w:rPr>
        <w:tab/>
        <w:t>Kostka regularna łącznikowa powinna mieć kształt prostopadłościanu.</w:t>
      </w:r>
    </w:p>
    <w:p w:rsidR="00AE2AE6" w:rsidRPr="008C7781" w:rsidRDefault="00AE2AE6" w:rsidP="00AE2AE6">
      <w:pPr>
        <w:rPr>
          <w:rFonts w:asciiTheme="minorHAnsi" w:hAnsiTheme="minorHAnsi"/>
        </w:rPr>
      </w:pPr>
      <w:r w:rsidRPr="008C7781">
        <w:rPr>
          <w:rFonts w:asciiTheme="minorHAnsi" w:hAnsiTheme="minorHAnsi"/>
        </w:rPr>
        <w:tab/>
        <w:t>Kształt kostki regularnej normalnej i łącznikowej przedstawia rysunek 1.</w:t>
      </w:r>
    </w:p>
    <w:p w:rsidR="00AE2AE6" w:rsidRPr="008C7781" w:rsidRDefault="00AE2AE6" w:rsidP="00AE2AE6">
      <w:pPr>
        <w:rPr>
          <w:rFonts w:asciiTheme="minorHAnsi" w:hAnsiTheme="minorHAnsi"/>
        </w:rPr>
      </w:pPr>
    </w:p>
    <w:p w:rsidR="00AE2AE6" w:rsidRPr="008C7781" w:rsidRDefault="00AE2AE6" w:rsidP="00AE2AE6">
      <w:pPr>
        <w:rPr>
          <w:rFonts w:asciiTheme="minorHAnsi" w:hAnsiTheme="minorHAnsi"/>
        </w:rPr>
      </w:pPr>
    </w:p>
    <w:p w:rsidR="00AE2AE6" w:rsidRPr="008C7781" w:rsidRDefault="00AE2AE6" w:rsidP="00AE2AE6">
      <w:pPr>
        <w:rPr>
          <w:rFonts w:asciiTheme="minorHAnsi" w:hAnsiTheme="minorHAnsi"/>
        </w:rPr>
      </w:pPr>
    </w:p>
    <w:p w:rsidR="00AE2AE6" w:rsidRPr="008C7781" w:rsidRDefault="00AE2AE6" w:rsidP="00AE2AE6">
      <w:pPr>
        <w:framePr w:hSpace="141" w:wrap="around" w:vAnchor="text" w:hAnchor="page" w:x="2729" w:y="363"/>
        <w:rPr>
          <w:rFonts w:asciiTheme="minorHAnsi" w:hAnsiTheme="minorHAnsi"/>
        </w:rPr>
      </w:pPr>
      <w:r>
        <w:rPr>
          <w:rFonts w:asciiTheme="minorHAnsi" w:hAnsiTheme="minorHAnsi"/>
          <w:noProof/>
        </w:rPr>
        <w:drawing>
          <wp:inline distT="0" distB="0" distL="0" distR="0">
            <wp:extent cx="1699260" cy="1578610"/>
            <wp:effectExtent l="19050" t="0" r="0" b="0"/>
            <wp:docPr id="7" name="Obraz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46" cstate="print"/>
                    <a:srcRect/>
                    <a:stretch>
                      <a:fillRect/>
                    </a:stretch>
                  </pic:blipFill>
                  <pic:spPr bwMode="auto">
                    <a:xfrm>
                      <a:off x="0" y="0"/>
                      <a:ext cx="1699260" cy="1578610"/>
                    </a:xfrm>
                    <a:prstGeom prst="rect">
                      <a:avLst/>
                    </a:prstGeom>
                    <a:noFill/>
                    <a:ln w="9525">
                      <a:noFill/>
                      <a:miter lim="800000"/>
                      <a:headEnd/>
                      <a:tailEnd/>
                    </a:ln>
                  </pic:spPr>
                </pic:pic>
              </a:graphicData>
            </a:graphic>
          </wp:inline>
        </w:drawing>
      </w:r>
    </w:p>
    <w:p w:rsidR="00AE2AE6" w:rsidRPr="008C7781" w:rsidRDefault="00AE2AE6" w:rsidP="00AE2AE6">
      <w:pPr>
        <w:framePr w:hSpace="141" w:wrap="around" w:vAnchor="text" w:hAnchor="page" w:x="5755" w:y="338"/>
        <w:rPr>
          <w:rFonts w:asciiTheme="minorHAnsi" w:hAnsiTheme="minorHAnsi"/>
        </w:rPr>
      </w:pPr>
      <w:r>
        <w:rPr>
          <w:rFonts w:asciiTheme="minorHAnsi" w:hAnsiTheme="minorHAnsi"/>
          <w:noProof/>
        </w:rPr>
        <w:drawing>
          <wp:inline distT="0" distB="0" distL="0" distR="0">
            <wp:extent cx="2225675" cy="1612900"/>
            <wp:effectExtent l="19050" t="0" r="3175" b="0"/>
            <wp:docPr id="8" name="Obraz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a:blip r:embed="rId47" cstate="print"/>
                    <a:srcRect/>
                    <a:stretch>
                      <a:fillRect/>
                    </a:stretch>
                  </pic:blipFill>
                  <pic:spPr bwMode="auto">
                    <a:xfrm>
                      <a:off x="0" y="0"/>
                      <a:ext cx="2225675" cy="1612900"/>
                    </a:xfrm>
                    <a:prstGeom prst="rect">
                      <a:avLst/>
                    </a:prstGeom>
                    <a:noFill/>
                    <a:ln w="9525">
                      <a:noFill/>
                      <a:miter lim="800000"/>
                      <a:headEnd/>
                      <a:tailEnd/>
                    </a:ln>
                  </pic:spPr>
                </pic:pic>
              </a:graphicData>
            </a:graphic>
          </wp:inline>
        </w:drawing>
      </w:r>
    </w:p>
    <w:p w:rsidR="00AE2AE6" w:rsidRPr="008C7781" w:rsidRDefault="00AE2AE6" w:rsidP="00AE2AE6">
      <w:pPr>
        <w:rPr>
          <w:rFonts w:asciiTheme="minorHAnsi" w:hAnsiTheme="minorHAnsi"/>
        </w:rPr>
      </w:pPr>
      <w:r w:rsidRPr="008C7781">
        <w:rPr>
          <w:rFonts w:asciiTheme="minorHAnsi" w:hAnsiTheme="minorHAnsi"/>
        </w:rPr>
        <w:tab/>
      </w:r>
      <w:r w:rsidRPr="008C7781">
        <w:rPr>
          <w:rFonts w:asciiTheme="minorHAnsi" w:hAnsiTheme="minorHAnsi"/>
        </w:rPr>
        <w:tab/>
        <w:t>A - normalna</w:t>
      </w:r>
      <w:r w:rsidRPr="008C7781">
        <w:rPr>
          <w:rFonts w:asciiTheme="minorHAnsi" w:hAnsiTheme="minorHAnsi"/>
        </w:rPr>
        <w:tab/>
      </w:r>
      <w:r w:rsidRPr="008C7781">
        <w:rPr>
          <w:rFonts w:asciiTheme="minorHAnsi" w:hAnsiTheme="minorHAnsi"/>
        </w:rPr>
        <w:tab/>
      </w:r>
      <w:r w:rsidRPr="008C7781">
        <w:rPr>
          <w:rFonts w:asciiTheme="minorHAnsi" w:hAnsiTheme="minorHAnsi"/>
        </w:rPr>
        <w:tab/>
      </w:r>
      <w:r w:rsidRPr="008C7781">
        <w:rPr>
          <w:rFonts w:asciiTheme="minorHAnsi" w:hAnsiTheme="minorHAnsi"/>
        </w:rPr>
        <w:tab/>
        <w:t>B - łącznikowa</w:t>
      </w:r>
    </w:p>
    <w:p w:rsidR="00AE2AE6" w:rsidRPr="008C7781" w:rsidRDefault="00AE2AE6" w:rsidP="00AE2AE6">
      <w:pPr>
        <w:rPr>
          <w:rFonts w:asciiTheme="minorHAnsi" w:hAnsiTheme="minorHAnsi"/>
        </w:rPr>
      </w:pPr>
    </w:p>
    <w:p w:rsidR="00AE2AE6" w:rsidRPr="008C7781" w:rsidRDefault="00AE2AE6" w:rsidP="00AE2AE6">
      <w:pPr>
        <w:rPr>
          <w:rFonts w:asciiTheme="minorHAnsi" w:hAnsiTheme="minorHAnsi"/>
        </w:rPr>
      </w:pPr>
      <w:r w:rsidRPr="008C7781">
        <w:rPr>
          <w:rFonts w:asciiTheme="minorHAnsi" w:hAnsiTheme="minorHAnsi"/>
          <w:b/>
        </w:rPr>
        <w:t>Rysunek 1.</w:t>
      </w:r>
      <w:r w:rsidRPr="008C7781">
        <w:rPr>
          <w:rFonts w:asciiTheme="minorHAnsi" w:hAnsiTheme="minorHAnsi"/>
        </w:rPr>
        <w:t xml:space="preserve"> Kształt kostki regularnej normalnej i łącznikowej</w:t>
      </w:r>
    </w:p>
    <w:p w:rsidR="00AE2AE6" w:rsidRPr="008C7781" w:rsidRDefault="00AE2AE6" w:rsidP="00AE2AE6">
      <w:pPr>
        <w:rPr>
          <w:rFonts w:asciiTheme="minorHAnsi" w:hAnsiTheme="minorHAnsi"/>
        </w:rPr>
      </w:pPr>
      <w:r w:rsidRPr="008C7781">
        <w:rPr>
          <w:rFonts w:asciiTheme="minorHAnsi" w:hAnsiTheme="minorHAnsi"/>
        </w:rPr>
        <w:tab/>
        <w:t>Wymagania dotyczące wymiarów kostki regularnej normalnej i łącznikowej przedstawia tablica 2.</w:t>
      </w:r>
    </w:p>
    <w:p w:rsidR="00AE2AE6" w:rsidRPr="008C7781" w:rsidRDefault="00AE2AE6" w:rsidP="00AE2AE6">
      <w:pPr>
        <w:rPr>
          <w:rFonts w:asciiTheme="minorHAnsi" w:hAnsiTheme="minorHAnsi"/>
          <w:b/>
        </w:rPr>
      </w:pPr>
    </w:p>
    <w:p w:rsidR="00AE2AE6" w:rsidRPr="008C7781" w:rsidRDefault="00AE2AE6" w:rsidP="00C3299C">
      <w:pPr>
        <w:ind w:left="709"/>
        <w:rPr>
          <w:rFonts w:asciiTheme="minorHAnsi" w:hAnsiTheme="minorHAnsi"/>
        </w:rPr>
      </w:pPr>
      <w:r w:rsidRPr="008C7781">
        <w:rPr>
          <w:rFonts w:asciiTheme="minorHAnsi" w:hAnsiTheme="minorHAnsi"/>
          <w:b/>
        </w:rPr>
        <w:t>Tablica 2.</w:t>
      </w:r>
      <w:r w:rsidRPr="008C7781">
        <w:rPr>
          <w:rFonts w:asciiTheme="minorHAnsi" w:hAnsiTheme="minorHAnsi"/>
        </w:rPr>
        <w:t xml:space="preserve"> Wymiary kostki regularnej normalnej i łącznikowej oraz dopuszczalne odchyłki</w:t>
      </w:r>
    </w:p>
    <w:tbl>
      <w:tblPr>
        <w:tblW w:w="0" w:type="auto"/>
        <w:tblInd w:w="779" w:type="dxa"/>
        <w:tblLayout w:type="fixed"/>
        <w:tblCellMar>
          <w:left w:w="70" w:type="dxa"/>
          <w:right w:w="70" w:type="dxa"/>
        </w:tblCellMar>
        <w:tblLook w:val="0000"/>
      </w:tblPr>
      <w:tblGrid>
        <w:gridCol w:w="2905"/>
        <w:gridCol w:w="567"/>
        <w:gridCol w:w="567"/>
        <w:gridCol w:w="567"/>
        <w:gridCol w:w="545"/>
        <w:gridCol w:w="22"/>
        <w:gridCol w:w="709"/>
        <w:gridCol w:w="811"/>
        <w:gridCol w:w="890"/>
      </w:tblGrid>
      <w:tr w:rsidR="00AE2AE6" w:rsidRPr="008C7781" w:rsidTr="00C3299C">
        <w:tc>
          <w:tcPr>
            <w:tcW w:w="2905" w:type="dxa"/>
            <w:tcBorders>
              <w:top w:val="single" w:sz="6" w:space="0" w:color="auto"/>
              <w:left w:val="single" w:sz="6" w:space="0" w:color="auto"/>
            </w:tcBorders>
          </w:tcPr>
          <w:p w:rsidR="00AE2AE6" w:rsidRPr="008C7781" w:rsidRDefault="00AE2AE6" w:rsidP="00737B18">
            <w:pPr>
              <w:jc w:val="center"/>
              <w:rPr>
                <w:rFonts w:asciiTheme="minorHAnsi" w:hAnsiTheme="minorHAnsi"/>
              </w:rPr>
            </w:pPr>
          </w:p>
          <w:p w:rsidR="00AE2AE6" w:rsidRPr="008C7781" w:rsidRDefault="00AE2AE6" w:rsidP="00737B18">
            <w:pPr>
              <w:jc w:val="center"/>
              <w:rPr>
                <w:rFonts w:asciiTheme="minorHAnsi" w:hAnsiTheme="minorHAnsi"/>
              </w:rPr>
            </w:pPr>
            <w:r w:rsidRPr="008C7781">
              <w:rPr>
                <w:rFonts w:asciiTheme="minorHAnsi" w:hAnsiTheme="minorHAnsi"/>
              </w:rPr>
              <w:t>Wyszczególnienie</w:t>
            </w:r>
          </w:p>
        </w:tc>
        <w:tc>
          <w:tcPr>
            <w:tcW w:w="2268" w:type="dxa"/>
            <w:gridSpan w:val="5"/>
            <w:tcBorders>
              <w:top w:val="single" w:sz="6" w:space="0" w:color="auto"/>
              <w:left w:val="single" w:sz="6" w:space="0" w:color="auto"/>
              <w:bottom w:val="single" w:sz="6" w:space="0" w:color="auto"/>
              <w:right w:val="single" w:sz="6" w:space="0" w:color="auto"/>
            </w:tcBorders>
          </w:tcPr>
          <w:p w:rsidR="00AE2AE6" w:rsidRPr="008C7781" w:rsidRDefault="00AE2AE6" w:rsidP="00737B18">
            <w:pPr>
              <w:jc w:val="center"/>
              <w:rPr>
                <w:rFonts w:asciiTheme="minorHAnsi" w:hAnsiTheme="minorHAnsi"/>
              </w:rPr>
            </w:pPr>
            <w:r w:rsidRPr="008C7781">
              <w:rPr>
                <w:rFonts w:asciiTheme="minorHAnsi" w:hAnsiTheme="minorHAnsi"/>
              </w:rPr>
              <w:t>Wielkość</w:t>
            </w:r>
          </w:p>
          <w:p w:rsidR="00AE2AE6" w:rsidRPr="008C7781" w:rsidRDefault="00AE2AE6" w:rsidP="00737B18">
            <w:pPr>
              <w:jc w:val="center"/>
              <w:rPr>
                <w:rFonts w:asciiTheme="minorHAnsi" w:hAnsiTheme="minorHAnsi"/>
              </w:rPr>
            </w:pPr>
            <w:r w:rsidRPr="008C7781">
              <w:rPr>
                <w:rFonts w:asciiTheme="minorHAnsi" w:hAnsiTheme="minorHAnsi"/>
              </w:rPr>
              <w:t>(cm)</w:t>
            </w:r>
          </w:p>
        </w:tc>
        <w:tc>
          <w:tcPr>
            <w:tcW w:w="2410" w:type="dxa"/>
            <w:gridSpan w:val="3"/>
            <w:tcBorders>
              <w:top w:val="single" w:sz="6" w:space="0" w:color="auto"/>
              <w:left w:val="single" w:sz="6" w:space="0" w:color="auto"/>
              <w:bottom w:val="single" w:sz="6" w:space="0" w:color="auto"/>
              <w:right w:val="single" w:sz="6" w:space="0" w:color="auto"/>
            </w:tcBorders>
          </w:tcPr>
          <w:p w:rsidR="00AE2AE6" w:rsidRPr="008C7781" w:rsidRDefault="00AE2AE6" w:rsidP="00737B18">
            <w:pPr>
              <w:jc w:val="center"/>
              <w:rPr>
                <w:rFonts w:asciiTheme="minorHAnsi" w:hAnsiTheme="minorHAnsi"/>
              </w:rPr>
            </w:pPr>
            <w:r w:rsidRPr="008C7781">
              <w:rPr>
                <w:rFonts w:asciiTheme="minorHAnsi" w:hAnsiTheme="minorHAnsi"/>
              </w:rPr>
              <w:t>Dopuszczalne odchyłki dla gatunku   (cm)</w:t>
            </w:r>
          </w:p>
        </w:tc>
      </w:tr>
      <w:tr w:rsidR="00AE2AE6" w:rsidRPr="008C7781" w:rsidTr="00C3299C">
        <w:tc>
          <w:tcPr>
            <w:tcW w:w="2905" w:type="dxa"/>
            <w:tcBorders>
              <w:left w:val="single" w:sz="6" w:space="0" w:color="auto"/>
              <w:bottom w:val="double" w:sz="6" w:space="0" w:color="auto"/>
            </w:tcBorders>
          </w:tcPr>
          <w:p w:rsidR="00AE2AE6" w:rsidRPr="008C7781" w:rsidRDefault="00AE2AE6" w:rsidP="00737B18">
            <w:pPr>
              <w:rPr>
                <w:rFonts w:asciiTheme="minorHAnsi" w:hAnsiTheme="minorHAnsi"/>
              </w:rPr>
            </w:pPr>
          </w:p>
        </w:tc>
        <w:tc>
          <w:tcPr>
            <w:tcW w:w="567" w:type="dxa"/>
            <w:tcBorders>
              <w:top w:val="single" w:sz="6" w:space="0" w:color="auto"/>
              <w:left w:val="single" w:sz="6" w:space="0" w:color="auto"/>
              <w:bottom w:val="double" w:sz="6" w:space="0" w:color="auto"/>
              <w:right w:val="single" w:sz="6" w:space="0" w:color="auto"/>
            </w:tcBorders>
          </w:tcPr>
          <w:p w:rsidR="00AE2AE6" w:rsidRPr="008C7781" w:rsidRDefault="00AE2AE6" w:rsidP="00737B18">
            <w:pPr>
              <w:jc w:val="center"/>
              <w:rPr>
                <w:rFonts w:asciiTheme="minorHAnsi" w:hAnsiTheme="minorHAnsi"/>
              </w:rPr>
            </w:pPr>
            <w:r w:rsidRPr="008C7781">
              <w:rPr>
                <w:rFonts w:asciiTheme="minorHAnsi" w:hAnsiTheme="minorHAnsi"/>
              </w:rPr>
              <w:t>12</w:t>
            </w:r>
          </w:p>
        </w:tc>
        <w:tc>
          <w:tcPr>
            <w:tcW w:w="567" w:type="dxa"/>
            <w:tcBorders>
              <w:top w:val="single" w:sz="6" w:space="0" w:color="auto"/>
              <w:left w:val="single" w:sz="6" w:space="0" w:color="auto"/>
              <w:bottom w:val="double" w:sz="6" w:space="0" w:color="auto"/>
              <w:right w:val="single" w:sz="6" w:space="0" w:color="auto"/>
            </w:tcBorders>
          </w:tcPr>
          <w:p w:rsidR="00AE2AE6" w:rsidRPr="008C7781" w:rsidRDefault="00AE2AE6" w:rsidP="00737B18">
            <w:pPr>
              <w:jc w:val="center"/>
              <w:rPr>
                <w:rFonts w:asciiTheme="minorHAnsi" w:hAnsiTheme="minorHAnsi"/>
              </w:rPr>
            </w:pPr>
            <w:r w:rsidRPr="008C7781">
              <w:rPr>
                <w:rFonts w:asciiTheme="minorHAnsi" w:hAnsiTheme="minorHAnsi"/>
              </w:rPr>
              <w:t>14</w:t>
            </w:r>
          </w:p>
        </w:tc>
        <w:tc>
          <w:tcPr>
            <w:tcW w:w="567" w:type="dxa"/>
            <w:tcBorders>
              <w:top w:val="single" w:sz="6" w:space="0" w:color="auto"/>
              <w:left w:val="single" w:sz="6" w:space="0" w:color="auto"/>
              <w:bottom w:val="double" w:sz="6" w:space="0" w:color="auto"/>
              <w:right w:val="single" w:sz="6" w:space="0" w:color="auto"/>
            </w:tcBorders>
          </w:tcPr>
          <w:p w:rsidR="00AE2AE6" w:rsidRPr="008C7781" w:rsidRDefault="00AE2AE6" w:rsidP="00737B18">
            <w:pPr>
              <w:jc w:val="center"/>
              <w:rPr>
                <w:rFonts w:asciiTheme="minorHAnsi" w:hAnsiTheme="minorHAnsi"/>
              </w:rPr>
            </w:pPr>
            <w:r w:rsidRPr="008C7781">
              <w:rPr>
                <w:rFonts w:asciiTheme="minorHAnsi" w:hAnsiTheme="minorHAnsi"/>
              </w:rPr>
              <w:t>16</w:t>
            </w:r>
          </w:p>
        </w:tc>
        <w:tc>
          <w:tcPr>
            <w:tcW w:w="545" w:type="dxa"/>
            <w:tcBorders>
              <w:top w:val="single" w:sz="6" w:space="0" w:color="auto"/>
              <w:left w:val="single" w:sz="6" w:space="0" w:color="auto"/>
              <w:bottom w:val="double" w:sz="6" w:space="0" w:color="auto"/>
              <w:right w:val="single" w:sz="6" w:space="0" w:color="auto"/>
            </w:tcBorders>
          </w:tcPr>
          <w:p w:rsidR="00AE2AE6" w:rsidRPr="008C7781" w:rsidRDefault="00AE2AE6" w:rsidP="00737B18">
            <w:pPr>
              <w:jc w:val="center"/>
              <w:rPr>
                <w:rFonts w:asciiTheme="minorHAnsi" w:hAnsiTheme="minorHAnsi"/>
              </w:rPr>
            </w:pPr>
            <w:r w:rsidRPr="008C7781">
              <w:rPr>
                <w:rFonts w:asciiTheme="minorHAnsi" w:hAnsiTheme="minorHAnsi"/>
              </w:rPr>
              <w:t>18</w:t>
            </w:r>
          </w:p>
        </w:tc>
        <w:tc>
          <w:tcPr>
            <w:tcW w:w="731" w:type="dxa"/>
            <w:gridSpan w:val="2"/>
            <w:tcBorders>
              <w:top w:val="single" w:sz="6" w:space="0" w:color="auto"/>
              <w:left w:val="single" w:sz="6" w:space="0" w:color="auto"/>
              <w:bottom w:val="double" w:sz="6" w:space="0" w:color="auto"/>
              <w:right w:val="single" w:sz="6" w:space="0" w:color="auto"/>
            </w:tcBorders>
          </w:tcPr>
          <w:p w:rsidR="00AE2AE6" w:rsidRPr="008C7781" w:rsidRDefault="00AE2AE6" w:rsidP="00737B18">
            <w:pPr>
              <w:jc w:val="center"/>
              <w:rPr>
                <w:rFonts w:asciiTheme="minorHAnsi" w:hAnsiTheme="minorHAnsi"/>
              </w:rPr>
            </w:pPr>
            <w:r w:rsidRPr="008C7781">
              <w:rPr>
                <w:rFonts w:asciiTheme="minorHAnsi" w:hAnsiTheme="minorHAnsi"/>
              </w:rPr>
              <w:t>1</w:t>
            </w:r>
          </w:p>
        </w:tc>
        <w:tc>
          <w:tcPr>
            <w:tcW w:w="811" w:type="dxa"/>
            <w:tcBorders>
              <w:top w:val="single" w:sz="6" w:space="0" w:color="auto"/>
              <w:left w:val="single" w:sz="6" w:space="0" w:color="auto"/>
              <w:bottom w:val="double" w:sz="6" w:space="0" w:color="auto"/>
              <w:right w:val="single" w:sz="6" w:space="0" w:color="auto"/>
            </w:tcBorders>
          </w:tcPr>
          <w:p w:rsidR="00AE2AE6" w:rsidRPr="008C7781" w:rsidRDefault="00AE2AE6" w:rsidP="00737B18">
            <w:pPr>
              <w:jc w:val="center"/>
              <w:rPr>
                <w:rFonts w:asciiTheme="minorHAnsi" w:hAnsiTheme="minorHAnsi"/>
              </w:rPr>
            </w:pPr>
            <w:r w:rsidRPr="008C7781">
              <w:rPr>
                <w:rFonts w:asciiTheme="minorHAnsi" w:hAnsiTheme="minorHAnsi"/>
              </w:rPr>
              <w:t>2</w:t>
            </w:r>
          </w:p>
        </w:tc>
        <w:tc>
          <w:tcPr>
            <w:tcW w:w="890" w:type="dxa"/>
            <w:tcBorders>
              <w:top w:val="single" w:sz="6" w:space="0" w:color="auto"/>
              <w:left w:val="single" w:sz="6" w:space="0" w:color="auto"/>
              <w:bottom w:val="double" w:sz="6" w:space="0" w:color="auto"/>
              <w:right w:val="single" w:sz="6" w:space="0" w:color="auto"/>
            </w:tcBorders>
          </w:tcPr>
          <w:p w:rsidR="00AE2AE6" w:rsidRPr="008C7781" w:rsidRDefault="00AE2AE6" w:rsidP="00737B18">
            <w:pPr>
              <w:jc w:val="center"/>
              <w:rPr>
                <w:rFonts w:asciiTheme="minorHAnsi" w:hAnsiTheme="minorHAnsi"/>
              </w:rPr>
            </w:pPr>
            <w:r w:rsidRPr="008C7781">
              <w:rPr>
                <w:rFonts w:asciiTheme="minorHAnsi" w:hAnsiTheme="minorHAnsi"/>
              </w:rPr>
              <w:t>3</w:t>
            </w:r>
          </w:p>
        </w:tc>
      </w:tr>
      <w:tr w:rsidR="00AE2AE6" w:rsidRPr="008C7781" w:rsidTr="00C3299C">
        <w:tc>
          <w:tcPr>
            <w:tcW w:w="2905" w:type="dxa"/>
            <w:tcBorders>
              <w:left w:val="single" w:sz="6" w:space="0" w:color="auto"/>
              <w:bottom w:val="single" w:sz="6" w:space="0" w:color="auto"/>
              <w:right w:val="single" w:sz="6" w:space="0" w:color="auto"/>
            </w:tcBorders>
          </w:tcPr>
          <w:p w:rsidR="00AE2AE6" w:rsidRPr="008C7781" w:rsidRDefault="00AE2AE6" w:rsidP="00737B18">
            <w:pPr>
              <w:spacing w:before="60" w:after="60"/>
              <w:rPr>
                <w:rFonts w:asciiTheme="minorHAnsi" w:hAnsiTheme="minorHAnsi"/>
              </w:rPr>
            </w:pPr>
            <w:r w:rsidRPr="008C7781">
              <w:rPr>
                <w:rFonts w:asciiTheme="minorHAnsi" w:hAnsiTheme="minorHAnsi"/>
              </w:rPr>
              <w:t>Wymiar a</w:t>
            </w:r>
          </w:p>
        </w:tc>
        <w:tc>
          <w:tcPr>
            <w:tcW w:w="567" w:type="dxa"/>
            <w:tcBorders>
              <w:left w:val="single" w:sz="6" w:space="0" w:color="auto"/>
              <w:bottom w:val="single" w:sz="6" w:space="0" w:color="auto"/>
              <w:right w:val="single" w:sz="6" w:space="0" w:color="auto"/>
            </w:tcBorders>
          </w:tcPr>
          <w:p w:rsidR="00AE2AE6" w:rsidRPr="008C7781" w:rsidRDefault="00AE2AE6" w:rsidP="00737B18">
            <w:pPr>
              <w:spacing w:before="60" w:after="60"/>
              <w:jc w:val="center"/>
              <w:rPr>
                <w:rFonts w:asciiTheme="minorHAnsi" w:hAnsiTheme="minorHAnsi"/>
              </w:rPr>
            </w:pPr>
            <w:r w:rsidRPr="008C7781">
              <w:rPr>
                <w:rFonts w:asciiTheme="minorHAnsi" w:hAnsiTheme="minorHAnsi"/>
              </w:rPr>
              <w:t>12</w:t>
            </w:r>
          </w:p>
        </w:tc>
        <w:tc>
          <w:tcPr>
            <w:tcW w:w="567" w:type="dxa"/>
            <w:tcBorders>
              <w:left w:val="single" w:sz="6" w:space="0" w:color="auto"/>
              <w:bottom w:val="single" w:sz="6" w:space="0" w:color="auto"/>
              <w:right w:val="single" w:sz="6" w:space="0" w:color="auto"/>
            </w:tcBorders>
          </w:tcPr>
          <w:p w:rsidR="00AE2AE6" w:rsidRPr="008C7781" w:rsidRDefault="00AE2AE6" w:rsidP="00737B18">
            <w:pPr>
              <w:spacing w:before="60" w:after="60"/>
              <w:jc w:val="center"/>
              <w:rPr>
                <w:rFonts w:asciiTheme="minorHAnsi" w:hAnsiTheme="minorHAnsi"/>
              </w:rPr>
            </w:pPr>
            <w:r w:rsidRPr="008C7781">
              <w:rPr>
                <w:rFonts w:asciiTheme="minorHAnsi" w:hAnsiTheme="minorHAnsi"/>
              </w:rPr>
              <w:t>14</w:t>
            </w:r>
          </w:p>
        </w:tc>
        <w:tc>
          <w:tcPr>
            <w:tcW w:w="567" w:type="dxa"/>
            <w:tcBorders>
              <w:left w:val="single" w:sz="6" w:space="0" w:color="auto"/>
              <w:bottom w:val="single" w:sz="6" w:space="0" w:color="auto"/>
              <w:right w:val="single" w:sz="6" w:space="0" w:color="auto"/>
            </w:tcBorders>
          </w:tcPr>
          <w:p w:rsidR="00AE2AE6" w:rsidRPr="008C7781" w:rsidRDefault="00AE2AE6" w:rsidP="00737B18">
            <w:pPr>
              <w:spacing w:before="60" w:after="60"/>
              <w:jc w:val="center"/>
              <w:rPr>
                <w:rFonts w:asciiTheme="minorHAnsi" w:hAnsiTheme="minorHAnsi"/>
              </w:rPr>
            </w:pPr>
            <w:r w:rsidRPr="008C7781">
              <w:rPr>
                <w:rFonts w:asciiTheme="minorHAnsi" w:hAnsiTheme="minorHAnsi"/>
              </w:rPr>
              <w:t>16</w:t>
            </w:r>
          </w:p>
        </w:tc>
        <w:tc>
          <w:tcPr>
            <w:tcW w:w="545" w:type="dxa"/>
            <w:tcBorders>
              <w:left w:val="single" w:sz="6" w:space="0" w:color="auto"/>
              <w:bottom w:val="single" w:sz="6" w:space="0" w:color="auto"/>
              <w:right w:val="single" w:sz="6" w:space="0" w:color="auto"/>
            </w:tcBorders>
          </w:tcPr>
          <w:p w:rsidR="00AE2AE6" w:rsidRPr="008C7781" w:rsidRDefault="00AE2AE6" w:rsidP="00737B18">
            <w:pPr>
              <w:spacing w:before="60" w:after="60"/>
              <w:jc w:val="center"/>
              <w:rPr>
                <w:rFonts w:asciiTheme="minorHAnsi" w:hAnsiTheme="minorHAnsi"/>
              </w:rPr>
            </w:pPr>
            <w:r w:rsidRPr="008C7781">
              <w:rPr>
                <w:rFonts w:asciiTheme="minorHAnsi" w:hAnsiTheme="minorHAnsi"/>
              </w:rPr>
              <w:t>18</w:t>
            </w:r>
          </w:p>
        </w:tc>
        <w:tc>
          <w:tcPr>
            <w:tcW w:w="731" w:type="dxa"/>
            <w:gridSpan w:val="2"/>
            <w:tcBorders>
              <w:left w:val="single" w:sz="6" w:space="0" w:color="auto"/>
              <w:bottom w:val="single" w:sz="6" w:space="0" w:color="auto"/>
              <w:right w:val="single" w:sz="6" w:space="0" w:color="auto"/>
            </w:tcBorders>
          </w:tcPr>
          <w:p w:rsidR="00AE2AE6" w:rsidRPr="008C7781" w:rsidRDefault="00AE2AE6" w:rsidP="00737B18">
            <w:pPr>
              <w:spacing w:before="60" w:after="60"/>
              <w:jc w:val="center"/>
              <w:rPr>
                <w:rFonts w:asciiTheme="minorHAnsi" w:hAnsiTheme="minorHAnsi"/>
              </w:rPr>
            </w:pPr>
            <w:r w:rsidRPr="008C7781">
              <w:rPr>
                <w:rFonts w:asciiTheme="minorHAnsi" w:hAnsiTheme="minorHAnsi"/>
              </w:rPr>
              <w:sym w:font="Symbol" w:char="F0B1"/>
            </w:r>
            <w:r w:rsidRPr="008C7781">
              <w:rPr>
                <w:rFonts w:asciiTheme="minorHAnsi" w:hAnsiTheme="minorHAnsi"/>
              </w:rPr>
              <w:t xml:space="preserve"> 0,5</w:t>
            </w:r>
          </w:p>
        </w:tc>
        <w:tc>
          <w:tcPr>
            <w:tcW w:w="811" w:type="dxa"/>
            <w:tcBorders>
              <w:left w:val="nil"/>
              <w:bottom w:val="single" w:sz="6" w:space="0" w:color="auto"/>
              <w:right w:val="single" w:sz="6" w:space="0" w:color="auto"/>
            </w:tcBorders>
          </w:tcPr>
          <w:p w:rsidR="00AE2AE6" w:rsidRPr="008C7781" w:rsidRDefault="00AE2AE6" w:rsidP="00737B18">
            <w:pPr>
              <w:spacing w:before="60" w:after="60"/>
              <w:jc w:val="center"/>
              <w:rPr>
                <w:rFonts w:asciiTheme="minorHAnsi" w:hAnsiTheme="minorHAnsi"/>
              </w:rPr>
            </w:pPr>
            <w:r w:rsidRPr="008C7781">
              <w:rPr>
                <w:rFonts w:asciiTheme="minorHAnsi" w:hAnsiTheme="minorHAnsi"/>
              </w:rPr>
              <w:sym w:font="Symbol" w:char="F0B1"/>
            </w:r>
            <w:r w:rsidRPr="008C7781">
              <w:rPr>
                <w:rFonts w:asciiTheme="minorHAnsi" w:hAnsiTheme="minorHAnsi"/>
              </w:rPr>
              <w:t xml:space="preserve"> 0,7</w:t>
            </w:r>
          </w:p>
        </w:tc>
        <w:tc>
          <w:tcPr>
            <w:tcW w:w="890" w:type="dxa"/>
            <w:tcBorders>
              <w:left w:val="single" w:sz="6" w:space="0" w:color="auto"/>
              <w:bottom w:val="single" w:sz="6" w:space="0" w:color="auto"/>
              <w:right w:val="single" w:sz="6" w:space="0" w:color="auto"/>
            </w:tcBorders>
          </w:tcPr>
          <w:p w:rsidR="00AE2AE6" w:rsidRPr="008C7781" w:rsidRDefault="00AE2AE6" w:rsidP="00737B18">
            <w:pPr>
              <w:spacing w:before="60" w:after="60"/>
              <w:jc w:val="center"/>
              <w:rPr>
                <w:rFonts w:asciiTheme="minorHAnsi" w:hAnsiTheme="minorHAnsi"/>
              </w:rPr>
            </w:pPr>
            <w:r w:rsidRPr="008C7781">
              <w:rPr>
                <w:rFonts w:asciiTheme="minorHAnsi" w:hAnsiTheme="minorHAnsi"/>
              </w:rPr>
              <w:sym w:font="Symbol" w:char="F0B1"/>
            </w:r>
            <w:r w:rsidRPr="008C7781">
              <w:rPr>
                <w:rFonts w:asciiTheme="minorHAnsi" w:hAnsiTheme="minorHAnsi"/>
              </w:rPr>
              <w:t xml:space="preserve"> 1,0</w:t>
            </w:r>
          </w:p>
        </w:tc>
      </w:tr>
      <w:tr w:rsidR="00AE2AE6" w:rsidRPr="008C7781" w:rsidTr="00C3299C">
        <w:tc>
          <w:tcPr>
            <w:tcW w:w="2905" w:type="dxa"/>
            <w:tcBorders>
              <w:top w:val="single" w:sz="6" w:space="0" w:color="auto"/>
              <w:left w:val="single" w:sz="6" w:space="0" w:color="auto"/>
              <w:bottom w:val="single" w:sz="6" w:space="0" w:color="auto"/>
              <w:right w:val="single" w:sz="6" w:space="0" w:color="auto"/>
            </w:tcBorders>
          </w:tcPr>
          <w:p w:rsidR="00AE2AE6" w:rsidRPr="008C7781" w:rsidRDefault="00AE2AE6" w:rsidP="00737B18">
            <w:pPr>
              <w:spacing w:before="60" w:after="60"/>
              <w:rPr>
                <w:rFonts w:asciiTheme="minorHAnsi" w:hAnsiTheme="minorHAnsi"/>
              </w:rPr>
            </w:pPr>
            <w:r w:rsidRPr="008C7781">
              <w:rPr>
                <w:rFonts w:asciiTheme="minorHAnsi" w:hAnsiTheme="minorHAnsi"/>
              </w:rPr>
              <w:t>Wymiar b</w:t>
            </w:r>
          </w:p>
        </w:tc>
        <w:tc>
          <w:tcPr>
            <w:tcW w:w="567" w:type="dxa"/>
            <w:tcBorders>
              <w:top w:val="single" w:sz="6" w:space="0" w:color="auto"/>
              <w:left w:val="single" w:sz="6" w:space="0" w:color="auto"/>
              <w:bottom w:val="single" w:sz="6" w:space="0" w:color="auto"/>
              <w:right w:val="single" w:sz="6" w:space="0" w:color="auto"/>
            </w:tcBorders>
          </w:tcPr>
          <w:p w:rsidR="00AE2AE6" w:rsidRPr="008C7781" w:rsidRDefault="00AE2AE6" w:rsidP="00737B18">
            <w:pPr>
              <w:spacing w:before="60" w:after="60"/>
              <w:jc w:val="center"/>
              <w:rPr>
                <w:rFonts w:asciiTheme="minorHAnsi" w:hAnsiTheme="minorHAnsi"/>
              </w:rPr>
            </w:pPr>
            <w:r w:rsidRPr="008C7781">
              <w:rPr>
                <w:rFonts w:asciiTheme="minorHAnsi" w:hAnsiTheme="minorHAnsi"/>
              </w:rPr>
              <w:t>18</w:t>
            </w:r>
          </w:p>
        </w:tc>
        <w:tc>
          <w:tcPr>
            <w:tcW w:w="567" w:type="dxa"/>
            <w:tcBorders>
              <w:top w:val="single" w:sz="6" w:space="0" w:color="auto"/>
              <w:left w:val="single" w:sz="6" w:space="0" w:color="auto"/>
              <w:bottom w:val="single" w:sz="6" w:space="0" w:color="auto"/>
              <w:right w:val="single" w:sz="6" w:space="0" w:color="auto"/>
            </w:tcBorders>
          </w:tcPr>
          <w:p w:rsidR="00AE2AE6" w:rsidRPr="008C7781" w:rsidRDefault="00AE2AE6" w:rsidP="00737B18">
            <w:pPr>
              <w:spacing w:before="60" w:after="60"/>
              <w:jc w:val="center"/>
              <w:rPr>
                <w:rFonts w:asciiTheme="minorHAnsi" w:hAnsiTheme="minorHAnsi"/>
              </w:rPr>
            </w:pPr>
            <w:r w:rsidRPr="008C7781">
              <w:rPr>
                <w:rFonts w:asciiTheme="minorHAnsi" w:hAnsiTheme="minorHAnsi"/>
              </w:rPr>
              <w:t>21</w:t>
            </w:r>
          </w:p>
        </w:tc>
        <w:tc>
          <w:tcPr>
            <w:tcW w:w="567" w:type="dxa"/>
            <w:tcBorders>
              <w:top w:val="single" w:sz="6" w:space="0" w:color="auto"/>
              <w:left w:val="single" w:sz="6" w:space="0" w:color="auto"/>
              <w:bottom w:val="single" w:sz="6" w:space="0" w:color="auto"/>
              <w:right w:val="single" w:sz="6" w:space="0" w:color="auto"/>
            </w:tcBorders>
          </w:tcPr>
          <w:p w:rsidR="00AE2AE6" w:rsidRPr="008C7781" w:rsidRDefault="00AE2AE6" w:rsidP="00737B18">
            <w:pPr>
              <w:spacing w:before="60" w:after="60"/>
              <w:jc w:val="center"/>
              <w:rPr>
                <w:rFonts w:asciiTheme="minorHAnsi" w:hAnsiTheme="minorHAnsi"/>
              </w:rPr>
            </w:pPr>
            <w:r w:rsidRPr="008C7781">
              <w:rPr>
                <w:rFonts w:asciiTheme="minorHAnsi" w:hAnsiTheme="minorHAnsi"/>
              </w:rPr>
              <w:t>24</w:t>
            </w:r>
          </w:p>
        </w:tc>
        <w:tc>
          <w:tcPr>
            <w:tcW w:w="545" w:type="dxa"/>
            <w:tcBorders>
              <w:top w:val="single" w:sz="6" w:space="0" w:color="auto"/>
              <w:left w:val="single" w:sz="6" w:space="0" w:color="auto"/>
              <w:bottom w:val="single" w:sz="6" w:space="0" w:color="auto"/>
              <w:right w:val="single" w:sz="6" w:space="0" w:color="auto"/>
            </w:tcBorders>
          </w:tcPr>
          <w:p w:rsidR="00AE2AE6" w:rsidRPr="008C7781" w:rsidRDefault="00AE2AE6" w:rsidP="00737B18">
            <w:pPr>
              <w:spacing w:before="60" w:after="60"/>
              <w:jc w:val="center"/>
              <w:rPr>
                <w:rFonts w:asciiTheme="minorHAnsi" w:hAnsiTheme="minorHAnsi"/>
              </w:rPr>
            </w:pPr>
            <w:r w:rsidRPr="008C7781">
              <w:rPr>
                <w:rFonts w:asciiTheme="minorHAnsi" w:hAnsiTheme="minorHAnsi"/>
              </w:rPr>
              <w:t>27</w:t>
            </w:r>
          </w:p>
        </w:tc>
        <w:tc>
          <w:tcPr>
            <w:tcW w:w="731" w:type="dxa"/>
            <w:gridSpan w:val="2"/>
            <w:tcBorders>
              <w:top w:val="single" w:sz="6" w:space="0" w:color="auto"/>
              <w:left w:val="single" w:sz="6" w:space="0" w:color="auto"/>
              <w:bottom w:val="single" w:sz="6" w:space="0" w:color="auto"/>
              <w:right w:val="single" w:sz="6" w:space="0" w:color="auto"/>
            </w:tcBorders>
          </w:tcPr>
          <w:p w:rsidR="00AE2AE6" w:rsidRPr="008C7781" w:rsidRDefault="00AE2AE6" w:rsidP="00737B18">
            <w:pPr>
              <w:spacing w:before="60" w:after="60"/>
              <w:jc w:val="center"/>
              <w:rPr>
                <w:rFonts w:asciiTheme="minorHAnsi" w:hAnsiTheme="minorHAnsi"/>
              </w:rPr>
            </w:pPr>
            <w:r w:rsidRPr="008C7781">
              <w:rPr>
                <w:rFonts w:asciiTheme="minorHAnsi" w:hAnsiTheme="minorHAnsi"/>
              </w:rPr>
              <w:sym w:font="Symbol" w:char="F0B1"/>
            </w:r>
            <w:r w:rsidRPr="008C7781">
              <w:rPr>
                <w:rFonts w:asciiTheme="minorHAnsi" w:hAnsiTheme="minorHAnsi"/>
              </w:rPr>
              <w:t xml:space="preserve"> 0,7</w:t>
            </w:r>
          </w:p>
        </w:tc>
        <w:tc>
          <w:tcPr>
            <w:tcW w:w="811" w:type="dxa"/>
            <w:tcBorders>
              <w:top w:val="single" w:sz="6" w:space="0" w:color="auto"/>
              <w:left w:val="nil"/>
              <w:bottom w:val="single" w:sz="6" w:space="0" w:color="auto"/>
              <w:right w:val="single" w:sz="6" w:space="0" w:color="auto"/>
            </w:tcBorders>
          </w:tcPr>
          <w:p w:rsidR="00AE2AE6" w:rsidRPr="008C7781" w:rsidRDefault="00AE2AE6" w:rsidP="00737B18">
            <w:pPr>
              <w:spacing w:before="60" w:after="60"/>
              <w:jc w:val="center"/>
              <w:rPr>
                <w:rFonts w:asciiTheme="minorHAnsi" w:hAnsiTheme="minorHAnsi"/>
              </w:rPr>
            </w:pPr>
            <w:r w:rsidRPr="008C7781">
              <w:rPr>
                <w:rFonts w:asciiTheme="minorHAnsi" w:hAnsiTheme="minorHAnsi"/>
              </w:rPr>
              <w:sym w:font="Symbol" w:char="F0B1"/>
            </w:r>
            <w:r w:rsidRPr="008C7781">
              <w:rPr>
                <w:rFonts w:asciiTheme="minorHAnsi" w:hAnsiTheme="minorHAnsi"/>
              </w:rPr>
              <w:t xml:space="preserve"> 1,0</w:t>
            </w:r>
          </w:p>
        </w:tc>
        <w:tc>
          <w:tcPr>
            <w:tcW w:w="890" w:type="dxa"/>
            <w:tcBorders>
              <w:top w:val="single" w:sz="6" w:space="0" w:color="auto"/>
              <w:left w:val="single" w:sz="6" w:space="0" w:color="auto"/>
              <w:bottom w:val="single" w:sz="6" w:space="0" w:color="auto"/>
              <w:right w:val="single" w:sz="6" w:space="0" w:color="auto"/>
            </w:tcBorders>
          </w:tcPr>
          <w:p w:rsidR="00AE2AE6" w:rsidRPr="008C7781" w:rsidRDefault="00AE2AE6" w:rsidP="00737B18">
            <w:pPr>
              <w:spacing w:before="60" w:after="60"/>
              <w:jc w:val="center"/>
              <w:rPr>
                <w:rFonts w:asciiTheme="minorHAnsi" w:hAnsiTheme="minorHAnsi"/>
              </w:rPr>
            </w:pPr>
            <w:r w:rsidRPr="008C7781">
              <w:rPr>
                <w:rFonts w:asciiTheme="minorHAnsi" w:hAnsiTheme="minorHAnsi"/>
              </w:rPr>
              <w:sym w:font="Symbol" w:char="F0B1"/>
            </w:r>
            <w:r w:rsidRPr="008C7781">
              <w:rPr>
                <w:rFonts w:asciiTheme="minorHAnsi" w:hAnsiTheme="minorHAnsi"/>
              </w:rPr>
              <w:t xml:space="preserve"> 1,2</w:t>
            </w:r>
          </w:p>
        </w:tc>
      </w:tr>
      <w:tr w:rsidR="00AE2AE6" w:rsidRPr="008C7781" w:rsidTr="00C3299C">
        <w:tc>
          <w:tcPr>
            <w:tcW w:w="2905" w:type="dxa"/>
            <w:tcBorders>
              <w:top w:val="single" w:sz="6" w:space="0" w:color="auto"/>
              <w:left w:val="single" w:sz="6" w:space="0" w:color="auto"/>
              <w:bottom w:val="single" w:sz="6" w:space="0" w:color="auto"/>
              <w:right w:val="single" w:sz="6" w:space="0" w:color="auto"/>
            </w:tcBorders>
          </w:tcPr>
          <w:p w:rsidR="00AE2AE6" w:rsidRPr="008C7781" w:rsidRDefault="00AE2AE6" w:rsidP="00737B18">
            <w:pPr>
              <w:rPr>
                <w:rFonts w:asciiTheme="minorHAnsi" w:hAnsiTheme="minorHAnsi"/>
              </w:rPr>
            </w:pPr>
            <w:r w:rsidRPr="008C7781">
              <w:rPr>
                <w:rFonts w:asciiTheme="minorHAnsi" w:hAnsiTheme="minorHAnsi"/>
              </w:rPr>
              <w:t>Stosunek pola powierzchni dolnej (stopki) do górnej (czoła), nie mniejszy niż</w:t>
            </w:r>
          </w:p>
        </w:tc>
        <w:tc>
          <w:tcPr>
            <w:tcW w:w="567" w:type="dxa"/>
            <w:tcBorders>
              <w:top w:val="single" w:sz="6" w:space="0" w:color="auto"/>
              <w:left w:val="single" w:sz="6" w:space="0" w:color="auto"/>
              <w:bottom w:val="single" w:sz="6" w:space="0" w:color="auto"/>
              <w:right w:val="single" w:sz="6" w:space="0" w:color="auto"/>
            </w:tcBorders>
          </w:tcPr>
          <w:p w:rsidR="00AE2AE6" w:rsidRPr="008C7781" w:rsidRDefault="00AE2AE6" w:rsidP="00737B18">
            <w:pPr>
              <w:jc w:val="center"/>
              <w:rPr>
                <w:rFonts w:asciiTheme="minorHAnsi" w:hAnsiTheme="minorHAnsi"/>
              </w:rPr>
            </w:pPr>
          </w:p>
          <w:p w:rsidR="00AE2AE6" w:rsidRPr="008C7781" w:rsidRDefault="00AE2AE6" w:rsidP="00737B18">
            <w:pPr>
              <w:jc w:val="center"/>
              <w:rPr>
                <w:rFonts w:asciiTheme="minorHAnsi" w:hAnsiTheme="minorHAnsi"/>
              </w:rPr>
            </w:pPr>
            <w:r w:rsidRPr="008C7781">
              <w:rPr>
                <w:rFonts w:asciiTheme="minorHAnsi" w:hAnsiTheme="minorHAnsi"/>
              </w:rPr>
              <w:t>-</w:t>
            </w:r>
          </w:p>
        </w:tc>
        <w:tc>
          <w:tcPr>
            <w:tcW w:w="567" w:type="dxa"/>
            <w:tcBorders>
              <w:top w:val="single" w:sz="6" w:space="0" w:color="auto"/>
              <w:left w:val="single" w:sz="6" w:space="0" w:color="auto"/>
              <w:bottom w:val="single" w:sz="6" w:space="0" w:color="auto"/>
              <w:right w:val="single" w:sz="6" w:space="0" w:color="auto"/>
            </w:tcBorders>
          </w:tcPr>
          <w:p w:rsidR="00AE2AE6" w:rsidRPr="008C7781" w:rsidRDefault="00AE2AE6" w:rsidP="00737B18">
            <w:pPr>
              <w:jc w:val="center"/>
              <w:rPr>
                <w:rFonts w:asciiTheme="minorHAnsi" w:hAnsiTheme="minorHAnsi"/>
              </w:rPr>
            </w:pPr>
          </w:p>
          <w:p w:rsidR="00AE2AE6" w:rsidRPr="008C7781" w:rsidRDefault="00AE2AE6" w:rsidP="00737B18">
            <w:pPr>
              <w:jc w:val="center"/>
              <w:rPr>
                <w:rFonts w:asciiTheme="minorHAnsi" w:hAnsiTheme="minorHAnsi"/>
              </w:rPr>
            </w:pPr>
            <w:r w:rsidRPr="008C7781">
              <w:rPr>
                <w:rFonts w:asciiTheme="minorHAnsi" w:hAnsiTheme="minorHAnsi"/>
              </w:rPr>
              <w:t>-</w:t>
            </w:r>
          </w:p>
        </w:tc>
        <w:tc>
          <w:tcPr>
            <w:tcW w:w="567" w:type="dxa"/>
            <w:tcBorders>
              <w:top w:val="single" w:sz="6" w:space="0" w:color="auto"/>
              <w:left w:val="single" w:sz="6" w:space="0" w:color="auto"/>
              <w:bottom w:val="single" w:sz="6" w:space="0" w:color="auto"/>
              <w:right w:val="single" w:sz="6" w:space="0" w:color="auto"/>
            </w:tcBorders>
          </w:tcPr>
          <w:p w:rsidR="00AE2AE6" w:rsidRPr="008C7781" w:rsidRDefault="00AE2AE6" w:rsidP="00737B18">
            <w:pPr>
              <w:jc w:val="center"/>
              <w:rPr>
                <w:rFonts w:asciiTheme="minorHAnsi" w:hAnsiTheme="minorHAnsi"/>
              </w:rPr>
            </w:pPr>
          </w:p>
          <w:p w:rsidR="00AE2AE6" w:rsidRPr="008C7781" w:rsidRDefault="00AE2AE6" w:rsidP="00737B18">
            <w:pPr>
              <w:jc w:val="center"/>
              <w:rPr>
                <w:rFonts w:asciiTheme="minorHAnsi" w:hAnsiTheme="minorHAnsi"/>
              </w:rPr>
            </w:pPr>
            <w:r w:rsidRPr="008C7781">
              <w:rPr>
                <w:rFonts w:asciiTheme="minorHAnsi" w:hAnsiTheme="minorHAnsi"/>
              </w:rPr>
              <w:t>-</w:t>
            </w:r>
          </w:p>
        </w:tc>
        <w:tc>
          <w:tcPr>
            <w:tcW w:w="545" w:type="dxa"/>
            <w:tcBorders>
              <w:top w:val="single" w:sz="6" w:space="0" w:color="auto"/>
              <w:left w:val="single" w:sz="6" w:space="0" w:color="auto"/>
              <w:bottom w:val="single" w:sz="6" w:space="0" w:color="auto"/>
              <w:right w:val="single" w:sz="6" w:space="0" w:color="auto"/>
            </w:tcBorders>
          </w:tcPr>
          <w:p w:rsidR="00AE2AE6" w:rsidRPr="008C7781" w:rsidRDefault="00AE2AE6" w:rsidP="00737B18">
            <w:pPr>
              <w:jc w:val="center"/>
              <w:rPr>
                <w:rFonts w:asciiTheme="minorHAnsi" w:hAnsiTheme="minorHAnsi"/>
              </w:rPr>
            </w:pPr>
          </w:p>
          <w:p w:rsidR="00AE2AE6" w:rsidRPr="008C7781" w:rsidRDefault="00AE2AE6" w:rsidP="00737B18">
            <w:pPr>
              <w:jc w:val="center"/>
              <w:rPr>
                <w:rFonts w:asciiTheme="minorHAnsi" w:hAnsiTheme="minorHAnsi"/>
              </w:rPr>
            </w:pPr>
            <w:r w:rsidRPr="008C7781">
              <w:rPr>
                <w:rFonts w:asciiTheme="minorHAnsi" w:hAnsiTheme="minorHAnsi"/>
              </w:rPr>
              <w:t>-</w:t>
            </w:r>
          </w:p>
        </w:tc>
        <w:tc>
          <w:tcPr>
            <w:tcW w:w="731" w:type="dxa"/>
            <w:gridSpan w:val="2"/>
            <w:tcBorders>
              <w:top w:val="single" w:sz="6" w:space="0" w:color="auto"/>
              <w:left w:val="single" w:sz="6" w:space="0" w:color="auto"/>
              <w:bottom w:val="single" w:sz="6" w:space="0" w:color="auto"/>
              <w:right w:val="single" w:sz="6" w:space="0" w:color="auto"/>
            </w:tcBorders>
          </w:tcPr>
          <w:p w:rsidR="00AE2AE6" w:rsidRPr="008C7781" w:rsidRDefault="00AE2AE6" w:rsidP="00737B18">
            <w:pPr>
              <w:jc w:val="center"/>
              <w:rPr>
                <w:rFonts w:asciiTheme="minorHAnsi" w:hAnsiTheme="minorHAnsi"/>
              </w:rPr>
            </w:pPr>
          </w:p>
          <w:p w:rsidR="00AE2AE6" w:rsidRPr="008C7781" w:rsidRDefault="00AE2AE6" w:rsidP="00737B18">
            <w:pPr>
              <w:jc w:val="center"/>
              <w:rPr>
                <w:rFonts w:asciiTheme="minorHAnsi" w:hAnsiTheme="minorHAnsi"/>
              </w:rPr>
            </w:pPr>
            <w:r w:rsidRPr="008C7781">
              <w:rPr>
                <w:rFonts w:asciiTheme="minorHAnsi" w:hAnsiTheme="minorHAnsi"/>
              </w:rPr>
              <w:t>1,0</w:t>
            </w:r>
          </w:p>
        </w:tc>
        <w:tc>
          <w:tcPr>
            <w:tcW w:w="811" w:type="dxa"/>
            <w:tcBorders>
              <w:top w:val="single" w:sz="6" w:space="0" w:color="auto"/>
              <w:left w:val="nil"/>
              <w:bottom w:val="single" w:sz="6" w:space="0" w:color="auto"/>
              <w:right w:val="single" w:sz="6" w:space="0" w:color="auto"/>
            </w:tcBorders>
          </w:tcPr>
          <w:p w:rsidR="00AE2AE6" w:rsidRPr="008C7781" w:rsidRDefault="00AE2AE6" w:rsidP="00737B18">
            <w:pPr>
              <w:jc w:val="center"/>
              <w:rPr>
                <w:rFonts w:asciiTheme="minorHAnsi" w:hAnsiTheme="minorHAnsi"/>
              </w:rPr>
            </w:pPr>
          </w:p>
          <w:p w:rsidR="00AE2AE6" w:rsidRPr="008C7781" w:rsidRDefault="00AE2AE6" w:rsidP="00737B18">
            <w:pPr>
              <w:jc w:val="center"/>
              <w:rPr>
                <w:rFonts w:asciiTheme="minorHAnsi" w:hAnsiTheme="minorHAnsi"/>
              </w:rPr>
            </w:pPr>
            <w:r w:rsidRPr="008C7781">
              <w:rPr>
                <w:rFonts w:asciiTheme="minorHAnsi" w:hAnsiTheme="minorHAnsi"/>
              </w:rPr>
              <w:t>0,8</w:t>
            </w:r>
          </w:p>
        </w:tc>
        <w:tc>
          <w:tcPr>
            <w:tcW w:w="890" w:type="dxa"/>
            <w:tcBorders>
              <w:top w:val="single" w:sz="6" w:space="0" w:color="auto"/>
              <w:left w:val="single" w:sz="6" w:space="0" w:color="auto"/>
              <w:bottom w:val="single" w:sz="6" w:space="0" w:color="auto"/>
              <w:right w:val="single" w:sz="6" w:space="0" w:color="auto"/>
            </w:tcBorders>
          </w:tcPr>
          <w:p w:rsidR="00AE2AE6" w:rsidRPr="008C7781" w:rsidRDefault="00AE2AE6" w:rsidP="00737B18">
            <w:pPr>
              <w:jc w:val="center"/>
              <w:rPr>
                <w:rFonts w:asciiTheme="minorHAnsi" w:hAnsiTheme="minorHAnsi"/>
              </w:rPr>
            </w:pPr>
          </w:p>
          <w:p w:rsidR="00AE2AE6" w:rsidRPr="008C7781" w:rsidRDefault="00AE2AE6" w:rsidP="00737B18">
            <w:pPr>
              <w:jc w:val="center"/>
              <w:rPr>
                <w:rFonts w:asciiTheme="minorHAnsi" w:hAnsiTheme="minorHAnsi"/>
              </w:rPr>
            </w:pPr>
            <w:r w:rsidRPr="008C7781">
              <w:rPr>
                <w:rFonts w:asciiTheme="minorHAnsi" w:hAnsiTheme="minorHAnsi"/>
              </w:rPr>
              <w:t>0,7</w:t>
            </w:r>
          </w:p>
        </w:tc>
      </w:tr>
      <w:tr w:rsidR="00AE2AE6" w:rsidRPr="008C7781" w:rsidTr="00C3299C">
        <w:tc>
          <w:tcPr>
            <w:tcW w:w="2905" w:type="dxa"/>
            <w:tcBorders>
              <w:top w:val="single" w:sz="6" w:space="0" w:color="auto"/>
              <w:left w:val="single" w:sz="6" w:space="0" w:color="auto"/>
              <w:bottom w:val="single" w:sz="6" w:space="0" w:color="auto"/>
              <w:right w:val="single" w:sz="6" w:space="0" w:color="auto"/>
            </w:tcBorders>
          </w:tcPr>
          <w:p w:rsidR="00AE2AE6" w:rsidRPr="008C7781" w:rsidRDefault="00AE2AE6" w:rsidP="00737B18">
            <w:pPr>
              <w:rPr>
                <w:rFonts w:asciiTheme="minorHAnsi" w:hAnsiTheme="minorHAnsi"/>
              </w:rPr>
            </w:pPr>
            <w:r w:rsidRPr="008C7781">
              <w:rPr>
                <w:rFonts w:asciiTheme="minorHAnsi" w:hAnsiTheme="minorHAnsi"/>
              </w:rPr>
              <w:t>Nierówności powierzchni górnej (czoła), nie większe niż</w:t>
            </w:r>
          </w:p>
        </w:tc>
        <w:tc>
          <w:tcPr>
            <w:tcW w:w="567" w:type="dxa"/>
            <w:tcBorders>
              <w:top w:val="single" w:sz="6" w:space="0" w:color="auto"/>
              <w:left w:val="single" w:sz="6" w:space="0" w:color="auto"/>
              <w:bottom w:val="single" w:sz="6" w:space="0" w:color="auto"/>
              <w:right w:val="single" w:sz="6" w:space="0" w:color="auto"/>
            </w:tcBorders>
          </w:tcPr>
          <w:p w:rsidR="00AE2AE6" w:rsidRPr="008C7781" w:rsidRDefault="00AE2AE6" w:rsidP="00737B18">
            <w:pPr>
              <w:spacing w:before="120"/>
              <w:jc w:val="center"/>
              <w:rPr>
                <w:rFonts w:asciiTheme="minorHAnsi" w:hAnsiTheme="minorHAnsi"/>
              </w:rPr>
            </w:pPr>
            <w:r w:rsidRPr="008C7781">
              <w:rPr>
                <w:rFonts w:asciiTheme="minorHAnsi" w:hAnsiTheme="minorHAnsi"/>
              </w:rPr>
              <w:t>-</w:t>
            </w:r>
          </w:p>
        </w:tc>
        <w:tc>
          <w:tcPr>
            <w:tcW w:w="567" w:type="dxa"/>
            <w:tcBorders>
              <w:top w:val="single" w:sz="6" w:space="0" w:color="auto"/>
              <w:left w:val="single" w:sz="6" w:space="0" w:color="auto"/>
              <w:bottom w:val="single" w:sz="6" w:space="0" w:color="auto"/>
              <w:right w:val="single" w:sz="6" w:space="0" w:color="auto"/>
            </w:tcBorders>
          </w:tcPr>
          <w:p w:rsidR="00AE2AE6" w:rsidRPr="008C7781" w:rsidRDefault="00AE2AE6" w:rsidP="00737B18">
            <w:pPr>
              <w:spacing w:before="120"/>
              <w:jc w:val="center"/>
              <w:rPr>
                <w:rFonts w:asciiTheme="minorHAnsi" w:hAnsiTheme="minorHAnsi"/>
              </w:rPr>
            </w:pPr>
            <w:r w:rsidRPr="008C7781">
              <w:rPr>
                <w:rFonts w:asciiTheme="minorHAnsi" w:hAnsiTheme="minorHAnsi"/>
              </w:rPr>
              <w:t>-</w:t>
            </w:r>
          </w:p>
        </w:tc>
        <w:tc>
          <w:tcPr>
            <w:tcW w:w="567" w:type="dxa"/>
            <w:tcBorders>
              <w:top w:val="single" w:sz="6" w:space="0" w:color="auto"/>
              <w:left w:val="single" w:sz="6" w:space="0" w:color="auto"/>
              <w:bottom w:val="single" w:sz="6" w:space="0" w:color="auto"/>
              <w:right w:val="single" w:sz="6" w:space="0" w:color="auto"/>
            </w:tcBorders>
          </w:tcPr>
          <w:p w:rsidR="00AE2AE6" w:rsidRPr="008C7781" w:rsidRDefault="00AE2AE6" w:rsidP="00737B18">
            <w:pPr>
              <w:spacing w:before="120"/>
              <w:jc w:val="center"/>
              <w:rPr>
                <w:rFonts w:asciiTheme="minorHAnsi" w:hAnsiTheme="minorHAnsi"/>
              </w:rPr>
            </w:pPr>
            <w:r w:rsidRPr="008C7781">
              <w:rPr>
                <w:rFonts w:asciiTheme="minorHAnsi" w:hAnsiTheme="minorHAnsi"/>
              </w:rPr>
              <w:t>-</w:t>
            </w:r>
          </w:p>
        </w:tc>
        <w:tc>
          <w:tcPr>
            <w:tcW w:w="545" w:type="dxa"/>
            <w:tcBorders>
              <w:top w:val="single" w:sz="6" w:space="0" w:color="auto"/>
              <w:left w:val="single" w:sz="6" w:space="0" w:color="auto"/>
              <w:bottom w:val="single" w:sz="6" w:space="0" w:color="auto"/>
              <w:right w:val="single" w:sz="6" w:space="0" w:color="auto"/>
            </w:tcBorders>
          </w:tcPr>
          <w:p w:rsidR="00AE2AE6" w:rsidRPr="008C7781" w:rsidRDefault="00AE2AE6" w:rsidP="00737B18">
            <w:pPr>
              <w:spacing w:before="120"/>
              <w:jc w:val="center"/>
              <w:rPr>
                <w:rFonts w:asciiTheme="minorHAnsi" w:hAnsiTheme="minorHAnsi"/>
              </w:rPr>
            </w:pPr>
            <w:r w:rsidRPr="008C7781">
              <w:rPr>
                <w:rFonts w:asciiTheme="minorHAnsi" w:hAnsiTheme="minorHAnsi"/>
              </w:rPr>
              <w:t>-</w:t>
            </w:r>
          </w:p>
        </w:tc>
        <w:tc>
          <w:tcPr>
            <w:tcW w:w="731" w:type="dxa"/>
            <w:gridSpan w:val="2"/>
            <w:tcBorders>
              <w:top w:val="single" w:sz="6" w:space="0" w:color="auto"/>
              <w:left w:val="single" w:sz="6" w:space="0" w:color="auto"/>
              <w:bottom w:val="single" w:sz="6" w:space="0" w:color="auto"/>
              <w:right w:val="single" w:sz="6" w:space="0" w:color="auto"/>
            </w:tcBorders>
          </w:tcPr>
          <w:p w:rsidR="00AE2AE6" w:rsidRPr="008C7781" w:rsidRDefault="00AE2AE6" w:rsidP="00737B18">
            <w:pPr>
              <w:spacing w:before="120"/>
              <w:jc w:val="center"/>
              <w:rPr>
                <w:rFonts w:asciiTheme="minorHAnsi" w:hAnsiTheme="minorHAnsi"/>
              </w:rPr>
            </w:pPr>
            <w:r w:rsidRPr="008C7781">
              <w:rPr>
                <w:rFonts w:asciiTheme="minorHAnsi" w:hAnsiTheme="minorHAnsi"/>
              </w:rPr>
              <w:sym w:font="Symbol" w:char="F0B1"/>
            </w:r>
            <w:r w:rsidRPr="008C7781">
              <w:rPr>
                <w:rFonts w:asciiTheme="minorHAnsi" w:hAnsiTheme="minorHAnsi"/>
              </w:rPr>
              <w:t xml:space="preserve"> 0,4</w:t>
            </w:r>
          </w:p>
        </w:tc>
        <w:tc>
          <w:tcPr>
            <w:tcW w:w="811" w:type="dxa"/>
            <w:tcBorders>
              <w:top w:val="single" w:sz="6" w:space="0" w:color="auto"/>
              <w:left w:val="nil"/>
              <w:bottom w:val="single" w:sz="6" w:space="0" w:color="auto"/>
              <w:right w:val="single" w:sz="6" w:space="0" w:color="auto"/>
            </w:tcBorders>
          </w:tcPr>
          <w:p w:rsidR="00AE2AE6" w:rsidRPr="008C7781" w:rsidRDefault="00AE2AE6" w:rsidP="00737B18">
            <w:pPr>
              <w:spacing w:before="120"/>
              <w:jc w:val="center"/>
              <w:rPr>
                <w:rFonts w:asciiTheme="minorHAnsi" w:hAnsiTheme="minorHAnsi"/>
              </w:rPr>
            </w:pPr>
            <w:r w:rsidRPr="008C7781">
              <w:rPr>
                <w:rFonts w:asciiTheme="minorHAnsi" w:hAnsiTheme="minorHAnsi"/>
              </w:rPr>
              <w:sym w:font="Symbol" w:char="F0B1"/>
            </w:r>
            <w:r w:rsidRPr="008C7781">
              <w:rPr>
                <w:rFonts w:asciiTheme="minorHAnsi" w:hAnsiTheme="minorHAnsi"/>
              </w:rPr>
              <w:t xml:space="preserve"> 0,4</w:t>
            </w:r>
          </w:p>
        </w:tc>
        <w:tc>
          <w:tcPr>
            <w:tcW w:w="890" w:type="dxa"/>
            <w:tcBorders>
              <w:top w:val="single" w:sz="6" w:space="0" w:color="auto"/>
              <w:left w:val="single" w:sz="6" w:space="0" w:color="auto"/>
              <w:bottom w:val="single" w:sz="6" w:space="0" w:color="auto"/>
              <w:right w:val="single" w:sz="6" w:space="0" w:color="auto"/>
            </w:tcBorders>
          </w:tcPr>
          <w:p w:rsidR="00AE2AE6" w:rsidRPr="008C7781" w:rsidRDefault="00AE2AE6" w:rsidP="00737B18">
            <w:pPr>
              <w:spacing w:before="120"/>
              <w:jc w:val="center"/>
              <w:rPr>
                <w:rFonts w:asciiTheme="minorHAnsi" w:hAnsiTheme="minorHAnsi"/>
              </w:rPr>
            </w:pPr>
            <w:r w:rsidRPr="008C7781">
              <w:rPr>
                <w:rFonts w:asciiTheme="minorHAnsi" w:hAnsiTheme="minorHAnsi"/>
              </w:rPr>
              <w:sym w:font="Symbol" w:char="F0B1"/>
            </w:r>
            <w:r w:rsidRPr="008C7781">
              <w:rPr>
                <w:rFonts w:asciiTheme="minorHAnsi" w:hAnsiTheme="minorHAnsi"/>
              </w:rPr>
              <w:t xml:space="preserve"> 0,6</w:t>
            </w:r>
          </w:p>
        </w:tc>
      </w:tr>
      <w:tr w:rsidR="00AE2AE6" w:rsidRPr="008C7781" w:rsidTr="00C3299C">
        <w:tc>
          <w:tcPr>
            <w:tcW w:w="2905" w:type="dxa"/>
            <w:tcBorders>
              <w:top w:val="single" w:sz="6" w:space="0" w:color="auto"/>
              <w:left w:val="single" w:sz="6" w:space="0" w:color="auto"/>
              <w:bottom w:val="single" w:sz="6" w:space="0" w:color="auto"/>
              <w:right w:val="single" w:sz="6" w:space="0" w:color="auto"/>
            </w:tcBorders>
          </w:tcPr>
          <w:p w:rsidR="00AE2AE6" w:rsidRPr="008C7781" w:rsidRDefault="00AE2AE6" w:rsidP="00737B18">
            <w:pPr>
              <w:rPr>
                <w:rFonts w:asciiTheme="minorHAnsi" w:hAnsiTheme="minorHAnsi"/>
              </w:rPr>
            </w:pPr>
            <w:r w:rsidRPr="008C7781">
              <w:rPr>
                <w:rFonts w:asciiTheme="minorHAnsi" w:hAnsiTheme="minorHAnsi"/>
              </w:rPr>
              <w:t>Wypukłość powierzchni bocznej, nie większa niż</w:t>
            </w:r>
          </w:p>
        </w:tc>
        <w:tc>
          <w:tcPr>
            <w:tcW w:w="567" w:type="dxa"/>
            <w:tcBorders>
              <w:top w:val="single" w:sz="6" w:space="0" w:color="auto"/>
              <w:left w:val="single" w:sz="6" w:space="0" w:color="auto"/>
              <w:bottom w:val="single" w:sz="6" w:space="0" w:color="auto"/>
              <w:right w:val="single" w:sz="6" w:space="0" w:color="auto"/>
            </w:tcBorders>
          </w:tcPr>
          <w:p w:rsidR="00AE2AE6" w:rsidRPr="008C7781" w:rsidRDefault="00AE2AE6" w:rsidP="00737B18">
            <w:pPr>
              <w:spacing w:before="120"/>
              <w:jc w:val="center"/>
              <w:rPr>
                <w:rFonts w:asciiTheme="minorHAnsi" w:hAnsiTheme="minorHAnsi"/>
              </w:rPr>
            </w:pPr>
            <w:r w:rsidRPr="008C7781">
              <w:rPr>
                <w:rFonts w:asciiTheme="minorHAnsi" w:hAnsiTheme="minorHAnsi"/>
              </w:rPr>
              <w:t>-</w:t>
            </w:r>
          </w:p>
        </w:tc>
        <w:tc>
          <w:tcPr>
            <w:tcW w:w="567" w:type="dxa"/>
            <w:tcBorders>
              <w:top w:val="single" w:sz="6" w:space="0" w:color="auto"/>
              <w:left w:val="single" w:sz="6" w:space="0" w:color="auto"/>
              <w:bottom w:val="single" w:sz="6" w:space="0" w:color="auto"/>
              <w:right w:val="single" w:sz="6" w:space="0" w:color="auto"/>
            </w:tcBorders>
          </w:tcPr>
          <w:p w:rsidR="00AE2AE6" w:rsidRPr="008C7781" w:rsidRDefault="00AE2AE6" w:rsidP="00737B18">
            <w:pPr>
              <w:spacing w:before="120"/>
              <w:jc w:val="center"/>
              <w:rPr>
                <w:rFonts w:asciiTheme="minorHAnsi" w:hAnsiTheme="minorHAnsi"/>
              </w:rPr>
            </w:pPr>
            <w:r w:rsidRPr="008C7781">
              <w:rPr>
                <w:rFonts w:asciiTheme="minorHAnsi" w:hAnsiTheme="minorHAnsi"/>
              </w:rPr>
              <w:t>-</w:t>
            </w:r>
          </w:p>
        </w:tc>
        <w:tc>
          <w:tcPr>
            <w:tcW w:w="567" w:type="dxa"/>
            <w:tcBorders>
              <w:top w:val="single" w:sz="6" w:space="0" w:color="auto"/>
              <w:left w:val="single" w:sz="6" w:space="0" w:color="auto"/>
              <w:bottom w:val="single" w:sz="6" w:space="0" w:color="auto"/>
              <w:right w:val="single" w:sz="6" w:space="0" w:color="auto"/>
            </w:tcBorders>
          </w:tcPr>
          <w:p w:rsidR="00AE2AE6" w:rsidRPr="008C7781" w:rsidRDefault="00AE2AE6" w:rsidP="00737B18">
            <w:pPr>
              <w:spacing w:before="120"/>
              <w:jc w:val="center"/>
              <w:rPr>
                <w:rFonts w:asciiTheme="minorHAnsi" w:hAnsiTheme="minorHAnsi"/>
              </w:rPr>
            </w:pPr>
            <w:r w:rsidRPr="008C7781">
              <w:rPr>
                <w:rFonts w:asciiTheme="minorHAnsi" w:hAnsiTheme="minorHAnsi"/>
              </w:rPr>
              <w:t>-</w:t>
            </w:r>
          </w:p>
        </w:tc>
        <w:tc>
          <w:tcPr>
            <w:tcW w:w="545" w:type="dxa"/>
            <w:tcBorders>
              <w:top w:val="single" w:sz="6" w:space="0" w:color="auto"/>
              <w:left w:val="single" w:sz="6" w:space="0" w:color="auto"/>
              <w:bottom w:val="single" w:sz="6" w:space="0" w:color="auto"/>
              <w:right w:val="single" w:sz="6" w:space="0" w:color="auto"/>
            </w:tcBorders>
          </w:tcPr>
          <w:p w:rsidR="00AE2AE6" w:rsidRPr="008C7781" w:rsidRDefault="00AE2AE6" w:rsidP="00737B18">
            <w:pPr>
              <w:spacing w:before="120"/>
              <w:jc w:val="center"/>
              <w:rPr>
                <w:rFonts w:asciiTheme="minorHAnsi" w:hAnsiTheme="minorHAnsi"/>
              </w:rPr>
            </w:pPr>
            <w:r w:rsidRPr="008C7781">
              <w:rPr>
                <w:rFonts w:asciiTheme="minorHAnsi" w:hAnsiTheme="minorHAnsi"/>
              </w:rPr>
              <w:t>-</w:t>
            </w:r>
          </w:p>
        </w:tc>
        <w:tc>
          <w:tcPr>
            <w:tcW w:w="731" w:type="dxa"/>
            <w:gridSpan w:val="2"/>
            <w:tcBorders>
              <w:top w:val="single" w:sz="6" w:space="0" w:color="auto"/>
              <w:left w:val="single" w:sz="6" w:space="0" w:color="auto"/>
              <w:bottom w:val="single" w:sz="6" w:space="0" w:color="auto"/>
              <w:right w:val="single" w:sz="6" w:space="0" w:color="auto"/>
            </w:tcBorders>
          </w:tcPr>
          <w:p w:rsidR="00AE2AE6" w:rsidRPr="008C7781" w:rsidRDefault="00AE2AE6" w:rsidP="00737B18">
            <w:pPr>
              <w:spacing w:before="120"/>
              <w:jc w:val="center"/>
              <w:rPr>
                <w:rFonts w:asciiTheme="minorHAnsi" w:hAnsiTheme="minorHAnsi"/>
              </w:rPr>
            </w:pPr>
            <w:r w:rsidRPr="008C7781">
              <w:rPr>
                <w:rFonts w:asciiTheme="minorHAnsi" w:hAnsiTheme="minorHAnsi"/>
              </w:rPr>
              <w:t>0,4</w:t>
            </w:r>
          </w:p>
        </w:tc>
        <w:tc>
          <w:tcPr>
            <w:tcW w:w="811" w:type="dxa"/>
            <w:tcBorders>
              <w:top w:val="single" w:sz="6" w:space="0" w:color="auto"/>
              <w:left w:val="nil"/>
              <w:bottom w:val="single" w:sz="6" w:space="0" w:color="auto"/>
              <w:right w:val="single" w:sz="6" w:space="0" w:color="auto"/>
            </w:tcBorders>
          </w:tcPr>
          <w:p w:rsidR="00AE2AE6" w:rsidRPr="008C7781" w:rsidRDefault="00AE2AE6" w:rsidP="00737B18">
            <w:pPr>
              <w:spacing w:before="120"/>
              <w:jc w:val="center"/>
              <w:rPr>
                <w:rFonts w:asciiTheme="minorHAnsi" w:hAnsiTheme="minorHAnsi"/>
              </w:rPr>
            </w:pPr>
            <w:r w:rsidRPr="008C7781">
              <w:rPr>
                <w:rFonts w:asciiTheme="minorHAnsi" w:hAnsiTheme="minorHAnsi"/>
              </w:rPr>
              <w:t>0,8</w:t>
            </w:r>
          </w:p>
        </w:tc>
        <w:tc>
          <w:tcPr>
            <w:tcW w:w="890" w:type="dxa"/>
            <w:tcBorders>
              <w:top w:val="single" w:sz="6" w:space="0" w:color="auto"/>
              <w:left w:val="single" w:sz="6" w:space="0" w:color="auto"/>
              <w:bottom w:val="single" w:sz="6" w:space="0" w:color="auto"/>
              <w:right w:val="single" w:sz="6" w:space="0" w:color="auto"/>
            </w:tcBorders>
          </w:tcPr>
          <w:p w:rsidR="00AE2AE6" w:rsidRPr="008C7781" w:rsidRDefault="00AE2AE6" w:rsidP="00737B18">
            <w:pPr>
              <w:spacing w:before="120"/>
              <w:jc w:val="center"/>
              <w:rPr>
                <w:rFonts w:asciiTheme="minorHAnsi" w:hAnsiTheme="minorHAnsi"/>
              </w:rPr>
            </w:pPr>
            <w:r w:rsidRPr="008C7781">
              <w:rPr>
                <w:rFonts w:asciiTheme="minorHAnsi" w:hAnsiTheme="minorHAnsi"/>
              </w:rPr>
              <w:t>0,8</w:t>
            </w:r>
          </w:p>
        </w:tc>
      </w:tr>
      <w:tr w:rsidR="00AE2AE6" w:rsidRPr="008C7781" w:rsidTr="00C3299C">
        <w:tc>
          <w:tcPr>
            <w:tcW w:w="2905" w:type="dxa"/>
            <w:tcBorders>
              <w:top w:val="single" w:sz="6" w:space="0" w:color="auto"/>
              <w:left w:val="single" w:sz="6" w:space="0" w:color="auto"/>
              <w:bottom w:val="single" w:sz="6" w:space="0" w:color="auto"/>
              <w:right w:val="single" w:sz="6" w:space="0" w:color="auto"/>
            </w:tcBorders>
          </w:tcPr>
          <w:p w:rsidR="00AE2AE6" w:rsidRPr="008C7781" w:rsidRDefault="00AE2AE6" w:rsidP="00737B18">
            <w:pPr>
              <w:rPr>
                <w:rFonts w:asciiTheme="minorHAnsi" w:hAnsiTheme="minorHAnsi"/>
              </w:rPr>
            </w:pPr>
            <w:r w:rsidRPr="008C7781">
              <w:rPr>
                <w:rFonts w:asciiTheme="minorHAnsi" w:hAnsiTheme="minorHAnsi"/>
              </w:rPr>
              <w:t>Nierówność powierzchni dolnej (stopki), nie większa niż</w:t>
            </w:r>
          </w:p>
        </w:tc>
        <w:tc>
          <w:tcPr>
            <w:tcW w:w="567" w:type="dxa"/>
            <w:tcBorders>
              <w:top w:val="single" w:sz="6" w:space="0" w:color="auto"/>
              <w:left w:val="single" w:sz="6" w:space="0" w:color="auto"/>
              <w:bottom w:val="single" w:sz="6" w:space="0" w:color="auto"/>
              <w:right w:val="single" w:sz="6" w:space="0" w:color="auto"/>
            </w:tcBorders>
          </w:tcPr>
          <w:p w:rsidR="00AE2AE6" w:rsidRPr="008C7781" w:rsidRDefault="00AE2AE6" w:rsidP="00737B18">
            <w:pPr>
              <w:spacing w:before="120"/>
              <w:jc w:val="center"/>
              <w:rPr>
                <w:rFonts w:asciiTheme="minorHAnsi" w:hAnsiTheme="minorHAnsi"/>
              </w:rPr>
            </w:pPr>
            <w:r w:rsidRPr="008C7781">
              <w:rPr>
                <w:rFonts w:asciiTheme="minorHAnsi" w:hAnsiTheme="minorHAnsi"/>
              </w:rPr>
              <w:t>-</w:t>
            </w:r>
          </w:p>
        </w:tc>
        <w:tc>
          <w:tcPr>
            <w:tcW w:w="567" w:type="dxa"/>
            <w:tcBorders>
              <w:top w:val="single" w:sz="6" w:space="0" w:color="auto"/>
              <w:left w:val="single" w:sz="6" w:space="0" w:color="auto"/>
              <w:bottom w:val="single" w:sz="6" w:space="0" w:color="auto"/>
              <w:right w:val="single" w:sz="6" w:space="0" w:color="auto"/>
            </w:tcBorders>
          </w:tcPr>
          <w:p w:rsidR="00AE2AE6" w:rsidRPr="008C7781" w:rsidRDefault="00AE2AE6" w:rsidP="00737B18">
            <w:pPr>
              <w:spacing w:before="120"/>
              <w:jc w:val="center"/>
              <w:rPr>
                <w:rFonts w:asciiTheme="minorHAnsi" w:hAnsiTheme="minorHAnsi"/>
              </w:rPr>
            </w:pPr>
            <w:r w:rsidRPr="008C7781">
              <w:rPr>
                <w:rFonts w:asciiTheme="minorHAnsi" w:hAnsiTheme="minorHAnsi"/>
              </w:rPr>
              <w:t>-</w:t>
            </w:r>
          </w:p>
        </w:tc>
        <w:tc>
          <w:tcPr>
            <w:tcW w:w="567" w:type="dxa"/>
            <w:tcBorders>
              <w:top w:val="single" w:sz="6" w:space="0" w:color="auto"/>
              <w:left w:val="single" w:sz="6" w:space="0" w:color="auto"/>
              <w:bottom w:val="single" w:sz="6" w:space="0" w:color="auto"/>
              <w:right w:val="single" w:sz="6" w:space="0" w:color="auto"/>
            </w:tcBorders>
          </w:tcPr>
          <w:p w:rsidR="00AE2AE6" w:rsidRPr="008C7781" w:rsidRDefault="00AE2AE6" w:rsidP="00737B18">
            <w:pPr>
              <w:spacing w:before="120"/>
              <w:jc w:val="center"/>
              <w:rPr>
                <w:rFonts w:asciiTheme="minorHAnsi" w:hAnsiTheme="minorHAnsi"/>
              </w:rPr>
            </w:pPr>
            <w:r w:rsidRPr="008C7781">
              <w:rPr>
                <w:rFonts w:asciiTheme="minorHAnsi" w:hAnsiTheme="minorHAnsi"/>
              </w:rPr>
              <w:t>-</w:t>
            </w:r>
          </w:p>
        </w:tc>
        <w:tc>
          <w:tcPr>
            <w:tcW w:w="567" w:type="dxa"/>
            <w:gridSpan w:val="2"/>
            <w:tcBorders>
              <w:top w:val="single" w:sz="6" w:space="0" w:color="auto"/>
              <w:left w:val="single" w:sz="6" w:space="0" w:color="auto"/>
              <w:bottom w:val="single" w:sz="6" w:space="0" w:color="auto"/>
              <w:right w:val="single" w:sz="6" w:space="0" w:color="auto"/>
            </w:tcBorders>
          </w:tcPr>
          <w:p w:rsidR="00AE2AE6" w:rsidRPr="008C7781" w:rsidRDefault="00AE2AE6" w:rsidP="00737B18">
            <w:pPr>
              <w:spacing w:before="120"/>
              <w:jc w:val="center"/>
              <w:rPr>
                <w:rFonts w:asciiTheme="minorHAnsi" w:hAnsiTheme="minorHAnsi"/>
              </w:rPr>
            </w:pPr>
            <w:r w:rsidRPr="008C7781">
              <w:rPr>
                <w:rFonts w:asciiTheme="minorHAnsi" w:hAnsiTheme="minorHAnsi"/>
              </w:rPr>
              <w:t>-</w:t>
            </w:r>
          </w:p>
        </w:tc>
        <w:tc>
          <w:tcPr>
            <w:tcW w:w="709" w:type="dxa"/>
            <w:tcBorders>
              <w:top w:val="single" w:sz="6" w:space="0" w:color="auto"/>
              <w:left w:val="single" w:sz="6" w:space="0" w:color="auto"/>
              <w:bottom w:val="single" w:sz="6" w:space="0" w:color="auto"/>
              <w:right w:val="single" w:sz="6" w:space="0" w:color="auto"/>
            </w:tcBorders>
          </w:tcPr>
          <w:p w:rsidR="00AE2AE6" w:rsidRPr="008C7781" w:rsidRDefault="00AE2AE6" w:rsidP="00737B18">
            <w:pPr>
              <w:spacing w:before="120"/>
              <w:jc w:val="center"/>
              <w:rPr>
                <w:rFonts w:asciiTheme="minorHAnsi" w:hAnsiTheme="minorHAnsi"/>
              </w:rPr>
            </w:pPr>
            <w:r w:rsidRPr="008C7781">
              <w:rPr>
                <w:rFonts w:asciiTheme="minorHAnsi" w:hAnsiTheme="minorHAnsi"/>
              </w:rPr>
              <w:sym w:font="Symbol" w:char="F0B1"/>
            </w:r>
            <w:r w:rsidRPr="008C7781">
              <w:rPr>
                <w:rFonts w:asciiTheme="minorHAnsi" w:hAnsiTheme="minorHAnsi"/>
              </w:rPr>
              <w:t xml:space="preserve"> 0,4</w:t>
            </w:r>
          </w:p>
        </w:tc>
        <w:tc>
          <w:tcPr>
            <w:tcW w:w="1701" w:type="dxa"/>
            <w:gridSpan w:val="2"/>
            <w:tcBorders>
              <w:top w:val="single" w:sz="6" w:space="0" w:color="auto"/>
              <w:left w:val="nil"/>
              <w:bottom w:val="single" w:sz="6" w:space="0" w:color="auto"/>
              <w:right w:val="single" w:sz="6" w:space="0" w:color="auto"/>
            </w:tcBorders>
          </w:tcPr>
          <w:p w:rsidR="00AE2AE6" w:rsidRPr="008C7781" w:rsidRDefault="00AE2AE6" w:rsidP="00737B18">
            <w:pPr>
              <w:spacing w:before="120"/>
              <w:jc w:val="center"/>
              <w:rPr>
                <w:rFonts w:asciiTheme="minorHAnsi" w:hAnsiTheme="minorHAnsi"/>
              </w:rPr>
            </w:pPr>
            <w:r w:rsidRPr="008C7781">
              <w:rPr>
                <w:rFonts w:asciiTheme="minorHAnsi" w:hAnsiTheme="minorHAnsi"/>
              </w:rPr>
              <w:t>nie bada się</w:t>
            </w:r>
          </w:p>
        </w:tc>
      </w:tr>
      <w:tr w:rsidR="00AE2AE6" w:rsidRPr="008C7781" w:rsidTr="00C3299C">
        <w:tc>
          <w:tcPr>
            <w:tcW w:w="2905" w:type="dxa"/>
            <w:tcBorders>
              <w:top w:val="single" w:sz="6" w:space="0" w:color="auto"/>
              <w:left w:val="single" w:sz="6" w:space="0" w:color="auto"/>
              <w:bottom w:val="single" w:sz="6" w:space="0" w:color="auto"/>
              <w:right w:val="single" w:sz="6" w:space="0" w:color="auto"/>
            </w:tcBorders>
          </w:tcPr>
          <w:p w:rsidR="00AE2AE6" w:rsidRPr="008C7781" w:rsidRDefault="00AE2AE6" w:rsidP="00737B18">
            <w:pPr>
              <w:spacing w:before="60" w:after="60"/>
              <w:rPr>
                <w:rFonts w:asciiTheme="minorHAnsi" w:hAnsiTheme="minorHAnsi"/>
              </w:rPr>
            </w:pPr>
            <w:r w:rsidRPr="008C7781">
              <w:rPr>
                <w:rFonts w:asciiTheme="minorHAnsi" w:hAnsiTheme="minorHAnsi"/>
              </w:rPr>
              <w:t>Pęknięcia kostki</w:t>
            </w:r>
          </w:p>
        </w:tc>
        <w:tc>
          <w:tcPr>
            <w:tcW w:w="567" w:type="dxa"/>
            <w:tcBorders>
              <w:top w:val="single" w:sz="6" w:space="0" w:color="auto"/>
              <w:left w:val="single" w:sz="6" w:space="0" w:color="auto"/>
              <w:bottom w:val="single" w:sz="6" w:space="0" w:color="auto"/>
              <w:right w:val="single" w:sz="6" w:space="0" w:color="auto"/>
            </w:tcBorders>
          </w:tcPr>
          <w:p w:rsidR="00AE2AE6" w:rsidRPr="008C7781" w:rsidRDefault="00AE2AE6" w:rsidP="00737B18">
            <w:pPr>
              <w:spacing w:before="60" w:after="60"/>
              <w:jc w:val="center"/>
              <w:rPr>
                <w:rFonts w:asciiTheme="minorHAnsi" w:hAnsiTheme="minorHAnsi"/>
              </w:rPr>
            </w:pPr>
            <w:r w:rsidRPr="008C7781">
              <w:rPr>
                <w:rFonts w:asciiTheme="minorHAnsi" w:hAnsiTheme="minorHAnsi"/>
              </w:rPr>
              <w:t>-</w:t>
            </w:r>
          </w:p>
        </w:tc>
        <w:tc>
          <w:tcPr>
            <w:tcW w:w="567" w:type="dxa"/>
            <w:tcBorders>
              <w:top w:val="single" w:sz="6" w:space="0" w:color="auto"/>
              <w:left w:val="single" w:sz="6" w:space="0" w:color="auto"/>
              <w:bottom w:val="single" w:sz="6" w:space="0" w:color="auto"/>
              <w:right w:val="single" w:sz="6" w:space="0" w:color="auto"/>
            </w:tcBorders>
          </w:tcPr>
          <w:p w:rsidR="00AE2AE6" w:rsidRPr="008C7781" w:rsidRDefault="00AE2AE6" w:rsidP="00737B18">
            <w:pPr>
              <w:spacing w:before="60" w:after="60"/>
              <w:jc w:val="center"/>
              <w:rPr>
                <w:rFonts w:asciiTheme="minorHAnsi" w:hAnsiTheme="minorHAnsi"/>
              </w:rPr>
            </w:pPr>
            <w:r w:rsidRPr="008C7781">
              <w:rPr>
                <w:rFonts w:asciiTheme="minorHAnsi" w:hAnsiTheme="minorHAnsi"/>
              </w:rPr>
              <w:t>-</w:t>
            </w:r>
          </w:p>
        </w:tc>
        <w:tc>
          <w:tcPr>
            <w:tcW w:w="567" w:type="dxa"/>
            <w:tcBorders>
              <w:top w:val="single" w:sz="6" w:space="0" w:color="auto"/>
              <w:left w:val="single" w:sz="6" w:space="0" w:color="auto"/>
              <w:bottom w:val="single" w:sz="6" w:space="0" w:color="auto"/>
              <w:right w:val="single" w:sz="6" w:space="0" w:color="auto"/>
            </w:tcBorders>
          </w:tcPr>
          <w:p w:rsidR="00AE2AE6" w:rsidRPr="008C7781" w:rsidRDefault="00AE2AE6" w:rsidP="00737B18">
            <w:pPr>
              <w:spacing w:before="60" w:after="60"/>
              <w:jc w:val="center"/>
              <w:rPr>
                <w:rFonts w:asciiTheme="minorHAnsi" w:hAnsiTheme="minorHAnsi"/>
              </w:rPr>
            </w:pPr>
            <w:r w:rsidRPr="008C7781">
              <w:rPr>
                <w:rFonts w:asciiTheme="minorHAnsi" w:hAnsiTheme="minorHAnsi"/>
              </w:rPr>
              <w:t>-</w:t>
            </w:r>
          </w:p>
        </w:tc>
        <w:tc>
          <w:tcPr>
            <w:tcW w:w="567" w:type="dxa"/>
            <w:gridSpan w:val="2"/>
            <w:tcBorders>
              <w:top w:val="single" w:sz="6" w:space="0" w:color="auto"/>
              <w:left w:val="single" w:sz="6" w:space="0" w:color="auto"/>
              <w:bottom w:val="single" w:sz="6" w:space="0" w:color="auto"/>
              <w:right w:val="single" w:sz="6" w:space="0" w:color="auto"/>
            </w:tcBorders>
          </w:tcPr>
          <w:p w:rsidR="00AE2AE6" w:rsidRPr="008C7781" w:rsidRDefault="00AE2AE6" w:rsidP="00737B18">
            <w:pPr>
              <w:spacing w:before="60" w:after="60"/>
              <w:jc w:val="center"/>
              <w:rPr>
                <w:rFonts w:asciiTheme="minorHAnsi" w:hAnsiTheme="minorHAnsi"/>
              </w:rPr>
            </w:pPr>
            <w:r w:rsidRPr="008C7781">
              <w:rPr>
                <w:rFonts w:asciiTheme="minorHAnsi" w:hAnsiTheme="minorHAnsi"/>
              </w:rPr>
              <w:t>-</w:t>
            </w:r>
          </w:p>
        </w:tc>
        <w:tc>
          <w:tcPr>
            <w:tcW w:w="2410" w:type="dxa"/>
            <w:gridSpan w:val="3"/>
            <w:tcBorders>
              <w:top w:val="single" w:sz="6" w:space="0" w:color="auto"/>
              <w:left w:val="single" w:sz="6" w:space="0" w:color="auto"/>
              <w:bottom w:val="single" w:sz="6" w:space="0" w:color="auto"/>
              <w:right w:val="single" w:sz="6" w:space="0" w:color="auto"/>
            </w:tcBorders>
          </w:tcPr>
          <w:p w:rsidR="00AE2AE6" w:rsidRPr="008C7781" w:rsidRDefault="00AE2AE6" w:rsidP="00737B18">
            <w:pPr>
              <w:spacing w:before="60" w:after="60"/>
              <w:jc w:val="center"/>
              <w:rPr>
                <w:rFonts w:asciiTheme="minorHAnsi" w:hAnsiTheme="minorHAnsi"/>
              </w:rPr>
            </w:pPr>
            <w:r w:rsidRPr="008C7781">
              <w:rPr>
                <w:rFonts w:asciiTheme="minorHAnsi" w:hAnsiTheme="minorHAnsi"/>
              </w:rPr>
              <w:t>niedopuszczalne</w:t>
            </w:r>
          </w:p>
        </w:tc>
      </w:tr>
    </w:tbl>
    <w:p w:rsidR="00AE2AE6" w:rsidRPr="008C7781" w:rsidRDefault="00AE2AE6" w:rsidP="00AE2AE6">
      <w:pPr>
        <w:rPr>
          <w:rFonts w:asciiTheme="minorHAnsi" w:hAnsiTheme="minorHAnsi"/>
        </w:rPr>
      </w:pPr>
    </w:p>
    <w:p w:rsidR="00AE2AE6" w:rsidRPr="008C7781" w:rsidRDefault="00AE2AE6" w:rsidP="00AE2AE6">
      <w:pPr>
        <w:rPr>
          <w:rFonts w:asciiTheme="minorHAnsi" w:hAnsiTheme="minorHAnsi"/>
        </w:rPr>
      </w:pPr>
      <w:r w:rsidRPr="008C7781">
        <w:rPr>
          <w:rFonts w:asciiTheme="minorHAnsi" w:hAnsiTheme="minorHAnsi"/>
        </w:rPr>
        <w:lastRenderedPageBreak/>
        <w:tab/>
        <w:t>Krawędzie co najmniej jednej powierzchni kostki gatunku 1 powinny być bez uszkodzeń. Pozostałe krawędzie kostki mogą mieć uszkodzenie długości nie większej niż pół wymiaru wysokości kostki (a), natomiast łączna ich długość nie powinna przekraczać wymiaru wysokości kostki (a).</w:t>
      </w:r>
    </w:p>
    <w:p w:rsidR="00AE2AE6" w:rsidRPr="008C7781" w:rsidRDefault="00AE2AE6" w:rsidP="00AE2AE6">
      <w:pPr>
        <w:rPr>
          <w:rFonts w:asciiTheme="minorHAnsi" w:hAnsiTheme="minorHAnsi"/>
        </w:rPr>
      </w:pPr>
      <w:r w:rsidRPr="008C7781">
        <w:rPr>
          <w:rFonts w:asciiTheme="minorHAnsi" w:hAnsiTheme="minorHAnsi"/>
        </w:rPr>
        <w:tab/>
        <w:t>Kostki gatunku 2 i 3 mogą mieć uszkodzenia krawędzi powierzchni czołowej o długości nie większej niż pół wymiaru wysokości kostki (a), natomiast łączna ich długość nie powinna przekraczać wielkości wymiaru wysokości kostki (a).</w:t>
      </w:r>
    </w:p>
    <w:p w:rsidR="00AE2AE6" w:rsidRPr="008C7781" w:rsidRDefault="00AE2AE6" w:rsidP="00AE2AE6">
      <w:pPr>
        <w:rPr>
          <w:rFonts w:asciiTheme="minorHAnsi" w:hAnsiTheme="minorHAnsi"/>
        </w:rPr>
      </w:pPr>
      <w:r w:rsidRPr="008C7781">
        <w:rPr>
          <w:rFonts w:asciiTheme="minorHAnsi" w:hAnsiTheme="minorHAnsi"/>
        </w:rPr>
        <w:tab/>
        <w:t>Uszkodzenia któregokolwiek z naroży kostki gatunku 1 i naroży powierzchni górnej (czoła) kostki gatunku 2 i 3 są niedopuszczalne.</w:t>
      </w:r>
    </w:p>
    <w:p w:rsidR="00AE2AE6" w:rsidRPr="008C7781" w:rsidRDefault="00AE2AE6" w:rsidP="00AE2AE6">
      <w:pPr>
        <w:rPr>
          <w:rFonts w:asciiTheme="minorHAnsi" w:hAnsiTheme="minorHAnsi"/>
        </w:rPr>
      </w:pPr>
      <w:r w:rsidRPr="008C7781">
        <w:rPr>
          <w:rFonts w:asciiTheme="minorHAnsi" w:hAnsiTheme="minorHAnsi"/>
        </w:rPr>
        <w:tab/>
        <w:t>Szerokość lub głębokość uszkodzenia krawędzi lub naroży nie powinna być większa niż 0,6 cm.</w:t>
      </w:r>
    </w:p>
    <w:p w:rsidR="00AE2AE6" w:rsidRPr="008C7781" w:rsidRDefault="00AE2AE6" w:rsidP="00AE2AE6">
      <w:pPr>
        <w:rPr>
          <w:rFonts w:asciiTheme="minorHAnsi" w:hAnsiTheme="minorHAnsi"/>
        </w:rPr>
      </w:pPr>
      <w:r w:rsidRPr="008C7781">
        <w:rPr>
          <w:rFonts w:asciiTheme="minorHAnsi" w:hAnsiTheme="minorHAnsi"/>
          <w:b/>
        </w:rPr>
        <w:t>2.2.4.</w:t>
      </w:r>
      <w:r w:rsidRPr="008C7781">
        <w:rPr>
          <w:rFonts w:asciiTheme="minorHAnsi" w:hAnsiTheme="minorHAnsi"/>
        </w:rPr>
        <w:t xml:space="preserve"> Kształt i wymiary kostki rzędowej</w:t>
      </w:r>
    </w:p>
    <w:p w:rsidR="00AE2AE6" w:rsidRPr="008C7781" w:rsidRDefault="00AE2AE6" w:rsidP="00AE2AE6">
      <w:pPr>
        <w:rPr>
          <w:rFonts w:asciiTheme="minorHAnsi" w:hAnsiTheme="minorHAnsi"/>
        </w:rPr>
      </w:pPr>
      <w:r w:rsidRPr="008C7781">
        <w:rPr>
          <w:rFonts w:asciiTheme="minorHAnsi" w:hAnsiTheme="minorHAnsi"/>
        </w:rPr>
        <w:tab/>
        <w:t>Kostka rzędowa powinna mieć kształt zbliżony do prostopadłościanu o równoległej powierzchni dolnej do górnej. Cała bryła kostki powinna mieścić się w prostopadłościanie zbudowanym na powierzchni górnej jako podstawie.</w:t>
      </w:r>
    </w:p>
    <w:p w:rsidR="00AE2AE6" w:rsidRPr="008C7781" w:rsidRDefault="00AE2AE6" w:rsidP="00AE2AE6">
      <w:pPr>
        <w:rPr>
          <w:rFonts w:asciiTheme="minorHAnsi" w:hAnsiTheme="minorHAnsi"/>
        </w:rPr>
      </w:pPr>
      <w:r w:rsidRPr="008C7781">
        <w:rPr>
          <w:rFonts w:asciiTheme="minorHAnsi" w:hAnsiTheme="minorHAnsi"/>
        </w:rPr>
        <w:tab/>
        <w:t>Kształt kostki rzędowej przedstawia rysunek 2.</w:t>
      </w:r>
    </w:p>
    <w:p w:rsidR="00AE2AE6" w:rsidRPr="008C7781" w:rsidRDefault="00AE2AE6" w:rsidP="00C3299C">
      <w:pPr>
        <w:ind w:left="709"/>
        <w:rPr>
          <w:rFonts w:asciiTheme="minorHAnsi" w:hAnsiTheme="minorHAnsi"/>
        </w:rPr>
      </w:pPr>
      <w:r>
        <w:rPr>
          <w:rFonts w:asciiTheme="minorHAnsi" w:hAnsiTheme="minorHAnsi"/>
          <w:noProof/>
        </w:rPr>
        <w:drawing>
          <wp:inline distT="0" distB="0" distL="0" distR="0">
            <wp:extent cx="2173605" cy="1569720"/>
            <wp:effectExtent l="19050" t="0" r="0" b="0"/>
            <wp:docPr id="9" name="Obraz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a:blip r:embed="rId48" cstate="print"/>
                    <a:srcRect/>
                    <a:stretch>
                      <a:fillRect/>
                    </a:stretch>
                  </pic:blipFill>
                  <pic:spPr bwMode="auto">
                    <a:xfrm>
                      <a:off x="0" y="0"/>
                      <a:ext cx="2173605" cy="1569720"/>
                    </a:xfrm>
                    <a:prstGeom prst="rect">
                      <a:avLst/>
                    </a:prstGeom>
                    <a:noFill/>
                    <a:ln w="9525">
                      <a:noFill/>
                      <a:miter lim="800000"/>
                      <a:headEnd/>
                      <a:tailEnd/>
                    </a:ln>
                  </pic:spPr>
                </pic:pic>
              </a:graphicData>
            </a:graphic>
          </wp:inline>
        </w:drawing>
      </w:r>
    </w:p>
    <w:p w:rsidR="00AE2AE6" w:rsidRPr="008C7781" w:rsidRDefault="00AE2AE6" w:rsidP="00AE2AE6">
      <w:pPr>
        <w:rPr>
          <w:rFonts w:asciiTheme="minorHAnsi" w:hAnsiTheme="minorHAnsi"/>
        </w:rPr>
      </w:pPr>
    </w:p>
    <w:p w:rsidR="00AE2AE6" w:rsidRPr="008C7781" w:rsidRDefault="00AE2AE6" w:rsidP="00AE2AE6">
      <w:pPr>
        <w:rPr>
          <w:rFonts w:asciiTheme="minorHAnsi" w:hAnsiTheme="minorHAnsi"/>
        </w:rPr>
      </w:pPr>
      <w:r w:rsidRPr="008C7781">
        <w:rPr>
          <w:rFonts w:asciiTheme="minorHAnsi" w:hAnsiTheme="minorHAnsi"/>
          <w:b/>
        </w:rPr>
        <w:t>Rysunek 2.</w:t>
      </w:r>
      <w:r w:rsidRPr="008C7781">
        <w:rPr>
          <w:rFonts w:asciiTheme="minorHAnsi" w:hAnsiTheme="minorHAnsi"/>
        </w:rPr>
        <w:t xml:space="preserve"> Kształt kostki rzędowej</w:t>
      </w:r>
    </w:p>
    <w:p w:rsidR="00C3299C" w:rsidRDefault="00AE2AE6" w:rsidP="00AE2AE6">
      <w:pPr>
        <w:rPr>
          <w:rFonts w:asciiTheme="minorHAnsi" w:hAnsiTheme="minorHAnsi"/>
        </w:rPr>
      </w:pPr>
      <w:r w:rsidRPr="008C7781">
        <w:rPr>
          <w:rFonts w:asciiTheme="minorHAnsi" w:hAnsiTheme="minorHAnsi"/>
        </w:rPr>
        <w:tab/>
      </w:r>
    </w:p>
    <w:p w:rsidR="00AE2AE6" w:rsidRPr="008C7781" w:rsidRDefault="00AE2AE6" w:rsidP="00AE2AE6">
      <w:pPr>
        <w:rPr>
          <w:rFonts w:asciiTheme="minorHAnsi" w:hAnsiTheme="minorHAnsi"/>
        </w:rPr>
      </w:pPr>
      <w:r w:rsidRPr="008C7781">
        <w:rPr>
          <w:rFonts w:asciiTheme="minorHAnsi" w:hAnsiTheme="minorHAnsi"/>
        </w:rPr>
        <w:t>Wymagania dotyczące wymiarów kostki rzędowej przedstawia tablica 3.</w:t>
      </w:r>
    </w:p>
    <w:p w:rsidR="00AE2AE6" w:rsidRPr="008C7781" w:rsidRDefault="00AE2AE6" w:rsidP="00AE2AE6">
      <w:pPr>
        <w:rPr>
          <w:rFonts w:asciiTheme="minorHAnsi" w:hAnsiTheme="minorHAnsi"/>
        </w:rPr>
      </w:pPr>
      <w:r w:rsidRPr="008C7781">
        <w:rPr>
          <w:rFonts w:asciiTheme="minorHAnsi" w:hAnsiTheme="minorHAnsi"/>
        </w:rPr>
        <w:tab/>
        <w:t>Uszkodzenia krawędzi i naroży kostki powinny być nie większe niż podane dla gatunku 2 i 3 kostki regularnej.</w:t>
      </w:r>
    </w:p>
    <w:p w:rsidR="00AE2AE6" w:rsidRPr="008C7781" w:rsidRDefault="00AE2AE6" w:rsidP="00AE2AE6">
      <w:pPr>
        <w:rPr>
          <w:rFonts w:asciiTheme="minorHAnsi" w:hAnsiTheme="minorHAnsi"/>
        </w:rPr>
      </w:pPr>
      <w:r w:rsidRPr="008C7781">
        <w:rPr>
          <w:rFonts w:asciiTheme="minorHAnsi" w:hAnsiTheme="minorHAnsi"/>
        </w:rPr>
        <w:tab/>
        <w:t>Szerokość lub głębokość uszkodzenia krawędzi lub naroży nie powinna być większa niż 0,6 cm.</w:t>
      </w:r>
    </w:p>
    <w:p w:rsidR="00AE2AE6" w:rsidRPr="008C7781" w:rsidRDefault="00AE2AE6" w:rsidP="00AE2AE6">
      <w:pPr>
        <w:rPr>
          <w:rFonts w:asciiTheme="minorHAnsi" w:hAnsiTheme="minorHAnsi"/>
        </w:rPr>
      </w:pPr>
    </w:p>
    <w:p w:rsidR="00AE2AE6" w:rsidRPr="008C7781" w:rsidRDefault="00AE2AE6" w:rsidP="00C3299C">
      <w:pPr>
        <w:ind w:left="709"/>
        <w:rPr>
          <w:rFonts w:asciiTheme="minorHAnsi" w:hAnsiTheme="minorHAnsi"/>
        </w:rPr>
      </w:pPr>
      <w:r w:rsidRPr="008C7781">
        <w:rPr>
          <w:rFonts w:asciiTheme="minorHAnsi" w:hAnsiTheme="minorHAnsi"/>
          <w:b/>
        </w:rPr>
        <w:t xml:space="preserve">Tablica 3. </w:t>
      </w:r>
      <w:r w:rsidRPr="008C7781">
        <w:rPr>
          <w:rFonts w:asciiTheme="minorHAnsi" w:hAnsiTheme="minorHAnsi"/>
        </w:rPr>
        <w:t>Wymiary kostki rzędowej oraz dopuszczalne odchyłki</w:t>
      </w:r>
    </w:p>
    <w:tbl>
      <w:tblPr>
        <w:tblW w:w="14785" w:type="dxa"/>
        <w:tblInd w:w="779" w:type="dxa"/>
        <w:tblLayout w:type="fixed"/>
        <w:tblCellMar>
          <w:left w:w="70" w:type="dxa"/>
          <w:right w:w="70" w:type="dxa"/>
        </w:tblCellMar>
        <w:tblLook w:val="0000"/>
      </w:tblPr>
      <w:tblGrid>
        <w:gridCol w:w="2905"/>
        <w:gridCol w:w="709"/>
        <w:gridCol w:w="709"/>
        <w:gridCol w:w="709"/>
        <w:gridCol w:w="708"/>
        <w:gridCol w:w="553"/>
        <w:gridCol w:w="615"/>
        <w:gridCol w:w="676"/>
        <w:gridCol w:w="1440"/>
        <w:gridCol w:w="1440"/>
        <w:gridCol w:w="1440"/>
        <w:gridCol w:w="1440"/>
        <w:gridCol w:w="1441"/>
      </w:tblGrid>
      <w:tr w:rsidR="00AE2AE6" w:rsidRPr="008C7781" w:rsidTr="00C3299C">
        <w:tc>
          <w:tcPr>
            <w:tcW w:w="2905" w:type="dxa"/>
            <w:tcBorders>
              <w:top w:val="single" w:sz="6" w:space="0" w:color="auto"/>
              <w:left w:val="single" w:sz="6" w:space="0" w:color="auto"/>
            </w:tcBorders>
          </w:tcPr>
          <w:p w:rsidR="00AE2AE6" w:rsidRPr="008C7781" w:rsidRDefault="00AE2AE6" w:rsidP="00737B18">
            <w:pPr>
              <w:jc w:val="center"/>
              <w:rPr>
                <w:rFonts w:asciiTheme="minorHAnsi" w:hAnsiTheme="minorHAnsi"/>
              </w:rPr>
            </w:pPr>
          </w:p>
          <w:p w:rsidR="00AE2AE6" w:rsidRPr="008C7781" w:rsidRDefault="00AE2AE6" w:rsidP="00737B18">
            <w:pPr>
              <w:spacing w:before="120"/>
              <w:jc w:val="center"/>
              <w:rPr>
                <w:rFonts w:asciiTheme="minorHAnsi" w:hAnsiTheme="minorHAnsi"/>
              </w:rPr>
            </w:pPr>
            <w:r w:rsidRPr="008C7781">
              <w:rPr>
                <w:rFonts w:asciiTheme="minorHAnsi" w:hAnsiTheme="minorHAnsi"/>
              </w:rPr>
              <w:t>Wyszczególnienie</w:t>
            </w:r>
          </w:p>
        </w:tc>
        <w:tc>
          <w:tcPr>
            <w:tcW w:w="2835" w:type="dxa"/>
            <w:gridSpan w:val="4"/>
            <w:tcBorders>
              <w:top w:val="single" w:sz="6" w:space="0" w:color="auto"/>
              <w:left w:val="single" w:sz="6" w:space="0" w:color="auto"/>
              <w:bottom w:val="single" w:sz="6" w:space="0" w:color="auto"/>
              <w:right w:val="single" w:sz="6" w:space="0" w:color="auto"/>
            </w:tcBorders>
          </w:tcPr>
          <w:p w:rsidR="00AE2AE6" w:rsidRPr="008C7781" w:rsidRDefault="00AE2AE6" w:rsidP="00737B18">
            <w:pPr>
              <w:spacing w:before="120"/>
              <w:jc w:val="center"/>
              <w:rPr>
                <w:rFonts w:asciiTheme="minorHAnsi" w:hAnsiTheme="minorHAnsi"/>
              </w:rPr>
            </w:pPr>
            <w:r w:rsidRPr="008C7781">
              <w:rPr>
                <w:rFonts w:asciiTheme="minorHAnsi" w:hAnsiTheme="minorHAnsi"/>
              </w:rPr>
              <w:t>Wielkość</w:t>
            </w:r>
          </w:p>
          <w:p w:rsidR="00AE2AE6" w:rsidRPr="008C7781" w:rsidRDefault="00AE2AE6" w:rsidP="00737B18">
            <w:pPr>
              <w:jc w:val="center"/>
              <w:rPr>
                <w:rFonts w:asciiTheme="minorHAnsi" w:hAnsiTheme="minorHAnsi"/>
              </w:rPr>
            </w:pPr>
            <w:r w:rsidRPr="008C7781">
              <w:rPr>
                <w:rFonts w:asciiTheme="minorHAnsi" w:hAnsiTheme="minorHAnsi"/>
              </w:rPr>
              <w:t>(cm)</w:t>
            </w:r>
          </w:p>
        </w:tc>
        <w:tc>
          <w:tcPr>
            <w:tcW w:w="1844" w:type="dxa"/>
            <w:gridSpan w:val="3"/>
            <w:tcBorders>
              <w:top w:val="single" w:sz="6" w:space="0" w:color="auto"/>
              <w:left w:val="single" w:sz="6" w:space="0" w:color="auto"/>
              <w:bottom w:val="single" w:sz="6" w:space="0" w:color="auto"/>
              <w:right w:val="single" w:sz="6" w:space="0" w:color="auto"/>
            </w:tcBorders>
          </w:tcPr>
          <w:p w:rsidR="00AE2AE6" w:rsidRPr="008C7781" w:rsidRDefault="00AE2AE6" w:rsidP="00737B18">
            <w:pPr>
              <w:jc w:val="center"/>
              <w:rPr>
                <w:rFonts w:asciiTheme="minorHAnsi" w:hAnsiTheme="minorHAnsi"/>
              </w:rPr>
            </w:pPr>
            <w:r w:rsidRPr="008C7781">
              <w:rPr>
                <w:rFonts w:asciiTheme="minorHAnsi" w:hAnsiTheme="minorHAnsi"/>
              </w:rPr>
              <w:t xml:space="preserve">Dopuszczalne </w:t>
            </w:r>
          </w:p>
          <w:p w:rsidR="00AE2AE6" w:rsidRPr="008C7781" w:rsidRDefault="00AE2AE6" w:rsidP="00737B18">
            <w:pPr>
              <w:jc w:val="center"/>
              <w:rPr>
                <w:rFonts w:asciiTheme="minorHAnsi" w:hAnsiTheme="minorHAnsi"/>
              </w:rPr>
            </w:pPr>
            <w:r w:rsidRPr="008C7781">
              <w:rPr>
                <w:rFonts w:asciiTheme="minorHAnsi" w:hAnsiTheme="minorHAnsi"/>
              </w:rPr>
              <w:t>odchyłki dla gatunku</w:t>
            </w:r>
          </w:p>
          <w:p w:rsidR="00AE2AE6" w:rsidRPr="008C7781" w:rsidRDefault="00AE2AE6" w:rsidP="00737B18">
            <w:pPr>
              <w:jc w:val="center"/>
              <w:rPr>
                <w:rFonts w:asciiTheme="minorHAnsi" w:hAnsiTheme="minorHAnsi"/>
              </w:rPr>
            </w:pPr>
            <w:r w:rsidRPr="008C7781">
              <w:rPr>
                <w:rFonts w:asciiTheme="minorHAnsi" w:hAnsiTheme="minorHAnsi"/>
              </w:rPr>
              <w:t>(cm)</w:t>
            </w:r>
          </w:p>
        </w:tc>
        <w:tc>
          <w:tcPr>
            <w:tcW w:w="1440" w:type="dxa"/>
          </w:tcPr>
          <w:p w:rsidR="00AE2AE6" w:rsidRPr="008C7781" w:rsidRDefault="00AE2AE6" w:rsidP="00737B18">
            <w:pPr>
              <w:rPr>
                <w:rFonts w:asciiTheme="minorHAnsi" w:hAnsiTheme="minorHAnsi"/>
              </w:rPr>
            </w:pPr>
          </w:p>
        </w:tc>
        <w:tc>
          <w:tcPr>
            <w:tcW w:w="1440" w:type="dxa"/>
          </w:tcPr>
          <w:p w:rsidR="00AE2AE6" w:rsidRPr="008C7781" w:rsidRDefault="00AE2AE6" w:rsidP="00737B18">
            <w:pPr>
              <w:rPr>
                <w:rFonts w:asciiTheme="minorHAnsi" w:hAnsiTheme="minorHAnsi"/>
              </w:rPr>
            </w:pPr>
          </w:p>
        </w:tc>
        <w:tc>
          <w:tcPr>
            <w:tcW w:w="1440" w:type="dxa"/>
          </w:tcPr>
          <w:p w:rsidR="00AE2AE6" w:rsidRPr="008C7781" w:rsidRDefault="00AE2AE6" w:rsidP="00737B18">
            <w:pPr>
              <w:rPr>
                <w:rFonts w:asciiTheme="minorHAnsi" w:hAnsiTheme="minorHAnsi"/>
              </w:rPr>
            </w:pPr>
          </w:p>
        </w:tc>
        <w:tc>
          <w:tcPr>
            <w:tcW w:w="1440" w:type="dxa"/>
          </w:tcPr>
          <w:p w:rsidR="00AE2AE6" w:rsidRPr="008C7781" w:rsidRDefault="00AE2AE6" w:rsidP="00737B18">
            <w:pPr>
              <w:rPr>
                <w:rFonts w:asciiTheme="minorHAnsi" w:hAnsiTheme="minorHAnsi"/>
              </w:rPr>
            </w:pPr>
          </w:p>
        </w:tc>
        <w:tc>
          <w:tcPr>
            <w:tcW w:w="1441" w:type="dxa"/>
          </w:tcPr>
          <w:p w:rsidR="00AE2AE6" w:rsidRPr="008C7781" w:rsidRDefault="00AE2AE6" w:rsidP="00737B18">
            <w:pPr>
              <w:rPr>
                <w:rFonts w:asciiTheme="minorHAnsi" w:hAnsiTheme="minorHAnsi"/>
              </w:rPr>
            </w:pPr>
          </w:p>
        </w:tc>
      </w:tr>
      <w:tr w:rsidR="00AE2AE6" w:rsidRPr="008C7781" w:rsidTr="00C3299C">
        <w:trPr>
          <w:gridAfter w:val="5"/>
          <w:wAfter w:w="7201" w:type="dxa"/>
        </w:trPr>
        <w:tc>
          <w:tcPr>
            <w:tcW w:w="2905" w:type="dxa"/>
            <w:tcBorders>
              <w:left w:val="single" w:sz="6" w:space="0" w:color="auto"/>
              <w:bottom w:val="double" w:sz="6" w:space="0" w:color="auto"/>
            </w:tcBorders>
          </w:tcPr>
          <w:p w:rsidR="00AE2AE6" w:rsidRPr="008C7781" w:rsidRDefault="00AE2AE6" w:rsidP="00737B18">
            <w:pPr>
              <w:rPr>
                <w:rFonts w:asciiTheme="minorHAnsi" w:hAnsiTheme="minorHAnsi"/>
              </w:rPr>
            </w:pPr>
          </w:p>
        </w:tc>
        <w:tc>
          <w:tcPr>
            <w:tcW w:w="709" w:type="dxa"/>
            <w:tcBorders>
              <w:top w:val="single" w:sz="6" w:space="0" w:color="auto"/>
              <w:left w:val="single" w:sz="6" w:space="0" w:color="auto"/>
              <w:bottom w:val="double" w:sz="6" w:space="0" w:color="auto"/>
              <w:right w:val="single" w:sz="6" w:space="0" w:color="auto"/>
            </w:tcBorders>
          </w:tcPr>
          <w:p w:rsidR="00AE2AE6" w:rsidRPr="008C7781" w:rsidRDefault="00AE2AE6" w:rsidP="00737B18">
            <w:pPr>
              <w:jc w:val="center"/>
              <w:rPr>
                <w:rFonts w:asciiTheme="minorHAnsi" w:hAnsiTheme="minorHAnsi"/>
              </w:rPr>
            </w:pPr>
            <w:r w:rsidRPr="008C7781">
              <w:rPr>
                <w:rFonts w:asciiTheme="minorHAnsi" w:hAnsiTheme="minorHAnsi"/>
              </w:rPr>
              <w:t>12</w:t>
            </w:r>
          </w:p>
        </w:tc>
        <w:tc>
          <w:tcPr>
            <w:tcW w:w="709" w:type="dxa"/>
            <w:tcBorders>
              <w:top w:val="single" w:sz="6" w:space="0" w:color="auto"/>
              <w:left w:val="single" w:sz="6" w:space="0" w:color="auto"/>
              <w:bottom w:val="double" w:sz="6" w:space="0" w:color="auto"/>
              <w:right w:val="single" w:sz="6" w:space="0" w:color="auto"/>
            </w:tcBorders>
          </w:tcPr>
          <w:p w:rsidR="00AE2AE6" w:rsidRPr="008C7781" w:rsidRDefault="00AE2AE6" w:rsidP="00737B18">
            <w:pPr>
              <w:jc w:val="center"/>
              <w:rPr>
                <w:rFonts w:asciiTheme="minorHAnsi" w:hAnsiTheme="minorHAnsi"/>
              </w:rPr>
            </w:pPr>
            <w:r w:rsidRPr="008C7781">
              <w:rPr>
                <w:rFonts w:asciiTheme="minorHAnsi" w:hAnsiTheme="minorHAnsi"/>
              </w:rPr>
              <w:t>14</w:t>
            </w:r>
          </w:p>
        </w:tc>
        <w:tc>
          <w:tcPr>
            <w:tcW w:w="709" w:type="dxa"/>
            <w:tcBorders>
              <w:top w:val="single" w:sz="6" w:space="0" w:color="auto"/>
              <w:left w:val="single" w:sz="6" w:space="0" w:color="auto"/>
              <w:bottom w:val="double" w:sz="6" w:space="0" w:color="auto"/>
              <w:right w:val="single" w:sz="6" w:space="0" w:color="auto"/>
            </w:tcBorders>
          </w:tcPr>
          <w:p w:rsidR="00AE2AE6" w:rsidRPr="008C7781" w:rsidRDefault="00AE2AE6" w:rsidP="00737B18">
            <w:pPr>
              <w:jc w:val="center"/>
              <w:rPr>
                <w:rFonts w:asciiTheme="minorHAnsi" w:hAnsiTheme="minorHAnsi"/>
              </w:rPr>
            </w:pPr>
            <w:r w:rsidRPr="008C7781">
              <w:rPr>
                <w:rFonts w:asciiTheme="minorHAnsi" w:hAnsiTheme="minorHAnsi"/>
              </w:rPr>
              <w:t>16</w:t>
            </w:r>
          </w:p>
        </w:tc>
        <w:tc>
          <w:tcPr>
            <w:tcW w:w="708" w:type="dxa"/>
            <w:tcBorders>
              <w:top w:val="single" w:sz="6" w:space="0" w:color="auto"/>
              <w:left w:val="single" w:sz="6" w:space="0" w:color="auto"/>
              <w:bottom w:val="double" w:sz="6" w:space="0" w:color="auto"/>
              <w:right w:val="single" w:sz="6" w:space="0" w:color="auto"/>
            </w:tcBorders>
          </w:tcPr>
          <w:p w:rsidR="00AE2AE6" w:rsidRPr="008C7781" w:rsidRDefault="00AE2AE6" w:rsidP="00737B18">
            <w:pPr>
              <w:jc w:val="center"/>
              <w:rPr>
                <w:rFonts w:asciiTheme="minorHAnsi" w:hAnsiTheme="minorHAnsi"/>
              </w:rPr>
            </w:pPr>
            <w:r w:rsidRPr="008C7781">
              <w:rPr>
                <w:rFonts w:asciiTheme="minorHAnsi" w:hAnsiTheme="minorHAnsi"/>
              </w:rPr>
              <w:t>18</w:t>
            </w:r>
          </w:p>
        </w:tc>
        <w:tc>
          <w:tcPr>
            <w:tcW w:w="553" w:type="dxa"/>
            <w:tcBorders>
              <w:top w:val="single" w:sz="6" w:space="0" w:color="auto"/>
              <w:left w:val="single" w:sz="6" w:space="0" w:color="auto"/>
              <w:bottom w:val="double" w:sz="6" w:space="0" w:color="auto"/>
              <w:right w:val="single" w:sz="6" w:space="0" w:color="auto"/>
            </w:tcBorders>
          </w:tcPr>
          <w:p w:rsidR="00AE2AE6" w:rsidRPr="008C7781" w:rsidRDefault="00AE2AE6" w:rsidP="00737B18">
            <w:pPr>
              <w:jc w:val="center"/>
              <w:rPr>
                <w:rFonts w:asciiTheme="minorHAnsi" w:hAnsiTheme="minorHAnsi"/>
              </w:rPr>
            </w:pPr>
            <w:r w:rsidRPr="008C7781">
              <w:rPr>
                <w:rFonts w:asciiTheme="minorHAnsi" w:hAnsiTheme="minorHAnsi"/>
              </w:rPr>
              <w:t>1</w:t>
            </w:r>
          </w:p>
        </w:tc>
        <w:tc>
          <w:tcPr>
            <w:tcW w:w="615" w:type="dxa"/>
            <w:tcBorders>
              <w:top w:val="single" w:sz="6" w:space="0" w:color="auto"/>
              <w:left w:val="single" w:sz="6" w:space="0" w:color="auto"/>
              <w:bottom w:val="double" w:sz="6" w:space="0" w:color="auto"/>
              <w:right w:val="single" w:sz="6" w:space="0" w:color="auto"/>
            </w:tcBorders>
          </w:tcPr>
          <w:p w:rsidR="00AE2AE6" w:rsidRPr="008C7781" w:rsidRDefault="00AE2AE6" w:rsidP="00737B18">
            <w:pPr>
              <w:jc w:val="center"/>
              <w:rPr>
                <w:rFonts w:asciiTheme="minorHAnsi" w:hAnsiTheme="minorHAnsi"/>
              </w:rPr>
            </w:pPr>
            <w:r w:rsidRPr="008C7781">
              <w:rPr>
                <w:rFonts w:asciiTheme="minorHAnsi" w:hAnsiTheme="minorHAnsi"/>
              </w:rPr>
              <w:t>2</w:t>
            </w:r>
          </w:p>
        </w:tc>
        <w:tc>
          <w:tcPr>
            <w:tcW w:w="676" w:type="dxa"/>
            <w:tcBorders>
              <w:top w:val="single" w:sz="6" w:space="0" w:color="auto"/>
              <w:left w:val="single" w:sz="6" w:space="0" w:color="auto"/>
              <w:bottom w:val="double" w:sz="6" w:space="0" w:color="auto"/>
              <w:right w:val="single" w:sz="6" w:space="0" w:color="auto"/>
            </w:tcBorders>
          </w:tcPr>
          <w:p w:rsidR="00AE2AE6" w:rsidRPr="008C7781" w:rsidRDefault="00AE2AE6" w:rsidP="00737B18">
            <w:pPr>
              <w:jc w:val="center"/>
              <w:rPr>
                <w:rFonts w:asciiTheme="minorHAnsi" w:hAnsiTheme="minorHAnsi"/>
              </w:rPr>
            </w:pPr>
            <w:r w:rsidRPr="008C7781">
              <w:rPr>
                <w:rFonts w:asciiTheme="minorHAnsi" w:hAnsiTheme="minorHAnsi"/>
              </w:rPr>
              <w:t>3</w:t>
            </w:r>
          </w:p>
        </w:tc>
      </w:tr>
      <w:tr w:rsidR="00AE2AE6" w:rsidRPr="008C7781" w:rsidTr="00C3299C">
        <w:trPr>
          <w:gridAfter w:val="5"/>
          <w:wAfter w:w="7201" w:type="dxa"/>
        </w:trPr>
        <w:tc>
          <w:tcPr>
            <w:tcW w:w="2905" w:type="dxa"/>
            <w:tcBorders>
              <w:left w:val="single" w:sz="6" w:space="0" w:color="auto"/>
              <w:bottom w:val="single" w:sz="6" w:space="0" w:color="auto"/>
              <w:right w:val="single" w:sz="6" w:space="0" w:color="auto"/>
            </w:tcBorders>
          </w:tcPr>
          <w:p w:rsidR="00AE2AE6" w:rsidRPr="008C7781" w:rsidRDefault="00AE2AE6" w:rsidP="00737B18">
            <w:pPr>
              <w:spacing w:before="60" w:after="60"/>
              <w:rPr>
                <w:rFonts w:asciiTheme="minorHAnsi" w:hAnsiTheme="minorHAnsi"/>
              </w:rPr>
            </w:pPr>
            <w:r w:rsidRPr="008C7781">
              <w:rPr>
                <w:rFonts w:asciiTheme="minorHAnsi" w:hAnsiTheme="minorHAnsi"/>
              </w:rPr>
              <w:t>Wymiar a</w:t>
            </w:r>
          </w:p>
        </w:tc>
        <w:tc>
          <w:tcPr>
            <w:tcW w:w="709" w:type="dxa"/>
            <w:tcBorders>
              <w:left w:val="single" w:sz="6" w:space="0" w:color="auto"/>
              <w:bottom w:val="single" w:sz="6" w:space="0" w:color="auto"/>
              <w:right w:val="single" w:sz="6" w:space="0" w:color="auto"/>
            </w:tcBorders>
          </w:tcPr>
          <w:p w:rsidR="00AE2AE6" w:rsidRPr="008C7781" w:rsidRDefault="00AE2AE6" w:rsidP="00737B18">
            <w:pPr>
              <w:spacing w:before="60" w:after="60"/>
              <w:jc w:val="center"/>
              <w:rPr>
                <w:rFonts w:asciiTheme="minorHAnsi" w:hAnsiTheme="minorHAnsi"/>
              </w:rPr>
            </w:pPr>
            <w:r w:rsidRPr="008C7781">
              <w:rPr>
                <w:rFonts w:asciiTheme="minorHAnsi" w:hAnsiTheme="minorHAnsi"/>
              </w:rPr>
              <w:t>12</w:t>
            </w:r>
          </w:p>
        </w:tc>
        <w:tc>
          <w:tcPr>
            <w:tcW w:w="709" w:type="dxa"/>
            <w:tcBorders>
              <w:left w:val="single" w:sz="6" w:space="0" w:color="auto"/>
              <w:bottom w:val="single" w:sz="6" w:space="0" w:color="auto"/>
              <w:right w:val="single" w:sz="6" w:space="0" w:color="auto"/>
            </w:tcBorders>
          </w:tcPr>
          <w:p w:rsidR="00AE2AE6" w:rsidRPr="008C7781" w:rsidRDefault="00AE2AE6" w:rsidP="00737B18">
            <w:pPr>
              <w:spacing w:before="60" w:after="60"/>
              <w:jc w:val="center"/>
              <w:rPr>
                <w:rFonts w:asciiTheme="minorHAnsi" w:hAnsiTheme="minorHAnsi"/>
              </w:rPr>
            </w:pPr>
            <w:r w:rsidRPr="008C7781">
              <w:rPr>
                <w:rFonts w:asciiTheme="minorHAnsi" w:hAnsiTheme="minorHAnsi"/>
              </w:rPr>
              <w:t>14</w:t>
            </w:r>
          </w:p>
        </w:tc>
        <w:tc>
          <w:tcPr>
            <w:tcW w:w="709" w:type="dxa"/>
            <w:tcBorders>
              <w:left w:val="single" w:sz="6" w:space="0" w:color="auto"/>
              <w:bottom w:val="single" w:sz="6" w:space="0" w:color="auto"/>
              <w:right w:val="single" w:sz="6" w:space="0" w:color="auto"/>
            </w:tcBorders>
          </w:tcPr>
          <w:p w:rsidR="00AE2AE6" w:rsidRPr="008C7781" w:rsidRDefault="00AE2AE6" w:rsidP="00737B18">
            <w:pPr>
              <w:spacing w:before="60" w:after="60"/>
              <w:jc w:val="center"/>
              <w:rPr>
                <w:rFonts w:asciiTheme="minorHAnsi" w:hAnsiTheme="minorHAnsi"/>
              </w:rPr>
            </w:pPr>
            <w:r w:rsidRPr="008C7781">
              <w:rPr>
                <w:rFonts w:asciiTheme="minorHAnsi" w:hAnsiTheme="minorHAnsi"/>
              </w:rPr>
              <w:t>16</w:t>
            </w:r>
          </w:p>
        </w:tc>
        <w:tc>
          <w:tcPr>
            <w:tcW w:w="708" w:type="dxa"/>
            <w:tcBorders>
              <w:left w:val="single" w:sz="6" w:space="0" w:color="auto"/>
              <w:bottom w:val="single" w:sz="6" w:space="0" w:color="auto"/>
              <w:right w:val="single" w:sz="6" w:space="0" w:color="auto"/>
            </w:tcBorders>
          </w:tcPr>
          <w:p w:rsidR="00AE2AE6" w:rsidRPr="008C7781" w:rsidRDefault="00AE2AE6" w:rsidP="00737B18">
            <w:pPr>
              <w:spacing w:before="60" w:after="60"/>
              <w:jc w:val="center"/>
              <w:rPr>
                <w:rFonts w:asciiTheme="minorHAnsi" w:hAnsiTheme="minorHAnsi"/>
              </w:rPr>
            </w:pPr>
            <w:r w:rsidRPr="008C7781">
              <w:rPr>
                <w:rFonts w:asciiTheme="minorHAnsi" w:hAnsiTheme="minorHAnsi"/>
              </w:rPr>
              <w:t>18</w:t>
            </w:r>
          </w:p>
        </w:tc>
        <w:tc>
          <w:tcPr>
            <w:tcW w:w="553" w:type="dxa"/>
            <w:tcBorders>
              <w:left w:val="single" w:sz="6" w:space="0" w:color="auto"/>
              <w:bottom w:val="single" w:sz="6" w:space="0" w:color="auto"/>
              <w:right w:val="single" w:sz="6" w:space="0" w:color="auto"/>
            </w:tcBorders>
          </w:tcPr>
          <w:p w:rsidR="00AE2AE6" w:rsidRPr="008C7781" w:rsidRDefault="00AE2AE6" w:rsidP="00737B18">
            <w:pPr>
              <w:spacing w:before="60" w:after="60"/>
              <w:jc w:val="center"/>
              <w:rPr>
                <w:rFonts w:asciiTheme="minorHAnsi" w:hAnsiTheme="minorHAnsi"/>
              </w:rPr>
            </w:pPr>
            <w:r w:rsidRPr="008C7781">
              <w:rPr>
                <w:rFonts w:asciiTheme="minorHAnsi" w:hAnsiTheme="minorHAnsi"/>
              </w:rPr>
              <w:sym w:font="Symbol" w:char="F0B1"/>
            </w:r>
            <w:r w:rsidRPr="008C7781">
              <w:rPr>
                <w:rFonts w:asciiTheme="minorHAnsi" w:hAnsiTheme="minorHAnsi"/>
              </w:rPr>
              <w:t xml:space="preserve"> 0,5</w:t>
            </w:r>
          </w:p>
        </w:tc>
        <w:tc>
          <w:tcPr>
            <w:tcW w:w="615" w:type="dxa"/>
            <w:tcBorders>
              <w:left w:val="nil"/>
              <w:bottom w:val="single" w:sz="6" w:space="0" w:color="auto"/>
              <w:right w:val="single" w:sz="6" w:space="0" w:color="auto"/>
            </w:tcBorders>
          </w:tcPr>
          <w:p w:rsidR="00AE2AE6" w:rsidRPr="008C7781" w:rsidRDefault="00AE2AE6" w:rsidP="00737B18">
            <w:pPr>
              <w:spacing w:before="60" w:after="60"/>
              <w:jc w:val="center"/>
              <w:rPr>
                <w:rFonts w:asciiTheme="minorHAnsi" w:hAnsiTheme="minorHAnsi"/>
              </w:rPr>
            </w:pPr>
            <w:r w:rsidRPr="008C7781">
              <w:rPr>
                <w:rFonts w:asciiTheme="minorHAnsi" w:hAnsiTheme="minorHAnsi"/>
              </w:rPr>
              <w:sym w:font="Symbol" w:char="F0B1"/>
            </w:r>
            <w:r w:rsidRPr="008C7781">
              <w:rPr>
                <w:rFonts w:asciiTheme="minorHAnsi" w:hAnsiTheme="minorHAnsi"/>
              </w:rPr>
              <w:t xml:space="preserve"> 0,7</w:t>
            </w:r>
          </w:p>
        </w:tc>
        <w:tc>
          <w:tcPr>
            <w:tcW w:w="676" w:type="dxa"/>
            <w:tcBorders>
              <w:left w:val="single" w:sz="6" w:space="0" w:color="auto"/>
              <w:bottom w:val="single" w:sz="6" w:space="0" w:color="auto"/>
              <w:right w:val="single" w:sz="6" w:space="0" w:color="auto"/>
            </w:tcBorders>
          </w:tcPr>
          <w:p w:rsidR="00AE2AE6" w:rsidRPr="008C7781" w:rsidRDefault="00AE2AE6" w:rsidP="00737B18">
            <w:pPr>
              <w:spacing w:before="60" w:after="60"/>
              <w:jc w:val="center"/>
              <w:rPr>
                <w:rFonts w:asciiTheme="minorHAnsi" w:hAnsiTheme="minorHAnsi"/>
              </w:rPr>
            </w:pPr>
            <w:r w:rsidRPr="008C7781">
              <w:rPr>
                <w:rFonts w:asciiTheme="minorHAnsi" w:hAnsiTheme="minorHAnsi"/>
              </w:rPr>
              <w:sym w:font="Symbol" w:char="F0B1"/>
            </w:r>
            <w:r w:rsidRPr="008C7781">
              <w:rPr>
                <w:rFonts w:asciiTheme="minorHAnsi" w:hAnsiTheme="minorHAnsi"/>
              </w:rPr>
              <w:t xml:space="preserve"> 1,0</w:t>
            </w:r>
          </w:p>
        </w:tc>
      </w:tr>
      <w:tr w:rsidR="00AE2AE6" w:rsidRPr="008C7781" w:rsidTr="00C3299C">
        <w:trPr>
          <w:gridAfter w:val="5"/>
          <w:wAfter w:w="7201" w:type="dxa"/>
        </w:trPr>
        <w:tc>
          <w:tcPr>
            <w:tcW w:w="2905" w:type="dxa"/>
            <w:tcBorders>
              <w:top w:val="single" w:sz="6" w:space="0" w:color="auto"/>
              <w:left w:val="single" w:sz="6" w:space="0" w:color="auto"/>
              <w:bottom w:val="single" w:sz="6" w:space="0" w:color="auto"/>
              <w:right w:val="single" w:sz="6" w:space="0" w:color="auto"/>
            </w:tcBorders>
          </w:tcPr>
          <w:p w:rsidR="00AE2AE6" w:rsidRPr="008C7781" w:rsidRDefault="00AE2AE6" w:rsidP="00737B18">
            <w:pPr>
              <w:spacing w:before="60" w:after="60"/>
              <w:rPr>
                <w:rFonts w:asciiTheme="minorHAnsi" w:hAnsiTheme="minorHAnsi"/>
              </w:rPr>
            </w:pPr>
            <w:r w:rsidRPr="008C7781">
              <w:rPr>
                <w:rFonts w:asciiTheme="minorHAnsi" w:hAnsiTheme="minorHAnsi"/>
              </w:rPr>
              <w:t>Wymiar b</w:t>
            </w:r>
          </w:p>
        </w:tc>
        <w:tc>
          <w:tcPr>
            <w:tcW w:w="709" w:type="dxa"/>
            <w:tcBorders>
              <w:top w:val="single" w:sz="6" w:space="0" w:color="auto"/>
              <w:left w:val="single" w:sz="6" w:space="0" w:color="auto"/>
              <w:bottom w:val="single" w:sz="6" w:space="0" w:color="auto"/>
              <w:right w:val="single" w:sz="6" w:space="0" w:color="auto"/>
            </w:tcBorders>
          </w:tcPr>
          <w:p w:rsidR="00AE2AE6" w:rsidRPr="008C7781" w:rsidRDefault="00AE2AE6" w:rsidP="00737B18">
            <w:pPr>
              <w:jc w:val="center"/>
              <w:rPr>
                <w:rFonts w:asciiTheme="minorHAnsi" w:hAnsiTheme="minorHAnsi"/>
              </w:rPr>
            </w:pPr>
            <w:r w:rsidRPr="008C7781">
              <w:rPr>
                <w:rFonts w:asciiTheme="minorHAnsi" w:hAnsiTheme="minorHAnsi"/>
              </w:rPr>
              <w:t>od 12 do 24</w:t>
            </w:r>
          </w:p>
        </w:tc>
        <w:tc>
          <w:tcPr>
            <w:tcW w:w="709" w:type="dxa"/>
            <w:tcBorders>
              <w:top w:val="single" w:sz="6" w:space="0" w:color="auto"/>
              <w:left w:val="single" w:sz="6" w:space="0" w:color="auto"/>
              <w:bottom w:val="single" w:sz="6" w:space="0" w:color="auto"/>
              <w:right w:val="single" w:sz="6" w:space="0" w:color="auto"/>
            </w:tcBorders>
          </w:tcPr>
          <w:p w:rsidR="00AE2AE6" w:rsidRPr="008C7781" w:rsidRDefault="00AE2AE6" w:rsidP="00737B18">
            <w:pPr>
              <w:jc w:val="center"/>
              <w:rPr>
                <w:rFonts w:asciiTheme="minorHAnsi" w:hAnsiTheme="minorHAnsi"/>
              </w:rPr>
            </w:pPr>
            <w:r w:rsidRPr="008C7781">
              <w:rPr>
                <w:rFonts w:asciiTheme="minorHAnsi" w:hAnsiTheme="minorHAnsi"/>
              </w:rPr>
              <w:t>od 14 do 28</w:t>
            </w:r>
          </w:p>
        </w:tc>
        <w:tc>
          <w:tcPr>
            <w:tcW w:w="709" w:type="dxa"/>
            <w:tcBorders>
              <w:top w:val="single" w:sz="6" w:space="0" w:color="auto"/>
              <w:left w:val="single" w:sz="6" w:space="0" w:color="auto"/>
              <w:bottom w:val="single" w:sz="6" w:space="0" w:color="auto"/>
              <w:right w:val="single" w:sz="6" w:space="0" w:color="auto"/>
            </w:tcBorders>
          </w:tcPr>
          <w:p w:rsidR="00AE2AE6" w:rsidRPr="008C7781" w:rsidRDefault="00AE2AE6" w:rsidP="00737B18">
            <w:pPr>
              <w:jc w:val="center"/>
              <w:rPr>
                <w:rFonts w:asciiTheme="minorHAnsi" w:hAnsiTheme="minorHAnsi"/>
              </w:rPr>
            </w:pPr>
            <w:r w:rsidRPr="008C7781">
              <w:rPr>
                <w:rFonts w:asciiTheme="minorHAnsi" w:hAnsiTheme="minorHAnsi"/>
              </w:rPr>
              <w:t>od 16 do 32</w:t>
            </w:r>
          </w:p>
        </w:tc>
        <w:tc>
          <w:tcPr>
            <w:tcW w:w="708" w:type="dxa"/>
            <w:tcBorders>
              <w:top w:val="single" w:sz="6" w:space="0" w:color="auto"/>
              <w:left w:val="single" w:sz="6" w:space="0" w:color="auto"/>
              <w:bottom w:val="single" w:sz="6" w:space="0" w:color="auto"/>
              <w:right w:val="single" w:sz="6" w:space="0" w:color="auto"/>
            </w:tcBorders>
          </w:tcPr>
          <w:p w:rsidR="00AE2AE6" w:rsidRPr="008C7781" w:rsidRDefault="00AE2AE6" w:rsidP="00737B18">
            <w:pPr>
              <w:jc w:val="center"/>
              <w:rPr>
                <w:rFonts w:asciiTheme="minorHAnsi" w:hAnsiTheme="minorHAnsi"/>
              </w:rPr>
            </w:pPr>
            <w:r w:rsidRPr="008C7781">
              <w:rPr>
                <w:rFonts w:asciiTheme="minorHAnsi" w:hAnsiTheme="minorHAnsi"/>
              </w:rPr>
              <w:t>od 18 do 36</w:t>
            </w:r>
          </w:p>
        </w:tc>
        <w:tc>
          <w:tcPr>
            <w:tcW w:w="553" w:type="dxa"/>
            <w:tcBorders>
              <w:top w:val="single" w:sz="6" w:space="0" w:color="auto"/>
              <w:left w:val="single" w:sz="6" w:space="0" w:color="auto"/>
              <w:bottom w:val="single" w:sz="6" w:space="0" w:color="auto"/>
              <w:right w:val="single" w:sz="6" w:space="0" w:color="auto"/>
            </w:tcBorders>
          </w:tcPr>
          <w:p w:rsidR="00AE2AE6" w:rsidRPr="008C7781" w:rsidRDefault="00AE2AE6" w:rsidP="00737B18">
            <w:pPr>
              <w:spacing w:before="60" w:after="60"/>
              <w:jc w:val="center"/>
              <w:rPr>
                <w:rFonts w:asciiTheme="minorHAnsi" w:hAnsiTheme="minorHAnsi"/>
              </w:rPr>
            </w:pPr>
            <w:r w:rsidRPr="008C7781">
              <w:rPr>
                <w:rFonts w:asciiTheme="minorHAnsi" w:hAnsiTheme="minorHAnsi"/>
              </w:rPr>
              <w:t>-</w:t>
            </w:r>
          </w:p>
        </w:tc>
        <w:tc>
          <w:tcPr>
            <w:tcW w:w="615" w:type="dxa"/>
            <w:tcBorders>
              <w:top w:val="single" w:sz="6" w:space="0" w:color="auto"/>
              <w:left w:val="nil"/>
              <w:bottom w:val="single" w:sz="6" w:space="0" w:color="auto"/>
              <w:right w:val="single" w:sz="6" w:space="0" w:color="auto"/>
            </w:tcBorders>
          </w:tcPr>
          <w:p w:rsidR="00AE2AE6" w:rsidRPr="008C7781" w:rsidRDefault="00AE2AE6" w:rsidP="00737B18">
            <w:pPr>
              <w:spacing w:before="60" w:after="60"/>
              <w:jc w:val="center"/>
              <w:rPr>
                <w:rFonts w:asciiTheme="minorHAnsi" w:hAnsiTheme="minorHAnsi"/>
              </w:rPr>
            </w:pPr>
            <w:r w:rsidRPr="008C7781">
              <w:rPr>
                <w:rFonts w:asciiTheme="minorHAnsi" w:hAnsiTheme="minorHAnsi"/>
              </w:rPr>
              <w:t>-</w:t>
            </w:r>
          </w:p>
        </w:tc>
        <w:tc>
          <w:tcPr>
            <w:tcW w:w="676" w:type="dxa"/>
            <w:tcBorders>
              <w:top w:val="single" w:sz="6" w:space="0" w:color="auto"/>
              <w:left w:val="single" w:sz="6" w:space="0" w:color="auto"/>
              <w:bottom w:val="single" w:sz="6" w:space="0" w:color="auto"/>
              <w:right w:val="single" w:sz="6" w:space="0" w:color="auto"/>
            </w:tcBorders>
          </w:tcPr>
          <w:p w:rsidR="00AE2AE6" w:rsidRPr="008C7781" w:rsidRDefault="00AE2AE6" w:rsidP="00737B18">
            <w:pPr>
              <w:spacing w:before="60" w:after="60"/>
              <w:jc w:val="center"/>
              <w:rPr>
                <w:rFonts w:asciiTheme="minorHAnsi" w:hAnsiTheme="minorHAnsi"/>
              </w:rPr>
            </w:pPr>
            <w:r w:rsidRPr="008C7781">
              <w:rPr>
                <w:rFonts w:asciiTheme="minorHAnsi" w:hAnsiTheme="minorHAnsi"/>
              </w:rPr>
              <w:t>-</w:t>
            </w:r>
          </w:p>
        </w:tc>
      </w:tr>
      <w:tr w:rsidR="00AE2AE6" w:rsidRPr="008C7781" w:rsidTr="00C3299C">
        <w:trPr>
          <w:gridAfter w:val="5"/>
          <w:wAfter w:w="7201" w:type="dxa"/>
        </w:trPr>
        <w:tc>
          <w:tcPr>
            <w:tcW w:w="2905" w:type="dxa"/>
            <w:tcBorders>
              <w:top w:val="single" w:sz="6" w:space="0" w:color="auto"/>
              <w:left w:val="single" w:sz="6" w:space="0" w:color="auto"/>
              <w:bottom w:val="single" w:sz="6" w:space="0" w:color="auto"/>
              <w:right w:val="single" w:sz="6" w:space="0" w:color="auto"/>
            </w:tcBorders>
          </w:tcPr>
          <w:p w:rsidR="00AE2AE6" w:rsidRPr="008C7781" w:rsidRDefault="00AE2AE6" w:rsidP="00737B18">
            <w:pPr>
              <w:rPr>
                <w:rFonts w:asciiTheme="minorHAnsi" w:hAnsiTheme="minorHAnsi"/>
              </w:rPr>
            </w:pPr>
            <w:r w:rsidRPr="008C7781">
              <w:rPr>
                <w:rFonts w:asciiTheme="minorHAnsi" w:hAnsiTheme="minorHAnsi"/>
              </w:rPr>
              <w:t>Stosunek pola powierzchni dolnej (stopki) do górnej (czoła), nie mniej niż</w:t>
            </w:r>
          </w:p>
        </w:tc>
        <w:tc>
          <w:tcPr>
            <w:tcW w:w="709" w:type="dxa"/>
            <w:tcBorders>
              <w:top w:val="single" w:sz="6" w:space="0" w:color="auto"/>
              <w:left w:val="single" w:sz="6" w:space="0" w:color="auto"/>
              <w:bottom w:val="single" w:sz="6" w:space="0" w:color="auto"/>
              <w:right w:val="single" w:sz="6" w:space="0" w:color="auto"/>
            </w:tcBorders>
          </w:tcPr>
          <w:p w:rsidR="00AE2AE6" w:rsidRPr="008C7781" w:rsidRDefault="00AE2AE6" w:rsidP="00737B18">
            <w:pPr>
              <w:jc w:val="center"/>
              <w:rPr>
                <w:rFonts w:asciiTheme="minorHAnsi" w:hAnsiTheme="minorHAnsi"/>
              </w:rPr>
            </w:pPr>
          </w:p>
          <w:p w:rsidR="00AE2AE6" w:rsidRPr="008C7781" w:rsidRDefault="00AE2AE6" w:rsidP="00737B18">
            <w:pPr>
              <w:jc w:val="center"/>
              <w:rPr>
                <w:rFonts w:asciiTheme="minorHAnsi" w:hAnsiTheme="minorHAnsi"/>
              </w:rPr>
            </w:pPr>
            <w:r w:rsidRPr="008C7781">
              <w:rPr>
                <w:rFonts w:asciiTheme="minorHAnsi" w:hAnsiTheme="minorHAnsi"/>
              </w:rPr>
              <w:t>-</w:t>
            </w:r>
          </w:p>
        </w:tc>
        <w:tc>
          <w:tcPr>
            <w:tcW w:w="709" w:type="dxa"/>
            <w:tcBorders>
              <w:top w:val="single" w:sz="6" w:space="0" w:color="auto"/>
              <w:left w:val="single" w:sz="6" w:space="0" w:color="auto"/>
              <w:bottom w:val="single" w:sz="6" w:space="0" w:color="auto"/>
              <w:right w:val="single" w:sz="6" w:space="0" w:color="auto"/>
            </w:tcBorders>
          </w:tcPr>
          <w:p w:rsidR="00AE2AE6" w:rsidRPr="008C7781" w:rsidRDefault="00AE2AE6" w:rsidP="00737B18">
            <w:pPr>
              <w:jc w:val="center"/>
              <w:rPr>
                <w:rFonts w:asciiTheme="minorHAnsi" w:hAnsiTheme="minorHAnsi"/>
              </w:rPr>
            </w:pPr>
          </w:p>
          <w:p w:rsidR="00AE2AE6" w:rsidRPr="008C7781" w:rsidRDefault="00AE2AE6" w:rsidP="00737B18">
            <w:pPr>
              <w:jc w:val="center"/>
              <w:rPr>
                <w:rFonts w:asciiTheme="minorHAnsi" w:hAnsiTheme="minorHAnsi"/>
              </w:rPr>
            </w:pPr>
            <w:r w:rsidRPr="008C7781">
              <w:rPr>
                <w:rFonts w:asciiTheme="minorHAnsi" w:hAnsiTheme="minorHAnsi"/>
              </w:rPr>
              <w:t>-</w:t>
            </w:r>
          </w:p>
        </w:tc>
        <w:tc>
          <w:tcPr>
            <w:tcW w:w="709" w:type="dxa"/>
            <w:tcBorders>
              <w:top w:val="single" w:sz="6" w:space="0" w:color="auto"/>
              <w:left w:val="single" w:sz="6" w:space="0" w:color="auto"/>
              <w:bottom w:val="single" w:sz="6" w:space="0" w:color="auto"/>
              <w:right w:val="single" w:sz="6" w:space="0" w:color="auto"/>
            </w:tcBorders>
          </w:tcPr>
          <w:p w:rsidR="00AE2AE6" w:rsidRPr="008C7781" w:rsidRDefault="00AE2AE6" w:rsidP="00737B18">
            <w:pPr>
              <w:jc w:val="center"/>
              <w:rPr>
                <w:rFonts w:asciiTheme="minorHAnsi" w:hAnsiTheme="minorHAnsi"/>
              </w:rPr>
            </w:pPr>
          </w:p>
          <w:p w:rsidR="00AE2AE6" w:rsidRPr="008C7781" w:rsidRDefault="00AE2AE6" w:rsidP="00737B18">
            <w:pPr>
              <w:jc w:val="center"/>
              <w:rPr>
                <w:rFonts w:asciiTheme="minorHAnsi" w:hAnsiTheme="minorHAnsi"/>
              </w:rPr>
            </w:pPr>
            <w:r w:rsidRPr="008C7781">
              <w:rPr>
                <w:rFonts w:asciiTheme="minorHAnsi" w:hAnsiTheme="minorHAnsi"/>
              </w:rPr>
              <w:t>-</w:t>
            </w:r>
          </w:p>
        </w:tc>
        <w:tc>
          <w:tcPr>
            <w:tcW w:w="708" w:type="dxa"/>
            <w:tcBorders>
              <w:top w:val="single" w:sz="6" w:space="0" w:color="auto"/>
              <w:left w:val="single" w:sz="6" w:space="0" w:color="auto"/>
              <w:bottom w:val="single" w:sz="6" w:space="0" w:color="auto"/>
              <w:right w:val="single" w:sz="6" w:space="0" w:color="auto"/>
            </w:tcBorders>
          </w:tcPr>
          <w:p w:rsidR="00AE2AE6" w:rsidRPr="008C7781" w:rsidRDefault="00AE2AE6" w:rsidP="00737B18">
            <w:pPr>
              <w:jc w:val="center"/>
              <w:rPr>
                <w:rFonts w:asciiTheme="minorHAnsi" w:hAnsiTheme="minorHAnsi"/>
              </w:rPr>
            </w:pPr>
          </w:p>
          <w:p w:rsidR="00AE2AE6" w:rsidRPr="008C7781" w:rsidRDefault="00AE2AE6" w:rsidP="00737B18">
            <w:pPr>
              <w:jc w:val="center"/>
              <w:rPr>
                <w:rFonts w:asciiTheme="minorHAnsi" w:hAnsiTheme="minorHAnsi"/>
              </w:rPr>
            </w:pPr>
            <w:r w:rsidRPr="008C7781">
              <w:rPr>
                <w:rFonts w:asciiTheme="minorHAnsi" w:hAnsiTheme="minorHAnsi"/>
              </w:rPr>
              <w:t>-</w:t>
            </w:r>
          </w:p>
        </w:tc>
        <w:tc>
          <w:tcPr>
            <w:tcW w:w="553" w:type="dxa"/>
            <w:tcBorders>
              <w:top w:val="single" w:sz="6" w:space="0" w:color="auto"/>
              <w:left w:val="single" w:sz="6" w:space="0" w:color="auto"/>
              <w:bottom w:val="single" w:sz="6" w:space="0" w:color="auto"/>
              <w:right w:val="single" w:sz="6" w:space="0" w:color="auto"/>
            </w:tcBorders>
          </w:tcPr>
          <w:p w:rsidR="00AE2AE6" w:rsidRPr="008C7781" w:rsidRDefault="00AE2AE6" w:rsidP="00737B18">
            <w:pPr>
              <w:jc w:val="center"/>
              <w:rPr>
                <w:rFonts w:asciiTheme="minorHAnsi" w:hAnsiTheme="minorHAnsi"/>
              </w:rPr>
            </w:pPr>
          </w:p>
          <w:p w:rsidR="00AE2AE6" w:rsidRPr="008C7781" w:rsidRDefault="00AE2AE6" w:rsidP="00737B18">
            <w:pPr>
              <w:jc w:val="center"/>
              <w:rPr>
                <w:rFonts w:asciiTheme="minorHAnsi" w:hAnsiTheme="minorHAnsi"/>
              </w:rPr>
            </w:pPr>
            <w:r w:rsidRPr="008C7781">
              <w:rPr>
                <w:rFonts w:asciiTheme="minorHAnsi" w:hAnsiTheme="minorHAnsi"/>
              </w:rPr>
              <w:t>0,8</w:t>
            </w:r>
          </w:p>
        </w:tc>
        <w:tc>
          <w:tcPr>
            <w:tcW w:w="615" w:type="dxa"/>
            <w:tcBorders>
              <w:top w:val="single" w:sz="6" w:space="0" w:color="auto"/>
              <w:left w:val="nil"/>
              <w:bottom w:val="single" w:sz="6" w:space="0" w:color="auto"/>
              <w:right w:val="single" w:sz="6" w:space="0" w:color="auto"/>
            </w:tcBorders>
          </w:tcPr>
          <w:p w:rsidR="00AE2AE6" w:rsidRPr="008C7781" w:rsidRDefault="00AE2AE6" w:rsidP="00737B18">
            <w:pPr>
              <w:jc w:val="center"/>
              <w:rPr>
                <w:rFonts w:asciiTheme="minorHAnsi" w:hAnsiTheme="minorHAnsi"/>
              </w:rPr>
            </w:pPr>
          </w:p>
          <w:p w:rsidR="00AE2AE6" w:rsidRPr="008C7781" w:rsidRDefault="00AE2AE6" w:rsidP="00737B18">
            <w:pPr>
              <w:jc w:val="center"/>
              <w:rPr>
                <w:rFonts w:asciiTheme="minorHAnsi" w:hAnsiTheme="minorHAnsi"/>
              </w:rPr>
            </w:pPr>
            <w:r w:rsidRPr="008C7781">
              <w:rPr>
                <w:rFonts w:asciiTheme="minorHAnsi" w:hAnsiTheme="minorHAnsi"/>
              </w:rPr>
              <w:t>0,7</w:t>
            </w:r>
          </w:p>
        </w:tc>
        <w:tc>
          <w:tcPr>
            <w:tcW w:w="676" w:type="dxa"/>
            <w:tcBorders>
              <w:top w:val="single" w:sz="6" w:space="0" w:color="auto"/>
              <w:left w:val="single" w:sz="6" w:space="0" w:color="auto"/>
              <w:bottom w:val="single" w:sz="6" w:space="0" w:color="auto"/>
              <w:right w:val="single" w:sz="6" w:space="0" w:color="auto"/>
            </w:tcBorders>
          </w:tcPr>
          <w:p w:rsidR="00AE2AE6" w:rsidRPr="008C7781" w:rsidRDefault="00AE2AE6" w:rsidP="00737B18">
            <w:pPr>
              <w:jc w:val="center"/>
              <w:rPr>
                <w:rFonts w:asciiTheme="minorHAnsi" w:hAnsiTheme="minorHAnsi"/>
              </w:rPr>
            </w:pPr>
          </w:p>
          <w:p w:rsidR="00AE2AE6" w:rsidRPr="008C7781" w:rsidRDefault="00AE2AE6" w:rsidP="00737B18">
            <w:pPr>
              <w:jc w:val="center"/>
              <w:rPr>
                <w:rFonts w:asciiTheme="minorHAnsi" w:hAnsiTheme="minorHAnsi"/>
              </w:rPr>
            </w:pPr>
            <w:r w:rsidRPr="008C7781">
              <w:rPr>
                <w:rFonts w:asciiTheme="minorHAnsi" w:hAnsiTheme="minorHAnsi"/>
              </w:rPr>
              <w:t>0,6</w:t>
            </w:r>
          </w:p>
        </w:tc>
      </w:tr>
      <w:tr w:rsidR="00AE2AE6" w:rsidRPr="008C7781" w:rsidTr="00C3299C">
        <w:trPr>
          <w:gridAfter w:val="5"/>
          <w:wAfter w:w="7201" w:type="dxa"/>
        </w:trPr>
        <w:tc>
          <w:tcPr>
            <w:tcW w:w="2905" w:type="dxa"/>
            <w:tcBorders>
              <w:top w:val="single" w:sz="6" w:space="0" w:color="auto"/>
              <w:left w:val="single" w:sz="6" w:space="0" w:color="auto"/>
              <w:bottom w:val="single" w:sz="6" w:space="0" w:color="auto"/>
              <w:right w:val="single" w:sz="6" w:space="0" w:color="auto"/>
            </w:tcBorders>
          </w:tcPr>
          <w:p w:rsidR="00AE2AE6" w:rsidRPr="008C7781" w:rsidRDefault="00AE2AE6" w:rsidP="00737B18">
            <w:pPr>
              <w:rPr>
                <w:rFonts w:asciiTheme="minorHAnsi" w:hAnsiTheme="minorHAnsi"/>
              </w:rPr>
            </w:pPr>
            <w:r w:rsidRPr="008C7781">
              <w:rPr>
                <w:rFonts w:asciiTheme="minorHAnsi" w:hAnsiTheme="minorHAnsi"/>
              </w:rPr>
              <w:t>Nierówności powierzchni górnej (czoła), nie większe niż</w:t>
            </w:r>
          </w:p>
        </w:tc>
        <w:tc>
          <w:tcPr>
            <w:tcW w:w="709" w:type="dxa"/>
            <w:tcBorders>
              <w:top w:val="single" w:sz="6" w:space="0" w:color="auto"/>
              <w:left w:val="single" w:sz="6" w:space="0" w:color="auto"/>
              <w:bottom w:val="single" w:sz="6" w:space="0" w:color="auto"/>
              <w:right w:val="single" w:sz="6" w:space="0" w:color="auto"/>
            </w:tcBorders>
          </w:tcPr>
          <w:p w:rsidR="00AE2AE6" w:rsidRPr="008C7781" w:rsidRDefault="00AE2AE6" w:rsidP="00737B18">
            <w:pPr>
              <w:spacing w:before="120"/>
              <w:jc w:val="center"/>
              <w:rPr>
                <w:rFonts w:asciiTheme="minorHAnsi" w:hAnsiTheme="minorHAnsi"/>
              </w:rPr>
            </w:pPr>
            <w:r w:rsidRPr="008C7781">
              <w:rPr>
                <w:rFonts w:asciiTheme="minorHAnsi" w:hAnsiTheme="minorHAnsi"/>
              </w:rPr>
              <w:t>-</w:t>
            </w:r>
          </w:p>
        </w:tc>
        <w:tc>
          <w:tcPr>
            <w:tcW w:w="709" w:type="dxa"/>
            <w:tcBorders>
              <w:top w:val="single" w:sz="6" w:space="0" w:color="auto"/>
              <w:left w:val="single" w:sz="6" w:space="0" w:color="auto"/>
              <w:bottom w:val="single" w:sz="6" w:space="0" w:color="auto"/>
              <w:right w:val="single" w:sz="6" w:space="0" w:color="auto"/>
            </w:tcBorders>
          </w:tcPr>
          <w:p w:rsidR="00AE2AE6" w:rsidRPr="008C7781" w:rsidRDefault="00AE2AE6" w:rsidP="00737B18">
            <w:pPr>
              <w:spacing w:before="120"/>
              <w:jc w:val="center"/>
              <w:rPr>
                <w:rFonts w:asciiTheme="minorHAnsi" w:hAnsiTheme="minorHAnsi"/>
              </w:rPr>
            </w:pPr>
            <w:r w:rsidRPr="008C7781">
              <w:rPr>
                <w:rFonts w:asciiTheme="minorHAnsi" w:hAnsiTheme="minorHAnsi"/>
              </w:rPr>
              <w:t>-</w:t>
            </w:r>
          </w:p>
        </w:tc>
        <w:tc>
          <w:tcPr>
            <w:tcW w:w="709" w:type="dxa"/>
            <w:tcBorders>
              <w:top w:val="single" w:sz="6" w:space="0" w:color="auto"/>
              <w:left w:val="single" w:sz="6" w:space="0" w:color="auto"/>
              <w:bottom w:val="single" w:sz="6" w:space="0" w:color="auto"/>
              <w:right w:val="single" w:sz="6" w:space="0" w:color="auto"/>
            </w:tcBorders>
          </w:tcPr>
          <w:p w:rsidR="00AE2AE6" w:rsidRPr="008C7781" w:rsidRDefault="00AE2AE6" w:rsidP="00737B18">
            <w:pPr>
              <w:spacing w:before="120"/>
              <w:jc w:val="center"/>
              <w:rPr>
                <w:rFonts w:asciiTheme="minorHAnsi" w:hAnsiTheme="minorHAnsi"/>
              </w:rPr>
            </w:pPr>
            <w:r w:rsidRPr="008C7781">
              <w:rPr>
                <w:rFonts w:asciiTheme="minorHAnsi" w:hAnsiTheme="minorHAnsi"/>
              </w:rPr>
              <w:t>-</w:t>
            </w:r>
          </w:p>
        </w:tc>
        <w:tc>
          <w:tcPr>
            <w:tcW w:w="708" w:type="dxa"/>
            <w:tcBorders>
              <w:top w:val="single" w:sz="6" w:space="0" w:color="auto"/>
              <w:left w:val="single" w:sz="6" w:space="0" w:color="auto"/>
              <w:bottom w:val="single" w:sz="6" w:space="0" w:color="auto"/>
              <w:right w:val="single" w:sz="6" w:space="0" w:color="auto"/>
            </w:tcBorders>
          </w:tcPr>
          <w:p w:rsidR="00AE2AE6" w:rsidRPr="008C7781" w:rsidRDefault="00AE2AE6" w:rsidP="00737B18">
            <w:pPr>
              <w:spacing w:before="120"/>
              <w:jc w:val="center"/>
              <w:rPr>
                <w:rFonts w:asciiTheme="minorHAnsi" w:hAnsiTheme="minorHAnsi"/>
              </w:rPr>
            </w:pPr>
            <w:r w:rsidRPr="008C7781">
              <w:rPr>
                <w:rFonts w:asciiTheme="minorHAnsi" w:hAnsiTheme="minorHAnsi"/>
              </w:rPr>
              <w:t>-</w:t>
            </w:r>
          </w:p>
        </w:tc>
        <w:tc>
          <w:tcPr>
            <w:tcW w:w="553" w:type="dxa"/>
            <w:tcBorders>
              <w:top w:val="single" w:sz="6" w:space="0" w:color="auto"/>
              <w:left w:val="single" w:sz="6" w:space="0" w:color="auto"/>
              <w:bottom w:val="single" w:sz="6" w:space="0" w:color="auto"/>
              <w:right w:val="single" w:sz="6" w:space="0" w:color="auto"/>
            </w:tcBorders>
          </w:tcPr>
          <w:p w:rsidR="00AE2AE6" w:rsidRPr="008C7781" w:rsidRDefault="00AE2AE6" w:rsidP="00737B18">
            <w:pPr>
              <w:spacing w:before="120"/>
              <w:jc w:val="center"/>
              <w:rPr>
                <w:rFonts w:asciiTheme="minorHAnsi" w:hAnsiTheme="minorHAnsi"/>
              </w:rPr>
            </w:pPr>
            <w:r w:rsidRPr="008C7781">
              <w:rPr>
                <w:rFonts w:asciiTheme="minorHAnsi" w:hAnsiTheme="minorHAnsi"/>
              </w:rPr>
              <w:sym w:font="Symbol" w:char="F0B1"/>
            </w:r>
            <w:r w:rsidRPr="008C7781">
              <w:rPr>
                <w:rFonts w:asciiTheme="minorHAnsi" w:hAnsiTheme="minorHAnsi"/>
              </w:rPr>
              <w:t xml:space="preserve"> 0,4</w:t>
            </w:r>
          </w:p>
        </w:tc>
        <w:tc>
          <w:tcPr>
            <w:tcW w:w="615" w:type="dxa"/>
            <w:tcBorders>
              <w:top w:val="single" w:sz="6" w:space="0" w:color="auto"/>
              <w:left w:val="nil"/>
              <w:bottom w:val="single" w:sz="6" w:space="0" w:color="auto"/>
              <w:right w:val="single" w:sz="6" w:space="0" w:color="auto"/>
            </w:tcBorders>
          </w:tcPr>
          <w:p w:rsidR="00AE2AE6" w:rsidRPr="008C7781" w:rsidRDefault="00AE2AE6" w:rsidP="00737B18">
            <w:pPr>
              <w:spacing w:before="120"/>
              <w:jc w:val="center"/>
              <w:rPr>
                <w:rFonts w:asciiTheme="minorHAnsi" w:hAnsiTheme="minorHAnsi"/>
              </w:rPr>
            </w:pPr>
            <w:r w:rsidRPr="008C7781">
              <w:rPr>
                <w:rFonts w:asciiTheme="minorHAnsi" w:hAnsiTheme="minorHAnsi"/>
              </w:rPr>
              <w:sym w:font="Symbol" w:char="F0B1"/>
            </w:r>
            <w:r w:rsidRPr="008C7781">
              <w:rPr>
                <w:rFonts w:asciiTheme="minorHAnsi" w:hAnsiTheme="minorHAnsi"/>
              </w:rPr>
              <w:t xml:space="preserve"> 0,6</w:t>
            </w:r>
          </w:p>
        </w:tc>
        <w:tc>
          <w:tcPr>
            <w:tcW w:w="676" w:type="dxa"/>
            <w:tcBorders>
              <w:top w:val="single" w:sz="6" w:space="0" w:color="auto"/>
              <w:left w:val="single" w:sz="6" w:space="0" w:color="auto"/>
              <w:bottom w:val="single" w:sz="6" w:space="0" w:color="auto"/>
              <w:right w:val="single" w:sz="6" w:space="0" w:color="auto"/>
            </w:tcBorders>
          </w:tcPr>
          <w:p w:rsidR="00AE2AE6" w:rsidRPr="008C7781" w:rsidRDefault="00AE2AE6" w:rsidP="00737B18">
            <w:pPr>
              <w:spacing w:before="120"/>
              <w:jc w:val="center"/>
              <w:rPr>
                <w:rFonts w:asciiTheme="minorHAnsi" w:hAnsiTheme="minorHAnsi"/>
              </w:rPr>
            </w:pPr>
            <w:r w:rsidRPr="008C7781">
              <w:rPr>
                <w:rFonts w:asciiTheme="minorHAnsi" w:hAnsiTheme="minorHAnsi"/>
              </w:rPr>
              <w:sym w:font="Symbol" w:char="F0B1"/>
            </w:r>
            <w:r w:rsidRPr="008C7781">
              <w:rPr>
                <w:rFonts w:asciiTheme="minorHAnsi" w:hAnsiTheme="minorHAnsi"/>
              </w:rPr>
              <w:t xml:space="preserve"> 0,8</w:t>
            </w:r>
          </w:p>
        </w:tc>
      </w:tr>
      <w:tr w:rsidR="00AE2AE6" w:rsidRPr="008C7781" w:rsidTr="00C3299C">
        <w:trPr>
          <w:gridAfter w:val="5"/>
          <w:wAfter w:w="7201" w:type="dxa"/>
        </w:trPr>
        <w:tc>
          <w:tcPr>
            <w:tcW w:w="2905" w:type="dxa"/>
            <w:tcBorders>
              <w:top w:val="single" w:sz="6" w:space="0" w:color="auto"/>
              <w:left w:val="single" w:sz="6" w:space="0" w:color="auto"/>
              <w:bottom w:val="single" w:sz="6" w:space="0" w:color="auto"/>
              <w:right w:val="single" w:sz="6" w:space="0" w:color="auto"/>
            </w:tcBorders>
          </w:tcPr>
          <w:p w:rsidR="00AE2AE6" w:rsidRPr="008C7781" w:rsidRDefault="00AE2AE6" w:rsidP="00737B18">
            <w:pPr>
              <w:spacing w:before="60" w:after="60"/>
              <w:rPr>
                <w:rFonts w:asciiTheme="minorHAnsi" w:hAnsiTheme="minorHAnsi"/>
              </w:rPr>
            </w:pPr>
            <w:r w:rsidRPr="008C7781">
              <w:rPr>
                <w:rFonts w:asciiTheme="minorHAnsi" w:hAnsiTheme="minorHAnsi"/>
              </w:rPr>
              <w:t>Pęknięcia kostki</w:t>
            </w:r>
          </w:p>
        </w:tc>
        <w:tc>
          <w:tcPr>
            <w:tcW w:w="709" w:type="dxa"/>
            <w:tcBorders>
              <w:top w:val="single" w:sz="6" w:space="0" w:color="auto"/>
              <w:left w:val="single" w:sz="6" w:space="0" w:color="auto"/>
              <w:bottom w:val="single" w:sz="6" w:space="0" w:color="auto"/>
              <w:right w:val="single" w:sz="6" w:space="0" w:color="auto"/>
            </w:tcBorders>
          </w:tcPr>
          <w:p w:rsidR="00AE2AE6" w:rsidRPr="008C7781" w:rsidRDefault="00AE2AE6" w:rsidP="00737B18">
            <w:pPr>
              <w:spacing w:before="60" w:after="60"/>
              <w:jc w:val="center"/>
              <w:rPr>
                <w:rFonts w:asciiTheme="minorHAnsi" w:hAnsiTheme="minorHAnsi"/>
              </w:rPr>
            </w:pPr>
            <w:r w:rsidRPr="008C7781">
              <w:rPr>
                <w:rFonts w:asciiTheme="minorHAnsi" w:hAnsiTheme="minorHAnsi"/>
              </w:rPr>
              <w:t>-</w:t>
            </w:r>
          </w:p>
        </w:tc>
        <w:tc>
          <w:tcPr>
            <w:tcW w:w="709" w:type="dxa"/>
            <w:tcBorders>
              <w:top w:val="single" w:sz="6" w:space="0" w:color="auto"/>
              <w:left w:val="single" w:sz="6" w:space="0" w:color="auto"/>
              <w:bottom w:val="single" w:sz="6" w:space="0" w:color="auto"/>
              <w:right w:val="single" w:sz="6" w:space="0" w:color="auto"/>
            </w:tcBorders>
          </w:tcPr>
          <w:p w:rsidR="00AE2AE6" w:rsidRPr="008C7781" w:rsidRDefault="00AE2AE6" w:rsidP="00737B18">
            <w:pPr>
              <w:spacing w:before="60" w:after="60"/>
              <w:jc w:val="center"/>
              <w:rPr>
                <w:rFonts w:asciiTheme="minorHAnsi" w:hAnsiTheme="minorHAnsi"/>
              </w:rPr>
            </w:pPr>
            <w:r w:rsidRPr="008C7781">
              <w:rPr>
                <w:rFonts w:asciiTheme="minorHAnsi" w:hAnsiTheme="minorHAnsi"/>
              </w:rPr>
              <w:t>-</w:t>
            </w:r>
          </w:p>
        </w:tc>
        <w:tc>
          <w:tcPr>
            <w:tcW w:w="709" w:type="dxa"/>
            <w:tcBorders>
              <w:top w:val="single" w:sz="6" w:space="0" w:color="auto"/>
              <w:left w:val="single" w:sz="6" w:space="0" w:color="auto"/>
              <w:bottom w:val="single" w:sz="6" w:space="0" w:color="auto"/>
              <w:right w:val="single" w:sz="6" w:space="0" w:color="auto"/>
            </w:tcBorders>
          </w:tcPr>
          <w:p w:rsidR="00AE2AE6" w:rsidRPr="008C7781" w:rsidRDefault="00AE2AE6" w:rsidP="00737B18">
            <w:pPr>
              <w:spacing w:before="60" w:after="60"/>
              <w:jc w:val="center"/>
              <w:rPr>
                <w:rFonts w:asciiTheme="minorHAnsi" w:hAnsiTheme="minorHAnsi"/>
              </w:rPr>
            </w:pPr>
            <w:r w:rsidRPr="008C7781">
              <w:rPr>
                <w:rFonts w:asciiTheme="minorHAnsi" w:hAnsiTheme="minorHAnsi"/>
              </w:rPr>
              <w:t>-</w:t>
            </w:r>
          </w:p>
        </w:tc>
        <w:tc>
          <w:tcPr>
            <w:tcW w:w="708" w:type="dxa"/>
            <w:tcBorders>
              <w:top w:val="single" w:sz="6" w:space="0" w:color="auto"/>
              <w:left w:val="single" w:sz="6" w:space="0" w:color="auto"/>
              <w:bottom w:val="single" w:sz="6" w:space="0" w:color="auto"/>
              <w:right w:val="single" w:sz="6" w:space="0" w:color="auto"/>
            </w:tcBorders>
          </w:tcPr>
          <w:p w:rsidR="00AE2AE6" w:rsidRPr="008C7781" w:rsidRDefault="00AE2AE6" w:rsidP="00737B18">
            <w:pPr>
              <w:spacing w:before="60" w:after="60"/>
              <w:jc w:val="center"/>
              <w:rPr>
                <w:rFonts w:asciiTheme="minorHAnsi" w:hAnsiTheme="minorHAnsi"/>
              </w:rPr>
            </w:pPr>
            <w:r w:rsidRPr="008C7781">
              <w:rPr>
                <w:rFonts w:asciiTheme="minorHAnsi" w:hAnsiTheme="minorHAnsi"/>
              </w:rPr>
              <w:t>-</w:t>
            </w:r>
          </w:p>
        </w:tc>
        <w:tc>
          <w:tcPr>
            <w:tcW w:w="1844" w:type="dxa"/>
            <w:gridSpan w:val="3"/>
            <w:tcBorders>
              <w:top w:val="single" w:sz="6" w:space="0" w:color="auto"/>
              <w:left w:val="single" w:sz="6" w:space="0" w:color="auto"/>
              <w:bottom w:val="single" w:sz="6" w:space="0" w:color="auto"/>
              <w:right w:val="single" w:sz="6" w:space="0" w:color="auto"/>
            </w:tcBorders>
          </w:tcPr>
          <w:p w:rsidR="00AE2AE6" w:rsidRPr="008C7781" w:rsidRDefault="00AE2AE6" w:rsidP="00737B18">
            <w:pPr>
              <w:spacing w:before="60" w:after="60"/>
              <w:jc w:val="center"/>
              <w:rPr>
                <w:rFonts w:asciiTheme="minorHAnsi" w:hAnsiTheme="minorHAnsi"/>
              </w:rPr>
            </w:pPr>
            <w:r w:rsidRPr="008C7781">
              <w:rPr>
                <w:rFonts w:asciiTheme="minorHAnsi" w:hAnsiTheme="minorHAnsi"/>
              </w:rPr>
              <w:t>niedopuszczalne</w:t>
            </w:r>
          </w:p>
        </w:tc>
      </w:tr>
    </w:tbl>
    <w:p w:rsidR="00AE2AE6" w:rsidRDefault="00AE2AE6" w:rsidP="00AE2AE6">
      <w:pPr>
        <w:rPr>
          <w:rFonts w:asciiTheme="minorHAnsi" w:hAnsiTheme="minorHAnsi"/>
          <w:b/>
        </w:rPr>
      </w:pPr>
    </w:p>
    <w:p w:rsidR="00C3299C" w:rsidRPr="008C7781" w:rsidRDefault="00C3299C" w:rsidP="00AE2AE6">
      <w:pPr>
        <w:rPr>
          <w:rFonts w:asciiTheme="minorHAnsi" w:hAnsiTheme="minorHAnsi"/>
          <w:b/>
        </w:rPr>
      </w:pPr>
    </w:p>
    <w:p w:rsidR="00AE2AE6" w:rsidRPr="008C7781" w:rsidRDefault="00AE2AE6" w:rsidP="00AE2AE6">
      <w:pPr>
        <w:rPr>
          <w:rFonts w:asciiTheme="minorHAnsi" w:hAnsiTheme="minorHAnsi"/>
        </w:rPr>
      </w:pPr>
      <w:r w:rsidRPr="008C7781">
        <w:rPr>
          <w:rFonts w:asciiTheme="minorHAnsi" w:hAnsiTheme="minorHAnsi"/>
          <w:b/>
        </w:rPr>
        <w:t>2.2.5.</w:t>
      </w:r>
      <w:r w:rsidRPr="008C7781">
        <w:rPr>
          <w:rFonts w:asciiTheme="minorHAnsi" w:hAnsiTheme="minorHAnsi"/>
        </w:rPr>
        <w:t xml:space="preserve"> Kształt i wymiary kostki nieregularnej</w:t>
      </w:r>
    </w:p>
    <w:p w:rsidR="00AE2AE6" w:rsidRPr="008C7781" w:rsidRDefault="00AE2AE6" w:rsidP="00AE2AE6">
      <w:pPr>
        <w:rPr>
          <w:rFonts w:asciiTheme="minorHAnsi" w:hAnsiTheme="minorHAnsi"/>
        </w:rPr>
      </w:pPr>
      <w:r w:rsidRPr="008C7781">
        <w:rPr>
          <w:rFonts w:asciiTheme="minorHAnsi" w:hAnsiTheme="minorHAnsi"/>
        </w:rPr>
        <w:tab/>
        <w:t>Kostka nieregularna powinna mieć kształt zbliżony do prostopadłościanu. Kształt kostki nieregularnej przedstawia rysunek 3.</w:t>
      </w:r>
    </w:p>
    <w:p w:rsidR="00AE2AE6" w:rsidRPr="008C7781" w:rsidRDefault="00AE2AE6" w:rsidP="00AE2AE6">
      <w:pPr>
        <w:framePr w:hSpace="141" w:wrap="around" w:vAnchor="text" w:hAnchor="page" w:x="4891" w:y="359"/>
        <w:rPr>
          <w:rFonts w:asciiTheme="minorHAnsi" w:hAnsiTheme="minorHAnsi"/>
        </w:rPr>
      </w:pPr>
      <w:r>
        <w:rPr>
          <w:rFonts w:asciiTheme="minorHAnsi" w:hAnsiTheme="minorHAnsi"/>
          <w:noProof/>
        </w:rPr>
        <w:lastRenderedPageBreak/>
        <w:drawing>
          <wp:inline distT="0" distB="0" distL="0" distR="0">
            <wp:extent cx="1811655" cy="1311275"/>
            <wp:effectExtent l="19050" t="0" r="0" b="0"/>
            <wp:docPr id="10" name="Obraz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pic:cNvPicPr>
                      <a:picLocks noChangeAspect="1" noChangeArrowheads="1"/>
                    </pic:cNvPicPr>
                  </pic:nvPicPr>
                  <pic:blipFill>
                    <a:blip r:embed="rId49" cstate="print"/>
                    <a:srcRect/>
                    <a:stretch>
                      <a:fillRect/>
                    </a:stretch>
                  </pic:blipFill>
                  <pic:spPr bwMode="auto">
                    <a:xfrm>
                      <a:off x="0" y="0"/>
                      <a:ext cx="1811655" cy="1311275"/>
                    </a:xfrm>
                    <a:prstGeom prst="rect">
                      <a:avLst/>
                    </a:prstGeom>
                    <a:noFill/>
                    <a:ln w="9525">
                      <a:noFill/>
                      <a:miter lim="800000"/>
                      <a:headEnd/>
                      <a:tailEnd/>
                    </a:ln>
                  </pic:spPr>
                </pic:pic>
              </a:graphicData>
            </a:graphic>
          </wp:inline>
        </w:drawing>
      </w:r>
    </w:p>
    <w:p w:rsidR="00AE2AE6" w:rsidRPr="008C7781" w:rsidRDefault="00AE2AE6" w:rsidP="00AE2AE6">
      <w:pPr>
        <w:spacing w:before="120"/>
        <w:rPr>
          <w:rFonts w:asciiTheme="minorHAnsi" w:hAnsiTheme="minorHAnsi"/>
        </w:rPr>
      </w:pPr>
    </w:p>
    <w:p w:rsidR="00AE2AE6" w:rsidRPr="008C7781" w:rsidRDefault="00AE2AE6" w:rsidP="00AE2AE6">
      <w:pPr>
        <w:spacing w:before="120"/>
        <w:rPr>
          <w:rFonts w:asciiTheme="minorHAnsi" w:hAnsiTheme="minorHAnsi"/>
        </w:rPr>
      </w:pPr>
    </w:p>
    <w:p w:rsidR="00AE2AE6" w:rsidRPr="008C7781" w:rsidRDefault="00AE2AE6" w:rsidP="00AE2AE6">
      <w:pPr>
        <w:spacing w:before="120"/>
        <w:rPr>
          <w:rFonts w:asciiTheme="minorHAnsi" w:hAnsiTheme="minorHAnsi"/>
        </w:rPr>
      </w:pPr>
    </w:p>
    <w:p w:rsidR="00AE2AE6" w:rsidRPr="008C7781" w:rsidRDefault="00AE2AE6" w:rsidP="00AE2AE6">
      <w:pPr>
        <w:spacing w:before="120"/>
        <w:rPr>
          <w:rFonts w:asciiTheme="minorHAnsi" w:hAnsiTheme="minorHAnsi"/>
        </w:rPr>
      </w:pPr>
    </w:p>
    <w:p w:rsidR="00AE2AE6" w:rsidRPr="008C7781" w:rsidRDefault="00AE2AE6" w:rsidP="00AE2AE6">
      <w:pPr>
        <w:spacing w:before="120"/>
        <w:rPr>
          <w:rFonts w:asciiTheme="minorHAnsi" w:hAnsiTheme="minorHAnsi"/>
        </w:rPr>
      </w:pPr>
    </w:p>
    <w:p w:rsidR="00AE2AE6" w:rsidRPr="008C7781" w:rsidRDefault="00AE2AE6" w:rsidP="00AE2AE6">
      <w:pPr>
        <w:spacing w:before="120"/>
        <w:rPr>
          <w:rFonts w:asciiTheme="minorHAnsi" w:hAnsiTheme="minorHAnsi"/>
        </w:rPr>
      </w:pPr>
    </w:p>
    <w:p w:rsidR="00C3299C" w:rsidRDefault="00C3299C" w:rsidP="00AE2AE6">
      <w:pPr>
        <w:rPr>
          <w:rFonts w:asciiTheme="minorHAnsi" w:hAnsiTheme="minorHAnsi"/>
          <w:b/>
        </w:rPr>
      </w:pPr>
    </w:p>
    <w:p w:rsidR="00C3299C" w:rsidRDefault="00C3299C" w:rsidP="00AE2AE6">
      <w:pPr>
        <w:rPr>
          <w:rFonts w:asciiTheme="minorHAnsi" w:hAnsiTheme="minorHAnsi"/>
          <w:b/>
        </w:rPr>
      </w:pPr>
    </w:p>
    <w:p w:rsidR="00AE2AE6" w:rsidRPr="008C7781" w:rsidRDefault="00AE2AE6" w:rsidP="00AE2AE6">
      <w:pPr>
        <w:rPr>
          <w:rFonts w:asciiTheme="minorHAnsi" w:hAnsiTheme="minorHAnsi"/>
        </w:rPr>
      </w:pPr>
      <w:r w:rsidRPr="008C7781">
        <w:rPr>
          <w:rFonts w:asciiTheme="minorHAnsi" w:hAnsiTheme="minorHAnsi"/>
          <w:b/>
        </w:rPr>
        <w:t>Rysunek 3.</w:t>
      </w:r>
      <w:r w:rsidRPr="008C7781">
        <w:rPr>
          <w:rFonts w:asciiTheme="minorHAnsi" w:hAnsiTheme="minorHAnsi"/>
        </w:rPr>
        <w:t xml:space="preserve"> Kształt kostki nieregularnej</w:t>
      </w:r>
    </w:p>
    <w:p w:rsidR="00C3299C" w:rsidRDefault="00AE2AE6" w:rsidP="00AE2AE6">
      <w:pPr>
        <w:rPr>
          <w:rFonts w:asciiTheme="minorHAnsi" w:hAnsiTheme="minorHAnsi"/>
        </w:rPr>
      </w:pPr>
      <w:r w:rsidRPr="008C7781">
        <w:rPr>
          <w:rFonts w:asciiTheme="minorHAnsi" w:hAnsiTheme="minorHAnsi"/>
        </w:rPr>
        <w:tab/>
      </w:r>
    </w:p>
    <w:p w:rsidR="00AE2AE6" w:rsidRPr="008C7781" w:rsidRDefault="00AE2AE6" w:rsidP="00AE2AE6">
      <w:pPr>
        <w:rPr>
          <w:rFonts w:asciiTheme="minorHAnsi" w:hAnsiTheme="minorHAnsi"/>
        </w:rPr>
      </w:pPr>
      <w:r w:rsidRPr="008C7781">
        <w:rPr>
          <w:rFonts w:asciiTheme="minorHAnsi" w:hAnsiTheme="minorHAnsi"/>
        </w:rPr>
        <w:t>Wymagania dotyczące wymiarów kostki nieregularnej przedstawia tablica 4.</w:t>
      </w:r>
    </w:p>
    <w:p w:rsidR="00AE2AE6" w:rsidRPr="008C7781" w:rsidRDefault="00AE2AE6" w:rsidP="00AE2AE6">
      <w:pPr>
        <w:rPr>
          <w:rFonts w:asciiTheme="minorHAnsi" w:hAnsiTheme="minorHAnsi"/>
        </w:rPr>
      </w:pPr>
      <w:r w:rsidRPr="008C7781">
        <w:rPr>
          <w:rFonts w:asciiTheme="minorHAnsi" w:hAnsiTheme="minorHAnsi"/>
        </w:rPr>
        <w:tab/>
        <w:t>Uszkodzenie krawędzi powierzchni górnej (czoła) oraz ich szerokość i głębokość nie powinny być większe niż podane dla gatunku 2 i 3 kostki regularnej.</w:t>
      </w:r>
    </w:p>
    <w:p w:rsidR="00AE2AE6" w:rsidRPr="008C7781" w:rsidRDefault="00AE2AE6" w:rsidP="00AE2AE6">
      <w:pPr>
        <w:rPr>
          <w:rFonts w:asciiTheme="minorHAnsi" w:hAnsiTheme="minorHAnsi"/>
        </w:rPr>
      </w:pPr>
      <w:r w:rsidRPr="008C7781">
        <w:rPr>
          <w:rFonts w:asciiTheme="minorHAnsi" w:hAnsiTheme="minorHAnsi"/>
        </w:rPr>
        <w:tab/>
        <w:t>Dopuszcza się uszkodzenie jednego naroża powierzchni górnej kostki o głębokości nie większej niż 0,6 cm.</w:t>
      </w:r>
    </w:p>
    <w:p w:rsidR="00AE2AE6" w:rsidRPr="008C7781" w:rsidRDefault="00AE2AE6" w:rsidP="00AE2AE6">
      <w:pPr>
        <w:rPr>
          <w:rFonts w:asciiTheme="minorHAnsi" w:hAnsiTheme="minorHAnsi"/>
        </w:rPr>
      </w:pPr>
    </w:p>
    <w:p w:rsidR="00AE2AE6" w:rsidRPr="008C7781" w:rsidRDefault="00AE2AE6" w:rsidP="00C3299C">
      <w:pPr>
        <w:ind w:left="709"/>
        <w:rPr>
          <w:rFonts w:asciiTheme="minorHAnsi" w:hAnsiTheme="minorHAnsi"/>
        </w:rPr>
      </w:pPr>
      <w:r w:rsidRPr="008C7781">
        <w:rPr>
          <w:rFonts w:asciiTheme="minorHAnsi" w:hAnsiTheme="minorHAnsi"/>
          <w:b/>
        </w:rPr>
        <w:t>Tablica 4.</w:t>
      </w:r>
      <w:r w:rsidRPr="008C7781">
        <w:rPr>
          <w:rFonts w:asciiTheme="minorHAnsi" w:hAnsiTheme="minorHAnsi"/>
        </w:rPr>
        <w:t xml:space="preserve"> Wymiary kostki nieregularnej oraz dopuszczalne odchyłki</w:t>
      </w:r>
    </w:p>
    <w:tbl>
      <w:tblPr>
        <w:tblW w:w="14778" w:type="dxa"/>
        <w:tblInd w:w="779" w:type="dxa"/>
        <w:tblLayout w:type="fixed"/>
        <w:tblCellMar>
          <w:left w:w="70" w:type="dxa"/>
          <w:right w:w="70" w:type="dxa"/>
        </w:tblCellMar>
        <w:tblLook w:val="0000"/>
      </w:tblPr>
      <w:tblGrid>
        <w:gridCol w:w="2905"/>
        <w:gridCol w:w="567"/>
        <w:gridCol w:w="567"/>
        <w:gridCol w:w="567"/>
        <w:gridCol w:w="567"/>
        <w:gridCol w:w="709"/>
        <w:gridCol w:w="843"/>
        <w:gridCol w:w="8"/>
        <w:gridCol w:w="850"/>
        <w:gridCol w:w="1439"/>
        <w:gridCol w:w="1439"/>
        <w:gridCol w:w="1439"/>
        <w:gridCol w:w="1439"/>
        <w:gridCol w:w="1439"/>
      </w:tblGrid>
      <w:tr w:rsidR="00AE2AE6" w:rsidRPr="008C7781" w:rsidTr="00C3299C">
        <w:tc>
          <w:tcPr>
            <w:tcW w:w="2905" w:type="dxa"/>
            <w:tcBorders>
              <w:top w:val="single" w:sz="6" w:space="0" w:color="auto"/>
              <w:left w:val="single" w:sz="6" w:space="0" w:color="auto"/>
            </w:tcBorders>
          </w:tcPr>
          <w:p w:rsidR="00AE2AE6" w:rsidRPr="008C7781" w:rsidRDefault="00AE2AE6" w:rsidP="00737B18">
            <w:pPr>
              <w:jc w:val="center"/>
              <w:rPr>
                <w:rFonts w:asciiTheme="minorHAnsi" w:hAnsiTheme="minorHAnsi"/>
              </w:rPr>
            </w:pPr>
          </w:p>
          <w:p w:rsidR="00AE2AE6" w:rsidRPr="008C7781" w:rsidRDefault="00AE2AE6" w:rsidP="00737B18">
            <w:pPr>
              <w:jc w:val="center"/>
              <w:rPr>
                <w:rFonts w:asciiTheme="minorHAnsi" w:hAnsiTheme="minorHAnsi"/>
              </w:rPr>
            </w:pPr>
            <w:r w:rsidRPr="008C7781">
              <w:rPr>
                <w:rFonts w:asciiTheme="minorHAnsi" w:hAnsiTheme="minorHAnsi"/>
              </w:rPr>
              <w:t>Wyszczególnienie</w:t>
            </w:r>
          </w:p>
        </w:tc>
        <w:tc>
          <w:tcPr>
            <w:tcW w:w="2268" w:type="dxa"/>
            <w:gridSpan w:val="4"/>
            <w:tcBorders>
              <w:top w:val="single" w:sz="6" w:space="0" w:color="auto"/>
              <w:left w:val="single" w:sz="6" w:space="0" w:color="auto"/>
              <w:bottom w:val="single" w:sz="6" w:space="0" w:color="auto"/>
              <w:right w:val="single" w:sz="6" w:space="0" w:color="auto"/>
            </w:tcBorders>
          </w:tcPr>
          <w:p w:rsidR="00AE2AE6" w:rsidRPr="008C7781" w:rsidRDefault="00AE2AE6" w:rsidP="00737B18">
            <w:pPr>
              <w:jc w:val="center"/>
              <w:rPr>
                <w:rFonts w:asciiTheme="minorHAnsi" w:hAnsiTheme="minorHAnsi"/>
              </w:rPr>
            </w:pPr>
            <w:r w:rsidRPr="008C7781">
              <w:rPr>
                <w:rFonts w:asciiTheme="minorHAnsi" w:hAnsiTheme="minorHAnsi"/>
              </w:rPr>
              <w:t>Wielkość</w:t>
            </w:r>
          </w:p>
          <w:p w:rsidR="00AE2AE6" w:rsidRPr="008C7781" w:rsidRDefault="00AE2AE6" w:rsidP="00737B18">
            <w:pPr>
              <w:jc w:val="center"/>
              <w:rPr>
                <w:rFonts w:asciiTheme="minorHAnsi" w:hAnsiTheme="minorHAnsi"/>
              </w:rPr>
            </w:pPr>
            <w:r w:rsidRPr="008C7781">
              <w:rPr>
                <w:rFonts w:asciiTheme="minorHAnsi" w:hAnsiTheme="minorHAnsi"/>
              </w:rPr>
              <w:t>(cm)</w:t>
            </w:r>
          </w:p>
        </w:tc>
        <w:tc>
          <w:tcPr>
            <w:tcW w:w="2410" w:type="dxa"/>
            <w:gridSpan w:val="4"/>
            <w:tcBorders>
              <w:top w:val="single" w:sz="6" w:space="0" w:color="auto"/>
              <w:left w:val="single" w:sz="6" w:space="0" w:color="auto"/>
              <w:bottom w:val="single" w:sz="6" w:space="0" w:color="auto"/>
              <w:right w:val="single" w:sz="6" w:space="0" w:color="auto"/>
            </w:tcBorders>
          </w:tcPr>
          <w:p w:rsidR="00AE2AE6" w:rsidRPr="008C7781" w:rsidRDefault="00AE2AE6" w:rsidP="00737B18">
            <w:pPr>
              <w:jc w:val="center"/>
              <w:rPr>
                <w:rFonts w:asciiTheme="minorHAnsi" w:hAnsiTheme="minorHAnsi"/>
              </w:rPr>
            </w:pPr>
            <w:r w:rsidRPr="008C7781">
              <w:rPr>
                <w:rFonts w:asciiTheme="minorHAnsi" w:hAnsiTheme="minorHAnsi"/>
              </w:rPr>
              <w:t xml:space="preserve">Dopuszczalne odchyłki dla gatunku  </w:t>
            </w:r>
          </w:p>
        </w:tc>
        <w:tc>
          <w:tcPr>
            <w:tcW w:w="1439" w:type="dxa"/>
          </w:tcPr>
          <w:p w:rsidR="00AE2AE6" w:rsidRPr="008C7781" w:rsidRDefault="00AE2AE6" w:rsidP="00737B18">
            <w:pPr>
              <w:rPr>
                <w:rFonts w:asciiTheme="minorHAnsi" w:hAnsiTheme="minorHAnsi"/>
              </w:rPr>
            </w:pPr>
          </w:p>
        </w:tc>
        <w:tc>
          <w:tcPr>
            <w:tcW w:w="1439" w:type="dxa"/>
          </w:tcPr>
          <w:p w:rsidR="00AE2AE6" w:rsidRPr="008C7781" w:rsidRDefault="00AE2AE6" w:rsidP="00737B18">
            <w:pPr>
              <w:rPr>
                <w:rFonts w:asciiTheme="minorHAnsi" w:hAnsiTheme="minorHAnsi"/>
              </w:rPr>
            </w:pPr>
          </w:p>
        </w:tc>
        <w:tc>
          <w:tcPr>
            <w:tcW w:w="1439" w:type="dxa"/>
          </w:tcPr>
          <w:p w:rsidR="00AE2AE6" w:rsidRPr="008C7781" w:rsidRDefault="00AE2AE6" w:rsidP="00737B18">
            <w:pPr>
              <w:rPr>
                <w:rFonts w:asciiTheme="minorHAnsi" w:hAnsiTheme="minorHAnsi"/>
              </w:rPr>
            </w:pPr>
          </w:p>
        </w:tc>
        <w:tc>
          <w:tcPr>
            <w:tcW w:w="1439" w:type="dxa"/>
          </w:tcPr>
          <w:p w:rsidR="00AE2AE6" w:rsidRPr="008C7781" w:rsidRDefault="00AE2AE6" w:rsidP="00737B18">
            <w:pPr>
              <w:rPr>
                <w:rFonts w:asciiTheme="minorHAnsi" w:hAnsiTheme="minorHAnsi"/>
              </w:rPr>
            </w:pPr>
          </w:p>
        </w:tc>
        <w:tc>
          <w:tcPr>
            <w:tcW w:w="1439" w:type="dxa"/>
          </w:tcPr>
          <w:p w:rsidR="00AE2AE6" w:rsidRPr="008C7781" w:rsidRDefault="00AE2AE6" w:rsidP="00737B18">
            <w:pPr>
              <w:rPr>
                <w:rFonts w:asciiTheme="minorHAnsi" w:hAnsiTheme="minorHAnsi"/>
              </w:rPr>
            </w:pPr>
          </w:p>
        </w:tc>
      </w:tr>
      <w:tr w:rsidR="00AE2AE6" w:rsidRPr="008C7781" w:rsidTr="00C3299C">
        <w:trPr>
          <w:gridAfter w:val="5"/>
          <w:wAfter w:w="7195" w:type="dxa"/>
        </w:trPr>
        <w:tc>
          <w:tcPr>
            <w:tcW w:w="2905" w:type="dxa"/>
            <w:tcBorders>
              <w:left w:val="single" w:sz="6" w:space="0" w:color="auto"/>
              <w:bottom w:val="double" w:sz="6" w:space="0" w:color="auto"/>
            </w:tcBorders>
          </w:tcPr>
          <w:p w:rsidR="00AE2AE6" w:rsidRPr="008C7781" w:rsidRDefault="00AE2AE6" w:rsidP="00737B18">
            <w:pPr>
              <w:rPr>
                <w:rFonts w:asciiTheme="minorHAnsi" w:hAnsiTheme="minorHAnsi"/>
              </w:rPr>
            </w:pPr>
          </w:p>
        </w:tc>
        <w:tc>
          <w:tcPr>
            <w:tcW w:w="567" w:type="dxa"/>
            <w:tcBorders>
              <w:top w:val="single" w:sz="6" w:space="0" w:color="auto"/>
              <w:left w:val="single" w:sz="6" w:space="0" w:color="auto"/>
              <w:bottom w:val="double" w:sz="6" w:space="0" w:color="auto"/>
              <w:right w:val="single" w:sz="6" w:space="0" w:color="auto"/>
            </w:tcBorders>
          </w:tcPr>
          <w:p w:rsidR="00AE2AE6" w:rsidRPr="008C7781" w:rsidRDefault="00AE2AE6" w:rsidP="00737B18">
            <w:pPr>
              <w:jc w:val="center"/>
              <w:rPr>
                <w:rFonts w:asciiTheme="minorHAnsi" w:hAnsiTheme="minorHAnsi"/>
              </w:rPr>
            </w:pPr>
            <w:r w:rsidRPr="008C7781">
              <w:rPr>
                <w:rFonts w:asciiTheme="minorHAnsi" w:hAnsiTheme="minorHAnsi"/>
              </w:rPr>
              <w:t>5</w:t>
            </w:r>
          </w:p>
        </w:tc>
        <w:tc>
          <w:tcPr>
            <w:tcW w:w="567" w:type="dxa"/>
            <w:tcBorders>
              <w:top w:val="single" w:sz="6" w:space="0" w:color="auto"/>
              <w:left w:val="single" w:sz="6" w:space="0" w:color="auto"/>
              <w:bottom w:val="double" w:sz="6" w:space="0" w:color="auto"/>
              <w:right w:val="single" w:sz="6" w:space="0" w:color="auto"/>
            </w:tcBorders>
          </w:tcPr>
          <w:p w:rsidR="00AE2AE6" w:rsidRPr="008C7781" w:rsidRDefault="00AE2AE6" w:rsidP="00737B18">
            <w:pPr>
              <w:jc w:val="center"/>
              <w:rPr>
                <w:rFonts w:asciiTheme="minorHAnsi" w:hAnsiTheme="minorHAnsi"/>
              </w:rPr>
            </w:pPr>
            <w:r w:rsidRPr="008C7781">
              <w:rPr>
                <w:rFonts w:asciiTheme="minorHAnsi" w:hAnsiTheme="minorHAnsi"/>
              </w:rPr>
              <w:t>6</w:t>
            </w:r>
          </w:p>
        </w:tc>
        <w:tc>
          <w:tcPr>
            <w:tcW w:w="567" w:type="dxa"/>
            <w:tcBorders>
              <w:top w:val="single" w:sz="6" w:space="0" w:color="auto"/>
              <w:left w:val="single" w:sz="6" w:space="0" w:color="auto"/>
              <w:bottom w:val="double" w:sz="6" w:space="0" w:color="auto"/>
              <w:right w:val="single" w:sz="6" w:space="0" w:color="auto"/>
            </w:tcBorders>
          </w:tcPr>
          <w:p w:rsidR="00AE2AE6" w:rsidRPr="008C7781" w:rsidRDefault="00AE2AE6" w:rsidP="00737B18">
            <w:pPr>
              <w:jc w:val="center"/>
              <w:rPr>
                <w:rFonts w:asciiTheme="minorHAnsi" w:hAnsiTheme="minorHAnsi"/>
              </w:rPr>
            </w:pPr>
            <w:r w:rsidRPr="008C7781">
              <w:rPr>
                <w:rFonts w:asciiTheme="minorHAnsi" w:hAnsiTheme="minorHAnsi"/>
              </w:rPr>
              <w:t>8</w:t>
            </w:r>
          </w:p>
        </w:tc>
        <w:tc>
          <w:tcPr>
            <w:tcW w:w="567" w:type="dxa"/>
            <w:tcBorders>
              <w:top w:val="single" w:sz="6" w:space="0" w:color="auto"/>
              <w:left w:val="single" w:sz="6" w:space="0" w:color="auto"/>
              <w:bottom w:val="double" w:sz="6" w:space="0" w:color="auto"/>
              <w:right w:val="single" w:sz="6" w:space="0" w:color="auto"/>
            </w:tcBorders>
          </w:tcPr>
          <w:p w:rsidR="00AE2AE6" w:rsidRPr="008C7781" w:rsidRDefault="00AE2AE6" w:rsidP="00737B18">
            <w:pPr>
              <w:jc w:val="center"/>
              <w:rPr>
                <w:rFonts w:asciiTheme="minorHAnsi" w:hAnsiTheme="minorHAnsi"/>
              </w:rPr>
            </w:pPr>
            <w:r w:rsidRPr="008C7781">
              <w:rPr>
                <w:rFonts w:asciiTheme="minorHAnsi" w:hAnsiTheme="minorHAnsi"/>
              </w:rPr>
              <w:t>10</w:t>
            </w:r>
          </w:p>
        </w:tc>
        <w:tc>
          <w:tcPr>
            <w:tcW w:w="709" w:type="dxa"/>
            <w:tcBorders>
              <w:top w:val="single" w:sz="6" w:space="0" w:color="auto"/>
              <w:left w:val="single" w:sz="6" w:space="0" w:color="auto"/>
              <w:bottom w:val="double" w:sz="6" w:space="0" w:color="auto"/>
              <w:right w:val="single" w:sz="6" w:space="0" w:color="auto"/>
            </w:tcBorders>
          </w:tcPr>
          <w:p w:rsidR="00AE2AE6" w:rsidRPr="008C7781" w:rsidRDefault="00AE2AE6" w:rsidP="00737B18">
            <w:pPr>
              <w:jc w:val="center"/>
              <w:rPr>
                <w:rFonts w:asciiTheme="minorHAnsi" w:hAnsiTheme="minorHAnsi"/>
              </w:rPr>
            </w:pPr>
            <w:r w:rsidRPr="008C7781">
              <w:rPr>
                <w:rFonts w:asciiTheme="minorHAnsi" w:hAnsiTheme="minorHAnsi"/>
              </w:rPr>
              <w:t>1</w:t>
            </w:r>
          </w:p>
        </w:tc>
        <w:tc>
          <w:tcPr>
            <w:tcW w:w="843" w:type="dxa"/>
            <w:tcBorders>
              <w:top w:val="single" w:sz="6" w:space="0" w:color="auto"/>
              <w:left w:val="single" w:sz="6" w:space="0" w:color="auto"/>
              <w:bottom w:val="double" w:sz="6" w:space="0" w:color="auto"/>
              <w:right w:val="single" w:sz="6" w:space="0" w:color="auto"/>
            </w:tcBorders>
          </w:tcPr>
          <w:p w:rsidR="00AE2AE6" w:rsidRPr="008C7781" w:rsidRDefault="00AE2AE6" w:rsidP="00737B18">
            <w:pPr>
              <w:jc w:val="center"/>
              <w:rPr>
                <w:rFonts w:asciiTheme="minorHAnsi" w:hAnsiTheme="minorHAnsi"/>
              </w:rPr>
            </w:pPr>
            <w:r w:rsidRPr="008C7781">
              <w:rPr>
                <w:rFonts w:asciiTheme="minorHAnsi" w:hAnsiTheme="minorHAnsi"/>
              </w:rPr>
              <w:t>2</w:t>
            </w:r>
          </w:p>
        </w:tc>
        <w:tc>
          <w:tcPr>
            <w:tcW w:w="858" w:type="dxa"/>
            <w:gridSpan w:val="2"/>
            <w:tcBorders>
              <w:top w:val="single" w:sz="6" w:space="0" w:color="auto"/>
              <w:left w:val="single" w:sz="6" w:space="0" w:color="auto"/>
              <w:bottom w:val="double" w:sz="6" w:space="0" w:color="auto"/>
              <w:right w:val="single" w:sz="6" w:space="0" w:color="auto"/>
            </w:tcBorders>
          </w:tcPr>
          <w:p w:rsidR="00AE2AE6" w:rsidRPr="008C7781" w:rsidRDefault="00AE2AE6" w:rsidP="00737B18">
            <w:pPr>
              <w:jc w:val="center"/>
              <w:rPr>
                <w:rFonts w:asciiTheme="minorHAnsi" w:hAnsiTheme="minorHAnsi"/>
              </w:rPr>
            </w:pPr>
            <w:r w:rsidRPr="008C7781">
              <w:rPr>
                <w:rFonts w:asciiTheme="minorHAnsi" w:hAnsiTheme="minorHAnsi"/>
              </w:rPr>
              <w:t>3</w:t>
            </w:r>
          </w:p>
        </w:tc>
      </w:tr>
      <w:tr w:rsidR="00AE2AE6" w:rsidRPr="008C7781" w:rsidTr="00C3299C">
        <w:trPr>
          <w:gridAfter w:val="5"/>
          <w:wAfter w:w="7195" w:type="dxa"/>
        </w:trPr>
        <w:tc>
          <w:tcPr>
            <w:tcW w:w="2905" w:type="dxa"/>
            <w:tcBorders>
              <w:left w:val="single" w:sz="6" w:space="0" w:color="auto"/>
              <w:bottom w:val="single" w:sz="6" w:space="0" w:color="auto"/>
              <w:right w:val="single" w:sz="6" w:space="0" w:color="auto"/>
            </w:tcBorders>
          </w:tcPr>
          <w:p w:rsidR="00AE2AE6" w:rsidRPr="008C7781" w:rsidRDefault="00AE2AE6" w:rsidP="00737B18">
            <w:pPr>
              <w:spacing w:before="60" w:after="60"/>
              <w:rPr>
                <w:rFonts w:asciiTheme="minorHAnsi" w:hAnsiTheme="minorHAnsi"/>
              </w:rPr>
            </w:pPr>
            <w:r w:rsidRPr="008C7781">
              <w:rPr>
                <w:rFonts w:asciiTheme="minorHAnsi" w:hAnsiTheme="minorHAnsi"/>
              </w:rPr>
              <w:t>Wymiar a</w:t>
            </w:r>
          </w:p>
        </w:tc>
        <w:tc>
          <w:tcPr>
            <w:tcW w:w="567" w:type="dxa"/>
            <w:tcBorders>
              <w:left w:val="single" w:sz="6" w:space="0" w:color="auto"/>
              <w:bottom w:val="single" w:sz="6" w:space="0" w:color="auto"/>
              <w:right w:val="single" w:sz="6" w:space="0" w:color="auto"/>
            </w:tcBorders>
          </w:tcPr>
          <w:p w:rsidR="00AE2AE6" w:rsidRPr="008C7781" w:rsidRDefault="00AE2AE6" w:rsidP="00737B18">
            <w:pPr>
              <w:spacing w:before="60" w:after="60"/>
              <w:jc w:val="center"/>
              <w:rPr>
                <w:rFonts w:asciiTheme="minorHAnsi" w:hAnsiTheme="minorHAnsi"/>
              </w:rPr>
            </w:pPr>
            <w:r w:rsidRPr="008C7781">
              <w:rPr>
                <w:rFonts w:asciiTheme="minorHAnsi" w:hAnsiTheme="minorHAnsi"/>
              </w:rPr>
              <w:t>5</w:t>
            </w:r>
          </w:p>
        </w:tc>
        <w:tc>
          <w:tcPr>
            <w:tcW w:w="567" w:type="dxa"/>
            <w:tcBorders>
              <w:left w:val="single" w:sz="6" w:space="0" w:color="auto"/>
              <w:bottom w:val="single" w:sz="6" w:space="0" w:color="auto"/>
              <w:right w:val="single" w:sz="6" w:space="0" w:color="auto"/>
            </w:tcBorders>
          </w:tcPr>
          <w:p w:rsidR="00AE2AE6" w:rsidRPr="008C7781" w:rsidRDefault="00AE2AE6" w:rsidP="00737B18">
            <w:pPr>
              <w:spacing w:before="60" w:after="60"/>
              <w:jc w:val="center"/>
              <w:rPr>
                <w:rFonts w:asciiTheme="minorHAnsi" w:hAnsiTheme="minorHAnsi"/>
              </w:rPr>
            </w:pPr>
            <w:r w:rsidRPr="008C7781">
              <w:rPr>
                <w:rFonts w:asciiTheme="minorHAnsi" w:hAnsiTheme="minorHAnsi"/>
              </w:rPr>
              <w:t>6</w:t>
            </w:r>
          </w:p>
        </w:tc>
        <w:tc>
          <w:tcPr>
            <w:tcW w:w="567" w:type="dxa"/>
            <w:tcBorders>
              <w:left w:val="single" w:sz="6" w:space="0" w:color="auto"/>
              <w:bottom w:val="single" w:sz="6" w:space="0" w:color="auto"/>
              <w:right w:val="single" w:sz="6" w:space="0" w:color="auto"/>
            </w:tcBorders>
          </w:tcPr>
          <w:p w:rsidR="00AE2AE6" w:rsidRPr="008C7781" w:rsidRDefault="00AE2AE6" w:rsidP="00737B18">
            <w:pPr>
              <w:spacing w:before="60" w:after="60"/>
              <w:jc w:val="center"/>
              <w:rPr>
                <w:rFonts w:asciiTheme="minorHAnsi" w:hAnsiTheme="minorHAnsi"/>
              </w:rPr>
            </w:pPr>
            <w:r w:rsidRPr="008C7781">
              <w:rPr>
                <w:rFonts w:asciiTheme="minorHAnsi" w:hAnsiTheme="minorHAnsi"/>
              </w:rPr>
              <w:t>8</w:t>
            </w:r>
          </w:p>
        </w:tc>
        <w:tc>
          <w:tcPr>
            <w:tcW w:w="567" w:type="dxa"/>
            <w:tcBorders>
              <w:left w:val="single" w:sz="6" w:space="0" w:color="auto"/>
              <w:bottom w:val="single" w:sz="6" w:space="0" w:color="auto"/>
              <w:right w:val="single" w:sz="6" w:space="0" w:color="auto"/>
            </w:tcBorders>
          </w:tcPr>
          <w:p w:rsidR="00AE2AE6" w:rsidRPr="008C7781" w:rsidRDefault="00AE2AE6" w:rsidP="00737B18">
            <w:pPr>
              <w:spacing w:before="60" w:after="60"/>
              <w:jc w:val="center"/>
              <w:rPr>
                <w:rFonts w:asciiTheme="minorHAnsi" w:hAnsiTheme="minorHAnsi"/>
              </w:rPr>
            </w:pPr>
            <w:r w:rsidRPr="008C7781">
              <w:rPr>
                <w:rFonts w:asciiTheme="minorHAnsi" w:hAnsiTheme="minorHAnsi"/>
              </w:rPr>
              <w:t>10</w:t>
            </w:r>
          </w:p>
        </w:tc>
        <w:tc>
          <w:tcPr>
            <w:tcW w:w="709" w:type="dxa"/>
            <w:tcBorders>
              <w:left w:val="single" w:sz="6" w:space="0" w:color="auto"/>
              <w:bottom w:val="single" w:sz="6" w:space="0" w:color="auto"/>
              <w:right w:val="single" w:sz="6" w:space="0" w:color="auto"/>
            </w:tcBorders>
          </w:tcPr>
          <w:p w:rsidR="00AE2AE6" w:rsidRPr="008C7781" w:rsidRDefault="00AE2AE6" w:rsidP="00737B18">
            <w:pPr>
              <w:spacing w:before="60" w:after="60"/>
              <w:jc w:val="center"/>
              <w:rPr>
                <w:rFonts w:asciiTheme="minorHAnsi" w:hAnsiTheme="minorHAnsi"/>
              </w:rPr>
            </w:pPr>
            <w:r w:rsidRPr="008C7781">
              <w:rPr>
                <w:rFonts w:asciiTheme="minorHAnsi" w:hAnsiTheme="minorHAnsi"/>
              </w:rPr>
              <w:sym w:font="Symbol" w:char="F0B1"/>
            </w:r>
            <w:r w:rsidRPr="008C7781">
              <w:rPr>
                <w:rFonts w:asciiTheme="minorHAnsi" w:hAnsiTheme="minorHAnsi"/>
              </w:rPr>
              <w:t xml:space="preserve"> 1,0</w:t>
            </w:r>
          </w:p>
        </w:tc>
        <w:tc>
          <w:tcPr>
            <w:tcW w:w="843" w:type="dxa"/>
            <w:tcBorders>
              <w:left w:val="nil"/>
              <w:bottom w:val="single" w:sz="6" w:space="0" w:color="auto"/>
              <w:right w:val="single" w:sz="6" w:space="0" w:color="auto"/>
            </w:tcBorders>
          </w:tcPr>
          <w:p w:rsidR="00AE2AE6" w:rsidRPr="008C7781" w:rsidRDefault="00AE2AE6" w:rsidP="00737B18">
            <w:pPr>
              <w:spacing w:before="60" w:after="60"/>
              <w:jc w:val="center"/>
              <w:rPr>
                <w:rFonts w:asciiTheme="minorHAnsi" w:hAnsiTheme="minorHAnsi"/>
              </w:rPr>
            </w:pPr>
            <w:r w:rsidRPr="008C7781">
              <w:rPr>
                <w:rFonts w:asciiTheme="minorHAnsi" w:hAnsiTheme="minorHAnsi"/>
              </w:rPr>
              <w:sym w:font="Symbol" w:char="F0B1"/>
            </w:r>
            <w:r w:rsidRPr="008C7781">
              <w:rPr>
                <w:rFonts w:asciiTheme="minorHAnsi" w:hAnsiTheme="minorHAnsi"/>
              </w:rPr>
              <w:t xml:space="preserve"> 1,0</w:t>
            </w:r>
          </w:p>
        </w:tc>
        <w:tc>
          <w:tcPr>
            <w:tcW w:w="858" w:type="dxa"/>
            <w:gridSpan w:val="2"/>
            <w:tcBorders>
              <w:left w:val="single" w:sz="6" w:space="0" w:color="auto"/>
              <w:bottom w:val="single" w:sz="6" w:space="0" w:color="auto"/>
              <w:right w:val="single" w:sz="6" w:space="0" w:color="auto"/>
            </w:tcBorders>
          </w:tcPr>
          <w:p w:rsidR="00AE2AE6" w:rsidRPr="008C7781" w:rsidRDefault="00AE2AE6" w:rsidP="00737B18">
            <w:pPr>
              <w:spacing w:before="60" w:after="60"/>
              <w:jc w:val="center"/>
              <w:rPr>
                <w:rFonts w:asciiTheme="minorHAnsi" w:hAnsiTheme="minorHAnsi"/>
              </w:rPr>
            </w:pPr>
            <w:r w:rsidRPr="008C7781">
              <w:rPr>
                <w:rFonts w:asciiTheme="minorHAnsi" w:hAnsiTheme="minorHAnsi"/>
              </w:rPr>
              <w:sym w:font="Symbol" w:char="F0B1"/>
            </w:r>
            <w:r w:rsidRPr="008C7781">
              <w:rPr>
                <w:rFonts w:asciiTheme="minorHAnsi" w:hAnsiTheme="minorHAnsi"/>
              </w:rPr>
              <w:t xml:space="preserve"> 1,0</w:t>
            </w:r>
          </w:p>
        </w:tc>
      </w:tr>
      <w:tr w:rsidR="00AE2AE6" w:rsidRPr="008C7781" w:rsidTr="00C3299C">
        <w:trPr>
          <w:gridAfter w:val="5"/>
          <w:wAfter w:w="7195" w:type="dxa"/>
        </w:trPr>
        <w:tc>
          <w:tcPr>
            <w:tcW w:w="2905" w:type="dxa"/>
            <w:tcBorders>
              <w:top w:val="single" w:sz="6" w:space="0" w:color="auto"/>
              <w:left w:val="single" w:sz="6" w:space="0" w:color="auto"/>
              <w:bottom w:val="single" w:sz="6" w:space="0" w:color="auto"/>
              <w:right w:val="single" w:sz="6" w:space="0" w:color="auto"/>
            </w:tcBorders>
          </w:tcPr>
          <w:p w:rsidR="00AE2AE6" w:rsidRPr="008C7781" w:rsidRDefault="00AE2AE6" w:rsidP="00737B18">
            <w:pPr>
              <w:rPr>
                <w:rFonts w:asciiTheme="minorHAnsi" w:hAnsiTheme="minorHAnsi"/>
              </w:rPr>
            </w:pPr>
            <w:r w:rsidRPr="008C7781">
              <w:rPr>
                <w:rFonts w:asciiTheme="minorHAnsi" w:hAnsiTheme="minorHAnsi"/>
              </w:rPr>
              <w:t>Stosunek pola powierzchni dolnej (stopki) do górnej (czoła), w cm, nie mniejszy niż</w:t>
            </w:r>
          </w:p>
        </w:tc>
        <w:tc>
          <w:tcPr>
            <w:tcW w:w="567" w:type="dxa"/>
            <w:tcBorders>
              <w:top w:val="single" w:sz="6" w:space="0" w:color="auto"/>
              <w:left w:val="single" w:sz="6" w:space="0" w:color="auto"/>
              <w:bottom w:val="single" w:sz="6" w:space="0" w:color="auto"/>
              <w:right w:val="single" w:sz="6" w:space="0" w:color="auto"/>
            </w:tcBorders>
          </w:tcPr>
          <w:p w:rsidR="00AE2AE6" w:rsidRPr="008C7781" w:rsidRDefault="00AE2AE6" w:rsidP="00737B18">
            <w:pPr>
              <w:jc w:val="center"/>
              <w:rPr>
                <w:rFonts w:asciiTheme="minorHAnsi" w:hAnsiTheme="minorHAnsi"/>
              </w:rPr>
            </w:pPr>
          </w:p>
          <w:p w:rsidR="00AE2AE6" w:rsidRPr="008C7781" w:rsidRDefault="00AE2AE6" w:rsidP="00737B18">
            <w:pPr>
              <w:jc w:val="center"/>
              <w:rPr>
                <w:rFonts w:asciiTheme="minorHAnsi" w:hAnsiTheme="minorHAnsi"/>
              </w:rPr>
            </w:pPr>
            <w:r w:rsidRPr="008C7781">
              <w:rPr>
                <w:rFonts w:asciiTheme="minorHAnsi" w:hAnsiTheme="minorHAnsi"/>
              </w:rPr>
              <w:t>-</w:t>
            </w:r>
          </w:p>
        </w:tc>
        <w:tc>
          <w:tcPr>
            <w:tcW w:w="567" w:type="dxa"/>
            <w:tcBorders>
              <w:top w:val="single" w:sz="6" w:space="0" w:color="auto"/>
              <w:left w:val="single" w:sz="6" w:space="0" w:color="auto"/>
              <w:bottom w:val="single" w:sz="6" w:space="0" w:color="auto"/>
              <w:right w:val="single" w:sz="6" w:space="0" w:color="auto"/>
            </w:tcBorders>
          </w:tcPr>
          <w:p w:rsidR="00AE2AE6" w:rsidRPr="008C7781" w:rsidRDefault="00AE2AE6" w:rsidP="00737B18">
            <w:pPr>
              <w:jc w:val="center"/>
              <w:rPr>
                <w:rFonts w:asciiTheme="minorHAnsi" w:hAnsiTheme="minorHAnsi"/>
              </w:rPr>
            </w:pPr>
          </w:p>
          <w:p w:rsidR="00AE2AE6" w:rsidRPr="008C7781" w:rsidRDefault="00AE2AE6" w:rsidP="00737B18">
            <w:pPr>
              <w:jc w:val="center"/>
              <w:rPr>
                <w:rFonts w:asciiTheme="minorHAnsi" w:hAnsiTheme="minorHAnsi"/>
              </w:rPr>
            </w:pPr>
            <w:r w:rsidRPr="008C7781">
              <w:rPr>
                <w:rFonts w:asciiTheme="minorHAnsi" w:hAnsiTheme="minorHAnsi"/>
              </w:rPr>
              <w:t>-</w:t>
            </w:r>
          </w:p>
        </w:tc>
        <w:tc>
          <w:tcPr>
            <w:tcW w:w="567" w:type="dxa"/>
            <w:tcBorders>
              <w:top w:val="single" w:sz="6" w:space="0" w:color="auto"/>
              <w:left w:val="single" w:sz="6" w:space="0" w:color="auto"/>
              <w:bottom w:val="single" w:sz="6" w:space="0" w:color="auto"/>
              <w:right w:val="single" w:sz="6" w:space="0" w:color="auto"/>
            </w:tcBorders>
          </w:tcPr>
          <w:p w:rsidR="00AE2AE6" w:rsidRPr="008C7781" w:rsidRDefault="00AE2AE6" w:rsidP="00737B18">
            <w:pPr>
              <w:jc w:val="center"/>
              <w:rPr>
                <w:rFonts w:asciiTheme="minorHAnsi" w:hAnsiTheme="minorHAnsi"/>
              </w:rPr>
            </w:pPr>
          </w:p>
          <w:p w:rsidR="00AE2AE6" w:rsidRPr="008C7781" w:rsidRDefault="00AE2AE6" w:rsidP="00737B18">
            <w:pPr>
              <w:jc w:val="center"/>
              <w:rPr>
                <w:rFonts w:asciiTheme="minorHAnsi" w:hAnsiTheme="minorHAnsi"/>
              </w:rPr>
            </w:pPr>
            <w:r w:rsidRPr="008C7781">
              <w:rPr>
                <w:rFonts w:asciiTheme="minorHAnsi" w:hAnsiTheme="minorHAnsi"/>
              </w:rPr>
              <w:t>-</w:t>
            </w:r>
          </w:p>
        </w:tc>
        <w:tc>
          <w:tcPr>
            <w:tcW w:w="567" w:type="dxa"/>
            <w:tcBorders>
              <w:top w:val="single" w:sz="6" w:space="0" w:color="auto"/>
              <w:left w:val="single" w:sz="6" w:space="0" w:color="auto"/>
              <w:bottom w:val="single" w:sz="6" w:space="0" w:color="auto"/>
              <w:right w:val="single" w:sz="6" w:space="0" w:color="auto"/>
            </w:tcBorders>
          </w:tcPr>
          <w:p w:rsidR="00AE2AE6" w:rsidRPr="008C7781" w:rsidRDefault="00AE2AE6" w:rsidP="00737B18">
            <w:pPr>
              <w:jc w:val="center"/>
              <w:rPr>
                <w:rFonts w:asciiTheme="minorHAnsi" w:hAnsiTheme="minorHAnsi"/>
              </w:rPr>
            </w:pPr>
          </w:p>
          <w:p w:rsidR="00AE2AE6" w:rsidRPr="008C7781" w:rsidRDefault="00AE2AE6" w:rsidP="00737B18">
            <w:pPr>
              <w:jc w:val="center"/>
              <w:rPr>
                <w:rFonts w:asciiTheme="minorHAnsi" w:hAnsiTheme="minorHAnsi"/>
              </w:rPr>
            </w:pPr>
            <w:r w:rsidRPr="008C7781">
              <w:rPr>
                <w:rFonts w:asciiTheme="minorHAnsi" w:hAnsiTheme="minorHAnsi"/>
              </w:rPr>
              <w:t>-</w:t>
            </w:r>
          </w:p>
        </w:tc>
        <w:tc>
          <w:tcPr>
            <w:tcW w:w="709" w:type="dxa"/>
            <w:tcBorders>
              <w:top w:val="single" w:sz="6" w:space="0" w:color="auto"/>
              <w:left w:val="single" w:sz="6" w:space="0" w:color="auto"/>
              <w:bottom w:val="single" w:sz="6" w:space="0" w:color="auto"/>
              <w:right w:val="single" w:sz="6" w:space="0" w:color="auto"/>
            </w:tcBorders>
          </w:tcPr>
          <w:p w:rsidR="00AE2AE6" w:rsidRPr="008C7781" w:rsidRDefault="00AE2AE6" w:rsidP="00737B18">
            <w:pPr>
              <w:jc w:val="center"/>
              <w:rPr>
                <w:rFonts w:asciiTheme="minorHAnsi" w:hAnsiTheme="minorHAnsi"/>
              </w:rPr>
            </w:pPr>
          </w:p>
          <w:p w:rsidR="00AE2AE6" w:rsidRPr="008C7781" w:rsidRDefault="00AE2AE6" w:rsidP="00737B18">
            <w:pPr>
              <w:jc w:val="center"/>
              <w:rPr>
                <w:rFonts w:asciiTheme="minorHAnsi" w:hAnsiTheme="minorHAnsi"/>
              </w:rPr>
            </w:pPr>
            <w:r w:rsidRPr="008C7781">
              <w:rPr>
                <w:rFonts w:asciiTheme="minorHAnsi" w:hAnsiTheme="minorHAnsi"/>
              </w:rPr>
              <w:t>0,7</w:t>
            </w:r>
          </w:p>
        </w:tc>
        <w:tc>
          <w:tcPr>
            <w:tcW w:w="843" w:type="dxa"/>
            <w:tcBorders>
              <w:top w:val="single" w:sz="6" w:space="0" w:color="auto"/>
              <w:left w:val="nil"/>
              <w:bottom w:val="single" w:sz="6" w:space="0" w:color="auto"/>
              <w:right w:val="single" w:sz="6" w:space="0" w:color="auto"/>
            </w:tcBorders>
          </w:tcPr>
          <w:p w:rsidR="00AE2AE6" w:rsidRPr="008C7781" w:rsidRDefault="00AE2AE6" w:rsidP="00737B18">
            <w:pPr>
              <w:jc w:val="center"/>
              <w:rPr>
                <w:rFonts w:asciiTheme="minorHAnsi" w:hAnsiTheme="minorHAnsi"/>
              </w:rPr>
            </w:pPr>
          </w:p>
          <w:p w:rsidR="00AE2AE6" w:rsidRPr="008C7781" w:rsidRDefault="00AE2AE6" w:rsidP="00737B18">
            <w:pPr>
              <w:jc w:val="center"/>
              <w:rPr>
                <w:rFonts w:asciiTheme="minorHAnsi" w:hAnsiTheme="minorHAnsi"/>
              </w:rPr>
            </w:pPr>
            <w:r w:rsidRPr="008C7781">
              <w:rPr>
                <w:rFonts w:asciiTheme="minorHAnsi" w:hAnsiTheme="minorHAnsi"/>
              </w:rPr>
              <w:t>0,6</w:t>
            </w:r>
          </w:p>
        </w:tc>
        <w:tc>
          <w:tcPr>
            <w:tcW w:w="858" w:type="dxa"/>
            <w:gridSpan w:val="2"/>
            <w:tcBorders>
              <w:top w:val="single" w:sz="6" w:space="0" w:color="auto"/>
              <w:left w:val="single" w:sz="6" w:space="0" w:color="auto"/>
              <w:bottom w:val="single" w:sz="6" w:space="0" w:color="auto"/>
              <w:right w:val="single" w:sz="6" w:space="0" w:color="auto"/>
            </w:tcBorders>
          </w:tcPr>
          <w:p w:rsidR="00AE2AE6" w:rsidRPr="008C7781" w:rsidRDefault="00AE2AE6" w:rsidP="00737B18">
            <w:pPr>
              <w:jc w:val="center"/>
              <w:rPr>
                <w:rFonts w:asciiTheme="minorHAnsi" w:hAnsiTheme="minorHAnsi"/>
              </w:rPr>
            </w:pPr>
          </w:p>
          <w:p w:rsidR="00AE2AE6" w:rsidRPr="008C7781" w:rsidRDefault="00AE2AE6" w:rsidP="00737B18">
            <w:pPr>
              <w:jc w:val="center"/>
              <w:rPr>
                <w:rFonts w:asciiTheme="minorHAnsi" w:hAnsiTheme="minorHAnsi"/>
              </w:rPr>
            </w:pPr>
            <w:r w:rsidRPr="008C7781">
              <w:rPr>
                <w:rFonts w:asciiTheme="minorHAnsi" w:hAnsiTheme="minorHAnsi"/>
              </w:rPr>
              <w:t>0,5</w:t>
            </w:r>
          </w:p>
        </w:tc>
      </w:tr>
      <w:tr w:rsidR="00AE2AE6" w:rsidRPr="008C7781" w:rsidTr="00C3299C">
        <w:trPr>
          <w:gridAfter w:val="5"/>
          <w:wAfter w:w="7195" w:type="dxa"/>
        </w:trPr>
        <w:tc>
          <w:tcPr>
            <w:tcW w:w="2905" w:type="dxa"/>
            <w:tcBorders>
              <w:top w:val="single" w:sz="6" w:space="0" w:color="auto"/>
              <w:left w:val="single" w:sz="6" w:space="0" w:color="auto"/>
              <w:bottom w:val="single" w:sz="6" w:space="0" w:color="auto"/>
              <w:right w:val="single" w:sz="6" w:space="0" w:color="auto"/>
            </w:tcBorders>
          </w:tcPr>
          <w:p w:rsidR="00AE2AE6" w:rsidRPr="008C7781" w:rsidRDefault="00AE2AE6" w:rsidP="00737B18">
            <w:pPr>
              <w:rPr>
                <w:rFonts w:asciiTheme="minorHAnsi" w:hAnsiTheme="minorHAnsi"/>
              </w:rPr>
            </w:pPr>
            <w:r w:rsidRPr="008C7781">
              <w:rPr>
                <w:rFonts w:asciiTheme="minorHAnsi" w:hAnsiTheme="minorHAnsi"/>
              </w:rPr>
              <w:t>Nierówności powierzchni górnej (czoła),w cm, nie większe niż</w:t>
            </w:r>
          </w:p>
        </w:tc>
        <w:tc>
          <w:tcPr>
            <w:tcW w:w="567" w:type="dxa"/>
            <w:tcBorders>
              <w:top w:val="single" w:sz="6" w:space="0" w:color="auto"/>
              <w:left w:val="single" w:sz="6" w:space="0" w:color="auto"/>
              <w:bottom w:val="single" w:sz="6" w:space="0" w:color="auto"/>
              <w:right w:val="single" w:sz="6" w:space="0" w:color="auto"/>
            </w:tcBorders>
          </w:tcPr>
          <w:p w:rsidR="00AE2AE6" w:rsidRPr="008C7781" w:rsidRDefault="00AE2AE6" w:rsidP="00737B18">
            <w:pPr>
              <w:spacing w:before="120"/>
              <w:jc w:val="center"/>
              <w:rPr>
                <w:rFonts w:asciiTheme="minorHAnsi" w:hAnsiTheme="minorHAnsi"/>
              </w:rPr>
            </w:pPr>
            <w:r w:rsidRPr="008C7781">
              <w:rPr>
                <w:rFonts w:asciiTheme="minorHAnsi" w:hAnsiTheme="minorHAnsi"/>
              </w:rPr>
              <w:t>-</w:t>
            </w:r>
          </w:p>
        </w:tc>
        <w:tc>
          <w:tcPr>
            <w:tcW w:w="567" w:type="dxa"/>
            <w:tcBorders>
              <w:top w:val="single" w:sz="6" w:space="0" w:color="auto"/>
              <w:left w:val="single" w:sz="6" w:space="0" w:color="auto"/>
              <w:bottom w:val="single" w:sz="6" w:space="0" w:color="auto"/>
              <w:right w:val="single" w:sz="6" w:space="0" w:color="auto"/>
            </w:tcBorders>
          </w:tcPr>
          <w:p w:rsidR="00AE2AE6" w:rsidRPr="008C7781" w:rsidRDefault="00AE2AE6" w:rsidP="00737B18">
            <w:pPr>
              <w:spacing w:before="120"/>
              <w:jc w:val="center"/>
              <w:rPr>
                <w:rFonts w:asciiTheme="minorHAnsi" w:hAnsiTheme="minorHAnsi"/>
              </w:rPr>
            </w:pPr>
            <w:r w:rsidRPr="008C7781">
              <w:rPr>
                <w:rFonts w:asciiTheme="minorHAnsi" w:hAnsiTheme="minorHAnsi"/>
              </w:rPr>
              <w:t>-</w:t>
            </w:r>
          </w:p>
        </w:tc>
        <w:tc>
          <w:tcPr>
            <w:tcW w:w="567" w:type="dxa"/>
            <w:tcBorders>
              <w:top w:val="single" w:sz="6" w:space="0" w:color="auto"/>
              <w:left w:val="single" w:sz="6" w:space="0" w:color="auto"/>
              <w:bottom w:val="single" w:sz="6" w:space="0" w:color="auto"/>
              <w:right w:val="single" w:sz="6" w:space="0" w:color="auto"/>
            </w:tcBorders>
          </w:tcPr>
          <w:p w:rsidR="00AE2AE6" w:rsidRPr="008C7781" w:rsidRDefault="00AE2AE6" w:rsidP="00737B18">
            <w:pPr>
              <w:spacing w:before="120"/>
              <w:jc w:val="center"/>
              <w:rPr>
                <w:rFonts w:asciiTheme="minorHAnsi" w:hAnsiTheme="minorHAnsi"/>
              </w:rPr>
            </w:pPr>
            <w:r w:rsidRPr="008C7781">
              <w:rPr>
                <w:rFonts w:asciiTheme="minorHAnsi" w:hAnsiTheme="minorHAnsi"/>
              </w:rPr>
              <w:t>-</w:t>
            </w:r>
          </w:p>
        </w:tc>
        <w:tc>
          <w:tcPr>
            <w:tcW w:w="567" w:type="dxa"/>
            <w:tcBorders>
              <w:top w:val="single" w:sz="6" w:space="0" w:color="auto"/>
              <w:left w:val="single" w:sz="6" w:space="0" w:color="auto"/>
              <w:bottom w:val="single" w:sz="6" w:space="0" w:color="auto"/>
              <w:right w:val="single" w:sz="6" w:space="0" w:color="auto"/>
            </w:tcBorders>
          </w:tcPr>
          <w:p w:rsidR="00AE2AE6" w:rsidRPr="008C7781" w:rsidRDefault="00AE2AE6" w:rsidP="00737B18">
            <w:pPr>
              <w:spacing w:before="120"/>
              <w:jc w:val="center"/>
              <w:rPr>
                <w:rFonts w:asciiTheme="minorHAnsi" w:hAnsiTheme="minorHAnsi"/>
              </w:rPr>
            </w:pPr>
            <w:r w:rsidRPr="008C7781">
              <w:rPr>
                <w:rFonts w:asciiTheme="minorHAnsi" w:hAnsiTheme="minorHAnsi"/>
              </w:rPr>
              <w:t>-</w:t>
            </w:r>
          </w:p>
        </w:tc>
        <w:tc>
          <w:tcPr>
            <w:tcW w:w="709" w:type="dxa"/>
            <w:tcBorders>
              <w:top w:val="single" w:sz="6" w:space="0" w:color="auto"/>
              <w:left w:val="single" w:sz="6" w:space="0" w:color="auto"/>
              <w:bottom w:val="single" w:sz="6" w:space="0" w:color="auto"/>
              <w:right w:val="single" w:sz="6" w:space="0" w:color="auto"/>
            </w:tcBorders>
          </w:tcPr>
          <w:p w:rsidR="00AE2AE6" w:rsidRPr="008C7781" w:rsidRDefault="00AE2AE6" w:rsidP="00737B18">
            <w:pPr>
              <w:spacing w:before="120"/>
              <w:jc w:val="center"/>
              <w:rPr>
                <w:rFonts w:asciiTheme="minorHAnsi" w:hAnsiTheme="minorHAnsi"/>
              </w:rPr>
            </w:pPr>
            <w:r w:rsidRPr="008C7781">
              <w:rPr>
                <w:rFonts w:asciiTheme="minorHAnsi" w:hAnsiTheme="minorHAnsi"/>
              </w:rPr>
              <w:sym w:font="Symbol" w:char="F0B1"/>
            </w:r>
            <w:r w:rsidRPr="008C7781">
              <w:rPr>
                <w:rFonts w:asciiTheme="minorHAnsi" w:hAnsiTheme="minorHAnsi"/>
              </w:rPr>
              <w:t xml:space="preserve"> 0,4</w:t>
            </w:r>
          </w:p>
        </w:tc>
        <w:tc>
          <w:tcPr>
            <w:tcW w:w="843" w:type="dxa"/>
            <w:tcBorders>
              <w:top w:val="single" w:sz="6" w:space="0" w:color="auto"/>
              <w:left w:val="nil"/>
              <w:bottom w:val="single" w:sz="6" w:space="0" w:color="auto"/>
              <w:right w:val="single" w:sz="6" w:space="0" w:color="auto"/>
            </w:tcBorders>
          </w:tcPr>
          <w:p w:rsidR="00AE2AE6" w:rsidRPr="008C7781" w:rsidRDefault="00AE2AE6" w:rsidP="00737B18">
            <w:pPr>
              <w:spacing w:before="120"/>
              <w:jc w:val="center"/>
              <w:rPr>
                <w:rFonts w:asciiTheme="minorHAnsi" w:hAnsiTheme="minorHAnsi"/>
              </w:rPr>
            </w:pPr>
            <w:r w:rsidRPr="008C7781">
              <w:rPr>
                <w:rFonts w:asciiTheme="minorHAnsi" w:hAnsiTheme="minorHAnsi"/>
              </w:rPr>
              <w:sym w:font="Symbol" w:char="F0B1"/>
            </w:r>
            <w:r w:rsidRPr="008C7781">
              <w:rPr>
                <w:rFonts w:asciiTheme="minorHAnsi" w:hAnsiTheme="minorHAnsi"/>
              </w:rPr>
              <w:t xml:space="preserve"> 0,6</w:t>
            </w:r>
          </w:p>
        </w:tc>
        <w:tc>
          <w:tcPr>
            <w:tcW w:w="858" w:type="dxa"/>
            <w:gridSpan w:val="2"/>
            <w:tcBorders>
              <w:top w:val="single" w:sz="6" w:space="0" w:color="auto"/>
              <w:left w:val="single" w:sz="6" w:space="0" w:color="auto"/>
              <w:bottom w:val="single" w:sz="6" w:space="0" w:color="auto"/>
              <w:right w:val="single" w:sz="6" w:space="0" w:color="auto"/>
            </w:tcBorders>
          </w:tcPr>
          <w:p w:rsidR="00AE2AE6" w:rsidRPr="008C7781" w:rsidRDefault="00AE2AE6" w:rsidP="00737B18">
            <w:pPr>
              <w:spacing w:before="120"/>
              <w:jc w:val="center"/>
              <w:rPr>
                <w:rFonts w:asciiTheme="minorHAnsi" w:hAnsiTheme="minorHAnsi"/>
              </w:rPr>
            </w:pPr>
            <w:r w:rsidRPr="008C7781">
              <w:rPr>
                <w:rFonts w:asciiTheme="minorHAnsi" w:hAnsiTheme="minorHAnsi"/>
              </w:rPr>
              <w:sym w:font="Symbol" w:char="F0B1"/>
            </w:r>
            <w:r w:rsidRPr="008C7781">
              <w:rPr>
                <w:rFonts w:asciiTheme="minorHAnsi" w:hAnsiTheme="minorHAnsi"/>
              </w:rPr>
              <w:t xml:space="preserve"> 0,8</w:t>
            </w:r>
          </w:p>
        </w:tc>
      </w:tr>
      <w:tr w:rsidR="00AE2AE6" w:rsidRPr="008C7781" w:rsidTr="00C3299C">
        <w:trPr>
          <w:gridAfter w:val="5"/>
          <w:wAfter w:w="7195" w:type="dxa"/>
        </w:trPr>
        <w:tc>
          <w:tcPr>
            <w:tcW w:w="2905" w:type="dxa"/>
            <w:tcBorders>
              <w:top w:val="single" w:sz="6" w:space="0" w:color="auto"/>
              <w:left w:val="single" w:sz="6" w:space="0" w:color="auto"/>
              <w:bottom w:val="single" w:sz="6" w:space="0" w:color="auto"/>
              <w:right w:val="single" w:sz="6" w:space="0" w:color="auto"/>
            </w:tcBorders>
          </w:tcPr>
          <w:p w:rsidR="00AE2AE6" w:rsidRPr="008C7781" w:rsidRDefault="00AE2AE6" w:rsidP="00737B18">
            <w:pPr>
              <w:rPr>
                <w:rFonts w:asciiTheme="minorHAnsi" w:hAnsiTheme="minorHAnsi"/>
              </w:rPr>
            </w:pPr>
            <w:r w:rsidRPr="008C7781">
              <w:rPr>
                <w:rFonts w:asciiTheme="minorHAnsi" w:hAnsiTheme="minorHAnsi"/>
              </w:rPr>
              <w:t>Wypukłość powierzchni bocznej, w cm, nie większa niż</w:t>
            </w:r>
          </w:p>
        </w:tc>
        <w:tc>
          <w:tcPr>
            <w:tcW w:w="567" w:type="dxa"/>
            <w:tcBorders>
              <w:top w:val="single" w:sz="6" w:space="0" w:color="auto"/>
              <w:left w:val="single" w:sz="6" w:space="0" w:color="auto"/>
              <w:bottom w:val="single" w:sz="6" w:space="0" w:color="auto"/>
              <w:right w:val="single" w:sz="6" w:space="0" w:color="auto"/>
            </w:tcBorders>
          </w:tcPr>
          <w:p w:rsidR="00AE2AE6" w:rsidRPr="008C7781" w:rsidRDefault="00AE2AE6" w:rsidP="00737B18">
            <w:pPr>
              <w:spacing w:before="120"/>
              <w:jc w:val="center"/>
              <w:rPr>
                <w:rFonts w:asciiTheme="minorHAnsi" w:hAnsiTheme="minorHAnsi"/>
              </w:rPr>
            </w:pPr>
            <w:r w:rsidRPr="008C7781">
              <w:rPr>
                <w:rFonts w:asciiTheme="minorHAnsi" w:hAnsiTheme="minorHAnsi"/>
              </w:rPr>
              <w:t>-</w:t>
            </w:r>
          </w:p>
        </w:tc>
        <w:tc>
          <w:tcPr>
            <w:tcW w:w="567" w:type="dxa"/>
            <w:tcBorders>
              <w:top w:val="single" w:sz="6" w:space="0" w:color="auto"/>
              <w:left w:val="single" w:sz="6" w:space="0" w:color="auto"/>
              <w:bottom w:val="single" w:sz="6" w:space="0" w:color="auto"/>
              <w:right w:val="single" w:sz="6" w:space="0" w:color="auto"/>
            </w:tcBorders>
          </w:tcPr>
          <w:p w:rsidR="00AE2AE6" w:rsidRPr="008C7781" w:rsidRDefault="00AE2AE6" w:rsidP="00737B18">
            <w:pPr>
              <w:spacing w:before="120"/>
              <w:jc w:val="center"/>
              <w:rPr>
                <w:rFonts w:asciiTheme="minorHAnsi" w:hAnsiTheme="minorHAnsi"/>
              </w:rPr>
            </w:pPr>
            <w:r w:rsidRPr="008C7781">
              <w:rPr>
                <w:rFonts w:asciiTheme="minorHAnsi" w:hAnsiTheme="minorHAnsi"/>
              </w:rPr>
              <w:t>-</w:t>
            </w:r>
          </w:p>
        </w:tc>
        <w:tc>
          <w:tcPr>
            <w:tcW w:w="567" w:type="dxa"/>
            <w:tcBorders>
              <w:top w:val="single" w:sz="6" w:space="0" w:color="auto"/>
              <w:left w:val="single" w:sz="6" w:space="0" w:color="auto"/>
              <w:bottom w:val="single" w:sz="6" w:space="0" w:color="auto"/>
              <w:right w:val="single" w:sz="6" w:space="0" w:color="auto"/>
            </w:tcBorders>
          </w:tcPr>
          <w:p w:rsidR="00AE2AE6" w:rsidRPr="008C7781" w:rsidRDefault="00AE2AE6" w:rsidP="00737B18">
            <w:pPr>
              <w:spacing w:before="120"/>
              <w:jc w:val="center"/>
              <w:rPr>
                <w:rFonts w:asciiTheme="minorHAnsi" w:hAnsiTheme="minorHAnsi"/>
              </w:rPr>
            </w:pPr>
            <w:r w:rsidRPr="008C7781">
              <w:rPr>
                <w:rFonts w:asciiTheme="minorHAnsi" w:hAnsiTheme="minorHAnsi"/>
              </w:rPr>
              <w:t>-</w:t>
            </w:r>
          </w:p>
        </w:tc>
        <w:tc>
          <w:tcPr>
            <w:tcW w:w="567" w:type="dxa"/>
            <w:tcBorders>
              <w:top w:val="single" w:sz="6" w:space="0" w:color="auto"/>
              <w:left w:val="single" w:sz="6" w:space="0" w:color="auto"/>
              <w:bottom w:val="single" w:sz="6" w:space="0" w:color="auto"/>
              <w:right w:val="single" w:sz="6" w:space="0" w:color="auto"/>
            </w:tcBorders>
          </w:tcPr>
          <w:p w:rsidR="00AE2AE6" w:rsidRPr="008C7781" w:rsidRDefault="00AE2AE6" w:rsidP="00737B18">
            <w:pPr>
              <w:spacing w:before="120"/>
              <w:jc w:val="center"/>
              <w:rPr>
                <w:rFonts w:asciiTheme="minorHAnsi" w:hAnsiTheme="minorHAnsi"/>
              </w:rPr>
            </w:pPr>
            <w:r w:rsidRPr="008C7781">
              <w:rPr>
                <w:rFonts w:asciiTheme="minorHAnsi" w:hAnsiTheme="minorHAnsi"/>
              </w:rPr>
              <w:t>-</w:t>
            </w:r>
          </w:p>
        </w:tc>
        <w:tc>
          <w:tcPr>
            <w:tcW w:w="709" w:type="dxa"/>
            <w:tcBorders>
              <w:top w:val="single" w:sz="6" w:space="0" w:color="auto"/>
              <w:left w:val="single" w:sz="6" w:space="0" w:color="auto"/>
              <w:bottom w:val="single" w:sz="6" w:space="0" w:color="auto"/>
              <w:right w:val="single" w:sz="6" w:space="0" w:color="auto"/>
            </w:tcBorders>
          </w:tcPr>
          <w:p w:rsidR="00AE2AE6" w:rsidRPr="008C7781" w:rsidRDefault="00AE2AE6" w:rsidP="00737B18">
            <w:pPr>
              <w:spacing w:before="120"/>
              <w:jc w:val="center"/>
              <w:rPr>
                <w:rFonts w:asciiTheme="minorHAnsi" w:hAnsiTheme="minorHAnsi"/>
              </w:rPr>
            </w:pPr>
            <w:r w:rsidRPr="008C7781">
              <w:rPr>
                <w:rFonts w:asciiTheme="minorHAnsi" w:hAnsiTheme="minorHAnsi"/>
              </w:rPr>
              <w:t>0,6</w:t>
            </w:r>
          </w:p>
        </w:tc>
        <w:tc>
          <w:tcPr>
            <w:tcW w:w="843" w:type="dxa"/>
            <w:tcBorders>
              <w:top w:val="single" w:sz="6" w:space="0" w:color="auto"/>
              <w:left w:val="nil"/>
              <w:bottom w:val="single" w:sz="6" w:space="0" w:color="auto"/>
              <w:right w:val="single" w:sz="6" w:space="0" w:color="auto"/>
            </w:tcBorders>
          </w:tcPr>
          <w:p w:rsidR="00AE2AE6" w:rsidRPr="008C7781" w:rsidRDefault="00AE2AE6" w:rsidP="00737B18">
            <w:pPr>
              <w:spacing w:before="120"/>
              <w:jc w:val="center"/>
              <w:rPr>
                <w:rFonts w:asciiTheme="minorHAnsi" w:hAnsiTheme="minorHAnsi"/>
              </w:rPr>
            </w:pPr>
            <w:r w:rsidRPr="008C7781">
              <w:rPr>
                <w:rFonts w:asciiTheme="minorHAnsi" w:hAnsiTheme="minorHAnsi"/>
              </w:rPr>
              <w:t>0,6</w:t>
            </w:r>
          </w:p>
        </w:tc>
        <w:tc>
          <w:tcPr>
            <w:tcW w:w="858" w:type="dxa"/>
            <w:gridSpan w:val="2"/>
            <w:tcBorders>
              <w:top w:val="single" w:sz="6" w:space="0" w:color="auto"/>
              <w:left w:val="single" w:sz="6" w:space="0" w:color="auto"/>
              <w:bottom w:val="single" w:sz="6" w:space="0" w:color="auto"/>
              <w:right w:val="single" w:sz="6" w:space="0" w:color="auto"/>
            </w:tcBorders>
          </w:tcPr>
          <w:p w:rsidR="00AE2AE6" w:rsidRPr="008C7781" w:rsidRDefault="00AE2AE6" w:rsidP="00737B18">
            <w:pPr>
              <w:spacing w:before="120"/>
              <w:jc w:val="center"/>
              <w:rPr>
                <w:rFonts w:asciiTheme="minorHAnsi" w:hAnsiTheme="minorHAnsi"/>
              </w:rPr>
            </w:pPr>
            <w:r w:rsidRPr="008C7781">
              <w:rPr>
                <w:rFonts w:asciiTheme="minorHAnsi" w:hAnsiTheme="minorHAnsi"/>
              </w:rPr>
              <w:t>0,8</w:t>
            </w:r>
          </w:p>
        </w:tc>
      </w:tr>
      <w:tr w:rsidR="00AE2AE6" w:rsidRPr="008C7781" w:rsidTr="00C3299C">
        <w:trPr>
          <w:gridAfter w:val="4"/>
          <w:wAfter w:w="5756" w:type="dxa"/>
        </w:trPr>
        <w:tc>
          <w:tcPr>
            <w:tcW w:w="2905" w:type="dxa"/>
            <w:tcBorders>
              <w:top w:val="single" w:sz="6" w:space="0" w:color="auto"/>
              <w:left w:val="single" w:sz="6" w:space="0" w:color="auto"/>
              <w:bottom w:val="single" w:sz="6" w:space="0" w:color="auto"/>
              <w:right w:val="single" w:sz="6" w:space="0" w:color="auto"/>
            </w:tcBorders>
          </w:tcPr>
          <w:p w:rsidR="00AE2AE6" w:rsidRPr="008C7781" w:rsidRDefault="00AE2AE6" w:rsidP="00737B18">
            <w:pPr>
              <w:rPr>
                <w:rFonts w:asciiTheme="minorHAnsi" w:hAnsiTheme="minorHAnsi"/>
              </w:rPr>
            </w:pPr>
            <w:r w:rsidRPr="008C7781">
              <w:rPr>
                <w:rFonts w:asciiTheme="minorHAnsi" w:hAnsiTheme="minorHAnsi"/>
              </w:rPr>
              <w:t>Odchyłki od kąta prostego krawędzi powierzchni górnej (czoła), w stopniach, nie większe niż</w:t>
            </w:r>
          </w:p>
        </w:tc>
        <w:tc>
          <w:tcPr>
            <w:tcW w:w="567" w:type="dxa"/>
            <w:tcBorders>
              <w:top w:val="single" w:sz="6" w:space="0" w:color="auto"/>
              <w:left w:val="single" w:sz="6" w:space="0" w:color="auto"/>
              <w:bottom w:val="single" w:sz="6" w:space="0" w:color="auto"/>
              <w:right w:val="single" w:sz="6" w:space="0" w:color="auto"/>
            </w:tcBorders>
          </w:tcPr>
          <w:p w:rsidR="00AE2AE6" w:rsidRPr="008C7781" w:rsidRDefault="00AE2AE6" w:rsidP="00737B18">
            <w:pPr>
              <w:spacing w:before="360"/>
              <w:jc w:val="center"/>
              <w:rPr>
                <w:rFonts w:asciiTheme="minorHAnsi" w:hAnsiTheme="minorHAnsi"/>
              </w:rPr>
            </w:pPr>
            <w:r w:rsidRPr="008C7781">
              <w:rPr>
                <w:rFonts w:asciiTheme="minorHAnsi" w:hAnsiTheme="minorHAnsi"/>
              </w:rPr>
              <w:t>-</w:t>
            </w:r>
          </w:p>
        </w:tc>
        <w:tc>
          <w:tcPr>
            <w:tcW w:w="567" w:type="dxa"/>
            <w:tcBorders>
              <w:top w:val="single" w:sz="6" w:space="0" w:color="auto"/>
              <w:left w:val="single" w:sz="6" w:space="0" w:color="auto"/>
              <w:bottom w:val="single" w:sz="6" w:space="0" w:color="auto"/>
              <w:right w:val="single" w:sz="6" w:space="0" w:color="auto"/>
            </w:tcBorders>
          </w:tcPr>
          <w:p w:rsidR="00AE2AE6" w:rsidRPr="008C7781" w:rsidRDefault="00AE2AE6" w:rsidP="00737B18">
            <w:pPr>
              <w:spacing w:before="360"/>
              <w:jc w:val="center"/>
              <w:rPr>
                <w:rFonts w:asciiTheme="minorHAnsi" w:hAnsiTheme="minorHAnsi"/>
              </w:rPr>
            </w:pPr>
            <w:r w:rsidRPr="008C7781">
              <w:rPr>
                <w:rFonts w:asciiTheme="minorHAnsi" w:hAnsiTheme="minorHAnsi"/>
              </w:rPr>
              <w:t>-</w:t>
            </w:r>
          </w:p>
        </w:tc>
        <w:tc>
          <w:tcPr>
            <w:tcW w:w="567" w:type="dxa"/>
            <w:tcBorders>
              <w:top w:val="single" w:sz="6" w:space="0" w:color="auto"/>
              <w:left w:val="single" w:sz="6" w:space="0" w:color="auto"/>
              <w:bottom w:val="single" w:sz="6" w:space="0" w:color="auto"/>
              <w:right w:val="single" w:sz="6" w:space="0" w:color="auto"/>
            </w:tcBorders>
          </w:tcPr>
          <w:p w:rsidR="00AE2AE6" w:rsidRPr="008C7781" w:rsidRDefault="00AE2AE6" w:rsidP="00737B18">
            <w:pPr>
              <w:spacing w:before="360"/>
              <w:jc w:val="center"/>
              <w:rPr>
                <w:rFonts w:asciiTheme="minorHAnsi" w:hAnsiTheme="minorHAnsi"/>
              </w:rPr>
            </w:pPr>
            <w:r w:rsidRPr="008C7781">
              <w:rPr>
                <w:rFonts w:asciiTheme="minorHAnsi" w:hAnsiTheme="minorHAnsi"/>
              </w:rPr>
              <w:t>-</w:t>
            </w:r>
          </w:p>
        </w:tc>
        <w:tc>
          <w:tcPr>
            <w:tcW w:w="567" w:type="dxa"/>
            <w:tcBorders>
              <w:top w:val="single" w:sz="6" w:space="0" w:color="auto"/>
              <w:left w:val="single" w:sz="6" w:space="0" w:color="auto"/>
              <w:bottom w:val="single" w:sz="6" w:space="0" w:color="auto"/>
              <w:right w:val="single" w:sz="6" w:space="0" w:color="auto"/>
            </w:tcBorders>
          </w:tcPr>
          <w:p w:rsidR="00AE2AE6" w:rsidRPr="008C7781" w:rsidRDefault="00AE2AE6" w:rsidP="00737B18">
            <w:pPr>
              <w:spacing w:before="360"/>
              <w:jc w:val="center"/>
              <w:rPr>
                <w:rFonts w:asciiTheme="minorHAnsi" w:hAnsiTheme="minorHAnsi"/>
              </w:rPr>
            </w:pPr>
            <w:r w:rsidRPr="008C7781">
              <w:rPr>
                <w:rFonts w:asciiTheme="minorHAnsi" w:hAnsiTheme="minorHAnsi"/>
              </w:rPr>
              <w:t>-</w:t>
            </w:r>
          </w:p>
        </w:tc>
        <w:tc>
          <w:tcPr>
            <w:tcW w:w="709" w:type="dxa"/>
            <w:tcBorders>
              <w:top w:val="single" w:sz="6" w:space="0" w:color="auto"/>
              <w:left w:val="single" w:sz="6" w:space="0" w:color="auto"/>
              <w:bottom w:val="single" w:sz="6" w:space="0" w:color="auto"/>
              <w:right w:val="single" w:sz="6" w:space="0" w:color="auto"/>
            </w:tcBorders>
          </w:tcPr>
          <w:p w:rsidR="00AE2AE6" w:rsidRPr="008C7781" w:rsidRDefault="00AE2AE6" w:rsidP="00737B18">
            <w:pPr>
              <w:spacing w:before="360"/>
              <w:jc w:val="center"/>
              <w:rPr>
                <w:rFonts w:asciiTheme="minorHAnsi" w:hAnsiTheme="minorHAnsi"/>
              </w:rPr>
            </w:pPr>
            <w:r w:rsidRPr="008C7781">
              <w:rPr>
                <w:rFonts w:asciiTheme="minorHAnsi" w:hAnsiTheme="minorHAnsi"/>
              </w:rPr>
              <w:sym w:font="Symbol" w:char="F0B1"/>
            </w:r>
            <w:r w:rsidRPr="008C7781">
              <w:rPr>
                <w:rFonts w:asciiTheme="minorHAnsi" w:hAnsiTheme="minorHAnsi"/>
              </w:rPr>
              <w:t xml:space="preserve"> 6</w:t>
            </w:r>
          </w:p>
        </w:tc>
        <w:tc>
          <w:tcPr>
            <w:tcW w:w="851" w:type="dxa"/>
            <w:gridSpan w:val="2"/>
            <w:tcBorders>
              <w:top w:val="single" w:sz="6" w:space="0" w:color="auto"/>
              <w:left w:val="nil"/>
              <w:bottom w:val="single" w:sz="6" w:space="0" w:color="auto"/>
              <w:right w:val="single" w:sz="6" w:space="0" w:color="auto"/>
            </w:tcBorders>
          </w:tcPr>
          <w:p w:rsidR="00AE2AE6" w:rsidRPr="008C7781" w:rsidRDefault="00AE2AE6" w:rsidP="00737B18">
            <w:pPr>
              <w:spacing w:before="360"/>
              <w:jc w:val="center"/>
              <w:rPr>
                <w:rFonts w:asciiTheme="minorHAnsi" w:hAnsiTheme="minorHAnsi"/>
              </w:rPr>
            </w:pPr>
            <w:r w:rsidRPr="008C7781">
              <w:rPr>
                <w:rFonts w:asciiTheme="minorHAnsi" w:hAnsiTheme="minorHAnsi"/>
              </w:rPr>
              <w:sym w:font="Symbol" w:char="F0B1"/>
            </w:r>
            <w:r w:rsidRPr="008C7781">
              <w:rPr>
                <w:rFonts w:asciiTheme="minorHAnsi" w:hAnsiTheme="minorHAnsi"/>
              </w:rPr>
              <w:t xml:space="preserve"> 8</w:t>
            </w:r>
          </w:p>
        </w:tc>
        <w:tc>
          <w:tcPr>
            <w:tcW w:w="850" w:type="dxa"/>
            <w:tcBorders>
              <w:top w:val="single" w:sz="6" w:space="0" w:color="auto"/>
              <w:left w:val="nil"/>
              <w:bottom w:val="single" w:sz="6" w:space="0" w:color="auto"/>
              <w:right w:val="single" w:sz="6" w:space="0" w:color="auto"/>
            </w:tcBorders>
          </w:tcPr>
          <w:p w:rsidR="00AE2AE6" w:rsidRPr="008C7781" w:rsidRDefault="00AE2AE6" w:rsidP="00737B18">
            <w:pPr>
              <w:spacing w:before="360"/>
              <w:jc w:val="center"/>
              <w:rPr>
                <w:rFonts w:asciiTheme="minorHAnsi" w:hAnsiTheme="minorHAnsi"/>
              </w:rPr>
            </w:pPr>
            <w:r w:rsidRPr="008C7781">
              <w:rPr>
                <w:rFonts w:asciiTheme="minorHAnsi" w:hAnsiTheme="minorHAnsi"/>
              </w:rPr>
              <w:sym w:font="Symbol" w:char="F0B1"/>
            </w:r>
            <w:r w:rsidRPr="008C7781">
              <w:rPr>
                <w:rFonts w:asciiTheme="minorHAnsi" w:hAnsiTheme="minorHAnsi"/>
              </w:rPr>
              <w:t>10</w:t>
            </w:r>
          </w:p>
        </w:tc>
        <w:tc>
          <w:tcPr>
            <w:tcW w:w="1439" w:type="dxa"/>
          </w:tcPr>
          <w:p w:rsidR="00AE2AE6" w:rsidRPr="008C7781" w:rsidRDefault="00AE2AE6" w:rsidP="00737B18">
            <w:pPr>
              <w:rPr>
                <w:rFonts w:asciiTheme="minorHAnsi" w:hAnsiTheme="minorHAnsi"/>
              </w:rPr>
            </w:pPr>
          </w:p>
        </w:tc>
      </w:tr>
      <w:tr w:rsidR="00AE2AE6" w:rsidRPr="008C7781" w:rsidTr="00C3299C">
        <w:trPr>
          <w:gridAfter w:val="4"/>
          <w:wAfter w:w="5756" w:type="dxa"/>
        </w:trPr>
        <w:tc>
          <w:tcPr>
            <w:tcW w:w="2905" w:type="dxa"/>
            <w:tcBorders>
              <w:top w:val="single" w:sz="6" w:space="0" w:color="auto"/>
              <w:left w:val="single" w:sz="6" w:space="0" w:color="auto"/>
              <w:bottom w:val="single" w:sz="6" w:space="0" w:color="auto"/>
              <w:right w:val="single" w:sz="6" w:space="0" w:color="auto"/>
            </w:tcBorders>
          </w:tcPr>
          <w:p w:rsidR="00AE2AE6" w:rsidRPr="008C7781" w:rsidRDefault="00AE2AE6" w:rsidP="00737B18">
            <w:pPr>
              <w:spacing w:before="60"/>
              <w:rPr>
                <w:rFonts w:asciiTheme="minorHAnsi" w:hAnsiTheme="minorHAnsi"/>
              </w:rPr>
            </w:pPr>
            <w:r w:rsidRPr="008C7781">
              <w:rPr>
                <w:rFonts w:asciiTheme="minorHAnsi" w:hAnsiTheme="minorHAnsi"/>
              </w:rPr>
              <w:t>Odchylenie od równoległości płaszczyzny powierzchni dolnej w stosunku do górnej, w stopniach, nie większe niż</w:t>
            </w:r>
          </w:p>
        </w:tc>
        <w:tc>
          <w:tcPr>
            <w:tcW w:w="567" w:type="dxa"/>
            <w:tcBorders>
              <w:top w:val="single" w:sz="6" w:space="0" w:color="auto"/>
              <w:left w:val="single" w:sz="6" w:space="0" w:color="auto"/>
              <w:bottom w:val="single" w:sz="6" w:space="0" w:color="auto"/>
              <w:right w:val="single" w:sz="6" w:space="0" w:color="auto"/>
            </w:tcBorders>
          </w:tcPr>
          <w:p w:rsidR="00AE2AE6" w:rsidRPr="008C7781" w:rsidRDefault="00AE2AE6" w:rsidP="00737B18">
            <w:pPr>
              <w:spacing w:before="360"/>
              <w:jc w:val="center"/>
              <w:rPr>
                <w:rFonts w:asciiTheme="minorHAnsi" w:hAnsiTheme="minorHAnsi"/>
              </w:rPr>
            </w:pPr>
            <w:r w:rsidRPr="008C7781">
              <w:rPr>
                <w:rFonts w:asciiTheme="minorHAnsi" w:hAnsiTheme="minorHAnsi"/>
              </w:rPr>
              <w:t>-</w:t>
            </w:r>
          </w:p>
        </w:tc>
        <w:tc>
          <w:tcPr>
            <w:tcW w:w="567" w:type="dxa"/>
            <w:tcBorders>
              <w:top w:val="single" w:sz="6" w:space="0" w:color="auto"/>
              <w:left w:val="single" w:sz="6" w:space="0" w:color="auto"/>
              <w:bottom w:val="single" w:sz="6" w:space="0" w:color="auto"/>
              <w:right w:val="single" w:sz="6" w:space="0" w:color="auto"/>
            </w:tcBorders>
          </w:tcPr>
          <w:p w:rsidR="00AE2AE6" w:rsidRPr="008C7781" w:rsidRDefault="00AE2AE6" w:rsidP="00737B18">
            <w:pPr>
              <w:spacing w:before="360"/>
              <w:jc w:val="center"/>
              <w:rPr>
                <w:rFonts w:asciiTheme="minorHAnsi" w:hAnsiTheme="minorHAnsi"/>
              </w:rPr>
            </w:pPr>
            <w:r w:rsidRPr="008C7781">
              <w:rPr>
                <w:rFonts w:asciiTheme="minorHAnsi" w:hAnsiTheme="minorHAnsi"/>
              </w:rPr>
              <w:t>-</w:t>
            </w:r>
          </w:p>
        </w:tc>
        <w:tc>
          <w:tcPr>
            <w:tcW w:w="567" w:type="dxa"/>
            <w:tcBorders>
              <w:top w:val="single" w:sz="6" w:space="0" w:color="auto"/>
              <w:left w:val="single" w:sz="6" w:space="0" w:color="auto"/>
              <w:bottom w:val="single" w:sz="6" w:space="0" w:color="auto"/>
              <w:right w:val="single" w:sz="6" w:space="0" w:color="auto"/>
            </w:tcBorders>
          </w:tcPr>
          <w:p w:rsidR="00AE2AE6" w:rsidRPr="008C7781" w:rsidRDefault="00AE2AE6" w:rsidP="00737B18">
            <w:pPr>
              <w:spacing w:before="360"/>
              <w:jc w:val="center"/>
              <w:rPr>
                <w:rFonts w:asciiTheme="minorHAnsi" w:hAnsiTheme="minorHAnsi"/>
              </w:rPr>
            </w:pPr>
            <w:r w:rsidRPr="008C7781">
              <w:rPr>
                <w:rFonts w:asciiTheme="minorHAnsi" w:hAnsiTheme="minorHAnsi"/>
              </w:rPr>
              <w:t>-</w:t>
            </w:r>
          </w:p>
        </w:tc>
        <w:tc>
          <w:tcPr>
            <w:tcW w:w="567" w:type="dxa"/>
            <w:tcBorders>
              <w:top w:val="single" w:sz="6" w:space="0" w:color="auto"/>
              <w:left w:val="single" w:sz="6" w:space="0" w:color="auto"/>
              <w:bottom w:val="single" w:sz="6" w:space="0" w:color="auto"/>
              <w:right w:val="single" w:sz="6" w:space="0" w:color="auto"/>
            </w:tcBorders>
          </w:tcPr>
          <w:p w:rsidR="00AE2AE6" w:rsidRPr="008C7781" w:rsidRDefault="00AE2AE6" w:rsidP="00737B18">
            <w:pPr>
              <w:spacing w:before="360"/>
              <w:jc w:val="center"/>
              <w:rPr>
                <w:rFonts w:asciiTheme="minorHAnsi" w:hAnsiTheme="minorHAnsi"/>
              </w:rPr>
            </w:pPr>
            <w:r w:rsidRPr="008C7781">
              <w:rPr>
                <w:rFonts w:asciiTheme="minorHAnsi" w:hAnsiTheme="minorHAnsi"/>
              </w:rPr>
              <w:t>-</w:t>
            </w:r>
          </w:p>
        </w:tc>
        <w:tc>
          <w:tcPr>
            <w:tcW w:w="709" w:type="dxa"/>
            <w:tcBorders>
              <w:top w:val="single" w:sz="6" w:space="0" w:color="auto"/>
              <w:left w:val="single" w:sz="6" w:space="0" w:color="auto"/>
              <w:bottom w:val="single" w:sz="6" w:space="0" w:color="auto"/>
              <w:right w:val="single" w:sz="6" w:space="0" w:color="auto"/>
            </w:tcBorders>
          </w:tcPr>
          <w:p w:rsidR="00AE2AE6" w:rsidRPr="008C7781" w:rsidRDefault="00AE2AE6" w:rsidP="00737B18">
            <w:pPr>
              <w:spacing w:before="360"/>
              <w:jc w:val="center"/>
              <w:rPr>
                <w:rFonts w:asciiTheme="minorHAnsi" w:hAnsiTheme="minorHAnsi"/>
              </w:rPr>
            </w:pPr>
            <w:r w:rsidRPr="008C7781">
              <w:rPr>
                <w:rFonts w:asciiTheme="minorHAnsi" w:hAnsiTheme="minorHAnsi"/>
              </w:rPr>
              <w:sym w:font="Symbol" w:char="F0B1"/>
            </w:r>
            <w:r w:rsidRPr="008C7781">
              <w:rPr>
                <w:rFonts w:asciiTheme="minorHAnsi" w:hAnsiTheme="minorHAnsi"/>
              </w:rPr>
              <w:t xml:space="preserve"> 6</w:t>
            </w:r>
          </w:p>
        </w:tc>
        <w:tc>
          <w:tcPr>
            <w:tcW w:w="851" w:type="dxa"/>
            <w:gridSpan w:val="2"/>
            <w:tcBorders>
              <w:top w:val="single" w:sz="6" w:space="0" w:color="auto"/>
              <w:left w:val="nil"/>
              <w:bottom w:val="single" w:sz="6" w:space="0" w:color="auto"/>
              <w:right w:val="single" w:sz="6" w:space="0" w:color="auto"/>
            </w:tcBorders>
          </w:tcPr>
          <w:p w:rsidR="00AE2AE6" w:rsidRPr="008C7781" w:rsidRDefault="00AE2AE6" w:rsidP="00737B18">
            <w:pPr>
              <w:spacing w:before="360"/>
              <w:jc w:val="center"/>
              <w:rPr>
                <w:rFonts w:asciiTheme="minorHAnsi" w:hAnsiTheme="minorHAnsi"/>
              </w:rPr>
            </w:pPr>
            <w:r w:rsidRPr="008C7781">
              <w:rPr>
                <w:rFonts w:asciiTheme="minorHAnsi" w:hAnsiTheme="minorHAnsi"/>
              </w:rPr>
              <w:sym w:font="Symbol" w:char="F0B1"/>
            </w:r>
            <w:r w:rsidRPr="008C7781">
              <w:rPr>
                <w:rFonts w:asciiTheme="minorHAnsi" w:hAnsiTheme="minorHAnsi"/>
              </w:rPr>
              <w:t xml:space="preserve"> 8</w:t>
            </w:r>
          </w:p>
        </w:tc>
        <w:tc>
          <w:tcPr>
            <w:tcW w:w="850" w:type="dxa"/>
            <w:tcBorders>
              <w:top w:val="single" w:sz="6" w:space="0" w:color="auto"/>
              <w:left w:val="nil"/>
              <w:bottom w:val="single" w:sz="6" w:space="0" w:color="auto"/>
              <w:right w:val="single" w:sz="6" w:space="0" w:color="auto"/>
            </w:tcBorders>
          </w:tcPr>
          <w:p w:rsidR="00AE2AE6" w:rsidRPr="008C7781" w:rsidRDefault="00AE2AE6" w:rsidP="00737B18">
            <w:pPr>
              <w:spacing w:before="360"/>
              <w:jc w:val="center"/>
              <w:rPr>
                <w:rFonts w:asciiTheme="minorHAnsi" w:hAnsiTheme="minorHAnsi"/>
              </w:rPr>
            </w:pPr>
            <w:r w:rsidRPr="008C7781">
              <w:rPr>
                <w:rFonts w:asciiTheme="minorHAnsi" w:hAnsiTheme="minorHAnsi"/>
              </w:rPr>
              <w:sym w:font="Symbol" w:char="F0B1"/>
            </w:r>
            <w:r w:rsidRPr="008C7781">
              <w:rPr>
                <w:rFonts w:asciiTheme="minorHAnsi" w:hAnsiTheme="minorHAnsi"/>
              </w:rPr>
              <w:t>10</w:t>
            </w:r>
          </w:p>
        </w:tc>
        <w:tc>
          <w:tcPr>
            <w:tcW w:w="1439" w:type="dxa"/>
          </w:tcPr>
          <w:p w:rsidR="00AE2AE6" w:rsidRPr="008C7781" w:rsidRDefault="00AE2AE6" w:rsidP="00737B18">
            <w:pPr>
              <w:rPr>
                <w:rFonts w:asciiTheme="minorHAnsi" w:hAnsiTheme="minorHAnsi"/>
              </w:rPr>
            </w:pPr>
          </w:p>
        </w:tc>
      </w:tr>
    </w:tbl>
    <w:p w:rsidR="00AE2AE6" w:rsidRPr="008C7781" w:rsidRDefault="00AE2AE6" w:rsidP="00AE2AE6">
      <w:pPr>
        <w:rPr>
          <w:rFonts w:asciiTheme="minorHAnsi" w:hAnsiTheme="minorHAnsi"/>
        </w:rPr>
      </w:pPr>
    </w:p>
    <w:p w:rsidR="00AE2AE6" w:rsidRPr="008C7781" w:rsidRDefault="00AE2AE6" w:rsidP="00AE2AE6">
      <w:pPr>
        <w:rPr>
          <w:rFonts w:asciiTheme="minorHAnsi" w:hAnsiTheme="minorHAnsi"/>
        </w:rPr>
      </w:pPr>
      <w:r w:rsidRPr="008C7781">
        <w:rPr>
          <w:rFonts w:asciiTheme="minorHAnsi" w:hAnsiTheme="minorHAnsi"/>
          <w:b/>
        </w:rPr>
        <w:t>2.3.</w:t>
      </w:r>
      <w:r w:rsidRPr="008C7781">
        <w:rPr>
          <w:rFonts w:asciiTheme="minorHAnsi" w:hAnsiTheme="minorHAnsi"/>
        </w:rPr>
        <w:t xml:space="preserve"> Cement</w:t>
      </w:r>
    </w:p>
    <w:p w:rsidR="00AE2AE6" w:rsidRPr="008C7781" w:rsidRDefault="00AE2AE6" w:rsidP="00AE2AE6">
      <w:pPr>
        <w:rPr>
          <w:rFonts w:asciiTheme="minorHAnsi" w:hAnsiTheme="minorHAnsi"/>
        </w:rPr>
      </w:pPr>
      <w:r w:rsidRPr="008C7781">
        <w:rPr>
          <w:rFonts w:asciiTheme="minorHAnsi" w:hAnsiTheme="minorHAnsi"/>
        </w:rPr>
        <w:tab/>
        <w:t>Cement stosowany do podsypki i wypełnienia spoin powinien być cementem portlandzkim klasy 32,5, odpowiadający wymaganiom PN-B-19701 [9].</w:t>
      </w:r>
    </w:p>
    <w:p w:rsidR="00AE2AE6" w:rsidRPr="008C7781" w:rsidRDefault="00AE2AE6" w:rsidP="00AE2AE6">
      <w:pPr>
        <w:rPr>
          <w:rFonts w:asciiTheme="minorHAnsi" w:hAnsiTheme="minorHAnsi"/>
        </w:rPr>
      </w:pPr>
      <w:r w:rsidRPr="008C7781">
        <w:rPr>
          <w:rFonts w:asciiTheme="minorHAnsi" w:hAnsiTheme="minorHAnsi"/>
        </w:rPr>
        <w:tab/>
        <w:t>Transport i przechowywanie cementu powinny być zgodne z BN-88/6731-08 [13].</w:t>
      </w:r>
    </w:p>
    <w:p w:rsidR="00AE2AE6" w:rsidRPr="008C7781" w:rsidRDefault="00AE2AE6" w:rsidP="00AE2AE6">
      <w:pPr>
        <w:rPr>
          <w:rFonts w:asciiTheme="minorHAnsi" w:hAnsiTheme="minorHAnsi"/>
        </w:rPr>
      </w:pPr>
      <w:r w:rsidRPr="008C7781">
        <w:rPr>
          <w:rFonts w:asciiTheme="minorHAnsi" w:hAnsiTheme="minorHAnsi"/>
          <w:b/>
        </w:rPr>
        <w:t>2.4.</w:t>
      </w:r>
      <w:r w:rsidRPr="008C7781">
        <w:rPr>
          <w:rFonts w:asciiTheme="minorHAnsi" w:hAnsiTheme="minorHAnsi"/>
        </w:rPr>
        <w:t xml:space="preserve"> Kruszywo</w:t>
      </w:r>
    </w:p>
    <w:p w:rsidR="00AE2AE6" w:rsidRPr="008C7781" w:rsidRDefault="00AE2AE6" w:rsidP="00AE2AE6">
      <w:pPr>
        <w:rPr>
          <w:rFonts w:asciiTheme="minorHAnsi" w:hAnsiTheme="minorHAnsi"/>
        </w:rPr>
      </w:pPr>
      <w:r w:rsidRPr="008C7781">
        <w:rPr>
          <w:rFonts w:asciiTheme="minorHAnsi" w:hAnsiTheme="minorHAnsi"/>
        </w:rPr>
        <w:tab/>
        <w:t>Kruszywo na podsypkę i do wypełniania spoin powinno odpowiadać wymaganiom normy PN-B-06712 [7].</w:t>
      </w:r>
    </w:p>
    <w:p w:rsidR="00AE2AE6" w:rsidRPr="008C7781" w:rsidRDefault="00AE2AE6" w:rsidP="00AE2AE6">
      <w:pPr>
        <w:rPr>
          <w:rFonts w:asciiTheme="minorHAnsi" w:hAnsiTheme="minorHAnsi"/>
        </w:rPr>
      </w:pPr>
      <w:r w:rsidRPr="008C7781">
        <w:rPr>
          <w:rFonts w:asciiTheme="minorHAnsi" w:hAnsiTheme="minorHAnsi"/>
        </w:rPr>
        <w:tab/>
        <w:t>Na podsypkę stosuje się mieszankę kruszywa naturalnego o frakcji od 0 do 8 mm, a do zaprawy cementowo-piaskowej o frakcji od 0 do 4 mm.</w:t>
      </w:r>
    </w:p>
    <w:p w:rsidR="00AE2AE6" w:rsidRPr="008C7781" w:rsidRDefault="00AE2AE6" w:rsidP="00AE2AE6">
      <w:pPr>
        <w:rPr>
          <w:rFonts w:asciiTheme="minorHAnsi" w:hAnsiTheme="minorHAnsi"/>
        </w:rPr>
      </w:pPr>
      <w:r w:rsidRPr="008C7781">
        <w:rPr>
          <w:rFonts w:asciiTheme="minorHAnsi" w:hAnsiTheme="minorHAnsi"/>
        </w:rPr>
        <w:tab/>
        <w:t>Zawartość pyłów w kruszywie na podsypkę cementowo-żwirową i do zaprawy cementowo-piaskowej nie może przekraczać 3%, a na podsypkę żwirową - 8%.</w:t>
      </w:r>
    </w:p>
    <w:p w:rsidR="00AE2AE6" w:rsidRPr="008C7781" w:rsidRDefault="00AE2AE6" w:rsidP="00AE2AE6">
      <w:pPr>
        <w:rPr>
          <w:rFonts w:asciiTheme="minorHAnsi" w:hAnsiTheme="minorHAnsi"/>
        </w:rPr>
      </w:pPr>
      <w:r w:rsidRPr="008C7781">
        <w:rPr>
          <w:rFonts w:asciiTheme="minorHAnsi" w:hAnsiTheme="minorHAnsi"/>
        </w:rPr>
        <w:tab/>
        <w:t>Kruszywo należy przechowywać w warunkach zabezpieczających je przed zanieczyszczeniem oraz zmieszaniem z kruszywami innych klas, gatunków, frakcji (grupy frakcji).</w:t>
      </w:r>
    </w:p>
    <w:p w:rsidR="00AE2AE6" w:rsidRPr="008C7781" w:rsidRDefault="00AE2AE6" w:rsidP="00AE2AE6">
      <w:pPr>
        <w:rPr>
          <w:rFonts w:asciiTheme="minorHAnsi" w:hAnsiTheme="minorHAnsi"/>
        </w:rPr>
      </w:pPr>
      <w:r w:rsidRPr="008C7781">
        <w:rPr>
          <w:rFonts w:asciiTheme="minorHAnsi" w:hAnsiTheme="minorHAnsi"/>
        </w:rPr>
        <w:tab/>
        <w:t>Pozostałe wymagania i badania wg PN-B-06712 [7].</w:t>
      </w:r>
    </w:p>
    <w:p w:rsidR="00AE2AE6" w:rsidRPr="008C7781" w:rsidRDefault="00AE2AE6" w:rsidP="00AE2AE6">
      <w:pPr>
        <w:rPr>
          <w:rFonts w:asciiTheme="minorHAnsi" w:hAnsiTheme="minorHAnsi"/>
        </w:rPr>
      </w:pPr>
      <w:r w:rsidRPr="008C7781">
        <w:rPr>
          <w:rFonts w:asciiTheme="minorHAnsi" w:hAnsiTheme="minorHAnsi"/>
          <w:b/>
        </w:rPr>
        <w:t>2.5.</w:t>
      </w:r>
      <w:r w:rsidRPr="008C7781">
        <w:rPr>
          <w:rFonts w:asciiTheme="minorHAnsi" w:hAnsiTheme="minorHAnsi"/>
        </w:rPr>
        <w:t xml:space="preserve"> Woda</w:t>
      </w:r>
    </w:p>
    <w:p w:rsidR="00AE2AE6" w:rsidRPr="008C7781" w:rsidRDefault="00AE2AE6" w:rsidP="00AE2AE6">
      <w:pPr>
        <w:rPr>
          <w:rFonts w:asciiTheme="minorHAnsi" w:hAnsiTheme="minorHAnsi"/>
        </w:rPr>
      </w:pPr>
      <w:r w:rsidRPr="008C7781">
        <w:rPr>
          <w:rFonts w:asciiTheme="minorHAnsi" w:hAnsiTheme="minorHAnsi"/>
        </w:rPr>
        <w:tab/>
        <w:t>Woda stosowana do podsypki i zaprawy cementowo-piaskowej, powinna odpowiadać wymaganiom PN-B-32250 [10]. Powinna to być woda „odmiany 1”.</w:t>
      </w:r>
    </w:p>
    <w:p w:rsidR="00AE2AE6" w:rsidRPr="008C7781" w:rsidRDefault="00AE2AE6" w:rsidP="00AE2AE6">
      <w:pPr>
        <w:rPr>
          <w:rFonts w:asciiTheme="minorHAnsi" w:hAnsiTheme="minorHAnsi"/>
        </w:rPr>
      </w:pPr>
      <w:r w:rsidRPr="008C7781">
        <w:rPr>
          <w:rFonts w:asciiTheme="minorHAnsi" w:hAnsiTheme="minorHAnsi"/>
        </w:rPr>
        <w:tab/>
        <w:t>Badania wody należy wykonywać:</w:t>
      </w:r>
    </w:p>
    <w:p w:rsidR="00AE2AE6" w:rsidRPr="008C7781" w:rsidRDefault="00AE2AE6" w:rsidP="00AE2AE6">
      <w:pPr>
        <w:rPr>
          <w:rFonts w:asciiTheme="minorHAnsi" w:hAnsiTheme="minorHAnsi"/>
        </w:rPr>
      </w:pPr>
      <w:r w:rsidRPr="008C7781">
        <w:rPr>
          <w:rFonts w:asciiTheme="minorHAnsi" w:hAnsiTheme="minorHAnsi"/>
        </w:rPr>
        <w:t>-w przypadku nowego źródła poboru wody,</w:t>
      </w:r>
    </w:p>
    <w:p w:rsidR="00AE2AE6" w:rsidRPr="008C7781" w:rsidRDefault="00AE2AE6" w:rsidP="00AE2AE6">
      <w:pPr>
        <w:rPr>
          <w:rFonts w:asciiTheme="minorHAnsi" w:hAnsiTheme="minorHAnsi"/>
        </w:rPr>
      </w:pPr>
      <w:r w:rsidRPr="008C7781">
        <w:rPr>
          <w:rFonts w:asciiTheme="minorHAnsi" w:hAnsiTheme="minorHAnsi"/>
        </w:rPr>
        <w:lastRenderedPageBreak/>
        <w:t>-w przypadku podejrzeń dotyczących zmiany parametrów wody, np. zmętnienia, zapachu, barwy.</w:t>
      </w:r>
    </w:p>
    <w:p w:rsidR="00AE2AE6" w:rsidRPr="008C7781" w:rsidRDefault="00AE2AE6" w:rsidP="00AE2AE6">
      <w:pPr>
        <w:rPr>
          <w:rFonts w:asciiTheme="minorHAnsi" w:hAnsiTheme="minorHAnsi"/>
        </w:rPr>
      </w:pPr>
      <w:r w:rsidRPr="008C7781">
        <w:rPr>
          <w:rFonts w:asciiTheme="minorHAnsi" w:hAnsiTheme="minorHAnsi"/>
          <w:b/>
        </w:rPr>
        <w:t>2.6.</w:t>
      </w:r>
      <w:r w:rsidRPr="008C7781">
        <w:rPr>
          <w:rFonts w:asciiTheme="minorHAnsi" w:hAnsiTheme="minorHAnsi"/>
        </w:rPr>
        <w:t xml:space="preserve"> Masa zalewowa</w:t>
      </w:r>
    </w:p>
    <w:p w:rsidR="00AE2AE6" w:rsidRPr="008C7781" w:rsidRDefault="00AE2AE6" w:rsidP="00AE2AE6">
      <w:pPr>
        <w:rPr>
          <w:rFonts w:asciiTheme="minorHAnsi" w:hAnsiTheme="minorHAnsi"/>
        </w:rPr>
      </w:pPr>
      <w:r w:rsidRPr="008C7781">
        <w:rPr>
          <w:rFonts w:asciiTheme="minorHAnsi" w:hAnsiTheme="minorHAnsi"/>
        </w:rPr>
        <w:tab/>
        <w:t>Masa zalewowa do wypełniania spoin i szczelin dylatacyjnych w nawierzchniach z kostki kamiennej powinna być stosowana na gorąco i odpowiadać wymaganiom normy BN-74/6771-04 [14] lub aprobaty technicznej.</w:t>
      </w:r>
    </w:p>
    <w:p w:rsidR="00AE2AE6" w:rsidRPr="008C7781" w:rsidRDefault="00AE2AE6" w:rsidP="00AE2AE6">
      <w:pPr>
        <w:rPr>
          <w:rFonts w:asciiTheme="minorHAnsi" w:hAnsiTheme="minorHAnsi"/>
        </w:rPr>
      </w:pPr>
    </w:p>
    <w:p w:rsidR="00AE2AE6" w:rsidRPr="008C7781" w:rsidRDefault="00AE2AE6" w:rsidP="00AE2AE6">
      <w:pPr>
        <w:rPr>
          <w:rFonts w:asciiTheme="minorHAnsi" w:hAnsiTheme="minorHAnsi"/>
          <w:b/>
        </w:rPr>
      </w:pPr>
      <w:bookmarkStart w:id="1470" w:name="_Toc422115848"/>
      <w:r w:rsidRPr="008C7781">
        <w:rPr>
          <w:rFonts w:asciiTheme="minorHAnsi" w:hAnsiTheme="minorHAnsi"/>
          <w:b/>
        </w:rPr>
        <w:t xml:space="preserve">3. </w:t>
      </w:r>
      <w:bookmarkEnd w:id="1470"/>
      <w:r w:rsidRPr="008C7781">
        <w:rPr>
          <w:rFonts w:asciiTheme="minorHAnsi" w:hAnsiTheme="minorHAnsi"/>
          <w:b/>
        </w:rPr>
        <w:t>SPRZĘT</w:t>
      </w:r>
    </w:p>
    <w:p w:rsidR="00AE2AE6" w:rsidRPr="008C7781" w:rsidRDefault="00AE2AE6" w:rsidP="00AE2AE6">
      <w:pPr>
        <w:rPr>
          <w:rFonts w:asciiTheme="minorHAnsi" w:hAnsiTheme="minorHAnsi"/>
        </w:rPr>
      </w:pPr>
      <w:r w:rsidRPr="008C7781">
        <w:rPr>
          <w:rFonts w:asciiTheme="minorHAnsi" w:hAnsiTheme="minorHAnsi"/>
          <w:b/>
        </w:rPr>
        <w:t>3.1.</w:t>
      </w:r>
      <w:r w:rsidRPr="008C7781">
        <w:rPr>
          <w:rFonts w:asciiTheme="minorHAnsi" w:hAnsiTheme="minorHAnsi"/>
        </w:rPr>
        <w:t xml:space="preserve"> Ogólne wymagania dotyczące sprzętu</w:t>
      </w:r>
    </w:p>
    <w:p w:rsidR="00AE2AE6" w:rsidRPr="008C7781" w:rsidRDefault="00AE2AE6" w:rsidP="00AE2AE6">
      <w:pPr>
        <w:rPr>
          <w:rFonts w:asciiTheme="minorHAnsi" w:hAnsiTheme="minorHAnsi"/>
        </w:rPr>
      </w:pPr>
      <w:r w:rsidRPr="008C7781">
        <w:rPr>
          <w:rFonts w:asciiTheme="minorHAnsi" w:hAnsiTheme="minorHAnsi"/>
        </w:rPr>
        <w:tab/>
        <w:t>Ogólne wymagania dotyczące sprzętu podano w ST D-M-00.00.00 „Wymagania ogólne” pkt 3.</w:t>
      </w:r>
    </w:p>
    <w:p w:rsidR="00AE2AE6" w:rsidRPr="008C7781" w:rsidRDefault="00AE2AE6" w:rsidP="00AE2AE6">
      <w:pPr>
        <w:rPr>
          <w:rFonts w:asciiTheme="minorHAnsi" w:hAnsiTheme="minorHAnsi"/>
        </w:rPr>
      </w:pPr>
      <w:r w:rsidRPr="008C7781">
        <w:rPr>
          <w:rFonts w:asciiTheme="minorHAnsi" w:hAnsiTheme="minorHAnsi"/>
          <w:b/>
        </w:rPr>
        <w:t>3.2.</w:t>
      </w:r>
      <w:r w:rsidRPr="008C7781">
        <w:rPr>
          <w:rFonts w:asciiTheme="minorHAnsi" w:hAnsiTheme="minorHAnsi"/>
        </w:rPr>
        <w:t xml:space="preserve"> Sprzęt do wykonania nawierzchni z kostki kamiennej</w:t>
      </w:r>
    </w:p>
    <w:p w:rsidR="00AE2AE6" w:rsidRPr="008C7781" w:rsidRDefault="00AE2AE6" w:rsidP="00AE2AE6">
      <w:pPr>
        <w:rPr>
          <w:rFonts w:asciiTheme="minorHAnsi" w:hAnsiTheme="minorHAnsi"/>
        </w:rPr>
      </w:pPr>
      <w:r w:rsidRPr="008C7781">
        <w:rPr>
          <w:rFonts w:asciiTheme="minorHAnsi" w:hAnsiTheme="minorHAnsi"/>
        </w:rPr>
        <w:tab/>
        <w:t>Wykonawca przystępujący do wykonania nawierzchni z kostek kamiennych powinien wykazać się możliwością korzystania z następującego sprzętu:</w:t>
      </w:r>
    </w:p>
    <w:p w:rsidR="00AE2AE6" w:rsidRPr="008C7781" w:rsidRDefault="00AE2AE6" w:rsidP="00AE2AE6">
      <w:pPr>
        <w:rPr>
          <w:rFonts w:asciiTheme="minorHAnsi" w:hAnsiTheme="minorHAnsi"/>
        </w:rPr>
      </w:pPr>
      <w:r w:rsidRPr="008C7781">
        <w:rPr>
          <w:rFonts w:asciiTheme="minorHAnsi" w:hAnsiTheme="minorHAnsi"/>
        </w:rPr>
        <w:t>-betoniarki, do wytwarzania betonu i zapraw oraz przygotowywania podsypki cementowo-piaskowej,</w:t>
      </w:r>
    </w:p>
    <w:p w:rsidR="00AE2AE6" w:rsidRPr="008C7781" w:rsidRDefault="00AE2AE6" w:rsidP="00AE2AE6">
      <w:pPr>
        <w:rPr>
          <w:rFonts w:asciiTheme="minorHAnsi" w:hAnsiTheme="minorHAnsi"/>
        </w:rPr>
      </w:pPr>
      <w:r w:rsidRPr="008C7781">
        <w:rPr>
          <w:rFonts w:asciiTheme="minorHAnsi" w:hAnsiTheme="minorHAnsi"/>
        </w:rPr>
        <w:t>-ubijaków ręcznych i mechanicznych, do ubijania kostki,</w:t>
      </w:r>
    </w:p>
    <w:p w:rsidR="00AE2AE6" w:rsidRPr="008C7781" w:rsidRDefault="00AE2AE6" w:rsidP="00AE2AE6">
      <w:pPr>
        <w:rPr>
          <w:rFonts w:asciiTheme="minorHAnsi" w:hAnsiTheme="minorHAnsi"/>
        </w:rPr>
      </w:pPr>
      <w:r w:rsidRPr="008C7781">
        <w:rPr>
          <w:rFonts w:asciiTheme="minorHAnsi" w:hAnsiTheme="minorHAnsi"/>
        </w:rPr>
        <w:t>-wibratorów płytowych i lekkich walców wibracyjnych, do ubijania kostki po pierwszym ubiciu ręcznym.</w:t>
      </w:r>
    </w:p>
    <w:p w:rsidR="00AE2AE6" w:rsidRPr="008C7781" w:rsidRDefault="00AE2AE6" w:rsidP="00AE2AE6">
      <w:pPr>
        <w:rPr>
          <w:rFonts w:asciiTheme="minorHAnsi" w:hAnsiTheme="minorHAnsi"/>
        </w:rPr>
      </w:pPr>
    </w:p>
    <w:p w:rsidR="00AE2AE6" w:rsidRPr="008C7781" w:rsidRDefault="00AE2AE6" w:rsidP="00AE2AE6">
      <w:pPr>
        <w:rPr>
          <w:rFonts w:asciiTheme="minorHAnsi" w:hAnsiTheme="minorHAnsi"/>
          <w:b/>
        </w:rPr>
      </w:pPr>
      <w:bookmarkStart w:id="1471" w:name="_Toc422115849"/>
      <w:r w:rsidRPr="008C7781">
        <w:rPr>
          <w:rFonts w:asciiTheme="minorHAnsi" w:hAnsiTheme="minorHAnsi"/>
          <w:b/>
        </w:rPr>
        <w:t xml:space="preserve">4. </w:t>
      </w:r>
      <w:bookmarkEnd w:id="1471"/>
      <w:r w:rsidRPr="008C7781">
        <w:rPr>
          <w:rFonts w:asciiTheme="minorHAnsi" w:hAnsiTheme="minorHAnsi"/>
          <w:b/>
        </w:rPr>
        <w:t>TRANSPORT</w:t>
      </w:r>
    </w:p>
    <w:p w:rsidR="00AE2AE6" w:rsidRPr="008C7781" w:rsidRDefault="00AE2AE6" w:rsidP="00AE2AE6">
      <w:pPr>
        <w:rPr>
          <w:rFonts w:asciiTheme="minorHAnsi" w:hAnsiTheme="minorHAnsi"/>
        </w:rPr>
      </w:pPr>
      <w:r w:rsidRPr="008C7781">
        <w:rPr>
          <w:rFonts w:asciiTheme="minorHAnsi" w:hAnsiTheme="minorHAnsi"/>
          <w:b/>
        </w:rPr>
        <w:t>4.1.</w:t>
      </w:r>
      <w:r w:rsidRPr="008C7781">
        <w:rPr>
          <w:rFonts w:asciiTheme="minorHAnsi" w:hAnsiTheme="minorHAnsi"/>
        </w:rPr>
        <w:t xml:space="preserve"> Ogólne wymagania dotyczące transportu</w:t>
      </w:r>
    </w:p>
    <w:p w:rsidR="00AE2AE6" w:rsidRPr="008C7781" w:rsidRDefault="00AE2AE6" w:rsidP="00AE2AE6">
      <w:pPr>
        <w:rPr>
          <w:rFonts w:asciiTheme="minorHAnsi" w:hAnsiTheme="minorHAnsi"/>
        </w:rPr>
      </w:pPr>
      <w:r w:rsidRPr="008C7781">
        <w:rPr>
          <w:rFonts w:asciiTheme="minorHAnsi" w:hAnsiTheme="minorHAnsi"/>
        </w:rPr>
        <w:tab/>
        <w:t>Ogólne wymagania dotyczące transportu podano w ST D-M-00.00.00 „Wymagania ogólne” pkt 4.</w:t>
      </w:r>
    </w:p>
    <w:p w:rsidR="00AE2AE6" w:rsidRPr="008C7781" w:rsidRDefault="00AE2AE6" w:rsidP="00AE2AE6">
      <w:pPr>
        <w:rPr>
          <w:rFonts w:asciiTheme="minorHAnsi" w:hAnsiTheme="minorHAnsi"/>
        </w:rPr>
      </w:pPr>
      <w:r w:rsidRPr="008C7781">
        <w:rPr>
          <w:rFonts w:asciiTheme="minorHAnsi" w:hAnsiTheme="minorHAnsi"/>
          <w:b/>
        </w:rPr>
        <w:t>4.2.</w:t>
      </w:r>
      <w:r w:rsidRPr="008C7781">
        <w:rPr>
          <w:rFonts w:asciiTheme="minorHAnsi" w:hAnsiTheme="minorHAnsi"/>
        </w:rPr>
        <w:t xml:space="preserve"> Transport materiałów</w:t>
      </w:r>
    </w:p>
    <w:p w:rsidR="00AE2AE6" w:rsidRPr="008C7781" w:rsidRDefault="00AE2AE6" w:rsidP="00AE2AE6">
      <w:pPr>
        <w:rPr>
          <w:rFonts w:asciiTheme="minorHAnsi" w:hAnsiTheme="minorHAnsi"/>
        </w:rPr>
      </w:pPr>
      <w:r w:rsidRPr="008C7781">
        <w:rPr>
          <w:rFonts w:asciiTheme="minorHAnsi" w:hAnsiTheme="minorHAnsi"/>
          <w:b/>
        </w:rPr>
        <w:t>4.2.1.</w:t>
      </w:r>
      <w:r w:rsidRPr="008C7781">
        <w:rPr>
          <w:rFonts w:asciiTheme="minorHAnsi" w:hAnsiTheme="minorHAnsi"/>
        </w:rPr>
        <w:t xml:space="preserve"> Transport kostek kamiennych</w:t>
      </w:r>
    </w:p>
    <w:p w:rsidR="00AE2AE6" w:rsidRPr="008C7781" w:rsidRDefault="00AE2AE6" w:rsidP="00AE2AE6">
      <w:pPr>
        <w:rPr>
          <w:rFonts w:asciiTheme="minorHAnsi" w:hAnsiTheme="minorHAnsi"/>
        </w:rPr>
      </w:pPr>
      <w:r w:rsidRPr="008C7781">
        <w:rPr>
          <w:rFonts w:asciiTheme="minorHAnsi" w:hAnsiTheme="minorHAnsi"/>
        </w:rPr>
        <w:tab/>
        <w:t>Kostki kamienne przewozi się dowolnymi środkami transportowymi.</w:t>
      </w:r>
    </w:p>
    <w:p w:rsidR="00AE2AE6" w:rsidRPr="008C7781" w:rsidRDefault="00AE2AE6" w:rsidP="00AE2AE6">
      <w:pPr>
        <w:rPr>
          <w:rFonts w:asciiTheme="minorHAnsi" w:hAnsiTheme="minorHAnsi"/>
        </w:rPr>
      </w:pPr>
      <w:r w:rsidRPr="008C7781">
        <w:rPr>
          <w:rFonts w:asciiTheme="minorHAnsi" w:hAnsiTheme="minorHAnsi"/>
        </w:rPr>
        <w:tab/>
        <w:t>Kostkę regularną i rzędową należy układać na podłodze obok siebie tak, aby wypełniła całą powierzchnię środka transportowego. Na tak ułożonej warstwie należy bezpośrednio układać następne warstwy.</w:t>
      </w:r>
    </w:p>
    <w:p w:rsidR="00AE2AE6" w:rsidRPr="008C7781" w:rsidRDefault="00AE2AE6" w:rsidP="00AE2AE6">
      <w:pPr>
        <w:rPr>
          <w:rFonts w:asciiTheme="minorHAnsi" w:hAnsiTheme="minorHAnsi"/>
        </w:rPr>
      </w:pPr>
      <w:r w:rsidRPr="008C7781">
        <w:rPr>
          <w:rFonts w:asciiTheme="minorHAnsi" w:hAnsiTheme="minorHAnsi"/>
        </w:rPr>
        <w:tab/>
        <w:t>Kostkę nieregularną przewozi się luźno usypaną. Ładowanie ręczne kostek regularnych i rzędowych powinno być wykonywane bez rzucania. Przy użyciu przenośników taśmowych, kostki regularne i rzędowe powinny być podawane i odbierane ręcznie.</w:t>
      </w:r>
    </w:p>
    <w:p w:rsidR="00AE2AE6" w:rsidRPr="008C7781" w:rsidRDefault="00AE2AE6" w:rsidP="00AE2AE6">
      <w:pPr>
        <w:rPr>
          <w:rFonts w:asciiTheme="minorHAnsi" w:hAnsiTheme="minorHAnsi"/>
        </w:rPr>
      </w:pPr>
      <w:r w:rsidRPr="008C7781">
        <w:rPr>
          <w:rFonts w:asciiTheme="minorHAnsi" w:hAnsiTheme="minorHAnsi"/>
        </w:rPr>
        <w:tab/>
        <w:t>Kostkę regularną i rzędową należy ustawiać w stosy. Kostkę nieregularną można składować w pryzmach.</w:t>
      </w:r>
    </w:p>
    <w:p w:rsidR="00AE2AE6" w:rsidRPr="008C7781" w:rsidRDefault="00AE2AE6" w:rsidP="00AE2AE6">
      <w:pPr>
        <w:rPr>
          <w:rFonts w:asciiTheme="minorHAnsi" w:hAnsiTheme="minorHAnsi"/>
        </w:rPr>
      </w:pPr>
      <w:r w:rsidRPr="008C7781">
        <w:rPr>
          <w:rFonts w:asciiTheme="minorHAnsi" w:hAnsiTheme="minorHAnsi"/>
        </w:rPr>
        <w:tab/>
        <w:t>Wysokość stosu lub pryzm nie powinna przekraczać 1 m.</w:t>
      </w:r>
    </w:p>
    <w:p w:rsidR="00AE2AE6" w:rsidRPr="008C7781" w:rsidRDefault="00AE2AE6" w:rsidP="00AE2AE6">
      <w:pPr>
        <w:rPr>
          <w:rFonts w:asciiTheme="minorHAnsi" w:hAnsiTheme="minorHAnsi"/>
        </w:rPr>
      </w:pPr>
      <w:r w:rsidRPr="008C7781">
        <w:rPr>
          <w:rFonts w:asciiTheme="minorHAnsi" w:hAnsiTheme="minorHAnsi"/>
          <w:b/>
        </w:rPr>
        <w:t>4.2.2.</w:t>
      </w:r>
      <w:r w:rsidRPr="008C7781">
        <w:rPr>
          <w:rFonts w:asciiTheme="minorHAnsi" w:hAnsiTheme="minorHAnsi"/>
        </w:rPr>
        <w:t xml:space="preserve">  Transport kruszywa</w:t>
      </w:r>
    </w:p>
    <w:p w:rsidR="00AE2AE6" w:rsidRPr="008C7781" w:rsidRDefault="00AE2AE6" w:rsidP="00AE2AE6">
      <w:pPr>
        <w:rPr>
          <w:rFonts w:asciiTheme="minorHAnsi" w:hAnsiTheme="minorHAnsi"/>
        </w:rPr>
      </w:pPr>
      <w:r w:rsidRPr="008C7781">
        <w:rPr>
          <w:rFonts w:asciiTheme="minorHAnsi" w:hAnsiTheme="minorHAnsi"/>
        </w:rPr>
        <w:tab/>
        <w:t>Kruszywo można przewozić dowolnymi środkami transportowymi w warunkach zabezpieczających je przed rozsypywaniem i zanieczyszczeniem.</w:t>
      </w:r>
    </w:p>
    <w:p w:rsidR="00AE2AE6" w:rsidRPr="008C7781" w:rsidRDefault="00AE2AE6" w:rsidP="00AE2AE6">
      <w:pPr>
        <w:rPr>
          <w:rFonts w:asciiTheme="minorHAnsi" w:hAnsiTheme="minorHAnsi"/>
        </w:rPr>
      </w:pPr>
    </w:p>
    <w:p w:rsidR="00AE2AE6" w:rsidRPr="008C7781" w:rsidRDefault="00AE2AE6" w:rsidP="00AE2AE6">
      <w:pPr>
        <w:rPr>
          <w:rFonts w:asciiTheme="minorHAnsi" w:hAnsiTheme="minorHAnsi"/>
          <w:b/>
        </w:rPr>
      </w:pPr>
      <w:bookmarkStart w:id="1472" w:name="_Toc422115850"/>
      <w:r w:rsidRPr="008C7781">
        <w:rPr>
          <w:rFonts w:asciiTheme="minorHAnsi" w:hAnsiTheme="minorHAnsi"/>
          <w:b/>
        </w:rPr>
        <w:t xml:space="preserve">5. </w:t>
      </w:r>
      <w:bookmarkEnd w:id="1472"/>
      <w:r w:rsidRPr="008C7781">
        <w:rPr>
          <w:rFonts w:asciiTheme="minorHAnsi" w:hAnsiTheme="minorHAnsi"/>
          <w:b/>
        </w:rPr>
        <w:t>WYKONANIE ROBÓT</w:t>
      </w:r>
    </w:p>
    <w:p w:rsidR="00AE2AE6" w:rsidRPr="008C7781" w:rsidRDefault="00AE2AE6" w:rsidP="00AE2AE6">
      <w:pPr>
        <w:rPr>
          <w:rFonts w:asciiTheme="minorHAnsi" w:hAnsiTheme="minorHAnsi"/>
        </w:rPr>
      </w:pPr>
      <w:r w:rsidRPr="008C7781">
        <w:rPr>
          <w:rFonts w:asciiTheme="minorHAnsi" w:hAnsiTheme="minorHAnsi"/>
          <w:b/>
        </w:rPr>
        <w:t>5.1.</w:t>
      </w:r>
      <w:r w:rsidRPr="008C7781">
        <w:rPr>
          <w:rFonts w:asciiTheme="minorHAnsi" w:hAnsiTheme="minorHAnsi"/>
        </w:rPr>
        <w:t xml:space="preserve"> Ogólne zasady wykonania robót</w:t>
      </w:r>
    </w:p>
    <w:p w:rsidR="00AE2AE6" w:rsidRPr="008C7781" w:rsidRDefault="00AE2AE6" w:rsidP="00AE2AE6">
      <w:pPr>
        <w:rPr>
          <w:rFonts w:asciiTheme="minorHAnsi" w:hAnsiTheme="minorHAnsi"/>
        </w:rPr>
      </w:pPr>
      <w:r w:rsidRPr="008C7781">
        <w:rPr>
          <w:rFonts w:asciiTheme="minorHAnsi" w:hAnsiTheme="minorHAnsi"/>
        </w:rPr>
        <w:tab/>
        <w:t>Ogólne zasady wykonania robót podano w ST D-M-00.00.00 „Wymagania ogólne” pkt 5.</w:t>
      </w:r>
    </w:p>
    <w:p w:rsidR="00AE2AE6" w:rsidRPr="008C7781" w:rsidRDefault="00AE2AE6" w:rsidP="00AE2AE6">
      <w:pPr>
        <w:rPr>
          <w:rFonts w:asciiTheme="minorHAnsi" w:hAnsiTheme="minorHAnsi"/>
        </w:rPr>
      </w:pPr>
      <w:r w:rsidRPr="008C7781">
        <w:rPr>
          <w:rFonts w:asciiTheme="minorHAnsi" w:hAnsiTheme="minorHAnsi"/>
          <w:b/>
        </w:rPr>
        <w:t>5.2.</w:t>
      </w:r>
      <w:r w:rsidRPr="008C7781">
        <w:rPr>
          <w:rFonts w:asciiTheme="minorHAnsi" w:hAnsiTheme="minorHAnsi"/>
        </w:rPr>
        <w:t xml:space="preserve"> Przygotowanie podbudowy</w:t>
      </w:r>
    </w:p>
    <w:p w:rsidR="00AE2AE6" w:rsidRPr="008C7781" w:rsidRDefault="00AE2AE6" w:rsidP="00AE2AE6">
      <w:pPr>
        <w:rPr>
          <w:rFonts w:asciiTheme="minorHAnsi" w:hAnsiTheme="minorHAnsi"/>
        </w:rPr>
      </w:pPr>
      <w:r w:rsidRPr="008C7781">
        <w:rPr>
          <w:rFonts w:asciiTheme="minorHAnsi" w:hAnsiTheme="minorHAnsi"/>
        </w:rPr>
        <w:tab/>
        <w:t>Jeżeli w dokumentacji projektowej przewidziano wykonanie nawierzchni z kostki kamiennej na podbudowie np. z chudego betonu, gruntu stabilizowanego cementem, tłucznia itp. to warunki wykonania podbudowy powinny odpowiadać wymaganiom zawartym w odpowiednich ST.</w:t>
      </w:r>
    </w:p>
    <w:p w:rsidR="00AE2AE6" w:rsidRPr="008C7781" w:rsidRDefault="00AE2AE6" w:rsidP="00AE2AE6">
      <w:pPr>
        <w:rPr>
          <w:rFonts w:asciiTheme="minorHAnsi" w:hAnsiTheme="minorHAnsi"/>
        </w:rPr>
      </w:pPr>
      <w:r w:rsidRPr="008C7781">
        <w:rPr>
          <w:rFonts w:asciiTheme="minorHAnsi" w:hAnsiTheme="minorHAnsi"/>
          <w:b/>
        </w:rPr>
        <w:t>5.3.</w:t>
      </w:r>
      <w:r w:rsidRPr="008C7781">
        <w:rPr>
          <w:rFonts w:asciiTheme="minorHAnsi" w:hAnsiTheme="minorHAnsi"/>
        </w:rPr>
        <w:t xml:space="preserve"> Obramowanie nawierzchni</w:t>
      </w:r>
    </w:p>
    <w:p w:rsidR="00AE2AE6" w:rsidRPr="008C7781" w:rsidRDefault="00AE2AE6" w:rsidP="00AE2AE6">
      <w:pPr>
        <w:rPr>
          <w:rFonts w:asciiTheme="minorHAnsi" w:hAnsiTheme="minorHAnsi"/>
        </w:rPr>
      </w:pPr>
      <w:r w:rsidRPr="008C7781">
        <w:rPr>
          <w:rFonts w:asciiTheme="minorHAnsi" w:hAnsiTheme="minorHAnsi"/>
        </w:rPr>
        <w:tab/>
        <w:t>Do obramowania nawierzchni kostkowych stosuje się krawężniki betonowe uliczne, betonowe drogowe i kamienne drogowe, odpowiadające wymaganiom norm wymienionych w pkt 2.3.</w:t>
      </w:r>
    </w:p>
    <w:p w:rsidR="00AE2AE6" w:rsidRPr="008C7781" w:rsidRDefault="00AE2AE6" w:rsidP="00AE2AE6">
      <w:pPr>
        <w:rPr>
          <w:rFonts w:asciiTheme="minorHAnsi" w:hAnsiTheme="minorHAnsi"/>
        </w:rPr>
      </w:pPr>
      <w:r w:rsidRPr="008C7781">
        <w:rPr>
          <w:rFonts w:asciiTheme="minorHAnsi" w:hAnsiTheme="minorHAnsi"/>
        </w:rPr>
        <w:tab/>
        <w:t>Rodzaj obramowania nawierzchni powinien być zgodny z dokumentacją projektową lub wskazaniami Inżyniera.</w:t>
      </w:r>
    </w:p>
    <w:p w:rsidR="00AE2AE6" w:rsidRPr="008C7781" w:rsidRDefault="00AE2AE6" w:rsidP="00AE2AE6">
      <w:pPr>
        <w:rPr>
          <w:rFonts w:asciiTheme="minorHAnsi" w:hAnsiTheme="minorHAnsi"/>
        </w:rPr>
      </w:pPr>
      <w:r w:rsidRPr="008C7781">
        <w:rPr>
          <w:rFonts w:asciiTheme="minorHAnsi" w:hAnsiTheme="minorHAnsi"/>
        </w:rPr>
        <w:tab/>
        <w:t>Ustawienie krawężników powinno być zgodne z wymaganiami zawartymi w ST D-08.01.01 „Krawężniki betonowe”.</w:t>
      </w:r>
    </w:p>
    <w:p w:rsidR="00AE2AE6" w:rsidRPr="008C7781" w:rsidRDefault="00AE2AE6" w:rsidP="00AE2AE6">
      <w:pPr>
        <w:rPr>
          <w:rFonts w:asciiTheme="minorHAnsi" w:hAnsiTheme="minorHAnsi"/>
        </w:rPr>
      </w:pPr>
      <w:r w:rsidRPr="008C7781">
        <w:rPr>
          <w:rFonts w:asciiTheme="minorHAnsi" w:hAnsiTheme="minorHAnsi"/>
          <w:b/>
        </w:rPr>
        <w:t>5.4.</w:t>
      </w:r>
      <w:r w:rsidRPr="008C7781">
        <w:rPr>
          <w:rFonts w:asciiTheme="minorHAnsi" w:hAnsiTheme="minorHAnsi"/>
        </w:rPr>
        <w:t xml:space="preserve"> Podsypka</w:t>
      </w:r>
    </w:p>
    <w:p w:rsidR="00AE2AE6" w:rsidRPr="008C7781" w:rsidRDefault="00AE2AE6" w:rsidP="00AE2AE6">
      <w:pPr>
        <w:rPr>
          <w:rFonts w:asciiTheme="minorHAnsi" w:hAnsiTheme="minorHAnsi"/>
        </w:rPr>
      </w:pPr>
      <w:r w:rsidRPr="008C7781">
        <w:rPr>
          <w:rFonts w:asciiTheme="minorHAnsi" w:hAnsiTheme="minorHAnsi"/>
        </w:rPr>
        <w:tab/>
        <w:t>Do wykonania nawierzchni z kostki kamiennej można stosować jeden z następujących rodzajów podsypki:</w:t>
      </w:r>
    </w:p>
    <w:p w:rsidR="00AE2AE6" w:rsidRPr="008C7781" w:rsidRDefault="00AE2AE6" w:rsidP="00AE2AE6">
      <w:pPr>
        <w:rPr>
          <w:rFonts w:asciiTheme="minorHAnsi" w:hAnsiTheme="minorHAnsi"/>
        </w:rPr>
      </w:pPr>
      <w:r w:rsidRPr="008C7781">
        <w:rPr>
          <w:rFonts w:asciiTheme="minorHAnsi" w:hAnsiTheme="minorHAnsi"/>
        </w:rPr>
        <w:t>-podsypka cementowo-żwirowa, cementowo-piaskowa,</w:t>
      </w:r>
    </w:p>
    <w:p w:rsidR="00AE2AE6" w:rsidRPr="008C7781" w:rsidRDefault="00AE2AE6" w:rsidP="00AE2AE6">
      <w:pPr>
        <w:rPr>
          <w:rFonts w:asciiTheme="minorHAnsi" w:hAnsiTheme="minorHAnsi"/>
        </w:rPr>
      </w:pPr>
      <w:r w:rsidRPr="008C7781">
        <w:rPr>
          <w:rFonts w:asciiTheme="minorHAnsi" w:hAnsiTheme="minorHAnsi"/>
        </w:rPr>
        <w:t>-podsypka bitumiczno-żwirowa,</w:t>
      </w:r>
    </w:p>
    <w:p w:rsidR="00AE2AE6" w:rsidRPr="008C7781" w:rsidRDefault="00AE2AE6" w:rsidP="00AE2AE6">
      <w:pPr>
        <w:rPr>
          <w:rFonts w:asciiTheme="minorHAnsi" w:hAnsiTheme="minorHAnsi"/>
        </w:rPr>
      </w:pPr>
      <w:r w:rsidRPr="008C7781">
        <w:rPr>
          <w:rFonts w:asciiTheme="minorHAnsi" w:hAnsiTheme="minorHAnsi"/>
        </w:rPr>
        <w:t>-podsypka żwirowa lub piaskowa.</w:t>
      </w:r>
    </w:p>
    <w:p w:rsidR="00AE2AE6" w:rsidRPr="008C7781" w:rsidRDefault="00AE2AE6" w:rsidP="00AE2AE6">
      <w:pPr>
        <w:rPr>
          <w:rFonts w:asciiTheme="minorHAnsi" w:hAnsiTheme="minorHAnsi"/>
        </w:rPr>
      </w:pPr>
      <w:r w:rsidRPr="008C7781">
        <w:rPr>
          <w:rFonts w:asciiTheme="minorHAnsi" w:hAnsiTheme="minorHAnsi"/>
        </w:rPr>
        <w:tab/>
        <w:t>Rodzaj zastosowanej podsypki powinien być zgodny z dokumentacją projektową, lub wskazaniami Inżyniera.</w:t>
      </w:r>
    </w:p>
    <w:p w:rsidR="00AE2AE6" w:rsidRPr="008C7781" w:rsidRDefault="00AE2AE6" w:rsidP="00AE2AE6">
      <w:pPr>
        <w:rPr>
          <w:rFonts w:asciiTheme="minorHAnsi" w:hAnsiTheme="minorHAnsi"/>
        </w:rPr>
      </w:pPr>
      <w:r w:rsidRPr="008C7781">
        <w:rPr>
          <w:rFonts w:asciiTheme="minorHAnsi" w:hAnsiTheme="minorHAnsi"/>
        </w:rPr>
        <w:tab/>
        <w:t>Wymagania dla materiałów stosowanych na podsypkę powinny być zgodne z pkt 2 niniejszej ST oraz z PN-S-96026 [12].</w:t>
      </w:r>
    </w:p>
    <w:p w:rsidR="00AE2AE6" w:rsidRPr="008C7781" w:rsidRDefault="00AE2AE6" w:rsidP="00AE2AE6">
      <w:pPr>
        <w:rPr>
          <w:rFonts w:asciiTheme="minorHAnsi" w:hAnsiTheme="minorHAnsi"/>
        </w:rPr>
      </w:pPr>
      <w:r w:rsidRPr="008C7781">
        <w:rPr>
          <w:rFonts w:asciiTheme="minorHAnsi" w:hAnsiTheme="minorHAnsi"/>
        </w:rPr>
        <w:lastRenderedPageBreak/>
        <w:tab/>
        <w:t>Grubość podsypki powinna być zgodna z dokumentacją projektową.</w:t>
      </w:r>
    </w:p>
    <w:p w:rsidR="00AE2AE6" w:rsidRPr="008C7781" w:rsidRDefault="00AE2AE6" w:rsidP="00AE2AE6">
      <w:pPr>
        <w:rPr>
          <w:rFonts w:asciiTheme="minorHAnsi" w:hAnsiTheme="minorHAnsi"/>
        </w:rPr>
      </w:pPr>
      <w:r w:rsidRPr="008C7781">
        <w:rPr>
          <w:rFonts w:asciiTheme="minorHAnsi" w:hAnsiTheme="minorHAnsi"/>
        </w:rPr>
        <w:tab/>
        <w:t>Współczynnik wodnocementowy dla podsypki cementowo-piaskowej lub cementowo-żwirowej, powinien wynosić od 0,20 do 0,25, a wytrzymałość na ściskanie  R7 = 10 MPa, R28 = 14 MPa. Podsypka bitumiczno-żwirowa powinna być wykonana ze żwiru odpowiadającego wymaganiom PN-S-96026 [12], zmieszanego z emulsją asfaltową szybkorozpadową w ilości od 10 do 12% ciężaru kruszywa, spełniającą wymagania określone w WT.EmA-94 [19].</w:t>
      </w:r>
    </w:p>
    <w:p w:rsidR="00AE2AE6" w:rsidRPr="008C7781" w:rsidRDefault="00AE2AE6" w:rsidP="00AE2AE6">
      <w:pPr>
        <w:rPr>
          <w:rFonts w:asciiTheme="minorHAnsi" w:hAnsiTheme="minorHAnsi"/>
        </w:rPr>
      </w:pPr>
      <w:r w:rsidRPr="008C7781">
        <w:rPr>
          <w:rFonts w:asciiTheme="minorHAnsi" w:hAnsiTheme="minorHAnsi"/>
          <w:b/>
        </w:rPr>
        <w:t>5.5.</w:t>
      </w:r>
      <w:r w:rsidRPr="008C7781">
        <w:rPr>
          <w:rFonts w:asciiTheme="minorHAnsi" w:hAnsiTheme="minorHAnsi"/>
        </w:rPr>
        <w:t xml:space="preserve"> Układanie nawierzchni z kostki kamiennej</w:t>
      </w:r>
    </w:p>
    <w:p w:rsidR="00AE2AE6" w:rsidRPr="008C7781" w:rsidRDefault="00AE2AE6" w:rsidP="00AE2AE6">
      <w:pPr>
        <w:rPr>
          <w:rFonts w:asciiTheme="minorHAnsi" w:hAnsiTheme="minorHAnsi"/>
        </w:rPr>
      </w:pPr>
      <w:r w:rsidRPr="008C7781">
        <w:rPr>
          <w:rFonts w:asciiTheme="minorHAnsi" w:hAnsiTheme="minorHAnsi"/>
          <w:b/>
        </w:rPr>
        <w:t>5.5.1.</w:t>
      </w:r>
      <w:r w:rsidRPr="008C7781">
        <w:rPr>
          <w:rFonts w:asciiTheme="minorHAnsi" w:hAnsiTheme="minorHAnsi"/>
        </w:rPr>
        <w:t xml:space="preserve"> Układanie kostki nieregularnej</w:t>
      </w:r>
    </w:p>
    <w:p w:rsidR="00AE2AE6" w:rsidRPr="008C7781" w:rsidRDefault="00AE2AE6" w:rsidP="00AE2AE6">
      <w:pPr>
        <w:rPr>
          <w:rFonts w:asciiTheme="minorHAnsi" w:hAnsiTheme="minorHAnsi"/>
        </w:rPr>
      </w:pPr>
      <w:r w:rsidRPr="008C7781">
        <w:rPr>
          <w:rFonts w:asciiTheme="minorHAnsi" w:hAnsiTheme="minorHAnsi"/>
        </w:rPr>
        <w:tab/>
        <w:t>Kostkę można układać w różne desenie:</w:t>
      </w:r>
    </w:p>
    <w:p w:rsidR="00AE2AE6" w:rsidRPr="008C7781" w:rsidRDefault="00AE2AE6" w:rsidP="00AE2AE6">
      <w:pPr>
        <w:rPr>
          <w:rFonts w:asciiTheme="minorHAnsi" w:hAnsiTheme="minorHAnsi"/>
        </w:rPr>
      </w:pPr>
      <w:r w:rsidRPr="008C7781">
        <w:rPr>
          <w:rFonts w:asciiTheme="minorHAnsi" w:hAnsiTheme="minorHAnsi"/>
        </w:rPr>
        <w:t>-deseń rzędowy prosty, który uzyskuje się przez układanie kostki rzędami prostopadłymi do osi drogi,</w:t>
      </w:r>
    </w:p>
    <w:p w:rsidR="00AE2AE6" w:rsidRPr="008C7781" w:rsidRDefault="00AE2AE6" w:rsidP="00AE2AE6">
      <w:pPr>
        <w:rPr>
          <w:rFonts w:asciiTheme="minorHAnsi" w:hAnsiTheme="minorHAnsi"/>
        </w:rPr>
      </w:pPr>
      <w:r w:rsidRPr="008C7781">
        <w:rPr>
          <w:rFonts w:asciiTheme="minorHAnsi" w:hAnsiTheme="minorHAnsi"/>
        </w:rPr>
        <w:t>-deseń rzędowy ukośny, który otrzymuje się przez układanie kostki rzędami pod kątem 45</w:t>
      </w:r>
      <w:r w:rsidRPr="008C7781">
        <w:rPr>
          <w:rFonts w:asciiTheme="minorHAnsi" w:hAnsiTheme="minorHAnsi"/>
          <w:vertAlign w:val="superscript"/>
        </w:rPr>
        <w:t xml:space="preserve">o </w:t>
      </w:r>
      <w:r w:rsidRPr="008C7781">
        <w:rPr>
          <w:rFonts w:asciiTheme="minorHAnsi" w:hAnsiTheme="minorHAnsi"/>
        </w:rPr>
        <w:t>do osi drogi,</w:t>
      </w:r>
    </w:p>
    <w:p w:rsidR="00AE2AE6" w:rsidRPr="008C7781" w:rsidRDefault="00AE2AE6" w:rsidP="00AE2AE6">
      <w:pPr>
        <w:rPr>
          <w:rFonts w:asciiTheme="minorHAnsi" w:hAnsiTheme="minorHAnsi"/>
        </w:rPr>
      </w:pPr>
      <w:r w:rsidRPr="008C7781">
        <w:rPr>
          <w:rFonts w:asciiTheme="minorHAnsi" w:hAnsiTheme="minorHAnsi"/>
        </w:rPr>
        <w:t>-deseń w jodełkę, który otrzymuje się przez układanie kostki pod kątem 45</w:t>
      </w:r>
      <w:r w:rsidRPr="008C7781">
        <w:rPr>
          <w:rFonts w:asciiTheme="minorHAnsi" w:hAnsiTheme="minorHAnsi"/>
          <w:vertAlign w:val="superscript"/>
        </w:rPr>
        <w:t>o</w:t>
      </w:r>
      <w:r w:rsidRPr="008C7781">
        <w:rPr>
          <w:rFonts w:asciiTheme="minorHAnsi" w:hAnsiTheme="minorHAnsi"/>
        </w:rPr>
        <w:t xml:space="preserve"> w przeciwne strony na każdej połowie jezdni,</w:t>
      </w:r>
    </w:p>
    <w:p w:rsidR="00AE2AE6" w:rsidRPr="008C7781" w:rsidRDefault="00AE2AE6" w:rsidP="00AE2AE6">
      <w:pPr>
        <w:rPr>
          <w:rFonts w:asciiTheme="minorHAnsi" w:hAnsiTheme="minorHAnsi"/>
        </w:rPr>
      </w:pPr>
      <w:r w:rsidRPr="008C7781">
        <w:rPr>
          <w:rFonts w:asciiTheme="minorHAnsi" w:hAnsiTheme="minorHAnsi"/>
        </w:rPr>
        <w:t>-deseń łukowy, który otrzymuje się przez układanie kostki w kształcie łuku lub innych krzywych.</w:t>
      </w:r>
    </w:p>
    <w:p w:rsidR="00AE2AE6" w:rsidRPr="008C7781" w:rsidRDefault="00AE2AE6" w:rsidP="00AE2AE6">
      <w:pPr>
        <w:rPr>
          <w:rFonts w:asciiTheme="minorHAnsi" w:hAnsiTheme="minorHAnsi"/>
        </w:rPr>
      </w:pPr>
      <w:r w:rsidRPr="008C7781">
        <w:rPr>
          <w:rFonts w:asciiTheme="minorHAnsi" w:hAnsiTheme="minorHAnsi"/>
        </w:rPr>
        <w:tab/>
        <w:t>Deseń nawierzchni z kostki kamiennej nieregularnej powinien być dostosowany do wielkości kostki. Przy różnych wymiarach kostki, zaleca się układanie jej w formie desenia łukowego, który poza tym nie wymaga przycinania kostek przy krawężnikach.</w:t>
      </w:r>
    </w:p>
    <w:p w:rsidR="00AE2AE6" w:rsidRPr="008C7781" w:rsidRDefault="00AE2AE6" w:rsidP="00AE2AE6">
      <w:pPr>
        <w:rPr>
          <w:rFonts w:asciiTheme="minorHAnsi" w:hAnsiTheme="minorHAnsi"/>
        </w:rPr>
      </w:pPr>
      <w:r w:rsidRPr="008C7781">
        <w:rPr>
          <w:rFonts w:asciiTheme="minorHAnsi" w:hAnsiTheme="minorHAnsi"/>
        </w:rPr>
        <w:tab/>
        <w:t>Szerokość spoin między kostkami nie powinna przekraczać 12 mm. Spoiny w sąsiednich rzędach powinny się mijać co najmniej o 1/4 szerokości kostki.</w:t>
      </w:r>
    </w:p>
    <w:p w:rsidR="00AE2AE6" w:rsidRPr="008C7781" w:rsidRDefault="00AE2AE6" w:rsidP="00AE2AE6">
      <w:pPr>
        <w:rPr>
          <w:rFonts w:asciiTheme="minorHAnsi" w:hAnsiTheme="minorHAnsi"/>
        </w:rPr>
      </w:pPr>
      <w:r w:rsidRPr="008C7781">
        <w:rPr>
          <w:rFonts w:asciiTheme="minorHAnsi" w:hAnsiTheme="minorHAnsi"/>
        </w:rPr>
        <w:tab/>
        <w:t>Kostka użyta do układania nawierzchni powinna być jednego gatunku i z jednego rodzaju skał. Dla rozgraniczenia kierunków ruchu na jezdni, powinien być ułożony pas podłużny z jednego lub dwóch rzędów kostek o odmiennym kolorze.</w:t>
      </w:r>
    </w:p>
    <w:p w:rsidR="00AE2AE6" w:rsidRPr="008C7781" w:rsidRDefault="00AE2AE6" w:rsidP="00AE2AE6">
      <w:pPr>
        <w:rPr>
          <w:rFonts w:asciiTheme="minorHAnsi" w:hAnsiTheme="minorHAnsi"/>
        </w:rPr>
      </w:pPr>
      <w:r w:rsidRPr="008C7781">
        <w:rPr>
          <w:rFonts w:asciiTheme="minorHAnsi" w:hAnsiTheme="minorHAnsi"/>
          <w:b/>
        </w:rPr>
        <w:t>5.5.2.</w:t>
      </w:r>
      <w:r w:rsidRPr="008C7781">
        <w:rPr>
          <w:rFonts w:asciiTheme="minorHAnsi" w:hAnsiTheme="minorHAnsi"/>
        </w:rPr>
        <w:t xml:space="preserve"> Układanie kostki regularnej</w:t>
      </w:r>
    </w:p>
    <w:p w:rsidR="00AE2AE6" w:rsidRPr="008C7781" w:rsidRDefault="00AE2AE6" w:rsidP="00AE2AE6">
      <w:pPr>
        <w:rPr>
          <w:rFonts w:asciiTheme="minorHAnsi" w:hAnsiTheme="minorHAnsi"/>
        </w:rPr>
      </w:pPr>
      <w:r w:rsidRPr="008C7781">
        <w:rPr>
          <w:rFonts w:asciiTheme="minorHAnsi" w:hAnsiTheme="minorHAnsi"/>
        </w:rPr>
        <w:tab/>
        <w:t>Kostka regularna może być układana:</w:t>
      </w:r>
    </w:p>
    <w:p w:rsidR="00AE2AE6" w:rsidRPr="008C7781" w:rsidRDefault="00AE2AE6" w:rsidP="00AE2AE6">
      <w:pPr>
        <w:rPr>
          <w:rFonts w:asciiTheme="minorHAnsi" w:hAnsiTheme="minorHAnsi"/>
        </w:rPr>
      </w:pPr>
      <w:r w:rsidRPr="008C7781">
        <w:rPr>
          <w:rFonts w:asciiTheme="minorHAnsi" w:hAnsiTheme="minorHAnsi"/>
        </w:rPr>
        <w:t>-w rzędy poprzeczne, prostopadłe do osi drogi,</w:t>
      </w:r>
    </w:p>
    <w:p w:rsidR="00AE2AE6" w:rsidRPr="008C7781" w:rsidRDefault="00AE2AE6" w:rsidP="00AE2AE6">
      <w:pPr>
        <w:rPr>
          <w:rFonts w:asciiTheme="minorHAnsi" w:hAnsiTheme="minorHAnsi"/>
        </w:rPr>
      </w:pPr>
      <w:r w:rsidRPr="008C7781">
        <w:rPr>
          <w:rFonts w:asciiTheme="minorHAnsi" w:hAnsiTheme="minorHAnsi"/>
        </w:rPr>
        <w:t>-w rzędy ukośne, pod kątem 45</w:t>
      </w:r>
      <w:r w:rsidRPr="008C7781">
        <w:rPr>
          <w:rFonts w:asciiTheme="minorHAnsi" w:hAnsiTheme="minorHAnsi"/>
          <w:vertAlign w:val="superscript"/>
        </w:rPr>
        <w:t>o</w:t>
      </w:r>
      <w:r w:rsidRPr="008C7781">
        <w:rPr>
          <w:rFonts w:asciiTheme="minorHAnsi" w:hAnsiTheme="minorHAnsi"/>
        </w:rPr>
        <w:t xml:space="preserve"> do osi drogi,</w:t>
      </w:r>
    </w:p>
    <w:p w:rsidR="00AE2AE6" w:rsidRPr="008C7781" w:rsidRDefault="00AE2AE6" w:rsidP="00AE2AE6">
      <w:pPr>
        <w:rPr>
          <w:rFonts w:asciiTheme="minorHAnsi" w:hAnsiTheme="minorHAnsi"/>
        </w:rPr>
      </w:pPr>
      <w:r w:rsidRPr="008C7781">
        <w:rPr>
          <w:rFonts w:asciiTheme="minorHAnsi" w:hAnsiTheme="minorHAnsi"/>
        </w:rPr>
        <w:t>-w jodełkę.</w:t>
      </w:r>
    </w:p>
    <w:p w:rsidR="00AE2AE6" w:rsidRPr="008C7781" w:rsidRDefault="00AE2AE6" w:rsidP="00AE2AE6">
      <w:pPr>
        <w:rPr>
          <w:rFonts w:asciiTheme="minorHAnsi" w:hAnsiTheme="minorHAnsi"/>
        </w:rPr>
      </w:pPr>
      <w:r w:rsidRPr="008C7781">
        <w:rPr>
          <w:rFonts w:asciiTheme="minorHAnsi" w:hAnsiTheme="minorHAnsi"/>
        </w:rPr>
        <w:tab/>
        <w:t>Deseń nawierzchni z kostki regularnej powinien być dostosowany do wymiarów kostki. Kostki duże o wysokości kostki od 16 do 18 cm powinny być układane w rzędy poprzeczne. Kostki średnie o wysokości od 12 do 14 cm oraz kostki małe, o wysokości od 8 do 10 cm, mogą być układane w rzędy poprzeczne, w rzędy ukośne lub w jodełkę.</w:t>
      </w:r>
    </w:p>
    <w:p w:rsidR="00AE2AE6" w:rsidRPr="008C7781" w:rsidRDefault="00AE2AE6" w:rsidP="00AE2AE6">
      <w:pPr>
        <w:rPr>
          <w:rFonts w:asciiTheme="minorHAnsi" w:hAnsiTheme="minorHAnsi"/>
        </w:rPr>
      </w:pPr>
      <w:r w:rsidRPr="008C7781">
        <w:rPr>
          <w:rFonts w:asciiTheme="minorHAnsi" w:hAnsiTheme="minorHAnsi"/>
        </w:rPr>
        <w:tab/>
        <w:t>Układanie kostek przy krawężnikach wymaga stosowania kostek regularnych łącznikowych dla uzyskania mijania się spoin w kierunku podłużnym.</w:t>
      </w:r>
    </w:p>
    <w:p w:rsidR="00AE2AE6" w:rsidRPr="008C7781" w:rsidRDefault="00AE2AE6" w:rsidP="00AE2AE6">
      <w:pPr>
        <w:rPr>
          <w:rFonts w:asciiTheme="minorHAnsi" w:hAnsiTheme="minorHAnsi"/>
        </w:rPr>
      </w:pPr>
      <w:r w:rsidRPr="008C7781">
        <w:rPr>
          <w:rFonts w:asciiTheme="minorHAnsi" w:hAnsiTheme="minorHAnsi"/>
        </w:rPr>
        <w:tab/>
        <w:t>Warunki układania kostki rzędowej są takie same jak dla kostki regularnej.</w:t>
      </w:r>
    </w:p>
    <w:p w:rsidR="00AE2AE6" w:rsidRPr="008C7781" w:rsidRDefault="00AE2AE6" w:rsidP="00AE2AE6">
      <w:pPr>
        <w:rPr>
          <w:rFonts w:asciiTheme="minorHAnsi" w:hAnsiTheme="minorHAnsi"/>
        </w:rPr>
      </w:pPr>
      <w:r w:rsidRPr="008C7781">
        <w:rPr>
          <w:rFonts w:asciiTheme="minorHAnsi" w:hAnsiTheme="minorHAnsi"/>
        </w:rPr>
        <w:tab/>
        <w:t>Kostkę rzędową układa się w rzędy poprzeczne prostopadłe do osi drogi. Dopuszcza się układanie kostek w rzędy ukośne lub jodełkę.</w:t>
      </w:r>
    </w:p>
    <w:p w:rsidR="00AE2AE6" w:rsidRPr="008C7781" w:rsidRDefault="00AE2AE6" w:rsidP="00AE2AE6">
      <w:pPr>
        <w:rPr>
          <w:rFonts w:asciiTheme="minorHAnsi" w:hAnsiTheme="minorHAnsi"/>
        </w:rPr>
      </w:pPr>
      <w:r w:rsidRPr="008C7781">
        <w:rPr>
          <w:rFonts w:asciiTheme="minorHAnsi" w:hAnsiTheme="minorHAnsi"/>
          <w:b/>
        </w:rPr>
        <w:t>5.5.3.</w:t>
      </w:r>
      <w:r w:rsidRPr="008C7781">
        <w:rPr>
          <w:rFonts w:asciiTheme="minorHAnsi" w:hAnsiTheme="minorHAnsi"/>
        </w:rPr>
        <w:t xml:space="preserve"> Szczeliny dylatacyjne</w:t>
      </w:r>
    </w:p>
    <w:p w:rsidR="00AE2AE6" w:rsidRPr="008C7781" w:rsidRDefault="00AE2AE6" w:rsidP="00AE2AE6">
      <w:pPr>
        <w:rPr>
          <w:rFonts w:asciiTheme="minorHAnsi" w:hAnsiTheme="minorHAnsi"/>
        </w:rPr>
      </w:pPr>
      <w:r w:rsidRPr="008C7781">
        <w:rPr>
          <w:rFonts w:asciiTheme="minorHAnsi" w:hAnsiTheme="minorHAnsi"/>
        </w:rPr>
        <w:tab/>
        <w:t>Szczeliny dylatacyjne poprzeczne należy stosować w nawierzchniach z kostki na zaprawie cementowej w odległości od 10 do 15 m oraz w takich miejscach, w których występuje dylatacja podbudowy lub zmiana sztywności podłoża.</w:t>
      </w:r>
    </w:p>
    <w:p w:rsidR="00AE2AE6" w:rsidRPr="008C7781" w:rsidRDefault="00AE2AE6" w:rsidP="00AE2AE6">
      <w:pPr>
        <w:rPr>
          <w:rFonts w:asciiTheme="minorHAnsi" w:hAnsiTheme="minorHAnsi"/>
        </w:rPr>
      </w:pPr>
      <w:r w:rsidRPr="008C7781">
        <w:rPr>
          <w:rFonts w:asciiTheme="minorHAnsi" w:hAnsiTheme="minorHAnsi"/>
        </w:rPr>
        <w:tab/>
        <w:t>Szczeliny podłużne należy stosować przy ściekach na jezdniach wszelkich szerokości oraz pośrodku jezdni, jeżeli szerokość jej przekracza 10 m lub w przypadku układania nawierzchni połową szerokości jezdni.</w:t>
      </w:r>
    </w:p>
    <w:p w:rsidR="00AE2AE6" w:rsidRPr="008C7781" w:rsidRDefault="00AE2AE6" w:rsidP="00AE2AE6">
      <w:pPr>
        <w:rPr>
          <w:rFonts w:asciiTheme="minorHAnsi" w:hAnsiTheme="minorHAnsi"/>
        </w:rPr>
      </w:pPr>
      <w:r w:rsidRPr="008C7781">
        <w:rPr>
          <w:rFonts w:asciiTheme="minorHAnsi" w:hAnsiTheme="minorHAnsi"/>
        </w:rPr>
        <w:tab/>
        <w:t>Przy układaniu nawierzchni z kostki na podbudowie betonowej - na podsypce cementowo-żwirowej z zalaniem spoin zaprawą cementowo-piaskową, szczeliny dylatacyjne warstwy jezdnej należy wykonywać nad szczelinami podbudowy. Szerokość szczelin dylatacyjnych powinna wynosić od 8 do 12 mm.</w:t>
      </w:r>
    </w:p>
    <w:p w:rsidR="00AE2AE6" w:rsidRPr="008C7781" w:rsidRDefault="00AE2AE6" w:rsidP="00AE2AE6">
      <w:pPr>
        <w:rPr>
          <w:rFonts w:asciiTheme="minorHAnsi" w:hAnsiTheme="minorHAnsi"/>
        </w:rPr>
      </w:pPr>
      <w:r w:rsidRPr="008C7781">
        <w:rPr>
          <w:rFonts w:asciiTheme="minorHAnsi" w:hAnsiTheme="minorHAnsi"/>
          <w:b/>
        </w:rPr>
        <w:t>5.5.4.</w:t>
      </w:r>
      <w:r w:rsidRPr="008C7781">
        <w:rPr>
          <w:rFonts w:asciiTheme="minorHAnsi" w:hAnsiTheme="minorHAnsi"/>
        </w:rPr>
        <w:t xml:space="preserve"> Warunki przystąpienia do robót</w:t>
      </w:r>
    </w:p>
    <w:p w:rsidR="00AE2AE6" w:rsidRPr="008C7781" w:rsidRDefault="00AE2AE6" w:rsidP="00AE2AE6">
      <w:pPr>
        <w:rPr>
          <w:rFonts w:asciiTheme="minorHAnsi" w:hAnsiTheme="minorHAnsi"/>
        </w:rPr>
      </w:pPr>
      <w:r w:rsidRPr="008C7781">
        <w:rPr>
          <w:rFonts w:asciiTheme="minorHAnsi" w:hAnsiTheme="minorHAnsi"/>
        </w:rPr>
        <w:tab/>
        <w:t>Kostkę na zaprawie cementowo-piaskowej i cementowo-żwirowej można układać bez środków ochronnych przed mrozem, jeżeli temperatura otoczenia jest +5</w:t>
      </w:r>
      <w:r w:rsidRPr="008C7781">
        <w:rPr>
          <w:rFonts w:asciiTheme="minorHAnsi" w:hAnsiTheme="minorHAnsi"/>
          <w:vertAlign w:val="superscript"/>
        </w:rPr>
        <w:t>o</w:t>
      </w:r>
      <w:r w:rsidRPr="008C7781">
        <w:rPr>
          <w:rFonts w:asciiTheme="minorHAnsi" w:hAnsiTheme="minorHAnsi"/>
        </w:rPr>
        <w:t>C lub wyższa. Nie należy układać kostki w temperaturze 0</w:t>
      </w:r>
      <w:r w:rsidRPr="008C7781">
        <w:rPr>
          <w:rFonts w:asciiTheme="minorHAnsi" w:hAnsiTheme="minorHAnsi"/>
          <w:vertAlign w:val="superscript"/>
        </w:rPr>
        <w:t>o</w:t>
      </w:r>
      <w:r w:rsidRPr="008C7781">
        <w:rPr>
          <w:rFonts w:asciiTheme="minorHAnsi" w:hAnsiTheme="minorHAnsi"/>
        </w:rPr>
        <w:t>C lub niższej. Jeżeli w ciągu dnia temperatura utrzymuje się w granicach od 0 do +5</w:t>
      </w:r>
      <w:r w:rsidRPr="008C7781">
        <w:rPr>
          <w:rFonts w:asciiTheme="minorHAnsi" w:hAnsiTheme="minorHAnsi"/>
          <w:vertAlign w:val="superscript"/>
        </w:rPr>
        <w:t>o</w:t>
      </w:r>
      <w:r w:rsidRPr="008C7781">
        <w:rPr>
          <w:rFonts w:asciiTheme="minorHAnsi" w:hAnsiTheme="minorHAnsi"/>
        </w:rPr>
        <w:t>C, a w nocy spodziewane są przymrozki, kostkę należy zabezpieczyć przez nakrycie materiałem o złym przewodnictwie cieplnym. Świeżo wykonaną nawierzchnię na podsypce cementowo-żwirowej należy chronić w sposób podany w PN-B-06251 [6].</w:t>
      </w:r>
    </w:p>
    <w:p w:rsidR="00AE2AE6" w:rsidRPr="008C7781" w:rsidRDefault="00AE2AE6" w:rsidP="00AE2AE6">
      <w:pPr>
        <w:rPr>
          <w:rFonts w:asciiTheme="minorHAnsi" w:hAnsiTheme="minorHAnsi"/>
        </w:rPr>
      </w:pPr>
      <w:r w:rsidRPr="008C7781">
        <w:rPr>
          <w:rFonts w:asciiTheme="minorHAnsi" w:hAnsiTheme="minorHAnsi"/>
          <w:b/>
        </w:rPr>
        <w:t>5.5.5.</w:t>
      </w:r>
      <w:r w:rsidRPr="008C7781">
        <w:rPr>
          <w:rFonts w:asciiTheme="minorHAnsi" w:hAnsiTheme="minorHAnsi"/>
        </w:rPr>
        <w:t xml:space="preserve"> Ubijanie kostki</w:t>
      </w:r>
    </w:p>
    <w:p w:rsidR="00AE2AE6" w:rsidRPr="008C7781" w:rsidRDefault="00AE2AE6" w:rsidP="00AE2AE6">
      <w:pPr>
        <w:rPr>
          <w:rFonts w:asciiTheme="minorHAnsi" w:hAnsiTheme="minorHAnsi"/>
        </w:rPr>
      </w:pPr>
      <w:r w:rsidRPr="008C7781">
        <w:rPr>
          <w:rFonts w:asciiTheme="minorHAnsi" w:hAnsiTheme="minorHAnsi"/>
        </w:rPr>
        <w:tab/>
        <w:t>Sposób ubijania kostki powinien być dostosowany do rodzaju podsypki oraz materiału do wypełnienia spoin.</w:t>
      </w:r>
    </w:p>
    <w:p w:rsidR="00AE2AE6" w:rsidRPr="008C7781" w:rsidRDefault="00AE2AE6" w:rsidP="00AE2AE6">
      <w:pPr>
        <w:rPr>
          <w:rFonts w:asciiTheme="minorHAnsi" w:hAnsiTheme="minorHAnsi"/>
        </w:rPr>
      </w:pPr>
      <w:r w:rsidRPr="008C7781">
        <w:rPr>
          <w:rFonts w:asciiTheme="minorHAnsi" w:hAnsiTheme="minorHAnsi"/>
        </w:rPr>
        <w:t>Kostkę na podsypce żwirowej lub piaskowej przy wypełnieniu spoin żwirem lub piaskiem należy ubijać trzykrotnie.</w:t>
      </w:r>
    </w:p>
    <w:p w:rsidR="00AE2AE6" w:rsidRPr="008C7781" w:rsidRDefault="00AE2AE6" w:rsidP="00AE2AE6">
      <w:pPr>
        <w:rPr>
          <w:rFonts w:asciiTheme="minorHAnsi" w:hAnsiTheme="minorHAnsi"/>
        </w:rPr>
      </w:pPr>
      <w:r w:rsidRPr="008C7781">
        <w:rPr>
          <w:rFonts w:asciiTheme="minorHAnsi" w:hAnsiTheme="minorHAnsi"/>
        </w:rPr>
        <w:lastRenderedPageBreak/>
        <w:tab/>
        <w:t>Pierwsze ubicie ma na celu osadzenie kostek w podsypce i wypełnienie dolnych części spoin materiałem z podsypki. Obniżenie kostki w czasie pierwszego ubijania powinno wynosić od 1,5 do 2,0 cm.</w:t>
      </w:r>
    </w:p>
    <w:p w:rsidR="00AE2AE6" w:rsidRPr="008C7781" w:rsidRDefault="00AE2AE6" w:rsidP="00AE2AE6">
      <w:pPr>
        <w:rPr>
          <w:rFonts w:asciiTheme="minorHAnsi" w:hAnsiTheme="minorHAnsi"/>
        </w:rPr>
      </w:pPr>
      <w:r w:rsidRPr="008C7781">
        <w:rPr>
          <w:rFonts w:asciiTheme="minorHAnsi" w:hAnsiTheme="minorHAnsi"/>
        </w:rPr>
        <w:tab/>
        <w:t>Ułożoną nawierzchnię z kostki zasypuje się mieszaniną piasku i żwiru o uziarnieniu od 0 do 4 mm, polewa wodą i szczotkami wprowadza się kruszywo w spoiny. Po wypełnieniu spoin trzeba nawierzchnię oczyścić szczotkami, aby każda kostka była widoczna, po czym należy przystąpić do ubijania.</w:t>
      </w:r>
    </w:p>
    <w:p w:rsidR="00AE2AE6" w:rsidRPr="008C7781" w:rsidRDefault="00AE2AE6" w:rsidP="00AE2AE6">
      <w:pPr>
        <w:rPr>
          <w:rFonts w:asciiTheme="minorHAnsi" w:hAnsiTheme="minorHAnsi"/>
        </w:rPr>
      </w:pPr>
      <w:r w:rsidRPr="008C7781">
        <w:rPr>
          <w:rFonts w:asciiTheme="minorHAnsi" w:hAnsiTheme="minorHAnsi"/>
        </w:rPr>
        <w:tab/>
        <w:t>Ubijanie kostek wykonuje się ubijakami stalowymi o ciężarze około 30 kg, uderzając ubijakiem każdą kostkę oddzielnie. Ubijanie w przekroju poprzecznym prowadzi się od krawężnika do środka jezdni.</w:t>
      </w:r>
    </w:p>
    <w:p w:rsidR="00AE2AE6" w:rsidRPr="008C7781" w:rsidRDefault="00AE2AE6" w:rsidP="00AE2AE6">
      <w:pPr>
        <w:rPr>
          <w:rFonts w:asciiTheme="minorHAnsi" w:hAnsiTheme="minorHAnsi"/>
        </w:rPr>
      </w:pPr>
      <w:r w:rsidRPr="008C7781">
        <w:rPr>
          <w:rFonts w:asciiTheme="minorHAnsi" w:hAnsiTheme="minorHAnsi"/>
        </w:rPr>
        <w:tab/>
        <w:t>Drugie ubicie należy poprzedzić uzupełnieniem spoin i polać wodą.</w:t>
      </w:r>
    </w:p>
    <w:p w:rsidR="00AE2AE6" w:rsidRPr="008C7781" w:rsidRDefault="00AE2AE6" w:rsidP="00AE2AE6">
      <w:pPr>
        <w:rPr>
          <w:rFonts w:asciiTheme="minorHAnsi" w:hAnsiTheme="minorHAnsi"/>
        </w:rPr>
      </w:pPr>
      <w:r w:rsidRPr="008C7781">
        <w:rPr>
          <w:rFonts w:asciiTheme="minorHAnsi" w:hAnsiTheme="minorHAnsi"/>
        </w:rPr>
        <w:tab/>
        <w:t>Trzecie ubicie ma na celu doprowadzenie nawierzchni kostkowej do wymaganego przekroju poprzecznego i podłużnego jezdni. Zamiast trzeciego ubijania można stosować wałowanie walcem o masie do 10 t - najpierw w kierunku podłużnym, postępując od krawężników w kierunku osi, a następnie w kierunku poprzecznym.</w:t>
      </w:r>
    </w:p>
    <w:p w:rsidR="00AE2AE6" w:rsidRPr="008C7781" w:rsidRDefault="00AE2AE6" w:rsidP="00AE2AE6">
      <w:pPr>
        <w:rPr>
          <w:rFonts w:asciiTheme="minorHAnsi" w:hAnsiTheme="minorHAnsi"/>
        </w:rPr>
      </w:pPr>
      <w:r w:rsidRPr="008C7781">
        <w:rPr>
          <w:rFonts w:asciiTheme="minorHAnsi" w:hAnsiTheme="minorHAnsi"/>
        </w:rPr>
        <w:t>Kostkę na podsypce żwirowo-cementowej przy wypełnianiu spoin zaprawą cementowo-piaskową, należy ubijać dwukrotnie.</w:t>
      </w:r>
    </w:p>
    <w:p w:rsidR="00AE2AE6" w:rsidRPr="008C7781" w:rsidRDefault="00AE2AE6" w:rsidP="00AE2AE6">
      <w:pPr>
        <w:rPr>
          <w:rFonts w:asciiTheme="minorHAnsi" w:hAnsiTheme="minorHAnsi"/>
        </w:rPr>
      </w:pPr>
      <w:r w:rsidRPr="008C7781">
        <w:rPr>
          <w:rFonts w:asciiTheme="minorHAnsi" w:hAnsiTheme="minorHAnsi"/>
        </w:rPr>
        <w:tab/>
        <w:t>Pierwsze mocne ubicie powinno nastąpić przed zalaniem spoin i spowodować obniżenie kostek do wymaganej niwelety.</w:t>
      </w:r>
    </w:p>
    <w:p w:rsidR="00AE2AE6" w:rsidRPr="008C7781" w:rsidRDefault="00AE2AE6" w:rsidP="00AE2AE6">
      <w:pPr>
        <w:rPr>
          <w:rFonts w:asciiTheme="minorHAnsi" w:hAnsiTheme="minorHAnsi"/>
        </w:rPr>
      </w:pPr>
      <w:r w:rsidRPr="008C7781">
        <w:rPr>
          <w:rFonts w:asciiTheme="minorHAnsi" w:hAnsiTheme="minorHAnsi"/>
        </w:rPr>
        <w:tab/>
        <w:t>Drugie - lekkie ubicie, ma na celu doprowadzenie ubijanej powierzchni kostek do wymaganego przekroju poprzecznego jezdni. Drugi ubicie następuje bezpośrednio po zalaniu spoin zaprawą cementowo-piaskową. Zamiast drugiego ubijania można stosować wibratory płytowe lub lekkie walce wibracyjne.</w:t>
      </w:r>
    </w:p>
    <w:p w:rsidR="00AE2AE6" w:rsidRPr="008C7781" w:rsidRDefault="00AE2AE6" w:rsidP="00AE2AE6">
      <w:pPr>
        <w:rPr>
          <w:rFonts w:asciiTheme="minorHAnsi" w:hAnsiTheme="minorHAnsi"/>
        </w:rPr>
      </w:pPr>
      <w:r w:rsidRPr="008C7781">
        <w:rPr>
          <w:rFonts w:asciiTheme="minorHAnsi" w:hAnsiTheme="minorHAnsi"/>
        </w:rPr>
        <w:t>Kostkę na podsypce żwirowej przy wypełnieniu spoin masą zalewową należy ubijać trzykrotnie. Spoiny zalewa się po całkowitym trzykrotnym ubiciu nawierzchni.</w:t>
      </w:r>
    </w:p>
    <w:p w:rsidR="00AE2AE6" w:rsidRPr="008C7781" w:rsidRDefault="00AE2AE6" w:rsidP="00AE2AE6">
      <w:pPr>
        <w:rPr>
          <w:rFonts w:asciiTheme="minorHAnsi" w:hAnsiTheme="minorHAnsi"/>
        </w:rPr>
      </w:pPr>
      <w:r w:rsidRPr="008C7781">
        <w:rPr>
          <w:rFonts w:asciiTheme="minorHAnsi" w:hAnsiTheme="minorHAnsi"/>
        </w:rPr>
        <w:tab/>
        <w:t>Kostki, które pękną podczas ubijania powinny być wymienione na całe. Ostatni rząd kostek na zakończenie działki roboczej, przy ubijaniu należy zabezpieczyć przed przesunięciem za pomocą np. belki drewnianej umocowanej szpilkami stalowymi w podłożu.</w:t>
      </w:r>
    </w:p>
    <w:p w:rsidR="00AE2AE6" w:rsidRPr="008C7781" w:rsidRDefault="00AE2AE6" w:rsidP="00AE2AE6">
      <w:pPr>
        <w:rPr>
          <w:rFonts w:asciiTheme="minorHAnsi" w:hAnsiTheme="minorHAnsi"/>
        </w:rPr>
      </w:pPr>
      <w:r w:rsidRPr="008C7781">
        <w:rPr>
          <w:rFonts w:asciiTheme="minorHAnsi" w:hAnsiTheme="minorHAnsi"/>
          <w:b/>
        </w:rPr>
        <w:t>5.5.6.</w:t>
      </w:r>
      <w:r w:rsidRPr="008C7781">
        <w:rPr>
          <w:rFonts w:asciiTheme="minorHAnsi" w:hAnsiTheme="minorHAnsi"/>
        </w:rPr>
        <w:t xml:space="preserve"> Wypełnienie spoin</w:t>
      </w:r>
    </w:p>
    <w:p w:rsidR="00AE2AE6" w:rsidRPr="008C7781" w:rsidRDefault="00AE2AE6" w:rsidP="00AE2AE6">
      <w:pPr>
        <w:rPr>
          <w:rFonts w:asciiTheme="minorHAnsi" w:hAnsiTheme="minorHAnsi"/>
        </w:rPr>
      </w:pPr>
      <w:r w:rsidRPr="008C7781">
        <w:rPr>
          <w:rFonts w:asciiTheme="minorHAnsi" w:hAnsiTheme="minorHAnsi"/>
        </w:rPr>
        <w:tab/>
        <w:t>Zaprawę cementowo-piaskową można stosować przy nawierzchniach z kostki każdego typu układanej na podsypce cementowo-żwirowej. Bitumiczną masę zalewową należy stosować przy nawierzchniach z kostki nieregularnej układanej na podsypce bitumiczno-żwirowej, żwirowej lub piaskowej. Wypełnienie spoin piaskiem można stosować przy nawierzchniach z kostki nieregularnej układanej na podsypce żwirowej lub piaskowej.</w:t>
      </w:r>
    </w:p>
    <w:p w:rsidR="00AE2AE6" w:rsidRPr="008C7781" w:rsidRDefault="00AE2AE6" w:rsidP="00AE2AE6">
      <w:pPr>
        <w:rPr>
          <w:rFonts w:asciiTheme="minorHAnsi" w:hAnsiTheme="minorHAnsi"/>
        </w:rPr>
      </w:pPr>
      <w:r w:rsidRPr="008C7781">
        <w:rPr>
          <w:rFonts w:asciiTheme="minorHAnsi" w:hAnsiTheme="minorHAnsi"/>
        </w:rPr>
        <w:tab/>
        <w:t>Wypełnienie spoin zaprawą cementowo-piaskową powinno być wykonane z zachowaniem następujących wymagań:</w:t>
      </w:r>
    </w:p>
    <w:p w:rsidR="00AE2AE6" w:rsidRPr="008C7781" w:rsidRDefault="00AE2AE6" w:rsidP="00AE2AE6">
      <w:pPr>
        <w:rPr>
          <w:rFonts w:asciiTheme="minorHAnsi" w:hAnsiTheme="minorHAnsi"/>
        </w:rPr>
      </w:pPr>
      <w:r w:rsidRPr="008C7781">
        <w:rPr>
          <w:rFonts w:asciiTheme="minorHAnsi" w:hAnsiTheme="minorHAnsi"/>
        </w:rPr>
        <w:t>-piasek powinien odpowiadać wymaganiom wg pkt 2.5,</w:t>
      </w:r>
    </w:p>
    <w:p w:rsidR="00AE2AE6" w:rsidRPr="008C7781" w:rsidRDefault="00AE2AE6" w:rsidP="00AE2AE6">
      <w:pPr>
        <w:rPr>
          <w:rFonts w:asciiTheme="minorHAnsi" w:hAnsiTheme="minorHAnsi"/>
        </w:rPr>
      </w:pPr>
      <w:r w:rsidRPr="008C7781">
        <w:rPr>
          <w:rFonts w:asciiTheme="minorHAnsi" w:hAnsiTheme="minorHAnsi"/>
        </w:rPr>
        <w:t>-cement powinien odpowiadać wymaganiom wg pkt 2.4,</w:t>
      </w:r>
    </w:p>
    <w:p w:rsidR="00AE2AE6" w:rsidRPr="008C7781" w:rsidRDefault="00AE2AE6" w:rsidP="00AE2AE6">
      <w:pPr>
        <w:rPr>
          <w:rFonts w:asciiTheme="minorHAnsi" w:hAnsiTheme="minorHAnsi"/>
        </w:rPr>
      </w:pPr>
      <w:r w:rsidRPr="008C7781">
        <w:rPr>
          <w:rFonts w:asciiTheme="minorHAnsi" w:hAnsiTheme="minorHAnsi"/>
        </w:rPr>
        <w:t>-wytrzymałość zaprawy na ściskanie powinna wynosić nie mniej niż 30 MPa,</w:t>
      </w:r>
    </w:p>
    <w:p w:rsidR="00AE2AE6" w:rsidRPr="008C7781" w:rsidRDefault="00AE2AE6" w:rsidP="00AE2AE6">
      <w:pPr>
        <w:rPr>
          <w:rFonts w:asciiTheme="minorHAnsi" w:hAnsiTheme="minorHAnsi"/>
        </w:rPr>
      </w:pPr>
      <w:r w:rsidRPr="008C7781">
        <w:rPr>
          <w:rFonts w:asciiTheme="minorHAnsi" w:hAnsiTheme="minorHAnsi"/>
        </w:rPr>
        <w:t>-przed rozpoczęciem zalewania kostka powinna być oczyszczona i dobrze zwilżona wodą z dodatkiem 1% cementu w stosunku objętościowym,</w:t>
      </w:r>
    </w:p>
    <w:p w:rsidR="00AE2AE6" w:rsidRPr="008C7781" w:rsidRDefault="00AE2AE6" w:rsidP="00AE2AE6">
      <w:pPr>
        <w:rPr>
          <w:rFonts w:asciiTheme="minorHAnsi" w:hAnsiTheme="minorHAnsi"/>
        </w:rPr>
      </w:pPr>
      <w:r w:rsidRPr="008C7781">
        <w:rPr>
          <w:rFonts w:asciiTheme="minorHAnsi" w:hAnsiTheme="minorHAnsi"/>
        </w:rPr>
        <w:t>-głębokość wypełnienia spoin zaprawą cementowo-piaskową powinna wynosić około              5 cm,</w:t>
      </w:r>
    </w:p>
    <w:p w:rsidR="00AE2AE6" w:rsidRPr="008C7781" w:rsidRDefault="00AE2AE6" w:rsidP="00AE2AE6">
      <w:pPr>
        <w:rPr>
          <w:rFonts w:asciiTheme="minorHAnsi" w:hAnsiTheme="minorHAnsi"/>
        </w:rPr>
      </w:pPr>
      <w:r w:rsidRPr="008C7781">
        <w:rPr>
          <w:rFonts w:asciiTheme="minorHAnsi" w:hAnsiTheme="minorHAnsi"/>
        </w:rPr>
        <w:t>-zaprawa cementowo-piaskowa powinna całkowicie wypełnić spoiny i tworzyć monolit z kostką.</w:t>
      </w:r>
    </w:p>
    <w:p w:rsidR="00AE2AE6" w:rsidRPr="008C7781" w:rsidRDefault="00AE2AE6" w:rsidP="00AE2AE6">
      <w:pPr>
        <w:rPr>
          <w:rFonts w:asciiTheme="minorHAnsi" w:hAnsiTheme="minorHAnsi"/>
        </w:rPr>
      </w:pPr>
      <w:r w:rsidRPr="008C7781">
        <w:rPr>
          <w:rFonts w:asciiTheme="minorHAnsi" w:hAnsiTheme="minorHAnsi"/>
        </w:rPr>
        <w:tab/>
        <w:t>Wypełnienie spoin masą zalewową powinno być wykonane z zachowaniem następujących wymagań:</w:t>
      </w:r>
    </w:p>
    <w:p w:rsidR="00AE2AE6" w:rsidRPr="008C7781" w:rsidRDefault="00AE2AE6" w:rsidP="00AE2AE6">
      <w:pPr>
        <w:rPr>
          <w:rFonts w:asciiTheme="minorHAnsi" w:hAnsiTheme="minorHAnsi"/>
        </w:rPr>
      </w:pPr>
      <w:r w:rsidRPr="008C7781">
        <w:rPr>
          <w:rFonts w:asciiTheme="minorHAnsi" w:hAnsiTheme="minorHAnsi"/>
        </w:rPr>
        <w:t>-masa zalewowa powinna odpowiadać wymaganiom wg pkt 2.6,</w:t>
      </w:r>
    </w:p>
    <w:p w:rsidR="00AE2AE6" w:rsidRPr="008C7781" w:rsidRDefault="00AE2AE6" w:rsidP="00AE2AE6">
      <w:pPr>
        <w:rPr>
          <w:rFonts w:asciiTheme="minorHAnsi" w:hAnsiTheme="minorHAnsi"/>
        </w:rPr>
      </w:pPr>
      <w:r w:rsidRPr="008C7781">
        <w:rPr>
          <w:rFonts w:asciiTheme="minorHAnsi" w:hAnsiTheme="minorHAnsi"/>
        </w:rPr>
        <w:t>-spoiny przed zalaniem masą zalewową powinny być suche i dokładnie oczyszczone na głębokość około 5 cm,</w:t>
      </w:r>
    </w:p>
    <w:p w:rsidR="00AE2AE6" w:rsidRPr="008C7781" w:rsidRDefault="00AE2AE6" w:rsidP="00AE2AE6">
      <w:pPr>
        <w:rPr>
          <w:rFonts w:asciiTheme="minorHAnsi" w:hAnsiTheme="minorHAnsi"/>
        </w:rPr>
      </w:pPr>
      <w:r w:rsidRPr="008C7781">
        <w:rPr>
          <w:rFonts w:asciiTheme="minorHAnsi" w:hAnsiTheme="minorHAnsi"/>
        </w:rPr>
        <w:t>bezpośrednio przed zalaniem masa powinna być podgrzana do temperatury od 150 do 180</w:t>
      </w:r>
      <w:r w:rsidRPr="008C7781">
        <w:rPr>
          <w:rFonts w:asciiTheme="minorHAnsi" w:hAnsiTheme="minorHAnsi"/>
          <w:vertAlign w:val="superscript"/>
        </w:rPr>
        <w:t>o</w:t>
      </w:r>
      <w:r w:rsidRPr="008C7781">
        <w:rPr>
          <w:rFonts w:asciiTheme="minorHAnsi" w:hAnsiTheme="minorHAnsi"/>
        </w:rPr>
        <w:t>C,</w:t>
      </w:r>
    </w:p>
    <w:p w:rsidR="00AE2AE6" w:rsidRPr="008C7781" w:rsidRDefault="00AE2AE6" w:rsidP="00AE2AE6">
      <w:pPr>
        <w:rPr>
          <w:rFonts w:asciiTheme="minorHAnsi" w:hAnsiTheme="minorHAnsi"/>
        </w:rPr>
      </w:pPr>
      <w:r w:rsidRPr="008C7781">
        <w:rPr>
          <w:rFonts w:asciiTheme="minorHAnsi" w:hAnsiTheme="minorHAnsi"/>
        </w:rPr>
        <w:t>masa powinna dokładnie wypełniać spoiny i wykazywać dobrą przyczepność do kostek.</w:t>
      </w:r>
    </w:p>
    <w:p w:rsidR="00AE2AE6" w:rsidRPr="008C7781" w:rsidRDefault="00AE2AE6" w:rsidP="00AE2AE6">
      <w:pPr>
        <w:rPr>
          <w:rFonts w:asciiTheme="minorHAnsi" w:hAnsiTheme="minorHAnsi"/>
        </w:rPr>
      </w:pPr>
      <w:r w:rsidRPr="008C7781">
        <w:rPr>
          <w:rFonts w:asciiTheme="minorHAnsi" w:hAnsiTheme="minorHAnsi"/>
        </w:rPr>
        <w:tab/>
        <w:t>Wypełnianie spoin przez zamulanie piaskiem powinno być wykonane z zachowaniem następujących wymagań:</w:t>
      </w:r>
    </w:p>
    <w:p w:rsidR="00AE2AE6" w:rsidRPr="008C7781" w:rsidRDefault="00AE2AE6" w:rsidP="00AE2AE6">
      <w:pPr>
        <w:rPr>
          <w:rFonts w:asciiTheme="minorHAnsi" w:hAnsiTheme="minorHAnsi"/>
        </w:rPr>
      </w:pPr>
      <w:r w:rsidRPr="008C7781">
        <w:rPr>
          <w:rFonts w:asciiTheme="minorHAnsi" w:hAnsiTheme="minorHAnsi"/>
        </w:rPr>
        <w:t>-piasek powinien odpowiadać wymaganiom wg pkt 2.5,</w:t>
      </w:r>
    </w:p>
    <w:p w:rsidR="00AE2AE6" w:rsidRPr="008C7781" w:rsidRDefault="00AE2AE6" w:rsidP="00AE2AE6">
      <w:pPr>
        <w:rPr>
          <w:rFonts w:asciiTheme="minorHAnsi" w:hAnsiTheme="minorHAnsi"/>
        </w:rPr>
      </w:pPr>
      <w:r w:rsidRPr="008C7781">
        <w:rPr>
          <w:rFonts w:asciiTheme="minorHAnsi" w:hAnsiTheme="minorHAnsi"/>
        </w:rPr>
        <w:t>-w czasie zamulania piasek powinien być obficie polewany wodą, aby wypełnił całkowicie spoiny.</w:t>
      </w:r>
    </w:p>
    <w:p w:rsidR="00AE2AE6" w:rsidRPr="008C7781" w:rsidRDefault="00AE2AE6" w:rsidP="00AE2AE6">
      <w:pPr>
        <w:rPr>
          <w:rFonts w:asciiTheme="minorHAnsi" w:hAnsiTheme="minorHAnsi"/>
        </w:rPr>
      </w:pPr>
      <w:r w:rsidRPr="008C7781">
        <w:rPr>
          <w:rFonts w:asciiTheme="minorHAnsi" w:hAnsiTheme="minorHAnsi"/>
          <w:b/>
        </w:rPr>
        <w:t>5.6.</w:t>
      </w:r>
      <w:r w:rsidRPr="008C7781">
        <w:rPr>
          <w:rFonts w:asciiTheme="minorHAnsi" w:hAnsiTheme="minorHAnsi"/>
        </w:rPr>
        <w:t xml:space="preserve"> Pielęgnacja nawierzchni</w:t>
      </w:r>
    </w:p>
    <w:p w:rsidR="00AE2AE6" w:rsidRPr="008C7781" w:rsidRDefault="00AE2AE6" w:rsidP="00AE2AE6">
      <w:pPr>
        <w:rPr>
          <w:rFonts w:asciiTheme="minorHAnsi" w:hAnsiTheme="minorHAnsi"/>
        </w:rPr>
      </w:pPr>
      <w:r w:rsidRPr="008C7781">
        <w:rPr>
          <w:rFonts w:asciiTheme="minorHAnsi" w:hAnsiTheme="minorHAnsi"/>
        </w:rPr>
        <w:tab/>
        <w:t>Sposób pielęgnacji nawierzchni zależy od rodzaju wypełnienia spoin i od rodzaju podsypki.</w:t>
      </w:r>
    </w:p>
    <w:p w:rsidR="00AE2AE6" w:rsidRPr="008C7781" w:rsidRDefault="00AE2AE6" w:rsidP="00AE2AE6">
      <w:pPr>
        <w:rPr>
          <w:rFonts w:asciiTheme="minorHAnsi" w:hAnsiTheme="minorHAnsi"/>
        </w:rPr>
      </w:pPr>
      <w:r w:rsidRPr="008C7781">
        <w:rPr>
          <w:rFonts w:asciiTheme="minorHAnsi" w:hAnsiTheme="minorHAnsi"/>
        </w:rPr>
        <w:tab/>
        <w:t xml:space="preserve">Pielęgnacja nawierzchni kostkowej, której spoiny są wypełnione zaprawą cementowo-piaskową polega na polaniu nawierzchni wodą w kilka godzin po zalaniu spoin i utrzymaniu jej w stałej wilgotności przez okres jednej doby. Następnie nawierzchnię należy przykryć piaskiem i utrzymywać w stałej </w:t>
      </w:r>
      <w:r w:rsidRPr="008C7781">
        <w:rPr>
          <w:rFonts w:asciiTheme="minorHAnsi" w:hAnsiTheme="minorHAnsi"/>
        </w:rPr>
        <w:lastRenderedPageBreak/>
        <w:t>wilgotności przez okres 7 dni. Po upływie od 2 do 3 tygodni - w zależności od warunków atmosferycznych, nawierzchnię należy oczyścić dokładnie z piasku i można oddać do ruchu.</w:t>
      </w:r>
    </w:p>
    <w:p w:rsidR="00AE2AE6" w:rsidRPr="008C7781" w:rsidRDefault="00AE2AE6" w:rsidP="00AE2AE6">
      <w:pPr>
        <w:rPr>
          <w:rFonts w:asciiTheme="minorHAnsi" w:hAnsiTheme="minorHAnsi"/>
        </w:rPr>
      </w:pPr>
      <w:r w:rsidRPr="008C7781">
        <w:rPr>
          <w:rFonts w:asciiTheme="minorHAnsi" w:hAnsiTheme="minorHAnsi"/>
        </w:rPr>
        <w:tab/>
        <w:t>Nawierzchnia kostkowa, której spoiny zostały wypełnione masą zalewową, może być oddana do ruchu bezpośrednio po wykonaniu, bez czynności pielęgnacyjnych.</w:t>
      </w:r>
    </w:p>
    <w:p w:rsidR="00AE2AE6" w:rsidRPr="008C7781" w:rsidRDefault="00AE2AE6" w:rsidP="00AE2AE6">
      <w:pPr>
        <w:rPr>
          <w:rFonts w:asciiTheme="minorHAnsi" w:hAnsiTheme="minorHAnsi"/>
        </w:rPr>
      </w:pPr>
      <w:r w:rsidRPr="008C7781">
        <w:rPr>
          <w:rFonts w:asciiTheme="minorHAnsi" w:hAnsiTheme="minorHAnsi"/>
        </w:rPr>
        <w:tab/>
        <w:t>Nawierzchnia kostkowa, której spoiny zostały wypełnione piaskiem i pokryte warstwą piasku, można oddać natychmiast do ruchu. Piasek podczas ruchu wypełnia spoiny i po kilku dniach pielęgnację nawierzchni można uznać za ukończoną.</w:t>
      </w:r>
    </w:p>
    <w:p w:rsidR="00AE2AE6" w:rsidRPr="008C7781" w:rsidRDefault="00AE2AE6" w:rsidP="00AE2AE6">
      <w:pPr>
        <w:rPr>
          <w:rFonts w:asciiTheme="minorHAnsi" w:hAnsiTheme="minorHAnsi"/>
        </w:rPr>
      </w:pPr>
      <w:bookmarkStart w:id="1473" w:name="_Toc422115851"/>
    </w:p>
    <w:p w:rsidR="00AE2AE6" w:rsidRPr="008C7781" w:rsidRDefault="00AE2AE6" w:rsidP="00AE2AE6">
      <w:pPr>
        <w:rPr>
          <w:rFonts w:asciiTheme="minorHAnsi" w:hAnsiTheme="minorHAnsi"/>
          <w:b/>
        </w:rPr>
      </w:pPr>
      <w:r w:rsidRPr="008C7781">
        <w:rPr>
          <w:rFonts w:asciiTheme="minorHAnsi" w:hAnsiTheme="minorHAnsi"/>
          <w:b/>
        </w:rPr>
        <w:t xml:space="preserve">6. </w:t>
      </w:r>
      <w:bookmarkEnd w:id="1473"/>
      <w:r w:rsidRPr="008C7781">
        <w:rPr>
          <w:rFonts w:asciiTheme="minorHAnsi" w:hAnsiTheme="minorHAnsi"/>
          <w:b/>
        </w:rPr>
        <w:t>KONTROLA JAKOŚCI ROBÓT</w:t>
      </w:r>
    </w:p>
    <w:p w:rsidR="00AE2AE6" w:rsidRPr="008C7781" w:rsidRDefault="00AE2AE6" w:rsidP="00AE2AE6">
      <w:pPr>
        <w:rPr>
          <w:rFonts w:asciiTheme="minorHAnsi" w:hAnsiTheme="minorHAnsi"/>
        </w:rPr>
      </w:pPr>
      <w:r w:rsidRPr="008C7781">
        <w:rPr>
          <w:rFonts w:asciiTheme="minorHAnsi" w:hAnsiTheme="minorHAnsi"/>
          <w:b/>
        </w:rPr>
        <w:t>6.1.</w:t>
      </w:r>
      <w:r w:rsidRPr="008C7781">
        <w:rPr>
          <w:rFonts w:asciiTheme="minorHAnsi" w:hAnsiTheme="minorHAnsi"/>
        </w:rPr>
        <w:t xml:space="preserve"> Ogólne zasady kontroli jakości robót</w:t>
      </w:r>
    </w:p>
    <w:p w:rsidR="00AE2AE6" w:rsidRPr="008C7781" w:rsidRDefault="00AE2AE6" w:rsidP="00AE2AE6">
      <w:pPr>
        <w:rPr>
          <w:rFonts w:asciiTheme="minorHAnsi" w:hAnsiTheme="minorHAnsi"/>
        </w:rPr>
      </w:pPr>
      <w:r w:rsidRPr="008C7781">
        <w:rPr>
          <w:rFonts w:asciiTheme="minorHAnsi" w:hAnsiTheme="minorHAnsi"/>
        </w:rPr>
        <w:tab/>
        <w:t>Ogólne zasady kontroli jakości robót podano w ST D-M-00.00.00 „Wymagania ogólne” pkt 6.</w:t>
      </w:r>
    </w:p>
    <w:p w:rsidR="00AE2AE6" w:rsidRPr="008C7781" w:rsidRDefault="00AE2AE6" w:rsidP="00AE2AE6">
      <w:pPr>
        <w:rPr>
          <w:rFonts w:asciiTheme="minorHAnsi" w:hAnsiTheme="minorHAnsi"/>
        </w:rPr>
      </w:pPr>
      <w:r w:rsidRPr="008C7781">
        <w:rPr>
          <w:rFonts w:asciiTheme="minorHAnsi" w:hAnsiTheme="minorHAnsi"/>
          <w:b/>
        </w:rPr>
        <w:t>6.2.</w:t>
      </w:r>
      <w:r w:rsidRPr="008C7781">
        <w:rPr>
          <w:rFonts w:asciiTheme="minorHAnsi" w:hAnsiTheme="minorHAnsi"/>
        </w:rPr>
        <w:t xml:space="preserve"> Badania przed przystąpieniem do robót</w:t>
      </w:r>
    </w:p>
    <w:p w:rsidR="00AE2AE6" w:rsidRPr="008C7781" w:rsidRDefault="00AE2AE6" w:rsidP="00AE2AE6">
      <w:pPr>
        <w:rPr>
          <w:rFonts w:asciiTheme="minorHAnsi" w:hAnsiTheme="minorHAnsi"/>
        </w:rPr>
      </w:pPr>
      <w:r w:rsidRPr="008C7781">
        <w:rPr>
          <w:rFonts w:asciiTheme="minorHAnsi" w:hAnsiTheme="minorHAnsi"/>
        </w:rPr>
        <w:tab/>
        <w:t>Rodzaj i zakres badań dla kostek kamiennych powinien być zgodny z wymaganiami wg PN-B-11100 [8].</w:t>
      </w:r>
    </w:p>
    <w:p w:rsidR="00AE2AE6" w:rsidRPr="008C7781" w:rsidRDefault="00AE2AE6" w:rsidP="00AE2AE6">
      <w:pPr>
        <w:rPr>
          <w:rFonts w:asciiTheme="minorHAnsi" w:hAnsiTheme="minorHAnsi"/>
        </w:rPr>
      </w:pPr>
      <w:r w:rsidRPr="008C7781">
        <w:rPr>
          <w:rFonts w:asciiTheme="minorHAnsi" w:hAnsiTheme="minorHAnsi"/>
        </w:rPr>
        <w:tab/>
        <w:t>Badanie zwykłe obejmuje sprawdzenie cech zewnętrznych i dopuszczalnych odchyłek, podanych w tablicach 2, 3, 4.</w:t>
      </w:r>
    </w:p>
    <w:p w:rsidR="00AE2AE6" w:rsidRPr="008C7781" w:rsidRDefault="00AE2AE6" w:rsidP="00AE2AE6">
      <w:pPr>
        <w:rPr>
          <w:rFonts w:asciiTheme="minorHAnsi" w:hAnsiTheme="minorHAnsi"/>
        </w:rPr>
      </w:pPr>
      <w:r w:rsidRPr="008C7781">
        <w:rPr>
          <w:rFonts w:asciiTheme="minorHAnsi" w:hAnsiTheme="minorHAnsi"/>
        </w:rPr>
        <w:tab/>
        <w:t>Badanie pełne obejmuje zakres badania zwykłego oraz sprawdzenie cech fizycznych i wytrzymałościowych podanych w tablicy 1.</w:t>
      </w:r>
    </w:p>
    <w:p w:rsidR="00AE2AE6" w:rsidRPr="008C7781" w:rsidRDefault="00AE2AE6" w:rsidP="00AE2AE6">
      <w:pPr>
        <w:rPr>
          <w:rFonts w:asciiTheme="minorHAnsi" w:hAnsiTheme="minorHAnsi"/>
        </w:rPr>
      </w:pPr>
      <w:r w:rsidRPr="008C7781">
        <w:rPr>
          <w:rFonts w:asciiTheme="minorHAnsi" w:hAnsiTheme="minorHAnsi"/>
        </w:rPr>
        <w:tab/>
        <w:t>W skład partii przeznaczonej do badań powinny wchodzić kostki jednakowego typu, rodzaju klasy i wielkości. Wielkość partii nie powinna przekraczać 500 ton kostki.</w:t>
      </w:r>
    </w:p>
    <w:p w:rsidR="00AE2AE6" w:rsidRPr="008C7781" w:rsidRDefault="00AE2AE6" w:rsidP="00AE2AE6">
      <w:pPr>
        <w:rPr>
          <w:rFonts w:asciiTheme="minorHAnsi" w:hAnsiTheme="minorHAnsi"/>
        </w:rPr>
      </w:pPr>
      <w:r w:rsidRPr="008C7781">
        <w:rPr>
          <w:rFonts w:asciiTheme="minorHAnsi" w:hAnsiTheme="minorHAnsi"/>
        </w:rPr>
        <w:tab/>
        <w:t>Z partii przeznaczonej do badań należy pobrać w sposób losowy próbkę składającą się z kostek drogowych w liczbie:</w:t>
      </w:r>
    </w:p>
    <w:p w:rsidR="00AE2AE6" w:rsidRPr="008C7781" w:rsidRDefault="00AE2AE6" w:rsidP="00AE2AE6">
      <w:pPr>
        <w:rPr>
          <w:rFonts w:asciiTheme="minorHAnsi" w:hAnsiTheme="minorHAnsi"/>
        </w:rPr>
      </w:pPr>
      <w:r w:rsidRPr="008C7781">
        <w:rPr>
          <w:rFonts w:asciiTheme="minorHAnsi" w:hAnsiTheme="minorHAnsi"/>
        </w:rPr>
        <w:t>-do badania zwykłego: 40 sztuk,</w:t>
      </w:r>
    </w:p>
    <w:p w:rsidR="00AE2AE6" w:rsidRPr="008C7781" w:rsidRDefault="00AE2AE6" w:rsidP="00AE2AE6">
      <w:pPr>
        <w:rPr>
          <w:rFonts w:asciiTheme="minorHAnsi" w:hAnsiTheme="minorHAnsi"/>
        </w:rPr>
      </w:pPr>
      <w:r w:rsidRPr="008C7781">
        <w:rPr>
          <w:rFonts w:asciiTheme="minorHAnsi" w:hAnsiTheme="minorHAnsi"/>
        </w:rPr>
        <w:t>-do badania cech podanych w tablicy 1: 6 sztuk.</w:t>
      </w:r>
    </w:p>
    <w:p w:rsidR="00AE2AE6" w:rsidRPr="008C7781" w:rsidRDefault="00AE2AE6" w:rsidP="00AE2AE6">
      <w:pPr>
        <w:rPr>
          <w:rFonts w:asciiTheme="minorHAnsi" w:hAnsiTheme="minorHAnsi"/>
        </w:rPr>
      </w:pPr>
      <w:r w:rsidRPr="008C7781">
        <w:rPr>
          <w:rFonts w:asciiTheme="minorHAnsi" w:hAnsiTheme="minorHAnsi"/>
        </w:rPr>
        <w:tab/>
        <w:t>Badania zwykłe należy przeprowadzać przy każdym sprawdzaniu zgodności partii z wymaganiami normy, badanie pełne przeprowadza się na żądanie odbiorcy.</w:t>
      </w:r>
    </w:p>
    <w:p w:rsidR="00AE2AE6" w:rsidRPr="008C7781" w:rsidRDefault="00AE2AE6" w:rsidP="00AE2AE6">
      <w:pPr>
        <w:rPr>
          <w:rFonts w:asciiTheme="minorHAnsi" w:hAnsiTheme="minorHAnsi"/>
        </w:rPr>
      </w:pPr>
      <w:r w:rsidRPr="008C7781">
        <w:rPr>
          <w:rFonts w:asciiTheme="minorHAnsi" w:hAnsiTheme="minorHAnsi"/>
        </w:rPr>
        <w:tab/>
        <w:t>W badaniu zwykłym partię kostki należy uznać za zgodną z wymaganiami normy, jeżeli liczba sztuk niedobrych w zbadanej ilości kostek jest dla poszczególnych sprawdzań równa lub mniejsza od 4.</w:t>
      </w:r>
    </w:p>
    <w:p w:rsidR="00AE2AE6" w:rsidRPr="008C7781" w:rsidRDefault="00AE2AE6" w:rsidP="00AE2AE6">
      <w:pPr>
        <w:rPr>
          <w:rFonts w:asciiTheme="minorHAnsi" w:hAnsiTheme="minorHAnsi"/>
        </w:rPr>
      </w:pPr>
      <w:r w:rsidRPr="008C7781">
        <w:rPr>
          <w:rFonts w:asciiTheme="minorHAnsi" w:hAnsiTheme="minorHAnsi"/>
        </w:rPr>
        <w:tab/>
        <w:t>W przypadku gdy liczba kostek niedobrych dla jednego sprawdzenia jest większa od 4, całą partię należy uznać za niezgodną z wymaganiami.</w:t>
      </w:r>
    </w:p>
    <w:p w:rsidR="00AE2AE6" w:rsidRPr="008C7781" w:rsidRDefault="00AE2AE6" w:rsidP="00AE2AE6">
      <w:pPr>
        <w:rPr>
          <w:rFonts w:asciiTheme="minorHAnsi" w:hAnsiTheme="minorHAnsi"/>
        </w:rPr>
      </w:pPr>
      <w:r w:rsidRPr="008C7781">
        <w:rPr>
          <w:rFonts w:asciiTheme="minorHAnsi" w:hAnsiTheme="minorHAnsi"/>
        </w:rPr>
        <w:tab/>
        <w:t>W badaniu pełnym, partię kostki poddaną sprawdzeniu cech podanych w tablicy 1, należy uznać za zgodną z wymaganiami normy, jeżeli wszystkie sprawdzenia dadzą wynik dodatni. Jeżeli chociaż jedno ze sprawdzeń da wynik ujemny, całą partię należy uznać za niezgodną z wymaganiami.</w:t>
      </w:r>
    </w:p>
    <w:p w:rsidR="00AE2AE6" w:rsidRPr="008C7781" w:rsidRDefault="00AE2AE6" w:rsidP="00AE2AE6">
      <w:pPr>
        <w:rPr>
          <w:rFonts w:asciiTheme="minorHAnsi" w:hAnsiTheme="minorHAnsi"/>
        </w:rPr>
      </w:pPr>
      <w:r w:rsidRPr="008C7781">
        <w:rPr>
          <w:rFonts w:asciiTheme="minorHAnsi" w:hAnsiTheme="minorHAnsi"/>
        </w:rPr>
        <w:tab/>
        <w:t>Badania pozostałych materiałów stosowanych do wykonania nawierzchni z kostek kamiennych, powinny obejmować wszystkie właściwości, które zostały określone w normach podanych dla odpowiednich  materiałów wg pkt od 2.3 do 2.7.</w:t>
      </w:r>
    </w:p>
    <w:p w:rsidR="00AE2AE6" w:rsidRPr="008C7781" w:rsidRDefault="00AE2AE6" w:rsidP="00AE2AE6">
      <w:pPr>
        <w:rPr>
          <w:rFonts w:asciiTheme="minorHAnsi" w:hAnsiTheme="minorHAnsi"/>
        </w:rPr>
      </w:pPr>
      <w:r w:rsidRPr="008C7781">
        <w:rPr>
          <w:rFonts w:asciiTheme="minorHAnsi" w:hAnsiTheme="minorHAnsi"/>
          <w:b/>
        </w:rPr>
        <w:t>6.3.</w:t>
      </w:r>
      <w:r w:rsidRPr="008C7781">
        <w:rPr>
          <w:rFonts w:asciiTheme="minorHAnsi" w:hAnsiTheme="minorHAnsi"/>
        </w:rPr>
        <w:t xml:space="preserve"> Badania w czasie robót</w:t>
      </w:r>
    </w:p>
    <w:p w:rsidR="00AE2AE6" w:rsidRPr="008C7781" w:rsidRDefault="00AE2AE6" w:rsidP="00AE2AE6">
      <w:pPr>
        <w:rPr>
          <w:rFonts w:asciiTheme="minorHAnsi" w:hAnsiTheme="minorHAnsi"/>
        </w:rPr>
      </w:pPr>
      <w:r w:rsidRPr="008C7781">
        <w:rPr>
          <w:rFonts w:asciiTheme="minorHAnsi" w:hAnsiTheme="minorHAnsi"/>
          <w:b/>
        </w:rPr>
        <w:t>6.3.1.</w:t>
      </w:r>
      <w:r w:rsidRPr="008C7781">
        <w:rPr>
          <w:rFonts w:asciiTheme="minorHAnsi" w:hAnsiTheme="minorHAnsi"/>
        </w:rPr>
        <w:t xml:space="preserve"> Sprawdzenie podsypki</w:t>
      </w:r>
    </w:p>
    <w:p w:rsidR="00AE2AE6" w:rsidRPr="008C7781" w:rsidRDefault="00AE2AE6" w:rsidP="00AE2AE6">
      <w:pPr>
        <w:rPr>
          <w:rFonts w:asciiTheme="minorHAnsi" w:hAnsiTheme="minorHAnsi"/>
        </w:rPr>
      </w:pPr>
      <w:r w:rsidRPr="008C7781">
        <w:rPr>
          <w:rFonts w:asciiTheme="minorHAnsi" w:hAnsiTheme="minorHAnsi"/>
        </w:rPr>
        <w:tab/>
        <w:t>Sprawdzenie podsypki polega na stwierdzeniu jej zgodności z dokumentacją projektową oraz z wymaganiami określonymi w p. 5.4.</w:t>
      </w:r>
    </w:p>
    <w:p w:rsidR="00AE2AE6" w:rsidRPr="008C7781" w:rsidRDefault="00AE2AE6" w:rsidP="00AE2AE6">
      <w:pPr>
        <w:rPr>
          <w:rFonts w:asciiTheme="minorHAnsi" w:hAnsiTheme="minorHAnsi"/>
        </w:rPr>
      </w:pPr>
      <w:r w:rsidRPr="008C7781">
        <w:rPr>
          <w:rFonts w:asciiTheme="minorHAnsi" w:hAnsiTheme="minorHAnsi"/>
          <w:b/>
        </w:rPr>
        <w:t>6.3.2.</w:t>
      </w:r>
      <w:r w:rsidRPr="008C7781">
        <w:rPr>
          <w:rFonts w:asciiTheme="minorHAnsi" w:hAnsiTheme="minorHAnsi"/>
        </w:rPr>
        <w:t xml:space="preserve"> Badanie prawidłowości układania kostki</w:t>
      </w:r>
    </w:p>
    <w:p w:rsidR="00AE2AE6" w:rsidRPr="008C7781" w:rsidRDefault="00AE2AE6" w:rsidP="00AE2AE6">
      <w:pPr>
        <w:rPr>
          <w:rFonts w:asciiTheme="minorHAnsi" w:hAnsiTheme="minorHAnsi"/>
        </w:rPr>
      </w:pPr>
      <w:r w:rsidRPr="008C7781">
        <w:rPr>
          <w:rFonts w:asciiTheme="minorHAnsi" w:hAnsiTheme="minorHAnsi"/>
        </w:rPr>
        <w:tab/>
        <w:t>Badanie prawidłowości układania kostki polega na:</w:t>
      </w:r>
    </w:p>
    <w:p w:rsidR="00AE2AE6" w:rsidRPr="008C7781" w:rsidRDefault="00AE2AE6" w:rsidP="00AE2AE6">
      <w:pPr>
        <w:rPr>
          <w:rFonts w:asciiTheme="minorHAnsi" w:hAnsiTheme="minorHAnsi"/>
        </w:rPr>
      </w:pPr>
      <w:r w:rsidRPr="008C7781">
        <w:rPr>
          <w:rFonts w:asciiTheme="minorHAnsi" w:hAnsiTheme="minorHAnsi"/>
        </w:rPr>
        <w:t>zmierzeniu szerokości spoin oraz powiązania spoin i sprawdzeniu zgodności z p. 5.5.6,</w:t>
      </w:r>
    </w:p>
    <w:p w:rsidR="00AE2AE6" w:rsidRPr="008C7781" w:rsidRDefault="00AE2AE6" w:rsidP="00AE2AE6">
      <w:pPr>
        <w:rPr>
          <w:rFonts w:asciiTheme="minorHAnsi" w:hAnsiTheme="minorHAnsi"/>
        </w:rPr>
      </w:pPr>
      <w:r w:rsidRPr="008C7781">
        <w:rPr>
          <w:rFonts w:asciiTheme="minorHAnsi" w:hAnsiTheme="minorHAnsi"/>
        </w:rPr>
        <w:t>zbadaniu rodzaju i gatunku użytej kostki, zgodnie z wymogami wg p. od 2.2.2 do 2.2.5,</w:t>
      </w:r>
    </w:p>
    <w:p w:rsidR="00AE2AE6" w:rsidRPr="008C7781" w:rsidRDefault="00AE2AE6" w:rsidP="00AE2AE6">
      <w:pPr>
        <w:rPr>
          <w:rFonts w:asciiTheme="minorHAnsi" w:hAnsiTheme="minorHAnsi"/>
        </w:rPr>
      </w:pPr>
      <w:r w:rsidRPr="008C7781">
        <w:rPr>
          <w:rFonts w:asciiTheme="minorHAnsi" w:hAnsiTheme="minorHAnsi"/>
        </w:rPr>
        <w:t>sprawdzeniu prawidłowości wykonania szczelin dylatacyjnych zgodnie z p. 5.5.3.</w:t>
      </w:r>
    </w:p>
    <w:p w:rsidR="00AE2AE6" w:rsidRPr="008C7781" w:rsidRDefault="00AE2AE6" w:rsidP="00AE2AE6">
      <w:pPr>
        <w:rPr>
          <w:rFonts w:asciiTheme="minorHAnsi" w:hAnsiTheme="minorHAnsi"/>
        </w:rPr>
      </w:pPr>
      <w:r w:rsidRPr="008C7781">
        <w:rPr>
          <w:rFonts w:asciiTheme="minorHAnsi" w:hAnsiTheme="minorHAnsi"/>
        </w:rPr>
        <w:tab/>
        <w:t>Sprawdzenie wiązania kostki wykonuje się wyrywkowo w kilku miejscach przez oględziny nawierzchni i określenie czy wiązanie odpowiada wymaganiom wg p. 5.5.</w:t>
      </w:r>
    </w:p>
    <w:p w:rsidR="00AE2AE6" w:rsidRPr="008C7781" w:rsidRDefault="00AE2AE6" w:rsidP="00AE2AE6">
      <w:pPr>
        <w:rPr>
          <w:rFonts w:asciiTheme="minorHAnsi" w:hAnsiTheme="minorHAnsi"/>
        </w:rPr>
      </w:pPr>
      <w:r w:rsidRPr="008C7781">
        <w:rPr>
          <w:rFonts w:asciiTheme="minorHAnsi" w:hAnsiTheme="minorHAnsi"/>
        </w:rPr>
        <w:tab/>
        <w:t>Ubicie kostki sprawdza się przez swobodne jednokrotne opuszczenie z wysokości 15 cm ubijaka o masie 25 kg na poszczególne kostki. Pod wpływem takiego uderzenia osiadanie kostek nie powinno być dostrzegane.</w:t>
      </w:r>
    </w:p>
    <w:p w:rsidR="00AE2AE6" w:rsidRPr="008C7781" w:rsidRDefault="00AE2AE6" w:rsidP="00AE2AE6">
      <w:pPr>
        <w:rPr>
          <w:rFonts w:asciiTheme="minorHAnsi" w:hAnsiTheme="minorHAnsi"/>
        </w:rPr>
      </w:pPr>
      <w:r w:rsidRPr="008C7781">
        <w:rPr>
          <w:rFonts w:asciiTheme="minorHAnsi" w:hAnsiTheme="minorHAnsi"/>
          <w:b/>
        </w:rPr>
        <w:t>6.3.3.</w:t>
      </w:r>
      <w:r w:rsidRPr="008C7781">
        <w:rPr>
          <w:rFonts w:asciiTheme="minorHAnsi" w:hAnsiTheme="minorHAnsi"/>
        </w:rPr>
        <w:t xml:space="preserve"> Sprawdzenie wypełnienia spoin</w:t>
      </w:r>
    </w:p>
    <w:p w:rsidR="00AE2AE6" w:rsidRPr="008C7781" w:rsidRDefault="00AE2AE6" w:rsidP="00AE2AE6">
      <w:pPr>
        <w:rPr>
          <w:rFonts w:asciiTheme="minorHAnsi" w:hAnsiTheme="minorHAnsi"/>
        </w:rPr>
      </w:pPr>
      <w:r w:rsidRPr="008C7781">
        <w:rPr>
          <w:rFonts w:asciiTheme="minorHAnsi" w:hAnsiTheme="minorHAnsi"/>
        </w:rPr>
        <w:tab/>
        <w:t>Badanie prawidłowości wypełnienia spoin polega na sprawdzeniu zgodności z wymaganiami zawartymi w p. 5.5.6.</w:t>
      </w:r>
    </w:p>
    <w:p w:rsidR="00AE2AE6" w:rsidRPr="008C7781" w:rsidRDefault="00AE2AE6" w:rsidP="00AE2AE6">
      <w:pPr>
        <w:rPr>
          <w:rFonts w:asciiTheme="minorHAnsi" w:hAnsiTheme="minorHAnsi"/>
        </w:rPr>
      </w:pPr>
      <w:r w:rsidRPr="008C7781">
        <w:rPr>
          <w:rFonts w:asciiTheme="minorHAnsi" w:hAnsiTheme="minorHAnsi"/>
        </w:rPr>
        <w:tab/>
        <w:t>Sprawdzenie wypełnienia spoin wykonuje się co najmniej w pięciu dowolnie obranych miejscach na każdym kilometrze przez wykruszenie zaprawy na długości około         10 cm i zmierzenie głębokości wypełnienia spoiny zaprawą, a przy zaprawie cementowo-piaskowej i masie zalewowej - również przez sprawdzenie przyczepności zaprawy lub masy zalewowej do kostki.</w:t>
      </w:r>
    </w:p>
    <w:p w:rsidR="00C3299C" w:rsidRDefault="00C3299C" w:rsidP="00AE2AE6">
      <w:pPr>
        <w:rPr>
          <w:rFonts w:asciiTheme="minorHAnsi" w:hAnsiTheme="minorHAnsi"/>
          <w:b/>
        </w:rPr>
      </w:pPr>
    </w:p>
    <w:p w:rsidR="00C3299C" w:rsidRDefault="00C3299C" w:rsidP="00AE2AE6">
      <w:pPr>
        <w:rPr>
          <w:rFonts w:asciiTheme="minorHAnsi" w:hAnsiTheme="minorHAnsi"/>
          <w:b/>
        </w:rPr>
      </w:pPr>
    </w:p>
    <w:p w:rsidR="00C3299C" w:rsidRDefault="00C3299C" w:rsidP="00AE2AE6">
      <w:pPr>
        <w:rPr>
          <w:rFonts w:asciiTheme="minorHAnsi" w:hAnsiTheme="minorHAnsi"/>
          <w:b/>
        </w:rPr>
      </w:pPr>
    </w:p>
    <w:p w:rsidR="00AE2AE6" w:rsidRPr="008C7781" w:rsidRDefault="00AE2AE6" w:rsidP="00AE2AE6">
      <w:pPr>
        <w:rPr>
          <w:rFonts w:asciiTheme="minorHAnsi" w:hAnsiTheme="minorHAnsi"/>
        </w:rPr>
      </w:pPr>
      <w:r w:rsidRPr="008C7781">
        <w:rPr>
          <w:rFonts w:asciiTheme="minorHAnsi" w:hAnsiTheme="minorHAnsi"/>
          <w:b/>
        </w:rPr>
        <w:lastRenderedPageBreak/>
        <w:t>6.4.</w:t>
      </w:r>
      <w:r w:rsidRPr="008C7781">
        <w:rPr>
          <w:rFonts w:asciiTheme="minorHAnsi" w:hAnsiTheme="minorHAnsi"/>
        </w:rPr>
        <w:t xml:space="preserve"> Sprawdzenie cech geometrycznych nawierzchni</w:t>
      </w:r>
    </w:p>
    <w:p w:rsidR="00AE2AE6" w:rsidRPr="008C7781" w:rsidRDefault="00AE2AE6" w:rsidP="00AE2AE6">
      <w:pPr>
        <w:rPr>
          <w:rFonts w:asciiTheme="minorHAnsi" w:hAnsiTheme="minorHAnsi"/>
        </w:rPr>
      </w:pPr>
      <w:r w:rsidRPr="008C7781">
        <w:rPr>
          <w:rFonts w:asciiTheme="minorHAnsi" w:hAnsiTheme="minorHAnsi"/>
          <w:b/>
        </w:rPr>
        <w:t>6.4.1.</w:t>
      </w:r>
      <w:r w:rsidRPr="008C7781">
        <w:rPr>
          <w:rFonts w:asciiTheme="minorHAnsi" w:hAnsiTheme="minorHAnsi"/>
        </w:rPr>
        <w:t xml:space="preserve"> Równość</w:t>
      </w:r>
    </w:p>
    <w:p w:rsidR="00AE2AE6" w:rsidRPr="008C7781" w:rsidRDefault="00AE2AE6" w:rsidP="00AE2AE6">
      <w:pPr>
        <w:rPr>
          <w:rFonts w:asciiTheme="minorHAnsi" w:hAnsiTheme="minorHAnsi"/>
        </w:rPr>
      </w:pPr>
      <w:r w:rsidRPr="008C7781">
        <w:rPr>
          <w:rFonts w:asciiTheme="minorHAnsi" w:hAnsiTheme="minorHAnsi"/>
        </w:rPr>
        <w:tab/>
        <w:t>Nierówności podłużne nawierzchni należy mierzyć 4-metrową łatą lub planografem, zgodnie z normą BN-68/8931-04 [18].</w:t>
      </w:r>
    </w:p>
    <w:p w:rsidR="00AE2AE6" w:rsidRPr="008C7781" w:rsidRDefault="00AE2AE6" w:rsidP="00AE2AE6">
      <w:pPr>
        <w:rPr>
          <w:rFonts w:asciiTheme="minorHAnsi" w:hAnsiTheme="minorHAnsi"/>
        </w:rPr>
      </w:pPr>
      <w:r w:rsidRPr="008C7781">
        <w:rPr>
          <w:rFonts w:asciiTheme="minorHAnsi" w:hAnsiTheme="minorHAnsi"/>
        </w:rPr>
        <w:tab/>
        <w:t>Nierówności podłużne nawierzchni nie powinny przekraczać 1,0 cm.</w:t>
      </w:r>
    </w:p>
    <w:p w:rsidR="00AE2AE6" w:rsidRPr="008C7781" w:rsidRDefault="00AE2AE6" w:rsidP="00AE2AE6">
      <w:pPr>
        <w:rPr>
          <w:rFonts w:asciiTheme="minorHAnsi" w:hAnsiTheme="minorHAnsi"/>
        </w:rPr>
      </w:pPr>
      <w:r w:rsidRPr="008C7781">
        <w:rPr>
          <w:rFonts w:asciiTheme="minorHAnsi" w:hAnsiTheme="minorHAnsi"/>
          <w:b/>
        </w:rPr>
        <w:t>6.4.2.</w:t>
      </w:r>
      <w:r w:rsidRPr="008C7781">
        <w:rPr>
          <w:rFonts w:asciiTheme="minorHAnsi" w:hAnsiTheme="minorHAnsi"/>
        </w:rPr>
        <w:t xml:space="preserve"> Spadki poprzeczne</w:t>
      </w:r>
    </w:p>
    <w:p w:rsidR="00AE2AE6" w:rsidRPr="008C7781" w:rsidRDefault="00AE2AE6" w:rsidP="00AE2AE6">
      <w:pPr>
        <w:rPr>
          <w:rFonts w:asciiTheme="minorHAnsi" w:hAnsiTheme="minorHAnsi"/>
        </w:rPr>
      </w:pPr>
      <w:r w:rsidRPr="008C7781">
        <w:rPr>
          <w:rFonts w:asciiTheme="minorHAnsi" w:hAnsiTheme="minorHAnsi"/>
        </w:rPr>
        <w:tab/>
        <w:t xml:space="preserve">Spadki poprzeczne nawierzchni powinny być zgodne z dokumentacją projektową z tolerancją </w:t>
      </w:r>
      <w:r w:rsidRPr="008C7781">
        <w:rPr>
          <w:rFonts w:asciiTheme="minorHAnsi" w:hAnsiTheme="minorHAnsi"/>
        </w:rPr>
        <w:sym w:font="Symbol" w:char="F0B1"/>
      </w:r>
      <w:r w:rsidRPr="008C7781">
        <w:rPr>
          <w:rFonts w:asciiTheme="minorHAnsi" w:hAnsiTheme="minorHAnsi"/>
        </w:rPr>
        <w:t xml:space="preserve"> 0,5%.</w:t>
      </w:r>
    </w:p>
    <w:p w:rsidR="00AE2AE6" w:rsidRPr="008C7781" w:rsidRDefault="00AE2AE6" w:rsidP="00AE2AE6">
      <w:pPr>
        <w:rPr>
          <w:rFonts w:asciiTheme="minorHAnsi" w:hAnsiTheme="minorHAnsi"/>
        </w:rPr>
      </w:pPr>
      <w:r w:rsidRPr="008C7781">
        <w:rPr>
          <w:rFonts w:asciiTheme="minorHAnsi" w:hAnsiTheme="minorHAnsi"/>
          <w:b/>
        </w:rPr>
        <w:t>6.4.3.</w:t>
      </w:r>
      <w:r w:rsidRPr="008C7781">
        <w:rPr>
          <w:rFonts w:asciiTheme="minorHAnsi" w:hAnsiTheme="minorHAnsi"/>
        </w:rPr>
        <w:t xml:space="preserve"> Rzędne wysokościowe</w:t>
      </w:r>
    </w:p>
    <w:p w:rsidR="00AE2AE6" w:rsidRPr="008C7781" w:rsidRDefault="00AE2AE6" w:rsidP="00AE2AE6">
      <w:pPr>
        <w:rPr>
          <w:rFonts w:asciiTheme="minorHAnsi" w:hAnsiTheme="minorHAnsi"/>
        </w:rPr>
      </w:pPr>
      <w:r w:rsidRPr="008C7781">
        <w:rPr>
          <w:rFonts w:asciiTheme="minorHAnsi" w:hAnsiTheme="minorHAnsi"/>
        </w:rPr>
        <w:tab/>
        <w:t>Różnice pomiędzy rzędnymi wykonanej nawierzchni i rzędnymi projektowanymi nie powinny przekraczać +1 cm i -2 cm.</w:t>
      </w:r>
    </w:p>
    <w:p w:rsidR="00AE2AE6" w:rsidRPr="008C7781" w:rsidRDefault="00AE2AE6" w:rsidP="00AE2AE6">
      <w:pPr>
        <w:rPr>
          <w:rFonts w:asciiTheme="minorHAnsi" w:hAnsiTheme="minorHAnsi"/>
        </w:rPr>
      </w:pPr>
      <w:r w:rsidRPr="008C7781">
        <w:rPr>
          <w:rFonts w:asciiTheme="minorHAnsi" w:hAnsiTheme="minorHAnsi"/>
          <w:b/>
        </w:rPr>
        <w:t>6.4.4.</w:t>
      </w:r>
      <w:r w:rsidRPr="008C7781">
        <w:rPr>
          <w:rFonts w:asciiTheme="minorHAnsi" w:hAnsiTheme="minorHAnsi"/>
        </w:rPr>
        <w:t xml:space="preserve"> Ukształtowanie osi</w:t>
      </w:r>
    </w:p>
    <w:p w:rsidR="00AE2AE6" w:rsidRPr="008C7781" w:rsidRDefault="00AE2AE6" w:rsidP="00AE2AE6">
      <w:pPr>
        <w:rPr>
          <w:rFonts w:asciiTheme="minorHAnsi" w:hAnsiTheme="minorHAnsi"/>
        </w:rPr>
      </w:pPr>
      <w:r w:rsidRPr="008C7781">
        <w:rPr>
          <w:rFonts w:asciiTheme="minorHAnsi" w:hAnsiTheme="minorHAnsi"/>
        </w:rPr>
        <w:tab/>
        <w:t xml:space="preserve">Oś nawierzchni w planie nie może być przesunięta w stosunku do osi projektowanej o więcej niż </w:t>
      </w:r>
      <w:r w:rsidRPr="008C7781">
        <w:rPr>
          <w:rFonts w:asciiTheme="minorHAnsi" w:hAnsiTheme="minorHAnsi"/>
        </w:rPr>
        <w:sym w:font="Symbol" w:char="F0B1"/>
      </w:r>
      <w:r w:rsidRPr="008C7781">
        <w:rPr>
          <w:rFonts w:asciiTheme="minorHAnsi" w:hAnsiTheme="minorHAnsi"/>
        </w:rPr>
        <w:t xml:space="preserve"> 5 cm.</w:t>
      </w:r>
    </w:p>
    <w:p w:rsidR="00AE2AE6" w:rsidRPr="008C7781" w:rsidRDefault="00AE2AE6" w:rsidP="00AE2AE6">
      <w:pPr>
        <w:rPr>
          <w:rFonts w:asciiTheme="minorHAnsi" w:hAnsiTheme="minorHAnsi"/>
        </w:rPr>
      </w:pPr>
      <w:r w:rsidRPr="008C7781">
        <w:rPr>
          <w:rFonts w:asciiTheme="minorHAnsi" w:hAnsiTheme="minorHAnsi"/>
          <w:b/>
        </w:rPr>
        <w:t>6.4.5.</w:t>
      </w:r>
      <w:r w:rsidRPr="008C7781">
        <w:rPr>
          <w:rFonts w:asciiTheme="minorHAnsi" w:hAnsiTheme="minorHAnsi"/>
        </w:rPr>
        <w:t xml:space="preserve"> Szerokość nawierzchni</w:t>
      </w:r>
    </w:p>
    <w:p w:rsidR="00AE2AE6" w:rsidRPr="008C7781" w:rsidRDefault="00AE2AE6" w:rsidP="00AE2AE6">
      <w:pPr>
        <w:rPr>
          <w:rFonts w:asciiTheme="minorHAnsi" w:hAnsiTheme="minorHAnsi"/>
        </w:rPr>
      </w:pPr>
      <w:r w:rsidRPr="008C7781">
        <w:rPr>
          <w:rFonts w:asciiTheme="minorHAnsi" w:hAnsiTheme="minorHAnsi"/>
        </w:rPr>
        <w:tab/>
        <w:t xml:space="preserve">Szerokość nawierzchni nie może różnić się od szerokości projektowanej o więcej niż </w:t>
      </w:r>
      <w:r w:rsidRPr="008C7781">
        <w:rPr>
          <w:rFonts w:asciiTheme="minorHAnsi" w:hAnsiTheme="minorHAnsi"/>
        </w:rPr>
        <w:sym w:font="Symbol" w:char="F0B1"/>
      </w:r>
      <w:r w:rsidRPr="008C7781">
        <w:rPr>
          <w:rFonts w:asciiTheme="minorHAnsi" w:hAnsiTheme="minorHAnsi"/>
        </w:rPr>
        <w:t xml:space="preserve"> 5 cm.</w:t>
      </w:r>
    </w:p>
    <w:p w:rsidR="00AE2AE6" w:rsidRPr="008C7781" w:rsidRDefault="00AE2AE6" w:rsidP="00AE2AE6">
      <w:pPr>
        <w:rPr>
          <w:rFonts w:asciiTheme="minorHAnsi" w:hAnsiTheme="minorHAnsi"/>
        </w:rPr>
      </w:pPr>
      <w:r w:rsidRPr="008C7781">
        <w:rPr>
          <w:rFonts w:asciiTheme="minorHAnsi" w:hAnsiTheme="minorHAnsi"/>
          <w:b/>
        </w:rPr>
        <w:t>6.4.6.</w:t>
      </w:r>
      <w:r w:rsidRPr="008C7781">
        <w:rPr>
          <w:rFonts w:asciiTheme="minorHAnsi" w:hAnsiTheme="minorHAnsi"/>
        </w:rPr>
        <w:t xml:space="preserve"> Grubość podsypki</w:t>
      </w:r>
    </w:p>
    <w:p w:rsidR="00AE2AE6" w:rsidRPr="008C7781" w:rsidRDefault="00AE2AE6" w:rsidP="00AE2AE6">
      <w:pPr>
        <w:rPr>
          <w:rFonts w:asciiTheme="minorHAnsi" w:hAnsiTheme="minorHAnsi"/>
        </w:rPr>
      </w:pPr>
      <w:r w:rsidRPr="008C7781">
        <w:rPr>
          <w:rFonts w:asciiTheme="minorHAnsi" w:hAnsiTheme="minorHAnsi"/>
        </w:rPr>
        <w:tab/>
        <w:t xml:space="preserve">Dopuszczalne odchyłki od projektowanej grubości podsypki nie powinny przekraczać </w:t>
      </w:r>
      <w:r w:rsidRPr="008C7781">
        <w:rPr>
          <w:rFonts w:asciiTheme="minorHAnsi" w:hAnsiTheme="minorHAnsi"/>
        </w:rPr>
        <w:sym w:font="Symbol" w:char="F0B1"/>
      </w:r>
      <w:r w:rsidRPr="008C7781">
        <w:rPr>
          <w:rFonts w:asciiTheme="minorHAnsi" w:hAnsiTheme="minorHAnsi"/>
        </w:rPr>
        <w:t xml:space="preserve"> 1,0 cm.</w:t>
      </w:r>
    </w:p>
    <w:p w:rsidR="00AE2AE6" w:rsidRPr="008C7781" w:rsidRDefault="00AE2AE6" w:rsidP="00AE2AE6">
      <w:pPr>
        <w:rPr>
          <w:rFonts w:asciiTheme="minorHAnsi" w:hAnsiTheme="minorHAnsi"/>
        </w:rPr>
      </w:pPr>
      <w:r w:rsidRPr="008C7781">
        <w:rPr>
          <w:rFonts w:asciiTheme="minorHAnsi" w:hAnsiTheme="minorHAnsi"/>
          <w:b/>
        </w:rPr>
        <w:t>6.4.7.</w:t>
      </w:r>
      <w:r w:rsidRPr="008C7781">
        <w:rPr>
          <w:rFonts w:asciiTheme="minorHAnsi" w:hAnsiTheme="minorHAnsi"/>
        </w:rPr>
        <w:t xml:space="preserve"> Częstotliwość oraz zakres badań i pomiarów</w:t>
      </w:r>
    </w:p>
    <w:p w:rsidR="00AE2AE6" w:rsidRPr="008C7781" w:rsidRDefault="00AE2AE6" w:rsidP="00AE2AE6">
      <w:pPr>
        <w:rPr>
          <w:rFonts w:asciiTheme="minorHAnsi" w:hAnsiTheme="minorHAnsi"/>
        </w:rPr>
      </w:pPr>
      <w:r w:rsidRPr="008C7781">
        <w:rPr>
          <w:rFonts w:asciiTheme="minorHAnsi" w:hAnsiTheme="minorHAnsi"/>
        </w:rPr>
        <w:tab/>
        <w:t>Częstotliwość oraz zakres badań i pomiarów wykonanej nawierzchni z kostek kamiennych przedstawiono w tablicy 5.</w:t>
      </w:r>
    </w:p>
    <w:p w:rsidR="00AE2AE6" w:rsidRPr="008C7781" w:rsidRDefault="00AE2AE6" w:rsidP="00AE2AE6">
      <w:pPr>
        <w:rPr>
          <w:rFonts w:asciiTheme="minorHAnsi" w:hAnsiTheme="minorHAnsi"/>
        </w:rPr>
      </w:pPr>
    </w:p>
    <w:p w:rsidR="00AE2AE6" w:rsidRPr="008C7781" w:rsidRDefault="00AE2AE6" w:rsidP="00C3299C">
      <w:pPr>
        <w:ind w:left="709"/>
        <w:rPr>
          <w:rFonts w:asciiTheme="minorHAnsi" w:hAnsiTheme="minorHAnsi"/>
        </w:rPr>
      </w:pPr>
      <w:r w:rsidRPr="008C7781">
        <w:rPr>
          <w:rFonts w:asciiTheme="minorHAnsi" w:hAnsiTheme="minorHAnsi"/>
          <w:b/>
        </w:rPr>
        <w:t>Tablica 5.</w:t>
      </w:r>
      <w:r w:rsidRPr="008C7781">
        <w:rPr>
          <w:rFonts w:asciiTheme="minorHAnsi" w:hAnsiTheme="minorHAnsi"/>
        </w:rPr>
        <w:t xml:space="preserve"> Częstotliwość i zakres badań cech geometrycznych nawierzchni</w:t>
      </w:r>
    </w:p>
    <w:tbl>
      <w:tblPr>
        <w:tblW w:w="0" w:type="auto"/>
        <w:tblInd w:w="779" w:type="dxa"/>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ayout w:type="fixed"/>
        <w:tblCellMar>
          <w:left w:w="70" w:type="dxa"/>
          <w:right w:w="70" w:type="dxa"/>
        </w:tblCellMar>
        <w:tblLook w:val="0000"/>
      </w:tblPr>
      <w:tblGrid>
        <w:gridCol w:w="496"/>
        <w:gridCol w:w="2551"/>
        <w:gridCol w:w="4463"/>
      </w:tblGrid>
      <w:tr w:rsidR="00AE2AE6" w:rsidRPr="008C7781" w:rsidTr="00C3299C">
        <w:tc>
          <w:tcPr>
            <w:tcW w:w="496" w:type="dxa"/>
            <w:tcBorders>
              <w:bottom w:val="double" w:sz="6" w:space="0" w:color="auto"/>
            </w:tcBorders>
          </w:tcPr>
          <w:p w:rsidR="00AE2AE6" w:rsidRPr="008C7781" w:rsidRDefault="00AE2AE6" w:rsidP="00737B18">
            <w:pPr>
              <w:spacing w:before="120"/>
              <w:jc w:val="center"/>
              <w:rPr>
                <w:rFonts w:asciiTheme="minorHAnsi" w:hAnsiTheme="minorHAnsi"/>
              </w:rPr>
            </w:pPr>
            <w:r w:rsidRPr="008C7781">
              <w:rPr>
                <w:rFonts w:asciiTheme="minorHAnsi" w:hAnsiTheme="minorHAnsi"/>
              </w:rPr>
              <w:t>Lp.</w:t>
            </w:r>
          </w:p>
        </w:tc>
        <w:tc>
          <w:tcPr>
            <w:tcW w:w="2551" w:type="dxa"/>
            <w:tcBorders>
              <w:bottom w:val="double" w:sz="6" w:space="0" w:color="auto"/>
            </w:tcBorders>
          </w:tcPr>
          <w:p w:rsidR="00AE2AE6" w:rsidRPr="008C7781" w:rsidRDefault="00AE2AE6" w:rsidP="00737B18">
            <w:pPr>
              <w:spacing w:before="60"/>
              <w:jc w:val="center"/>
              <w:rPr>
                <w:rFonts w:asciiTheme="minorHAnsi" w:hAnsiTheme="minorHAnsi"/>
              </w:rPr>
            </w:pPr>
            <w:r w:rsidRPr="008C7781">
              <w:rPr>
                <w:rFonts w:asciiTheme="minorHAnsi" w:hAnsiTheme="minorHAnsi"/>
              </w:rPr>
              <w:t>Wyszczególnienie badań            i pomiarów</w:t>
            </w:r>
          </w:p>
        </w:tc>
        <w:tc>
          <w:tcPr>
            <w:tcW w:w="4463" w:type="dxa"/>
            <w:tcBorders>
              <w:bottom w:val="double" w:sz="6" w:space="0" w:color="auto"/>
            </w:tcBorders>
          </w:tcPr>
          <w:p w:rsidR="00AE2AE6" w:rsidRPr="008C7781" w:rsidRDefault="00AE2AE6" w:rsidP="00737B18">
            <w:pPr>
              <w:spacing w:before="60"/>
              <w:jc w:val="center"/>
              <w:rPr>
                <w:rFonts w:asciiTheme="minorHAnsi" w:hAnsiTheme="minorHAnsi"/>
              </w:rPr>
            </w:pPr>
            <w:r w:rsidRPr="008C7781">
              <w:rPr>
                <w:rFonts w:asciiTheme="minorHAnsi" w:hAnsiTheme="minorHAnsi"/>
              </w:rPr>
              <w:t>Minimalna częstotliwość</w:t>
            </w:r>
          </w:p>
          <w:p w:rsidR="00AE2AE6" w:rsidRPr="008C7781" w:rsidRDefault="00AE2AE6" w:rsidP="00737B18">
            <w:pPr>
              <w:spacing w:after="60"/>
              <w:jc w:val="center"/>
              <w:rPr>
                <w:rFonts w:asciiTheme="minorHAnsi" w:hAnsiTheme="minorHAnsi"/>
              </w:rPr>
            </w:pPr>
            <w:r w:rsidRPr="008C7781">
              <w:rPr>
                <w:rFonts w:asciiTheme="minorHAnsi" w:hAnsiTheme="minorHAnsi"/>
              </w:rPr>
              <w:t>badań i pomiarów</w:t>
            </w:r>
          </w:p>
        </w:tc>
      </w:tr>
      <w:tr w:rsidR="00AE2AE6" w:rsidRPr="008C7781" w:rsidTr="00C3299C">
        <w:tc>
          <w:tcPr>
            <w:tcW w:w="496" w:type="dxa"/>
            <w:tcBorders>
              <w:top w:val="nil"/>
            </w:tcBorders>
          </w:tcPr>
          <w:p w:rsidR="00AE2AE6" w:rsidRPr="008C7781" w:rsidRDefault="00AE2AE6" w:rsidP="00737B18">
            <w:pPr>
              <w:spacing w:before="120"/>
              <w:jc w:val="center"/>
              <w:rPr>
                <w:rFonts w:asciiTheme="minorHAnsi" w:hAnsiTheme="minorHAnsi"/>
              </w:rPr>
            </w:pPr>
            <w:r w:rsidRPr="008C7781">
              <w:rPr>
                <w:rFonts w:asciiTheme="minorHAnsi" w:hAnsiTheme="minorHAnsi"/>
              </w:rPr>
              <w:t>1</w:t>
            </w:r>
          </w:p>
        </w:tc>
        <w:tc>
          <w:tcPr>
            <w:tcW w:w="2551" w:type="dxa"/>
            <w:tcBorders>
              <w:top w:val="nil"/>
            </w:tcBorders>
          </w:tcPr>
          <w:p w:rsidR="00AE2AE6" w:rsidRPr="008C7781" w:rsidRDefault="00AE2AE6" w:rsidP="00737B18">
            <w:pPr>
              <w:spacing w:before="120"/>
              <w:rPr>
                <w:rFonts w:asciiTheme="minorHAnsi" w:hAnsiTheme="minorHAnsi"/>
              </w:rPr>
            </w:pPr>
            <w:r w:rsidRPr="008C7781">
              <w:rPr>
                <w:rFonts w:asciiTheme="minorHAnsi" w:hAnsiTheme="minorHAnsi"/>
              </w:rPr>
              <w:t>Spadki poprzeczne</w:t>
            </w:r>
          </w:p>
        </w:tc>
        <w:tc>
          <w:tcPr>
            <w:tcW w:w="4463" w:type="dxa"/>
            <w:tcBorders>
              <w:top w:val="nil"/>
            </w:tcBorders>
          </w:tcPr>
          <w:p w:rsidR="00AE2AE6" w:rsidRPr="008C7781" w:rsidRDefault="00AE2AE6" w:rsidP="00737B18">
            <w:pPr>
              <w:rPr>
                <w:rFonts w:asciiTheme="minorHAnsi" w:hAnsiTheme="minorHAnsi"/>
              </w:rPr>
            </w:pPr>
            <w:r w:rsidRPr="008C7781">
              <w:rPr>
                <w:rFonts w:asciiTheme="minorHAnsi" w:hAnsiTheme="minorHAnsi"/>
              </w:rPr>
              <w:t>10 razy na 1 km i w charakterystycznych punktach niwelety</w:t>
            </w:r>
          </w:p>
        </w:tc>
      </w:tr>
      <w:tr w:rsidR="00AE2AE6" w:rsidRPr="008C7781" w:rsidTr="00C3299C">
        <w:tc>
          <w:tcPr>
            <w:tcW w:w="496" w:type="dxa"/>
          </w:tcPr>
          <w:p w:rsidR="00AE2AE6" w:rsidRPr="008C7781" w:rsidRDefault="00AE2AE6" w:rsidP="00737B18">
            <w:pPr>
              <w:spacing w:before="120"/>
              <w:jc w:val="center"/>
              <w:rPr>
                <w:rFonts w:asciiTheme="minorHAnsi" w:hAnsiTheme="minorHAnsi"/>
              </w:rPr>
            </w:pPr>
            <w:r w:rsidRPr="008C7781">
              <w:rPr>
                <w:rFonts w:asciiTheme="minorHAnsi" w:hAnsiTheme="minorHAnsi"/>
              </w:rPr>
              <w:t>2</w:t>
            </w:r>
          </w:p>
        </w:tc>
        <w:tc>
          <w:tcPr>
            <w:tcW w:w="2551" w:type="dxa"/>
          </w:tcPr>
          <w:p w:rsidR="00AE2AE6" w:rsidRPr="008C7781" w:rsidRDefault="00AE2AE6" w:rsidP="00737B18">
            <w:pPr>
              <w:spacing w:before="120"/>
              <w:rPr>
                <w:rFonts w:asciiTheme="minorHAnsi" w:hAnsiTheme="minorHAnsi"/>
              </w:rPr>
            </w:pPr>
            <w:r w:rsidRPr="008C7781">
              <w:rPr>
                <w:rFonts w:asciiTheme="minorHAnsi" w:hAnsiTheme="minorHAnsi"/>
              </w:rPr>
              <w:t>Rzędne wysokościowe</w:t>
            </w:r>
          </w:p>
        </w:tc>
        <w:tc>
          <w:tcPr>
            <w:tcW w:w="4463" w:type="dxa"/>
          </w:tcPr>
          <w:p w:rsidR="00AE2AE6" w:rsidRPr="008C7781" w:rsidRDefault="00AE2AE6" w:rsidP="00737B18">
            <w:pPr>
              <w:rPr>
                <w:rFonts w:asciiTheme="minorHAnsi" w:hAnsiTheme="minorHAnsi"/>
              </w:rPr>
            </w:pPr>
            <w:r w:rsidRPr="008C7781">
              <w:rPr>
                <w:rFonts w:asciiTheme="minorHAnsi" w:hAnsiTheme="minorHAnsi"/>
              </w:rPr>
              <w:t>10 razy na 1 km i w charakterystycznych punktach niwelety</w:t>
            </w:r>
          </w:p>
        </w:tc>
      </w:tr>
      <w:tr w:rsidR="00AE2AE6" w:rsidRPr="008C7781" w:rsidTr="00C3299C">
        <w:tc>
          <w:tcPr>
            <w:tcW w:w="496" w:type="dxa"/>
          </w:tcPr>
          <w:p w:rsidR="00AE2AE6" w:rsidRPr="008C7781" w:rsidRDefault="00AE2AE6" w:rsidP="00737B18">
            <w:pPr>
              <w:spacing w:before="120"/>
              <w:jc w:val="center"/>
              <w:rPr>
                <w:rFonts w:asciiTheme="minorHAnsi" w:hAnsiTheme="minorHAnsi"/>
              </w:rPr>
            </w:pPr>
            <w:r w:rsidRPr="008C7781">
              <w:rPr>
                <w:rFonts w:asciiTheme="minorHAnsi" w:hAnsiTheme="minorHAnsi"/>
              </w:rPr>
              <w:t>3</w:t>
            </w:r>
          </w:p>
        </w:tc>
        <w:tc>
          <w:tcPr>
            <w:tcW w:w="2551" w:type="dxa"/>
          </w:tcPr>
          <w:p w:rsidR="00AE2AE6" w:rsidRPr="008C7781" w:rsidRDefault="00AE2AE6" w:rsidP="00737B18">
            <w:pPr>
              <w:spacing w:before="120"/>
              <w:rPr>
                <w:rFonts w:asciiTheme="minorHAnsi" w:hAnsiTheme="minorHAnsi"/>
              </w:rPr>
            </w:pPr>
            <w:r w:rsidRPr="008C7781">
              <w:rPr>
                <w:rFonts w:asciiTheme="minorHAnsi" w:hAnsiTheme="minorHAnsi"/>
              </w:rPr>
              <w:t>Ukształtowanie osi w planie</w:t>
            </w:r>
          </w:p>
        </w:tc>
        <w:tc>
          <w:tcPr>
            <w:tcW w:w="4463" w:type="dxa"/>
          </w:tcPr>
          <w:p w:rsidR="00AE2AE6" w:rsidRPr="008C7781" w:rsidRDefault="00AE2AE6" w:rsidP="00737B18">
            <w:pPr>
              <w:rPr>
                <w:rFonts w:asciiTheme="minorHAnsi" w:hAnsiTheme="minorHAnsi"/>
              </w:rPr>
            </w:pPr>
            <w:r w:rsidRPr="008C7781">
              <w:rPr>
                <w:rFonts w:asciiTheme="minorHAnsi" w:hAnsiTheme="minorHAnsi"/>
              </w:rPr>
              <w:t>10 razy na 1 km i w charakterystycznych punktach niwelety</w:t>
            </w:r>
          </w:p>
        </w:tc>
      </w:tr>
      <w:tr w:rsidR="00AE2AE6" w:rsidRPr="008C7781" w:rsidTr="00C3299C">
        <w:tc>
          <w:tcPr>
            <w:tcW w:w="496" w:type="dxa"/>
          </w:tcPr>
          <w:p w:rsidR="00AE2AE6" w:rsidRPr="008C7781" w:rsidRDefault="00AE2AE6" w:rsidP="00737B18">
            <w:pPr>
              <w:spacing w:before="60" w:after="60"/>
              <w:jc w:val="center"/>
              <w:rPr>
                <w:rFonts w:asciiTheme="minorHAnsi" w:hAnsiTheme="minorHAnsi"/>
              </w:rPr>
            </w:pPr>
            <w:r w:rsidRPr="008C7781">
              <w:rPr>
                <w:rFonts w:asciiTheme="minorHAnsi" w:hAnsiTheme="minorHAnsi"/>
              </w:rPr>
              <w:t>4</w:t>
            </w:r>
          </w:p>
        </w:tc>
        <w:tc>
          <w:tcPr>
            <w:tcW w:w="2551" w:type="dxa"/>
          </w:tcPr>
          <w:p w:rsidR="00AE2AE6" w:rsidRPr="008C7781" w:rsidRDefault="00AE2AE6" w:rsidP="00737B18">
            <w:pPr>
              <w:spacing w:before="60" w:after="60"/>
              <w:rPr>
                <w:rFonts w:asciiTheme="minorHAnsi" w:hAnsiTheme="minorHAnsi"/>
              </w:rPr>
            </w:pPr>
            <w:r w:rsidRPr="008C7781">
              <w:rPr>
                <w:rFonts w:asciiTheme="minorHAnsi" w:hAnsiTheme="minorHAnsi"/>
              </w:rPr>
              <w:t>Szerokość nawierzchni</w:t>
            </w:r>
          </w:p>
        </w:tc>
        <w:tc>
          <w:tcPr>
            <w:tcW w:w="4463" w:type="dxa"/>
          </w:tcPr>
          <w:p w:rsidR="00AE2AE6" w:rsidRPr="008C7781" w:rsidRDefault="00AE2AE6" w:rsidP="00737B18">
            <w:pPr>
              <w:spacing w:before="60" w:after="60"/>
              <w:rPr>
                <w:rFonts w:asciiTheme="minorHAnsi" w:hAnsiTheme="minorHAnsi"/>
              </w:rPr>
            </w:pPr>
            <w:r w:rsidRPr="008C7781">
              <w:rPr>
                <w:rFonts w:asciiTheme="minorHAnsi" w:hAnsiTheme="minorHAnsi"/>
              </w:rPr>
              <w:t>10 razy na 1 km</w:t>
            </w:r>
          </w:p>
        </w:tc>
      </w:tr>
      <w:tr w:rsidR="00AE2AE6" w:rsidRPr="008C7781" w:rsidTr="00C3299C">
        <w:tc>
          <w:tcPr>
            <w:tcW w:w="496" w:type="dxa"/>
          </w:tcPr>
          <w:p w:rsidR="00AE2AE6" w:rsidRPr="008C7781" w:rsidRDefault="00AE2AE6" w:rsidP="00737B18">
            <w:pPr>
              <w:spacing w:before="60" w:after="60"/>
              <w:jc w:val="center"/>
              <w:rPr>
                <w:rFonts w:asciiTheme="minorHAnsi" w:hAnsiTheme="minorHAnsi"/>
              </w:rPr>
            </w:pPr>
            <w:r w:rsidRPr="008C7781">
              <w:rPr>
                <w:rFonts w:asciiTheme="minorHAnsi" w:hAnsiTheme="minorHAnsi"/>
              </w:rPr>
              <w:t>5</w:t>
            </w:r>
          </w:p>
        </w:tc>
        <w:tc>
          <w:tcPr>
            <w:tcW w:w="2551" w:type="dxa"/>
          </w:tcPr>
          <w:p w:rsidR="00AE2AE6" w:rsidRPr="008C7781" w:rsidRDefault="00AE2AE6" w:rsidP="00737B18">
            <w:pPr>
              <w:spacing w:before="60" w:after="60"/>
              <w:rPr>
                <w:rFonts w:asciiTheme="minorHAnsi" w:hAnsiTheme="minorHAnsi"/>
              </w:rPr>
            </w:pPr>
            <w:r w:rsidRPr="008C7781">
              <w:rPr>
                <w:rFonts w:asciiTheme="minorHAnsi" w:hAnsiTheme="minorHAnsi"/>
              </w:rPr>
              <w:t>Grubość podsypki</w:t>
            </w:r>
          </w:p>
        </w:tc>
        <w:tc>
          <w:tcPr>
            <w:tcW w:w="4463" w:type="dxa"/>
          </w:tcPr>
          <w:p w:rsidR="00AE2AE6" w:rsidRPr="008C7781" w:rsidRDefault="00AE2AE6" w:rsidP="00737B18">
            <w:pPr>
              <w:spacing w:before="60" w:after="60"/>
              <w:rPr>
                <w:rFonts w:asciiTheme="minorHAnsi" w:hAnsiTheme="minorHAnsi"/>
              </w:rPr>
            </w:pPr>
            <w:r w:rsidRPr="008C7781">
              <w:rPr>
                <w:rFonts w:asciiTheme="minorHAnsi" w:hAnsiTheme="minorHAnsi"/>
              </w:rPr>
              <w:t>10 razy na 1 km</w:t>
            </w:r>
          </w:p>
        </w:tc>
      </w:tr>
    </w:tbl>
    <w:p w:rsidR="00AE2AE6" w:rsidRPr="008C7781" w:rsidRDefault="00AE2AE6" w:rsidP="00AE2AE6">
      <w:pPr>
        <w:rPr>
          <w:rFonts w:asciiTheme="minorHAnsi" w:hAnsiTheme="minorHAnsi"/>
        </w:rPr>
      </w:pPr>
    </w:p>
    <w:p w:rsidR="00AE2AE6" w:rsidRPr="008C7781" w:rsidRDefault="00AE2AE6" w:rsidP="00AE2AE6">
      <w:pPr>
        <w:rPr>
          <w:rFonts w:asciiTheme="minorHAnsi" w:hAnsiTheme="minorHAnsi"/>
          <w:b/>
        </w:rPr>
      </w:pPr>
      <w:bookmarkStart w:id="1474" w:name="_Toc422021648"/>
      <w:bookmarkStart w:id="1475" w:name="_Toc422115852"/>
      <w:r w:rsidRPr="008C7781">
        <w:rPr>
          <w:rFonts w:asciiTheme="minorHAnsi" w:hAnsiTheme="minorHAnsi"/>
          <w:b/>
        </w:rPr>
        <w:t xml:space="preserve">7. </w:t>
      </w:r>
      <w:bookmarkEnd w:id="1474"/>
      <w:bookmarkEnd w:id="1475"/>
      <w:r w:rsidRPr="008C7781">
        <w:rPr>
          <w:rFonts w:asciiTheme="minorHAnsi" w:hAnsiTheme="minorHAnsi"/>
          <w:b/>
        </w:rPr>
        <w:t>OBMIAR ROBÓT</w:t>
      </w:r>
    </w:p>
    <w:p w:rsidR="00AE2AE6" w:rsidRPr="008C7781" w:rsidRDefault="00AE2AE6" w:rsidP="00AE2AE6">
      <w:pPr>
        <w:rPr>
          <w:rFonts w:asciiTheme="minorHAnsi" w:hAnsiTheme="minorHAnsi"/>
        </w:rPr>
      </w:pPr>
      <w:r w:rsidRPr="008C7781">
        <w:rPr>
          <w:rFonts w:asciiTheme="minorHAnsi" w:hAnsiTheme="minorHAnsi"/>
          <w:b/>
        </w:rPr>
        <w:t>7.1.</w:t>
      </w:r>
      <w:r w:rsidRPr="008C7781">
        <w:rPr>
          <w:rFonts w:asciiTheme="minorHAnsi" w:hAnsiTheme="minorHAnsi"/>
        </w:rPr>
        <w:t xml:space="preserve"> Ogólne zasady obmiaru robót</w:t>
      </w:r>
    </w:p>
    <w:p w:rsidR="00AE2AE6" w:rsidRPr="008C7781" w:rsidRDefault="00AE2AE6" w:rsidP="00AE2AE6">
      <w:pPr>
        <w:rPr>
          <w:rFonts w:asciiTheme="minorHAnsi" w:hAnsiTheme="minorHAnsi"/>
        </w:rPr>
      </w:pPr>
      <w:r w:rsidRPr="008C7781">
        <w:rPr>
          <w:rFonts w:asciiTheme="minorHAnsi" w:hAnsiTheme="minorHAnsi"/>
        </w:rPr>
        <w:tab/>
        <w:t>Ogólne zasady obmiaru robót podano w ST D-M-00.00.00 „Wymagania ogólne” pkt 7.</w:t>
      </w:r>
    </w:p>
    <w:p w:rsidR="00AE2AE6" w:rsidRPr="008C7781" w:rsidRDefault="00AE2AE6" w:rsidP="00AE2AE6">
      <w:pPr>
        <w:rPr>
          <w:rFonts w:asciiTheme="minorHAnsi" w:hAnsiTheme="minorHAnsi"/>
        </w:rPr>
      </w:pPr>
      <w:r w:rsidRPr="008C7781">
        <w:rPr>
          <w:rFonts w:asciiTheme="minorHAnsi" w:hAnsiTheme="minorHAnsi"/>
          <w:b/>
        </w:rPr>
        <w:t>7.2.</w:t>
      </w:r>
      <w:r w:rsidRPr="008C7781">
        <w:rPr>
          <w:rFonts w:asciiTheme="minorHAnsi" w:hAnsiTheme="minorHAnsi"/>
        </w:rPr>
        <w:t xml:space="preserve"> Jednostka obmiarowa</w:t>
      </w:r>
    </w:p>
    <w:p w:rsidR="00AE2AE6" w:rsidRPr="008C7781" w:rsidRDefault="00AE2AE6" w:rsidP="00AE2AE6">
      <w:pPr>
        <w:rPr>
          <w:rFonts w:asciiTheme="minorHAnsi" w:hAnsiTheme="minorHAnsi"/>
        </w:rPr>
      </w:pPr>
      <w:r w:rsidRPr="008C7781">
        <w:rPr>
          <w:rFonts w:asciiTheme="minorHAnsi" w:hAnsiTheme="minorHAnsi"/>
        </w:rPr>
        <w:tab/>
        <w:t>Jednostką obmiarową jest m2 (metr kwadratowy) wykonanej nawierzchni z kostki kamiennej.</w:t>
      </w:r>
    </w:p>
    <w:p w:rsidR="00AE2AE6" w:rsidRPr="008C7781" w:rsidRDefault="00AE2AE6" w:rsidP="00AE2AE6">
      <w:pPr>
        <w:rPr>
          <w:rFonts w:asciiTheme="minorHAnsi" w:hAnsiTheme="minorHAnsi"/>
        </w:rPr>
      </w:pPr>
    </w:p>
    <w:p w:rsidR="00AE2AE6" w:rsidRPr="008C7781" w:rsidRDefault="00AE2AE6" w:rsidP="00AE2AE6">
      <w:pPr>
        <w:rPr>
          <w:rFonts w:asciiTheme="minorHAnsi" w:hAnsiTheme="minorHAnsi"/>
          <w:b/>
        </w:rPr>
      </w:pPr>
      <w:bookmarkStart w:id="1476" w:name="_Toc422021649"/>
      <w:bookmarkStart w:id="1477" w:name="_Toc422115853"/>
      <w:r w:rsidRPr="008C7781">
        <w:rPr>
          <w:rFonts w:asciiTheme="minorHAnsi" w:hAnsiTheme="minorHAnsi"/>
          <w:b/>
        </w:rPr>
        <w:t xml:space="preserve">8. </w:t>
      </w:r>
      <w:bookmarkEnd w:id="1476"/>
      <w:bookmarkEnd w:id="1477"/>
      <w:r w:rsidRPr="008C7781">
        <w:rPr>
          <w:rFonts w:asciiTheme="minorHAnsi" w:hAnsiTheme="minorHAnsi"/>
          <w:b/>
        </w:rPr>
        <w:t>ODBIÓR ROBÓT</w:t>
      </w:r>
    </w:p>
    <w:p w:rsidR="00AE2AE6" w:rsidRPr="008C7781" w:rsidRDefault="00AE2AE6" w:rsidP="00AE2AE6">
      <w:pPr>
        <w:rPr>
          <w:rFonts w:asciiTheme="minorHAnsi" w:hAnsiTheme="minorHAnsi"/>
        </w:rPr>
      </w:pPr>
      <w:r w:rsidRPr="008C7781">
        <w:rPr>
          <w:rFonts w:asciiTheme="minorHAnsi" w:hAnsiTheme="minorHAnsi"/>
          <w:b/>
        </w:rPr>
        <w:t>8.1.</w:t>
      </w:r>
      <w:r w:rsidRPr="008C7781">
        <w:rPr>
          <w:rFonts w:asciiTheme="minorHAnsi" w:hAnsiTheme="minorHAnsi"/>
        </w:rPr>
        <w:t xml:space="preserve"> Ogólne zasady odbioru robót</w:t>
      </w:r>
    </w:p>
    <w:p w:rsidR="00AE2AE6" w:rsidRPr="008C7781" w:rsidRDefault="00AE2AE6" w:rsidP="00AE2AE6">
      <w:pPr>
        <w:rPr>
          <w:rFonts w:asciiTheme="minorHAnsi" w:hAnsiTheme="minorHAnsi"/>
        </w:rPr>
      </w:pPr>
      <w:r w:rsidRPr="008C7781">
        <w:rPr>
          <w:rFonts w:asciiTheme="minorHAnsi" w:hAnsiTheme="minorHAnsi"/>
        </w:rPr>
        <w:tab/>
        <w:t>Ogólne zasady odbioru robót podano w ST D-M-00.00.00 „Wymagania ogólne” pkt 8.</w:t>
      </w:r>
    </w:p>
    <w:p w:rsidR="00AE2AE6" w:rsidRPr="008C7781" w:rsidRDefault="00AE2AE6" w:rsidP="00AE2AE6">
      <w:pPr>
        <w:rPr>
          <w:rFonts w:asciiTheme="minorHAnsi" w:hAnsiTheme="minorHAnsi"/>
        </w:rPr>
      </w:pPr>
      <w:r w:rsidRPr="008C7781">
        <w:rPr>
          <w:rFonts w:asciiTheme="minorHAnsi" w:hAnsiTheme="minorHAnsi"/>
        </w:rPr>
        <w:tab/>
        <w:t>Roboty uznaje się za wykonane zgodnie z dokumentacją projektową, ST i wymaganiami Inżyniera, jeżeli wszystkie pomiary i badania z zachowaniem tolerancji według pkt 6 dały wyniki pozytywne.</w:t>
      </w:r>
    </w:p>
    <w:p w:rsidR="00AE2AE6" w:rsidRPr="008C7781" w:rsidRDefault="00AE2AE6" w:rsidP="00AE2AE6">
      <w:pPr>
        <w:rPr>
          <w:rFonts w:asciiTheme="minorHAnsi" w:hAnsiTheme="minorHAnsi"/>
        </w:rPr>
      </w:pPr>
      <w:r w:rsidRPr="008C7781">
        <w:rPr>
          <w:rFonts w:asciiTheme="minorHAnsi" w:hAnsiTheme="minorHAnsi"/>
          <w:b/>
        </w:rPr>
        <w:t>8.2.</w:t>
      </w:r>
      <w:r w:rsidRPr="008C7781">
        <w:rPr>
          <w:rFonts w:asciiTheme="minorHAnsi" w:hAnsiTheme="minorHAnsi"/>
        </w:rPr>
        <w:t xml:space="preserve"> Odbiór robót zanikających i ulegających  zakryciu</w:t>
      </w:r>
    </w:p>
    <w:p w:rsidR="00AE2AE6" w:rsidRPr="008C7781" w:rsidRDefault="00AE2AE6" w:rsidP="00AE2AE6">
      <w:pPr>
        <w:rPr>
          <w:rFonts w:asciiTheme="minorHAnsi" w:hAnsiTheme="minorHAnsi"/>
        </w:rPr>
      </w:pPr>
      <w:r w:rsidRPr="008C7781">
        <w:rPr>
          <w:rFonts w:asciiTheme="minorHAnsi" w:hAnsiTheme="minorHAnsi"/>
        </w:rPr>
        <w:t>Roboty związane z wykonaniem podsypki należą do robót ulegających zakryciu. Zasady ich odbioru są określone w ST D-M-00.00.00 „Wymagania ogólne”  pkt 8.2.</w:t>
      </w:r>
    </w:p>
    <w:p w:rsidR="00AE2AE6" w:rsidRPr="008C7781" w:rsidRDefault="00AE2AE6" w:rsidP="00AE2AE6">
      <w:pPr>
        <w:rPr>
          <w:rFonts w:asciiTheme="minorHAnsi" w:hAnsiTheme="minorHAnsi"/>
        </w:rPr>
      </w:pPr>
      <w:bookmarkStart w:id="1478" w:name="_Toc422021650"/>
      <w:bookmarkStart w:id="1479" w:name="_Toc422115854"/>
    </w:p>
    <w:p w:rsidR="00AE2AE6" w:rsidRPr="008C7781" w:rsidRDefault="00AE2AE6" w:rsidP="00AE2AE6">
      <w:pPr>
        <w:rPr>
          <w:rFonts w:asciiTheme="minorHAnsi" w:hAnsiTheme="minorHAnsi"/>
          <w:b/>
        </w:rPr>
      </w:pPr>
      <w:r w:rsidRPr="008C7781">
        <w:rPr>
          <w:rFonts w:asciiTheme="minorHAnsi" w:hAnsiTheme="minorHAnsi"/>
          <w:b/>
        </w:rPr>
        <w:t xml:space="preserve">9. </w:t>
      </w:r>
      <w:bookmarkEnd w:id="1478"/>
      <w:bookmarkEnd w:id="1479"/>
      <w:r w:rsidRPr="008C7781">
        <w:rPr>
          <w:rFonts w:asciiTheme="minorHAnsi" w:hAnsiTheme="minorHAnsi"/>
          <w:b/>
        </w:rPr>
        <w:t>PODSTAWA PŁATNOŚCI</w:t>
      </w:r>
    </w:p>
    <w:p w:rsidR="00AE2AE6" w:rsidRPr="008C7781" w:rsidRDefault="00AE2AE6" w:rsidP="00AE2AE6">
      <w:pPr>
        <w:rPr>
          <w:rFonts w:asciiTheme="minorHAnsi" w:hAnsiTheme="minorHAnsi"/>
        </w:rPr>
      </w:pPr>
      <w:r w:rsidRPr="008C7781">
        <w:rPr>
          <w:rFonts w:asciiTheme="minorHAnsi" w:hAnsiTheme="minorHAnsi"/>
          <w:b/>
        </w:rPr>
        <w:t>9.1.</w:t>
      </w:r>
      <w:r w:rsidRPr="008C7781">
        <w:rPr>
          <w:rFonts w:asciiTheme="minorHAnsi" w:hAnsiTheme="minorHAnsi"/>
        </w:rPr>
        <w:t xml:space="preserve"> Ogólne ustalenia dotyczące podstawy płatności</w:t>
      </w:r>
    </w:p>
    <w:p w:rsidR="00AE2AE6" w:rsidRPr="008C7781" w:rsidRDefault="00AE2AE6" w:rsidP="00AE2AE6">
      <w:pPr>
        <w:rPr>
          <w:rFonts w:asciiTheme="minorHAnsi" w:hAnsiTheme="minorHAnsi"/>
        </w:rPr>
      </w:pPr>
      <w:r w:rsidRPr="008C7781">
        <w:rPr>
          <w:rFonts w:asciiTheme="minorHAnsi" w:hAnsiTheme="minorHAnsi"/>
        </w:rPr>
        <w:tab/>
        <w:t>Ogólne ustalenia dotyczące podstawy płatności podano w ST D-M-00.00.00 „Wymagania ogólne” pkt 9.</w:t>
      </w:r>
    </w:p>
    <w:p w:rsidR="00AE2AE6" w:rsidRPr="008C7781" w:rsidRDefault="00AE2AE6" w:rsidP="00AE2AE6">
      <w:pPr>
        <w:rPr>
          <w:rFonts w:asciiTheme="minorHAnsi" w:hAnsiTheme="minorHAnsi"/>
        </w:rPr>
      </w:pPr>
      <w:r w:rsidRPr="008C7781">
        <w:rPr>
          <w:rFonts w:asciiTheme="minorHAnsi" w:hAnsiTheme="minorHAnsi"/>
          <w:b/>
        </w:rPr>
        <w:t>9.2.</w:t>
      </w:r>
      <w:r w:rsidRPr="008C7781">
        <w:rPr>
          <w:rFonts w:asciiTheme="minorHAnsi" w:hAnsiTheme="minorHAnsi"/>
        </w:rPr>
        <w:t xml:space="preserve"> Cena jednostki obmiarowej</w:t>
      </w:r>
    </w:p>
    <w:p w:rsidR="00AE2AE6" w:rsidRPr="008C7781" w:rsidRDefault="00AE2AE6" w:rsidP="00AE2AE6">
      <w:pPr>
        <w:rPr>
          <w:rFonts w:asciiTheme="minorHAnsi" w:hAnsiTheme="minorHAnsi"/>
        </w:rPr>
      </w:pPr>
      <w:r w:rsidRPr="008C7781">
        <w:rPr>
          <w:rFonts w:asciiTheme="minorHAnsi" w:hAnsiTheme="minorHAnsi"/>
        </w:rPr>
        <w:tab/>
        <w:t>Cena wykonania 1 m2 nawierzchni z kostki kamiennej obejmuje:</w:t>
      </w:r>
    </w:p>
    <w:p w:rsidR="00AE2AE6" w:rsidRPr="008C7781" w:rsidRDefault="00AE2AE6" w:rsidP="00AE2AE6">
      <w:pPr>
        <w:rPr>
          <w:rFonts w:asciiTheme="minorHAnsi" w:hAnsiTheme="minorHAnsi"/>
        </w:rPr>
      </w:pPr>
      <w:r w:rsidRPr="008C7781">
        <w:rPr>
          <w:rFonts w:asciiTheme="minorHAnsi" w:hAnsiTheme="minorHAnsi"/>
        </w:rPr>
        <w:t>-prace pomiarowe i roboty przygotowawcze,</w:t>
      </w:r>
    </w:p>
    <w:p w:rsidR="00AE2AE6" w:rsidRPr="008C7781" w:rsidRDefault="00AE2AE6" w:rsidP="00AE2AE6">
      <w:pPr>
        <w:rPr>
          <w:rFonts w:asciiTheme="minorHAnsi" w:hAnsiTheme="minorHAnsi"/>
        </w:rPr>
      </w:pPr>
      <w:r w:rsidRPr="008C7781">
        <w:rPr>
          <w:rFonts w:asciiTheme="minorHAnsi" w:hAnsiTheme="minorHAnsi"/>
        </w:rPr>
        <w:t>-oznakowanie robót,</w:t>
      </w:r>
    </w:p>
    <w:p w:rsidR="00AE2AE6" w:rsidRPr="008C7781" w:rsidRDefault="00AE2AE6" w:rsidP="00AE2AE6">
      <w:pPr>
        <w:rPr>
          <w:rFonts w:asciiTheme="minorHAnsi" w:hAnsiTheme="minorHAnsi"/>
        </w:rPr>
      </w:pPr>
      <w:r w:rsidRPr="008C7781">
        <w:rPr>
          <w:rFonts w:asciiTheme="minorHAnsi" w:hAnsiTheme="minorHAnsi"/>
        </w:rPr>
        <w:lastRenderedPageBreak/>
        <w:t>-dostarczenie materiałów,</w:t>
      </w:r>
    </w:p>
    <w:p w:rsidR="00AE2AE6" w:rsidRPr="008C7781" w:rsidRDefault="00AE2AE6" w:rsidP="00AE2AE6">
      <w:pPr>
        <w:rPr>
          <w:rFonts w:asciiTheme="minorHAnsi" w:hAnsiTheme="minorHAnsi"/>
        </w:rPr>
      </w:pPr>
      <w:r w:rsidRPr="008C7781">
        <w:rPr>
          <w:rFonts w:asciiTheme="minorHAnsi" w:hAnsiTheme="minorHAnsi"/>
        </w:rPr>
        <w:t>-wykonanie podsypki,</w:t>
      </w:r>
    </w:p>
    <w:p w:rsidR="00AE2AE6" w:rsidRPr="008C7781" w:rsidRDefault="00AE2AE6" w:rsidP="00AE2AE6">
      <w:pPr>
        <w:rPr>
          <w:rFonts w:asciiTheme="minorHAnsi" w:hAnsiTheme="minorHAnsi"/>
        </w:rPr>
      </w:pPr>
      <w:r w:rsidRPr="008C7781">
        <w:rPr>
          <w:rFonts w:asciiTheme="minorHAnsi" w:hAnsiTheme="minorHAnsi"/>
        </w:rPr>
        <w:t>-ułożenie i ubicie kostki,</w:t>
      </w:r>
    </w:p>
    <w:p w:rsidR="00AE2AE6" w:rsidRPr="008C7781" w:rsidRDefault="00AE2AE6" w:rsidP="00AE2AE6">
      <w:pPr>
        <w:rPr>
          <w:rFonts w:asciiTheme="minorHAnsi" w:hAnsiTheme="minorHAnsi"/>
        </w:rPr>
      </w:pPr>
      <w:r w:rsidRPr="008C7781">
        <w:rPr>
          <w:rFonts w:asciiTheme="minorHAnsi" w:hAnsiTheme="minorHAnsi"/>
        </w:rPr>
        <w:t>-wypełnienie spoin,</w:t>
      </w:r>
    </w:p>
    <w:p w:rsidR="00AE2AE6" w:rsidRPr="008C7781" w:rsidRDefault="00AE2AE6" w:rsidP="00AE2AE6">
      <w:pPr>
        <w:rPr>
          <w:rFonts w:asciiTheme="minorHAnsi" w:hAnsiTheme="minorHAnsi"/>
        </w:rPr>
      </w:pPr>
      <w:r w:rsidRPr="008C7781">
        <w:rPr>
          <w:rFonts w:asciiTheme="minorHAnsi" w:hAnsiTheme="minorHAnsi"/>
        </w:rPr>
        <w:t>-pielęgnację nawierzchni,</w:t>
      </w:r>
    </w:p>
    <w:p w:rsidR="00AE2AE6" w:rsidRPr="008C7781" w:rsidRDefault="00AE2AE6" w:rsidP="00AE2AE6">
      <w:pPr>
        <w:rPr>
          <w:rFonts w:asciiTheme="minorHAnsi" w:hAnsiTheme="minorHAnsi"/>
        </w:rPr>
      </w:pPr>
      <w:r w:rsidRPr="008C7781">
        <w:rPr>
          <w:rFonts w:asciiTheme="minorHAnsi" w:hAnsiTheme="minorHAnsi"/>
        </w:rPr>
        <w:t>-przeprowadzenie badań i pomiarów wymaganych w specyfikacji technicznej.</w:t>
      </w:r>
    </w:p>
    <w:p w:rsidR="00AE2AE6" w:rsidRPr="008C7781" w:rsidRDefault="00AE2AE6" w:rsidP="00AE2AE6">
      <w:pPr>
        <w:rPr>
          <w:rFonts w:asciiTheme="minorHAnsi" w:hAnsiTheme="minorHAnsi"/>
        </w:rPr>
      </w:pPr>
      <w:bookmarkStart w:id="1480" w:name="_Toc422115855"/>
    </w:p>
    <w:p w:rsidR="00AE2AE6" w:rsidRPr="008C7781" w:rsidRDefault="00AE2AE6" w:rsidP="00AE2AE6">
      <w:pPr>
        <w:rPr>
          <w:rFonts w:asciiTheme="minorHAnsi" w:hAnsiTheme="minorHAnsi"/>
          <w:b/>
        </w:rPr>
      </w:pPr>
      <w:r w:rsidRPr="008C7781">
        <w:rPr>
          <w:rFonts w:asciiTheme="minorHAnsi" w:hAnsiTheme="minorHAnsi"/>
          <w:b/>
        </w:rPr>
        <w:t xml:space="preserve">10. </w:t>
      </w:r>
      <w:bookmarkEnd w:id="1480"/>
      <w:r w:rsidRPr="008C7781">
        <w:rPr>
          <w:rFonts w:asciiTheme="minorHAnsi" w:hAnsiTheme="minorHAnsi"/>
          <w:b/>
        </w:rPr>
        <w:t>PRZEPISY ZWIĄZANE</w:t>
      </w:r>
    </w:p>
    <w:p w:rsidR="00AE2AE6" w:rsidRPr="008C7781" w:rsidRDefault="00AE2AE6" w:rsidP="00AE2AE6">
      <w:pPr>
        <w:tabs>
          <w:tab w:val="left" w:pos="1410"/>
        </w:tabs>
        <w:rPr>
          <w:rFonts w:asciiTheme="minorHAnsi" w:hAnsiTheme="minorHAnsi"/>
        </w:rPr>
      </w:pPr>
      <w:r w:rsidRPr="008C7781">
        <w:rPr>
          <w:rFonts w:asciiTheme="minorHAnsi" w:hAnsiTheme="minorHAnsi"/>
          <w:b/>
        </w:rPr>
        <w:t>10.1.</w:t>
      </w:r>
      <w:r w:rsidRPr="008C7781">
        <w:rPr>
          <w:rFonts w:asciiTheme="minorHAnsi" w:hAnsiTheme="minorHAnsi"/>
        </w:rPr>
        <w:t xml:space="preserve"> Normy</w:t>
      </w:r>
      <w:r w:rsidRPr="008C7781">
        <w:rPr>
          <w:rFonts w:asciiTheme="minorHAnsi" w:hAnsiTheme="minorHAnsi"/>
        </w:rPr>
        <w:tab/>
      </w:r>
    </w:p>
    <w:tbl>
      <w:tblPr>
        <w:tblW w:w="0" w:type="auto"/>
        <w:tblLayout w:type="fixed"/>
        <w:tblCellMar>
          <w:left w:w="70" w:type="dxa"/>
          <w:right w:w="70" w:type="dxa"/>
        </w:tblCellMar>
        <w:tblLook w:val="0000"/>
      </w:tblPr>
      <w:tblGrid>
        <w:gridCol w:w="496"/>
        <w:gridCol w:w="1701"/>
        <w:gridCol w:w="5313"/>
      </w:tblGrid>
      <w:tr w:rsidR="00AE2AE6" w:rsidRPr="008C7781" w:rsidTr="00737B18">
        <w:tc>
          <w:tcPr>
            <w:tcW w:w="496" w:type="dxa"/>
          </w:tcPr>
          <w:p w:rsidR="00AE2AE6" w:rsidRPr="008C7781" w:rsidRDefault="00AE2AE6" w:rsidP="00737B18">
            <w:pPr>
              <w:pStyle w:val="tekstost"/>
              <w:rPr>
                <w:rFonts w:asciiTheme="minorHAnsi" w:hAnsiTheme="minorHAnsi"/>
              </w:rPr>
            </w:pPr>
            <w:r w:rsidRPr="008C7781">
              <w:rPr>
                <w:rFonts w:asciiTheme="minorHAnsi" w:hAnsiTheme="minorHAnsi"/>
              </w:rPr>
              <w:t xml:space="preserve">  1.</w:t>
            </w:r>
          </w:p>
        </w:tc>
        <w:tc>
          <w:tcPr>
            <w:tcW w:w="1701" w:type="dxa"/>
          </w:tcPr>
          <w:p w:rsidR="00AE2AE6" w:rsidRPr="008C7781" w:rsidRDefault="00AE2AE6" w:rsidP="00737B18">
            <w:pPr>
              <w:pStyle w:val="tekstost"/>
              <w:rPr>
                <w:rFonts w:asciiTheme="minorHAnsi" w:hAnsiTheme="minorHAnsi"/>
              </w:rPr>
            </w:pPr>
            <w:r w:rsidRPr="008C7781">
              <w:rPr>
                <w:rFonts w:asciiTheme="minorHAnsi" w:hAnsiTheme="minorHAnsi"/>
              </w:rPr>
              <w:t>PN-B-04101</w:t>
            </w:r>
          </w:p>
        </w:tc>
        <w:tc>
          <w:tcPr>
            <w:tcW w:w="5313" w:type="dxa"/>
          </w:tcPr>
          <w:p w:rsidR="00AE2AE6" w:rsidRPr="008C7781" w:rsidRDefault="00AE2AE6" w:rsidP="00737B18">
            <w:pPr>
              <w:pStyle w:val="tekstost"/>
              <w:rPr>
                <w:rFonts w:asciiTheme="minorHAnsi" w:hAnsiTheme="minorHAnsi"/>
              </w:rPr>
            </w:pPr>
            <w:r w:rsidRPr="008C7781">
              <w:rPr>
                <w:rFonts w:asciiTheme="minorHAnsi" w:hAnsiTheme="minorHAnsi"/>
              </w:rPr>
              <w:t>Materiały kamienne. Oznaczanie nasiąkliwości wodą</w:t>
            </w:r>
          </w:p>
        </w:tc>
      </w:tr>
      <w:tr w:rsidR="00AE2AE6" w:rsidRPr="008C7781" w:rsidTr="00737B18">
        <w:tc>
          <w:tcPr>
            <w:tcW w:w="496" w:type="dxa"/>
          </w:tcPr>
          <w:p w:rsidR="00AE2AE6" w:rsidRPr="008C7781" w:rsidRDefault="00AE2AE6" w:rsidP="00737B18">
            <w:pPr>
              <w:pStyle w:val="tekstost"/>
              <w:rPr>
                <w:rFonts w:asciiTheme="minorHAnsi" w:hAnsiTheme="minorHAnsi"/>
              </w:rPr>
            </w:pPr>
            <w:r w:rsidRPr="008C7781">
              <w:rPr>
                <w:rFonts w:asciiTheme="minorHAnsi" w:hAnsiTheme="minorHAnsi"/>
              </w:rPr>
              <w:t xml:space="preserve">  2.</w:t>
            </w:r>
          </w:p>
        </w:tc>
        <w:tc>
          <w:tcPr>
            <w:tcW w:w="1701" w:type="dxa"/>
          </w:tcPr>
          <w:p w:rsidR="00AE2AE6" w:rsidRPr="008C7781" w:rsidRDefault="00AE2AE6" w:rsidP="00737B18">
            <w:pPr>
              <w:pStyle w:val="tekstost"/>
              <w:rPr>
                <w:rFonts w:asciiTheme="minorHAnsi" w:hAnsiTheme="minorHAnsi"/>
              </w:rPr>
            </w:pPr>
            <w:r w:rsidRPr="008C7781">
              <w:rPr>
                <w:rFonts w:asciiTheme="minorHAnsi" w:hAnsiTheme="minorHAnsi"/>
              </w:rPr>
              <w:t>PN-B-04102</w:t>
            </w:r>
          </w:p>
        </w:tc>
        <w:tc>
          <w:tcPr>
            <w:tcW w:w="5313" w:type="dxa"/>
          </w:tcPr>
          <w:p w:rsidR="00AE2AE6" w:rsidRPr="008C7781" w:rsidRDefault="00AE2AE6" w:rsidP="00737B18">
            <w:pPr>
              <w:pStyle w:val="tekstost"/>
              <w:rPr>
                <w:rFonts w:asciiTheme="minorHAnsi" w:hAnsiTheme="minorHAnsi"/>
              </w:rPr>
            </w:pPr>
            <w:r w:rsidRPr="008C7781">
              <w:rPr>
                <w:rFonts w:asciiTheme="minorHAnsi" w:hAnsiTheme="minorHAnsi"/>
              </w:rPr>
              <w:t>Materiały kamienne. Oznaczanie mrozoodporności metodą bezpośrednią</w:t>
            </w:r>
          </w:p>
        </w:tc>
      </w:tr>
      <w:tr w:rsidR="00AE2AE6" w:rsidRPr="008C7781" w:rsidTr="00737B18">
        <w:tc>
          <w:tcPr>
            <w:tcW w:w="496" w:type="dxa"/>
          </w:tcPr>
          <w:p w:rsidR="00AE2AE6" w:rsidRPr="008C7781" w:rsidRDefault="00AE2AE6" w:rsidP="00737B18">
            <w:pPr>
              <w:pStyle w:val="tekstost"/>
              <w:rPr>
                <w:rFonts w:asciiTheme="minorHAnsi" w:hAnsiTheme="minorHAnsi"/>
              </w:rPr>
            </w:pPr>
            <w:r w:rsidRPr="008C7781">
              <w:rPr>
                <w:rFonts w:asciiTheme="minorHAnsi" w:hAnsiTheme="minorHAnsi"/>
              </w:rPr>
              <w:t xml:space="preserve">  3.</w:t>
            </w:r>
          </w:p>
        </w:tc>
        <w:tc>
          <w:tcPr>
            <w:tcW w:w="1701" w:type="dxa"/>
          </w:tcPr>
          <w:p w:rsidR="00AE2AE6" w:rsidRPr="008C7781" w:rsidRDefault="00AE2AE6" w:rsidP="00737B18">
            <w:pPr>
              <w:pStyle w:val="tekstost"/>
              <w:rPr>
                <w:rFonts w:asciiTheme="minorHAnsi" w:hAnsiTheme="minorHAnsi"/>
              </w:rPr>
            </w:pPr>
            <w:r w:rsidRPr="008C7781">
              <w:rPr>
                <w:rFonts w:asciiTheme="minorHAnsi" w:hAnsiTheme="minorHAnsi"/>
              </w:rPr>
              <w:t>PN-B-04110</w:t>
            </w:r>
          </w:p>
        </w:tc>
        <w:tc>
          <w:tcPr>
            <w:tcW w:w="5313" w:type="dxa"/>
          </w:tcPr>
          <w:p w:rsidR="00AE2AE6" w:rsidRPr="008C7781" w:rsidRDefault="00AE2AE6" w:rsidP="00737B18">
            <w:pPr>
              <w:pStyle w:val="tekstost"/>
              <w:rPr>
                <w:rFonts w:asciiTheme="minorHAnsi" w:hAnsiTheme="minorHAnsi"/>
              </w:rPr>
            </w:pPr>
            <w:r w:rsidRPr="008C7781">
              <w:rPr>
                <w:rFonts w:asciiTheme="minorHAnsi" w:hAnsiTheme="minorHAnsi"/>
              </w:rPr>
              <w:t>Materiały kamienne. Oznaczanie wytrzymałości na ściskanie</w:t>
            </w:r>
          </w:p>
        </w:tc>
      </w:tr>
      <w:tr w:rsidR="00AE2AE6" w:rsidRPr="008C7781" w:rsidTr="00737B18">
        <w:tc>
          <w:tcPr>
            <w:tcW w:w="496" w:type="dxa"/>
          </w:tcPr>
          <w:p w:rsidR="00AE2AE6" w:rsidRPr="008C7781" w:rsidRDefault="00AE2AE6" w:rsidP="00737B18">
            <w:pPr>
              <w:pStyle w:val="tekstost"/>
              <w:rPr>
                <w:rFonts w:asciiTheme="minorHAnsi" w:hAnsiTheme="minorHAnsi"/>
              </w:rPr>
            </w:pPr>
            <w:r w:rsidRPr="008C7781">
              <w:rPr>
                <w:rFonts w:asciiTheme="minorHAnsi" w:hAnsiTheme="minorHAnsi"/>
              </w:rPr>
              <w:t xml:space="preserve">  4.</w:t>
            </w:r>
          </w:p>
        </w:tc>
        <w:tc>
          <w:tcPr>
            <w:tcW w:w="1701" w:type="dxa"/>
          </w:tcPr>
          <w:p w:rsidR="00AE2AE6" w:rsidRPr="008C7781" w:rsidRDefault="00AE2AE6" w:rsidP="00737B18">
            <w:pPr>
              <w:pStyle w:val="tekstost"/>
              <w:rPr>
                <w:rFonts w:asciiTheme="minorHAnsi" w:hAnsiTheme="minorHAnsi"/>
              </w:rPr>
            </w:pPr>
            <w:r w:rsidRPr="008C7781">
              <w:rPr>
                <w:rFonts w:asciiTheme="minorHAnsi" w:hAnsiTheme="minorHAnsi"/>
              </w:rPr>
              <w:t>PN-B-04111</w:t>
            </w:r>
          </w:p>
        </w:tc>
        <w:tc>
          <w:tcPr>
            <w:tcW w:w="5313" w:type="dxa"/>
          </w:tcPr>
          <w:p w:rsidR="00AE2AE6" w:rsidRPr="008C7781" w:rsidRDefault="00AE2AE6" w:rsidP="00737B18">
            <w:pPr>
              <w:pStyle w:val="tekstost"/>
              <w:rPr>
                <w:rFonts w:asciiTheme="minorHAnsi" w:hAnsiTheme="minorHAnsi"/>
              </w:rPr>
            </w:pPr>
            <w:r w:rsidRPr="008C7781">
              <w:rPr>
                <w:rFonts w:asciiTheme="minorHAnsi" w:hAnsiTheme="minorHAnsi"/>
              </w:rPr>
              <w:t>Materiały kamienne. Oznaczanie ścieralności na tarczy Boehmego</w:t>
            </w:r>
          </w:p>
        </w:tc>
      </w:tr>
      <w:tr w:rsidR="00AE2AE6" w:rsidRPr="008C7781" w:rsidTr="00737B18">
        <w:tc>
          <w:tcPr>
            <w:tcW w:w="496" w:type="dxa"/>
          </w:tcPr>
          <w:p w:rsidR="00AE2AE6" w:rsidRPr="008C7781" w:rsidRDefault="00AE2AE6" w:rsidP="00737B18">
            <w:pPr>
              <w:pStyle w:val="tekstost"/>
              <w:rPr>
                <w:rFonts w:asciiTheme="minorHAnsi" w:hAnsiTheme="minorHAnsi"/>
              </w:rPr>
            </w:pPr>
            <w:r w:rsidRPr="008C7781">
              <w:rPr>
                <w:rFonts w:asciiTheme="minorHAnsi" w:hAnsiTheme="minorHAnsi"/>
              </w:rPr>
              <w:t xml:space="preserve">  5.</w:t>
            </w:r>
          </w:p>
        </w:tc>
        <w:tc>
          <w:tcPr>
            <w:tcW w:w="1701" w:type="dxa"/>
          </w:tcPr>
          <w:p w:rsidR="00AE2AE6" w:rsidRPr="008C7781" w:rsidRDefault="00AE2AE6" w:rsidP="00737B18">
            <w:pPr>
              <w:pStyle w:val="tekstost"/>
              <w:rPr>
                <w:rFonts w:asciiTheme="minorHAnsi" w:hAnsiTheme="minorHAnsi"/>
              </w:rPr>
            </w:pPr>
            <w:r w:rsidRPr="008C7781">
              <w:rPr>
                <w:rFonts w:asciiTheme="minorHAnsi" w:hAnsiTheme="minorHAnsi"/>
              </w:rPr>
              <w:t>PN-B-04115</w:t>
            </w:r>
          </w:p>
        </w:tc>
        <w:tc>
          <w:tcPr>
            <w:tcW w:w="5313" w:type="dxa"/>
          </w:tcPr>
          <w:p w:rsidR="00AE2AE6" w:rsidRPr="008C7781" w:rsidRDefault="00AE2AE6" w:rsidP="00737B18">
            <w:pPr>
              <w:pStyle w:val="tekstost"/>
              <w:rPr>
                <w:rFonts w:asciiTheme="minorHAnsi" w:hAnsiTheme="minorHAnsi"/>
              </w:rPr>
            </w:pPr>
            <w:r w:rsidRPr="008C7781">
              <w:rPr>
                <w:rFonts w:asciiTheme="minorHAnsi" w:hAnsiTheme="minorHAnsi"/>
              </w:rPr>
              <w:t>Materiały kamienne. Oznaczanie wytrzymałości kamienia na uderzenie (zwięzłości)</w:t>
            </w:r>
          </w:p>
        </w:tc>
      </w:tr>
      <w:tr w:rsidR="00AE2AE6" w:rsidRPr="008C7781" w:rsidTr="00737B18">
        <w:tc>
          <w:tcPr>
            <w:tcW w:w="496" w:type="dxa"/>
          </w:tcPr>
          <w:p w:rsidR="00AE2AE6" w:rsidRPr="008C7781" w:rsidRDefault="00AE2AE6" w:rsidP="00737B18">
            <w:pPr>
              <w:pStyle w:val="tekstost"/>
              <w:rPr>
                <w:rFonts w:asciiTheme="minorHAnsi" w:hAnsiTheme="minorHAnsi"/>
              </w:rPr>
            </w:pPr>
            <w:r w:rsidRPr="008C7781">
              <w:rPr>
                <w:rFonts w:asciiTheme="minorHAnsi" w:hAnsiTheme="minorHAnsi"/>
              </w:rPr>
              <w:t xml:space="preserve">  6.</w:t>
            </w:r>
          </w:p>
        </w:tc>
        <w:tc>
          <w:tcPr>
            <w:tcW w:w="1701" w:type="dxa"/>
          </w:tcPr>
          <w:p w:rsidR="00AE2AE6" w:rsidRPr="008C7781" w:rsidRDefault="00AE2AE6" w:rsidP="00737B18">
            <w:pPr>
              <w:pStyle w:val="tekstost"/>
              <w:rPr>
                <w:rFonts w:asciiTheme="minorHAnsi" w:hAnsiTheme="minorHAnsi"/>
              </w:rPr>
            </w:pPr>
            <w:r w:rsidRPr="008C7781">
              <w:rPr>
                <w:rFonts w:asciiTheme="minorHAnsi" w:hAnsiTheme="minorHAnsi"/>
              </w:rPr>
              <w:t>PN-B-06251</w:t>
            </w:r>
          </w:p>
        </w:tc>
        <w:tc>
          <w:tcPr>
            <w:tcW w:w="5313" w:type="dxa"/>
          </w:tcPr>
          <w:p w:rsidR="00AE2AE6" w:rsidRPr="008C7781" w:rsidRDefault="00AE2AE6" w:rsidP="00737B18">
            <w:pPr>
              <w:pStyle w:val="tekstost"/>
              <w:rPr>
                <w:rFonts w:asciiTheme="minorHAnsi" w:hAnsiTheme="minorHAnsi"/>
              </w:rPr>
            </w:pPr>
            <w:r w:rsidRPr="008C7781">
              <w:rPr>
                <w:rFonts w:asciiTheme="minorHAnsi" w:hAnsiTheme="minorHAnsi"/>
              </w:rPr>
              <w:t>Roboty betonowe i żelbetowe. Wymagania techniczne</w:t>
            </w:r>
          </w:p>
        </w:tc>
      </w:tr>
      <w:tr w:rsidR="00AE2AE6" w:rsidRPr="008C7781" w:rsidTr="00737B18">
        <w:tc>
          <w:tcPr>
            <w:tcW w:w="496" w:type="dxa"/>
          </w:tcPr>
          <w:p w:rsidR="00AE2AE6" w:rsidRPr="008C7781" w:rsidRDefault="00AE2AE6" w:rsidP="00737B18">
            <w:pPr>
              <w:pStyle w:val="tekstost"/>
              <w:rPr>
                <w:rFonts w:asciiTheme="minorHAnsi" w:hAnsiTheme="minorHAnsi"/>
              </w:rPr>
            </w:pPr>
            <w:r w:rsidRPr="008C7781">
              <w:rPr>
                <w:rFonts w:asciiTheme="minorHAnsi" w:hAnsiTheme="minorHAnsi"/>
              </w:rPr>
              <w:t xml:space="preserve">  7.</w:t>
            </w:r>
          </w:p>
        </w:tc>
        <w:tc>
          <w:tcPr>
            <w:tcW w:w="1701" w:type="dxa"/>
          </w:tcPr>
          <w:p w:rsidR="00AE2AE6" w:rsidRPr="008C7781" w:rsidRDefault="00AE2AE6" w:rsidP="00737B18">
            <w:pPr>
              <w:pStyle w:val="tekstost"/>
              <w:rPr>
                <w:rFonts w:asciiTheme="minorHAnsi" w:hAnsiTheme="minorHAnsi"/>
              </w:rPr>
            </w:pPr>
            <w:r w:rsidRPr="008C7781">
              <w:rPr>
                <w:rFonts w:asciiTheme="minorHAnsi" w:hAnsiTheme="minorHAnsi"/>
              </w:rPr>
              <w:t>PN-B-06712</w:t>
            </w:r>
          </w:p>
        </w:tc>
        <w:tc>
          <w:tcPr>
            <w:tcW w:w="5313" w:type="dxa"/>
          </w:tcPr>
          <w:p w:rsidR="00AE2AE6" w:rsidRPr="008C7781" w:rsidRDefault="00AE2AE6" w:rsidP="00737B18">
            <w:pPr>
              <w:pStyle w:val="tekstost"/>
              <w:rPr>
                <w:rFonts w:asciiTheme="minorHAnsi" w:hAnsiTheme="minorHAnsi"/>
              </w:rPr>
            </w:pPr>
            <w:r w:rsidRPr="008C7781">
              <w:rPr>
                <w:rFonts w:asciiTheme="minorHAnsi" w:hAnsiTheme="minorHAnsi"/>
              </w:rPr>
              <w:t>Kruszywa mineralne do betonu zwykłego</w:t>
            </w:r>
          </w:p>
        </w:tc>
      </w:tr>
      <w:tr w:rsidR="00AE2AE6" w:rsidRPr="008C7781" w:rsidTr="00737B18">
        <w:tc>
          <w:tcPr>
            <w:tcW w:w="496" w:type="dxa"/>
          </w:tcPr>
          <w:p w:rsidR="00AE2AE6" w:rsidRPr="008C7781" w:rsidRDefault="00AE2AE6" w:rsidP="00737B18">
            <w:pPr>
              <w:pStyle w:val="tekstost"/>
              <w:rPr>
                <w:rFonts w:asciiTheme="minorHAnsi" w:hAnsiTheme="minorHAnsi"/>
              </w:rPr>
            </w:pPr>
            <w:r w:rsidRPr="008C7781">
              <w:rPr>
                <w:rFonts w:asciiTheme="minorHAnsi" w:hAnsiTheme="minorHAnsi"/>
              </w:rPr>
              <w:t xml:space="preserve">  8.</w:t>
            </w:r>
          </w:p>
        </w:tc>
        <w:tc>
          <w:tcPr>
            <w:tcW w:w="1701" w:type="dxa"/>
          </w:tcPr>
          <w:p w:rsidR="00AE2AE6" w:rsidRPr="008C7781" w:rsidRDefault="00AE2AE6" w:rsidP="00737B18">
            <w:pPr>
              <w:pStyle w:val="tekstost"/>
              <w:rPr>
                <w:rFonts w:asciiTheme="minorHAnsi" w:hAnsiTheme="minorHAnsi"/>
              </w:rPr>
            </w:pPr>
            <w:r w:rsidRPr="008C7781">
              <w:rPr>
                <w:rFonts w:asciiTheme="minorHAnsi" w:hAnsiTheme="minorHAnsi"/>
              </w:rPr>
              <w:t>PN-B-11100</w:t>
            </w:r>
          </w:p>
        </w:tc>
        <w:tc>
          <w:tcPr>
            <w:tcW w:w="5313" w:type="dxa"/>
          </w:tcPr>
          <w:p w:rsidR="00AE2AE6" w:rsidRPr="008C7781" w:rsidRDefault="00AE2AE6" w:rsidP="00737B18">
            <w:pPr>
              <w:pStyle w:val="tekstost"/>
              <w:rPr>
                <w:rFonts w:asciiTheme="minorHAnsi" w:hAnsiTheme="minorHAnsi"/>
              </w:rPr>
            </w:pPr>
            <w:r w:rsidRPr="008C7781">
              <w:rPr>
                <w:rFonts w:asciiTheme="minorHAnsi" w:hAnsiTheme="minorHAnsi"/>
              </w:rPr>
              <w:t>Materiały kamienne. Kostka drogowa</w:t>
            </w:r>
          </w:p>
        </w:tc>
      </w:tr>
      <w:tr w:rsidR="00AE2AE6" w:rsidRPr="008C7781" w:rsidTr="00737B18">
        <w:tc>
          <w:tcPr>
            <w:tcW w:w="496" w:type="dxa"/>
          </w:tcPr>
          <w:p w:rsidR="00AE2AE6" w:rsidRPr="008C7781" w:rsidRDefault="00AE2AE6" w:rsidP="00737B18">
            <w:pPr>
              <w:pStyle w:val="tekstost"/>
              <w:rPr>
                <w:rFonts w:asciiTheme="minorHAnsi" w:hAnsiTheme="minorHAnsi"/>
              </w:rPr>
            </w:pPr>
            <w:r w:rsidRPr="008C7781">
              <w:rPr>
                <w:rFonts w:asciiTheme="minorHAnsi" w:hAnsiTheme="minorHAnsi"/>
              </w:rPr>
              <w:t xml:space="preserve">  9.</w:t>
            </w:r>
          </w:p>
        </w:tc>
        <w:tc>
          <w:tcPr>
            <w:tcW w:w="1701" w:type="dxa"/>
          </w:tcPr>
          <w:p w:rsidR="00AE2AE6" w:rsidRPr="008C7781" w:rsidRDefault="00AE2AE6" w:rsidP="00737B18">
            <w:pPr>
              <w:pStyle w:val="tekstost"/>
              <w:rPr>
                <w:rFonts w:asciiTheme="minorHAnsi" w:hAnsiTheme="minorHAnsi"/>
              </w:rPr>
            </w:pPr>
            <w:r w:rsidRPr="008C7781">
              <w:rPr>
                <w:rFonts w:asciiTheme="minorHAnsi" w:hAnsiTheme="minorHAnsi"/>
              </w:rPr>
              <w:t>PN-B-19701</w:t>
            </w:r>
          </w:p>
        </w:tc>
        <w:tc>
          <w:tcPr>
            <w:tcW w:w="5313" w:type="dxa"/>
          </w:tcPr>
          <w:p w:rsidR="00AE2AE6" w:rsidRPr="008C7781" w:rsidRDefault="00AE2AE6" w:rsidP="00737B18">
            <w:pPr>
              <w:pStyle w:val="tekstost"/>
              <w:rPr>
                <w:rFonts w:asciiTheme="minorHAnsi" w:hAnsiTheme="minorHAnsi"/>
              </w:rPr>
            </w:pPr>
            <w:r w:rsidRPr="008C7781">
              <w:rPr>
                <w:rFonts w:asciiTheme="minorHAnsi" w:hAnsiTheme="minorHAnsi"/>
              </w:rPr>
              <w:t>Cement. Cement powszechnego użytku. Skład, wymagania                  i ocena zgodności</w:t>
            </w:r>
          </w:p>
        </w:tc>
      </w:tr>
      <w:tr w:rsidR="00AE2AE6" w:rsidRPr="008C7781" w:rsidTr="00737B18">
        <w:tc>
          <w:tcPr>
            <w:tcW w:w="496" w:type="dxa"/>
          </w:tcPr>
          <w:p w:rsidR="00AE2AE6" w:rsidRPr="008C7781" w:rsidRDefault="00AE2AE6" w:rsidP="00737B18">
            <w:pPr>
              <w:pStyle w:val="tekstost"/>
              <w:rPr>
                <w:rFonts w:asciiTheme="minorHAnsi" w:hAnsiTheme="minorHAnsi"/>
              </w:rPr>
            </w:pPr>
            <w:r w:rsidRPr="008C7781">
              <w:rPr>
                <w:rFonts w:asciiTheme="minorHAnsi" w:hAnsiTheme="minorHAnsi"/>
              </w:rPr>
              <w:t>10.</w:t>
            </w:r>
          </w:p>
        </w:tc>
        <w:tc>
          <w:tcPr>
            <w:tcW w:w="1701" w:type="dxa"/>
          </w:tcPr>
          <w:p w:rsidR="00AE2AE6" w:rsidRPr="008C7781" w:rsidRDefault="00AE2AE6" w:rsidP="00737B18">
            <w:pPr>
              <w:pStyle w:val="tekstost"/>
              <w:rPr>
                <w:rFonts w:asciiTheme="minorHAnsi" w:hAnsiTheme="minorHAnsi"/>
              </w:rPr>
            </w:pPr>
            <w:r w:rsidRPr="008C7781">
              <w:rPr>
                <w:rFonts w:asciiTheme="minorHAnsi" w:hAnsiTheme="minorHAnsi"/>
              </w:rPr>
              <w:t>PN-B-32250</w:t>
            </w:r>
          </w:p>
        </w:tc>
        <w:tc>
          <w:tcPr>
            <w:tcW w:w="5313" w:type="dxa"/>
          </w:tcPr>
          <w:p w:rsidR="00AE2AE6" w:rsidRPr="008C7781" w:rsidRDefault="00AE2AE6" w:rsidP="00737B18">
            <w:pPr>
              <w:pStyle w:val="tekstost"/>
              <w:rPr>
                <w:rFonts w:asciiTheme="minorHAnsi" w:hAnsiTheme="minorHAnsi"/>
              </w:rPr>
            </w:pPr>
            <w:r w:rsidRPr="008C7781">
              <w:rPr>
                <w:rFonts w:asciiTheme="minorHAnsi" w:hAnsiTheme="minorHAnsi"/>
              </w:rPr>
              <w:t>Materiały budowlane. Woda do betonów i zapraw</w:t>
            </w:r>
          </w:p>
        </w:tc>
      </w:tr>
      <w:tr w:rsidR="00AE2AE6" w:rsidRPr="008C7781" w:rsidTr="00737B18">
        <w:tc>
          <w:tcPr>
            <w:tcW w:w="496" w:type="dxa"/>
          </w:tcPr>
          <w:p w:rsidR="00AE2AE6" w:rsidRPr="008C7781" w:rsidRDefault="00AE2AE6" w:rsidP="00737B18">
            <w:pPr>
              <w:pStyle w:val="tekstost"/>
              <w:rPr>
                <w:rFonts w:asciiTheme="minorHAnsi" w:hAnsiTheme="minorHAnsi"/>
              </w:rPr>
            </w:pPr>
            <w:r w:rsidRPr="008C7781">
              <w:rPr>
                <w:rFonts w:asciiTheme="minorHAnsi" w:hAnsiTheme="minorHAnsi"/>
              </w:rPr>
              <w:t>11.</w:t>
            </w:r>
          </w:p>
        </w:tc>
        <w:tc>
          <w:tcPr>
            <w:tcW w:w="1701" w:type="dxa"/>
          </w:tcPr>
          <w:p w:rsidR="00AE2AE6" w:rsidRPr="008C7781" w:rsidRDefault="00AE2AE6" w:rsidP="00737B18">
            <w:pPr>
              <w:pStyle w:val="tekstost"/>
              <w:rPr>
                <w:rFonts w:asciiTheme="minorHAnsi" w:hAnsiTheme="minorHAnsi"/>
              </w:rPr>
            </w:pPr>
            <w:r w:rsidRPr="008C7781">
              <w:rPr>
                <w:rFonts w:asciiTheme="minorHAnsi" w:hAnsiTheme="minorHAnsi"/>
              </w:rPr>
              <w:t>PN-S-06100</w:t>
            </w:r>
          </w:p>
        </w:tc>
        <w:tc>
          <w:tcPr>
            <w:tcW w:w="5313" w:type="dxa"/>
          </w:tcPr>
          <w:p w:rsidR="00AE2AE6" w:rsidRPr="008C7781" w:rsidRDefault="00AE2AE6" w:rsidP="00737B18">
            <w:pPr>
              <w:pStyle w:val="tekstost"/>
              <w:rPr>
                <w:rFonts w:asciiTheme="minorHAnsi" w:hAnsiTheme="minorHAnsi"/>
              </w:rPr>
            </w:pPr>
            <w:r w:rsidRPr="008C7781">
              <w:rPr>
                <w:rFonts w:asciiTheme="minorHAnsi" w:hAnsiTheme="minorHAnsi"/>
              </w:rPr>
              <w:t>Drogi samochodowe. Nawierzchnie z kostki kamiennej. Warunki techniczne</w:t>
            </w:r>
          </w:p>
        </w:tc>
      </w:tr>
      <w:tr w:rsidR="00AE2AE6" w:rsidRPr="008C7781" w:rsidTr="00737B18">
        <w:tc>
          <w:tcPr>
            <w:tcW w:w="496" w:type="dxa"/>
          </w:tcPr>
          <w:p w:rsidR="00AE2AE6" w:rsidRPr="008C7781" w:rsidRDefault="00AE2AE6" w:rsidP="00737B18">
            <w:pPr>
              <w:pStyle w:val="tekstost"/>
              <w:rPr>
                <w:rFonts w:asciiTheme="minorHAnsi" w:hAnsiTheme="minorHAnsi"/>
              </w:rPr>
            </w:pPr>
            <w:r w:rsidRPr="008C7781">
              <w:rPr>
                <w:rFonts w:asciiTheme="minorHAnsi" w:hAnsiTheme="minorHAnsi"/>
              </w:rPr>
              <w:t>12.</w:t>
            </w:r>
          </w:p>
        </w:tc>
        <w:tc>
          <w:tcPr>
            <w:tcW w:w="1701" w:type="dxa"/>
          </w:tcPr>
          <w:p w:rsidR="00AE2AE6" w:rsidRPr="008C7781" w:rsidRDefault="00AE2AE6" w:rsidP="00737B18">
            <w:pPr>
              <w:pStyle w:val="tekstost"/>
              <w:rPr>
                <w:rFonts w:asciiTheme="minorHAnsi" w:hAnsiTheme="minorHAnsi"/>
              </w:rPr>
            </w:pPr>
            <w:r w:rsidRPr="008C7781">
              <w:rPr>
                <w:rFonts w:asciiTheme="minorHAnsi" w:hAnsiTheme="minorHAnsi"/>
              </w:rPr>
              <w:t>PN-S-96026</w:t>
            </w:r>
          </w:p>
        </w:tc>
        <w:tc>
          <w:tcPr>
            <w:tcW w:w="5313" w:type="dxa"/>
          </w:tcPr>
          <w:p w:rsidR="00AE2AE6" w:rsidRPr="008C7781" w:rsidRDefault="00AE2AE6" w:rsidP="00737B18">
            <w:pPr>
              <w:pStyle w:val="tekstost"/>
              <w:rPr>
                <w:rFonts w:asciiTheme="minorHAnsi" w:hAnsiTheme="minorHAnsi"/>
              </w:rPr>
            </w:pPr>
            <w:r w:rsidRPr="008C7781">
              <w:rPr>
                <w:rFonts w:asciiTheme="minorHAnsi" w:hAnsiTheme="minorHAnsi"/>
              </w:rPr>
              <w:t>Drogi samochodowe. Nawierzchnie z kostki kamiennej nieregularnej. Wymagania techniczne i badania przy odbiorze</w:t>
            </w:r>
          </w:p>
        </w:tc>
      </w:tr>
      <w:tr w:rsidR="00AE2AE6" w:rsidRPr="008C7781" w:rsidTr="00737B18">
        <w:tc>
          <w:tcPr>
            <w:tcW w:w="496" w:type="dxa"/>
          </w:tcPr>
          <w:p w:rsidR="00AE2AE6" w:rsidRPr="008C7781" w:rsidRDefault="00AE2AE6" w:rsidP="00737B18">
            <w:pPr>
              <w:pStyle w:val="tekstost"/>
              <w:rPr>
                <w:rFonts w:asciiTheme="minorHAnsi" w:hAnsiTheme="minorHAnsi"/>
              </w:rPr>
            </w:pPr>
            <w:r w:rsidRPr="008C7781">
              <w:rPr>
                <w:rFonts w:asciiTheme="minorHAnsi" w:hAnsiTheme="minorHAnsi"/>
              </w:rPr>
              <w:t>13.</w:t>
            </w:r>
          </w:p>
        </w:tc>
        <w:tc>
          <w:tcPr>
            <w:tcW w:w="1701" w:type="dxa"/>
          </w:tcPr>
          <w:p w:rsidR="00AE2AE6" w:rsidRPr="008C7781" w:rsidRDefault="00AE2AE6" w:rsidP="00737B18">
            <w:pPr>
              <w:pStyle w:val="tekstost"/>
              <w:rPr>
                <w:rFonts w:asciiTheme="minorHAnsi" w:hAnsiTheme="minorHAnsi"/>
              </w:rPr>
            </w:pPr>
            <w:r w:rsidRPr="008C7781">
              <w:rPr>
                <w:rFonts w:asciiTheme="minorHAnsi" w:hAnsiTheme="minorHAnsi"/>
              </w:rPr>
              <w:t>BN-69/6731-08</w:t>
            </w:r>
          </w:p>
        </w:tc>
        <w:tc>
          <w:tcPr>
            <w:tcW w:w="5313" w:type="dxa"/>
          </w:tcPr>
          <w:p w:rsidR="00AE2AE6" w:rsidRPr="008C7781" w:rsidRDefault="00AE2AE6" w:rsidP="00737B18">
            <w:pPr>
              <w:pStyle w:val="tekstost"/>
              <w:rPr>
                <w:rFonts w:asciiTheme="minorHAnsi" w:hAnsiTheme="minorHAnsi"/>
              </w:rPr>
            </w:pPr>
            <w:r w:rsidRPr="008C7781">
              <w:rPr>
                <w:rFonts w:asciiTheme="minorHAnsi" w:hAnsiTheme="minorHAnsi"/>
              </w:rPr>
              <w:t>Cement. Transport i przechowywanie</w:t>
            </w:r>
          </w:p>
        </w:tc>
      </w:tr>
      <w:tr w:rsidR="00AE2AE6" w:rsidRPr="008C7781" w:rsidTr="00737B18">
        <w:tc>
          <w:tcPr>
            <w:tcW w:w="496" w:type="dxa"/>
          </w:tcPr>
          <w:p w:rsidR="00AE2AE6" w:rsidRPr="008C7781" w:rsidRDefault="00AE2AE6" w:rsidP="00737B18">
            <w:pPr>
              <w:pStyle w:val="tekstost"/>
              <w:rPr>
                <w:rFonts w:asciiTheme="minorHAnsi" w:hAnsiTheme="minorHAnsi"/>
              </w:rPr>
            </w:pPr>
            <w:r w:rsidRPr="008C7781">
              <w:rPr>
                <w:rFonts w:asciiTheme="minorHAnsi" w:hAnsiTheme="minorHAnsi"/>
              </w:rPr>
              <w:t>14.</w:t>
            </w:r>
          </w:p>
        </w:tc>
        <w:tc>
          <w:tcPr>
            <w:tcW w:w="1701" w:type="dxa"/>
          </w:tcPr>
          <w:p w:rsidR="00AE2AE6" w:rsidRPr="008C7781" w:rsidRDefault="00AE2AE6" w:rsidP="00737B18">
            <w:pPr>
              <w:pStyle w:val="tekstost"/>
              <w:rPr>
                <w:rFonts w:asciiTheme="minorHAnsi" w:hAnsiTheme="minorHAnsi"/>
              </w:rPr>
            </w:pPr>
            <w:r w:rsidRPr="008C7781">
              <w:rPr>
                <w:rFonts w:asciiTheme="minorHAnsi" w:hAnsiTheme="minorHAnsi"/>
              </w:rPr>
              <w:t>BN-74/6771-04</w:t>
            </w:r>
          </w:p>
        </w:tc>
        <w:tc>
          <w:tcPr>
            <w:tcW w:w="5313" w:type="dxa"/>
          </w:tcPr>
          <w:p w:rsidR="00AE2AE6" w:rsidRPr="008C7781" w:rsidRDefault="00AE2AE6" w:rsidP="00737B18">
            <w:pPr>
              <w:pStyle w:val="tekstost"/>
              <w:rPr>
                <w:rFonts w:asciiTheme="minorHAnsi" w:hAnsiTheme="minorHAnsi"/>
              </w:rPr>
            </w:pPr>
            <w:r w:rsidRPr="008C7781">
              <w:rPr>
                <w:rFonts w:asciiTheme="minorHAnsi" w:hAnsiTheme="minorHAnsi"/>
              </w:rPr>
              <w:t>Drogi samochodowe. Masa zalewowa</w:t>
            </w:r>
          </w:p>
        </w:tc>
      </w:tr>
      <w:tr w:rsidR="00AE2AE6" w:rsidRPr="008C7781" w:rsidTr="00737B18">
        <w:tc>
          <w:tcPr>
            <w:tcW w:w="496" w:type="dxa"/>
          </w:tcPr>
          <w:p w:rsidR="00AE2AE6" w:rsidRPr="008C7781" w:rsidRDefault="00AE2AE6" w:rsidP="00737B18">
            <w:pPr>
              <w:pStyle w:val="tekstost"/>
              <w:rPr>
                <w:rFonts w:asciiTheme="minorHAnsi" w:hAnsiTheme="minorHAnsi"/>
              </w:rPr>
            </w:pPr>
            <w:r w:rsidRPr="008C7781">
              <w:rPr>
                <w:rFonts w:asciiTheme="minorHAnsi" w:hAnsiTheme="minorHAnsi"/>
              </w:rPr>
              <w:t>15.</w:t>
            </w:r>
          </w:p>
        </w:tc>
        <w:tc>
          <w:tcPr>
            <w:tcW w:w="1701" w:type="dxa"/>
          </w:tcPr>
          <w:p w:rsidR="00AE2AE6" w:rsidRPr="008C7781" w:rsidRDefault="00AE2AE6" w:rsidP="00737B18">
            <w:pPr>
              <w:pStyle w:val="tekstost"/>
              <w:rPr>
                <w:rFonts w:asciiTheme="minorHAnsi" w:hAnsiTheme="minorHAnsi"/>
              </w:rPr>
            </w:pPr>
            <w:r w:rsidRPr="008C7781">
              <w:rPr>
                <w:rFonts w:asciiTheme="minorHAnsi" w:hAnsiTheme="minorHAnsi"/>
              </w:rPr>
              <w:t>BN-66/6775-01</w:t>
            </w:r>
          </w:p>
        </w:tc>
        <w:tc>
          <w:tcPr>
            <w:tcW w:w="5313" w:type="dxa"/>
          </w:tcPr>
          <w:p w:rsidR="00AE2AE6" w:rsidRPr="008C7781" w:rsidRDefault="00AE2AE6" w:rsidP="00737B18">
            <w:pPr>
              <w:pStyle w:val="tekstost"/>
              <w:rPr>
                <w:rFonts w:asciiTheme="minorHAnsi" w:hAnsiTheme="minorHAnsi"/>
              </w:rPr>
            </w:pPr>
            <w:r w:rsidRPr="008C7781">
              <w:rPr>
                <w:rFonts w:asciiTheme="minorHAnsi" w:hAnsiTheme="minorHAnsi"/>
              </w:rPr>
              <w:t>Elementy kamienne. Krawężniki uliczne, mostowe i drogowe</w:t>
            </w:r>
          </w:p>
        </w:tc>
      </w:tr>
    </w:tbl>
    <w:p w:rsidR="00AE2AE6" w:rsidRPr="008C7781" w:rsidRDefault="00AE2AE6" w:rsidP="00AE2AE6">
      <w:pPr>
        <w:rPr>
          <w:rFonts w:asciiTheme="minorHAnsi" w:hAnsiTheme="minorHAnsi"/>
        </w:rPr>
      </w:pPr>
    </w:p>
    <w:p w:rsidR="00AE2AE6" w:rsidRPr="008C7781" w:rsidRDefault="00AE2AE6" w:rsidP="00AE2AE6">
      <w:pPr>
        <w:rPr>
          <w:rFonts w:asciiTheme="minorHAnsi" w:hAnsiTheme="minorHAnsi"/>
        </w:rPr>
      </w:pPr>
    </w:p>
    <w:tbl>
      <w:tblPr>
        <w:tblW w:w="0" w:type="auto"/>
        <w:tblLayout w:type="fixed"/>
        <w:tblCellMar>
          <w:left w:w="70" w:type="dxa"/>
          <w:right w:w="70" w:type="dxa"/>
        </w:tblCellMar>
        <w:tblLook w:val="0000"/>
      </w:tblPr>
      <w:tblGrid>
        <w:gridCol w:w="496"/>
        <w:gridCol w:w="1701"/>
        <w:gridCol w:w="5313"/>
      </w:tblGrid>
      <w:tr w:rsidR="00AE2AE6" w:rsidRPr="008C7781" w:rsidTr="00737B18">
        <w:tc>
          <w:tcPr>
            <w:tcW w:w="496" w:type="dxa"/>
          </w:tcPr>
          <w:p w:rsidR="00AE2AE6" w:rsidRPr="008C7781" w:rsidRDefault="00AE2AE6" w:rsidP="00737B18">
            <w:pPr>
              <w:pStyle w:val="tekstost"/>
              <w:rPr>
                <w:rFonts w:asciiTheme="minorHAnsi" w:hAnsiTheme="minorHAnsi"/>
              </w:rPr>
            </w:pPr>
            <w:r w:rsidRPr="008C7781">
              <w:rPr>
                <w:rFonts w:asciiTheme="minorHAnsi" w:hAnsiTheme="minorHAnsi"/>
              </w:rPr>
              <w:t>16.</w:t>
            </w:r>
          </w:p>
        </w:tc>
        <w:tc>
          <w:tcPr>
            <w:tcW w:w="1701" w:type="dxa"/>
          </w:tcPr>
          <w:p w:rsidR="00AE2AE6" w:rsidRPr="008C7781" w:rsidRDefault="00AE2AE6" w:rsidP="00737B18">
            <w:pPr>
              <w:pStyle w:val="tekstost"/>
              <w:rPr>
                <w:rFonts w:asciiTheme="minorHAnsi" w:hAnsiTheme="minorHAnsi"/>
              </w:rPr>
            </w:pPr>
            <w:r w:rsidRPr="008C7781">
              <w:rPr>
                <w:rFonts w:asciiTheme="minorHAnsi" w:hAnsiTheme="minorHAnsi"/>
              </w:rPr>
              <w:t>BN-80/6775-03/01</w:t>
            </w:r>
          </w:p>
        </w:tc>
        <w:tc>
          <w:tcPr>
            <w:tcW w:w="5313" w:type="dxa"/>
          </w:tcPr>
          <w:p w:rsidR="00AE2AE6" w:rsidRPr="008C7781" w:rsidRDefault="00AE2AE6" w:rsidP="00737B18">
            <w:pPr>
              <w:pStyle w:val="tekstost"/>
              <w:rPr>
                <w:rFonts w:asciiTheme="minorHAnsi" w:hAnsiTheme="minorHAnsi"/>
              </w:rPr>
            </w:pPr>
            <w:r w:rsidRPr="008C7781">
              <w:rPr>
                <w:rFonts w:asciiTheme="minorHAnsi" w:hAnsiTheme="minorHAnsi"/>
              </w:rPr>
              <w:t>Prefabrykaty budowlane z betonu. Elementy nawierzchni dróg, ulic, parkingów i torowisk tramwajowych. Wspólne wymagania i badania</w:t>
            </w:r>
          </w:p>
        </w:tc>
      </w:tr>
      <w:tr w:rsidR="00AE2AE6" w:rsidRPr="008C7781" w:rsidTr="00737B18">
        <w:tc>
          <w:tcPr>
            <w:tcW w:w="496" w:type="dxa"/>
          </w:tcPr>
          <w:p w:rsidR="00AE2AE6" w:rsidRPr="008C7781" w:rsidRDefault="00AE2AE6" w:rsidP="00737B18">
            <w:pPr>
              <w:pStyle w:val="tekstost"/>
              <w:rPr>
                <w:rFonts w:asciiTheme="minorHAnsi" w:hAnsiTheme="minorHAnsi"/>
              </w:rPr>
            </w:pPr>
            <w:r w:rsidRPr="008C7781">
              <w:rPr>
                <w:rFonts w:asciiTheme="minorHAnsi" w:hAnsiTheme="minorHAnsi"/>
              </w:rPr>
              <w:t>17.</w:t>
            </w:r>
          </w:p>
        </w:tc>
        <w:tc>
          <w:tcPr>
            <w:tcW w:w="1701" w:type="dxa"/>
          </w:tcPr>
          <w:p w:rsidR="00AE2AE6" w:rsidRPr="008C7781" w:rsidRDefault="00AE2AE6" w:rsidP="00737B18">
            <w:pPr>
              <w:pStyle w:val="tekstost"/>
              <w:rPr>
                <w:rFonts w:asciiTheme="minorHAnsi" w:hAnsiTheme="minorHAnsi"/>
              </w:rPr>
            </w:pPr>
            <w:r w:rsidRPr="008C7781">
              <w:rPr>
                <w:rFonts w:asciiTheme="minorHAnsi" w:hAnsiTheme="minorHAnsi"/>
              </w:rPr>
              <w:t>BN-80/6775-03/04</w:t>
            </w:r>
          </w:p>
        </w:tc>
        <w:tc>
          <w:tcPr>
            <w:tcW w:w="5313" w:type="dxa"/>
          </w:tcPr>
          <w:p w:rsidR="00AE2AE6" w:rsidRPr="008C7781" w:rsidRDefault="00AE2AE6" w:rsidP="00737B18">
            <w:pPr>
              <w:pStyle w:val="tekstost"/>
              <w:rPr>
                <w:rFonts w:asciiTheme="minorHAnsi" w:hAnsiTheme="minorHAnsi"/>
              </w:rPr>
            </w:pPr>
            <w:r w:rsidRPr="008C7781">
              <w:rPr>
                <w:rFonts w:asciiTheme="minorHAnsi" w:hAnsiTheme="minorHAnsi"/>
              </w:rPr>
              <w:t>Prefabrykaty budowlane z betonu. Elementy nawierzchni dróg, ulic, parkingów i torowisk tramwajowych. Krawężniki i obrzeża</w:t>
            </w:r>
          </w:p>
        </w:tc>
      </w:tr>
      <w:tr w:rsidR="00AE2AE6" w:rsidRPr="008C7781" w:rsidTr="00737B18">
        <w:tc>
          <w:tcPr>
            <w:tcW w:w="496" w:type="dxa"/>
          </w:tcPr>
          <w:p w:rsidR="00AE2AE6" w:rsidRPr="008C7781" w:rsidRDefault="00AE2AE6" w:rsidP="00737B18">
            <w:pPr>
              <w:pStyle w:val="tekstost"/>
              <w:rPr>
                <w:rFonts w:asciiTheme="minorHAnsi" w:hAnsiTheme="minorHAnsi"/>
              </w:rPr>
            </w:pPr>
            <w:r w:rsidRPr="008C7781">
              <w:rPr>
                <w:rFonts w:asciiTheme="minorHAnsi" w:hAnsiTheme="minorHAnsi"/>
              </w:rPr>
              <w:t>18.</w:t>
            </w:r>
          </w:p>
        </w:tc>
        <w:tc>
          <w:tcPr>
            <w:tcW w:w="1701" w:type="dxa"/>
          </w:tcPr>
          <w:p w:rsidR="00AE2AE6" w:rsidRPr="008C7781" w:rsidRDefault="00AE2AE6" w:rsidP="00737B18">
            <w:pPr>
              <w:pStyle w:val="tekstost"/>
              <w:rPr>
                <w:rFonts w:asciiTheme="minorHAnsi" w:hAnsiTheme="minorHAnsi"/>
              </w:rPr>
            </w:pPr>
            <w:r w:rsidRPr="008C7781">
              <w:rPr>
                <w:rFonts w:asciiTheme="minorHAnsi" w:hAnsiTheme="minorHAnsi"/>
              </w:rPr>
              <w:t>BN-68/8931-04</w:t>
            </w:r>
          </w:p>
        </w:tc>
        <w:tc>
          <w:tcPr>
            <w:tcW w:w="5313" w:type="dxa"/>
          </w:tcPr>
          <w:p w:rsidR="00AE2AE6" w:rsidRPr="008C7781" w:rsidRDefault="00AE2AE6" w:rsidP="00737B18">
            <w:pPr>
              <w:pStyle w:val="tekstost"/>
              <w:rPr>
                <w:rFonts w:asciiTheme="minorHAnsi" w:hAnsiTheme="minorHAnsi"/>
              </w:rPr>
            </w:pPr>
            <w:r w:rsidRPr="008C7781">
              <w:rPr>
                <w:rFonts w:asciiTheme="minorHAnsi" w:hAnsiTheme="minorHAnsi"/>
              </w:rPr>
              <w:t>Drogi samochodowe. Pomiar równości nawierzchni planografem i łatą.</w:t>
            </w:r>
          </w:p>
        </w:tc>
      </w:tr>
    </w:tbl>
    <w:p w:rsidR="00AE2AE6" w:rsidRPr="008C7781" w:rsidRDefault="00AE2AE6" w:rsidP="00AE2AE6">
      <w:pPr>
        <w:rPr>
          <w:rFonts w:asciiTheme="minorHAnsi" w:hAnsiTheme="minorHAnsi"/>
        </w:rPr>
      </w:pPr>
      <w:r w:rsidRPr="008C7781">
        <w:rPr>
          <w:rFonts w:asciiTheme="minorHAnsi" w:hAnsiTheme="minorHAnsi"/>
          <w:b/>
        </w:rPr>
        <w:t>10.2.</w:t>
      </w:r>
      <w:r w:rsidRPr="008C7781">
        <w:rPr>
          <w:rFonts w:asciiTheme="minorHAnsi" w:hAnsiTheme="minorHAnsi"/>
        </w:rPr>
        <w:t xml:space="preserve"> Inne dokumenty</w:t>
      </w:r>
    </w:p>
    <w:p w:rsidR="00AE2AE6" w:rsidRPr="008C7781" w:rsidRDefault="00AE2AE6" w:rsidP="00AE2AE6">
      <w:pPr>
        <w:rPr>
          <w:rFonts w:asciiTheme="minorHAnsi" w:hAnsiTheme="minorHAnsi"/>
        </w:rPr>
      </w:pPr>
      <w:r w:rsidRPr="008C7781">
        <w:rPr>
          <w:rFonts w:asciiTheme="minorHAnsi" w:hAnsiTheme="minorHAnsi"/>
        </w:rPr>
        <w:t>19.    Warunki techniczne. Drogowe emulsje asfaltowe EmA-94. IBDiM - 1994 r.</w:t>
      </w:r>
    </w:p>
    <w:p w:rsidR="00A0310B" w:rsidRPr="004B054E" w:rsidRDefault="00A0310B" w:rsidP="004B054E"/>
    <w:p w:rsidR="00F110DD" w:rsidRDefault="00F110DD" w:rsidP="00F110DD">
      <w:bookmarkStart w:id="1481" w:name="_Toc404442662"/>
    </w:p>
    <w:bookmarkEnd w:id="1481"/>
    <w:p w:rsidR="004B054E" w:rsidRDefault="004B054E" w:rsidP="00134B2C">
      <w:pPr>
        <w:spacing w:after="120"/>
      </w:pPr>
    </w:p>
    <w:p w:rsidR="004B054E" w:rsidRDefault="004B054E" w:rsidP="00134B2C">
      <w:pPr>
        <w:spacing w:after="120"/>
      </w:pPr>
    </w:p>
    <w:p w:rsidR="004B054E" w:rsidRDefault="004B054E" w:rsidP="00134B2C">
      <w:pPr>
        <w:spacing w:after="120"/>
      </w:pPr>
    </w:p>
    <w:p w:rsidR="004B054E" w:rsidRDefault="004B054E" w:rsidP="00134B2C">
      <w:pPr>
        <w:spacing w:after="120"/>
      </w:pPr>
    </w:p>
    <w:p w:rsidR="004B054E" w:rsidRDefault="004B054E" w:rsidP="00134B2C">
      <w:pPr>
        <w:spacing w:after="120"/>
      </w:pPr>
    </w:p>
    <w:p w:rsidR="004B054E" w:rsidRDefault="004B054E" w:rsidP="00134B2C">
      <w:pPr>
        <w:spacing w:after="120"/>
      </w:pPr>
    </w:p>
    <w:p w:rsidR="004B054E" w:rsidRDefault="004B054E" w:rsidP="00134B2C">
      <w:pPr>
        <w:spacing w:after="120"/>
      </w:pPr>
    </w:p>
    <w:p w:rsidR="00AE2AE6" w:rsidRDefault="00AE2AE6" w:rsidP="00134B2C">
      <w:pPr>
        <w:spacing w:after="120"/>
      </w:pPr>
    </w:p>
    <w:p w:rsidR="00AE2AE6" w:rsidRDefault="00AE2AE6" w:rsidP="00134B2C">
      <w:pPr>
        <w:spacing w:after="120"/>
      </w:pPr>
    </w:p>
    <w:p w:rsidR="00AE2AE6" w:rsidRDefault="00AE2AE6" w:rsidP="00134B2C">
      <w:pPr>
        <w:spacing w:after="120"/>
      </w:pPr>
    </w:p>
    <w:p w:rsidR="00AE2AE6" w:rsidRDefault="00AE2AE6" w:rsidP="00134B2C">
      <w:pPr>
        <w:spacing w:after="120"/>
      </w:pPr>
    </w:p>
    <w:p w:rsidR="00AE2AE6" w:rsidRDefault="00AE2AE6" w:rsidP="00134B2C">
      <w:pPr>
        <w:spacing w:after="120"/>
      </w:pPr>
    </w:p>
    <w:p w:rsidR="00AE2AE6" w:rsidRDefault="00AE2AE6" w:rsidP="00134B2C">
      <w:pPr>
        <w:spacing w:after="120"/>
      </w:pPr>
    </w:p>
    <w:p w:rsidR="00AE2AE6" w:rsidRDefault="00AE2AE6" w:rsidP="00134B2C">
      <w:pPr>
        <w:spacing w:after="120"/>
      </w:pPr>
    </w:p>
    <w:p w:rsidR="000C27BF" w:rsidRDefault="000C27BF" w:rsidP="00134B2C">
      <w:pPr>
        <w:spacing w:after="120"/>
      </w:pPr>
    </w:p>
    <w:p w:rsidR="000C27BF" w:rsidRDefault="000C27BF" w:rsidP="00134B2C">
      <w:pPr>
        <w:spacing w:after="120"/>
      </w:pPr>
    </w:p>
    <w:p w:rsidR="000C27BF" w:rsidRDefault="000C27BF" w:rsidP="00134B2C">
      <w:pPr>
        <w:spacing w:after="120"/>
      </w:pPr>
    </w:p>
    <w:p w:rsidR="00AE2AE6" w:rsidRDefault="00AE2AE6" w:rsidP="00134B2C">
      <w:pPr>
        <w:spacing w:after="120"/>
      </w:pPr>
    </w:p>
    <w:p w:rsidR="00AE2AE6" w:rsidRDefault="00AE2AE6" w:rsidP="00134B2C">
      <w:pPr>
        <w:spacing w:after="120"/>
      </w:pPr>
    </w:p>
    <w:p w:rsidR="00AE2AE6" w:rsidRDefault="00AE2AE6" w:rsidP="00134B2C">
      <w:pPr>
        <w:spacing w:after="120"/>
      </w:pPr>
    </w:p>
    <w:p w:rsidR="000C27BF" w:rsidRDefault="000C27BF" w:rsidP="00134B2C">
      <w:pPr>
        <w:spacing w:after="120"/>
      </w:pPr>
    </w:p>
    <w:p w:rsidR="000C27BF" w:rsidRDefault="000C27BF" w:rsidP="00134B2C">
      <w:pPr>
        <w:spacing w:after="120"/>
      </w:pPr>
    </w:p>
    <w:p w:rsidR="00AE2AE6" w:rsidRDefault="00AE2AE6" w:rsidP="00134B2C">
      <w:pPr>
        <w:spacing w:after="120"/>
      </w:pPr>
    </w:p>
    <w:p w:rsidR="00AE2AE6" w:rsidRDefault="00AE2AE6" w:rsidP="00134B2C">
      <w:pPr>
        <w:spacing w:after="120"/>
      </w:pPr>
    </w:p>
    <w:p w:rsidR="00AE2AE6" w:rsidRDefault="00AE2AE6" w:rsidP="00134B2C">
      <w:pPr>
        <w:spacing w:after="120"/>
      </w:pPr>
    </w:p>
    <w:p w:rsidR="00134B2C" w:rsidRPr="00214F35" w:rsidRDefault="00A0310B" w:rsidP="00BB2441">
      <w:pPr>
        <w:pStyle w:val="Nagwek1"/>
        <w:jc w:val="center"/>
      </w:pPr>
      <w:bookmarkStart w:id="1482" w:name="_Toc237920699"/>
      <w:bookmarkStart w:id="1483" w:name="_Toc438237729"/>
      <w:r>
        <w:t>D</w:t>
      </w:r>
      <w:r w:rsidR="00134B2C" w:rsidRPr="00214F35">
        <w:t>–05.03.05a</w:t>
      </w:r>
      <w:r>
        <w:t xml:space="preserve">  NAWIERZCHNIA </w:t>
      </w:r>
      <w:r w:rsidR="00134B2C" w:rsidRPr="00214F35">
        <w:t>Z BETONU ASF</w:t>
      </w:r>
      <w:r>
        <w:t>ALTOWEGO. WARSTWA ŚCIERALNA wg WT-1 i WT-2 z</w:t>
      </w:r>
      <w:r w:rsidR="00134B2C" w:rsidRPr="00214F35">
        <w:t xml:space="preserve"> 2010 r.</w:t>
      </w:r>
      <w:bookmarkEnd w:id="1483"/>
    </w:p>
    <w:p w:rsidR="00134B2C" w:rsidRPr="00214F35" w:rsidRDefault="00134B2C" w:rsidP="00134B2C">
      <w:pPr>
        <w:rPr>
          <w:rFonts w:ascii="Calibri" w:hAnsi="Calibri"/>
        </w:rPr>
      </w:pPr>
    </w:p>
    <w:p w:rsidR="00134B2C" w:rsidRPr="00214F35" w:rsidRDefault="00134B2C" w:rsidP="00134B2C">
      <w:pPr>
        <w:rPr>
          <w:rFonts w:ascii="Calibri" w:hAnsi="Calibri"/>
        </w:rPr>
      </w:pPr>
    </w:p>
    <w:p w:rsidR="00134B2C" w:rsidRPr="00214F35" w:rsidRDefault="00134B2C" w:rsidP="00134B2C">
      <w:pPr>
        <w:rPr>
          <w:rFonts w:ascii="Calibri" w:hAnsi="Calibri"/>
        </w:rPr>
      </w:pPr>
    </w:p>
    <w:p w:rsidR="00134B2C" w:rsidRPr="00214F35" w:rsidRDefault="00134B2C" w:rsidP="00134B2C">
      <w:pPr>
        <w:rPr>
          <w:rFonts w:ascii="Calibri" w:hAnsi="Calibri"/>
        </w:rPr>
      </w:pPr>
    </w:p>
    <w:p w:rsidR="00134B2C" w:rsidRPr="00214F35" w:rsidRDefault="00134B2C" w:rsidP="00134B2C">
      <w:pPr>
        <w:rPr>
          <w:rFonts w:ascii="Calibri" w:hAnsi="Calibri"/>
        </w:rPr>
      </w:pPr>
    </w:p>
    <w:p w:rsidR="00134B2C" w:rsidRPr="00214F35" w:rsidRDefault="00134B2C" w:rsidP="00134B2C">
      <w:pPr>
        <w:rPr>
          <w:rFonts w:ascii="Calibri" w:hAnsi="Calibri"/>
        </w:rPr>
      </w:pPr>
    </w:p>
    <w:p w:rsidR="00A0310B" w:rsidRDefault="00A0310B" w:rsidP="00134B2C">
      <w:pPr>
        <w:rPr>
          <w:rFonts w:ascii="Calibri" w:hAnsi="Calibri"/>
          <w:b/>
        </w:rPr>
      </w:pPr>
    </w:p>
    <w:p w:rsidR="00A0310B" w:rsidRDefault="00A0310B" w:rsidP="00134B2C">
      <w:pPr>
        <w:rPr>
          <w:rFonts w:ascii="Calibri" w:hAnsi="Calibri"/>
          <w:b/>
        </w:rPr>
      </w:pPr>
    </w:p>
    <w:p w:rsidR="00A0310B" w:rsidRDefault="00A0310B" w:rsidP="00134B2C">
      <w:pPr>
        <w:rPr>
          <w:rFonts w:ascii="Calibri" w:hAnsi="Calibri"/>
          <w:b/>
        </w:rPr>
      </w:pPr>
    </w:p>
    <w:p w:rsidR="00A0310B" w:rsidRDefault="00A0310B" w:rsidP="00134B2C">
      <w:pPr>
        <w:rPr>
          <w:rFonts w:ascii="Calibri" w:hAnsi="Calibri"/>
          <w:b/>
        </w:rPr>
      </w:pPr>
    </w:p>
    <w:p w:rsidR="00A0310B" w:rsidRDefault="00A0310B" w:rsidP="00134B2C">
      <w:pPr>
        <w:rPr>
          <w:rFonts w:ascii="Calibri" w:hAnsi="Calibri"/>
          <w:b/>
        </w:rPr>
      </w:pPr>
    </w:p>
    <w:p w:rsidR="00A0310B" w:rsidRDefault="00A0310B" w:rsidP="00134B2C">
      <w:pPr>
        <w:rPr>
          <w:rFonts w:ascii="Calibri" w:hAnsi="Calibri"/>
          <w:b/>
        </w:rPr>
      </w:pPr>
    </w:p>
    <w:p w:rsidR="00A0310B" w:rsidRDefault="00A0310B" w:rsidP="00134B2C">
      <w:pPr>
        <w:rPr>
          <w:rFonts w:ascii="Calibri" w:hAnsi="Calibri"/>
          <w:b/>
        </w:rPr>
      </w:pPr>
    </w:p>
    <w:p w:rsidR="00A0310B" w:rsidRDefault="00A0310B" w:rsidP="00134B2C">
      <w:pPr>
        <w:rPr>
          <w:rFonts w:ascii="Calibri" w:hAnsi="Calibri"/>
          <w:b/>
        </w:rPr>
      </w:pPr>
    </w:p>
    <w:p w:rsidR="00A0310B" w:rsidRDefault="00A0310B" w:rsidP="00134B2C">
      <w:pPr>
        <w:rPr>
          <w:rFonts w:ascii="Calibri" w:hAnsi="Calibri"/>
          <w:b/>
        </w:rPr>
      </w:pPr>
    </w:p>
    <w:p w:rsidR="00A0310B" w:rsidRDefault="00A0310B" w:rsidP="00134B2C">
      <w:pPr>
        <w:rPr>
          <w:rFonts w:ascii="Calibri" w:hAnsi="Calibri"/>
          <w:b/>
        </w:rPr>
      </w:pPr>
    </w:p>
    <w:p w:rsidR="00A0310B" w:rsidRDefault="00A0310B" w:rsidP="00134B2C">
      <w:pPr>
        <w:rPr>
          <w:rFonts w:ascii="Calibri" w:hAnsi="Calibri"/>
          <w:b/>
        </w:rPr>
      </w:pPr>
    </w:p>
    <w:p w:rsidR="000C27BF" w:rsidRDefault="000C27BF" w:rsidP="00134B2C">
      <w:pPr>
        <w:rPr>
          <w:rFonts w:ascii="Calibri" w:hAnsi="Calibri"/>
          <w:b/>
        </w:rPr>
      </w:pPr>
    </w:p>
    <w:p w:rsidR="00A0310B" w:rsidRDefault="00A0310B" w:rsidP="00134B2C">
      <w:pPr>
        <w:rPr>
          <w:rFonts w:ascii="Calibri" w:hAnsi="Calibri"/>
          <w:b/>
        </w:rPr>
      </w:pPr>
    </w:p>
    <w:p w:rsidR="00A0310B" w:rsidRDefault="00A0310B" w:rsidP="00134B2C">
      <w:pPr>
        <w:rPr>
          <w:rFonts w:ascii="Calibri" w:hAnsi="Calibri"/>
          <w:b/>
        </w:rPr>
      </w:pPr>
    </w:p>
    <w:p w:rsidR="00A0310B" w:rsidRDefault="00A0310B" w:rsidP="00134B2C">
      <w:pPr>
        <w:rPr>
          <w:rFonts w:ascii="Calibri" w:hAnsi="Calibri"/>
          <w:b/>
        </w:rPr>
      </w:pPr>
    </w:p>
    <w:p w:rsidR="00A0310B" w:rsidRDefault="00A0310B" w:rsidP="00134B2C">
      <w:pPr>
        <w:rPr>
          <w:rFonts w:ascii="Calibri" w:hAnsi="Calibri"/>
          <w:b/>
        </w:rPr>
      </w:pPr>
    </w:p>
    <w:p w:rsidR="00A0310B" w:rsidRDefault="00A0310B" w:rsidP="00134B2C">
      <w:pPr>
        <w:rPr>
          <w:rFonts w:ascii="Calibri" w:hAnsi="Calibri"/>
          <w:b/>
        </w:rPr>
      </w:pPr>
    </w:p>
    <w:p w:rsidR="00A0310B" w:rsidRDefault="00A0310B" w:rsidP="00134B2C">
      <w:pPr>
        <w:rPr>
          <w:rFonts w:ascii="Calibri" w:hAnsi="Calibri"/>
          <w:b/>
        </w:rPr>
      </w:pPr>
    </w:p>
    <w:p w:rsidR="00A0310B" w:rsidRDefault="00A0310B" w:rsidP="00134B2C">
      <w:pPr>
        <w:rPr>
          <w:rFonts w:ascii="Calibri" w:hAnsi="Calibri"/>
          <w:b/>
        </w:rPr>
      </w:pPr>
    </w:p>
    <w:p w:rsidR="00A0310B" w:rsidRDefault="00A0310B" w:rsidP="00134B2C">
      <w:pPr>
        <w:rPr>
          <w:rFonts w:ascii="Calibri" w:hAnsi="Calibri"/>
          <w:b/>
        </w:rPr>
      </w:pPr>
    </w:p>
    <w:p w:rsidR="00A0310B" w:rsidRDefault="00A0310B" w:rsidP="00134B2C">
      <w:pPr>
        <w:rPr>
          <w:rFonts w:ascii="Calibri" w:hAnsi="Calibri"/>
          <w:b/>
        </w:rPr>
      </w:pPr>
    </w:p>
    <w:p w:rsidR="00A0310B" w:rsidRDefault="00A0310B" w:rsidP="00134B2C">
      <w:pPr>
        <w:rPr>
          <w:rFonts w:ascii="Calibri" w:hAnsi="Calibri"/>
          <w:b/>
        </w:rPr>
      </w:pPr>
    </w:p>
    <w:p w:rsidR="00A0310B" w:rsidRDefault="00A0310B" w:rsidP="00134B2C">
      <w:pPr>
        <w:rPr>
          <w:rFonts w:ascii="Calibri" w:hAnsi="Calibri"/>
          <w:b/>
        </w:rPr>
      </w:pPr>
    </w:p>
    <w:p w:rsidR="00A0310B" w:rsidRDefault="00A0310B" w:rsidP="00134B2C">
      <w:pPr>
        <w:rPr>
          <w:rFonts w:ascii="Calibri" w:hAnsi="Calibri"/>
          <w:b/>
        </w:rPr>
      </w:pPr>
    </w:p>
    <w:p w:rsidR="00A0310B" w:rsidRDefault="00A0310B" w:rsidP="00134B2C">
      <w:pPr>
        <w:rPr>
          <w:rFonts w:ascii="Calibri" w:hAnsi="Calibri"/>
          <w:b/>
        </w:rPr>
      </w:pPr>
    </w:p>
    <w:p w:rsidR="00A0310B" w:rsidRDefault="00A0310B" w:rsidP="00134B2C">
      <w:pPr>
        <w:rPr>
          <w:rFonts w:ascii="Calibri" w:hAnsi="Calibri"/>
          <w:b/>
        </w:rPr>
      </w:pPr>
    </w:p>
    <w:p w:rsidR="00A0310B" w:rsidRDefault="00A0310B" w:rsidP="00134B2C">
      <w:pPr>
        <w:rPr>
          <w:rFonts w:ascii="Calibri" w:hAnsi="Calibri"/>
          <w:b/>
        </w:rPr>
      </w:pPr>
    </w:p>
    <w:p w:rsidR="002C6A04" w:rsidRDefault="002C6A04" w:rsidP="00134B2C">
      <w:pPr>
        <w:rPr>
          <w:rFonts w:ascii="Calibri" w:hAnsi="Calibri"/>
          <w:b/>
        </w:rPr>
      </w:pPr>
    </w:p>
    <w:p w:rsidR="002C6A04" w:rsidRDefault="002C6A04" w:rsidP="00134B2C">
      <w:pPr>
        <w:rPr>
          <w:rFonts w:ascii="Calibri" w:hAnsi="Calibri"/>
          <w:b/>
        </w:rPr>
      </w:pPr>
    </w:p>
    <w:p w:rsidR="002C6A04" w:rsidRDefault="002C6A04" w:rsidP="00134B2C">
      <w:pPr>
        <w:rPr>
          <w:rFonts w:ascii="Calibri" w:hAnsi="Calibri"/>
          <w:b/>
        </w:rPr>
      </w:pPr>
    </w:p>
    <w:p w:rsidR="00A0310B" w:rsidRDefault="00A0310B" w:rsidP="00134B2C">
      <w:pPr>
        <w:rPr>
          <w:rFonts w:ascii="Calibri" w:hAnsi="Calibri"/>
          <w:b/>
        </w:rPr>
      </w:pPr>
    </w:p>
    <w:p w:rsidR="00A0310B" w:rsidRDefault="00A0310B" w:rsidP="00134B2C">
      <w:pPr>
        <w:rPr>
          <w:rFonts w:ascii="Calibri" w:hAnsi="Calibri"/>
          <w:b/>
        </w:rPr>
      </w:pPr>
    </w:p>
    <w:p w:rsidR="00134B2C" w:rsidRPr="00EC730D" w:rsidRDefault="00134B2C" w:rsidP="00134B2C">
      <w:pPr>
        <w:rPr>
          <w:rFonts w:ascii="Calibri" w:hAnsi="Calibri"/>
          <w:b/>
        </w:rPr>
      </w:pPr>
      <w:r w:rsidRPr="00EC730D">
        <w:rPr>
          <w:rFonts w:ascii="Calibri" w:hAnsi="Calibri"/>
          <w:b/>
        </w:rPr>
        <w:lastRenderedPageBreak/>
        <w:t>1. WSTĘP</w:t>
      </w:r>
      <w:bookmarkEnd w:id="1482"/>
      <w:r w:rsidRPr="00EC730D">
        <w:rPr>
          <w:rFonts w:ascii="Calibri" w:hAnsi="Calibri"/>
          <w:b/>
        </w:rPr>
        <w:tab/>
      </w:r>
    </w:p>
    <w:p w:rsidR="00134B2C" w:rsidRPr="00214F35" w:rsidRDefault="00134B2C" w:rsidP="00134B2C">
      <w:pPr>
        <w:rPr>
          <w:rFonts w:ascii="Calibri" w:hAnsi="Calibri"/>
        </w:rPr>
      </w:pPr>
      <w:r w:rsidRPr="00EC730D">
        <w:rPr>
          <w:rFonts w:ascii="Calibri" w:hAnsi="Calibri"/>
          <w:b/>
        </w:rPr>
        <w:t>1.1.</w:t>
      </w:r>
      <w:r>
        <w:rPr>
          <w:rFonts w:ascii="Calibri" w:hAnsi="Calibri"/>
        </w:rPr>
        <w:t xml:space="preserve"> Przedmiot </w:t>
      </w:r>
      <w:r w:rsidRPr="00214F35">
        <w:rPr>
          <w:rFonts w:ascii="Calibri" w:hAnsi="Calibri"/>
        </w:rPr>
        <w:t>ST</w:t>
      </w:r>
    </w:p>
    <w:p w:rsidR="00134B2C" w:rsidRPr="00214F35" w:rsidRDefault="00134B2C" w:rsidP="004B054E">
      <w:pPr>
        <w:tabs>
          <w:tab w:val="left" w:pos="709"/>
        </w:tabs>
        <w:rPr>
          <w:rFonts w:ascii="Calibri" w:hAnsi="Calibri"/>
        </w:rPr>
      </w:pPr>
      <w:r>
        <w:rPr>
          <w:rFonts w:ascii="Calibri" w:hAnsi="Calibri"/>
        </w:rPr>
        <w:tab/>
        <w:t>Przedmiotem niniejszej specyfikacji technicznej (</w:t>
      </w:r>
      <w:r w:rsidRPr="00214F35">
        <w:rPr>
          <w:rFonts w:ascii="Calibri" w:hAnsi="Calibri"/>
        </w:rPr>
        <w:t>ST) są wymagania dotyczące wykonania i odbioru robót związanych z wykonaniem warstwy ścieralnej z betonu asfaltowego.</w:t>
      </w:r>
    </w:p>
    <w:p w:rsidR="00134B2C" w:rsidRPr="00214F35" w:rsidRDefault="00134B2C" w:rsidP="00134B2C">
      <w:pPr>
        <w:rPr>
          <w:rFonts w:ascii="Calibri" w:hAnsi="Calibri"/>
        </w:rPr>
      </w:pPr>
      <w:r w:rsidRPr="00EC730D">
        <w:rPr>
          <w:rFonts w:ascii="Calibri" w:hAnsi="Calibri"/>
          <w:b/>
        </w:rPr>
        <w:t>1.2.</w:t>
      </w:r>
      <w:r>
        <w:rPr>
          <w:rFonts w:ascii="Calibri" w:hAnsi="Calibri"/>
        </w:rPr>
        <w:t xml:space="preserve"> Zakres stosowania </w:t>
      </w:r>
      <w:r w:rsidRPr="00214F35">
        <w:rPr>
          <w:rFonts w:ascii="Calibri" w:hAnsi="Calibri"/>
        </w:rPr>
        <w:t>ST</w:t>
      </w:r>
    </w:p>
    <w:p w:rsidR="00134B2C" w:rsidRPr="007621DF" w:rsidRDefault="00134B2C" w:rsidP="00134B2C">
      <w:pPr>
        <w:rPr>
          <w:rFonts w:ascii="Calibri" w:hAnsi="Calibri" w:cs="Calibri"/>
        </w:rPr>
      </w:pPr>
      <w:r w:rsidRPr="00214F35">
        <w:rPr>
          <w:rFonts w:ascii="Calibri" w:hAnsi="Calibri"/>
        </w:rPr>
        <w:tab/>
      </w:r>
      <w:r w:rsidRPr="007621DF">
        <w:rPr>
          <w:rFonts w:ascii="Calibri" w:hAnsi="Calibri" w:cs="Calibri"/>
        </w:rPr>
        <w:t>Specyfikacja techniczna określa wymagania dla wykonania i odbioru robót budowlanych przewidzianych do wykonania w ramach umowy a zawarte w niej zapisy w zakresie standardu materiałów, wykonania robót i wymaganej ich jakości oraz kontroli jakości robót należy traktować jako minimalne.</w:t>
      </w:r>
    </w:p>
    <w:p w:rsidR="00134B2C" w:rsidRPr="00214F35" w:rsidRDefault="00134B2C" w:rsidP="00134B2C">
      <w:pPr>
        <w:rPr>
          <w:rFonts w:ascii="Calibri" w:hAnsi="Calibri"/>
        </w:rPr>
      </w:pPr>
      <w:r w:rsidRPr="00EC730D">
        <w:rPr>
          <w:rFonts w:ascii="Calibri" w:hAnsi="Calibri"/>
          <w:b/>
        </w:rPr>
        <w:t>1.3.</w:t>
      </w:r>
      <w:r>
        <w:rPr>
          <w:rFonts w:ascii="Calibri" w:hAnsi="Calibri"/>
        </w:rPr>
        <w:t xml:space="preserve"> Zakres robót objętych </w:t>
      </w:r>
      <w:r w:rsidRPr="00214F35">
        <w:rPr>
          <w:rFonts w:ascii="Calibri" w:hAnsi="Calibri"/>
        </w:rPr>
        <w:t>ST</w:t>
      </w:r>
    </w:p>
    <w:p w:rsidR="00C3299C" w:rsidRPr="00C3299C" w:rsidRDefault="00134B2C" w:rsidP="00C3299C">
      <w:pPr>
        <w:rPr>
          <w:rFonts w:asciiTheme="minorHAnsi" w:hAnsiTheme="minorHAnsi" w:cs="Calibri"/>
        </w:rPr>
      </w:pPr>
      <w:r w:rsidRPr="00214F35">
        <w:rPr>
          <w:rFonts w:ascii="Calibri" w:hAnsi="Calibri"/>
        </w:rPr>
        <w:tab/>
        <w:t>Ustalenia zawarte w niniejszej specyfikacji dotyczą zasad prowadzenia robót związanych z wykonaniem i odbiorem warstwy ścieralnej z betonu asfaltowego wg PN-EN 13108-1 [47] i WT-2 Nawierzchnie asfaltowe 2010 [65] z mieszanki mineralno-asfalt</w:t>
      </w:r>
      <w:r w:rsidR="002C6A04">
        <w:rPr>
          <w:rFonts w:ascii="Calibri" w:hAnsi="Calibri"/>
        </w:rPr>
        <w:t xml:space="preserve">owej dostarczonej od producenta </w:t>
      </w:r>
      <w:r w:rsidR="00C3299C" w:rsidRPr="00C3299C">
        <w:rPr>
          <w:rFonts w:ascii="Calibri" w:hAnsi="Calibri" w:cs="Calibri"/>
        </w:rPr>
        <w:t>w związku z „</w:t>
      </w:r>
      <w:r w:rsidR="00C3299C" w:rsidRPr="00C3299C">
        <w:rPr>
          <w:rFonts w:asciiTheme="minorHAnsi" w:hAnsiTheme="minorHAnsi"/>
        </w:rPr>
        <w:t>Przebudową ul.55 Pułku Piechoty w Lesznie wraz z przebudową oświetlenia”</w:t>
      </w:r>
      <w:r w:rsidR="00C3299C" w:rsidRPr="00C3299C">
        <w:rPr>
          <w:rFonts w:asciiTheme="minorHAnsi" w:hAnsiTheme="minorHAnsi" w:cs="Calibri"/>
        </w:rPr>
        <w:t>.</w:t>
      </w:r>
    </w:p>
    <w:p w:rsidR="00134B2C" w:rsidRPr="00214F35" w:rsidRDefault="002C6A04" w:rsidP="00134B2C">
      <w:pPr>
        <w:rPr>
          <w:rFonts w:ascii="Calibri" w:hAnsi="Calibri"/>
        </w:rPr>
      </w:pPr>
      <w:r>
        <w:rPr>
          <w:rFonts w:ascii="Calibri" w:hAnsi="Calibri" w:cs="Calibri"/>
        </w:rPr>
        <w:tab/>
      </w:r>
      <w:r w:rsidR="00134B2C" w:rsidRPr="00214F35">
        <w:rPr>
          <w:rFonts w:ascii="Calibri" w:hAnsi="Calibri"/>
        </w:rPr>
        <w:t>W przypadku produkcji mieszanki mineralno-asfaltowej przez Wykonawcę dla potrzeb budowy, Wykonawca zobowiązany jest prowadzić Zakładową kontrolę produkcji (ZKP) zgodnie z WT-2 [65] punkt 8.4.1.5.</w:t>
      </w:r>
    </w:p>
    <w:p w:rsidR="00134B2C" w:rsidRDefault="00134B2C" w:rsidP="00134B2C">
      <w:pPr>
        <w:rPr>
          <w:rFonts w:ascii="Calibri" w:hAnsi="Calibri"/>
        </w:rPr>
      </w:pPr>
      <w:r w:rsidRPr="00214F35">
        <w:rPr>
          <w:rFonts w:ascii="Calibri" w:hAnsi="Calibri"/>
        </w:rPr>
        <w:tab/>
        <w:t>Warstwę ścieralną z betonu asfaltowego można wykonywać dla dróg kategorii ruchu od KR1 do KR6 (określenie kategorii ruchu podano w punkcie 1.4.7). Stosowane mieszanki  betonu asfaltowego o wymiarze D podano w tablicy 1.</w:t>
      </w:r>
    </w:p>
    <w:p w:rsidR="00134B2C" w:rsidRPr="00214F35" w:rsidRDefault="00134B2C" w:rsidP="00134B2C">
      <w:pPr>
        <w:rPr>
          <w:rFonts w:ascii="Calibri" w:hAnsi="Calibri"/>
        </w:rPr>
      </w:pPr>
    </w:p>
    <w:p w:rsidR="00134B2C" w:rsidRPr="00214F35" w:rsidRDefault="00134B2C" w:rsidP="00134B2C">
      <w:pPr>
        <w:ind w:left="709"/>
        <w:rPr>
          <w:rFonts w:ascii="Calibri" w:hAnsi="Calibri"/>
        </w:rPr>
      </w:pPr>
      <w:r w:rsidRPr="00214F35">
        <w:rPr>
          <w:rFonts w:ascii="Calibri" w:hAnsi="Calibri"/>
        </w:rPr>
        <w:t xml:space="preserve">Tablica 1. Stosowane mieszanki </w:t>
      </w:r>
    </w:p>
    <w:tbl>
      <w:tblPr>
        <w:tblW w:w="0" w:type="auto"/>
        <w:tblInd w:w="81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tblPr>
      <w:tblGrid>
        <w:gridCol w:w="1276"/>
        <w:gridCol w:w="6132"/>
      </w:tblGrid>
      <w:tr w:rsidR="00134B2C" w:rsidRPr="00214F35" w:rsidTr="00FD47C7">
        <w:trPr>
          <w:trHeight w:val="590"/>
        </w:trPr>
        <w:tc>
          <w:tcPr>
            <w:tcW w:w="1276" w:type="dxa"/>
            <w:vAlign w:val="center"/>
          </w:tcPr>
          <w:p w:rsidR="00134B2C" w:rsidRPr="00214F35" w:rsidRDefault="00134B2C" w:rsidP="00FD47C7">
            <w:pPr>
              <w:jc w:val="center"/>
              <w:rPr>
                <w:rFonts w:ascii="Calibri" w:hAnsi="Calibri"/>
                <w:sz w:val="18"/>
                <w:szCs w:val="18"/>
              </w:rPr>
            </w:pPr>
            <w:r w:rsidRPr="00214F35">
              <w:rPr>
                <w:rFonts w:ascii="Calibri" w:hAnsi="Calibri"/>
                <w:sz w:val="18"/>
                <w:szCs w:val="18"/>
              </w:rPr>
              <w:t>Kategoria</w:t>
            </w:r>
          </w:p>
          <w:p w:rsidR="00134B2C" w:rsidRPr="00214F35" w:rsidRDefault="00134B2C" w:rsidP="00FD47C7">
            <w:pPr>
              <w:jc w:val="center"/>
              <w:rPr>
                <w:rFonts w:ascii="Calibri" w:hAnsi="Calibri"/>
                <w:sz w:val="18"/>
                <w:szCs w:val="18"/>
              </w:rPr>
            </w:pPr>
            <w:r w:rsidRPr="00214F35">
              <w:rPr>
                <w:rFonts w:ascii="Calibri" w:hAnsi="Calibri"/>
                <w:sz w:val="18"/>
                <w:szCs w:val="18"/>
              </w:rPr>
              <w:t>ruchu</w:t>
            </w:r>
          </w:p>
        </w:tc>
        <w:tc>
          <w:tcPr>
            <w:tcW w:w="6132" w:type="dxa"/>
            <w:vAlign w:val="center"/>
          </w:tcPr>
          <w:p w:rsidR="00134B2C" w:rsidRPr="00214F35" w:rsidRDefault="00134B2C" w:rsidP="00FD47C7">
            <w:pPr>
              <w:jc w:val="center"/>
              <w:rPr>
                <w:rFonts w:ascii="Calibri" w:hAnsi="Calibri"/>
                <w:sz w:val="18"/>
                <w:szCs w:val="18"/>
              </w:rPr>
            </w:pPr>
            <w:r w:rsidRPr="00214F35">
              <w:rPr>
                <w:rFonts w:ascii="Calibri" w:hAnsi="Calibri"/>
                <w:sz w:val="18"/>
                <w:szCs w:val="18"/>
              </w:rPr>
              <w:t>Mieszanki  o wymiarze D</w:t>
            </w:r>
            <w:r w:rsidRPr="00214F35">
              <w:rPr>
                <w:rFonts w:ascii="Calibri" w:hAnsi="Calibri"/>
                <w:sz w:val="18"/>
                <w:szCs w:val="18"/>
                <w:vertAlign w:val="superscript"/>
              </w:rPr>
              <w:t>1)</w:t>
            </w:r>
            <w:r w:rsidRPr="00214F35">
              <w:rPr>
                <w:rFonts w:ascii="Calibri" w:hAnsi="Calibri"/>
                <w:sz w:val="18"/>
                <w:szCs w:val="18"/>
              </w:rPr>
              <w:t>,  mm</w:t>
            </w:r>
          </w:p>
        </w:tc>
      </w:tr>
      <w:tr w:rsidR="00134B2C" w:rsidRPr="00C3299C" w:rsidTr="00FD47C7">
        <w:tc>
          <w:tcPr>
            <w:tcW w:w="1276" w:type="dxa"/>
          </w:tcPr>
          <w:p w:rsidR="00134B2C" w:rsidRPr="00214F35" w:rsidRDefault="00134B2C" w:rsidP="00FD47C7">
            <w:pPr>
              <w:spacing w:before="60" w:after="60"/>
              <w:jc w:val="center"/>
              <w:rPr>
                <w:rFonts w:ascii="Calibri" w:hAnsi="Calibri"/>
                <w:sz w:val="18"/>
                <w:szCs w:val="18"/>
              </w:rPr>
            </w:pPr>
            <w:r w:rsidRPr="00214F35">
              <w:rPr>
                <w:rFonts w:ascii="Calibri" w:hAnsi="Calibri"/>
                <w:sz w:val="18"/>
                <w:szCs w:val="18"/>
              </w:rPr>
              <w:t>KR 1-2</w:t>
            </w:r>
          </w:p>
          <w:p w:rsidR="00134B2C" w:rsidRPr="00214F35" w:rsidRDefault="00134B2C" w:rsidP="00FD47C7">
            <w:pPr>
              <w:spacing w:before="60" w:after="60"/>
              <w:jc w:val="center"/>
              <w:rPr>
                <w:rFonts w:ascii="Calibri" w:hAnsi="Calibri"/>
                <w:sz w:val="18"/>
                <w:szCs w:val="18"/>
              </w:rPr>
            </w:pPr>
            <w:r w:rsidRPr="00214F35">
              <w:rPr>
                <w:rFonts w:ascii="Calibri" w:hAnsi="Calibri"/>
                <w:sz w:val="18"/>
                <w:szCs w:val="18"/>
              </w:rPr>
              <w:t>KR 3-4</w:t>
            </w:r>
          </w:p>
          <w:p w:rsidR="00134B2C" w:rsidRPr="00214F35" w:rsidRDefault="00134B2C" w:rsidP="00FD47C7">
            <w:pPr>
              <w:spacing w:before="60" w:after="60"/>
              <w:jc w:val="center"/>
              <w:rPr>
                <w:rFonts w:ascii="Calibri" w:hAnsi="Calibri"/>
                <w:sz w:val="18"/>
                <w:szCs w:val="18"/>
              </w:rPr>
            </w:pPr>
            <w:r w:rsidRPr="00214F35">
              <w:rPr>
                <w:rFonts w:ascii="Calibri" w:hAnsi="Calibri"/>
                <w:sz w:val="18"/>
                <w:szCs w:val="18"/>
              </w:rPr>
              <w:t>KR 5-6</w:t>
            </w:r>
          </w:p>
        </w:tc>
        <w:tc>
          <w:tcPr>
            <w:tcW w:w="6132" w:type="dxa"/>
          </w:tcPr>
          <w:p w:rsidR="00134B2C" w:rsidRPr="00214F35" w:rsidRDefault="00134B2C" w:rsidP="00FD47C7">
            <w:pPr>
              <w:spacing w:before="60" w:after="60"/>
              <w:jc w:val="center"/>
              <w:rPr>
                <w:rFonts w:ascii="Calibri" w:hAnsi="Calibri"/>
                <w:sz w:val="18"/>
                <w:szCs w:val="18"/>
                <w:lang w:val="en-US"/>
              </w:rPr>
            </w:pPr>
            <w:r w:rsidRPr="00214F35">
              <w:rPr>
                <w:rFonts w:ascii="Calibri" w:hAnsi="Calibri"/>
                <w:sz w:val="18"/>
                <w:szCs w:val="18"/>
                <w:lang w:val="en-US"/>
              </w:rPr>
              <w:t>AC5S, AC8S, AC11S</w:t>
            </w:r>
          </w:p>
          <w:p w:rsidR="00134B2C" w:rsidRPr="00214F35" w:rsidRDefault="00134B2C" w:rsidP="00FD47C7">
            <w:pPr>
              <w:spacing w:before="60" w:after="60"/>
              <w:jc w:val="center"/>
              <w:rPr>
                <w:rFonts w:ascii="Calibri" w:hAnsi="Calibri"/>
                <w:sz w:val="18"/>
                <w:szCs w:val="18"/>
                <w:lang w:val="en-US"/>
              </w:rPr>
            </w:pPr>
            <w:r w:rsidRPr="00214F35">
              <w:rPr>
                <w:rFonts w:ascii="Calibri" w:hAnsi="Calibri"/>
                <w:sz w:val="18"/>
                <w:szCs w:val="18"/>
                <w:lang w:val="en-US"/>
              </w:rPr>
              <w:t>AC8S, AC11S</w:t>
            </w:r>
          </w:p>
          <w:p w:rsidR="00134B2C" w:rsidRPr="00214F35" w:rsidRDefault="00134B2C" w:rsidP="00FD47C7">
            <w:pPr>
              <w:spacing w:before="60" w:after="60"/>
              <w:jc w:val="center"/>
              <w:rPr>
                <w:rFonts w:ascii="Calibri" w:hAnsi="Calibri"/>
                <w:sz w:val="18"/>
                <w:szCs w:val="18"/>
                <w:vertAlign w:val="superscript"/>
                <w:lang w:val="en-US"/>
              </w:rPr>
            </w:pPr>
            <w:r w:rsidRPr="00214F35">
              <w:rPr>
                <w:rFonts w:ascii="Calibri" w:hAnsi="Calibri"/>
                <w:sz w:val="18"/>
                <w:szCs w:val="18"/>
                <w:lang w:val="en-US"/>
              </w:rPr>
              <w:t xml:space="preserve">AC8S, AC11S </w:t>
            </w:r>
            <w:r w:rsidRPr="00214F35">
              <w:rPr>
                <w:rFonts w:ascii="Calibri" w:hAnsi="Calibri"/>
                <w:sz w:val="18"/>
                <w:szCs w:val="18"/>
                <w:vertAlign w:val="superscript"/>
                <w:lang w:val="en-US"/>
              </w:rPr>
              <w:t>2)</w:t>
            </w:r>
          </w:p>
        </w:tc>
      </w:tr>
    </w:tbl>
    <w:p w:rsidR="00134B2C" w:rsidRPr="00A0310B" w:rsidRDefault="00134B2C" w:rsidP="00134B2C">
      <w:pPr>
        <w:ind w:left="709"/>
        <w:rPr>
          <w:rFonts w:ascii="Calibri" w:hAnsi="Calibri"/>
          <w:i/>
          <w:sz w:val="18"/>
          <w:szCs w:val="18"/>
        </w:rPr>
      </w:pPr>
      <w:r w:rsidRPr="00A0310B">
        <w:rPr>
          <w:rFonts w:ascii="Calibri" w:hAnsi="Calibri"/>
          <w:i/>
          <w:vertAlign w:val="superscript"/>
        </w:rPr>
        <w:t xml:space="preserve">1) </w:t>
      </w:r>
      <w:r w:rsidRPr="00A0310B">
        <w:rPr>
          <w:rFonts w:ascii="Calibri" w:hAnsi="Calibri"/>
          <w:i/>
          <w:sz w:val="18"/>
          <w:szCs w:val="18"/>
        </w:rPr>
        <w:t>Podział ze względu na wymiar największego kruszywa w mieszance.</w:t>
      </w:r>
    </w:p>
    <w:p w:rsidR="00134B2C" w:rsidRPr="00A0310B" w:rsidRDefault="00134B2C" w:rsidP="00134B2C">
      <w:pPr>
        <w:ind w:left="709"/>
        <w:rPr>
          <w:rFonts w:ascii="Calibri" w:hAnsi="Calibri"/>
          <w:i/>
          <w:sz w:val="18"/>
          <w:szCs w:val="18"/>
        </w:rPr>
      </w:pPr>
      <w:r w:rsidRPr="00A0310B">
        <w:rPr>
          <w:rFonts w:ascii="Calibri" w:hAnsi="Calibri"/>
          <w:i/>
          <w:vertAlign w:val="superscript"/>
        </w:rPr>
        <w:t xml:space="preserve">2) </w:t>
      </w:r>
      <w:r w:rsidRPr="00A0310B">
        <w:rPr>
          <w:rFonts w:ascii="Calibri" w:hAnsi="Calibri"/>
          <w:i/>
          <w:sz w:val="18"/>
          <w:szCs w:val="18"/>
        </w:rPr>
        <w:t>Dopuszczony do stosowania w terenach górskich.</w:t>
      </w:r>
    </w:p>
    <w:p w:rsidR="00134B2C" w:rsidRPr="00214F35" w:rsidRDefault="00134B2C" w:rsidP="00134B2C">
      <w:pPr>
        <w:rPr>
          <w:rFonts w:ascii="Calibri" w:hAnsi="Calibri"/>
        </w:rPr>
      </w:pPr>
    </w:p>
    <w:p w:rsidR="00134B2C" w:rsidRPr="00214F35" w:rsidRDefault="00134B2C" w:rsidP="00134B2C">
      <w:pPr>
        <w:rPr>
          <w:rFonts w:ascii="Calibri" w:hAnsi="Calibri"/>
        </w:rPr>
      </w:pPr>
      <w:r w:rsidRPr="00EC730D">
        <w:rPr>
          <w:rFonts w:ascii="Calibri" w:hAnsi="Calibri"/>
          <w:b/>
        </w:rPr>
        <w:t>1.4.</w:t>
      </w:r>
      <w:r w:rsidRPr="00214F35">
        <w:rPr>
          <w:rFonts w:ascii="Calibri" w:hAnsi="Calibri"/>
        </w:rPr>
        <w:t xml:space="preserve"> Określenia podstawowe</w:t>
      </w:r>
    </w:p>
    <w:p w:rsidR="00134B2C" w:rsidRPr="00214F35" w:rsidRDefault="00134B2C" w:rsidP="00134B2C">
      <w:pPr>
        <w:rPr>
          <w:rFonts w:ascii="Calibri" w:hAnsi="Calibri"/>
        </w:rPr>
      </w:pPr>
      <w:r w:rsidRPr="00EC730D">
        <w:rPr>
          <w:rFonts w:ascii="Calibri" w:hAnsi="Calibri"/>
          <w:b/>
        </w:rPr>
        <w:t>1.4.1.</w:t>
      </w:r>
      <w:r w:rsidRPr="00214F35">
        <w:rPr>
          <w:rFonts w:ascii="Calibri" w:hAnsi="Calibri"/>
        </w:rPr>
        <w:t xml:space="preserve"> Nawierzchnia – konstrukcja składająca się z jednej lub kilku warstw służących do przejmowania i rozkładania obciążeń od ruchu pojazdów na podłoże.</w:t>
      </w:r>
    </w:p>
    <w:p w:rsidR="00134B2C" w:rsidRPr="00214F35" w:rsidRDefault="00134B2C" w:rsidP="00134B2C">
      <w:pPr>
        <w:rPr>
          <w:rFonts w:ascii="Calibri" w:hAnsi="Calibri"/>
        </w:rPr>
      </w:pPr>
      <w:r w:rsidRPr="00EC730D">
        <w:rPr>
          <w:rFonts w:ascii="Calibri" w:hAnsi="Calibri"/>
          <w:b/>
        </w:rPr>
        <w:t xml:space="preserve">1.4.2. </w:t>
      </w:r>
      <w:r w:rsidRPr="00214F35">
        <w:rPr>
          <w:rFonts w:ascii="Calibri" w:hAnsi="Calibri"/>
        </w:rPr>
        <w:t>Warstwa ścieralna – górna warstwa nawierzchni będąca w bezpośrednim kontakcie z kołami pojazdów.</w:t>
      </w:r>
    </w:p>
    <w:p w:rsidR="00134B2C" w:rsidRPr="00214F35" w:rsidRDefault="00134B2C" w:rsidP="00134B2C">
      <w:pPr>
        <w:rPr>
          <w:rFonts w:ascii="Calibri" w:hAnsi="Calibri"/>
        </w:rPr>
      </w:pPr>
      <w:r w:rsidRPr="00EC730D">
        <w:rPr>
          <w:rFonts w:ascii="Calibri" w:hAnsi="Calibri"/>
          <w:b/>
        </w:rPr>
        <w:t>1.4.3.</w:t>
      </w:r>
      <w:r w:rsidRPr="00214F35">
        <w:rPr>
          <w:rFonts w:ascii="Calibri" w:hAnsi="Calibri"/>
        </w:rPr>
        <w:t xml:space="preserve"> Mieszanka mineralno-asfaltowa – mieszanka kruszyw i lepiszcza asfaltowego.</w:t>
      </w:r>
    </w:p>
    <w:p w:rsidR="00134B2C" w:rsidRPr="00214F35" w:rsidRDefault="00134B2C" w:rsidP="00134B2C">
      <w:pPr>
        <w:rPr>
          <w:rFonts w:ascii="Calibri" w:hAnsi="Calibri"/>
        </w:rPr>
      </w:pPr>
      <w:r w:rsidRPr="00EC730D">
        <w:rPr>
          <w:rFonts w:ascii="Calibri" w:hAnsi="Calibri"/>
          <w:b/>
        </w:rPr>
        <w:t>1.4.4.</w:t>
      </w:r>
      <w:r w:rsidRPr="00214F35">
        <w:rPr>
          <w:rFonts w:ascii="Calibri" w:hAnsi="Calibri"/>
        </w:rPr>
        <w:t xml:space="preserve"> Wymiar mieszanki mineralno-asfaltowej – określenie mieszanki mineralno-asfaltowej, ze względu na największy wymiar kruszywa D, np. wymiar 5, 8, 11.</w:t>
      </w:r>
    </w:p>
    <w:p w:rsidR="00134B2C" w:rsidRPr="00214F35" w:rsidRDefault="00134B2C" w:rsidP="00134B2C">
      <w:pPr>
        <w:rPr>
          <w:rFonts w:ascii="Calibri" w:hAnsi="Calibri"/>
        </w:rPr>
      </w:pPr>
      <w:r w:rsidRPr="00EC730D">
        <w:rPr>
          <w:rFonts w:ascii="Calibri" w:hAnsi="Calibri"/>
          <w:b/>
        </w:rPr>
        <w:t>1.4.5.</w:t>
      </w:r>
      <w:r w:rsidRPr="00214F35">
        <w:rPr>
          <w:rFonts w:ascii="Calibri" w:hAnsi="Calibri"/>
        </w:rPr>
        <w:t xml:space="preserve"> Beton asfaltowy – mieszanka mineralno-asfaltowa, w której kruszywo o uziarnieniu ciągłym lub nieciągłym tworzy strukturę wzajemnie klinującą się.</w:t>
      </w:r>
    </w:p>
    <w:p w:rsidR="00134B2C" w:rsidRPr="00214F35" w:rsidRDefault="00134B2C" w:rsidP="00134B2C">
      <w:pPr>
        <w:rPr>
          <w:rFonts w:ascii="Calibri" w:hAnsi="Calibri"/>
        </w:rPr>
      </w:pPr>
      <w:r w:rsidRPr="00EC730D">
        <w:rPr>
          <w:rFonts w:ascii="Calibri" w:hAnsi="Calibri"/>
          <w:b/>
        </w:rPr>
        <w:t>1.4.6.</w:t>
      </w:r>
      <w:r w:rsidRPr="00214F35">
        <w:rPr>
          <w:rFonts w:ascii="Calibri" w:hAnsi="Calibri"/>
        </w:rPr>
        <w:t xml:space="preserve"> Uziarnienie – skład ziarnowy kruszywa, wyrażony w procentach masy ziaren przechodzących przez określony zestaw sit.</w:t>
      </w:r>
    </w:p>
    <w:p w:rsidR="00134B2C" w:rsidRPr="00214F35" w:rsidRDefault="00134B2C" w:rsidP="00134B2C">
      <w:pPr>
        <w:rPr>
          <w:rFonts w:ascii="Calibri" w:hAnsi="Calibri"/>
        </w:rPr>
      </w:pPr>
      <w:r w:rsidRPr="00EC730D">
        <w:rPr>
          <w:rFonts w:ascii="Calibri" w:hAnsi="Calibri"/>
          <w:b/>
        </w:rPr>
        <w:t>1.4.7.</w:t>
      </w:r>
      <w:r w:rsidRPr="00214F35">
        <w:rPr>
          <w:rFonts w:ascii="Calibri" w:hAnsi="Calibri"/>
        </w:rPr>
        <w:t xml:space="preserve"> Kategoria ruchu – obciążenie drogi ruchem samochodowym, wyrażone w osiach obliczeniowych (100 kN) wg „Katalogu typowych konstrukcji nawierzchni podatnych i półsztywnych” GDDP-IBDiM [68].</w:t>
      </w:r>
    </w:p>
    <w:p w:rsidR="00134B2C" w:rsidRPr="00214F35" w:rsidRDefault="00134B2C" w:rsidP="00134B2C">
      <w:pPr>
        <w:rPr>
          <w:rFonts w:ascii="Calibri" w:hAnsi="Calibri"/>
        </w:rPr>
      </w:pPr>
      <w:r w:rsidRPr="00EC730D">
        <w:rPr>
          <w:rFonts w:ascii="Calibri" w:hAnsi="Calibri"/>
          <w:b/>
        </w:rPr>
        <w:t>1.4.8.</w:t>
      </w:r>
      <w:r w:rsidRPr="00214F35">
        <w:rPr>
          <w:rFonts w:ascii="Calibri" w:hAnsi="Calibri"/>
        </w:rPr>
        <w:t xml:space="preserve"> Wymiar kruszywa – wielkość ziaren kruszywa, określona przez dolny (d) i górny (D) wymiar sita.</w:t>
      </w:r>
    </w:p>
    <w:p w:rsidR="00134B2C" w:rsidRPr="00214F35" w:rsidRDefault="00134B2C" w:rsidP="00134B2C">
      <w:pPr>
        <w:rPr>
          <w:rFonts w:ascii="Calibri" w:hAnsi="Calibri"/>
        </w:rPr>
      </w:pPr>
      <w:r w:rsidRPr="00EC730D">
        <w:rPr>
          <w:rFonts w:ascii="Calibri" w:hAnsi="Calibri"/>
          <w:b/>
        </w:rPr>
        <w:t>1.4.9.</w:t>
      </w:r>
      <w:r w:rsidRPr="00214F35">
        <w:rPr>
          <w:rFonts w:ascii="Calibri" w:hAnsi="Calibri"/>
        </w:rPr>
        <w:t xml:space="preserve"> Kruszywo grube – kruszywo z ziaren o wymiarze: D ≤ </w:t>
      </w:r>
      <w:smartTag w:uri="urn:schemas-microsoft-com:office:smarttags" w:element="metricconverter">
        <w:smartTagPr>
          <w:attr w:name="ProductID" w:val="45 mm"/>
        </w:smartTagPr>
        <w:r w:rsidRPr="00214F35">
          <w:rPr>
            <w:rFonts w:ascii="Calibri" w:hAnsi="Calibri"/>
          </w:rPr>
          <w:t>45 mm</w:t>
        </w:r>
      </w:smartTag>
      <w:r w:rsidRPr="00214F35">
        <w:rPr>
          <w:rFonts w:ascii="Calibri" w:hAnsi="Calibri"/>
        </w:rPr>
        <w:t xml:space="preserve"> oraz d &gt; </w:t>
      </w:r>
      <w:smartTag w:uri="urn:schemas-microsoft-com:office:smarttags" w:element="metricconverter">
        <w:smartTagPr>
          <w:attr w:name="ProductID" w:val="2 mm"/>
        </w:smartTagPr>
        <w:r w:rsidRPr="00214F35">
          <w:rPr>
            <w:rFonts w:ascii="Calibri" w:hAnsi="Calibri"/>
          </w:rPr>
          <w:t>2 mm</w:t>
        </w:r>
      </w:smartTag>
      <w:r w:rsidRPr="00214F35">
        <w:rPr>
          <w:rFonts w:ascii="Calibri" w:hAnsi="Calibri"/>
        </w:rPr>
        <w:t>.</w:t>
      </w:r>
    </w:p>
    <w:p w:rsidR="00134B2C" w:rsidRPr="00214F35" w:rsidRDefault="00134B2C" w:rsidP="00134B2C">
      <w:pPr>
        <w:rPr>
          <w:rFonts w:ascii="Calibri" w:hAnsi="Calibri"/>
        </w:rPr>
      </w:pPr>
      <w:r w:rsidRPr="00EC730D">
        <w:rPr>
          <w:rFonts w:ascii="Calibri" w:hAnsi="Calibri"/>
          <w:b/>
        </w:rPr>
        <w:t>1.4.10.</w:t>
      </w:r>
      <w:r w:rsidRPr="00214F35">
        <w:rPr>
          <w:rFonts w:ascii="Calibri" w:hAnsi="Calibri"/>
        </w:rPr>
        <w:t xml:space="preserve"> Kruszywo drobne – kruszywo z ziaren o wymiarze: D ≤ </w:t>
      </w:r>
      <w:smartTag w:uri="urn:schemas-microsoft-com:office:smarttags" w:element="metricconverter">
        <w:smartTagPr>
          <w:attr w:name="ProductID" w:val="2 mm"/>
        </w:smartTagPr>
        <w:r w:rsidRPr="00214F35">
          <w:rPr>
            <w:rFonts w:ascii="Calibri" w:hAnsi="Calibri"/>
          </w:rPr>
          <w:t>2 mm</w:t>
        </w:r>
      </w:smartTag>
      <w:r w:rsidRPr="00214F35">
        <w:rPr>
          <w:rFonts w:ascii="Calibri" w:hAnsi="Calibri"/>
        </w:rPr>
        <w:t xml:space="preserve">, którego większa część pozostaje na sicie </w:t>
      </w:r>
      <w:smartTag w:uri="urn:schemas-microsoft-com:office:smarttags" w:element="metricconverter">
        <w:smartTagPr>
          <w:attr w:name="ProductID" w:val="0,063 mm"/>
        </w:smartTagPr>
        <w:r w:rsidRPr="00214F35">
          <w:rPr>
            <w:rFonts w:ascii="Calibri" w:hAnsi="Calibri"/>
          </w:rPr>
          <w:t>0,063 mm</w:t>
        </w:r>
      </w:smartTag>
      <w:r w:rsidRPr="00214F35">
        <w:rPr>
          <w:rFonts w:ascii="Calibri" w:hAnsi="Calibri"/>
        </w:rPr>
        <w:t>.</w:t>
      </w:r>
    </w:p>
    <w:p w:rsidR="00134B2C" w:rsidRPr="00214F35" w:rsidRDefault="00134B2C" w:rsidP="00134B2C">
      <w:pPr>
        <w:rPr>
          <w:rFonts w:ascii="Calibri" w:hAnsi="Calibri"/>
        </w:rPr>
      </w:pPr>
      <w:r w:rsidRPr="00EC730D">
        <w:rPr>
          <w:rFonts w:ascii="Calibri" w:hAnsi="Calibri"/>
          <w:b/>
        </w:rPr>
        <w:t>1.4.11.</w:t>
      </w:r>
      <w:r w:rsidRPr="00214F35">
        <w:rPr>
          <w:rFonts w:ascii="Calibri" w:hAnsi="Calibri"/>
        </w:rPr>
        <w:t xml:space="preserve"> Pył – kruszywo z ziaren przechodzących przez sito </w:t>
      </w:r>
      <w:smartTag w:uri="urn:schemas-microsoft-com:office:smarttags" w:element="metricconverter">
        <w:smartTagPr>
          <w:attr w:name="ProductID" w:val="0,063 mm"/>
        </w:smartTagPr>
        <w:r w:rsidRPr="00214F35">
          <w:rPr>
            <w:rFonts w:ascii="Calibri" w:hAnsi="Calibri"/>
          </w:rPr>
          <w:t>0,063 mm</w:t>
        </w:r>
      </w:smartTag>
      <w:r w:rsidRPr="00214F35">
        <w:rPr>
          <w:rFonts w:ascii="Calibri" w:hAnsi="Calibri"/>
        </w:rPr>
        <w:t>.</w:t>
      </w:r>
    </w:p>
    <w:p w:rsidR="00134B2C" w:rsidRPr="00214F35" w:rsidRDefault="00134B2C" w:rsidP="00134B2C">
      <w:pPr>
        <w:rPr>
          <w:rFonts w:ascii="Calibri" w:hAnsi="Calibri"/>
        </w:rPr>
      </w:pPr>
      <w:r w:rsidRPr="00EC730D">
        <w:rPr>
          <w:rFonts w:ascii="Calibri" w:hAnsi="Calibri"/>
          <w:b/>
        </w:rPr>
        <w:t>1.4.12.</w:t>
      </w:r>
      <w:r w:rsidRPr="00214F35">
        <w:rPr>
          <w:rFonts w:ascii="Calibri" w:hAnsi="Calibri"/>
        </w:rPr>
        <w:t xml:space="preserve"> Wypełniacz – kruszywo, którego większa część przechodzi przez sito </w:t>
      </w:r>
      <w:smartTag w:uri="urn:schemas-microsoft-com:office:smarttags" w:element="metricconverter">
        <w:smartTagPr>
          <w:attr w:name="ProductID" w:val="0,063 mm"/>
        </w:smartTagPr>
        <w:r w:rsidRPr="00214F35">
          <w:rPr>
            <w:rFonts w:ascii="Calibri" w:hAnsi="Calibri"/>
          </w:rPr>
          <w:t>0,063 mm</w:t>
        </w:r>
      </w:smartTag>
      <w:r w:rsidRPr="00214F35">
        <w:rPr>
          <w:rFonts w:ascii="Calibri" w:hAnsi="Calibri"/>
        </w:rPr>
        <w:t>. (Wypełniacz mieszany – kruszywo, które składa się z wypełniacza pochodzenia mineralnego i wodorotlenku wapnia. Wypełniacz dodany – wypełniacz pochodzenia mineralnego, wyprodukowany oddzielnie).</w:t>
      </w:r>
    </w:p>
    <w:p w:rsidR="00134B2C" w:rsidRPr="00214F35" w:rsidRDefault="00134B2C" w:rsidP="00134B2C">
      <w:pPr>
        <w:rPr>
          <w:rFonts w:ascii="Calibri" w:hAnsi="Calibri"/>
        </w:rPr>
      </w:pPr>
      <w:r w:rsidRPr="00EC730D">
        <w:rPr>
          <w:rFonts w:ascii="Calibri" w:hAnsi="Calibri"/>
          <w:b/>
        </w:rPr>
        <w:t>1.4.13.</w:t>
      </w:r>
      <w:r w:rsidRPr="00214F35">
        <w:rPr>
          <w:rFonts w:ascii="Calibri" w:hAnsi="Calibri"/>
        </w:rPr>
        <w:t xml:space="preserve"> Kationowa emulsja asfaltowa – emulsja, w której emulgator nadaje dodatnie ładunki cząstkom zdyspergowanego asfaltu.</w:t>
      </w:r>
    </w:p>
    <w:p w:rsidR="00134B2C" w:rsidRPr="00214F35" w:rsidRDefault="00134B2C" w:rsidP="00134B2C">
      <w:pPr>
        <w:rPr>
          <w:rFonts w:ascii="Calibri" w:hAnsi="Calibri"/>
        </w:rPr>
      </w:pPr>
      <w:r w:rsidRPr="00EC730D">
        <w:rPr>
          <w:rFonts w:ascii="Calibri" w:hAnsi="Calibri"/>
          <w:b/>
        </w:rPr>
        <w:t>1.4.14.</w:t>
      </w:r>
      <w:r w:rsidRPr="00214F35">
        <w:rPr>
          <w:rFonts w:ascii="Calibri" w:hAnsi="Calibri"/>
        </w:rPr>
        <w:t xml:space="preserve"> Pozostałe określenia podstawowe są zgodne z obowiązującymi, odpowiednimi polskimi norm</w:t>
      </w:r>
      <w:r>
        <w:rPr>
          <w:rFonts w:ascii="Calibri" w:hAnsi="Calibri"/>
        </w:rPr>
        <w:t xml:space="preserve">ami i z definicjami podanymi w </w:t>
      </w:r>
      <w:r w:rsidRPr="00214F35">
        <w:rPr>
          <w:rFonts w:ascii="Calibri" w:hAnsi="Calibri"/>
        </w:rPr>
        <w:t>ST D-M-00.00.00 „Wymagania ogólne” pkt 1.4.</w:t>
      </w:r>
    </w:p>
    <w:p w:rsidR="00134B2C" w:rsidRPr="00214F35" w:rsidRDefault="00134B2C" w:rsidP="00134B2C">
      <w:pPr>
        <w:rPr>
          <w:rFonts w:ascii="Calibri" w:hAnsi="Calibri"/>
        </w:rPr>
      </w:pPr>
      <w:r w:rsidRPr="00EC730D">
        <w:rPr>
          <w:rFonts w:ascii="Calibri" w:hAnsi="Calibri"/>
          <w:b/>
        </w:rPr>
        <w:t>1.4.15.</w:t>
      </w:r>
      <w:r w:rsidRPr="00214F35">
        <w:rPr>
          <w:rFonts w:ascii="Calibri" w:hAnsi="Calibri"/>
        </w:rPr>
        <w:t xml:space="preserve"> Symbole i skróty dodatkowe</w:t>
      </w:r>
    </w:p>
    <w:tbl>
      <w:tblPr>
        <w:tblW w:w="0" w:type="auto"/>
        <w:jc w:val="center"/>
        <w:tblLook w:val="04A0"/>
      </w:tblPr>
      <w:tblGrid>
        <w:gridCol w:w="675"/>
        <w:gridCol w:w="6912"/>
      </w:tblGrid>
      <w:tr w:rsidR="00134B2C" w:rsidRPr="00214F35" w:rsidTr="00FD47C7">
        <w:trPr>
          <w:jc w:val="center"/>
        </w:trPr>
        <w:tc>
          <w:tcPr>
            <w:tcW w:w="675" w:type="dxa"/>
          </w:tcPr>
          <w:p w:rsidR="00134B2C" w:rsidRPr="00214F35" w:rsidRDefault="00134B2C" w:rsidP="00FD47C7">
            <w:pPr>
              <w:rPr>
                <w:rFonts w:ascii="Calibri" w:hAnsi="Calibri"/>
              </w:rPr>
            </w:pPr>
            <w:r w:rsidRPr="00214F35">
              <w:rPr>
                <w:rFonts w:ascii="Calibri" w:hAnsi="Calibri"/>
              </w:rPr>
              <w:t>ACS</w:t>
            </w:r>
          </w:p>
        </w:tc>
        <w:tc>
          <w:tcPr>
            <w:tcW w:w="6912" w:type="dxa"/>
          </w:tcPr>
          <w:p w:rsidR="00134B2C" w:rsidRPr="00214F35" w:rsidRDefault="00134B2C" w:rsidP="00FD47C7">
            <w:pPr>
              <w:rPr>
                <w:rFonts w:ascii="Calibri" w:hAnsi="Calibri"/>
              </w:rPr>
            </w:pPr>
            <w:r w:rsidRPr="00214F35">
              <w:rPr>
                <w:rFonts w:ascii="Calibri" w:hAnsi="Calibri"/>
              </w:rPr>
              <w:t>beton asfaltowy do warstwy ścieralnej</w:t>
            </w:r>
          </w:p>
        </w:tc>
      </w:tr>
      <w:tr w:rsidR="00134B2C" w:rsidRPr="00214F35" w:rsidTr="00FD47C7">
        <w:trPr>
          <w:jc w:val="center"/>
        </w:trPr>
        <w:tc>
          <w:tcPr>
            <w:tcW w:w="675" w:type="dxa"/>
          </w:tcPr>
          <w:p w:rsidR="00134B2C" w:rsidRPr="00214F35" w:rsidRDefault="00134B2C" w:rsidP="00FD47C7">
            <w:pPr>
              <w:rPr>
                <w:rFonts w:ascii="Calibri" w:hAnsi="Calibri"/>
              </w:rPr>
            </w:pPr>
            <w:r w:rsidRPr="00214F35">
              <w:rPr>
                <w:rFonts w:ascii="Calibri" w:hAnsi="Calibri"/>
              </w:rPr>
              <w:t>PMB</w:t>
            </w:r>
          </w:p>
        </w:tc>
        <w:tc>
          <w:tcPr>
            <w:tcW w:w="6912" w:type="dxa"/>
          </w:tcPr>
          <w:p w:rsidR="00134B2C" w:rsidRPr="00214F35" w:rsidRDefault="00134B2C" w:rsidP="00FD47C7">
            <w:pPr>
              <w:rPr>
                <w:rFonts w:ascii="Calibri" w:hAnsi="Calibri"/>
              </w:rPr>
            </w:pPr>
            <w:r w:rsidRPr="00214F35">
              <w:rPr>
                <w:rFonts w:ascii="Calibri" w:hAnsi="Calibri"/>
              </w:rPr>
              <w:t>polimeroasfalt,</w:t>
            </w:r>
          </w:p>
        </w:tc>
      </w:tr>
      <w:tr w:rsidR="00134B2C" w:rsidRPr="00214F35" w:rsidTr="00FD47C7">
        <w:trPr>
          <w:jc w:val="center"/>
        </w:trPr>
        <w:tc>
          <w:tcPr>
            <w:tcW w:w="675" w:type="dxa"/>
          </w:tcPr>
          <w:p w:rsidR="00134B2C" w:rsidRPr="00214F35" w:rsidRDefault="00134B2C" w:rsidP="00FD47C7">
            <w:pPr>
              <w:rPr>
                <w:rFonts w:ascii="Calibri" w:hAnsi="Calibri"/>
              </w:rPr>
            </w:pPr>
            <w:r w:rsidRPr="00214F35">
              <w:rPr>
                <w:rFonts w:ascii="Calibri" w:hAnsi="Calibri"/>
              </w:rPr>
              <w:lastRenderedPageBreak/>
              <w:t>D</w:t>
            </w:r>
          </w:p>
        </w:tc>
        <w:tc>
          <w:tcPr>
            <w:tcW w:w="6912" w:type="dxa"/>
          </w:tcPr>
          <w:p w:rsidR="00134B2C" w:rsidRPr="00214F35" w:rsidRDefault="00134B2C" w:rsidP="00FD47C7">
            <w:pPr>
              <w:rPr>
                <w:rFonts w:ascii="Calibri" w:hAnsi="Calibri"/>
              </w:rPr>
            </w:pPr>
            <w:r w:rsidRPr="00214F35">
              <w:rPr>
                <w:rFonts w:ascii="Calibri" w:hAnsi="Calibri"/>
              </w:rPr>
              <w:t>górny wymiar sita (przy określaniu wielkości ziaren kruszywa),</w:t>
            </w:r>
          </w:p>
        </w:tc>
      </w:tr>
      <w:tr w:rsidR="00134B2C" w:rsidRPr="00214F35" w:rsidTr="00FD47C7">
        <w:trPr>
          <w:jc w:val="center"/>
        </w:trPr>
        <w:tc>
          <w:tcPr>
            <w:tcW w:w="675" w:type="dxa"/>
          </w:tcPr>
          <w:p w:rsidR="00134B2C" w:rsidRPr="00214F35" w:rsidRDefault="00134B2C" w:rsidP="00FD47C7">
            <w:pPr>
              <w:rPr>
                <w:rFonts w:ascii="Calibri" w:hAnsi="Calibri"/>
              </w:rPr>
            </w:pPr>
            <w:r w:rsidRPr="00214F35">
              <w:rPr>
                <w:rFonts w:ascii="Calibri" w:hAnsi="Calibri"/>
              </w:rPr>
              <w:t>d</w:t>
            </w:r>
          </w:p>
        </w:tc>
        <w:tc>
          <w:tcPr>
            <w:tcW w:w="6912" w:type="dxa"/>
          </w:tcPr>
          <w:p w:rsidR="00134B2C" w:rsidRPr="00214F35" w:rsidRDefault="00134B2C" w:rsidP="00FD47C7">
            <w:pPr>
              <w:rPr>
                <w:rFonts w:ascii="Calibri" w:hAnsi="Calibri"/>
              </w:rPr>
            </w:pPr>
            <w:r w:rsidRPr="00214F35">
              <w:rPr>
                <w:rFonts w:ascii="Calibri" w:hAnsi="Calibri"/>
              </w:rPr>
              <w:t>dolny wymiar sita (przy określaniu wielkości ziaren kruszywa),</w:t>
            </w:r>
          </w:p>
        </w:tc>
      </w:tr>
      <w:tr w:rsidR="00134B2C" w:rsidRPr="00214F35" w:rsidTr="00FD47C7">
        <w:trPr>
          <w:jc w:val="center"/>
        </w:trPr>
        <w:tc>
          <w:tcPr>
            <w:tcW w:w="675" w:type="dxa"/>
          </w:tcPr>
          <w:p w:rsidR="00134B2C" w:rsidRPr="00214F35" w:rsidRDefault="00134B2C" w:rsidP="00FD47C7">
            <w:pPr>
              <w:rPr>
                <w:rFonts w:ascii="Calibri" w:hAnsi="Calibri"/>
              </w:rPr>
            </w:pPr>
            <w:r w:rsidRPr="00214F35">
              <w:rPr>
                <w:rFonts w:ascii="Calibri" w:hAnsi="Calibri"/>
              </w:rPr>
              <w:t>C</w:t>
            </w:r>
          </w:p>
        </w:tc>
        <w:tc>
          <w:tcPr>
            <w:tcW w:w="6912" w:type="dxa"/>
          </w:tcPr>
          <w:p w:rsidR="00134B2C" w:rsidRPr="00214F35" w:rsidRDefault="00134B2C" w:rsidP="00FD47C7">
            <w:pPr>
              <w:rPr>
                <w:rFonts w:ascii="Calibri" w:hAnsi="Calibri"/>
              </w:rPr>
            </w:pPr>
            <w:r w:rsidRPr="00214F35">
              <w:rPr>
                <w:rFonts w:ascii="Calibri" w:hAnsi="Calibri"/>
              </w:rPr>
              <w:t>kationowa emulsja asfaltowa,</w:t>
            </w:r>
          </w:p>
        </w:tc>
      </w:tr>
      <w:tr w:rsidR="00134B2C" w:rsidRPr="00214F35" w:rsidTr="00FD47C7">
        <w:trPr>
          <w:jc w:val="center"/>
        </w:trPr>
        <w:tc>
          <w:tcPr>
            <w:tcW w:w="675" w:type="dxa"/>
          </w:tcPr>
          <w:p w:rsidR="00134B2C" w:rsidRPr="00214F35" w:rsidRDefault="00134B2C" w:rsidP="00FD47C7">
            <w:pPr>
              <w:rPr>
                <w:rFonts w:ascii="Calibri" w:hAnsi="Calibri"/>
              </w:rPr>
            </w:pPr>
            <w:r w:rsidRPr="00214F35">
              <w:rPr>
                <w:rFonts w:ascii="Calibri" w:hAnsi="Calibri"/>
              </w:rPr>
              <w:t>NPD</w:t>
            </w:r>
          </w:p>
        </w:tc>
        <w:tc>
          <w:tcPr>
            <w:tcW w:w="6912" w:type="dxa"/>
          </w:tcPr>
          <w:p w:rsidR="00134B2C" w:rsidRPr="00214F35" w:rsidRDefault="00134B2C" w:rsidP="00FD47C7">
            <w:pPr>
              <w:rPr>
                <w:rFonts w:ascii="Calibri" w:hAnsi="Calibri"/>
              </w:rPr>
            </w:pPr>
            <w:r w:rsidRPr="00214F35">
              <w:rPr>
                <w:rFonts w:ascii="Calibri" w:hAnsi="Calibri"/>
              </w:rPr>
              <w:t>właściwość użytkowa nie określana (ang. No Performance Determined; producent może jej nie określać),</w:t>
            </w:r>
          </w:p>
        </w:tc>
      </w:tr>
      <w:tr w:rsidR="00134B2C" w:rsidRPr="00214F35" w:rsidTr="00FD47C7">
        <w:trPr>
          <w:jc w:val="center"/>
        </w:trPr>
        <w:tc>
          <w:tcPr>
            <w:tcW w:w="675" w:type="dxa"/>
          </w:tcPr>
          <w:p w:rsidR="00134B2C" w:rsidRPr="00214F35" w:rsidRDefault="00134B2C" w:rsidP="00FD47C7">
            <w:pPr>
              <w:rPr>
                <w:rFonts w:ascii="Calibri" w:hAnsi="Calibri"/>
              </w:rPr>
            </w:pPr>
            <w:r w:rsidRPr="00214F35">
              <w:rPr>
                <w:rFonts w:ascii="Calibri" w:hAnsi="Calibri"/>
              </w:rPr>
              <w:t>TBR</w:t>
            </w:r>
          </w:p>
        </w:tc>
        <w:tc>
          <w:tcPr>
            <w:tcW w:w="6912" w:type="dxa"/>
          </w:tcPr>
          <w:p w:rsidR="00134B2C" w:rsidRPr="00214F35" w:rsidRDefault="00134B2C" w:rsidP="00FD47C7">
            <w:pPr>
              <w:rPr>
                <w:rFonts w:ascii="Calibri" w:hAnsi="Calibri"/>
              </w:rPr>
            </w:pPr>
            <w:r w:rsidRPr="00214F35">
              <w:rPr>
                <w:rFonts w:ascii="Calibri" w:hAnsi="Calibri"/>
              </w:rPr>
              <w:t>do zadeklarowania (ang. To Be Reported; producent może dostarczyć odpowiednie informacje, jednak nie jest do tego zobowiązany),</w:t>
            </w:r>
          </w:p>
        </w:tc>
      </w:tr>
      <w:tr w:rsidR="00134B2C" w:rsidRPr="00214F35" w:rsidTr="00FD47C7">
        <w:trPr>
          <w:jc w:val="center"/>
        </w:trPr>
        <w:tc>
          <w:tcPr>
            <w:tcW w:w="675" w:type="dxa"/>
          </w:tcPr>
          <w:p w:rsidR="00134B2C" w:rsidRPr="00214F35" w:rsidRDefault="00134B2C" w:rsidP="00FD47C7">
            <w:pPr>
              <w:rPr>
                <w:rFonts w:ascii="Calibri" w:hAnsi="Calibri"/>
              </w:rPr>
            </w:pPr>
            <w:r w:rsidRPr="00214F35">
              <w:rPr>
                <w:rFonts w:ascii="Calibri" w:hAnsi="Calibri"/>
              </w:rPr>
              <w:t>IRI</w:t>
            </w:r>
          </w:p>
        </w:tc>
        <w:tc>
          <w:tcPr>
            <w:tcW w:w="6912" w:type="dxa"/>
          </w:tcPr>
          <w:p w:rsidR="00134B2C" w:rsidRPr="00214F35" w:rsidRDefault="00134B2C" w:rsidP="00FD47C7">
            <w:pPr>
              <w:rPr>
                <w:rFonts w:ascii="Calibri" w:hAnsi="Calibri"/>
              </w:rPr>
            </w:pPr>
            <w:r w:rsidRPr="00214F35">
              <w:rPr>
                <w:rFonts w:ascii="Calibri" w:hAnsi="Calibri"/>
              </w:rPr>
              <w:t>(International Roughness Index) międzynarodowy wskaźnik równości,</w:t>
            </w:r>
          </w:p>
        </w:tc>
      </w:tr>
      <w:tr w:rsidR="00134B2C" w:rsidRPr="00214F35" w:rsidTr="00FD47C7">
        <w:trPr>
          <w:jc w:val="center"/>
        </w:trPr>
        <w:tc>
          <w:tcPr>
            <w:tcW w:w="675" w:type="dxa"/>
          </w:tcPr>
          <w:p w:rsidR="00134B2C" w:rsidRPr="00214F35" w:rsidRDefault="00134B2C" w:rsidP="00FD47C7">
            <w:pPr>
              <w:rPr>
                <w:rFonts w:ascii="Calibri" w:hAnsi="Calibri"/>
              </w:rPr>
            </w:pPr>
            <w:r w:rsidRPr="00214F35">
              <w:rPr>
                <w:rFonts w:ascii="Calibri" w:hAnsi="Calibri"/>
              </w:rPr>
              <w:t>MOP</w:t>
            </w:r>
          </w:p>
        </w:tc>
        <w:tc>
          <w:tcPr>
            <w:tcW w:w="6912" w:type="dxa"/>
          </w:tcPr>
          <w:p w:rsidR="00134B2C" w:rsidRPr="00214F35" w:rsidRDefault="00134B2C" w:rsidP="00FD47C7">
            <w:pPr>
              <w:rPr>
                <w:rFonts w:ascii="Calibri" w:hAnsi="Calibri"/>
              </w:rPr>
            </w:pPr>
            <w:r w:rsidRPr="00214F35">
              <w:rPr>
                <w:rFonts w:ascii="Calibri" w:hAnsi="Calibri"/>
              </w:rPr>
              <w:t xml:space="preserve">miejsce obsługi podróżnych. </w:t>
            </w:r>
          </w:p>
        </w:tc>
      </w:tr>
    </w:tbl>
    <w:p w:rsidR="00134B2C" w:rsidRPr="00214F35" w:rsidRDefault="00134B2C" w:rsidP="00134B2C">
      <w:pPr>
        <w:rPr>
          <w:rFonts w:ascii="Calibri" w:hAnsi="Calibri"/>
        </w:rPr>
      </w:pPr>
      <w:r w:rsidRPr="00EC730D">
        <w:rPr>
          <w:rFonts w:ascii="Calibri" w:hAnsi="Calibri"/>
          <w:b/>
        </w:rPr>
        <w:t>1.5.</w:t>
      </w:r>
      <w:r w:rsidRPr="00214F35">
        <w:rPr>
          <w:rFonts w:ascii="Calibri" w:hAnsi="Calibri"/>
        </w:rPr>
        <w:t xml:space="preserve"> Ogólne wymagania dotyczące robót</w:t>
      </w:r>
    </w:p>
    <w:p w:rsidR="00134B2C" w:rsidRPr="00214F35" w:rsidRDefault="00134B2C" w:rsidP="00134B2C">
      <w:pPr>
        <w:rPr>
          <w:rFonts w:ascii="Calibri" w:hAnsi="Calibri"/>
        </w:rPr>
      </w:pPr>
      <w:r w:rsidRPr="00214F35">
        <w:rPr>
          <w:rFonts w:ascii="Calibri" w:hAnsi="Calibri"/>
        </w:rPr>
        <w:tab/>
        <w:t>Ogólne wyma</w:t>
      </w:r>
      <w:r>
        <w:rPr>
          <w:rFonts w:ascii="Calibri" w:hAnsi="Calibri"/>
        </w:rPr>
        <w:t xml:space="preserve">gania dotyczące robót podano w </w:t>
      </w:r>
      <w:r w:rsidRPr="00214F35">
        <w:rPr>
          <w:rFonts w:ascii="Calibri" w:hAnsi="Calibri"/>
        </w:rPr>
        <w:t>ST D-M-00.00.00 „Wymagania ogólne” [1] pkt 1.5.</w:t>
      </w:r>
    </w:p>
    <w:p w:rsidR="00134B2C" w:rsidRDefault="00134B2C" w:rsidP="00134B2C">
      <w:pPr>
        <w:rPr>
          <w:rFonts w:ascii="Calibri" w:hAnsi="Calibri"/>
        </w:rPr>
      </w:pPr>
      <w:bookmarkStart w:id="1484" w:name="_Toc237920700"/>
    </w:p>
    <w:p w:rsidR="00134B2C" w:rsidRPr="00EC730D" w:rsidRDefault="00134B2C" w:rsidP="00134B2C">
      <w:pPr>
        <w:rPr>
          <w:rFonts w:ascii="Calibri" w:hAnsi="Calibri"/>
          <w:b/>
        </w:rPr>
      </w:pPr>
      <w:r w:rsidRPr="00EC730D">
        <w:rPr>
          <w:rFonts w:ascii="Calibri" w:hAnsi="Calibri"/>
          <w:b/>
        </w:rPr>
        <w:t>2. MATERIAŁY</w:t>
      </w:r>
      <w:bookmarkEnd w:id="1484"/>
    </w:p>
    <w:p w:rsidR="00134B2C" w:rsidRPr="00214F35" w:rsidRDefault="00134B2C" w:rsidP="00134B2C">
      <w:pPr>
        <w:rPr>
          <w:rFonts w:ascii="Calibri" w:hAnsi="Calibri"/>
        </w:rPr>
      </w:pPr>
      <w:r w:rsidRPr="00EC730D">
        <w:rPr>
          <w:rFonts w:ascii="Calibri" w:hAnsi="Calibri"/>
          <w:b/>
        </w:rPr>
        <w:t>2.1.</w:t>
      </w:r>
      <w:r w:rsidRPr="00214F35">
        <w:rPr>
          <w:rFonts w:ascii="Calibri" w:hAnsi="Calibri"/>
        </w:rPr>
        <w:t xml:space="preserve"> Ogólne wymagania dotyczące materiałów</w:t>
      </w:r>
    </w:p>
    <w:p w:rsidR="00134B2C" w:rsidRPr="00214F35" w:rsidRDefault="00134B2C" w:rsidP="00134B2C">
      <w:pPr>
        <w:rPr>
          <w:rFonts w:ascii="Calibri" w:hAnsi="Calibri"/>
        </w:rPr>
      </w:pPr>
      <w:r w:rsidRPr="00214F35">
        <w:rPr>
          <w:rFonts w:ascii="Calibri" w:hAnsi="Calibri"/>
        </w:rPr>
        <w:tab/>
        <w:t>Ogólne wymagania dotyczące materiałów, ich pozyski</w:t>
      </w:r>
      <w:r>
        <w:rPr>
          <w:rFonts w:ascii="Calibri" w:hAnsi="Calibri"/>
        </w:rPr>
        <w:t xml:space="preserve">wania i składowania, podano w </w:t>
      </w:r>
      <w:r w:rsidRPr="00214F35">
        <w:rPr>
          <w:rFonts w:ascii="Calibri" w:hAnsi="Calibri"/>
        </w:rPr>
        <w:t>ST D-M-00.00.00 „Wymagania ogólne” [1] pkt 2.</w:t>
      </w:r>
    </w:p>
    <w:p w:rsidR="00134B2C" w:rsidRPr="00214F35" w:rsidRDefault="00134B2C" w:rsidP="00134B2C">
      <w:pPr>
        <w:rPr>
          <w:rFonts w:ascii="Calibri" w:hAnsi="Calibri"/>
        </w:rPr>
      </w:pPr>
      <w:r w:rsidRPr="00EC730D">
        <w:rPr>
          <w:rFonts w:ascii="Calibri" w:hAnsi="Calibri"/>
          <w:b/>
        </w:rPr>
        <w:t>2.2.</w:t>
      </w:r>
      <w:r w:rsidRPr="00214F35">
        <w:rPr>
          <w:rFonts w:ascii="Calibri" w:hAnsi="Calibri"/>
        </w:rPr>
        <w:t xml:space="preserve"> Lepiszcza asfaltowe</w:t>
      </w:r>
    </w:p>
    <w:p w:rsidR="00134B2C" w:rsidRDefault="00134B2C" w:rsidP="00134B2C">
      <w:pPr>
        <w:rPr>
          <w:rFonts w:ascii="Calibri" w:hAnsi="Calibri"/>
        </w:rPr>
      </w:pPr>
      <w:r w:rsidRPr="00214F35">
        <w:rPr>
          <w:rFonts w:ascii="Calibri" w:hAnsi="Calibri"/>
        </w:rPr>
        <w:tab/>
        <w:t>Należy stosować asfalty drogowe wg PN-EN 12591 [27] lub polimeroasfalty wg PN-EN 14023 [59]. Rodzaje stosowanych lepiszczy asfaltowych podano w tablicy 2. Oprócz lepiszczy wymienionych w tablicy 2 można stosować inne lepiszcza nienormowe według aprobat technicznych.</w:t>
      </w:r>
    </w:p>
    <w:p w:rsidR="00134B2C" w:rsidRPr="00214F35" w:rsidRDefault="00134B2C" w:rsidP="00134B2C">
      <w:pPr>
        <w:rPr>
          <w:rFonts w:ascii="Calibri" w:hAnsi="Calibri"/>
        </w:rPr>
      </w:pPr>
    </w:p>
    <w:p w:rsidR="00134B2C" w:rsidRPr="00214F35" w:rsidRDefault="00134B2C" w:rsidP="00134B2C">
      <w:pPr>
        <w:ind w:left="709"/>
        <w:rPr>
          <w:rFonts w:ascii="Calibri" w:hAnsi="Calibri"/>
        </w:rPr>
      </w:pPr>
      <w:r w:rsidRPr="00214F35">
        <w:rPr>
          <w:rFonts w:ascii="Calibri" w:hAnsi="Calibri"/>
        </w:rPr>
        <w:t>Tablica 2. Zalecane  lepiszcza asfaltowego do warstwy ścieralnej z betonu asfaltowego</w:t>
      </w:r>
    </w:p>
    <w:tbl>
      <w:tblPr>
        <w:tblW w:w="7511" w:type="dxa"/>
        <w:tblInd w:w="81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tblPr>
      <w:tblGrid>
        <w:gridCol w:w="1389"/>
        <w:gridCol w:w="1419"/>
        <w:gridCol w:w="2344"/>
        <w:gridCol w:w="2359"/>
      </w:tblGrid>
      <w:tr w:rsidR="00134B2C" w:rsidRPr="00214F35" w:rsidTr="00FD47C7">
        <w:tc>
          <w:tcPr>
            <w:tcW w:w="1389" w:type="dxa"/>
            <w:tcBorders>
              <w:bottom w:val="nil"/>
            </w:tcBorders>
          </w:tcPr>
          <w:p w:rsidR="00134B2C" w:rsidRPr="00214F35" w:rsidRDefault="00134B2C" w:rsidP="00FD47C7">
            <w:pPr>
              <w:spacing w:before="60"/>
              <w:jc w:val="center"/>
              <w:rPr>
                <w:rFonts w:ascii="Calibri" w:hAnsi="Calibri"/>
                <w:sz w:val="18"/>
                <w:szCs w:val="18"/>
              </w:rPr>
            </w:pPr>
            <w:r w:rsidRPr="00214F35">
              <w:rPr>
                <w:rFonts w:ascii="Calibri" w:hAnsi="Calibri"/>
                <w:sz w:val="18"/>
                <w:szCs w:val="18"/>
              </w:rPr>
              <w:t>Kategoria</w:t>
            </w:r>
          </w:p>
        </w:tc>
        <w:tc>
          <w:tcPr>
            <w:tcW w:w="1419" w:type="dxa"/>
            <w:tcBorders>
              <w:bottom w:val="nil"/>
            </w:tcBorders>
          </w:tcPr>
          <w:p w:rsidR="00134B2C" w:rsidRPr="00214F35" w:rsidRDefault="00134B2C" w:rsidP="00FD47C7">
            <w:pPr>
              <w:spacing w:before="60"/>
              <w:jc w:val="center"/>
              <w:rPr>
                <w:rFonts w:ascii="Calibri" w:hAnsi="Calibri"/>
                <w:sz w:val="18"/>
                <w:szCs w:val="18"/>
              </w:rPr>
            </w:pPr>
            <w:r w:rsidRPr="00214F35">
              <w:rPr>
                <w:rFonts w:ascii="Calibri" w:hAnsi="Calibri"/>
                <w:sz w:val="18"/>
                <w:szCs w:val="18"/>
              </w:rPr>
              <w:t>Mieszanka</w:t>
            </w:r>
          </w:p>
        </w:tc>
        <w:tc>
          <w:tcPr>
            <w:tcW w:w="4703" w:type="dxa"/>
            <w:gridSpan w:val="2"/>
          </w:tcPr>
          <w:p w:rsidR="00134B2C" w:rsidRPr="00214F35" w:rsidRDefault="00134B2C" w:rsidP="00FD47C7">
            <w:pPr>
              <w:spacing w:before="60"/>
              <w:jc w:val="center"/>
              <w:rPr>
                <w:rFonts w:ascii="Calibri" w:hAnsi="Calibri"/>
                <w:sz w:val="18"/>
                <w:szCs w:val="18"/>
              </w:rPr>
            </w:pPr>
            <w:r w:rsidRPr="00214F35">
              <w:rPr>
                <w:rFonts w:ascii="Calibri" w:hAnsi="Calibri"/>
                <w:sz w:val="18"/>
                <w:szCs w:val="18"/>
              </w:rPr>
              <w:t xml:space="preserve">Gatunek lepiszcza   </w:t>
            </w:r>
          </w:p>
        </w:tc>
      </w:tr>
      <w:tr w:rsidR="00134B2C" w:rsidRPr="00214F35" w:rsidTr="00FD47C7">
        <w:tc>
          <w:tcPr>
            <w:tcW w:w="1389" w:type="dxa"/>
            <w:tcBorders>
              <w:top w:val="nil"/>
            </w:tcBorders>
          </w:tcPr>
          <w:p w:rsidR="00134B2C" w:rsidRPr="00214F35" w:rsidRDefault="00134B2C" w:rsidP="00FD47C7">
            <w:pPr>
              <w:spacing w:after="60"/>
              <w:jc w:val="center"/>
              <w:rPr>
                <w:rFonts w:ascii="Calibri" w:hAnsi="Calibri"/>
                <w:sz w:val="18"/>
                <w:szCs w:val="18"/>
              </w:rPr>
            </w:pPr>
            <w:r w:rsidRPr="00214F35">
              <w:rPr>
                <w:rFonts w:ascii="Calibri" w:hAnsi="Calibri"/>
                <w:sz w:val="18"/>
                <w:szCs w:val="18"/>
              </w:rPr>
              <w:t>ruchu</w:t>
            </w:r>
          </w:p>
        </w:tc>
        <w:tc>
          <w:tcPr>
            <w:tcW w:w="1419" w:type="dxa"/>
            <w:tcBorders>
              <w:top w:val="nil"/>
            </w:tcBorders>
          </w:tcPr>
          <w:p w:rsidR="00134B2C" w:rsidRPr="00214F35" w:rsidRDefault="00134B2C" w:rsidP="00FD47C7">
            <w:pPr>
              <w:spacing w:after="60"/>
              <w:jc w:val="center"/>
              <w:rPr>
                <w:rFonts w:ascii="Calibri" w:hAnsi="Calibri"/>
                <w:sz w:val="18"/>
                <w:szCs w:val="18"/>
              </w:rPr>
            </w:pPr>
            <w:r w:rsidRPr="00214F35">
              <w:rPr>
                <w:rFonts w:ascii="Calibri" w:hAnsi="Calibri"/>
                <w:sz w:val="18"/>
                <w:szCs w:val="18"/>
              </w:rPr>
              <w:t>ACS</w:t>
            </w:r>
          </w:p>
        </w:tc>
        <w:tc>
          <w:tcPr>
            <w:tcW w:w="2344" w:type="dxa"/>
          </w:tcPr>
          <w:p w:rsidR="00134B2C" w:rsidRPr="00214F35" w:rsidRDefault="00134B2C" w:rsidP="00FD47C7">
            <w:pPr>
              <w:spacing w:after="60"/>
              <w:jc w:val="center"/>
              <w:rPr>
                <w:rFonts w:ascii="Calibri" w:hAnsi="Calibri"/>
                <w:sz w:val="18"/>
                <w:szCs w:val="18"/>
              </w:rPr>
            </w:pPr>
            <w:r w:rsidRPr="00214F35">
              <w:rPr>
                <w:rFonts w:ascii="Calibri" w:hAnsi="Calibri"/>
                <w:sz w:val="18"/>
                <w:szCs w:val="18"/>
              </w:rPr>
              <w:t>asfalt drogowy</w:t>
            </w:r>
          </w:p>
        </w:tc>
        <w:tc>
          <w:tcPr>
            <w:tcW w:w="2359" w:type="dxa"/>
          </w:tcPr>
          <w:p w:rsidR="00134B2C" w:rsidRPr="00214F35" w:rsidRDefault="00134B2C" w:rsidP="00FD47C7">
            <w:pPr>
              <w:spacing w:after="60"/>
              <w:jc w:val="center"/>
              <w:rPr>
                <w:rFonts w:ascii="Calibri" w:hAnsi="Calibri"/>
                <w:sz w:val="18"/>
                <w:szCs w:val="18"/>
              </w:rPr>
            </w:pPr>
            <w:r w:rsidRPr="00214F35">
              <w:rPr>
                <w:rFonts w:ascii="Calibri" w:hAnsi="Calibri"/>
                <w:sz w:val="18"/>
                <w:szCs w:val="18"/>
              </w:rPr>
              <w:t>polimeroasfalt</w:t>
            </w:r>
          </w:p>
        </w:tc>
      </w:tr>
      <w:tr w:rsidR="00134B2C" w:rsidRPr="00214F35" w:rsidTr="00FD47C7">
        <w:tc>
          <w:tcPr>
            <w:tcW w:w="1389" w:type="dxa"/>
          </w:tcPr>
          <w:p w:rsidR="00134B2C" w:rsidRPr="00214F35" w:rsidRDefault="00134B2C" w:rsidP="00FD47C7">
            <w:pPr>
              <w:spacing w:before="60"/>
              <w:jc w:val="center"/>
              <w:rPr>
                <w:rFonts w:ascii="Calibri" w:hAnsi="Calibri"/>
                <w:sz w:val="18"/>
                <w:szCs w:val="18"/>
              </w:rPr>
            </w:pPr>
            <w:r w:rsidRPr="00214F35">
              <w:rPr>
                <w:rFonts w:ascii="Calibri" w:hAnsi="Calibri"/>
                <w:sz w:val="18"/>
                <w:szCs w:val="18"/>
              </w:rPr>
              <w:t>KR1 – KR2</w:t>
            </w:r>
          </w:p>
        </w:tc>
        <w:tc>
          <w:tcPr>
            <w:tcW w:w="1419" w:type="dxa"/>
          </w:tcPr>
          <w:p w:rsidR="00134B2C" w:rsidRPr="00214F35" w:rsidRDefault="00134B2C" w:rsidP="00FD47C7">
            <w:pPr>
              <w:spacing w:before="60" w:after="60"/>
              <w:jc w:val="center"/>
              <w:rPr>
                <w:rFonts w:ascii="Calibri" w:hAnsi="Calibri"/>
                <w:sz w:val="18"/>
                <w:szCs w:val="18"/>
              </w:rPr>
            </w:pPr>
            <w:r w:rsidRPr="00214F35">
              <w:rPr>
                <w:rFonts w:ascii="Calibri" w:hAnsi="Calibri"/>
                <w:sz w:val="18"/>
                <w:szCs w:val="18"/>
              </w:rPr>
              <w:t>AC5S, AC8S, AC11S</w:t>
            </w:r>
          </w:p>
        </w:tc>
        <w:tc>
          <w:tcPr>
            <w:tcW w:w="2344" w:type="dxa"/>
          </w:tcPr>
          <w:p w:rsidR="00134B2C" w:rsidRPr="00214F35" w:rsidRDefault="00134B2C" w:rsidP="00FD47C7">
            <w:pPr>
              <w:spacing w:before="60"/>
              <w:jc w:val="center"/>
              <w:rPr>
                <w:rFonts w:ascii="Calibri" w:hAnsi="Calibri"/>
                <w:sz w:val="18"/>
                <w:szCs w:val="18"/>
              </w:rPr>
            </w:pPr>
            <w:r w:rsidRPr="00214F35">
              <w:rPr>
                <w:rFonts w:ascii="Calibri" w:hAnsi="Calibri"/>
                <w:sz w:val="18"/>
                <w:szCs w:val="18"/>
              </w:rPr>
              <w:t>50/70, 70/100</w:t>
            </w:r>
          </w:p>
          <w:p w:rsidR="00134B2C" w:rsidRPr="00214F35" w:rsidRDefault="00134B2C" w:rsidP="00FD47C7">
            <w:pPr>
              <w:jc w:val="center"/>
              <w:rPr>
                <w:rFonts w:ascii="Calibri" w:hAnsi="Calibri"/>
                <w:sz w:val="18"/>
                <w:szCs w:val="18"/>
              </w:rPr>
            </w:pPr>
            <w:r w:rsidRPr="00214F35">
              <w:rPr>
                <w:rFonts w:ascii="Calibri" w:hAnsi="Calibri"/>
                <w:sz w:val="18"/>
                <w:szCs w:val="18"/>
              </w:rPr>
              <w:t>Wielorodzajowy 50/70</w:t>
            </w:r>
          </w:p>
        </w:tc>
        <w:tc>
          <w:tcPr>
            <w:tcW w:w="2359" w:type="dxa"/>
          </w:tcPr>
          <w:p w:rsidR="00134B2C" w:rsidRPr="00214F35" w:rsidRDefault="00134B2C" w:rsidP="00FD47C7">
            <w:pPr>
              <w:jc w:val="center"/>
              <w:rPr>
                <w:rFonts w:ascii="Calibri" w:hAnsi="Calibri"/>
                <w:sz w:val="18"/>
                <w:szCs w:val="18"/>
                <w:vertAlign w:val="superscript"/>
              </w:rPr>
            </w:pPr>
          </w:p>
          <w:p w:rsidR="00134B2C" w:rsidRPr="00214F35" w:rsidRDefault="00134B2C" w:rsidP="00FD47C7">
            <w:pPr>
              <w:jc w:val="center"/>
              <w:rPr>
                <w:rFonts w:ascii="Calibri" w:hAnsi="Calibri"/>
                <w:sz w:val="18"/>
                <w:szCs w:val="18"/>
                <w:vertAlign w:val="superscript"/>
              </w:rPr>
            </w:pPr>
            <w:r w:rsidRPr="00214F35">
              <w:rPr>
                <w:rFonts w:ascii="Calibri" w:hAnsi="Calibri"/>
                <w:sz w:val="18"/>
                <w:szCs w:val="18"/>
                <w:vertAlign w:val="superscript"/>
              </w:rPr>
              <w:t>-</w:t>
            </w:r>
          </w:p>
        </w:tc>
      </w:tr>
      <w:tr w:rsidR="00134B2C" w:rsidRPr="00214F35" w:rsidTr="00FD47C7">
        <w:tc>
          <w:tcPr>
            <w:tcW w:w="1389" w:type="dxa"/>
          </w:tcPr>
          <w:p w:rsidR="00134B2C" w:rsidRPr="00214F35" w:rsidRDefault="00134B2C" w:rsidP="00FD47C7">
            <w:pPr>
              <w:spacing w:before="60" w:after="60"/>
              <w:jc w:val="center"/>
              <w:rPr>
                <w:rFonts w:ascii="Calibri" w:hAnsi="Calibri"/>
                <w:sz w:val="18"/>
                <w:szCs w:val="18"/>
              </w:rPr>
            </w:pPr>
            <w:r w:rsidRPr="00214F35">
              <w:rPr>
                <w:rFonts w:ascii="Calibri" w:hAnsi="Calibri"/>
                <w:sz w:val="18"/>
                <w:szCs w:val="18"/>
              </w:rPr>
              <w:t>KR3 – KR4</w:t>
            </w:r>
          </w:p>
        </w:tc>
        <w:tc>
          <w:tcPr>
            <w:tcW w:w="1419" w:type="dxa"/>
          </w:tcPr>
          <w:p w:rsidR="00134B2C" w:rsidRPr="00214F35" w:rsidRDefault="00134B2C" w:rsidP="00FD47C7">
            <w:pPr>
              <w:spacing w:before="60" w:after="60"/>
              <w:jc w:val="left"/>
              <w:rPr>
                <w:rFonts w:ascii="Calibri" w:hAnsi="Calibri"/>
                <w:sz w:val="18"/>
                <w:szCs w:val="18"/>
              </w:rPr>
            </w:pPr>
            <w:r w:rsidRPr="00214F35">
              <w:rPr>
                <w:rFonts w:ascii="Calibri" w:hAnsi="Calibri"/>
                <w:sz w:val="18"/>
                <w:szCs w:val="18"/>
              </w:rPr>
              <w:t>AC8S, AC11S</w:t>
            </w:r>
          </w:p>
        </w:tc>
        <w:tc>
          <w:tcPr>
            <w:tcW w:w="2344" w:type="dxa"/>
          </w:tcPr>
          <w:p w:rsidR="00134B2C" w:rsidRPr="00214F35" w:rsidRDefault="00134B2C" w:rsidP="00FD47C7">
            <w:pPr>
              <w:spacing w:before="60"/>
              <w:jc w:val="center"/>
              <w:rPr>
                <w:rFonts w:ascii="Calibri" w:hAnsi="Calibri"/>
                <w:sz w:val="18"/>
                <w:szCs w:val="18"/>
              </w:rPr>
            </w:pPr>
            <w:r w:rsidRPr="00214F35">
              <w:rPr>
                <w:rFonts w:ascii="Calibri" w:hAnsi="Calibri"/>
                <w:sz w:val="18"/>
                <w:szCs w:val="18"/>
              </w:rPr>
              <w:t xml:space="preserve">   50/70</w:t>
            </w:r>
          </w:p>
          <w:p w:rsidR="00134B2C" w:rsidRPr="00214F35" w:rsidRDefault="00134B2C" w:rsidP="00FD47C7">
            <w:pPr>
              <w:spacing w:after="60"/>
              <w:jc w:val="center"/>
              <w:rPr>
                <w:rFonts w:ascii="Calibri" w:hAnsi="Calibri"/>
                <w:sz w:val="18"/>
                <w:szCs w:val="18"/>
              </w:rPr>
            </w:pPr>
            <w:r w:rsidRPr="00214F35">
              <w:rPr>
                <w:rFonts w:ascii="Calibri" w:hAnsi="Calibri"/>
                <w:sz w:val="18"/>
                <w:szCs w:val="18"/>
              </w:rPr>
              <w:t xml:space="preserve">Wielorodzajowy 50/70   </w:t>
            </w:r>
          </w:p>
        </w:tc>
        <w:tc>
          <w:tcPr>
            <w:tcW w:w="2359" w:type="dxa"/>
            <w:tcBorders>
              <w:bottom w:val="nil"/>
            </w:tcBorders>
          </w:tcPr>
          <w:p w:rsidR="00134B2C" w:rsidRPr="00214F35" w:rsidRDefault="00134B2C" w:rsidP="00FD47C7">
            <w:pPr>
              <w:spacing w:before="60"/>
              <w:jc w:val="center"/>
              <w:rPr>
                <w:rFonts w:ascii="Calibri" w:hAnsi="Calibri"/>
                <w:sz w:val="18"/>
                <w:szCs w:val="18"/>
              </w:rPr>
            </w:pPr>
            <w:r w:rsidRPr="00214F35">
              <w:rPr>
                <w:rFonts w:ascii="Calibri" w:hAnsi="Calibri"/>
                <w:sz w:val="18"/>
                <w:szCs w:val="18"/>
              </w:rPr>
              <w:t>PMB 45/80-55</w:t>
            </w:r>
          </w:p>
          <w:p w:rsidR="00134B2C" w:rsidRPr="00214F35" w:rsidRDefault="00134B2C" w:rsidP="00FD47C7">
            <w:pPr>
              <w:spacing w:after="60"/>
              <w:jc w:val="center"/>
              <w:rPr>
                <w:rFonts w:ascii="Calibri" w:hAnsi="Calibri"/>
                <w:sz w:val="18"/>
                <w:szCs w:val="18"/>
              </w:rPr>
            </w:pPr>
            <w:r w:rsidRPr="00214F35">
              <w:rPr>
                <w:rFonts w:ascii="Calibri" w:hAnsi="Calibri"/>
                <w:sz w:val="18"/>
                <w:szCs w:val="18"/>
              </w:rPr>
              <w:t>PMB 45/80-65</w:t>
            </w:r>
          </w:p>
        </w:tc>
      </w:tr>
      <w:tr w:rsidR="00134B2C" w:rsidRPr="00214F35" w:rsidTr="00FD47C7">
        <w:trPr>
          <w:trHeight w:val="477"/>
        </w:trPr>
        <w:tc>
          <w:tcPr>
            <w:tcW w:w="1389" w:type="dxa"/>
          </w:tcPr>
          <w:p w:rsidR="00134B2C" w:rsidRPr="00214F35" w:rsidRDefault="00134B2C" w:rsidP="00FD47C7">
            <w:pPr>
              <w:spacing w:before="60"/>
              <w:jc w:val="center"/>
              <w:rPr>
                <w:rFonts w:ascii="Calibri" w:hAnsi="Calibri"/>
                <w:sz w:val="18"/>
                <w:szCs w:val="18"/>
              </w:rPr>
            </w:pPr>
            <w:r w:rsidRPr="00214F35">
              <w:rPr>
                <w:rFonts w:ascii="Calibri" w:hAnsi="Calibri"/>
                <w:sz w:val="18"/>
                <w:szCs w:val="18"/>
              </w:rPr>
              <w:t>KR5 – KR6</w:t>
            </w:r>
          </w:p>
        </w:tc>
        <w:tc>
          <w:tcPr>
            <w:tcW w:w="1419" w:type="dxa"/>
          </w:tcPr>
          <w:p w:rsidR="00134B2C" w:rsidRPr="00214F35" w:rsidRDefault="00134B2C" w:rsidP="00FD47C7">
            <w:pPr>
              <w:spacing w:before="60"/>
              <w:rPr>
                <w:rFonts w:ascii="Calibri" w:hAnsi="Calibri"/>
                <w:sz w:val="18"/>
                <w:szCs w:val="18"/>
              </w:rPr>
            </w:pPr>
            <w:r w:rsidRPr="00214F35">
              <w:rPr>
                <w:rFonts w:ascii="Calibri" w:hAnsi="Calibri"/>
                <w:sz w:val="18"/>
                <w:szCs w:val="18"/>
              </w:rPr>
              <w:t>AC8S, AC11S</w:t>
            </w:r>
          </w:p>
        </w:tc>
        <w:tc>
          <w:tcPr>
            <w:tcW w:w="2344" w:type="dxa"/>
          </w:tcPr>
          <w:p w:rsidR="00134B2C" w:rsidRPr="00214F35" w:rsidRDefault="00134B2C" w:rsidP="00FD47C7">
            <w:pPr>
              <w:spacing w:before="60"/>
              <w:jc w:val="center"/>
              <w:rPr>
                <w:rFonts w:ascii="Calibri" w:hAnsi="Calibri"/>
                <w:sz w:val="18"/>
                <w:szCs w:val="18"/>
              </w:rPr>
            </w:pPr>
            <w:r w:rsidRPr="00214F35">
              <w:rPr>
                <w:rFonts w:ascii="Calibri" w:hAnsi="Calibri"/>
                <w:sz w:val="18"/>
                <w:szCs w:val="18"/>
              </w:rPr>
              <w:t>Wielorodzajowy 35/50</w:t>
            </w:r>
          </w:p>
        </w:tc>
        <w:tc>
          <w:tcPr>
            <w:tcW w:w="2359" w:type="dxa"/>
          </w:tcPr>
          <w:p w:rsidR="00134B2C" w:rsidRPr="00214F35" w:rsidRDefault="00134B2C" w:rsidP="00FD47C7">
            <w:pPr>
              <w:spacing w:before="60"/>
              <w:jc w:val="center"/>
              <w:rPr>
                <w:rFonts w:ascii="Calibri" w:hAnsi="Calibri"/>
                <w:sz w:val="18"/>
                <w:szCs w:val="18"/>
              </w:rPr>
            </w:pPr>
            <w:r w:rsidRPr="00214F35">
              <w:rPr>
                <w:rFonts w:ascii="Calibri" w:hAnsi="Calibri"/>
                <w:sz w:val="18"/>
                <w:szCs w:val="18"/>
              </w:rPr>
              <w:t>PMB 45/80-55</w:t>
            </w:r>
          </w:p>
          <w:p w:rsidR="00134B2C" w:rsidRPr="00214F35" w:rsidRDefault="00134B2C" w:rsidP="00FD47C7">
            <w:pPr>
              <w:spacing w:after="60"/>
              <w:jc w:val="center"/>
              <w:rPr>
                <w:rFonts w:ascii="Calibri" w:hAnsi="Calibri"/>
                <w:sz w:val="18"/>
                <w:szCs w:val="18"/>
              </w:rPr>
            </w:pPr>
            <w:r w:rsidRPr="00214F35">
              <w:rPr>
                <w:rFonts w:ascii="Calibri" w:hAnsi="Calibri"/>
                <w:sz w:val="18"/>
                <w:szCs w:val="18"/>
              </w:rPr>
              <w:t>PMB 45/80-65</w:t>
            </w:r>
          </w:p>
        </w:tc>
      </w:tr>
    </w:tbl>
    <w:p w:rsidR="00134B2C" w:rsidRPr="00E033A0" w:rsidRDefault="00134B2C" w:rsidP="00134B2C"/>
    <w:p w:rsidR="00134B2C" w:rsidRPr="00214F35" w:rsidRDefault="00134B2C" w:rsidP="00134B2C">
      <w:pPr>
        <w:rPr>
          <w:rFonts w:ascii="Calibri" w:hAnsi="Calibri"/>
        </w:rPr>
      </w:pPr>
      <w:r w:rsidRPr="00214F35">
        <w:rPr>
          <w:rFonts w:ascii="Calibri" w:hAnsi="Calibri"/>
        </w:rPr>
        <w:t xml:space="preserve">Asfalty drogowe powinny spełniać wymagania podane w tablicy 3. </w:t>
      </w:r>
    </w:p>
    <w:p w:rsidR="00134B2C" w:rsidRDefault="00134B2C" w:rsidP="00134B2C">
      <w:pPr>
        <w:rPr>
          <w:rFonts w:ascii="Calibri" w:hAnsi="Calibri"/>
        </w:rPr>
      </w:pPr>
      <w:r w:rsidRPr="00214F35">
        <w:rPr>
          <w:rFonts w:ascii="Calibri" w:hAnsi="Calibri"/>
        </w:rPr>
        <w:t>Polimeroasfalty  powinny spełniać wymagania podane  w tablicy 4.</w:t>
      </w:r>
    </w:p>
    <w:p w:rsidR="00134B2C" w:rsidRPr="00214F35" w:rsidRDefault="00134B2C" w:rsidP="00134B2C">
      <w:pPr>
        <w:rPr>
          <w:rFonts w:ascii="Calibri" w:hAnsi="Calibri"/>
        </w:rPr>
      </w:pPr>
    </w:p>
    <w:p w:rsidR="00134B2C" w:rsidRPr="00214F35" w:rsidRDefault="00134B2C" w:rsidP="00134B2C">
      <w:pPr>
        <w:ind w:left="709"/>
        <w:rPr>
          <w:rFonts w:ascii="Calibri" w:hAnsi="Calibri"/>
        </w:rPr>
      </w:pPr>
      <w:r w:rsidRPr="00214F35">
        <w:rPr>
          <w:rFonts w:ascii="Calibri" w:hAnsi="Calibri"/>
        </w:rPr>
        <w:t>Tablica 3. Wymagania wobec asfaltów drogowych wg PN-EN 12591 [27]</w:t>
      </w:r>
    </w:p>
    <w:tbl>
      <w:tblPr>
        <w:tblW w:w="0" w:type="auto"/>
        <w:tblInd w:w="81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tblPr>
      <w:tblGrid>
        <w:gridCol w:w="534"/>
        <w:gridCol w:w="2409"/>
        <w:gridCol w:w="851"/>
        <w:gridCol w:w="1984"/>
        <w:gridCol w:w="851"/>
        <w:gridCol w:w="882"/>
      </w:tblGrid>
      <w:tr w:rsidR="00134B2C" w:rsidRPr="00214F35" w:rsidTr="00FD47C7">
        <w:tc>
          <w:tcPr>
            <w:tcW w:w="534" w:type="dxa"/>
            <w:vMerge w:val="restart"/>
            <w:vAlign w:val="center"/>
          </w:tcPr>
          <w:p w:rsidR="00134B2C" w:rsidRPr="00214F35" w:rsidRDefault="00134B2C" w:rsidP="00FD47C7">
            <w:pPr>
              <w:jc w:val="center"/>
              <w:rPr>
                <w:rFonts w:ascii="Calibri" w:hAnsi="Calibri"/>
                <w:sz w:val="18"/>
                <w:szCs w:val="18"/>
              </w:rPr>
            </w:pPr>
            <w:r w:rsidRPr="00214F35">
              <w:rPr>
                <w:rFonts w:ascii="Calibri" w:hAnsi="Calibri"/>
                <w:sz w:val="18"/>
                <w:szCs w:val="18"/>
              </w:rPr>
              <w:t>Lp.</w:t>
            </w:r>
          </w:p>
        </w:tc>
        <w:tc>
          <w:tcPr>
            <w:tcW w:w="3260" w:type="dxa"/>
            <w:gridSpan w:val="2"/>
            <w:vMerge w:val="restart"/>
            <w:vAlign w:val="center"/>
          </w:tcPr>
          <w:p w:rsidR="00134B2C" w:rsidRPr="00214F35" w:rsidRDefault="00134B2C" w:rsidP="00FD47C7">
            <w:pPr>
              <w:jc w:val="center"/>
              <w:rPr>
                <w:rFonts w:ascii="Calibri" w:hAnsi="Calibri"/>
                <w:sz w:val="18"/>
                <w:szCs w:val="18"/>
              </w:rPr>
            </w:pPr>
            <w:r w:rsidRPr="00214F35">
              <w:rPr>
                <w:rFonts w:ascii="Calibri" w:hAnsi="Calibri"/>
                <w:sz w:val="18"/>
                <w:szCs w:val="18"/>
              </w:rPr>
              <w:t>Właściwości</w:t>
            </w:r>
          </w:p>
        </w:tc>
        <w:tc>
          <w:tcPr>
            <w:tcW w:w="1984" w:type="dxa"/>
            <w:vMerge w:val="restart"/>
            <w:vAlign w:val="center"/>
          </w:tcPr>
          <w:p w:rsidR="00134B2C" w:rsidRPr="00214F35" w:rsidRDefault="00134B2C" w:rsidP="00FD47C7">
            <w:pPr>
              <w:jc w:val="center"/>
              <w:rPr>
                <w:rFonts w:ascii="Calibri" w:hAnsi="Calibri"/>
                <w:sz w:val="18"/>
                <w:szCs w:val="18"/>
              </w:rPr>
            </w:pPr>
            <w:r w:rsidRPr="00214F35">
              <w:rPr>
                <w:rFonts w:ascii="Calibri" w:hAnsi="Calibri"/>
                <w:sz w:val="18"/>
                <w:szCs w:val="18"/>
              </w:rPr>
              <w:t>Metoda</w:t>
            </w:r>
          </w:p>
          <w:p w:rsidR="00134B2C" w:rsidRPr="00214F35" w:rsidRDefault="00134B2C" w:rsidP="00FD47C7">
            <w:pPr>
              <w:jc w:val="center"/>
              <w:rPr>
                <w:rFonts w:ascii="Calibri" w:hAnsi="Calibri"/>
                <w:sz w:val="18"/>
                <w:szCs w:val="18"/>
              </w:rPr>
            </w:pPr>
            <w:r w:rsidRPr="00214F35">
              <w:rPr>
                <w:rFonts w:ascii="Calibri" w:hAnsi="Calibri"/>
                <w:sz w:val="18"/>
                <w:szCs w:val="18"/>
              </w:rPr>
              <w:t>badania</w:t>
            </w:r>
          </w:p>
        </w:tc>
        <w:tc>
          <w:tcPr>
            <w:tcW w:w="1733" w:type="dxa"/>
            <w:gridSpan w:val="2"/>
          </w:tcPr>
          <w:p w:rsidR="00134B2C" w:rsidRPr="00214F35" w:rsidRDefault="00134B2C" w:rsidP="00FD47C7">
            <w:pPr>
              <w:jc w:val="center"/>
              <w:rPr>
                <w:rFonts w:ascii="Calibri" w:hAnsi="Calibri"/>
                <w:sz w:val="18"/>
                <w:szCs w:val="18"/>
              </w:rPr>
            </w:pPr>
            <w:r w:rsidRPr="00214F35">
              <w:rPr>
                <w:rFonts w:ascii="Calibri" w:hAnsi="Calibri"/>
                <w:sz w:val="18"/>
                <w:szCs w:val="18"/>
              </w:rPr>
              <w:t>Rodzaj asfaltu</w:t>
            </w:r>
          </w:p>
        </w:tc>
      </w:tr>
      <w:tr w:rsidR="00134B2C" w:rsidRPr="00214F35" w:rsidTr="00FD47C7">
        <w:tc>
          <w:tcPr>
            <w:tcW w:w="534" w:type="dxa"/>
            <w:vMerge/>
          </w:tcPr>
          <w:p w:rsidR="00134B2C" w:rsidRPr="00214F35" w:rsidRDefault="00134B2C" w:rsidP="00FD47C7">
            <w:pPr>
              <w:jc w:val="center"/>
              <w:rPr>
                <w:rFonts w:ascii="Calibri" w:hAnsi="Calibri"/>
                <w:sz w:val="18"/>
                <w:szCs w:val="18"/>
              </w:rPr>
            </w:pPr>
          </w:p>
        </w:tc>
        <w:tc>
          <w:tcPr>
            <w:tcW w:w="3260" w:type="dxa"/>
            <w:gridSpan w:val="2"/>
            <w:vMerge/>
          </w:tcPr>
          <w:p w:rsidR="00134B2C" w:rsidRPr="00214F35" w:rsidRDefault="00134B2C" w:rsidP="00FD47C7">
            <w:pPr>
              <w:jc w:val="center"/>
              <w:rPr>
                <w:rFonts w:ascii="Calibri" w:hAnsi="Calibri"/>
                <w:sz w:val="18"/>
                <w:szCs w:val="18"/>
              </w:rPr>
            </w:pPr>
          </w:p>
        </w:tc>
        <w:tc>
          <w:tcPr>
            <w:tcW w:w="1984" w:type="dxa"/>
            <w:vMerge/>
          </w:tcPr>
          <w:p w:rsidR="00134B2C" w:rsidRPr="00214F35" w:rsidRDefault="00134B2C" w:rsidP="00FD47C7">
            <w:pPr>
              <w:jc w:val="center"/>
              <w:rPr>
                <w:rFonts w:ascii="Calibri" w:hAnsi="Calibri"/>
                <w:sz w:val="18"/>
                <w:szCs w:val="18"/>
              </w:rPr>
            </w:pPr>
          </w:p>
        </w:tc>
        <w:tc>
          <w:tcPr>
            <w:tcW w:w="851" w:type="dxa"/>
          </w:tcPr>
          <w:p w:rsidR="00134B2C" w:rsidRPr="00214F35" w:rsidRDefault="00134B2C" w:rsidP="00FD47C7">
            <w:pPr>
              <w:jc w:val="center"/>
              <w:rPr>
                <w:rFonts w:ascii="Calibri" w:hAnsi="Calibri"/>
                <w:sz w:val="18"/>
                <w:szCs w:val="18"/>
              </w:rPr>
            </w:pPr>
            <w:r w:rsidRPr="00214F35">
              <w:rPr>
                <w:rFonts w:ascii="Calibri" w:hAnsi="Calibri"/>
                <w:sz w:val="18"/>
                <w:szCs w:val="18"/>
              </w:rPr>
              <w:t>50/70</w:t>
            </w:r>
          </w:p>
        </w:tc>
        <w:tc>
          <w:tcPr>
            <w:tcW w:w="882" w:type="dxa"/>
          </w:tcPr>
          <w:p w:rsidR="00134B2C" w:rsidRPr="00214F35" w:rsidRDefault="00134B2C" w:rsidP="00FD47C7">
            <w:pPr>
              <w:jc w:val="center"/>
              <w:rPr>
                <w:rFonts w:ascii="Calibri" w:hAnsi="Calibri"/>
                <w:sz w:val="18"/>
                <w:szCs w:val="18"/>
              </w:rPr>
            </w:pPr>
            <w:r w:rsidRPr="00214F35">
              <w:rPr>
                <w:rFonts w:ascii="Calibri" w:hAnsi="Calibri"/>
                <w:sz w:val="18"/>
                <w:szCs w:val="18"/>
              </w:rPr>
              <w:t>70/100</w:t>
            </w:r>
          </w:p>
        </w:tc>
      </w:tr>
      <w:tr w:rsidR="00134B2C" w:rsidRPr="00214F35" w:rsidTr="00FD47C7">
        <w:tc>
          <w:tcPr>
            <w:tcW w:w="534" w:type="dxa"/>
          </w:tcPr>
          <w:p w:rsidR="00134B2C" w:rsidRPr="00214F35" w:rsidRDefault="00134B2C" w:rsidP="00FD47C7">
            <w:pPr>
              <w:jc w:val="center"/>
              <w:rPr>
                <w:rFonts w:ascii="Calibri" w:hAnsi="Calibri"/>
                <w:sz w:val="18"/>
                <w:szCs w:val="18"/>
              </w:rPr>
            </w:pPr>
            <w:r w:rsidRPr="00214F35">
              <w:rPr>
                <w:rFonts w:ascii="Calibri" w:hAnsi="Calibri"/>
                <w:sz w:val="18"/>
                <w:szCs w:val="18"/>
              </w:rPr>
              <w:t>1</w:t>
            </w:r>
          </w:p>
        </w:tc>
        <w:tc>
          <w:tcPr>
            <w:tcW w:w="3260" w:type="dxa"/>
            <w:gridSpan w:val="2"/>
          </w:tcPr>
          <w:p w:rsidR="00134B2C" w:rsidRPr="00214F35" w:rsidRDefault="00134B2C" w:rsidP="00FD47C7">
            <w:pPr>
              <w:jc w:val="center"/>
              <w:rPr>
                <w:rFonts w:ascii="Calibri" w:hAnsi="Calibri"/>
                <w:sz w:val="18"/>
                <w:szCs w:val="18"/>
              </w:rPr>
            </w:pPr>
            <w:r w:rsidRPr="00214F35">
              <w:rPr>
                <w:rFonts w:ascii="Calibri" w:hAnsi="Calibri"/>
                <w:sz w:val="18"/>
                <w:szCs w:val="18"/>
              </w:rPr>
              <w:t>2</w:t>
            </w:r>
          </w:p>
        </w:tc>
        <w:tc>
          <w:tcPr>
            <w:tcW w:w="1984" w:type="dxa"/>
          </w:tcPr>
          <w:p w:rsidR="00134B2C" w:rsidRPr="00214F35" w:rsidRDefault="00134B2C" w:rsidP="00FD47C7">
            <w:pPr>
              <w:jc w:val="center"/>
              <w:rPr>
                <w:rFonts w:ascii="Calibri" w:hAnsi="Calibri"/>
                <w:sz w:val="18"/>
                <w:szCs w:val="18"/>
              </w:rPr>
            </w:pPr>
            <w:r w:rsidRPr="00214F35">
              <w:rPr>
                <w:rFonts w:ascii="Calibri" w:hAnsi="Calibri"/>
                <w:sz w:val="18"/>
                <w:szCs w:val="18"/>
              </w:rPr>
              <w:t>3</w:t>
            </w:r>
          </w:p>
        </w:tc>
        <w:tc>
          <w:tcPr>
            <w:tcW w:w="851" w:type="dxa"/>
          </w:tcPr>
          <w:p w:rsidR="00134B2C" w:rsidRPr="00214F35" w:rsidRDefault="00134B2C" w:rsidP="00FD47C7">
            <w:pPr>
              <w:jc w:val="center"/>
              <w:rPr>
                <w:rFonts w:ascii="Calibri" w:hAnsi="Calibri"/>
                <w:sz w:val="18"/>
                <w:szCs w:val="18"/>
              </w:rPr>
            </w:pPr>
            <w:r w:rsidRPr="00214F35">
              <w:rPr>
                <w:rFonts w:ascii="Calibri" w:hAnsi="Calibri"/>
                <w:sz w:val="18"/>
                <w:szCs w:val="18"/>
              </w:rPr>
              <w:t>4</w:t>
            </w:r>
          </w:p>
        </w:tc>
        <w:tc>
          <w:tcPr>
            <w:tcW w:w="882" w:type="dxa"/>
          </w:tcPr>
          <w:p w:rsidR="00134B2C" w:rsidRPr="00214F35" w:rsidRDefault="00134B2C" w:rsidP="00FD47C7">
            <w:pPr>
              <w:jc w:val="center"/>
              <w:rPr>
                <w:rFonts w:ascii="Calibri" w:hAnsi="Calibri"/>
                <w:sz w:val="18"/>
                <w:szCs w:val="18"/>
              </w:rPr>
            </w:pPr>
            <w:r w:rsidRPr="00214F35">
              <w:rPr>
                <w:rFonts w:ascii="Calibri" w:hAnsi="Calibri"/>
                <w:sz w:val="18"/>
                <w:szCs w:val="18"/>
              </w:rPr>
              <w:t>5</w:t>
            </w:r>
          </w:p>
        </w:tc>
      </w:tr>
      <w:tr w:rsidR="00134B2C" w:rsidRPr="00214F35" w:rsidTr="00FD47C7">
        <w:tc>
          <w:tcPr>
            <w:tcW w:w="7511" w:type="dxa"/>
            <w:gridSpan w:val="6"/>
          </w:tcPr>
          <w:p w:rsidR="00134B2C" w:rsidRPr="00214F35" w:rsidRDefault="00134B2C" w:rsidP="00FD47C7">
            <w:pPr>
              <w:jc w:val="center"/>
              <w:rPr>
                <w:rFonts w:ascii="Calibri" w:hAnsi="Calibri"/>
                <w:sz w:val="18"/>
                <w:szCs w:val="18"/>
              </w:rPr>
            </w:pPr>
            <w:r w:rsidRPr="00214F35">
              <w:rPr>
                <w:rFonts w:ascii="Calibri" w:hAnsi="Calibri"/>
                <w:sz w:val="18"/>
                <w:szCs w:val="18"/>
              </w:rPr>
              <w:t>WŁAŚCIWOŚCI   OBLIGATORYJNE</w:t>
            </w:r>
          </w:p>
        </w:tc>
      </w:tr>
      <w:tr w:rsidR="00134B2C" w:rsidRPr="00214F35" w:rsidTr="00FD47C7">
        <w:tc>
          <w:tcPr>
            <w:tcW w:w="534" w:type="dxa"/>
          </w:tcPr>
          <w:p w:rsidR="00134B2C" w:rsidRPr="00214F35" w:rsidRDefault="00134B2C" w:rsidP="00FD47C7">
            <w:pPr>
              <w:spacing w:before="60" w:after="60"/>
              <w:jc w:val="center"/>
              <w:rPr>
                <w:rFonts w:ascii="Calibri" w:hAnsi="Calibri"/>
                <w:sz w:val="18"/>
                <w:szCs w:val="18"/>
              </w:rPr>
            </w:pPr>
            <w:r w:rsidRPr="00214F35">
              <w:rPr>
                <w:rFonts w:ascii="Calibri" w:hAnsi="Calibri"/>
                <w:sz w:val="18"/>
                <w:szCs w:val="18"/>
              </w:rPr>
              <w:t>1</w:t>
            </w:r>
          </w:p>
        </w:tc>
        <w:tc>
          <w:tcPr>
            <w:tcW w:w="2409" w:type="dxa"/>
          </w:tcPr>
          <w:p w:rsidR="00134B2C" w:rsidRPr="00214F35" w:rsidRDefault="00134B2C" w:rsidP="00FD47C7">
            <w:pPr>
              <w:spacing w:before="60" w:after="60"/>
              <w:rPr>
                <w:rFonts w:ascii="Calibri" w:hAnsi="Calibri"/>
                <w:sz w:val="18"/>
                <w:szCs w:val="18"/>
              </w:rPr>
            </w:pPr>
            <w:r w:rsidRPr="00214F35">
              <w:rPr>
                <w:rFonts w:ascii="Calibri" w:hAnsi="Calibri"/>
                <w:sz w:val="18"/>
                <w:szCs w:val="18"/>
              </w:rPr>
              <w:t xml:space="preserve">Penetracja w </w:t>
            </w:r>
            <w:smartTag w:uri="urn:schemas-microsoft-com:office:smarttags" w:element="metricconverter">
              <w:smartTagPr>
                <w:attr w:name="ProductID" w:val="25ﾰC"/>
              </w:smartTagPr>
              <w:r w:rsidRPr="00214F35">
                <w:rPr>
                  <w:rFonts w:ascii="Calibri" w:hAnsi="Calibri"/>
                  <w:sz w:val="18"/>
                  <w:szCs w:val="18"/>
                </w:rPr>
                <w:t>25°C</w:t>
              </w:r>
            </w:smartTag>
          </w:p>
        </w:tc>
        <w:tc>
          <w:tcPr>
            <w:tcW w:w="851" w:type="dxa"/>
          </w:tcPr>
          <w:p w:rsidR="00134B2C" w:rsidRPr="00214F35" w:rsidRDefault="00134B2C" w:rsidP="00FD47C7">
            <w:pPr>
              <w:spacing w:before="60" w:after="60"/>
              <w:jc w:val="center"/>
              <w:rPr>
                <w:rFonts w:ascii="Calibri" w:hAnsi="Calibri"/>
                <w:sz w:val="18"/>
                <w:szCs w:val="18"/>
              </w:rPr>
            </w:pPr>
            <w:smartTag w:uri="urn:schemas-microsoft-com:office:smarttags" w:element="metricconverter">
              <w:smartTagPr>
                <w:attr w:name="ProductID" w:val="0,1 mm"/>
              </w:smartTagPr>
              <w:r w:rsidRPr="00214F35">
                <w:rPr>
                  <w:rFonts w:ascii="Calibri" w:hAnsi="Calibri"/>
                  <w:sz w:val="18"/>
                  <w:szCs w:val="18"/>
                </w:rPr>
                <w:t>0,1 mm</w:t>
              </w:r>
            </w:smartTag>
          </w:p>
        </w:tc>
        <w:tc>
          <w:tcPr>
            <w:tcW w:w="1984" w:type="dxa"/>
          </w:tcPr>
          <w:p w:rsidR="00134B2C" w:rsidRPr="00214F35" w:rsidRDefault="00134B2C" w:rsidP="00FD47C7">
            <w:pPr>
              <w:spacing w:before="60" w:after="60"/>
              <w:jc w:val="center"/>
              <w:rPr>
                <w:rFonts w:ascii="Calibri" w:hAnsi="Calibri"/>
                <w:sz w:val="18"/>
                <w:szCs w:val="18"/>
              </w:rPr>
            </w:pPr>
            <w:r w:rsidRPr="00214F35">
              <w:rPr>
                <w:rFonts w:ascii="Calibri" w:hAnsi="Calibri"/>
                <w:sz w:val="18"/>
                <w:szCs w:val="18"/>
              </w:rPr>
              <w:t>PN-EN 1426 [21]</w:t>
            </w:r>
          </w:p>
        </w:tc>
        <w:tc>
          <w:tcPr>
            <w:tcW w:w="851" w:type="dxa"/>
          </w:tcPr>
          <w:p w:rsidR="00134B2C" w:rsidRPr="00214F35" w:rsidRDefault="00134B2C" w:rsidP="00FD47C7">
            <w:pPr>
              <w:spacing w:before="60" w:after="60"/>
              <w:jc w:val="center"/>
              <w:rPr>
                <w:rFonts w:ascii="Calibri" w:hAnsi="Calibri"/>
                <w:sz w:val="18"/>
                <w:szCs w:val="18"/>
              </w:rPr>
            </w:pPr>
            <w:r w:rsidRPr="00214F35">
              <w:rPr>
                <w:rFonts w:ascii="Calibri" w:hAnsi="Calibri"/>
                <w:sz w:val="18"/>
                <w:szCs w:val="18"/>
              </w:rPr>
              <w:t>50-70</w:t>
            </w:r>
          </w:p>
        </w:tc>
        <w:tc>
          <w:tcPr>
            <w:tcW w:w="882" w:type="dxa"/>
          </w:tcPr>
          <w:p w:rsidR="00134B2C" w:rsidRPr="00214F35" w:rsidRDefault="00134B2C" w:rsidP="00FD47C7">
            <w:pPr>
              <w:spacing w:before="60" w:after="60"/>
              <w:jc w:val="center"/>
              <w:rPr>
                <w:rFonts w:ascii="Calibri" w:hAnsi="Calibri"/>
                <w:sz w:val="18"/>
                <w:szCs w:val="18"/>
              </w:rPr>
            </w:pPr>
            <w:r w:rsidRPr="00214F35">
              <w:rPr>
                <w:rFonts w:ascii="Calibri" w:hAnsi="Calibri"/>
                <w:sz w:val="18"/>
                <w:szCs w:val="18"/>
              </w:rPr>
              <w:t>70-100</w:t>
            </w:r>
          </w:p>
        </w:tc>
      </w:tr>
      <w:tr w:rsidR="00134B2C" w:rsidRPr="00214F35" w:rsidTr="00FD47C7">
        <w:tc>
          <w:tcPr>
            <w:tcW w:w="534" w:type="dxa"/>
          </w:tcPr>
          <w:p w:rsidR="00134B2C" w:rsidRPr="00214F35" w:rsidRDefault="00134B2C" w:rsidP="00FD47C7">
            <w:pPr>
              <w:spacing w:before="60" w:after="60"/>
              <w:jc w:val="center"/>
              <w:rPr>
                <w:rFonts w:ascii="Calibri" w:hAnsi="Calibri"/>
                <w:sz w:val="18"/>
                <w:szCs w:val="18"/>
              </w:rPr>
            </w:pPr>
            <w:r w:rsidRPr="00214F35">
              <w:rPr>
                <w:rFonts w:ascii="Calibri" w:hAnsi="Calibri"/>
                <w:sz w:val="18"/>
                <w:szCs w:val="18"/>
              </w:rPr>
              <w:t>2</w:t>
            </w:r>
          </w:p>
        </w:tc>
        <w:tc>
          <w:tcPr>
            <w:tcW w:w="2409" w:type="dxa"/>
          </w:tcPr>
          <w:p w:rsidR="00134B2C" w:rsidRPr="00214F35" w:rsidRDefault="00134B2C" w:rsidP="00FD47C7">
            <w:pPr>
              <w:spacing w:before="60" w:after="60"/>
              <w:rPr>
                <w:rFonts w:ascii="Calibri" w:hAnsi="Calibri"/>
                <w:sz w:val="18"/>
                <w:szCs w:val="18"/>
              </w:rPr>
            </w:pPr>
            <w:r w:rsidRPr="00214F35">
              <w:rPr>
                <w:rFonts w:ascii="Calibri" w:hAnsi="Calibri"/>
                <w:sz w:val="18"/>
                <w:szCs w:val="18"/>
              </w:rPr>
              <w:t>Temperatura mięknienia</w:t>
            </w:r>
          </w:p>
        </w:tc>
        <w:tc>
          <w:tcPr>
            <w:tcW w:w="851" w:type="dxa"/>
          </w:tcPr>
          <w:p w:rsidR="00134B2C" w:rsidRPr="00214F35" w:rsidRDefault="00134B2C" w:rsidP="00FD47C7">
            <w:pPr>
              <w:spacing w:before="60" w:after="60"/>
              <w:jc w:val="center"/>
              <w:rPr>
                <w:rFonts w:ascii="Calibri" w:hAnsi="Calibri"/>
                <w:sz w:val="18"/>
                <w:szCs w:val="18"/>
              </w:rPr>
            </w:pPr>
            <w:r w:rsidRPr="00214F35">
              <w:rPr>
                <w:rFonts w:ascii="Calibri" w:hAnsi="Calibri"/>
                <w:sz w:val="18"/>
                <w:szCs w:val="18"/>
              </w:rPr>
              <w:t>°C</w:t>
            </w:r>
          </w:p>
        </w:tc>
        <w:tc>
          <w:tcPr>
            <w:tcW w:w="1984" w:type="dxa"/>
          </w:tcPr>
          <w:p w:rsidR="00134B2C" w:rsidRPr="00214F35" w:rsidRDefault="00134B2C" w:rsidP="00FD47C7">
            <w:pPr>
              <w:spacing w:before="60" w:after="60"/>
              <w:jc w:val="center"/>
              <w:rPr>
                <w:rFonts w:ascii="Calibri" w:hAnsi="Calibri"/>
                <w:sz w:val="18"/>
                <w:szCs w:val="18"/>
              </w:rPr>
            </w:pPr>
            <w:r w:rsidRPr="00214F35">
              <w:rPr>
                <w:rFonts w:ascii="Calibri" w:hAnsi="Calibri"/>
                <w:sz w:val="18"/>
                <w:szCs w:val="18"/>
              </w:rPr>
              <w:t>PN-EN 1427 [22]</w:t>
            </w:r>
          </w:p>
        </w:tc>
        <w:tc>
          <w:tcPr>
            <w:tcW w:w="851" w:type="dxa"/>
          </w:tcPr>
          <w:p w:rsidR="00134B2C" w:rsidRPr="00214F35" w:rsidRDefault="00134B2C" w:rsidP="00FD47C7">
            <w:pPr>
              <w:spacing w:before="60" w:after="60"/>
              <w:jc w:val="center"/>
              <w:rPr>
                <w:rFonts w:ascii="Calibri" w:hAnsi="Calibri"/>
                <w:sz w:val="18"/>
                <w:szCs w:val="18"/>
              </w:rPr>
            </w:pPr>
            <w:r w:rsidRPr="00214F35">
              <w:rPr>
                <w:rFonts w:ascii="Calibri" w:hAnsi="Calibri"/>
                <w:sz w:val="18"/>
                <w:szCs w:val="18"/>
              </w:rPr>
              <w:t>46-54</w:t>
            </w:r>
          </w:p>
        </w:tc>
        <w:tc>
          <w:tcPr>
            <w:tcW w:w="882" w:type="dxa"/>
          </w:tcPr>
          <w:p w:rsidR="00134B2C" w:rsidRPr="00214F35" w:rsidRDefault="00134B2C" w:rsidP="00FD47C7">
            <w:pPr>
              <w:spacing w:before="60" w:after="60"/>
              <w:jc w:val="center"/>
              <w:rPr>
                <w:rFonts w:ascii="Calibri" w:hAnsi="Calibri"/>
                <w:sz w:val="18"/>
                <w:szCs w:val="18"/>
              </w:rPr>
            </w:pPr>
            <w:r w:rsidRPr="00214F35">
              <w:rPr>
                <w:rFonts w:ascii="Calibri" w:hAnsi="Calibri"/>
                <w:sz w:val="18"/>
                <w:szCs w:val="18"/>
              </w:rPr>
              <w:t>43-51</w:t>
            </w:r>
          </w:p>
        </w:tc>
      </w:tr>
      <w:tr w:rsidR="00134B2C" w:rsidRPr="00214F35" w:rsidTr="00FD47C7">
        <w:tc>
          <w:tcPr>
            <w:tcW w:w="534" w:type="dxa"/>
          </w:tcPr>
          <w:p w:rsidR="00134B2C" w:rsidRPr="00214F35" w:rsidRDefault="00134B2C" w:rsidP="00FD47C7">
            <w:pPr>
              <w:jc w:val="center"/>
              <w:rPr>
                <w:rFonts w:ascii="Calibri" w:hAnsi="Calibri"/>
                <w:sz w:val="18"/>
                <w:szCs w:val="18"/>
              </w:rPr>
            </w:pPr>
            <w:r w:rsidRPr="00214F35">
              <w:rPr>
                <w:rFonts w:ascii="Calibri" w:hAnsi="Calibri"/>
                <w:sz w:val="18"/>
                <w:szCs w:val="18"/>
              </w:rPr>
              <w:t>3</w:t>
            </w:r>
          </w:p>
        </w:tc>
        <w:tc>
          <w:tcPr>
            <w:tcW w:w="2409" w:type="dxa"/>
          </w:tcPr>
          <w:p w:rsidR="00134B2C" w:rsidRPr="00214F35" w:rsidRDefault="00134B2C" w:rsidP="00FD47C7">
            <w:pPr>
              <w:rPr>
                <w:rFonts w:ascii="Calibri" w:hAnsi="Calibri"/>
                <w:sz w:val="18"/>
                <w:szCs w:val="18"/>
              </w:rPr>
            </w:pPr>
            <w:r w:rsidRPr="00214F35">
              <w:rPr>
                <w:rFonts w:ascii="Calibri" w:hAnsi="Calibri"/>
                <w:sz w:val="18"/>
                <w:szCs w:val="18"/>
              </w:rPr>
              <w:t xml:space="preserve">Temperatura zapłonu, </w:t>
            </w:r>
          </w:p>
          <w:p w:rsidR="00134B2C" w:rsidRPr="00214F35" w:rsidRDefault="00134B2C" w:rsidP="00FD47C7">
            <w:pPr>
              <w:rPr>
                <w:rFonts w:ascii="Calibri" w:hAnsi="Calibri"/>
                <w:sz w:val="18"/>
                <w:szCs w:val="18"/>
              </w:rPr>
            </w:pPr>
            <w:r w:rsidRPr="00214F35">
              <w:rPr>
                <w:rFonts w:ascii="Calibri" w:hAnsi="Calibri"/>
                <w:sz w:val="18"/>
                <w:szCs w:val="18"/>
              </w:rPr>
              <w:t>nie mniej niż</w:t>
            </w:r>
          </w:p>
        </w:tc>
        <w:tc>
          <w:tcPr>
            <w:tcW w:w="851" w:type="dxa"/>
          </w:tcPr>
          <w:p w:rsidR="00134B2C" w:rsidRPr="00214F35" w:rsidRDefault="00134B2C" w:rsidP="00FD47C7">
            <w:pPr>
              <w:spacing w:before="120"/>
              <w:jc w:val="center"/>
              <w:rPr>
                <w:rFonts w:ascii="Calibri" w:hAnsi="Calibri"/>
                <w:sz w:val="18"/>
                <w:szCs w:val="18"/>
              </w:rPr>
            </w:pPr>
            <w:r w:rsidRPr="00214F35">
              <w:rPr>
                <w:rFonts w:ascii="Calibri" w:hAnsi="Calibri"/>
                <w:sz w:val="18"/>
                <w:szCs w:val="18"/>
              </w:rPr>
              <w:t>°C</w:t>
            </w:r>
          </w:p>
        </w:tc>
        <w:tc>
          <w:tcPr>
            <w:tcW w:w="1984" w:type="dxa"/>
          </w:tcPr>
          <w:p w:rsidR="00134B2C" w:rsidRPr="00214F35" w:rsidRDefault="00134B2C" w:rsidP="00FD47C7">
            <w:pPr>
              <w:spacing w:before="120"/>
              <w:jc w:val="center"/>
              <w:rPr>
                <w:rFonts w:ascii="Calibri" w:hAnsi="Calibri"/>
                <w:sz w:val="18"/>
                <w:szCs w:val="18"/>
              </w:rPr>
            </w:pPr>
            <w:r w:rsidRPr="00214F35">
              <w:rPr>
                <w:rFonts w:ascii="Calibri" w:hAnsi="Calibri"/>
                <w:sz w:val="18"/>
                <w:szCs w:val="18"/>
              </w:rPr>
              <w:t>PN-EN 22592 [62]</w:t>
            </w:r>
          </w:p>
        </w:tc>
        <w:tc>
          <w:tcPr>
            <w:tcW w:w="851" w:type="dxa"/>
          </w:tcPr>
          <w:p w:rsidR="00134B2C" w:rsidRPr="00214F35" w:rsidRDefault="00134B2C" w:rsidP="00FD47C7">
            <w:pPr>
              <w:spacing w:before="120"/>
              <w:jc w:val="center"/>
              <w:rPr>
                <w:rFonts w:ascii="Calibri" w:hAnsi="Calibri"/>
                <w:sz w:val="18"/>
                <w:szCs w:val="18"/>
              </w:rPr>
            </w:pPr>
            <w:r w:rsidRPr="00214F35">
              <w:rPr>
                <w:rFonts w:ascii="Calibri" w:hAnsi="Calibri"/>
                <w:sz w:val="18"/>
                <w:szCs w:val="18"/>
              </w:rPr>
              <w:t>230</w:t>
            </w:r>
          </w:p>
        </w:tc>
        <w:tc>
          <w:tcPr>
            <w:tcW w:w="882" w:type="dxa"/>
          </w:tcPr>
          <w:p w:rsidR="00134B2C" w:rsidRPr="00214F35" w:rsidRDefault="00134B2C" w:rsidP="00FD47C7">
            <w:pPr>
              <w:spacing w:before="120"/>
              <w:jc w:val="center"/>
              <w:rPr>
                <w:rFonts w:ascii="Calibri" w:hAnsi="Calibri"/>
                <w:sz w:val="18"/>
                <w:szCs w:val="18"/>
              </w:rPr>
            </w:pPr>
            <w:r w:rsidRPr="00214F35">
              <w:rPr>
                <w:rFonts w:ascii="Calibri" w:hAnsi="Calibri"/>
                <w:sz w:val="18"/>
                <w:szCs w:val="18"/>
              </w:rPr>
              <w:t>230</w:t>
            </w:r>
          </w:p>
        </w:tc>
      </w:tr>
      <w:tr w:rsidR="00134B2C" w:rsidRPr="00214F35" w:rsidTr="00FD47C7">
        <w:tc>
          <w:tcPr>
            <w:tcW w:w="534" w:type="dxa"/>
          </w:tcPr>
          <w:p w:rsidR="00134B2C" w:rsidRPr="00214F35" w:rsidRDefault="00134B2C" w:rsidP="00FD47C7">
            <w:pPr>
              <w:jc w:val="center"/>
              <w:rPr>
                <w:rFonts w:ascii="Calibri" w:hAnsi="Calibri"/>
                <w:sz w:val="18"/>
                <w:szCs w:val="18"/>
              </w:rPr>
            </w:pPr>
            <w:r w:rsidRPr="00214F35">
              <w:rPr>
                <w:rFonts w:ascii="Calibri" w:hAnsi="Calibri"/>
                <w:sz w:val="18"/>
                <w:szCs w:val="18"/>
              </w:rPr>
              <w:t>4</w:t>
            </w:r>
          </w:p>
        </w:tc>
        <w:tc>
          <w:tcPr>
            <w:tcW w:w="2409" w:type="dxa"/>
          </w:tcPr>
          <w:p w:rsidR="00134B2C" w:rsidRPr="00214F35" w:rsidRDefault="00134B2C" w:rsidP="00FD47C7">
            <w:pPr>
              <w:jc w:val="left"/>
              <w:rPr>
                <w:rFonts w:ascii="Calibri" w:hAnsi="Calibri"/>
                <w:sz w:val="18"/>
                <w:szCs w:val="18"/>
              </w:rPr>
            </w:pPr>
            <w:r w:rsidRPr="00214F35">
              <w:rPr>
                <w:rFonts w:ascii="Calibri" w:hAnsi="Calibri"/>
                <w:sz w:val="18"/>
                <w:szCs w:val="18"/>
              </w:rPr>
              <w:t xml:space="preserve">Zawartość składników rozpuszczalnych, </w:t>
            </w:r>
          </w:p>
          <w:p w:rsidR="00134B2C" w:rsidRPr="00214F35" w:rsidRDefault="00134B2C" w:rsidP="00FD47C7">
            <w:pPr>
              <w:jc w:val="left"/>
              <w:rPr>
                <w:rFonts w:ascii="Calibri" w:hAnsi="Calibri"/>
                <w:sz w:val="18"/>
                <w:szCs w:val="18"/>
              </w:rPr>
            </w:pPr>
            <w:r w:rsidRPr="00214F35">
              <w:rPr>
                <w:rFonts w:ascii="Calibri" w:hAnsi="Calibri"/>
                <w:sz w:val="18"/>
                <w:szCs w:val="18"/>
              </w:rPr>
              <w:t>nie mniej niż</w:t>
            </w:r>
          </w:p>
        </w:tc>
        <w:tc>
          <w:tcPr>
            <w:tcW w:w="851" w:type="dxa"/>
          </w:tcPr>
          <w:p w:rsidR="00134B2C" w:rsidRPr="00214F35" w:rsidRDefault="00134B2C" w:rsidP="00FD47C7">
            <w:pPr>
              <w:jc w:val="center"/>
              <w:rPr>
                <w:rFonts w:ascii="Calibri" w:hAnsi="Calibri"/>
                <w:sz w:val="18"/>
                <w:szCs w:val="18"/>
              </w:rPr>
            </w:pPr>
          </w:p>
          <w:p w:rsidR="00134B2C" w:rsidRPr="00214F35" w:rsidRDefault="00134B2C" w:rsidP="00FD47C7">
            <w:pPr>
              <w:jc w:val="center"/>
              <w:rPr>
                <w:rFonts w:ascii="Calibri" w:hAnsi="Calibri"/>
                <w:sz w:val="18"/>
                <w:szCs w:val="18"/>
              </w:rPr>
            </w:pPr>
            <w:r w:rsidRPr="00214F35">
              <w:rPr>
                <w:rFonts w:ascii="Calibri" w:hAnsi="Calibri"/>
                <w:sz w:val="18"/>
                <w:szCs w:val="18"/>
              </w:rPr>
              <w:t>% m/m</w:t>
            </w:r>
          </w:p>
        </w:tc>
        <w:tc>
          <w:tcPr>
            <w:tcW w:w="1984" w:type="dxa"/>
          </w:tcPr>
          <w:p w:rsidR="00134B2C" w:rsidRPr="00214F35" w:rsidRDefault="00134B2C" w:rsidP="00FD47C7">
            <w:pPr>
              <w:jc w:val="center"/>
              <w:rPr>
                <w:rFonts w:ascii="Calibri" w:hAnsi="Calibri"/>
                <w:sz w:val="18"/>
                <w:szCs w:val="18"/>
              </w:rPr>
            </w:pPr>
          </w:p>
          <w:p w:rsidR="00134B2C" w:rsidRPr="00214F35" w:rsidRDefault="00134B2C" w:rsidP="00FD47C7">
            <w:pPr>
              <w:jc w:val="center"/>
              <w:rPr>
                <w:rFonts w:ascii="Calibri" w:hAnsi="Calibri"/>
                <w:sz w:val="18"/>
                <w:szCs w:val="18"/>
              </w:rPr>
            </w:pPr>
            <w:r w:rsidRPr="00214F35">
              <w:rPr>
                <w:rFonts w:ascii="Calibri" w:hAnsi="Calibri"/>
                <w:sz w:val="18"/>
                <w:szCs w:val="18"/>
              </w:rPr>
              <w:t>PN-EN 12592 [28]</w:t>
            </w:r>
          </w:p>
        </w:tc>
        <w:tc>
          <w:tcPr>
            <w:tcW w:w="851" w:type="dxa"/>
          </w:tcPr>
          <w:p w:rsidR="00134B2C" w:rsidRPr="00214F35" w:rsidRDefault="00134B2C" w:rsidP="00FD47C7">
            <w:pPr>
              <w:jc w:val="center"/>
              <w:rPr>
                <w:rFonts w:ascii="Calibri" w:hAnsi="Calibri"/>
                <w:sz w:val="18"/>
                <w:szCs w:val="18"/>
              </w:rPr>
            </w:pPr>
          </w:p>
          <w:p w:rsidR="00134B2C" w:rsidRPr="00214F35" w:rsidRDefault="00134B2C" w:rsidP="00FD47C7">
            <w:pPr>
              <w:jc w:val="center"/>
              <w:rPr>
                <w:rFonts w:ascii="Calibri" w:hAnsi="Calibri"/>
                <w:sz w:val="18"/>
                <w:szCs w:val="18"/>
              </w:rPr>
            </w:pPr>
            <w:r w:rsidRPr="00214F35">
              <w:rPr>
                <w:rFonts w:ascii="Calibri" w:hAnsi="Calibri"/>
                <w:sz w:val="18"/>
                <w:szCs w:val="18"/>
              </w:rPr>
              <w:t>99</w:t>
            </w:r>
          </w:p>
        </w:tc>
        <w:tc>
          <w:tcPr>
            <w:tcW w:w="882" w:type="dxa"/>
          </w:tcPr>
          <w:p w:rsidR="00134B2C" w:rsidRPr="00214F35" w:rsidRDefault="00134B2C" w:rsidP="00FD47C7">
            <w:pPr>
              <w:jc w:val="center"/>
              <w:rPr>
                <w:rFonts w:ascii="Calibri" w:hAnsi="Calibri"/>
                <w:sz w:val="18"/>
                <w:szCs w:val="18"/>
              </w:rPr>
            </w:pPr>
          </w:p>
          <w:p w:rsidR="00134B2C" w:rsidRPr="00214F35" w:rsidRDefault="00134B2C" w:rsidP="00FD47C7">
            <w:pPr>
              <w:jc w:val="center"/>
              <w:rPr>
                <w:rFonts w:ascii="Calibri" w:hAnsi="Calibri"/>
                <w:sz w:val="18"/>
                <w:szCs w:val="18"/>
              </w:rPr>
            </w:pPr>
            <w:r w:rsidRPr="00214F35">
              <w:rPr>
                <w:rFonts w:ascii="Calibri" w:hAnsi="Calibri"/>
                <w:sz w:val="18"/>
                <w:szCs w:val="18"/>
              </w:rPr>
              <w:t>99</w:t>
            </w:r>
          </w:p>
        </w:tc>
      </w:tr>
      <w:tr w:rsidR="00134B2C" w:rsidRPr="00214F35" w:rsidTr="00FD47C7">
        <w:tc>
          <w:tcPr>
            <w:tcW w:w="534" w:type="dxa"/>
          </w:tcPr>
          <w:p w:rsidR="00134B2C" w:rsidRPr="00214F35" w:rsidRDefault="00134B2C" w:rsidP="00FD47C7">
            <w:pPr>
              <w:jc w:val="center"/>
              <w:rPr>
                <w:rFonts w:ascii="Calibri" w:hAnsi="Calibri"/>
                <w:sz w:val="18"/>
                <w:szCs w:val="18"/>
              </w:rPr>
            </w:pPr>
            <w:r w:rsidRPr="00214F35">
              <w:rPr>
                <w:rFonts w:ascii="Calibri" w:hAnsi="Calibri"/>
                <w:sz w:val="18"/>
                <w:szCs w:val="18"/>
              </w:rPr>
              <w:t>1</w:t>
            </w:r>
          </w:p>
        </w:tc>
        <w:tc>
          <w:tcPr>
            <w:tcW w:w="3260" w:type="dxa"/>
            <w:gridSpan w:val="2"/>
          </w:tcPr>
          <w:p w:rsidR="00134B2C" w:rsidRPr="00214F35" w:rsidRDefault="00134B2C" w:rsidP="00FD47C7">
            <w:pPr>
              <w:jc w:val="center"/>
              <w:rPr>
                <w:rFonts w:ascii="Calibri" w:hAnsi="Calibri"/>
                <w:sz w:val="18"/>
                <w:szCs w:val="18"/>
              </w:rPr>
            </w:pPr>
            <w:r w:rsidRPr="00214F35">
              <w:rPr>
                <w:rFonts w:ascii="Calibri" w:hAnsi="Calibri"/>
                <w:sz w:val="18"/>
                <w:szCs w:val="18"/>
              </w:rPr>
              <w:t>2</w:t>
            </w:r>
          </w:p>
        </w:tc>
        <w:tc>
          <w:tcPr>
            <w:tcW w:w="1984" w:type="dxa"/>
          </w:tcPr>
          <w:p w:rsidR="00134B2C" w:rsidRPr="00214F35" w:rsidRDefault="00134B2C" w:rsidP="00FD47C7">
            <w:pPr>
              <w:jc w:val="center"/>
              <w:rPr>
                <w:rFonts w:ascii="Calibri" w:hAnsi="Calibri"/>
                <w:sz w:val="18"/>
                <w:szCs w:val="18"/>
              </w:rPr>
            </w:pPr>
            <w:r w:rsidRPr="00214F35">
              <w:rPr>
                <w:rFonts w:ascii="Calibri" w:hAnsi="Calibri"/>
                <w:sz w:val="18"/>
                <w:szCs w:val="18"/>
              </w:rPr>
              <w:t>3</w:t>
            </w:r>
          </w:p>
        </w:tc>
        <w:tc>
          <w:tcPr>
            <w:tcW w:w="851" w:type="dxa"/>
          </w:tcPr>
          <w:p w:rsidR="00134B2C" w:rsidRPr="00214F35" w:rsidRDefault="00134B2C" w:rsidP="00FD47C7">
            <w:pPr>
              <w:jc w:val="center"/>
              <w:rPr>
                <w:rFonts w:ascii="Calibri" w:hAnsi="Calibri"/>
                <w:sz w:val="18"/>
                <w:szCs w:val="18"/>
              </w:rPr>
            </w:pPr>
            <w:r w:rsidRPr="00214F35">
              <w:rPr>
                <w:rFonts w:ascii="Calibri" w:hAnsi="Calibri"/>
                <w:sz w:val="18"/>
                <w:szCs w:val="18"/>
              </w:rPr>
              <w:t>4</w:t>
            </w:r>
          </w:p>
        </w:tc>
        <w:tc>
          <w:tcPr>
            <w:tcW w:w="882" w:type="dxa"/>
          </w:tcPr>
          <w:p w:rsidR="00134B2C" w:rsidRPr="00214F35" w:rsidRDefault="00134B2C" w:rsidP="00FD47C7">
            <w:pPr>
              <w:jc w:val="center"/>
              <w:rPr>
                <w:rFonts w:ascii="Calibri" w:hAnsi="Calibri"/>
                <w:sz w:val="18"/>
                <w:szCs w:val="18"/>
              </w:rPr>
            </w:pPr>
            <w:r w:rsidRPr="00214F35">
              <w:rPr>
                <w:rFonts w:ascii="Calibri" w:hAnsi="Calibri"/>
                <w:sz w:val="18"/>
                <w:szCs w:val="18"/>
              </w:rPr>
              <w:t>5</w:t>
            </w:r>
          </w:p>
        </w:tc>
      </w:tr>
      <w:tr w:rsidR="00134B2C" w:rsidRPr="00214F35" w:rsidTr="00FD47C7">
        <w:tc>
          <w:tcPr>
            <w:tcW w:w="534" w:type="dxa"/>
          </w:tcPr>
          <w:p w:rsidR="00134B2C" w:rsidRPr="00214F35" w:rsidRDefault="00134B2C" w:rsidP="00FD47C7">
            <w:pPr>
              <w:jc w:val="center"/>
              <w:rPr>
                <w:rFonts w:ascii="Calibri" w:hAnsi="Calibri"/>
                <w:sz w:val="18"/>
                <w:szCs w:val="18"/>
              </w:rPr>
            </w:pPr>
            <w:r w:rsidRPr="00214F35">
              <w:rPr>
                <w:rFonts w:ascii="Calibri" w:hAnsi="Calibri"/>
                <w:sz w:val="18"/>
                <w:szCs w:val="18"/>
              </w:rPr>
              <w:t>5</w:t>
            </w:r>
          </w:p>
        </w:tc>
        <w:tc>
          <w:tcPr>
            <w:tcW w:w="2409" w:type="dxa"/>
          </w:tcPr>
          <w:p w:rsidR="00134B2C" w:rsidRPr="00214F35" w:rsidRDefault="00134B2C" w:rsidP="00FD47C7">
            <w:pPr>
              <w:rPr>
                <w:rFonts w:ascii="Calibri" w:hAnsi="Calibri"/>
                <w:sz w:val="18"/>
                <w:szCs w:val="18"/>
              </w:rPr>
            </w:pPr>
            <w:r w:rsidRPr="00214F35">
              <w:rPr>
                <w:rFonts w:ascii="Calibri" w:hAnsi="Calibri"/>
                <w:sz w:val="18"/>
                <w:szCs w:val="18"/>
              </w:rPr>
              <w:t xml:space="preserve">Zmiana masy po starzeniu (ubytek lub przyrost), </w:t>
            </w:r>
          </w:p>
          <w:p w:rsidR="00134B2C" w:rsidRPr="00214F35" w:rsidRDefault="00134B2C" w:rsidP="00FD47C7">
            <w:pPr>
              <w:rPr>
                <w:rFonts w:ascii="Calibri" w:hAnsi="Calibri"/>
                <w:sz w:val="18"/>
                <w:szCs w:val="18"/>
              </w:rPr>
            </w:pPr>
            <w:r w:rsidRPr="00214F35">
              <w:rPr>
                <w:rFonts w:ascii="Calibri" w:hAnsi="Calibri"/>
                <w:sz w:val="18"/>
                <w:szCs w:val="18"/>
              </w:rPr>
              <w:t>nie więcej niż</w:t>
            </w:r>
          </w:p>
        </w:tc>
        <w:tc>
          <w:tcPr>
            <w:tcW w:w="851" w:type="dxa"/>
          </w:tcPr>
          <w:p w:rsidR="00134B2C" w:rsidRPr="00214F35" w:rsidRDefault="00134B2C" w:rsidP="00FD47C7">
            <w:pPr>
              <w:jc w:val="center"/>
              <w:rPr>
                <w:rFonts w:ascii="Calibri" w:hAnsi="Calibri"/>
                <w:sz w:val="18"/>
                <w:szCs w:val="18"/>
              </w:rPr>
            </w:pPr>
          </w:p>
          <w:p w:rsidR="00134B2C" w:rsidRPr="00214F35" w:rsidRDefault="00134B2C" w:rsidP="00FD47C7">
            <w:pPr>
              <w:jc w:val="center"/>
              <w:rPr>
                <w:rFonts w:ascii="Calibri" w:hAnsi="Calibri"/>
                <w:sz w:val="18"/>
                <w:szCs w:val="18"/>
              </w:rPr>
            </w:pPr>
            <w:r w:rsidRPr="00214F35">
              <w:rPr>
                <w:rFonts w:ascii="Calibri" w:hAnsi="Calibri"/>
                <w:sz w:val="18"/>
                <w:szCs w:val="18"/>
              </w:rPr>
              <w:t>% m/m</w:t>
            </w:r>
          </w:p>
        </w:tc>
        <w:tc>
          <w:tcPr>
            <w:tcW w:w="1984" w:type="dxa"/>
          </w:tcPr>
          <w:p w:rsidR="00134B2C" w:rsidRPr="00214F35" w:rsidRDefault="00134B2C" w:rsidP="00FD47C7">
            <w:pPr>
              <w:jc w:val="center"/>
              <w:rPr>
                <w:rFonts w:ascii="Calibri" w:hAnsi="Calibri"/>
                <w:sz w:val="18"/>
                <w:szCs w:val="18"/>
              </w:rPr>
            </w:pPr>
          </w:p>
          <w:p w:rsidR="00134B2C" w:rsidRPr="00214F35" w:rsidRDefault="00134B2C" w:rsidP="00FD47C7">
            <w:pPr>
              <w:jc w:val="center"/>
              <w:rPr>
                <w:rFonts w:ascii="Calibri" w:hAnsi="Calibri"/>
                <w:sz w:val="18"/>
                <w:szCs w:val="18"/>
              </w:rPr>
            </w:pPr>
            <w:r w:rsidRPr="00214F35">
              <w:rPr>
                <w:rFonts w:ascii="Calibri" w:hAnsi="Calibri"/>
                <w:sz w:val="18"/>
                <w:szCs w:val="18"/>
              </w:rPr>
              <w:t>PN-EN 12607-1 [31]</w:t>
            </w:r>
          </w:p>
        </w:tc>
        <w:tc>
          <w:tcPr>
            <w:tcW w:w="851" w:type="dxa"/>
          </w:tcPr>
          <w:p w:rsidR="00134B2C" w:rsidRPr="00214F35" w:rsidRDefault="00134B2C" w:rsidP="00FD47C7">
            <w:pPr>
              <w:jc w:val="center"/>
              <w:rPr>
                <w:rFonts w:ascii="Calibri" w:hAnsi="Calibri"/>
                <w:sz w:val="18"/>
                <w:szCs w:val="18"/>
              </w:rPr>
            </w:pPr>
          </w:p>
          <w:p w:rsidR="00134B2C" w:rsidRPr="00214F35" w:rsidRDefault="00134B2C" w:rsidP="00FD47C7">
            <w:pPr>
              <w:jc w:val="center"/>
              <w:rPr>
                <w:rFonts w:ascii="Calibri" w:hAnsi="Calibri"/>
                <w:sz w:val="18"/>
                <w:szCs w:val="18"/>
              </w:rPr>
            </w:pPr>
            <w:r w:rsidRPr="00214F35">
              <w:rPr>
                <w:rFonts w:ascii="Calibri" w:hAnsi="Calibri"/>
                <w:sz w:val="18"/>
                <w:szCs w:val="18"/>
              </w:rPr>
              <w:t>0,5</w:t>
            </w:r>
          </w:p>
        </w:tc>
        <w:tc>
          <w:tcPr>
            <w:tcW w:w="882" w:type="dxa"/>
          </w:tcPr>
          <w:p w:rsidR="00134B2C" w:rsidRPr="00214F35" w:rsidRDefault="00134B2C" w:rsidP="00FD47C7">
            <w:pPr>
              <w:jc w:val="center"/>
              <w:rPr>
                <w:rFonts w:ascii="Calibri" w:hAnsi="Calibri"/>
                <w:sz w:val="18"/>
                <w:szCs w:val="18"/>
              </w:rPr>
            </w:pPr>
          </w:p>
          <w:p w:rsidR="00134B2C" w:rsidRPr="00214F35" w:rsidRDefault="00134B2C" w:rsidP="00FD47C7">
            <w:pPr>
              <w:jc w:val="center"/>
              <w:rPr>
                <w:rFonts w:ascii="Calibri" w:hAnsi="Calibri"/>
                <w:sz w:val="18"/>
                <w:szCs w:val="18"/>
              </w:rPr>
            </w:pPr>
            <w:r w:rsidRPr="00214F35">
              <w:rPr>
                <w:rFonts w:ascii="Calibri" w:hAnsi="Calibri"/>
                <w:sz w:val="18"/>
                <w:szCs w:val="18"/>
              </w:rPr>
              <w:t>0,8</w:t>
            </w:r>
          </w:p>
        </w:tc>
      </w:tr>
      <w:tr w:rsidR="00134B2C" w:rsidRPr="00214F35" w:rsidTr="00FD47C7">
        <w:tc>
          <w:tcPr>
            <w:tcW w:w="534" w:type="dxa"/>
          </w:tcPr>
          <w:p w:rsidR="00134B2C" w:rsidRPr="00214F35" w:rsidRDefault="00134B2C" w:rsidP="00FD47C7">
            <w:pPr>
              <w:jc w:val="center"/>
              <w:rPr>
                <w:rFonts w:ascii="Calibri" w:hAnsi="Calibri"/>
                <w:sz w:val="18"/>
                <w:szCs w:val="18"/>
              </w:rPr>
            </w:pPr>
            <w:r w:rsidRPr="00214F35">
              <w:rPr>
                <w:rFonts w:ascii="Calibri" w:hAnsi="Calibri"/>
                <w:sz w:val="18"/>
                <w:szCs w:val="18"/>
              </w:rPr>
              <w:t>6</w:t>
            </w:r>
          </w:p>
        </w:tc>
        <w:tc>
          <w:tcPr>
            <w:tcW w:w="2409" w:type="dxa"/>
          </w:tcPr>
          <w:p w:rsidR="00134B2C" w:rsidRPr="00214F35" w:rsidRDefault="00134B2C" w:rsidP="00FD47C7">
            <w:pPr>
              <w:rPr>
                <w:rFonts w:ascii="Calibri" w:hAnsi="Calibri"/>
                <w:sz w:val="18"/>
                <w:szCs w:val="18"/>
              </w:rPr>
            </w:pPr>
            <w:r w:rsidRPr="00214F35">
              <w:rPr>
                <w:rFonts w:ascii="Calibri" w:hAnsi="Calibri"/>
                <w:sz w:val="18"/>
                <w:szCs w:val="18"/>
              </w:rPr>
              <w:t>Pozostała penetracja po starzeniu, nie mniej niż</w:t>
            </w:r>
          </w:p>
        </w:tc>
        <w:tc>
          <w:tcPr>
            <w:tcW w:w="851" w:type="dxa"/>
          </w:tcPr>
          <w:p w:rsidR="00134B2C" w:rsidRPr="00214F35" w:rsidRDefault="00134B2C" w:rsidP="00FD47C7">
            <w:pPr>
              <w:spacing w:before="120"/>
              <w:jc w:val="center"/>
              <w:rPr>
                <w:rFonts w:ascii="Calibri" w:hAnsi="Calibri"/>
                <w:sz w:val="18"/>
                <w:szCs w:val="18"/>
              </w:rPr>
            </w:pPr>
            <w:r w:rsidRPr="00214F35">
              <w:rPr>
                <w:rFonts w:ascii="Calibri" w:hAnsi="Calibri"/>
                <w:sz w:val="18"/>
                <w:szCs w:val="18"/>
              </w:rPr>
              <w:t>%</w:t>
            </w:r>
          </w:p>
        </w:tc>
        <w:tc>
          <w:tcPr>
            <w:tcW w:w="1984" w:type="dxa"/>
          </w:tcPr>
          <w:p w:rsidR="00134B2C" w:rsidRPr="00214F35" w:rsidRDefault="00134B2C" w:rsidP="00FD47C7">
            <w:pPr>
              <w:spacing w:before="120"/>
              <w:jc w:val="center"/>
              <w:rPr>
                <w:rFonts w:ascii="Calibri" w:hAnsi="Calibri"/>
                <w:sz w:val="18"/>
                <w:szCs w:val="18"/>
              </w:rPr>
            </w:pPr>
            <w:r w:rsidRPr="00214F35">
              <w:rPr>
                <w:rFonts w:ascii="Calibri" w:hAnsi="Calibri"/>
                <w:sz w:val="18"/>
                <w:szCs w:val="18"/>
              </w:rPr>
              <w:t>PN-EN 1426 [21]</w:t>
            </w:r>
          </w:p>
        </w:tc>
        <w:tc>
          <w:tcPr>
            <w:tcW w:w="851" w:type="dxa"/>
          </w:tcPr>
          <w:p w:rsidR="00134B2C" w:rsidRPr="00214F35" w:rsidRDefault="00134B2C" w:rsidP="00FD47C7">
            <w:pPr>
              <w:spacing w:before="120"/>
              <w:jc w:val="center"/>
              <w:rPr>
                <w:rFonts w:ascii="Calibri" w:hAnsi="Calibri"/>
                <w:sz w:val="18"/>
                <w:szCs w:val="18"/>
              </w:rPr>
            </w:pPr>
            <w:r w:rsidRPr="00214F35">
              <w:rPr>
                <w:rFonts w:ascii="Calibri" w:hAnsi="Calibri"/>
                <w:sz w:val="18"/>
                <w:szCs w:val="18"/>
              </w:rPr>
              <w:t>50</w:t>
            </w:r>
          </w:p>
        </w:tc>
        <w:tc>
          <w:tcPr>
            <w:tcW w:w="882" w:type="dxa"/>
          </w:tcPr>
          <w:p w:rsidR="00134B2C" w:rsidRPr="00214F35" w:rsidRDefault="00134B2C" w:rsidP="00FD47C7">
            <w:pPr>
              <w:spacing w:before="120"/>
              <w:jc w:val="center"/>
              <w:rPr>
                <w:rFonts w:ascii="Calibri" w:hAnsi="Calibri"/>
                <w:sz w:val="18"/>
                <w:szCs w:val="18"/>
              </w:rPr>
            </w:pPr>
            <w:r w:rsidRPr="00214F35">
              <w:rPr>
                <w:rFonts w:ascii="Calibri" w:hAnsi="Calibri"/>
                <w:sz w:val="18"/>
                <w:szCs w:val="18"/>
              </w:rPr>
              <w:t>46</w:t>
            </w:r>
          </w:p>
        </w:tc>
      </w:tr>
      <w:tr w:rsidR="00134B2C" w:rsidRPr="00214F35" w:rsidTr="00FD47C7">
        <w:tc>
          <w:tcPr>
            <w:tcW w:w="534" w:type="dxa"/>
          </w:tcPr>
          <w:p w:rsidR="00134B2C" w:rsidRPr="00214F35" w:rsidRDefault="00134B2C" w:rsidP="00FD47C7">
            <w:pPr>
              <w:jc w:val="center"/>
              <w:rPr>
                <w:rFonts w:ascii="Calibri" w:hAnsi="Calibri"/>
                <w:sz w:val="18"/>
                <w:szCs w:val="18"/>
              </w:rPr>
            </w:pPr>
            <w:r w:rsidRPr="00214F35">
              <w:rPr>
                <w:rFonts w:ascii="Calibri" w:hAnsi="Calibri"/>
                <w:sz w:val="18"/>
                <w:szCs w:val="18"/>
              </w:rPr>
              <w:t>7</w:t>
            </w:r>
          </w:p>
        </w:tc>
        <w:tc>
          <w:tcPr>
            <w:tcW w:w="2409" w:type="dxa"/>
          </w:tcPr>
          <w:p w:rsidR="00134B2C" w:rsidRDefault="00134B2C" w:rsidP="00FD47C7">
            <w:pPr>
              <w:rPr>
                <w:rFonts w:ascii="Calibri" w:hAnsi="Calibri"/>
                <w:sz w:val="18"/>
                <w:szCs w:val="18"/>
              </w:rPr>
            </w:pPr>
            <w:r w:rsidRPr="00214F35">
              <w:rPr>
                <w:rFonts w:ascii="Calibri" w:hAnsi="Calibri"/>
                <w:sz w:val="18"/>
                <w:szCs w:val="18"/>
              </w:rPr>
              <w:t>Temperatura mięknienia po starzeniu, nie mniej niż</w:t>
            </w:r>
          </w:p>
          <w:p w:rsidR="00141829" w:rsidRPr="00214F35" w:rsidRDefault="00141829" w:rsidP="00FD47C7">
            <w:pPr>
              <w:rPr>
                <w:rFonts w:ascii="Calibri" w:hAnsi="Calibri"/>
                <w:sz w:val="18"/>
                <w:szCs w:val="18"/>
              </w:rPr>
            </w:pPr>
          </w:p>
        </w:tc>
        <w:tc>
          <w:tcPr>
            <w:tcW w:w="851" w:type="dxa"/>
          </w:tcPr>
          <w:p w:rsidR="00134B2C" w:rsidRPr="00214F35" w:rsidRDefault="00134B2C" w:rsidP="00FD47C7">
            <w:pPr>
              <w:spacing w:before="120"/>
              <w:jc w:val="center"/>
              <w:rPr>
                <w:rFonts w:ascii="Calibri" w:hAnsi="Calibri"/>
                <w:sz w:val="18"/>
                <w:szCs w:val="18"/>
              </w:rPr>
            </w:pPr>
            <w:r w:rsidRPr="00214F35">
              <w:rPr>
                <w:rFonts w:ascii="Calibri" w:hAnsi="Calibri"/>
                <w:sz w:val="18"/>
                <w:szCs w:val="18"/>
              </w:rPr>
              <w:t>°C</w:t>
            </w:r>
          </w:p>
        </w:tc>
        <w:tc>
          <w:tcPr>
            <w:tcW w:w="1984" w:type="dxa"/>
          </w:tcPr>
          <w:p w:rsidR="00134B2C" w:rsidRPr="00214F35" w:rsidRDefault="00134B2C" w:rsidP="00FD47C7">
            <w:pPr>
              <w:spacing w:before="120"/>
              <w:jc w:val="center"/>
              <w:rPr>
                <w:rFonts w:ascii="Calibri" w:hAnsi="Calibri"/>
                <w:sz w:val="18"/>
                <w:szCs w:val="18"/>
              </w:rPr>
            </w:pPr>
            <w:r w:rsidRPr="00214F35">
              <w:rPr>
                <w:rFonts w:ascii="Calibri" w:hAnsi="Calibri"/>
                <w:sz w:val="18"/>
                <w:szCs w:val="18"/>
              </w:rPr>
              <w:t>PN-EN 1427 [22]</w:t>
            </w:r>
          </w:p>
        </w:tc>
        <w:tc>
          <w:tcPr>
            <w:tcW w:w="851" w:type="dxa"/>
          </w:tcPr>
          <w:p w:rsidR="00134B2C" w:rsidRPr="00214F35" w:rsidRDefault="00134B2C" w:rsidP="00FD47C7">
            <w:pPr>
              <w:spacing w:before="120"/>
              <w:jc w:val="center"/>
              <w:rPr>
                <w:rFonts w:ascii="Calibri" w:hAnsi="Calibri"/>
                <w:sz w:val="18"/>
                <w:szCs w:val="18"/>
              </w:rPr>
            </w:pPr>
            <w:r w:rsidRPr="00214F35">
              <w:rPr>
                <w:rFonts w:ascii="Calibri" w:hAnsi="Calibri"/>
                <w:sz w:val="18"/>
                <w:szCs w:val="18"/>
              </w:rPr>
              <w:t>48</w:t>
            </w:r>
          </w:p>
        </w:tc>
        <w:tc>
          <w:tcPr>
            <w:tcW w:w="882" w:type="dxa"/>
          </w:tcPr>
          <w:p w:rsidR="00134B2C" w:rsidRPr="00214F35" w:rsidRDefault="00134B2C" w:rsidP="00FD47C7">
            <w:pPr>
              <w:spacing w:before="120"/>
              <w:jc w:val="center"/>
              <w:rPr>
                <w:rFonts w:ascii="Calibri" w:hAnsi="Calibri"/>
                <w:sz w:val="18"/>
                <w:szCs w:val="18"/>
              </w:rPr>
            </w:pPr>
            <w:r w:rsidRPr="00214F35">
              <w:rPr>
                <w:rFonts w:ascii="Calibri" w:hAnsi="Calibri"/>
                <w:sz w:val="18"/>
                <w:szCs w:val="18"/>
              </w:rPr>
              <w:t>45</w:t>
            </w:r>
          </w:p>
        </w:tc>
      </w:tr>
      <w:tr w:rsidR="00134B2C" w:rsidRPr="00214F35" w:rsidTr="00FD47C7">
        <w:tc>
          <w:tcPr>
            <w:tcW w:w="7511" w:type="dxa"/>
            <w:gridSpan w:val="6"/>
          </w:tcPr>
          <w:p w:rsidR="00134B2C" w:rsidRPr="00214F35" w:rsidRDefault="00134B2C" w:rsidP="00FD47C7">
            <w:pPr>
              <w:jc w:val="center"/>
              <w:rPr>
                <w:rFonts w:ascii="Calibri" w:hAnsi="Calibri"/>
                <w:sz w:val="18"/>
                <w:szCs w:val="18"/>
              </w:rPr>
            </w:pPr>
            <w:r w:rsidRPr="00214F35">
              <w:rPr>
                <w:rFonts w:ascii="Calibri" w:hAnsi="Calibri"/>
                <w:sz w:val="18"/>
                <w:szCs w:val="18"/>
              </w:rPr>
              <w:t>WŁAŚCIWOŚCI   SPECJALNE   KRAJOWE</w:t>
            </w:r>
          </w:p>
        </w:tc>
      </w:tr>
      <w:tr w:rsidR="00134B2C" w:rsidRPr="00214F35" w:rsidTr="00FD47C7">
        <w:tc>
          <w:tcPr>
            <w:tcW w:w="534" w:type="dxa"/>
          </w:tcPr>
          <w:p w:rsidR="00134B2C" w:rsidRPr="00214F35" w:rsidRDefault="00134B2C" w:rsidP="00FD47C7">
            <w:pPr>
              <w:jc w:val="center"/>
              <w:rPr>
                <w:rFonts w:ascii="Calibri" w:hAnsi="Calibri"/>
                <w:sz w:val="18"/>
                <w:szCs w:val="18"/>
              </w:rPr>
            </w:pPr>
            <w:r w:rsidRPr="00214F35">
              <w:rPr>
                <w:rFonts w:ascii="Calibri" w:hAnsi="Calibri"/>
                <w:sz w:val="18"/>
                <w:szCs w:val="18"/>
              </w:rPr>
              <w:t>8</w:t>
            </w:r>
          </w:p>
        </w:tc>
        <w:tc>
          <w:tcPr>
            <w:tcW w:w="2409" w:type="dxa"/>
          </w:tcPr>
          <w:p w:rsidR="00134B2C" w:rsidRPr="00214F35" w:rsidRDefault="00134B2C" w:rsidP="00FD47C7">
            <w:pPr>
              <w:rPr>
                <w:rFonts w:ascii="Calibri" w:hAnsi="Calibri"/>
                <w:sz w:val="18"/>
                <w:szCs w:val="18"/>
              </w:rPr>
            </w:pPr>
            <w:r w:rsidRPr="00214F35">
              <w:rPr>
                <w:rFonts w:ascii="Calibri" w:hAnsi="Calibri"/>
                <w:sz w:val="18"/>
                <w:szCs w:val="18"/>
              </w:rPr>
              <w:t xml:space="preserve">Zawartość parafiny, </w:t>
            </w:r>
          </w:p>
          <w:p w:rsidR="00134B2C" w:rsidRPr="00214F35" w:rsidRDefault="00134B2C" w:rsidP="00FD47C7">
            <w:pPr>
              <w:rPr>
                <w:rFonts w:ascii="Calibri" w:hAnsi="Calibri"/>
                <w:sz w:val="18"/>
                <w:szCs w:val="18"/>
              </w:rPr>
            </w:pPr>
            <w:r w:rsidRPr="00214F35">
              <w:rPr>
                <w:rFonts w:ascii="Calibri" w:hAnsi="Calibri"/>
                <w:sz w:val="18"/>
                <w:szCs w:val="18"/>
              </w:rPr>
              <w:t>nie więcej niż</w:t>
            </w:r>
          </w:p>
        </w:tc>
        <w:tc>
          <w:tcPr>
            <w:tcW w:w="851" w:type="dxa"/>
          </w:tcPr>
          <w:p w:rsidR="00134B2C" w:rsidRPr="00214F35" w:rsidRDefault="00134B2C" w:rsidP="00FD47C7">
            <w:pPr>
              <w:spacing w:before="120"/>
              <w:jc w:val="center"/>
              <w:rPr>
                <w:rFonts w:ascii="Calibri" w:hAnsi="Calibri"/>
                <w:sz w:val="18"/>
                <w:szCs w:val="18"/>
              </w:rPr>
            </w:pPr>
            <w:r w:rsidRPr="00214F35">
              <w:rPr>
                <w:rFonts w:ascii="Calibri" w:hAnsi="Calibri"/>
                <w:sz w:val="18"/>
                <w:szCs w:val="18"/>
              </w:rPr>
              <w:t>%</w:t>
            </w:r>
          </w:p>
        </w:tc>
        <w:tc>
          <w:tcPr>
            <w:tcW w:w="1984" w:type="dxa"/>
          </w:tcPr>
          <w:p w:rsidR="00134B2C" w:rsidRPr="00214F35" w:rsidRDefault="00134B2C" w:rsidP="00FD47C7">
            <w:pPr>
              <w:spacing w:before="120"/>
              <w:jc w:val="center"/>
              <w:rPr>
                <w:rFonts w:ascii="Calibri" w:hAnsi="Calibri"/>
                <w:sz w:val="18"/>
                <w:szCs w:val="18"/>
              </w:rPr>
            </w:pPr>
            <w:r w:rsidRPr="00214F35">
              <w:rPr>
                <w:rFonts w:ascii="Calibri" w:hAnsi="Calibri"/>
                <w:sz w:val="18"/>
                <w:szCs w:val="18"/>
              </w:rPr>
              <w:t>PN-EN 12606-1 [30]</w:t>
            </w:r>
          </w:p>
        </w:tc>
        <w:tc>
          <w:tcPr>
            <w:tcW w:w="851" w:type="dxa"/>
          </w:tcPr>
          <w:p w:rsidR="00134B2C" w:rsidRPr="00214F35" w:rsidRDefault="00134B2C" w:rsidP="00FD47C7">
            <w:pPr>
              <w:spacing w:before="120"/>
              <w:jc w:val="center"/>
              <w:rPr>
                <w:rFonts w:ascii="Calibri" w:hAnsi="Calibri"/>
                <w:sz w:val="18"/>
                <w:szCs w:val="18"/>
              </w:rPr>
            </w:pPr>
            <w:r w:rsidRPr="00214F35">
              <w:rPr>
                <w:rFonts w:ascii="Calibri" w:hAnsi="Calibri"/>
                <w:sz w:val="18"/>
                <w:szCs w:val="18"/>
              </w:rPr>
              <w:t>2,2</w:t>
            </w:r>
          </w:p>
        </w:tc>
        <w:tc>
          <w:tcPr>
            <w:tcW w:w="882" w:type="dxa"/>
          </w:tcPr>
          <w:p w:rsidR="00134B2C" w:rsidRPr="00214F35" w:rsidRDefault="00134B2C" w:rsidP="00FD47C7">
            <w:pPr>
              <w:spacing w:before="120"/>
              <w:jc w:val="center"/>
              <w:rPr>
                <w:rFonts w:ascii="Calibri" w:hAnsi="Calibri"/>
                <w:sz w:val="18"/>
                <w:szCs w:val="18"/>
              </w:rPr>
            </w:pPr>
            <w:r w:rsidRPr="00214F35">
              <w:rPr>
                <w:rFonts w:ascii="Calibri" w:hAnsi="Calibri"/>
                <w:sz w:val="18"/>
                <w:szCs w:val="18"/>
              </w:rPr>
              <w:t>2,2</w:t>
            </w:r>
          </w:p>
        </w:tc>
      </w:tr>
      <w:tr w:rsidR="00134B2C" w:rsidRPr="00214F35" w:rsidTr="00FD47C7">
        <w:tc>
          <w:tcPr>
            <w:tcW w:w="534" w:type="dxa"/>
          </w:tcPr>
          <w:p w:rsidR="00134B2C" w:rsidRPr="00214F35" w:rsidRDefault="00134B2C" w:rsidP="00FD47C7">
            <w:pPr>
              <w:jc w:val="center"/>
              <w:rPr>
                <w:rFonts w:ascii="Calibri" w:hAnsi="Calibri"/>
                <w:sz w:val="18"/>
                <w:szCs w:val="18"/>
              </w:rPr>
            </w:pPr>
            <w:r w:rsidRPr="00214F35">
              <w:rPr>
                <w:rFonts w:ascii="Calibri" w:hAnsi="Calibri"/>
                <w:sz w:val="18"/>
                <w:szCs w:val="18"/>
              </w:rPr>
              <w:lastRenderedPageBreak/>
              <w:t>9</w:t>
            </w:r>
          </w:p>
        </w:tc>
        <w:tc>
          <w:tcPr>
            <w:tcW w:w="2409" w:type="dxa"/>
          </w:tcPr>
          <w:p w:rsidR="00134B2C" w:rsidRPr="00214F35" w:rsidRDefault="00134B2C" w:rsidP="00FD47C7">
            <w:pPr>
              <w:rPr>
                <w:rFonts w:ascii="Calibri" w:hAnsi="Calibri"/>
                <w:sz w:val="18"/>
                <w:szCs w:val="18"/>
              </w:rPr>
            </w:pPr>
            <w:r w:rsidRPr="00214F35">
              <w:rPr>
                <w:rFonts w:ascii="Calibri" w:hAnsi="Calibri"/>
                <w:sz w:val="18"/>
                <w:szCs w:val="18"/>
              </w:rPr>
              <w:t>Wzrost temp. mięknienia po starzeniu, nie więcej niż</w:t>
            </w:r>
          </w:p>
        </w:tc>
        <w:tc>
          <w:tcPr>
            <w:tcW w:w="851" w:type="dxa"/>
          </w:tcPr>
          <w:p w:rsidR="00134B2C" w:rsidRPr="00214F35" w:rsidRDefault="00134B2C" w:rsidP="00FD47C7">
            <w:pPr>
              <w:spacing w:before="120"/>
              <w:jc w:val="center"/>
              <w:rPr>
                <w:rFonts w:ascii="Calibri" w:hAnsi="Calibri"/>
                <w:sz w:val="18"/>
                <w:szCs w:val="18"/>
              </w:rPr>
            </w:pPr>
            <w:r w:rsidRPr="00214F35">
              <w:rPr>
                <w:rFonts w:ascii="Calibri" w:hAnsi="Calibri"/>
                <w:sz w:val="18"/>
                <w:szCs w:val="18"/>
              </w:rPr>
              <w:t>°C</w:t>
            </w:r>
          </w:p>
        </w:tc>
        <w:tc>
          <w:tcPr>
            <w:tcW w:w="1984" w:type="dxa"/>
          </w:tcPr>
          <w:p w:rsidR="00134B2C" w:rsidRPr="00214F35" w:rsidRDefault="00134B2C" w:rsidP="00FD47C7">
            <w:pPr>
              <w:spacing w:before="120"/>
              <w:jc w:val="center"/>
              <w:rPr>
                <w:rFonts w:ascii="Calibri" w:hAnsi="Calibri"/>
                <w:sz w:val="18"/>
                <w:szCs w:val="18"/>
              </w:rPr>
            </w:pPr>
            <w:r w:rsidRPr="00214F35">
              <w:rPr>
                <w:rFonts w:ascii="Calibri" w:hAnsi="Calibri"/>
                <w:sz w:val="18"/>
                <w:szCs w:val="18"/>
              </w:rPr>
              <w:t>PN-EN 1427 [22]</w:t>
            </w:r>
          </w:p>
        </w:tc>
        <w:tc>
          <w:tcPr>
            <w:tcW w:w="851" w:type="dxa"/>
          </w:tcPr>
          <w:p w:rsidR="00134B2C" w:rsidRPr="00214F35" w:rsidRDefault="00134B2C" w:rsidP="00FD47C7">
            <w:pPr>
              <w:spacing w:before="120"/>
              <w:jc w:val="center"/>
              <w:rPr>
                <w:rFonts w:ascii="Calibri" w:hAnsi="Calibri"/>
                <w:sz w:val="18"/>
                <w:szCs w:val="18"/>
              </w:rPr>
            </w:pPr>
            <w:r w:rsidRPr="00214F35">
              <w:rPr>
                <w:rFonts w:ascii="Calibri" w:hAnsi="Calibri"/>
                <w:sz w:val="18"/>
                <w:szCs w:val="18"/>
              </w:rPr>
              <w:t>9</w:t>
            </w:r>
          </w:p>
        </w:tc>
        <w:tc>
          <w:tcPr>
            <w:tcW w:w="882" w:type="dxa"/>
          </w:tcPr>
          <w:p w:rsidR="00134B2C" w:rsidRPr="00214F35" w:rsidRDefault="00134B2C" w:rsidP="00FD47C7">
            <w:pPr>
              <w:spacing w:before="120"/>
              <w:jc w:val="center"/>
              <w:rPr>
                <w:rFonts w:ascii="Calibri" w:hAnsi="Calibri"/>
                <w:sz w:val="18"/>
                <w:szCs w:val="18"/>
              </w:rPr>
            </w:pPr>
            <w:r w:rsidRPr="00214F35">
              <w:rPr>
                <w:rFonts w:ascii="Calibri" w:hAnsi="Calibri"/>
                <w:sz w:val="18"/>
                <w:szCs w:val="18"/>
              </w:rPr>
              <w:t>9</w:t>
            </w:r>
          </w:p>
        </w:tc>
      </w:tr>
      <w:tr w:rsidR="00134B2C" w:rsidRPr="00214F35" w:rsidTr="00FD47C7">
        <w:tc>
          <w:tcPr>
            <w:tcW w:w="534" w:type="dxa"/>
          </w:tcPr>
          <w:p w:rsidR="00134B2C" w:rsidRPr="00214F35" w:rsidRDefault="00134B2C" w:rsidP="00FD47C7">
            <w:pPr>
              <w:jc w:val="center"/>
              <w:rPr>
                <w:rFonts w:ascii="Calibri" w:hAnsi="Calibri"/>
                <w:sz w:val="18"/>
                <w:szCs w:val="18"/>
              </w:rPr>
            </w:pPr>
            <w:r w:rsidRPr="00214F35">
              <w:rPr>
                <w:rFonts w:ascii="Calibri" w:hAnsi="Calibri"/>
                <w:sz w:val="18"/>
                <w:szCs w:val="18"/>
              </w:rPr>
              <w:t>10</w:t>
            </w:r>
          </w:p>
        </w:tc>
        <w:tc>
          <w:tcPr>
            <w:tcW w:w="2409" w:type="dxa"/>
          </w:tcPr>
          <w:p w:rsidR="00134B2C" w:rsidRPr="00214F35" w:rsidRDefault="00134B2C" w:rsidP="00FD47C7">
            <w:pPr>
              <w:rPr>
                <w:rFonts w:ascii="Calibri" w:hAnsi="Calibri"/>
                <w:sz w:val="18"/>
                <w:szCs w:val="18"/>
              </w:rPr>
            </w:pPr>
            <w:r w:rsidRPr="00214F35">
              <w:rPr>
                <w:rFonts w:ascii="Calibri" w:hAnsi="Calibri"/>
                <w:sz w:val="18"/>
                <w:szCs w:val="18"/>
              </w:rPr>
              <w:t>Temperatura łamliwości Fraassa, nie więcej niż</w:t>
            </w:r>
          </w:p>
        </w:tc>
        <w:tc>
          <w:tcPr>
            <w:tcW w:w="851" w:type="dxa"/>
          </w:tcPr>
          <w:p w:rsidR="00134B2C" w:rsidRPr="00214F35" w:rsidRDefault="00134B2C" w:rsidP="00FD47C7">
            <w:pPr>
              <w:spacing w:before="120"/>
              <w:jc w:val="center"/>
              <w:rPr>
                <w:rFonts w:ascii="Calibri" w:hAnsi="Calibri"/>
                <w:sz w:val="18"/>
                <w:szCs w:val="18"/>
              </w:rPr>
            </w:pPr>
            <w:r w:rsidRPr="00214F35">
              <w:rPr>
                <w:rFonts w:ascii="Calibri" w:hAnsi="Calibri"/>
                <w:sz w:val="18"/>
                <w:szCs w:val="18"/>
              </w:rPr>
              <w:t>°C</w:t>
            </w:r>
          </w:p>
        </w:tc>
        <w:tc>
          <w:tcPr>
            <w:tcW w:w="1984" w:type="dxa"/>
          </w:tcPr>
          <w:p w:rsidR="00134B2C" w:rsidRPr="00214F35" w:rsidRDefault="00134B2C" w:rsidP="00FD47C7">
            <w:pPr>
              <w:spacing w:before="120"/>
              <w:jc w:val="center"/>
              <w:rPr>
                <w:rFonts w:ascii="Calibri" w:hAnsi="Calibri"/>
                <w:sz w:val="18"/>
                <w:szCs w:val="18"/>
              </w:rPr>
            </w:pPr>
            <w:r w:rsidRPr="00214F35">
              <w:rPr>
                <w:rFonts w:ascii="Calibri" w:hAnsi="Calibri"/>
                <w:sz w:val="18"/>
                <w:szCs w:val="18"/>
              </w:rPr>
              <w:t>PN-EN 12593 [29]</w:t>
            </w:r>
          </w:p>
        </w:tc>
        <w:tc>
          <w:tcPr>
            <w:tcW w:w="851" w:type="dxa"/>
          </w:tcPr>
          <w:p w:rsidR="00134B2C" w:rsidRPr="00214F35" w:rsidRDefault="00134B2C" w:rsidP="00FD47C7">
            <w:pPr>
              <w:spacing w:before="120"/>
              <w:jc w:val="center"/>
              <w:rPr>
                <w:rFonts w:ascii="Calibri" w:hAnsi="Calibri"/>
                <w:sz w:val="18"/>
                <w:szCs w:val="18"/>
              </w:rPr>
            </w:pPr>
            <w:r w:rsidRPr="00214F35">
              <w:rPr>
                <w:rFonts w:ascii="Calibri" w:hAnsi="Calibri"/>
                <w:sz w:val="18"/>
                <w:szCs w:val="18"/>
              </w:rPr>
              <w:t>-8</w:t>
            </w:r>
          </w:p>
        </w:tc>
        <w:tc>
          <w:tcPr>
            <w:tcW w:w="882" w:type="dxa"/>
          </w:tcPr>
          <w:p w:rsidR="00134B2C" w:rsidRPr="00214F35" w:rsidRDefault="00134B2C" w:rsidP="00FD47C7">
            <w:pPr>
              <w:spacing w:before="120"/>
              <w:jc w:val="center"/>
              <w:rPr>
                <w:rFonts w:ascii="Calibri" w:hAnsi="Calibri"/>
                <w:sz w:val="18"/>
                <w:szCs w:val="18"/>
              </w:rPr>
            </w:pPr>
            <w:r w:rsidRPr="00214F35">
              <w:rPr>
                <w:rFonts w:ascii="Calibri" w:hAnsi="Calibri"/>
                <w:sz w:val="18"/>
                <w:szCs w:val="18"/>
              </w:rPr>
              <w:t>-10</w:t>
            </w:r>
          </w:p>
        </w:tc>
      </w:tr>
    </w:tbl>
    <w:p w:rsidR="00134B2C" w:rsidRPr="00E033A0" w:rsidRDefault="00134B2C" w:rsidP="00134B2C"/>
    <w:p w:rsidR="00134B2C" w:rsidRPr="00214F35" w:rsidRDefault="00134B2C" w:rsidP="00134B2C">
      <w:pPr>
        <w:ind w:left="709"/>
        <w:jc w:val="left"/>
        <w:rPr>
          <w:rFonts w:ascii="Calibri" w:hAnsi="Calibri"/>
        </w:rPr>
      </w:pPr>
      <w:r>
        <w:rPr>
          <w:rFonts w:ascii="Calibri" w:hAnsi="Calibri"/>
        </w:rPr>
        <w:t xml:space="preserve">Tablica 4. </w:t>
      </w:r>
      <w:r w:rsidRPr="00214F35">
        <w:rPr>
          <w:rFonts w:ascii="Calibri" w:hAnsi="Calibri"/>
        </w:rPr>
        <w:t>Wymagania wobec asfaltów modyfikowanych polimerami (polimeroasfaltów) wg PN-EN 14023 [59]</w:t>
      </w:r>
    </w:p>
    <w:tbl>
      <w:tblPr>
        <w:tblW w:w="7655" w:type="dxa"/>
        <w:tblInd w:w="81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tblPr>
      <w:tblGrid>
        <w:gridCol w:w="1418"/>
        <w:gridCol w:w="1134"/>
        <w:gridCol w:w="850"/>
        <w:gridCol w:w="709"/>
        <w:gridCol w:w="992"/>
        <w:gridCol w:w="709"/>
        <w:gridCol w:w="956"/>
        <w:gridCol w:w="887"/>
      </w:tblGrid>
      <w:tr w:rsidR="00134B2C" w:rsidRPr="00214F35" w:rsidTr="00254A49">
        <w:tc>
          <w:tcPr>
            <w:tcW w:w="1418" w:type="dxa"/>
            <w:vMerge w:val="restart"/>
            <w:vAlign w:val="center"/>
          </w:tcPr>
          <w:p w:rsidR="00134B2C" w:rsidRPr="00214F35" w:rsidRDefault="00134B2C" w:rsidP="00FD47C7">
            <w:pPr>
              <w:jc w:val="center"/>
              <w:rPr>
                <w:rFonts w:ascii="Calibri" w:hAnsi="Calibri"/>
                <w:sz w:val="16"/>
                <w:szCs w:val="16"/>
              </w:rPr>
            </w:pPr>
          </w:p>
          <w:p w:rsidR="00134B2C" w:rsidRPr="00214F35" w:rsidRDefault="00134B2C" w:rsidP="00FD47C7">
            <w:pPr>
              <w:jc w:val="center"/>
              <w:rPr>
                <w:rFonts w:ascii="Calibri" w:hAnsi="Calibri"/>
                <w:sz w:val="16"/>
                <w:szCs w:val="16"/>
              </w:rPr>
            </w:pPr>
            <w:r w:rsidRPr="00214F35">
              <w:rPr>
                <w:rFonts w:ascii="Calibri" w:hAnsi="Calibri"/>
                <w:sz w:val="16"/>
                <w:szCs w:val="16"/>
              </w:rPr>
              <w:t>Wymaganie</w:t>
            </w:r>
          </w:p>
          <w:p w:rsidR="00134B2C" w:rsidRPr="00214F35" w:rsidRDefault="00134B2C" w:rsidP="00FD47C7">
            <w:pPr>
              <w:jc w:val="center"/>
              <w:rPr>
                <w:rFonts w:ascii="Calibri" w:hAnsi="Calibri"/>
                <w:sz w:val="16"/>
                <w:szCs w:val="16"/>
              </w:rPr>
            </w:pPr>
            <w:r w:rsidRPr="00214F35">
              <w:rPr>
                <w:rFonts w:ascii="Calibri" w:hAnsi="Calibri"/>
                <w:sz w:val="16"/>
                <w:szCs w:val="16"/>
              </w:rPr>
              <w:t>podstawowe</w:t>
            </w:r>
          </w:p>
        </w:tc>
        <w:tc>
          <w:tcPr>
            <w:tcW w:w="1134" w:type="dxa"/>
            <w:vMerge w:val="restart"/>
            <w:vAlign w:val="center"/>
          </w:tcPr>
          <w:p w:rsidR="00134B2C" w:rsidRPr="00214F35" w:rsidRDefault="00134B2C" w:rsidP="00FD47C7">
            <w:pPr>
              <w:jc w:val="center"/>
              <w:rPr>
                <w:rFonts w:ascii="Calibri" w:hAnsi="Calibri"/>
                <w:sz w:val="16"/>
                <w:szCs w:val="16"/>
              </w:rPr>
            </w:pPr>
          </w:p>
          <w:p w:rsidR="00134B2C" w:rsidRPr="00214F35" w:rsidRDefault="00134B2C" w:rsidP="00FD47C7">
            <w:pPr>
              <w:jc w:val="center"/>
              <w:rPr>
                <w:rFonts w:ascii="Calibri" w:hAnsi="Calibri"/>
                <w:sz w:val="16"/>
                <w:szCs w:val="16"/>
              </w:rPr>
            </w:pPr>
            <w:r w:rsidRPr="00214F35">
              <w:rPr>
                <w:rFonts w:ascii="Calibri" w:hAnsi="Calibri"/>
                <w:sz w:val="16"/>
                <w:szCs w:val="16"/>
              </w:rPr>
              <w:t>Właściwość</w:t>
            </w:r>
          </w:p>
        </w:tc>
        <w:tc>
          <w:tcPr>
            <w:tcW w:w="850" w:type="dxa"/>
            <w:vMerge w:val="restart"/>
            <w:vAlign w:val="center"/>
          </w:tcPr>
          <w:p w:rsidR="00134B2C" w:rsidRPr="00214F35" w:rsidRDefault="00134B2C" w:rsidP="00FD47C7">
            <w:pPr>
              <w:jc w:val="center"/>
              <w:rPr>
                <w:rFonts w:ascii="Calibri" w:hAnsi="Calibri"/>
                <w:sz w:val="16"/>
                <w:szCs w:val="16"/>
              </w:rPr>
            </w:pPr>
          </w:p>
          <w:p w:rsidR="00134B2C" w:rsidRPr="00214F35" w:rsidRDefault="00134B2C" w:rsidP="00FD47C7">
            <w:pPr>
              <w:jc w:val="center"/>
              <w:rPr>
                <w:rFonts w:ascii="Calibri" w:hAnsi="Calibri"/>
                <w:sz w:val="16"/>
                <w:szCs w:val="16"/>
              </w:rPr>
            </w:pPr>
            <w:r w:rsidRPr="00214F35">
              <w:rPr>
                <w:rFonts w:ascii="Calibri" w:hAnsi="Calibri"/>
                <w:sz w:val="16"/>
                <w:szCs w:val="16"/>
              </w:rPr>
              <w:t>Metoda</w:t>
            </w:r>
          </w:p>
          <w:p w:rsidR="00134B2C" w:rsidRPr="00214F35" w:rsidRDefault="00134B2C" w:rsidP="00FD47C7">
            <w:pPr>
              <w:jc w:val="center"/>
              <w:rPr>
                <w:rFonts w:ascii="Calibri" w:hAnsi="Calibri"/>
                <w:sz w:val="16"/>
                <w:szCs w:val="16"/>
              </w:rPr>
            </w:pPr>
            <w:r w:rsidRPr="00214F35">
              <w:rPr>
                <w:rFonts w:ascii="Calibri" w:hAnsi="Calibri"/>
                <w:sz w:val="16"/>
                <w:szCs w:val="16"/>
              </w:rPr>
              <w:t>badania</w:t>
            </w:r>
          </w:p>
        </w:tc>
        <w:tc>
          <w:tcPr>
            <w:tcW w:w="709" w:type="dxa"/>
            <w:vMerge w:val="restart"/>
            <w:vAlign w:val="center"/>
          </w:tcPr>
          <w:p w:rsidR="00134B2C" w:rsidRPr="00214F35" w:rsidRDefault="00134B2C" w:rsidP="00FD47C7">
            <w:pPr>
              <w:jc w:val="center"/>
              <w:rPr>
                <w:rFonts w:ascii="Calibri" w:hAnsi="Calibri"/>
                <w:sz w:val="16"/>
                <w:szCs w:val="16"/>
              </w:rPr>
            </w:pPr>
            <w:r w:rsidRPr="00214F35">
              <w:rPr>
                <w:rFonts w:ascii="Calibri" w:hAnsi="Calibri"/>
                <w:sz w:val="16"/>
                <w:szCs w:val="16"/>
              </w:rPr>
              <w:t>Jed-</w:t>
            </w:r>
          </w:p>
          <w:p w:rsidR="00134B2C" w:rsidRPr="00214F35" w:rsidRDefault="00134B2C" w:rsidP="00FD47C7">
            <w:pPr>
              <w:jc w:val="center"/>
              <w:rPr>
                <w:rFonts w:ascii="Calibri" w:hAnsi="Calibri"/>
                <w:sz w:val="16"/>
                <w:szCs w:val="16"/>
              </w:rPr>
            </w:pPr>
            <w:r w:rsidRPr="00214F35">
              <w:rPr>
                <w:rFonts w:ascii="Calibri" w:hAnsi="Calibri"/>
                <w:sz w:val="16"/>
                <w:szCs w:val="16"/>
              </w:rPr>
              <w:t>nostka</w:t>
            </w:r>
          </w:p>
        </w:tc>
        <w:tc>
          <w:tcPr>
            <w:tcW w:w="3544" w:type="dxa"/>
            <w:gridSpan w:val="4"/>
          </w:tcPr>
          <w:p w:rsidR="00134B2C" w:rsidRPr="00214F35" w:rsidRDefault="00134B2C" w:rsidP="00FD47C7">
            <w:pPr>
              <w:jc w:val="center"/>
              <w:rPr>
                <w:rFonts w:ascii="Calibri" w:hAnsi="Calibri"/>
                <w:sz w:val="16"/>
                <w:szCs w:val="16"/>
              </w:rPr>
            </w:pPr>
            <w:r w:rsidRPr="00214F35">
              <w:rPr>
                <w:rFonts w:ascii="Calibri" w:hAnsi="Calibri"/>
                <w:sz w:val="16"/>
                <w:szCs w:val="16"/>
              </w:rPr>
              <w:t>Gatunki asfaltów modyfikowanych</w:t>
            </w:r>
          </w:p>
          <w:p w:rsidR="00134B2C" w:rsidRPr="00214F35" w:rsidRDefault="00134B2C" w:rsidP="00FD47C7">
            <w:pPr>
              <w:jc w:val="center"/>
              <w:rPr>
                <w:rFonts w:ascii="Calibri" w:hAnsi="Calibri"/>
                <w:sz w:val="16"/>
                <w:szCs w:val="16"/>
              </w:rPr>
            </w:pPr>
            <w:r w:rsidRPr="00214F35">
              <w:rPr>
                <w:rFonts w:ascii="Calibri" w:hAnsi="Calibri"/>
                <w:sz w:val="16"/>
                <w:szCs w:val="16"/>
              </w:rPr>
              <w:t>polimerami (PMB)</w:t>
            </w:r>
          </w:p>
        </w:tc>
      </w:tr>
      <w:tr w:rsidR="00134B2C" w:rsidRPr="00214F35" w:rsidTr="00254A49">
        <w:tc>
          <w:tcPr>
            <w:tcW w:w="1418" w:type="dxa"/>
            <w:vMerge/>
          </w:tcPr>
          <w:p w:rsidR="00134B2C" w:rsidRPr="00214F35" w:rsidRDefault="00134B2C" w:rsidP="00FD47C7">
            <w:pPr>
              <w:jc w:val="center"/>
              <w:rPr>
                <w:rFonts w:ascii="Calibri" w:hAnsi="Calibri"/>
                <w:sz w:val="16"/>
                <w:szCs w:val="16"/>
              </w:rPr>
            </w:pPr>
          </w:p>
        </w:tc>
        <w:tc>
          <w:tcPr>
            <w:tcW w:w="1134" w:type="dxa"/>
            <w:vMerge/>
          </w:tcPr>
          <w:p w:rsidR="00134B2C" w:rsidRPr="00214F35" w:rsidRDefault="00134B2C" w:rsidP="00FD47C7">
            <w:pPr>
              <w:jc w:val="center"/>
              <w:rPr>
                <w:rFonts w:ascii="Calibri" w:hAnsi="Calibri"/>
                <w:sz w:val="16"/>
                <w:szCs w:val="16"/>
              </w:rPr>
            </w:pPr>
          </w:p>
        </w:tc>
        <w:tc>
          <w:tcPr>
            <w:tcW w:w="850" w:type="dxa"/>
            <w:vMerge/>
          </w:tcPr>
          <w:p w:rsidR="00134B2C" w:rsidRPr="00214F35" w:rsidRDefault="00134B2C" w:rsidP="00FD47C7">
            <w:pPr>
              <w:jc w:val="center"/>
              <w:rPr>
                <w:rFonts w:ascii="Calibri" w:hAnsi="Calibri"/>
                <w:sz w:val="16"/>
                <w:szCs w:val="16"/>
              </w:rPr>
            </w:pPr>
          </w:p>
        </w:tc>
        <w:tc>
          <w:tcPr>
            <w:tcW w:w="709" w:type="dxa"/>
            <w:vMerge/>
          </w:tcPr>
          <w:p w:rsidR="00134B2C" w:rsidRPr="00214F35" w:rsidRDefault="00134B2C" w:rsidP="00FD47C7">
            <w:pPr>
              <w:jc w:val="center"/>
              <w:rPr>
                <w:rFonts w:ascii="Calibri" w:hAnsi="Calibri"/>
                <w:sz w:val="16"/>
                <w:szCs w:val="16"/>
              </w:rPr>
            </w:pPr>
          </w:p>
        </w:tc>
        <w:tc>
          <w:tcPr>
            <w:tcW w:w="1701" w:type="dxa"/>
            <w:gridSpan w:val="2"/>
          </w:tcPr>
          <w:p w:rsidR="00134B2C" w:rsidRPr="00214F35" w:rsidRDefault="00134B2C" w:rsidP="00FD47C7">
            <w:pPr>
              <w:jc w:val="center"/>
              <w:rPr>
                <w:rFonts w:ascii="Calibri" w:hAnsi="Calibri"/>
                <w:sz w:val="16"/>
                <w:szCs w:val="16"/>
              </w:rPr>
            </w:pPr>
            <w:r w:rsidRPr="00214F35">
              <w:rPr>
                <w:rFonts w:ascii="Calibri" w:hAnsi="Calibri"/>
                <w:sz w:val="16"/>
                <w:szCs w:val="16"/>
              </w:rPr>
              <w:t>45/80 – 55</w:t>
            </w:r>
          </w:p>
        </w:tc>
        <w:tc>
          <w:tcPr>
            <w:tcW w:w="1843" w:type="dxa"/>
            <w:gridSpan w:val="2"/>
          </w:tcPr>
          <w:p w:rsidR="00134B2C" w:rsidRPr="00214F35" w:rsidRDefault="00134B2C" w:rsidP="00FD47C7">
            <w:pPr>
              <w:jc w:val="center"/>
              <w:rPr>
                <w:rFonts w:ascii="Calibri" w:hAnsi="Calibri"/>
                <w:sz w:val="16"/>
                <w:szCs w:val="16"/>
              </w:rPr>
            </w:pPr>
            <w:r w:rsidRPr="00214F35">
              <w:rPr>
                <w:rFonts w:ascii="Calibri" w:hAnsi="Calibri"/>
                <w:sz w:val="16"/>
                <w:szCs w:val="16"/>
              </w:rPr>
              <w:t>45/80 – 65</w:t>
            </w:r>
          </w:p>
        </w:tc>
      </w:tr>
      <w:tr w:rsidR="00134B2C" w:rsidRPr="00214F35" w:rsidTr="00254A49">
        <w:tc>
          <w:tcPr>
            <w:tcW w:w="1418" w:type="dxa"/>
            <w:vMerge/>
          </w:tcPr>
          <w:p w:rsidR="00134B2C" w:rsidRPr="00214F35" w:rsidRDefault="00134B2C" w:rsidP="00FD47C7">
            <w:pPr>
              <w:jc w:val="center"/>
              <w:rPr>
                <w:rFonts w:ascii="Calibri" w:hAnsi="Calibri"/>
                <w:sz w:val="16"/>
                <w:szCs w:val="16"/>
              </w:rPr>
            </w:pPr>
          </w:p>
        </w:tc>
        <w:tc>
          <w:tcPr>
            <w:tcW w:w="1134" w:type="dxa"/>
            <w:vMerge/>
          </w:tcPr>
          <w:p w:rsidR="00134B2C" w:rsidRPr="00214F35" w:rsidRDefault="00134B2C" w:rsidP="00FD47C7">
            <w:pPr>
              <w:jc w:val="center"/>
              <w:rPr>
                <w:rFonts w:ascii="Calibri" w:hAnsi="Calibri"/>
                <w:sz w:val="16"/>
                <w:szCs w:val="16"/>
              </w:rPr>
            </w:pPr>
          </w:p>
        </w:tc>
        <w:tc>
          <w:tcPr>
            <w:tcW w:w="850" w:type="dxa"/>
            <w:vMerge/>
          </w:tcPr>
          <w:p w:rsidR="00134B2C" w:rsidRPr="00214F35" w:rsidRDefault="00134B2C" w:rsidP="00FD47C7">
            <w:pPr>
              <w:jc w:val="center"/>
              <w:rPr>
                <w:rFonts w:ascii="Calibri" w:hAnsi="Calibri"/>
                <w:sz w:val="16"/>
                <w:szCs w:val="16"/>
              </w:rPr>
            </w:pPr>
          </w:p>
        </w:tc>
        <w:tc>
          <w:tcPr>
            <w:tcW w:w="709" w:type="dxa"/>
            <w:vMerge/>
          </w:tcPr>
          <w:p w:rsidR="00134B2C" w:rsidRPr="00214F35" w:rsidRDefault="00134B2C" w:rsidP="00FD47C7">
            <w:pPr>
              <w:jc w:val="center"/>
              <w:rPr>
                <w:rFonts w:ascii="Calibri" w:hAnsi="Calibri"/>
                <w:sz w:val="16"/>
                <w:szCs w:val="16"/>
              </w:rPr>
            </w:pPr>
          </w:p>
        </w:tc>
        <w:tc>
          <w:tcPr>
            <w:tcW w:w="992" w:type="dxa"/>
          </w:tcPr>
          <w:p w:rsidR="00134B2C" w:rsidRPr="00214F35" w:rsidRDefault="00134B2C" w:rsidP="00FD47C7">
            <w:pPr>
              <w:spacing w:after="60"/>
              <w:jc w:val="center"/>
              <w:rPr>
                <w:rFonts w:ascii="Calibri" w:hAnsi="Calibri"/>
                <w:sz w:val="16"/>
                <w:szCs w:val="16"/>
              </w:rPr>
            </w:pPr>
            <w:r w:rsidRPr="00214F35">
              <w:rPr>
                <w:rFonts w:ascii="Calibri" w:hAnsi="Calibri"/>
                <w:sz w:val="16"/>
                <w:szCs w:val="16"/>
              </w:rPr>
              <w:t>wymaganie</w:t>
            </w:r>
          </w:p>
        </w:tc>
        <w:tc>
          <w:tcPr>
            <w:tcW w:w="709" w:type="dxa"/>
          </w:tcPr>
          <w:p w:rsidR="00134B2C" w:rsidRPr="00214F35" w:rsidRDefault="00134B2C" w:rsidP="00FD47C7">
            <w:pPr>
              <w:jc w:val="center"/>
              <w:rPr>
                <w:rFonts w:ascii="Calibri" w:hAnsi="Calibri"/>
                <w:sz w:val="16"/>
                <w:szCs w:val="16"/>
              </w:rPr>
            </w:pPr>
            <w:r w:rsidRPr="00214F35">
              <w:rPr>
                <w:rFonts w:ascii="Calibri" w:hAnsi="Calibri"/>
                <w:sz w:val="16"/>
                <w:szCs w:val="16"/>
              </w:rPr>
              <w:t>klasa</w:t>
            </w:r>
          </w:p>
        </w:tc>
        <w:tc>
          <w:tcPr>
            <w:tcW w:w="956" w:type="dxa"/>
          </w:tcPr>
          <w:p w:rsidR="00134B2C" w:rsidRPr="00214F35" w:rsidRDefault="00134B2C" w:rsidP="00FD47C7">
            <w:pPr>
              <w:jc w:val="center"/>
              <w:rPr>
                <w:rFonts w:ascii="Calibri" w:hAnsi="Calibri"/>
                <w:sz w:val="16"/>
                <w:szCs w:val="16"/>
              </w:rPr>
            </w:pPr>
            <w:r w:rsidRPr="00214F35">
              <w:rPr>
                <w:rFonts w:ascii="Calibri" w:hAnsi="Calibri"/>
                <w:sz w:val="16"/>
                <w:szCs w:val="16"/>
              </w:rPr>
              <w:t>wymaganie</w:t>
            </w:r>
          </w:p>
        </w:tc>
        <w:tc>
          <w:tcPr>
            <w:tcW w:w="887" w:type="dxa"/>
          </w:tcPr>
          <w:p w:rsidR="00134B2C" w:rsidRPr="00214F35" w:rsidRDefault="00134B2C" w:rsidP="00FD47C7">
            <w:pPr>
              <w:jc w:val="center"/>
              <w:rPr>
                <w:rFonts w:ascii="Calibri" w:hAnsi="Calibri"/>
                <w:sz w:val="16"/>
                <w:szCs w:val="16"/>
              </w:rPr>
            </w:pPr>
            <w:r w:rsidRPr="00214F35">
              <w:rPr>
                <w:rFonts w:ascii="Calibri" w:hAnsi="Calibri"/>
                <w:sz w:val="16"/>
                <w:szCs w:val="16"/>
              </w:rPr>
              <w:t>klasa</w:t>
            </w:r>
          </w:p>
        </w:tc>
      </w:tr>
      <w:tr w:rsidR="00134B2C" w:rsidRPr="00214F35" w:rsidTr="00254A49">
        <w:tc>
          <w:tcPr>
            <w:tcW w:w="1418" w:type="dxa"/>
          </w:tcPr>
          <w:p w:rsidR="00134B2C" w:rsidRPr="00214F35" w:rsidRDefault="00134B2C" w:rsidP="00FD47C7">
            <w:pPr>
              <w:jc w:val="center"/>
              <w:rPr>
                <w:rFonts w:ascii="Calibri" w:hAnsi="Calibri"/>
                <w:sz w:val="16"/>
                <w:szCs w:val="16"/>
              </w:rPr>
            </w:pPr>
            <w:r w:rsidRPr="00214F35">
              <w:rPr>
                <w:rFonts w:ascii="Calibri" w:hAnsi="Calibri"/>
                <w:sz w:val="16"/>
                <w:szCs w:val="16"/>
              </w:rPr>
              <w:t>1</w:t>
            </w:r>
          </w:p>
        </w:tc>
        <w:tc>
          <w:tcPr>
            <w:tcW w:w="1134" w:type="dxa"/>
            <w:vAlign w:val="center"/>
          </w:tcPr>
          <w:p w:rsidR="00134B2C" w:rsidRPr="00214F35" w:rsidRDefault="00134B2C" w:rsidP="00FD47C7">
            <w:pPr>
              <w:jc w:val="center"/>
              <w:rPr>
                <w:rFonts w:ascii="Calibri" w:hAnsi="Calibri"/>
                <w:sz w:val="16"/>
                <w:szCs w:val="16"/>
              </w:rPr>
            </w:pPr>
            <w:r w:rsidRPr="00214F35">
              <w:rPr>
                <w:rFonts w:ascii="Calibri" w:hAnsi="Calibri"/>
                <w:sz w:val="16"/>
                <w:szCs w:val="16"/>
              </w:rPr>
              <w:t>2</w:t>
            </w:r>
          </w:p>
        </w:tc>
        <w:tc>
          <w:tcPr>
            <w:tcW w:w="850" w:type="dxa"/>
            <w:vAlign w:val="center"/>
          </w:tcPr>
          <w:p w:rsidR="00134B2C" w:rsidRPr="00214F35" w:rsidRDefault="00134B2C" w:rsidP="00FD47C7">
            <w:pPr>
              <w:tabs>
                <w:tab w:val="left" w:pos="285"/>
              </w:tabs>
              <w:jc w:val="center"/>
              <w:rPr>
                <w:rFonts w:ascii="Calibri" w:hAnsi="Calibri"/>
                <w:sz w:val="16"/>
                <w:szCs w:val="16"/>
              </w:rPr>
            </w:pPr>
            <w:r w:rsidRPr="00214F35">
              <w:rPr>
                <w:rFonts w:ascii="Calibri" w:hAnsi="Calibri"/>
                <w:sz w:val="16"/>
                <w:szCs w:val="16"/>
              </w:rPr>
              <w:t>3</w:t>
            </w:r>
          </w:p>
        </w:tc>
        <w:tc>
          <w:tcPr>
            <w:tcW w:w="709" w:type="dxa"/>
            <w:vAlign w:val="center"/>
          </w:tcPr>
          <w:p w:rsidR="00134B2C" w:rsidRPr="00214F35" w:rsidRDefault="00134B2C" w:rsidP="00FD47C7">
            <w:pPr>
              <w:jc w:val="center"/>
              <w:rPr>
                <w:rFonts w:ascii="Calibri" w:hAnsi="Calibri"/>
                <w:sz w:val="16"/>
                <w:szCs w:val="16"/>
              </w:rPr>
            </w:pPr>
            <w:r w:rsidRPr="00214F35">
              <w:rPr>
                <w:rFonts w:ascii="Calibri" w:hAnsi="Calibri"/>
                <w:sz w:val="16"/>
                <w:szCs w:val="16"/>
              </w:rPr>
              <w:t>4</w:t>
            </w:r>
          </w:p>
        </w:tc>
        <w:tc>
          <w:tcPr>
            <w:tcW w:w="992" w:type="dxa"/>
            <w:vAlign w:val="center"/>
          </w:tcPr>
          <w:p w:rsidR="00134B2C" w:rsidRPr="00214F35" w:rsidRDefault="00134B2C" w:rsidP="00FD47C7">
            <w:pPr>
              <w:jc w:val="center"/>
              <w:rPr>
                <w:rFonts w:ascii="Calibri" w:hAnsi="Calibri"/>
                <w:sz w:val="16"/>
                <w:szCs w:val="16"/>
              </w:rPr>
            </w:pPr>
            <w:r w:rsidRPr="00214F35">
              <w:rPr>
                <w:rFonts w:ascii="Calibri" w:hAnsi="Calibri"/>
                <w:sz w:val="16"/>
                <w:szCs w:val="16"/>
              </w:rPr>
              <w:t>5</w:t>
            </w:r>
          </w:p>
        </w:tc>
        <w:tc>
          <w:tcPr>
            <w:tcW w:w="709" w:type="dxa"/>
            <w:vAlign w:val="center"/>
          </w:tcPr>
          <w:p w:rsidR="00134B2C" w:rsidRPr="00214F35" w:rsidRDefault="00134B2C" w:rsidP="00FD47C7">
            <w:pPr>
              <w:jc w:val="center"/>
              <w:rPr>
                <w:rFonts w:ascii="Calibri" w:hAnsi="Calibri"/>
                <w:sz w:val="16"/>
                <w:szCs w:val="16"/>
              </w:rPr>
            </w:pPr>
            <w:r w:rsidRPr="00214F35">
              <w:rPr>
                <w:rFonts w:ascii="Calibri" w:hAnsi="Calibri"/>
                <w:sz w:val="16"/>
                <w:szCs w:val="16"/>
              </w:rPr>
              <w:t>6</w:t>
            </w:r>
          </w:p>
        </w:tc>
        <w:tc>
          <w:tcPr>
            <w:tcW w:w="956" w:type="dxa"/>
            <w:vAlign w:val="center"/>
          </w:tcPr>
          <w:p w:rsidR="00134B2C" w:rsidRPr="00214F35" w:rsidRDefault="00134B2C" w:rsidP="00FD47C7">
            <w:pPr>
              <w:jc w:val="center"/>
              <w:rPr>
                <w:rFonts w:ascii="Calibri" w:hAnsi="Calibri"/>
                <w:sz w:val="16"/>
                <w:szCs w:val="16"/>
              </w:rPr>
            </w:pPr>
            <w:r w:rsidRPr="00214F35">
              <w:rPr>
                <w:rFonts w:ascii="Calibri" w:hAnsi="Calibri"/>
                <w:sz w:val="16"/>
                <w:szCs w:val="16"/>
              </w:rPr>
              <w:t>7</w:t>
            </w:r>
          </w:p>
        </w:tc>
        <w:tc>
          <w:tcPr>
            <w:tcW w:w="887" w:type="dxa"/>
            <w:vAlign w:val="center"/>
          </w:tcPr>
          <w:p w:rsidR="00134B2C" w:rsidRPr="00214F35" w:rsidRDefault="00134B2C" w:rsidP="00FD47C7">
            <w:pPr>
              <w:jc w:val="center"/>
              <w:rPr>
                <w:rFonts w:ascii="Calibri" w:hAnsi="Calibri"/>
                <w:sz w:val="16"/>
                <w:szCs w:val="16"/>
              </w:rPr>
            </w:pPr>
            <w:r w:rsidRPr="00214F35">
              <w:rPr>
                <w:rFonts w:ascii="Calibri" w:hAnsi="Calibri"/>
                <w:sz w:val="16"/>
                <w:szCs w:val="16"/>
              </w:rPr>
              <w:t>8</w:t>
            </w:r>
          </w:p>
        </w:tc>
      </w:tr>
      <w:tr w:rsidR="00134B2C" w:rsidRPr="00214F35" w:rsidTr="00254A49">
        <w:tc>
          <w:tcPr>
            <w:tcW w:w="1418" w:type="dxa"/>
          </w:tcPr>
          <w:p w:rsidR="00134B2C" w:rsidRDefault="00134B2C" w:rsidP="00FD47C7">
            <w:pPr>
              <w:jc w:val="left"/>
              <w:rPr>
                <w:rFonts w:ascii="Calibri" w:hAnsi="Calibri"/>
                <w:sz w:val="16"/>
                <w:szCs w:val="16"/>
              </w:rPr>
            </w:pPr>
            <w:r w:rsidRPr="00214F35">
              <w:rPr>
                <w:rFonts w:ascii="Calibri" w:hAnsi="Calibri"/>
                <w:sz w:val="16"/>
                <w:szCs w:val="16"/>
              </w:rPr>
              <w:t>Konsystencja w pośrednich temperaturach eksploatacyjnych</w:t>
            </w:r>
          </w:p>
          <w:p w:rsidR="00141829" w:rsidRPr="00214F35" w:rsidRDefault="00141829" w:rsidP="00FD47C7">
            <w:pPr>
              <w:jc w:val="left"/>
              <w:rPr>
                <w:rFonts w:ascii="Calibri" w:hAnsi="Calibri"/>
                <w:sz w:val="16"/>
                <w:szCs w:val="16"/>
              </w:rPr>
            </w:pPr>
          </w:p>
        </w:tc>
        <w:tc>
          <w:tcPr>
            <w:tcW w:w="1134" w:type="dxa"/>
            <w:vAlign w:val="center"/>
          </w:tcPr>
          <w:p w:rsidR="00134B2C" w:rsidRPr="00214F35" w:rsidRDefault="00134B2C" w:rsidP="00FD47C7">
            <w:pPr>
              <w:rPr>
                <w:rFonts w:ascii="Calibri" w:hAnsi="Calibri"/>
                <w:sz w:val="16"/>
                <w:szCs w:val="16"/>
              </w:rPr>
            </w:pPr>
            <w:r w:rsidRPr="00214F35">
              <w:rPr>
                <w:rFonts w:ascii="Calibri" w:hAnsi="Calibri"/>
                <w:sz w:val="16"/>
                <w:szCs w:val="16"/>
              </w:rPr>
              <w:t xml:space="preserve">Penetracja </w:t>
            </w:r>
          </w:p>
          <w:p w:rsidR="00134B2C" w:rsidRPr="00214F35" w:rsidRDefault="00134B2C" w:rsidP="00FD47C7">
            <w:pPr>
              <w:rPr>
                <w:rFonts w:ascii="Calibri" w:hAnsi="Calibri"/>
                <w:sz w:val="16"/>
                <w:szCs w:val="16"/>
              </w:rPr>
            </w:pPr>
            <w:r w:rsidRPr="00214F35">
              <w:rPr>
                <w:rFonts w:ascii="Calibri" w:hAnsi="Calibri"/>
                <w:sz w:val="16"/>
                <w:szCs w:val="16"/>
              </w:rPr>
              <w:t xml:space="preserve">w </w:t>
            </w:r>
            <w:smartTag w:uri="urn:schemas-microsoft-com:office:smarttags" w:element="metricconverter">
              <w:smartTagPr>
                <w:attr w:name="ProductID" w:val="25ﾰC"/>
              </w:smartTagPr>
              <w:r w:rsidRPr="00214F35">
                <w:rPr>
                  <w:rFonts w:ascii="Calibri" w:hAnsi="Calibri"/>
                  <w:sz w:val="16"/>
                  <w:szCs w:val="16"/>
                </w:rPr>
                <w:t>25°C</w:t>
              </w:r>
            </w:smartTag>
          </w:p>
        </w:tc>
        <w:tc>
          <w:tcPr>
            <w:tcW w:w="850" w:type="dxa"/>
            <w:vAlign w:val="center"/>
          </w:tcPr>
          <w:p w:rsidR="00134B2C" w:rsidRPr="00214F35" w:rsidRDefault="00134B2C" w:rsidP="00FD47C7">
            <w:pPr>
              <w:tabs>
                <w:tab w:val="left" w:pos="285"/>
              </w:tabs>
              <w:jc w:val="center"/>
              <w:rPr>
                <w:rFonts w:ascii="Calibri" w:hAnsi="Calibri"/>
                <w:sz w:val="16"/>
                <w:szCs w:val="16"/>
              </w:rPr>
            </w:pPr>
            <w:r w:rsidRPr="00214F35">
              <w:rPr>
                <w:rFonts w:ascii="Calibri" w:hAnsi="Calibri"/>
                <w:sz w:val="16"/>
                <w:szCs w:val="16"/>
              </w:rPr>
              <w:t>PN-EN 1426 [21]</w:t>
            </w:r>
          </w:p>
        </w:tc>
        <w:tc>
          <w:tcPr>
            <w:tcW w:w="709" w:type="dxa"/>
            <w:vAlign w:val="center"/>
          </w:tcPr>
          <w:p w:rsidR="00134B2C" w:rsidRPr="00214F35" w:rsidRDefault="00134B2C" w:rsidP="00FD47C7">
            <w:pPr>
              <w:jc w:val="center"/>
              <w:rPr>
                <w:rFonts w:ascii="Calibri" w:hAnsi="Calibri"/>
                <w:sz w:val="16"/>
                <w:szCs w:val="16"/>
              </w:rPr>
            </w:pPr>
            <w:smartTag w:uri="urn:schemas-microsoft-com:office:smarttags" w:element="metricconverter">
              <w:smartTagPr>
                <w:attr w:name="ProductID" w:val="0,1 mm"/>
              </w:smartTagPr>
              <w:r w:rsidRPr="00214F35">
                <w:rPr>
                  <w:rFonts w:ascii="Calibri" w:hAnsi="Calibri"/>
                  <w:sz w:val="16"/>
                  <w:szCs w:val="16"/>
                </w:rPr>
                <w:t>0,1 mm</w:t>
              </w:r>
            </w:smartTag>
          </w:p>
        </w:tc>
        <w:tc>
          <w:tcPr>
            <w:tcW w:w="992" w:type="dxa"/>
            <w:vAlign w:val="center"/>
          </w:tcPr>
          <w:p w:rsidR="00134B2C" w:rsidRPr="00214F35" w:rsidRDefault="00134B2C" w:rsidP="00FD47C7">
            <w:pPr>
              <w:jc w:val="center"/>
              <w:rPr>
                <w:rFonts w:ascii="Calibri" w:hAnsi="Calibri"/>
                <w:sz w:val="16"/>
                <w:szCs w:val="16"/>
              </w:rPr>
            </w:pPr>
            <w:r w:rsidRPr="00214F35">
              <w:rPr>
                <w:rFonts w:ascii="Calibri" w:hAnsi="Calibri"/>
                <w:sz w:val="16"/>
                <w:szCs w:val="16"/>
              </w:rPr>
              <w:t>45-80</w:t>
            </w:r>
          </w:p>
        </w:tc>
        <w:tc>
          <w:tcPr>
            <w:tcW w:w="709" w:type="dxa"/>
            <w:vAlign w:val="center"/>
          </w:tcPr>
          <w:p w:rsidR="00134B2C" w:rsidRPr="00214F35" w:rsidRDefault="00134B2C" w:rsidP="00FD47C7">
            <w:pPr>
              <w:jc w:val="center"/>
              <w:rPr>
                <w:rFonts w:ascii="Calibri" w:hAnsi="Calibri"/>
                <w:sz w:val="16"/>
                <w:szCs w:val="16"/>
              </w:rPr>
            </w:pPr>
            <w:r w:rsidRPr="00214F35">
              <w:rPr>
                <w:rFonts w:ascii="Calibri" w:hAnsi="Calibri"/>
                <w:sz w:val="16"/>
                <w:szCs w:val="16"/>
              </w:rPr>
              <w:t>4</w:t>
            </w:r>
          </w:p>
        </w:tc>
        <w:tc>
          <w:tcPr>
            <w:tcW w:w="956" w:type="dxa"/>
            <w:vAlign w:val="center"/>
          </w:tcPr>
          <w:p w:rsidR="00134B2C" w:rsidRPr="00214F35" w:rsidRDefault="00134B2C" w:rsidP="00FD47C7">
            <w:pPr>
              <w:jc w:val="center"/>
              <w:rPr>
                <w:rFonts w:ascii="Calibri" w:hAnsi="Calibri"/>
                <w:sz w:val="16"/>
                <w:szCs w:val="16"/>
              </w:rPr>
            </w:pPr>
            <w:r w:rsidRPr="00214F35">
              <w:rPr>
                <w:rFonts w:ascii="Calibri" w:hAnsi="Calibri"/>
                <w:sz w:val="16"/>
                <w:szCs w:val="16"/>
              </w:rPr>
              <w:t>45-80</w:t>
            </w:r>
          </w:p>
        </w:tc>
        <w:tc>
          <w:tcPr>
            <w:tcW w:w="887" w:type="dxa"/>
            <w:vAlign w:val="center"/>
          </w:tcPr>
          <w:p w:rsidR="00134B2C" w:rsidRPr="00214F35" w:rsidRDefault="00134B2C" w:rsidP="00FD47C7">
            <w:pPr>
              <w:jc w:val="center"/>
              <w:rPr>
                <w:rFonts w:ascii="Calibri" w:hAnsi="Calibri"/>
                <w:sz w:val="16"/>
                <w:szCs w:val="16"/>
              </w:rPr>
            </w:pPr>
            <w:r w:rsidRPr="00214F35">
              <w:rPr>
                <w:rFonts w:ascii="Calibri" w:hAnsi="Calibri"/>
                <w:sz w:val="16"/>
                <w:szCs w:val="16"/>
              </w:rPr>
              <w:t>4</w:t>
            </w:r>
          </w:p>
        </w:tc>
      </w:tr>
      <w:tr w:rsidR="00134B2C" w:rsidRPr="00214F35" w:rsidTr="00254A49">
        <w:tc>
          <w:tcPr>
            <w:tcW w:w="1418" w:type="dxa"/>
          </w:tcPr>
          <w:p w:rsidR="00134B2C" w:rsidRDefault="00134B2C" w:rsidP="00FD47C7">
            <w:pPr>
              <w:jc w:val="left"/>
              <w:rPr>
                <w:rFonts w:ascii="Calibri" w:hAnsi="Calibri"/>
                <w:sz w:val="16"/>
                <w:szCs w:val="16"/>
              </w:rPr>
            </w:pPr>
            <w:r w:rsidRPr="00214F35">
              <w:rPr>
                <w:rFonts w:ascii="Calibri" w:hAnsi="Calibri"/>
                <w:sz w:val="16"/>
                <w:szCs w:val="16"/>
              </w:rPr>
              <w:t>Konsystencja  w wysokich  temperaturach eksploatacyjnych</w:t>
            </w:r>
          </w:p>
          <w:p w:rsidR="00141829" w:rsidRPr="00214F35" w:rsidRDefault="00141829" w:rsidP="00FD47C7">
            <w:pPr>
              <w:jc w:val="left"/>
              <w:rPr>
                <w:rFonts w:ascii="Calibri" w:hAnsi="Calibri"/>
                <w:sz w:val="16"/>
                <w:szCs w:val="16"/>
              </w:rPr>
            </w:pPr>
          </w:p>
        </w:tc>
        <w:tc>
          <w:tcPr>
            <w:tcW w:w="1134" w:type="dxa"/>
            <w:vAlign w:val="center"/>
          </w:tcPr>
          <w:p w:rsidR="00134B2C" w:rsidRPr="00214F35" w:rsidRDefault="00134B2C" w:rsidP="00FD47C7">
            <w:pPr>
              <w:rPr>
                <w:rFonts w:ascii="Calibri" w:hAnsi="Calibri"/>
                <w:sz w:val="16"/>
                <w:szCs w:val="16"/>
              </w:rPr>
            </w:pPr>
            <w:r w:rsidRPr="00214F35">
              <w:rPr>
                <w:rFonts w:ascii="Calibri" w:hAnsi="Calibri"/>
                <w:sz w:val="16"/>
                <w:szCs w:val="16"/>
              </w:rPr>
              <w:t>Temperatura mięknienia</w:t>
            </w:r>
          </w:p>
        </w:tc>
        <w:tc>
          <w:tcPr>
            <w:tcW w:w="850" w:type="dxa"/>
            <w:vAlign w:val="center"/>
          </w:tcPr>
          <w:p w:rsidR="00134B2C" w:rsidRPr="00214F35" w:rsidRDefault="00134B2C" w:rsidP="00FD47C7">
            <w:pPr>
              <w:jc w:val="center"/>
              <w:rPr>
                <w:rFonts w:ascii="Calibri" w:hAnsi="Calibri"/>
                <w:sz w:val="16"/>
                <w:szCs w:val="16"/>
              </w:rPr>
            </w:pPr>
            <w:r w:rsidRPr="00214F35">
              <w:rPr>
                <w:rFonts w:ascii="Calibri" w:hAnsi="Calibri"/>
                <w:sz w:val="16"/>
                <w:szCs w:val="16"/>
              </w:rPr>
              <w:t>PN-EN 1427 [22]</w:t>
            </w:r>
          </w:p>
        </w:tc>
        <w:tc>
          <w:tcPr>
            <w:tcW w:w="709" w:type="dxa"/>
            <w:vAlign w:val="center"/>
          </w:tcPr>
          <w:p w:rsidR="00134B2C" w:rsidRPr="00214F35" w:rsidRDefault="00134B2C" w:rsidP="00FD47C7">
            <w:pPr>
              <w:jc w:val="center"/>
              <w:rPr>
                <w:rFonts w:ascii="Calibri" w:hAnsi="Calibri"/>
                <w:sz w:val="16"/>
                <w:szCs w:val="16"/>
              </w:rPr>
            </w:pPr>
            <w:r w:rsidRPr="00214F35">
              <w:rPr>
                <w:rFonts w:ascii="Calibri" w:hAnsi="Calibri"/>
                <w:sz w:val="16"/>
                <w:szCs w:val="16"/>
              </w:rPr>
              <w:t>°C</w:t>
            </w:r>
          </w:p>
        </w:tc>
        <w:tc>
          <w:tcPr>
            <w:tcW w:w="992" w:type="dxa"/>
            <w:vAlign w:val="center"/>
          </w:tcPr>
          <w:p w:rsidR="00134B2C" w:rsidRPr="00214F35" w:rsidRDefault="00134B2C" w:rsidP="00FD47C7">
            <w:pPr>
              <w:jc w:val="center"/>
              <w:rPr>
                <w:rFonts w:ascii="Calibri" w:hAnsi="Calibri"/>
                <w:sz w:val="16"/>
                <w:szCs w:val="16"/>
              </w:rPr>
            </w:pPr>
            <w:r w:rsidRPr="00214F35">
              <w:rPr>
                <w:rFonts w:ascii="Calibri" w:hAnsi="Calibri"/>
                <w:sz w:val="16"/>
                <w:szCs w:val="16"/>
              </w:rPr>
              <w:t>≥ 55</w:t>
            </w:r>
          </w:p>
        </w:tc>
        <w:tc>
          <w:tcPr>
            <w:tcW w:w="709" w:type="dxa"/>
            <w:vAlign w:val="center"/>
          </w:tcPr>
          <w:p w:rsidR="00134B2C" w:rsidRPr="00214F35" w:rsidRDefault="00134B2C" w:rsidP="00FD47C7">
            <w:pPr>
              <w:jc w:val="center"/>
              <w:rPr>
                <w:rFonts w:ascii="Calibri" w:hAnsi="Calibri"/>
                <w:sz w:val="16"/>
                <w:szCs w:val="16"/>
              </w:rPr>
            </w:pPr>
            <w:r w:rsidRPr="00214F35">
              <w:rPr>
                <w:rFonts w:ascii="Calibri" w:hAnsi="Calibri"/>
                <w:sz w:val="16"/>
                <w:szCs w:val="16"/>
              </w:rPr>
              <w:t>7</w:t>
            </w:r>
          </w:p>
        </w:tc>
        <w:tc>
          <w:tcPr>
            <w:tcW w:w="956" w:type="dxa"/>
            <w:vAlign w:val="center"/>
          </w:tcPr>
          <w:p w:rsidR="00134B2C" w:rsidRPr="00214F35" w:rsidRDefault="00134B2C" w:rsidP="00FD47C7">
            <w:pPr>
              <w:jc w:val="center"/>
              <w:rPr>
                <w:rFonts w:ascii="Calibri" w:hAnsi="Calibri"/>
                <w:sz w:val="16"/>
                <w:szCs w:val="16"/>
              </w:rPr>
            </w:pPr>
            <w:r w:rsidRPr="00214F35">
              <w:rPr>
                <w:rFonts w:ascii="Calibri" w:hAnsi="Calibri"/>
                <w:sz w:val="16"/>
                <w:szCs w:val="16"/>
              </w:rPr>
              <w:t>≥ 65</w:t>
            </w:r>
          </w:p>
        </w:tc>
        <w:tc>
          <w:tcPr>
            <w:tcW w:w="887" w:type="dxa"/>
            <w:vAlign w:val="center"/>
          </w:tcPr>
          <w:p w:rsidR="00134B2C" w:rsidRPr="00214F35" w:rsidRDefault="00134B2C" w:rsidP="00FD47C7">
            <w:pPr>
              <w:jc w:val="center"/>
              <w:rPr>
                <w:rFonts w:ascii="Calibri" w:hAnsi="Calibri"/>
                <w:sz w:val="16"/>
                <w:szCs w:val="16"/>
              </w:rPr>
            </w:pPr>
            <w:r w:rsidRPr="00214F35">
              <w:rPr>
                <w:rFonts w:ascii="Calibri" w:hAnsi="Calibri"/>
                <w:sz w:val="16"/>
                <w:szCs w:val="16"/>
              </w:rPr>
              <w:t>5</w:t>
            </w:r>
          </w:p>
        </w:tc>
      </w:tr>
      <w:tr w:rsidR="00134B2C" w:rsidRPr="00214F35" w:rsidTr="00254A49">
        <w:tc>
          <w:tcPr>
            <w:tcW w:w="1418" w:type="dxa"/>
            <w:vMerge w:val="restart"/>
            <w:vAlign w:val="center"/>
          </w:tcPr>
          <w:p w:rsidR="00134B2C" w:rsidRPr="00214F35" w:rsidRDefault="00134B2C" w:rsidP="00FD47C7">
            <w:pPr>
              <w:rPr>
                <w:rFonts w:ascii="Calibri" w:hAnsi="Calibri"/>
                <w:sz w:val="16"/>
                <w:szCs w:val="16"/>
              </w:rPr>
            </w:pPr>
            <w:r w:rsidRPr="00214F35">
              <w:rPr>
                <w:rFonts w:ascii="Calibri" w:hAnsi="Calibri"/>
                <w:sz w:val="16"/>
                <w:szCs w:val="16"/>
              </w:rPr>
              <w:t>Kohezja</w:t>
            </w:r>
          </w:p>
        </w:tc>
        <w:tc>
          <w:tcPr>
            <w:tcW w:w="1134" w:type="dxa"/>
            <w:vAlign w:val="center"/>
          </w:tcPr>
          <w:p w:rsidR="00134B2C" w:rsidRPr="00214F35" w:rsidRDefault="00134B2C" w:rsidP="00FD47C7">
            <w:pPr>
              <w:rPr>
                <w:rFonts w:ascii="Calibri" w:hAnsi="Calibri"/>
                <w:sz w:val="16"/>
                <w:szCs w:val="16"/>
              </w:rPr>
            </w:pPr>
            <w:r w:rsidRPr="00214F35">
              <w:rPr>
                <w:rFonts w:ascii="Calibri" w:hAnsi="Calibri"/>
                <w:sz w:val="16"/>
                <w:szCs w:val="16"/>
              </w:rPr>
              <w:t>Siła rozciągania (mała prędkość rozciągania)</w:t>
            </w:r>
          </w:p>
        </w:tc>
        <w:tc>
          <w:tcPr>
            <w:tcW w:w="850" w:type="dxa"/>
            <w:vAlign w:val="center"/>
          </w:tcPr>
          <w:p w:rsidR="00134B2C" w:rsidRPr="00214F35" w:rsidRDefault="00134B2C" w:rsidP="00FD47C7">
            <w:pPr>
              <w:jc w:val="center"/>
              <w:rPr>
                <w:rFonts w:ascii="Calibri" w:hAnsi="Calibri"/>
                <w:sz w:val="16"/>
                <w:szCs w:val="16"/>
              </w:rPr>
            </w:pPr>
            <w:r w:rsidRPr="00214F35">
              <w:rPr>
                <w:rFonts w:ascii="Calibri" w:hAnsi="Calibri"/>
                <w:sz w:val="16"/>
                <w:szCs w:val="16"/>
              </w:rPr>
              <w:t>PN-EN 13589 [55]</w:t>
            </w:r>
          </w:p>
          <w:p w:rsidR="00134B2C" w:rsidRPr="00214F35" w:rsidRDefault="00134B2C" w:rsidP="00FD47C7">
            <w:pPr>
              <w:jc w:val="center"/>
              <w:rPr>
                <w:rFonts w:ascii="Calibri" w:hAnsi="Calibri"/>
                <w:sz w:val="16"/>
                <w:szCs w:val="16"/>
              </w:rPr>
            </w:pPr>
            <w:r w:rsidRPr="00214F35">
              <w:rPr>
                <w:rFonts w:ascii="Calibri" w:hAnsi="Calibri"/>
                <w:sz w:val="16"/>
                <w:szCs w:val="16"/>
              </w:rPr>
              <w:t>PN-EN 13703 [57]</w:t>
            </w:r>
          </w:p>
        </w:tc>
        <w:tc>
          <w:tcPr>
            <w:tcW w:w="709" w:type="dxa"/>
            <w:vAlign w:val="center"/>
          </w:tcPr>
          <w:p w:rsidR="00134B2C" w:rsidRPr="00214F35" w:rsidRDefault="00134B2C" w:rsidP="00FD47C7">
            <w:pPr>
              <w:jc w:val="center"/>
              <w:rPr>
                <w:rFonts w:ascii="Calibri" w:hAnsi="Calibri"/>
                <w:sz w:val="16"/>
                <w:szCs w:val="16"/>
              </w:rPr>
            </w:pPr>
            <w:r w:rsidRPr="00214F35">
              <w:rPr>
                <w:rFonts w:ascii="Calibri" w:hAnsi="Calibri"/>
                <w:sz w:val="16"/>
                <w:szCs w:val="16"/>
              </w:rPr>
              <w:t>J/cm</w:t>
            </w:r>
            <w:r w:rsidRPr="00214F35">
              <w:rPr>
                <w:rFonts w:ascii="Calibri" w:hAnsi="Calibri"/>
                <w:sz w:val="16"/>
                <w:szCs w:val="16"/>
                <w:vertAlign w:val="superscript"/>
              </w:rPr>
              <w:t>2</w:t>
            </w:r>
          </w:p>
        </w:tc>
        <w:tc>
          <w:tcPr>
            <w:tcW w:w="992" w:type="dxa"/>
            <w:vAlign w:val="center"/>
          </w:tcPr>
          <w:p w:rsidR="00134B2C" w:rsidRPr="00214F35" w:rsidRDefault="00134B2C" w:rsidP="00FD47C7">
            <w:pPr>
              <w:jc w:val="center"/>
              <w:rPr>
                <w:rFonts w:ascii="Calibri" w:hAnsi="Calibri"/>
                <w:sz w:val="16"/>
                <w:szCs w:val="16"/>
              </w:rPr>
            </w:pPr>
            <w:r w:rsidRPr="00214F35">
              <w:rPr>
                <w:rFonts w:ascii="Calibri" w:hAnsi="Calibri"/>
                <w:sz w:val="16"/>
                <w:szCs w:val="16"/>
              </w:rPr>
              <w:t xml:space="preserve">≥ 1 w </w:t>
            </w:r>
            <w:smartTag w:uri="urn:schemas-microsoft-com:office:smarttags" w:element="metricconverter">
              <w:smartTagPr>
                <w:attr w:name="ProductID" w:val="5ﾰC"/>
              </w:smartTagPr>
              <w:r w:rsidRPr="00214F35">
                <w:rPr>
                  <w:rFonts w:ascii="Calibri" w:hAnsi="Calibri"/>
                  <w:sz w:val="16"/>
                  <w:szCs w:val="16"/>
                </w:rPr>
                <w:t>5°C</w:t>
              </w:r>
            </w:smartTag>
          </w:p>
        </w:tc>
        <w:tc>
          <w:tcPr>
            <w:tcW w:w="709" w:type="dxa"/>
            <w:vAlign w:val="center"/>
          </w:tcPr>
          <w:p w:rsidR="00134B2C" w:rsidRPr="00214F35" w:rsidRDefault="00134B2C" w:rsidP="00FD47C7">
            <w:pPr>
              <w:jc w:val="center"/>
              <w:rPr>
                <w:rFonts w:ascii="Calibri" w:hAnsi="Calibri"/>
                <w:sz w:val="16"/>
                <w:szCs w:val="16"/>
              </w:rPr>
            </w:pPr>
            <w:r w:rsidRPr="00214F35">
              <w:rPr>
                <w:rFonts w:ascii="Calibri" w:hAnsi="Calibri"/>
                <w:sz w:val="16"/>
                <w:szCs w:val="16"/>
              </w:rPr>
              <w:t>4</w:t>
            </w:r>
          </w:p>
        </w:tc>
        <w:tc>
          <w:tcPr>
            <w:tcW w:w="956" w:type="dxa"/>
            <w:vAlign w:val="center"/>
          </w:tcPr>
          <w:p w:rsidR="00134B2C" w:rsidRPr="00214F35" w:rsidRDefault="00134B2C" w:rsidP="00FD47C7">
            <w:pPr>
              <w:jc w:val="center"/>
              <w:rPr>
                <w:rFonts w:ascii="Calibri" w:hAnsi="Calibri"/>
                <w:sz w:val="16"/>
                <w:szCs w:val="16"/>
              </w:rPr>
            </w:pPr>
            <w:r w:rsidRPr="00214F35">
              <w:rPr>
                <w:rFonts w:ascii="Calibri" w:hAnsi="Calibri"/>
                <w:sz w:val="16"/>
                <w:szCs w:val="16"/>
              </w:rPr>
              <w:t xml:space="preserve">≥2 w </w:t>
            </w:r>
            <w:smartTag w:uri="urn:schemas-microsoft-com:office:smarttags" w:element="metricconverter">
              <w:smartTagPr>
                <w:attr w:name="ProductID" w:val="5ﾰC"/>
              </w:smartTagPr>
              <w:r w:rsidRPr="00214F35">
                <w:rPr>
                  <w:rFonts w:ascii="Calibri" w:hAnsi="Calibri"/>
                  <w:sz w:val="16"/>
                  <w:szCs w:val="16"/>
                </w:rPr>
                <w:t>5°C</w:t>
              </w:r>
            </w:smartTag>
          </w:p>
        </w:tc>
        <w:tc>
          <w:tcPr>
            <w:tcW w:w="887" w:type="dxa"/>
            <w:tcBorders>
              <w:right w:val="single" w:sz="4" w:space="0" w:color="auto"/>
            </w:tcBorders>
            <w:vAlign w:val="center"/>
          </w:tcPr>
          <w:p w:rsidR="00134B2C" w:rsidRPr="00214F35" w:rsidRDefault="00134B2C" w:rsidP="00FD47C7">
            <w:pPr>
              <w:jc w:val="center"/>
              <w:rPr>
                <w:rFonts w:ascii="Calibri" w:hAnsi="Calibri"/>
                <w:sz w:val="16"/>
                <w:szCs w:val="16"/>
              </w:rPr>
            </w:pPr>
            <w:r w:rsidRPr="00214F35">
              <w:rPr>
                <w:rFonts w:ascii="Calibri" w:hAnsi="Calibri"/>
                <w:sz w:val="16"/>
                <w:szCs w:val="16"/>
              </w:rPr>
              <w:t>3</w:t>
            </w:r>
          </w:p>
        </w:tc>
      </w:tr>
      <w:tr w:rsidR="00134B2C" w:rsidRPr="00214F35" w:rsidTr="00254A49">
        <w:tc>
          <w:tcPr>
            <w:tcW w:w="1418" w:type="dxa"/>
            <w:vMerge/>
          </w:tcPr>
          <w:p w:rsidR="00134B2C" w:rsidRPr="00214F35" w:rsidRDefault="00134B2C" w:rsidP="00FD47C7">
            <w:pPr>
              <w:rPr>
                <w:rFonts w:ascii="Calibri" w:hAnsi="Calibri"/>
                <w:sz w:val="16"/>
                <w:szCs w:val="16"/>
              </w:rPr>
            </w:pPr>
          </w:p>
        </w:tc>
        <w:tc>
          <w:tcPr>
            <w:tcW w:w="1134" w:type="dxa"/>
            <w:vAlign w:val="center"/>
          </w:tcPr>
          <w:p w:rsidR="00134B2C" w:rsidRPr="00214F35" w:rsidRDefault="00134B2C" w:rsidP="00FD47C7">
            <w:pPr>
              <w:jc w:val="left"/>
              <w:rPr>
                <w:rFonts w:ascii="Calibri" w:hAnsi="Calibri"/>
                <w:sz w:val="16"/>
                <w:szCs w:val="16"/>
              </w:rPr>
            </w:pPr>
            <w:r w:rsidRPr="00214F35">
              <w:rPr>
                <w:rFonts w:ascii="Calibri" w:hAnsi="Calibri"/>
                <w:sz w:val="16"/>
                <w:szCs w:val="16"/>
              </w:rPr>
              <w:t>Siła rozciągania w 5°C (duża prędkość rozciągania)</w:t>
            </w:r>
          </w:p>
        </w:tc>
        <w:tc>
          <w:tcPr>
            <w:tcW w:w="850" w:type="dxa"/>
            <w:vAlign w:val="center"/>
          </w:tcPr>
          <w:p w:rsidR="00134B2C" w:rsidRPr="00214F35" w:rsidRDefault="00134B2C" w:rsidP="00FD47C7">
            <w:pPr>
              <w:jc w:val="center"/>
              <w:rPr>
                <w:rFonts w:ascii="Calibri" w:hAnsi="Calibri"/>
                <w:sz w:val="16"/>
                <w:szCs w:val="16"/>
              </w:rPr>
            </w:pPr>
            <w:r w:rsidRPr="00214F35">
              <w:rPr>
                <w:rFonts w:ascii="Calibri" w:hAnsi="Calibri"/>
                <w:sz w:val="16"/>
                <w:szCs w:val="16"/>
              </w:rPr>
              <w:t>PN-EN 13587 [53]</w:t>
            </w:r>
          </w:p>
          <w:p w:rsidR="00134B2C" w:rsidRPr="00214F35" w:rsidRDefault="00134B2C" w:rsidP="00FD47C7">
            <w:pPr>
              <w:jc w:val="center"/>
              <w:rPr>
                <w:rFonts w:ascii="Calibri" w:hAnsi="Calibri"/>
                <w:sz w:val="16"/>
                <w:szCs w:val="16"/>
              </w:rPr>
            </w:pPr>
            <w:r w:rsidRPr="00214F35">
              <w:rPr>
                <w:rFonts w:ascii="Calibri" w:hAnsi="Calibri"/>
                <w:sz w:val="16"/>
                <w:szCs w:val="16"/>
              </w:rPr>
              <w:t>PN-EN 13703 [57]</w:t>
            </w:r>
          </w:p>
        </w:tc>
        <w:tc>
          <w:tcPr>
            <w:tcW w:w="709" w:type="dxa"/>
            <w:vAlign w:val="center"/>
          </w:tcPr>
          <w:p w:rsidR="00134B2C" w:rsidRPr="00214F35" w:rsidRDefault="00134B2C" w:rsidP="00FD47C7">
            <w:pPr>
              <w:jc w:val="center"/>
              <w:rPr>
                <w:rFonts w:ascii="Calibri" w:hAnsi="Calibri"/>
                <w:sz w:val="16"/>
                <w:szCs w:val="16"/>
              </w:rPr>
            </w:pPr>
            <w:r w:rsidRPr="00214F35">
              <w:rPr>
                <w:rFonts w:ascii="Calibri" w:hAnsi="Calibri"/>
                <w:sz w:val="16"/>
                <w:szCs w:val="16"/>
              </w:rPr>
              <w:t>J/cm</w:t>
            </w:r>
            <w:r w:rsidRPr="00214F35">
              <w:rPr>
                <w:rFonts w:ascii="Calibri" w:hAnsi="Calibri"/>
                <w:sz w:val="16"/>
                <w:szCs w:val="16"/>
                <w:vertAlign w:val="superscript"/>
              </w:rPr>
              <w:t>2</w:t>
            </w:r>
          </w:p>
        </w:tc>
        <w:tc>
          <w:tcPr>
            <w:tcW w:w="992" w:type="dxa"/>
            <w:vAlign w:val="center"/>
          </w:tcPr>
          <w:p w:rsidR="00134B2C" w:rsidRPr="00214F35" w:rsidRDefault="00134B2C" w:rsidP="00FD47C7">
            <w:pPr>
              <w:jc w:val="center"/>
              <w:rPr>
                <w:rFonts w:ascii="Calibri" w:hAnsi="Calibri"/>
                <w:sz w:val="16"/>
                <w:szCs w:val="16"/>
                <w:vertAlign w:val="superscript"/>
              </w:rPr>
            </w:pPr>
            <w:r w:rsidRPr="00214F35">
              <w:rPr>
                <w:rFonts w:ascii="Calibri" w:hAnsi="Calibri"/>
                <w:sz w:val="16"/>
                <w:szCs w:val="16"/>
              </w:rPr>
              <w:t>NPD</w:t>
            </w:r>
            <w:r w:rsidRPr="00214F35">
              <w:rPr>
                <w:rFonts w:ascii="Calibri" w:hAnsi="Calibri"/>
                <w:sz w:val="16"/>
                <w:szCs w:val="16"/>
                <w:vertAlign w:val="superscript"/>
              </w:rPr>
              <w:t>a</w:t>
            </w:r>
          </w:p>
        </w:tc>
        <w:tc>
          <w:tcPr>
            <w:tcW w:w="709" w:type="dxa"/>
            <w:vAlign w:val="center"/>
          </w:tcPr>
          <w:p w:rsidR="00134B2C" w:rsidRPr="00214F35" w:rsidRDefault="00134B2C" w:rsidP="00FD47C7">
            <w:pPr>
              <w:jc w:val="center"/>
              <w:rPr>
                <w:rFonts w:ascii="Calibri" w:hAnsi="Calibri"/>
                <w:sz w:val="16"/>
                <w:szCs w:val="16"/>
              </w:rPr>
            </w:pPr>
            <w:r w:rsidRPr="00214F35">
              <w:rPr>
                <w:rFonts w:ascii="Calibri" w:hAnsi="Calibri"/>
                <w:sz w:val="16"/>
                <w:szCs w:val="16"/>
              </w:rPr>
              <w:t>0</w:t>
            </w:r>
          </w:p>
        </w:tc>
        <w:tc>
          <w:tcPr>
            <w:tcW w:w="956" w:type="dxa"/>
            <w:vAlign w:val="center"/>
          </w:tcPr>
          <w:p w:rsidR="00134B2C" w:rsidRPr="00214F35" w:rsidRDefault="00134B2C" w:rsidP="00FD47C7">
            <w:pPr>
              <w:jc w:val="center"/>
              <w:rPr>
                <w:rFonts w:ascii="Calibri" w:hAnsi="Calibri"/>
                <w:sz w:val="16"/>
                <w:szCs w:val="16"/>
              </w:rPr>
            </w:pPr>
            <w:r w:rsidRPr="00214F35">
              <w:rPr>
                <w:rFonts w:ascii="Calibri" w:hAnsi="Calibri"/>
                <w:sz w:val="16"/>
                <w:szCs w:val="16"/>
              </w:rPr>
              <w:t>NPD</w:t>
            </w:r>
            <w:r w:rsidRPr="00214F35">
              <w:rPr>
                <w:rFonts w:ascii="Calibri" w:hAnsi="Calibri"/>
                <w:sz w:val="16"/>
                <w:szCs w:val="16"/>
                <w:vertAlign w:val="superscript"/>
              </w:rPr>
              <w:t>a</w:t>
            </w:r>
          </w:p>
        </w:tc>
        <w:tc>
          <w:tcPr>
            <w:tcW w:w="887" w:type="dxa"/>
            <w:vAlign w:val="center"/>
          </w:tcPr>
          <w:p w:rsidR="00134B2C" w:rsidRPr="00214F35" w:rsidRDefault="00134B2C" w:rsidP="00FD47C7">
            <w:pPr>
              <w:jc w:val="center"/>
              <w:rPr>
                <w:rFonts w:ascii="Calibri" w:hAnsi="Calibri"/>
                <w:sz w:val="16"/>
                <w:szCs w:val="16"/>
              </w:rPr>
            </w:pPr>
            <w:r w:rsidRPr="00214F35">
              <w:rPr>
                <w:rFonts w:ascii="Calibri" w:hAnsi="Calibri"/>
                <w:sz w:val="16"/>
                <w:szCs w:val="16"/>
              </w:rPr>
              <w:t>0</w:t>
            </w:r>
          </w:p>
        </w:tc>
      </w:tr>
      <w:tr w:rsidR="00134B2C" w:rsidRPr="00214F35" w:rsidTr="00254A49">
        <w:tc>
          <w:tcPr>
            <w:tcW w:w="1418" w:type="dxa"/>
            <w:vMerge/>
          </w:tcPr>
          <w:p w:rsidR="00134B2C" w:rsidRPr="00214F35" w:rsidRDefault="00134B2C" w:rsidP="00FD47C7">
            <w:pPr>
              <w:rPr>
                <w:rFonts w:ascii="Calibri" w:hAnsi="Calibri"/>
                <w:sz w:val="16"/>
                <w:szCs w:val="16"/>
              </w:rPr>
            </w:pPr>
          </w:p>
        </w:tc>
        <w:tc>
          <w:tcPr>
            <w:tcW w:w="1134" w:type="dxa"/>
            <w:vAlign w:val="center"/>
          </w:tcPr>
          <w:p w:rsidR="00134B2C" w:rsidRPr="00214F35" w:rsidRDefault="00134B2C" w:rsidP="00FD47C7">
            <w:pPr>
              <w:jc w:val="left"/>
              <w:rPr>
                <w:rFonts w:ascii="Calibri" w:hAnsi="Calibri"/>
                <w:sz w:val="16"/>
                <w:szCs w:val="16"/>
              </w:rPr>
            </w:pPr>
            <w:r w:rsidRPr="00214F35">
              <w:rPr>
                <w:rFonts w:ascii="Calibri" w:hAnsi="Calibri"/>
                <w:sz w:val="16"/>
                <w:szCs w:val="16"/>
              </w:rPr>
              <w:t>Wahadło Vialit (metoda uderzenia)</w:t>
            </w:r>
          </w:p>
        </w:tc>
        <w:tc>
          <w:tcPr>
            <w:tcW w:w="850" w:type="dxa"/>
            <w:vAlign w:val="center"/>
          </w:tcPr>
          <w:p w:rsidR="00134B2C" w:rsidRPr="00214F35" w:rsidRDefault="00134B2C" w:rsidP="00FD47C7">
            <w:pPr>
              <w:jc w:val="center"/>
              <w:rPr>
                <w:rFonts w:ascii="Calibri" w:hAnsi="Calibri"/>
                <w:sz w:val="16"/>
                <w:szCs w:val="16"/>
              </w:rPr>
            </w:pPr>
            <w:r w:rsidRPr="00214F35">
              <w:rPr>
                <w:rFonts w:ascii="Calibri" w:hAnsi="Calibri"/>
                <w:sz w:val="16"/>
                <w:szCs w:val="16"/>
              </w:rPr>
              <w:t>PN-EN 13588 [54]</w:t>
            </w:r>
          </w:p>
        </w:tc>
        <w:tc>
          <w:tcPr>
            <w:tcW w:w="709" w:type="dxa"/>
            <w:vAlign w:val="center"/>
          </w:tcPr>
          <w:p w:rsidR="00134B2C" w:rsidRPr="00214F35" w:rsidRDefault="00134B2C" w:rsidP="00FD47C7">
            <w:pPr>
              <w:jc w:val="center"/>
              <w:rPr>
                <w:rFonts w:ascii="Calibri" w:hAnsi="Calibri"/>
                <w:sz w:val="16"/>
                <w:szCs w:val="16"/>
              </w:rPr>
            </w:pPr>
            <w:r w:rsidRPr="00214F35">
              <w:rPr>
                <w:rFonts w:ascii="Calibri" w:hAnsi="Calibri"/>
                <w:sz w:val="16"/>
                <w:szCs w:val="16"/>
              </w:rPr>
              <w:t>J/cm</w:t>
            </w:r>
            <w:r w:rsidRPr="00214F35">
              <w:rPr>
                <w:rFonts w:ascii="Calibri" w:hAnsi="Calibri"/>
                <w:sz w:val="16"/>
                <w:szCs w:val="16"/>
                <w:vertAlign w:val="superscript"/>
              </w:rPr>
              <w:t>2</w:t>
            </w:r>
          </w:p>
        </w:tc>
        <w:tc>
          <w:tcPr>
            <w:tcW w:w="992" w:type="dxa"/>
            <w:vAlign w:val="center"/>
          </w:tcPr>
          <w:p w:rsidR="00134B2C" w:rsidRPr="00214F35" w:rsidRDefault="00134B2C" w:rsidP="00FD47C7">
            <w:pPr>
              <w:jc w:val="center"/>
              <w:rPr>
                <w:rFonts w:ascii="Calibri" w:hAnsi="Calibri"/>
                <w:sz w:val="16"/>
                <w:szCs w:val="16"/>
                <w:vertAlign w:val="superscript"/>
              </w:rPr>
            </w:pPr>
            <w:r w:rsidRPr="00214F35">
              <w:rPr>
                <w:rFonts w:ascii="Calibri" w:hAnsi="Calibri"/>
                <w:sz w:val="16"/>
                <w:szCs w:val="16"/>
              </w:rPr>
              <w:t>NPD</w:t>
            </w:r>
            <w:r w:rsidRPr="00214F35">
              <w:rPr>
                <w:rFonts w:ascii="Calibri" w:hAnsi="Calibri"/>
                <w:sz w:val="16"/>
                <w:szCs w:val="16"/>
                <w:vertAlign w:val="superscript"/>
              </w:rPr>
              <w:t>a</w:t>
            </w:r>
          </w:p>
        </w:tc>
        <w:tc>
          <w:tcPr>
            <w:tcW w:w="709" w:type="dxa"/>
            <w:vAlign w:val="center"/>
          </w:tcPr>
          <w:p w:rsidR="00134B2C" w:rsidRPr="00214F35" w:rsidRDefault="00134B2C" w:rsidP="00FD47C7">
            <w:pPr>
              <w:jc w:val="center"/>
              <w:rPr>
                <w:rFonts w:ascii="Calibri" w:hAnsi="Calibri"/>
                <w:sz w:val="16"/>
                <w:szCs w:val="16"/>
              </w:rPr>
            </w:pPr>
            <w:r w:rsidRPr="00214F35">
              <w:rPr>
                <w:rFonts w:ascii="Calibri" w:hAnsi="Calibri"/>
                <w:sz w:val="16"/>
                <w:szCs w:val="16"/>
              </w:rPr>
              <w:t>0</w:t>
            </w:r>
          </w:p>
        </w:tc>
        <w:tc>
          <w:tcPr>
            <w:tcW w:w="956" w:type="dxa"/>
            <w:vAlign w:val="center"/>
          </w:tcPr>
          <w:p w:rsidR="00134B2C" w:rsidRPr="00214F35" w:rsidRDefault="00134B2C" w:rsidP="00FD47C7">
            <w:pPr>
              <w:jc w:val="center"/>
              <w:rPr>
                <w:rFonts w:ascii="Calibri" w:hAnsi="Calibri"/>
                <w:sz w:val="16"/>
                <w:szCs w:val="16"/>
              </w:rPr>
            </w:pPr>
            <w:r w:rsidRPr="00214F35">
              <w:rPr>
                <w:rFonts w:ascii="Calibri" w:hAnsi="Calibri"/>
                <w:sz w:val="16"/>
                <w:szCs w:val="16"/>
              </w:rPr>
              <w:t>NPD</w:t>
            </w:r>
            <w:r w:rsidRPr="00214F35">
              <w:rPr>
                <w:rFonts w:ascii="Calibri" w:hAnsi="Calibri"/>
                <w:sz w:val="16"/>
                <w:szCs w:val="16"/>
                <w:vertAlign w:val="superscript"/>
              </w:rPr>
              <w:t>a</w:t>
            </w:r>
          </w:p>
        </w:tc>
        <w:tc>
          <w:tcPr>
            <w:tcW w:w="887" w:type="dxa"/>
            <w:vAlign w:val="center"/>
          </w:tcPr>
          <w:p w:rsidR="00134B2C" w:rsidRPr="00214F35" w:rsidRDefault="00134B2C" w:rsidP="00FD47C7">
            <w:pPr>
              <w:jc w:val="center"/>
              <w:rPr>
                <w:rFonts w:ascii="Calibri" w:hAnsi="Calibri"/>
                <w:sz w:val="16"/>
                <w:szCs w:val="16"/>
              </w:rPr>
            </w:pPr>
            <w:r w:rsidRPr="00214F35">
              <w:rPr>
                <w:rFonts w:ascii="Calibri" w:hAnsi="Calibri"/>
                <w:sz w:val="16"/>
                <w:szCs w:val="16"/>
              </w:rPr>
              <w:t>0</w:t>
            </w:r>
          </w:p>
        </w:tc>
      </w:tr>
      <w:tr w:rsidR="00134B2C" w:rsidRPr="00214F35" w:rsidTr="00254A49">
        <w:tc>
          <w:tcPr>
            <w:tcW w:w="1418" w:type="dxa"/>
            <w:tcBorders>
              <w:top w:val="single" w:sz="4" w:space="0" w:color="auto"/>
              <w:left w:val="single" w:sz="4" w:space="0" w:color="auto"/>
              <w:bottom w:val="single" w:sz="4" w:space="0" w:color="auto"/>
              <w:right w:val="single" w:sz="4" w:space="0" w:color="auto"/>
            </w:tcBorders>
          </w:tcPr>
          <w:p w:rsidR="00134B2C" w:rsidRPr="00214F35" w:rsidRDefault="00134B2C" w:rsidP="00FD47C7">
            <w:pPr>
              <w:jc w:val="center"/>
              <w:rPr>
                <w:rFonts w:ascii="Calibri" w:hAnsi="Calibri"/>
                <w:sz w:val="18"/>
                <w:szCs w:val="18"/>
              </w:rPr>
            </w:pPr>
            <w:r w:rsidRPr="00214F35">
              <w:rPr>
                <w:rFonts w:ascii="Calibri" w:hAnsi="Calibri"/>
                <w:sz w:val="18"/>
                <w:szCs w:val="18"/>
              </w:rPr>
              <w:t>1</w:t>
            </w:r>
          </w:p>
        </w:tc>
        <w:tc>
          <w:tcPr>
            <w:tcW w:w="1134" w:type="dxa"/>
            <w:tcBorders>
              <w:top w:val="single" w:sz="4" w:space="0" w:color="auto"/>
              <w:left w:val="single" w:sz="4" w:space="0" w:color="auto"/>
              <w:bottom w:val="single" w:sz="4" w:space="0" w:color="auto"/>
              <w:right w:val="single" w:sz="4" w:space="0" w:color="auto"/>
            </w:tcBorders>
            <w:vAlign w:val="center"/>
          </w:tcPr>
          <w:p w:rsidR="00134B2C" w:rsidRPr="00214F35" w:rsidRDefault="00134B2C" w:rsidP="00FD47C7">
            <w:pPr>
              <w:jc w:val="center"/>
              <w:rPr>
                <w:rFonts w:ascii="Calibri" w:hAnsi="Calibri"/>
                <w:sz w:val="18"/>
                <w:szCs w:val="18"/>
              </w:rPr>
            </w:pPr>
            <w:r w:rsidRPr="00214F35">
              <w:rPr>
                <w:rFonts w:ascii="Calibri" w:hAnsi="Calibri"/>
                <w:sz w:val="18"/>
                <w:szCs w:val="18"/>
              </w:rPr>
              <w:t>2</w:t>
            </w:r>
          </w:p>
        </w:tc>
        <w:tc>
          <w:tcPr>
            <w:tcW w:w="850" w:type="dxa"/>
            <w:tcBorders>
              <w:top w:val="single" w:sz="4" w:space="0" w:color="auto"/>
              <w:left w:val="single" w:sz="4" w:space="0" w:color="auto"/>
              <w:bottom w:val="single" w:sz="4" w:space="0" w:color="auto"/>
              <w:right w:val="single" w:sz="4" w:space="0" w:color="auto"/>
            </w:tcBorders>
            <w:vAlign w:val="center"/>
          </w:tcPr>
          <w:p w:rsidR="00134B2C" w:rsidRPr="00214F35" w:rsidRDefault="00134B2C" w:rsidP="00FD47C7">
            <w:pPr>
              <w:jc w:val="center"/>
              <w:rPr>
                <w:rFonts w:ascii="Calibri" w:hAnsi="Calibri"/>
                <w:sz w:val="18"/>
                <w:szCs w:val="18"/>
              </w:rPr>
            </w:pPr>
            <w:r w:rsidRPr="00214F35">
              <w:rPr>
                <w:rFonts w:ascii="Calibri" w:hAnsi="Calibri"/>
                <w:sz w:val="18"/>
                <w:szCs w:val="18"/>
              </w:rPr>
              <w:t>3</w:t>
            </w:r>
          </w:p>
        </w:tc>
        <w:tc>
          <w:tcPr>
            <w:tcW w:w="709" w:type="dxa"/>
            <w:tcBorders>
              <w:top w:val="single" w:sz="4" w:space="0" w:color="auto"/>
              <w:left w:val="single" w:sz="4" w:space="0" w:color="auto"/>
              <w:bottom w:val="single" w:sz="4" w:space="0" w:color="auto"/>
              <w:right w:val="single" w:sz="4" w:space="0" w:color="auto"/>
            </w:tcBorders>
            <w:vAlign w:val="center"/>
          </w:tcPr>
          <w:p w:rsidR="00134B2C" w:rsidRPr="00214F35" w:rsidRDefault="00134B2C" w:rsidP="00FD47C7">
            <w:pPr>
              <w:jc w:val="center"/>
              <w:rPr>
                <w:rFonts w:ascii="Calibri" w:hAnsi="Calibri"/>
                <w:sz w:val="18"/>
                <w:szCs w:val="18"/>
              </w:rPr>
            </w:pPr>
            <w:r w:rsidRPr="00214F35">
              <w:rPr>
                <w:rFonts w:ascii="Calibri" w:hAnsi="Calibri"/>
                <w:sz w:val="18"/>
                <w:szCs w:val="18"/>
              </w:rPr>
              <w:t>4</w:t>
            </w:r>
          </w:p>
        </w:tc>
        <w:tc>
          <w:tcPr>
            <w:tcW w:w="992" w:type="dxa"/>
            <w:tcBorders>
              <w:top w:val="single" w:sz="4" w:space="0" w:color="auto"/>
              <w:left w:val="single" w:sz="4" w:space="0" w:color="auto"/>
              <w:bottom w:val="single" w:sz="4" w:space="0" w:color="auto"/>
              <w:right w:val="single" w:sz="4" w:space="0" w:color="auto"/>
            </w:tcBorders>
            <w:vAlign w:val="center"/>
          </w:tcPr>
          <w:p w:rsidR="00134B2C" w:rsidRPr="00214F35" w:rsidRDefault="00134B2C" w:rsidP="00FD47C7">
            <w:pPr>
              <w:jc w:val="center"/>
              <w:rPr>
                <w:rFonts w:ascii="Calibri" w:hAnsi="Calibri"/>
                <w:sz w:val="18"/>
                <w:szCs w:val="18"/>
              </w:rPr>
            </w:pPr>
            <w:r w:rsidRPr="00214F35">
              <w:rPr>
                <w:rFonts w:ascii="Calibri" w:hAnsi="Calibri"/>
                <w:sz w:val="18"/>
                <w:szCs w:val="18"/>
              </w:rPr>
              <w:t>5</w:t>
            </w:r>
          </w:p>
        </w:tc>
        <w:tc>
          <w:tcPr>
            <w:tcW w:w="709" w:type="dxa"/>
            <w:tcBorders>
              <w:top w:val="single" w:sz="4" w:space="0" w:color="auto"/>
              <w:left w:val="single" w:sz="4" w:space="0" w:color="auto"/>
              <w:bottom w:val="single" w:sz="4" w:space="0" w:color="auto"/>
              <w:right w:val="single" w:sz="4" w:space="0" w:color="auto"/>
            </w:tcBorders>
            <w:vAlign w:val="center"/>
          </w:tcPr>
          <w:p w:rsidR="00134B2C" w:rsidRPr="00214F35" w:rsidRDefault="00134B2C" w:rsidP="00FD47C7">
            <w:pPr>
              <w:jc w:val="center"/>
              <w:rPr>
                <w:rFonts w:ascii="Calibri" w:hAnsi="Calibri"/>
                <w:sz w:val="18"/>
                <w:szCs w:val="18"/>
              </w:rPr>
            </w:pPr>
            <w:r w:rsidRPr="00214F35">
              <w:rPr>
                <w:rFonts w:ascii="Calibri" w:hAnsi="Calibri"/>
                <w:sz w:val="18"/>
                <w:szCs w:val="18"/>
              </w:rPr>
              <w:t>6</w:t>
            </w:r>
          </w:p>
        </w:tc>
        <w:tc>
          <w:tcPr>
            <w:tcW w:w="956" w:type="dxa"/>
            <w:tcBorders>
              <w:top w:val="single" w:sz="4" w:space="0" w:color="auto"/>
              <w:left w:val="single" w:sz="4" w:space="0" w:color="auto"/>
              <w:bottom w:val="single" w:sz="4" w:space="0" w:color="auto"/>
              <w:right w:val="single" w:sz="4" w:space="0" w:color="auto"/>
            </w:tcBorders>
            <w:vAlign w:val="center"/>
          </w:tcPr>
          <w:p w:rsidR="00134B2C" w:rsidRPr="00214F35" w:rsidRDefault="00134B2C" w:rsidP="00FD47C7">
            <w:pPr>
              <w:jc w:val="center"/>
              <w:rPr>
                <w:rFonts w:ascii="Calibri" w:hAnsi="Calibri"/>
                <w:sz w:val="18"/>
                <w:szCs w:val="18"/>
              </w:rPr>
            </w:pPr>
            <w:r w:rsidRPr="00214F35">
              <w:rPr>
                <w:rFonts w:ascii="Calibri" w:hAnsi="Calibri"/>
                <w:sz w:val="18"/>
                <w:szCs w:val="18"/>
              </w:rPr>
              <w:t>7</w:t>
            </w:r>
          </w:p>
        </w:tc>
        <w:tc>
          <w:tcPr>
            <w:tcW w:w="887" w:type="dxa"/>
            <w:tcBorders>
              <w:top w:val="single" w:sz="4" w:space="0" w:color="auto"/>
              <w:left w:val="single" w:sz="4" w:space="0" w:color="auto"/>
              <w:bottom w:val="single" w:sz="4" w:space="0" w:color="auto"/>
              <w:right w:val="single" w:sz="4" w:space="0" w:color="auto"/>
            </w:tcBorders>
            <w:vAlign w:val="center"/>
          </w:tcPr>
          <w:p w:rsidR="00134B2C" w:rsidRPr="00214F35" w:rsidRDefault="00134B2C" w:rsidP="00FD47C7">
            <w:pPr>
              <w:jc w:val="center"/>
              <w:rPr>
                <w:rFonts w:ascii="Calibri" w:hAnsi="Calibri"/>
                <w:sz w:val="18"/>
                <w:szCs w:val="18"/>
              </w:rPr>
            </w:pPr>
            <w:r w:rsidRPr="00214F35">
              <w:rPr>
                <w:rFonts w:ascii="Calibri" w:hAnsi="Calibri"/>
                <w:sz w:val="18"/>
                <w:szCs w:val="18"/>
              </w:rPr>
              <w:t>8</w:t>
            </w:r>
          </w:p>
        </w:tc>
      </w:tr>
      <w:tr w:rsidR="00134B2C" w:rsidRPr="00214F35" w:rsidTr="00254A49">
        <w:tc>
          <w:tcPr>
            <w:tcW w:w="1418" w:type="dxa"/>
            <w:vMerge w:val="restart"/>
          </w:tcPr>
          <w:p w:rsidR="00134B2C" w:rsidRPr="00214F35" w:rsidRDefault="00134B2C" w:rsidP="00FD47C7">
            <w:pPr>
              <w:rPr>
                <w:rFonts w:ascii="Calibri" w:hAnsi="Calibri"/>
                <w:sz w:val="18"/>
                <w:szCs w:val="18"/>
              </w:rPr>
            </w:pPr>
            <w:r w:rsidRPr="00214F35">
              <w:rPr>
                <w:rFonts w:ascii="Calibri" w:hAnsi="Calibri"/>
                <w:sz w:val="18"/>
                <w:szCs w:val="18"/>
              </w:rPr>
              <w:t xml:space="preserve">Stałość konsystencji (Odporność </w:t>
            </w:r>
          </w:p>
          <w:p w:rsidR="00134B2C" w:rsidRPr="00214F35" w:rsidRDefault="00134B2C" w:rsidP="00FD47C7">
            <w:pPr>
              <w:jc w:val="left"/>
              <w:rPr>
                <w:rFonts w:ascii="Calibri" w:hAnsi="Calibri"/>
                <w:sz w:val="18"/>
                <w:szCs w:val="18"/>
              </w:rPr>
            </w:pPr>
            <w:r w:rsidRPr="00214F35">
              <w:rPr>
                <w:rFonts w:ascii="Calibri" w:hAnsi="Calibri"/>
                <w:sz w:val="18"/>
                <w:szCs w:val="18"/>
              </w:rPr>
              <w:t>na starzenie wg PN-EN 12607-1 lub  -3 [31]</w:t>
            </w:r>
          </w:p>
        </w:tc>
        <w:tc>
          <w:tcPr>
            <w:tcW w:w="1134" w:type="dxa"/>
            <w:vAlign w:val="center"/>
          </w:tcPr>
          <w:p w:rsidR="00134B2C" w:rsidRPr="00214F35" w:rsidRDefault="00134B2C" w:rsidP="00FD47C7">
            <w:pPr>
              <w:rPr>
                <w:rFonts w:ascii="Calibri" w:hAnsi="Calibri"/>
                <w:sz w:val="18"/>
                <w:szCs w:val="18"/>
              </w:rPr>
            </w:pPr>
            <w:r w:rsidRPr="00214F35">
              <w:rPr>
                <w:rFonts w:ascii="Calibri" w:hAnsi="Calibri"/>
                <w:sz w:val="18"/>
                <w:szCs w:val="18"/>
              </w:rPr>
              <w:t>Zmiana masy</w:t>
            </w:r>
          </w:p>
        </w:tc>
        <w:tc>
          <w:tcPr>
            <w:tcW w:w="850" w:type="dxa"/>
            <w:vAlign w:val="center"/>
          </w:tcPr>
          <w:p w:rsidR="00134B2C" w:rsidRPr="00214F35" w:rsidRDefault="00134B2C" w:rsidP="00FD47C7">
            <w:pPr>
              <w:jc w:val="center"/>
              <w:rPr>
                <w:rFonts w:ascii="Calibri" w:hAnsi="Calibri"/>
                <w:sz w:val="18"/>
                <w:szCs w:val="18"/>
              </w:rPr>
            </w:pPr>
          </w:p>
        </w:tc>
        <w:tc>
          <w:tcPr>
            <w:tcW w:w="709" w:type="dxa"/>
            <w:vAlign w:val="center"/>
          </w:tcPr>
          <w:p w:rsidR="00134B2C" w:rsidRPr="00214F35" w:rsidRDefault="00134B2C" w:rsidP="00FD47C7">
            <w:pPr>
              <w:jc w:val="center"/>
              <w:rPr>
                <w:rFonts w:ascii="Calibri" w:hAnsi="Calibri"/>
                <w:sz w:val="18"/>
                <w:szCs w:val="18"/>
              </w:rPr>
            </w:pPr>
            <w:r w:rsidRPr="00214F35">
              <w:rPr>
                <w:rFonts w:ascii="Calibri" w:hAnsi="Calibri"/>
                <w:sz w:val="18"/>
                <w:szCs w:val="18"/>
              </w:rPr>
              <w:t>%</w:t>
            </w:r>
          </w:p>
        </w:tc>
        <w:tc>
          <w:tcPr>
            <w:tcW w:w="992" w:type="dxa"/>
            <w:vAlign w:val="center"/>
          </w:tcPr>
          <w:p w:rsidR="00134B2C" w:rsidRPr="00214F35" w:rsidRDefault="00134B2C" w:rsidP="00FD47C7">
            <w:pPr>
              <w:jc w:val="center"/>
              <w:rPr>
                <w:rFonts w:ascii="Calibri" w:hAnsi="Calibri"/>
                <w:sz w:val="18"/>
                <w:szCs w:val="18"/>
              </w:rPr>
            </w:pPr>
            <w:r w:rsidRPr="00214F35">
              <w:rPr>
                <w:rFonts w:ascii="Calibri" w:hAnsi="Calibri"/>
                <w:sz w:val="18"/>
                <w:szCs w:val="18"/>
              </w:rPr>
              <w:t>≥ 0,5</w:t>
            </w:r>
          </w:p>
        </w:tc>
        <w:tc>
          <w:tcPr>
            <w:tcW w:w="709" w:type="dxa"/>
            <w:vAlign w:val="center"/>
          </w:tcPr>
          <w:p w:rsidR="00134B2C" w:rsidRPr="00214F35" w:rsidRDefault="00134B2C" w:rsidP="00FD47C7">
            <w:pPr>
              <w:jc w:val="center"/>
              <w:rPr>
                <w:rFonts w:ascii="Calibri" w:hAnsi="Calibri"/>
                <w:sz w:val="18"/>
                <w:szCs w:val="18"/>
              </w:rPr>
            </w:pPr>
            <w:r w:rsidRPr="00214F35">
              <w:rPr>
                <w:rFonts w:ascii="Calibri" w:hAnsi="Calibri"/>
                <w:sz w:val="18"/>
                <w:szCs w:val="18"/>
              </w:rPr>
              <w:t>3</w:t>
            </w:r>
          </w:p>
        </w:tc>
        <w:tc>
          <w:tcPr>
            <w:tcW w:w="956" w:type="dxa"/>
            <w:vAlign w:val="center"/>
          </w:tcPr>
          <w:p w:rsidR="00134B2C" w:rsidRPr="00214F35" w:rsidRDefault="00134B2C" w:rsidP="00FD47C7">
            <w:pPr>
              <w:jc w:val="center"/>
              <w:rPr>
                <w:rFonts w:ascii="Calibri" w:hAnsi="Calibri"/>
                <w:sz w:val="18"/>
                <w:szCs w:val="18"/>
              </w:rPr>
            </w:pPr>
            <w:r w:rsidRPr="00214F35">
              <w:rPr>
                <w:rFonts w:ascii="Calibri" w:hAnsi="Calibri"/>
                <w:sz w:val="18"/>
                <w:szCs w:val="18"/>
              </w:rPr>
              <w:t>≥ 0,5</w:t>
            </w:r>
          </w:p>
        </w:tc>
        <w:tc>
          <w:tcPr>
            <w:tcW w:w="887" w:type="dxa"/>
            <w:vAlign w:val="center"/>
          </w:tcPr>
          <w:p w:rsidR="00134B2C" w:rsidRPr="00214F35" w:rsidRDefault="00134B2C" w:rsidP="00FD47C7">
            <w:pPr>
              <w:jc w:val="center"/>
              <w:rPr>
                <w:rFonts w:ascii="Calibri" w:hAnsi="Calibri"/>
                <w:sz w:val="18"/>
                <w:szCs w:val="18"/>
              </w:rPr>
            </w:pPr>
            <w:r w:rsidRPr="00214F35">
              <w:rPr>
                <w:rFonts w:ascii="Calibri" w:hAnsi="Calibri"/>
                <w:sz w:val="18"/>
                <w:szCs w:val="18"/>
              </w:rPr>
              <w:t>3</w:t>
            </w:r>
          </w:p>
        </w:tc>
      </w:tr>
      <w:tr w:rsidR="00134B2C" w:rsidRPr="00214F35" w:rsidTr="00254A49">
        <w:tc>
          <w:tcPr>
            <w:tcW w:w="1418" w:type="dxa"/>
            <w:vMerge/>
          </w:tcPr>
          <w:p w:rsidR="00134B2C" w:rsidRPr="00214F35" w:rsidRDefault="00134B2C" w:rsidP="00FD47C7">
            <w:pPr>
              <w:jc w:val="left"/>
              <w:rPr>
                <w:rFonts w:ascii="Calibri" w:hAnsi="Calibri"/>
                <w:sz w:val="18"/>
                <w:szCs w:val="18"/>
              </w:rPr>
            </w:pPr>
          </w:p>
        </w:tc>
        <w:tc>
          <w:tcPr>
            <w:tcW w:w="1134" w:type="dxa"/>
            <w:vAlign w:val="center"/>
          </w:tcPr>
          <w:p w:rsidR="00134B2C" w:rsidRPr="00214F35" w:rsidRDefault="00134B2C" w:rsidP="00FD47C7">
            <w:pPr>
              <w:rPr>
                <w:rFonts w:ascii="Calibri" w:hAnsi="Calibri"/>
                <w:sz w:val="18"/>
                <w:szCs w:val="18"/>
              </w:rPr>
            </w:pPr>
            <w:r w:rsidRPr="00214F35">
              <w:rPr>
                <w:rFonts w:ascii="Calibri" w:hAnsi="Calibri"/>
                <w:sz w:val="18"/>
                <w:szCs w:val="18"/>
              </w:rPr>
              <w:t>Pozostała penetracja</w:t>
            </w:r>
          </w:p>
        </w:tc>
        <w:tc>
          <w:tcPr>
            <w:tcW w:w="850" w:type="dxa"/>
            <w:vAlign w:val="center"/>
          </w:tcPr>
          <w:p w:rsidR="00134B2C" w:rsidRPr="00214F35" w:rsidRDefault="00134B2C" w:rsidP="00FD47C7">
            <w:pPr>
              <w:jc w:val="center"/>
              <w:rPr>
                <w:rFonts w:ascii="Calibri" w:hAnsi="Calibri"/>
                <w:sz w:val="18"/>
                <w:szCs w:val="18"/>
              </w:rPr>
            </w:pPr>
            <w:r w:rsidRPr="00214F35">
              <w:rPr>
                <w:rFonts w:ascii="Calibri" w:hAnsi="Calibri"/>
                <w:sz w:val="18"/>
                <w:szCs w:val="18"/>
              </w:rPr>
              <w:t>PN-EN 1426 [21]</w:t>
            </w:r>
          </w:p>
        </w:tc>
        <w:tc>
          <w:tcPr>
            <w:tcW w:w="709" w:type="dxa"/>
            <w:vAlign w:val="center"/>
          </w:tcPr>
          <w:p w:rsidR="00134B2C" w:rsidRPr="00214F35" w:rsidRDefault="00134B2C" w:rsidP="00FD47C7">
            <w:pPr>
              <w:spacing w:before="120"/>
              <w:jc w:val="center"/>
              <w:rPr>
                <w:rFonts w:ascii="Calibri" w:hAnsi="Calibri"/>
                <w:sz w:val="18"/>
                <w:szCs w:val="18"/>
              </w:rPr>
            </w:pPr>
            <w:r w:rsidRPr="00214F35">
              <w:rPr>
                <w:rFonts w:ascii="Calibri" w:hAnsi="Calibri"/>
                <w:sz w:val="18"/>
                <w:szCs w:val="18"/>
              </w:rPr>
              <w:t>%</w:t>
            </w:r>
          </w:p>
        </w:tc>
        <w:tc>
          <w:tcPr>
            <w:tcW w:w="992" w:type="dxa"/>
            <w:vAlign w:val="center"/>
          </w:tcPr>
          <w:p w:rsidR="00134B2C" w:rsidRPr="00214F35" w:rsidRDefault="00134B2C" w:rsidP="00FD47C7">
            <w:pPr>
              <w:spacing w:before="120"/>
              <w:jc w:val="center"/>
              <w:rPr>
                <w:rFonts w:ascii="Calibri" w:hAnsi="Calibri"/>
                <w:sz w:val="18"/>
                <w:szCs w:val="18"/>
              </w:rPr>
            </w:pPr>
            <w:r w:rsidRPr="00214F35">
              <w:rPr>
                <w:rFonts w:ascii="Calibri" w:hAnsi="Calibri"/>
                <w:sz w:val="18"/>
                <w:szCs w:val="18"/>
              </w:rPr>
              <w:t>≥ 60</w:t>
            </w:r>
          </w:p>
        </w:tc>
        <w:tc>
          <w:tcPr>
            <w:tcW w:w="709" w:type="dxa"/>
            <w:vAlign w:val="center"/>
          </w:tcPr>
          <w:p w:rsidR="00134B2C" w:rsidRPr="00214F35" w:rsidRDefault="00134B2C" w:rsidP="00FD47C7">
            <w:pPr>
              <w:spacing w:before="120"/>
              <w:jc w:val="center"/>
              <w:rPr>
                <w:rFonts w:ascii="Calibri" w:hAnsi="Calibri"/>
                <w:sz w:val="18"/>
                <w:szCs w:val="18"/>
              </w:rPr>
            </w:pPr>
            <w:r w:rsidRPr="00214F35">
              <w:rPr>
                <w:rFonts w:ascii="Calibri" w:hAnsi="Calibri"/>
                <w:sz w:val="18"/>
                <w:szCs w:val="18"/>
              </w:rPr>
              <w:t>7</w:t>
            </w:r>
          </w:p>
        </w:tc>
        <w:tc>
          <w:tcPr>
            <w:tcW w:w="956" w:type="dxa"/>
            <w:vAlign w:val="center"/>
          </w:tcPr>
          <w:p w:rsidR="00134B2C" w:rsidRPr="00214F35" w:rsidRDefault="00134B2C" w:rsidP="00FD47C7">
            <w:pPr>
              <w:spacing w:before="120"/>
              <w:jc w:val="center"/>
              <w:rPr>
                <w:rFonts w:ascii="Calibri" w:hAnsi="Calibri"/>
                <w:sz w:val="18"/>
                <w:szCs w:val="18"/>
              </w:rPr>
            </w:pPr>
            <w:r w:rsidRPr="00214F35">
              <w:rPr>
                <w:rFonts w:ascii="Calibri" w:hAnsi="Calibri"/>
                <w:sz w:val="18"/>
                <w:szCs w:val="18"/>
              </w:rPr>
              <w:t>≥ 60</w:t>
            </w:r>
          </w:p>
        </w:tc>
        <w:tc>
          <w:tcPr>
            <w:tcW w:w="887" w:type="dxa"/>
            <w:vAlign w:val="center"/>
          </w:tcPr>
          <w:p w:rsidR="00134B2C" w:rsidRPr="00214F35" w:rsidRDefault="00134B2C" w:rsidP="00FD47C7">
            <w:pPr>
              <w:spacing w:before="120"/>
              <w:jc w:val="center"/>
              <w:rPr>
                <w:rFonts w:ascii="Calibri" w:hAnsi="Calibri"/>
                <w:sz w:val="18"/>
                <w:szCs w:val="18"/>
              </w:rPr>
            </w:pPr>
            <w:r w:rsidRPr="00214F35">
              <w:rPr>
                <w:rFonts w:ascii="Calibri" w:hAnsi="Calibri"/>
                <w:sz w:val="18"/>
                <w:szCs w:val="18"/>
              </w:rPr>
              <w:t>7</w:t>
            </w:r>
          </w:p>
        </w:tc>
      </w:tr>
      <w:tr w:rsidR="00134B2C" w:rsidRPr="00214F35" w:rsidTr="00254A49">
        <w:tc>
          <w:tcPr>
            <w:tcW w:w="1418" w:type="dxa"/>
            <w:vMerge/>
          </w:tcPr>
          <w:p w:rsidR="00134B2C" w:rsidRPr="00214F35" w:rsidRDefault="00134B2C" w:rsidP="00FD47C7">
            <w:pPr>
              <w:jc w:val="left"/>
              <w:rPr>
                <w:rFonts w:ascii="Calibri" w:hAnsi="Calibri"/>
                <w:sz w:val="18"/>
                <w:szCs w:val="18"/>
              </w:rPr>
            </w:pPr>
          </w:p>
        </w:tc>
        <w:tc>
          <w:tcPr>
            <w:tcW w:w="1134" w:type="dxa"/>
            <w:vAlign w:val="center"/>
          </w:tcPr>
          <w:p w:rsidR="00134B2C" w:rsidRPr="00214F35" w:rsidRDefault="00134B2C" w:rsidP="00FD47C7">
            <w:pPr>
              <w:jc w:val="left"/>
              <w:rPr>
                <w:rFonts w:ascii="Calibri" w:hAnsi="Calibri"/>
                <w:sz w:val="18"/>
                <w:szCs w:val="18"/>
              </w:rPr>
            </w:pPr>
            <w:r w:rsidRPr="00214F35">
              <w:rPr>
                <w:rFonts w:ascii="Calibri" w:hAnsi="Calibri"/>
                <w:sz w:val="18"/>
                <w:szCs w:val="18"/>
              </w:rPr>
              <w:t>Wzrost temperatury mięknienia</w:t>
            </w:r>
          </w:p>
        </w:tc>
        <w:tc>
          <w:tcPr>
            <w:tcW w:w="850" w:type="dxa"/>
            <w:vAlign w:val="center"/>
          </w:tcPr>
          <w:p w:rsidR="00134B2C" w:rsidRPr="00214F35" w:rsidRDefault="00134B2C" w:rsidP="00FD47C7">
            <w:pPr>
              <w:jc w:val="center"/>
              <w:rPr>
                <w:rFonts w:ascii="Calibri" w:hAnsi="Calibri"/>
                <w:sz w:val="18"/>
                <w:szCs w:val="18"/>
              </w:rPr>
            </w:pPr>
            <w:r w:rsidRPr="00214F35">
              <w:rPr>
                <w:rFonts w:ascii="Calibri" w:hAnsi="Calibri"/>
                <w:sz w:val="18"/>
                <w:szCs w:val="18"/>
              </w:rPr>
              <w:t>PN-EN 1427 [22]</w:t>
            </w:r>
          </w:p>
        </w:tc>
        <w:tc>
          <w:tcPr>
            <w:tcW w:w="709" w:type="dxa"/>
            <w:vAlign w:val="center"/>
          </w:tcPr>
          <w:p w:rsidR="00134B2C" w:rsidRPr="00214F35" w:rsidRDefault="00134B2C" w:rsidP="00FD47C7">
            <w:pPr>
              <w:spacing w:before="120"/>
              <w:jc w:val="center"/>
              <w:rPr>
                <w:rFonts w:ascii="Calibri" w:hAnsi="Calibri"/>
                <w:sz w:val="18"/>
                <w:szCs w:val="18"/>
              </w:rPr>
            </w:pPr>
            <w:r w:rsidRPr="00214F35">
              <w:rPr>
                <w:rFonts w:ascii="Calibri" w:hAnsi="Calibri"/>
                <w:sz w:val="18"/>
                <w:szCs w:val="18"/>
              </w:rPr>
              <w:t>°C</w:t>
            </w:r>
          </w:p>
        </w:tc>
        <w:tc>
          <w:tcPr>
            <w:tcW w:w="992" w:type="dxa"/>
            <w:vAlign w:val="center"/>
          </w:tcPr>
          <w:p w:rsidR="00134B2C" w:rsidRPr="00214F35" w:rsidRDefault="00134B2C" w:rsidP="00FD47C7">
            <w:pPr>
              <w:spacing w:before="120"/>
              <w:jc w:val="center"/>
              <w:rPr>
                <w:rFonts w:ascii="Calibri" w:hAnsi="Calibri"/>
                <w:sz w:val="18"/>
                <w:szCs w:val="18"/>
              </w:rPr>
            </w:pPr>
            <w:r w:rsidRPr="00214F35">
              <w:rPr>
                <w:rFonts w:ascii="Calibri" w:hAnsi="Calibri"/>
                <w:sz w:val="18"/>
                <w:szCs w:val="18"/>
              </w:rPr>
              <w:t>≤ 8</w:t>
            </w:r>
          </w:p>
        </w:tc>
        <w:tc>
          <w:tcPr>
            <w:tcW w:w="709" w:type="dxa"/>
            <w:vAlign w:val="center"/>
          </w:tcPr>
          <w:p w:rsidR="00134B2C" w:rsidRPr="00214F35" w:rsidRDefault="00134B2C" w:rsidP="00FD47C7">
            <w:pPr>
              <w:spacing w:before="120"/>
              <w:jc w:val="center"/>
              <w:rPr>
                <w:rFonts w:ascii="Calibri" w:hAnsi="Calibri"/>
                <w:sz w:val="18"/>
                <w:szCs w:val="18"/>
              </w:rPr>
            </w:pPr>
            <w:r w:rsidRPr="00214F35">
              <w:rPr>
                <w:rFonts w:ascii="Calibri" w:hAnsi="Calibri"/>
                <w:sz w:val="18"/>
                <w:szCs w:val="18"/>
              </w:rPr>
              <w:t>2</w:t>
            </w:r>
          </w:p>
        </w:tc>
        <w:tc>
          <w:tcPr>
            <w:tcW w:w="956" w:type="dxa"/>
            <w:vAlign w:val="center"/>
          </w:tcPr>
          <w:p w:rsidR="00134B2C" w:rsidRPr="00214F35" w:rsidRDefault="00134B2C" w:rsidP="00FD47C7">
            <w:pPr>
              <w:spacing w:before="120"/>
              <w:jc w:val="center"/>
              <w:rPr>
                <w:rFonts w:ascii="Calibri" w:hAnsi="Calibri"/>
                <w:sz w:val="18"/>
                <w:szCs w:val="18"/>
              </w:rPr>
            </w:pPr>
            <w:r w:rsidRPr="00214F35">
              <w:rPr>
                <w:rFonts w:ascii="Calibri" w:hAnsi="Calibri"/>
                <w:sz w:val="18"/>
                <w:szCs w:val="18"/>
              </w:rPr>
              <w:t>≤ 8</w:t>
            </w:r>
          </w:p>
        </w:tc>
        <w:tc>
          <w:tcPr>
            <w:tcW w:w="887" w:type="dxa"/>
            <w:vAlign w:val="center"/>
          </w:tcPr>
          <w:p w:rsidR="00134B2C" w:rsidRPr="00214F35" w:rsidRDefault="00134B2C" w:rsidP="00FD47C7">
            <w:pPr>
              <w:spacing w:before="120"/>
              <w:jc w:val="center"/>
              <w:rPr>
                <w:rFonts w:ascii="Calibri" w:hAnsi="Calibri"/>
                <w:sz w:val="18"/>
                <w:szCs w:val="18"/>
              </w:rPr>
            </w:pPr>
            <w:r w:rsidRPr="00214F35">
              <w:rPr>
                <w:rFonts w:ascii="Calibri" w:hAnsi="Calibri"/>
                <w:sz w:val="18"/>
                <w:szCs w:val="18"/>
              </w:rPr>
              <w:t>2</w:t>
            </w:r>
          </w:p>
        </w:tc>
      </w:tr>
      <w:tr w:rsidR="00134B2C" w:rsidRPr="00214F35" w:rsidTr="00254A49">
        <w:tc>
          <w:tcPr>
            <w:tcW w:w="1418" w:type="dxa"/>
            <w:vAlign w:val="center"/>
          </w:tcPr>
          <w:p w:rsidR="00134B2C" w:rsidRPr="00214F35" w:rsidRDefault="00134B2C" w:rsidP="00FD47C7">
            <w:pPr>
              <w:rPr>
                <w:rFonts w:ascii="Calibri" w:hAnsi="Calibri"/>
                <w:sz w:val="18"/>
                <w:szCs w:val="18"/>
              </w:rPr>
            </w:pPr>
            <w:r w:rsidRPr="00214F35">
              <w:rPr>
                <w:rFonts w:ascii="Calibri" w:hAnsi="Calibri"/>
                <w:sz w:val="18"/>
                <w:szCs w:val="18"/>
              </w:rPr>
              <w:t>Inne właściwości</w:t>
            </w:r>
          </w:p>
        </w:tc>
        <w:tc>
          <w:tcPr>
            <w:tcW w:w="1134" w:type="dxa"/>
            <w:vAlign w:val="center"/>
          </w:tcPr>
          <w:p w:rsidR="00134B2C" w:rsidRPr="00214F35" w:rsidRDefault="00134B2C" w:rsidP="00FD47C7">
            <w:pPr>
              <w:rPr>
                <w:rFonts w:ascii="Calibri" w:hAnsi="Calibri"/>
                <w:sz w:val="18"/>
                <w:szCs w:val="18"/>
              </w:rPr>
            </w:pPr>
            <w:r w:rsidRPr="00214F35">
              <w:rPr>
                <w:rFonts w:ascii="Calibri" w:hAnsi="Calibri"/>
                <w:sz w:val="18"/>
                <w:szCs w:val="18"/>
              </w:rPr>
              <w:t>Temperatura zapłonu</w:t>
            </w:r>
          </w:p>
        </w:tc>
        <w:tc>
          <w:tcPr>
            <w:tcW w:w="850" w:type="dxa"/>
            <w:vAlign w:val="center"/>
          </w:tcPr>
          <w:p w:rsidR="00134B2C" w:rsidRPr="00214F35" w:rsidRDefault="00134B2C" w:rsidP="00FD47C7">
            <w:pPr>
              <w:jc w:val="center"/>
              <w:rPr>
                <w:rFonts w:ascii="Calibri" w:hAnsi="Calibri"/>
                <w:sz w:val="18"/>
                <w:szCs w:val="18"/>
              </w:rPr>
            </w:pPr>
            <w:r w:rsidRPr="00214F35">
              <w:rPr>
                <w:rFonts w:ascii="Calibri" w:hAnsi="Calibri"/>
                <w:sz w:val="18"/>
                <w:szCs w:val="18"/>
              </w:rPr>
              <w:t>PN-EN ISO 2592 [63]</w:t>
            </w:r>
          </w:p>
        </w:tc>
        <w:tc>
          <w:tcPr>
            <w:tcW w:w="709" w:type="dxa"/>
            <w:vAlign w:val="center"/>
          </w:tcPr>
          <w:p w:rsidR="00134B2C" w:rsidRPr="00214F35" w:rsidRDefault="00134B2C" w:rsidP="00FD47C7">
            <w:pPr>
              <w:jc w:val="center"/>
              <w:rPr>
                <w:rFonts w:ascii="Calibri" w:hAnsi="Calibri"/>
                <w:sz w:val="18"/>
                <w:szCs w:val="18"/>
              </w:rPr>
            </w:pPr>
            <w:r w:rsidRPr="00214F35">
              <w:rPr>
                <w:rFonts w:ascii="Calibri" w:hAnsi="Calibri"/>
                <w:sz w:val="18"/>
                <w:szCs w:val="18"/>
              </w:rPr>
              <w:t>°C</w:t>
            </w:r>
          </w:p>
        </w:tc>
        <w:tc>
          <w:tcPr>
            <w:tcW w:w="992" w:type="dxa"/>
            <w:vAlign w:val="center"/>
          </w:tcPr>
          <w:p w:rsidR="00134B2C" w:rsidRPr="00214F35" w:rsidRDefault="00134B2C" w:rsidP="00FD47C7">
            <w:pPr>
              <w:jc w:val="center"/>
              <w:rPr>
                <w:rFonts w:ascii="Calibri" w:hAnsi="Calibri"/>
                <w:sz w:val="18"/>
                <w:szCs w:val="18"/>
              </w:rPr>
            </w:pPr>
            <w:r w:rsidRPr="00214F35">
              <w:rPr>
                <w:rFonts w:ascii="Calibri" w:hAnsi="Calibri"/>
                <w:sz w:val="18"/>
                <w:szCs w:val="18"/>
              </w:rPr>
              <w:t>≥ 235</w:t>
            </w:r>
          </w:p>
        </w:tc>
        <w:tc>
          <w:tcPr>
            <w:tcW w:w="709" w:type="dxa"/>
            <w:vAlign w:val="center"/>
          </w:tcPr>
          <w:p w:rsidR="00134B2C" w:rsidRPr="00214F35" w:rsidRDefault="00134B2C" w:rsidP="00FD47C7">
            <w:pPr>
              <w:jc w:val="center"/>
              <w:rPr>
                <w:rFonts w:ascii="Calibri" w:hAnsi="Calibri"/>
                <w:sz w:val="18"/>
                <w:szCs w:val="18"/>
              </w:rPr>
            </w:pPr>
            <w:r w:rsidRPr="00214F35">
              <w:rPr>
                <w:rFonts w:ascii="Calibri" w:hAnsi="Calibri"/>
                <w:sz w:val="18"/>
                <w:szCs w:val="18"/>
              </w:rPr>
              <w:t>3</w:t>
            </w:r>
          </w:p>
        </w:tc>
        <w:tc>
          <w:tcPr>
            <w:tcW w:w="956" w:type="dxa"/>
            <w:vAlign w:val="center"/>
          </w:tcPr>
          <w:p w:rsidR="00134B2C" w:rsidRPr="00214F35" w:rsidRDefault="00134B2C" w:rsidP="00FD47C7">
            <w:pPr>
              <w:jc w:val="center"/>
              <w:rPr>
                <w:rFonts w:ascii="Calibri" w:hAnsi="Calibri"/>
                <w:sz w:val="18"/>
                <w:szCs w:val="18"/>
              </w:rPr>
            </w:pPr>
            <w:r w:rsidRPr="00214F35">
              <w:rPr>
                <w:rFonts w:ascii="Calibri" w:hAnsi="Calibri"/>
                <w:sz w:val="18"/>
                <w:szCs w:val="18"/>
              </w:rPr>
              <w:t>≥ 235</w:t>
            </w:r>
          </w:p>
        </w:tc>
        <w:tc>
          <w:tcPr>
            <w:tcW w:w="887" w:type="dxa"/>
            <w:vAlign w:val="center"/>
          </w:tcPr>
          <w:p w:rsidR="00134B2C" w:rsidRPr="00214F35" w:rsidRDefault="00134B2C" w:rsidP="00FD47C7">
            <w:pPr>
              <w:jc w:val="center"/>
              <w:rPr>
                <w:rFonts w:ascii="Calibri" w:hAnsi="Calibri"/>
                <w:sz w:val="18"/>
                <w:szCs w:val="18"/>
              </w:rPr>
            </w:pPr>
            <w:r w:rsidRPr="00214F35">
              <w:rPr>
                <w:rFonts w:ascii="Calibri" w:hAnsi="Calibri"/>
                <w:sz w:val="18"/>
                <w:szCs w:val="18"/>
              </w:rPr>
              <w:t>3</w:t>
            </w:r>
          </w:p>
        </w:tc>
      </w:tr>
      <w:tr w:rsidR="00134B2C" w:rsidRPr="00214F35" w:rsidTr="00254A49">
        <w:tc>
          <w:tcPr>
            <w:tcW w:w="1418" w:type="dxa"/>
            <w:vMerge w:val="restart"/>
            <w:vAlign w:val="center"/>
          </w:tcPr>
          <w:p w:rsidR="00134B2C" w:rsidRPr="00214F35" w:rsidRDefault="00134B2C" w:rsidP="00FD47C7">
            <w:pPr>
              <w:rPr>
                <w:rFonts w:ascii="Calibri" w:hAnsi="Calibri"/>
                <w:sz w:val="18"/>
                <w:szCs w:val="18"/>
              </w:rPr>
            </w:pPr>
            <w:r w:rsidRPr="00214F35">
              <w:rPr>
                <w:rFonts w:ascii="Calibri" w:hAnsi="Calibri"/>
                <w:sz w:val="18"/>
                <w:szCs w:val="18"/>
              </w:rPr>
              <w:t>Wymagania</w:t>
            </w:r>
          </w:p>
          <w:p w:rsidR="00134B2C" w:rsidRPr="00214F35" w:rsidRDefault="00134B2C" w:rsidP="00FD47C7">
            <w:pPr>
              <w:rPr>
                <w:rFonts w:ascii="Calibri" w:hAnsi="Calibri"/>
                <w:sz w:val="18"/>
                <w:szCs w:val="18"/>
              </w:rPr>
            </w:pPr>
            <w:r w:rsidRPr="00214F35">
              <w:rPr>
                <w:rFonts w:ascii="Calibri" w:hAnsi="Calibri"/>
                <w:sz w:val="18"/>
                <w:szCs w:val="18"/>
              </w:rPr>
              <w:t>dodatkowe</w:t>
            </w:r>
          </w:p>
        </w:tc>
        <w:tc>
          <w:tcPr>
            <w:tcW w:w="1134" w:type="dxa"/>
            <w:vAlign w:val="center"/>
          </w:tcPr>
          <w:p w:rsidR="00134B2C" w:rsidRPr="00214F35" w:rsidRDefault="00134B2C" w:rsidP="00FD47C7">
            <w:pPr>
              <w:rPr>
                <w:rFonts w:ascii="Calibri" w:hAnsi="Calibri"/>
                <w:sz w:val="18"/>
                <w:szCs w:val="18"/>
              </w:rPr>
            </w:pPr>
            <w:r w:rsidRPr="00214F35">
              <w:rPr>
                <w:rFonts w:ascii="Calibri" w:hAnsi="Calibri"/>
                <w:sz w:val="18"/>
                <w:szCs w:val="18"/>
              </w:rPr>
              <w:t>Temperatura łamliwości</w:t>
            </w:r>
          </w:p>
        </w:tc>
        <w:tc>
          <w:tcPr>
            <w:tcW w:w="850" w:type="dxa"/>
            <w:tcBorders>
              <w:bottom w:val="single" w:sz="4" w:space="0" w:color="auto"/>
            </w:tcBorders>
            <w:vAlign w:val="center"/>
          </w:tcPr>
          <w:p w:rsidR="00134B2C" w:rsidRPr="00214F35" w:rsidRDefault="00134B2C" w:rsidP="00FD47C7">
            <w:pPr>
              <w:jc w:val="center"/>
              <w:rPr>
                <w:rFonts w:ascii="Calibri" w:hAnsi="Calibri"/>
                <w:sz w:val="18"/>
                <w:szCs w:val="18"/>
              </w:rPr>
            </w:pPr>
            <w:r w:rsidRPr="00214F35">
              <w:rPr>
                <w:rFonts w:ascii="Calibri" w:hAnsi="Calibri"/>
                <w:sz w:val="18"/>
                <w:szCs w:val="18"/>
              </w:rPr>
              <w:t>PN-EN 12593 [29]</w:t>
            </w:r>
          </w:p>
        </w:tc>
        <w:tc>
          <w:tcPr>
            <w:tcW w:w="709" w:type="dxa"/>
            <w:tcBorders>
              <w:bottom w:val="single" w:sz="4" w:space="0" w:color="auto"/>
            </w:tcBorders>
            <w:vAlign w:val="center"/>
          </w:tcPr>
          <w:p w:rsidR="00134B2C" w:rsidRPr="00214F35" w:rsidRDefault="00134B2C" w:rsidP="00FD47C7">
            <w:pPr>
              <w:jc w:val="center"/>
              <w:rPr>
                <w:rFonts w:ascii="Calibri" w:hAnsi="Calibri"/>
                <w:sz w:val="18"/>
                <w:szCs w:val="18"/>
              </w:rPr>
            </w:pPr>
            <w:r w:rsidRPr="00214F35">
              <w:rPr>
                <w:rFonts w:ascii="Calibri" w:hAnsi="Calibri"/>
                <w:sz w:val="18"/>
                <w:szCs w:val="18"/>
              </w:rPr>
              <w:t>°C</w:t>
            </w:r>
          </w:p>
        </w:tc>
        <w:tc>
          <w:tcPr>
            <w:tcW w:w="992" w:type="dxa"/>
            <w:vAlign w:val="center"/>
          </w:tcPr>
          <w:p w:rsidR="00134B2C" w:rsidRPr="00214F35" w:rsidRDefault="00134B2C" w:rsidP="00FD47C7">
            <w:pPr>
              <w:jc w:val="center"/>
              <w:rPr>
                <w:rFonts w:ascii="Calibri" w:hAnsi="Calibri"/>
                <w:sz w:val="18"/>
                <w:szCs w:val="18"/>
              </w:rPr>
            </w:pPr>
            <w:r w:rsidRPr="00214F35">
              <w:rPr>
                <w:rFonts w:ascii="Calibri" w:hAnsi="Calibri"/>
                <w:sz w:val="18"/>
                <w:szCs w:val="18"/>
              </w:rPr>
              <w:t>≤ -12</w:t>
            </w:r>
          </w:p>
        </w:tc>
        <w:tc>
          <w:tcPr>
            <w:tcW w:w="709" w:type="dxa"/>
            <w:vAlign w:val="center"/>
          </w:tcPr>
          <w:p w:rsidR="00134B2C" w:rsidRPr="00214F35" w:rsidRDefault="00134B2C" w:rsidP="00FD47C7">
            <w:pPr>
              <w:jc w:val="center"/>
              <w:rPr>
                <w:rFonts w:ascii="Calibri" w:hAnsi="Calibri"/>
                <w:sz w:val="18"/>
                <w:szCs w:val="18"/>
              </w:rPr>
            </w:pPr>
            <w:r w:rsidRPr="00214F35">
              <w:rPr>
                <w:rFonts w:ascii="Calibri" w:hAnsi="Calibri"/>
                <w:sz w:val="18"/>
                <w:szCs w:val="18"/>
              </w:rPr>
              <w:t>6</w:t>
            </w:r>
          </w:p>
        </w:tc>
        <w:tc>
          <w:tcPr>
            <w:tcW w:w="956" w:type="dxa"/>
            <w:vAlign w:val="center"/>
          </w:tcPr>
          <w:p w:rsidR="00134B2C" w:rsidRPr="00214F35" w:rsidRDefault="00134B2C" w:rsidP="00FD47C7">
            <w:pPr>
              <w:jc w:val="center"/>
              <w:rPr>
                <w:rFonts w:ascii="Calibri" w:hAnsi="Calibri"/>
                <w:sz w:val="18"/>
                <w:szCs w:val="18"/>
              </w:rPr>
            </w:pPr>
            <w:r w:rsidRPr="00214F35">
              <w:rPr>
                <w:rFonts w:ascii="Calibri" w:hAnsi="Calibri"/>
                <w:sz w:val="18"/>
                <w:szCs w:val="18"/>
              </w:rPr>
              <w:t>≤ -15</w:t>
            </w:r>
          </w:p>
        </w:tc>
        <w:tc>
          <w:tcPr>
            <w:tcW w:w="887" w:type="dxa"/>
            <w:vAlign w:val="center"/>
          </w:tcPr>
          <w:p w:rsidR="00134B2C" w:rsidRPr="00214F35" w:rsidRDefault="00134B2C" w:rsidP="00FD47C7">
            <w:pPr>
              <w:jc w:val="center"/>
              <w:rPr>
                <w:rFonts w:ascii="Calibri" w:hAnsi="Calibri"/>
                <w:sz w:val="18"/>
                <w:szCs w:val="18"/>
              </w:rPr>
            </w:pPr>
            <w:r w:rsidRPr="00214F35">
              <w:rPr>
                <w:rFonts w:ascii="Calibri" w:hAnsi="Calibri"/>
                <w:sz w:val="18"/>
                <w:szCs w:val="18"/>
              </w:rPr>
              <w:t>7</w:t>
            </w:r>
          </w:p>
        </w:tc>
      </w:tr>
      <w:tr w:rsidR="00134B2C" w:rsidRPr="00214F35" w:rsidTr="00254A49">
        <w:tc>
          <w:tcPr>
            <w:tcW w:w="1418" w:type="dxa"/>
            <w:vMerge/>
          </w:tcPr>
          <w:p w:rsidR="00134B2C" w:rsidRPr="00214F35" w:rsidRDefault="00134B2C" w:rsidP="00FD47C7">
            <w:pPr>
              <w:rPr>
                <w:rFonts w:ascii="Calibri" w:hAnsi="Calibri"/>
                <w:sz w:val="18"/>
                <w:szCs w:val="18"/>
              </w:rPr>
            </w:pPr>
          </w:p>
        </w:tc>
        <w:tc>
          <w:tcPr>
            <w:tcW w:w="1134" w:type="dxa"/>
            <w:vAlign w:val="center"/>
          </w:tcPr>
          <w:p w:rsidR="00134B2C" w:rsidRPr="00214F35" w:rsidRDefault="00134B2C" w:rsidP="00FD47C7">
            <w:pPr>
              <w:jc w:val="left"/>
              <w:rPr>
                <w:rFonts w:ascii="Calibri" w:hAnsi="Calibri"/>
                <w:sz w:val="18"/>
                <w:szCs w:val="18"/>
              </w:rPr>
            </w:pPr>
            <w:r w:rsidRPr="00214F35">
              <w:rPr>
                <w:rFonts w:ascii="Calibri" w:hAnsi="Calibri"/>
                <w:sz w:val="18"/>
                <w:szCs w:val="18"/>
              </w:rPr>
              <w:t>Nawrót sprężysty w 25°C</w:t>
            </w:r>
          </w:p>
        </w:tc>
        <w:tc>
          <w:tcPr>
            <w:tcW w:w="850" w:type="dxa"/>
            <w:vMerge w:val="restart"/>
            <w:vAlign w:val="center"/>
          </w:tcPr>
          <w:p w:rsidR="00134B2C" w:rsidRPr="00214F35" w:rsidRDefault="00134B2C" w:rsidP="00FD47C7">
            <w:pPr>
              <w:jc w:val="center"/>
              <w:rPr>
                <w:rFonts w:ascii="Calibri" w:hAnsi="Calibri"/>
                <w:sz w:val="18"/>
                <w:szCs w:val="18"/>
              </w:rPr>
            </w:pPr>
            <w:r w:rsidRPr="00214F35">
              <w:rPr>
                <w:rFonts w:ascii="Calibri" w:hAnsi="Calibri"/>
                <w:sz w:val="18"/>
                <w:szCs w:val="18"/>
              </w:rPr>
              <w:t>PN-EN 13398</w:t>
            </w:r>
          </w:p>
          <w:p w:rsidR="00134B2C" w:rsidRPr="00214F35" w:rsidRDefault="00134B2C" w:rsidP="00FD47C7">
            <w:pPr>
              <w:jc w:val="center"/>
              <w:rPr>
                <w:rFonts w:ascii="Calibri" w:hAnsi="Calibri"/>
                <w:sz w:val="18"/>
                <w:szCs w:val="18"/>
              </w:rPr>
            </w:pPr>
            <w:r w:rsidRPr="00214F35">
              <w:rPr>
                <w:rFonts w:ascii="Calibri" w:hAnsi="Calibri"/>
                <w:sz w:val="18"/>
                <w:szCs w:val="18"/>
              </w:rPr>
              <w:t>[51]</w:t>
            </w:r>
          </w:p>
        </w:tc>
        <w:tc>
          <w:tcPr>
            <w:tcW w:w="709" w:type="dxa"/>
            <w:vMerge w:val="restart"/>
            <w:vAlign w:val="center"/>
          </w:tcPr>
          <w:p w:rsidR="00134B2C" w:rsidRPr="00214F35" w:rsidRDefault="00134B2C" w:rsidP="00FD47C7">
            <w:pPr>
              <w:jc w:val="center"/>
              <w:rPr>
                <w:rFonts w:ascii="Calibri" w:hAnsi="Calibri"/>
                <w:sz w:val="18"/>
                <w:szCs w:val="18"/>
              </w:rPr>
            </w:pPr>
            <w:r w:rsidRPr="00214F35">
              <w:rPr>
                <w:rFonts w:ascii="Calibri" w:hAnsi="Calibri"/>
                <w:sz w:val="18"/>
                <w:szCs w:val="18"/>
              </w:rPr>
              <w:t>%</w:t>
            </w:r>
          </w:p>
        </w:tc>
        <w:tc>
          <w:tcPr>
            <w:tcW w:w="992" w:type="dxa"/>
            <w:vAlign w:val="center"/>
          </w:tcPr>
          <w:p w:rsidR="00134B2C" w:rsidRPr="00214F35" w:rsidRDefault="00134B2C" w:rsidP="00FD47C7">
            <w:pPr>
              <w:jc w:val="center"/>
              <w:rPr>
                <w:rFonts w:ascii="Calibri" w:hAnsi="Calibri"/>
                <w:sz w:val="18"/>
                <w:szCs w:val="18"/>
              </w:rPr>
            </w:pPr>
            <w:r w:rsidRPr="00214F35">
              <w:rPr>
                <w:rFonts w:ascii="Calibri" w:hAnsi="Calibri"/>
                <w:sz w:val="18"/>
                <w:szCs w:val="18"/>
              </w:rPr>
              <w:t>≥ 50</w:t>
            </w:r>
          </w:p>
        </w:tc>
        <w:tc>
          <w:tcPr>
            <w:tcW w:w="709" w:type="dxa"/>
            <w:vAlign w:val="center"/>
          </w:tcPr>
          <w:p w:rsidR="00134B2C" w:rsidRPr="00214F35" w:rsidRDefault="00134B2C" w:rsidP="00FD47C7">
            <w:pPr>
              <w:jc w:val="center"/>
              <w:rPr>
                <w:rFonts w:ascii="Calibri" w:hAnsi="Calibri"/>
                <w:sz w:val="18"/>
                <w:szCs w:val="18"/>
              </w:rPr>
            </w:pPr>
            <w:r w:rsidRPr="00214F35">
              <w:rPr>
                <w:rFonts w:ascii="Calibri" w:hAnsi="Calibri"/>
                <w:sz w:val="18"/>
                <w:szCs w:val="18"/>
              </w:rPr>
              <w:t>5</w:t>
            </w:r>
          </w:p>
        </w:tc>
        <w:tc>
          <w:tcPr>
            <w:tcW w:w="956" w:type="dxa"/>
            <w:vAlign w:val="center"/>
          </w:tcPr>
          <w:p w:rsidR="00134B2C" w:rsidRPr="00214F35" w:rsidRDefault="00134B2C" w:rsidP="00FD47C7">
            <w:pPr>
              <w:jc w:val="center"/>
              <w:rPr>
                <w:rFonts w:ascii="Calibri" w:hAnsi="Calibri"/>
                <w:sz w:val="18"/>
                <w:szCs w:val="18"/>
              </w:rPr>
            </w:pPr>
            <w:r w:rsidRPr="00214F35">
              <w:rPr>
                <w:rFonts w:ascii="Calibri" w:hAnsi="Calibri"/>
                <w:sz w:val="18"/>
                <w:szCs w:val="18"/>
              </w:rPr>
              <w:t>≥ 70</w:t>
            </w:r>
          </w:p>
        </w:tc>
        <w:tc>
          <w:tcPr>
            <w:tcW w:w="887" w:type="dxa"/>
            <w:vAlign w:val="center"/>
          </w:tcPr>
          <w:p w:rsidR="00134B2C" w:rsidRPr="00214F35" w:rsidRDefault="00134B2C" w:rsidP="00FD47C7">
            <w:pPr>
              <w:jc w:val="center"/>
              <w:rPr>
                <w:rFonts w:ascii="Calibri" w:hAnsi="Calibri"/>
                <w:sz w:val="18"/>
                <w:szCs w:val="18"/>
              </w:rPr>
            </w:pPr>
            <w:r w:rsidRPr="00214F35">
              <w:rPr>
                <w:rFonts w:ascii="Calibri" w:hAnsi="Calibri"/>
                <w:sz w:val="18"/>
                <w:szCs w:val="18"/>
              </w:rPr>
              <w:t>3</w:t>
            </w:r>
          </w:p>
        </w:tc>
      </w:tr>
      <w:tr w:rsidR="00134B2C" w:rsidRPr="00214F35" w:rsidTr="00254A49">
        <w:tc>
          <w:tcPr>
            <w:tcW w:w="1418" w:type="dxa"/>
            <w:vMerge/>
          </w:tcPr>
          <w:p w:rsidR="00134B2C" w:rsidRPr="00214F35" w:rsidRDefault="00134B2C" w:rsidP="00FD47C7">
            <w:pPr>
              <w:rPr>
                <w:rFonts w:ascii="Calibri" w:hAnsi="Calibri"/>
                <w:sz w:val="18"/>
                <w:szCs w:val="18"/>
              </w:rPr>
            </w:pPr>
          </w:p>
        </w:tc>
        <w:tc>
          <w:tcPr>
            <w:tcW w:w="1134" w:type="dxa"/>
            <w:vAlign w:val="center"/>
          </w:tcPr>
          <w:p w:rsidR="00134B2C" w:rsidRPr="00214F35" w:rsidRDefault="00134B2C" w:rsidP="00FD47C7">
            <w:pPr>
              <w:jc w:val="left"/>
              <w:rPr>
                <w:rFonts w:ascii="Calibri" w:hAnsi="Calibri"/>
                <w:sz w:val="18"/>
                <w:szCs w:val="18"/>
              </w:rPr>
            </w:pPr>
            <w:r w:rsidRPr="00214F35">
              <w:rPr>
                <w:rFonts w:ascii="Calibri" w:hAnsi="Calibri"/>
                <w:sz w:val="18"/>
                <w:szCs w:val="18"/>
              </w:rPr>
              <w:t>Nawrót sprężysty w 10°C</w:t>
            </w:r>
          </w:p>
        </w:tc>
        <w:tc>
          <w:tcPr>
            <w:tcW w:w="850" w:type="dxa"/>
            <w:vMerge/>
            <w:vAlign w:val="center"/>
          </w:tcPr>
          <w:p w:rsidR="00134B2C" w:rsidRPr="00214F35" w:rsidRDefault="00134B2C" w:rsidP="00FD47C7">
            <w:pPr>
              <w:jc w:val="center"/>
              <w:rPr>
                <w:rFonts w:ascii="Calibri" w:hAnsi="Calibri"/>
                <w:sz w:val="18"/>
                <w:szCs w:val="18"/>
              </w:rPr>
            </w:pPr>
          </w:p>
        </w:tc>
        <w:tc>
          <w:tcPr>
            <w:tcW w:w="709" w:type="dxa"/>
            <w:vMerge/>
            <w:vAlign w:val="center"/>
          </w:tcPr>
          <w:p w:rsidR="00134B2C" w:rsidRPr="00214F35" w:rsidRDefault="00134B2C" w:rsidP="00FD47C7">
            <w:pPr>
              <w:jc w:val="center"/>
              <w:rPr>
                <w:rFonts w:ascii="Calibri" w:hAnsi="Calibri"/>
                <w:sz w:val="18"/>
                <w:szCs w:val="18"/>
              </w:rPr>
            </w:pPr>
          </w:p>
        </w:tc>
        <w:tc>
          <w:tcPr>
            <w:tcW w:w="992" w:type="dxa"/>
            <w:vAlign w:val="center"/>
          </w:tcPr>
          <w:p w:rsidR="00134B2C" w:rsidRPr="00214F35" w:rsidRDefault="00134B2C" w:rsidP="00FD47C7">
            <w:pPr>
              <w:jc w:val="center"/>
              <w:rPr>
                <w:rFonts w:ascii="Calibri" w:hAnsi="Calibri"/>
                <w:sz w:val="18"/>
                <w:szCs w:val="18"/>
              </w:rPr>
            </w:pPr>
            <w:r w:rsidRPr="00214F35">
              <w:rPr>
                <w:rFonts w:ascii="Calibri" w:hAnsi="Calibri"/>
                <w:sz w:val="18"/>
                <w:szCs w:val="18"/>
              </w:rPr>
              <w:t>NPD</w:t>
            </w:r>
            <w:r w:rsidRPr="00214F35">
              <w:rPr>
                <w:rFonts w:ascii="Calibri" w:hAnsi="Calibri"/>
                <w:sz w:val="18"/>
                <w:szCs w:val="18"/>
                <w:vertAlign w:val="superscript"/>
              </w:rPr>
              <w:t>a</w:t>
            </w:r>
          </w:p>
        </w:tc>
        <w:tc>
          <w:tcPr>
            <w:tcW w:w="709" w:type="dxa"/>
            <w:vAlign w:val="center"/>
          </w:tcPr>
          <w:p w:rsidR="00134B2C" w:rsidRPr="00214F35" w:rsidRDefault="00134B2C" w:rsidP="00FD47C7">
            <w:pPr>
              <w:jc w:val="center"/>
              <w:rPr>
                <w:rFonts w:ascii="Calibri" w:hAnsi="Calibri"/>
                <w:sz w:val="18"/>
                <w:szCs w:val="18"/>
              </w:rPr>
            </w:pPr>
            <w:r w:rsidRPr="00214F35">
              <w:rPr>
                <w:rFonts w:ascii="Calibri" w:hAnsi="Calibri"/>
                <w:sz w:val="18"/>
                <w:szCs w:val="18"/>
              </w:rPr>
              <w:t>0</w:t>
            </w:r>
          </w:p>
        </w:tc>
        <w:tc>
          <w:tcPr>
            <w:tcW w:w="956" w:type="dxa"/>
            <w:vAlign w:val="center"/>
          </w:tcPr>
          <w:p w:rsidR="00134B2C" w:rsidRPr="00214F35" w:rsidRDefault="00134B2C" w:rsidP="00FD47C7">
            <w:pPr>
              <w:jc w:val="center"/>
              <w:rPr>
                <w:rFonts w:ascii="Calibri" w:hAnsi="Calibri"/>
                <w:sz w:val="18"/>
                <w:szCs w:val="18"/>
              </w:rPr>
            </w:pPr>
            <w:r w:rsidRPr="00214F35">
              <w:rPr>
                <w:rFonts w:ascii="Calibri" w:hAnsi="Calibri"/>
                <w:sz w:val="18"/>
                <w:szCs w:val="18"/>
              </w:rPr>
              <w:t>NPD</w:t>
            </w:r>
            <w:r w:rsidRPr="00214F35">
              <w:rPr>
                <w:rFonts w:ascii="Calibri" w:hAnsi="Calibri"/>
                <w:sz w:val="18"/>
                <w:szCs w:val="18"/>
                <w:vertAlign w:val="superscript"/>
              </w:rPr>
              <w:t>a</w:t>
            </w:r>
          </w:p>
        </w:tc>
        <w:tc>
          <w:tcPr>
            <w:tcW w:w="887" w:type="dxa"/>
            <w:vAlign w:val="center"/>
          </w:tcPr>
          <w:p w:rsidR="00134B2C" w:rsidRPr="00214F35" w:rsidRDefault="00134B2C" w:rsidP="00FD47C7">
            <w:pPr>
              <w:jc w:val="center"/>
              <w:rPr>
                <w:rFonts w:ascii="Calibri" w:hAnsi="Calibri"/>
                <w:sz w:val="18"/>
                <w:szCs w:val="18"/>
              </w:rPr>
            </w:pPr>
            <w:r w:rsidRPr="00214F35">
              <w:rPr>
                <w:rFonts w:ascii="Calibri" w:hAnsi="Calibri"/>
                <w:sz w:val="18"/>
                <w:szCs w:val="18"/>
              </w:rPr>
              <w:t>0</w:t>
            </w:r>
          </w:p>
        </w:tc>
      </w:tr>
      <w:tr w:rsidR="00134B2C" w:rsidRPr="00214F35" w:rsidTr="00254A49">
        <w:tc>
          <w:tcPr>
            <w:tcW w:w="1418" w:type="dxa"/>
            <w:vMerge/>
            <w:tcBorders>
              <w:bottom w:val="single" w:sz="4" w:space="0" w:color="auto"/>
            </w:tcBorders>
          </w:tcPr>
          <w:p w:rsidR="00134B2C" w:rsidRPr="00214F35" w:rsidRDefault="00134B2C" w:rsidP="00FD47C7">
            <w:pPr>
              <w:rPr>
                <w:rFonts w:ascii="Calibri" w:hAnsi="Calibri"/>
                <w:sz w:val="18"/>
                <w:szCs w:val="18"/>
              </w:rPr>
            </w:pPr>
          </w:p>
        </w:tc>
        <w:tc>
          <w:tcPr>
            <w:tcW w:w="1134" w:type="dxa"/>
            <w:vAlign w:val="center"/>
          </w:tcPr>
          <w:p w:rsidR="00134B2C" w:rsidRPr="00214F35" w:rsidRDefault="00134B2C" w:rsidP="00FD47C7">
            <w:pPr>
              <w:rPr>
                <w:rFonts w:ascii="Calibri" w:hAnsi="Calibri"/>
                <w:sz w:val="18"/>
                <w:szCs w:val="18"/>
              </w:rPr>
            </w:pPr>
            <w:r w:rsidRPr="00214F35">
              <w:rPr>
                <w:rFonts w:ascii="Calibri" w:hAnsi="Calibri"/>
                <w:sz w:val="18"/>
                <w:szCs w:val="18"/>
              </w:rPr>
              <w:t>Zakres plastyczności</w:t>
            </w:r>
          </w:p>
        </w:tc>
        <w:tc>
          <w:tcPr>
            <w:tcW w:w="850" w:type="dxa"/>
            <w:vAlign w:val="center"/>
          </w:tcPr>
          <w:p w:rsidR="00134B2C" w:rsidRPr="00214F35" w:rsidRDefault="00134B2C" w:rsidP="00FD47C7">
            <w:pPr>
              <w:jc w:val="center"/>
              <w:rPr>
                <w:rFonts w:ascii="Calibri" w:hAnsi="Calibri"/>
                <w:sz w:val="18"/>
                <w:szCs w:val="18"/>
              </w:rPr>
            </w:pPr>
            <w:r w:rsidRPr="00214F35">
              <w:rPr>
                <w:rFonts w:ascii="Calibri" w:hAnsi="Calibri"/>
                <w:sz w:val="18"/>
                <w:szCs w:val="18"/>
              </w:rPr>
              <w:t>PN-EN 14023 [59] Punkt 5.1.9</w:t>
            </w:r>
          </w:p>
        </w:tc>
        <w:tc>
          <w:tcPr>
            <w:tcW w:w="709" w:type="dxa"/>
            <w:vAlign w:val="center"/>
          </w:tcPr>
          <w:p w:rsidR="00134B2C" w:rsidRPr="00214F35" w:rsidRDefault="00134B2C" w:rsidP="00FD47C7">
            <w:pPr>
              <w:jc w:val="center"/>
              <w:rPr>
                <w:rFonts w:ascii="Calibri" w:hAnsi="Calibri"/>
                <w:sz w:val="18"/>
                <w:szCs w:val="18"/>
              </w:rPr>
            </w:pPr>
            <w:r w:rsidRPr="00214F35">
              <w:rPr>
                <w:rFonts w:ascii="Calibri" w:hAnsi="Calibri"/>
                <w:sz w:val="18"/>
                <w:szCs w:val="18"/>
              </w:rPr>
              <w:t>°C</w:t>
            </w:r>
          </w:p>
        </w:tc>
        <w:tc>
          <w:tcPr>
            <w:tcW w:w="992" w:type="dxa"/>
            <w:vAlign w:val="center"/>
          </w:tcPr>
          <w:p w:rsidR="00134B2C" w:rsidRPr="00214F35" w:rsidRDefault="00134B2C" w:rsidP="00FD47C7">
            <w:pPr>
              <w:jc w:val="center"/>
              <w:rPr>
                <w:rFonts w:ascii="Calibri" w:hAnsi="Calibri"/>
                <w:sz w:val="18"/>
                <w:szCs w:val="18"/>
                <w:vertAlign w:val="superscript"/>
              </w:rPr>
            </w:pPr>
            <w:r w:rsidRPr="00214F35">
              <w:rPr>
                <w:rFonts w:ascii="Calibri" w:hAnsi="Calibri"/>
                <w:sz w:val="18"/>
                <w:szCs w:val="18"/>
              </w:rPr>
              <w:t>TBR</w:t>
            </w:r>
            <w:r w:rsidRPr="00214F35">
              <w:rPr>
                <w:rFonts w:ascii="Calibri" w:hAnsi="Calibri"/>
                <w:sz w:val="18"/>
                <w:szCs w:val="18"/>
                <w:vertAlign w:val="superscript"/>
              </w:rPr>
              <w:t>b</w:t>
            </w:r>
          </w:p>
        </w:tc>
        <w:tc>
          <w:tcPr>
            <w:tcW w:w="709" w:type="dxa"/>
            <w:vAlign w:val="center"/>
          </w:tcPr>
          <w:p w:rsidR="00134B2C" w:rsidRPr="00214F35" w:rsidRDefault="00134B2C" w:rsidP="00FD47C7">
            <w:pPr>
              <w:jc w:val="center"/>
              <w:rPr>
                <w:rFonts w:ascii="Calibri" w:hAnsi="Calibri"/>
                <w:sz w:val="18"/>
                <w:szCs w:val="18"/>
              </w:rPr>
            </w:pPr>
            <w:r w:rsidRPr="00214F35">
              <w:rPr>
                <w:rFonts w:ascii="Calibri" w:hAnsi="Calibri"/>
                <w:sz w:val="18"/>
                <w:szCs w:val="18"/>
              </w:rPr>
              <w:t>1</w:t>
            </w:r>
          </w:p>
        </w:tc>
        <w:tc>
          <w:tcPr>
            <w:tcW w:w="956" w:type="dxa"/>
            <w:vAlign w:val="center"/>
          </w:tcPr>
          <w:p w:rsidR="00134B2C" w:rsidRPr="00214F35" w:rsidRDefault="00134B2C" w:rsidP="00FD47C7">
            <w:pPr>
              <w:jc w:val="center"/>
              <w:rPr>
                <w:rFonts w:ascii="Calibri" w:hAnsi="Calibri"/>
                <w:sz w:val="18"/>
                <w:szCs w:val="18"/>
              </w:rPr>
            </w:pPr>
            <w:r w:rsidRPr="00214F35">
              <w:rPr>
                <w:rFonts w:ascii="Calibri" w:hAnsi="Calibri"/>
                <w:sz w:val="18"/>
                <w:szCs w:val="18"/>
              </w:rPr>
              <w:t>TBR</w:t>
            </w:r>
            <w:r w:rsidRPr="00214F35">
              <w:rPr>
                <w:rFonts w:ascii="Calibri" w:hAnsi="Calibri"/>
                <w:sz w:val="18"/>
                <w:szCs w:val="18"/>
                <w:vertAlign w:val="superscript"/>
              </w:rPr>
              <w:t>b</w:t>
            </w:r>
          </w:p>
        </w:tc>
        <w:tc>
          <w:tcPr>
            <w:tcW w:w="887" w:type="dxa"/>
            <w:vAlign w:val="center"/>
          </w:tcPr>
          <w:p w:rsidR="00134B2C" w:rsidRPr="00214F35" w:rsidRDefault="00134B2C" w:rsidP="00FD47C7">
            <w:pPr>
              <w:jc w:val="center"/>
              <w:rPr>
                <w:rFonts w:ascii="Calibri" w:hAnsi="Calibri"/>
                <w:sz w:val="18"/>
                <w:szCs w:val="18"/>
              </w:rPr>
            </w:pPr>
            <w:r w:rsidRPr="00214F35">
              <w:rPr>
                <w:rFonts w:ascii="Calibri" w:hAnsi="Calibri"/>
                <w:sz w:val="18"/>
                <w:szCs w:val="18"/>
              </w:rPr>
              <w:t>1</w:t>
            </w:r>
          </w:p>
        </w:tc>
      </w:tr>
      <w:tr w:rsidR="00254A49" w:rsidRPr="00214F35" w:rsidTr="0066462B">
        <w:tc>
          <w:tcPr>
            <w:tcW w:w="1418" w:type="dxa"/>
            <w:tcBorders>
              <w:top w:val="single" w:sz="4" w:space="0" w:color="auto"/>
              <w:left w:val="single" w:sz="4" w:space="0" w:color="auto"/>
              <w:right w:val="single" w:sz="4" w:space="0" w:color="auto"/>
            </w:tcBorders>
          </w:tcPr>
          <w:p w:rsidR="00254A49" w:rsidRPr="00214F35" w:rsidRDefault="00254A49" w:rsidP="0066462B">
            <w:pPr>
              <w:jc w:val="center"/>
              <w:rPr>
                <w:rFonts w:ascii="Calibri" w:hAnsi="Calibri"/>
                <w:sz w:val="18"/>
                <w:szCs w:val="18"/>
              </w:rPr>
            </w:pPr>
            <w:r w:rsidRPr="00214F35">
              <w:rPr>
                <w:rFonts w:ascii="Calibri" w:hAnsi="Calibri"/>
                <w:sz w:val="18"/>
                <w:szCs w:val="18"/>
              </w:rPr>
              <w:t>1</w:t>
            </w:r>
          </w:p>
        </w:tc>
        <w:tc>
          <w:tcPr>
            <w:tcW w:w="1134" w:type="dxa"/>
            <w:tcBorders>
              <w:left w:val="single" w:sz="4" w:space="0" w:color="auto"/>
            </w:tcBorders>
            <w:vAlign w:val="center"/>
          </w:tcPr>
          <w:p w:rsidR="00254A49" w:rsidRPr="00214F35" w:rsidRDefault="00254A49" w:rsidP="0066462B">
            <w:pPr>
              <w:jc w:val="center"/>
              <w:rPr>
                <w:rFonts w:ascii="Calibri" w:hAnsi="Calibri"/>
                <w:sz w:val="18"/>
                <w:szCs w:val="18"/>
              </w:rPr>
            </w:pPr>
            <w:r w:rsidRPr="00214F35">
              <w:rPr>
                <w:rFonts w:ascii="Calibri" w:hAnsi="Calibri"/>
                <w:sz w:val="18"/>
                <w:szCs w:val="18"/>
              </w:rPr>
              <w:t>2</w:t>
            </w:r>
          </w:p>
        </w:tc>
        <w:tc>
          <w:tcPr>
            <w:tcW w:w="850" w:type="dxa"/>
            <w:vAlign w:val="center"/>
          </w:tcPr>
          <w:p w:rsidR="00254A49" w:rsidRPr="00214F35" w:rsidRDefault="00254A49" w:rsidP="0066462B">
            <w:pPr>
              <w:jc w:val="center"/>
              <w:rPr>
                <w:rFonts w:ascii="Calibri" w:hAnsi="Calibri"/>
                <w:sz w:val="18"/>
                <w:szCs w:val="18"/>
              </w:rPr>
            </w:pPr>
            <w:r w:rsidRPr="00214F35">
              <w:rPr>
                <w:rFonts w:ascii="Calibri" w:hAnsi="Calibri"/>
                <w:sz w:val="18"/>
                <w:szCs w:val="18"/>
              </w:rPr>
              <w:t>3</w:t>
            </w:r>
          </w:p>
        </w:tc>
        <w:tc>
          <w:tcPr>
            <w:tcW w:w="709" w:type="dxa"/>
            <w:vAlign w:val="center"/>
          </w:tcPr>
          <w:p w:rsidR="00254A49" w:rsidRPr="00214F35" w:rsidRDefault="00254A49" w:rsidP="0066462B">
            <w:pPr>
              <w:jc w:val="center"/>
              <w:rPr>
                <w:rFonts w:ascii="Calibri" w:hAnsi="Calibri"/>
                <w:sz w:val="18"/>
                <w:szCs w:val="18"/>
              </w:rPr>
            </w:pPr>
            <w:r w:rsidRPr="00214F35">
              <w:rPr>
                <w:rFonts w:ascii="Calibri" w:hAnsi="Calibri"/>
                <w:sz w:val="18"/>
                <w:szCs w:val="18"/>
              </w:rPr>
              <w:t>4</w:t>
            </w:r>
          </w:p>
        </w:tc>
        <w:tc>
          <w:tcPr>
            <w:tcW w:w="992" w:type="dxa"/>
            <w:vAlign w:val="center"/>
          </w:tcPr>
          <w:p w:rsidR="00254A49" w:rsidRPr="00214F35" w:rsidRDefault="00254A49" w:rsidP="0066462B">
            <w:pPr>
              <w:jc w:val="center"/>
              <w:rPr>
                <w:rFonts w:ascii="Calibri" w:hAnsi="Calibri"/>
                <w:sz w:val="18"/>
                <w:szCs w:val="18"/>
              </w:rPr>
            </w:pPr>
            <w:r w:rsidRPr="00214F35">
              <w:rPr>
                <w:rFonts w:ascii="Calibri" w:hAnsi="Calibri"/>
                <w:sz w:val="18"/>
                <w:szCs w:val="18"/>
              </w:rPr>
              <w:t>5</w:t>
            </w:r>
          </w:p>
        </w:tc>
        <w:tc>
          <w:tcPr>
            <w:tcW w:w="709" w:type="dxa"/>
            <w:vAlign w:val="center"/>
          </w:tcPr>
          <w:p w:rsidR="00254A49" w:rsidRPr="00214F35" w:rsidRDefault="00254A49" w:rsidP="0066462B">
            <w:pPr>
              <w:jc w:val="center"/>
              <w:rPr>
                <w:rFonts w:ascii="Calibri" w:hAnsi="Calibri"/>
                <w:sz w:val="18"/>
                <w:szCs w:val="18"/>
              </w:rPr>
            </w:pPr>
            <w:r w:rsidRPr="00214F35">
              <w:rPr>
                <w:rFonts w:ascii="Calibri" w:hAnsi="Calibri"/>
                <w:sz w:val="18"/>
                <w:szCs w:val="18"/>
              </w:rPr>
              <w:t>6</w:t>
            </w:r>
          </w:p>
        </w:tc>
        <w:tc>
          <w:tcPr>
            <w:tcW w:w="956" w:type="dxa"/>
            <w:vAlign w:val="center"/>
          </w:tcPr>
          <w:p w:rsidR="00254A49" w:rsidRPr="00214F35" w:rsidRDefault="00254A49" w:rsidP="0066462B">
            <w:pPr>
              <w:jc w:val="center"/>
              <w:rPr>
                <w:rFonts w:ascii="Calibri" w:hAnsi="Calibri"/>
                <w:sz w:val="18"/>
                <w:szCs w:val="18"/>
              </w:rPr>
            </w:pPr>
            <w:r w:rsidRPr="00214F35">
              <w:rPr>
                <w:rFonts w:ascii="Calibri" w:hAnsi="Calibri"/>
                <w:sz w:val="18"/>
                <w:szCs w:val="18"/>
              </w:rPr>
              <w:t>7</w:t>
            </w:r>
          </w:p>
        </w:tc>
        <w:tc>
          <w:tcPr>
            <w:tcW w:w="887" w:type="dxa"/>
            <w:vAlign w:val="center"/>
          </w:tcPr>
          <w:p w:rsidR="00254A49" w:rsidRPr="00214F35" w:rsidRDefault="00254A49" w:rsidP="0066462B">
            <w:pPr>
              <w:jc w:val="center"/>
              <w:rPr>
                <w:rFonts w:ascii="Calibri" w:hAnsi="Calibri"/>
                <w:sz w:val="18"/>
                <w:szCs w:val="18"/>
              </w:rPr>
            </w:pPr>
            <w:r w:rsidRPr="00214F35">
              <w:rPr>
                <w:rFonts w:ascii="Calibri" w:hAnsi="Calibri"/>
                <w:sz w:val="18"/>
                <w:szCs w:val="18"/>
              </w:rPr>
              <w:t>8</w:t>
            </w:r>
          </w:p>
        </w:tc>
      </w:tr>
      <w:tr w:rsidR="00134B2C" w:rsidRPr="00214F35" w:rsidTr="00254A49">
        <w:tc>
          <w:tcPr>
            <w:tcW w:w="1418" w:type="dxa"/>
            <w:vMerge w:val="restart"/>
            <w:tcBorders>
              <w:top w:val="single" w:sz="4" w:space="0" w:color="auto"/>
              <w:left w:val="single" w:sz="4" w:space="0" w:color="auto"/>
              <w:right w:val="single" w:sz="4" w:space="0" w:color="auto"/>
            </w:tcBorders>
            <w:vAlign w:val="center"/>
          </w:tcPr>
          <w:p w:rsidR="00134B2C" w:rsidRPr="00214F35" w:rsidRDefault="00134B2C" w:rsidP="00FD47C7">
            <w:pPr>
              <w:rPr>
                <w:rFonts w:ascii="Calibri" w:hAnsi="Calibri"/>
                <w:sz w:val="18"/>
                <w:szCs w:val="18"/>
              </w:rPr>
            </w:pPr>
            <w:r w:rsidRPr="00214F35">
              <w:rPr>
                <w:rFonts w:ascii="Calibri" w:hAnsi="Calibri"/>
                <w:sz w:val="18"/>
                <w:szCs w:val="18"/>
              </w:rPr>
              <w:t>Wymagania</w:t>
            </w:r>
          </w:p>
          <w:p w:rsidR="00134B2C" w:rsidRPr="00214F35" w:rsidRDefault="00134B2C" w:rsidP="00FD47C7">
            <w:pPr>
              <w:rPr>
                <w:rFonts w:ascii="Calibri" w:hAnsi="Calibri"/>
                <w:sz w:val="18"/>
                <w:szCs w:val="18"/>
              </w:rPr>
            </w:pPr>
            <w:r w:rsidRPr="00214F35">
              <w:rPr>
                <w:rFonts w:ascii="Calibri" w:hAnsi="Calibri"/>
                <w:sz w:val="18"/>
                <w:szCs w:val="18"/>
              </w:rPr>
              <w:lastRenderedPageBreak/>
              <w:t>dodatkowe</w:t>
            </w:r>
          </w:p>
        </w:tc>
        <w:tc>
          <w:tcPr>
            <w:tcW w:w="1134" w:type="dxa"/>
            <w:tcBorders>
              <w:left w:val="single" w:sz="4" w:space="0" w:color="auto"/>
            </w:tcBorders>
            <w:vAlign w:val="center"/>
          </w:tcPr>
          <w:p w:rsidR="00134B2C" w:rsidRPr="00214F35" w:rsidRDefault="00134B2C" w:rsidP="00FD47C7">
            <w:pPr>
              <w:jc w:val="left"/>
              <w:rPr>
                <w:rFonts w:ascii="Calibri" w:hAnsi="Calibri"/>
                <w:sz w:val="18"/>
                <w:szCs w:val="18"/>
              </w:rPr>
            </w:pPr>
            <w:r w:rsidRPr="00214F35">
              <w:rPr>
                <w:rFonts w:ascii="Calibri" w:hAnsi="Calibri"/>
                <w:sz w:val="18"/>
                <w:szCs w:val="18"/>
              </w:rPr>
              <w:lastRenderedPageBreak/>
              <w:t xml:space="preserve">Stabilność </w:t>
            </w:r>
            <w:r w:rsidRPr="00214F35">
              <w:rPr>
                <w:rFonts w:ascii="Calibri" w:hAnsi="Calibri"/>
                <w:sz w:val="18"/>
                <w:szCs w:val="18"/>
              </w:rPr>
              <w:lastRenderedPageBreak/>
              <w:t>magazynowa-nia. Różnica temperatur mięknienia</w:t>
            </w:r>
          </w:p>
        </w:tc>
        <w:tc>
          <w:tcPr>
            <w:tcW w:w="850" w:type="dxa"/>
            <w:vAlign w:val="center"/>
          </w:tcPr>
          <w:p w:rsidR="00134B2C" w:rsidRPr="00214F35" w:rsidRDefault="00134B2C" w:rsidP="00FD47C7">
            <w:pPr>
              <w:jc w:val="center"/>
              <w:rPr>
                <w:rFonts w:ascii="Calibri" w:hAnsi="Calibri"/>
                <w:sz w:val="18"/>
                <w:szCs w:val="18"/>
              </w:rPr>
            </w:pPr>
            <w:r w:rsidRPr="00214F35">
              <w:rPr>
                <w:rFonts w:ascii="Calibri" w:hAnsi="Calibri"/>
                <w:sz w:val="18"/>
                <w:szCs w:val="18"/>
              </w:rPr>
              <w:lastRenderedPageBreak/>
              <w:t xml:space="preserve">PN-EN </w:t>
            </w:r>
            <w:r w:rsidRPr="00214F35">
              <w:rPr>
                <w:rFonts w:ascii="Calibri" w:hAnsi="Calibri"/>
                <w:sz w:val="18"/>
                <w:szCs w:val="18"/>
              </w:rPr>
              <w:lastRenderedPageBreak/>
              <w:t>13399 [52]</w:t>
            </w:r>
          </w:p>
          <w:p w:rsidR="00134B2C" w:rsidRPr="00214F35" w:rsidRDefault="00134B2C" w:rsidP="00FD47C7">
            <w:pPr>
              <w:jc w:val="center"/>
              <w:rPr>
                <w:rFonts w:ascii="Calibri" w:hAnsi="Calibri"/>
                <w:sz w:val="18"/>
                <w:szCs w:val="18"/>
              </w:rPr>
            </w:pPr>
            <w:r w:rsidRPr="00214F35">
              <w:rPr>
                <w:rFonts w:ascii="Calibri" w:hAnsi="Calibri"/>
                <w:sz w:val="18"/>
                <w:szCs w:val="18"/>
              </w:rPr>
              <w:t>PN-EN 1427 [22]</w:t>
            </w:r>
          </w:p>
        </w:tc>
        <w:tc>
          <w:tcPr>
            <w:tcW w:w="709" w:type="dxa"/>
            <w:vAlign w:val="center"/>
          </w:tcPr>
          <w:p w:rsidR="00134B2C" w:rsidRPr="00214F35" w:rsidRDefault="00134B2C" w:rsidP="00FD47C7">
            <w:pPr>
              <w:jc w:val="center"/>
              <w:rPr>
                <w:rFonts w:ascii="Calibri" w:hAnsi="Calibri"/>
                <w:sz w:val="18"/>
                <w:szCs w:val="18"/>
              </w:rPr>
            </w:pPr>
            <w:r w:rsidRPr="00214F35">
              <w:rPr>
                <w:rFonts w:ascii="Calibri" w:hAnsi="Calibri"/>
                <w:sz w:val="18"/>
                <w:szCs w:val="18"/>
              </w:rPr>
              <w:lastRenderedPageBreak/>
              <w:t>°C</w:t>
            </w:r>
          </w:p>
        </w:tc>
        <w:tc>
          <w:tcPr>
            <w:tcW w:w="992" w:type="dxa"/>
            <w:vAlign w:val="center"/>
          </w:tcPr>
          <w:p w:rsidR="00134B2C" w:rsidRPr="00214F35" w:rsidRDefault="00134B2C" w:rsidP="00FD47C7">
            <w:pPr>
              <w:jc w:val="center"/>
              <w:rPr>
                <w:rFonts w:ascii="Calibri" w:hAnsi="Calibri"/>
                <w:sz w:val="18"/>
                <w:szCs w:val="18"/>
              </w:rPr>
            </w:pPr>
            <w:r w:rsidRPr="00214F35">
              <w:rPr>
                <w:rFonts w:ascii="Calibri" w:hAnsi="Calibri"/>
                <w:sz w:val="18"/>
                <w:szCs w:val="18"/>
              </w:rPr>
              <w:t>≤ 5</w:t>
            </w:r>
          </w:p>
        </w:tc>
        <w:tc>
          <w:tcPr>
            <w:tcW w:w="709" w:type="dxa"/>
            <w:vAlign w:val="center"/>
          </w:tcPr>
          <w:p w:rsidR="00134B2C" w:rsidRPr="00214F35" w:rsidRDefault="00134B2C" w:rsidP="00FD47C7">
            <w:pPr>
              <w:jc w:val="center"/>
              <w:rPr>
                <w:rFonts w:ascii="Calibri" w:hAnsi="Calibri"/>
                <w:sz w:val="18"/>
                <w:szCs w:val="18"/>
              </w:rPr>
            </w:pPr>
            <w:r w:rsidRPr="00214F35">
              <w:rPr>
                <w:rFonts w:ascii="Calibri" w:hAnsi="Calibri"/>
                <w:sz w:val="18"/>
                <w:szCs w:val="18"/>
              </w:rPr>
              <w:t>2</w:t>
            </w:r>
          </w:p>
        </w:tc>
        <w:tc>
          <w:tcPr>
            <w:tcW w:w="956" w:type="dxa"/>
            <w:vAlign w:val="center"/>
          </w:tcPr>
          <w:p w:rsidR="00134B2C" w:rsidRPr="00214F35" w:rsidRDefault="00134B2C" w:rsidP="00FD47C7">
            <w:pPr>
              <w:jc w:val="center"/>
              <w:rPr>
                <w:rFonts w:ascii="Calibri" w:hAnsi="Calibri"/>
                <w:sz w:val="18"/>
                <w:szCs w:val="18"/>
              </w:rPr>
            </w:pPr>
            <w:r w:rsidRPr="00214F35">
              <w:rPr>
                <w:rFonts w:ascii="Calibri" w:hAnsi="Calibri"/>
                <w:sz w:val="18"/>
                <w:szCs w:val="18"/>
              </w:rPr>
              <w:t>≤ 5</w:t>
            </w:r>
          </w:p>
        </w:tc>
        <w:tc>
          <w:tcPr>
            <w:tcW w:w="887" w:type="dxa"/>
            <w:vAlign w:val="center"/>
          </w:tcPr>
          <w:p w:rsidR="00134B2C" w:rsidRPr="00214F35" w:rsidRDefault="00134B2C" w:rsidP="00FD47C7">
            <w:pPr>
              <w:jc w:val="center"/>
              <w:rPr>
                <w:rFonts w:ascii="Calibri" w:hAnsi="Calibri"/>
                <w:sz w:val="18"/>
                <w:szCs w:val="18"/>
              </w:rPr>
            </w:pPr>
            <w:r w:rsidRPr="00214F35">
              <w:rPr>
                <w:rFonts w:ascii="Calibri" w:hAnsi="Calibri"/>
                <w:sz w:val="18"/>
                <w:szCs w:val="18"/>
              </w:rPr>
              <w:t>2</w:t>
            </w:r>
          </w:p>
        </w:tc>
      </w:tr>
      <w:tr w:rsidR="00134B2C" w:rsidRPr="00214F35" w:rsidTr="00254A49">
        <w:tc>
          <w:tcPr>
            <w:tcW w:w="1418" w:type="dxa"/>
            <w:vMerge/>
            <w:tcBorders>
              <w:left w:val="single" w:sz="4" w:space="0" w:color="auto"/>
              <w:right w:val="single" w:sz="4" w:space="0" w:color="auto"/>
            </w:tcBorders>
          </w:tcPr>
          <w:p w:rsidR="00134B2C" w:rsidRPr="00214F35" w:rsidRDefault="00134B2C" w:rsidP="00FD47C7">
            <w:pPr>
              <w:rPr>
                <w:rFonts w:ascii="Calibri" w:hAnsi="Calibri"/>
                <w:sz w:val="18"/>
                <w:szCs w:val="18"/>
              </w:rPr>
            </w:pPr>
          </w:p>
        </w:tc>
        <w:tc>
          <w:tcPr>
            <w:tcW w:w="1134" w:type="dxa"/>
            <w:tcBorders>
              <w:left w:val="single" w:sz="4" w:space="0" w:color="auto"/>
            </w:tcBorders>
            <w:vAlign w:val="center"/>
          </w:tcPr>
          <w:p w:rsidR="00134B2C" w:rsidRPr="00214F35" w:rsidRDefault="00134B2C" w:rsidP="00FD47C7">
            <w:pPr>
              <w:jc w:val="left"/>
              <w:rPr>
                <w:rFonts w:ascii="Calibri" w:hAnsi="Calibri"/>
                <w:sz w:val="18"/>
                <w:szCs w:val="18"/>
              </w:rPr>
            </w:pPr>
            <w:r w:rsidRPr="00214F35">
              <w:rPr>
                <w:rFonts w:ascii="Calibri" w:hAnsi="Calibri"/>
                <w:sz w:val="18"/>
                <w:szCs w:val="18"/>
              </w:rPr>
              <w:t>Stabilność magazynowa-nia. Różnica penetracji</w:t>
            </w:r>
          </w:p>
        </w:tc>
        <w:tc>
          <w:tcPr>
            <w:tcW w:w="850" w:type="dxa"/>
            <w:vAlign w:val="center"/>
          </w:tcPr>
          <w:p w:rsidR="00134B2C" w:rsidRPr="00214F35" w:rsidRDefault="00134B2C" w:rsidP="00FD47C7">
            <w:pPr>
              <w:jc w:val="center"/>
              <w:rPr>
                <w:rFonts w:ascii="Calibri" w:hAnsi="Calibri"/>
                <w:sz w:val="18"/>
                <w:szCs w:val="18"/>
              </w:rPr>
            </w:pPr>
            <w:r w:rsidRPr="00214F35">
              <w:rPr>
                <w:rFonts w:ascii="Calibri" w:hAnsi="Calibri"/>
                <w:sz w:val="18"/>
                <w:szCs w:val="18"/>
              </w:rPr>
              <w:t>PN-EN 13399 [52]</w:t>
            </w:r>
          </w:p>
          <w:p w:rsidR="00134B2C" w:rsidRPr="00214F35" w:rsidRDefault="00134B2C" w:rsidP="00FD47C7">
            <w:pPr>
              <w:jc w:val="center"/>
              <w:rPr>
                <w:rFonts w:ascii="Calibri" w:hAnsi="Calibri"/>
                <w:sz w:val="18"/>
                <w:szCs w:val="18"/>
              </w:rPr>
            </w:pPr>
            <w:r w:rsidRPr="00214F35">
              <w:rPr>
                <w:rFonts w:ascii="Calibri" w:hAnsi="Calibri"/>
                <w:sz w:val="18"/>
                <w:szCs w:val="18"/>
              </w:rPr>
              <w:t>PN-EN 1426 [21]</w:t>
            </w:r>
          </w:p>
        </w:tc>
        <w:tc>
          <w:tcPr>
            <w:tcW w:w="709" w:type="dxa"/>
            <w:vAlign w:val="center"/>
          </w:tcPr>
          <w:p w:rsidR="00134B2C" w:rsidRPr="00214F35" w:rsidRDefault="00134B2C" w:rsidP="00FD47C7">
            <w:pPr>
              <w:jc w:val="center"/>
              <w:rPr>
                <w:rFonts w:ascii="Calibri" w:hAnsi="Calibri"/>
                <w:sz w:val="18"/>
                <w:szCs w:val="18"/>
              </w:rPr>
            </w:pPr>
            <w:smartTag w:uri="urn:schemas-microsoft-com:office:smarttags" w:element="metricconverter">
              <w:smartTagPr>
                <w:attr w:name="ProductID" w:val="0,1 mm"/>
              </w:smartTagPr>
              <w:r w:rsidRPr="00214F35">
                <w:rPr>
                  <w:rFonts w:ascii="Calibri" w:hAnsi="Calibri"/>
                  <w:sz w:val="18"/>
                  <w:szCs w:val="18"/>
                </w:rPr>
                <w:t>0,1 mm</w:t>
              </w:r>
            </w:smartTag>
          </w:p>
        </w:tc>
        <w:tc>
          <w:tcPr>
            <w:tcW w:w="992" w:type="dxa"/>
            <w:vAlign w:val="center"/>
          </w:tcPr>
          <w:p w:rsidR="00134B2C" w:rsidRPr="00214F35" w:rsidRDefault="00134B2C" w:rsidP="00FD47C7">
            <w:pPr>
              <w:jc w:val="center"/>
              <w:rPr>
                <w:rFonts w:ascii="Calibri" w:hAnsi="Calibri"/>
                <w:sz w:val="18"/>
                <w:szCs w:val="18"/>
              </w:rPr>
            </w:pPr>
            <w:r w:rsidRPr="00214F35">
              <w:rPr>
                <w:rFonts w:ascii="Calibri" w:hAnsi="Calibri"/>
                <w:sz w:val="18"/>
                <w:szCs w:val="18"/>
              </w:rPr>
              <w:t>NPD</w:t>
            </w:r>
            <w:r w:rsidRPr="00214F35">
              <w:rPr>
                <w:rFonts w:ascii="Calibri" w:hAnsi="Calibri"/>
                <w:sz w:val="18"/>
                <w:szCs w:val="18"/>
                <w:vertAlign w:val="superscript"/>
              </w:rPr>
              <w:t>a</w:t>
            </w:r>
          </w:p>
        </w:tc>
        <w:tc>
          <w:tcPr>
            <w:tcW w:w="709" w:type="dxa"/>
            <w:vAlign w:val="center"/>
          </w:tcPr>
          <w:p w:rsidR="00134B2C" w:rsidRPr="00214F35" w:rsidRDefault="00134B2C" w:rsidP="00FD47C7">
            <w:pPr>
              <w:jc w:val="center"/>
              <w:rPr>
                <w:rFonts w:ascii="Calibri" w:hAnsi="Calibri"/>
                <w:sz w:val="18"/>
                <w:szCs w:val="18"/>
              </w:rPr>
            </w:pPr>
            <w:r w:rsidRPr="00214F35">
              <w:rPr>
                <w:rFonts w:ascii="Calibri" w:hAnsi="Calibri"/>
                <w:sz w:val="18"/>
                <w:szCs w:val="18"/>
              </w:rPr>
              <w:t>0</w:t>
            </w:r>
          </w:p>
        </w:tc>
        <w:tc>
          <w:tcPr>
            <w:tcW w:w="956" w:type="dxa"/>
            <w:vAlign w:val="center"/>
          </w:tcPr>
          <w:p w:rsidR="00134B2C" w:rsidRPr="00214F35" w:rsidRDefault="00134B2C" w:rsidP="00FD47C7">
            <w:pPr>
              <w:jc w:val="center"/>
              <w:rPr>
                <w:rFonts w:ascii="Calibri" w:hAnsi="Calibri"/>
                <w:sz w:val="18"/>
                <w:szCs w:val="18"/>
              </w:rPr>
            </w:pPr>
            <w:r w:rsidRPr="00214F35">
              <w:rPr>
                <w:rFonts w:ascii="Calibri" w:hAnsi="Calibri"/>
                <w:sz w:val="18"/>
                <w:szCs w:val="18"/>
              </w:rPr>
              <w:t>NPD</w:t>
            </w:r>
            <w:r w:rsidRPr="00214F35">
              <w:rPr>
                <w:rFonts w:ascii="Calibri" w:hAnsi="Calibri"/>
                <w:sz w:val="18"/>
                <w:szCs w:val="18"/>
                <w:vertAlign w:val="superscript"/>
              </w:rPr>
              <w:t>a</w:t>
            </w:r>
          </w:p>
        </w:tc>
        <w:tc>
          <w:tcPr>
            <w:tcW w:w="887" w:type="dxa"/>
            <w:vAlign w:val="center"/>
          </w:tcPr>
          <w:p w:rsidR="00134B2C" w:rsidRPr="00214F35" w:rsidRDefault="00134B2C" w:rsidP="00FD47C7">
            <w:pPr>
              <w:jc w:val="center"/>
              <w:rPr>
                <w:rFonts w:ascii="Calibri" w:hAnsi="Calibri"/>
                <w:sz w:val="18"/>
                <w:szCs w:val="18"/>
              </w:rPr>
            </w:pPr>
            <w:r w:rsidRPr="00214F35">
              <w:rPr>
                <w:rFonts w:ascii="Calibri" w:hAnsi="Calibri"/>
                <w:sz w:val="18"/>
                <w:szCs w:val="18"/>
              </w:rPr>
              <w:t>0</w:t>
            </w:r>
          </w:p>
        </w:tc>
      </w:tr>
      <w:tr w:rsidR="00134B2C" w:rsidRPr="00214F35" w:rsidTr="00254A49">
        <w:tc>
          <w:tcPr>
            <w:tcW w:w="1418" w:type="dxa"/>
            <w:vMerge/>
            <w:tcBorders>
              <w:left w:val="single" w:sz="4" w:space="0" w:color="auto"/>
              <w:right w:val="single" w:sz="4" w:space="0" w:color="auto"/>
            </w:tcBorders>
          </w:tcPr>
          <w:p w:rsidR="00134B2C" w:rsidRPr="00214F35" w:rsidRDefault="00134B2C" w:rsidP="00FD47C7">
            <w:pPr>
              <w:rPr>
                <w:rFonts w:ascii="Calibri" w:hAnsi="Calibri"/>
                <w:sz w:val="18"/>
                <w:szCs w:val="18"/>
              </w:rPr>
            </w:pPr>
          </w:p>
        </w:tc>
        <w:tc>
          <w:tcPr>
            <w:tcW w:w="1134" w:type="dxa"/>
            <w:tcBorders>
              <w:left w:val="single" w:sz="4" w:space="0" w:color="auto"/>
            </w:tcBorders>
            <w:vAlign w:val="center"/>
          </w:tcPr>
          <w:p w:rsidR="00134B2C" w:rsidRPr="00214F35" w:rsidRDefault="00134B2C" w:rsidP="00FD47C7">
            <w:pPr>
              <w:jc w:val="left"/>
              <w:rPr>
                <w:rFonts w:ascii="Calibri" w:hAnsi="Calibri"/>
                <w:sz w:val="18"/>
                <w:szCs w:val="18"/>
              </w:rPr>
            </w:pPr>
            <w:r w:rsidRPr="00214F35">
              <w:rPr>
                <w:rFonts w:ascii="Calibri" w:hAnsi="Calibri"/>
                <w:sz w:val="18"/>
                <w:szCs w:val="18"/>
              </w:rPr>
              <w:t>Spadek tem-  peratury mię-knienia po starzeniu wg PN-EN 12607</w:t>
            </w:r>
          </w:p>
          <w:p w:rsidR="00134B2C" w:rsidRPr="00214F35" w:rsidRDefault="00134B2C" w:rsidP="00FD47C7">
            <w:pPr>
              <w:rPr>
                <w:rFonts w:ascii="Calibri" w:hAnsi="Calibri"/>
                <w:sz w:val="18"/>
                <w:szCs w:val="18"/>
              </w:rPr>
            </w:pPr>
            <w:r w:rsidRPr="00214F35">
              <w:rPr>
                <w:rFonts w:ascii="Calibri" w:hAnsi="Calibri"/>
                <w:sz w:val="18"/>
                <w:szCs w:val="18"/>
              </w:rPr>
              <w:t>-1 lub -3 [31]</w:t>
            </w:r>
          </w:p>
        </w:tc>
        <w:tc>
          <w:tcPr>
            <w:tcW w:w="850" w:type="dxa"/>
            <w:tcBorders>
              <w:bottom w:val="single" w:sz="4" w:space="0" w:color="auto"/>
            </w:tcBorders>
            <w:vAlign w:val="center"/>
          </w:tcPr>
          <w:p w:rsidR="00134B2C" w:rsidRPr="00214F35" w:rsidRDefault="00134B2C" w:rsidP="00FD47C7">
            <w:pPr>
              <w:jc w:val="center"/>
              <w:rPr>
                <w:rFonts w:ascii="Calibri" w:hAnsi="Calibri"/>
                <w:sz w:val="18"/>
                <w:szCs w:val="18"/>
              </w:rPr>
            </w:pPr>
            <w:r w:rsidRPr="00214F35">
              <w:rPr>
                <w:rFonts w:ascii="Calibri" w:hAnsi="Calibri"/>
                <w:sz w:val="18"/>
                <w:szCs w:val="18"/>
              </w:rPr>
              <w:t>PN-EN 12607-1 [31]</w:t>
            </w:r>
          </w:p>
          <w:p w:rsidR="00134B2C" w:rsidRPr="00214F35" w:rsidRDefault="00134B2C" w:rsidP="00FD47C7">
            <w:pPr>
              <w:jc w:val="center"/>
              <w:rPr>
                <w:rFonts w:ascii="Calibri" w:hAnsi="Calibri"/>
                <w:sz w:val="18"/>
                <w:szCs w:val="18"/>
              </w:rPr>
            </w:pPr>
            <w:r w:rsidRPr="00214F35">
              <w:rPr>
                <w:rFonts w:ascii="Calibri" w:hAnsi="Calibri"/>
                <w:sz w:val="18"/>
                <w:szCs w:val="18"/>
              </w:rPr>
              <w:t>PN-EN 1427 [22]</w:t>
            </w:r>
          </w:p>
        </w:tc>
        <w:tc>
          <w:tcPr>
            <w:tcW w:w="709" w:type="dxa"/>
            <w:tcBorders>
              <w:bottom w:val="single" w:sz="4" w:space="0" w:color="auto"/>
            </w:tcBorders>
            <w:vAlign w:val="center"/>
          </w:tcPr>
          <w:p w:rsidR="00134B2C" w:rsidRPr="00214F35" w:rsidRDefault="00134B2C" w:rsidP="00FD47C7">
            <w:pPr>
              <w:jc w:val="center"/>
              <w:rPr>
                <w:rFonts w:ascii="Calibri" w:hAnsi="Calibri"/>
                <w:sz w:val="18"/>
                <w:szCs w:val="18"/>
              </w:rPr>
            </w:pPr>
            <w:r w:rsidRPr="00214F35">
              <w:rPr>
                <w:rFonts w:ascii="Calibri" w:hAnsi="Calibri"/>
                <w:sz w:val="18"/>
                <w:szCs w:val="18"/>
              </w:rPr>
              <w:t>°C</w:t>
            </w:r>
          </w:p>
        </w:tc>
        <w:tc>
          <w:tcPr>
            <w:tcW w:w="992" w:type="dxa"/>
            <w:vAlign w:val="center"/>
          </w:tcPr>
          <w:p w:rsidR="00134B2C" w:rsidRPr="00214F35" w:rsidRDefault="00134B2C" w:rsidP="00FD47C7">
            <w:pPr>
              <w:jc w:val="center"/>
              <w:rPr>
                <w:rFonts w:ascii="Calibri" w:hAnsi="Calibri"/>
                <w:sz w:val="18"/>
                <w:szCs w:val="18"/>
              </w:rPr>
            </w:pPr>
            <w:r w:rsidRPr="00214F35">
              <w:rPr>
                <w:rFonts w:ascii="Calibri" w:hAnsi="Calibri"/>
                <w:sz w:val="18"/>
                <w:szCs w:val="18"/>
              </w:rPr>
              <w:t>TBR</w:t>
            </w:r>
            <w:r w:rsidRPr="00214F35">
              <w:rPr>
                <w:rFonts w:ascii="Calibri" w:hAnsi="Calibri"/>
                <w:sz w:val="18"/>
                <w:szCs w:val="18"/>
                <w:vertAlign w:val="superscript"/>
              </w:rPr>
              <w:t>b</w:t>
            </w:r>
          </w:p>
        </w:tc>
        <w:tc>
          <w:tcPr>
            <w:tcW w:w="709" w:type="dxa"/>
            <w:vAlign w:val="center"/>
          </w:tcPr>
          <w:p w:rsidR="00134B2C" w:rsidRPr="00214F35" w:rsidRDefault="00134B2C" w:rsidP="00FD47C7">
            <w:pPr>
              <w:jc w:val="center"/>
              <w:rPr>
                <w:rFonts w:ascii="Calibri" w:hAnsi="Calibri"/>
                <w:sz w:val="18"/>
                <w:szCs w:val="18"/>
              </w:rPr>
            </w:pPr>
            <w:r w:rsidRPr="00214F35">
              <w:rPr>
                <w:rFonts w:ascii="Calibri" w:hAnsi="Calibri"/>
                <w:sz w:val="18"/>
                <w:szCs w:val="18"/>
              </w:rPr>
              <w:t>1</w:t>
            </w:r>
          </w:p>
        </w:tc>
        <w:tc>
          <w:tcPr>
            <w:tcW w:w="956" w:type="dxa"/>
            <w:vAlign w:val="center"/>
          </w:tcPr>
          <w:p w:rsidR="00134B2C" w:rsidRPr="00214F35" w:rsidRDefault="00134B2C" w:rsidP="00FD47C7">
            <w:pPr>
              <w:jc w:val="center"/>
              <w:rPr>
                <w:rFonts w:ascii="Calibri" w:hAnsi="Calibri"/>
                <w:sz w:val="18"/>
                <w:szCs w:val="18"/>
              </w:rPr>
            </w:pPr>
            <w:r w:rsidRPr="00214F35">
              <w:rPr>
                <w:rFonts w:ascii="Calibri" w:hAnsi="Calibri"/>
                <w:sz w:val="18"/>
                <w:szCs w:val="18"/>
              </w:rPr>
              <w:t>TBR</w:t>
            </w:r>
            <w:r w:rsidRPr="00214F35">
              <w:rPr>
                <w:rFonts w:ascii="Calibri" w:hAnsi="Calibri"/>
                <w:sz w:val="18"/>
                <w:szCs w:val="18"/>
                <w:vertAlign w:val="superscript"/>
              </w:rPr>
              <w:t>b</w:t>
            </w:r>
          </w:p>
        </w:tc>
        <w:tc>
          <w:tcPr>
            <w:tcW w:w="887" w:type="dxa"/>
            <w:vAlign w:val="center"/>
          </w:tcPr>
          <w:p w:rsidR="00134B2C" w:rsidRPr="00214F35" w:rsidRDefault="00134B2C" w:rsidP="00FD47C7">
            <w:pPr>
              <w:jc w:val="center"/>
              <w:rPr>
                <w:rFonts w:ascii="Calibri" w:hAnsi="Calibri"/>
                <w:sz w:val="18"/>
                <w:szCs w:val="18"/>
              </w:rPr>
            </w:pPr>
            <w:r w:rsidRPr="00214F35">
              <w:rPr>
                <w:rFonts w:ascii="Calibri" w:hAnsi="Calibri"/>
                <w:sz w:val="18"/>
                <w:szCs w:val="18"/>
              </w:rPr>
              <w:t>1</w:t>
            </w:r>
          </w:p>
        </w:tc>
      </w:tr>
      <w:tr w:rsidR="00134B2C" w:rsidRPr="00214F35" w:rsidTr="00254A49">
        <w:tc>
          <w:tcPr>
            <w:tcW w:w="1418" w:type="dxa"/>
            <w:vMerge/>
            <w:tcBorders>
              <w:left w:val="single" w:sz="4" w:space="0" w:color="auto"/>
              <w:right w:val="single" w:sz="4" w:space="0" w:color="auto"/>
            </w:tcBorders>
          </w:tcPr>
          <w:p w:rsidR="00134B2C" w:rsidRPr="00214F35" w:rsidRDefault="00134B2C" w:rsidP="00FD47C7">
            <w:pPr>
              <w:rPr>
                <w:rFonts w:ascii="Calibri" w:hAnsi="Calibri"/>
                <w:sz w:val="18"/>
                <w:szCs w:val="18"/>
              </w:rPr>
            </w:pPr>
          </w:p>
        </w:tc>
        <w:tc>
          <w:tcPr>
            <w:tcW w:w="1134" w:type="dxa"/>
            <w:tcBorders>
              <w:left w:val="single" w:sz="4" w:space="0" w:color="auto"/>
            </w:tcBorders>
            <w:vAlign w:val="center"/>
          </w:tcPr>
          <w:p w:rsidR="00134B2C" w:rsidRPr="00214F35" w:rsidRDefault="00134B2C" w:rsidP="00FD47C7">
            <w:pPr>
              <w:jc w:val="left"/>
              <w:rPr>
                <w:rFonts w:ascii="Calibri" w:hAnsi="Calibri"/>
                <w:sz w:val="18"/>
                <w:szCs w:val="18"/>
              </w:rPr>
            </w:pPr>
            <w:r w:rsidRPr="00214F35">
              <w:rPr>
                <w:rFonts w:ascii="Calibri" w:hAnsi="Calibri"/>
                <w:sz w:val="18"/>
                <w:szCs w:val="18"/>
              </w:rPr>
              <w:t>Nawrót sprę-żysty w 25°C po starzeniu wg PN-EN 12607-1 lub   -3 [31]</w:t>
            </w:r>
          </w:p>
        </w:tc>
        <w:tc>
          <w:tcPr>
            <w:tcW w:w="850" w:type="dxa"/>
            <w:vMerge w:val="restart"/>
            <w:vAlign w:val="center"/>
          </w:tcPr>
          <w:p w:rsidR="00134B2C" w:rsidRPr="00214F35" w:rsidRDefault="00134B2C" w:rsidP="00FD47C7">
            <w:pPr>
              <w:jc w:val="center"/>
              <w:rPr>
                <w:rFonts w:ascii="Calibri" w:hAnsi="Calibri"/>
                <w:sz w:val="18"/>
                <w:szCs w:val="18"/>
              </w:rPr>
            </w:pPr>
            <w:r w:rsidRPr="00214F35">
              <w:rPr>
                <w:rFonts w:ascii="Calibri" w:hAnsi="Calibri"/>
                <w:sz w:val="18"/>
                <w:szCs w:val="18"/>
              </w:rPr>
              <w:t>PN-EN 12607-1 [31]</w:t>
            </w:r>
          </w:p>
          <w:p w:rsidR="00134B2C" w:rsidRPr="00214F35" w:rsidRDefault="00134B2C" w:rsidP="00FD47C7">
            <w:pPr>
              <w:jc w:val="center"/>
              <w:rPr>
                <w:rFonts w:ascii="Calibri" w:hAnsi="Calibri"/>
                <w:sz w:val="18"/>
                <w:szCs w:val="18"/>
              </w:rPr>
            </w:pPr>
            <w:r w:rsidRPr="00214F35">
              <w:rPr>
                <w:rFonts w:ascii="Calibri" w:hAnsi="Calibri"/>
                <w:sz w:val="18"/>
                <w:szCs w:val="18"/>
              </w:rPr>
              <w:t>PN-EN 13398 [51]</w:t>
            </w:r>
          </w:p>
        </w:tc>
        <w:tc>
          <w:tcPr>
            <w:tcW w:w="709" w:type="dxa"/>
            <w:vMerge w:val="restart"/>
            <w:vAlign w:val="center"/>
          </w:tcPr>
          <w:p w:rsidR="00134B2C" w:rsidRPr="00214F35" w:rsidRDefault="00134B2C" w:rsidP="00FD47C7">
            <w:pPr>
              <w:jc w:val="center"/>
              <w:rPr>
                <w:rFonts w:ascii="Calibri" w:hAnsi="Calibri"/>
                <w:sz w:val="18"/>
                <w:szCs w:val="18"/>
              </w:rPr>
            </w:pPr>
            <w:r w:rsidRPr="00214F35">
              <w:rPr>
                <w:rFonts w:ascii="Calibri" w:hAnsi="Calibri"/>
                <w:sz w:val="18"/>
                <w:szCs w:val="18"/>
              </w:rPr>
              <w:t>%</w:t>
            </w:r>
          </w:p>
        </w:tc>
        <w:tc>
          <w:tcPr>
            <w:tcW w:w="992" w:type="dxa"/>
            <w:vAlign w:val="center"/>
          </w:tcPr>
          <w:p w:rsidR="00134B2C" w:rsidRPr="00214F35" w:rsidRDefault="00134B2C" w:rsidP="00FD47C7">
            <w:pPr>
              <w:jc w:val="center"/>
              <w:rPr>
                <w:rFonts w:ascii="Calibri" w:hAnsi="Calibri"/>
                <w:sz w:val="18"/>
                <w:szCs w:val="18"/>
              </w:rPr>
            </w:pPr>
            <w:r w:rsidRPr="00214F35">
              <w:rPr>
                <w:rFonts w:ascii="Calibri" w:hAnsi="Calibri"/>
                <w:sz w:val="18"/>
                <w:szCs w:val="18"/>
              </w:rPr>
              <w:t>≥ 50</w:t>
            </w:r>
          </w:p>
        </w:tc>
        <w:tc>
          <w:tcPr>
            <w:tcW w:w="709" w:type="dxa"/>
            <w:vAlign w:val="center"/>
          </w:tcPr>
          <w:p w:rsidR="00134B2C" w:rsidRPr="00214F35" w:rsidRDefault="00134B2C" w:rsidP="00FD47C7">
            <w:pPr>
              <w:jc w:val="center"/>
              <w:rPr>
                <w:rFonts w:ascii="Calibri" w:hAnsi="Calibri"/>
                <w:sz w:val="18"/>
                <w:szCs w:val="18"/>
              </w:rPr>
            </w:pPr>
            <w:r w:rsidRPr="00214F35">
              <w:rPr>
                <w:rFonts w:ascii="Calibri" w:hAnsi="Calibri"/>
                <w:sz w:val="18"/>
                <w:szCs w:val="18"/>
              </w:rPr>
              <w:t>4</w:t>
            </w:r>
          </w:p>
        </w:tc>
        <w:tc>
          <w:tcPr>
            <w:tcW w:w="956" w:type="dxa"/>
            <w:vAlign w:val="center"/>
          </w:tcPr>
          <w:p w:rsidR="00134B2C" w:rsidRPr="00214F35" w:rsidRDefault="00134B2C" w:rsidP="00FD47C7">
            <w:pPr>
              <w:jc w:val="center"/>
              <w:rPr>
                <w:rFonts w:ascii="Calibri" w:hAnsi="Calibri"/>
                <w:sz w:val="18"/>
                <w:szCs w:val="18"/>
              </w:rPr>
            </w:pPr>
            <w:r w:rsidRPr="00214F35">
              <w:rPr>
                <w:rFonts w:ascii="Calibri" w:hAnsi="Calibri"/>
                <w:sz w:val="18"/>
                <w:szCs w:val="18"/>
              </w:rPr>
              <w:t>≥ 60</w:t>
            </w:r>
          </w:p>
        </w:tc>
        <w:tc>
          <w:tcPr>
            <w:tcW w:w="887" w:type="dxa"/>
            <w:vAlign w:val="center"/>
          </w:tcPr>
          <w:p w:rsidR="00134B2C" w:rsidRPr="00214F35" w:rsidRDefault="00134B2C" w:rsidP="00FD47C7">
            <w:pPr>
              <w:jc w:val="center"/>
              <w:rPr>
                <w:rFonts w:ascii="Calibri" w:hAnsi="Calibri"/>
                <w:sz w:val="18"/>
                <w:szCs w:val="18"/>
              </w:rPr>
            </w:pPr>
            <w:r w:rsidRPr="00214F35">
              <w:rPr>
                <w:rFonts w:ascii="Calibri" w:hAnsi="Calibri"/>
                <w:sz w:val="18"/>
                <w:szCs w:val="18"/>
              </w:rPr>
              <w:t>3</w:t>
            </w:r>
          </w:p>
        </w:tc>
      </w:tr>
      <w:tr w:rsidR="00134B2C" w:rsidRPr="00214F35" w:rsidTr="00254A49">
        <w:tc>
          <w:tcPr>
            <w:tcW w:w="1418" w:type="dxa"/>
            <w:vMerge/>
            <w:tcBorders>
              <w:left w:val="single" w:sz="4" w:space="0" w:color="auto"/>
              <w:right w:val="single" w:sz="4" w:space="0" w:color="auto"/>
            </w:tcBorders>
          </w:tcPr>
          <w:p w:rsidR="00134B2C" w:rsidRPr="00214F35" w:rsidRDefault="00134B2C" w:rsidP="00FD47C7">
            <w:pPr>
              <w:rPr>
                <w:rFonts w:ascii="Calibri" w:hAnsi="Calibri"/>
                <w:sz w:val="18"/>
                <w:szCs w:val="18"/>
              </w:rPr>
            </w:pPr>
          </w:p>
        </w:tc>
        <w:tc>
          <w:tcPr>
            <w:tcW w:w="1134" w:type="dxa"/>
            <w:tcBorders>
              <w:left w:val="single" w:sz="4" w:space="0" w:color="auto"/>
            </w:tcBorders>
            <w:vAlign w:val="center"/>
          </w:tcPr>
          <w:p w:rsidR="00134B2C" w:rsidRPr="00214F35" w:rsidRDefault="00134B2C" w:rsidP="00FD47C7">
            <w:pPr>
              <w:jc w:val="left"/>
              <w:rPr>
                <w:rFonts w:ascii="Calibri" w:hAnsi="Calibri"/>
                <w:sz w:val="18"/>
                <w:szCs w:val="18"/>
              </w:rPr>
            </w:pPr>
            <w:r w:rsidRPr="00214F35">
              <w:rPr>
                <w:rFonts w:ascii="Calibri" w:hAnsi="Calibri"/>
                <w:sz w:val="18"/>
                <w:szCs w:val="18"/>
              </w:rPr>
              <w:t xml:space="preserve">Nawrót sprę-żysty w </w:t>
            </w:r>
            <w:smartTag w:uri="urn:schemas-microsoft-com:office:smarttags" w:element="metricconverter">
              <w:smartTagPr>
                <w:attr w:name="ProductID" w:val="10ﾰC"/>
              </w:smartTagPr>
              <w:r w:rsidRPr="00214F35">
                <w:rPr>
                  <w:rFonts w:ascii="Calibri" w:hAnsi="Calibri"/>
                  <w:sz w:val="18"/>
                  <w:szCs w:val="18"/>
                </w:rPr>
                <w:t>10°C</w:t>
              </w:r>
            </w:smartTag>
            <w:r w:rsidRPr="00214F35">
              <w:rPr>
                <w:rFonts w:ascii="Calibri" w:hAnsi="Calibri"/>
                <w:sz w:val="18"/>
                <w:szCs w:val="18"/>
              </w:rPr>
              <w:t xml:space="preserve"> po starzeniu wg PN-EN 12607-1 lub   -3 [31]</w:t>
            </w:r>
          </w:p>
        </w:tc>
        <w:tc>
          <w:tcPr>
            <w:tcW w:w="850" w:type="dxa"/>
            <w:vMerge/>
            <w:vAlign w:val="center"/>
          </w:tcPr>
          <w:p w:rsidR="00134B2C" w:rsidRPr="00214F35" w:rsidRDefault="00134B2C" w:rsidP="00FD47C7">
            <w:pPr>
              <w:jc w:val="center"/>
              <w:rPr>
                <w:rFonts w:ascii="Calibri" w:hAnsi="Calibri"/>
                <w:sz w:val="18"/>
                <w:szCs w:val="18"/>
              </w:rPr>
            </w:pPr>
          </w:p>
        </w:tc>
        <w:tc>
          <w:tcPr>
            <w:tcW w:w="709" w:type="dxa"/>
            <w:vMerge/>
            <w:vAlign w:val="center"/>
          </w:tcPr>
          <w:p w:rsidR="00134B2C" w:rsidRPr="00214F35" w:rsidRDefault="00134B2C" w:rsidP="00FD47C7">
            <w:pPr>
              <w:jc w:val="center"/>
              <w:rPr>
                <w:rFonts w:ascii="Calibri" w:hAnsi="Calibri"/>
                <w:sz w:val="18"/>
                <w:szCs w:val="18"/>
              </w:rPr>
            </w:pPr>
          </w:p>
        </w:tc>
        <w:tc>
          <w:tcPr>
            <w:tcW w:w="992" w:type="dxa"/>
            <w:vAlign w:val="center"/>
          </w:tcPr>
          <w:p w:rsidR="00134B2C" w:rsidRPr="00214F35" w:rsidRDefault="00134B2C" w:rsidP="00FD47C7">
            <w:pPr>
              <w:jc w:val="center"/>
              <w:rPr>
                <w:rFonts w:ascii="Calibri" w:hAnsi="Calibri"/>
                <w:sz w:val="18"/>
                <w:szCs w:val="18"/>
              </w:rPr>
            </w:pPr>
            <w:r w:rsidRPr="00214F35">
              <w:rPr>
                <w:rFonts w:ascii="Calibri" w:hAnsi="Calibri"/>
                <w:sz w:val="18"/>
                <w:szCs w:val="18"/>
              </w:rPr>
              <w:t>NPD</w:t>
            </w:r>
            <w:r w:rsidRPr="00214F35">
              <w:rPr>
                <w:rFonts w:ascii="Calibri" w:hAnsi="Calibri"/>
                <w:sz w:val="18"/>
                <w:szCs w:val="18"/>
                <w:vertAlign w:val="superscript"/>
              </w:rPr>
              <w:t>a</w:t>
            </w:r>
          </w:p>
        </w:tc>
        <w:tc>
          <w:tcPr>
            <w:tcW w:w="709" w:type="dxa"/>
            <w:vAlign w:val="center"/>
          </w:tcPr>
          <w:p w:rsidR="00134B2C" w:rsidRPr="00214F35" w:rsidRDefault="00134B2C" w:rsidP="00FD47C7">
            <w:pPr>
              <w:jc w:val="center"/>
              <w:rPr>
                <w:rFonts w:ascii="Calibri" w:hAnsi="Calibri"/>
                <w:sz w:val="18"/>
                <w:szCs w:val="18"/>
              </w:rPr>
            </w:pPr>
            <w:r w:rsidRPr="00214F35">
              <w:rPr>
                <w:rFonts w:ascii="Calibri" w:hAnsi="Calibri"/>
                <w:sz w:val="18"/>
                <w:szCs w:val="18"/>
              </w:rPr>
              <w:t>0</w:t>
            </w:r>
          </w:p>
        </w:tc>
        <w:tc>
          <w:tcPr>
            <w:tcW w:w="956" w:type="dxa"/>
            <w:vAlign w:val="center"/>
          </w:tcPr>
          <w:p w:rsidR="00134B2C" w:rsidRPr="00214F35" w:rsidRDefault="00134B2C" w:rsidP="00FD47C7">
            <w:pPr>
              <w:jc w:val="center"/>
              <w:rPr>
                <w:rFonts w:ascii="Calibri" w:hAnsi="Calibri"/>
                <w:sz w:val="18"/>
                <w:szCs w:val="18"/>
              </w:rPr>
            </w:pPr>
            <w:r w:rsidRPr="00214F35">
              <w:rPr>
                <w:rFonts w:ascii="Calibri" w:hAnsi="Calibri"/>
                <w:sz w:val="18"/>
                <w:szCs w:val="18"/>
              </w:rPr>
              <w:t>NPD</w:t>
            </w:r>
            <w:r w:rsidRPr="00214F35">
              <w:rPr>
                <w:rFonts w:ascii="Calibri" w:hAnsi="Calibri"/>
                <w:sz w:val="18"/>
                <w:szCs w:val="18"/>
                <w:vertAlign w:val="superscript"/>
              </w:rPr>
              <w:t>a</w:t>
            </w:r>
          </w:p>
        </w:tc>
        <w:tc>
          <w:tcPr>
            <w:tcW w:w="887" w:type="dxa"/>
            <w:vAlign w:val="center"/>
          </w:tcPr>
          <w:p w:rsidR="00134B2C" w:rsidRPr="00214F35" w:rsidRDefault="00134B2C" w:rsidP="00FD47C7">
            <w:pPr>
              <w:jc w:val="center"/>
              <w:rPr>
                <w:rFonts w:ascii="Calibri" w:hAnsi="Calibri"/>
                <w:sz w:val="18"/>
                <w:szCs w:val="18"/>
              </w:rPr>
            </w:pPr>
            <w:r w:rsidRPr="00214F35">
              <w:rPr>
                <w:rFonts w:ascii="Calibri" w:hAnsi="Calibri"/>
                <w:sz w:val="18"/>
                <w:szCs w:val="18"/>
              </w:rPr>
              <w:t>0</w:t>
            </w:r>
          </w:p>
        </w:tc>
      </w:tr>
      <w:tr w:rsidR="00134B2C" w:rsidRPr="00214F35" w:rsidTr="00254A49">
        <w:tc>
          <w:tcPr>
            <w:tcW w:w="7655" w:type="dxa"/>
            <w:gridSpan w:val="8"/>
          </w:tcPr>
          <w:p w:rsidR="00134B2C" w:rsidRPr="00214F35" w:rsidRDefault="00134B2C" w:rsidP="00FD47C7">
            <w:pPr>
              <w:rPr>
                <w:rFonts w:ascii="Calibri" w:hAnsi="Calibri"/>
                <w:sz w:val="18"/>
                <w:szCs w:val="18"/>
              </w:rPr>
            </w:pPr>
            <w:r w:rsidRPr="00214F35">
              <w:rPr>
                <w:rFonts w:ascii="Calibri" w:hAnsi="Calibri"/>
                <w:sz w:val="18"/>
                <w:szCs w:val="18"/>
                <w:vertAlign w:val="superscript"/>
              </w:rPr>
              <w:t>a</w:t>
            </w:r>
            <w:r w:rsidRPr="00214F35">
              <w:rPr>
                <w:rFonts w:ascii="Calibri" w:hAnsi="Calibri"/>
                <w:sz w:val="18"/>
                <w:szCs w:val="18"/>
              </w:rPr>
              <w:t xml:space="preserve"> NPD – No Performance Determined (właściwość użytkowa nie określana)</w:t>
            </w:r>
          </w:p>
          <w:p w:rsidR="00134B2C" w:rsidRPr="00214F35" w:rsidRDefault="00134B2C" w:rsidP="00FD47C7">
            <w:pPr>
              <w:rPr>
                <w:rFonts w:ascii="Calibri" w:hAnsi="Calibri"/>
                <w:sz w:val="18"/>
                <w:szCs w:val="18"/>
              </w:rPr>
            </w:pPr>
            <w:r w:rsidRPr="00214F35">
              <w:rPr>
                <w:rFonts w:ascii="Calibri" w:hAnsi="Calibri"/>
                <w:sz w:val="18"/>
                <w:szCs w:val="18"/>
                <w:vertAlign w:val="superscript"/>
              </w:rPr>
              <w:t>b</w:t>
            </w:r>
            <w:r w:rsidRPr="00214F35">
              <w:rPr>
                <w:rFonts w:ascii="Calibri" w:hAnsi="Calibri"/>
                <w:sz w:val="18"/>
                <w:szCs w:val="18"/>
              </w:rPr>
              <w:t xml:space="preserve"> TBR – To Be Reported (do zadeklarowania)</w:t>
            </w:r>
          </w:p>
        </w:tc>
      </w:tr>
    </w:tbl>
    <w:p w:rsidR="00134B2C" w:rsidRPr="00214F35" w:rsidRDefault="00134B2C" w:rsidP="00134B2C">
      <w:pPr>
        <w:rPr>
          <w:rFonts w:ascii="Calibri" w:hAnsi="Calibri"/>
        </w:rPr>
      </w:pPr>
      <w:r w:rsidRPr="00214F35">
        <w:rPr>
          <w:rFonts w:ascii="Calibri" w:hAnsi="Calibri"/>
        </w:rPr>
        <w:tab/>
      </w:r>
    </w:p>
    <w:p w:rsidR="00134B2C" w:rsidRPr="00214F35" w:rsidRDefault="00134B2C" w:rsidP="00134B2C">
      <w:pPr>
        <w:rPr>
          <w:rFonts w:ascii="Calibri" w:hAnsi="Calibri"/>
        </w:rPr>
      </w:pPr>
      <w:r w:rsidRPr="00214F35">
        <w:rPr>
          <w:rFonts w:ascii="Calibri" w:hAnsi="Calibri"/>
        </w:rPr>
        <w:t xml:space="preserve">Składowanie asfaltu drogowego powinno się odbywać w zbiornikach, wykluczających zanieczyszczenie asfaltu i wyposażonych w system grzewczy pośredni (bez kontaktu asfaltu z przewodami grzewczymi). Zbiornik roboczy otaczarki powinien być izolowany termicznie, posiadać automatyczny system grzewczy z tolerancją ± </w:t>
      </w:r>
      <w:smartTag w:uri="urn:schemas-microsoft-com:office:smarttags" w:element="metricconverter">
        <w:smartTagPr>
          <w:attr w:name="ProductID" w:val="5ﾰC"/>
        </w:smartTagPr>
        <w:r w:rsidRPr="00214F35">
          <w:rPr>
            <w:rFonts w:ascii="Calibri" w:hAnsi="Calibri"/>
          </w:rPr>
          <w:t>5°C</w:t>
        </w:r>
      </w:smartTag>
      <w:r w:rsidRPr="00214F35">
        <w:rPr>
          <w:rFonts w:ascii="Calibri" w:hAnsi="Calibri"/>
        </w:rPr>
        <w:t xml:space="preserve"> oraz układ cyrkulacji asfaltu.</w:t>
      </w:r>
    </w:p>
    <w:p w:rsidR="00134B2C" w:rsidRPr="00214F35" w:rsidRDefault="00134B2C" w:rsidP="00134B2C">
      <w:pPr>
        <w:rPr>
          <w:rFonts w:ascii="Calibri" w:hAnsi="Calibri"/>
        </w:rPr>
      </w:pPr>
      <w:r w:rsidRPr="00214F35">
        <w:rPr>
          <w:rFonts w:ascii="Calibri" w:hAnsi="Calibri"/>
        </w:rPr>
        <w:tab/>
        <w:t xml:space="preserve">Polimeroasfalt powinien być magazynowany w zbiorniku wyposażonym w system grzewczy pośredni z termostatem kontrolującym temperaturę z dokładnością  ± </w:t>
      </w:r>
      <w:smartTag w:uri="urn:schemas-microsoft-com:office:smarttags" w:element="metricconverter">
        <w:smartTagPr>
          <w:attr w:name="ProductID" w:val="5ﾰC"/>
        </w:smartTagPr>
        <w:r w:rsidRPr="00214F35">
          <w:rPr>
            <w:rFonts w:ascii="Calibri" w:hAnsi="Calibri"/>
          </w:rPr>
          <w:t>5°C</w:t>
        </w:r>
      </w:smartTag>
      <w:r w:rsidRPr="00214F35">
        <w:rPr>
          <w:rFonts w:ascii="Calibri" w:hAnsi="Calibri"/>
        </w:rPr>
        <w:t>. Zaleca się wyposażenie zbiornika w mieszadło. Zaleca się bezpośrednie zużycie polimeroasfaltu po dostarczeniu. Należy unikać wielokrotnego rozgrzewania i chłodzenia polimeroasfaltu w okresie jego stosowania oraz unikać niekontrolowanego mieszania polimeroasfaltów różnego rodzaju i klasy oraz z asfaltem zwykłym.</w:t>
      </w:r>
    </w:p>
    <w:p w:rsidR="00134B2C" w:rsidRPr="00214F35" w:rsidRDefault="00134B2C" w:rsidP="00134B2C">
      <w:pPr>
        <w:rPr>
          <w:rFonts w:ascii="Calibri" w:hAnsi="Calibri"/>
        </w:rPr>
      </w:pPr>
      <w:r w:rsidRPr="00EC730D">
        <w:rPr>
          <w:rFonts w:ascii="Calibri" w:hAnsi="Calibri"/>
          <w:b/>
        </w:rPr>
        <w:t>2.3.</w:t>
      </w:r>
      <w:r w:rsidRPr="00214F35">
        <w:rPr>
          <w:rFonts w:ascii="Calibri" w:hAnsi="Calibri"/>
        </w:rPr>
        <w:t xml:space="preserve"> Kruszywo </w:t>
      </w:r>
    </w:p>
    <w:p w:rsidR="00134B2C" w:rsidRPr="00214F35" w:rsidRDefault="00134B2C" w:rsidP="00134B2C">
      <w:pPr>
        <w:rPr>
          <w:rFonts w:ascii="Calibri" w:hAnsi="Calibri"/>
        </w:rPr>
      </w:pPr>
      <w:r w:rsidRPr="00214F35">
        <w:rPr>
          <w:rFonts w:ascii="Calibri" w:hAnsi="Calibri"/>
        </w:rPr>
        <w:tab/>
        <w:t>Do warstwy ścieralnej z betonu asfaltowego należy stosować kruszywo według PN-EN 13043 [44] i WT-1 Kruszywa 2010 [64], obejmujące kruszywo grube , kruszywo drobne  i wypełniacz. Kruszywa powinny spełniać wymagania podane w WT-1 Kruszywa 2010 [64] – tablica 12, 13, 14, 15.</w:t>
      </w:r>
    </w:p>
    <w:p w:rsidR="00134B2C" w:rsidRPr="00214F35" w:rsidRDefault="00134B2C" w:rsidP="00134B2C">
      <w:pPr>
        <w:rPr>
          <w:rFonts w:ascii="Calibri" w:hAnsi="Calibri"/>
        </w:rPr>
      </w:pPr>
      <w:r w:rsidRPr="00214F35">
        <w:rPr>
          <w:rFonts w:ascii="Calibri" w:hAnsi="Calibri"/>
        </w:rPr>
        <w:tab/>
        <w:t>Składowanie kruszywa powinno się odbywać w warunkach zabezpieczających je przed zanieczyszczeniem i zmieszaniem z kruszywem o innym wymiarze lub pochodzeniu. Podłoże składowiska musi być równe, utwardzone i odwodnione. Składowanie wypełniacza powinno się odbywać w silosach wyposażonych w urządzenia do aeracji.</w:t>
      </w:r>
    </w:p>
    <w:p w:rsidR="00134B2C" w:rsidRPr="00214F35" w:rsidRDefault="00134B2C" w:rsidP="00134B2C">
      <w:pPr>
        <w:rPr>
          <w:rFonts w:ascii="Calibri" w:hAnsi="Calibri"/>
        </w:rPr>
      </w:pPr>
      <w:r w:rsidRPr="00EC730D">
        <w:rPr>
          <w:rFonts w:ascii="Calibri" w:hAnsi="Calibri"/>
          <w:b/>
        </w:rPr>
        <w:t>2.4.</w:t>
      </w:r>
      <w:r w:rsidRPr="00214F35">
        <w:rPr>
          <w:rFonts w:ascii="Calibri" w:hAnsi="Calibri"/>
        </w:rPr>
        <w:t xml:space="preserve"> Środek adhezyjny</w:t>
      </w:r>
    </w:p>
    <w:p w:rsidR="00134B2C" w:rsidRPr="00214F35" w:rsidRDefault="00134B2C" w:rsidP="00134B2C">
      <w:pPr>
        <w:rPr>
          <w:rFonts w:ascii="Calibri" w:hAnsi="Calibri"/>
        </w:rPr>
      </w:pPr>
      <w:r w:rsidRPr="00214F35">
        <w:rPr>
          <w:rFonts w:ascii="Calibri" w:hAnsi="Calibri"/>
        </w:rPr>
        <w:tab/>
        <w:t>W celu poprawy powinowactwa fizykochemicznego lepiszcza asfaltowego i kruszywa, gwarantującego odpowiednią przyczepność (adhezję) lepiszcza do kruszywa i odporność mieszanki mineralno-asfaltowej na działanie wody, należy dobrać i zastosować środek adhezyjny, tak aby dla konkretnej pary kruszywo-lepiszcze wartość przyczepności określona według PN-EN 12697-11, metoda C [34] wynosiła co najmniej 80%.</w:t>
      </w:r>
    </w:p>
    <w:p w:rsidR="00134B2C" w:rsidRPr="00214F35" w:rsidRDefault="00134B2C" w:rsidP="00134B2C">
      <w:pPr>
        <w:rPr>
          <w:rFonts w:ascii="Calibri" w:hAnsi="Calibri"/>
        </w:rPr>
      </w:pPr>
      <w:r w:rsidRPr="00214F35">
        <w:rPr>
          <w:rFonts w:ascii="Calibri" w:hAnsi="Calibri"/>
        </w:rPr>
        <w:tab/>
        <w:t>Środek adhezyjny powinien odpowiadać wymaganiom określonym przez producenta.</w:t>
      </w:r>
    </w:p>
    <w:p w:rsidR="00134B2C" w:rsidRPr="00214F35" w:rsidRDefault="00134B2C" w:rsidP="00134B2C">
      <w:pPr>
        <w:rPr>
          <w:rFonts w:ascii="Calibri" w:hAnsi="Calibri"/>
        </w:rPr>
      </w:pPr>
      <w:r w:rsidRPr="00214F35">
        <w:rPr>
          <w:rFonts w:ascii="Calibri" w:hAnsi="Calibri"/>
        </w:rPr>
        <w:tab/>
        <w:t>Składowanie środka adhezyjnego jest dozwolone tylko w oryginalnych opakowaniach, w warunkach określonych przez producenta.</w:t>
      </w:r>
    </w:p>
    <w:p w:rsidR="00134B2C" w:rsidRPr="00214F35" w:rsidRDefault="00134B2C" w:rsidP="00134B2C">
      <w:pPr>
        <w:rPr>
          <w:rFonts w:ascii="Calibri" w:hAnsi="Calibri"/>
        </w:rPr>
      </w:pPr>
      <w:r w:rsidRPr="00EC730D">
        <w:rPr>
          <w:rFonts w:ascii="Calibri" w:hAnsi="Calibri"/>
          <w:b/>
        </w:rPr>
        <w:lastRenderedPageBreak/>
        <w:t>2.5.</w:t>
      </w:r>
      <w:r w:rsidRPr="00214F35">
        <w:rPr>
          <w:rFonts w:ascii="Calibri" w:hAnsi="Calibri"/>
        </w:rPr>
        <w:t xml:space="preserve"> Materiały do uszczelnienia połączeń i krawędzi</w:t>
      </w:r>
    </w:p>
    <w:p w:rsidR="00134B2C" w:rsidRPr="00214F35" w:rsidRDefault="00134B2C" w:rsidP="00134B2C">
      <w:pPr>
        <w:rPr>
          <w:rFonts w:ascii="Calibri" w:hAnsi="Calibri"/>
        </w:rPr>
      </w:pPr>
      <w:r w:rsidRPr="00214F35">
        <w:rPr>
          <w:rFonts w:ascii="Calibri" w:hAnsi="Calibri"/>
        </w:rPr>
        <w:tab/>
        <w:t>Do uszczelnienia połączeń technologicznych (tj. złączy podłużnych i poprzecznych z tego samego materiału wykonywanego w różnym czasie oraz spoin stanowiących połączenia różnych materiałów lub połączenie warstwy asfaltowej z urządzeniami obcymi w nawierzchni lub ją ograniczającymi, należy stosować:</w:t>
      </w:r>
    </w:p>
    <w:p w:rsidR="00134B2C" w:rsidRPr="00214F35" w:rsidRDefault="00134B2C" w:rsidP="00134B2C">
      <w:pPr>
        <w:rPr>
          <w:rFonts w:ascii="Calibri" w:hAnsi="Calibri"/>
        </w:rPr>
      </w:pPr>
      <w:r>
        <w:rPr>
          <w:rFonts w:ascii="Calibri" w:hAnsi="Calibri"/>
        </w:rPr>
        <w:t>-</w:t>
      </w:r>
      <w:r w:rsidRPr="00214F35">
        <w:rPr>
          <w:rFonts w:ascii="Calibri" w:hAnsi="Calibri"/>
        </w:rPr>
        <w:t>materiały termoplastyczne, jak taśmy asfaltowe, pasty itp. według norm lub aprobat technicznych,</w:t>
      </w:r>
    </w:p>
    <w:p w:rsidR="00134B2C" w:rsidRPr="00214F35" w:rsidRDefault="00134B2C" w:rsidP="00134B2C">
      <w:pPr>
        <w:rPr>
          <w:rFonts w:ascii="Calibri" w:hAnsi="Calibri"/>
        </w:rPr>
      </w:pPr>
      <w:r>
        <w:rPr>
          <w:rFonts w:ascii="Calibri" w:hAnsi="Calibri"/>
        </w:rPr>
        <w:t>-</w:t>
      </w:r>
      <w:r w:rsidRPr="00214F35">
        <w:rPr>
          <w:rFonts w:ascii="Calibri" w:hAnsi="Calibri"/>
        </w:rPr>
        <w:t>emulsję asfaltową według PN-EN 13808 [58] lub inne lepiszcza wedłu</w:t>
      </w:r>
      <w:r>
        <w:rPr>
          <w:rFonts w:ascii="Calibri" w:hAnsi="Calibri"/>
        </w:rPr>
        <w:t>g norm lub aprobat technicznych.</w:t>
      </w:r>
      <w:r w:rsidRPr="00214F35">
        <w:rPr>
          <w:rFonts w:ascii="Calibri" w:hAnsi="Calibri"/>
        </w:rPr>
        <w:t xml:space="preserve"> </w:t>
      </w:r>
    </w:p>
    <w:p w:rsidR="00134B2C" w:rsidRPr="00214F35" w:rsidRDefault="00134B2C" w:rsidP="00134B2C">
      <w:pPr>
        <w:rPr>
          <w:rFonts w:ascii="Calibri" w:hAnsi="Calibri"/>
        </w:rPr>
      </w:pPr>
      <w:r w:rsidRPr="00214F35">
        <w:rPr>
          <w:rFonts w:ascii="Calibri" w:hAnsi="Calibri"/>
        </w:rPr>
        <w:t>Grubość materiału termoplastycznego do spoiny powinna wynosić:</w:t>
      </w:r>
    </w:p>
    <w:p w:rsidR="00134B2C" w:rsidRPr="00214F35" w:rsidRDefault="00134B2C" w:rsidP="00134B2C">
      <w:pPr>
        <w:rPr>
          <w:rFonts w:ascii="Calibri" w:hAnsi="Calibri"/>
        </w:rPr>
      </w:pPr>
      <w:r>
        <w:rPr>
          <w:rFonts w:ascii="Calibri" w:hAnsi="Calibri"/>
        </w:rPr>
        <w:t>-</w:t>
      </w:r>
      <w:r w:rsidRPr="00214F35">
        <w:rPr>
          <w:rFonts w:ascii="Calibri" w:hAnsi="Calibri"/>
        </w:rPr>
        <w:t xml:space="preserve">nie mniej niż </w:t>
      </w:r>
      <w:smartTag w:uri="urn:schemas-microsoft-com:office:smarttags" w:element="metricconverter">
        <w:smartTagPr>
          <w:attr w:name="ProductID" w:val="10 mm"/>
        </w:smartTagPr>
        <w:r w:rsidRPr="00214F35">
          <w:rPr>
            <w:rFonts w:ascii="Calibri" w:hAnsi="Calibri"/>
          </w:rPr>
          <w:t>10 mm</w:t>
        </w:r>
      </w:smartTag>
      <w:r w:rsidRPr="00214F35">
        <w:rPr>
          <w:rFonts w:ascii="Calibri" w:hAnsi="Calibri"/>
        </w:rPr>
        <w:t xml:space="preserve"> przy grubości warstwy technologicznej do </w:t>
      </w:r>
      <w:smartTag w:uri="urn:schemas-microsoft-com:office:smarttags" w:element="metricconverter">
        <w:smartTagPr>
          <w:attr w:name="ProductID" w:val="2,5 cm"/>
        </w:smartTagPr>
        <w:r w:rsidRPr="00214F35">
          <w:rPr>
            <w:rFonts w:ascii="Calibri" w:hAnsi="Calibri"/>
          </w:rPr>
          <w:t>2,5 cm</w:t>
        </w:r>
      </w:smartTag>
      <w:r w:rsidRPr="00214F35">
        <w:rPr>
          <w:rFonts w:ascii="Calibri" w:hAnsi="Calibri"/>
        </w:rPr>
        <w:t>,</w:t>
      </w:r>
    </w:p>
    <w:p w:rsidR="00134B2C" w:rsidRPr="00214F35" w:rsidRDefault="00134B2C" w:rsidP="00134B2C">
      <w:pPr>
        <w:rPr>
          <w:rFonts w:ascii="Calibri" w:hAnsi="Calibri"/>
        </w:rPr>
      </w:pPr>
      <w:r>
        <w:rPr>
          <w:rFonts w:ascii="Calibri" w:hAnsi="Calibri"/>
        </w:rPr>
        <w:t>-</w:t>
      </w:r>
      <w:r w:rsidRPr="00214F35">
        <w:rPr>
          <w:rFonts w:ascii="Calibri" w:hAnsi="Calibri"/>
        </w:rPr>
        <w:t xml:space="preserve">nie mniej niż </w:t>
      </w:r>
      <w:smartTag w:uri="urn:schemas-microsoft-com:office:smarttags" w:element="metricconverter">
        <w:smartTagPr>
          <w:attr w:name="ProductID" w:val="15 mm"/>
        </w:smartTagPr>
        <w:r w:rsidRPr="00214F35">
          <w:rPr>
            <w:rFonts w:ascii="Calibri" w:hAnsi="Calibri"/>
          </w:rPr>
          <w:t>15 mm</w:t>
        </w:r>
      </w:smartTag>
      <w:r w:rsidRPr="00214F35">
        <w:rPr>
          <w:rFonts w:ascii="Calibri" w:hAnsi="Calibri"/>
        </w:rPr>
        <w:t xml:space="preserve"> przy grubości warstwy technologicznej większej niż </w:t>
      </w:r>
      <w:smartTag w:uri="urn:schemas-microsoft-com:office:smarttags" w:element="metricconverter">
        <w:smartTagPr>
          <w:attr w:name="ProductID" w:val="2,5 cm"/>
        </w:smartTagPr>
        <w:r w:rsidRPr="00214F35">
          <w:rPr>
            <w:rFonts w:ascii="Calibri" w:hAnsi="Calibri"/>
          </w:rPr>
          <w:t>2,5 cm</w:t>
        </w:r>
      </w:smartTag>
      <w:r w:rsidRPr="00214F35">
        <w:rPr>
          <w:rFonts w:ascii="Calibri" w:hAnsi="Calibri"/>
        </w:rPr>
        <w:t>.</w:t>
      </w:r>
    </w:p>
    <w:p w:rsidR="00134B2C" w:rsidRPr="00214F35" w:rsidRDefault="00134B2C" w:rsidP="00134B2C">
      <w:pPr>
        <w:rPr>
          <w:rFonts w:ascii="Calibri" w:hAnsi="Calibri"/>
        </w:rPr>
      </w:pPr>
      <w:r w:rsidRPr="00214F35">
        <w:rPr>
          <w:rFonts w:ascii="Calibri" w:hAnsi="Calibri"/>
        </w:rPr>
        <w:t>Składowanie materiałów termoplastycznych jest dozwolone tylko w oryginalnych opakowaniach producenta, w warunkach określonych w aprobacie technicznej.</w:t>
      </w:r>
    </w:p>
    <w:p w:rsidR="00134B2C" w:rsidRPr="00214F35" w:rsidRDefault="00134B2C" w:rsidP="00134B2C">
      <w:pPr>
        <w:rPr>
          <w:rFonts w:ascii="Calibri" w:hAnsi="Calibri"/>
        </w:rPr>
      </w:pPr>
      <w:r w:rsidRPr="00214F35">
        <w:rPr>
          <w:rFonts w:ascii="Calibri" w:hAnsi="Calibri"/>
        </w:rPr>
        <w:t>Do uszczelnienia krawędzi należy stosować asfalt drogowy wg PN-EN 12591 [27], asfalt modyfikowany polimerami wg PN-EN 14023 [59] „metoda na gorąco”. Dopuszcza się inne rodzaje lepiszcza wg norm lub aprobat technicznych.</w:t>
      </w:r>
    </w:p>
    <w:p w:rsidR="00134B2C" w:rsidRPr="00214F35" w:rsidRDefault="00134B2C" w:rsidP="00134B2C">
      <w:pPr>
        <w:rPr>
          <w:rFonts w:ascii="Calibri" w:hAnsi="Calibri"/>
        </w:rPr>
      </w:pPr>
      <w:r w:rsidRPr="00EC730D">
        <w:rPr>
          <w:rFonts w:ascii="Calibri" w:hAnsi="Calibri"/>
          <w:b/>
        </w:rPr>
        <w:t>2.6.</w:t>
      </w:r>
      <w:r w:rsidRPr="00214F35">
        <w:rPr>
          <w:rFonts w:ascii="Calibri" w:hAnsi="Calibri"/>
        </w:rPr>
        <w:t xml:space="preserve"> Materiały do złączenia warstw konstrukcji</w:t>
      </w:r>
    </w:p>
    <w:p w:rsidR="00134B2C" w:rsidRPr="00214F35" w:rsidRDefault="00134B2C" w:rsidP="00134B2C">
      <w:pPr>
        <w:rPr>
          <w:rFonts w:ascii="Calibri" w:hAnsi="Calibri"/>
        </w:rPr>
      </w:pPr>
      <w:r w:rsidRPr="00214F35">
        <w:rPr>
          <w:rFonts w:ascii="Calibri" w:hAnsi="Calibri"/>
        </w:rPr>
        <w:tab/>
        <w:t>Do złączania warstw konstrukcji nawierzchni (warstwa wiążąca z warstwą ścieralną) należy stosować  kationowe emulsje asfaltowe lub kationowe emulsje modyfikowane polimerami według PN-EN 13808 [58] i WT-3 Emulsje asfaltowe 2009 [66] punkt 5.1 tablica 2 i tablica 3.</w:t>
      </w:r>
    </w:p>
    <w:p w:rsidR="00134B2C" w:rsidRPr="00214F35" w:rsidRDefault="00134B2C" w:rsidP="00134B2C">
      <w:pPr>
        <w:rPr>
          <w:rFonts w:ascii="Calibri" w:hAnsi="Calibri"/>
        </w:rPr>
      </w:pPr>
      <w:r w:rsidRPr="00214F35">
        <w:rPr>
          <w:rFonts w:ascii="Calibri" w:hAnsi="Calibri"/>
        </w:rPr>
        <w:t>Kationowe emulsje asfaltowe modyfikowane polimerami (asfalt 70/100 modyfikowany polimerem lub lateksem butadienowo-styrenowym SBR) stosuje się tylko pod cienkie warstwy asfaltowe na gorąco.</w:t>
      </w:r>
    </w:p>
    <w:p w:rsidR="00134B2C" w:rsidRDefault="00134B2C" w:rsidP="00134B2C">
      <w:pPr>
        <w:rPr>
          <w:rFonts w:ascii="Calibri" w:hAnsi="Calibri"/>
        </w:rPr>
      </w:pPr>
      <w:r w:rsidRPr="00214F35">
        <w:rPr>
          <w:rFonts w:ascii="Calibri" w:hAnsi="Calibri"/>
        </w:rPr>
        <w:tab/>
        <w:t xml:space="preserve">Emulsję asfaltową można składować w opakowaniach transportowych lub w stacjonarnych zbiornikach pionowych z nalewaniem od dna. Nie należy nalewać emulsji do opakowań i zbiorników zanieczyszczonych materiałami mineralnymi. </w:t>
      </w:r>
    </w:p>
    <w:p w:rsidR="00134B2C" w:rsidRPr="00214F35" w:rsidRDefault="00134B2C" w:rsidP="00134B2C">
      <w:pPr>
        <w:rPr>
          <w:rFonts w:ascii="Calibri" w:hAnsi="Calibri"/>
        </w:rPr>
      </w:pPr>
    </w:p>
    <w:p w:rsidR="00134B2C" w:rsidRPr="00EC730D" w:rsidRDefault="00134B2C" w:rsidP="00134B2C">
      <w:pPr>
        <w:rPr>
          <w:rFonts w:ascii="Calibri" w:hAnsi="Calibri"/>
          <w:b/>
        </w:rPr>
      </w:pPr>
      <w:bookmarkStart w:id="1485" w:name="_Toc237920701"/>
      <w:r w:rsidRPr="00EC730D">
        <w:rPr>
          <w:rFonts w:ascii="Calibri" w:hAnsi="Calibri"/>
          <w:b/>
        </w:rPr>
        <w:t xml:space="preserve">3. </w:t>
      </w:r>
      <w:bookmarkEnd w:id="1485"/>
      <w:r w:rsidRPr="00EC730D">
        <w:rPr>
          <w:rFonts w:ascii="Calibri" w:hAnsi="Calibri"/>
          <w:b/>
        </w:rPr>
        <w:t>SPRZĘT</w:t>
      </w:r>
    </w:p>
    <w:p w:rsidR="00134B2C" w:rsidRPr="00214F35" w:rsidRDefault="00134B2C" w:rsidP="00134B2C">
      <w:pPr>
        <w:rPr>
          <w:rFonts w:ascii="Calibri" w:hAnsi="Calibri"/>
        </w:rPr>
      </w:pPr>
      <w:r w:rsidRPr="00EC730D">
        <w:rPr>
          <w:rFonts w:ascii="Calibri" w:hAnsi="Calibri"/>
          <w:b/>
        </w:rPr>
        <w:t>3.1.</w:t>
      </w:r>
      <w:r w:rsidRPr="00214F35">
        <w:rPr>
          <w:rFonts w:ascii="Calibri" w:hAnsi="Calibri"/>
        </w:rPr>
        <w:t xml:space="preserve"> Ogólne wymagania dotyczące sprzętu</w:t>
      </w:r>
    </w:p>
    <w:p w:rsidR="00134B2C" w:rsidRPr="00214F35" w:rsidRDefault="00134B2C" w:rsidP="00134B2C">
      <w:pPr>
        <w:rPr>
          <w:rFonts w:ascii="Calibri" w:hAnsi="Calibri"/>
        </w:rPr>
      </w:pPr>
      <w:r w:rsidRPr="00214F35">
        <w:rPr>
          <w:rFonts w:ascii="Calibri" w:hAnsi="Calibri"/>
        </w:rPr>
        <w:tab/>
        <w:t>Ogólne wymagania dotyczące sprzętu podano w</w:t>
      </w:r>
      <w:r>
        <w:rPr>
          <w:rFonts w:ascii="Calibri" w:hAnsi="Calibri"/>
        </w:rPr>
        <w:t xml:space="preserve"> </w:t>
      </w:r>
      <w:r w:rsidRPr="00214F35">
        <w:rPr>
          <w:rFonts w:ascii="Calibri" w:hAnsi="Calibri"/>
        </w:rPr>
        <w:t>ST  D-M-00.00.00 „Wymagania ogólne” [1] pkt 3.</w:t>
      </w:r>
    </w:p>
    <w:p w:rsidR="00134B2C" w:rsidRPr="00214F35" w:rsidRDefault="00134B2C" w:rsidP="00134B2C">
      <w:pPr>
        <w:rPr>
          <w:rFonts w:ascii="Calibri" w:hAnsi="Calibri"/>
        </w:rPr>
      </w:pPr>
      <w:r w:rsidRPr="00EC730D">
        <w:rPr>
          <w:rFonts w:ascii="Calibri" w:hAnsi="Calibri"/>
          <w:b/>
        </w:rPr>
        <w:t>3.2.</w:t>
      </w:r>
      <w:r w:rsidRPr="00214F35">
        <w:rPr>
          <w:rFonts w:ascii="Calibri" w:hAnsi="Calibri"/>
        </w:rPr>
        <w:t xml:space="preserve"> Sprzęt stosowany do wykonania robót</w:t>
      </w:r>
    </w:p>
    <w:p w:rsidR="00134B2C" w:rsidRPr="00214F35" w:rsidRDefault="00134B2C" w:rsidP="00134B2C">
      <w:pPr>
        <w:rPr>
          <w:rFonts w:ascii="Calibri" w:hAnsi="Calibri"/>
        </w:rPr>
      </w:pPr>
      <w:r w:rsidRPr="00214F35">
        <w:rPr>
          <w:rFonts w:ascii="Calibri" w:hAnsi="Calibri"/>
        </w:rPr>
        <w:tab/>
        <w:t>Przy wykonywaniu robót Wykonawca w zależności od potrzeb, powinien wykazać się możliwością korzystania ze sprzętu dostosowanego do przyjętej metody robót, jak:</w:t>
      </w:r>
    </w:p>
    <w:p w:rsidR="00134B2C" w:rsidRPr="00214F35" w:rsidRDefault="00134B2C" w:rsidP="00134B2C">
      <w:pPr>
        <w:rPr>
          <w:rFonts w:ascii="Calibri" w:hAnsi="Calibri"/>
        </w:rPr>
      </w:pPr>
      <w:r>
        <w:rPr>
          <w:rFonts w:ascii="Calibri" w:hAnsi="Calibri"/>
        </w:rPr>
        <w:t>-</w:t>
      </w:r>
      <w:r w:rsidRPr="00214F35">
        <w:rPr>
          <w:rFonts w:ascii="Calibri" w:hAnsi="Calibri"/>
        </w:rPr>
        <w:t xml:space="preserve">wytwórnia (otaczarka) o mieszaniu cyklicznym lub ciągłym, z automatycznym komputerowym sterowaniem produkcji, do wytwarzania mieszanek mineralno-asfaltowych, </w:t>
      </w:r>
    </w:p>
    <w:p w:rsidR="00134B2C" w:rsidRPr="00214F35" w:rsidRDefault="00134B2C" w:rsidP="00134B2C">
      <w:pPr>
        <w:rPr>
          <w:rFonts w:ascii="Calibri" w:hAnsi="Calibri"/>
        </w:rPr>
      </w:pPr>
      <w:r>
        <w:rPr>
          <w:rFonts w:ascii="Calibri" w:hAnsi="Calibri"/>
        </w:rPr>
        <w:t>-</w:t>
      </w:r>
      <w:r w:rsidRPr="00214F35">
        <w:rPr>
          <w:rFonts w:ascii="Calibri" w:hAnsi="Calibri"/>
        </w:rPr>
        <w:t>układarka gąsienicowa, z elektronicznym sterowaniem równości układanej warstwy,</w:t>
      </w:r>
    </w:p>
    <w:p w:rsidR="00134B2C" w:rsidRPr="00214F35" w:rsidRDefault="00134B2C" w:rsidP="00134B2C">
      <w:pPr>
        <w:rPr>
          <w:rFonts w:ascii="Calibri" w:hAnsi="Calibri"/>
        </w:rPr>
      </w:pPr>
      <w:r>
        <w:rPr>
          <w:rFonts w:ascii="Calibri" w:hAnsi="Calibri"/>
        </w:rPr>
        <w:t>-</w:t>
      </w:r>
      <w:r w:rsidRPr="00214F35">
        <w:rPr>
          <w:rFonts w:ascii="Calibri" w:hAnsi="Calibri"/>
        </w:rPr>
        <w:t>skrapiarka,</w:t>
      </w:r>
    </w:p>
    <w:p w:rsidR="00134B2C" w:rsidRPr="00214F35" w:rsidRDefault="00134B2C" w:rsidP="00134B2C">
      <w:pPr>
        <w:rPr>
          <w:rFonts w:ascii="Calibri" w:hAnsi="Calibri"/>
        </w:rPr>
      </w:pPr>
      <w:r>
        <w:rPr>
          <w:rFonts w:ascii="Calibri" w:hAnsi="Calibri"/>
        </w:rPr>
        <w:t>-</w:t>
      </w:r>
      <w:r w:rsidRPr="00214F35">
        <w:rPr>
          <w:rFonts w:ascii="Calibri" w:hAnsi="Calibri"/>
        </w:rPr>
        <w:t xml:space="preserve">walce stalowe gładkie, </w:t>
      </w:r>
    </w:p>
    <w:p w:rsidR="00134B2C" w:rsidRPr="00214F35" w:rsidRDefault="00134B2C" w:rsidP="00134B2C">
      <w:pPr>
        <w:rPr>
          <w:rFonts w:ascii="Calibri" w:hAnsi="Calibri"/>
        </w:rPr>
      </w:pPr>
      <w:r>
        <w:rPr>
          <w:rFonts w:ascii="Calibri" w:hAnsi="Calibri"/>
        </w:rPr>
        <w:t>-</w:t>
      </w:r>
      <w:r w:rsidRPr="00214F35">
        <w:rPr>
          <w:rFonts w:ascii="Calibri" w:hAnsi="Calibri"/>
        </w:rPr>
        <w:t>lekka rozsypywarka kruszywa,</w:t>
      </w:r>
    </w:p>
    <w:p w:rsidR="00134B2C" w:rsidRPr="00214F35" w:rsidRDefault="00134B2C" w:rsidP="00134B2C">
      <w:pPr>
        <w:rPr>
          <w:rFonts w:ascii="Calibri" w:hAnsi="Calibri"/>
        </w:rPr>
      </w:pPr>
      <w:r>
        <w:rPr>
          <w:rFonts w:ascii="Calibri" w:hAnsi="Calibri"/>
        </w:rPr>
        <w:t>-</w:t>
      </w:r>
      <w:r w:rsidRPr="00214F35">
        <w:rPr>
          <w:rFonts w:ascii="Calibri" w:hAnsi="Calibri"/>
        </w:rPr>
        <w:t>szczotki mechaniczne i/lub inne urządzenia czyszczące,</w:t>
      </w:r>
    </w:p>
    <w:p w:rsidR="00134B2C" w:rsidRPr="00214F35" w:rsidRDefault="00134B2C" w:rsidP="00134B2C">
      <w:pPr>
        <w:rPr>
          <w:rFonts w:ascii="Calibri" w:hAnsi="Calibri"/>
        </w:rPr>
      </w:pPr>
      <w:r>
        <w:rPr>
          <w:rFonts w:ascii="Calibri" w:hAnsi="Calibri"/>
        </w:rPr>
        <w:t>-</w:t>
      </w:r>
      <w:r w:rsidRPr="00214F35">
        <w:rPr>
          <w:rFonts w:ascii="Calibri" w:hAnsi="Calibri"/>
        </w:rPr>
        <w:t>samochody samowyładowcze z przykryciem brezentowym lub termosami,</w:t>
      </w:r>
    </w:p>
    <w:p w:rsidR="00134B2C" w:rsidRDefault="00134B2C" w:rsidP="00134B2C">
      <w:pPr>
        <w:rPr>
          <w:rFonts w:ascii="Calibri" w:hAnsi="Calibri"/>
        </w:rPr>
      </w:pPr>
      <w:r>
        <w:rPr>
          <w:rFonts w:ascii="Calibri" w:hAnsi="Calibri"/>
        </w:rPr>
        <w:t>-</w:t>
      </w:r>
      <w:r w:rsidRPr="00214F35">
        <w:rPr>
          <w:rFonts w:ascii="Calibri" w:hAnsi="Calibri"/>
        </w:rPr>
        <w:t>sprzęt drobny.</w:t>
      </w:r>
    </w:p>
    <w:p w:rsidR="00134B2C" w:rsidRPr="00214F35" w:rsidRDefault="00134B2C" w:rsidP="00134B2C">
      <w:pPr>
        <w:rPr>
          <w:rFonts w:ascii="Calibri" w:hAnsi="Calibri"/>
        </w:rPr>
      </w:pPr>
    </w:p>
    <w:p w:rsidR="00134B2C" w:rsidRPr="00EC730D" w:rsidRDefault="00134B2C" w:rsidP="00134B2C">
      <w:pPr>
        <w:rPr>
          <w:rFonts w:ascii="Calibri" w:hAnsi="Calibri"/>
          <w:b/>
        </w:rPr>
      </w:pPr>
      <w:bookmarkStart w:id="1486" w:name="_Toc237920702"/>
      <w:r w:rsidRPr="00EC730D">
        <w:rPr>
          <w:rFonts w:ascii="Calibri" w:hAnsi="Calibri"/>
          <w:b/>
        </w:rPr>
        <w:t xml:space="preserve">4. </w:t>
      </w:r>
      <w:bookmarkEnd w:id="1486"/>
      <w:r w:rsidRPr="00EC730D">
        <w:rPr>
          <w:rFonts w:ascii="Calibri" w:hAnsi="Calibri"/>
          <w:b/>
        </w:rPr>
        <w:t>TRANSPORT</w:t>
      </w:r>
    </w:p>
    <w:p w:rsidR="00134B2C" w:rsidRPr="00214F35" w:rsidRDefault="00134B2C" w:rsidP="00134B2C">
      <w:pPr>
        <w:rPr>
          <w:rFonts w:ascii="Calibri" w:hAnsi="Calibri"/>
        </w:rPr>
      </w:pPr>
      <w:r w:rsidRPr="00EC730D">
        <w:rPr>
          <w:rFonts w:ascii="Calibri" w:hAnsi="Calibri"/>
          <w:b/>
        </w:rPr>
        <w:t>4.1.</w:t>
      </w:r>
      <w:r w:rsidRPr="00214F35">
        <w:rPr>
          <w:rFonts w:ascii="Calibri" w:hAnsi="Calibri"/>
        </w:rPr>
        <w:t xml:space="preserve"> Ogólne wymagania dotyczące transportu</w:t>
      </w:r>
    </w:p>
    <w:p w:rsidR="00134B2C" w:rsidRPr="00214F35" w:rsidRDefault="00134B2C" w:rsidP="00134B2C">
      <w:pPr>
        <w:rPr>
          <w:rFonts w:ascii="Calibri" w:hAnsi="Calibri"/>
        </w:rPr>
      </w:pPr>
      <w:r w:rsidRPr="00214F35">
        <w:rPr>
          <w:rFonts w:ascii="Calibri" w:hAnsi="Calibri"/>
        </w:rPr>
        <w:tab/>
        <w:t>Ogólne wymagania dot</w:t>
      </w:r>
      <w:r>
        <w:rPr>
          <w:rFonts w:ascii="Calibri" w:hAnsi="Calibri"/>
        </w:rPr>
        <w:t xml:space="preserve">yczące transportu podano w </w:t>
      </w:r>
      <w:r w:rsidRPr="00214F35">
        <w:rPr>
          <w:rFonts w:ascii="Calibri" w:hAnsi="Calibri"/>
        </w:rPr>
        <w:t>ST D-M-00.00.00 „Wymagania ogólne” [1] pkt 4.</w:t>
      </w:r>
    </w:p>
    <w:p w:rsidR="00134B2C" w:rsidRPr="00214F35" w:rsidRDefault="00134B2C" w:rsidP="00134B2C">
      <w:pPr>
        <w:rPr>
          <w:rFonts w:ascii="Calibri" w:hAnsi="Calibri"/>
        </w:rPr>
      </w:pPr>
      <w:r w:rsidRPr="00EC730D">
        <w:rPr>
          <w:rFonts w:ascii="Calibri" w:hAnsi="Calibri"/>
          <w:b/>
        </w:rPr>
        <w:t>4.2.</w:t>
      </w:r>
      <w:r w:rsidRPr="00214F35">
        <w:rPr>
          <w:rFonts w:ascii="Calibri" w:hAnsi="Calibri"/>
        </w:rPr>
        <w:t xml:space="preserve"> Transport materiałów </w:t>
      </w:r>
    </w:p>
    <w:p w:rsidR="00134B2C" w:rsidRPr="00214F35" w:rsidRDefault="00134B2C" w:rsidP="00134B2C">
      <w:pPr>
        <w:rPr>
          <w:rFonts w:ascii="Calibri" w:hAnsi="Calibri"/>
        </w:rPr>
      </w:pPr>
      <w:r w:rsidRPr="00214F35">
        <w:rPr>
          <w:rFonts w:ascii="Calibri" w:hAnsi="Calibri"/>
        </w:rPr>
        <w:tab/>
        <w:t>Asfalt i polimeroasfalt należy przewozić w cysternach kolejowych lub samochodach izolowanych i zaopatrzonych w urządzenia umożliwiające pośrednie ogrzewanie oraz w zawory spustowe.</w:t>
      </w:r>
    </w:p>
    <w:p w:rsidR="00134B2C" w:rsidRPr="00214F35" w:rsidRDefault="00134B2C" w:rsidP="00134B2C">
      <w:pPr>
        <w:rPr>
          <w:rFonts w:ascii="Calibri" w:hAnsi="Calibri"/>
        </w:rPr>
      </w:pPr>
      <w:r w:rsidRPr="00214F35">
        <w:rPr>
          <w:rFonts w:ascii="Calibri" w:hAnsi="Calibri"/>
        </w:rPr>
        <w:t>Kruszywa można przewozić dowolnymi środkami transportu, w warunkach zabezpieczających je przed zanieczyszczeniem, zmieszaniem z innymi materiałami i nadmiernym zawilgoceniem.</w:t>
      </w:r>
    </w:p>
    <w:p w:rsidR="00134B2C" w:rsidRPr="00214F35" w:rsidRDefault="00134B2C" w:rsidP="00134B2C">
      <w:pPr>
        <w:rPr>
          <w:rFonts w:ascii="Calibri" w:hAnsi="Calibri"/>
        </w:rPr>
      </w:pPr>
      <w:r w:rsidRPr="00214F35">
        <w:rPr>
          <w:rFonts w:ascii="Calibri" w:hAnsi="Calibri"/>
        </w:rPr>
        <w:t>Wypełniacz należy przewozić w sposób chroniący go przed zawilgoceniem, zbryleniem i zanieczyszczeniem. Wypełniacz luzem powinien być przewożony w odpowiednich cysternach przystosowanych do przewozu materiałów sypkich, umożliwiających rozładunek pneumatyczny.</w:t>
      </w:r>
    </w:p>
    <w:p w:rsidR="00134B2C" w:rsidRPr="00214F35" w:rsidRDefault="00134B2C" w:rsidP="00134B2C">
      <w:pPr>
        <w:rPr>
          <w:rFonts w:ascii="Calibri" w:hAnsi="Calibri"/>
        </w:rPr>
      </w:pPr>
      <w:r w:rsidRPr="00214F35">
        <w:rPr>
          <w:rFonts w:ascii="Calibri" w:hAnsi="Calibri"/>
        </w:rPr>
        <w:t>Emulsja asfaltowa może być transportowana w zamkniętych cysternach, autocysternach, beczkach i innych opakowaniach pod warunkiem, że nie będą korodowały pod wpływem emulsji i nie będą powodowały jej rozpadu. Cysterny powinny być wyposażone w przegrody. Nie należy używać do transportu opakowań z metali lekkich (może zachodzić wydzielanie wodoru i groźba wybuchu przy emulsjach o pH ≤ 4).</w:t>
      </w:r>
    </w:p>
    <w:p w:rsidR="00134B2C" w:rsidRDefault="00134B2C" w:rsidP="00134B2C">
      <w:pPr>
        <w:rPr>
          <w:rFonts w:ascii="Calibri" w:hAnsi="Calibri"/>
        </w:rPr>
      </w:pPr>
      <w:r w:rsidRPr="00214F35">
        <w:rPr>
          <w:rFonts w:ascii="Calibri" w:hAnsi="Calibri"/>
        </w:rPr>
        <w:lastRenderedPageBreak/>
        <w:t>Mieszankę mineralno-asfaltową należy  dowozić na budowę pojazdami samowyładowczymi w zależności od postępu robót. Podczas transportu i postoju przed wbudowaniem mieszanka powinna być zabezpieczona przed ostygnięciem i dopływem powietrza (przez przykrycie, pojemniki termoizolacyjne lub ogrzewane itp.). Warunki i czas transportu mieszanki, od produkcji do wbudowania, powinna zapewniać utrzymanie temperatury w wymaganym przedziale. Powierzchnie pojemników używanych do transportu mieszanki powinny być czyste, a do zwilżania tych powierzchni można używać tylko środki antyadhezyjne niewpływające szkodliwie na mieszankę.</w:t>
      </w:r>
    </w:p>
    <w:p w:rsidR="00134B2C" w:rsidRPr="00214F35" w:rsidRDefault="00134B2C" w:rsidP="00134B2C">
      <w:pPr>
        <w:rPr>
          <w:rFonts w:ascii="Calibri" w:hAnsi="Calibri"/>
        </w:rPr>
      </w:pPr>
    </w:p>
    <w:p w:rsidR="00134B2C" w:rsidRPr="00EC730D" w:rsidRDefault="00134B2C" w:rsidP="00134B2C">
      <w:pPr>
        <w:rPr>
          <w:rFonts w:ascii="Calibri" w:hAnsi="Calibri"/>
          <w:b/>
        </w:rPr>
      </w:pPr>
      <w:bookmarkStart w:id="1487" w:name="_Toc237920703"/>
      <w:r w:rsidRPr="00EC730D">
        <w:rPr>
          <w:rFonts w:ascii="Calibri" w:hAnsi="Calibri"/>
          <w:b/>
        </w:rPr>
        <w:t xml:space="preserve">5. </w:t>
      </w:r>
      <w:bookmarkEnd w:id="1487"/>
      <w:r w:rsidRPr="00EC730D">
        <w:rPr>
          <w:rFonts w:ascii="Calibri" w:hAnsi="Calibri"/>
          <w:b/>
        </w:rPr>
        <w:t>WYKONANIE ROBÓT</w:t>
      </w:r>
    </w:p>
    <w:p w:rsidR="00134B2C" w:rsidRPr="00214F35" w:rsidRDefault="00134B2C" w:rsidP="00134B2C">
      <w:pPr>
        <w:rPr>
          <w:rFonts w:ascii="Calibri" w:hAnsi="Calibri"/>
        </w:rPr>
      </w:pPr>
      <w:r w:rsidRPr="00EC730D">
        <w:rPr>
          <w:rFonts w:ascii="Calibri" w:hAnsi="Calibri"/>
          <w:b/>
        </w:rPr>
        <w:t>5.1.</w:t>
      </w:r>
      <w:r w:rsidRPr="00214F35">
        <w:rPr>
          <w:rFonts w:ascii="Calibri" w:hAnsi="Calibri"/>
        </w:rPr>
        <w:t xml:space="preserve"> Ogólne zasady wykonania robót</w:t>
      </w:r>
    </w:p>
    <w:p w:rsidR="00134B2C" w:rsidRPr="00214F35" w:rsidRDefault="00134B2C" w:rsidP="00134B2C">
      <w:pPr>
        <w:rPr>
          <w:rFonts w:ascii="Calibri" w:hAnsi="Calibri"/>
        </w:rPr>
      </w:pPr>
      <w:r w:rsidRPr="00214F35">
        <w:rPr>
          <w:rFonts w:ascii="Calibri" w:hAnsi="Calibri"/>
        </w:rPr>
        <w:tab/>
        <w:t>Ogólne z</w:t>
      </w:r>
      <w:r>
        <w:rPr>
          <w:rFonts w:ascii="Calibri" w:hAnsi="Calibri"/>
        </w:rPr>
        <w:t xml:space="preserve">asady wykonania robót podano w </w:t>
      </w:r>
      <w:r w:rsidRPr="00214F35">
        <w:rPr>
          <w:rFonts w:ascii="Calibri" w:hAnsi="Calibri"/>
        </w:rPr>
        <w:t>ST D-M-00.00.00 „Wymagania ogólne” [1] pkt 5.</w:t>
      </w:r>
    </w:p>
    <w:p w:rsidR="00134B2C" w:rsidRPr="00214F35" w:rsidRDefault="00134B2C" w:rsidP="00134B2C">
      <w:pPr>
        <w:rPr>
          <w:rFonts w:ascii="Calibri" w:hAnsi="Calibri"/>
        </w:rPr>
      </w:pPr>
      <w:r w:rsidRPr="00EC730D">
        <w:rPr>
          <w:rFonts w:ascii="Calibri" w:hAnsi="Calibri"/>
          <w:b/>
        </w:rPr>
        <w:t>5.2.</w:t>
      </w:r>
      <w:r w:rsidRPr="00214F35">
        <w:rPr>
          <w:rFonts w:ascii="Calibri" w:hAnsi="Calibri"/>
        </w:rPr>
        <w:t xml:space="preserve"> Projektowanie mieszanki mineralno-asfaltowej</w:t>
      </w:r>
    </w:p>
    <w:p w:rsidR="00134B2C" w:rsidRPr="00214F35" w:rsidRDefault="00134B2C" w:rsidP="00134B2C">
      <w:pPr>
        <w:rPr>
          <w:rFonts w:ascii="Calibri" w:hAnsi="Calibri"/>
        </w:rPr>
      </w:pPr>
      <w:r w:rsidRPr="00214F35">
        <w:rPr>
          <w:rFonts w:ascii="Calibri" w:hAnsi="Calibri"/>
        </w:rPr>
        <w:tab/>
        <w:t>Przed przystąpieniem do robót Wykonawca dostarczy Inżynierowi do akceptacji projekt składu mieszanki mineralno-asfaltowej (AC5S, AC8S, AC11S).</w:t>
      </w:r>
    </w:p>
    <w:p w:rsidR="00134B2C" w:rsidRPr="00214F35" w:rsidRDefault="00134B2C" w:rsidP="00134B2C">
      <w:pPr>
        <w:rPr>
          <w:rFonts w:ascii="Calibri" w:hAnsi="Calibri"/>
        </w:rPr>
      </w:pPr>
      <w:r w:rsidRPr="00214F35">
        <w:rPr>
          <w:rFonts w:ascii="Calibri" w:hAnsi="Calibri"/>
        </w:rPr>
        <w:tab/>
        <w:t>Uziarnienie mieszanki mineralnej oraz minimalna zawartość lepiszcza podane są w tablicach 5 i 6.</w:t>
      </w:r>
    </w:p>
    <w:p w:rsidR="00134B2C" w:rsidRPr="00214F35" w:rsidRDefault="00134B2C" w:rsidP="00134B2C">
      <w:pPr>
        <w:rPr>
          <w:rFonts w:ascii="Calibri" w:hAnsi="Calibri"/>
        </w:rPr>
      </w:pPr>
      <w:r w:rsidRPr="00214F35">
        <w:rPr>
          <w:rFonts w:ascii="Calibri" w:hAnsi="Calibri"/>
        </w:rPr>
        <w:t>Jeżeli stosowana jest mieszanka kruszywa drobnego niełamanego i łamanego, to należy przyjąć proporcję kruszywa łamanego do niełamanego co najmniej 50/50.</w:t>
      </w:r>
    </w:p>
    <w:p w:rsidR="00134B2C" w:rsidRPr="00214F35" w:rsidRDefault="00134B2C" w:rsidP="00134B2C">
      <w:pPr>
        <w:rPr>
          <w:rFonts w:ascii="Calibri" w:hAnsi="Calibri"/>
        </w:rPr>
      </w:pPr>
      <w:r w:rsidRPr="00214F35">
        <w:rPr>
          <w:rFonts w:ascii="Calibri" w:hAnsi="Calibri"/>
        </w:rPr>
        <w:tab/>
        <w:t>Wymagane właściwości mieszanki mineralno-asfaltowej podane są w tablicach 7, 8  i 9.</w:t>
      </w:r>
    </w:p>
    <w:p w:rsidR="00134B2C" w:rsidRPr="00214F35" w:rsidRDefault="00134B2C" w:rsidP="00134B2C">
      <w:pPr>
        <w:rPr>
          <w:rFonts w:ascii="Calibri" w:hAnsi="Calibri"/>
        </w:rPr>
      </w:pPr>
    </w:p>
    <w:p w:rsidR="00134B2C" w:rsidRPr="00214F35" w:rsidRDefault="00134B2C" w:rsidP="00134B2C">
      <w:pPr>
        <w:ind w:left="709"/>
        <w:rPr>
          <w:rFonts w:ascii="Calibri" w:hAnsi="Calibri"/>
        </w:rPr>
      </w:pPr>
      <w:r w:rsidRPr="00214F35">
        <w:rPr>
          <w:rFonts w:ascii="Calibri" w:hAnsi="Calibri"/>
        </w:rPr>
        <w:t>Tablica 5</w:t>
      </w:r>
      <w:r>
        <w:rPr>
          <w:rFonts w:ascii="Calibri" w:hAnsi="Calibri"/>
        </w:rPr>
        <w:t xml:space="preserve">. </w:t>
      </w:r>
      <w:r w:rsidRPr="00214F35">
        <w:rPr>
          <w:rFonts w:ascii="Calibri" w:hAnsi="Calibri"/>
        </w:rPr>
        <w:t>Uziarnienie mieszanki mineralnej oraz zawartość lepiszcza do betonu asfaltowego do warstwy ścieralnej dla ruchu KR1-KR2 [65]</w:t>
      </w:r>
    </w:p>
    <w:tbl>
      <w:tblPr>
        <w:tblW w:w="0" w:type="auto"/>
        <w:tblInd w:w="81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tblPr>
      <w:tblGrid>
        <w:gridCol w:w="2235"/>
        <w:gridCol w:w="992"/>
        <w:gridCol w:w="850"/>
        <w:gridCol w:w="851"/>
        <w:gridCol w:w="850"/>
        <w:gridCol w:w="851"/>
        <w:gridCol w:w="882"/>
      </w:tblGrid>
      <w:tr w:rsidR="00134B2C" w:rsidRPr="00214F35" w:rsidTr="00FD47C7">
        <w:tc>
          <w:tcPr>
            <w:tcW w:w="2235" w:type="dxa"/>
            <w:vMerge w:val="restart"/>
            <w:vAlign w:val="center"/>
          </w:tcPr>
          <w:p w:rsidR="00134B2C" w:rsidRPr="00214F35" w:rsidRDefault="00134B2C" w:rsidP="00FD47C7">
            <w:pPr>
              <w:jc w:val="center"/>
              <w:rPr>
                <w:rFonts w:ascii="Calibri" w:hAnsi="Calibri"/>
                <w:sz w:val="18"/>
                <w:szCs w:val="18"/>
              </w:rPr>
            </w:pPr>
            <w:r w:rsidRPr="00214F35">
              <w:rPr>
                <w:rFonts w:ascii="Calibri" w:hAnsi="Calibri"/>
                <w:sz w:val="18"/>
                <w:szCs w:val="18"/>
              </w:rPr>
              <w:t>Właściwość</w:t>
            </w:r>
          </w:p>
        </w:tc>
        <w:tc>
          <w:tcPr>
            <w:tcW w:w="5276" w:type="dxa"/>
            <w:gridSpan w:val="6"/>
          </w:tcPr>
          <w:p w:rsidR="00134B2C" w:rsidRPr="00214F35" w:rsidRDefault="00134B2C" w:rsidP="00FD47C7">
            <w:pPr>
              <w:jc w:val="center"/>
              <w:rPr>
                <w:rFonts w:ascii="Calibri" w:hAnsi="Calibri"/>
                <w:sz w:val="18"/>
                <w:szCs w:val="18"/>
              </w:rPr>
            </w:pPr>
            <w:r w:rsidRPr="00214F35">
              <w:rPr>
                <w:rFonts w:ascii="Calibri" w:hAnsi="Calibri"/>
                <w:sz w:val="18"/>
                <w:szCs w:val="18"/>
              </w:rPr>
              <w:t>Przesiew,   [% (m/m)]</w:t>
            </w:r>
          </w:p>
        </w:tc>
      </w:tr>
      <w:tr w:rsidR="00134B2C" w:rsidRPr="00214F35" w:rsidTr="00FD47C7">
        <w:tc>
          <w:tcPr>
            <w:tcW w:w="2235" w:type="dxa"/>
            <w:vMerge/>
          </w:tcPr>
          <w:p w:rsidR="00134B2C" w:rsidRPr="00214F35" w:rsidRDefault="00134B2C" w:rsidP="00FD47C7">
            <w:pPr>
              <w:jc w:val="center"/>
              <w:rPr>
                <w:rFonts w:ascii="Calibri" w:hAnsi="Calibri"/>
                <w:sz w:val="18"/>
                <w:szCs w:val="18"/>
              </w:rPr>
            </w:pPr>
          </w:p>
        </w:tc>
        <w:tc>
          <w:tcPr>
            <w:tcW w:w="1842" w:type="dxa"/>
            <w:gridSpan w:val="2"/>
          </w:tcPr>
          <w:p w:rsidR="00134B2C" w:rsidRPr="00214F35" w:rsidRDefault="00134B2C" w:rsidP="00FD47C7">
            <w:pPr>
              <w:jc w:val="center"/>
              <w:rPr>
                <w:rFonts w:ascii="Calibri" w:hAnsi="Calibri"/>
                <w:sz w:val="18"/>
                <w:szCs w:val="18"/>
              </w:rPr>
            </w:pPr>
            <w:r w:rsidRPr="00214F35">
              <w:rPr>
                <w:rFonts w:ascii="Calibri" w:hAnsi="Calibri"/>
                <w:sz w:val="18"/>
                <w:szCs w:val="18"/>
              </w:rPr>
              <w:t>AC5S</w:t>
            </w:r>
          </w:p>
        </w:tc>
        <w:tc>
          <w:tcPr>
            <w:tcW w:w="1701" w:type="dxa"/>
            <w:gridSpan w:val="2"/>
          </w:tcPr>
          <w:p w:rsidR="00134B2C" w:rsidRPr="00214F35" w:rsidRDefault="00134B2C" w:rsidP="00FD47C7">
            <w:pPr>
              <w:jc w:val="center"/>
              <w:rPr>
                <w:rFonts w:ascii="Calibri" w:hAnsi="Calibri"/>
                <w:sz w:val="18"/>
                <w:szCs w:val="18"/>
              </w:rPr>
            </w:pPr>
            <w:r w:rsidRPr="00214F35">
              <w:rPr>
                <w:rFonts w:ascii="Calibri" w:hAnsi="Calibri"/>
                <w:sz w:val="18"/>
                <w:szCs w:val="18"/>
              </w:rPr>
              <w:t>AC8S</w:t>
            </w:r>
          </w:p>
        </w:tc>
        <w:tc>
          <w:tcPr>
            <w:tcW w:w="1733" w:type="dxa"/>
            <w:gridSpan w:val="2"/>
          </w:tcPr>
          <w:p w:rsidR="00134B2C" w:rsidRPr="00214F35" w:rsidRDefault="00134B2C" w:rsidP="00FD47C7">
            <w:pPr>
              <w:jc w:val="center"/>
              <w:rPr>
                <w:rFonts w:ascii="Calibri" w:hAnsi="Calibri"/>
                <w:sz w:val="18"/>
                <w:szCs w:val="18"/>
              </w:rPr>
            </w:pPr>
            <w:r w:rsidRPr="00214F35">
              <w:rPr>
                <w:rFonts w:ascii="Calibri" w:hAnsi="Calibri"/>
                <w:sz w:val="18"/>
                <w:szCs w:val="18"/>
              </w:rPr>
              <w:t>AC11S</w:t>
            </w:r>
          </w:p>
        </w:tc>
      </w:tr>
      <w:tr w:rsidR="00134B2C" w:rsidRPr="00214F35" w:rsidTr="00FD47C7">
        <w:tc>
          <w:tcPr>
            <w:tcW w:w="2235" w:type="dxa"/>
          </w:tcPr>
          <w:p w:rsidR="00134B2C" w:rsidRPr="00214F35" w:rsidRDefault="00134B2C" w:rsidP="00FD47C7">
            <w:pPr>
              <w:jc w:val="center"/>
              <w:rPr>
                <w:rFonts w:ascii="Calibri" w:hAnsi="Calibri"/>
                <w:sz w:val="18"/>
                <w:szCs w:val="18"/>
              </w:rPr>
            </w:pPr>
            <w:r w:rsidRPr="00214F35">
              <w:rPr>
                <w:rFonts w:ascii="Calibri" w:hAnsi="Calibri"/>
                <w:sz w:val="18"/>
                <w:szCs w:val="18"/>
              </w:rPr>
              <w:t>Wymiar sita #, [mm]</w:t>
            </w:r>
          </w:p>
        </w:tc>
        <w:tc>
          <w:tcPr>
            <w:tcW w:w="992" w:type="dxa"/>
          </w:tcPr>
          <w:p w:rsidR="00134B2C" w:rsidRPr="00214F35" w:rsidRDefault="00134B2C" w:rsidP="00FD47C7">
            <w:pPr>
              <w:jc w:val="center"/>
              <w:rPr>
                <w:rFonts w:ascii="Calibri" w:hAnsi="Calibri"/>
                <w:sz w:val="18"/>
                <w:szCs w:val="18"/>
              </w:rPr>
            </w:pPr>
            <w:r w:rsidRPr="00214F35">
              <w:rPr>
                <w:rFonts w:ascii="Calibri" w:hAnsi="Calibri"/>
                <w:sz w:val="18"/>
                <w:szCs w:val="18"/>
              </w:rPr>
              <w:t>od</w:t>
            </w:r>
          </w:p>
        </w:tc>
        <w:tc>
          <w:tcPr>
            <w:tcW w:w="850" w:type="dxa"/>
          </w:tcPr>
          <w:p w:rsidR="00134B2C" w:rsidRPr="00214F35" w:rsidRDefault="00134B2C" w:rsidP="00FD47C7">
            <w:pPr>
              <w:jc w:val="center"/>
              <w:rPr>
                <w:rFonts w:ascii="Calibri" w:hAnsi="Calibri"/>
                <w:sz w:val="18"/>
                <w:szCs w:val="18"/>
              </w:rPr>
            </w:pPr>
            <w:r w:rsidRPr="00214F35">
              <w:rPr>
                <w:rFonts w:ascii="Calibri" w:hAnsi="Calibri"/>
                <w:sz w:val="18"/>
                <w:szCs w:val="18"/>
              </w:rPr>
              <w:t>do</w:t>
            </w:r>
          </w:p>
        </w:tc>
        <w:tc>
          <w:tcPr>
            <w:tcW w:w="851" w:type="dxa"/>
          </w:tcPr>
          <w:p w:rsidR="00134B2C" w:rsidRPr="00214F35" w:rsidRDefault="00134B2C" w:rsidP="00FD47C7">
            <w:pPr>
              <w:jc w:val="center"/>
              <w:rPr>
                <w:rFonts w:ascii="Calibri" w:hAnsi="Calibri"/>
                <w:sz w:val="18"/>
                <w:szCs w:val="18"/>
              </w:rPr>
            </w:pPr>
            <w:r w:rsidRPr="00214F35">
              <w:rPr>
                <w:rFonts w:ascii="Calibri" w:hAnsi="Calibri"/>
                <w:sz w:val="18"/>
                <w:szCs w:val="18"/>
              </w:rPr>
              <w:t>od</w:t>
            </w:r>
          </w:p>
        </w:tc>
        <w:tc>
          <w:tcPr>
            <w:tcW w:w="850" w:type="dxa"/>
          </w:tcPr>
          <w:p w:rsidR="00134B2C" w:rsidRPr="00214F35" w:rsidRDefault="00134B2C" w:rsidP="00FD47C7">
            <w:pPr>
              <w:jc w:val="center"/>
              <w:rPr>
                <w:rFonts w:ascii="Calibri" w:hAnsi="Calibri"/>
                <w:sz w:val="18"/>
                <w:szCs w:val="18"/>
              </w:rPr>
            </w:pPr>
            <w:r w:rsidRPr="00214F35">
              <w:rPr>
                <w:rFonts w:ascii="Calibri" w:hAnsi="Calibri"/>
                <w:sz w:val="18"/>
                <w:szCs w:val="18"/>
              </w:rPr>
              <w:t>do</w:t>
            </w:r>
          </w:p>
        </w:tc>
        <w:tc>
          <w:tcPr>
            <w:tcW w:w="851" w:type="dxa"/>
          </w:tcPr>
          <w:p w:rsidR="00134B2C" w:rsidRPr="00214F35" w:rsidRDefault="00134B2C" w:rsidP="00FD47C7">
            <w:pPr>
              <w:jc w:val="center"/>
              <w:rPr>
                <w:rFonts w:ascii="Calibri" w:hAnsi="Calibri"/>
                <w:sz w:val="18"/>
                <w:szCs w:val="18"/>
              </w:rPr>
            </w:pPr>
            <w:r w:rsidRPr="00214F35">
              <w:rPr>
                <w:rFonts w:ascii="Calibri" w:hAnsi="Calibri"/>
                <w:sz w:val="18"/>
                <w:szCs w:val="18"/>
              </w:rPr>
              <w:t>od</w:t>
            </w:r>
          </w:p>
        </w:tc>
        <w:tc>
          <w:tcPr>
            <w:tcW w:w="882" w:type="dxa"/>
          </w:tcPr>
          <w:p w:rsidR="00134B2C" w:rsidRPr="00214F35" w:rsidRDefault="00134B2C" w:rsidP="00FD47C7">
            <w:pPr>
              <w:jc w:val="center"/>
              <w:rPr>
                <w:rFonts w:ascii="Calibri" w:hAnsi="Calibri"/>
                <w:sz w:val="18"/>
                <w:szCs w:val="18"/>
              </w:rPr>
            </w:pPr>
            <w:r w:rsidRPr="00214F35">
              <w:rPr>
                <w:rFonts w:ascii="Calibri" w:hAnsi="Calibri"/>
                <w:sz w:val="18"/>
                <w:szCs w:val="18"/>
              </w:rPr>
              <w:t>do</w:t>
            </w:r>
          </w:p>
        </w:tc>
      </w:tr>
      <w:tr w:rsidR="00134B2C" w:rsidRPr="00214F35" w:rsidTr="00FD47C7">
        <w:tc>
          <w:tcPr>
            <w:tcW w:w="2235" w:type="dxa"/>
          </w:tcPr>
          <w:p w:rsidR="00134B2C" w:rsidRPr="00214F35" w:rsidRDefault="00134B2C" w:rsidP="00FD47C7">
            <w:pPr>
              <w:jc w:val="center"/>
              <w:rPr>
                <w:rFonts w:ascii="Calibri" w:hAnsi="Calibri"/>
                <w:sz w:val="18"/>
                <w:szCs w:val="18"/>
              </w:rPr>
            </w:pPr>
            <w:r w:rsidRPr="00214F35">
              <w:rPr>
                <w:rFonts w:ascii="Calibri" w:hAnsi="Calibri"/>
                <w:sz w:val="18"/>
                <w:szCs w:val="18"/>
              </w:rPr>
              <w:t>16</w:t>
            </w:r>
          </w:p>
        </w:tc>
        <w:tc>
          <w:tcPr>
            <w:tcW w:w="992" w:type="dxa"/>
          </w:tcPr>
          <w:p w:rsidR="00134B2C" w:rsidRPr="00214F35" w:rsidRDefault="00134B2C" w:rsidP="00FD47C7">
            <w:pPr>
              <w:jc w:val="center"/>
              <w:rPr>
                <w:rFonts w:ascii="Calibri" w:hAnsi="Calibri"/>
                <w:sz w:val="18"/>
                <w:szCs w:val="18"/>
              </w:rPr>
            </w:pPr>
            <w:r w:rsidRPr="00214F35">
              <w:rPr>
                <w:rFonts w:ascii="Calibri" w:hAnsi="Calibri"/>
                <w:sz w:val="18"/>
                <w:szCs w:val="18"/>
              </w:rPr>
              <w:t>-</w:t>
            </w:r>
          </w:p>
        </w:tc>
        <w:tc>
          <w:tcPr>
            <w:tcW w:w="850" w:type="dxa"/>
          </w:tcPr>
          <w:p w:rsidR="00134B2C" w:rsidRPr="00214F35" w:rsidRDefault="00134B2C" w:rsidP="00FD47C7">
            <w:pPr>
              <w:jc w:val="center"/>
              <w:rPr>
                <w:rFonts w:ascii="Calibri" w:hAnsi="Calibri"/>
                <w:sz w:val="18"/>
                <w:szCs w:val="18"/>
              </w:rPr>
            </w:pPr>
            <w:r w:rsidRPr="00214F35">
              <w:rPr>
                <w:rFonts w:ascii="Calibri" w:hAnsi="Calibri"/>
                <w:sz w:val="18"/>
                <w:szCs w:val="18"/>
              </w:rPr>
              <w:t>-</w:t>
            </w:r>
          </w:p>
        </w:tc>
        <w:tc>
          <w:tcPr>
            <w:tcW w:w="851" w:type="dxa"/>
          </w:tcPr>
          <w:p w:rsidR="00134B2C" w:rsidRPr="00214F35" w:rsidRDefault="00134B2C" w:rsidP="00FD47C7">
            <w:pPr>
              <w:jc w:val="center"/>
              <w:rPr>
                <w:rFonts w:ascii="Calibri" w:hAnsi="Calibri"/>
                <w:sz w:val="18"/>
                <w:szCs w:val="18"/>
              </w:rPr>
            </w:pPr>
            <w:r w:rsidRPr="00214F35">
              <w:rPr>
                <w:rFonts w:ascii="Calibri" w:hAnsi="Calibri"/>
                <w:sz w:val="18"/>
                <w:szCs w:val="18"/>
              </w:rPr>
              <w:t>-</w:t>
            </w:r>
          </w:p>
        </w:tc>
        <w:tc>
          <w:tcPr>
            <w:tcW w:w="850" w:type="dxa"/>
          </w:tcPr>
          <w:p w:rsidR="00134B2C" w:rsidRPr="00214F35" w:rsidRDefault="00134B2C" w:rsidP="00FD47C7">
            <w:pPr>
              <w:jc w:val="center"/>
              <w:rPr>
                <w:rFonts w:ascii="Calibri" w:hAnsi="Calibri"/>
                <w:sz w:val="18"/>
                <w:szCs w:val="18"/>
              </w:rPr>
            </w:pPr>
            <w:r w:rsidRPr="00214F35">
              <w:rPr>
                <w:rFonts w:ascii="Calibri" w:hAnsi="Calibri"/>
                <w:sz w:val="18"/>
                <w:szCs w:val="18"/>
              </w:rPr>
              <w:t>-</w:t>
            </w:r>
          </w:p>
        </w:tc>
        <w:tc>
          <w:tcPr>
            <w:tcW w:w="851" w:type="dxa"/>
          </w:tcPr>
          <w:p w:rsidR="00134B2C" w:rsidRPr="00214F35" w:rsidRDefault="00134B2C" w:rsidP="00FD47C7">
            <w:pPr>
              <w:jc w:val="center"/>
              <w:rPr>
                <w:rFonts w:ascii="Calibri" w:hAnsi="Calibri"/>
                <w:sz w:val="18"/>
                <w:szCs w:val="18"/>
              </w:rPr>
            </w:pPr>
            <w:r w:rsidRPr="00214F35">
              <w:rPr>
                <w:rFonts w:ascii="Calibri" w:hAnsi="Calibri"/>
                <w:sz w:val="18"/>
                <w:szCs w:val="18"/>
              </w:rPr>
              <w:t>100</w:t>
            </w:r>
          </w:p>
        </w:tc>
        <w:tc>
          <w:tcPr>
            <w:tcW w:w="882" w:type="dxa"/>
          </w:tcPr>
          <w:p w:rsidR="00134B2C" w:rsidRPr="00214F35" w:rsidRDefault="00134B2C" w:rsidP="00FD47C7">
            <w:pPr>
              <w:jc w:val="center"/>
              <w:rPr>
                <w:rFonts w:ascii="Calibri" w:hAnsi="Calibri"/>
                <w:sz w:val="18"/>
                <w:szCs w:val="18"/>
              </w:rPr>
            </w:pPr>
            <w:r w:rsidRPr="00214F35">
              <w:rPr>
                <w:rFonts w:ascii="Calibri" w:hAnsi="Calibri"/>
                <w:sz w:val="18"/>
                <w:szCs w:val="18"/>
              </w:rPr>
              <w:t>-</w:t>
            </w:r>
          </w:p>
        </w:tc>
      </w:tr>
      <w:tr w:rsidR="00134B2C" w:rsidRPr="00214F35" w:rsidTr="00FD47C7">
        <w:tc>
          <w:tcPr>
            <w:tcW w:w="2235" w:type="dxa"/>
          </w:tcPr>
          <w:p w:rsidR="00134B2C" w:rsidRPr="00214F35" w:rsidRDefault="00134B2C" w:rsidP="00FD47C7">
            <w:pPr>
              <w:jc w:val="center"/>
              <w:rPr>
                <w:rFonts w:ascii="Calibri" w:hAnsi="Calibri"/>
                <w:sz w:val="18"/>
                <w:szCs w:val="18"/>
              </w:rPr>
            </w:pPr>
            <w:r w:rsidRPr="00214F35">
              <w:rPr>
                <w:rFonts w:ascii="Calibri" w:hAnsi="Calibri"/>
                <w:sz w:val="18"/>
                <w:szCs w:val="18"/>
              </w:rPr>
              <w:t>11,2</w:t>
            </w:r>
          </w:p>
        </w:tc>
        <w:tc>
          <w:tcPr>
            <w:tcW w:w="992" w:type="dxa"/>
          </w:tcPr>
          <w:p w:rsidR="00134B2C" w:rsidRPr="00214F35" w:rsidRDefault="00134B2C" w:rsidP="00FD47C7">
            <w:pPr>
              <w:jc w:val="center"/>
              <w:rPr>
                <w:rFonts w:ascii="Calibri" w:hAnsi="Calibri"/>
                <w:sz w:val="18"/>
                <w:szCs w:val="18"/>
              </w:rPr>
            </w:pPr>
            <w:r w:rsidRPr="00214F35">
              <w:rPr>
                <w:rFonts w:ascii="Calibri" w:hAnsi="Calibri"/>
                <w:sz w:val="18"/>
                <w:szCs w:val="18"/>
              </w:rPr>
              <w:t>-</w:t>
            </w:r>
          </w:p>
        </w:tc>
        <w:tc>
          <w:tcPr>
            <w:tcW w:w="850" w:type="dxa"/>
          </w:tcPr>
          <w:p w:rsidR="00134B2C" w:rsidRPr="00214F35" w:rsidRDefault="00134B2C" w:rsidP="00FD47C7">
            <w:pPr>
              <w:jc w:val="center"/>
              <w:rPr>
                <w:rFonts w:ascii="Calibri" w:hAnsi="Calibri"/>
                <w:sz w:val="18"/>
                <w:szCs w:val="18"/>
              </w:rPr>
            </w:pPr>
            <w:r w:rsidRPr="00214F35">
              <w:rPr>
                <w:rFonts w:ascii="Calibri" w:hAnsi="Calibri"/>
                <w:sz w:val="18"/>
                <w:szCs w:val="18"/>
              </w:rPr>
              <w:t>-</w:t>
            </w:r>
          </w:p>
        </w:tc>
        <w:tc>
          <w:tcPr>
            <w:tcW w:w="851" w:type="dxa"/>
          </w:tcPr>
          <w:p w:rsidR="00134B2C" w:rsidRPr="00214F35" w:rsidRDefault="00134B2C" w:rsidP="00FD47C7">
            <w:pPr>
              <w:jc w:val="center"/>
              <w:rPr>
                <w:rFonts w:ascii="Calibri" w:hAnsi="Calibri"/>
                <w:sz w:val="18"/>
                <w:szCs w:val="18"/>
              </w:rPr>
            </w:pPr>
            <w:r w:rsidRPr="00214F35">
              <w:rPr>
                <w:rFonts w:ascii="Calibri" w:hAnsi="Calibri"/>
                <w:sz w:val="18"/>
                <w:szCs w:val="18"/>
              </w:rPr>
              <w:t>100</w:t>
            </w:r>
          </w:p>
        </w:tc>
        <w:tc>
          <w:tcPr>
            <w:tcW w:w="850" w:type="dxa"/>
          </w:tcPr>
          <w:p w:rsidR="00134B2C" w:rsidRPr="00214F35" w:rsidRDefault="00134B2C" w:rsidP="00FD47C7">
            <w:pPr>
              <w:jc w:val="center"/>
              <w:rPr>
                <w:rFonts w:ascii="Calibri" w:hAnsi="Calibri"/>
                <w:sz w:val="18"/>
                <w:szCs w:val="18"/>
              </w:rPr>
            </w:pPr>
            <w:r w:rsidRPr="00214F35">
              <w:rPr>
                <w:rFonts w:ascii="Calibri" w:hAnsi="Calibri"/>
                <w:sz w:val="18"/>
                <w:szCs w:val="18"/>
              </w:rPr>
              <w:t>-</w:t>
            </w:r>
          </w:p>
        </w:tc>
        <w:tc>
          <w:tcPr>
            <w:tcW w:w="851" w:type="dxa"/>
          </w:tcPr>
          <w:p w:rsidR="00134B2C" w:rsidRPr="00214F35" w:rsidRDefault="00134B2C" w:rsidP="00FD47C7">
            <w:pPr>
              <w:jc w:val="center"/>
              <w:rPr>
                <w:rFonts w:ascii="Calibri" w:hAnsi="Calibri"/>
                <w:sz w:val="18"/>
                <w:szCs w:val="18"/>
              </w:rPr>
            </w:pPr>
            <w:r w:rsidRPr="00214F35">
              <w:rPr>
                <w:rFonts w:ascii="Calibri" w:hAnsi="Calibri"/>
                <w:sz w:val="18"/>
                <w:szCs w:val="18"/>
              </w:rPr>
              <w:t>90</w:t>
            </w:r>
          </w:p>
        </w:tc>
        <w:tc>
          <w:tcPr>
            <w:tcW w:w="882" w:type="dxa"/>
          </w:tcPr>
          <w:p w:rsidR="00134B2C" w:rsidRPr="00214F35" w:rsidRDefault="00134B2C" w:rsidP="00FD47C7">
            <w:pPr>
              <w:jc w:val="center"/>
              <w:rPr>
                <w:rFonts w:ascii="Calibri" w:hAnsi="Calibri"/>
                <w:sz w:val="18"/>
                <w:szCs w:val="18"/>
              </w:rPr>
            </w:pPr>
            <w:r w:rsidRPr="00214F35">
              <w:rPr>
                <w:rFonts w:ascii="Calibri" w:hAnsi="Calibri"/>
                <w:sz w:val="18"/>
                <w:szCs w:val="18"/>
              </w:rPr>
              <w:t>100</w:t>
            </w:r>
          </w:p>
        </w:tc>
      </w:tr>
      <w:tr w:rsidR="00134B2C" w:rsidRPr="00214F35" w:rsidTr="00FD47C7">
        <w:tc>
          <w:tcPr>
            <w:tcW w:w="2235" w:type="dxa"/>
          </w:tcPr>
          <w:p w:rsidR="00134B2C" w:rsidRPr="00214F35" w:rsidRDefault="00134B2C" w:rsidP="00FD47C7">
            <w:pPr>
              <w:jc w:val="center"/>
              <w:rPr>
                <w:rFonts w:ascii="Calibri" w:hAnsi="Calibri"/>
                <w:sz w:val="18"/>
                <w:szCs w:val="18"/>
              </w:rPr>
            </w:pPr>
            <w:r w:rsidRPr="00214F35">
              <w:rPr>
                <w:rFonts w:ascii="Calibri" w:hAnsi="Calibri"/>
                <w:sz w:val="18"/>
                <w:szCs w:val="18"/>
              </w:rPr>
              <w:t>8</w:t>
            </w:r>
          </w:p>
        </w:tc>
        <w:tc>
          <w:tcPr>
            <w:tcW w:w="992" w:type="dxa"/>
          </w:tcPr>
          <w:p w:rsidR="00134B2C" w:rsidRPr="00214F35" w:rsidRDefault="00134B2C" w:rsidP="00FD47C7">
            <w:pPr>
              <w:jc w:val="center"/>
              <w:rPr>
                <w:rFonts w:ascii="Calibri" w:hAnsi="Calibri"/>
                <w:sz w:val="18"/>
                <w:szCs w:val="18"/>
              </w:rPr>
            </w:pPr>
            <w:r w:rsidRPr="00214F35">
              <w:rPr>
                <w:rFonts w:ascii="Calibri" w:hAnsi="Calibri"/>
                <w:sz w:val="18"/>
                <w:szCs w:val="18"/>
              </w:rPr>
              <w:t>100</w:t>
            </w:r>
          </w:p>
        </w:tc>
        <w:tc>
          <w:tcPr>
            <w:tcW w:w="850" w:type="dxa"/>
          </w:tcPr>
          <w:p w:rsidR="00134B2C" w:rsidRPr="00214F35" w:rsidRDefault="00134B2C" w:rsidP="00FD47C7">
            <w:pPr>
              <w:jc w:val="center"/>
              <w:rPr>
                <w:rFonts w:ascii="Calibri" w:hAnsi="Calibri"/>
                <w:sz w:val="18"/>
                <w:szCs w:val="18"/>
              </w:rPr>
            </w:pPr>
            <w:r w:rsidRPr="00214F35">
              <w:rPr>
                <w:rFonts w:ascii="Calibri" w:hAnsi="Calibri"/>
                <w:sz w:val="18"/>
                <w:szCs w:val="18"/>
              </w:rPr>
              <w:t>-</w:t>
            </w:r>
          </w:p>
        </w:tc>
        <w:tc>
          <w:tcPr>
            <w:tcW w:w="851" w:type="dxa"/>
          </w:tcPr>
          <w:p w:rsidR="00134B2C" w:rsidRPr="00214F35" w:rsidRDefault="00134B2C" w:rsidP="00FD47C7">
            <w:pPr>
              <w:jc w:val="center"/>
              <w:rPr>
                <w:rFonts w:ascii="Calibri" w:hAnsi="Calibri"/>
                <w:sz w:val="18"/>
                <w:szCs w:val="18"/>
              </w:rPr>
            </w:pPr>
            <w:r w:rsidRPr="00214F35">
              <w:rPr>
                <w:rFonts w:ascii="Calibri" w:hAnsi="Calibri"/>
                <w:sz w:val="18"/>
                <w:szCs w:val="18"/>
              </w:rPr>
              <w:t>90</w:t>
            </w:r>
          </w:p>
        </w:tc>
        <w:tc>
          <w:tcPr>
            <w:tcW w:w="850" w:type="dxa"/>
          </w:tcPr>
          <w:p w:rsidR="00134B2C" w:rsidRPr="00214F35" w:rsidRDefault="00134B2C" w:rsidP="00FD47C7">
            <w:pPr>
              <w:jc w:val="center"/>
              <w:rPr>
                <w:rFonts w:ascii="Calibri" w:hAnsi="Calibri"/>
                <w:sz w:val="18"/>
                <w:szCs w:val="18"/>
              </w:rPr>
            </w:pPr>
            <w:r w:rsidRPr="00214F35">
              <w:rPr>
                <w:rFonts w:ascii="Calibri" w:hAnsi="Calibri"/>
                <w:sz w:val="18"/>
                <w:szCs w:val="18"/>
              </w:rPr>
              <w:t>100</w:t>
            </w:r>
          </w:p>
        </w:tc>
        <w:tc>
          <w:tcPr>
            <w:tcW w:w="851" w:type="dxa"/>
          </w:tcPr>
          <w:p w:rsidR="00134B2C" w:rsidRPr="00214F35" w:rsidRDefault="00134B2C" w:rsidP="00FD47C7">
            <w:pPr>
              <w:jc w:val="center"/>
              <w:rPr>
                <w:rFonts w:ascii="Calibri" w:hAnsi="Calibri"/>
                <w:sz w:val="18"/>
                <w:szCs w:val="18"/>
              </w:rPr>
            </w:pPr>
            <w:r w:rsidRPr="00214F35">
              <w:rPr>
                <w:rFonts w:ascii="Calibri" w:hAnsi="Calibri"/>
                <w:sz w:val="18"/>
                <w:szCs w:val="18"/>
              </w:rPr>
              <w:t>70</w:t>
            </w:r>
          </w:p>
        </w:tc>
        <w:tc>
          <w:tcPr>
            <w:tcW w:w="882" w:type="dxa"/>
          </w:tcPr>
          <w:p w:rsidR="00134B2C" w:rsidRPr="00214F35" w:rsidRDefault="00134B2C" w:rsidP="00FD47C7">
            <w:pPr>
              <w:jc w:val="center"/>
              <w:rPr>
                <w:rFonts w:ascii="Calibri" w:hAnsi="Calibri"/>
                <w:sz w:val="18"/>
                <w:szCs w:val="18"/>
              </w:rPr>
            </w:pPr>
            <w:r w:rsidRPr="00214F35">
              <w:rPr>
                <w:rFonts w:ascii="Calibri" w:hAnsi="Calibri"/>
                <w:sz w:val="18"/>
                <w:szCs w:val="18"/>
              </w:rPr>
              <w:t>90</w:t>
            </w:r>
          </w:p>
        </w:tc>
      </w:tr>
      <w:tr w:rsidR="00134B2C" w:rsidRPr="00214F35" w:rsidTr="00FD47C7">
        <w:tc>
          <w:tcPr>
            <w:tcW w:w="2235" w:type="dxa"/>
          </w:tcPr>
          <w:p w:rsidR="00134B2C" w:rsidRPr="00214F35" w:rsidRDefault="00134B2C" w:rsidP="00FD47C7">
            <w:pPr>
              <w:jc w:val="center"/>
              <w:rPr>
                <w:rFonts w:ascii="Calibri" w:hAnsi="Calibri"/>
                <w:sz w:val="18"/>
                <w:szCs w:val="18"/>
              </w:rPr>
            </w:pPr>
            <w:r w:rsidRPr="00214F35">
              <w:rPr>
                <w:rFonts w:ascii="Calibri" w:hAnsi="Calibri"/>
                <w:sz w:val="18"/>
                <w:szCs w:val="18"/>
              </w:rPr>
              <w:t>5,6</w:t>
            </w:r>
          </w:p>
        </w:tc>
        <w:tc>
          <w:tcPr>
            <w:tcW w:w="992" w:type="dxa"/>
          </w:tcPr>
          <w:p w:rsidR="00134B2C" w:rsidRPr="00214F35" w:rsidRDefault="00134B2C" w:rsidP="00FD47C7">
            <w:pPr>
              <w:jc w:val="center"/>
              <w:rPr>
                <w:rFonts w:ascii="Calibri" w:hAnsi="Calibri"/>
                <w:sz w:val="18"/>
                <w:szCs w:val="18"/>
              </w:rPr>
            </w:pPr>
            <w:r w:rsidRPr="00214F35">
              <w:rPr>
                <w:rFonts w:ascii="Calibri" w:hAnsi="Calibri"/>
                <w:sz w:val="18"/>
                <w:szCs w:val="18"/>
              </w:rPr>
              <w:t>90</w:t>
            </w:r>
          </w:p>
        </w:tc>
        <w:tc>
          <w:tcPr>
            <w:tcW w:w="850" w:type="dxa"/>
          </w:tcPr>
          <w:p w:rsidR="00134B2C" w:rsidRPr="00214F35" w:rsidRDefault="00134B2C" w:rsidP="00FD47C7">
            <w:pPr>
              <w:jc w:val="center"/>
              <w:rPr>
                <w:rFonts w:ascii="Calibri" w:hAnsi="Calibri"/>
                <w:sz w:val="18"/>
                <w:szCs w:val="18"/>
              </w:rPr>
            </w:pPr>
            <w:r w:rsidRPr="00214F35">
              <w:rPr>
                <w:rFonts w:ascii="Calibri" w:hAnsi="Calibri"/>
                <w:sz w:val="18"/>
                <w:szCs w:val="18"/>
              </w:rPr>
              <w:t>100</w:t>
            </w:r>
          </w:p>
        </w:tc>
        <w:tc>
          <w:tcPr>
            <w:tcW w:w="851" w:type="dxa"/>
          </w:tcPr>
          <w:p w:rsidR="00134B2C" w:rsidRPr="00214F35" w:rsidRDefault="00134B2C" w:rsidP="00FD47C7">
            <w:pPr>
              <w:jc w:val="center"/>
              <w:rPr>
                <w:rFonts w:ascii="Calibri" w:hAnsi="Calibri"/>
                <w:sz w:val="18"/>
                <w:szCs w:val="18"/>
              </w:rPr>
            </w:pPr>
            <w:r w:rsidRPr="00214F35">
              <w:rPr>
                <w:rFonts w:ascii="Calibri" w:hAnsi="Calibri"/>
                <w:sz w:val="18"/>
                <w:szCs w:val="18"/>
              </w:rPr>
              <w:t>70</w:t>
            </w:r>
          </w:p>
        </w:tc>
        <w:tc>
          <w:tcPr>
            <w:tcW w:w="850" w:type="dxa"/>
          </w:tcPr>
          <w:p w:rsidR="00134B2C" w:rsidRPr="00214F35" w:rsidRDefault="00134B2C" w:rsidP="00FD47C7">
            <w:pPr>
              <w:jc w:val="center"/>
              <w:rPr>
                <w:rFonts w:ascii="Calibri" w:hAnsi="Calibri"/>
                <w:sz w:val="18"/>
                <w:szCs w:val="18"/>
              </w:rPr>
            </w:pPr>
            <w:r w:rsidRPr="00214F35">
              <w:rPr>
                <w:rFonts w:ascii="Calibri" w:hAnsi="Calibri"/>
                <w:sz w:val="18"/>
                <w:szCs w:val="18"/>
              </w:rPr>
              <w:t>90</w:t>
            </w:r>
          </w:p>
        </w:tc>
        <w:tc>
          <w:tcPr>
            <w:tcW w:w="851" w:type="dxa"/>
          </w:tcPr>
          <w:p w:rsidR="00134B2C" w:rsidRPr="00214F35" w:rsidRDefault="00134B2C" w:rsidP="00FD47C7">
            <w:pPr>
              <w:jc w:val="center"/>
              <w:rPr>
                <w:rFonts w:ascii="Calibri" w:hAnsi="Calibri"/>
                <w:sz w:val="18"/>
                <w:szCs w:val="18"/>
              </w:rPr>
            </w:pPr>
            <w:r w:rsidRPr="00214F35">
              <w:rPr>
                <w:rFonts w:ascii="Calibri" w:hAnsi="Calibri"/>
                <w:sz w:val="18"/>
                <w:szCs w:val="18"/>
              </w:rPr>
              <w:t>-</w:t>
            </w:r>
          </w:p>
        </w:tc>
        <w:tc>
          <w:tcPr>
            <w:tcW w:w="882" w:type="dxa"/>
          </w:tcPr>
          <w:p w:rsidR="00134B2C" w:rsidRPr="00214F35" w:rsidRDefault="00134B2C" w:rsidP="00FD47C7">
            <w:pPr>
              <w:jc w:val="center"/>
              <w:rPr>
                <w:rFonts w:ascii="Calibri" w:hAnsi="Calibri"/>
                <w:sz w:val="18"/>
                <w:szCs w:val="18"/>
              </w:rPr>
            </w:pPr>
            <w:r w:rsidRPr="00214F35">
              <w:rPr>
                <w:rFonts w:ascii="Calibri" w:hAnsi="Calibri"/>
                <w:sz w:val="18"/>
                <w:szCs w:val="18"/>
              </w:rPr>
              <w:t>-</w:t>
            </w:r>
          </w:p>
        </w:tc>
      </w:tr>
      <w:tr w:rsidR="00134B2C" w:rsidRPr="00214F35" w:rsidTr="00FD47C7">
        <w:tc>
          <w:tcPr>
            <w:tcW w:w="2235" w:type="dxa"/>
          </w:tcPr>
          <w:p w:rsidR="00134B2C" w:rsidRPr="00214F35" w:rsidRDefault="00134B2C" w:rsidP="00FD47C7">
            <w:pPr>
              <w:jc w:val="center"/>
              <w:rPr>
                <w:rFonts w:ascii="Calibri" w:hAnsi="Calibri"/>
                <w:sz w:val="18"/>
                <w:szCs w:val="18"/>
              </w:rPr>
            </w:pPr>
            <w:r w:rsidRPr="00214F35">
              <w:rPr>
                <w:rFonts w:ascii="Calibri" w:hAnsi="Calibri"/>
                <w:sz w:val="18"/>
                <w:szCs w:val="18"/>
              </w:rPr>
              <w:t>2</w:t>
            </w:r>
          </w:p>
        </w:tc>
        <w:tc>
          <w:tcPr>
            <w:tcW w:w="992" w:type="dxa"/>
          </w:tcPr>
          <w:p w:rsidR="00134B2C" w:rsidRPr="00214F35" w:rsidRDefault="00134B2C" w:rsidP="00FD47C7">
            <w:pPr>
              <w:jc w:val="center"/>
              <w:rPr>
                <w:rFonts w:ascii="Calibri" w:hAnsi="Calibri"/>
                <w:sz w:val="18"/>
                <w:szCs w:val="18"/>
              </w:rPr>
            </w:pPr>
            <w:r w:rsidRPr="00214F35">
              <w:rPr>
                <w:rFonts w:ascii="Calibri" w:hAnsi="Calibri"/>
                <w:sz w:val="18"/>
                <w:szCs w:val="18"/>
              </w:rPr>
              <w:t>40</w:t>
            </w:r>
          </w:p>
        </w:tc>
        <w:tc>
          <w:tcPr>
            <w:tcW w:w="850" w:type="dxa"/>
          </w:tcPr>
          <w:p w:rsidR="00134B2C" w:rsidRPr="00214F35" w:rsidRDefault="00134B2C" w:rsidP="00FD47C7">
            <w:pPr>
              <w:jc w:val="center"/>
              <w:rPr>
                <w:rFonts w:ascii="Calibri" w:hAnsi="Calibri"/>
                <w:sz w:val="18"/>
                <w:szCs w:val="18"/>
              </w:rPr>
            </w:pPr>
            <w:r w:rsidRPr="00214F35">
              <w:rPr>
                <w:rFonts w:ascii="Calibri" w:hAnsi="Calibri"/>
                <w:sz w:val="18"/>
                <w:szCs w:val="18"/>
              </w:rPr>
              <w:t>65</w:t>
            </w:r>
          </w:p>
        </w:tc>
        <w:tc>
          <w:tcPr>
            <w:tcW w:w="851" w:type="dxa"/>
          </w:tcPr>
          <w:p w:rsidR="00134B2C" w:rsidRPr="00214F35" w:rsidRDefault="00134B2C" w:rsidP="00FD47C7">
            <w:pPr>
              <w:jc w:val="center"/>
              <w:rPr>
                <w:rFonts w:ascii="Calibri" w:hAnsi="Calibri"/>
                <w:sz w:val="18"/>
                <w:szCs w:val="18"/>
              </w:rPr>
            </w:pPr>
            <w:r w:rsidRPr="00214F35">
              <w:rPr>
                <w:rFonts w:ascii="Calibri" w:hAnsi="Calibri"/>
                <w:sz w:val="18"/>
                <w:szCs w:val="18"/>
              </w:rPr>
              <w:t>45</w:t>
            </w:r>
          </w:p>
        </w:tc>
        <w:tc>
          <w:tcPr>
            <w:tcW w:w="850" w:type="dxa"/>
          </w:tcPr>
          <w:p w:rsidR="00134B2C" w:rsidRPr="00214F35" w:rsidRDefault="00134B2C" w:rsidP="00FD47C7">
            <w:pPr>
              <w:jc w:val="center"/>
              <w:rPr>
                <w:rFonts w:ascii="Calibri" w:hAnsi="Calibri"/>
                <w:sz w:val="18"/>
                <w:szCs w:val="18"/>
              </w:rPr>
            </w:pPr>
            <w:r w:rsidRPr="00214F35">
              <w:rPr>
                <w:rFonts w:ascii="Calibri" w:hAnsi="Calibri"/>
                <w:sz w:val="18"/>
                <w:szCs w:val="18"/>
              </w:rPr>
              <w:t>60</w:t>
            </w:r>
          </w:p>
        </w:tc>
        <w:tc>
          <w:tcPr>
            <w:tcW w:w="851" w:type="dxa"/>
          </w:tcPr>
          <w:p w:rsidR="00134B2C" w:rsidRPr="00214F35" w:rsidRDefault="00134B2C" w:rsidP="00FD47C7">
            <w:pPr>
              <w:jc w:val="center"/>
              <w:rPr>
                <w:rFonts w:ascii="Calibri" w:hAnsi="Calibri"/>
                <w:sz w:val="18"/>
                <w:szCs w:val="18"/>
              </w:rPr>
            </w:pPr>
            <w:r w:rsidRPr="00214F35">
              <w:rPr>
                <w:rFonts w:ascii="Calibri" w:hAnsi="Calibri"/>
                <w:sz w:val="18"/>
                <w:szCs w:val="18"/>
              </w:rPr>
              <w:t>30</w:t>
            </w:r>
          </w:p>
        </w:tc>
        <w:tc>
          <w:tcPr>
            <w:tcW w:w="882" w:type="dxa"/>
          </w:tcPr>
          <w:p w:rsidR="00134B2C" w:rsidRPr="00214F35" w:rsidRDefault="00134B2C" w:rsidP="00FD47C7">
            <w:pPr>
              <w:jc w:val="center"/>
              <w:rPr>
                <w:rFonts w:ascii="Calibri" w:hAnsi="Calibri"/>
                <w:sz w:val="18"/>
                <w:szCs w:val="18"/>
              </w:rPr>
            </w:pPr>
            <w:r w:rsidRPr="00214F35">
              <w:rPr>
                <w:rFonts w:ascii="Calibri" w:hAnsi="Calibri"/>
                <w:sz w:val="18"/>
                <w:szCs w:val="18"/>
              </w:rPr>
              <w:t>55</w:t>
            </w:r>
          </w:p>
        </w:tc>
      </w:tr>
      <w:tr w:rsidR="00134B2C" w:rsidRPr="00214F35" w:rsidTr="00FD47C7">
        <w:tc>
          <w:tcPr>
            <w:tcW w:w="2235" w:type="dxa"/>
          </w:tcPr>
          <w:p w:rsidR="00134B2C" w:rsidRPr="00214F35" w:rsidRDefault="00134B2C" w:rsidP="00FD47C7">
            <w:pPr>
              <w:jc w:val="center"/>
              <w:rPr>
                <w:rFonts w:ascii="Calibri" w:hAnsi="Calibri"/>
                <w:sz w:val="18"/>
                <w:szCs w:val="18"/>
              </w:rPr>
            </w:pPr>
            <w:r w:rsidRPr="00214F35">
              <w:rPr>
                <w:rFonts w:ascii="Calibri" w:hAnsi="Calibri"/>
                <w:sz w:val="18"/>
                <w:szCs w:val="18"/>
              </w:rPr>
              <w:t>0,125</w:t>
            </w:r>
          </w:p>
        </w:tc>
        <w:tc>
          <w:tcPr>
            <w:tcW w:w="992" w:type="dxa"/>
          </w:tcPr>
          <w:p w:rsidR="00134B2C" w:rsidRPr="00214F35" w:rsidRDefault="00134B2C" w:rsidP="00FD47C7">
            <w:pPr>
              <w:jc w:val="center"/>
              <w:rPr>
                <w:rFonts w:ascii="Calibri" w:hAnsi="Calibri"/>
                <w:sz w:val="18"/>
                <w:szCs w:val="18"/>
              </w:rPr>
            </w:pPr>
            <w:r w:rsidRPr="00214F35">
              <w:rPr>
                <w:rFonts w:ascii="Calibri" w:hAnsi="Calibri"/>
                <w:sz w:val="18"/>
                <w:szCs w:val="18"/>
              </w:rPr>
              <w:t>8</w:t>
            </w:r>
          </w:p>
        </w:tc>
        <w:tc>
          <w:tcPr>
            <w:tcW w:w="850" w:type="dxa"/>
          </w:tcPr>
          <w:p w:rsidR="00134B2C" w:rsidRPr="00214F35" w:rsidRDefault="00134B2C" w:rsidP="00FD47C7">
            <w:pPr>
              <w:jc w:val="center"/>
              <w:rPr>
                <w:rFonts w:ascii="Calibri" w:hAnsi="Calibri"/>
                <w:sz w:val="18"/>
                <w:szCs w:val="18"/>
              </w:rPr>
            </w:pPr>
            <w:r w:rsidRPr="00214F35">
              <w:rPr>
                <w:rFonts w:ascii="Calibri" w:hAnsi="Calibri"/>
                <w:sz w:val="18"/>
                <w:szCs w:val="18"/>
              </w:rPr>
              <w:t>22</w:t>
            </w:r>
          </w:p>
        </w:tc>
        <w:tc>
          <w:tcPr>
            <w:tcW w:w="851" w:type="dxa"/>
          </w:tcPr>
          <w:p w:rsidR="00134B2C" w:rsidRPr="00214F35" w:rsidRDefault="00134B2C" w:rsidP="00FD47C7">
            <w:pPr>
              <w:jc w:val="center"/>
              <w:rPr>
                <w:rFonts w:ascii="Calibri" w:hAnsi="Calibri"/>
                <w:sz w:val="18"/>
                <w:szCs w:val="18"/>
              </w:rPr>
            </w:pPr>
            <w:r w:rsidRPr="00214F35">
              <w:rPr>
                <w:rFonts w:ascii="Calibri" w:hAnsi="Calibri"/>
                <w:sz w:val="18"/>
                <w:szCs w:val="18"/>
              </w:rPr>
              <w:t>8</w:t>
            </w:r>
          </w:p>
        </w:tc>
        <w:tc>
          <w:tcPr>
            <w:tcW w:w="850" w:type="dxa"/>
          </w:tcPr>
          <w:p w:rsidR="00134B2C" w:rsidRPr="00214F35" w:rsidRDefault="00134B2C" w:rsidP="00FD47C7">
            <w:pPr>
              <w:jc w:val="center"/>
              <w:rPr>
                <w:rFonts w:ascii="Calibri" w:hAnsi="Calibri"/>
                <w:sz w:val="18"/>
                <w:szCs w:val="18"/>
              </w:rPr>
            </w:pPr>
            <w:r w:rsidRPr="00214F35">
              <w:rPr>
                <w:rFonts w:ascii="Calibri" w:hAnsi="Calibri"/>
                <w:sz w:val="18"/>
                <w:szCs w:val="18"/>
              </w:rPr>
              <w:t>22</w:t>
            </w:r>
          </w:p>
        </w:tc>
        <w:tc>
          <w:tcPr>
            <w:tcW w:w="851" w:type="dxa"/>
          </w:tcPr>
          <w:p w:rsidR="00134B2C" w:rsidRPr="00214F35" w:rsidRDefault="00134B2C" w:rsidP="00FD47C7">
            <w:pPr>
              <w:jc w:val="center"/>
              <w:rPr>
                <w:rFonts w:ascii="Calibri" w:hAnsi="Calibri"/>
                <w:sz w:val="18"/>
                <w:szCs w:val="18"/>
              </w:rPr>
            </w:pPr>
            <w:r w:rsidRPr="00214F35">
              <w:rPr>
                <w:rFonts w:ascii="Calibri" w:hAnsi="Calibri"/>
                <w:sz w:val="18"/>
                <w:szCs w:val="18"/>
              </w:rPr>
              <w:t>8</w:t>
            </w:r>
          </w:p>
        </w:tc>
        <w:tc>
          <w:tcPr>
            <w:tcW w:w="882" w:type="dxa"/>
          </w:tcPr>
          <w:p w:rsidR="00134B2C" w:rsidRPr="00214F35" w:rsidRDefault="00134B2C" w:rsidP="00FD47C7">
            <w:pPr>
              <w:jc w:val="center"/>
              <w:rPr>
                <w:rFonts w:ascii="Calibri" w:hAnsi="Calibri"/>
                <w:sz w:val="18"/>
                <w:szCs w:val="18"/>
              </w:rPr>
            </w:pPr>
            <w:r w:rsidRPr="00214F35">
              <w:rPr>
                <w:rFonts w:ascii="Calibri" w:hAnsi="Calibri"/>
                <w:sz w:val="18"/>
                <w:szCs w:val="18"/>
              </w:rPr>
              <w:t>20</w:t>
            </w:r>
          </w:p>
        </w:tc>
      </w:tr>
      <w:tr w:rsidR="00134B2C" w:rsidRPr="00214F35" w:rsidTr="00FD47C7">
        <w:tc>
          <w:tcPr>
            <w:tcW w:w="2235" w:type="dxa"/>
          </w:tcPr>
          <w:p w:rsidR="00134B2C" w:rsidRPr="00214F35" w:rsidRDefault="00134B2C" w:rsidP="00FD47C7">
            <w:pPr>
              <w:jc w:val="center"/>
              <w:rPr>
                <w:rFonts w:ascii="Calibri" w:hAnsi="Calibri"/>
                <w:sz w:val="18"/>
                <w:szCs w:val="18"/>
              </w:rPr>
            </w:pPr>
            <w:r w:rsidRPr="00214F35">
              <w:rPr>
                <w:rFonts w:ascii="Calibri" w:hAnsi="Calibri"/>
                <w:sz w:val="18"/>
                <w:szCs w:val="18"/>
              </w:rPr>
              <w:t>0,063</w:t>
            </w:r>
          </w:p>
        </w:tc>
        <w:tc>
          <w:tcPr>
            <w:tcW w:w="992" w:type="dxa"/>
          </w:tcPr>
          <w:p w:rsidR="00134B2C" w:rsidRPr="00214F35" w:rsidRDefault="00134B2C" w:rsidP="00FD47C7">
            <w:pPr>
              <w:jc w:val="center"/>
              <w:rPr>
                <w:rFonts w:ascii="Calibri" w:hAnsi="Calibri"/>
                <w:sz w:val="18"/>
                <w:szCs w:val="18"/>
              </w:rPr>
            </w:pPr>
            <w:r w:rsidRPr="00214F35">
              <w:rPr>
                <w:rFonts w:ascii="Calibri" w:hAnsi="Calibri"/>
                <w:sz w:val="18"/>
                <w:szCs w:val="18"/>
              </w:rPr>
              <w:t>6</w:t>
            </w:r>
          </w:p>
        </w:tc>
        <w:tc>
          <w:tcPr>
            <w:tcW w:w="850" w:type="dxa"/>
          </w:tcPr>
          <w:p w:rsidR="00134B2C" w:rsidRPr="00214F35" w:rsidRDefault="00134B2C" w:rsidP="00FD47C7">
            <w:pPr>
              <w:jc w:val="center"/>
              <w:rPr>
                <w:rFonts w:ascii="Calibri" w:hAnsi="Calibri"/>
                <w:sz w:val="18"/>
                <w:szCs w:val="18"/>
              </w:rPr>
            </w:pPr>
            <w:r w:rsidRPr="00214F35">
              <w:rPr>
                <w:rFonts w:ascii="Calibri" w:hAnsi="Calibri"/>
                <w:sz w:val="18"/>
                <w:szCs w:val="18"/>
              </w:rPr>
              <w:t>14</w:t>
            </w:r>
          </w:p>
        </w:tc>
        <w:tc>
          <w:tcPr>
            <w:tcW w:w="851" w:type="dxa"/>
          </w:tcPr>
          <w:p w:rsidR="00134B2C" w:rsidRPr="00214F35" w:rsidRDefault="00134B2C" w:rsidP="00FD47C7">
            <w:pPr>
              <w:jc w:val="center"/>
              <w:rPr>
                <w:rFonts w:ascii="Calibri" w:hAnsi="Calibri"/>
                <w:sz w:val="18"/>
                <w:szCs w:val="18"/>
              </w:rPr>
            </w:pPr>
            <w:r w:rsidRPr="00214F35">
              <w:rPr>
                <w:rFonts w:ascii="Calibri" w:hAnsi="Calibri"/>
                <w:sz w:val="18"/>
                <w:szCs w:val="18"/>
              </w:rPr>
              <w:t>6</w:t>
            </w:r>
          </w:p>
        </w:tc>
        <w:tc>
          <w:tcPr>
            <w:tcW w:w="850" w:type="dxa"/>
          </w:tcPr>
          <w:p w:rsidR="00134B2C" w:rsidRPr="00214F35" w:rsidRDefault="00134B2C" w:rsidP="00FD47C7">
            <w:pPr>
              <w:jc w:val="center"/>
              <w:rPr>
                <w:rFonts w:ascii="Calibri" w:hAnsi="Calibri"/>
                <w:sz w:val="18"/>
                <w:szCs w:val="18"/>
              </w:rPr>
            </w:pPr>
            <w:r w:rsidRPr="00214F35">
              <w:rPr>
                <w:rFonts w:ascii="Calibri" w:hAnsi="Calibri"/>
                <w:sz w:val="18"/>
                <w:szCs w:val="18"/>
              </w:rPr>
              <w:t>14</w:t>
            </w:r>
          </w:p>
        </w:tc>
        <w:tc>
          <w:tcPr>
            <w:tcW w:w="851" w:type="dxa"/>
          </w:tcPr>
          <w:p w:rsidR="00134B2C" w:rsidRPr="00214F35" w:rsidRDefault="00134B2C" w:rsidP="00FD47C7">
            <w:pPr>
              <w:jc w:val="center"/>
              <w:rPr>
                <w:rFonts w:ascii="Calibri" w:hAnsi="Calibri"/>
                <w:sz w:val="18"/>
                <w:szCs w:val="18"/>
              </w:rPr>
            </w:pPr>
            <w:r w:rsidRPr="00214F35">
              <w:rPr>
                <w:rFonts w:ascii="Calibri" w:hAnsi="Calibri"/>
                <w:sz w:val="18"/>
                <w:szCs w:val="18"/>
              </w:rPr>
              <w:t>5</w:t>
            </w:r>
          </w:p>
        </w:tc>
        <w:tc>
          <w:tcPr>
            <w:tcW w:w="882" w:type="dxa"/>
          </w:tcPr>
          <w:p w:rsidR="00134B2C" w:rsidRPr="00214F35" w:rsidRDefault="00134B2C" w:rsidP="00FD47C7">
            <w:pPr>
              <w:jc w:val="center"/>
              <w:rPr>
                <w:rFonts w:ascii="Calibri" w:hAnsi="Calibri"/>
                <w:sz w:val="18"/>
                <w:szCs w:val="18"/>
              </w:rPr>
            </w:pPr>
            <w:r w:rsidRPr="00214F35">
              <w:rPr>
                <w:rFonts w:ascii="Calibri" w:hAnsi="Calibri"/>
                <w:sz w:val="18"/>
                <w:szCs w:val="18"/>
              </w:rPr>
              <w:t>12,0</w:t>
            </w:r>
          </w:p>
        </w:tc>
      </w:tr>
      <w:tr w:rsidR="00134B2C" w:rsidRPr="00214F35" w:rsidTr="00FD47C7">
        <w:tc>
          <w:tcPr>
            <w:tcW w:w="2235" w:type="dxa"/>
          </w:tcPr>
          <w:p w:rsidR="00134B2C" w:rsidRPr="00214F35" w:rsidRDefault="00134B2C" w:rsidP="00FD47C7">
            <w:pPr>
              <w:jc w:val="left"/>
              <w:rPr>
                <w:rFonts w:ascii="Calibri" w:hAnsi="Calibri"/>
                <w:sz w:val="18"/>
                <w:szCs w:val="18"/>
                <w:vertAlign w:val="superscript"/>
              </w:rPr>
            </w:pPr>
            <w:r w:rsidRPr="00214F35">
              <w:rPr>
                <w:rFonts w:ascii="Calibri" w:hAnsi="Calibri"/>
                <w:sz w:val="18"/>
                <w:szCs w:val="18"/>
              </w:rPr>
              <w:t>Zawartość lepiszcza, minimum</w:t>
            </w:r>
            <w:r w:rsidRPr="00214F35">
              <w:rPr>
                <w:rFonts w:ascii="Calibri" w:hAnsi="Calibri"/>
                <w:sz w:val="18"/>
                <w:szCs w:val="18"/>
                <w:vertAlign w:val="superscript"/>
              </w:rPr>
              <w:t>*)</w:t>
            </w:r>
          </w:p>
        </w:tc>
        <w:tc>
          <w:tcPr>
            <w:tcW w:w="1842" w:type="dxa"/>
            <w:gridSpan w:val="2"/>
          </w:tcPr>
          <w:p w:rsidR="00134B2C" w:rsidRPr="00214F35" w:rsidRDefault="00134B2C" w:rsidP="00FD47C7">
            <w:pPr>
              <w:spacing w:before="120"/>
              <w:jc w:val="center"/>
              <w:rPr>
                <w:rFonts w:ascii="Calibri" w:hAnsi="Calibri"/>
                <w:sz w:val="18"/>
                <w:szCs w:val="18"/>
              </w:rPr>
            </w:pPr>
            <w:r w:rsidRPr="00214F35">
              <w:rPr>
                <w:rFonts w:ascii="Calibri" w:hAnsi="Calibri"/>
                <w:sz w:val="18"/>
                <w:szCs w:val="18"/>
              </w:rPr>
              <w:t>B</w:t>
            </w:r>
            <w:r w:rsidRPr="00214F35">
              <w:rPr>
                <w:rFonts w:ascii="Calibri" w:hAnsi="Calibri"/>
                <w:sz w:val="18"/>
                <w:szCs w:val="18"/>
                <w:vertAlign w:val="subscript"/>
              </w:rPr>
              <w:t>min6,0</w:t>
            </w:r>
          </w:p>
        </w:tc>
        <w:tc>
          <w:tcPr>
            <w:tcW w:w="1701" w:type="dxa"/>
            <w:gridSpan w:val="2"/>
          </w:tcPr>
          <w:p w:rsidR="00134B2C" w:rsidRPr="00214F35" w:rsidRDefault="00134B2C" w:rsidP="00FD47C7">
            <w:pPr>
              <w:spacing w:before="120"/>
              <w:jc w:val="center"/>
              <w:rPr>
                <w:rFonts w:ascii="Calibri" w:hAnsi="Calibri"/>
                <w:sz w:val="18"/>
                <w:szCs w:val="18"/>
              </w:rPr>
            </w:pPr>
            <w:r w:rsidRPr="00214F35">
              <w:rPr>
                <w:rFonts w:ascii="Calibri" w:hAnsi="Calibri"/>
                <w:sz w:val="18"/>
                <w:szCs w:val="18"/>
              </w:rPr>
              <w:t>B</w:t>
            </w:r>
            <w:r w:rsidRPr="00214F35">
              <w:rPr>
                <w:rFonts w:ascii="Calibri" w:hAnsi="Calibri"/>
                <w:sz w:val="18"/>
                <w:szCs w:val="18"/>
                <w:vertAlign w:val="subscript"/>
              </w:rPr>
              <w:t>min5,8</w:t>
            </w:r>
          </w:p>
        </w:tc>
        <w:tc>
          <w:tcPr>
            <w:tcW w:w="1733" w:type="dxa"/>
            <w:gridSpan w:val="2"/>
          </w:tcPr>
          <w:p w:rsidR="00134B2C" w:rsidRPr="00214F35" w:rsidRDefault="00134B2C" w:rsidP="00FD47C7">
            <w:pPr>
              <w:spacing w:before="120"/>
              <w:jc w:val="center"/>
              <w:rPr>
                <w:rFonts w:ascii="Calibri" w:hAnsi="Calibri"/>
                <w:sz w:val="18"/>
                <w:szCs w:val="18"/>
              </w:rPr>
            </w:pPr>
            <w:r w:rsidRPr="00214F35">
              <w:rPr>
                <w:rFonts w:ascii="Calibri" w:hAnsi="Calibri"/>
                <w:sz w:val="18"/>
                <w:szCs w:val="18"/>
              </w:rPr>
              <w:t>B</w:t>
            </w:r>
            <w:r w:rsidRPr="00214F35">
              <w:rPr>
                <w:rFonts w:ascii="Calibri" w:hAnsi="Calibri"/>
                <w:sz w:val="18"/>
                <w:szCs w:val="18"/>
                <w:vertAlign w:val="subscript"/>
              </w:rPr>
              <w:t xml:space="preserve">min5,6 </w:t>
            </w:r>
          </w:p>
        </w:tc>
      </w:tr>
    </w:tbl>
    <w:p w:rsidR="00141829" w:rsidRDefault="00141829" w:rsidP="00134B2C">
      <w:pPr>
        <w:ind w:left="709"/>
        <w:rPr>
          <w:rFonts w:ascii="Calibri" w:hAnsi="Calibri"/>
        </w:rPr>
      </w:pPr>
    </w:p>
    <w:p w:rsidR="00134B2C" w:rsidRPr="00214F35" w:rsidRDefault="00134B2C" w:rsidP="00134B2C">
      <w:pPr>
        <w:ind w:left="709"/>
        <w:rPr>
          <w:rFonts w:ascii="Calibri" w:hAnsi="Calibri"/>
        </w:rPr>
      </w:pPr>
      <w:r w:rsidRPr="00214F35">
        <w:rPr>
          <w:rFonts w:ascii="Calibri" w:hAnsi="Calibri"/>
        </w:rPr>
        <w:t>Tablica 6</w:t>
      </w:r>
      <w:r>
        <w:rPr>
          <w:rFonts w:ascii="Calibri" w:hAnsi="Calibri"/>
        </w:rPr>
        <w:t xml:space="preserve">. </w:t>
      </w:r>
      <w:r w:rsidRPr="00214F35">
        <w:rPr>
          <w:rFonts w:ascii="Calibri" w:hAnsi="Calibri"/>
        </w:rPr>
        <w:t>Uziarnienie mieszanki mineralnej oraz zawartość lepiszcza do betonu asfaltowego do warstwy ścieralnej dla ruchu KR3-KR6 [65]</w:t>
      </w:r>
    </w:p>
    <w:tbl>
      <w:tblPr>
        <w:tblW w:w="0" w:type="auto"/>
        <w:tblInd w:w="81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tblPr>
      <w:tblGrid>
        <w:gridCol w:w="3168"/>
        <w:gridCol w:w="1260"/>
        <w:gridCol w:w="1080"/>
        <w:gridCol w:w="900"/>
        <w:gridCol w:w="1103"/>
      </w:tblGrid>
      <w:tr w:rsidR="00134B2C" w:rsidRPr="00214F35" w:rsidTr="00FD47C7">
        <w:tc>
          <w:tcPr>
            <w:tcW w:w="3168" w:type="dxa"/>
            <w:tcBorders>
              <w:bottom w:val="nil"/>
            </w:tcBorders>
          </w:tcPr>
          <w:p w:rsidR="00134B2C" w:rsidRPr="00214F35" w:rsidRDefault="00134B2C" w:rsidP="00FD47C7">
            <w:pPr>
              <w:jc w:val="center"/>
              <w:rPr>
                <w:rFonts w:ascii="Calibri" w:hAnsi="Calibri"/>
                <w:sz w:val="18"/>
                <w:szCs w:val="18"/>
              </w:rPr>
            </w:pPr>
            <w:r w:rsidRPr="00214F35">
              <w:rPr>
                <w:rFonts w:ascii="Calibri" w:hAnsi="Calibri"/>
                <w:sz w:val="18"/>
                <w:szCs w:val="18"/>
              </w:rPr>
              <w:t>Właściwość</w:t>
            </w:r>
          </w:p>
        </w:tc>
        <w:tc>
          <w:tcPr>
            <w:tcW w:w="4343" w:type="dxa"/>
            <w:gridSpan w:val="4"/>
          </w:tcPr>
          <w:p w:rsidR="00134B2C" w:rsidRPr="00214F35" w:rsidRDefault="00134B2C" w:rsidP="00FD47C7">
            <w:pPr>
              <w:jc w:val="center"/>
              <w:rPr>
                <w:rFonts w:ascii="Calibri" w:hAnsi="Calibri"/>
                <w:sz w:val="18"/>
                <w:szCs w:val="18"/>
              </w:rPr>
            </w:pPr>
            <w:r w:rsidRPr="00214F35">
              <w:rPr>
                <w:rFonts w:ascii="Calibri" w:hAnsi="Calibri"/>
                <w:sz w:val="18"/>
                <w:szCs w:val="18"/>
              </w:rPr>
              <w:t>Przesiew,   [% (m/m)]</w:t>
            </w:r>
          </w:p>
        </w:tc>
      </w:tr>
      <w:tr w:rsidR="00134B2C" w:rsidRPr="00214F35" w:rsidTr="00FD47C7">
        <w:tc>
          <w:tcPr>
            <w:tcW w:w="3168" w:type="dxa"/>
            <w:tcBorders>
              <w:top w:val="nil"/>
            </w:tcBorders>
          </w:tcPr>
          <w:p w:rsidR="00134B2C" w:rsidRPr="00214F35" w:rsidRDefault="00134B2C" w:rsidP="00FD47C7">
            <w:pPr>
              <w:jc w:val="center"/>
              <w:rPr>
                <w:rFonts w:ascii="Calibri" w:hAnsi="Calibri"/>
                <w:sz w:val="18"/>
                <w:szCs w:val="18"/>
              </w:rPr>
            </w:pPr>
          </w:p>
        </w:tc>
        <w:tc>
          <w:tcPr>
            <w:tcW w:w="2340" w:type="dxa"/>
            <w:gridSpan w:val="2"/>
          </w:tcPr>
          <w:p w:rsidR="00134B2C" w:rsidRPr="00214F35" w:rsidRDefault="00134B2C" w:rsidP="00FD47C7">
            <w:pPr>
              <w:jc w:val="center"/>
              <w:rPr>
                <w:rFonts w:ascii="Calibri" w:hAnsi="Calibri"/>
                <w:sz w:val="18"/>
                <w:szCs w:val="18"/>
              </w:rPr>
            </w:pPr>
            <w:r w:rsidRPr="00214F35">
              <w:rPr>
                <w:rFonts w:ascii="Calibri" w:hAnsi="Calibri"/>
                <w:sz w:val="18"/>
                <w:szCs w:val="18"/>
              </w:rPr>
              <w:t>AC8S</w:t>
            </w:r>
          </w:p>
        </w:tc>
        <w:tc>
          <w:tcPr>
            <w:tcW w:w="2003" w:type="dxa"/>
            <w:gridSpan w:val="2"/>
          </w:tcPr>
          <w:p w:rsidR="00134B2C" w:rsidRPr="00214F35" w:rsidRDefault="00134B2C" w:rsidP="00FD47C7">
            <w:pPr>
              <w:jc w:val="center"/>
              <w:rPr>
                <w:rFonts w:ascii="Calibri" w:hAnsi="Calibri"/>
                <w:sz w:val="18"/>
                <w:szCs w:val="18"/>
              </w:rPr>
            </w:pPr>
            <w:r w:rsidRPr="00214F35">
              <w:rPr>
                <w:rFonts w:ascii="Calibri" w:hAnsi="Calibri"/>
                <w:sz w:val="18"/>
                <w:szCs w:val="18"/>
              </w:rPr>
              <w:t>AC11S</w:t>
            </w:r>
          </w:p>
        </w:tc>
      </w:tr>
      <w:tr w:rsidR="00134B2C" w:rsidRPr="00214F35" w:rsidTr="00FD47C7">
        <w:tc>
          <w:tcPr>
            <w:tcW w:w="3168" w:type="dxa"/>
          </w:tcPr>
          <w:p w:rsidR="00134B2C" w:rsidRPr="00214F35" w:rsidRDefault="00134B2C" w:rsidP="00FD47C7">
            <w:pPr>
              <w:jc w:val="center"/>
              <w:rPr>
                <w:rFonts w:ascii="Calibri" w:hAnsi="Calibri"/>
                <w:sz w:val="18"/>
                <w:szCs w:val="18"/>
              </w:rPr>
            </w:pPr>
            <w:r w:rsidRPr="00214F35">
              <w:rPr>
                <w:rFonts w:ascii="Calibri" w:hAnsi="Calibri"/>
                <w:sz w:val="18"/>
                <w:szCs w:val="18"/>
              </w:rPr>
              <w:t>Wymiar sita #, [mm]</w:t>
            </w:r>
          </w:p>
        </w:tc>
        <w:tc>
          <w:tcPr>
            <w:tcW w:w="1260" w:type="dxa"/>
          </w:tcPr>
          <w:p w:rsidR="00134B2C" w:rsidRPr="00214F35" w:rsidRDefault="00134B2C" w:rsidP="00FD47C7">
            <w:pPr>
              <w:jc w:val="center"/>
              <w:rPr>
                <w:rFonts w:ascii="Calibri" w:hAnsi="Calibri"/>
                <w:sz w:val="18"/>
                <w:szCs w:val="18"/>
              </w:rPr>
            </w:pPr>
            <w:r w:rsidRPr="00214F35">
              <w:rPr>
                <w:rFonts w:ascii="Calibri" w:hAnsi="Calibri"/>
                <w:sz w:val="18"/>
                <w:szCs w:val="18"/>
              </w:rPr>
              <w:t>od</w:t>
            </w:r>
          </w:p>
        </w:tc>
        <w:tc>
          <w:tcPr>
            <w:tcW w:w="1080" w:type="dxa"/>
          </w:tcPr>
          <w:p w:rsidR="00134B2C" w:rsidRPr="00214F35" w:rsidRDefault="00134B2C" w:rsidP="00FD47C7">
            <w:pPr>
              <w:jc w:val="center"/>
              <w:rPr>
                <w:rFonts w:ascii="Calibri" w:hAnsi="Calibri"/>
                <w:sz w:val="18"/>
                <w:szCs w:val="18"/>
              </w:rPr>
            </w:pPr>
            <w:r w:rsidRPr="00214F35">
              <w:rPr>
                <w:rFonts w:ascii="Calibri" w:hAnsi="Calibri"/>
                <w:sz w:val="18"/>
                <w:szCs w:val="18"/>
              </w:rPr>
              <w:t>do</w:t>
            </w:r>
          </w:p>
        </w:tc>
        <w:tc>
          <w:tcPr>
            <w:tcW w:w="900" w:type="dxa"/>
          </w:tcPr>
          <w:p w:rsidR="00134B2C" w:rsidRPr="00214F35" w:rsidRDefault="00134B2C" w:rsidP="00FD47C7">
            <w:pPr>
              <w:jc w:val="center"/>
              <w:rPr>
                <w:rFonts w:ascii="Calibri" w:hAnsi="Calibri"/>
                <w:sz w:val="18"/>
                <w:szCs w:val="18"/>
              </w:rPr>
            </w:pPr>
            <w:r w:rsidRPr="00214F35">
              <w:rPr>
                <w:rFonts w:ascii="Calibri" w:hAnsi="Calibri"/>
                <w:sz w:val="18"/>
                <w:szCs w:val="18"/>
              </w:rPr>
              <w:t>od</w:t>
            </w:r>
          </w:p>
        </w:tc>
        <w:tc>
          <w:tcPr>
            <w:tcW w:w="1103" w:type="dxa"/>
          </w:tcPr>
          <w:p w:rsidR="00134B2C" w:rsidRPr="00214F35" w:rsidRDefault="00134B2C" w:rsidP="00FD47C7">
            <w:pPr>
              <w:jc w:val="center"/>
              <w:rPr>
                <w:rFonts w:ascii="Calibri" w:hAnsi="Calibri"/>
                <w:sz w:val="18"/>
                <w:szCs w:val="18"/>
              </w:rPr>
            </w:pPr>
            <w:r w:rsidRPr="00214F35">
              <w:rPr>
                <w:rFonts w:ascii="Calibri" w:hAnsi="Calibri"/>
                <w:sz w:val="18"/>
                <w:szCs w:val="18"/>
              </w:rPr>
              <w:t>do</w:t>
            </w:r>
          </w:p>
        </w:tc>
      </w:tr>
      <w:tr w:rsidR="00134B2C" w:rsidRPr="00214F35" w:rsidTr="00FD47C7">
        <w:tc>
          <w:tcPr>
            <w:tcW w:w="3168" w:type="dxa"/>
          </w:tcPr>
          <w:p w:rsidR="00134B2C" w:rsidRPr="00214F35" w:rsidRDefault="00134B2C" w:rsidP="00FD47C7">
            <w:pPr>
              <w:jc w:val="center"/>
              <w:rPr>
                <w:rFonts w:ascii="Calibri" w:hAnsi="Calibri"/>
                <w:sz w:val="18"/>
                <w:szCs w:val="18"/>
              </w:rPr>
            </w:pPr>
            <w:r w:rsidRPr="00214F35">
              <w:rPr>
                <w:rFonts w:ascii="Calibri" w:hAnsi="Calibri"/>
                <w:sz w:val="18"/>
                <w:szCs w:val="18"/>
              </w:rPr>
              <w:t>16</w:t>
            </w:r>
          </w:p>
        </w:tc>
        <w:tc>
          <w:tcPr>
            <w:tcW w:w="1260" w:type="dxa"/>
          </w:tcPr>
          <w:p w:rsidR="00134B2C" w:rsidRPr="00214F35" w:rsidRDefault="00134B2C" w:rsidP="00FD47C7">
            <w:pPr>
              <w:jc w:val="center"/>
              <w:rPr>
                <w:rFonts w:ascii="Calibri" w:hAnsi="Calibri"/>
                <w:sz w:val="18"/>
                <w:szCs w:val="18"/>
              </w:rPr>
            </w:pPr>
            <w:r w:rsidRPr="00214F35">
              <w:rPr>
                <w:rFonts w:ascii="Calibri" w:hAnsi="Calibri"/>
                <w:sz w:val="18"/>
                <w:szCs w:val="18"/>
              </w:rPr>
              <w:t>-</w:t>
            </w:r>
          </w:p>
        </w:tc>
        <w:tc>
          <w:tcPr>
            <w:tcW w:w="1080" w:type="dxa"/>
          </w:tcPr>
          <w:p w:rsidR="00134B2C" w:rsidRPr="00214F35" w:rsidRDefault="00134B2C" w:rsidP="00FD47C7">
            <w:pPr>
              <w:jc w:val="center"/>
              <w:rPr>
                <w:rFonts w:ascii="Calibri" w:hAnsi="Calibri"/>
                <w:sz w:val="18"/>
                <w:szCs w:val="18"/>
              </w:rPr>
            </w:pPr>
            <w:r w:rsidRPr="00214F35">
              <w:rPr>
                <w:rFonts w:ascii="Calibri" w:hAnsi="Calibri"/>
                <w:sz w:val="18"/>
                <w:szCs w:val="18"/>
              </w:rPr>
              <w:t>-</w:t>
            </w:r>
          </w:p>
        </w:tc>
        <w:tc>
          <w:tcPr>
            <w:tcW w:w="900" w:type="dxa"/>
          </w:tcPr>
          <w:p w:rsidR="00134B2C" w:rsidRPr="00214F35" w:rsidRDefault="00134B2C" w:rsidP="00FD47C7">
            <w:pPr>
              <w:jc w:val="center"/>
              <w:rPr>
                <w:rFonts w:ascii="Calibri" w:hAnsi="Calibri"/>
                <w:sz w:val="18"/>
                <w:szCs w:val="18"/>
              </w:rPr>
            </w:pPr>
            <w:r w:rsidRPr="00214F35">
              <w:rPr>
                <w:rFonts w:ascii="Calibri" w:hAnsi="Calibri"/>
                <w:sz w:val="18"/>
                <w:szCs w:val="18"/>
              </w:rPr>
              <w:t>100</w:t>
            </w:r>
          </w:p>
        </w:tc>
        <w:tc>
          <w:tcPr>
            <w:tcW w:w="1103" w:type="dxa"/>
          </w:tcPr>
          <w:p w:rsidR="00134B2C" w:rsidRPr="00214F35" w:rsidRDefault="00134B2C" w:rsidP="00FD47C7">
            <w:pPr>
              <w:jc w:val="center"/>
              <w:rPr>
                <w:rFonts w:ascii="Calibri" w:hAnsi="Calibri"/>
                <w:sz w:val="18"/>
                <w:szCs w:val="18"/>
              </w:rPr>
            </w:pPr>
            <w:r w:rsidRPr="00214F35">
              <w:rPr>
                <w:rFonts w:ascii="Calibri" w:hAnsi="Calibri"/>
                <w:sz w:val="18"/>
                <w:szCs w:val="18"/>
              </w:rPr>
              <w:t>-</w:t>
            </w:r>
          </w:p>
        </w:tc>
      </w:tr>
      <w:tr w:rsidR="00134B2C" w:rsidRPr="00214F35" w:rsidTr="00FD47C7">
        <w:tc>
          <w:tcPr>
            <w:tcW w:w="3168" w:type="dxa"/>
          </w:tcPr>
          <w:p w:rsidR="00134B2C" w:rsidRPr="00214F35" w:rsidRDefault="00134B2C" w:rsidP="00FD47C7">
            <w:pPr>
              <w:jc w:val="center"/>
              <w:rPr>
                <w:rFonts w:ascii="Calibri" w:hAnsi="Calibri"/>
                <w:sz w:val="18"/>
                <w:szCs w:val="18"/>
              </w:rPr>
            </w:pPr>
            <w:r w:rsidRPr="00214F35">
              <w:rPr>
                <w:rFonts w:ascii="Calibri" w:hAnsi="Calibri"/>
                <w:sz w:val="18"/>
                <w:szCs w:val="18"/>
              </w:rPr>
              <w:t>11,2</w:t>
            </w:r>
          </w:p>
        </w:tc>
        <w:tc>
          <w:tcPr>
            <w:tcW w:w="1260" w:type="dxa"/>
          </w:tcPr>
          <w:p w:rsidR="00134B2C" w:rsidRPr="00214F35" w:rsidRDefault="00134B2C" w:rsidP="00FD47C7">
            <w:pPr>
              <w:jc w:val="center"/>
              <w:rPr>
                <w:rFonts w:ascii="Calibri" w:hAnsi="Calibri"/>
                <w:sz w:val="18"/>
                <w:szCs w:val="18"/>
              </w:rPr>
            </w:pPr>
            <w:r w:rsidRPr="00214F35">
              <w:rPr>
                <w:rFonts w:ascii="Calibri" w:hAnsi="Calibri"/>
                <w:sz w:val="18"/>
                <w:szCs w:val="18"/>
              </w:rPr>
              <w:t>100</w:t>
            </w:r>
          </w:p>
        </w:tc>
        <w:tc>
          <w:tcPr>
            <w:tcW w:w="1080" w:type="dxa"/>
          </w:tcPr>
          <w:p w:rsidR="00134B2C" w:rsidRPr="00214F35" w:rsidRDefault="00134B2C" w:rsidP="00FD47C7">
            <w:pPr>
              <w:jc w:val="center"/>
              <w:rPr>
                <w:rFonts w:ascii="Calibri" w:hAnsi="Calibri"/>
                <w:sz w:val="18"/>
                <w:szCs w:val="18"/>
              </w:rPr>
            </w:pPr>
            <w:r w:rsidRPr="00214F35">
              <w:rPr>
                <w:rFonts w:ascii="Calibri" w:hAnsi="Calibri"/>
                <w:sz w:val="18"/>
                <w:szCs w:val="18"/>
              </w:rPr>
              <w:t>-</w:t>
            </w:r>
          </w:p>
        </w:tc>
        <w:tc>
          <w:tcPr>
            <w:tcW w:w="900" w:type="dxa"/>
          </w:tcPr>
          <w:p w:rsidR="00134B2C" w:rsidRPr="00214F35" w:rsidRDefault="00134B2C" w:rsidP="00FD47C7">
            <w:pPr>
              <w:jc w:val="center"/>
              <w:rPr>
                <w:rFonts w:ascii="Calibri" w:hAnsi="Calibri"/>
                <w:sz w:val="18"/>
                <w:szCs w:val="18"/>
              </w:rPr>
            </w:pPr>
            <w:r w:rsidRPr="00214F35">
              <w:rPr>
                <w:rFonts w:ascii="Calibri" w:hAnsi="Calibri"/>
                <w:sz w:val="18"/>
                <w:szCs w:val="18"/>
              </w:rPr>
              <w:t>90</w:t>
            </w:r>
          </w:p>
        </w:tc>
        <w:tc>
          <w:tcPr>
            <w:tcW w:w="1103" w:type="dxa"/>
          </w:tcPr>
          <w:p w:rsidR="00134B2C" w:rsidRPr="00214F35" w:rsidRDefault="00134B2C" w:rsidP="00FD47C7">
            <w:pPr>
              <w:jc w:val="center"/>
              <w:rPr>
                <w:rFonts w:ascii="Calibri" w:hAnsi="Calibri"/>
                <w:sz w:val="18"/>
                <w:szCs w:val="18"/>
              </w:rPr>
            </w:pPr>
            <w:r w:rsidRPr="00214F35">
              <w:rPr>
                <w:rFonts w:ascii="Calibri" w:hAnsi="Calibri"/>
                <w:sz w:val="18"/>
                <w:szCs w:val="18"/>
              </w:rPr>
              <w:t>100</w:t>
            </w:r>
          </w:p>
        </w:tc>
      </w:tr>
      <w:tr w:rsidR="00134B2C" w:rsidRPr="00214F35" w:rsidTr="00FD47C7">
        <w:tc>
          <w:tcPr>
            <w:tcW w:w="3168" w:type="dxa"/>
          </w:tcPr>
          <w:p w:rsidR="00134B2C" w:rsidRPr="00214F35" w:rsidRDefault="00134B2C" w:rsidP="00FD47C7">
            <w:pPr>
              <w:jc w:val="center"/>
              <w:rPr>
                <w:rFonts w:ascii="Calibri" w:hAnsi="Calibri"/>
                <w:sz w:val="18"/>
                <w:szCs w:val="18"/>
              </w:rPr>
            </w:pPr>
            <w:r w:rsidRPr="00214F35">
              <w:rPr>
                <w:rFonts w:ascii="Calibri" w:hAnsi="Calibri"/>
                <w:sz w:val="18"/>
                <w:szCs w:val="18"/>
              </w:rPr>
              <w:t>8</w:t>
            </w:r>
          </w:p>
        </w:tc>
        <w:tc>
          <w:tcPr>
            <w:tcW w:w="1260" w:type="dxa"/>
          </w:tcPr>
          <w:p w:rsidR="00134B2C" w:rsidRPr="00214F35" w:rsidRDefault="00134B2C" w:rsidP="00FD47C7">
            <w:pPr>
              <w:jc w:val="center"/>
              <w:rPr>
                <w:rFonts w:ascii="Calibri" w:hAnsi="Calibri"/>
                <w:sz w:val="18"/>
                <w:szCs w:val="18"/>
              </w:rPr>
            </w:pPr>
            <w:r w:rsidRPr="00214F35">
              <w:rPr>
                <w:rFonts w:ascii="Calibri" w:hAnsi="Calibri"/>
                <w:sz w:val="18"/>
                <w:szCs w:val="18"/>
              </w:rPr>
              <w:t>90</w:t>
            </w:r>
          </w:p>
        </w:tc>
        <w:tc>
          <w:tcPr>
            <w:tcW w:w="1080" w:type="dxa"/>
          </w:tcPr>
          <w:p w:rsidR="00134B2C" w:rsidRPr="00214F35" w:rsidRDefault="00134B2C" w:rsidP="00FD47C7">
            <w:pPr>
              <w:jc w:val="center"/>
              <w:rPr>
                <w:rFonts w:ascii="Calibri" w:hAnsi="Calibri"/>
                <w:sz w:val="18"/>
                <w:szCs w:val="18"/>
              </w:rPr>
            </w:pPr>
            <w:r w:rsidRPr="00214F35">
              <w:rPr>
                <w:rFonts w:ascii="Calibri" w:hAnsi="Calibri"/>
                <w:sz w:val="18"/>
                <w:szCs w:val="18"/>
              </w:rPr>
              <w:t>100</w:t>
            </w:r>
          </w:p>
        </w:tc>
        <w:tc>
          <w:tcPr>
            <w:tcW w:w="900" w:type="dxa"/>
          </w:tcPr>
          <w:p w:rsidR="00134B2C" w:rsidRPr="00214F35" w:rsidRDefault="00134B2C" w:rsidP="00FD47C7">
            <w:pPr>
              <w:jc w:val="center"/>
              <w:rPr>
                <w:rFonts w:ascii="Calibri" w:hAnsi="Calibri"/>
                <w:sz w:val="18"/>
                <w:szCs w:val="18"/>
              </w:rPr>
            </w:pPr>
            <w:r w:rsidRPr="00214F35">
              <w:rPr>
                <w:rFonts w:ascii="Calibri" w:hAnsi="Calibri"/>
                <w:sz w:val="18"/>
                <w:szCs w:val="18"/>
              </w:rPr>
              <w:t>60</w:t>
            </w:r>
          </w:p>
        </w:tc>
        <w:tc>
          <w:tcPr>
            <w:tcW w:w="1103" w:type="dxa"/>
          </w:tcPr>
          <w:p w:rsidR="00134B2C" w:rsidRPr="00214F35" w:rsidRDefault="00134B2C" w:rsidP="00FD47C7">
            <w:pPr>
              <w:jc w:val="center"/>
              <w:rPr>
                <w:rFonts w:ascii="Calibri" w:hAnsi="Calibri"/>
                <w:sz w:val="18"/>
                <w:szCs w:val="18"/>
              </w:rPr>
            </w:pPr>
            <w:r w:rsidRPr="00214F35">
              <w:rPr>
                <w:rFonts w:ascii="Calibri" w:hAnsi="Calibri"/>
                <w:sz w:val="18"/>
                <w:szCs w:val="18"/>
              </w:rPr>
              <w:t>90</w:t>
            </w:r>
          </w:p>
        </w:tc>
      </w:tr>
      <w:tr w:rsidR="00134B2C" w:rsidRPr="00214F35" w:rsidTr="00FD47C7">
        <w:tc>
          <w:tcPr>
            <w:tcW w:w="3168" w:type="dxa"/>
          </w:tcPr>
          <w:p w:rsidR="00134B2C" w:rsidRPr="00214F35" w:rsidRDefault="00134B2C" w:rsidP="00FD47C7">
            <w:pPr>
              <w:jc w:val="center"/>
              <w:rPr>
                <w:rFonts w:ascii="Calibri" w:hAnsi="Calibri"/>
                <w:sz w:val="18"/>
                <w:szCs w:val="18"/>
              </w:rPr>
            </w:pPr>
            <w:r w:rsidRPr="00214F35">
              <w:rPr>
                <w:rFonts w:ascii="Calibri" w:hAnsi="Calibri"/>
                <w:sz w:val="18"/>
                <w:szCs w:val="18"/>
              </w:rPr>
              <w:t>5,6</w:t>
            </w:r>
          </w:p>
        </w:tc>
        <w:tc>
          <w:tcPr>
            <w:tcW w:w="1260" w:type="dxa"/>
          </w:tcPr>
          <w:p w:rsidR="00134B2C" w:rsidRPr="00214F35" w:rsidRDefault="00134B2C" w:rsidP="00FD47C7">
            <w:pPr>
              <w:jc w:val="center"/>
              <w:rPr>
                <w:rFonts w:ascii="Calibri" w:hAnsi="Calibri"/>
                <w:sz w:val="18"/>
                <w:szCs w:val="18"/>
              </w:rPr>
            </w:pPr>
            <w:r w:rsidRPr="00214F35">
              <w:rPr>
                <w:rFonts w:ascii="Calibri" w:hAnsi="Calibri"/>
                <w:sz w:val="18"/>
                <w:szCs w:val="18"/>
              </w:rPr>
              <w:t>60</w:t>
            </w:r>
          </w:p>
        </w:tc>
        <w:tc>
          <w:tcPr>
            <w:tcW w:w="1080" w:type="dxa"/>
          </w:tcPr>
          <w:p w:rsidR="00134B2C" w:rsidRPr="00214F35" w:rsidRDefault="00134B2C" w:rsidP="00FD47C7">
            <w:pPr>
              <w:jc w:val="center"/>
              <w:rPr>
                <w:rFonts w:ascii="Calibri" w:hAnsi="Calibri"/>
                <w:sz w:val="18"/>
                <w:szCs w:val="18"/>
              </w:rPr>
            </w:pPr>
            <w:r w:rsidRPr="00214F35">
              <w:rPr>
                <w:rFonts w:ascii="Calibri" w:hAnsi="Calibri"/>
                <w:sz w:val="18"/>
                <w:szCs w:val="18"/>
              </w:rPr>
              <w:t>80</w:t>
            </w:r>
          </w:p>
        </w:tc>
        <w:tc>
          <w:tcPr>
            <w:tcW w:w="900" w:type="dxa"/>
          </w:tcPr>
          <w:p w:rsidR="00134B2C" w:rsidRPr="00214F35" w:rsidRDefault="00134B2C" w:rsidP="00FD47C7">
            <w:pPr>
              <w:jc w:val="center"/>
              <w:rPr>
                <w:rFonts w:ascii="Calibri" w:hAnsi="Calibri"/>
                <w:sz w:val="18"/>
                <w:szCs w:val="18"/>
              </w:rPr>
            </w:pPr>
            <w:r w:rsidRPr="00214F35">
              <w:rPr>
                <w:rFonts w:ascii="Calibri" w:hAnsi="Calibri"/>
                <w:sz w:val="18"/>
                <w:szCs w:val="18"/>
              </w:rPr>
              <w:t>-</w:t>
            </w:r>
          </w:p>
        </w:tc>
        <w:tc>
          <w:tcPr>
            <w:tcW w:w="1103" w:type="dxa"/>
          </w:tcPr>
          <w:p w:rsidR="00134B2C" w:rsidRPr="00214F35" w:rsidRDefault="00134B2C" w:rsidP="00FD47C7">
            <w:pPr>
              <w:jc w:val="center"/>
              <w:rPr>
                <w:rFonts w:ascii="Calibri" w:hAnsi="Calibri"/>
                <w:sz w:val="18"/>
                <w:szCs w:val="18"/>
              </w:rPr>
            </w:pPr>
            <w:r w:rsidRPr="00214F35">
              <w:rPr>
                <w:rFonts w:ascii="Calibri" w:hAnsi="Calibri"/>
                <w:sz w:val="18"/>
                <w:szCs w:val="18"/>
              </w:rPr>
              <w:t>-</w:t>
            </w:r>
          </w:p>
        </w:tc>
      </w:tr>
      <w:tr w:rsidR="00134B2C" w:rsidRPr="00214F35" w:rsidTr="00FD47C7">
        <w:tc>
          <w:tcPr>
            <w:tcW w:w="3168" w:type="dxa"/>
          </w:tcPr>
          <w:p w:rsidR="00134B2C" w:rsidRPr="00214F35" w:rsidRDefault="00134B2C" w:rsidP="00FD47C7">
            <w:pPr>
              <w:jc w:val="center"/>
              <w:rPr>
                <w:rFonts w:ascii="Calibri" w:hAnsi="Calibri"/>
                <w:sz w:val="18"/>
                <w:szCs w:val="18"/>
              </w:rPr>
            </w:pPr>
            <w:r w:rsidRPr="00214F35">
              <w:rPr>
                <w:rFonts w:ascii="Calibri" w:hAnsi="Calibri"/>
                <w:sz w:val="18"/>
                <w:szCs w:val="18"/>
              </w:rPr>
              <w:t>2</w:t>
            </w:r>
          </w:p>
        </w:tc>
        <w:tc>
          <w:tcPr>
            <w:tcW w:w="1260" w:type="dxa"/>
          </w:tcPr>
          <w:p w:rsidR="00134B2C" w:rsidRPr="00214F35" w:rsidRDefault="00134B2C" w:rsidP="00FD47C7">
            <w:pPr>
              <w:jc w:val="center"/>
              <w:rPr>
                <w:rFonts w:ascii="Calibri" w:hAnsi="Calibri"/>
                <w:sz w:val="18"/>
                <w:szCs w:val="18"/>
              </w:rPr>
            </w:pPr>
            <w:r w:rsidRPr="00214F35">
              <w:rPr>
                <w:rFonts w:ascii="Calibri" w:hAnsi="Calibri"/>
                <w:sz w:val="18"/>
                <w:szCs w:val="18"/>
              </w:rPr>
              <w:t>40</w:t>
            </w:r>
          </w:p>
        </w:tc>
        <w:tc>
          <w:tcPr>
            <w:tcW w:w="1080" w:type="dxa"/>
          </w:tcPr>
          <w:p w:rsidR="00134B2C" w:rsidRPr="00214F35" w:rsidRDefault="00134B2C" w:rsidP="00FD47C7">
            <w:pPr>
              <w:jc w:val="center"/>
              <w:rPr>
                <w:rFonts w:ascii="Calibri" w:hAnsi="Calibri"/>
                <w:sz w:val="18"/>
                <w:szCs w:val="18"/>
              </w:rPr>
            </w:pPr>
            <w:r w:rsidRPr="00214F35">
              <w:rPr>
                <w:rFonts w:ascii="Calibri" w:hAnsi="Calibri"/>
                <w:sz w:val="18"/>
                <w:szCs w:val="18"/>
              </w:rPr>
              <w:t>55</w:t>
            </w:r>
          </w:p>
        </w:tc>
        <w:tc>
          <w:tcPr>
            <w:tcW w:w="900" w:type="dxa"/>
          </w:tcPr>
          <w:p w:rsidR="00134B2C" w:rsidRPr="00214F35" w:rsidRDefault="00134B2C" w:rsidP="00FD47C7">
            <w:pPr>
              <w:jc w:val="center"/>
              <w:rPr>
                <w:rFonts w:ascii="Calibri" w:hAnsi="Calibri"/>
                <w:sz w:val="18"/>
                <w:szCs w:val="18"/>
              </w:rPr>
            </w:pPr>
            <w:r w:rsidRPr="00214F35">
              <w:rPr>
                <w:rFonts w:ascii="Calibri" w:hAnsi="Calibri"/>
                <w:sz w:val="18"/>
                <w:szCs w:val="18"/>
              </w:rPr>
              <w:t>35</w:t>
            </w:r>
          </w:p>
        </w:tc>
        <w:tc>
          <w:tcPr>
            <w:tcW w:w="1103" w:type="dxa"/>
          </w:tcPr>
          <w:p w:rsidR="00134B2C" w:rsidRPr="00214F35" w:rsidRDefault="00134B2C" w:rsidP="00FD47C7">
            <w:pPr>
              <w:jc w:val="center"/>
              <w:rPr>
                <w:rFonts w:ascii="Calibri" w:hAnsi="Calibri"/>
                <w:sz w:val="18"/>
                <w:szCs w:val="18"/>
              </w:rPr>
            </w:pPr>
            <w:r w:rsidRPr="00214F35">
              <w:rPr>
                <w:rFonts w:ascii="Calibri" w:hAnsi="Calibri"/>
                <w:sz w:val="18"/>
                <w:szCs w:val="18"/>
              </w:rPr>
              <w:t>50</w:t>
            </w:r>
          </w:p>
        </w:tc>
      </w:tr>
      <w:tr w:rsidR="00134B2C" w:rsidRPr="00214F35" w:rsidTr="00FD47C7">
        <w:tc>
          <w:tcPr>
            <w:tcW w:w="3168" w:type="dxa"/>
          </w:tcPr>
          <w:p w:rsidR="00134B2C" w:rsidRPr="00214F35" w:rsidRDefault="00134B2C" w:rsidP="00FD47C7">
            <w:pPr>
              <w:jc w:val="center"/>
              <w:rPr>
                <w:rFonts w:ascii="Calibri" w:hAnsi="Calibri"/>
                <w:sz w:val="18"/>
                <w:szCs w:val="18"/>
              </w:rPr>
            </w:pPr>
            <w:r w:rsidRPr="00214F35">
              <w:rPr>
                <w:rFonts w:ascii="Calibri" w:hAnsi="Calibri"/>
                <w:sz w:val="18"/>
                <w:szCs w:val="18"/>
              </w:rPr>
              <w:t>0,125</w:t>
            </w:r>
          </w:p>
        </w:tc>
        <w:tc>
          <w:tcPr>
            <w:tcW w:w="1260" w:type="dxa"/>
          </w:tcPr>
          <w:p w:rsidR="00134B2C" w:rsidRPr="00214F35" w:rsidRDefault="00134B2C" w:rsidP="00FD47C7">
            <w:pPr>
              <w:jc w:val="center"/>
              <w:rPr>
                <w:rFonts w:ascii="Calibri" w:hAnsi="Calibri"/>
                <w:sz w:val="18"/>
                <w:szCs w:val="18"/>
              </w:rPr>
            </w:pPr>
            <w:r w:rsidRPr="00214F35">
              <w:rPr>
                <w:rFonts w:ascii="Calibri" w:hAnsi="Calibri"/>
                <w:sz w:val="18"/>
                <w:szCs w:val="18"/>
              </w:rPr>
              <w:t>8</w:t>
            </w:r>
          </w:p>
        </w:tc>
        <w:tc>
          <w:tcPr>
            <w:tcW w:w="1080" w:type="dxa"/>
          </w:tcPr>
          <w:p w:rsidR="00134B2C" w:rsidRPr="00214F35" w:rsidRDefault="00134B2C" w:rsidP="00FD47C7">
            <w:pPr>
              <w:jc w:val="center"/>
              <w:rPr>
                <w:rFonts w:ascii="Calibri" w:hAnsi="Calibri"/>
                <w:sz w:val="18"/>
                <w:szCs w:val="18"/>
              </w:rPr>
            </w:pPr>
            <w:r w:rsidRPr="00214F35">
              <w:rPr>
                <w:rFonts w:ascii="Calibri" w:hAnsi="Calibri"/>
                <w:sz w:val="18"/>
                <w:szCs w:val="18"/>
              </w:rPr>
              <w:t>22</w:t>
            </w:r>
          </w:p>
        </w:tc>
        <w:tc>
          <w:tcPr>
            <w:tcW w:w="900" w:type="dxa"/>
          </w:tcPr>
          <w:p w:rsidR="00134B2C" w:rsidRPr="00214F35" w:rsidRDefault="00134B2C" w:rsidP="00FD47C7">
            <w:pPr>
              <w:jc w:val="center"/>
              <w:rPr>
                <w:rFonts w:ascii="Calibri" w:hAnsi="Calibri"/>
                <w:sz w:val="18"/>
                <w:szCs w:val="18"/>
              </w:rPr>
            </w:pPr>
            <w:r w:rsidRPr="00214F35">
              <w:rPr>
                <w:rFonts w:ascii="Calibri" w:hAnsi="Calibri"/>
                <w:sz w:val="18"/>
                <w:szCs w:val="18"/>
              </w:rPr>
              <w:t>8</w:t>
            </w:r>
          </w:p>
        </w:tc>
        <w:tc>
          <w:tcPr>
            <w:tcW w:w="1103" w:type="dxa"/>
          </w:tcPr>
          <w:p w:rsidR="00134B2C" w:rsidRPr="00214F35" w:rsidRDefault="00134B2C" w:rsidP="00FD47C7">
            <w:pPr>
              <w:jc w:val="center"/>
              <w:rPr>
                <w:rFonts w:ascii="Calibri" w:hAnsi="Calibri"/>
                <w:sz w:val="18"/>
                <w:szCs w:val="18"/>
              </w:rPr>
            </w:pPr>
            <w:r w:rsidRPr="00214F35">
              <w:rPr>
                <w:rFonts w:ascii="Calibri" w:hAnsi="Calibri"/>
                <w:sz w:val="18"/>
                <w:szCs w:val="18"/>
              </w:rPr>
              <w:t>20</w:t>
            </w:r>
          </w:p>
        </w:tc>
      </w:tr>
      <w:tr w:rsidR="00134B2C" w:rsidRPr="00214F35" w:rsidTr="00FD47C7">
        <w:tc>
          <w:tcPr>
            <w:tcW w:w="3168" w:type="dxa"/>
          </w:tcPr>
          <w:p w:rsidR="00134B2C" w:rsidRPr="00214F35" w:rsidRDefault="00134B2C" w:rsidP="00FD47C7">
            <w:pPr>
              <w:jc w:val="center"/>
              <w:rPr>
                <w:rFonts w:ascii="Calibri" w:hAnsi="Calibri"/>
                <w:sz w:val="18"/>
                <w:szCs w:val="18"/>
              </w:rPr>
            </w:pPr>
            <w:r w:rsidRPr="00214F35">
              <w:rPr>
                <w:rFonts w:ascii="Calibri" w:hAnsi="Calibri"/>
                <w:sz w:val="18"/>
                <w:szCs w:val="18"/>
              </w:rPr>
              <w:t>0,063</w:t>
            </w:r>
          </w:p>
        </w:tc>
        <w:tc>
          <w:tcPr>
            <w:tcW w:w="1260" w:type="dxa"/>
          </w:tcPr>
          <w:p w:rsidR="00134B2C" w:rsidRPr="00214F35" w:rsidRDefault="00134B2C" w:rsidP="00FD47C7">
            <w:pPr>
              <w:jc w:val="center"/>
              <w:rPr>
                <w:rFonts w:ascii="Calibri" w:hAnsi="Calibri"/>
                <w:sz w:val="18"/>
                <w:szCs w:val="18"/>
              </w:rPr>
            </w:pPr>
            <w:r w:rsidRPr="00214F35">
              <w:rPr>
                <w:rFonts w:ascii="Calibri" w:hAnsi="Calibri"/>
                <w:sz w:val="18"/>
                <w:szCs w:val="18"/>
              </w:rPr>
              <w:t>5</w:t>
            </w:r>
          </w:p>
        </w:tc>
        <w:tc>
          <w:tcPr>
            <w:tcW w:w="1080" w:type="dxa"/>
          </w:tcPr>
          <w:p w:rsidR="00134B2C" w:rsidRPr="00214F35" w:rsidRDefault="00134B2C" w:rsidP="00FD47C7">
            <w:pPr>
              <w:jc w:val="center"/>
              <w:rPr>
                <w:rFonts w:ascii="Calibri" w:hAnsi="Calibri"/>
                <w:sz w:val="18"/>
                <w:szCs w:val="18"/>
              </w:rPr>
            </w:pPr>
            <w:r w:rsidRPr="00214F35">
              <w:rPr>
                <w:rFonts w:ascii="Calibri" w:hAnsi="Calibri"/>
                <w:sz w:val="18"/>
                <w:szCs w:val="18"/>
              </w:rPr>
              <w:t>12,0</w:t>
            </w:r>
          </w:p>
        </w:tc>
        <w:tc>
          <w:tcPr>
            <w:tcW w:w="900" w:type="dxa"/>
          </w:tcPr>
          <w:p w:rsidR="00134B2C" w:rsidRPr="00214F35" w:rsidRDefault="00134B2C" w:rsidP="00FD47C7">
            <w:pPr>
              <w:jc w:val="center"/>
              <w:rPr>
                <w:rFonts w:ascii="Calibri" w:hAnsi="Calibri"/>
                <w:sz w:val="18"/>
                <w:szCs w:val="18"/>
              </w:rPr>
            </w:pPr>
            <w:r w:rsidRPr="00214F35">
              <w:rPr>
                <w:rFonts w:ascii="Calibri" w:hAnsi="Calibri"/>
                <w:sz w:val="18"/>
                <w:szCs w:val="18"/>
              </w:rPr>
              <w:t>5</w:t>
            </w:r>
          </w:p>
        </w:tc>
        <w:tc>
          <w:tcPr>
            <w:tcW w:w="1103" w:type="dxa"/>
          </w:tcPr>
          <w:p w:rsidR="00134B2C" w:rsidRPr="00214F35" w:rsidRDefault="00134B2C" w:rsidP="00FD47C7">
            <w:pPr>
              <w:jc w:val="center"/>
              <w:rPr>
                <w:rFonts w:ascii="Calibri" w:hAnsi="Calibri"/>
                <w:sz w:val="18"/>
                <w:szCs w:val="18"/>
              </w:rPr>
            </w:pPr>
            <w:r w:rsidRPr="00214F35">
              <w:rPr>
                <w:rFonts w:ascii="Calibri" w:hAnsi="Calibri"/>
                <w:sz w:val="18"/>
                <w:szCs w:val="18"/>
              </w:rPr>
              <w:t>11,0</w:t>
            </w:r>
          </w:p>
        </w:tc>
      </w:tr>
      <w:tr w:rsidR="00134B2C" w:rsidRPr="00214F35" w:rsidTr="00FD47C7">
        <w:tc>
          <w:tcPr>
            <w:tcW w:w="3168" w:type="dxa"/>
          </w:tcPr>
          <w:p w:rsidR="00134B2C" w:rsidRPr="00214F35" w:rsidRDefault="00134B2C" w:rsidP="00FD47C7">
            <w:pPr>
              <w:spacing w:before="60" w:after="60"/>
              <w:rPr>
                <w:rFonts w:ascii="Calibri" w:hAnsi="Calibri"/>
                <w:sz w:val="18"/>
                <w:szCs w:val="18"/>
                <w:vertAlign w:val="superscript"/>
              </w:rPr>
            </w:pPr>
            <w:r w:rsidRPr="00214F35">
              <w:rPr>
                <w:rFonts w:ascii="Calibri" w:hAnsi="Calibri"/>
                <w:sz w:val="18"/>
                <w:szCs w:val="18"/>
              </w:rPr>
              <w:t>Zawartość lepiszcza, minimum</w:t>
            </w:r>
            <w:r w:rsidRPr="00214F35">
              <w:rPr>
                <w:rFonts w:ascii="Calibri" w:hAnsi="Calibri"/>
                <w:sz w:val="18"/>
                <w:szCs w:val="18"/>
                <w:vertAlign w:val="superscript"/>
              </w:rPr>
              <w:t>*)</w:t>
            </w:r>
          </w:p>
        </w:tc>
        <w:tc>
          <w:tcPr>
            <w:tcW w:w="2340" w:type="dxa"/>
            <w:gridSpan w:val="2"/>
          </w:tcPr>
          <w:p w:rsidR="00134B2C" w:rsidRPr="00214F35" w:rsidRDefault="00134B2C" w:rsidP="00FD47C7">
            <w:pPr>
              <w:spacing w:before="60" w:after="60"/>
              <w:jc w:val="center"/>
              <w:rPr>
                <w:rFonts w:ascii="Calibri" w:hAnsi="Calibri"/>
                <w:sz w:val="18"/>
                <w:szCs w:val="18"/>
              </w:rPr>
            </w:pPr>
            <w:r w:rsidRPr="00214F35">
              <w:rPr>
                <w:rFonts w:ascii="Calibri" w:hAnsi="Calibri"/>
                <w:sz w:val="18"/>
                <w:szCs w:val="18"/>
              </w:rPr>
              <w:t>B</w:t>
            </w:r>
            <w:r w:rsidRPr="00214F35">
              <w:rPr>
                <w:rFonts w:ascii="Calibri" w:hAnsi="Calibri"/>
                <w:sz w:val="18"/>
                <w:szCs w:val="18"/>
                <w:vertAlign w:val="subscript"/>
              </w:rPr>
              <w:t>min5,6</w:t>
            </w:r>
          </w:p>
        </w:tc>
        <w:tc>
          <w:tcPr>
            <w:tcW w:w="2003" w:type="dxa"/>
            <w:gridSpan w:val="2"/>
          </w:tcPr>
          <w:p w:rsidR="00134B2C" w:rsidRPr="00214F35" w:rsidRDefault="00134B2C" w:rsidP="00FD47C7">
            <w:pPr>
              <w:spacing w:before="60" w:after="60"/>
              <w:jc w:val="center"/>
              <w:rPr>
                <w:rFonts w:ascii="Calibri" w:hAnsi="Calibri"/>
                <w:sz w:val="18"/>
                <w:szCs w:val="18"/>
              </w:rPr>
            </w:pPr>
            <w:r w:rsidRPr="00214F35">
              <w:rPr>
                <w:rFonts w:ascii="Calibri" w:hAnsi="Calibri"/>
                <w:sz w:val="18"/>
                <w:szCs w:val="18"/>
              </w:rPr>
              <w:t>B</w:t>
            </w:r>
            <w:r w:rsidRPr="00214F35">
              <w:rPr>
                <w:rFonts w:ascii="Calibri" w:hAnsi="Calibri"/>
                <w:sz w:val="18"/>
                <w:szCs w:val="18"/>
                <w:vertAlign w:val="subscript"/>
              </w:rPr>
              <w:t xml:space="preserve">min5,42 </w:t>
            </w:r>
          </w:p>
        </w:tc>
      </w:tr>
    </w:tbl>
    <w:p w:rsidR="00134B2C" w:rsidRDefault="00134B2C" w:rsidP="00134B2C"/>
    <w:tbl>
      <w:tblPr>
        <w:tblW w:w="0" w:type="auto"/>
        <w:tblInd w:w="81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tblPr>
      <w:tblGrid>
        <w:gridCol w:w="7511"/>
      </w:tblGrid>
      <w:tr w:rsidR="00134B2C" w:rsidRPr="00214F35" w:rsidTr="00FD47C7">
        <w:tc>
          <w:tcPr>
            <w:tcW w:w="7511" w:type="dxa"/>
          </w:tcPr>
          <w:p w:rsidR="00134B2C" w:rsidRPr="00254A49" w:rsidRDefault="00134B2C" w:rsidP="00FD47C7">
            <w:pPr>
              <w:tabs>
                <w:tab w:val="left" w:pos="284"/>
              </w:tabs>
              <w:ind w:left="284" w:hanging="284"/>
              <w:rPr>
                <w:rFonts w:ascii="Calibri" w:hAnsi="Calibri"/>
                <w:i/>
                <w:sz w:val="16"/>
                <w:szCs w:val="16"/>
              </w:rPr>
            </w:pPr>
            <w:r w:rsidRPr="00254A49">
              <w:rPr>
                <w:rFonts w:ascii="Calibri" w:hAnsi="Calibri"/>
                <w:i/>
                <w:sz w:val="16"/>
                <w:szCs w:val="16"/>
                <w:vertAlign w:val="superscript"/>
              </w:rPr>
              <w:t>*)</w:t>
            </w:r>
            <w:r w:rsidRPr="00254A49">
              <w:rPr>
                <w:rFonts w:ascii="Calibri" w:hAnsi="Calibri"/>
                <w:i/>
                <w:sz w:val="16"/>
                <w:szCs w:val="16"/>
              </w:rPr>
              <w:tab/>
              <w:t>Minimalna zawartość lepiszcza jest określona przy założonej gęstości mieszanki mineralnej 2,650 Mg/m</w:t>
            </w:r>
            <w:r w:rsidRPr="00254A49">
              <w:rPr>
                <w:rFonts w:ascii="Calibri" w:hAnsi="Calibri"/>
                <w:i/>
                <w:sz w:val="16"/>
                <w:szCs w:val="16"/>
                <w:vertAlign w:val="superscript"/>
              </w:rPr>
              <w:t>3</w:t>
            </w:r>
            <w:r w:rsidRPr="00254A49">
              <w:rPr>
                <w:rFonts w:ascii="Calibri" w:hAnsi="Calibri"/>
                <w:i/>
                <w:sz w:val="16"/>
                <w:szCs w:val="16"/>
              </w:rPr>
              <w:t>. Jeżeli stosowana mieszanka mineralna ma inną gęstość (ρ</w:t>
            </w:r>
            <w:r w:rsidRPr="00254A49">
              <w:rPr>
                <w:rFonts w:ascii="Calibri" w:hAnsi="Calibri"/>
                <w:i/>
                <w:sz w:val="16"/>
                <w:szCs w:val="16"/>
                <w:vertAlign w:val="subscript"/>
              </w:rPr>
              <w:t>d</w:t>
            </w:r>
            <w:r w:rsidRPr="00254A49">
              <w:rPr>
                <w:rFonts w:ascii="Calibri" w:hAnsi="Calibri"/>
                <w:i/>
                <w:sz w:val="16"/>
                <w:szCs w:val="16"/>
              </w:rPr>
              <w:t xml:space="preserve">), to do wyznaczenia minimalnej zawartości lepiszcza podaną wartość należy pomnożyć przez współczynnik </w:t>
            </w:r>
            <w:r w:rsidRPr="00254A49">
              <w:rPr>
                <w:rFonts w:ascii="Calibri" w:hAnsi="Calibri"/>
                <w:i/>
                <w:position w:val="-6"/>
                <w:sz w:val="16"/>
                <w:szCs w:val="16"/>
              </w:rPr>
              <w:object w:dxaOrig="240" w:dyaOrig="220">
                <v:shape id="_x0000_i1032" type="#_x0000_t75" style="width:12.25pt;height:12.25pt" o:ole="">
                  <v:imagedata r:id="rId42" o:title=""/>
                </v:shape>
                <o:OLEObject Type="Embed" ProgID="Equation.3" ShapeID="_x0000_i1032" DrawAspect="Content" ObjectID="_1511981123" r:id="rId50"/>
              </w:object>
            </w:r>
            <w:r w:rsidRPr="00254A49">
              <w:rPr>
                <w:rFonts w:ascii="Calibri" w:hAnsi="Calibri"/>
                <w:i/>
                <w:sz w:val="16"/>
                <w:szCs w:val="16"/>
              </w:rPr>
              <w:t xml:space="preserve"> według równania:</w:t>
            </w:r>
          </w:p>
          <w:p w:rsidR="00134B2C" w:rsidRPr="00254A49" w:rsidRDefault="00134B2C" w:rsidP="00FD47C7">
            <w:pPr>
              <w:jc w:val="center"/>
              <w:rPr>
                <w:rFonts w:ascii="Calibri" w:hAnsi="Calibri"/>
                <w:i/>
                <w:sz w:val="16"/>
                <w:szCs w:val="16"/>
              </w:rPr>
            </w:pPr>
            <w:r w:rsidRPr="00254A49">
              <w:rPr>
                <w:rFonts w:ascii="Calibri" w:hAnsi="Calibri"/>
                <w:i/>
                <w:position w:val="-30"/>
                <w:sz w:val="16"/>
                <w:szCs w:val="16"/>
              </w:rPr>
              <w:object w:dxaOrig="880" w:dyaOrig="680">
                <v:shape id="_x0000_i1033" type="#_x0000_t75" style="width:44.85pt;height:34.65pt" o:ole="">
                  <v:imagedata r:id="rId44" o:title=""/>
                </v:shape>
                <o:OLEObject Type="Embed" ProgID="Equation.3" ShapeID="_x0000_i1033" DrawAspect="Content" ObjectID="_1511981124" r:id="rId51"/>
              </w:object>
            </w:r>
          </w:p>
        </w:tc>
      </w:tr>
    </w:tbl>
    <w:p w:rsidR="00C3299C" w:rsidRDefault="00C3299C" w:rsidP="00134B2C">
      <w:pPr>
        <w:ind w:left="709"/>
        <w:rPr>
          <w:rFonts w:ascii="Calibri" w:hAnsi="Calibri"/>
        </w:rPr>
      </w:pPr>
    </w:p>
    <w:p w:rsidR="00C3299C" w:rsidRDefault="00C3299C" w:rsidP="00134B2C">
      <w:pPr>
        <w:ind w:left="709"/>
        <w:rPr>
          <w:rFonts w:ascii="Calibri" w:hAnsi="Calibri"/>
        </w:rPr>
      </w:pPr>
    </w:p>
    <w:p w:rsidR="00C3299C" w:rsidRDefault="00C3299C" w:rsidP="00134B2C">
      <w:pPr>
        <w:ind w:left="709"/>
        <w:rPr>
          <w:rFonts w:ascii="Calibri" w:hAnsi="Calibri"/>
        </w:rPr>
      </w:pPr>
    </w:p>
    <w:p w:rsidR="00C3299C" w:rsidRDefault="00C3299C" w:rsidP="00134B2C">
      <w:pPr>
        <w:ind w:left="709"/>
        <w:rPr>
          <w:rFonts w:ascii="Calibri" w:hAnsi="Calibri"/>
        </w:rPr>
      </w:pPr>
    </w:p>
    <w:p w:rsidR="00C3299C" w:rsidRDefault="00C3299C" w:rsidP="00134B2C">
      <w:pPr>
        <w:ind w:left="709"/>
        <w:rPr>
          <w:rFonts w:ascii="Calibri" w:hAnsi="Calibri"/>
        </w:rPr>
      </w:pPr>
    </w:p>
    <w:p w:rsidR="00134B2C" w:rsidRPr="00341AC3" w:rsidRDefault="00134B2C" w:rsidP="00134B2C">
      <w:pPr>
        <w:ind w:left="709"/>
        <w:rPr>
          <w:rFonts w:ascii="Calibri" w:hAnsi="Calibri"/>
        </w:rPr>
      </w:pPr>
      <w:r w:rsidRPr="00341AC3">
        <w:rPr>
          <w:rFonts w:ascii="Calibri" w:hAnsi="Calibri"/>
        </w:rPr>
        <w:lastRenderedPageBreak/>
        <w:t>Tablica 7</w:t>
      </w:r>
      <w:r>
        <w:rPr>
          <w:rFonts w:ascii="Calibri" w:hAnsi="Calibri"/>
        </w:rPr>
        <w:t xml:space="preserve">. </w:t>
      </w:r>
      <w:r w:rsidRPr="00341AC3">
        <w:rPr>
          <w:rFonts w:ascii="Calibri" w:hAnsi="Calibri"/>
        </w:rPr>
        <w:t>Wymagane właściwości mieszanki mineralno-asfaltowej do warstwy ścieralnej, dla ruchu KR1 ÷ KR2 [65]</w:t>
      </w:r>
    </w:p>
    <w:tbl>
      <w:tblPr>
        <w:tblW w:w="8015" w:type="dxa"/>
        <w:tblInd w:w="81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tblPr>
      <w:tblGrid>
        <w:gridCol w:w="1636"/>
        <w:gridCol w:w="1276"/>
        <w:gridCol w:w="1984"/>
        <w:gridCol w:w="1134"/>
        <w:gridCol w:w="993"/>
        <w:gridCol w:w="992"/>
      </w:tblGrid>
      <w:tr w:rsidR="00134B2C" w:rsidRPr="006F0F86" w:rsidTr="00FD47C7">
        <w:tc>
          <w:tcPr>
            <w:tcW w:w="1636" w:type="dxa"/>
          </w:tcPr>
          <w:p w:rsidR="00134B2C" w:rsidRPr="006F0F86" w:rsidRDefault="00134B2C" w:rsidP="00FD47C7">
            <w:pPr>
              <w:jc w:val="center"/>
              <w:rPr>
                <w:rFonts w:ascii="Calibri" w:hAnsi="Calibri"/>
                <w:sz w:val="18"/>
                <w:szCs w:val="18"/>
              </w:rPr>
            </w:pPr>
          </w:p>
          <w:p w:rsidR="00134B2C" w:rsidRPr="006F0F86" w:rsidRDefault="00134B2C" w:rsidP="00FD47C7">
            <w:pPr>
              <w:jc w:val="center"/>
              <w:rPr>
                <w:rFonts w:ascii="Calibri" w:hAnsi="Calibri"/>
                <w:sz w:val="18"/>
                <w:szCs w:val="18"/>
              </w:rPr>
            </w:pPr>
            <w:r w:rsidRPr="006F0F86">
              <w:rPr>
                <w:rFonts w:ascii="Calibri" w:hAnsi="Calibri"/>
                <w:sz w:val="18"/>
                <w:szCs w:val="18"/>
              </w:rPr>
              <w:t>Właściwość</w:t>
            </w:r>
          </w:p>
        </w:tc>
        <w:tc>
          <w:tcPr>
            <w:tcW w:w="1276" w:type="dxa"/>
          </w:tcPr>
          <w:p w:rsidR="00134B2C" w:rsidRPr="006F0F86" w:rsidRDefault="00134B2C" w:rsidP="00FD47C7">
            <w:pPr>
              <w:jc w:val="center"/>
              <w:rPr>
                <w:rFonts w:ascii="Calibri" w:hAnsi="Calibri"/>
                <w:sz w:val="18"/>
                <w:szCs w:val="18"/>
              </w:rPr>
            </w:pPr>
            <w:r w:rsidRPr="006F0F86">
              <w:rPr>
                <w:rFonts w:ascii="Calibri" w:hAnsi="Calibri"/>
                <w:sz w:val="18"/>
                <w:szCs w:val="18"/>
              </w:rPr>
              <w:t xml:space="preserve">Warunki zagęszczania wg PN-EN </w:t>
            </w:r>
          </w:p>
          <w:p w:rsidR="00134B2C" w:rsidRPr="006F0F86" w:rsidRDefault="00134B2C" w:rsidP="00FD47C7">
            <w:pPr>
              <w:jc w:val="center"/>
              <w:rPr>
                <w:rFonts w:ascii="Calibri" w:hAnsi="Calibri"/>
                <w:sz w:val="18"/>
                <w:szCs w:val="18"/>
              </w:rPr>
            </w:pPr>
            <w:r w:rsidRPr="006F0F86">
              <w:rPr>
                <w:rFonts w:ascii="Calibri" w:hAnsi="Calibri"/>
                <w:sz w:val="18"/>
                <w:szCs w:val="18"/>
              </w:rPr>
              <w:t>13108-20 [48]</w:t>
            </w:r>
          </w:p>
        </w:tc>
        <w:tc>
          <w:tcPr>
            <w:tcW w:w="1984" w:type="dxa"/>
          </w:tcPr>
          <w:p w:rsidR="00134B2C" w:rsidRPr="006F0F86" w:rsidRDefault="00134B2C" w:rsidP="00FD47C7">
            <w:pPr>
              <w:jc w:val="center"/>
              <w:rPr>
                <w:rFonts w:ascii="Calibri" w:hAnsi="Calibri"/>
                <w:sz w:val="18"/>
                <w:szCs w:val="18"/>
              </w:rPr>
            </w:pPr>
          </w:p>
          <w:p w:rsidR="00134B2C" w:rsidRPr="006F0F86" w:rsidRDefault="00134B2C" w:rsidP="00FD47C7">
            <w:pPr>
              <w:jc w:val="center"/>
              <w:rPr>
                <w:rFonts w:ascii="Calibri" w:hAnsi="Calibri"/>
                <w:sz w:val="18"/>
                <w:szCs w:val="18"/>
              </w:rPr>
            </w:pPr>
            <w:r w:rsidRPr="006F0F86">
              <w:rPr>
                <w:rFonts w:ascii="Calibri" w:hAnsi="Calibri"/>
                <w:sz w:val="18"/>
                <w:szCs w:val="18"/>
              </w:rPr>
              <w:t>Metoda i warunki badania</w:t>
            </w:r>
          </w:p>
        </w:tc>
        <w:tc>
          <w:tcPr>
            <w:tcW w:w="1134" w:type="dxa"/>
            <w:shd w:val="clear" w:color="auto" w:fill="auto"/>
          </w:tcPr>
          <w:p w:rsidR="00134B2C" w:rsidRPr="006F0F86" w:rsidRDefault="00134B2C" w:rsidP="00FD47C7">
            <w:pPr>
              <w:jc w:val="center"/>
              <w:rPr>
                <w:rFonts w:ascii="Calibri" w:hAnsi="Calibri"/>
                <w:sz w:val="18"/>
                <w:szCs w:val="18"/>
              </w:rPr>
            </w:pPr>
          </w:p>
          <w:p w:rsidR="00134B2C" w:rsidRPr="006F0F86" w:rsidRDefault="00134B2C" w:rsidP="00FD47C7">
            <w:pPr>
              <w:jc w:val="center"/>
              <w:rPr>
                <w:rFonts w:ascii="Calibri" w:hAnsi="Calibri"/>
                <w:sz w:val="18"/>
                <w:szCs w:val="18"/>
              </w:rPr>
            </w:pPr>
            <w:r w:rsidRPr="006F0F86">
              <w:rPr>
                <w:rFonts w:ascii="Calibri" w:hAnsi="Calibri"/>
                <w:sz w:val="18"/>
                <w:szCs w:val="18"/>
              </w:rPr>
              <w:t>AC5S</w:t>
            </w:r>
          </w:p>
        </w:tc>
        <w:tc>
          <w:tcPr>
            <w:tcW w:w="993" w:type="dxa"/>
            <w:shd w:val="clear" w:color="auto" w:fill="auto"/>
          </w:tcPr>
          <w:p w:rsidR="00134B2C" w:rsidRPr="006F0F86" w:rsidRDefault="00134B2C" w:rsidP="00FD47C7">
            <w:pPr>
              <w:jc w:val="center"/>
              <w:rPr>
                <w:rFonts w:ascii="Calibri" w:hAnsi="Calibri"/>
                <w:sz w:val="18"/>
                <w:szCs w:val="18"/>
              </w:rPr>
            </w:pPr>
          </w:p>
          <w:p w:rsidR="00134B2C" w:rsidRPr="006F0F86" w:rsidRDefault="00134B2C" w:rsidP="00FD47C7">
            <w:pPr>
              <w:jc w:val="center"/>
              <w:rPr>
                <w:rFonts w:ascii="Calibri" w:hAnsi="Calibri"/>
                <w:sz w:val="18"/>
                <w:szCs w:val="18"/>
              </w:rPr>
            </w:pPr>
            <w:r w:rsidRPr="006F0F86">
              <w:rPr>
                <w:rFonts w:ascii="Calibri" w:hAnsi="Calibri"/>
                <w:sz w:val="18"/>
                <w:szCs w:val="18"/>
              </w:rPr>
              <w:t>AC8S</w:t>
            </w:r>
          </w:p>
        </w:tc>
        <w:tc>
          <w:tcPr>
            <w:tcW w:w="992" w:type="dxa"/>
          </w:tcPr>
          <w:p w:rsidR="00134B2C" w:rsidRPr="006F0F86" w:rsidRDefault="00134B2C" w:rsidP="00FD47C7">
            <w:pPr>
              <w:jc w:val="center"/>
              <w:rPr>
                <w:rFonts w:ascii="Calibri" w:hAnsi="Calibri"/>
                <w:sz w:val="18"/>
                <w:szCs w:val="18"/>
              </w:rPr>
            </w:pPr>
          </w:p>
          <w:p w:rsidR="00134B2C" w:rsidRPr="006F0F86" w:rsidRDefault="00134B2C" w:rsidP="00FD47C7">
            <w:pPr>
              <w:jc w:val="center"/>
              <w:rPr>
                <w:rFonts w:ascii="Calibri" w:hAnsi="Calibri"/>
                <w:sz w:val="18"/>
                <w:szCs w:val="18"/>
              </w:rPr>
            </w:pPr>
            <w:r w:rsidRPr="006F0F86">
              <w:rPr>
                <w:rFonts w:ascii="Calibri" w:hAnsi="Calibri"/>
                <w:sz w:val="18"/>
                <w:szCs w:val="18"/>
              </w:rPr>
              <w:t>AC11S</w:t>
            </w:r>
          </w:p>
        </w:tc>
      </w:tr>
      <w:tr w:rsidR="00134B2C" w:rsidRPr="006F0F86" w:rsidTr="00FD47C7">
        <w:tc>
          <w:tcPr>
            <w:tcW w:w="1636" w:type="dxa"/>
          </w:tcPr>
          <w:p w:rsidR="00134B2C" w:rsidRPr="006F0F86" w:rsidRDefault="00134B2C" w:rsidP="00FD47C7">
            <w:pPr>
              <w:rPr>
                <w:rFonts w:ascii="Calibri" w:hAnsi="Calibri"/>
                <w:sz w:val="18"/>
                <w:szCs w:val="18"/>
              </w:rPr>
            </w:pPr>
            <w:r w:rsidRPr="006F0F86">
              <w:rPr>
                <w:rFonts w:ascii="Calibri" w:hAnsi="Calibri"/>
                <w:sz w:val="18"/>
                <w:szCs w:val="18"/>
              </w:rPr>
              <w:t>Zawartość wolnych przestrzeni</w:t>
            </w:r>
          </w:p>
        </w:tc>
        <w:tc>
          <w:tcPr>
            <w:tcW w:w="1276" w:type="dxa"/>
            <w:vAlign w:val="center"/>
          </w:tcPr>
          <w:p w:rsidR="00134B2C" w:rsidRPr="006F0F86" w:rsidRDefault="00134B2C" w:rsidP="00FD47C7">
            <w:pPr>
              <w:rPr>
                <w:rFonts w:ascii="Calibri" w:hAnsi="Calibri"/>
                <w:sz w:val="18"/>
                <w:szCs w:val="18"/>
              </w:rPr>
            </w:pPr>
            <w:r w:rsidRPr="006F0F86">
              <w:rPr>
                <w:rFonts w:ascii="Calibri" w:hAnsi="Calibri"/>
                <w:sz w:val="18"/>
                <w:szCs w:val="18"/>
              </w:rPr>
              <w:t>C.1.2,ubijanie, 2×50 uderzeń</w:t>
            </w:r>
          </w:p>
        </w:tc>
        <w:tc>
          <w:tcPr>
            <w:tcW w:w="1984" w:type="dxa"/>
            <w:vAlign w:val="center"/>
          </w:tcPr>
          <w:p w:rsidR="00134B2C" w:rsidRPr="006F0F86" w:rsidRDefault="00134B2C" w:rsidP="00FD47C7">
            <w:pPr>
              <w:spacing w:before="120"/>
              <w:jc w:val="center"/>
              <w:rPr>
                <w:rFonts w:ascii="Calibri" w:hAnsi="Calibri"/>
                <w:sz w:val="18"/>
                <w:szCs w:val="18"/>
              </w:rPr>
            </w:pPr>
            <w:r w:rsidRPr="006F0F86">
              <w:rPr>
                <w:rFonts w:ascii="Calibri" w:hAnsi="Calibri"/>
                <w:sz w:val="18"/>
                <w:szCs w:val="18"/>
              </w:rPr>
              <w:t xml:space="preserve">PN-EN 12697-8 [33], </w:t>
            </w:r>
          </w:p>
          <w:p w:rsidR="00134B2C" w:rsidRPr="006F0F86" w:rsidRDefault="00134B2C" w:rsidP="00FD47C7">
            <w:pPr>
              <w:jc w:val="center"/>
              <w:rPr>
                <w:rFonts w:ascii="Calibri" w:hAnsi="Calibri"/>
                <w:sz w:val="18"/>
                <w:szCs w:val="18"/>
              </w:rPr>
            </w:pPr>
            <w:r w:rsidRPr="006F0F86">
              <w:rPr>
                <w:rFonts w:ascii="Calibri" w:hAnsi="Calibri"/>
                <w:sz w:val="18"/>
                <w:szCs w:val="18"/>
              </w:rPr>
              <w:t>p. 4</w:t>
            </w:r>
          </w:p>
        </w:tc>
        <w:tc>
          <w:tcPr>
            <w:tcW w:w="1134" w:type="dxa"/>
            <w:shd w:val="clear" w:color="auto" w:fill="auto"/>
            <w:vAlign w:val="center"/>
          </w:tcPr>
          <w:p w:rsidR="00134B2C" w:rsidRPr="006F0F86" w:rsidRDefault="00134B2C" w:rsidP="00FD47C7">
            <w:pPr>
              <w:jc w:val="center"/>
              <w:rPr>
                <w:rFonts w:ascii="Calibri" w:hAnsi="Calibri"/>
                <w:sz w:val="18"/>
                <w:szCs w:val="18"/>
              </w:rPr>
            </w:pPr>
            <w:r w:rsidRPr="006F0F86">
              <w:rPr>
                <w:rFonts w:ascii="Calibri" w:hAnsi="Calibri"/>
                <w:i/>
                <w:sz w:val="18"/>
                <w:szCs w:val="18"/>
              </w:rPr>
              <w:t>V</w:t>
            </w:r>
            <w:r w:rsidRPr="006F0F86">
              <w:rPr>
                <w:rFonts w:ascii="Calibri" w:hAnsi="Calibri"/>
                <w:sz w:val="18"/>
                <w:szCs w:val="18"/>
                <w:vertAlign w:val="subscript"/>
              </w:rPr>
              <w:t>min1,0</w:t>
            </w:r>
          </w:p>
          <w:p w:rsidR="00134B2C" w:rsidRPr="006F0F86" w:rsidRDefault="00134B2C" w:rsidP="00FD47C7">
            <w:pPr>
              <w:jc w:val="center"/>
              <w:rPr>
                <w:rFonts w:ascii="Calibri" w:hAnsi="Calibri"/>
                <w:sz w:val="18"/>
                <w:szCs w:val="18"/>
              </w:rPr>
            </w:pPr>
            <w:r w:rsidRPr="006F0F86">
              <w:rPr>
                <w:rFonts w:ascii="Calibri" w:hAnsi="Calibri"/>
                <w:i/>
                <w:sz w:val="18"/>
                <w:szCs w:val="18"/>
              </w:rPr>
              <w:t>V</w:t>
            </w:r>
            <w:r w:rsidRPr="006F0F86">
              <w:rPr>
                <w:rFonts w:ascii="Calibri" w:hAnsi="Calibri"/>
                <w:sz w:val="18"/>
                <w:szCs w:val="18"/>
                <w:vertAlign w:val="subscript"/>
              </w:rPr>
              <w:t>max3,0</w:t>
            </w:r>
          </w:p>
        </w:tc>
        <w:tc>
          <w:tcPr>
            <w:tcW w:w="993" w:type="dxa"/>
            <w:shd w:val="clear" w:color="auto" w:fill="auto"/>
            <w:vAlign w:val="center"/>
          </w:tcPr>
          <w:p w:rsidR="00134B2C" w:rsidRPr="006F0F86" w:rsidRDefault="00134B2C" w:rsidP="00FD47C7">
            <w:pPr>
              <w:jc w:val="center"/>
              <w:rPr>
                <w:rFonts w:ascii="Calibri" w:hAnsi="Calibri"/>
                <w:sz w:val="18"/>
                <w:szCs w:val="18"/>
              </w:rPr>
            </w:pPr>
            <w:r w:rsidRPr="006F0F86">
              <w:rPr>
                <w:rFonts w:ascii="Calibri" w:hAnsi="Calibri"/>
                <w:i/>
                <w:sz w:val="18"/>
                <w:szCs w:val="18"/>
              </w:rPr>
              <w:t>V</w:t>
            </w:r>
            <w:r w:rsidRPr="006F0F86">
              <w:rPr>
                <w:rFonts w:ascii="Calibri" w:hAnsi="Calibri"/>
                <w:sz w:val="18"/>
                <w:szCs w:val="18"/>
                <w:vertAlign w:val="subscript"/>
              </w:rPr>
              <w:t>min1,0</w:t>
            </w:r>
          </w:p>
          <w:p w:rsidR="00134B2C" w:rsidRPr="006F0F86" w:rsidRDefault="00134B2C" w:rsidP="00FD47C7">
            <w:pPr>
              <w:jc w:val="center"/>
              <w:rPr>
                <w:rFonts w:ascii="Calibri" w:hAnsi="Calibri"/>
                <w:sz w:val="18"/>
                <w:szCs w:val="18"/>
              </w:rPr>
            </w:pPr>
            <w:r w:rsidRPr="006F0F86">
              <w:rPr>
                <w:rFonts w:ascii="Calibri" w:hAnsi="Calibri"/>
                <w:i/>
                <w:sz w:val="18"/>
                <w:szCs w:val="18"/>
              </w:rPr>
              <w:t>V</w:t>
            </w:r>
            <w:r w:rsidRPr="006F0F86">
              <w:rPr>
                <w:rFonts w:ascii="Calibri" w:hAnsi="Calibri"/>
                <w:sz w:val="18"/>
                <w:szCs w:val="18"/>
                <w:vertAlign w:val="subscript"/>
              </w:rPr>
              <w:t>max3,0</w:t>
            </w:r>
          </w:p>
        </w:tc>
        <w:tc>
          <w:tcPr>
            <w:tcW w:w="992" w:type="dxa"/>
            <w:vAlign w:val="center"/>
          </w:tcPr>
          <w:p w:rsidR="00134B2C" w:rsidRPr="006F0F86" w:rsidRDefault="00134B2C" w:rsidP="00FD47C7">
            <w:pPr>
              <w:jc w:val="center"/>
              <w:rPr>
                <w:rFonts w:ascii="Calibri" w:hAnsi="Calibri"/>
                <w:sz w:val="18"/>
                <w:szCs w:val="18"/>
              </w:rPr>
            </w:pPr>
            <w:r w:rsidRPr="006F0F86">
              <w:rPr>
                <w:rFonts w:ascii="Calibri" w:hAnsi="Calibri"/>
                <w:i/>
                <w:sz w:val="18"/>
                <w:szCs w:val="18"/>
              </w:rPr>
              <w:t>V</w:t>
            </w:r>
            <w:r w:rsidRPr="006F0F86">
              <w:rPr>
                <w:rFonts w:ascii="Calibri" w:hAnsi="Calibri"/>
                <w:sz w:val="18"/>
                <w:szCs w:val="18"/>
                <w:vertAlign w:val="subscript"/>
              </w:rPr>
              <w:t>min1,0</w:t>
            </w:r>
          </w:p>
          <w:p w:rsidR="00134B2C" w:rsidRPr="006F0F86" w:rsidRDefault="00134B2C" w:rsidP="00FD47C7">
            <w:pPr>
              <w:jc w:val="center"/>
              <w:rPr>
                <w:rFonts w:ascii="Calibri" w:hAnsi="Calibri"/>
                <w:sz w:val="18"/>
                <w:szCs w:val="18"/>
              </w:rPr>
            </w:pPr>
            <w:r w:rsidRPr="006F0F86">
              <w:rPr>
                <w:rFonts w:ascii="Calibri" w:hAnsi="Calibri"/>
                <w:i/>
                <w:sz w:val="18"/>
                <w:szCs w:val="18"/>
              </w:rPr>
              <w:t>V</w:t>
            </w:r>
            <w:r w:rsidRPr="006F0F86">
              <w:rPr>
                <w:rFonts w:ascii="Calibri" w:hAnsi="Calibri"/>
                <w:sz w:val="18"/>
                <w:szCs w:val="18"/>
                <w:vertAlign w:val="subscript"/>
              </w:rPr>
              <w:t>max3,0</w:t>
            </w:r>
          </w:p>
        </w:tc>
      </w:tr>
      <w:tr w:rsidR="00134B2C" w:rsidRPr="006F0F86" w:rsidTr="00FD47C7">
        <w:tc>
          <w:tcPr>
            <w:tcW w:w="1636" w:type="dxa"/>
          </w:tcPr>
          <w:p w:rsidR="00134B2C" w:rsidRPr="006F0F86" w:rsidRDefault="00134B2C" w:rsidP="00FD47C7">
            <w:pPr>
              <w:jc w:val="left"/>
              <w:rPr>
                <w:rFonts w:ascii="Calibri" w:hAnsi="Calibri"/>
                <w:sz w:val="18"/>
                <w:szCs w:val="18"/>
              </w:rPr>
            </w:pPr>
            <w:r w:rsidRPr="006F0F86">
              <w:rPr>
                <w:rFonts w:ascii="Calibri" w:hAnsi="Calibri"/>
                <w:sz w:val="18"/>
                <w:szCs w:val="18"/>
              </w:rPr>
              <w:t>Wolne przestrzenie wypełnione lepiszczem</w:t>
            </w:r>
          </w:p>
        </w:tc>
        <w:tc>
          <w:tcPr>
            <w:tcW w:w="1276" w:type="dxa"/>
            <w:vAlign w:val="center"/>
          </w:tcPr>
          <w:p w:rsidR="00134B2C" w:rsidRPr="006F0F86" w:rsidRDefault="00134B2C" w:rsidP="00FD47C7">
            <w:pPr>
              <w:rPr>
                <w:rFonts w:ascii="Calibri" w:hAnsi="Calibri"/>
                <w:sz w:val="18"/>
                <w:szCs w:val="18"/>
              </w:rPr>
            </w:pPr>
            <w:r w:rsidRPr="006F0F86">
              <w:rPr>
                <w:rFonts w:ascii="Calibri" w:hAnsi="Calibri"/>
                <w:sz w:val="18"/>
                <w:szCs w:val="18"/>
              </w:rPr>
              <w:t>C.1.2,ubijanie, 2×50 uderzeń</w:t>
            </w:r>
          </w:p>
        </w:tc>
        <w:tc>
          <w:tcPr>
            <w:tcW w:w="1984" w:type="dxa"/>
            <w:vAlign w:val="center"/>
          </w:tcPr>
          <w:p w:rsidR="00134B2C" w:rsidRPr="006F0F86" w:rsidRDefault="00134B2C" w:rsidP="00FD47C7">
            <w:pPr>
              <w:spacing w:before="120"/>
              <w:jc w:val="center"/>
              <w:rPr>
                <w:rFonts w:ascii="Calibri" w:hAnsi="Calibri"/>
                <w:sz w:val="18"/>
                <w:szCs w:val="18"/>
              </w:rPr>
            </w:pPr>
            <w:r w:rsidRPr="006F0F86">
              <w:rPr>
                <w:rFonts w:ascii="Calibri" w:hAnsi="Calibri"/>
                <w:sz w:val="18"/>
                <w:szCs w:val="18"/>
              </w:rPr>
              <w:t xml:space="preserve">PN-EN 12697-8 [33], </w:t>
            </w:r>
          </w:p>
          <w:p w:rsidR="00134B2C" w:rsidRPr="006F0F86" w:rsidRDefault="00134B2C" w:rsidP="00FD47C7">
            <w:pPr>
              <w:jc w:val="center"/>
              <w:rPr>
                <w:rFonts w:ascii="Calibri" w:hAnsi="Calibri"/>
                <w:sz w:val="18"/>
                <w:szCs w:val="18"/>
              </w:rPr>
            </w:pPr>
            <w:r w:rsidRPr="006F0F86">
              <w:rPr>
                <w:rFonts w:ascii="Calibri" w:hAnsi="Calibri"/>
                <w:sz w:val="18"/>
                <w:szCs w:val="18"/>
              </w:rPr>
              <w:t>p. 5</w:t>
            </w:r>
          </w:p>
        </w:tc>
        <w:tc>
          <w:tcPr>
            <w:tcW w:w="1134" w:type="dxa"/>
            <w:shd w:val="clear" w:color="auto" w:fill="auto"/>
            <w:vAlign w:val="center"/>
          </w:tcPr>
          <w:p w:rsidR="00134B2C" w:rsidRPr="006F0F86" w:rsidRDefault="00134B2C" w:rsidP="00FD47C7">
            <w:pPr>
              <w:jc w:val="center"/>
              <w:rPr>
                <w:rFonts w:ascii="Calibri" w:hAnsi="Calibri"/>
                <w:i/>
                <w:sz w:val="18"/>
                <w:szCs w:val="18"/>
                <w:vertAlign w:val="subscript"/>
              </w:rPr>
            </w:pPr>
            <w:r w:rsidRPr="006F0F86">
              <w:rPr>
                <w:rFonts w:ascii="Calibri" w:hAnsi="Calibri"/>
                <w:i/>
                <w:sz w:val="18"/>
                <w:szCs w:val="18"/>
              </w:rPr>
              <w:t>VFB</w:t>
            </w:r>
            <w:r w:rsidRPr="006F0F86">
              <w:rPr>
                <w:rFonts w:ascii="Calibri" w:hAnsi="Calibri"/>
                <w:i/>
                <w:sz w:val="18"/>
                <w:szCs w:val="18"/>
                <w:vertAlign w:val="subscript"/>
              </w:rPr>
              <w:t>min75</w:t>
            </w:r>
          </w:p>
          <w:p w:rsidR="00134B2C" w:rsidRPr="006F0F86" w:rsidRDefault="00134B2C" w:rsidP="00FD47C7">
            <w:pPr>
              <w:jc w:val="center"/>
              <w:rPr>
                <w:rFonts w:ascii="Calibri" w:hAnsi="Calibri"/>
                <w:i/>
                <w:sz w:val="18"/>
                <w:szCs w:val="18"/>
                <w:vertAlign w:val="subscript"/>
              </w:rPr>
            </w:pPr>
            <w:r w:rsidRPr="006F0F86">
              <w:rPr>
                <w:rFonts w:ascii="Calibri" w:hAnsi="Calibri"/>
                <w:i/>
                <w:sz w:val="18"/>
                <w:szCs w:val="18"/>
              </w:rPr>
              <w:t>VFB</w:t>
            </w:r>
            <w:r w:rsidRPr="006F0F86">
              <w:rPr>
                <w:rFonts w:ascii="Calibri" w:hAnsi="Calibri"/>
                <w:i/>
                <w:sz w:val="18"/>
                <w:szCs w:val="18"/>
                <w:vertAlign w:val="subscript"/>
              </w:rPr>
              <w:t>min93</w:t>
            </w:r>
          </w:p>
        </w:tc>
        <w:tc>
          <w:tcPr>
            <w:tcW w:w="993" w:type="dxa"/>
            <w:shd w:val="clear" w:color="auto" w:fill="auto"/>
            <w:vAlign w:val="center"/>
          </w:tcPr>
          <w:p w:rsidR="00134B2C" w:rsidRPr="006F0F86" w:rsidRDefault="00134B2C" w:rsidP="00FD47C7">
            <w:pPr>
              <w:jc w:val="center"/>
              <w:rPr>
                <w:rFonts w:ascii="Calibri" w:hAnsi="Calibri"/>
                <w:i/>
                <w:sz w:val="18"/>
                <w:szCs w:val="18"/>
                <w:vertAlign w:val="subscript"/>
              </w:rPr>
            </w:pPr>
            <w:r w:rsidRPr="006F0F86">
              <w:rPr>
                <w:rFonts w:ascii="Calibri" w:hAnsi="Calibri"/>
                <w:i/>
                <w:sz w:val="18"/>
                <w:szCs w:val="18"/>
              </w:rPr>
              <w:t>VFB</w:t>
            </w:r>
            <w:r w:rsidRPr="006F0F86">
              <w:rPr>
                <w:rFonts w:ascii="Calibri" w:hAnsi="Calibri"/>
                <w:i/>
                <w:sz w:val="18"/>
                <w:szCs w:val="18"/>
                <w:vertAlign w:val="subscript"/>
              </w:rPr>
              <w:t>min75</w:t>
            </w:r>
          </w:p>
          <w:p w:rsidR="00134B2C" w:rsidRPr="006F0F86" w:rsidRDefault="00134B2C" w:rsidP="00FD47C7">
            <w:pPr>
              <w:jc w:val="center"/>
              <w:rPr>
                <w:rFonts w:ascii="Calibri" w:hAnsi="Calibri"/>
                <w:sz w:val="18"/>
                <w:szCs w:val="18"/>
              </w:rPr>
            </w:pPr>
            <w:r w:rsidRPr="006F0F86">
              <w:rPr>
                <w:rFonts w:ascii="Calibri" w:hAnsi="Calibri"/>
                <w:i/>
                <w:sz w:val="18"/>
                <w:szCs w:val="18"/>
              </w:rPr>
              <w:t>VFB</w:t>
            </w:r>
            <w:r w:rsidRPr="006F0F86">
              <w:rPr>
                <w:rFonts w:ascii="Calibri" w:hAnsi="Calibri"/>
                <w:i/>
                <w:sz w:val="18"/>
                <w:szCs w:val="18"/>
                <w:vertAlign w:val="subscript"/>
              </w:rPr>
              <w:t>min93</w:t>
            </w:r>
          </w:p>
        </w:tc>
        <w:tc>
          <w:tcPr>
            <w:tcW w:w="992" w:type="dxa"/>
            <w:vAlign w:val="center"/>
          </w:tcPr>
          <w:p w:rsidR="00134B2C" w:rsidRPr="006F0F86" w:rsidRDefault="00134B2C" w:rsidP="00FD47C7">
            <w:pPr>
              <w:jc w:val="center"/>
              <w:rPr>
                <w:rFonts w:ascii="Calibri" w:hAnsi="Calibri"/>
                <w:i/>
                <w:sz w:val="18"/>
                <w:szCs w:val="18"/>
                <w:vertAlign w:val="subscript"/>
              </w:rPr>
            </w:pPr>
            <w:r w:rsidRPr="006F0F86">
              <w:rPr>
                <w:rFonts w:ascii="Calibri" w:hAnsi="Calibri"/>
                <w:i/>
                <w:sz w:val="18"/>
                <w:szCs w:val="18"/>
              </w:rPr>
              <w:t>VFB</w:t>
            </w:r>
            <w:r w:rsidRPr="006F0F86">
              <w:rPr>
                <w:rFonts w:ascii="Calibri" w:hAnsi="Calibri"/>
                <w:i/>
                <w:sz w:val="18"/>
                <w:szCs w:val="18"/>
                <w:vertAlign w:val="subscript"/>
              </w:rPr>
              <w:t>min75</w:t>
            </w:r>
          </w:p>
          <w:p w:rsidR="00134B2C" w:rsidRPr="006F0F86" w:rsidRDefault="00134B2C" w:rsidP="00FD47C7">
            <w:pPr>
              <w:jc w:val="center"/>
              <w:rPr>
                <w:rFonts w:ascii="Calibri" w:hAnsi="Calibri"/>
                <w:sz w:val="18"/>
                <w:szCs w:val="18"/>
              </w:rPr>
            </w:pPr>
            <w:r w:rsidRPr="006F0F86">
              <w:rPr>
                <w:rFonts w:ascii="Calibri" w:hAnsi="Calibri"/>
                <w:i/>
                <w:sz w:val="18"/>
                <w:szCs w:val="18"/>
              </w:rPr>
              <w:t>VFB</w:t>
            </w:r>
            <w:r w:rsidRPr="006F0F86">
              <w:rPr>
                <w:rFonts w:ascii="Calibri" w:hAnsi="Calibri"/>
                <w:i/>
                <w:sz w:val="18"/>
                <w:szCs w:val="18"/>
                <w:vertAlign w:val="subscript"/>
              </w:rPr>
              <w:t>min93</w:t>
            </w:r>
          </w:p>
        </w:tc>
      </w:tr>
      <w:tr w:rsidR="00134B2C" w:rsidRPr="006F0F86" w:rsidTr="00FD47C7">
        <w:tc>
          <w:tcPr>
            <w:tcW w:w="1636" w:type="dxa"/>
          </w:tcPr>
          <w:p w:rsidR="00134B2C" w:rsidRPr="006F0F86" w:rsidRDefault="00134B2C" w:rsidP="00FD47C7">
            <w:pPr>
              <w:rPr>
                <w:rFonts w:ascii="Calibri" w:hAnsi="Calibri"/>
                <w:sz w:val="18"/>
                <w:szCs w:val="18"/>
              </w:rPr>
            </w:pPr>
            <w:r w:rsidRPr="006F0F86">
              <w:rPr>
                <w:rFonts w:ascii="Calibri" w:hAnsi="Calibri"/>
                <w:sz w:val="18"/>
                <w:szCs w:val="18"/>
              </w:rPr>
              <w:t>Zawartość wolnych przestrzeni w mieszance mineralnej</w:t>
            </w:r>
          </w:p>
        </w:tc>
        <w:tc>
          <w:tcPr>
            <w:tcW w:w="1276" w:type="dxa"/>
            <w:vAlign w:val="center"/>
          </w:tcPr>
          <w:p w:rsidR="00134B2C" w:rsidRPr="006F0F86" w:rsidRDefault="00134B2C" w:rsidP="00FD47C7">
            <w:pPr>
              <w:rPr>
                <w:rFonts w:ascii="Calibri" w:hAnsi="Calibri"/>
                <w:sz w:val="18"/>
                <w:szCs w:val="18"/>
              </w:rPr>
            </w:pPr>
            <w:r w:rsidRPr="006F0F86">
              <w:rPr>
                <w:rFonts w:ascii="Calibri" w:hAnsi="Calibri"/>
                <w:sz w:val="18"/>
                <w:szCs w:val="18"/>
              </w:rPr>
              <w:t>C.1.2,ubijanie, 2×50 uderzeń</w:t>
            </w:r>
          </w:p>
        </w:tc>
        <w:tc>
          <w:tcPr>
            <w:tcW w:w="1984" w:type="dxa"/>
            <w:vAlign w:val="center"/>
          </w:tcPr>
          <w:p w:rsidR="00134B2C" w:rsidRPr="006F0F86" w:rsidRDefault="00134B2C" w:rsidP="00FD47C7">
            <w:pPr>
              <w:spacing w:before="120"/>
              <w:jc w:val="center"/>
              <w:rPr>
                <w:rFonts w:ascii="Calibri" w:hAnsi="Calibri"/>
                <w:sz w:val="18"/>
                <w:szCs w:val="18"/>
              </w:rPr>
            </w:pPr>
            <w:r w:rsidRPr="006F0F86">
              <w:rPr>
                <w:rFonts w:ascii="Calibri" w:hAnsi="Calibri"/>
                <w:sz w:val="18"/>
                <w:szCs w:val="18"/>
              </w:rPr>
              <w:t xml:space="preserve">PN-EN 12697-8 [33], </w:t>
            </w:r>
          </w:p>
          <w:p w:rsidR="00134B2C" w:rsidRPr="006F0F86" w:rsidRDefault="00134B2C" w:rsidP="00FD47C7">
            <w:pPr>
              <w:jc w:val="center"/>
              <w:rPr>
                <w:rFonts w:ascii="Calibri" w:hAnsi="Calibri"/>
                <w:sz w:val="18"/>
                <w:szCs w:val="18"/>
              </w:rPr>
            </w:pPr>
            <w:r w:rsidRPr="006F0F86">
              <w:rPr>
                <w:rFonts w:ascii="Calibri" w:hAnsi="Calibri"/>
                <w:sz w:val="18"/>
                <w:szCs w:val="18"/>
              </w:rPr>
              <w:t>p. 5</w:t>
            </w:r>
          </w:p>
        </w:tc>
        <w:tc>
          <w:tcPr>
            <w:tcW w:w="1134" w:type="dxa"/>
            <w:shd w:val="clear" w:color="auto" w:fill="auto"/>
            <w:vAlign w:val="center"/>
          </w:tcPr>
          <w:p w:rsidR="00134B2C" w:rsidRPr="006F0F86" w:rsidRDefault="00134B2C" w:rsidP="00FD47C7">
            <w:pPr>
              <w:jc w:val="center"/>
              <w:rPr>
                <w:rFonts w:ascii="Calibri" w:hAnsi="Calibri"/>
                <w:i/>
                <w:sz w:val="18"/>
                <w:szCs w:val="18"/>
                <w:vertAlign w:val="subscript"/>
              </w:rPr>
            </w:pPr>
            <w:r w:rsidRPr="006F0F86">
              <w:rPr>
                <w:rFonts w:ascii="Calibri" w:hAnsi="Calibri"/>
                <w:i/>
                <w:sz w:val="18"/>
                <w:szCs w:val="18"/>
              </w:rPr>
              <w:t>VMA</w:t>
            </w:r>
            <w:r w:rsidRPr="006F0F86">
              <w:rPr>
                <w:rFonts w:ascii="Calibri" w:hAnsi="Calibri"/>
                <w:i/>
                <w:sz w:val="18"/>
                <w:szCs w:val="18"/>
                <w:vertAlign w:val="subscript"/>
              </w:rPr>
              <w:t>min14</w:t>
            </w:r>
          </w:p>
        </w:tc>
        <w:tc>
          <w:tcPr>
            <w:tcW w:w="993" w:type="dxa"/>
            <w:shd w:val="clear" w:color="auto" w:fill="auto"/>
            <w:vAlign w:val="center"/>
          </w:tcPr>
          <w:p w:rsidR="00134B2C" w:rsidRPr="006F0F86" w:rsidRDefault="00134B2C" w:rsidP="00FD47C7">
            <w:pPr>
              <w:jc w:val="center"/>
              <w:rPr>
                <w:rFonts w:ascii="Calibri" w:hAnsi="Calibri"/>
                <w:i/>
                <w:sz w:val="18"/>
                <w:szCs w:val="18"/>
              </w:rPr>
            </w:pPr>
            <w:r w:rsidRPr="006F0F86">
              <w:rPr>
                <w:rFonts w:ascii="Calibri" w:hAnsi="Calibri"/>
                <w:i/>
                <w:sz w:val="18"/>
                <w:szCs w:val="18"/>
              </w:rPr>
              <w:t>VMA</w:t>
            </w:r>
            <w:r w:rsidRPr="006F0F86">
              <w:rPr>
                <w:rFonts w:ascii="Calibri" w:hAnsi="Calibri"/>
                <w:i/>
                <w:sz w:val="18"/>
                <w:szCs w:val="18"/>
                <w:vertAlign w:val="subscript"/>
              </w:rPr>
              <w:t>min14</w:t>
            </w:r>
          </w:p>
        </w:tc>
        <w:tc>
          <w:tcPr>
            <w:tcW w:w="992" w:type="dxa"/>
            <w:vAlign w:val="center"/>
          </w:tcPr>
          <w:p w:rsidR="00134B2C" w:rsidRPr="006F0F86" w:rsidRDefault="00134B2C" w:rsidP="00FD47C7">
            <w:pPr>
              <w:jc w:val="center"/>
              <w:rPr>
                <w:rFonts w:ascii="Calibri" w:hAnsi="Calibri"/>
                <w:i/>
                <w:sz w:val="18"/>
                <w:szCs w:val="18"/>
              </w:rPr>
            </w:pPr>
            <w:r w:rsidRPr="006F0F86">
              <w:rPr>
                <w:rFonts w:ascii="Calibri" w:hAnsi="Calibri"/>
                <w:i/>
                <w:sz w:val="18"/>
                <w:szCs w:val="18"/>
              </w:rPr>
              <w:t>VMA</w:t>
            </w:r>
            <w:r w:rsidRPr="006F0F86">
              <w:rPr>
                <w:rFonts w:ascii="Calibri" w:hAnsi="Calibri"/>
                <w:i/>
                <w:sz w:val="18"/>
                <w:szCs w:val="18"/>
                <w:vertAlign w:val="subscript"/>
              </w:rPr>
              <w:t>min14</w:t>
            </w:r>
          </w:p>
        </w:tc>
      </w:tr>
      <w:tr w:rsidR="00134B2C" w:rsidRPr="006F0F86" w:rsidTr="00FD47C7">
        <w:tc>
          <w:tcPr>
            <w:tcW w:w="1636" w:type="dxa"/>
            <w:vAlign w:val="center"/>
          </w:tcPr>
          <w:p w:rsidR="00134B2C" w:rsidRPr="006F0F86" w:rsidRDefault="00134B2C" w:rsidP="00FD47C7">
            <w:pPr>
              <w:jc w:val="left"/>
              <w:rPr>
                <w:rFonts w:ascii="Calibri" w:hAnsi="Calibri"/>
                <w:sz w:val="18"/>
                <w:szCs w:val="18"/>
                <w:vertAlign w:val="superscript"/>
              </w:rPr>
            </w:pPr>
            <w:r w:rsidRPr="006F0F86">
              <w:rPr>
                <w:rFonts w:ascii="Calibri" w:hAnsi="Calibri"/>
                <w:sz w:val="18"/>
                <w:szCs w:val="18"/>
              </w:rPr>
              <w:t xml:space="preserve">Odporność na działanie wody </w:t>
            </w:r>
            <w:r w:rsidRPr="006F0F86">
              <w:rPr>
                <w:rFonts w:ascii="Calibri" w:hAnsi="Calibri"/>
                <w:sz w:val="18"/>
                <w:szCs w:val="18"/>
                <w:vertAlign w:val="superscript"/>
              </w:rPr>
              <w:t>a)</w:t>
            </w:r>
          </w:p>
        </w:tc>
        <w:tc>
          <w:tcPr>
            <w:tcW w:w="1276" w:type="dxa"/>
            <w:vAlign w:val="center"/>
          </w:tcPr>
          <w:p w:rsidR="00134B2C" w:rsidRPr="006F0F86" w:rsidRDefault="00134B2C" w:rsidP="00FD47C7">
            <w:pPr>
              <w:rPr>
                <w:rFonts w:ascii="Calibri" w:hAnsi="Calibri"/>
                <w:sz w:val="18"/>
                <w:szCs w:val="18"/>
              </w:rPr>
            </w:pPr>
            <w:r w:rsidRPr="006F0F86">
              <w:rPr>
                <w:rFonts w:ascii="Calibri" w:hAnsi="Calibri"/>
                <w:sz w:val="18"/>
                <w:szCs w:val="18"/>
              </w:rPr>
              <w:t>C.1.1,ubijanie, 2×35 uderzeń</w:t>
            </w:r>
          </w:p>
        </w:tc>
        <w:tc>
          <w:tcPr>
            <w:tcW w:w="1984" w:type="dxa"/>
            <w:vAlign w:val="center"/>
          </w:tcPr>
          <w:p w:rsidR="00134B2C" w:rsidRPr="006F0F86" w:rsidRDefault="00134B2C" w:rsidP="00FD47C7">
            <w:pPr>
              <w:jc w:val="center"/>
              <w:rPr>
                <w:rFonts w:ascii="Calibri" w:hAnsi="Calibri"/>
                <w:sz w:val="18"/>
                <w:szCs w:val="18"/>
              </w:rPr>
            </w:pPr>
            <w:r w:rsidRPr="006F0F86">
              <w:rPr>
                <w:rFonts w:ascii="Calibri" w:hAnsi="Calibri"/>
                <w:sz w:val="18"/>
                <w:szCs w:val="18"/>
              </w:rPr>
              <w:t xml:space="preserve">PN-EN 12697-12 [35], przechowywanie w </w:t>
            </w:r>
            <w:smartTag w:uri="urn:schemas-microsoft-com:office:smarttags" w:element="metricconverter">
              <w:smartTagPr>
                <w:attr w:name="ProductID" w:val="40ﾰC"/>
              </w:smartTagPr>
              <w:r w:rsidRPr="006F0F86">
                <w:rPr>
                  <w:rFonts w:ascii="Calibri" w:hAnsi="Calibri"/>
                  <w:sz w:val="18"/>
                  <w:szCs w:val="18"/>
                </w:rPr>
                <w:t>40°C</w:t>
              </w:r>
            </w:smartTag>
            <w:r w:rsidRPr="006F0F86">
              <w:rPr>
                <w:rFonts w:ascii="Calibri" w:hAnsi="Calibri"/>
                <w:sz w:val="18"/>
                <w:szCs w:val="18"/>
              </w:rPr>
              <w:t xml:space="preserve"> z jednym cyklem zamrażania, </w:t>
            </w:r>
          </w:p>
          <w:p w:rsidR="00134B2C" w:rsidRPr="006F0F86" w:rsidRDefault="00134B2C" w:rsidP="00FD47C7">
            <w:pPr>
              <w:jc w:val="center"/>
              <w:rPr>
                <w:rFonts w:ascii="Calibri" w:hAnsi="Calibri"/>
                <w:sz w:val="18"/>
                <w:szCs w:val="18"/>
              </w:rPr>
            </w:pPr>
            <w:r w:rsidRPr="006F0F86">
              <w:rPr>
                <w:rFonts w:ascii="Calibri" w:hAnsi="Calibri"/>
                <w:sz w:val="18"/>
                <w:szCs w:val="18"/>
              </w:rPr>
              <w:t xml:space="preserve">badanie w </w:t>
            </w:r>
            <w:smartTag w:uri="urn:schemas-microsoft-com:office:smarttags" w:element="metricconverter">
              <w:smartTagPr>
                <w:attr w:name="ProductID" w:val="25ﾰC"/>
              </w:smartTagPr>
              <w:r w:rsidRPr="006F0F86">
                <w:rPr>
                  <w:rFonts w:ascii="Calibri" w:hAnsi="Calibri"/>
                  <w:sz w:val="18"/>
                  <w:szCs w:val="18"/>
                </w:rPr>
                <w:t>25°C</w:t>
              </w:r>
            </w:smartTag>
          </w:p>
        </w:tc>
        <w:tc>
          <w:tcPr>
            <w:tcW w:w="1134" w:type="dxa"/>
            <w:shd w:val="clear" w:color="auto" w:fill="auto"/>
            <w:vAlign w:val="center"/>
          </w:tcPr>
          <w:p w:rsidR="00134B2C" w:rsidRPr="006F0F86" w:rsidRDefault="00134B2C" w:rsidP="00FD47C7">
            <w:pPr>
              <w:spacing w:before="120"/>
              <w:jc w:val="center"/>
              <w:rPr>
                <w:rFonts w:ascii="Calibri" w:hAnsi="Calibri"/>
                <w:sz w:val="18"/>
                <w:szCs w:val="18"/>
              </w:rPr>
            </w:pPr>
            <w:r w:rsidRPr="006F0F86">
              <w:rPr>
                <w:rFonts w:ascii="Calibri" w:hAnsi="Calibri"/>
                <w:i/>
                <w:sz w:val="18"/>
                <w:szCs w:val="18"/>
              </w:rPr>
              <w:t>ITSR</w:t>
            </w:r>
            <w:r w:rsidRPr="006F0F86">
              <w:rPr>
                <w:rFonts w:ascii="Calibri" w:hAnsi="Calibri"/>
                <w:sz w:val="18"/>
                <w:szCs w:val="18"/>
                <w:vertAlign w:val="subscript"/>
              </w:rPr>
              <w:t>90</w:t>
            </w:r>
          </w:p>
        </w:tc>
        <w:tc>
          <w:tcPr>
            <w:tcW w:w="993" w:type="dxa"/>
            <w:shd w:val="clear" w:color="auto" w:fill="auto"/>
            <w:vAlign w:val="center"/>
          </w:tcPr>
          <w:p w:rsidR="00134B2C" w:rsidRPr="006F0F86" w:rsidRDefault="00134B2C" w:rsidP="00FD47C7">
            <w:pPr>
              <w:spacing w:before="120"/>
              <w:jc w:val="center"/>
              <w:rPr>
                <w:rFonts w:ascii="Calibri" w:hAnsi="Calibri"/>
                <w:sz w:val="18"/>
                <w:szCs w:val="18"/>
              </w:rPr>
            </w:pPr>
            <w:r w:rsidRPr="006F0F86">
              <w:rPr>
                <w:rFonts w:ascii="Calibri" w:hAnsi="Calibri"/>
                <w:i/>
                <w:sz w:val="18"/>
                <w:szCs w:val="18"/>
              </w:rPr>
              <w:t>ITSR</w:t>
            </w:r>
            <w:r w:rsidRPr="006F0F86">
              <w:rPr>
                <w:rFonts w:ascii="Calibri" w:hAnsi="Calibri"/>
                <w:sz w:val="18"/>
                <w:szCs w:val="18"/>
                <w:vertAlign w:val="subscript"/>
              </w:rPr>
              <w:t>90</w:t>
            </w:r>
          </w:p>
        </w:tc>
        <w:tc>
          <w:tcPr>
            <w:tcW w:w="992" w:type="dxa"/>
            <w:vAlign w:val="center"/>
          </w:tcPr>
          <w:p w:rsidR="00134B2C" w:rsidRPr="006F0F86" w:rsidRDefault="00134B2C" w:rsidP="00FD47C7">
            <w:pPr>
              <w:jc w:val="center"/>
              <w:rPr>
                <w:rFonts w:ascii="Calibri" w:hAnsi="Calibri"/>
                <w:sz w:val="18"/>
                <w:szCs w:val="18"/>
              </w:rPr>
            </w:pPr>
            <w:r w:rsidRPr="006F0F86">
              <w:rPr>
                <w:rFonts w:ascii="Calibri" w:hAnsi="Calibri"/>
                <w:i/>
                <w:sz w:val="18"/>
                <w:szCs w:val="18"/>
              </w:rPr>
              <w:t>ITSR</w:t>
            </w:r>
            <w:r w:rsidRPr="006F0F86">
              <w:rPr>
                <w:rFonts w:ascii="Calibri" w:hAnsi="Calibri"/>
                <w:sz w:val="18"/>
                <w:szCs w:val="18"/>
                <w:vertAlign w:val="subscript"/>
              </w:rPr>
              <w:t>90</w:t>
            </w:r>
          </w:p>
        </w:tc>
      </w:tr>
      <w:tr w:rsidR="00134B2C" w:rsidRPr="006F0F86" w:rsidTr="00FD47C7">
        <w:tblPrEx>
          <w:tblCellMar>
            <w:left w:w="70" w:type="dxa"/>
            <w:right w:w="70" w:type="dxa"/>
          </w:tblCellMar>
          <w:tblLook w:val="0000"/>
        </w:tblPrEx>
        <w:trPr>
          <w:trHeight w:val="309"/>
        </w:trPr>
        <w:tc>
          <w:tcPr>
            <w:tcW w:w="8015" w:type="dxa"/>
            <w:gridSpan w:val="6"/>
          </w:tcPr>
          <w:p w:rsidR="00134B2C" w:rsidRPr="00254A49" w:rsidRDefault="00134B2C" w:rsidP="00FD47C7">
            <w:pPr>
              <w:tabs>
                <w:tab w:val="left" w:pos="180"/>
              </w:tabs>
              <w:ind w:left="180" w:hanging="142"/>
              <w:rPr>
                <w:rFonts w:ascii="Calibri" w:hAnsi="Calibri"/>
                <w:i/>
                <w:sz w:val="18"/>
                <w:szCs w:val="18"/>
              </w:rPr>
            </w:pPr>
            <w:r w:rsidRPr="00254A49">
              <w:rPr>
                <w:rFonts w:ascii="Calibri" w:hAnsi="Calibri"/>
                <w:i/>
                <w:sz w:val="18"/>
                <w:szCs w:val="18"/>
                <w:vertAlign w:val="superscript"/>
              </w:rPr>
              <w:t>a)</w:t>
            </w:r>
            <w:r w:rsidRPr="00254A49">
              <w:rPr>
                <w:rFonts w:ascii="Calibri" w:hAnsi="Calibri"/>
                <w:i/>
                <w:sz w:val="18"/>
                <w:szCs w:val="18"/>
              </w:rPr>
              <w:tab/>
              <w:t>Ujednoliconą procedurę badania odporności na działanie wody podano w WT-2 2010 [65] w załączniku 1.</w:t>
            </w:r>
          </w:p>
        </w:tc>
      </w:tr>
    </w:tbl>
    <w:p w:rsidR="00C3299C" w:rsidRDefault="00C3299C" w:rsidP="00134B2C">
      <w:pPr>
        <w:ind w:left="709"/>
        <w:rPr>
          <w:rFonts w:ascii="Calibri" w:hAnsi="Calibri"/>
        </w:rPr>
      </w:pPr>
    </w:p>
    <w:p w:rsidR="00134B2C" w:rsidRPr="006F0F86" w:rsidRDefault="00134B2C" w:rsidP="00134B2C">
      <w:pPr>
        <w:ind w:left="709"/>
        <w:rPr>
          <w:rFonts w:ascii="Calibri" w:hAnsi="Calibri"/>
        </w:rPr>
      </w:pPr>
      <w:r w:rsidRPr="006F0F86">
        <w:rPr>
          <w:rFonts w:ascii="Calibri" w:hAnsi="Calibri"/>
        </w:rPr>
        <w:t>Tablica 8. Wymagane właściwości mieszanki mineralno-asfaltowej do warstwy ścieralnej, dla ruchu KR3 ÷ KR4 [65]</w:t>
      </w:r>
    </w:p>
    <w:tbl>
      <w:tblPr>
        <w:tblW w:w="8015" w:type="dxa"/>
        <w:tblInd w:w="81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tblPr>
      <w:tblGrid>
        <w:gridCol w:w="2061"/>
        <w:gridCol w:w="1418"/>
        <w:gridCol w:w="2551"/>
        <w:gridCol w:w="993"/>
        <w:gridCol w:w="992"/>
      </w:tblGrid>
      <w:tr w:rsidR="00134B2C" w:rsidRPr="006F0F86" w:rsidTr="00FD47C7">
        <w:tc>
          <w:tcPr>
            <w:tcW w:w="2061" w:type="dxa"/>
          </w:tcPr>
          <w:p w:rsidR="00134B2C" w:rsidRPr="006F0F86" w:rsidRDefault="00134B2C" w:rsidP="00FD47C7">
            <w:pPr>
              <w:jc w:val="center"/>
              <w:rPr>
                <w:rFonts w:ascii="Calibri" w:hAnsi="Calibri"/>
                <w:sz w:val="18"/>
                <w:szCs w:val="18"/>
              </w:rPr>
            </w:pPr>
          </w:p>
          <w:p w:rsidR="00134B2C" w:rsidRPr="006F0F86" w:rsidRDefault="00134B2C" w:rsidP="00FD47C7">
            <w:pPr>
              <w:jc w:val="center"/>
              <w:rPr>
                <w:rFonts w:ascii="Calibri" w:hAnsi="Calibri"/>
                <w:sz w:val="18"/>
                <w:szCs w:val="18"/>
              </w:rPr>
            </w:pPr>
            <w:r w:rsidRPr="006F0F86">
              <w:rPr>
                <w:rFonts w:ascii="Calibri" w:hAnsi="Calibri"/>
                <w:sz w:val="18"/>
                <w:szCs w:val="18"/>
              </w:rPr>
              <w:t>Właściwość</w:t>
            </w:r>
          </w:p>
        </w:tc>
        <w:tc>
          <w:tcPr>
            <w:tcW w:w="1418" w:type="dxa"/>
          </w:tcPr>
          <w:p w:rsidR="00134B2C" w:rsidRPr="006F0F86" w:rsidRDefault="00134B2C" w:rsidP="00FD47C7">
            <w:pPr>
              <w:jc w:val="center"/>
              <w:rPr>
                <w:rFonts w:ascii="Calibri" w:hAnsi="Calibri"/>
                <w:sz w:val="18"/>
                <w:szCs w:val="18"/>
              </w:rPr>
            </w:pPr>
            <w:r w:rsidRPr="006F0F86">
              <w:rPr>
                <w:rFonts w:ascii="Calibri" w:hAnsi="Calibri"/>
                <w:sz w:val="18"/>
                <w:szCs w:val="18"/>
              </w:rPr>
              <w:t xml:space="preserve">Warunki zagęszczania wg PN-EN </w:t>
            </w:r>
          </w:p>
          <w:p w:rsidR="00134B2C" w:rsidRPr="006F0F86" w:rsidRDefault="00134B2C" w:rsidP="00FD47C7">
            <w:pPr>
              <w:jc w:val="center"/>
              <w:rPr>
                <w:rFonts w:ascii="Calibri" w:hAnsi="Calibri"/>
                <w:sz w:val="18"/>
                <w:szCs w:val="18"/>
              </w:rPr>
            </w:pPr>
            <w:r w:rsidRPr="006F0F86">
              <w:rPr>
                <w:rFonts w:ascii="Calibri" w:hAnsi="Calibri"/>
                <w:sz w:val="18"/>
                <w:szCs w:val="18"/>
              </w:rPr>
              <w:t>13108-20  [48]</w:t>
            </w:r>
          </w:p>
        </w:tc>
        <w:tc>
          <w:tcPr>
            <w:tcW w:w="2551" w:type="dxa"/>
          </w:tcPr>
          <w:p w:rsidR="00134B2C" w:rsidRPr="006F0F86" w:rsidRDefault="00134B2C" w:rsidP="00FD47C7">
            <w:pPr>
              <w:jc w:val="center"/>
              <w:rPr>
                <w:rFonts w:ascii="Calibri" w:hAnsi="Calibri"/>
                <w:sz w:val="18"/>
                <w:szCs w:val="18"/>
              </w:rPr>
            </w:pPr>
          </w:p>
          <w:p w:rsidR="00134B2C" w:rsidRPr="006F0F86" w:rsidRDefault="00134B2C" w:rsidP="00FD47C7">
            <w:pPr>
              <w:jc w:val="center"/>
              <w:rPr>
                <w:rFonts w:ascii="Calibri" w:hAnsi="Calibri"/>
                <w:sz w:val="18"/>
                <w:szCs w:val="18"/>
              </w:rPr>
            </w:pPr>
            <w:r w:rsidRPr="006F0F86">
              <w:rPr>
                <w:rFonts w:ascii="Calibri" w:hAnsi="Calibri"/>
                <w:sz w:val="18"/>
                <w:szCs w:val="18"/>
              </w:rPr>
              <w:t>Metoda i warunki badania</w:t>
            </w:r>
          </w:p>
        </w:tc>
        <w:tc>
          <w:tcPr>
            <w:tcW w:w="993" w:type="dxa"/>
          </w:tcPr>
          <w:p w:rsidR="00134B2C" w:rsidRPr="006F0F86" w:rsidRDefault="00134B2C" w:rsidP="00FD47C7">
            <w:pPr>
              <w:jc w:val="center"/>
              <w:rPr>
                <w:rFonts w:ascii="Calibri" w:hAnsi="Calibri"/>
                <w:sz w:val="18"/>
                <w:szCs w:val="18"/>
              </w:rPr>
            </w:pPr>
          </w:p>
          <w:p w:rsidR="00134B2C" w:rsidRPr="006F0F86" w:rsidRDefault="00134B2C" w:rsidP="00FD47C7">
            <w:pPr>
              <w:jc w:val="center"/>
              <w:rPr>
                <w:rFonts w:ascii="Calibri" w:hAnsi="Calibri"/>
                <w:sz w:val="18"/>
                <w:szCs w:val="18"/>
              </w:rPr>
            </w:pPr>
            <w:r w:rsidRPr="006F0F86">
              <w:rPr>
                <w:rFonts w:ascii="Calibri" w:hAnsi="Calibri"/>
                <w:sz w:val="18"/>
                <w:szCs w:val="18"/>
              </w:rPr>
              <w:t>AC8S</w:t>
            </w:r>
          </w:p>
        </w:tc>
        <w:tc>
          <w:tcPr>
            <w:tcW w:w="992" w:type="dxa"/>
          </w:tcPr>
          <w:p w:rsidR="00134B2C" w:rsidRPr="006F0F86" w:rsidRDefault="00134B2C" w:rsidP="00FD47C7">
            <w:pPr>
              <w:jc w:val="center"/>
              <w:rPr>
                <w:rFonts w:ascii="Calibri" w:hAnsi="Calibri"/>
                <w:sz w:val="18"/>
                <w:szCs w:val="18"/>
              </w:rPr>
            </w:pPr>
          </w:p>
          <w:p w:rsidR="00134B2C" w:rsidRPr="006F0F86" w:rsidRDefault="00134B2C" w:rsidP="00FD47C7">
            <w:pPr>
              <w:jc w:val="center"/>
              <w:rPr>
                <w:rFonts w:ascii="Calibri" w:hAnsi="Calibri"/>
                <w:sz w:val="18"/>
                <w:szCs w:val="18"/>
              </w:rPr>
            </w:pPr>
            <w:r w:rsidRPr="006F0F86">
              <w:rPr>
                <w:rFonts w:ascii="Calibri" w:hAnsi="Calibri"/>
                <w:sz w:val="18"/>
                <w:szCs w:val="18"/>
              </w:rPr>
              <w:t>AC11S</w:t>
            </w:r>
          </w:p>
        </w:tc>
      </w:tr>
      <w:tr w:rsidR="00134B2C" w:rsidRPr="006F0F86" w:rsidTr="00FD47C7">
        <w:tc>
          <w:tcPr>
            <w:tcW w:w="2061" w:type="dxa"/>
            <w:vAlign w:val="center"/>
          </w:tcPr>
          <w:p w:rsidR="00134B2C" w:rsidRPr="006F0F86" w:rsidRDefault="00134B2C" w:rsidP="00FD47C7">
            <w:pPr>
              <w:rPr>
                <w:rFonts w:ascii="Calibri" w:hAnsi="Calibri"/>
                <w:sz w:val="18"/>
                <w:szCs w:val="18"/>
              </w:rPr>
            </w:pPr>
            <w:r w:rsidRPr="006F0F86">
              <w:rPr>
                <w:rFonts w:ascii="Calibri" w:hAnsi="Calibri"/>
                <w:sz w:val="18"/>
                <w:szCs w:val="18"/>
              </w:rPr>
              <w:t>Zawartość wolnych przestrzeni</w:t>
            </w:r>
          </w:p>
        </w:tc>
        <w:tc>
          <w:tcPr>
            <w:tcW w:w="1418" w:type="dxa"/>
            <w:vAlign w:val="center"/>
          </w:tcPr>
          <w:p w:rsidR="00134B2C" w:rsidRPr="006F0F86" w:rsidRDefault="00134B2C" w:rsidP="00FD47C7">
            <w:pPr>
              <w:rPr>
                <w:rFonts w:ascii="Calibri" w:hAnsi="Calibri"/>
                <w:sz w:val="18"/>
                <w:szCs w:val="18"/>
              </w:rPr>
            </w:pPr>
            <w:r w:rsidRPr="006F0F86">
              <w:rPr>
                <w:rFonts w:ascii="Calibri" w:hAnsi="Calibri"/>
                <w:sz w:val="18"/>
                <w:szCs w:val="18"/>
              </w:rPr>
              <w:t>C.1.2,ubijanie, 2×50 uderzeń</w:t>
            </w:r>
          </w:p>
        </w:tc>
        <w:tc>
          <w:tcPr>
            <w:tcW w:w="2551" w:type="dxa"/>
            <w:vAlign w:val="center"/>
          </w:tcPr>
          <w:p w:rsidR="00134B2C" w:rsidRPr="006F0F86" w:rsidRDefault="00134B2C" w:rsidP="00FD47C7">
            <w:pPr>
              <w:jc w:val="center"/>
              <w:rPr>
                <w:rFonts w:ascii="Calibri" w:hAnsi="Calibri"/>
                <w:sz w:val="18"/>
                <w:szCs w:val="18"/>
              </w:rPr>
            </w:pPr>
            <w:r w:rsidRPr="006F0F86">
              <w:rPr>
                <w:rFonts w:ascii="Calibri" w:hAnsi="Calibri"/>
                <w:sz w:val="18"/>
                <w:szCs w:val="18"/>
              </w:rPr>
              <w:t>PN-EN 12697-8 [33], p. 4</w:t>
            </w:r>
          </w:p>
        </w:tc>
        <w:tc>
          <w:tcPr>
            <w:tcW w:w="993" w:type="dxa"/>
            <w:vAlign w:val="center"/>
          </w:tcPr>
          <w:p w:rsidR="00134B2C" w:rsidRPr="006F0F86" w:rsidRDefault="00134B2C" w:rsidP="00FD47C7">
            <w:pPr>
              <w:jc w:val="center"/>
              <w:rPr>
                <w:rFonts w:ascii="Calibri" w:hAnsi="Calibri"/>
                <w:sz w:val="18"/>
                <w:szCs w:val="18"/>
              </w:rPr>
            </w:pPr>
            <w:r w:rsidRPr="006F0F86">
              <w:rPr>
                <w:rFonts w:ascii="Calibri" w:hAnsi="Calibri"/>
                <w:i/>
                <w:sz w:val="18"/>
                <w:szCs w:val="18"/>
              </w:rPr>
              <w:t>V</w:t>
            </w:r>
            <w:r w:rsidRPr="006F0F86">
              <w:rPr>
                <w:rFonts w:ascii="Calibri" w:hAnsi="Calibri"/>
                <w:sz w:val="18"/>
                <w:szCs w:val="18"/>
                <w:vertAlign w:val="subscript"/>
              </w:rPr>
              <w:t>min2,0</w:t>
            </w:r>
          </w:p>
          <w:p w:rsidR="00134B2C" w:rsidRPr="006F0F86" w:rsidRDefault="00134B2C" w:rsidP="00FD47C7">
            <w:pPr>
              <w:jc w:val="center"/>
              <w:rPr>
                <w:rFonts w:ascii="Calibri" w:hAnsi="Calibri"/>
                <w:sz w:val="18"/>
                <w:szCs w:val="18"/>
              </w:rPr>
            </w:pPr>
            <w:r w:rsidRPr="006F0F86">
              <w:rPr>
                <w:rFonts w:ascii="Calibri" w:hAnsi="Calibri"/>
                <w:i/>
                <w:sz w:val="18"/>
                <w:szCs w:val="18"/>
              </w:rPr>
              <w:t>V</w:t>
            </w:r>
            <w:r w:rsidRPr="006F0F86">
              <w:rPr>
                <w:rFonts w:ascii="Calibri" w:hAnsi="Calibri"/>
                <w:sz w:val="18"/>
                <w:szCs w:val="18"/>
                <w:vertAlign w:val="subscript"/>
              </w:rPr>
              <w:t>max4</w:t>
            </w:r>
          </w:p>
        </w:tc>
        <w:tc>
          <w:tcPr>
            <w:tcW w:w="992" w:type="dxa"/>
            <w:vAlign w:val="center"/>
          </w:tcPr>
          <w:p w:rsidR="00134B2C" w:rsidRPr="006F0F86" w:rsidRDefault="00134B2C" w:rsidP="00FD47C7">
            <w:pPr>
              <w:jc w:val="center"/>
              <w:rPr>
                <w:rFonts w:ascii="Calibri" w:hAnsi="Calibri"/>
                <w:sz w:val="18"/>
                <w:szCs w:val="18"/>
              </w:rPr>
            </w:pPr>
            <w:r w:rsidRPr="006F0F86">
              <w:rPr>
                <w:rFonts w:ascii="Calibri" w:hAnsi="Calibri"/>
                <w:i/>
                <w:sz w:val="18"/>
                <w:szCs w:val="18"/>
              </w:rPr>
              <w:t>V</w:t>
            </w:r>
            <w:r w:rsidRPr="006F0F86">
              <w:rPr>
                <w:rFonts w:ascii="Calibri" w:hAnsi="Calibri"/>
                <w:sz w:val="18"/>
                <w:szCs w:val="18"/>
                <w:vertAlign w:val="subscript"/>
              </w:rPr>
              <w:t>min2,0</w:t>
            </w:r>
          </w:p>
          <w:p w:rsidR="00134B2C" w:rsidRPr="006F0F86" w:rsidRDefault="00134B2C" w:rsidP="00FD47C7">
            <w:pPr>
              <w:jc w:val="center"/>
              <w:rPr>
                <w:rFonts w:ascii="Calibri" w:hAnsi="Calibri"/>
                <w:sz w:val="18"/>
                <w:szCs w:val="18"/>
              </w:rPr>
            </w:pPr>
            <w:r w:rsidRPr="006F0F86">
              <w:rPr>
                <w:rFonts w:ascii="Calibri" w:hAnsi="Calibri"/>
                <w:i/>
                <w:sz w:val="18"/>
                <w:szCs w:val="18"/>
              </w:rPr>
              <w:t>V</w:t>
            </w:r>
            <w:r w:rsidRPr="006F0F86">
              <w:rPr>
                <w:rFonts w:ascii="Calibri" w:hAnsi="Calibri"/>
                <w:sz w:val="18"/>
                <w:szCs w:val="18"/>
                <w:vertAlign w:val="subscript"/>
              </w:rPr>
              <w:t>max4</w:t>
            </w:r>
          </w:p>
        </w:tc>
      </w:tr>
      <w:tr w:rsidR="00134B2C" w:rsidRPr="006F0F86" w:rsidTr="00FD47C7">
        <w:tc>
          <w:tcPr>
            <w:tcW w:w="2061" w:type="dxa"/>
            <w:vAlign w:val="center"/>
          </w:tcPr>
          <w:p w:rsidR="00134B2C" w:rsidRPr="006F0F86" w:rsidRDefault="00134B2C" w:rsidP="00FD47C7">
            <w:pPr>
              <w:jc w:val="left"/>
              <w:rPr>
                <w:rFonts w:ascii="Calibri" w:hAnsi="Calibri"/>
                <w:sz w:val="18"/>
                <w:szCs w:val="18"/>
                <w:vertAlign w:val="superscript"/>
              </w:rPr>
            </w:pPr>
            <w:r w:rsidRPr="006F0F86">
              <w:rPr>
                <w:rFonts w:ascii="Calibri" w:hAnsi="Calibri"/>
                <w:sz w:val="18"/>
                <w:szCs w:val="18"/>
              </w:rPr>
              <w:t xml:space="preserve">Odporność na deformacje trwałe </w:t>
            </w:r>
            <w:r w:rsidRPr="006F0F86">
              <w:rPr>
                <w:rFonts w:ascii="Calibri" w:hAnsi="Calibri"/>
                <w:sz w:val="18"/>
                <w:szCs w:val="18"/>
                <w:vertAlign w:val="superscript"/>
              </w:rPr>
              <w:t>a)</w:t>
            </w:r>
          </w:p>
        </w:tc>
        <w:tc>
          <w:tcPr>
            <w:tcW w:w="1418" w:type="dxa"/>
            <w:vAlign w:val="center"/>
          </w:tcPr>
          <w:p w:rsidR="00134B2C" w:rsidRPr="006F0F86" w:rsidRDefault="00134B2C" w:rsidP="00FD47C7">
            <w:pPr>
              <w:rPr>
                <w:rFonts w:ascii="Calibri" w:hAnsi="Calibri"/>
                <w:sz w:val="18"/>
                <w:szCs w:val="18"/>
              </w:rPr>
            </w:pPr>
            <w:r w:rsidRPr="006F0F86">
              <w:rPr>
                <w:rFonts w:ascii="Calibri" w:hAnsi="Calibri"/>
                <w:sz w:val="18"/>
                <w:szCs w:val="18"/>
              </w:rPr>
              <w:t>C.1.20, wałowanie,</w:t>
            </w:r>
          </w:p>
          <w:p w:rsidR="00134B2C" w:rsidRPr="006F0F86" w:rsidRDefault="00134B2C" w:rsidP="00FD47C7">
            <w:pPr>
              <w:rPr>
                <w:rFonts w:ascii="Calibri" w:hAnsi="Calibri"/>
                <w:sz w:val="18"/>
                <w:szCs w:val="18"/>
              </w:rPr>
            </w:pPr>
            <w:r w:rsidRPr="006F0F86">
              <w:rPr>
                <w:rFonts w:ascii="Calibri" w:hAnsi="Calibri"/>
                <w:sz w:val="18"/>
                <w:szCs w:val="18"/>
              </w:rPr>
              <w:t>P</w:t>
            </w:r>
            <w:r w:rsidRPr="006F0F86">
              <w:rPr>
                <w:rFonts w:ascii="Calibri" w:hAnsi="Calibri"/>
                <w:sz w:val="18"/>
                <w:szCs w:val="18"/>
                <w:vertAlign w:val="subscript"/>
              </w:rPr>
              <w:t>98</w:t>
            </w:r>
            <w:r w:rsidRPr="006F0F86">
              <w:rPr>
                <w:rFonts w:ascii="Calibri" w:hAnsi="Calibri"/>
                <w:sz w:val="18"/>
                <w:szCs w:val="18"/>
              </w:rPr>
              <w:t>-P</w:t>
            </w:r>
            <w:r w:rsidRPr="006F0F86">
              <w:rPr>
                <w:rFonts w:ascii="Calibri" w:hAnsi="Calibri"/>
                <w:sz w:val="18"/>
                <w:szCs w:val="18"/>
                <w:vertAlign w:val="subscript"/>
              </w:rPr>
              <w:t>100</w:t>
            </w:r>
          </w:p>
        </w:tc>
        <w:tc>
          <w:tcPr>
            <w:tcW w:w="2551" w:type="dxa"/>
            <w:vAlign w:val="center"/>
          </w:tcPr>
          <w:p w:rsidR="00134B2C" w:rsidRPr="006F0F86" w:rsidRDefault="00134B2C" w:rsidP="00FD47C7">
            <w:pPr>
              <w:jc w:val="center"/>
              <w:rPr>
                <w:rFonts w:ascii="Calibri" w:hAnsi="Calibri"/>
                <w:sz w:val="18"/>
                <w:szCs w:val="18"/>
              </w:rPr>
            </w:pPr>
            <w:r w:rsidRPr="006F0F86">
              <w:rPr>
                <w:rFonts w:ascii="Calibri" w:hAnsi="Calibri"/>
                <w:sz w:val="18"/>
                <w:szCs w:val="18"/>
              </w:rPr>
              <w:t>PN-EN 12697-22, metoda B       w powietrzu, PN-EN 13108-20, D.1.6,60°C, 10 000 cykli [38]</w:t>
            </w:r>
          </w:p>
        </w:tc>
        <w:tc>
          <w:tcPr>
            <w:tcW w:w="993" w:type="dxa"/>
            <w:vAlign w:val="center"/>
          </w:tcPr>
          <w:p w:rsidR="00134B2C" w:rsidRPr="006F0F86" w:rsidRDefault="00134B2C" w:rsidP="00FD47C7">
            <w:pPr>
              <w:jc w:val="left"/>
              <w:rPr>
                <w:rFonts w:ascii="Calibri" w:hAnsi="Calibri"/>
                <w:sz w:val="18"/>
                <w:szCs w:val="18"/>
                <w:vertAlign w:val="subscript"/>
              </w:rPr>
            </w:pPr>
            <w:r w:rsidRPr="006F0F86">
              <w:rPr>
                <w:rFonts w:ascii="Calibri" w:hAnsi="Calibri"/>
                <w:i/>
                <w:sz w:val="18"/>
                <w:szCs w:val="18"/>
              </w:rPr>
              <w:t>WTS</w:t>
            </w:r>
            <w:r w:rsidRPr="006F0F86">
              <w:rPr>
                <w:rFonts w:ascii="Calibri" w:hAnsi="Calibri"/>
                <w:sz w:val="18"/>
                <w:szCs w:val="18"/>
                <w:vertAlign w:val="subscript"/>
              </w:rPr>
              <w:t>AIR 0,50</w:t>
            </w:r>
          </w:p>
          <w:p w:rsidR="00134B2C" w:rsidRPr="006F0F86" w:rsidRDefault="00134B2C" w:rsidP="00FD47C7">
            <w:pPr>
              <w:jc w:val="left"/>
              <w:rPr>
                <w:rFonts w:ascii="Calibri" w:hAnsi="Calibri"/>
                <w:sz w:val="18"/>
                <w:szCs w:val="18"/>
                <w:vertAlign w:val="subscript"/>
              </w:rPr>
            </w:pPr>
            <w:r w:rsidRPr="006F0F86">
              <w:rPr>
                <w:rFonts w:ascii="Calibri" w:hAnsi="Calibri"/>
                <w:i/>
                <w:sz w:val="18"/>
                <w:szCs w:val="18"/>
              </w:rPr>
              <w:t>PRD</w:t>
            </w:r>
            <w:r w:rsidRPr="006F0F86">
              <w:rPr>
                <w:rFonts w:ascii="Calibri" w:hAnsi="Calibri"/>
                <w:sz w:val="18"/>
                <w:szCs w:val="18"/>
                <w:vertAlign w:val="subscript"/>
              </w:rPr>
              <w:t>AIRdeklar</w:t>
            </w:r>
          </w:p>
        </w:tc>
        <w:tc>
          <w:tcPr>
            <w:tcW w:w="992" w:type="dxa"/>
            <w:vAlign w:val="center"/>
          </w:tcPr>
          <w:p w:rsidR="00134B2C" w:rsidRPr="006F0F86" w:rsidRDefault="00134B2C" w:rsidP="00FD47C7">
            <w:pPr>
              <w:jc w:val="center"/>
              <w:rPr>
                <w:rFonts w:ascii="Calibri" w:hAnsi="Calibri"/>
                <w:sz w:val="18"/>
                <w:szCs w:val="18"/>
                <w:vertAlign w:val="subscript"/>
              </w:rPr>
            </w:pPr>
            <w:r w:rsidRPr="006F0F86">
              <w:rPr>
                <w:rFonts w:ascii="Calibri" w:hAnsi="Calibri"/>
                <w:i/>
                <w:sz w:val="18"/>
                <w:szCs w:val="18"/>
              </w:rPr>
              <w:t>WTS</w:t>
            </w:r>
            <w:r w:rsidRPr="006F0F86">
              <w:rPr>
                <w:rFonts w:ascii="Calibri" w:hAnsi="Calibri"/>
                <w:sz w:val="18"/>
                <w:szCs w:val="18"/>
                <w:vertAlign w:val="subscript"/>
              </w:rPr>
              <w:t>AIR 0,50</w:t>
            </w:r>
          </w:p>
          <w:p w:rsidR="00134B2C" w:rsidRPr="006F0F86" w:rsidRDefault="00134B2C" w:rsidP="00FD47C7">
            <w:pPr>
              <w:jc w:val="center"/>
              <w:rPr>
                <w:rFonts w:ascii="Calibri" w:hAnsi="Calibri"/>
                <w:sz w:val="18"/>
                <w:szCs w:val="18"/>
              </w:rPr>
            </w:pPr>
            <w:r w:rsidRPr="006F0F86">
              <w:rPr>
                <w:rFonts w:ascii="Calibri" w:hAnsi="Calibri"/>
                <w:i/>
                <w:sz w:val="18"/>
                <w:szCs w:val="18"/>
              </w:rPr>
              <w:t>PRD</w:t>
            </w:r>
            <w:r w:rsidRPr="006F0F86">
              <w:rPr>
                <w:rFonts w:ascii="Calibri" w:hAnsi="Calibri"/>
                <w:sz w:val="18"/>
                <w:szCs w:val="18"/>
                <w:vertAlign w:val="subscript"/>
              </w:rPr>
              <w:t>AIRdeklar</w:t>
            </w:r>
          </w:p>
        </w:tc>
      </w:tr>
      <w:tr w:rsidR="00134B2C" w:rsidRPr="006F0F86" w:rsidTr="00FD47C7">
        <w:tc>
          <w:tcPr>
            <w:tcW w:w="2061" w:type="dxa"/>
            <w:vAlign w:val="center"/>
          </w:tcPr>
          <w:p w:rsidR="00134B2C" w:rsidRPr="006F0F86" w:rsidRDefault="00134B2C" w:rsidP="00FD47C7">
            <w:pPr>
              <w:jc w:val="left"/>
              <w:rPr>
                <w:rFonts w:ascii="Calibri" w:hAnsi="Calibri"/>
                <w:sz w:val="18"/>
                <w:szCs w:val="18"/>
              </w:rPr>
            </w:pPr>
            <w:r w:rsidRPr="006F0F86">
              <w:rPr>
                <w:rFonts w:ascii="Calibri" w:hAnsi="Calibri"/>
                <w:sz w:val="18"/>
                <w:szCs w:val="18"/>
              </w:rPr>
              <w:t>Odporność na działanie wody</w:t>
            </w:r>
          </w:p>
        </w:tc>
        <w:tc>
          <w:tcPr>
            <w:tcW w:w="1418" w:type="dxa"/>
            <w:vAlign w:val="center"/>
          </w:tcPr>
          <w:p w:rsidR="00134B2C" w:rsidRPr="006F0F86" w:rsidRDefault="00134B2C" w:rsidP="00FD47C7">
            <w:pPr>
              <w:rPr>
                <w:rFonts w:ascii="Calibri" w:hAnsi="Calibri"/>
                <w:sz w:val="18"/>
                <w:szCs w:val="18"/>
              </w:rPr>
            </w:pPr>
            <w:r w:rsidRPr="006F0F86">
              <w:rPr>
                <w:rFonts w:ascii="Calibri" w:hAnsi="Calibri"/>
                <w:sz w:val="18"/>
                <w:szCs w:val="18"/>
              </w:rPr>
              <w:t>C.1.1,ubijanie, 2×35 uderzeń</w:t>
            </w:r>
          </w:p>
        </w:tc>
        <w:tc>
          <w:tcPr>
            <w:tcW w:w="2551" w:type="dxa"/>
            <w:vAlign w:val="center"/>
          </w:tcPr>
          <w:p w:rsidR="00134B2C" w:rsidRPr="006F0F86" w:rsidRDefault="00134B2C" w:rsidP="00FD47C7">
            <w:pPr>
              <w:jc w:val="center"/>
              <w:rPr>
                <w:rFonts w:ascii="Calibri" w:hAnsi="Calibri"/>
                <w:sz w:val="18"/>
                <w:szCs w:val="18"/>
              </w:rPr>
            </w:pPr>
            <w:r w:rsidRPr="006F0F86">
              <w:rPr>
                <w:rFonts w:ascii="Calibri" w:hAnsi="Calibri"/>
                <w:sz w:val="18"/>
                <w:szCs w:val="18"/>
              </w:rPr>
              <w:t xml:space="preserve">PN-EN 12697-12 [35], przechowywanie w </w:t>
            </w:r>
            <w:smartTag w:uri="urn:schemas-microsoft-com:office:smarttags" w:element="metricconverter">
              <w:smartTagPr>
                <w:attr w:name="ProductID" w:val="40ﾰC"/>
              </w:smartTagPr>
              <w:r w:rsidRPr="006F0F86">
                <w:rPr>
                  <w:rFonts w:ascii="Calibri" w:hAnsi="Calibri"/>
                  <w:sz w:val="18"/>
                  <w:szCs w:val="18"/>
                </w:rPr>
                <w:t>40°C</w:t>
              </w:r>
            </w:smartTag>
            <w:r w:rsidRPr="006F0F86">
              <w:rPr>
                <w:rFonts w:ascii="Calibri" w:hAnsi="Calibri"/>
                <w:sz w:val="18"/>
                <w:szCs w:val="18"/>
              </w:rPr>
              <w:t xml:space="preserve"> z jednym cyklem zamrażania, </w:t>
            </w:r>
          </w:p>
          <w:p w:rsidR="00134B2C" w:rsidRPr="006F0F86" w:rsidRDefault="00134B2C" w:rsidP="00FD47C7">
            <w:pPr>
              <w:jc w:val="center"/>
              <w:rPr>
                <w:rFonts w:ascii="Calibri" w:hAnsi="Calibri"/>
                <w:sz w:val="18"/>
                <w:szCs w:val="18"/>
                <w:vertAlign w:val="superscript"/>
              </w:rPr>
            </w:pPr>
            <w:r w:rsidRPr="006F0F86">
              <w:rPr>
                <w:rFonts w:ascii="Calibri" w:hAnsi="Calibri"/>
                <w:sz w:val="18"/>
                <w:szCs w:val="18"/>
              </w:rPr>
              <w:t xml:space="preserve">badanie w </w:t>
            </w:r>
            <w:smartTag w:uri="urn:schemas-microsoft-com:office:smarttags" w:element="metricconverter">
              <w:smartTagPr>
                <w:attr w:name="ProductID" w:val="25ﾰC"/>
              </w:smartTagPr>
              <w:r w:rsidRPr="006F0F86">
                <w:rPr>
                  <w:rFonts w:ascii="Calibri" w:hAnsi="Calibri"/>
                  <w:sz w:val="18"/>
                  <w:szCs w:val="18"/>
                </w:rPr>
                <w:t>25°C</w:t>
              </w:r>
            </w:smartTag>
            <w:r w:rsidRPr="006F0F86">
              <w:rPr>
                <w:rFonts w:ascii="Calibri" w:hAnsi="Calibri"/>
                <w:sz w:val="18"/>
                <w:szCs w:val="18"/>
              </w:rPr>
              <w:t xml:space="preserve">  </w:t>
            </w:r>
            <w:r w:rsidRPr="006F0F86">
              <w:rPr>
                <w:rFonts w:ascii="Calibri" w:hAnsi="Calibri"/>
                <w:sz w:val="18"/>
                <w:szCs w:val="18"/>
                <w:vertAlign w:val="superscript"/>
              </w:rPr>
              <w:t>b)</w:t>
            </w:r>
          </w:p>
        </w:tc>
        <w:tc>
          <w:tcPr>
            <w:tcW w:w="993" w:type="dxa"/>
            <w:vAlign w:val="center"/>
          </w:tcPr>
          <w:p w:rsidR="00134B2C" w:rsidRPr="006F0F86" w:rsidRDefault="00134B2C" w:rsidP="00FD47C7">
            <w:pPr>
              <w:jc w:val="center"/>
              <w:rPr>
                <w:rFonts w:ascii="Calibri" w:hAnsi="Calibri"/>
                <w:sz w:val="18"/>
                <w:szCs w:val="18"/>
              </w:rPr>
            </w:pPr>
            <w:r w:rsidRPr="006F0F86">
              <w:rPr>
                <w:rFonts w:ascii="Calibri" w:hAnsi="Calibri"/>
                <w:i/>
                <w:sz w:val="18"/>
                <w:szCs w:val="18"/>
              </w:rPr>
              <w:t>ITSR</w:t>
            </w:r>
            <w:r w:rsidRPr="006F0F86">
              <w:rPr>
                <w:rFonts w:ascii="Calibri" w:hAnsi="Calibri"/>
                <w:sz w:val="18"/>
                <w:szCs w:val="18"/>
                <w:vertAlign w:val="subscript"/>
              </w:rPr>
              <w:t>90</w:t>
            </w:r>
          </w:p>
        </w:tc>
        <w:tc>
          <w:tcPr>
            <w:tcW w:w="992" w:type="dxa"/>
            <w:vAlign w:val="center"/>
          </w:tcPr>
          <w:p w:rsidR="00134B2C" w:rsidRPr="006F0F86" w:rsidRDefault="00134B2C" w:rsidP="00FD47C7">
            <w:pPr>
              <w:jc w:val="center"/>
              <w:rPr>
                <w:rFonts w:ascii="Calibri" w:hAnsi="Calibri"/>
                <w:sz w:val="18"/>
                <w:szCs w:val="18"/>
              </w:rPr>
            </w:pPr>
            <w:r w:rsidRPr="006F0F86">
              <w:rPr>
                <w:rFonts w:ascii="Calibri" w:hAnsi="Calibri"/>
                <w:i/>
                <w:sz w:val="18"/>
                <w:szCs w:val="18"/>
              </w:rPr>
              <w:t>ITSR</w:t>
            </w:r>
            <w:r w:rsidRPr="006F0F86">
              <w:rPr>
                <w:rFonts w:ascii="Calibri" w:hAnsi="Calibri"/>
                <w:sz w:val="18"/>
                <w:szCs w:val="18"/>
                <w:vertAlign w:val="subscript"/>
              </w:rPr>
              <w:t>90</w:t>
            </w:r>
          </w:p>
        </w:tc>
      </w:tr>
      <w:tr w:rsidR="00134B2C" w:rsidRPr="00254A49" w:rsidTr="00FD47C7">
        <w:tblPrEx>
          <w:tblCellMar>
            <w:left w:w="70" w:type="dxa"/>
            <w:right w:w="70" w:type="dxa"/>
          </w:tblCellMar>
          <w:tblLook w:val="0000"/>
        </w:tblPrEx>
        <w:trPr>
          <w:trHeight w:val="514"/>
        </w:trPr>
        <w:tc>
          <w:tcPr>
            <w:tcW w:w="8015" w:type="dxa"/>
            <w:gridSpan w:val="5"/>
          </w:tcPr>
          <w:p w:rsidR="00134B2C" w:rsidRPr="00254A49" w:rsidRDefault="00134B2C" w:rsidP="00FD47C7">
            <w:pPr>
              <w:tabs>
                <w:tab w:val="left" w:pos="180"/>
              </w:tabs>
              <w:ind w:left="180" w:hanging="142"/>
              <w:rPr>
                <w:rFonts w:ascii="Calibri" w:hAnsi="Calibri"/>
                <w:i/>
                <w:sz w:val="18"/>
                <w:szCs w:val="18"/>
              </w:rPr>
            </w:pPr>
            <w:r w:rsidRPr="00254A49">
              <w:rPr>
                <w:rFonts w:ascii="Calibri" w:hAnsi="Calibri"/>
                <w:i/>
                <w:sz w:val="18"/>
                <w:szCs w:val="18"/>
                <w:vertAlign w:val="superscript"/>
              </w:rPr>
              <w:t>a)</w:t>
            </w:r>
            <w:r w:rsidRPr="00254A49">
              <w:rPr>
                <w:rFonts w:ascii="Calibri" w:hAnsi="Calibri"/>
                <w:i/>
                <w:sz w:val="18"/>
                <w:szCs w:val="18"/>
              </w:rPr>
              <w:tab/>
              <w:t>Grubość plyty: AC8, AC11  40mm.</w:t>
            </w:r>
          </w:p>
          <w:p w:rsidR="00134B2C" w:rsidRPr="00254A49" w:rsidRDefault="00134B2C" w:rsidP="00FD47C7">
            <w:pPr>
              <w:tabs>
                <w:tab w:val="left" w:pos="180"/>
              </w:tabs>
              <w:ind w:left="180" w:hanging="142"/>
              <w:rPr>
                <w:rFonts w:ascii="Calibri" w:hAnsi="Calibri"/>
                <w:i/>
                <w:sz w:val="18"/>
                <w:szCs w:val="18"/>
              </w:rPr>
            </w:pPr>
            <w:r w:rsidRPr="00254A49">
              <w:rPr>
                <w:rFonts w:ascii="Calibri" w:hAnsi="Calibri"/>
                <w:i/>
                <w:sz w:val="18"/>
                <w:szCs w:val="18"/>
                <w:vertAlign w:val="superscript"/>
              </w:rPr>
              <w:t>b)</w:t>
            </w:r>
            <w:r w:rsidRPr="00254A49">
              <w:rPr>
                <w:rFonts w:ascii="Calibri" w:hAnsi="Calibri"/>
                <w:i/>
                <w:sz w:val="18"/>
                <w:szCs w:val="18"/>
              </w:rPr>
              <w:tab/>
              <w:t>Ujednoliconą procedurę badania odporności na działanie wody podano w WT-2 2010 [65] w załączniku 1.</w:t>
            </w:r>
          </w:p>
        </w:tc>
      </w:tr>
    </w:tbl>
    <w:p w:rsidR="00C3299C" w:rsidRDefault="00C3299C" w:rsidP="00134B2C">
      <w:pPr>
        <w:ind w:left="709"/>
        <w:rPr>
          <w:rFonts w:ascii="Calibri" w:hAnsi="Calibri"/>
        </w:rPr>
      </w:pPr>
    </w:p>
    <w:p w:rsidR="00134B2C" w:rsidRPr="006F0F86" w:rsidRDefault="00134B2C" w:rsidP="00134B2C">
      <w:pPr>
        <w:ind w:left="709"/>
        <w:rPr>
          <w:rFonts w:ascii="Calibri" w:hAnsi="Calibri"/>
        </w:rPr>
      </w:pPr>
      <w:r w:rsidRPr="006F0F86">
        <w:rPr>
          <w:rFonts w:ascii="Calibri" w:hAnsi="Calibri"/>
        </w:rPr>
        <w:t>Tablica 9. Wymagane właściwości mieszanki mineralno-asfaltowej do warstwy ścieralnej, dla ruchu KR5 ÷ KR6 [65]</w:t>
      </w:r>
    </w:p>
    <w:tbl>
      <w:tblPr>
        <w:tblW w:w="8015" w:type="dxa"/>
        <w:tblInd w:w="81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tblPr>
      <w:tblGrid>
        <w:gridCol w:w="2061"/>
        <w:gridCol w:w="1418"/>
        <w:gridCol w:w="2551"/>
        <w:gridCol w:w="993"/>
        <w:gridCol w:w="992"/>
      </w:tblGrid>
      <w:tr w:rsidR="00134B2C" w:rsidRPr="006F0F86" w:rsidTr="00FD47C7">
        <w:tc>
          <w:tcPr>
            <w:tcW w:w="2061" w:type="dxa"/>
          </w:tcPr>
          <w:p w:rsidR="00134B2C" w:rsidRPr="006F0F86" w:rsidRDefault="00134B2C" w:rsidP="00FD47C7">
            <w:pPr>
              <w:jc w:val="center"/>
              <w:rPr>
                <w:rFonts w:ascii="Calibri" w:hAnsi="Calibri"/>
                <w:sz w:val="18"/>
                <w:szCs w:val="18"/>
              </w:rPr>
            </w:pPr>
          </w:p>
          <w:p w:rsidR="00134B2C" w:rsidRPr="006F0F86" w:rsidRDefault="00134B2C" w:rsidP="00FD47C7">
            <w:pPr>
              <w:jc w:val="center"/>
              <w:rPr>
                <w:rFonts w:ascii="Calibri" w:hAnsi="Calibri"/>
                <w:sz w:val="18"/>
                <w:szCs w:val="18"/>
              </w:rPr>
            </w:pPr>
            <w:r w:rsidRPr="006F0F86">
              <w:rPr>
                <w:rFonts w:ascii="Calibri" w:hAnsi="Calibri"/>
                <w:sz w:val="18"/>
                <w:szCs w:val="18"/>
              </w:rPr>
              <w:t>Właściwość</w:t>
            </w:r>
          </w:p>
        </w:tc>
        <w:tc>
          <w:tcPr>
            <w:tcW w:w="1418" w:type="dxa"/>
          </w:tcPr>
          <w:p w:rsidR="00134B2C" w:rsidRPr="006F0F86" w:rsidRDefault="00134B2C" w:rsidP="00FD47C7">
            <w:pPr>
              <w:jc w:val="center"/>
              <w:rPr>
                <w:rFonts w:ascii="Calibri" w:hAnsi="Calibri"/>
                <w:sz w:val="18"/>
                <w:szCs w:val="18"/>
              </w:rPr>
            </w:pPr>
            <w:r w:rsidRPr="006F0F86">
              <w:rPr>
                <w:rFonts w:ascii="Calibri" w:hAnsi="Calibri"/>
                <w:sz w:val="18"/>
                <w:szCs w:val="18"/>
              </w:rPr>
              <w:t xml:space="preserve">Warunki zagęszczania wg PN-EN </w:t>
            </w:r>
          </w:p>
          <w:p w:rsidR="00134B2C" w:rsidRPr="006F0F86" w:rsidRDefault="00134B2C" w:rsidP="00FD47C7">
            <w:pPr>
              <w:jc w:val="center"/>
              <w:rPr>
                <w:rFonts w:ascii="Calibri" w:hAnsi="Calibri"/>
                <w:sz w:val="18"/>
                <w:szCs w:val="18"/>
              </w:rPr>
            </w:pPr>
            <w:r w:rsidRPr="006F0F86">
              <w:rPr>
                <w:rFonts w:ascii="Calibri" w:hAnsi="Calibri"/>
                <w:sz w:val="18"/>
                <w:szCs w:val="18"/>
              </w:rPr>
              <w:t>13108-20  [48]</w:t>
            </w:r>
          </w:p>
        </w:tc>
        <w:tc>
          <w:tcPr>
            <w:tcW w:w="2551" w:type="dxa"/>
          </w:tcPr>
          <w:p w:rsidR="00134B2C" w:rsidRPr="006F0F86" w:rsidRDefault="00134B2C" w:rsidP="00FD47C7">
            <w:pPr>
              <w:jc w:val="center"/>
              <w:rPr>
                <w:rFonts w:ascii="Calibri" w:hAnsi="Calibri"/>
                <w:sz w:val="18"/>
                <w:szCs w:val="18"/>
              </w:rPr>
            </w:pPr>
          </w:p>
          <w:p w:rsidR="00134B2C" w:rsidRPr="006F0F86" w:rsidRDefault="00134B2C" w:rsidP="00FD47C7">
            <w:pPr>
              <w:jc w:val="center"/>
              <w:rPr>
                <w:rFonts w:ascii="Calibri" w:hAnsi="Calibri"/>
                <w:sz w:val="18"/>
                <w:szCs w:val="18"/>
              </w:rPr>
            </w:pPr>
            <w:r w:rsidRPr="006F0F86">
              <w:rPr>
                <w:rFonts w:ascii="Calibri" w:hAnsi="Calibri"/>
                <w:sz w:val="18"/>
                <w:szCs w:val="18"/>
              </w:rPr>
              <w:t>Metoda i warunki badania</w:t>
            </w:r>
          </w:p>
        </w:tc>
        <w:tc>
          <w:tcPr>
            <w:tcW w:w="993" w:type="dxa"/>
          </w:tcPr>
          <w:p w:rsidR="00134B2C" w:rsidRPr="006F0F86" w:rsidRDefault="00134B2C" w:rsidP="00FD47C7">
            <w:pPr>
              <w:jc w:val="center"/>
              <w:rPr>
                <w:rFonts w:ascii="Calibri" w:hAnsi="Calibri"/>
                <w:sz w:val="18"/>
                <w:szCs w:val="18"/>
              </w:rPr>
            </w:pPr>
          </w:p>
          <w:p w:rsidR="00134B2C" w:rsidRPr="006F0F86" w:rsidRDefault="00134B2C" w:rsidP="00FD47C7">
            <w:pPr>
              <w:jc w:val="center"/>
              <w:rPr>
                <w:rFonts w:ascii="Calibri" w:hAnsi="Calibri"/>
                <w:sz w:val="18"/>
                <w:szCs w:val="18"/>
              </w:rPr>
            </w:pPr>
            <w:r w:rsidRPr="006F0F86">
              <w:rPr>
                <w:rFonts w:ascii="Calibri" w:hAnsi="Calibri"/>
                <w:sz w:val="18"/>
                <w:szCs w:val="18"/>
              </w:rPr>
              <w:t>AC8S</w:t>
            </w:r>
          </w:p>
        </w:tc>
        <w:tc>
          <w:tcPr>
            <w:tcW w:w="992" w:type="dxa"/>
          </w:tcPr>
          <w:p w:rsidR="00134B2C" w:rsidRPr="006F0F86" w:rsidRDefault="00134B2C" w:rsidP="00FD47C7">
            <w:pPr>
              <w:jc w:val="center"/>
              <w:rPr>
                <w:rFonts w:ascii="Calibri" w:hAnsi="Calibri"/>
                <w:sz w:val="18"/>
                <w:szCs w:val="18"/>
              </w:rPr>
            </w:pPr>
          </w:p>
          <w:p w:rsidR="00134B2C" w:rsidRPr="006F0F86" w:rsidRDefault="00134B2C" w:rsidP="00FD47C7">
            <w:pPr>
              <w:jc w:val="center"/>
              <w:rPr>
                <w:rFonts w:ascii="Calibri" w:hAnsi="Calibri"/>
                <w:sz w:val="18"/>
                <w:szCs w:val="18"/>
              </w:rPr>
            </w:pPr>
            <w:r w:rsidRPr="006F0F86">
              <w:rPr>
                <w:rFonts w:ascii="Calibri" w:hAnsi="Calibri"/>
                <w:sz w:val="18"/>
                <w:szCs w:val="18"/>
              </w:rPr>
              <w:t>AC11S</w:t>
            </w:r>
          </w:p>
        </w:tc>
      </w:tr>
      <w:tr w:rsidR="00134B2C" w:rsidRPr="006F0F86" w:rsidTr="00FD47C7">
        <w:tc>
          <w:tcPr>
            <w:tcW w:w="2061" w:type="dxa"/>
            <w:vAlign w:val="center"/>
          </w:tcPr>
          <w:p w:rsidR="00134B2C" w:rsidRPr="006F0F86" w:rsidRDefault="00134B2C" w:rsidP="00FD47C7">
            <w:pPr>
              <w:rPr>
                <w:rFonts w:ascii="Calibri" w:hAnsi="Calibri"/>
                <w:sz w:val="18"/>
                <w:szCs w:val="18"/>
              </w:rPr>
            </w:pPr>
            <w:r w:rsidRPr="006F0F86">
              <w:rPr>
                <w:rFonts w:ascii="Calibri" w:hAnsi="Calibri"/>
                <w:sz w:val="18"/>
                <w:szCs w:val="18"/>
              </w:rPr>
              <w:t>Zawartość wolnych przestrzeni</w:t>
            </w:r>
          </w:p>
        </w:tc>
        <w:tc>
          <w:tcPr>
            <w:tcW w:w="1418" w:type="dxa"/>
            <w:vAlign w:val="center"/>
          </w:tcPr>
          <w:p w:rsidR="00134B2C" w:rsidRPr="006F0F86" w:rsidRDefault="00134B2C" w:rsidP="00FD47C7">
            <w:pPr>
              <w:rPr>
                <w:rFonts w:ascii="Calibri" w:hAnsi="Calibri"/>
                <w:sz w:val="18"/>
                <w:szCs w:val="18"/>
              </w:rPr>
            </w:pPr>
            <w:r w:rsidRPr="006F0F86">
              <w:rPr>
                <w:rFonts w:ascii="Calibri" w:hAnsi="Calibri"/>
                <w:sz w:val="18"/>
                <w:szCs w:val="18"/>
              </w:rPr>
              <w:t>C.1.2,ubijanie, 2×50 uderzeń</w:t>
            </w:r>
          </w:p>
        </w:tc>
        <w:tc>
          <w:tcPr>
            <w:tcW w:w="2551" w:type="dxa"/>
            <w:vAlign w:val="center"/>
          </w:tcPr>
          <w:p w:rsidR="00134B2C" w:rsidRPr="006F0F86" w:rsidRDefault="00134B2C" w:rsidP="00FD47C7">
            <w:pPr>
              <w:jc w:val="center"/>
              <w:rPr>
                <w:rFonts w:ascii="Calibri" w:hAnsi="Calibri"/>
                <w:sz w:val="18"/>
                <w:szCs w:val="18"/>
              </w:rPr>
            </w:pPr>
            <w:r w:rsidRPr="006F0F86">
              <w:rPr>
                <w:rFonts w:ascii="Calibri" w:hAnsi="Calibri"/>
                <w:sz w:val="18"/>
                <w:szCs w:val="18"/>
              </w:rPr>
              <w:t>PN-EN 12697-8 [33], p. 4</w:t>
            </w:r>
          </w:p>
        </w:tc>
        <w:tc>
          <w:tcPr>
            <w:tcW w:w="993" w:type="dxa"/>
            <w:vAlign w:val="center"/>
          </w:tcPr>
          <w:p w:rsidR="00134B2C" w:rsidRPr="006F0F86" w:rsidRDefault="00134B2C" w:rsidP="00FD47C7">
            <w:pPr>
              <w:jc w:val="center"/>
              <w:rPr>
                <w:rFonts w:ascii="Calibri" w:hAnsi="Calibri"/>
                <w:sz w:val="18"/>
                <w:szCs w:val="18"/>
              </w:rPr>
            </w:pPr>
            <w:r w:rsidRPr="006F0F86">
              <w:rPr>
                <w:rFonts w:ascii="Calibri" w:hAnsi="Calibri"/>
                <w:i/>
                <w:sz w:val="18"/>
                <w:szCs w:val="18"/>
              </w:rPr>
              <w:t>V</w:t>
            </w:r>
            <w:r w:rsidRPr="006F0F86">
              <w:rPr>
                <w:rFonts w:ascii="Calibri" w:hAnsi="Calibri"/>
                <w:sz w:val="18"/>
                <w:szCs w:val="18"/>
                <w:vertAlign w:val="subscript"/>
              </w:rPr>
              <w:t>min2,0</w:t>
            </w:r>
          </w:p>
          <w:p w:rsidR="00134B2C" w:rsidRPr="006F0F86" w:rsidRDefault="00134B2C" w:rsidP="00FD47C7">
            <w:pPr>
              <w:jc w:val="center"/>
              <w:rPr>
                <w:rFonts w:ascii="Calibri" w:hAnsi="Calibri"/>
                <w:sz w:val="18"/>
                <w:szCs w:val="18"/>
              </w:rPr>
            </w:pPr>
            <w:r w:rsidRPr="006F0F86">
              <w:rPr>
                <w:rFonts w:ascii="Calibri" w:hAnsi="Calibri"/>
                <w:i/>
                <w:sz w:val="18"/>
                <w:szCs w:val="18"/>
              </w:rPr>
              <w:t>V</w:t>
            </w:r>
            <w:r w:rsidRPr="006F0F86">
              <w:rPr>
                <w:rFonts w:ascii="Calibri" w:hAnsi="Calibri"/>
                <w:sz w:val="18"/>
                <w:szCs w:val="18"/>
                <w:vertAlign w:val="subscript"/>
              </w:rPr>
              <w:t>max4</w:t>
            </w:r>
          </w:p>
        </w:tc>
        <w:tc>
          <w:tcPr>
            <w:tcW w:w="992" w:type="dxa"/>
            <w:vAlign w:val="center"/>
          </w:tcPr>
          <w:p w:rsidR="00134B2C" w:rsidRPr="006F0F86" w:rsidRDefault="00134B2C" w:rsidP="00FD47C7">
            <w:pPr>
              <w:jc w:val="center"/>
              <w:rPr>
                <w:rFonts w:ascii="Calibri" w:hAnsi="Calibri"/>
                <w:sz w:val="18"/>
                <w:szCs w:val="18"/>
              </w:rPr>
            </w:pPr>
            <w:r w:rsidRPr="006F0F86">
              <w:rPr>
                <w:rFonts w:ascii="Calibri" w:hAnsi="Calibri"/>
                <w:i/>
                <w:sz w:val="18"/>
                <w:szCs w:val="18"/>
              </w:rPr>
              <w:t>V</w:t>
            </w:r>
            <w:r w:rsidRPr="006F0F86">
              <w:rPr>
                <w:rFonts w:ascii="Calibri" w:hAnsi="Calibri"/>
                <w:sz w:val="18"/>
                <w:szCs w:val="18"/>
                <w:vertAlign w:val="subscript"/>
              </w:rPr>
              <w:t>min2,0</w:t>
            </w:r>
          </w:p>
          <w:p w:rsidR="00134B2C" w:rsidRPr="006F0F86" w:rsidRDefault="00134B2C" w:rsidP="00FD47C7">
            <w:pPr>
              <w:jc w:val="center"/>
              <w:rPr>
                <w:rFonts w:ascii="Calibri" w:hAnsi="Calibri"/>
                <w:sz w:val="18"/>
                <w:szCs w:val="18"/>
              </w:rPr>
            </w:pPr>
            <w:r w:rsidRPr="006F0F86">
              <w:rPr>
                <w:rFonts w:ascii="Calibri" w:hAnsi="Calibri"/>
                <w:i/>
                <w:sz w:val="18"/>
                <w:szCs w:val="18"/>
              </w:rPr>
              <w:t>V</w:t>
            </w:r>
            <w:r w:rsidRPr="006F0F86">
              <w:rPr>
                <w:rFonts w:ascii="Calibri" w:hAnsi="Calibri"/>
                <w:sz w:val="18"/>
                <w:szCs w:val="18"/>
                <w:vertAlign w:val="subscript"/>
              </w:rPr>
              <w:t>max4</w:t>
            </w:r>
          </w:p>
        </w:tc>
      </w:tr>
      <w:tr w:rsidR="00134B2C" w:rsidRPr="006F0F86" w:rsidTr="00FD47C7">
        <w:tc>
          <w:tcPr>
            <w:tcW w:w="2061" w:type="dxa"/>
            <w:vAlign w:val="center"/>
          </w:tcPr>
          <w:p w:rsidR="00134B2C" w:rsidRPr="006F0F86" w:rsidRDefault="00134B2C" w:rsidP="00FD47C7">
            <w:pPr>
              <w:jc w:val="left"/>
              <w:rPr>
                <w:rFonts w:ascii="Calibri" w:hAnsi="Calibri"/>
                <w:sz w:val="18"/>
                <w:szCs w:val="18"/>
                <w:vertAlign w:val="superscript"/>
              </w:rPr>
            </w:pPr>
            <w:r w:rsidRPr="006F0F86">
              <w:rPr>
                <w:rFonts w:ascii="Calibri" w:hAnsi="Calibri"/>
                <w:sz w:val="18"/>
                <w:szCs w:val="18"/>
              </w:rPr>
              <w:t xml:space="preserve">Odporność na deformacje trwałe </w:t>
            </w:r>
            <w:r w:rsidRPr="006F0F86">
              <w:rPr>
                <w:rFonts w:ascii="Calibri" w:hAnsi="Calibri"/>
                <w:sz w:val="18"/>
                <w:szCs w:val="18"/>
                <w:vertAlign w:val="superscript"/>
              </w:rPr>
              <w:t>a)</w:t>
            </w:r>
          </w:p>
        </w:tc>
        <w:tc>
          <w:tcPr>
            <w:tcW w:w="1418" w:type="dxa"/>
            <w:vAlign w:val="center"/>
          </w:tcPr>
          <w:p w:rsidR="00134B2C" w:rsidRPr="006F0F86" w:rsidRDefault="00134B2C" w:rsidP="00FD47C7">
            <w:pPr>
              <w:rPr>
                <w:rFonts w:ascii="Calibri" w:hAnsi="Calibri"/>
                <w:sz w:val="18"/>
                <w:szCs w:val="18"/>
              </w:rPr>
            </w:pPr>
            <w:r w:rsidRPr="006F0F86">
              <w:rPr>
                <w:rFonts w:ascii="Calibri" w:hAnsi="Calibri"/>
                <w:sz w:val="18"/>
                <w:szCs w:val="18"/>
              </w:rPr>
              <w:t>C.1.20, wałowanie,</w:t>
            </w:r>
          </w:p>
          <w:p w:rsidR="00134B2C" w:rsidRPr="006F0F86" w:rsidRDefault="00134B2C" w:rsidP="00FD47C7">
            <w:pPr>
              <w:rPr>
                <w:rFonts w:ascii="Calibri" w:hAnsi="Calibri"/>
                <w:sz w:val="18"/>
                <w:szCs w:val="18"/>
              </w:rPr>
            </w:pPr>
            <w:r w:rsidRPr="006F0F86">
              <w:rPr>
                <w:rFonts w:ascii="Calibri" w:hAnsi="Calibri"/>
                <w:sz w:val="18"/>
                <w:szCs w:val="18"/>
              </w:rPr>
              <w:t>P</w:t>
            </w:r>
            <w:r w:rsidRPr="006F0F86">
              <w:rPr>
                <w:rFonts w:ascii="Calibri" w:hAnsi="Calibri"/>
                <w:sz w:val="18"/>
                <w:szCs w:val="18"/>
                <w:vertAlign w:val="subscript"/>
              </w:rPr>
              <w:t>98</w:t>
            </w:r>
            <w:r w:rsidRPr="006F0F86">
              <w:rPr>
                <w:rFonts w:ascii="Calibri" w:hAnsi="Calibri"/>
                <w:sz w:val="18"/>
                <w:szCs w:val="18"/>
              </w:rPr>
              <w:t>-P</w:t>
            </w:r>
            <w:r w:rsidRPr="006F0F86">
              <w:rPr>
                <w:rFonts w:ascii="Calibri" w:hAnsi="Calibri"/>
                <w:sz w:val="18"/>
                <w:szCs w:val="18"/>
                <w:vertAlign w:val="subscript"/>
              </w:rPr>
              <w:t>100</w:t>
            </w:r>
          </w:p>
        </w:tc>
        <w:tc>
          <w:tcPr>
            <w:tcW w:w="2551" w:type="dxa"/>
            <w:vAlign w:val="center"/>
          </w:tcPr>
          <w:p w:rsidR="00134B2C" w:rsidRPr="006F0F86" w:rsidRDefault="00134B2C" w:rsidP="00FD47C7">
            <w:pPr>
              <w:jc w:val="center"/>
              <w:rPr>
                <w:rFonts w:ascii="Calibri" w:hAnsi="Calibri"/>
                <w:sz w:val="18"/>
                <w:szCs w:val="18"/>
              </w:rPr>
            </w:pPr>
            <w:r w:rsidRPr="006F0F86">
              <w:rPr>
                <w:rFonts w:ascii="Calibri" w:hAnsi="Calibri"/>
                <w:sz w:val="18"/>
                <w:szCs w:val="18"/>
              </w:rPr>
              <w:t>PN-EN 12697-22, metoda B       w powietrzu, PN-EN 13108-20, D.1.6,60°C, 10 000 cykli [38]</w:t>
            </w:r>
          </w:p>
        </w:tc>
        <w:tc>
          <w:tcPr>
            <w:tcW w:w="993" w:type="dxa"/>
            <w:vAlign w:val="center"/>
          </w:tcPr>
          <w:p w:rsidR="00134B2C" w:rsidRPr="006F0F86" w:rsidRDefault="00134B2C" w:rsidP="00FD47C7">
            <w:pPr>
              <w:jc w:val="left"/>
              <w:rPr>
                <w:rFonts w:ascii="Calibri" w:hAnsi="Calibri"/>
                <w:sz w:val="18"/>
                <w:szCs w:val="18"/>
                <w:vertAlign w:val="subscript"/>
              </w:rPr>
            </w:pPr>
            <w:r w:rsidRPr="006F0F86">
              <w:rPr>
                <w:rFonts w:ascii="Calibri" w:hAnsi="Calibri"/>
                <w:i/>
                <w:sz w:val="18"/>
                <w:szCs w:val="18"/>
              </w:rPr>
              <w:t>WTS</w:t>
            </w:r>
            <w:r w:rsidRPr="006F0F86">
              <w:rPr>
                <w:rFonts w:ascii="Calibri" w:hAnsi="Calibri"/>
                <w:sz w:val="18"/>
                <w:szCs w:val="18"/>
                <w:vertAlign w:val="subscript"/>
              </w:rPr>
              <w:t>AIR 0,30</w:t>
            </w:r>
          </w:p>
          <w:p w:rsidR="00134B2C" w:rsidRPr="006F0F86" w:rsidRDefault="00134B2C" w:rsidP="00FD47C7">
            <w:pPr>
              <w:jc w:val="left"/>
              <w:rPr>
                <w:rFonts w:ascii="Calibri" w:hAnsi="Calibri"/>
                <w:sz w:val="18"/>
                <w:szCs w:val="18"/>
                <w:vertAlign w:val="subscript"/>
              </w:rPr>
            </w:pPr>
            <w:r w:rsidRPr="006F0F86">
              <w:rPr>
                <w:rFonts w:ascii="Calibri" w:hAnsi="Calibri"/>
                <w:i/>
                <w:sz w:val="18"/>
                <w:szCs w:val="18"/>
              </w:rPr>
              <w:t>PRD</w:t>
            </w:r>
            <w:r w:rsidRPr="006F0F86">
              <w:rPr>
                <w:rFonts w:ascii="Calibri" w:hAnsi="Calibri"/>
                <w:sz w:val="18"/>
                <w:szCs w:val="18"/>
                <w:vertAlign w:val="subscript"/>
              </w:rPr>
              <w:t>AIRdeklar</w:t>
            </w:r>
          </w:p>
        </w:tc>
        <w:tc>
          <w:tcPr>
            <w:tcW w:w="992" w:type="dxa"/>
            <w:vAlign w:val="center"/>
          </w:tcPr>
          <w:p w:rsidR="00134B2C" w:rsidRPr="006F0F86" w:rsidRDefault="00134B2C" w:rsidP="00FD47C7">
            <w:pPr>
              <w:jc w:val="center"/>
              <w:rPr>
                <w:rFonts w:ascii="Calibri" w:hAnsi="Calibri"/>
                <w:sz w:val="18"/>
                <w:szCs w:val="18"/>
                <w:vertAlign w:val="subscript"/>
              </w:rPr>
            </w:pPr>
            <w:r w:rsidRPr="006F0F86">
              <w:rPr>
                <w:rFonts w:ascii="Calibri" w:hAnsi="Calibri"/>
                <w:i/>
                <w:sz w:val="18"/>
                <w:szCs w:val="18"/>
              </w:rPr>
              <w:t>WTS</w:t>
            </w:r>
            <w:r w:rsidRPr="006F0F86">
              <w:rPr>
                <w:rFonts w:ascii="Calibri" w:hAnsi="Calibri"/>
                <w:sz w:val="18"/>
                <w:szCs w:val="18"/>
                <w:vertAlign w:val="subscript"/>
              </w:rPr>
              <w:t>AIR 0,30</w:t>
            </w:r>
          </w:p>
          <w:p w:rsidR="00134B2C" w:rsidRPr="006F0F86" w:rsidRDefault="00134B2C" w:rsidP="00FD47C7">
            <w:pPr>
              <w:jc w:val="center"/>
              <w:rPr>
                <w:rFonts w:ascii="Calibri" w:hAnsi="Calibri"/>
                <w:sz w:val="18"/>
                <w:szCs w:val="18"/>
              </w:rPr>
            </w:pPr>
            <w:r w:rsidRPr="006F0F86">
              <w:rPr>
                <w:rFonts w:ascii="Calibri" w:hAnsi="Calibri"/>
                <w:i/>
                <w:sz w:val="18"/>
                <w:szCs w:val="18"/>
              </w:rPr>
              <w:t>PRD</w:t>
            </w:r>
            <w:r w:rsidRPr="006F0F86">
              <w:rPr>
                <w:rFonts w:ascii="Calibri" w:hAnsi="Calibri"/>
                <w:sz w:val="18"/>
                <w:szCs w:val="18"/>
                <w:vertAlign w:val="subscript"/>
              </w:rPr>
              <w:t>AIRdeklar</w:t>
            </w:r>
          </w:p>
        </w:tc>
      </w:tr>
      <w:tr w:rsidR="00134B2C" w:rsidRPr="006F0F86" w:rsidTr="00FD47C7">
        <w:tc>
          <w:tcPr>
            <w:tcW w:w="2061" w:type="dxa"/>
            <w:vAlign w:val="center"/>
          </w:tcPr>
          <w:p w:rsidR="00134B2C" w:rsidRPr="006F0F86" w:rsidRDefault="00134B2C" w:rsidP="00FD47C7">
            <w:pPr>
              <w:jc w:val="left"/>
              <w:rPr>
                <w:rFonts w:ascii="Calibri" w:hAnsi="Calibri"/>
                <w:sz w:val="18"/>
                <w:szCs w:val="18"/>
              </w:rPr>
            </w:pPr>
            <w:r w:rsidRPr="006F0F86">
              <w:rPr>
                <w:rFonts w:ascii="Calibri" w:hAnsi="Calibri"/>
                <w:sz w:val="18"/>
                <w:szCs w:val="18"/>
              </w:rPr>
              <w:t>Odporność na działanie wody</w:t>
            </w:r>
          </w:p>
        </w:tc>
        <w:tc>
          <w:tcPr>
            <w:tcW w:w="1418" w:type="dxa"/>
            <w:vAlign w:val="center"/>
          </w:tcPr>
          <w:p w:rsidR="00134B2C" w:rsidRPr="006F0F86" w:rsidRDefault="00134B2C" w:rsidP="00FD47C7">
            <w:pPr>
              <w:rPr>
                <w:rFonts w:ascii="Calibri" w:hAnsi="Calibri"/>
                <w:sz w:val="18"/>
                <w:szCs w:val="18"/>
              </w:rPr>
            </w:pPr>
            <w:r w:rsidRPr="006F0F86">
              <w:rPr>
                <w:rFonts w:ascii="Calibri" w:hAnsi="Calibri"/>
                <w:sz w:val="18"/>
                <w:szCs w:val="18"/>
              </w:rPr>
              <w:t>C.1.1,ubijanie, 2×35 uderzeń</w:t>
            </w:r>
          </w:p>
        </w:tc>
        <w:tc>
          <w:tcPr>
            <w:tcW w:w="2551" w:type="dxa"/>
            <w:vAlign w:val="center"/>
          </w:tcPr>
          <w:p w:rsidR="00134B2C" w:rsidRPr="006F0F86" w:rsidRDefault="00134B2C" w:rsidP="00FD47C7">
            <w:pPr>
              <w:jc w:val="center"/>
              <w:rPr>
                <w:rFonts w:ascii="Calibri" w:hAnsi="Calibri"/>
                <w:sz w:val="18"/>
                <w:szCs w:val="18"/>
              </w:rPr>
            </w:pPr>
            <w:r w:rsidRPr="006F0F86">
              <w:rPr>
                <w:rFonts w:ascii="Calibri" w:hAnsi="Calibri"/>
                <w:sz w:val="18"/>
                <w:szCs w:val="18"/>
              </w:rPr>
              <w:t xml:space="preserve">PN-EN 12697-12 [35], przechowywanie w </w:t>
            </w:r>
            <w:smartTag w:uri="urn:schemas-microsoft-com:office:smarttags" w:element="metricconverter">
              <w:smartTagPr>
                <w:attr w:name="ProductID" w:val="40ﾰC"/>
              </w:smartTagPr>
              <w:r w:rsidRPr="006F0F86">
                <w:rPr>
                  <w:rFonts w:ascii="Calibri" w:hAnsi="Calibri"/>
                  <w:sz w:val="18"/>
                  <w:szCs w:val="18"/>
                </w:rPr>
                <w:t>40°C</w:t>
              </w:r>
            </w:smartTag>
            <w:r w:rsidRPr="006F0F86">
              <w:rPr>
                <w:rFonts w:ascii="Calibri" w:hAnsi="Calibri"/>
                <w:sz w:val="18"/>
                <w:szCs w:val="18"/>
              </w:rPr>
              <w:t xml:space="preserve"> z jednym cyklem zamrażania, </w:t>
            </w:r>
          </w:p>
          <w:p w:rsidR="00134B2C" w:rsidRPr="006F0F86" w:rsidRDefault="00134B2C" w:rsidP="00FD47C7">
            <w:pPr>
              <w:jc w:val="center"/>
              <w:rPr>
                <w:rFonts w:ascii="Calibri" w:hAnsi="Calibri"/>
                <w:sz w:val="18"/>
                <w:szCs w:val="18"/>
                <w:vertAlign w:val="superscript"/>
              </w:rPr>
            </w:pPr>
            <w:r w:rsidRPr="006F0F86">
              <w:rPr>
                <w:rFonts w:ascii="Calibri" w:hAnsi="Calibri"/>
                <w:sz w:val="18"/>
                <w:szCs w:val="18"/>
              </w:rPr>
              <w:t xml:space="preserve">badanie w </w:t>
            </w:r>
            <w:smartTag w:uri="urn:schemas-microsoft-com:office:smarttags" w:element="metricconverter">
              <w:smartTagPr>
                <w:attr w:name="ProductID" w:val="25ﾰC"/>
              </w:smartTagPr>
              <w:r w:rsidRPr="006F0F86">
                <w:rPr>
                  <w:rFonts w:ascii="Calibri" w:hAnsi="Calibri"/>
                  <w:sz w:val="18"/>
                  <w:szCs w:val="18"/>
                </w:rPr>
                <w:t>25°C</w:t>
              </w:r>
            </w:smartTag>
            <w:r w:rsidRPr="006F0F86">
              <w:rPr>
                <w:rFonts w:ascii="Calibri" w:hAnsi="Calibri"/>
                <w:sz w:val="18"/>
                <w:szCs w:val="18"/>
              </w:rPr>
              <w:t xml:space="preserve">  </w:t>
            </w:r>
            <w:r w:rsidRPr="006F0F86">
              <w:rPr>
                <w:rFonts w:ascii="Calibri" w:hAnsi="Calibri"/>
                <w:sz w:val="18"/>
                <w:szCs w:val="18"/>
                <w:vertAlign w:val="superscript"/>
              </w:rPr>
              <w:t>b)</w:t>
            </w:r>
          </w:p>
        </w:tc>
        <w:tc>
          <w:tcPr>
            <w:tcW w:w="993" w:type="dxa"/>
            <w:vAlign w:val="center"/>
          </w:tcPr>
          <w:p w:rsidR="00134B2C" w:rsidRPr="006F0F86" w:rsidRDefault="00134B2C" w:rsidP="00FD47C7">
            <w:pPr>
              <w:jc w:val="center"/>
              <w:rPr>
                <w:rFonts w:ascii="Calibri" w:hAnsi="Calibri"/>
                <w:sz w:val="18"/>
                <w:szCs w:val="18"/>
              </w:rPr>
            </w:pPr>
            <w:r w:rsidRPr="006F0F86">
              <w:rPr>
                <w:rFonts w:ascii="Calibri" w:hAnsi="Calibri"/>
                <w:i/>
                <w:sz w:val="18"/>
                <w:szCs w:val="18"/>
              </w:rPr>
              <w:t>ITSR</w:t>
            </w:r>
            <w:r w:rsidRPr="006F0F86">
              <w:rPr>
                <w:rFonts w:ascii="Calibri" w:hAnsi="Calibri"/>
                <w:sz w:val="18"/>
                <w:szCs w:val="18"/>
                <w:vertAlign w:val="subscript"/>
              </w:rPr>
              <w:t>90</w:t>
            </w:r>
          </w:p>
        </w:tc>
        <w:tc>
          <w:tcPr>
            <w:tcW w:w="992" w:type="dxa"/>
            <w:vAlign w:val="center"/>
          </w:tcPr>
          <w:p w:rsidR="00134B2C" w:rsidRPr="006F0F86" w:rsidRDefault="00134B2C" w:rsidP="00FD47C7">
            <w:pPr>
              <w:jc w:val="center"/>
              <w:rPr>
                <w:rFonts w:ascii="Calibri" w:hAnsi="Calibri"/>
                <w:sz w:val="18"/>
                <w:szCs w:val="18"/>
              </w:rPr>
            </w:pPr>
            <w:r w:rsidRPr="006F0F86">
              <w:rPr>
                <w:rFonts w:ascii="Calibri" w:hAnsi="Calibri"/>
                <w:i/>
                <w:sz w:val="18"/>
                <w:szCs w:val="18"/>
              </w:rPr>
              <w:t>ITSR</w:t>
            </w:r>
            <w:r w:rsidRPr="006F0F86">
              <w:rPr>
                <w:rFonts w:ascii="Calibri" w:hAnsi="Calibri"/>
                <w:sz w:val="18"/>
                <w:szCs w:val="18"/>
                <w:vertAlign w:val="subscript"/>
              </w:rPr>
              <w:t>90</w:t>
            </w:r>
          </w:p>
        </w:tc>
      </w:tr>
      <w:tr w:rsidR="00134B2C" w:rsidRPr="006F0F86" w:rsidTr="00FD47C7">
        <w:tblPrEx>
          <w:tblCellMar>
            <w:left w:w="70" w:type="dxa"/>
            <w:right w:w="70" w:type="dxa"/>
          </w:tblCellMar>
          <w:tblLook w:val="0000"/>
        </w:tblPrEx>
        <w:trPr>
          <w:trHeight w:val="514"/>
        </w:trPr>
        <w:tc>
          <w:tcPr>
            <w:tcW w:w="8015" w:type="dxa"/>
            <w:gridSpan w:val="5"/>
          </w:tcPr>
          <w:p w:rsidR="00134B2C" w:rsidRPr="00254A49" w:rsidRDefault="00134B2C" w:rsidP="00FD47C7">
            <w:pPr>
              <w:tabs>
                <w:tab w:val="left" w:pos="180"/>
              </w:tabs>
              <w:ind w:left="180" w:hanging="142"/>
              <w:rPr>
                <w:rFonts w:ascii="Calibri" w:hAnsi="Calibri"/>
                <w:i/>
                <w:sz w:val="18"/>
                <w:szCs w:val="18"/>
              </w:rPr>
            </w:pPr>
            <w:r w:rsidRPr="00254A49">
              <w:rPr>
                <w:rFonts w:ascii="Calibri" w:hAnsi="Calibri"/>
                <w:i/>
                <w:sz w:val="18"/>
                <w:szCs w:val="18"/>
                <w:vertAlign w:val="superscript"/>
              </w:rPr>
              <w:t>a)</w:t>
            </w:r>
            <w:r w:rsidRPr="00254A49">
              <w:rPr>
                <w:rFonts w:ascii="Calibri" w:hAnsi="Calibri"/>
                <w:i/>
                <w:sz w:val="18"/>
                <w:szCs w:val="18"/>
              </w:rPr>
              <w:tab/>
              <w:t>Grubość plyty: AC8, AC11  40mm.</w:t>
            </w:r>
          </w:p>
          <w:p w:rsidR="00134B2C" w:rsidRPr="006F0F86" w:rsidRDefault="00134B2C" w:rsidP="00FD47C7">
            <w:pPr>
              <w:tabs>
                <w:tab w:val="left" w:pos="180"/>
              </w:tabs>
              <w:ind w:left="180" w:hanging="142"/>
              <w:rPr>
                <w:rFonts w:ascii="Calibri" w:hAnsi="Calibri"/>
                <w:sz w:val="18"/>
                <w:szCs w:val="18"/>
              </w:rPr>
            </w:pPr>
            <w:r w:rsidRPr="00254A49">
              <w:rPr>
                <w:rFonts w:ascii="Calibri" w:hAnsi="Calibri"/>
                <w:i/>
                <w:sz w:val="18"/>
                <w:szCs w:val="18"/>
                <w:vertAlign w:val="superscript"/>
              </w:rPr>
              <w:t>b)</w:t>
            </w:r>
            <w:r w:rsidRPr="00254A49">
              <w:rPr>
                <w:rFonts w:ascii="Calibri" w:hAnsi="Calibri"/>
                <w:i/>
                <w:sz w:val="18"/>
                <w:szCs w:val="18"/>
              </w:rPr>
              <w:tab/>
              <w:t>Ujednoliconą procedurę badania odporności na działanie wody podano w WT-2 2010 [65] w załączniku 1.</w:t>
            </w:r>
          </w:p>
        </w:tc>
      </w:tr>
    </w:tbl>
    <w:p w:rsidR="00134B2C" w:rsidRPr="006F0F86" w:rsidRDefault="00134B2C" w:rsidP="00134B2C">
      <w:pPr>
        <w:rPr>
          <w:rFonts w:ascii="Calibri" w:hAnsi="Calibri"/>
        </w:rPr>
      </w:pPr>
    </w:p>
    <w:p w:rsidR="00254A49" w:rsidRDefault="00254A49" w:rsidP="00134B2C">
      <w:pPr>
        <w:rPr>
          <w:rFonts w:ascii="Calibri" w:hAnsi="Calibri"/>
          <w:b/>
        </w:rPr>
      </w:pPr>
    </w:p>
    <w:p w:rsidR="00134B2C" w:rsidRPr="006F0F86" w:rsidRDefault="00134B2C" w:rsidP="00134B2C">
      <w:pPr>
        <w:rPr>
          <w:rFonts w:ascii="Calibri" w:hAnsi="Calibri"/>
        </w:rPr>
      </w:pPr>
      <w:r w:rsidRPr="00EC730D">
        <w:rPr>
          <w:rFonts w:ascii="Calibri" w:hAnsi="Calibri"/>
          <w:b/>
        </w:rPr>
        <w:t>5.3.</w:t>
      </w:r>
      <w:r w:rsidRPr="006F0F86">
        <w:rPr>
          <w:rFonts w:ascii="Calibri" w:hAnsi="Calibri"/>
        </w:rPr>
        <w:t xml:space="preserve"> Wytwarzanie mieszanki mineralno-asfaltowej</w:t>
      </w:r>
    </w:p>
    <w:p w:rsidR="00134B2C" w:rsidRPr="006F0F86" w:rsidRDefault="00134B2C" w:rsidP="00134B2C">
      <w:pPr>
        <w:rPr>
          <w:rFonts w:ascii="Calibri" w:hAnsi="Calibri"/>
        </w:rPr>
      </w:pPr>
      <w:r w:rsidRPr="006F0F86">
        <w:rPr>
          <w:rFonts w:ascii="Calibri" w:hAnsi="Calibri"/>
        </w:rPr>
        <w:tab/>
        <w:t>Mieszankę mineralno-asfaltową należy wytwarzać na gorąco w otaczarce (zespole maszyn i urządzeń dozowania, podgrzewania i mieszania składników oraz przechowywania gotowej mieszanki).</w:t>
      </w:r>
    </w:p>
    <w:p w:rsidR="00134B2C" w:rsidRPr="006F0F86" w:rsidRDefault="00134B2C" w:rsidP="00134B2C">
      <w:pPr>
        <w:rPr>
          <w:rFonts w:ascii="Calibri" w:hAnsi="Calibri"/>
        </w:rPr>
      </w:pPr>
      <w:r w:rsidRPr="006F0F86">
        <w:rPr>
          <w:rFonts w:ascii="Calibri" w:hAnsi="Calibri"/>
        </w:rPr>
        <w:lastRenderedPageBreak/>
        <w:tab/>
        <w:t>Dozowanie składników mieszanki mineralno-asfaltowej w otaczarkach, w tym także wstępne, powinno być zautomatyzowane i zgodne z receptą roboczą, a urządzenia do dozowania składników oraz pomiaru temperatury powinny być okresowo sprawdzane. Kruszywo o różnym uziarnieniu lub pochodzeniu należy dodawać odmierzone oddzielnie.</w:t>
      </w:r>
    </w:p>
    <w:p w:rsidR="00134B2C" w:rsidRPr="006F0F86" w:rsidRDefault="00134B2C" w:rsidP="00134B2C">
      <w:pPr>
        <w:rPr>
          <w:rFonts w:ascii="Calibri" w:hAnsi="Calibri"/>
        </w:rPr>
      </w:pPr>
      <w:r w:rsidRPr="006F0F86">
        <w:rPr>
          <w:rFonts w:ascii="Calibri" w:hAnsi="Calibri"/>
        </w:rPr>
        <w:tab/>
        <w:t xml:space="preserve">Lepiszcze asfaltowe należy przechowywać w zbiorniku z pośrednim systemem ogrzewania, z układem termostatowania zapewniającym utrzymanie żądanej temperatury z dokładnością ± </w:t>
      </w:r>
      <w:smartTag w:uri="urn:schemas-microsoft-com:office:smarttags" w:element="metricconverter">
        <w:smartTagPr>
          <w:attr w:name="ProductID" w:val="5ﾰC"/>
        </w:smartTagPr>
        <w:r w:rsidRPr="006F0F86">
          <w:rPr>
            <w:rFonts w:ascii="Calibri" w:hAnsi="Calibri"/>
          </w:rPr>
          <w:t>5°C</w:t>
        </w:r>
      </w:smartTag>
      <w:r w:rsidRPr="006F0F86">
        <w:rPr>
          <w:rFonts w:ascii="Calibri" w:hAnsi="Calibri"/>
        </w:rPr>
        <w:t xml:space="preserve">. Temperatura lepiszcza asfaltowego w zbiorniku magazynowym (roboczym) nie może przekraczać </w:t>
      </w:r>
      <w:smartTag w:uri="urn:schemas-microsoft-com:office:smarttags" w:element="metricconverter">
        <w:smartTagPr>
          <w:attr w:name="ProductID" w:val="180ﾰC"/>
        </w:smartTagPr>
        <w:r w:rsidRPr="006F0F86">
          <w:rPr>
            <w:rFonts w:ascii="Calibri" w:hAnsi="Calibri"/>
          </w:rPr>
          <w:t>180°C</w:t>
        </w:r>
      </w:smartTag>
      <w:r w:rsidRPr="006F0F86">
        <w:rPr>
          <w:rFonts w:ascii="Calibri" w:hAnsi="Calibri"/>
        </w:rPr>
        <w:t xml:space="preserve"> dla asfaltu drogowego 50/70 i 70/100 i polimeroasfaltu drogowego 45/80-55 i 45/80-65.</w:t>
      </w:r>
      <w:r w:rsidRPr="006F0F86">
        <w:rPr>
          <w:rFonts w:ascii="Calibri" w:hAnsi="Calibri"/>
        </w:rPr>
        <w:tab/>
      </w:r>
    </w:p>
    <w:p w:rsidR="00134B2C" w:rsidRPr="006F0F86" w:rsidRDefault="00134B2C" w:rsidP="00134B2C">
      <w:pPr>
        <w:rPr>
          <w:rFonts w:ascii="Calibri" w:hAnsi="Calibri"/>
        </w:rPr>
      </w:pPr>
      <w:r w:rsidRPr="006F0F86">
        <w:rPr>
          <w:rFonts w:ascii="Calibri" w:hAnsi="Calibri"/>
        </w:rPr>
        <w:t>Kruszywo (ewentualnie z wypełniaczem) powinno być wysuszone i podgrzane tak, aby mieszanka mineralna uzyskała temperaturę właściwą do otoczenia lepiszczem asfaltowym. Temperatura mieszanki mineralnej nie powinna być wyższa o więcej niż 30oC od najwyższej temperatury mieszanki mineralno-asfaltowej podanej w tablicy 10. W tej tablicy najniższa temperatura dotyczy mieszanki mineralno-asfaltowej dostarczonej na miejsce wbudowania, a najwyższa temperatura dotyczy mieszanki mineralno-asfaltowej bezpośrednio po wytworzeniu w wytwórni.</w:t>
      </w:r>
    </w:p>
    <w:p w:rsidR="00134B2C" w:rsidRPr="006F0F86" w:rsidRDefault="00134B2C" w:rsidP="00134B2C">
      <w:pPr>
        <w:rPr>
          <w:rFonts w:ascii="Calibri" w:hAnsi="Calibri"/>
        </w:rPr>
      </w:pPr>
    </w:p>
    <w:p w:rsidR="00134B2C" w:rsidRPr="006F0F86" w:rsidRDefault="00134B2C" w:rsidP="00134B2C">
      <w:pPr>
        <w:ind w:left="709"/>
        <w:rPr>
          <w:rFonts w:ascii="Calibri" w:hAnsi="Calibri"/>
        </w:rPr>
      </w:pPr>
      <w:r w:rsidRPr="006F0F86">
        <w:rPr>
          <w:rFonts w:ascii="Calibri" w:hAnsi="Calibri"/>
        </w:rPr>
        <w:t>Tablica 10. Najwyższa i najniższa temperatura mieszanki AC [65]</w:t>
      </w:r>
    </w:p>
    <w:tbl>
      <w:tblPr>
        <w:tblW w:w="0" w:type="auto"/>
        <w:tblInd w:w="81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tblPr>
      <w:tblGrid>
        <w:gridCol w:w="2371"/>
        <w:gridCol w:w="2590"/>
      </w:tblGrid>
      <w:tr w:rsidR="00134B2C" w:rsidRPr="006F0F86" w:rsidTr="00FD47C7">
        <w:tc>
          <w:tcPr>
            <w:tcW w:w="2371" w:type="dxa"/>
          </w:tcPr>
          <w:p w:rsidR="00134B2C" w:rsidRPr="006F0F86" w:rsidRDefault="00134B2C" w:rsidP="00FD47C7">
            <w:pPr>
              <w:spacing w:before="60" w:after="60"/>
              <w:jc w:val="center"/>
              <w:rPr>
                <w:rFonts w:ascii="Calibri" w:hAnsi="Calibri"/>
                <w:sz w:val="18"/>
                <w:szCs w:val="18"/>
              </w:rPr>
            </w:pPr>
            <w:r w:rsidRPr="006F0F86">
              <w:rPr>
                <w:rFonts w:ascii="Calibri" w:hAnsi="Calibri"/>
                <w:sz w:val="18"/>
                <w:szCs w:val="18"/>
              </w:rPr>
              <w:t>Lepiszcze asfaltowe</w:t>
            </w:r>
          </w:p>
        </w:tc>
        <w:tc>
          <w:tcPr>
            <w:tcW w:w="2590" w:type="dxa"/>
          </w:tcPr>
          <w:p w:rsidR="00134B2C" w:rsidRPr="006F0F86" w:rsidRDefault="00134B2C" w:rsidP="00FD47C7">
            <w:pPr>
              <w:spacing w:before="60" w:after="60"/>
              <w:jc w:val="center"/>
              <w:rPr>
                <w:rFonts w:ascii="Calibri" w:hAnsi="Calibri"/>
                <w:sz w:val="18"/>
                <w:szCs w:val="18"/>
              </w:rPr>
            </w:pPr>
            <w:r w:rsidRPr="006F0F86">
              <w:rPr>
                <w:rFonts w:ascii="Calibri" w:hAnsi="Calibri"/>
                <w:sz w:val="18"/>
                <w:szCs w:val="18"/>
              </w:rPr>
              <w:t>Temperatura mieszanki [°C]</w:t>
            </w:r>
          </w:p>
        </w:tc>
      </w:tr>
      <w:tr w:rsidR="00134B2C" w:rsidRPr="006F0F86" w:rsidTr="00FD47C7">
        <w:tc>
          <w:tcPr>
            <w:tcW w:w="2371" w:type="dxa"/>
          </w:tcPr>
          <w:p w:rsidR="00134B2C" w:rsidRPr="006F0F86" w:rsidRDefault="00134B2C" w:rsidP="00FD47C7">
            <w:pPr>
              <w:spacing w:before="60"/>
              <w:rPr>
                <w:rFonts w:ascii="Calibri" w:hAnsi="Calibri"/>
                <w:sz w:val="18"/>
                <w:szCs w:val="18"/>
              </w:rPr>
            </w:pPr>
            <w:r w:rsidRPr="006F0F86">
              <w:rPr>
                <w:rFonts w:ascii="Calibri" w:hAnsi="Calibri"/>
                <w:sz w:val="18"/>
                <w:szCs w:val="18"/>
              </w:rPr>
              <w:t>Asfalt 50/70</w:t>
            </w:r>
          </w:p>
          <w:p w:rsidR="00134B2C" w:rsidRPr="006F0F86" w:rsidRDefault="00134B2C" w:rsidP="00FD47C7">
            <w:pPr>
              <w:spacing w:before="60"/>
              <w:rPr>
                <w:rFonts w:ascii="Calibri" w:hAnsi="Calibri"/>
                <w:sz w:val="18"/>
                <w:szCs w:val="18"/>
              </w:rPr>
            </w:pPr>
            <w:r w:rsidRPr="006F0F86">
              <w:rPr>
                <w:rFonts w:ascii="Calibri" w:hAnsi="Calibri"/>
                <w:sz w:val="18"/>
                <w:szCs w:val="18"/>
              </w:rPr>
              <w:t>Asfalt 70/100</w:t>
            </w:r>
          </w:p>
          <w:p w:rsidR="00134B2C" w:rsidRPr="006F0F86" w:rsidRDefault="00134B2C" w:rsidP="00FD47C7">
            <w:pPr>
              <w:tabs>
                <w:tab w:val="left" w:pos="1500"/>
                <w:tab w:val="left" w:pos="1600"/>
              </w:tabs>
              <w:spacing w:before="60"/>
              <w:rPr>
                <w:rFonts w:ascii="Calibri" w:hAnsi="Calibri"/>
                <w:sz w:val="18"/>
                <w:szCs w:val="18"/>
              </w:rPr>
            </w:pPr>
            <w:r w:rsidRPr="006F0F86">
              <w:rPr>
                <w:rFonts w:ascii="Calibri" w:hAnsi="Calibri"/>
                <w:sz w:val="18"/>
                <w:szCs w:val="18"/>
              </w:rPr>
              <w:t>Wielorodzajowy-35/50 Wielorodzajowy-50/70</w:t>
            </w:r>
          </w:p>
          <w:p w:rsidR="00134B2C" w:rsidRPr="006F0F86" w:rsidRDefault="00134B2C" w:rsidP="00FD47C7">
            <w:pPr>
              <w:spacing w:before="60"/>
              <w:rPr>
                <w:rFonts w:ascii="Calibri" w:hAnsi="Calibri"/>
                <w:sz w:val="18"/>
                <w:szCs w:val="18"/>
              </w:rPr>
            </w:pPr>
            <w:r w:rsidRPr="006F0F86">
              <w:rPr>
                <w:rFonts w:ascii="Calibri" w:hAnsi="Calibri"/>
                <w:sz w:val="18"/>
                <w:szCs w:val="18"/>
              </w:rPr>
              <w:t>PMB 45/80-55</w:t>
            </w:r>
          </w:p>
          <w:p w:rsidR="00134B2C" w:rsidRPr="006F0F86" w:rsidRDefault="00134B2C" w:rsidP="00FD47C7">
            <w:pPr>
              <w:spacing w:before="60"/>
              <w:rPr>
                <w:rFonts w:ascii="Calibri" w:hAnsi="Calibri"/>
                <w:sz w:val="18"/>
                <w:szCs w:val="18"/>
                <w:lang w:val="en-US"/>
              </w:rPr>
            </w:pPr>
            <w:r w:rsidRPr="006F0F86">
              <w:rPr>
                <w:rFonts w:ascii="Calibri" w:hAnsi="Calibri"/>
                <w:sz w:val="18"/>
                <w:szCs w:val="18"/>
                <w:lang w:val="en-US"/>
              </w:rPr>
              <w:t>PMB 45/80-65</w:t>
            </w:r>
          </w:p>
        </w:tc>
        <w:tc>
          <w:tcPr>
            <w:tcW w:w="2590" w:type="dxa"/>
          </w:tcPr>
          <w:p w:rsidR="00134B2C" w:rsidRPr="006F0F86" w:rsidRDefault="00134B2C" w:rsidP="00FD47C7">
            <w:pPr>
              <w:spacing w:before="60"/>
              <w:jc w:val="center"/>
              <w:rPr>
                <w:rFonts w:ascii="Calibri" w:hAnsi="Calibri"/>
                <w:sz w:val="18"/>
                <w:szCs w:val="18"/>
              </w:rPr>
            </w:pPr>
            <w:r w:rsidRPr="006F0F86">
              <w:rPr>
                <w:rFonts w:ascii="Calibri" w:hAnsi="Calibri"/>
                <w:sz w:val="18"/>
                <w:szCs w:val="18"/>
              </w:rPr>
              <w:t>od 140 do 180</w:t>
            </w:r>
          </w:p>
          <w:p w:rsidR="00134B2C" w:rsidRPr="006F0F86" w:rsidRDefault="00134B2C" w:rsidP="00FD47C7">
            <w:pPr>
              <w:spacing w:before="60"/>
              <w:jc w:val="center"/>
              <w:rPr>
                <w:rFonts w:ascii="Calibri" w:hAnsi="Calibri"/>
                <w:sz w:val="18"/>
                <w:szCs w:val="18"/>
              </w:rPr>
            </w:pPr>
            <w:r w:rsidRPr="006F0F86">
              <w:rPr>
                <w:rFonts w:ascii="Calibri" w:hAnsi="Calibri"/>
                <w:sz w:val="18"/>
                <w:szCs w:val="18"/>
              </w:rPr>
              <w:t>od 140 do 180</w:t>
            </w:r>
          </w:p>
          <w:p w:rsidR="00134B2C" w:rsidRPr="006F0F86" w:rsidRDefault="00134B2C" w:rsidP="00FD47C7">
            <w:pPr>
              <w:spacing w:before="60"/>
              <w:jc w:val="center"/>
              <w:rPr>
                <w:rFonts w:ascii="Calibri" w:hAnsi="Calibri"/>
                <w:sz w:val="18"/>
                <w:szCs w:val="18"/>
              </w:rPr>
            </w:pPr>
            <w:r w:rsidRPr="006F0F86">
              <w:rPr>
                <w:rFonts w:ascii="Calibri" w:hAnsi="Calibri"/>
                <w:sz w:val="18"/>
                <w:szCs w:val="18"/>
              </w:rPr>
              <w:t>od 155 do 195</w:t>
            </w:r>
          </w:p>
          <w:p w:rsidR="00134B2C" w:rsidRPr="006F0F86" w:rsidRDefault="00134B2C" w:rsidP="00FD47C7">
            <w:pPr>
              <w:spacing w:before="60"/>
              <w:jc w:val="center"/>
              <w:rPr>
                <w:rFonts w:ascii="Calibri" w:hAnsi="Calibri"/>
                <w:sz w:val="18"/>
                <w:szCs w:val="18"/>
              </w:rPr>
            </w:pPr>
            <w:r w:rsidRPr="006F0F86">
              <w:rPr>
                <w:rFonts w:ascii="Calibri" w:hAnsi="Calibri"/>
                <w:sz w:val="18"/>
                <w:szCs w:val="18"/>
              </w:rPr>
              <w:t>od 140 do 180</w:t>
            </w:r>
          </w:p>
          <w:p w:rsidR="00134B2C" w:rsidRPr="006F0F86" w:rsidRDefault="00134B2C" w:rsidP="00FD47C7">
            <w:pPr>
              <w:spacing w:before="60"/>
              <w:jc w:val="center"/>
              <w:rPr>
                <w:rFonts w:ascii="Calibri" w:hAnsi="Calibri"/>
                <w:sz w:val="18"/>
                <w:szCs w:val="18"/>
              </w:rPr>
            </w:pPr>
            <w:r w:rsidRPr="006F0F86">
              <w:rPr>
                <w:rFonts w:ascii="Calibri" w:hAnsi="Calibri"/>
                <w:sz w:val="18"/>
                <w:szCs w:val="18"/>
              </w:rPr>
              <w:t>od 130 do 180</w:t>
            </w:r>
          </w:p>
          <w:p w:rsidR="00134B2C" w:rsidRPr="006F0F86" w:rsidRDefault="00134B2C" w:rsidP="00FD47C7">
            <w:pPr>
              <w:spacing w:before="60"/>
              <w:jc w:val="center"/>
              <w:rPr>
                <w:rFonts w:ascii="Calibri" w:hAnsi="Calibri"/>
                <w:sz w:val="18"/>
                <w:szCs w:val="18"/>
              </w:rPr>
            </w:pPr>
            <w:r w:rsidRPr="006F0F86">
              <w:rPr>
                <w:rFonts w:ascii="Calibri" w:hAnsi="Calibri"/>
                <w:sz w:val="18"/>
                <w:szCs w:val="18"/>
              </w:rPr>
              <w:t>od 130 do 180</w:t>
            </w:r>
          </w:p>
        </w:tc>
      </w:tr>
    </w:tbl>
    <w:p w:rsidR="00134B2C" w:rsidRPr="006F0F86" w:rsidRDefault="00134B2C" w:rsidP="00134B2C">
      <w:pPr>
        <w:rPr>
          <w:rFonts w:ascii="Calibri" w:hAnsi="Calibri"/>
        </w:rPr>
      </w:pPr>
    </w:p>
    <w:p w:rsidR="00134B2C" w:rsidRPr="006F0F86" w:rsidRDefault="00134B2C" w:rsidP="00134B2C">
      <w:pPr>
        <w:rPr>
          <w:rFonts w:ascii="Calibri" w:hAnsi="Calibri"/>
        </w:rPr>
      </w:pPr>
      <w:r w:rsidRPr="006F0F86">
        <w:rPr>
          <w:rFonts w:ascii="Calibri" w:hAnsi="Calibri"/>
        </w:rPr>
        <w:tab/>
        <w:t>Sposób i czas mieszania składników mieszanki mineralno-asfaltowej powinny zapewnić równomierne otoczenie kruszywa lepiszczem asfaltowym.</w:t>
      </w:r>
    </w:p>
    <w:p w:rsidR="00134B2C" w:rsidRPr="006F0F86" w:rsidRDefault="00134B2C" w:rsidP="00134B2C">
      <w:pPr>
        <w:rPr>
          <w:rFonts w:ascii="Calibri" w:hAnsi="Calibri"/>
        </w:rPr>
      </w:pPr>
      <w:r w:rsidRPr="006F0F86">
        <w:rPr>
          <w:rFonts w:ascii="Calibri" w:hAnsi="Calibri"/>
        </w:rPr>
        <w:tab/>
        <w:t>Dopuszcza się dostawy mieszanek mineralno-asfaltowych z kilku wytwórni, pod warunkiem skoordynowania między sobą deklarowanych przydatności mieszanek (m.in.: typ, rodzaj składników, właściwości objętościowe) z zachowaniem braku różnic w ich właściwościach.</w:t>
      </w:r>
    </w:p>
    <w:p w:rsidR="00134B2C" w:rsidRPr="006F0F86" w:rsidRDefault="00134B2C" w:rsidP="00134B2C">
      <w:pPr>
        <w:rPr>
          <w:rFonts w:ascii="Calibri" w:hAnsi="Calibri"/>
        </w:rPr>
      </w:pPr>
      <w:r w:rsidRPr="00EC730D">
        <w:rPr>
          <w:rFonts w:ascii="Calibri" w:hAnsi="Calibri"/>
          <w:b/>
        </w:rPr>
        <w:t>5.4.</w:t>
      </w:r>
      <w:r w:rsidRPr="006F0F86">
        <w:rPr>
          <w:rFonts w:ascii="Calibri" w:hAnsi="Calibri"/>
        </w:rPr>
        <w:t xml:space="preserve"> Przygotowanie podłoża</w:t>
      </w:r>
    </w:p>
    <w:p w:rsidR="00134B2C" w:rsidRPr="006F0F86" w:rsidRDefault="00134B2C" w:rsidP="00134B2C">
      <w:pPr>
        <w:rPr>
          <w:rFonts w:ascii="Calibri" w:hAnsi="Calibri"/>
        </w:rPr>
      </w:pPr>
      <w:r w:rsidRPr="006F0F86">
        <w:rPr>
          <w:rFonts w:ascii="Calibri" w:hAnsi="Calibri"/>
        </w:rPr>
        <w:tab/>
        <w:t>Podłoże (warstwa wyrównawcza, warstwa wiążąca lub stara warstwa ścieralna) pod warstwę ścieralną z betonu asfaltowego powinno być na całej powierzchni:</w:t>
      </w:r>
    </w:p>
    <w:p w:rsidR="00134B2C" w:rsidRPr="006F0F86" w:rsidRDefault="00134B2C" w:rsidP="00134B2C">
      <w:pPr>
        <w:rPr>
          <w:rFonts w:ascii="Calibri" w:hAnsi="Calibri"/>
        </w:rPr>
      </w:pPr>
      <w:r>
        <w:rPr>
          <w:rFonts w:ascii="Calibri" w:hAnsi="Calibri"/>
        </w:rPr>
        <w:t>-</w:t>
      </w:r>
      <w:r w:rsidRPr="006F0F86">
        <w:rPr>
          <w:rFonts w:ascii="Calibri" w:hAnsi="Calibri"/>
        </w:rPr>
        <w:t>ustabilizowane i nośne,</w:t>
      </w:r>
    </w:p>
    <w:p w:rsidR="00134B2C" w:rsidRPr="006F0F86" w:rsidRDefault="00134B2C" w:rsidP="00134B2C">
      <w:pPr>
        <w:rPr>
          <w:rFonts w:ascii="Calibri" w:hAnsi="Calibri"/>
        </w:rPr>
      </w:pPr>
      <w:r>
        <w:rPr>
          <w:rFonts w:ascii="Calibri" w:hAnsi="Calibri"/>
        </w:rPr>
        <w:t>-</w:t>
      </w:r>
      <w:r w:rsidRPr="006F0F86">
        <w:rPr>
          <w:rFonts w:ascii="Calibri" w:hAnsi="Calibri"/>
        </w:rPr>
        <w:t>czyste, bez zanieczyszczenia lub pozostałości luźnego kruszywa,</w:t>
      </w:r>
    </w:p>
    <w:p w:rsidR="00134B2C" w:rsidRPr="006F0F86" w:rsidRDefault="00134B2C" w:rsidP="00134B2C">
      <w:pPr>
        <w:rPr>
          <w:rFonts w:ascii="Calibri" w:hAnsi="Calibri"/>
        </w:rPr>
      </w:pPr>
      <w:r>
        <w:rPr>
          <w:rFonts w:ascii="Calibri" w:hAnsi="Calibri"/>
        </w:rPr>
        <w:t>-</w:t>
      </w:r>
      <w:r w:rsidRPr="006F0F86">
        <w:rPr>
          <w:rFonts w:ascii="Calibri" w:hAnsi="Calibri"/>
        </w:rPr>
        <w:t>wyprofilowane, równe i bez kolein,</w:t>
      </w:r>
    </w:p>
    <w:p w:rsidR="00134B2C" w:rsidRPr="006F0F86" w:rsidRDefault="00134B2C" w:rsidP="00134B2C">
      <w:pPr>
        <w:rPr>
          <w:rFonts w:ascii="Calibri" w:hAnsi="Calibri"/>
        </w:rPr>
      </w:pPr>
      <w:r>
        <w:rPr>
          <w:rFonts w:ascii="Calibri" w:hAnsi="Calibri"/>
        </w:rPr>
        <w:t>-</w:t>
      </w:r>
      <w:r w:rsidRPr="006F0F86">
        <w:rPr>
          <w:rFonts w:ascii="Calibri" w:hAnsi="Calibri"/>
        </w:rPr>
        <w:t>suche.</w:t>
      </w:r>
    </w:p>
    <w:p w:rsidR="00134B2C" w:rsidRPr="006F0F86" w:rsidRDefault="00134B2C" w:rsidP="00134B2C">
      <w:pPr>
        <w:rPr>
          <w:rFonts w:ascii="Calibri" w:hAnsi="Calibri"/>
        </w:rPr>
      </w:pPr>
      <w:r w:rsidRPr="006F0F86">
        <w:rPr>
          <w:rFonts w:ascii="Calibri" w:hAnsi="Calibri"/>
        </w:rPr>
        <w:t>Wymagana równość podłużna jest określona w rozporządzeniu dotyczącym warunków technicznych, jakim powinny odpowiadać drogi publiczne [67]. W wypadku podłoża z warstwy starej nawierzchni, nierówności nie powinny przekraczać wartości podanych w tablicy 11.</w:t>
      </w:r>
    </w:p>
    <w:p w:rsidR="00134B2C" w:rsidRPr="006F0F86" w:rsidRDefault="00134B2C" w:rsidP="00134B2C">
      <w:pPr>
        <w:rPr>
          <w:rFonts w:ascii="Calibri" w:hAnsi="Calibri"/>
        </w:rPr>
      </w:pPr>
    </w:p>
    <w:p w:rsidR="00134B2C" w:rsidRPr="006F0F86" w:rsidRDefault="00134B2C" w:rsidP="00134B2C">
      <w:pPr>
        <w:ind w:left="709"/>
        <w:rPr>
          <w:rFonts w:ascii="Calibri" w:hAnsi="Calibri"/>
        </w:rPr>
      </w:pPr>
      <w:r w:rsidRPr="006F0F86">
        <w:rPr>
          <w:rFonts w:ascii="Calibri" w:hAnsi="Calibri"/>
        </w:rPr>
        <w:t xml:space="preserve">Tablica 11. Maksymalne nierówności podłoża z warstwy starej nawierzchni pod warstwy asfaltowe (pomiar łatą 4-metrową lub równoważną metodą) </w:t>
      </w:r>
    </w:p>
    <w:tbl>
      <w:tblPr>
        <w:tblW w:w="0" w:type="auto"/>
        <w:tblInd w:w="81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tblPr>
      <w:tblGrid>
        <w:gridCol w:w="1242"/>
        <w:gridCol w:w="3969"/>
        <w:gridCol w:w="2300"/>
      </w:tblGrid>
      <w:tr w:rsidR="00134B2C" w:rsidRPr="00EC730D" w:rsidTr="00FD47C7">
        <w:tc>
          <w:tcPr>
            <w:tcW w:w="1242" w:type="dxa"/>
          </w:tcPr>
          <w:p w:rsidR="00134B2C" w:rsidRPr="00EC730D" w:rsidRDefault="00134B2C" w:rsidP="00FD47C7">
            <w:pPr>
              <w:jc w:val="center"/>
              <w:rPr>
                <w:rFonts w:ascii="Calibri" w:hAnsi="Calibri"/>
                <w:sz w:val="18"/>
                <w:szCs w:val="18"/>
              </w:rPr>
            </w:pPr>
          </w:p>
          <w:p w:rsidR="00134B2C" w:rsidRPr="00EC730D" w:rsidRDefault="00134B2C" w:rsidP="00FD47C7">
            <w:pPr>
              <w:jc w:val="center"/>
              <w:rPr>
                <w:rFonts w:ascii="Calibri" w:hAnsi="Calibri"/>
                <w:sz w:val="18"/>
                <w:szCs w:val="18"/>
              </w:rPr>
            </w:pPr>
            <w:r w:rsidRPr="00EC730D">
              <w:rPr>
                <w:rFonts w:ascii="Calibri" w:hAnsi="Calibri"/>
                <w:sz w:val="18"/>
                <w:szCs w:val="18"/>
              </w:rPr>
              <w:t>Klasa drogi</w:t>
            </w:r>
          </w:p>
        </w:tc>
        <w:tc>
          <w:tcPr>
            <w:tcW w:w="3969" w:type="dxa"/>
          </w:tcPr>
          <w:p w:rsidR="00134B2C" w:rsidRPr="00EC730D" w:rsidRDefault="00134B2C" w:rsidP="00FD47C7">
            <w:pPr>
              <w:jc w:val="center"/>
              <w:rPr>
                <w:rFonts w:ascii="Calibri" w:hAnsi="Calibri"/>
                <w:sz w:val="18"/>
                <w:szCs w:val="18"/>
              </w:rPr>
            </w:pPr>
          </w:p>
          <w:p w:rsidR="00134B2C" w:rsidRPr="00EC730D" w:rsidRDefault="00134B2C" w:rsidP="00FD47C7">
            <w:pPr>
              <w:jc w:val="center"/>
              <w:rPr>
                <w:rFonts w:ascii="Calibri" w:hAnsi="Calibri"/>
                <w:sz w:val="18"/>
                <w:szCs w:val="18"/>
              </w:rPr>
            </w:pPr>
            <w:r w:rsidRPr="00EC730D">
              <w:rPr>
                <w:rFonts w:ascii="Calibri" w:hAnsi="Calibri"/>
                <w:sz w:val="18"/>
                <w:szCs w:val="18"/>
              </w:rPr>
              <w:t>Element nawierzchni</w:t>
            </w:r>
          </w:p>
        </w:tc>
        <w:tc>
          <w:tcPr>
            <w:tcW w:w="2300" w:type="dxa"/>
          </w:tcPr>
          <w:p w:rsidR="00134B2C" w:rsidRPr="00EC730D" w:rsidRDefault="00134B2C" w:rsidP="00FD47C7">
            <w:pPr>
              <w:jc w:val="center"/>
              <w:rPr>
                <w:rFonts w:ascii="Calibri" w:hAnsi="Calibri"/>
                <w:sz w:val="18"/>
                <w:szCs w:val="18"/>
              </w:rPr>
            </w:pPr>
            <w:r w:rsidRPr="00EC730D">
              <w:rPr>
                <w:rFonts w:ascii="Calibri" w:hAnsi="Calibri"/>
                <w:sz w:val="18"/>
                <w:szCs w:val="18"/>
              </w:rPr>
              <w:t>Maksymalna nierówność podłoża pod warstwę ścieralną [mm]</w:t>
            </w:r>
          </w:p>
        </w:tc>
      </w:tr>
      <w:tr w:rsidR="00134B2C" w:rsidRPr="00EC730D" w:rsidTr="00FD47C7">
        <w:tc>
          <w:tcPr>
            <w:tcW w:w="1242" w:type="dxa"/>
            <w:tcBorders>
              <w:bottom w:val="nil"/>
            </w:tcBorders>
          </w:tcPr>
          <w:p w:rsidR="00134B2C" w:rsidRPr="00EC730D" w:rsidRDefault="00134B2C" w:rsidP="00FD47C7">
            <w:pPr>
              <w:jc w:val="center"/>
              <w:rPr>
                <w:rFonts w:ascii="Calibri" w:hAnsi="Calibri"/>
                <w:sz w:val="18"/>
                <w:szCs w:val="18"/>
              </w:rPr>
            </w:pPr>
            <w:r w:rsidRPr="00EC730D">
              <w:rPr>
                <w:rFonts w:ascii="Calibri" w:hAnsi="Calibri"/>
                <w:sz w:val="18"/>
                <w:szCs w:val="18"/>
              </w:rPr>
              <w:t>A, S,</w:t>
            </w:r>
          </w:p>
        </w:tc>
        <w:tc>
          <w:tcPr>
            <w:tcW w:w="3969" w:type="dxa"/>
          </w:tcPr>
          <w:p w:rsidR="00134B2C" w:rsidRPr="00EC730D" w:rsidRDefault="00134B2C" w:rsidP="00FD47C7">
            <w:pPr>
              <w:rPr>
                <w:rFonts w:ascii="Calibri" w:hAnsi="Calibri"/>
                <w:sz w:val="18"/>
                <w:szCs w:val="18"/>
              </w:rPr>
            </w:pPr>
            <w:r w:rsidRPr="00EC730D">
              <w:rPr>
                <w:rFonts w:ascii="Calibri" w:hAnsi="Calibri"/>
                <w:sz w:val="18"/>
                <w:szCs w:val="18"/>
              </w:rPr>
              <w:t>Pasy: ruchu, awaryjne, dodatkowe, włączania i wyłączania</w:t>
            </w:r>
          </w:p>
        </w:tc>
        <w:tc>
          <w:tcPr>
            <w:tcW w:w="2300" w:type="dxa"/>
          </w:tcPr>
          <w:p w:rsidR="00134B2C" w:rsidRPr="00EC730D" w:rsidRDefault="00134B2C" w:rsidP="00FD47C7">
            <w:pPr>
              <w:spacing w:before="120"/>
              <w:jc w:val="center"/>
              <w:rPr>
                <w:rFonts w:ascii="Calibri" w:hAnsi="Calibri"/>
                <w:sz w:val="18"/>
                <w:szCs w:val="18"/>
              </w:rPr>
            </w:pPr>
            <w:r w:rsidRPr="00EC730D">
              <w:rPr>
                <w:rFonts w:ascii="Calibri" w:hAnsi="Calibri"/>
                <w:sz w:val="18"/>
                <w:szCs w:val="18"/>
              </w:rPr>
              <w:t>6</w:t>
            </w:r>
          </w:p>
        </w:tc>
      </w:tr>
      <w:tr w:rsidR="00134B2C" w:rsidRPr="00EC730D" w:rsidTr="00FD47C7">
        <w:tc>
          <w:tcPr>
            <w:tcW w:w="1242" w:type="dxa"/>
            <w:tcBorders>
              <w:top w:val="nil"/>
            </w:tcBorders>
          </w:tcPr>
          <w:p w:rsidR="00134B2C" w:rsidRPr="00EC730D" w:rsidRDefault="00134B2C" w:rsidP="00FD47C7">
            <w:pPr>
              <w:jc w:val="center"/>
              <w:rPr>
                <w:rFonts w:ascii="Calibri" w:hAnsi="Calibri"/>
                <w:sz w:val="18"/>
                <w:szCs w:val="18"/>
              </w:rPr>
            </w:pPr>
            <w:r w:rsidRPr="00EC730D">
              <w:rPr>
                <w:rFonts w:ascii="Calibri" w:hAnsi="Calibri"/>
                <w:sz w:val="18"/>
                <w:szCs w:val="18"/>
              </w:rPr>
              <w:t>GP</w:t>
            </w:r>
          </w:p>
        </w:tc>
        <w:tc>
          <w:tcPr>
            <w:tcW w:w="3969" w:type="dxa"/>
          </w:tcPr>
          <w:p w:rsidR="00134B2C" w:rsidRPr="00EC730D" w:rsidRDefault="00134B2C" w:rsidP="00FD47C7">
            <w:pPr>
              <w:rPr>
                <w:rFonts w:ascii="Calibri" w:hAnsi="Calibri"/>
                <w:sz w:val="18"/>
                <w:szCs w:val="18"/>
              </w:rPr>
            </w:pPr>
            <w:r w:rsidRPr="00EC730D">
              <w:rPr>
                <w:rFonts w:ascii="Calibri" w:hAnsi="Calibri"/>
                <w:sz w:val="18"/>
                <w:szCs w:val="18"/>
              </w:rPr>
              <w:t>Jezdnie łącznic, jezdnie MOP, utwardzone pobocza</w:t>
            </w:r>
          </w:p>
        </w:tc>
        <w:tc>
          <w:tcPr>
            <w:tcW w:w="2300" w:type="dxa"/>
          </w:tcPr>
          <w:p w:rsidR="00134B2C" w:rsidRPr="00EC730D" w:rsidRDefault="00134B2C" w:rsidP="00FD47C7">
            <w:pPr>
              <w:spacing w:before="120"/>
              <w:jc w:val="center"/>
              <w:rPr>
                <w:rFonts w:ascii="Calibri" w:hAnsi="Calibri"/>
                <w:sz w:val="18"/>
                <w:szCs w:val="18"/>
              </w:rPr>
            </w:pPr>
            <w:r w:rsidRPr="00EC730D">
              <w:rPr>
                <w:rFonts w:ascii="Calibri" w:hAnsi="Calibri"/>
                <w:sz w:val="18"/>
                <w:szCs w:val="18"/>
              </w:rPr>
              <w:t>8</w:t>
            </w:r>
          </w:p>
        </w:tc>
      </w:tr>
      <w:tr w:rsidR="00134B2C" w:rsidRPr="00EC730D" w:rsidTr="00FD47C7">
        <w:tc>
          <w:tcPr>
            <w:tcW w:w="1242" w:type="dxa"/>
          </w:tcPr>
          <w:p w:rsidR="00134B2C" w:rsidRPr="00EC730D" w:rsidRDefault="00134B2C" w:rsidP="00FD47C7">
            <w:pPr>
              <w:jc w:val="center"/>
              <w:rPr>
                <w:rFonts w:ascii="Calibri" w:hAnsi="Calibri"/>
                <w:sz w:val="18"/>
                <w:szCs w:val="18"/>
              </w:rPr>
            </w:pPr>
            <w:r w:rsidRPr="00EC730D">
              <w:rPr>
                <w:rFonts w:ascii="Calibri" w:hAnsi="Calibri"/>
                <w:sz w:val="18"/>
                <w:szCs w:val="18"/>
              </w:rPr>
              <w:t>G</w:t>
            </w:r>
          </w:p>
        </w:tc>
        <w:tc>
          <w:tcPr>
            <w:tcW w:w="3969" w:type="dxa"/>
          </w:tcPr>
          <w:p w:rsidR="00134B2C" w:rsidRPr="00EC730D" w:rsidRDefault="00134B2C" w:rsidP="00FD47C7">
            <w:pPr>
              <w:jc w:val="left"/>
              <w:rPr>
                <w:rFonts w:ascii="Calibri" w:hAnsi="Calibri"/>
                <w:sz w:val="18"/>
                <w:szCs w:val="18"/>
              </w:rPr>
            </w:pPr>
            <w:r w:rsidRPr="00EC730D">
              <w:rPr>
                <w:rFonts w:ascii="Calibri" w:hAnsi="Calibri"/>
                <w:sz w:val="18"/>
                <w:szCs w:val="18"/>
              </w:rPr>
              <w:t>Pasy: ruchu, dodatkowe, włączania i wyłączania, postojowe, jezdnie łącznic, utwardzone pobocza</w:t>
            </w:r>
          </w:p>
        </w:tc>
        <w:tc>
          <w:tcPr>
            <w:tcW w:w="2300" w:type="dxa"/>
          </w:tcPr>
          <w:p w:rsidR="00134B2C" w:rsidRPr="00EC730D" w:rsidRDefault="00134B2C" w:rsidP="00FD47C7">
            <w:pPr>
              <w:jc w:val="center"/>
              <w:rPr>
                <w:rFonts w:ascii="Calibri" w:hAnsi="Calibri"/>
                <w:sz w:val="18"/>
                <w:szCs w:val="18"/>
              </w:rPr>
            </w:pPr>
          </w:p>
          <w:p w:rsidR="00134B2C" w:rsidRPr="00EC730D" w:rsidRDefault="00134B2C" w:rsidP="00FD47C7">
            <w:pPr>
              <w:jc w:val="center"/>
              <w:rPr>
                <w:rFonts w:ascii="Calibri" w:hAnsi="Calibri"/>
                <w:sz w:val="18"/>
                <w:szCs w:val="18"/>
              </w:rPr>
            </w:pPr>
            <w:r w:rsidRPr="00EC730D">
              <w:rPr>
                <w:rFonts w:ascii="Calibri" w:hAnsi="Calibri"/>
                <w:sz w:val="18"/>
                <w:szCs w:val="18"/>
              </w:rPr>
              <w:t>8</w:t>
            </w:r>
          </w:p>
        </w:tc>
      </w:tr>
      <w:tr w:rsidR="00134B2C" w:rsidRPr="00EC730D" w:rsidTr="00FD47C7">
        <w:tc>
          <w:tcPr>
            <w:tcW w:w="1242" w:type="dxa"/>
          </w:tcPr>
          <w:p w:rsidR="00134B2C" w:rsidRPr="00EC730D" w:rsidRDefault="00134B2C" w:rsidP="00FD47C7">
            <w:pPr>
              <w:spacing w:before="60" w:after="60"/>
              <w:jc w:val="center"/>
              <w:rPr>
                <w:rFonts w:ascii="Calibri" w:hAnsi="Calibri"/>
                <w:sz w:val="18"/>
                <w:szCs w:val="18"/>
              </w:rPr>
            </w:pPr>
            <w:r w:rsidRPr="00EC730D">
              <w:rPr>
                <w:rFonts w:ascii="Calibri" w:hAnsi="Calibri"/>
                <w:sz w:val="18"/>
                <w:szCs w:val="18"/>
              </w:rPr>
              <w:t>Z, L, D</w:t>
            </w:r>
          </w:p>
        </w:tc>
        <w:tc>
          <w:tcPr>
            <w:tcW w:w="3969" w:type="dxa"/>
          </w:tcPr>
          <w:p w:rsidR="00134B2C" w:rsidRPr="00EC730D" w:rsidRDefault="00134B2C" w:rsidP="00FD47C7">
            <w:pPr>
              <w:spacing w:before="60" w:after="60"/>
              <w:rPr>
                <w:rFonts w:ascii="Calibri" w:hAnsi="Calibri"/>
                <w:sz w:val="18"/>
                <w:szCs w:val="18"/>
              </w:rPr>
            </w:pPr>
            <w:r w:rsidRPr="00EC730D">
              <w:rPr>
                <w:rFonts w:ascii="Calibri" w:hAnsi="Calibri"/>
                <w:sz w:val="18"/>
                <w:szCs w:val="18"/>
              </w:rPr>
              <w:t>Pasy ruchu</w:t>
            </w:r>
          </w:p>
        </w:tc>
        <w:tc>
          <w:tcPr>
            <w:tcW w:w="2300" w:type="dxa"/>
          </w:tcPr>
          <w:p w:rsidR="00134B2C" w:rsidRPr="00EC730D" w:rsidRDefault="00134B2C" w:rsidP="00FD47C7">
            <w:pPr>
              <w:spacing w:before="60" w:after="60"/>
              <w:jc w:val="center"/>
              <w:rPr>
                <w:rFonts w:ascii="Calibri" w:hAnsi="Calibri"/>
                <w:sz w:val="18"/>
                <w:szCs w:val="18"/>
              </w:rPr>
            </w:pPr>
            <w:r w:rsidRPr="00EC730D">
              <w:rPr>
                <w:rFonts w:ascii="Calibri" w:hAnsi="Calibri"/>
                <w:sz w:val="18"/>
                <w:szCs w:val="18"/>
              </w:rPr>
              <w:t>9</w:t>
            </w:r>
          </w:p>
        </w:tc>
      </w:tr>
    </w:tbl>
    <w:p w:rsidR="00134B2C" w:rsidRDefault="00134B2C" w:rsidP="00134B2C">
      <w:pPr>
        <w:rPr>
          <w:rFonts w:ascii="Calibri" w:hAnsi="Calibri"/>
        </w:rPr>
      </w:pPr>
      <w:r w:rsidRPr="006F0F86">
        <w:rPr>
          <w:rFonts w:ascii="Calibri" w:hAnsi="Calibri"/>
        </w:rPr>
        <w:tab/>
      </w:r>
    </w:p>
    <w:p w:rsidR="00134B2C" w:rsidRPr="006F0F86" w:rsidRDefault="00134B2C" w:rsidP="00134B2C">
      <w:pPr>
        <w:ind w:firstLine="708"/>
        <w:rPr>
          <w:rFonts w:ascii="Calibri" w:hAnsi="Calibri"/>
        </w:rPr>
      </w:pPr>
      <w:r w:rsidRPr="006F0F86">
        <w:rPr>
          <w:rFonts w:ascii="Calibri" w:hAnsi="Calibri"/>
        </w:rPr>
        <w:t>Jeżeli nierówności  są większe niż dopuszczalne, to należy wyrównać podłoże.</w:t>
      </w:r>
    </w:p>
    <w:p w:rsidR="00134B2C" w:rsidRPr="006F0F86" w:rsidRDefault="00134B2C" w:rsidP="00134B2C">
      <w:pPr>
        <w:rPr>
          <w:rFonts w:ascii="Calibri" w:hAnsi="Calibri"/>
        </w:rPr>
      </w:pPr>
      <w:r w:rsidRPr="006F0F86">
        <w:rPr>
          <w:rFonts w:ascii="Calibri" w:hAnsi="Calibri"/>
        </w:rPr>
        <w:tab/>
        <w:t>Rzędne wysokościowe podłoża oraz urządzeń usytuowanych w nawierzchni lub ją ograniczających powinny być zgodne z dokumentacją projektową. Z podłoża powinien być zapewniony odpływ wody.</w:t>
      </w:r>
    </w:p>
    <w:p w:rsidR="00134B2C" w:rsidRPr="006F0F86" w:rsidRDefault="00134B2C" w:rsidP="00134B2C">
      <w:pPr>
        <w:rPr>
          <w:rFonts w:ascii="Calibri" w:hAnsi="Calibri"/>
        </w:rPr>
      </w:pPr>
      <w:r w:rsidRPr="006F0F86">
        <w:rPr>
          <w:rFonts w:ascii="Calibri" w:hAnsi="Calibri"/>
        </w:rPr>
        <w:tab/>
        <w:t>Oznakowanie poziome na warstwie podłoża należy usunąć.</w:t>
      </w:r>
    </w:p>
    <w:p w:rsidR="00134B2C" w:rsidRPr="006F0F86" w:rsidRDefault="00134B2C" w:rsidP="00134B2C">
      <w:pPr>
        <w:rPr>
          <w:rFonts w:ascii="Calibri" w:hAnsi="Calibri"/>
        </w:rPr>
      </w:pPr>
      <w:r w:rsidRPr="006F0F86">
        <w:rPr>
          <w:rFonts w:ascii="Calibri" w:hAnsi="Calibri"/>
        </w:rPr>
        <w:lastRenderedPageBreak/>
        <w:tab/>
        <w:t>Nierówności podłoża (w tym powierzchnię istniejącej warstwy ścieralnej) należy wyrównać poprzez frezowanie lub wykonanie warstwy wyrównawczej.</w:t>
      </w:r>
    </w:p>
    <w:p w:rsidR="00134B2C" w:rsidRPr="006F0F86" w:rsidRDefault="00134B2C" w:rsidP="00134B2C">
      <w:pPr>
        <w:rPr>
          <w:rFonts w:ascii="Calibri" w:hAnsi="Calibri"/>
        </w:rPr>
      </w:pPr>
      <w:r w:rsidRPr="006F0F86">
        <w:rPr>
          <w:rFonts w:ascii="Calibri" w:hAnsi="Calibri"/>
        </w:rPr>
        <w:tab/>
        <w:t>Wykonane w podłożu łaty z materiału o mniejszej sztywności (np. łaty z asfaltu lanego w betonie asfaltowym) należy usunąć, a powstałe w ten sposób ubytki wypełnić materiałem o właściwościach zbliżonych do materiału podstawowego (np. wypełnić betonem asfaltowym).</w:t>
      </w:r>
    </w:p>
    <w:p w:rsidR="00134B2C" w:rsidRPr="006F0F86" w:rsidRDefault="00134B2C" w:rsidP="00134B2C">
      <w:pPr>
        <w:rPr>
          <w:rFonts w:ascii="Calibri" w:hAnsi="Calibri"/>
        </w:rPr>
      </w:pPr>
      <w:r w:rsidRPr="006F0F86">
        <w:rPr>
          <w:rFonts w:ascii="Calibri" w:hAnsi="Calibri"/>
        </w:rPr>
        <w:tab/>
        <w:t>W celu polepszenia połączenia między warstwami technologicznymi nawierzchni powierzchnia podłoża powinna być w ocenie wizualnej chropowata.</w:t>
      </w:r>
    </w:p>
    <w:p w:rsidR="00134B2C" w:rsidRPr="006F0F86" w:rsidRDefault="00134B2C" w:rsidP="00134B2C">
      <w:pPr>
        <w:rPr>
          <w:rFonts w:ascii="Calibri" w:hAnsi="Calibri"/>
        </w:rPr>
      </w:pPr>
      <w:r w:rsidRPr="006F0F86">
        <w:rPr>
          <w:rFonts w:ascii="Calibri" w:hAnsi="Calibri"/>
        </w:rPr>
        <w:tab/>
        <w:t>Szerokie szczeliny w podłożu należy wypełnić odpowiednim materiałem, np. zalewami drogowymi według PN-EN 14188-1 [60] lub PN-EN 14188-2 [61] albo innymi materiałami według norm lub aprobat technicznych.</w:t>
      </w:r>
    </w:p>
    <w:p w:rsidR="00134B2C" w:rsidRPr="006F0F86" w:rsidRDefault="00134B2C" w:rsidP="00134B2C">
      <w:pPr>
        <w:rPr>
          <w:rFonts w:ascii="Calibri" w:hAnsi="Calibri"/>
        </w:rPr>
      </w:pPr>
      <w:r w:rsidRPr="006F0F86">
        <w:rPr>
          <w:rFonts w:ascii="Calibri" w:hAnsi="Calibri"/>
        </w:rPr>
        <w:tab/>
        <w:t>Na podłożu wykazującym zniszczenia w postaci siatki spękań zmęczeniowych lub spękań poprzecznych zaleca się stosowanie membrany przeciwspękaniowej, np. mieszanki mineralno-asfaltowej, warstwy SAMI lub z geosyntetyków według norm lub aprobat technicznych.</w:t>
      </w:r>
    </w:p>
    <w:p w:rsidR="00134B2C" w:rsidRPr="006F0F86" w:rsidRDefault="00134B2C" w:rsidP="00134B2C">
      <w:pPr>
        <w:rPr>
          <w:rFonts w:ascii="Calibri" w:hAnsi="Calibri"/>
        </w:rPr>
      </w:pPr>
      <w:r w:rsidRPr="00EC730D">
        <w:rPr>
          <w:rFonts w:ascii="Calibri" w:hAnsi="Calibri"/>
          <w:b/>
        </w:rPr>
        <w:t>5.</w:t>
      </w:r>
      <w:r w:rsidR="00E21692">
        <w:rPr>
          <w:rFonts w:ascii="Calibri" w:hAnsi="Calibri"/>
          <w:b/>
        </w:rPr>
        <w:t>5</w:t>
      </w:r>
      <w:r w:rsidRPr="00EC730D">
        <w:rPr>
          <w:rFonts w:ascii="Calibri" w:hAnsi="Calibri"/>
          <w:b/>
        </w:rPr>
        <w:t>.</w:t>
      </w:r>
      <w:r w:rsidRPr="006F0F86">
        <w:rPr>
          <w:rFonts w:ascii="Calibri" w:hAnsi="Calibri"/>
        </w:rPr>
        <w:t xml:space="preserve"> Połączenie międzywarstwowe</w:t>
      </w:r>
    </w:p>
    <w:p w:rsidR="00134B2C" w:rsidRPr="006F0F86" w:rsidRDefault="00134B2C" w:rsidP="00134B2C">
      <w:pPr>
        <w:rPr>
          <w:rFonts w:ascii="Calibri" w:hAnsi="Calibri"/>
        </w:rPr>
      </w:pPr>
      <w:r w:rsidRPr="006F0F86">
        <w:rPr>
          <w:rFonts w:ascii="Calibri" w:hAnsi="Calibri"/>
        </w:rPr>
        <w:tab/>
        <w:t>Uzyskanie wymaganej trwałości nawierzchni jest uzależnione od zapewnienia połączenia między warstwami i ich współpracy w przenoszeniu obciążenia nawierzchni ruchem.</w:t>
      </w:r>
    </w:p>
    <w:p w:rsidR="00134B2C" w:rsidRPr="006F0F86" w:rsidRDefault="00134B2C" w:rsidP="00134B2C">
      <w:pPr>
        <w:rPr>
          <w:rFonts w:ascii="Calibri" w:hAnsi="Calibri"/>
        </w:rPr>
      </w:pPr>
      <w:r w:rsidRPr="006F0F86">
        <w:rPr>
          <w:rFonts w:ascii="Calibri" w:hAnsi="Calibri"/>
        </w:rPr>
        <w:tab/>
        <w:t>Podłoże powinno być skropione lepiszczem. Ma to na celu zwiększenie połączenia między warstwami konstrukcyjnymi oraz zabezpieczenie przed wnikaniem i zaleganiem wody między warstwami.</w:t>
      </w:r>
    </w:p>
    <w:p w:rsidR="00134B2C" w:rsidRPr="006F0F86" w:rsidRDefault="00134B2C" w:rsidP="00134B2C">
      <w:pPr>
        <w:rPr>
          <w:rFonts w:ascii="Calibri" w:hAnsi="Calibri"/>
        </w:rPr>
      </w:pPr>
      <w:r w:rsidRPr="006F0F86">
        <w:rPr>
          <w:rFonts w:ascii="Calibri" w:hAnsi="Calibri"/>
        </w:rPr>
        <w:tab/>
        <w:t>Skropienie lepiszczem podłoża (np. z warstwy wiążącej asfaltowej), przed ułożeniem warstwy ścieralnej z betonu asfaltowego powinno być wykonane w ilości podanej w przeliczeniu na pozostałe lepiszcze, tj. 0,1 ÷ 0,3 kg/m2, przy czym:</w:t>
      </w:r>
    </w:p>
    <w:p w:rsidR="00134B2C" w:rsidRPr="006F0F86" w:rsidRDefault="00134B2C" w:rsidP="00134B2C">
      <w:pPr>
        <w:rPr>
          <w:rFonts w:ascii="Calibri" w:hAnsi="Calibri"/>
        </w:rPr>
      </w:pPr>
      <w:r>
        <w:rPr>
          <w:rFonts w:ascii="Calibri" w:hAnsi="Calibri"/>
        </w:rPr>
        <w:t>-</w:t>
      </w:r>
      <w:r w:rsidRPr="006F0F86">
        <w:rPr>
          <w:rFonts w:ascii="Calibri" w:hAnsi="Calibri"/>
        </w:rPr>
        <w:t>zaleca się stosować emulsję modyfikowaną polimerem,</w:t>
      </w:r>
    </w:p>
    <w:p w:rsidR="00134B2C" w:rsidRPr="006F0F86" w:rsidRDefault="00134B2C" w:rsidP="00134B2C">
      <w:pPr>
        <w:rPr>
          <w:rFonts w:ascii="Calibri" w:hAnsi="Calibri"/>
        </w:rPr>
      </w:pPr>
      <w:r>
        <w:rPr>
          <w:rFonts w:ascii="Calibri" w:hAnsi="Calibri"/>
        </w:rPr>
        <w:t>-</w:t>
      </w:r>
      <w:r w:rsidRPr="006F0F86">
        <w:rPr>
          <w:rFonts w:ascii="Calibri" w:hAnsi="Calibri"/>
        </w:rPr>
        <w:t>ilość emulsji należy dobrać z uwzględnieniem stanu podłoża oraz porowatości mieszanki ; jeśli mieszanka ma większą zawartość wolnych przestrzeni, to należy użyć większą ilość lepiszcza do skropienia, które po ułożeniu warstwy ścieralnej uszczelni ją.</w:t>
      </w:r>
    </w:p>
    <w:p w:rsidR="00134B2C" w:rsidRPr="006F0F86" w:rsidRDefault="00134B2C" w:rsidP="00134B2C">
      <w:pPr>
        <w:rPr>
          <w:rFonts w:ascii="Calibri" w:hAnsi="Calibri"/>
        </w:rPr>
      </w:pPr>
      <w:r w:rsidRPr="006F0F86">
        <w:rPr>
          <w:rFonts w:ascii="Calibri" w:hAnsi="Calibri"/>
        </w:rPr>
        <w:t>Skrapianie podłoża należy wykonywać równomiernie stosując rampy do skrapiania, np. skrapiarki do lepiszczy asfaltowych. Dopuszcza się skrapianie ręczne lancą w miejscach trudno dostępnych (np. ścieki uliczne) oraz przy urządzeniach usytuowanych w nawierzchni lub ją ograniczających. W razie potrzeby urządzenia te należy zabezpieczyć przed zabrudzeniem. Skropione podłoże należy wyłączyć z ruchu publicznego przez zmianę organizacji ruchu.</w:t>
      </w:r>
    </w:p>
    <w:p w:rsidR="00134B2C" w:rsidRPr="006F0F86" w:rsidRDefault="00134B2C" w:rsidP="00134B2C">
      <w:pPr>
        <w:rPr>
          <w:rFonts w:ascii="Calibri" w:hAnsi="Calibri"/>
        </w:rPr>
      </w:pPr>
      <w:r w:rsidRPr="006F0F86">
        <w:rPr>
          <w:rFonts w:ascii="Calibri" w:hAnsi="Calibri"/>
        </w:rPr>
        <w:t>W wypadku stosowania emulsji asfaltowej podłoże powinno być skropione 0,5 h przed układaniem warstwy asfaltowej w celu odparowania wody.</w:t>
      </w:r>
    </w:p>
    <w:p w:rsidR="00134B2C" w:rsidRPr="006F0F86" w:rsidRDefault="00134B2C" w:rsidP="00134B2C">
      <w:pPr>
        <w:rPr>
          <w:rFonts w:ascii="Calibri" w:hAnsi="Calibri"/>
        </w:rPr>
      </w:pPr>
      <w:r w:rsidRPr="006F0F86">
        <w:rPr>
          <w:rFonts w:ascii="Calibri" w:hAnsi="Calibri"/>
        </w:rPr>
        <w:t>Czas ten nie dotyczy skrapiania rampą zamontowaną na rozkładarce.</w:t>
      </w:r>
    </w:p>
    <w:p w:rsidR="00134B2C" w:rsidRPr="006F0F86" w:rsidRDefault="00134B2C" w:rsidP="00134B2C">
      <w:pPr>
        <w:rPr>
          <w:rFonts w:ascii="Calibri" w:hAnsi="Calibri"/>
        </w:rPr>
      </w:pPr>
      <w:r w:rsidRPr="00EC730D">
        <w:rPr>
          <w:rFonts w:ascii="Calibri" w:hAnsi="Calibri"/>
          <w:b/>
        </w:rPr>
        <w:t>5.</w:t>
      </w:r>
      <w:r w:rsidR="00E21692">
        <w:rPr>
          <w:rFonts w:ascii="Calibri" w:hAnsi="Calibri"/>
          <w:b/>
        </w:rPr>
        <w:t>6</w:t>
      </w:r>
      <w:r w:rsidRPr="00EC730D">
        <w:rPr>
          <w:rFonts w:ascii="Calibri" w:hAnsi="Calibri"/>
          <w:b/>
        </w:rPr>
        <w:t>.</w:t>
      </w:r>
      <w:r w:rsidRPr="006F0F86">
        <w:rPr>
          <w:rFonts w:ascii="Calibri" w:hAnsi="Calibri"/>
        </w:rPr>
        <w:t xml:space="preserve"> Wbudowanie mieszanki mineralno-asfaltowej</w:t>
      </w:r>
    </w:p>
    <w:p w:rsidR="00134B2C" w:rsidRPr="006F0F86" w:rsidRDefault="00134B2C" w:rsidP="00134B2C">
      <w:pPr>
        <w:rPr>
          <w:rFonts w:ascii="Calibri" w:hAnsi="Calibri"/>
        </w:rPr>
      </w:pPr>
      <w:r w:rsidRPr="006F0F86">
        <w:rPr>
          <w:rFonts w:ascii="Calibri" w:hAnsi="Calibri"/>
        </w:rPr>
        <w:tab/>
        <w:t>Mieszankę mineralno-asfaltową można wbudowywać na podłożu przygotowanym zgodnie z zapisami w punktach 5.4 i 5.7.</w:t>
      </w:r>
    </w:p>
    <w:p w:rsidR="00134B2C" w:rsidRPr="006F0F86" w:rsidRDefault="00134B2C" w:rsidP="00134B2C">
      <w:pPr>
        <w:rPr>
          <w:rFonts w:ascii="Calibri" w:hAnsi="Calibri"/>
        </w:rPr>
      </w:pPr>
      <w:r w:rsidRPr="006F0F86">
        <w:rPr>
          <w:rFonts w:ascii="Calibri" w:hAnsi="Calibri"/>
        </w:rPr>
        <w:t>Temperatura podłoża pod rozkładaną warstwę nie może być niższa niż  +5°C.</w:t>
      </w:r>
    </w:p>
    <w:p w:rsidR="00134B2C" w:rsidRPr="006F0F86" w:rsidRDefault="00134B2C" w:rsidP="00134B2C">
      <w:pPr>
        <w:rPr>
          <w:rFonts w:ascii="Calibri" w:hAnsi="Calibri"/>
        </w:rPr>
      </w:pPr>
      <w:r w:rsidRPr="006F0F86">
        <w:rPr>
          <w:rFonts w:ascii="Calibri" w:hAnsi="Calibri"/>
        </w:rPr>
        <w:tab/>
        <w:t>Transport mieszanki mineralno-asfaltowej asfaltowej powinien być zgodny z zaleceniami podanymi w punkcie 4.2.</w:t>
      </w:r>
    </w:p>
    <w:p w:rsidR="00134B2C" w:rsidRPr="006F0F86" w:rsidRDefault="00134B2C" w:rsidP="00134B2C">
      <w:pPr>
        <w:rPr>
          <w:rFonts w:ascii="Calibri" w:hAnsi="Calibri"/>
        </w:rPr>
      </w:pPr>
      <w:r w:rsidRPr="006F0F86">
        <w:rPr>
          <w:rFonts w:ascii="Calibri" w:hAnsi="Calibri"/>
        </w:rPr>
        <w:tab/>
        <w:t>Mieszankę mineralno-asfaltową asfaltową należy wbudowywać w odpowiednich warunkach atmosferycznych.</w:t>
      </w:r>
    </w:p>
    <w:p w:rsidR="00134B2C" w:rsidRPr="006F0F86" w:rsidRDefault="00134B2C" w:rsidP="00134B2C">
      <w:pPr>
        <w:rPr>
          <w:rFonts w:ascii="Calibri" w:hAnsi="Calibri"/>
        </w:rPr>
      </w:pPr>
      <w:r w:rsidRPr="006F0F86">
        <w:rPr>
          <w:rFonts w:ascii="Calibri" w:hAnsi="Calibri"/>
        </w:rPr>
        <w:tab/>
        <w:t>Temperatura otoczenia w ciągu doby nie powinna być niższa od temperatury podanej w tablicy 12. Temperatura otoczenia może być niższa w wypadku stosowania ogrzewania podłoża. Nie dopuszcza się układania mieszanki mineralno-asfaltowej asfaltowej podczas silnego wiatru (V &gt; 16 m/s)</w:t>
      </w:r>
    </w:p>
    <w:p w:rsidR="00134B2C" w:rsidRPr="006F0F86" w:rsidRDefault="00134B2C" w:rsidP="00134B2C">
      <w:pPr>
        <w:rPr>
          <w:rFonts w:ascii="Calibri" w:hAnsi="Calibri"/>
        </w:rPr>
      </w:pPr>
      <w:r w:rsidRPr="006F0F86">
        <w:rPr>
          <w:rFonts w:ascii="Calibri" w:hAnsi="Calibri"/>
        </w:rPr>
        <w:tab/>
        <w:t>W wypadku stosowania mieszanek mineralno-asfaltowych z dodatkiem obniżającym temperaturę mieszania i wbudowania należy indywidualnie określić wymagane warunki otoczenia.</w:t>
      </w:r>
    </w:p>
    <w:p w:rsidR="00141829" w:rsidRDefault="00141829" w:rsidP="00134B2C">
      <w:pPr>
        <w:ind w:left="709"/>
        <w:rPr>
          <w:rFonts w:ascii="Calibri" w:hAnsi="Calibri"/>
        </w:rPr>
      </w:pPr>
    </w:p>
    <w:p w:rsidR="00134B2C" w:rsidRPr="006F0F86" w:rsidRDefault="00134B2C" w:rsidP="00134B2C">
      <w:pPr>
        <w:ind w:left="709"/>
        <w:rPr>
          <w:rFonts w:ascii="Calibri" w:hAnsi="Calibri"/>
        </w:rPr>
      </w:pPr>
      <w:r w:rsidRPr="006F0F86">
        <w:rPr>
          <w:rFonts w:ascii="Calibri" w:hAnsi="Calibri"/>
        </w:rPr>
        <w:t>Tablica 12.</w:t>
      </w:r>
      <w:r>
        <w:rPr>
          <w:rFonts w:ascii="Calibri" w:hAnsi="Calibri"/>
        </w:rPr>
        <w:t xml:space="preserve"> </w:t>
      </w:r>
      <w:r w:rsidRPr="006F0F86">
        <w:rPr>
          <w:rFonts w:ascii="Calibri" w:hAnsi="Calibri"/>
        </w:rPr>
        <w:t>Minimalna temperatura otoczenia na wysokości 2m podczas wykonywania warstw asfaltowych</w:t>
      </w:r>
    </w:p>
    <w:tbl>
      <w:tblPr>
        <w:tblW w:w="0" w:type="auto"/>
        <w:tblInd w:w="81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tblPr>
      <w:tblGrid>
        <w:gridCol w:w="3227"/>
        <w:gridCol w:w="2693"/>
        <w:gridCol w:w="1591"/>
      </w:tblGrid>
      <w:tr w:rsidR="00134B2C" w:rsidRPr="006F0F86" w:rsidTr="00FD47C7">
        <w:tc>
          <w:tcPr>
            <w:tcW w:w="3227" w:type="dxa"/>
            <w:tcBorders>
              <w:bottom w:val="nil"/>
            </w:tcBorders>
          </w:tcPr>
          <w:p w:rsidR="00134B2C" w:rsidRPr="006F0F86" w:rsidRDefault="00134B2C" w:rsidP="00FD47C7">
            <w:pPr>
              <w:jc w:val="center"/>
              <w:rPr>
                <w:rFonts w:ascii="Calibri" w:hAnsi="Calibri"/>
                <w:sz w:val="18"/>
                <w:szCs w:val="18"/>
              </w:rPr>
            </w:pPr>
            <w:r w:rsidRPr="006F0F86">
              <w:rPr>
                <w:rFonts w:ascii="Calibri" w:hAnsi="Calibri"/>
                <w:sz w:val="18"/>
                <w:szCs w:val="18"/>
              </w:rPr>
              <w:t>Rodzaj robót</w:t>
            </w:r>
          </w:p>
        </w:tc>
        <w:tc>
          <w:tcPr>
            <w:tcW w:w="4284" w:type="dxa"/>
            <w:gridSpan w:val="2"/>
          </w:tcPr>
          <w:p w:rsidR="00134B2C" w:rsidRPr="006F0F86" w:rsidRDefault="00134B2C" w:rsidP="00FD47C7">
            <w:pPr>
              <w:jc w:val="center"/>
              <w:rPr>
                <w:rFonts w:ascii="Calibri" w:hAnsi="Calibri"/>
                <w:sz w:val="18"/>
                <w:szCs w:val="18"/>
              </w:rPr>
            </w:pPr>
            <w:r w:rsidRPr="006F0F86">
              <w:rPr>
                <w:rFonts w:ascii="Calibri" w:hAnsi="Calibri"/>
                <w:sz w:val="18"/>
                <w:szCs w:val="18"/>
              </w:rPr>
              <w:t>Minimalna temperatura otoczenia  [°C]</w:t>
            </w:r>
          </w:p>
        </w:tc>
      </w:tr>
      <w:tr w:rsidR="00134B2C" w:rsidRPr="006F0F86" w:rsidTr="00FD47C7">
        <w:tc>
          <w:tcPr>
            <w:tcW w:w="3227" w:type="dxa"/>
            <w:tcBorders>
              <w:top w:val="nil"/>
            </w:tcBorders>
          </w:tcPr>
          <w:p w:rsidR="00134B2C" w:rsidRPr="006F0F86" w:rsidRDefault="00134B2C" w:rsidP="00FD47C7">
            <w:pPr>
              <w:rPr>
                <w:rFonts w:ascii="Calibri" w:hAnsi="Calibri"/>
                <w:sz w:val="18"/>
                <w:szCs w:val="18"/>
              </w:rPr>
            </w:pPr>
          </w:p>
        </w:tc>
        <w:tc>
          <w:tcPr>
            <w:tcW w:w="2693" w:type="dxa"/>
          </w:tcPr>
          <w:p w:rsidR="00134B2C" w:rsidRPr="006F0F86" w:rsidRDefault="00134B2C" w:rsidP="00FD47C7">
            <w:pPr>
              <w:jc w:val="center"/>
              <w:rPr>
                <w:rFonts w:ascii="Calibri" w:hAnsi="Calibri"/>
                <w:sz w:val="18"/>
                <w:szCs w:val="18"/>
              </w:rPr>
            </w:pPr>
            <w:r w:rsidRPr="006F0F86">
              <w:rPr>
                <w:rFonts w:ascii="Calibri" w:hAnsi="Calibri"/>
                <w:sz w:val="18"/>
                <w:szCs w:val="18"/>
              </w:rPr>
              <w:t>przed przystąpieniem do robót</w:t>
            </w:r>
          </w:p>
        </w:tc>
        <w:tc>
          <w:tcPr>
            <w:tcW w:w="1591" w:type="dxa"/>
          </w:tcPr>
          <w:p w:rsidR="00134B2C" w:rsidRPr="006F0F86" w:rsidRDefault="00134B2C" w:rsidP="00FD47C7">
            <w:pPr>
              <w:jc w:val="center"/>
              <w:rPr>
                <w:rFonts w:ascii="Calibri" w:hAnsi="Calibri"/>
                <w:sz w:val="18"/>
                <w:szCs w:val="18"/>
              </w:rPr>
            </w:pPr>
            <w:r w:rsidRPr="006F0F86">
              <w:rPr>
                <w:rFonts w:ascii="Calibri" w:hAnsi="Calibri"/>
                <w:sz w:val="18"/>
                <w:szCs w:val="18"/>
              </w:rPr>
              <w:t>w czasie robót</w:t>
            </w:r>
          </w:p>
        </w:tc>
      </w:tr>
      <w:tr w:rsidR="00134B2C" w:rsidRPr="006F0F86" w:rsidTr="00FD47C7">
        <w:tc>
          <w:tcPr>
            <w:tcW w:w="3227" w:type="dxa"/>
          </w:tcPr>
          <w:p w:rsidR="00134B2C" w:rsidRPr="006F0F86" w:rsidRDefault="00134B2C" w:rsidP="00FD47C7">
            <w:pPr>
              <w:spacing w:before="40" w:after="40"/>
              <w:rPr>
                <w:rFonts w:ascii="Calibri" w:hAnsi="Calibri"/>
                <w:sz w:val="18"/>
                <w:szCs w:val="18"/>
              </w:rPr>
            </w:pPr>
            <w:r w:rsidRPr="006F0F86">
              <w:rPr>
                <w:rFonts w:ascii="Calibri" w:hAnsi="Calibri"/>
                <w:sz w:val="18"/>
                <w:szCs w:val="18"/>
              </w:rPr>
              <w:t xml:space="preserve">Warstwa ścieralna o grubości ≥ </w:t>
            </w:r>
            <w:smartTag w:uri="urn:schemas-microsoft-com:office:smarttags" w:element="metricconverter">
              <w:smartTagPr>
                <w:attr w:name="ProductID" w:val="3 cm"/>
              </w:smartTagPr>
              <w:r w:rsidRPr="006F0F86">
                <w:rPr>
                  <w:rFonts w:ascii="Calibri" w:hAnsi="Calibri"/>
                  <w:sz w:val="18"/>
                  <w:szCs w:val="18"/>
                </w:rPr>
                <w:t>3 cm</w:t>
              </w:r>
            </w:smartTag>
          </w:p>
        </w:tc>
        <w:tc>
          <w:tcPr>
            <w:tcW w:w="2693" w:type="dxa"/>
          </w:tcPr>
          <w:p w:rsidR="00134B2C" w:rsidRPr="006F0F86" w:rsidRDefault="00134B2C" w:rsidP="00FD47C7">
            <w:pPr>
              <w:spacing w:before="40" w:after="40"/>
              <w:jc w:val="center"/>
              <w:rPr>
                <w:rFonts w:ascii="Calibri" w:hAnsi="Calibri"/>
                <w:sz w:val="18"/>
                <w:szCs w:val="18"/>
              </w:rPr>
            </w:pPr>
            <w:r w:rsidRPr="006F0F86">
              <w:rPr>
                <w:rFonts w:ascii="Calibri" w:hAnsi="Calibri"/>
                <w:sz w:val="18"/>
                <w:szCs w:val="18"/>
              </w:rPr>
              <w:t>0</w:t>
            </w:r>
          </w:p>
        </w:tc>
        <w:tc>
          <w:tcPr>
            <w:tcW w:w="1591" w:type="dxa"/>
          </w:tcPr>
          <w:p w:rsidR="00134B2C" w:rsidRPr="006F0F86" w:rsidRDefault="00134B2C" w:rsidP="00FD47C7">
            <w:pPr>
              <w:spacing w:before="40" w:after="40"/>
              <w:jc w:val="center"/>
              <w:rPr>
                <w:rFonts w:ascii="Calibri" w:hAnsi="Calibri"/>
                <w:sz w:val="18"/>
                <w:szCs w:val="18"/>
              </w:rPr>
            </w:pPr>
            <w:r w:rsidRPr="006F0F86">
              <w:rPr>
                <w:rFonts w:ascii="Calibri" w:hAnsi="Calibri"/>
                <w:sz w:val="18"/>
                <w:szCs w:val="18"/>
              </w:rPr>
              <w:t>+5</w:t>
            </w:r>
          </w:p>
        </w:tc>
      </w:tr>
      <w:tr w:rsidR="00134B2C" w:rsidRPr="006F0F86" w:rsidTr="00FD47C7">
        <w:tc>
          <w:tcPr>
            <w:tcW w:w="3227" w:type="dxa"/>
          </w:tcPr>
          <w:p w:rsidR="00134B2C" w:rsidRPr="006F0F86" w:rsidRDefault="00134B2C" w:rsidP="00FD47C7">
            <w:pPr>
              <w:spacing w:before="40" w:after="40"/>
              <w:rPr>
                <w:rFonts w:ascii="Calibri" w:hAnsi="Calibri"/>
                <w:sz w:val="18"/>
                <w:szCs w:val="18"/>
              </w:rPr>
            </w:pPr>
            <w:r w:rsidRPr="006F0F86">
              <w:rPr>
                <w:rFonts w:ascii="Calibri" w:hAnsi="Calibri"/>
                <w:sz w:val="18"/>
                <w:szCs w:val="18"/>
              </w:rPr>
              <w:t xml:space="preserve">Warstwa ścieralna o grubości &lt; </w:t>
            </w:r>
            <w:smartTag w:uri="urn:schemas-microsoft-com:office:smarttags" w:element="metricconverter">
              <w:smartTagPr>
                <w:attr w:name="ProductID" w:val="3 cm"/>
              </w:smartTagPr>
              <w:r w:rsidRPr="006F0F86">
                <w:rPr>
                  <w:rFonts w:ascii="Calibri" w:hAnsi="Calibri"/>
                  <w:sz w:val="18"/>
                  <w:szCs w:val="18"/>
                </w:rPr>
                <w:t>3 cm</w:t>
              </w:r>
            </w:smartTag>
          </w:p>
        </w:tc>
        <w:tc>
          <w:tcPr>
            <w:tcW w:w="2693" w:type="dxa"/>
          </w:tcPr>
          <w:p w:rsidR="00134B2C" w:rsidRPr="006F0F86" w:rsidRDefault="00134B2C" w:rsidP="00FD47C7">
            <w:pPr>
              <w:spacing w:before="40" w:after="40"/>
              <w:jc w:val="center"/>
              <w:rPr>
                <w:rFonts w:ascii="Calibri" w:hAnsi="Calibri"/>
                <w:sz w:val="18"/>
                <w:szCs w:val="18"/>
              </w:rPr>
            </w:pPr>
            <w:r w:rsidRPr="006F0F86">
              <w:rPr>
                <w:rFonts w:ascii="Calibri" w:hAnsi="Calibri"/>
                <w:sz w:val="18"/>
                <w:szCs w:val="18"/>
              </w:rPr>
              <w:t>+5</w:t>
            </w:r>
          </w:p>
        </w:tc>
        <w:tc>
          <w:tcPr>
            <w:tcW w:w="1591" w:type="dxa"/>
          </w:tcPr>
          <w:p w:rsidR="00134B2C" w:rsidRPr="006F0F86" w:rsidRDefault="00134B2C" w:rsidP="00FD47C7">
            <w:pPr>
              <w:spacing w:before="40" w:after="40"/>
              <w:jc w:val="center"/>
              <w:rPr>
                <w:rFonts w:ascii="Calibri" w:hAnsi="Calibri"/>
                <w:sz w:val="18"/>
                <w:szCs w:val="18"/>
              </w:rPr>
            </w:pPr>
            <w:r w:rsidRPr="006F0F86">
              <w:rPr>
                <w:rFonts w:ascii="Calibri" w:hAnsi="Calibri"/>
                <w:sz w:val="18"/>
                <w:szCs w:val="18"/>
              </w:rPr>
              <w:t>+10</w:t>
            </w:r>
          </w:p>
        </w:tc>
      </w:tr>
    </w:tbl>
    <w:p w:rsidR="00134B2C" w:rsidRDefault="00134B2C" w:rsidP="00134B2C">
      <w:r>
        <w:tab/>
      </w:r>
    </w:p>
    <w:p w:rsidR="00134B2C" w:rsidRPr="006F0F86" w:rsidRDefault="00134B2C" w:rsidP="00134B2C">
      <w:pPr>
        <w:rPr>
          <w:rFonts w:ascii="Calibri" w:hAnsi="Calibri"/>
        </w:rPr>
      </w:pPr>
      <w:r w:rsidRPr="006F0F86">
        <w:rPr>
          <w:rFonts w:ascii="Calibri" w:hAnsi="Calibri"/>
        </w:rPr>
        <w:t>Właściwości wykonanej warstwy powinny spełniać warunki podane w tablicy 13.</w:t>
      </w:r>
    </w:p>
    <w:p w:rsidR="00134B2C" w:rsidRDefault="00134B2C" w:rsidP="00134B2C">
      <w:pPr>
        <w:ind w:left="709"/>
        <w:rPr>
          <w:rFonts w:ascii="Calibri" w:hAnsi="Calibri"/>
        </w:rPr>
      </w:pPr>
    </w:p>
    <w:p w:rsidR="00C3299C" w:rsidRDefault="00C3299C" w:rsidP="00134B2C">
      <w:pPr>
        <w:ind w:left="709"/>
        <w:rPr>
          <w:rFonts w:ascii="Calibri" w:hAnsi="Calibri"/>
        </w:rPr>
      </w:pPr>
    </w:p>
    <w:p w:rsidR="00C3299C" w:rsidRDefault="00C3299C" w:rsidP="00134B2C">
      <w:pPr>
        <w:ind w:left="709"/>
        <w:rPr>
          <w:rFonts w:ascii="Calibri" w:hAnsi="Calibri"/>
        </w:rPr>
      </w:pPr>
    </w:p>
    <w:p w:rsidR="00C3299C" w:rsidRPr="006F0F86" w:rsidRDefault="00C3299C" w:rsidP="00134B2C">
      <w:pPr>
        <w:ind w:left="709"/>
        <w:rPr>
          <w:rFonts w:ascii="Calibri" w:hAnsi="Calibri"/>
        </w:rPr>
      </w:pPr>
    </w:p>
    <w:p w:rsidR="00134B2C" w:rsidRPr="006F0F86" w:rsidRDefault="00134B2C" w:rsidP="00134B2C">
      <w:pPr>
        <w:ind w:left="709"/>
        <w:rPr>
          <w:rFonts w:ascii="Calibri" w:hAnsi="Calibri"/>
        </w:rPr>
      </w:pPr>
      <w:r w:rsidRPr="006F0F86">
        <w:rPr>
          <w:rFonts w:ascii="Calibri" w:hAnsi="Calibri"/>
        </w:rPr>
        <w:lastRenderedPageBreak/>
        <w:t xml:space="preserve">Tablica 13. Właściwości warstwy AC </w:t>
      </w:r>
    </w:p>
    <w:tbl>
      <w:tblPr>
        <w:tblW w:w="0" w:type="auto"/>
        <w:tblInd w:w="81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tblPr>
      <w:tblGrid>
        <w:gridCol w:w="1877"/>
        <w:gridCol w:w="1878"/>
        <w:gridCol w:w="1878"/>
        <w:gridCol w:w="1878"/>
      </w:tblGrid>
      <w:tr w:rsidR="00134B2C" w:rsidRPr="006F0F86" w:rsidTr="00FD47C7">
        <w:tc>
          <w:tcPr>
            <w:tcW w:w="1877" w:type="dxa"/>
          </w:tcPr>
          <w:p w:rsidR="00134B2C" w:rsidRPr="006F0F86" w:rsidRDefault="00134B2C" w:rsidP="00FD47C7">
            <w:pPr>
              <w:jc w:val="center"/>
              <w:rPr>
                <w:rFonts w:ascii="Calibri" w:hAnsi="Calibri"/>
                <w:sz w:val="18"/>
                <w:szCs w:val="18"/>
              </w:rPr>
            </w:pPr>
          </w:p>
          <w:p w:rsidR="00134B2C" w:rsidRPr="006F0F86" w:rsidRDefault="00134B2C" w:rsidP="00FD47C7">
            <w:pPr>
              <w:jc w:val="center"/>
              <w:rPr>
                <w:rFonts w:ascii="Calibri" w:hAnsi="Calibri"/>
                <w:sz w:val="18"/>
                <w:szCs w:val="18"/>
              </w:rPr>
            </w:pPr>
            <w:r w:rsidRPr="006F0F86">
              <w:rPr>
                <w:rFonts w:ascii="Calibri" w:hAnsi="Calibri"/>
                <w:sz w:val="18"/>
                <w:szCs w:val="18"/>
              </w:rPr>
              <w:t>Typ i wymiar mieszanki</w:t>
            </w:r>
          </w:p>
        </w:tc>
        <w:tc>
          <w:tcPr>
            <w:tcW w:w="1878" w:type="dxa"/>
          </w:tcPr>
          <w:p w:rsidR="00134B2C" w:rsidRPr="006F0F86" w:rsidRDefault="00134B2C" w:rsidP="00FD47C7">
            <w:pPr>
              <w:jc w:val="center"/>
              <w:rPr>
                <w:rFonts w:ascii="Calibri" w:hAnsi="Calibri"/>
                <w:sz w:val="18"/>
                <w:szCs w:val="18"/>
              </w:rPr>
            </w:pPr>
            <w:r w:rsidRPr="006F0F86">
              <w:rPr>
                <w:rFonts w:ascii="Calibri" w:hAnsi="Calibri"/>
                <w:sz w:val="18"/>
                <w:szCs w:val="18"/>
              </w:rPr>
              <w:t>Projektowana grubość warstwy technologicznej [cm]</w:t>
            </w:r>
          </w:p>
        </w:tc>
        <w:tc>
          <w:tcPr>
            <w:tcW w:w="1878" w:type="dxa"/>
          </w:tcPr>
          <w:p w:rsidR="00134B2C" w:rsidRPr="006F0F86" w:rsidRDefault="00134B2C" w:rsidP="00FD47C7">
            <w:pPr>
              <w:spacing w:before="120"/>
              <w:jc w:val="center"/>
              <w:rPr>
                <w:rFonts w:ascii="Calibri" w:hAnsi="Calibri"/>
                <w:sz w:val="18"/>
                <w:szCs w:val="18"/>
              </w:rPr>
            </w:pPr>
            <w:r w:rsidRPr="006F0F86">
              <w:rPr>
                <w:rFonts w:ascii="Calibri" w:hAnsi="Calibri"/>
                <w:sz w:val="18"/>
                <w:szCs w:val="18"/>
              </w:rPr>
              <w:t xml:space="preserve">Wskaźnik zagęszczenia </w:t>
            </w:r>
          </w:p>
          <w:p w:rsidR="00134B2C" w:rsidRPr="006F0F86" w:rsidRDefault="00134B2C" w:rsidP="00FD47C7">
            <w:pPr>
              <w:jc w:val="center"/>
              <w:rPr>
                <w:rFonts w:ascii="Calibri" w:hAnsi="Calibri"/>
                <w:sz w:val="18"/>
                <w:szCs w:val="18"/>
              </w:rPr>
            </w:pPr>
            <w:r w:rsidRPr="006F0F86">
              <w:rPr>
                <w:rFonts w:ascii="Calibri" w:hAnsi="Calibri"/>
                <w:sz w:val="18"/>
                <w:szCs w:val="18"/>
              </w:rPr>
              <w:t>[%]</w:t>
            </w:r>
          </w:p>
        </w:tc>
        <w:tc>
          <w:tcPr>
            <w:tcW w:w="1878" w:type="dxa"/>
          </w:tcPr>
          <w:p w:rsidR="00134B2C" w:rsidRPr="006F0F86" w:rsidRDefault="00134B2C" w:rsidP="00FD47C7">
            <w:pPr>
              <w:jc w:val="center"/>
              <w:rPr>
                <w:rFonts w:ascii="Calibri" w:hAnsi="Calibri"/>
                <w:sz w:val="18"/>
                <w:szCs w:val="18"/>
              </w:rPr>
            </w:pPr>
            <w:r w:rsidRPr="006F0F86">
              <w:rPr>
                <w:rFonts w:ascii="Calibri" w:hAnsi="Calibri"/>
                <w:sz w:val="18"/>
                <w:szCs w:val="18"/>
              </w:rPr>
              <w:t>Zawartość wolnych przestrzeni w warstwie</w:t>
            </w:r>
          </w:p>
          <w:p w:rsidR="00134B2C" w:rsidRPr="006F0F86" w:rsidRDefault="00134B2C" w:rsidP="00FD47C7">
            <w:pPr>
              <w:jc w:val="center"/>
              <w:rPr>
                <w:rFonts w:ascii="Calibri" w:hAnsi="Calibri"/>
                <w:sz w:val="18"/>
                <w:szCs w:val="18"/>
              </w:rPr>
            </w:pPr>
            <w:r w:rsidRPr="006F0F86">
              <w:rPr>
                <w:rFonts w:ascii="Calibri" w:hAnsi="Calibri"/>
                <w:sz w:val="18"/>
                <w:szCs w:val="18"/>
              </w:rPr>
              <w:t>[%(v/v)]</w:t>
            </w:r>
          </w:p>
        </w:tc>
      </w:tr>
      <w:tr w:rsidR="00134B2C" w:rsidRPr="006F0F86" w:rsidTr="00FD47C7">
        <w:tc>
          <w:tcPr>
            <w:tcW w:w="1877" w:type="dxa"/>
          </w:tcPr>
          <w:p w:rsidR="00134B2C" w:rsidRPr="006F0F86" w:rsidRDefault="00134B2C" w:rsidP="00FD47C7">
            <w:pPr>
              <w:spacing w:before="40" w:after="40"/>
              <w:rPr>
                <w:rFonts w:ascii="Calibri" w:hAnsi="Calibri"/>
                <w:sz w:val="18"/>
                <w:szCs w:val="18"/>
              </w:rPr>
            </w:pPr>
            <w:r w:rsidRPr="006F0F86">
              <w:rPr>
                <w:rFonts w:ascii="Calibri" w:hAnsi="Calibri"/>
                <w:sz w:val="18"/>
                <w:szCs w:val="18"/>
              </w:rPr>
              <w:t>AC5S,     KR1-KR2</w:t>
            </w:r>
          </w:p>
        </w:tc>
        <w:tc>
          <w:tcPr>
            <w:tcW w:w="1878" w:type="dxa"/>
          </w:tcPr>
          <w:p w:rsidR="00134B2C" w:rsidRPr="006F0F86" w:rsidRDefault="00134B2C" w:rsidP="00FD47C7">
            <w:pPr>
              <w:spacing w:before="40" w:after="40"/>
              <w:jc w:val="center"/>
              <w:rPr>
                <w:rFonts w:ascii="Calibri" w:hAnsi="Calibri"/>
                <w:sz w:val="18"/>
                <w:szCs w:val="18"/>
              </w:rPr>
            </w:pPr>
            <w:r w:rsidRPr="006F0F86">
              <w:rPr>
                <w:rFonts w:ascii="Calibri" w:hAnsi="Calibri"/>
                <w:sz w:val="18"/>
                <w:szCs w:val="18"/>
              </w:rPr>
              <w:t>2,0 ÷ 4,0</w:t>
            </w:r>
          </w:p>
        </w:tc>
        <w:tc>
          <w:tcPr>
            <w:tcW w:w="1878" w:type="dxa"/>
          </w:tcPr>
          <w:p w:rsidR="00134B2C" w:rsidRPr="006F0F86" w:rsidRDefault="00134B2C" w:rsidP="00FD47C7">
            <w:pPr>
              <w:spacing w:before="40" w:after="40"/>
              <w:jc w:val="center"/>
              <w:rPr>
                <w:rFonts w:ascii="Calibri" w:hAnsi="Calibri"/>
                <w:sz w:val="18"/>
                <w:szCs w:val="18"/>
              </w:rPr>
            </w:pPr>
            <w:r w:rsidRPr="006F0F86">
              <w:rPr>
                <w:rFonts w:ascii="Calibri" w:hAnsi="Calibri"/>
                <w:sz w:val="18"/>
                <w:szCs w:val="18"/>
              </w:rPr>
              <w:t>≥ 98</w:t>
            </w:r>
          </w:p>
        </w:tc>
        <w:tc>
          <w:tcPr>
            <w:tcW w:w="1878" w:type="dxa"/>
          </w:tcPr>
          <w:p w:rsidR="00134B2C" w:rsidRPr="006F0F86" w:rsidRDefault="00134B2C" w:rsidP="00FD47C7">
            <w:pPr>
              <w:spacing w:before="40" w:after="40"/>
              <w:jc w:val="center"/>
              <w:rPr>
                <w:rFonts w:ascii="Calibri" w:hAnsi="Calibri"/>
                <w:sz w:val="18"/>
                <w:szCs w:val="18"/>
              </w:rPr>
            </w:pPr>
            <w:r w:rsidRPr="006F0F86">
              <w:rPr>
                <w:rFonts w:ascii="Calibri" w:hAnsi="Calibri"/>
                <w:sz w:val="18"/>
                <w:szCs w:val="18"/>
              </w:rPr>
              <w:t>1,5 ÷ 4,0</w:t>
            </w:r>
          </w:p>
        </w:tc>
      </w:tr>
      <w:tr w:rsidR="00134B2C" w:rsidRPr="006F0F86" w:rsidTr="00FD47C7">
        <w:tc>
          <w:tcPr>
            <w:tcW w:w="1877" w:type="dxa"/>
          </w:tcPr>
          <w:p w:rsidR="00134B2C" w:rsidRPr="006F0F86" w:rsidRDefault="00134B2C" w:rsidP="00FD47C7">
            <w:pPr>
              <w:spacing w:before="40" w:after="40"/>
              <w:rPr>
                <w:rFonts w:ascii="Calibri" w:hAnsi="Calibri"/>
                <w:sz w:val="18"/>
                <w:szCs w:val="18"/>
              </w:rPr>
            </w:pPr>
            <w:r w:rsidRPr="006F0F86">
              <w:rPr>
                <w:rFonts w:ascii="Calibri" w:hAnsi="Calibri"/>
                <w:sz w:val="18"/>
                <w:szCs w:val="18"/>
              </w:rPr>
              <w:t>AC8S,     KR1-KR2</w:t>
            </w:r>
          </w:p>
        </w:tc>
        <w:tc>
          <w:tcPr>
            <w:tcW w:w="1878" w:type="dxa"/>
          </w:tcPr>
          <w:p w:rsidR="00134B2C" w:rsidRPr="006F0F86" w:rsidRDefault="00134B2C" w:rsidP="00FD47C7">
            <w:pPr>
              <w:spacing w:before="40" w:after="40"/>
              <w:jc w:val="center"/>
              <w:rPr>
                <w:rFonts w:ascii="Calibri" w:hAnsi="Calibri"/>
                <w:sz w:val="18"/>
                <w:szCs w:val="18"/>
              </w:rPr>
            </w:pPr>
            <w:r w:rsidRPr="006F0F86">
              <w:rPr>
                <w:rFonts w:ascii="Calibri" w:hAnsi="Calibri"/>
                <w:sz w:val="18"/>
                <w:szCs w:val="18"/>
              </w:rPr>
              <w:t>2,5 ÷ 4,5</w:t>
            </w:r>
          </w:p>
        </w:tc>
        <w:tc>
          <w:tcPr>
            <w:tcW w:w="1878" w:type="dxa"/>
          </w:tcPr>
          <w:p w:rsidR="00134B2C" w:rsidRPr="006F0F86" w:rsidRDefault="00134B2C" w:rsidP="00FD47C7">
            <w:pPr>
              <w:spacing w:before="40" w:after="40"/>
              <w:jc w:val="center"/>
              <w:rPr>
                <w:rFonts w:ascii="Calibri" w:hAnsi="Calibri"/>
                <w:sz w:val="18"/>
                <w:szCs w:val="18"/>
              </w:rPr>
            </w:pPr>
            <w:r w:rsidRPr="006F0F86">
              <w:rPr>
                <w:rFonts w:ascii="Calibri" w:hAnsi="Calibri"/>
                <w:sz w:val="18"/>
                <w:szCs w:val="18"/>
              </w:rPr>
              <w:t>≥ 98</w:t>
            </w:r>
          </w:p>
        </w:tc>
        <w:tc>
          <w:tcPr>
            <w:tcW w:w="1878" w:type="dxa"/>
          </w:tcPr>
          <w:p w:rsidR="00134B2C" w:rsidRPr="006F0F86" w:rsidRDefault="00134B2C" w:rsidP="00FD47C7">
            <w:pPr>
              <w:spacing w:before="40" w:after="40"/>
              <w:jc w:val="center"/>
              <w:rPr>
                <w:rFonts w:ascii="Calibri" w:hAnsi="Calibri"/>
                <w:sz w:val="18"/>
                <w:szCs w:val="18"/>
              </w:rPr>
            </w:pPr>
            <w:r w:rsidRPr="006F0F86">
              <w:rPr>
                <w:rFonts w:ascii="Calibri" w:hAnsi="Calibri"/>
                <w:sz w:val="18"/>
                <w:szCs w:val="18"/>
              </w:rPr>
              <w:t>1,5 ÷ 4,0</w:t>
            </w:r>
          </w:p>
        </w:tc>
      </w:tr>
      <w:tr w:rsidR="00134B2C" w:rsidRPr="006F0F86" w:rsidTr="00FD47C7">
        <w:tc>
          <w:tcPr>
            <w:tcW w:w="1877" w:type="dxa"/>
          </w:tcPr>
          <w:p w:rsidR="00134B2C" w:rsidRPr="006F0F86" w:rsidRDefault="00134B2C" w:rsidP="00FD47C7">
            <w:pPr>
              <w:spacing w:before="40" w:after="40"/>
              <w:rPr>
                <w:rFonts w:ascii="Calibri" w:hAnsi="Calibri"/>
                <w:sz w:val="18"/>
                <w:szCs w:val="18"/>
              </w:rPr>
            </w:pPr>
            <w:r w:rsidRPr="006F0F86">
              <w:rPr>
                <w:rFonts w:ascii="Calibri" w:hAnsi="Calibri"/>
                <w:sz w:val="18"/>
                <w:szCs w:val="18"/>
              </w:rPr>
              <w:t>AC11S,   KR1-KR2</w:t>
            </w:r>
          </w:p>
        </w:tc>
        <w:tc>
          <w:tcPr>
            <w:tcW w:w="1878" w:type="dxa"/>
          </w:tcPr>
          <w:p w:rsidR="00134B2C" w:rsidRPr="006F0F86" w:rsidRDefault="00134B2C" w:rsidP="00FD47C7">
            <w:pPr>
              <w:spacing w:before="40" w:after="40"/>
              <w:jc w:val="center"/>
              <w:rPr>
                <w:rFonts w:ascii="Calibri" w:hAnsi="Calibri"/>
                <w:sz w:val="18"/>
                <w:szCs w:val="18"/>
              </w:rPr>
            </w:pPr>
            <w:r w:rsidRPr="006F0F86">
              <w:rPr>
                <w:rFonts w:ascii="Calibri" w:hAnsi="Calibri"/>
                <w:sz w:val="18"/>
                <w:szCs w:val="18"/>
              </w:rPr>
              <w:t>3,0 ÷ 5,0</w:t>
            </w:r>
          </w:p>
        </w:tc>
        <w:tc>
          <w:tcPr>
            <w:tcW w:w="1878" w:type="dxa"/>
          </w:tcPr>
          <w:p w:rsidR="00134B2C" w:rsidRPr="006F0F86" w:rsidRDefault="00134B2C" w:rsidP="00FD47C7">
            <w:pPr>
              <w:spacing w:before="40" w:after="40"/>
              <w:jc w:val="center"/>
              <w:rPr>
                <w:rFonts w:ascii="Calibri" w:hAnsi="Calibri"/>
                <w:sz w:val="18"/>
                <w:szCs w:val="18"/>
              </w:rPr>
            </w:pPr>
            <w:r w:rsidRPr="006F0F86">
              <w:rPr>
                <w:rFonts w:ascii="Calibri" w:hAnsi="Calibri"/>
                <w:sz w:val="18"/>
                <w:szCs w:val="18"/>
              </w:rPr>
              <w:t>≥ 98</w:t>
            </w:r>
          </w:p>
        </w:tc>
        <w:tc>
          <w:tcPr>
            <w:tcW w:w="1878" w:type="dxa"/>
          </w:tcPr>
          <w:p w:rsidR="00134B2C" w:rsidRPr="006F0F86" w:rsidRDefault="00134B2C" w:rsidP="00FD47C7">
            <w:pPr>
              <w:spacing w:before="40" w:after="40"/>
              <w:jc w:val="center"/>
              <w:rPr>
                <w:rFonts w:ascii="Calibri" w:hAnsi="Calibri"/>
                <w:sz w:val="18"/>
                <w:szCs w:val="18"/>
              </w:rPr>
            </w:pPr>
            <w:r w:rsidRPr="006F0F86">
              <w:rPr>
                <w:rFonts w:ascii="Calibri" w:hAnsi="Calibri"/>
                <w:sz w:val="18"/>
                <w:szCs w:val="18"/>
              </w:rPr>
              <w:t>1,5 ÷ 4,0</w:t>
            </w:r>
          </w:p>
        </w:tc>
      </w:tr>
      <w:tr w:rsidR="00134B2C" w:rsidRPr="006F0F86" w:rsidTr="00FD47C7">
        <w:tc>
          <w:tcPr>
            <w:tcW w:w="1877" w:type="dxa"/>
          </w:tcPr>
          <w:p w:rsidR="00134B2C" w:rsidRPr="006F0F86" w:rsidRDefault="00134B2C" w:rsidP="00FD47C7">
            <w:pPr>
              <w:spacing w:before="40" w:after="40"/>
              <w:rPr>
                <w:rFonts w:ascii="Calibri" w:hAnsi="Calibri"/>
                <w:sz w:val="18"/>
                <w:szCs w:val="18"/>
              </w:rPr>
            </w:pPr>
            <w:r w:rsidRPr="006F0F86">
              <w:rPr>
                <w:rFonts w:ascii="Calibri" w:hAnsi="Calibri"/>
                <w:sz w:val="18"/>
                <w:szCs w:val="18"/>
              </w:rPr>
              <w:t>AC8S,     KR3-KR6</w:t>
            </w:r>
          </w:p>
        </w:tc>
        <w:tc>
          <w:tcPr>
            <w:tcW w:w="1878" w:type="dxa"/>
          </w:tcPr>
          <w:p w:rsidR="00134B2C" w:rsidRPr="006F0F86" w:rsidRDefault="00134B2C" w:rsidP="00FD47C7">
            <w:pPr>
              <w:spacing w:before="40" w:after="40"/>
              <w:jc w:val="center"/>
              <w:rPr>
                <w:rFonts w:ascii="Calibri" w:hAnsi="Calibri"/>
                <w:sz w:val="18"/>
                <w:szCs w:val="18"/>
              </w:rPr>
            </w:pPr>
            <w:r w:rsidRPr="006F0F86">
              <w:rPr>
                <w:rFonts w:ascii="Calibri" w:hAnsi="Calibri"/>
                <w:sz w:val="18"/>
                <w:szCs w:val="18"/>
              </w:rPr>
              <w:t>2,5÷4,5</w:t>
            </w:r>
          </w:p>
        </w:tc>
        <w:tc>
          <w:tcPr>
            <w:tcW w:w="1878" w:type="dxa"/>
          </w:tcPr>
          <w:p w:rsidR="00134B2C" w:rsidRPr="006F0F86" w:rsidRDefault="00134B2C" w:rsidP="00FD47C7">
            <w:pPr>
              <w:spacing w:before="40" w:after="40"/>
              <w:jc w:val="center"/>
              <w:rPr>
                <w:rFonts w:ascii="Calibri" w:hAnsi="Calibri"/>
                <w:sz w:val="18"/>
                <w:szCs w:val="18"/>
              </w:rPr>
            </w:pPr>
            <w:r w:rsidRPr="006F0F86">
              <w:rPr>
                <w:rFonts w:ascii="Calibri" w:hAnsi="Calibri"/>
                <w:sz w:val="18"/>
                <w:szCs w:val="18"/>
              </w:rPr>
              <w:t>≥ 98</w:t>
            </w:r>
          </w:p>
        </w:tc>
        <w:tc>
          <w:tcPr>
            <w:tcW w:w="1878" w:type="dxa"/>
          </w:tcPr>
          <w:p w:rsidR="00134B2C" w:rsidRPr="006F0F86" w:rsidRDefault="00134B2C" w:rsidP="00FD47C7">
            <w:pPr>
              <w:spacing w:before="40" w:after="40"/>
              <w:jc w:val="center"/>
              <w:rPr>
                <w:rFonts w:ascii="Calibri" w:hAnsi="Calibri"/>
                <w:sz w:val="18"/>
                <w:szCs w:val="18"/>
              </w:rPr>
            </w:pPr>
            <w:r w:rsidRPr="006F0F86">
              <w:rPr>
                <w:rFonts w:ascii="Calibri" w:hAnsi="Calibri"/>
                <w:sz w:val="18"/>
                <w:szCs w:val="18"/>
              </w:rPr>
              <w:t>3,0÷5,0</w:t>
            </w:r>
          </w:p>
        </w:tc>
      </w:tr>
      <w:tr w:rsidR="00134B2C" w:rsidRPr="006F0F86" w:rsidTr="00FD47C7">
        <w:tc>
          <w:tcPr>
            <w:tcW w:w="1877" w:type="dxa"/>
          </w:tcPr>
          <w:p w:rsidR="00134B2C" w:rsidRPr="006F0F86" w:rsidRDefault="00134B2C" w:rsidP="00FD47C7">
            <w:pPr>
              <w:spacing w:before="40" w:after="40"/>
              <w:rPr>
                <w:rFonts w:ascii="Calibri" w:hAnsi="Calibri"/>
                <w:sz w:val="18"/>
                <w:szCs w:val="18"/>
              </w:rPr>
            </w:pPr>
            <w:r w:rsidRPr="006F0F86">
              <w:rPr>
                <w:rFonts w:ascii="Calibri" w:hAnsi="Calibri"/>
                <w:sz w:val="18"/>
                <w:szCs w:val="18"/>
              </w:rPr>
              <w:t>AC11S,   KR3-KR6</w:t>
            </w:r>
          </w:p>
        </w:tc>
        <w:tc>
          <w:tcPr>
            <w:tcW w:w="1878" w:type="dxa"/>
          </w:tcPr>
          <w:p w:rsidR="00134B2C" w:rsidRPr="006F0F86" w:rsidRDefault="00134B2C" w:rsidP="00FD47C7">
            <w:pPr>
              <w:spacing w:before="40" w:after="40"/>
              <w:jc w:val="center"/>
              <w:rPr>
                <w:rFonts w:ascii="Calibri" w:hAnsi="Calibri"/>
                <w:sz w:val="18"/>
                <w:szCs w:val="18"/>
              </w:rPr>
            </w:pPr>
            <w:r w:rsidRPr="006F0F86">
              <w:rPr>
                <w:rFonts w:ascii="Calibri" w:hAnsi="Calibri"/>
                <w:sz w:val="18"/>
                <w:szCs w:val="18"/>
              </w:rPr>
              <w:t>3,0 ÷ 5,0</w:t>
            </w:r>
          </w:p>
        </w:tc>
        <w:tc>
          <w:tcPr>
            <w:tcW w:w="1878" w:type="dxa"/>
          </w:tcPr>
          <w:p w:rsidR="00134B2C" w:rsidRPr="006F0F86" w:rsidRDefault="00134B2C" w:rsidP="00FD47C7">
            <w:pPr>
              <w:spacing w:before="40" w:after="40"/>
              <w:jc w:val="center"/>
              <w:rPr>
                <w:rFonts w:ascii="Calibri" w:hAnsi="Calibri"/>
                <w:sz w:val="18"/>
                <w:szCs w:val="18"/>
              </w:rPr>
            </w:pPr>
            <w:r w:rsidRPr="006F0F86">
              <w:rPr>
                <w:rFonts w:ascii="Calibri" w:hAnsi="Calibri"/>
                <w:sz w:val="18"/>
                <w:szCs w:val="18"/>
              </w:rPr>
              <w:t>≥ 98</w:t>
            </w:r>
          </w:p>
        </w:tc>
        <w:tc>
          <w:tcPr>
            <w:tcW w:w="1878" w:type="dxa"/>
          </w:tcPr>
          <w:p w:rsidR="00134B2C" w:rsidRPr="006F0F86" w:rsidRDefault="00134B2C" w:rsidP="00FD47C7">
            <w:pPr>
              <w:spacing w:before="40" w:after="40"/>
              <w:jc w:val="center"/>
              <w:rPr>
                <w:rFonts w:ascii="Calibri" w:hAnsi="Calibri"/>
                <w:sz w:val="18"/>
                <w:szCs w:val="18"/>
              </w:rPr>
            </w:pPr>
            <w:r w:rsidRPr="006F0F86">
              <w:rPr>
                <w:rFonts w:ascii="Calibri" w:hAnsi="Calibri"/>
                <w:sz w:val="18"/>
                <w:szCs w:val="18"/>
              </w:rPr>
              <w:t>3,0÷5,0</w:t>
            </w:r>
          </w:p>
        </w:tc>
      </w:tr>
    </w:tbl>
    <w:p w:rsidR="00134B2C" w:rsidRPr="006F0F86" w:rsidRDefault="00134B2C" w:rsidP="00134B2C">
      <w:pPr>
        <w:rPr>
          <w:rFonts w:ascii="Calibri" w:hAnsi="Calibri"/>
        </w:rPr>
      </w:pPr>
    </w:p>
    <w:p w:rsidR="00134B2C" w:rsidRPr="006F0F86" w:rsidRDefault="00134B2C" w:rsidP="00134B2C">
      <w:pPr>
        <w:rPr>
          <w:rFonts w:ascii="Calibri" w:hAnsi="Calibri"/>
        </w:rPr>
      </w:pPr>
      <w:r w:rsidRPr="006F0F86">
        <w:rPr>
          <w:rFonts w:ascii="Calibri" w:hAnsi="Calibri"/>
        </w:rPr>
        <w:tab/>
        <w:t>Mieszanka mineralno-asfaltowa powinna być wbudowywana rozkładarką wyposażoną w układ automatycznego sterowania grubości warstwy i utrzymywania niwelety zgodnie z dokumentacją projektową. W miejscach niedostępnych dla sprzętu dopuszcza się wbudowywanie ręczne.</w:t>
      </w:r>
    </w:p>
    <w:p w:rsidR="00134B2C" w:rsidRPr="006F0F86" w:rsidRDefault="00134B2C" w:rsidP="00134B2C">
      <w:pPr>
        <w:rPr>
          <w:rFonts w:ascii="Calibri" w:hAnsi="Calibri"/>
        </w:rPr>
      </w:pPr>
      <w:r w:rsidRPr="006F0F86">
        <w:rPr>
          <w:rFonts w:ascii="Calibri" w:hAnsi="Calibri"/>
        </w:rPr>
        <w:tab/>
        <w:t xml:space="preserve">Grubość wykonywanej warstwy powinna być sprawdzana co </w:t>
      </w:r>
      <w:smartTag w:uri="urn:schemas-microsoft-com:office:smarttags" w:element="metricconverter">
        <w:smartTagPr>
          <w:attr w:name="ProductID" w:val="25 m"/>
        </w:smartTagPr>
        <w:r w:rsidRPr="006F0F86">
          <w:rPr>
            <w:rFonts w:ascii="Calibri" w:hAnsi="Calibri"/>
          </w:rPr>
          <w:t>25 m</w:t>
        </w:r>
      </w:smartTag>
      <w:r w:rsidRPr="006F0F86">
        <w:rPr>
          <w:rFonts w:ascii="Calibri" w:hAnsi="Calibri"/>
        </w:rPr>
        <w:t>, w co najmniej trzech miejscach (w osi i przy brzegach warstwy).</w:t>
      </w:r>
    </w:p>
    <w:p w:rsidR="00134B2C" w:rsidRDefault="00134B2C" w:rsidP="00134B2C">
      <w:pPr>
        <w:rPr>
          <w:rFonts w:ascii="Calibri" w:hAnsi="Calibri"/>
        </w:rPr>
      </w:pPr>
      <w:r w:rsidRPr="006F0F86">
        <w:rPr>
          <w:rFonts w:ascii="Calibri" w:hAnsi="Calibri"/>
        </w:rPr>
        <w:tab/>
        <w:t xml:space="preserve">Warstwy wałowane powinny być równomiernie zagęszczone ciężkimi walcami drogowymi. Do warstw z betonu asfaltowego należy stosować walce drogowe stalowe gładkie z możliwością wibracji, oscylacji lub walce ogumione. </w:t>
      </w:r>
    </w:p>
    <w:p w:rsidR="00134B2C" w:rsidRPr="006F0F86" w:rsidRDefault="00134B2C" w:rsidP="00134B2C">
      <w:pPr>
        <w:rPr>
          <w:rFonts w:ascii="Calibri" w:hAnsi="Calibri"/>
        </w:rPr>
      </w:pPr>
    </w:p>
    <w:p w:rsidR="00134B2C" w:rsidRPr="00EC730D" w:rsidRDefault="00134B2C" w:rsidP="00134B2C">
      <w:pPr>
        <w:rPr>
          <w:rFonts w:ascii="Calibri" w:hAnsi="Calibri"/>
          <w:b/>
        </w:rPr>
      </w:pPr>
      <w:bookmarkStart w:id="1488" w:name="_Toc237920704"/>
      <w:r w:rsidRPr="00EC730D">
        <w:rPr>
          <w:rFonts w:ascii="Calibri" w:hAnsi="Calibri"/>
          <w:b/>
        </w:rPr>
        <w:t xml:space="preserve">6. </w:t>
      </w:r>
      <w:bookmarkEnd w:id="1488"/>
      <w:r w:rsidRPr="00EC730D">
        <w:rPr>
          <w:rFonts w:ascii="Calibri" w:hAnsi="Calibri"/>
          <w:b/>
        </w:rPr>
        <w:t>KONTROLA JAKOŚCI ROBÓT</w:t>
      </w:r>
    </w:p>
    <w:p w:rsidR="00134B2C" w:rsidRPr="006F0F86" w:rsidRDefault="00134B2C" w:rsidP="00134B2C">
      <w:pPr>
        <w:rPr>
          <w:rFonts w:ascii="Calibri" w:hAnsi="Calibri"/>
        </w:rPr>
      </w:pPr>
      <w:r w:rsidRPr="00EC730D">
        <w:rPr>
          <w:rFonts w:ascii="Calibri" w:hAnsi="Calibri"/>
          <w:b/>
        </w:rPr>
        <w:t>6.1.</w:t>
      </w:r>
      <w:r w:rsidRPr="006F0F86">
        <w:rPr>
          <w:rFonts w:ascii="Calibri" w:hAnsi="Calibri"/>
        </w:rPr>
        <w:t xml:space="preserve"> Ogólne zasady kontroli jakości robót</w:t>
      </w:r>
    </w:p>
    <w:p w:rsidR="00134B2C" w:rsidRPr="006F0F86" w:rsidRDefault="00134B2C" w:rsidP="00134B2C">
      <w:pPr>
        <w:rPr>
          <w:rFonts w:ascii="Calibri" w:hAnsi="Calibri"/>
        </w:rPr>
      </w:pPr>
      <w:r w:rsidRPr="006F0F86">
        <w:rPr>
          <w:rFonts w:ascii="Calibri" w:hAnsi="Calibri"/>
        </w:rPr>
        <w:tab/>
        <w:t>Ogólne zasady k</w:t>
      </w:r>
      <w:r>
        <w:rPr>
          <w:rFonts w:ascii="Calibri" w:hAnsi="Calibri"/>
        </w:rPr>
        <w:t xml:space="preserve">ontroli jakości robót podano w </w:t>
      </w:r>
      <w:r w:rsidRPr="006F0F86">
        <w:rPr>
          <w:rFonts w:ascii="Calibri" w:hAnsi="Calibri"/>
        </w:rPr>
        <w:t>ST   D-M-00.00.00 „Wymagania ogólne” [1] pkt 6.</w:t>
      </w:r>
    </w:p>
    <w:p w:rsidR="00134B2C" w:rsidRPr="006F0F86" w:rsidRDefault="00134B2C" w:rsidP="00134B2C">
      <w:pPr>
        <w:rPr>
          <w:rFonts w:ascii="Calibri" w:hAnsi="Calibri"/>
        </w:rPr>
      </w:pPr>
      <w:r w:rsidRPr="00EC730D">
        <w:rPr>
          <w:rFonts w:ascii="Calibri" w:hAnsi="Calibri"/>
          <w:b/>
        </w:rPr>
        <w:t>6.2.</w:t>
      </w:r>
      <w:r w:rsidRPr="006F0F86">
        <w:rPr>
          <w:rFonts w:ascii="Calibri" w:hAnsi="Calibri"/>
        </w:rPr>
        <w:t xml:space="preserve"> Badania przed przystąpieniem do robót</w:t>
      </w:r>
    </w:p>
    <w:p w:rsidR="00134B2C" w:rsidRPr="006F0F86" w:rsidRDefault="00134B2C" w:rsidP="00134B2C">
      <w:pPr>
        <w:rPr>
          <w:rFonts w:ascii="Calibri" w:hAnsi="Calibri"/>
        </w:rPr>
      </w:pPr>
      <w:r w:rsidRPr="006F0F86">
        <w:rPr>
          <w:rFonts w:ascii="Calibri" w:hAnsi="Calibri"/>
        </w:rPr>
        <w:tab/>
        <w:t>Przed przystąpieniem do robót Wykonawca powinien:</w:t>
      </w:r>
    </w:p>
    <w:p w:rsidR="00134B2C" w:rsidRPr="006F0F86" w:rsidRDefault="00134B2C" w:rsidP="00134B2C">
      <w:pPr>
        <w:rPr>
          <w:rFonts w:ascii="Calibri" w:hAnsi="Calibri"/>
        </w:rPr>
      </w:pPr>
      <w:r>
        <w:rPr>
          <w:rFonts w:ascii="Calibri" w:hAnsi="Calibri"/>
        </w:rPr>
        <w:t>-</w:t>
      </w:r>
      <w:r w:rsidRPr="006F0F86">
        <w:rPr>
          <w:rFonts w:ascii="Calibri" w:hAnsi="Calibri"/>
        </w:rPr>
        <w:t>uzyskać wymagane dokumenty, dopuszczające wyroby budowlane do obrotu i powszechnego stosowania (np. stwierdzenie o oznakowaniu materiału znakiem CE lub znakiem budowlanym B, certyfikat zgodności, deklarację zgodności, aprobatę techniczną, ew. badania materiałów wykonane przez dostawców itp.),</w:t>
      </w:r>
    </w:p>
    <w:p w:rsidR="00134B2C" w:rsidRPr="006F0F86" w:rsidRDefault="00134B2C" w:rsidP="00134B2C">
      <w:pPr>
        <w:rPr>
          <w:rFonts w:ascii="Calibri" w:hAnsi="Calibri"/>
        </w:rPr>
      </w:pPr>
      <w:r>
        <w:rPr>
          <w:rFonts w:ascii="Calibri" w:hAnsi="Calibri"/>
        </w:rPr>
        <w:t>-</w:t>
      </w:r>
      <w:r w:rsidRPr="006F0F86">
        <w:rPr>
          <w:rFonts w:ascii="Calibri" w:hAnsi="Calibri"/>
        </w:rPr>
        <w:t>ew. wykonać własne badania właściwości materiałów przeznaczonych do wykonania robót, określone przez Inżyniera.</w:t>
      </w:r>
    </w:p>
    <w:p w:rsidR="00134B2C" w:rsidRPr="006F0F86" w:rsidRDefault="00134B2C" w:rsidP="00134B2C">
      <w:pPr>
        <w:rPr>
          <w:rFonts w:ascii="Calibri" w:hAnsi="Calibri"/>
        </w:rPr>
      </w:pPr>
      <w:r w:rsidRPr="006F0F86">
        <w:rPr>
          <w:rFonts w:ascii="Calibri" w:hAnsi="Calibri"/>
        </w:rPr>
        <w:tab/>
        <w:t>Wszystkie dokumenty oraz wyniki badań Wykonawca przedstawia Inżynierowi do akceptacji.</w:t>
      </w:r>
    </w:p>
    <w:p w:rsidR="00134B2C" w:rsidRPr="006F0F86" w:rsidRDefault="00134B2C" w:rsidP="00134B2C">
      <w:pPr>
        <w:rPr>
          <w:rFonts w:ascii="Calibri" w:hAnsi="Calibri"/>
        </w:rPr>
      </w:pPr>
      <w:r w:rsidRPr="00EC730D">
        <w:rPr>
          <w:rFonts w:ascii="Calibri" w:hAnsi="Calibri"/>
          <w:b/>
        </w:rPr>
        <w:t>6.3.</w:t>
      </w:r>
      <w:r w:rsidRPr="006F0F86">
        <w:rPr>
          <w:rFonts w:ascii="Calibri" w:hAnsi="Calibri"/>
        </w:rPr>
        <w:t xml:space="preserve"> Badania w czasie robót</w:t>
      </w:r>
    </w:p>
    <w:p w:rsidR="00134B2C" w:rsidRPr="006F0F86" w:rsidRDefault="00134B2C" w:rsidP="00134B2C">
      <w:pPr>
        <w:rPr>
          <w:rFonts w:ascii="Calibri" w:hAnsi="Calibri"/>
        </w:rPr>
      </w:pPr>
      <w:r w:rsidRPr="00EC730D">
        <w:rPr>
          <w:rFonts w:ascii="Calibri" w:hAnsi="Calibri"/>
          <w:b/>
        </w:rPr>
        <w:t xml:space="preserve">6.3.1. </w:t>
      </w:r>
      <w:r w:rsidRPr="006F0F86">
        <w:rPr>
          <w:rFonts w:ascii="Calibri" w:hAnsi="Calibri"/>
        </w:rPr>
        <w:t>Uwagi ogólne</w:t>
      </w:r>
    </w:p>
    <w:p w:rsidR="00134B2C" w:rsidRPr="006F0F86" w:rsidRDefault="00134B2C" w:rsidP="00134B2C">
      <w:pPr>
        <w:rPr>
          <w:rFonts w:ascii="Calibri" w:hAnsi="Calibri"/>
        </w:rPr>
      </w:pPr>
      <w:r w:rsidRPr="006F0F86">
        <w:rPr>
          <w:rFonts w:ascii="Calibri" w:hAnsi="Calibri"/>
        </w:rPr>
        <w:tab/>
        <w:t>Badania dzielą się na:</w:t>
      </w:r>
    </w:p>
    <w:p w:rsidR="00134B2C" w:rsidRPr="006F0F86" w:rsidRDefault="00134B2C" w:rsidP="00134B2C">
      <w:pPr>
        <w:rPr>
          <w:rFonts w:ascii="Calibri" w:hAnsi="Calibri"/>
        </w:rPr>
      </w:pPr>
      <w:r>
        <w:rPr>
          <w:rFonts w:ascii="Calibri" w:hAnsi="Calibri"/>
        </w:rPr>
        <w:t>-</w:t>
      </w:r>
      <w:r w:rsidRPr="006F0F86">
        <w:rPr>
          <w:rFonts w:ascii="Calibri" w:hAnsi="Calibri"/>
        </w:rPr>
        <w:t>badania wykonawcy (w ramach własnego nadzoru),</w:t>
      </w:r>
    </w:p>
    <w:p w:rsidR="00134B2C" w:rsidRPr="006F0F86" w:rsidRDefault="00134B2C" w:rsidP="00134B2C">
      <w:pPr>
        <w:rPr>
          <w:rFonts w:ascii="Calibri" w:hAnsi="Calibri"/>
        </w:rPr>
      </w:pPr>
      <w:r>
        <w:rPr>
          <w:rFonts w:ascii="Calibri" w:hAnsi="Calibri"/>
        </w:rPr>
        <w:t>-</w:t>
      </w:r>
      <w:r w:rsidRPr="006F0F86">
        <w:rPr>
          <w:rFonts w:ascii="Calibri" w:hAnsi="Calibri"/>
        </w:rPr>
        <w:t>badania kontrolne (w ramach nadzoru zleceniodawcy – Inżyniera).</w:t>
      </w:r>
    </w:p>
    <w:p w:rsidR="00134B2C" w:rsidRPr="006F0F86" w:rsidRDefault="00134B2C" w:rsidP="00134B2C">
      <w:pPr>
        <w:rPr>
          <w:rFonts w:ascii="Calibri" w:hAnsi="Calibri"/>
        </w:rPr>
      </w:pPr>
      <w:r w:rsidRPr="00EC730D">
        <w:rPr>
          <w:rFonts w:ascii="Calibri" w:hAnsi="Calibri"/>
          <w:b/>
        </w:rPr>
        <w:t>6.3.2.</w:t>
      </w:r>
      <w:r w:rsidRPr="006F0F86">
        <w:rPr>
          <w:rFonts w:ascii="Calibri" w:hAnsi="Calibri"/>
        </w:rPr>
        <w:t xml:space="preserve"> Badania Wykonawcy</w:t>
      </w:r>
    </w:p>
    <w:p w:rsidR="00134B2C" w:rsidRPr="006F0F86" w:rsidRDefault="00134B2C" w:rsidP="00134B2C">
      <w:pPr>
        <w:rPr>
          <w:rFonts w:ascii="Calibri" w:hAnsi="Calibri"/>
        </w:rPr>
      </w:pPr>
      <w:r w:rsidRPr="006F0F86">
        <w:rPr>
          <w:rFonts w:ascii="Calibri" w:hAnsi="Calibri"/>
        </w:rPr>
        <w:tab/>
        <w:t>Badania Wykonawcy są wykonywane przez Wykonawcę lub jego zleceniobiorców celem sprawdzenia, czy jakość materiałów budowlanych (mieszanek mineralno-asfaltowych i ich składników, lepiszczy i materiałów do uszczelnień itp.) oraz gotowej warstwy (wbudowane warstwy asfaltowe, połączenia itp.) spełniają wymagania określone w kontrakcie.</w:t>
      </w:r>
    </w:p>
    <w:p w:rsidR="00134B2C" w:rsidRPr="006F0F86" w:rsidRDefault="00134B2C" w:rsidP="00134B2C">
      <w:pPr>
        <w:rPr>
          <w:rFonts w:ascii="Calibri" w:hAnsi="Calibri"/>
        </w:rPr>
      </w:pPr>
      <w:r w:rsidRPr="006F0F86">
        <w:rPr>
          <w:rFonts w:ascii="Calibri" w:hAnsi="Calibri"/>
        </w:rPr>
        <w:tab/>
        <w:t>Wykonawca powinien wykonywać te badania podczas realizacji kontraktu, z niezbędną starannością i w wymaganym zakresie. Wyniki należy zapisywać w protokołach. W razie stwierdzenia uchybień w stosunku do wymagań kontraktu, ich przyczyny należy niezwłocznie usunąć.</w:t>
      </w:r>
    </w:p>
    <w:p w:rsidR="00134B2C" w:rsidRPr="006F0F86" w:rsidRDefault="00134B2C" w:rsidP="00134B2C">
      <w:pPr>
        <w:rPr>
          <w:rFonts w:ascii="Calibri" w:hAnsi="Calibri"/>
        </w:rPr>
      </w:pPr>
      <w:r w:rsidRPr="006F0F86">
        <w:rPr>
          <w:rFonts w:ascii="Calibri" w:hAnsi="Calibri"/>
        </w:rPr>
        <w:tab/>
        <w:t>Wyniki badań Wykonawcy należy przekazywać zleceniodawcy na jego żądanie. Inżynier może zdecydować o dokonaniu odbioru na podstawie badań Wykonawcy. W razie zastrzeżeń Inżynier może przeprowadzić badania kontrolne według pktu 6.3.3.</w:t>
      </w:r>
    </w:p>
    <w:p w:rsidR="00134B2C" w:rsidRPr="006F0F86" w:rsidRDefault="00134B2C" w:rsidP="00134B2C">
      <w:pPr>
        <w:rPr>
          <w:rFonts w:ascii="Calibri" w:hAnsi="Calibri"/>
        </w:rPr>
      </w:pPr>
      <w:r w:rsidRPr="006F0F86">
        <w:rPr>
          <w:rFonts w:ascii="Calibri" w:hAnsi="Calibri"/>
        </w:rPr>
        <w:tab/>
        <w:t>Zakres badań Wykonawcy związany z wykonywaniem nawierzchni:</w:t>
      </w:r>
    </w:p>
    <w:p w:rsidR="00134B2C" w:rsidRPr="006F0F86" w:rsidRDefault="00134B2C" w:rsidP="00134B2C">
      <w:pPr>
        <w:rPr>
          <w:rFonts w:ascii="Calibri" w:hAnsi="Calibri"/>
        </w:rPr>
      </w:pPr>
      <w:r>
        <w:rPr>
          <w:rFonts w:ascii="Calibri" w:hAnsi="Calibri"/>
        </w:rPr>
        <w:t>-</w:t>
      </w:r>
      <w:r w:rsidRPr="006F0F86">
        <w:rPr>
          <w:rFonts w:ascii="Calibri" w:hAnsi="Calibri"/>
        </w:rPr>
        <w:t>pomiar temperatury powietrza,</w:t>
      </w:r>
    </w:p>
    <w:p w:rsidR="00134B2C" w:rsidRPr="006F0F86" w:rsidRDefault="00134B2C" w:rsidP="00134B2C">
      <w:pPr>
        <w:rPr>
          <w:rFonts w:ascii="Calibri" w:hAnsi="Calibri"/>
        </w:rPr>
      </w:pPr>
      <w:r>
        <w:rPr>
          <w:rFonts w:ascii="Calibri" w:hAnsi="Calibri"/>
        </w:rPr>
        <w:t>-</w:t>
      </w:r>
      <w:r w:rsidRPr="006F0F86">
        <w:rPr>
          <w:rFonts w:ascii="Calibri" w:hAnsi="Calibri"/>
        </w:rPr>
        <w:t>pomiar temperatury mieszanki mineralno-asfaltowej podczas wykonywania nawierzchni (wg PN-EN 12697-13 [36]),</w:t>
      </w:r>
    </w:p>
    <w:p w:rsidR="00134B2C" w:rsidRPr="006F0F86" w:rsidRDefault="00134B2C" w:rsidP="00134B2C">
      <w:pPr>
        <w:rPr>
          <w:rFonts w:ascii="Calibri" w:hAnsi="Calibri"/>
        </w:rPr>
      </w:pPr>
      <w:r>
        <w:rPr>
          <w:rFonts w:ascii="Calibri" w:hAnsi="Calibri"/>
        </w:rPr>
        <w:t>-</w:t>
      </w:r>
      <w:r w:rsidRPr="006F0F86">
        <w:rPr>
          <w:rFonts w:ascii="Calibri" w:hAnsi="Calibri"/>
        </w:rPr>
        <w:t>ocena wizualna mieszanki mineralno-asfaltowej,</w:t>
      </w:r>
    </w:p>
    <w:p w:rsidR="00134B2C" w:rsidRPr="006F0F86" w:rsidRDefault="00134B2C" w:rsidP="00134B2C">
      <w:pPr>
        <w:rPr>
          <w:rFonts w:ascii="Calibri" w:hAnsi="Calibri"/>
        </w:rPr>
      </w:pPr>
      <w:r>
        <w:rPr>
          <w:rFonts w:ascii="Calibri" w:hAnsi="Calibri"/>
        </w:rPr>
        <w:t>-</w:t>
      </w:r>
      <w:r w:rsidRPr="006F0F86">
        <w:rPr>
          <w:rFonts w:ascii="Calibri" w:hAnsi="Calibri"/>
        </w:rPr>
        <w:t>wykaz ilości materiałów lub grubości wykonanej warstwy,</w:t>
      </w:r>
    </w:p>
    <w:p w:rsidR="00134B2C" w:rsidRPr="006F0F86" w:rsidRDefault="00134B2C" w:rsidP="00134B2C">
      <w:pPr>
        <w:rPr>
          <w:rFonts w:ascii="Calibri" w:hAnsi="Calibri"/>
        </w:rPr>
      </w:pPr>
      <w:r>
        <w:rPr>
          <w:rFonts w:ascii="Calibri" w:hAnsi="Calibri"/>
        </w:rPr>
        <w:t>-</w:t>
      </w:r>
      <w:r w:rsidRPr="006F0F86">
        <w:rPr>
          <w:rFonts w:ascii="Calibri" w:hAnsi="Calibri"/>
        </w:rPr>
        <w:t>pomiar spadku poprzecznego warstwy asfaltowej,</w:t>
      </w:r>
    </w:p>
    <w:p w:rsidR="00134B2C" w:rsidRPr="006F0F86" w:rsidRDefault="00134B2C" w:rsidP="00134B2C">
      <w:pPr>
        <w:rPr>
          <w:rFonts w:ascii="Calibri" w:hAnsi="Calibri"/>
        </w:rPr>
      </w:pPr>
      <w:r>
        <w:rPr>
          <w:rFonts w:ascii="Calibri" w:hAnsi="Calibri"/>
        </w:rPr>
        <w:t>-</w:t>
      </w:r>
      <w:r w:rsidRPr="006F0F86">
        <w:rPr>
          <w:rFonts w:ascii="Calibri" w:hAnsi="Calibri"/>
        </w:rPr>
        <w:t>pomiar równości warstwy asfaltowej (wg pktu 6.4.2.5),</w:t>
      </w:r>
    </w:p>
    <w:p w:rsidR="00134B2C" w:rsidRPr="006F0F86" w:rsidRDefault="00134B2C" w:rsidP="00134B2C">
      <w:pPr>
        <w:rPr>
          <w:rFonts w:ascii="Calibri" w:hAnsi="Calibri"/>
        </w:rPr>
      </w:pPr>
      <w:r>
        <w:rPr>
          <w:rFonts w:ascii="Calibri" w:hAnsi="Calibri"/>
        </w:rPr>
        <w:t>-</w:t>
      </w:r>
      <w:r w:rsidRPr="006F0F86">
        <w:rPr>
          <w:rFonts w:ascii="Calibri" w:hAnsi="Calibri"/>
        </w:rPr>
        <w:t>pomiar parametrów geometrycznych poboczy,</w:t>
      </w:r>
    </w:p>
    <w:p w:rsidR="00134B2C" w:rsidRPr="006F0F86" w:rsidRDefault="00134B2C" w:rsidP="00134B2C">
      <w:pPr>
        <w:rPr>
          <w:rFonts w:ascii="Calibri" w:hAnsi="Calibri"/>
        </w:rPr>
      </w:pPr>
      <w:r>
        <w:rPr>
          <w:rFonts w:ascii="Calibri" w:hAnsi="Calibri"/>
        </w:rPr>
        <w:t>-</w:t>
      </w:r>
      <w:r w:rsidRPr="006F0F86">
        <w:rPr>
          <w:rFonts w:ascii="Calibri" w:hAnsi="Calibri"/>
        </w:rPr>
        <w:t>ocena wizualna jednorodności powierzchni warstwy,</w:t>
      </w:r>
    </w:p>
    <w:p w:rsidR="00134B2C" w:rsidRPr="006F0F86" w:rsidRDefault="00134B2C" w:rsidP="00134B2C">
      <w:pPr>
        <w:rPr>
          <w:rFonts w:ascii="Calibri" w:hAnsi="Calibri"/>
        </w:rPr>
      </w:pPr>
      <w:r>
        <w:rPr>
          <w:rFonts w:ascii="Calibri" w:hAnsi="Calibri"/>
        </w:rPr>
        <w:lastRenderedPageBreak/>
        <w:t>-</w:t>
      </w:r>
      <w:r w:rsidRPr="006F0F86">
        <w:rPr>
          <w:rFonts w:ascii="Calibri" w:hAnsi="Calibri"/>
        </w:rPr>
        <w:t>ocena wizualna jakości wykonania połączeń technologicznych.</w:t>
      </w:r>
    </w:p>
    <w:p w:rsidR="00134B2C" w:rsidRPr="006F0F86" w:rsidRDefault="00134B2C" w:rsidP="00134B2C">
      <w:pPr>
        <w:rPr>
          <w:rFonts w:ascii="Calibri" w:hAnsi="Calibri"/>
        </w:rPr>
      </w:pPr>
      <w:r w:rsidRPr="00EC730D">
        <w:rPr>
          <w:rFonts w:ascii="Calibri" w:hAnsi="Calibri"/>
          <w:b/>
        </w:rPr>
        <w:t>6.3.3.</w:t>
      </w:r>
      <w:r w:rsidRPr="006F0F86">
        <w:rPr>
          <w:rFonts w:ascii="Calibri" w:hAnsi="Calibri"/>
        </w:rPr>
        <w:t xml:space="preserve"> Badania kontrolne </w:t>
      </w:r>
    </w:p>
    <w:p w:rsidR="00134B2C" w:rsidRPr="006F0F86" w:rsidRDefault="00134B2C" w:rsidP="00134B2C">
      <w:pPr>
        <w:rPr>
          <w:rFonts w:ascii="Calibri" w:hAnsi="Calibri"/>
        </w:rPr>
      </w:pPr>
      <w:r w:rsidRPr="006F0F86">
        <w:rPr>
          <w:rFonts w:ascii="Calibri" w:hAnsi="Calibri"/>
        </w:rPr>
        <w:tab/>
        <w:t>Badania kontrolne są badaniami Inżyniera, których celem jest sprawdzenie, czy jakość materiałów budowlanych (mieszanek mineralno-asfaltowych i ich składników, lepiszczy i materiałów do uszczelnień itp.) oraz gotowej warstwy (wbudowane warstwy asfaltowe, połączenia itp.) spełniają wymagania określone w kontrakcie. Wyniki tych badań są podstawą odbioru. Pobieraniem próbek i wykonaniem badań na miejscu budowy zajmuje się Inżynier w obecności Wykonawcy. Badania odbywają się również wtedy, gdy Wykonawca zostanie w porę powiadomiony o ich terminie, jednak nie będzie przy nich obecny.</w:t>
      </w:r>
    </w:p>
    <w:p w:rsidR="00134B2C" w:rsidRDefault="00134B2C" w:rsidP="00134B2C">
      <w:pPr>
        <w:rPr>
          <w:rFonts w:ascii="Calibri" w:hAnsi="Calibri"/>
        </w:rPr>
      </w:pPr>
      <w:r w:rsidRPr="006F0F86">
        <w:rPr>
          <w:rFonts w:ascii="Calibri" w:hAnsi="Calibri"/>
        </w:rPr>
        <w:tab/>
        <w:t>Rodzaj badań kontrolnych mieszanki mineralno-asfaltowej i wykonanej z niej warstwy podano w tablicy 14.</w:t>
      </w:r>
    </w:p>
    <w:p w:rsidR="00134B2C" w:rsidRPr="006F0F86" w:rsidRDefault="00134B2C" w:rsidP="00134B2C">
      <w:pPr>
        <w:rPr>
          <w:rFonts w:ascii="Calibri" w:hAnsi="Calibri"/>
        </w:rPr>
      </w:pPr>
    </w:p>
    <w:p w:rsidR="00134B2C" w:rsidRPr="006F0F86" w:rsidRDefault="00134B2C" w:rsidP="00134B2C">
      <w:pPr>
        <w:ind w:left="709"/>
        <w:rPr>
          <w:rFonts w:ascii="Calibri" w:hAnsi="Calibri"/>
        </w:rPr>
      </w:pPr>
      <w:r w:rsidRPr="006F0F86">
        <w:rPr>
          <w:rFonts w:ascii="Calibri" w:hAnsi="Calibri"/>
        </w:rPr>
        <w:t xml:space="preserve">Tablica 14. Rodzaj badań kontrolnych </w:t>
      </w:r>
    </w:p>
    <w:tbl>
      <w:tblPr>
        <w:tblW w:w="0" w:type="auto"/>
        <w:tblInd w:w="81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tblPr>
      <w:tblGrid>
        <w:gridCol w:w="1134"/>
        <w:gridCol w:w="6237"/>
      </w:tblGrid>
      <w:tr w:rsidR="00134B2C" w:rsidRPr="006F0F86" w:rsidTr="00FD47C7">
        <w:tc>
          <w:tcPr>
            <w:tcW w:w="1134" w:type="dxa"/>
          </w:tcPr>
          <w:p w:rsidR="00134B2C" w:rsidRPr="006F0F86" w:rsidRDefault="00134B2C" w:rsidP="00FD47C7">
            <w:pPr>
              <w:spacing w:before="40" w:after="40"/>
              <w:jc w:val="center"/>
              <w:rPr>
                <w:rFonts w:ascii="Calibri" w:hAnsi="Calibri"/>
                <w:sz w:val="18"/>
                <w:szCs w:val="18"/>
              </w:rPr>
            </w:pPr>
            <w:r w:rsidRPr="006F0F86">
              <w:rPr>
                <w:rFonts w:ascii="Calibri" w:hAnsi="Calibri"/>
                <w:sz w:val="18"/>
                <w:szCs w:val="18"/>
              </w:rPr>
              <w:t>Lp.</w:t>
            </w:r>
          </w:p>
        </w:tc>
        <w:tc>
          <w:tcPr>
            <w:tcW w:w="6237" w:type="dxa"/>
          </w:tcPr>
          <w:p w:rsidR="00134B2C" w:rsidRPr="006F0F86" w:rsidRDefault="00134B2C" w:rsidP="00FD47C7">
            <w:pPr>
              <w:spacing w:before="40" w:after="40"/>
              <w:jc w:val="center"/>
              <w:rPr>
                <w:rFonts w:ascii="Calibri" w:hAnsi="Calibri"/>
                <w:sz w:val="18"/>
                <w:szCs w:val="18"/>
              </w:rPr>
            </w:pPr>
            <w:r w:rsidRPr="006F0F86">
              <w:rPr>
                <w:rFonts w:ascii="Calibri" w:hAnsi="Calibri"/>
                <w:sz w:val="18"/>
                <w:szCs w:val="18"/>
              </w:rPr>
              <w:t>Rodzaj badań</w:t>
            </w:r>
          </w:p>
        </w:tc>
      </w:tr>
      <w:tr w:rsidR="00134B2C" w:rsidRPr="006F0F86" w:rsidTr="00FD47C7">
        <w:tc>
          <w:tcPr>
            <w:tcW w:w="1134" w:type="dxa"/>
          </w:tcPr>
          <w:p w:rsidR="00134B2C" w:rsidRPr="006F0F86" w:rsidRDefault="00134B2C" w:rsidP="00FD47C7">
            <w:pPr>
              <w:jc w:val="center"/>
              <w:rPr>
                <w:rFonts w:ascii="Calibri" w:hAnsi="Calibri"/>
                <w:sz w:val="18"/>
                <w:szCs w:val="18"/>
              </w:rPr>
            </w:pPr>
            <w:r w:rsidRPr="006F0F86">
              <w:rPr>
                <w:rFonts w:ascii="Calibri" w:hAnsi="Calibri"/>
                <w:sz w:val="18"/>
                <w:szCs w:val="18"/>
              </w:rPr>
              <w:t>1</w:t>
            </w:r>
          </w:p>
          <w:p w:rsidR="00134B2C" w:rsidRPr="006F0F86" w:rsidRDefault="00134B2C" w:rsidP="00FD47C7">
            <w:pPr>
              <w:jc w:val="center"/>
              <w:rPr>
                <w:rFonts w:ascii="Calibri" w:hAnsi="Calibri"/>
                <w:sz w:val="18"/>
                <w:szCs w:val="18"/>
              </w:rPr>
            </w:pPr>
            <w:r w:rsidRPr="006F0F86">
              <w:rPr>
                <w:rFonts w:ascii="Calibri" w:hAnsi="Calibri"/>
                <w:sz w:val="18"/>
                <w:szCs w:val="18"/>
              </w:rPr>
              <w:t>1.1</w:t>
            </w:r>
          </w:p>
          <w:p w:rsidR="00134B2C" w:rsidRPr="006F0F86" w:rsidRDefault="00134B2C" w:rsidP="00FD47C7">
            <w:pPr>
              <w:jc w:val="center"/>
              <w:rPr>
                <w:rFonts w:ascii="Calibri" w:hAnsi="Calibri"/>
                <w:sz w:val="18"/>
                <w:szCs w:val="18"/>
              </w:rPr>
            </w:pPr>
            <w:r w:rsidRPr="006F0F86">
              <w:rPr>
                <w:rFonts w:ascii="Calibri" w:hAnsi="Calibri"/>
                <w:sz w:val="18"/>
                <w:szCs w:val="18"/>
              </w:rPr>
              <w:t>1.2</w:t>
            </w:r>
          </w:p>
          <w:p w:rsidR="00134B2C" w:rsidRPr="006F0F86" w:rsidRDefault="00134B2C" w:rsidP="00FD47C7">
            <w:pPr>
              <w:jc w:val="center"/>
              <w:rPr>
                <w:rFonts w:ascii="Calibri" w:hAnsi="Calibri"/>
                <w:sz w:val="18"/>
                <w:szCs w:val="18"/>
              </w:rPr>
            </w:pPr>
            <w:r w:rsidRPr="006F0F86">
              <w:rPr>
                <w:rFonts w:ascii="Calibri" w:hAnsi="Calibri"/>
                <w:sz w:val="18"/>
                <w:szCs w:val="18"/>
              </w:rPr>
              <w:t>1.3</w:t>
            </w:r>
          </w:p>
          <w:p w:rsidR="00134B2C" w:rsidRPr="006F0F86" w:rsidRDefault="00134B2C" w:rsidP="00FD47C7">
            <w:pPr>
              <w:jc w:val="center"/>
              <w:rPr>
                <w:rFonts w:ascii="Calibri" w:hAnsi="Calibri"/>
                <w:sz w:val="18"/>
                <w:szCs w:val="18"/>
              </w:rPr>
            </w:pPr>
            <w:r w:rsidRPr="006F0F86">
              <w:rPr>
                <w:rFonts w:ascii="Calibri" w:hAnsi="Calibri"/>
                <w:sz w:val="18"/>
                <w:szCs w:val="18"/>
              </w:rPr>
              <w:t>1.4</w:t>
            </w:r>
          </w:p>
          <w:p w:rsidR="00134B2C" w:rsidRPr="006F0F86" w:rsidRDefault="00134B2C" w:rsidP="00FD47C7">
            <w:pPr>
              <w:jc w:val="center"/>
              <w:rPr>
                <w:rFonts w:ascii="Calibri" w:hAnsi="Calibri"/>
                <w:sz w:val="18"/>
                <w:szCs w:val="18"/>
              </w:rPr>
            </w:pPr>
            <w:r w:rsidRPr="006F0F86">
              <w:rPr>
                <w:rFonts w:ascii="Calibri" w:hAnsi="Calibri"/>
                <w:sz w:val="18"/>
                <w:szCs w:val="18"/>
              </w:rPr>
              <w:t>2</w:t>
            </w:r>
          </w:p>
          <w:p w:rsidR="00134B2C" w:rsidRPr="006F0F86" w:rsidRDefault="00134B2C" w:rsidP="00FD47C7">
            <w:pPr>
              <w:jc w:val="center"/>
              <w:rPr>
                <w:rFonts w:ascii="Calibri" w:hAnsi="Calibri"/>
                <w:sz w:val="18"/>
                <w:szCs w:val="18"/>
              </w:rPr>
            </w:pPr>
            <w:r w:rsidRPr="006F0F86">
              <w:rPr>
                <w:rFonts w:ascii="Calibri" w:hAnsi="Calibri"/>
                <w:sz w:val="18"/>
                <w:szCs w:val="18"/>
              </w:rPr>
              <w:t>2.1</w:t>
            </w:r>
          </w:p>
          <w:p w:rsidR="00134B2C" w:rsidRPr="006F0F86" w:rsidRDefault="00134B2C" w:rsidP="00FD47C7">
            <w:pPr>
              <w:jc w:val="center"/>
              <w:rPr>
                <w:rFonts w:ascii="Calibri" w:hAnsi="Calibri"/>
                <w:sz w:val="18"/>
                <w:szCs w:val="18"/>
              </w:rPr>
            </w:pPr>
            <w:r w:rsidRPr="006F0F86">
              <w:rPr>
                <w:rFonts w:ascii="Calibri" w:hAnsi="Calibri"/>
                <w:sz w:val="18"/>
                <w:szCs w:val="18"/>
              </w:rPr>
              <w:t>2.2</w:t>
            </w:r>
          </w:p>
          <w:p w:rsidR="00134B2C" w:rsidRPr="006F0F86" w:rsidRDefault="00134B2C" w:rsidP="00FD47C7">
            <w:pPr>
              <w:jc w:val="center"/>
              <w:rPr>
                <w:rFonts w:ascii="Calibri" w:hAnsi="Calibri"/>
                <w:sz w:val="18"/>
                <w:szCs w:val="18"/>
              </w:rPr>
            </w:pPr>
            <w:r w:rsidRPr="006F0F86">
              <w:rPr>
                <w:rFonts w:ascii="Calibri" w:hAnsi="Calibri"/>
                <w:sz w:val="18"/>
                <w:szCs w:val="18"/>
              </w:rPr>
              <w:t>2.3</w:t>
            </w:r>
          </w:p>
          <w:p w:rsidR="00134B2C" w:rsidRPr="006F0F86" w:rsidRDefault="00134B2C" w:rsidP="00FD47C7">
            <w:pPr>
              <w:jc w:val="center"/>
              <w:rPr>
                <w:rFonts w:ascii="Calibri" w:hAnsi="Calibri"/>
                <w:sz w:val="18"/>
                <w:szCs w:val="18"/>
              </w:rPr>
            </w:pPr>
            <w:r w:rsidRPr="006F0F86">
              <w:rPr>
                <w:rFonts w:ascii="Calibri" w:hAnsi="Calibri"/>
                <w:sz w:val="18"/>
                <w:szCs w:val="18"/>
              </w:rPr>
              <w:t>2.4</w:t>
            </w:r>
          </w:p>
          <w:p w:rsidR="00134B2C" w:rsidRPr="006F0F86" w:rsidRDefault="00134B2C" w:rsidP="00FD47C7">
            <w:pPr>
              <w:jc w:val="center"/>
              <w:rPr>
                <w:rFonts w:ascii="Calibri" w:hAnsi="Calibri"/>
                <w:sz w:val="18"/>
                <w:szCs w:val="18"/>
              </w:rPr>
            </w:pPr>
            <w:r w:rsidRPr="006F0F86">
              <w:rPr>
                <w:rFonts w:ascii="Calibri" w:hAnsi="Calibri"/>
                <w:sz w:val="18"/>
                <w:szCs w:val="18"/>
              </w:rPr>
              <w:t>2.5</w:t>
            </w:r>
          </w:p>
          <w:p w:rsidR="00134B2C" w:rsidRPr="006F0F86" w:rsidRDefault="00134B2C" w:rsidP="00FD47C7">
            <w:pPr>
              <w:jc w:val="center"/>
              <w:rPr>
                <w:rFonts w:ascii="Calibri" w:hAnsi="Calibri"/>
                <w:sz w:val="18"/>
                <w:szCs w:val="18"/>
              </w:rPr>
            </w:pPr>
            <w:r w:rsidRPr="006F0F86">
              <w:rPr>
                <w:rFonts w:ascii="Calibri" w:hAnsi="Calibri"/>
                <w:sz w:val="18"/>
                <w:szCs w:val="18"/>
              </w:rPr>
              <w:t>2.6</w:t>
            </w:r>
          </w:p>
        </w:tc>
        <w:tc>
          <w:tcPr>
            <w:tcW w:w="6237" w:type="dxa"/>
          </w:tcPr>
          <w:p w:rsidR="00134B2C" w:rsidRPr="006F0F86" w:rsidRDefault="00134B2C" w:rsidP="00FD47C7">
            <w:pPr>
              <w:rPr>
                <w:rFonts w:ascii="Calibri" w:hAnsi="Calibri"/>
                <w:sz w:val="18"/>
                <w:szCs w:val="18"/>
                <w:vertAlign w:val="superscript"/>
              </w:rPr>
            </w:pPr>
            <w:r w:rsidRPr="006F0F86">
              <w:rPr>
                <w:rFonts w:ascii="Calibri" w:hAnsi="Calibri"/>
                <w:sz w:val="18"/>
                <w:szCs w:val="18"/>
              </w:rPr>
              <w:t xml:space="preserve">Mieszanka mineralno-asfaltowa </w:t>
            </w:r>
            <w:r w:rsidRPr="006F0F86">
              <w:rPr>
                <w:rFonts w:ascii="Calibri" w:hAnsi="Calibri"/>
                <w:sz w:val="18"/>
                <w:szCs w:val="18"/>
                <w:vertAlign w:val="superscript"/>
              </w:rPr>
              <w:t>a), b)</w:t>
            </w:r>
          </w:p>
          <w:p w:rsidR="00134B2C" w:rsidRPr="006F0F86" w:rsidRDefault="00134B2C" w:rsidP="00FD47C7">
            <w:pPr>
              <w:rPr>
                <w:rFonts w:ascii="Calibri" w:hAnsi="Calibri"/>
                <w:sz w:val="18"/>
                <w:szCs w:val="18"/>
              </w:rPr>
            </w:pPr>
            <w:r w:rsidRPr="006F0F86">
              <w:rPr>
                <w:rFonts w:ascii="Calibri" w:hAnsi="Calibri"/>
                <w:sz w:val="18"/>
                <w:szCs w:val="18"/>
              </w:rPr>
              <w:t>Uziarnienie</w:t>
            </w:r>
          </w:p>
          <w:p w:rsidR="00134B2C" w:rsidRPr="006F0F86" w:rsidRDefault="00134B2C" w:rsidP="00FD47C7">
            <w:pPr>
              <w:rPr>
                <w:rFonts w:ascii="Calibri" w:hAnsi="Calibri"/>
                <w:sz w:val="18"/>
                <w:szCs w:val="18"/>
              </w:rPr>
            </w:pPr>
            <w:r w:rsidRPr="006F0F86">
              <w:rPr>
                <w:rFonts w:ascii="Calibri" w:hAnsi="Calibri"/>
                <w:sz w:val="18"/>
                <w:szCs w:val="18"/>
              </w:rPr>
              <w:t>Zawartość lepiszcza</w:t>
            </w:r>
          </w:p>
          <w:p w:rsidR="00134B2C" w:rsidRPr="006F0F86" w:rsidRDefault="00134B2C" w:rsidP="00FD47C7">
            <w:pPr>
              <w:rPr>
                <w:rFonts w:ascii="Calibri" w:hAnsi="Calibri"/>
                <w:sz w:val="18"/>
                <w:szCs w:val="18"/>
              </w:rPr>
            </w:pPr>
            <w:r w:rsidRPr="006F0F86">
              <w:rPr>
                <w:rFonts w:ascii="Calibri" w:hAnsi="Calibri"/>
                <w:sz w:val="18"/>
                <w:szCs w:val="18"/>
              </w:rPr>
              <w:t>Temperatura mięknienia lepiszcza odzyskanego</w:t>
            </w:r>
          </w:p>
          <w:p w:rsidR="00134B2C" w:rsidRPr="006F0F86" w:rsidRDefault="00134B2C" w:rsidP="00FD47C7">
            <w:pPr>
              <w:rPr>
                <w:rFonts w:ascii="Calibri" w:hAnsi="Calibri"/>
                <w:sz w:val="18"/>
                <w:szCs w:val="18"/>
              </w:rPr>
            </w:pPr>
            <w:r w:rsidRPr="006F0F86">
              <w:rPr>
                <w:rFonts w:ascii="Calibri" w:hAnsi="Calibri"/>
                <w:sz w:val="18"/>
                <w:szCs w:val="18"/>
              </w:rPr>
              <w:t>Gęstość i zawartość wolnych przestrzeni próbki</w:t>
            </w:r>
          </w:p>
          <w:p w:rsidR="00134B2C" w:rsidRPr="006F0F86" w:rsidRDefault="00134B2C" w:rsidP="00FD47C7">
            <w:pPr>
              <w:rPr>
                <w:rFonts w:ascii="Calibri" w:hAnsi="Calibri"/>
                <w:sz w:val="18"/>
                <w:szCs w:val="18"/>
              </w:rPr>
            </w:pPr>
            <w:r w:rsidRPr="006F0F86">
              <w:rPr>
                <w:rFonts w:ascii="Calibri" w:hAnsi="Calibri"/>
                <w:sz w:val="18"/>
                <w:szCs w:val="18"/>
              </w:rPr>
              <w:t>Warstwa asfaltowa</w:t>
            </w:r>
          </w:p>
          <w:p w:rsidR="00134B2C" w:rsidRPr="006F0F86" w:rsidRDefault="00134B2C" w:rsidP="00FD47C7">
            <w:pPr>
              <w:rPr>
                <w:rFonts w:ascii="Calibri" w:hAnsi="Calibri"/>
                <w:sz w:val="18"/>
                <w:szCs w:val="18"/>
              </w:rPr>
            </w:pPr>
            <w:r w:rsidRPr="006F0F86">
              <w:rPr>
                <w:rFonts w:ascii="Calibri" w:hAnsi="Calibri"/>
                <w:sz w:val="18"/>
                <w:szCs w:val="18"/>
              </w:rPr>
              <w:t xml:space="preserve">Wskaźnik zagęszczenia </w:t>
            </w:r>
            <w:r w:rsidRPr="006F0F86">
              <w:rPr>
                <w:rFonts w:ascii="Calibri" w:hAnsi="Calibri"/>
                <w:sz w:val="18"/>
                <w:szCs w:val="18"/>
                <w:vertAlign w:val="superscript"/>
              </w:rPr>
              <w:t>a)</w:t>
            </w:r>
          </w:p>
          <w:p w:rsidR="00134B2C" w:rsidRPr="006F0F86" w:rsidRDefault="00134B2C" w:rsidP="00FD47C7">
            <w:pPr>
              <w:rPr>
                <w:rFonts w:ascii="Calibri" w:hAnsi="Calibri"/>
                <w:sz w:val="18"/>
                <w:szCs w:val="18"/>
              </w:rPr>
            </w:pPr>
            <w:r w:rsidRPr="006F0F86">
              <w:rPr>
                <w:rFonts w:ascii="Calibri" w:hAnsi="Calibri"/>
                <w:sz w:val="18"/>
                <w:szCs w:val="18"/>
              </w:rPr>
              <w:t>Spadki poprzeczne</w:t>
            </w:r>
          </w:p>
          <w:p w:rsidR="00134B2C" w:rsidRPr="006F0F86" w:rsidRDefault="00134B2C" w:rsidP="00FD47C7">
            <w:pPr>
              <w:rPr>
                <w:rFonts w:ascii="Calibri" w:hAnsi="Calibri"/>
                <w:sz w:val="18"/>
                <w:szCs w:val="18"/>
              </w:rPr>
            </w:pPr>
            <w:r w:rsidRPr="006F0F86">
              <w:rPr>
                <w:rFonts w:ascii="Calibri" w:hAnsi="Calibri"/>
                <w:sz w:val="18"/>
                <w:szCs w:val="18"/>
              </w:rPr>
              <w:t>Równość</w:t>
            </w:r>
          </w:p>
          <w:p w:rsidR="00134B2C" w:rsidRPr="006F0F86" w:rsidRDefault="00134B2C" w:rsidP="00FD47C7">
            <w:pPr>
              <w:rPr>
                <w:rFonts w:ascii="Calibri" w:hAnsi="Calibri"/>
                <w:sz w:val="18"/>
                <w:szCs w:val="18"/>
              </w:rPr>
            </w:pPr>
            <w:r w:rsidRPr="006F0F86">
              <w:rPr>
                <w:rFonts w:ascii="Calibri" w:hAnsi="Calibri"/>
                <w:sz w:val="18"/>
                <w:szCs w:val="18"/>
              </w:rPr>
              <w:t>Grubość lub ilość materiału</w:t>
            </w:r>
          </w:p>
          <w:p w:rsidR="00134B2C" w:rsidRPr="006F0F86" w:rsidRDefault="00134B2C" w:rsidP="00FD47C7">
            <w:pPr>
              <w:rPr>
                <w:rFonts w:ascii="Calibri" w:hAnsi="Calibri"/>
                <w:sz w:val="18"/>
                <w:szCs w:val="18"/>
              </w:rPr>
            </w:pPr>
            <w:r w:rsidRPr="006F0F86">
              <w:rPr>
                <w:rFonts w:ascii="Calibri" w:hAnsi="Calibri"/>
                <w:sz w:val="18"/>
                <w:szCs w:val="18"/>
              </w:rPr>
              <w:t xml:space="preserve">Zawartość wolnych przestrzeni </w:t>
            </w:r>
            <w:r w:rsidRPr="006F0F86">
              <w:rPr>
                <w:rFonts w:ascii="Calibri" w:hAnsi="Calibri"/>
                <w:sz w:val="18"/>
                <w:szCs w:val="18"/>
                <w:vertAlign w:val="superscript"/>
              </w:rPr>
              <w:t>a)</w:t>
            </w:r>
          </w:p>
          <w:p w:rsidR="00134B2C" w:rsidRPr="006F0F86" w:rsidRDefault="00134B2C" w:rsidP="00FD47C7">
            <w:pPr>
              <w:rPr>
                <w:rFonts w:ascii="Calibri" w:hAnsi="Calibri"/>
                <w:sz w:val="18"/>
                <w:szCs w:val="18"/>
              </w:rPr>
            </w:pPr>
            <w:r w:rsidRPr="006F0F86">
              <w:rPr>
                <w:rFonts w:ascii="Calibri" w:hAnsi="Calibri"/>
                <w:sz w:val="18"/>
                <w:szCs w:val="18"/>
              </w:rPr>
              <w:t>Właściwości przeciwpoślizgowe</w:t>
            </w:r>
          </w:p>
        </w:tc>
      </w:tr>
      <w:tr w:rsidR="00134B2C" w:rsidRPr="006F0F86" w:rsidTr="00FD47C7">
        <w:tc>
          <w:tcPr>
            <w:tcW w:w="7371" w:type="dxa"/>
            <w:gridSpan w:val="2"/>
          </w:tcPr>
          <w:p w:rsidR="00134B2C" w:rsidRPr="0066462B" w:rsidRDefault="00134B2C" w:rsidP="00FD47C7">
            <w:pPr>
              <w:ind w:left="284" w:hanging="284"/>
              <w:rPr>
                <w:rFonts w:ascii="Calibri" w:hAnsi="Calibri"/>
                <w:i/>
                <w:sz w:val="18"/>
                <w:szCs w:val="18"/>
              </w:rPr>
            </w:pPr>
            <w:r w:rsidRPr="0066462B">
              <w:rPr>
                <w:rFonts w:ascii="Calibri" w:hAnsi="Calibri"/>
                <w:i/>
                <w:sz w:val="18"/>
                <w:szCs w:val="18"/>
                <w:vertAlign w:val="superscript"/>
              </w:rPr>
              <w:t>a)</w:t>
            </w:r>
            <w:r w:rsidRPr="0066462B">
              <w:rPr>
                <w:rFonts w:ascii="Calibri" w:hAnsi="Calibri"/>
                <w:i/>
                <w:sz w:val="18"/>
                <w:szCs w:val="18"/>
              </w:rPr>
              <w:t xml:space="preserve">  do każdej warstwy; w razie potrzeby liczba próbek może zostać zwiększona (np. nawierzchnie dróg w terenie zabudowy)</w:t>
            </w:r>
          </w:p>
          <w:p w:rsidR="00134B2C" w:rsidRPr="006F0F86" w:rsidRDefault="00134B2C" w:rsidP="00FD47C7">
            <w:pPr>
              <w:rPr>
                <w:rFonts w:ascii="Calibri" w:hAnsi="Calibri"/>
                <w:sz w:val="18"/>
                <w:szCs w:val="18"/>
              </w:rPr>
            </w:pPr>
            <w:r w:rsidRPr="0066462B">
              <w:rPr>
                <w:rFonts w:ascii="Calibri" w:hAnsi="Calibri"/>
                <w:i/>
                <w:sz w:val="18"/>
                <w:szCs w:val="18"/>
                <w:vertAlign w:val="superscript"/>
              </w:rPr>
              <w:t>b)</w:t>
            </w:r>
            <w:r w:rsidRPr="0066462B">
              <w:rPr>
                <w:rFonts w:ascii="Calibri" w:hAnsi="Calibri"/>
                <w:i/>
                <w:sz w:val="18"/>
                <w:szCs w:val="18"/>
              </w:rPr>
              <w:t xml:space="preserve">  w razie potrzeby specjalne kruszywa i dodatki</w:t>
            </w:r>
          </w:p>
        </w:tc>
      </w:tr>
    </w:tbl>
    <w:p w:rsidR="00134B2C" w:rsidRPr="006F0F86" w:rsidRDefault="00134B2C" w:rsidP="00134B2C">
      <w:pPr>
        <w:rPr>
          <w:rFonts w:ascii="Calibri" w:hAnsi="Calibri"/>
        </w:rPr>
      </w:pPr>
    </w:p>
    <w:p w:rsidR="00134B2C" w:rsidRPr="006F0F86" w:rsidRDefault="00134B2C" w:rsidP="00134B2C">
      <w:pPr>
        <w:rPr>
          <w:rFonts w:ascii="Calibri" w:hAnsi="Calibri"/>
        </w:rPr>
      </w:pPr>
      <w:r w:rsidRPr="00EC730D">
        <w:rPr>
          <w:rFonts w:ascii="Calibri" w:hAnsi="Calibri"/>
          <w:b/>
        </w:rPr>
        <w:t>6.3.4.</w:t>
      </w:r>
      <w:r w:rsidRPr="006F0F86">
        <w:rPr>
          <w:rFonts w:ascii="Calibri" w:hAnsi="Calibri"/>
        </w:rPr>
        <w:t xml:space="preserve"> Badania kontrolne dodatkowe</w:t>
      </w:r>
    </w:p>
    <w:p w:rsidR="00134B2C" w:rsidRPr="006F0F86" w:rsidRDefault="00134B2C" w:rsidP="00134B2C">
      <w:pPr>
        <w:rPr>
          <w:rFonts w:ascii="Calibri" w:hAnsi="Calibri"/>
        </w:rPr>
      </w:pPr>
      <w:r w:rsidRPr="006F0F86">
        <w:rPr>
          <w:rFonts w:ascii="Calibri" w:hAnsi="Calibri"/>
        </w:rPr>
        <w:tab/>
        <w:t>W wypadku uznania, że jeden z wyników badań kontrolnych nie jest reprezentatywny dla ocenianego odcinka budowy, Wykonawca ma prawo żądać przeprowadzenia badań kontrolnych dodatkowych.</w:t>
      </w:r>
    </w:p>
    <w:p w:rsidR="00134B2C" w:rsidRPr="006F0F86" w:rsidRDefault="00134B2C" w:rsidP="00134B2C">
      <w:pPr>
        <w:rPr>
          <w:rFonts w:ascii="Calibri" w:hAnsi="Calibri"/>
        </w:rPr>
      </w:pPr>
      <w:r w:rsidRPr="006F0F86">
        <w:rPr>
          <w:rFonts w:ascii="Calibri" w:hAnsi="Calibri"/>
        </w:rPr>
        <w:tab/>
        <w:t>Inżynier i Wykonawca decydują wspólnie o miejscach pobierania próbek i wyznaczeniu odcinków częściowych ocenianego odcinka budowy. Jeżeli odcinek częściowy przyporządkowany do badań kontrolnych nie może być jednoznacznie i zgodnie wyznaczony, to odcinek ten nie powinien być mniejszy niż 20% ocenianego odcinka budowy.</w:t>
      </w:r>
    </w:p>
    <w:p w:rsidR="00134B2C" w:rsidRPr="006F0F86" w:rsidRDefault="00134B2C" w:rsidP="00134B2C">
      <w:pPr>
        <w:rPr>
          <w:rFonts w:ascii="Calibri" w:hAnsi="Calibri"/>
        </w:rPr>
      </w:pPr>
      <w:r w:rsidRPr="006F0F86">
        <w:rPr>
          <w:rFonts w:ascii="Calibri" w:hAnsi="Calibri"/>
        </w:rPr>
        <w:tab/>
        <w:t>Do odbioru uwzględniane są wyniki badań kontrolnych i badań kontrolnych dodatkowych do wyznaczonych odcinków częściowych.</w:t>
      </w:r>
    </w:p>
    <w:p w:rsidR="00134B2C" w:rsidRPr="006F0F86" w:rsidRDefault="00134B2C" w:rsidP="00134B2C">
      <w:pPr>
        <w:rPr>
          <w:rFonts w:ascii="Calibri" w:hAnsi="Calibri"/>
        </w:rPr>
      </w:pPr>
      <w:r w:rsidRPr="006F0F86">
        <w:rPr>
          <w:rFonts w:ascii="Calibri" w:hAnsi="Calibri"/>
        </w:rPr>
        <w:tab/>
        <w:t>Koszty badań kontrolnych dodatkowych zażądanych przez Wykonawcę ponosi Wykonawca.</w:t>
      </w:r>
    </w:p>
    <w:p w:rsidR="00134B2C" w:rsidRPr="006F0F86" w:rsidRDefault="00134B2C" w:rsidP="00134B2C">
      <w:pPr>
        <w:rPr>
          <w:rFonts w:ascii="Calibri" w:hAnsi="Calibri"/>
        </w:rPr>
      </w:pPr>
      <w:r w:rsidRPr="00EC730D">
        <w:rPr>
          <w:rFonts w:ascii="Calibri" w:hAnsi="Calibri"/>
          <w:b/>
        </w:rPr>
        <w:t>6.3.5.</w:t>
      </w:r>
      <w:r w:rsidRPr="006F0F86">
        <w:rPr>
          <w:rFonts w:ascii="Calibri" w:hAnsi="Calibri"/>
        </w:rPr>
        <w:t xml:space="preserve"> Badania arbitrażowe</w:t>
      </w:r>
    </w:p>
    <w:p w:rsidR="00134B2C" w:rsidRPr="006F0F86" w:rsidRDefault="00134B2C" w:rsidP="00134B2C">
      <w:pPr>
        <w:rPr>
          <w:rFonts w:ascii="Calibri" w:hAnsi="Calibri"/>
        </w:rPr>
      </w:pPr>
      <w:r w:rsidRPr="006F0F86">
        <w:rPr>
          <w:rFonts w:ascii="Calibri" w:hAnsi="Calibri"/>
        </w:rPr>
        <w:tab/>
        <w:t>Badania arbitrażowe są powtórzeniem badań kontrolnych, co do których istnieją uzasadnione wątpliwości ze strony Inżyniera lub Wykonawcy (np. na podstawie własnych badań).</w:t>
      </w:r>
    </w:p>
    <w:p w:rsidR="00134B2C" w:rsidRPr="006F0F86" w:rsidRDefault="00134B2C" w:rsidP="00134B2C">
      <w:pPr>
        <w:rPr>
          <w:rFonts w:ascii="Calibri" w:hAnsi="Calibri"/>
        </w:rPr>
      </w:pPr>
      <w:r w:rsidRPr="006F0F86">
        <w:rPr>
          <w:rFonts w:ascii="Calibri" w:hAnsi="Calibri"/>
        </w:rPr>
        <w:tab/>
        <w:t>Badania arbitrażowe wykonuje na wniosek strony kontraktu niezależne laboratorium, które nie wykonywało badań kontrolnych.</w:t>
      </w:r>
    </w:p>
    <w:p w:rsidR="00134B2C" w:rsidRPr="006F0F86" w:rsidRDefault="00134B2C" w:rsidP="00134B2C">
      <w:pPr>
        <w:rPr>
          <w:rFonts w:ascii="Calibri" w:hAnsi="Calibri"/>
        </w:rPr>
      </w:pPr>
      <w:r w:rsidRPr="006F0F86">
        <w:rPr>
          <w:rFonts w:ascii="Calibri" w:hAnsi="Calibri"/>
        </w:rPr>
        <w:tab/>
        <w:t>Koszty badań arbitrażowych wraz ze wszystkimi kosztami ubocznymi ponosi strona, na której niekorzyść przemawia wynik badania.</w:t>
      </w:r>
    </w:p>
    <w:p w:rsidR="00134B2C" w:rsidRPr="006F0F86" w:rsidRDefault="00134B2C" w:rsidP="00134B2C">
      <w:pPr>
        <w:rPr>
          <w:rFonts w:ascii="Calibri" w:hAnsi="Calibri"/>
        </w:rPr>
      </w:pPr>
      <w:r w:rsidRPr="00EC730D">
        <w:rPr>
          <w:rFonts w:ascii="Calibri" w:hAnsi="Calibri"/>
          <w:b/>
        </w:rPr>
        <w:t>6.4.</w:t>
      </w:r>
      <w:r w:rsidRPr="006F0F86">
        <w:rPr>
          <w:rFonts w:ascii="Calibri" w:hAnsi="Calibri"/>
        </w:rPr>
        <w:t xml:space="preserve"> Właściwości warstwy i nawierzchni oraz dopuszczalne odchyłki</w:t>
      </w:r>
    </w:p>
    <w:p w:rsidR="00134B2C" w:rsidRPr="006F0F86" w:rsidRDefault="00134B2C" w:rsidP="00134B2C">
      <w:pPr>
        <w:rPr>
          <w:rFonts w:ascii="Calibri" w:hAnsi="Calibri"/>
        </w:rPr>
      </w:pPr>
      <w:r w:rsidRPr="00EC730D">
        <w:rPr>
          <w:rFonts w:ascii="Calibri" w:hAnsi="Calibri"/>
          <w:b/>
        </w:rPr>
        <w:t>6.4.1.</w:t>
      </w:r>
      <w:r w:rsidRPr="006F0F86">
        <w:rPr>
          <w:rFonts w:ascii="Calibri" w:hAnsi="Calibri"/>
        </w:rPr>
        <w:t xml:space="preserve"> Mieszanka mineralno-asfaltowa</w:t>
      </w:r>
    </w:p>
    <w:p w:rsidR="00134B2C" w:rsidRPr="006F0F86" w:rsidRDefault="00134B2C" w:rsidP="00134B2C">
      <w:pPr>
        <w:rPr>
          <w:rFonts w:ascii="Calibri" w:hAnsi="Calibri"/>
        </w:rPr>
      </w:pPr>
      <w:r w:rsidRPr="006F0F86">
        <w:rPr>
          <w:rFonts w:ascii="Calibri" w:hAnsi="Calibri"/>
        </w:rPr>
        <w:tab/>
        <w:t>Właściwości materiałów należy oceniać na podstawie badań pobranych próbek mieszanki mineralno-asfaltowej przed wbudowaniem (wbudowanie oznacza wykonanie warstwy asfaltowej). Wyjątkowo dopuszcza się badania próbek pobranych z wykonanej warstwy asfaltowej.</w:t>
      </w:r>
    </w:p>
    <w:p w:rsidR="00134B2C" w:rsidRPr="006F0F86" w:rsidRDefault="00134B2C" w:rsidP="00134B2C">
      <w:pPr>
        <w:rPr>
          <w:rFonts w:ascii="Calibri" w:hAnsi="Calibri"/>
        </w:rPr>
      </w:pPr>
      <w:r w:rsidRPr="00EC730D">
        <w:rPr>
          <w:rFonts w:ascii="Calibri" w:hAnsi="Calibri"/>
          <w:b/>
        </w:rPr>
        <w:t>6.4.2.</w:t>
      </w:r>
      <w:r w:rsidRPr="006F0F86">
        <w:rPr>
          <w:rFonts w:ascii="Calibri" w:hAnsi="Calibri"/>
        </w:rPr>
        <w:t xml:space="preserve"> Warstwa asfaltowa</w:t>
      </w:r>
    </w:p>
    <w:p w:rsidR="00134B2C" w:rsidRPr="006F0F86" w:rsidRDefault="00134B2C" w:rsidP="00134B2C">
      <w:pPr>
        <w:rPr>
          <w:rFonts w:ascii="Calibri" w:hAnsi="Calibri"/>
        </w:rPr>
      </w:pPr>
      <w:r w:rsidRPr="00EC730D">
        <w:rPr>
          <w:rFonts w:ascii="Calibri" w:hAnsi="Calibri"/>
          <w:b/>
        </w:rPr>
        <w:t>6.4.2.1.</w:t>
      </w:r>
      <w:r w:rsidRPr="006F0F86">
        <w:rPr>
          <w:rFonts w:ascii="Calibri" w:hAnsi="Calibri"/>
        </w:rPr>
        <w:t xml:space="preserve"> Grubość warstwy oraz ilość materiału</w:t>
      </w:r>
    </w:p>
    <w:p w:rsidR="00134B2C" w:rsidRPr="006F0F86" w:rsidRDefault="00134B2C" w:rsidP="00134B2C">
      <w:pPr>
        <w:rPr>
          <w:rFonts w:ascii="Calibri" w:hAnsi="Calibri"/>
        </w:rPr>
      </w:pPr>
      <w:r w:rsidRPr="006F0F86">
        <w:rPr>
          <w:rFonts w:ascii="Calibri" w:hAnsi="Calibri"/>
        </w:rPr>
        <w:tab/>
        <w:t>Grubość wykonanej warstwy oznaczana według PN-EN 12697-36 [40] oraz ilość wbudowanego materiału na określoną powierzchnię (dotyczy przede wszystkim cienkich warstw) mogą odbiegać od projektu o wartości podane w tablicy 15.</w:t>
      </w:r>
    </w:p>
    <w:p w:rsidR="00134B2C" w:rsidRPr="006F0F86" w:rsidRDefault="00134B2C" w:rsidP="00134B2C">
      <w:pPr>
        <w:rPr>
          <w:rFonts w:ascii="Calibri" w:hAnsi="Calibri"/>
        </w:rPr>
      </w:pPr>
      <w:r w:rsidRPr="006F0F86">
        <w:rPr>
          <w:rFonts w:ascii="Calibri" w:hAnsi="Calibri"/>
        </w:rPr>
        <w:tab/>
        <w:t xml:space="preserve">W wypadku określania ilości materiału na powierzchnię i średniej wartości grubości warstwy z reguły należy przyjąć za podstawę cały odcinek budowy. Inżynier ma prawo sprawdzać odcinki </w:t>
      </w:r>
      <w:r w:rsidRPr="006F0F86">
        <w:rPr>
          <w:rFonts w:ascii="Calibri" w:hAnsi="Calibri"/>
        </w:rPr>
        <w:lastRenderedPageBreak/>
        <w:t>częściowe. Odcinek częściowy powinien zawierać co najmniej jedną dzienną działkę roboczą. Do odcinka częściowego obowiązują te same wymagania jak do odcinka budowy.</w:t>
      </w:r>
    </w:p>
    <w:p w:rsidR="00134B2C" w:rsidRDefault="00134B2C" w:rsidP="00134B2C">
      <w:pPr>
        <w:rPr>
          <w:rFonts w:ascii="Calibri" w:hAnsi="Calibri"/>
        </w:rPr>
      </w:pPr>
      <w:r w:rsidRPr="006F0F86">
        <w:rPr>
          <w:rFonts w:ascii="Calibri" w:hAnsi="Calibri"/>
        </w:rPr>
        <w:tab/>
        <w:t>Za grubość warstwy lub warstw przyjmuje się średnią arytmetyczną wszystkich pojedynczych oznaczeń grubości warstwy na całym odcinku budowy lub odcinku częściowym.</w:t>
      </w:r>
    </w:p>
    <w:p w:rsidR="00134B2C" w:rsidRPr="006F0F86" w:rsidRDefault="00134B2C" w:rsidP="00134B2C">
      <w:pPr>
        <w:rPr>
          <w:rFonts w:ascii="Calibri" w:hAnsi="Calibri"/>
        </w:rPr>
      </w:pPr>
    </w:p>
    <w:p w:rsidR="00134B2C" w:rsidRPr="006F0F86" w:rsidRDefault="00134B2C" w:rsidP="00134B2C">
      <w:pPr>
        <w:ind w:left="709"/>
        <w:rPr>
          <w:rFonts w:ascii="Calibri" w:hAnsi="Calibri"/>
        </w:rPr>
      </w:pPr>
      <w:r w:rsidRPr="006F0F86">
        <w:rPr>
          <w:rFonts w:ascii="Calibri" w:hAnsi="Calibri"/>
        </w:rPr>
        <w:t xml:space="preserve">Tablica 15. Dopuszczalne odchyłki grubości warstwy oraz ilości materiału na określonej powierzchni, [%] </w:t>
      </w:r>
    </w:p>
    <w:tbl>
      <w:tblPr>
        <w:tblW w:w="0" w:type="auto"/>
        <w:tblInd w:w="95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tblPr>
      <w:tblGrid>
        <w:gridCol w:w="4786"/>
        <w:gridCol w:w="2725"/>
      </w:tblGrid>
      <w:tr w:rsidR="00134B2C" w:rsidRPr="006F0F86" w:rsidTr="00FD47C7">
        <w:tc>
          <w:tcPr>
            <w:tcW w:w="4786" w:type="dxa"/>
          </w:tcPr>
          <w:p w:rsidR="00134B2C" w:rsidRPr="006F0F86" w:rsidRDefault="00134B2C" w:rsidP="00FD47C7">
            <w:pPr>
              <w:spacing w:before="60" w:after="60"/>
              <w:jc w:val="center"/>
              <w:rPr>
                <w:rFonts w:ascii="Calibri" w:hAnsi="Calibri"/>
                <w:sz w:val="18"/>
                <w:szCs w:val="18"/>
              </w:rPr>
            </w:pPr>
            <w:r w:rsidRPr="006F0F86">
              <w:rPr>
                <w:rFonts w:ascii="Calibri" w:hAnsi="Calibri"/>
                <w:sz w:val="18"/>
                <w:szCs w:val="18"/>
              </w:rPr>
              <w:t>Warunki oceny</w:t>
            </w:r>
          </w:p>
        </w:tc>
        <w:tc>
          <w:tcPr>
            <w:tcW w:w="2725" w:type="dxa"/>
          </w:tcPr>
          <w:p w:rsidR="00134B2C" w:rsidRPr="006F0F86" w:rsidRDefault="00134B2C" w:rsidP="00FD47C7">
            <w:pPr>
              <w:spacing w:before="60" w:after="60"/>
              <w:jc w:val="center"/>
              <w:rPr>
                <w:rFonts w:ascii="Calibri" w:hAnsi="Calibri"/>
                <w:sz w:val="18"/>
                <w:szCs w:val="18"/>
              </w:rPr>
            </w:pPr>
            <w:r w:rsidRPr="006F0F86">
              <w:rPr>
                <w:rFonts w:ascii="Calibri" w:hAnsi="Calibri"/>
                <w:sz w:val="18"/>
                <w:szCs w:val="18"/>
              </w:rPr>
              <w:t>Warstwa asfaltowa AC</w:t>
            </w:r>
            <w:r w:rsidRPr="006F0F86">
              <w:rPr>
                <w:rFonts w:ascii="Calibri" w:hAnsi="Calibri"/>
                <w:sz w:val="18"/>
                <w:szCs w:val="18"/>
                <w:vertAlign w:val="superscript"/>
              </w:rPr>
              <w:t>a)</w:t>
            </w:r>
          </w:p>
        </w:tc>
      </w:tr>
      <w:tr w:rsidR="00134B2C" w:rsidRPr="006F0F86" w:rsidTr="00FD47C7">
        <w:trPr>
          <w:trHeight w:val="1330"/>
        </w:trPr>
        <w:tc>
          <w:tcPr>
            <w:tcW w:w="4786" w:type="dxa"/>
            <w:tcBorders>
              <w:bottom w:val="nil"/>
            </w:tcBorders>
          </w:tcPr>
          <w:p w:rsidR="00134B2C" w:rsidRPr="006F0F86" w:rsidRDefault="00134B2C" w:rsidP="00FD47C7">
            <w:pPr>
              <w:rPr>
                <w:rFonts w:ascii="Calibri" w:hAnsi="Calibri"/>
                <w:sz w:val="18"/>
                <w:szCs w:val="18"/>
              </w:rPr>
            </w:pPr>
            <w:r w:rsidRPr="006F0F86">
              <w:rPr>
                <w:rFonts w:ascii="Calibri" w:hAnsi="Calibri"/>
                <w:sz w:val="18"/>
                <w:szCs w:val="18"/>
              </w:rPr>
              <w:t>A – Średnia z wielu oznaczeń grubości oraz ilości</w:t>
            </w:r>
          </w:p>
          <w:p w:rsidR="00134B2C" w:rsidRPr="006F0F86" w:rsidRDefault="00134B2C" w:rsidP="00FD47C7">
            <w:pPr>
              <w:ind w:left="426" w:hanging="426"/>
              <w:rPr>
                <w:rFonts w:ascii="Calibri" w:hAnsi="Calibri"/>
                <w:sz w:val="18"/>
                <w:szCs w:val="18"/>
              </w:rPr>
            </w:pPr>
            <w:r w:rsidRPr="006F0F86">
              <w:rPr>
                <w:rFonts w:ascii="Calibri" w:hAnsi="Calibri"/>
                <w:sz w:val="18"/>
                <w:szCs w:val="18"/>
              </w:rPr>
              <w:t xml:space="preserve">1. – duży odcinek budowy, powierzchnia większa niż </w:t>
            </w:r>
            <w:smartTag w:uri="urn:schemas-microsoft-com:office:smarttags" w:element="metricconverter">
              <w:smartTagPr>
                <w:attr w:name="ProductID" w:val="6000 m2"/>
              </w:smartTagPr>
              <w:r w:rsidRPr="006F0F86">
                <w:rPr>
                  <w:rFonts w:ascii="Calibri" w:hAnsi="Calibri"/>
                  <w:sz w:val="18"/>
                  <w:szCs w:val="18"/>
                </w:rPr>
                <w:t>6000 m</w:t>
              </w:r>
              <w:r w:rsidRPr="006F0F86">
                <w:rPr>
                  <w:rFonts w:ascii="Calibri" w:hAnsi="Calibri"/>
                  <w:sz w:val="18"/>
                  <w:szCs w:val="18"/>
                  <w:vertAlign w:val="superscript"/>
                </w:rPr>
                <w:t>2</w:t>
              </w:r>
            </w:smartTag>
            <w:r w:rsidRPr="006F0F86">
              <w:rPr>
                <w:rFonts w:ascii="Calibri" w:hAnsi="Calibri"/>
                <w:sz w:val="18"/>
                <w:szCs w:val="18"/>
              </w:rPr>
              <w:t xml:space="preserve"> lub</w:t>
            </w:r>
          </w:p>
          <w:p w:rsidR="00134B2C" w:rsidRPr="006F0F86" w:rsidRDefault="00134B2C" w:rsidP="00FD47C7">
            <w:pPr>
              <w:ind w:left="426" w:hanging="426"/>
              <w:rPr>
                <w:rFonts w:ascii="Calibri" w:hAnsi="Calibri"/>
                <w:sz w:val="18"/>
                <w:szCs w:val="18"/>
              </w:rPr>
            </w:pPr>
            <w:r w:rsidRPr="006F0F86">
              <w:rPr>
                <w:rFonts w:ascii="Calibri" w:hAnsi="Calibri"/>
                <w:sz w:val="18"/>
                <w:szCs w:val="18"/>
              </w:rPr>
              <w:t xml:space="preserve">     – droga ograniczona krawężnikami, powierzchnia większa niż </w:t>
            </w:r>
            <w:smartTag w:uri="urn:schemas-microsoft-com:office:smarttags" w:element="metricconverter">
              <w:smartTagPr>
                <w:attr w:name="ProductID" w:val="1000 m2"/>
              </w:smartTagPr>
              <w:r w:rsidRPr="006F0F86">
                <w:rPr>
                  <w:rFonts w:ascii="Calibri" w:hAnsi="Calibri"/>
                  <w:sz w:val="18"/>
                  <w:szCs w:val="18"/>
                </w:rPr>
                <w:t>1000 m</w:t>
              </w:r>
              <w:r w:rsidRPr="006F0F86">
                <w:rPr>
                  <w:rFonts w:ascii="Calibri" w:hAnsi="Calibri"/>
                  <w:sz w:val="18"/>
                  <w:szCs w:val="18"/>
                  <w:vertAlign w:val="superscript"/>
                </w:rPr>
                <w:t>2</w:t>
              </w:r>
            </w:smartTag>
            <w:r w:rsidRPr="006F0F86">
              <w:rPr>
                <w:rFonts w:ascii="Calibri" w:hAnsi="Calibri"/>
                <w:sz w:val="18"/>
                <w:szCs w:val="18"/>
              </w:rPr>
              <w:t xml:space="preserve"> lub</w:t>
            </w:r>
          </w:p>
          <w:p w:rsidR="00134B2C" w:rsidRPr="006F0F86" w:rsidRDefault="00134B2C" w:rsidP="00FD47C7">
            <w:pPr>
              <w:ind w:left="426" w:hanging="426"/>
              <w:rPr>
                <w:rFonts w:ascii="Calibri" w:hAnsi="Calibri"/>
                <w:sz w:val="18"/>
                <w:szCs w:val="18"/>
              </w:rPr>
            </w:pPr>
            <w:r w:rsidRPr="006F0F86">
              <w:rPr>
                <w:rFonts w:ascii="Calibri" w:hAnsi="Calibri"/>
                <w:sz w:val="18"/>
                <w:szCs w:val="18"/>
              </w:rPr>
              <w:t xml:space="preserve">     –  warstwa ścieralna, ilość większa niż 50 kg/m</w:t>
            </w:r>
            <w:r w:rsidRPr="006F0F86">
              <w:rPr>
                <w:rFonts w:ascii="Calibri" w:hAnsi="Calibri"/>
                <w:sz w:val="18"/>
                <w:szCs w:val="18"/>
                <w:vertAlign w:val="superscript"/>
              </w:rPr>
              <w:t>2</w:t>
            </w:r>
          </w:p>
        </w:tc>
        <w:tc>
          <w:tcPr>
            <w:tcW w:w="2725" w:type="dxa"/>
            <w:tcBorders>
              <w:bottom w:val="nil"/>
            </w:tcBorders>
          </w:tcPr>
          <w:p w:rsidR="00134B2C" w:rsidRPr="006F0F86" w:rsidRDefault="00134B2C" w:rsidP="00FD47C7">
            <w:pPr>
              <w:jc w:val="center"/>
              <w:rPr>
                <w:rFonts w:ascii="Calibri" w:hAnsi="Calibri"/>
                <w:sz w:val="18"/>
                <w:szCs w:val="18"/>
              </w:rPr>
            </w:pPr>
          </w:p>
          <w:p w:rsidR="00134B2C" w:rsidRPr="006F0F86" w:rsidRDefault="00134B2C" w:rsidP="00FD47C7">
            <w:pPr>
              <w:jc w:val="center"/>
              <w:rPr>
                <w:rFonts w:ascii="Calibri" w:hAnsi="Calibri"/>
                <w:sz w:val="18"/>
                <w:szCs w:val="18"/>
              </w:rPr>
            </w:pPr>
          </w:p>
          <w:p w:rsidR="00134B2C" w:rsidRPr="006F0F86" w:rsidRDefault="00134B2C" w:rsidP="00FD47C7">
            <w:pPr>
              <w:jc w:val="center"/>
              <w:rPr>
                <w:rFonts w:ascii="Calibri" w:hAnsi="Calibri"/>
                <w:sz w:val="18"/>
                <w:szCs w:val="18"/>
              </w:rPr>
            </w:pPr>
          </w:p>
          <w:p w:rsidR="00134B2C" w:rsidRPr="006F0F86" w:rsidRDefault="00134B2C" w:rsidP="00FD47C7">
            <w:pPr>
              <w:jc w:val="center"/>
              <w:rPr>
                <w:rFonts w:ascii="Calibri" w:hAnsi="Calibri"/>
                <w:sz w:val="18"/>
                <w:szCs w:val="18"/>
              </w:rPr>
            </w:pPr>
            <w:r w:rsidRPr="006F0F86">
              <w:rPr>
                <w:rFonts w:ascii="Calibri" w:hAnsi="Calibri"/>
                <w:sz w:val="18"/>
                <w:szCs w:val="18"/>
              </w:rPr>
              <w:t>≤ 10</w:t>
            </w:r>
          </w:p>
        </w:tc>
      </w:tr>
      <w:tr w:rsidR="00134B2C" w:rsidRPr="006F0F86" w:rsidTr="00FD47C7">
        <w:trPr>
          <w:trHeight w:val="510"/>
        </w:trPr>
        <w:tc>
          <w:tcPr>
            <w:tcW w:w="4786" w:type="dxa"/>
            <w:tcBorders>
              <w:top w:val="nil"/>
            </w:tcBorders>
          </w:tcPr>
          <w:p w:rsidR="00134B2C" w:rsidRPr="006F0F86" w:rsidRDefault="00134B2C" w:rsidP="00FD47C7">
            <w:pPr>
              <w:ind w:left="426" w:hanging="426"/>
              <w:rPr>
                <w:rFonts w:ascii="Calibri" w:hAnsi="Calibri"/>
                <w:sz w:val="18"/>
                <w:szCs w:val="18"/>
              </w:rPr>
            </w:pPr>
            <w:r w:rsidRPr="006F0F86">
              <w:rPr>
                <w:rFonts w:ascii="Calibri" w:hAnsi="Calibri"/>
                <w:sz w:val="18"/>
                <w:szCs w:val="18"/>
              </w:rPr>
              <w:t>2.  –  mały odcinek budowy lub</w:t>
            </w:r>
          </w:p>
          <w:p w:rsidR="00134B2C" w:rsidRPr="006F0F86" w:rsidRDefault="00134B2C" w:rsidP="00FD47C7">
            <w:pPr>
              <w:ind w:left="426" w:hanging="426"/>
              <w:rPr>
                <w:rFonts w:ascii="Calibri" w:hAnsi="Calibri"/>
                <w:sz w:val="18"/>
                <w:szCs w:val="18"/>
              </w:rPr>
            </w:pPr>
            <w:r w:rsidRPr="006F0F86">
              <w:rPr>
                <w:rFonts w:ascii="Calibri" w:hAnsi="Calibri"/>
                <w:sz w:val="18"/>
                <w:szCs w:val="18"/>
              </w:rPr>
              <w:t xml:space="preserve">     –  warstwa ścieralna, ilość większa niż 50 kg/m</w:t>
            </w:r>
            <w:r w:rsidRPr="006F0F86">
              <w:rPr>
                <w:rFonts w:ascii="Calibri" w:hAnsi="Calibri"/>
                <w:sz w:val="18"/>
                <w:szCs w:val="18"/>
                <w:vertAlign w:val="superscript"/>
              </w:rPr>
              <w:t>2</w:t>
            </w:r>
          </w:p>
        </w:tc>
        <w:tc>
          <w:tcPr>
            <w:tcW w:w="2725" w:type="dxa"/>
            <w:tcBorders>
              <w:top w:val="nil"/>
            </w:tcBorders>
          </w:tcPr>
          <w:p w:rsidR="00134B2C" w:rsidRPr="006F0F86" w:rsidRDefault="00134B2C" w:rsidP="00FD47C7">
            <w:pPr>
              <w:spacing w:before="120"/>
              <w:jc w:val="center"/>
              <w:rPr>
                <w:rFonts w:ascii="Calibri" w:hAnsi="Calibri"/>
                <w:sz w:val="18"/>
                <w:szCs w:val="18"/>
              </w:rPr>
            </w:pPr>
            <w:r w:rsidRPr="006F0F86">
              <w:rPr>
                <w:rFonts w:ascii="Calibri" w:hAnsi="Calibri"/>
                <w:sz w:val="18"/>
                <w:szCs w:val="18"/>
              </w:rPr>
              <w:t>≤ 15</w:t>
            </w:r>
          </w:p>
        </w:tc>
      </w:tr>
      <w:tr w:rsidR="00134B2C" w:rsidRPr="006F0F86" w:rsidTr="00FD47C7">
        <w:tc>
          <w:tcPr>
            <w:tcW w:w="4786" w:type="dxa"/>
          </w:tcPr>
          <w:p w:rsidR="00134B2C" w:rsidRPr="006F0F86" w:rsidRDefault="00134B2C" w:rsidP="00FD47C7">
            <w:pPr>
              <w:spacing w:before="60" w:after="60"/>
              <w:rPr>
                <w:rFonts w:ascii="Calibri" w:hAnsi="Calibri"/>
                <w:sz w:val="18"/>
                <w:szCs w:val="18"/>
              </w:rPr>
            </w:pPr>
            <w:r w:rsidRPr="006F0F86">
              <w:rPr>
                <w:rFonts w:ascii="Calibri" w:hAnsi="Calibri"/>
                <w:sz w:val="18"/>
                <w:szCs w:val="18"/>
              </w:rPr>
              <w:t>B – Pojedyncze oznaczenie grubości</w:t>
            </w:r>
          </w:p>
        </w:tc>
        <w:tc>
          <w:tcPr>
            <w:tcW w:w="2725" w:type="dxa"/>
          </w:tcPr>
          <w:p w:rsidR="00134B2C" w:rsidRPr="006F0F86" w:rsidRDefault="00134B2C" w:rsidP="00FD47C7">
            <w:pPr>
              <w:spacing w:before="60" w:after="60"/>
              <w:jc w:val="center"/>
              <w:rPr>
                <w:rFonts w:ascii="Calibri" w:hAnsi="Calibri"/>
                <w:sz w:val="18"/>
                <w:szCs w:val="18"/>
              </w:rPr>
            </w:pPr>
            <w:r w:rsidRPr="006F0F86">
              <w:rPr>
                <w:rFonts w:ascii="Calibri" w:hAnsi="Calibri"/>
                <w:sz w:val="18"/>
                <w:szCs w:val="18"/>
              </w:rPr>
              <w:t>≤ 25</w:t>
            </w:r>
          </w:p>
        </w:tc>
      </w:tr>
      <w:tr w:rsidR="00134B2C" w:rsidRPr="006F0F86" w:rsidTr="00FD47C7">
        <w:tc>
          <w:tcPr>
            <w:tcW w:w="7511" w:type="dxa"/>
            <w:gridSpan w:val="2"/>
          </w:tcPr>
          <w:p w:rsidR="00134B2C" w:rsidRPr="0066462B" w:rsidRDefault="00134B2C" w:rsidP="00FD47C7">
            <w:pPr>
              <w:ind w:left="284" w:hanging="284"/>
              <w:rPr>
                <w:rFonts w:ascii="Calibri" w:hAnsi="Calibri"/>
                <w:i/>
                <w:sz w:val="18"/>
                <w:szCs w:val="18"/>
              </w:rPr>
            </w:pPr>
            <w:r w:rsidRPr="0066462B">
              <w:rPr>
                <w:rFonts w:ascii="Calibri" w:hAnsi="Calibri"/>
                <w:i/>
                <w:sz w:val="18"/>
                <w:szCs w:val="18"/>
                <w:vertAlign w:val="superscript"/>
              </w:rPr>
              <w:t>a)</w:t>
            </w:r>
            <w:r w:rsidRPr="0066462B">
              <w:rPr>
                <w:rFonts w:ascii="Calibri" w:hAnsi="Calibri"/>
                <w:i/>
                <w:sz w:val="18"/>
                <w:szCs w:val="18"/>
              </w:rPr>
              <w:t xml:space="preserve"> w wypadku budowy dwuetapowej, tzn. gdy warstwa ścieralna jest układana z opóźnieniem, wartość z wiersza B odpowiednio obowiązuje; w pierwszym etapie budowy do górnej warstwy nawierzchni obowiązuje wartość 25%, a do łącznej grubości warstw etapu 1 ÷ 15%</w:t>
            </w:r>
          </w:p>
        </w:tc>
      </w:tr>
    </w:tbl>
    <w:p w:rsidR="00134B2C" w:rsidRPr="006F0F86" w:rsidRDefault="00134B2C" w:rsidP="00134B2C">
      <w:pPr>
        <w:rPr>
          <w:rFonts w:ascii="Calibri" w:hAnsi="Calibri"/>
        </w:rPr>
      </w:pPr>
    </w:p>
    <w:p w:rsidR="00134B2C" w:rsidRPr="006F0F86" w:rsidRDefault="00134B2C" w:rsidP="00134B2C">
      <w:pPr>
        <w:rPr>
          <w:rFonts w:ascii="Calibri" w:hAnsi="Calibri"/>
        </w:rPr>
      </w:pPr>
      <w:r w:rsidRPr="00EC730D">
        <w:rPr>
          <w:rFonts w:ascii="Calibri" w:hAnsi="Calibri"/>
          <w:b/>
        </w:rPr>
        <w:t>6.4.2.2.</w:t>
      </w:r>
      <w:r w:rsidRPr="006F0F86">
        <w:rPr>
          <w:rFonts w:ascii="Calibri" w:hAnsi="Calibri"/>
        </w:rPr>
        <w:t xml:space="preserve"> Wskaźnik zagęszczenia warstwy</w:t>
      </w:r>
    </w:p>
    <w:p w:rsidR="00134B2C" w:rsidRPr="006F0F86" w:rsidRDefault="00134B2C" w:rsidP="00134B2C">
      <w:pPr>
        <w:rPr>
          <w:rFonts w:ascii="Calibri" w:hAnsi="Calibri"/>
        </w:rPr>
      </w:pPr>
      <w:r w:rsidRPr="006F0F86">
        <w:rPr>
          <w:rFonts w:ascii="Calibri" w:hAnsi="Calibri"/>
        </w:rPr>
        <w:tab/>
        <w:t>Zagęszczenie wykonanej warstwy, wyrażone wskaźnikiem zagęszczenia oraz zawartością wolnych przestrzeni, nie może przekroczyć wartości dopuszczalnych podanych w tablicy 14. Dotyczy to każdego pojedynczego oznaczenia danej właściwości.</w:t>
      </w:r>
    </w:p>
    <w:p w:rsidR="00134B2C" w:rsidRPr="006F0F86" w:rsidRDefault="00134B2C" w:rsidP="00134B2C">
      <w:pPr>
        <w:rPr>
          <w:rFonts w:ascii="Calibri" w:hAnsi="Calibri"/>
        </w:rPr>
      </w:pPr>
      <w:r w:rsidRPr="006F0F86">
        <w:rPr>
          <w:rFonts w:ascii="Calibri" w:hAnsi="Calibri"/>
        </w:rPr>
        <w:tab/>
        <w:t>Określenie gęstości objętościowej należy wykonywać według PN-EN 12697-6 [32].</w:t>
      </w:r>
    </w:p>
    <w:p w:rsidR="00134B2C" w:rsidRPr="006F0F86" w:rsidRDefault="00134B2C" w:rsidP="00134B2C">
      <w:pPr>
        <w:rPr>
          <w:rFonts w:ascii="Calibri" w:hAnsi="Calibri"/>
        </w:rPr>
      </w:pPr>
      <w:r w:rsidRPr="00EC730D">
        <w:rPr>
          <w:rFonts w:ascii="Calibri" w:hAnsi="Calibri"/>
          <w:b/>
        </w:rPr>
        <w:t>6.4.2.3.</w:t>
      </w:r>
      <w:r w:rsidRPr="006F0F86">
        <w:rPr>
          <w:rFonts w:ascii="Calibri" w:hAnsi="Calibri"/>
        </w:rPr>
        <w:t xml:space="preserve"> Zawartość wolnych przestrzeni w nawierzchni</w:t>
      </w:r>
    </w:p>
    <w:p w:rsidR="00134B2C" w:rsidRPr="006F0F86" w:rsidRDefault="00134B2C" w:rsidP="00134B2C">
      <w:pPr>
        <w:rPr>
          <w:rFonts w:ascii="Calibri" w:hAnsi="Calibri"/>
        </w:rPr>
      </w:pPr>
      <w:r w:rsidRPr="006F0F86">
        <w:rPr>
          <w:rFonts w:ascii="Calibri" w:hAnsi="Calibri"/>
        </w:rPr>
        <w:tab/>
        <w:t>Zawartość wolnych przestrzeni w warstwie nawierzchni, nie może wykroczyć poza wartości dopuszczalne kreślone w tablicy 13.</w:t>
      </w:r>
    </w:p>
    <w:p w:rsidR="00134B2C" w:rsidRPr="006F0F86" w:rsidRDefault="00134B2C" w:rsidP="00134B2C">
      <w:pPr>
        <w:rPr>
          <w:rFonts w:ascii="Calibri" w:hAnsi="Calibri"/>
        </w:rPr>
      </w:pPr>
      <w:r w:rsidRPr="00EC730D">
        <w:rPr>
          <w:rFonts w:ascii="Calibri" w:hAnsi="Calibri"/>
          <w:b/>
        </w:rPr>
        <w:t>6.4.2.4.</w:t>
      </w:r>
      <w:r w:rsidRPr="006F0F86">
        <w:rPr>
          <w:rFonts w:ascii="Calibri" w:hAnsi="Calibri"/>
        </w:rPr>
        <w:t xml:space="preserve"> Spadki poprzeczne</w:t>
      </w:r>
    </w:p>
    <w:p w:rsidR="00134B2C" w:rsidRPr="006F0F86" w:rsidRDefault="00134B2C" w:rsidP="00134B2C">
      <w:pPr>
        <w:rPr>
          <w:rFonts w:ascii="Calibri" w:hAnsi="Calibri"/>
        </w:rPr>
      </w:pPr>
      <w:r w:rsidRPr="006F0F86">
        <w:rPr>
          <w:rFonts w:ascii="Calibri" w:hAnsi="Calibri"/>
        </w:rPr>
        <w:tab/>
        <w:t xml:space="preserve">Spadki poprzeczne nawierzchni należy badać nie rzadziej niż co </w:t>
      </w:r>
      <w:smartTag w:uri="urn:schemas-microsoft-com:office:smarttags" w:element="metricconverter">
        <w:smartTagPr>
          <w:attr w:name="ProductID" w:val="20 m"/>
        </w:smartTagPr>
        <w:r w:rsidRPr="006F0F86">
          <w:rPr>
            <w:rFonts w:ascii="Calibri" w:hAnsi="Calibri"/>
          </w:rPr>
          <w:t>20 m</w:t>
        </w:r>
      </w:smartTag>
      <w:r w:rsidRPr="006F0F86">
        <w:rPr>
          <w:rFonts w:ascii="Calibri" w:hAnsi="Calibri"/>
        </w:rPr>
        <w:t>.</w:t>
      </w:r>
    </w:p>
    <w:p w:rsidR="00134B2C" w:rsidRPr="006F0F86" w:rsidRDefault="00134B2C" w:rsidP="00134B2C">
      <w:pPr>
        <w:rPr>
          <w:rFonts w:ascii="Calibri" w:hAnsi="Calibri"/>
        </w:rPr>
      </w:pPr>
      <w:r w:rsidRPr="006F0F86">
        <w:rPr>
          <w:rFonts w:ascii="Calibri" w:hAnsi="Calibri"/>
        </w:rPr>
        <w:tab/>
        <w:t>Spadki poprzeczne powinny być zgodne z dokumentacją projektową, z tolerancją ± 0,5%.</w:t>
      </w:r>
    </w:p>
    <w:p w:rsidR="00134B2C" w:rsidRPr="006F0F86" w:rsidRDefault="00134B2C" w:rsidP="00134B2C">
      <w:pPr>
        <w:rPr>
          <w:rFonts w:ascii="Calibri" w:hAnsi="Calibri"/>
        </w:rPr>
      </w:pPr>
      <w:r w:rsidRPr="00EC730D">
        <w:rPr>
          <w:rFonts w:ascii="Calibri" w:hAnsi="Calibri"/>
          <w:b/>
        </w:rPr>
        <w:t>6.4.2.5.</w:t>
      </w:r>
      <w:r w:rsidRPr="006F0F86">
        <w:rPr>
          <w:rFonts w:ascii="Calibri" w:hAnsi="Calibri"/>
        </w:rPr>
        <w:t xml:space="preserve"> Równość podłużna i poprzeczna</w:t>
      </w:r>
    </w:p>
    <w:p w:rsidR="00134B2C" w:rsidRPr="006F0F86" w:rsidRDefault="00134B2C" w:rsidP="00134B2C">
      <w:pPr>
        <w:rPr>
          <w:rFonts w:ascii="Calibri" w:hAnsi="Calibri"/>
        </w:rPr>
      </w:pPr>
      <w:r w:rsidRPr="006F0F86">
        <w:rPr>
          <w:rFonts w:ascii="Calibri" w:hAnsi="Calibri"/>
        </w:rPr>
        <w:tab/>
        <w:t>Pomiary równości podłużnej należy wykonywać w środku każdego ocenianego pasa ruchu.</w:t>
      </w:r>
    </w:p>
    <w:p w:rsidR="00134B2C" w:rsidRPr="006F0F86" w:rsidRDefault="00134B2C" w:rsidP="00134B2C">
      <w:pPr>
        <w:rPr>
          <w:rFonts w:ascii="Calibri" w:hAnsi="Calibri"/>
        </w:rPr>
      </w:pPr>
      <w:r w:rsidRPr="006F0F86">
        <w:rPr>
          <w:rFonts w:ascii="Calibri" w:hAnsi="Calibri"/>
        </w:rPr>
        <w:tab/>
        <w:t xml:space="preserve">Do oceny równości podłużnej warstwy ścieralnej nawierzchni drogi klasy G i dróg wyższych klas należy stosować metodę pomiaru umożliwiającą obliczanie wskaźnika równości IRI. Wartość IRI oblicza się dla odcinków o długości </w:t>
      </w:r>
      <w:smartTag w:uri="urn:schemas-microsoft-com:office:smarttags" w:element="metricconverter">
        <w:smartTagPr>
          <w:attr w:name="ProductID" w:val="50 m"/>
        </w:smartTagPr>
        <w:r w:rsidRPr="006F0F86">
          <w:rPr>
            <w:rFonts w:ascii="Calibri" w:hAnsi="Calibri"/>
          </w:rPr>
          <w:t>50 m</w:t>
        </w:r>
      </w:smartTag>
      <w:r w:rsidRPr="006F0F86">
        <w:rPr>
          <w:rFonts w:ascii="Calibri" w:hAnsi="Calibri"/>
        </w:rPr>
        <w:t>. Dopuszczalne wartości wskaźnika IRI wymagane przy odbiorze nawierzchni określono w rozporządzeniu dotyczącym warunków technicznych, jakim powinny odpowiadać drogi publiczne [67].</w:t>
      </w:r>
    </w:p>
    <w:p w:rsidR="00134B2C" w:rsidRPr="006F0F86" w:rsidRDefault="00134B2C" w:rsidP="00134B2C">
      <w:pPr>
        <w:rPr>
          <w:rFonts w:ascii="Calibri" w:hAnsi="Calibri"/>
        </w:rPr>
      </w:pPr>
      <w:r w:rsidRPr="006F0F86">
        <w:rPr>
          <w:rFonts w:ascii="Calibri" w:hAnsi="Calibri"/>
        </w:rPr>
        <w:tab/>
        <w:t xml:space="preserve">Do oceny równości podłużnej warstwy ścieralnej nawierzchni drogi klasy Z, L i D oraz placów i parkingów należy stosować metodę z wykorzystaniem łaty 4-metrowej i klina lub metody równoważnej, mierząc wysokość prześwitu w połowie długości łaty. Pomiar wykonuje się nie rzadziej niż co </w:t>
      </w:r>
      <w:smartTag w:uri="urn:schemas-microsoft-com:office:smarttags" w:element="metricconverter">
        <w:smartTagPr>
          <w:attr w:name="ProductID" w:val="10 m"/>
        </w:smartTagPr>
        <w:r w:rsidRPr="006F0F86">
          <w:rPr>
            <w:rFonts w:ascii="Calibri" w:hAnsi="Calibri"/>
          </w:rPr>
          <w:t>10 m</w:t>
        </w:r>
      </w:smartTag>
      <w:r w:rsidRPr="006F0F86">
        <w:rPr>
          <w:rFonts w:ascii="Calibri" w:hAnsi="Calibri"/>
        </w:rPr>
        <w:t xml:space="preserve">. Wymagana równość podłużna jest określona przez wartość odchylenia równości (prześwitu), które nie mogą przekroczyć </w:t>
      </w:r>
      <w:smartTag w:uri="urn:schemas-microsoft-com:office:smarttags" w:element="metricconverter">
        <w:smartTagPr>
          <w:attr w:name="ProductID" w:val="6 mm"/>
        </w:smartTagPr>
        <w:r w:rsidRPr="006F0F86">
          <w:rPr>
            <w:rFonts w:ascii="Calibri" w:hAnsi="Calibri"/>
          </w:rPr>
          <w:t>6 mm</w:t>
        </w:r>
      </w:smartTag>
      <w:r w:rsidRPr="006F0F86">
        <w:rPr>
          <w:rFonts w:ascii="Calibri" w:hAnsi="Calibri"/>
        </w:rPr>
        <w:t>. Przez odchylenie równości rozumie się największą odległość między łatą a mierzoną powierzchnią.</w:t>
      </w:r>
    </w:p>
    <w:p w:rsidR="00134B2C" w:rsidRPr="006F0F86" w:rsidRDefault="00134B2C" w:rsidP="00134B2C">
      <w:pPr>
        <w:rPr>
          <w:rFonts w:ascii="Calibri" w:hAnsi="Calibri"/>
        </w:rPr>
      </w:pPr>
      <w:r w:rsidRPr="006F0F86">
        <w:rPr>
          <w:rFonts w:ascii="Calibri" w:hAnsi="Calibri"/>
        </w:rPr>
        <w:tab/>
        <w:t>Przed upływem okresu gwarancyjnego wartości wskaźnika równości IRI warstwy ścieralnej nawierzchni drogi klasy G i dróg wyższych klas nie powinny być większe niż podane w tablicy 16. Badanie wykonuje się według procedury jak podczas odbioru nawierzchni, w prawym śladzie koła.</w:t>
      </w:r>
    </w:p>
    <w:p w:rsidR="00E21692" w:rsidRPr="006F0F86" w:rsidRDefault="00E21692" w:rsidP="00134B2C">
      <w:pPr>
        <w:rPr>
          <w:rFonts w:ascii="Calibri" w:hAnsi="Calibri"/>
        </w:rPr>
      </w:pPr>
    </w:p>
    <w:p w:rsidR="00134B2C" w:rsidRPr="006F0F86" w:rsidRDefault="00134B2C" w:rsidP="00134B2C">
      <w:pPr>
        <w:ind w:left="709"/>
        <w:rPr>
          <w:rFonts w:ascii="Calibri" w:hAnsi="Calibri"/>
        </w:rPr>
      </w:pPr>
      <w:r w:rsidRPr="006F0F86">
        <w:rPr>
          <w:rFonts w:ascii="Calibri" w:hAnsi="Calibri"/>
        </w:rPr>
        <w:t>Tablica 16</w:t>
      </w:r>
      <w:r>
        <w:rPr>
          <w:rFonts w:ascii="Calibri" w:hAnsi="Calibri"/>
        </w:rPr>
        <w:t xml:space="preserve">. </w:t>
      </w:r>
      <w:r w:rsidRPr="006F0F86">
        <w:rPr>
          <w:rFonts w:ascii="Calibri" w:hAnsi="Calibri"/>
        </w:rPr>
        <w:t xml:space="preserve">Dopuszczalne wartości wskaźnika równości podłużnej IRI warstwy ścieralnej wymagane przed upływem okresu gwarancyjnego </w:t>
      </w:r>
    </w:p>
    <w:tbl>
      <w:tblPr>
        <w:tblW w:w="0" w:type="auto"/>
        <w:tblInd w:w="81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tblPr>
      <w:tblGrid>
        <w:gridCol w:w="1560"/>
        <w:gridCol w:w="3685"/>
        <w:gridCol w:w="2158"/>
      </w:tblGrid>
      <w:tr w:rsidR="00134B2C" w:rsidRPr="006F0F86" w:rsidTr="00FD47C7">
        <w:tc>
          <w:tcPr>
            <w:tcW w:w="1560" w:type="dxa"/>
            <w:tcBorders>
              <w:bottom w:val="single" w:sz="4" w:space="0" w:color="auto"/>
            </w:tcBorders>
          </w:tcPr>
          <w:p w:rsidR="00134B2C" w:rsidRPr="006F0F86" w:rsidRDefault="00134B2C" w:rsidP="00FD47C7">
            <w:pPr>
              <w:spacing w:before="120"/>
              <w:jc w:val="center"/>
              <w:rPr>
                <w:rFonts w:ascii="Calibri" w:hAnsi="Calibri"/>
                <w:sz w:val="18"/>
                <w:szCs w:val="18"/>
              </w:rPr>
            </w:pPr>
            <w:r w:rsidRPr="006F0F86">
              <w:rPr>
                <w:rFonts w:ascii="Calibri" w:hAnsi="Calibri"/>
                <w:sz w:val="18"/>
                <w:szCs w:val="18"/>
              </w:rPr>
              <w:t>Klasa drogi</w:t>
            </w:r>
          </w:p>
        </w:tc>
        <w:tc>
          <w:tcPr>
            <w:tcW w:w="3685" w:type="dxa"/>
          </w:tcPr>
          <w:p w:rsidR="00134B2C" w:rsidRPr="006F0F86" w:rsidRDefault="00134B2C" w:rsidP="00FD47C7">
            <w:pPr>
              <w:spacing w:before="120"/>
              <w:jc w:val="center"/>
              <w:rPr>
                <w:rFonts w:ascii="Calibri" w:hAnsi="Calibri"/>
                <w:sz w:val="18"/>
                <w:szCs w:val="18"/>
              </w:rPr>
            </w:pPr>
            <w:r w:rsidRPr="006F0F86">
              <w:rPr>
                <w:rFonts w:ascii="Calibri" w:hAnsi="Calibri"/>
                <w:sz w:val="18"/>
                <w:szCs w:val="18"/>
              </w:rPr>
              <w:t>Element nawierzchni</w:t>
            </w:r>
          </w:p>
        </w:tc>
        <w:tc>
          <w:tcPr>
            <w:tcW w:w="2158" w:type="dxa"/>
          </w:tcPr>
          <w:p w:rsidR="00134B2C" w:rsidRPr="006F0F86" w:rsidRDefault="00134B2C" w:rsidP="00FD47C7">
            <w:pPr>
              <w:jc w:val="center"/>
              <w:rPr>
                <w:rFonts w:ascii="Calibri" w:hAnsi="Calibri"/>
                <w:sz w:val="18"/>
                <w:szCs w:val="18"/>
              </w:rPr>
            </w:pPr>
            <w:r w:rsidRPr="006F0F86">
              <w:rPr>
                <w:rFonts w:ascii="Calibri" w:hAnsi="Calibri"/>
                <w:sz w:val="18"/>
                <w:szCs w:val="18"/>
              </w:rPr>
              <w:t>Wartości wskaźnika IRI [mm/m]</w:t>
            </w:r>
          </w:p>
        </w:tc>
      </w:tr>
      <w:tr w:rsidR="00134B2C" w:rsidRPr="006F0F86" w:rsidTr="00FD47C7">
        <w:tc>
          <w:tcPr>
            <w:tcW w:w="1560" w:type="dxa"/>
            <w:tcBorders>
              <w:bottom w:val="nil"/>
            </w:tcBorders>
          </w:tcPr>
          <w:p w:rsidR="00134B2C" w:rsidRPr="006F0F86" w:rsidRDefault="00134B2C" w:rsidP="00FD47C7">
            <w:pPr>
              <w:jc w:val="center"/>
              <w:rPr>
                <w:rFonts w:ascii="Calibri" w:hAnsi="Calibri"/>
                <w:sz w:val="18"/>
                <w:szCs w:val="18"/>
              </w:rPr>
            </w:pPr>
          </w:p>
          <w:p w:rsidR="00134B2C" w:rsidRPr="006F0F86" w:rsidRDefault="00134B2C" w:rsidP="00FD47C7">
            <w:pPr>
              <w:jc w:val="center"/>
              <w:rPr>
                <w:rFonts w:ascii="Calibri" w:hAnsi="Calibri"/>
                <w:sz w:val="18"/>
                <w:szCs w:val="18"/>
              </w:rPr>
            </w:pPr>
            <w:r w:rsidRPr="006F0F86">
              <w:rPr>
                <w:rFonts w:ascii="Calibri" w:hAnsi="Calibri"/>
                <w:sz w:val="18"/>
                <w:szCs w:val="18"/>
              </w:rPr>
              <w:t>A, S</w:t>
            </w:r>
          </w:p>
        </w:tc>
        <w:tc>
          <w:tcPr>
            <w:tcW w:w="3685" w:type="dxa"/>
          </w:tcPr>
          <w:p w:rsidR="00134B2C" w:rsidRPr="006F0F86" w:rsidRDefault="00134B2C" w:rsidP="00FD47C7">
            <w:pPr>
              <w:rPr>
                <w:rFonts w:ascii="Calibri" w:hAnsi="Calibri"/>
                <w:sz w:val="18"/>
                <w:szCs w:val="18"/>
              </w:rPr>
            </w:pPr>
            <w:r w:rsidRPr="006F0F86">
              <w:rPr>
                <w:rFonts w:ascii="Calibri" w:hAnsi="Calibri"/>
                <w:sz w:val="18"/>
                <w:szCs w:val="18"/>
              </w:rPr>
              <w:t>Pasy: ruchu, awaryjne, dodatkowe, włączania i wyłączania</w:t>
            </w:r>
          </w:p>
        </w:tc>
        <w:tc>
          <w:tcPr>
            <w:tcW w:w="2158" w:type="dxa"/>
          </w:tcPr>
          <w:p w:rsidR="00134B2C" w:rsidRPr="006F0F86" w:rsidRDefault="00134B2C" w:rsidP="00FD47C7">
            <w:pPr>
              <w:spacing w:before="120"/>
              <w:jc w:val="center"/>
              <w:rPr>
                <w:rFonts w:ascii="Calibri" w:hAnsi="Calibri"/>
                <w:sz w:val="18"/>
                <w:szCs w:val="18"/>
              </w:rPr>
            </w:pPr>
            <w:r w:rsidRPr="006F0F86">
              <w:rPr>
                <w:rFonts w:ascii="Calibri" w:hAnsi="Calibri"/>
                <w:sz w:val="18"/>
                <w:szCs w:val="18"/>
              </w:rPr>
              <w:t>≤ 2,9</w:t>
            </w:r>
          </w:p>
        </w:tc>
      </w:tr>
      <w:tr w:rsidR="00134B2C" w:rsidRPr="006F0F86" w:rsidTr="00FD47C7">
        <w:tc>
          <w:tcPr>
            <w:tcW w:w="1560" w:type="dxa"/>
            <w:tcBorders>
              <w:top w:val="nil"/>
            </w:tcBorders>
          </w:tcPr>
          <w:p w:rsidR="00134B2C" w:rsidRPr="006F0F86" w:rsidRDefault="00134B2C" w:rsidP="00FD47C7">
            <w:pPr>
              <w:jc w:val="center"/>
              <w:rPr>
                <w:rFonts w:ascii="Calibri" w:hAnsi="Calibri"/>
                <w:sz w:val="18"/>
                <w:szCs w:val="18"/>
              </w:rPr>
            </w:pPr>
            <w:r w:rsidRPr="006F0F86">
              <w:rPr>
                <w:rFonts w:ascii="Calibri" w:hAnsi="Calibri"/>
                <w:sz w:val="18"/>
                <w:szCs w:val="18"/>
              </w:rPr>
              <w:t>GP</w:t>
            </w:r>
          </w:p>
        </w:tc>
        <w:tc>
          <w:tcPr>
            <w:tcW w:w="3685" w:type="dxa"/>
          </w:tcPr>
          <w:p w:rsidR="00134B2C" w:rsidRPr="006F0F86" w:rsidRDefault="00134B2C" w:rsidP="00FD47C7">
            <w:pPr>
              <w:rPr>
                <w:rFonts w:ascii="Calibri" w:hAnsi="Calibri"/>
                <w:sz w:val="18"/>
                <w:szCs w:val="18"/>
              </w:rPr>
            </w:pPr>
            <w:r w:rsidRPr="006F0F86">
              <w:rPr>
                <w:rFonts w:ascii="Calibri" w:hAnsi="Calibri"/>
                <w:sz w:val="18"/>
                <w:szCs w:val="18"/>
              </w:rPr>
              <w:t>Jezdnie łącznic, jezdnie MOP, utwardzone pobocza</w:t>
            </w:r>
          </w:p>
        </w:tc>
        <w:tc>
          <w:tcPr>
            <w:tcW w:w="2158" w:type="dxa"/>
          </w:tcPr>
          <w:p w:rsidR="00134B2C" w:rsidRPr="006F0F86" w:rsidRDefault="00134B2C" w:rsidP="00FD47C7">
            <w:pPr>
              <w:spacing w:before="120"/>
              <w:jc w:val="center"/>
              <w:rPr>
                <w:rFonts w:ascii="Calibri" w:hAnsi="Calibri"/>
                <w:sz w:val="18"/>
                <w:szCs w:val="18"/>
              </w:rPr>
            </w:pPr>
            <w:r w:rsidRPr="006F0F86">
              <w:rPr>
                <w:rFonts w:ascii="Calibri" w:hAnsi="Calibri"/>
                <w:sz w:val="18"/>
                <w:szCs w:val="18"/>
              </w:rPr>
              <w:t>≤ 3,7</w:t>
            </w:r>
          </w:p>
        </w:tc>
      </w:tr>
      <w:tr w:rsidR="00134B2C" w:rsidRPr="006F0F86" w:rsidTr="00FD47C7">
        <w:tc>
          <w:tcPr>
            <w:tcW w:w="1560" w:type="dxa"/>
          </w:tcPr>
          <w:p w:rsidR="00134B2C" w:rsidRPr="006F0F86" w:rsidRDefault="00134B2C" w:rsidP="00FD47C7">
            <w:pPr>
              <w:jc w:val="center"/>
              <w:rPr>
                <w:rFonts w:ascii="Calibri" w:hAnsi="Calibri"/>
                <w:sz w:val="18"/>
                <w:szCs w:val="18"/>
              </w:rPr>
            </w:pPr>
          </w:p>
          <w:p w:rsidR="00134B2C" w:rsidRPr="006F0F86" w:rsidRDefault="00134B2C" w:rsidP="00FD47C7">
            <w:pPr>
              <w:jc w:val="center"/>
              <w:rPr>
                <w:rFonts w:ascii="Calibri" w:hAnsi="Calibri"/>
                <w:sz w:val="18"/>
                <w:szCs w:val="18"/>
              </w:rPr>
            </w:pPr>
            <w:r w:rsidRPr="006F0F86">
              <w:rPr>
                <w:rFonts w:ascii="Calibri" w:hAnsi="Calibri"/>
                <w:sz w:val="18"/>
                <w:szCs w:val="18"/>
              </w:rPr>
              <w:t>G</w:t>
            </w:r>
          </w:p>
        </w:tc>
        <w:tc>
          <w:tcPr>
            <w:tcW w:w="3685" w:type="dxa"/>
          </w:tcPr>
          <w:p w:rsidR="00134B2C" w:rsidRPr="006F0F86" w:rsidRDefault="00134B2C" w:rsidP="00FD47C7">
            <w:pPr>
              <w:jc w:val="left"/>
              <w:rPr>
                <w:rFonts w:ascii="Calibri" w:hAnsi="Calibri"/>
                <w:sz w:val="18"/>
                <w:szCs w:val="18"/>
              </w:rPr>
            </w:pPr>
            <w:r w:rsidRPr="006F0F86">
              <w:rPr>
                <w:rFonts w:ascii="Calibri" w:hAnsi="Calibri"/>
                <w:sz w:val="18"/>
                <w:szCs w:val="18"/>
              </w:rPr>
              <w:t>Pasy: ruchu, dodatkowe, włączania i wyłączania, postojowe, jezdnie łącznic, utwardzone pobocza</w:t>
            </w:r>
          </w:p>
        </w:tc>
        <w:tc>
          <w:tcPr>
            <w:tcW w:w="2158" w:type="dxa"/>
          </w:tcPr>
          <w:p w:rsidR="00134B2C" w:rsidRPr="006F0F86" w:rsidRDefault="00134B2C" w:rsidP="00FD47C7">
            <w:pPr>
              <w:jc w:val="center"/>
              <w:rPr>
                <w:rFonts w:ascii="Calibri" w:hAnsi="Calibri"/>
                <w:sz w:val="18"/>
                <w:szCs w:val="18"/>
              </w:rPr>
            </w:pPr>
          </w:p>
          <w:p w:rsidR="00134B2C" w:rsidRPr="006F0F86" w:rsidRDefault="00134B2C" w:rsidP="00FD47C7">
            <w:pPr>
              <w:jc w:val="center"/>
              <w:rPr>
                <w:rFonts w:ascii="Calibri" w:hAnsi="Calibri"/>
                <w:sz w:val="18"/>
                <w:szCs w:val="18"/>
              </w:rPr>
            </w:pPr>
            <w:r w:rsidRPr="006F0F86">
              <w:rPr>
                <w:rFonts w:ascii="Calibri" w:hAnsi="Calibri"/>
                <w:sz w:val="18"/>
                <w:szCs w:val="18"/>
              </w:rPr>
              <w:t>≤ 4,6</w:t>
            </w:r>
          </w:p>
        </w:tc>
      </w:tr>
    </w:tbl>
    <w:p w:rsidR="00134B2C" w:rsidRPr="006F0F86" w:rsidRDefault="00134B2C" w:rsidP="00134B2C">
      <w:pPr>
        <w:rPr>
          <w:rFonts w:ascii="Calibri" w:hAnsi="Calibri"/>
        </w:rPr>
      </w:pPr>
    </w:p>
    <w:p w:rsidR="00134B2C" w:rsidRPr="006F0F86" w:rsidRDefault="00134B2C" w:rsidP="00134B2C">
      <w:pPr>
        <w:rPr>
          <w:rFonts w:ascii="Calibri" w:hAnsi="Calibri"/>
        </w:rPr>
      </w:pPr>
      <w:r w:rsidRPr="006F0F86">
        <w:rPr>
          <w:rFonts w:ascii="Calibri" w:hAnsi="Calibri"/>
        </w:rPr>
        <w:tab/>
        <w:t xml:space="preserve">Przed upływem okresu gwarancyjnego wartość odchylenia równości podłużnej warstwy ścieralnej nawierzchni dróg klasy Z i L nie powinna być większa niż </w:t>
      </w:r>
      <w:smartTag w:uri="urn:schemas-microsoft-com:office:smarttags" w:element="metricconverter">
        <w:smartTagPr>
          <w:attr w:name="ProductID" w:val="8 mm"/>
        </w:smartTagPr>
        <w:r w:rsidRPr="006F0F86">
          <w:rPr>
            <w:rFonts w:ascii="Calibri" w:hAnsi="Calibri"/>
          </w:rPr>
          <w:t>8 mm</w:t>
        </w:r>
      </w:smartTag>
      <w:r w:rsidRPr="006F0F86">
        <w:rPr>
          <w:rFonts w:ascii="Calibri" w:hAnsi="Calibri"/>
        </w:rPr>
        <w:t>. Badanie wykonuje się według procedury jak podczas odbioru nawierzchni.</w:t>
      </w:r>
    </w:p>
    <w:p w:rsidR="00134B2C" w:rsidRPr="006F0F86" w:rsidRDefault="00134B2C" w:rsidP="00134B2C">
      <w:pPr>
        <w:rPr>
          <w:rFonts w:ascii="Calibri" w:hAnsi="Calibri"/>
        </w:rPr>
      </w:pPr>
      <w:r w:rsidRPr="006F0F86">
        <w:rPr>
          <w:rFonts w:ascii="Calibri" w:hAnsi="Calibri"/>
        </w:rPr>
        <w:tab/>
        <w:t xml:space="preserve">Do oceny równości poprzecznej warstw nawierzchni dróg wszystkich klas technicznych należy stosować metodę z wykorzystaniem łaty 4-metrowej i klina lub metody równoważnej użyciu łaty i klina. Pomiar należy wykonywać w kierunku prostopadłym do osi jezdni, na każdym ocenianym pasie ruchu, nie rzadziej niż co </w:t>
      </w:r>
      <w:smartTag w:uri="urn:schemas-microsoft-com:office:smarttags" w:element="metricconverter">
        <w:smartTagPr>
          <w:attr w:name="ProductID" w:val="10 m"/>
        </w:smartTagPr>
        <w:r w:rsidRPr="006F0F86">
          <w:rPr>
            <w:rFonts w:ascii="Calibri" w:hAnsi="Calibri"/>
          </w:rPr>
          <w:t>10 m</w:t>
        </w:r>
      </w:smartTag>
      <w:r w:rsidRPr="006F0F86">
        <w:rPr>
          <w:rFonts w:ascii="Calibri" w:hAnsi="Calibri"/>
        </w:rPr>
        <w:t>. Wymagana równość poprzeczna jest określona w rozporządzeniu dotyczącym warunków technicznych, jakim powinny odpowiadać drogi publiczne [67].</w:t>
      </w:r>
    </w:p>
    <w:p w:rsidR="00134B2C" w:rsidRDefault="00134B2C" w:rsidP="00134B2C">
      <w:pPr>
        <w:rPr>
          <w:rFonts w:ascii="Calibri" w:hAnsi="Calibri"/>
        </w:rPr>
      </w:pPr>
      <w:r w:rsidRPr="006F0F86">
        <w:rPr>
          <w:rFonts w:ascii="Calibri" w:hAnsi="Calibri"/>
        </w:rPr>
        <w:tab/>
        <w:t>Przed upływem okresu gwarancyjnego wartość odchylenia równości poprzecznej warstwy ścieralnej nawierzchni dróg wszystkich klas technicznych nie powinna być większa niż podana w tablicy 17. Badanie wykonuje się według procedury jak podczas odbioru nawierzchni.</w:t>
      </w:r>
    </w:p>
    <w:p w:rsidR="00134B2C" w:rsidRPr="006F0F86" w:rsidRDefault="00134B2C" w:rsidP="00134B2C">
      <w:pPr>
        <w:rPr>
          <w:rFonts w:ascii="Calibri" w:hAnsi="Calibri"/>
        </w:rPr>
      </w:pPr>
    </w:p>
    <w:p w:rsidR="00134B2C" w:rsidRPr="006F0F86" w:rsidRDefault="00134B2C" w:rsidP="00134B2C">
      <w:pPr>
        <w:ind w:left="709"/>
        <w:rPr>
          <w:rFonts w:ascii="Calibri" w:hAnsi="Calibri"/>
        </w:rPr>
      </w:pPr>
      <w:r w:rsidRPr="006F0F86">
        <w:rPr>
          <w:rFonts w:ascii="Calibri" w:hAnsi="Calibri"/>
        </w:rPr>
        <w:t>Tablica 17</w:t>
      </w:r>
      <w:r>
        <w:rPr>
          <w:rFonts w:ascii="Calibri" w:hAnsi="Calibri"/>
        </w:rPr>
        <w:t xml:space="preserve">. </w:t>
      </w:r>
      <w:r w:rsidRPr="006F0F86">
        <w:rPr>
          <w:rFonts w:ascii="Calibri" w:hAnsi="Calibri"/>
        </w:rPr>
        <w:t xml:space="preserve">Dopuszczalne wartości odchyleń równości poprzecznej warstwy ścieralnej wymagane przed upływem okresu gwarancyjnego </w:t>
      </w:r>
    </w:p>
    <w:tbl>
      <w:tblPr>
        <w:tblW w:w="0" w:type="auto"/>
        <w:tblInd w:w="81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tblPr>
      <w:tblGrid>
        <w:gridCol w:w="1560"/>
        <w:gridCol w:w="3685"/>
        <w:gridCol w:w="2158"/>
      </w:tblGrid>
      <w:tr w:rsidR="00134B2C" w:rsidRPr="006F0F86" w:rsidTr="00FD47C7">
        <w:tc>
          <w:tcPr>
            <w:tcW w:w="1560" w:type="dxa"/>
            <w:tcBorders>
              <w:bottom w:val="single" w:sz="4" w:space="0" w:color="auto"/>
            </w:tcBorders>
          </w:tcPr>
          <w:p w:rsidR="00134B2C" w:rsidRPr="006F0F86" w:rsidRDefault="00134B2C" w:rsidP="00FD47C7">
            <w:pPr>
              <w:jc w:val="center"/>
              <w:rPr>
                <w:rFonts w:ascii="Calibri" w:hAnsi="Calibri"/>
                <w:sz w:val="18"/>
                <w:szCs w:val="18"/>
              </w:rPr>
            </w:pPr>
          </w:p>
          <w:p w:rsidR="00134B2C" w:rsidRPr="006F0F86" w:rsidRDefault="00134B2C" w:rsidP="00FD47C7">
            <w:pPr>
              <w:jc w:val="center"/>
              <w:rPr>
                <w:rFonts w:ascii="Calibri" w:hAnsi="Calibri"/>
                <w:sz w:val="18"/>
                <w:szCs w:val="18"/>
              </w:rPr>
            </w:pPr>
            <w:r w:rsidRPr="006F0F86">
              <w:rPr>
                <w:rFonts w:ascii="Calibri" w:hAnsi="Calibri"/>
                <w:sz w:val="18"/>
                <w:szCs w:val="18"/>
              </w:rPr>
              <w:t>Klasa drogi</w:t>
            </w:r>
          </w:p>
        </w:tc>
        <w:tc>
          <w:tcPr>
            <w:tcW w:w="3685" w:type="dxa"/>
          </w:tcPr>
          <w:p w:rsidR="00134B2C" w:rsidRPr="006F0F86" w:rsidRDefault="00134B2C" w:rsidP="00FD47C7">
            <w:pPr>
              <w:jc w:val="center"/>
              <w:rPr>
                <w:rFonts w:ascii="Calibri" w:hAnsi="Calibri"/>
                <w:sz w:val="18"/>
                <w:szCs w:val="18"/>
              </w:rPr>
            </w:pPr>
          </w:p>
          <w:p w:rsidR="00134B2C" w:rsidRPr="006F0F86" w:rsidRDefault="00134B2C" w:rsidP="00FD47C7">
            <w:pPr>
              <w:jc w:val="center"/>
              <w:rPr>
                <w:rFonts w:ascii="Calibri" w:hAnsi="Calibri"/>
                <w:sz w:val="18"/>
                <w:szCs w:val="18"/>
              </w:rPr>
            </w:pPr>
            <w:r w:rsidRPr="006F0F86">
              <w:rPr>
                <w:rFonts w:ascii="Calibri" w:hAnsi="Calibri"/>
                <w:sz w:val="18"/>
                <w:szCs w:val="18"/>
              </w:rPr>
              <w:t>Element nawierzchni</w:t>
            </w:r>
          </w:p>
        </w:tc>
        <w:tc>
          <w:tcPr>
            <w:tcW w:w="2158" w:type="dxa"/>
          </w:tcPr>
          <w:p w:rsidR="00134B2C" w:rsidRPr="006F0F86" w:rsidRDefault="00134B2C" w:rsidP="00FD47C7">
            <w:pPr>
              <w:jc w:val="center"/>
              <w:rPr>
                <w:rFonts w:ascii="Calibri" w:hAnsi="Calibri"/>
                <w:sz w:val="18"/>
                <w:szCs w:val="18"/>
              </w:rPr>
            </w:pPr>
            <w:r w:rsidRPr="006F0F86">
              <w:rPr>
                <w:rFonts w:ascii="Calibri" w:hAnsi="Calibri"/>
                <w:sz w:val="18"/>
                <w:szCs w:val="18"/>
              </w:rPr>
              <w:t>Wartości odchyleń równości poprzecznej [mm]</w:t>
            </w:r>
          </w:p>
        </w:tc>
      </w:tr>
      <w:tr w:rsidR="00134B2C" w:rsidRPr="006F0F86" w:rsidTr="00FD47C7">
        <w:tc>
          <w:tcPr>
            <w:tcW w:w="1560" w:type="dxa"/>
            <w:tcBorders>
              <w:bottom w:val="nil"/>
            </w:tcBorders>
          </w:tcPr>
          <w:p w:rsidR="00134B2C" w:rsidRPr="006F0F86" w:rsidRDefault="00134B2C" w:rsidP="00FD47C7">
            <w:pPr>
              <w:jc w:val="center"/>
              <w:rPr>
                <w:rFonts w:ascii="Calibri" w:hAnsi="Calibri"/>
                <w:sz w:val="18"/>
                <w:szCs w:val="18"/>
              </w:rPr>
            </w:pPr>
          </w:p>
          <w:p w:rsidR="00134B2C" w:rsidRPr="006F0F86" w:rsidRDefault="00134B2C" w:rsidP="00FD47C7">
            <w:pPr>
              <w:jc w:val="center"/>
              <w:rPr>
                <w:rFonts w:ascii="Calibri" w:hAnsi="Calibri"/>
                <w:sz w:val="18"/>
                <w:szCs w:val="18"/>
              </w:rPr>
            </w:pPr>
            <w:r w:rsidRPr="006F0F86">
              <w:rPr>
                <w:rFonts w:ascii="Calibri" w:hAnsi="Calibri"/>
                <w:sz w:val="18"/>
                <w:szCs w:val="18"/>
              </w:rPr>
              <w:t>A, S</w:t>
            </w:r>
          </w:p>
        </w:tc>
        <w:tc>
          <w:tcPr>
            <w:tcW w:w="3685" w:type="dxa"/>
          </w:tcPr>
          <w:p w:rsidR="00134B2C" w:rsidRPr="006F0F86" w:rsidRDefault="00134B2C" w:rsidP="00FD47C7">
            <w:pPr>
              <w:rPr>
                <w:rFonts w:ascii="Calibri" w:hAnsi="Calibri"/>
                <w:sz w:val="18"/>
                <w:szCs w:val="18"/>
              </w:rPr>
            </w:pPr>
            <w:r w:rsidRPr="006F0F86">
              <w:rPr>
                <w:rFonts w:ascii="Calibri" w:hAnsi="Calibri"/>
                <w:sz w:val="18"/>
                <w:szCs w:val="18"/>
              </w:rPr>
              <w:t>Pasy: ruchu, awaryjne, dodatkowe, włączania i wyłączania</w:t>
            </w:r>
          </w:p>
        </w:tc>
        <w:tc>
          <w:tcPr>
            <w:tcW w:w="2158" w:type="dxa"/>
          </w:tcPr>
          <w:p w:rsidR="00134B2C" w:rsidRPr="006F0F86" w:rsidRDefault="00134B2C" w:rsidP="00FD47C7">
            <w:pPr>
              <w:spacing w:before="120"/>
              <w:jc w:val="center"/>
              <w:rPr>
                <w:rFonts w:ascii="Calibri" w:hAnsi="Calibri"/>
                <w:sz w:val="18"/>
                <w:szCs w:val="18"/>
              </w:rPr>
            </w:pPr>
            <w:r w:rsidRPr="006F0F86">
              <w:rPr>
                <w:rFonts w:ascii="Calibri" w:hAnsi="Calibri"/>
                <w:sz w:val="18"/>
                <w:szCs w:val="18"/>
              </w:rPr>
              <w:t>≤ 6</w:t>
            </w:r>
          </w:p>
        </w:tc>
      </w:tr>
      <w:tr w:rsidR="00134B2C" w:rsidRPr="006F0F86" w:rsidTr="00FD47C7">
        <w:tc>
          <w:tcPr>
            <w:tcW w:w="1560" w:type="dxa"/>
            <w:tcBorders>
              <w:top w:val="nil"/>
            </w:tcBorders>
          </w:tcPr>
          <w:p w:rsidR="00134B2C" w:rsidRPr="006F0F86" w:rsidRDefault="00134B2C" w:rsidP="00FD47C7">
            <w:pPr>
              <w:jc w:val="center"/>
              <w:rPr>
                <w:rFonts w:ascii="Calibri" w:hAnsi="Calibri"/>
                <w:sz w:val="18"/>
                <w:szCs w:val="18"/>
              </w:rPr>
            </w:pPr>
            <w:r w:rsidRPr="006F0F86">
              <w:rPr>
                <w:rFonts w:ascii="Calibri" w:hAnsi="Calibri"/>
                <w:sz w:val="18"/>
                <w:szCs w:val="18"/>
              </w:rPr>
              <w:t>GP</w:t>
            </w:r>
          </w:p>
        </w:tc>
        <w:tc>
          <w:tcPr>
            <w:tcW w:w="3685" w:type="dxa"/>
          </w:tcPr>
          <w:p w:rsidR="00134B2C" w:rsidRPr="006F0F86" w:rsidRDefault="00134B2C" w:rsidP="00FD47C7">
            <w:pPr>
              <w:rPr>
                <w:rFonts w:ascii="Calibri" w:hAnsi="Calibri"/>
                <w:sz w:val="18"/>
                <w:szCs w:val="18"/>
              </w:rPr>
            </w:pPr>
            <w:r w:rsidRPr="006F0F86">
              <w:rPr>
                <w:rFonts w:ascii="Calibri" w:hAnsi="Calibri"/>
                <w:sz w:val="18"/>
                <w:szCs w:val="18"/>
              </w:rPr>
              <w:t>Jezdnie łącznic, jezdnie MOP, utwardzone pobocza</w:t>
            </w:r>
          </w:p>
        </w:tc>
        <w:tc>
          <w:tcPr>
            <w:tcW w:w="2158" w:type="dxa"/>
          </w:tcPr>
          <w:p w:rsidR="00134B2C" w:rsidRPr="006F0F86" w:rsidRDefault="00134B2C" w:rsidP="00FD47C7">
            <w:pPr>
              <w:spacing w:before="120"/>
              <w:jc w:val="center"/>
              <w:rPr>
                <w:rFonts w:ascii="Calibri" w:hAnsi="Calibri"/>
                <w:sz w:val="18"/>
                <w:szCs w:val="18"/>
              </w:rPr>
            </w:pPr>
            <w:r w:rsidRPr="006F0F86">
              <w:rPr>
                <w:rFonts w:ascii="Calibri" w:hAnsi="Calibri"/>
                <w:sz w:val="18"/>
                <w:szCs w:val="18"/>
              </w:rPr>
              <w:t>≤ 8</w:t>
            </w:r>
          </w:p>
        </w:tc>
      </w:tr>
      <w:tr w:rsidR="00134B2C" w:rsidRPr="006F0F86" w:rsidTr="00FD47C7">
        <w:tc>
          <w:tcPr>
            <w:tcW w:w="1560" w:type="dxa"/>
            <w:vAlign w:val="center"/>
          </w:tcPr>
          <w:p w:rsidR="00134B2C" w:rsidRPr="006F0F86" w:rsidRDefault="00134B2C" w:rsidP="00FD47C7">
            <w:pPr>
              <w:jc w:val="center"/>
              <w:rPr>
                <w:rFonts w:ascii="Calibri" w:hAnsi="Calibri"/>
                <w:sz w:val="18"/>
                <w:szCs w:val="18"/>
              </w:rPr>
            </w:pPr>
            <w:r w:rsidRPr="006F0F86">
              <w:rPr>
                <w:rFonts w:ascii="Calibri" w:hAnsi="Calibri"/>
                <w:sz w:val="18"/>
                <w:szCs w:val="18"/>
              </w:rPr>
              <w:t>G</w:t>
            </w:r>
          </w:p>
        </w:tc>
        <w:tc>
          <w:tcPr>
            <w:tcW w:w="3685" w:type="dxa"/>
          </w:tcPr>
          <w:p w:rsidR="00134B2C" w:rsidRPr="006F0F86" w:rsidRDefault="00134B2C" w:rsidP="00FD47C7">
            <w:pPr>
              <w:jc w:val="left"/>
              <w:rPr>
                <w:rFonts w:ascii="Calibri" w:hAnsi="Calibri"/>
                <w:sz w:val="18"/>
                <w:szCs w:val="18"/>
              </w:rPr>
            </w:pPr>
            <w:r w:rsidRPr="006F0F86">
              <w:rPr>
                <w:rFonts w:ascii="Calibri" w:hAnsi="Calibri"/>
                <w:sz w:val="18"/>
                <w:szCs w:val="18"/>
              </w:rPr>
              <w:t>Pasy: ruchu, dodatkowe, włączania i wyłączania, postojowe, jezdnie łącznic, utwardzone pobocza</w:t>
            </w:r>
          </w:p>
        </w:tc>
        <w:tc>
          <w:tcPr>
            <w:tcW w:w="2158" w:type="dxa"/>
          </w:tcPr>
          <w:p w:rsidR="00134B2C" w:rsidRPr="006F0F86" w:rsidRDefault="00134B2C" w:rsidP="00FD47C7">
            <w:pPr>
              <w:jc w:val="center"/>
              <w:rPr>
                <w:rFonts w:ascii="Calibri" w:hAnsi="Calibri"/>
                <w:sz w:val="18"/>
                <w:szCs w:val="18"/>
              </w:rPr>
            </w:pPr>
          </w:p>
          <w:p w:rsidR="00134B2C" w:rsidRPr="006F0F86" w:rsidRDefault="00134B2C" w:rsidP="00FD47C7">
            <w:pPr>
              <w:jc w:val="center"/>
              <w:rPr>
                <w:rFonts w:ascii="Calibri" w:hAnsi="Calibri"/>
                <w:sz w:val="18"/>
                <w:szCs w:val="18"/>
              </w:rPr>
            </w:pPr>
            <w:r w:rsidRPr="006F0F86">
              <w:rPr>
                <w:rFonts w:ascii="Calibri" w:hAnsi="Calibri"/>
                <w:sz w:val="18"/>
                <w:szCs w:val="18"/>
              </w:rPr>
              <w:t>≤ 8</w:t>
            </w:r>
          </w:p>
        </w:tc>
      </w:tr>
      <w:tr w:rsidR="00134B2C" w:rsidRPr="006F0F86" w:rsidTr="00FD47C7">
        <w:tc>
          <w:tcPr>
            <w:tcW w:w="1560" w:type="dxa"/>
          </w:tcPr>
          <w:p w:rsidR="00134B2C" w:rsidRPr="006F0F86" w:rsidRDefault="00134B2C" w:rsidP="00FD47C7">
            <w:pPr>
              <w:spacing w:before="60" w:after="60"/>
              <w:jc w:val="center"/>
              <w:rPr>
                <w:rFonts w:ascii="Calibri" w:hAnsi="Calibri"/>
                <w:sz w:val="18"/>
                <w:szCs w:val="18"/>
              </w:rPr>
            </w:pPr>
            <w:r w:rsidRPr="006F0F86">
              <w:rPr>
                <w:rFonts w:ascii="Calibri" w:hAnsi="Calibri"/>
                <w:sz w:val="18"/>
                <w:szCs w:val="18"/>
              </w:rPr>
              <w:t>Z, L, D</w:t>
            </w:r>
          </w:p>
        </w:tc>
        <w:tc>
          <w:tcPr>
            <w:tcW w:w="3685" w:type="dxa"/>
          </w:tcPr>
          <w:p w:rsidR="00134B2C" w:rsidRPr="006F0F86" w:rsidRDefault="00134B2C" w:rsidP="00FD47C7">
            <w:pPr>
              <w:spacing w:before="60" w:after="60"/>
              <w:rPr>
                <w:rFonts w:ascii="Calibri" w:hAnsi="Calibri"/>
                <w:sz w:val="18"/>
                <w:szCs w:val="18"/>
              </w:rPr>
            </w:pPr>
            <w:r w:rsidRPr="006F0F86">
              <w:rPr>
                <w:rFonts w:ascii="Calibri" w:hAnsi="Calibri"/>
                <w:sz w:val="18"/>
                <w:szCs w:val="18"/>
              </w:rPr>
              <w:t>Pasy ruchu</w:t>
            </w:r>
          </w:p>
        </w:tc>
        <w:tc>
          <w:tcPr>
            <w:tcW w:w="2158" w:type="dxa"/>
          </w:tcPr>
          <w:p w:rsidR="00134B2C" w:rsidRPr="006F0F86" w:rsidRDefault="00134B2C" w:rsidP="00FD47C7">
            <w:pPr>
              <w:spacing w:before="60" w:after="60"/>
              <w:jc w:val="center"/>
              <w:rPr>
                <w:rFonts w:ascii="Calibri" w:hAnsi="Calibri"/>
                <w:sz w:val="18"/>
                <w:szCs w:val="18"/>
              </w:rPr>
            </w:pPr>
            <w:r w:rsidRPr="006F0F86">
              <w:rPr>
                <w:rFonts w:ascii="Calibri" w:hAnsi="Calibri"/>
                <w:sz w:val="18"/>
                <w:szCs w:val="18"/>
              </w:rPr>
              <w:t>≤ 9</w:t>
            </w:r>
          </w:p>
        </w:tc>
      </w:tr>
    </w:tbl>
    <w:p w:rsidR="00134B2C" w:rsidRPr="006F0F86" w:rsidRDefault="00134B2C" w:rsidP="00134B2C">
      <w:pPr>
        <w:rPr>
          <w:rFonts w:ascii="Calibri" w:hAnsi="Calibri"/>
        </w:rPr>
      </w:pPr>
    </w:p>
    <w:p w:rsidR="00134B2C" w:rsidRPr="006F0F86" w:rsidRDefault="00134B2C" w:rsidP="00134B2C">
      <w:pPr>
        <w:rPr>
          <w:rFonts w:ascii="Calibri" w:hAnsi="Calibri"/>
        </w:rPr>
      </w:pPr>
      <w:r w:rsidRPr="00EC730D">
        <w:rPr>
          <w:rFonts w:ascii="Calibri" w:hAnsi="Calibri"/>
          <w:b/>
        </w:rPr>
        <w:t>6.4.2.6.</w:t>
      </w:r>
      <w:r w:rsidRPr="006F0F86">
        <w:rPr>
          <w:rFonts w:ascii="Calibri" w:hAnsi="Calibri"/>
        </w:rPr>
        <w:t xml:space="preserve"> Właściwości przeciwpoślizgowe</w:t>
      </w:r>
    </w:p>
    <w:p w:rsidR="00134B2C" w:rsidRPr="006F0F86" w:rsidRDefault="00134B2C" w:rsidP="00134B2C">
      <w:pPr>
        <w:rPr>
          <w:rFonts w:ascii="Calibri" w:hAnsi="Calibri"/>
        </w:rPr>
      </w:pPr>
      <w:r w:rsidRPr="006F0F86">
        <w:rPr>
          <w:rFonts w:ascii="Calibri" w:hAnsi="Calibri"/>
        </w:rPr>
        <w:tab/>
        <w:t>Przy ocenie właściwości przeciwpoślizgowych nawierzchni drogi klasy Z i dróg wyższych klas powinien być określony współczynnik tarcia na mokrej nawierzchni przy całkowitym poślizgu opony testowej.</w:t>
      </w:r>
    </w:p>
    <w:p w:rsidR="00134B2C" w:rsidRPr="006F0F86" w:rsidRDefault="00134B2C" w:rsidP="00134B2C">
      <w:pPr>
        <w:rPr>
          <w:rFonts w:ascii="Calibri" w:hAnsi="Calibri"/>
        </w:rPr>
      </w:pPr>
      <w:r w:rsidRPr="006F0F86">
        <w:rPr>
          <w:rFonts w:ascii="Calibri" w:hAnsi="Calibri"/>
        </w:rPr>
        <w:tab/>
        <w:t xml:space="preserve">Pomiar wykonuje się przy temperaturze otoczenia od 5 do </w:t>
      </w:r>
      <w:smartTag w:uri="urn:schemas-microsoft-com:office:smarttags" w:element="metricconverter">
        <w:smartTagPr>
          <w:attr w:name="ProductID" w:val="30ﾰC"/>
        </w:smartTagPr>
        <w:r w:rsidRPr="006F0F86">
          <w:rPr>
            <w:rFonts w:ascii="Calibri" w:hAnsi="Calibri"/>
          </w:rPr>
          <w:t>30°C</w:t>
        </w:r>
      </w:smartTag>
      <w:r w:rsidRPr="006F0F86">
        <w:rPr>
          <w:rFonts w:ascii="Calibri" w:hAnsi="Calibri"/>
        </w:rPr>
        <w:t xml:space="preserve">, nie rzadziej niż co </w:t>
      </w:r>
      <w:smartTag w:uri="urn:schemas-microsoft-com:office:smarttags" w:element="metricconverter">
        <w:smartTagPr>
          <w:attr w:name="ProductID" w:val="50 m"/>
        </w:smartTagPr>
        <w:r w:rsidRPr="006F0F86">
          <w:rPr>
            <w:rFonts w:ascii="Calibri" w:hAnsi="Calibri"/>
          </w:rPr>
          <w:t>50 m</w:t>
        </w:r>
      </w:smartTag>
      <w:r w:rsidRPr="006F0F86">
        <w:rPr>
          <w:rFonts w:ascii="Calibri" w:hAnsi="Calibri"/>
        </w:rPr>
        <w:t xml:space="preserve"> na nawierzchni zwilżanej wodą w ilości 0,5 l/m2, a wynik pomiaru powinien być przeliczany na wartość przy 100% poślizgu opony testowej o rozmiarze 185/70 R14. Miarą właściwości przeciwpoślizgowych jest miarodajny współczynnik tarcia. Za miarodajny współczynnik tarcia przyjmuje się różnicę wartości średniej E(μ) i odchylenia standardowego D: E(μ) – D. Długość odcinka podlegającego odbiorowi nie powinna być większa niż </w:t>
      </w:r>
      <w:smartTag w:uri="urn:schemas-microsoft-com:office:smarttags" w:element="metricconverter">
        <w:smartTagPr>
          <w:attr w:name="ProductID" w:val="1000 m"/>
        </w:smartTagPr>
        <w:r w:rsidRPr="006F0F86">
          <w:rPr>
            <w:rFonts w:ascii="Calibri" w:hAnsi="Calibri"/>
          </w:rPr>
          <w:t>1000 m</w:t>
        </w:r>
      </w:smartTag>
      <w:r w:rsidRPr="006F0F86">
        <w:rPr>
          <w:rFonts w:ascii="Calibri" w:hAnsi="Calibri"/>
        </w:rPr>
        <w:t xml:space="preserve">. Liczba pomiarów na ocenianym odcinku nie powinna być mniejsza niż 10. W wypadku odbioru krótkich odcinków nawierzchni, na których nie można wykonać pomiarów z prędkością 60 lub </w:t>
      </w:r>
      <w:smartTag w:uri="urn:schemas-microsoft-com:office:smarttags" w:element="metricconverter">
        <w:smartTagPr>
          <w:attr w:name="ProductID" w:val="90 km/h"/>
        </w:smartTagPr>
        <w:r w:rsidRPr="006F0F86">
          <w:rPr>
            <w:rFonts w:ascii="Calibri" w:hAnsi="Calibri"/>
          </w:rPr>
          <w:t>90 km/h</w:t>
        </w:r>
      </w:smartTag>
      <w:r w:rsidRPr="006F0F86">
        <w:rPr>
          <w:rFonts w:ascii="Calibri" w:hAnsi="Calibri"/>
        </w:rPr>
        <w:t xml:space="preserve"> (np. rondo, dojazd do skrzyżowania, niektóre łącznice), poszczególne wyniki pomiarów współczynnika tarcia nie powinny być niższe niż 0,44, przy prędkości pomiarowej </w:t>
      </w:r>
      <w:smartTag w:uri="urn:schemas-microsoft-com:office:smarttags" w:element="metricconverter">
        <w:smartTagPr>
          <w:attr w:name="ProductID" w:val="30 km/h"/>
        </w:smartTagPr>
        <w:r w:rsidRPr="006F0F86">
          <w:rPr>
            <w:rFonts w:ascii="Calibri" w:hAnsi="Calibri"/>
          </w:rPr>
          <w:t>30 km/h</w:t>
        </w:r>
      </w:smartTag>
      <w:r w:rsidRPr="006F0F86">
        <w:rPr>
          <w:rFonts w:ascii="Calibri" w:hAnsi="Calibri"/>
        </w:rPr>
        <w:t>.</w:t>
      </w:r>
    </w:p>
    <w:p w:rsidR="00134B2C" w:rsidRPr="006F0F86" w:rsidRDefault="00134B2C" w:rsidP="00134B2C">
      <w:pPr>
        <w:rPr>
          <w:rFonts w:ascii="Calibri" w:hAnsi="Calibri"/>
        </w:rPr>
      </w:pPr>
      <w:r w:rsidRPr="006F0F86">
        <w:rPr>
          <w:rFonts w:ascii="Calibri" w:hAnsi="Calibri"/>
        </w:rPr>
        <w:tab/>
        <w:t>Dopuszczalne wartości miarodajnego współczynnika tarcia nawierzchni wymagane w okresie od 4 do 8 tygodni po oddaniu warstwy do eksploatacji są określone w rozporządzeniu dotyczącym warunków technicznych, jakim powinny odpowiadać drogi publiczne [67].</w:t>
      </w:r>
    </w:p>
    <w:p w:rsidR="00134B2C" w:rsidRPr="006F0F86" w:rsidRDefault="00134B2C" w:rsidP="00134B2C">
      <w:pPr>
        <w:rPr>
          <w:rFonts w:ascii="Calibri" w:hAnsi="Calibri"/>
        </w:rPr>
      </w:pPr>
      <w:r w:rsidRPr="006F0F86">
        <w:rPr>
          <w:rFonts w:ascii="Calibri" w:hAnsi="Calibri"/>
        </w:rPr>
        <w:tab/>
        <w:t>Jeżeli warunki atmosferyczne uniemożliwiają wykonanie pomiaru w wymienionym terminie, powinien być on zrealizowany z najmniejszym możliwym opóźnieniem.</w:t>
      </w:r>
    </w:p>
    <w:p w:rsidR="00134B2C" w:rsidRDefault="00134B2C" w:rsidP="00134B2C">
      <w:pPr>
        <w:rPr>
          <w:rFonts w:ascii="Calibri" w:hAnsi="Calibri"/>
        </w:rPr>
      </w:pPr>
      <w:r w:rsidRPr="006F0F86">
        <w:rPr>
          <w:rFonts w:ascii="Calibri" w:hAnsi="Calibri"/>
        </w:rPr>
        <w:tab/>
        <w:t xml:space="preserve">Przed upływem okresu gwarancyjnego wartości miarodajnego współczynnika tarcia nie powinny być mniejsze niż podane w tablicy 18. W wypadku badań na krótkich odcinkach nawierzchni, rondach lub na dojazdach do skrzyżowań poszczególne wyniki pomiarów współczynnika tarcia nie powinny być niższe niż 0,44, przy prędkości pomiarowej </w:t>
      </w:r>
      <w:smartTag w:uri="urn:schemas-microsoft-com:office:smarttags" w:element="metricconverter">
        <w:smartTagPr>
          <w:attr w:name="ProductID" w:val="30 km/h"/>
        </w:smartTagPr>
        <w:r w:rsidRPr="006F0F86">
          <w:rPr>
            <w:rFonts w:ascii="Calibri" w:hAnsi="Calibri"/>
          </w:rPr>
          <w:t>30 km/h</w:t>
        </w:r>
      </w:smartTag>
      <w:r w:rsidRPr="006F0F86">
        <w:rPr>
          <w:rFonts w:ascii="Calibri" w:hAnsi="Calibri"/>
        </w:rPr>
        <w:t>.</w:t>
      </w:r>
    </w:p>
    <w:p w:rsidR="00134B2C" w:rsidRPr="006F0F86" w:rsidRDefault="00134B2C" w:rsidP="00134B2C">
      <w:pPr>
        <w:rPr>
          <w:rFonts w:ascii="Calibri" w:hAnsi="Calibri"/>
        </w:rPr>
      </w:pPr>
    </w:p>
    <w:p w:rsidR="00134B2C" w:rsidRPr="006F0F86" w:rsidRDefault="00134B2C" w:rsidP="00134B2C">
      <w:pPr>
        <w:ind w:left="709"/>
        <w:rPr>
          <w:rFonts w:ascii="Calibri" w:hAnsi="Calibri"/>
        </w:rPr>
      </w:pPr>
      <w:r w:rsidRPr="006F0F86">
        <w:rPr>
          <w:rFonts w:ascii="Calibri" w:hAnsi="Calibri"/>
        </w:rPr>
        <w:t>Tablica 18</w:t>
      </w:r>
      <w:r>
        <w:rPr>
          <w:rFonts w:ascii="Calibri" w:hAnsi="Calibri"/>
        </w:rPr>
        <w:t xml:space="preserve">. </w:t>
      </w:r>
      <w:r w:rsidRPr="006F0F86">
        <w:rPr>
          <w:rFonts w:ascii="Calibri" w:hAnsi="Calibri"/>
        </w:rPr>
        <w:t xml:space="preserve">Dopuszczalne wartości miarodajnego współczynnika tarcia wymagane przed upływem okresu gwarancyjnego </w:t>
      </w:r>
    </w:p>
    <w:tbl>
      <w:tblPr>
        <w:tblW w:w="7795" w:type="dxa"/>
        <w:tblInd w:w="81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tblPr>
      <w:tblGrid>
        <w:gridCol w:w="992"/>
        <w:gridCol w:w="3118"/>
        <w:gridCol w:w="1504"/>
        <w:gridCol w:w="2181"/>
      </w:tblGrid>
      <w:tr w:rsidR="00134B2C" w:rsidRPr="006F0F86" w:rsidTr="008F20A4">
        <w:tc>
          <w:tcPr>
            <w:tcW w:w="992" w:type="dxa"/>
            <w:vMerge w:val="restart"/>
            <w:vAlign w:val="center"/>
          </w:tcPr>
          <w:p w:rsidR="00134B2C" w:rsidRPr="006F0F86" w:rsidRDefault="00134B2C" w:rsidP="00FD47C7">
            <w:pPr>
              <w:jc w:val="center"/>
              <w:rPr>
                <w:rFonts w:ascii="Calibri" w:hAnsi="Calibri"/>
                <w:sz w:val="18"/>
                <w:szCs w:val="18"/>
              </w:rPr>
            </w:pPr>
            <w:r w:rsidRPr="006F0F86">
              <w:rPr>
                <w:rFonts w:ascii="Calibri" w:hAnsi="Calibri"/>
                <w:sz w:val="18"/>
                <w:szCs w:val="18"/>
              </w:rPr>
              <w:t>Klasa drogi</w:t>
            </w:r>
          </w:p>
        </w:tc>
        <w:tc>
          <w:tcPr>
            <w:tcW w:w="3118" w:type="dxa"/>
            <w:vMerge w:val="restart"/>
            <w:vAlign w:val="center"/>
          </w:tcPr>
          <w:p w:rsidR="00134B2C" w:rsidRPr="006F0F86" w:rsidRDefault="00134B2C" w:rsidP="00FD47C7">
            <w:pPr>
              <w:jc w:val="center"/>
              <w:rPr>
                <w:rFonts w:ascii="Calibri" w:hAnsi="Calibri"/>
                <w:sz w:val="18"/>
                <w:szCs w:val="18"/>
              </w:rPr>
            </w:pPr>
            <w:r w:rsidRPr="006F0F86">
              <w:rPr>
                <w:rFonts w:ascii="Calibri" w:hAnsi="Calibri"/>
                <w:sz w:val="18"/>
                <w:szCs w:val="18"/>
              </w:rPr>
              <w:t>Element nawierzchni</w:t>
            </w:r>
          </w:p>
        </w:tc>
        <w:tc>
          <w:tcPr>
            <w:tcW w:w="3685" w:type="dxa"/>
            <w:gridSpan w:val="2"/>
          </w:tcPr>
          <w:p w:rsidR="00134B2C" w:rsidRPr="006F0F86" w:rsidRDefault="00134B2C" w:rsidP="00FD47C7">
            <w:pPr>
              <w:jc w:val="center"/>
              <w:rPr>
                <w:rFonts w:ascii="Calibri" w:hAnsi="Calibri"/>
                <w:sz w:val="18"/>
                <w:szCs w:val="18"/>
              </w:rPr>
            </w:pPr>
            <w:r w:rsidRPr="006F0F86">
              <w:rPr>
                <w:rFonts w:ascii="Calibri" w:hAnsi="Calibri"/>
                <w:sz w:val="18"/>
                <w:szCs w:val="18"/>
              </w:rPr>
              <w:t>Miarodajny współczynnik tarcia przy prędkości zablokowanej opony względem nawierzchni</w:t>
            </w:r>
          </w:p>
        </w:tc>
      </w:tr>
      <w:tr w:rsidR="00134B2C" w:rsidRPr="006F0F86" w:rsidTr="008F20A4">
        <w:tc>
          <w:tcPr>
            <w:tcW w:w="992" w:type="dxa"/>
            <w:vMerge/>
            <w:tcBorders>
              <w:bottom w:val="single" w:sz="4" w:space="0" w:color="auto"/>
            </w:tcBorders>
          </w:tcPr>
          <w:p w:rsidR="00134B2C" w:rsidRPr="006F0F86" w:rsidRDefault="00134B2C" w:rsidP="00FD47C7">
            <w:pPr>
              <w:jc w:val="center"/>
              <w:rPr>
                <w:rFonts w:ascii="Calibri" w:hAnsi="Calibri"/>
                <w:sz w:val="18"/>
                <w:szCs w:val="18"/>
              </w:rPr>
            </w:pPr>
          </w:p>
        </w:tc>
        <w:tc>
          <w:tcPr>
            <w:tcW w:w="3118" w:type="dxa"/>
            <w:vMerge/>
          </w:tcPr>
          <w:p w:rsidR="00134B2C" w:rsidRPr="006F0F86" w:rsidRDefault="00134B2C" w:rsidP="00FD47C7">
            <w:pPr>
              <w:jc w:val="center"/>
              <w:rPr>
                <w:rFonts w:ascii="Calibri" w:hAnsi="Calibri"/>
                <w:sz w:val="18"/>
                <w:szCs w:val="18"/>
              </w:rPr>
            </w:pPr>
          </w:p>
        </w:tc>
        <w:tc>
          <w:tcPr>
            <w:tcW w:w="1504" w:type="dxa"/>
          </w:tcPr>
          <w:p w:rsidR="00134B2C" w:rsidRPr="006F0F86" w:rsidRDefault="00134B2C" w:rsidP="00FD47C7">
            <w:pPr>
              <w:jc w:val="center"/>
              <w:rPr>
                <w:rFonts w:ascii="Calibri" w:hAnsi="Calibri"/>
                <w:sz w:val="18"/>
                <w:szCs w:val="18"/>
              </w:rPr>
            </w:pPr>
            <w:r w:rsidRPr="006F0F86">
              <w:rPr>
                <w:rFonts w:ascii="Calibri" w:hAnsi="Calibri"/>
                <w:sz w:val="18"/>
                <w:szCs w:val="18"/>
              </w:rPr>
              <w:t xml:space="preserve"> </w:t>
            </w:r>
            <w:smartTag w:uri="urn:schemas-microsoft-com:office:smarttags" w:element="metricconverter">
              <w:smartTagPr>
                <w:attr w:name="ProductID" w:val="60 km/h"/>
              </w:smartTagPr>
              <w:r w:rsidRPr="006F0F86">
                <w:rPr>
                  <w:rFonts w:ascii="Calibri" w:hAnsi="Calibri"/>
                  <w:sz w:val="18"/>
                  <w:szCs w:val="18"/>
                </w:rPr>
                <w:t>60 km/h</w:t>
              </w:r>
            </w:smartTag>
          </w:p>
        </w:tc>
        <w:tc>
          <w:tcPr>
            <w:tcW w:w="2181" w:type="dxa"/>
          </w:tcPr>
          <w:p w:rsidR="00134B2C" w:rsidRPr="006F0F86" w:rsidRDefault="00134B2C" w:rsidP="00FD47C7">
            <w:pPr>
              <w:jc w:val="center"/>
              <w:rPr>
                <w:rFonts w:ascii="Calibri" w:hAnsi="Calibri"/>
                <w:sz w:val="18"/>
                <w:szCs w:val="18"/>
              </w:rPr>
            </w:pPr>
            <w:smartTag w:uri="urn:schemas-microsoft-com:office:smarttags" w:element="metricconverter">
              <w:smartTagPr>
                <w:attr w:name="ProductID" w:val="90 km/h"/>
              </w:smartTagPr>
              <w:r w:rsidRPr="006F0F86">
                <w:rPr>
                  <w:rFonts w:ascii="Calibri" w:hAnsi="Calibri"/>
                  <w:sz w:val="18"/>
                  <w:szCs w:val="18"/>
                </w:rPr>
                <w:t>90 km/h</w:t>
              </w:r>
            </w:smartTag>
          </w:p>
        </w:tc>
      </w:tr>
      <w:tr w:rsidR="00134B2C" w:rsidRPr="006F0F86" w:rsidTr="008F20A4">
        <w:tc>
          <w:tcPr>
            <w:tcW w:w="992" w:type="dxa"/>
            <w:vMerge w:val="restart"/>
            <w:vAlign w:val="center"/>
          </w:tcPr>
          <w:p w:rsidR="00134B2C" w:rsidRPr="006F0F86" w:rsidRDefault="00134B2C" w:rsidP="00FD47C7">
            <w:pPr>
              <w:jc w:val="center"/>
              <w:rPr>
                <w:rFonts w:ascii="Calibri" w:hAnsi="Calibri"/>
                <w:sz w:val="18"/>
                <w:szCs w:val="18"/>
              </w:rPr>
            </w:pPr>
            <w:r w:rsidRPr="006F0F86">
              <w:rPr>
                <w:rFonts w:ascii="Calibri" w:hAnsi="Calibri"/>
                <w:sz w:val="18"/>
                <w:szCs w:val="18"/>
              </w:rPr>
              <w:t>A, S</w:t>
            </w:r>
          </w:p>
        </w:tc>
        <w:tc>
          <w:tcPr>
            <w:tcW w:w="3118" w:type="dxa"/>
          </w:tcPr>
          <w:p w:rsidR="00134B2C" w:rsidRPr="006F0F86" w:rsidRDefault="00134B2C" w:rsidP="00FD47C7">
            <w:pPr>
              <w:spacing w:before="60" w:after="60"/>
              <w:rPr>
                <w:rFonts w:ascii="Calibri" w:hAnsi="Calibri"/>
                <w:sz w:val="18"/>
                <w:szCs w:val="18"/>
              </w:rPr>
            </w:pPr>
            <w:r w:rsidRPr="006F0F86">
              <w:rPr>
                <w:rFonts w:ascii="Calibri" w:hAnsi="Calibri"/>
                <w:sz w:val="18"/>
                <w:szCs w:val="18"/>
              </w:rPr>
              <w:t xml:space="preserve">Pasy ruchu </w:t>
            </w:r>
          </w:p>
        </w:tc>
        <w:tc>
          <w:tcPr>
            <w:tcW w:w="1504" w:type="dxa"/>
            <w:shd w:val="clear" w:color="auto" w:fill="auto"/>
          </w:tcPr>
          <w:p w:rsidR="00134B2C" w:rsidRPr="006F0F86" w:rsidRDefault="00134B2C" w:rsidP="00FD47C7">
            <w:pPr>
              <w:spacing w:before="60" w:after="60"/>
              <w:jc w:val="center"/>
              <w:rPr>
                <w:rFonts w:ascii="Calibri" w:hAnsi="Calibri"/>
                <w:sz w:val="18"/>
                <w:szCs w:val="18"/>
              </w:rPr>
            </w:pPr>
            <w:r w:rsidRPr="006F0F86">
              <w:rPr>
                <w:rFonts w:ascii="Calibri" w:hAnsi="Calibri"/>
                <w:sz w:val="18"/>
                <w:szCs w:val="18"/>
              </w:rPr>
              <w:t xml:space="preserve">-  </w:t>
            </w:r>
          </w:p>
        </w:tc>
        <w:tc>
          <w:tcPr>
            <w:tcW w:w="2181" w:type="dxa"/>
            <w:shd w:val="clear" w:color="auto" w:fill="auto"/>
          </w:tcPr>
          <w:p w:rsidR="00134B2C" w:rsidRPr="006F0F86" w:rsidRDefault="00134B2C" w:rsidP="00FD47C7">
            <w:pPr>
              <w:spacing w:before="60" w:after="60"/>
              <w:jc w:val="center"/>
              <w:rPr>
                <w:rFonts w:ascii="Calibri" w:hAnsi="Calibri"/>
                <w:sz w:val="18"/>
                <w:szCs w:val="18"/>
              </w:rPr>
            </w:pPr>
            <w:r w:rsidRPr="006F0F86">
              <w:rPr>
                <w:rFonts w:ascii="Calibri" w:hAnsi="Calibri"/>
                <w:sz w:val="18"/>
                <w:szCs w:val="18"/>
              </w:rPr>
              <w:t>≥ 0,37</w:t>
            </w:r>
          </w:p>
        </w:tc>
      </w:tr>
      <w:tr w:rsidR="00134B2C" w:rsidRPr="006F0F86" w:rsidTr="008F20A4">
        <w:tc>
          <w:tcPr>
            <w:tcW w:w="992" w:type="dxa"/>
            <w:vMerge/>
            <w:vAlign w:val="center"/>
          </w:tcPr>
          <w:p w:rsidR="00134B2C" w:rsidRPr="006F0F86" w:rsidRDefault="00134B2C" w:rsidP="00FD47C7">
            <w:pPr>
              <w:jc w:val="center"/>
              <w:rPr>
                <w:rFonts w:ascii="Calibri" w:hAnsi="Calibri"/>
                <w:sz w:val="18"/>
                <w:szCs w:val="18"/>
              </w:rPr>
            </w:pPr>
          </w:p>
        </w:tc>
        <w:tc>
          <w:tcPr>
            <w:tcW w:w="3118" w:type="dxa"/>
          </w:tcPr>
          <w:p w:rsidR="00134B2C" w:rsidRPr="006F0F86" w:rsidRDefault="00134B2C" w:rsidP="00FD47C7">
            <w:pPr>
              <w:rPr>
                <w:rFonts w:ascii="Calibri" w:hAnsi="Calibri"/>
                <w:sz w:val="18"/>
                <w:szCs w:val="18"/>
              </w:rPr>
            </w:pPr>
            <w:r w:rsidRPr="006F0F86">
              <w:rPr>
                <w:rFonts w:ascii="Calibri" w:hAnsi="Calibri"/>
                <w:sz w:val="18"/>
                <w:szCs w:val="18"/>
              </w:rPr>
              <w:t>Pasy: włączania i wyłączania, jezdnie łącznic</w:t>
            </w:r>
          </w:p>
        </w:tc>
        <w:tc>
          <w:tcPr>
            <w:tcW w:w="1504" w:type="dxa"/>
            <w:shd w:val="clear" w:color="auto" w:fill="auto"/>
          </w:tcPr>
          <w:p w:rsidR="00134B2C" w:rsidRPr="006F0F86" w:rsidRDefault="00134B2C" w:rsidP="00FD47C7">
            <w:pPr>
              <w:spacing w:before="120"/>
              <w:jc w:val="center"/>
              <w:rPr>
                <w:rFonts w:ascii="Calibri" w:hAnsi="Calibri"/>
                <w:sz w:val="18"/>
                <w:szCs w:val="18"/>
              </w:rPr>
            </w:pPr>
            <w:r w:rsidRPr="006F0F86">
              <w:rPr>
                <w:rFonts w:ascii="Calibri" w:hAnsi="Calibri"/>
                <w:sz w:val="18"/>
                <w:szCs w:val="18"/>
              </w:rPr>
              <w:t>≥ 0,44</w:t>
            </w:r>
          </w:p>
        </w:tc>
        <w:tc>
          <w:tcPr>
            <w:tcW w:w="2181" w:type="dxa"/>
            <w:shd w:val="clear" w:color="auto" w:fill="auto"/>
          </w:tcPr>
          <w:p w:rsidR="00134B2C" w:rsidRPr="006F0F86" w:rsidRDefault="00134B2C" w:rsidP="00FD47C7">
            <w:pPr>
              <w:spacing w:before="120"/>
              <w:jc w:val="center"/>
              <w:rPr>
                <w:rFonts w:ascii="Calibri" w:hAnsi="Calibri"/>
                <w:sz w:val="18"/>
                <w:szCs w:val="18"/>
              </w:rPr>
            </w:pPr>
            <w:r w:rsidRPr="006F0F86">
              <w:rPr>
                <w:rFonts w:ascii="Calibri" w:hAnsi="Calibri"/>
                <w:sz w:val="18"/>
                <w:szCs w:val="18"/>
              </w:rPr>
              <w:t>-</w:t>
            </w:r>
          </w:p>
        </w:tc>
      </w:tr>
      <w:tr w:rsidR="00134B2C" w:rsidRPr="006F0F86" w:rsidTr="008F20A4">
        <w:tc>
          <w:tcPr>
            <w:tcW w:w="992" w:type="dxa"/>
            <w:vAlign w:val="center"/>
          </w:tcPr>
          <w:p w:rsidR="00134B2C" w:rsidRPr="006F0F86" w:rsidRDefault="00134B2C" w:rsidP="00FD47C7">
            <w:pPr>
              <w:jc w:val="center"/>
              <w:rPr>
                <w:rFonts w:ascii="Calibri" w:hAnsi="Calibri"/>
                <w:sz w:val="18"/>
                <w:szCs w:val="18"/>
              </w:rPr>
            </w:pPr>
            <w:r w:rsidRPr="006F0F86">
              <w:rPr>
                <w:rFonts w:ascii="Calibri" w:hAnsi="Calibri"/>
                <w:sz w:val="18"/>
                <w:szCs w:val="18"/>
              </w:rPr>
              <w:t>GP, G, Z</w:t>
            </w:r>
          </w:p>
        </w:tc>
        <w:tc>
          <w:tcPr>
            <w:tcW w:w="3118" w:type="dxa"/>
          </w:tcPr>
          <w:p w:rsidR="00134B2C" w:rsidRPr="006F0F86" w:rsidRDefault="00134B2C" w:rsidP="00FD47C7">
            <w:pPr>
              <w:rPr>
                <w:rFonts w:ascii="Calibri" w:hAnsi="Calibri"/>
                <w:sz w:val="18"/>
                <w:szCs w:val="18"/>
              </w:rPr>
            </w:pPr>
            <w:r w:rsidRPr="006F0F86">
              <w:rPr>
                <w:rFonts w:ascii="Calibri" w:hAnsi="Calibri"/>
                <w:sz w:val="18"/>
                <w:szCs w:val="18"/>
              </w:rPr>
              <w:t>Pasy: ruchu, dodatkowe, utwardzone pobocza</w:t>
            </w:r>
          </w:p>
        </w:tc>
        <w:tc>
          <w:tcPr>
            <w:tcW w:w="1504" w:type="dxa"/>
            <w:shd w:val="clear" w:color="auto" w:fill="auto"/>
          </w:tcPr>
          <w:p w:rsidR="00134B2C" w:rsidRPr="006F0F86" w:rsidRDefault="00134B2C" w:rsidP="00FD47C7">
            <w:pPr>
              <w:spacing w:before="120"/>
              <w:jc w:val="center"/>
              <w:rPr>
                <w:rFonts w:ascii="Calibri" w:hAnsi="Calibri"/>
                <w:sz w:val="18"/>
                <w:szCs w:val="18"/>
              </w:rPr>
            </w:pPr>
            <w:r w:rsidRPr="006F0F86">
              <w:rPr>
                <w:rFonts w:ascii="Calibri" w:hAnsi="Calibri"/>
                <w:sz w:val="18"/>
                <w:szCs w:val="18"/>
              </w:rPr>
              <w:t>≥ 0,36</w:t>
            </w:r>
          </w:p>
        </w:tc>
        <w:tc>
          <w:tcPr>
            <w:tcW w:w="2181" w:type="dxa"/>
            <w:shd w:val="clear" w:color="auto" w:fill="auto"/>
          </w:tcPr>
          <w:p w:rsidR="00134B2C" w:rsidRPr="006F0F86" w:rsidRDefault="00134B2C" w:rsidP="00FD47C7">
            <w:pPr>
              <w:spacing w:before="120"/>
              <w:jc w:val="center"/>
              <w:rPr>
                <w:rFonts w:ascii="Calibri" w:hAnsi="Calibri"/>
                <w:sz w:val="18"/>
                <w:szCs w:val="18"/>
              </w:rPr>
            </w:pPr>
            <w:r w:rsidRPr="006F0F86">
              <w:rPr>
                <w:rFonts w:ascii="Calibri" w:hAnsi="Calibri"/>
                <w:sz w:val="18"/>
                <w:szCs w:val="18"/>
              </w:rPr>
              <w:t>-</w:t>
            </w:r>
          </w:p>
        </w:tc>
      </w:tr>
    </w:tbl>
    <w:p w:rsidR="00134B2C" w:rsidRPr="006F0F86" w:rsidRDefault="00134B2C" w:rsidP="00134B2C">
      <w:pPr>
        <w:rPr>
          <w:rFonts w:ascii="Calibri" w:hAnsi="Calibri"/>
        </w:rPr>
      </w:pPr>
      <w:r w:rsidRPr="00EC730D">
        <w:rPr>
          <w:rFonts w:ascii="Calibri" w:hAnsi="Calibri"/>
          <w:b/>
        </w:rPr>
        <w:lastRenderedPageBreak/>
        <w:t>6.4.2.7.</w:t>
      </w:r>
      <w:r w:rsidRPr="006F0F86">
        <w:rPr>
          <w:rFonts w:ascii="Calibri" w:hAnsi="Calibri"/>
        </w:rPr>
        <w:t xml:space="preserve"> Pozostałe właściwości warstwy asfaltowej</w:t>
      </w:r>
    </w:p>
    <w:p w:rsidR="00134B2C" w:rsidRPr="006F0F86" w:rsidRDefault="00134B2C" w:rsidP="00134B2C">
      <w:pPr>
        <w:rPr>
          <w:rFonts w:ascii="Calibri" w:hAnsi="Calibri"/>
        </w:rPr>
      </w:pPr>
      <w:r w:rsidRPr="006F0F86">
        <w:rPr>
          <w:rFonts w:ascii="Calibri" w:hAnsi="Calibri"/>
        </w:rPr>
        <w:tab/>
        <w:t xml:space="preserve">Szerokość warstwy, mierzona 10 razy na </w:t>
      </w:r>
      <w:smartTag w:uri="urn:schemas-microsoft-com:office:smarttags" w:element="metricconverter">
        <w:smartTagPr>
          <w:attr w:name="ProductID" w:val="1 km"/>
        </w:smartTagPr>
        <w:r w:rsidRPr="006F0F86">
          <w:rPr>
            <w:rFonts w:ascii="Calibri" w:hAnsi="Calibri"/>
          </w:rPr>
          <w:t>1 km</w:t>
        </w:r>
      </w:smartTag>
      <w:r w:rsidRPr="006F0F86">
        <w:rPr>
          <w:rFonts w:ascii="Calibri" w:hAnsi="Calibri"/>
        </w:rPr>
        <w:t xml:space="preserve"> każdej jezdni, nie może się różnić od szerokości projektowanej o więcej niż ± </w:t>
      </w:r>
      <w:smartTag w:uri="urn:schemas-microsoft-com:office:smarttags" w:element="metricconverter">
        <w:smartTagPr>
          <w:attr w:name="ProductID" w:val="5 cm"/>
        </w:smartTagPr>
        <w:r w:rsidRPr="006F0F86">
          <w:rPr>
            <w:rFonts w:ascii="Calibri" w:hAnsi="Calibri"/>
          </w:rPr>
          <w:t>5 cm</w:t>
        </w:r>
      </w:smartTag>
      <w:r w:rsidRPr="006F0F86">
        <w:rPr>
          <w:rFonts w:ascii="Calibri" w:hAnsi="Calibri"/>
        </w:rPr>
        <w:t>.</w:t>
      </w:r>
    </w:p>
    <w:p w:rsidR="00134B2C" w:rsidRPr="006F0F86" w:rsidRDefault="00134B2C" w:rsidP="00134B2C">
      <w:pPr>
        <w:rPr>
          <w:rFonts w:ascii="Calibri" w:hAnsi="Calibri"/>
        </w:rPr>
      </w:pPr>
      <w:r w:rsidRPr="006F0F86">
        <w:rPr>
          <w:rFonts w:ascii="Calibri" w:hAnsi="Calibri"/>
        </w:rPr>
        <w:tab/>
        <w:t xml:space="preserve">Rzędne wysokościowe, mierzone co </w:t>
      </w:r>
      <w:smartTag w:uri="urn:schemas-microsoft-com:office:smarttags" w:element="metricconverter">
        <w:smartTagPr>
          <w:attr w:name="ProductID" w:val="10 m"/>
        </w:smartTagPr>
        <w:r w:rsidRPr="006F0F86">
          <w:rPr>
            <w:rFonts w:ascii="Calibri" w:hAnsi="Calibri"/>
          </w:rPr>
          <w:t>10 m</w:t>
        </w:r>
      </w:smartTag>
      <w:r w:rsidRPr="006F0F86">
        <w:rPr>
          <w:rFonts w:ascii="Calibri" w:hAnsi="Calibri"/>
        </w:rPr>
        <w:t xml:space="preserve"> na prostych i co </w:t>
      </w:r>
      <w:smartTag w:uri="urn:schemas-microsoft-com:office:smarttags" w:element="metricconverter">
        <w:smartTagPr>
          <w:attr w:name="ProductID" w:val="10 m"/>
        </w:smartTagPr>
        <w:r w:rsidRPr="006F0F86">
          <w:rPr>
            <w:rFonts w:ascii="Calibri" w:hAnsi="Calibri"/>
          </w:rPr>
          <w:t>10 m</w:t>
        </w:r>
      </w:smartTag>
      <w:r w:rsidRPr="006F0F86">
        <w:rPr>
          <w:rFonts w:ascii="Calibri" w:hAnsi="Calibri"/>
        </w:rPr>
        <w:t xml:space="preserve"> na osi podłużnej i krawędziach, powinny być zgodne z dokumentacją projektow</w:t>
      </w:r>
      <w:r>
        <w:rPr>
          <w:rFonts w:ascii="Calibri" w:hAnsi="Calibri"/>
        </w:rPr>
        <w:t>ą z dopuszczalną tolerancją</w:t>
      </w:r>
      <w:r w:rsidRPr="006F0F86">
        <w:rPr>
          <w:rFonts w:ascii="Calibri" w:hAnsi="Calibri"/>
        </w:rPr>
        <w:t xml:space="preserve"> ± </w:t>
      </w:r>
      <w:smartTag w:uri="urn:schemas-microsoft-com:office:smarttags" w:element="metricconverter">
        <w:smartTagPr>
          <w:attr w:name="ProductID" w:val="1 cm"/>
        </w:smartTagPr>
        <w:r w:rsidRPr="006F0F86">
          <w:rPr>
            <w:rFonts w:ascii="Calibri" w:hAnsi="Calibri"/>
          </w:rPr>
          <w:t>1 cm</w:t>
        </w:r>
      </w:smartTag>
      <w:r w:rsidRPr="006F0F86">
        <w:rPr>
          <w:rFonts w:ascii="Calibri" w:hAnsi="Calibri"/>
        </w:rPr>
        <w:t>, przy czym co najmniej 95% wykonanych pomiarów nie może przekraczać przedziału dopuszczalnych odchyleń.</w:t>
      </w:r>
    </w:p>
    <w:p w:rsidR="00134B2C" w:rsidRPr="006F0F86" w:rsidRDefault="00134B2C" w:rsidP="00134B2C">
      <w:pPr>
        <w:rPr>
          <w:rFonts w:ascii="Calibri" w:hAnsi="Calibri"/>
        </w:rPr>
      </w:pPr>
      <w:r w:rsidRPr="006F0F86">
        <w:rPr>
          <w:rFonts w:ascii="Calibri" w:hAnsi="Calibri"/>
        </w:rPr>
        <w:tab/>
        <w:t xml:space="preserve">Ukształtowanie osi w planie, mierzone co </w:t>
      </w:r>
      <w:smartTag w:uri="urn:schemas-microsoft-com:office:smarttags" w:element="metricconverter">
        <w:smartTagPr>
          <w:attr w:name="ProductID" w:val="100 m"/>
        </w:smartTagPr>
        <w:r w:rsidRPr="006F0F86">
          <w:rPr>
            <w:rFonts w:ascii="Calibri" w:hAnsi="Calibri"/>
          </w:rPr>
          <w:t>100 m</w:t>
        </w:r>
      </w:smartTag>
      <w:r w:rsidRPr="006F0F86">
        <w:rPr>
          <w:rFonts w:ascii="Calibri" w:hAnsi="Calibri"/>
        </w:rPr>
        <w:t xml:space="preserve">, nie powinno różnić się od dokumentacji projektowej o ± </w:t>
      </w:r>
      <w:smartTag w:uri="urn:schemas-microsoft-com:office:smarttags" w:element="metricconverter">
        <w:smartTagPr>
          <w:attr w:name="ProductID" w:val="5 cm"/>
        </w:smartTagPr>
        <w:r w:rsidRPr="006F0F86">
          <w:rPr>
            <w:rFonts w:ascii="Calibri" w:hAnsi="Calibri"/>
          </w:rPr>
          <w:t>5 cm</w:t>
        </w:r>
      </w:smartTag>
      <w:r w:rsidRPr="006F0F86">
        <w:rPr>
          <w:rFonts w:ascii="Calibri" w:hAnsi="Calibri"/>
        </w:rPr>
        <w:t>.</w:t>
      </w:r>
    </w:p>
    <w:p w:rsidR="00134B2C" w:rsidRPr="006F0F86" w:rsidRDefault="00134B2C" w:rsidP="00134B2C">
      <w:pPr>
        <w:rPr>
          <w:rFonts w:ascii="Calibri" w:hAnsi="Calibri"/>
        </w:rPr>
      </w:pPr>
      <w:r w:rsidRPr="006F0F86">
        <w:rPr>
          <w:rFonts w:ascii="Calibri" w:hAnsi="Calibri"/>
        </w:rPr>
        <w:tab/>
        <w:t>Złącza podłużne i poprzeczne, sprawdzone wizualnie, powinny być równe i związane, wykonane w linii prostej, równolegle lub prostopadle do osi drogi. Przylegające warstwy powinny być w jednym poziomie.</w:t>
      </w:r>
    </w:p>
    <w:p w:rsidR="00134B2C" w:rsidRDefault="00134B2C" w:rsidP="00134B2C">
      <w:pPr>
        <w:rPr>
          <w:rFonts w:ascii="Calibri" w:hAnsi="Calibri"/>
        </w:rPr>
      </w:pPr>
      <w:r w:rsidRPr="006F0F86">
        <w:rPr>
          <w:rFonts w:ascii="Calibri" w:hAnsi="Calibri"/>
        </w:rPr>
        <w:tab/>
        <w:t>Wygląd zewnętrzny warstwy, sprawdzony wizualnie, powinien być jednorodny, bez spękań, deformacji, plam i wykruszeń.</w:t>
      </w:r>
    </w:p>
    <w:p w:rsidR="00134B2C" w:rsidRPr="006F0F86" w:rsidRDefault="00134B2C" w:rsidP="00134B2C">
      <w:pPr>
        <w:rPr>
          <w:rFonts w:ascii="Calibri" w:hAnsi="Calibri"/>
        </w:rPr>
      </w:pPr>
    </w:p>
    <w:p w:rsidR="00134B2C" w:rsidRPr="00EC730D" w:rsidRDefault="00134B2C" w:rsidP="00134B2C">
      <w:pPr>
        <w:rPr>
          <w:rFonts w:ascii="Calibri" w:hAnsi="Calibri"/>
          <w:b/>
        </w:rPr>
      </w:pPr>
      <w:bookmarkStart w:id="1489" w:name="_Toc237920705"/>
      <w:r w:rsidRPr="00EC730D">
        <w:rPr>
          <w:rFonts w:ascii="Calibri" w:hAnsi="Calibri"/>
          <w:b/>
        </w:rPr>
        <w:t xml:space="preserve">7. </w:t>
      </w:r>
      <w:bookmarkEnd w:id="1489"/>
      <w:r w:rsidRPr="00EC730D">
        <w:rPr>
          <w:rFonts w:ascii="Calibri" w:hAnsi="Calibri"/>
          <w:b/>
        </w:rPr>
        <w:t>OBMIAR ROBÓT</w:t>
      </w:r>
    </w:p>
    <w:p w:rsidR="00134B2C" w:rsidRPr="006F0F86" w:rsidRDefault="00134B2C" w:rsidP="00134B2C">
      <w:pPr>
        <w:rPr>
          <w:rFonts w:ascii="Calibri" w:hAnsi="Calibri"/>
        </w:rPr>
      </w:pPr>
      <w:r w:rsidRPr="00EC730D">
        <w:rPr>
          <w:rFonts w:ascii="Calibri" w:hAnsi="Calibri"/>
          <w:b/>
        </w:rPr>
        <w:t>7.1.</w:t>
      </w:r>
      <w:r w:rsidRPr="006F0F86">
        <w:rPr>
          <w:rFonts w:ascii="Calibri" w:hAnsi="Calibri"/>
        </w:rPr>
        <w:t xml:space="preserve"> Ogólne zasady obmiaru robót</w:t>
      </w:r>
    </w:p>
    <w:p w:rsidR="00134B2C" w:rsidRPr="006F0F86" w:rsidRDefault="00134B2C" w:rsidP="00134B2C">
      <w:pPr>
        <w:rPr>
          <w:rFonts w:ascii="Calibri" w:hAnsi="Calibri"/>
        </w:rPr>
      </w:pPr>
      <w:r w:rsidRPr="006F0F86">
        <w:rPr>
          <w:rFonts w:ascii="Calibri" w:hAnsi="Calibri"/>
        </w:rPr>
        <w:tab/>
        <w:t>Ogólne zasady obmiaru robót p</w:t>
      </w:r>
      <w:r>
        <w:rPr>
          <w:rFonts w:ascii="Calibri" w:hAnsi="Calibri"/>
        </w:rPr>
        <w:t xml:space="preserve">odano w </w:t>
      </w:r>
      <w:r w:rsidRPr="006F0F86">
        <w:rPr>
          <w:rFonts w:ascii="Calibri" w:hAnsi="Calibri"/>
        </w:rPr>
        <w:t>ST  D-M-00.00.00 „Wymagania ogólne” [1] pkt 7.</w:t>
      </w:r>
    </w:p>
    <w:p w:rsidR="00134B2C" w:rsidRPr="006F0F86" w:rsidRDefault="00134B2C" w:rsidP="00134B2C">
      <w:pPr>
        <w:rPr>
          <w:rFonts w:ascii="Calibri" w:hAnsi="Calibri"/>
        </w:rPr>
      </w:pPr>
      <w:r w:rsidRPr="00EC730D">
        <w:rPr>
          <w:rFonts w:ascii="Calibri" w:hAnsi="Calibri"/>
          <w:b/>
        </w:rPr>
        <w:t>7.2.</w:t>
      </w:r>
      <w:r w:rsidRPr="006F0F86">
        <w:rPr>
          <w:rFonts w:ascii="Calibri" w:hAnsi="Calibri"/>
        </w:rPr>
        <w:t xml:space="preserve"> Jednostka obmiarowa</w:t>
      </w:r>
    </w:p>
    <w:p w:rsidR="00134B2C" w:rsidRDefault="00134B2C" w:rsidP="00134B2C">
      <w:pPr>
        <w:rPr>
          <w:rFonts w:ascii="Calibri" w:hAnsi="Calibri"/>
        </w:rPr>
      </w:pPr>
      <w:r w:rsidRPr="006F0F86">
        <w:rPr>
          <w:rFonts w:ascii="Calibri" w:hAnsi="Calibri"/>
        </w:rPr>
        <w:tab/>
        <w:t>Jednostką obmiarową jest m2 (metr kwadratowy) wykonanej warstwy ścieralnej z betonu asfaltowego (AC).</w:t>
      </w:r>
    </w:p>
    <w:p w:rsidR="00134B2C" w:rsidRPr="006F0F86" w:rsidRDefault="00134B2C" w:rsidP="00134B2C">
      <w:pPr>
        <w:rPr>
          <w:rFonts w:ascii="Calibri" w:hAnsi="Calibri"/>
        </w:rPr>
      </w:pPr>
    </w:p>
    <w:p w:rsidR="00134B2C" w:rsidRPr="00EC730D" w:rsidRDefault="00134B2C" w:rsidP="00134B2C">
      <w:pPr>
        <w:rPr>
          <w:rFonts w:ascii="Calibri" w:hAnsi="Calibri"/>
          <w:b/>
        </w:rPr>
      </w:pPr>
      <w:r w:rsidRPr="006F0F86">
        <w:rPr>
          <w:rFonts w:ascii="Calibri" w:hAnsi="Calibri"/>
        </w:rPr>
        <w:t xml:space="preserve"> </w:t>
      </w:r>
      <w:bookmarkStart w:id="1490" w:name="_Toc237920706"/>
      <w:r w:rsidRPr="00EC730D">
        <w:rPr>
          <w:rFonts w:ascii="Calibri" w:hAnsi="Calibri"/>
          <w:b/>
        </w:rPr>
        <w:t xml:space="preserve">8. </w:t>
      </w:r>
      <w:bookmarkEnd w:id="1490"/>
      <w:r w:rsidRPr="00EC730D">
        <w:rPr>
          <w:rFonts w:ascii="Calibri" w:hAnsi="Calibri"/>
          <w:b/>
        </w:rPr>
        <w:t>ODBIÓR ROBÓT</w:t>
      </w:r>
    </w:p>
    <w:p w:rsidR="00134B2C" w:rsidRPr="006F0F86" w:rsidRDefault="00134B2C" w:rsidP="00134B2C">
      <w:pPr>
        <w:rPr>
          <w:rFonts w:ascii="Calibri" w:hAnsi="Calibri"/>
        </w:rPr>
      </w:pPr>
      <w:r w:rsidRPr="006F0F86">
        <w:rPr>
          <w:rFonts w:ascii="Calibri" w:hAnsi="Calibri"/>
        </w:rPr>
        <w:tab/>
        <w:t>Ogólne</w:t>
      </w:r>
      <w:r>
        <w:rPr>
          <w:rFonts w:ascii="Calibri" w:hAnsi="Calibri"/>
        </w:rPr>
        <w:t xml:space="preserve"> zasady odbioru robót podano w </w:t>
      </w:r>
      <w:r w:rsidRPr="006F0F86">
        <w:rPr>
          <w:rFonts w:ascii="Calibri" w:hAnsi="Calibri"/>
        </w:rPr>
        <w:t>ST  D-M-00.00.00 „Wymagania ogólne” [1] pkt 8.</w:t>
      </w:r>
    </w:p>
    <w:p w:rsidR="00134B2C" w:rsidRPr="006F0F86" w:rsidRDefault="00134B2C" w:rsidP="00134B2C">
      <w:pPr>
        <w:rPr>
          <w:rFonts w:ascii="Calibri" w:hAnsi="Calibri"/>
        </w:rPr>
      </w:pPr>
      <w:r w:rsidRPr="006F0F86">
        <w:rPr>
          <w:rFonts w:ascii="Calibri" w:hAnsi="Calibri"/>
        </w:rPr>
        <w:tab/>
        <w:t>Roboty uznaje się za wykonane zgodnie z dokumentacją projektową, ST i wymaganiami Inżyniera, jeżeli wszystkie pomiary i badania z zachowaniem tolerancji według pktu 6 dały wyniki pozytywne.</w:t>
      </w:r>
    </w:p>
    <w:p w:rsidR="00134B2C" w:rsidRDefault="00134B2C" w:rsidP="00134B2C">
      <w:pPr>
        <w:rPr>
          <w:rFonts w:ascii="Calibri" w:hAnsi="Calibri"/>
        </w:rPr>
      </w:pPr>
      <w:bookmarkStart w:id="1491" w:name="_Toc237920707"/>
    </w:p>
    <w:p w:rsidR="00134B2C" w:rsidRPr="00EC730D" w:rsidRDefault="00134B2C" w:rsidP="00134B2C">
      <w:pPr>
        <w:rPr>
          <w:rFonts w:ascii="Calibri" w:hAnsi="Calibri"/>
          <w:b/>
        </w:rPr>
      </w:pPr>
      <w:r w:rsidRPr="00EC730D">
        <w:rPr>
          <w:rFonts w:ascii="Calibri" w:hAnsi="Calibri"/>
          <w:b/>
        </w:rPr>
        <w:t xml:space="preserve">9. </w:t>
      </w:r>
      <w:bookmarkEnd w:id="1491"/>
      <w:r w:rsidRPr="00EC730D">
        <w:rPr>
          <w:rFonts w:ascii="Calibri" w:hAnsi="Calibri"/>
          <w:b/>
        </w:rPr>
        <w:t>PODSTAWA PŁATNOŚCI</w:t>
      </w:r>
    </w:p>
    <w:p w:rsidR="00134B2C" w:rsidRPr="006F0F86" w:rsidRDefault="00134B2C" w:rsidP="00134B2C">
      <w:pPr>
        <w:rPr>
          <w:rFonts w:ascii="Calibri" w:hAnsi="Calibri"/>
        </w:rPr>
      </w:pPr>
      <w:r w:rsidRPr="00EC730D">
        <w:rPr>
          <w:rFonts w:ascii="Calibri" w:hAnsi="Calibri"/>
          <w:b/>
        </w:rPr>
        <w:t>9.1.</w:t>
      </w:r>
      <w:r w:rsidRPr="006F0F86">
        <w:rPr>
          <w:rFonts w:ascii="Calibri" w:hAnsi="Calibri"/>
        </w:rPr>
        <w:t xml:space="preserve"> Ogólne ustalenia dotyczące podstawy płatności</w:t>
      </w:r>
    </w:p>
    <w:p w:rsidR="00134B2C" w:rsidRPr="006F0F86" w:rsidRDefault="00134B2C" w:rsidP="00134B2C">
      <w:pPr>
        <w:rPr>
          <w:rFonts w:ascii="Calibri" w:hAnsi="Calibri"/>
        </w:rPr>
      </w:pPr>
      <w:r w:rsidRPr="006F0F86">
        <w:rPr>
          <w:rFonts w:ascii="Calibri" w:hAnsi="Calibri"/>
        </w:rPr>
        <w:tab/>
        <w:t>Ogólne ustalenia dotyczą</w:t>
      </w:r>
      <w:r>
        <w:rPr>
          <w:rFonts w:ascii="Calibri" w:hAnsi="Calibri"/>
        </w:rPr>
        <w:t xml:space="preserve">ce podstawy płatności podano w </w:t>
      </w:r>
      <w:r w:rsidRPr="006F0F86">
        <w:rPr>
          <w:rFonts w:ascii="Calibri" w:hAnsi="Calibri"/>
        </w:rPr>
        <w:t>ST D-M-00.00.00 „Wymagania ogólne” [1] pkt 9.</w:t>
      </w:r>
    </w:p>
    <w:p w:rsidR="00134B2C" w:rsidRPr="006F0F86" w:rsidRDefault="00134B2C" w:rsidP="00134B2C">
      <w:pPr>
        <w:rPr>
          <w:rFonts w:ascii="Calibri" w:hAnsi="Calibri"/>
        </w:rPr>
      </w:pPr>
      <w:r w:rsidRPr="00EC730D">
        <w:rPr>
          <w:rFonts w:ascii="Calibri" w:hAnsi="Calibri"/>
          <w:b/>
        </w:rPr>
        <w:t>9.2.</w:t>
      </w:r>
      <w:r w:rsidRPr="006F0F86">
        <w:rPr>
          <w:rFonts w:ascii="Calibri" w:hAnsi="Calibri"/>
        </w:rPr>
        <w:t xml:space="preserve"> Cena jednostki obmiarowej</w:t>
      </w:r>
    </w:p>
    <w:p w:rsidR="00134B2C" w:rsidRPr="006F0F86" w:rsidRDefault="00134B2C" w:rsidP="00134B2C">
      <w:pPr>
        <w:rPr>
          <w:rFonts w:ascii="Calibri" w:hAnsi="Calibri"/>
        </w:rPr>
      </w:pPr>
      <w:r w:rsidRPr="006F0F86">
        <w:rPr>
          <w:rFonts w:ascii="Calibri" w:hAnsi="Calibri"/>
        </w:rPr>
        <w:tab/>
        <w:t xml:space="preserve">Cena wykonania </w:t>
      </w:r>
      <w:smartTag w:uri="urn:schemas-microsoft-com:office:smarttags" w:element="metricconverter">
        <w:smartTagPr>
          <w:attr w:name="ProductID" w:val="1 m2"/>
        </w:smartTagPr>
        <w:r w:rsidRPr="006F0F86">
          <w:rPr>
            <w:rFonts w:ascii="Calibri" w:hAnsi="Calibri"/>
          </w:rPr>
          <w:t>1 m2</w:t>
        </w:r>
      </w:smartTag>
      <w:r w:rsidRPr="006F0F86">
        <w:rPr>
          <w:rFonts w:ascii="Calibri" w:hAnsi="Calibri"/>
        </w:rPr>
        <w:t xml:space="preserve"> warstwy ścieralnej z betonu asfaltowego (AC) obejmuje:</w:t>
      </w:r>
    </w:p>
    <w:p w:rsidR="00134B2C" w:rsidRPr="006F0F86" w:rsidRDefault="00134B2C" w:rsidP="00134B2C">
      <w:pPr>
        <w:rPr>
          <w:rFonts w:ascii="Calibri" w:hAnsi="Calibri"/>
        </w:rPr>
      </w:pPr>
      <w:r>
        <w:rPr>
          <w:rFonts w:ascii="Calibri" w:hAnsi="Calibri"/>
        </w:rPr>
        <w:t>-</w:t>
      </w:r>
      <w:r w:rsidRPr="006F0F86">
        <w:rPr>
          <w:rFonts w:ascii="Calibri" w:hAnsi="Calibri"/>
        </w:rPr>
        <w:t>prace pomiarowe i roboty przygotowawcze,</w:t>
      </w:r>
    </w:p>
    <w:p w:rsidR="00134B2C" w:rsidRPr="006F0F86" w:rsidRDefault="00134B2C" w:rsidP="00134B2C">
      <w:pPr>
        <w:rPr>
          <w:rFonts w:ascii="Calibri" w:hAnsi="Calibri"/>
        </w:rPr>
      </w:pPr>
      <w:r>
        <w:rPr>
          <w:rFonts w:ascii="Calibri" w:hAnsi="Calibri"/>
        </w:rPr>
        <w:t>-</w:t>
      </w:r>
      <w:r w:rsidRPr="006F0F86">
        <w:rPr>
          <w:rFonts w:ascii="Calibri" w:hAnsi="Calibri"/>
        </w:rPr>
        <w:t>oznakowanie robót,</w:t>
      </w:r>
    </w:p>
    <w:p w:rsidR="00134B2C" w:rsidRPr="006F0F86" w:rsidRDefault="00134B2C" w:rsidP="00134B2C">
      <w:pPr>
        <w:rPr>
          <w:rFonts w:ascii="Calibri" w:hAnsi="Calibri"/>
        </w:rPr>
      </w:pPr>
      <w:r>
        <w:rPr>
          <w:rFonts w:ascii="Calibri" w:hAnsi="Calibri"/>
        </w:rPr>
        <w:t>-</w:t>
      </w:r>
      <w:r w:rsidRPr="006F0F86">
        <w:rPr>
          <w:rFonts w:ascii="Calibri" w:hAnsi="Calibri"/>
        </w:rPr>
        <w:t>oczyszczenie i skropienie podłoża,</w:t>
      </w:r>
    </w:p>
    <w:p w:rsidR="00134B2C" w:rsidRPr="006F0F86" w:rsidRDefault="00134B2C" w:rsidP="00134B2C">
      <w:pPr>
        <w:rPr>
          <w:rFonts w:ascii="Calibri" w:hAnsi="Calibri"/>
        </w:rPr>
      </w:pPr>
      <w:r>
        <w:rPr>
          <w:rFonts w:ascii="Calibri" w:hAnsi="Calibri"/>
        </w:rPr>
        <w:t>-</w:t>
      </w:r>
      <w:r w:rsidRPr="006F0F86">
        <w:rPr>
          <w:rFonts w:ascii="Calibri" w:hAnsi="Calibri"/>
        </w:rPr>
        <w:t>dostarczenie materiałów i sprzętu,</w:t>
      </w:r>
    </w:p>
    <w:p w:rsidR="00134B2C" w:rsidRPr="006F0F86" w:rsidRDefault="00134B2C" w:rsidP="00134B2C">
      <w:pPr>
        <w:rPr>
          <w:rFonts w:ascii="Calibri" w:hAnsi="Calibri"/>
        </w:rPr>
      </w:pPr>
      <w:r>
        <w:rPr>
          <w:rFonts w:ascii="Calibri" w:hAnsi="Calibri"/>
        </w:rPr>
        <w:t>-</w:t>
      </w:r>
      <w:r w:rsidRPr="006F0F86">
        <w:rPr>
          <w:rFonts w:ascii="Calibri" w:hAnsi="Calibri"/>
        </w:rPr>
        <w:t>opracowanie recepty laboratoryjnej,</w:t>
      </w:r>
    </w:p>
    <w:p w:rsidR="00134B2C" w:rsidRPr="006F0F86" w:rsidRDefault="00134B2C" w:rsidP="00134B2C">
      <w:pPr>
        <w:rPr>
          <w:rFonts w:ascii="Calibri" w:hAnsi="Calibri"/>
        </w:rPr>
      </w:pPr>
      <w:r>
        <w:rPr>
          <w:rFonts w:ascii="Calibri" w:hAnsi="Calibri"/>
        </w:rPr>
        <w:t>-</w:t>
      </w:r>
      <w:r w:rsidRPr="006F0F86">
        <w:rPr>
          <w:rFonts w:ascii="Calibri" w:hAnsi="Calibri"/>
        </w:rPr>
        <w:t>wykonanie próby technologicznej i odcinka próbnego,</w:t>
      </w:r>
    </w:p>
    <w:p w:rsidR="00134B2C" w:rsidRPr="006F0F86" w:rsidRDefault="00134B2C" w:rsidP="00134B2C">
      <w:pPr>
        <w:rPr>
          <w:rFonts w:ascii="Calibri" w:hAnsi="Calibri"/>
        </w:rPr>
      </w:pPr>
      <w:r>
        <w:rPr>
          <w:rFonts w:ascii="Calibri" w:hAnsi="Calibri"/>
        </w:rPr>
        <w:t>-</w:t>
      </w:r>
      <w:r w:rsidRPr="006F0F86">
        <w:rPr>
          <w:rFonts w:ascii="Calibri" w:hAnsi="Calibri"/>
        </w:rPr>
        <w:t>wyprodukowanie mieszanki betonu asfaltowego i jej transport na miejsce wbudowania,</w:t>
      </w:r>
    </w:p>
    <w:p w:rsidR="00134B2C" w:rsidRPr="006F0F86" w:rsidRDefault="00134B2C" w:rsidP="00134B2C">
      <w:pPr>
        <w:rPr>
          <w:rFonts w:ascii="Calibri" w:hAnsi="Calibri"/>
        </w:rPr>
      </w:pPr>
      <w:r>
        <w:rPr>
          <w:rFonts w:ascii="Calibri" w:hAnsi="Calibri"/>
        </w:rPr>
        <w:t>-</w:t>
      </w:r>
      <w:r w:rsidRPr="006F0F86">
        <w:rPr>
          <w:rFonts w:ascii="Calibri" w:hAnsi="Calibri"/>
        </w:rPr>
        <w:t>posmarowanie lepiszczem lub pokrycie taśmą asfaltową krawędzi urządzeń obcych i krawężników,</w:t>
      </w:r>
    </w:p>
    <w:p w:rsidR="00134B2C" w:rsidRPr="006F0F86" w:rsidRDefault="00134B2C" w:rsidP="00134B2C">
      <w:pPr>
        <w:rPr>
          <w:rFonts w:ascii="Calibri" w:hAnsi="Calibri"/>
        </w:rPr>
      </w:pPr>
      <w:r>
        <w:rPr>
          <w:rFonts w:ascii="Calibri" w:hAnsi="Calibri"/>
        </w:rPr>
        <w:t>-</w:t>
      </w:r>
      <w:r w:rsidRPr="006F0F86">
        <w:rPr>
          <w:rFonts w:ascii="Calibri" w:hAnsi="Calibri"/>
        </w:rPr>
        <w:t>rozłożenie i zagęszczenie mieszanki betonu asfaltowego,</w:t>
      </w:r>
    </w:p>
    <w:p w:rsidR="00134B2C" w:rsidRPr="006F0F86" w:rsidRDefault="00134B2C" w:rsidP="00134B2C">
      <w:pPr>
        <w:rPr>
          <w:rFonts w:ascii="Calibri" w:hAnsi="Calibri"/>
        </w:rPr>
      </w:pPr>
      <w:r>
        <w:rPr>
          <w:rFonts w:ascii="Calibri" w:hAnsi="Calibri"/>
        </w:rPr>
        <w:t>-</w:t>
      </w:r>
      <w:r w:rsidRPr="006F0F86">
        <w:rPr>
          <w:rFonts w:ascii="Calibri" w:hAnsi="Calibri"/>
        </w:rPr>
        <w:t>obcięcie krawędzi i posmarowanie lepiszczem,</w:t>
      </w:r>
    </w:p>
    <w:p w:rsidR="00134B2C" w:rsidRPr="006F0F86" w:rsidRDefault="00134B2C" w:rsidP="00134B2C">
      <w:pPr>
        <w:rPr>
          <w:rFonts w:ascii="Calibri" w:hAnsi="Calibri"/>
        </w:rPr>
      </w:pPr>
      <w:r>
        <w:rPr>
          <w:rFonts w:ascii="Calibri" w:hAnsi="Calibri"/>
        </w:rPr>
        <w:t>-</w:t>
      </w:r>
      <w:r w:rsidRPr="006F0F86">
        <w:rPr>
          <w:rFonts w:ascii="Calibri" w:hAnsi="Calibri"/>
        </w:rPr>
        <w:t>przeprowadzenie pomiarów i badań  wymaganych w specyfikacji technicznej,</w:t>
      </w:r>
    </w:p>
    <w:p w:rsidR="00134B2C" w:rsidRPr="006F0F86" w:rsidRDefault="00134B2C" w:rsidP="00134B2C">
      <w:pPr>
        <w:rPr>
          <w:rFonts w:ascii="Calibri" w:hAnsi="Calibri"/>
        </w:rPr>
      </w:pPr>
      <w:r>
        <w:rPr>
          <w:rFonts w:ascii="Calibri" w:hAnsi="Calibri"/>
        </w:rPr>
        <w:t>-</w:t>
      </w:r>
      <w:r w:rsidRPr="006F0F86">
        <w:rPr>
          <w:rFonts w:ascii="Calibri" w:hAnsi="Calibri"/>
        </w:rPr>
        <w:t>odwiezienie sprzętu.</w:t>
      </w:r>
    </w:p>
    <w:p w:rsidR="00134B2C" w:rsidRPr="006F0F86" w:rsidRDefault="00134B2C" w:rsidP="00134B2C">
      <w:pPr>
        <w:rPr>
          <w:rFonts w:ascii="Calibri" w:hAnsi="Calibri"/>
        </w:rPr>
      </w:pPr>
      <w:r w:rsidRPr="00EC730D">
        <w:rPr>
          <w:rFonts w:ascii="Calibri" w:hAnsi="Calibri"/>
          <w:b/>
        </w:rPr>
        <w:t>9.3.</w:t>
      </w:r>
      <w:r w:rsidRPr="006F0F86">
        <w:rPr>
          <w:rFonts w:ascii="Calibri" w:hAnsi="Calibri"/>
        </w:rPr>
        <w:t xml:space="preserve"> Sposób rozliczenia robót tymczasowych i prac towarzyszących</w:t>
      </w:r>
    </w:p>
    <w:p w:rsidR="00134B2C" w:rsidRPr="006F0F86" w:rsidRDefault="00134B2C" w:rsidP="00134B2C">
      <w:pPr>
        <w:rPr>
          <w:rFonts w:ascii="Calibri" w:hAnsi="Calibri"/>
        </w:rPr>
      </w:pPr>
      <w:r w:rsidRPr="006F0F86">
        <w:rPr>
          <w:rFonts w:ascii="Calibri" w:hAnsi="Calibri"/>
        </w:rPr>
        <w:tab/>
        <w:t>Cena wykonan</w:t>
      </w:r>
      <w:r>
        <w:rPr>
          <w:rFonts w:ascii="Calibri" w:hAnsi="Calibri"/>
        </w:rPr>
        <w:t xml:space="preserve">ia robót określonych niniejszą </w:t>
      </w:r>
      <w:r w:rsidRPr="006F0F86">
        <w:rPr>
          <w:rFonts w:ascii="Calibri" w:hAnsi="Calibri"/>
        </w:rPr>
        <w:t>ST obejmuje:</w:t>
      </w:r>
    </w:p>
    <w:p w:rsidR="00134B2C" w:rsidRPr="006F0F86" w:rsidRDefault="00134B2C" w:rsidP="00134B2C">
      <w:pPr>
        <w:rPr>
          <w:rFonts w:ascii="Calibri" w:hAnsi="Calibri"/>
        </w:rPr>
      </w:pPr>
      <w:r>
        <w:rPr>
          <w:rFonts w:ascii="Calibri" w:hAnsi="Calibri"/>
        </w:rPr>
        <w:t>-</w:t>
      </w:r>
      <w:r w:rsidRPr="006F0F86">
        <w:rPr>
          <w:rFonts w:ascii="Calibri" w:hAnsi="Calibri"/>
        </w:rPr>
        <w:t>roboty tymczasowe, które są potrzebne do wykonania robót podstawowych, ale nie są przekazywane Zamawiającemu i są usuwane po wykonaniu robót podstawowych,</w:t>
      </w:r>
    </w:p>
    <w:p w:rsidR="00134B2C" w:rsidRPr="006F0F86" w:rsidRDefault="00134B2C" w:rsidP="00134B2C">
      <w:pPr>
        <w:rPr>
          <w:rFonts w:ascii="Calibri" w:hAnsi="Calibri"/>
        </w:rPr>
      </w:pPr>
      <w:r>
        <w:rPr>
          <w:rFonts w:ascii="Calibri" w:hAnsi="Calibri"/>
        </w:rPr>
        <w:t>-</w:t>
      </w:r>
      <w:r w:rsidRPr="006F0F86">
        <w:rPr>
          <w:rFonts w:ascii="Calibri" w:hAnsi="Calibri"/>
        </w:rPr>
        <w:t>prace towarzyszące, które są niezbędne do wykonania robót podstawowych, niezaliczane do robót tymczasowych, jak geodezyjne wytyczenie robót itd.</w:t>
      </w:r>
    </w:p>
    <w:p w:rsidR="00134B2C" w:rsidRDefault="00134B2C" w:rsidP="00134B2C">
      <w:pPr>
        <w:rPr>
          <w:rFonts w:ascii="Calibri" w:hAnsi="Calibri"/>
        </w:rPr>
      </w:pPr>
      <w:bookmarkStart w:id="1492" w:name="_Toc237920708"/>
    </w:p>
    <w:p w:rsidR="00134B2C" w:rsidRPr="00EC730D" w:rsidRDefault="00134B2C" w:rsidP="00134B2C">
      <w:pPr>
        <w:rPr>
          <w:rFonts w:ascii="Calibri" w:hAnsi="Calibri"/>
          <w:b/>
        </w:rPr>
      </w:pPr>
      <w:r w:rsidRPr="00EC730D">
        <w:rPr>
          <w:rFonts w:ascii="Calibri" w:hAnsi="Calibri"/>
          <w:b/>
        </w:rPr>
        <w:t xml:space="preserve">10. </w:t>
      </w:r>
      <w:bookmarkEnd w:id="1492"/>
      <w:r w:rsidRPr="00EC730D">
        <w:rPr>
          <w:rFonts w:ascii="Calibri" w:hAnsi="Calibri"/>
          <w:b/>
        </w:rPr>
        <w:t>PRZEPISY ZWIĄZANE</w:t>
      </w:r>
    </w:p>
    <w:p w:rsidR="00134B2C" w:rsidRPr="006F0F86" w:rsidRDefault="00134B2C" w:rsidP="00134B2C">
      <w:pPr>
        <w:rPr>
          <w:rFonts w:ascii="Calibri" w:hAnsi="Calibri"/>
        </w:rPr>
      </w:pPr>
      <w:r w:rsidRPr="00EC730D">
        <w:rPr>
          <w:rFonts w:ascii="Calibri" w:hAnsi="Calibri"/>
          <w:b/>
        </w:rPr>
        <w:t>10.1.</w:t>
      </w:r>
      <w:r>
        <w:rPr>
          <w:rFonts w:ascii="Calibri" w:hAnsi="Calibri"/>
        </w:rPr>
        <w:t xml:space="preserve"> Specyfikacje techniczne (</w:t>
      </w:r>
      <w:r w:rsidRPr="006F0F86">
        <w:rPr>
          <w:rFonts w:ascii="Calibri" w:hAnsi="Calibri"/>
        </w:rPr>
        <w:t>ST)</w:t>
      </w:r>
    </w:p>
    <w:tbl>
      <w:tblPr>
        <w:tblW w:w="0" w:type="auto"/>
        <w:tblLayout w:type="fixed"/>
        <w:tblCellMar>
          <w:left w:w="70" w:type="dxa"/>
          <w:right w:w="70" w:type="dxa"/>
        </w:tblCellMar>
        <w:tblLook w:val="0000"/>
      </w:tblPr>
      <w:tblGrid>
        <w:gridCol w:w="496"/>
        <w:gridCol w:w="1842"/>
        <w:gridCol w:w="5172"/>
      </w:tblGrid>
      <w:tr w:rsidR="00134B2C" w:rsidRPr="006F0F86" w:rsidTr="00FD47C7">
        <w:tc>
          <w:tcPr>
            <w:tcW w:w="496" w:type="dxa"/>
          </w:tcPr>
          <w:p w:rsidR="00134B2C" w:rsidRPr="006F0F86" w:rsidRDefault="00134B2C" w:rsidP="00FD47C7">
            <w:pPr>
              <w:rPr>
                <w:rFonts w:ascii="Calibri" w:hAnsi="Calibri"/>
              </w:rPr>
            </w:pPr>
            <w:r w:rsidRPr="006F0F86">
              <w:rPr>
                <w:rFonts w:ascii="Calibri" w:hAnsi="Calibri"/>
              </w:rPr>
              <w:t>1.</w:t>
            </w:r>
          </w:p>
        </w:tc>
        <w:tc>
          <w:tcPr>
            <w:tcW w:w="1842" w:type="dxa"/>
          </w:tcPr>
          <w:p w:rsidR="00134B2C" w:rsidRPr="006F0F86" w:rsidRDefault="00134B2C" w:rsidP="00FD47C7">
            <w:pPr>
              <w:rPr>
                <w:rFonts w:ascii="Calibri" w:hAnsi="Calibri"/>
              </w:rPr>
            </w:pPr>
            <w:r w:rsidRPr="006F0F86">
              <w:rPr>
                <w:rFonts w:ascii="Calibri" w:hAnsi="Calibri"/>
              </w:rPr>
              <w:t>D-M-00.00.00</w:t>
            </w:r>
          </w:p>
        </w:tc>
        <w:tc>
          <w:tcPr>
            <w:tcW w:w="5172" w:type="dxa"/>
          </w:tcPr>
          <w:p w:rsidR="00134B2C" w:rsidRPr="006F0F86" w:rsidRDefault="00134B2C" w:rsidP="00FD47C7">
            <w:pPr>
              <w:rPr>
                <w:rFonts w:ascii="Calibri" w:hAnsi="Calibri"/>
              </w:rPr>
            </w:pPr>
            <w:r w:rsidRPr="006F0F86">
              <w:rPr>
                <w:rFonts w:ascii="Calibri" w:hAnsi="Calibri"/>
              </w:rPr>
              <w:t xml:space="preserve"> Wymagania ogólne</w:t>
            </w:r>
          </w:p>
        </w:tc>
      </w:tr>
    </w:tbl>
    <w:p w:rsidR="00134B2C" w:rsidRPr="006F0F86" w:rsidRDefault="00134B2C" w:rsidP="00134B2C">
      <w:pPr>
        <w:rPr>
          <w:rFonts w:ascii="Calibri" w:hAnsi="Calibri"/>
        </w:rPr>
      </w:pPr>
      <w:r w:rsidRPr="00EC730D">
        <w:rPr>
          <w:rFonts w:ascii="Calibri" w:hAnsi="Calibri"/>
          <w:b/>
        </w:rPr>
        <w:t>10.2.</w:t>
      </w:r>
      <w:r w:rsidRPr="006F0F86">
        <w:rPr>
          <w:rFonts w:ascii="Calibri" w:hAnsi="Calibri"/>
        </w:rPr>
        <w:t xml:space="preserve"> Normy</w:t>
      </w:r>
    </w:p>
    <w:p w:rsidR="00134B2C" w:rsidRPr="006F0F86" w:rsidRDefault="00134B2C" w:rsidP="00134B2C">
      <w:pPr>
        <w:rPr>
          <w:rFonts w:ascii="Calibri" w:hAnsi="Calibri"/>
        </w:rPr>
      </w:pPr>
      <w:r w:rsidRPr="006F0F86">
        <w:rPr>
          <w:rFonts w:ascii="Calibri" w:hAnsi="Calibri"/>
        </w:rPr>
        <w:t>(Zestawienie zawiera dodatkowo normy PN-EN związane z badaniami materia</w:t>
      </w:r>
      <w:r>
        <w:rPr>
          <w:rFonts w:ascii="Calibri" w:hAnsi="Calibri"/>
        </w:rPr>
        <w:t xml:space="preserve">łów występujących w niniejszej </w:t>
      </w:r>
      <w:r w:rsidRPr="006F0F86">
        <w:rPr>
          <w:rFonts w:ascii="Calibri" w:hAnsi="Calibri"/>
        </w:rPr>
        <w:t>ST)</w:t>
      </w:r>
    </w:p>
    <w:tbl>
      <w:tblPr>
        <w:tblW w:w="0" w:type="auto"/>
        <w:tblLook w:val="01E0"/>
      </w:tblPr>
      <w:tblGrid>
        <w:gridCol w:w="534"/>
        <w:gridCol w:w="1842"/>
        <w:gridCol w:w="5135"/>
      </w:tblGrid>
      <w:tr w:rsidR="00134B2C" w:rsidRPr="006F0F86" w:rsidTr="00FD47C7">
        <w:tc>
          <w:tcPr>
            <w:tcW w:w="534" w:type="dxa"/>
          </w:tcPr>
          <w:p w:rsidR="00134B2C" w:rsidRPr="006F0F86" w:rsidRDefault="00134B2C" w:rsidP="00FD47C7">
            <w:pPr>
              <w:rPr>
                <w:rFonts w:ascii="Calibri" w:hAnsi="Calibri"/>
              </w:rPr>
            </w:pPr>
            <w:r w:rsidRPr="006F0F86">
              <w:rPr>
                <w:rFonts w:ascii="Calibri" w:hAnsi="Calibri"/>
              </w:rPr>
              <w:t>2.</w:t>
            </w:r>
          </w:p>
        </w:tc>
        <w:tc>
          <w:tcPr>
            <w:tcW w:w="1842" w:type="dxa"/>
          </w:tcPr>
          <w:p w:rsidR="00134B2C" w:rsidRPr="006F0F86" w:rsidRDefault="00134B2C" w:rsidP="00FD47C7">
            <w:pPr>
              <w:rPr>
                <w:rFonts w:ascii="Calibri" w:hAnsi="Calibri"/>
              </w:rPr>
            </w:pPr>
            <w:r w:rsidRPr="006F0F86">
              <w:rPr>
                <w:rFonts w:ascii="Calibri" w:hAnsi="Calibri"/>
              </w:rPr>
              <w:t>PN-EN 196-21</w:t>
            </w:r>
          </w:p>
        </w:tc>
        <w:tc>
          <w:tcPr>
            <w:tcW w:w="5135" w:type="dxa"/>
          </w:tcPr>
          <w:p w:rsidR="00134B2C" w:rsidRPr="006F0F86" w:rsidRDefault="00134B2C" w:rsidP="00FD47C7">
            <w:pPr>
              <w:rPr>
                <w:rFonts w:ascii="Calibri" w:hAnsi="Calibri"/>
              </w:rPr>
            </w:pPr>
            <w:r w:rsidRPr="006F0F86">
              <w:rPr>
                <w:rFonts w:ascii="Calibri" w:hAnsi="Calibri"/>
              </w:rPr>
              <w:t>Metody badania cementu – Oznaczanie zawartości chlorków, dwutlenku węgla i alkaliów w cemencie</w:t>
            </w:r>
          </w:p>
        </w:tc>
      </w:tr>
      <w:tr w:rsidR="00134B2C" w:rsidRPr="006F0F86" w:rsidTr="00FD47C7">
        <w:tc>
          <w:tcPr>
            <w:tcW w:w="534" w:type="dxa"/>
          </w:tcPr>
          <w:p w:rsidR="00134B2C" w:rsidRPr="006F0F86" w:rsidRDefault="00134B2C" w:rsidP="00FD47C7">
            <w:pPr>
              <w:rPr>
                <w:rFonts w:ascii="Calibri" w:hAnsi="Calibri"/>
              </w:rPr>
            </w:pPr>
            <w:r w:rsidRPr="006F0F86">
              <w:rPr>
                <w:rFonts w:ascii="Calibri" w:hAnsi="Calibri"/>
              </w:rPr>
              <w:lastRenderedPageBreak/>
              <w:t>3.</w:t>
            </w:r>
          </w:p>
        </w:tc>
        <w:tc>
          <w:tcPr>
            <w:tcW w:w="1842" w:type="dxa"/>
          </w:tcPr>
          <w:p w:rsidR="00134B2C" w:rsidRPr="006F0F86" w:rsidRDefault="00134B2C" w:rsidP="00FD47C7">
            <w:pPr>
              <w:rPr>
                <w:rFonts w:ascii="Calibri" w:hAnsi="Calibri"/>
              </w:rPr>
            </w:pPr>
            <w:r w:rsidRPr="006F0F86">
              <w:rPr>
                <w:rFonts w:ascii="Calibri" w:hAnsi="Calibri"/>
              </w:rPr>
              <w:t>PN-EN 459-2</w:t>
            </w:r>
          </w:p>
        </w:tc>
        <w:tc>
          <w:tcPr>
            <w:tcW w:w="5135" w:type="dxa"/>
          </w:tcPr>
          <w:p w:rsidR="00134B2C" w:rsidRPr="006F0F86" w:rsidRDefault="00134B2C" w:rsidP="00FD47C7">
            <w:pPr>
              <w:rPr>
                <w:rFonts w:ascii="Calibri" w:hAnsi="Calibri"/>
              </w:rPr>
            </w:pPr>
            <w:r w:rsidRPr="006F0F86">
              <w:rPr>
                <w:rFonts w:ascii="Calibri" w:hAnsi="Calibri"/>
              </w:rPr>
              <w:t>Wapno budowlane – Część 2: Metody badań</w:t>
            </w:r>
          </w:p>
        </w:tc>
      </w:tr>
      <w:tr w:rsidR="00134B2C" w:rsidRPr="006F0F86" w:rsidTr="00FD47C7">
        <w:tc>
          <w:tcPr>
            <w:tcW w:w="534" w:type="dxa"/>
          </w:tcPr>
          <w:p w:rsidR="00134B2C" w:rsidRPr="006F0F86" w:rsidRDefault="00134B2C" w:rsidP="00FD47C7">
            <w:pPr>
              <w:rPr>
                <w:rFonts w:ascii="Calibri" w:hAnsi="Calibri"/>
              </w:rPr>
            </w:pPr>
            <w:r w:rsidRPr="006F0F86">
              <w:rPr>
                <w:rFonts w:ascii="Calibri" w:hAnsi="Calibri"/>
              </w:rPr>
              <w:t>4.</w:t>
            </w:r>
          </w:p>
        </w:tc>
        <w:tc>
          <w:tcPr>
            <w:tcW w:w="1842" w:type="dxa"/>
          </w:tcPr>
          <w:p w:rsidR="00134B2C" w:rsidRPr="006F0F86" w:rsidRDefault="00134B2C" w:rsidP="00FD47C7">
            <w:pPr>
              <w:rPr>
                <w:rFonts w:ascii="Calibri" w:hAnsi="Calibri"/>
              </w:rPr>
            </w:pPr>
            <w:r w:rsidRPr="006F0F86">
              <w:rPr>
                <w:rFonts w:ascii="Calibri" w:hAnsi="Calibri"/>
              </w:rPr>
              <w:t>PN-EN 932-3</w:t>
            </w:r>
          </w:p>
        </w:tc>
        <w:tc>
          <w:tcPr>
            <w:tcW w:w="5135" w:type="dxa"/>
          </w:tcPr>
          <w:p w:rsidR="00134B2C" w:rsidRPr="006F0F86" w:rsidRDefault="00134B2C" w:rsidP="00FD47C7">
            <w:pPr>
              <w:rPr>
                <w:rFonts w:ascii="Calibri" w:hAnsi="Calibri"/>
              </w:rPr>
            </w:pPr>
            <w:r w:rsidRPr="006F0F86">
              <w:rPr>
                <w:rFonts w:ascii="Calibri" w:hAnsi="Calibri"/>
              </w:rPr>
              <w:t>Badania podstawowych właściwości kruszyw – Procedura i terminologia uproszczonego opisu petrograficznego</w:t>
            </w:r>
          </w:p>
        </w:tc>
      </w:tr>
      <w:tr w:rsidR="00134B2C" w:rsidRPr="006F0F86" w:rsidTr="00FD47C7">
        <w:tc>
          <w:tcPr>
            <w:tcW w:w="534" w:type="dxa"/>
          </w:tcPr>
          <w:p w:rsidR="00134B2C" w:rsidRPr="006F0F86" w:rsidRDefault="00134B2C" w:rsidP="00FD47C7">
            <w:pPr>
              <w:rPr>
                <w:rFonts w:ascii="Calibri" w:hAnsi="Calibri"/>
              </w:rPr>
            </w:pPr>
            <w:r w:rsidRPr="006F0F86">
              <w:rPr>
                <w:rFonts w:ascii="Calibri" w:hAnsi="Calibri"/>
              </w:rPr>
              <w:t>5.</w:t>
            </w:r>
          </w:p>
        </w:tc>
        <w:tc>
          <w:tcPr>
            <w:tcW w:w="1842" w:type="dxa"/>
          </w:tcPr>
          <w:p w:rsidR="00134B2C" w:rsidRPr="006F0F86" w:rsidRDefault="00134B2C" w:rsidP="00FD47C7">
            <w:pPr>
              <w:rPr>
                <w:rFonts w:ascii="Calibri" w:hAnsi="Calibri"/>
              </w:rPr>
            </w:pPr>
            <w:r w:rsidRPr="006F0F86">
              <w:rPr>
                <w:rFonts w:ascii="Calibri" w:hAnsi="Calibri"/>
              </w:rPr>
              <w:t>PN-EN 933-1</w:t>
            </w:r>
          </w:p>
        </w:tc>
        <w:tc>
          <w:tcPr>
            <w:tcW w:w="5135" w:type="dxa"/>
          </w:tcPr>
          <w:p w:rsidR="00134B2C" w:rsidRPr="006F0F86" w:rsidRDefault="00134B2C" w:rsidP="00FD47C7">
            <w:pPr>
              <w:rPr>
                <w:rFonts w:ascii="Calibri" w:hAnsi="Calibri"/>
              </w:rPr>
            </w:pPr>
            <w:r w:rsidRPr="006F0F86">
              <w:rPr>
                <w:rFonts w:ascii="Calibri" w:hAnsi="Calibri"/>
              </w:rPr>
              <w:t>Badania geometrycznych właściwości kruszyw – Oznaczanie składu ziarnowego – Metoda przesiewania</w:t>
            </w:r>
          </w:p>
        </w:tc>
      </w:tr>
      <w:tr w:rsidR="00134B2C" w:rsidRPr="006F0F86" w:rsidTr="00FD47C7">
        <w:tc>
          <w:tcPr>
            <w:tcW w:w="534" w:type="dxa"/>
          </w:tcPr>
          <w:p w:rsidR="00134B2C" w:rsidRPr="006F0F86" w:rsidRDefault="00134B2C" w:rsidP="00FD47C7">
            <w:pPr>
              <w:rPr>
                <w:rFonts w:ascii="Calibri" w:hAnsi="Calibri"/>
              </w:rPr>
            </w:pPr>
            <w:r w:rsidRPr="006F0F86">
              <w:rPr>
                <w:rFonts w:ascii="Calibri" w:hAnsi="Calibri"/>
              </w:rPr>
              <w:t>6.</w:t>
            </w:r>
          </w:p>
        </w:tc>
        <w:tc>
          <w:tcPr>
            <w:tcW w:w="1842" w:type="dxa"/>
          </w:tcPr>
          <w:p w:rsidR="00134B2C" w:rsidRPr="006F0F86" w:rsidRDefault="00134B2C" w:rsidP="00FD47C7">
            <w:pPr>
              <w:rPr>
                <w:rFonts w:ascii="Calibri" w:hAnsi="Calibri"/>
              </w:rPr>
            </w:pPr>
            <w:r w:rsidRPr="006F0F86">
              <w:rPr>
                <w:rFonts w:ascii="Calibri" w:hAnsi="Calibri"/>
              </w:rPr>
              <w:t>PN-EN 933-3</w:t>
            </w:r>
          </w:p>
        </w:tc>
        <w:tc>
          <w:tcPr>
            <w:tcW w:w="5135" w:type="dxa"/>
          </w:tcPr>
          <w:p w:rsidR="00134B2C" w:rsidRPr="006F0F86" w:rsidRDefault="00134B2C" w:rsidP="00FD47C7">
            <w:pPr>
              <w:rPr>
                <w:rFonts w:ascii="Calibri" w:hAnsi="Calibri"/>
              </w:rPr>
            </w:pPr>
            <w:r w:rsidRPr="006F0F86">
              <w:rPr>
                <w:rFonts w:ascii="Calibri" w:hAnsi="Calibri"/>
              </w:rPr>
              <w:t>Badania geometrycznych właściwości kruszyw – Oznaczanie kształtu ziaren za pomocą wskaźnika płaskości</w:t>
            </w:r>
          </w:p>
        </w:tc>
      </w:tr>
      <w:tr w:rsidR="00134B2C" w:rsidRPr="006F0F86" w:rsidTr="00FD47C7">
        <w:tc>
          <w:tcPr>
            <w:tcW w:w="534" w:type="dxa"/>
          </w:tcPr>
          <w:p w:rsidR="00134B2C" w:rsidRPr="006F0F86" w:rsidRDefault="00134B2C" w:rsidP="00FD47C7">
            <w:pPr>
              <w:rPr>
                <w:rFonts w:ascii="Calibri" w:hAnsi="Calibri"/>
              </w:rPr>
            </w:pPr>
            <w:r w:rsidRPr="006F0F86">
              <w:rPr>
                <w:rFonts w:ascii="Calibri" w:hAnsi="Calibri"/>
              </w:rPr>
              <w:t>7.</w:t>
            </w:r>
          </w:p>
        </w:tc>
        <w:tc>
          <w:tcPr>
            <w:tcW w:w="1842" w:type="dxa"/>
          </w:tcPr>
          <w:p w:rsidR="00134B2C" w:rsidRPr="006F0F86" w:rsidRDefault="00134B2C" w:rsidP="00FD47C7">
            <w:pPr>
              <w:rPr>
                <w:rFonts w:ascii="Calibri" w:hAnsi="Calibri"/>
              </w:rPr>
            </w:pPr>
            <w:r w:rsidRPr="006F0F86">
              <w:rPr>
                <w:rFonts w:ascii="Calibri" w:hAnsi="Calibri"/>
              </w:rPr>
              <w:t>PN-EN 933-4</w:t>
            </w:r>
          </w:p>
        </w:tc>
        <w:tc>
          <w:tcPr>
            <w:tcW w:w="5135" w:type="dxa"/>
          </w:tcPr>
          <w:p w:rsidR="00134B2C" w:rsidRPr="006F0F86" w:rsidRDefault="00134B2C" w:rsidP="00FD47C7">
            <w:pPr>
              <w:rPr>
                <w:rFonts w:ascii="Calibri" w:hAnsi="Calibri"/>
              </w:rPr>
            </w:pPr>
            <w:r w:rsidRPr="006F0F86">
              <w:rPr>
                <w:rFonts w:ascii="Calibri" w:hAnsi="Calibri"/>
              </w:rPr>
              <w:t>Badania geometrycznych właściwości kruszyw – Część 4: Oznaczanie kształtu ziaren – Wskaźnik kształtu</w:t>
            </w:r>
          </w:p>
        </w:tc>
      </w:tr>
      <w:tr w:rsidR="00134B2C" w:rsidRPr="006F0F86" w:rsidTr="00FD47C7">
        <w:tc>
          <w:tcPr>
            <w:tcW w:w="534" w:type="dxa"/>
          </w:tcPr>
          <w:p w:rsidR="00134B2C" w:rsidRPr="006F0F86" w:rsidRDefault="00134B2C" w:rsidP="00FD47C7">
            <w:pPr>
              <w:rPr>
                <w:rFonts w:ascii="Calibri" w:hAnsi="Calibri"/>
              </w:rPr>
            </w:pPr>
            <w:r w:rsidRPr="006F0F86">
              <w:rPr>
                <w:rFonts w:ascii="Calibri" w:hAnsi="Calibri"/>
              </w:rPr>
              <w:t>8.</w:t>
            </w:r>
          </w:p>
        </w:tc>
        <w:tc>
          <w:tcPr>
            <w:tcW w:w="1842" w:type="dxa"/>
          </w:tcPr>
          <w:p w:rsidR="00134B2C" w:rsidRPr="006F0F86" w:rsidRDefault="00134B2C" w:rsidP="00FD47C7">
            <w:pPr>
              <w:rPr>
                <w:rFonts w:ascii="Calibri" w:hAnsi="Calibri"/>
              </w:rPr>
            </w:pPr>
            <w:r w:rsidRPr="006F0F86">
              <w:rPr>
                <w:rFonts w:ascii="Calibri" w:hAnsi="Calibri"/>
              </w:rPr>
              <w:t>PN-EN 933-5</w:t>
            </w:r>
          </w:p>
        </w:tc>
        <w:tc>
          <w:tcPr>
            <w:tcW w:w="5135" w:type="dxa"/>
          </w:tcPr>
          <w:p w:rsidR="00134B2C" w:rsidRPr="006F0F86" w:rsidRDefault="00134B2C" w:rsidP="00FD47C7">
            <w:pPr>
              <w:rPr>
                <w:rFonts w:ascii="Calibri" w:hAnsi="Calibri"/>
              </w:rPr>
            </w:pPr>
            <w:r w:rsidRPr="006F0F86">
              <w:rPr>
                <w:rFonts w:ascii="Calibri" w:hAnsi="Calibri"/>
              </w:rPr>
              <w:t>Badania geometrycznych właściwości kruszyw – Oznaczanie procentowej zawartości ziaren o powierzchniach powstałych w wyniku przekruszenia lub łamania kruszyw grubych</w:t>
            </w:r>
          </w:p>
        </w:tc>
      </w:tr>
      <w:tr w:rsidR="00134B2C" w:rsidRPr="006F0F86" w:rsidTr="00FD47C7">
        <w:tc>
          <w:tcPr>
            <w:tcW w:w="534" w:type="dxa"/>
          </w:tcPr>
          <w:p w:rsidR="00134B2C" w:rsidRPr="006F0F86" w:rsidRDefault="00134B2C" w:rsidP="00FD47C7">
            <w:pPr>
              <w:rPr>
                <w:rFonts w:ascii="Calibri" w:hAnsi="Calibri"/>
              </w:rPr>
            </w:pPr>
            <w:r w:rsidRPr="006F0F86">
              <w:rPr>
                <w:rFonts w:ascii="Calibri" w:hAnsi="Calibri"/>
              </w:rPr>
              <w:t>9.</w:t>
            </w:r>
          </w:p>
        </w:tc>
        <w:tc>
          <w:tcPr>
            <w:tcW w:w="1842" w:type="dxa"/>
          </w:tcPr>
          <w:p w:rsidR="00134B2C" w:rsidRPr="006F0F86" w:rsidRDefault="00134B2C" w:rsidP="00FD47C7">
            <w:pPr>
              <w:rPr>
                <w:rFonts w:ascii="Calibri" w:hAnsi="Calibri"/>
              </w:rPr>
            </w:pPr>
            <w:r w:rsidRPr="006F0F86">
              <w:rPr>
                <w:rFonts w:ascii="Calibri" w:hAnsi="Calibri"/>
              </w:rPr>
              <w:t>PN-EN 933-6</w:t>
            </w:r>
          </w:p>
        </w:tc>
        <w:tc>
          <w:tcPr>
            <w:tcW w:w="5135" w:type="dxa"/>
          </w:tcPr>
          <w:p w:rsidR="00134B2C" w:rsidRPr="006F0F86" w:rsidRDefault="00134B2C" w:rsidP="00FD47C7">
            <w:pPr>
              <w:rPr>
                <w:rFonts w:ascii="Calibri" w:hAnsi="Calibri"/>
              </w:rPr>
            </w:pPr>
            <w:r w:rsidRPr="006F0F86">
              <w:rPr>
                <w:rFonts w:ascii="Calibri" w:hAnsi="Calibri"/>
              </w:rPr>
              <w:t>Badania geometrycznych właściwości kruszyw – Część 6: Ocena właściwości powierzchni – Wskaźnik przepływu kruszywa</w:t>
            </w:r>
          </w:p>
        </w:tc>
      </w:tr>
      <w:tr w:rsidR="00134B2C" w:rsidRPr="006F0F86" w:rsidTr="00FD47C7">
        <w:tc>
          <w:tcPr>
            <w:tcW w:w="534" w:type="dxa"/>
          </w:tcPr>
          <w:p w:rsidR="00134B2C" w:rsidRPr="006F0F86" w:rsidRDefault="00134B2C" w:rsidP="00FD47C7">
            <w:pPr>
              <w:rPr>
                <w:rFonts w:ascii="Calibri" w:hAnsi="Calibri"/>
              </w:rPr>
            </w:pPr>
            <w:r w:rsidRPr="006F0F86">
              <w:rPr>
                <w:rFonts w:ascii="Calibri" w:hAnsi="Calibri"/>
              </w:rPr>
              <w:t>10.</w:t>
            </w:r>
          </w:p>
        </w:tc>
        <w:tc>
          <w:tcPr>
            <w:tcW w:w="1842" w:type="dxa"/>
          </w:tcPr>
          <w:p w:rsidR="00134B2C" w:rsidRPr="006F0F86" w:rsidRDefault="00134B2C" w:rsidP="00FD47C7">
            <w:pPr>
              <w:rPr>
                <w:rFonts w:ascii="Calibri" w:hAnsi="Calibri"/>
              </w:rPr>
            </w:pPr>
            <w:r w:rsidRPr="006F0F86">
              <w:rPr>
                <w:rFonts w:ascii="Calibri" w:hAnsi="Calibri"/>
              </w:rPr>
              <w:t>PN-EN 933-9</w:t>
            </w:r>
          </w:p>
        </w:tc>
        <w:tc>
          <w:tcPr>
            <w:tcW w:w="5135" w:type="dxa"/>
          </w:tcPr>
          <w:p w:rsidR="00134B2C" w:rsidRPr="006F0F86" w:rsidRDefault="00134B2C" w:rsidP="00FD47C7">
            <w:pPr>
              <w:rPr>
                <w:rFonts w:ascii="Calibri" w:hAnsi="Calibri"/>
              </w:rPr>
            </w:pPr>
            <w:r w:rsidRPr="006F0F86">
              <w:rPr>
                <w:rFonts w:ascii="Calibri" w:hAnsi="Calibri"/>
              </w:rPr>
              <w:t>Badania geometrycznych właściwości kruszyw – Ocena zawartości drobnych cząstek – Badania błękitem metylenowym</w:t>
            </w:r>
          </w:p>
        </w:tc>
      </w:tr>
      <w:tr w:rsidR="00134B2C" w:rsidRPr="006F0F86" w:rsidTr="00FD47C7">
        <w:tc>
          <w:tcPr>
            <w:tcW w:w="534" w:type="dxa"/>
          </w:tcPr>
          <w:p w:rsidR="00134B2C" w:rsidRPr="006F0F86" w:rsidRDefault="00134B2C" w:rsidP="00FD47C7">
            <w:pPr>
              <w:rPr>
                <w:rFonts w:ascii="Calibri" w:hAnsi="Calibri"/>
              </w:rPr>
            </w:pPr>
            <w:r w:rsidRPr="006F0F86">
              <w:rPr>
                <w:rFonts w:ascii="Calibri" w:hAnsi="Calibri"/>
              </w:rPr>
              <w:t>11.</w:t>
            </w:r>
          </w:p>
        </w:tc>
        <w:tc>
          <w:tcPr>
            <w:tcW w:w="1842" w:type="dxa"/>
          </w:tcPr>
          <w:p w:rsidR="00134B2C" w:rsidRPr="006F0F86" w:rsidRDefault="00134B2C" w:rsidP="00FD47C7">
            <w:pPr>
              <w:rPr>
                <w:rFonts w:ascii="Calibri" w:hAnsi="Calibri"/>
              </w:rPr>
            </w:pPr>
            <w:r w:rsidRPr="006F0F86">
              <w:rPr>
                <w:rFonts w:ascii="Calibri" w:hAnsi="Calibri"/>
              </w:rPr>
              <w:t>PN-EN 933-10</w:t>
            </w:r>
          </w:p>
        </w:tc>
        <w:tc>
          <w:tcPr>
            <w:tcW w:w="5135" w:type="dxa"/>
          </w:tcPr>
          <w:p w:rsidR="00134B2C" w:rsidRPr="006F0F86" w:rsidRDefault="00134B2C" w:rsidP="00FD47C7">
            <w:pPr>
              <w:rPr>
                <w:rFonts w:ascii="Calibri" w:hAnsi="Calibri"/>
              </w:rPr>
            </w:pPr>
            <w:r w:rsidRPr="006F0F86">
              <w:rPr>
                <w:rFonts w:ascii="Calibri" w:hAnsi="Calibri"/>
              </w:rPr>
              <w:t>Badania geometrycznych właściwości kruszyw – Część 10: Ocena zawartości drobnych cząstek – Uziarnienie wypełniaczy (przesiewanie w strumieniu powietrza)</w:t>
            </w:r>
          </w:p>
        </w:tc>
      </w:tr>
      <w:tr w:rsidR="00134B2C" w:rsidRPr="006F0F86" w:rsidTr="00FD47C7">
        <w:tc>
          <w:tcPr>
            <w:tcW w:w="534" w:type="dxa"/>
          </w:tcPr>
          <w:p w:rsidR="00134B2C" w:rsidRPr="006F0F86" w:rsidRDefault="00134B2C" w:rsidP="00FD47C7">
            <w:pPr>
              <w:rPr>
                <w:rFonts w:ascii="Calibri" w:hAnsi="Calibri"/>
              </w:rPr>
            </w:pPr>
            <w:r w:rsidRPr="006F0F86">
              <w:rPr>
                <w:rFonts w:ascii="Calibri" w:hAnsi="Calibri"/>
              </w:rPr>
              <w:t>12.</w:t>
            </w:r>
          </w:p>
        </w:tc>
        <w:tc>
          <w:tcPr>
            <w:tcW w:w="1842" w:type="dxa"/>
          </w:tcPr>
          <w:p w:rsidR="00134B2C" w:rsidRPr="006F0F86" w:rsidRDefault="00134B2C" w:rsidP="00FD47C7">
            <w:pPr>
              <w:rPr>
                <w:rFonts w:ascii="Calibri" w:hAnsi="Calibri"/>
              </w:rPr>
            </w:pPr>
            <w:r w:rsidRPr="006F0F86">
              <w:rPr>
                <w:rFonts w:ascii="Calibri" w:hAnsi="Calibri"/>
              </w:rPr>
              <w:t>PN-EN 1097-2</w:t>
            </w:r>
          </w:p>
        </w:tc>
        <w:tc>
          <w:tcPr>
            <w:tcW w:w="5135" w:type="dxa"/>
          </w:tcPr>
          <w:p w:rsidR="00134B2C" w:rsidRPr="006F0F86" w:rsidRDefault="00134B2C" w:rsidP="00FD47C7">
            <w:pPr>
              <w:rPr>
                <w:rFonts w:ascii="Calibri" w:hAnsi="Calibri"/>
              </w:rPr>
            </w:pPr>
            <w:r w:rsidRPr="006F0F86">
              <w:rPr>
                <w:rFonts w:ascii="Calibri" w:hAnsi="Calibri"/>
              </w:rPr>
              <w:t>Badania mechanicznych i fizycznych właściwości kruszyw – Metody oznaczania odporności na rozdrabnianie</w:t>
            </w:r>
          </w:p>
        </w:tc>
      </w:tr>
      <w:tr w:rsidR="00134B2C" w:rsidRPr="006F0F86" w:rsidTr="00FD47C7">
        <w:tc>
          <w:tcPr>
            <w:tcW w:w="534" w:type="dxa"/>
          </w:tcPr>
          <w:p w:rsidR="00134B2C" w:rsidRPr="006F0F86" w:rsidRDefault="00134B2C" w:rsidP="00FD47C7">
            <w:pPr>
              <w:rPr>
                <w:rFonts w:ascii="Calibri" w:hAnsi="Calibri"/>
              </w:rPr>
            </w:pPr>
            <w:r w:rsidRPr="006F0F86">
              <w:rPr>
                <w:rFonts w:ascii="Calibri" w:hAnsi="Calibri"/>
              </w:rPr>
              <w:t>13.</w:t>
            </w:r>
          </w:p>
        </w:tc>
        <w:tc>
          <w:tcPr>
            <w:tcW w:w="1842" w:type="dxa"/>
          </w:tcPr>
          <w:p w:rsidR="00134B2C" w:rsidRPr="006F0F86" w:rsidRDefault="00134B2C" w:rsidP="00FD47C7">
            <w:pPr>
              <w:rPr>
                <w:rFonts w:ascii="Calibri" w:hAnsi="Calibri"/>
              </w:rPr>
            </w:pPr>
            <w:r w:rsidRPr="006F0F86">
              <w:rPr>
                <w:rFonts w:ascii="Calibri" w:hAnsi="Calibri"/>
              </w:rPr>
              <w:t>PN-EN 1097-3</w:t>
            </w:r>
          </w:p>
        </w:tc>
        <w:tc>
          <w:tcPr>
            <w:tcW w:w="5135" w:type="dxa"/>
          </w:tcPr>
          <w:p w:rsidR="00134B2C" w:rsidRPr="006F0F86" w:rsidRDefault="00134B2C" w:rsidP="00FD47C7">
            <w:pPr>
              <w:rPr>
                <w:rFonts w:ascii="Calibri" w:hAnsi="Calibri"/>
              </w:rPr>
            </w:pPr>
            <w:r w:rsidRPr="006F0F86">
              <w:rPr>
                <w:rFonts w:ascii="Calibri" w:hAnsi="Calibri"/>
              </w:rPr>
              <w:t>Badania mechanicznych i fizycznych właściwości kruszyw – Oznaczanie gęstości nasypowej i jamistości</w:t>
            </w:r>
          </w:p>
        </w:tc>
      </w:tr>
      <w:tr w:rsidR="00134B2C" w:rsidRPr="006F0F86" w:rsidTr="00FD47C7">
        <w:tc>
          <w:tcPr>
            <w:tcW w:w="534" w:type="dxa"/>
          </w:tcPr>
          <w:p w:rsidR="00134B2C" w:rsidRPr="006F0F86" w:rsidRDefault="00134B2C" w:rsidP="00FD47C7">
            <w:pPr>
              <w:rPr>
                <w:rFonts w:ascii="Calibri" w:hAnsi="Calibri"/>
              </w:rPr>
            </w:pPr>
            <w:r w:rsidRPr="006F0F86">
              <w:rPr>
                <w:rFonts w:ascii="Calibri" w:hAnsi="Calibri"/>
              </w:rPr>
              <w:t>14.</w:t>
            </w:r>
          </w:p>
        </w:tc>
        <w:tc>
          <w:tcPr>
            <w:tcW w:w="1842" w:type="dxa"/>
          </w:tcPr>
          <w:p w:rsidR="00134B2C" w:rsidRPr="006F0F86" w:rsidRDefault="00134B2C" w:rsidP="00FD47C7">
            <w:pPr>
              <w:rPr>
                <w:rFonts w:ascii="Calibri" w:hAnsi="Calibri"/>
              </w:rPr>
            </w:pPr>
            <w:r w:rsidRPr="006F0F86">
              <w:rPr>
                <w:rFonts w:ascii="Calibri" w:hAnsi="Calibri"/>
              </w:rPr>
              <w:t>PN-EN 1097-4</w:t>
            </w:r>
          </w:p>
        </w:tc>
        <w:tc>
          <w:tcPr>
            <w:tcW w:w="5135" w:type="dxa"/>
          </w:tcPr>
          <w:p w:rsidR="00134B2C" w:rsidRPr="006F0F86" w:rsidRDefault="00134B2C" w:rsidP="00FD47C7">
            <w:pPr>
              <w:rPr>
                <w:rFonts w:ascii="Calibri" w:hAnsi="Calibri"/>
              </w:rPr>
            </w:pPr>
            <w:r w:rsidRPr="006F0F86">
              <w:rPr>
                <w:rFonts w:ascii="Calibri" w:hAnsi="Calibri"/>
              </w:rPr>
              <w:t>Badania mechanicznych i fizycznych właściwości kruszyw – Część 4: Oznaczanie pustych przestrzeni suchego, zagęszczonego wypełniacza</w:t>
            </w:r>
          </w:p>
        </w:tc>
      </w:tr>
      <w:tr w:rsidR="00134B2C" w:rsidRPr="006F0F86" w:rsidTr="00FD47C7">
        <w:tc>
          <w:tcPr>
            <w:tcW w:w="534" w:type="dxa"/>
          </w:tcPr>
          <w:p w:rsidR="00134B2C" w:rsidRPr="006F0F86" w:rsidRDefault="00134B2C" w:rsidP="00FD47C7">
            <w:pPr>
              <w:rPr>
                <w:rFonts w:ascii="Calibri" w:hAnsi="Calibri"/>
              </w:rPr>
            </w:pPr>
            <w:r w:rsidRPr="006F0F86">
              <w:rPr>
                <w:rFonts w:ascii="Calibri" w:hAnsi="Calibri"/>
              </w:rPr>
              <w:t>15.</w:t>
            </w:r>
          </w:p>
        </w:tc>
        <w:tc>
          <w:tcPr>
            <w:tcW w:w="1842" w:type="dxa"/>
          </w:tcPr>
          <w:p w:rsidR="00134B2C" w:rsidRPr="006F0F86" w:rsidRDefault="00134B2C" w:rsidP="00FD47C7">
            <w:pPr>
              <w:rPr>
                <w:rFonts w:ascii="Calibri" w:hAnsi="Calibri"/>
              </w:rPr>
            </w:pPr>
            <w:r w:rsidRPr="006F0F86">
              <w:rPr>
                <w:rFonts w:ascii="Calibri" w:hAnsi="Calibri"/>
              </w:rPr>
              <w:t>PN-EN 1097-5</w:t>
            </w:r>
          </w:p>
        </w:tc>
        <w:tc>
          <w:tcPr>
            <w:tcW w:w="5135" w:type="dxa"/>
          </w:tcPr>
          <w:p w:rsidR="00134B2C" w:rsidRPr="006F0F86" w:rsidRDefault="00134B2C" w:rsidP="00FD47C7">
            <w:pPr>
              <w:rPr>
                <w:rFonts w:ascii="Calibri" w:hAnsi="Calibri"/>
              </w:rPr>
            </w:pPr>
            <w:r w:rsidRPr="006F0F86">
              <w:rPr>
                <w:rFonts w:ascii="Calibri" w:hAnsi="Calibri"/>
              </w:rPr>
              <w:t>Badania mechanicznych i fizycznych właściwości kruszyw – Część 5: Oznaczanie zawartości wody przez suszenie w suszarce z wentylacją</w:t>
            </w:r>
          </w:p>
        </w:tc>
      </w:tr>
      <w:tr w:rsidR="00134B2C" w:rsidRPr="006F0F86" w:rsidTr="00FD47C7">
        <w:tc>
          <w:tcPr>
            <w:tcW w:w="534" w:type="dxa"/>
          </w:tcPr>
          <w:p w:rsidR="00134B2C" w:rsidRPr="006F0F86" w:rsidRDefault="00134B2C" w:rsidP="00FD47C7">
            <w:pPr>
              <w:rPr>
                <w:rFonts w:ascii="Calibri" w:hAnsi="Calibri"/>
              </w:rPr>
            </w:pPr>
            <w:r w:rsidRPr="006F0F86">
              <w:rPr>
                <w:rFonts w:ascii="Calibri" w:hAnsi="Calibri"/>
              </w:rPr>
              <w:t>16.</w:t>
            </w:r>
          </w:p>
        </w:tc>
        <w:tc>
          <w:tcPr>
            <w:tcW w:w="1842" w:type="dxa"/>
          </w:tcPr>
          <w:p w:rsidR="00134B2C" w:rsidRPr="006F0F86" w:rsidRDefault="00134B2C" w:rsidP="00FD47C7">
            <w:pPr>
              <w:rPr>
                <w:rFonts w:ascii="Calibri" w:hAnsi="Calibri"/>
              </w:rPr>
            </w:pPr>
            <w:r w:rsidRPr="006F0F86">
              <w:rPr>
                <w:rFonts w:ascii="Calibri" w:hAnsi="Calibri"/>
              </w:rPr>
              <w:t>PN-EN 1097-6</w:t>
            </w:r>
          </w:p>
        </w:tc>
        <w:tc>
          <w:tcPr>
            <w:tcW w:w="5135" w:type="dxa"/>
          </w:tcPr>
          <w:p w:rsidR="00134B2C" w:rsidRPr="006F0F86" w:rsidRDefault="00134B2C" w:rsidP="00FD47C7">
            <w:pPr>
              <w:rPr>
                <w:rFonts w:ascii="Calibri" w:hAnsi="Calibri"/>
              </w:rPr>
            </w:pPr>
            <w:r w:rsidRPr="006F0F86">
              <w:rPr>
                <w:rFonts w:ascii="Calibri" w:hAnsi="Calibri"/>
              </w:rPr>
              <w:t>Badania mechanicznych i fizycznych właściwości kruszyw –Część 6: Oznaczanie gęstości ziaren i nasiąkliwości</w:t>
            </w:r>
          </w:p>
        </w:tc>
      </w:tr>
      <w:tr w:rsidR="00134B2C" w:rsidRPr="006F0F86" w:rsidTr="00FD47C7">
        <w:tc>
          <w:tcPr>
            <w:tcW w:w="534" w:type="dxa"/>
          </w:tcPr>
          <w:p w:rsidR="00134B2C" w:rsidRPr="006F0F86" w:rsidRDefault="00134B2C" w:rsidP="00FD47C7">
            <w:pPr>
              <w:rPr>
                <w:rFonts w:ascii="Calibri" w:hAnsi="Calibri"/>
              </w:rPr>
            </w:pPr>
            <w:r w:rsidRPr="006F0F86">
              <w:rPr>
                <w:rFonts w:ascii="Calibri" w:hAnsi="Calibri"/>
              </w:rPr>
              <w:t>17.</w:t>
            </w:r>
          </w:p>
        </w:tc>
        <w:tc>
          <w:tcPr>
            <w:tcW w:w="1842" w:type="dxa"/>
          </w:tcPr>
          <w:p w:rsidR="00134B2C" w:rsidRPr="006F0F86" w:rsidRDefault="00134B2C" w:rsidP="00FD47C7">
            <w:pPr>
              <w:rPr>
                <w:rFonts w:ascii="Calibri" w:hAnsi="Calibri"/>
              </w:rPr>
            </w:pPr>
            <w:r w:rsidRPr="006F0F86">
              <w:rPr>
                <w:rFonts w:ascii="Calibri" w:hAnsi="Calibri"/>
              </w:rPr>
              <w:t>PN-EN 1097-7</w:t>
            </w:r>
          </w:p>
        </w:tc>
        <w:tc>
          <w:tcPr>
            <w:tcW w:w="5135" w:type="dxa"/>
          </w:tcPr>
          <w:p w:rsidR="00134B2C" w:rsidRPr="006F0F86" w:rsidRDefault="00134B2C" w:rsidP="00FD47C7">
            <w:pPr>
              <w:rPr>
                <w:rFonts w:ascii="Calibri" w:hAnsi="Calibri"/>
              </w:rPr>
            </w:pPr>
            <w:r w:rsidRPr="006F0F86">
              <w:rPr>
                <w:rFonts w:ascii="Calibri" w:hAnsi="Calibri"/>
              </w:rPr>
              <w:t>Badania mechanicznych i fizycznych właściwości kruszyw – Część 7: Oznaczanie gęstości wypełniacza – Metoda piknometryczna</w:t>
            </w:r>
          </w:p>
        </w:tc>
      </w:tr>
      <w:tr w:rsidR="00134B2C" w:rsidRPr="006F0F86" w:rsidTr="00FD47C7">
        <w:tc>
          <w:tcPr>
            <w:tcW w:w="534" w:type="dxa"/>
          </w:tcPr>
          <w:p w:rsidR="00134B2C" w:rsidRPr="006F0F86" w:rsidRDefault="00134B2C" w:rsidP="00FD47C7">
            <w:pPr>
              <w:rPr>
                <w:rFonts w:ascii="Calibri" w:hAnsi="Calibri"/>
              </w:rPr>
            </w:pPr>
            <w:r w:rsidRPr="006F0F86">
              <w:rPr>
                <w:rFonts w:ascii="Calibri" w:hAnsi="Calibri"/>
              </w:rPr>
              <w:t>18.</w:t>
            </w:r>
          </w:p>
        </w:tc>
        <w:tc>
          <w:tcPr>
            <w:tcW w:w="1842" w:type="dxa"/>
          </w:tcPr>
          <w:p w:rsidR="00134B2C" w:rsidRPr="006F0F86" w:rsidRDefault="00134B2C" w:rsidP="00FD47C7">
            <w:pPr>
              <w:rPr>
                <w:rFonts w:ascii="Calibri" w:hAnsi="Calibri"/>
              </w:rPr>
            </w:pPr>
            <w:r w:rsidRPr="006F0F86">
              <w:rPr>
                <w:rFonts w:ascii="Calibri" w:hAnsi="Calibri"/>
              </w:rPr>
              <w:t>PN-EN 1097-8</w:t>
            </w:r>
          </w:p>
        </w:tc>
        <w:tc>
          <w:tcPr>
            <w:tcW w:w="5135" w:type="dxa"/>
          </w:tcPr>
          <w:p w:rsidR="00134B2C" w:rsidRPr="006F0F86" w:rsidRDefault="00134B2C" w:rsidP="00FD47C7">
            <w:pPr>
              <w:rPr>
                <w:rFonts w:ascii="Calibri" w:hAnsi="Calibri"/>
              </w:rPr>
            </w:pPr>
            <w:r w:rsidRPr="006F0F86">
              <w:rPr>
                <w:rFonts w:ascii="Calibri" w:hAnsi="Calibri"/>
              </w:rPr>
              <w:t>Badania mechanicznych i fizycznych właściwości kruszyw – Część 8: Oznaczanie polerowalności kamienia</w:t>
            </w:r>
          </w:p>
        </w:tc>
      </w:tr>
      <w:tr w:rsidR="00134B2C" w:rsidRPr="006F0F86" w:rsidTr="00FD47C7">
        <w:tc>
          <w:tcPr>
            <w:tcW w:w="534" w:type="dxa"/>
          </w:tcPr>
          <w:p w:rsidR="00134B2C" w:rsidRPr="006F0F86" w:rsidRDefault="00134B2C" w:rsidP="00FD47C7">
            <w:pPr>
              <w:rPr>
                <w:rFonts w:ascii="Calibri" w:hAnsi="Calibri"/>
              </w:rPr>
            </w:pPr>
            <w:r w:rsidRPr="006F0F86">
              <w:rPr>
                <w:rFonts w:ascii="Calibri" w:hAnsi="Calibri"/>
              </w:rPr>
              <w:t>19.</w:t>
            </w:r>
          </w:p>
        </w:tc>
        <w:tc>
          <w:tcPr>
            <w:tcW w:w="1842" w:type="dxa"/>
          </w:tcPr>
          <w:p w:rsidR="00134B2C" w:rsidRPr="006F0F86" w:rsidRDefault="00134B2C" w:rsidP="00FD47C7">
            <w:pPr>
              <w:rPr>
                <w:rFonts w:ascii="Calibri" w:hAnsi="Calibri"/>
              </w:rPr>
            </w:pPr>
            <w:r w:rsidRPr="006F0F86">
              <w:rPr>
                <w:rFonts w:ascii="Calibri" w:hAnsi="Calibri"/>
              </w:rPr>
              <w:t>PN-EN 1367-1</w:t>
            </w:r>
          </w:p>
        </w:tc>
        <w:tc>
          <w:tcPr>
            <w:tcW w:w="5135" w:type="dxa"/>
          </w:tcPr>
          <w:p w:rsidR="00134B2C" w:rsidRPr="006F0F86" w:rsidRDefault="00134B2C" w:rsidP="00FD47C7">
            <w:pPr>
              <w:rPr>
                <w:rFonts w:ascii="Calibri" w:hAnsi="Calibri"/>
              </w:rPr>
            </w:pPr>
            <w:r w:rsidRPr="006F0F86">
              <w:rPr>
                <w:rFonts w:ascii="Calibri" w:hAnsi="Calibri"/>
              </w:rPr>
              <w:t>Badania właściwości cieplnych i odporności kruszyw na działanie czynników atmosferycznych – Część 1: Oznaczanie mrozoodporności</w:t>
            </w:r>
          </w:p>
        </w:tc>
      </w:tr>
      <w:tr w:rsidR="00134B2C" w:rsidRPr="006F0F86" w:rsidTr="00FD47C7">
        <w:tc>
          <w:tcPr>
            <w:tcW w:w="534" w:type="dxa"/>
          </w:tcPr>
          <w:p w:rsidR="00134B2C" w:rsidRPr="006F0F86" w:rsidRDefault="00134B2C" w:rsidP="00FD47C7">
            <w:pPr>
              <w:rPr>
                <w:rFonts w:ascii="Calibri" w:hAnsi="Calibri"/>
              </w:rPr>
            </w:pPr>
            <w:r w:rsidRPr="006F0F86">
              <w:rPr>
                <w:rFonts w:ascii="Calibri" w:hAnsi="Calibri"/>
              </w:rPr>
              <w:t>20.</w:t>
            </w:r>
          </w:p>
        </w:tc>
        <w:tc>
          <w:tcPr>
            <w:tcW w:w="1842" w:type="dxa"/>
          </w:tcPr>
          <w:p w:rsidR="00134B2C" w:rsidRPr="006F0F86" w:rsidRDefault="00134B2C" w:rsidP="00FD47C7">
            <w:pPr>
              <w:rPr>
                <w:rFonts w:ascii="Calibri" w:hAnsi="Calibri"/>
              </w:rPr>
            </w:pPr>
            <w:r w:rsidRPr="006F0F86">
              <w:rPr>
                <w:rFonts w:ascii="Calibri" w:hAnsi="Calibri"/>
              </w:rPr>
              <w:t>PN-EN 1367-3</w:t>
            </w:r>
          </w:p>
        </w:tc>
        <w:tc>
          <w:tcPr>
            <w:tcW w:w="5135" w:type="dxa"/>
          </w:tcPr>
          <w:p w:rsidR="00134B2C" w:rsidRPr="006F0F86" w:rsidRDefault="00134B2C" w:rsidP="00FD47C7">
            <w:pPr>
              <w:rPr>
                <w:rFonts w:ascii="Calibri" w:hAnsi="Calibri"/>
              </w:rPr>
            </w:pPr>
            <w:r w:rsidRPr="006F0F86">
              <w:rPr>
                <w:rFonts w:ascii="Calibri" w:hAnsi="Calibri"/>
              </w:rPr>
              <w:t>Badania właściwości cieplnych i odporności kruszyw na działanie czynników atmosferycznych – Część 3: Badanie bazaltowej zgorzeli słonecznej metodą gotowania</w:t>
            </w:r>
          </w:p>
        </w:tc>
      </w:tr>
      <w:tr w:rsidR="00134B2C" w:rsidRPr="006F0F86" w:rsidTr="00FD47C7">
        <w:tc>
          <w:tcPr>
            <w:tcW w:w="534" w:type="dxa"/>
          </w:tcPr>
          <w:p w:rsidR="00134B2C" w:rsidRPr="006F0F86" w:rsidRDefault="00134B2C" w:rsidP="00FD47C7">
            <w:pPr>
              <w:rPr>
                <w:rFonts w:ascii="Calibri" w:hAnsi="Calibri"/>
              </w:rPr>
            </w:pPr>
            <w:r w:rsidRPr="006F0F86">
              <w:rPr>
                <w:rFonts w:ascii="Calibri" w:hAnsi="Calibri"/>
              </w:rPr>
              <w:t>21.</w:t>
            </w:r>
          </w:p>
        </w:tc>
        <w:tc>
          <w:tcPr>
            <w:tcW w:w="1842" w:type="dxa"/>
          </w:tcPr>
          <w:p w:rsidR="00134B2C" w:rsidRPr="006F0F86" w:rsidRDefault="00134B2C" w:rsidP="00FD47C7">
            <w:pPr>
              <w:rPr>
                <w:rFonts w:ascii="Calibri" w:hAnsi="Calibri"/>
              </w:rPr>
            </w:pPr>
            <w:r w:rsidRPr="006F0F86">
              <w:rPr>
                <w:rFonts w:ascii="Calibri" w:hAnsi="Calibri"/>
              </w:rPr>
              <w:t>PN-EN 1426</w:t>
            </w:r>
          </w:p>
        </w:tc>
        <w:tc>
          <w:tcPr>
            <w:tcW w:w="5135" w:type="dxa"/>
          </w:tcPr>
          <w:p w:rsidR="00134B2C" w:rsidRPr="006F0F86" w:rsidRDefault="00134B2C" w:rsidP="00FD47C7">
            <w:pPr>
              <w:rPr>
                <w:rFonts w:ascii="Calibri" w:hAnsi="Calibri"/>
              </w:rPr>
            </w:pPr>
            <w:r w:rsidRPr="006F0F86">
              <w:rPr>
                <w:rFonts w:ascii="Calibri" w:hAnsi="Calibri"/>
              </w:rPr>
              <w:t>Asfalty i produkty asfaltowe – Oznaczanie penetracji igłą</w:t>
            </w:r>
          </w:p>
        </w:tc>
      </w:tr>
      <w:tr w:rsidR="00134B2C" w:rsidRPr="006F0F86" w:rsidTr="00FD47C7">
        <w:tc>
          <w:tcPr>
            <w:tcW w:w="534" w:type="dxa"/>
          </w:tcPr>
          <w:p w:rsidR="00134B2C" w:rsidRPr="006F0F86" w:rsidRDefault="00134B2C" w:rsidP="00FD47C7">
            <w:pPr>
              <w:rPr>
                <w:rFonts w:ascii="Calibri" w:hAnsi="Calibri"/>
              </w:rPr>
            </w:pPr>
            <w:r w:rsidRPr="006F0F86">
              <w:rPr>
                <w:rFonts w:ascii="Calibri" w:hAnsi="Calibri"/>
              </w:rPr>
              <w:t xml:space="preserve">22. </w:t>
            </w:r>
          </w:p>
        </w:tc>
        <w:tc>
          <w:tcPr>
            <w:tcW w:w="1842" w:type="dxa"/>
          </w:tcPr>
          <w:p w:rsidR="00134B2C" w:rsidRPr="006F0F86" w:rsidRDefault="00134B2C" w:rsidP="00FD47C7">
            <w:pPr>
              <w:rPr>
                <w:rFonts w:ascii="Calibri" w:hAnsi="Calibri"/>
              </w:rPr>
            </w:pPr>
            <w:r w:rsidRPr="006F0F86">
              <w:rPr>
                <w:rFonts w:ascii="Calibri" w:hAnsi="Calibri"/>
              </w:rPr>
              <w:t>PN-EN 1427</w:t>
            </w:r>
          </w:p>
        </w:tc>
        <w:tc>
          <w:tcPr>
            <w:tcW w:w="5135" w:type="dxa"/>
          </w:tcPr>
          <w:p w:rsidR="00134B2C" w:rsidRPr="006F0F86" w:rsidRDefault="00134B2C" w:rsidP="00FD47C7">
            <w:pPr>
              <w:rPr>
                <w:rFonts w:ascii="Calibri" w:hAnsi="Calibri"/>
              </w:rPr>
            </w:pPr>
            <w:r w:rsidRPr="006F0F86">
              <w:rPr>
                <w:rFonts w:ascii="Calibri" w:hAnsi="Calibri"/>
              </w:rPr>
              <w:t>Asfalty i produkty asfaltowe – Oznaczanie temperatury mięknienia – Metoda Pierścień i Kula</w:t>
            </w:r>
          </w:p>
        </w:tc>
      </w:tr>
      <w:tr w:rsidR="00134B2C" w:rsidRPr="006F0F86" w:rsidTr="00FD47C7">
        <w:tc>
          <w:tcPr>
            <w:tcW w:w="534" w:type="dxa"/>
          </w:tcPr>
          <w:p w:rsidR="00134B2C" w:rsidRPr="006F0F86" w:rsidRDefault="00134B2C" w:rsidP="00FD47C7">
            <w:pPr>
              <w:rPr>
                <w:rFonts w:ascii="Calibri" w:hAnsi="Calibri"/>
              </w:rPr>
            </w:pPr>
            <w:r w:rsidRPr="006F0F86">
              <w:rPr>
                <w:rFonts w:ascii="Calibri" w:hAnsi="Calibri"/>
              </w:rPr>
              <w:t xml:space="preserve">23. </w:t>
            </w:r>
          </w:p>
        </w:tc>
        <w:tc>
          <w:tcPr>
            <w:tcW w:w="1842" w:type="dxa"/>
          </w:tcPr>
          <w:p w:rsidR="00134B2C" w:rsidRPr="006F0F86" w:rsidRDefault="00134B2C" w:rsidP="00FD47C7">
            <w:pPr>
              <w:rPr>
                <w:rFonts w:ascii="Calibri" w:hAnsi="Calibri"/>
              </w:rPr>
            </w:pPr>
            <w:r w:rsidRPr="006F0F86">
              <w:rPr>
                <w:rFonts w:ascii="Calibri" w:hAnsi="Calibri"/>
              </w:rPr>
              <w:t>PN-EN 1428</w:t>
            </w:r>
          </w:p>
        </w:tc>
        <w:tc>
          <w:tcPr>
            <w:tcW w:w="5135" w:type="dxa"/>
          </w:tcPr>
          <w:p w:rsidR="00134B2C" w:rsidRPr="006F0F86" w:rsidRDefault="00134B2C" w:rsidP="00FD47C7">
            <w:pPr>
              <w:rPr>
                <w:rFonts w:ascii="Calibri" w:hAnsi="Calibri"/>
              </w:rPr>
            </w:pPr>
            <w:r w:rsidRPr="006F0F86">
              <w:rPr>
                <w:rFonts w:ascii="Calibri" w:hAnsi="Calibri"/>
              </w:rPr>
              <w:t>Asfalty i lepiszcza asfaltowe – Oznaczanie zawartości wody w emulsjach asfaltowych – Metoda destylacji azeotropowej</w:t>
            </w:r>
          </w:p>
        </w:tc>
      </w:tr>
      <w:tr w:rsidR="00134B2C" w:rsidRPr="006F0F86" w:rsidTr="00FD47C7">
        <w:tc>
          <w:tcPr>
            <w:tcW w:w="534" w:type="dxa"/>
          </w:tcPr>
          <w:p w:rsidR="00134B2C" w:rsidRPr="006F0F86" w:rsidRDefault="00134B2C" w:rsidP="00FD47C7">
            <w:pPr>
              <w:rPr>
                <w:rFonts w:ascii="Calibri" w:hAnsi="Calibri"/>
              </w:rPr>
            </w:pPr>
            <w:r w:rsidRPr="006F0F86">
              <w:rPr>
                <w:rFonts w:ascii="Calibri" w:hAnsi="Calibri"/>
              </w:rPr>
              <w:t>24.</w:t>
            </w:r>
          </w:p>
        </w:tc>
        <w:tc>
          <w:tcPr>
            <w:tcW w:w="1842" w:type="dxa"/>
          </w:tcPr>
          <w:p w:rsidR="00134B2C" w:rsidRPr="006F0F86" w:rsidRDefault="00134B2C" w:rsidP="00FD47C7">
            <w:pPr>
              <w:rPr>
                <w:rFonts w:ascii="Calibri" w:hAnsi="Calibri"/>
              </w:rPr>
            </w:pPr>
            <w:r w:rsidRPr="006F0F86">
              <w:rPr>
                <w:rFonts w:ascii="Calibri" w:hAnsi="Calibri"/>
              </w:rPr>
              <w:t>PN-EN 1429</w:t>
            </w:r>
          </w:p>
        </w:tc>
        <w:tc>
          <w:tcPr>
            <w:tcW w:w="5135" w:type="dxa"/>
          </w:tcPr>
          <w:p w:rsidR="00134B2C" w:rsidRPr="006F0F86" w:rsidRDefault="00134B2C" w:rsidP="00FD47C7">
            <w:pPr>
              <w:rPr>
                <w:rFonts w:ascii="Calibri" w:hAnsi="Calibri"/>
              </w:rPr>
            </w:pPr>
            <w:r w:rsidRPr="006F0F86">
              <w:rPr>
                <w:rFonts w:ascii="Calibri" w:hAnsi="Calibri"/>
              </w:rPr>
              <w:t>Asfalty i lepiszcza asfaltowe – Oznaczanie pozostałości na sicie emulsji asfaltowych oraz trwałości podczas magazynowania metodą pozostałości na sicie</w:t>
            </w:r>
          </w:p>
        </w:tc>
      </w:tr>
      <w:tr w:rsidR="00134B2C" w:rsidRPr="006F0F86" w:rsidTr="00FD47C7">
        <w:tc>
          <w:tcPr>
            <w:tcW w:w="534" w:type="dxa"/>
          </w:tcPr>
          <w:p w:rsidR="00134B2C" w:rsidRPr="006F0F86" w:rsidRDefault="00134B2C" w:rsidP="00FD47C7">
            <w:pPr>
              <w:rPr>
                <w:rFonts w:ascii="Calibri" w:hAnsi="Calibri"/>
              </w:rPr>
            </w:pPr>
            <w:r w:rsidRPr="006F0F86">
              <w:rPr>
                <w:rFonts w:ascii="Calibri" w:hAnsi="Calibri"/>
              </w:rPr>
              <w:t>25.</w:t>
            </w:r>
          </w:p>
        </w:tc>
        <w:tc>
          <w:tcPr>
            <w:tcW w:w="1842" w:type="dxa"/>
          </w:tcPr>
          <w:p w:rsidR="00134B2C" w:rsidRPr="006F0F86" w:rsidRDefault="00134B2C" w:rsidP="00FD47C7">
            <w:pPr>
              <w:rPr>
                <w:rFonts w:ascii="Calibri" w:hAnsi="Calibri"/>
              </w:rPr>
            </w:pPr>
            <w:r w:rsidRPr="006F0F86">
              <w:rPr>
                <w:rFonts w:ascii="Calibri" w:hAnsi="Calibri"/>
              </w:rPr>
              <w:t>PN-EN 1744-1</w:t>
            </w:r>
          </w:p>
        </w:tc>
        <w:tc>
          <w:tcPr>
            <w:tcW w:w="5135" w:type="dxa"/>
          </w:tcPr>
          <w:p w:rsidR="00134B2C" w:rsidRPr="006F0F86" w:rsidRDefault="00134B2C" w:rsidP="00FD47C7">
            <w:pPr>
              <w:rPr>
                <w:rFonts w:ascii="Calibri" w:hAnsi="Calibri"/>
              </w:rPr>
            </w:pPr>
            <w:r w:rsidRPr="006F0F86">
              <w:rPr>
                <w:rFonts w:ascii="Calibri" w:hAnsi="Calibri"/>
              </w:rPr>
              <w:t>Badania chemicznych właściwości kruszyw – Analiza chemiczna</w:t>
            </w:r>
          </w:p>
        </w:tc>
      </w:tr>
      <w:tr w:rsidR="00134B2C" w:rsidRPr="006F0F86" w:rsidTr="00FD47C7">
        <w:tc>
          <w:tcPr>
            <w:tcW w:w="534" w:type="dxa"/>
          </w:tcPr>
          <w:p w:rsidR="00134B2C" w:rsidRPr="006F0F86" w:rsidRDefault="00134B2C" w:rsidP="00FD47C7">
            <w:pPr>
              <w:rPr>
                <w:rFonts w:ascii="Calibri" w:hAnsi="Calibri"/>
              </w:rPr>
            </w:pPr>
            <w:r w:rsidRPr="006F0F86">
              <w:rPr>
                <w:rFonts w:ascii="Calibri" w:hAnsi="Calibri"/>
              </w:rPr>
              <w:t>26.</w:t>
            </w:r>
          </w:p>
        </w:tc>
        <w:tc>
          <w:tcPr>
            <w:tcW w:w="1842" w:type="dxa"/>
          </w:tcPr>
          <w:p w:rsidR="00134B2C" w:rsidRPr="006F0F86" w:rsidRDefault="00134B2C" w:rsidP="00FD47C7">
            <w:pPr>
              <w:rPr>
                <w:rFonts w:ascii="Calibri" w:hAnsi="Calibri"/>
              </w:rPr>
            </w:pPr>
            <w:r w:rsidRPr="006F0F86">
              <w:rPr>
                <w:rFonts w:ascii="Calibri" w:hAnsi="Calibri"/>
              </w:rPr>
              <w:t>PN-EN 1744-4</w:t>
            </w:r>
          </w:p>
        </w:tc>
        <w:tc>
          <w:tcPr>
            <w:tcW w:w="5135" w:type="dxa"/>
          </w:tcPr>
          <w:p w:rsidR="00134B2C" w:rsidRPr="006F0F86" w:rsidRDefault="00134B2C" w:rsidP="00FD47C7">
            <w:pPr>
              <w:rPr>
                <w:rFonts w:ascii="Calibri" w:hAnsi="Calibri"/>
              </w:rPr>
            </w:pPr>
            <w:r w:rsidRPr="006F0F86">
              <w:rPr>
                <w:rFonts w:ascii="Calibri" w:hAnsi="Calibri"/>
              </w:rPr>
              <w:t>Badania chemicznych właściwości kruszyw – Część 4: Oznaczanie podatności wypełniaczy do mieszanek mineralno-asfaltowych na działanie wody</w:t>
            </w:r>
          </w:p>
        </w:tc>
      </w:tr>
      <w:tr w:rsidR="00134B2C" w:rsidRPr="006F0F86" w:rsidTr="00FD47C7">
        <w:tc>
          <w:tcPr>
            <w:tcW w:w="534" w:type="dxa"/>
          </w:tcPr>
          <w:p w:rsidR="00134B2C" w:rsidRPr="006F0F86" w:rsidRDefault="00134B2C" w:rsidP="00FD47C7">
            <w:pPr>
              <w:rPr>
                <w:rFonts w:ascii="Calibri" w:hAnsi="Calibri"/>
              </w:rPr>
            </w:pPr>
            <w:r w:rsidRPr="006F0F86">
              <w:rPr>
                <w:rFonts w:ascii="Calibri" w:hAnsi="Calibri"/>
              </w:rPr>
              <w:t>27.</w:t>
            </w:r>
          </w:p>
        </w:tc>
        <w:tc>
          <w:tcPr>
            <w:tcW w:w="1842" w:type="dxa"/>
          </w:tcPr>
          <w:p w:rsidR="00134B2C" w:rsidRPr="006F0F86" w:rsidRDefault="00134B2C" w:rsidP="00FD47C7">
            <w:pPr>
              <w:rPr>
                <w:rFonts w:ascii="Calibri" w:hAnsi="Calibri"/>
              </w:rPr>
            </w:pPr>
            <w:r w:rsidRPr="006F0F86">
              <w:rPr>
                <w:rFonts w:ascii="Calibri" w:hAnsi="Calibri"/>
              </w:rPr>
              <w:t>PN-EN 12591</w:t>
            </w:r>
          </w:p>
        </w:tc>
        <w:tc>
          <w:tcPr>
            <w:tcW w:w="5135" w:type="dxa"/>
          </w:tcPr>
          <w:p w:rsidR="00134B2C" w:rsidRPr="006F0F86" w:rsidRDefault="00134B2C" w:rsidP="00FD47C7">
            <w:pPr>
              <w:rPr>
                <w:rFonts w:ascii="Calibri" w:hAnsi="Calibri"/>
              </w:rPr>
            </w:pPr>
            <w:r w:rsidRPr="006F0F86">
              <w:rPr>
                <w:rFonts w:ascii="Calibri" w:hAnsi="Calibri"/>
              </w:rPr>
              <w:t>Asfalty i produkty asfaltowe – Wymagania dla asfaltów drogowych</w:t>
            </w:r>
          </w:p>
        </w:tc>
      </w:tr>
      <w:tr w:rsidR="00134B2C" w:rsidRPr="006F0F86" w:rsidTr="00FD47C7">
        <w:tc>
          <w:tcPr>
            <w:tcW w:w="534" w:type="dxa"/>
          </w:tcPr>
          <w:p w:rsidR="00134B2C" w:rsidRPr="006F0F86" w:rsidRDefault="00134B2C" w:rsidP="00FD47C7">
            <w:pPr>
              <w:rPr>
                <w:rFonts w:ascii="Calibri" w:hAnsi="Calibri"/>
              </w:rPr>
            </w:pPr>
            <w:r w:rsidRPr="006F0F86">
              <w:rPr>
                <w:rFonts w:ascii="Calibri" w:hAnsi="Calibri"/>
              </w:rPr>
              <w:lastRenderedPageBreak/>
              <w:t>28.</w:t>
            </w:r>
          </w:p>
        </w:tc>
        <w:tc>
          <w:tcPr>
            <w:tcW w:w="1842" w:type="dxa"/>
          </w:tcPr>
          <w:p w:rsidR="00134B2C" w:rsidRPr="006F0F86" w:rsidRDefault="00134B2C" w:rsidP="00FD47C7">
            <w:pPr>
              <w:rPr>
                <w:rFonts w:ascii="Calibri" w:hAnsi="Calibri"/>
              </w:rPr>
            </w:pPr>
            <w:r w:rsidRPr="006F0F86">
              <w:rPr>
                <w:rFonts w:ascii="Calibri" w:hAnsi="Calibri"/>
              </w:rPr>
              <w:t>PN-EN 12592</w:t>
            </w:r>
          </w:p>
        </w:tc>
        <w:tc>
          <w:tcPr>
            <w:tcW w:w="5135" w:type="dxa"/>
          </w:tcPr>
          <w:p w:rsidR="00134B2C" w:rsidRPr="006F0F86" w:rsidRDefault="00134B2C" w:rsidP="00FD47C7">
            <w:pPr>
              <w:rPr>
                <w:rFonts w:ascii="Calibri" w:hAnsi="Calibri"/>
              </w:rPr>
            </w:pPr>
            <w:r w:rsidRPr="006F0F86">
              <w:rPr>
                <w:rFonts w:ascii="Calibri" w:hAnsi="Calibri"/>
              </w:rPr>
              <w:t>Asfalty i produkty asfaltowe – Oznaczanie rozpuszczalności</w:t>
            </w:r>
          </w:p>
        </w:tc>
      </w:tr>
      <w:tr w:rsidR="00134B2C" w:rsidRPr="006F0F86" w:rsidTr="00FD47C7">
        <w:tc>
          <w:tcPr>
            <w:tcW w:w="534" w:type="dxa"/>
          </w:tcPr>
          <w:p w:rsidR="00134B2C" w:rsidRPr="006F0F86" w:rsidRDefault="00134B2C" w:rsidP="00FD47C7">
            <w:pPr>
              <w:rPr>
                <w:rFonts w:ascii="Calibri" w:hAnsi="Calibri"/>
              </w:rPr>
            </w:pPr>
            <w:r w:rsidRPr="006F0F86">
              <w:rPr>
                <w:rFonts w:ascii="Calibri" w:hAnsi="Calibri"/>
              </w:rPr>
              <w:t>29.</w:t>
            </w:r>
          </w:p>
        </w:tc>
        <w:tc>
          <w:tcPr>
            <w:tcW w:w="1842" w:type="dxa"/>
          </w:tcPr>
          <w:p w:rsidR="00134B2C" w:rsidRPr="006F0F86" w:rsidRDefault="00134B2C" w:rsidP="00FD47C7">
            <w:pPr>
              <w:rPr>
                <w:rFonts w:ascii="Calibri" w:hAnsi="Calibri"/>
              </w:rPr>
            </w:pPr>
            <w:r w:rsidRPr="006F0F86">
              <w:rPr>
                <w:rFonts w:ascii="Calibri" w:hAnsi="Calibri"/>
              </w:rPr>
              <w:t>PN-EN 12593</w:t>
            </w:r>
          </w:p>
        </w:tc>
        <w:tc>
          <w:tcPr>
            <w:tcW w:w="5135" w:type="dxa"/>
          </w:tcPr>
          <w:p w:rsidR="00134B2C" w:rsidRPr="006F0F86" w:rsidRDefault="00134B2C" w:rsidP="00FD47C7">
            <w:pPr>
              <w:rPr>
                <w:rFonts w:ascii="Calibri" w:hAnsi="Calibri"/>
              </w:rPr>
            </w:pPr>
            <w:r w:rsidRPr="006F0F86">
              <w:rPr>
                <w:rFonts w:ascii="Calibri" w:hAnsi="Calibri"/>
              </w:rPr>
              <w:t>Asfalty i produkty asfaltowe – Oznaczanie temperatury łamliwości Fraassa</w:t>
            </w:r>
          </w:p>
        </w:tc>
      </w:tr>
      <w:tr w:rsidR="00134B2C" w:rsidRPr="006F0F86" w:rsidTr="00FD47C7">
        <w:tc>
          <w:tcPr>
            <w:tcW w:w="534" w:type="dxa"/>
          </w:tcPr>
          <w:p w:rsidR="00134B2C" w:rsidRPr="006F0F86" w:rsidRDefault="00134B2C" w:rsidP="00FD47C7">
            <w:pPr>
              <w:rPr>
                <w:rFonts w:ascii="Calibri" w:hAnsi="Calibri"/>
              </w:rPr>
            </w:pPr>
            <w:r w:rsidRPr="006F0F86">
              <w:rPr>
                <w:rFonts w:ascii="Calibri" w:hAnsi="Calibri"/>
              </w:rPr>
              <w:t>30.</w:t>
            </w:r>
          </w:p>
        </w:tc>
        <w:tc>
          <w:tcPr>
            <w:tcW w:w="1842" w:type="dxa"/>
          </w:tcPr>
          <w:p w:rsidR="00134B2C" w:rsidRPr="006F0F86" w:rsidRDefault="00134B2C" w:rsidP="00FD47C7">
            <w:pPr>
              <w:rPr>
                <w:rFonts w:ascii="Calibri" w:hAnsi="Calibri"/>
              </w:rPr>
            </w:pPr>
            <w:r w:rsidRPr="006F0F86">
              <w:rPr>
                <w:rFonts w:ascii="Calibri" w:hAnsi="Calibri"/>
              </w:rPr>
              <w:t>PN-EN 12606-1</w:t>
            </w:r>
          </w:p>
        </w:tc>
        <w:tc>
          <w:tcPr>
            <w:tcW w:w="5135" w:type="dxa"/>
          </w:tcPr>
          <w:p w:rsidR="00134B2C" w:rsidRPr="006F0F86" w:rsidRDefault="00134B2C" w:rsidP="00FD47C7">
            <w:pPr>
              <w:rPr>
                <w:rFonts w:ascii="Calibri" w:hAnsi="Calibri"/>
              </w:rPr>
            </w:pPr>
            <w:r w:rsidRPr="006F0F86">
              <w:rPr>
                <w:rFonts w:ascii="Calibri" w:hAnsi="Calibri"/>
              </w:rPr>
              <w:t>Asfalty i produkty asfaltowe – Oznaczanie zawartości parafiny – Część 1: Metoda destylacyjna</w:t>
            </w:r>
          </w:p>
        </w:tc>
      </w:tr>
      <w:tr w:rsidR="00134B2C" w:rsidRPr="006F0F86" w:rsidTr="00FD47C7">
        <w:tc>
          <w:tcPr>
            <w:tcW w:w="534" w:type="dxa"/>
          </w:tcPr>
          <w:p w:rsidR="00134B2C" w:rsidRPr="006F0F86" w:rsidRDefault="00134B2C" w:rsidP="00FD47C7">
            <w:pPr>
              <w:rPr>
                <w:rFonts w:ascii="Calibri" w:hAnsi="Calibri"/>
              </w:rPr>
            </w:pPr>
            <w:r w:rsidRPr="006F0F86">
              <w:rPr>
                <w:rFonts w:ascii="Calibri" w:hAnsi="Calibri"/>
              </w:rPr>
              <w:t>31.</w:t>
            </w:r>
          </w:p>
        </w:tc>
        <w:tc>
          <w:tcPr>
            <w:tcW w:w="1842" w:type="dxa"/>
          </w:tcPr>
          <w:p w:rsidR="00134B2C" w:rsidRPr="006F0F86" w:rsidRDefault="00134B2C" w:rsidP="00FD47C7">
            <w:pPr>
              <w:rPr>
                <w:rFonts w:ascii="Calibri" w:hAnsi="Calibri"/>
              </w:rPr>
            </w:pPr>
            <w:r w:rsidRPr="006F0F86">
              <w:rPr>
                <w:rFonts w:ascii="Calibri" w:hAnsi="Calibri"/>
              </w:rPr>
              <w:t>PN-EN 12607-1</w:t>
            </w:r>
          </w:p>
          <w:p w:rsidR="00134B2C" w:rsidRPr="006F0F86" w:rsidRDefault="00134B2C" w:rsidP="00FD47C7">
            <w:pPr>
              <w:rPr>
                <w:rFonts w:ascii="Calibri" w:hAnsi="Calibri"/>
              </w:rPr>
            </w:pPr>
          </w:p>
          <w:p w:rsidR="00134B2C" w:rsidRPr="006F0F86" w:rsidRDefault="00134B2C" w:rsidP="00FD47C7">
            <w:pPr>
              <w:rPr>
                <w:rFonts w:ascii="Calibri" w:hAnsi="Calibri"/>
              </w:rPr>
            </w:pPr>
            <w:r w:rsidRPr="006F0F86">
              <w:rPr>
                <w:rFonts w:ascii="Calibri" w:hAnsi="Calibri"/>
              </w:rPr>
              <w:t>i</w:t>
            </w:r>
          </w:p>
          <w:p w:rsidR="00134B2C" w:rsidRPr="006F0F86" w:rsidRDefault="00134B2C" w:rsidP="00FD47C7">
            <w:pPr>
              <w:rPr>
                <w:rFonts w:ascii="Calibri" w:hAnsi="Calibri"/>
              </w:rPr>
            </w:pPr>
            <w:r w:rsidRPr="006F0F86">
              <w:rPr>
                <w:rFonts w:ascii="Calibri" w:hAnsi="Calibri"/>
              </w:rPr>
              <w:t>PN-EN 12607-3</w:t>
            </w:r>
          </w:p>
        </w:tc>
        <w:tc>
          <w:tcPr>
            <w:tcW w:w="5135" w:type="dxa"/>
          </w:tcPr>
          <w:p w:rsidR="00134B2C" w:rsidRPr="006F0F86" w:rsidRDefault="00134B2C" w:rsidP="00FD47C7">
            <w:pPr>
              <w:rPr>
                <w:rFonts w:ascii="Calibri" w:hAnsi="Calibri"/>
              </w:rPr>
            </w:pPr>
            <w:r w:rsidRPr="006F0F86">
              <w:rPr>
                <w:rFonts w:ascii="Calibri" w:hAnsi="Calibri"/>
              </w:rPr>
              <w:t>Asfalty i produkty asfaltowe – Oznaczanie odporności na twardnienie pod wpływem ciepła i powietrza – Część 1: Metoda RTFOT</w:t>
            </w:r>
          </w:p>
          <w:p w:rsidR="00134B2C" w:rsidRPr="006F0F86" w:rsidRDefault="00134B2C" w:rsidP="00FD47C7">
            <w:pPr>
              <w:rPr>
                <w:rFonts w:ascii="Calibri" w:hAnsi="Calibri"/>
              </w:rPr>
            </w:pPr>
            <w:r w:rsidRPr="006F0F86">
              <w:rPr>
                <w:rFonts w:ascii="Calibri" w:hAnsi="Calibri"/>
              </w:rPr>
              <w:t>Jw. Część 3: Metoda RFT</w:t>
            </w:r>
          </w:p>
        </w:tc>
      </w:tr>
      <w:tr w:rsidR="00134B2C" w:rsidRPr="006F0F86" w:rsidTr="00FD47C7">
        <w:tc>
          <w:tcPr>
            <w:tcW w:w="534" w:type="dxa"/>
          </w:tcPr>
          <w:p w:rsidR="00134B2C" w:rsidRPr="006F0F86" w:rsidRDefault="00134B2C" w:rsidP="00FD47C7">
            <w:pPr>
              <w:rPr>
                <w:rFonts w:ascii="Calibri" w:hAnsi="Calibri"/>
              </w:rPr>
            </w:pPr>
            <w:r w:rsidRPr="006F0F86">
              <w:rPr>
                <w:rFonts w:ascii="Calibri" w:hAnsi="Calibri"/>
              </w:rPr>
              <w:t>32.</w:t>
            </w:r>
          </w:p>
        </w:tc>
        <w:tc>
          <w:tcPr>
            <w:tcW w:w="1842" w:type="dxa"/>
          </w:tcPr>
          <w:p w:rsidR="00134B2C" w:rsidRPr="006F0F86" w:rsidRDefault="00134B2C" w:rsidP="00FD47C7">
            <w:pPr>
              <w:rPr>
                <w:rFonts w:ascii="Calibri" w:hAnsi="Calibri"/>
              </w:rPr>
            </w:pPr>
            <w:r w:rsidRPr="006F0F86">
              <w:rPr>
                <w:rFonts w:ascii="Calibri" w:hAnsi="Calibri"/>
              </w:rPr>
              <w:t>PN-EN 12697-6</w:t>
            </w:r>
          </w:p>
        </w:tc>
        <w:tc>
          <w:tcPr>
            <w:tcW w:w="5135" w:type="dxa"/>
          </w:tcPr>
          <w:p w:rsidR="00134B2C" w:rsidRPr="006F0F86" w:rsidRDefault="00134B2C" w:rsidP="00FD47C7">
            <w:pPr>
              <w:rPr>
                <w:rFonts w:ascii="Calibri" w:hAnsi="Calibri"/>
              </w:rPr>
            </w:pPr>
            <w:r w:rsidRPr="006F0F86">
              <w:rPr>
                <w:rFonts w:ascii="Calibri" w:hAnsi="Calibri"/>
              </w:rPr>
              <w:t>Mieszanki mineralno-asfaltowe – Metody badań mieszanek mineralno-asfaltowych na gorąco – Część 6: Oznaczanie gęstości objętościowej metodą hydrostatyczną</w:t>
            </w:r>
          </w:p>
        </w:tc>
      </w:tr>
      <w:tr w:rsidR="00134B2C" w:rsidRPr="006F0F86" w:rsidTr="00FD47C7">
        <w:tc>
          <w:tcPr>
            <w:tcW w:w="534" w:type="dxa"/>
          </w:tcPr>
          <w:p w:rsidR="00134B2C" w:rsidRPr="006F0F86" w:rsidRDefault="00134B2C" w:rsidP="00FD47C7">
            <w:pPr>
              <w:rPr>
                <w:rFonts w:ascii="Calibri" w:hAnsi="Calibri"/>
              </w:rPr>
            </w:pPr>
            <w:r w:rsidRPr="006F0F86">
              <w:rPr>
                <w:rFonts w:ascii="Calibri" w:hAnsi="Calibri"/>
              </w:rPr>
              <w:t>33.</w:t>
            </w:r>
          </w:p>
        </w:tc>
        <w:tc>
          <w:tcPr>
            <w:tcW w:w="1842" w:type="dxa"/>
          </w:tcPr>
          <w:p w:rsidR="00134B2C" w:rsidRPr="006F0F86" w:rsidRDefault="00134B2C" w:rsidP="00FD47C7">
            <w:pPr>
              <w:rPr>
                <w:rFonts w:ascii="Calibri" w:hAnsi="Calibri"/>
              </w:rPr>
            </w:pPr>
            <w:r w:rsidRPr="006F0F86">
              <w:rPr>
                <w:rFonts w:ascii="Calibri" w:hAnsi="Calibri"/>
              </w:rPr>
              <w:t>PN-EN 12697-8</w:t>
            </w:r>
          </w:p>
        </w:tc>
        <w:tc>
          <w:tcPr>
            <w:tcW w:w="5135" w:type="dxa"/>
          </w:tcPr>
          <w:p w:rsidR="00134B2C" w:rsidRPr="006F0F86" w:rsidRDefault="00134B2C" w:rsidP="00FD47C7">
            <w:pPr>
              <w:rPr>
                <w:rFonts w:ascii="Calibri" w:hAnsi="Calibri"/>
              </w:rPr>
            </w:pPr>
            <w:r w:rsidRPr="006F0F86">
              <w:rPr>
                <w:rFonts w:ascii="Calibri" w:hAnsi="Calibri"/>
              </w:rPr>
              <w:t>Mieszanki mineralno-asfaltowe – Metody badań mieszanek mineralno-asfaltowych na gorąco – Część 8: Oznaczanie zawartości wolnej przestrzeni</w:t>
            </w:r>
          </w:p>
        </w:tc>
      </w:tr>
      <w:tr w:rsidR="00134B2C" w:rsidRPr="006F0F86" w:rsidTr="00FD47C7">
        <w:tc>
          <w:tcPr>
            <w:tcW w:w="534" w:type="dxa"/>
          </w:tcPr>
          <w:p w:rsidR="00134B2C" w:rsidRPr="006F0F86" w:rsidRDefault="00134B2C" w:rsidP="00FD47C7">
            <w:pPr>
              <w:rPr>
                <w:rFonts w:ascii="Calibri" w:hAnsi="Calibri"/>
              </w:rPr>
            </w:pPr>
            <w:r w:rsidRPr="006F0F86">
              <w:rPr>
                <w:rFonts w:ascii="Calibri" w:hAnsi="Calibri"/>
              </w:rPr>
              <w:t>34.</w:t>
            </w:r>
          </w:p>
        </w:tc>
        <w:tc>
          <w:tcPr>
            <w:tcW w:w="1842" w:type="dxa"/>
          </w:tcPr>
          <w:p w:rsidR="00134B2C" w:rsidRPr="006F0F86" w:rsidRDefault="00134B2C" w:rsidP="00FD47C7">
            <w:pPr>
              <w:rPr>
                <w:rFonts w:ascii="Calibri" w:hAnsi="Calibri"/>
              </w:rPr>
            </w:pPr>
            <w:r w:rsidRPr="006F0F86">
              <w:rPr>
                <w:rFonts w:ascii="Calibri" w:hAnsi="Calibri"/>
              </w:rPr>
              <w:t>PN-EN 12697-11</w:t>
            </w:r>
          </w:p>
        </w:tc>
        <w:tc>
          <w:tcPr>
            <w:tcW w:w="5135" w:type="dxa"/>
          </w:tcPr>
          <w:p w:rsidR="00134B2C" w:rsidRPr="006F0F86" w:rsidRDefault="00134B2C" w:rsidP="00FD47C7">
            <w:pPr>
              <w:rPr>
                <w:rFonts w:ascii="Calibri" w:hAnsi="Calibri"/>
              </w:rPr>
            </w:pPr>
            <w:r w:rsidRPr="006F0F86">
              <w:rPr>
                <w:rFonts w:ascii="Calibri" w:hAnsi="Calibri"/>
              </w:rPr>
              <w:t>Mieszanki mineralno-asfaltowe – Metody badań mieszanek mineralno-asfaltowych na gorąco – Część 11: Określenie powiązania pomiędzy kruszywem i asfaltem</w:t>
            </w:r>
          </w:p>
        </w:tc>
      </w:tr>
      <w:tr w:rsidR="00134B2C" w:rsidRPr="006F0F86" w:rsidTr="00FD47C7">
        <w:tc>
          <w:tcPr>
            <w:tcW w:w="534" w:type="dxa"/>
          </w:tcPr>
          <w:p w:rsidR="00134B2C" w:rsidRPr="006F0F86" w:rsidRDefault="00134B2C" w:rsidP="00FD47C7">
            <w:pPr>
              <w:rPr>
                <w:rFonts w:ascii="Calibri" w:hAnsi="Calibri"/>
              </w:rPr>
            </w:pPr>
            <w:r w:rsidRPr="006F0F86">
              <w:rPr>
                <w:rFonts w:ascii="Calibri" w:hAnsi="Calibri"/>
              </w:rPr>
              <w:t>35.</w:t>
            </w:r>
          </w:p>
        </w:tc>
        <w:tc>
          <w:tcPr>
            <w:tcW w:w="1842" w:type="dxa"/>
          </w:tcPr>
          <w:p w:rsidR="00134B2C" w:rsidRPr="006F0F86" w:rsidRDefault="00134B2C" w:rsidP="00FD47C7">
            <w:pPr>
              <w:rPr>
                <w:rFonts w:ascii="Calibri" w:hAnsi="Calibri"/>
              </w:rPr>
            </w:pPr>
            <w:r w:rsidRPr="006F0F86">
              <w:rPr>
                <w:rFonts w:ascii="Calibri" w:hAnsi="Calibri"/>
              </w:rPr>
              <w:t>PN-EN 12697-12</w:t>
            </w:r>
          </w:p>
        </w:tc>
        <w:tc>
          <w:tcPr>
            <w:tcW w:w="5135" w:type="dxa"/>
          </w:tcPr>
          <w:p w:rsidR="00134B2C" w:rsidRPr="006F0F86" w:rsidRDefault="00134B2C" w:rsidP="00FD47C7">
            <w:pPr>
              <w:rPr>
                <w:rFonts w:ascii="Calibri" w:hAnsi="Calibri"/>
              </w:rPr>
            </w:pPr>
            <w:r w:rsidRPr="006F0F86">
              <w:rPr>
                <w:rFonts w:ascii="Calibri" w:hAnsi="Calibri"/>
              </w:rPr>
              <w:t>Mieszanki mineralno-asfaltowe – Metody badań mieszanek mineralno-asfaltowych na gorąco – Część 12: Określanie wrażliwości na wodę</w:t>
            </w:r>
          </w:p>
        </w:tc>
      </w:tr>
      <w:tr w:rsidR="00134B2C" w:rsidRPr="006F0F86" w:rsidTr="00FD47C7">
        <w:tc>
          <w:tcPr>
            <w:tcW w:w="534" w:type="dxa"/>
          </w:tcPr>
          <w:p w:rsidR="00134B2C" w:rsidRPr="006F0F86" w:rsidRDefault="00134B2C" w:rsidP="00FD47C7">
            <w:pPr>
              <w:rPr>
                <w:rFonts w:ascii="Calibri" w:hAnsi="Calibri"/>
              </w:rPr>
            </w:pPr>
            <w:r w:rsidRPr="006F0F86">
              <w:rPr>
                <w:rFonts w:ascii="Calibri" w:hAnsi="Calibri"/>
              </w:rPr>
              <w:t>36.</w:t>
            </w:r>
          </w:p>
        </w:tc>
        <w:tc>
          <w:tcPr>
            <w:tcW w:w="1842" w:type="dxa"/>
          </w:tcPr>
          <w:p w:rsidR="00134B2C" w:rsidRPr="006F0F86" w:rsidRDefault="00134B2C" w:rsidP="00FD47C7">
            <w:pPr>
              <w:rPr>
                <w:rFonts w:ascii="Calibri" w:hAnsi="Calibri"/>
              </w:rPr>
            </w:pPr>
            <w:r w:rsidRPr="006F0F86">
              <w:rPr>
                <w:rFonts w:ascii="Calibri" w:hAnsi="Calibri"/>
              </w:rPr>
              <w:t>PN-EN 12697-13</w:t>
            </w:r>
          </w:p>
        </w:tc>
        <w:tc>
          <w:tcPr>
            <w:tcW w:w="5135" w:type="dxa"/>
          </w:tcPr>
          <w:p w:rsidR="00134B2C" w:rsidRPr="006F0F86" w:rsidRDefault="00134B2C" w:rsidP="00FD47C7">
            <w:pPr>
              <w:rPr>
                <w:rFonts w:ascii="Calibri" w:hAnsi="Calibri"/>
              </w:rPr>
            </w:pPr>
            <w:r w:rsidRPr="006F0F86">
              <w:rPr>
                <w:rFonts w:ascii="Calibri" w:hAnsi="Calibri"/>
              </w:rPr>
              <w:t>Mieszanki mineralno-asfaltowe – Metody badań mieszanek mineralno-asfaltowych na gorąco – Część 13: Pomiar temperatury</w:t>
            </w:r>
          </w:p>
        </w:tc>
      </w:tr>
      <w:tr w:rsidR="00134B2C" w:rsidRPr="006F0F86" w:rsidTr="00FD47C7">
        <w:tc>
          <w:tcPr>
            <w:tcW w:w="534" w:type="dxa"/>
          </w:tcPr>
          <w:p w:rsidR="00134B2C" w:rsidRPr="006F0F86" w:rsidRDefault="00134B2C" w:rsidP="00FD47C7">
            <w:pPr>
              <w:rPr>
                <w:rFonts w:ascii="Calibri" w:hAnsi="Calibri"/>
              </w:rPr>
            </w:pPr>
            <w:r w:rsidRPr="006F0F86">
              <w:rPr>
                <w:rFonts w:ascii="Calibri" w:hAnsi="Calibri"/>
              </w:rPr>
              <w:t>37.</w:t>
            </w:r>
          </w:p>
        </w:tc>
        <w:tc>
          <w:tcPr>
            <w:tcW w:w="1842" w:type="dxa"/>
          </w:tcPr>
          <w:p w:rsidR="00134B2C" w:rsidRPr="006F0F86" w:rsidRDefault="00134B2C" w:rsidP="00FD47C7">
            <w:pPr>
              <w:rPr>
                <w:rFonts w:ascii="Calibri" w:hAnsi="Calibri"/>
              </w:rPr>
            </w:pPr>
            <w:r w:rsidRPr="006F0F86">
              <w:rPr>
                <w:rFonts w:ascii="Calibri" w:hAnsi="Calibri"/>
              </w:rPr>
              <w:t>PN-EN 12697-18</w:t>
            </w:r>
          </w:p>
        </w:tc>
        <w:tc>
          <w:tcPr>
            <w:tcW w:w="5135" w:type="dxa"/>
          </w:tcPr>
          <w:p w:rsidR="00134B2C" w:rsidRPr="006F0F86" w:rsidRDefault="00134B2C" w:rsidP="00FD47C7">
            <w:pPr>
              <w:rPr>
                <w:rFonts w:ascii="Calibri" w:hAnsi="Calibri"/>
              </w:rPr>
            </w:pPr>
            <w:r w:rsidRPr="006F0F86">
              <w:rPr>
                <w:rFonts w:ascii="Calibri" w:hAnsi="Calibri"/>
              </w:rPr>
              <w:t>Mieszanki mineralno-asfaltowe – Metody badań mieszanek mineralno-asfaltowych na gorąco – Część 18: Spływanie lepiszcza</w:t>
            </w:r>
          </w:p>
        </w:tc>
      </w:tr>
      <w:tr w:rsidR="00134B2C" w:rsidRPr="006F0F86" w:rsidTr="00FD47C7">
        <w:tc>
          <w:tcPr>
            <w:tcW w:w="534" w:type="dxa"/>
          </w:tcPr>
          <w:p w:rsidR="00134B2C" w:rsidRPr="006F0F86" w:rsidRDefault="00134B2C" w:rsidP="00FD47C7">
            <w:pPr>
              <w:rPr>
                <w:rFonts w:ascii="Calibri" w:hAnsi="Calibri"/>
              </w:rPr>
            </w:pPr>
            <w:r w:rsidRPr="006F0F86">
              <w:rPr>
                <w:rFonts w:ascii="Calibri" w:hAnsi="Calibri"/>
              </w:rPr>
              <w:t>38.</w:t>
            </w:r>
          </w:p>
        </w:tc>
        <w:tc>
          <w:tcPr>
            <w:tcW w:w="1842" w:type="dxa"/>
          </w:tcPr>
          <w:p w:rsidR="00134B2C" w:rsidRPr="006F0F86" w:rsidRDefault="00134B2C" w:rsidP="00FD47C7">
            <w:pPr>
              <w:rPr>
                <w:rFonts w:ascii="Calibri" w:hAnsi="Calibri"/>
              </w:rPr>
            </w:pPr>
            <w:r w:rsidRPr="006F0F86">
              <w:rPr>
                <w:rFonts w:ascii="Calibri" w:hAnsi="Calibri"/>
              </w:rPr>
              <w:t>PN-EN 12697-22</w:t>
            </w:r>
          </w:p>
        </w:tc>
        <w:tc>
          <w:tcPr>
            <w:tcW w:w="5135" w:type="dxa"/>
          </w:tcPr>
          <w:p w:rsidR="00134B2C" w:rsidRPr="006F0F86" w:rsidRDefault="00134B2C" w:rsidP="00FD47C7">
            <w:pPr>
              <w:rPr>
                <w:rFonts w:ascii="Calibri" w:hAnsi="Calibri"/>
              </w:rPr>
            </w:pPr>
            <w:r w:rsidRPr="006F0F86">
              <w:rPr>
                <w:rFonts w:ascii="Calibri" w:hAnsi="Calibri"/>
              </w:rPr>
              <w:t>Mieszanki mineralno-asfaltowe – Metody badań mieszanek mineralno-asfaltowych na gorąco – Część 22: Koleinowanie</w:t>
            </w:r>
          </w:p>
        </w:tc>
      </w:tr>
      <w:tr w:rsidR="00134B2C" w:rsidRPr="006F0F86" w:rsidTr="00FD47C7">
        <w:tc>
          <w:tcPr>
            <w:tcW w:w="534" w:type="dxa"/>
          </w:tcPr>
          <w:p w:rsidR="00134B2C" w:rsidRPr="006F0F86" w:rsidRDefault="00134B2C" w:rsidP="00FD47C7">
            <w:pPr>
              <w:rPr>
                <w:rFonts w:ascii="Calibri" w:hAnsi="Calibri"/>
              </w:rPr>
            </w:pPr>
            <w:r w:rsidRPr="006F0F86">
              <w:rPr>
                <w:rFonts w:ascii="Calibri" w:hAnsi="Calibri"/>
              </w:rPr>
              <w:t>39.</w:t>
            </w:r>
          </w:p>
        </w:tc>
        <w:tc>
          <w:tcPr>
            <w:tcW w:w="1842" w:type="dxa"/>
          </w:tcPr>
          <w:p w:rsidR="00134B2C" w:rsidRPr="006F0F86" w:rsidRDefault="00134B2C" w:rsidP="00FD47C7">
            <w:pPr>
              <w:rPr>
                <w:rFonts w:ascii="Calibri" w:hAnsi="Calibri"/>
              </w:rPr>
            </w:pPr>
            <w:r w:rsidRPr="006F0F86">
              <w:rPr>
                <w:rFonts w:ascii="Calibri" w:hAnsi="Calibri"/>
              </w:rPr>
              <w:t>PN-EN 12697-27</w:t>
            </w:r>
          </w:p>
        </w:tc>
        <w:tc>
          <w:tcPr>
            <w:tcW w:w="5135" w:type="dxa"/>
          </w:tcPr>
          <w:p w:rsidR="00134B2C" w:rsidRPr="006F0F86" w:rsidRDefault="00134B2C" w:rsidP="00FD47C7">
            <w:pPr>
              <w:rPr>
                <w:rFonts w:ascii="Calibri" w:hAnsi="Calibri"/>
              </w:rPr>
            </w:pPr>
            <w:r w:rsidRPr="006F0F86">
              <w:rPr>
                <w:rFonts w:ascii="Calibri" w:hAnsi="Calibri"/>
              </w:rPr>
              <w:t>Mieszanki mineralno-asfaltowe – Metody badań mieszanek mineralno-asfaltowych na gorąco – Część 27: Pobieranie próbek</w:t>
            </w:r>
          </w:p>
        </w:tc>
      </w:tr>
      <w:tr w:rsidR="00134B2C" w:rsidRPr="006F0F86" w:rsidTr="00FD47C7">
        <w:tc>
          <w:tcPr>
            <w:tcW w:w="534" w:type="dxa"/>
          </w:tcPr>
          <w:p w:rsidR="00134B2C" w:rsidRPr="006F0F86" w:rsidRDefault="00134B2C" w:rsidP="00FD47C7">
            <w:pPr>
              <w:rPr>
                <w:rFonts w:ascii="Calibri" w:hAnsi="Calibri"/>
              </w:rPr>
            </w:pPr>
            <w:r w:rsidRPr="006F0F86">
              <w:rPr>
                <w:rFonts w:ascii="Calibri" w:hAnsi="Calibri"/>
              </w:rPr>
              <w:t>40.</w:t>
            </w:r>
          </w:p>
        </w:tc>
        <w:tc>
          <w:tcPr>
            <w:tcW w:w="1842" w:type="dxa"/>
          </w:tcPr>
          <w:p w:rsidR="00134B2C" w:rsidRPr="006F0F86" w:rsidRDefault="00134B2C" w:rsidP="00FD47C7">
            <w:pPr>
              <w:rPr>
                <w:rFonts w:ascii="Calibri" w:hAnsi="Calibri"/>
              </w:rPr>
            </w:pPr>
            <w:r w:rsidRPr="006F0F86">
              <w:rPr>
                <w:rFonts w:ascii="Calibri" w:hAnsi="Calibri"/>
              </w:rPr>
              <w:t>PN-EN 12697-36</w:t>
            </w:r>
          </w:p>
        </w:tc>
        <w:tc>
          <w:tcPr>
            <w:tcW w:w="5135" w:type="dxa"/>
          </w:tcPr>
          <w:p w:rsidR="00134B2C" w:rsidRPr="006F0F86" w:rsidRDefault="00134B2C" w:rsidP="00FD47C7">
            <w:pPr>
              <w:rPr>
                <w:rFonts w:ascii="Calibri" w:hAnsi="Calibri"/>
              </w:rPr>
            </w:pPr>
            <w:r w:rsidRPr="006F0F86">
              <w:rPr>
                <w:rFonts w:ascii="Calibri" w:hAnsi="Calibri"/>
              </w:rPr>
              <w:t>Mieszanki mineralno-asfaltowe – Metody badań mieszanek mineralno-asfaltowych na gorąco – Część 36: Oznaczanie grubości nawierzchni asfaltowych</w:t>
            </w:r>
          </w:p>
        </w:tc>
      </w:tr>
      <w:tr w:rsidR="00134B2C" w:rsidRPr="006F0F86" w:rsidTr="00FD47C7">
        <w:tc>
          <w:tcPr>
            <w:tcW w:w="534" w:type="dxa"/>
          </w:tcPr>
          <w:p w:rsidR="00134B2C" w:rsidRPr="006F0F86" w:rsidRDefault="00134B2C" w:rsidP="00FD47C7">
            <w:pPr>
              <w:rPr>
                <w:rFonts w:ascii="Calibri" w:hAnsi="Calibri"/>
              </w:rPr>
            </w:pPr>
            <w:r w:rsidRPr="006F0F86">
              <w:rPr>
                <w:rFonts w:ascii="Calibri" w:hAnsi="Calibri"/>
              </w:rPr>
              <w:t>41.</w:t>
            </w:r>
          </w:p>
        </w:tc>
        <w:tc>
          <w:tcPr>
            <w:tcW w:w="1842" w:type="dxa"/>
          </w:tcPr>
          <w:p w:rsidR="00134B2C" w:rsidRPr="006F0F86" w:rsidRDefault="00134B2C" w:rsidP="00FD47C7">
            <w:pPr>
              <w:rPr>
                <w:rFonts w:ascii="Calibri" w:hAnsi="Calibri"/>
              </w:rPr>
            </w:pPr>
            <w:r w:rsidRPr="006F0F86">
              <w:rPr>
                <w:rFonts w:ascii="Calibri" w:hAnsi="Calibri"/>
              </w:rPr>
              <w:t>PN-EN 12846</w:t>
            </w:r>
          </w:p>
        </w:tc>
        <w:tc>
          <w:tcPr>
            <w:tcW w:w="5135" w:type="dxa"/>
          </w:tcPr>
          <w:p w:rsidR="00134B2C" w:rsidRPr="006F0F86" w:rsidRDefault="00134B2C" w:rsidP="00FD47C7">
            <w:pPr>
              <w:rPr>
                <w:rFonts w:ascii="Calibri" w:hAnsi="Calibri"/>
              </w:rPr>
            </w:pPr>
            <w:r w:rsidRPr="006F0F86">
              <w:rPr>
                <w:rFonts w:ascii="Calibri" w:hAnsi="Calibri"/>
              </w:rPr>
              <w:t>Asfalty i lepiszcza asfaltowe – Oznaczanie czasu wypływu emulsji asfaltowych lepkościomierzem wypływowym</w:t>
            </w:r>
          </w:p>
        </w:tc>
      </w:tr>
      <w:tr w:rsidR="00134B2C" w:rsidRPr="006F0F86" w:rsidTr="00FD47C7">
        <w:tc>
          <w:tcPr>
            <w:tcW w:w="534" w:type="dxa"/>
          </w:tcPr>
          <w:p w:rsidR="00134B2C" w:rsidRPr="006F0F86" w:rsidRDefault="00134B2C" w:rsidP="00FD47C7">
            <w:pPr>
              <w:rPr>
                <w:rFonts w:ascii="Calibri" w:hAnsi="Calibri"/>
              </w:rPr>
            </w:pPr>
            <w:r w:rsidRPr="006F0F86">
              <w:rPr>
                <w:rFonts w:ascii="Calibri" w:hAnsi="Calibri"/>
              </w:rPr>
              <w:t>42.</w:t>
            </w:r>
          </w:p>
        </w:tc>
        <w:tc>
          <w:tcPr>
            <w:tcW w:w="1842" w:type="dxa"/>
          </w:tcPr>
          <w:p w:rsidR="00134B2C" w:rsidRPr="006F0F86" w:rsidRDefault="00134B2C" w:rsidP="00FD47C7">
            <w:pPr>
              <w:rPr>
                <w:rFonts w:ascii="Calibri" w:hAnsi="Calibri"/>
              </w:rPr>
            </w:pPr>
            <w:r w:rsidRPr="006F0F86">
              <w:rPr>
                <w:rFonts w:ascii="Calibri" w:hAnsi="Calibri"/>
              </w:rPr>
              <w:t>PN-EN 12847</w:t>
            </w:r>
          </w:p>
        </w:tc>
        <w:tc>
          <w:tcPr>
            <w:tcW w:w="5135" w:type="dxa"/>
          </w:tcPr>
          <w:p w:rsidR="00134B2C" w:rsidRPr="006F0F86" w:rsidRDefault="00134B2C" w:rsidP="00FD47C7">
            <w:pPr>
              <w:rPr>
                <w:rFonts w:ascii="Calibri" w:hAnsi="Calibri"/>
              </w:rPr>
            </w:pPr>
            <w:r w:rsidRPr="006F0F86">
              <w:rPr>
                <w:rFonts w:ascii="Calibri" w:hAnsi="Calibri"/>
              </w:rPr>
              <w:t>Asfalty i lepiszcza asfaltowe – Oznaczanie sedymentacji emulsji asfaltowych</w:t>
            </w:r>
          </w:p>
        </w:tc>
      </w:tr>
      <w:tr w:rsidR="00134B2C" w:rsidRPr="006F0F86" w:rsidTr="00FD47C7">
        <w:tc>
          <w:tcPr>
            <w:tcW w:w="534" w:type="dxa"/>
          </w:tcPr>
          <w:p w:rsidR="00134B2C" w:rsidRPr="006F0F86" w:rsidRDefault="00134B2C" w:rsidP="00FD47C7">
            <w:pPr>
              <w:rPr>
                <w:rFonts w:ascii="Calibri" w:hAnsi="Calibri"/>
              </w:rPr>
            </w:pPr>
            <w:r w:rsidRPr="006F0F86">
              <w:rPr>
                <w:rFonts w:ascii="Calibri" w:hAnsi="Calibri"/>
              </w:rPr>
              <w:t>43.</w:t>
            </w:r>
          </w:p>
        </w:tc>
        <w:tc>
          <w:tcPr>
            <w:tcW w:w="1842" w:type="dxa"/>
          </w:tcPr>
          <w:p w:rsidR="00134B2C" w:rsidRPr="006F0F86" w:rsidRDefault="00134B2C" w:rsidP="00FD47C7">
            <w:pPr>
              <w:rPr>
                <w:rFonts w:ascii="Calibri" w:hAnsi="Calibri"/>
              </w:rPr>
            </w:pPr>
            <w:r w:rsidRPr="006F0F86">
              <w:rPr>
                <w:rFonts w:ascii="Calibri" w:hAnsi="Calibri"/>
              </w:rPr>
              <w:t>PN-EN 12850</w:t>
            </w:r>
          </w:p>
        </w:tc>
        <w:tc>
          <w:tcPr>
            <w:tcW w:w="5135" w:type="dxa"/>
          </w:tcPr>
          <w:p w:rsidR="00134B2C" w:rsidRPr="006F0F86" w:rsidRDefault="00134B2C" w:rsidP="00FD47C7">
            <w:pPr>
              <w:rPr>
                <w:rFonts w:ascii="Calibri" w:hAnsi="Calibri"/>
              </w:rPr>
            </w:pPr>
            <w:r w:rsidRPr="006F0F86">
              <w:rPr>
                <w:rFonts w:ascii="Calibri" w:hAnsi="Calibri"/>
              </w:rPr>
              <w:t>Asfalty i lepiszcza asfaltowe – Oznaczanie wartości pH emulsji asfaltowych</w:t>
            </w:r>
          </w:p>
        </w:tc>
      </w:tr>
      <w:tr w:rsidR="00134B2C" w:rsidRPr="006F0F86" w:rsidTr="00FD47C7">
        <w:tc>
          <w:tcPr>
            <w:tcW w:w="534" w:type="dxa"/>
          </w:tcPr>
          <w:p w:rsidR="00134B2C" w:rsidRPr="006F0F86" w:rsidRDefault="00134B2C" w:rsidP="00FD47C7">
            <w:pPr>
              <w:rPr>
                <w:rFonts w:ascii="Calibri" w:hAnsi="Calibri"/>
              </w:rPr>
            </w:pPr>
            <w:r w:rsidRPr="006F0F86">
              <w:rPr>
                <w:rFonts w:ascii="Calibri" w:hAnsi="Calibri"/>
              </w:rPr>
              <w:t>44.</w:t>
            </w:r>
          </w:p>
        </w:tc>
        <w:tc>
          <w:tcPr>
            <w:tcW w:w="1842" w:type="dxa"/>
          </w:tcPr>
          <w:p w:rsidR="00134B2C" w:rsidRPr="006F0F86" w:rsidRDefault="00134B2C" w:rsidP="00FD47C7">
            <w:pPr>
              <w:rPr>
                <w:rFonts w:ascii="Calibri" w:hAnsi="Calibri"/>
              </w:rPr>
            </w:pPr>
            <w:r w:rsidRPr="006F0F86">
              <w:rPr>
                <w:rFonts w:ascii="Calibri" w:hAnsi="Calibri"/>
              </w:rPr>
              <w:t>PN-EN 13043</w:t>
            </w:r>
          </w:p>
        </w:tc>
        <w:tc>
          <w:tcPr>
            <w:tcW w:w="5135" w:type="dxa"/>
          </w:tcPr>
          <w:p w:rsidR="00134B2C" w:rsidRPr="006F0F86" w:rsidRDefault="00134B2C" w:rsidP="00FD47C7">
            <w:pPr>
              <w:rPr>
                <w:rFonts w:ascii="Calibri" w:hAnsi="Calibri"/>
              </w:rPr>
            </w:pPr>
            <w:r w:rsidRPr="006F0F86">
              <w:rPr>
                <w:rFonts w:ascii="Calibri" w:hAnsi="Calibri"/>
              </w:rPr>
              <w:t>Kruszywa do mieszanek bitumicznych i powierzchniowych utrwaleń stosowanych na drogach, lotniskach i innych powierzchniach przeznaczonych do ruchu</w:t>
            </w:r>
          </w:p>
        </w:tc>
      </w:tr>
      <w:tr w:rsidR="00134B2C" w:rsidRPr="006F0F86" w:rsidTr="00FD47C7">
        <w:tc>
          <w:tcPr>
            <w:tcW w:w="534" w:type="dxa"/>
          </w:tcPr>
          <w:p w:rsidR="00134B2C" w:rsidRPr="006F0F86" w:rsidRDefault="00134B2C" w:rsidP="00FD47C7">
            <w:pPr>
              <w:rPr>
                <w:rFonts w:ascii="Calibri" w:hAnsi="Calibri"/>
              </w:rPr>
            </w:pPr>
            <w:r w:rsidRPr="006F0F86">
              <w:rPr>
                <w:rFonts w:ascii="Calibri" w:hAnsi="Calibri"/>
              </w:rPr>
              <w:t>45.</w:t>
            </w:r>
          </w:p>
        </w:tc>
        <w:tc>
          <w:tcPr>
            <w:tcW w:w="1842" w:type="dxa"/>
          </w:tcPr>
          <w:p w:rsidR="00134B2C" w:rsidRPr="006F0F86" w:rsidRDefault="00134B2C" w:rsidP="00FD47C7">
            <w:pPr>
              <w:rPr>
                <w:rFonts w:ascii="Calibri" w:hAnsi="Calibri"/>
              </w:rPr>
            </w:pPr>
            <w:r w:rsidRPr="006F0F86">
              <w:rPr>
                <w:rFonts w:ascii="Calibri" w:hAnsi="Calibri"/>
              </w:rPr>
              <w:t>PN-EN 13074</w:t>
            </w:r>
          </w:p>
        </w:tc>
        <w:tc>
          <w:tcPr>
            <w:tcW w:w="5135" w:type="dxa"/>
          </w:tcPr>
          <w:p w:rsidR="00134B2C" w:rsidRPr="006F0F86" w:rsidRDefault="00134B2C" w:rsidP="00FD47C7">
            <w:pPr>
              <w:rPr>
                <w:rFonts w:ascii="Calibri" w:hAnsi="Calibri"/>
              </w:rPr>
            </w:pPr>
            <w:r w:rsidRPr="006F0F86">
              <w:rPr>
                <w:rFonts w:ascii="Calibri" w:hAnsi="Calibri"/>
              </w:rPr>
              <w:t>Asfalty i lepiszcza asfaltowe – Oznaczanie lepiszczy z emulsji asfaltowych przez odparowanie</w:t>
            </w:r>
          </w:p>
        </w:tc>
      </w:tr>
      <w:tr w:rsidR="00134B2C" w:rsidRPr="006F0F86" w:rsidTr="00FD47C7">
        <w:tc>
          <w:tcPr>
            <w:tcW w:w="534" w:type="dxa"/>
          </w:tcPr>
          <w:p w:rsidR="00134B2C" w:rsidRPr="006F0F86" w:rsidRDefault="00134B2C" w:rsidP="00FD47C7">
            <w:pPr>
              <w:rPr>
                <w:rFonts w:ascii="Calibri" w:hAnsi="Calibri"/>
              </w:rPr>
            </w:pPr>
            <w:r w:rsidRPr="006F0F86">
              <w:rPr>
                <w:rFonts w:ascii="Calibri" w:hAnsi="Calibri"/>
              </w:rPr>
              <w:t>46.</w:t>
            </w:r>
          </w:p>
        </w:tc>
        <w:tc>
          <w:tcPr>
            <w:tcW w:w="1842" w:type="dxa"/>
          </w:tcPr>
          <w:p w:rsidR="00134B2C" w:rsidRPr="006F0F86" w:rsidRDefault="00134B2C" w:rsidP="00FD47C7">
            <w:pPr>
              <w:rPr>
                <w:rFonts w:ascii="Calibri" w:hAnsi="Calibri"/>
              </w:rPr>
            </w:pPr>
            <w:r w:rsidRPr="006F0F86">
              <w:rPr>
                <w:rFonts w:ascii="Calibri" w:hAnsi="Calibri"/>
              </w:rPr>
              <w:t>PN-EN 13075-1</w:t>
            </w:r>
          </w:p>
        </w:tc>
        <w:tc>
          <w:tcPr>
            <w:tcW w:w="5135" w:type="dxa"/>
          </w:tcPr>
          <w:p w:rsidR="00134B2C" w:rsidRPr="006F0F86" w:rsidRDefault="00134B2C" w:rsidP="00FD47C7">
            <w:pPr>
              <w:rPr>
                <w:rFonts w:ascii="Calibri" w:hAnsi="Calibri"/>
              </w:rPr>
            </w:pPr>
            <w:r w:rsidRPr="006F0F86">
              <w:rPr>
                <w:rFonts w:ascii="Calibri" w:hAnsi="Calibri"/>
              </w:rPr>
              <w:t>Asfalty i lepiszcza asfaltowe – Badanie rozpadu – Część 1: Oznaczanie indeksu rozpadu kationowych emulsji asfaltowych, metoda z wypełniaczem mineralnym</w:t>
            </w:r>
          </w:p>
        </w:tc>
      </w:tr>
      <w:tr w:rsidR="00134B2C" w:rsidRPr="006F0F86" w:rsidTr="00FD47C7">
        <w:tc>
          <w:tcPr>
            <w:tcW w:w="534" w:type="dxa"/>
          </w:tcPr>
          <w:p w:rsidR="00134B2C" w:rsidRPr="006F0F86" w:rsidRDefault="00134B2C" w:rsidP="00FD47C7">
            <w:pPr>
              <w:rPr>
                <w:rFonts w:ascii="Calibri" w:hAnsi="Calibri"/>
              </w:rPr>
            </w:pPr>
            <w:r w:rsidRPr="006F0F86">
              <w:rPr>
                <w:rFonts w:ascii="Calibri" w:hAnsi="Calibri"/>
              </w:rPr>
              <w:t>47.</w:t>
            </w:r>
          </w:p>
        </w:tc>
        <w:tc>
          <w:tcPr>
            <w:tcW w:w="1842" w:type="dxa"/>
          </w:tcPr>
          <w:p w:rsidR="00134B2C" w:rsidRPr="006F0F86" w:rsidRDefault="00134B2C" w:rsidP="00FD47C7">
            <w:pPr>
              <w:rPr>
                <w:rFonts w:ascii="Calibri" w:hAnsi="Calibri"/>
              </w:rPr>
            </w:pPr>
            <w:r w:rsidRPr="006F0F86">
              <w:rPr>
                <w:rFonts w:ascii="Calibri" w:hAnsi="Calibri"/>
              </w:rPr>
              <w:t>PN-EN 13108-1</w:t>
            </w:r>
          </w:p>
        </w:tc>
        <w:tc>
          <w:tcPr>
            <w:tcW w:w="5135" w:type="dxa"/>
          </w:tcPr>
          <w:p w:rsidR="00134B2C" w:rsidRPr="006F0F86" w:rsidRDefault="00134B2C" w:rsidP="00FD47C7">
            <w:pPr>
              <w:rPr>
                <w:rFonts w:ascii="Calibri" w:hAnsi="Calibri"/>
              </w:rPr>
            </w:pPr>
            <w:r w:rsidRPr="006F0F86">
              <w:rPr>
                <w:rFonts w:ascii="Calibri" w:hAnsi="Calibri"/>
              </w:rPr>
              <w:t>Mieszanki mineralno-asfaltowe – Wymagania – Część 1: Beton Asfaltowy</w:t>
            </w:r>
          </w:p>
        </w:tc>
      </w:tr>
      <w:tr w:rsidR="00134B2C" w:rsidRPr="006F0F86" w:rsidTr="00FD47C7">
        <w:tc>
          <w:tcPr>
            <w:tcW w:w="534" w:type="dxa"/>
          </w:tcPr>
          <w:p w:rsidR="00134B2C" w:rsidRPr="006F0F86" w:rsidRDefault="00134B2C" w:rsidP="00FD47C7">
            <w:pPr>
              <w:rPr>
                <w:rFonts w:ascii="Calibri" w:hAnsi="Calibri"/>
              </w:rPr>
            </w:pPr>
            <w:r w:rsidRPr="006F0F86">
              <w:rPr>
                <w:rFonts w:ascii="Calibri" w:hAnsi="Calibri"/>
              </w:rPr>
              <w:t>48.</w:t>
            </w:r>
          </w:p>
        </w:tc>
        <w:tc>
          <w:tcPr>
            <w:tcW w:w="1842" w:type="dxa"/>
          </w:tcPr>
          <w:p w:rsidR="00134B2C" w:rsidRPr="006F0F86" w:rsidRDefault="00134B2C" w:rsidP="00FD47C7">
            <w:pPr>
              <w:rPr>
                <w:rFonts w:ascii="Calibri" w:hAnsi="Calibri"/>
              </w:rPr>
            </w:pPr>
            <w:r w:rsidRPr="006F0F86">
              <w:rPr>
                <w:rFonts w:ascii="Calibri" w:hAnsi="Calibri"/>
              </w:rPr>
              <w:t>PN-EN 13108-20</w:t>
            </w:r>
          </w:p>
        </w:tc>
        <w:tc>
          <w:tcPr>
            <w:tcW w:w="5135" w:type="dxa"/>
          </w:tcPr>
          <w:p w:rsidR="00134B2C" w:rsidRPr="006F0F86" w:rsidRDefault="00134B2C" w:rsidP="00FD47C7">
            <w:pPr>
              <w:rPr>
                <w:rFonts w:ascii="Calibri" w:hAnsi="Calibri"/>
              </w:rPr>
            </w:pPr>
            <w:r w:rsidRPr="006F0F86">
              <w:rPr>
                <w:rFonts w:ascii="Calibri" w:hAnsi="Calibri"/>
              </w:rPr>
              <w:t>Mieszanki mineralno-asfaltowe – Wymagania – Część 20: Badanie typu</w:t>
            </w:r>
          </w:p>
        </w:tc>
      </w:tr>
      <w:tr w:rsidR="00134B2C" w:rsidRPr="006F0F86" w:rsidTr="00FD47C7">
        <w:tc>
          <w:tcPr>
            <w:tcW w:w="534" w:type="dxa"/>
          </w:tcPr>
          <w:p w:rsidR="00134B2C" w:rsidRPr="006F0F86" w:rsidRDefault="00134B2C" w:rsidP="00FD47C7">
            <w:pPr>
              <w:rPr>
                <w:rFonts w:ascii="Calibri" w:hAnsi="Calibri"/>
              </w:rPr>
            </w:pPr>
            <w:r w:rsidRPr="006F0F86">
              <w:rPr>
                <w:rFonts w:ascii="Calibri" w:hAnsi="Calibri"/>
              </w:rPr>
              <w:t>49.</w:t>
            </w:r>
          </w:p>
        </w:tc>
        <w:tc>
          <w:tcPr>
            <w:tcW w:w="1842" w:type="dxa"/>
          </w:tcPr>
          <w:p w:rsidR="00134B2C" w:rsidRPr="006F0F86" w:rsidRDefault="00134B2C" w:rsidP="00FD47C7">
            <w:pPr>
              <w:rPr>
                <w:rFonts w:ascii="Calibri" w:hAnsi="Calibri"/>
              </w:rPr>
            </w:pPr>
            <w:r w:rsidRPr="006F0F86">
              <w:rPr>
                <w:rFonts w:ascii="Calibri" w:hAnsi="Calibri"/>
              </w:rPr>
              <w:t>PN-EN 13179-1</w:t>
            </w:r>
          </w:p>
        </w:tc>
        <w:tc>
          <w:tcPr>
            <w:tcW w:w="5135" w:type="dxa"/>
          </w:tcPr>
          <w:p w:rsidR="00134B2C" w:rsidRPr="006F0F86" w:rsidRDefault="00134B2C" w:rsidP="00FD47C7">
            <w:pPr>
              <w:rPr>
                <w:rFonts w:ascii="Calibri" w:hAnsi="Calibri"/>
              </w:rPr>
            </w:pPr>
            <w:r w:rsidRPr="006F0F86">
              <w:rPr>
                <w:rFonts w:ascii="Calibri" w:hAnsi="Calibri"/>
              </w:rPr>
              <w:t>Badania kruszyw wypełniających stosowanych do mieszanek bitumicznych – Część 1: Badanie metodą Pierścienia i Kuli</w:t>
            </w:r>
          </w:p>
        </w:tc>
      </w:tr>
      <w:tr w:rsidR="00134B2C" w:rsidRPr="006F0F86" w:rsidTr="00FD47C7">
        <w:tc>
          <w:tcPr>
            <w:tcW w:w="534" w:type="dxa"/>
          </w:tcPr>
          <w:p w:rsidR="00134B2C" w:rsidRPr="006F0F86" w:rsidRDefault="00134B2C" w:rsidP="00FD47C7">
            <w:pPr>
              <w:rPr>
                <w:rFonts w:ascii="Calibri" w:hAnsi="Calibri"/>
              </w:rPr>
            </w:pPr>
            <w:r w:rsidRPr="006F0F86">
              <w:rPr>
                <w:rFonts w:ascii="Calibri" w:hAnsi="Calibri"/>
              </w:rPr>
              <w:t>50.</w:t>
            </w:r>
          </w:p>
        </w:tc>
        <w:tc>
          <w:tcPr>
            <w:tcW w:w="1842" w:type="dxa"/>
          </w:tcPr>
          <w:p w:rsidR="00134B2C" w:rsidRPr="006F0F86" w:rsidRDefault="00134B2C" w:rsidP="00FD47C7">
            <w:pPr>
              <w:rPr>
                <w:rFonts w:ascii="Calibri" w:hAnsi="Calibri"/>
              </w:rPr>
            </w:pPr>
            <w:r w:rsidRPr="006F0F86">
              <w:rPr>
                <w:rFonts w:ascii="Calibri" w:hAnsi="Calibri"/>
              </w:rPr>
              <w:t>PN-EN 13179-2</w:t>
            </w:r>
          </w:p>
        </w:tc>
        <w:tc>
          <w:tcPr>
            <w:tcW w:w="5135" w:type="dxa"/>
          </w:tcPr>
          <w:p w:rsidR="00134B2C" w:rsidRPr="006F0F86" w:rsidRDefault="00134B2C" w:rsidP="00FD47C7">
            <w:pPr>
              <w:rPr>
                <w:rFonts w:ascii="Calibri" w:hAnsi="Calibri"/>
              </w:rPr>
            </w:pPr>
            <w:r w:rsidRPr="006F0F86">
              <w:rPr>
                <w:rFonts w:ascii="Calibri" w:hAnsi="Calibri"/>
              </w:rPr>
              <w:t>Badania kruszyw wypełniających stosowanych do mieszanek bitumicznych – Część 2: Liczba bitumiczna</w:t>
            </w:r>
          </w:p>
        </w:tc>
      </w:tr>
      <w:tr w:rsidR="00134B2C" w:rsidRPr="006F0F86" w:rsidTr="00FD47C7">
        <w:tc>
          <w:tcPr>
            <w:tcW w:w="534" w:type="dxa"/>
          </w:tcPr>
          <w:p w:rsidR="00134B2C" w:rsidRPr="006F0F86" w:rsidRDefault="00134B2C" w:rsidP="00FD47C7">
            <w:pPr>
              <w:rPr>
                <w:rFonts w:ascii="Calibri" w:hAnsi="Calibri"/>
              </w:rPr>
            </w:pPr>
            <w:r w:rsidRPr="006F0F86">
              <w:rPr>
                <w:rFonts w:ascii="Calibri" w:hAnsi="Calibri"/>
              </w:rPr>
              <w:t>51.</w:t>
            </w:r>
          </w:p>
        </w:tc>
        <w:tc>
          <w:tcPr>
            <w:tcW w:w="1842" w:type="dxa"/>
          </w:tcPr>
          <w:p w:rsidR="00134B2C" w:rsidRPr="006F0F86" w:rsidRDefault="00134B2C" w:rsidP="00FD47C7">
            <w:pPr>
              <w:rPr>
                <w:rFonts w:ascii="Calibri" w:hAnsi="Calibri"/>
              </w:rPr>
            </w:pPr>
            <w:r w:rsidRPr="006F0F86">
              <w:rPr>
                <w:rFonts w:ascii="Calibri" w:hAnsi="Calibri"/>
              </w:rPr>
              <w:t>PN-EN 13398</w:t>
            </w:r>
          </w:p>
        </w:tc>
        <w:tc>
          <w:tcPr>
            <w:tcW w:w="5135" w:type="dxa"/>
          </w:tcPr>
          <w:p w:rsidR="00134B2C" w:rsidRPr="006F0F86" w:rsidRDefault="00134B2C" w:rsidP="00FD47C7">
            <w:pPr>
              <w:rPr>
                <w:rFonts w:ascii="Calibri" w:hAnsi="Calibri"/>
              </w:rPr>
            </w:pPr>
            <w:r w:rsidRPr="006F0F86">
              <w:rPr>
                <w:rFonts w:ascii="Calibri" w:hAnsi="Calibri"/>
              </w:rPr>
              <w:t>Asfalty i lepiszcza asfaltowe – Oznaczanie nawrotu sprężystego asfaltów modyfikowanych</w:t>
            </w:r>
          </w:p>
        </w:tc>
      </w:tr>
      <w:tr w:rsidR="00134B2C" w:rsidRPr="006F0F86" w:rsidTr="00FD47C7">
        <w:tc>
          <w:tcPr>
            <w:tcW w:w="534" w:type="dxa"/>
          </w:tcPr>
          <w:p w:rsidR="00134B2C" w:rsidRPr="006F0F86" w:rsidRDefault="00134B2C" w:rsidP="00FD47C7">
            <w:pPr>
              <w:rPr>
                <w:rFonts w:ascii="Calibri" w:hAnsi="Calibri"/>
              </w:rPr>
            </w:pPr>
            <w:r w:rsidRPr="006F0F86">
              <w:rPr>
                <w:rFonts w:ascii="Calibri" w:hAnsi="Calibri"/>
              </w:rPr>
              <w:t>52.</w:t>
            </w:r>
          </w:p>
        </w:tc>
        <w:tc>
          <w:tcPr>
            <w:tcW w:w="1842" w:type="dxa"/>
          </w:tcPr>
          <w:p w:rsidR="00134B2C" w:rsidRPr="006F0F86" w:rsidRDefault="00134B2C" w:rsidP="00FD47C7">
            <w:pPr>
              <w:rPr>
                <w:rFonts w:ascii="Calibri" w:hAnsi="Calibri"/>
              </w:rPr>
            </w:pPr>
            <w:r w:rsidRPr="006F0F86">
              <w:rPr>
                <w:rFonts w:ascii="Calibri" w:hAnsi="Calibri"/>
              </w:rPr>
              <w:t>PN-EN 13399</w:t>
            </w:r>
          </w:p>
        </w:tc>
        <w:tc>
          <w:tcPr>
            <w:tcW w:w="5135" w:type="dxa"/>
          </w:tcPr>
          <w:p w:rsidR="00134B2C" w:rsidRPr="006F0F86" w:rsidRDefault="00134B2C" w:rsidP="00FD47C7">
            <w:pPr>
              <w:rPr>
                <w:rFonts w:ascii="Calibri" w:hAnsi="Calibri"/>
              </w:rPr>
            </w:pPr>
            <w:r w:rsidRPr="006F0F86">
              <w:rPr>
                <w:rFonts w:ascii="Calibri" w:hAnsi="Calibri"/>
              </w:rPr>
              <w:t xml:space="preserve">Asfalty i lepiszcza asfaltowe – Oznaczanie odporności na </w:t>
            </w:r>
            <w:r w:rsidRPr="006F0F86">
              <w:rPr>
                <w:rFonts w:ascii="Calibri" w:hAnsi="Calibri"/>
              </w:rPr>
              <w:lastRenderedPageBreak/>
              <w:t>magazynowanie modyfikowanych asfaltów</w:t>
            </w:r>
          </w:p>
        </w:tc>
      </w:tr>
      <w:tr w:rsidR="00134B2C" w:rsidRPr="006F0F86" w:rsidTr="00FD47C7">
        <w:tc>
          <w:tcPr>
            <w:tcW w:w="534" w:type="dxa"/>
          </w:tcPr>
          <w:p w:rsidR="00134B2C" w:rsidRPr="006F0F86" w:rsidRDefault="00134B2C" w:rsidP="00FD47C7">
            <w:pPr>
              <w:rPr>
                <w:rFonts w:ascii="Calibri" w:hAnsi="Calibri"/>
              </w:rPr>
            </w:pPr>
            <w:r w:rsidRPr="006F0F86">
              <w:rPr>
                <w:rFonts w:ascii="Calibri" w:hAnsi="Calibri"/>
              </w:rPr>
              <w:lastRenderedPageBreak/>
              <w:t>53.</w:t>
            </w:r>
          </w:p>
        </w:tc>
        <w:tc>
          <w:tcPr>
            <w:tcW w:w="1842" w:type="dxa"/>
          </w:tcPr>
          <w:p w:rsidR="00134B2C" w:rsidRPr="006F0F86" w:rsidRDefault="00134B2C" w:rsidP="00FD47C7">
            <w:pPr>
              <w:rPr>
                <w:rFonts w:ascii="Calibri" w:hAnsi="Calibri"/>
              </w:rPr>
            </w:pPr>
            <w:r w:rsidRPr="006F0F86">
              <w:rPr>
                <w:rFonts w:ascii="Calibri" w:hAnsi="Calibri"/>
              </w:rPr>
              <w:t>PN-EN 13587</w:t>
            </w:r>
          </w:p>
        </w:tc>
        <w:tc>
          <w:tcPr>
            <w:tcW w:w="5135" w:type="dxa"/>
          </w:tcPr>
          <w:p w:rsidR="00134B2C" w:rsidRPr="006F0F86" w:rsidRDefault="00134B2C" w:rsidP="00FD47C7">
            <w:pPr>
              <w:rPr>
                <w:rFonts w:ascii="Calibri" w:hAnsi="Calibri"/>
              </w:rPr>
            </w:pPr>
            <w:r w:rsidRPr="006F0F86">
              <w:rPr>
                <w:rFonts w:ascii="Calibri" w:hAnsi="Calibri"/>
              </w:rPr>
              <w:t>Asfalty i lepiszcza asfaltowe – Oznaczanie ciągliwości lepiszczy asfaltowych metodą pomiaru ciągliwości</w:t>
            </w:r>
          </w:p>
        </w:tc>
      </w:tr>
      <w:tr w:rsidR="00134B2C" w:rsidRPr="006F0F86" w:rsidTr="00FD47C7">
        <w:tc>
          <w:tcPr>
            <w:tcW w:w="534" w:type="dxa"/>
          </w:tcPr>
          <w:p w:rsidR="00134B2C" w:rsidRPr="006F0F86" w:rsidRDefault="00134B2C" w:rsidP="00FD47C7">
            <w:pPr>
              <w:rPr>
                <w:rFonts w:ascii="Calibri" w:hAnsi="Calibri"/>
              </w:rPr>
            </w:pPr>
            <w:r w:rsidRPr="006F0F86">
              <w:rPr>
                <w:rFonts w:ascii="Calibri" w:hAnsi="Calibri"/>
              </w:rPr>
              <w:t>54.</w:t>
            </w:r>
          </w:p>
        </w:tc>
        <w:tc>
          <w:tcPr>
            <w:tcW w:w="1842" w:type="dxa"/>
          </w:tcPr>
          <w:p w:rsidR="00134B2C" w:rsidRPr="006F0F86" w:rsidRDefault="00134B2C" w:rsidP="00FD47C7">
            <w:pPr>
              <w:rPr>
                <w:rFonts w:ascii="Calibri" w:hAnsi="Calibri"/>
              </w:rPr>
            </w:pPr>
            <w:r w:rsidRPr="006F0F86">
              <w:rPr>
                <w:rFonts w:ascii="Calibri" w:hAnsi="Calibri"/>
              </w:rPr>
              <w:t>PN-EN 13588</w:t>
            </w:r>
          </w:p>
        </w:tc>
        <w:tc>
          <w:tcPr>
            <w:tcW w:w="5135" w:type="dxa"/>
          </w:tcPr>
          <w:p w:rsidR="00134B2C" w:rsidRPr="006F0F86" w:rsidRDefault="00134B2C" w:rsidP="00FD47C7">
            <w:pPr>
              <w:rPr>
                <w:rFonts w:ascii="Calibri" w:hAnsi="Calibri"/>
              </w:rPr>
            </w:pPr>
            <w:r w:rsidRPr="006F0F86">
              <w:rPr>
                <w:rFonts w:ascii="Calibri" w:hAnsi="Calibri"/>
              </w:rPr>
              <w:t>Asfalty i lepiszcza asfaltowe – Oznaczanie kohezji lepiszczy asfaltowych metodą testu wahadłowego</w:t>
            </w:r>
          </w:p>
        </w:tc>
      </w:tr>
      <w:tr w:rsidR="00134B2C" w:rsidRPr="006F0F86" w:rsidTr="00FD47C7">
        <w:tc>
          <w:tcPr>
            <w:tcW w:w="534" w:type="dxa"/>
          </w:tcPr>
          <w:p w:rsidR="00134B2C" w:rsidRPr="006F0F86" w:rsidRDefault="00134B2C" w:rsidP="00FD47C7">
            <w:pPr>
              <w:rPr>
                <w:rFonts w:ascii="Calibri" w:hAnsi="Calibri"/>
              </w:rPr>
            </w:pPr>
            <w:r w:rsidRPr="006F0F86">
              <w:rPr>
                <w:rFonts w:ascii="Calibri" w:hAnsi="Calibri"/>
              </w:rPr>
              <w:t>55.</w:t>
            </w:r>
          </w:p>
        </w:tc>
        <w:tc>
          <w:tcPr>
            <w:tcW w:w="1842" w:type="dxa"/>
          </w:tcPr>
          <w:p w:rsidR="00134B2C" w:rsidRPr="006F0F86" w:rsidRDefault="00134B2C" w:rsidP="00FD47C7">
            <w:pPr>
              <w:rPr>
                <w:rFonts w:ascii="Calibri" w:hAnsi="Calibri"/>
              </w:rPr>
            </w:pPr>
            <w:r w:rsidRPr="006F0F86">
              <w:rPr>
                <w:rFonts w:ascii="Calibri" w:hAnsi="Calibri"/>
              </w:rPr>
              <w:t>PN-EN 13589</w:t>
            </w:r>
          </w:p>
        </w:tc>
        <w:tc>
          <w:tcPr>
            <w:tcW w:w="5135" w:type="dxa"/>
          </w:tcPr>
          <w:p w:rsidR="00134B2C" w:rsidRPr="006F0F86" w:rsidRDefault="00134B2C" w:rsidP="00FD47C7">
            <w:pPr>
              <w:rPr>
                <w:rFonts w:ascii="Calibri" w:hAnsi="Calibri"/>
              </w:rPr>
            </w:pPr>
            <w:r w:rsidRPr="006F0F86">
              <w:rPr>
                <w:rFonts w:ascii="Calibri" w:hAnsi="Calibri"/>
              </w:rPr>
              <w:t>Asfalty i lepiszcza asfaltowe – Oznaczanie ciągliwości modyfikowanych asfaltów – Metoda z duktylometrem</w:t>
            </w:r>
          </w:p>
        </w:tc>
      </w:tr>
      <w:tr w:rsidR="00134B2C" w:rsidRPr="006F0F86" w:rsidTr="00FD47C7">
        <w:tc>
          <w:tcPr>
            <w:tcW w:w="534" w:type="dxa"/>
          </w:tcPr>
          <w:p w:rsidR="00134B2C" w:rsidRPr="006F0F86" w:rsidRDefault="00134B2C" w:rsidP="00FD47C7">
            <w:pPr>
              <w:rPr>
                <w:rFonts w:ascii="Calibri" w:hAnsi="Calibri"/>
              </w:rPr>
            </w:pPr>
            <w:r w:rsidRPr="006F0F86">
              <w:rPr>
                <w:rFonts w:ascii="Calibri" w:hAnsi="Calibri"/>
              </w:rPr>
              <w:t>56.</w:t>
            </w:r>
          </w:p>
        </w:tc>
        <w:tc>
          <w:tcPr>
            <w:tcW w:w="1842" w:type="dxa"/>
          </w:tcPr>
          <w:p w:rsidR="00134B2C" w:rsidRPr="006F0F86" w:rsidRDefault="00134B2C" w:rsidP="00FD47C7">
            <w:pPr>
              <w:rPr>
                <w:rFonts w:ascii="Calibri" w:hAnsi="Calibri"/>
              </w:rPr>
            </w:pPr>
            <w:r w:rsidRPr="006F0F86">
              <w:rPr>
                <w:rFonts w:ascii="Calibri" w:hAnsi="Calibri"/>
              </w:rPr>
              <w:t>PN-EN 13614</w:t>
            </w:r>
          </w:p>
        </w:tc>
        <w:tc>
          <w:tcPr>
            <w:tcW w:w="5135" w:type="dxa"/>
          </w:tcPr>
          <w:p w:rsidR="00134B2C" w:rsidRPr="006F0F86" w:rsidRDefault="00134B2C" w:rsidP="00FD47C7">
            <w:pPr>
              <w:rPr>
                <w:rFonts w:ascii="Calibri" w:hAnsi="Calibri"/>
              </w:rPr>
            </w:pPr>
            <w:r w:rsidRPr="006F0F86">
              <w:rPr>
                <w:rFonts w:ascii="Calibri" w:hAnsi="Calibri"/>
              </w:rPr>
              <w:t>Asfalty i lepiszcza asfaltowe – Oznaczanie przyczepności emulsji bitumicznych przez zanurzenie w wodzie – Metoda z kruszywem</w:t>
            </w:r>
          </w:p>
        </w:tc>
      </w:tr>
      <w:tr w:rsidR="00134B2C" w:rsidRPr="006F0F86" w:rsidTr="00FD47C7">
        <w:tc>
          <w:tcPr>
            <w:tcW w:w="534" w:type="dxa"/>
          </w:tcPr>
          <w:p w:rsidR="00134B2C" w:rsidRPr="006F0F86" w:rsidRDefault="00134B2C" w:rsidP="00FD47C7">
            <w:pPr>
              <w:rPr>
                <w:rFonts w:ascii="Calibri" w:hAnsi="Calibri"/>
              </w:rPr>
            </w:pPr>
            <w:r w:rsidRPr="006F0F86">
              <w:rPr>
                <w:rFonts w:ascii="Calibri" w:hAnsi="Calibri"/>
              </w:rPr>
              <w:t>57.</w:t>
            </w:r>
          </w:p>
        </w:tc>
        <w:tc>
          <w:tcPr>
            <w:tcW w:w="1842" w:type="dxa"/>
          </w:tcPr>
          <w:p w:rsidR="00134B2C" w:rsidRPr="006F0F86" w:rsidRDefault="00134B2C" w:rsidP="00FD47C7">
            <w:pPr>
              <w:rPr>
                <w:rFonts w:ascii="Calibri" w:hAnsi="Calibri"/>
              </w:rPr>
            </w:pPr>
            <w:r w:rsidRPr="006F0F86">
              <w:rPr>
                <w:rFonts w:ascii="Calibri" w:hAnsi="Calibri"/>
              </w:rPr>
              <w:t>PN-EN 13703</w:t>
            </w:r>
          </w:p>
        </w:tc>
        <w:tc>
          <w:tcPr>
            <w:tcW w:w="5135" w:type="dxa"/>
          </w:tcPr>
          <w:p w:rsidR="00134B2C" w:rsidRPr="006F0F86" w:rsidRDefault="00134B2C" w:rsidP="00FD47C7">
            <w:pPr>
              <w:rPr>
                <w:rFonts w:ascii="Calibri" w:hAnsi="Calibri"/>
              </w:rPr>
            </w:pPr>
            <w:r w:rsidRPr="006F0F86">
              <w:rPr>
                <w:rFonts w:ascii="Calibri" w:hAnsi="Calibri"/>
              </w:rPr>
              <w:t>Asfalty i lepiszcza asfaltowe – Oznaczanie energii deformacji</w:t>
            </w:r>
          </w:p>
        </w:tc>
      </w:tr>
      <w:tr w:rsidR="00134B2C" w:rsidRPr="006F0F86" w:rsidTr="00FD47C7">
        <w:tc>
          <w:tcPr>
            <w:tcW w:w="534" w:type="dxa"/>
          </w:tcPr>
          <w:p w:rsidR="00134B2C" w:rsidRPr="006F0F86" w:rsidRDefault="00134B2C" w:rsidP="00FD47C7">
            <w:pPr>
              <w:rPr>
                <w:rFonts w:ascii="Calibri" w:hAnsi="Calibri"/>
              </w:rPr>
            </w:pPr>
            <w:r w:rsidRPr="006F0F86">
              <w:rPr>
                <w:rFonts w:ascii="Calibri" w:hAnsi="Calibri"/>
              </w:rPr>
              <w:t>58.</w:t>
            </w:r>
          </w:p>
        </w:tc>
        <w:tc>
          <w:tcPr>
            <w:tcW w:w="1842" w:type="dxa"/>
          </w:tcPr>
          <w:p w:rsidR="00134B2C" w:rsidRPr="006F0F86" w:rsidRDefault="00134B2C" w:rsidP="00FD47C7">
            <w:pPr>
              <w:rPr>
                <w:rFonts w:ascii="Calibri" w:hAnsi="Calibri"/>
              </w:rPr>
            </w:pPr>
            <w:r w:rsidRPr="006F0F86">
              <w:rPr>
                <w:rFonts w:ascii="Calibri" w:hAnsi="Calibri"/>
              </w:rPr>
              <w:t>PN-EN 13808</w:t>
            </w:r>
          </w:p>
        </w:tc>
        <w:tc>
          <w:tcPr>
            <w:tcW w:w="5135" w:type="dxa"/>
          </w:tcPr>
          <w:p w:rsidR="00134B2C" w:rsidRPr="006F0F86" w:rsidRDefault="00134B2C" w:rsidP="00FD47C7">
            <w:pPr>
              <w:rPr>
                <w:rFonts w:ascii="Calibri" w:hAnsi="Calibri"/>
              </w:rPr>
            </w:pPr>
            <w:r w:rsidRPr="006F0F86">
              <w:rPr>
                <w:rFonts w:ascii="Calibri" w:hAnsi="Calibri"/>
              </w:rPr>
              <w:t>Asfalty i lepiszcza asfaltowe – Zasady specyfikacji kationowych emulsji asfaltowych</w:t>
            </w:r>
          </w:p>
        </w:tc>
      </w:tr>
      <w:tr w:rsidR="00134B2C" w:rsidRPr="006F0F86" w:rsidTr="00FD47C7">
        <w:tc>
          <w:tcPr>
            <w:tcW w:w="534" w:type="dxa"/>
          </w:tcPr>
          <w:p w:rsidR="00134B2C" w:rsidRPr="006F0F86" w:rsidRDefault="00134B2C" w:rsidP="00FD47C7">
            <w:pPr>
              <w:rPr>
                <w:rFonts w:ascii="Calibri" w:hAnsi="Calibri"/>
              </w:rPr>
            </w:pPr>
            <w:r w:rsidRPr="006F0F86">
              <w:rPr>
                <w:rFonts w:ascii="Calibri" w:hAnsi="Calibri"/>
              </w:rPr>
              <w:t>59.</w:t>
            </w:r>
          </w:p>
        </w:tc>
        <w:tc>
          <w:tcPr>
            <w:tcW w:w="1842" w:type="dxa"/>
          </w:tcPr>
          <w:p w:rsidR="00134B2C" w:rsidRPr="006F0F86" w:rsidRDefault="00134B2C" w:rsidP="00FD47C7">
            <w:pPr>
              <w:rPr>
                <w:rFonts w:ascii="Calibri" w:hAnsi="Calibri"/>
              </w:rPr>
            </w:pPr>
            <w:r w:rsidRPr="006F0F86">
              <w:rPr>
                <w:rFonts w:ascii="Calibri" w:hAnsi="Calibri"/>
              </w:rPr>
              <w:t>PN-EN 14023</w:t>
            </w:r>
          </w:p>
        </w:tc>
        <w:tc>
          <w:tcPr>
            <w:tcW w:w="5135" w:type="dxa"/>
          </w:tcPr>
          <w:p w:rsidR="00134B2C" w:rsidRPr="006F0F86" w:rsidRDefault="00134B2C" w:rsidP="00FD47C7">
            <w:pPr>
              <w:rPr>
                <w:rFonts w:ascii="Calibri" w:hAnsi="Calibri"/>
              </w:rPr>
            </w:pPr>
            <w:r w:rsidRPr="006F0F86">
              <w:rPr>
                <w:rFonts w:ascii="Calibri" w:hAnsi="Calibri"/>
              </w:rPr>
              <w:t>Asfalty i lepiszcza asfaltowe – Zasady specyfikacji asfaltów modyfikowanych polimerami</w:t>
            </w:r>
          </w:p>
        </w:tc>
      </w:tr>
      <w:tr w:rsidR="00134B2C" w:rsidRPr="006F0F86" w:rsidTr="00FD47C7">
        <w:tc>
          <w:tcPr>
            <w:tcW w:w="534" w:type="dxa"/>
          </w:tcPr>
          <w:p w:rsidR="00134B2C" w:rsidRPr="006F0F86" w:rsidRDefault="00134B2C" w:rsidP="00FD47C7">
            <w:pPr>
              <w:rPr>
                <w:rFonts w:ascii="Calibri" w:hAnsi="Calibri"/>
              </w:rPr>
            </w:pPr>
            <w:r w:rsidRPr="006F0F86">
              <w:rPr>
                <w:rFonts w:ascii="Calibri" w:hAnsi="Calibri"/>
              </w:rPr>
              <w:t>60.</w:t>
            </w:r>
          </w:p>
        </w:tc>
        <w:tc>
          <w:tcPr>
            <w:tcW w:w="1842" w:type="dxa"/>
          </w:tcPr>
          <w:p w:rsidR="00134B2C" w:rsidRPr="006F0F86" w:rsidRDefault="00134B2C" w:rsidP="00FD47C7">
            <w:pPr>
              <w:rPr>
                <w:rFonts w:ascii="Calibri" w:hAnsi="Calibri"/>
              </w:rPr>
            </w:pPr>
            <w:r w:rsidRPr="006F0F86">
              <w:rPr>
                <w:rFonts w:ascii="Calibri" w:hAnsi="Calibri"/>
              </w:rPr>
              <w:t>PN-EN 14188-1</w:t>
            </w:r>
          </w:p>
        </w:tc>
        <w:tc>
          <w:tcPr>
            <w:tcW w:w="5135" w:type="dxa"/>
          </w:tcPr>
          <w:p w:rsidR="00134B2C" w:rsidRPr="006F0F86" w:rsidRDefault="00134B2C" w:rsidP="00FD47C7">
            <w:pPr>
              <w:rPr>
                <w:rFonts w:ascii="Calibri" w:hAnsi="Calibri"/>
              </w:rPr>
            </w:pPr>
            <w:r w:rsidRPr="006F0F86">
              <w:rPr>
                <w:rFonts w:ascii="Calibri" w:hAnsi="Calibri"/>
              </w:rPr>
              <w:t>Wypełniacze złączy i zalewy – Część 1: Specyfikacja zalew na gorąco</w:t>
            </w:r>
          </w:p>
        </w:tc>
      </w:tr>
      <w:tr w:rsidR="00134B2C" w:rsidRPr="006F0F86" w:rsidTr="00FD47C7">
        <w:tc>
          <w:tcPr>
            <w:tcW w:w="534" w:type="dxa"/>
          </w:tcPr>
          <w:p w:rsidR="00134B2C" w:rsidRPr="006F0F86" w:rsidRDefault="00134B2C" w:rsidP="00FD47C7">
            <w:pPr>
              <w:rPr>
                <w:rFonts w:ascii="Calibri" w:hAnsi="Calibri"/>
              </w:rPr>
            </w:pPr>
            <w:r w:rsidRPr="006F0F86">
              <w:rPr>
                <w:rFonts w:ascii="Calibri" w:hAnsi="Calibri"/>
              </w:rPr>
              <w:t>61.</w:t>
            </w:r>
          </w:p>
        </w:tc>
        <w:tc>
          <w:tcPr>
            <w:tcW w:w="1842" w:type="dxa"/>
          </w:tcPr>
          <w:p w:rsidR="00134B2C" w:rsidRPr="006F0F86" w:rsidRDefault="00134B2C" w:rsidP="00FD47C7">
            <w:pPr>
              <w:rPr>
                <w:rFonts w:ascii="Calibri" w:hAnsi="Calibri"/>
              </w:rPr>
            </w:pPr>
            <w:r w:rsidRPr="006F0F86">
              <w:rPr>
                <w:rFonts w:ascii="Calibri" w:hAnsi="Calibri"/>
              </w:rPr>
              <w:t>PN-EN 14188-2</w:t>
            </w:r>
          </w:p>
        </w:tc>
        <w:tc>
          <w:tcPr>
            <w:tcW w:w="5135" w:type="dxa"/>
          </w:tcPr>
          <w:p w:rsidR="00134B2C" w:rsidRPr="006F0F86" w:rsidRDefault="00134B2C" w:rsidP="00FD47C7">
            <w:pPr>
              <w:rPr>
                <w:rFonts w:ascii="Calibri" w:hAnsi="Calibri"/>
              </w:rPr>
            </w:pPr>
            <w:r w:rsidRPr="006F0F86">
              <w:rPr>
                <w:rFonts w:ascii="Calibri" w:hAnsi="Calibri"/>
              </w:rPr>
              <w:t>Wypełniacze złączy i zalewy – Część 2: Specyfikacja zalew na zimno</w:t>
            </w:r>
          </w:p>
        </w:tc>
      </w:tr>
      <w:tr w:rsidR="00134B2C" w:rsidRPr="006F0F86" w:rsidTr="00FD47C7">
        <w:tc>
          <w:tcPr>
            <w:tcW w:w="534" w:type="dxa"/>
          </w:tcPr>
          <w:p w:rsidR="00134B2C" w:rsidRPr="006F0F86" w:rsidRDefault="00134B2C" w:rsidP="00FD47C7">
            <w:pPr>
              <w:rPr>
                <w:rFonts w:ascii="Calibri" w:hAnsi="Calibri"/>
              </w:rPr>
            </w:pPr>
            <w:r w:rsidRPr="006F0F86">
              <w:rPr>
                <w:rFonts w:ascii="Calibri" w:hAnsi="Calibri"/>
              </w:rPr>
              <w:t>62.</w:t>
            </w:r>
          </w:p>
        </w:tc>
        <w:tc>
          <w:tcPr>
            <w:tcW w:w="1842" w:type="dxa"/>
          </w:tcPr>
          <w:p w:rsidR="00134B2C" w:rsidRPr="006F0F86" w:rsidRDefault="00134B2C" w:rsidP="00FD47C7">
            <w:pPr>
              <w:rPr>
                <w:rFonts w:ascii="Calibri" w:hAnsi="Calibri"/>
              </w:rPr>
            </w:pPr>
            <w:r w:rsidRPr="006F0F86">
              <w:rPr>
                <w:rFonts w:ascii="Calibri" w:hAnsi="Calibri"/>
              </w:rPr>
              <w:t>PN-EN 22592</w:t>
            </w:r>
          </w:p>
        </w:tc>
        <w:tc>
          <w:tcPr>
            <w:tcW w:w="5135" w:type="dxa"/>
          </w:tcPr>
          <w:p w:rsidR="00134B2C" w:rsidRPr="006F0F86" w:rsidRDefault="00134B2C" w:rsidP="00FD47C7">
            <w:pPr>
              <w:rPr>
                <w:rFonts w:ascii="Calibri" w:hAnsi="Calibri"/>
              </w:rPr>
            </w:pPr>
            <w:r w:rsidRPr="006F0F86">
              <w:rPr>
                <w:rFonts w:ascii="Calibri" w:hAnsi="Calibri"/>
              </w:rPr>
              <w:t>Przetwory naftowe – Oznaczanie temperatury zapłonu i palenia – Pomiar metodą otwartego tygla Clevelanda</w:t>
            </w:r>
          </w:p>
        </w:tc>
      </w:tr>
      <w:tr w:rsidR="00134B2C" w:rsidRPr="006F0F86" w:rsidTr="00FD47C7">
        <w:tc>
          <w:tcPr>
            <w:tcW w:w="534" w:type="dxa"/>
          </w:tcPr>
          <w:p w:rsidR="00134B2C" w:rsidRPr="006F0F86" w:rsidRDefault="00134B2C" w:rsidP="00FD47C7">
            <w:pPr>
              <w:rPr>
                <w:rFonts w:ascii="Calibri" w:hAnsi="Calibri"/>
              </w:rPr>
            </w:pPr>
            <w:r w:rsidRPr="006F0F86">
              <w:rPr>
                <w:rFonts w:ascii="Calibri" w:hAnsi="Calibri"/>
              </w:rPr>
              <w:t>63.</w:t>
            </w:r>
          </w:p>
        </w:tc>
        <w:tc>
          <w:tcPr>
            <w:tcW w:w="1842" w:type="dxa"/>
          </w:tcPr>
          <w:p w:rsidR="00134B2C" w:rsidRPr="006F0F86" w:rsidRDefault="00134B2C" w:rsidP="00FD47C7">
            <w:pPr>
              <w:rPr>
                <w:rFonts w:ascii="Calibri" w:hAnsi="Calibri"/>
              </w:rPr>
            </w:pPr>
            <w:r w:rsidRPr="006F0F86">
              <w:rPr>
                <w:rFonts w:ascii="Calibri" w:hAnsi="Calibri"/>
              </w:rPr>
              <w:t>PN-EN ISO 2592</w:t>
            </w:r>
          </w:p>
        </w:tc>
        <w:tc>
          <w:tcPr>
            <w:tcW w:w="5135" w:type="dxa"/>
          </w:tcPr>
          <w:p w:rsidR="00134B2C" w:rsidRPr="006F0F86" w:rsidRDefault="00134B2C" w:rsidP="00FD47C7">
            <w:pPr>
              <w:rPr>
                <w:rFonts w:ascii="Calibri" w:hAnsi="Calibri"/>
              </w:rPr>
            </w:pPr>
            <w:r w:rsidRPr="006F0F86">
              <w:rPr>
                <w:rFonts w:ascii="Calibri" w:hAnsi="Calibri"/>
              </w:rPr>
              <w:t>Oznaczanie temperatury zapłonu i palenia – Metoda otwartego tygla Clevelanda</w:t>
            </w:r>
          </w:p>
        </w:tc>
      </w:tr>
    </w:tbl>
    <w:p w:rsidR="00134B2C" w:rsidRPr="006F0F86" w:rsidRDefault="00134B2C" w:rsidP="00134B2C">
      <w:pPr>
        <w:rPr>
          <w:rFonts w:ascii="Calibri" w:hAnsi="Calibri"/>
        </w:rPr>
      </w:pPr>
      <w:r w:rsidRPr="00EC730D">
        <w:rPr>
          <w:rFonts w:ascii="Calibri" w:hAnsi="Calibri"/>
          <w:b/>
        </w:rPr>
        <w:t>10.3.</w:t>
      </w:r>
      <w:r w:rsidRPr="006F0F86">
        <w:rPr>
          <w:rFonts w:ascii="Calibri" w:hAnsi="Calibri"/>
        </w:rPr>
        <w:t xml:space="preserve"> Wymagania techniczne </w:t>
      </w:r>
    </w:p>
    <w:p w:rsidR="00134B2C" w:rsidRPr="006F0F86" w:rsidRDefault="00134B2C" w:rsidP="00134B2C">
      <w:pPr>
        <w:rPr>
          <w:rFonts w:ascii="Calibri" w:hAnsi="Calibri"/>
        </w:rPr>
      </w:pPr>
      <w:r>
        <w:rPr>
          <w:rFonts w:ascii="Calibri" w:hAnsi="Calibri"/>
        </w:rPr>
        <w:t xml:space="preserve">64. </w:t>
      </w:r>
      <w:r w:rsidRPr="006F0F86">
        <w:rPr>
          <w:rFonts w:ascii="Calibri" w:hAnsi="Calibri"/>
        </w:rPr>
        <w:t>WT-1 Kruszywa 2010. Kruszywa do mieszanek mineralno-asfaltowych i powierzchniowych utrwaleń na drogach krajowych - Zarządzenie nr 102 Generalnego Dyrektora Dróg Krajowych i Autostrad z dnia 19 listopada 2010 r.</w:t>
      </w:r>
    </w:p>
    <w:p w:rsidR="00134B2C" w:rsidRPr="006F0F86" w:rsidRDefault="00134B2C" w:rsidP="00134B2C">
      <w:pPr>
        <w:rPr>
          <w:rFonts w:ascii="Calibri" w:hAnsi="Calibri"/>
        </w:rPr>
      </w:pPr>
      <w:r>
        <w:rPr>
          <w:rFonts w:ascii="Calibri" w:hAnsi="Calibri"/>
        </w:rPr>
        <w:t xml:space="preserve">65. </w:t>
      </w:r>
      <w:r w:rsidRPr="006F0F86">
        <w:rPr>
          <w:rFonts w:ascii="Calibri" w:hAnsi="Calibri"/>
        </w:rPr>
        <w:t>WT-2 Nawierzchnie asfaltowe 2010. Nawierzchnie asfaltowe na drogach krajowych - Zarządzenie nr 102 Generalnego Dyrektora Dróg Krajowych i Autostrad z dnia 19 listopada 2011 r.</w:t>
      </w:r>
    </w:p>
    <w:p w:rsidR="00134B2C" w:rsidRPr="006F0F86" w:rsidRDefault="00134B2C" w:rsidP="00134B2C">
      <w:pPr>
        <w:rPr>
          <w:rFonts w:ascii="Calibri" w:hAnsi="Calibri"/>
        </w:rPr>
      </w:pPr>
      <w:r>
        <w:rPr>
          <w:rFonts w:ascii="Calibri" w:hAnsi="Calibri"/>
        </w:rPr>
        <w:t xml:space="preserve">66. </w:t>
      </w:r>
      <w:r w:rsidRPr="006F0F86">
        <w:rPr>
          <w:rFonts w:ascii="Calibri" w:hAnsi="Calibri"/>
        </w:rPr>
        <w:t>WT-3 Emulsje asfaltowe 2009. Kationowe emulsje asfaltowe na drogach publicznych</w:t>
      </w:r>
      <w:r>
        <w:rPr>
          <w:rFonts w:ascii="Calibri" w:hAnsi="Calibri"/>
        </w:rPr>
        <w:t>.</w:t>
      </w:r>
    </w:p>
    <w:p w:rsidR="00134B2C" w:rsidRPr="006F0F86" w:rsidRDefault="00134B2C" w:rsidP="00134B2C">
      <w:pPr>
        <w:rPr>
          <w:rFonts w:ascii="Calibri" w:hAnsi="Calibri"/>
        </w:rPr>
      </w:pPr>
      <w:r w:rsidRPr="0020763A">
        <w:rPr>
          <w:rFonts w:ascii="Calibri" w:hAnsi="Calibri"/>
          <w:b/>
        </w:rPr>
        <w:t>10.4.</w:t>
      </w:r>
      <w:r w:rsidRPr="006F0F86">
        <w:rPr>
          <w:rFonts w:ascii="Calibri" w:hAnsi="Calibri"/>
        </w:rPr>
        <w:t xml:space="preserve"> Inne dokumenty</w:t>
      </w:r>
    </w:p>
    <w:p w:rsidR="00134B2C" w:rsidRPr="006F0F86" w:rsidRDefault="00134B2C" w:rsidP="00134B2C">
      <w:pPr>
        <w:rPr>
          <w:rFonts w:ascii="Calibri" w:hAnsi="Calibri"/>
        </w:rPr>
      </w:pPr>
      <w:r>
        <w:rPr>
          <w:rFonts w:ascii="Calibri" w:hAnsi="Calibri"/>
        </w:rPr>
        <w:t xml:space="preserve">67. </w:t>
      </w:r>
      <w:r w:rsidRPr="006F0F86">
        <w:rPr>
          <w:rFonts w:ascii="Calibri" w:hAnsi="Calibri"/>
        </w:rPr>
        <w:t>Rozporządzenie Ministra Transportu i Gospodarki Morskiej z dnia 2 marca 1999 r. w sprawie warunków technicznych, jakim powinny odpowiadać drogi publiczne i ich usytuowanie (Dz.U. nr 43, poz. 430)</w:t>
      </w:r>
      <w:r>
        <w:rPr>
          <w:rFonts w:ascii="Calibri" w:hAnsi="Calibri"/>
        </w:rPr>
        <w:t>.</w:t>
      </w:r>
    </w:p>
    <w:p w:rsidR="00134B2C" w:rsidRPr="006F0F86" w:rsidRDefault="00134B2C" w:rsidP="00134B2C">
      <w:pPr>
        <w:rPr>
          <w:rFonts w:ascii="Calibri" w:hAnsi="Calibri"/>
        </w:rPr>
      </w:pPr>
      <w:r>
        <w:rPr>
          <w:rFonts w:ascii="Calibri" w:hAnsi="Calibri"/>
        </w:rPr>
        <w:t xml:space="preserve">68. </w:t>
      </w:r>
      <w:r w:rsidRPr="006F0F86">
        <w:rPr>
          <w:rFonts w:ascii="Calibri" w:hAnsi="Calibri"/>
        </w:rPr>
        <w:t>Katalog typowych konstrukcji nawierzchni podatnych i półsztywnych. Generalna Dyrekcja Dróg Publicznych – Instytut Badawczy Dróg i Mostów, Warszawa 1997</w:t>
      </w:r>
      <w:r>
        <w:rPr>
          <w:rFonts w:ascii="Calibri" w:hAnsi="Calibri"/>
        </w:rPr>
        <w:t>.</w:t>
      </w:r>
    </w:p>
    <w:p w:rsidR="00864D7C" w:rsidRDefault="00864D7C" w:rsidP="00864D7C">
      <w:bookmarkStart w:id="1493" w:name="_Toc404983741"/>
    </w:p>
    <w:p w:rsidR="00864D7C" w:rsidRDefault="00864D7C" w:rsidP="00864D7C"/>
    <w:p w:rsidR="00864D7C" w:rsidRDefault="00864D7C" w:rsidP="00864D7C"/>
    <w:p w:rsidR="00864D7C" w:rsidRDefault="00864D7C" w:rsidP="00864D7C"/>
    <w:p w:rsidR="00864D7C" w:rsidRDefault="00864D7C" w:rsidP="00864D7C"/>
    <w:p w:rsidR="00864D7C" w:rsidRDefault="00864D7C" w:rsidP="00864D7C"/>
    <w:p w:rsidR="00864D7C" w:rsidRDefault="00864D7C" w:rsidP="00864D7C"/>
    <w:p w:rsidR="00864D7C" w:rsidRDefault="00864D7C" w:rsidP="00864D7C"/>
    <w:p w:rsidR="00864D7C" w:rsidRDefault="00864D7C" w:rsidP="00864D7C"/>
    <w:p w:rsidR="00864D7C" w:rsidRPr="00F110DD" w:rsidRDefault="00864D7C" w:rsidP="00864D7C"/>
    <w:p w:rsidR="00864D7C" w:rsidRDefault="00864D7C" w:rsidP="00864D7C">
      <w:pPr>
        <w:pStyle w:val="Nagwek1"/>
        <w:jc w:val="center"/>
      </w:pPr>
    </w:p>
    <w:p w:rsidR="00864D7C" w:rsidRDefault="00864D7C" w:rsidP="00864D7C">
      <w:pPr>
        <w:pStyle w:val="Nagwek1"/>
        <w:jc w:val="center"/>
      </w:pPr>
    </w:p>
    <w:p w:rsidR="00864D7C" w:rsidRDefault="00864D7C" w:rsidP="00864D7C">
      <w:pPr>
        <w:pStyle w:val="Nagwek1"/>
        <w:jc w:val="center"/>
      </w:pPr>
    </w:p>
    <w:p w:rsidR="00141829" w:rsidRDefault="00141829" w:rsidP="00141829"/>
    <w:p w:rsidR="00141829" w:rsidRDefault="00141829" w:rsidP="00141829"/>
    <w:p w:rsidR="00141829" w:rsidRDefault="00141829" w:rsidP="00141829"/>
    <w:p w:rsidR="00141829" w:rsidRDefault="00141829" w:rsidP="00141829"/>
    <w:p w:rsidR="00141829" w:rsidRDefault="00141829" w:rsidP="00141829"/>
    <w:p w:rsidR="00141829" w:rsidRDefault="00141829" w:rsidP="00141829"/>
    <w:p w:rsidR="00141829" w:rsidRDefault="00141829" w:rsidP="00141829"/>
    <w:p w:rsidR="00141829" w:rsidRDefault="00141829" w:rsidP="00141829"/>
    <w:p w:rsidR="00141829" w:rsidRDefault="00141829" w:rsidP="00141829"/>
    <w:p w:rsidR="00141829" w:rsidRDefault="00141829" w:rsidP="00141829"/>
    <w:p w:rsidR="00141829" w:rsidRDefault="00141829" w:rsidP="00141829"/>
    <w:p w:rsidR="00141829" w:rsidRDefault="00141829" w:rsidP="00141829"/>
    <w:p w:rsidR="00141829" w:rsidRDefault="00141829" w:rsidP="00141829"/>
    <w:p w:rsidR="00141829" w:rsidRDefault="00141829" w:rsidP="00141829"/>
    <w:p w:rsidR="00141829" w:rsidRDefault="00141829" w:rsidP="00141829"/>
    <w:p w:rsidR="00141829" w:rsidRDefault="00141829" w:rsidP="00141829"/>
    <w:p w:rsidR="00141829" w:rsidRDefault="00141829" w:rsidP="00141829"/>
    <w:p w:rsidR="00141829" w:rsidRDefault="00141829" w:rsidP="00141829"/>
    <w:p w:rsidR="00141829" w:rsidRDefault="00141829" w:rsidP="00141829"/>
    <w:p w:rsidR="00141829" w:rsidRDefault="00141829" w:rsidP="00141829"/>
    <w:p w:rsidR="00141829" w:rsidRDefault="00141829" w:rsidP="00141829"/>
    <w:p w:rsidR="00141829" w:rsidRDefault="00141829" w:rsidP="00141829"/>
    <w:p w:rsidR="000C27BF" w:rsidRDefault="000C27BF" w:rsidP="000C27BF">
      <w:pPr>
        <w:spacing w:after="120"/>
        <w:ind w:right="-142"/>
      </w:pPr>
    </w:p>
    <w:p w:rsidR="008F20A4" w:rsidRDefault="008F20A4" w:rsidP="000C27BF">
      <w:pPr>
        <w:spacing w:after="120"/>
        <w:ind w:right="-142"/>
      </w:pPr>
    </w:p>
    <w:p w:rsidR="000C27BF" w:rsidRDefault="000C27BF" w:rsidP="000C27BF">
      <w:pPr>
        <w:spacing w:after="120"/>
        <w:ind w:right="-142"/>
      </w:pPr>
    </w:p>
    <w:p w:rsidR="000C27BF" w:rsidRDefault="000C27BF" w:rsidP="000C27BF">
      <w:pPr>
        <w:spacing w:after="120"/>
        <w:ind w:right="-142"/>
      </w:pPr>
    </w:p>
    <w:p w:rsidR="000C27BF" w:rsidRDefault="000C27BF" w:rsidP="000C27BF">
      <w:pPr>
        <w:spacing w:after="120"/>
        <w:ind w:right="-142"/>
      </w:pPr>
    </w:p>
    <w:p w:rsidR="000C27BF" w:rsidRPr="00EC30F3" w:rsidRDefault="000C27BF" w:rsidP="000C27BF">
      <w:pPr>
        <w:pStyle w:val="Nagwek1"/>
        <w:jc w:val="center"/>
      </w:pPr>
      <w:bookmarkStart w:id="1494" w:name="_Toc416565719"/>
      <w:bookmarkStart w:id="1495" w:name="_Toc438237730"/>
      <w:r w:rsidRPr="00EC30F3">
        <w:t>D–05.03.05b  NAWIERZCHNIA Z BETONU ASFALTOWEGO. WARSTWA WIĄŻĄCA i WYRÓWNAWCZA wg WT-1 i WT-2 z 2010 r.</w:t>
      </w:r>
      <w:bookmarkEnd w:id="1494"/>
      <w:bookmarkEnd w:id="1495"/>
    </w:p>
    <w:p w:rsidR="000C27BF" w:rsidRPr="00B8717B" w:rsidRDefault="000C27BF" w:rsidP="000C27BF">
      <w:pPr>
        <w:rPr>
          <w:rFonts w:ascii="Calibri" w:hAnsi="Calibri"/>
        </w:rPr>
      </w:pPr>
    </w:p>
    <w:p w:rsidR="000C27BF" w:rsidRPr="00B8717B" w:rsidRDefault="000C27BF" w:rsidP="000C27BF">
      <w:pPr>
        <w:rPr>
          <w:rFonts w:ascii="Calibri" w:hAnsi="Calibri"/>
        </w:rPr>
      </w:pPr>
    </w:p>
    <w:p w:rsidR="000C27BF" w:rsidRPr="00B8717B" w:rsidRDefault="000C27BF" w:rsidP="000C27BF">
      <w:pPr>
        <w:rPr>
          <w:rFonts w:ascii="Calibri" w:hAnsi="Calibri"/>
        </w:rPr>
      </w:pPr>
    </w:p>
    <w:p w:rsidR="000C27BF" w:rsidRPr="00B8717B" w:rsidRDefault="000C27BF" w:rsidP="000C27BF">
      <w:pPr>
        <w:rPr>
          <w:rFonts w:ascii="Calibri" w:hAnsi="Calibri"/>
        </w:rPr>
      </w:pPr>
    </w:p>
    <w:p w:rsidR="000C27BF" w:rsidRDefault="000C27BF" w:rsidP="000C27BF">
      <w:pPr>
        <w:rPr>
          <w:rFonts w:ascii="Calibri" w:hAnsi="Calibri"/>
          <w:b/>
        </w:rPr>
      </w:pPr>
    </w:p>
    <w:p w:rsidR="000C27BF" w:rsidRDefault="000C27BF" w:rsidP="000C27BF">
      <w:pPr>
        <w:rPr>
          <w:rFonts w:ascii="Calibri" w:hAnsi="Calibri"/>
          <w:b/>
        </w:rPr>
      </w:pPr>
    </w:p>
    <w:p w:rsidR="000C27BF" w:rsidRDefault="000C27BF" w:rsidP="000C27BF">
      <w:pPr>
        <w:rPr>
          <w:rFonts w:ascii="Calibri" w:hAnsi="Calibri"/>
          <w:b/>
        </w:rPr>
      </w:pPr>
    </w:p>
    <w:p w:rsidR="000C27BF" w:rsidRDefault="000C27BF" w:rsidP="000C27BF">
      <w:pPr>
        <w:rPr>
          <w:rFonts w:ascii="Calibri" w:hAnsi="Calibri"/>
          <w:b/>
        </w:rPr>
      </w:pPr>
    </w:p>
    <w:p w:rsidR="000C27BF" w:rsidRDefault="000C27BF" w:rsidP="000C27BF">
      <w:pPr>
        <w:rPr>
          <w:rFonts w:ascii="Calibri" w:hAnsi="Calibri"/>
          <w:b/>
        </w:rPr>
      </w:pPr>
    </w:p>
    <w:p w:rsidR="000C27BF" w:rsidRDefault="000C27BF" w:rsidP="000C27BF">
      <w:pPr>
        <w:rPr>
          <w:rFonts w:ascii="Calibri" w:hAnsi="Calibri"/>
          <w:b/>
        </w:rPr>
      </w:pPr>
    </w:p>
    <w:p w:rsidR="000C27BF" w:rsidRDefault="000C27BF" w:rsidP="000C27BF">
      <w:pPr>
        <w:rPr>
          <w:rFonts w:ascii="Calibri" w:hAnsi="Calibri"/>
          <w:b/>
        </w:rPr>
      </w:pPr>
    </w:p>
    <w:p w:rsidR="000C27BF" w:rsidRDefault="000C27BF" w:rsidP="000C27BF">
      <w:pPr>
        <w:rPr>
          <w:rFonts w:ascii="Calibri" w:hAnsi="Calibri"/>
          <w:b/>
        </w:rPr>
      </w:pPr>
    </w:p>
    <w:p w:rsidR="000C27BF" w:rsidRDefault="000C27BF" w:rsidP="000C27BF">
      <w:pPr>
        <w:rPr>
          <w:rFonts w:ascii="Calibri" w:hAnsi="Calibri"/>
          <w:b/>
        </w:rPr>
      </w:pPr>
    </w:p>
    <w:p w:rsidR="000C27BF" w:rsidRDefault="000C27BF" w:rsidP="000C27BF">
      <w:pPr>
        <w:rPr>
          <w:rFonts w:ascii="Calibri" w:hAnsi="Calibri"/>
          <w:b/>
        </w:rPr>
      </w:pPr>
    </w:p>
    <w:p w:rsidR="000C27BF" w:rsidRDefault="000C27BF" w:rsidP="000C27BF">
      <w:pPr>
        <w:rPr>
          <w:rFonts w:ascii="Calibri" w:hAnsi="Calibri"/>
          <w:b/>
        </w:rPr>
      </w:pPr>
    </w:p>
    <w:p w:rsidR="000C27BF" w:rsidRDefault="000C27BF" w:rsidP="000C27BF">
      <w:pPr>
        <w:rPr>
          <w:rFonts w:ascii="Calibri" w:hAnsi="Calibri"/>
          <w:b/>
        </w:rPr>
      </w:pPr>
    </w:p>
    <w:p w:rsidR="000C27BF" w:rsidRDefault="000C27BF" w:rsidP="000C27BF">
      <w:pPr>
        <w:rPr>
          <w:rFonts w:ascii="Calibri" w:hAnsi="Calibri"/>
          <w:b/>
        </w:rPr>
      </w:pPr>
    </w:p>
    <w:p w:rsidR="000C27BF" w:rsidRDefault="000C27BF" w:rsidP="000C27BF">
      <w:pPr>
        <w:rPr>
          <w:rFonts w:ascii="Calibri" w:hAnsi="Calibri"/>
          <w:b/>
        </w:rPr>
      </w:pPr>
    </w:p>
    <w:p w:rsidR="000C27BF" w:rsidRDefault="000C27BF" w:rsidP="000C27BF">
      <w:pPr>
        <w:rPr>
          <w:rFonts w:ascii="Calibri" w:hAnsi="Calibri"/>
          <w:b/>
        </w:rPr>
      </w:pPr>
    </w:p>
    <w:p w:rsidR="000C27BF" w:rsidRDefault="000C27BF" w:rsidP="000C27BF">
      <w:pPr>
        <w:rPr>
          <w:rFonts w:ascii="Calibri" w:hAnsi="Calibri"/>
          <w:b/>
        </w:rPr>
      </w:pPr>
    </w:p>
    <w:p w:rsidR="000C27BF" w:rsidRDefault="000C27BF" w:rsidP="000C27BF">
      <w:pPr>
        <w:rPr>
          <w:rFonts w:ascii="Calibri" w:hAnsi="Calibri"/>
          <w:b/>
        </w:rPr>
      </w:pPr>
    </w:p>
    <w:p w:rsidR="000C27BF" w:rsidRDefault="000C27BF" w:rsidP="000C27BF">
      <w:pPr>
        <w:rPr>
          <w:rFonts w:ascii="Calibri" w:hAnsi="Calibri"/>
          <w:b/>
        </w:rPr>
      </w:pPr>
    </w:p>
    <w:p w:rsidR="000C27BF" w:rsidRDefault="000C27BF" w:rsidP="000C27BF">
      <w:pPr>
        <w:rPr>
          <w:rFonts w:ascii="Calibri" w:hAnsi="Calibri"/>
          <w:b/>
        </w:rPr>
      </w:pPr>
    </w:p>
    <w:p w:rsidR="000C27BF" w:rsidRDefault="000C27BF" w:rsidP="000C27BF">
      <w:pPr>
        <w:rPr>
          <w:rFonts w:ascii="Calibri" w:hAnsi="Calibri"/>
          <w:b/>
        </w:rPr>
      </w:pPr>
    </w:p>
    <w:p w:rsidR="000C27BF" w:rsidRDefault="000C27BF" w:rsidP="000C27BF">
      <w:pPr>
        <w:rPr>
          <w:rFonts w:ascii="Calibri" w:hAnsi="Calibri"/>
          <w:b/>
        </w:rPr>
      </w:pPr>
    </w:p>
    <w:p w:rsidR="000C27BF" w:rsidRDefault="000C27BF" w:rsidP="000C27BF">
      <w:pPr>
        <w:rPr>
          <w:rFonts w:ascii="Calibri" w:hAnsi="Calibri"/>
          <w:b/>
        </w:rPr>
      </w:pPr>
    </w:p>
    <w:p w:rsidR="000C27BF" w:rsidRDefault="000C27BF" w:rsidP="000C27BF">
      <w:pPr>
        <w:rPr>
          <w:rFonts w:ascii="Calibri" w:hAnsi="Calibri"/>
          <w:b/>
        </w:rPr>
      </w:pPr>
    </w:p>
    <w:p w:rsidR="000C27BF" w:rsidRDefault="000C27BF" w:rsidP="000C27BF">
      <w:pPr>
        <w:rPr>
          <w:rFonts w:ascii="Calibri" w:hAnsi="Calibri"/>
          <w:b/>
        </w:rPr>
      </w:pPr>
    </w:p>
    <w:p w:rsidR="000C27BF" w:rsidRDefault="000C27BF" w:rsidP="000C27BF">
      <w:pPr>
        <w:rPr>
          <w:rFonts w:ascii="Calibri" w:hAnsi="Calibri"/>
          <w:b/>
        </w:rPr>
      </w:pPr>
    </w:p>
    <w:p w:rsidR="000C27BF" w:rsidRDefault="000C27BF" w:rsidP="000C27BF">
      <w:pPr>
        <w:rPr>
          <w:rFonts w:ascii="Calibri" w:hAnsi="Calibri"/>
          <w:b/>
        </w:rPr>
      </w:pPr>
    </w:p>
    <w:p w:rsidR="000C27BF" w:rsidRDefault="000C27BF" w:rsidP="000C27BF">
      <w:pPr>
        <w:rPr>
          <w:rFonts w:ascii="Calibri" w:hAnsi="Calibri"/>
          <w:b/>
        </w:rPr>
      </w:pPr>
    </w:p>
    <w:p w:rsidR="000C27BF" w:rsidRDefault="000C27BF" w:rsidP="000C27BF">
      <w:pPr>
        <w:rPr>
          <w:rFonts w:ascii="Calibri" w:hAnsi="Calibri"/>
          <w:b/>
        </w:rPr>
      </w:pPr>
    </w:p>
    <w:p w:rsidR="000C27BF" w:rsidRDefault="000C27BF" w:rsidP="000C27BF">
      <w:pPr>
        <w:rPr>
          <w:rFonts w:ascii="Calibri" w:hAnsi="Calibri"/>
          <w:b/>
        </w:rPr>
      </w:pPr>
    </w:p>
    <w:p w:rsidR="000C27BF" w:rsidRDefault="000C27BF" w:rsidP="000C27BF">
      <w:pPr>
        <w:rPr>
          <w:rFonts w:ascii="Calibri" w:hAnsi="Calibri"/>
          <w:b/>
        </w:rPr>
      </w:pPr>
    </w:p>
    <w:p w:rsidR="000C27BF" w:rsidRDefault="000C27BF" w:rsidP="000C27BF">
      <w:pPr>
        <w:rPr>
          <w:rFonts w:ascii="Calibri" w:hAnsi="Calibri"/>
          <w:b/>
        </w:rPr>
      </w:pPr>
    </w:p>
    <w:p w:rsidR="000C27BF" w:rsidRDefault="000C27BF" w:rsidP="000C27BF">
      <w:pPr>
        <w:rPr>
          <w:rFonts w:ascii="Calibri" w:hAnsi="Calibri"/>
          <w:b/>
        </w:rPr>
      </w:pPr>
    </w:p>
    <w:p w:rsidR="000C27BF" w:rsidRDefault="000C27BF" w:rsidP="000C27BF">
      <w:pPr>
        <w:rPr>
          <w:rFonts w:ascii="Calibri" w:hAnsi="Calibri"/>
          <w:b/>
        </w:rPr>
      </w:pPr>
    </w:p>
    <w:p w:rsidR="000C27BF" w:rsidRDefault="000C27BF" w:rsidP="000C27BF">
      <w:pPr>
        <w:rPr>
          <w:rFonts w:ascii="Calibri" w:hAnsi="Calibri"/>
          <w:b/>
        </w:rPr>
      </w:pPr>
    </w:p>
    <w:p w:rsidR="000C27BF" w:rsidRPr="0044797E" w:rsidRDefault="000C27BF" w:rsidP="000C27BF">
      <w:pPr>
        <w:rPr>
          <w:rFonts w:ascii="Calibri" w:hAnsi="Calibri"/>
          <w:b/>
        </w:rPr>
      </w:pPr>
      <w:r w:rsidRPr="0044797E">
        <w:rPr>
          <w:rFonts w:ascii="Calibri" w:hAnsi="Calibri"/>
          <w:b/>
        </w:rPr>
        <w:lastRenderedPageBreak/>
        <w:t>1. WSTĘP</w:t>
      </w:r>
    </w:p>
    <w:p w:rsidR="000C27BF" w:rsidRPr="00B8717B" w:rsidRDefault="000C27BF" w:rsidP="000C27BF">
      <w:pPr>
        <w:rPr>
          <w:rFonts w:ascii="Calibri" w:hAnsi="Calibri"/>
        </w:rPr>
      </w:pPr>
      <w:r w:rsidRPr="0044797E">
        <w:rPr>
          <w:rFonts w:ascii="Calibri" w:hAnsi="Calibri"/>
          <w:b/>
        </w:rPr>
        <w:t>1.1.</w:t>
      </w:r>
      <w:r>
        <w:rPr>
          <w:rFonts w:ascii="Calibri" w:hAnsi="Calibri"/>
        </w:rPr>
        <w:t xml:space="preserve"> Przedmiot </w:t>
      </w:r>
      <w:r w:rsidRPr="00B8717B">
        <w:rPr>
          <w:rFonts w:ascii="Calibri" w:hAnsi="Calibri"/>
        </w:rPr>
        <w:t>ST</w:t>
      </w:r>
    </w:p>
    <w:p w:rsidR="000C27BF" w:rsidRPr="00B8717B" w:rsidRDefault="000C27BF" w:rsidP="000C27BF">
      <w:pPr>
        <w:rPr>
          <w:rFonts w:ascii="Calibri" w:hAnsi="Calibri"/>
        </w:rPr>
      </w:pPr>
      <w:r>
        <w:rPr>
          <w:rFonts w:ascii="Calibri" w:hAnsi="Calibri"/>
        </w:rPr>
        <w:tab/>
        <w:t>Przedmiotem niniejszej specyfikacji technicznej (</w:t>
      </w:r>
      <w:r w:rsidRPr="00B8717B">
        <w:rPr>
          <w:rFonts w:ascii="Calibri" w:hAnsi="Calibri"/>
        </w:rPr>
        <w:t>ST) są wymagania dotyczące wykonania i odbioru robót związanych z wykonaniem warstwy wiążącej i wyrównawczej z betonu asfaltowego.</w:t>
      </w:r>
    </w:p>
    <w:p w:rsidR="000C27BF" w:rsidRPr="00B8717B" w:rsidRDefault="000C27BF" w:rsidP="000C27BF">
      <w:pPr>
        <w:rPr>
          <w:rFonts w:ascii="Calibri" w:hAnsi="Calibri"/>
        </w:rPr>
      </w:pPr>
      <w:r w:rsidRPr="0044797E">
        <w:rPr>
          <w:rFonts w:ascii="Calibri" w:hAnsi="Calibri"/>
          <w:b/>
        </w:rPr>
        <w:t>1.2.</w:t>
      </w:r>
      <w:r>
        <w:rPr>
          <w:rFonts w:ascii="Calibri" w:hAnsi="Calibri"/>
        </w:rPr>
        <w:t xml:space="preserve"> Zakres stosowania </w:t>
      </w:r>
      <w:r w:rsidRPr="00B8717B">
        <w:rPr>
          <w:rFonts w:ascii="Calibri" w:hAnsi="Calibri"/>
        </w:rPr>
        <w:t>ST</w:t>
      </w:r>
    </w:p>
    <w:p w:rsidR="000C27BF" w:rsidRPr="00B8717B" w:rsidRDefault="000C27BF" w:rsidP="000C27BF">
      <w:pPr>
        <w:rPr>
          <w:rFonts w:ascii="Calibri" w:hAnsi="Calibri" w:cs="Calibri"/>
        </w:rPr>
      </w:pPr>
      <w:r w:rsidRPr="00B8717B">
        <w:rPr>
          <w:rFonts w:ascii="Calibri" w:hAnsi="Calibri"/>
        </w:rPr>
        <w:tab/>
        <w:t xml:space="preserve">Ogólna </w:t>
      </w:r>
      <w:r w:rsidRPr="00B8717B">
        <w:rPr>
          <w:rFonts w:ascii="Calibri" w:hAnsi="Calibri" w:cs="Calibri"/>
        </w:rPr>
        <w:t>Specyfikacja techniczna określa wymagania dla wykonania i odbioru robót budowlanych przewidzianych do wykonania w ramach umowy a zawarte w niej zapisy w zakresie standardu materiałów, wykonania robót i wymaganej ich jakości oraz kontroli jakości robót należy traktować jako minimalne.</w:t>
      </w:r>
    </w:p>
    <w:p w:rsidR="000C27BF" w:rsidRPr="00B8717B" w:rsidRDefault="000C27BF" w:rsidP="000C27BF">
      <w:pPr>
        <w:rPr>
          <w:rFonts w:ascii="Calibri" w:hAnsi="Calibri"/>
        </w:rPr>
      </w:pPr>
      <w:r w:rsidRPr="0044797E">
        <w:rPr>
          <w:rFonts w:ascii="Calibri" w:hAnsi="Calibri"/>
          <w:b/>
        </w:rPr>
        <w:t>1.3.</w:t>
      </w:r>
      <w:r>
        <w:rPr>
          <w:rFonts w:ascii="Calibri" w:hAnsi="Calibri"/>
        </w:rPr>
        <w:t xml:space="preserve"> Zakres robót objętych </w:t>
      </w:r>
      <w:r w:rsidRPr="00B8717B">
        <w:rPr>
          <w:rFonts w:ascii="Calibri" w:hAnsi="Calibri"/>
        </w:rPr>
        <w:t>ST</w:t>
      </w:r>
    </w:p>
    <w:p w:rsidR="008F20A4" w:rsidRPr="00C3299C" w:rsidRDefault="000C27BF" w:rsidP="008F20A4">
      <w:pPr>
        <w:rPr>
          <w:rFonts w:asciiTheme="minorHAnsi" w:hAnsiTheme="minorHAnsi" w:cs="Calibri"/>
        </w:rPr>
      </w:pPr>
      <w:r w:rsidRPr="00B8717B">
        <w:rPr>
          <w:rFonts w:ascii="Calibri" w:hAnsi="Calibri"/>
        </w:rPr>
        <w:tab/>
        <w:t>Ustalenia zawarte w niniejszej specyfikacji dotyczą zasad prowadzenia robót związanych z wykonaniem i odbiorem warstwy wiążącej i wyrównawczej z betonu asfaltowego wg PN-EN 13108-1 [47] i WT-2 Nawierzchnie asfaltowe 2010 [65] z mieszanki mineralno-asfaltowej dostarczonej od producenta</w:t>
      </w:r>
      <w:r w:rsidR="008F20A4">
        <w:rPr>
          <w:rFonts w:ascii="Calibri" w:hAnsi="Calibri"/>
        </w:rPr>
        <w:t xml:space="preserve"> </w:t>
      </w:r>
      <w:r w:rsidR="008F20A4" w:rsidRPr="00C3299C">
        <w:rPr>
          <w:rFonts w:ascii="Calibri" w:hAnsi="Calibri" w:cs="Calibri"/>
        </w:rPr>
        <w:t>w związku z „</w:t>
      </w:r>
      <w:r w:rsidR="008F20A4" w:rsidRPr="00C3299C">
        <w:rPr>
          <w:rFonts w:asciiTheme="minorHAnsi" w:hAnsiTheme="minorHAnsi"/>
        </w:rPr>
        <w:t>Przebudową ul.55 Pułku Piechoty w Lesznie wraz z przebudową oświetlenia”</w:t>
      </w:r>
      <w:r w:rsidR="008F20A4" w:rsidRPr="00C3299C">
        <w:rPr>
          <w:rFonts w:asciiTheme="minorHAnsi" w:hAnsiTheme="minorHAnsi" w:cs="Calibri"/>
        </w:rPr>
        <w:t>.</w:t>
      </w:r>
    </w:p>
    <w:p w:rsidR="000C27BF" w:rsidRPr="00B8717B" w:rsidRDefault="008F20A4" w:rsidP="000C27BF">
      <w:pPr>
        <w:rPr>
          <w:rFonts w:ascii="Calibri" w:hAnsi="Calibri"/>
        </w:rPr>
      </w:pPr>
      <w:r>
        <w:rPr>
          <w:rFonts w:ascii="Calibri" w:hAnsi="Calibri"/>
        </w:rPr>
        <w:tab/>
      </w:r>
      <w:r w:rsidR="000C27BF" w:rsidRPr="00B8717B">
        <w:rPr>
          <w:rFonts w:ascii="Calibri" w:hAnsi="Calibri"/>
        </w:rPr>
        <w:t>W przypadku produkcji mieszanki mineralno-asfaltowej przez Wykonawcę dla potrzeb budowy, Wykonawca zobowiązany jest prowadzić Zakładową kontrolę produkcji (ZKP) zgodnie z WT-2 [65] punkt 8.4.1.5.</w:t>
      </w:r>
    </w:p>
    <w:p w:rsidR="000C27BF" w:rsidRDefault="000C27BF" w:rsidP="000C27BF">
      <w:pPr>
        <w:rPr>
          <w:rFonts w:ascii="Calibri" w:hAnsi="Calibri"/>
        </w:rPr>
      </w:pPr>
      <w:r w:rsidRPr="00B8717B">
        <w:rPr>
          <w:rFonts w:ascii="Calibri" w:hAnsi="Calibri"/>
        </w:rPr>
        <w:tab/>
        <w:t>Warstwę wiążącą i wyrównawczą z betonu asfaltowego można wykonywać dla dróg kategorii ruchu od KR1 do KR6 (określenie kategorii ruchu podano w punkcie 1.4.8). Stosowane mieszanki  betonu asfaltowego o wymiarze D podano w tablicy 1.</w:t>
      </w:r>
    </w:p>
    <w:p w:rsidR="000C27BF" w:rsidRPr="00B8717B" w:rsidRDefault="000C27BF" w:rsidP="000C27BF">
      <w:pPr>
        <w:rPr>
          <w:rFonts w:ascii="Calibri" w:hAnsi="Calibri"/>
        </w:rPr>
      </w:pPr>
    </w:p>
    <w:p w:rsidR="000C27BF" w:rsidRPr="00B8717B" w:rsidRDefault="000C27BF" w:rsidP="000C27BF">
      <w:pPr>
        <w:ind w:left="709"/>
        <w:rPr>
          <w:rFonts w:ascii="Calibri" w:hAnsi="Calibri"/>
        </w:rPr>
      </w:pPr>
      <w:r w:rsidRPr="00B8717B">
        <w:rPr>
          <w:rFonts w:ascii="Calibri" w:hAnsi="Calibri"/>
        </w:rPr>
        <w:t xml:space="preserve">Tablica 1. Stosowane mieszanki </w:t>
      </w:r>
    </w:p>
    <w:tbl>
      <w:tblPr>
        <w:tblW w:w="0" w:type="auto"/>
        <w:tblInd w:w="81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tblPr>
      <w:tblGrid>
        <w:gridCol w:w="1276"/>
        <w:gridCol w:w="6132"/>
      </w:tblGrid>
      <w:tr w:rsidR="000C27BF" w:rsidRPr="00B8717B" w:rsidTr="00556540">
        <w:trPr>
          <w:trHeight w:val="710"/>
        </w:trPr>
        <w:tc>
          <w:tcPr>
            <w:tcW w:w="1276" w:type="dxa"/>
            <w:vAlign w:val="center"/>
          </w:tcPr>
          <w:p w:rsidR="000C27BF" w:rsidRPr="00B8717B" w:rsidRDefault="000C27BF" w:rsidP="00556540">
            <w:pPr>
              <w:spacing w:before="60"/>
              <w:jc w:val="center"/>
              <w:rPr>
                <w:rFonts w:ascii="Calibri" w:hAnsi="Calibri"/>
                <w:sz w:val="18"/>
                <w:szCs w:val="18"/>
              </w:rPr>
            </w:pPr>
            <w:r w:rsidRPr="00B8717B">
              <w:rPr>
                <w:rFonts w:ascii="Calibri" w:hAnsi="Calibri"/>
                <w:sz w:val="18"/>
                <w:szCs w:val="18"/>
              </w:rPr>
              <w:t>Kategoria</w:t>
            </w:r>
          </w:p>
          <w:p w:rsidR="000C27BF" w:rsidRPr="00B8717B" w:rsidRDefault="000C27BF" w:rsidP="00556540">
            <w:pPr>
              <w:spacing w:after="60"/>
              <w:jc w:val="center"/>
              <w:rPr>
                <w:rFonts w:ascii="Calibri" w:hAnsi="Calibri"/>
                <w:sz w:val="18"/>
                <w:szCs w:val="18"/>
              </w:rPr>
            </w:pPr>
            <w:r w:rsidRPr="00B8717B">
              <w:rPr>
                <w:rFonts w:ascii="Calibri" w:hAnsi="Calibri"/>
                <w:sz w:val="18"/>
                <w:szCs w:val="18"/>
              </w:rPr>
              <w:t>ruchu</w:t>
            </w:r>
          </w:p>
        </w:tc>
        <w:tc>
          <w:tcPr>
            <w:tcW w:w="6132" w:type="dxa"/>
            <w:vAlign w:val="center"/>
          </w:tcPr>
          <w:p w:rsidR="000C27BF" w:rsidRPr="00B8717B" w:rsidRDefault="000C27BF" w:rsidP="00556540">
            <w:pPr>
              <w:spacing w:before="60" w:after="60"/>
              <w:jc w:val="center"/>
              <w:rPr>
                <w:rFonts w:ascii="Calibri" w:hAnsi="Calibri"/>
                <w:sz w:val="18"/>
                <w:szCs w:val="18"/>
              </w:rPr>
            </w:pPr>
            <w:r w:rsidRPr="00B8717B">
              <w:rPr>
                <w:rFonts w:ascii="Calibri" w:hAnsi="Calibri"/>
                <w:sz w:val="18"/>
                <w:szCs w:val="18"/>
              </w:rPr>
              <w:t>Mieszanki  o wymiarze D</w:t>
            </w:r>
            <w:r w:rsidRPr="00B8717B">
              <w:rPr>
                <w:rFonts w:ascii="Calibri" w:hAnsi="Calibri"/>
                <w:sz w:val="18"/>
                <w:szCs w:val="18"/>
                <w:vertAlign w:val="superscript"/>
              </w:rPr>
              <w:t>1)</w:t>
            </w:r>
            <w:r w:rsidRPr="00B8717B">
              <w:rPr>
                <w:rFonts w:ascii="Calibri" w:hAnsi="Calibri"/>
                <w:sz w:val="18"/>
                <w:szCs w:val="18"/>
              </w:rPr>
              <w:t>,  mm</w:t>
            </w:r>
          </w:p>
        </w:tc>
      </w:tr>
      <w:tr w:rsidR="000C27BF" w:rsidRPr="00B8717B" w:rsidTr="00556540">
        <w:tc>
          <w:tcPr>
            <w:tcW w:w="1276" w:type="dxa"/>
          </w:tcPr>
          <w:p w:rsidR="000C27BF" w:rsidRPr="00B8717B" w:rsidRDefault="000C27BF" w:rsidP="00556540">
            <w:pPr>
              <w:spacing w:before="60" w:after="60"/>
              <w:jc w:val="center"/>
              <w:rPr>
                <w:rFonts w:ascii="Calibri" w:hAnsi="Calibri"/>
                <w:sz w:val="18"/>
                <w:szCs w:val="18"/>
              </w:rPr>
            </w:pPr>
            <w:r w:rsidRPr="00B8717B">
              <w:rPr>
                <w:rFonts w:ascii="Calibri" w:hAnsi="Calibri"/>
                <w:sz w:val="18"/>
                <w:szCs w:val="18"/>
              </w:rPr>
              <w:t>KR 1-2</w:t>
            </w:r>
          </w:p>
          <w:p w:rsidR="000C27BF" w:rsidRPr="00B8717B" w:rsidRDefault="000C27BF" w:rsidP="00556540">
            <w:pPr>
              <w:spacing w:before="60" w:after="60"/>
              <w:jc w:val="center"/>
              <w:rPr>
                <w:rFonts w:ascii="Calibri" w:hAnsi="Calibri"/>
                <w:sz w:val="18"/>
                <w:szCs w:val="18"/>
              </w:rPr>
            </w:pPr>
            <w:r w:rsidRPr="00B8717B">
              <w:rPr>
                <w:rFonts w:ascii="Calibri" w:hAnsi="Calibri"/>
                <w:sz w:val="18"/>
                <w:szCs w:val="18"/>
              </w:rPr>
              <w:t>KR 3-4</w:t>
            </w:r>
          </w:p>
          <w:p w:rsidR="000C27BF" w:rsidRPr="00B8717B" w:rsidRDefault="000C27BF" w:rsidP="00556540">
            <w:pPr>
              <w:spacing w:before="60" w:after="60"/>
              <w:jc w:val="center"/>
              <w:rPr>
                <w:rFonts w:ascii="Calibri" w:hAnsi="Calibri"/>
                <w:sz w:val="18"/>
                <w:szCs w:val="18"/>
              </w:rPr>
            </w:pPr>
            <w:r w:rsidRPr="00B8717B">
              <w:rPr>
                <w:rFonts w:ascii="Calibri" w:hAnsi="Calibri"/>
                <w:sz w:val="18"/>
                <w:szCs w:val="18"/>
              </w:rPr>
              <w:t>KR 5-6</w:t>
            </w:r>
          </w:p>
        </w:tc>
        <w:tc>
          <w:tcPr>
            <w:tcW w:w="6132" w:type="dxa"/>
          </w:tcPr>
          <w:p w:rsidR="000C27BF" w:rsidRPr="00B8717B" w:rsidRDefault="000C27BF" w:rsidP="00556540">
            <w:pPr>
              <w:spacing w:before="60" w:after="60"/>
              <w:jc w:val="center"/>
              <w:rPr>
                <w:rFonts w:ascii="Calibri" w:hAnsi="Calibri"/>
                <w:sz w:val="18"/>
                <w:szCs w:val="18"/>
              </w:rPr>
            </w:pPr>
            <w:r w:rsidRPr="00B8717B">
              <w:rPr>
                <w:rFonts w:ascii="Calibri" w:hAnsi="Calibri"/>
                <w:sz w:val="18"/>
                <w:szCs w:val="18"/>
              </w:rPr>
              <w:t xml:space="preserve">AC11W </w:t>
            </w:r>
            <w:r w:rsidRPr="00B8717B">
              <w:rPr>
                <w:rFonts w:ascii="Calibri" w:hAnsi="Calibri"/>
                <w:sz w:val="18"/>
                <w:szCs w:val="18"/>
                <w:vertAlign w:val="superscript"/>
              </w:rPr>
              <w:t>2)</w:t>
            </w:r>
            <w:r w:rsidRPr="00B8717B">
              <w:rPr>
                <w:rFonts w:ascii="Calibri" w:hAnsi="Calibri"/>
                <w:sz w:val="18"/>
                <w:szCs w:val="18"/>
              </w:rPr>
              <w:t>, AC16W</w:t>
            </w:r>
          </w:p>
          <w:p w:rsidR="000C27BF" w:rsidRPr="00B8717B" w:rsidRDefault="000C27BF" w:rsidP="00556540">
            <w:pPr>
              <w:spacing w:before="60" w:after="60"/>
              <w:jc w:val="center"/>
              <w:rPr>
                <w:rFonts w:ascii="Calibri" w:hAnsi="Calibri"/>
                <w:sz w:val="18"/>
                <w:szCs w:val="18"/>
              </w:rPr>
            </w:pPr>
            <w:r w:rsidRPr="00B8717B">
              <w:rPr>
                <w:rFonts w:ascii="Calibri" w:hAnsi="Calibri"/>
                <w:sz w:val="18"/>
                <w:szCs w:val="18"/>
              </w:rPr>
              <w:t>AC16W, AC22W</w:t>
            </w:r>
          </w:p>
          <w:p w:rsidR="000C27BF" w:rsidRPr="00B8717B" w:rsidRDefault="000C27BF" w:rsidP="00556540">
            <w:pPr>
              <w:spacing w:before="60" w:after="60"/>
              <w:jc w:val="center"/>
              <w:rPr>
                <w:rFonts w:ascii="Calibri" w:hAnsi="Calibri"/>
                <w:sz w:val="18"/>
                <w:szCs w:val="18"/>
              </w:rPr>
            </w:pPr>
            <w:r w:rsidRPr="00B8717B">
              <w:rPr>
                <w:rFonts w:ascii="Calibri" w:hAnsi="Calibri"/>
                <w:sz w:val="18"/>
                <w:szCs w:val="18"/>
              </w:rPr>
              <w:t>AC16W, AC22W</w:t>
            </w:r>
          </w:p>
        </w:tc>
      </w:tr>
    </w:tbl>
    <w:p w:rsidR="000C27BF" w:rsidRPr="0066462B" w:rsidRDefault="000C27BF" w:rsidP="000C27BF">
      <w:pPr>
        <w:ind w:left="709"/>
        <w:jc w:val="left"/>
        <w:rPr>
          <w:rFonts w:ascii="Calibri" w:hAnsi="Calibri"/>
          <w:i/>
          <w:sz w:val="18"/>
          <w:szCs w:val="18"/>
        </w:rPr>
      </w:pPr>
      <w:r w:rsidRPr="0066462B">
        <w:rPr>
          <w:rFonts w:ascii="Calibri" w:hAnsi="Calibri"/>
          <w:i/>
          <w:sz w:val="18"/>
          <w:szCs w:val="18"/>
        </w:rPr>
        <w:t>1) Podział ze względu na wymiar największego kruszywa w mieszance.</w:t>
      </w:r>
    </w:p>
    <w:p w:rsidR="000C27BF" w:rsidRPr="0066462B" w:rsidRDefault="000C27BF" w:rsidP="000C27BF">
      <w:pPr>
        <w:ind w:left="709"/>
        <w:jc w:val="left"/>
        <w:rPr>
          <w:rFonts w:ascii="Calibri" w:hAnsi="Calibri"/>
          <w:i/>
          <w:sz w:val="18"/>
          <w:szCs w:val="18"/>
        </w:rPr>
      </w:pPr>
      <w:r w:rsidRPr="0066462B">
        <w:rPr>
          <w:rFonts w:ascii="Calibri" w:hAnsi="Calibri"/>
          <w:i/>
          <w:sz w:val="18"/>
          <w:szCs w:val="18"/>
        </w:rPr>
        <w:t>2) Dopuszcza się AC11 do warstwy wyrównawczej do kategorii ruchu KR1÷KR6 przy spełnieniu</w:t>
      </w:r>
      <w:r w:rsidRPr="0066462B">
        <w:rPr>
          <w:i/>
        </w:rPr>
        <w:t xml:space="preserve"> wymagań jak w </w:t>
      </w:r>
      <w:r w:rsidRPr="0066462B">
        <w:rPr>
          <w:rFonts w:ascii="Calibri" w:hAnsi="Calibri"/>
          <w:i/>
          <w:sz w:val="18"/>
          <w:szCs w:val="18"/>
        </w:rPr>
        <w:t>tablicach 16,17, 18, 19, 20 WT-2 2010 [65] w zależności od KR.</w:t>
      </w:r>
    </w:p>
    <w:p w:rsidR="000C27BF" w:rsidRPr="00B8717B" w:rsidRDefault="000C27BF" w:rsidP="000C27BF">
      <w:pPr>
        <w:ind w:left="709"/>
        <w:jc w:val="left"/>
        <w:rPr>
          <w:rFonts w:ascii="Calibri" w:hAnsi="Calibri"/>
          <w:sz w:val="18"/>
          <w:szCs w:val="18"/>
        </w:rPr>
      </w:pPr>
    </w:p>
    <w:p w:rsidR="000C27BF" w:rsidRPr="00B8717B" w:rsidRDefault="000C27BF" w:rsidP="000C27BF">
      <w:pPr>
        <w:rPr>
          <w:rFonts w:ascii="Calibri" w:hAnsi="Calibri"/>
        </w:rPr>
      </w:pPr>
      <w:r w:rsidRPr="0044797E">
        <w:rPr>
          <w:rFonts w:ascii="Calibri" w:hAnsi="Calibri"/>
          <w:b/>
        </w:rPr>
        <w:t>1.4.</w:t>
      </w:r>
      <w:r w:rsidRPr="00B8717B">
        <w:rPr>
          <w:rFonts w:ascii="Calibri" w:hAnsi="Calibri"/>
        </w:rPr>
        <w:t xml:space="preserve"> Określenia podstawowe</w:t>
      </w:r>
    </w:p>
    <w:p w:rsidR="000C27BF" w:rsidRPr="00B8717B" w:rsidRDefault="000C27BF" w:rsidP="000C27BF">
      <w:pPr>
        <w:rPr>
          <w:rFonts w:ascii="Calibri" w:hAnsi="Calibri"/>
        </w:rPr>
      </w:pPr>
      <w:r w:rsidRPr="0044797E">
        <w:rPr>
          <w:rFonts w:ascii="Calibri" w:hAnsi="Calibri"/>
          <w:b/>
        </w:rPr>
        <w:t>1.4.1.</w:t>
      </w:r>
      <w:r w:rsidRPr="00B8717B">
        <w:rPr>
          <w:rFonts w:ascii="Calibri" w:hAnsi="Calibri"/>
        </w:rPr>
        <w:t xml:space="preserve"> Nawierzchnia – konstrukcja składająca się z jednej lub kilku warstw służących do przejmowania i rozkładania obciążeń od ruchu pojazdów na podłoże.</w:t>
      </w:r>
    </w:p>
    <w:p w:rsidR="000C27BF" w:rsidRPr="00B8717B" w:rsidRDefault="000C27BF" w:rsidP="000C27BF">
      <w:pPr>
        <w:rPr>
          <w:rFonts w:ascii="Calibri" w:hAnsi="Calibri"/>
        </w:rPr>
      </w:pPr>
      <w:r w:rsidRPr="0044797E">
        <w:rPr>
          <w:rFonts w:ascii="Calibri" w:hAnsi="Calibri"/>
          <w:b/>
        </w:rPr>
        <w:t>1.4.2.</w:t>
      </w:r>
      <w:r w:rsidRPr="00B8717B">
        <w:rPr>
          <w:rFonts w:ascii="Calibri" w:hAnsi="Calibri"/>
        </w:rPr>
        <w:t xml:space="preserve"> Warstwa wiążąca – warstwa nawierzchni między warstwą ścieralną a podbudową.</w:t>
      </w:r>
    </w:p>
    <w:p w:rsidR="000C27BF" w:rsidRPr="00B8717B" w:rsidRDefault="000C27BF" w:rsidP="000C27BF">
      <w:pPr>
        <w:rPr>
          <w:rFonts w:ascii="Calibri" w:hAnsi="Calibri"/>
        </w:rPr>
      </w:pPr>
      <w:r w:rsidRPr="0044797E">
        <w:rPr>
          <w:rFonts w:ascii="Calibri" w:hAnsi="Calibri"/>
          <w:b/>
        </w:rPr>
        <w:t>1.4.3.</w:t>
      </w:r>
      <w:r w:rsidRPr="00B8717B">
        <w:rPr>
          <w:rFonts w:ascii="Calibri" w:hAnsi="Calibri"/>
        </w:rPr>
        <w:t xml:space="preserve"> Warstwa wyrównawcza – warstwa o zmiennej grubości, ułożona na istniejącej warstwie w celu uzyskania odpowiedniego profilu potrzebnego do ułożenia kolejnej warstwy.</w:t>
      </w:r>
    </w:p>
    <w:p w:rsidR="000C27BF" w:rsidRPr="00B8717B" w:rsidRDefault="000C27BF" w:rsidP="000C27BF">
      <w:pPr>
        <w:rPr>
          <w:rFonts w:ascii="Calibri" w:hAnsi="Calibri"/>
        </w:rPr>
      </w:pPr>
      <w:r w:rsidRPr="0044797E">
        <w:rPr>
          <w:rFonts w:ascii="Calibri" w:hAnsi="Calibri"/>
          <w:b/>
        </w:rPr>
        <w:t>1.4.4.</w:t>
      </w:r>
      <w:r w:rsidRPr="00B8717B">
        <w:rPr>
          <w:rFonts w:ascii="Calibri" w:hAnsi="Calibri"/>
        </w:rPr>
        <w:t xml:space="preserve"> Mieszanka mineralno-asfaltowa – mieszanka kruszyw i lepiszcza asfaltowego.</w:t>
      </w:r>
    </w:p>
    <w:p w:rsidR="000C27BF" w:rsidRPr="00B8717B" w:rsidRDefault="000C27BF" w:rsidP="000C27BF">
      <w:pPr>
        <w:rPr>
          <w:rFonts w:ascii="Calibri" w:hAnsi="Calibri"/>
        </w:rPr>
      </w:pPr>
      <w:r w:rsidRPr="00B8717B">
        <w:rPr>
          <w:rFonts w:ascii="Calibri" w:hAnsi="Calibri"/>
        </w:rPr>
        <w:t>1.4.5. Wymiar mieszanki mineralno-asfaltowej – określenie mieszanki mineralno-asfaltowej, ze względu na największy wymiar kruszywa D, np. wymiar 11, 16, 22.</w:t>
      </w:r>
    </w:p>
    <w:p w:rsidR="000C27BF" w:rsidRPr="00B8717B" w:rsidRDefault="000C27BF" w:rsidP="000C27BF">
      <w:pPr>
        <w:rPr>
          <w:rFonts w:ascii="Calibri" w:hAnsi="Calibri"/>
        </w:rPr>
      </w:pPr>
      <w:r w:rsidRPr="0044797E">
        <w:rPr>
          <w:rFonts w:ascii="Calibri" w:hAnsi="Calibri"/>
          <w:b/>
        </w:rPr>
        <w:t>1.4.6.</w:t>
      </w:r>
      <w:r w:rsidRPr="00B8717B">
        <w:rPr>
          <w:rFonts w:ascii="Calibri" w:hAnsi="Calibri"/>
        </w:rPr>
        <w:t xml:space="preserve"> Beton asfaltowy – mieszanka mineralno-asfaltowa, w której kruszywo o uziarnieniu ciągłym lub nieciągłym tworzy strukturę wzajemnie klinującą się.</w:t>
      </w:r>
    </w:p>
    <w:p w:rsidR="000C27BF" w:rsidRPr="00B8717B" w:rsidRDefault="000C27BF" w:rsidP="000C27BF">
      <w:pPr>
        <w:rPr>
          <w:rFonts w:ascii="Calibri" w:hAnsi="Calibri"/>
        </w:rPr>
      </w:pPr>
      <w:r w:rsidRPr="0044797E">
        <w:rPr>
          <w:rFonts w:ascii="Calibri" w:hAnsi="Calibri"/>
          <w:b/>
        </w:rPr>
        <w:t>1.4.7.</w:t>
      </w:r>
      <w:r w:rsidRPr="00B8717B">
        <w:rPr>
          <w:rFonts w:ascii="Calibri" w:hAnsi="Calibri"/>
        </w:rPr>
        <w:t xml:space="preserve"> Uziarnienie – skład ziarnowy kruszywa, wyrażony w procentach masy ziaren przechodzących przez określony zestaw sit.</w:t>
      </w:r>
    </w:p>
    <w:p w:rsidR="000C27BF" w:rsidRPr="00B8717B" w:rsidRDefault="000C27BF" w:rsidP="000C27BF">
      <w:pPr>
        <w:rPr>
          <w:rFonts w:ascii="Calibri" w:hAnsi="Calibri"/>
        </w:rPr>
      </w:pPr>
      <w:r w:rsidRPr="0044797E">
        <w:rPr>
          <w:rFonts w:ascii="Calibri" w:hAnsi="Calibri"/>
          <w:b/>
        </w:rPr>
        <w:t>1.4.8.</w:t>
      </w:r>
      <w:r w:rsidRPr="00B8717B">
        <w:rPr>
          <w:rFonts w:ascii="Calibri" w:hAnsi="Calibri"/>
        </w:rPr>
        <w:t xml:space="preserve"> Kategoria ruchu – obciążenie drogi ruchem samochodowym, wyrażone w osiach obliczeniowych (100 kN) wg „Katalogu typowych konstrukcji nawierzchni podatnych i półsztywnych” GDDP-IBDiM [68].</w:t>
      </w:r>
    </w:p>
    <w:p w:rsidR="000C27BF" w:rsidRPr="00B8717B" w:rsidRDefault="000C27BF" w:rsidP="000C27BF">
      <w:pPr>
        <w:rPr>
          <w:rFonts w:ascii="Calibri" w:hAnsi="Calibri"/>
        </w:rPr>
      </w:pPr>
      <w:r w:rsidRPr="0044797E">
        <w:rPr>
          <w:rFonts w:ascii="Calibri" w:hAnsi="Calibri"/>
          <w:b/>
        </w:rPr>
        <w:t>1.4.9.</w:t>
      </w:r>
      <w:r w:rsidRPr="00B8717B">
        <w:rPr>
          <w:rFonts w:ascii="Calibri" w:hAnsi="Calibri"/>
        </w:rPr>
        <w:t xml:space="preserve"> Wymiar kruszywa – wielkość ziaren kruszywa, określona przez dolny (d) i górny (D) wymiar sita.</w:t>
      </w:r>
    </w:p>
    <w:p w:rsidR="000C27BF" w:rsidRPr="00B8717B" w:rsidRDefault="000C27BF" w:rsidP="000C27BF">
      <w:pPr>
        <w:rPr>
          <w:rFonts w:ascii="Calibri" w:hAnsi="Calibri"/>
        </w:rPr>
      </w:pPr>
      <w:r w:rsidRPr="0044797E">
        <w:rPr>
          <w:rFonts w:ascii="Calibri" w:hAnsi="Calibri"/>
          <w:b/>
        </w:rPr>
        <w:t>1.4.10.</w:t>
      </w:r>
      <w:r w:rsidRPr="00B8717B">
        <w:rPr>
          <w:rFonts w:ascii="Calibri" w:hAnsi="Calibri"/>
        </w:rPr>
        <w:t xml:space="preserve"> Kruszywo grube – kruszywo z ziaren o wymiarze: D ≤ </w:t>
      </w:r>
      <w:smartTag w:uri="urn:schemas-microsoft-com:office:smarttags" w:element="metricconverter">
        <w:smartTagPr>
          <w:attr w:name="ProductID" w:val="45 mm"/>
        </w:smartTagPr>
        <w:r w:rsidRPr="00B8717B">
          <w:rPr>
            <w:rFonts w:ascii="Calibri" w:hAnsi="Calibri"/>
          </w:rPr>
          <w:t>45 mm</w:t>
        </w:r>
      </w:smartTag>
      <w:r w:rsidRPr="00B8717B">
        <w:rPr>
          <w:rFonts w:ascii="Calibri" w:hAnsi="Calibri"/>
        </w:rPr>
        <w:t xml:space="preserve"> oraz d &gt; </w:t>
      </w:r>
      <w:smartTag w:uri="urn:schemas-microsoft-com:office:smarttags" w:element="metricconverter">
        <w:smartTagPr>
          <w:attr w:name="ProductID" w:val="2 mm"/>
        </w:smartTagPr>
        <w:r w:rsidRPr="00B8717B">
          <w:rPr>
            <w:rFonts w:ascii="Calibri" w:hAnsi="Calibri"/>
          </w:rPr>
          <w:t>2 mm</w:t>
        </w:r>
      </w:smartTag>
      <w:r w:rsidRPr="00B8717B">
        <w:rPr>
          <w:rFonts w:ascii="Calibri" w:hAnsi="Calibri"/>
        </w:rPr>
        <w:t>.</w:t>
      </w:r>
    </w:p>
    <w:p w:rsidR="000C27BF" w:rsidRPr="00B8717B" w:rsidRDefault="000C27BF" w:rsidP="000C27BF">
      <w:pPr>
        <w:rPr>
          <w:rFonts w:ascii="Calibri" w:hAnsi="Calibri"/>
        </w:rPr>
      </w:pPr>
      <w:r w:rsidRPr="0044797E">
        <w:rPr>
          <w:rFonts w:ascii="Calibri" w:hAnsi="Calibri"/>
          <w:b/>
        </w:rPr>
        <w:t>1.4.11.</w:t>
      </w:r>
      <w:r w:rsidRPr="00B8717B">
        <w:rPr>
          <w:rFonts w:ascii="Calibri" w:hAnsi="Calibri"/>
        </w:rPr>
        <w:t xml:space="preserve"> Kruszywo drobne – kruszywo z ziaren o wymiarze: D ≤ </w:t>
      </w:r>
      <w:smartTag w:uri="urn:schemas-microsoft-com:office:smarttags" w:element="metricconverter">
        <w:smartTagPr>
          <w:attr w:name="ProductID" w:val="2 mm"/>
        </w:smartTagPr>
        <w:r w:rsidRPr="00B8717B">
          <w:rPr>
            <w:rFonts w:ascii="Calibri" w:hAnsi="Calibri"/>
          </w:rPr>
          <w:t>2 mm</w:t>
        </w:r>
      </w:smartTag>
      <w:r w:rsidRPr="00B8717B">
        <w:rPr>
          <w:rFonts w:ascii="Calibri" w:hAnsi="Calibri"/>
        </w:rPr>
        <w:t xml:space="preserve">, którego większa część pozostaje na sicie </w:t>
      </w:r>
      <w:smartTag w:uri="urn:schemas-microsoft-com:office:smarttags" w:element="metricconverter">
        <w:smartTagPr>
          <w:attr w:name="ProductID" w:val="0,063 mm"/>
        </w:smartTagPr>
        <w:r w:rsidRPr="00B8717B">
          <w:rPr>
            <w:rFonts w:ascii="Calibri" w:hAnsi="Calibri"/>
          </w:rPr>
          <w:t>0,063 mm</w:t>
        </w:r>
      </w:smartTag>
      <w:r w:rsidRPr="00B8717B">
        <w:rPr>
          <w:rFonts w:ascii="Calibri" w:hAnsi="Calibri"/>
        </w:rPr>
        <w:t>.</w:t>
      </w:r>
    </w:p>
    <w:p w:rsidR="000C27BF" w:rsidRPr="00B8717B" w:rsidRDefault="000C27BF" w:rsidP="000C27BF">
      <w:pPr>
        <w:rPr>
          <w:rFonts w:ascii="Calibri" w:hAnsi="Calibri"/>
        </w:rPr>
      </w:pPr>
      <w:r w:rsidRPr="0044797E">
        <w:rPr>
          <w:rFonts w:ascii="Calibri" w:hAnsi="Calibri"/>
          <w:b/>
        </w:rPr>
        <w:t>1.4.12.</w:t>
      </w:r>
      <w:r w:rsidRPr="00B8717B">
        <w:rPr>
          <w:rFonts w:ascii="Calibri" w:hAnsi="Calibri"/>
        </w:rPr>
        <w:t xml:space="preserve"> Pył – kruszywo z ziaren przechodzących przez sito </w:t>
      </w:r>
      <w:smartTag w:uri="urn:schemas-microsoft-com:office:smarttags" w:element="metricconverter">
        <w:smartTagPr>
          <w:attr w:name="ProductID" w:val="0,063 mm"/>
        </w:smartTagPr>
        <w:r w:rsidRPr="00B8717B">
          <w:rPr>
            <w:rFonts w:ascii="Calibri" w:hAnsi="Calibri"/>
          </w:rPr>
          <w:t>0,063 mm</w:t>
        </w:r>
      </w:smartTag>
      <w:r w:rsidRPr="00B8717B">
        <w:rPr>
          <w:rFonts w:ascii="Calibri" w:hAnsi="Calibri"/>
        </w:rPr>
        <w:t>.</w:t>
      </w:r>
    </w:p>
    <w:p w:rsidR="000C27BF" w:rsidRPr="00B8717B" w:rsidRDefault="000C27BF" w:rsidP="000C27BF">
      <w:pPr>
        <w:rPr>
          <w:rFonts w:ascii="Calibri" w:hAnsi="Calibri"/>
        </w:rPr>
      </w:pPr>
      <w:r w:rsidRPr="0044797E">
        <w:rPr>
          <w:rFonts w:ascii="Calibri" w:hAnsi="Calibri"/>
          <w:b/>
        </w:rPr>
        <w:t>1.4.13.</w:t>
      </w:r>
      <w:r w:rsidRPr="00B8717B">
        <w:rPr>
          <w:rFonts w:ascii="Calibri" w:hAnsi="Calibri"/>
        </w:rPr>
        <w:t xml:space="preserve"> Wypełniacz – kruszywo, którego większa część przechodzi przez sito </w:t>
      </w:r>
      <w:smartTag w:uri="urn:schemas-microsoft-com:office:smarttags" w:element="metricconverter">
        <w:smartTagPr>
          <w:attr w:name="ProductID" w:val="0,063 mm"/>
        </w:smartTagPr>
        <w:r w:rsidRPr="00B8717B">
          <w:rPr>
            <w:rFonts w:ascii="Calibri" w:hAnsi="Calibri"/>
          </w:rPr>
          <w:t>0,063 mm</w:t>
        </w:r>
      </w:smartTag>
      <w:r w:rsidRPr="00B8717B">
        <w:rPr>
          <w:rFonts w:ascii="Calibri" w:hAnsi="Calibri"/>
        </w:rPr>
        <w:t>. (Wypełniacz mieszany – kruszywo, które składa się z wypełniacza pochodzenia mineralnego i wodorotlenku wapnia. Wypełniacz dodany – wypełniacz pochodzenia mineralnego, wyprodukowany oddzielnie).</w:t>
      </w:r>
    </w:p>
    <w:p w:rsidR="000C27BF" w:rsidRPr="00B8717B" w:rsidRDefault="000C27BF" w:rsidP="000C27BF">
      <w:pPr>
        <w:rPr>
          <w:rFonts w:ascii="Calibri" w:hAnsi="Calibri"/>
        </w:rPr>
      </w:pPr>
      <w:r w:rsidRPr="0044797E">
        <w:rPr>
          <w:rFonts w:ascii="Calibri" w:hAnsi="Calibri"/>
          <w:b/>
        </w:rPr>
        <w:t>1.4.14.</w:t>
      </w:r>
      <w:r w:rsidRPr="00B8717B">
        <w:rPr>
          <w:rFonts w:ascii="Calibri" w:hAnsi="Calibri"/>
        </w:rPr>
        <w:t xml:space="preserve"> Kationowa emulsja asfaltowa – emulsja, w której emulgator nadaje dodatnie ładunki cząstkom zdyspergowanego asfaltu.</w:t>
      </w:r>
    </w:p>
    <w:p w:rsidR="000C27BF" w:rsidRPr="00B8717B" w:rsidRDefault="000C27BF" w:rsidP="000C27BF">
      <w:pPr>
        <w:rPr>
          <w:rFonts w:ascii="Calibri" w:hAnsi="Calibri"/>
        </w:rPr>
      </w:pPr>
      <w:r w:rsidRPr="0044797E">
        <w:rPr>
          <w:rFonts w:ascii="Calibri" w:hAnsi="Calibri"/>
          <w:b/>
        </w:rPr>
        <w:t>1.4.15.</w:t>
      </w:r>
      <w:r w:rsidRPr="00B8717B">
        <w:rPr>
          <w:rFonts w:ascii="Calibri" w:hAnsi="Calibri"/>
        </w:rPr>
        <w:t xml:space="preserve"> Pozostałe określenia podstawowe są zgodne z obowiązującymi, odpowiednimi polskimi norm</w:t>
      </w:r>
      <w:r>
        <w:rPr>
          <w:rFonts w:ascii="Calibri" w:hAnsi="Calibri"/>
        </w:rPr>
        <w:t xml:space="preserve">ami i z definicjami podanymi w </w:t>
      </w:r>
      <w:r w:rsidRPr="00B8717B">
        <w:rPr>
          <w:rFonts w:ascii="Calibri" w:hAnsi="Calibri"/>
        </w:rPr>
        <w:t>ST D-M-00.00.00 „Wymagania ogólne” pkt 1.4.</w:t>
      </w:r>
    </w:p>
    <w:p w:rsidR="000C27BF" w:rsidRPr="00B8717B" w:rsidRDefault="000C27BF" w:rsidP="000C27BF">
      <w:pPr>
        <w:rPr>
          <w:rFonts w:ascii="Calibri" w:hAnsi="Calibri"/>
        </w:rPr>
      </w:pPr>
      <w:r w:rsidRPr="0044797E">
        <w:rPr>
          <w:rFonts w:ascii="Calibri" w:hAnsi="Calibri"/>
          <w:b/>
        </w:rPr>
        <w:lastRenderedPageBreak/>
        <w:t>1.4.16.</w:t>
      </w:r>
      <w:r w:rsidRPr="00B8717B">
        <w:rPr>
          <w:rFonts w:ascii="Calibri" w:hAnsi="Calibri"/>
        </w:rPr>
        <w:t xml:space="preserve"> Symbole i skróty dodatkowe</w:t>
      </w:r>
    </w:p>
    <w:tbl>
      <w:tblPr>
        <w:tblW w:w="0" w:type="auto"/>
        <w:tblInd w:w="675" w:type="dxa"/>
        <w:tblLook w:val="04A0"/>
      </w:tblPr>
      <w:tblGrid>
        <w:gridCol w:w="817"/>
        <w:gridCol w:w="6694"/>
      </w:tblGrid>
      <w:tr w:rsidR="000C27BF" w:rsidRPr="00B8717B" w:rsidTr="00556540">
        <w:tc>
          <w:tcPr>
            <w:tcW w:w="817" w:type="dxa"/>
          </w:tcPr>
          <w:p w:rsidR="000C27BF" w:rsidRPr="00B8717B" w:rsidRDefault="000C27BF" w:rsidP="00556540">
            <w:pPr>
              <w:rPr>
                <w:rFonts w:ascii="Calibri" w:hAnsi="Calibri"/>
              </w:rPr>
            </w:pPr>
            <w:r w:rsidRPr="00B8717B">
              <w:rPr>
                <w:rFonts w:ascii="Calibri" w:hAnsi="Calibri"/>
              </w:rPr>
              <w:t>ACW</w:t>
            </w:r>
          </w:p>
        </w:tc>
        <w:tc>
          <w:tcPr>
            <w:tcW w:w="6694" w:type="dxa"/>
          </w:tcPr>
          <w:p w:rsidR="000C27BF" w:rsidRPr="00B8717B" w:rsidRDefault="000C27BF" w:rsidP="00556540">
            <w:pPr>
              <w:rPr>
                <w:rFonts w:ascii="Calibri" w:hAnsi="Calibri"/>
              </w:rPr>
            </w:pPr>
            <w:r w:rsidRPr="00B8717B">
              <w:rPr>
                <w:rFonts w:ascii="Calibri" w:hAnsi="Calibri"/>
              </w:rPr>
              <w:t>- beton asfaltowy do warstwy wiążącej i wyrównawczej</w:t>
            </w:r>
          </w:p>
        </w:tc>
      </w:tr>
      <w:tr w:rsidR="000C27BF" w:rsidRPr="00B8717B" w:rsidTr="00556540">
        <w:tc>
          <w:tcPr>
            <w:tcW w:w="817" w:type="dxa"/>
          </w:tcPr>
          <w:p w:rsidR="000C27BF" w:rsidRPr="00B8717B" w:rsidRDefault="000C27BF" w:rsidP="00556540">
            <w:pPr>
              <w:rPr>
                <w:rFonts w:ascii="Calibri" w:hAnsi="Calibri"/>
              </w:rPr>
            </w:pPr>
            <w:r w:rsidRPr="00B8717B">
              <w:rPr>
                <w:rFonts w:ascii="Calibri" w:hAnsi="Calibri"/>
              </w:rPr>
              <w:t>PMB</w:t>
            </w:r>
          </w:p>
        </w:tc>
        <w:tc>
          <w:tcPr>
            <w:tcW w:w="6694" w:type="dxa"/>
          </w:tcPr>
          <w:p w:rsidR="000C27BF" w:rsidRPr="00B8717B" w:rsidRDefault="000C27BF" w:rsidP="00556540">
            <w:pPr>
              <w:rPr>
                <w:rFonts w:ascii="Calibri" w:hAnsi="Calibri"/>
              </w:rPr>
            </w:pPr>
            <w:r w:rsidRPr="00B8717B">
              <w:rPr>
                <w:rFonts w:ascii="Calibri" w:hAnsi="Calibri"/>
              </w:rPr>
              <w:t>- polimeroasfalt,</w:t>
            </w:r>
          </w:p>
        </w:tc>
      </w:tr>
      <w:tr w:rsidR="000C27BF" w:rsidRPr="00B8717B" w:rsidTr="00556540">
        <w:tc>
          <w:tcPr>
            <w:tcW w:w="817" w:type="dxa"/>
          </w:tcPr>
          <w:p w:rsidR="000C27BF" w:rsidRPr="00B8717B" w:rsidRDefault="000C27BF" w:rsidP="00556540">
            <w:pPr>
              <w:rPr>
                <w:rFonts w:ascii="Calibri" w:hAnsi="Calibri"/>
              </w:rPr>
            </w:pPr>
            <w:r w:rsidRPr="00B8717B">
              <w:rPr>
                <w:rFonts w:ascii="Calibri" w:hAnsi="Calibri"/>
              </w:rPr>
              <w:t>D</w:t>
            </w:r>
          </w:p>
        </w:tc>
        <w:tc>
          <w:tcPr>
            <w:tcW w:w="6694" w:type="dxa"/>
          </w:tcPr>
          <w:p w:rsidR="000C27BF" w:rsidRPr="00B8717B" w:rsidRDefault="000C27BF" w:rsidP="00556540">
            <w:pPr>
              <w:rPr>
                <w:rFonts w:ascii="Calibri" w:hAnsi="Calibri"/>
              </w:rPr>
            </w:pPr>
            <w:r w:rsidRPr="00B8717B">
              <w:rPr>
                <w:rFonts w:ascii="Calibri" w:hAnsi="Calibri"/>
              </w:rPr>
              <w:t>- górny wymiar sita (przy określaniu wielkości ziaren kruszywa),</w:t>
            </w:r>
          </w:p>
        </w:tc>
      </w:tr>
      <w:tr w:rsidR="000C27BF" w:rsidRPr="00B8717B" w:rsidTr="00556540">
        <w:tc>
          <w:tcPr>
            <w:tcW w:w="817" w:type="dxa"/>
          </w:tcPr>
          <w:p w:rsidR="000C27BF" w:rsidRPr="00B8717B" w:rsidRDefault="000C27BF" w:rsidP="00556540">
            <w:pPr>
              <w:rPr>
                <w:rFonts w:ascii="Calibri" w:hAnsi="Calibri"/>
              </w:rPr>
            </w:pPr>
            <w:r w:rsidRPr="00B8717B">
              <w:rPr>
                <w:rFonts w:ascii="Calibri" w:hAnsi="Calibri"/>
              </w:rPr>
              <w:t>d</w:t>
            </w:r>
          </w:p>
        </w:tc>
        <w:tc>
          <w:tcPr>
            <w:tcW w:w="6694" w:type="dxa"/>
          </w:tcPr>
          <w:p w:rsidR="000C27BF" w:rsidRPr="00B8717B" w:rsidRDefault="000C27BF" w:rsidP="00556540">
            <w:pPr>
              <w:rPr>
                <w:rFonts w:ascii="Calibri" w:hAnsi="Calibri"/>
              </w:rPr>
            </w:pPr>
            <w:r w:rsidRPr="00B8717B">
              <w:rPr>
                <w:rFonts w:ascii="Calibri" w:hAnsi="Calibri"/>
              </w:rPr>
              <w:t>- dolny wymiar sita (przy określaniu wielkości ziaren kruszywa),</w:t>
            </w:r>
          </w:p>
        </w:tc>
      </w:tr>
      <w:tr w:rsidR="000C27BF" w:rsidRPr="00B8717B" w:rsidTr="00556540">
        <w:tc>
          <w:tcPr>
            <w:tcW w:w="817" w:type="dxa"/>
          </w:tcPr>
          <w:p w:rsidR="000C27BF" w:rsidRPr="00B8717B" w:rsidRDefault="000C27BF" w:rsidP="00556540">
            <w:pPr>
              <w:rPr>
                <w:rFonts w:ascii="Calibri" w:hAnsi="Calibri"/>
              </w:rPr>
            </w:pPr>
            <w:r w:rsidRPr="00B8717B">
              <w:rPr>
                <w:rFonts w:ascii="Calibri" w:hAnsi="Calibri"/>
              </w:rPr>
              <w:t>C</w:t>
            </w:r>
          </w:p>
        </w:tc>
        <w:tc>
          <w:tcPr>
            <w:tcW w:w="6694" w:type="dxa"/>
          </w:tcPr>
          <w:p w:rsidR="000C27BF" w:rsidRPr="00B8717B" w:rsidRDefault="000C27BF" w:rsidP="00556540">
            <w:pPr>
              <w:rPr>
                <w:rFonts w:ascii="Calibri" w:hAnsi="Calibri"/>
              </w:rPr>
            </w:pPr>
            <w:r w:rsidRPr="00B8717B">
              <w:rPr>
                <w:rFonts w:ascii="Calibri" w:hAnsi="Calibri"/>
              </w:rPr>
              <w:t>- kationowa emulsja asfaltowa,</w:t>
            </w:r>
          </w:p>
        </w:tc>
      </w:tr>
      <w:tr w:rsidR="000C27BF" w:rsidRPr="00B8717B" w:rsidTr="00556540">
        <w:tc>
          <w:tcPr>
            <w:tcW w:w="817" w:type="dxa"/>
          </w:tcPr>
          <w:p w:rsidR="000C27BF" w:rsidRPr="00B8717B" w:rsidRDefault="000C27BF" w:rsidP="00556540">
            <w:pPr>
              <w:rPr>
                <w:rFonts w:ascii="Calibri" w:hAnsi="Calibri"/>
              </w:rPr>
            </w:pPr>
            <w:r w:rsidRPr="00B8717B">
              <w:rPr>
                <w:rFonts w:ascii="Calibri" w:hAnsi="Calibri"/>
              </w:rPr>
              <w:t>NPD</w:t>
            </w:r>
          </w:p>
        </w:tc>
        <w:tc>
          <w:tcPr>
            <w:tcW w:w="6694" w:type="dxa"/>
          </w:tcPr>
          <w:p w:rsidR="000C27BF" w:rsidRPr="00B8717B" w:rsidRDefault="000C27BF" w:rsidP="00556540">
            <w:pPr>
              <w:rPr>
                <w:rFonts w:ascii="Calibri" w:hAnsi="Calibri"/>
              </w:rPr>
            </w:pPr>
            <w:r w:rsidRPr="00B8717B">
              <w:rPr>
                <w:rFonts w:ascii="Calibri" w:hAnsi="Calibri"/>
              </w:rPr>
              <w:t>- właściwość użytkowa nie określana (ang. No Performance Determined; producent może jej nie określać),</w:t>
            </w:r>
          </w:p>
        </w:tc>
      </w:tr>
      <w:tr w:rsidR="000C27BF" w:rsidRPr="00B8717B" w:rsidTr="00556540">
        <w:tc>
          <w:tcPr>
            <w:tcW w:w="817" w:type="dxa"/>
          </w:tcPr>
          <w:p w:rsidR="000C27BF" w:rsidRPr="00B8717B" w:rsidRDefault="000C27BF" w:rsidP="00556540">
            <w:pPr>
              <w:rPr>
                <w:rFonts w:ascii="Calibri" w:hAnsi="Calibri"/>
              </w:rPr>
            </w:pPr>
            <w:r w:rsidRPr="00B8717B">
              <w:rPr>
                <w:rFonts w:ascii="Calibri" w:hAnsi="Calibri"/>
              </w:rPr>
              <w:t>TBR</w:t>
            </w:r>
          </w:p>
        </w:tc>
        <w:tc>
          <w:tcPr>
            <w:tcW w:w="6694" w:type="dxa"/>
          </w:tcPr>
          <w:p w:rsidR="000C27BF" w:rsidRPr="00B8717B" w:rsidRDefault="000C27BF" w:rsidP="00556540">
            <w:pPr>
              <w:rPr>
                <w:rFonts w:ascii="Calibri" w:hAnsi="Calibri"/>
              </w:rPr>
            </w:pPr>
            <w:r w:rsidRPr="00B8717B">
              <w:rPr>
                <w:rFonts w:ascii="Calibri" w:hAnsi="Calibri"/>
              </w:rPr>
              <w:t>- do zadeklarowania (ang. To Be Reported; producent może dostarczyć odpowiednie informacje, jednak nie jest do tego zobowiązany),</w:t>
            </w:r>
          </w:p>
        </w:tc>
      </w:tr>
      <w:tr w:rsidR="000C27BF" w:rsidRPr="00B8717B" w:rsidTr="00556540">
        <w:tc>
          <w:tcPr>
            <w:tcW w:w="817" w:type="dxa"/>
          </w:tcPr>
          <w:p w:rsidR="000C27BF" w:rsidRPr="00B8717B" w:rsidRDefault="000C27BF" w:rsidP="00556540">
            <w:pPr>
              <w:rPr>
                <w:rFonts w:ascii="Calibri" w:hAnsi="Calibri"/>
              </w:rPr>
            </w:pPr>
            <w:r w:rsidRPr="00B8717B">
              <w:rPr>
                <w:rFonts w:ascii="Calibri" w:hAnsi="Calibri"/>
              </w:rPr>
              <w:t>MOP</w:t>
            </w:r>
          </w:p>
        </w:tc>
        <w:tc>
          <w:tcPr>
            <w:tcW w:w="6694" w:type="dxa"/>
          </w:tcPr>
          <w:p w:rsidR="000C27BF" w:rsidRPr="00B8717B" w:rsidRDefault="000C27BF" w:rsidP="00556540">
            <w:pPr>
              <w:rPr>
                <w:rFonts w:ascii="Calibri" w:hAnsi="Calibri"/>
              </w:rPr>
            </w:pPr>
            <w:r w:rsidRPr="00B8717B">
              <w:rPr>
                <w:rFonts w:ascii="Calibri" w:hAnsi="Calibri"/>
              </w:rPr>
              <w:t xml:space="preserve">- miejsce obsługi podróżnych. </w:t>
            </w:r>
          </w:p>
        </w:tc>
      </w:tr>
    </w:tbl>
    <w:p w:rsidR="000C27BF" w:rsidRPr="00B8717B" w:rsidRDefault="000C27BF" w:rsidP="000C27BF">
      <w:pPr>
        <w:rPr>
          <w:rFonts w:ascii="Calibri" w:hAnsi="Calibri"/>
        </w:rPr>
      </w:pPr>
      <w:r w:rsidRPr="0044797E">
        <w:rPr>
          <w:rFonts w:ascii="Calibri" w:hAnsi="Calibri"/>
          <w:b/>
        </w:rPr>
        <w:t>1.5.</w:t>
      </w:r>
      <w:r w:rsidRPr="00B8717B">
        <w:rPr>
          <w:rFonts w:ascii="Calibri" w:hAnsi="Calibri"/>
        </w:rPr>
        <w:t xml:space="preserve"> Ogólne wymagania dotyczące robót</w:t>
      </w:r>
    </w:p>
    <w:p w:rsidR="000C27BF" w:rsidRPr="00B8717B" w:rsidRDefault="000C27BF" w:rsidP="000C27BF">
      <w:pPr>
        <w:rPr>
          <w:rFonts w:ascii="Calibri" w:hAnsi="Calibri"/>
        </w:rPr>
      </w:pPr>
      <w:r w:rsidRPr="00B8717B">
        <w:rPr>
          <w:rFonts w:ascii="Calibri" w:hAnsi="Calibri"/>
        </w:rPr>
        <w:tab/>
        <w:t>Ogólne wyma</w:t>
      </w:r>
      <w:r>
        <w:rPr>
          <w:rFonts w:ascii="Calibri" w:hAnsi="Calibri"/>
        </w:rPr>
        <w:t xml:space="preserve">gania dotyczące robót podano w </w:t>
      </w:r>
      <w:r w:rsidRPr="00B8717B">
        <w:rPr>
          <w:rFonts w:ascii="Calibri" w:hAnsi="Calibri"/>
        </w:rPr>
        <w:t>ST D-M-00.00.00 „Wymagania ogólne” [1] pkt 1.5.</w:t>
      </w:r>
    </w:p>
    <w:p w:rsidR="000C27BF" w:rsidRDefault="000C27BF" w:rsidP="000C27BF">
      <w:pPr>
        <w:rPr>
          <w:rFonts w:ascii="Calibri" w:hAnsi="Calibri"/>
        </w:rPr>
      </w:pPr>
    </w:p>
    <w:p w:rsidR="000C27BF" w:rsidRPr="0044797E" w:rsidRDefault="000C27BF" w:rsidP="000C27BF">
      <w:pPr>
        <w:rPr>
          <w:rFonts w:ascii="Calibri" w:hAnsi="Calibri"/>
          <w:b/>
        </w:rPr>
      </w:pPr>
      <w:r w:rsidRPr="0044797E">
        <w:rPr>
          <w:rFonts w:ascii="Calibri" w:hAnsi="Calibri"/>
          <w:b/>
        </w:rPr>
        <w:t>2. MATERIAŁY</w:t>
      </w:r>
    </w:p>
    <w:p w:rsidR="000C27BF" w:rsidRPr="00B8717B" w:rsidRDefault="000C27BF" w:rsidP="000C27BF">
      <w:pPr>
        <w:rPr>
          <w:rFonts w:ascii="Calibri" w:hAnsi="Calibri"/>
        </w:rPr>
      </w:pPr>
      <w:r w:rsidRPr="0044797E">
        <w:rPr>
          <w:rFonts w:ascii="Calibri" w:hAnsi="Calibri"/>
          <w:b/>
        </w:rPr>
        <w:t>2.1.</w:t>
      </w:r>
      <w:r w:rsidRPr="00B8717B">
        <w:rPr>
          <w:rFonts w:ascii="Calibri" w:hAnsi="Calibri"/>
        </w:rPr>
        <w:t xml:space="preserve"> Ogólne wymagania dotyczące materiałów</w:t>
      </w:r>
    </w:p>
    <w:p w:rsidR="000C27BF" w:rsidRPr="00B8717B" w:rsidRDefault="000C27BF" w:rsidP="000C27BF">
      <w:pPr>
        <w:rPr>
          <w:rFonts w:ascii="Calibri" w:hAnsi="Calibri"/>
        </w:rPr>
      </w:pPr>
      <w:r w:rsidRPr="00B8717B">
        <w:rPr>
          <w:rFonts w:ascii="Calibri" w:hAnsi="Calibri"/>
        </w:rPr>
        <w:tab/>
        <w:t>Ogólne wymagania dotyczące materiałów, ich pozysk</w:t>
      </w:r>
      <w:r>
        <w:rPr>
          <w:rFonts w:ascii="Calibri" w:hAnsi="Calibri"/>
        </w:rPr>
        <w:t xml:space="preserve">iwania i składowania, podano w </w:t>
      </w:r>
      <w:r w:rsidRPr="00B8717B">
        <w:rPr>
          <w:rFonts w:ascii="Calibri" w:hAnsi="Calibri"/>
        </w:rPr>
        <w:t>ST D-M-00.00.00 „Wymagania ogólne” [1] pkt 2.</w:t>
      </w:r>
    </w:p>
    <w:p w:rsidR="000C27BF" w:rsidRPr="00B8717B" w:rsidRDefault="000C27BF" w:rsidP="000C27BF">
      <w:pPr>
        <w:rPr>
          <w:rFonts w:ascii="Calibri" w:hAnsi="Calibri"/>
        </w:rPr>
      </w:pPr>
      <w:r w:rsidRPr="0044797E">
        <w:rPr>
          <w:rFonts w:ascii="Calibri" w:hAnsi="Calibri"/>
          <w:b/>
        </w:rPr>
        <w:t>2.2.</w:t>
      </w:r>
      <w:r w:rsidRPr="00B8717B">
        <w:rPr>
          <w:rFonts w:ascii="Calibri" w:hAnsi="Calibri"/>
        </w:rPr>
        <w:t xml:space="preserve"> Lepiszcza asfaltowe</w:t>
      </w:r>
    </w:p>
    <w:p w:rsidR="000C27BF" w:rsidRPr="00B8717B" w:rsidRDefault="000C27BF" w:rsidP="000C27BF">
      <w:pPr>
        <w:rPr>
          <w:rFonts w:ascii="Calibri" w:hAnsi="Calibri"/>
        </w:rPr>
      </w:pPr>
      <w:r w:rsidRPr="00B8717B">
        <w:rPr>
          <w:rFonts w:ascii="Calibri" w:hAnsi="Calibri"/>
        </w:rPr>
        <w:tab/>
        <w:t>Należy stosować asfalty drogowe wg PN-EN 12591 [27] lub polimeroasfalty wg PN-EN 14023 [59]. Rodzaje stosowanych lepiszcz</w:t>
      </w:r>
      <w:r>
        <w:rPr>
          <w:rFonts w:ascii="Calibri" w:hAnsi="Calibri"/>
        </w:rPr>
        <w:t>y</w:t>
      </w:r>
      <w:r w:rsidRPr="00B8717B">
        <w:rPr>
          <w:rFonts w:ascii="Calibri" w:hAnsi="Calibri"/>
        </w:rPr>
        <w:t xml:space="preserve"> asfaltowych podano w tablicy 2. Oprócz lepiszcz</w:t>
      </w:r>
      <w:r>
        <w:rPr>
          <w:rFonts w:ascii="Calibri" w:hAnsi="Calibri"/>
        </w:rPr>
        <w:t>y</w:t>
      </w:r>
      <w:r w:rsidRPr="00B8717B">
        <w:rPr>
          <w:rFonts w:ascii="Calibri" w:hAnsi="Calibri"/>
        </w:rPr>
        <w:t xml:space="preserve"> wymienionych w tablicy 2 można stosować inne lepiszcza nienormowe według aprobat technicznych.</w:t>
      </w:r>
    </w:p>
    <w:p w:rsidR="000C27BF" w:rsidRDefault="000C27BF" w:rsidP="000C27BF">
      <w:pPr>
        <w:rPr>
          <w:rFonts w:ascii="Calibri" w:hAnsi="Calibri"/>
        </w:rPr>
      </w:pPr>
    </w:p>
    <w:p w:rsidR="000C27BF" w:rsidRPr="00B8717B" w:rsidRDefault="000C27BF" w:rsidP="000C27BF">
      <w:pPr>
        <w:ind w:left="709"/>
        <w:rPr>
          <w:rFonts w:ascii="Calibri" w:hAnsi="Calibri"/>
        </w:rPr>
      </w:pPr>
      <w:r w:rsidRPr="00B8717B">
        <w:rPr>
          <w:rFonts w:ascii="Calibri" w:hAnsi="Calibri"/>
        </w:rPr>
        <w:t>Tablica 2. Zalecane  lepiszcza asfaltowe do warstwy wiążącej i wyrównawczej z betonu asfaltowego</w:t>
      </w:r>
    </w:p>
    <w:tbl>
      <w:tblPr>
        <w:tblW w:w="7511" w:type="dxa"/>
        <w:tblInd w:w="81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tblPr>
      <w:tblGrid>
        <w:gridCol w:w="1384"/>
        <w:gridCol w:w="1604"/>
        <w:gridCol w:w="1980"/>
        <w:gridCol w:w="2543"/>
      </w:tblGrid>
      <w:tr w:rsidR="000C27BF" w:rsidRPr="00B8717B" w:rsidTr="00556540">
        <w:tc>
          <w:tcPr>
            <w:tcW w:w="1384" w:type="dxa"/>
            <w:vMerge w:val="restart"/>
          </w:tcPr>
          <w:p w:rsidR="000C27BF" w:rsidRPr="00B8717B" w:rsidRDefault="000C27BF" w:rsidP="00556540">
            <w:pPr>
              <w:jc w:val="center"/>
              <w:rPr>
                <w:rFonts w:ascii="Calibri" w:hAnsi="Calibri"/>
                <w:sz w:val="18"/>
                <w:szCs w:val="18"/>
              </w:rPr>
            </w:pPr>
            <w:r w:rsidRPr="00B8717B">
              <w:rPr>
                <w:rFonts w:ascii="Calibri" w:hAnsi="Calibri"/>
                <w:sz w:val="18"/>
                <w:szCs w:val="18"/>
              </w:rPr>
              <w:t>Kategoria</w:t>
            </w:r>
          </w:p>
          <w:p w:rsidR="000C27BF" w:rsidRPr="00B8717B" w:rsidRDefault="000C27BF" w:rsidP="00556540">
            <w:pPr>
              <w:jc w:val="center"/>
              <w:rPr>
                <w:rFonts w:ascii="Calibri" w:hAnsi="Calibri"/>
                <w:sz w:val="18"/>
                <w:szCs w:val="18"/>
              </w:rPr>
            </w:pPr>
            <w:r w:rsidRPr="00B8717B">
              <w:rPr>
                <w:rFonts w:ascii="Calibri" w:hAnsi="Calibri"/>
                <w:sz w:val="18"/>
                <w:szCs w:val="18"/>
              </w:rPr>
              <w:t>ruchu</w:t>
            </w:r>
          </w:p>
        </w:tc>
        <w:tc>
          <w:tcPr>
            <w:tcW w:w="1604" w:type="dxa"/>
            <w:vMerge w:val="restart"/>
          </w:tcPr>
          <w:p w:rsidR="000C27BF" w:rsidRPr="00B8717B" w:rsidRDefault="000C27BF" w:rsidP="00556540">
            <w:pPr>
              <w:jc w:val="center"/>
              <w:rPr>
                <w:rFonts w:ascii="Calibri" w:hAnsi="Calibri"/>
                <w:sz w:val="18"/>
                <w:szCs w:val="18"/>
              </w:rPr>
            </w:pPr>
            <w:r w:rsidRPr="00B8717B">
              <w:rPr>
                <w:rFonts w:ascii="Calibri" w:hAnsi="Calibri"/>
                <w:sz w:val="18"/>
                <w:szCs w:val="18"/>
              </w:rPr>
              <w:t>Mieszanka</w:t>
            </w:r>
          </w:p>
          <w:p w:rsidR="000C27BF" w:rsidRPr="00B8717B" w:rsidRDefault="000C27BF" w:rsidP="00556540">
            <w:pPr>
              <w:jc w:val="center"/>
              <w:rPr>
                <w:rFonts w:ascii="Calibri" w:hAnsi="Calibri"/>
                <w:sz w:val="18"/>
                <w:szCs w:val="18"/>
              </w:rPr>
            </w:pPr>
            <w:r w:rsidRPr="00B8717B">
              <w:rPr>
                <w:rFonts w:ascii="Calibri" w:hAnsi="Calibri"/>
                <w:sz w:val="18"/>
                <w:szCs w:val="18"/>
              </w:rPr>
              <w:t>ACS</w:t>
            </w:r>
          </w:p>
        </w:tc>
        <w:tc>
          <w:tcPr>
            <w:tcW w:w="4523" w:type="dxa"/>
            <w:gridSpan w:val="2"/>
          </w:tcPr>
          <w:p w:rsidR="000C27BF" w:rsidRPr="00B8717B" w:rsidRDefault="000C27BF" w:rsidP="00556540">
            <w:pPr>
              <w:jc w:val="center"/>
              <w:rPr>
                <w:rFonts w:ascii="Calibri" w:hAnsi="Calibri"/>
                <w:sz w:val="18"/>
                <w:szCs w:val="18"/>
              </w:rPr>
            </w:pPr>
            <w:r w:rsidRPr="00B8717B">
              <w:rPr>
                <w:rFonts w:ascii="Calibri" w:hAnsi="Calibri"/>
                <w:sz w:val="18"/>
                <w:szCs w:val="18"/>
              </w:rPr>
              <w:t xml:space="preserve">Gatunek lepiszcza   </w:t>
            </w:r>
          </w:p>
        </w:tc>
      </w:tr>
      <w:tr w:rsidR="000C27BF" w:rsidRPr="00B8717B" w:rsidTr="00556540">
        <w:tc>
          <w:tcPr>
            <w:tcW w:w="1384" w:type="dxa"/>
            <w:vMerge/>
          </w:tcPr>
          <w:p w:rsidR="000C27BF" w:rsidRPr="00B8717B" w:rsidRDefault="000C27BF" w:rsidP="00556540">
            <w:pPr>
              <w:jc w:val="center"/>
              <w:rPr>
                <w:rFonts w:ascii="Calibri" w:hAnsi="Calibri"/>
                <w:sz w:val="18"/>
                <w:szCs w:val="18"/>
              </w:rPr>
            </w:pPr>
          </w:p>
        </w:tc>
        <w:tc>
          <w:tcPr>
            <w:tcW w:w="1604" w:type="dxa"/>
            <w:vMerge/>
          </w:tcPr>
          <w:p w:rsidR="000C27BF" w:rsidRPr="00B8717B" w:rsidRDefault="000C27BF" w:rsidP="00556540">
            <w:pPr>
              <w:jc w:val="center"/>
              <w:rPr>
                <w:rFonts w:ascii="Calibri" w:hAnsi="Calibri"/>
                <w:sz w:val="18"/>
                <w:szCs w:val="18"/>
              </w:rPr>
            </w:pPr>
          </w:p>
        </w:tc>
        <w:tc>
          <w:tcPr>
            <w:tcW w:w="1980" w:type="dxa"/>
          </w:tcPr>
          <w:p w:rsidR="000C27BF" w:rsidRPr="00B8717B" w:rsidRDefault="000C27BF" w:rsidP="00556540">
            <w:pPr>
              <w:jc w:val="center"/>
              <w:rPr>
                <w:rFonts w:ascii="Calibri" w:hAnsi="Calibri"/>
                <w:sz w:val="18"/>
                <w:szCs w:val="18"/>
              </w:rPr>
            </w:pPr>
            <w:r w:rsidRPr="00B8717B">
              <w:rPr>
                <w:rFonts w:ascii="Calibri" w:hAnsi="Calibri"/>
                <w:sz w:val="18"/>
                <w:szCs w:val="18"/>
              </w:rPr>
              <w:t>asfalt drogowy</w:t>
            </w:r>
          </w:p>
        </w:tc>
        <w:tc>
          <w:tcPr>
            <w:tcW w:w="2543" w:type="dxa"/>
          </w:tcPr>
          <w:p w:rsidR="000C27BF" w:rsidRPr="00B8717B" w:rsidRDefault="000C27BF" w:rsidP="00556540">
            <w:pPr>
              <w:jc w:val="center"/>
              <w:rPr>
                <w:rFonts w:ascii="Calibri" w:hAnsi="Calibri"/>
                <w:sz w:val="18"/>
                <w:szCs w:val="18"/>
              </w:rPr>
            </w:pPr>
            <w:r w:rsidRPr="00B8717B">
              <w:rPr>
                <w:rFonts w:ascii="Calibri" w:hAnsi="Calibri"/>
                <w:sz w:val="18"/>
                <w:szCs w:val="18"/>
              </w:rPr>
              <w:t>polimeroasfalt</w:t>
            </w:r>
          </w:p>
        </w:tc>
      </w:tr>
      <w:tr w:rsidR="000C27BF" w:rsidRPr="00B8717B" w:rsidTr="00556540">
        <w:tc>
          <w:tcPr>
            <w:tcW w:w="1384" w:type="dxa"/>
          </w:tcPr>
          <w:p w:rsidR="000C27BF" w:rsidRPr="00B8717B" w:rsidRDefault="000C27BF" w:rsidP="00556540">
            <w:pPr>
              <w:spacing w:before="40" w:after="40"/>
              <w:jc w:val="center"/>
              <w:rPr>
                <w:rFonts w:ascii="Calibri" w:hAnsi="Calibri"/>
                <w:sz w:val="18"/>
                <w:szCs w:val="18"/>
              </w:rPr>
            </w:pPr>
            <w:r w:rsidRPr="00B8717B">
              <w:rPr>
                <w:rFonts w:ascii="Calibri" w:hAnsi="Calibri"/>
                <w:sz w:val="18"/>
                <w:szCs w:val="18"/>
              </w:rPr>
              <w:t>KR1 – KR2</w:t>
            </w:r>
          </w:p>
        </w:tc>
        <w:tc>
          <w:tcPr>
            <w:tcW w:w="1604" w:type="dxa"/>
          </w:tcPr>
          <w:p w:rsidR="000C27BF" w:rsidRPr="00B8717B" w:rsidRDefault="000C27BF" w:rsidP="00556540">
            <w:pPr>
              <w:spacing w:before="40" w:after="40"/>
              <w:jc w:val="left"/>
              <w:rPr>
                <w:rFonts w:ascii="Calibri" w:hAnsi="Calibri"/>
                <w:sz w:val="18"/>
                <w:szCs w:val="18"/>
              </w:rPr>
            </w:pPr>
            <w:r w:rsidRPr="00B8717B">
              <w:rPr>
                <w:rFonts w:ascii="Calibri" w:hAnsi="Calibri"/>
                <w:sz w:val="18"/>
                <w:szCs w:val="18"/>
              </w:rPr>
              <w:t>AC11W,AC16W</w:t>
            </w:r>
          </w:p>
        </w:tc>
        <w:tc>
          <w:tcPr>
            <w:tcW w:w="1980" w:type="dxa"/>
          </w:tcPr>
          <w:p w:rsidR="000C27BF" w:rsidRPr="00B8717B" w:rsidRDefault="000C27BF" w:rsidP="00556540">
            <w:pPr>
              <w:spacing w:before="40" w:after="40"/>
              <w:jc w:val="center"/>
              <w:rPr>
                <w:rFonts w:ascii="Calibri" w:hAnsi="Calibri"/>
                <w:sz w:val="18"/>
                <w:szCs w:val="18"/>
              </w:rPr>
            </w:pPr>
            <w:r w:rsidRPr="00B8717B">
              <w:rPr>
                <w:rFonts w:ascii="Calibri" w:hAnsi="Calibri"/>
                <w:sz w:val="18"/>
                <w:szCs w:val="18"/>
              </w:rPr>
              <w:t xml:space="preserve"> 50/70   </w:t>
            </w:r>
          </w:p>
        </w:tc>
        <w:tc>
          <w:tcPr>
            <w:tcW w:w="2543" w:type="dxa"/>
          </w:tcPr>
          <w:p w:rsidR="000C27BF" w:rsidRPr="00B8717B" w:rsidRDefault="000C27BF" w:rsidP="00556540">
            <w:pPr>
              <w:spacing w:before="40" w:after="40"/>
              <w:jc w:val="center"/>
              <w:rPr>
                <w:rFonts w:ascii="Calibri" w:hAnsi="Calibri"/>
                <w:sz w:val="18"/>
                <w:szCs w:val="18"/>
                <w:vertAlign w:val="superscript"/>
              </w:rPr>
            </w:pPr>
            <w:r w:rsidRPr="00B8717B">
              <w:rPr>
                <w:rFonts w:ascii="Calibri" w:hAnsi="Calibri"/>
                <w:sz w:val="18"/>
                <w:szCs w:val="18"/>
                <w:vertAlign w:val="superscript"/>
              </w:rPr>
              <w:t>-</w:t>
            </w:r>
          </w:p>
        </w:tc>
      </w:tr>
      <w:tr w:rsidR="000C27BF" w:rsidRPr="00B8717B" w:rsidTr="00556540">
        <w:tc>
          <w:tcPr>
            <w:tcW w:w="1384" w:type="dxa"/>
          </w:tcPr>
          <w:p w:rsidR="000C27BF" w:rsidRPr="00B8717B" w:rsidRDefault="000C27BF" w:rsidP="00556540">
            <w:pPr>
              <w:spacing w:before="40" w:after="40"/>
              <w:jc w:val="center"/>
              <w:rPr>
                <w:rFonts w:ascii="Calibri" w:hAnsi="Calibri"/>
                <w:sz w:val="18"/>
                <w:szCs w:val="18"/>
              </w:rPr>
            </w:pPr>
            <w:r w:rsidRPr="00B8717B">
              <w:rPr>
                <w:rFonts w:ascii="Calibri" w:hAnsi="Calibri"/>
                <w:sz w:val="18"/>
                <w:szCs w:val="18"/>
              </w:rPr>
              <w:t>KR3 – KR4</w:t>
            </w:r>
          </w:p>
        </w:tc>
        <w:tc>
          <w:tcPr>
            <w:tcW w:w="1604" w:type="dxa"/>
          </w:tcPr>
          <w:p w:rsidR="000C27BF" w:rsidRPr="00B8717B" w:rsidRDefault="000C27BF" w:rsidP="00556540">
            <w:pPr>
              <w:spacing w:before="40" w:after="40"/>
              <w:jc w:val="left"/>
              <w:rPr>
                <w:rFonts w:ascii="Calibri" w:hAnsi="Calibri"/>
                <w:sz w:val="18"/>
                <w:szCs w:val="18"/>
              </w:rPr>
            </w:pPr>
            <w:r w:rsidRPr="00B8717B">
              <w:rPr>
                <w:rFonts w:ascii="Calibri" w:hAnsi="Calibri"/>
                <w:sz w:val="18"/>
                <w:szCs w:val="18"/>
              </w:rPr>
              <w:t>AC16W,AC22W</w:t>
            </w:r>
          </w:p>
        </w:tc>
        <w:tc>
          <w:tcPr>
            <w:tcW w:w="1980" w:type="dxa"/>
          </w:tcPr>
          <w:p w:rsidR="000C27BF" w:rsidRPr="00B8717B" w:rsidRDefault="000C27BF" w:rsidP="00556540">
            <w:pPr>
              <w:spacing w:before="40" w:after="40"/>
              <w:jc w:val="center"/>
              <w:rPr>
                <w:rFonts w:ascii="Calibri" w:hAnsi="Calibri"/>
                <w:sz w:val="18"/>
                <w:szCs w:val="18"/>
              </w:rPr>
            </w:pPr>
            <w:r w:rsidRPr="00B8717B">
              <w:rPr>
                <w:rFonts w:ascii="Calibri" w:hAnsi="Calibri"/>
                <w:sz w:val="18"/>
                <w:szCs w:val="18"/>
              </w:rPr>
              <w:t xml:space="preserve">35/50, 50/70, wielorodzajowy 35/50, 50/70 </w:t>
            </w:r>
          </w:p>
        </w:tc>
        <w:tc>
          <w:tcPr>
            <w:tcW w:w="2543" w:type="dxa"/>
            <w:tcBorders>
              <w:bottom w:val="single" w:sz="4" w:space="0" w:color="auto"/>
            </w:tcBorders>
          </w:tcPr>
          <w:p w:rsidR="000C27BF" w:rsidRPr="00B8717B" w:rsidRDefault="000C27BF" w:rsidP="00556540">
            <w:pPr>
              <w:spacing w:before="40" w:after="40"/>
              <w:jc w:val="center"/>
              <w:rPr>
                <w:rFonts w:ascii="Calibri" w:hAnsi="Calibri"/>
                <w:sz w:val="18"/>
                <w:szCs w:val="18"/>
              </w:rPr>
            </w:pPr>
            <w:r w:rsidRPr="00B8717B">
              <w:rPr>
                <w:rFonts w:ascii="Calibri" w:hAnsi="Calibri"/>
                <w:sz w:val="18"/>
                <w:szCs w:val="18"/>
              </w:rPr>
              <w:t>PMB 25/55-60</w:t>
            </w:r>
          </w:p>
        </w:tc>
      </w:tr>
      <w:tr w:rsidR="000C27BF" w:rsidRPr="00B8717B" w:rsidTr="00556540">
        <w:tc>
          <w:tcPr>
            <w:tcW w:w="1384" w:type="dxa"/>
          </w:tcPr>
          <w:p w:rsidR="000C27BF" w:rsidRPr="00B8717B" w:rsidRDefault="000C27BF" w:rsidP="00556540">
            <w:pPr>
              <w:spacing w:before="40" w:after="40"/>
              <w:jc w:val="center"/>
              <w:rPr>
                <w:rFonts w:ascii="Calibri" w:hAnsi="Calibri"/>
                <w:sz w:val="18"/>
                <w:szCs w:val="18"/>
              </w:rPr>
            </w:pPr>
            <w:r w:rsidRPr="00B8717B">
              <w:rPr>
                <w:rFonts w:ascii="Calibri" w:hAnsi="Calibri"/>
                <w:sz w:val="18"/>
                <w:szCs w:val="18"/>
              </w:rPr>
              <w:t>KR5 – KR6</w:t>
            </w:r>
          </w:p>
        </w:tc>
        <w:tc>
          <w:tcPr>
            <w:tcW w:w="1604" w:type="dxa"/>
          </w:tcPr>
          <w:p w:rsidR="000C27BF" w:rsidRPr="00B8717B" w:rsidRDefault="000C27BF" w:rsidP="00556540">
            <w:pPr>
              <w:spacing w:before="40" w:after="40"/>
              <w:jc w:val="left"/>
              <w:rPr>
                <w:rFonts w:ascii="Calibri" w:hAnsi="Calibri"/>
                <w:sz w:val="18"/>
                <w:szCs w:val="18"/>
              </w:rPr>
            </w:pPr>
            <w:r w:rsidRPr="00B8717B">
              <w:rPr>
                <w:rFonts w:ascii="Calibri" w:hAnsi="Calibri"/>
                <w:sz w:val="18"/>
                <w:szCs w:val="18"/>
              </w:rPr>
              <w:t>AC16W AC22W</w:t>
            </w:r>
          </w:p>
        </w:tc>
        <w:tc>
          <w:tcPr>
            <w:tcW w:w="1980" w:type="dxa"/>
          </w:tcPr>
          <w:p w:rsidR="000C27BF" w:rsidRPr="00B8717B" w:rsidRDefault="000C27BF" w:rsidP="00556540">
            <w:pPr>
              <w:spacing w:before="40" w:after="40"/>
              <w:jc w:val="center"/>
              <w:rPr>
                <w:rFonts w:ascii="Calibri" w:hAnsi="Calibri"/>
                <w:sz w:val="18"/>
                <w:szCs w:val="18"/>
              </w:rPr>
            </w:pPr>
            <w:r w:rsidRPr="00B8717B">
              <w:rPr>
                <w:rFonts w:ascii="Calibri" w:hAnsi="Calibri"/>
                <w:sz w:val="18"/>
                <w:szCs w:val="18"/>
              </w:rPr>
              <w:t>35/50, wielorodzajowy 35/50</w:t>
            </w:r>
          </w:p>
        </w:tc>
        <w:tc>
          <w:tcPr>
            <w:tcW w:w="2543" w:type="dxa"/>
            <w:tcBorders>
              <w:bottom w:val="single" w:sz="4" w:space="0" w:color="auto"/>
            </w:tcBorders>
          </w:tcPr>
          <w:p w:rsidR="000C27BF" w:rsidRPr="00B8717B" w:rsidRDefault="000C27BF" w:rsidP="00556540">
            <w:pPr>
              <w:spacing w:before="40" w:after="40"/>
              <w:jc w:val="center"/>
              <w:rPr>
                <w:rFonts w:ascii="Calibri" w:hAnsi="Calibri"/>
                <w:sz w:val="18"/>
                <w:szCs w:val="18"/>
              </w:rPr>
            </w:pPr>
            <w:r w:rsidRPr="00B8717B">
              <w:rPr>
                <w:rFonts w:ascii="Calibri" w:hAnsi="Calibri"/>
                <w:sz w:val="18"/>
                <w:szCs w:val="18"/>
              </w:rPr>
              <w:t>PMB 25/55-60</w:t>
            </w:r>
          </w:p>
        </w:tc>
      </w:tr>
    </w:tbl>
    <w:p w:rsidR="000C27BF" w:rsidRDefault="000C27BF" w:rsidP="000C27BF">
      <w:pPr>
        <w:rPr>
          <w:rFonts w:ascii="Calibri" w:hAnsi="Calibri"/>
        </w:rPr>
      </w:pPr>
    </w:p>
    <w:p w:rsidR="008F20A4" w:rsidRPr="00B8717B" w:rsidRDefault="008F20A4" w:rsidP="000C27BF">
      <w:pPr>
        <w:rPr>
          <w:rFonts w:ascii="Calibri" w:hAnsi="Calibri"/>
        </w:rPr>
      </w:pPr>
    </w:p>
    <w:p w:rsidR="000C27BF" w:rsidRPr="00B8717B" w:rsidRDefault="000C27BF" w:rsidP="000C27BF">
      <w:pPr>
        <w:rPr>
          <w:rFonts w:ascii="Calibri" w:hAnsi="Calibri"/>
        </w:rPr>
      </w:pPr>
      <w:r w:rsidRPr="00B8717B">
        <w:rPr>
          <w:rFonts w:ascii="Calibri" w:hAnsi="Calibri"/>
        </w:rPr>
        <w:t xml:space="preserve">Asfalty drogowe powinny spełniać wymagania podane w tablicy 3. </w:t>
      </w:r>
    </w:p>
    <w:p w:rsidR="000C27BF" w:rsidRDefault="000C27BF" w:rsidP="000C27BF">
      <w:pPr>
        <w:rPr>
          <w:rFonts w:ascii="Calibri" w:hAnsi="Calibri"/>
        </w:rPr>
      </w:pPr>
      <w:r w:rsidRPr="00B8717B">
        <w:rPr>
          <w:rFonts w:ascii="Calibri" w:hAnsi="Calibri"/>
        </w:rPr>
        <w:t>Polimeroasfalty  powinny spełniać wymagania podane  w tablicy 4.</w:t>
      </w:r>
    </w:p>
    <w:p w:rsidR="000C27BF" w:rsidRPr="00B8717B" w:rsidRDefault="000C27BF" w:rsidP="000C27BF">
      <w:pPr>
        <w:rPr>
          <w:rFonts w:ascii="Calibri" w:hAnsi="Calibri"/>
        </w:rPr>
      </w:pPr>
    </w:p>
    <w:p w:rsidR="000C27BF" w:rsidRPr="00B8717B" w:rsidRDefault="000C27BF" w:rsidP="000C27BF">
      <w:pPr>
        <w:ind w:left="709"/>
        <w:rPr>
          <w:rFonts w:ascii="Calibri" w:hAnsi="Calibri"/>
        </w:rPr>
      </w:pPr>
      <w:r w:rsidRPr="00B8717B">
        <w:rPr>
          <w:rFonts w:ascii="Calibri" w:hAnsi="Calibri"/>
        </w:rPr>
        <w:t>Tablica 3. Wymagania wobec asfaltów drogowych wg PN-EN 12591 [27]</w:t>
      </w:r>
    </w:p>
    <w:tbl>
      <w:tblPr>
        <w:tblW w:w="0" w:type="auto"/>
        <w:tblInd w:w="81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tblPr>
      <w:tblGrid>
        <w:gridCol w:w="534"/>
        <w:gridCol w:w="2409"/>
        <w:gridCol w:w="851"/>
        <w:gridCol w:w="1984"/>
        <w:gridCol w:w="851"/>
        <w:gridCol w:w="882"/>
      </w:tblGrid>
      <w:tr w:rsidR="000C27BF" w:rsidRPr="00B8717B" w:rsidTr="00556540">
        <w:tc>
          <w:tcPr>
            <w:tcW w:w="534" w:type="dxa"/>
            <w:vMerge w:val="restart"/>
            <w:vAlign w:val="center"/>
          </w:tcPr>
          <w:p w:rsidR="000C27BF" w:rsidRPr="00B8717B" w:rsidRDefault="000C27BF" w:rsidP="00556540">
            <w:pPr>
              <w:jc w:val="center"/>
              <w:rPr>
                <w:rFonts w:ascii="Calibri" w:hAnsi="Calibri"/>
                <w:sz w:val="18"/>
                <w:szCs w:val="18"/>
              </w:rPr>
            </w:pPr>
            <w:r w:rsidRPr="00B8717B">
              <w:rPr>
                <w:rFonts w:ascii="Calibri" w:hAnsi="Calibri"/>
                <w:sz w:val="18"/>
                <w:szCs w:val="18"/>
              </w:rPr>
              <w:t>Lp.</w:t>
            </w:r>
          </w:p>
        </w:tc>
        <w:tc>
          <w:tcPr>
            <w:tcW w:w="3260" w:type="dxa"/>
            <w:gridSpan w:val="2"/>
            <w:vMerge w:val="restart"/>
            <w:vAlign w:val="center"/>
          </w:tcPr>
          <w:p w:rsidR="000C27BF" w:rsidRPr="00B8717B" w:rsidRDefault="000C27BF" w:rsidP="00556540">
            <w:pPr>
              <w:jc w:val="center"/>
              <w:rPr>
                <w:rFonts w:ascii="Calibri" w:hAnsi="Calibri"/>
                <w:sz w:val="18"/>
                <w:szCs w:val="18"/>
              </w:rPr>
            </w:pPr>
            <w:r w:rsidRPr="00B8717B">
              <w:rPr>
                <w:rFonts w:ascii="Calibri" w:hAnsi="Calibri"/>
                <w:sz w:val="18"/>
                <w:szCs w:val="18"/>
              </w:rPr>
              <w:t>Właściwości</w:t>
            </w:r>
          </w:p>
        </w:tc>
        <w:tc>
          <w:tcPr>
            <w:tcW w:w="1984" w:type="dxa"/>
            <w:vMerge w:val="restart"/>
            <w:vAlign w:val="center"/>
          </w:tcPr>
          <w:p w:rsidR="000C27BF" w:rsidRPr="00B8717B" w:rsidRDefault="000C27BF" w:rsidP="00556540">
            <w:pPr>
              <w:jc w:val="center"/>
              <w:rPr>
                <w:rFonts w:ascii="Calibri" w:hAnsi="Calibri"/>
                <w:sz w:val="18"/>
                <w:szCs w:val="18"/>
              </w:rPr>
            </w:pPr>
            <w:r w:rsidRPr="00B8717B">
              <w:rPr>
                <w:rFonts w:ascii="Calibri" w:hAnsi="Calibri"/>
                <w:sz w:val="18"/>
                <w:szCs w:val="18"/>
              </w:rPr>
              <w:t>Metoda</w:t>
            </w:r>
          </w:p>
          <w:p w:rsidR="000C27BF" w:rsidRPr="00B8717B" w:rsidRDefault="000C27BF" w:rsidP="00556540">
            <w:pPr>
              <w:jc w:val="center"/>
              <w:rPr>
                <w:rFonts w:ascii="Calibri" w:hAnsi="Calibri"/>
                <w:sz w:val="18"/>
                <w:szCs w:val="18"/>
              </w:rPr>
            </w:pPr>
            <w:r w:rsidRPr="00B8717B">
              <w:rPr>
                <w:rFonts w:ascii="Calibri" w:hAnsi="Calibri"/>
                <w:sz w:val="18"/>
                <w:szCs w:val="18"/>
              </w:rPr>
              <w:t>badania</w:t>
            </w:r>
          </w:p>
        </w:tc>
        <w:tc>
          <w:tcPr>
            <w:tcW w:w="1733" w:type="dxa"/>
            <w:gridSpan w:val="2"/>
          </w:tcPr>
          <w:p w:rsidR="000C27BF" w:rsidRPr="00B8717B" w:rsidRDefault="000C27BF" w:rsidP="00556540">
            <w:pPr>
              <w:jc w:val="center"/>
              <w:rPr>
                <w:rFonts w:ascii="Calibri" w:hAnsi="Calibri"/>
                <w:sz w:val="18"/>
                <w:szCs w:val="18"/>
              </w:rPr>
            </w:pPr>
            <w:r w:rsidRPr="00B8717B">
              <w:rPr>
                <w:rFonts w:ascii="Calibri" w:hAnsi="Calibri"/>
                <w:sz w:val="18"/>
                <w:szCs w:val="18"/>
              </w:rPr>
              <w:t>Rodzaj asfaltu</w:t>
            </w:r>
          </w:p>
        </w:tc>
      </w:tr>
      <w:tr w:rsidR="000C27BF" w:rsidRPr="00B8717B" w:rsidTr="00556540">
        <w:tc>
          <w:tcPr>
            <w:tcW w:w="534" w:type="dxa"/>
            <w:vMerge/>
          </w:tcPr>
          <w:p w:rsidR="000C27BF" w:rsidRPr="00B8717B" w:rsidRDefault="000C27BF" w:rsidP="00556540">
            <w:pPr>
              <w:jc w:val="center"/>
              <w:rPr>
                <w:rFonts w:ascii="Calibri" w:hAnsi="Calibri"/>
                <w:sz w:val="18"/>
                <w:szCs w:val="18"/>
              </w:rPr>
            </w:pPr>
          </w:p>
        </w:tc>
        <w:tc>
          <w:tcPr>
            <w:tcW w:w="3260" w:type="dxa"/>
            <w:gridSpan w:val="2"/>
            <w:vMerge/>
          </w:tcPr>
          <w:p w:rsidR="000C27BF" w:rsidRPr="00B8717B" w:rsidRDefault="000C27BF" w:rsidP="00556540">
            <w:pPr>
              <w:jc w:val="center"/>
              <w:rPr>
                <w:rFonts w:ascii="Calibri" w:hAnsi="Calibri"/>
                <w:sz w:val="18"/>
                <w:szCs w:val="18"/>
              </w:rPr>
            </w:pPr>
          </w:p>
        </w:tc>
        <w:tc>
          <w:tcPr>
            <w:tcW w:w="1984" w:type="dxa"/>
            <w:vMerge/>
          </w:tcPr>
          <w:p w:rsidR="000C27BF" w:rsidRPr="00B8717B" w:rsidRDefault="000C27BF" w:rsidP="00556540">
            <w:pPr>
              <w:jc w:val="center"/>
              <w:rPr>
                <w:rFonts w:ascii="Calibri" w:hAnsi="Calibri"/>
                <w:sz w:val="18"/>
                <w:szCs w:val="18"/>
              </w:rPr>
            </w:pPr>
          </w:p>
        </w:tc>
        <w:tc>
          <w:tcPr>
            <w:tcW w:w="851" w:type="dxa"/>
          </w:tcPr>
          <w:p w:rsidR="000C27BF" w:rsidRPr="00B8717B" w:rsidRDefault="000C27BF" w:rsidP="00556540">
            <w:pPr>
              <w:jc w:val="center"/>
              <w:rPr>
                <w:rFonts w:ascii="Calibri" w:hAnsi="Calibri"/>
                <w:sz w:val="18"/>
                <w:szCs w:val="18"/>
              </w:rPr>
            </w:pPr>
            <w:r w:rsidRPr="00B8717B">
              <w:rPr>
                <w:rFonts w:ascii="Calibri" w:hAnsi="Calibri"/>
                <w:sz w:val="18"/>
                <w:szCs w:val="18"/>
              </w:rPr>
              <w:t>35/50</w:t>
            </w:r>
          </w:p>
        </w:tc>
        <w:tc>
          <w:tcPr>
            <w:tcW w:w="882" w:type="dxa"/>
          </w:tcPr>
          <w:p w:rsidR="000C27BF" w:rsidRPr="00B8717B" w:rsidRDefault="000C27BF" w:rsidP="00556540">
            <w:pPr>
              <w:jc w:val="center"/>
              <w:rPr>
                <w:rFonts w:ascii="Calibri" w:hAnsi="Calibri"/>
                <w:sz w:val="18"/>
                <w:szCs w:val="18"/>
              </w:rPr>
            </w:pPr>
            <w:r w:rsidRPr="00B8717B">
              <w:rPr>
                <w:rFonts w:ascii="Calibri" w:hAnsi="Calibri"/>
                <w:sz w:val="18"/>
                <w:szCs w:val="18"/>
              </w:rPr>
              <w:t>50/70</w:t>
            </w:r>
          </w:p>
        </w:tc>
      </w:tr>
      <w:tr w:rsidR="000C27BF" w:rsidRPr="00B8717B" w:rsidTr="00556540">
        <w:tc>
          <w:tcPr>
            <w:tcW w:w="534" w:type="dxa"/>
          </w:tcPr>
          <w:p w:rsidR="000C27BF" w:rsidRPr="00B8717B" w:rsidRDefault="000C27BF" w:rsidP="00556540">
            <w:pPr>
              <w:jc w:val="center"/>
              <w:rPr>
                <w:rFonts w:ascii="Calibri" w:hAnsi="Calibri"/>
                <w:sz w:val="18"/>
                <w:szCs w:val="18"/>
              </w:rPr>
            </w:pPr>
            <w:r w:rsidRPr="00B8717B">
              <w:rPr>
                <w:rFonts w:ascii="Calibri" w:hAnsi="Calibri"/>
                <w:sz w:val="18"/>
                <w:szCs w:val="18"/>
              </w:rPr>
              <w:t>1</w:t>
            </w:r>
          </w:p>
        </w:tc>
        <w:tc>
          <w:tcPr>
            <w:tcW w:w="3260" w:type="dxa"/>
            <w:gridSpan w:val="2"/>
          </w:tcPr>
          <w:p w:rsidR="000C27BF" w:rsidRPr="00B8717B" w:rsidRDefault="000C27BF" w:rsidP="00556540">
            <w:pPr>
              <w:jc w:val="center"/>
              <w:rPr>
                <w:rFonts w:ascii="Calibri" w:hAnsi="Calibri"/>
                <w:sz w:val="18"/>
                <w:szCs w:val="18"/>
              </w:rPr>
            </w:pPr>
            <w:r w:rsidRPr="00B8717B">
              <w:rPr>
                <w:rFonts w:ascii="Calibri" w:hAnsi="Calibri"/>
                <w:sz w:val="18"/>
                <w:szCs w:val="18"/>
              </w:rPr>
              <w:t>2</w:t>
            </w:r>
          </w:p>
        </w:tc>
        <w:tc>
          <w:tcPr>
            <w:tcW w:w="1984" w:type="dxa"/>
          </w:tcPr>
          <w:p w:rsidR="000C27BF" w:rsidRPr="00B8717B" w:rsidRDefault="000C27BF" w:rsidP="00556540">
            <w:pPr>
              <w:jc w:val="center"/>
              <w:rPr>
                <w:rFonts w:ascii="Calibri" w:hAnsi="Calibri"/>
                <w:sz w:val="18"/>
                <w:szCs w:val="18"/>
              </w:rPr>
            </w:pPr>
            <w:r w:rsidRPr="00B8717B">
              <w:rPr>
                <w:rFonts w:ascii="Calibri" w:hAnsi="Calibri"/>
                <w:sz w:val="18"/>
                <w:szCs w:val="18"/>
              </w:rPr>
              <w:t>3</w:t>
            </w:r>
          </w:p>
        </w:tc>
        <w:tc>
          <w:tcPr>
            <w:tcW w:w="851" w:type="dxa"/>
          </w:tcPr>
          <w:p w:rsidR="000C27BF" w:rsidRPr="00B8717B" w:rsidRDefault="000C27BF" w:rsidP="00556540">
            <w:pPr>
              <w:jc w:val="center"/>
              <w:rPr>
                <w:rFonts w:ascii="Calibri" w:hAnsi="Calibri"/>
                <w:sz w:val="18"/>
                <w:szCs w:val="18"/>
              </w:rPr>
            </w:pPr>
            <w:r w:rsidRPr="00B8717B">
              <w:rPr>
                <w:rFonts w:ascii="Calibri" w:hAnsi="Calibri"/>
                <w:sz w:val="18"/>
                <w:szCs w:val="18"/>
              </w:rPr>
              <w:t>4</w:t>
            </w:r>
          </w:p>
        </w:tc>
        <w:tc>
          <w:tcPr>
            <w:tcW w:w="882" w:type="dxa"/>
          </w:tcPr>
          <w:p w:rsidR="000C27BF" w:rsidRPr="00B8717B" w:rsidRDefault="000C27BF" w:rsidP="00556540">
            <w:pPr>
              <w:jc w:val="center"/>
              <w:rPr>
                <w:rFonts w:ascii="Calibri" w:hAnsi="Calibri"/>
                <w:sz w:val="18"/>
                <w:szCs w:val="18"/>
              </w:rPr>
            </w:pPr>
            <w:r w:rsidRPr="00B8717B">
              <w:rPr>
                <w:rFonts w:ascii="Calibri" w:hAnsi="Calibri"/>
                <w:sz w:val="18"/>
                <w:szCs w:val="18"/>
              </w:rPr>
              <w:t>5</w:t>
            </w:r>
          </w:p>
        </w:tc>
      </w:tr>
      <w:tr w:rsidR="000C27BF" w:rsidRPr="00B8717B" w:rsidTr="00556540">
        <w:tc>
          <w:tcPr>
            <w:tcW w:w="7511" w:type="dxa"/>
            <w:gridSpan w:val="6"/>
          </w:tcPr>
          <w:p w:rsidR="000C27BF" w:rsidRPr="00B8717B" w:rsidRDefault="000C27BF" w:rsidP="00556540">
            <w:pPr>
              <w:jc w:val="center"/>
              <w:rPr>
                <w:rFonts w:ascii="Calibri" w:hAnsi="Calibri"/>
                <w:sz w:val="18"/>
                <w:szCs w:val="18"/>
              </w:rPr>
            </w:pPr>
            <w:r w:rsidRPr="00B8717B">
              <w:rPr>
                <w:rFonts w:ascii="Calibri" w:hAnsi="Calibri"/>
                <w:sz w:val="18"/>
                <w:szCs w:val="18"/>
              </w:rPr>
              <w:t>WŁAŚCIWOŚCI   OBLIGATORYJNE</w:t>
            </w:r>
          </w:p>
        </w:tc>
      </w:tr>
      <w:tr w:rsidR="000C27BF" w:rsidRPr="00B8717B" w:rsidTr="00556540">
        <w:tc>
          <w:tcPr>
            <w:tcW w:w="534" w:type="dxa"/>
          </w:tcPr>
          <w:p w:rsidR="000C27BF" w:rsidRPr="00B8717B" w:rsidRDefault="000C27BF" w:rsidP="00556540">
            <w:pPr>
              <w:spacing w:before="60" w:after="60"/>
              <w:jc w:val="center"/>
              <w:rPr>
                <w:rFonts w:ascii="Calibri" w:hAnsi="Calibri"/>
                <w:sz w:val="18"/>
                <w:szCs w:val="18"/>
              </w:rPr>
            </w:pPr>
            <w:r w:rsidRPr="00B8717B">
              <w:rPr>
                <w:rFonts w:ascii="Calibri" w:hAnsi="Calibri"/>
                <w:sz w:val="18"/>
                <w:szCs w:val="18"/>
              </w:rPr>
              <w:t>1</w:t>
            </w:r>
          </w:p>
        </w:tc>
        <w:tc>
          <w:tcPr>
            <w:tcW w:w="2409" w:type="dxa"/>
          </w:tcPr>
          <w:p w:rsidR="000C27BF" w:rsidRPr="00B8717B" w:rsidRDefault="000C27BF" w:rsidP="00556540">
            <w:pPr>
              <w:spacing w:before="60" w:after="60"/>
              <w:rPr>
                <w:rFonts w:ascii="Calibri" w:hAnsi="Calibri"/>
                <w:sz w:val="18"/>
                <w:szCs w:val="18"/>
              </w:rPr>
            </w:pPr>
            <w:r w:rsidRPr="00B8717B">
              <w:rPr>
                <w:rFonts w:ascii="Calibri" w:hAnsi="Calibri"/>
                <w:sz w:val="18"/>
                <w:szCs w:val="18"/>
              </w:rPr>
              <w:t xml:space="preserve">Penetracja w </w:t>
            </w:r>
            <w:smartTag w:uri="urn:schemas-microsoft-com:office:smarttags" w:element="metricconverter">
              <w:smartTagPr>
                <w:attr w:name="ProductID" w:val="25ﾰC"/>
              </w:smartTagPr>
              <w:r w:rsidRPr="00B8717B">
                <w:rPr>
                  <w:rFonts w:ascii="Calibri" w:hAnsi="Calibri"/>
                  <w:sz w:val="18"/>
                  <w:szCs w:val="18"/>
                </w:rPr>
                <w:t>25°C</w:t>
              </w:r>
            </w:smartTag>
          </w:p>
        </w:tc>
        <w:tc>
          <w:tcPr>
            <w:tcW w:w="851" w:type="dxa"/>
          </w:tcPr>
          <w:p w:rsidR="000C27BF" w:rsidRPr="00B8717B" w:rsidRDefault="000C27BF" w:rsidP="00556540">
            <w:pPr>
              <w:spacing w:before="60" w:after="60"/>
              <w:jc w:val="center"/>
              <w:rPr>
                <w:rFonts w:ascii="Calibri" w:hAnsi="Calibri"/>
                <w:sz w:val="18"/>
                <w:szCs w:val="18"/>
              </w:rPr>
            </w:pPr>
            <w:smartTag w:uri="urn:schemas-microsoft-com:office:smarttags" w:element="metricconverter">
              <w:smartTagPr>
                <w:attr w:name="ProductID" w:val="0,1 mm"/>
              </w:smartTagPr>
              <w:r w:rsidRPr="00B8717B">
                <w:rPr>
                  <w:rFonts w:ascii="Calibri" w:hAnsi="Calibri"/>
                  <w:sz w:val="18"/>
                  <w:szCs w:val="18"/>
                </w:rPr>
                <w:t>0,1 mm</w:t>
              </w:r>
            </w:smartTag>
          </w:p>
        </w:tc>
        <w:tc>
          <w:tcPr>
            <w:tcW w:w="1984" w:type="dxa"/>
          </w:tcPr>
          <w:p w:rsidR="000C27BF" w:rsidRPr="00B8717B" w:rsidRDefault="000C27BF" w:rsidP="00556540">
            <w:pPr>
              <w:spacing w:before="60" w:after="60"/>
              <w:jc w:val="center"/>
              <w:rPr>
                <w:rFonts w:ascii="Calibri" w:hAnsi="Calibri"/>
                <w:sz w:val="18"/>
                <w:szCs w:val="18"/>
              </w:rPr>
            </w:pPr>
            <w:r w:rsidRPr="00B8717B">
              <w:rPr>
                <w:rFonts w:ascii="Calibri" w:hAnsi="Calibri"/>
                <w:sz w:val="18"/>
                <w:szCs w:val="18"/>
              </w:rPr>
              <w:t>PN-EN 1426 [21]</w:t>
            </w:r>
          </w:p>
        </w:tc>
        <w:tc>
          <w:tcPr>
            <w:tcW w:w="851" w:type="dxa"/>
          </w:tcPr>
          <w:p w:rsidR="000C27BF" w:rsidRPr="00B8717B" w:rsidRDefault="000C27BF" w:rsidP="00556540">
            <w:pPr>
              <w:spacing w:before="60" w:after="60"/>
              <w:jc w:val="center"/>
              <w:rPr>
                <w:rFonts w:ascii="Calibri" w:hAnsi="Calibri"/>
                <w:sz w:val="18"/>
                <w:szCs w:val="18"/>
              </w:rPr>
            </w:pPr>
            <w:r w:rsidRPr="00B8717B">
              <w:rPr>
                <w:rFonts w:ascii="Calibri" w:hAnsi="Calibri"/>
                <w:sz w:val="18"/>
                <w:szCs w:val="18"/>
              </w:rPr>
              <w:t>35÷50</w:t>
            </w:r>
          </w:p>
        </w:tc>
        <w:tc>
          <w:tcPr>
            <w:tcW w:w="882" w:type="dxa"/>
          </w:tcPr>
          <w:p w:rsidR="000C27BF" w:rsidRPr="00B8717B" w:rsidRDefault="000C27BF" w:rsidP="00556540">
            <w:pPr>
              <w:spacing w:before="60" w:after="60"/>
              <w:jc w:val="center"/>
              <w:rPr>
                <w:rFonts w:ascii="Calibri" w:hAnsi="Calibri"/>
                <w:sz w:val="18"/>
                <w:szCs w:val="18"/>
              </w:rPr>
            </w:pPr>
            <w:r w:rsidRPr="00B8717B">
              <w:rPr>
                <w:rFonts w:ascii="Calibri" w:hAnsi="Calibri"/>
                <w:sz w:val="18"/>
                <w:szCs w:val="18"/>
              </w:rPr>
              <w:t>50÷70</w:t>
            </w:r>
          </w:p>
        </w:tc>
      </w:tr>
      <w:tr w:rsidR="000C27BF" w:rsidRPr="00B8717B" w:rsidTr="00556540">
        <w:tc>
          <w:tcPr>
            <w:tcW w:w="534" w:type="dxa"/>
          </w:tcPr>
          <w:p w:rsidR="000C27BF" w:rsidRPr="00B8717B" w:rsidRDefault="000C27BF" w:rsidP="00556540">
            <w:pPr>
              <w:spacing w:before="60" w:after="60"/>
              <w:jc w:val="center"/>
              <w:rPr>
                <w:rFonts w:ascii="Calibri" w:hAnsi="Calibri"/>
                <w:sz w:val="18"/>
                <w:szCs w:val="18"/>
              </w:rPr>
            </w:pPr>
            <w:r w:rsidRPr="00B8717B">
              <w:rPr>
                <w:rFonts w:ascii="Calibri" w:hAnsi="Calibri"/>
                <w:sz w:val="18"/>
                <w:szCs w:val="18"/>
              </w:rPr>
              <w:t>2</w:t>
            </w:r>
          </w:p>
        </w:tc>
        <w:tc>
          <w:tcPr>
            <w:tcW w:w="2409" w:type="dxa"/>
          </w:tcPr>
          <w:p w:rsidR="000C27BF" w:rsidRDefault="000C27BF" w:rsidP="00556540">
            <w:pPr>
              <w:spacing w:before="60" w:after="60"/>
              <w:rPr>
                <w:rFonts w:ascii="Calibri" w:hAnsi="Calibri"/>
                <w:sz w:val="18"/>
                <w:szCs w:val="18"/>
              </w:rPr>
            </w:pPr>
            <w:r w:rsidRPr="00B8717B">
              <w:rPr>
                <w:rFonts w:ascii="Calibri" w:hAnsi="Calibri"/>
                <w:sz w:val="18"/>
                <w:szCs w:val="18"/>
              </w:rPr>
              <w:t xml:space="preserve">Temperatura </w:t>
            </w:r>
            <w:r>
              <w:rPr>
                <w:rFonts w:ascii="Calibri" w:hAnsi="Calibri"/>
                <w:sz w:val="18"/>
                <w:szCs w:val="18"/>
              </w:rPr>
              <w:t>pięknienia</w:t>
            </w:r>
          </w:p>
          <w:p w:rsidR="000C27BF" w:rsidRPr="00B8717B" w:rsidRDefault="000C27BF" w:rsidP="00556540">
            <w:pPr>
              <w:spacing w:before="60" w:after="60"/>
              <w:rPr>
                <w:rFonts w:ascii="Calibri" w:hAnsi="Calibri"/>
                <w:sz w:val="18"/>
                <w:szCs w:val="18"/>
              </w:rPr>
            </w:pPr>
          </w:p>
        </w:tc>
        <w:tc>
          <w:tcPr>
            <w:tcW w:w="851" w:type="dxa"/>
          </w:tcPr>
          <w:p w:rsidR="000C27BF" w:rsidRPr="00B8717B" w:rsidRDefault="000C27BF" w:rsidP="00556540">
            <w:pPr>
              <w:spacing w:before="60" w:after="60"/>
              <w:jc w:val="center"/>
              <w:rPr>
                <w:rFonts w:ascii="Calibri" w:hAnsi="Calibri"/>
                <w:sz w:val="18"/>
                <w:szCs w:val="18"/>
              </w:rPr>
            </w:pPr>
            <w:r w:rsidRPr="00B8717B">
              <w:rPr>
                <w:rFonts w:ascii="Calibri" w:hAnsi="Calibri"/>
                <w:sz w:val="18"/>
                <w:szCs w:val="18"/>
              </w:rPr>
              <w:t>°C</w:t>
            </w:r>
          </w:p>
        </w:tc>
        <w:tc>
          <w:tcPr>
            <w:tcW w:w="1984" w:type="dxa"/>
          </w:tcPr>
          <w:p w:rsidR="000C27BF" w:rsidRPr="00B8717B" w:rsidRDefault="000C27BF" w:rsidP="00556540">
            <w:pPr>
              <w:spacing w:before="60" w:after="60"/>
              <w:jc w:val="center"/>
              <w:rPr>
                <w:rFonts w:ascii="Calibri" w:hAnsi="Calibri"/>
                <w:sz w:val="18"/>
                <w:szCs w:val="18"/>
              </w:rPr>
            </w:pPr>
            <w:r w:rsidRPr="00B8717B">
              <w:rPr>
                <w:rFonts w:ascii="Calibri" w:hAnsi="Calibri"/>
                <w:sz w:val="18"/>
                <w:szCs w:val="18"/>
              </w:rPr>
              <w:t>PN-EN 1427 [22]</w:t>
            </w:r>
          </w:p>
        </w:tc>
        <w:tc>
          <w:tcPr>
            <w:tcW w:w="851" w:type="dxa"/>
          </w:tcPr>
          <w:p w:rsidR="000C27BF" w:rsidRPr="00B8717B" w:rsidRDefault="000C27BF" w:rsidP="00556540">
            <w:pPr>
              <w:spacing w:before="60" w:after="60"/>
              <w:jc w:val="center"/>
              <w:rPr>
                <w:rFonts w:ascii="Calibri" w:hAnsi="Calibri"/>
                <w:sz w:val="18"/>
                <w:szCs w:val="18"/>
              </w:rPr>
            </w:pPr>
            <w:r w:rsidRPr="00B8717B">
              <w:rPr>
                <w:rFonts w:ascii="Calibri" w:hAnsi="Calibri"/>
                <w:sz w:val="18"/>
                <w:szCs w:val="18"/>
              </w:rPr>
              <w:t>50÷58</w:t>
            </w:r>
          </w:p>
        </w:tc>
        <w:tc>
          <w:tcPr>
            <w:tcW w:w="882" w:type="dxa"/>
          </w:tcPr>
          <w:p w:rsidR="000C27BF" w:rsidRPr="00B8717B" w:rsidRDefault="000C27BF" w:rsidP="00556540">
            <w:pPr>
              <w:spacing w:before="60" w:after="60"/>
              <w:jc w:val="center"/>
              <w:rPr>
                <w:rFonts w:ascii="Calibri" w:hAnsi="Calibri"/>
                <w:sz w:val="18"/>
                <w:szCs w:val="18"/>
              </w:rPr>
            </w:pPr>
            <w:r w:rsidRPr="00B8717B">
              <w:rPr>
                <w:rFonts w:ascii="Calibri" w:hAnsi="Calibri"/>
                <w:sz w:val="18"/>
                <w:szCs w:val="18"/>
              </w:rPr>
              <w:t>46÷54</w:t>
            </w:r>
          </w:p>
        </w:tc>
      </w:tr>
      <w:tr w:rsidR="000C27BF" w:rsidRPr="00B8717B" w:rsidTr="00556540">
        <w:tc>
          <w:tcPr>
            <w:tcW w:w="534" w:type="dxa"/>
          </w:tcPr>
          <w:p w:rsidR="000C27BF" w:rsidRPr="00B8717B" w:rsidRDefault="000C27BF" w:rsidP="00556540">
            <w:pPr>
              <w:jc w:val="center"/>
              <w:rPr>
                <w:rFonts w:ascii="Calibri" w:hAnsi="Calibri"/>
                <w:sz w:val="18"/>
                <w:szCs w:val="18"/>
              </w:rPr>
            </w:pPr>
            <w:r w:rsidRPr="00B8717B">
              <w:rPr>
                <w:rFonts w:ascii="Calibri" w:hAnsi="Calibri"/>
                <w:sz w:val="18"/>
                <w:szCs w:val="18"/>
              </w:rPr>
              <w:t>3</w:t>
            </w:r>
          </w:p>
        </w:tc>
        <w:tc>
          <w:tcPr>
            <w:tcW w:w="2409" w:type="dxa"/>
          </w:tcPr>
          <w:p w:rsidR="000C27BF" w:rsidRPr="00B8717B" w:rsidRDefault="000C27BF" w:rsidP="00556540">
            <w:pPr>
              <w:rPr>
                <w:rFonts w:ascii="Calibri" w:hAnsi="Calibri"/>
                <w:sz w:val="18"/>
                <w:szCs w:val="18"/>
              </w:rPr>
            </w:pPr>
            <w:r w:rsidRPr="00B8717B">
              <w:rPr>
                <w:rFonts w:ascii="Calibri" w:hAnsi="Calibri"/>
                <w:sz w:val="18"/>
                <w:szCs w:val="18"/>
              </w:rPr>
              <w:t xml:space="preserve">Temperatura zapłonu, </w:t>
            </w:r>
          </w:p>
          <w:p w:rsidR="000C27BF" w:rsidRDefault="000C27BF" w:rsidP="00556540">
            <w:pPr>
              <w:rPr>
                <w:rFonts w:ascii="Calibri" w:hAnsi="Calibri"/>
                <w:sz w:val="18"/>
                <w:szCs w:val="18"/>
              </w:rPr>
            </w:pPr>
            <w:r w:rsidRPr="00B8717B">
              <w:rPr>
                <w:rFonts w:ascii="Calibri" w:hAnsi="Calibri"/>
                <w:sz w:val="18"/>
                <w:szCs w:val="18"/>
              </w:rPr>
              <w:t>nie mniej niż</w:t>
            </w:r>
          </w:p>
          <w:p w:rsidR="000C27BF" w:rsidRPr="00B8717B" w:rsidRDefault="000C27BF" w:rsidP="00556540">
            <w:pPr>
              <w:rPr>
                <w:rFonts w:ascii="Calibri" w:hAnsi="Calibri"/>
                <w:sz w:val="18"/>
                <w:szCs w:val="18"/>
              </w:rPr>
            </w:pPr>
          </w:p>
        </w:tc>
        <w:tc>
          <w:tcPr>
            <w:tcW w:w="851" w:type="dxa"/>
          </w:tcPr>
          <w:p w:rsidR="000C27BF" w:rsidRPr="00B8717B" w:rsidRDefault="000C27BF" w:rsidP="00556540">
            <w:pPr>
              <w:spacing w:before="120"/>
              <w:jc w:val="center"/>
              <w:rPr>
                <w:rFonts w:ascii="Calibri" w:hAnsi="Calibri"/>
                <w:sz w:val="18"/>
                <w:szCs w:val="18"/>
              </w:rPr>
            </w:pPr>
            <w:r w:rsidRPr="00B8717B">
              <w:rPr>
                <w:rFonts w:ascii="Calibri" w:hAnsi="Calibri"/>
                <w:sz w:val="18"/>
                <w:szCs w:val="18"/>
              </w:rPr>
              <w:t>°C</w:t>
            </w:r>
          </w:p>
        </w:tc>
        <w:tc>
          <w:tcPr>
            <w:tcW w:w="1984" w:type="dxa"/>
          </w:tcPr>
          <w:p w:rsidR="000C27BF" w:rsidRPr="00B8717B" w:rsidRDefault="000C27BF" w:rsidP="00556540">
            <w:pPr>
              <w:spacing w:before="120"/>
              <w:jc w:val="center"/>
              <w:rPr>
                <w:rFonts w:ascii="Calibri" w:hAnsi="Calibri"/>
                <w:sz w:val="18"/>
                <w:szCs w:val="18"/>
              </w:rPr>
            </w:pPr>
            <w:r w:rsidRPr="00B8717B">
              <w:rPr>
                <w:rFonts w:ascii="Calibri" w:hAnsi="Calibri"/>
                <w:sz w:val="18"/>
                <w:szCs w:val="18"/>
              </w:rPr>
              <w:t>PN-EN 22592 [62]</w:t>
            </w:r>
          </w:p>
        </w:tc>
        <w:tc>
          <w:tcPr>
            <w:tcW w:w="851" w:type="dxa"/>
          </w:tcPr>
          <w:p w:rsidR="000C27BF" w:rsidRPr="00B8717B" w:rsidRDefault="000C27BF" w:rsidP="00556540">
            <w:pPr>
              <w:spacing w:before="120"/>
              <w:jc w:val="center"/>
              <w:rPr>
                <w:rFonts w:ascii="Calibri" w:hAnsi="Calibri"/>
                <w:sz w:val="18"/>
                <w:szCs w:val="18"/>
              </w:rPr>
            </w:pPr>
            <w:r w:rsidRPr="00B8717B">
              <w:rPr>
                <w:rFonts w:ascii="Calibri" w:hAnsi="Calibri"/>
                <w:sz w:val="18"/>
                <w:szCs w:val="18"/>
              </w:rPr>
              <w:t>240</w:t>
            </w:r>
          </w:p>
        </w:tc>
        <w:tc>
          <w:tcPr>
            <w:tcW w:w="882" w:type="dxa"/>
          </w:tcPr>
          <w:p w:rsidR="000C27BF" w:rsidRPr="00B8717B" w:rsidRDefault="000C27BF" w:rsidP="00556540">
            <w:pPr>
              <w:spacing w:before="120"/>
              <w:jc w:val="center"/>
              <w:rPr>
                <w:rFonts w:ascii="Calibri" w:hAnsi="Calibri"/>
                <w:sz w:val="18"/>
                <w:szCs w:val="18"/>
              </w:rPr>
            </w:pPr>
            <w:r w:rsidRPr="00B8717B">
              <w:rPr>
                <w:rFonts w:ascii="Calibri" w:hAnsi="Calibri"/>
                <w:sz w:val="18"/>
                <w:szCs w:val="18"/>
              </w:rPr>
              <w:t>230</w:t>
            </w:r>
          </w:p>
        </w:tc>
      </w:tr>
      <w:tr w:rsidR="000C27BF" w:rsidRPr="00B8717B" w:rsidTr="00556540">
        <w:tc>
          <w:tcPr>
            <w:tcW w:w="534" w:type="dxa"/>
          </w:tcPr>
          <w:p w:rsidR="000C27BF" w:rsidRPr="00B8717B" w:rsidRDefault="000C27BF" w:rsidP="00556540">
            <w:pPr>
              <w:jc w:val="center"/>
              <w:rPr>
                <w:rFonts w:ascii="Calibri" w:hAnsi="Calibri"/>
                <w:sz w:val="18"/>
                <w:szCs w:val="18"/>
              </w:rPr>
            </w:pPr>
            <w:r w:rsidRPr="00B8717B">
              <w:rPr>
                <w:rFonts w:ascii="Calibri" w:hAnsi="Calibri"/>
                <w:sz w:val="18"/>
                <w:szCs w:val="18"/>
              </w:rPr>
              <w:t>4</w:t>
            </w:r>
          </w:p>
        </w:tc>
        <w:tc>
          <w:tcPr>
            <w:tcW w:w="2409" w:type="dxa"/>
          </w:tcPr>
          <w:p w:rsidR="000C27BF" w:rsidRPr="00B8717B" w:rsidRDefault="000C27BF" w:rsidP="00556540">
            <w:pPr>
              <w:jc w:val="left"/>
              <w:rPr>
                <w:rFonts w:ascii="Calibri" w:hAnsi="Calibri"/>
                <w:sz w:val="18"/>
                <w:szCs w:val="18"/>
              </w:rPr>
            </w:pPr>
            <w:r w:rsidRPr="00B8717B">
              <w:rPr>
                <w:rFonts w:ascii="Calibri" w:hAnsi="Calibri"/>
                <w:sz w:val="18"/>
                <w:szCs w:val="18"/>
              </w:rPr>
              <w:t xml:space="preserve">Zawartość składników rozpuszczalnych, </w:t>
            </w:r>
          </w:p>
          <w:p w:rsidR="000C27BF" w:rsidRPr="00B8717B" w:rsidRDefault="000C27BF" w:rsidP="00556540">
            <w:pPr>
              <w:jc w:val="left"/>
              <w:rPr>
                <w:rFonts w:ascii="Calibri" w:hAnsi="Calibri"/>
                <w:sz w:val="18"/>
                <w:szCs w:val="18"/>
              </w:rPr>
            </w:pPr>
            <w:r w:rsidRPr="00B8717B">
              <w:rPr>
                <w:rFonts w:ascii="Calibri" w:hAnsi="Calibri"/>
                <w:sz w:val="18"/>
                <w:szCs w:val="18"/>
              </w:rPr>
              <w:t>nie mniej niż</w:t>
            </w:r>
          </w:p>
        </w:tc>
        <w:tc>
          <w:tcPr>
            <w:tcW w:w="851" w:type="dxa"/>
          </w:tcPr>
          <w:p w:rsidR="000C27BF" w:rsidRPr="00B8717B" w:rsidRDefault="000C27BF" w:rsidP="00556540">
            <w:pPr>
              <w:jc w:val="center"/>
              <w:rPr>
                <w:rFonts w:ascii="Calibri" w:hAnsi="Calibri"/>
                <w:sz w:val="18"/>
                <w:szCs w:val="18"/>
              </w:rPr>
            </w:pPr>
          </w:p>
          <w:p w:rsidR="000C27BF" w:rsidRPr="00B8717B" w:rsidRDefault="000C27BF" w:rsidP="00556540">
            <w:pPr>
              <w:jc w:val="center"/>
              <w:rPr>
                <w:rFonts w:ascii="Calibri" w:hAnsi="Calibri"/>
                <w:sz w:val="18"/>
                <w:szCs w:val="18"/>
              </w:rPr>
            </w:pPr>
            <w:r w:rsidRPr="00B8717B">
              <w:rPr>
                <w:rFonts w:ascii="Calibri" w:hAnsi="Calibri"/>
                <w:sz w:val="18"/>
                <w:szCs w:val="18"/>
              </w:rPr>
              <w:t>% m/m</w:t>
            </w:r>
          </w:p>
        </w:tc>
        <w:tc>
          <w:tcPr>
            <w:tcW w:w="1984" w:type="dxa"/>
          </w:tcPr>
          <w:p w:rsidR="000C27BF" w:rsidRPr="00B8717B" w:rsidRDefault="000C27BF" w:rsidP="00556540">
            <w:pPr>
              <w:jc w:val="center"/>
              <w:rPr>
                <w:rFonts w:ascii="Calibri" w:hAnsi="Calibri"/>
                <w:sz w:val="18"/>
                <w:szCs w:val="18"/>
              </w:rPr>
            </w:pPr>
          </w:p>
          <w:p w:rsidR="000C27BF" w:rsidRPr="00B8717B" w:rsidRDefault="000C27BF" w:rsidP="00556540">
            <w:pPr>
              <w:jc w:val="center"/>
              <w:rPr>
                <w:rFonts w:ascii="Calibri" w:hAnsi="Calibri"/>
                <w:sz w:val="18"/>
                <w:szCs w:val="18"/>
              </w:rPr>
            </w:pPr>
            <w:r w:rsidRPr="00B8717B">
              <w:rPr>
                <w:rFonts w:ascii="Calibri" w:hAnsi="Calibri"/>
                <w:sz w:val="18"/>
                <w:szCs w:val="18"/>
              </w:rPr>
              <w:t>PN-EN 12592 [28]</w:t>
            </w:r>
          </w:p>
        </w:tc>
        <w:tc>
          <w:tcPr>
            <w:tcW w:w="851" w:type="dxa"/>
          </w:tcPr>
          <w:p w:rsidR="000C27BF" w:rsidRPr="00B8717B" w:rsidRDefault="000C27BF" w:rsidP="00556540">
            <w:pPr>
              <w:jc w:val="center"/>
              <w:rPr>
                <w:rFonts w:ascii="Calibri" w:hAnsi="Calibri"/>
                <w:sz w:val="18"/>
                <w:szCs w:val="18"/>
              </w:rPr>
            </w:pPr>
          </w:p>
          <w:p w:rsidR="000C27BF" w:rsidRPr="00B8717B" w:rsidRDefault="000C27BF" w:rsidP="00556540">
            <w:pPr>
              <w:jc w:val="center"/>
              <w:rPr>
                <w:rFonts w:ascii="Calibri" w:hAnsi="Calibri"/>
                <w:sz w:val="18"/>
                <w:szCs w:val="18"/>
              </w:rPr>
            </w:pPr>
            <w:r w:rsidRPr="00B8717B">
              <w:rPr>
                <w:rFonts w:ascii="Calibri" w:hAnsi="Calibri"/>
                <w:sz w:val="18"/>
                <w:szCs w:val="18"/>
              </w:rPr>
              <w:t>99</w:t>
            </w:r>
          </w:p>
        </w:tc>
        <w:tc>
          <w:tcPr>
            <w:tcW w:w="882" w:type="dxa"/>
          </w:tcPr>
          <w:p w:rsidR="000C27BF" w:rsidRPr="00B8717B" w:rsidRDefault="000C27BF" w:rsidP="00556540">
            <w:pPr>
              <w:jc w:val="center"/>
              <w:rPr>
                <w:rFonts w:ascii="Calibri" w:hAnsi="Calibri"/>
                <w:sz w:val="18"/>
                <w:szCs w:val="18"/>
              </w:rPr>
            </w:pPr>
          </w:p>
          <w:p w:rsidR="000C27BF" w:rsidRPr="00B8717B" w:rsidRDefault="000C27BF" w:rsidP="00556540">
            <w:pPr>
              <w:jc w:val="center"/>
              <w:rPr>
                <w:rFonts w:ascii="Calibri" w:hAnsi="Calibri"/>
                <w:sz w:val="18"/>
                <w:szCs w:val="18"/>
              </w:rPr>
            </w:pPr>
            <w:r w:rsidRPr="00B8717B">
              <w:rPr>
                <w:rFonts w:ascii="Calibri" w:hAnsi="Calibri"/>
                <w:sz w:val="18"/>
                <w:szCs w:val="18"/>
              </w:rPr>
              <w:t>99</w:t>
            </w:r>
          </w:p>
        </w:tc>
      </w:tr>
      <w:tr w:rsidR="000C27BF" w:rsidRPr="00B8717B" w:rsidTr="00556540">
        <w:tc>
          <w:tcPr>
            <w:tcW w:w="534" w:type="dxa"/>
          </w:tcPr>
          <w:p w:rsidR="000C27BF" w:rsidRPr="00B8717B" w:rsidRDefault="000C27BF" w:rsidP="00556540">
            <w:pPr>
              <w:jc w:val="center"/>
              <w:rPr>
                <w:rFonts w:ascii="Calibri" w:hAnsi="Calibri"/>
                <w:sz w:val="18"/>
                <w:szCs w:val="18"/>
              </w:rPr>
            </w:pPr>
            <w:r w:rsidRPr="00B8717B">
              <w:rPr>
                <w:rFonts w:ascii="Calibri" w:hAnsi="Calibri"/>
                <w:sz w:val="18"/>
                <w:szCs w:val="18"/>
              </w:rPr>
              <w:t>5</w:t>
            </w:r>
          </w:p>
        </w:tc>
        <w:tc>
          <w:tcPr>
            <w:tcW w:w="2409" w:type="dxa"/>
          </w:tcPr>
          <w:p w:rsidR="000C27BF" w:rsidRPr="00B8717B" w:rsidRDefault="000C27BF" w:rsidP="00556540">
            <w:pPr>
              <w:rPr>
                <w:rFonts w:ascii="Calibri" w:hAnsi="Calibri"/>
                <w:sz w:val="18"/>
                <w:szCs w:val="18"/>
              </w:rPr>
            </w:pPr>
            <w:r w:rsidRPr="00B8717B">
              <w:rPr>
                <w:rFonts w:ascii="Calibri" w:hAnsi="Calibri"/>
                <w:sz w:val="18"/>
                <w:szCs w:val="18"/>
              </w:rPr>
              <w:t xml:space="preserve">Zmiana masy po starzeniu (ubytek lub przyrost), </w:t>
            </w:r>
          </w:p>
          <w:p w:rsidR="000C27BF" w:rsidRPr="00B8717B" w:rsidRDefault="000C27BF" w:rsidP="00556540">
            <w:pPr>
              <w:rPr>
                <w:rFonts w:ascii="Calibri" w:hAnsi="Calibri"/>
                <w:sz w:val="18"/>
                <w:szCs w:val="18"/>
              </w:rPr>
            </w:pPr>
            <w:r w:rsidRPr="00B8717B">
              <w:rPr>
                <w:rFonts w:ascii="Calibri" w:hAnsi="Calibri"/>
                <w:sz w:val="18"/>
                <w:szCs w:val="18"/>
              </w:rPr>
              <w:t>nie więcej niż</w:t>
            </w:r>
          </w:p>
        </w:tc>
        <w:tc>
          <w:tcPr>
            <w:tcW w:w="851" w:type="dxa"/>
          </w:tcPr>
          <w:p w:rsidR="000C27BF" w:rsidRPr="00B8717B" w:rsidRDefault="000C27BF" w:rsidP="00556540">
            <w:pPr>
              <w:jc w:val="center"/>
              <w:rPr>
                <w:rFonts w:ascii="Calibri" w:hAnsi="Calibri"/>
                <w:sz w:val="18"/>
                <w:szCs w:val="18"/>
              </w:rPr>
            </w:pPr>
          </w:p>
          <w:p w:rsidR="000C27BF" w:rsidRPr="00B8717B" w:rsidRDefault="000C27BF" w:rsidP="00556540">
            <w:pPr>
              <w:jc w:val="center"/>
              <w:rPr>
                <w:rFonts w:ascii="Calibri" w:hAnsi="Calibri"/>
                <w:sz w:val="18"/>
                <w:szCs w:val="18"/>
              </w:rPr>
            </w:pPr>
            <w:r w:rsidRPr="00B8717B">
              <w:rPr>
                <w:rFonts w:ascii="Calibri" w:hAnsi="Calibri"/>
                <w:sz w:val="18"/>
                <w:szCs w:val="18"/>
              </w:rPr>
              <w:t>% m/m</w:t>
            </w:r>
          </w:p>
        </w:tc>
        <w:tc>
          <w:tcPr>
            <w:tcW w:w="1984" w:type="dxa"/>
          </w:tcPr>
          <w:p w:rsidR="000C27BF" w:rsidRPr="00B8717B" w:rsidRDefault="000C27BF" w:rsidP="00556540">
            <w:pPr>
              <w:jc w:val="center"/>
              <w:rPr>
                <w:rFonts w:ascii="Calibri" w:hAnsi="Calibri"/>
                <w:sz w:val="18"/>
                <w:szCs w:val="18"/>
              </w:rPr>
            </w:pPr>
          </w:p>
          <w:p w:rsidR="000C27BF" w:rsidRPr="00B8717B" w:rsidRDefault="000C27BF" w:rsidP="00556540">
            <w:pPr>
              <w:jc w:val="center"/>
              <w:rPr>
                <w:rFonts w:ascii="Calibri" w:hAnsi="Calibri"/>
                <w:sz w:val="18"/>
                <w:szCs w:val="18"/>
              </w:rPr>
            </w:pPr>
            <w:r w:rsidRPr="00B8717B">
              <w:rPr>
                <w:rFonts w:ascii="Calibri" w:hAnsi="Calibri"/>
                <w:sz w:val="18"/>
                <w:szCs w:val="18"/>
              </w:rPr>
              <w:t>PN-EN 12607-1 [31]</w:t>
            </w:r>
          </w:p>
        </w:tc>
        <w:tc>
          <w:tcPr>
            <w:tcW w:w="851" w:type="dxa"/>
          </w:tcPr>
          <w:p w:rsidR="000C27BF" w:rsidRPr="00B8717B" w:rsidRDefault="000C27BF" w:rsidP="00556540">
            <w:pPr>
              <w:jc w:val="center"/>
              <w:rPr>
                <w:rFonts w:ascii="Calibri" w:hAnsi="Calibri"/>
                <w:sz w:val="18"/>
                <w:szCs w:val="18"/>
              </w:rPr>
            </w:pPr>
          </w:p>
          <w:p w:rsidR="000C27BF" w:rsidRPr="00B8717B" w:rsidRDefault="000C27BF" w:rsidP="00556540">
            <w:pPr>
              <w:jc w:val="center"/>
              <w:rPr>
                <w:rFonts w:ascii="Calibri" w:hAnsi="Calibri"/>
                <w:sz w:val="18"/>
                <w:szCs w:val="18"/>
              </w:rPr>
            </w:pPr>
            <w:r w:rsidRPr="00B8717B">
              <w:rPr>
                <w:rFonts w:ascii="Calibri" w:hAnsi="Calibri"/>
                <w:sz w:val="18"/>
                <w:szCs w:val="18"/>
              </w:rPr>
              <w:t>0,5</w:t>
            </w:r>
          </w:p>
        </w:tc>
        <w:tc>
          <w:tcPr>
            <w:tcW w:w="882" w:type="dxa"/>
          </w:tcPr>
          <w:p w:rsidR="000C27BF" w:rsidRPr="00B8717B" w:rsidRDefault="000C27BF" w:rsidP="00556540">
            <w:pPr>
              <w:jc w:val="center"/>
              <w:rPr>
                <w:rFonts w:ascii="Calibri" w:hAnsi="Calibri"/>
                <w:sz w:val="18"/>
                <w:szCs w:val="18"/>
              </w:rPr>
            </w:pPr>
          </w:p>
          <w:p w:rsidR="000C27BF" w:rsidRPr="00B8717B" w:rsidRDefault="000C27BF" w:rsidP="00556540">
            <w:pPr>
              <w:jc w:val="center"/>
              <w:rPr>
                <w:rFonts w:ascii="Calibri" w:hAnsi="Calibri"/>
                <w:sz w:val="18"/>
                <w:szCs w:val="18"/>
              </w:rPr>
            </w:pPr>
            <w:r w:rsidRPr="00B8717B">
              <w:rPr>
                <w:rFonts w:ascii="Calibri" w:hAnsi="Calibri"/>
                <w:sz w:val="18"/>
                <w:szCs w:val="18"/>
              </w:rPr>
              <w:t>0,5</w:t>
            </w:r>
          </w:p>
        </w:tc>
      </w:tr>
      <w:tr w:rsidR="000C27BF" w:rsidRPr="00B8717B" w:rsidTr="00556540">
        <w:tc>
          <w:tcPr>
            <w:tcW w:w="534" w:type="dxa"/>
          </w:tcPr>
          <w:p w:rsidR="000C27BF" w:rsidRPr="00B8717B" w:rsidRDefault="000C27BF" w:rsidP="00556540">
            <w:pPr>
              <w:jc w:val="center"/>
              <w:rPr>
                <w:rFonts w:ascii="Calibri" w:hAnsi="Calibri"/>
                <w:sz w:val="18"/>
                <w:szCs w:val="18"/>
              </w:rPr>
            </w:pPr>
            <w:r w:rsidRPr="00B8717B">
              <w:rPr>
                <w:rFonts w:ascii="Calibri" w:hAnsi="Calibri"/>
                <w:sz w:val="18"/>
                <w:szCs w:val="18"/>
              </w:rPr>
              <w:t>6</w:t>
            </w:r>
          </w:p>
        </w:tc>
        <w:tc>
          <w:tcPr>
            <w:tcW w:w="2409" w:type="dxa"/>
          </w:tcPr>
          <w:p w:rsidR="000C27BF" w:rsidRPr="00B8717B" w:rsidRDefault="000C27BF" w:rsidP="00556540">
            <w:pPr>
              <w:rPr>
                <w:rFonts w:ascii="Calibri" w:hAnsi="Calibri"/>
                <w:sz w:val="18"/>
                <w:szCs w:val="18"/>
              </w:rPr>
            </w:pPr>
            <w:r w:rsidRPr="00B8717B">
              <w:rPr>
                <w:rFonts w:ascii="Calibri" w:hAnsi="Calibri"/>
                <w:sz w:val="18"/>
                <w:szCs w:val="18"/>
              </w:rPr>
              <w:t>Pozostała penetracja po starzeniu, nie mniej niż</w:t>
            </w:r>
          </w:p>
        </w:tc>
        <w:tc>
          <w:tcPr>
            <w:tcW w:w="851" w:type="dxa"/>
          </w:tcPr>
          <w:p w:rsidR="000C27BF" w:rsidRPr="00B8717B" w:rsidRDefault="000C27BF" w:rsidP="00556540">
            <w:pPr>
              <w:spacing w:before="120"/>
              <w:jc w:val="center"/>
              <w:rPr>
                <w:rFonts w:ascii="Calibri" w:hAnsi="Calibri"/>
                <w:sz w:val="18"/>
                <w:szCs w:val="18"/>
              </w:rPr>
            </w:pPr>
            <w:r w:rsidRPr="00B8717B">
              <w:rPr>
                <w:rFonts w:ascii="Calibri" w:hAnsi="Calibri"/>
                <w:sz w:val="18"/>
                <w:szCs w:val="18"/>
              </w:rPr>
              <w:t>%</w:t>
            </w:r>
          </w:p>
        </w:tc>
        <w:tc>
          <w:tcPr>
            <w:tcW w:w="1984" w:type="dxa"/>
          </w:tcPr>
          <w:p w:rsidR="000C27BF" w:rsidRPr="00B8717B" w:rsidRDefault="000C27BF" w:rsidP="00556540">
            <w:pPr>
              <w:spacing w:before="120"/>
              <w:jc w:val="center"/>
              <w:rPr>
                <w:rFonts w:ascii="Calibri" w:hAnsi="Calibri"/>
                <w:sz w:val="18"/>
                <w:szCs w:val="18"/>
              </w:rPr>
            </w:pPr>
            <w:r w:rsidRPr="00B8717B">
              <w:rPr>
                <w:rFonts w:ascii="Calibri" w:hAnsi="Calibri"/>
                <w:sz w:val="18"/>
                <w:szCs w:val="18"/>
              </w:rPr>
              <w:t>PN-EN 1426 [21]</w:t>
            </w:r>
          </w:p>
        </w:tc>
        <w:tc>
          <w:tcPr>
            <w:tcW w:w="851" w:type="dxa"/>
          </w:tcPr>
          <w:p w:rsidR="000C27BF" w:rsidRPr="00B8717B" w:rsidRDefault="000C27BF" w:rsidP="00556540">
            <w:pPr>
              <w:spacing w:before="120"/>
              <w:jc w:val="center"/>
              <w:rPr>
                <w:rFonts w:ascii="Calibri" w:hAnsi="Calibri"/>
                <w:sz w:val="18"/>
                <w:szCs w:val="18"/>
              </w:rPr>
            </w:pPr>
            <w:r w:rsidRPr="00B8717B">
              <w:rPr>
                <w:rFonts w:ascii="Calibri" w:hAnsi="Calibri"/>
                <w:sz w:val="18"/>
                <w:szCs w:val="18"/>
              </w:rPr>
              <w:t>53</w:t>
            </w:r>
          </w:p>
        </w:tc>
        <w:tc>
          <w:tcPr>
            <w:tcW w:w="882" w:type="dxa"/>
          </w:tcPr>
          <w:p w:rsidR="000C27BF" w:rsidRPr="00B8717B" w:rsidRDefault="000C27BF" w:rsidP="00556540">
            <w:pPr>
              <w:spacing w:before="120"/>
              <w:jc w:val="center"/>
              <w:rPr>
                <w:rFonts w:ascii="Calibri" w:hAnsi="Calibri"/>
                <w:sz w:val="18"/>
                <w:szCs w:val="18"/>
              </w:rPr>
            </w:pPr>
            <w:r w:rsidRPr="00B8717B">
              <w:rPr>
                <w:rFonts w:ascii="Calibri" w:hAnsi="Calibri"/>
                <w:sz w:val="18"/>
                <w:szCs w:val="18"/>
              </w:rPr>
              <w:t>50</w:t>
            </w:r>
          </w:p>
        </w:tc>
      </w:tr>
      <w:tr w:rsidR="000C27BF" w:rsidRPr="00B8717B" w:rsidTr="00556540">
        <w:tc>
          <w:tcPr>
            <w:tcW w:w="534" w:type="dxa"/>
          </w:tcPr>
          <w:p w:rsidR="000C27BF" w:rsidRPr="00B8717B" w:rsidRDefault="000C27BF" w:rsidP="00556540">
            <w:pPr>
              <w:jc w:val="center"/>
              <w:rPr>
                <w:rFonts w:ascii="Calibri" w:hAnsi="Calibri"/>
                <w:sz w:val="18"/>
                <w:szCs w:val="18"/>
              </w:rPr>
            </w:pPr>
            <w:r w:rsidRPr="00B8717B">
              <w:rPr>
                <w:rFonts w:ascii="Calibri" w:hAnsi="Calibri"/>
                <w:sz w:val="18"/>
                <w:szCs w:val="18"/>
              </w:rPr>
              <w:t>7</w:t>
            </w:r>
          </w:p>
        </w:tc>
        <w:tc>
          <w:tcPr>
            <w:tcW w:w="2409" w:type="dxa"/>
          </w:tcPr>
          <w:p w:rsidR="000C27BF" w:rsidRPr="00B8717B" w:rsidRDefault="000C27BF" w:rsidP="00556540">
            <w:pPr>
              <w:rPr>
                <w:rFonts w:ascii="Calibri" w:hAnsi="Calibri"/>
                <w:sz w:val="18"/>
                <w:szCs w:val="18"/>
              </w:rPr>
            </w:pPr>
            <w:r w:rsidRPr="00B8717B">
              <w:rPr>
                <w:rFonts w:ascii="Calibri" w:hAnsi="Calibri"/>
                <w:sz w:val="18"/>
                <w:szCs w:val="18"/>
              </w:rPr>
              <w:t>Temperatura mięknienia po starzeniu, nie mniej niż</w:t>
            </w:r>
          </w:p>
        </w:tc>
        <w:tc>
          <w:tcPr>
            <w:tcW w:w="851" w:type="dxa"/>
          </w:tcPr>
          <w:p w:rsidR="000C27BF" w:rsidRPr="00B8717B" w:rsidRDefault="000C27BF" w:rsidP="00556540">
            <w:pPr>
              <w:spacing w:before="120"/>
              <w:jc w:val="center"/>
              <w:rPr>
                <w:rFonts w:ascii="Calibri" w:hAnsi="Calibri"/>
                <w:sz w:val="18"/>
                <w:szCs w:val="18"/>
              </w:rPr>
            </w:pPr>
            <w:r w:rsidRPr="00B8717B">
              <w:rPr>
                <w:rFonts w:ascii="Calibri" w:hAnsi="Calibri"/>
                <w:sz w:val="18"/>
                <w:szCs w:val="18"/>
              </w:rPr>
              <w:t>°C</w:t>
            </w:r>
          </w:p>
        </w:tc>
        <w:tc>
          <w:tcPr>
            <w:tcW w:w="1984" w:type="dxa"/>
          </w:tcPr>
          <w:p w:rsidR="000C27BF" w:rsidRPr="00B8717B" w:rsidRDefault="000C27BF" w:rsidP="00556540">
            <w:pPr>
              <w:spacing w:before="120"/>
              <w:jc w:val="center"/>
              <w:rPr>
                <w:rFonts w:ascii="Calibri" w:hAnsi="Calibri"/>
                <w:sz w:val="18"/>
                <w:szCs w:val="18"/>
              </w:rPr>
            </w:pPr>
            <w:r w:rsidRPr="00B8717B">
              <w:rPr>
                <w:rFonts w:ascii="Calibri" w:hAnsi="Calibri"/>
                <w:sz w:val="18"/>
                <w:szCs w:val="18"/>
              </w:rPr>
              <w:t>PN-EN 1427 [22]</w:t>
            </w:r>
          </w:p>
        </w:tc>
        <w:tc>
          <w:tcPr>
            <w:tcW w:w="851" w:type="dxa"/>
          </w:tcPr>
          <w:p w:rsidR="000C27BF" w:rsidRPr="00B8717B" w:rsidRDefault="000C27BF" w:rsidP="00556540">
            <w:pPr>
              <w:spacing w:before="120"/>
              <w:jc w:val="center"/>
              <w:rPr>
                <w:rFonts w:ascii="Calibri" w:hAnsi="Calibri"/>
                <w:sz w:val="18"/>
                <w:szCs w:val="18"/>
              </w:rPr>
            </w:pPr>
            <w:r w:rsidRPr="00B8717B">
              <w:rPr>
                <w:rFonts w:ascii="Calibri" w:hAnsi="Calibri"/>
                <w:sz w:val="18"/>
                <w:szCs w:val="18"/>
              </w:rPr>
              <w:t>52</w:t>
            </w:r>
          </w:p>
        </w:tc>
        <w:tc>
          <w:tcPr>
            <w:tcW w:w="882" w:type="dxa"/>
          </w:tcPr>
          <w:p w:rsidR="000C27BF" w:rsidRPr="00B8717B" w:rsidRDefault="000C27BF" w:rsidP="00556540">
            <w:pPr>
              <w:spacing w:before="120"/>
              <w:jc w:val="center"/>
              <w:rPr>
                <w:rFonts w:ascii="Calibri" w:hAnsi="Calibri"/>
                <w:sz w:val="18"/>
                <w:szCs w:val="18"/>
              </w:rPr>
            </w:pPr>
            <w:r w:rsidRPr="00B8717B">
              <w:rPr>
                <w:rFonts w:ascii="Calibri" w:hAnsi="Calibri"/>
                <w:sz w:val="18"/>
                <w:szCs w:val="18"/>
              </w:rPr>
              <w:t>48</w:t>
            </w:r>
          </w:p>
        </w:tc>
      </w:tr>
      <w:tr w:rsidR="000C27BF" w:rsidRPr="00B8717B" w:rsidTr="00556540">
        <w:tc>
          <w:tcPr>
            <w:tcW w:w="7511" w:type="dxa"/>
            <w:gridSpan w:val="6"/>
          </w:tcPr>
          <w:p w:rsidR="000C27BF" w:rsidRPr="00B8717B" w:rsidRDefault="000C27BF" w:rsidP="00556540">
            <w:pPr>
              <w:jc w:val="center"/>
              <w:rPr>
                <w:rFonts w:ascii="Calibri" w:hAnsi="Calibri"/>
                <w:sz w:val="18"/>
                <w:szCs w:val="18"/>
              </w:rPr>
            </w:pPr>
            <w:r w:rsidRPr="00B8717B">
              <w:rPr>
                <w:rFonts w:ascii="Calibri" w:hAnsi="Calibri"/>
                <w:sz w:val="18"/>
                <w:szCs w:val="18"/>
              </w:rPr>
              <w:lastRenderedPageBreak/>
              <w:t>WŁAŚCIWOŚCI   SPECJALNE   KRAJOWE</w:t>
            </w:r>
          </w:p>
        </w:tc>
      </w:tr>
      <w:tr w:rsidR="000C27BF" w:rsidRPr="00B8717B" w:rsidTr="00556540">
        <w:tc>
          <w:tcPr>
            <w:tcW w:w="534" w:type="dxa"/>
          </w:tcPr>
          <w:p w:rsidR="000C27BF" w:rsidRPr="00B8717B" w:rsidRDefault="000C27BF" w:rsidP="00556540">
            <w:pPr>
              <w:jc w:val="center"/>
              <w:rPr>
                <w:rFonts w:ascii="Calibri" w:hAnsi="Calibri"/>
                <w:sz w:val="18"/>
                <w:szCs w:val="18"/>
              </w:rPr>
            </w:pPr>
            <w:r w:rsidRPr="00B8717B">
              <w:rPr>
                <w:rFonts w:ascii="Calibri" w:hAnsi="Calibri"/>
                <w:sz w:val="18"/>
                <w:szCs w:val="18"/>
              </w:rPr>
              <w:t>1</w:t>
            </w:r>
          </w:p>
        </w:tc>
        <w:tc>
          <w:tcPr>
            <w:tcW w:w="2409" w:type="dxa"/>
          </w:tcPr>
          <w:p w:rsidR="000C27BF" w:rsidRPr="00B8717B" w:rsidRDefault="000C27BF" w:rsidP="00556540">
            <w:pPr>
              <w:jc w:val="center"/>
              <w:rPr>
                <w:rFonts w:ascii="Calibri" w:hAnsi="Calibri"/>
                <w:sz w:val="18"/>
                <w:szCs w:val="18"/>
              </w:rPr>
            </w:pPr>
            <w:r w:rsidRPr="00B8717B">
              <w:rPr>
                <w:rFonts w:ascii="Calibri" w:hAnsi="Calibri"/>
                <w:sz w:val="18"/>
                <w:szCs w:val="18"/>
              </w:rPr>
              <w:t>2</w:t>
            </w:r>
          </w:p>
        </w:tc>
        <w:tc>
          <w:tcPr>
            <w:tcW w:w="851" w:type="dxa"/>
          </w:tcPr>
          <w:p w:rsidR="000C27BF" w:rsidRPr="00B8717B" w:rsidRDefault="000C27BF" w:rsidP="00556540">
            <w:pPr>
              <w:jc w:val="center"/>
              <w:rPr>
                <w:rFonts w:ascii="Calibri" w:hAnsi="Calibri"/>
                <w:sz w:val="18"/>
                <w:szCs w:val="18"/>
              </w:rPr>
            </w:pPr>
            <w:r w:rsidRPr="00B8717B">
              <w:rPr>
                <w:rFonts w:ascii="Calibri" w:hAnsi="Calibri"/>
                <w:sz w:val="18"/>
                <w:szCs w:val="18"/>
              </w:rPr>
              <w:t>3</w:t>
            </w:r>
          </w:p>
        </w:tc>
        <w:tc>
          <w:tcPr>
            <w:tcW w:w="1984" w:type="dxa"/>
          </w:tcPr>
          <w:p w:rsidR="000C27BF" w:rsidRPr="00B8717B" w:rsidRDefault="000C27BF" w:rsidP="00556540">
            <w:pPr>
              <w:jc w:val="center"/>
              <w:rPr>
                <w:rFonts w:ascii="Calibri" w:hAnsi="Calibri"/>
                <w:sz w:val="18"/>
                <w:szCs w:val="18"/>
              </w:rPr>
            </w:pPr>
            <w:r w:rsidRPr="00B8717B">
              <w:rPr>
                <w:rFonts w:ascii="Calibri" w:hAnsi="Calibri"/>
                <w:sz w:val="18"/>
                <w:szCs w:val="18"/>
              </w:rPr>
              <w:t>4</w:t>
            </w:r>
          </w:p>
        </w:tc>
        <w:tc>
          <w:tcPr>
            <w:tcW w:w="851" w:type="dxa"/>
          </w:tcPr>
          <w:p w:rsidR="000C27BF" w:rsidRPr="00B8717B" w:rsidRDefault="000C27BF" w:rsidP="00556540">
            <w:pPr>
              <w:jc w:val="center"/>
              <w:rPr>
                <w:rFonts w:ascii="Calibri" w:hAnsi="Calibri"/>
                <w:sz w:val="18"/>
                <w:szCs w:val="18"/>
              </w:rPr>
            </w:pPr>
            <w:r w:rsidRPr="00B8717B">
              <w:rPr>
                <w:rFonts w:ascii="Calibri" w:hAnsi="Calibri"/>
                <w:sz w:val="18"/>
                <w:szCs w:val="18"/>
              </w:rPr>
              <w:t>5</w:t>
            </w:r>
          </w:p>
        </w:tc>
        <w:tc>
          <w:tcPr>
            <w:tcW w:w="882" w:type="dxa"/>
          </w:tcPr>
          <w:p w:rsidR="000C27BF" w:rsidRPr="00B8717B" w:rsidRDefault="000C27BF" w:rsidP="00556540">
            <w:pPr>
              <w:jc w:val="center"/>
              <w:rPr>
                <w:rFonts w:ascii="Calibri" w:hAnsi="Calibri"/>
                <w:sz w:val="18"/>
                <w:szCs w:val="18"/>
              </w:rPr>
            </w:pPr>
            <w:r w:rsidRPr="00B8717B">
              <w:rPr>
                <w:rFonts w:ascii="Calibri" w:hAnsi="Calibri"/>
                <w:sz w:val="18"/>
                <w:szCs w:val="18"/>
              </w:rPr>
              <w:t>1</w:t>
            </w:r>
          </w:p>
        </w:tc>
      </w:tr>
      <w:tr w:rsidR="000C27BF" w:rsidRPr="00B8717B" w:rsidTr="00556540">
        <w:tc>
          <w:tcPr>
            <w:tcW w:w="534" w:type="dxa"/>
          </w:tcPr>
          <w:p w:rsidR="000C27BF" w:rsidRPr="00B8717B" w:rsidRDefault="000C27BF" w:rsidP="00556540">
            <w:pPr>
              <w:jc w:val="center"/>
              <w:rPr>
                <w:rFonts w:ascii="Calibri" w:hAnsi="Calibri"/>
                <w:sz w:val="18"/>
                <w:szCs w:val="18"/>
              </w:rPr>
            </w:pPr>
            <w:r w:rsidRPr="00B8717B">
              <w:rPr>
                <w:rFonts w:ascii="Calibri" w:hAnsi="Calibri"/>
                <w:sz w:val="18"/>
                <w:szCs w:val="18"/>
              </w:rPr>
              <w:t>8</w:t>
            </w:r>
          </w:p>
        </w:tc>
        <w:tc>
          <w:tcPr>
            <w:tcW w:w="2409" w:type="dxa"/>
          </w:tcPr>
          <w:p w:rsidR="000C27BF" w:rsidRPr="00B8717B" w:rsidRDefault="000C27BF" w:rsidP="00556540">
            <w:pPr>
              <w:rPr>
                <w:rFonts w:ascii="Calibri" w:hAnsi="Calibri"/>
                <w:sz w:val="18"/>
                <w:szCs w:val="18"/>
              </w:rPr>
            </w:pPr>
            <w:r w:rsidRPr="00B8717B">
              <w:rPr>
                <w:rFonts w:ascii="Calibri" w:hAnsi="Calibri"/>
                <w:sz w:val="18"/>
                <w:szCs w:val="18"/>
              </w:rPr>
              <w:t xml:space="preserve">Zawartość parafiny, </w:t>
            </w:r>
          </w:p>
          <w:p w:rsidR="000C27BF" w:rsidRPr="00B8717B" w:rsidRDefault="000C27BF" w:rsidP="00556540">
            <w:pPr>
              <w:rPr>
                <w:rFonts w:ascii="Calibri" w:hAnsi="Calibri"/>
                <w:sz w:val="18"/>
                <w:szCs w:val="18"/>
              </w:rPr>
            </w:pPr>
            <w:r w:rsidRPr="00B8717B">
              <w:rPr>
                <w:rFonts w:ascii="Calibri" w:hAnsi="Calibri"/>
                <w:sz w:val="18"/>
                <w:szCs w:val="18"/>
              </w:rPr>
              <w:t>nie więcej niż</w:t>
            </w:r>
          </w:p>
        </w:tc>
        <w:tc>
          <w:tcPr>
            <w:tcW w:w="851" w:type="dxa"/>
          </w:tcPr>
          <w:p w:rsidR="000C27BF" w:rsidRPr="00B8717B" w:rsidRDefault="000C27BF" w:rsidP="00556540">
            <w:pPr>
              <w:spacing w:before="120"/>
              <w:jc w:val="center"/>
              <w:rPr>
                <w:rFonts w:ascii="Calibri" w:hAnsi="Calibri"/>
                <w:sz w:val="18"/>
                <w:szCs w:val="18"/>
              </w:rPr>
            </w:pPr>
            <w:r w:rsidRPr="00B8717B">
              <w:rPr>
                <w:rFonts w:ascii="Calibri" w:hAnsi="Calibri"/>
                <w:sz w:val="18"/>
                <w:szCs w:val="18"/>
              </w:rPr>
              <w:t>%</w:t>
            </w:r>
          </w:p>
        </w:tc>
        <w:tc>
          <w:tcPr>
            <w:tcW w:w="1984" w:type="dxa"/>
          </w:tcPr>
          <w:p w:rsidR="000C27BF" w:rsidRPr="00B8717B" w:rsidRDefault="000C27BF" w:rsidP="00556540">
            <w:pPr>
              <w:spacing w:before="120"/>
              <w:jc w:val="center"/>
              <w:rPr>
                <w:rFonts w:ascii="Calibri" w:hAnsi="Calibri"/>
                <w:sz w:val="18"/>
                <w:szCs w:val="18"/>
              </w:rPr>
            </w:pPr>
            <w:r w:rsidRPr="00B8717B">
              <w:rPr>
                <w:rFonts w:ascii="Calibri" w:hAnsi="Calibri"/>
                <w:sz w:val="18"/>
                <w:szCs w:val="18"/>
              </w:rPr>
              <w:t>PN-EN 12606-1 [30]</w:t>
            </w:r>
          </w:p>
        </w:tc>
        <w:tc>
          <w:tcPr>
            <w:tcW w:w="851" w:type="dxa"/>
          </w:tcPr>
          <w:p w:rsidR="000C27BF" w:rsidRPr="00B8717B" w:rsidRDefault="000C27BF" w:rsidP="00556540">
            <w:pPr>
              <w:spacing w:before="120"/>
              <w:jc w:val="center"/>
              <w:rPr>
                <w:rFonts w:ascii="Calibri" w:hAnsi="Calibri"/>
                <w:sz w:val="18"/>
                <w:szCs w:val="18"/>
              </w:rPr>
            </w:pPr>
            <w:r w:rsidRPr="00B8717B">
              <w:rPr>
                <w:rFonts w:ascii="Calibri" w:hAnsi="Calibri"/>
                <w:sz w:val="18"/>
                <w:szCs w:val="18"/>
              </w:rPr>
              <w:t>2,2</w:t>
            </w:r>
          </w:p>
        </w:tc>
        <w:tc>
          <w:tcPr>
            <w:tcW w:w="882" w:type="dxa"/>
          </w:tcPr>
          <w:p w:rsidR="000C27BF" w:rsidRPr="00B8717B" w:rsidRDefault="000C27BF" w:rsidP="00556540">
            <w:pPr>
              <w:spacing w:before="120"/>
              <w:jc w:val="center"/>
              <w:rPr>
                <w:rFonts w:ascii="Calibri" w:hAnsi="Calibri"/>
                <w:sz w:val="18"/>
                <w:szCs w:val="18"/>
              </w:rPr>
            </w:pPr>
            <w:r w:rsidRPr="00B8717B">
              <w:rPr>
                <w:rFonts w:ascii="Calibri" w:hAnsi="Calibri"/>
                <w:sz w:val="18"/>
                <w:szCs w:val="18"/>
              </w:rPr>
              <w:t>2,2</w:t>
            </w:r>
          </w:p>
        </w:tc>
      </w:tr>
      <w:tr w:rsidR="000C27BF" w:rsidRPr="00B8717B" w:rsidTr="00556540">
        <w:tc>
          <w:tcPr>
            <w:tcW w:w="534" w:type="dxa"/>
          </w:tcPr>
          <w:p w:rsidR="000C27BF" w:rsidRPr="00B8717B" w:rsidRDefault="000C27BF" w:rsidP="00556540">
            <w:pPr>
              <w:jc w:val="center"/>
              <w:rPr>
                <w:rFonts w:ascii="Calibri" w:hAnsi="Calibri"/>
                <w:sz w:val="18"/>
                <w:szCs w:val="18"/>
              </w:rPr>
            </w:pPr>
            <w:r w:rsidRPr="00B8717B">
              <w:rPr>
                <w:rFonts w:ascii="Calibri" w:hAnsi="Calibri"/>
                <w:sz w:val="18"/>
                <w:szCs w:val="18"/>
              </w:rPr>
              <w:t>9</w:t>
            </w:r>
          </w:p>
        </w:tc>
        <w:tc>
          <w:tcPr>
            <w:tcW w:w="2409" w:type="dxa"/>
          </w:tcPr>
          <w:p w:rsidR="000C27BF" w:rsidRPr="00B8717B" w:rsidRDefault="000C27BF" w:rsidP="00556540">
            <w:pPr>
              <w:rPr>
                <w:rFonts w:ascii="Calibri" w:hAnsi="Calibri"/>
                <w:sz w:val="18"/>
                <w:szCs w:val="18"/>
              </w:rPr>
            </w:pPr>
            <w:r w:rsidRPr="00B8717B">
              <w:rPr>
                <w:rFonts w:ascii="Calibri" w:hAnsi="Calibri"/>
                <w:sz w:val="18"/>
                <w:szCs w:val="18"/>
              </w:rPr>
              <w:t>Wzrost temp. mięknienia po starzeniu, nie więcej niż</w:t>
            </w:r>
          </w:p>
        </w:tc>
        <w:tc>
          <w:tcPr>
            <w:tcW w:w="851" w:type="dxa"/>
          </w:tcPr>
          <w:p w:rsidR="000C27BF" w:rsidRPr="00B8717B" w:rsidRDefault="000C27BF" w:rsidP="00556540">
            <w:pPr>
              <w:spacing w:before="120"/>
              <w:jc w:val="center"/>
              <w:rPr>
                <w:rFonts w:ascii="Calibri" w:hAnsi="Calibri"/>
                <w:sz w:val="18"/>
                <w:szCs w:val="18"/>
              </w:rPr>
            </w:pPr>
            <w:r w:rsidRPr="00B8717B">
              <w:rPr>
                <w:rFonts w:ascii="Calibri" w:hAnsi="Calibri"/>
                <w:sz w:val="18"/>
                <w:szCs w:val="18"/>
              </w:rPr>
              <w:t>°C</w:t>
            </w:r>
          </w:p>
        </w:tc>
        <w:tc>
          <w:tcPr>
            <w:tcW w:w="1984" w:type="dxa"/>
          </w:tcPr>
          <w:p w:rsidR="000C27BF" w:rsidRPr="00B8717B" w:rsidRDefault="000C27BF" w:rsidP="00556540">
            <w:pPr>
              <w:spacing w:before="120"/>
              <w:jc w:val="center"/>
              <w:rPr>
                <w:rFonts w:ascii="Calibri" w:hAnsi="Calibri"/>
                <w:sz w:val="18"/>
                <w:szCs w:val="18"/>
              </w:rPr>
            </w:pPr>
            <w:r w:rsidRPr="00B8717B">
              <w:rPr>
                <w:rFonts w:ascii="Calibri" w:hAnsi="Calibri"/>
                <w:sz w:val="18"/>
                <w:szCs w:val="18"/>
              </w:rPr>
              <w:t>PN-EN 1427 [22]</w:t>
            </w:r>
          </w:p>
        </w:tc>
        <w:tc>
          <w:tcPr>
            <w:tcW w:w="851" w:type="dxa"/>
          </w:tcPr>
          <w:p w:rsidR="000C27BF" w:rsidRPr="00B8717B" w:rsidRDefault="000C27BF" w:rsidP="00556540">
            <w:pPr>
              <w:spacing w:before="120"/>
              <w:jc w:val="center"/>
              <w:rPr>
                <w:rFonts w:ascii="Calibri" w:hAnsi="Calibri"/>
                <w:sz w:val="18"/>
                <w:szCs w:val="18"/>
              </w:rPr>
            </w:pPr>
            <w:r w:rsidRPr="00B8717B">
              <w:rPr>
                <w:rFonts w:ascii="Calibri" w:hAnsi="Calibri"/>
                <w:sz w:val="18"/>
                <w:szCs w:val="18"/>
              </w:rPr>
              <w:t>8</w:t>
            </w:r>
          </w:p>
        </w:tc>
        <w:tc>
          <w:tcPr>
            <w:tcW w:w="882" w:type="dxa"/>
          </w:tcPr>
          <w:p w:rsidR="000C27BF" w:rsidRPr="00B8717B" w:rsidRDefault="000C27BF" w:rsidP="00556540">
            <w:pPr>
              <w:spacing w:before="120"/>
              <w:jc w:val="center"/>
              <w:rPr>
                <w:rFonts w:ascii="Calibri" w:hAnsi="Calibri"/>
                <w:sz w:val="18"/>
                <w:szCs w:val="18"/>
              </w:rPr>
            </w:pPr>
            <w:r w:rsidRPr="00B8717B">
              <w:rPr>
                <w:rFonts w:ascii="Calibri" w:hAnsi="Calibri"/>
                <w:sz w:val="18"/>
                <w:szCs w:val="18"/>
              </w:rPr>
              <w:t>9</w:t>
            </w:r>
          </w:p>
        </w:tc>
      </w:tr>
      <w:tr w:rsidR="000C27BF" w:rsidRPr="00B8717B" w:rsidTr="00556540">
        <w:tc>
          <w:tcPr>
            <w:tcW w:w="534" w:type="dxa"/>
          </w:tcPr>
          <w:p w:rsidR="000C27BF" w:rsidRPr="00B8717B" w:rsidRDefault="000C27BF" w:rsidP="00556540">
            <w:pPr>
              <w:jc w:val="center"/>
              <w:rPr>
                <w:rFonts w:ascii="Calibri" w:hAnsi="Calibri"/>
                <w:sz w:val="18"/>
                <w:szCs w:val="18"/>
              </w:rPr>
            </w:pPr>
            <w:r w:rsidRPr="00B8717B">
              <w:rPr>
                <w:rFonts w:ascii="Calibri" w:hAnsi="Calibri"/>
                <w:sz w:val="18"/>
                <w:szCs w:val="18"/>
              </w:rPr>
              <w:t>10</w:t>
            </w:r>
          </w:p>
        </w:tc>
        <w:tc>
          <w:tcPr>
            <w:tcW w:w="2409" w:type="dxa"/>
          </w:tcPr>
          <w:p w:rsidR="000C27BF" w:rsidRPr="00B8717B" w:rsidRDefault="000C27BF" w:rsidP="00556540">
            <w:pPr>
              <w:rPr>
                <w:rFonts w:ascii="Calibri" w:hAnsi="Calibri"/>
                <w:sz w:val="18"/>
                <w:szCs w:val="18"/>
              </w:rPr>
            </w:pPr>
            <w:r w:rsidRPr="00B8717B">
              <w:rPr>
                <w:rFonts w:ascii="Calibri" w:hAnsi="Calibri"/>
                <w:sz w:val="18"/>
                <w:szCs w:val="18"/>
              </w:rPr>
              <w:t>Temperatura łamliwości Fraassa, nie więcej niż</w:t>
            </w:r>
          </w:p>
        </w:tc>
        <w:tc>
          <w:tcPr>
            <w:tcW w:w="851" w:type="dxa"/>
          </w:tcPr>
          <w:p w:rsidR="000C27BF" w:rsidRPr="00B8717B" w:rsidRDefault="000C27BF" w:rsidP="00556540">
            <w:pPr>
              <w:spacing w:before="120"/>
              <w:jc w:val="center"/>
              <w:rPr>
                <w:rFonts w:ascii="Calibri" w:hAnsi="Calibri"/>
                <w:sz w:val="18"/>
                <w:szCs w:val="18"/>
              </w:rPr>
            </w:pPr>
            <w:r w:rsidRPr="00B8717B">
              <w:rPr>
                <w:rFonts w:ascii="Calibri" w:hAnsi="Calibri"/>
                <w:sz w:val="18"/>
                <w:szCs w:val="18"/>
              </w:rPr>
              <w:t>°C</w:t>
            </w:r>
          </w:p>
        </w:tc>
        <w:tc>
          <w:tcPr>
            <w:tcW w:w="1984" w:type="dxa"/>
          </w:tcPr>
          <w:p w:rsidR="000C27BF" w:rsidRPr="00B8717B" w:rsidRDefault="000C27BF" w:rsidP="00556540">
            <w:pPr>
              <w:spacing w:before="120"/>
              <w:jc w:val="center"/>
              <w:rPr>
                <w:rFonts w:ascii="Calibri" w:hAnsi="Calibri"/>
                <w:sz w:val="18"/>
                <w:szCs w:val="18"/>
              </w:rPr>
            </w:pPr>
            <w:r w:rsidRPr="00B8717B">
              <w:rPr>
                <w:rFonts w:ascii="Calibri" w:hAnsi="Calibri"/>
                <w:sz w:val="18"/>
                <w:szCs w:val="18"/>
              </w:rPr>
              <w:t>PN-EN 12593 [29]</w:t>
            </w:r>
          </w:p>
        </w:tc>
        <w:tc>
          <w:tcPr>
            <w:tcW w:w="851" w:type="dxa"/>
          </w:tcPr>
          <w:p w:rsidR="000C27BF" w:rsidRPr="00B8717B" w:rsidRDefault="000C27BF" w:rsidP="00556540">
            <w:pPr>
              <w:spacing w:before="120"/>
              <w:jc w:val="center"/>
              <w:rPr>
                <w:rFonts w:ascii="Calibri" w:hAnsi="Calibri"/>
                <w:sz w:val="18"/>
                <w:szCs w:val="18"/>
              </w:rPr>
            </w:pPr>
            <w:r w:rsidRPr="00B8717B">
              <w:rPr>
                <w:rFonts w:ascii="Calibri" w:hAnsi="Calibri"/>
                <w:sz w:val="18"/>
                <w:szCs w:val="18"/>
              </w:rPr>
              <w:t>-5</w:t>
            </w:r>
          </w:p>
        </w:tc>
        <w:tc>
          <w:tcPr>
            <w:tcW w:w="882" w:type="dxa"/>
          </w:tcPr>
          <w:p w:rsidR="000C27BF" w:rsidRPr="00B8717B" w:rsidRDefault="000C27BF" w:rsidP="00556540">
            <w:pPr>
              <w:spacing w:before="120"/>
              <w:jc w:val="center"/>
              <w:rPr>
                <w:rFonts w:ascii="Calibri" w:hAnsi="Calibri"/>
                <w:sz w:val="18"/>
                <w:szCs w:val="18"/>
              </w:rPr>
            </w:pPr>
            <w:r w:rsidRPr="00B8717B">
              <w:rPr>
                <w:rFonts w:ascii="Calibri" w:hAnsi="Calibri"/>
                <w:sz w:val="18"/>
                <w:szCs w:val="18"/>
              </w:rPr>
              <w:t>-8</w:t>
            </w:r>
          </w:p>
        </w:tc>
      </w:tr>
    </w:tbl>
    <w:p w:rsidR="008F20A4" w:rsidRDefault="008F20A4" w:rsidP="000C27BF">
      <w:pPr>
        <w:ind w:left="709"/>
        <w:rPr>
          <w:rFonts w:ascii="Calibri" w:hAnsi="Calibri"/>
        </w:rPr>
      </w:pPr>
    </w:p>
    <w:p w:rsidR="000C27BF" w:rsidRPr="00B8717B" w:rsidRDefault="000C27BF" w:rsidP="000C27BF">
      <w:pPr>
        <w:ind w:left="709"/>
        <w:rPr>
          <w:rFonts w:ascii="Calibri" w:hAnsi="Calibri"/>
        </w:rPr>
      </w:pPr>
      <w:r>
        <w:rPr>
          <w:rFonts w:ascii="Calibri" w:hAnsi="Calibri"/>
        </w:rPr>
        <w:t xml:space="preserve">Tablica 4. </w:t>
      </w:r>
      <w:r w:rsidRPr="00B8717B">
        <w:rPr>
          <w:rFonts w:ascii="Calibri" w:hAnsi="Calibri"/>
        </w:rPr>
        <w:t>Wymagania wobec asfaltów modyfikowanych polimerami (polimeroasfaltów) wg PN-EN 14023 [59]</w:t>
      </w:r>
    </w:p>
    <w:tbl>
      <w:tblPr>
        <w:tblW w:w="7796" w:type="dxa"/>
        <w:tblInd w:w="81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tblPr>
      <w:tblGrid>
        <w:gridCol w:w="1276"/>
        <w:gridCol w:w="1172"/>
        <w:gridCol w:w="1663"/>
        <w:gridCol w:w="992"/>
        <w:gridCol w:w="992"/>
        <w:gridCol w:w="1701"/>
      </w:tblGrid>
      <w:tr w:rsidR="000C27BF" w:rsidRPr="00B8717B" w:rsidTr="008F20A4">
        <w:tc>
          <w:tcPr>
            <w:tcW w:w="1276" w:type="dxa"/>
            <w:vMerge w:val="restart"/>
            <w:vAlign w:val="center"/>
          </w:tcPr>
          <w:p w:rsidR="000C27BF" w:rsidRPr="00B8717B" w:rsidRDefault="000C27BF" w:rsidP="00556540">
            <w:pPr>
              <w:jc w:val="center"/>
              <w:rPr>
                <w:rFonts w:ascii="Calibri" w:hAnsi="Calibri"/>
                <w:sz w:val="16"/>
                <w:szCs w:val="16"/>
              </w:rPr>
            </w:pPr>
            <w:r w:rsidRPr="00B8717B">
              <w:rPr>
                <w:rFonts w:ascii="Calibri" w:hAnsi="Calibri"/>
                <w:sz w:val="16"/>
                <w:szCs w:val="16"/>
              </w:rPr>
              <w:t>Wymaganie</w:t>
            </w:r>
          </w:p>
          <w:p w:rsidR="000C27BF" w:rsidRPr="00B8717B" w:rsidRDefault="000C27BF" w:rsidP="00556540">
            <w:pPr>
              <w:jc w:val="center"/>
              <w:rPr>
                <w:rFonts w:ascii="Calibri" w:hAnsi="Calibri"/>
                <w:sz w:val="16"/>
                <w:szCs w:val="16"/>
              </w:rPr>
            </w:pPr>
            <w:r w:rsidRPr="00B8717B">
              <w:rPr>
                <w:rFonts w:ascii="Calibri" w:hAnsi="Calibri"/>
                <w:sz w:val="16"/>
                <w:szCs w:val="16"/>
              </w:rPr>
              <w:t>podstawowe</w:t>
            </w:r>
          </w:p>
        </w:tc>
        <w:tc>
          <w:tcPr>
            <w:tcW w:w="1172" w:type="dxa"/>
            <w:vMerge w:val="restart"/>
            <w:vAlign w:val="center"/>
          </w:tcPr>
          <w:p w:rsidR="000C27BF" w:rsidRPr="00B8717B" w:rsidRDefault="000C27BF" w:rsidP="00556540">
            <w:pPr>
              <w:jc w:val="center"/>
              <w:rPr>
                <w:rFonts w:ascii="Calibri" w:hAnsi="Calibri"/>
                <w:sz w:val="16"/>
                <w:szCs w:val="16"/>
              </w:rPr>
            </w:pPr>
            <w:r w:rsidRPr="00B8717B">
              <w:rPr>
                <w:rFonts w:ascii="Calibri" w:hAnsi="Calibri"/>
                <w:sz w:val="16"/>
                <w:szCs w:val="16"/>
              </w:rPr>
              <w:t>Właściwość</w:t>
            </w:r>
          </w:p>
        </w:tc>
        <w:tc>
          <w:tcPr>
            <w:tcW w:w="1663" w:type="dxa"/>
            <w:vMerge w:val="restart"/>
            <w:vAlign w:val="center"/>
          </w:tcPr>
          <w:p w:rsidR="000C27BF" w:rsidRPr="00B8717B" w:rsidRDefault="000C27BF" w:rsidP="00556540">
            <w:pPr>
              <w:jc w:val="center"/>
              <w:rPr>
                <w:rFonts w:ascii="Calibri" w:hAnsi="Calibri"/>
                <w:sz w:val="16"/>
                <w:szCs w:val="16"/>
              </w:rPr>
            </w:pPr>
            <w:r w:rsidRPr="00B8717B">
              <w:rPr>
                <w:rFonts w:ascii="Calibri" w:hAnsi="Calibri"/>
                <w:sz w:val="16"/>
                <w:szCs w:val="16"/>
              </w:rPr>
              <w:t>Metoda</w:t>
            </w:r>
          </w:p>
          <w:p w:rsidR="000C27BF" w:rsidRPr="00B8717B" w:rsidRDefault="000C27BF" w:rsidP="00556540">
            <w:pPr>
              <w:jc w:val="center"/>
              <w:rPr>
                <w:rFonts w:ascii="Calibri" w:hAnsi="Calibri"/>
                <w:sz w:val="16"/>
                <w:szCs w:val="16"/>
              </w:rPr>
            </w:pPr>
            <w:r w:rsidRPr="00B8717B">
              <w:rPr>
                <w:rFonts w:ascii="Calibri" w:hAnsi="Calibri"/>
                <w:sz w:val="16"/>
                <w:szCs w:val="16"/>
              </w:rPr>
              <w:t>badania</w:t>
            </w:r>
          </w:p>
        </w:tc>
        <w:tc>
          <w:tcPr>
            <w:tcW w:w="992" w:type="dxa"/>
            <w:vMerge w:val="restart"/>
            <w:vAlign w:val="center"/>
          </w:tcPr>
          <w:p w:rsidR="000C27BF" w:rsidRPr="00B8717B" w:rsidRDefault="000C27BF" w:rsidP="00556540">
            <w:pPr>
              <w:jc w:val="center"/>
              <w:rPr>
                <w:rFonts w:ascii="Calibri" w:hAnsi="Calibri"/>
                <w:sz w:val="16"/>
                <w:szCs w:val="16"/>
              </w:rPr>
            </w:pPr>
            <w:r w:rsidRPr="00B8717B">
              <w:rPr>
                <w:rFonts w:ascii="Calibri" w:hAnsi="Calibri"/>
                <w:sz w:val="16"/>
                <w:szCs w:val="16"/>
              </w:rPr>
              <w:t>Jednostka</w:t>
            </w:r>
          </w:p>
        </w:tc>
        <w:tc>
          <w:tcPr>
            <w:tcW w:w="2693" w:type="dxa"/>
            <w:gridSpan w:val="2"/>
          </w:tcPr>
          <w:p w:rsidR="000C27BF" w:rsidRPr="00B8717B" w:rsidRDefault="000C27BF" w:rsidP="00556540">
            <w:pPr>
              <w:rPr>
                <w:rFonts w:ascii="Calibri" w:hAnsi="Calibri"/>
                <w:sz w:val="16"/>
                <w:szCs w:val="16"/>
              </w:rPr>
            </w:pPr>
            <w:r w:rsidRPr="00B8717B">
              <w:rPr>
                <w:rFonts w:ascii="Calibri" w:hAnsi="Calibri"/>
                <w:sz w:val="16"/>
                <w:szCs w:val="16"/>
              </w:rPr>
              <w:t>Gatunki asfaltów modyfikowanych</w:t>
            </w:r>
          </w:p>
          <w:p w:rsidR="000C27BF" w:rsidRPr="00B8717B" w:rsidRDefault="000C27BF" w:rsidP="00556540">
            <w:pPr>
              <w:jc w:val="center"/>
              <w:rPr>
                <w:rFonts w:ascii="Calibri" w:hAnsi="Calibri"/>
                <w:sz w:val="16"/>
                <w:szCs w:val="16"/>
              </w:rPr>
            </w:pPr>
            <w:r w:rsidRPr="00B8717B">
              <w:rPr>
                <w:rFonts w:ascii="Calibri" w:hAnsi="Calibri"/>
                <w:sz w:val="16"/>
                <w:szCs w:val="16"/>
              </w:rPr>
              <w:t>polimerami (PMB)</w:t>
            </w:r>
          </w:p>
        </w:tc>
      </w:tr>
      <w:tr w:rsidR="000C27BF" w:rsidRPr="00B8717B" w:rsidTr="008F20A4">
        <w:tc>
          <w:tcPr>
            <w:tcW w:w="1276" w:type="dxa"/>
            <w:vMerge/>
          </w:tcPr>
          <w:p w:rsidR="000C27BF" w:rsidRPr="00B8717B" w:rsidRDefault="000C27BF" w:rsidP="00556540">
            <w:pPr>
              <w:jc w:val="center"/>
              <w:rPr>
                <w:rFonts w:ascii="Calibri" w:hAnsi="Calibri"/>
                <w:sz w:val="16"/>
                <w:szCs w:val="16"/>
              </w:rPr>
            </w:pPr>
          </w:p>
        </w:tc>
        <w:tc>
          <w:tcPr>
            <w:tcW w:w="1172" w:type="dxa"/>
            <w:vMerge/>
          </w:tcPr>
          <w:p w:rsidR="000C27BF" w:rsidRPr="00B8717B" w:rsidRDefault="000C27BF" w:rsidP="00556540">
            <w:pPr>
              <w:jc w:val="center"/>
              <w:rPr>
                <w:rFonts w:ascii="Calibri" w:hAnsi="Calibri"/>
                <w:sz w:val="16"/>
                <w:szCs w:val="16"/>
              </w:rPr>
            </w:pPr>
          </w:p>
        </w:tc>
        <w:tc>
          <w:tcPr>
            <w:tcW w:w="1663" w:type="dxa"/>
            <w:vMerge/>
          </w:tcPr>
          <w:p w:rsidR="000C27BF" w:rsidRPr="00B8717B" w:rsidRDefault="000C27BF" w:rsidP="00556540">
            <w:pPr>
              <w:jc w:val="center"/>
              <w:rPr>
                <w:rFonts w:ascii="Calibri" w:hAnsi="Calibri"/>
                <w:sz w:val="16"/>
                <w:szCs w:val="16"/>
              </w:rPr>
            </w:pPr>
          </w:p>
        </w:tc>
        <w:tc>
          <w:tcPr>
            <w:tcW w:w="992" w:type="dxa"/>
            <w:vMerge/>
          </w:tcPr>
          <w:p w:rsidR="000C27BF" w:rsidRPr="00B8717B" w:rsidRDefault="000C27BF" w:rsidP="00556540">
            <w:pPr>
              <w:jc w:val="center"/>
              <w:rPr>
                <w:rFonts w:ascii="Calibri" w:hAnsi="Calibri"/>
                <w:sz w:val="16"/>
                <w:szCs w:val="16"/>
              </w:rPr>
            </w:pPr>
          </w:p>
        </w:tc>
        <w:tc>
          <w:tcPr>
            <w:tcW w:w="2693" w:type="dxa"/>
            <w:gridSpan w:val="2"/>
          </w:tcPr>
          <w:p w:rsidR="000C27BF" w:rsidRPr="00B8717B" w:rsidRDefault="000C27BF" w:rsidP="00556540">
            <w:pPr>
              <w:jc w:val="center"/>
              <w:rPr>
                <w:rFonts w:ascii="Calibri" w:hAnsi="Calibri"/>
                <w:sz w:val="16"/>
                <w:szCs w:val="16"/>
              </w:rPr>
            </w:pPr>
            <w:r w:rsidRPr="00B8717B">
              <w:rPr>
                <w:rFonts w:ascii="Calibri" w:hAnsi="Calibri"/>
                <w:sz w:val="16"/>
                <w:szCs w:val="16"/>
              </w:rPr>
              <w:t>25/55 – 60</w:t>
            </w:r>
          </w:p>
        </w:tc>
      </w:tr>
      <w:tr w:rsidR="000C27BF" w:rsidRPr="00B8717B" w:rsidTr="008F20A4">
        <w:tc>
          <w:tcPr>
            <w:tcW w:w="1276" w:type="dxa"/>
            <w:vMerge/>
          </w:tcPr>
          <w:p w:rsidR="000C27BF" w:rsidRPr="00B8717B" w:rsidRDefault="000C27BF" w:rsidP="00556540">
            <w:pPr>
              <w:jc w:val="center"/>
              <w:rPr>
                <w:rFonts w:ascii="Calibri" w:hAnsi="Calibri"/>
                <w:sz w:val="16"/>
                <w:szCs w:val="16"/>
              </w:rPr>
            </w:pPr>
          </w:p>
        </w:tc>
        <w:tc>
          <w:tcPr>
            <w:tcW w:w="1172" w:type="dxa"/>
            <w:vMerge/>
          </w:tcPr>
          <w:p w:rsidR="000C27BF" w:rsidRPr="00B8717B" w:rsidRDefault="000C27BF" w:rsidP="00556540">
            <w:pPr>
              <w:jc w:val="center"/>
              <w:rPr>
                <w:rFonts w:ascii="Calibri" w:hAnsi="Calibri"/>
                <w:sz w:val="16"/>
                <w:szCs w:val="16"/>
              </w:rPr>
            </w:pPr>
          </w:p>
        </w:tc>
        <w:tc>
          <w:tcPr>
            <w:tcW w:w="1663" w:type="dxa"/>
            <w:vMerge/>
          </w:tcPr>
          <w:p w:rsidR="000C27BF" w:rsidRPr="00B8717B" w:rsidRDefault="000C27BF" w:rsidP="00556540">
            <w:pPr>
              <w:jc w:val="center"/>
              <w:rPr>
                <w:rFonts w:ascii="Calibri" w:hAnsi="Calibri"/>
                <w:sz w:val="16"/>
                <w:szCs w:val="16"/>
              </w:rPr>
            </w:pPr>
          </w:p>
        </w:tc>
        <w:tc>
          <w:tcPr>
            <w:tcW w:w="992" w:type="dxa"/>
            <w:vMerge/>
          </w:tcPr>
          <w:p w:rsidR="000C27BF" w:rsidRPr="00B8717B" w:rsidRDefault="000C27BF" w:rsidP="00556540">
            <w:pPr>
              <w:jc w:val="center"/>
              <w:rPr>
                <w:rFonts w:ascii="Calibri" w:hAnsi="Calibri"/>
                <w:sz w:val="16"/>
                <w:szCs w:val="16"/>
              </w:rPr>
            </w:pPr>
          </w:p>
        </w:tc>
        <w:tc>
          <w:tcPr>
            <w:tcW w:w="992" w:type="dxa"/>
          </w:tcPr>
          <w:p w:rsidR="000C27BF" w:rsidRPr="00B8717B" w:rsidRDefault="000C27BF" w:rsidP="00556540">
            <w:pPr>
              <w:spacing w:after="60"/>
              <w:jc w:val="center"/>
              <w:rPr>
                <w:rFonts w:ascii="Calibri" w:hAnsi="Calibri"/>
                <w:sz w:val="16"/>
                <w:szCs w:val="16"/>
              </w:rPr>
            </w:pPr>
            <w:r w:rsidRPr="00B8717B">
              <w:rPr>
                <w:rFonts w:ascii="Calibri" w:hAnsi="Calibri"/>
                <w:sz w:val="16"/>
                <w:szCs w:val="16"/>
              </w:rPr>
              <w:t>wymaganie</w:t>
            </w:r>
          </w:p>
        </w:tc>
        <w:tc>
          <w:tcPr>
            <w:tcW w:w="1701" w:type="dxa"/>
          </w:tcPr>
          <w:p w:rsidR="000C27BF" w:rsidRPr="00B8717B" w:rsidRDefault="000C27BF" w:rsidP="00556540">
            <w:pPr>
              <w:jc w:val="center"/>
              <w:rPr>
                <w:rFonts w:ascii="Calibri" w:hAnsi="Calibri"/>
                <w:sz w:val="16"/>
                <w:szCs w:val="16"/>
              </w:rPr>
            </w:pPr>
            <w:r w:rsidRPr="00B8717B">
              <w:rPr>
                <w:rFonts w:ascii="Calibri" w:hAnsi="Calibri"/>
                <w:sz w:val="16"/>
                <w:szCs w:val="16"/>
              </w:rPr>
              <w:t>klasa</w:t>
            </w:r>
          </w:p>
        </w:tc>
      </w:tr>
      <w:tr w:rsidR="000C27BF" w:rsidRPr="00B8717B" w:rsidTr="008F20A4">
        <w:tc>
          <w:tcPr>
            <w:tcW w:w="1276" w:type="dxa"/>
            <w:tcBorders>
              <w:top w:val="nil"/>
            </w:tcBorders>
          </w:tcPr>
          <w:p w:rsidR="000C27BF" w:rsidRPr="00B8717B" w:rsidRDefault="000C27BF" w:rsidP="00556540">
            <w:pPr>
              <w:jc w:val="center"/>
              <w:rPr>
                <w:rFonts w:ascii="Calibri" w:hAnsi="Calibri"/>
                <w:sz w:val="16"/>
                <w:szCs w:val="16"/>
              </w:rPr>
            </w:pPr>
            <w:r w:rsidRPr="00B8717B">
              <w:rPr>
                <w:rFonts w:ascii="Calibri" w:hAnsi="Calibri"/>
                <w:sz w:val="16"/>
                <w:szCs w:val="16"/>
              </w:rPr>
              <w:t>1</w:t>
            </w:r>
          </w:p>
        </w:tc>
        <w:tc>
          <w:tcPr>
            <w:tcW w:w="1172" w:type="dxa"/>
            <w:tcBorders>
              <w:top w:val="nil"/>
            </w:tcBorders>
          </w:tcPr>
          <w:p w:rsidR="000C27BF" w:rsidRPr="00B8717B" w:rsidRDefault="000C27BF" w:rsidP="00556540">
            <w:pPr>
              <w:jc w:val="center"/>
              <w:rPr>
                <w:rFonts w:ascii="Calibri" w:hAnsi="Calibri"/>
                <w:sz w:val="16"/>
                <w:szCs w:val="16"/>
              </w:rPr>
            </w:pPr>
            <w:r w:rsidRPr="00B8717B">
              <w:rPr>
                <w:rFonts w:ascii="Calibri" w:hAnsi="Calibri"/>
                <w:sz w:val="16"/>
                <w:szCs w:val="16"/>
              </w:rPr>
              <w:t>2</w:t>
            </w:r>
          </w:p>
        </w:tc>
        <w:tc>
          <w:tcPr>
            <w:tcW w:w="1663" w:type="dxa"/>
            <w:tcBorders>
              <w:top w:val="nil"/>
            </w:tcBorders>
          </w:tcPr>
          <w:p w:rsidR="000C27BF" w:rsidRPr="00B8717B" w:rsidRDefault="000C27BF" w:rsidP="00556540">
            <w:pPr>
              <w:jc w:val="center"/>
              <w:rPr>
                <w:rFonts w:ascii="Calibri" w:hAnsi="Calibri"/>
                <w:sz w:val="16"/>
                <w:szCs w:val="16"/>
              </w:rPr>
            </w:pPr>
            <w:r w:rsidRPr="00B8717B">
              <w:rPr>
                <w:rFonts w:ascii="Calibri" w:hAnsi="Calibri"/>
                <w:sz w:val="16"/>
                <w:szCs w:val="16"/>
              </w:rPr>
              <w:t>3</w:t>
            </w:r>
          </w:p>
        </w:tc>
        <w:tc>
          <w:tcPr>
            <w:tcW w:w="992" w:type="dxa"/>
            <w:tcBorders>
              <w:top w:val="nil"/>
            </w:tcBorders>
          </w:tcPr>
          <w:p w:rsidR="000C27BF" w:rsidRPr="00B8717B" w:rsidRDefault="000C27BF" w:rsidP="00556540">
            <w:pPr>
              <w:jc w:val="center"/>
              <w:rPr>
                <w:rFonts w:ascii="Calibri" w:hAnsi="Calibri"/>
                <w:sz w:val="16"/>
                <w:szCs w:val="16"/>
              </w:rPr>
            </w:pPr>
            <w:r w:rsidRPr="00B8717B">
              <w:rPr>
                <w:rFonts w:ascii="Calibri" w:hAnsi="Calibri"/>
                <w:sz w:val="16"/>
                <w:szCs w:val="16"/>
              </w:rPr>
              <w:t>4</w:t>
            </w:r>
          </w:p>
        </w:tc>
        <w:tc>
          <w:tcPr>
            <w:tcW w:w="992" w:type="dxa"/>
          </w:tcPr>
          <w:p w:rsidR="000C27BF" w:rsidRPr="00B8717B" w:rsidRDefault="000C27BF" w:rsidP="00556540">
            <w:pPr>
              <w:spacing w:after="60"/>
              <w:jc w:val="center"/>
              <w:rPr>
                <w:rFonts w:ascii="Calibri" w:hAnsi="Calibri"/>
                <w:sz w:val="16"/>
                <w:szCs w:val="16"/>
              </w:rPr>
            </w:pPr>
            <w:r w:rsidRPr="00B8717B">
              <w:rPr>
                <w:rFonts w:ascii="Calibri" w:hAnsi="Calibri"/>
                <w:sz w:val="16"/>
                <w:szCs w:val="16"/>
              </w:rPr>
              <w:t>5</w:t>
            </w:r>
          </w:p>
        </w:tc>
        <w:tc>
          <w:tcPr>
            <w:tcW w:w="1701" w:type="dxa"/>
          </w:tcPr>
          <w:p w:rsidR="000C27BF" w:rsidRPr="00B8717B" w:rsidRDefault="000C27BF" w:rsidP="00556540">
            <w:pPr>
              <w:jc w:val="center"/>
              <w:rPr>
                <w:rFonts w:ascii="Calibri" w:hAnsi="Calibri"/>
                <w:sz w:val="16"/>
                <w:szCs w:val="16"/>
              </w:rPr>
            </w:pPr>
            <w:r w:rsidRPr="00B8717B">
              <w:rPr>
                <w:rFonts w:ascii="Calibri" w:hAnsi="Calibri"/>
                <w:sz w:val="16"/>
                <w:szCs w:val="16"/>
              </w:rPr>
              <w:t>6</w:t>
            </w:r>
          </w:p>
        </w:tc>
      </w:tr>
      <w:tr w:rsidR="000C27BF" w:rsidRPr="00B8717B" w:rsidTr="008F20A4">
        <w:trPr>
          <w:trHeight w:val="1090"/>
        </w:trPr>
        <w:tc>
          <w:tcPr>
            <w:tcW w:w="1276" w:type="dxa"/>
          </w:tcPr>
          <w:p w:rsidR="000C27BF" w:rsidRDefault="000C27BF" w:rsidP="00556540">
            <w:pPr>
              <w:rPr>
                <w:rFonts w:ascii="Calibri" w:hAnsi="Calibri"/>
                <w:sz w:val="16"/>
                <w:szCs w:val="16"/>
              </w:rPr>
            </w:pPr>
            <w:r w:rsidRPr="00B8717B">
              <w:rPr>
                <w:rFonts w:ascii="Calibri" w:hAnsi="Calibri"/>
                <w:sz w:val="16"/>
                <w:szCs w:val="16"/>
              </w:rPr>
              <w:t>Konsystencja w pośrednich temperatu-rach eksploa-tacyjnych</w:t>
            </w:r>
          </w:p>
          <w:p w:rsidR="000C27BF" w:rsidRPr="00B8717B" w:rsidRDefault="000C27BF" w:rsidP="00556540">
            <w:pPr>
              <w:rPr>
                <w:rFonts w:ascii="Calibri" w:hAnsi="Calibri"/>
                <w:sz w:val="16"/>
                <w:szCs w:val="16"/>
              </w:rPr>
            </w:pPr>
          </w:p>
        </w:tc>
        <w:tc>
          <w:tcPr>
            <w:tcW w:w="1172" w:type="dxa"/>
            <w:vAlign w:val="center"/>
          </w:tcPr>
          <w:p w:rsidR="000C27BF" w:rsidRPr="00B8717B" w:rsidRDefault="000C27BF" w:rsidP="00556540">
            <w:pPr>
              <w:rPr>
                <w:rFonts w:ascii="Calibri" w:hAnsi="Calibri"/>
                <w:sz w:val="16"/>
                <w:szCs w:val="16"/>
              </w:rPr>
            </w:pPr>
            <w:r w:rsidRPr="00B8717B">
              <w:rPr>
                <w:rFonts w:ascii="Calibri" w:hAnsi="Calibri"/>
                <w:sz w:val="16"/>
                <w:szCs w:val="16"/>
              </w:rPr>
              <w:t xml:space="preserve">Penetracja </w:t>
            </w:r>
          </w:p>
          <w:p w:rsidR="000C27BF" w:rsidRPr="00B8717B" w:rsidRDefault="000C27BF" w:rsidP="00556540">
            <w:pPr>
              <w:rPr>
                <w:rFonts w:ascii="Calibri" w:hAnsi="Calibri"/>
                <w:sz w:val="16"/>
                <w:szCs w:val="16"/>
              </w:rPr>
            </w:pPr>
            <w:r w:rsidRPr="00B8717B">
              <w:rPr>
                <w:rFonts w:ascii="Calibri" w:hAnsi="Calibri"/>
                <w:sz w:val="16"/>
                <w:szCs w:val="16"/>
              </w:rPr>
              <w:t xml:space="preserve">w </w:t>
            </w:r>
            <w:smartTag w:uri="urn:schemas-microsoft-com:office:smarttags" w:element="metricconverter">
              <w:smartTagPr>
                <w:attr w:name="ProductID" w:val="25ﾰC"/>
              </w:smartTagPr>
              <w:r w:rsidRPr="00B8717B">
                <w:rPr>
                  <w:rFonts w:ascii="Calibri" w:hAnsi="Calibri"/>
                  <w:sz w:val="16"/>
                  <w:szCs w:val="16"/>
                </w:rPr>
                <w:t>25°C</w:t>
              </w:r>
            </w:smartTag>
          </w:p>
        </w:tc>
        <w:tc>
          <w:tcPr>
            <w:tcW w:w="1663" w:type="dxa"/>
            <w:vAlign w:val="center"/>
          </w:tcPr>
          <w:p w:rsidR="000C27BF" w:rsidRPr="00B8717B" w:rsidRDefault="000C27BF" w:rsidP="00556540">
            <w:pPr>
              <w:tabs>
                <w:tab w:val="left" w:pos="285"/>
              </w:tabs>
              <w:jc w:val="center"/>
              <w:rPr>
                <w:rFonts w:ascii="Calibri" w:hAnsi="Calibri"/>
                <w:sz w:val="16"/>
                <w:szCs w:val="16"/>
              </w:rPr>
            </w:pPr>
            <w:r w:rsidRPr="00B8717B">
              <w:rPr>
                <w:rFonts w:ascii="Calibri" w:hAnsi="Calibri"/>
                <w:sz w:val="16"/>
                <w:szCs w:val="16"/>
              </w:rPr>
              <w:t>PN-EN 1426 [21]</w:t>
            </w:r>
          </w:p>
        </w:tc>
        <w:tc>
          <w:tcPr>
            <w:tcW w:w="992" w:type="dxa"/>
            <w:vAlign w:val="center"/>
          </w:tcPr>
          <w:p w:rsidR="000C27BF" w:rsidRPr="00B8717B" w:rsidRDefault="000C27BF" w:rsidP="00556540">
            <w:pPr>
              <w:jc w:val="center"/>
              <w:rPr>
                <w:rFonts w:ascii="Calibri" w:hAnsi="Calibri"/>
                <w:sz w:val="16"/>
                <w:szCs w:val="16"/>
              </w:rPr>
            </w:pPr>
            <w:smartTag w:uri="urn:schemas-microsoft-com:office:smarttags" w:element="metricconverter">
              <w:smartTagPr>
                <w:attr w:name="ProductID" w:val="0,1 mm"/>
              </w:smartTagPr>
              <w:r w:rsidRPr="00B8717B">
                <w:rPr>
                  <w:rFonts w:ascii="Calibri" w:hAnsi="Calibri"/>
                  <w:sz w:val="16"/>
                  <w:szCs w:val="16"/>
                </w:rPr>
                <w:t>0,1 mm</w:t>
              </w:r>
            </w:smartTag>
          </w:p>
        </w:tc>
        <w:tc>
          <w:tcPr>
            <w:tcW w:w="992" w:type="dxa"/>
            <w:vAlign w:val="center"/>
          </w:tcPr>
          <w:p w:rsidR="000C27BF" w:rsidRPr="00B8717B" w:rsidRDefault="000C27BF" w:rsidP="00556540">
            <w:pPr>
              <w:jc w:val="center"/>
              <w:rPr>
                <w:rFonts w:ascii="Calibri" w:hAnsi="Calibri"/>
                <w:sz w:val="16"/>
                <w:szCs w:val="16"/>
              </w:rPr>
            </w:pPr>
            <w:r w:rsidRPr="00B8717B">
              <w:rPr>
                <w:rFonts w:ascii="Calibri" w:hAnsi="Calibri"/>
                <w:sz w:val="16"/>
                <w:szCs w:val="16"/>
              </w:rPr>
              <w:t>25-55</w:t>
            </w:r>
          </w:p>
        </w:tc>
        <w:tc>
          <w:tcPr>
            <w:tcW w:w="1701" w:type="dxa"/>
            <w:tcBorders>
              <w:right w:val="single" w:sz="4" w:space="0" w:color="auto"/>
            </w:tcBorders>
            <w:vAlign w:val="center"/>
          </w:tcPr>
          <w:p w:rsidR="000C27BF" w:rsidRPr="00B8717B" w:rsidRDefault="000C27BF" w:rsidP="00556540">
            <w:pPr>
              <w:jc w:val="center"/>
              <w:rPr>
                <w:rFonts w:ascii="Calibri" w:hAnsi="Calibri"/>
                <w:sz w:val="16"/>
                <w:szCs w:val="16"/>
              </w:rPr>
            </w:pPr>
            <w:r w:rsidRPr="00B8717B">
              <w:rPr>
                <w:rFonts w:ascii="Calibri" w:hAnsi="Calibri"/>
                <w:sz w:val="16"/>
                <w:szCs w:val="16"/>
              </w:rPr>
              <w:t>3</w:t>
            </w:r>
          </w:p>
        </w:tc>
      </w:tr>
      <w:tr w:rsidR="000C27BF" w:rsidRPr="00B8717B" w:rsidTr="008F20A4">
        <w:trPr>
          <w:trHeight w:val="752"/>
        </w:trPr>
        <w:tc>
          <w:tcPr>
            <w:tcW w:w="1276" w:type="dxa"/>
          </w:tcPr>
          <w:p w:rsidR="000C27BF" w:rsidRDefault="000C27BF" w:rsidP="00556540">
            <w:pPr>
              <w:jc w:val="left"/>
              <w:rPr>
                <w:rFonts w:ascii="Calibri" w:hAnsi="Calibri"/>
                <w:sz w:val="16"/>
                <w:szCs w:val="16"/>
              </w:rPr>
            </w:pPr>
            <w:r w:rsidRPr="00B8717B">
              <w:rPr>
                <w:rFonts w:ascii="Calibri" w:hAnsi="Calibri"/>
                <w:sz w:val="16"/>
                <w:szCs w:val="16"/>
              </w:rPr>
              <w:t>Konsystencja  w wysokich  temperatu-  rach eksploa-tacyjnych</w:t>
            </w:r>
          </w:p>
          <w:p w:rsidR="000C27BF" w:rsidRPr="00B8717B" w:rsidRDefault="000C27BF" w:rsidP="00556540">
            <w:pPr>
              <w:jc w:val="left"/>
              <w:rPr>
                <w:rFonts w:ascii="Calibri" w:hAnsi="Calibri"/>
                <w:sz w:val="16"/>
                <w:szCs w:val="16"/>
              </w:rPr>
            </w:pPr>
          </w:p>
        </w:tc>
        <w:tc>
          <w:tcPr>
            <w:tcW w:w="1172" w:type="dxa"/>
            <w:vAlign w:val="center"/>
          </w:tcPr>
          <w:p w:rsidR="000C27BF" w:rsidRPr="00B8717B" w:rsidRDefault="000C27BF" w:rsidP="00556540">
            <w:pPr>
              <w:rPr>
                <w:rFonts w:ascii="Calibri" w:hAnsi="Calibri"/>
                <w:sz w:val="16"/>
                <w:szCs w:val="16"/>
              </w:rPr>
            </w:pPr>
            <w:r w:rsidRPr="00B8717B">
              <w:rPr>
                <w:rFonts w:ascii="Calibri" w:hAnsi="Calibri"/>
                <w:sz w:val="16"/>
                <w:szCs w:val="16"/>
              </w:rPr>
              <w:t>Temperatura mięknienia</w:t>
            </w:r>
          </w:p>
        </w:tc>
        <w:tc>
          <w:tcPr>
            <w:tcW w:w="1663" w:type="dxa"/>
            <w:vAlign w:val="center"/>
          </w:tcPr>
          <w:p w:rsidR="000C27BF" w:rsidRPr="00B8717B" w:rsidRDefault="000C27BF" w:rsidP="00556540">
            <w:pPr>
              <w:jc w:val="center"/>
              <w:rPr>
                <w:rFonts w:ascii="Calibri" w:hAnsi="Calibri"/>
                <w:sz w:val="16"/>
                <w:szCs w:val="16"/>
              </w:rPr>
            </w:pPr>
            <w:r w:rsidRPr="00B8717B">
              <w:rPr>
                <w:rFonts w:ascii="Calibri" w:hAnsi="Calibri"/>
                <w:sz w:val="16"/>
                <w:szCs w:val="16"/>
              </w:rPr>
              <w:t>PN-EN 1427 [22]</w:t>
            </w:r>
          </w:p>
        </w:tc>
        <w:tc>
          <w:tcPr>
            <w:tcW w:w="992" w:type="dxa"/>
            <w:vAlign w:val="center"/>
          </w:tcPr>
          <w:p w:rsidR="000C27BF" w:rsidRPr="00B8717B" w:rsidRDefault="000C27BF" w:rsidP="00556540">
            <w:pPr>
              <w:jc w:val="center"/>
              <w:rPr>
                <w:rFonts w:ascii="Calibri" w:hAnsi="Calibri"/>
                <w:sz w:val="16"/>
                <w:szCs w:val="16"/>
              </w:rPr>
            </w:pPr>
            <w:r w:rsidRPr="00B8717B">
              <w:rPr>
                <w:rFonts w:ascii="Calibri" w:hAnsi="Calibri"/>
                <w:sz w:val="16"/>
                <w:szCs w:val="16"/>
              </w:rPr>
              <w:t>°C</w:t>
            </w:r>
          </w:p>
        </w:tc>
        <w:tc>
          <w:tcPr>
            <w:tcW w:w="992" w:type="dxa"/>
            <w:vAlign w:val="center"/>
          </w:tcPr>
          <w:p w:rsidR="000C27BF" w:rsidRPr="00B8717B" w:rsidRDefault="000C27BF" w:rsidP="00556540">
            <w:pPr>
              <w:jc w:val="center"/>
              <w:rPr>
                <w:rFonts w:ascii="Calibri" w:hAnsi="Calibri"/>
                <w:sz w:val="16"/>
                <w:szCs w:val="16"/>
              </w:rPr>
            </w:pPr>
            <w:r w:rsidRPr="00B8717B">
              <w:rPr>
                <w:rFonts w:ascii="Calibri" w:hAnsi="Calibri"/>
                <w:sz w:val="16"/>
                <w:szCs w:val="16"/>
              </w:rPr>
              <w:t>≥ 60</w:t>
            </w:r>
          </w:p>
        </w:tc>
        <w:tc>
          <w:tcPr>
            <w:tcW w:w="1701" w:type="dxa"/>
            <w:tcBorders>
              <w:right w:val="single" w:sz="4" w:space="0" w:color="auto"/>
            </w:tcBorders>
            <w:vAlign w:val="center"/>
          </w:tcPr>
          <w:p w:rsidR="000C27BF" w:rsidRPr="00B8717B" w:rsidRDefault="000C27BF" w:rsidP="00556540">
            <w:pPr>
              <w:jc w:val="center"/>
              <w:rPr>
                <w:rFonts w:ascii="Calibri" w:hAnsi="Calibri"/>
                <w:sz w:val="16"/>
                <w:szCs w:val="16"/>
              </w:rPr>
            </w:pPr>
            <w:r w:rsidRPr="00B8717B">
              <w:rPr>
                <w:rFonts w:ascii="Calibri" w:hAnsi="Calibri"/>
                <w:sz w:val="16"/>
                <w:szCs w:val="16"/>
              </w:rPr>
              <w:t>6</w:t>
            </w:r>
          </w:p>
        </w:tc>
      </w:tr>
      <w:tr w:rsidR="000C27BF" w:rsidRPr="00B8717B" w:rsidTr="008F20A4">
        <w:tc>
          <w:tcPr>
            <w:tcW w:w="1276" w:type="dxa"/>
            <w:vMerge w:val="restart"/>
            <w:vAlign w:val="center"/>
          </w:tcPr>
          <w:p w:rsidR="000C27BF" w:rsidRPr="00B8717B" w:rsidRDefault="000C27BF" w:rsidP="00556540">
            <w:pPr>
              <w:rPr>
                <w:rFonts w:ascii="Calibri" w:hAnsi="Calibri"/>
                <w:sz w:val="16"/>
                <w:szCs w:val="16"/>
              </w:rPr>
            </w:pPr>
            <w:r w:rsidRPr="00B8717B">
              <w:rPr>
                <w:rFonts w:ascii="Calibri" w:hAnsi="Calibri"/>
                <w:sz w:val="16"/>
                <w:szCs w:val="16"/>
              </w:rPr>
              <w:t>Kohezja</w:t>
            </w:r>
          </w:p>
        </w:tc>
        <w:tc>
          <w:tcPr>
            <w:tcW w:w="1172" w:type="dxa"/>
            <w:vAlign w:val="center"/>
          </w:tcPr>
          <w:p w:rsidR="000C27BF" w:rsidRPr="00B8717B" w:rsidRDefault="000C27BF" w:rsidP="00556540">
            <w:pPr>
              <w:jc w:val="left"/>
              <w:rPr>
                <w:rFonts w:ascii="Calibri" w:hAnsi="Calibri"/>
                <w:sz w:val="16"/>
                <w:szCs w:val="16"/>
              </w:rPr>
            </w:pPr>
            <w:r w:rsidRPr="00B8717B">
              <w:rPr>
                <w:rFonts w:ascii="Calibri" w:hAnsi="Calibri"/>
                <w:sz w:val="16"/>
                <w:szCs w:val="16"/>
              </w:rPr>
              <w:t>Siła rozciągania (mała prędkość rozciągania)</w:t>
            </w:r>
          </w:p>
        </w:tc>
        <w:tc>
          <w:tcPr>
            <w:tcW w:w="1663" w:type="dxa"/>
            <w:vAlign w:val="center"/>
          </w:tcPr>
          <w:p w:rsidR="000C27BF" w:rsidRPr="00B8717B" w:rsidRDefault="000C27BF" w:rsidP="00556540">
            <w:pPr>
              <w:jc w:val="center"/>
              <w:rPr>
                <w:rFonts w:ascii="Calibri" w:hAnsi="Calibri"/>
                <w:sz w:val="16"/>
                <w:szCs w:val="16"/>
              </w:rPr>
            </w:pPr>
            <w:r w:rsidRPr="00B8717B">
              <w:rPr>
                <w:rFonts w:ascii="Calibri" w:hAnsi="Calibri"/>
                <w:sz w:val="16"/>
                <w:szCs w:val="16"/>
              </w:rPr>
              <w:t>PN-EN 13589 [55]      PN-EN 13703 [57]</w:t>
            </w:r>
          </w:p>
        </w:tc>
        <w:tc>
          <w:tcPr>
            <w:tcW w:w="992" w:type="dxa"/>
            <w:vAlign w:val="center"/>
          </w:tcPr>
          <w:p w:rsidR="000C27BF" w:rsidRPr="00B8717B" w:rsidRDefault="000C27BF" w:rsidP="00556540">
            <w:pPr>
              <w:jc w:val="center"/>
              <w:rPr>
                <w:rFonts w:ascii="Calibri" w:hAnsi="Calibri"/>
                <w:sz w:val="16"/>
                <w:szCs w:val="16"/>
              </w:rPr>
            </w:pPr>
            <w:r w:rsidRPr="00B8717B">
              <w:rPr>
                <w:rFonts w:ascii="Calibri" w:hAnsi="Calibri"/>
                <w:sz w:val="16"/>
                <w:szCs w:val="16"/>
              </w:rPr>
              <w:t>J/cm</w:t>
            </w:r>
            <w:r w:rsidRPr="00B8717B">
              <w:rPr>
                <w:rFonts w:ascii="Calibri" w:hAnsi="Calibri"/>
                <w:sz w:val="16"/>
                <w:szCs w:val="16"/>
                <w:vertAlign w:val="superscript"/>
              </w:rPr>
              <w:t>2</w:t>
            </w:r>
          </w:p>
        </w:tc>
        <w:tc>
          <w:tcPr>
            <w:tcW w:w="992" w:type="dxa"/>
            <w:vAlign w:val="center"/>
          </w:tcPr>
          <w:p w:rsidR="000C27BF" w:rsidRPr="00B8717B" w:rsidRDefault="000C27BF" w:rsidP="00556540">
            <w:pPr>
              <w:jc w:val="center"/>
              <w:rPr>
                <w:rFonts w:ascii="Calibri" w:hAnsi="Calibri"/>
                <w:sz w:val="16"/>
                <w:szCs w:val="16"/>
              </w:rPr>
            </w:pPr>
            <w:r w:rsidRPr="00B8717B">
              <w:rPr>
                <w:rFonts w:ascii="Calibri" w:hAnsi="Calibri"/>
                <w:sz w:val="16"/>
                <w:szCs w:val="16"/>
              </w:rPr>
              <w:t xml:space="preserve">≥ 2 w </w:t>
            </w:r>
            <w:smartTag w:uri="urn:schemas-microsoft-com:office:smarttags" w:element="metricconverter">
              <w:smartTagPr>
                <w:attr w:name="ProductID" w:val="5ﾰC"/>
              </w:smartTagPr>
              <w:r w:rsidRPr="00B8717B">
                <w:rPr>
                  <w:rFonts w:ascii="Calibri" w:hAnsi="Calibri"/>
                  <w:sz w:val="16"/>
                  <w:szCs w:val="16"/>
                </w:rPr>
                <w:t>5°C</w:t>
              </w:r>
            </w:smartTag>
          </w:p>
        </w:tc>
        <w:tc>
          <w:tcPr>
            <w:tcW w:w="1701" w:type="dxa"/>
            <w:tcBorders>
              <w:right w:val="single" w:sz="4" w:space="0" w:color="auto"/>
            </w:tcBorders>
            <w:vAlign w:val="center"/>
          </w:tcPr>
          <w:p w:rsidR="000C27BF" w:rsidRPr="00B8717B" w:rsidRDefault="000C27BF" w:rsidP="00556540">
            <w:pPr>
              <w:jc w:val="center"/>
              <w:rPr>
                <w:rFonts w:ascii="Calibri" w:hAnsi="Calibri"/>
                <w:sz w:val="16"/>
                <w:szCs w:val="16"/>
              </w:rPr>
            </w:pPr>
            <w:r w:rsidRPr="00B8717B">
              <w:rPr>
                <w:rFonts w:ascii="Calibri" w:hAnsi="Calibri"/>
                <w:sz w:val="16"/>
                <w:szCs w:val="16"/>
              </w:rPr>
              <w:t>3</w:t>
            </w:r>
          </w:p>
        </w:tc>
      </w:tr>
      <w:tr w:rsidR="000C27BF" w:rsidRPr="00B8717B" w:rsidTr="008F20A4">
        <w:tc>
          <w:tcPr>
            <w:tcW w:w="1276" w:type="dxa"/>
            <w:vMerge/>
          </w:tcPr>
          <w:p w:rsidR="000C27BF" w:rsidRPr="00B8717B" w:rsidRDefault="000C27BF" w:rsidP="00556540">
            <w:pPr>
              <w:rPr>
                <w:rFonts w:ascii="Calibri" w:hAnsi="Calibri"/>
                <w:sz w:val="16"/>
                <w:szCs w:val="16"/>
              </w:rPr>
            </w:pPr>
          </w:p>
        </w:tc>
        <w:tc>
          <w:tcPr>
            <w:tcW w:w="1172" w:type="dxa"/>
            <w:vAlign w:val="center"/>
          </w:tcPr>
          <w:p w:rsidR="000C27BF" w:rsidRPr="00B8717B" w:rsidRDefault="000C27BF" w:rsidP="00556540">
            <w:pPr>
              <w:jc w:val="left"/>
              <w:rPr>
                <w:rFonts w:ascii="Calibri" w:hAnsi="Calibri"/>
                <w:sz w:val="16"/>
                <w:szCs w:val="16"/>
              </w:rPr>
            </w:pPr>
            <w:r w:rsidRPr="00B8717B">
              <w:rPr>
                <w:rFonts w:ascii="Calibri" w:hAnsi="Calibri"/>
                <w:sz w:val="16"/>
                <w:szCs w:val="16"/>
              </w:rPr>
              <w:t xml:space="preserve">Siła rozciągania w </w:t>
            </w:r>
            <w:smartTag w:uri="urn:schemas-microsoft-com:office:smarttags" w:element="metricconverter">
              <w:smartTagPr>
                <w:attr w:name="ProductID" w:val="5ﾰC"/>
              </w:smartTagPr>
              <w:r w:rsidRPr="00B8717B">
                <w:rPr>
                  <w:rFonts w:ascii="Calibri" w:hAnsi="Calibri"/>
                  <w:sz w:val="16"/>
                  <w:szCs w:val="16"/>
                </w:rPr>
                <w:t>5°C</w:t>
              </w:r>
            </w:smartTag>
            <w:r w:rsidRPr="00B8717B">
              <w:rPr>
                <w:rFonts w:ascii="Calibri" w:hAnsi="Calibri"/>
                <w:sz w:val="16"/>
                <w:szCs w:val="16"/>
              </w:rPr>
              <w:t xml:space="preserve"> (duża prędkość rozcią-gania)</w:t>
            </w:r>
          </w:p>
        </w:tc>
        <w:tc>
          <w:tcPr>
            <w:tcW w:w="1663" w:type="dxa"/>
            <w:vAlign w:val="center"/>
          </w:tcPr>
          <w:p w:rsidR="000C27BF" w:rsidRPr="00B8717B" w:rsidRDefault="000C27BF" w:rsidP="00556540">
            <w:pPr>
              <w:jc w:val="center"/>
              <w:rPr>
                <w:rFonts w:ascii="Calibri" w:hAnsi="Calibri"/>
                <w:sz w:val="16"/>
                <w:szCs w:val="16"/>
              </w:rPr>
            </w:pPr>
            <w:r w:rsidRPr="00B8717B">
              <w:rPr>
                <w:rFonts w:ascii="Calibri" w:hAnsi="Calibri"/>
                <w:sz w:val="16"/>
                <w:szCs w:val="16"/>
              </w:rPr>
              <w:t>PN-EN 13587 [53]      PN-EN 13703 [57]</w:t>
            </w:r>
          </w:p>
        </w:tc>
        <w:tc>
          <w:tcPr>
            <w:tcW w:w="992" w:type="dxa"/>
            <w:vAlign w:val="center"/>
          </w:tcPr>
          <w:p w:rsidR="000C27BF" w:rsidRPr="00B8717B" w:rsidRDefault="000C27BF" w:rsidP="00556540">
            <w:pPr>
              <w:jc w:val="center"/>
              <w:rPr>
                <w:rFonts w:ascii="Calibri" w:hAnsi="Calibri"/>
                <w:sz w:val="16"/>
                <w:szCs w:val="16"/>
              </w:rPr>
            </w:pPr>
            <w:r w:rsidRPr="00B8717B">
              <w:rPr>
                <w:rFonts w:ascii="Calibri" w:hAnsi="Calibri"/>
                <w:sz w:val="16"/>
                <w:szCs w:val="16"/>
              </w:rPr>
              <w:t>J/cm</w:t>
            </w:r>
            <w:r w:rsidRPr="00B8717B">
              <w:rPr>
                <w:rFonts w:ascii="Calibri" w:hAnsi="Calibri"/>
                <w:sz w:val="16"/>
                <w:szCs w:val="16"/>
                <w:vertAlign w:val="superscript"/>
              </w:rPr>
              <w:t>2</w:t>
            </w:r>
          </w:p>
        </w:tc>
        <w:tc>
          <w:tcPr>
            <w:tcW w:w="992" w:type="dxa"/>
            <w:vAlign w:val="center"/>
          </w:tcPr>
          <w:p w:rsidR="000C27BF" w:rsidRPr="00B8717B" w:rsidRDefault="000C27BF" w:rsidP="00556540">
            <w:pPr>
              <w:jc w:val="center"/>
              <w:rPr>
                <w:rFonts w:ascii="Calibri" w:hAnsi="Calibri"/>
                <w:sz w:val="16"/>
                <w:szCs w:val="16"/>
                <w:vertAlign w:val="superscript"/>
              </w:rPr>
            </w:pPr>
            <w:r w:rsidRPr="00B8717B">
              <w:rPr>
                <w:rFonts w:ascii="Calibri" w:hAnsi="Calibri"/>
                <w:sz w:val="16"/>
                <w:szCs w:val="16"/>
              </w:rPr>
              <w:t>NPD</w:t>
            </w:r>
            <w:r w:rsidRPr="00B8717B">
              <w:rPr>
                <w:rFonts w:ascii="Calibri" w:hAnsi="Calibri"/>
                <w:sz w:val="16"/>
                <w:szCs w:val="16"/>
                <w:vertAlign w:val="superscript"/>
              </w:rPr>
              <w:t>a</w:t>
            </w:r>
          </w:p>
        </w:tc>
        <w:tc>
          <w:tcPr>
            <w:tcW w:w="1701" w:type="dxa"/>
            <w:tcBorders>
              <w:right w:val="single" w:sz="4" w:space="0" w:color="auto"/>
            </w:tcBorders>
            <w:vAlign w:val="center"/>
          </w:tcPr>
          <w:p w:rsidR="000C27BF" w:rsidRPr="00B8717B" w:rsidRDefault="000C27BF" w:rsidP="00556540">
            <w:pPr>
              <w:jc w:val="center"/>
              <w:rPr>
                <w:rFonts w:ascii="Calibri" w:hAnsi="Calibri"/>
                <w:sz w:val="16"/>
                <w:szCs w:val="16"/>
              </w:rPr>
            </w:pPr>
            <w:r w:rsidRPr="00B8717B">
              <w:rPr>
                <w:rFonts w:ascii="Calibri" w:hAnsi="Calibri"/>
                <w:sz w:val="16"/>
                <w:szCs w:val="16"/>
              </w:rPr>
              <w:t>0</w:t>
            </w:r>
          </w:p>
        </w:tc>
      </w:tr>
      <w:tr w:rsidR="000C27BF" w:rsidRPr="00B8717B" w:rsidTr="008F20A4">
        <w:tc>
          <w:tcPr>
            <w:tcW w:w="1276" w:type="dxa"/>
            <w:vMerge/>
          </w:tcPr>
          <w:p w:rsidR="000C27BF" w:rsidRPr="00B8717B" w:rsidRDefault="000C27BF" w:rsidP="00556540">
            <w:pPr>
              <w:rPr>
                <w:rFonts w:ascii="Calibri" w:hAnsi="Calibri"/>
                <w:sz w:val="16"/>
                <w:szCs w:val="16"/>
              </w:rPr>
            </w:pPr>
          </w:p>
        </w:tc>
        <w:tc>
          <w:tcPr>
            <w:tcW w:w="1172" w:type="dxa"/>
            <w:vAlign w:val="center"/>
          </w:tcPr>
          <w:p w:rsidR="000C27BF" w:rsidRPr="00B8717B" w:rsidRDefault="000C27BF" w:rsidP="00556540">
            <w:pPr>
              <w:jc w:val="left"/>
              <w:rPr>
                <w:rFonts w:ascii="Calibri" w:hAnsi="Calibri"/>
                <w:sz w:val="16"/>
                <w:szCs w:val="16"/>
              </w:rPr>
            </w:pPr>
            <w:r w:rsidRPr="00B8717B">
              <w:rPr>
                <w:rFonts w:ascii="Calibri" w:hAnsi="Calibri"/>
                <w:sz w:val="16"/>
                <w:szCs w:val="16"/>
              </w:rPr>
              <w:t>Wahadło Vialit (metoda uderzenia)</w:t>
            </w:r>
          </w:p>
        </w:tc>
        <w:tc>
          <w:tcPr>
            <w:tcW w:w="1663" w:type="dxa"/>
            <w:vAlign w:val="center"/>
          </w:tcPr>
          <w:p w:rsidR="000C27BF" w:rsidRPr="00B8717B" w:rsidRDefault="000C27BF" w:rsidP="00556540">
            <w:pPr>
              <w:jc w:val="center"/>
              <w:rPr>
                <w:rFonts w:ascii="Calibri" w:hAnsi="Calibri"/>
                <w:sz w:val="16"/>
                <w:szCs w:val="16"/>
              </w:rPr>
            </w:pPr>
            <w:r w:rsidRPr="00B8717B">
              <w:rPr>
                <w:rFonts w:ascii="Calibri" w:hAnsi="Calibri"/>
                <w:sz w:val="16"/>
                <w:szCs w:val="16"/>
              </w:rPr>
              <w:t>PN-EN 13588 [54]</w:t>
            </w:r>
          </w:p>
        </w:tc>
        <w:tc>
          <w:tcPr>
            <w:tcW w:w="992" w:type="dxa"/>
            <w:vAlign w:val="center"/>
          </w:tcPr>
          <w:p w:rsidR="000C27BF" w:rsidRPr="00B8717B" w:rsidRDefault="000C27BF" w:rsidP="00556540">
            <w:pPr>
              <w:jc w:val="center"/>
              <w:rPr>
                <w:rFonts w:ascii="Calibri" w:hAnsi="Calibri"/>
                <w:sz w:val="16"/>
                <w:szCs w:val="16"/>
              </w:rPr>
            </w:pPr>
            <w:r w:rsidRPr="00B8717B">
              <w:rPr>
                <w:rFonts w:ascii="Calibri" w:hAnsi="Calibri"/>
                <w:sz w:val="16"/>
                <w:szCs w:val="16"/>
              </w:rPr>
              <w:t>J/cm</w:t>
            </w:r>
            <w:r w:rsidRPr="00B8717B">
              <w:rPr>
                <w:rFonts w:ascii="Calibri" w:hAnsi="Calibri"/>
                <w:sz w:val="16"/>
                <w:szCs w:val="16"/>
                <w:vertAlign w:val="superscript"/>
              </w:rPr>
              <w:t>2</w:t>
            </w:r>
          </w:p>
        </w:tc>
        <w:tc>
          <w:tcPr>
            <w:tcW w:w="992" w:type="dxa"/>
            <w:vAlign w:val="center"/>
          </w:tcPr>
          <w:p w:rsidR="000C27BF" w:rsidRPr="00B8717B" w:rsidRDefault="000C27BF" w:rsidP="00556540">
            <w:pPr>
              <w:jc w:val="center"/>
              <w:rPr>
                <w:rFonts w:ascii="Calibri" w:hAnsi="Calibri"/>
                <w:sz w:val="16"/>
                <w:szCs w:val="16"/>
                <w:vertAlign w:val="superscript"/>
              </w:rPr>
            </w:pPr>
            <w:r w:rsidRPr="00B8717B">
              <w:rPr>
                <w:rFonts w:ascii="Calibri" w:hAnsi="Calibri"/>
                <w:sz w:val="16"/>
                <w:szCs w:val="16"/>
              </w:rPr>
              <w:t>NPD</w:t>
            </w:r>
            <w:r w:rsidRPr="00B8717B">
              <w:rPr>
                <w:rFonts w:ascii="Calibri" w:hAnsi="Calibri"/>
                <w:sz w:val="16"/>
                <w:szCs w:val="16"/>
                <w:vertAlign w:val="superscript"/>
              </w:rPr>
              <w:t>a</w:t>
            </w:r>
          </w:p>
        </w:tc>
        <w:tc>
          <w:tcPr>
            <w:tcW w:w="1701" w:type="dxa"/>
            <w:tcBorders>
              <w:right w:val="single" w:sz="4" w:space="0" w:color="auto"/>
            </w:tcBorders>
            <w:vAlign w:val="center"/>
          </w:tcPr>
          <w:p w:rsidR="000C27BF" w:rsidRPr="00B8717B" w:rsidRDefault="000C27BF" w:rsidP="00556540">
            <w:pPr>
              <w:jc w:val="center"/>
              <w:rPr>
                <w:rFonts w:ascii="Calibri" w:hAnsi="Calibri"/>
                <w:sz w:val="16"/>
                <w:szCs w:val="16"/>
              </w:rPr>
            </w:pPr>
            <w:r w:rsidRPr="00B8717B">
              <w:rPr>
                <w:rFonts w:ascii="Calibri" w:hAnsi="Calibri"/>
                <w:sz w:val="16"/>
                <w:szCs w:val="16"/>
              </w:rPr>
              <w:t>0</w:t>
            </w:r>
          </w:p>
        </w:tc>
      </w:tr>
      <w:tr w:rsidR="000C27BF" w:rsidRPr="00B8717B" w:rsidTr="008F20A4">
        <w:tc>
          <w:tcPr>
            <w:tcW w:w="1276" w:type="dxa"/>
            <w:vMerge w:val="restart"/>
          </w:tcPr>
          <w:p w:rsidR="000C27BF" w:rsidRPr="00B8717B" w:rsidRDefault="000C27BF" w:rsidP="00556540">
            <w:pPr>
              <w:rPr>
                <w:rFonts w:ascii="Calibri" w:hAnsi="Calibri"/>
                <w:sz w:val="16"/>
                <w:szCs w:val="16"/>
              </w:rPr>
            </w:pPr>
            <w:r w:rsidRPr="00B8717B">
              <w:rPr>
                <w:rFonts w:ascii="Calibri" w:hAnsi="Calibri"/>
                <w:sz w:val="16"/>
                <w:szCs w:val="16"/>
              </w:rPr>
              <w:t xml:space="preserve">Stałość konsystencji (Odporność </w:t>
            </w:r>
          </w:p>
          <w:p w:rsidR="000C27BF" w:rsidRDefault="000C27BF" w:rsidP="00556540">
            <w:pPr>
              <w:jc w:val="left"/>
              <w:rPr>
                <w:rFonts w:ascii="Calibri" w:hAnsi="Calibri"/>
                <w:sz w:val="16"/>
                <w:szCs w:val="16"/>
              </w:rPr>
            </w:pPr>
            <w:r w:rsidRPr="00B8717B">
              <w:rPr>
                <w:rFonts w:ascii="Calibri" w:hAnsi="Calibri"/>
                <w:sz w:val="16"/>
                <w:szCs w:val="16"/>
              </w:rPr>
              <w:t>na starzenie wg PN-EN 12607-1 lub  -3 [31]</w:t>
            </w:r>
          </w:p>
          <w:p w:rsidR="000C27BF" w:rsidRPr="00B8717B" w:rsidRDefault="000C27BF" w:rsidP="00556540">
            <w:pPr>
              <w:jc w:val="left"/>
              <w:rPr>
                <w:rFonts w:ascii="Calibri" w:hAnsi="Calibri"/>
                <w:sz w:val="16"/>
                <w:szCs w:val="16"/>
              </w:rPr>
            </w:pPr>
          </w:p>
        </w:tc>
        <w:tc>
          <w:tcPr>
            <w:tcW w:w="1172" w:type="dxa"/>
            <w:vAlign w:val="center"/>
          </w:tcPr>
          <w:p w:rsidR="000C27BF" w:rsidRDefault="000C27BF" w:rsidP="00556540">
            <w:pPr>
              <w:rPr>
                <w:rFonts w:ascii="Calibri" w:hAnsi="Calibri"/>
                <w:sz w:val="16"/>
                <w:szCs w:val="16"/>
              </w:rPr>
            </w:pPr>
            <w:r w:rsidRPr="00B8717B">
              <w:rPr>
                <w:rFonts w:ascii="Calibri" w:hAnsi="Calibri"/>
                <w:sz w:val="16"/>
                <w:szCs w:val="16"/>
              </w:rPr>
              <w:t>Zmiana masy</w:t>
            </w:r>
          </w:p>
          <w:p w:rsidR="000C27BF" w:rsidRPr="00B8717B" w:rsidRDefault="000C27BF" w:rsidP="00556540">
            <w:pPr>
              <w:rPr>
                <w:rFonts w:ascii="Calibri" w:hAnsi="Calibri"/>
                <w:sz w:val="16"/>
                <w:szCs w:val="16"/>
              </w:rPr>
            </w:pPr>
          </w:p>
        </w:tc>
        <w:tc>
          <w:tcPr>
            <w:tcW w:w="1663" w:type="dxa"/>
            <w:vAlign w:val="center"/>
          </w:tcPr>
          <w:p w:rsidR="000C27BF" w:rsidRPr="00B8717B" w:rsidRDefault="000C27BF" w:rsidP="00556540">
            <w:pPr>
              <w:jc w:val="center"/>
              <w:rPr>
                <w:rFonts w:ascii="Calibri" w:hAnsi="Calibri"/>
                <w:sz w:val="16"/>
                <w:szCs w:val="16"/>
              </w:rPr>
            </w:pPr>
          </w:p>
        </w:tc>
        <w:tc>
          <w:tcPr>
            <w:tcW w:w="992" w:type="dxa"/>
            <w:vAlign w:val="center"/>
          </w:tcPr>
          <w:p w:rsidR="000C27BF" w:rsidRPr="00B8717B" w:rsidRDefault="000C27BF" w:rsidP="00556540">
            <w:pPr>
              <w:jc w:val="center"/>
              <w:rPr>
                <w:rFonts w:ascii="Calibri" w:hAnsi="Calibri"/>
                <w:sz w:val="16"/>
                <w:szCs w:val="16"/>
              </w:rPr>
            </w:pPr>
            <w:r w:rsidRPr="00B8717B">
              <w:rPr>
                <w:rFonts w:ascii="Calibri" w:hAnsi="Calibri"/>
                <w:sz w:val="16"/>
                <w:szCs w:val="16"/>
              </w:rPr>
              <w:t>%</w:t>
            </w:r>
          </w:p>
        </w:tc>
        <w:tc>
          <w:tcPr>
            <w:tcW w:w="992" w:type="dxa"/>
            <w:vAlign w:val="center"/>
          </w:tcPr>
          <w:p w:rsidR="000C27BF" w:rsidRPr="00B8717B" w:rsidRDefault="000C27BF" w:rsidP="00556540">
            <w:pPr>
              <w:jc w:val="center"/>
              <w:rPr>
                <w:rFonts w:ascii="Calibri" w:hAnsi="Calibri"/>
                <w:sz w:val="16"/>
                <w:szCs w:val="16"/>
              </w:rPr>
            </w:pPr>
            <w:r w:rsidRPr="00B8717B">
              <w:rPr>
                <w:rFonts w:ascii="Calibri" w:hAnsi="Calibri"/>
                <w:sz w:val="16"/>
                <w:szCs w:val="16"/>
              </w:rPr>
              <w:t>≥ 0,5</w:t>
            </w:r>
          </w:p>
        </w:tc>
        <w:tc>
          <w:tcPr>
            <w:tcW w:w="1701" w:type="dxa"/>
            <w:tcBorders>
              <w:right w:val="single" w:sz="4" w:space="0" w:color="auto"/>
            </w:tcBorders>
            <w:vAlign w:val="center"/>
          </w:tcPr>
          <w:p w:rsidR="000C27BF" w:rsidRPr="00B8717B" w:rsidRDefault="000C27BF" w:rsidP="00556540">
            <w:pPr>
              <w:jc w:val="center"/>
              <w:rPr>
                <w:rFonts w:ascii="Calibri" w:hAnsi="Calibri"/>
                <w:sz w:val="16"/>
                <w:szCs w:val="16"/>
              </w:rPr>
            </w:pPr>
            <w:r w:rsidRPr="00B8717B">
              <w:rPr>
                <w:rFonts w:ascii="Calibri" w:hAnsi="Calibri"/>
                <w:sz w:val="16"/>
                <w:szCs w:val="16"/>
              </w:rPr>
              <w:t>3</w:t>
            </w:r>
          </w:p>
        </w:tc>
      </w:tr>
      <w:tr w:rsidR="000C27BF" w:rsidRPr="00B8717B" w:rsidTr="008F20A4">
        <w:tc>
          <w:tcPr>
            <w:tcW w:w="1276" w:type="dxa"/>
            <w:vMerge/>
          </w:tcPr>
          <w:p w:rsidR="000C27BF" w:rsidRPr="00B8717B" w:rsidRDefault="000C27BF" w:rsidP="00556540">
            <w:pPr>
              <w:jc w:val="left"/>
              <w:rPr>
                <w:rFonts w:ascii="Calibri" w:hAnsi="Calibri"/>
                <w:sz w:val="16"/>
                <w:szCs w:val="16"/>
              </w:rPr>
            </w:pPr>
          </w:p>
        </w:tc>
        <w:tc>
          <w:tcPr>
            <w:tcW w:w="1172" w:type="dxa"/>
            <w:vAlign w:val="center"/>
          </w:tcPr>
          <w:p w:rsidR="000C27BF" w:rsidRPr="00B8717B" w:rsidRDefault="000C27BF" w:rsidP="00556540">
            <w:pPr>
              <w:rPr>
                <w:rFonts w:ascii="Calibri" w:hAnsi="Calibri"/>
                <w:sz w:val="16"/>
                <w:szCs w:val="16"/>
              </w:rPr>
            </w:pPr>
            <w:r w:rsidRPr="00B8717B">
              <w:rPr>
                <w:rFonts w:ascii="Calibri" w:hAnsi="Calibri"/>
                <w:sz w:val="16"/>
                <w:szCs w:val="16"/>
              </w:rPr>
              <w:t>Pozostała penetracja</w:t>
            </w:r>
          </w:p>
        </w:tc>
        <w:tc>
          <w:tcPr>
            <w:tcW w:w="1663" w:type="dxa"/>
            <w:vAlign w:val="center"/>
          </w:tcPr>
          <w:p w:rsidR="000C27BF" w:rsidRPr="00B8717B" w:rsidRDefault="000C27BF" w:rsidP="00556540">
            <w:pPr>
              <w:jc w:val="center"/>
              <w:rPr>
                <w:rFonts w:ascii="Calibri" w:hAnsi="Calibri"/>
                <w:sz w:val="16"/>
                <w:szCs w:val="16"/>
              </w:rPr>
            </w:pPr>
            <w:r w:rsidRPr="00B8717B">
              <w:rPr>
                <w:rFonts w:ascii="Calibri" w:hAnsi="Calibri"/>
                <w:sz w:val="16"/>
                <w:szCs w:val="16"/>
              </w:rPr>
              <w:t>PN-EN 1426 [21]</w:t>
            </w:r>
          </w:p>
        </w:tc>
        <w:tc>
          <w:tcPr>
            <w:tcW w:w="992" w:type="dxa"/>
            <w:vAlign w:val="center"/>
          </w:tcPr>
          <w:p w:rsidR="000C27BF" w:rsidRPr="00B8717B" w:rsidRDefault="000C27BF" w:rsidP="00556540">
            <w:pPr>
              <w:jc w:val="center"/>
              <w:rPr>
                <w:rFonts w:ascii="Calibri" w:hAnsi="Calibri"/>
                <w:sz w:val="16"/>
                <w:szCs w:val="16"/>
              </w:rPr>
            </w:pPr>
            <w:r w:rsidRPr="00B8717B">
              <w:rPr>
                <w:rFonts w:ascii="Calibri" w:hAnsi="Calibri"/>
                <w:sz w:val="16"/>
                <w:szCs w:val="16"/>
              </w:rPr>
              <w:t>%</w:t>
            </w:r>
          </w:p>
        </w:tc>
        <w:tc>
          <w:tcPr>
            <w:tcW w:w="992" w:type="dxa"/>
            <w:vAlign w:val="center"/>
          </w:tcPr>
          <w:p w:rsidR="000C27BF" w:rsidRPr="00B8717B" w:rsidRDefault="000C27BF" w:rsidP="00556540">
            <w:pPr>
              <w:jc w:val="center"/>
              <w:rPr>
                <w:rFonts w:ascii="Calibri" w:hAnsi="Calibri"/>
                <w:sz w:val="16"/>
                <w:szCs w:val="16"/>
              </w:rPr>
            </w:pPr>
            <w:r w:rsidRPr="00B8717B">
              <w:rPr>
                <w:rFonts w:ascii="Calibri" w:hAnsi="Calibri"/>
                <w:sz w:val="16"/>
                <w:szCs w:val="16"/>
              </w:rPr>
              <w:t>≥ 40</w:t>
            </w:r>
          </w:p>
        </w:tc>
        <w:tc>
          <w:tcPr>
            <w:tcW w:w="1701" w:type="dxa"/>
            <w:tcBorders>
              <w:right w:val="single" w:sz="4" w:space="0" w:color="auto"/>
            </w:tcBorders>
            <w:vAlign w:val="center"/>
          </w:tcPr>
          <w:p w:rsidR="000C27BF" w:rsidRPr="00B8717B" w:rsidRDefault="000C27BF" w:rsidP="00556540">
            <w:pPr>
              <w:jc w:val="center"/>
              <w:rPr>
                <w:rFonts w:ascii="Calibri" w:hAnsi="Calibri"/>
                <w:sz w:val="16"/>
                <w:szCs w:val="16"/>
              </w:rPr>
            </w:pPr>
            <w:r w:rsidRPr="00B8717B">
              <w:rPr>
                <w:rFonts w:ascii="Calibri" w:hAnsi="Calibri"/>
                <w:sz w:val="16"/>
                <w:szCs w:val="16"/>
              </w:rPr>
              <w:t>3</w:t>
            </w:r>
          </w:p>
        </w:tc>
      </w:tr>
      <w:tr w:rsidR="000C27BF" w:rsidRPr="00B8717B" w:rsidTr="008F20A4">
        <w:tc>
          <w:tcPr>
            <w:tcW w:w="1276" w:type="dxa"/>
            <w:vMerge/>
          </w:tcPr>
          <w:p w:rsidR="000C27BF" w:rsidRPr="00B8717B" w:rsidRDefault="000C27BF" w:rsidP="00556540">
            <w:pPr>
              <w:jc w:val="left"/>
              <w:rPr>
                <w:rFonts w:ascii="Calibri" w:hAnsi="Calibri"/>
                <w:sz w:val="16"/>
                <w:szCs w:val="16"/>
              </w:rPr>
            </w:pPr>
          </w:p>
        </w:tc>
        <w:tc>
          <w:tcPr>
            <w:tcW w:w="1172" w:type="dxa"/>
            <w:tcBorders>
              <w:top w:val="nil"/>
            </w:tcBorders>
            <w:vAlign w:val="center"/>
          </w:tcPr>
          <w:p w:rsidR="000C27BF" w:rsidRPr="00B8717B" w:rsidRDefault="000C27BF" w:rsidP="00556540">
            <w:pPr>
              <w:jc w:val="left"/>
              <w:rPr>
                <w:rFonts w:ascii="Calibri" w:hAnsi="Calibri"/>
                <w:sz w:val="16"/>
                <w:szCs w:val="16"/>
              </w:rPr>
            </w:pPr>
            <w:r w:rsidRPr="00B8717B">
              <w:rPr>
                <w:rFonts w:ascii="Calibri" w:hAnsi="Calibri"/>
                <w:sz w:val="16"/>
                <w:szCs w:val="16"/>
              </w:rPr>
              <w:t>Wzrost temperatury mięknienia</w:t>
            </w:r>
          </w:p>
        </w:tc>
        <w:tc>
          <w:tcPr>
            <w:tcW w:w="1663" w:type="dxa"/>
            <w:tcBorders>
              <w:top w:val="nil"/>
            </w:tcBorders>
            <w:vAlign w:val="center"/>
          </w:tcPr>
          <w:p w:rsidR="000C27BF" w:rsidRPr="00B8717B" w:rsidRDefault="000C27BF" w:rsidP="00556540">
            <w:pPr>
              <w:jc w:val="center"/>
              <w:rPr>
                <w:rFonts w:ascii="Calibri" w:hAnsi="Calibri"/>
                <w:sz w:val="16"/>
                <w:szCs w:val="16"/>
              </w:rPr>
            </w:pPr>
            <w:r w:rsidRPr="00B8717B">
              <w:rPr>
                <w:rFonts w:ascii="Calibri" w:hAnsi="Calibri"/>
                <w:sz w:val="16"/>
                <w:szCs w:val="16"/>
              </w:rPr>
              <w:t>PN-EN 1427 [22]</w:t>
            </w:r>
          </w:p>
        </w:tc>
        <w:tc>
          <w:tcPr>
            <w:tcW w:w="992" w:type="dxa"/>
            <w:tcBorders>
              <w:top w:val="nil"/>
            </w:tcBorders>
            <w:vAlign w:val="center"/>
          </w:tcPr>
          <w:p w:rsidR="000C27BF" w:rsidRPr="00B8717B" w:rsidRDefault="000C27BF" w:rsidP="00556540">
            <w:pPr>
              <w:jc w:val="center"/>
              <w:rPr>
                <w:rFonts w:ascii="Calibri" w:hAnsi="Calibri"/>
                <w:sz w:val="16"/>
                <w:szCs w:val="16"/>
              </w:rPr>
            </w:pPr>
            <w:r w:rsidRPr="00B8717B">
              <w:rPr>
                <w:rFonts w:ascii="Calibri" w:hAnsi="Calibri"/>
                <w:sz w:val="16"/>
                <w:szCs w:val="16"/>
              </w:rPr>
              <w:t>°C</w:t>
            </w:r>
          </w:p>
        </w:tc>
        <w:tc>
          <w:tcPr>
            <w:tcW w:w="992" w:type="dxa"/>
            <w:tcBorders>
              <w:top w:val="nil"/>
            </w:tcBorders>
            <w:vAlign w:val="center"/>
          </w:tcPr>
          <w:p w:rsidR="000C27BF" w:rsidRPr="00B8717B" w:rsidRDefault="000C27BF" w:rsidP="00556540">
            <w:pPr>
              <w:jc w:val="center"/>
              <w:rPr>
                <w:rFonts w:ascii="Calibri" w:hAnsi="Calibri"/>
                <w:sz w:val="16"/>
                <w:szCs w:val="16"/>
              </w:rPr>
            </w:pPr>
            <w:r w:rsidRPr="00B8717B">
              <w:rPr>
                <w:rFonts w:ascii="Calibri" w:hAnsi="Calibri"/>
                <w:sz w:val="16"/>
                <w:szCs w:val="16"/>
              </w:rPr>
              <w:t>≤ 8</w:t>
            </w:r>
          </w:p>
        </w:tc>
        <w:tc>
          <w:tcPr>
            <w:tcW w:w="1701" w:type="dxa"/>
            <w:tcBorders>
              <w:top w:val="nil"/>
              <w:bottom w:val="single" w:sz="4" w:space="0" w:color="auto"/>
              <w:right w:val="single" w:sz="4" w:space="0" w:color="auto"/>
            </w:tcBorders>
            <w:vAlign w:val="center"/>
          </w:tcPr>
          <w:p w:rsidR="000C27BF" w:rsidRPr="00B8717B" w:rsidRDefault="000C27BF" w:rsidP="00556540">
            <w:pPr>
              <w:jc w:val="center"/>
              <w:rPr>
                <w:rFonts w:ascii="Calibri" w:hAnsi="Calibri"/>
                <w:sz w:val="16"/>
                <w:szCs w:val="16"/>
              </w:rPr>
            </w:pPr>
            <w:r w:rsidRPr="00B8717B">
              <w:rPr>
                <w:rFonts w:ascii="Calibri" w:hAnsi="Calibri"/>
                <w:sz w:val="16"/>
                <w:szCs w:val="16"/>
              </w:rPr>
              <w:t>3</w:t>
            </w:r>
          </w:p>
        </w:tc>
      </w:tr>
      <w:tr w:rsidR="000C27BF" w:rsidRPr="00B8717B" w:rsidTr="008F20A4">
        <w:trPr>
          <w:trHeight w:val="510"/>
        </w:trPr>
        <w:tc>
          <w:tcPr>
            <w:tcW w:w="1276" w:type="dxa"/>
            <w:tcBorders>
              <w:bottom w:val="single" w:sz="4" w:space="0" w:color="auto"/>
            </w:tcBorders>
            <w:vAlign w:val="center"/>
          </w:tcPr>
          <w:p w:rsidR="000C27BF" w:rsidRPr="00B8717B" w:rsidRDefault="000C27BF" w:rsidP="00556540">
            <w:pPr>
              <w:rPr>
                <w:rFonts w:ascii="Calibri" w:hAnsi="Calibri"/>
                <w:sz w:val="16"/>
                <w:szCs w:val="16"/>
              </w:rPr>
            </w:pPr>
            <w:r w:rsidRPr="00B8717B">
              <w:rPr>
                <w:rFonts w:ascii="Calibri" w:hAnsi="Calibri"/>
                <w:sz w:val="16"/>
                <w:szCs w:val="16"/>
              </w:rPr>
              <w:t>Inne właściwości</w:t>
            </w:r>
          </w:p>
        </w:tc>
        <w:tc>
          <w:tcPr>
            <w:tcW w:w="1172" w:type="dxa"/>
            <w:tcBorders>
              <w:bottom w:val="single" w:sz="4" w:space="0" w:color="auto"/>
            </w:tcBorders>
            <w:vAlign w:val="center"/>
          </w:tcPr>
          <w:p w:rsidR="000C27BF" w:rsidRPr="00B8717B" w:rsidRDefault="000C27BF" w:rsidP="00556540">
            <w:pPr>
              <w:rPr>
                <w:rFonts w:ascii="Calibri" w:hAnsi="Calibri"/>
                <w:sz w:val="16"/>
                <w:szCs w:val="16"/>
              </w:rPr>
            </w:pPr>
            <w:r w:rsidRPr="00B8717B">
              <w:rPr>
                <w:rFonts w:ascii="Calibri" w:hAnsi="Calibri"/>
                <w:sz w:val="16"/>
                <w:szCs w:val="16"/>
              </w:rPr>
              <w:t>Temperatura zapłonu</w:t>
            </w:r>
          </w:p>
        </w:tc>
        <w:tc>
          <w:tcPr>
            <w:tcW w:w="1663" w:type="dxa"/>
            <w:tcBorders>
              <w:bottom w:val="single" w:sz="4" w:space="0" w:color="auto"/>
            </w:tcBorders>
            <w:vAlign w:val="center"/>
          </w:tcPr>
          <w:p w:rsidR="000C27BF" w:rsidRPr="00B8717B" w:rsidRDefault="000C27BF" w:rsidP="00556540">
            <w:pPr>
              <w:jc w:val="center"/>
              <w:rPr>
                <w:rFonts w:ascii="Calibri" w:hAnsi="Calibri"/>
                <w:sz w:val="16"/>
                <w:szCs w:val="16"/>
              </w:rPr>
            </w:pPr>
            <w:r w:rsidRPr="00B8717B">
              <w:rPr>
                <w:rFonts w:ascii="Calibri" w:hAnsi="Calibri"/>
                <w:sz w:val="16"/>
                <w:szCs w:val="16"/>
              </w:rPr>
              <w:t>PN-EN ISO 2592 [63]</w:t>
            </w:r>
          </w:p>
        </w:tc>
        <w:tc>
          <w:tcPr>
            <w:tcW w:w="992" w:type="dxa"/>
            <w:tcBorders>
              <w:bottom w:val="single" w:sz="4" w:space="0" w:color="auto"/>
            </w:tcBorders>
            <w:vAlign w:val="center"/>
          </w:tcPr>
          <w:p w:rsidR="000C27BF" w:rsidRPr="00B8717B" w:rsidRDefault="000C27BF" w:rsidP="00556540">
            <w:pPr>
              <w:jc w:val="center"/>
              <w:rPr>
                <w:rFonts w:ascii="Calibri" w:hAnsi="Calibri"/>
                <w:sz w:val="16"/>
                <w:szCs w:val="16"/>
              </w:rPr>
            </w:pPr>
            <w:r w:rsidRPr="00B8717B">
              <w:rPr>
                <w:rFonts w:ascii="Calibri" w:hAnsi="Calibri"/>
                <w:sz w:val="16"/>
                <w:szCs w:val="16"/>
              </w:rPr>
              <w:t>°C</w:t>
            </w:r>
          </w:p>
        </w:tc>
        <w:tc>
          <w:tcPr>
            <w:tcW w:w="992" w:type="dxa"/>
            <w:tcBorders>
              <w:bottom w:val="single" w:sz="4" w:space="0" w:color="auto"/>
            </w:tcBorders>
            <w:vAlign w:val="center"/>
          </w:tcPr>
          <w:p w:rsidR="000C27BF" w:rsidRPr="00B8717B" w:rsidRDefault="000C27BF" w:rsidP="00556540">
            <w:pPr>
              <w:jc w:val="center"/>
              <w:rPr>
                <w:rFonts w:ascii="Calibri" w:hAnsi="Calibri"/>
                <w:sz w:val="16"/>
                <w:szCs w:val="16"/>
              </w:rPr>
            </w:pPr>
            <w:r w:rsidRPr="00B8717B">
              <w:rPr>
                <w:rFonts w:ascii="Calibri" w:hAnsi="Calibri"/>
                <w:sz w:val="16"/>
                <w:szCs w:val="16"/>
              </w:rPr>
              <w:t>≥ 235</w:t>
            </w:r>
          </w:p>
        </w:tc>
        <w:tc>
          <w:tcPr>
            <w:tcW w:w="1701" w:type="dxa"/>
            <w:tcBorders>
              <w:top w:val="single" w:sz="4" w:space="0" w:color="auto"/>
              <w:bottom w:val="single" w:sz="4" w:space="0" w:color="auto"/>
              <w:right w:val="single" w:sz="4" w:space="0" w:color="auto"/>
            </w:tcBorders>
            <w:vAlign w:val="center"/>
          </w:tcPr>
          <w:p w:rsidR="000C27BF" w:rsidRPr="00B8717B" w:rsidRDefault="000C27BF" w:rsidP="00556540">
            <w:pPr>
              <w:jc w:val="center"/>
              <w:rPr>
                <w:rFonts w:ascii="Calibri" w:hAnsi="Calibri"/>
                <w:sz w:val="16"/>
                <w:szCs w:val="16"/>
              </w:rPr>
            </w:pPr>
            <w:r w:rsidRPr="00B8717B">
              <w:rPr>
                <w:rFonts w:ascii="Calibri" w:hAnsi="Calibri"/>
                <w:sz w:val="16"/>
                <w:szCs w:val="16"/>
              </w:rPr>
              <w:t>3</w:t>
            </w:r>
          </w:p>
        </w:tc>
      </w:tr>
      <w:tr w:rsidR="000C27BF" w:rsidRPr="00B8717B" w:rsidTr="008F20A4">
        <w:trPr>
          <w:trHeight w:val="590"/>
        </w:trPr>
        <w:tc>
          <w:tcPr>
            <w:tcW w:w="1276" w:type="dxa"/>
            <w:vMerge w:val="restart"/>
            <w:vAlign w:val="center"/>
          </w:tcPr>
          <w:p w:rsidR="000C27BF" w:rsidRPr="00B8717B" w:rsidRDefault="000C27BF" w:rsidP="00556540">
            <w:pPr>
              <w:rPr>
                <w:rFonts w:ascii="Calibri" w:hAnsi="Calibri"/>
                <w:sz w:val="16"/>
                <w:szCs w:val="16"/>
              </w:rPr>
            </w:pPr>
            <w:r w:rsidRPr="00B8717B">
              <w:rPr>
                <w:rFonts w:ascii="Calibri" w:hAnsi="Calibri"/>
                <w:sz w:val="16"/>
                <w:szCs w:val="16"/>
              </w:rPr>
              <w:t>Wymagania</w:t>
            </w:r>
          </w:p>
          <w:p w:rsidR="000C27BF" w:rsidRPr="00B8717B" w:rsidRDefault="000C27BF" w:rsidP="00556540">
            <w:pPr>
              <w:rPr>
                <w:rFonts w:ascii="Calibri" w:hAnsi="Calibri"/>
                <w:sz w:val="16"/>
                <w:szCs w:val="16"/>
              </w:rPr>
            </w:pPr>
            <w:r w:rsidRPr="00B8717B">
              <w:rPr>
                <w:rFonts w:ascii="Calibri" w:hAnsi="Calibri"/>
                <w:sz w:val="16"/>
                <w:szCs w:val="16"/>
              </w:rPr>
              <w:t>dodatkowe</w:t>
            </w:r>
          </w:p>
        </w:tc>
        <w:tc>
          <w:tcPr>
            <w:tcW w:w="1172" w:type="dxa"/>
            <w:tcBorders>
              <w:bottom w:val="single" w:sz="4" w:space="0" w:color="auto"/>
            </w:tcBorders>
            <w:vAlign w:val="center"/>
          </w:tcPr>
          <w:p w:rsidR="000C27BF" w:rsidRPr="00B8717B" w:rsidRDefault="000C27BF" w:rsidP="00556540">
            <w:pPr>
              <w:rPr>
                <w:rFonts w:ascii="Calibri" w:hAnsi="Calibri"/>
                <w:sz w:val="16"/>
                <w:szCs w:val="16"/>
              </w:rPr>
            </w:pPr>
            <w:r w:rsidRPr="00B8717B">
              <w:rPr>
                <w:rFonts w:ascii="Calibri" w:hAnsi="Calibri"/>
                <w:sz w:val="16"/>
                <w:szCs w:val="16"/>
              </w:rPr>
              <w:t>Temperatura łamliwości</w:t>
            </w:r>
          </w:p>
        </w:tc>
        <w:tc>
          <w:tcPr>
            <w:tcW w:w="1663" w:type="dxa"/>
            <w:tcBorders>
              <w:bottom w:val="single" w:sz="4" w:space="0" w:color="auto"/>
            </w:tcBorders>
            <w:vAlign w:val="center"/>
          </w:tcPr>
          <w:p w:rsidR="000C27BF" w:rsidRPr="00B8717B" w:rsidRDefault="000C27BF" w:rsidP="00556540">
            <w:pPr>
              <w:jc w:val="center"/>
              <w:rPr>
                <w:rFonts w:ascii="Calibri" w:hAnsi="Calibri"/>
                <w:sz w:val="16"/>
                <w:szCs w:val="16"/>
              </w:rPr>
            </w:pPr>
            <w:r w:rsidRPr="00B8717B">
              <w:rPr>
                <w:rFonts w:ascii="Calibri" w:hAnsi="Calibri"/>
                <w:sz w:val="16"/>
                <w:szCs w:val="16"/>
              </w:rPr>
              <w:t>PN-EN 12593 [29]</w:t>
            </w:r>
          </w:p>
        </w:tc>
        <w:tc>
          <w:tcPr>
            <w:tcW w:w="992" w:type="dxa"/>
            <w:tcBorders>
              <w:bottom w:val="single" w:sz="4" w:space="0" w:color="auto"/>
            </w:tcBorders>
            <w:vAlign w:val="center"/>
          </w:tcPr>
          <w:p w:rsidR="000C27BF" w:rsidRPr="00B8717B" w:rsidRDefault="000C27BF" w:rsidP="00556540">
            <w:pPr>
              <w:jc w:val="center"/>
              <w:rPr>
                <w:rFonts w:ascii="Calibri" w:hAnsi="Calibri"/>
                <w:sz w:val="16"/>
                <w:szCs w:val="16"/>
              </w:rPr>
            </w:pPr>
            <w:r w:rsidRPr="00B8717B">
              <w:rPr>
                <w:rFonts w:ascii="Calibri" w:hAnsi="Calibri"/>
                <w:sz w:val="16"/>
                <w:szCs w:val="16"/>
              </w:rPr>
              <w:t>°C</w:t>
            </w:r>
          </w:p>
        </w:tc>
        <w:tc>
          <w:tcPr>
            <w:tcW w:w="992" w:type="dxa"/>
            <w:tcBorders>
              <w:bottom w:val="single" w:sz="4" w:space="0" w:color="auto"/>
            </w:tcBorders>
            <w:vAlign w:val="center"/>
          </w:tcPr>
          <w:p w:rsidR="000C27BF" w:rsidRPr="00B8717B" w:rsidRDefault="000C27BF" w:rsidP="00556540">
            <w:pPr>
              <w:jc w:val="center"/>
              <w:rPr>
                <w:rFonts w:ascii="Calibri" w:hAnsi="Calibri"/>
                <w:sz w:val="16"/>
                <w:szCs w:val="16"/>
              </w:rPr>
            </w:pPr>
            <w:r w:rsidRPr="00B8717B">
              <w:rPr>
                <w:rFonts w:ascii="Calibri" w:hAnsi="Calibri"/>
                <w:sz w:val="16"/>
                <w:szCs w:val="16"/>
              </w:rPr>
              <w:t>≤ -12</w:t>
            </w:r>
          </w:p>
        </w:tc>
        <w:tc>
          <w:tcPr>
            <w:tcW w:w="1701" w:type="dxa"/>
            <w:tcBorders>
              <w:bottom w:val="single" w:sz="4" w:space="0" w:color="auto"/>
              <w:right w:val="single" w:sz="4" w:space="0" w:color="auto"/>
            </w:tcBorders>
            <w:vAlign w:val="center"/>
          </w:tcPr>
          <w:p w:rsidR="000C27BF" w:rsidRPr="00B8717B" w:rsidRDefault="000C27BF" w:rsidP="00556540">
            <w:pPr>
              <w:jc w:val="center"/>
              <w:rPr>
                <w:rFonts w:ascii="Calibri" w:hAnsi="Calibri"/>
                <w:sz w:val="16"/>
                <w:szCs w:val="16"/>
              </w:rPr>
            </w:pPr>
            <w:r w:rsidRPr="00B8717B">
              <w:rPr>
                <w:rFonts w:ascii="Calibri" w:hAnsi="Calibri"/>
                <w:sz w:val="16"/>
                <w:szCs w:val="16"/>
              </w:rPr>
              <w:t>6</w:t>
            </w:r>
          </w:p>
        </w:tc>
      </w:tr>
      <w:tr w:rsidR="000C27BF" w:rsidRPr="00B8717B" w:rsidTr="008F20A4">
        <w:tc>
          <w:tcPr>
            <w:tcW w:w="1276" w:type="dxa"/>
            <w:vMerge/>
          </w:tcPr>
          <w:p w:rsidR="000C27BF" w:rsidRPr="00B8717B" w:rsidRDefault="000C27BF" w:rsidP="00556540">
            <w:pPr>
              <w:rPr>
                <w:rFonts w:ascii="Calibri" w:hAnsi="Calibri"/>
                <w:sz w:val="16"/>
                <w:szCs w:val="16"/>
              </w:rPr>
            </w:pPr>
          </w:p>
        </w:tc>
        <w:tc>
          <w:tcPr>
            <w:tcW w:w="1172" w:type="dxa"/>
            <w:vAlign w:val="center"/>
          </w:tcPr>
          <w:p w:rsidR="000C27BF" w:rsidRDefault="000C27BF" w:rsidP="00556540">
            <w:pPr>
              <w:rPr>
                <w:rFonts w:ascii="Calibri" w:hAnsi="Calibri"/>
                <w:sz w:val="16"/>
                <w:szCs w:val="16"/>
              </w:rPr>
            </w:pPr>
            <w:r w:rsidRPr="00B8717B">
              <w:rPr>
                <w:rFonts w:ascii="Calibri" w:hAnsi="Calibri"/>
                <w:sz w:val="16"/>
                <w:szCs w:val="16"/>
              </w:rPr>
              <w:t xml:space="preserve">Nawrót sprężysty w </w:t>
            </w:r>
            <w:smartTag w:uri="urn:schemas-microsoft-com:office:smarttags" w:element="metricconverter">
              <w:smartTagPr>
                <w:attr w:name="ProductID" w:val="25ﾰC"/>
              </w:smartTagPr>
              <w:r w:rsidRPr="00B8717B">
                <w:rPr>
                  <w:rFonts w:ascii="Calibri" w:hAnsi="Calibri"/>
                  <w:sz w:val="16"/>
                  <w:szCs w:val="16"/>
                </w:rPr>
                <w:t>25°C</w:t>
              </w:r>
            </w:smartTag>
          </w:p>
          <w:p w:rsidR="000C27BF" w:rsidRPr="00B8717B" w:rsidRDefault="000C27BF" w:rsidP="00556540">
            <w:pPr>
              <w:rPr>
                <w:rFonts w:ascii="Calibri" w:hAnsi="Calibri"/>
                <w:sz w:val="16"/>
                <w:szCs w:val="16"/>
              </w:rPr>
            </w:pPr>
          </w:p>
        </w:tc>
        <w:tc>
          <w:tcPr>
            <w:tcW w:w="1663" w:type="dxa"/>
            <w:tcBorders>
              <w:bottom w:val="single" w:sz="4" w:space="0" w:color="auto"/>
            </w:tcBorders>
            <w:vAlign w:val="center"/>
          </w:tcPr>
          <w:p w:rsidR="000C27BF" w:rsidRPr="00B8717B" w:rsidRDefault="000C27BF" w:rsidP="00556540">
            <w:pPr>
              <w:jc w:val="left"/>
              <w:rPr>
                <w:rFonts w:ascii="Calibri" w:hAnsi="Calibri"/>
                <w:sz w:val="16"/>
                <w:szCs w:val="16"/>
              </w:rPr>
            </w:pPr>
            <w:r w:rsidRPr="00B8717B">
              <w:rPr>
                <w:rFonts w:ascii="Calibri" w:hAnsi="Calibri"/>
                <w:sz w:val="16"/>
                <w:szCs w:val="16"/>
              </w:rPr>
              <w:t>PN-EN 13398 [51]</w:t>
            </w:r>
          </w:p>
        </w:tc>
        <w:tc>
          <w:tcPr>
            <w:tcW w:w="992" w:type="dxa"/>
            <w:tcBorders>
              <w:bottom w:val="single" w:sz="4" w:space="0" w:color="auto"/>
            </w:tcBorders>
            <w:vAlign w:val="center"/>
          </w:tcPr>
          <w:p w:rsidR="000C27BF" w:rsidRPr="00B8717B" w:rsidRDefault="000C27BF" w:rsidP="00556540">
            <w:pPr>
              <w:jc w:val="center"/>
              <w:rPr>
                <w:rFonts w:ascii="Calibri" w:hAnsi="Calibri"/>
                <w:sz w:val="16"/>
                <w:szCs w:val="16"/>
              </w:rPr>
            </w:pPr>
            <w:r w:rsidRPr="00B8717B">
              <w:rPr>
                <w:rFonts w:ascii="Calibri" w:hAnsi="Calibri"/>
                <w:sz w:val="16"/>
                <w:szCs w:val="16"/>
              </w:rPr>
              <w:t>%</w:t>
            </w:r>
          </w:p>
        </w:tc>
        <w:tc>
          <w:tcPr>
            <w:tcW w:w="992" w:type="dxa"/>
            <w:tcBorders>
              <w:bottom w:val="single" w:sz="4" w:space="0" w:color="auto"/>
            </w:tcBorders>
            <w:vAlign w:val="center"/>
          </w:tcPr>
          <w:p w:rsidR="000C27BF" w:rsidRPr="00B8717B" w:rsidRDefault="000C27BF" w:rsidP="00556540">
            <w:pPr>
              <w:jc w:val="center"/>
              <w:rPr>
                <w:rFonts w:ascii="Calibri" w:hAnsi="Calibri"/>
                <w:sz w:val="16"/>
                <w:szCs w:val="16"/>
              </w:rPr>
            </w:pPr>
            <w:r w:rsidRPr="00B8717B">
              <w:rPr>
                <w:rFonts w:ascii="Calibri" w:hAnsi="Calibri"/>
                <w:sz w:val="16"/>
                <w:szCs w:val="16"/>
              </w:rPr>
              <w:t>≥ 50</w:t>
            </w:r>
          </w:p>
        </w:tc>
        <w:tc>
          <w:tcPr>
            <w:tcW w:w="1701" w:type="dxa"/>
            <w:tcBorders>
              <w:top w:val="nil"/>
            </w:tcBorders>
            <w:vAlign w:val="center"/>
          </w:tcPr>
          <w:p w:rsidR="000C27BF" w:rsidRPr="00B8717B" w:rsidRDefault="000C27BF" w:rsidP="00556540">
            <w:pPr>
              <w:jc w:val="center"/>
              <w:rPr>
                <w:rFonts w:ascii="Calibri" w:hAnsi="Calibri"/>
                <w:sz w:val="16"/>
                <w:szCs w:val="16"/>
              </w:rPr>
            </w:pPr>
            <w:r w:rsidRPr="00B8717B">
              <w:rPr>
                <w:rFonts w:ascii="Calibri" w:hAnsi="Calibri"/>
                <w:sz w:val="16"/>
                <w:szCs w:val="16"/>
              </w:rPr>
              <w:t>5</w:t>
            </w:r>
          </w:p>
        </w:tc>
      </w:tr>
      <w:tr w:rsidR="000C27BF" w:rsidRPr="00B8717B" w:rsidTr="008F20A4">
        <w:tc>
          <w:tcPr>
            <w:tcW w:w="1276" w:type="dxa"/>
            <w:vMerge/>
          </w:tcPr>
          <w:p w:rsidR="000C27BF" w:rsidRPr="00B8717B" w:rsidRDefault="000C27BF" w:rsidP="00556540">
            <w:pPr>
              <w:rPr>
                <w:rFonts w:ascii="Calibri" w:hAnsi="Calibri"/>
                <w:sz w:val="16"/>
                <w:szCs w:val="16"/>
              </w:rPr>
            </w:pPr>
          </w:p>
        </w:tc>
        <w:tc>
          <w:tcPr>
            <w:tcW w:w="1172" w:type="dxa"/>
            <w:vAlign w:val="center"/>
          </w:tcPr>
          <w:p w:rsidR="000C27BF" w:rsidRPr="00B8717B" w:rsidRDefault="000C27BF" w:rsidP="00556540">
            <w:pPr>
              <w:rPr>
                <w:rFonts w:ascii="Calibri" w:hAnsi="Calibri"/>
                <w:sz w:val="16"/>
                <w:szCs w:val="16"/>
              </w:rPr>
            </w:pPr>
            <w:r w:rsidRPr="00B8717B">
              <w:rPr>
                <w:rFonts w:ascii="Calibri" w:hAnsi="Calibri"/>
                <w:sz w:val="16"/>
                <w:szCs w:val="16"/>
              </w:rPr>
              <w:t xml:space="preserve">Nawrót sprężysty w </w:t>
            </w:r>
            <w:smartTag w:uri="urn:schemas-microsoft-com:office:smarttags" w:element="metricconverter">
              <w:smartTagPr>
                <w:attr w:name="ProductID" w:val="10ﾰC"/>
              </w:smartTagPr>
              <w:r w:rsidRPr="00B8717B">
                <w:rPr>
                  <w:rFonts w:ascii="Calibri" w:hAnsi="Calibri"/>
                  <w:sz w:val="16"/>
                  <w:szCs w:val="16"/>
                </w:rPr>
                <w:t>10°C</w:t>
              </w:r>
            </w:smartTag>
          </w:p>
        </w:tc>
        <w:tc>
          <w:tcPr>
            <w:tcW w:w="1663" w:type="dxa"/>
            <w:tcBorders>
              <w:top w:val="single" w:sz="4" w:space="0" w:color="auto"/>
            </w:tcBorders>
            <w:vAlign w:val="center"/>
          </w:tcPr>
          <w:p w:rsidR="000C27BF" w:rsidRPr="00B8717B" w:rsidRDefault="000C27BF" w:rsidP="00556540">
            <w:pPr>
              <w:jc w:val="center"/>
              <w:rPr>
                <w:rFonts w:ascii="Calibri" w:hAnsi="Calibri"/>
                <w:sz w:val="16"/>
                <w:szCs w:val="16"/>
              </w:rPr>
            </w:pPr>
          </w:p>
        </w:tc>
        <w:tc>
          <w:tcPr>
            <w:tcW w:w="992" w:type="dxa"/>
            <w:tcBorders>
              <w:top w:val="single" w:sz="4" w:space="0" w:color="auto"/>
            </w:tcBorders>
            <w:vAlign w:val="center"/>
          </w:tcPr>
          <w:p w:rsidR="000C27BF" w:rsidRPr="00B8717B" w:rsidRDefault="000C27BF" w:rsidP="00556540">
            <w:pPr>
              <w:jc w:val="center"/>
              <w:rPr>
                <w:rFonts w:ascii="Calibri" w:hAnsi="Calibri"/>
                <w:sz w:val="16"/>
                <w:szCs w:val="16"/>
              </w:rPr>
            </w:pPr>
          </w:p>
        </w:tc>
        <w:tc>
          <w:tcPr>
            <w:tcW w:w="992" w:type="dxa"/>
            <w:tcBorders>
              <w:top w:val="single" w:sz="4" w:space="0" w:color="auto"/>
            </w:tcBorders>
            <w:vAlign w:val="center"/>
          </w:tcPr>
          <w:p w:rsidR="000C27BF" w:rsidRPr="00B8717B" w:rsidRDefault="000C27BF" w:rsidP="00556540">
            <w:pPr>
              <w:jc w:val="center"/>
              <w:rPr>
                <w:rFonts w:ascii="Calibri" w:hAnsi="Calibri"/>
                <w:sz w:val="16"/>
                <w:szCs w:val="16"/>
              </w:rPr>
            </w:pPr>
            <w:r w:rsidRPr="00B8717B">
              <w:rPr>
                <w:rFonts w:ascii="Calibri" w:hAnsi="Calibri"/>
                <w:sz w:val="16"/>
                <w:szCs w:val="16"/>
              </w:rPr>
              <w:t>NPD</w:t>
            </w:r>
            <w:r w:rsidRPr="00B8717B">
              <w:rPr>
                <w:rFonts w:ascii="Calibri" w:hAnsi="Calibri"/>
                <w:sz w:val="16"/>
                <w:szCs w:val="16"/>
                <w:vertAlign w:val="superscript"/>
              </w:rPr>
              <w:t>a</w:t>
            </w:r>
          </w:p>
        </w:tc>
        <w:tc>
          <w:tcPr>
            <w:tcW w:w="1701" w:type="dxa"/>
            <w:vAlign w:val="center"/>
          </w:tcPr>
          <w:p w:rsidR="000C27BF" w:rsidRPr="00B8717B" w:rsidRDefault="000C27BF" w:rsidP="00556540">
            <w:pPr>
              <w:jc w:val="center"/>
              <w:rPr>
                <w:rFonts w:ascii="Calibri" w:hAnsi="Calibri"/>
                <w:sz w:val="16"/>
                <w:szCs w:val="16"/>
              </w:rPr>
            </w:pPr>
            <w:r w:rsidRPr="00B8717B">
              <w:rPr>
                <w:rFonts w:ascii="Calibri" w:hAnsi="Calibri"/>
                <w:sz w:val="16"/>
                <w:szCs w:val="16"/>
              </w:rPr>
              <w:t>0</w:t>
            </w:r>
          </w:p>
        </w:tc>
      </w:tr>
      <w:tr w:rsidR="000C27BF" w:rsidRPr="00B8717B" w:rsidTr="008F20A4">
        <w:tc>
          <w:tcPr>
            <w:tcW w:w="1276" w:type="dxa"/>
            <w:vMerge/>
          </w:tcPr>
          <w:p w:rsidR="000C27BF" w:rsidRPr="00B8717B" w:rsidRDefault="000C27BF" w:rsidP="00556540">
            <w:pPr>
              <w:rPr>
                <w:rFonts w:ascii="Calibri" w:hAnsi="Calibri"/>
                <w:sz w:val="16"/>
                <w:szCs w:val="16"/>
              </w:rPr>
            </w:pPr>
          </w:p>
        </w:tc>
        <w:tc>
          <w:tcPr>
            <w:tcW w:w="1172" w:type="dxa"/>
            <w:vAlign w:val="center"/>
          </w:tcPr>
          <w:p w:rsidR="000C27BF" w:rsidRPr="00B8717B" w:rsidRDefault="000C27BF" w:rsidP="00556540">
            <w:pPr>
              <w:rPr>
                <w:rFonts w:ascii="Calibri" w:hAnsi="Calibri"/>
                <w:sz w:val="16"/>
                <w:szCs w:val="16"/>
              </w:rPr>
            </w:pPr>
            <w:r w:rsidRPr="00B8717B">
              <w:rPr>
                <w:rFonts w:ascii="Calibri" w:hAnsi="Calibri"/>
                <w:sz w:val="16"/>
                <w:szCs w:val="16"/>
              </w:rPr>
              <w:t>Zakres plastyczności</w:t>
            </w:r>
          </w:p>
        </w:tc>
        <w:tc>
          <w:tcPr>
            <w:tcW w:w="1663" w:type="dxa"/>
            <w:vAlign w:val="center"/>
          </w:tcPr>
          <w:p w:rsidR="000C27BF" w:rsidRPr="00B8717B" w:rsidRDefault="000C27BF" w:rsidP="00556540">
            <w:pPr>
              <w:jc w:val="center"/>
              <w:rPr>
                <w:rFonts w:ascii="Calibri" w:hAnsi="Calibri"/>
                <w:sz w:val="16"/>
                <w:szCs w:val="16"/>
              </w:rPr>
            </w:pPr>
            <w:r w:rsidRPr="00B8717B">
              <w:rPr>
                <w:rFonts w:ascii="Calibri" w:hAnsi="Calibri"/>
                <w:sz w:val="16"/>
                <w:szCs w:val="16"/>
              </w:rPr>
              <w:t>PN-EN 14023 [59] Punkt 5.1.9</w:t>
            </w:r>
          </w:p>
        </w:tc>
        <w:tc>
          <w:tcPr>
            <w:tcW w:w="992" w:type="dxa"/>
            <w:vAlign w:val="center"/>
          </w:tcPr>
          <w:p w:rsidR="000C27BF" w:rsidRPr="00B8717B" w:rsidRDefault="000C27BF" w:rsidP="00556540">
            <w:pPr>
              <w:jc w:val="center"/>
              <w:rPr>
                <w:rFonts w:ascii="Calibri" w:hAnsi="Calibri"/>
                <w:sz w:val="16"/>
                <w:szCs w:val="16"/>
              </w:rPr>
            </w:pPr>
            <w:r w:rsidRPr="00B8717B">
              <w:rPr>
                <w:rFonts w:ascii="Calibri" w:hAnsi="Calibri"/>
                <w:sz w:val="16"/>
                <w:szCs w:val="16"/>
              </w:rPr>
              <w:t>°C</w:t>
            </w:r>
          </w:p>
        </w:tc>
        <w:tc>
          <w:tcPr>
            <w:tcW w:w="992" w:type="dxa"/>
            <w:vAlign w:val="center"/>
          </w:tcPr>
          <w:p w:rsidR="000C27BF" w:rsidRPr="00B8717B" w:rsidRDefault="000C27BF" w:rsidP="00556540">
            <w:pPr>
              <w:jc w:val="center"/>
              <w:rPr>
                <w:rFonts w:ascii="Calibri" w:hAnsi="Calibri"/>
                <w:sz w:val="16"/>
                <w:szCs w:val="16"/>
                <w:vertAlign w:val="superscript"/>
              </w:rPr>
            </w:pPr>
            <w:r w:rsidRPr="00B8717B">
              <w:rPr>
                <w:rFonts w:ascii="Calibri" w:hAnsi="Calibri"/>
                <w:sz w:val="16"/>
                <w:szCs w:val="16"/>
              </w:rPr>
              <w:t>TBR</w:t>
            </w:r>
            <w:r w:rsidRPr="00B8717B">
              <w:rPr>
                <w:rFonts w:ascii="Calibri" w:hAnsi="Calibri"/>
                <w:sz w:val="16"/>
                <w:szCs w:val="16"/>
                <w:vertAlign w:val="superscript"/>
              </w:rPr>
              <w:t>b</w:t>
            </w:r>
          </w:p>
        </w:tc>
        <w:tc>
          <w:tcPr>
            <w:tcW w:w="1701" w:type="dxa"/>
            <w:vAlign w:val="center"/>
          </w:tcPr>
          <w:p w:rsidR="000C27BF" w:rsidRPr="00B8717B" w:rsidRDefault="000C27BF" w:rsidP="00556540">
            <w:pPr>
              <w:jc w:val="center"/>
              <w:rPr>
                <w:rFonts w:ascii="Calibri" w:hAnsi="Calibri"/>
                <w:sz w:val="16"/>
                <w:szCs w:val="16"/>
              </w:rPr>
            </w:pPr>
            <w:r w:rsidRPr="00B8717B">
              <w:rPr>
                <w:rFonts w:ascii="Calibri" w:hAnsi="Calibri"/>
                <w:sz w:val="16"/>
                <w:szCs w:val="16"/>
              </w:rPr>
              <w:t>1</w:t>
            </w:r>
          </w:p>
        </w:tc>
      </w:tr>
      <w:tr w:rsidR="000C27BF" w:rsidRPr="00B8717B" w:rsidTr="008F20A4">
        <w:tc>
          <w:tcPr>
            <w:tcW w:w="1276" w:type="dxa"/>
            <w:vMerge/>
          </w:tcPr>
          <w:p w:rsidR="000C27BF" w:rsidRPr="00B8717B" w:rsidRDefault="000C27BF" w:rsidP="00556540">
            <w:pPr>
              <w:rPr>
                <w:rFonts w:ascii="Calibri" w:hAnsi="Calibri"/>
                <w:sz w:val="16"/>
                <w:szCs w:val="16"/>
              </w:rPr>
            </w:pPr>
          </w:p>
        </w:tc>
        <w:tc>
          <w:tcPr>
            <w:tcW w:w="1172" w:type="dxa"/>
            <w:vAlign w:val="center"/>
          </w:tcPr>
          <w:p w:rsidR="000C27BF" w:rsidRDefault="000C27BF" w:rsidP="00556540">
            <w:pPr>
              <w:jc w:val="left"/>
              <w:rPr>
                <w:rFonts w:ascii="Calibri" w:hAnsi="Calibri"/>
                <w:sz w:val="16"/>
                <w:szCs w:val="16"/>
              </w:rPr>
            </w:pPr>
            <w:r w:rsidRPr="00B8717B">
              <w:rPr>
                <w:rFonts w:ascii="Calibri" w:hAnsi="Calibri"/>
                <w:sz w:val="16"/>
                <w:szCs w:val="16"/>
              </w:rPr>
              <w:t xml:space="preserve">Stabilność magazynowania. Różnica tempe-ratur </w:t>
            </w:r>
            <w:r>
              <w:rPr>
                <w:rFonts w:ascii="Calibri" w:hAnsi="Calibri"/>
                <w:sz w:val="16"/>
                <w:szCs w:val="16"/>
              </w:rPr>
              <w:t>pięknienia</w:t>
            </w:r>
          </w:p>
          <w:p w:rsidR="000C27BF" w:rsidRPr="00B8717B" w:rsidRDefault="000C27BF" w:rsidP="00556540">
            <w:pPr>
              <w:jc w:val="left"/>
              <w:rPr>
                <w:rFonts w:ascii="Calibri" w:hAnsi="Calibri"/>
                <w:sz w:val="16"/>
                <w:szCs w:val="16"/>
              </w:rPr>
            </w:pPr>
          </w:p>
        </w:tc>
        <w:tc>
          <w:tcPr>
            <w:tcW w:w="1663" w:type="dxa"/>
            <w:vAlign w:val="center"/>
          </w:tcPr>
          <w:p w:rsidR="000C27BF" w:rsidRPr="00B8717B" w:rsidRDefault="000C27BF" w:rsidP="00556540">
            <w:pPr>
              <w:jc w:val="center"/>
              <w:rPr>
                <w:rFonts w:ascii="Calibri" w:hAnsi="Calibri"/>
                <w:sz w:val="16"/>
                <w:szCs w:val="16"/>
              </w:rPr>
            </w:pPr>
            <w:r w:rsidRPr="00B8717B">
              <w:rPr>
                <w:rFonts w:ascii="Calibri" w:hAnsi="Calibri"/>
                <w:sz w:val="16"/>
                <w:szCs w:val="16"/>
              </w:rPr>
              <w:t>PN-EN 13399 [52]</w:t>
            </w:r>
          </w:p>
          <w:p w:rsidR="000C27BF" w:rsidRPr="00B8717B" w:rsidRDefault="000C27BF" w:rsidP="00556540">
            <w:pPr>
              <w:jc w:val="center"/>
              <w:rPr>
                <w:rFonts w:ascii="Calibri" w:hAnsi="Calibri"/>
                <w:sz w:val="16"/>
                <w:szCs w:val="16"/>
              </w:rPr>
            </w:pPr>
            <w:r w:rsidRPr="00B8717B">
              <w:rPr>
                <w:rFonts w:ascii="Calibri" w:hAnsi="Calibri"/>
                <w:sz w:val="16"/>
                <w:szCs w:val="16"/>
              </w:rPr>
              <w:t>PN-EN 1427 [22]</w:t>
            </w:r>
          </w:p>
        </w:tc>
        <w:tc>
          <w:tcPr>
            <w:tcW w:w="992" w:type="dxa"/>
            <w:vAlign w:val="center"/>
          </w:tcPr>
          <w:p w:rsidR="000C27BF" w:rsidRPr="00B8717B" w:rsidRDefault="000C27BF" w:rsidP="00556540">
            <w:pPr>
              <w:jc w:val="center"/>
              <w:rPr>
                <w:rFonts w:ascii="Calibri" w:hAnsi="Calibri"/>
                <w:sz w:val="16"/>
                <w:szCs w:val="16"/>
              </w:rPr>
            </w:pPr>
            <w:r w:rsidRPr="00B8717B">
              <w:rPr>
                <w:rFonts w:ascii="Calibri" w:hAnsi="Calibri"/>
                <w:sz w:val="16"/>
                <w:szCs w:val="16"/>
              </w:rPr>
              <w:t>°C</w:t>
            </w:r>
          </w:p>
        </w:tc>
        <w:tc>
          <w:tcPr>
            <w:tcW w:w="992" w:type="dxa"/>
            <w:vAlign w:val="center"/>
          </w:tcPr>
          <w:p w:rsidR="000C27BF" w:rsidRPr="00B8717B" w:rsidRDefault="000C27BF" w:rsidP="00556540">
            <w:pPr>
              <w:jc w:val="center"/>
              <w:rPr>
                <w:rFonts w:ascii="Calibri" w:hAnsi="Calibri"/>
                <w:sz w:val="16"/>
                <w:szCs w:val="16"/>
              </w:rPr>
            </w:pPr>
            <w:r w:rsidRPr="00B8717B">
              <w:rPr>
                <w:rFonts w:ascii="Calibri" w:hAnsi="Calibri"/>
                <w:sz w:val="16"/>
                <w:szCs w:val="16"/>
              </w:rPr>
              <w:t>≤ 5</w:t>
            </w:r>
          </w:p>
        </w:tc>
        <w:tc>
          <w:tcPr>
            <w:tcW w:w="1701" w:type="dxa"/>
            <w:vAlign w:val="center"/>
          </w:tcPr>
          <w:p w:rsidR="000C27BF" w:rsidRPr="00B8717B" w:rsidRDefault="000C27BF" w:rsidP="00556540">
            <w:pPr>
              <w:jc w:val="center"/>
              <w:rPr>
                <w:rFonts w:ascii="Calibri" w:hAnsi="Calibri"/>
                <w:sz w:val="16"/>
                <w:szCs w:val="16"/>
              </w:rPr>
            </w:pPr>
            <w:r w:rsidRPr="00B8717B">
              <w:rPr>
                <w:rFonts w:ascii="Calibri" w:hAnsi="Calibri"/>
                <w:sz w:val="16"/>
                <w:szCs w:val="16"/>
              </w:rPr>
              <w:t>2</w:t>
            </w:r>
          </w:p>
        </w:tc>
      </w:tr>
      <w:tr w:rsidR="000C27BF" w:rsidRPr="00B8717B" w:rsidTr="008F20A4">
        <w:trPr>
          <w:trHeight w:val="916"/>
        </w:trPr>
        <w:tc>
          <w:tcPr>
            <w:tcW w:w="1276" w:type="dxa"/>
            <w:vMerge/>
          </w:tcPr>
          <w:p w:rsidR="000C27BF" w:rsidRPr="00B8717B" w:rsidRDefault="000C27BF" w:rsidP="00556540">
            <w:pPr>
              <w:rPr>
                <w:rFonts w:ascii="Calibri" w:hAnsi="Calibri"/>
                <w:sz w:val="16"/>
                <w:szCs w:val="16"/>
              </w:rPr>
            </w:pPr>
          </w:p>
        </w:tc>
        <w:tc>
          <w:tcPr>
            <w:tcW w:w="1172" w:type="dxa"/>
            <w:vAlign w:val="center"/>
          </w:tcPr>
          <w:p w:rsidR="000C27BF" w:rsidRPr="00B8717B" w:rsidRDefault="000C27BF" w:rsidP="00556540">
            <w:pPr>
              <w:rPr>
                <w:rFonts w:ascii="Calibri" w:hAnsi="Calibri"/>
                <w:sz w:val="16"/>
                <w:szCs w:val="16"/>
              </w:rPr>
            </w:pPr>
            <w:r w:rsidRPr="00B8717B">
              <w:rPr>
                <w:rFonts w:ascii="Calibri" w:hAnsi="Calibri"/>
                <w:sz w:val="16"/>
                <w:szCs w:val="16"/>
              </w:rPr>
              <w:t>Stabilność magazynowania. Różnica penetracji</w:t>
            </w:r>
          </w:p>
        </w:tc>
        <w:tc>
          <w:tcPr>
            <w:tcW w:w="1663" w:type="dxa"/>
            <w:vAlign w:val="center"/>
          </w:tcPr>
          <w:p w:rsidR="000C27BF" w:rsidRPr="00B8717B" w:rsidRDefault="000C27BF" w:rsidP="00556540">
            <w:pPr>
              <w:jc w:val="center"/>
              <w:rPr>
                <w:rFonts w:ascii="Calibri" w:hAnsi="Calibri"/>
                <w:sz w:val="16"/>
                <w:szCs w:val="16"/>
              </w:rPr>
            </w:pPr>
            <w:r w:rsidRPr="00B8717B">
              <w:rPr>
                <w:rFonts w:ascii="Calibri" w:hAnsi="Calibri"/>
                <w:sz w:val="16"/>
                <w:szCs w:val="16"/>
              </w:rPr>
              <w:t>PN-EN 13399 [52]</w:t>
            </w:r>
          </w:p>
          <w:p w:rsidR="000C27BF" w:rsidRPr="00B8717B" w:rsidRDefault="000C27BF" w:rsidP="00556540">
            <w:pPr>
              <w:jc w:val="center"/>
              <w:rPr>
                <w:rFonts w:ascii="Calibri" w:hAnsi="Calibri"/>
                <w:sz w:val="16"/>
                <w:szCs w:val="16"/>
              </w:rPr>
            </w:pPr>
            <w:r w:rsidRPr="00B8717B">
              <w:rPr>
                <w:rFonts w:ascii="Calibri" w:hAnsi="Calibri"/>
                <w:sz w:val="16"/>
                <w:szCs w:val="16"/>
              </w:rPr>
              <w:t>PN-EN 1426 [21]</w:t>
            </w:r>
          </w:p>
        </w:tc>
        <w:tc>
          <w:tcPr>
            <w:tcW w:w="992" w:type="dxa"/>
            <w:vAlign w:val="center"/>
          </w:tcPr>
          <w:p w:rsidR="000C27BF" w:rsidRPr="00B8717B" w:rsidRDefault="000C27BF" w:rsidP="00556540">
            <w:pPr>
              <w:jc w:val="center"/>
              <w:rPr>
                <w:rFonts w:ascii="Calibri" w:hAnsi="Calibri"/>
                <w:sz w:val="16"/>
                <w:szCs w:val="16"/>
              </w:rPr>
            </w:pPr>
            <w:smartTag w:uri="urn:schemas-microsoft-com:office:smarttags" w:element="metricconverter">
              <w:smartTagPr>
                <w:attr w:name="ProductID" w:val="0,1 mm"/>
              </w:smartTagPr>
              <w:r w:rsidRPr="00B8717B">
                <w:rPr>
                  <w:rFonts w:ascii="Calibri" w:hAnsi="Calibri"/>
                  <w:sz w:val="16"/>
                  <w:szCs w:val="16"/>
                </w:rPr>
                <w:t>0,1 mm</w:t>
              </w:r>
            </w:smartTag>
          </w:p>
        </w:tc>
        <w:tc>
          <w:tcPr>
            <w:tcW w:w="992" w:type="dxa"/>
            <w:vAlign w:val="center"/>
          </w:tcPr>
          <w:p w:rsidR="000C27BF" w:rsidRPr="00B8717B" w:rsidRDefault="000C27BF" w:rsidP="00556540">
            <w:pPr>
              <w:jc w:val="center"/>
              <w:rPr>
                <w:rFonts w:ascii="Calibri" w:hAnsi="Calibri"/>
                <w:sz w:val="16"/>
                <w:szCs w:val="16"/>
              </w:rPr>
            </w:pPr>
            <w:r w:rsidRPr="00B8717B">
              <w:rPr>
                <w:rFonts w:ascii="Calibri" w:hAnsi="Calibri"/>
                <w:sz w:val="16"/>
                <w:szCs w:val="16"/>
              </w:rPr>
              <w:t>NPD</w:t>
            </w:r>
            <w:r w:rsidRPr="00B8717B">
              <w:rPr>
                <w:rFonts w:ascii="Calibri" w:hAnsi="Calibri"/>
                <w:sz w:val="16"/>
                <w:szCs w:val="16"/>
                <w:vertAlign w:val="superscript"/>
              </w:rPr>
              <w:t>a</w:t>
            </w:r>
          </w:p>
        </w:tc>
        <w:tc>
          <w:tcPr>
            <w:tcW w:w="1701" w:type="dxa"/>
            <w:vAlign w:val="center"/>
          </w:tcPr>
          <w:p w:rsidR="000C27BF" w:rsidRPr="00B8717B" w:rsidRDefault="000C27BF" w:rsidP="00556540">
            <w:pPr>
              <w:jc w:val="center"/>
              <w:rPr>
                <w:rFonts w:ascii="Calibri" w:hAnsi="Calibri"/>
                <w:sz w:val="16"/>
                <w:szCs w:val="16"/>
              </w:rPr>
            </w:pPr>
            <w:r w:rsidRPr="00B8717B">
              <w:rPr>
                <w:rFonts w:ascii="Calibri" w:hAnsi="Calibri"/>
                <w:sz w:val="16"/>
                <w:szCs w:val="16"/>
              </w:rPr>
              <w:t>0</w:t>
            </w:r>
          </w:p>
        </w:tc>
      </w:tr>
      <w:tr w:rsidR="000C27BF" w:rsidRPr="00B8717B" w:rsidTr="008F20A4">
        <w:tc>
          <w:tcPr>
            <w:tcW w:w="1276" w:type="dxa"/>
            <w:vMerge/>
          </w:tcPr>
          <w:p w:rsidR="000C27BF" w:rsidRPr="00B8717B" w:rsidRDefault="000C27BF" w:rsidP="00556540">
            <w:pPr>
              <w:rPr>
                <w:rFonts w:ascii="Calibri" w:hAnsi="Calibri"/>
                <w:sz w:val="16"/>
                <w:szCs w:val="16"/>
              </w:rPr>
            </w:pPr>
          </w:p>
        </w:tc>
        <w:tc>
          <w:tcPr>
            <w:tcW w:w="1172" w:type="dxa"/>
            <w:vAlign w:val="center"/>
          </w:tcPr>
          <w:p w:rsidR="000C27BF" w:rsidRPr="00B8717B" w:rsidRDefault="000C27BF" w:rsidP="00556540">
            <w:pPr>
              <w:jc w:val="left"/>
              <w:rPr>
                <w:rFonts w:ascii="Calibri" w:hAnsi="Calibri"/>
                <w:sz w:val="16"/>
                <w:szCs w:val="16"/>
              </w:rPr>
            </w:pPr>
            <w:r w:rsidRPr="00B8717B">
              <w:rPr>
                <w:rFonts w:ascii="Calibri" w:hAnsi="Calibri"/>
                <w:sz w:val="16"/>
                <w:szCs w:val="16"/>
              </w:rPr>
              <w:t>Spadek tempe-ratury mięknienia po starzeniu wg PN-EN 12607</w:t>
            </w:r>
          </w:p>
          <w:p w:rsidR="000C27BF" w:rsidRPr="00B8717B" w:rsidRDefault="000C27BF" w:rsidP="00556540">
            <w:pPr>
              <w:rPr>
                <w:rFonts w:ascii="Calibri" w:hAnsi="Calibri"/>
                <w:sz w:val="16"/>
                <w:szCs w:val="16"/>
              </w:rPr>
            </w:pPr>
            <w:r w:rsidRPr="00B8717B">
              <w:rPr>
                <w:rFonts w:ascii="Calibri" w:hAnsi="Calibri"/>
                <w:sz w:val="16"/>
                <w:szCs w:val="16"/>
              </w:rPr>
              <w:t>-1 lub -3 [31]</w:t>
            </w:r>
          </w:p>
        </w:tc>
        <w:tc>
          <w:tcPr>
            <w:tcW w:w="1663" w:type="dxa"/>
            <w:tcBorders>
              <w:bottom w:val="single" w:sz="4" w:space="0" w:color="auto"/>
            </w:tcBorders>
            <w:vAlign w:val="center"/>
          </w:tcPr>
          <w:p w:rsidR="000C27BF" w:rsidRPr="00B8717B" w:rsidRDefault="000C27BF" w:rsidP="00556540">
            <w:pPr>
              <w:jc w:val="center"/>
              <w:rPr>
                <w:rFonts w:ascii="Calibri" w:hAnsi="Calibri"/>
                <w:sz w:val="16"/>
                <w:szCs w:val="16"/>
              </w:rPr>
            </w:pPr>
            <w:r w:rsidRPr="00B8717B">
              <w:rPr>
                <w:rFonts w:ascii="Calibri" w:hAnsi="Calibri"/>
                <w:sz w:val="16"/>
                <w:szCs w:val="16"/>
              </w:rPr>
              <w:t>PN-EN 12607-1 [31]</w:t>
            </w:r>
          </w:p>
          <w:p w:rsidR="000C27BF" w:rsidRPr="00B8717B" w:rsidRDefault="000C27BF" w:rsidP="00556540">
            <w:pPr>
              <w:jc w:val="center"/>
              <w:rPr>
                <w:rFonts w:ascii="Calibri" w:hAnsi="Calibri"/>
                <w:sz w:val="16"/>
                <w:szCs w:val="16"/>
              </w:rPr>
            </w:pPr>
            <w:r w:rsidRPr="00B8717B">
              <w:rPr>
                <w:rFonts w:ascii="Calibri" w:hAnsi="Calibri"/>
                <w:sz w:val="16"/>
                <w:szCs w:val="16"/>
              </w:rPr>
              <w:t>PN-EN 1427 [22]</w:t>
            </w:r>
          </w:p>
        </w:tc>
        <w:tc>
          <w:tcPr>
            <w:tcW w:w="992" w:type="dxa"/>
            <w:tcBorders>
              <w:bottom w:val="single" w:sz="4" w:space="0" w:color="auto"/>
            </w:tcBorders>
            <w:vAlign w:val="center"/>
          </w:tcPr>
          <w:p w:rsidR="000C27BF" w:rsidRPr="00B8717B" w:rsidRDefault="000C27BF" w:rsidP="00556540">
            <w:pPr>
              <w:jc w:val="center"/>
              <w:rPr>
                <w:rFonts w:ascii="Calibri" w:hAnsi="Calibri"/>
                <w:sz w:val="16"/>
                <w:szCs w:val="16"/>
              </w:rPr>
            </w:pPr>
            <w:r w:rsidRPr="00B8717B">
              <w:rPr>
                <w:rFonts w:ascii="Calibri" w:hAnsi="Calibri"/>
                <w:sz w:val="16"/>
                <w:szCs w:val="16"/>
              </w:rPr>
              <w:t>°C</w:t>
            </w:r>
          </w:p>
        </w:tc>
        <w:tc>
          <w:tcPr>
            <w:tcW w:w="992" w:type="dxa"/>
            <w:vAlign w:val="center"/>
          </w:tcPr>
          <w:p w:rsidR="000C27BF" w:rsidRPr="00B8717B" w:rsidRDefault="000C27BF" w:rsidP="00556540">
            <w:pPr>
              <w:jc w:val="center"/>
              <w:rPr>
                <w:rFonts w:ascii="Calibri" w:hAnsi="Calibri"/>
                <w:sz w:val="16"/>
                <w:szCs w:val="16"/>
              </w:rPr>
            </w:pPr>
            <w:r w:rsidRPr="00B8717B">
              <w:rPr>
                <w:rFonts w:ascii="Calibri" w:hAnsi="Calibri"/>
                <w:sz w:val="16"/>
                <w:szCs w:val="16"/>
              </w:rPr>
              <w:t>TBR</w:t>
            </w:r>
            <w:r w:rsidRPr="00B8717B">
              <w:rPr>
                <w:rFonts w:ascii="Calibri" w:hAnsi="Calibri"/>
                <w:sz w:val="16"/>
                <w:szCs w:val="16"/>
                <w:vertAlign w:val="superscript"/>
              </w:rPr>
              <w:t>b</w:t>
            </w:r>
          </w:p>
        </w:tc>
        <w:tc>
          <w:tcPr>
            <w:tcW w:w="1701" w:type="dxa"/>
            <w:vAlign w:val="center"/>
          </w:tcPr>
          <w:p w:rsidR="000C27BF" w:rsidRPr="00B8717B" w:rsidRDefault="000C27BF" w:rsidP="00556540">
            <w:pPr>
              <w:jc w:val="center"/>
              <w:rPr>
                <w:rFonts w:ascii="Calibri" w:hAnsi="Calibri"/>
                <w:sz w:val="16"/>
                <w:szCs w:val="16"/>
              </w:rPr>
            </w:pPr>
            <w:r w:rsidRPr="00B8717B">
              <w:rPr>
                <w:rFonts w:ascii="Calibri" w:hAnsi="Calibri"/>
                <w:sz w:val="16"/>
                <w:szCs w:val="16"/>
              </w:rPr>
              <w:t>1</w:t>
            </w:r>
          </w:p>
        </w:tc>
      </w:tr>
      <w:tr w:rsidR="000C27BF" w:rsidRPr="00B8717B" w:rsidTr="008F20A4">
        <w:tc>
          <w:tcPr>
            <w:tcW w:w="1276" w:type="dxa"/>
            <w:vMerge/>
          </w:tcPr>
          <w:p w:rsidR="000C27BF" w:rsidRPr="00B8717B" w:rsidRDefault="000C27BF" w:rsidP="00556540">
            <w:pPr>
              <w:rPr>
                <w:rFonts w:ascii="Calibri" w:hAnsi="Calibri"/>
                <w:sz w:val="16"/>
                <w:szCs w:val="16"/>
              </w:rPr>
            </w:pPr>
          </w:p>
        </w:tc>
        <w:tc>
          <w:tcPr>
            <w:tcW w:w="1172" w:type="dxa"/>
            <w:vAlign w:val="center"/>
          </w:tcPr>
          <w:p w:rsidR="000C27BF" w:rsidRPr="00B8717B" w:rsidRDefault="000C27BF" w:rsidP="00556540">
            <w:pPr>
              <w:jc w:val="left"/>
              <w:rPr>
                <w:rFonts w:ascii="Calibri" w:hAnsi="Calibri"/>
                <w:sz w:val="16"/>
                <w:szCs w:val="16"/>
              </w:rPr>
            </w:pPr>
            <w:r w:rsidRPr="00B8717B">
              <w:rPr>
                <w:rFonts w:ascii="Calibri" w:hAnsi="Calibri"/>
                <w:sz w:val="16"/>
                <w:szCs w:val="16"/>
              </w:rPr>
              <w:t xml:space="preserve">Nawrót sprę-żysty w </w:t>
            </w:r>
            <w:smartTag w:uri="urn:schemas-microsoft-com:office:smarttags" w:element="metricconverter">
              <w:smartTagPr>
                <w:attr w:name="ProductID" w:val="25ﾰC"/>
              </w:smartTagPr>
              <w:r w:rsidRPr="00B8717B">
                <w:rPr>
                  <w:rFonts w:ascii="Calibri" w:hAnsi="Calibri"/>
                  <w:sz w:val="16"/>
                  <w:szCs w:val="16"/>
                </w:rPr>
                <w:t>25°C</w:t>
              </w:r>
            </w:smartTag>
            <w:r w:rsidRPr="00B8717B">
              <w:rPr>
                <w:rFonts w:ascii="Calibri" w:hAnsi="Calibri"/>
                <w:sz w:val="16"/>
                <w:szCs w:val="16"/>
              </w:rPr>
              <w:t xml:space="preserve"> po starzeniu wg PN-EN 12607-1 lub   -3 [31]</w:t>
            </w:r>
          </w:p>
        </w:tc>
        <w:tc>
          <w:tcPr>
            <w:tcW w:w="1663" w:type="dxa"/>
            <w:vMerge w:val="restart"/>
            <w:vAlign w:val="center"/>
          </w:tcPr>
          <w:p w:rsidR="000C27BF" w:rsidRPr="00B8717B" w:rsidRDefault="000C27BF" w:rsidP="00556540">
            <w:pPr>
              <w:jc w:val="center"/>
              <w:rPr>
                <w:rFonts w:ascii="Calibri" w:hAnsi="Calibri"/>
                <w:sz w:val="16"/>
                <w:szCs w:val="16"/>
              </w:rPr>
            </w:pPr>
            <w:r w:rsidRPr="00B8717B">
              <w:rPr>
                <w:rFonts w:ascii="Calibri" w:hAnsi="Calibri"/>
                <w:sz w:val="16"/>
                <w:szCs w:val="16"/>
              </w:rPr>
              <w:t>PN-EN 12607-1 [31]</w:t>
            </w:r>
          </w:p>
          <w:p w:rsidR="000C27BF" w:rsidRPr="00B8717B" w:rsidRDefault="000C27BF" w:rsidP="00556540">
            <w:pPr>
              <w:jc w:val="center"/>
              <w:rPr>
                <w:rFonts w:ascii="Calibri" w:hAnsi="Calibri"/>
                <w:sz w:val="16"/>
                <w:szCs w:val="16"/>
              </w:rPr>
            </w:pPr>
            <w:r w:rsidRPr="00B8717B">
              <w:rPr>
                <w:rFonts w:ascii="Calibri" w:hAnsi="Calibri"/>
                <w:sz w:val="16"/>
                <w:szCs w:val="16"/>
              </w:rPr>
              <w:t>PN-EN 13398 [51]</w:t>
            </w:r>
          </w:p>
        </w:tc>
        <w:tc>
          <w:tcPr>
            <w:tcW w:w="992" w:type="dxa"/>
            <w:vMerge w:val="restart"/>
            <w:vAlign w:val="center"/>
          </w:tcPr>
          <w:p w:rsidR="000C27BF" w:rsidRPr="00B8717B" w:rsidRDefault="000C27BF" w:rsidP="00556540">
            <w:pPr>
              <w:jc w:val="center"/>
              <w:rPr>
                <w:rFonts w:ascii="Calibri" w:hAnsi="Calibri"/>
                <w:sz w:val="16"/>
                <w:szCs w:val="16"/>
              </w:rPr>
            </w:pPr>
            <w:r w:rsidRPr="00B8717B">
              <w:rPr>
                <w:rFonts w:ascii="Calibri" w:hAnsi="Calibri"/>
                <w:sz w:val="16"/>
                <w:szCs w:val="16"/>
              </w:rPr>
              <w:t>%</w:t>
            </w:r>
          </w:p>
        </w:tc>
        <w:tc>
          <w:tcPr>
            <w:tcW w:w="992" w:type="dxa"/>
            <w:vAlign w:val="center"/>
          </w:tcPr>
          <w:p w:rsidR="000C27BF" w:rsidRPr="00B8717B" w:rsidRDefault="000C27BF" w:rsidP="00556540">
            <w:pPr>
              <w:jc w:val="center"/>
              <w:rPr>
                <w:rFonts w:ascii="Calibri" w:hAnsi="Calibri"/>
                <w:sz w:val="16"/>
                <w:szCs w:val="16"/>
              </w:rPr>
            </w:pPr>
            <w:r w:rsidRPr="00B8717B">
              <w:rPr>
                <w:rFonts w:ascii="Calibri" w:hAnsi="Calibri"/>
                <w:sz w:val="16"/>
                <w:szCs w:val="16"/>
              </w:rPr>
              <w:t>≥ 50</w:t>
            </w:r>
          </w:p>
        </w:tc>
        <w:tc>
          <w:tcPr>
            <w:tcW w:w="1701" w:type="dxa"/>
            <w:vAlign w:val="center"/>
          </w:tcPr>
          <w:p w:rsidR="000C27BF" w:rsidRPr="00B8717B" w:rsidRDefault="000C27BF" w:rsidP="00556540">
            <w:pPr>
              <w:jc w:val="center"/>
              <w:rPr>
                <w:rFonts w:ascii="Calibri" w:hAnsi="Calibri"/>
                <w:sz w:val="16"/>
                <w:szCs w:val="16"/>
              </w:rPr>
            </w:pPr>
            <w:r w:rsidRPr="00B8717B">
              <w:rPr>
                <w:rFonts w:ascii="Calibri" w:hAnsi="Calibri"/>
                <w:sz w:val="16"/>
                <w:szCs w:val="16"/>
              </w:rPr>
              <w:t>4</w:t>
            </w:r>
          </w:p>
        </w:tc>
      </w:tr>
      <w:tr w:rsidR="000C27BF" w:rsidRPr="00B8717B" w:rsidTr="008F20A4">
        <w:tc>
          <w:tcPr>
            <w:tcW w:w="1276" w:type="dxa"/>
            <w:vMerge/>
          </w:tcPr>
          <w:p w:rsidR="000C27BF" w:rsidRPr="00B8717B" w:rsidRDefault="000C27BF" w:rsidP="00556540">
            <w:pPr>
              <w:rPr>
                <w:rFonts w:ascii="Calibri" w:hAnsi="Calibri"/>
                <w:sz w:val="16"/>
                <w:szCs w:val="16"/>
              </w:rPr>
            </w:pPr>
          </w:p>
        </w:tc>
        <w:tc>
          <w:tcPr>
            <w:tcW w:w="1172" w:type="dxa"/>
            <w:vAlign w:val="center"/>
          </w:tcPr>
          <w:p w:rsidR="000C27BF" w:rsidRPr="00B8717B" w:rsidRDefault="000C27BF" w:rsidP="00556540">
            <w:pPr>
              <w:jc w:val="left"/>
              <w:rPr>
                <w:rFonts w:ascii="Calibri" w:hAnsi="Calibri"/>
                <w:sz w:val="16"/>
                <w:szCs w:val="16"/>
              </w:rPr>
            </w:pPr>
            <w:r w:rsidRPr="00B8717B">
              <w:rPr>
                <w:rFonts w:ascii="Calibri" w:hAnsi="Calibri"/>
                <w:sz w:val="16"/>
                <w:szCs w:val="16"/>
              </w:rPr>
              <w:t xml:space="preserve">Nawrót sprę-żysty w </w:t>
            </w:r>
            <w:smartTag w:uri="urn:schemas-microsoft-com:office:smarttags" w:element="metricconverter">
              <w:smartTagPr>
                <w:attr w:name="ProductID" w:val="10ﾰC"/>
              </w:smartTagPr>
              <w:r w:rsidRPr="00B8717B">
                <w:rPr>
                  <w:rFonts w:ascii="Calibri" w:hAnsi="Calibri"/>
                  <w:sz w:val="16"/>
                  <w:szCs w:val="16"/>
                </w:rPr>
                <w:t>10°C</w:t>
              </w:r>
            </w:smartTag>
            <w:r w:rsidRPr="00B8717B">
              <w:rPr>
                <w:rFonts w:ascii="Calibri" w:hAnsi="Calibri"/>
                <w:sz w:val="16"/>
                <w:szCs w:val="16"/>
              </w:rPr>
              <w:t xml:space="preserve"> po starzeniu wg PN-EN 12607-1 lub   -3 [31]</w:t>
            </w:r>
          </w:p>
        </w:tc>
        <w:tc>
          <w:tcPr>
            <w:tcW w:w="1663" w:type="dxa"/>
            <w:vMerge/>
            <w:vAlign w:val="center"/>
          </w:tcPr>
          <w:p w:rsidR="000C27BF" w:rsidRPr="00B8717B" w:rsidRDefault="000C27BF" w:rsidP="00556540">
            <w:pPr>
              <w:jc w:val="center"/>
              <w:rPr>
                <w:rFonts w:ascii="Calibri" w:hAnsi="Calibri"/>
                <w:sz w:val="16"/>
                <w:szCs w:val="16"/>
              </w:rPr>
            </w:pPr>
          </w:p>
        </w:tc>
        <w:tc>
          <w:tcPr>
            <w:tcW w:w="992" w:type="dxa"/>
            <w:vMerge/>
            <w:vAlign w:val="center"/>
          </w:tcPr>
          <w:p w:rsidR="000C27BF" w:rsidRPr="00B8717B" w:rsidRDefault="000C27BF" w:rsidP="00556540">
            <w:pPr>
              <w:jc w:val="center"/>
              <w:rPr>
                <w:rFonts w:ascii="Calibri" w:hAnsi="Calibri"/>
                <w:sz w:val="16"/>
                <w:szCs w:val="16"/>
              </w:rPr>
            </w:pPr>
          </w:p>
        </w:tc>
        <w:tc>
          <w:tcPr>
            <w:tcW w:w="992" w:type="dxa"/>
            <w:vAlign w:val="center"/>
          </w:tcPr>
          <w:p w:rsidR="000C27BF" w:rsidRPr="00B8717B" w:rsidRDefault="000C27BF" w:rsidP="00556540">
            <w:pPr>
              <w:jc w:val="center"/>
              <w:rPr>
                <w:rFonts w:ascii="Calibri" w:hAnsi="Calibri"/>
                <w:sz w:val="16"/>
                <w:szCs w:val="16"/>
              </w:rPr>
            </w:pPr>
            <w:r w:rsidRPr="00B8717B">
              <w:rPr>
                <w:rFonts w:ascii="Calibri" w:hAnsi="Calibri"/>
                <w:sz w:val="16"/>
                <w:szCs w:val="16"/>
              </w:rPr>
              <w:t>NPD</w:t>
            </w:r>
            <w:r w:rsidRPr="00B8717B">
              <w:rPr>
                <w:rFonts w:ascii="Calibri" w:hAnsi="Calibri"/>
                <w:sz w:val="16"/>
                <w:szCs w:val="16"/>
                <w:vertAlign w:val="superscript"/>
              </w:rPr>
              <w:t>a</w:t>
            </w:r>
          </w:p>
        </w:tc>
        <w:tc>
          <w:tcPr>
            <w:tcW w:w="1701" w:type="dxa"/>
            <w:vAlign w:val="center"/>
          </w:tcPr>
          <w:p w:rsidR="000C27BF" w:rsidRPr="00B8717B" w:rsidRDefault="000C27BF" w:rsidP="00556540">
            <w:pPr>
              <w:jc w:val="center"/>
              <w:rPr>
                <w:rFonts w:ascii="Calibri" w:hAnsi="Calibri"/>
                <w:sz w:val="16"/>
                <w:szCs w:val="16"/>
              </w:rPr>
            </w:pPr>
            <w:r w:rsidRPr="00B8717B">
              <w:rPr>
                <w:rFonts w:ascii="Calibri" w:hAnsi="Calibri"/>
                <w:sz w:val="16"/>
                <w:szCs w:val="16"/>
              </w:rPr>
              <w:t>0</w:t>
            </w:r>
          </w:p>
        </w:tc>
      </w:tr>
      <w:tr w:rsidR="000C27BF" w:rsidRPr="00B8717B" w:rsidTr="008F20A4">
        <w:tc>
          <w:tcPr>
            <w:tcW w:w="7796" w:type="dxa"/>
            <w:gridSpan w:val="6"/>
            <w:tcBorders>
              <w:top w:val="nil"/>
            </w:tcBorders>
          </w:tcPr>
          <w:p w:rsidR="000C27BF" w:rsidRPr="0066462B" w:rsidRDefault="000C27BF" w:rsidP="00556540">
            <w:pPr>
              <w:rPr>
                <w:rFonts w:ascii="Calibri" w:hAnsi="Calibri"/>
                <w:i/>
                <w:sz w:val="16"/>
                <w:szCs w:val="16"/>
              </w:rPr>
            </w:pPr>
            <w:r w:rsidRPr="0066462B">
              <w:rPr>
                <w:rFonts w:ascii="Calibri" w:hAnsi="Calibri"/>
                <w:i/>
                <w:sz w:val="16"/>
                <w:szCs w:val="16"/>
                <w:vertAlign w:val="superscript"/>
              </w:rPr>
              <w:t>a</w:t>
            </w:r>
            <w:r w:rsidRPr="0066462B">
              <w:rPr>
                <w:rFonts w:ascii="Calibri" w:hAnsi="Calibri"/>
                <w:i/>
                <w:sz w:val="16"/>
                <w:szCs w:val="16"/>
              </w:rPr>
              <w:t xml:space="preserve"> NPD – No Performance Determined (właściwość użytkowa nie określana)</w:t>
            </w:r>
          </w:p>
          <w:p w:rsidR="000C27BF" w:rsidRPr="00B8717B" w:rsidRDefault="000C27BF" w:rsidP="00556540">
            <w:pPr>
              <w:rPr>
                <w:rFonts w:ascii="Calibri" w:hAnsi="Calibri"/>
                <w:sz w:val="16"/>
                <w:szCs w:val="16"/>
              </w:rPr>
            </w:pPr>
            <w:r w:rsidRPr="0066462B">
              <w:rPr>
                <w:rFonts w:ascii="Calibri" w:hAnsi="Calibri"/>
                <w:i/>
                <w:sz w:val="16"/>
                <w:szCs w:val="16"/>
                <w:vertAlign w:val="superscript"/>
              </w:rPr>
              <w:t>b</w:t>
            </w:r>
            <w:r w:rsidRPr="0066462B">
              <w:rPr>
                <w:rFonts w:ascii="Calibri" w:hAnsi="Calibri"/>
                <w:i/>
                <w:sz w:val="16"/>
                <w:szCs w:val="16"/>
              </w:rPr>
              <w:t xml:space="preserve"> TBR – To Be Reported (do zadeklarowania)</w:t>
            </w:r>
          </w:p>
        </w:tc>
      </w:tr>
    </w:tbl>
    <w:p w:rsidR="000C27BF" w:rsidRPr="00B8717B" w:rsidRDefault="000C27BF" w:rsidP="000C27BF">
      <w:pPr>
        <w:rPr>
          <w:rFonts w:ascii="Calibri" w:hAnsi="Calibri"/>
        </w:rPr>
      </w:pPr>
    </w:p>
    <w:p w:rsidR="000C27BF" w:rsidRPr="00B8717B" w:rsidRDefault="000C27BF" w:rsidP="000C27BF">
      <w:pPr>
        <w:rPr>
          <w:rFonts w:ascii="Calibri" w:hAnsi="Calibri"/>
        </w:rPr>
      </w:pPr>
      <w:r w:rsidRPr="00B8717B">
        <w:rPr>
          <w:rFonts w:ascii="Calibri" w:hAnsi="Calibri"/>
        </w:rPr>
        <w:tab/>
        <w:t xml:space="preserve">Składowanie asfaltu drogowego powinno się odbywać w zbiornikach, wykluczających zanieczyszczenie asfaltu i wyposażonych w system grzewczy pośredni (bez kontaktu asfaltu z przewodami grzewczymi). Zbiornik roboczy otaczarki powinien być izolowany termicznie, posiadać automatyczny system grzewczy z tolerancją ± </w:t>
      </w:r>
      <w:smartTag w:uri="urn:schemas-microsoft-com:office:smarttags" w:element="metricconverter">
        <w:smartTagPr>
          <w:attr w:name="ProductID" w:val="5ﾰC"/>
        </w:smartTagPr>
        <w:r w:rsidRPr="00B8717B">
          <w:rPr>
            <w:rFonts w:ascii="Calibri" w:hAnsi="Calibri"/>
          </w:rPr>
          <w:t>5°C</w:t>
        </w:r>
      </w:smartTag>
      <w:r w:rsidRPr="00B8717B">
        <w:rPr>
          <w:rFonts w:ascii="Calibri" w:hAnsi="Calibri"/>
        </w:rPr>
        <w:t xml:space="preserve"> oraz układ cyrkulacji asfaltu.</w:t>
      </w:r>
    </w:p>
    <w:p w:rsidR="000C27BF" w:rsidRPr="00B8717B" w:rsidRDefault="000C27BF" w:rsidP="000C27BF">
      <w:pPr>
        <w:rPr>
          <w:rFonts w:ascii="Calibri" w:hAnsi="Calibri"/>
        </w:rPr>
      </w:pPr>
      <w:r w:rsidRPr="00B8717B">
        <w:rPr>
          <w:rFonts w:ascii="Calibri" w:hAnsi="Calibri"/>
        </w:rPr>
        <w:tab/>
        <w:t xml:space="preserve">Polimeroasfalt powinien być magazynowany w zbiorniku wyposażonym w system grzewczy pośredni z termostatem kontrolującym temperaturę z dokładnością  ± </w:t>
      </w:r>
      <w:smartTag w:uri="urn:schemas-microsoft-com:office:smarttags" w:element="metricconverter">
        <w:smartTagPr>
          <w:attr w:name="ProductID" w:val="5ﾰC"/>
        </w:smartTagPr>
        <w:r w:rsidRPr="00B8717B">
          <w:rPr>
            <w:rFonts w:ascii="Calibri" w:hAnsi="Calibri"/>
          </w:rPr>
          <w:t>5°C</w:t>
        </w:r>
      </w:smartTag>
      <w:r w:rsidRPr="00B8717B">
        <w:rPr>
          <w:rFonts w:ascii="Calibri" w:hAnsi="Calibri"/>
        </w:rPr>
        <w:t>. Zaleca się wyposażenie zbiornika w mieszadło. Zaleca się bezpośrednie zużycie polimeroasfaltu po dostarczeniu. Należy unikać wielokrotnego rozgrzewania i chłodzenia polimeroasfaltu w okresie jego stosowania oraz unikać niekontrolowanego mieszania polimeroasfaltów różnego rodzaju i klasy oraz z asfaltem zwykłym.</w:t>
      </w:r>
    </w:p>
    <w:p w:rsidR="000C27BF" w:rsidRPr="00B8717B" w:rsidRDefault="000C27BF" w:rsidP="000C27BF">
      <w:pPr>
        <w:rPr>
          <w:rFonts w:ascii="Calibri" w:hAnsi="Calibri"/>
        </w:rPr>
      </w:pPr>
      <w:r w:rsidRPr="0044797E">
        <w:rPr>
          <w:rFonts w:ascii="Calibri" w:hAnsi="Calibri"/>
          <w:b/>
        </w:rPr>
        <w:t>2.3.</w:t>
      </w:r>
      <w:r w:rsidRPr="00B8717B">
        <w:rPr>
          <w:rFonts w:ascii="Calibri" w:hAnsi="Calibri"/>
        </w:rPr>
        <w:t xml:space="preserve"> Kruszywo </w:t>
      </w:r>
    </w:p>
    <w:p w:rsidR="000C27BF" w:rsidRPr="00B8717B" w:rsidRDefault="000C27BF" w:rsidP="000C27BF">
      <w:pPr>
        <w:rPr>
          <w:rFonts w:ascii="Calibri" w:hAnsi="Calibri"/>
        </w:rPr>
      </w:pPr>
      <w:r w:rsidRPr="00B8717B">
        <w:rPr>
          <w:rFonts w:ascii="Calibri" w:hAnsi="Calibri"/>
        </w:rPr>
        <w:tab/>
        <w:t>Do warstwy wiążącej i wyrównawczej z betonu asfaltowego należy stosować kruszywo według PN-EN 13043 [44] i WT-1 Kruszywa 2010 [64], obejmujące kruszywo grube , kruszywo drobne  i wypełniacz. Kruszywa powinny spełniać wymagania podane w WT-1 Kruszywa 2010 – tablica 8, 9, 10, 11.</w:t>
      </w:r>
    </w:p>
    <w:p w:rsidR="000C27BF" w:rsidRPr="00B8717B" w:rsidRDefault="000C27BF" w:rsidP="000C27BF">
      <w:pPr>
        <w:rPr>
          <w:rFonts w:ascii="Calibri" w:hAnsi="Calibri"/>
        </w:rPr>
      </w:pPr>
      <w:r w:rsidRPr="00B8717B">
        <w:rPr>
          <w:rFonts w:ascii="Calibri" w:hAnsi="Calibri"/>
        </w:rPr>
        <w:tab/>
        <w:t>Składowanie kruszywa powinno się odbywać w warunkach zabezpieczających je przed zanieczyszczeniem i zmieszaniem z kruszywem o innym wymiarze lub pochodzeniu. Podłoże składowiska musi być równe, utwardzone i odwodnione. Składowanie wypełniacza powinno się odbywać w silosach wyposażonych w urządzenia do aeracji.</w:t>
      </w:r>
    </w:p>
    <w:p w:rsidR="000C27BF" w:rsidRPr="00B8717B" w:rsidRDefault="000C27BF" w:rsidP="000C27BF">
      <w:pPr>
        <w:rPr>
          <w:rFonts w:ascii="Calibri" w:hAnsi="Calibri"/>
        </w:rPr>
      </w:pPr>
      <w:r w:rsidRPr="0044797E">
        <w:rPr>
          <w:rFonts w:ascii="Calibri" w:hAnsi="Calibri"/>
          <w:b/>
        </w:rPr>
        <w:t>2.4.</w:t>
      </w:r>
      <w:r w:rsidRPr="00B8717B">
        <w:rPr>
          <w:rFonts w:ascii="Calibri" w:hAnsi="Calibri"/>
        </w:rPr>
        <w:t xml:space="preserve"> Środek adhezyjny</w:t>
      </w:r>
    </w:p>
    <w:p w:rsidR="000C27BF" w:rsidRPr="00B8717B" w:rsidRDefault="000C27BF" w:rsidP="000C27BF">
      <w:pPr>
        <w:rPr>
          <w:rFonts w:ascii="Calibri" w:hAnsi="Calibri"/>
        </w:rPr>
      </w:pPr>
      <w:r w:rsidRPr="00B8717B">
        <w:rPr>
          <w:rFonts w:ascii="Calibri" w:hAnsi="Calibri"/>
        </w:rPr>
        <w:tab/>
        <w:t>W celu poprawy powinowactwa fizykochemicznego lepiszcza asfaltowego i kruszywa, gwarantującego odpowiednią przyczepność (adhezję) lepiszcza do kruszywa i odporność mieszanki mineralno-asfaltowej na działanie wody, należy dobrać i zastosować środek adhezyjny, tak aby dla konkretnej pary kruszywo-lepiszcze wartość przyczepności określona według PN-EN 12697-11, metoda C [34] wynosiła co najmniej 80%.</w:t>
      </w:r>
    </w:p>
    <w:p w:rsidR="000C27BF" w:rsidRPr="00B8717B" w:rsidRDefault="000C27BF" w:rsidP="000C27BF">
      <w:pPr>
        <w:rPr>
          <w:rFonts w:ascii="Calibri" w:hAnsi="Calibri"/>
        </w:rPr>
      </w:pPr>
      <w:r w:rsidRPr="00B8717B">
        <w:rPr>
          <w:rFonts w:ascii="Calibri" w:hAnsi="Calibri"/>
        </w:rPr>
        <w:tab/>
        <w:t>Składowanie środka adhezyjnego jest dozwolone tylko w oryginalnych opakowaniach producenta.</w:t>
      </w:r>
    </w:p>
    <w:p w:rsidR="000C27BF" w:rsidRPr="00B8717B" w:rsidRDefault="000C27BF" w:rsidP="000C27BF">
      <w:pPr>
        <w:rPr>
          <w:rFonts w:ascii="Calibri" w:hAnsi="Calibri"/>
        </w:rPr>
      </w:pPr>
      <w:r w:rsidRPr="0044797E">
        <w:rPr>
          <w:rFonts w:ascii="Calibri" w:hAnsi="Calibri"/>
          <w:b/>
        </w:rPr>
        <w:t>2.5.</w:t>
      </w:r>
      <w:r w:rsidRPr="00B8717B">
        <w:rPr>
          <w:rFonts w:ascii="Calibri" w:hAnsi="Calibri"/>
        </w:rPr>
        <w:t xml:space="preserve"> Materiały do uszczelnienia połączeń i krawędzi</w:t>
      </w:r>
    </w:p>
    <w:p w:rsidR="000C27BF" w:rsidRPr="00B8717B" w:rsidRDefault="000C27BF" w:rsidP="000C27BF">
      <w:pPr>
        <w:rPr>
          <w:rFonts w:ascii="Calibri" w:hAnsi="Calibri"/>
        </w:rPr>
      </w:pPr>
      <w:r w:rsidRPr="00B8717B">
        <w:rPr>
          <w:rFonts w:ascii="Calibri" w:hAnsi="Calibri"/>
        </w:rPr>
        <w:tab/>
        <w:t>Do uszczelnienia połączeń technologicznych (tj. złączy podłużnych i poprzecznych z tego samego materiału wykonywanego w różnym czasie oraz spoin stanowiących połączenia różnych materiałów lub połączenie warstwy asfaltowej z urządzeniami obcymi w nawierzchni lub ją ograniczającymi, należy stosować:</w:t>
      </w:r>
    </w:p>
    <w:p w:rsidR="000C27BF" w:rsidRPr="00B8717B" w:rsidRDefault="000C27BF" w:rsidP="000C27BF">
      <w:pPr>
        <w:rPr>
          <w:rFonts w:ascii="Calibri" w:hAnsi="Calibri"/>
        </w:rPr>
      </w:pPr>
      <w:r>
        <w:rPr>
          <w:rFonts w:ascii="Calibri" w:hAnsi="Calibri"/>
        </w:rPr>
        <w:t>-</w:t>
      </w:r>
      <w:r w:rsidRPr="00B8717B">
        <w:rPr>
          <w:rFonts w:ascii="Calibri" w:hAnsi="Calibri"/>
        </w:rPr>
        <w:t>materiały termoplastyczne, jak taśmy asfaltowe, pasty itp. według norm lub aprobat technicznych,</w:t>
      </w:r>
    </w:p>
    <w:p w:rsidR="000C27BF" w:rsidRPr="00B8717B" w:rsidRDefault="000C27BF" w:rsidP="000C27BF">
      <w:pPr>
        <w:rPr>
          <w:rFonts w:ascii="Calibri" w:hAnsi="Calibri"/>
        </w:rPr>
      </w:pPr>
      <w:r>
        <w:rPr>
          <w:rFonts w:ascii="Calibri" w:hAnsi="Calibri"/>
        </w:rPr>
        <w:t>-</w:t>
      </w:r>
      <w:r w:rsidRPr="00B8717B">
        <w:rPr>
          <w:rFonts w:ascii="Calibri" w:hAnsi="Calibri"/>
        </w:rPr>
        <w:t xml:space="preserve">emulsję asfaltową według PN-EN 13808 [58] lub inne lepiszcza według norm lub aprobat technicznych  </w:t>
      </w:r>
    </w:p>
    <w:p w:rsidR="000C27BF" w:rsidRPr="00B8717B" w:rsidRDefault="000C27BF" w:rsidP="000C27BF">
      <w:pPr>
        <w:rPr>
          <w:rFonts w:ascii="Calibri" w:hAnsi="Calibri"/>
        </w:rPr>
      </w:pPr>
      <w:r w:rsidRPr="00B8717B">
        <w:rPr>
          <w:rFonts w:ascii="Calibri" w:hAnsi="Calibri"/>
        </w:rPr>
        <w:t>Grubość materiału termoplastycznego do spoiny powinna wynosić:</w:t>
      </w:r>
    </w:p>
    <w:p w:rsidR="000C27BF" w:rsidRPr="00B8717B" w:rsidRDefault="000C27BF" w:rsidP="000C27BF">
      <w:pPr>
        <w:rPr>
          <w:rFonts w:ascii="Calibri" w:hAnsi="Calibri"/>
        </w:rPr>
      </w:pPr>
      <w:r>
        <w:rPr>
          <w:rFonts w:ascii="Calibri" w:hAnsi="Calibri"/>
        </w:rPr>
        <w:t>-</w:t>
      </w:r>
      <w:r w:rsidRPr="00B8717B">
        <w:rPr>
          <w:rFonts w:ascii="Calibri" w:hAnsi="Calibri"/>
        </w:rPr>
        <w:t xml:space="preserve">nie mniej niż </w:t>
      </w:r>
      <w:smartTag w:uri="urn:schemas-microsoft-com:office:smarttags" w:element="metricconverter">
        <w:smartTagPr>
          <w:attr w:name="ProductID" w:val="10 mm"/>
        </w:smartTagPr>
        <w:r w:rsidRPr="00B8717B">
          <w:rPr>
            <w:rFonts w:ascii="Calibri" w:hAnsi="Calibri"/>
          </w:rPr>
          <w:t>10 mm</w:t>
        </w:r>
      </w:smartTag>
      <w:r w:rsidRPr="00B8717B">
        <w:rPr>
          <w:rFonts w:ascii="Calibri" w:hAnsi="Calibri"/>
        </w:rPr>
        <w:t xml:space="preserve"> przy grubości warstwy technologicznej do </w:t>
      </w:r>
      <w:smartTag w:uri="urn:schemas-microsoft-com:office:smarttags" w:element="metricconverter">
        <w:smartTagPr>
          <w:attr w:name="ProductID" w:val="2,5 cm"/>
        </w:smartTagPr>
        <w:r w:rsidRPr="00B8717B">
          <w:rPr>
            <w:rFonts w:ascii="Calibri" w:hAnsi="Calibri"/>
          </w:rPr>
          <w:t>2,5 cm</w:t>
        </w:r>
      </w:smartTag>
      <w:r w:rsidRPr="00B8717B">
        <w:rPr>
          <w:rFonts w:ascii="Calibri" w:hAnsi="Calibri"/>
        </w:rPr>
        <w:t>,</w:t>
      </w:r>
    </w:p>
    <w:p w:rsidR="000C27BF" w:rsidRPr="00B8717B" w:rsidRDefault="000C27BF" w:rsidP="000C27BF">
      <w:pPr>
        <w:rPr>
          <w:rFonts w:ascii="Calibri" w:hAnsi="Calibri"/>
        </w:rPr>
      </w:pPr>
      <w:r>
        <w:rPr>
          <w:rFonts w:ascii="Calibri" w:hAnsi="Calibri"/>
        </w:rPr>
        <w:t>-</w:t>
      </w:r>
      <w:r w:rsidRPr="00B8717B">
        <w:rPr>
          <w:rFonts w:ascii="Calibri" w:hAnsi="Calibri"/>
        </w:rPr>
        <w:t xml:space="preserve">nie mniej niż </w:t>
      </w:r>
      <w:smartTag w:uri="urn:schemas-microsoft-com:office:smarttags" w:element="metricconverter">
        <w:smartTagPr>
          <w:attr w:name="ProductID" w:val="15 mm"/>
        </w:smartTagPr>
        <w:r w:rsidRPr="00B8717B">
          <w:rPr>
            <w:rFonts w:ascii="Calibri" w:hAnsi="Calibri"/>
          </w:rPr>
          <w:t>15 mm</w:t>
        </w:r>
      </w:smartTag>
      <w:r w:rsidRPr="00B8717B">
        <w:rPr>
          <w:rFonts w:ascii="Calibri" w:hAnsi="Calibri"/>
        </w:rPr>
        <w:t xml:space="preserve"> przy grubości warstwy technologicznej większej niż </w:t>
      </w:r>
      <w:smartTag w:uri="urn:schemas-microsoft-com:office:smarttags" w:element="metricconverter">
        <w:smartTagPr>
          <w:attr w:name="ProductID" w:val="2,5 cm"/>
        </w:smartTagPr>
        <w:r w:rsidRPr="00B8717B">
          <w:rPr>
            <w:rFonts w:ascii="Calibri" w:hAnsi="Calibri"/>
          </w:rPr>
          <w:t>2,5 cm</w:t>
        </w:r>
      </w:smartTag>
      <w:r w:rsidRPr="00B8717B">
        <w:rPr>
          <w:rFonts w:ascii="Calibri" w:hAnsi="Calibri"/>
        </w:rPr>
        <w:t>.</w:t>
      </w:r>
    </w:p>
    <w:p w:rsidR="000C27BF" w:rsidRPr="00B8717B" w:rsidRDefault="000C27BF" w:rsidP="000C27BF">
      <w:pPr>
        <w:rPr>
          <w:rFonts w:ascii="Calibri" w:hAnsi="Calibri"/>
        </w:rPr>
      </w:pPr>
      <w:r w:rsidRPr="00B8717B">
        <w:rPr>
          <w:rFonts w:ascii="Calibri" w:hAnsi="Calibri"/>
        </w:rPr>
        <w:t>Składowanie materiałów termoplastycznych jest dozwolone tylko w oryginalnych opakowaniach producenta, w warunkach określonych w aprobacie technicznej.</w:t>
      </w:r>
    </w:p>
    <w:p w:rsidR="000C27BF" w:rsidRPr="00B8717B" w:rsidRDefault="000C27BF" w:rsidP="000C27BF">
      <w:pPr>
        <w:rPr>
          <w:rFonts w:ascii="Calibri" w:hAnsi="Calibri"/>
        </w:rPr>
      </w:pPr>
      <w:r w:rsidRPr="00B8717B">
        <w:rPr>
          <w:rFonts w:ascii="Calibri" w:hAnsi="Calibri"/>
        </w:rPr>
        <w:lastRenderedPageBreak/>
        <w:t>Do uszczelnienia krawędzi należy stosować asfalt drogowy wg PN-EN 12591 [27], asfalt modyfikowany polimerami wg PN-EN 14023 [59] „metodą na gorąco”. Dopuszcza się inne rodzaje lepiszcza wg norm lub aprobat technicznych.</w:t>
      </w:r>
    </w:p>
    <w:p w:rsidR="000C27BF" w:rsidRPr="00B8717B" w:rsidRDefault="000C27BF" w:rsidP="000C27BF">
      <w:pPr>
        <w:rPr>
          <w:rFonts w:ascii="Calibri" w:hAnsi="Calibri"/>
        </w:rPr>
      </w:pPr>
      <w:r w:rsidRPr="0044797E">
        <w:rPr>
          <w:rFonts w:ascii="Calibri" w:hAnsi="Calibri"/>
          <w:b/>
        </w:rPr>
        <w:t>2.6.</w:t>
      </w:r>
      <w:r w:rsidRPr="00B8717B">
        <w:rPr>
          <w:rFonts w:ascii="Calibri" w:hAnsi="Calibri"/>
        </w:rPr>
        <w:t xml:space="preserve"> Materiały do złączenia warstw konstrukcji</w:t>
      </w:r>
    </w:p>
    <w:p w:rsidR="000C27BF" w:rsidRPr="00B8717B" w:rsidRDefault="000C27BF" w:rsidP="000C27BF">
      <w:pPr>
        <w:rPr>
          <w:rFonts w:ascii="Calibri" w:hAnsi="Calibri"/>
        </w:rPr>
      </w:pPr>
      <w:r w:rsidRPr="00B8717B">
        <w:rPr>
          <w:rFonts w:ascii="Calibri" w:hAnsi="Calibri"/>
        </w:rPr>
        <w:tab/>
        <w:t>Do złączania warstw konstrukcji nawierzchni (warstwa wiążąca z warstwą ścieralną) należy stosować  kationowe emulsje asfaltowe lub kationowe emulsje modyfikowane polimerami według PN-EN 13808 [58] i WT-3 Emulsje asfaltowe 2009 punkt 5.1 tablica 2 i tablica 3 [66].</w:t>
      </w:r>
    </w:p>
    <w:p w:rsidR="000C27BF" w:rsidRPr="00B8717B" w:rsidRDefault="000C27BF" w:rsidP="000C27BF">
      <w:pPr>
        <w:rPr>
          <w:rFonts w:ascii="Calibri" w:hAnsi="Calibri"/>
        </w:rPr>
      </w:pPr>
      <w:r w:rsidRPr="00B8717B">
        <w:rPr>
          <w:rFonts w:ascii="Calibri" w:hAnsi="Calibri"/>
        </w:rPr>
        <w:tab/>
        <w:t xml:space="preserve">Emulsję asfaltową można składować w opakowaniach transportowych lub w stacjonarnych zbiornikach pionowych z nalewaniem od dna. Nie należy nalewać emulsji do opakowań i zbiorników zanieczyszczonych materiałami mineralnymi. </w:t>
      </w:r>
    </w:p>
    <w:p w:rsidR="000C27BF" w:rsidRDefault="000C27BF" w:rsidP="000C27BF">
      <w:pPr>
        <w:rPr>
          <w:rFonts w:ascii="Calibri" w:hAnsi="Calibri"/>
        </w:rPr>
      </w:pPr>
    </w:p>
    <w:p w:rsidR="000C27BF" w:rsidRPr="0044797E" w:rsidRDefault="000C27BF" w:rsidP="000C27BF">
      <w:pPr>
        <w:rPr>
          <w:rFonts w:ascii="Calibri" w:hAnsi="Calibri"/>
          <w:b/>
        </w:rPr>
      </w:pPr>
      <w:r w:rsidRPr="0044797E">
        <w:rPr>
          <w:rFonts w:ascii="Calibri" w:hAnsi="Calibri"/>
          <w:b/>
        </w:rPr>
        <w:t>3. SPRZĘT</w:t>
      </w:r>
    </w:p>
    <w:p w:rsidR="000C27BF" w:rsidRPr="00B8717B" w:rsidRDefault="000C27BF" w:rsidP="000C27BF">
      <w:pPr>
        <w:rPr>
          <w:rFonts w:ascii="Calibri" w:hAnsi="Calibri"/>
        </w:rPr>
      </w:pPr>
      <w:r w:rsidRPr="0044797E">
        <w:rPr>
          <w:rFonts w:ascii="Calibri" w:hAnsi="Calibri"/>
          <w:b/>
        </w:rPr>
        <w:t>3.1.</w:t>
      </w:r>
      <w:r w:rsidRPr="00B8717B">
        <w:rPr>
          <w:rFonts w:ascii="Calibri" w:hAnsi="Calibri"/>
        </w:rPr>
        <w:t xml:space="preserve"> Ogólne wymagania dotyczące sprzętu</w:t>
      </w:r>
    </w:p>
    <w:p w:rsidR="000C27BF" w:rsidRPr="00B8717B" w:rsidRDefault="000C27BF" w:rsidP="000C27BF">
      <w:pPr>
        <w:rPr>
          <w:rFonts w:ascii="Calibri" w:hAnsi="Calibri"/>
        </w:rPr>
      </w:pPr>
      <w:r w:rsidRPr="00B8717B">
        <w:rPr>
          <w:rFonts w:ascii="Calibri" w:hAnsi="Calibri"/>
        </w:rPr>
        <w:tab/>
        <w:t>Ogólne wymagania dotyczą</w:t>
      </w:r>
      <w:r>
        <w:rPr>
          <w:rFonts w:ascii="Calibri" w:hAnsi="Calibri"/>
        </w:rPr>
        <w:t xml:space="preserve">ce sprzętu podano w </w:t>
      </w:r>
      <w:r w:rsidRPr="00B8717B">
        <w:rPr>
          <w:rFonts w:ascii="Calibri" w:hAnsi="Calibri"/>
        </w:rPr>
        <w:t>ST  D-M-00.00.00 „Wymagania ogólne” [1] pkt 3.</w:t>
      </w:r>
    </w:p>
    <w:p w:rsidR="000C27BF" w:rsidRPr="00B8717B" w:rsidRDefault="000C27BF" w:rsidP="000C27BF">
      <w:pPr>
        <w:rPr>
          <w:rFonts w:ascii="Calibri" w:hAnsi="Calibri"/>
        </w:rPr>
      </w:pPr>
      <w:r w:rsidRPr="0044797E">
        <w:rPr>
          <w:rFonts w:ascii="Calibri" w:hAnsi="Calibri"/>
          <w:b/>
        </w:rPr>
        <w:t>3.2.</w:t>
      </w:r>
      <w:r w:rsidRPr="00B8717B">
        <w:rPr>
          <w:rFonts w:ascii="Calibri" w:hAnsi="Calibri"/>
        </w:rPr>
        <w:t xml:space="preserve"> Sprzęt stosowany do wykonania robót</w:t>
      </w:r>
    </w:p>
    <w:p w:rsidR="000C27BF" w:rsidRPr="00B8717B" w:rsidRDefault="000C27BF" w:rsidP="000C27BF">
      <w:pPr>
        <w:rPr>
          <w:rFonts w:ascii="Calibri" w:hAnsi="Calibri"/>
        </w:rPr>
      </w:pPr>
      <w:r w:rsidRPr="00B8717B">
        <w:rPr>
          <w:rFonts w:ascii="Calibri" w:hAnsi="Calibri"/>
        </w:rPr>
        <w:tab/>
        <w:t>Przy wykonywaniu robót Wykonawca w zależności od potrzeb, powinien wykazać się możliwością korzystania ze sprzętu dostosowanego do przyjętej metody robót, jak:</w:t>
      </w:r>
    </w:p>
    <w:p w:rsidR="000C27BF" w:rsidRPr="00B8717B" w:rsidRDefault="000C27BF" w:rsidP="000C27BF">
      <w:pPr>
        <w:rPr>
          <w:rFonts w:ascii="Calibri" w:hAnsi="Calibri"/>
        </w:rPr>
      </w:pPr>
      <w:r>
        <w:rPr>
          <w:rFonts w:ascii="Calibri" w:hAnsi="Calibri"/>
        </w:rPr>
        <w:t>-</w:t>
      </w:r>
      <w:r w:rsidRPr="00B8717B">
        <w:rPr>
          <w:rFonts w:ascii="Calibri" w:hAnsi="Calibri"/>
        </w:rPr>
        <w:t xml:space="preserve">wytwórnia (otaczarka) o mieszaniu cyklicznym lub ciągłym, z automatycznym komputerowym sterowaniem produkcji, do wytwarzania mieszanek mineralno-asfaltowych, </w:t>
      </w:r>
    </w:p>
    <w:p w:rsidR="000C27BF" w:rsidRPr="00B8717B" w:rsidRDefault="000C27BF" w:rsidP="000C27BF">
      <w:pPr>
        <w:rPr>
          <w:rFonts w:ascii="Calibri" w:hAnsi="Calibri"/>
        </w:rPr>
      </w:pPr>
      <w:r>
        <w:rPr>
          <w:rFonts w:ascii="Calibri" w:hAnsi="Calibri"/>
        </w:rPr>
        <w:t>-</w:t>
      </w:r>
      <w:r w:rsidRPr="00B8717B">
        <w:rPr>
          <w:rFonts w:ascii="Calibri" w:hAnsi="Calibri"/>
        </w:rPr>
        <w:t>układarka gąsienicowa, z elektronicznym sterowaniem równości układanej warstwy,</w:t>
      </w:r>
    </w:p>
    <w:p w:rsidR="000C27BF" w:rsidRPr="00B8717B" w:rsidRDefault="000C27BF" w:rsidP="000C27BF">
      <w:pPr>
        <w:rPr>
          <w:rFonts w:ascii="Calibri" w:hAnsi="Calibri"/>
        </w:rPr>
      </w:pPr>
      <w:r>
        <w:rPr>
          <w:rFonts w:ascii="Calibri" w:hAnsi="Calibri"/>
        </w:rPr>
        <w:t>-</w:t>
      </w:r>
      <w:r w:rsidRPr="00B8717B">
        <w:rPr>
          <w:rFonts w:ascii="Calibri" w:hAnsi="Calibri"/>
        </w:rPr>
        <w:t>skrapiarka,</w:t>
      </w:r>
    </w:p>
    <w:p w:rsidR="000C27BF" w:rsidRPr="00B8717B" w:rsidRDefault="000C27BF" w:rsidP="000C27BF">
      <w:pPr>
        <w:rPr>
          <w:rFonts w:ascii="Calibri" w:hAnsi="Calibri"/>
        </w:rPr>
      </w:pPr>
      <w:r>
        <w:rPr>
          <w:rFonts w:ascii="Calibri" w:hAnsi="Calibri"/>
        </w:rPr>
        <w:t>-</w:t>
      </w:r>
      <w:r w:rsidRPr="00B8717B">
        <w:rPr>
          <w:rFonts w:ascii="Calibri" w:hAnsi="Calibri"/>
        </w:rPr>
        <w:t xml:space="preserve">walce stalowe gładkie, </w:t>
      </w:r>
    </w:p>
    <w:p w:rsidR="000C27BF" w:rsidRPr="00B8717B" w:rsidRDefault="000C27BF" w:rsidP="000C27BF">
      <w:pPr>
        <w:rPr>
          <w:rFonts w:ascii="Calibri" w:hAnsi="Calibri"/>
        </w:rPr>
      </w:pPr>
      <w:r>
        <w:rPr>
          <w:rFonts w:ascii="Calibri" w:hAnsi="Calibri"/>
        </w:rPr>
        <w:t>-</w:t>
      </w:r>
      <w:r w:rsidRPr="00B8717B">
        <w:rPr>
          <w:rFonts w:ascii="Calibri" w:hAnsi="Calibri"/>
        </w:rPr>
        <w:t>walce ogumione</w:t>
      </w:r>
      <w:r>
        <w:rPr>
          <w:rFonts w:ascii="Calibri" w:hAnsi="Calibri"/>
        </w:rPr>
        <w:t>,</w:t>
      </w:r>
    </w:p>
    <w:p w:rsidR="000C27BF" w:rsidRPr="00B8717B" w:rsidRDefault="000C27BF" w:rsidP="000C27BF">
      <w:pPr>
        <w:rPr>
          <w:rFonts w:ascii="Calibri" w:hAnsi="Calibri"/>
        </w:rPr>
      </w:pPr>
      <w:r>
        <w:rPr>
          <w:rFonts w:ascii="Calibri" w:hAnsi="Calibri"/>
        </w:rPr>
        <w:t>-</w:t>
      </w:r>
      <w:r w:rsidRPr="00B8717B">
        <w:rPr>
          <w:rFonts w:ascii="Calibri" w:hAnsi="Calibri"/>
        </w:rPr>
        <w:t>szczotki mechaniczne i/lub inne urządzenia czyszczące,</w:t>
      </w:r>
    </w:p>
    <w:p w:rsidR="000C27BF" w:rsidRPr="00B8717B" w:rsidRDefault="000C27BF" w:rsidP="000C27BF">
      <w:pPr>
        <w:rPr>
          <w:rFonts w:ascii="Calibri" w:hAnsi="Calibri"/>
        </w:rPr>
      </w:pPr>
      <w:r>
        <w:rPr>
          <w:rFonts w:ascii="Calibri" w:hAnsi="Calibri"/>
        </w:rPr>
        <w:t>-</w:t>
      </w:r>
      <w:r w:rsidRPr="00B8717B">
        <w:rPr>
          <w:rFonts w:ascii="Calibri" w:hAnsi="Calibri"/>
        </w:rPr>
        <w:t>samochody samowyładowcze z przykryciem brezentowym lub termosami,</w:t>
      </w:r>
    </w:p>
    <w:p w:rsidR="000C27BF" w:rsidRPr="00B8717B" w:rsidRDefault="000C27BF" w:rsidP="000C27BF">
      <w:pPr>
        <w:rPr>
          <w:rFonts w:ascii="Calibri" w:hAnsi="Calibri"/>
        </w:rPr>
      </w:pPr>
      <w:r>
        <w:rPr>
          <w:rFonts w:ascii="Calibri" w:hAnsi="Calibri"/>
        </w:rPr>
        <w:t>-</w:t>
      </w:r>
      <w:r w:rsidRPr="00B8717B">
        <w:rPr>
          <w:rFonts w:ascii="Calibri" w:hAnsi="Calibri"/>
        </w:rPr>
        <w:t>sprzęt drobny.</w:t>
      </w:r>
    </w:p>
    <w:p w:rsidR="000C27BF" w:rsidRDefault="000C27BF" w:rsidP="000C27BF">
      <w:pPr>
        <w:rPr>
          <w:rFonts w:ascii="Calibri" w:hAnsi="Calibri"/>
        </w:rPr>
      </w:pPr>
    </w:p>
    <w:p w:rsidR="000C27BF" w:rsidRPr="0044797E" w:rsidRDefault="000C27BF" w:rsidP="000C27BF">
      <w:pPr>
        <w:rPr>
          <w:rFonts w:ascii="Calibri" w:hAnsi="Calibri"/>
          <w:b/>
        </w:rPr>
      </w:pPr>
      <w:r w:rsidRPr="0044797E">
        <w:rPr>
          <w:rFonts w:ascii="Calibri" w:hAnsi="Calibri"/>
          <w:b/>
        </w:rPr>
        <w:t>4. TRANSPORT</w:t>
      </w:r>
    </w:p>
    <w:p w:rsidR="000C27BF" w:rsidRPr="00B8717B" w:rsidRDefault="000C27BF" w:rsidP="000C27BF">
      <w:pPr>
        <w:rPr>
          <w:rFonts w:ascii="Calibri" w:hAnsi="Calibri"/>
        </w:rPr>
      </w:pPr>
      <w:r w:rsidRPr="0044797E">
        <w:rPr>
          <w:rFonts w:ascii="Calibri" w:hAnsi="Calibri"/>
          <w:b/>
        </w:rPr>
        <w:t>4.1.</w:t>
      </w:r>
      <w:r w:rsidRPr="00B8717B">
        <w:rPr>
          <w:rFonts w:ascii="Calibri" w:hAnsi="Calibri"/>
        </w:rPr>
        <w:t xml:space="preserve"> Ogólne wymagania dotyczące transportu</w:t>
      </w:r>
    </w:p>
    <w:p w:rsidR="000C27BF" w:rsidRPr="00B8717B" w:rsidRDefault="000C27BF" w:rsidP="000C27BF">
      <w:pPr>
        <w:rPr>
          <w:rFonts w:ascii="Calibri" w:hAnsi="Calibri"/>
        </w:rPr>
      </w:pPr>
      <w:r w:rsidRPr="00B8717B">
        <w:rPr>
          <w:rFonts w:ascii="Calibri" w:hAnsi="Calibri"/>
        </w:rPr>
        <w:tab/>
        <w:t>Ogólne wymagania</w:t>
      </w:r>
      <w:r>
        <w:rPr>
          <w:rFonts w:ascii="Calibri" w:hAnsi="Calibri"/>
        </w:rPr>
        <w:t xml:space="preserve"> dotyczące transportu podano w </w:t>
      </w:r>
      <w:r w:rsidRPr="00B8717B">
        <w:rPr>
          <w:rFonts w:ascii="Calibri" w:hAnsi="Calibri"/>
        </w:rPr>
        <w:t xml:space="preserve">ST D-M-00.00.00 „Wymagania ogólne” [1] pkt </w:t>
      </w:r>
      <w:r w:rsidRPr="0044797E">
        <w:rPr>
          <w:rFonts w:ascii="Calibri" w:hAnsi="Calibri"/>
          <w:b/>
        </w:rPr>
        <w:t>4.4.2.</w:t>
      </w:r>
      <w:r w:rsidRPr="00B8717B">
        <w:rPr>
          <w:rFonts w:ascii="Calibri" w:hAnsi="Calibri"/>
        </w:rPr>
        <w:t xml:space="preserve"> Transport materiałów </w:t>
      </w:r>
    </w:p>
    <w:p w:rsidR="000C27BF" w:rsidRPr="00B8717B" w:rsidRDefault="000C27BF" w:rsidP="000C27BF">
      <w:pPr>
        <w:rPr>
          <w:rFonts w:ascii="Calibri" w:hAnsi="Calibri"/>
        </w:rPr>
      </w:pPr>
      <w:r w:rsidRPr="00B8717B">
        <w:rPr>
          <w:rFonts w:ascii="Calibri" w:hAnsi="Calibri"/>
        </w:rPr>
        <w:tab/>
        <w:t>Asfalt i polimeroasfalt należy przewozić w cysternach kolejowych lub samochodach izolowanych i zaopatrzonych w urządzenia umożliwiające pośrednie ogrzewanie oraz w zawory spustowe.</w:t>
      </w:r>
    </w:p>
    <w:p w:rsidR="000C27BF" w:rsidRPr="00B8717B" w:rsidRDefault="000C27BF" w:rsidP="000C27BF">
      <w:pPr>
        <w:rPr>
          <w:rFonts w:ascii="Calibri" w:hAnsi="Calibri"/>
        </w:rPr>
      </w:pPr>
      <w:r w:rsidRPr="00B8717B">
        <w:rPr>
          <w:rFonts w:ascii="Calibri" w:hAnsi="Calibri"/>
        </w:rPr>
        <w:t>Kruszywa można przewozić dowolnymi środkami transportu, w warunkach zabezpieczających je przed zanieczyszczeniem, zmieszaniem z innymi materiałami i nadmiernym zawilgoceniem.</w:t>
      </w:r>
    </w:p>
    <w:p w:rsidR="000C27BF" w:rsidRPr="00B8717B" w:rsidRDefault="000C27BF" w:rsidP="000C27BF">
      <w:pPr>
        <w:rPr>
          <w:rFonts w:ascii="Calibri" w:hAnsi="Calibri"/>
        </w:rPr>
      </w:pPr>
      <w:r w:rsidRPr="00B8717B">
        <w:rPr>
          <w:rFonts w:ascii="Calibri" w:hAnsi="Calibri"/>
        </w:rPr>
        <w:t>Wypełniacz należy przewozić w sposób chroniący go przed zawilgoceniem, zbryleniem i zanieczyszczeniem. Wypełniacz luzem powinien być przewożony w odpowiednich cysternach przystosowanych do przewozu materiałów sypkich, umożliwiających rozładunek pneumatyczny.</w:t>
      </w:r>
    </w:p>
    <w:p w:rsidR="000C27BF" w:rsidRPr="00B8717B" w:rsidRDefault="000C27BF" w:rsidP="000C27BF">
      <w:pPr>
        <w:rPr>
          <w:rFonts w:ascii="Calibri" w:hAnsi="Calibri"/>
        </w:rPr>
      </w:pPr>
      <w:r w:rsidRPr="00B8717B">
        <w:rPr>
          <w:rFonts w:ascii="Calibri" w:hAnsi="Calibri"/>
        </w:rPr>
        <w:t>Emulsja asfaltowa może być transportowana w zamkniętych cysternach, autocysternach, beczkach i innych opakowaniach pod warunkiem, że nie będą korodowały pod wpływem emulsji i nie będą powodowały jej rozpadu. Cysterny powinny być wyposażone w przegrody. Nie należy używać do transportu opakowań z metali lekkich (może zachodzić wydzielanie wodoru i groźba wybuchu przy emulsjach o pH ≤ 4).</w:t>
      </w:r>
    </w:p>
    <w:p w:rsidR="000C27BF" w:rsidRPr="00B8717B" w:rsidRDefault="000C27BF" w:rsidP="000C27BF">
      <w:pPr>
        <w:rPr>
          <w:rFonts w:ascii="Calibri" w:hAnsi="Calibri"/>
        </w:rPr>
      </w:pPr>
      <w:r w:rsidRPr="00B8717B">
        <w:rPr>
          <w:rFonts w:ascii="Calibri" w:hAnsi="Calibri"/>
        </w:rPr>
        <w:t>Mieszankę mineralno-asfaltową należy  dowozić na budowę pojazdami samowyładowczymi w zależności od postępu robót. Podczas transportu i postoju przed wbudowaniem mieszanka powinna być zabezpieczona przed ostygnięciem i dopływem powietrza (przez przykrycie, pojemniki termoizolacyjne lub ogrzewane itp.). Warunki i czas transportu mieszanki, od produkcji do wbudowania, powinna zapewniać utrzymanie temperatury w wymaganym przedziale. Powierzchnie pojemników używanych do transportu mieszanki powinny być czyste, a do zwilżania tych powierzchni można używać tylko środki antyadhezyjne niewpływające szkodliwie na mieszankę.</w:t>
      </w:r>
    </w:p>
    <w:p w:rsidR="000C27BF" w:rsidRDefault="000C27BF" w:rsidP="000C27BF">
      <w:pPr>
        <w:rPr>
          <w:rFonts w:ascii="Calibri" w:hAnsi="Calibri"/>
        </w:rPr>
      </w:pPr>
    </w:p>
    <w:p w:rsidR="000C27BF" w:rsidRPr="0044797E" w:rsidRDefault="000C27BF" w:rsidP="000C27BF">
      <w:pPr>
        <w:rPr>
          <w:rFonts w:ascii="Calibri" w:hAnsi="Calibri"/>
          <w:b/>
        </w:rPr>
      </w:pPr>
      <w:r w:rsidRPr="0044797E">
        <w:rPr>
          <w:rFonts w:ascii="Calibri" w:hAnsi="Calibri"/>
          <w:b/>
        </w:rPr>
        <w:t>5. WYKONANIE ROBÓT</w:t>
      </w:r>
    </w:p>
    <w:p w:rsidR="000C27BF" w:rsidRPr="00B8717B" w:rsidRDefault="000C27BF" w:rsidP="000C27BF">
      <w:pPr>
        <w:rPr>
          <w:rFonts w:ascii="Calibri" w:hAnsi="Calibri"/>
        </w:rPr>
      </w:pPr>
      <w:r w:rsidRPr="0044797E">
        <w:rPr>
          <w:rFonts w:ascii="Calibri" w:hAnsi="Calibri"/>
          <w:b/>
        </w:rPr>
        <w:t>5.1.</w:t>
      </w:r>
      <w:r w:rsidRPr="00B8717B">
        <w:rPr>
          <w:rFonts w:ascii="Calibri" w:hAnsi="Calibri"/>
        </w:rPr>
        <w:t xml:space="preserve"> Ogólne zasady wykonania robót</w:t>
      </w:r>
    </w:p>
    <w:p w:rsidR="000C27BF" w:rsidRPr="00B8717B" w:rsidRDefault="000C27BF" w:rsidP="000C27BF">
      <w:pPr>
        <w:rPr>
          <w:rFonts w:ascii="Calibri" w:hAnsi="Calibri"/>
        </w:rPr>
      </w:pPr>
      <w:r w:rsidRPr="00B8717B">
        <w:rPr>
          <w:rFonts w:ascii="Calibri" w:hAnsi="Calibri"/>
        </w:rPr>
        <w:tab/>
        <w:t>Ogólne z</w:t>
      </w:r>
      <w:r>
        <w:rPr>
          <w:rFonts w:ascii="Calibri" w:hAnsi="Calibri"/>
        </w:rPr>
        <w:t xml:space="preserve">asady wykonania robót podano w </w:t>
      </w:r>
      <w:r w:rsidRPr="00B8717B">
        <w:rPr>
          <w:rFonts w:ascii="Calibri" w:hAnsi="Calibri"/>
        </w:rPr>
        <w:t>ST D-M-00.00.00 „Wymagania ogólne” [1] pkt 5.</w:t>
      </w:r>
    </w:p>
    <w:p w:rsidR="000C27BF" w:rsidRPr="00B8717B" w:rsidRDefault="000C27BF" w:rsidP="000C27BF">
      <w:pPr>
        <w:rPr>
          <w:rFonts w:ascii="Calibri" w:hAnsi="Calibri"/>
        </w:rPr>
      </w:pPr>
      <w:r w:rsidRPr="0044797E">
        <w:rPr>
          <w:rFonts w:ascii="Calibri" w:hAnsi="Calibri"/>
          <w:b/>
        </w:rPr>
        <w:t>5.2.</w:t>
      </w:r>
      <w:r w:rsidRPr="00B8717B">
        <w:rPr>
          <w:rFonts w:ascii="Calibri" w:hAnsi="Calibri"/>
        </w:rPr>
        <w:t xml:space="preserve"> Projektowanie mieszanki mineralno-asfaltowej</w:t>
      </w:r>
    </w:p>
    <w:p w:rsidR="000C27BF" w:rsidRPr="00B8717B" w:rsidRDefault="000C27BF" w:rsidP="000C27BF">
      <w:pPr>
        <w:rPr>
          <w:rFonts w:ascii="Calibri" w:hAnsi="Calibri"/>
        </w:rPr>
      </w:pPr>
      <w:r w:rsidRPr="00B8717B">
        <w:rPr>
          <w:rFonts w:ascii="Calibri" w:hAnsi="Calibri"/>
        </w:rPr>
        <w:tab/>
        <w:t>Przed przystąpieniem do robót Wykonawca dostarczy Inżynierowi do akceptacji projekt składu mieszanki mineralno-asfaltowej (AC11W, AC16W, AC22W).</w:t>
      </w:r>
    </w:p>
    <w:p w:rsidR="000C27BF" w:rsidRPr="00B8717B" w:rsidRDefault="000C27BF" w:rsidP="000C27BF">
      <w:pPr>
        <w:rPr>
          <w:rFonts w:ascii="Calibri" w:hAnsi="Calibri"/>
        </w:rPr>
      </w:pPr>
      <w:r w:rsidRPr="00B8717B">
        <w:rPr>
          <w:rFonts w:ascii="Calibri" w:hAnsi="Calibri"/>
        </w:rPr>
        <w:t xml:space="preserve">Uziarnienie mieszanki mineralnej oraz minimalna zawartość lepiszcza podane są w tablicach 5. </w:t>
      </w:r>
    </w:p>
    <w:p w:rsidR="000C27BF" w:rsidRPr="00B8717B" w:rsidRDefault="000C27BF" w:rsidP="000C27BF">
      <w:pPr>
        <w:rPr>
          <w:rFonts w:ascii="Calibri" w:hAnsi="Calibri"/>
        </w:rPr>
      </w:pPr>
      <w:r w:rsidRPr="00B8717B">
        <w:rPr>
          <w:rFonts w:ascii="Calibri" w:hAnsi="Calibri"/>
        </w:rPr>
        <w:lastRenderedPageBreak/>
        <w:t>Jeżeli stosowana jest mieszanka kruszywa drobnego niełamanego i łamanego, to należy przyjąć proporcję kruszywa łamanego do niełamanego co najmniej 50/50.</w:t>
      </w:r>
    </w:p>
    <w:p w:rsidR="000C27BF" w:rsidRPr="00B8717B" w:rsidRDefault="000C27BF" w:rsidP="000C27BF">
      <w:pPr>
        <w:rPr>
          <w:rFonts w:ascii="Calibri" w:hAnsi="Calibri"/>
        </w:rPr>
      </w:pPr>
      <w:r w:rsidRPr="00B8717B">
        <w:rPr>
          <w:rFonts w:ascii="Calibri" w:hAnsi="Calibri"/>
        </w:rPr>
        <w:tab/>
        <w:t>Wymagane właściwości mieszanki mineralno-asfaltowej podane są w tablicach</w:t>
      </w:r>
    </w:p>
    <w:p w:rsidR="000C27BF" w:rsidRDefault="000C27BF" w:rsidP="000C27BF">
      <w:pPr>
        <w:rPr>
          <w:rFonts w:ascii="Calibri" w:hAnsi="Calibri"/>
        </w:rPr>
      </w:pPr>
      <w:r w:rsidRPr="00B8717B">
        <w:rPr>
          <w:rFonts w:ascii="Calibri" w:hAnsi="Calibri"/>
        </w:rPr>
        <w:t>6, 7, 8.</w:t>
      </w:r>
    </w:p>
    <w:p w:rsidR="000C27BF" w:rsidRPr="00B8717B" w:rsidRDefault="000C27BF" w:rsidP="000C27BF">
      <w:pPr>
        <w:ind w:left="709"/>
        <w:rPr>
          <w:rFonts w:ascii="Calibri" w:hAnsi="Calibri"/>
        </w:rPr>
      </w:pPr>
      <w:r w:rsidRPr="00B8717B">
        <w:rPr>
          <w:rFonts w:ascii="Calibri" w:hAnsi="Calibri"/>
        </w:rPr>
        <w:t>Tablica 5</w:t>
      </w:r>
      <w:r>
        <w:rPr>
          <w:rFonts w:ascii="Calibri" w:hAnsi="Calibri"/>
        </w:rPr>
        <w:t xml:space="preserve">. </w:t>
      </w:r>
      <w:r w:rsidRPr="00B8717B">
        <w:rPr>
          <w:rFonts w:ascii="Calibri" w:hAnsi="Calibri"/>
        </w:rPr>
        <w:t>Uziarnienie mieszanki mineralnej oraz zawartość lepiszcza do betonu asfaltowego do warstwy wiążącej i wyrównawczej, dla ruchu KR1÷KR6  [65]</w:t>
      </w:r>
    </w:p>
    <w:tbl>
      <w:tblPr>
        <w:tblW w:w="7488" w:type="dxa"/>
        <w:tblInd w:w="81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tblPr>
      <w:tblGrid>
        <w:gridCol w:w="1908"/>
        <w:gridCol w:w="540"/>
        <w:gridCol w:w="720"/>
        <w:gridCol w:w="720"/>
        <w:gridCol w:w="720"/>
        <w:gridCol w:w="720"/>
        <w:gridCol w:w="720"/>
        <w:gridCol w:w="720"/>
        <w:gridCol w:w="720"/>
      </w:tblGrid>
      <w:tr w:rsidR="000C27BF" w:rsidRPr="00B8717B" w:rsidTr="00556540">
        <w:tc>
          <w:tcPr>
            <w:tcW w:w="1908" w:type="dxa"/>
            <w:vMerge w:val="restart"/>
            <w:vAlign w:val="center"/>
          </w:tcPr>
          <w:p w:rsidR="000C27BF" w:rsidRPr="00B8717B" w:rsidRDefault="000C27BF" w:rsidP="00556540">
            <w:pPr>
              <w:jc w:val="center"/>
              <w:rPr>
                <w:rFonts w:ascii="Calibri" w:hAnsi="Calibri"/>
                <w:sz w:val="18"/>
                <w:szCs w:val="18"/>
              </w:rPr>
            </w:pPr>
            <w:r w:rsidRPr="00B8717B">
              <w:rPr>
                <w:rFonts w:ascii="Calibri" w:hAnsi="Calibri"/>
                <w:sz w:val="18"/>
                <w:szCs w:val="18"/>
              </w:rPr>
              <w:t>Właściwość</w:t>
            </w:r>
          </w:p>
        </w:tc>
        <w:tc>
          <w:tcPr>
            <w:tcW w:w="5580" w:type="dxa"/>
            <w:gridSpan w:val="8"/>
          </w:tcPr>
          <w:p w:rsidR="000C27BF" w:rsidRPr="00B8717B" w:rsidRDefault="000C27BF" w:rsidP="00556540">
            <w:pPr>
              <w:jc w:val="center"/>
              <w:rPr>
                <w:rFonts w:ascii="Calibri" w:hAnsi="Calibri"/>
                <w:sz w:val="18"/>
                <w:szCs w:val="18"/>
              </w:rPr>
            </w:pPr>
            <w:r w:rsidRPr="00B8717B">
              <w:rPr>
                <w:rFonts w:ascii="Calibri" w:hAnsi="Calibri"/>
                <w:sz w:val="18"/>
                <w:szCs w:val="18"/>
              </w:rPr>
              <w:t>Przesiew,   [% (m/m)]</w:t>
            </w:r>
          </w:p>
        </w:tc>
      </w:tr>
      <w:tr w:rsidR="000C27BF" w:rsidRPr="00B8717B" w:rsidTr="00556540">
        <w:tc>
          <w:tcPr>
            <w:tcW w:w="1908" w:type="dxa"/>
            <w:vMerge/>
          </w:tcPr>
          <w:p w:rsidR="000C27BF" w:rsidRPr="00B8717B" w:rsidRDefault="000C27BF" w:rsidP="00556540">
            <w:pPr>
              <w:jc w:val="center"/>
              <w:rPr>
                <w:rFonts w:ascii="Calibri" w:hAnsi="Calibri"/>
                <w:sz w:val="18"/>
                <w:szCs w:val="18"/>
              </w:rPr>
            </w:pPr>
          </w:p>
        </w:tc>
        <w:tc>
          <w:tcPr>
            <w:tcW w:w="1260" w:type="dxa"/>
            <w:gridSpan w:val="2"/>
          </w:tcPr>
          <w:p w:rsidR="000C27BF" w:rsidRPr="00B8717B" w:rsidRDefault="000C27BF" w:rsidP="00556540">
            <w:pPr>
              <w:jc w:val="center"/>
              <w:rPr>
                <w:rFonts w:ascii="Calibri" w:hAnsi="Calibri"/>
                <w:sz w:val="18"/>
                <w:szCs w:val="18"/>
              </w:rPr>
            </w:pPr>
            <w:r w:rsidRPr="00B8717B">
              <w:rPr>
                <w:rFonts w:ascii="Calibri" w:hAnsi="Calibri"/>
                <w:sz w:val="18"/>
                <w:szCs w:val="18"/>
              </w:rPr>
              <w:t>AC11W</w:t>
            </w:r>
          </w:p>
          <w:p w:rsidR="000C27BF" w:rsidRPr="00B8717B" w:rsidRDefault="000C27BF" w:rsidP="00556540">
            <w:pPr>
              <w:jc w:val="center"/>
              <w:rPr>
                <w:rFonts w:ascii="Calibri" w:hAnsi="Calibri"/>
                <w:sz w:val="18"/>
                <w:szCs w:val="18"/>
              </w:rPr>
            </w:pPr>
            <w:r w:rsidRPr="00B8717B">
              <w:rPr>
                <w:rFonts w:ascii="Calibri" w:hAnsi="Calibri"/>
                <w:sz w:val="18"/>
                <w:szCs w:val="18"/>
              </w:rPr>
              <w:t>KR1-KR2</w:t>
            </w:r>
          </w:p>
        </w:tc>
        <w:tc>
          <w:tcPr>
            <w:tcW w:w="1440" w:type="dxa"/>
            <w:gridSpan w:val="2"/>
          </w:tcPr>
          <w:p w:rsidR="000C27BF" w:rsidRPr="00B8717B" w:rsidRDefault="000C27BF" w:rsidP="00556540">
            <w:pPr>
              <w:overflowPunct/>
              <w:autoSpaceDE/>
              <w:autoSpaceDN/>
              <w:adjustRightInd/>
              <w:jc w:val="center"/>
              <w:textAlignment w:val="auto"/>
              <w:rPr>
                <w:rFonts w:ascii="Calibri" w:hAnsi="Calibri"/>
                <w:sz w:val="18"/>
                <w:szCs w:val="18"/>
              </w:rPr>
            </w:pPr>
            <w:r w:rsidRPr="00B8717B">
              <w:rPr>
                <w:rFonts w:ascii="Calibri" w:hAnsi="Calibri"/>
                <w:sz w:val="18"/>
                <w:szCs w:val="18"/>
              </w:rPr>
              <w:t>AC16W</w:t>
            </w:r>
          </w:p>
          <w:p w:rsidR="000C27BF" w:rsidRPr="00B8717B" w:rsidRDefault="000C27BF" w:rsidP="00556540">
            <w:pPr>
              <w:jc w:val="center"/>
              <w:rPr>
                <w:rFonts w:ascii="Calibri" w:hAnsi="Calibri"/>
                <w:sz w:val="18"/>
                <w:szCs w:val="18"/>
              </w:rPr>
            </w:pPr>
            <w:r w:rsidRPr="00B8717B">
              <w:rPr>
                <w:rFonts w:ascii="Calibri" w:hAnsi="Calibri"/>
                <w:sz w:val="18"/>
                <w:szCs w:val="18"/>
              </w:rPr>
              <w:t>KR1-KR2</w:t>
            </w:r>
          </w:p>
        </w:tc>
        <w:tc>
          <w:tcPr>
            <w:tcW w:w="1440" w:type="dxa"/>
            <w:gridSpan w:val="2"/>
          </w:tcPr>
          <w:p w:rsidR="000C27BF" w:rsidRPr="00B8717B" w:rsidRDefault="000C27BF" w:rsidP="00556540">
            <w:pPr>
              <w:jc w:val="center"/>
              <w:rPr>
                <w:rFonts w:ascii="Calibri" w:hAnsi="Calibri"/>
                <w:sz w:val="18"/>
                <w:szCs w:val="18"/>
              </w:rPr>
            </w:pPr>
            <w:r w:rsidRPr="00B8717B">
              <w:rPr>
                <w:rFonts w:ascii="Calibri" w:hAnsi="Calibri"/>
                <w:sz w:val="18"/>
                <w:szCs w:val="18"/>
              </w:rPr>
              <w:t>AC16W</w:t>
            </w:r>
          </w:p>
          <w:p w:rsidR="000C27BF" w:rsidRPr="00B8717B" w:rsidRDefault="000C27BF" w:rsidP="00556540">
            <w:pPr>
              <w:jc w:val="center"/>
              <w:rPr>
                <w:rFonts w:ascii="Calibri" w:hAnsi="Calibri"/>
                <w:sz w:val="18"/>
                <w:szCs w:val="18"/>
              </w:rPr>
            </w:pPr>
            <w:r w:rsidRPr="00B8717B">
              <w:rPr>
                <w:rFonts w:ascii="Calibri" w:hAnsi="Calibri"/>
                <w:sz w:val="18"/>
                <w:szCs w:val="18"/>
              </w:rPr>
              <w:t>KR3-KR6</w:t>
            </w:r>
          </w:p>
        </w:tc>
        <w:tc>
          <w:tcPr>
            <w:tcW w:w="1440" w:type="dxa"/>
            <w:gridSpan w:val="2"/>
          </w:tcPr>
          <w:p w:rsidR="000C27BF" w:rsidRPr="00B8717B" w:rsidRDefault="000C27BF" w:rsidP="00556540">
            <w:pPr>
              <w:overflowPunct/>
              <w:autoSpaceDE/>
              <w:autoSpaceDN/>
              <w:adjustRightInd/>
              <w:jc w:val="center"/>
              <w:textAlignment w:val="auto"/>
              <w:rPr>
                <w:rFonts w:ascii="Calibri" w:hAnsi="Calibri"/>
                <w:sz w:val="18"/>
                <w:szCs w:val="18"/>
              </w:rPr>
            </w:pPr>
            <w:r w:rsidRPr="00B8717B">
              <w:rPr>
                <w:rFonts w:ascii="Calibri" w:hAnsi="Calibri"/>
                <w:sz w:val="18"/>
                <w:szCs w:val="18"/>
              </w:rPr>
              <w:t>AC22W</w:t>
            </w:r>
          </w:p>
          <w:p w:rsidR="000C27BF" w:rsidRPr="00B8717B" w:rsidRDefault="000C27BF" w:rsidP="00556540">
            <w:pPr>
              <w:jc w:val="center"/>
              <w:rPr>
                <w:rFonts w:ascii="Calibri" w:hAnsi="Calibri"/>
                <w:sz w:val="18"/>
                <w:szCs w:val="18"/>
              </w:rPr>
            </w:pPr>
            <w:r w:rsidRPr="00B8717B">
              <w:rPr>
                <w:rFonts w:ascii="Calibri" w:hAnsi="Calibri"/>
                <w:sz w:val="18"/>
                <w:szCs w:val="18"/>
              </w:rPr>
              <w:t>KR3-KR6</w:t>
            </w:r>
          </w:p>
        </w:tc>
      </w:tr>
      <w:tr w:rsidR="000C27BF" w:rsidRPr="00B8717B" w:rsidTr="00556540">
        <w:tc>
          <w:tcPr>
            <w:tcW w:w="1908" w:type="dxa"/>
          </w:tcPr>
          <w:p w:rsidR="000C27BF" w:rsidRPr="00B8717B" w:rsidRDefault="000C27BF" w:rsidP="00556540">
            <w:pPr>
              <w:jc w:val="center"/>
              <w:rPr>
                <w:rFonts w:ascii="Calibri" w:hAnsi="Calibri"/>
                <w:sz w:val="18"/>
                <w:szCs w:val="18"/>
              </w:rPr>
            </w:pPr>
            <w:r w:rsidRPr="00B8717B">
              <w:rPr>
                <w:rFonts w:ascii="Calibri" w:hAnsi="Calibri"/>
                <w:sz w:val="18"/>
                <w:szCs w:val="18"/>
              </w:rPr>
              <w:t>Wymiar sita #, [mm]</w:t>
            </w:r>
          </w:p>
        </w:tc>
        <w:tc>
          <w:tcPr>
            <w:tcW w:w="540" w:type="dxa"/>
          </w:tcPr>
          <w:p w:rsidR="000C27BF" w:rsidRPr="00B8717B" w:rsidRDefault="000C27BF" w:rsidP="00556540">
            <w:pPr>
              <w:jc w:val="center"/>
              <w:rPr>
                <w:rFonts w:ascii="Calibri" w:hAnsi="Calibri"/>
                <w:sz w:val="18"/>
                <w:szCs w:val="18"/>
              </w:rPr>
            </w:pPr>
            <w:r w:rsidRPr="00B8717B">
              <w:rPr>
                <w:rFonts w:ascii="Calibri" w:hAnsi="Calibri"/>
                <w:sz w:val="18"/>
                <w:szCs w:val="18"/>
              </w:rPr>
              <w:t>od</w:t>
            </w:r>
          </w:p>
        </w:tc>
        <w:tc>
          <w:tcPr>
            <w:tcW w:w="720" w:type="dxa"/>
          </w:tcPr>
          <w:p w:rsidR="000C27BF" w:rsidRPr="00B8717B" w:rsidRDefault="000C27BF" w:rsidP="00556540">
            <w:pPr>
              <w:jc w:val="center"/>
              <w:rPr>
                <w:rFonts w:ascii="Calibri" w:hAnsi="Calibri"/>
                <w:sz w:val="18"/>
                <w:szCs w:val="18"/>
              </w:rPr>
            </w:pPr>
            <w:r w:rsidRPr="00B8717B">
              <w:rPr>
                <w:rFonts w:ascii="Calibri" w:hAnsi="Calibri"/>
                <w:sz w:val="18"/>
                <w:szCs w:val="18"/>
              </w:rPr>
              <w:t>do</w:t>
            </w:r>
          </w:p>
        </w:tc>
        <w:tc>
          <w:tcPr>
            <w:tcW w:w="720" w:type="dxa"/>
          </w:tcPr>
          <w:p w:rsidR="000C27BF" w:rsidRPr="00B8717B" w:rsidRDefault="000C27BF" w:rsidP="00556540">
            <w:pPr>
              <w:jc w:val="center"/>
              <w:rPr>
                <w:rFonts w:ascii="Calibri" w:hAnsi="Calibri"/>
                <w:sz w:val="18"/>
                <w:szCs w:val="18"/>
              </w:rPr>
            </w:pPr>
            <w:r w:rsidRPr="00B8717B">
              <w:rPr>
                <w:rFonts w:ascii="Calibri" w:hAnsi="Calibri"/>
                <w:sz w:val="18"/>
                <w:szCs w:val="18"/>
              </w:rPr>
              <w:t>od</w:t>
            </w:r>
          </w:p>
        </w:tc>
        <w:tc>
          <w:tcPr>
            <w:tcW w:w="720" w:type="dxa"/>
          </w:tcPr>
          <w:p w:rsidR="000C27BF" w:rsidRPr="00B8717B" w:rsidRDefault="000C27BF" w:rsidP="00556540">
            <w:pPr>
              <w:ind w:left="70"/>
              <w:jc w:val="center"/>
              <w:rPr>
                <w:rFonts w:ascii="Calibri" w:hAnsi="Calibri"/>
                <w:sz w:val="18"/>
                <w:szCs w:val="18"/>
              </w:rPr>
            </w:pPr>
            <w:r w:rsidRPr="00B8717B">
              <w:rPr>
                <w:rFonts w:ascii="Calibri" w:hAnsi="Calibri"/>
                <w:sz w:val="18"/>
                <w:szCs w:val="18"/>
              </w:rPr>
              <w:t>do</w:t>
            </w:r>
          </w:p>
        </w:tc>
        <w:tc>
          <w:tcPr>
            <w:tcW w:w="720" w:type="dxa"/>
          </w:tcPr>
          <w:p w:rsidR="000C27BF" w:rsidRPr="00B8717B" w:rsidRDefault="000C27BF" w:rsidP="00556540">
            <w:pPr>
              <w:jc w:val="center"/>
              <w:rPr>
                <w:rFonts w:ascii="Calibri" w:hAnsi="Calibri"/>
                <w:sz w:val="18"/>
                <w:szCs w:val="18"/>
              </w:rPr>
            </w:pPr>
            <w:r w:rsidRPr="00B8717B">
              <w:rPr>
                <w:rFonts w:ascii="Calibri" w:hAnsi="Calibri"/>
                <w:sz w:val="18"/>
                <w:szCs w:val="18"/>
              </w:rPr>
              <w:t>od</w:t>
            </w:r>
          </w:p>
        </w:tc>
        <w:tc>
          <w:tcPr>
            <w:tcW w:w="720" w:type="dxa"/>
          </w:tcPr>
          <w:p w:rsidR="000C27BF" w:rsidRPr="00B8717B" w:rsidRDefault="000C27BF" w:rsidP="00556540">
            <w:pPr>
              <w:jc w:val="center"/>
              <w:rPr>
                <w:rFonts w:ascii="Calibri" w:hAnsi="Calibri"/>
                <w:sz w:val="18"/>
                <w:szCs w:val="18"/>
              </w:rPr>
            </w:pPr>
            <w:r w:rsidRPr="00B8717B">
              <w:rPr>
                <w:rFonts w:ascii="Calibri" w:hAnsi="Calibri"/>
                <w:sz w:val="18"/>
                <w:szCs w:val="18"/>
              </w:rPr>
              <w:t>do</w:t>
            </w:r>
          </w:p>
        </w:tc>
        <w:tc>
          <w:tcPr>
            <w:tcW w:w="720" w:type="dxa"/>
          </w:tcPr>
          <w:p w:rsidR="000C27BF" w:rsidRPr="00B8717B" w:rsidRDefault="000C27BF" w:rsidP="00556540">
            <w:pPr>
              <w:jc w:val="center"/>
              <w:rPr>
                <w:rFonts w:ascii="Calibri" w:hAnsi="Calibri"/>
                <w:sz w:val="18"/>
                <w:szCs w:val="18"/>
              </w:rPr>
            </w:pPr>
            <w:r w:rsidRPr="00B8717B">
              <w:rPr>
                <w:rFonts w:ascii="Calibri" w:hAnsi="Calibri"/>
                <w:sz w:val="18"/>
                <w:szCs w:val="18"/>
              </w:rPr>
              <w:t>od</w:t>
            </w:r>
          </w:p>
        </w:tc>
        <w:tc>
          <w:tcPr>
            <w:tcW w:w="720" w:type="dxa"/>
          </w:tcPr>
          <w:p w:rsidR="000C27BF" w:rsidRPr="00B8717B" w:rsidRDefault="000C27BF" w:rsidP="00556540">
            <w:pPr>
              <w:jc w:val="center"/>
              <w:rPr>
                <w:rFonts w:ascii="Calibri" w:hAnsi="Calibri"/>
                <w:sz w:val="18"/>
                <w:szCs w:val="18"/>
              </w:rPr>
            </w:pPr>
            <w:r w:rsidRPr="00B8717B">
              <w:rPr>
                <w:rFonts w:ascii="Calibri" w:hAnsi="Calibri"/>
                <w:sz w:val="18"/>
                <w:szCs w:val="18"/>
              </w:rPr>
              <w:t>do</w:t>
            </w:r>
          </w:p>
        </w:tc>
      </w:tr>
      <w:tr w:rsidR="000C27BF" w:rsidRPr="00B8717B" w:rsidTr="00556540">
        <w:tc>
          <w:tcPr>
            <w:tcW w:w="1908" w:type="dxa"/>
          </w:tcPr>
          <w:p w:rsidR="000C27BF" w:rsidRPr="00B8717B" w:rsidRDefault="000C27BF" w:rsidP="00556540">
            <w:pPr>
              <w:jc w:val="center"/>
              <w:rPr>
                <w:rFonts w:ascii="Calibri" w:hAnsi="Calibri"/>
                <w:sz w:val="18"/>
                <w:szCs w:val="18"/>
              </w:rPr>
            </w:pPr>
            <w:r w:rsidRPr="00B8717B">
              <w:rPr>
                <w:rFonts w:ascii="Calibri" w:hAnsi="Calibri"/>
                <w:sz w:val="18"/>
                <w:szCs w:val="18"/>
              </w:rPr>
              <w:t>31,5</w:t>
            </w:r>
          </w:p>
        </w:tc>
        <w:tc>
          <w:tcPr>
            <w:tcW w:w="540" w:type="dxa"/>
          </w:tcPr>
          <w:p w:rsidR="000C27BF" w:rsidRPr="00B8717B" w:rsidRDefault="000C27BF" w:rsidP="00556540">
            <w:pPr>
              <w:jc w:val="center"/>
              <w:rPr>
                <w:rFonts w:ascii="Calibri" w:hAnsi="Calibri"/>
                <w:sz w:val="18"/>
                <w:szCs w:val="18"/>
              </w:rPr>
            </w:pPr>
            <w:r w:rsidRPr="00B8717B">
              <w:rPr>
                <w:rFonts w:ascii="Calibri" w:hAnsi="Calibri"/>
                <w:sz w:val="18"/>
                <w:szCs w:val="18"/>
              </w:rPr>
              <w:t>-</w:t>
            </w:r>
          </w:p>
        </w:tc>
        <w:tc>
          <w:tcPr>
            <w:tcW w:w="720" w:type="dxa"/>
          </w:tcPr>
          <w:p w:rsidR="000C27BF" w:rsidRPr="00B8717B" w:rsidRDefault="000C27BF" w:rsidP="00556540">
            <w:pPr>
              <w:jc w:val="center"/>
              <w:rPr>
                <w:rFonts w:ascii="Calibri" w:hAnsi="Calibri"/>
                <w:sz w:val="18"/>
                <w:szCs w:val="18"/>
              </w:rPr>
            </w:pPr>
            <w:r w:rsidRPr="00B8717B">
              <w:rPr>
                <w:rFonts w:ascii="Calibri" w:hAnsi="Calibri"/>
                <w:sz w:val="18"/>
                <w:szCs w:val="18"/>
              </w:rPr>
              <w:t>-</w:t>
            </w:r>
          </w:p>
        </w:tc>
        <w:tc>
          <w:tcPr>
            <w:tcW w:w="720" w:type="dxa"/>
          </w:tcPr>
          <w:p w:rsidR="000C27BF" w:rsidRPr="00B8717B" w:rsidRDefault="000C27BF" w:rsidP="00556540">
            <w:pPr>
              <w:jc w:val="center"/>
              <w:rPr>
                <w:rFonts w:ascii="Calibri" w:hAnsi="Calibri"/>
                <w:sz w:val="18"/>
                <w:szCs w:val="18"/>
              </w:rPr>
            </w:pPr>
            <w:r w:rsidRPr="00B8717B">
              <w:rPr>
                <w:rFonts w:ascii="Calibri" w:hAnsi="Calibri"/>
                <w:sz w:val="18"/>
                <w:szCs w:val="18"/>
              </w:rPr>
              <w:t>-</w:t>
            </w:r>
          </w:p>
        </w:tc>
        <w:tc>
          <w:tcPr>
            <w:tcW w:w="720" w:type="dxa"/>
          </w:tcPr>
          <w:p w:rsidR="000C27BF" w:rsidRPr="00B8717B" w:rsidRDefault="000C27BF" w:rsidP="00556540">
            <w:pPr>
              <w:jc w:val="center"/>
              <w:rPr>
                <w:rFonts w:ascii="Calibri" w:hAnsi="Calibri"/>
                <w:sz w:val="18"/>
                <w:szCs w:val="18"/>
              </w:rPr>
            </w:pPr>
            <w:r w:rsidRPr="00B8717B">
              <w:rPr>
                <w:rFonts w:ascii="Calibri" w:hAnsi="Calibri"/>
                <w:sz w:val="18"/>
                <w:szCs w:val="18"/>
              </w:rPr>
              <w:t>-</w:t>
            </w:r>
          </w:p>
        </w:tc>
        <w:tc>
          <w:tcPr>
            <w:tcW w:w="720" w:type="dxa"/>
          </w:tcPr>
          <w:p w:rsidR="000C27BF" w:rsidRPr="00B8717B" w:rsidRDefault="000C27BF" w:rsidP="00556540">
            <w:pPr>
              <w:jc w:val="center"/>
              <w:rPr>
                <w:rFonts w:ascii="Calibri" w:hAnsi="Calibri"/>
                <w:sz w:val="18"/>
                <w:szCs w:val="18"/>
              </w:rPr>
            </w:pPr>
            <w:r w:rsidRPr="00B8717B">
              <w:rPr>
                <w:rFonts w:ascii="Calibri" w:hAnsi="Calibri"/>
                <w:sz w:val="18"/>
                <w:szCs w:val="18"/>
              </w:rPr>
              <w:t>-</w:t>
            </w:r>
          </w:p>
        </w:tc>
        <w:tc>
          <w:tcPr>
            <w:tcW w:w="720" w:type="dxa"/>
          </w:tcPr>
          <w:p w:rsidR="000C27BF" w:rsidRPr="00B8717B" w:rsidRDefault="000C27BF" w:rsidP="00556540">
            <w:pPr>
              <w:jc w:val="center"/>
              <w:rPr>
                <w:rFonts w:ascii="Calibri" w:hAnsi="Calibri"/>
                <w:sz w:val="18"/>
                <w:szCs w:val="18"/>
              </w:rPr>
            </w:pPr>
            <w:r w:rsidRPr="00B8717B">
              <w:rPr>
                <w:rFonts w:ascii="Calibri" w:hAnsi="Calibri"/>
                <w:sz w:val="18"/>
                <w:szCs w:val="18"/>
              </w:rPr>
              <w:t>-</w:t>
            </w:r>
          </w:p>
        </w:tc>
        <w:tc>
          <w:tcPr>
            <w:tcW w:w="720" w:type="dxa"/>
          </w:tcPr>
          <w:p w:rsidR="000C27BF" w:rsidRPr="00B8717B" w:rsidRDefault="000C27BF" w:rsidP="00556540">
            <w:pPr>
              <w:jc w:val="center"/>
              <w:rPr>
                <w:rFonts w:ascii="Calibri" w:hAnsi="Calibri"/>
                <w:sz w:val="18"/>
                <w:szCs w:val="18"/>
              </w:rPr>
            </w:pPr>
            <w:r w:rsidRPr="00B8717B">
              <w:rPr>
                <w:rFonts w:ascii="Calibri" w:hAnsi="Calibri"/>
                <w:sz w:val="18"/>
                <w:szCs w:val="18"/>
              </w:rPr>
              <w:t>100</w:t>
            </w:r>
          </w:p>
        </w:tc>
        <w:tc>
          <w:tcPr>
            <w:tcW w:w="720" w:type="dxa"/>
          </w:tcPr>
          <w:p w:rsidR="000C27BF" w:rsidRPr="00B8717B" w:rsidRDefault="000C27BF" w:rsidP="00556540">
            <w:pPr>
              <w:jc w:val="center"/>
              <w:rPr>
                <w:rFonts w:ascii="Calibri" w:hAnsi="Calibri"/>
                <w:sz w:val="18"/>
                <w:szCs w:val="18"/>
              </w:rPr>
            </w:pPr>
            <w:r w:rsidRPr="00B8717B">
              <w:rPr>
                <w:rFonts w:ascii="Calibri" w:hAnsi="Calibri"/>
                <w:sz w:val="18"/>
                <w:szCs w:val="18"/>
              </w:rPr>
              <w:t>-</w:t>
            </w:r>
          </w:p>
        </w:tc>
      </w:tr>
      <w:tr w:rsidR="000C27BF" w:rsidRPr="00B8717B" w:rsidTr="00556540">
        <w:tc>
          <w:tcPr>
            <w:tcW w:w="1908" w:type="dxa"/>
          </w:tcPr>
          <w:p w:rsidR="000C27BF" w:rsidRPr="00B8717B" w:rsidRDefault="000C27BF" w:rsidP="00556540">
            <w:pPr>
              <w:jc w:val="center"/>
              <w:rPr>
                <w:rFonts w:ascii="Calibri" w:hAnsi="Calibri"/>
                <w:sz w:val="18"/>
                <w:szCs w:val="18"/>
              </w:rPr>
            </w:pPr>
            <w:r w:rsidRPr="00B8717B">
              <w:rPr>
                <w:rFonts w:ascii="Calibri" w:hAnsi="Calibri"/>
                <w:sz w:val="18"/>
                <w:szCs w:val="18"/>
              </w:rPr>
              <w:t>22,4</w:t>
            </w:r>
          </w:p>
        </w:tc>
        <w:tc>
          <w:tcPr>
            <w:tcW w:w="540" w:type="dxa"/>
          </w:tcPr>
          <w:p w:rsidR="000C27BF" w:rsidRPr="00B8717B" w:rsidRDefault="000C27BF" w:rsidP="00556540">
            <w:pPr>
              <w:jc w:val="center"/>
              <w:rPr>
                <w:rFonts w:ascii="Calibri" w:hAnsi="Calibri"/>
                <w:sz w:val="18"/>
                <w:szCs w:val="18"/>
              </w:rPr>
            </w:pPr>
            <w:r w:rsidRPr="00B8717B">
              <w:rPr>
                <w:rFonts w:ascii="Calibri" w:hAnsi="Calibri"/>
                <w:sz w:val="18"/>
                <w:szCs w:val="18"/>
              </w:rPr>
              <w:t>-</w:t>
            </w:r>
          </w:p>
        </w:tc>
        <w:tc>
          <w:tcPr>
            <w:tcW w:w="720" w:type="dxa"/>
          </w:tcPr>
          <w:p w:rsidR="000C27BF" w:rsidRPr="00B8717B" w:rsidRDefault="000C27BF" w:rsidP="00556540">
            <w:pPr>
              <w:jc w:val="center"/>
              <w:rPr>
                <w:rFonts w:ascii="Calibri" w:hAnsi="Calibri"/>
                <w:sz w:val="18"/>
                <w:szCs w:val="18"/>
              </w:rPr>
            </w:pPr>
            <w:r w:rsidRPr="00B8717B">
              <w:rPr>
                <w:rFonts w:ascii="Calibri" w:hAnsi="Calibri"/>
                <w:sz w:val="18"/>
                <w:szCs w:val="18"/>
              </w:rPr>
              <w:t>-</w:t>
            </w:r>
          </w:p>
        </w:tc>
        <w:tc>
          <w:tcPr>
            <w:tcW w:w="720" w:type="dxa"/>
          </w:tcPr>
          <w:p w:rsidR="000C27BF" w:rsidRPr="00B8717B" w:rsidRDefault="000C27BF" w:rsidP="00556540">
            <w:pPr>
              <w:jc w:val="center"/>
              <w:rPr>
                <w:rFonts w:ascii="Calibri" w:hAnsi="Calibri"/>
                <w:sz w:val="18"/>
                <w:szCs w:val="18"/>
              </w:rPr>
            </w:pPr>
            <w:r w:rsidRPr="00B8717B">
              <w:rPr>
                <w:rFonts w:ascii="Calibri" w:hAnsi="Calibri"/>
                <w:sz w:val="18"/>
                <w:szCs w:val="18"/>
              </w:rPr>
              <w:t>100</w:t>
            </w:r>
          </w:p>
        </w:tc>
        <w:tc>
          <w:tcPr>
            <w:tcW w:w="720" w:type="dxa"/>
          </w:tcPr>
          <w:p w:rsidR="000C27BF" w:rsidRPr="00B8717B" w:rsidRDefault="000C27BF" w:rsidP="00556540">
            <w:pPr>
              <w:jc w:val="center"/>
              <w:rPr>
                <w:rFonts w:ascii="Calibri" w:hAnsi="Calibri"/>
                <w:sz w:val="18"/>
                <w:szCs w:val="18"/>
              </w:rPr>
            </w:pPr>
            <w:r w:rsidRPr="00B8717B">
              <w:rPr>
                <w:rFonts w:ascii="Calibri" w:hAnsi="Calibri"/>
                <w:sz w:val="18"/>
                <w:szCs w:val="18"/>
              </w:rPr>
              <w:t>-</w:t>
            </w:r>
          </w:p>
        </w:tc>
        <w:tc>
          <w:tcPr>
            <w:tcW w:w="720" w:type="dxa"/>
          </w:tcPr>
          <w:p w:rsidR="000C27BF" w:rsidRPr="00B8717B" w:rsidRDefault="000C27BF" w:rsidP="00556540">
            <w:pPr>
              <w:jc w:val="center"/>
              <w:rPr>
                <w:rFonts w:ascii="Calibri" w:hAnsi="Calibri"/>
                <w:sz w:val="18"/>
                <w:szCs w:val="18"/>
              </w:rPr>
            </w:pPr>
            <w:r w:rsidRPr="00B8717B">
              <w:rPr>
                <w:rFonts w:ascii="Calibri" w:hAnsi="Calibri"/>
                <w:sz w:val="18"/>
                <w:szCs w:val="18"/>
              </w:rPr>
              <w:t>100</w:t>
            </w:r>
          </w:p>
        </w:tc>
        <w:tc>
          <w:tcPr>
            <w:tcW w:w="720" w:type="dxa"/>
          </w:tcPr>
          <w:p w:rsidR="000C27BF" w:rsidRPr="00B8717B" w:rsidRDefault="000C27BF" w:rsidP="00556540">
            <w:pPr>
              <w:jc w:val="center"/>
              <w:rPr>
                <w:rFonts w:ascii="Calibri" w:hAnsi="Calibri"/>
                <w:sz w:val="18"/>
                <w:szCs w:val="18"/>
              </w:rPr>
            </w:pPr>
            <w:r w:rsidRPr="00B8717B">
              <w:rPr>
                <w:rFonts w:ascii="Calibri" w:hAnsi="Calibri"/>
                <w:sz w:val="18"/>
                <w:szCs w:val="18"/>
              </w:rPr>
              <w:t>-</w:t>
            </w:r>
          </w:p>
        </w:tc>
        <w:tc>
          <w:tcPr>
            <w:tcW w:w="720" w:type="dxa"/>
          </w:tcPr>
          <w:p w:rsidR="000C27BF" w:rsidRPr="00B8717B" w:rsidRDefault="000C27BF" w:rsidP="00556540">
            <w:pPr>
              <w:jc w:val="center"/>
              <w:rPr>
                <w:rFonts w:ascii="Calibri" w:hAnsi="Calibri"/>
                <w:sz w:val="18"/>
                <w:szCs w:val="18"/>
              </w:rPr>
            </w:pPr>
            <w:r w:rsidRPr="00B8717B">
              <w:rPr>
                <w:rFonts w:ascii="Calibri" w:hAnsi="Calibri"/>
                <w:sz w:val="18"/>
                <w:szCs w:val="18"/>
              </w:rPr>
              <w:t>90</w:t>
            </w:r>
          </w:p>
        </w:tc>
        <w:tc>
          <w:tcPr>
            <w:tcW w:w="720" w:type="dxa"/>
          </w:tcPr>
          <w:p w:rsidR="000C27BF" w:rsidRPr="00B8717B" w:rsidRDefault="000C27BF" w:rsidP="00556540">
            <w:pPr>
              <w:jc w:val="center"/>
              <w:rPr>
                <w:rFonts w:ascii="Calibri" w:hAnsi="Calibri"/>
                <w:sz w:val="18"/>
                <w:szCs w:val="18"/>
              </w:rPr>
            </w:pPr>
            <w:r w:rsidRPr="00B8717B">
              <w:rPr>
                <w:rFonts w:ascii="Calibri" w:hAnsi="Calibri"/>
                <w:sz w:val="18"/>
                <w:szCs w:val="18"/>
              </w:rPr>
              <w:t>100</w:t>
            </w:r>
          </w:p>
        </w:tc>
      </w:tr>
      <w:tr w:rsidR="000C27BF" w:rsidRPr="00B8717B" w:rsidTr="00556540">
        <w:tc>
          <w:tcPr>
            <w:tcW w:w="1908" w:type="dxa"/>
          </w:tcPr>
          <w:p w:rsidR="000C27BF" w:rsidRPr="00B8717B" w:rsidRDefault="000C27BF" w:rsidP="00556540">
            <w:pPr>
              <w:jc w:val="center"/>
              <w:rPr>
                <w:rFonts w:ascii="Calibri" w:hAnsi="Calibri"/>
                <w:sz w:val="18"/>
                <w:szCs w:val="18"/>
              </w:rPr>
            </w:pPr>
            <w:r w:rsidRPr="00B8717B">
              <w:rPr>
                <w:rFonts w:ascii="Calibri" w:hAnsi="Calibri"/>
                <w:sz w:val="18"/>
                <w:szCs w:val="18"/>
              </w:rPr>
              <w:t>16</w:t>
            </w:r>
          </w:p>
        </w:tc>
        <w:tc>
          <w:tcPr>
            <w:tcW w:w="540" w:type="dxa"/>
          </w:tcPr>
          <w:p w:rsidR="000C27BF" w:rsidRPr="00B8717B" w:rsidRDefault="000C27BF" w:rsidP="00556540">
            <w:pPr>
              <w:jc w:val="center"/>
              <w:rPr>
                <w:rFonts w:ascii="Calibri" w:hAnsi="Calibri"/>
                <w:sz w:val="18"/>
                <w:szCs w:val="18"/>
              </w:rPr>
            </w:pPr>
            <w:r w:rsidRPr="00B8717B">
              <w:rPr>
                <w:rFonts w:ascii="Calibri" w:hAnsi="Calibri"/>
                <w:sz w:val="18"/>
                <w:szCs w:val="18"/>
              </w:rPr>
              <w:t>100</w:t>
            </w:r>
          </w:p>
        </w:tc>
        <w:tc>
          <w:tcPr>
            <w:tcW w:w="720" w:type="dxa"/>
          </w:tcPr>
          <w:p w:rsidR="000C27BF" w:rsidRPr="00B8717B" w:rsidRDefault="000C27BF" w:rsidP="00556540">
            <w:pPr>
              <w:jc w:val="center"/>
              <w:rPr>
                <w:rFonts w:ascii="Calibri" w:hAnsi="Calibri"/>
                <w:sz w:val="18"/>
                <w:szCs w:val="18"/>
              </w:rPr>
            </w:pPr>
            <w:r w:rsidRPr="00B8717B">
              <w:rPr>
                <w:rFonts w:ascii="Calibri" w:hAnsi="Calibri"/>
                <w:sz w:val="18"/>
                <w:szCs w:val="18"/>
              </w:rPr>
              <w:t>-</w:t>
            </w:r>
          </w:p>
        </w:tc>
        <w:tc>
          <w:tcPr>
            <w:tcW w:w="720" w:type="dxa"/>
          </w:tcPr>
          <w:p w:rsidR="000C27BF" w:rsidRPr="00B8717B" w:rsidRDefault="000C27BF" w:rsidP="00556540">
            <w:pPr>
              <w:jc w:val="center"/>
              <w:rPr>
                <w:rFonts w:ascii="Calibri" w:hAnsi="Calibri"/>
                <w:sz w:val="18"/>
                <w:szCs w:val="18"/>
              </w:rPr>
            </w:pPr>
            <w:r w:rsidRPr="00B8717B">
              <w:rPr>
                <w:rFonts w:ascii="Calibri" w:hAnsi="Calibri"/>
                <w:sz w:val="18"/>
                <w:szCs w:val="18"/>
              </w:rPr>
              <w:t>90</w:t>
            </w:r>
          </w:p>
        </w:tc>
        <w:tc>
          <w:tcPr>
            <w:tcW w:w="720" w:type="dxa"/>
          </w:tcPr>
          <w:p w:rsidR="000C27BF" w:rsidRPr="00B8717B" w:rsidRDefault="000C27BF" w:rsidP="00556540">
            <w:pPr>
              <w:jc w:val="center"/>
              <w:rPr>
                <w:rFonts w:ascii="Calibri" w:hAnsi="Calibri"/>
                <w:sz w:val="18"/>
                <w:szCs w:val="18"/>
              </w:rPr>
            </w:pPr>
            <w:r w:rsidRPr="00B8717B">
              <w:rPr>
                <w:rFonts w:ascii="Calibri" w:hAnsi="Calibri"/>
                <w:sz w:val="18"/>
                <w:szCs w:val="18"/>
              </w:rPr>
              <w:t>100</w:t>
            </w:r>
          </w:p>
        </w:tc>
        <w:tc>
          <w:tcPr>
            <w:tcW w:w="720" w:type="dxa"/>
          </w:tcPr>
          <w:p w:rsidR="000C27BF" w:rsidRPr="00B8717B" w:rsidRDefault="000C27BF" w:rsidP="00556540">
            <w:pPr>
              <w:jc w:val="center"/>
              <w:rPr>
                <w:rFonts w:ascii="Calibri" w:hAnsi="Calibri"/>
                <w:sz w:val="18"/>
                <w:szCs w:val="18"/>
              </w:rPr>
            </w:pPr>
            <w:r w:rsidRPr="00B8717B">
              <w:rPr>
                <w:rFonts w:ascii="Calibri" w:hAnsi="Calibri"/>
                <w:sz w:val="18"/>
                <w:szCs w:val="18"/>
              </w:rPr>
              <w:t>90</w:t>
            </w:r>
          </w:p>
        </w:tc>
        <w:tc>
          <w:tcPr>
            <w:tcW w:w="720" w:type="dxa"/>
          </w:tcPr>
          <w:p w:rsidR="000C27BF" w:rsidRPr="00B8717B" w:rsidRDefault="000C27BF" w:rsidP="00556540">
            <w:pPr>
              <w:jc w:val="center"/>
              <w:rPr>
                <w:rFonts w:ascii="Calibri" w:hAnsi="Calibri"/>
                <w:sz w:val="18"/>
                <w:szCs w:val="18"/>
              </w:rPr>
            </w:pPr>
            <w:r w:rsidRPr="00B8717B">
              <w:rPr>
                <w:rFonts w:ascii="Calibri" w:hAnsi="Calibri"/>
                <w:sz w:val="18"/>
                <w:szCs w:val="18"/>
              </w:rPr>
              <w:t>100</w:t>
            </w:r>
          </w:p>
        </w:tc>
        <w:tc>
          <w:tcPr>
            <w:tcW w:w="720" w:type="dxa"/>
          </w:tcPr>
          <w:p w:rsidR="000C27BF" w:rsidRPr="00B8717B" w:rsidRDefault="000C27BF" w:rsidP="00556540">
            <w:pPr>
              <w:jc w:val="center"/>
              <w:rPr>
                <w:rFonts w:ascii="Calibri" w:hAnsi="Calibri"/>
                <w:sz w:val="18"/>
                <w:szCs w:val="18"/>
              </w:rPr>
            </w:pPr>
            <w:r w:rsidRPr="00B8717B">
              <w:rPr>
                <w:rFonts w:ascii="Calibri" w:hAnsi="Calibri"/>
                <w:sz w:val="18"/>
                <w:szCs w:val="18"/>
              </w:rPr>
              <w:t>65</w:t>
            </w:r>
          </w:p>
        </w:tc>
        <w:tc>
          <w:tcPr>
            <w:tcW w:w="720" w:type="dxa"/>
          </w:tcPr>
          <w:p w:rsidR="000C27BF" w:rsidRPr="00B8717B" w:rsidRDefault="000C27BF" w:rsidP="00556540">
            <w:pPr>
              <w:jc w:val="center"/>
              <w:rPr>
                <w:rFonts w:ascii="Calibri" w:hAnsi="Calibri"/>
                <w:sz w:val="18"/>
                <w:szCs w:val="18"/>
              </w:rPr>
            </w:pPr>
            <w:r w:rsidRPr="00B8717B">
              <w:rPr>
                <w:rFonts w:ascii="Calibri" w:hAnsi="Calibri"/>
                <w:sz w:val="18"/>
                <w:szCs w:val="18"/>
              </w:rPr>
              <w:t>90</w:t>
            </w:r>
          </w:p>
        </w:tc>
      </w:tr>
      <w:tr w:rsidR="000C27BF" w:rsidRPr="00B8717B" w:rsidTr="00556540">
        <w:tc>
          <w:tcPr>
            <w:tcW w:w="1908" w:type="dxa"/>
          </w:tcPr>
          <w:p w:rsidR="000C27BF" w:rsidRPr="00B8717B" w:rsidRDefault="000C27BF" w:rsidP="00556540">
            <w:pPr>
              <w:jc w:val="center"/>
              <w:rPr>
                <w:rFonts w:ascii="Calibri" w:hAnsi="Calibri"/>
                <w:sz w:val="18"/>
                <w:szCs w:val="18"/>
              </w:rPr>
            </w:pPr>
            <w:r w:rsidRPr="00B8717B">
              <w:rPr>
                <w:rFonts w:ascii="Calibri" w:hAnsi="Calibri"/>
                <w:sz w:val="18"/>
                <w:szCs w:val="18"/>
              </w:rPr>
              <w:t>11,2</w:t>
            </w:r>
          </w:p>
        </w:tc>
        <w:tc>
          <w:tcPr>
            <w:tcW w:w="540" w:type="dxa"/>
          </w:tcPr>
          <w:p w:rsidR="000C27BF" w:rsidRPr="00B8717B" w:rsidRDefault="000C27BF" w:rsidP="00556540">
            <w:pPr>
              <w:jc w:val="center"/>
              <w:rPr>
                <w:rFonts w:ascii="Calibri" w:hAnsi="Calibri"/>
                <w:sz w:val="18"/>
                <w:szCs w:val="18"/>
              </w:rPr>
            </w:pPr>
            <w:r w:rsidRPr="00B8717B">
              <w:rPr>
                <w:rFonts w:ascii="Calibri" w:hAnsi="Calibri"/>
                <w:sz w:val="18"/>
                <w:szCs w:val="18"/>
              </w:rPr>
              <w:t>90</w:t>
            </w:r>
          </w:p>
        </w:tc>
        <w:tc>
          <w:tcPr>
            <w:tcW w:w="720" w:type="dxa"/>
          </w:tcPr>
          <w:p w:rsidR="000C27BF" w:rsidRPr="00B8717B" w:rsidRDefault="000C27BF" w:rsidP="00556540">
            <w:pPr>
              <w:jc w:val="center"/>
              <w:rPr>
                <w:rFonts w:ascii="Calibri" w:hAnsi="Calibri"/>
                <w:sz w:val="18"/>
                <w:szCs w:val="18"/>
              </w:rPr>
            </w:pPr>
            <w:r w:rsidRPr="00B8717B">
              <w:rPr>
                <w:rFonts w:ascii="Calibri" w:hAnsi="Calibri"/>
                <w:sz w:val="18"/>
                <w:szCs w:val="18"/>
              </w:rPr>
              <w:t>100</w:t>
            </w:r>
          </w:p>
        </w:tc>
        <w:tc>
          <w:tcPr>
            <w:tcW w:w="720" w:type="dxa"/>
          </w:tcPr>
          <w:p w:rsidR="000C27BF" w:rsidRPr="00B8717B" w:rsidRDefault="000C27BF" w:rsidP="00556540">
            <w:pPr>
              <w:jc w:val="center"/>
              <w:rPr>
                <w:rFonts w:ascii="Calibri" w:hAnsi="Calibri"/>
                <w:sz w:val="18"/>
                <w:szCs w:val="18"/>
              </w:rPr>
            </w:pPr>
            <w:r w:rsidRPr="00B8717B">
              <w:rPr>
                <w:rFonts w:ascii="Calibri" w:hAnsi="Calibri"/>
                <w:sz w:val="18"/>
                <w:szCs w:val="18"/>
              </w:rPr>
              <w:t>65</w:t>
            </w:r>
          </w:p>
        </w:tc>
        <w:tc>
          <w:tcPr>
            <w:tcW w:w="720" w:type="dxa"/>
          </w:tcPr>
          <w:p w:rsidR="000C27BF" w:rsidRPr="00B8717B" w:rsidRDefault="000C27BF" w:rsidP="00556540">
            <w:pPr>
              <w:jc w:val="center"/>
              <w:rPr>
                <w:rFonts w:ascii="Calibri" w:hAnsi="Calibri"/>
                <w:sz w:val="18"/>
                <w:szCs w:val="18"/>
              </w:rPr>
            </w:pPr>
            <w:r w:rsidRPr="00B8717B">
              <w:rPr>
                <w:rFonts w:ascii="Calibri" w:hAnsi="Calibri"/>
                <w:sz w:val="18"/>
                <w:szCs w:val="18"/>
              </w:rPr>
              <w:t>80</w:t>
            </w:r>
          </w:p>
        </w:tc>
        <w:tc>
          <w:tcPr>
            <w:tcW w:w="720" w:type="dxa"/>
          </w:tcPr>
          <w:p w:rsidR="000C27BF" w:rsidRPr="00B8717B" w:rsidRDefault="000C27BF" w:rsidP="00556540">
            <w:pPr>
              <w:jc w:val="center"/>
              <w:rPr>
                <w:rFonts w:ascii="Calibri" w:hAnsi="Calibri"/>
                <w:sz w:val="18"/>
                <w:szCs w:val="18"/>
              </w:rPr>
            </w:pPr>
            <w:r w:rsidRPr="00B8717B">
              <w:rPr>
                <w:rFonts w:ascii="Calibri" w:hAnsi="Calibri"/>
                <w:sz w:val="18"/>
                <w:szCs w:val="18"/>
              </w:rPr>
              <w:t>70</w:t>
            </w:r>
          </w:p>
        </w:tc>
        <w:tc>
          <w:tcPr>
            <w:tcW w:w="720" w:type="dxa"/>
          </w:tcPr>
          <w:p w:rsidR="000C27BF" w:rsidRPr="00B8717B" w:rsidRDefault="000C27BF" w:rsidP="00556540">
            <w:pPr>
              <w:jc w:val="center"/>
              <w:rPr>
                <w:rFonts w:ascii="Calibri" w:hAnsi="Calibri"/>
                <w:sz w:val="18"/>
                <w:szCs w:val="18"/>
              </w:rPr>
            </w:pPr>
            <w:r w:rsidRPr="00B8717B">
              <w:rPr>
                <w:rFonts w:ascii="Calibri" w:hAnsi="Calibri"/>
                <w:sz w:val="18"/>
                <w:szCs w:val="18"/>
              </w:rPr>
              <w:t>90</w:t>
            </w:r>
          </w:p>
        </w:tc>
        <w:tc>
          <w:tcPr>
            <w:tcW w:w="720" w:type="dxa"/>
          </w:tcPr>
          <w:p w:rsidR="000C27BF" w:rsidRPr="00B8717B" w:rsidRDefault="000C27BF" w:rsidP="00556540">
            <w:pPr>
              <w:jc w:val="center"/>
              <w:rPr>
                <w:rFonts w:ascii="Calibri" w:hAnsi="Calibri"/>
                <w:sz w:val="18"/>
                <w:szCs w:val="18"/>
              </w:rPr>
            </w:pPr>
            <w:r w:rsidRPr="00B8717B">
              <w:rPr>
                <w:rFonts w:ascii="Calibri" w:hAnsi="Calibri"/>
                <w:sz w:val="18"/>
                <w:szCs w:val="18"/>
              </w:rPr>
              <w:t>-</w:t>
            </w:r>
          </w:p>
        </w:tc>
        <w:tc>
          <w:tcPr>
            <w:tcW w:w="720" w:type="dxa"/>
          </w:tcPr>
          <w:p w:rsidR="000C27BF" w:rsidRPr="00B8717B" w:rsidRDefault="000C27BF" w:rsidP="00556540">
            <w:pPr>
              <w:jc w:val="center"/>
              <w:rPr>
                <w:rFonts w:ascii="Calibri" w:hAnsi="Calibri"/>
                <w:sz w:val="18"/>
                <w:szCs w:val="18"/>
              </w:rPr>
            </w:pPr>
            <w:r w:rsidRPr="00B8717B">
              <w:rPr>
                <w:rFonts w:ascii="Calibri" w:hAnsi="Calibri"/>
                <w:sz w:val="18"/>
                <w:szCs w:val="18"/>
              </w:rPr>
              <w:t>-</w:t>
            </w:r>
          </w:p>
        </w:tc>
      </w:tr>
      <w:tr w:rsidR="000C27BF" w:rsidRPr="00B8717B" w:rsidTr="00556540">
        <w:tc>
          <w:tcPr>
            <w:tcW w:w="1908" w:type="dxa"/>
          </w:tcPr>
          <w:p w:rsidR="000C27BF" w:rsidRPr="00B8717B" w:rsidRDefault="000C27BF" w:rsidP="00556540">
            <w:pPr>
              <w:jc w:val="center"/>
              <w:rPr>
                <w:rFonts w:ascii="Calibri" w:hAnsi="Calibri"/>
                <w:sz w:val="18"/>
                <w:szCs w:val="18"/>
              </w:rPr>
            </w:pPr>
            <w:r w:rsidRPr="00B8717B">
              <w:rPr>
                <w:rFonts w:ascii="Calibri" w:hAnsi="Calibri"/>
                <w:sz w:val="18"/>
                <w:szCs w:val="18"/>
              </w:rPr>
              <w:t>8</w:t>
            </w:r>
          </w:p>
        </w:tc>
        <w:tc>
          <w:tcPr>
            <w:tcW w:w="540" w:type="dxa"/>
          </w:tcPr>
          <w:p w:rsidR="000C27BF" w:rsidRPr="00B8717B" w:rsidRDefault="000C27BF" w:rsidP="00556540">
            <w:pPr>
              <w:jc w:val="center"/>
              <w:rPr>
                <w:rFonts w:ascii="Calibri" w:hAnsi="Calibri"/>
                <w:sz w:val="18"/>
                <w:szCs w:val="18"/>
              </w:rPr>
            </w:pPr>
            <w:r w:rsidRPr="00B8717B">
              <w:rPr>
                <w:rFonts w:ascii="Calibri" w:hAnsi="Calibri"/>
                <w:sz w:val="18"/>
                <w:szCs w:val="18"/>
              </w:rPr>
              <w:t>60</w:t>
            </w:r>
          </w:p>
        </w:tc>
        <w:tc>
          <w:tcPr>
            <w:tcW w:w="720" w:type="dxa"/>
          </w:tcPr>
          <w:p w:rsidR="000C27BF" w:rsidRPr="00B8717B" w:rsidRDefault="000C27BF" w:rsidP="00556540">
            <w:pPr>
              <w:jc w:val="center"/>
              <w:rPr>
                <w:rFonts w:ascii="Calibri" w:hAnsi="Calibri"/>
                <w:sz w:val="18"/>
                <w:szCs w:val="18"/>
              </w:rPr>
            </w:pPr>
            <w:r w:rsidRPr="00B8717B">
              <w:rPr>
                <w:rFonts w:ascii="Calibri" w:hAnsi="Calibri"/>
                <w:sz w:val="18"/>
                <w:szCs w:val="18"/>
              </w:rPr>
              <w:t>85</w:t>
            </w:r>
          </w:p>
        </w:tc>
        <w:tc>
          <w:tcPr>
            <w:tcW w:w="720" w:type="dxa"/>
          </w:tcPr>
          <w:p w:rsidR="000C27BF" w:rsidRPr="00B8717B" w:rsidRDefault="000C27BF" w:rsidP="00556540">
            <w:pPr>
              <w:jc w:val="center"/>
              <w:rPr>
                <w:rFonts w:ascii="Calibri" w:hAnsi="Calibri"/>
                <w:sz w:val="18"/>
                <w:szCs w:val="18"/>
              </w:rPr>
            </w:pPr>
            <w:r w:rsidRPr="00B8717B">
              <w:rPr>
                <w:rFonts w:ascii="Calibri" w:hAnsi="Calibri"/>
                <w:sz w:val="18"/>
                <w:szCs w:val="18"/>
              </w:rPr>
              <w:t>-</w:t>
            </w:r>
          </w:p>
        </w:tc>
        <w:tc>
          <w:tcPr>
            <w:tcW w:w="720" w:type="dxa"/>
          </w:tcPr>
          <w:p w:rsidR="000C27BF" w:rsidRPr="00B8717B" w:rsidRDefault="000C27BF" w:rsidP="00556540">
            <w:pPr>
              <w:jc w:val="center"/>
              <w:rPr>
                <w:rFonts w:ascii="Calibri" w:hAnsi="Calibri"/>
                <w:sz w:val="18"/>
                <w:szCs w:val="18"/>
              </w:rPr>
            </w:pPr>
            <w:r w:rsidRPr="00B8717B">
              <w:rPr>
                <w:rFonts w:ascii="Calibri" w:hAnsi="Calibri"/>
                <w:sz w:val="18"/>
                <w:szCs w:val="18"/>
              </w:rPr>
              <w:t>-</w:t>
            </w:r>
          </w:p>
        </w:tc>
        <w:tc>
          <w:tcPr>
            <w:tcW w:w="720" w:type="dxa"/>
          </w:tcPr>
          <w:p w:rsidR="000C27BF" w:rsidRPr="00B8717B" w:rsidRDefault="000C27BF" w:rsidP="00556540">
            <w:pPr>
              <w:jc w:val="center"/>
              <w:rPr>
                <w:rFonts w:ascii="Calibri" w:hAnsi="Calibri"/>
                <w:sz w:val="18"/>
                <w:szCs w:val="18"/>
              </w:rPr>
            </w:pPr>
            <w:r w:rsidRPr="00B8717B">
              <w:rPr>
                <w:rFonts w:ascii="Calibri" w:hAnsi="Calibri"/>
                <w:sz w:val="18"/>
                <w:szCs w:val="18"/>
              </w:rPr>
              <w:t>55</w:t>
            </w:r>
          </w:p>
        </w:tc>
        <w:tc>
          <w:tcPr>
            <w:tcW w:w="720" w:type="dxa"/>
          </w:tcPr>
          <w:p w:rsidR="000C27BF" w:rsidRPr="00B8717B" w:rsidRDefault="000C27BF" w:rsidP="00556540">
            <w:pPr>
              <w:jc w:val="center"/>
              <w:rPr>
                <w:rFonts w:ascii="Calibri" w:hAnsi="Calibri"/>
                <w:sz w:val="18"/>
                <w:szCs w:val="18"/>
              </w:rPr>
            </w:pPr>
            <w:r w:rsidRPr="00B8717B">
              <w:rPr>
                <w:rFonts w:ascii="Calibri" w:hAnsi="Calibri"/>
                <w:sz w:val="18"/>
                <w:szCs w:val="18"/>
              </w:rPr>
              <w:t>85</w:t>
            </w:r>
          </w:p>
        </w:tc>
        <w:tc>
          <w:tcPr>
            <w:tcW w:w="720" w:type="dxa"/>
          </w:tcPr>
          <w:p w:rsidR="000C27BF" w:rsidRPr="00B8717B" w:rsidRDefault="000C27BF" w:rsidP="00556540">
            <w:pPr>
              <w:jc w:val="center"/>
              <w:rPr>
                <w:rFonts w:ascii="Calibri" w:hAnsi="Calibri"/>
                <w:sz w:val="18"/>
                <w:szCs w:val="18"/>
              </w:rPr>
            </w:pPr>
            <w:r w:rsidRPr="00B8717B">
              <w:rPr>
                <w:rFonts w:ascii="Calibri" w:hAnsi="Calibri"/>
                <w:sz w:val="18"/>
                <w:szCs w:val="18"/>
              </w:rPr>
              <w:t>45</w:t>
            </w:r>
          </w:p>
        </w:tc>
        <w:tc>
          <w:tcPr>
            <w:tcW w:w="720" w:type="dxa"/>
          </w:tcPr>
          <w:p w:rsidR="000C27BF" w:rsidRPr="00B8717B" w:rsidRDefault="000C27BF" w:rsidP="00556540">
            <w:pPr>
              <w:jc w:val="center"/>
              <w:rPr>
                <w:rFonts w:ascii="Calibri" w:hAnsi="Calibri"/>
                <w:sz w:val="18"/>
                <w:szCs w:val="18"/>
              </w:rPr>
            </w:pPr>
            <w:r w:rsidRPr="00B8717B">
              <w:rPr>
                <w:rFonts w:ascii="Calibri" w:hAnsi="Calibri"/>
                <w:sz w:val="18"/>
                <w:szCs w:val="18"/>
              </w:rPr>
              <w:t>70</w:t>
            </w:r>
          </w:p>
        </w:tc>
      </w:tr>
      <w:tr w:rsidR="000C27BF" w:rsidRPr="00B8717B" w:rsidTr="00556540">
        <w:tc>
          <w:tcPr>
            <w:tcW w:w="1908" w:type="dxa"/>
          </w:tcPr>
          <w:p w:rsidR="000C27BF" w:rsidRPr="00B8717B" w:rsidRDefault="000C27BF" w:rsidP="00556540">
            <w:pPr>
              <w:jc w:val="center"/>
              <w:rPr>
                <w:rFonts w:ascii="Calibri" w:hAnsi="Calibri"/>
                <w:sz w:val="18"/>
                <w:szCs w:val="18"/>
              </w:rPr>
            </w:pPr>
            <w:r w:rsidRPr="00B8717B">
              <w:rPr>
                <w:rFonts w:ascii="Calibri" w:hAnsi="Calibri"/>
                <w:sz w:val="18"/>
                <w:szCs w:val="18"/>
              </w:rPr>
              <w:t>2</w:t>
            </w:r>
          </w:p>
        </w:tc>
        <w:tc>
          <w:tcPr>
            <w:tcW w:w="540" w:type="dxa"/>
          </w:tcPr>
          <w:p w:rsidR="000C27BF" w:rsidRPr="00B8717B" w:rsidRDefault="000C27BF" w:rsidP="00556540">
            <w:pPr>
              <w:jc w:val="center"/>
              <w:rPr>
                <w:rFonts w:ascii="Calibri" w:hAnsi="Calibri"/>
                <w:sz w:val="18"/>
                <w:szCs w:val="18"/>
              </w:rPr>
            </w:pPr>
            <w:r w:rsidRPr="00B8717B">
              <w:rPr>
                <w:rFonts w:ascii="Calibri" w:hAnsi="Calibri"/>
                <w:sz w:val="18"/>
                <w:szCs w:val="18"/>
              </w:rPr>
              <w:t>30</w:t>
            </w:r>
          </w:p>
        </w:tc>
        <w:tc>
          <w:tcPr>
            <w:tcW w:w="720" w:type="dxa"/>
          </w:tcPr>
          <w:p w:rsidR="000C27BF" w:rsidRPr="00B8717B" w:rsidRDefault="000C27BF" w:rsidP="00556540">
            <w:pPr>
              <w:jc w:val="center"/>
              <w:rPr>
                <w:rFonts w:ascii="Calibri" w:hAnsi="Calibri"/>
                <w:sz w:val="18"/>
                <w:szCs w:val="18"/>
              </w:rPr>
            </w:pPr>
            <w:r w:rsidRPr="00B8717B">
              <w:rPr>
                <w:rFonts w:ascii="Calibri" w:hAnsi="Calibri"/>
                <w:sz w:val="18"/>
                <w:szCs w:val="18"/>
              </w:rPr>
              <w:t>55</w:t>
            </w:r>
          </w:p>
        </w:tc>
        <w:tc>
          <w:tcPr>
            <w:tcW w:w="720" w:type="dxa"/>
          </w:tcPr>
          <w:p w:rsidR="000C27BF" w:rsidRPr="00B8717B" w:rsidRDefault="000C27BF" w:rsidP="00556540">
            <w:pPr>
              <w:jc w:val="center"/>
              <w:rPr>
                <w:rFonts w:ascii="Calibri" w:hAnsi="Calibri"/>
                <w:sz w:val="18"/>
                <w:szCs w:val="18"/>
              </w:rPr>
            </w:pPr>
            <w:r w:rsidRPr="00B8717B">
              <w:rPr>
                <w:rFonts w:ascii="Calibri" w:hAnsi="Calibri"/>
                <w:sz w:val="18"/>
                <w:szCs w:val="18"/>
              </w:rPr>
              <w:t>25</w:t>
            </w:r>
          </w:p>
        </w:tc>
        <w:tc>
          <w:tcPr>
            <w:tcW w:w="720" w:type="dxa"/>
          </w:tcPr>
          <w:p w:rsidR="000C27BF" w:rsidRPr="00B8717B" w:rsidRDefault="000C27BF" w:rsidP="00556540">
            <w:pPr>
              <w:jc w:val="center"/>
              <w:rPr>
                <w:rFonts w:ascii="Calibri" w:hAnsi="Calibri"/>
                <w:sz w:val="18"/>
                <w:szCs w:val="18"/>
              </w:rPr>
            </w:pPr>
            <w:r w:rsidRPr="00B8717B">
              <w:rPr>
                <w:rFonts w:ascii="Calibri" w:hAnsi="Calibri"/>
                <w:sz w:val="18"/>
                <w:szCs w:val="18"/>
              </w:rPr>
              <w:t>55</w:t>
            </w:r>
          </w:p>
        </w:tc>
        <w:tc>
          <w:tcPr>
            <w:tcW w:w="720" w:type="dxa"/>
          </w:tcPr>
          <w:p w:rsidR="000C27BF" w:rsidRPr="00B8717B" w:rsidRDefault="000C27BF" w:rsidP="00556540">
            <w:pPr>
              <w:jc w:val="center"/>
              <w:rPr>
                <w:rFonts w:ascii="Calibri" w:hAnsi="Calibri"/>
                <w:sz w:val="18"/>
                <w:szCs w:val="18"/>
              </w:rPr>
            </w:pPr>
            <w:r w:rsidRPr="00B8717B">
              <w:rPr>
                <w:rFonts w:ascii="Calibri" w:hAnsi="Calibri"/>
                <w:sz w:val="18"/>
                <w:szCs w:val="18"/>
              </w:rPr>
              <w:t>25</w:t>
            </w:r>
          </w:p>
        </w:tc>
        <w:tc>
          <w:tcPr>
            <w:tcW w:w="720" w:type="dxa"/>
          </w:tcPr>
          <w:p w:rsidR="000C27BF" w:rsidRPr="00B8717B" w:rsidRDefault="000C27BF" w:rsidP="00556540">
            <w:pPr>
              <w:jc w:val="center"/>
              <w:rPr>
                <w:rFonts w:ascii="Calibri" w:hAnsi="Calibri"/>
                <w:sz w:val="18"/>
                <w:szCs w:val="18"/>
              </w:rPr>
            </w:pPr>
            <w:r w:rsidRPr="00B8717B">
              <w:rPr>
                <w:rFonts w:ascii="Calibri" w:hAnsi="Calibri"/>
                <w:sz w:val="18"/>
                <w:szCs w:val="18"/>
              </w:rPr>
              <w:t>50</w:t>
            </w:r>
          </w:p>
        </w:tc>
        <w:tc>
          <w:tcPr>
            <w:tcW w:w="720" w:type="dxa"/>
          </w:tcPr>
          <w:p w:rsidR="000C27BF" w:rsidRPr="00B8717B" w:rsidRDefault="000C27BF" w:rsidP="00556540">
            <w:pPr>
              <w:jc w:val="center"/>
              <w:rPr>
                <w:rFonts w:ascii="Calibri" w:hAnsi="Calibri"/>
                <w:sz w:val="18"/>
                <w:szCs w:val="18"/>
              </w:rPr>
            </w:pPr>
            <w:r w:rsidRPr="00B8717B">
              <w:rPr>
                <w:rFonts w:ascii="Calibri" w:hAnsi="Calibri"/>
                <w:sz w:val="18"/>
                <w:szCs w:val="18"/>
              </w:rPr>
              <w:t>20</w:t>
            </w:r>
          </w:p>
        </w:tc>
        <w:tc>
          <w:tcPr>
            <w:tcW w:w="720" w:type="dxa"/>
          </w:tcPr>
          <w:p w:rsidR="000C27BF" w:rsidRPr="00B8717B" w:rsidRDefault="000C27BF" w:rsidP="00556540">
            <w:pPr>
              <w:jc w:val="center"/>
              <w:rPr>
                <w:rFonts w:ascii="Calibri" w:hAnsi="Calibri"/>
                <w:sz w:val="18"/>
                <w:szCs w:val="18"/>
              </w:rPr>
            </w:pPr>
            <w:r w:rsidRPr="00B8717B">
              <w:rPr>
                <w:rFonts w:ascii="Calibri" w:hAnsi="Calibri"/>
                <w:sz w:val="18"/>
                <w:szCs w:val="18"/>
              </w:rPr>
              <w:t>45</w:t>
            </w:r>
          </w:p>
        </w:tc>
      </w:tr>
      <w:tr w:rsidR="000C27BF" w:rsidRPr="00B8717B" w:rsidTr="00556540">
        <w:tc>
          <w:tcPr>
            <w:tcW w:w="1908" w:type="dxa"/>
          </w:tcPr>
          <w:p w:rsidR="000C27BF" w:rsidRPr="00B8717B" w:rsidRDefault="000C27BF" w:rsidP="00556540">
            <w:pPr>
              <w:jc w:val="center"/>
              <w:rPr>
                <w:rFonts w:ascii="Calibri" w:hAnsi="Calibri"/>
                <w:sz w:val="18"/>
                <w:szCs w:val="18"/>
              </w:rPr>
            </w:pPr>
            <w:r w:rsidRPr="00B8717B">
              <w:rPr>
                <w:rFonts w:ascii="Calibri" w:hAnsi="Calibri"/>
                <w:sz w:val="18"/>
                <w:szCs w:val="18"/>
              </w:rPr>
              <w:t>0,125</w:t>
            </w:r>
          </w:p>
        </w:tc>
        <w:tc>
          <w:tcPr>
            <w:tcW w:w="540" w:type="dxa"/>
          </w:tcPr>
          <w:p w:rsidR="000C27BF" w:rsidRPr="00B8717B" w:rsidRDefault="000C27BF" w:rsidP="00556540">
            <w:pPr>
              <w:jc w:val="center"/>
              <w:rPr>
                <w:rFonts w:ascii="Calibri" w:hAnsi="Calibri"/>
                <w:sz w:val="18"/>
                <w:szCs w:val="18"/>
              </w:rPr>
            </w:pPr>
            <w:r w:rsidRPr="00B8717B">
              <w:rPr>
                <w:rFonts w:ascii="Calibri" w:hAnsi="Calibri"/>
                <w:sz w:val="18"/>
                <w:szCs w:val="18"/>
              </w:rPr>
              <w:t>6</w:t>
            </w:r>
          </w:p>
        </w:tc>
        <w:tc>
          <w:tcPr>
            <w:tcW w:w="720" w:type="dxa"/>
          </w:tcPr>
          <w:p w:rsidR="000C27BF" w:rsidRPr="00B8717B" w:rsidRDefault="000C27BF" w:rsidP="00556540">
            <w:pPr>
              <w:jc w:val="center"/>
              <w:rPr>
                <w:rFonts w:ascii="Calibri" w:hAnsi="Calibri"/>
                <w:sz w:val="18"/>
                <w:szCs w:val="18"/>
              </w:rPr>
            </w:pPr>
            <w:r w:rsidRPr="00B8717B">
              <w:rPr>
                <w:rFonts w:ascii="Calibri" w:hAnsi="Calibri"/>
                <w:sz w:val="18"/>
                <w:szCs w:val="18"/>
              </w:rPr>
              <w:t>24</w:t>
            </w:r>
          </w:p>
        </w:tc>
        <w:tc>
          <w:tcPr>
            <w:tcW w:w="720" w:type="dxa"/>
          </w:tcPr>
          <w:p w:rsidR="000C27BF" w:rsidRPr="00B8717B" w:rsidRDefault="000C27BF" w:rsidP="00556540">
            <w:pPr>
              <w:jc w:val="center"/>
              <w:rPr>
                <w:rFonts w:ascii="Calibri" w:hAnsi="Calibri"/>
                <w:sz w:val="18"/>
                <w:szCs w:val="18"/>
              </w:rPr>
            </w:pPr>
            <w:r w:rsidRPr="00B8717B">
              <w:rPr>
                <w:rFonts w:ascii="Calibri" w:hAnsi="Calibri"/>
                <w:sz w:val="18"/>
                <w:szCs w:val="18"/>
              </w:rPr>
              <w:t>5</w:t>
            </w:r>
          </w:p>
        </w:tc>
        <w:tc>
          <w:tcPr>
            <w:tcW w:w="720" w:type="dxa"/>
          </w:tcPr>
          <w:p w:rsidR="000C27BF" w:rsidRPr="00B8717B" w:rsidRDefault="000C27BF" w:rsidP="00556540">
            <w:pPr>
              <w:jc w:val="center"/>
              <w:rPr>
                <w:rFonts w:ascii="Calibri" w:hAnsi="Calibri"/>
                <w:sz w:val="18"/>
                <w:szCs w:val="18"/>
              </w:rPr>
            </w:pPr>
            <w:r w:rsidRPr="00B8717B">
              <w:rPr>
                <w:rFonts w:ascii="Calibri" w:hAnsi="Calibri"/>
                <w:sz w:val="18"/>
                <w:szCs w:val="18"/>
              </w:rPr>
              <w:t>15</w:t>
            </w:r>
          </w:p>
        </w:tc>
        <w:tc>
          <w:tcPr>
            <w:tcW w:w="720" w:type="dxa"/>
          </w:tcPr>
          <w:p w:rsidR="000C27BF" w:rsidRPr="00B8717B" w:rsidRDefault="000C27BF" w:rsidP="00556540">
            <w:pPr>
              <w:jc w:val="center"/>
              <w:rPr>
                <w:rFonts w:ascii="Calibri" w:hAnsi="Calibri"/>
                <w:sz w:val="18"/>
                <w:szCs w:val="18"/>
              </w:rPr>
            </w:pPr>
            <w:r w:rsidRPr="00B8717B">
              <w:rPr>
                <w:rFonts w:ascii="Calibri" w:hAnsi="Calibri"/>
                <w:sz w:val="18"/>
                <w:szCs w:val="18"/>
              </w:rPr>
              <w:t>4</w:t>
            </w:r>
          </w:p>
        </w:tc>
        <w:tc>
          <w:tcPr>
            <w:tcW w:w="720" w:type="dxa"/>
          </w:tcPr>
          <w:p w:rsidR="000C27BF" w:rsidRPr="00B8717B" w:rsidRDefault="000C27BF" w:rsidP="00556540">
            <w:pPr>
              <w:jc w:val="center"/>
              <w:rPr>
                <w:rFonts w:ascii="Calibri" w:hAnsi="Calibri"/>
                <w:sz w:val="18"/>
                <w:szCs w:val="18"/>
              </w:rPr>
            </w:pPr>
            <w:r w:rsidRPr="00B8717B">
              <w:rPr>
                <w:rFonts w:ascii="Calibri" w:hAnsi="Calibri"/>
                <w:sz w:val="18"/>
                <w:szCs w:val="18"/>
              </w:rPr>
              <w:t>12</w:t>
            </w:r>
          </w:p>
        </w:tc>
        <w:tc>
          <w:tcPr>
            <w:tcW w:w="720" w:type="dxa"/>
          </w:tcPr>
          <w:p w:rsidR="000C27BF" w:rsidRPr="00B8717B" w:rsidRDefault="000C27BF" w:rsidP="00556540">
            <w:pPr>
              <w:jc w:val="center"/>
              <w:rPr>
                <w:rFonts w:ascii="Calibri" w:hAnsi="Calibri"/>
                <w:sz w:val="18"/>
                <w:szCs w:val="18"/>
              </w:rPr>
            </w:pPr>
            <w:r w:rsidRPr="00B8717B">
              <w:rPr>
                <w:rFonts w:ascii="Calibri" w:hAnsi="Calibri"/>
                <w:sz w:val="18"/>
                <w:szCs w:val="18"/>
              </w:rPr>
              <w:t>4</w:t>
            </w:r>
          </w:p>
        </w:tc>
        <w:tc>
          <w:tcPr>
            <w:tcW w:w="720" w:type="dxa"/>
          </w:tcPr>
          <w:p w:rsidR="000C27BF" w:rsidRPr="00B8717B" w:rsidRDefault="000C27BF" w:rsidP="00556540">
            <w:pPr>
              <w:jc w:val="center"/>
              <w:rPr>
                <w:rFonts w:ascii="Calibri" w:hAnsi="Calibri"/>
                <w:sz w:val="18"/>
                <w:szCs w:val="18"/>
              </w:rPr>
            </w:pPr>
            <w:r w:rsidRPr="00B8717B">
              <w:rPr>
                <w:rFonts w:ascii="Calibri" w:hAnsi="Calibri"/>
                <w:sz w:val="18"/>
                <w:szCs w:val="18"/>
              </w:rPr>
              <w:t>12</w:t>
            </w:r>
          </w:p>
        </w:tc>
      </w:tr>
      <w:tr w:rsidR="000C27BF" w:rsidRPr="00B8717B" w:rsidTr="00556540">
        <w:tc>
          <w:tcPr>
            <w:tcW w:w="1908" w:type="dxa"/>
          </w:tcPr>
          <w:p w:rsidR="000C27BF" w:rsidRPr="00B8717B" w:rsidRDefault="000C27BF" w:rsidP="00556540">
            <w:pPr>
              <w:jc w:val="center"/>
              <w:rPr>
                <w:rFonts w:ascii="Calibri" w:hAnsi="Calibri"/>
                <w:sz w:val="18"/>
                <w:szCs w:val="18"/>
              </w:rPr>
            </w:pPr>
            <w:r w:rsidRPr="00B8717B">
              <w:rPr>
                <w:rFonts w:ascii="Calibri" w:hAnsi="Calibri"/>
                <w:sz w:val="18"/>
                <w:szCs w:val="18"/>
              </w:rPr>
              <w:t>0,063</w:t>
            </w:r>
          </w:p>
        </w:tc>
        <w:tc>
          <w:tcPr>
            <w:tcW w:w="540" w:type="dxa"/>
          </w:tcPr>
          <w:p w:rsidR="000C27BF" w:rsidRPr="00B8717B" w:rsidRDefault="000C27BF" w:rsidP="00556540">
            <w:pPr>
              <w:jc w:val="center"/>
              <w:rPr>
                <w:rFonts w:ascii="Calibri" w:hAnsi="Calibri"/>
                <w:sz w:val="18"/>
                <w:szCs w:val="18"/>
              </w:rPr>
            </w:pPr>
            <w:r w:rsidRPr="00B8717B">
              <w:rPr>
                <w:rFonts w:ascii="Calibri" w:hAnsi="Calibri"/>
                <w:sz w:val="18"/>
                <w:szCs w:val="18"/>
              </w:rPr>
              <w:t>3,0</w:t>
            </w:r>
          </w:p>
        </w:tc>
        <w:tc>
          <w:tcPr>
            <w:tcW w:w="720" w:type="dxa"/>
          </w:tcPr>
          <w:p w:rsidR="000C27BF" w:rsidRPr="00B8717B" w:rsidRDefault="000C27BF" w:rsidP="00556540">
            <w:pPr>
              <w:jc w:val="center"/>
              <w:rPr>
                <w:rFonts w:ascii="Calibri" w:hAnsi="Calibri"/>
                <w:sz w:val="18"/>
                <w:szCs w:val="18"/>
              </w:rPr>
            </w:pPr>
            <w:r w:rsidRPr="00B8717B">
              <w:rPr>
                <w:rFonts w:ascii="Calibri" w:hAnsi="Calibri"/>
                <w:sz w:val="18"/>
                <w:szCs w:val="18"/>
              </w:rPr>
              <w:t>8,0</w:t>
            </w:r>
          </w:p>
        </w:tc>
        <w:tc>
          <w:tcPr>
            <w:tcW w:w="720" w:type="dxa"/>
          </w:tcPr>
          <w:p w:rsidR="000C27BF" w:rsidRPr="00B8717B" w:rsidRDefault="000C27BF" w:rsidP="00556540">
            <w:pPr>
              <w:jc w:val="center"/>
              <w:rPr>
                <w:rFonts w:ascii="Calibri" w:hAnsi="Calibri"/>
                <w:sz w:val="18"/>
                <w:szCs w:val="18"/>
              </w:rPr>
            </w:pPr>
            <w:r w:rsidRPr="00B8717B">
              <w:rPr>
                <w:rFonts w:ascii="Calibri" w:hAnsi="Calibri"/>
                <w:sz w:val="18"/>
                <w:szCs w:val="18"/>
              </w:rPr>
              <w:t>3,0</w:t>
            </w:r>
          </w:p>
        </w:tc>
        <w:tc>
          <w:tcPr>
            <w:tcW w:w="720" w:type="dxa"/>
          </w:tcPr>
          <w:p w:rsidR="000C27BF" w:rsidRPr="00B8717B" w:rsidRDefault="000C27BF" w:rsidP="00556540">
            <w:pPr>
              <w:jc w:val="center"/>
              <w:rPr>
                <w:rFonts w:ascii="Calibri" w:hAnsi="Calibri"/>
                <w:sz w:val="18"/>
                <w:szCs w:val="18"/>
              </w:rPr>
            </w:pPr>
            <w:r w:rsidRPr="00B8717B">
              <w:rPr>
                <w:rFonts w:ascii="Calibri" w:hAnsi="Calibri"/>
                <w:sz w:val="18"/>
                <w:szCs w:val="18"/>
              </w:rPr>
              <w:t>8,0</w:t>
            </w:r>
          </w:p>
        </w:tc>
        <w:tc>
          <w:tcPr>
            <w:tcW w:w="720" w:type="dxa"/>
          </w:tcPr>
          <w:p w:rsidR="000C27BF" w:rsidRPr="00B8717B" w:rsidRDefault="000C27BF" w:rsidP="00556540">
            <w:pPr>
              <w:jc w:val="center"/>
              <w:rPr>
                <w:rFonts w:ascii="Calibri" w:hAnsi="Calibri"/>
                <w:sz w:val="18"/>
                <w:szCs w:val="18"/>
              </w:rPr>
            </w:pPr>
            <w:r w:rsidRPr="00B8717B">
              <w:rPr>
                <w:rFonts w:ascii="Calibri" w:hAnsi="Calibri"/>
                <w:sz w:val="18"/>
                <w:szCs w:val="18"/>
              </w:rPr>
              <w:t>4,0</w:t>
            </w:r>
          </w:p>
        </w:tc>
        <w:tc>
          <w:tcPr>
            <w:tcW w:w="720" w:type="dxa"/>
          </w:tcPr>
          <w:p w:rsidR="000C27BF" w:rsidRPr="00B8717B" w:rsidRDefault="000C27BF" w:rsidP="00556540">
            <w:pPr>
              <w:jc w:val="center"/>
              <w:rPr>
                <w:rFonts w:ascii="Calibri" w:hAnsi="Calibri"/>
                <w:sz w:val="18"/>
                <w:szCs w:val="18"/>
              </w:rPr>
            </w:pPr>
            <w:r w:rsidRPr="00B8717B">
              <w:rPr>
                <w:rFonts w:ascii="Calibri" w:hAnsi="Calibri"/>
                <w:sz w:val="18"/>
                <w:szCs w:val="18"/>
              </w:rPr>
              <w:t>10,0</w:t>
            </w:r>
          </w:p>
        </w:tc>
        <w:tc>
          <w:tcPr>
            <w:tcW w:w="720" w:type="dxa"/>
          </w:tcPr>
          <w:p w:rsidR="000C27BF" w:rsidRPr="00B8717B" w:rsidRDefault="000C27BF" w:rsidP="00556540">
            <w:pPr>
              <w:jc w:val="center"/>
              <w:rPr>
                <w:rFonts w:ascii="Calibri" w:hAnsi="Calibri"/>
                <w:sz w:val="18"/>
                <w:szCs w:val="18"/>
              </w:rPr>
            </w:pPr>
            <w:r w:rsidRPr="00B8717B">
              <w:rPr>
                <w:rFonts w:ascii="Calibri" w:hAnsi="Calibri"/>
                <w:sz w:val="18"/>
                <w:szCs w:val="18"/>
              </w:rPr>
              <w:t>4,0</w:t>
            </w:r>
          </w:p>
        </w:tc>
        <w:tc>
          <w:tcPr>
            <w:tcW w:w="720" w:type="dxa"/>
          </w:tcPr>
          <w:p w:rsidR="000C27BF" w:rsidRPr="00B8717B" w:rsidRDefault="000C27BF" w:rsidP="00556540">
            <w:pPr>
              <w:jc w:val="center"/>
              <w:rPr>
                <w:rFonts w:ascii="Calibri" w:hAnsi="Calibri"/>
                <w:sz w:val="18"/>
                <w:szCs w:val="18"/>
              </w:rPr>
            </w:pPr>
            <w:r w:rsidRPr="00B8717B">
              <w:rPr>
                <w:rFonts w:ascii="Calibri" w:hAnsi="Calibri"/>
                <w:sz w:val="18"/>
                <w:szCs w:val="18"/>
              </w:rPr>
              <w:t>10,0</w:t>
            </w:r>
          </w:p>
        </w:tc>
      </w:tr>
      <w:tr w:rsidR="000C27BF" w:rsidRPr="00B8717B" w:rsidTr="00556540">
        <w:tc>
          <w:tcPr>
            <w:tcW w:w="1908" w:type="dxa"/>
          </w:tcPr>
          <w:p w:rsidR="000C27BF" w:rsidRPr="00B8717B" w:rsidRDefault="000C27BF" w:rsidP="00556540">
            <w:pPr>
              <w:rPr>
                <w:rFonts w:ascii="Calibri" w:hAnsi="Calibri"/>
                <w:sz w:val="18"/>
                <w:szCs w:val="18"/>
                <w:vertAlign w:val="superscript"/>
              </w:rPr>
            </w:pPr>
            <w:r w:rsidRPr="00B8717B">
              <w:rPr>
                <w:rFonts w:ascii="Calibri" w:hAnsi="Calibri"/>
                <w:sz w:val="18"/>
                <w:szCs w:val="18"/>
              </w:rPr>
              <w:t>Zawartość lepiszcza, minimum</w:t>
            </w:r>
            <w:r w:rsidRPr="00B8717B">
              <w:rPr>
                <w:rFonts w:ascii="Calibri" w:hAnsi="Calibri"/>
                <w:sz w:val="18"/>
                <w:szCs w:val="18"/>
                <w:vertAlign w:val="superscript"/>
              </w:rPr>
              <w:t>*)</w:t>
            </w:r>
          </w:p>
        </w:tc>
        <w:tc>
          <w:tcPr>
            <w:tcW w:w="1260" w:type="dxa"/>
            <w:gridSpan w:val="2"/>
            <w:vAlign w:val="center"/>
          </w:tcPr>
          <w:p w:rsidR="000C27BF" w:rsidRPr="00B8717B" w:rsidRDefault="000C27BF" w:rsidP="00556540">
            <w:pPr>
              <w:jc w:val="center"/>
              <w:rPr>
                <w:rFonts w:ascii="Calibri" w:hAnsi="Calibri"/>
                <w:sz w:val="18"/>
                <w:szCs w:val="18"/>
              </w:rPr>
            </w:pPr>
            <w:r w:rsidRPr="00B8717B">
              <w:rPr>
                <w:rFonts w:ascii="Calibri" w:hAnsi="Calibri"/>
                <w:sz w:val="18"/>
                <w:szCs w:val="18"/>
              </w:rPr>
              <w:t>B</w:t>
            </w:r>
            <w:r w:rsidRPr="00B8717B">
              <w:rPr>
                <w:rFonts w:ascii="Calibri" w:hAnsi="Calibri"/>
                <w:sz w:val="18"/>
                <w:szCs w:val="18"/>
                <w:vertAlign w:val="subscript"/>
              </w:rPr>
              <w:t>min4,6</w:t>
            </w:r>
          </w:p>
        </w:tc>
        <w:tc>
          <w:tcPr>
            <w:tcW w:w="1440" w:type="dxa"/>
            <w:gridSpan w:val="2"/>
            <w:vAlign w:val="center"/>
          </w:tcPr>
          <w:p w:rsidR="000C27BF" w:rsidRPr="00B8717B" w:rsidRDefault="000C27BF" w:rsidP="00556540">
            <w:pPr>
              <w:jc w:val="center"/>
              <w:rPr>
                <w:rFonts w:ascii="Calibri" w:hAnsi="Calibri"/>
                <w:sz w:val="18"/>
                <w:szCs w:val="18"/>
              </w:rPr>
            </w:pPr>
            <w:r w:rsidRPr="00B8717B">
              <w:rPr>
                <w:rFonts w:ascii="Calibri" w:hAnsi="Calibri"/>
                <w:sz w:val="18"/>
                <w:szCs w:val="18"/>
              </w:rPr>
              <w:t>B</w:t>
            </w:r>
            <w:r w:rsidRPr="00B8717B">
              <w:rPr>
                <w:rFonts w:ascii="Calibri" w:hAnsi="Calibri"/>
                <w:sz w:val="18"/>
                <w:szCs w:val="18"/>
                <w:vertAlign w:val="subscript"/>
              </w:rPr>
              <w:t>min4,4</w:t>
            </w:r>
          </w:p>
        </w:tc>
        <w:tc>
          <w:tcPr>
            <w:tcW w:w="1440" w:type="dxa"/>
            <w:gridSpan w:val="2"/>
            <w:vAlign w:val="center"/>
          </w:tcPr>
          <w:p w:rsidR="000C27BF" w:rsidRPr="00B8717B" w:rsidRDefault="000C27BF" w:rsidP="00556540">
            <w:pPr>
              <w:jc w:val="center"/>
              <w:rPr>
                <w:rFonts w:ascii="Calibri" w:hAnsi="Calibri"/>
                <w:sz w:val="18"/>
                <w:szCs w:val="18"/>
              </w:rPr>
            </w:pPr>
            <w:r w:rsidRPr="00B8717B">
              <w:rPr>
                <w:rFonts w:ascii="Calibri" w:hAnsi="Calibri"/>
                <w:sz w:val="18"/>
                <w:szCs w:val="18"/>
              </w:rPr>
              <w:t>B</w:t>
            </w:r>
            <w:r w:rsidRPr="00B8717B">
              <w:rPr>
                <w:rFonts w:ascii="Calibri" w:hAnsi="Calibri"/>
                <w:sz w:val="18"/>
                <w:szCs w:val="18"/>
                <w:vertAlign w:val="subscript"/>
              </w:rPr>
              <w:t>min4,4</w:t>
            </w:r>
          </w:p>
        </w:tc>
        <w:tc>
          <w:tcPr>
            <w:tcW w:w="1440" w:type="dxa"/>
            <w:gridSpan w:val="2"/>
            <w:vAlign w:val="center"/>
          </w:tcPr>
          <w:p w:rsidR="000C27BF" w:rsidRPr="00B8717B" w:rsidRDefault="000C27BF" w:rsidP="00556540">
            <w:pPr>
              <w:jc w:val="center"/>
              <w:rPr>
                <w:rFonts w:ascii="Calibri" w:hAnsi="Calibri"/>
                <w:sz w:val="18"/>
                <w:szCs w:val="18"/>
              </w:rPr>
            </w:pPr>
            <w:r w:rsidRPr="00B8717B">
              <w:rPr>
                <w:rFonts w:ascii="Calibri" w:hAnsi="Calibri"/>
                <w:sz w:val="18"/>
                <w:szCs w:val="18"/>
              </w:rPr>
              <w:t>B</w:t>
            </w:r>
            <w:r w:rsidRPr="00B8717B">
              <w:rPr>
                <w:rFonts w:ascii="Calibri" w:hAnsi="Calibri"/>
                <w:sz w:val="18"/>
                <w:szCs w:val="18"/>
                <w:vertAlign w:val="subscript"/>
              </w:rPr>
              <w:t>min4,2</w:t>
            </w:r>
          </w:p>
        </w:tc>
      </w:tr>
      <w:tr w:rsidR="000C27BF" w:rsidRPr="00B8717B" w:rsidTr="00556540">
        <w:tc>
          <w:tcPr>
            <w:tcW w:w="7488" w:type="dxa"/>
            <w:gridSpan w:val="9"/>
          </w:tcPr>
          <w:p w:rsidR="000C27BF" w:rsidRPr="0066462B" w:rsidRDefault="000C27BF" w:rsidP="00556540">
            <w:pPr>
              <w:jc w:val="center"/>
              <w:rPr>
                <w:rFonts w:ascii="Calibri" w:hAnsi="Calibri"/>
                <w:i/>
                <w:sz w:val="18"/>
                <w:szCs w:val="18"/>
              </w:rPr>
            </w:pPr>
            <w:r w:rsidRPr="0066462B">
              <w:rPr>
                <w:rFonts w:ascii="Calibri" w:hAnsi="Calibri"/>
                <w:i/>
                <w:sz w:val="18"/>
                <w:szCs w:val="18"/>
                <w:vertAlign w:val="superscript"/>
              </w:rPr>
              <w:t>*)</w:t>
            </w:r>
            <w:r w:rsidRPr="0066462B">
              <w:rPr>
                <w:rFonts w:ascii="Calibri" w:hAnsi="Calibri"/>
                <w:i/>
                <w:sz w:val="18"/>
                <w:szCs w:val="18"/>
              </w:rPr>
              <w:t xml:space="preserve"> Minimalna zawartość lepiszcza jest określona przy założonej gęstości mieszanki mineralnej 2,650 Mg/m</w:t>
            </w:r>
            <w:r w:rsidRPr="0066462B">
              <w:rPr>
                <w:rFonts w:ascii="Calibri" w:hAnsi="Calibri"/>
                <w:i/>
                <w:sz w:val="18"/>
                <w:szCs w:val="18"/>
                <w:vertAlign w:val="superscript"/>
              </w:rPr>
              <w:t>3</w:t>
            </w:r>
            <w:r w:rsidRPr="0066462B">
              <w:rPr>
                <w:rFonts w:ascii="Calibri" w:hAnsi="Calibri"/>
                <w:i/>
                <w:sz w:val="18"/>
                <w:szCs w:val="18"/>
              </w:rPr>
              <w:t>. Jeżeli stosowana mieszanka mineralna ma inną gęstość (ρ</w:t>
            </w:r>
            <w:r w:rsidRPr="0066462B">
              <w:rPr>
                <w:rFonts w:ascii="Calibri" w:hAnsi="Calibri"/>
                <w:i/>
                <w:sz w:val="18"/>
                <w:szCs w:val="18"/>
                <w:vertAlign w:val="subscript"/>
              </w:rPr>
              <w:t>d</w:t>
            </w:r>
            <w:r w:rsidRPr="0066462B">
              <w:rPr>
                <w:rFonts w:ascii="Calibri" w:hAnsi="Calibri"/>
                <w:i/>
                <w:sz w:val="18"/>
                <w:szCs w:val="18"/>
              </w:rPr>
              <w:t xml:space="preserve">), to do wyznaczenia minimalnej zawartości lepiszcza podaną wartość należy pomnożyć przez współczynnik </w:t>
            </w:r>
            <w:r w:rsidRPr="0066462B">
              <w:rPr>
                <w:rFonts w:ascii="Calibri" w:hAnsi="Calibri"/>
                <w:i/>
                <w:position w:val="-6"/>
                <w:sz w:val="18"/>
                <w:szCs w:val="18"/>
              </w:rPr>
              <w:object w:dxaOrig="240" w:dyaOrig="220">
                <v:shape id="_x0000_i1034" type="#_x0000_t75" style="width:12.25pt;height:10.2pt" o:ole="">
                  <v:imagedata r:id="rId42" o:title=""/>
                </v:shape>
                <o:OLEObject Type="Embed" ProgID="Equation.3" ShapeID="_x0000_i1034" DrawAspect="Content" ObjectID="_1511981125" r:id="rId52"/>
              </w:object>
            </w:r>
            <w:r w:rsidRPr="0066462B">
              <w:rPr>
                <w:rFonts w:ascii="Calibri" w:hAnsi="Calibri"/>
                <w:i/>
                <w:sz w:val="18"/>
                <w:szCs w:val="18"/>
              </w:rPr>
              <w:t xml:space="preserve"> według równania: </w:t>
            </w:r>
            <w:r w:rsidRPr="0066462B">
              <w:rPr>
                <w:rFonts w:ascii="Calibri" w:hAnsi="Calibri"/>
                <w:i/>
                <w:position w:val="-30"/>
                <w:sz w:val="18"/>
                <w:szCs w:val="18"/>
              </w:rPr>
              <w:object w:dxaOrig="880" w:dyaOrig="680">
                <v:shape id="_x0000_i1035" type="#_x0000_t75" style="width:44.15pt;height:34.65pt" o:ole="">
                  <v:imagedata r:id="rId44" o:title=""/>
                </v:shape>
                <o:OLEObject Type="Embed" ProgID="Equation.3" ShapeID="_x0000_i1035" DrawAspect="Content" ObjectID="_1511981126" r:id="rId53"/>
              </w:object>
            </w:r>
          </w:p>
        </w:tc>
      </w:tr>
    </w:tbl>
    <w:p w:rsidR="000C27BF" w:rsidRDefault="000C27BF" w:rsidP="000C27BF"/>
    <w:p w:rsidR="000C27BF" w:rsidRPr="00B8717B" w:rsidRDefault="000C27BF" w:rsidP="000C27BF">
      <w:pPr>
        <w:ind w:left="709"/>
        <w:rPr>
          <w:rFonts w:ascii="Calibri" w:hAnsi="Calibri"/>
        </w:rPr>
      </w:pPr>
      <w:r w:rsidRPr="00B8717B">
        <w:rPr>
          <w:rFonts w:ascii="Calibri" w:hAnsi="Calibri"/>
        </w:rPr>
        <w:t>Tablica 6. Wymagane właściwości mieszanki mineralno-asfaltowej do warstwy wiążącej i wyrównawczej, dla ruchu KR1 ÷ KR2  [65]</w:t>
      </w:r>
    </w:p>
    <w:tbl>
      <w:tblPr>
        <w:tblW w:w="7308" w:type="dxa"/>
        <w:tblInd w:w="81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tblPr>
      <w:tblGrid>
        <w:gridCol w:w="1384"/>
        <w:gridCol w:w="1276"/>
        <w:gridCol w:w="2128"/>
        <w:gridCol w:w="1260"/>
        <w:gridCol w:w="1260"/>
      </w:tblGrid>
      <w:tr w:rsidR="000C27BF" w:rsidRPr="00B8717B" w:rsidTr="00556540">
        <w:tc>
          <w:tcPr>
            <w:tcW w:w="1384" w:type="dxa"/>
            <w:vAlign w:val="center"/>
          </w:tcPr>
          <w:p w:rsidR="000C27BF" w:rsidRPr="00B8717B" w:rsidRDefault="000C27BF" w:rsidP="00556540">
            <w:pPr>
              <w:jc w:val="center"/>
              <w:rPr>
                <w:rFonts w:ascii="Calibri" w:hAnsi="Calibri"/>
                <w:sz w:val="18"/>
                <w:szCs w:val="18"/>
              </w:rPr>
            </w:pPr>
            <w:r w:rsidRPr="00B8717B">
              <w:rPr>
                <w:rFonts w:ascii="Calibri" w:hAnsi="Calibri"/>
                <w:sz w:val="18"/>
                <w:szCs w:val="18"/>
              </w:rPr>
              <w:t>Właściwość</w:t>
            </w:r>
          </w:p>
        </w:tc>
        <w:tc>
          <w:tcPr>
            <w:tcW w:w="1276" w:type="dxa"/>
            <w:vAlign w:val="center"/>
          </w:tcPr>
          <w:p w:rsidR="000C27BF" w:rsidRPr="00B8717B" w:rsidRDefault="000C27BF" w:rsidP="00556540">
            <w:pPr>
              <w:jc w:val="center"/>
              <w:rPr>
                <w:rFonts w:ascii="Calibri" w:hAnsi="Calibri"/>
                <w:sz w:val="18"/>
                <w:szCs w:val="18"/>
              </w:rPr>
            </w:pPr>
            <w:r w:rsidRPr="00B8717B">
              <w:rPr>
                <w:rFonts w:ascii="Calibri" w:hAnsi="Calibri"/>
                <w:sz w:val="18"/>
                <w:szCs w:val="18"/>
              </w:rPr>
              <w:t xml:space="preserve">Warunki zagęszczania wg PN-EN </w:t>
            </w:r>
          </w:p>
          <w:p w:rsidR="000C27BF" w:rsidRPr="00B8717B" w:rsidRDefault="000C27BF" w:rsidP="00556540">
            <w:pPr>
              <w:jc w:val="center"/>
              <w:rPr>
                <w:rFonts w:ascii="Calibri" w:hAnsi="Calibri"/>
                <w:sz w:val="18"/>
                <w:szCs w:val="18"/>
              </w:rPr>
            </w:pPr>
            <w:r w:rsidRPr="00B8717B">
              <w:rPr>
                <w:rFonts w:ascii="Calibri" w:hAnsi="Calibri"/>
                <w:sz w:val="18"/>
                <w:szCs w:val="18"/>
              </w:rPr>
              <w:t>13108-20 [48]</w:t>
            </w:r>
          </w:p>
        </w:tc>
        <w:tc>
          <w:tcPr>
            <w:tcW w:w="2128" w:type="dxa"/>
            <w:vAlign w:val="center"/>
          </w:tcPr>
          <w:p w:rsidR="000C27BF" w:rsidRPr="00B8717B" w:rsidRDefault="000C27BF" w:rsidP="00556540">
            <w:pPr>
              <w:jc w:val="center"/>
              <w:rPr>
                <w:rFonts w:ascii="Calibri" w:hAnsi="Calibri"/>
                <w:sz w:val="18"/>
                <w:szCs w:val="18"/>
              </w:rPr>
            </w:pPr>
            <w:r w:rsidRPr="00B8717B">
              <w:rPr>
                <w:rFonts w:ascii="Calibri" w:hAnsi="Calibri"/>
                <w:sz w:val="18"/>
                <w:szCs w:val="18"/>
              </w:rPr>
              <w:t>Metoda i warunki badania</w:t>
            </w:r>
          </w:p>
        </w:tc>
        <w:tc>
          <w:tcPr>
            <w:tcW w:w="1260" w:type="dxa"/>
            <w:shd w:val="clear" w:color="auto" w:fill="auto"/>
            <w:vAlign w:val="center"/>
          </w:tcPr>
          <w:p w:rsidR="000C27BF" w:rsidRPr="00B8717B" w:rsidRDefault="000C27BF" w:rsidP="00556540">
            <w:pPr>
              <w:jc w:val="center"/>
              <w:rPr>
                <w:rFonts w:ascii="Calibri" w:hAnsi="Calibri"/>
                <w:sz w:val="18"/>
                <w:szCs w:val="18"/>
              </w:rPr>
            </w:pPr>
            <w:r w:rsidRPr="00B8717B">
              <w:rPr>
                <w:rFonts w:ascii="Calibri" w:hAnsi="Calibri"/>
                <w:sz w:val="18"/>
                <w:szCs w:val="18"/>
              </w:rPr>
              <w:t>AC11W</w:t>
            </w:r>
          </w:p>
        </w:tc>
        <w:tc>
          <w:tcPr>
            <w:tcW w:w="1260" w:type="dxa"/>
            <w:shd w:val="clear" w:color="auto" w:fill="auto"/>
            <w:vAlign w:val="center"/>
          </w:tcPr>
          <w:p w:rsidR="000C27BF" w:rsidRPr="00B8717B" w:rsidRDefault="000C27BF" w:rsidP="00556540">
            <w:pPr>
              <w:jc w:val="center"/>
              <w:rPr>
                <w:rFonts w:ascii="Calibri" w:hAnsi="Calibri"/>
                <w:sz w:val="18"/>
                <w:szCs w:val="18"/>
              </w:rPr>
            </w:pPr>
            <w:r w:rsidRPr="00B8717B">
              <w:rPr>
                <w:rFonts w:ascii="Calibri" w:hAnsi="Calibri"/>
                <w:sz w:val="18"/>
                <w:szCs w:val="18"/>
              </w:rPr>
              <w:t>AC16W</w:t>
            </w:r>
          </w:p>
        </w:tc>
      </w:tr>
      <w:tr w:rsidR="000C27BF" w:rsidRPr="00B8717B" w:rsidTr="00556540">
        <w:tc>
          <w:tcPr>
            <w:tcW w:w="1384" w:type="dxa"/>
            <w:vAlign w:val="center"/>
          </w:tcPr>
          <w:p w:rsidR="000C27BF" w:rsidRPr="00B8717B" w:rsidRDefault="000C27BF" w:rsidP="00556540">
            <w:pPr>
              <w:rPr>
                <w:rFonts w:ascii="Calibri" w:hAnsi="Calibri"/>
                <w:sz w:val="18"/>
                <w:szCs w:val="18"/>
              </w:rPr>
            </w:pPr>
            <w:r w:rsidRPr="00B8717B">
              <w:rPr>
                <w:rFonts w:ascii="Calibri" w:hAnsi="Calibri"/>
                <w:sz w:val="18"/>
                <w:szCs w:val="18"/>
              </w:rPr>
              <w:t>Zawartość wolnych przestrzeni</w:t>
            </w:r>
          </w:p>
        </w:tc>
        <w:tc>
          <w:tcPr>
            <w:tcW w:w="1276" w:type="dxa"/>
            <w:vAlign w:val="center"/>
          </w:tcPr>
          <w:p w:rsidR="000C27BF" w:rsidRPr="00B8717B" w:rsidRDefault="000C27BF" w:rsidP="00556540">
            <w:pPr>
              <w:rPr>
                <w:rFonts w:ascii="Calibri" w:hAnsi="Calibri"/>
                <w:sz w:val="18"/>
                <w:szCs w:val="18"/>
              </w:rPr>
            </w:pPr>
            <w:r w:rsidRPr="00B8717B">
              <w:rPr>
                <w:rFonts w:ascii="Calibri" w:hAnsi="Calibri"/>
                <w:sz w:val="18"/>
                <w:szCs w:val="18"/>
              </w:rPr>
              <w:t>C.1.2,ubijanie, 2×50 uderzeń</w:t>
            </w:r>
          </w:p>
        </w:tc>
        <w:tc>
          <w:tcPr>
            <w:tcW w:w="2128" w:type="dxa"/>
            <w:vAlign w:val="center"/>
          </w:tcPr>
          <w:p w:rsidR="000C27BF" w:rsidRPr="00B8717B" w:rsidRDefault="000C27BF" w:rsidP="00556540">
            <w:pPr>
              <w:spacing w:before="120"/>
              <w:jc w:val="center"/>
              <w:rPr>
                <w:rFonts w:ascii="Calibri" w:hAnsi="Calibri"/>
                <w:sz w:val="18"/>
                <w:szCs w:val="18"/>
              </w:rPr>
            </w:pPr>
            <w:r w:rsidRPr="00B8717B">
              <w:rPr>
                <w:rFonts w:ascii="Calibri" w:hAnsi="Calibri"/>
                <w:sz w:val="18"/>
                <w:szCs w:val="18"/>
              </w:rPr>
              <w:t xml:space="preserve">PN-EN 12697-8 [33], </w:t>
            </w:r>
          </w:p>
          <w:p w:rsidR="000C27BF" w:rsidRPr="00B8717B" w:rsidRDefault="000C27BF" w:rsidP="00556540">
            <w:pPr>
              <w:jc w:val="center"/>
              <w:rPr>
                <w:rFonts w:ascii="Calibri" w:hAnsi="Calibri"/>
                <w:sz w:val="18"/>
                <w:szCs w:val="18"/>
              </w:rPr>
            </w:pPr>
            <w:r w:rsidRPr="00B8717B">
              <w:rPr>
                <w:rFonts w:ascii="Calibri" w:hAnsi="Calibri"/>
                <w:sz w:val="18"/>
                <w:szCs w:val="18"/>
              </w:rPr>
              <w:t>p. 4</w:t>
            </w:r>
          </w:p>
        </w:tc>
        <w:tc>
          <w:tcPr>
            <w:tcW w:w="1260" w:type="dxa"/>
            <w:shd w:val="clear" w:color="auto" w:fill="auto"/>
            <w:vAlign w:val="center"/>
          </w:tcPr>
          <w:p w:rsidR="000C27BF" w:rsidRPr="00B8717B" w:rsidRDefault="000C27BF" w:rsidP="00556540">
            <w:pPr>
              <w:jc w:val="center"/>
              <w:rPr>
                <w:rFonts w:ascii="Calibri" w:hAnsi="Calibri"/>
                <w:sz w:val="18"/>
                <w:szCs w:val="18"/>
              </w:rPr>
            </w:pPr>
            <w:r w:rsidRPr="00B8717B">
              <w:rPr>
                <w:rFonts w:ascii="Calibri" w:hAnsi="Calibri"/>
                <w:i/>
                <w:sz w:val="18"/>
                <w:szCs w:val="18"/>
              </w:rPr>
              <w:t>V</w:t>
            </w:r>
            <w:r w:rsidRPr="00B8717B">
              <w:rPr>
                <w:rFonts w:ascii="Calibri" w:hAnsi="Calibri"/>
                <w:sz w:val="18"/>
                <w:szCs w:val="18"/>
                <w:vertAlign w:val="subscript"/>
              </w:rPr>
              <w:t>min 3,0</w:t>
            </w:r>
          </w:p>
          <w:p w:rsidR="000C27BF" w:rsidRPr="00B8717B" w:rsidRDefault="000C27BF" w:rsidP="00556540">
            <w:pPr>
              <w:jc w:val="center"/>
              <w:rPr>
                <w:rFonts w:ascii="Calibri" w:hAnsi="Calibri"/>
                <w:sz w:val="18"/>
                <w:szCs w:val="18"/>
              </w:rPr>
            </w:pPr>
            <w:r w:rsidRPr="00B8717B">
              <w:rPr>
                <w:rFonts w:ascii="Calibri" w:hAnsi="Calibri"/>
                <w:i/>
                <w:sz w:val="18"/>
                <w:szCs w:val="18"/>
              </w:rPr>
              <w:t>V</w:t>
            </w:r>
            <w:r w:rsidRPr="00B8717B">
              <w:rPr>
                <w:rFonts w:ascii="Calibri" w:hAnsi="Calibri"/>
                <w:sz w:val="18"/>
                <w:szCs w:val="18"/>
                <w:vertAlign w:val="subscript"/>
              </w:rPr>
              <w:t>max 6,0</w:t>
            </w:r>
          </w:p>
        </w:tc>
        <w:tc>
          <w:tcPr>
            <w:tcW w:w="1260" w:type="dxa"/>
            <w:shd w:val="clear" w:color="auto" w:fill="auto"/>
            <w:vAlign w:val="center"/>
          </w:tcPr>
          <w:p w:rsidR="000C27BF" w:rsidRPr="00B8717B" w:rsidRDefault="000C27BF" w:rsidP="00556540">
            <w:pPr>
              <w:jc w:val="center"/>
              <w:rPr>
                <w:rFonts w:ascii="Calibri" w:hAnsi="Calibri"/>
                <w:sz w:val="18"/>
                <w:szCs w:val="18"/>
              </w:rPr>
            </w:pPr>
            <w:r w:rsidRPr="00B8717B">
              <w:rPr>
                <w:rFonts w:ascii="Calibri" w:hAnsi="Calibri"/>
                <w:i/>
                <w:sz w:val="18"/>
                <w:szCs w:val="18"/>
              </w:rPr>
              <w:t>V</w:t>
            </w:r>
            <w:r w:rsidRPr="00B8717B">
              <w:rPr>
                <w:rFonts w:ascii="Calibri" w:hAnsi="Calibri"/>
                <w:sz w:val="18"/>
                <w:szCs w:val="18"/>
                <w:vertAlign w:val="subscript"/>
              </w:rPr>
              <w:t>min 3,0</w:t>
            </w:r>
          </w:p>
          <w:p w:rsidR="000C27BF" w:rsidRPr="00B8717B" w:rsidRDefault="000C27BF" w:rsidP="00556540">
            <w:pPr>
              <w:jc w:val="center"/>
              <w:rPr>
                <w:rFonts w:ascii="Calibri" w:hAnsi="Calibri"/>
                <w:sz w:val="18"/>
                <w:szCs w:val="18"/>
              </w:rPr>
            </w:pPr>
            <w:r w:rsidRPr="00B8717B">
              <w:rPr>
                <w:rFonts w:ascii="Calibri" w:hAnsi="Calibri"/>
                <w:i/>
                <w:sz w:val="18"/>
                <w:szCs w:val="18"/>
              </w:rPr>
              <w:t>V</w:t>
            </w:r>
            <w:r w:rsidRPr="00B8717B">
              <w:rPr>
                <w:rFonts w:ascii="Calibri" w:hAnsi="Calibri"/>
                <w:sz w:val="18"/>
                <w:szCs w:val="18"/>
                <w:vertAlign w:val="subscript"/>
              </w:rPr>
              <w:t>max 6,0</w:t>
            </w:r>
          </w:p>
        </w:tc>
      </w:tr>
      <w:tr w:rsidR="000C27BF" w:rsidRPr="00B8717B" w:rsidTr="00556540">
        <w:tc>
          <w:tcPr>
            <w:tcW w:w="1384" w:type="dxa"/>
            <w:vAlign w:val="center"/>
          </w:tcPr>
          <w:p w:rsidR="000C27BF" w:rsidRPr="00B8717B" w:rsidRDefault="000C27BF" w:rsidP="00556540">
            <w:pPr>
              <w:jc w:val="left"/>
              <w:rPr>
                <w:rFonts w:ascii="Calibri" w:hAnsi="Calibri"/>
                <w:sz w:val="18"/>
                <w:szCs w:val="18"/>
              </w:rPr>
            </w:pPr>
            <w:r w:rsidRPr="00B8717B">
              <w:rPr>
                <w:rFonts w:ascii="Calibri" w:hAnsi="Calibri"/>
                <w:sz w:val="18"/>
                <w:szCs w:val="18"/>
              </w:rPr>
              <w:t>Wolne przestrzenie wypełnione lepiszczem</w:t>
            </w:r>
          </w:p>
        </w:tc>
        <w:tc>
          <w:tcPr>
            <w:tcW w:w="1276" w:type="dxa"/>
            <w:vAlign w:val="center"/>
          </w:tcPr>
          <w:p w:rsidR="000C27BF" w:rsidRPr="00B8717B" w:rsidRDefault="000C27BF" w:rsidP="00556540">
            <w:pPr>
              <w:rPr>
                <w:rFonts w:ascii="Calibri" w:hAnsi="Calibri"/>
                <w:sz w:val="18"/>
                <w:szCs w:val="18"/>
              </w:rPr>
            </w:pPr>
            <w:r w:rsidRPr="00B8717B">
              <w:rPr>
                <w:rFonts w:ascii="Calibri" w:hAnsi="Calibri"/>
                <w:sz w:val="18"/>
                <w:szCs w:val="18"/>
              </w:rPr>
              <w:t>C.1.2,ubijanie, 2×50 uderzeń</w:t>
            </w:r>
          </w:p>
        </w:tc>
        <w:tc>
          <w:tcPr>
            <w:tcW w:w="2128" w:type="dxa"/>
            <w:vAlign w:val="center"/>
          </w:tcPr>
          <w:p w:rsidR="000C27BF" w:rsidRPr="00B8717B" w:rsidRDefault="000C27BF" w:rsidP="00556540">
            <w:pPr>
              <w:spacing w:before="120"/>
              <w:jc w:val="center"/>
              <w:rPr>
                <w:rFonts w:ascii="Calibri" w:hAnsi="Calibri"/>
                <w:sz w:val="18"/>
                <w:szCs w:val="18"/>
              </w:rPr>
            </w:pPr>
            <w:r w:rsidRPr="00B8717B">
              <w:rPr>
                <w:rFonts w:ascii="Calibri" w:hAnsi="Calibri"/>
                <w:sz w:val="18"/>
                <w:szCs w:val="18"/>
              </w:rPr>
              <w:t xml:space="preserve">PN-EN 12697-8 [33], </w:t>
            </w:r>
          </w:p>
          <w:p w:rsidR="000C27BF" w:rsidRPr="00B8717B" w:rsidRDefault="000C27BF" w:rsidP="00556540">
            <w:pPr>
              <w:jc w:val="center"/>
              <w:rPr>
                <w:rFonts w:ascii="Calibri" w:hAnsi="Calibri"/>
                <w:sz w:val="18"/>
                <w:szCs w:val="18"/>
              </w:rPr>
            </w:pPr>
            <w:r w:rsidRPr="00B8717B">
              <w:rPr>
                <w:rFonts w:ascii="Calibri" w:hAnsi="Calibri"/>
                <w:sz w:val="18"/>
                <w:szCs w:val="18"/>
              </w:rPr>
              <w:t>p. 5</w:t>
            </w:r>
          </w:p>
        </w:tc>
        <w:tc>
          <w:tcPr>
            <w:tcW w:w="1260" w:type="dxa"/>
            <w:shd w:val="clear" w:color="auto" w:fill="auto"/>
            <w:vAlign w:val="center"/>
          </w:tcPr>
          <w:p w:rsidR="000C27BF" w:rsidRPr="00B8717B" w:rsidRDefault="000C27BF" w:rsidP="00556540">
            <w:pPr>
              <w:jc w:val="center"/>
              <w:rPr>
                <w:rFonts w:ascii="Calibri" w:hAnsi="Calibri"/>
                <w:i/>
                <w:sz w:val="18"/>
                <w:szCs w:val="18"/>
                <w:vertAlign w:val="subscript"/>
              </w:rPr>
            </w:pPr>
            <w:r w:rsidRPr="00B8717B">
              <w:rPr>
                <w:rFonts w:ascii="Calibri" w:hAnsi="Calibri"/>
                <w:i/>
                <w:sz w:val="18"/>
                <w:szCs w:val="18"/>
              </w:rPr>
              <w:t>VFB</w:t>
            </w:r>
            <w:r w:rsidRPr="00B8717B">
              <w:rPr>
                <w:rFonts w:ascii="Calibri" w:hAnsi="Calibri"/>
                <w:i/>
                <w:sz w:val="18"/>
                <w:szCs w:val="18"/>
                <w:vertAlign w:val="subscript"/>
              </w:rPr>
              <w:t>min 65</w:t>
            </w:r>
          </w:p>
          <w:p w:rsidR="000C27BF" w:rsidRPr="00B8717B" w:rsidRDefault="000C27BF" w:rsidP="00556540">
            <w:pPr>
              <w:jc w:val="center"/>
              <w:rPr>
                <w:rFonts w:ascii="Calibri" w:hAnsi="Calibri"/>
                <w:i/>
                <w:sz w:val="18"/>
                <w:szCs w:val="18"/>
                <w:vertAlign w:val="subscript"/>
              </w:rPr>
            </w:pPr>
            <w:r w:rsidRPr="00B8717B">
              <w:rPr>
                <w:rFonts w:ascii="Calibri" w:hAnsi="Calibri"/>
                <w:i/>
                <w:sz w:val="18"/>
                <w:szCs w:val="18"/>
              </w:rPr>
              <w:t>VFB</w:t>
            </w:r>
            <w:r w:rsidRPr="00B8717B">
              <w:rPr>
                <w:rFonts w:ascii="Calibri" w:hAnsi="Calibri"/>
                <w:i/>
                <w:sz w:val="18"/>
                <w:szCs w:val="18"/>
                <w:vertAlign w:val="subscript"/>
              </w:rPr>
              <w:t>min 80</w:t>
            </w:r>
          </w:p>
        </w:tc>
        <w:tc>
          <w:tcPr>
            <w:tcW w:w="1260" w:type="dxa"/>
            <w:shd w:val="clear" w:color="auto" w:fill="auto"/>
            <w:vAlign w:val="center"/>
          </w:tcPr>
          <w:p w:rsidR="000C27BF" w:rsidRPr="00B8717B" w:rsidRDefault="000C27BF" w:rsidP="00556540">
            <w:pPr>
              <w:jc w:val="center"/>
              <w:rPr>
                <w:rFonts w:ascii="Calibri" w:hAnsi="Calibri"/>
                <w:i/>
                <w:sz w:val="18"/>
                <w:szCs w:val="18"/>
                <w:vertAlign w:val="subscript"/>
              </w:rPr>
            </w:pPr>
            <w:r w:rsidRPr="00B8717B">
              <w:rPr>
                <w:rFonts w:ascii="Calibri" w:hAnsi="Calibri"/>
                <w:i/>
                <w:sz w:val="18"/>
                <w:szCs w:val="18"/>
              </w:rPr>
              <w:t>VFB</w:t>
            </w:r>
            <w:r w:rsidRPr="00B8717B">
              <w:rPr>
                <w:rFonts w:ascii="Calibri" w:hAnsi="Calibri"/>
                <w:i/>
                <w:sz w:val="18"/>
                <w:szCs w:val="18"/>
                <w:vertAlign w:val="subscript"/>
              </w:rPr>
              <w:t>min 60</w:t>
            </w:r>
          </w:p>
          <w:p w:rsidR="000C27BF" w:rsidRPr="00B8717B" w:rsidRDefault="000C27BF" w:rsidP="00556540">
            <w:pPr>
              <w:jc w:val="center"/>
              <w:rPr>
                <w:rFonts w:ascii="Calibri" w:hAnsi="Calibri"/>
                <w:sz w:val="18"/>
                <w:szCs w:val="18"/>
              </w:rPr>
            </w:pPr>
            <w:r w:rsidRPr="00B8717B">
              <w:rPr>
                <w:rFonts w:ascii="Calibri" w:hAnsi="Calibri"/>
                <w:i/>
                <w:sz w:val="18"/>
                <w:szCs w:val="18"/>
              </w:rPr>
              <w:t>VFB</w:t>
            </w:r>
            <w:r w:rsidRPr="00B8717B">
              <w:rPr>
                <w:rFonts w:ascii="Calibri" w:hAnsi="Calibri"/>
                <w:i/>
                <w:sz w:val="18"/>
                <w:szCs w:val="18"/>
                <w:vertAlign w:val="subscript"/>
              </w:rPr>
              <w:t>min 80</w:t>
            </w:r>
          </w:p>
        </w:tc>
      </w:tr>
      <w:tr w:rsidR="000C27BF" w:rsidRPr="00B8717B" w:rsidTr="00556540">
        <w:tc>
          <w:tcPr>
            <w:tcW w:w="1384" w:type="dxa"/>
            <w:vAlign w:val="center"/>
          </w:tcPr>
          <w:p w:rsidR="000C27BF" w:rsidRPr="00B8717B" w:rsidRDefault="000C27BF" w:rsidP="00556540">
            <w:pPr>
              <w:rPr>
                <w:rFonts w:ascii="Calibri" w:hAnsi="Calibri"/>
                <w:sz w:val="18"/>
                <w:szCs w:val="18"/>
              </w:rPr>
            </w:pPr>
            <w:r w:rsidRPr="00B8717B">
              <w:rPr>
                <w:rFonts w:ascii="Calibri" w:hAnsi="Calibri"/>
                <w:sz w:val="18"/>
                <w:szCs w:val="18"/>
              </w:rPr>
              <w:t>Zawartość wolnych przestrzeni w mieszance mineralnej</w:t>
            </w:r>
          </w:p>
        </w:tc>
        <w:tc>
          <w:tcPr>
            <w:tcW w:w="1276" w:type="dxa"/>
            <w:vAlign w:val="center"/>
          </w:tcPr>
          <w:p w:rsidR="000C27BF" w:rsidRPr="00B8717B" w:rsidRDefault="000C27BF" w:rsidP="00556540">
            <w:pPr>
              <w:rPr>
                <w:rFonts w:ascii="Calibri" w:hAnsi="Calibri"/>
                <w:sz w:val="18"/>
                <w:szCs w:val="18"/>
              </w:rPr>
            </w:pPr>
            <w:r w:rsidRPr="00B8717B">
              <w:rPr>
                <w:rFonts w:ascii="Calibri" w:hAnsi="Calibri"/>
                <w:sz w:val="18"/>
                <w:szCs w:val="18"/>
              </w:rPr>
              <w:t>C.1.2,ubijanie, 2×50 uderzeń</w:t>
            </w:r>
          </w:p>
        </w:tc>
        <w:tc>
          <w:tcPr>
            <w:tcW w:w="2128" w:type="dxa"/>
            <w:vAlign w:val="center"/>
          </w:tcPr>
          <w:p w:rsidR="000C27BF" w:rsidRPr="00B8717B" w:rsidRDefault="000C27BF" w:rsidP="00556540">
            <w:pPr>
              <w:spacing w:before="120"/>
              <w:jc w:val="center"/>
              <w:rPr>
                <w:rFonts w:ascii="Calibri" w:hAnsi="Calibri"/>
                <w:sz w:val="18"/>
                <w:szCs w:val="18"/>
              </w:rPr>
            </w:pPr>
            <w:r w:rsidRPr="00B8717B">
              <w:rPr>
                <w:rFonts w:ascii="Calibri" w:hAnsi="Calibri"/>
                <w:sz w:val="18"/>
                <w:szCs w:val="18"/>
              </w:rPr>
              <w:t xml:space="preserve">PN-EN 12697-8 [33], </w:t>
            </w:r>
          </w:p>
          <w:p w:rsidR="000C27BF" w:rsidRPr="00B8717B" w:rsidRDefault="000C27BF" w:rsidP="00556540">
            <w:pPr>
              <w:jc w:val="center"/>
              <w:rPr>
                <w:rFonts w:ascii="Calibri" w:hAnsi="Calibri"/>
                <w:sz w:val="18"/>
                <w:szCs w:val="18"/>
              </w:rPr>
            </w:pPr>
            <w:r w:rsidRPr="00B8717B">
              <w:rPr>
                <w:rFonts w:ascii="Calibri" w:hAnsi="Calibri"/>
                <w:sz w:val="18"/>
                <w:szCs w:val="18"/>
              </w:rPr>
              <w:t>p. 5</w:t>
            </w:r>
          </w:p>
        </w:tc>
        <w:tc>
          <w:tcPr>
            <w:tcW w:w="1260" w:type="dxa"/>
            <w:shd w:val="clear" w:color="auto" w:fill="auto"/>
            <w:vAlign w:val="center"/>
          </w:tcPr>
          <w:p w:rsidR="000C27BF" w:rsidRPr="00B8717B" w:rsidRDefault="000C27BF" w:rsidP="00556540">
            <w:pPr>
              <w:jc w:val="center"/>
              <w:rPr>
                <w:rFonts w:ascii="Calibri" w:hAnsi="Calibri"/>
                <w:i/>
                <w:sz w:val="18"/>
                <w:szCs w:val="18"/>
                <w:vertAlign w:val="subscript"/>
              </w:rPr>
            </w:pPr>
            <w:r w:rsidRPr="00B8717B">
              <w:rPr>
                <w:rFonts w:ascii="Calibri" w:hAnsi="Calibri"/>
                <w:i/>
                <w:sz w:val="18"/>
                <w:szCs w:val="18"/>
              </w:rPr>
              <w:t>VMA</w:t>
            </w:r>
            <w:r w:rsidRPr="00B8717B">
              <w:rPr>
                <w:rFonts w:ascii="Calibri" w:hAnsi="Calibri"/>
                <w:i/>
                <w:sz w:val="18"/>
                <w:szCs w:val="18"/>
                <w:vertAlign w:val="subscript"/>
              </w:rPr>
              <w:t>min 14</w:t>
            </w:r>
          </w:p>
        </w:tc>
        <w:tc>
          <w:tcPr>
            <w:tcW w:w="1260" w:type="dxa"/>
            <w:shd w:val="clear" w:color="auto" w:fill="auto"/>
            <w:vAlign w:val="center"/>
          </w:tcPr>
          <w:p w:rsidR="000C27BF" w:rsidRPr="00B8717B" w:rsidRDefault="000C27BF" w:rsidP="00556540">
            <w:pPr>
              <w:jc w:val="center"/>
              <w:rPr>
                <w:rFonts w:ascii="Calibri" w:hAnsi="Calibri"/>
                <w:i/>
                <w:sz w:val="18"/>
                <w:szCs w:val="18"/>
              </w:rPr>
            </w:pPr>
            <w:r w:rsidRPr="00B8717B">
              <w:rPr>
                <w:rFonts w:ascii="Calibri" w:hAnsi="Calibri"/>
                <w:i/>
                <w:sz w:val="18"/>
                <w:szCs w:val="18"/>
              </w:rPr>
              <w:t>VMA</w:t>
            </w:r>
            <w:r w:rsidRPr="00B8717B">
              <w:rPr>
                <w:rFonts w:ascii="Calibri" w:hAnsi="Calibri"/>
                <w:i/>
                <w:sz w:val="18"/>
                <w:szCs w:val="18"/>
                <w:vertAlign w:val="subscript"/>
              </w:rPr>
              <w:t>min 14</w:t>
            </w:r>
          </w:p>
        </w:tc>
      </w:tr>
      <w:tr w:rsidR="000C27BF" w:rsidRPr="00B8717B" w:rsidTr="00556540">
        <w:tc>
          <w:tcPr>
            <w:tcW w:w="1384" w:type="dxa"/>
            <w:vAlign w:val="center"/>
          </w:tcPr>
          <w:p w:rsidR="000C27BF" w:rsidRPr="00B8717B" w:rsidRDefault="000C27BF" w:rsidP="00556540">
            <w:pPr>
              <w:jc w:val="left"/>
              <w:rPr>
                <w:rFonts w:ascii="Calibri" w:hAnsi="Calibri"/>
                <w:sz w:val="18"/>
                <w:szCs w:val="18"/>
              </w:rPr>
            </w:pPr>
            <w:r w:rsidRPr="00B8717B">
              <w:rPr>
                <w:rFonts w:ascii="Calibri" w:hAnsi="Calibri"/>
                <w:sz w:val="18"/>
                <w:szCs w:val="18"/>
              </w:rPr>
              <w:t>Odporność na działanie wody</w:t>
            </w:r>
          </w:p>
        </w:tc>
        <w:tc>
          <w:tcPr>
            <w:tcW w:w="1276" w:type="dxa"/>
            <w:vAlign w:val="center"/>
          </w:tcPr>
          <w:p w:rsidR="000C27BF" w:rsidRPr="00B8717B" w:rsidRDefault="000C27BF" w:rsidP="00556540">
            <w:pPr>
              <w:rPr>
                <w:rFonts w:ascii="Calibri" w:hAnsi="Calibri"/>
                <w:sz w:val="18"/>
                <w:szCs w:val="18"/>
              </w:rPr>
            </w:pPr>
            <w:r w:rsidRPr="00B8717B">
              <w:rPr>
                <w:rFonts w:ascii="Calibri" w:hAnsi="Calibri"/>
                <w:sz w:val="18"/>
                <w:szCs w:val="18"/>
              </w:rPr>
              <w:t>C.1.1,ubijanie, 2×35 uderzeń</w:t>
            </w:r>
          </w:p>
        </w:tc>
        <w:tc>
          <w:tcPr>
            <w:tcW w:w="2128" w:type="dxa"/>
            <w:vAlign w:val="center"/>
          </w:tcPr>
          <w:p w:rsidR="000C27BF" w:rsidRPr="00B8717B" w:rsidRDefault="000C27BF" w:rsidP="00556540">
            <w:pPr>
              <w:jc w:val="center"/>
              <w:rPr>
                <w:rFonts w:ascii="Calibri" w:hAnsi="Calibri"/>
                <w:sz w:val="18"/>
                <w:szCs w:val="18"/>
              </w:rPr>
            </w:pPr>
            <w:r w:rsidRPr="00B8717B">
              <w:rPr>
                <w:rFonts w:ascii="Calibri" w:hAnsi="Calibri"/>
                <w:sz w:val="18"/>
                <w:szCs w:val="18"/>
              </w:rPr>
              <w:t xml:space="preserve">PN-EN 12697-12 [35], przechowywanie w </w:t>
            </w:r>
            <w:smartTag w:uri="urn:schemas-microsoft-com:office:smarttags" w:element="metricconverter">
              <w:smartTagPr>
                <w:attr w:name="ProductID" w:val="40ﾰC"/>
              </w:smartTagPr>
              <w:r w:rsidRPr="00B8717B">
                <w:rPr>
                  <w:rFonts w:ascii="Calibri" w:hAnsi="Calibri"/>
                  <w:sz w:val="18"/>
                  <w:szCs w:val="18"/>
                </w:rPr>
                <w:t>40°C</w:t>
              </w:r>
            </w:smartTag>
            <w:r w:rsidRPr="00B8717B">
              <w:rPr>
                <w:rFonts w:ascii="Calibri" w:hAnsi="Calibri"/>
                <w:sz w:val="18"/>
                <w:szCs w:val="18"/>
              </w:rPr>
              <w:t xml:space="preserve"> z jednym cyklem zamrażania, </w:t>
            </w:r>
            <w:r w:rsidRPr="00B8717B">
              <w:rPr>
                <w:rFonts w:ascii="Calibri" w:hAnsi="Calibri"/>
                <w:sz w:val="18"/>
                <w:szCs w:val="18"/>
                <w:vertAlign w:val="superscript"/>
              </w:rPr>
              <w:t>a)</w:t>
            </w:r>
          </w:p>
          <w:p w:rsidR="000C27BF" w:rsidRPr="00B8717B" w:rsidRDefault="000C27BF" w:rsidP="00556540">
            <w:pPr>
              <w:jc w:val="center"/>
              <w:rPr>
                <w:rFonts w:ascii="Calibri" w:hAnsi="Calibri"/>
                <w:sz w:val="18"/>
                <w:szCs w:val="18"/>
              </w:rPr>
            </w:pPr>
            <w:r w:rsidRPr="00B8717B">
              <w:rPr>
                <w:rFonts w:ascii="Calibri" w:hAnsi="Calibri"/>
                <w:sz w:val="18"/>
                <w:szCs w:val="18"/>
              </w:rPr>
              <w:t xml:space="preserve">badanie w </w:t>
            </w:r>
            <w:smartTag w:uri="urn:schemas-microsoft-com:office:smarttags" w:element="metricconverter">
              <w:smartTagPr>
                <w:attr w:name="ProductID" w:val="25ﾰC"/>
              </w:smartTagPr>
              <w:r w:rsidRPr="00B8717B">
                <w:rPr>
                  <w:rFonts w:ascii="Calibri" w:hAnsi="Calibri"/>
                  <w:sz w:val="18"/>
                  <w:szCs w:val="18"/>
                </w:rPr>
                <w:t>25°C</w:t>
              </w:r>
            </w:smartTag>
          </w:p>
        </w:tc>
        <w:tc>
          <w:tcPr>
            <w:tcW w:w="1260" w:type="dxa"/>
            <w:shd w:val="clear" w:color="auto" w:fill="auto"/>
            <w:vAlign w:val="center"/>
          </w:tcPr>
          <w:p w:rsidR="000C27BF" w:rsidRPr="00B8717B" w:rsidRDefault="000C27BF" w:rsidP="00556540">
            <w:pPr>
              <w:spacing w:before="120"/>
              <w:jc w:val="center"/>
              <w:rPr>
                <w:rFonts w:ascii="Calibri" w:hAnsi="Calibri"/>
                <w:sz w:val="18"/>
                <w:szCs w:val="18"/>
                <w:vertAlign w:val="subscript"/>
              </w:rPr>
            </w:pPr>
            <w:r w:rsidRPr="00B8717B">
              <w:rPr>
                <w:rFonts w:ascii="Calibri" w:hAnsi="Calibri"/>
                <w:i/>
                <w:sz w:val="18"/>
                <w:szCs w:val="18"/>
              </w:rPr>
              <w:t>ITSR</w:t>
            </w:r>
            <w:r w:rsidRPr="00B8717B">
              <w:rPr>
                <w:rFonts w:ascii="Calibri" w:hAnsi="Calibri"/>
                <w:i/>
                <w:sz w:val="18"/>
                <w:szCs w:val="18"/>
                <w:vertAlign w:val="subscript"/>
              </w:rPr>
              <w:t>80</w:t>
            </w:r>
          </w:p>
        </w:tc>
        <w:tc>
          <w:tcPr>
            <w:tcW w:w="1260" w:type="dxa"/>
            <w:shd w:val="clear" w:color="auto" w:fill="auto"/>
            <w:vAlign w:val="center"/>
          </w:tcPr>
          <w:p w:rsidR="000C27BF" w:rsidRPr="00B8717B" w:rsidRDefault="000C27BF" w:rsidP="00556540">
            <w:pPr>
              <w:spacing w:before="120"/>
              <w:jc w:val="center"/>
              <w:rPr>
                <w:rFonts w:ascii="Calibri" w:hAnsi="Calibri"/>
                <w:sz w:val="18"/>
                <w:szCs w:val="18"/>
              </w:rPr>
            </w:pPr>
            <w:r w:rsidRPr="00B8717B">
              <w:rPr>
                <w:rFonts w:ascii="Calibri" w:hAnsi="Calibri"/>
                <w:i/>
                <w:sz w:val="18"/>
                <w:szCs w:val="18"/>
              </w:rPr>
              <w:t>ITSR</w:t>
            </w:r>
            <w:r w:rsidRPr="00B8717B">
              <w:rPr>
                <w:rFonts w:ascii="Calibri" w:hAnsi="Calibri"/>
                <w:sz w:val="18"/>
                <w:szCs w:val="18"/>
                <w:vertAlign w:val="subscript"/>
              </w:rPr>
              <w:t>80</w:t>
            </w:r>
          </w:p>
        </w:tc>
      </w:tr>
    </w:tbl>
    <w:p w:rsidR="000C27BF" w:rsidRPr="0066462B" w:rsidRDefault="000C27BF" w:rsidP="000C27BF">
      <w:pPr>
        <w:ind w:left="709"/>
        <w:rPr>
          <w:rFonts w:ascii="Calibri" w:hAnsi="Calibri"/>
          <w:i/>
          <w:sz w:val="18"/>
          <w:szCs w:val="18"/>
        </w:rPr>
      </w:pPr>
      <w:r w:rsidRPr="0066462B">
        <w:rPr>
          <w:rFonts w:ascii="Calibri" w:hAnsi="Calibri"/>
          <w:i/>
          <w:sz w:val="18"/>
          <w:szCs w:val="18"/>
        </w:rPr>
        <w:t>a) Ujednoliconą procedurę badania odporności na działanie wody podano w WT-2 2010 [65] w załączniku 1.</w:t>
      </w:r>
    </w:p>
    <w:p w:rsidR="000C27BF" w:rsidRDefault="000C27BF" w:rsidP="000C27BF">
      <w:pPr>
        <w:rPr>
          <w:rFonts w:ascii="Calibri" w:hAnsi="Calibri"/>
        </w:rPr>
      </w:pPr>
    </w:p>
    <w:p w:rsidR="000C27BF" w:rsidRPr="00B8717B" w:rsidRDefault="000C27BF" w:rsidP="000C27BF">
      <w:pPr>
        <w:ind w:left="709"/>
        <w:rPr>
          <w:rFonts w:ascii="Calibri" w:hAnsi="Calibri"/>
        </w:rPr>
      </w:pPr>
      <w:r>
        <w:rPr>
          <w:rFonts w:ascii="Calibri" w:hAnsi="Calibri"/>
        </w:rPr>
        <w:t xml:space="preserve">Tablica </w:t>
      </w:r>
      <w:r w:rsidRPr="00B8717B">
        <w:rPr>
          <w:rFonts w:ascii="Calibri" w:hAnsi="Calibri"/>
        </w:rPr>
        <w:t>7.</w:t>
      </w:r>
      <w:r>
        <w:rPr>
          <w:rFonts w:ascii="Calibri" w:hAnsi="Calibri"/>
        </w:rPr>
        <w:t xml:space="preserve"> </w:t>
      </w:r>
      <w:r w:rsidRPr="00B8717B">
        <w:rPr>
          <w:rFonts w:ascii="Calibri" w:hAnsi="Calibri"/>
        </w:rPr>
        <w:t>Wymagane właściwości mieszanki mineralno-asfaltowej do warstwy wiążącej i wyrównawczej, dla ruchu KR3 ÷ KR4  [65]</w:t>
      </w:r>
    </w:p>
    <w:tbl>
      <w:tblPr>
        <w:tblW w:w="8280" w:type="dxa"/>
        <w:tblInd w:w="81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tblPr>
      <w:tblGrid>
        <w:gridCol w:w="1980"/>
        <w:gridCol w:w="1440"/>
        <w:gridCol w:w="2520"/>
        <w:gridCol w:w="1260"/>
        <w:gridCol w:w="1080"/>
      </w:tblGrid>
      <w:tr w:rsidR="000C27BF" w:rsidRPr="00B8717B" w:rsidTr="00556540">
        <w:tc>
          <w:tcPr>
            <w:tcW w:w="1980" w:type="dxa"/>
            <w:vAlign w:val="center"/>
          </w:tcPr>
          <w:p w:rsidR="000C27BF" w:rsidRPr="00B8717B" w:rsidRDefault="000C27BF" w:rsidP="00556540">
            <w:pPr>
              <w:jc w:val="center"/>
              <w:rPr>
                <w:rFonts w:ascii="Calibri" w:hAnsi="Calibri"/>
                <w:sz w:val="18"/>
                <w:szCs w:val="18"/>
              </w:rPr>
            </w:pPr>
            <w:r w:rsidRPr="00B8717B">
              <w:rPr>
                <w:rFonts w:ascii="Calibri" w:hAnsi="Calibri"/>
                <w:sz w:val="18"/>
                <w:szCs w:val="18"/>
              </w:rPr>
              <w:t>Właściwość</w:t>
            </w:r>
          </w:p>
        </w:tc>
        <w:tc>
          <w:tcPr>
            <w:tcW w:w="1440" w:type="dxa"/>
            <w:vAlign w:val="center"/>
          </w:tcPr>
          <w:p w:rsidR="000C27BF" w:rsidRPr="00B8717B" w:rsidRDefault="000C27BF" w:rsidP="00556540">
            <w:pPr>
              <w:jc w:val="center"/>
              <w:rPr>
                <w:rFonts w:ascii="Calibri" w:hAnsi="Calibri"/>
                <w:sz w:val="18"/>
                <w:szCs w:val="18"/>
              </w:rPr>
            </w:pPr>
            <w:r w:rsidRPr="00B8717B">
              <w:rPr>
                <w:rFonts w:ascii="Calibri" w:hAnsi="Calibri"/>
                <w:sz w:val="18"/>
                <w:szCs w:val="18"/>
              </w:rPr>
              <w:t xml:space="preserve">Warunki zagęszczania wg PN-EN </w:t>
            </w:r>
          </w:p>
          <w:p w:rsidR="000C27BF" w:rsidRPr="00B8717B" w:rsidRDefault="000C27BF" w:rsidP="00556540">
            <w:pPr>
              <w:jc w:val="center"/>
              <w:rPr>
                <w:rFonts w:ascii="Calibri" w:hAnsi="Calibri"/>
                <w:sz w:val="18"/>
                <w:szCs w:val="18"/>
              </w:rPr>
            </w:pPr>
            <w:r w:rsidRPr="00B8717B">
              <w:rPr>
                <w:rFonts w:ascii="Calibri" w:hAnsi="Calibri"/>
                <w:sz w:val="18"/>
                <w:szCs w:val="18"/>
              </w:rPr>
              <w:t>13108-20  [48]</w:t>
            </w:r>
          </w:p>
        </w:tc>
        <w:tc>
          <w:tcPr>
            <w:tcW w:w="2520" w:type="dxa"/>
            <w:vAlign w:val="center"/>
          </w:tcPr>
          <w:p w:rsidR="000C27BF" w:rsidRPr="00B8717B" w:rsidRDefault="000C27BF" w:rsidP="00556540">
            <w:pPr>
              <w:jc w:val="center"/>
              <w:rPr>
                <w:rFonts w:ascii="Calibri" w:hAnsi="Calibri"/>
                <w:sz w:val="18"/>
                <w:szCs w:val="18"/>
              </w:rPr>
            </w:pPr>
            <w:r w:rsidRPr="00B8717B">
              <w:rPr>
                <w:rFonts w:ascii="Calibri" w:hAnsi="Calibri"/>
                <w:sz w:val="18"/>
                <w:szCs w:val="18"/>
              </w:rPr>
              <w:t>Metoda i warunki badania</w:t>
            </w:r>
          </w:p>
        </w:tc>
        <w:tc>
          <w:tcPr>
            <w:tcW w:w="1260" w:type="dxa"/>
            <w:vAlign w:val="center"/>
          </w:tcPr>
          <w:p w:rsidR="000C27BF" w:rsidRPr="00B8717B" w:rsidRDefault="000C27BF" w:rsidP="00556540">
            <w:pPr>
              <w:jc w:val="center"/>
              <w:rPr>
                <w:rFonts w:ascii="Calibri" w:hAnsi="Calibri"/>
                <w:sz w:val="18"/>
                <w:szCs w:val="18"/>
              </w:rPr>
            </w:pPr>
            <w:r w:rsidRPr="00B8717B">
              <w:rPr>
                <w:rFonts w:ascii="Calibri" w:hAnsi="Calibri"/>
                <w:sz w:val="18"/>
                <w:szCs w:val="18"/>
              </w:rPr>
              <w:t>AC16W</w:t>
            </w:r>
          </w:p>
        </w:tc>
        <w:tc>
          <w:tcPr>
            <w:tcW w:w="1080" w:type="dxa"/>
            <w:vAlign w:val="center"/>
          </w:tcPr>
          <w:p w:rsidR="000C27BF" w:rsidRPr="00B8717B" w:rsidRDefault="000C27BF" w:rsidP="00556540">
            <w:pPr>
              <w:jc w:val="center"/>
              <w:rPr>
                <w:rFonts w:ascii="Calibri" w:hAnsi="Calibri"/>
                <w:sz w:val="18"/>
                <w:szCs w:val="18"/>
              </w:rPr>
            </w:pPr>
            <w:r w:rsidRPr="00B8717B">
              <w:rPr>
                <w:rFonts w:ascii="Calibri" w:hAnsi="Calibri"/>
                <w:sz w:val="18"/>
                <w:szCs w:val="18"/>
              </w:rPr>
              <w:t>AC22W</w:t>
            </w:r>
          </w:p>
        </w:tc>
      </w:tr>
      <w:tr w:rsidR="000C27BF" w:rsidRPr="00B8717B" w:rsidTr="00556540">
        <w:tc>
          <w:tcPr>
            <w:tcW w:w="1980" w:type="dxa"/>
            <w:vAlign w:val="center"/>
          </w:tcPr>
          <w:p w:rsidR="000C27BF" w:rsidRPr="00B8717B" w:rsidRDefault="000C27BF" w:rsidP="00556540">
            <w:pPr>
              <w:rPr>
                <w:rFonts w:ascii="Calibri" w:hAnsi="Calibri"/>
                <w:sz w:val="18"/>
                <w:szCs w:val="18"/>
              </w:rPr>
            </w:pPr>
            <w:r w:rsidRPr="00B8717B">
              <w:rPr>
                <w:rFonts w:ascii="Calibri" w:hAnsi="Calibri"/>
                <w:sz w:val="18"/>
                <w:szCs w:val="18"/>
              </w:rPr>
              <w:t>Zawartość wolnych przestrzeni</w:t>
            </w:r>
          </w:p>
        </w:tc>
        <w:tc>
          <w:tcPr>
            <w:tcW w:w="1440" w:type="dxa"/>
            <w:vAlign w:val="center"/>
          </w:tcPr>
          <w:p w:rsidR="000C27BF" w:rsidRPr="00B8717B" w:rsidRDefault="000C27BF" w:rsidP="00556540">
            <w:pPr>
              <w:rPr>
                <w:rFonts w:ascii="Calibri" w:hAnsi="Calibri"/>
                <w:sz w:val="18"/>
                <w:szCs w:val="18"/>
              </w:rPr>
            </w:pPr>
            <w:r w:rsidRPr="00B8717B">
              <w:rPr>
                <w:rFonts w:ascii="Calibri" w:hAnsi="Calibri"/>
                <w:sz w:val="18"/>
                <w:szCs w:val="18"/>
              </w:rPr>
              <w:t>C.1.3,ubijanie, 2×75 uderzeń</w:t>
            </w:r>
          </w:p>
        </w:tc>
        <w:tc>
          <w:tcPr>
            <w:tcW w:w="2520" w:type="dxa"/>
            <w:vAlign w:val="center"/>
          </w:tcPr>
          <w:p w:rsidR="000C27BF" w:rsidRPr="00B8717B" w:rsidRDefault="000C27BF" w:rsidP="00556540">
            <w:pPr>
              <w:spacing w:before="120"/>
              <w:jc w:val="center"/>
              <w:rPr>
                <w:rFonts w:ascii="Calibri" w:hAnsi="Calibri"/>
                <w:sz w:val="18"/>
                <w:szCs w:val="18"/>
              </w:rPr>
            </w:pPr>
            <w:r w:rsidRPr="00B8717B">
              <w:rPr>
                <w:rFonts w:ascii="Calibri" w:hAnsi="Calibri"/>
                <w:sz w:val="18"/>
                <w:szCs w:val="18"/>
              </w:rPr>
              <w:t>PN-EN 12697-8 [33], p. 4</w:t>
            </w:r>
          </w:p>
        </w:tc>
        <w:tc>
          <w:tcPr>
            <w:tcW w:w="1260" w:type="dxa"/>
            <w:vAlign w:val="center"/>
          </w:tcPr>
          <w:p w:rsidR="000C27BF" w:rsidRPr="00B8717B" w:rsidRDefault="000C27BF" w:rsidP="00556540">
            <w:pPr>
              <w:jc w:val="center"/>
              <w:rPr>
                <w:rFonts w:ascii="Calibri" w:hAnsi="Calibri"/>
                <w:sz w:val="18"/>
                <w:szCs w:val="18"/>
              </w:rPr>
            </w:pPr>
            <w:r w:rsidRPr="00B8717B">
              <w:rPr>
                <w:rFonts w:ascii="Calibri" w:hAnsi="Calibri"/>
                <w:i/>
                <w:sz w:val="18"/>
                <w:szCs w:val="18"/>
              </w:rPr>
              <w:t>V</w:t>
            </w:r>
            <w:r w:rsidRPr="00B8717B">
              <w:rPr>
                <w:rFonts w:ascii="Calibri" w:hAnsi="Calibri"/>
                <w:sz w:val="18"/>
                <w:szCs w:val="18"/>
                <w:vertAlign w:val="subscript"/>
              </w:rPr>
              <w:t>min 4,0</w:t>
            </w:r>
          </w:p>
          <w:p w:rsidR="000C27BF" w:rsidRPr="00B8717B" w:rsidRDefault="000C27BF" w:rsidP="00556540">
            <w:pPr>
              <w:jc w:val="center"/>
              <w:rPr>
                <w:rFonts w:ascii="Calibri" w:hAnsi="Calibri"/>
                <w:sz w:val="18"/>
                <w:szCs w:val="18"/>
              </w:rPr>
            </w:pPr>
            <w:r w:rsidRPr="00B8717B">
              <w:rPr>
                <w:rFonts w:ascii="Calibri" w:hAnsi="Calibri"/>
                <w:i/>
                <w:sz w:val="18"/>
                <w:szCs w:val="18"/>
              </w:rPr>
              <w:t>V</w:t>
            </w:r>
            <w:r w:rsidRPr="00B8717B">
              <w:rPr>
                <w:rFonts w:ascii="Calibri" w:hAnsi="Calibri"/>
                <w:sz w:val="18"/>
                <w:szCs w:val="18"/>
                <w:vertAlign w:val="subscript"/>
              </w:rPr>
              <w:t>max 7,0</w:t>
            </w:r>
          </w:p>
        </w:tc>
        <w:tc>
          <w:tcPr>
            <w:tcW w:w="1080" w:type="dxa"/>
            <w:vAlign w:val="center"/>
          </w:tcPr>
          <w:p w:rsidR="000C27BF" w:rsidRPr="00B8717B" w:rsidRDefault="000C27BF" w:rsidP="00556540">
            <w:pPr>
              <w:jc w:val="center"/>
              <w:rPr>
                <w:rFonts w:ascii="Calibri" w:hAnsi="Calibri"/>
                <w:sz w:val="18"/>
                <w:szCs w:val="18"/>
              </w:rPr>
            </w:pPr>
            <w:r w:rsidRPr="00B8717B">
              <w:rPr>
                <w:rFonts w:ascii="Calibri" w:hAnsi="Calibri"/>
                <w:i/>
                <w:sz w:val="18"/>
                <w:szCs w:val="18"/>
              </w:rPr>
              <w:t>V</w:t>
            </w:r>
            <w:r w:rsidRPr="00B8717B">
              <w:rPr>
                <w:rFonts w:ascii="Calibri" w:hAnsi="Calibri"/>
                <w:sz w:val="18"/>
                <w:szCs w:val="18"/>
                <w:vertAlign w:val="subscript"/>
              </w:rPr>
              <w:t>min 4,0</w:t>
            </w:r>
          </w:p>
          <w:p w:rsidR="000C27BF" w:rsidRPr="00B8717B" w:rsidRDefault="000C27BF" w:rsidP="00556540">
            <w:pPr>
              <w:jc w:val="center"/>
              <w:rPr>
                <w:rFonts w:ascii="Calibri" w:hAnsi="Calibri"/>
                <w:sz w:val="18"/>
                <w:szCs w:val="18"/>
              </w:rPr>
            </w:pPr>
            <w:r w:rsidRPr="00B8717B">
              <w:rPr>
                <w:rFonts w:ascii="Calibri" w:hAnsi="Calibri"/>
                <w:i/>
                <w:sz w:val="18"/>
                <w:szCs w:val="18"/>
              </w:rPr>
              <w:t>V</w:t>
            </w:r>
            <w:r w:rsidRPr="00B8717B">
              <w:rPr>
                <w:rFonts w:ascii="Calibri" w:hAnsi="Calibri"/>
                <w:sz w:val="18"/>
                <w:szCs w:val="18"/>
                <w:vertAlign w:val="subscript"/>
              </w:rPr>
              <w:t>max 7,0</w:t>
            </w:r>
          </w:p>
        </w:tc>
      </w:tr>
      <w:tr w:rsidR="000C27BF" w:rsidRPr="00B8717B" w:rsidTr="00556540">
        <w:tc>
          <w:tcPr>
            <w:tcW w:w="1980" w:type="dxa"/>
            <w:vAlign w:val="center"/>
          </w:tcPr>
          <w:p w:rsidR="000C27BF" w:rsidRPr="00B8717B" w:rsidRDefault="000C27BF" w:rsidP="00556540">
            <w:pPr>
              <w:jc w:val="left"/>
              <w:rPr>
                <w:rFonts w:ascii="Calibri" w:hAnsi="Calibri"/>
                <w:sz w:val="18"/>
                <w:szCs w:val="18"/>
                <w:vertAlign w:val="superscript"/>
              </w:rPr>
            </w:pPr>
            <w:r w:rsidRPr="00B8717B">
              <w:rPr>
                <w:rFonts w:ascii="Calibri" w:hAnsi="Calibri"/>
                <w:sz w:val="18"/>
                <w:szCs w:val="18"/>
              </w:rPr>
              <w:t xml:space="preserve">Odporność na deformacje trwałe </w:t>
            </w:r>
            <w:r w:rsidRPr="00B8717B">
              <w:rPr>
                <w:rFonts w:ascii="Calibri" w:hAnsi="Calibri"/>
                <w:sz w:val="18"/>
                <w:szCs w:val="18"/>
                <w:vertAlign w:val="superscript"/>
              </w:rPr>
              <w:t>a)</w:t>
            </w:r>
          </w:p>
        </w:tc>
        <w:tc>
          <w:tcPr>
            <w:tcW w:w="1440" w:type="dxa"/>
            <w:vAlign w:val="center"/>
          </w:tcPr>
          <w:p w:rsidR="000C27BF" w:rsidRPr="00B8717B" w:rsidRDefault="000C27BF" w:rsidP="00556540">
            <w:pPr>
              <w:rPr>
                <w:rFonts w:ascii="Calibri" w:hAnsi="Calibri"/>
                <w:sz w:val="18"/>
                <w:szCs w:val="18"/>
              </w:rPr>
            </w:pPr>
            <w:r w:rsidRPr="00B8717B">
              <w:rPr>
                <w:rFonts w:ascii="Calibri" w:hAnsi="Calibri"/>
                <w:sz w:val="18"/>
                <w:szCs w:val="18"/>
              </w:rPr>
              <w:t>C.1.20, wałowanie,</w:t>
            </w:r>
          </w:p>
          <w:p w:rsidR="000C27BF" w:rsidRPr="00B8717B" w:rsidRDefault="000C27BF" w:rsidP="00556540">
            <w:pPr>
              <w:rPr>
                <w:rFonts w:ascii="Calibri" w:hAnsi="Calibri"/>
                <w:sz w:val="18"/>
                <w:szCs w:val="18"/>
              </w:rPr>
            </w:pPr>
            <w:r w:rsidRPr="00B8717B">
              <w:rPr>
                <w:rFonts w:ascii="Calibri" w:hAnsi="Calibri"/>
                <w:sz w:val="18"/>
                <w:szCs w:val="18"/>
              </w:rPr>
              <w:t>P</w:t>
            </w:r>
            <w:r w:rsidRPr="00B8717B">
              <w:rPr>
                <w:rFonts w:ascii="Calibri" w:hAnsi="Calibri"/>
                <w:sz w:val="18"/>
                <w:szCs w:val="18"/>
                <w:vertAlign w:val="subscript"/>
              </w:rPr>
              <w:t>98</w:t>
            </w:r>
            <w:r w:rsidRPr="00B8717B">
              <w:rPr>
                <w:rFonts w:ascii="Calibri" w:hAnsi="Calibri"/>
                <w:sz w:val="18"/>
                <w:szCs w:val="18"/>
              </w:rPr>
              <w:t>-P</w:t>
            </w:r>
            <w:r w:rsidRPr="00B8717B">
              <w:rPr>
                <w:rFonts w:ascii="Calibri" w:hAnsi="Calibri"/>
                <w:sz w:val="18"/>
                <w:szCs w:val="18"/>
                <w:vertAlign w:val="subscript"/>
              </w:rPr>
              <w:t>100</w:t>
            </w:r>
          </w:p>
        </w:tc>
        <w:tc>
          <w:tcPr>
            <w:tcW w:w="2520" w:type="dxa"/>
            <w:vAlign w:val="center"/>
          </w:tcPr>
          <w:p w:rsidR="000C27BF" w:rsidRPr="00B8717B" w:rsidRDefault="000C27BF" w:rsidP="00556540">
            <w:pPr>
              <w:jc w:val="center"/>
              <w:rPr>
                <w:rFonts w:ascii="Calibri" w:hAnsi="Calibri"/>
                <w:sz w:val="18"/>
                <w:szCs w:val="18"/>
              </w:rPr>
            </w:pPr>
            <w:r w:rsidRPr="00B8717B">
              <w:rPr>
                <w:rFonts w:ascii="Calibri" w:hAnsi="Calibri"/>
                <w:sz w:val="18"/>
                <w:szCs w:val="18"/>
              </w:rPr>
              <w:t>PN-EN 12697-22, metoda B       w powietrzu, PN-EN 13108-20, D.1.6,60°C, 10 000 cykli [38]</w:t>
            </w:r>
          </w:p>
        </w:tc>
        <w:tc>
          <w:tcPr>
            <w:tcW w:w="1260" w:type="dxa"/>
            <w:vAlign w:val="center"/>
          </w:tcPr>
          <w:p w:rsidR="000C27BF" w:rsidRPr="00B8717B" w:rsidRDefault="000C27BF" w:rsidP="00556540">
            <w:pPr>
              <w:jc w:val="left"/>
              <w:rPr>
                <w:rFonts w:ascii="Calibri" w:hAnsi="Calibri"/>
                <w:sz w:val="18"/>
                <w:szCs w:val="18"/>
                <w:vertAlign w:val="subscript"/>
              </w:rPr>
            </w:pPr>
            <w:r w:rsidRPr="00B8717B">
              <w:rPr>
                <w:rFonts w:ascii="Calibri" w:hAnsi="Calibri"/>
                <w:i/>
                <w:sz w:val="18"/>
                <w:szCs w:val="18"/>
              </w:rPr>
              <w:t>WTS</w:t>
            </w:r>
            <w:r w:rsidRPr="00B8717B">
              <w:rPr>
                <w:rFonts w:ascii="Calibri" w:hAnsi="Calibri"/>
                <w:sz w:val="18"/>
                <w:szCs w:val="18"/>
                <w:vertAlign w:val="subscript"/>
              </w:rPr>
              <w:t>AIR 0,3</w:t>
            </w:r>
          </w:p>
          <w:p w:rsidR="000C27BF" w:rsidRPr="00B8717B" w:rsidRDefault="000C27BF" w:rsidP="00556540">
            <w:pPr>
              <w:jc w:val="left"/>
              <w:rPr>
                <w:rFonts w:ascii="Calibri" w:hAnsi="Calibri"/>
                <w:sz w:val="18"/>
                <w:szCs w:val="18"/>
                <w:vertAlign w:val="subscript"/>
              </w:rPr>
            </w:pPr>
            <w:r w:rsidRPr="00B8717B">
              <w:rPr>
                <w:rFonts w:ascii="Calibri" w:hAnsi="Calibri"/>
                <w:i/>
                <w:sz w:val="18"/>
                <w:szCs w:val="18"/>
              </w:rPr>
              <w:t>PRD</w:t>
            </w:r>
            <w:r w:rsidRPr="00B8717B">
              <w:rPr>
                <w:rFonts w:ascii="Calibri" w:hAnsi="Calibri"/>
                <w:sz w:val="18"/>
                <w:szCs w:val="18"/>
                <w:vertAlign w:val="subscript"/>
              </w:rPr>
              <w:t>AIR dekl</w:t>
            </w:r>
          </w:p>
        </w:tc>
        <w:tc>
          <w:tcPr>
            <w:tcW w:w="1080" w:type="dxa"/>
            <w:vAlign w:val="center"/>
          </w:tcPr>
          <w:p w:rsidR="000C27BF" w:rsidRPr="00B8717B" w:rsidRDefault="000C27BF" w:rsidP="00556540">
            <w:pPr>
              <w:jc w:val="center"/>
              <w:rPr>
                <w:rFonts w:ascii="Calibri" w:hAnsi="Calibri"/>
                <w:sz w:val="18"/>
                <w:szCs w:val="18"/>
                <w:vertAlign w:val="subscript"/>
              </w:rPr>
            </w:pPr>
            <w:r w:rsidRPr="00B8717B">
              <w:rPr>
                <w:rFonts w:ascii="Calibri" w:hAnsi="Calibri"/>
                <w:i/>
                <w:sz w:val="18"/>
                <w:szCs w:val="18"/>
              </w:rPr>
              <w:t>WTS</w:t>
            </w:r>
            <w:r w:rsidRPr="00B8717B">
              <w:rPr>
                <w:rFonts w:ascii="Calibri" w:hAnsi="Calibri"/>
                <w:sz w:val="18"/>
                <w:szCs w:val="18"/>
                <w:vertAlign w:val="subscript"/>
              </w:rPr>
              <w:t>AIR 0,3</w:t>
            </w:r>
          </w:p>
          <w:p w:rsidR="000C27BF" w:rsidRPr="00B8717B" w:rsidRDefault="000C27BF" w:rsidP="00556540">
            <w:pPr>
              <w:jc w:val="center"/>
              <w:rPr>
                <w:rFonts w:ascii="Calibri" w:hAnsi="Calibri"/>
                <w:sz w:val="18"/>
                <w:szCs w:val="18"/>
              </w:rPr>
            </w:pPr>
            <w:r w:rsidRPr="00B8717B">
              <w:rPr>
                <w:rFonts w:ascii="Calibri" w:hAnsi="Calibri"/>
                <w:i/>
                <w:sz w:val="18"/>
                <w:szCs w:val="18"/>
              </w:rPr>
              <w:t>PRD</w:t>
            </w:r>
            <w:r w:rsidRPr="00B8717B">
              <w:rPr>
                <w:rFonts w:ascii="Calibri" w:hAnsi="Calibri"/>
                <w:sz w:val="18"/>
                <w:szCs w:val="18"/>
                <w:vertAlign w:val="subscript"/>
              </w:rPr>
              <w:t>AIRdekl</w:t>
            </w:r>
          </w:p>
        </w:tc>
      </w:tr>
      <w:tr w:rsidR="000C27BF" w:rsidRPr="00B8717B" w:rsidTr="00556540">
        <w:tc>
          <w:tcPr>
            <w:tcW w:w="1980" w:type="dxa"/>
            <w:vAlign w:val="center"/>
          </w:tcPr>
          <w:p w:rsidR="000C27BF" w:rsidRPr="00B8717B" w:rsidRDefault="000C27BF" w:rsidP="00556540">
            <w:pPr>
              <w:jc w:val="left"/>
              <w:rPr>
                <w:rFonts w:ascii="Calibri" w:hAnsi="Calibri"/>
                <w:sz w:val="18"/>
                <w:szCs w:val="18"/>
              </w:rPr>
            </w:pPr>
            <w:r w:rsidRPr="00B8717B">
              <w:rPr>
                <w:rFonts w:ascii="Calibri" w:hAnsi="Calibri"/>
                <w:sz w:val="18"/>
                <w:szCs w:val="18"/>
              </w:rPr>
              <w:lastRenderedPageBreak/>
              <w:t>Odporność na działanie wody</w:t>
            </w:r>
          </w:p>
        </w:tc>
        <w:tc>
          <w:tcPr>
            <w:tcW w:w="1440" w:type="dxa"/>
            <w:vAlign w:val="center"/>
          </w:tcPr>
          <w:p w:rsidR="000C27BF" w:rsidRPr="00B8717B" w:rsidRDefault="000C27BF" w:rsidP="00556540">
            <w:pPr>
              <w:rPr>
                <w:rFonts w:ascii="Calibri" w:hAnsi="Calibri"/>
                <w:sz w:val="18"/>
                <w:szCs w:val="18"/>
              </w:rPr>
            </w:pPr>
            <w:r w:rsidRPr="00B8717B">
              <w:rPr>
                <w:rFonts w:ascii="Calibri" w:hAnsi="Calibri"/>
                <w:sz w:val="18"/>
                <w:szCs w:val="18"/>
              </w:rPr>
              <w:t>C.1.1,ubijanie, 2×35 uderzeń</w:t>
            </w:r>
          </w:p>
        </w:tc>
        <w:tc>
          <w:tcPr>
            <w:tcW w:w="2520" w:type="dxa"/>
            <w:vAlign w:val="center"/>
          </w:tcPr>
          <w:p w:rsidR="000C27BF" w:rsidRPr="00B8717B" w:rsidRDefault="000C27BF" w:rsidP="00556540">
            <w:pPr>
              <w:jc w:val="center"/>
              <w:rPr>
                <w:rFonts w:ascii="Calibri" w:hAnsi="Calibri"/>
                <w:sz w:val="18"/>
                <w:szCs w:val="18"/>
              </w:rPr>
            </w:pPr>
            <w:r w:rsidRPr="00B8717B">
              <w:rPr>
                <w:rFonts w:ascii="Calibri" w:hAnsi="Calibri"/>
                <w:sz w:val="18"/>
                <w:szCs w:val="18"/>
              </w:rPr>
              <w:t xml:space="preserve">PN-EN 12697-12 [35], przechowywanie w </w:t>
            </w:r>
            <w:smartTag w:uri="urn:schemas-microsoft-com:office:smarttags" w:element="metricconverter">
              <w:smartTagPr>
                <w:attr w:name="ProductID" w:val="40ﾰC"/>
              </w:smartTagPr>
              <w:r w:rsidRPr="00B8717B">
                <w:rPr>
                  <w:rFonts w:ascii="Calibri" w:hAnsi="Calibri"/>
                  <w:sz w:val="18"/>
                  <w:szCs w:val="18"/>
                </w:rPr>
                <w:t>40°C</w:t>
              </w:r>
            </w:smartTag>
            <w:r w:rsidRPr="00B8717B">
              <w:rPr>
                <w:rFonts w:ascii="Calibri" w:hAnsi="Calibri"/>
                <w:sz w:val="18"/>
                <w:szCs w:val="18"/>
              </w:rPr>
              <w:t xml:space="preserve"> z jednym cyklem zamrażania, </w:t>
            </w:r>
          </w:p>
          <w:p w:rsidR="000C27BF" w:rsidRPr="00B8717B" w:rsidRDefault="000C27BF" w:rsidP="00556540">
            <w:pPr>
              <w:jc w:val="center"/>
              <w:rPr>
                <w:rFonts w:ascii="Calibri" w:hAnsi="Calibri"/>
                <w:sz w:val="18"/>
                <w:szCs w:val="18"/>
              </w:rPr>
            </w:pPr>
            <w:r w:rsidRPr="00B8717B">
              <w:rPr>
                <w:rFonts w:ascii="Calibri" w:hAnsi="Calibri"/>
                <w:sz w:val="18"/>
                <w:szCs w:val="18"/>
              </w:rPr>
              <w:t xml:space="preserve">badanie w </w:t>
            </w:r>
            <w:smartTag w:uri="urn:schemas-microsoft-com:office:smarttags" w:element="metricconverter">
              <w:smartTagPr>
                <w:attr w:name="ProductID" w:val="25ﾰC"/>
              </w:smartTagPr>
              <w:r w:rsidRPr="00B8717B">
                <w:rPr>
                  <w:rFonts w:ascii="Calibri" w:hAnsi="Calibri"/>
                  <w:sz w:val="18"/>
                  <w:szCs w:val="18"/>
                </w:rPr>
                <w:t>25°C</w:t>
              </w:r>
            </w:smartTag>
            <w:r w:rsidRPr="00B8717B">
              <w:rPr>
                <w:rFonts w:ascii="Calibri" w:hAnsi="Calibri"/>
                <w:sz w:val="18"/>
                <w:szCs w:val="18"/>
              </w:rPr>
              <w:t xml:space="preserve"> </w:t>
            </w:r>
            <w:r w:rsidRPr="00B8717B">
              <w:rPr>
                <w:rFonts w:ascii="Calibri" w:hAnsi="Calibri"/>
                <w:sz w:val="18"/>
                <w:szCs w:val="18"/>
                <w:vertAlign w:val="superscript"/>
              </w:rPr>
              <w:t>b)</w:t>
            </w:r>
          </w:p>
        </w:tc>
        <w:tc>
          <w:tcPr>
            <w:tcW w:w="1260" w:type="dxa"/>
            <w:vAlign w:val="center"/>
          </w:tcPr>
          <w:p w:rsidR="000C27BF" w:rsidRPr="00B8717B" w:rsidRDefault="000C27BF" w:rsidP="00556540">
            <w:pPr>
              <w:jc w:val="center"/>
              <w:rPr>
                <w:rFonts w:ascii="Calibri" w:hAnsi="Calibri"/>
                <w:sz w:val="18"/>
                <w:szCs w:val="18"/>
                <w:vertAlign w:val="subscript"/>
              </w:rPr>
            </w:pPr>
            <w:r w:rsidRPr="00B8717B">
              <w:rPr>
                <w:rFonts w:ascii="Calibri" w:hAnsi="Calibri"/>
                <w:i/>
                <w:sz w:val="18"/>
                <w:szCs w:val="18"/>
              </w:rPr>
              <w:t>ITS</w:t>
            </w:r>
            <w:r w:rsidRPr="00B8717B">
              <w:rPr>
                <w:rFonts w:ascii="Calibri" w:hAnsi="Calibri"/>
                <w:i/>
                <w:sz w:val="18"/>
                <w:szCs w:val="18"/>
                <w:vertAlign w:val="subscript"/>
              </w:rPr>
              <w:t>80</w:t>
            </w:r>
          </w:p>
        </w:tc>
        <w:tc>
          <w:tcPr>
            <w:tcW w:w="1080" w:type="dxa"/>
            <w:vAlign w:val="center"/>
          </w:tcPr>
          <w:p w:rsidR="000C27BF" w:rsidRPr="00B8717B" w:rsidRDefault="000C27BF" w:rsidP="00556540">
            <w:pPr>
              <w:jc w:val="center"/>
              <w:rPr>
                <w:rFonts w:ascii="Calibri" w:hAnsi="Calibri"/>
                <w:sz w:val="18"/>
                <w:szCs w:val="18"/>
                <w:vertAlign w:val="subscript"/>
              </w:rPr>
            </w:pPr>
            <w:r w:rsidRPr="00B8717B">
              <w:rPr>
                <w:rFonts w:ascii="Calibri" w:hAnsi="Calibri"/>
                <w:i/>
                <w:sz w:val="18"/>
                <w:szCs w:val="18"/>
              </w:rPr>
              <w:t>ITSR</w:t>
            </w:r>
            <w:r w:rsidRPr="00B8717B">
              <w:rPr>
                <w:rFonts w:ascii="Calibri" w:hAnsi="Calibri"/>
                <w:i/>
                <w:sz w:val="18"/>
                <w:szCs w:val="18"/>
                <w:vertAlign w:val="subscript"/>
              </w:rPr>
              <w:t>80</w:t>
            </w:r>
          </w:p>
        </w:tc>
      </w:tr>
    </w:tbl>
    <w:p w:rsidR="000C27BF" w:rsidRPr="0066462B" w:rsidRDefault="000C27BF" w:rsidP="000C27BF">
      <w:pPr>
        <w:ind w:left="709"/>
        <w:rPr>
          <w:rFonts w:ascii="Calibri" w:hAnsi="Calibri"/>
          <w:i/>
          <w:sz w:val="18"/>
          <w:szCs w:val="18"/>
        </w:rPr>
      </w:pPr>
      <w:r w:rsidRPr="0066462B">
        <w:rPr>
          <w:rFonts w:ascii="Calibri" w:hAnsi="Calibri"/>
          <w:i/>
          <w:sz w:val="18"/>
          <w:szCs w:val="18"/>
        </w:rPr>
        <w:t>a) Grubość płyty: AC16, AC22  60mm.</w:t>
      </w:r>
    </w:p>
    <w:p w:rsidR="000C27BF" w:rsidRPr="0066462B" w:rsidRDefault="000C27BF" w:rsidP="000C27BF">
      <w:pPr>
        <w:ind w:left="709"/>
        <w:rPr>
          <w:rFonts w:ascii="Calibri" w:hAnsi="Calibri"/>
          <w:i/>
          <w:sz w:val="18"/>
          <w:szCs w:val="18"/>
        </w:rPr>
      </w:pPr>
      <w:r w:rsidRPr="0066462B">
        <w:rPr>
          <w:rFonts w:ascii="Calibri" w:hAnsi="Calibri"/>
          <w:i/>
          <w:sz w:val="18"/>
          <w:szCs w:val="18"/>
        </w:rPr>
        <w:t>b) Ujednoliconą procedurę badania odporności na działanie wody podano w WT-2 2010 [65] w załączniku 1.</w:t>
      </w:r>
    </w:p>
    <w:p w:rsidR="000C27BF" w:rsidRDefault="000C27BF" w:rsidP="000C27BF">
      <w:pPr>
        <w:ind w:left="709"/>
        <w:rPr>
          <w:rFonts w:ascii="Calibri" w:hAnsi="Calibri"/>
        </w:rPr>
      </w:pPr>
    </w:p>
    <w:p w:rsidR="000C27BF" w:rsidRPr="00B8717B" w:rsidRDefault="000C27BF" w:rsidP="000C27BF">
      <w:pPr>
        <w:ind w:left="709"/>
        <w:rPr>
          <w:rFonts w:ascii="Calibri" w:hAnsi="Calibri"/>
        </w:rPr>
      </w:pPr>
      <w:r w:rsidRPr="00B8717B">
        <w:rPr>
          <w:rFonts w:ascii="Calibri" w:hAnsi="Calibri"/>
        </w:rPr>
        <w:t>Tablica 8. Wymagane właściwości mieszanki mineralno-asfaltowej do warstwy wiążącej i wyrównawczej, dla ruchu KR5 ÷ KR6  [65]</w:t>
      </w:r>
    </w:p>
    <w:tbl>
      <w:tblPr>
        <w:tblW w:w="8460" w:type="dxa"/>
        <w:tblInd w:w="81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tblPr>
      <w:tblGrid>
        <w:gridCol w:w="2061"/>
        <w:gridCol w:w="1418"/>
        <w:gridCol w:w="2551"/>
        <w:gridCol w:w="1170"/>
        <w:gridCol w:w="1260"/>
      </w:tblGrid>
      <w:tr w:rsidR="000C27BF" w:rsidRPr="00B8717B" w:rsidTr="00556540">
        <w:tc>
          <w:tcPr>
            <w:tcW w:w="2061" w:type="dxa"/>
            <w:vAlign w:val="center"/>
          </w:tcPr>
          <w:p w:rsidR="000C27BF" w:rsidRPr="00B8717B" w:rsidRDefault="000C27BF" w:rsidP="00556540">
            <w:pPr>
              <w:jc w:val="center"/>
              <w:rPr>
                <w:rFonts w:ascii="Calibri" w:hAnsi="Calibri"/>
                <w:sz w:val="18"/>
                <w:szCs w:val="18"/>
              </w:rPr>
            </w:pPr>
            <w:r w:rsidRPr="00B8717B">
              <w:rPr>
                <w:rFonts w:ascii="Calibri" w:hAnsi="Calibri"/>
                <w:sz w:val="18"/>
                <w:szCs w:val="18"/>
              </w:rPr>
              <w:t>Właściwość</w:t>
            </w:r>
          </w:p>
        </w:tc>
        <w:tc>
          <w:tcPr>
            <w:tcW w:w="1418" w:type="dxa"/>
            <w:vAlign w:val="center"/>
          </w:tcPr>
          <w:p w:rsidR="000C27BF" w:rsidRPr="00B8717B" w:rsidRDefault="000C27BF" w:rsidP="00556540">
            <w:pPr>
              <w:jc w:val="center"/>
              <w:rPr>
                <w:rFonts w:ascii="Calibri" w:hAnsi="Calibri"/>
                <w:sz w:val="18"/>
                <w:szCs w:val="18"/>
              </w:rPr>
            </w:pPr>
            <w:r w:rsidRPr="00B8717B">
              <w:rPr>
                <w:rFonts w:ascii="Calibri" w:hAnsi="Calibri"/>
                <w:sz w:val="18"/>
                <w:szCs w:val="18"/>
              </w:rPr>
              <w:t xml:space="preserve">Warunki zagęszczania wg PN-EN </w:t>
            </w:r>
          </w:p>
          <w:p w:rsidR="000C27BF" w:rsidRPr="00B8717B" w:rsidRDefault="000C27BF" w:rsidP="00556540">
            <w:pPr>
              <w:jc w:val="center"/>
              <w:rPr>
                <w:rFonts w:ascii="Calibri" w:hAnsi="Calibri"/>
                <w:sz w:val="18"/>
                <w:szCs w:val="18"/>
              </w:rPr>
            </w:pPr>
            <w:r w:rsidRPr="00B8717B">
              <w:rPr>
                <w:rFonts w:ascii="Calibri" w:hAnsi="Calibri"/>
                <w:sz w:val="18"/>
                <w:szCs w:val="18"/>
              </w:rPr>
              <w:t>13108-20  [48]</w:t>
            </w:r>
          </w:p>
        </w:tc>
        <w:tc>
          <w:tcPr>
            <w:tcW w:w="2551" w:type="dxa"/>
            <w:vAlign w:val="center"/>
          </w:tcPr>
          <w:p w:rsidR="000C27BF" w:rsidRPr="00B8717B" w:rsidRDefault="000C27BF" w:rsidP="00556540">
            <w:pPr>
              <w:jc w:val="center"/>
              <w:rPr>
                <w:rFonts w:ascii="Calibri" w:hAnsi="Calibri"/>
                <w:sz w:val="18"/>
                <w:szCs w:val="18"/>
              </w:rPr>
            </w:pPr>
            <w:r w:rsidRPr="00B8717B">
              <w:rPr>
                <w:rFonts w:ascii="Calibri" w:hAnsi="Calibri"/>
                <w:sz w:val="18"/>
                <w:szCs w:val="18"/>
              </w:rPr>
              <w:t>Metoda i warunki badania</w:t>
            </w:r>
          </w:p>
        </w:tc>
        <w:tc>
          <w:tcPr>
            <w:tcW w:w="1170" w:type="dxa"/>
            <w:vAlign w:val="center"/>
          </w:tcPr>
          <w:p w:rsidR="000C27BF" w:rsidRPr="00B8717B" w:rsidRDefault="000C27BF" w:rsidP="00556540">
            <w:pPr>
              <w:jc w:val="center"/>
              <w:rPr>
                <w:rFonts w:ascii="Calibri" w:hAnsi="Calibri"/>
                <w:sz w:val="18"/>
                <w:szCs w:val="18"/>
              </w:rPr>
            </w:pPr>
            <w:r w:rsidRPr="00B8717B">
              <w:rPr>
                <w:rFonts w:ascii="Calibri" w:hAnsi="Calibri"/>
                <w:sz w:val="18"/>
                <w:szCs w:val="18"/>
              </w:rPr>
              <w:t>AC16W</w:t>
            </w:r>
          </w:p>
        </w:tc>
        <w:tc>
          <w:tcPr>
            <w:tcW w:w="1260" w:type="dxa"/>
            <w:vAlign w:val="center"/>
          </w:tcPr>
          <w:p w:rsidR="000C27BF" w:rsidRPr="00B8717B" w:rsidRDefault="000C27BF" w:rsidP="00556540">
            <w:pPr>
              <w:jc w:val="center"/>
              <w:rPr>
                <w:rFonts w:ascii="Calibri" w:hAnsi="Calibri"/>
                <w:sz w:val="18"/>
                <w:szCs w:val="18"/>
              </w:rPr>
            </w:pPr>
            <w:r w:rsidRPr="00B8717B">
              <w:rPr>
                <w:rFonts w:ascii="Calibri" w:hAnsi="Calibri"/>
                <w:sz w:val="18"/>
                <w:szCs w:val="18"/>
              </w:rPr>
              <w:t>AC22W</w:t>
            </w:r>
          </w:p>
        </w:tc>
      </w:tr>
      <w:tr w:rsidR="000C27BF" w:rsidRPr="00B8717B" w:rsidTr="00556540">
        <w:tc>
          <w:tcPr>
            <w:tcW w:w="2061" w:type="dxa"/>
            <w:vAlign w:val="center"/>
          </w:tcPr>
          <w:p w:rsidR="000C27BF" w:rsidRPr="00B8717B" w:rsidRDefault="000C27BF" w:rsidP="00556540">
            <w:pPr>
              <w:rPr>
                <w:rFonts w:ascii="Calibri" w:hAnsi="Calibri"/>
                <w:sz w:val="18"/>
                <w:szCs w:val="18"/>
              </w:rPr>
            </w:pPr>
            <w:r w:rsidRPr="00B8717B">
              <w:rPr>
                <w:rFonts w:ascii="Calibri" w:hAnsi="Calibri"/>
                <w:sz w:val="18"/>
                <w:szCs w:val="18"/>
              </w:rPr>
              <w:t>Zawartość wolnych przestrzeni</w:t>
            </w:r>
          </w:p>
        </w:tc>
        <w:tc>
          <w:tcPr>
            <w:tcW w:w="1418" w:type="dxa"/>
            <w:vAlign w:val="center"/>
          </w:tcPr>
          <w:p w:rsidR="000C27BF" w:rsidRPr="00B8717B" w:rsidRDefault="000C27BF" w:rsidP="00556540">
            <w:pPr>
              <w:rPr>
                <w:rFonts w:ascii="Calibri" w:hAnsi="Calibri"/>
                <w:sz w:val="18"/>
                <w:szCs w:val="18"/>
              </w:rPr>
            </w:pPr>
            <w:r w:rsidRPr="00B8717B">
              <w:rPr>
                <w:rFonts w:ascii="Calibri" w:hAnsi="Calibri"/>
                <w:sz w:val="18"/>
                <w:szCs w:val="18"/>
              </w:rPr>
              <w:t>C.1.3,ubijanie, 2×75 uderzeń</w:t>
            </w:r>
          </w:p>
        </w:tc>
        <w:tc>
          <w:tcPr>
            <w:tcW w:w="2551" w:type="dxa"/>
            <w:vAlign w:val="center"/>
          </w:tcPr>
          <w:p w:rsidR="000C27BF" w:rsidRPr="00B8717B" w:rsidRDefault="000C27BF" w:rsidP="00556540">
            <w:pPr>
              <w:spacing w:before="100" w:beforeAutospacing="1"/>
              <w:jc w:val="center"/>
              <w:rPr>
                <w:rFonts w:ascii="Calibri" w:hAnsi="Calibri"/>
                <w:sz w:val="18"/>
                <w:szCs w:val="18"/>
              </w:rPr>
            </w:pPr>
            <w:r w:rsidRPr="00B8717B">
              <w:rPr>
                <w:rFonts w:ascii="Calibri" w:hAnsi="Calibri"/>
                <w:sz w:val="18"/>
                <w:szCs w:val="18"/>
              </w:rPr>
              <w:t>PN-EN 12697-8 [33], p. 4</w:t>
            </w:r>
          </w:p>
        </w:tc>
        <w:tc>
          <w:tcPr>
            <w:tcW w:w="1170" w:type="dxa"/>
            <w:vAlign w:val="center"/>
          </w:tcPr>
          <w:p w:rsidR="000C27BF" w:rsidRPr="00B8717B" w:rsidRDefault="000C27BF" w:rsidP="00556540">
            <w:pPr>
              <w:jc w:val="center"/>
              <w:rPr>
                <w:rFonts w:ascii="Calibri" w:hAnsi="Calibri"/>
                <w:sz w:val="18"/>
                <w:szCs w:val="18"/>
              </w:rPr>
            </w:pPr>
            <w:r w:rsidRPr="00B8717B">
              <w:rPr>
                <w:rFonts w:ascii="Calibri" w:hAnsi="Calibri"/>
                <w:i/>
                <w:sz w:val="18"/>
                <w:szCs w:val="18"/>
              </w:rPr>
              <w:t>V</w:t>
            </w:r>
            <w:r w:rsidRPr="00B8717B">
              <w:rPr>
                <w:rFonts w:ascii="Calibri" w:hAnsi="Calibri"/>
                <w:sz w:val="18"/>
                <w:szCs w:val="18"/>
                <w:vertAlign w:val="subscript"/>
              </w:rPr>
              <w:t>min 4,0</w:t>
            </w:r>
          </w:p>
          <w:p w:rsidR="000C27BF" w:rsidRPr="00B8717B" w:rsidRDefault="000C27BF" w:rsidP="00556540">
            <w:pPr>
              <w:jc w:val="center"/>
              <w:rPr>
                <w:rFonts w:ascii="Calibri" w:hAnsi="Calibri"/>
                <w:sz w:val="18"/>
                <w:szCs w:val="18"/>
              </w:rPr>
            </w:pPr>
            <w:r w:rsidRPr="00B8717B">
              <w:rPr>
                <w:rFonts w:ascii="Calibri" w:hAnsi="Calibri"/>
                <w:i/>
                <w:sz w:val="18"/>
                <w:szCs w:val="18"/>
              </w:rPr>
              <w:t>V</w:t>
            </w:r>
            <w:r w:rsidRPr="00B8717B">
              <w:rPr>
                <w:rFonts w:ascii="Calibri" w:hAnsi="Calibri"/>
                <w:sz w:val="18"/>
                <w:szCs w:val="18"/>
                <w:vertAlign w:val="subscript"/>
              </w:rPr>
              <w:t>max 7,0</w:t>
            </w:r>
          </w:p>
        </w:tc>
        <w:tc>
          <w:tcPr>
            <w:tcW w:w="1260" w:type="dxa"/>
            <w:vAlign w:val="center"/>
          </w:tcPr>
          <w:p w:rsidR="000C27BF" w:rsidRPr="00B8717B" w:rsidRDefault="000C27BF" w:rsidP="00556540">
            <w:pPr>
              <w:jc w:val="center"/>
              <w:rPr>
                <w:rFonts w:ascii="Calibri" w:hAnsi="Calibri"/>
                <w:sz w:val="18"/>
                <w:szCs w:val="18"/>
              </w:rPr>
            </w:pPr>
            <w:r w:rsidRPr="00B8717B">
              <w:rPr>
                <w:rFonts w:ascii="Calibri" w:hAnsi="Calibri"/>
                <w:i/>
                <w:sz w:val="18"/>
                <w:szCs w:val="18"/>
              </w:rPr>
              <w:t>V</w:t>
            </w:r>
            <w:r w:rsidRPr="00B8717B">
              <w:rPr>
                <w:rFonts w:ascii="Calibri" w:hAnsi="Calibri"/>
                <w:sz w:val="18"/>
                <w:szCs w:val="18"/>
                <w:vertAlign w:val="subscript"/>
              </w:rPr>
              <w:t>min 4,0</w:t>
            </w:r>
          </w:p>
          <w:p w:rsidR="000C27BF" w:rsidRPr="00B8717B" w:rsidRDefault="000C27BF" w:rsidP="00556540">
            <w:pPr>
              <w:jc w:val="center"/>
              <w:rPr>
                <w:rFonts w:ascii="Calibri" w:hAnsi="Calibri"/>
                <w:sz w:val="18"/>
                <w:szCs w:val="18"/>
              </w:rPr>
            </w:pPr>
            <w:r w:rsidRPr="00B8717B">
              <w:rPr>
                <w:rFonts w:ascii="Calibri" w:hAnsi="Calibri"/>
                <w:i/>
                <w:sz w:val="18"/>
                <w:szCs w:val="18"/>
              </w:rPr>
              <w:t>V</w:t>
            </w:r>
            <w:r w:rsidRPr="00B8717B">
              <w:rPr>
                <w:rFonts w:ascii="Calibri" w:hAnsi="Calibri"/>
                <w:sz w:val="18"/>
                <w:szCs w:val="18"/>
                <w:vertAlign w:val="subscript"/>
              </w:rPr>
              <w:t>max 7,0</w:t>
            </w:r>
          </w:p>
        </w:tc>
      </w:tr>
      <w:tr w:rsidR="000C27BF" w:rsidRPr="00B8717B" w:rsidTr="00556540">
        <w:tc>
          <w:tcPr>
            <w:tcW w:w="2061" w:type="dxa"/>
            <w:vAlign w:val="center"/>
          </w:tcPr>
          <w:p w:rsidR="000C27BF" w:rsidRPr="00B8717B" w:rsidRDefault="000C27BF" w:rsidP="00556540">
            <w:pPr>
              <w:jc w:val="left"/>
              <w:rPr>
                <w:rFonts w:ascii="Calibri" w:hAnsi="Calibri"/>
                <w:sz w:val="18"/>
                <w:szCs w:val="18"/>
                <w:vertAlign w:val="superscript"/>
              </w:rPr>
            </w:pPr>
            <w:r w:rsidRPr="00B8717B">
              <w:rPr>
                <w:rFonts w:ascii="Calibri" w:hAnsi="Calibri"/>
                <w:sz w:val="18"/>
                <w:szCs w:val="18"/>
              </w:rPr>
              <w:t xml:space="preserve">Odporność na deformacje trwałe </w:t>
            </w:r>
            <w:r w:rsidRPr="00B8717B">
              <w:rPr>
                <w:rFonts w:ascii="Calibri" w:hAnsi="Calibri"/>
                <w:sz w:val="18"/>
                <w:szCs w:val="18"/>
                <w:vertAlign w:val="superscript"/>
              </w:rPr>
              <w:t>a)</w:t>
            </w:r>
          </w:p>
        </w:tc>
        <w:tc>
          <w:tcPr>
            <w:tcW w:w="1418" w:type="dxa"/>
            <w:vAlign w:val="center"/>
          </w:tcPr>
          <w:p w:rsidR="000C27BF" w:rsidRPr="00B8717B" w:rsidRDefault="000C27BF" w:rsidP="00556540">
            <w:pPr>
              <w:rPr>
                <w:rFonts w:ascii="Calibri" w:hAnsi="Calibri"/>
                <w:sz w:val="18"/>
                <w:szCs w:val="18"/>
              </w:rPr>
            </w:pPr>
            <w:r w:rsidRPr="00B8717B">
              <w:rPr>
                <w:rFonts w:ascii="Calibri" w:hAnsi="Calibri"/>
                <w:sz w:val="18"/>
                <w:szCs w:val="18"/>
              </w:rPr>
              <w:t>C.1.20, wałowanie,</w:t>
            </w:r>
          </w:p>
          <w:p w:rsidR="000C27BF" w:rsidRPr="00B8717B" w:rsidRDefault="000C27BF" w:rsidP="00556540">
            <w:pPr>
              <w:rPr>
                <w:rFonts w:ascii="Calibri" w:hAnsi="Calibri"/>
                <w:sz w:val="18"/>
                <w:szCs w:val="18"/>
              </w:rPr>
            </w:pPr>
            <w:r w:rsidRPr="00B8717B">
              <w:rPr>
                <w:rFonts w:ascii="Calibri" w:hAnsi="Calibri"/>
                <w:sz w:val="18"/>
                <w:szCs w:val="18"/>
              </w:rPr>
              <w:t>P</w:t>
            </w:r>
            <w:r w:rsidRPr="00B8717B">
              <w:rPr>
                <w:rFonts w:ascii="Calibri" w:hAnsi="Calibri"/>
                <w:sz w:val="18"/>
                <w:szCs w:val="18"/>
                <w:vertAlign w:val="subscript"/>
              </w:rPr>
              <w:t>98</w:t>
            </w:r>
            <w:r w:rsidRPr="00B8717B">
              <w:rPr>
                <w:rFonts w:ascii="Calibri" w:hAnsi="Calibri"/>
                <w:sz w:val="18"/>
                <w:szCs w:val="18"/>
              </w:rPr>
              <w:t>-P</w:t>
            </w:r>
            <w:r w:rsidRPr="00B8717B">
              <w:rPr>
                <w:rFonts w:ascii="Calibri" w:hAnsi="Calibri"/>
                <w:sz w:val="18"/>
                <w:szCs w:val="18"/>
                <w:vertAlign w:val="subscript"/>
              </w:rPr>
              <w:t>100</w:t>
            </w:r>
          </w:p>
        </w:tc>
        <w:tc>
          <w:tcPr>
            <w:tcW w:w="2551" w:type="dxa"/>
            <w:vAlign w:val="center"/>
          </w:tcPr>
          <w:p w:rsidR="000C27BF" w:rsidRPr="00B8717B" w:rsidRDefault="000C27BF" w:rsidP="00556540">
            <w:pPr>
              <w:jc w:val="center"/>
              <w:rPr>
                <w:rFonts w:ascii="Calibri" w:hAnsi="Calibri"/>
                <w:sz w:val="18"/>
                <w:szCs w:val="18"/>
              </w:rPr>
            </w:pPr>
            <w:r w:rsidRPr="00B8717B">
              <w:rPr>
                <w:rFonts w:ascii="Calibri" w:hAnsi="Calibri"/>
                <w:sz w:val="18"/>
                <w:szCs w:val="18"/>
              </w:rPr>
              <w:t>PN-EN 12697-22, metoda B       w powietrzu, PN-EN 13108-20, D.1.6,60°C, 10 000 cykli [38]</w:t>
            </w:r>
          </w:p>
        </w:tc>
        <w:tc>
          <w:tcPr>
            <w:tcW w:w="1170" w:type="dxa"/>
            <w:vAlign w:val="center"/>
          </w:tcPr>
          <w:p w:rsidR="000C27BF" w:rsidRPr="00B8717B" w:rsidRDefault="000C27BF" w:rsidP="00556540">
            <w:pPr>
              <w:jc w:val="left"/>
              <w:rPr>
                <w:rFonts w:ascii="Calibri" w:hAnsi="Calibri"/>
                <w:sz w:val="18"/>
                <w:szCs w:val="18"/>
                <w:vertAlign w:val="subscript"/>
              </w:rPr>
            </w:pPr>
            <w:r w:rsidRPr="00B8717B">
              <w:rPr>
                <w:rFonts w:ascii="Calibri" w:hAnsi="Calibri"/>
                <w:i/>
                <w:sz w:val="18"/>
                <w:szCs w:val="18"/>
              </w:rPr>
              <w:t>WTS</w:t>
            </w:r>
            <w:r w:rsidRPr="00B8717B">
              <w:rPr>
                <w:rFonts w:ascii="Calibri" w:hAnsi="Calibri"/>
                <w:sz w:val="18"/>
                <w:szCs w:val="18"/>
                <w:vertAlign w:val="subscript"/>
              </w:rPr>
              <w:t>AIR 0,15</w:t>
            </w:r>
          </w:p>
          <w:p w:rsidR="000C27BF" w:rsidRPr="00B8717B" w:rsidRDefault="000C27BF" w:rsidP="00556540">
            <w:pPr>
              <w:jc w:val="left"/>
              <w:rPr>
                <w:rFonts w:ascii="Calibri" w:hAnsi="Calibri"/>
                <w:sz w:val="18"/>
                <w:szCs w:val="18"/>
                <w:vertAlign w:val="subscript"/>
              </w:rPr>
            </w:pPr>
            <w:r w:rsidRPr="00B8717B">
              <w:rPr>
                <w:rFonts w:ascii="Calibri" w:hAnsi="Calibri"/>
                <w:i/>
                <w:sz w:val="18"/>
                <w:szCs w:val="18"/>
              </w:rPr>
              <w:t>PRD</w:t>
            </w:r>
            <w:r w:rsidRPr="00B8717B">
              <w:rPr>
                <w:rFonts w:ascii="Calibri" w:hAnsi="Calibri"/>
                <w:sz w:val="18"/>
                <w:szCs w:val="18"/>
                <w:vertAlign w:val="subscript"/>
              </w:rPr>
              <w:t>AIR dekla</w:t>
            </w:r>
          </w:p>
        </w:tc>
        <w:tc>
          <w:tcPr>
            <w:tcW w:w="1260" w:type="dxa"/>
            <w:vAlign w:val="center"/>
          </w:tcPr>
          <w:p w:rsidR="000C27BF" w:rsidRPr="00B8717B" w:rsidRDefault="000C27BF" w:rsidP="00556540">
            <w:pPr>
              <w:jc w:val="center"/>
              <w:rPr>
                <w:rFonts w:ascii="Calibri" w:hAnsi="Calibri"/>
                <w:sz w:val="18"/>
                <w:szCs w:val="18"/>
                <w:vertAlign w:val="subscript"/>
              </w:rPr>
            </w:pPr>
            <w:r w:rsidRPr="00B8717B">
              <w:rPr>
                <w:rFonts w:ascii="Calibri" w:hAnsi="Calibri"/>
                <w:i/>
                <w:sz w:val="18"/>
                <w:szCs w:val="18"/>
              </w:rPr>
              <w:t>WTS</w:t>
            </w:r>
            <w:r w:rsidRPr="00B8717B">
              <w:rPr>
                <w:rFonts w:ascii="Calibri" w:hAnsi="Calibri"/>
                <w:sz w:val="18"/>
                <w:szCs w:val="18"/>
                <w:vertAlign w:val="subscript"/>
              </w:rPr>
              <w:t>AIR 0,15</w:t>
            </w:r>
          </w:p>
          <w:p w:rsidR="000C27BF" w:rsidRPr="00B8717B" w:rsidRDefault="000C27BF" w:rsidP="00556540">
            <w:pPr>
              <w:jc w:val="center"/>
              <w:rPr>
                <w:rFonts w:ascii="Calibri" w:hAnsi="Calibri"/>
                <w:sz w:val="18"/>
                <w:szCs w:val="18"/>
              </w:rPr>
            </w:pPr>
            <w:r w:rsidRPr="00B8717B">
              <w:rPr>
                <w:rFonts w:ascii="Calibri" w:hAnsi="Calibri"/>
                <w:i/>
                <w:sz w:val="18"/>
                <w:szCs w:val="18"/>
              </w:rPr>
              <w:t>PRD</w:t>
            </w:r>
            <w:r w:rsidRPr="00B8717B">
              <w:rPr>
                <w:rFonts w:ascii="Calibri" w:hAnsi="Calibri"/>
                <w:sz w:val="18"/>
                <w:szCs w:val="18"/>
                <w:vertAlign w:val="subscript"/>
              </w:rPr>
              <w:t>AIR dekla</w:t>
            </w:r>
          </w:p>
        </w:tc>
      </w:tr>
      <w:tr w:rsidR="000C27BF" w:rsidRPr="00B8717B" w:rsidTr="00556540">
        <w:tc>
          <w:tcPr>
            <w:tcW w:w="2061" w:type="dxa"/>
            <w:vAlign w:val="center"/>
          </w:tcPr>
          <w:p w:rsidR="000C27BF" w:rsidRPr="00B8717B" w:rsidRDefault="000C27BF" w:rsidP="00556540">
            <w:pPr>
              <w:jc w:val="left"/>
              <w:rPr>
                <w:rFonts w:ascii="Calibri" w:hAnsi="Calibri"/>
                <w:sz w:val="18"/>
                <w:szCs w:val="18"/>
              </w:rPr>
            </w:pPr>
            <w:r w:rsidRPr="00B8717B">
              <w:rPr>
                <w:rFonts w:ascii="Calibri" w:hAnsi="Calibri"/>
                <w:sz w:val="18"/>
                <w:szCs w:val="18"/>
              </w:rPr>
              <w:t>Odporność na działanie wody</w:t>
            </w:r>
          </w:p>
        </w:tc>
        <w:tc>
          <w:tcPr>
            <w:tcW w:w="1418" w:type="dxa"/>
            <w:vAlign w:val="center"/>
          </w:tcPr>
          <w:p w:rsidR="000C27BF" w:rsidRPr="00B8717B" w:rsidRDefault="000C27BF" w:rsidP="00556540">
            <w:pPr>
              <w:rPr>
                <w:rFonts w:ascii="Calibri" w:hAnsi="Calibri"/>
                <w:sz w:val="18"/>
                <w:szCs w:val="18"/>
              </w:rPr>
            </w:pPr>
            <w:r w:rsidRPr="00B8717B">
              <w:rPr>
                <w:rFonts w:ascii="Calibri" w:hAnsi="Calibri"/>
                <w:sz w:val="18"/>
                <w:szCs w:val="18"/>
              </w:rPr>
              <w:t>C.1.1,ubijanie, 2×35 uderzeń</w:t>
            </w:r>
          </w:p>
        </w:tc>
        <w:tc>
          <w:tcPr>
            <w:tcW w:w="2551" w:type="dxa"/>
            <w:vAlign w:val="center"/>
          </w:tcPr>
          <w:p w:rsidR="000C27BF" w:rsidRPr="00B8717B" w:rsidRDefault="000C27BF" w:rsidP="00556540">
            <w:pPr>
              <w:jc w:val="center"/>
              <w:rPr>
                <w:rFonts w:ascii="Calibri" w:hAnsi="Calibri"/>
                <w:sz w:val="18"/>
                <w:szCs w:val="18"/>
              </w:rPr>
            </w:pPr>
            <w:r w:rsidRPr="00B8717B">
              <w:rPr>
                <w:rFonts w:ascii="Calibri" w:hAnsi="Calibri"/>
                <w:sz w:val="18"/>
                <w:szCs w:val="18"/>
              </w:rPr>
              <w:t xml:space="preserve">PN-EN 12697-12 [35], przechowywanie w </w:t>
            </w:r>
            <w:smartTag w:uri="urn:schemas-microsoft-com:office:smarttags" w:element="metricconverter">
              <w:smartTagPr>
                <w:attr w:name="ProductID" w:val="40ﾰC"/>
              </w:smartTagPr>
              <w:r w:rsidRPr="00B8717B">
                <w:rPr>
                  <w:rFonts w:ascii="Calibri" w:hAnsi="Calibri"/>
                  <w:sz w:val="18"/>
                  <w:szCs w:val="18"/>
                </w:rPr>
                <w:t>40°C</w:t>
              </w:r>
            </w:smartTag>
            <w:r w:rsidRPr="00B8717B">
              <w:rPr>
                <w:rFonts w:ascii="Calibri" w:hAnsi="Calibri"/>
                <w:sz w:val="18"/>
                <w:szCs w:val="18"/>
              </w:rPr>
              <w:t xml:space="preserve"> z jednym cyklem zamrażania, </w:t>
            </w:r>
          </w:p>
          <w:p w:rsidR="000C27BF" w:rsidRPr="00B8717B" w:rsidRDefault="000C27BF" w:rsidP="00556540">
            <w:pPr>
              <w:jc w:val="center"/>
              <w:rPr>
                <w:rFonts w:ascii="Calibri" w:hAnsi="Calibri"/>
                <w:sz w:val="18"/>
                <w:szCs w:val="18"/>
              </w:rPr>
            </w:pPr>
            <w:r w:rsidRPr="00B8717B">
              <w:rPr>
                <w:rFonts w:ascii="Calibri" w:hAnsi="Calibri"/>
                <w:sz w:val="18"/>
                <w:szCs w:val="18"/>
              </w:rPr>
              <w:t xml:space="preserve">badanie w </w:t>
            </w:r>
            <w:smartTag w:uri="urn:schemas-microsoft-com:office:smarttags" w:element="metricconverter">
              <w:smartTagPr>
                <w:attr w:name="ProductID" w:val="25ﾰC"/>
              </w:smartTagPr>
              <w:r w:rsidRPr="00B8717B">
                <w:rPr>
                  <w:rFonts w:ascii="Calibri" w:hAnsi="Calibri"/>
                  <w:sz w:val="18"/>
                  <w:szCs w:val="18"/>
                </w:rPr>
                <w:t>25°C</w:t>
              </w:r>
            </w:smartTag>
            <w:r w:rsidRPr="00B8717B">
              <w:rPr>
                <w:rFonts w:ascii="Calibri" w:hAnsi="Calibri"/>
                <w:sz w:val="18"/>
                <w:szCs w:val="18"/>
              </w:rPr>
              <w:t xml:space="preserve"> </w:t>
            </w:r>
            <w:r w:rsidRPr="00B8717B">
              <w:rPr>
                <w:rFonts w:ascii="Calibri" w:hAnsi="Calibri"/>
                <w:sz w:val="18"/>
                <w:szCs w:val="18"/>
                <w:vertAlign w:val="superscript"/>
              </w:rPr>
              <w:t>b)</w:t>
            </w:r>
          </w:p>
        </w:tc>
        <w:tc>
          <w:tcPr>
            <w:tcW w:w="1170" w:type="dxa"/>
            <w:vAlign w:val="center"/>
          </w:tcPr>
          <w:p w:rsidR="000C27BF" w:rsidRPr="00B8717B" w:rsidRDefault="000C27BF" w:rsidP="00556540">
            <w:pPr>
              <w:jc w:val="center"/>
              <w:rPr>
                <w:rFonts w:ascii="Calibri" w:hAnsi="Calibri"/>
                <w:sz w:val="18"/>
                <w:szCs w:val="18"/>
                <w:vertAlign w:val="subscript"/>
              </w:rPr>
            </w:pPr>
            <w:r w:rsidRPr="00B8717B">
              <w:rPr>
                <w:rFonts w:ascii="Calibri" w:hAnsi="Calibri"/>
                <w:i/>
                <w:sz w:val="18"/>
                <w:szCs w:val="18"/>
              </w:rPr>
              <w:t>ITSR</w:t>
            </w:r>
            <w:r w:rsidRPr="00B8717B">
              <w:rPr>
                <w:rFonts w:ascii="Calibri" w:hAnsi="Calibri"/>
                <w:i/>
                <w:sz w:val="18"/>
                <w:szCs w:val="18"/>
                <w:vertAlign w:val="subscript"/>
              </w:rPr>
              <w:t>80</w:t>
            </w:r>
          </w:p>
        </w:tc>
        <w:tc>
          <w:tcPr>
            <w:tcW w:w="1260" w:type="dxa"/>
            <w:vAlign w:val="center"/>
          </w:tcPr>
          <w:p w:rsidR="000C27BF" w:rsidRPr="00B8717B" w:rsidRDefault="000C27BF" w:rsidP="00556540">
            <w:pPr>
              <w:jc w:val="center"/>
              <w:rPr>
                <w:rFonts w:ascii="Calibri" w:hAnsi="Calibri"/>
                <w:sz w:val="18"/>
                <w:szCs w:val="18"/>
                <w:vertAlign w:val="subscript"/>
              </w:rPr>
            </w:pPr>
            <w:r w:rsidRPr="00B8717B">
              <w:rPr>
                <w:rFonts w:ascii="Calibri" w:hAnsi="Calibri"/>
                <w:i/>
                <w:sz w:val="18"/>
                <w:szCs w:val="18"/>
              </w:rPr>
              <w:t>ITSR</w:t>
            </w:r>
            <w:r w:rsidRPr="00B8717B">
              <w:rPr>
                <w:rFonts w:ascii="Calibri" w:hAnsi="Calibri"/>
                <w:i/>
                <w:sz w:val="18"/>
                <w:szCs w:val="18"/>
                <w:vertAlign w:val="subscript"/>
              </w:rPr>
              <w:t>80</w:t>
            </w:r>
          </w:p>
        </w:tc>
      </w:tr>
    </w:tbl>
    <w:p w:rsidR="000C27BF" w:rsidRPr="0066462B" w:rsidRDefault="000C27BF" w:rsidP="000C27BF">
      <w:pPr>
        <w:ind w:left="709"/>
        <w:rPr>
          <w:rFonts w:ascii="Calibri" w:hAnsi="Calibri"/>
          <w:i/>
          <w:sz w:val="18"/>
          <w:szCs w:val="18"/>
        </w:rPr>
      </w:pPr>
      <w:r w:rsidRPr="0066462B">
        <w:rPr>
          <w:rFonts w:ascii="Calibri" w:hAnsi="Calibri"/>
          <w:i/>
          <w:sz w:val="18"/>
          <w:szCs w:val="18"/>
        </w:rPr>
        <w:t>a) Grubość plyty: AC16P, AC22P 60mm, AC32P 80mm</w:t>
      </w:r>
    </w:p>
    <w:p w:rsidR="000C27BF" w:rsidRPr="0066462B" w:rsidRDefault="000C27BF" w:rsidP="000C27BF">
      <w:pPr>
        <w:ind w:left="709"/>
        <w:rPr>
          <w:rFonts w:ascii="Calibri" w:hAnsi="Calibri"/>
          <w:i/>
          <w:sz w:val="18"/>
          <w:szCs w:val="18"/>
        </w:rPr>
      </w:pPr>
      <w:r w:rsidRPr="0066462B">
        <w:rPr>
          <w:rFonts w:ascii="Calibri" w:hAnsi="Calibri"/>
          <w:i/>
          <w:sz w:val="18"/>
          <w:szCs w:val="18"/>
        </w:rPr>
        <w:t>b) Ujednoliconą procedurę badania odporności na działanie wody podano w WT-2 2010 [65] w załączniku 1.</w:t>
      </w:r>
    </w:p>
    <w:p w:rsidR="000C27BF" w:rsidRPr="00B8717B" w:rsidRDefault="000C27BF" w:rsidP="000C27BF">
      <w:pPr>
        <w:ind w:left="709"/>
        <w:rPr>
          <w:rFonts w:ascii="Calibri" w:hAnsi="Calibri"/>
          <w:sz w:val="18"/>
          <w:szCs w:val="18"/>
        </w:rPr>
      </w:pPr>
    </w:p>
    <w:p w:rsidR="000C27BF" w:rsidRPr="00B8717B" w:rsidRDefault="000C27BF" w:rsidP="000C27BF">
      <w:pPr>
        <w:rPr>
          <w:rFonts w:ascii="Calibri" w:hAnsi="Calibri"/>
        </w:rPr>
      </w:pPr>
      <w:r w:rsidRPr="0044797E">
        <w:rPr>
          <w:rFonts w:ascii="Calibri" w:hAnsi="Calibri"/>
          <w:b/>
        </w:rPr>
        <w:t>5.3.</w:t>
      </w:r>
      <w:r w:rsidRPr="00B8717B">
        <w:rPr>
          <w:rFonts w:ascii="Calibri" w:hAnsi="Calibri"/>
        </w:rPr>
        <w:t xml:space="preserve"> Wytwarzanie mieszanki mineralno-asfaltowej</w:t>
      </w:r>
    </w:p>
    <w:p w:rsidR="000C27BF" w:rsidRPr="00B8717B" w:rsidRDefault="000C27BF" w:rsidP="000C27BF">
      <w:pPr>
        <w:rPr>
          <w:rFonts w:ascii="Calibri" w:hAnsi="Calibri"/>
        </w:rPr>
      </w:pPr>
      <w:r w:rsidRPr="00B8717B">
        <w:rPr>
          <w:rFonts w:ascii="Calibri" w:hAnsi="Calibri"/>
        </w:rPr>
        <w:tab/>
        <w:t>Mieszankę mineralno-asfaltową należy wytwarzać na gorąco w otaczarce (zespole maszyn i urządzeń dozowania, podgrzewania i mieszania składników oraz przechowywania gotowej mieszanki).</w:t>
      </w:r>
    </w:p>
    <w:p w:rsidR="000C27BF" w:rsidRPr="00B8717B" w:rsidRDefault="000C27BF" w:rsidP="000C27BF">
      <w:pPr>
        <w:rPr>
          <w:rFonts w:ascii="Calibri" w:hAnsi="Calibri"/>
        </w:rPr>
      </w:pPr>
      <w:r w:rsidRPr="00B8717B">
        <w:rPr>
          <w:rFonts w:ascii="Calibri" w:hAnsi="Calibri"/>
        </w:rPr>
        <w:tab/>
        <w:t>Dozowanie składników mieszanki mineralno-asfaltowej w otaczarkach, w tym także wstępne, powinno być zautomatyzowane i zgodne z receptą roboczą, a urządzenia do dozowania składników oraz pomiaru temperatury powinny być okresowo sprawdzane. Kruszywo o różnym uziarnieniu lub pochodzeniu należy dodawać odmierzone oddzielnie.</w:t>
      </w:r>
    </w:p>
    <w:p w:rsidR="000C27BF" w:rsidRPr="00B8717B" w:rsidRDefault="000C27BF" w:rsidP="000C27BF">
      <w:pPr>
        <w:rPr>
          <w:rFonts w:ascii="Calibri" w:hAnsi="Calibri"/>
        </w:rPr>
      </w:pPr>
      <w:r w:rsidRPr="00B8717B">
        <w:rPr>
          <w:rFonts w:ascii="Calibri" w:hAnsi="Calibri"/>
        </w:rPr>
        <w:tab/>
        <w:t xml:space="preserve">Lepiszcze asfaltowe należy przechowywać w zbiorniku z pośrednim systemem ogrzewania, z układem termostatowania zapewniającym utrzymanie żądanej temperatury z dokładnością ± </w:t>
      </w:r>
      <w:smartTag w:uri="urn:schemas-microsoft-com:office:smarttags" w:element="metricconverter">
        <w:smartTagPr>
          <w:attr w:name="ProductID" w:val="5ﾰC"/>
        </w:smartTagPr>
        <w:r w:rsidRPr="00B8717B">
          <w:rPr>
            <w:rFonts w:ascii="Calibri" w:hAnsi="Calibri"/>
          </w:rPr>
          <w:t>5°C</w:t>
        </w:r>
      </w:smartTag>
      <w:r w:rsidRPr="00B8717B">
        <w:rPr>
          <w:rFonts w:ascii="Calibri" w:hAnsi="Calibri"/>
        </w:rPr>
        <w:t xml:space="preserve">. Temperatura lepiszcza asfaltowego w zbiorniku magazynowym (roboczym) nie może przekraczać </w:t>
      </w:r>
      <w:smartTag w:uri="urn:schemas-microsoft-com:office:smarttags" w:element="metricconverter">
        <w:smartTagPr>
          <w:attr w:name="ProductID" w:val="180ﾰC"/>
        </w:smartTagPr>
        <w:r w:rsidRPr="00B8717B">
          <w:rPr>
            <w:rFonts w:ascii="Calibri" w:hAnsi="Calibri"/>
          </w:rPr>
          <w:t>180°C</w:t>
        </w:r>
      </w:smartTag>
      <w:r w:rsidRPr="00B8717B">
        <w:rPr>
          <w:rFonts w:ascii="Calibri" w:hAnsi="Calibri"/>
        </w:rPr>
        <w:t xml:space="preserve"> dla asfaltu drogowego 50/70 i polimeroasfaltu drogowego PMB25/55-60 oraz </w:t>
      </w:r>
      <w:smartTag w:uri="urn:schemas-microsoft-com:office:smarttags" w:element="metricconverter">
        <w:smartTagPr>
          <w:attr w:name="ProductID" w:val="190ﾰC"/>
        </w:smartTagPr>
        <w:r w:rsidRPr="00B8717B">
          <w:rPr>
            <w:rFonts w:ascii="Calibri" w:hAnsi="Calibri"/>
          </w:rPr>
          <w:t>190°C</w:t>
        </w:r>
      </w:smartTag>
      <w:r w:rsidRPr="00B8717B">
        <w:rPr>
          <w:rFonts w:ascii="Calibri" w:hAnsi="Calibri"/>
        </w:rPr>
        <w:t xml:space="preserve"> dla asfaltu drogowego 35/50.</w:t>
      </w:r>
      <w:r w:rsidRPr="00B8717B">
        <w:rPr>
          <w:rFonts w:ascii="Calibri" w:hAnsi="Calibri"/>
        </w:rPr>
        <w:tab/>
      </w:r>
    </w:p>
    <w:p w:rsidR="000C27BF" w:rsidRPr="00B8717B" w:rsidRDefault="000C27BF" w:rsidP="000C27BF">
      <w:pPr>
        <w:rPr>
          <w:rFonts w:ascii="Calibri" w:hAnsi="Calibri"/>
        </w:rPr>
      </w:pPr>
      <w:r w:rsidRPr="00B8717B">
        <w:rPr>
          <w:rFonts w:ascii="Calibri" w:hAnsi="Calibri"/>
        </w:rPr>
        <w:t xml:space="preserve">Kruszywo powinno być wysuszone i podgrzane tak, aby mieszanka mineralna uzyskała temperaturę właściwą do otoczenia lepiszczem asfaltowym. Temperatura mieszanki mineralnej nie powinna być wyższa o więcej niż </w:t>
      </w:r>
      <w:smartTag w:uri="urn:schemas-microsoft-com:office:smarttags" w:element="metricconverter">
        <w:smartTagPr>
          <w:attr w:name="ProductID" w:val="30ﾰC"/>
        </w:smartTagPr>
        <w:r w:rsidRPr="00B8717B">
          <w:rPr>
            <w:rFonts w:ascii="Calibri" w:hAnsi="Calibri"/>
          </w:rPr>
          <w:t>30°C</w:t>
        </w:r>
      </w:smartTag>
      <w:r w:rsidRPr="00B8717B">
        <w:rPr>
          <w:rFonts w:ascii="Calibri" w:hAnsi="Calibri"/>
        </w:rPr>
        <w:t xml:space="preserve"> od najwyższej temperatury mieszanki mineralno-asfaltowej podanej w tablicy 9. W tej tablicy najniższa temperatura dotyczy mieszanki mineralno-asfaltowej dostarczonej na miejsce wbudowania, a najwyższa temperatura dotyczy mieszanki mineralno-asfaltowej bezpośrednio po wytworzeniu w wytwórni.</w:t>
      </w:r>
    </w:p>
    <w:p w:rsidR="000C27BF" w:rsidRDefault="000C27BF" w:rsidP="000C27BF">
      <w:pPr>
        <w:rPr>
          <w:rFonts w:ascii="Calibri" w:hAnsi="Calibri"/>
        </w:rPr>
      </w:pPr>
    </w:p>
    <w:p w:rsidR="000C27BF" w:rsidRPr="00B8717B" w:rsidRDefault="000C27BF" w:rsidP="000C27BF">
      <w:pPr>
        <w:ind w:left="709"/>
        <w:rPr>
          <w:rFonts w:ascii="Calibri" w:hAnsi="Calibri"/>
        </w:rPr>
      </w:pPr>
      <w:r w:rsidRPr="00B8717B">
        <w:rPr>
          <w:rFonts w:ascii="Calibri" w:hAnsi="Calibri"/>
        </w:rPr>
        <w:t>Tablica 9. Najwyższa i najniższa temperatura mieszanki AC [65]</w:t>
      </w:r>
    </w:p>
    <w:tbl>
      <w:tblPr>
        <w:tblW w:w="0" w:type="auto"/>
        <w:tblInd w:w="81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tblPr>
      <w:tblGrid>
        <w:gridCol w:w="2371"/>
        <w:gridCol w:w="2590"/>
      </w:tblGrid>
      <w:tr w:rsidR="000C27BF" w:rsidRPr="00B8717B" w:rsidTr="00556540">
        <w:tc>
          <w:tcPr>
            <w:tcW w:w="2371" w:type="dxa"/>
          </w:tcPr>
          <w:p w:rsidR="000C27BF" w:rsidRPr="00B8717B" w:rsidRDefault="000C27BF" w:rsidP="00556540">
            <w:pPr>
              <w:spacing w:before="60" w:after="60"/>
              <w:jc w:val="center"/>
              <w:rPr>
                <w:rFonts w:ascii="Calibri" w:hAnsi="Calibri"/>
                <w:sz w:val="18"/>
                <w:szCs w:val="18"/>
              </w:rPr>
            </w:pPr>
            <w:r w:rsidRPr="00B8717B">
              <w:rPr>
                <w:rFonts w:ascii="Calibri" w:hAnsi="Calibri"/>
                <w:sz w:val="18"/>
                <w:szCs w:val="18"/>
              </w:rPr>
              <w:t>Lepiszcze asfaltowe</w:t>
            </w:r>
          </w:p>
        </w:tc>
        <w:tc>
          <w:tcPr>
            <w:tcW w:w="2590" w:type="dxa"/>
          </w:tcPr>
          <w:p w:rsidR="000C27BF" w:rsidRPr="00B8717B" w:rsidRDefault="000C27BF" w:rsidP="00556540">
            <w:pPr>
              <w:spacing w:before="60" w:after="60"/>
              <w:jc w:val="center"/>
              <w:rPr>
                <w:rFonts w:ascii="Calibri" w:hAnsi="Calibri"/>
                <w:sz w:val="18"/>
                <w:szCs w:val="18"/>
              </w:rPr>
            </w:pPr>
            <w:r w:rsidRPr="00B8717B">
              <w:rPr>
                <w:rFonts w:ascii="Calibri" w:hAnsi="Calibri"/>
                <w:sz w:val="18"/>
                <w:szCs w:val="18"/>
              </w:rPr>
              <w:t>Temperatura mieszanki [°C]</w:t>
            </w:r>
          </w:p>
        </w:tc>
      </w:tr>
      <w:tr w:rsidR="000C27BF" w:rsidRPr="00B8717B" w:rsidTr="00556540">
        <w:tc>
          <w:tcPr>
            <w:tcW w:w="2371" w:type="dxa"/>
          </w:tcPr>
          <w:p w:rsidR="000C27BF" w:rsidRPr="00B8717B" w:rsidRDefault="000C27BF" w:rsidP="00556540">
            <w:pPr>
              <w:spacing w:before="60"/>
              <w:rPr>
                <w:rFonts w:ascii="Calibri" w:hAnsi="Calibri"/>
                <w:sz w:val="18"/>
                <w:szCs w:val="18"/>
              </w:rPr>
            </w:pPr>
            <w:r w:rsidRPr="00B8717B">
              <w:rPr>
                <w:rFonts w:ascii="Calibri" w:hAnsi="Calibri"/>
                <w:sz w:val="18"/>
                <w:szCs w:val="18"/>
              </w:rPr>
              <w:t>Asfalt 35/50</w:t>
            </w:r>
          </w:p>
          <w:p w:rsidR="000C27BF" w:rsidRPr="00B8717B" w:rsidRDefault="000C27BF" w:rsidP="00556540">
            <w:pPr>
              <w:spacing w:before="60"/>
              <w:rPr>
                <w:rFonts w:ascii="Calibri" w:hAnsi="Calibri"/>
                <w:sz w:val="18"/>
                <w:szCs w:val="18"/>
              </w:rPr>
            </w:pPr>
            <w:r w:rsidRPr="00B8717B">
              <w:rPr>
                <w:rFonts w:ascii="Calibri" w:hAnsi="Calibri"/>
                <w:sz w:val="18"/>
                <w:szCs w:val="18"/>
              </w:rPr>
              <w:t>Asfalt 50/70</w:t>
            </w:r>
          </w:p>
          <w:p w:rsidR="000C27BF" w:rsidRPr="00B8717B" w:rsidRDefault="000C27BF" w:rsidP="00556540">
            <w:pPr>
              <w:spacing w:before="60"/>
              <w:rPr>
                <w:rFonts w:ascii="Calibri" w:hAnsi="Calibri"/>
                <w:sz w:val="18"/>
                <w:szCs w:val="18"/>
              </w:rPr>
            </w:pPr>
            <w:r w:rsidRPr="00B8717B">
              <w:rPr>
                <w:rFonts w:ascii="Calibri" w:hAnsi="Calibri"/>
                <w:sz w:val="18"/>
                <w:szCs w:val="18"/>
              </w:rPr>
              <w:t>Wielorodzajowy 35/50</w:t>
            </w:r>
          </w:p>
          <w:p w:rsidR="000C27BF" w:rsidRPr="00B8717B" w:rsidRDefault="000C27BF" w:rsidP="00556540">
            <w:pPr>
              <w:spacing w:before="60"/>
              <w:rPr>
                <w:rFonts w:ascii="Calibri" w:hAnsi="Calibri"/>
                <w:sz w:val="18"/>
                <w:szCs w:val="18"/>
              </w:rPr>
            </w:pPr>
            <w:r w:rsidRPr="00B8717B">
              <w:rPr>
                <w:rFonts w:ascii="Calibri" w:hAnsi="Calibri"/>
                <w:sz w:val="18"/>
                <w:szCs w:val="18"/>
              </w:rPr>
              <w:t>Wielorodzajowy 50/70</w:t>
            </w:r>
          </w:p>
          <w:p w:rsidR="000C27BF" w:rsidRPr="00B8717B" w:rsidRDefault="000C27BF" w:rsidP="00556540">
            <w:pPr>
              <w:spacing w:before="60"/>
              <w:rPr>
                <w:rFonts w:ascii="Calibri" w:hAnsi="Calibri"/>
                <w:sz w:val="18"/>
                <w:szCs w:val="18"/>
              </w:rPr>
            </w:pPr>
            <w:r w:rsidRPr="00B8717B">
              <w:rPr>
                <w:rFonts w:ascii="Calibri" w:hAnsi="Calibri"/>
                <w:sz w:val="18"/>
                <w:szCs w:val="18"/>
              </w:rPr>
              <w:t>PMB 25/55-60</w:t>
            </w:r>
          </w:p>
        </w:tc>
        <w:tc>
          <w:tcPr>
            <w:tcW w:w="2590" w:type="dxa"/>
          </w:tcPr>
          <w:p w:rsidR="000C27BF" w:rsidRPr="00B8717B" w:rsidRDefault="000C27BF" w:rsidP="00556540">
            <w:pPr>
              <w:spacing w:before="60"/>
              <w:jc w:val="center"/>
              <w:rPr>
                <w:rFonts w:ascii="Calibri" w:hAnsi="Calibri"/>
                <w:sz w:val="18"/>
                <w:szCs w:val="18"/>
              </w:rPr>
            </w:pPr>
            <w:r w:rsidRPr="00B8717B">
              <w:rPr>
                <w:rFonts w:ascii="Calibri" w:hAnsi="Calibri"/>
                <w:sz w:val="18"/>
                <w:szCs w:val="18"/>
              </w:rPr>
              <w:t>od 155 do 195</w:t>
            </w:r>
          </w:p>
          <w:p w:rsidR="000C27BF" w:rsidRPr="00B8717B" w:rsidRDefault="000C27BF" w:rsidP="00556540">
            <w:pPr>
              <w:spacing w:before="60"/>
              <w:jc w:val="center"/>
              <w:rPr>
                <w:rFonts w:ascii="Calibri" w:hAnsi="Calibri"/>
                <w:sz w:val="18"/>
                <w:szCs w:val="18"/>
              </w:rPr>
            </w:pPr>
            <w:r w:rsidRPr="00B8717B">
              <w:rPr>
                <w:rFonts w:ascii="Calibri" w:hAnsi="Calibri"/>
                <w:sz w:val="18"/>
                <w:szCs w:val="18"/>
              </w:rPr>
              <w:t>od 140 do 180</w:t>
            </w:r>
          </w:p>
          <w:p w:rsidR="000C27BF" w:rsidRPr="00B8717B" w:rsidRDefault="000C27BF" w:rsidP="00556540">
            <w:pPr>
              <w:spacing w:before="60"/>
              <w:jc w:val="center"/>
              <w:rPr>
                <w:rFonts w:ascii="Calibri" w:hAnsi="Calibri"/>
                <w:sz w:val="18"/>
                <w:szCs w:val="18"/>
              </w:rPr>
            </w:pPr>
            <w:r w:rsidRPr="00B8717B">
              <w:rPr>
                <w:rFonts w:ascii="Calibri" w:hAnsi="Calibri"/>
                <w:sz w:val="18"/>
                <w:szCs w:val="18"/>
              </w:rPr>
              <w:t>od 155 do 195</w:t>
            </w:r>
          </w:p>
          <w:p w:rsidR="000C27BF" w:rsidRPr="00B8717B" w:rsidRDefault="000C27BF" w:rsidP="00556540">
            <w:pPr>
              <w:spacing w:before="60"/>
              <w:jc w:val="center"/>
              <w:rPr>
                <w:rFonts w:ascii="Calibri" w:hAnsi="Calibri"/>
                <w:sz w:val="18"/>
                <w:szCs w:val="18"/>
              </w:rPr>
            </w:pPr>
            <w:r w:rsidRPr="00B8717B">
              <w:rPr>
                <w:rFonts w:ascii="Calibri" w:hAnsi="Calibri"/>
                <w:sz w:val="18"/>
                <w:szCs w:val="18"/>
              </w:rPr>
              <w:t>od 140 do 180</w:t>
            </w:r>
          </w:p>
          <w:p w:rsidR="000C27BF" w:rsidRPr="00B8717B" w:rsidRDefault="000C27BF" w:rsidP="00556540">
            <w:pPr>
              <w:spacing w:before="60"/>
              <w:jc w:val="center"/>
              <w:rPr>
                <w:rFonts w:ascii="Calibri" w:hAnsi="Calibri"/>
                <w:sz w:val="18"/>
                <w:szCs w:val="18"/>
              </w:rPr>
            </w:pPr>
            <w:r w:rsidRPr="00B8717B">
              <w:rPr>
                <w:rFonts w:ascii="Calibri" w:hAnsi="Calibri"/>
                <w:sz w:val="18"/>
                <w:szCs w:val="18"/>
              </w:rPr>
              <w:t>od 140 do 180</w:t>
            </w:r>
          </w:p>
        </w:tc>
      </w:tr>
    </w:tbl>
    <w:p w:rsidR="000C27BF" w:rsidRPr="00B8717B" w:rsidRDefault="000C27BF" w:rsidP="000C27BF">
      <w:pPr>
        <w:rPr>
          <w:rFonts w:ascii="Calibri" w:hAnsi="Calibri"/>
        </w:rPr>
      </w:pPr>
    </w:p>
    <w:p w:rsidR="000C27BF" w:rsidRPr="00B8717B" w:rsidRDefault="000C27BF" w:rsidP="000C27BF">
      <w:pPr>
        <w:rPr>
          <w:rFonts w:ascii="Calibri" w:hAnsi="Calibri"/>
        </w:rPr>
      </w:pPr>
      <w:r w:rsidRPr="00B8717B">
        <w:rPr>
          <w:rFonts w:ascii="Calibri" w:hAnsi="Calibri"/>
        </w:rPr>
        <w:tab/>
        <w:t>Sposób i czas mieszania składników mieszanki mineralno-asfaltowej powinny zapewnić równomierne otoczenie kruszywa lepiszczem asfaltowym.</w:t>
      </w:r>
    </w:p>
    <w:p w:rsidR="000C27BF" w:rsidRPr="00B8717B" w:rsidRDefault="000C27BF" w:rsidP="000C27BF">
      <w:pPr>
        <w:rPr>
          <w:rFonts w:ascii="Calibri" w:hAnsi="Calibri"/>
        </w:rPr>
      </w:pPr>
      <w:r w:rsidRPr="00B8717B">
        <w:rPr>
          <w:rFonts w:ascii="Calibri" w:hAnsi="Calibri"/>
        </w:rPr>
        <w:tab/>
        <w:t>Dopuszcza się dostawy mieszanek mineralno-asfaltowych z kilku wytwórni, pod warunkiem skoordynowania między sobą deklarowanych przydatności mieszanek (m.in.: typ, rodzaj składników, właściwości objętościowe) z zachowaniem braku różnic w ich właściwościach.</w:t>
      </w:r>
    </w:p>
    <w:p w:rsidR="008F20A4" w:rsidRDefault="008F20A4" w:rsidP="000C27BF">
      <w:pPr>
        <w:rPr>
          <w:rFonts w:ascii="Calibri" w:hAnsi="Calibri"/>
          <w:b/>
        </w:rPr>
      </w:pPr>
    </w:p>
    <w:p w:rsidR="008F20A4" w:rsidRDefault="008F20A4" w:rsidP="000C27BF">
      <w:pPr>
        <w:rPr>
          <w:rFonts w:ascii="Calibri" w:hAnsi="Calibri"/>
          <w:b/>
        </w:rPr>
      </w:pPr>
    </w:p>
    <w:p w:rsidR="000C27BF" w:rsidRPr="00B8717B" w:rsidRDefault="000C27BF" w:rsidP="000C27BF">
      <w:pPr>
        <w:rPr>
          <w:rFonts w:ascii="Calibri" w:hAnsi="Calibri"/>
        </w:rPr>
      </w:pPr>
      <w:r w:rsidRPr="0044797E">
        <w:rPr>
          <w:rFonts w:ascii="Calibri" w:hAnsi="Calibri"/>
          <w:b/>
        </w:rPr>
        <w:lastRenderedPageBreak/>
        <w:t>5.4.</w:t>
      </w:r>
      <w:r w:rsidRPr="00B8717B">
        <w:rPr>
          <w:rFonts w:ascii="Calibri" w:hAnsi="Calibri"/>
        </w:rPr>
        <w:t xml:space="preserve"> Przygotowanie podłoża</w:t>
      </w:r>
    </w:p>
    <w:p w:rsidR="000C27BF" w:rsidRPr="00B8717B" w:rsidRDefault="000C27BF" w:rsidP="000C27BF">
      <w:pPr>
        <w:rPr>
          <w:rFonts w:ascii="Calibri" w:hAnsi="Calibri"/>
        </w:rPr>
      </w:pPr>
      <w:r w:rsidRPr="00B8717B">
        <w:rPr>
          <w:rFonts w:ascii="Calibri" w:hAnsi="Calibri"/>
        </w:rPr>
        <w:tab/>
        <w:t>Podłoże (podbudowa lub stara warstwa ścieralna) pod warstwę wiążącą lub wyrównawczą  z betonu asfaltowego powinno być na całej powierzchni:</w:t>
      </w:r>
    </w:p>
    <w:p w:rsidR="000C27BF" w:rsidRPr="00B8717B" w:rsidRDefault="000C27BF" w:rsidP="000C27BF">
      <w:pPr>
        <w:rPr>
          <w:rFonts w:ascii="Calibri" w:hAnsi="Calibri"/>
        </w:rPr>
      </w:pPr>
      <w:r>
        <w:rPr>
          <w:rFonts w:ascii="Calibri" w:hAnsi="Calibri"/>
        </w:rPr>
        <w:t>-</w:t>
      </w:r>
      <w:r w:rsidRPr="00B8717B">
        <w:rPr>
          <w:rFonts w:ascii="Calibri" w:hAnsi="Calibri"/>
        </w:rPr>
        <w:t>ustabilizowane i nośne,</w:t>
      </w:r>
    </w:p>
    <w:p w:rsidR="000C27BF" w:rsidRPr="00B8717B" w:rsidRDefault="000C27BF" w:rsidP="000C27BF">
      <w:pPr>
        <w:rPr>
          <w:rFonts w:ascii="Calibri" w:hAnsi="Calibri"/>
        </w:rPr>
      </w:pPr>
      <w:r>
        <w:rPr>
          <w:rFonts w:ascii="Calibri" w:hAnsi="Calibri"/>
        </w:rPr>
        <w:t>-</w:t>
      </w:r>
      <w:r w:rsidRPr="00B8717B">
        <w:rPr>
          <w:rFonts w:ascii="Calibri" w:hAnsi="Calibri"/>
        </w:rPr>
        <w:t>czyste, bez zanieczyszczenia lub pozostałości luźnego kruszywa,</w:t>
      </w:r>
    </w:p>
    <w:p w:rsidR="000C27BF" w:rsidRPr="00B8717B" w:rsidRDefault="000C27BF" w:rsidP="000C27BF">
      <w:pPr>
        <w:rPr>
          <w:rFonts w:ascii="Calibri" w:hAnsi="Calibri"/>
        </w:rPr>
      </w:pPr>
      <w:r>
        <w:rPr>
          <w:rFonts w:ascii="Calibri" w:hAnsi="Calibri"/>
        </w:rPr>
        <w:t>-</w:t>
      </w:r>
      <w:r w:rsidRPr="00B8717B">
        <w:rPr>
          <w:rFonts w:ascii="Calibri" w:hAnsi="Calibri"/>
        </w:rPr>
        <w:t>wyprofilowane, równe i bez kolein,</w:t>
      </w:r>
    </w:p>
    <w:p w:rsidR="000C27BF" w:rsidRPr="00B8717B" w:rsidRDefault="000C27BF" w:rsidP="000C27BF">
      <w:pPr>
        <w:rPr>
          <w:rFonts w:ascii="Calibri" w:hAnsi="Calibri"/>
        </w:rPr>
      </w:pPr>
      <w:r>
        <w:rPr>
          <w:rFonts w:ascii="Calibri" w:hAnsi="Calibri"/>
        </w:rPr>
        <w:t>-</w:t>
      </w:r>
      <w:r w:rsidRPr="00B8717B">
        <w:rPr>
          <w:rFonts w:ascii="Calibri" w:hAnsi="Calibri"/>
        </w:rPr>
        <w:t>suche.</w:t>
      </w:r>
    </w:p>
    <w:p w:rsidR="000C27BF" w:rsidRPr="00B8717B" w:rsidRDefault="000C27BF" w:rsidP="000C27BF">
      <w:pPr>
        <w:rPr>
          <w:rFonts w:ascii="Calibri" w:hAnsi="Calibri"/>
        </w:rPr>
      </w:pPr>
      <w:r w:rsidRPr="00B8717B">
        <w:rPr>
          <w:rFonts w:ascii="Calibri" w:hAnsi="Calibri"/>
        </w:rPr>
        <w:t>Wymagana równość podłużna jest określona w rozporządzeniu dotyczącym warunków technicznych, jakim powinny odpowiadać drogi publiczne [67]. W wypadku podłoża z warstwy starej nawierzchni, nierówności nie powinny przekraczać wartości podanych w tablicy 10.</w:t>
      </w:r>
    </w:p>
    <w:p w:rsidR="000C27BF" w:rsidRDefault="000C27BF" w:rsidP="000C27BF">
      <w:pPr>
        <w:ind w:left="709"/>
        <w:rPr>
          <w:rFonts w:ascii="Calibri" w:hAnsi="Calibri"/>
        </w:rPr>
      </w:pPr>
    </w:p>
    <w:p w:rsidR="000C27BF" w:rsidRPr="00B8717B" w:rsidRDefault="000C27BF" w:rsidP="000C27BF">
      <w:pPr>
        <w:ind w:left="709"/>
        <w:rPr>
          <w:rFonts w:ascii="Calibri" w:hAnsi="Calibri"/>
        </w:rPr>
      </w:pPr>
      <w:r w:rsidRPr="00B8717B">
        <w:rPr>
          <w:rFonts w:ascii="Calibri" w:hAnsi="Calibri"/>
        </w:rPr>
        <w:t>Tablica 10.</w:t>
      </w:r>
      <w:r>
        <w:rPr>
          <w:rFonts w:ascii="Calibri" w:hAnsi="Calibri"/>
        </w:rPr>
        <w:t xml:space="preserve"> </w:t>
      </w:r>
      <w:r w:rsidRPr="00B8717B">
        <w:rPr>
          <w:rFonts w:ascii="Calibri" w:hAnsi="Calibri"/>
        </w:rPr>
        <w:t xml:space="preserve">Maksymalne nierówności podłoża z warstwy starej nawierzchni pod warstwy asfaltowe (pomiar łatą 4-metrową lub równoważną metodą) </w:t>
      </w:r>
    </w:p>
    <w:tbl>
      <w:tblPr>
        <w:tblW w:w="0" w:type="auto"/>
        <w:tblInd w:w="81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tblPr>
      <w:tblGrid>
        <w:gridCol w:w="1242"/>
        <w:gridCol w:w="3969"/>
        <w:gridCol w:w="2300"/>
      </w:tblGrid>
      <w:tr w:rsidR="000C27BF" w:rsidRPr="00B8717B" w:rsidTr="00556540">
        <w:tc>
          <w:tcPr>
            <w:tcW w:w="1242" w:type="dxa"/>
          </w:tcPr>
          <w:p w:rsidR="000C27BF" w:rsidRPr="00B8717B" w:rsidRDefault="000C27BF" w:rsidP="00556540">
            <w:pPr>
              <w:jc w:val="center"/>
              <w:rPr>
                <w:rFonts w:ascii="Calibri" w:hAnsi="Calibri"/>
                <w:sz w:val="18"/>
                <w:szCs w:val="18"/>
              </w:rPr>
            </w:pPr>
          </w:p>
          <w:p w:rsidR="000C27BF" w:rsidRPr="00B8717B" w:rsidRDefault="000C27BF" w:rsidP="00556540">
            <w:pPr>
              <w:jc w:val="center"/>
              <w:rPr>
                <w:rFonts w:ascii="Calibri" w:hAnsi="Calibri"/>
                <w:sz w:val="18"/>
                <w:szCs w:val="18"/>
              </w:rPr>
            </w:pPr>
            <w:r w:rsidRPr="00B8717B">
              <w:rPr>
                <w:rFonts w:ascii="Calibri" w:hAnsi="Calibri"/>
                <w:sz w:val="18"/>
                <w:szCs w:val="18"/>
              </w:rPr>
              <w:t>Klasa drogi</w:t>
            </w:r>
          </w:p>
        </w:tc>
        <w:tc>
          <w:tcPr>
            <w:tcW w:w="3969" w:type="dxa"/>
          </w:tcPr>
          <w:p w:rsidR="000C27BF" w:rsidRPr="00B8717B" w:rsidRDefault="000C27BF" w:rsidP="00556540">
            <w:pPr>
              <w:jc w:val="center"/>
              <w:rPr>
                <w:rFonts w:ascii="Calibri" w:hAnsi="Calibri"/>
                <w:sz w:val="18"/>
                <w:szCs w:val="18"/>
              </w:rPr>
            </w:pPr>
          </w:p>
          <w:p w:rsidR="000C27BF" w:rsidRPr="00B8717B" w:rsidRDefault="000C27BF" w:rsidP="00556540">
            <w:pPr>
              <w:jc w:val="center"/>
              <w:rPr>
                <w:rFonts w:ascii="Calibri" w:hAnsi="Calibri"/>
                <w:sz w:val="18"/>
                <w:szCs w:val="18"/>
              </w:rPr>
            </w:pPr>
            <w:r w:rsidRPr="00B8717B">
              <w:rPr>
                <w:rFonts w:ascii="Calibri" w:hAnsi="Calibri"/>
                <w:sz w:val="18"/>
                <w:szCs w:val="18"/>
              </w:rPr>
              <w:t>Element nawierzchni</w:t>
            </w:r>
          </w:p>
        </w:tc>
        <w:tc>
          <w:tcPr>
            <w:tcW w:w="2300" w:type="dxa"/>
          </w:tcPr>
          <w:p w:rsidR="000C27BF" w:rsidRPr="00B8717B" w:rsidRDefault="000C27BF" w:rsidP="00556540">
            <w:pPr>
              <w:jc w:val="center"/>
              <w:rPr>
                <w:rFonts w:ascii="Calibri" w:hAnsi="Calibri"/>
                <w:sz w:val="18"/>
                <w:szCs w:val="18"/>
              </w:rPr>
            </w:pPr>
            <w:r w:rsidRPr="00B8717B">
              <w:rPr>
                <w:rFonts w:ascii="Calibri" w:hAnsi="Calibri"/>
                <w:sz w:val="18"/>
                <w:szCs w:val="18"/>
              </w:rPr>
              <w:t>Maksymalna nierówność podłoża pod warstwę wiążącą [mm]</w:t>
            </w:r>
          </w:p>
        </w:tc>
      </w:tr>
      <w:tr w:rsidR="000C27BF" w:rsidRPr="00B8717B" w:rsidTr="00556540">
        <w:tc>
          <w:tcPr>
            <w:tcW w:w="1242" w:type="dxa"/>
            <w:tcBorders>
              <w:bottom w:val="nil"/>
            </w:tcBorders>
            <w:vAlign w:val="center"/>
          </w:tcPr>
          <w:p w:rsidR="000C27BF" w:rsidRPr="00B8717B" w:rsidRDefault="000C27BF" w:rsidP="00556540">
            <w:pPr>
              <w:jc w:val="center"/>
              <w:rPr>
                <w:rFonts w:ascii="Calibri" w:hAnsi="Calibri"/>
                <w:sz w:val="18"/>
                <w:szCs w:val="18"/>
              </w:rPr>
            </w:pPr>
            <w:r w:rsidRPr="00B8717B">
              <w:rPr>
                <w:rFonts w:ascii="Calibri" w:hAnsi="Calibri"/>
                <w:sz w:val="18"/>
                <w:szCs w:val="18"/>
              </w:rPr>
              <w:t>A, S,</w:t>
            </w:r>
          </w:p>
        </w:tc>
        <w:tc>
          <w:tcPr>
            <w:tcW w:w="3969" w:type="dxa"/>
          </w:tcPr>
          <w:p w:rsidR="000C27BF" w:rsidRPr="00B8717B" w:rsidRDefault="000C27BF" w:rsidP="00556540">
            <w:pPr>
              <w:rPr>
                <w:rFonts w:ascii="Calibri" w:hAnsi="Calibri"/>
                <w:sz w:val="18"/>
                <w:szCs w:val="18"/>
              </w:rPr>
            </w:pPr>
            <w:r w:rsidRPr="00B8717B">
              <w:rPr>
                <w:rFonts w:ascii="Calibri" w:hAnsi="Calibri"/>
                <w:sz w:val="18"/>
                <w:szCs w:val="18"/>
              </w:rPr>
              <w:t>Pasy: ruchu, awaryjne, dodatkowe, włączania i wyłączania</w:t>
            </w:r>
          </w:p>
        </w:tc>
        <w:tc>
          <w:tcPr>
            <w:tcW w:w="2300" w:type="dxa"/>
          </w:tcPr>
          <w:p w:rsidR="000C27BF" w:rsidRPr="00B8717B" w:rsidRDefault="000C27BF" w:rsidP="00556540">
            <w:pPr>
              <w:spacing w:before="120"/>
              <w:jc w:val="center"/>
              <w:rPr>
                <w:rFonts w:ascii="Calibri" w:hAnsi="Calibri"/>
                <w:sz w:val="18"/>
                <w:szCs w:val="18"/>
              </w:rPr>
            </w:pPr>
            <w:r w:rsidRPr="00B8717B">
              <w:rPr>
                <w:rFonts w:ascii="Calibri" w:hAnsi="Calibri"/>
                <w:sz w:val="18"/>
                <w:szCs w:val="18"/>
              </w:rPr>
              <w:t>9</w:t>
            </w:r>
          </w:p>
        </w:tc>
      </w:tr>
      <w:tr w:rsidR="000C27BF" w:rsidRPr="00B8717B" w:rsidTr="00556540">
        <w:tc>
          <w:tcPr>
            <w:tcW w:w="1242" w:type="dxa"/>
            <w:tcBorders>
              <w:top w:val="nil"/>
            </w:tcBorders>
            <w:vAlign w:val="center"/>
          </w:tcPr>
          <w:p w:rsidR="000C27BF" w:rsidRPr="00B8717B" w:rsidRDefault="000C27BF" w:rsidP="00556540">
            <w:pPr>
              <w:jc w:val="center"/>
              <w:rPr>
                <w:rFonts w:ascii="Calibri" w:hAnsi="Calibri"/>
                <w:sz w:val="18"/>
                <w:szCs w:val="18"/>
              </w:rPr>
            </w:pPr>
            <w:r w:rsidRPr="00B8717B">
              <w:rPr>
                <w:rFonts w:ascii="Calibri" w:hAnsi="Calibri"/>
                <w:sz w:val="18"/>
                <w:szCs w:val="18"/>
              </w:rPr>
              <w:t>GP</w:t>
            </w:r>
          </w:p>
        </w:tc>
        <w:tc>
          <w:tcPr>
            <w:tcW w:w="3969" w:type="dxa"/>
          </w:tcPr>
          <w:p w:rsidR="000C27BF" w:rsidRPr="00B8717B" w:rsidRDefault="000C27BF" w:rsidP="00556540">
            <w:pPr>
              <w:rPr>
                <w:rFonts w:ascii="Calibri" w:hAnsi="Calibri"/>
                <w:sz w:val="18"/>
                <w:szCs w:val="18"/>
              </w:rPr>
            </w:pPr>
            <w:r w:rsidRPr="00B8717B">
              <w:rPr>
                <w:rFonts w:ascii="Calibri" w:hAnsi="Calibri"/>
                <w:sz w:val="18"/>
                <w:szCs w:val="18"/>
              </w:rPr>
              <w:t>Jezdnie łącznic, jezdnie MOP, utwardzone pobocza</w:t>
            </w:r>
          </w:p>
        </w:tc>
        <w:tc>
          <w:tcPr>
            <w:tcW w:w="2300" w:type="dxa"/>
          </w:tcPr>
          <w:p w:rsidR="000C27BF" w:rsidRPr="00B8717B" w:rsidRDefault="000C27BF" w:rsidP="00556540">
            <w:pPr>
              <w:spacing w:before="120"/>
              <w:jc w:val="center"/>
              <w:rPr>
                <w:rFonts w:ascii="Calibri" w:hAnsi="Calibri"/>
                <w:sz w:val="18"/>
                <w:szCs w:val="18"/>
              </w:rPr>
            </w:pPr>
            <w:r w:rsidRPr="00B8717B">
              <w:rPr>
                <w:rFonts w:ascii="Calibri" w:hAnsi="Calibri"/>
                <w:sz w:val="18"/>
                <w:szCs w:val="18"/>
              </w:rPr>
              <w:t>10</w:t>
            </w:r>
          </w:p>
        </w:tc>
      </w:tr>
      <w:tr w:rsidR="000C27BF" w:rsidRPr="00B8717B" w:rsidTr="00556540">
        <w:tc>
          <w:tcPr>
            <w:tcW w:w="1242" w:type="dxa"/>
            <w:vAlign w:val="center"/>
          </w:tcPr>
          <w:p w:rsidR="000C27BF" w:rsidRPr="00B8717B" w:rsidRDefault="000C27BF" w:rsidP="00556540">
            <w:pPr>
              <w:jc w:val="center"/>
              <w:rPr>
                <w:rFonts w:ascii="Calibri" w:hAnsi="Calibri"/>
                <w:sz w:val="18"/>
                <w:szCs w:val="18"/>
              </w:rPr>
            </w:pPr>
            <w:r w:rsidRPr="00B8717B">
              <w:rPr>
                <w:rFonts w:ascii="Calibri" w:hAnsi="Calibri"/>
                <w:sz w:val="18"/>
                <w:szCs w:val="18"/>
              </w:rPr>
              <w:t>G</w:t>
            </w:r>
          </w:p>
        </w:tc>
        <w:tc>
          <w:tcPr>
            <w:tcW w:w="3969" w:type="dxa"/>
          </w:tcPr>
          <w:p w:rsidR="000C27BF" w:rsidRPr="00B8717B" w:rsidRDefault="000C27BF" w:rsidP="00556540">
            <w:pPr>
              <w:rPr>
                <w:rFonts w:ascii="Calibri" w:hAnsi="Calibri"/>
                <w:sz w:val="18"/>
                <w:szCs w:val="18"/>
              </w:rPr>
            </w:pPr>
            <w:r w:rsidRPr="00B8717B">
              <w:rPr>
                <w:rFonts w:ascii="Calibri" w:hAnsi="Calibri"/>
                <w:sz w:val="18"/>
                <w:szCs w:val="18"/>
              </w:rPr>
              <w:t>Pasy: ruchu, dodatkowe, włączania i wyłączania, postojowe, jezdnie łącznic, utwardzone pobocza</w:t>
            </w:r>
          </w:p>
        </w:tc>
        <w:tc>
          <w:tcPr>
            <w:tcW w:w="2300" w:type="dxa"/>
          </w:tcPr>
          <w:p w:rsidR="000C27BF" w:rsidRPr="00B8717B" w:rsidRDefault="000C27BF" w:rsidP="00556540">
            <w:pPr>
              <w:jc w:val="center"/>
              <w:rPr>
                <w:rFonts w:ascii="Calibri" w:hAnsi="Calibri"/>
                <w:sz w:val="18"/>
                <w:szCs w:val="18"/>
              </w:rPr>
            </w:pPr>
          </w:p>
          <w:p w:rsidR="000C27BF" w:rsidRPr="00B8717B" w:rsidRDefault="000C27BF" w:rsidP="00556540">
            <w:pPr>
              <w:jc w:val="center"/>
              <w:rPr>
                <w:rFonts w:ascii="Calibri" w:hAnsi="Calibri"/>
                <w:sz w:val="18"/>
                <w:szCs w:val="18"/>
              </w:rPr>
            </w:pPr>
            <w:r w:rsidRPr="00B8717B">
              <w:rPr>
                <w:rFonts w:ascii="Calibri" w:hAnsi="Calibri"/>
                <w:sz w:val="18"/>
                <w:szCs w:val="18"/>
              </w:rPr>
              <w:t>10</w:t>
            </w:r>
          </w:p>
        </w:tc>
      </w:tr>
      <w:tr w:rsidR="000C27BF" w:rsidRPr="00B8717B" w:rsidTr="00556540">
        <w:tc>
          <w:tcPr>
            <w:tcW w:w="1242" w:type="dxa"/>
            <w:vAlign w:val="center"/>
          </w:tcPr>
          <w:p w:rsidR="000C27BF" w:rsidRPr="00B8717B" w:rsidRDefault="000C27BF" w:rsidP="00556540">
            <w:pPr>
              <w:spacing w:before="60" w:after="60"/>
              <w:jc w:val="center"/>
              <w:rPr>
                <w:rFonts w:ascii="Calibri" w:hAnsi="Calibri"/>
                <w:sz w:val="18"/>
                <w:szCs w:val="18"/>
              </w:rPr>
            </w:pPr>
            <w:r w:rsidRPr="00B8717B">
              <w:rPr>
                <w:rFonts w:ascii="Calibri" w:hAnsi="Calibri"/>
                <w:sz w:val="18"/>
                <w:szCs w:val="18"/>
              </w:rPr>
              <w:t>Z, L, D</w:t>
            </w:r>
          </w:p>
        </w:tc>
        <w:tc>
          <w:tcPr>
            <w:tcW w:w="3969" w:type="dxa"/>
          </w:tcPr>
          <w:p w:rsidR="000C27BF" w:rsidRPr="00B8717B" w:rsidRDefault="000C27BF" w:rsidP="00556540">
            <w:pPr>
              <w:spacing w:before="60" w:after="60"/>
              <w:rPr>
                <w:rFonts w:ascii="Calibri" w:hAnsi="Calibri"/>
                <w:sz w:val="18"/>
                <w:szCs w:val="18"/>
              </w:rPr>
            </w:pPr>
            <w:r w:rsidRPr="00B8717B">
              <w:rPr>
                <w:rFonts w:ascii="Calibri" w:hAnsi="Calibri"/>
                <w:sz w:val="18"/>
                <w:szCs w:val="18"/>
              </w:rPr>
              <w:t>Pasy ruchu</w:t>
            </w:r>
          </w:p>
        </w:tc>
        <w:tc>
          <w:tcPr>
            <w:tcW w:w="2300" w:type="dxa"/>
          </w:tcPr>
          <w:p w:rsidR="000C27BF" w:rsidRPr="00B8717B" w:rsidRDefault="000C27BF" w:rsidP="00556540">
            <w:pPr>
              <w:spacing w:before="60" w:after="60"/>
              <w:jc w:val="center"/>
              <w:rPr>
                <w:rFonts w:ascii="Calibri" w:hAnsi="Calibri"/>
                <w:sz w:val="18"/>
                <w:szCs w:val="18"/>
              </w:rPr>
            </w:pPr>
            <w:r w:rsidRPr="00B8717B">
              <w:rPr>
                <w:rFonts w:ascii="Calibri" w:hAnsi="Calibri"/>
                <w:sz w:val="18"/>
                <w:szCs w:val="18"/>
              </w:rPr>
              <w:t>12</w:t>
            </w:r>
          </w:p>
        </w:tc>
      </w:tr>
    </w:tbl>
    <w:p w:rsidR="000C27BF" w:rsidRPr="00B8717B" w:rsidRDefault="000C27BF" w:rsidP="000C27BF">
      <w:pPr>
        <w:rPr>
          <w:rFonts w:ascii="Calibri" w:hAnsi="Calibri"/>
        </w:rPr>
      </w:pPr>
      <w:r w:rsidRPr="00B8717B">
        <w:rPr>
          <w:rFonts w:ascii="Calibri" w:hAnsi="Calibri"/>
        </w:rPr>
        <w:tab/>
      </w:r>
    </w:p>
    <w:p w:rsidR="000C27BF" w:rsidRPr="00B8717B" w:rsidRDefault="000C27BF" w:rsidP="000C27BF">
      <w:pPr>
        <w:rPr>
          <w:rFonts w:ascii="Calibri" w:hAnsi="Calibri"/>
        </w:rPr>
      </w:pPr>
      <w:r w:rsidRPr="00B8717B">
        <w:rPr>
          <w:rFonts w:ascii="Calibri" w:hAnsi="Calibri"/>
        </w:rPr>
        <w:t>Jeżeli nierówności  są większe niż dopuszczalne, to należy wyrównać podłoże.</w:t>
      </w:r>
    </w:p>
    <w:p w:rsidR="000C27BF" w:rsidRPr="00B8717B" w:rsidRDefault="000C27BF" w:rsidP="000C27BF">
      <w:pPr>
        <w:rPr>
          <w:rFonts w:ascii="Calibri" w:hAnsi="Calibri"/>
        </w:rPr>
      </w:pPr>
      <w:r w:rsidRPr="00B8717B">
        <w:rPr>
          <w:rFonts w:ascii="Calibri" w:hAnsi="Calibri"/>
        </w:rPr>
        <w:tab/>
        <w:t>Rzędne wysokościowe podłoża oraz urządzeń usytuowanych w nawierzchni lub ją ograniczających powinny być zgodne z dokumentacją projektową. Z podłoża powinien być zapewniony odpływ wody.</w:t>
      </w:r>
    </w:p>
    <w:p w:rsidR="000C27BF" w:rsidRPr="00B8717B" w:rsidRDefault="000C27BF" w:rsidP="000C27BF">
      <w:pPr>
        <w:rPr>
          <w:rFonts w:ascii="Calibri" w:hAnsi="Calibri"/>
        </w:rPr>
      </w:pPr>
      <w:r w:rsidRPr="00B8717B">
        <w:rPr>
          <w:rFonts w:ascii="Calibri" w:hAnsi="Calibri"/>
        </w:rPr>
        <w:tab/>
        <w:t>Nierówności podłoża (w tym powierzchnię istniejącej warstwy ścieralnej) należy wyrównać poprzez frezowanie lub wykonanie warstwy wyrównawczej.</w:t>
      </w:r>
    </w:p>
    <w:p w:rsidR="000C27BF" w:rsidRPr="00B8717B" w:rsidRDefault="000C27BF" w:rsidP="000C27BF">
      <w:pPr>
        <w:rPr>
          <w:rFonts w:ascii="Calibri" w:hAnsi="Calibri"/>
        </w:rPr>
      </w:pPr>
      <w:r w:rsidRPr="00B8717B">
        <w:rPr>
          <w:rFonts w:ascii="Calibri" w:hAnsi="Calibri"/>
        </w:rPr>
        <w:tab/>
        <w:t>Wykonane w podłożu łaty z materiału o mniejszej sztywności (np. łaty z asfaltu lanego w betonie asfaltowym) należy usunąć, a powstałe w ten sposób ubytki wypełnić materiałem o właściwościach zbliżonych do materiału podstawowego (np. wypełnić betonem asfaltowym).</w:t>
      </w:r>
    </w:p>
    <w:p w:rsidR="000C27BF" w:rsidRPr="00B8717B" w:rsidRDefault="000C27BF" w:rsidP="000C27BF">
      <w:pPr>
        <w:rPr>
          <w:rFonts w:ascii="Calibri" w:hAnsi="Calibri"/>
        </w:rPr>
      </w:pPr>
      <w:r w:rsidRPr="00B8717B">
        <w:rPr>
          <w:rFonts w:ascii="Calibri" w:hAnsi="Calibri"/>
        </w:rPr>
        <w:tab/>
        <w:t>W celu polepszenia połączenia między warstwami technologicznymi nawierzchni powierzchnia podłoża powinna być w ocenie wizualnej chropowata.</w:t>
      </w:r>
    </w:p>
    <w:p w:rsidR="000C27BF" w:rsidRPr="00B8717B" w:rsidRDefault="000C27BF" w:rsidP="000C27BF">
      <w:pPr>
        <w:rPr>
          <w:rFonts w:ascii="Calibri" w:hAnsi="Calibri"/>
        </w:rPr>
      </w:pPr>
      <w:r w:rsidRPr="00B8717B">
        <w:rPr>
          <w:rFonts w:ascii="Calibri" w:hAnsi="Calibri"/>
        </w:rPr>
        <w:tab/>
        <w:t>Szerokie szczeliny w podłożu należy wypełnić odpowiednim materiałem, np. zalewami drogowymi według PN-EN 14188-1 [60] lub PN-EN 14188-2 [61] albo innymi materiałami według norm lub aprobat technicznych.</w:t>
      </w:r>
    </w:p>
    <w:p w:rsidR="000C27BF" w:rsidRPr="00B8717B" w:rsidRDefault="000C27BF" w:rsidP="000C27BF">
      <w:pPr>
        <w:rPr>
          <w:rFonts w:ascii="Calibri" w:hAnsi="Calibri"/>
        </w:rPr>
      </w:pPr>
      <w:r w:rsidRPr="00B8717B">
        <w:rPr>
          <w:rFonts w:ascii="Calibri" w:hAnsi="Calibri"/>
        </w:rPr>
        <w:tab/>
        <w:t>Na podłożu wykazującym zniszczenia w postaci siatki spękań zmęczeniowych lub spękań poprzecznych zaleca się stosowanie membrany przeciwspękaniowej, np. mieszanki mineralno-asfaltowej, warstwy SAMI lub z geosyntetyków według norm lub aprobat technicznych.</w:t>
      </w:r>
    </w:p>
    <w:p w:rsidR="000C27BF" w:rsidRPr="00B8717B" w:rsidRDefault="000C27BF" w:rsidP="000C27BF">
      <w:pPr>
        <w:rPr>
          <w:rFonts w:ascii="Calibri" w:hAnsi="Calibri"/>
        </w:rPr>
      </w:pPr>
      <w:r w:rsidRPr="0044797E">
        <w:rPr>
          <w:rFonts w:ascii="Calibri" w:hAnsi="Calibri"/>
          <w:b/>
        </w:rPr>
        <w:t>5.5.</w:t>
      </w:r>
      <w:r w:rsidRPr="00B8717B">
        <w:rPr>
          <w:rFonts w:ascii="Calibri" w:hAnsi="Calibri"/>
        </w:rPr>
        <w:t xml:space="preserve"> Próba technologiczna</w:t>
      </w:r>
    </w:p>
    <w:p w:rsidR="000C27BF" w:rsidRPr="00B8717B" w:rsidRDefault="000C27BF" w:rsidP="000C27BF">
      <w:pPr>
        <w:rPr>
          <w:rFonts w:ascii="Calibri" w:hAnsi="Calibri"/>
        </w:rPr>
      </w:pPr>
      <w:r w:rsidRPr="00B8717B">
        <w:rPr>
          <w:rFonts w:ascii="Calibri" w:hAnsi="Calibri"/>
        </w:rPr>
        <w:tab/>
        <w:t>Wykonawca przed przystąpieniem do produkcji mieszanki jest zobowiązany do przeprowadzenia w obecności Inżyniera próby technologicznej, która ma na celu sprawdzenie zgodności właściwości wyprodukowanej mieszanki z receptą. W tym celu należy zaprogramować otaczarkę zgodnie z receptą roboczą i w cyklu automatycznym produkować mieszankę. Do badań należy pobrać mieszankę wyprodukowaną po ustabilizowaniu się pracy otaczarki.</w:t>
      </w:r>
    </w:p>
    <w:p w:rsidR="000C27BF" w:rsidRPr="00B8717B" w:rsidRDefault="000C27BF" w:rsidP="000C27BF">
      <w:pPr>
        <w:rPr>
          <w:rFonts w:ascii="Calibri" w:hAnsi="Calibri"/>
        </w:rPr>
      </w:pPr>
      <w:r w:rsidRPr="00B8717B">
        <w:rPr>
          <w:rFonts w:ascii="Calibri" w:hAnsi="Calibri"/>
        </w:rPr>
        <w:tab/>
        <w:t>Nie dopuszcza się oceniania dokładności pracy otaczarki oraz prawidłowości składu mieszanki mineralnej na podstawie tzw. suchego zarobu, z uwagi na możliwą segregację kruszywa.</w:t>
      </w:r>
    </w:p>
    <w:p w:rsidR="000C27BF" w:rsidRPr="00B8717B" w:rsidRDefault="000C27BF" w:rsidP="000C27BF">
      <w:pPr>
        <w:rPr>
          <w:rFonts w:ascii="Calibri" w:hAnsi="Calibri"/>
        </w:rPr>
      </w:pPr>
      <w:r w:rsidRPr="00B8717B">
        <w:rPr>
          <w:rFonts w:ascii="Calibri" w:hAnsi="Calibri"/>
        </w:rPr>
        <w:tab/>
        <w:t>Mieszankę wyprodukowaną po ustabilizowaniu się pracy otaczarki należy zgromadzić w silosie lub załadować na samochód. Próbki do badań należy pobierać ze skrzyni samochodu zgodnie z metodą określoną w PN-EN 12697-27 [39].</w:t>
      </w:r>
    </w:p>
    <w:p w:rsidR="000C27BF" w:rsidRPr="00B8717B" w:rsidRDefault="000C27BF" w:rsidP="000C27BF">
      <w:pPr>
        <w:rPr>
          <w:rFonts w:ascii="Calibri" w:hAnsi="Calibri"/>
        </w:rPr>
      </w:pPr>
      <w:r w:rsidRPr="00B8717B">
        <w:rPr>
          <w:rFonts w:ascii="Calibri" w:hAnsi="Calibri"/>
        </w:rPr>
        <w:tab/>
        <w:t>Na podstawie uzyskanych wyników Inżynier podejmuje decyzję o wykonaniu odcinka próbnego.</w:t>
      </w:r>
    </w:p>
    <w:p w:rsidR="000C27BF" w:rsidRPr="00B8717B" w:rsidRDefault="000C27BF" w:rsidP="000C27BF">
      <w:pPr>
        <w:rPr>
          <w:rFonts w:ascii="Calibri" w:hAnsi="Calibri"/>
        </w:rPr>
      </w:pPr>
      <w:r w:rsidRPr="0044797E">
        <w:rPr>
          <w:rFonts w:ascii="Calibri" w:hAnsi="Calibri"/>
          <w:b/>
        </w:rPr>
        <w:t>5.6.</w:t>
      </w:r>
      <w:r w:rsidRPr="00B8717B">
        <w:rPr>
          <w:rFonts w:ascii="Calibri" w:hAnsi="Calibri"/>
        </w:rPr>
        <w:t xml:space="preserve"> Odcinek próbny</w:t>
      </w:r>
    </w:p>
    <w:p w:rsidR="000C27BF" w:rsidRPr="00B8717B" w:rsidRDefault="000C27BF" w:rsidP="000C27BF">
      <w:pPr>
        <w:rPr>
          <w:rFonts w:ascii="Calibri" w:hAnsi="Calibri"/>
        </w:rPr>
      </w:pPr>
      <w:r w:rsidRPr="00B8717B">
        <w:rPr>
          <w:rFonts w:ascii="Calibri" w:hAnsi="Calibri"/>
        </w:rPr>
        <w:tab/>
        <w:t xml:space="preserve">Przed przystąpieniem do wykonania warstwy wiążącej z betonu asfaltowego Wykonawca wykona odcinek próbny celem uściślenia organizacji wytwarzania i układania oraz ustalenia warunków zagęszczania. </w:t>
      </w:r>
    </w:p>
    <w:p w:rsidR="000C27BF" w:rsidRPr="00B8717B" w:rsidRDefault="000C27BF" w:rsidP="000C27BF">
      <w:pPr>
        <w:rPr>
          <w:rFonts w:ascii="Calibri" w:hAnsi="Calibri"/>
        </w:rPr>
      </w:pPr>
      <w:r w:rsidRPr="00B8717B">
        <w:rPr>
          <w:rFonts w:ascii="Calibri" w:hAnsi="Calibri"/>
        </w:rPr>
        <w:tab/>
        <w:t xml:space="preserve">Odcinek próbny powinien być zlokalizowany w miejscu uzgodnionym z Inżynierem. Powierzchnia odcinka próbnego powinna wynosić co najmniej </w:t>
      </w:r>
      <w:smartTag w:uri="urn:schemas-microsoft-com:office:smarttags" w:element="metricconverter">
        <w:smartTagPr>
          <w:attr w:name="ProductID" w:val="500 m2"/>
        </w:smartTagPr>
        <w:r w:rsidRPr="00B8717B">
          <w:rPr>
            <w:rFonts w:ascii="Calibri" w:hAnsi="Calibri"/>
          </w:rPr>
          <w:t>500 m2</w:t>
        </w:r>
      </w:smartTag>
      <w:r w:rsidRPr="00B8717B">
        <w:rPr>
          <w:rFonts w:ascii="Calibri" w:hAnsi="Calibri"/>
        </w:rPr>
        <w:t xml:space="preserve">, a długość co najmniej </w:t>
      </w:r>
      <w:smartTag w:uri="urn:schemas-microsoft-com:office:smarttags" w:element="metricconverter">
        <w:smartTagPr>
          <w:attr w:name="ProductID" w:val="50 m"/>
        </w:smartTagPr>
        <w:r w:rsidRPr="00B8717B">
          <w:rPr>
            <w:rFonts w:ascii="Calibri" w:hAnsi="Calibri"/>
          </w:rPr>
          <w:t>50 m</w:t>
        </w:r>
      </w:smartTag>
      <w:r w:rsidRPr="00B8717B">
        <w:rPr>
          <w:rFonts w:ascii="Calibri" w:hAnsi="Calibri"/>
        </w:rPr>
        <w:t>. Na odcinku próbnym Wykonawca powinien użyć takich materiałów oraz sprzętu jakie zamierza stosować do wykonania warstwy.</w:t>
      </w:r>
    </w:p>
    <w:p w:rsidR="000C27BF" w:rsidRPr="00B8717B" w:rsidRDefault="000C27BF" w:rsidP="000C27BF">
      <w:pPr>
        <w:rPr>
          <w:rFonts w:ascii="Calibri" w:hAnsi="Calibri"/>
        </w:rPr>
      </w:pPr>
      <w:r w:rsidRPr="00B8717B">
        <w:rPr>
          <w:rFonts w:ascii="Calibri" w:hAnsi="Calibri"/>
        </w:rPr>
        <w:lastRenderedPageBreak/>
        <w:tab/>
        <w:t>Wykonawca może przystąpić do realizacji robót po zaakceptowaniu przez Inżyniera technologii wbudowania i zagęszczania oraz wyników z odcinka próbnego.</w:t>
      </w:r>
    </w:p>
    <w:p w:rsidR="000C27BF" w:rsidRPr="00B8717B" w:rsidRDefault="000C27BF" w:rsidP="000C27BF">
      <w:pPr>
        <w:rPr>
          <w:rFonts w:ascii="Calibri" w:hAnsi="Calibri"/>
        </w:rPr>
      </w:pPr>
      <w:r w:rsidRPr="0044797E">
        <w:rPr>
          <w:rFonts w:ascii="Calibri" w:hAnsi="Calibri"/>
          <w:b/>
        </w:rPr>
        <w:t>5.7.</w:t>
      </w:r>
      <w:r w:rsidRPr="00B8717B">
        <w:rPr>
          <w:rFonts w:ascii="Calibri" w:hAnsi="Calibri"/>
        </w:rPr>
        <w:t xml:space="preserve"> Połączenie międzywarstwowe</w:t>
      </w:r>
    </w:p>
    <w:p w:rsidR="000C27BF" w:rsidRPr="00B8717B" w:rsidRDefault="000C27BF" w:rsidP="000C27BF">
      <w:pPr>
        <w:rPr>
          <w:rFonts w:ascii="Calibri" w:hAnsi="Calibri"/>
        </w:rPr>
      </w:pPr>
      <w:r w:rsidRPr="00B8717B">
        <w:rPr>
          <w:rFonts w:ascii="Calibri" w:hAnsi="Calibri"/>
        </w:rPr>
        <w:tab/>
        <w:t>Uzyskanie wymaganej trwałości nawierzchni jest uzależnione od zapewnienia połączenia między warstwami i ich współpracy w przenoszeniu obciążenia nawierzchni ruchem.</w:t>
      </w:r>
    </w:p>
    <w:p w:rsidR="000C27BF" w:rsidRPr="00B8717B" w:rsidRDefault="000C27BF" w:rsidP="000C27BF">
      <w:pPr>
        <w:rPr>
          <w:rFonts w:ascii="Calibri" w:hAnsi="Calibri"/>
        </w:rPr>
      </w:pPr>
      <w:r w:rsidRPr="00B8717B">
        <w:rPr>
          <w:rFonts w:ascii="Calibri" w:hAnsi="Calibri"/>
        </w:rPr>
        <w:tab/>
        <w:t>Podłoże powinno być skropione lepiszczem. Ma to na celu zwiększenie połączenia między warstwami konstrukcyjnymi oraz zabezpieczenie przed wnikaniem i zaleganiem wody między warstwami.</w:t>
      </w:r>
    </w:p>
    <w:p w:rsidR="000C27BF" w:rsidRPr="00B8717B" w:rsidRDefault="000C27BF" w:rsidP="000C27BF">
      <w:pPr>
        <w:rPr>
          <w:rFonts w:ascii="Calibri" w:hAnsi="Calibri"/>
        </w:rPr>
      </w:pPr>
      <w:r w:rsidRPr="00B8717B">
        <w:rPr>
          <w:rFonts w:ascii="Calibri" w:hAnsi="Calibri"/>
        </w:rPr>
        <w:tab/>
        <w:t>Skropienie lepiszczem podłoża (np. podbudowa asfaltowa), przed ułożeniem warstwy wiążącej z betonu asfaltowego powinno być wykonane w ilości podanej w przeliczeniu na pozostałe lepiszcze, tj. 0,3 ÷ 0,5 kg/m2, przy czym:</w:t>
      </w:r>
    </w:p>
    <w:p w:rsidR="000C27BF" w:rsidRPr="00B8717B" w:rsidRDefault="000C27BF" w:rsidP="000C27BF">
      <w:pPr>
        <w:rPr>
          <w:rFonts w:ascii="Calibri" w:hAnsi="Calibri"/>
        </w:rPr>
      </w:pPr>
      <w:r>
        <w:rPr>
          <w:rFonts w:ascii="Calibri" w:hAnsi="Calibri"/>
        </w:rPr>
        <w:t>-</w:t>
      </w:r>
      <w:r w:rsidRPr="00B8717B">
        <w:rPr>
          <w:rFonts w:ascii="Calibri" w:hAnsi="Calibri"/>
        </w:rPr>
        <w:t>zaleca się stosować emulsję modyfikowaną polimerem,</w:t>
      </w:r>
    </w:p>
    <w:p w:rsidR="000C27BF" w:rsidRPr="00B8717B" w:rsidRDefault="000C27BF" w:rsidP="000C27BF">
      <w:pPr>
        <w:rPr>
          <w:rFonts w:ascii="Calibri" w:hAnsi="Calibri"/>
        </w:rPr>
      </w:pPr>
      <w:r>
        <w:rPr>
          <w:rFonts w:ascii="Calibri" w:hAnsi="Calibri"/>
        </w:rPr>
        <w:t>-</w:t>
      </w:r>
      <w:r w:rsidRPr="00B8717B">
        <w:rPr>
          <w:rFonts w:ascii="Calibri" w:hAnsi="Calibri"/>
        </w:rPr>
        <w:t>ilość emulsji należy dobrać z uwzględnieniem stanu podłoża oraz porowatości mieszanki ; jeśli mieszanka ma większą zawartość wolnych przestrzeni, to należy użyć większą ilość lepiszcza do skropienia, które po ułożeniu warstwy ścieralnej uszczelni ją.</w:t>
      </w:r>
    </w:p>
    <w:p w:rsidR="000C27BF" w:rsidRPr="00B8717B" w:rsidRDefault="000C27BF" w:rsidP="000C27BF">
      <w:pPr>
        <w:rPr>
          <w:rFonts w:ascii="Calibri" w:hAnsi="Calibri"/>
        </w:rPr>
      </w:pPr>
      <w:r w:rsidRPr="00B8717B">
        <w:rPr>
          <w:rFonts w:ascii="Calibri" w:hAnsi="Calibri"/>
        </w:rPr>
        <w:t>Skrapianie podłoża należy wykonywać równomiernie stosując rampy do skrapiania, np. skrapiarki do lepiszczy asfaltowych. Dopuszcza się skrapianie ręczne lancą w miejscach trudno dostępnych (np. ścieki uliczne) oraz przy urządzeniach usytuowanych w nawierzchni lub ją ograniczających. W razie potrzeby urządzenia te należy zabezpieczyć przed zabrudzeniem. Skropione podłoże należy wyłączyć z ruchu publicznego przez zmianę organizacji ruchu.</w:t>
      </w:r>
    </w:p>
    <w:p w:rsidR="000C27BF" w:rsidRPr="00B8717B" w:rsidRDefault="000C27BF" w:rsidP="000C27BF">
      <w:pPr>
        <w:rPr>
          <w:rFonts w:ascii="Calibri" w:hAnsi="Calibri"/>
        </w:rPr>
      </w:pPr>
      <w:r w:rsidRPr="00B8717B">
        <w:rPr>
          <w:rFonts w:ascii="Calibri" w:hAnsi="Calibri"/>
        </w:rPr>
        <w:t>W wypadku stosowania emulsji asfaltowej podłoże powinno być skropione 0,5 h przed układaniem warstwy asfaltowej w celu odparowania wody.</w:t>
      </w:r>
    </w:p>
    <w:p w:rsidR="000C27BF" w:rsidRPr="00B8717B" w:rsidRDefault="000C27BF" w:rsidP="000C27BF">
      <w:pPr>
        <w:rPr>
          <w:rFonts w:ascii="Calibri" w:hAnsi="Calibri"/>
        </w:rPr>
      </w:pPr>
      <w:r w:rsidRPr="00B8717B">
        <w:rPr>
          <w:rFonts w:ascii="Calibri" w:hAnsi="Calibri"/>
        </w:rPr>
        <w:t>Czas ten nie dotyczy skrapiania rampą zamontowaną na rozkładarce.</w:t>
      </w:r>
    </w:p>
    <w:p w:rsidR="000C27BF" w:rsidRPr="00B8717B" w:rsidRDefault="000C27BF" w:rsidP="000C27BF">
      <w:pPr>
        <w:rPr>
          <w:rFonts w:ascii="Calibri" w:hAnsi="Calibri"/>
        </w:rPr>
      </w:pPr>
      <w:r w:rsidRPr="0044797E">
        <w:rPr>
          <w:rFonts w:ascii="Calibri" w:hAnsi="Calibri"/>
          <w:b/>
        </w:rPr>
        <w:t>5.8.</w:t>
      </w:r>
      <w:r w:rsidRPr="00B8717B">
        <w:rPr>
          <w:rFonts w:ascii="Calibri" w:hAnsi="Calibri"/>
        </w:rPr>
        <w:t xml:space="preserve"> Wbudowanie mieszanki mineralno-asfaltowej</w:t>
      </w:r>
    </w:p>
    <w:p w:rsidR="000C27BF" w:rsidRPr="00B8717B" w:rsidRDefault="000C27BF" w:rsidP="000C27BF">
      <w:pPr>
        <w:rPr>
          <w:rFonts w:ascii="Calibri" w:hAnsi="Calibri"/>
        </w:rPr>
      </w:pPr>
      <w:r w:rsidRPr="00B8717B">
        <w:rPr>
          <w:rFonts w:ascii="Calibri" w:hAnsi="Calibri"/>
        </w:rPr>
        <w:tab/>
        <w:t>Mieszankę mineralno-asfaltową można wbudowywać na podłożu przygotowanym zgodnie z zapisami w punktach 5.4 i 5.7.</w:t>
      </w:r>
    </w:p>
    <w:p w:rsidR="000C27BF" w:rsidRPr="00B8717B" w:rsidRDefault="000C27BF" w:rsidP="000C27BF">
      <w:pPr>
        <w:rPr>
          <w:rFonts w:ascii="Calibri" w:hAnsi="Calibri"/>
        </w:rPr>
      </w:pPr>
      <w:r w:rsidRPr="00B8717B">
        <w:rPr>
          <w:rFonts w:ascii="Calibri" w:hAnsi="Calibri"/>
        </w:rPr>
        <w:t>Temperatura podłoża pod rozkładaną warstwę nie może być niższa niż  +5</w:t>
      </w:r>
      <w:r w:rsidRPr="00B964DD">
        <w:rPr>
          <w:rFonts w:ascii="Calibri" w:hAnsi="Calibri"/>
          <w:vertAlign w:val="superscript"/>
        </w:rPr>
        <w:t>o</w:t>
      </w:r>
      <w:r w:rsidRPr="00B8717B">
        <w:rPr>
          <w:rFonts w:ascii="Calibri" w:hAnsi="Calibri"/>
        </w:rPr>
        <w:t>C.</w:t>
      </w:r>
    </w:p>
    <w:p w:rsidR="000C27BF" w:rsidRPr="00B8717B" w:rsidRDefault="000C27BF" w:rsidP="000C27BF">
      <w:pPr>
        <w:rPr>
          <w:rFonts w:ascii="Calibri" w:hAnsi="Calibri"/>
        </w:rPr>
      </w:pPr>
      <w:r w:rsidRPr="00B8717B">
        <w:rPr>
          <w:rFonts w:ascii="Calibri" w:hAnsi="Calibri"/>
        </w:rPr>
        <w:tab/>
        <w:t>Transport mieszanki mineralno-asfaltowej asfaltowej powinien być zgodny z zaleceniami podanymi w punkcie 4.2.</w:t>
      </w:r>
    </w:p>
    <w:p w:rsidR="000C27BF" w:rsidRPr="00B8717B" w:rsidRDefault="000C27BF" w:rsidP="000C27BF">
      <w:pPr>
        <w:rPr>
          <w:rFonts w:ascii="Calibri" w:hAnsi="Calibri"/>
        </w:rPr>
      </w:pPr>
      <w:r w:rsidRPr="00B8717B">
        <w:rPr>
          <w:rFonts w:ascii="Calibri" w:hAnsi="Calibri"/>
        </w:rPr>
        <w:tab/>
        <w:t>Mieszankę mineralno-asfaltową asfaltową należy wbudowywać w odpowiednich warunkach atmosferycznych.</w:t>
      </w:r>
    </w:p>
    <w:p w:rsidR="000C27BF" w:rsidRPr="00B8717B" w:rsidRDefault="000C27BF" w:rsidP="000C27BF">
      <w:pPr>
        <w:rPr>
          <w:rFonts w:ascii="Calibri" w:hAnsi="Calibri"/>
        </w:rPr>
      </w:pPr>
      <w:r w:rsidRPr="00B8717B">
        <w:rPr>
          <w:rFonts w:ascii="Calibri" w:hAnsi="Calibri"/>
        </w:rPr>
        <w:tab/>
        <w:t>Temperatura otoczenia w ciągu doby nie powinna być niższa od temperatury podanej w tablicy 11. Temperatura otoczenia może być niższa w wypadku stosowania ogrzewania podłoża. Nie dopuszcza się układania mieszanki mineralno-asfaltowej asfaltowej podczas silnego wiatru (V &gt; 16 m/s).</w:t>
      </w:r>
    </w:p>
    <w:p w:rsidR="000C27BF" w:rsidRPr="00B8717B" w:rsidRDefault="000C27BF" w:rsidP="000C27BF">
      <w:pPr>
        <w:rPr>
          <w:rFonts w:ascii="Calibri" w:hAnsi="Calibri"/>
        </w:rPr>
      </w:pPr>
      <w:r w:rsidRPr="00B8717B">
        <w:rPr>
          <w:rFonts w:ascii="Calibri" w:hAnsi="Calibri"/>
        </w:rPr>
        <w:tab/>
        <w:t>W wypadku stosowania mieszanek mineralno-asfaltowych z dodatkiem obniżającym temperaturę mieszania i wbudowania należy indywidualnie określić wymagane warunki otoczenia.</w:t>
      </w:r>
    </w:p>
    <w:p w:rsidR="000C27BF" w:rsidRPr="00B8717B" w:rsidRDefault="000C27BF" w:rsidP="000C27BF">
      <w:pPr>
        <w:rPr>
          <w:rFonts w:ascii="Calibri" w:hAnsi="Calibri"/>
        </w:rPr>
      </w:pPr>
    </w:p>
    <w:p w:rsidR="000C27BF" w:rsidRPr="00B8717B" w:rsidRDefault="000C27BF" w:rsidP="000C27BF">
      <w:pPr>
        <w:ind w:left="709"/>
        <w:rPr>
          <w:rFonts w:ascii="Calibri" w:hAnsi="Calibri"/>
        </w:rPr>
      </w:pPr>
      <w:r w:rsidRPr="00B8717B">
        <w:rPr>
          <w:rFonts w:ascii="Calibri" w:hAnsi="Calibri"/>
        </w:rPr>
        <w:t>Tablica 11</w:t>
      </w:r>
      <w:r>
        <w:rPr>
          <w:rFonts w:ascii="Calibri" w:hAnsi="Calibri"/>
        </w:rPr>
        <w:t xml:space="preserve">. </w:t>
      </w:r>
      <w:r w:rsidRPr="00B8717B">
        <w:rPr>
          <w:rFonts w:ascii="Calibri" w:hAnsi="Calibri"/>
        </w:rPr>
        <w:t>Minimalna temperatura otoczenia na wysokości 2m podczas wykonywania warstwy wiążącej lub wyrównawczej z betonu asfaltowego</w:t>
      </w:r>
    </w:p>
    <w:tbl>
      <w:tblPr>
        <w:tblW w:w="0" w:type="auto"/>
        <w:tblInd w:w="81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tblPr>
      <w:tblGrid>
        <w:gridCol w:w="3227"/>
        <w:gridCol w:w="2693"/>
        <w:gridCol w:w="1591"/>
      </w:tblGrid>
      <w:tr w:rsidR="000C27BF" w:rsidRPr="00B8717B" w:rsidTr="00556540">
        <w:tc>
          <w:tcPr>
            <w:tcW w:w="3227" w:type="dxa"/>
            <w:vMerge w:val="restart"/>
            <w:vAlign w:val="center"/>
          </w:tcPr>
          <w:p w:rsidR="000C27BF" w:rsidRPr="00B8717B" w:rsidRDefault="000C27BF" w:rsidP="00556540">
            <w:pPr>
              <w:jc w:val="center"/>
              <w:rPr>
                <w:rFonts w:ascii="Calibri" w:hAnsi="Calibri"/>
                <w:sz w:val="18"/>
                <w:szCs w:val="18"/>
              </w:rPr>
            </w:pPr>
            <w:r w:rsidRPr="00B8717B">
              <w:rPr>
                <w:rFonts w:ascii="Calibri" w:hAnsi="Calibri"/>
                <w:sz w:val="18"/>
                <w:szCs w:val="18"/>
              </w:rPr>
              <w:t>Rodzaj robót</w:t>
            </w:r>
          </w:p>
        </w:tc>
        <w:tc>
          <w:tcPr>
            <w:tcW w:w="4284" w:type="dxa"/>
            <w:gridSpan w:val="2"/>
          </w:tcPr>
          <w:p w:rsidR="000C27BF" w:rsidRPr="00B8717B" w:rsidRDefault="000C27BF" w:rsidP="00556540">
            <w:pPr>
              <w:jc w:val="center"/>
              <w:rPr>
                <w:rFonts w:ascii="Calibri" w:hAnsi="Calibri"/>
                <w:sz w:val="18"/>
                <w:szCs w:val="18"/>
              </w:rPr>
            </w:pPr>
            <w:r w:rsidRPr="00B8717B">
              <w:rPr>
                <w:rFonts w:ascii="Calibri" w:hAnsi="Calibri"/>
                <w:sz w:val="18"/>
                <w:szCs w:val="18"/>
              </w:rPr>
              <w:t>Minimalna temperatura otoczenia  [°C]</w:t>
            </w:r>
          </w:p>
        </w:tc>
      </w:tr>
      <w:tr w:rsidR="000C27BF" w:rsidRPr="00B8717B" w:rsidTr="00556540">
        <w:tc>
          <w:tcPr>
            <w:tcW w:w="3227" w:type="dxa"/>
            <w:vMerge/>
          </w:tcPr>
          <w:p w:rsidR="000C27BF" w:rsidRPr="00B8717B" w:rsidRDefault="000C27BF" w:rsidP="00556540">
            <w:pPr>
              <w:rPr>
                <w:rFonts w:ascii="Calibri" w:hAnsi="Calibri"/>
                <w:sz w:val="18"/>
                <w:szCs w:val="18"/>
              </w:rPr>
            </w:pPr>
          </w:p>
        </w:tc>
        <w:tc>
          <w:tcPr>
            <w:tcW w:w="2693" w:type="dxa"/>
          </w:tcPr>
          <w:p w:rsidR="000C27BF" w:rsidRPr="00B8717B" w:rsidRDefault="000C27BF" w:rsidP="00556540">
            <w:pPr>
              <w:jc w:val="center"/>
              <w:rPr>
                <w:rFonts w:ascii="Calibri" w:hAnsi="Calibri"/>
                <w:sz w:val="18"/>
                <w:szCs w:val="18"/>
              </w:rPr>
            </w:pPr>
            <w:r w:rsidRPr="00B8717B">
              <w:rPr>
                <w:rFonts w:ascii="Calibri" w:hAnsi="Calibri"/>
                <w:sz w:val="18"/>
                <w:szCs w:val="18"/>
              </w:rPr>
              <w:t>przed przystąpieniem do robót</w:t>
            </w:r>
          </w:p>
        </w:tc>
        <w:tc>
          <w:tcPr>
            <w:tcW w:w="1591" w:type="dxa"/>
          </w:tcPr>
          <w:p w:rsidR="000C27BF" w:rsidRPr="00B8717B" w:rsidRDefault="000C27BF" w:rsidP="00556540">
            <w:pPr>
              <w:jc w:val="center"/>
              <w:rPr>
                <w:rFonts w:ascii="Calibri" w:hAnsi="Calibri"/>
                <w:sz w:val="18"/>
                <w:szCs w:val="18"/>
              </w:rPr>
            </w:pPr>
            <w:r w:rsidRPr="00B8717B">
              <w:rPr>
                <w:rFonts w:ascii="Calibri" w:hAnsi="Calibri"/>
                <w:sz w:val="18"/>
                <w:szCs w:val="18"/>
              </w:rPr>
              <w:t>w czasie robót</w:t>
            </w:r>
          </w:p>
        </w:tc>
      </w:tr>
      <w:tr w:rsidR="000C27BF" w:rsidRPr="00B8717B" w:rsidTr="00556540">
        <w:tc>
          <w:tcPr>
            <w:tcW w:w="3227" w:type="dxa"/>
          </w:tcPr>
          <w:p w:rsidR="000C27BF" w:rsidRPr="00B8717B" w:rsidRDefault="000C27BF" w:rsidP="00556540">
            <w:pPr>
              <w:spacing w:before="60" w:after="60"/>
              <w:rPr>
                <w:rFonts w:ascii="Calibri" w:hAnsi="Calibri"/>
                <w:sz w:val="18"/>
                <w:szCs w:val="18"/>
              </w:rPr>
            </w:pPr>
            <w:r w:rsidRPr="00B8717B">
              <w:rPr>
                <w:rFonts w:ascii="Calibri" w:hAnsi="Calibri"/>
                <w:sz w:val="18"/>
                <w:szCs w:val="18"/>
              </w:rPr>
              <w:t>Warstwa wiążąca</w:t>
            </w:r>
          </w:p>
        </w:tc>
        <w:tc>
          <w:tcPr>
            <w:tcW w:w="2693" w:type="dxa"/>
          </w:tcPr>
          <w:p w:rsidR="000C27BF" w:rsidRPr="00B8717B" w:rsidRDefault="000C27BF" w:rsidP="00556540">
            <w:pPr>
              <w:spacing w:before="60" w:after="60"/>
              <w:jc w:val="center"/>
              <w:rPr>
                <w:rFonts w:ascii="Calibri" w:hAnsi="Calibri"/>
                <w:sz w:val="18"/>
                <w:szCs w:val="18"/>
              </w:rPr>
            </w:pPr>
            <w:r w:rsidRPr="00B8717B">
              <w:rPr>
                <w:rFonts w:ascii="Calibri" w:hAnsi="Calibri"/>
                <w:sz w:val="18"/>
                <w:szCs w:val="18"/>
              </w:rPr>
              <w:t>0</w:t>
            </w:r>
          </w:p>
        </w:tc>
        <w:tc>
          <w:tcPr>
            <w:tcW w:w="1591" w:type="dxa"/>
          </w:tcPr>
          <w:p w:rsidR="000C27BF" w:rsidRPr="00B8717B" w:rsidRDefault="000C27BF" w:rsidP="00556540">
            <w:pPr>
              <w:spacing w:before="60" w:after="60"/>
              <w:jc w:val="center"/>
              <w:rPr>
                <w:rFonts w:ascii="Calibri" w:hAnsi="Calibri"/>
                <w:sz w:val="18"/>
                <w:szCs w:val="18"/>
              </w:rPr>
            </w:pPr>
            <w:r w:rsidRPr="00B8717B">
              <w:rPr>
                <w:rFonts w:ascii="Calibri" w:hAnsi="Calibri"/>
                <w:sz w:val="18"/>
                <w:szCs w:val="18"/>
              </w:rPr>
              <w:t>+5</w:t>
            </w:r>
          </w:p>
        </w:tc>
      </w:tr>
      <w:tr w:rsidR="000C27BF" w:rsidRPr="00B8717B" w:rsidTr="00556540">
        <w:tc>
          <w:tcPr>
            <w:tcW w:w="3227" w:type="dxa"/>
          </w:tcPr>
          <w:p w:rsidR="000C27BF" w:rsidRPr="00B8717B" w:rsidRDefault="000C27BF" w:rsidP="00556540">
            <w:pPr>
              <w:spacing w:before="60" w:after="60"/>
              <w:rPr>
                <w:rFonts w:ascii="Calibri" w:hAnsi="Calibri"/>
                <w:sz w:val="18"/>
                <w:szCs w:val="18"/>
              </w:rPr>
            </w:pPr>
            <w:r w:rsidRPr="00B8717B">
              <w:rPr>
                <w:rFonts w:ascii="Calibri" w:hAnsi="Calibri"/>
                <w:sz w:val="18"/>
                <w:szCs w:val="18"/>
              </w:rPr>
              <w:t>Warstwa wyrównawcza</w:t>
            </w:r>
          </w:p>
        </w:tc>
        <w:tc>
          <w:tcPr>
            <w:tcW w:w="2693" w:type="dxa"/>
          </w:tcPr>
          <w:p w:rsidR="000C27BF" w:rsidRPr="00B8717B" w:rsidRDefault="000C27BF" w:rsidP="00556540">
            <w:pPr>
              <w:spacing w:before="60" w:after="60"/>
              <w:jc w:val="center"/>
              <w:rPr>
                <w:rFonts w:ascii="Calibri" w:hAnsi="Calibri"/>
                <w:sz w:val="18"/>
                <w:szCs w:val="18"/>
              </w:rPr>
            </w:pPr>
            <w:r w:rsidRPr="00B8717B">
              <w:rPr>
                <w:rFonts w:ascii="Calibri" w:hAnsi="Calibri"/>
                <w:sz w:val="18"/>
                <w:szCs w:val="18"/>
              </w:rPr>
              <w:t>0</w:t>
            </w:r>
          </w:p>
        </w:tc>
        <w:tc>
          <w:tcPr>
            <w:tcW w:w="1591" w:type="dxa"/>
          </w:tcPr>
          <w:p w:rsidR="000C27BF" w:rsidRPr="00B8717B" w:rsidRDefault="000C27BF" w:rsidP="00556540">
            <w:pPr>
              <w:spacing w:before="60" w:after="60"/>
              <w:jc w:val="center"/>
              <w:rPr>
                <w:rFonts w:ascii="Calibri" w:hAnsi="Calibri"/>
                <w:sz w:val="18"/>
                <w:szCs w:val="18"/>
              </w:rPr>
            </w:pPr>
            <w:r w:rsidRPr="00B8717B">
              <w:rPr>
                <w:rFonts w:ascii="Calibri" w:hAnsi="Calibri"/>
                <w:sz w:val="18"/>
                <w:szCs w:val="18"/>
              </w:rPr>
              <w:t>+5</w:t>
            </w:r>
          </w:p>
        </w:tc>
      </w:tr>
    </w:tbl>
    <w:p w:rsidR="000C27BF" w:rsidRDefault="000C27BF" w:rsidP="000C27BF">
      <w:r>
        <w:tab/>
      </w:r>
    </w:p>
    <w:p w:rsidR="000C27BF" w:rsidRDefault="000C27BF" w:rsidP="000C27BF">
      <w:pPr>
        <w:rPr>
          <w:rFonts w:ascii="Calibri" w:hAnsi="Calibri"/>
        </w:rPr>
      </w:pPr>
      <w:r w:rsidRPr="003A7D1D">
        <w:rPr>
          <w:rFonts w:ascii="Calibri" w:hAnsi="Calibri"/>
        </w:rPr>
        <w:t>Właściwości wykonanej warstwy powinny spełniać warunki podane w tablicy 12.</w:t>
      </w:r>
    </w:p>
    <w:p w:rsidR="000C27BF" w:rsidRPr="003A7D1D" w:rsidRDefault="000C27BF" w:rsidP="000C27BF">
      <w:pPr>
        <w:rPr>
          <w:rFonts w:ascii="Calibri" w:hAnsi="Calibri"/>
        </w:rPr>
      </w:pPr>
    </w:p>
    <w:p w:rsidR="000C27BF" w:rsidRPr="003A7D1D" w:rsidRDefault="000C27BF" w:rsidP="000C27BF">
      <w:pPr>
        <w:ind w:left="709"/>
        <w:rPr>
          <w:rFonts w:ascii="Calibri" w:hAnsi="Calibri"/>
        </w:rPr>
      </w:pPr>
      <w:r w:rsidRPr="003A7D1D">
        <w:rPr>
          <w:rFonts w:ascii="Calibri" w:hAnsi="Calibri"/>
        </w:rPr>
        <w:t xml:space="preserve">Tablica 12. Właściwości warstwy AC </w:t>
      </w:r>
    </w:p>
    <w:tbl>
      <w:tblPr>
        <w:tblW w:w="0" w:type="auto"/>
        <w:tblInd w:w="81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tblPr>
      <w:tblGrid>
        <w:gridCol w:w="2088"/>
        <w:gridCol w:w="1667"/>
        <w:gridCol w:w="1878"/>
        <w:gridCol w:w="1878"/>
      </w:tblGrid>
      <w:tr w:rsidR="000C27BF" w:rsidRPr="003A7D1D" w:rsidTr="00556540">
        <w:tc>
          <w:tcPr>
            <w:tcW w:w="2088" w:type="dxa"/>
          </w:tcPr>
          <w:p w:rsidR="000C27BF" w:rsidRPr="003A7D1D" w:rsidRDefault="000C27BF" w:rsidP="00556540">
            <w:pPr>
              <w:jc w:val="center"/>
              <w:rPr>
                <w:rFonts w:ascii="Calibri" w:hAnsi="Calibri"/>
                <w:sz w:val="18"/>
                <w:szCs w:val="18"/>
              </w:rPr>
            </w:pPr>
          </w:p>
          <w:p w:rsidR="000C27BF" w:rsidRPr="003A7D1D" w:rsidRDefault="000C27BF" w:rsidP="00556540">
            <w:pPr>
              <w:jc w:val="center"/>
              <w:rPr>
                <w:rFonts w:ascii="Calibri" w:hAnsi="Calibri"/>
                <w:sz w:val="18"/>
                <w:szCs w:val="18"/>
              </w:rPr>
            </w:pPr>
            <w:r w:rsidRPr="003A7D1D">
              <w:rPr>
                <w:rFonts w:ascii="Calibri" w:hAnsi="Calibri"/>
                <w:sz w:val="18"/>
                <w:szCs w:val="18"/>
              </w:rPr>
              <w:t>Typ i wymiar mieszanki</w:t>
            </w:r>
          </w:p>
        </w:tc>
        <w:tc>
          <w:tcPr>
            <w:tcW w:w="1667" w:type="dxa"/>
          </w:tcPr>
          <w:p w:rsidR="000C27BF" w:rsidRPr="003A7D1D" w:rsidRDefault="000C27BF" w:rsidP="00556540">
            <w:pPr>
              <w:jc w:val="center"/>
              <w:rPr>
                <w:rFonts w:ascii="Calibri" w:hAnsi="Calibri"/>
                <w:sz w:val="18"/>
                <w:szCs w:val="18"/>
              </w:rPr>
            </w:pPr>
            <w:r w:rsidRPr="003A7D1D">
              <w:rPr>
                <w:rFonts w:ascii="Calibri" w:hAnsi="Calibri"/>
                <w:sz w:val="18"/>
                <w:szCs w:val="18"/>
              </w:rPr>
              <w:t>Projektowana grubość warstwy technologicznej [cm]</w:t>
            </w:r>
          </w:p>
        </w:tc>
        <w:tc>
          <w:tcPr>
            <w:tcW w:w="1878" w:type="dxa"/>
          </w:tcPr>
          <w:p w:rsidR="000C27BF" w:rsidRPr="003A7D1D" w:rsidRDefault="000C27BF" w:rsidP="00556540">
            <w:pPr>
              <w:spacing w:before="120"/>
              <w:jc w:val="center"/>
              <w:rPr>
                <w:rFonts w:ascii="Calibri" w:hAnsi="Calibri"/>
                <w:sz w:val="18"/>
                <w:szCs w:val="18"/>
              </w:rPr>
            </w:pPr>
            <w:r w:rsidRPr="003A7D1D">
              <w:rPr>
                <w:rFonts w:ascii="Calibri" w:hAnsi="Calibri"/>
                <w:sz w:val="18"/>
                <w:szCs w:val="18"/>
              </w:rPr>
              <w:t xml:space="preserve">Wskaźnik zagęszczenia </w:t>
            </w:r>
          </w:p>
          <w:p w:rsidR="000C27BF" w:rsidRPr="003A7D1D" w:rsidRDefault="000C27BF" w:rsidP="00556540">
            <w:pPr>
              <w:jc w:val="center"/>
              <w:rPr>
                <w:rFonts w:ascii="Calibri" w:hAnsi="Calibri"/>
                <w:sz w:val="18"/>
                <w:szCs w:val="18"/>
              </w:rPr>
            </w:pPr>
            <w:r w:rsidRPr="003A7D1D">
              <w:rPr>
                <w:rFonts w:ascii="Calibri" w:hAnsi="Calibri"/>
                <w:sz w:val="18"/>
                <w:szCs w:val="18"/>
              </w:rPr>
              <w:t>[%]</w:t>
            </w:r>
          </w:p>
        </w:tc>
        <w:tc>
          <w:tcPr>
            <w:tcW w:w="1878" w:type="dxa"/>
          </w:tcPr>
          <w:p w:rsidR="000C27BF" w:rsidRPr="003A7D1D" w:rsidRDefault="000C27BF" w:rsidP="00556540">
            <w:pPr>
              <w:jc w:val="center"/>
              <w:rPr>
                <w:rFonts w:ascii="Calibri" w:hAnsi="Calibri"/>
                <w:sz w:val="18"/>
                <w:szCs w:val="18"/>
              </w:rPr>
            </w:pPr>
            <w:r w:rsidRPr="003A7D1D">
              <w:rPr>
                <w:rFonts w:ascii="Calibri" w:hAnsi="Calibri"/>
                <w:sz w:val="18"/>
                <w:szCs w:val="18"/>
              </w:rPr>
              <w:t>Zawartość wolnych przestrzeni w warstwie</w:t>
            </w:r>
          </w:p>
          <w:p w:rsidR="000C27BF" w:rsidRPr="003A7D1D" w:rsidRDefault="000C27BF" w:rsidP="00556540">
            <w:pPr>
              <w:jc w:val="center"/>
              <w:rPr>
                <w:rFonts w:ascii="Calibri" w:hAnsi="Calibri"/>
                <w:sz w:val="18"/>
                <w:szCs w:val="18"/>
              </w:rPr>
            </w:pPr>
            <w:r w:rsidRPr="003A7D1D">
              <w:rPr>
                <w:rFonts w:ascii="Calibri" w:hAnsi="Calibri"/>
                <w:sz w:val="18"/>
                <w:szCs w:val="18"/>
              </w:rPr>
              <w:t>[%(v/v)]</w:t>
            </w:r>
          </w:p>
        </w:tc>
      </w:tr>
      <w:tr w:rsidR="000C27BF" w:rsidRPr="003A7D1D" w:rsidTr="00556540">
        <w:tc>
          <w:tcPr>
            <w:tcW w:w="2088" w:type="dxa"/>
          </w:tcPr>
          <w:p w:rsidR="000C27BF" w:rsidRPr="003A7D1D" w:rsidRDefault="000C27BF" w:rsidP="00556540">
            <w:pPr>
              <w:spacing w:before="60" w:after="60"/>
              <w:jc w:val="left"/>
              <w:rPr>
                <w:rFonts w:ascii="Calibri" w:hAnsi="Calibri"/>
                <w:sz w:val="18"/>
                <w:szCs w:val="18"/>
                <w:vertAlign w:val="superscript"/>
              </w:rPr>
            </w:pPr>
            <w:r w:rsidRPr="003A7D1D">
              <w:rPr>
                <w:rFonts w:ascii="Calibri" w:hAnsi="Calibri"/>
                <w:sz w:val="18"/>
                <w:szCs w:val="18"/>
              </w:rPr>
              <w:t xml:space="preserve">AC11W,  KR1÷KR2 </w:t>
            </w:r>
          </w:p>
        </w:tc>
        <w:tc>
          <w:tcPr>
            <w:tcW w:w="1667" w:type="dxa"/>
          </w:tcPr>
          <w:p w:rsidR="000C27BF" w:rsidRPr="003A7D1D" w:rsidRDefault="000C27BF" w:rsidP="00556540">
            <w:pPr>
              <w:spacing w:before="60" w:after="60"/>
              <w:jc w:val="center"/>
              <w:rPr>
                <w:rFonts w:ascii="Calibri" w:hAnsi="Calibri"/>
                <w:sz w:val="18"/>
                <w:szCs w:val="18"/>
              </w:rPr>
            </w:pPr>
            <w:r w:rsidRPr="003A7D1D">
              <w:rPr>
                <w:rFonts w:ascii="Calibri" w:hAnsi="Calibri"/>
                <w:sz w:val="18"/>
                <w:szCs w:val="18"/>
              </w:rPr>
              <w:t>4,0 ÷ 10,0</w:t>
            </w:r>
          </w:p>
        </w:tc>
        <w:tc>
          <w:tcPr>
            <w:tcW w:w="1878" w:type="dxa"/>
          </w:tcPr>
          <w:p w:rsidR="000C27BF" w:rsidRPr="003A7D1D" w:rsidRDefault="000C27BF" w:rsidP="00556540">
            <w:pPr>
              <w:spacing w:before="60" w:after="60"/>
              <w:jc w:val="center"/>
              <w:rPr>
                <w:rFonts w:ascii="Calibri" w:hAnsi="Calibri"/>
                <w:sz w:val="18"/>
                <w:szCs w:val="18"/>
              </w:rPr>
            </w:pPr>
            <w:r w:rsidRPr="003A7D1D">
              <w:rPr>
                <w:rFonts w:ascii="Calibri" w:hAnsi="Calibri"/>
                <w:sz w:val="18"/>
                <w:szCs w:val="18"/>
              </w:rPr>
              <w:t>≥ 98</w:t>
            </w:r>
          </w:p>
        </w:tc>
        <w:tc>
          <w:tcPr>
            <w:tcW w:w="1878" w:type="dxa"/>
          </w:tcPr>
          <w:p w:rsidR="000C27BF" w:rsidRPr="003A7D1D" w:rsidRDefault="000C27BF" w:rsidP="00556540">
            <w:pPr>
              <w:spacing w:before="60" w:after="60"/>
              <w:jc w:val="center"/>
              <w:rPr>
                <w:rFonts w:ascii="Calibri" w:hAnsi="Calibri"/>
                <w:sz w:val="18"/>
                <w:szCs w:val="18"/>
              </w:rPr>
            </w:pPr>
            <w:r w:rsidRPr="003A7D1D">
              <w:rPr>
                <w:rFonts w:ascii="Calibri" w:hAnsi="Calibri"/>
                <w:sz w:val="18"/>
                <w:szCs w:val="18"/>
              </w:rPr>
              <w:t>3,5 ÷ 7,0</w:t>
            </w:r>
          </w:p>
        </w:tc>
      </w:tr>
      <w:tr w:rsidR="000C27BF" w:rsidRPr="003A7D1D" w:rsidTr="00556540">
        <w:tc>
          <w:tcPr>
            <w:tcW w:w="2088" w:type="dxa"/>
          </w:tcPr>
          <w:p w:rsidR="000C27BF" w:rsidRPr="003A7D1D" w:rsidRDefault="000C27BF" w:rsidP="00556540">
            <w:pPr>
              <w:spacing w:before="60" w:after="60"/>
              <w:rPr>
                <w:rFonts w:ascii="Calibri" w:hAnsi="Calibri"/>
                <w:sz w:val="18"/>
                <w:szCs w:val="18"/>
                <w:vertAlign w:val="superscript"/>
              </w:rPr>
            </w:pPr>
            <w:r w:rsidRPr="003A7D1D">
              <w:rPr>
                <w:rFonts w:ascii="Calibri" w:hAnsi="Calibri"/>
                <w:sz w:val="18"/>
                <w:szCs w:val="18"/>
              </w:rPr>
              <w:t xml:space="preserve">AC16W,  KR1÷KR2 </w:t>
            </w:r>
          </w:p>
        </w:tc>
        <w:tc>
          <w:tcPr>
            <w:tcW w:w="1667" w:type="dxa"/>
          </w:tcPr>
          <w:p w:rsidR="000C27BF" w:rsidRPr="003A7D1D" w:rsidRDefault="000C27BF" w:rsidP="00556540">
            <w:pPr>
              <w:spacing w:before="60" w:after="60"/>
              <w:jc w:val="center"/>
              <w:rPr>
                <w:rFonts w:ascii="Calibri" w:hAnsi="Calibri"/>
                <w:sz w:val="18"/>
                <w:szCs w:val="18"/>
              </w:rPr>
            </w:pPr>
            <w:r w:rsidRPr="003A7D1D">
              <w:rPr>
                <w:rFonts w:ascii="Calibri" w:hAnsi="Calibri"/>
                <w:sz w:val="18"/>
                <w:szCs w:val="18"/>
              </w:rPr>
              <w:t>5,0 ÷ 10,0</w:t>
            </w:r>
          </w:p>
        </w:tc>
        <w:tc>
          <w:tcPr>
            <w:tcW w:w="1878" w:type="dxa"/>
          </w:tcPr>
          <w:p w:rsidR="000C27BF" w:rsidRPr="003A7D1D" w:rsidRDefault="000C27BF" w:rsidP="00556540">
            <w:pPr>
              <w:spacing w:before="60" w:after="60"/>
              <w:jc w:val="center"/>
              <w:rPr>
                <w:rFonts w:ascii="Calibri" w:hAnsi="Calibri"/>
                <w:sz w:val="18"/>
                <w:szCs w:val="18"/>
              </w:rPr>
            </w:pPr>
            <w:r w:rsidRPr="003A7D1D">
              <w:rPr>
                <w:rFonts w:ascii="Calibri" w:hAnsi="Calibri"/>
                <w:sz w:val="18"/>
                <w:szCs w:val="18"/>
              </w:rPr>
              <w:t>≥ 98</w:t>
            </w:r>
          </w:p>
        </w:tc>
        <w:tc>
          <w:tcPr>
            <w:tcW w:w="1878" w:type="dxa"/>
          </w:tcPr>
          <w:p w:rsidR="000C27BF" w:rsidRPr="003A7D1D" w:rsidRDefault="000C27BF" w:rsidP="00556540">
            <w:pPr>
              <w:spacing w:before="60" w:after="60"/>
              <w:jc w:val="center"/>
              <w:rPr>
                <w:rFonts w:ascii="Calibri" w:hAnsi="Calibri"/>
                <w:sz w:val="18"/>
                <w:szCs w:val="18"/>
              </w:rPr>
            </w:pPr>
            <w:r w:rsidRPr="003A7D1D">
              <w:rPr>
                <w:rFonts w:ascii="Calibri" w:hAnsi="Calibri"/>
                <w:sz w:val="18"/>
                <w:szCs w:val="18"/>
              </w:rPr>
              <w:t>3,5 ÷ 7,0</w:t>
            </w:r>
          </w:p>
        </w:tc>
      </w:tr>
      <w:tr w:rsidR="000C27BF" w:rsidRPr="003A7D1D" w:rsidTr="00556540">
        <w:tc>
          <w:tcPr>
            <w:tcW w:w="2088" w:type="dxa"/>
          </w:tcPr>
          <w:p w:rsidR="000C27BF" w:rsidRPr="003A7D1D" w:rsidRDefault="000C27BF" w:rsidP="00556540">
            <w:pPr>
              <w:spacing w:before="60" w:after="60"/>
              <w:rPr>
                <w:rFonts w:ascii="Calibri" w:hAnsi="Calibri"/>
                <w:sz w:val="18"/>
                <w:szCs w:val="18"/>
                <w:vertAlign w:val="superscript"/>
              </w:rPr>
            </w:pPr>
            <w:r w:rsidRPr="003A7D1D">
              <w:rPr>
                <w:rFonts w:ascii="Calibri" w:hAnsi="Calibri"/>
                <w:sz w:val="18"/>
                <w:szCs w:val="18"/>
              </w:rPr>
              <w:t>AC16W,  KR3÷KR6</w:t>
            </w:r>
          </w:p>
        </w:tc>
        <w:tc>
          <w:tcPr>
            <w:tcW w:w="1667" w:type="dxa"/>
          </w:tcPr>
          <w:p w:rsidR="000C27BF" w:rsidRPr="003A7D1D" w:rsidRDefault="000C27BF" w:rsidP="00556540">
            <w:pPr>
              <w:spacing w:before="60" w:after="60"/>
              <w:jc w:val="center"/>
              <w:rPr>
                <w:rFonts w:ascii="Calibri" w:hAnsi="Calibri"/>
                <w:sz w:val="18"/>
                <w:szCs w:val="18"/>
              </w:rPr>
            </w:pPr>
            <w:r w:rsidRPr="003A7D1D">
              <w:rPr>
                <w:rFonts w:ascii="Calibri" w:hAnsi="Calibri"/>
                <w:sz w:val="18"/>
                <w:szCs w:val="18"/>
              </w:rPr>
              <w:t>5,0 ÷ 10,0</w:t>
            </w:r>
          </w:p>
        </w:tc>
        <w:tc>
          <w:tcPr>
            <w:tcW w:w="1878" w:type="dxa"/>
          </w:tcPr>
          <w:p w:rsidR="000C27BF" w:rsidRPr="003A7D1D" w:rsidRDefault="000C27BF" w:rsidP="00556540">
            <w:pPr>
              <w:spacing w:before="60" w:after="60"/>
              <w:jc w:val="center"/>
              <w:rPr>
                <w:rFonts w:ascii="Calibri" w:hAnsi="Calibri"/>
                <w:sz w:val="18"/>
                <w:szCs w:val="18"/>
              </w:rPr>
            </w:pPr>
            <w:r w:rsidRPr="003A7D1D">
              <w:rPr>
                <w:rFonts w:ascii="Calibri" w:hAnsi="Calibri"/>
                <w:sz w:val="18"/>
                <w:szCs w:val="18"/>
              </w:rPr>
              <w:t>≥ 98</w:t>
            </w:r>
          </w:p>
        </w:tc>
        <w:tc>
          <w:tcPr>
            <w:tcW w:w="1878" w:type="dxa"/>
          </w:tcPr>
          <w:p w:rsidR="000C27BF" w:rsidRPr="003A7D1D" w:rsidRDefault="000C27BF" w:rsidP="00556540">
            <w:pPr>
              <w:spacing w:before="60" w:after="60"/>
              <w:jc w:val="center"/>
              <w:rPr>
                <w:rFonts w:ascii="Calibri" w:hAnsi="Calibri"/>
                <w:sz w:val="18"/>
                <w:szCs w:val="18"/>
              </w:rPr>
            </w:pPr>
            <w:r w:rsidRPr="003A7D1D">
              <w:rPr>
                <w:rFonts w:ascii="Calibri" w:hAnsi="Calibri"/>
                <w:sz w:val="18"/>
                <w:szCs w:val="18"/>
              </w:rPr>
              <w:t>4,5 ÷ 8,0</w:t>
            </w:r>
          </w:p>
        </w:tc>
      </w:tr>
      <w:tr w:rsidR="000C27BF" w:rsidRPr="003A7D1D" w:rsidTr="00556540">
        <w:tc>
          <w:tcPr>
            <w:tcW w:w="2088" w:type="dxa"/>
            <w:tcBorders>
              <w:bottom w:val="single" w:sz="4" w:space="0" w:color="auto"/>
            </w:tcBorders>
          </w:tcPr>
          <w:p w:rsidR="000C27BF" w:rsidRPr="003A7D1D" w:rsidRDefault="000C27BF" w:rsidP="00556540">
            <w:pPr>
              <w:spacing w:before="60" w:after="60"/>
              <w:rPr>
                <w:rFonts w:ascii="Calibri" w:hAnsi="Calibri"/>
                <w:sz w:val="18"/>
                <w:szCs w:val="18"/>
                <w:vertAlign w:val="superscript"/>
              </w:rPr>
            </w:pPr>
            <w:r w:rsidRPr="003A7D1D">
              <w:rPr>
                <w:rFonts w:ascii="Calibri" w:hAnsi="Calibri"/>
                <w:sz w:val="18"/>
                <w:szCs w:val="18"/>
              </w:rPr>
              <w:t>AC22W,  KR3÷KR6</w:t>
            </w:r>
          </w:p>
        </w:tc>
        <w:tc>
          <w:tcPr>
            <w:tcW w:w="1667" w:type="dxa"/>
            <w:tcBorders>
              <w:bottom w:val="single" w:sz="4" w:space="0" w:color="auto"/>
            </w:tcBorders>
          </w:tcPr>
          <w:p w:rsidR="000C27BF" w:rsidRPr="003A7D1D" w:rsidRDefault="000C27BF" w:rsidP="00556540">
            <w:pPr>
              <w:spacing w:before="60" w:after="60"/>
              <w:jc w:val="center"/>
              <w:rPr>
                <w:rFonts w:ascii="Calibri" w:hAnsi="Calibri"/>
                <w:sz w:val="18"/>
                <w:szCs w:val="18"/>
              </w:rPr>
            </w:pPr>
            <w:r w:rsidRPr="003A7D1D">
              <w:rPr>
                <w:rFonts w:ascii="Calibri" w:hAnsi="Calibri"/>
                <w:sz w:val="18"/>
                <w:szCs w:val="18"/>
              </w:rPr>
              <w:t>7,0 ÷ 10,0</w:t>
            </w:r>
          </w:p>
        </w:tc>
        <w:tc>
          <w:tcPr>
            <w:tcW w:w="1878" w:type="dxa"/>
            <w:tcBorders>
              <w:bottom w:val="single" w:sz="4" w:space="0" w:color="auto"/>
            </w:tcBorders>
          </w:tcPr>
          <w:p w:rsidR="000C27BF" w:rsidRPr="003A7D1D" w:rsidRDefault="000C27BF" w:rsidP="00556540">
            <w:pPr>
              <w:spacing w:before="60" w:after="60"/>
              <w:jc w:val="center"/>
              <w:rPr>
                <w:rFonts w:ascii="Calibri" w:hAnsi="Calibri"/>
                <w:sz w:val="18"/>
                <w:szCs w:val="18"/>
              </w:rPr>
            </w:pPr>
            <w:r w:rsidRPr="003A7D1D">
              <w:rPr>
                <w:rFonts w:ascii="Calibri" w:hAnsi="Calibri"/>
                <w:sz w:val="18"/>
                <w:szCs w:val="18"/>
              </w:rPr>
              <w:t>≥ 98</w:t>
            </w:r>
          </w:p>
        </w:tc>
        <w:tc>
          <w:tcPr>
            <w:tcW w:w="1878" w:type="dxa"/>
            <w:tcBorders>
              <w:bottom w:val="single" w:sz="4" w:space="0" w:color="auto"/>
            </w:tcBorders>
          </w:tcPr>
          <w:p w:rsidR="000C27BF" w:rsidRPr="003A7D1D" w:rsidRDefault="000C27BF" w:rsidP="00556540">
            <w:pPr>
              <w:spacing w:before="60" w:after="60"/>
              <w:jc w:val="center"/>
              <w:rPr>
                <w:rFonts w:ascii="Calibri" w:hAnsi="Calibri"/>
                <w:sz w:val="18"/>
                <w:szCs w:val="18"/>
              </w:rPr>
            </w:pPr>
            <w:r w:rsidRPr="003A7D1D">
              <w:rPr>
                <w:rFonts w:ascii="Calibri" w:hAnsi="Calibri"/>
                <w:sz w:val="18"/>
                <w:szCs w:val="18"/>
              </w:rPr>
              <w:t>4,5 ÷8,0</w:t>
            </w:r>
          </w:p>
        </w:tc>
      </w:tr>
    </w:tbl>
    <w:p w:rsidR="000C27BF" w:rsidRPr="003A7D1D" w:rsidRDefault="000C27BF" w:rsidP="000C27BF">
      <w:pPr>
        <w:rPr>
          <w:rFonts w:ascii="Calibri" w:hAnsi="Calibri"/>
        </w:rPr>
      </w:pPr>
      <w:r w:rsidRPr="003A7D1D">
        <w:rPr>
          <w:rFonts w:ascii="Calibri" w:hAnsi="Calibri"/>
        </w:rPr>
        <w:tab/>
      </w:r>
    </w:p>
    <w:p w:rsidR="000C27BF" w:rsidRPr="003A7D1D" w:rsidRDefault="000C27BF" w:rsidP="000C27BF">
      <w:pPr>
        <w:rPr>
          <w:rFonts w:ascii="Calibri" w:hAnsi="Calibri"/>
        </w:rPr>
      </w:pPr>
      <w:r w:rsidRPr="003A7D1D">
        <w:rPr>
          <w:rFonts w:ascii="Calibri" w:hAnsi="Calibri"/>
        </w:rPr>
        <w:lastRenderedPageBreak/>
        <w:t>Mieszanka mineralno-asfaltowa powinna być wbudowywana rozkładarką wyposażoną w układ automatycznego sterowania grubości warstwy i utrzymywania niwelety zgodnie z dokumentacją projektową. W miejscach niedostępnych dla sprzętu dopuszcza się wbudowywanie ręczne.</w:t>
      </w:r>
    </w:p>
    <w:p w:rsidR="000C27BF" w:rsidRPr="003A7D1D" w:rsidRDefault="000C27BF" w:rsidP="000C27BF">
      <w:pPr>
        <w:rPr>
          <w:rFonts w:ascii="Calibri" w:hAnsi="Calibri"/>
        </w:rPr>
      </w:pPr>
      <w:r w:rsidRPr="003A7D1D">
        <w:rPr>
          <w:rFonts w:ascii="Calibri" w:hAnsi="Calibri"/>
        </w:rPr>
        <w:tab/>
        <w:t xml:space="preserve">Grubość wykonywanej warstwy powinna być sprawdzana co </w:t>
      </w:r>
      <w:smartTag w:uri="urn:schemas-microsoft-com:office:smarttags" w:element="metricconverter">
        <w:smartTagPr>
          <w:attr w:name="ProductID" w:val="25 m"/>
        </w:smartTagPr>
        <w:r w:rsidRPr="003A7D1D">
          <w:rPr>
            <w:rFonts w:ascii="Calibri" w:hAnsi="Calibri"/>
          </w:rPr>
          <w:t>25 m</w:t>
        </w:r>
      </w:smartTag>
      <w:r w:rsidRPr="003A7D1D">
        <w:rPr>
          <w:rFonts w:ascii="Calibri" w:hAnsi="Calibri"/>
        </w:rPr>
        <w:t>, w co najmniej trzech miejscach (w osi i przy brzegach warstwy).</w:t>
      </w:r>
    </w:p>
    <w:p w:rsidR="000C27BF" w:rsidRPr="003A7D1D" w:rsidRDefault="000C27BF" w:rsidP="000C27BF">
      <w:pPr>
        <w:rPr>
          <w:rFonts w:ascii="Calibri" w:hAnsi="Calibri"/>
        </w:rPr>
      </w:pPr>
      <w:r w:rsidRPr="003A7D1D">
        <w:rPr>
          <w:rFonts w:ascii="Calibri" w:hAnsi="Calibri"/>
        </w:rPr>
        <w:tab/>
        <w:t xml:space="preserve">Warstwy wałowane powinny być równomiernie zagęszczone ciężkimi walcami drogowymi. Do warstw z betonu asfaltowego należy stosować walce drogowe stalowe gładkie z możliwością wibracji, oscylacji lub walce ogumione. </w:t>
      </w:r>
    </w:p>
    <w:p w:rsidR="000C27BF" w:rsidRDefault="000C27BF" w:rsidP="000C27BF">
      <w:pPr>
        <w:rPr>
          <w:rFonts w:ascii="Calibri" w:hAnsi="Calibri"/>
        </w:rPr>
      </w:pPr>
    </w:p>
    <w:p w:rsidR="000C27BF" w:rsidRPr="00654C26" w:rsidRDefault="000C27BF" w:rsidP="000C27BF">
      <w:pPr>
        <w:rPr>
          <w:rFonts w:ascii="Calibri" w:hAnsi="Calibri"/>
          <w:b/>
        </w:rPr>
      </w:pPr>
      <w:r w:rsidRPr="00654C26">
        <w:rPr>
          <w:rFonts w:ascii="Calibri" w:hAnsi="Calibri"/>
          <w:b/>
        </w:rPr>
        <w:t>6. KONTROLA JAKOŚCI ROBÓT</w:t>
      </w:r>
    </w:p>
    <w:p w:rsidR="000C27BF" w:rsidRPr="003A7D1D" w:rsidRDefault="000C27BF" w:rsidP="000C27BF">
      <w:pPr>
        <w:rPr>
          <w:rFonts w:ascii="Calibri" w:hAnsi="Calibri"/>
        </w:rPr>
      </w:pPr>
      <w:r w:rsidRPr="00654C26">
        <w:rPr>
          <w:rFonts w:ascii="Calibri" w:hAnsi="Calibri"/>
          <w:b/>
        </w:rPr>
        <w:t>6.1.</w:t>
      </w:r>
      <w:r w:rsidRPr="003A7D1D">
        <w:rPr>
          <w:rFonts w:ascii="Calibri" w:hAnsi="Calibri"/>
        </w:rPr>
        <w:t xml:space="preserve"> Ogólne zasady kontroli jakości robót</w:t>
      </w:r>
    </w:p>
    <w:p w:rsidR="000C27BF" w:rsidRPr="003A7D1D" w:rsidRDefault="000C27BF" w:rsidP="000C27BF">
      <w:pPr>
        <w:rPr>
          <w:rFonts w:ascii="Calibri" w:hAnsi="Calibri"/>
        </w:rPr>
      </w:pPr>
      <w:r w:rsidRPr="003A7D1D">
        <w:rPr>
          <w:rFonts w:ascii="Calibri" w:hAnsi="Calibri"/>
        </w:rPr>
        <w:tab/>
        <w:t>Ogólne zasady k</w:t>
      </w:r>
      <w:r>
        <w:rPr>
          <w:rFonts w:ascii="Calibri" w:hAnsi="Calibri"/>
        </w:rPr>
        <w:t xml:space="preserve">ontroli jakości robót podano w </w:t>
      </w:r>
      <w:r w:rsidRPr="003A7D1D">
        <w:rPr>
          <w:rFonts w:ascii="Calibri" w:hAnsi="Calibri"/>
        </w:rPr>
        <w:t>ST   D-M-00.00.00 „Wymagania ogólne” [1] pkt 6.</w:t>
      </w:r>
    </w:p>
    <w:p w:rsidR="000C27BF" w:rsidRPr="003A7D1D" w:rsidRDefault="000C27BF" w:rsidP="000C27BF">
      <w:pPr>
        <w:rPr>
          <w:rFonts w:ascii="Calibri" w:hAnsi="Calibri"/>
        </w:rPr>
      </w:pPr>
      <w:r w:rsidRPr="00654C26">
        <w:rPr>
          <w:rFonts w:ascii="Calibri" w:hAnsi="Calibri"/>
          <w:b/>
        </w:rPr>
        <w:t>6.2.</w:t>
      </w:r>
      <w:r w:rsidRPr="003A7D1D">
        <w:rPr>
          <w:rFonts w:ascii="Calibri" w:hAnsi="Calibri"/>
        </w:rPr>
        <w:t xml:space="preserve"> Badania przed przystąpieniem do robót</w:t>
      </w:r>
    </w:p>
    <w:p w:rsidR="000C27BF" w:rsidRPr="003A7D1D" w:rsidRDefault="000C27BF" w:rsidP="000C27BF">
      <w:pPr>
        <w:rPr>
          <w:rFonts w:ascii="Calibri" w:hAnsi="Calibri"/>
        </w:rPr>
      </w:pPr>
      <w:r w:rsidRPr="003A7D1D">
        <w:rPr>
          <w:rFonts w:ascii="Calibri" w:hAnsi="Calibri"/>
        </w:rPr>
        <w:tab/>
        <w:t>Przed przystąpieniem do robót Wykonawca powinien:</w:t>
      </w:r>
    </w:p>
    <w:p w:rsidR="000C27BF" w:rsidRPr="003A7D1D" w:rsidRDefault="000C27BF" w:rsidP="000C27BF">
      <w:pPr>
        <w:rPr>
          <w:rFonts w:ascii="Calibri" w:hAnsi="Calibri"/>
        </w:rPr>
      </w:pPr>
      <w:r>
        <w:rPr>
          <w:rFonts w:ascii="Calibri" w:hAnsi="Calibri"/>
        </w:rPr>
        <w:t>-</w:t>
      </w:r>
      <w:r w:rsidRPr="003A7D1D">
        <w:rPr>
          <w:rFonts w:ascii="Calibri" w:hAnsi="Calibri"/>
        </w:rPr>
        <w:t>uzyskać wymagane dokumenty, dopuszczające wyroby budowlane do obrotu i powszechnego stosowania (np. stwierdzenie o oznakowaniu materiału znakiem CE lub znakiem budowlanym B, certyfikat zgodności, deklarację zgodności, aprobatę techniczną, ew. badania materiałów wykonane przez dostawców itp.),</w:t>
      </w:r>
    </w:p>
    <w:p w:rsidR="000C27BF" w:rsidRPr="003A7D1D" w:rsidRDefault="000C27BF" w:rsidP="000C27BF">
      <w:pPr>
        <w:rPr>
          <w:rFonts w:ascii="Calibri" w:hAnsi="Calibri"/>
        </w:rPr>
      </w:pPr>
      <w:r>
        <w:rPr>
          <w:rFonts w:ascii="Calibri" w:hAnsi="Calibri"/>
        </w:rPr>
        <w:t>-</w:t>
      </w:r>
      <w:r w:rsidRPr="003A7D1D">
        <w:rPr>
          <w:rFonts w:ascii="Calibri" w:hAnsi="Calibri"/>
        </w:rPr>
        <w:t>ew. wykonać własne badania właściwości materiałów przeznaczonych do wykonania robót, określone przez Inżyniera.</w:t>
      </w:r>
    </w:p>
    <w:p w:rsidR="000C27BF" w:rsidRPr="003A7D1D" w:rsidRDefault="000C27BF" w:rsidP="000C27BF">
      <w:pPr>
        <w:rPr>
          <w:rFonts w:ascii="Calibri" w:hAnsi="Calibri"/>
        </w:rPr>
      </w:pPr>
      <w:r w:rsidRPr="003A7D1D">
        <w:rPr>
          <w:rFonts w:ascii="Calibri" w:hAnsi="Calibri"/>
        </w:rPr>
        <w:tab/>
        <w:t>Wszystkie dokumenty oraz wyniki badań Wykonawca przedstawia Inżynierowi do akceptacji.</w:t>
      </w:r>
    </w:p>
    <w:p w:rsidR="000C27BF" w:rsidRPr="003A7D1D" w:rsidRDefault="000C27BF" w:rsidP="000C27BF">
      <w:pPr>
        <w:rPr>
          <w:rFonts w:ascii="Calibri" w:hAnsi="Calibri"/>
        </w:rPr>
      </w:pPr>
      <w:r w:rsidRPr="00654C26">
        <w:rPr>
          <w:rFonts w:ascii="Calibri" w:hAnsi="Calibri"/>
          <w:b/>
        </w:rPr>
        <w:t>6.3.</w:t>
      </w:r>
      <w:r w:rsidRPr="003A7D1D">
        <w:rPr>
          <w:rFonts w:ascii="Calibri" w:hAnsi="Calibri"/>
        </w:rPr>
        <w:t xml:space="preserve"> Badania w czasie robót</w:t>
      </w:r>
    </w:p>
    <w:p w:rsidR="000C27BF" w:rsidRPr="003A7D1D" w:rsidRDefault="000C27BF" w:rsidP="000C27BF">
      <w:pPr>
        <w:rPr>
          <w:rFonts w:ascii="Calibri" w:hAnsi="Calibri"/>
        </w:rPr>
      </w:pPr>
      <w:r w:rsidRPr="00654C26">
        <w:rPr>
          <w:rFonts w:ascii="Calibri" w:hAnsi="Calibri"/>
          <w:b/>
        </w:rPr>
        <w:t>6.3.1.</w:t>
      </w:r>
      <w:r w:rsidRPr="003A7D1D">
        <w:rPr>
          <w:rFonts w:ascii="Calibri" w:hAnsi="Calibri"/>
        </w:rPr>
        <w:t xml:space="preserve"> Uwagi ogólne</w:t>
      </w:r>
    </w:p>
    <w:p w:rsidR="000C27BF" w:rsidRPr="003A7D1D" w:rsidRDefault="000C27BF" w:rsidP="000C27BF">
      <w:pPr>
        <w:rPr>
          <w:rFonts w:ascii="Calibri" w:hAnsi="Calibri"/>
        </w:rPr>
      </w:pPr>
      <w:r w:rsidRPr="003A7D1D">
        <w:rPr>
          <w:rFonts w:ascii="Calibri" w:hAnsi="Calibri"/>
        </w:rPr>
        <w:tab/>
        <w:t>Badania dzielą się na:</w:t>
      </w:r>
    </w:p>
    <w:p w:rsidR="000C27BF" w:rsidRPr="003A7D1D" w:rsidRDefault="000C27BF" w:rsidP="000C27BF">
      <w:pPr>
        <w:rPr>
          <w:rFonts w:ascii="Calibri" w:hAnsi="Calibri"/>
        </w:rPr>
      </w:pPr>
      <w:r w:rsidRPr="003A7D1D">
        <w:rPr>
          <w:rFonts w:ascii="Calibri" w:hAnsi="Calibri"/>
        </w:rPr>
        <w:t>badania wykonawcy (w ramach własnego nadzoru),</w:t>
      </w:r>
    </w:p>
    <w:p w:rsidR="000C27BF" w:rsidRPr="003A7D1D" w:rsidRDefault="000C27BF" w:rsidP="000C27BF">
      <w:pPr>
        <w:rPr>
          <w:rFonts w:ascii="Calibri" w:hAnsi="Calibri"/>
        </w:rPr>
      </w:pPr>
      <w:r w:rsidRPr="003A7D1D">
        <w:rPr>
          <w:rFonts w:ascii="Calibri" w:hAnsi="Calibri"/>
        </w:rPr>
        <w:t>badania kontrolne (w ramach nadzoru zleceniodawcy – Inżyniera).</w:t>
      </w:r>
    </w:p>
    <w:p w:rsidR="000C27BF" w:rsidRPr="003A7D1D" w:rsidRDefault="000C27BF" w:rsidP="000C27BF">
      <w:pPr>
        <w:rPr>
          <w:rFonts w:ascii="Calibri" w:hAnsi="Calibri"/>
        </w:rPr>
      </w:pPr>
      <w:r w:rsidRPr="00654C26">
        <w:rPr>
          <w:rFonts w:ascii="Calibri" w:hAnsi="Calibri"/>
          <w:b/>
        </w:rPr>
        <w:t xml:space="preserve">6.3.2. </w:t>
      </w:r>
      <w:r w:rsidRPr="003A7D1D">
        <w:rPr>
          <w:rFonts w:ascii="Calibri" w:hAnsi="Calibri"/>
        </w:rPr>
        <w:t>Badania Wykonawcy</w:t>
      </w:r>
    </w:p>
    <w:p w:rsidR="000C27BF" w:rsidRPr="003A7D1D" w:rsidRDefault="000C27BF" w:rsidP="000C27BF">
      <w:pPr>
        <w:rPr>
          <w:rFonts w:ascii="Calibri" w:hAnsi="Calibri"/>
        </w:rPr>
      </w:pPr>
      <w:r w:rsidRPr="003A7D1D">
        <w:rPr>
          <w:rFonts w:ascii="Calibri" w:hAnsi="Calibri"/>
        </w:rPr>
        <w:tab/>
        <w:t>Badania Wykonawcy są wykonywane przez Wykonawcę lub jego zleceniobiorców celem sprawdzenia, czy jakość materiałów budowlanych (mieszanek mineralno-asfaltowych i ich składników, lepiszczy i materiałów do uszczelnień itp.) oraz gotowej warstwy (wbudowane warstwy asfaltowe, połączenia itp.) spełniają wymagania określone w kontrakcie.</w:t>
      </w:r>
    </w:p>
    <w:p w:rsidR="000C27BF" w:rsidRPr="003A7D1D" w:rsidRDefault="000C27BF" w:rsidP="000C27BF">
      <w:pPr>
        <w:rPr>
          <w:rFonts w:ascii="Calibri" w:hAnsi="Calibri"/>
        </w:rPr>
      </w:pPr>
      <w:r w:rsidRPr="003A7D1D">
        <w:rPr>
          <w:rFonts w:ascii="Calibri" w:hAnsi="Calibri"/>
        </w:rPr>
        <w:tab/>
        <w:t>Wykonawca powinien wykonywać te badania podczas realizacji kontraktu, z niezbędną starannością i w wymaganym zakresie. Wyniki należy zapisywać w protokołach. W razie stwierdzenia uchybień w stosunku do wymagań kontraktu, ich przyczyny należy niezwłocznie usunąć.</w:t>
      </w:r>
    </w:p>
    <w:p w:rsidR="000C27BF" w:rsidRPr="003A7D1D" w:rsidRDefault="000C27BF" w:rsidP="000C27BF">
      <w:pPr>
        <w:rPr>
          <w:rFonts w:ascii="Calibri" w:hAnsi="Calibri"/>
        </w:rPr>
      </w:pPr>
      <w:r w:rsidRPr="003A7D1D">
        <w:rPr>
          <w:rFonts w:ascii="Calibri" w:hAnsi="Calibri"/>
        </w:rPr>
        <w:tab/>
        <w:t>Wyniki badań Wykonawcy należy przekazywać Inżynierowi na jego żądanie. Inżynier może zdecydować o dokonaniu odbioru na podstawie badań Wykonawcy. W razie zastrzeżeń Inżynier może przeprowadzić badania kontrolne według pktu 6.3.3.</w:t>
      </w:r>
    </w:p>
    <w:p w:rsidR="000C27BF" w:rsidRPr="003A7D1D" w:rsidRDefault="000C27BF" w:rsidP="000C27BF">
      <w:pPr>
        <w:rPr>
          <w:rFonts w:ascii="Calibri" w:hAnsi="Calibri"/>
        </w:rPr>
      </w:pPr>
      <w:r w:rsidRPr="003A7D1D">
        <w:rPr>
          <w:rFonts w:ascii="Calibri" w:hAnsi="Calibri"/>
        </w:rPr>
        <w:tab/>
        <w:t>Zakres badań Wykonawcy związany z wykonywaniem nawierzchni:</w:t>
      </w:r>
    </w:p>
    <w:p w:rsidR="000C27BF" w:rsidRPr="003A7D1D" w:rsidRDefault="000C27BF" w:rsidP="000C27BF">
      <w:pPr>
        <w:rPr>
          <w:rFonts w:ascii="Calibri" w:hAnsi="Calibri"/>
        </w:rPr>
      </w:pPr>
      <w:r>
        <w:rPr>
          <w:rFonts w:ascii="Calibri" w:hAnsi="Calibri"/>
        </w:rPr>
        <w:t>-</w:t>
      </w:r>
      <w:r w:rsidRPr="003A7D1D">
        <w:rPr>
          <w:rFonts w:ascii="Calibri" w:hAnsi="Calibri"/>
        </w:rPr>
        <w:t>pomiar temperatury powietrza,</w:t>
      </w:r>
    </w:p>
    <w:p w:rsidR="000C27BF" w:rsidRPr="003A7D1D" w:rsidRDefault="000C27BF" w:rsidP="000C27BF">
      <w:pPr>
        <w:rPr>
          <w:rFonts w:ascii="Calibri" w:hAnsi="Calibri"/>
        </w:rPr>
      </w:pPr>
      <w:r>
        <w:rPr>
          <w:rFonts w:ascii="Calibri" w:hAnsi="Calibri"/>
        </w:rPr>
        <w:t>-</w:t>
      </w:r>
      <w:r w:rsidRPr="003A7D1D">
        <w:rPr>
          <w:rFonts w:ascii="Calibri" w:hAnsi="Calibri"/>
        </w:rPr>
        <w:t>pomiar temperatury mieszanki mineralno-asfaltowej podczas wykonywania nawierzchni (wg PN-EN 12697-13 [36]),</w:t>
      </w:r>
    </w:p>
    <w:p w:rsidR="000C27BF" w:rsidRPr="003A7D1D" w:rsidRDefault="000C27BF" w:rsidP="000C27BF">
      <w:pPr>
        <w:rPr>
          <w:rFonts w:ascii="Calibri" w:hAnsi="Calibri"/>
        </w:rPr>
      </w:pPr>
      <w:r>
        <w:rPr>
          <w:rFonts w:ascii="Calibri" w:hAnsi="Calibri"/>
        </w:rPr>
        <w:t>-</w:t>
      </w:r>
      <w:r w:rsidRPr="003A7D1D">
        <w:rPr>
          <w:rFonts w:ascii="Calibri" w:hAnsi="Calibri"/>
        </w:rPr>
        <w:t>ocena wizualna mieszanki mineralno-asfaltowej,</w:t>
      </w:r>
    </w:p>
    <w:p w:rsidR="000C27BF" w:rsidRPr="003A7D1D" w:rsidRDefault="000C27BF" w:rsidP="000C27BF">
      <w:pPr>
        <w:rPr>
          <w:rFonts w:ascii="Calibri" w:hAnsi="Calibri"/>
        </w:rPr>
      </w:pPr>
      <w:r>
        <w:rPr>
          <w:rFonts w:ascii="Calibri" w:hAnsi="Calibri"/>
        </w:rPr>
        <w:t>-</w:t>
      </w:r>
      <w:r w:rsidRPr="003A7D1D">
        <w:rPr>
          <w:rFonts w:ascii="Calibri" w:hAnsi="Calibri"/>
        </w:rPr>
        <w:t>wykaz ilości materiałów lub grubości wykonanej warstwy,</w:t>
      </w:r>
    </w:p>
    <w:p w:rsidR="000C27BF" w:rsidRPr="003A7D1D" w:rsidRDefault="000C27BF" w:rsidP="000C27BF">
      <w:pPr>
        <w:rPr>
          <w:rFonts w:ascii="Calibri" w:hAnsi="Calibri"/>
        </w:rPr>
      </w:pPr>
      <w:r>
        <w:rPr>
          <w:rFonts w:ascii="Calibri" w:hAnsi="Calibri"/>
        </w:rPr>
        <w:t>-</w:t>
      </w:r>
      <w:r w:rsidRPr="003A7D1D">
        <w:rPr>
          <w:rFonts w:ascii="Calibri" w:hAnsi="Calibri"/>
        </w:rPr>
        <w:t>pomiar spadku poprzecznego warstwy asfaltowej,</w:t>
      </w:r>
    </w:p>
    <w:p w:rsidR="000C27BF" w:rsidRPr="003A7D1D" w:rsidRDefault="000C27BF" w:rsidP="000C27BF">
      <w:pPr>
        <w:rPr>
          <w:rFonts w:ascii="Calibri" w:hAnsi="Calibri"/>
        </w:rPr>
      </w:pPr>
      <w:r>
        <w:rPr>
          <w:rFonts w:ascii="Calibri" w:hAnsi="Calibri"/>
        </w:rPr>
        <w:t>-</w:t>
      </w:r>
      <w:r w:rsidRPr="003A7D1D">
        <w:rPr>
          <w:rFonts w:ascii="Calibri" w:hAnsi="Calibri"/>
        </w:rPr>
        <w:t>pomiar równości warstwy asfaltowej (wg pktu 6.4.2.5),</w:t>
      </w:r>
    </w:p>
    <w:p w:rsidR="000C27BF" w:rsidRPr="003A7D1D" w:rsidRDefault="000C27BF" w:rsidP="000C27BF">
      <w:pPr>
        <w:rPr>
          <w:rFonts w:ascii="Calibri" w:hAnsi="Calibri"/>
        </w:rPr>
      </w:pPr>
      <w:r>
        <w:rPr>
          <w:rFonts w:ascii="Calibri" w:hAnsi="Calibri"/>
        </w:rPr>
        <w:t>-</w:t>
      </w:r>
      <w:r w:rsidRPr="003A7D1D">
        <w:rPr>
          <w:rFonts w:ascii="Calibri" w:hAnsi="Calibri"/>
        </w:rPr>
        <w:t>pomiar parametrów geometrycznych poboczy,</w:t>
      </w:r>
    </w:p>
    <w:p w:rsidR="000C27BF" w:rsidRPr="003A7D1D" w:rsidRDefault="000C27BF" w:rsidP="000C27BF">
      <w:pPr>
        <w:rPr>
          <w:rFonts w:ascii="Calibri" w:hAnsi="Calibri"/>
        </w:rPr>
      </w:pPr>
      <w:r>
        <w:rPr>
          <w:rFonts w:ascii="Calibri" w:hAnsi="Calibri"/>
        </w:rPr>
        <w:t>-</w:t>
      </w:r>
      <w:r w:rsidRPr="003A7D1D">
        <w:rPr>
          <w:rFonts w:ascii="Calibri" w:hAnsi="Calibri"/>
        </w:rPr>
        <w:t>ocena wizualna jednorodności powierzchni warstwy,</w:t>
      </w:r>
    </w:p>
    <w:p w:rsidR="000C27BF" w:rsidRPr="003A7D1D" w:rsidRDefault="000C27BF" w:rsidP="000C27BF">
      <w:pPr>
        <w:rPr>
          <w:rFonts w:ascii="Calibri" w:hAnsi="Calibri"/>
        </w:rPr>
      </w:pPr>
      <w:r>
        <w:rPr>
          <w:rFonts w:ascii="Calibri" w:hAnsi="Calibri"/>
        </w:rPr>
        <w:t>-</w:t>
      </w:r>
      <w:r w:rsidRPr="003A7D1D">
        <w:rPr>
          <w:rFonts w:ascii="Calibri" w:hAnsi="Calibri"/>
        </w:rPr>
        <w:t>ocena wizualna jakości wykonania połączeń technologicznych.</w:t>
      </w:r>
    </w:p>
    <w:p w:rsidR="000C27BF" w:rsidRPr="003A7D1D" w:rsidRDefault="000C27BF" w:rsidP="000C27BF">
      <w:pPr>
        <w:rPr>
          <w:rFonts w:ascii="Calibri" w:hAnsi="Calibri"/>
        </w:rPr>
      </w:pPr>
      <w:r w:rsidRPr="00654C26">
        <w:rPr>
          <w:rFonts w:ascii="Calibri" w:hAnsi="Calibri"/>
          <w:b/>
        </w:rPr>
        <w:t>6.3.3.</w:t>
      </w:r>
      <w:r w:rsidRPr="003A7D1D">
        <w:rPr>
          <w:rFonts w:ascii="Calibri" w:hAnsi="Calibri"/>
        </w:rPr>
        <w:t xml:space="preserve"> Badania kontrolne </w:t>
      </w:r>
    </w:p>
    <w:p w:rsidR="000C27BF" w:rsidRPr="003A7D1D" w:rsidRDefault="000C27BF" w:rsidP="000C27BF">
      <w:pPr>
        <w:rPr>
          <w:rFonts w:ascii="Calibri" w:hAnsi="Calibri"/>
        </w:rPr>
      </w:pPr>
      <w:r w:rsidRPr="003A7D1D">
        <w:rPr>
          <w:rFonts w:ascii="Calibri" w:hAnsi="Calibri"/>
        </w:rPr>
        <w:tab/>
        <w:t>Badania kontrolne są badaniami Inżyniera, których celem jest sprawdzenie, czy jakość materiałów budowlanych (mieszanek mineralno-asfaltowych i ich składników, lepiszczy i materiałów do uszczelnień itp.) oraz gotowej warstwy (wbudowane warstwy asfaltowe, połączenia itp.) spełniają wymagania określone w kontrakcie. Wyniki tych badań są podstawą odbioru. Pobieraniem próbek i wykonaniem badań na miejscu budowy zajmuje się Inżynier w obecności Wykonawcy. Badania odbywają się również wtedy, gdy Wykonawca zostanie w porę powiadomiony o ich terminie, jednak nie będzie przy nich obecny.</w:t>
      </w:r>
    </w:p>
    <w:p w:rsidR="000C27BF" w:rsidRDefault="000C27BF" w:rsidP="000C27BF">
      <w:pPr>
        <w:rPr>
          <w:rFonts w:ascii="Calibri" w:hAnsi="Calibri"/>
        </w:rPr>
      </w:pPr>
      <w:r w:rsidRPr="003A7D1D">
        <w:rPr>
          <w:rFonts w:ascii="Calibri" w:hAnsi="Calibri"/>
        </w:rPr>
        <w:tab/>
        <w:t>Rodzaj badań kontrolnych mieszanki mineralno-asfaltowej i wykonanej z niej warstwy podano w tablicy 13.</w:t>
      </w:r>
    </w:p>
    <w:p w:rsidR="000C27BF" w:rsidRDefault="000C27BF" w:rsidP="000C27BF">
      <w:pPr>
        <w:rPr>
          <w:rFonts w:ascii="Calibri" w:hAnsi="Calibri"/>
        </w:rPr>
      </w:pPr>
    </w:p>
    <w:p w:rsidR="000C27BF" w:rsidRPr="003A7D1D" w:rsidRDefault="000C27BF" w:rsidP="000C27BF">
      <w:pPr>
        <w:ind w:left="709"/>
        <w:rPr>
          <w:rFonts w:ascii="Calibri" w:hAnsi="Calibri"/>
        </w:rPr>
      </w:pPr>
      <w:r w:rsidRPr="003A7D1D">
        <w:rPr>
          <w:rFonts w:ascii="Calibri" w:hAnsi="Calibri"/>
        </w:rPr>
        <w:lastRenderedPageBreak/>
        <w:t xml:space="preserve">Tablica 13. Rodzaj badań kontrolnych </w:t>
      </w:r>
    </w:p>
    <w:tbl>
      <w:tblPr>
        <w:tblW w:w="0" w:type="auto"/>
        <w:tblInd w:w="81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tblPr>
      <w:tblGrid>
        <w:gridCol w:w="1134"/>
        <w:gridCol w:w="4252"/>
      </w:tblGrid>
      <w:tr w:rsidR="000C27BF" w:rsidRPr="003A7D1D" w:rsidTr="00556540">
        <w:tc>
          <w:tcPr>
            <w:tcW w:w="1134" w:type="dxa"/>
          </w:tcPr>
          <w:p w:rsidR="000C27BF" w:rsidRPr="003A7D1D" w:rsidRDefault="000C27BF" w:rsidP="00556540">
            <w:pPr>
              <w:spacing w:before="60" w:after="60"/>
              <w:jc w:val="center"/>
              <w:rPr>
                <w:rFonts w:ascii="Calibri" w:hAnsi="Calibri"/>
                <w:sz w:val="18"/>
                <w:szCs w:val="18"/>
              </w:rPr>
            </w:pPr>
            <w:r w:rsidRPr="003A7D1D">
              <w:rPr>
                <w:rFonts w:ascii="Calibri" w:hAnsi="Calibri"/>
                <w:sz w:val="18"/>
                <w:szCs w:val="18"/>
              </w:rPr>
              <w:t>Lp.</w:t>
            </w:r>
          </w:p>
        </w:tc>
        <w:tc>
          <w:tcPr>
            <w:tcW w:w="4252" w:type="dxa"/>
          </w:tcPr>
          <w:p w:rsidR="000C27BF" w:rsidRPr="003A7D1D" w:rsidRDefault="000C27BF" w:rsidP="00556540">
            <w:pPr>
              <w:spacing w:before="60" w:after="60"/>
              <w:jc w:val="center"/>
              <w:rPr>
                <w:rFonts w:ascii="Calibri" w:hAnsi="Calibri"/>
                <w:sz w:val="18"/>
                <w:szCs w:val="18"/>
              </w:rPr>
            </w:pPr>
            <w:r w:rsidRPr="003A7D1D">
              <w:rPr>
                <w:rFonts w:ascii="Calibri" w:hAnsi="Calibri"/>
                <w:sz w:val="18"/>
                <w:szCs w:val="18"/>
              </w:rPr>
              <w:t>Rodzaj badań</w:t>
            </w:r>
          </w:p>
        </w:tc>
      </w:tr>
      <w:tr w:rsidR="000C27BF" w:rsidRPr="003A7D1D" w:rsidTr="00556540">
        <w:tc>
          <w:tcPr>
            <w:tcW w:w="1134" w:type="dxa"/>
          </w:tcPr>
          <w:p w:rsidR="000C27BF" w:rsidRPr="003A7D1D" w:rsidRDefault="000C27BF" w:rsidP="00556540">
            <w:pPr>
              <w:spacing w:before="120" w:after="60"/>
              <w:jc w:val="center"/>
              <w:rPr>
                <w:rFonts w:ascii="Calibri" w:hAnsi="Calibri"/>
                <w:sz w:val="18"/>
                <w:szCs w:val="18"/>
              </w:rPr>
            </w:pPr>
            <w:r w:rsidRPr="003A7D1D">
              <w:rPr>
                <w:rFonts w:ascii="Calibri" w:hAnsi="Calibri"/>
                <w:sz w:val="18"/>
                <w:szCs w:val="18"/>
              </w:rPr>
              <w:t>1</w:t>
            </w:r>
          </w:p>
          <w:p w:rsidR="000C27BF" w:rsidRPr="003A7D1D" w:rsidRDefault="000C27BF" w:rsidP="00556540">
            <w:pPr>
              <w:jc w:val="center"/>
              <w:rPr>
                <w:rFonts w:ascii="Calibri" w:hAnsi="Calibri"/>
                <w:sz w:val="18"/>
                <w:szCs w:val="18"/>
              </w:rPr>
            </w:pPr>
            <w:r w:rsidRPr="003A7D1D">
              <w:rPr>
                <w:rFonts w:ascii="Calibri" w:hAnsi="Calibri"/>
                <w:sz w:val="18"/>
                <w:szCs w:val="18"/>
              </w:rPr>
              <w:t>1.1</w:t>
            </w:r>
          </w:p>
          <w:p w:rsidR="000C27BF" w:rsidRPr="003A7D1D" w:rsidRDefault="000C27BF" w:rsidP="00556540">
            <w:pPr>
              <w:jc w:val="center"/>
              <w:rPr>
                <w:rFonts w:ascii="Calibri" w:hAnsi="Calibri"/>
                <w:sz w:val="18"/>
                <w:szCs w:val="18"/>
              </w:rPr>
            </w:pPr>
            <w:r w:rsidRPr="003A7D1D">
              <w:rPr>
                <w:rFonts w:ascii="Calibri" w:hAnsi="Calibri"/>
                <w:sz w:val="18"/>
                <w:szCs w:val="18"/>
              </w:rPr>
              <w:t>1.2</w:t>
            </w:r>
          </w:p>
          <w:p w:rsidR="000C27BF" w:rsidRPr="003A7D1D" w:rsidRDefault="000C27BF" w:rsidP="00556540">
            <w:pPr>
              <w:jc w:val="center"/>
              <w:rPr>
                <w:rFonts w:ascii="Calibri" w:hAnsi="Calibri"/>
                <w:sz w:val="18"/>
                <w:szCs w:val="18"/>
              </w:rPr>
            </w:pPr>
            <w:r w:rsidRPr="003A7D1D">
              <w:rPr>
                <w:rFonts w:ascii="Calibri" w:hAnsi="Calibri"/>
                <w:sz w:val="18"/>
                <w:szCs w:val="18"/>
              </w:rPr>
              <w:t>1.3</w:t>
            </w:r>
          </w:p>
          <w:p w:rsidR="000C27BF" w:rsidRPr="003A7D1D" w:rsidRDefault="000C27BF" w:rsidP="00556540">
            <w:pPr>
              <w:jc w:val="center"/>
              <w:rPr>
                <w:rFonts w:ascii="Calibri" w:hAnsi="Calibri"/>
                <w:sz w:val="18"/>
                <w:szCs w:val="18"/>
              </w:rPr>
            </w:pPr>
            <w:r w:rsidRPr="003A7D1D">
              <w:rPr>
                <w:rFonts w:ascii="Calibri" w:hAnsi="Calibri"/>
                <w:sz w:val="18"/>
                <w:szCs w:val="18"/>
              </w:rPr>
              <w:t>1.4</w:t>
            </w:r>
          </w:p>
          <w:p w:rsidR="000C27BF" w:rsidRPr="003A7D1D" w:rsidRDefault="000C27BF" w:rsidP="00556540">
            <w:pPr>
              <w:spacing w:before="60" w:after="60"/>
              <w:jc w:val="center"/>
              <w:rPr>
                <w:rFonts w:ascii="Calibri" w:hAnsi="Calibri"/>
                <w:sz w:val="18"/>
                <w:szCs w:val="18"/>
              </w:rPr>
            </w:pPr>
            <w:r w:rsidRPr="003A7D1D">
              <w:rPr>
                <w:rFonts w:ascii="Calibri" w:hAnsi="Calibri"/>
                <w:sz w:val="18"/>
                <w:szCs w:val="18"/>
              </w:rPr>
              <w:t>2</w:t>
            </w:r>
          </w:p>
          <w:p w:rsidR="000C27BF" w:rsidRPr="003A7D1D" w:rsidRDefault="000C27BF" w:rsidP="00556540">
            <w:pPr>
              <w:jc w:val="center"/>
              <w:rPr>
                <w:rFonts w:ascii="Calibri" w:hAnsi="Calibri"/>
                <w:sz w:val="18"/>
                <w:szCs w:val="18"/>
              </w:rPr>
            </w:pPr>
            <w:r w:rsidRPr="003A7D1D">
              <w:rPr>
                <w:rFonts w:ascii="Calibri" w:hAnsi="Calibri"/>
                <w:sz w:val="18"/>
                <w:szCs w:val="18"/>
              </w:rPr>
              <w:t>2.1</w:t>
            </w:r>
          </w:p>
          <w:p w:rsidR="000C27BF" w:rsidRPr="003A7D1D" w:rsidRDefault="000C27BF" w:rsidP="00556540">
            <w:pPr>
              <w:jc w:val="center"/>
              <w:rPr>
                <w:rFonts w:ascii="Calibri" w:hAnsi="Calibri"/>
                <w:sz w:val="18"/>
                <w:szCs w:val="18"/>
              </w:rPr>
            </w:pPr>
            <w:r w:rsidRPr="003A7D1D">
              <w:rPr>
                <w:rFonts w:ascii="Calibri" w:hAnsi="Calibri"/>
                <w:sz w:val="18"/>
                <w:szCs w:val="18"/>
              </w:rPr>
              <w:t>2.2</w:t>
            </w:r>
          </w:p>
          <w:p w:rsidR="000C27BF" w:rsidRPr="003A7D1D" w:rsidRDefault="000C27BF" w:rsidP="00556540">
            <w:pPr>
              <w:jc w:val="center"/>
              <w:rPr>
                <w:rFonts w:ascii="Calibri" w:hAnsi="Calibri"/>
                <w:sz w:val="18"/>
                <w:szCs w:val="18"/>
              </w:rPr>
            </w:pPr>
            <w:r w:rsidRPr="003A7D1D">
              <w:rPr>
                <w:rFonts w:ascii="Calibri" w:hAnsi="Calibri"/>
                <w:sz w:val="18"/>
                <w:szCs w:val="18"/>
              </w:rPr>
              <w:t>2.3</w:t>
            </w:r>
          </w:p>
          <w:p w:rsidR="000C27BF" w:rsidRPr="003A7D1D" w:rsidRDefault="000C27BF" w:rsidP="00556540">
            <w:pPr>
              <w:jc w:val="center"/>
              <w:rPr>
                <w:rFonts w:ascii="Calibri" w:hAnsi="Calibri"/>
                <w:sz w:val="18"/>
                <w:szCs w:val="18"/>
              </w:rPr>
            </w:pPr>
            <w:r w:rsidRPr="003A7D1D">
              <w:rPr>
                <w:rFonts w:ascii="Calibri" w:hAnsi="Calibri"/>
                <w:sz w:val="18"/>
                <w:szCs w:val="18"/>
              </w:rPr>
              <w:t>2.4</w:t>
            </w:r>
          </w:p>
          <w:p w:rsidR="000C27BF" w:rsidRPr="003A7D1D" w:rsidRDefault="000C27BF" w:rsidP="00556540">
            <w:pPr>
              <w:jc w:val="center"/>
              <w:rPr>
                <w:rFonts w:ascii="Calibri" w:hAnsi="Calibri"/>
                <w:sz w:val="18"/>
                <w:szCs w:val="18"/>
              </w:rPr>
            </w:pPr>
            <w:r w:rsidRPr="003A7D1D">
              <w:rPr>
                <w:rFonts w:ascii="Calibri" w:hAnsi="Calibri"/>
                <w:sz w:val="18"/>
                <w:szCs w:val="18"/>
              </w:rPr>
              <w:t>2.5</w:t>
            </w:r>
          </w:p>
          <w:p w:rsidR="000C27BF" w:rsidRPr="003A7D1D" w:rsidRDefault="000C27BF" w:rsidP="00556540">
            <w:pPr>
              <w:jc w:val="center"/>
              <w:rPr>
                <w:rFonts w:ascii="Calibri" w:hAnsi="Calibri"/>
                <w:sz w:val="18"/>
                <w:szCs w:val="18"/>
              </w:rPr>
            </w:pPr>
            <w:r w:rsidRPr="003A7D1D">
              <w:rPr>
                <w:rFonts w:ascii="Calibri" w:hAnsi="Calibri"/>
                <w:sz w:val="18"/>
                <w:szCs w:val="18"/>
              </w:rPr>
              <w:t>2.6</w:t>
            </w:r>
          </w:p>
        </w:tc>
        <w:tc>
          <w:tcPr>
            <w:tcW w:w="4252" w:type="dxa"/>
          </w:tcPr>
          <w:p w:rsidR="000C27BF" w:rsidRPr="003A7D1D" w:rsidRDefault="000C27BF" w:rsidP="00556540">
            <w:pPr>
              <w:spacing w:before="120" w:after="60"/>
              <w:rPr>
                <w:rFonts w:ascii="Calibri" w:hAnsi="Calibri"/>
                <w:sz w:val="18"/>
                <w:szCs w:val="18"/>
                <w:vertAlign w:val="superscript"/>
              </w:rPr>
            </w:pPr>
            <w:r w:rsidRPr="003A7D1D">
              <w:rPr>
                <w:rFonts w:ascii="Calibri" w:hAnsi="Calibri"/>
                <w:sz w:val="18"/>
                <w:szCs w:val="18"/>
              </w:rPr>
              <w:t xml:space="preserve">Mieszanka mineralno-asfaltowa </w:t>
            </w:r>
            <w:r w:rsidRPr="003A7D1D">
              <w:rPr>
                <w:rFonts w:ascii="Calibri" w:hAnsi="Calibri"/>
                <w:sz w:val="18"/>
                <w:szCs w:val="18"/>
                <w:vertAlign w:val="superscript"/>
              </w:rPr>
              <w:t>a), b)</w:t>
            </w:r>
          </w:p>
          <w:p w:rsidR="000C27BF" w:rsidRPr="003A7D1D" w:rsidRDefault="000C27BF" w:rsidP="00556540">
            <w:pPr>
              <w:rPr>
                <w:rFonts w:ascii="Calibri" w:hAnsi="Calibri"/>
                <w:sz w:val="18"/>
                <w:szCs w:val="18"/>
              </w:rPr>
            </w:pPr>
            <w:r w:rsidRPr="003A7D1D">
              <w:rPr>
                <w:rFonts w:ascii="Calibri" w:hAnsi="Calibri"/>
                <w:sz w:val="18"/>
                <w:szCs w:val="18"/>
              </w:rPr>
              <w:t>Uziarnienie</w:t>
            </w:r>
          </w:p>
          <w:p w:rsidR="000C27BF" w:rsidRPr="003A7D1D" w:rsidRDefault="000C27BF" w:rsidP="00556540">
            <w:pPr>
              <w:rPr>
                <w:rFonts w:ascii="Calibri" w:hAnsi="Calibri"/>
                <w:sz w:val="18"/>
                <w:szCs w:val="18"/>
              </w:rPr>
            </w:pPr>
            <w:r w:rsidRPr="003A7D1D">
              <w:rPr>
                <w:rFonts w:ascii="Calibri" w:hAnsi="Calibri"/>
                <w:sz w:val="18"/>
                <w:szCs w:val="18"/>
              </w:rPr>
              <w:t>Zawartość lepiszcza</w:t>
            </w:r>
          </w:p>
          <w:p w:rsidR="000C27BF" w:rsidRPr="003A7D1D" w:rsidRDefault="000C27BF" w:rsidP="00556540">
            <w:pPr>
              <w:rPr>
                <w:rFonts w:ascii="Calibri" w:hAnsi="Calibri"/>
                <w:sz w:val="18"/>
                <w:szCs w:val="18"/>
              </w:rPr>
            </w:pPr>
            <w:r w:rsidRPr="003A7D1D">
              <w:rPr>
                <w:rFonts w:ascii="Calibri" w:hAnsi="Calibri"/>
                <w:sz w:val="18"/>
                <w:szCs w:val="18"/>
              </w:rPr>
              <w:t>Temperatura mięknienia lepiszcza odzyskanego</w:t>
            </w:r>
          </w:p>
          <w:p w:rsidR="000C27BF" w:rsidRPr="003A7D1D" w:rsidRDefault="000C27BF" w:rsidP="00556540">
            <w:pPr>
              <w:rPr>
                <w:rFonts w:ascii="Calibri" w:hAnsi="Calibri"/>
                <w:sz w:val="18"/>
                <w:szCs w:val="18"/>
              </w:rPr>
            </w:pPr>
            <w:r w:rsidRPr="003A7D1D">
              <w:rPr>
                <w:rFonts w:ascii="Calibri" w:hAnsi="Calibri"/>
                <w:sz w:val="18"/>
                <w:szCs w:val="18"/>
              </w:rPr>
              <w:t>Gęstość i zawartość wolnych przestrzeni próbki</w:t>
            </w:r>
          </w:p>
          <w:p w:rsidR="000C27BF" w:rsidRPr="003A7D1D" w:rsidRDefault="000C27BF" w:rsidP="00556540">
            <w:pPr>
              <w:spacing w:before="60" w:after="60"/>
              <w:rPr>
                <w:rFonts w:ascii="Calibri" w:hAnsi="Calibri"/>
                <w:sz w:val="18"/>
                <w:szCs w:val="18"/>
              </w:rPr>
            </w:pPr>
            <w:r w:rsidRPr="003A7D1D">
              <w:rPr>
                <w:rFonts w:ascii="Calibri" w:hAnsi="Calibri"/>
                <w:sz w:val="18"/>
                <w:szCs w:val="18"/>
              </w:rPr>
              <w:t>Warstwa asfaltowa</w:t>
            </w:r>
          </w:p>
          <w:p w:rsidR="000C27BF" w:rsidRPr="003A7D1D" w:rsidRDefault="000C27BF" w:rsidP="00556540">
            <w:pPr>
              <w:rPr>
                <w:rFonts w:ascii="Calibri" w:hAnsi="Calibri"/>
                <w:sz w:val="18"/>
                <w:szCs w:val="18"/>
              </w:rPr>
            </w:pPr>
            <w:r w:rsidRPr="003A7D1D">
              <w:rPr>
                <w:rFonts w:ascii="Calibri" w:hAnsi="Calibri"/>
                <w:sz w:val="18"/>
                <w:szCs w:val="18"/>
              </w:rPr>
              <w:t xml:space="preserve">Wskaźnik zagęszczenia </w:t>
            </w:r>
            <w:r w:rsidRPr="003A7D1D">
              <w:rPr>
                <w:rFonts w:ascii="Calibri" w:hAnsi="Calibri"/>
                <w:sz w:val="18"/>
                <w:szCs w:val="18"/>
                <w:vertAlign w:val="superscript"/>
              </w:rPr>
              <w:t>a)</w:t>
            </w:r>
          </w:p>
          <w:p w:rsidR="000C27BF" w:rsidRPr="003A7D1D" w:rsidRDefault="000C27BF" w:rsidP="00556540">
            <w:pPr>
              <w:rPr>
                <w:rFonts w:ascii="Calibri" w:hAnsi="Calibri"/>
                <w:sz w:val="18"/>
                <w:szCs w:val="18"/>
              </w:rPr>
            </w:pPr>
            <w:r w:rsidRPr="003A7D1D">
              <w:rPr>
                <w:rFonts w:ascii="Calibri" w:hAnsi="Calibri"/>
                <w:sz w:val="18"/>
                <w:szCs w:val="18"/>
              </w:rPr>
              <w:t>Spadki poprzeczne</w:t>
            </w:r>
          </w:p>
          <w:p w:rsidR="000C27BF" w:rsidRPr="003A7D1D" w:rsidRDefault="000C27BF" w:rsidP="00556540">
            <w:pPr>
              <w:rPr>
                <w:rFonts w:ascii="Calibri" w:hAnsi="Calibri"/>
                <w:sz w:val="18"/>
                <w:szCs w:val="18"/>
              </w:rPr>
            </w:pPr>
            <w:r w:rsidRPr="003A7D1D">
              <w:rPr>
                <w:rFonts w:ascii="Calibri" w:hAnsi="Calibri"/>
                <w:sz w:val="18"/>
                <w:szCs w:val="18"/>
              </w:rPr>
              <w:t>Równość</w:t>
            </w:r>
          </w:p>
          <w:p w:rsidR="000C27BF" w:rsidRPr="003A7D1D" w:rsidRDefault="000C27BF" w:rsidP="00556540">
            <w:pPr>
              <w:rPr>
                <w:rFonts w:ascii="Calibri" w:hAnsi="Calibri"/>
                <w:sz w:val="18"/>
                <w:szCs w:val="18"/>
              </w:rPr>
            </w:pPr>
            <w:r w:rsidRPr="003A7D1D">
              <w:rPr>
                <w:rFonts w:ascii="Calibri" w:hAnsi="Calibri"/>
                <w:sz w:val="18"/>
                <w:szCs w:val="18"/>
              </w:rPr>
              <w:t>Grubość lub ilość materiału</w:t>
            </w:r>
          </w:p>
          <w:p w:rsidR="000C27BF" w:rsidRPr="003A7D1D" w:rsidRDefault="000C27BF" w:rsidP="00556540">
            <w:pPr>
              <w:rPr>
                <w:rFonts w:ascii="Calibri" w:hAnsi="Calibri"/>
                <w:sz w:val="18"/>
                <w:szCs w:val="18"/>
              </w:rPr>
            </w:pPr>
            <w:r w:rsidRPr="003A7D1D">
              <w:rPr>
                <w:rFonts w:ascii="Calibri" w:hAnsi="Calibri"/>
                <w:sz w:val="18"/>
                <w:szCs w:val="18"/>
              </w:rPr>
              <w:t xml:space="preserve">Zawartość wolnych przestrzeni </w:t>
            </w:r>
            <w:r w:rsidRPr="003A7D1D">
              <w:rPr>
                <w:rFonts w:ascii="Calibri" w:hAnsi="Calibri"/>
                <w:sz w:val="18"/>
                <w:szCs w:val="18"/>
                <w:vertAlign w:val="superscript"/>
              </w:rPr>
              <w:t>a)</w:t>
            </w:r>
          </w:p>
          <w:p w:rsidR="000C27BF" w:rsidRPr="003A7D1D" w:rsidRDefault="000C27BF" w:rsidP="00556540">
            <w:pPr>
              <w:spacing w:after="120"/>
              <w:rPr>
                <w:rFonts w:ascii="Calibri" w:hAnsi="Calibri"/>
                <w:sz w:val="18"/>
                <w:szCs w:val="18"/>
              </w:rPr>
            </w:pPr>
            <w:r w:rsidRPr="003A7D1D">
              <w:rPr>
                <w:rFonts w:ascii="Calibri" w:hAnsi="Calibri"/>
                <w:sz w:val="18"/>
                <w:szCs w:val="18"/>
              </w:rPr>
              <w:t>Właściwości przeciwpoślizgowe</w:t>
            </w:r>
          </w:p>
        </w:tc>
      </w:tr>
      <w:tr w:rsidR="000C27BF" w:rsidRPr="003A7D1D" w:rsidTr="00556540">
        <w:tc>
          <w:tcPr>
            <w:tcW w:w="5386" w:type="dxa"/>
            <w:gridSpan w:val="2"/>
          </w:tcPr>
          <w:p w:rsidR="000C27BF" w:rsidRPr="003A7D1D" w:rsidRDefault="000C27BF" w:rsidP="00556540">
            <w:pPr>
              <w:ind w:left="317" w:hanging="317"/>
              <w:rPr>
                <w:rFonts w:ascii="Calibri" w:hAnsi="Calibri"/>
                <w:sz w:val="18"/>
                <w:szCs w:val="18"/>
              </w:rPr>
            </w:pPr>
            <w:r w:rsidRPr="003A7D1D">
              <w:rPr>
                <w:rFonts w:ascii="Calibri" w:hAnsi="Calibri"/>
                <w:sz w:val="18"/>
                <w:szCs w:val="18"/>
                <w:vertAlign w:val="superscript"/>
              </w:rPr>
              <w:t>a)</w:t>
            </w:r>
            <w:r w:rsidRPr="003A7D1D">
              <w:rPr>
                <w:rFonts w:ascii="Calibri" w:hAnsi="Calibri"/>
                <w:sz w:val="18"/>
                <w:szCs w:val="18"/>
              </w:rPr>
              <w:t xml:space="preserve"> do każdej warstwy i na każde rozpoczęte 6000 m</w:t>
            </w:r>
            <w:r w:rsidRPr="003A7D1D">
              <w:rPr>
                <w:rFonts w:ascii="Calibri" w:hAnsi="Calibri"/>
                <w:sz w:val="18"/>
                <w:szCs w:val="18"/>
                <w:vertAlign w:val="superscript"/>
              </w:rPr>
              <w:t>2</w:t>
            </w:r>
            <w:r w:rsidRPr="003A7D1D">
              <w:rPr>
                <w:rFonts w:ascii="Calibri" w:hAnsi="Calibri"/>
                <w:sz w:val="18"/>
                <w:szCs w:val="18"/>
              </w:rPr>
              <w:t xml:space="preserve"> nawierzchni jedna próbka; w razie potrzeby liczba próbek może zostać zwiększona (np. nawierzchnie dróg w terenie zabudowy)</w:t>
            </w:r>
          </w:p>
          <w:p w:rsidR="000C27BF" w:rsidRPr="003A7D1D" w:rsidRDefault="000C27BF" w:rsidP="00556540">
            <w:pPr>
              <w:rPr>
                <w:rFonts w:ascii="Calibri" w:hAnsi="Calibri"/>
                <w:sz w:val="18"/>
                <w:szCs w:val="18"/>
              </w:rPr>
            </w:pPr>
            <w:r w:rsidRPr="003A7D1D">
              <w:rPr>
                <w:rFonts w:ascii="Calibri" w:hAnsi="Calibri"/>
                <w:sz w:val="18"/>
                <w:szCs w:val="18"/>
                <w:vertAlign w:val="superscript"/>
              </w:rPr>
              <w:t>b)</w:t>
            </w:r>
            <w:r w:rsidRPr="003A7D1D">
              <w:rPr>
                <w:rFonts w:ascii="Calibri" w:hAnsi="Calibri"/>
                <w:sz w:val="18"/>
                <w:szCs w:val="18"/>
              </w:rPr>
              <w:t xml:space="preserve">   w razie potrzeby specjalne kruszywa i dodatki</w:t>
            </w:r>
          </w:p>
        </w:tc>
      </w:tr>
    </w:tbl>
    <w:p w:rsidR="000C27BF" w:rsidRPr="003A7D1D" w:rsidRDefault="000C27BF" w:rsidP="000C27BF">
      <w:pPr>
        <w:rPr>
          <w:rFonts w:ascii="Calibri" w:hAnsi="Calibri"/>
        </w:rPr>
      </w:pPr>
    </w:p>
    <w:p w:rsidR="000C27BF" w:rsidRPr="003A7D1D" w:rsidRDefault="000C27BF" w:rsidP="000C27BF">
      <w:pPr>
        <w:rPr>
          <w:rFonts w:ascii="Calibri" w:hAnsi="Calibri"/>
        </w:rPr>
      </w:pPr>
      <w:r w:rsidRPr="00654C26">
        <w:rPr>
          <w:rFonts w:ascii="Calibri" w:hAnsi="Calibri"/>
          <w:b/>
        </w:rPr>
        <w:t>6.3.4.</w:t>
      </w:r>
      <w:r w:rsidRPr="003A7D1D">
        <w:rPr>
          <w:rFonts w:ascii="Calibri" w:hAnsi="Calibri"/>
        </w:rPr>
        <w:t xml:space="preserve"> Badania kontrolne dodatkowe</w:t>
      </w:r>
    </w:p>
    <w:p w:rsidR="000C27BF" w:rsidRPr="003A7D1D" w:rsidRDefault="000C27BF" w:rsidP="000C27BF">
      <w:pPr>
        <w:rPr>
          <w:rFonts w:ascii="Calibri" w:hAnsi="Calibri"/>
        </w:rPr>
      </w:pPr>
      <w:r w:rsidRPr="003A7D1D">
        <w:rPr>
          <w:rFonts w:ascii="Calibri" w:hAnsi="Calibri"/>
        </w:rPr>
        <w:tab/>
        <w:t>W wypadku uznania, że jeden z wyników badań kontrolnych nie jest reprezentatywny dla ocenianego odcinka budowy, Wykonawca ma prawo żądać przeprowadzenia badań kontrolnych dodatkowych.</w:t>
      </w:r>
    </w:p>
    <w:p w:rsidR="000C27BF" w:rsidRPr="003A7D1D" w:rsidRDefault="000C27BF" w:rsidP="000C27BF">
      <w:pPr>
        <w:rPr>
          <w:rFonts w:ascii="Calibri" w:hAnsi="Calibri"/>
        </w:rPr>
      </w:pPr>
      <w:r w:rsidRPr="003A7D1D">
        <w:rPr>
          <w:rFonts w:ascii="Calibri" w:hAnsi="Calibri"/>
        </w:rPr>
        <w:tab/>
        <w:t>Inżynier i Wykonawca decydują wspólnie o miejscach pobierania próbek i wyznaczeniu odcinków częściowych ocenianego odcinka budowy. Jeżeli odcinek częściowy przyporządkowany do badań kontrolnych nie może być jednoznacznie i zgodnie wyznaczony, to odcinek ten nie powinien być mniejszy niż 20% ocenianego odcinka budowy.</w:t>
      </w:r>
    </w:p>
    <w:p w:rsidR="000C27BF" w:rsidRPr="003A7D1D" w:rsidRDefault="000C27BF" w:rsidP="000C27BF">
      <w:pPr>
        <w:rPr>
          <w:rFonts w:ascii="Calibri" w:hAnsi="Calibri"/>
        </w:rPr>
      </w:pPr>
      <w:r w:rsidRPr="003A7D1D">
        <w:rPr>
          <w:rFonts w:ascii="Calibri" w:hAnsi="Calibri"/>
        </w:rPr>
        <w:tab/>
        <w:t>Do odbioru uwzględniane są wyniki badań kontrolnych i badań kontrolnych dodatkowych do wyznaczonych odcinków częściowych.</w:t>
      </w:r>
    </w:p>
    <w:p w:rsidR="000C27BF" w:rsidRPr="003A7D1D" w:rsidRDefault="000C27BF" w:rsidP="000C27BF">
      <w:pPr>
        <w:rPr>
          <w:rFonts w:ascii="Calibri" w:hAnsi="Calibri"/>
        </w:rPr>
      </w:pPr>
      <w:r w:rsidRPr="003A7D1D">
        <w:rPr>
          <w:rFonts w:ascii="Calibri" w:hAnsi="Calibri"/>
        </w:rPr>
        <w:tab/>
        <w:t>Koszty badań kontrolnych dodatkowych zażądanych przez Wykonawcę ponosi Wykonawca.</w:t>
      </w:r>
    </w:p>
    <w:p w:rsidR="000C27BF" w:rsidRPr="003A7D1D" w:rsidRDefault="000C27BF" w:rsidP="000C27BF">
      <w:pPr>
        <w:rPr>
          <w:rFonts w:ascii="Calibri" w:hAnsi="Calibri"/>
        </w:rPr>
      </w:pPr>
      <w:r w:rsidRPr="00654C26">
        <w:rPr>
          <w:rFonts w:ascii="Calibri" w:hAnsi="Calibri"/>
          <w:b/>
        </w:rPr>
        <w:t>6.3.5.</w:t>
      </w:r>
      <w:r w:rsidRPr="003A7D1D">
        <w:rPr>
          <w:rFonts w:ascii="Calibri" w:hAnsi="Calibri"/>
        </w:rPr>
        <w:t xml:space="preserve"> Badania arbitrażowe</w:t>
      </w:r>
    </w:p>
    <w:p w:rsidR="000C27BF" w:rsidRPr="003A7D1D" w:rsidRDefault="000C27BF" w:rsidP="000C27BF">
      <w:pPr>
        <w:rPr>
          <w:rFonts w:ascii="Calibri" w:hAnsi="Calibri"/>
        </w:rPr>
      </w:pPr>
      <w:r w:rsidRPr="003A7D1D">
        <w:rPr>
          <w:rFonts w:ascii="Calibri" w:hAnsi="Calibri"/>
        </w:rPr>
        <w:tab/>
        <w:t>Badania arbitrażowe są powtórzeniem badań kontrolnych, co do których istnieją uzasadnione wątpliwości ze strony Inżyniera lub Wykonawcy (np. na podstawie własnych badań).</w:t>
      </w:r>
    </w:p>
    <w:p w:rsidR="000C27BF" w:rsidRPr="003A7D1D" w:rsidRDefault="000C27BF" w:rsidP="000C27BF">
      <w:pPr>
        <w:rPr>
          <w:rFonts w:ascii="Calibri" w:hAnsi="Calibri"/>
        </w:rPr>
      </w:pPr>
      <w:r w:rsidRPr="003A7D1D">
        <w:rPr>
          <w:rFonts w:ascii="Calibri" w:hAnsi="Calibri"/>
        </w:rPr>
        <w:tab/>
        <w:t>Badania arbitrażowe wykonuje na wniosek strony kontraktu niezależne laboratorium, które nie wykonywało badań kontrolnych.</w:t>
      </w:r>
    </w:p>
    <w:p w:rsidR="000C27BF" w:rsidRPr="003A7D1D" w:rsidRDefault="000C27BF" w:rsidP="000C27BF">
      <w:pPr>
        <w:rPr>
          <w:rFonts w:ascii="Calibri" w:hAnsi="Calibri"/>
        </w:rPr>
      </w:pPr>
      <w:r w:rsidRPr="003A7D1D">
        <w:rPr>
          <w:rFonts w:ascii="Calibri" w:hAnsi="Calibri"/>
        </w:rPr>
        <w:tab/>
        <w:t>Koszty badań arbitrażowych wraz ze wszystkimi kosztami ubocznymi ponosi strona, na której niekorzyść przemawia wynik badania.</w:t>
      </w:r>
    </w:p>
    <w:p w:rsidR="000C27BF" w:rsidRPr="003A7D1D" w:rsidRDefault="000C27BF" w:rsidP="000C27BF">
      <w:pPr>
        <w:rPr>
          <w:rFonts w:ascii="Calibri" w:hAnsi="Calibri"/>
        </w:rPr>
      </w:pPr>
      <w:r w:rsidRPr="00654C26">
        <w:rPr>
          <w:rFonts w:ascii="Calibri" w:hAnsi="Calibri"/>
          <w:b/>
        </w:rPr>
        <w:t>6.4.</w:t>
      </w:r>
      <w:r w:rsidRPr="003A7D1D">
        <w:rPr>
          <w:rFonts w:ascii="Calibri" w:hAnsi="Calibri"/>
        </w:rPr>
        <w:t xml:space="preserve"> Właściwości warstwy i nawierzchni oraz dopuszczalne odchyłki</w:t>
      </w:r>
    </w:p>
    <w:p w:rsidR="000C27BF" w:rsidRPr="003A7D1D" w:rsidRDefault="000C27BF" w:rsidP="000C27BF">
      <w:pPr>
        <w:rPr>
          <w:rFonts w:ascii="Calibri" w:hAnsi="Calibri"/>
        </w:rPr>
      </w:pPr>
      <w:r w:rsidRPr="00654C26">
        <w:rPr>
          <w:rFonts w:ascii="Calibri" w:hAnsi="Calibri"/>
          <w:b/>
        </w:rPr>
        <w:t>6.4.1.</w:t>
      </w:r>
      <w:r w:rsidRPr="003A7D1D">
        <w:rPr>
          <w:rFonts w:ascii="Calibri" w:hAnsi="Calibri"/>
        </w:rPr>
        <w:t xml:space="preserve"> Mieszanka mineralno-asfaltowa</w:t>
      </w:r>
    </w:p>
    <w:p w:rsidR="000C27BF" w:rsidRPr="003A7D1D" w:rsidRDefault="000C27BF" w:rsidP="000C27BF">
      <w:pPr>
        <w:rPr>
          <w:rFonts w:ascii="Calibri" w:hAnsi="Calibri"/>
        </w:rPr>
      </w:pPr>
      <w:r w:rsidRPr="003A7D1D">
        <w:rPr>
          <w:rFonts w:ascii="Calibri" w:hAnsi="Calibri"/>
        </w:rPr>
        <w:tab/>
        <w:t>Właściwości materiałów należy oceniać na podstawie badań pobranych próbek mieszanki mineralno-asfaltowej przed wbudowaniem (wbudowanie oznacza wykonanie warstwy asfaltowej). Wyjątkowo dopuszcza się badania próbek pobranych z wykonanej warstwy asfaltowej.</w:t>
      </w:r>
    </w:p>
    <w:p w:rsidR="000C27BF" w:rsidRPr="003A7D1D" w:rsidRDefault="000C27BF" w:rsidP="000C27BF">
      <w:pPr>
        <w:rPr>
          <w:rFonts w:ascii="Calibri" w:hAnsi="Calibri"/>
        </w:rPr>
      </w:pPr>
      <w:r w:rsidRPr="00654C26">
        <w:rPr>
          <w:rFonts w:ascii="Calibri" w:hAnsi="Calibri"/>
          <w:b/>
        </w:rPr>
        <w:t>6.4.2.</w:t>
      </w:r>
      <w:r w:rsidRPr="003A7D1D">
        <w:rPr>
          <w:rFonts w:ascii="Calibri" w:hAnsi="Calibri"/>
        </w:rPr>
        <w:t xml:space="preserve"> Warstwa asfaltowa</w:t>
      </w:r>
    </w:p>
    <w:p w:rsidR="000C27BF" w:rsidRPr="003A7D1D" w:rsidRDefault="000C27BF" w:rsidP="000C27BF">
      <w:pPr>
        <w:rPr>
          <w:rFonts w:ascii="Calibri" w:hAnsi="Calibri"/>
        </w:rPr>
      </w:pPr>
      <w:r w:rsidRPr="00654C26">
        <w:rPr>
          <w:rFonts w:ascii="Calibri" w:hAnsi="Calibri"/>
          <w:b/>
        </w:rPr>
        <w:t>6.4.2.1.</w:t>
      </w:r>
      <w:r w:rsidRPr="003A7D1D">
        <w:rPr>
          <w:rFonts w:ascii="Calibri" w:hAnsi="Calibri"/>
        </w:rPr>
        <w:t xml:space="preserve"> Grubość warstwy oraz ilość materiału</w:t>
      </w:r>
    </w:p>
    <w:p w:rsidR="000C27BF" w:rsidRPr="003A7D1D" w:rsidRDefault="000C27BF" w:rsidP="000C27BF">
      <w:pPr>
        <w:rPr>
          <w:rFonts w:ascii="Calibri" w:hAnsi="Calibri"/>
        </w:rPr>
      </w:pPr>
      <w:r w:rsidRPr="003A7D1D">
        <w:rPr>
          <w:rFonts w:ascii="Calibri" w:hAnsi="Calibri"/>
        </w:rPr>
        <w:tab/>
        <w:t>Grubość wykonanej warstwy oznaczana według PN-EN 12697-36 [40] oraz ilość wbudowanego materiału na określoną powierzchnię (dotyczy przede wszystkim cienkich warstw) mogą odbiegać od projektu o wartości podane w tablicy 14.</w:t>
      </w:r>
    </w:p>
    <w:p w:rsidR="000C27BF" w:rsidRPr="003A7D1D" w:rsidRDefault="000C27BF" w:rsidP="000C27BF">
      <w:pPr>
        <w:rPr>
          <w:rFonts w:ascii="Calibri" w:hAnsi="Calibri"/>
        </w:rPr>
      </w:pPr>
      <w:r w:rsidRPr="003A7D1D">
        <w:rPr>
          <w:rFonts w:ascii="Calibri" w:hAnsi="Calibri"/>
        </w:rPr>
        <w:tab/>
        <w:t>W wypadku określania ilości materiału na powierzchnię i średniej wartości grubości warstwy z reguły należy przyjąć za podstawę cały odcinek budowy. Inżynier ma prawo sprawdzać odcinki częściowe. Odcinek częściowy powinien zawierać co najmniej jedną dzienną działkę roboczą. Do odcinka częściowego obowiązują te same wymagania jak do odcinka budowy.</w:t>
      </w:r>
    </w:p>
    <w:p w:rsidR="000C27BF" w:rsidRPr="003A7D1D" w:rsidRDefault="000C27BF" w:rsidP="000C27BF">
      <w:pPr>
        <w:rPr>
          <w:rFonts w:ascii="Calibri" w:hAnsi="Calibri"/>
        </w:rPr>
      </w:pPr>
      <w:r w:rsidRPr="003A7D1D">
        <w:rPr>
          <w:rFonts w:ascii="Calibri" w:hAnsi="Calibri"/>
        </w:rPr>
        <w:tab/>
        <w:t>Za grubość warstwy lub warstw przyjmuje się średnią arytmetyczną wszystkich pojedynczych oznaczeń grubości warstwy na całym odcinku budowy lub odcinku częściowym.</w:t>
      </w:r>
    </w:p>
    <w:p w:rsidR="000C27BF" w:rsidRDefault="000C27BF" w:rsidP="000C27BF">
      <w:pPr>
        <w:rPr>
          <w:rFonts w:ascii="Calibri" w:hAnsi="Calibri"/>
        </w:rPr>
      </w:pPr>
    </w:p>
    <w:p w:rsidR="000C27BF" w:rsidRDefault="000C27BF" w:rsidP="000C27BF">
      <w:pPr>
        <w:ind w:left="709"/>
        <w:rPr>
          <w:rFonts w:ascii="Calibri" w:hAnsi="Calibri"/>
        </w:rPr>
      </w:pPr>
    </w:p>
    <w:p w:rsidR="000C27BF" w:rsidRDefault="000C27BF" w:rsidP="000C27BF">
      <w:pPr>
        <w:ind w:left="709"/>
        <w:rPr>
          <w:rFonts w:ascii="Calibri" w:hAnsi="Calibri"/>
        </w:rPr>
      </w:pPr>
    </w:p>
    <w:p w:rsidR="000C27BF" w:rsidRDefault="000C27BF" w:rsidP="000C27BF">
      <w:pPr>
        <w:ind w:left="709"/>
        <w:rPr>
          <w:rFonts w:ascii="Calibri" w:hAnsi="Calibri"/>
        </w:rPr>
      </w:pPr>
    </w:p>
    <w:p w:rsidR="000C27BF" w:rsidRDefault="000C27BF" w:rsidP="000C27BF">
      <w:pPr>
        <w:ind w:left="709"/>
        <w:rPr>
          <w:rFonts w:ascii="Calibri" w:hAnsi="Calibri"/>
        </w:rPr>
      </w:pPr>
    </w:p>
    <w:p w:rsidR="000C27BF" w:rsidRPr="003A7D1D" w:rsidRDefault="000C27BF" w:rsidP="000C27BF">
      <w:pPr>
        <w:ind w:left="709"/>
        <w:rPr>
          <w:rFonts w:ascii="Calibri" w:hAnsi="Calibri"/>
        </w:rPr>
      </w:pPr>
      <w:r w:rsidRPr="003A7D1D">
        <w:rPr>
          <w:rFonts w:ascii="Calibri" w:hAnsi="Calibri"/>
        </w:rPr>
        <w:lastRenderedPageBreak/>
        <w:t>Tablica 14.</w:t>
      </w:r>
      <w:r>
        <w:rPr>
          <w:rFonts w:ascii="Calibri" w:hAnsi="Calibri"/>
        </w:rPr>
        <w:t xml:space="preserve"> </w:t>
      </w:r>
      <w:r w:rsidRPr="003A7D1D">
        <w:rPr>
          <w:rFonts w:ascii="Calibri" w:hAnsi="Calibri"/>
        </w:rPr>
        <w:t xml:space="preserve">Dopuszczalne odchyłki grubości warstwy oraz ilości materiału na określonej powierzchni, [%] </w:t>
      </w:r>
    </w:p>
    <w:tbl>
      <w:tblPr>
        <w:tblW w:w="0" w:type="auto"/>
        <w:tblInd w:w="81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tblPr>
      <w:tblGrid>
        <w:gridCol w:w="4786"/>
        <w:gridCol w:w="2725"/>
      </w:tblGrid>
      <w:tr w:rsidR="000C27BF" w:rsidRPr="003A7D1D" w:rsidTr="00556540">
        <w:tc>
          <w:tcPr>
            <w:tcW w:w="4786" w:type="dxa"/>
          </w:tcPr>
          <w:p w:rsidR="000C27BF" w:rsidRPr="003A7D1D" w:rsidRDefault="000C27BF" w:rsidP="00556540">
            <w:pPr>
              <w:spacing w:before="60" w:after="60"/>
              <w:jc w:val="center"/>
              <w:rPr>
                <w:rFonts w:ascii="Calibri" w:hAnsi="Calibri"/>
                <w:sz w:val="18"/>
                <w:szCs w:val="18"/>
              </w:rPr>
            </w:pPr>
            <w:r w:rsidRPr="003A7D1D">
              <w:rPr>
                <w:rFonts w:ascii="Calibri" w:hAnsi="Calibri"/>
                <w:sz w:val="18"/>
                <w:szCs w:val="18"/>
              </w:rPr>
              <w:t>Warunki oceny</w:t>
            </w:r>
          </w:p>
        </w:tc>
        <w:tc>
          <w:tcPr>
            <w:tcW w:w="2725" w:type="dxa"/>
          </w:tcPr>
          <w:p w:rsidR="000C27BF" w:rsidRPr="003A7D1D" w:rsidRDefault="000C27BF" w:rsidP="00556540">
            <w:pPr>
              <w:spacing w:before="60" w:after="60"/>
              <w:jc w:val="center"/>
              <w:rPr>
                <w:rFonts w:ascii="Calibri" w:hAnsi="Calibri"/>
                <w:sz w:val="18"/>
                <w:szCs w:val="18"/>
              </w:rPr>
            </w:pPr>
            <w:r w:rsidRPr="003A7D1D">
              <w:rPr>
                <w:rFonts w:ascii="Calibri" w:hAnsi="Calibri"/>
                <w:sz w:val="18"/>
                <w:szCs w:val="18"/>
              </w:rPr>
              <w:t xml:space="preserve">Warstwa asfaltowa AC </w:t>
            </w:r>
            <w:r w:rsidRPr="003A7D1D">
              <w:rPr>
                <w:rFonts w:ascii="Calibri" w:hAnsi="Calibri"/>
                <w:sz w:val="18"/>
                <w:szCs w:val="18"/>
                <w:vertAlign w:val="superscript"/>
              </w:rPr>
              <w:t>a)</w:t>
            </w:r>
          </w:p>
        </w:tc>
      </w:tr>
      <w:tr w:rsidR="000C27BF" w:rsidRPr="003A7D1D" w:rsidTr="00556540">
        <w:trPr>
          <w:trHeight w:val="1080"/>
        </w:trPr>
        <w:tc>
          <w:tcPr>
            <w:tcW w:w="4786" w:type="dxa"/>
            <w:tcBorders>
              <w:bottom w:val="nil"/>
            </w:tcBorders>
          </w:tcPr>
          <w:p w:rsidR="000C27BF" w:rsidRPr="003A7D1D" w:rsidRDefault="000C27BF" w:rsidP="00556540">
            <w:pPr>
              <w:rPr>
                <w:rFonts w:ascii="Calibri" w:hAnsi="Calibri"/>
                <w:sz w:val="18"/>
                <w:szCs w:val="18"/>
              </w:rPr>
            </w:pPr>
            <w:r w:rsidRPr="003A7D1D">
              <w:rPr>
                <w:rFonts w:ascii="Calibri" w:hAnsi="Calibri"/>
                <w:sz w:val="18"/>
                <w:szCs w:val="18"/>
              </w:rPr>
              <w:t>A – Średnia z wielu oznaczeń grubości oraz ilości</w:t>
            </w:r>
          </w:p>
          <w:p w:rsidR="000C27BF" w:rsidRPr="003A7D1D" w:rsidRDefault="000C27BF" w:rsidP="00556540">
            <w:pPr>
              <w:ind w:left="426" w:hanging="426"/>
              <w:rPr>
                <w:rFonts w:ascii="Calibri" w:hAnsi="Calibri"/>
                <w:sz w:val="18"/>
                <w:szCs w:val="18"/>
              </w:rPr>
            </w:pPr>
            <w:r w:rsidRPr="003A7D1D">
              <w:rPr>
                <w:rFonts w:ascii="Calibri" w:hAnsi="Calibri"/>
                <w:sz w:val="18"/>
                <w:szCs w:val="18"/>
              </w:rPr>
              <w:t xml:space="preserve">1. – duży odcinek budowy, powierzchnia większa niż </w:t>
            </w:r>
            <w:smartTag w:uri="urn:schemas-microsoft-com:office:smarttags" w:element="metricconverter">
              <w:smartTagPr>
                <w:attr w:name="ProductID" w:val="6000 m2"/>
              </w:smartTagPr>
              <w:r w:rsidRPr="003A7D1D">
                <w:rPr>
                  <w:rFonts w:ascii="Calibri" w:hAnsi="Calibri"/>
                  <w:sz w:val="18"/>
                  <w:szCs w:val="18"/>
                </w:rPr>
                <w:t>6000 m</w:t>
              </w:r>
              <w:r w:rsidRPr="003A7D1D">
                <w:rPr>
                  <w:rFonts w:ascii="Calibri" w:hAnsi="Calibri"/>
                  <w:sz w:val="18"/>
                  <w:szCs w:val="18"/>
                  <w:vertAlign w:val="superscript"/>
                </w:rPr>
                <w:t>2</w:t>
              </w:r>
            </w:smartTag>
            <w:r w:rsidRPr="003A7D1D">
              <w:rPr>
                <w:rFonts w:ascii="Calibri" w:hAnsi="Calibri"/>
                <w:sz w:val="18"/>
                <w:szCs w:val="18"/>
              </w:rPr>
              <w:t xml:space="preserve"> lub</w:t>
            </w:r>
          </w:p>
          <w:p w:rsidR="000C27BF" w:rsidRPr="003A7D1D" w:rsidRDefault="000C27BF" w:rsidP="00556540">
            <w:pPr>
              <w:ind w:left="426" w:hanging="426"/>
              <w:rPr>
                <w:rFonts w:ascii="Calibri" w:hAnsi="Calibri"/>
                <w:sz w:val="18"/>
                <w:szCs w:val="18"/>
              </w:rPr>
            </w:pPr>
            <w:r w:rsidRPr="003A7D1D">
              <w:rPr>
                <w:rFonts w:ascii="Calibri" w:hAnsi="Calibri"/>
                <w:sz w:val="18"/>
                <w:szCs w:val="18"/>
              </w:rPr>
              <w:t xml:space="preserve">     – droga ograniczona krawężnikami, powierzchnia większa niż </w:t>
            </w:r>
            <w:smartTag w:uri="urn:schemas-microsoft-com:office:smarttags" w:element="metricconverter">
              <w:smartTagPr>
                <w:attr w:name="ProductID" w:val="1000 m2"/>
              </w:smartTagPr>
              <w:r w:rsidRPr="003A7D1D">
                <w:rPr>
                  <w:rFonts w:ascii="Calibri" w:hAnsi="Calibri"/>
                  <w:sz w:val="18"/>
                  <w:szCs w:val="18"/>
                </w:rPr>
                <w:t>1000 m</w:t>
              </w:r>
              <w:r w:rsidRPr="003A7D1D">
                <w:rPr>
                  <w:rFonts w:ascii="Calibri" w:hAnsi="Calibri"/>
                  <w:sz w:val="18"/>
                  <w:szCs w:val="18"/>
                  <w:vertAlign w:val="superscript"/>
                </w:rPr>
                <w:t>2</w:t>
              </w:r>
            </w:smartTag>
            <w:r w:rsidRPr="003A7D1D">
              <w:rPr>
                <w:rFonts w:ascii="Calibri" w:hAnsi="Calibri"/>
                <w:sz w:val="18"/>
                <w:szCs w:val="18"/>
              </w:rPr>
              <w:t xml:space="preserve"> lub</w:t>
            </w:r>
          </w:p>
        </w:tc>
        <w:tc>
          <w:tcPr>
            <w:tcW w:w="2725" w:type="dxa"/>
            <w:tcBorders>
              <w:bottom w:val="nil"/>
            </w:tcBorders>
          </w:tcPr>
          <w:p w:rsidR="000C27BF" w:rsidRPr="003A7D1D" w:rsidRDefault="000C27BF" w:rsidP="00556540">
            <w:pPr>
              <w:jc w:val="center"/>
              <w:rPr>
                <w:rFonts w:ascii="Calibri" w:hAnsi="Calibri"/>
                <w:sz w:val="18"/>
                <w:szCs w:val="18"/>
              </w:rPr>
            </w:pPr>
          </w:p>
          <w:p w:rsidR="000C27BF" w:rsidRPr="003A7D1D" w:rsidRDefault="000C27BF" w:rsidP="00556540">
            <w:pPr>
              <w:jc w:val="center"/>
              <w:rPr>
                <w:rFonts w:ascii="Calibri" w:hAnsi="Calibri"/>
                <w:sz w:val="18"/>
                <w:szCs w:val="18"/>
              </w:rPr>
            </w:pPr>
          </w:p>
          <w:p w:rsidR="000C27BF" w:rsidRPr="003A7D1D" w:rsidRDefault="000C27BF" w:rsidP="00556540">
            <w:pPr>
              <w:jc w:val="center"/>
              <w:rPr>
                <w:rFonts w:ascii="Calibri" w:hAnsi="Calibri"/>
                <w:sz w:val="18"/>
                <w:szCs w:val="18"/>
              </w:rPr>
            </w:pPr>
          </w:p>
          <w:p w:rsidR="000C27BF" w:rsidRPr="003A7D1D" w:rsidRDefault="000C27BF" w:rsidP="00556540">
            <w:pPr>
              <w:jc w:val="center"/>
              <w:rPr>
                <w:rFonts w:ascii="Calibri" w:hAnsi="Calibri"/>
                <w:sz w:val="18"/>
                <w:szCs w:val="18"/>
              </w:rPr>
            </w:pPr>
            <w:r w:rsidRPr="003A7D1D">
              <w:rPr>
                <w:rFonts w:ascii="Calibri" w:hAnsi="Calibri"/>
                <w:sz w:val="18"/>
                <w:szCs w:val="18"/>
              </w:rPr>
              <w:t>≤ 10</w:t>
            </w:r>
          </w:p>
          <w:p w:rsidR="000C27BF" w:rsidRPr="003A7D1D" w:rsidRDefault="000C27BF" w:rsidP="00556540">
            <w:pPr>
              <w:jc w:val="center"/>
              <w:rPr>
                <w:rFonts w:ascii="Calibri" w:hAnsi="Calibri"/>
                <w:sz w:val="18"/>
                <w:szCs w:val="18"/>
              </w:rPr>
            </w:pPr>
          </w:p>
        </w:tc>
      </w:tr>
      <w:tr w:rsidR="000C27BF" w:rsidRPr="003A7D1D" w:rsidTr="00556540">
        <w:trPr>
          <w:trHeight w:val="300"/>
        </w:trPr>
        <w:tc>
          <w:tcPr>
            <w:tcW w:w="4786" w:type="dxa"/>
            <w:tcBorders>
              <w:top w:val="nil"/>
            </w:tcBorders>
          </w:tcPr>
          <w:p w:rsidR="000C27BF" w:rsidRPr="003A7D1D" w:rsidRDefault="000C27BF" w:rsidP="00556540">
            <w:pPr>
              <w:ind w:left="426" w:hanging="426"/>
              <w:rPr>
                <w:rFonts w:ascii="Calibri" w:hAnsi="Calibri"/>
                <w:sz w:val="18"/>
                <w:szCs w:val="18"/>
              </w:rPr>
            </w:pPr>
            <w:r w:rsidRPr="003A7D1D">
              <w:rPr>
                <w:rFonts w:ascii="Calibri" w:hAnsi="Calibri"/>
                <w:sz w:val="18"/>
                <w:szCs w:val="18"/>
              </w:rPr>
              <w:t xml:space="preserve">2.  –  mały odcinek budowy </w:t>
            </w:r>
          </w:p>
        </w:tc>
        <w:tc>
          <w:tcPr>
            <w:tcW w:w="2725" w:type="dxa"/>
            <w:tcBorders>
              <w:top w:val="nil"/>
            </w:tcBorders>
          </w:tcPr>
          <w:p w:rsidR="000C27BF" w:rsidRPr="003A7D1D" w:rsidRDefault="000C27BF" w:rsidP="00556540">
            <w:pPr>
              <w:jc w:val="center"/>
              <w:rPr>
                <w:rFonts w:ascii="Calibri" w:hAnsi="Calibri"/>
                <w:sz w:val="18"/>
                <w:szCs w:val="18"/>
              </w:rPr>
            </w:pPr>
            <w:r w:rsidRPr="003A7D1D">
              <w:rPr>
                <w:rFonts w:ascii="Calibri" w:hAnsi="Calibri"/>
                <w:sz w:val="18"/>
                <w:szCs w:val="18"/>
              </w:rPr>
              <w:t>≤ 15</w:t>
            </w:r>
          </w:p>
        </w:tc>
      </w:tr>
      <w:tr w:rsidR="000C27BF" w:rsidRPr="003A7D1D" w:rsidTr="00556540">
        <w:tc>
          <w:tcPr>
            <w:tcW w:w="4786" w:type="dxa"/>
          </w:tcPr>
          <w:p w:rsidR="000C27BF" w:rsidRPr="003A7D1D" w:rsidRDefault="000C27BF" w:rsidP="00556540">
            <w:pPr>
              <w:spacing w:before="60" w:after="60"/>
              <w:rPr>
                <w:rFonts w:ascii="Calibri" w:hAnsi="Calibri"/>
                <w:sz w:val="18"/>
                <w:szCs w:val="18"/>
              </w:rPr>
            </w:pPr>
            <w:r w:rsidRPr="003A7D1D">
              <w:rPr>
                <w:rFonts w:ascii="Calibri" w:hAnsi="Calibri"/>
                <w:sz w:val="18"/>
                <w:szCs w:val="18"/>
              </w:rPr>
              <w:t>B – Pojedyncze oznaczenie grubości</w:t>
            </w:r>
          </w:p>
        </w:tc>
        <w:tc>
          <w:tcPr>
            <w:tcW w:w="2725" w:type="dxa"/>
          </w:tcPr>
          <w:p w:rsidR="000C27BF" w:rsidRPr="003A7D1D" w:rsidRDefault="000C27BF" w:rsidP="00556540">
            <w:pPr>
              <w:spacing w:before="60" w:after="60"/>
              <w:jc w:val="center"/>
              <w:rPr>
                <w:rFonts w:ascii="Calibri" w:hAnsi="Calibri"/>
                <w:sz w:val="18"/>
                <w:szCs w:val="18"/>
              </w:rPr>
            </w:pPr>
            <w:r w:rsidRPr="003A7D1D">
              <w:rPr>
                <w:rFonts w:ascii="Calibri" w:hAnsi="Calibri"/>
                <w:sz w:val="18"/>
                <w:szCs w:val="18"/>
              </w:rPr>
              <w:t>≤ 15</w:t>
            </w:r>
          </w:p>
        </w:tc>
      </w:tr>
      <w:tr w:rsidR="000C27BF" w:rsidRPr="003A7D1D" w:rsidTr="00556540">
        <w:tc>
          <w:tcPr>
            <w:tcW w:w="7511" w:type="dxa"/>
            <w:gridSpan w:val="2"/>
          </w:tcPr>
          <w:p w:rsidR="000C27BF" w:rsidRPr="00753E52" w:rsidRDefault="000C27BF" w:rsidP="00556540">
            <w:pPr>
              <w:ind w:left="284" w:hanging="284"/>
              <w:rPr>
                <w:rFonts w:ascii="Calibri" w:hAnsi="Calibri"/>
                <w:i/>
                <w:sz w:val="18"/>
                <w:szCs w:val="18"/>
              </w:rPr>
            </w:pPr>
            <w:r w:rsidRPr="00753E52">
              <w:rPr>
                <w:rFonts w:ascii="Calibri" w:hAnsi="Calibri"/>
                <w:i/>
                <w:sz w:val="18"/>
                <w:szCs w:val="18"/>
                <w:vertAlign w:val="superscript"/>
              </w:rPr>
              <w:t>a)</w:t>
            </w:r>
            <w:r w:rsidRPr="00753E52">
              <w:rPr>
                <w:rFonts w:ascii="Calibri" w:hAnsi="Calibri"/>
                <w:i/>
                <w:sz w:val="18"/>
                <w:szCs w:val="18"/>
              </w:rPr>
              <w:t xml:space="preserve"> w wypadku budowy dwuetapowej, tzn. gdy warstwa ścieralna jest układana z opóźnieniem, wartość z wiersza B odpowiednio obowiązuje; w pierwszym etapie budowy do górnej warstwy nawierzchni obowiązuje wartość 25%, a do łącznej grubości warstw etapu 1 ÷ 15%</w:t>
            </w:r>
          </w:p>
        </w:tc>
      </w:tr>
    </w:tbl>
    <w:p w:rsidR="000C27BF" w:rsidRPr="003A7D1D" w:rsidRDefault="000C27BF" w:rsidP="000C27BF">
      <w:pPr>
        <w:rPr>
          <w:rFonts w:ascii="Calibri" w:hAnsi="Calibri"/>
        </w:rPr>
      </w:pPr>
    </w:p>
    <w:p w:rsidR="000C27BF" w:rsidRPr="003A7D1D" w:rsidRDefault="000C27BF" w:rsidP="000C27BF">
      <w:pPr>
        <w:rPr>
          <w:rFonts w:ascii="Calibri" w:hAnsi="Calibri"/>
        </w:rPr>
      </w:pPr>
      <w:r w:rsidRPr="00654C26">
        <w:rPr>
          <w:rFonts w:ascii="Calibri" w:hAnsi="Calibri"/>
          <w:b/>
        </w:rPr>
        <w:t>6.4.2.2.</w:t>
      </w:r>
      <w:r w:rsidRPr="003A7D1D">
        <w:rPr>
          <w:rFonts w:ascii="Calibri" w:hAnsi="Calibri"/>
        </w:rPr>
        <w:t xml:space="preserve"> Wskaźnik zagęszczenia warstwy</w:t>
      </w:r>
    </w:p>
    <w:p w:rsidR="000C27BF" w:rsidRPr="003A7D1D" w:rsidRDefault="000C27BF" w:rsidP="000C27BF">
      <w:pPr>
        <w:rPr>
          <w:rFonts w:ascii="Calibri" w:hAnsi="Calibri"/>
        </w:rPr>
      </w:pPr>
      <w:r w:rsidRPr="003A7D1D">
        <w:rPr>
          <w:rFonts w:ascii="Calibri" w:hAnsi="Calibri"/>
        </w:rPr>
        <w:tab/>
        <w:t>Zagęszczenie wykonanej warstwy, wyrażone wskaźnikiem zagęszczenia oraz zawartością wolnych przestrzeni, nie może przekroczyć wartości dopuszczalnych podanych w tablicy 12. Dotyczy to każdego pojedynczego oznaczenia danej właściwości.</w:t>
      </w:r>
    </w:p>
    <w:p w:rsidR="000C27BF" w:rsidRPr="003A7D1D" w:rsidRDefault="000C27BF" w:rsidP="000C27BF">
      <w:pPr>
        <w:rPr>
          <w:rFonts w:ascii="Calibri" w:hAnsi="Calibri"/>
        </w:rPr>
      </w:pPr>
      <w:r w:rsidRPr="003A7D1D">
        <w:rPr>
          <w:rFonts w:ascii="Calibri" w:hAnsi="Calibri"/>
        </w:rPr>
        <w:tab/>
        <w:t>Określenie gęstości objętościowej należy wykonywać według PN-EN 12697-6 [32].</w:t>
      </w:r>
    </w:p>
    <w:p w:rsidR="000C27BF" w:rsidRPr="003A7D1D" w:rsidRDefault="000C27BF" w:rsidP="000C27BF">
      <w:pPr>
        <w:rPr>
          <w:rFonts w:ascii="Calibri" w:hAnsi="Calibri"/>
        </w:rPr>
      </w:pPr>
      <w:r w:rsidRPr="00654C26">
        <w:rPr>
          <w:rFonts w:ascii="Calibri" w:hAnsi="Calibri"/>
          <w:b/>
        </w:rPr>
        <w:t>6.4.2.3.</w:t>
      </w:r>
      <w:r w:rsidRPr="003A7D1D">
        <w:rPr>
          <w:rFonts w:ascii="Calibri" w:hAnsi="Calibri"/>
        </w:rPr>
        <w:t xml:space="preserve"> Zawartość wolnych przestrzeni w nawierzchni </w:t>
      </w:r>
    </w:p>
    <w:p w:rsidR="000C27BF" w:rsidRPr="003A7D1D" w:rsidRDefault="000C27BF" w:rsidP="000C27BF">
      <w:pPr>
        <w:rPr>
          <w:rFonts w:ascii="Calibri" w:hAnsi="Calibri"/>
        </w:rPr>
      </w:pPr>
      <w:r w:rsidRPr="003A7D1D">
        <w:rPr>
          <w:rFonts w:ascii="Calibri" w:hAnsi="Calibri"/>
        </w:rPr>
        <w:t>Zawartość wolnych przestrzeni w warstwie,  nie może wykroczyć poza wartości dopuszczalne podane w tablicy 12.</w:t>
      </w:r>
    </w:p>
    <w:p w:rsidR="000C27BF" w:rsidRPr="003A7D1D" w:rsidRDefault="000C27BF" w:rsidP="000C27BF">
      <w:pPr>
        <w:rPr>
          <w:rFonts w:ascii="Calibri" w:hAnsi="Calibri"/>
        </w:rPr>
      </w:pPr>
      <w:r w:rsidRPr="00654C26">
        <w:rPr>
          <w:rFonts w:ascii="Calibri" w:hAnsi="Calibri"/>
          <w:b/>
        </w:rPr>
        <w:t>6.4.2.4.</w:t>
      </w:r>
      <w:r w:rsidRPr="003A7D1D">
        <w:rPr>
          <w:rFonts w:ascii="Calibri" w:hAnsi="Calibri"/>
        </w:rPr>
        <w:t xml:space="preserve"> Spadki poprzeczne</w:t>
      </w:r>
    </w:p>
    <w:p w:rsidR="000C27BF" w:rsidRPr="003A7D1D" w:rsidRDefault="000C27BF" w:rsidP="000C27BF">
      <w:pPr>
        <w:rPr>
          <w:rFonts w:ascii="Calibri" w:hAnsi="Calibri"/>
        </w:rPr>
      </w:pPr>
      <w:r w:rsidRPr="003A7D1D">
        <w:rPr>
          <w:rFonts w:ascii="Calibri" w:hAnsi="Calibri"/>
        </w:rPr>
        <w:tab/>
        <w:t xml:space="preserve">Spadki poprzeczne nawierzchni należy badać nie rzadziej niż co </w:t>
      </w:r>
      <w:smartTag w:uri="urn:schemas-microsoft-com:office:smarttags" w:element="metricconverter">
        <w:smartTagPr>
          <w:attr w:name="ProductID" w:val="20 m"/>
        </w:smartTagPr>
        <w:r w:rsidRPr="003A7D1D">
          <w:rPr>
            <w:rFonts w:ascii="Calibri" w:hAnsi="Calibri"/>
          </w:rPr>
          <w:t>20 m</w:t>
        </w:r>
      </w:smartTag>
      <w:r w:rsidRPr="003A7D1D">
        <w:rPr>
          <w:rFonts w:ascii="Calibri" w:hAnsi="Calibri"/>
        </w:rPr>
        <w:t xml:space="preserve"> oraz w punktach głównych łuków poziomych.</w:t>
      </w:r>
    </w:p>
    <w:p w:rsidR="000C27BF" w:rsidRPr="003A7D1D" w:rsidRDefault="000C27BF" w:rsidP="000C27BF">
      <w:pPr>
        <w:rPr>
          <w:rFonts w:ascii="Calibri" w:hAnsi="Calibri"/>
        </w:rPr>
      </w:pPr>
      <w:r w:rsidRPr="003A7D1D">
        <w:rPr>
          <w:rFonts w:ascii="Calibri" w:hAnsi="Calibri"/>
        </w:rPr>
        <w:tab/>
        <w:t>Spadki poprzeczne powinny być zgodne z dokumentacją projektową, z tolerancją ± 0,5%.</w:t>
      </w:r>
    </w:p>
    <w:p w:rsidR="000C27BF" w:rsidRPr="003A7D1D" w:rsidRDefault="000C27BF" w:rsidP="000C27BF">
      <w:pPr>
        <w:rPr>
          <w:rFonts w:ascii="Calibri" w:hAnsi="Calibri"/>
        </w:rPr>
      </w:pPr>
      <w:r w:rsidRPr="00654C26">
        <w:rPr>
          <w:rFonts w:ascii="Calibri" w:hAnsi="Calibri"/>
          <w:b/>
        </w:rPr>
        <w:t>6.4.2.5.</w:t>
      </w:r>
      <w:r w:rsidRPr="003A7D1D">
        <w:rPr>
          <w:rFonts w:ascii="Calibri" w:hAnsi="Calibri"/>
        </w:rPr>
        <w:t xml:space="preserve"> Równość podłużna i poprzeczna </w:t>
      </w:r>
    </w:p>
    <w:p w:rsidR="000C27BF" w:rsidRPr="003A7D1D" w:rsidRDefault="000C27BF" w:rsidP="000C27BF">
      <w:pPr>
        <w:rPr>
          <w:rFonts w:ascii="Calibri" w:hAnsi="Calibri"/>
        </w:rPr>
      </w:pPr>
      <w:r w:rsidRPr="003A7D1D">
        <w:rPr>
          <w:rFonts w:ascii="Calibri" w:hAnsi="Calibri"/>
        </w:rPr>
        <w:tab/>
        <w:t xml:space="preserve">Do oceny równości podłużnej warstwy wiążącej nawierzchni dróg wszystkich klas technicznych należy stosować metodę z wykorzystaniem łaty 4-metrowej i klina lub metody równoważnej użyciu łaty i klina, mierząc wysokość prześwitu w połowie długości łaty. Pomiar wykonuje się nie rzadziej niż co </w:t>
      </w:r>
      <w:smartTag w:uri="urn:schemas-microsoft-com:office:smarttags" w:element="metricconverter">
        <w:smartTagPr>
          <w:attr w:name="ProductID" w:val="10 m"/>
        </w:smartTagPr>
        <w:r w:rsidRPr="003A7D1D">
          <w:rPr>
            <w:rFonts w:ascii="Calibri" w:hAnsi="Calibri"/>
          </w:rPr>
          <w:t>10 m</w:t>
        </w:r>
      </w:smartTag>
      <w:r w:rsidRPr="003A7D1D">
        <w:rPr>
          <w:rFonts w:ascii="Calibri" w:hAnsi="Calibri"/>
        </w:rPr>
        <w:t>. Wymagana równość podłużna jest określona w rozporządzeniu dotyczącym warunków technicznych, jakim powinny odpowiadać drogi publiczne [67].</w:t>
      </w:r>
      <w:r w:rsidRPr="003A7D1D">
        <w:rPr>
          <w:rFonts w:ascii="Calibri" w:hAnsi="Calibri"/>
        </w:rPr>
        <w:tab/>
      </w:r>
      <w:r w:rsidRPr="003A7D1D">
        <w:rPr>
          <w:rFonts w:ascii="Calibri" w:hAnsi="Calibri"/>
        </w:rPr>
        <w:tab/>
      </w:r>
    </w:p>
    <w:p w:rsidR="000C27BF" w:rsidRPr="003A7D1D" w:rsidRDefault="000C27BF" w:rsidP="000C27BF">
      <w:pPr>
        <w:rPr>
          <w:rFonts w:ascii="Calibri" w:hAnsi="Calibri"/>
        </w:rPr>
      </w:pPr>
      <w:r w:rsidRPr="003A7D1D">
        <w:rPr>
          <w:rFonts w:ascii="Calibri" w:hAnsi="Calibri"/>
        </w:rPr>
        <w:t xml:space="preserve">Do oceny równości poprzecznej warstwy wiążącej nawierzchni dróg wszystkich klas technicznych należy stosować metodę z wykorzystaniem łaty 4-metrowej i klina lub metody równoważnej użyciu łaty i klina. Pomiar należy wykonywać w kierunku prostopadłym do osi jezdni, na każdym ocenianym pasie ruchu, nie rzadziej niż co </w:t>
      </w:r>
      <w:smartTag w:uri="urn:schemas-microsoft-com:office:smarttags" w:element="metricconverter">
        <w:smartTagPr>
          <w:attr w:name="ProductID" w:val="10 m"/>
        </w:smartTagPr>
        <w:r w:rsidRPr="003A7D1D">
          <w:rPr>
            <w:rFonts w:ascii="Calibri" w:hAnsi="Calibri"/>
          </w:rPr>
          <w:t>10 m</w:t>
        </w:r>
      </w:smartTag>
      <w:r w:rsidRPr="003A7D1D">
        <w:rPr>
          <w:rFonts w:ascii="Calibri" w:hAnsi="Calibri"/>
        </w:rPr>
        <w:t>. Wymagana równość poprzeczna jest określona w rozporządzeniu dotyczącym warunków technicznych, jakim powinny odpowiadać drogi publiczne [67].</w:t>
      </w:r>
    </w:p>
    <w:p w:rsidR="000C27BF" w:rsidRPr="003A7D1D" w:rsidRDefault="000C27BF" w:rsidP="000C27BF">
      <w:pPr>
        <w:rPr>
          <w:rFonts w:ascii="Calibri" w:hAnsi="Calibri"/>
        </w:rPr>
      </w:pPr>
      <w:r w:rsidRPr="00654C26">
        <w:rPr>
          <w:rFonts w:ascii="Calibri" w:hAnsi="Calibri"/>
          <w:b/>
        </w:rPr>
        <w:t>6.4.2.6.</w:t>
      </w:r>
      <w:r w:rsidRPr="003A7D1D">
        <w:rPr>
          <w:rFonts w:ascii="Calibri" w:hAnsi="Calibri"/>
        </w:rPr>
        <w:t xml:space="preserve"> Pozostałe właściwości warstwy asfaltowej</w:t>
      </w:r>
    </w:p>
    <w:p w:rsidR="000C27BF" w:rsidRPr="003A7D1D" w:rsidRDefault="000C27BF" w:rsidP="000C27BF">
      <w:pPr>
        <w:rPr>
          <w:rFonts w:ascii="Calibri" w:hAnsi="Calibri"/>
        </w:rPr>
      </w:pPr>
      <w:r w:rsidRPr="003A7D1D">
        <w:rPr>
          <w:rFonts w:ascii="Calibri" w:hAnsi="Calibri"/>
        </w:rPr>
        <w:tab/>
        <w:t xml:space="preserve">Szerokość warstwy, mierzona 10 razy na </w:t>
      </w:r>
      <w:smartTag w:uri="urn:schemas-microsoft-com:office:smarttags" w:element="metricconverter">
        <w:smartTagPr>
          <w:attr w:name="ProductID" w:val="1 km"/>
        </w:smartTagPr>
        <w:r w:rsidRPr="003A7D1D">
          <w:rPr>
            <w:rFonts w:ascii="Calibri" w:hAnsi="Calibri"/>
          </w:rPr>
          <w:t>1 km</w:t>
        </w:r>
      </w:smartTag>
      <w:r w:rsidRPr="003A7D1D">
        <w:rPr>
          <w:rFonts w:ascii="Calibri" w:hAnsi="Calibri"/>
        </w:rPr>
        <w:t xml:space="preserve"> każdej jezdni, nie może się różnić od szerokości projektowanej o więcej niż ± </w:t>
      </w:r>
      <w:smartTag w:uri="urn:schemas-microsoft-com:office:smarttags" w:element="metricconverter">
        <w:smartTagPr>
          <w:attr w:name="ProductID" w:val="5 cm"/>
        </w:smartTagPr>
        <w:r w:rsidRPr="003A7D1D">
          <w:rPr>
            <w:rFonts w:ascii="Calibri" w:hAnsi="Calibri"/>
          </w:rPr>
          <w:t>5 cm</w:t>
        </w:r>
      </w:smartTag>
      <w:r w:rsidRPr="003A7D1D">
        <w:rPr>
          <w:rFonts w:ascii="Calibri" w:hAnsi="Calibri"/>
        </w:rPr>
        <w:t>.</w:t>
      </w:r>
    </w:p>
    <w:p w:rsidR="000C27BF" w:rsidRPr="003A7D1D" w:rsidRDefault="000C27BF" w:rsidP="000C27BF">
      <w:pPr>
        <w:rPr>
          <w:rFonts w:ascii="Calibri" w:hAnsi="Calibri"/>
        </w:rPr>
      </w:pPr>
      <w:r w:rsidRPr="003A7D1D">
        <w:rPr>
          <w:rFonts w:ascii="Calibri" w:hAnsi="Calibri"/>
        </w:rPr>
        <w:tab/>
        <w:t xml:space="preserve">Rzędne wysokościowe, mierzone co </w:t>
      </w:r>
      <w:smartTag w:uri="urn:schemas-microsoft-com:office:smarttags" w:element="metricconverter">
        <w:smartTagPr>
          <w:attr w:name="ProductID" w:val="10 m"/>
        </w:smartTagPr>
        <w:r w:rsidRPr="003A7D1D">
          <w:rPr>
            <w:rFonts w:ascii="Calibri" w:hAnsi="Calibri"/>
          </w:rPr>
          <w:t>10 m</w:t>
        </w:r>
      </w:smartTag>
      <w:r w:rsidRPr="003A7D1D">
        <w:rPr>
          <w:rFonts w:ascii="Calibri" w:hAnsi="Calibri"/>
        </w:rPr>
        <w:t xml:space="preserve"> na prostych i co </w:t>
      </w:r>
      <w:smartTag w:uri="urn:schemas-microsoft-com:office:smarttags" w:element="metricconverter">
        <w:smartTagPr>
          <w:attr w:name="ProductID" w:val="10 m"/>
        </w:smartTagPr>
        <w:r w:rsidRPr="003A7D1D">
          <w:rPr>
            <w:rFonts w:ascii="Calibri" w:hAnsi="Calibri"/>
          </w:rPr>
          <w:t>10 m</w:t>
        </w:r>
      </w:smartTag>
      <w:r w:rsidRPr="003A7D1D">
        <w:rPr>
          <w:rFonts w:ascii="Calibri" w:hAnsi="Calibri"/>
        </w:rPr>
        <w:t xml:space="preserve"> na osi podłużnej i krawędziach, powinny być zgodne z dokumentacją projektow</w:t>
      </w:r>
      <w:r>
        <w:rPr>
          <w:rFonts w:ascii="Calibri" w:hAnsi="Calibri"/>
        </w:rPr>
        <w:t>ą z dopuszczalną tolerancją</w:t>
      </w:r>
      <w:r w:rsidRPr="003A7D1D">
        <w:rPr>
          <w:rFonts w:ascii="Calibri" w:hAnsi="Calibri"/>
        </w:rPr>
        <w:t xml:space="preserve"> ± </w:t>
      </w:r>
      <w:smartTag w:uri="urn:schemas-microsoft-com:office:smarttags" w:element="metricconverter">
        <w:smartTagPr>
          <w:attr w:name="ProductID" w:val="1 cm"/>
        </w:smartTagPr>
        <w:r w:rsidRPr="003A7D1D">
          <w:rPr>
            <w:rFonts w:ascii="Calibri" w:hAnsi="Calibri"/>
          </w:rPr>
          <w:t>1 cm</w:t>
        </w:r>
      </w:smartTag>
      <w:r w:rsidRPr="003A7D1D">
        <w:rPr>
          <w:rFonts w:ascii="Calibri" w:hAnsi="Calibri"/>
        </w:rPr>
        <w:t>, przy czym co najmniej 95% wykonanych pomiarów nie może przekraczać przedziału dopuszczalnych odchyleń.</w:t>
      </w:r>
    </w:p>
    <w:p w:rsidR="000C27BF" w:rsidRPr="003A7D1D" w:rsidRDefault="000C27BF" w:rsidP="000C27BF">
      <w:pPr>
        <w:rPr>
          <w:rFonts w:ascii="Calibri" w:hAnsi="Calibri"/>
        </w:rPr>
      </w:pPr>
      <w:r w:rsidRPr="003A7D1D">
        <w:rPr>
          <w:rFonts w:ascii="Calibri" w:hAnsi="Calibri"/>
        </w:rPr>
        <w:tab/>
        <w:t xml:space="preserve">Ukształtowanie osi w planie, mierzone co </w:t>
      </w:r>
      <w:smartTag w:uri="urn:schemas-microsoft-com:office:smarttags" w:element="metricconverter">
        <w:smartTagPr>
          <w:attr w:name="ProductID" w:val="100 m"/>
        </w:smartTagPr>
        <w:r w:rsidRPr="003A7D1D">
          <w:rPr>
            <w:rFonts w:ascii="Calibri" w:hAnsi="Calibri"/>
          </w:rPr>
          <w:t>100 m</w:t>
        </w:r>
      </w:smartTag>
      <w:r w:rsidRPr="003A7D1D">
        <w:rPr>
          <w:rFonts w:ascii="Calibri" w:hAnsi="Calibri"/>
        </w:rPr>
        <w:t xml:space="preserve">, nie powinno różnić się od dokumentacji projektowej o ± </w:t>
      </w:r>
      <w:smartTag w:uri="urn:schemas-microsoft-com:office:smarttags" w:element="metricconverter">
        <w:smartTagPr>
          <w:attr w:name="ProductID" w:val="5 cm"/>
        </w:smartTagPr>
        <w:r w:rsidRPr="003A7D1D">
          <w:rPr>
            <w:rFonts w:ascii="Calibri" w:hAnsi="Calibri"/>
          </w:rPr>
          <w:t>5 cm</w:t>
        </w:r>
      </w:smartTag>
      <w:r w:rsidRPr="003A7D1D">
        <w:rPr>
          <w:rFonts w:ascii="Calibri" w:hAnsi="Calibri"/>
        </w:rPr>
        <w:t>.</w:t>
      </w:r>
    </w:p>
    <w:p w:rsidR="000C27BF" w:rsidRPr="003A7D1D" w:rsidRDefault="000C27BF" w:rsidP="000C27BF">
      <w:pPr>
        <w:rPr>
          <w:rFonts w:ascii="Calibri" w:hAnsi="Calibri"/>
        </w:rPr>
      </w:pPr>
      <w:r w:rsidRPr="003A7D1D">
        <w:rPr>
          <w:rFonts w:ascii="Calibri" w:hAnsi="Calibri"/>
        </w:rPr>
        <w:tab/>
        <w:t>Złącza podłużne i poprzeczne, sprawdzone wizualnie, powinny być równe i związane, wykonane w linii prostej, równolegle lub prostopadle do osi drogi. Przylegające warstwy powinny być w jednym poziomie.</w:t>
      </w:r>
    </w:p>
    <w:p w:rsidR="000C27BF" w:rsidRPr="003A7D1D" w:rsidRDefault="000C27BF" w:rsidP="000C27BF">
      <w:pPr>
        <w:rPr>
          <w:rFonts w:ascii="Calibri" w:hAnsi="Calibri"/>
        </w:rPr>
      </w:pPr>
      <w:r w:rsidRPr="003A7D1D">
        <w:rPr>
          <w:rFonts w:ascii="Calibri" w:hAnsi="Calibri"/>
        </w:rPr>
        <w:tab/>
        <w:t>Wygląd zewnętrzny warstwy, sprawdzony wizualnie, powinien być jednorodny, bez spękań, deformacji, plam i wykruszeń.</w:t>
      </w:r>
    </w:p>
    <w:p w:rsidR="000C27BF" w:rsidRDefault="000C27BF" w:rsidP="000C27BF">
      <w:pPr>
        <w:rPr>
          <w:rFonts w:ascii="Calibri" w:hAnsi="Calibri"/>
        </w:rPr>
      </w:pPr>
    </w:p>
    <w:p w:rsidR="000C27BF" w:rsidRPr="00654C26" w:rsidRDefault="000C27BF" w:rsidP="000C27BF">
      <w:pPr>
        <w:rPr>
          <w:rFonts w:ascii="Calibri" w:hAnsi="Calibri"/>
          <w:b/>
        </w:rPr>
      </w:pPr>
      <w:r w:rsidRPr="00654C26">
        <w:rPr>
          <w:rFonts w:ascii="Calibri" w:hAnsi="Calibri"/>
          <w:b/>
        </w:rPr>
        <w:t>7. OBMIAR ROBÓT</w:t>
      </w:r>
    </w:p>
    <w:p w:rsidR="000C27BF" w:rsidRPr="003A7D1D" w:rsidRDefault="000C27BF" w:rsidP="000C27BF">
      <w:pPr>
        <w:rPr>
          <w:rFonts w:ascii="Calibri" w:hAnsi="Calibri"/>
        </w:rPr>
      </w:pPr>
      <w:r w:rsidRPr="00654C26">
        <w:rPr>
          <w:rFonts w:ascii="Calibri" w:hAnsi="Calibri"/>
          <w:b/>
        </w:rPr>
        <w:t>7.1.</w:t>
      </w:r>
      <w:r w:rsidRPr="003A7D1D">
        <w:rPr>
          <w:rFonts w:ascii="Calibri" w:hAnsi="Calibri"/>
        </w:rPr>
        <w:t xml:space="preserve"> Ogólne zasady obmiaru robót</w:t>
      </w:r>
    </w:p>
    <w:p w:rsidR="000C27BF" w:rsidRPr="003A7D1D" w:rsidRDefault="000C27BF" w:rsidP="000C27BF">
      <w:pPr>
        <w:rPr>
          <w:rFonts w:ascii="Calibri" w:hAnsi="Calibri"/>
        </w:rPr>
      </w:pPr>
      <w:r w:rsidRPr="003A7D1D">
        <w:rPr>
          <w:rFonts w:ascii="Calibri" w:hAnsi="Calibri"/>
        </w:rPr>
        <w:tab/>
        <w:t>Ogólne</w:t>
      </w:r>
      <w:r>
        <w:rPr>
          <w:rFonts w:ascii="Calibri" w:hAnsi="Calibri"/>
        </w:rPr>
        <w:t xml:space="preserve"> zasady obmiaru robót podano w </w:t>
      </w:r>
      <w:r w:rsidRPr="003A7D1D">
        <w:rPr>
          <w:rFonts w:ascii="Calibri" w:hAnsi="Calibri"/>
        </w:rPr>
        <w:t>ST  D-M-00.00.00 „Wymagania ogólne” [1] pkt 7.</w:t>
      </w:r>
    </w:p>
    <w:p w:rsidR="000C27BF" w:rsidRPr="003A7D1D" w:rsidRDefault="000C27BF" w:rsidP="000C27BF">
      <w:pPr>
        <w:rPr>
          <w:rFonts w:ascii="Calibri" w:hAnsi="Calibri"/>
        </w:rPr>
      </w:pPr>
      <w:r w:rsidRPr="00654C26">
        <w:rPr>
          <w:rFonts w:ascii="Calibri" w:hAnsi="Calibri"/>
          <w:b/>
        </w:rPr>
        <w:t>7.2.</w:t>
      </w:r>
      <w:r w:rsidRPr="003A7D1D">
        <w:rPr>
          <w:rFonts w:ascii="Calibri" w:hAnsi="Calibri"/>
        </w:rPr>
        <w:t xml:space="preserve"> Jednostka obmiarowa</w:t>
      </w:r>
    </w:p>
    <w:p w:rsidR="000C27BF" w:rsidRPr="003A7D1D" w:rsidRDefault="000C27BF" w:rsidP="000C27BF">
      <w:pPr>
        <w:rPr>
          <w:rFonts w:ascii="Calibri" w:hAnsi="Calibri"/>
        </w:rPr>
      </w:pPr>
      <w:r w:rsidRPr="003A7D1D">
        <w:rPr>
          <w:rFonts w:ascii="Calibri" w:hAnsi="Calibri"/>
        </w:rPr>
        <w:tab/>
        <w:t>Jednostką obmiarową jest m2 (metr kwadratowy) wykonanej warstwy z betonu asfaltowego (AC).</w:t>
      </w:r>
    </w:p>
    <w:p w:rsidR="000C27BF" w:rsidRDefault="000C27BF" w:rsidP="000C27BF">
      <w:pPr>
        <w:rPr>
          <w:rFonts w:ascii="Calibri" w:hAnsi="Calibri"/>
        </w:rPr>
      </w:pPr>
      <w:r w:rsidRPr="003A7D1D">
        <w:rPr>
          <w:rFonts w:ascii="Calibri" w:hAnsi="Calibri"/>
        </w:rPr>
        <w:t xml:space="preserve"> </w:t>
      </w:r>
    </w:p>
    <w:p w:rsidR="008F20A4" w:rsidRDefault="008F20A4" w:rsidP="000C27BF">
      <w:pPr>
        <w:rPr>
          <w:rFonts w:ascii="Calibri" w:hAnsi="Calibri"/>
        </w:rPr>
      </w:pPr>
    </w:p>
    <w:p w:rsidR="000C27BF" w:rsidRPr="00654C26" w:rsidRDefault="000C27BF" w:rsidP="000C27BF">
      <w:pPr>
        <w:rPr>
          <w:rFonts w:ascii="Calibri" w:hAnsi="Calibri"/>
          <w:b/>
        </w:rPr>
      </w:pPr>
      <w:r w:rsidRPr="00654C26">
        <w:rPr>
          <w:rFonts w:ascii="Calibri" w:hAnsi="Calibri"/>
          <w:b/>
        </w:rPr>
        <w:lastRenderedPageBreak/>
        <w:t>8. ODBIÓR ROBÓT</w:t>
      </w:r>
    </w:p>
    <w:p w:rsidR="000C27BF" w:rsidRPr="003A7D1D" w:rsidRDefault="000C27BF" w:rsidP="000C27BF">
      <w:pPr>
        <w:rPr>
          <w:rFonts w:ascii="Calibri" w:hAnsi="Calibri"/>
        </w:rPr>
      </w:pPr>
      <w:r w:rsidRPr="003A7D1D">
        <w:rPr>
          <w:rFonts w:ascii="Calibri" w:hAnsi="Calibri"/>
        </w:rPr>
        <w:tab/>
        <w:t>Ogólne</w:t>
      </w:r>
      <w:r>
        <w:rPr>
          <w:rFonts w:ascii="Calibri" w:hAnsi="Calibri"/>
        </w:rPr>
        <w:t xml:space="preserve"> zasady odbioru robót podano w </w:t>
      </w:r>
      <w:r w:rsidRPr="003A7D1D">
        <w:rPr>
          <w:rFonts w:ascii="Calibri" w:hAnsi="Calibri"/>
        </w:rPr>
        <w:t>ST  D-M-00.00.00 „Wymagania ogólne” [1] pkt 8.</w:t>
      </w:r>
    </w:p>
    <w:p w:rsidR="000C27BF" w:rsidRPr="003A7D1D" w:rsidRDefault="000C27BF" w:rsidP="000C27BF">
      <w:pPr>
        <w:rPr>
          <w:rFonts w:ascii="Calibri" w:hAnsi="Calibri"/>
        </w:rPr>
      </w:pPr>
      <w:r w:rsidRPr="003A7D1D">
        <w:rPr>
          <w:rFonts w:ascii="Calibri" w:hAnsi="Calibri"/>
        </w:rPr>
        <w:tab/>
        <w:t>Roboty uznaje się za wykonane zgodnie z dokumentacją projektową, ST i wymaganiami Inżyniera, jeżeli wszystkie pomiary i badania z zachowaniem tolerancji według pktu 6 dały wyniki pozytywne.</w:t>
      </w:r>
    </w:p>
    <w:p w:rsidR="000C27BF" w:rsidRDefault="000C27BF" w:rsidP="000C27BF">
      <w:pPr>
        <w:rPr>
          <w:rFonts w:ascii="Calibri" w:hAnsi="Calibri"/>
        </w:rPr>
      </w:pPr>
    </w:p>
    <w:p w:rsidR="000C27BF" w:rsidRPr="00654C26" w:rsidRDefault="000C27BF" w:rsidP="000C27BF">
      <w:pPr>
        <w:rPr>
          <w:rFonts w:ascii="Calibri" w:hAnsi="Calibri"/>
          <w:b/>
        </w:rPr>
      </w:pPr>
      <w:r w:rsidRPr="00654C26">
        <w:rPr>
          <w:rFonts w:ascii="Calibri" w:hAnsi="Calibri"/>
          <w:b/>
        </w:rPr>
        <w:t>9. PODSTAWA PŁATNOŚCI</w:t>
      </w:r>
    </w:p>
    <w:p w:rsidR="000C27BF" w:rsidRPr="003A7D1D" w:rsidRDefault="000C27BF" w:rsidP="000C27BF">
      <w:pPr>
        <w:rPr>
          <w:rFonts w:ascii="Calibri" w:hAnsi="Calibri"/>
        </w:rPr>
      </w:pPr>
      <w:r w:rsidRPr="00654C26">
        <w:rPr>
          <w:rFonts w:ascii="Calibri" w:hAnsi="Calibri"/>
          <w:b/>
        </w:rPr>
        <w:t>9.1.</w:t>
      </w:r>
      <w:r w:rsidRPr="003A7D1D">
        <w:rPr>
          <w:rFonts w:ascii="Calibri" w:hAnsi="Calibri"/>
        </w:rPr>
        <w:t xml:space="preserve"> Ogólne ustalenia dotyczące podstawy płatności</w:t>
      </w:r>
    </w:p>
    <w:p w:rsidR="000C27BF" w:rsidRPr="003A7D1D" w:rsidRDefault="000C27BF" w:rsidP="000C27BF">
      <w:pPr>
        <w:rPr>
          <w:rFonts w:ascii="Calibri" w:hAnsi="Calibri"/>
        </w:rPr>
      </w:pPr>
      <w:r w:rsidRPr="003A7D1D">
        <w:rPr>
          <w:rFonts w:ascii="Calibri" w:hAnsi="Calibri"/>
        </w:rPr>
        <w:tab/>
        <w:t>Ogólne ustalenia dotycząc</w:t>
      </w:r>
      <w:r>
        <w:rPr>
          <w:rFonts w:ascii="Calibri" w:hAnsi="Calibri"/>
        </w:rPr>
        <w:t xml:space="preserve">e podstawy płatności podano w </w:t>
      </w:r>
      <w:r w:rsidRPr="003A7D1D">
        <w:rPr>
          <w:rFonts w:ascii="Calibri" w:hAnsi="Calibri"/>
        </w:rPr>
        <w:t>ST D-M-00.00.00 „Wymagania ogólne” [1] pkt 9.</w:t>
      </w:r>
    </w:p>
    <w:p w:rsidR="000C27BF" w:rsidRPr="003A7D1D" w:rsidRDefault="000C27BF" w:rsidP="000C27BF">
      <w:pPr>
        <w:rPr>
          <w:rFonts w:ascii="Calibri" w:hAnsi="Calibri"/>
        </w:rPr>
      </w:pPr>
      <w:r w:rsidRPr="00654C26">
        <w:rPr>
          <w:rFonts w:ascii="Calibri" w:hAnsi="Calibri"/>
          <w:b/>
        </w:rPr>
        <w:t>9.2.</w:t>
      </w:r>
      <w:r w:rsidRPr="003A7D1D">
        <w:rPr>
          <w:rFonts w:ascii="Calibri" w:hAnsi="Calibri"/>
        </w:rPr>
        <w:t xml:space="preserve"> Cena jednostki obmiarowej</w:t>
      </w:r>
    </w:p>
    <w:p w:rsidR="000C27BF" w:rsidRPr="003A7D1D" w:rsidRDefault="000C27BF" w:rsidP="000C27BF">
      <w:pPr>
        <w:rPr>
          <w:rFonts w:ascii="Calibri" w:hAnsi="Calibri"/>
        </w:rPr>
      </w:pPr>
      <w:r w:rsidRPr="003A7D1D">
        <w:rPr>
          <w:rFonts w:ascii="Calibri" w:hAnsi="Calibri"/>
        </w:rPr>
        <w:tab/>
        <w:t xml:space="preserve">Cena wykonania </w:t>
      </w:r>
      <w:smartTag w:uri="urn:schemas-microsoft-com:office:smarttags" w:element="metricconverter">
        <w:smartTagPr>
          <w:attr w:name="ProductID" w:val="1 m2"/>
        </w:smartTagPr>
        <w:r w:rsidRPr="003A7D1D">
          <w:rPr>
            <w:rFonts w:ascii="Calibri" w:hAnsi="Calibri"/>
          </w:rPr>
          <w:t>1 m2</w:t>
        </w:r>
      </w:smartTag>
      <w:r w:rsidRPr="003A7D1D">
        <w:rPr>
          <w:rFonts w:ascii="Calibri" w:hAnsi="Calibri"/>
        </w:rPr>
        <w:t xml:space="preserve"> warstwy  z betonu asfaltowego (AC) obejmuje:</w:t>
      </w:r>
    </w:p>
    <w:p w:rsidR="000C27BF" w:rsidRPr="003A7D1D" w:rsidRDefault="000C27BF" w:rsidP="000C27BF">
      <w:pPr>
        <w:rPr>
          <w:rFonts w:ascii="Calibri" w:hAnsi="Calibri"/>
        </w:rPr>
      </w:pPr>
      <w:r>
        <w:rPr>
          <w:rFonts w:ascii="Calibri" w:hAnsi="Calibri"/>
        </w:rPr>
        <w:t>-</w:t>
      </w:r>
      <w:r w:rsidRPr="003A7D1D">
        <w:rPr>
          <w:rFonts w:ascii="Calibri" w:hAnsi="Calibri"/>
        </w:rPr>
        <w:t>prace pomiarowe i roboty przygotowawcze,</w:t>
      </w:r>
    </w:p>
    <w:p w:rsidR="000C27BF" w:rsidRPr="003A7D1D" w:rsidRDefault="000C27BF" w:rsidP="000C27BF">
      <w:pPr>
        <w:rPr>
          <w:rFonts w:ascii="Calibri" w:hAnsi="Calibri"/>
        </w:rPr>
      </w:pPr>
      <w:r>
        <w:rPr>
          <w:rFonts w:ascii="Calibri" w:hAnsi="Calibri"/>
        </w:rPr>
        <w:t>-</w:t>
      </w:r>
      <w:r w:rsidRPr="003A7D1D">
        <w:rPr>
          <w:rFonts w:ascii="Calibri" w:hAnsi="Calibri"/>
        </w:rPr>
        <w:t>oznakowanie robót,</w:t>
      </w:r>
    </w:p>
    <w:p w:rsidR="000C27BF" w:rsidRPr="003A7D1D" w:rsidRDefault="000C27BF" w:rsidP="000C27BF">
      <w:pPr>
        <w:rPr>
          <w:rFonts w:ascii="Calibri" w:hAnsi="Calibri"/>
        </w:rPr>
      </w:pPr>
      <w:r>
        <w:rPr>
          <w:rFonts w:ascii="Calibri" w:hAnsi="Calibri"/>
        </w:rPr>
        <w:t>-</w:t>
      </w:r>
      <w:r w:rsidRPr="003A7D1D">
        <w:rPr>
          <w:rFonts w:ascii="Calibri" w:hAnsi="Calibri"/>
        </w:rPr>
        <w:t>oczyszczenie i skropienie podłoża,</w:t>
      </w:r>
    </w:p>
    <w:p w:rsidR="000C27BF" w:rsidRPr="003A7D1D" w:rsidRDefault="000C27BF" w:rsidP="000C27BF">
      <w:pPr>
        <w:rPr>
          <w:rFonts w:ascii="Calibri" w:hAnsi="Calibri"/>
        </w:rPr>
      </w:pPr>
      <w:r>
        <w:rPr>
          <w:rFonts w:ascii="Calibri" w:hAnsi="Calibri"/>
        </w:rPr>
        <w:t>-</w:t>
      </w:r>
      <w:r w:rsidRPr="003A7D1D">
        <w:rPr>
          <w:rFonts w:ascii="Calibri" w:hAnsi="Calibri"/>
        </w:rPr>
        <w:t>dostarczenie materiałów i sprzętu,</w:t>
      </w:r>
    </w:p>
    <w:p w:rsidR="000C27BF" w:rsidRPr="003A7D1D" w:rsidRDefault="000C27BF" w:rsidP="000C27BF">
      <w:pPr>
        <w:rPr>
          <w:rFonts w:ascii="Calibri" w:hAnsi="Calibri"/>
        </w:rPr>
      </w:pPr>
      <w:r>
        <w:rPr>
          <w:rFonts w:ascii="Calibri" w:hAnsi="Calibri"/>
        </w:rPr>
        <w:t>-</w:t>
      </w:r>
      <w:r w:rsidRPr="003A7D1D">
        <w:rPr>
          <w:rFonts w:ascii="Calibri" w:hAnsi="Calibri"/>
        </w:rPr>
        <w:t>opracowanie recepty laboratoryjnej,</w:t>
      </w:r>
    </w:p>
    <w:p w:rsidR="000C27BF" w:rsidRPr="003A7D1D" w:rsidRDefault="000C27BF" w:rsidP="000C27BF">
      <w:pPr>
        <w:rPr>
          <w:rFonts w:ascii="Calibri" w:hAnsi="Calibri"/>
        </w:rPr>
      </w:pPr>
      <w:r>
        <w:rPr>
          <w:rFonts w:ascii="Calibri" w:hAnsi="Calibri"/>
        </w:rPr>
        <w:t>-</w:t>
      </w:r>
      <w:r w:rsidRPr="003A7D1D">
        <w:rPr>
          <w:rFonts w:ascii="Calibri" w:hAnsi="Calibri"/>
        </w:rPr>
        <w:t>wykonanie próby technologicznej i odcinka próbnego,</w:t>
      </w:r>
    </w:p>
    <w:p w:rsidR="000C27BF" w:rsidRPr="003A7D1D" w:rsidRDefault="000C27BF" w:rsidP="000C27BF">
      <w:pPr>
        <w:rPr>
          <w:rFonts w:ascii="Calibri" w:hAnsi="Calibri"/>
        </w:rPr>
      </w:pPr>
      <w:r>
        <w:rPr>
          <w:rFonts w:ascii="Calibri" w:hAnsi="Calibri"/>
        </w:rPr>
        <w:t>-</w:t>
      </w:r>
      <w:r w:rsidRPr="003A7D1D">
        <w:rPr>
          <w:rFonts w:ascii="Calibri" w:hAnsi="Calibri"/>
        </w:rPr>
        <w:t>wyprodukowanie mieszanki betonu asfaltowego i jej transport na miejsce wbudowania,</w:t>
      </w:r>
    </w:p>
    <w:p w:rsidR="000C27BF" w:rsidRPr="003A7D1D" w:rsidRDefault="000C27BF" w:rsidP="000C27BF">
      <w:pPr>
        <w:rPr>
          <w:rFonts w:ascii="Calibri" w:hAnsi="Calibri"/>
        </w:rPr>
      </w:pPr>
      <w:r>
        <w:rPr>
          <w:rFonts w:ascii="Calibri" w:hAnsi="Calibri"/>
        </w:rPr>
        <w:t>-</w:t>
      </w:r>
      <w:r w:rsidRPr="003A7D1D">
        <w:rPr>
          <w:rFonts w:ascii="Calibri" w:hAnsi="Calibri"/>
        </w:rPr>
        <w:t>posmarowanie lepiszczem lub pokrycie taśmą asfaltową krawędzi urządzeń obcych i krawężników,</w:t>
      </w:r>
    </w:p>
    <w:p w:rsidR="000C27BF" w:rsidRPr="003A7D1D" w:rsidRDefault="000C27BF" w:rsidP="000C27BF">
      <w:pPr>
        <w:rPr>
          <w:rFonts w:ascii="Calibri" w:hAnsi="Calibri"/>
        </w:rPr>
      </w:pPr>
      <w:r>
        <w:rPr>
          <w:rFonts w:ascii="Calibri" w:hAnsi="Calibri"/>
        </w:rPr>
        <w:t>-</w:t>
      </w:r>
      <w:r w:rsidRPr="003A7D1D">
        <w:rPr>
          <w:rFonts w:ascii="Calibri" w:hAnsi="Calibri"/>
        </w:rPr>
        <w:t>rozłożenie i zagęszczenie mieszanki betonu asfaltowego,</w:t>
      </w:r>
    </w:p>
    <w:p w:rsidR="000C27BF" w:rsidRPr="003A7D1D" w:rsidRDefault="000C27BF" w:rsidP="000C27BF">
      <w:pPr>
        <w:rPr>
          <w:rFonts w:ascii="Calibri" w:hAnsi="Calibri"/>
        </w:rPr>
      </w:pPr>
      <w:r>
        <w:rPr>
          <w:rFonts w:ascii="Calibri" w:hAnsi="Calibri"/>
        </w:rPr>
        <w:t>-</w:t>
      </w:r>
      <w:r w:rsidRPr="003A7D1D">
        <w:rPr>
          <w:rFonts w:ascii="Calibri" w:hAnsi="Calibri"/>
        </w:rPr>
        <w:t>obcięcie krawędzi i posmarowanie lepiszczem,</w:t>
      </w:r>
    </w:p>
    <w:p w:rsidR="000C27BF" w:rsidRPr="003A7D1D" w:rsidRDefault="000C27BF" w:rsidP="000C27BF">
      <w:pPr>
        <w:rPr>
          <w:rFonts w:ascii="Calibri" w:hAnsi="Calibri"/>
        </w:rPr>
      </w:pPr>
      <w:r>
        <w:rPr>
          <w:rFonts w:ascii="Calibri" w:hAnsi="Calibri"/>
        </w:rPr>
        <w:t>-</w:t>
      </w:r>
      <w:r w:rsidRPr="003A7D1D">
        <w:rPr>
          <w:rFonts w:ascii="Calibri" w:hAnsi="Calibri"/>
        </w:rPr>
        <w:t>przeprowadzenie pomiarów i badań  wymaganych w specyfikacji technicznej,</w:t>
      </w:r>
    </w:p>
    <w:p w:rsidR="000C27BF" w:rsidRPr="003A7D1D" w:rsidRDefault="000C27BF" w:rsidP="000C27BF">
      <w:pPr>
        <w:rPr>
          <w:rFonts w:ascii="Calibri" w:hAnsi="Calibri"/>
        </w:rPr>
      </w:pPr>
      <w:r>
        <w:rPr>
          <w:rFonts w:ascii="Calibri" w:hAnsi="Calibri"/>
        </w:rPr>
        <w:t>-</w:t>
      </w:r>
      <w:r w:rsidRPr="003A7D1D">
        <w:rPr>
          <w:rFonts w:ascii="Calibri" w:hAnsi="Calibri"/>
        </w:rPr>
        <w:t>odwiezienie sprzętu.</w:t>
      </w:r>
    </w:p>
    <w:p w:rsidR="000C27BF" w:rsidRPr="003A7D1D" w:rsidRDefault="000C27BF" w:rsidP="000C27BF">
      <w:pPr>
        <w:rPr>
          <w:rFonts w:ascii="Calibri" w:hAnsi="Calibri"/>
        </w:rPr>
      </w:pPr>
      <w:r w:rsidRPr="00654C26">
        <w:rPr>
          <w:rFonts w:ascii="Calibri" w:hAnsi="Calibri"/>
          <w:b/>
        </w:rPr>
        <w:t>9.3.</w:t>
      </w:r>
      <w:r w:rsidRPr="003A7D1D">
        <w:rPr>
          <w:rFonts w:ascii="Calibri" w:hAnsi="Calibri"/>
        </w:rPr>
        <w:t xml:space="preserve"> Sposób rozliczenia robót tymczasowych i prac towarzyszących</w:t>
      </w:r>
    </w:p>
    <w:p w:rsidR="000C27BF" w:rsidRPr="003A7D1D" w:rsidRDefault="000C27BF" w:rsidP="000C27BF">
      <w:pPr>
        <w:rPr>
          <w:rFonts w:ascii="Calibri" w:hAnsi="Calibri"/>
        </w:rPr>
      </w:pPr>
      <w:r w:rsidRPr="003A7D1D">
        <w:rPr>
          <w:rFonts w:ascii="Calibri" w:hAnsi="Calibri"/>
        </w:rPr>
        <w:tab/>
        <w:t>Cena wykonan</w:t>
      </w:r>
      <w:r>
        <w:rPr>
          <w:rFonts w:ascii="Calibri" w:hAnsi="Calibri"/>
        </w:rPr>
        <w:t xml:space="preserve">ia robót określonych niniejszą </w:t>
      </w:r>
      <w:r w:rsidRPr="003A7D1D">
        <w:rPr>
          <w:rFonts w:ascii="Calibri" w:hAnsi="Calibri"/>
        </w:rPr>
        <w:t>ST obejmuje:</w:t>
      </w:r>
    </w:p>
    <w:p w:rsidR="000C27BF" w:rsidRPr="003A7D1D" w:rsidRDefault="000C27BF" w:rsidP="000C27BF">
      <w:pPr>
        <w:rPr>
          <w:rFonts w:ascii="Calibri" w:hAnsi="Calibri"/>
        </w:rPr>
      </w:pPr>
      <w:r>
        <w:rPr>
          <w:rFonts w:ascii="Calibri" w:hAnsi="Calibri"/>
        </w:rPr>
        <w:t>-</w:t>
      </w:r>
      <w:r w:rsidRPr="003A7D1D">
        <w:rPr>
          <w:rFonts w:ascii="Calibri" w:hAnsi="Calibri"/>
        </w:rPr>
        <w:t>roboty tymczasowe, które są potrzebne do wykonania robót podstawowych, ale nie są przekazywane Zamawiającemu i są usuwane po wykonaniu robót podstawowych,</w:t>
      </w:r>
    </w:p>
    <w:p w:rsidR="000C27BF" w:rsidRPr="003A7D1D" w:rsidRDefault="000C27BF" w:rsidP="000C27BF">
      <w:pPr>
        <w:rPr>
          <w:rFonts w:ascii="Calibri" w:hAnsi="Calibri"/>
        </w:rPr>
      </w:pPr>
      <w:r>
        <w:rPr>
          <w:rFonts w:ascii="Calibri" w:hAnsi="Calibri"/>
        </w:rPr>
        <w:t>-</w:t>
      </w:r>
      <w:r w:rsidRPr="003A7D1D">
        <w:rPr>
          <w:rFonts w:ascii="Calibri" w:hAnsi="Calibri"/>
        </w:rPr>
        <w:t>prace towarzyszące, które są niezbędne do wykonania robót podstawowych, niezaliczane do robót tymczasowych, jak geodezyjne wytyczenie robót itd.</w:t>
      </w:r>
    </w:p>
    <w:p w:rsidR="000C27BF" w:rsidRDefault="000C27BF" w:rsidP="000C27BF">
      <w:pPr>
        <w:rPr>
          <w:rFonts w:ascii="Calibri" w:hAnsi="Calibri"/>
        </w:rPr>
      </w:pPr>
    </w:p>
    <w:p w:rsidR="000C27BF" w:rsidRPr="00654C26" w:rsidRDefault="000C27BF" w:rsidP="000C27BF">
      <w:pPr>
        <w:rPr>
          <w:rFonts w:ascii="Calibri" w:hAnsi="Calibri"/>
          <w:b/>
        </w:rPr>
      </w:pPr>
      <w:r w:rsidRPr="00654C26">
        <w:rPr>
          <w:rFonts w:ascii="Calibri" w:hAnsi="Calibri"/>
          <w:b/>
        </w:rPr>
        <w:t>10. PRZEPISY ZWIĄZANE</w:t>
      </w:r>
    </w:p>
    <w:p w:rsidR="000C27BF" w:rsidRPr="003A7D1D" w:rsidRDefault="000C27BF" w:rsidP="000C27BF">
      <w:pPr>
        <w:rPr>
          <w:rFonts w:ascii="Calibri" w:hAnsi="Calibri"/>
        </w:rPr>
      </w:pPr>
      <w:r w:rsidRPr="00654C26">
        <w:rPr>
          <w:rFonts w:ascii="Calibri" w:hAnsi="Calibri"/>
          <w:b/>
        </w:rPr>
        <w:t xml:space="preserve">10.1. </w:t>
      </w:r>
      <w:r>
        <w:rPr>
          <w:rFonts w:ascii="Calibri" w:hAnsi="Calibri"/>
        </w:rPr>
        <w:t>S</w:t>
      </w:r>
      <w:r w:rsidRPr="003A7D1D">
        <w:rPr>
          <w:rFonts w:ascii="Calibri" w:hAnsi="Calibri"/>
        </w:rPr>
        <w:t>pecyfikacje tec</w:t>
      </w:r>
      <w:r>
        <w:rPr>
          <w:rFonts w:ascii="Calibri" w:hAnsi="Calibri"/>
        </w:rPr>
        <w:t>hniczne (</w:t>
      </w:r>
      <w:r w:rsidRPr="003A7D1D">
        <w:rPr>
          <w:rFonts w:ascii="Calibri" w:hAnsi="Calibri"/>
        </w:rPr>
        <w:t>ST)</w:t>
      </w:r>
    </w:p>
    <w:tbl>
      <w:tblPr>
        <w:tblW w:w="0" w:type="auto"/>
        <w:tblLayout w:type="fixed"/>
        <w:tblCellMar>
          <w:left w:w="70" w:type="dxa"/>
          <w:right w:w="70" w:type="dxa"/>
        </w:tblCellMar>
        <w:tblLook w:val="0000"/>
      </w:tblPr>
      <w:tblGrid>
        <w:gridCol w:w="496"/>
        <w:gridCol w:w="1842"/>
        <w:gridCol w:w="5172"/>
      </w:tblGrid>
      <w:tr w:rsidR="000C27BF" w:rsidRPr="003A7D1D" w:rsidTr="00556540">
        <w:tc>
          <w:tcPr>
            <w:tcW w:w="496" w:type="dxa"/>
          </w:tcPr>
          <w:p w:rsidR="000C27BF" w:rsidRPr="003A7D1D" w:rsidRDefault="000C27BF" w:rsidP="00556540">
            <w:pPr>
              <w:rPr>
                <w:rFonts w:ascii="Calibri" w:hAnsi="Calibri"/>
              </w:rPr>
            </w:pPr>
            <w:r w:rsidRPr="003A7D1D">
              <w:rPr>
                <w:rFonts w:ascii="Calibri" w:hAnsi="Calibri"/>
              </w:rPr>
              <w:t>1.</w:t>
            </w:r>
          </w:p>
        </w:tc>
        <w:tc>
          <w:tcPr>
            <w:tcW w:w="1842" w:type="dxa"/>
          </w:tcPr>
          <w:p w:rsidR="000C27BF" w:rsidRPr="003A7D1D" w:rsidRDefault="000C27BF" w:rsidP="00556540">
            <w:pPr>
              <w:rPr>
                <w:rFonts w:ascii="Calibri" w:hAnsi="Calibri"/>
              </w:rPr>
            </w:pPr>
            <w:r w:rsidRPr="003A7D1D">
              <w:rPr>
                <w:rFonts w:ascii="Calibri" w:hAnsi="Calibri"/>
              </w:rPr>
              <w:t>D-M-00.00.00</w:t>
            </w:r>
          </w:p>
        </w:tc>
        <w:tc>
          <w:tcPr>
            <w:tcW w:w="5172" w:type="dxa"/>
          </w:tcPr>
          <w:p w:rsidR="000C27BF" w:rsidRPr="003A7D1D" w:rsidRDefault="000C27BF" w:rsidP="00556540">
            <w:pPr>
              <w:rPr>
                <w:rFonts w:ascii="Calibri" w:hAnsi="Calibri"/>
              </w:rPr>
            </w:pPr>
            <w:r w:rsidRPr="003A7D1D">
              <w:rPr>
                <w:rFonts w:ascii="Calibri" w:hAnsi="Calibri"/>
              </w:rPr>
              <w:t>Wymagania ogólne</w:t>
            </w:r>
          </w:p>
        </w:tc>
      </w:tr>
    </w:tbl>
    <w:p w:rsidR="000C27BF" w:rsidRPr="003A7D1D" w:rsidRDefault="000C27BF" w:rsidP="000C27BF">
      <w:pPr>
        <w:rPr>
          <w:rFonts w:ascii="Calibri" w:hAnsi="Calibri"/>
        </w:rPr>
      </w:pPr>
      <w:r w:rsidRPr="00654C26">
        <w:rPr>
          <w:rFonts w:ascii="Calibri" w:hAnsi="Calibri"/>
          <w:b/>
        </w:rPr>
        <w:t>10.2.</w:t>
      </w:r>
      <w:r w:rsidRPr="003A7D1D">
        <w:rPr>
          <w:rFonts w:ascii="Calibri" w:hAnsi="Calibri"/>
        </w:rPr>
        <w:t xml:space="preserve"> Normy</w:t>
      </w:r>
    </w:p>
    <w:p w:rsidR="000C27BF" w:rsidRPr="003A7D1D" w:rsidRDefault="000C27BF" w:rsidP="000C27BF">
      <w:pPr>
        <w:rPr>
          <w:rFonts w:ascii="Calibri" w:hAnsi="Calibri"/>
        </w:rPr>
      </w:pPr>
      <w:r w:rsidRPr="003A7D1D">
        <w:rPr>
          <w:rFonts w:ascii="Calibri" w:hAnsi="Calibri"/>
        </w:rPr>
        <w:t>(Zestawienie zawiera dodatkowo normy PN-EN związane z badaniami materia</w:t>
      </w:r>
      <w:r>
        <w:rPr>
          <w:rFonts w:ascii="Calibri" w:hAnsi="Calibri"/>
        </w:rPr>
        <w:t xml:space="preserve">łów występujących w niniejszej </w:t>
      </w:r>
      <w:r w:rsidRPr="003A7D1D">
        <w:rPr>
          <w:rFonts w:ascii="Calibri" w:hAnsi="Calibri"/>
        </w:rPr>
        <w:t>ST)</w:t>
      </w:r>
    </w:p>
    <w:tbl>
      <w:tblPr>
        <w:tblW w:w="0" w:type="auto"/>
        <w:tblLook w:val="01E0"/>
      </w:tblPr>
      <w:tblGrid>
        <w:gridCol w:w="534"/>
        <w:gridCol w:w="1842"/>
        <w:gridCol w:w="5135"/>
      </w:tblGrid>
      <w:tr w:rsidR="000C27BF" w:rsidRPr="003A7D1D" w:rsidTr="00556540">
        <w:tc>
          <w:tcPr>
            <w:tcW w:w="534" w:type="dxa"/>
          </w:tcPr>
          <w:p w:rsidR="000C27BF" w:rsidRPr="003A7D1D" w:rsidRDefault="000C27BF" w:rsidP="00556540">
            <w:pPr>
              <w:rPr>
                <w:rFonts w:ascii="Calibri" w:hAnsi="Calibri"/>
              </w:rPr>
            </w:pPr>
            <w:r w:rsidRPr="003A7D1D">
              <w:rPr>
                <w:rFonts w:ascii="Calibri" w:hAnsi="Calibri"/>
              </w:rPr>
              <w:t>2.</w:t>
            </w:r>
          </w:p>
        </w:tc>
        <w:tc>
          <w:tcPr>
            <w:tcW w:w="1842" w:type="dxa"/>
          </w:tcPr>
          <w:p w:rsidR="000C27BF" w:rsidRPr="003A7D1D" w:rsidRDefault="000C27BF" w:rsidP="00556540">
            <w:pPr>
              <w:rPr>
                <w:rFonts w:ascii="Calibri" w:hAnsi="Calibri"/>
              </w:rPr>
            </w:pPr>
            <w:r w:rsidRPr="003A7D1D">
              <w:rPr>
                <w:rFonts w:ascii="Calibri" w:hAnsi="Calibri"/>
              </w:rPr>
              <w:t>PN-EN 196-21</w:t>
            </w:r>
          </w:p>
        </w:tc>
        <w:tc>
          <w:tcPr>
            <w:tcW w:w="5135" w:type="dxa"/>
          </w:tcPr>
          <w:p w:rsidR="000C27BF" w:rsidRPr="003A7D1D" w:rsidRDefault="000C27BF" w:rsidP="00556540">
            <w:pPr>
              <w:rPr>
                <w:rFonts w:ascii="Calibri" w:hAnsi="Calibri"/>
              </w:rPr>
            </w:pPr>
            <w:r w:rsidRPr="003A7D1D">
              <w:rPr>
                <w:rFonts w:ascii="Calibri" w:hAnsi="Calibri"/>
              </w:rPr>
              <w:t>Metody badania cementu – Oznaczanie zawartości chlorków, dwutlenku węgla i alkaliów w cemencie</w:t>
            </w:r>
          </w:p>
        </w:tc>
      </w:tr>
      <w:tr w:rsidR="000C27BF" w:rsidRPr="003A7D1D" w:rsidTr="00556540">
        <w:tc>
          <w:tcPr>
            <w:tcW w:w="534" w:type="dxa"/>
          </w:tcPr>
          <w:p w:rsidR="000C27BF" w:rsidRPr="003A7D1D" w:rsidRDefault="000C27BF" w:rsidP="00556540">
            <w:pPr>
              <w:rPr>
                <w:rFonts w:ascii="Calibri" w:hAnsi="Calibri"/>
              </w:rPr>
            </w:pPr>
            <w:r w:rsidRPr="003A7D1D">
              <w:rPr>
                <w:rFonts w:ascii="Calibri" w:hAnsi="Calibri"/>
              </w:rPr>
              <w:t>3.</w:t>
            </w:r>
          </w:p>
        </w:tc>
        <w:tc>
          <w:tcPr>
            <w:tcW w:w="1842" w:type="dxa"/>
          </w:tcPr>
          <w:p w:rsidR="000C27BF" w:rsidRPr="003A7D1D" w:rsidRDefault="000C27BF" w:rsidP="00556540">
            <w:pPr>
              <w:rPr>
                <w:rFonts w:ascii="Calibri" w:hAnsi="Calibri"/>
              </w:rPr>
            </w:pPr>
            <w:r w:rsidRPr="003A7D1D">
              <w:rPr>
                <w:rFonts w:ascii="Calibri" w:hAnsi="Calibri"/>
              </w:rPr>
              <w:t>PN-EN 459-2</w:t>
            </w:r>
          </w:p>
        </w:tc>
        <w:tc>
          <w:tcPr>
            <w:tcW w:w="5135" w:type="dxa"/>
          </w:tcPr>
          <w:p w:rsidR="000C27BF" w:rsidRPr="003A7D1D" w:rsidRDefault="000C27BF" w:rsidP="00556540">
            <w:pPr>
              <w:rPr>
                <w:rFonts w:ascii="Calibri" w:hAnsi="Calibri"/>
              </w:rPr>
            </w:pPr>
            <w:r w:rsidRPr="003A7D1D">
              <w:rPr>
                <w:rFonts w:ascii="Calibri" w:hAnsi="Calibri"/>
              </w:rPr>
              <w:t>Wapno budowlane – Część 2: Metody badań</w:t>
            </w:r>
          </w:p>
        </w:tc>
      </w:tr>
      <w:tr w:rsidR="000C27BF" w:rsidRPr="003A7D1D" w:rsidTr="00556540">
        <w:tc>
          <w:tcPr>
            <w:tcW w:w="534" w:type="dxa"/>
          </w:tcPr>
          <w:p w:rsidR="000C27BF" w:rsidRPr="003A7D1D" w:rsidRDefault="000C27BF" w:rsidP="00556540">
            <w:pPr>
              <w:rPr>
                <w:rFonts w:ascii="Calibri" w:hAnsi="Calibri"/>
              </w:rPr>
            </w:pPr>
            <w:r w:rsidRPr="003A7D1D">
              <w:rPr>
                <w:rFonts w:ascii="Calibri" w:hAnsi="Calibri"/>
              </w:rPr>
              <w:t>4.</w:t>
            </w:r>
          </w:p>
        </w:tc>
        <w:tc>
          <w:tcPr>
            <w:tcW w:w="1842" w:type="dxa"/>
          </w:tcPr>
          <w:p w:rsidR="000C27BF" w:rsidRPr="003A7D1D" w:rsidRDefault="000C27BF" w:rsidP="00556540">
            <w:pPr>
              <w:rPr>
                <w:rFonts w:ascii="Calibri" w:hAnsi="Calibri"/>
              </w:rPr>
            </w:pPr>
            <w:r w:rsidRPr="003A7D1D">
              <w:rPr>
                <w:rFonts w:ascii="Calibri" w:hAnsi="Calibri"/>
              </w:rPr>
              <w:t>PN-EN 932-3</w:t>
            </w:r>
          </w:p>
        </w:tc>
        <w:tc>
          <w:tcPr>
            <w:tcW w:w="5135" w:type="dxa"/>
          </w:tcPr>
          <w:p w:rsidR="000C27BF" w:rsidRPr="003A7D1D" w:rsidRDefault="000C27BF" w:rsidP="00556540">
            <w:pPr>
              <w:rPr>
                <w:rFonts w:ascii="Calibri" w:hAnsi="Calibri"/>
              </w:rPr>
            </w:pPr>
            <w:r w:rsidRPr="003A7D1D">
              <w:rPr>
                <w:rFonts w:ascii="Calibri" w:hAnsi="Calibri"/>
              </w:rPr>
              <w:t>Badania podstawowych właściwości kruszyw – Procedura i terminologia uproszczonego opisu petrograficznego</w:t>
            </w:r>
          </w:p>
        </w:tc>
      </w:tr>
      <w:tr w:rsidR="000C27BF" w:rsidRPr="003A7D1D" w:rsidTr="00556540">
        <w:tc>
          <w:tcPr>
            <w:tcW w:w="534" w:type="dxa"/>
          </w:tcPr>
          <w:p w:rsidR="000C27BF" w:rsidRPr="003A7D1D" w:rsidRDefault="000C27BF" w:rsidP="00556540">
            <w:pPr>
              <w:rPr>
                <w:rFonts w:ascii="Calibri" w:hAnsi="Calibri"/>
              </w:rPr>
            </w:pPr>
            <w:r w:rsidRPr="003A7D1D">
              <w:rPr>
                <w:rFonts w:ascii="Calibri" w:hAnsi="Calibri"/>
              </w:rPr>
              <w:t>5.</w:t>
            </w:r>
          </w:p>
        </w:tc>
        <w:tc>
          <w:tcPr>
            <w:tcW w:w="1842" w:type="dxa"/>
          </w:tcPr>
          <w:p w:rsidR="000C27BF" w:rsidRPr="003A7D1D" w:rsidRDefault="000C27BF" w:rsidP="00556540">
            <w:pPr>
              <w:rPr>
                <w:rFonts w:ascii="Calibri" w:hAnsi="Calibri"/>
              </w:rPr>
            </w:pPr>
            <w:r w:rsidRPr="003A7D1D">
              <w:rPr>
                <w:rFonts w:ascii="Calibri" w:hAnsi="Calibri"/>
              </w:rPr>
              <w:t>PN-EN 933-1</w:t>
            </w:r>
          </w:p>
        </w:tc>
        <w:tc>
          <w:tcPr>
            <w:tcW w:w="5135" w:type="dxa"/>
          </w:tcPr>
          <w:p w:rsidR="000C27BF" w:rsidRPr="003A7D1D" w:rsidRDefault="000C27BF" w:rsidP="00556540">
            <w:pPr>
              <w:rPr>
                <w:rFonts w:ascii="Calibri" w:hAnsi="Calibri"/>
              </w:rPr>
            </w:pPr>
            <w:r w:rsidRPr="003A7D1D">
              <w:rPr>
                <w:rFonts w:ascii="Calibri" w:hAnsi="Calibri"/>
              </w:rPr>
              <w:t>Badania geometrycznych właściwości kruszyw – Oznaczanie składu ziarnowego – Metoda przesiewania</w:t>
            </w:r>
          </w:p>
        </w:tc>
      </w:tr>
      <w:tr w:rsidR="000C27BF" w:rsidRPr="003A7D1D" w:rsidTr="00556540">
        <w:tc>
          <w:tcPr>
            <w:tcW w:w="534" w:type="dxa"/>
          </w:tcPr>
          <w:p w:rsidR="000C27BF" w:rsidRPr="003A7D1D" w:rsidRDefault="000C27BF" w:rsidP="00556540">
            <w:pPr>
              <w:rPr>
                <w:rFonts w:ascii="Calibri" w:hAnsi="Calibri"/>
              </w:rPr>
            </w:pPr>
            <w:r w:rsidRPr="003A7D1D">
              <w:rPr>
                <w:rFonts w:ascii="Calibri" w:hAnsi="Calibri"/>
              </w:rPr>
              <w:t>6.</w:t>
            </w:r>
          </w:p>
        </w:tc>
        <w:tc>
          <w:tcPr>
            <w:tcW w:w="1842" w:type="dxa"/>
          </w:tcPr>
          <w:p w:rsidR="000C27BF" w:rsidRPr="003A7D1D" w:rsidRDefault="000C27BF" w:rsidP="00556540">
            <w:pPr>
              <w:rPr>
                <w:rFonts w:ascii="Calibri" w:hAnsi="Calibri"/>
              </w:rPr>
            </w:pPr>
            <w:r w:rsidRPr="003A7D1D">
              <w:rPr>
                <w:rFonts w:ascii="Calibri" w:hAnsi="Calibri"/>
              </w:rPr>
              <w:t>PN-EN 933-3</w:t>
            </w:r>
          </w:p>
        </w:tc>
        <w:tc>
          <w:tcPr>
            <w:tcW w:w="5135" w:type="dxa"/>
          </w:tcPr>
          <w:p w:rsidR="000C27BF" w:rsidRPr="003A7D1D" w:rsidRDefault="000C27BF" w:rsidP="00556540">
            <w:pPr>
              <w:rPr>
                <w:rFonts w:ascii="Calibri" w:hAnsi="Calibri"/>
              </w:rPr>
            </w:pPr>
            <w:r w:rsidRPr="003A7D1D">
              <w:rPr>
                <w:rFonts w:ascii="Calibri" w:hAnsi="Calibri"/>
              </w:rPr>
              <w:t>Badania geometrycznych właściwości kruszyw – Oznaczanie kształtu ziaren za pomocą wskaźnika płaskości</w:t>
            </w:r>
          </w:p>
        </w:tc>
      </w:tr>
      <w:tr w:rsidR="000C27BF" w:rsidRPr="003A7D1D" w:rsidTr="00556540">
        <w:tc>
          <w:tcPr>
            <w:tcW w:w="534" w:type="dxa"/>
          </w:tcPr>
          <w:p w:rsidR="000C27BF" w:rsidRPr="003A7D1D" w:rsidRDefault="000C27BF" w:rsidP="00556540">
            <w:pPr>
              <w:rPr>
                <w:rFonts w:ascii="Calibri" w:hAnsi="Calibri"/>
              </w:rPr>
            </w:pPr>
            <w:r w:rsidRPr="003A7D1D">
              <w:rPr>
                <w:rFonts w:ascii="Calibri" w:hAnsi="Calibri"/>
              </w:rPr>
              <w:t>7.</w:t>
            </w:r>
          </w:p>
        </w:tc>
        <w:tc>
          <w:tcPr>
            <w:tcW w:w="1842" w:type="dxa"/>
          </w:tcPr>
          <w:p w:rsidR="000C27BF" w:rsidRPr="003A7D1D" w:rsidRDefault="000C27BF" w:rsidP="00556540">
            <w:pPr>
              <w:rPr>
                <w:rFonts w:ascii="Calibri" w:hAnsi="Calibri"/>
              </w:rPr>
            </w:pPr>
            <w:r w:rsidRPr="003A7D1D">
              <w:rPr>
                <w:rFonts w:ascii="Calibri" w:hAnsi="Calibri"/>
              </w:rPr>
              <w:t>PN-EN 933-4</w:t>
            </w:r>
          </w:p>
        </w:tc>
        <w:tc>
          <w:tcPr>
            <w:tcW w:w="5135" w:type="dxa"/>
          </w:tcPr>
          <w:p w:rsidR="000C27BF" w:rsidRPr="003A7D1D" w:rsidRDefault="000C27BF" w:rsidP="00556540">
            <w:pPr>
              <w:rPr>
                <w:rFonts w:ascii="Calibri" w:hAnsi="Calibri"/>
              </w:rPr>
            </w:pPr>
            <w:r w:rsidRPr="003A7D1D">
              <w:rPr>
                <w:rFonts w:ascii="Calibri" w:hAnsi="Calibri"/>
              </w:rPr>
              <w:t>Badania geometrycznych właściwości kruszyw – Część 4: Oznaczanie kształtu ziaren – Wskaźnik kształtu</w:t>
            </w:r>
          </w:p>
        </w:tc>
      </w:tr>
      <w:tr w:rsidR="000C27BF" w:rsidRPr="003A7D1D" w:rsidTr="00556540">
        <w:tc>
          <w:tcPr>
            <w:tcW w:w="534" w:type="dxa"/>
          </w:tcPr>
          <w:p w:rsidR="000C27BF" w:rsidRPr="003A7D1D" w:rsidRDefault="000C27BF" w:rsidP="00556540">
            <w:pPr>
              <w:rPr>
                <w:rFonts w:ascii="Calibri" w:hAnsi="Calibri"/>
              </w:rPr>
            </w:pPr>
            <w:r w:rsidRPr="003A7D1D">
              <w:rPr>
                <w:rFonts w:ascii="Calibri" w:hAnsi="Calibri"/>
              </w:rPr>
              <w:t>8.</w:t>
            </w:r>
          </w:p>
        </w:tc>
        <w:tc>
          <w:tcPr>
            <w:tcW w:w="1842" w:type="dxa"/>
          </w:tcPr>
          <w:p w:rsidR="000C27BF" w:rsidRPr="003A7D1D" w:rsidRDefault="000C27BF" w:rsidP="00556540">
            <w:pPr>
              <w:rPr>
                <w:rFonts w:ascii="Calibri" w:hAnsi="Calibri"/>
              </w:rPr>
            </w:pPr>
            <w:r w:rsidRPr="003A7D1D">
              <w:rPr>
                <w:rFonts w:ascii="Calibri" w:hAnsi="Calibri"/>
              </w:rPr>
              <w:t>PN-EN 933-5</w:t>
            </w:r>
          </w:p>
        </w:tc>
        <w:tc>
          <w:tcPr>
            <w:tcW w:w="5135" w:type="dxa"/>
          </w:tcPr>
          <w:p w:rsidR="000C27BF" w:rsidRPr="003A7D1D" w:rsidRDefault="000C27BF" w:rsidP="00556540">
            <w:pPr>
              <w:rPr>
                <w:rFonts w:ascii="Calibri" w:hAnsi="Calibri"/>
              </w:rPr>
            </w:pPr>
            <w:r w:rsidRPr="003A7D1D">
              <w:rPr>
                <w:rFonts w:ascii="Calibri" w:hAnsi="Calibri"/>
              </w:rPr>
              <w:t>Badania geometrycznych właściwości kruszyw – Oznaczanie procentowej zawartości ziaren o powierzchniach powstałych w wyniku przekruszenia lub łamania kruszyw grubych</w:t>
            </w:r>
          </w:p>
        </w:tc>
      </w:tr>
      <w:tr w:rsidR="000C27BF" w:rsidRPr="003A7D1D" w:rsidTr="00556540">
        <w:tc>
          <w:tcPr>
            <w:tcW w:w="534" w:type="dxa"/>
          </w:tcPr>
          <w:p w:rsidR="000C27BF" w:rsidRPr="003A7D1D" w:rsidRDefault="000C27BF" w:rsidP="00556540">
            <w:pPr>
              <w:rPr>
                <w:rFonts w:ascii="Calibri" w:hAnsi="Calibri"/>
              </w:rPr>
            </w:pPr>
            <w:r w:rsidRPr="003A7D1D">
              <w:rPr>
                <w:rFonts w:ascii="Calibri" w:hAnsi="Calibri"/>
              </w:rPr>
              <w:t>9.</w:t>
            </w:r>
          </w:p>
        </w:tc>
        <w:tc>
          <w:tcPr>
            <w:tcW w:w="1842" w:type="dxa"/>
          </w:tcPr>
          <w:p w:rsidR="000C27BF" w:rsidRPr="003A7D1D" w:rsidRDefault="000C27BF" w:rsidP="00556540">
            <w:pPr>
              <w:rPr>
                <w:rFonts w:ascii="Calibri" w:hAnsi="Calibri"/>
              </w:rPr>
            </w:pPr>
            <w:r w:rsidRPr="003A7D1D">
              <w:rPr>
                <w:rFonts w:ascii="Calibri" w:hAnsi="Calibri"/>
              </w:rPr>
              <w:t>PN-EN 933-6</w:t>
            </w:r>
          </w:p>
        </w:tc>
        <w:tc>
          <w:tcPr>
            <w:tcW w:w="5135" w:type="dxa"/>
          </w:tcPr>
          <w:p w:rsidR="000C27BF" w:rsidRPr="003A7D1D" w:rsidRDefault="000C27BF" w:rsidP="00556540">
            <w:pPr>
              <w:rPr>
                <w:rFonts w:ascii="Calibri" w:hAnsi="Calibri"/>
              </w:rPr>
            </w:pPr>
            <w:r w:rsidRPr="003A7D1D">
              <w:rPr>
                <w:rFonts w:ascii="Calibri" w:hAnsi="Calibri"/>
              </w:rPr>
              <w:t>Badania geometrycznych właściwości kruszyw – Część 6: Ocena właściwości powierzchni – Wskaźnik przepływu kruszywa</w:t>
            </w:r>
          </w:p>
        </w:tc>
      </w:tr>
      <w:tr w:rsidR="000C27BF" w:rsidRPr="003A7D1D" w:rsidTr="00556540">
        <w:tc>
          <w:tcPr>
            <w:tcW w:w="534" w:type="dxa"/>
          </w:tcPr>
          <w:p w:rsidR="000C27BF" w:rsidRPr="003A7D1D" w:rsidRDefault="000C27BF" w:rsidP="00556540">
            <w:pPr>
              <w:rPr>
                <w:rFonts w:ascii="Calibri" w:hAnsi="Calibri"/>
              </w:rPr>
            </w:pPr>
            <w:r w:rsidRPr="003A7D1D">
              <w:rPr>
                <w:rFonts w:ascii="Calibri" w:hAnsi="Calibri"/>
              </w:rPr>
              <w:t>10.</w:t>
            </w:r>
          </w:p>
        </w:tc>
        <w:tc>
          <w:tcPr>
            <w:tcW w:w="1842" w:type="dxa"/>
          </w:tcPr>
          <w:p w:rsidR="000C27BF" w:rsidRPr="003A7D1D" w:rsidRDefault="000C27BF" w:rsidP="00556540">
            <w:pPr>
              <w:rPr>
                <w:rFonts w:ascii="Calibri" w:hAnsi="Calibri"/>
              </w:rPr>
            </w:pPr>
            <w:r w:rsidRPr="003A7D1D">
              <w:rPr>
                <w:rFonts w:ascii="Calibri" w:hAnsi="Calibri"/>
              </w:rPr>
              <w:t>PN-EN 933-9</w:t>
            </w:r>
          </w:p>
        </w:tc>
        <w:tc>
          <w:tcPr>
            <w:tcW w:w="5135" w:type="dxa"/>
          </w:tcPr>
          <w:p w:rsidR="000C27BF" w:rsidRPr="003A7D1D" w:rsidRDefault="000C27BF" w:rsidP="00556540">
            <w:pPr>
              <w:rPr>
                <w:rFonts w:ascii="Calibri" w:hAnsi="Calibri"/>
              </w:rPr>
            </w:pPr>
            <w:r w:rsidRPr="003A7D1D">
              <w:rPr>
                <w:rFonts w:ascii="Calibri" w:hAnsi="Calibri"/>
              </w:rPr>
              <w:t>Badania geometrycznych właściwości kruszyw – Ocena zawartości drobnych cząstek – Badania błękitem metylenowym</w:t>
            </w:r>
          </w:p>
        </w:tc>
      </w:tr>
      <w:tr w:rsidR="000C27BF" w:rsidRPr="003A7D1D" w:rsidTr="00556540">
        <w:tc>
          <w:tcPr>
            <w:tcW w:w="534" w:type="dxa"/>
          </w:tcPr>
          <w:p w:rsidR="000C27BF" w:rsidRPr="003A7D1D" w:rsidRDefault="000C27BF" w:rsidP="00556540">
            <w:pPr>
              <w:rPr>
                <w:rFonts w:ascii="Calibri" w:hAnsi="Calibri"/>
              </w:rPr>
            </w:pPr>
            <w:r w:rsidRPr="003A7D1D">
              <w:rPr>
                <w:rFonts w:ascii="Calibri" w:hAnsi="Calibri"/>
              </w:rPr>
              <w:t>11.</w:t>
            </w:r>
          </w:p>
        </w:tc>
        <w:tc>
          <w:tcPr>
            <w:tcW w:w="1842" w:type="dxa"/>
          </w:tcPr>
          <w:p w:rsidR="000C27BF" w:rsidRPr="003A7D1D" w:rsidRDefault="000C27BF" w:rsidP="00556540">
            <w:pPr>
              <w:rPr>
                <w:rFonts w:ascii="Calibri" w:hAnsi="Calibri"/>
              </w:rPr>
            </w:pPr>
            <w:r w:rsidRPr="003A7D1D">
              <w:rPr>
                <w:rFonts w:ascii="Calibri" w:hAnsi="Calibri"/>
              </w:rPr>
              <w:t>PN-EN 933-10</w:t>
            </w:r>
          </w:p>
        </w:tc>
        <w:tc>
          <w:tcPr>
            <w:tcW w:w="5135" w:type="dxa"/>
          </w:tcPr>
          <w:p w:rsidR="000C27BF" w:rsidRPr="003A7D1D" w:rsidRDefault="000C27BF" w:rsidP="00556540">
            <w:pPr>
              <w:rPr>
                <w:rFonts w:ascii="Calibri" w:hAnsi="Calibri"/>
              </w:rPr>
            </w:pPr>
            <w:r w:rsidRPr="003A7D1D">
              <w:rPr>
                <w:rFonts w:ascii="Calibri" w:hAnsi="Calibri"/>
              </w:rPr>
              <w:t xml:space="preserve">Badania geometrycznych właściwości kruszyw – Część 10: Ocena zawartości drobnych cząstek – Uziarnienie </w:t>
            </w:r>
            <w:r w:rsidRPr="003A7D1D">
              <w:rPr>
                <w:rFonts w:ascii="Calibri" w:hAnsi="Calibri"/>
              </w:rPr>
              <w:lastRenderedPageBreak/>
              <w:t>wypełniaczy (przesiewanie w strumieniu powietrza)</w:t>
            </w:r>
          </w:p>
        </w:tc>
      </w:tr>
      <w:tr w:rsidR="000C27BF" w:rsidRPr="003A7D1D" w:rsidTr="00556540">
        <w:tc>
          <w:tcPr>
            <w:tcW w:w="534" w:type="dxa"/>
          </w:tcPr>
          <w:p w:rsidR="000C27BF" w:rsidRPr="003A7D1D" w:rsidRDefault="000C27BF" w:rsidP="00556540">
            <w:pPr>
              <w:rPr>
                <w:rFonts w:ascii="Calibri" w:hAnsi="Calibri"/>
              </w:rPr>
            </w:pPr>
            <w:r w:rsidRPr="003A7D1D">
              <w:rPr>
                <w:rFonts w:ascii="Calibri" w:hAnsi="Calibri"/>
              </w:rPr>
              <w:lastRenderedPageBreak/>
              <w:t>12.</w:t>
            </w:r>
          </w:p>
        </w:tc>
        <w:tc>
          <w:tcPr>
            <w:tcW w:w="1842" w:type="dxa"/>
          </w:tcPr>
          <w:p w:rsidR="000C27BF" w:rsidRPr="003A7D1D" w:rsidRDefault="000C27BF" w:rsidP="00556540">
            <w:pPr>
              <w:rPr>
                <w:rFonts w:ascii="Calibri" w:hAnsi="Calibri"/>
              </w:rPr>
            </w:pPr>
            <w:r w:rsidRPr="003A7D1D">
              <w:rPr>
                <w:rFonts w:ascii="Calibri" w:hAnsi="Calibri"/>
              </w:rPr>
              <w:t>PN-EN 1097-2</w:t>
            </w:r>
          </w:p>
        </w:tc>
        <w:tc>
          <w:tcPr>
            <w:tcW w:w="5135" w:type="dxa"/>
          </w:tcPr>
          <w:p w:rsidR="000C27BF" w:rsidRPr="003A7D1D" w:rsidRDefault="000C27BF" w:rsidP="00556540">
            <w:pPr>
              <w:rPr>
                <w:rFonts w:ascii="Calibri" w:hAnsi="Calibri"/>
              </w:rPr>
            </w:pPr>
            <w:r w:rsidRPr="003A7D1D">
              <w:rPr>
                <w:rFonts w:ascii="Calibri" w:hAnsi="Calibri"/>
              </w:rPr>
              <w:t>Badania mechanicznych i fizycznych właściwości kruszyw – Metody oznaczania odporności na rozdrabnianie</w:t>
            </w:r>
          </w:p>
        </w:tc>
      </w:tr>
      <w:tr w:rsidR="000C27BF" w:rsidRPr="003A7D1D" w:rsidTr="00556540">
        <w:tc>
          <w:tcPr>
            <w:tcW w:w="534" w:type="dxa"/>
          </w:tcPr>
          <w:p w:rsidR="000C27BF" w:rsidRPr="003A7D1D" w:rsidRDefault="000C27BF" w:rsidP="00556540">
            <w:pPr>
              <w:rPr>
                <w:rFonts w:ascii="Calibri" w:hAnsi="Calibri"/>
              </w:rPr>
            </w:pPr>
            <w:r w:rsidRPr="003A7D1D">
              <w:rPr>
                <w:rFonts w:ascii="Calibri" w:hAnsi="Calibri"/>
              </w:rPr>
              <w:t>13.</w:t>
            </w:r>
          </w:p>
        </w:tc>
        <w:tc>
          <w:tcPr>
            <w:tcW w:w="1842" w:type="dxa"/>
          </w:tcPr>
          <w:p w:rsidR="000C27BF" w:rsidRPr="003A7D1D" w:rsidRDefault="000C27BF" w:rsidP="00556540">
            <w:pPr>
              <w:rPr>
                <w:rFonts w:ascii="Calibri" w:hAnsi="Calibri"/>
              </w:rPr>
            </w:pPr>
            <w:r w:rsidRPr="003A7D1D">
              <w:rPr>
                <w:rFonts w:ascii="Calibri" w:hAnsi="Calibri"/>
              </w:rPr>
              <w:t>PN-EN 1097-3</w:t>
            </w:r>
          </w:p>
        </w:tc>
        <w:tc>
          <w:tcPr>
            <w:tcW w:w="5135" w:type="dxa"/>
          </w:tcPr>
          <w:p w:rsidR="000C27BF" w:rsidRPr="003A7D1D" w:rsidRDefault="000C27BF" w:rsidP="00556540">
            <w:pPr>
              <w:rPr>
                <w:rFonts w:ascii="Calibri" w:hAnsi="Calibri"/>
              </w:rPr>
            </w:pPr>
            <w:r w:rsidRPr="003A7D1D">
              <w:rPr>
                <w:rFonts w:ascii="Calibri" w:hAnsi="Calibri"/>
              </w:rPr>
              <w:t>Badania mechanicznych i fizycznych właściwości kruszyw – Oznaczanie gęstości nasypowej i jamistości</w:t>
            </w:r>
          </w:p>
        </w:tc>
      </w:tr>
      <w:tr w:rsidR="000C27BF" w:rsidRPr="003A7D1D" w:rsidTr="00556540">
        <w:tc>
          <w:tcPr>
            <w:tcW w:w="534" w:type="dxa"/>
          </w:tcPr>
          <w:p w:rsidR="000C27BF" w:rsidRPr="003A7D1D" w:rsidRDefault="000C27BF" w:rsidP="00556540">
            <w:pPr>
              <w:rPr>
                <w:rFonts w:ascii="Calibri" w:hAnsi="Calibri"/>
              </w:rPr>
            </w:pPr>
            <w:r w:rsidRPr="003A7D1D">
              <w:rPr>
                <w:rFonts w:ascii="Calibri" w:hAnsi="Calibri"/>
              </w:rPr>
              <w:t>14.</w:t>
            </w:r>
          </w:p>
        </w:tc>
        <w:tc>
          <w:tcPr>
            <w:tcW w:w="1842" w:type="dxa"/>
          </w:tcPr>
          <w:p w:rsidR="000C27BF" w:rsidRPr="003A7D1D" w:rsidRDefault="000C27BF" w:rsidP="00556540">
            <w:pPr>
              <w:rPr>
                <w:rFonts w:ascii="Calibri" w:hAnsi="Calibri"/>
              </w:rPr>
            </w:pPr>
            <w:r w:rsidRPr="003A7D1D">
              <w:rPr>
                <w:rFonts w:ascii="Calibri" w:hAnsi="Calibri"/>
              </w:rPr>
              <w:t>PN-EN 1097-4</w:t>
            </w:r>
          </w:p>
        </w:tc>
        <w:tc>
          <w:tcPr>
            <w:tcW w:w="5135" w:type="dxa"/>
          </w:tcPr>
          <w:p w:rsidR="000C27BF" w:rsidRPr="003A7D1D" w:rsidRDefault="000C27BF" w:rsidP="00556540">
            <w:pPr>
              <w:rPr>
                <w:rFonts w:ascii="Calibri" w:hAnsi="Calibri"/>
              </w:rPr>
            </w:pPr>
            <w:r w:rsidRPr="003A7D1D">
              <w:rPr>
                <w:rFonts w:ascii="Calibri" w:hAnsi="Calibri"/>
              </w:rPr>
              <w:t>Badania mechanicznych i fizycznych właściwości kruszyw – Część 4: Oznaczanie pustych przestrzeni suchego, zagęszczonego wypełniacza</w:t>
            </w:r>
          </w:p>
        </w:tc>
      </w:tr>
      <w:tr w:rsidR="000C27BF" w:rsidRPr="003A7D1D" w:rsidTr="00556540">
        <w:tc>
          <w:tcPr>
            <w:tcW w:w="534" w:type="dxa"/>
          </w:tcPr>
          <w:p w:rsidR="000C27BF" w:rsidRPr="003A7D1D" w:rsidRDefault="000C27BF" w:rsidP="00556540">
            <w:pPr>
              <w:rPr>
                <w:rFonts w:ascii="Calibri" w:hAnsi="Calibri"/>
              </w:rPr>
            </w:pPr>
            <w:r w:rsidRPr="003A7D1D">
              <w:rPr>
                <w:rFonts w:ascii="Calibri" w:hAnsi="Calibri"/>
              </w:rPr>
              <w:t>15.</w:t>
            </w:r>
          </w:p>
        </w:tc>
        <w:tc>
          <w:tcPr>
            <w:tcW w:w="1842" w:type="dxa"/>
          </w:tcPr>
          <w:p w:rsidR="000C27BF" w:rsidRPr="003A7D1D" w:rsidRDefault="000C27BF" w:rsidP="00556540">
            <w:pPr>
              <w:rPr>
                <w:rFonts w:ascii="Calibri" w:hAnsi="Calibri"/>
              </w:rPr>
            </w:pPr>
            <w:r w:rsidRPr="003A7D1D">
              <w:rPr>
                <w:rFonts w:ascii="Calibri" w:hAnsi="Calibri"/>
              </w:rPr>
              <w:t>PN-EN 1097-5</w:t>
            </w:r>
          </w:p>
        </w:tc>
        <w:tc>
          <w:tcPr>
            <w:tcW w:w="5135" w:type="dxa"/>
          </w:tcPr>
          <w:p w:rsidR="000C27BF" w:rsidRPr="003A7D1D" w:rsidRDefault="000C27BF" w:rsidP="00556540">
            <w:pPr>
              <w:rPr>
                <w:rFonts w:ascii="Calibri" w:hAnsi="Calibri"/>
              </w:rPr>
            </w:pPr>
            <w:r w:rsidRPr="003A7D1D">
              <w:rPr>
                <w:rFonts w:ascii="Calibri" w:hAnsi="Calibri"/>
              </w:rPr>
              <w:t>Badania mechanicznych i fizycznych właściwości kruszyw – Część 5: Oznaczanie zawartości wody przez suszenie w suszarce z wentylacją</w:t>
            </w:r>
          </w:p>
        </w:tc>
      </w:tr>
      <w:tr w:rsidR="000C27BF" w:rsidRPr="003A7D1D" w:rsidTr="00556540">
        <w:tc>
          <w:tcPr>
            <w:tcW w:w="534" w:type="dxa"/>
          </w:tcPr>
          <w:p w:rsidR="000C27BF" w:rsidRPr="003A7D1D" w:rsidRDefault="000C27BF" w:rsidP="00556540">
            <w:pPr>
              <w:rPr>
                <w:rFonts w:ascii="Calibri" w:hAnsi="Calibri"/>
              </w:rPr>
            </w:pPr>
            <w:r w:rsidRPr="003A7D1D">
              <w:rPr>
                <w:rFonts w:ascii="Calibri" w:hAnsi="Calibri"/>
              </w:rPr>
              <w:t>16.</w:t>
            </w:r>
          </w:p>
        </w:tc>
        <w:tc>
          <w:tcPr>
            <w:tcW w:w="1842" w:type="dxa"/>
          </w:tcPr>
          <w:p w:rsidR="000C27BF" w:rsidRPr="003A7D1D" w:rsidRDefault="000C27BF" w:rsidP="00556540">
            <w:pPr>
              <w:rPr>
                <w:rFonts w:ascii="Calibri" w:hAnsi="Calibri"/>
              </w:rPr>
            </w:pPr>
            <w:r w:rsidRPr="003A7D1D">
              <w:rPr>
                <w:rFonts w:ascii="Calibri" w:hAnsi="Calibri"/>
              </w:rPr>
              <w:t>PN-EN 1097-6</w:t>
            </w:r>
          </w:p>
        </w:tc>
        <w:tc>
          <w:tcPr>
            <w:tcW w:w="5135" w:type="dxa"/>
          </w:tcPr>
          <w:p w:rsidR="000C27BF" w:rsidRPr="003A7D1D" w:rsidRDefault="000C27BF" w:rsidP="00556540">
            <w:pPr>
              <w:rPr>
                <w:rFonts w:ascii="Calibri" w:hAnsi="Calibri"/>
              </w:rPr>
            </w:pPr>
            <w:r w:rsidRPr="003A7D1D">
              <w:rPr>
                <w:rFonts w:ascii="Calibri" w:hAnsi="Calibri"/>
              </w:rPr>
              <w:t>Badania mechanicznych i fizycznych właściwości kruszyw –Część 6: Oznaczanie gęstości ziaren i nasiąkliwości</w:t>
            </w:r>
          </w:p>
        </w:tc>
      </w:tr>
      <w:tr w:rsidR="000C27BF" w:rsidRPr="003A7D1D" w:rsidTr="00556540">
        <w:tc>
          <w:tcPr>
            <w:tcW w:w="534" w:type="dxa"/>
          </w:tcPr>
          <w:p w:rsidR="000C27BF" w:rsidRPr="003A7D1D" w:rsidRDefault="000C27BF" w:rsidP="00556540">
            <w:pPr>
              <w:rPr>
                <w:rFonts w:ascii="Calibri" w:hAnsi="Calibri"/>
              </w:rPr>
            </w:pPr>
            <w:r w:rsidRPr="003A7D1D">
              <w:rPr>
                <w:rFonts w:ascii="Calibri" w:hAnsi="Calibri"/>
              </w:rPr>
              <w:t>17.</w:t>
            </w:r>
          </w:p>
        </w:tc>
        <w:tc>
          <w:tcPr>
            <w:tcW w:w="1842" w:type="dxa"/>
          </w:tcPr>
          <w:p w:rsidR="000C27BF" w:rsidRPr="003A7D1D" w:rsidRDefault="000C27BF" w:rsidP="00556540">
            <w:pPr>
              <w:rPr>
                <w:rFonts w:ascii="Calibri" w:hAnsi="Calibri"/>
              </w:rPr>
            </w:pPr>
            <w:r w:rsidRPr="003A7D1D">
              <w:rPr>
                <w:rFonts w:ascii="Calibri" w:hAnsi="Calibri"/>
              </w:rPr>
              <w:t>PN-EN 1097-7</w:t>
            </w:r>
          </w:p>
        </w:tc>
        <w:tc>
          <w:tcPr>
            <w:tcW w:w="5135" w:type="dxa"/>
          </w:tcPr>
          <w:p w:rsidR="000C27BF" w:rsidRPr="003A7D1D" w:rsidRDefault="000C27BF" w:rsidP="00556540">
            <w:pPr>
              <w:rPr>
                <w:rFonts w:ascii="Calibri" w:hAnsi="Calibri"/>
              </w:rPr>
            </w:pPr>
            <w:r w:rsidRPr="003A7D1D">
              <w:rPr>
                <w:rFonts w:ascii="Calibri" w:hAnsi="Calibri"/>
              </w:rPr>
              <w:t>Badania mechanicznych i fizycznych właściwości kruszyw – Część 7: Oznaczanie gęstości wypełniacza – Metoda piknometryczna</w:t>
            </w:r>
          </w:p>
        </w:tc>
      </w:tr>
      <w:tr w:rsidR="000C27BF" w:rsidRPr="003A7D1D" w:rsidTr="00556540">
        <w:tc>
          <w:tcPr>
            <w:tcW w:w="534" w:type="dxa"/>
          </w:tcPr>
          <w:p w:rsidR="000C27BF" w:rsidRPr="003A7D1D" w:rsidRDefault="000C27BF" w:rsidP="00556540">
            <w:pPr>
              <w:rPr>
                <w:rFonts w:ascii="Calibri" w:hAnsi="Calibri"/>
              </w:rPr>
            </w:pPr>
            <w:r w:rsidRPr="003A7D1D">
              <w:rPr>
                <w:rFonts w:ascii="Calibri" w:hAnsi="Calibri"/>
              </w:rPr>
              <w:t>18.</w:t>
            </w:r>
          </w:p>
        </w:tc>
        <w:tc>
          <w:tcPr>
            <w:tcW w:w="1842" w:type="dxa"/>
          </w:tcPr>
          <w:p w:rsidR="000C27BF" w:rsidRPr="003A7D1D" w:rsidRDefault="000C27BF" w:rsidP="00556540">
            <w:pPr>
              <w:rPr>
                <w:rFonts w:ascii="Calibri" w:hAnsi="Calibri"/>
              </w:rPr>
            </w:pPr>
            <w:r w:rsidRPr="003A7D1D">
              <w:rPr>
                <w:rFonts w:ascii="Calibri" w:hAnsi="Calibri"/>
              </w:rPr>
              <w:t>PN-EN 1097-8</w:t>
            </w:r>
          </w:p>
        </w:tc>
        <w:tc>
          <w:tcPr>
            <w:tcW w:w="5135" w:type="dxa"/>
          </w:tcPr>
          <w:p w:rsidR="000C27BF" w:rsidRPr="003A7D1D" w:rsidRDefault="000C27BF" w:rsidP="00556540">
            <w:pPr>
              <w:rPr>
                <w:rFonts w:ascii="Calibri" w:hAnsi="Calibri"/>
              </w:rPr>
            </w:pPr>
            <w:r w:rsidRPr="003A7D1D">
              <w:rPr>
                <w:rFonts w:ascii="Calibri" w:hAnsi="Calibri"/>
              </w:rPr>
              <w:t>Badania mechanicznych i fizycznych właściwości kruszyw – Część 8: Oznaczanie polerowalności kamienia</w:t>
            </w:r>
          </w:p>
        </w:tc>
      </w:tr>
      <w:tr w:rsidR="000C27BF" w:rsidRPr="003A7D1D" w:rsidTr="00556540">
        <w:tc>
          <w:tcPr>
            <w:tcW w:w="534" w:type="dxa"/>
          </w:tcPr>
          <w:p w:rsidR="000C27BF" w:rsidRPr="003A7D1D" w:rsidRDefault="000C27BF" w:rsidP="00556540">
            <w:pPr>
              <w:rPr>
                <w:rFonts w:ascii="Calibri" w:hAnsi="Calibri"/>
              </w:rPr>
            </w:pPr>
            <w:r w:rsidRPr="003A7D1D">
              <w:rPr>
                <w:rFonts w:ascii="Calibri" w:hAnsi="Calibri"/>
              </w:rPr>
              <w:t>19.</w:t>
            </w:r>
          </w:p>
        </w:tc>
        <w:tc>
          <w:tcPr>
            <w:tcW w:w="1842" w:type="dxa"/>
          </w:tcPr>
          <w:p w:rsidR="000C27BF" w:rsidRPr="003A7D1D" w:rsidRDefault="000C27BF" w:rsidP="00556540">
            <w:pPr>
              <w:rPr>
                <w:rFonts w:ascii="Calibri" w:hAnsi="Calibri"/>
              </w:rPr>
            </w:pPr>
            <w:r w:rsidRPr="003A7D1D">
              <w:rPr>
                <w:rFonts w:ascii="Calibri" w:hAnsi="Calibri"/>
              </w:rPr>
              <w:t>PN-EN 1367-1</w:t>
            </w:r>
          </w:p>
        </w:tc>
        <w:tc>
          <w:tcPr>
            <w:tcW w:w="5135" w:type="dxa"/>
          </w:tcPr>
          <w:p w:rsidR="000C27BF" w:rsidRPr="003A7D1D" w:rsidRDefault="000C27BF" w:rsidP="00556540">
            <w:pPr>
              <w:rPr>
                <w:rFonts w:ascii="Calibri" w:hAnsi="Calibri"/>
              </w:rPr>
            </w:pPr>
            <w:r w:rsidRPr="003A7D1D">
              <w:rPr>
                <w:rFonts w:ascii="Calibri" w:hAnsi="Calibri"/>
              </w:rPr>
              <w:t>Badania właściwości cieplnych i odporności kruszyw na działanie czynników atmosferycznych – Część 1: Oznaczanie mrozoodporności</w:t>
            </w:r>
          </w:p>
        </w:tc>
      </w:tr>
      <w:tr w:rsidR="000C27BF" w:rsidRPr="003A7D1D" w:rsidTr="00556540">
        <w:tc>
          <w:tcPr>
            <w:tcW w:w="534" w:type="dxa"/>
          </w:tcPr>
          <w:p w:rsidR="000C27BF" w:rsidRPr="003A7D1D" w:rsidRDefault="000C27BF" w:rsidP="00556540">
            <w:pPr>
              <w:rPr>
                <w:rFonts w:ascii="Calibri" w:hAnsi="Calibri"/>
              </w:rPr>
            </w:pPr>
            <w:r w:rsidRPr="003A7D1D">
              <w:rPr>
                <w:rFonts w:ascii="Calibri" w:hAnsi="Calibri"/>
              </w:rPr>
              <w:t>20.</w:t>
            </w:r>
          </w:p>
        </w:tc>
        <w:tc>
          <w:tcPr>
            <w:tcW w:w="1842" w:type="dxa"/>
          </w:tcPr>
          <w:p w:rsidR="000C27BF" w:rsidRPr="003A7D1D" w:rsidRDefault="000C27BF" w:rsidP="00556540">
            <w:pPr>
              <w:rPr>
                <w:rFonts w:ascii="Calibri" w:hAnsi="Calibri"/>
              </w:rPr>
            </w:pPr>
            <w:r w:rsidRPr="003A7D1D">
              <w:rPr>
                <w:rFonts w:ascii="Calibri" w:hAnsi="Calibri"/>
              </w:rPr>
              <w:t>PN-EN 1367-3</w:t>
            </w:r>
          </w:p>
        </w:tc>
        <w:tc>
          <w:tcPr>
            <w:tcW w:w="5135" w:type="dxa"/>
          </w:tcPr>
          <w:p w:rsidR="000C27BF" w:rsidRPr="003A7D1D" w:rsidRDefault="000C27BF" w:rsidP="00556540">
            <w:pPr>
              <w:rPr>
                <w:rFonts w:ascii="Calibri" w:hAnsi="Calibri"/>
              </w:rPr>
            </w:pPr>
            <w:r w:rsidRPr="003A7D1D">
              <w:rPr>
                <w:rFonts w:ascii="Calibri" w:hAnsi="Calibri"/>
              </w:rPr>
              <w:t>Badania właściwości cieplnych i odporności kruszyw na działanie czynników atmosferycznych – Część 3: Badanie bazaltowej zgorzeli słonecznej metodą gotowania</w:t>
            </w:r>
          </w:p>
        </w:tc>
      </w:tr>
      <w:tr w:rsidR="000C27BF" w:rsidRPr="003A7D1D" w:rsidTr="00556540">
        <w:tc>
          <w:tcPr>
            <w:tcW w:w="534" w:type="dxa"/>
          </w:tcPr>
          <w:p w:rsidR="000C27BF" w:rsidRPr="003A7D1D" w:rsidRDefault="000C27BF" w:rsidP="00556540">
            <w:pPr>
              <w:rPr>
                <w:rFonts w:ascii="Calibri" w:hAnsi="Calibri"/>
              </w:rPr>
            </w:pPr>
            <w:r w:rsidRPr="003A7D1D">
              <w:rPr>
                <w:rFonts w:ascii="Calibri" w:hAnsi="Calibri"/>
              </w:rPr>
              <w:t>21.</w:t>
            </w:r>
          </w:p>
        </w:tc>
        <w:tc>
          <w:tcPr>
            <w:tcW w:w="1842" w:type="dxa"/>
          </w:tcPr>
          <w:p w:rsidR="000C27BF" w:rsidRPr="003A7D1D" w:rsidRDefault="000C27BF" w:rsidP="00556540">
            <w:pPr>
              <w:rPr>
                <w:rFonts w:ascii="Calibri" w:hAnsi="Calibri"/>
              </w:rPr>
            </w:pPr>
            <w:r w:rsidRPr="003A7D1D">
              <w:rPr>
                <w:rFonts w:ascii="Calibri" w:hAnsi="Calibri"/>
              </w:rPr>
              <w:t>PN-EN 1426</w:t>
            </w:r>
          </w:p>
        </w:tc>
        <w:tc>
          <w:tcPr>
            <w:tcW w:w="5135" w:type="dxa"/>
          </w:tcPr>
          <w:p w:rsidR="000C27BF" w:rsidRPr="003A7D1D" w:rsidRDefault="000C27BF" w:rsidP="00556540">
            <w:pPr>
              <w:rPr>
                <w:rFonts w:ascii="Calibri" w:hAnsi="Calibri"/>
              </w:rPr>
            </w:pPr>
            <w:r w:rsidRPr="003A7D1D">
              <w:rPr>
                <w:rFonts w:ascii="Calibri" w:hAnsi="Calibri"/>
              </w:rPr>
              <w:t>Asfalty i produkty asfaltowe – Oznaczanie penetracji igłą</w:t>
            </w:r>
          </w:p>
        </w:tc>
      </w:tr>
      <w:tr w:rsidR="000C27BF" w:rsidRPr="003A7D1D" w:rsidTr="00556540">
        <w:tc>
          <w:tcPr>
            <w:tcW w:w="534" w:type="dxa"/>
          </w:tcPr>
          <w:p w:rsidR="000C27BF" w:rsidRPr="003A7D1D" w:rsidRDefault="000C27BF" w:rsidP="00556540">
            <w:pPr>
              <w:rPr>
                <w:rFonts w:ascii="Calibri" w:hAnsi="Calibri"/>
              </w:rPr>
            </w:pPr>
            <w:r w:rsidRPr="003A7D1D">
              <w:rPr>
                <w:rFonts w:ascii="Calibri" w:hAnsi="Calibri"/>
              </w:rPr>
              <w:t xml:space="preserve">22. </w:t>
            </w:r>
          </w:p>
        </w:tc>
        <w:tc>
          <w:tcPr>
            <w:tcW w:w="1842" w:type="dxa"/>
          </w:tcPr>
          <w:p w:rsidR="000C27BF" w:rsidRPr="003A7D1D" w:rsidRDefault="000C27BF" w:rsidP="00556540">
            <w:pPr>
              <w:rPr>
                <w:rFonts w:ascii="Calibri" w:hAnsi="Calibri"/>
              </w:rPr>
            </w:pPr>
            <w:r w:rsidRPr="003A7D1D">
              <w:rPr>
                <w:rFonts w:ascii="Calibri" w:hAnsi="Calibri"/>
              </w:rPr>
              <w:t>PN-EN 1427</w:t>
            </w:r>
          </w:p>
        </w:tc>
        <w:tc>
          <w:tcPr>
            <w:tcW w:w="5135" w:type="dxa"/>
          </w:tcPr>
          <w:p w:rsidR="000C27BF" w:rsidRPr="003A7D1D" w:rsidRDefault="000C27BF" w:rsidP="00556540">
            <w:pPr>
              <w:rPr>
                <w:rFonts w:ascii="Calibri" w:hAnsi="Calibri"/>
              </w:rPr>
            </w:pPr>
            <w:r w:rsidRPr="003A7D1D">
              <w:rPr>
                <w:rFonts w:ascii="Calibri" w:hAnsi="Calibri"/>
              </w:rPr>
              <w:t>Asfalty i produkty asfaltowe – Oznaczanie temperatury mięknienia – Metoda Pierścień i Kula</w:t>
            </w:r>
          </w:p>
        </w:tc>
      </w:tr>
      <w:tr w:rsidR="000C27BF" w:rsidRPr="003A7D1D" w:rsidTr="00556540">
        <w:tc>
          <w:tcPr>
            <w:tcW w:w="534" w:type="dxa"/>
          </w:tcPr>
          <w:p w:rsidR="000C27BF" w:rsidRPr="003A7D1D" w:rsidRDefault="000C27BF" w:rsidP="00556540">
            <w:pPr>
              <w:rPr>
                <w:rFonts w:ascii="Calibri" w:hAnsi="Calibri"/>
              </w:rPr>
            </w:pPr>
            <w:r w:rsidRPr="003A7D1D">
              <w:rPr>
                <w:rFonts w:ascii="Calibri" w:hAnsi="Calibri"/>
              </w:rPr>
              <w:t xml:space="preserve">23. </w:t>
            </w:r>
          </w:p>
        </w:tc>
        <w:tc>
          <w:tcPr>
            <w:tcW w:w="1842" w:type="dxa"/>
          </w:tcPr>
          <w:p w:rsidR="000C27BF" w:rsidRPr="003A7D1D" w:rsidRDefault="000C27BF" w:rsidP="00556540">
            <w:pPr>
              <w:rPr>
                <w:rFonts w:ascii="Calibri" w:hAnsi="Calibri"/>
              </w:rPr>
            </w:pPr>
            <w:r w:rsidRPr="003A7D1D">
              <w:rPr>
                <w:rFonts w:ascii="Calibri" w:hAnsi="Calibri"/>
              </w:rPr>
              <w:t>PN-EN 1428</w:t>
            </w:r>
          </w:p>
        </w:tc>
        <w:tc>
          <w:tcPr>
            <w:tcW w:w="5135" w:type="dxa"/>
          </w:tcPr>
          <w:p w:rsidR="000C27BF" w:rsidRPr="003A7D1D" w:rsidRDefault="000C27BF" w:rsidP="00556540">
            <w:pPr>
              <w:rPr>
                <w:rFonts w:ascii="Calibri" w:hAnsi="Calibri"/>
              </w:rPr>
            </w:pPr>
            <w:r w:rsidRPr="003A7D1D">
              <w:rPr>
                <w:rFonts w:ascii="Calibri" w:hAnsi="Calibri"/>
              </w:rPr>
              <w:t>Asfalty i lepiszcza asfaltowe – Oznaczanie zawartości wody w emulsjach asfaltowych – Metoda destylacji azeotropowej</w:t>
            </w:r>
          </w:p>
        </w:tc>
      </w:tr>
      <w:tr w:rsidR="000C27BF" w:rsidRPr="003A7D1D" w:rsidTr="00556540">
        <w:tc>
          <w:tcPr>
            <w:tcW w:w="534" w:type="dxa"/>
          </w:tcPr>
          <w:p w:rsidR="000C27BF" w:rsidRPr="003A7D1D" w:rsidRDefault="000C27BF" w:rsidP="00556540">
            <w:pPr>
              <w:rPr>
                <w:rFonts w:ascii="Calibri" w:hAnsi="Calibri"/>
              </w:rPr>
            </w:pPr>
            <w:r w:rsidRPr="003A7D1D">
              <w:rPr>
                <w:rFonts w:ascii="Calibri" w:hAnsi="Calibri"/>
              </w:rPr>
              <w:t>24.</w:t>
            </w:r>
          </w:p>
        </w:tc>
        <w:tc>
          <w:tcPr>
            <w:tcW w:w="1842" w:type="dxa"/>
          </w:tcPr>
          <w:p w:rsidR="000C27BF" w:rsidRPr="003A7D1D" w:rsidRDefault="000C27BF" w:rsidP="00556540">
            <w:pPr>
              <w:rPr>
                <w:rFonts w:ascii="Calibri" w:hAnsi="Calibri"/>
              </w:rPr>
            </w:pPr>
            <w:r w:rsidRPr="003A7D1D">
              <w:rPr>
                <w:rFonts w:ascii="Calibri" w:hAnsi="Calibri"/>
              </w:rPr>
              <w:t>PN-EN 1429</w:t>
            </w:r>
          </w:p>
        </w:tc>
        <w:tc>
          <w:tcPr>
            <w:tcW w:w="5135" w:type="dxa"/>
          </w:tcPr>
          <w:p w:rsidR="000C27BF" w:rsidRPr="003A7D1D" w:rsidRDefault="000C27BF" w:rsidP="00556540">
            <w:pPr>
              <w:rPr>
                <w:rFonts w:ascii="Calibri" w:hAnsi="Calibri"/>
              </w:rPr>
            </w:pPr>
            <w:r w:rsidRPr="003A7D1D">
              <w:rPr>
                <w:rFonts w:ascii="Calibri" w:hAnsi="Calibri"/>
              </w:rPr>
              <w:t>Asfalty i lepiszcza asfaltowe – Oznaczanie pozostałości na sicie emulsji asfaltowych oraz trwałości podczas magazynowania metodą pozostałości na sicie</w:t>
            </w:r>
          </w:p>
        </w:tc>
      </w:tr>
      <w:tr w:rsidR="000C27BF" w:rsidRPr="003A7D1D" w:rsidTr="00556540">
        <w:tc>
          <w:tcPr>
            <w:tcW w:w="534" w:type="dxa"/>
          </w:tcPr>
          <w:p w:rsidR="000C27BF" w:rsidRPr="003A7D1D" w:rsidRDefault="000C27BF" w:rsidP="00556540">
            <w:pPr>
              <w:rPr>
                <w:rFonts w:ascii="Calibri" w:hAnsi="Calibri"/>
              </w:rPr>
            </w:pPr>
            <w:r w:rsidRPr="003A7D1D">
              <w:rPr>
                <w:rFonts w:ascii="Calibri" w:hAnsi="Calibri"/>
              </w:rPr>
              <w:t>25.</w:t>
            </w:r>
          </w:p>
        </w:tc>
        <w:tc>
          <w:tcPr>
            <w:tcW w:w="1842" w:type="dxa"/>
          </w:tcPr>
          <w:p w:rsidR="000C27BF" w:rsidRPr="003A7D1D" w:rsidRDefault="000C27BF" w:rsidP="00556540">
            <w:pPr>
              <w:rPr>
                <w:rFonts w:ascii="Calibri" w:hAnsi="Calibri"/>
              </w:rPr>
            </w:pPr>
            <w:r w:rsidRPr="003A7D1D">
              <w:rPr>
                <w:rFonts w:ascii="Calibri" w:hAnsi="Calibri"/>
              </w:rPr>
              <w:t>PN-EN 1744-1</w:t>
            </w:r>
          </w:p>
        </w:tc>
        <w:tc>
          <w:tcPr>
            <w:tcW w:w="5135" w:type="dxa"/>
          </w:tcPr>
          <w:p w:rsidR="000C27BF" w:rsidRPr="003A7D1D" w:rsidRDefault="000C27BF" w:rsidP="00556540">
            <w:pPr>
              <w:rPr>
                <w:rFonts w:ascii="Calibri" w:hAnsi="Calibri"/>
              </w:rPr>
            </w:pPr>
            <w:r w:rsidRPr="003A7D1D">
              <w:rPr>
                <w:rFonts w:ascii="Calibri" w:hAnsi="Calibri"/>
              </w:rPr>
              <w:t>Badania chemicznych właściwości kruszyw – Analiza chemiczna</w:t>
            </w:r>
          </w:p>
        </w:tc>
      </w:tr>
      <w:tr w:rsidR="000C27BF" w:rsidRPr="003A7D1D" w:rsidTr="00556540">
        <w:tc>
          <w:tcPr>
            <w:tcW w:w="534" w:type="dxa"/>
          </w:tcPr>
          <w:p w:rsidR="000C27BF" w:rsidRPr="003A7D1D" w:rsidRDefault="000C27BF" w:rsidP="00556540">
            <w:pPr>
              <w:rPr>
                <w:rFonts w:ascii="Calibri" w:hAnsi="Calibri"/>
              </w:rPr>
            </w:pPr>
            <w:r w:rsidRPr="003A7D1D">
              <w:rPr>
                <w:rFonts w:ascii="Calibri" w:hAnsi="Calibri"/>
              </w:rPr>
              <w:t>26.</w:t>
            </w:r>
          </w:p>
        </w:tc>
        <w:tc>
          <w:tcPr>
            <w:tcW w:w="1842" w:type="dxa"/>
          </w:tcPr>
          <w:p w:rsidR="000C27BF" w:rsidRPr="003A7D1D" w:rsidRDefault="000C27BF" w:rsidP="00556540">
            <w:pPr>
              <w:rPr>
                <w:rFonts w:ascii="Calibri" w:hAnsi="Calibri"/>
              </w:rPr>
            </w:pPr>
            <w:r w:rsidRPr="003A7D1D">
              <w:rPr>
                <w:rFonts w:ascii="Calibri" w:hAnsi="Calibri"/>
              </w:rPr>
              <w:t>PN-EN 1744-4</w:t>
            </w:r>
          </w:p>
        </w:tc>
        <w:tc>
          <w:tcPr>
            <w:tcW w:w="5135" w:type="dxa"/>
          </w:tcPr>
          <w:p w:rsidR="000C27BF" w:rsidRPr="003A7D1D" w:rsidRDefault="000C27BF" w:rsidP="00556540">
            <w:pPr>
              <w:rPr>
                <w:rFonts w:ascii="Calibri" w:hAnsi="Calibri"/>
              </w:rPr>
            </w:pPr>
            <w:r w:rsidRPr="003A7D1D">
              <w:rPr>
                <w:rFonts w:ascii="Calibri" w:hAnsi="Calibri"/>
              </w:rPr>
              <w:t>Badania chemicznych właściwości kruszyw – Część 4: Oznaczanie podatności wypełniaczy do mieszanek mineralno-asfaltowych na działanie wody</w:t>
            </w:r>
          </w:p>
        </w:tc>
      </w:tr>
      <w:tr w:rsidR="000C27BF" w:rsidRPr="003A7D1D" w:rsidTr="00556540">
        <w:tc>
          <w:tcPr>
            <w:tcW w:w="534" w:type="dxa"/>
          </w:tcPr>
          <w:p w:rsidR="000C27BF" w:rsidRPr="003A7D1D" w:rsidRDefault="000C27BF" w:rsidP="00556540">
            <w:pPr>
              <w:rPr>
                <w:rFonts w:ascii="Calibri" w:hAnsi="Calibri"/>
              </w:rPr>
            </w:pPr>
            <w:r w:rsidRPr="003A7D1D">
              <w:rPr>
                <w:rFonts w:ascii="Calibri" w:hAnsi="Calibri"/>
              </w:rPr>
              <w:t>27.</w:t>
            </w:r>
          </w:p>
        </w:tc>
        <w:tc>
          <w:tcPr>
            <w:tcW w:w="1842" w:type="dxa"/>
          </w:tcPr>
          <w:p w:rsidR="000C27BF" w:rsidRPr="003A7D1D" w:rsidRDefault="000C27BF" w:rsidP="00556540">
            <w:pPr>
              <w:rPr>
                <w:rFonts w:ascii="Calibri" w:hAnsi="Calibri"/>
              </w:rPr>
            </w:pPr>
            <w:r w:rsidRPr="003A7D1D">
              <w:rPr>
                <w:rFonts w:ascii="Calibri" w:hAnsi="Calibri"/>
              </w:rPr>
              <w:t>PN-EN 12591</w:t>
            </w:r>
          </w:p>
        </w:tc>
        <w:tc>
          <w:tcPr>
            <w:tcW w:w="5135" w:type="dxa"/>
          </w:tcPr>
          <w:p w:rsidR="000C27BF" w:rsidRPr="003A7D1D" w:rsidRDefault="000C27BF" w:rsidP="00556540">
            <w:pPr>
              <w:rPr>
                <w:rFonts w:ascii="Calibri" w:hAnsi="Calibri"/>
              </w:rPr>
            </w:pPr>
            <w:r w:rsidRPr="003A7D1D">
              <w:rPr>
                <w:rFonts w:ascii="Calibri" w:hAnsi="Calibri"/>
              </w:rPr>
              <w:t>Asfalty i produkty asfaltowe – Wymagania dla asfaltów drogowych</w:t>
            </w:r>
          </w:p>
        </w:tc>
      </w:tr>
      <w:tr w:rsidR="000C27BF" w:rsidRPr="003A7D1D" w:rsidTr="00556540">
        <w:tc>
          <w:tcPr>
            <w:tcW w:w="534" w:type="dxa"/>
          </w:tcPr>
          <w:p w:rsidR="000C27BF" w:rsidRPr="003A7D1D" w:rsidRDefault="000C27BF" w:rsidP="00556540">
            <w:pPr>
              <w:rPr>
                <w:rFonts w:ascii="Calibri" w:hAnsi="Calibri"/>
              </w:rPr>
            </w:pPr>
            <w:r w:rsidRPr="003A7D1D">
              <w:rPr>
                <w:rFonts w:ascii="Calibri" w:hAnsi="Calibri"/>
              </w:rPr>
              <w:t>28.</w:t>
            </w:r>
          </w:p>
        </w:tc>
        <w:tc>
          <w:tcPr>
            <w:tcW w:w="1842" w:type="dxa"/>
          </w:tcPr>
          <w:p w:rsidR="000C27BF" w:rsidRPr="003A7D1D" w:rsidRDefault="000C27BF" w:rsidP="00556540">
            <w:pPr>
              <w:rPr>
                <w:rFonts w:ascii="Calibri" w:hAnsi="Calibri"/>
              </w:rPr>
            </w:pPr>
            <w:r w:rsidRPr="003A7D1D">
              <w:rPr>
                <w:rFonts w:ascii="Calibri" w:hAnsi="Calibri"/>
              </w:rPr>
              <w:t>PN-EN 12592</w:t>
            </w:r>
          </w:p>
        </w:tc>
        <w:tc>
          <w:tcPr>
            <w:tcW w:w="5135" w:type="dxa"/>
          </w:tcPr>
          <w:p w:rsidR="000C27BF" w:rsidRPr="003A7D1D" w:rsidRDefault="000C27BF" w:rsidP="00556540">
            <w:pPr>
              <w:rPr>
                <w:rFonts w:ascii="Calibri" w:hAnsi="Calibri"/>
              </w:rPr>
            </w:pPr>
            <w:r w:rsidRPr="003A7D1D">
              <w:rPr>
                <w:rFonts w:ascii="Calibri" w:hAnsi="Calibri"/>
              </w:rPr>
              <w:t>Asfalty i produkty asfaltowe – Oznaczanie rozpuszczalności</w:t>
            </w:r>
          </w:p>
        </w:tc>
      </w:tr>
      <w:tr w:rsidR="000C27BF" w:rsidRPr="003A7D1D" w:rsidTr="00556540">
        <w:tc>
          <w:tcPr>
            <w:tcW w:w="534" w:type="dxa"/>
          </w:tcPr>
          <w:p w:rsidR="000C27BF" w:rsidRPr="003A7D1D" w:rsidRDefault="000C27BF" w:rsidP="00556540">
            <w:pPr>
              <w:rPr>
                <w:rFonts w:ascii="Calibri" w:hAnsi="Calibri"/>
              </w:rPr>
            </w:pPr>
            <w:r w:rsidRPr="003A7D1D">
              <w:rPr>
                <w:rFonts w:ascii="Calibri" w:hAnsi="Calibri"/>
              </w:rPr>
              <w:t>29.</w:t>
            </w:r>
          </w:p>
        </w:tc>
        <w:tc>
          <w:tcPr>
            <w:tcW w:w="1842" w:type="dxa"/>
          </w:tcPr>
          <w:p w:rsidR="000C27BF" w:rsidRPr="003A7D1D" w:rsidRDefault="000C27BF" w:rsidP="00556540">
            <w:pPr>
              <w:rPr>
                <w:rFonts w:ascii="Calibri" w:hAnsi="Calibri"/>
              </w:rPr>
            </w:pPr>
            <w:r w:rsidRPr="003A7D1D">
              <w:rPr>
                <w:rFonts w:ascii="Calibri" w:hAnsi="Calibri"/>
              </w:rPr>
              <w:t>PN-EN 12593</w:t>
            </w:r>
          </w:p>
        </w:tc>
        <w:tc>
          <w:tcPr>
            <w:tcW w:w="5135" w:type="dxa"/>
          </w:tcPr>
          <w:p w:rsidR="000C27BF" w:rsidRPr="003A7D1D" w:rsidRDefault="000C27BF" w:rsidP="00556540">
            <w:pPr>
              <w:rPr>
                <w:rFonts w:ascii="Calibri" w:hAnsi="Calibri"/>
              </w:rPr>
            </w:pPr>
            <w:r w:rsidRPr="003A7D1D">
              <w:rPr>
                <w:rFonts w:ascii="Calibri" w:hAnsi="Calibri"/>
              </w:rPr>
              <w:t>Asfalty i produkty asfaltowe – Oznaczanie temperatury łamliwości Fraassa</w:t>
            </w:r>
          </w:p>
        </w:tc>
      </w:tr>
      <w:tr w:rsidR="000C27BF" w:rsidRPr="003A7D1D" w:rsidTr="00556540">
        <w:tc>
          <w:tcPr>
            <w:tcW w:w="534" w:type="dxa"/>
          </w:tcPr>
          <w:p w:rsidR="000C27BF" w:rsidRPr="003A7D1D" w:rsidRDefault="000C27BF" w:rsidP="00556540">
            <w:pPr>
              <w:rPr>
                <w:rFonts w:ascii="Calibri" w:hAnsi="Calibri"/>
              </w:rPr>
            </w:pPr>
            <w:r w:rsidRPr="003A7D1D">
              <w:rPr>
                <w:rFonts w:ascii="Calibri" w:hAnsi="Calibri"/>
              </w:rPr>
              <w:t>30.</w:t>
            </w:r>
          </w:p>
        </w:tc>
        <w:tc>
          <w:tcPr>
            <w:tcW w:w="1842" w:type="dxa"/>
          </w:tcPr>
          <w:p w:rsidR="000C27BF" w:rsidRPr="003A7D1D" w:rsidRDefault="000C27BF" w:rsidP="00556540">
            <w:pPr>
              <w:rPr>
                <w:rFonts w:ascii="Calibri" w:hAnsi="Calibri"/>
              </w:rPr>
            </w:pPr>
            <w:r w:rsidRPr="003A7D1D">
              <w:rPr>
                <w:rFonts w:ascii="Calibri" w:hAnsi="Calibri"/>
              </w:rPr>
              <w:t>PN-EN 12606-1</w:t>
            </w:r>
          </w:p>
        </w:tc>
        <w:tc>
          <w:tcPr>
            <w:tcW w:w="5135" w:type="dxa"/>
          </w:tcPr>
          <w:p w:rsidR="000C27BF" w:rsidRPr="003A7D1D" w:rsidRDefault="000C27BF" w:rsidP="00556540">
            <w:pPr>
              <w:rPr>
                <w:rFonts w:ascii="Calibri" w:hAnsi="Calibri"/>
              </w:rPr>
            </w:pPr>
            <w:r w:rsidRPr="003A7D1D">
              <w:rPr>
                <w:rFonts w:ascii="Calibri" w:hAnsi="Calibri"/>
              </w:rPr>
              <w:t>Asfalty i produkty asfaltowe – Oznaczanie zawartości parafiny – Część 1: Metoda destylacyjna</w:t>
            </w:r>
          </w:p>
        </w:tc>
      </w:tr>
      <w:tr w:rsidR="000C27BF" w:rsidRPr="003A7D1D" w:rsidTr="00556540">
        <w:tc>
          <w:tcPr>
            <w:tcW w:w="534" w:type="dxa"/>
          </w:tcPr>
          <w:p w:rsidR="000C27BF" w:rsidRPr="003A7D1D" w:rsidRDefault="000C27BF" w:rsidP="00556540">
            <w:pPr>
              <w:rPr>
                <w:rFonts w:ascii="Calibri" w:hAnsi="Calibri"/>
              </w:rPr>
            </w:pPr>
            <w:r w:rsidRPr="003A7D1D">
              <w:rPr>
                <w:rFonts w:ascii="Calibri" w:hAnsi="Calibri"/>
              </w:rPr>
              <w:t>31.</w:t>
            </w:r>
          </w:p>
        </w:tc>
        <w:tc>
          <w:tcPr>
            <w:tcW w:w="1842" w:type="dxa"/>
          </w:tcPr>
          <w:p w:rsidR="000C27BF" w:rsidRPr="003A7D1D" w:rsidRDefault="000C27BF" w:rsidP="00556540">
            <w:pPr>
              <w:rPr>
                <w:rFonts w:ascii="Calibri" w:hAnsi="Calibri"/>
              </w:rPr>
            </w:pPr>
            <w:r w:rsidRPr="003A7D1D">
              <w:rPr>
                <w:rFonts w:ascii="Calibri" w:hAnsi="Calibri"/>
              </w:rPr>
              <w:t>PN-EN 12607-1</w:t>
            </w:r>
          </w:p>
          <w:p w:rsidR="000C27BF" w:rsidRPr="003A7D1D" w:rsidRDefault="000C27BF" w:rsidP="00556540">
            <w:pPr>
              <w:rPr>
                <w:rFonts w:ascii="Calibri" w:hAnsi="Calibri"/>
              </w:rPr>
            </w:pPr>
          </w:p>
          <w:p w:rsidR="000C27BF" w:rsidRPr="003A7D1D" w:rsidRDefault="000C27BF" w:rsidP="00556540">
            <w:pPr>
              <w:rPr>
                <w:rFonts w:ascii="Calibri" w:hAnsi="Calibri"/>
              </w:rPr>
            </w:pPr>
            <w:r w:rsidRPr="003A7D1D">
              <w:rPr>
                <w:rFonts w:ascii="Calibri" w:hAnsi="Calibri"/>
              </w:rPr>
              <w:t>i</w:t>
            </w:r>
          </w:p>
          <w:p w:rsidR="000C27BF" w:rsidRPr="003A7D1D" w:rsidRDefault="000C27BF" w:rsidP="00556540">
            <w:pPr>
              <w:rPr>
                <w:rFonts w:ascii="Calibri" w:hAnsi="Calibri"/>
              </w:rPr>
            </w:pPr>
            <w:r w:rsidRPr="003A7D1D">
              <w:rPr>
                <w:rFonts w:ascii="Calibri" w:hAnsi="Calibri"/>
              </w:rPr>
              <w:t>PN-EN 12607-3</w:t>
            </w:r>
          </w:p>
        </w:tc>
        <w:tc>
          <w:tcPr>
            <w:tcW w:w="5135" w:type="dxa"/>
          </w:tcPr>
          <w:p w:rsidR="000C27BF" w:rsidRPr="003A7D1D" w:rsidRDefault="000C27BF" w:rsidP="00556540">
            <w:pPr>
              <w:rPr>
                <w:rFonts w:ascii="Calibri" w:hAnsi="Calibri"/>
              </w:rPr>
            </w:pPr>
            <w:r w:rsidRPr="003A7D1D">
              <w:rPr>
                <w:rFonts w:ascii="Calibri" w:hAnsi="Calibri"/>
              </w:rPr>
              <w:t>Asfalty i produkty asfaltowe – Oznaczanie odporności na twardnienie pod wpływem ciepła i powietrza – Część 1: Metoda RTFOT</w:t>
            </w:r>
          </w:p>
          <w:p w:rsidR="000C27BF" w:rsidRPr="003A7D1D" w:rsidRDefault="000C27BF" w:rsidP="00556540">
            <w:pPr>
              <w:rPr>
                <w:rFonts w:ascii="Calibri" w:hAnsi="Calibri"/>
              </w:rPr>
            </w:pPr>
            <w:r w:rsidRPr="003A7D1D">
              <w:rPr>
                <w:rFonts w:ascii="Calibri" w:hAnsi="Calibri"/>
              </w:rPr>
              <w:t>Jw. Część 3: Metoda RFT</w:t>
            </w:r>
          </w:p>
        </w:tc>
      </w:tr>
      <w:tr w:rsidR="000C27BF" w:rsidRPr="003A7D1D" w:rsidTr="00556540">
        <w:tc>
          <w:tcPr>
            <w:tcW w:w="534" w:type="dxa"/>
          </w:tcPr>
          <w:p w:rsidR="000C27BF" w:rsidRPr="003A7D1D" w:rsidRDefault="000C27BF" w:rsidP="00556540">
            <w:pPr>
              <w:rPr>
                <w:rFonts w:ascii="Calibri" w:hAnsi="Calibri"/>
              </w:rPr>
            </w:pPr>
            <w:r w:rsidRPr="003A7D1D">
              <w:rPr>
                <w:rFonts w:ascii="Calibri" w:hAnsi="Calibri"/>
              </w:rPr>
              <w:t>32.</w:t>
            </w:r>
          </w:p>
        </w:tc>
        <w:tc>
          <w:tcPr>
            <w:tcW w:w="1842" w:type="dxa"/>
          </w:tcPr>
          <w:p w:rsidR="000C27BF" w:rsidRPr="003A7D1D" w:rsidRDefault="000C27BF" w:rsidP="00556540">
            <w:pPr>
              <w:rPr>
                <w:rFonts w:ascii="Calibri" w:hAnsi="Calibri"/>
              </w:rPr>
            </w:pPr>
            <w:r w:rsidRPr="003A7D1D">
              <w:rPr>
                <w:rFonts w:ascii="Calibri" w:hAnsi="Calibri"/>
              </w:rPr>
              <w:t>PN-EN 12697-6</w:t>
            </w:r>
          </w:p>
        </w:tc>
        <w:tc>
          <w:tcPr>
            <w:tcW w:w="5135" w:type="dxa"/>
          </w:tcPr>
          <w:p w:rsidR="000C27BF" w:rsidRPr="003A7D1D" w:rsidRDefault="000C27BF" w:rsidP="00556540">
            <w:pPr>
              <w:rPr>
                <w:rFonts w:ascii="Calibri" w:hAnsi="Calibri"/>
              </w:rPr>
            </w:pPr>
            <w:r w:rsidRPr="003A7D1D">
              <w:rPr>
                <w:rFonts w:ascii="Calibri" w:hAnsi="Calibri"/>
              </w:rPr>
              <w:t>Mieszanki mineralno-asfaltowe – Metody badań mieszanek mineralno-asfaltowych na gorąco – Część 6: Oznaczanie gęstości objętościowej metodą hydrostatyczną</w:t>
            </w:r>
          </w:p>
        </w:tc>
      </w:tr>
      <w:tr w:rsidR="000C27BF" w:rsidRPr="003A7D1D" w:rsidTr="00556540">
        <w:tc>
          <w:tcPr>
            <w:tcW w:w="534" w:type="dxa"/>
          </w:tcPr>
          <w:p w:rsidR="000C27BF" w:rsidRPr="003A7D1D" w:rsidRDefault="000C27BF" w:rsidP="00556540">
            <w:pPr>
              <w:rPr>
                <w:rFonts w:ascii="Calibri" w:hAnsi="Calibri"/>
              </w:rPr>
            </w:pPr>
            <w:r w:rsidRPr="003A7D1D">
              <w:rPr>
                <w:rFonts w:ascii="Calibri" w:hAnsi="Calibri"/>
              </w:rPr>
              <w:t>33.</w:t>
            </w:r>
          </w:p>
        </w:tc>
        <w:tc>
          <w:tcPr>
            <w:tcW w:w="1842" w:type="dxa"/>
          </w:tcPr>
          <w:p w:rsidR="000C27BF" w:rsidRPr="003A7D1D" w:rsidRDefault="000C27BF" w:rsidP="00556540">
            <w:pPr>
              <w:rPr>
                <w:rFonts w:ascii="Calibri" w:hAnsi="Calibri"/>
              </w:rPr>
            </w:pPr>
            <w:r w:rsidRPr="003A7D1D">
              <w:rPr>
                <w:rFonts w:ascii="Calibri" w:hAnsi="Calibri"/>
              </w:rPr>
              <w:t>PN-EN 12697-8</w:t>
            </w:r>
          </w:p>
        </w:tc>
        <w:tc>
          <w:tcPr>
            <w:tcW w:w="5135" w:type="dxa"/>
          </w:tcPr>
          <w:p w:rsidR="000C27BF" w:rsidRPr="003A7D1D" w:rsidRDefault="000C27BF" w:rsidP="00556540">
            <w:pPr>
              <w:rPr>
                <w:rFonts w:ascii="Calibri" w:hAnsi="Calibri"/>
              </w:rPr>
            </w:pPr>
            <w:r w:rsidRPr="003A7D1D">
              <w:rPr>
                <w:rFonts w:ascii="Calibri" w:hAnsi="Calibri"/>
              </w:rPr>
              <w:t>Mieszanki mineralno-asfaltowe – Metody badań mieszanek mineralno-asfaltowych na gorąco – Część 8: Oznaczanie zawartości wolnej przestrzeni</w:t>
            </w:r>
          </w:p>
        </w:tc>
      </w:tr>
      <w:tr w:rsidR="000C27BF" w:rsidRPr="003A7D1D" w:rsidTr="00556540">
        <w:tc>
          <w:tcPr>
            <w:tcW w:w="534" w:type="dxa"/>
          </w:tcPr>
          <w:p w:rsidR="000C27BF" w:rsidRPr="003A7D1D" w:rsidRDefault="000C27BF" w:rsidP="00556540">
            <w:pPr>
              <w:rPr>
                <w:rFonts w:ascii="Calibri" w:hAnsi="Calibri"/>
              </w:rPr>
            </w:pPr>
            <w:r w:rsidRPr="003A7D1D">
              <w:rPr>
                <w:rFonts w:ascii="Calibri" w:hAnsi="Calibri"/>
              </w:rPr>
              <w:t>34.</w:t>
            </w:r>
          </w:p>
        </w:tc>
        <w:tc>
          <w:tcPr>
            <w:tcW w:w="1842" w:type="dxa"/>
          </w:tcPr>
          <w:p w:rsidR="000C27BF" w:rsidRPr="003A7D1D" w:rsidRDefault="000C27BF" w:rsidP="00556540">
            <w:pPr>
              <w:rPr>
                <w:rFonts w:ascii="Calibri" w:hAnsi="Calibri"/>
              </w:rPr>
            </w:pPr>
            <w:r w:rsidRPr="003A7D1D">
              <w:rPr>
                <w:rFonts w:ascii="Calibri" w:hAnsi="Calibri"/>
              </w:rPr>
              <w:t>PN-EN 12697-11</w:t>
            </w:r>
          </w:p>
        </w:tc>
        <w:tc>
          <w:tcPr>
            <w:tcW w:w="5135" w:type="dxa"/>
          </w:tcPr>
          <w:p w:rsidR="000C27BF" w:rsidRPr="003A7D1D" w:rsidRDefault="000C27BF" w:rsidP="00556540">
            <w:pPr>
              <w:rPr>
                <w:rFonts w:ascii="Calibri" w:hAnsi="Calibri"/>
              </w:rPr>
            </w:pPr>
            <w:r w:rsidRPr="003A7D1D">
              <w:rPr>
                <w:rFonts w:ascii="Calibri" w:hAnsi="Calibri"/>
              </w:rPr>
              <w:t>Mieszanki mineralno-asfaltowe – Metody badań mieszanek mineralno-asfaltowych na gorąco – Część 11: Określenie powiązania pomiędzy kruszywem i asfaltem</w:t>
            </w:r>
          </w:p>
        </w:tc>
      </w:tr>
      <w:tr w:rsidR="000C27BF" w:rsidRPr="003A7D1D" w:rsidTr="00556540">
        <w:tc>
          <w:tcPr>
            <w:tcW w:w="534" w:type="dxa"/>
          </w:tcPr>
          <w:p w:rsidR="000C27BF" w:rsidRPr="003A7D1D" w:rsidRDefault="000C27BF" w:rsidP="00556540">
            <w:pPr>
              <w:rPr>
                <w:rFonts w:ascii="Calibri" w:hAnsi="Calibri"/>
              </w:rPr>
            </w:pPr>
            <w:r w:rsidRPr="003A7D1D">
              <w:rPr>
                <w:rFonts w:ascii="Calibri" w:hAnsi="Calibri"/>
              </w:rPr>
              <w:t>35.</w:t>
            </w:r>
          </w:p>
        </w:tc>
        <w:tc>
          <w:tcPr>
            <w:tcW w:w="1842" w:type="dxa"/>
          </w:tcPr>
          <w:p w:rsidR="000C27BF" w:rsidRPr="003A7D1D" w:rsidRDefault="000C27BF" w:rsidP="00556540">
            <w:pPr>
              <w:rPr>
                <w:rFonts w:ascii="Calibri" w:hAnsi="Calibri"/>
              </w:rPr>
            </w:pPr>
            <w:r w:rsidRPr="003A7D1D">
              <w:rPr>
                <w:rFonts w:ascii="Calibri" w:hAnsi="Calibri"/>
              </w:rPr>
              <w:t>PN-EN 12697-12</w:t>
            </w:r>
          </w:p>
        </w:tc>
        <w:tc>
          <w:tcPr>
            <w:tcW w:w="5135" w:type="dxa"/>
          </w:tcPr>
          <w:p w:rsidR="000C27BF" w:rsidRPr="003A7D1D" w:rsidRDefault="000C27BF" w:rsidP="00556540">
            <w:pPr>
              <w:rPr>
                <w:rFonts w:ascii="Calibri" w:hAnsi="Calibri"/>
              </w:rPr>
            </w:pPr>
            <w:r w:rsidRPr="003A7D1D">
              <w:rPr>
                <w:rFonts w:ascii="Calibri" w:hAnsi="Calibri"/>
              </w:rPr>
              <w:t>Mieszanki mineralno-asfaltowe – Metody badań mieszanek mineralno-asfaltowych na gorąco – Część 12: Określanie wrażliwości na wodę</w:t>
            </w:r>
          </w:p>
        </w:tc>
      </w:tr>
      <w:tr w:rsidR="000C27BF" w:rsidRPr="003A7D1D" w:rsidTr="00556540">
        <w:tc>
          <w:tcPr>
            <w:tcW w:w="534" w:type="dxa"/>
          </w:tcPr>
          <w:p w:rsidR="000C27BF" w:rsidRPr="003A7D1D" w:rsidRDefault="000C27BF" w:rsidP="00556540">
            <w:pPr>
              <w:rPr>
                <w:rFonts w:ascii="Calibri" w:hAnsi="Calibri"/>
              </w:rPr>
            </w:pPr>
            <w:r w:rsidRPr="003A7D1D">
              <w:rPr>
                <w:rFonts w:ascii="Calibri" w:hAnsi="Calibri"/>
              </w:rPr>
              <w:lastRenderedPageBreak/>
              <w:t>36.</w:t>
            </w:r>
          </w:p>
        </w:tc>
        <w:tc>
          <w:tcPr>
            <w:tcW w:w="1842" w:type="dxa"/>
          </w:tcPr>
          <w:p w:rsidR="000C27BF" w:rsidRPr="003A7D1D" w:rsidRDefault="000C27BF" w:rsidP="00556540">
            <w:pPr>
              <w:rPr>
                <w:rFonts w:ascii="Calibri" w:hAnsi="Calibri"/>
              </w:rPr>
            </w:pPr>
            <w:r w:rsidRPr="003A7D1D">
              <w:rPr>
                <w:rFonts w:ascii="Calibri" w:hAnsi="Calibri"/>
              </w:rPr>
              <w:t>PN-EN 12697-13</w:t>
            </w:r>
          </w:p>
        </w:tc>
        <w:tc>
          <w:tcPr>
            <w:tcW w:w="5135" w:type="dxa"/>
          </w:tcPr>
          <w:p w:rsidR="000C27BF" w:rsidRPr="003A7D1D" w:rsidRDefault="000C27BF" w:rsidP="00556540">
            <w:pPr>
              <w:rPr>
                <w:rFonts w:ascii="Calibri" w:hAnsi="Calibri"/>
              </w:rPr>
            </w:pPr>
            <w:r w:rsidRPr="003A7D1D">
              <w:rPr>
                <w:rFonts w:ascii="Calibri" w:hAnsi="Calibri"/>
              </w:rPr>
              <w:t>Mieszanki mineralno-asfaltowe – Metody badań mieszanek mineralno-asfaltowych na gorąco – Część 13: Pomiar temperatury</w:t>
            </w:r>
          </w:p>
        </w:tc>
      </w:tr>
      <w:tr w:rsidR="000C27BF" w:rsidRPr="003A7D1D" w:rsidTr="00556540">
        <w:tc>
          <w:tcPr>
            <w:tcW w:w="534" w:type="dxa"/>
          </w:tcPr>
          <w:p w:rsidR="000C27BF" w:rsidRPr="003A7D1D" w:rsidRDefault="000C27BF" w:rsidP="00556540">
            <w:pPr>
              <w:rPr>
                <w:rFonts w:ascii="Calibri" w:hAnsi="Calibri"/>
              </w:rPr>
            </w:pPr>
            <w:r w:rsidRPr="003A7D1D">
              <w:rPr>
                <w:rFonts w:ascii="Calibri" w:hAnsi="Calibri"/>
              </w:rPr>
              <w:t>37.</w:t>
            </w:r>
          </w:p>
        </w:tc>
        <w:tc>
          <w:tcPr>
            <w:tcW w:w="1842" w:type="dxa"/>
          </w:tcPr>
          <w:p w:rsidR="000C27BF" w:rsidRPr="003A7D1D" w:rsidRDefault="000C27BF" w:rsidP="00556540">
            <w:pPr>
              <w:rPr>
                <w:rFonts w:ascii="Calibri" w:hAnsi="Calibri"/>
              </w:rPr>
            </w:pPr>
            <w:r w:rsidRPr="003A7D1D">
              <w:rPr>
                <w:rFonts w:ascii="Calibri" w:hAnsi="Calibri"/>
              </w:rPr>
              <w:t>PN-EN 12697-18</w:t>
            </w:r>
          </w:p>
        </w:tc>
        <w:tc>
          <w:tcPr>
            <w:tcW w:w="5135" w:type="dxa"/>
          </w:tcPr>
          <w:p w:rsidR="000C27BF" w:rsidRPr="003A7D1D" w:rsidRDefault="000C27BF" w:rsidP="00556540">
            <w:pPr>
              <w:rPr>
                <w:rFonts w:ascii="Calibri" w:hAnsi="Calibri"/>
              </w:rPr>
            </w:pPr>
            <w:r w:rsidRPr="003A7D1D">
              <w:rPr>
                <w:rFonts w:ascii="Calibri" w:hAnsi="Calibri"/>
              </w:rPr>
              <w:t>Mieszanki mineralno-asfaltowe – Metody badań mieszanek mineralno-asfaltowych na gorąco – Część 18: Spływanie lepiszcza</w:t>
            </w:r>
          </w:p>
        </w:tc>
      </w:tr>
      <w:tr w:rsidR="000C27BF" w:rsidRPr="003A7D1D" w:rsidTr="00556540">
        <w:tc>
          <w:tcPr>
            <w:tcW w:w="534" w:type="dxa"/>
          </w:tcPr>
          <w:p w:rsidR="000C27BF" w:rsidRPr="003A7D1D" w:rsidRDefault="000C27BF" w:rsidP="00556540">
            <w:pPr>
              <w:rPr>
                <w:rFonts w:ascii="Calibri" w:hAnsi="Calibri"/>
              </w:rPr>
            </w:pPr>
            <w:r w:rsidRPr="003A7D1D">
              <w:rPr>
                <w:rFonts w:ascii="Calibri" w:hAnsi="Calibri"/>
              </w:rPr>
              <w:t>38.</w:t>
            </w:r>
          </w:p>
        </w:tc>
        <w:tc>
          <w:tcPr>
            <w:tcW w:w="1842" w:type="dxa"/>
          </w:tcPr>
          <w:p w:rsidR="000C27BF" w:rsidRPr="003A7D1D" w:rsidRDefault="000C27BF" w:rsidP="00556540">
            <w:pPr>
              <w:rPr>
                <w:rFonts w:ascii="Calibri" w:hAnsi="Calibri"/>
              </w:rPr>
            </w:pPr>
            <w:r w:rsidRPr="003A7D1D">
              <w:rPr>
                <w:rFonts w:ascii="Calibri" w:hAnsi="Calibri"/>
              </w:rPr>
              <w:t>PN-EN 12697-22</w:t>
            </w:r>
          </w:p>
        </w:tc>
        <w:tc>
          <w:tcPr>
            <w:tcW w:w="5135" w:type="dxa"/>
          </w:tcPr>
          <w:p w:rsidR="000C27BF" w:rsidRPr="003A7D1D" w:rsidRDefault="000C27BF" w:rsidP="00556540">
            <w:pPr>
              <w:rPr>
                <w:rFonts w:ascii="Calibri" w:hAnsi="Calibri"/>
              </w:rPr>
            </w:pPr>
            <w:r w:rsidRPr="003A7D1D">
              <w:rPr>
                <w:rFonts w:ascii="Calibri" w:hAnsi="Calibri"/>
              </w:rPr>
              <w:t>Mieszanki mineralno-asfaltowe – Metody badań mieszanek mineralno-asfaltowych na gorąco – Część 22: Koleinowanie</w:t>
            </w:r>
          </w:p>
        </w:tc>
      </w:tr>
      <w:tr w:rsidR="000C27BF" w:rsidRPr="003A7D1D" w:rsidTr="00556540">
        <w:tc>
          <w:tcPr>
            <w:tcW w:w="534" w:type="dxa"/>
          </w:tcPr>
          <w:p w:rsidR="000C27BF" w:rsidRPr="003A7D1D" w:rsidRDefault="000C27BF" w:rsidP="00556540">
            <w:pPr>
              <w:rPr>
                <w:rFonts w:ascii="Calibri" w:hAnsi="Calibri"/>
              </w:rPr>
            </w:pPr>
            <w:r w:rsidRPr="003A7D1D">
              <w:rPr>
                <w:rFonts w:ascii="Calibri" w:hAnsi="Calibri"/>
              </w:rPr>
              <w:t>39.</w:t>
            </w:r>
          </w:p>
        </w:tc>
        <w:tc>
          <w:tcPr>
            <w:tcW w:w="1842" w:type="dxa"/>
          </w:tcPr>
          <w:p w:rsidR="000C27BF" w:rsidRPr="003A7D1D" w:rsidRDefault="000C27BF" w:rsidP="00556540">
            <w:pPr>
              <w:rPr>
                <w:rFonts w:ascii="Calibri" w:hAnsi="Calibri"/>
              </w:rPr>
            </w:pPr>
            <w:r w:rsidRPr="003A7D1D">
              <w:rPr>
                <w:rFonts w:ascii="Calibri" w:hAnsi="Calibri"/>
              </w:rPr>
              <w:t>PN-EN 12697-27</w:t>
            </w:r>
          </w:p>
        </w:tc>
        <w:tc>
          <w:tcPr>
            <w:tcW w:w="5135" w:type="dxa"/>
          </w:tcPr>
          <w:p w:rsidR="000C27BF" w:rsidRPr="003A7D1D" w:rsidRDefault="000C27BF" w:rsidP="00556540">
            <w:pPr>
              <w:rPr>
                <w:rFonts w:ascii="Calibri" w:hAnsi="Calibri"/>
              </w:rPr>
            </w:pPr>
            <w:r w:rsidRPr="003A7D1D">
              <w:rPr>
                <w:rFonts w:ascii="Calibri" w:hAnsi="Calibri"/>
              </w:rPr>
              <w:t>Mieszanki mineralno-asfaltowe – Metody badań mieszanek mineralno-asfaltowych na gorąco – Część 27: Pobieranie próbek</w:t>
            </w:r>
          </w:p>
        </w:tc>
      </w:tr>
      <w:tr w:rsidR="000C27BF" w:rsidRPr="003A7D1D" w:rsidTr="00556540">
        <w:tc>
          <w:tcPr>
            <w:tcW w:w="534" w:type="dxa"/>
          </w:tcPr>
          <w:p w:rsidR="000C27BF" w:rsidRPr="003A7D1D" w:rsidRDefault="000C27BF" w:rsidP="00556540">
            <w:pPr>
              <w:rPr>
                <w:rFonts w:ascii="Calibri" w:hAnsi="Calibri"/>
              </w:rPr>
            </w:pPr>
            <w:r w:rsidRPr="003A7D1D">
              <w:rPr>
                <w:rFonts w:ascii="Calibri" w:hAnsi="Calibri"/>
              </w:rPr>
              <w:t>40.</w:t>
            </w:r>
          </w:p>
        </w:tc>
        <w:tc>
          <w:tcPr>
            <w:tcW w:w="1842" w:type="dxa"/>
          </w:tcPr>
          <w:p w:rsidR="000C27BF" w:rsidRPr="003A7D1D" w:rsidRDefault="000C27BF" w:rsidP="00556540">
            <w:pPr>
              <w:rPr>
                <w:rFonts w:ascii="Calibri" w:hAnsi="Calibri"/>
              </w:rPr>
            </w:pPr>
            <w:r w:rsidRPr="003A7D1D">
              <w:rPr>
                <w:rFonts w:ascii="Calibri" w:hAnsi="Calibri"/>
              </w:rPr>
              <w:t>PN-EN 12697-36</w:t>
            </w:r>
          </w:p>
        </w:tc>
        <w:tc>
          <w:tcPr>
            <w:tcW w:w="5135" w:type="dxa"/>
          </w:tcPr>
          <w:p w:rsidR="000C27BF" w:rsidRPr="003A7D1D" w:rsidRDefault="000C27BF" w:rsidP="00556540">
            <w:pPr>
              <w:rPr>
                <w:rFonts w:ascii="Calibri" w:hAnsi="Calibri"/>
              </w:rPr>
            </w:pPr>
            <w:r w:rsidRPr="003A7D1D">
              <w:rPr>
                <w:rFonts w:ascii="Calibri" w:hAnsi="Calibri"/>
              </w:rPr>
              <w:t>Mieszanki mineralno-asfaltowe – Metody badań mieszanek mineralno-asfaltowych na gorąco – Część 36: Oznaczanie grubości nawierzchni asfaltowych</w:t>
            </w:r>
          </w:p>
        </w:tc>
      </w:tr>
      <w:tr w:rsidR="000C27BF" w:rsidRPr="003A7D1D" w:rsidTr="00556540">
        <w:tc>
          <w:tcPr>
            <w:tcW w:w="534" w:type="dxa"/>
          </w:tcPr>
          <w:p w:rsidR="000C27BF" w:rsidRPr="003A7D1D" w:rsidRDefault="000C27BF" w:rsidP="00556540">
            <w:pPr>
              <w:rPr>
                <w:rFonts w:ascii="Calibri" w:hAnsi="Calibri"/>
              </w:rPr>
            </w:pPr>
            <w:r w:rsidRPr="003A7D1D">
              <w:rPr>
                <w:rFonts w:ascii="Calibri" w:hAnsi="Calibri"/>
              </w:rPr>
              <w:t>41.</w:t>
            </w:r>
          </w:p>
        </w:tc>
        <w:tc>
          <w:tcPr>
            <w:tcW w:w="1842" w:type="dxa"/>
          </w:tcPr>
          <w:p w:rsidR="000C27BF" w:rsidRPr="003A7D1D" w:rsidRDefault="000C27BF" w:rsidP="00556540">
            <w:pPr>
              <w:rPr>
                <w:rFonts w:ascii="Calibri" w:hAnsi="Calibri"/>
              </w:rPr>
            </w:pPr>
            <w:r w:rsidRPr="003A7D1D">
              <w:rPr>
                <w:rFonts w:ascii="Calibri" w:hAnsi="Calibri"/>
              </w:rPr>
              <w:t>PN-EN 12846</w:t>
            </w:r>
          </w:p>
        </w:tc>
        <w:tc>
          <w:tcPr>
            <w:tcW w:w="5135" w:type="dxa"/>
          </w:tcPr>
          <w:p w:rsidR="000C27BF" w:rsidRPr="003A7D1D" w:rsidRDefault="000C27BF" w:rsidP="00556540">
            <w:pPr>
              <w:rPr>
                <w:rFonts w:ascii="Calibri" w:hAnsi="Calibri"/>
              </w:rPr>
            </w:pPr>
            <w:r w:rsidRPr="003A7D1D">
              <w:rPr>
                <w:rFonts w:ascii="Calibri" w:hAnsi="Calibri"/>
              </w:rPr>
              <w:t>Asfalty i lepiszcza asfaltowe – Oznaczanie czasu wypływu emulsji asfaltowych lepkościomierzem wypływowym</w:t>
            </w:r>
          </w:p>
        </w:tc>
      </w:tr>
      <w:tr w:rsidR="000C27BF" w:rsidRPr="003A7D1D" w:rsidTr="00556540">
        <w:tc>
          <w:tcPr>
            <w:tcW w:w="534" w:type="dxa"/>
          </w:tcPr>
          <w:p w:rsidR="000C27BF" w:rsidRPr="003A7D1D" w:rsidRDefault="000C27BF" w:rsidP="00556540">
            <w:pPr>
              <w:rPr>
                <w:rFonts w:ascii="Calibri" w:hAnsi="Calibri"/>
              </w:rPr>
            </w:pPr>
            <w:r w:rsidRPr="003A7D1D">
              <w:rPr>
                <w:rFonts w:ascii="Calibri" w:hAnsi="Calibri"/>
              </w:rPr>
              <w:t>42.</w:t>
            </w:r>
          </w:p>
        </w:tc>
        <w:tc>
          <w:tcPr>
            <w:tcW w:w="1842" w:type="dxa"/>
          </w:tcPr>
          <w:p w:rsidR="000C27BF" w:rsidRPr="003A7D1D" w:rsidRDefault="000C27BF" w:rsidP="00556540">
            <w:pPr>
              <w:rPr>
                <w:rFonts w:ascii="Calibri" w:hAnsi="Calibri"/>
              </w:rPr>
            </w:pPr>
            <w:r w:rsidRPr="003A7D1D">
              <w:rPr>
                <w:rFonts w:ascii="Calibri" w:hAnsi="Calibri"/>
              </w:rPr>
              <w:t>PN-EN 12847</w:t>
            </w:r>
          </w:p>
        </w:tc>
        <w:tc>
          <w:tcPr>
            <w:tcW w:w="5135" w:type="dxa"/>
          </w:tcPr>
          <w:p w:rsidR="000C27BF" w:rsidRPr="003A7D1D" w:rsidRDefault="000C27BF" w:rsidP="00556540">
            <w:pPr>
              <w:rPr>
                <w:rFonts w:ascii="Calibri" w:hAnsi="Calibri"/>
              </w:rPr>
            </w:pPr>
            <w:r w:rsidRPr="003A7D1D">
              <w:rPr>
                <w:rFonts w:ascii="Calibri" w:hAnsi="Calibri"/>
              </w:rPr>
              <w:t>Asfalty i lepiszcza asfaltowe – Oznaczanie sedymentacji emulsji asfaltowych</w:t>
            </w:r>
          </w:p>
        </w:tc>
      </w:tr>
      <w:tr w:rsidR="000C27BF" w:rsidRPr="003A7D1D" w:rsidTr="00556540">
        <w:tc>
          <w:tcPr>
            <w:tcW w:w="534" w:type="dxa"/>
          </w:tcPr>
          <w:p w:rsidR="000C27BF" w:rsidRPr="003A7D1D" w:rsidRDefault="000C27BF" w:rsidP="00556540">
            <w:pPr>
              <w:rPr>
                <w:rFonts w:ascii="Calibri" w:hAnsi="Calibri"/>
              </w:rPr>
            </w:pPr>
            <w:r w:rsidRPr="003A7D1D">
              <w:rPr>
                <w:rFonts w:ascii="Calibri" w:hAnsi="Calibri"/>
              </w:rPr>
              <w:t>43.</w:t>
            </w:r>
          </w:p>
        </w:tc>
        <w:tc>
          <w:tcPr>
            <w:tcW w:w="1842" w:type="dxa"/>
          </w:tcPr>
          <w:p w:rsidR="000C27BF" w:rsidRPr="003A7D1D" w:rsidRDefault="000C27BF" w:rsidP="00556540">
            <w:pPr>
              <w:rPr>
                <w:rFonts w:ascii="Calibri" w:hAnsi="Calibri"/>
              </w:rPr>
            </w:pPr>
            <w:r w:rsidRPr="003A7D1D">
              <w:rPr>
                <w:rFonts w:ascii="Calibri" w:hAnsi="Calibri"/>
              </w:rPr>
              <w:t>PN-EN 12850</w:t>
            </w:r>
          </w:p>
        </w:tc>
        <w:tc>
          <w:tcPr>
            <w:tcW w:w="5135" w:type="dxa"/>
          </w:tcPr>
          <w:p w:rsidR="000C27BF" w:rsidRPr="003A7D1D" w:rsidRDefault="000C27BF" w:rsidP="00556540">
            <w:pPr>
              <w:rPr>
                <w:rFonts w:ascii="Calibri" w:hAnsi="Calibri"/>
              </w:rPr>
            </w:pPr>
            <w:r w:rsidRPr="003A7D1D">
              <w:rPr>
                <w:rFonts w:ascii="Calibri" w:hAnsi="Calibri"/>
              </w:rPr>
              <w:t>Asfalty i lepiszcza asfaltowe – Oznaczanie wartości pH emulsji asfaltowych</w:t>
            </w:r>
          </w:p>
        </w:tc>
      </w:tr>
      <w:tr w:rsidR="000C27BF" w:rsidRPr="003A7D1D" w:rsidTr="00556540">
        <w:tc>
          <w:tcPr>
            <w:tcW w:w="534" w:type="dxa"/>
          </w:tcPr>
          <w:p w:rsidR="000C27BF" w:rsidRPr="003A7D1D" w:rsidRDefault="000C27BF" w:rsidP="00556540">
            <w:pPr>
              <w:rPr>
                <w:rFonts w:ascii="Calibri" w:hAnsi="Calibri"/>
              </w:rPr>
            </w:pPr>
            <w:r w:rsidRPr="003A7D1D">
              <w:rPr>
                <w:rFonts w:ascii="Calibri" w:hAnsi="Calibri"/>
              </w:rPr>
              <w:t>44.</w:t>
            </w:r>
          </w:p>
        </w:tc>
        <w:tc>
          <w:tcPr>
            <w:tcW w:w="1842" w:type="dxa"/>
          </w:tcPr>
          <w:p w:rsidR="000C27BF" w:rsidRPr="003A7D1D" w:rsidRDefault="000C27BF" w:rsidP="00556540">
            <w:pPr>
              <w:rPr>
                <w:rFonts w:ascii="Calibri" w:hAnsi="Calibri"/>
              </w:rPr>
            </w:pPr>
            <w:r w:rsidRPr="003A7D1D">
              <w:rPr>
                <w:rFonts w:ascii="Calibri" w:hAnsi="Calibri"/>
              </w:rPr>
              <w:t>PN-EN 13043</w:t>
            </w:r>
          </w:p>
        </w:tc>
        <w:tc>
          <w:tcPr>
            <w:tcW w:w="5135" w:type="dxa"/>
          </w:tcPr>
          <w:p w:rsidR="000C27BF" w:rsidRPr="003A7D1D" w:rsidRDefault="000C27BF" w:rsidP="00556540">
            <w:pPr>
              <w:rPr>
                <w:rFonts w:ascii="Calibri" w:hAnsi="Calibri"/>
              </w:rPr>
            </w:pPr>
            <w:r w:rsidRPr="003A7D1D">
              <w:rPr>
                <w:rFonts w:ascii="Calibri" w:hAnsi="Calibri"/>
              </w:rPr>
              <w:t>Kruszywa do mieszanek bitumicznych i powierzchniowych utrwaleń stosowanych na drogach, lotniskach i innych powierzchniach przeznaczonych do ruchu</w:t>
            </w:r>
          </w:p>
        </w:tc>
      </w:tr>
      <w:tr w:rsidR="000C27BF" w:rsidRPr="003A7D1D" w:rsidTr="00556540">
        <w:tc>
          <w:tcPr>
            <w:tcW w:w="534" w:type="dxa"/>
          </w:tcPr>
          <w:p w:rsidR="000C27BF" w:rsidRPr="003A7D1D" w:rsidRDefault="000C27BF" w:rsidP="00556540">
            <w:pPr>
              <w:rPr>
                <w:rFonts w:ascii="Calibri" w:hAnsi="Calibri"/>
              </w:rPr>
            </w:pPr>
            <w:r w:rsidRPr="003A7D1D">
              <w:rPr>
                <w:rFonts w:ascii="Calibri" w:hAnsi="Calibri"/>
              </w:rPr>
              <w:t>45.</w:t>
            </w:r>
          </w:p>
        </w:tc>
        <w:tc>
          <w:tcPr>
            <w:tcW w:w="1842" w:type="dxa"/>
          </w:tcPr>
          <w:p w:rsidR="000C27BF" w:rsidRPr="003A7D1D" w:rsidRDefault="000C27BF" w:rsidP="00556540">
            <w:pPr>
              <w:rPr>
                <w:rFonts w:ascii="Calibri" w:hAnsi="Calibri"/>
              </w:rPr>
            </w:pPr>
            <w:r w:rsidRPr="003A7D1D">
              <w:rPr>
                <w:rFonts w:ascii="Calibri" w:hAnsi="Calibri"/>
              </w:rPr>
              <w:t>PN-EN 13074</w:t>
            </w:r>
          </w:p>
        </w:tc>
        <w:tc>
          <w:tcPr>
            <w:tcW w:w="5135" w:type="dxa"/>
          </w:tcPr>
          <w:p w:rsidR="000C27BF" w:rsidRPr="003A7D1D" w:rsidRDefault="000C27BF" w:rsidP="00556540">
            <w:pPr>
              <w:rPr>
                <w:rFonts w:ascii="Calibri" w:hAnsi="Calibri"/>
              </w:rPr>
            </w:pPr>
            <w:r w:rsidRPr="003A7D1D">
              <w:rPr>
                <w:rFonts w:ascii="Calibri" w:hAnsi="Calibri"/>
              </w:rPr>
              <w:t>Asfalty i lepiszcza asfaltowe – Oznaczanie lepiszczy z emulsji asfaltowych przez odparowanie</w:t>
            </w:r>
          </w:p>
        </w:tc>
      </w:tr>
      <w:tr w:rsidR="000C27BF" w:rsidRPr="003A7D1D" w:rsidTr="00556540">
        <w:tc>
          <w:tcPr>
            <w:tcW w:w="534" w:type="dxa"/>
          </w:tcPr>
          <w:p w:rsidR="000C27BF" w:rsidRPr="003A7D1D" w:rsidRDefault="000C27BF" w:rsidP="00556540">
            <w:pPr>
              <w:rPr>
                <w:rFonts w:ascii="Calibri" w:hAnsi="Calibri"/>
              </w:rPr>
            </w:pPr>
            <w:r w:rsidRPr="003A7D1D">
              <w:rPr>
                <w:rFonts w:ascii="Calibri" w:hAnsi="Calibri"/>
              </w:rPr>
              <w:t>46.</w:t>
            </w:r>
          </w:p>
        </w:tc>
        <w:tc>
          <w:tcPr>
            <w:tcW w:w="1842" w:type="dxa"/>
          </w:tcPr>
          <w:p w:rsidR="000C27BF" w:rsidRPr="003A7D1D" w:rsidRDefault="000C27BF" w:rsidP="00556540">
            <w:pPr>
              <w:rPr>
                <w:rFonts w:ascii="Calibri" w:hAnsi="Calibri"/>
              </w:rPr>
            </w:pPr>
            <w:r w:rsidRPr="003A7D1D">
              <w:rPr>
                <w:rFonts w:ascii="Calibri" w:hAnsi="Calibri"/>
              </w:rPr>
              <w:t>PN-EN 13075-1</w:t>
            </w:r>
          </w:p>
        </w:tc>
        <w:tc>
          <w:tcPr>
            <w:tcW w:w="5135" w:type="dxa"/>
          </w:tcPr>
          <w:p w:rsidR="000C27BF" w:rsidRPr="003A7D1D" w:rsidRDefault="000C27BF" w:rsidP="00556540">
            <w:pPr>
              <w:rPr>
                <w:rFonts w:ascii="Calibri" w:hAnsi="Calibri"/>
              </w:rPr>
            </w:pPr>
            <w:r w:rsidRPr="003A7D1D">
              <w:rPr>
                <w:rFonts w:ascii="Calibri" w:hAnsi="Calibri"/>
              </w:rPr>
              <w:t>Asfalty i lepiszcza asfaltowe – Badanie rozpadu – Część 1: Oznaczanie indeksu rozpadu kationowych emulsji asfaltowych, metoda z wypełniaczem mineralnym</w:t>
            </w:r>
          </w:p>
        </w:tc>
      </w:tr>
      <w:tr w:rsidR="000C27BF" w:rsidRPr="003A7D1D" w:rsidTr="00556540">
        <w:tc>
          <w:tcPr>
            <w:tcW w:w="534" w:type="dxa"/>
          </w:tcPr>
          <w:p w:rsidR="000C27BF" w:rsidRPr="003A7D1D" w:rsidRDefault="000C27BF" w:rsidP="00556540">
            <w:pPr>
              <w:rPr>
                <w:rFonts w:ascii="Calibri" w:hAnsi="Calibri"/>
              </w:rPr>
            </w:pPr>
            <w:r w:rsidRPr="003A7D1D">
              <w:rPr>
                <w:rFonts w:ascii="Calibri" w:hAnsi="Calibri"/>
              </w:rPr>
              <w:t>47.</w:t>
            </w:r>
          </w:p>
        </w:tc>
        <w:tc>
          <w:tcPr>
            <w:tcW w:w="1842" w:type="dxa"/>
          </w:tcPr>
          <w:p w:rsidR="000C27BF" w:rsidRPr="003A7D1D" w:rsidRDefault="000C27BF" w:rsidP="00556540">
            <w:pPr>
              <w:rPr>
                <w:rFonts w:ascii="Calibri" w:hAnsi="Calibri"/>
              </w:rPr>
            </w:pPr>
            <w:r w:rsidRPr="003A7D1D">
              <w:rPr>
                <w:rFonts w:ascii="Calibri" w:hAnsi="Calibri"/>
              </w:rPr>
              <w:t>PN-EN 13108-1</w:t>
            </w:r>
          </w:p>
        </w:tc>
        <w:tc>
          <w:tcPr>
            <w:tcW w:w="5135" w:type="dxa"/>
          </w:tcPr>
          <w:p w:rsidR="000C27BF" w:rsidRPr="003A7D1D" w:rsidRDefault="000C27BF" w:rsidP="00556540">
            <w:pPr>
              <w:rPr>
                <w:rFonts w:ascii="Calibri" w:hAnsi="Calibri"/>
              </w:rPr>
            </w:pPr>
            <w:r w:rsidRPr="003A7D1D">
              <w:rPr>
                <w:rFonts w:ascii="Calibri" w:hAnsi="Calibri"/>
              </w:rPr>
              <w:t>Mieszanki mineralno-asfaltowe – Wymagania – Część 1: Beton asfaltowy</w:t>
            </w:r>
          </w:p>
        </w:tc>
      </w:tr>
      <w:tr w:rsidR="000C27BF" w:rsidRPr="003A7D1D" w:rsidTr="00556540">
        <w:tc>
          <w:tcPr>
            <w:tcW w:w="534" w:type="dxa"/>
          </w:tcPr>
          <w:p w:rsidR="000C27BF" w:rsidRPr="003A7D1D" w:rsidRDefault="000C27BF" w:rsidP="00556540">
            <w:pPr>
              <w:rPr>
                <w:rFonts w:ascii="Calibri" w:hAnsi="Calibri"/>
              </w:rPr>
            </w:pPr>
            <w:r w:rsidRPr="003A7D1D">
              <w:rPr>
                <w:rFonts w:ascii="Calibri" w:hAnsi="Calibri"/>
              </w:rPr>
              <w:t>48.</w:t>
            </w:r>
          </w:p>
        </w:tc>
        <w:tc>
          <w:tcPr>
            <w:tcW w:w="1842" w:type="dxa"/>
          </w:tcPr>
          <w:p w:rsidR="000C27BF" w:rsidRPr="003A7D1D" w:rsidRDefault="000C27BF" w:rsidP="00556540">
            <w:pPr>
              <w:rPr>
                <w:rFonts w:ascii="Calibri" w:hAnsi="Calibri"/>
              </w:rPr>
            </w:pPr>
            <w:r w:rsidRPr="003A7D1D">
              <w:rPr>
                <w:rFonts w:ascii="Calibri" w:hAnsi="Calibri"/>
              </w:rPr>
              <w:t>PN-EN 13108-20</w:t>
            </w:r>
          </w:p>
        </w:tc>
        <w:tc>
          <w:tcPr>
            <w:tcW w:w="5135" w:type="dxa"/>
          </w:tcPr>
          <w:p w:rsidR="000C27BF" w:rsidRPr="003A7D1D" w:rsidRDefault="000C27BF" w:rsidP="00556540">
            <w:pPr>
              <w:rPr>
                <w:rFonts w:ascii="Calibri" w:hAnsi="Calibri"/>
              </w:rPr>
            </w:pPr>
            <w:r w:rsidRPr="003A7D1D">
              <w:rPr>
                <w:rFonts w:ascii="Calibri" w:hAnsi="Calibri"/>
              </w:rPr>
              <w:t>Mieszanki mineralno-asfaltowe – Wymagania – Część 20: Badanie typu</w:t>
            </w:r>
          </w:p>
        </w:tc>
      </w:tr>
      <w:tr w:rsidR="000C27BF" w:rsidRPr="003A7D1D" w:rsidTr="00556540">
        <w:tc>
          <w:tcPr>
            <w:tcW w:w="534" w:type="dxa"/>
          </w:tcPr>
          <w:p w:rsidR="000C27BF" w:rsidRPr="003A7D1D" w:rsidRDefault="000C27BF" w:rsidP="00556540">
            <w:pPr>
              <w:rPr>
                <w:rFonts w:ascii="Calibri" w:hAnsi="Calibri"/>
              </w:rPr>
            </w:pPr>
            <w:r w:rsidRPr="003A7D1D">
              <w:rPr>
                <w:rFonts w:ascii="Calibri" w:hAnsi="Calibri"/>
              </w:rPr>
              <w:t>49.</w:t>
            </w:r>
          </w:p>
        </w:tc>
        <w:tc>
          <w:tcPr>
            <w:tcW w:w="1842" w:type="dxa"/>
          </w:tcPr>
          <w:p w:rsidR="000C27BF" w:rsidRPr="003A7D1D" w:rsidRDefault="000C27BF" w:rsidP="00556540">
            <w:pPr>
              <w:rPr>
                <w:rFonts w:ascii="Calibri" w:hAnsi="Calibri"/>
              </w:rPr>
            </w:pPr>
            <w:r w:rsidRPr="003A7D1D">
              <w:rPr>
                <w:rFonts w:ascii="Calibri" w:hAnsi="Calibri"/>
              </w:rPr>
              <w:t>PN-EN 13179-1</w:t>
            </w:r>
          </w:p>
        </w:tc>
        <w:tc>
          <w:tcPr>
            <w:tcW w:w="5135" w:type="dxa"/>
          </w:tcPr>
          <w:p w:rsidR="000C27BF" w:rsidRPr="003A7D1D" w:rsidRDefault="000C27BF" w:rsidP="00556540">
            <w:pPr>
              <w:rPr>
                <w:rFonts w:ascii="Calibri" w:hAnsi="Calibri"/>
              </w:rPr>
            </w:pPr>
            <w:r w:rsidRPr="003A7D1D">
              <w:rPr>
                <w:rFonts w:ascii="Calibri" w:hAnsi="Calibri"/>
              </w:rPr>
              <w:t>Badania kruszyw wypełniających stosowanych do mieszanek bitumicznych – Część 1: Badanie metodą Pierścienia i Kuli</w:t>
            </w:r>
          </w:p>
        </w:tc>
      </w:tr>
      <w:tr w:rsidR="000C27BF" w:rsidRPr="003A7D1D" w:rsidTr="00556540">
        <w:tc>
          <w:tcPr>
            <w:tcW w:w="534" w:type="dxa"/>
          </w:tcPr>
          <w:p w:rsidR="000C27BF" w:rsidRPr="003A7D1D" w:rsidRDefault="000C27BF" w:rsidP="00556540">
            <w:pPr>
              <w:rPr>
                <w:rFonts w:ascii="Calibri" w:hAnsi="Calibri"/>
              </w:rPr>
            </w:pPr>
            <w:r w:rsidRPr="003A7D1D">
              <w:rPr>
                <w:rFonts w:ascii="Calibri" w:hAnsi="Calibri"/>
              </w:rPr>
              <w:t>50.</w:t>
            </w:r>
          </w:p>
        </w:tc>
        <w:tc>
          <w:tcPr>
            <w:tcW w:w="1842" w:type="dxa"/>
          </w:tcPr>
          <w:p w:rsidR="000C27BF" w:rsidRPr="003A7D1D" w:rsidRDefault="000C27BF" w:rsidP="00556540">
            <w:pPr>
              <w:rPr>
                <w:rFonts w:ascii="Calibri" w:hAnsi="Calibri"/>
              </w:rPr>
            </w:pPr>
            <w:r w:rsidRPr="003A7D1D">
              <w:rPr>
                <w:rFonts w:ascii="Calibri" w:hAnsi="Calibri"/>
              </w:rPr>
              <w:t>PN-EN 13179-2</w:t>
            </w:r>
          </w:p>
        </w:tc>
        <w:tc>
          <w:tcPr>
            <w:tcW w:w="5135" w:type="dxa"/>
          </w:tcPr>
          <w:p w:rsidR="000C27BF" w:rsidRPr="003A7D1D" w:rsidRDefault="000C27BF" w:rsidP="00556540">
            <w:pPr>
              <w:rPr>
                <w:rFonts w:ascii="Calibri" w:hAnsi="Calibri"/>
              </w:rPr>
            </w:pPr>
            <w:r w:rsidRPr="003A7D1D">
              <w:rPr>
                <w:rFonts w:ascii="Calibri" w:hAnsi="Calibri"/>
              </w:rPr>
              <w:t>Badania kruszyw wypełniających stosowanych do mieszanek bitumicznych – Część 2: Liczba bitumiczna</w:t>
            </w:r>
          </w:p>
        </w:tc>
      </w:tr>
      <w:tr w:rsidR="000C27BF" w:rsidRPr="003A7D1D" w:rsidTr="00556540">
        <w:tc>
          <w:tcPr>
            <w:tcW w:w="534" w:type="dxa"/>
          </w:tcPr>
          <w:p w:rsidR="000C27BF" w:rsidRPr="003A7D1D" w:rsidRDefault="000C27BF" w:rsidP="00556540">
            <w:pPr>
              <w:rPr>
                <w:rFonts w:ascii="Calibri" w:hAnsi="Calibri"/>
              </w:rPr>
            </w:pPr>
            <w:r w:rsidRPr="003A7D1D">
              <w:rPr>
                <w:rFonts w:ascii="Calibri" w:hAnsi="Calibri"/>
              </w:rPr>
              <w:t>51.</w:t>
            </w:r>
          </w:p>
        </w:tc>
        <w:tc>
          <w:tcPr>
            <w:tcW w:w="1842" w:type="dxa"/>
          </w:tcPr>
          <w:p w:rsidR="000C27BF" w:rsidRPr="003A7D1D" w:rsidRDefault="000C27BF" w:rsidP="00556540">
            <w:pPr>
              <w:rPr>
                <w:rFonts w:ascii="Calibri" w:hAnsi="Calibri"/>
              </w:rPr>
            </w:pPr>
            <w:r w:rsidRPr="003A7D1D">
              <w:rPr>
                <w:rFonts w:ascii="Calibri" w:hAnsi="Calibri"/>
              </w:rPr>
              <w:t>PN-EN 13398</w:t>
            </w:r>
          </w:p>
        </w:tc>
        <w:tc>
          <w:tcPr>
            <w:tcW w:w="5135" w:type="dxa"/>
          </w:tcPr>
          <w:p w:rsidR="000C27BF" w:rsidRPr="003A7D1D" w:rsidRDefault="000C27BF" w:rsidP="00556540">
            <w:pPr>
              <w:rPr>
                <w:rFonts w:ascii="Calibri" w:hAnsi="Calibri"/>
              </w:rPr>
            </w:pPr>
            <w:r w:rsidRPr="003A7D1D">
              <w:rPr>
                <w:rFonts w:ascii="Calibri" w:hAnsi="Calibri"/>
              </w:rPr>
              <w:t>Asfalty i lepiszcza asfaltowe – Oznaczanie nawrotu sprężystego asfaltów modyfikowanych</w:t>
            </w:r>
          </w:p>
        </w:tc>
      </w:tr>
      <w:tr w:rsidR="000C27BF" w:rsidRPr="003A7D1D" w:rsidTr="00556540">
        <w:tc>
          <w:tcPr>
            <w:tcW w:w="534" w:type="dxa"/>
          </w:tcPr>
          <w:p w:rsidR="000C27BF" w:rsidRPr="003A7D1D" w:rsidRDefault="000C27BF" w:rsidP="00556540">
            <w:pPr>
              <w:rPr>
                <w:rFonts w:ascii="Calibri" w:hAnsi="Calibri"/>
              </w:rPr>
            </w:pPr>
            <w:r w:rsidRPr="003A7D1D">
              <w:rPr>
                <w:rFonts w:ascii="Calibri" w:hAnsi="Calibri"/>
              </w:rPr>
              <w:t>52.</w:t>
            </w:r>
          </w:p>
        </w:tc>
        <w:tc>
          <w:tcPr>
            <w:tcW w:w="1842" w:type="dxa"/>
          </w:tcPr>
          <w:p w:rsidR="000C27BF" w:rsidRPr="003A7D1D" w:rsidRDefault="000C27BF" w:rsidP="00556540">
            <w:pPr>
              <w:rPr>
                <w:rFonts w:ascii="Calibri" w:hAnsi="Calibri"/>
              </w:rPr>
            </w:pPr>
            <w:r w:rsidRPr="003A7D1D">
              <w:rPr>
                <w:rFonts w:ascii="Calibri" w:hAnsi="Calibri"/>
              </w:rPr>
              <w:t>PN-EN 13399</w:t>
            </w:r>
          </w:p>
        </w:tc>
        <w:tc>
          <w:tcPr>
            <w:tcW w:w="5135" w:type="dxa"/>
          </w:tcPr>
          <w:p w:rsidR="000C27BF" w:rsidRPr="003A7D1D" w:rsidRDefault="000C27BF" w:rsidP="00556540">
            <w:pPr>
              <w:rPr>
                <w:rFonts w:ascii="Calibri" w:hAnsi="Calibri"/>
              </w:rPr>
            </w:pPr>
            <w:r w:rsidRPr="003A7D1D">
              <w:rPr>
                <w:rFonts w:ascii="Calibri" w:hAnsi="Calibri"/>
              </w:rPr>
              <w:t>Asfalty i lepiszcza asfaltowe – Oznaczanie odporności na magazynowanie modyfikowanych asfaltów</w:t>
            </w:r>
          </w:p>
        </w:tc>
      </w:tr>
      <w:tr w:rsidR="000C27BF" w:rsidRPr="003A7D1D" w:rsidTr="00556540">
        <w:tc>
          <w:tcPr>
            <w:tcW w:w="534" w:type="dxa"/>
          </w:tcPr>
          <w:p w:rsidR="000C27BF" w:rsidRPr="003A7D1D" w:rsidRDefault="000C27BF" w:rsidP="00556540">
            <w:pPr>
              <w:rPr>
                <w:rFonts w:ascii="Calibri" w:hAnsi="Calibri"/>
              </w:rPr>
            </w:pPr>
            <w:r w:rsidRPr="003A7D1D">
              <w:rPr>
                <w:rFonts w:ascii="Calibri" w:hAnsi="Calibri"/>
              </w:rPr>
              <w:t>53.</w:t>
            </w:r>
          </w:p>
        </w:tc>
        <w:tc>
          <w:tcPr>
            <w:tcW w:w="1842" w:type="dxa"/>
          </w:tcPr>
          <w:p w:rsidR="000C27BF" w:rsidRPr="003A7D1D" w:rsidRDefault="000C27BF" w:rsidP="00556540">
            <w:pPr>
              <w:rPr>
                <w:rFonts w:ascii="Calibri" w:hAnsi="Calibri"/>
              </w:rPr>
            </w:pPr>
            <w:r w:rsidRPr="003A7D1D">
              <w:rPr>
                <w:rFonts w:ascii="Calibri" w:hAnsi="Calibri"/>
              </w:rPr>
              <w:t>PN-EN 13587</w:t>
            </w:r>
          </w:p>
        </w:tc>
        <w:tc>
          <w:tcPr>
            <w:tcW w:w="5135" w:type="dxa"/>
          </w:tcPr>
          <w:p w:rsidR="000C27BF" w:rsidRPr="003A7D1D" w:rsidRDefault="000C27BF" w:rsidP="00556540">
            <w:pPr>
              <w:rPr>
                <w:rFonts w:ascii="Calibri" w:hAnsi="Calibri"/>
              </w:rPr>
            </w:pPr>
            <w:r w:rsidRPr="003A7D1D">
              <w:rPr>
                <w:rFonts w:ascii="Calibri" w:hAnsi="Calibri"/>
              </w:rPr>
              <w:t>Asfalty i lepiszcza asfaltowe – Oznaczanie ciągliwości lepiszczy asfaltowych metodą pomiaru ciągliwości</w:t>
            </w:r>
          </w:p>
        </w:tc>
      </w:tr>
      <w:tr w:rsidR="000C27BF" w:rsidRPr="003A7D1D" w:rsidTr="00556540">
        <w:tc>
          <w:tcPr>
            <w:tcW w:w="534" w:type="dxa"/>
          </w:tcPr>
          <w:p w:rsidR="000C27BF" w:rsidRPr="003A7D1D" w:rsidRDefault="000C27BF" w:rsidP="00556540">
            <w:pPr>
              <w:rPr>
                <w:rFonts w:ascii="Calibri" w:hAnsi="Calibri"/>
              </w:rPr>
            </w:pPr>
            <w:r w:rsidRPr="003A7D1D">
              <w:rPr>
                <w:rFonts w:ascii="Calibri" w:hAnsi="Calibri"/>
              </w:rPr>
              <w:t>54.</w:t>
            </w:r>
          </w:p>
        </w:tc>
        <w:tc>
          <w:tcPr>
            <w:tcW w:w="1842" w:type="dxa"/>
          </w:tcPr>
          <w:p w:rsidR="000C27BF" w:rsidRPr="003A7D1D" w:rsidRDefault="000C27BF" w:rsidP="00556540">
            <w:pPr>
              <w:rPr>
                <w:rFonts w:ascii="Calibri" w:hAnsi="Calibri"/>
              </w:rPr>
            </w:pPr>
            <w:r w:rsidRPr="003A7D1D">
              <w:rPr>
                <w:rFonts w:ascii="Calibri" w:hAnsi="Calibri"/>
              </w:rPr>
              <w:t>PN-EN 13588</w:t>
            </w:r>
          </w:p>
        </w:tc>
        <w:tc>
          <w:tcPr>
            <w:tcW w:w="5135" w:type="dxa"/>
          </w:tcPr>
          <w:p w:rsidR="000C27BF" w:rsidRPr="003A7D1D" w:rsidRDefault="000C27BF" w:rsidP="00556540">
            <w:pPr>
              <w:rPr>
                <w:rFonts w:ascii="Calibri" w:hAnsi="Calibri"/>
              </w:rPr>
            </w:pPr>
            <w:r w:rsidRPr="003A7D1D">
              <w:rPr>
                <w:rFonts w:ascii="Calibri" w:hAnsi="Calibri"/>
              </w:rPr>
              <w:t>Asfalty i lepiszcza asfaltowe – Oznaczanie kohezji lepiszczy asfaltowych metodą testu wahadłowego</w:t>
            </w:r>
          </w:p>
        </w:tc>
      </w:tr>
      <w:tr w:rsidR="000C27BF" w:rsidRPr="003A7D1D" w:rsidTr="00556540">
        <w:tc>
          <w:tcPr>
            <w:tcW w:w="534" w:type="dxa"/>
          </w:tcPr>
          <w:p w:rsidR="000C27BF" w:rsidRPr="003A7D1D" w:rsidRDefault="000C27BF" w:rsidP="00556540">
            <w:pPr>
              <w:rPr>
                <w:rFonts w:ascii="Calibri" w:hAnsi="Calibri"/>
              </w:rPr>
            </w:pPr>
            <w:r w:rsidRPr="003A7D1D">
              <w:rPr>
                <w:rFonts w:ascii="Calibri" w:hAnsi="Calibri"/>
              </w:rPr>
              <w:t>55.</w:t>
            </w:r>
          </w:p>
        </w:tc>
        <w:tc>
          <w:tcPr>
            <w:tcW w:w="1842" w:type="dxa"/>
          </w:tcPr>
          <w:p w:rsidR="000C27BF" w:rsidRPr="003A7D1D" w:rsidRDefault="000C27BF" w:rsidP="00556540">
            <w:pPr>
              <w:rPr>
                <w:rFonts w:ascii="Calibri" w:hAnsi="Calibri"/>
              </w:rPr>
            </w:pPr>
            <w:r w:rsidRPr="003A7D1D">
              <w:rPr>
                <w:rFonts w:ascii="Calibri" w:hAnsi="Calibri"/>
              </w:rPr>
              <w:t>PN-EN 13589</w:t>
            </w:r>
          </w:p>
        </w:tc>
        <w:tc>
          <w:tcPr>
            <w:tcW w:w="5135" w:type="dxa"/>
          </w:tcPr>
          <w:p w:rsidR="000C27BF" w:rsidRPr="003A7D1D" w:rsidRDefault="000C27BF" w:rsidP="00556540">
            <w:pPr>
              <w:rPr>
                <w:rFonts w:ascii="Calibri" w:hAnsi="Calibri"/>
              </w:rPr>
            </w:pPr>
            <w:r w:rsidRPr="003A7D1D">
              <w:rPr>
                <w:rFonts w:ascii="Calibri" w:hAnsi="Calibri"/>
              </w:rPr>
              <w:t>Asfalty i lepiszcza asfaltowe – Oznaczanie ciągliwości modyfikowanych asfaltów – Metoda z duktylometrem</w:t>
            </w:r>
          </w:p>
        </w:tc>
      </w:tr>
      <w:tr w:rsidR="000C27BF" w:rsidRPr="003A7D1D" w:rsidTr="00556540">
        <w:tc>
          <w:tcPr>
            <w:tcW w:w="534" w:type="dxa"/>
          </w:tcPr>
          <w:p w:rsidR="000C27BF" w:rsidRPr="003A7D1D" w:rsidRDefault="000C27BF" w:rsidP="00556540">
            <w:pPr>
              <w:rPr>
                <w:rFonts w:ascii="Calibri" w:hAnsi="Calibri"/>
              </w:rPr>
            </w:pPr>
            <w:r w:rsidRPr="003A7D1D">
              <w:rPr>
                <w:rFonts w:ascii="Calibri" w:hAnsi="Calibri"/>
              </w:rPr>
              <w:t>56.</w:t>
            </w:r>
          </w:p>
        </w:tc>
        <w:tc>
          <w:tcPr>
            <w:tcW w:w="1842" w:type="dxa"/>
          </w:tcPr>
          <w:p w:rsidR="000C27BF" w:rsidRPr="003A7D1D" w:rsidRDefault="000C27BF" w:rsidP="00556540">
            <w:pPr>
              <w:rPr>
                <w:rFonts w:ascii="Calibri" w:hAnsi="Calibri"/>
              </w:rPr>
            </w:pPr>
            <w:r w:rsidRPr="003A7D1D">
              <w:rPr>
                <w:rFonts w:ascii="Calibri" w:hAnsi="Calibri"/>
              </w:rPr>
              <w:t>PN-EN 13614</w:t>
            </w:r>
          </w:p>
        </w:tc>
        <w:tc>
          <w:tcPr>
            <w:tcW w:w="5135" w:type="dxa"/>
          </w:tcPr>
          <w:p w:rsidR="000C27BF" w:rsidRPr="003A7D1D" w:rsidRDefault="000C27BF" w:rsidP="00556540">
            <w:pPr>
              <w:rPr>
                <w:rFonts w:ascii="Calibri" w:hAnsi="Calibri"/>
              </w:rPr>
            </w:pPr>
            <w:r w:rsidRPr="003A7D1D">
              <w:rPr>
                <w:rFonts w:ascii="Calibri" w:hAnsi="Calibri"/>
              </w:rPr>
              <w:t>Asfalty i lepiszcza asfaltowe – Oznaczanie przyczepności emulsji bitumicznych przez zanurzenie w wodzie – Metoda z kruszywem</w:t>
            </w:r>
          </w:p>
        </w:tc>
      </w:tr>
      <w:tr w:rsidR="000C27BF" w:rsidRPr="003A7D1D" w:rsidTr="00556540">
        <w:tc>
          <w:tcPr>
            <w:tcW w:w="534" w:type="dxa"/>
          </w:tcPr>
          <w:p w:rsidR="000C27BF" w:rsidRPr="003A7D1D" w:rsidRDefault="000C27BF" w:rsidP="00556540">
            <w:pPr>
              <w:rPr>
                <w:rFonts w:ascii="Calibri" w:hAnsi="Calibri"/>
              </w:rPr>
            </w:pPr>
            <w:r w:rsidRPr="003A7D1D">
              <w:rPr>
                <w:rFonts w:ascii="Calibri" w:hAnsi="Calibri"/>
              </w:rPr>
              <w:t>57.</w:t>
            </w:r>
          </w:p>
        </w:tc>
        <w:tc>
          <w:tcPr>
            <w:tcW w:w="1842" w:type="dxa"/>
          </w:tcPr>
          <w:p w:rsidR="000C27BF" w:rsidRPr="003A7D1D" w:rsidRDefault="000C27BF" w:rsidP="00556540">
            <w:pPr>
              <w:rPr>
                <w:rFonts w:ascii="Calibri" w:hAnsi="Calibri"/>
              </w:rPr>
            </w:pPr>
            <w:r w:rsidRPr="003A7D1D">
              <w:rPr>
                <w:rFonts w:ascii="Calibri" w:hAnsi="Calibri"/>
              </w:rPr>
              <w:t>PN-EN 13703</w:t>
            </w:r>
          </w:p>
        </w:tc>
        <w:tc>
          <w:tcPr>
            <w:tcW w:w="5135" w:type="dxa"/>
          </w:tcPr>
          <w:p w:rsidR="000C27BF" w:rsidRPr="003A7D1D" w:rsidRDefault="000C27BF" w:rsidP="00556540">
            <w:pPr>
              <w:rPr>
                <w:rFonts w:ascii="Calibri" w:hAnsi="Calibri"/>
              </w:rPr>
            </w:pPr>
            <w:r w:rsidRPr="003A7D1D">
              <w:rPr>
                <w:rFonts w:ascii="Calibri" w:hAnsi="Calibri"/>
              </w:rPr>
              <w:t>Asfalty i lepiszcza asfaltowe – Oznaczanie energii deformacji</w:t>
            </w:r>
          </w:p>
        </w:tc>
      </w:tr>
      <w:tr w:rsidR="000C27BF" w:rsidRPr="003A7D1D" w:rsidTr="00556540">
        <w:tc>
          <w:tcPr>
            <w:tcW w:w="534" w:type="dxa"/>
          </w:tcPr>
          <w:p w:rsidR="000C27BF" w:rsidRPr="003A7D1D" w:rsidRDefault="000C27BF" w:rsidP="00556540">
            <w:pPr>
              <w:rPr>
                <w:rFonts w:ascii="Calibri" w:hAnsi="Calibri"/>
              </w:rPr>
            </w:pPr>
            <w:r w:rsidRPr="003A7D1D">
              <w:rPr>
                <w:rFonts w:ascii="Calibri" w:hAnsi="Calibri"/>
              </w:rPr>
              <w:t>58.</w:t>
            </w:r>
          </w:p>
        </w:tc>
        <w:tc>
          <w:tcPr>
            <w:tcW w:w="1842" w:type="dxa"/>
          </w:tcPr>
          <w:p w:rsidR="000C27BF" w:rsidRPr="003A7D1D" w:rsidRDefault="000C27BF" w:rsidP="00556540">
            <w:pPr>
              <w:rPr>
                <w:rFonts w:ascii="Calibri" w:hAnsi="Calibri"/>
              </w:rPr>
            </w:pPr>
            <w:r w:rsidRPr="003A7D1D">
              <w:rPr>
                <w:rFonts w:ascii="Calibri" w:hAnsi="Calibri"/>
              </w:rPr>
              <w:t>PN-EN 13808</w:t>
            </w:r>
          </w:p>
        </w:tc>
        <w:tc>
          <w:tcPr>
            <w:tcW w:w="5135" w:type="dxa"/>
          </w:tcPr>
          <w:p w:rsidR="000C27BF" w:rsidRPr="003A7D1D" w:rsidRDefault="000C27BF" w:rsidP="00556540">
            <w:pPr>
              <w:rPr>
                <w:rFonts w:ascii="Calibri" w:hAnsi="Calibri"/>
              </w:rPr>
            </w:pPr>
            <w:r w:rsidRPr="003A7D1D">
              <w:rPr>
                <w:rFonts w:ascii="Calibri" w:hAnsi="Calibri"/>
              </w:rPr>
              <w:t>Asfalty i lepiszcza asfaltowe – Zasady specyfikacji kationowych emulsji asfaltowych</w:t>
            </w:r>
          </w:p>
        </w:tc>
      </w:tr>
      <w:tr w:rsidR="000C27BF" w:rsidRPr="003A7D1D" w:rsidTr="00556540">
        <w:tc>
          <w:tcPr>
            <w:tcW w:w="534" w:type="dxa"/>
          </w:tcPr>
          <w:p w:rsidR="000C27BF" w:rsidRPr="003A7D1D" w:rsidRDefault="000C27BF" w:rsidP="00556540">
            <w:pPr>
              <w:rPr>
                <w:rFonts w:ascii="Calibri" w:hAnsi="Calibri"/>
              </w:rPr>
            </w:pPr>
            <w:r w:rsidRPr="003A7D1D">
              <w:rPr>
                <w:rFonts w:ascii="Calibri" w:hAnsi="Calibri"/>
              </w:rPr>
              <w:t>59.</w:t>
            </w:r>
          </w:p>
        </w:tc>
        <w:tc>
          <w:tcPr>
            <w:tcW w:w="1842" w:type="dxa"/>
          </w:tcPr>
          <w:p w:rsidR="000C27BF" w:rsidRPr="003A7D1D" w:rsidRDefault="000C27BF" w:rsidP="00556540">
            <w:pPr>
              <w:rPr>
                <w:rFonts w:ascii="Calibri" w:hAnsi="Calibri"/>
              </w:rPr>
            </w:pPr>
            <w:r w:rsidRPr="003A7D1D">
              <w:rPr>
                <w:rFonts w:ascii="Calibri" w:hAnsi="Calibri"/>
              </w:rPr>
              <w:t>PN-EN 14023</w:t>
            </w:r>
          </w:p>
        </w:tc>
        <w:tc>
          <w:tcPr>
            <w:tcW w:w="5135" w:type="dxa"/>
          </w:tcPr>
          <w:p w:rsidR="000C27BF" w:rsidRPr="003A7D1D" w:rsidRDefault="000C27BF" w:rsidP="00556540">
            <w:pPr>
              <w:rPr>
                <w:rFonts w:ascii="Calibri" w:hAnsi="Calibri"/>
              </w:rPr>
            </w:pPr>
            <w:r w:rsidRPr="003A7D1D">
              <w:rPr>
                <w:rFonts w:ascii="Calibri" w:hAnsi="Calibri"/>
              </w:rPr>
              <w:t>Asfalty i lepiszcza asfaltowe – Zasady specyfikacji asfaltów modyfikowanych polimerami</w:t>
            </w:r>
          </w:p>
        </w:tc>
      </w:tr>
      <w:tr w:rsidR="000C27BF" w:rsidRPr="003A7D1D" w:rsidTr="00556540">
        <w:tc>
          <w:tcPr>
            <w:tcW w:w="534" w:type="dxa"/>
          </w:tcPr>
          <w:p w:rsidR="000C27BF" w:rsidRPr="003A7D1D" w:rsidRDefault="000C27BF" w:rsidP="00556540">
            <w:pPr>
              <w:rPr>
                <w:rFonts w:ascii="Calibri" w:hAnsi="Calibri"/>
              </w:rPr>
            </w:pPr>
            <w:r w:rsidRPr="003A7D1D">
              <w:rPr>
                <w:rFonts w:ascii="Calibri" w:hAnsi="Calibri"/>
              </w:rPr>
              <w:t>60.</w:t>
            </w:r>
          </w:p>
        </w:tc>
        <w:tc>
          <w:tcPr>
            <w:tcW w:w="1842" w:type="dxa"/>
          </w:tcPr>
          <w:p w:rsidR="000C27BF" w:rsidRPr="003A7D1D" w:rsidRDefault="000C27BF" w:rsidP="00556540">
            <w:pPr>
              <w:rPr>
                <w:rFonts w:ascii="Calibri" w:hAnsi="Calibri"/>
              </w:rPr>
            </w:pPr>
            <w:r w:rsidRPr="003A7D1D">
              <w:rPr>
                <w:rFonts w:ascii="Calibri" w:hAnsi="Calibri"/>
              </w:rPr>
              <w:t>PN-EN 14188-1</w:t>
            </w:r>
          </w:p>
        </w:tc>
        <w:tc>
          <w:tcPr>
            <w:tcW w:w="5135" w:type="dxa"/>
          </w:tcPr>
          <w:p w:rsidR="000C27BF" w:rsidRPr="003A7D1D" w:rsidRDefault="000C27BF" w:rsidP="00556540">
            <w:pPr>
              <w:rPr>
                <w:rFonts w:ascii="Calibri" w:hAnsi="Calibri"/>
              </w:rPr>
            </w:pPr>
            <w:r w:rsidRPr="003A7D1D">
              <w:rPr>
                <w:rFonts w:ascii="Calibri" w:hAnsi="Calibri"/>
              </w:rPr>
              <w:t>Wypełniacze złączy i zalewy – Część 1: Specyfikacja zalew na gorąco</w:t>
            </w:r>
          </w:p>
        </w:tc>
      </w:tr>
      <w:tr w:rsidR="000C27BF" w:rsidRPr="003A7D1D" w:rsidTr="00556540">
        <w:tc>
          <w:tcPr>
            <w:tcW w:w="534" w:type="dxa"/>
          </w:tcPr>
          <w:p w:rsidR="000C27BF" w:rsidRPr="003A7D1D" w:rsidRDefault="000C27BF" w:rsidP="00556540">
            <w:pPr>
              <w:rPr>
                <w:rFonts w:ascii="Calibri" w:hAnsi="Calibri"/>
              </w:rPr>
            </w:pPr>
            <w:r w:rsidRPr="003A7D1D">
              <w:rPr>
                <w:rFonts w:ascii="Calibri" w:hAnsi="Calibri"/>
              </w:rPr>
              <w:t>61.</w:t>
            </w:r>
          </w:p>
        </w:tc>
        <w:tc>
          <w:tcPr>
            <w:tcW w:w="1842" w:type="dxa"/>
          </w:tcPr>
          <w:p w:rsidR="000C27BF" w:rsidRPr="003A7D1D" w:rsidRDefault="000C27BF" w:rsidP="00556540">
            <w:pPr>
              <w:rPr>
                <w:rFonts w:ascii="Calibri" w:hAnsi="Calibri"/>
              </w:rPr>
            </w:pPr>
            <w:r w:rsidRPr="003A7D1D">
              <w:rPr>
                <w:rFonts w:ascii="Calibri" w:hAnsi="Calibri"/>
              </w:rPr>
              <w:t>PN-EN 14188-2</w:t>
            </w:r>
          </w:p>
        </w:tc>
        <w:tc>
          <w:tcPr>
            <w:tcW w:w="5135" w:type="dxa"/>
          </w:tcPr>
          <w:p w:rsidR="000C27BF" w:rsidRPr="003A7D1D" w:rsidRDefault="000C27BF" w:rsidP="00556540">
            <w:pPr>
              <w:rPr>
                <w:rFonts w:ascii="Calibri" w:hAnsi="Calibri"/>
              </w:rPr>
            </w:pPr>
            <w:r w:rsidRPr="003A7D1D">
              <w:rPr>
                <w:rFonts w:ascii="Calibri" w:hAnsi="Calibri"/>
              </w:rPr>
              <w:t>Wypełniacze złączy i zalewy – Część 2: Specyfikacja zalew na zimno</w:t>
            </w:r>
          </w:p>
        </w:tc>
      </w:tr>
      <w:tr w:rsidR="000C27BF" w:rsidRPr="003A7D1D" w:rsidTr="00556540">
        <w:tc>
          <w:tcPr>
            <w:tcW w:w="534" w:type="dxa"/>
          </w:tcPr>
          <w:p w:rsidR="000C27BF" w:rsidRPr="003A7D1D" w:rsidRDefault="000C27BF" w:rsidP="00556540">
            <w:pPr>
              <w:rPr>
                <w:rFonts w:ascii="Calibri" w:hAnsi="Calibri"/>
              </w:rPr>
            </w:pPr>
            <w:r w:rsidRPr="003A7D1D">
              <w:rPr>
                <w:rFonts w:ascii="Calibri" w:hAnsi="Calibri"/>
              </w:rPr>
              <w:t>62.</w:t>
            </w:r>
          </w:p>
        </w:tc>
        <w:tc>
          <w:tcPr>
            <w:tcW w:w="1842" w:type="dxa"/>
          </w:tcPr>
          <w:p w:rsidR="000C27BF" w:rsidRPr="003A7D1D" w:rsidRDefault="000C27BF" w:rsidP="00556540">
            <w:pPr>
              <w:rPr>
                <w:rFonts w:ascii="Calibri" w:hAnsi="Calibri"/>
              </w:rPr>
            </w:pPr>
            <w:r w:rsidRPr="003A7D1D">
              <w:rPr>
                <w:rFonts w:ascii="Calibri" w:hAnsi="Calibri"/>
              </w:rPr>
              <w:t>PN-EN 22592</w:t>
            </w:r>
          </w:p>
        </w:tc>
        <w:tc>
          <w:tcPr>
            <w:tcW w:w="5135" w:type="dxa"/>
          </w:tcPr>
          <w:p w:rsidR="000C27BF" w:rsidRPr="003A7D1D" w:rsidRDefault="000C27BF" w:rsidP="00556540">
            <w:pPr>
              <w:rPr>
                <w:rFonts w:ascii="Calibri" w:hAnsi="Calibri"/>
              </w:rPr>
            </w:pPr>
            <w:r w:rsidRPr="003A7D1D">
              <w:rPr>
                <w:rFonts w:ascii="Calibri" w:hAnsi="Calibri"/>
              </w:rPr>
              <w:t>Przetwory naftowe – Oznaczanie temperatury zapłonu i palenia – Pomiar metodą otwartego tygla Clevelanda</w:t>
            </w:r>
          </w:p>
        </w:tc>
      </w:tr>
      <w:tr w:rsidR="000C27BF" w:rsidRPr="003A7D1D" w:rsidTr="00556540">
        <w:tc>
          <w:tcPr>
            <w:tcW w:w="534" w:type="dxa"/>
          </w:tcPr>
          <w:p w:rsidR="000C27BF" w:rsidRPr="003A7D1D" w:rsidRDefault="000C27BF" w:rsidP="00556540">
            <w:pPr>
              <w:rPr>
                <w:rFonts w:ascii="Calibri" w:hAnsi="Calibri"/>
              </w:rPr>
            </w:pPr>
            <w:r w:rsidRPr="003A7D1D">
              <w:rPr>
                <w:rFonts w:ascii="Calibri" w:hAnsi="Calibri"/>
              </w:rPr>
              <w:lastRenderedPageBreak/>
              <w:t>63.</w:t>
            </w:r>
          </w:p>
        </w:tc>
        <w:tc>
          <w:tcPr>
            <w:tcW w:w="1842" w:type="dxa"/>
          </w:tcPr>
          <w:p w:rsidR="000C27BF" w:rsidRPr="003A7D1D" w:rsidRDefault="000C27BF" w:rsidP="00556540">
            <w:pPr>
              <w:rPr>
                <w:rFonts w:ascii="Calibri" w:hAnsi="Calibri"/>
              </w:rPr>
            </w:pPr>
            <w:r w:rsidRPr="003A7D1D">
              <w:rPr>
                <w:rFonts w:ascii="Calibri" w:hAnsi="Calibri"/>
              </w:rPr>
              <w:t>PN-EN ISO 2592</w:t>
            </w:r>
          </w:p>
        </w:tc>
        <w:tc>
          <w:tcPr>
            <w:tcW w:w="5135" w:type="dxa"/>
          </w:tcPr>
          <w:p w:rsidR="000C27BF" w:rsidRPr="003A7D1D" w:rsidRDefault="000C27BF" w:rsidP="00556540">
            <w:pPr>
              <w:rPr>
                <w:rFonts w:ascii="Calibri" w:hAnsi="Calibri"/>
              </w:rPr>
            </w:pPr>
            <w:r w:rsidRPr="003A7D1D">
              <w:rPr>
                <w:rFonts w:ascii="Calibri" w:hAnsi="Calibri"/>
              </w:rPr>
              <w:t>Oznaczanie temperatury zapłonu i palenia – Metoda otwartego tygla Clevelanda</w:t>
            </w:r>
          </w:p>
        </w:tc>
      </w:tr>
    </w:tbl>
    <w:p w:rsidR="000C27BF" w:rsidRPr="003A7D1D" w:rsidRDefault="000C27BF" w:rsidP="000C27BF">
      <w:pPr>
        <w:rPr>
          <w:rFonts w:ascii="Calibri" w:hAnsi="Calibri"/>
        </w:rPr>
      </w:pPr>
      <w:r w:rsidRPr="00654C26">
        <w:rPr>
          <w:rFonts w:ascii="Calibri" w:hAnsi="Calibri"/>
          <w:b/>
        </w:rPr>
        <w:t xml:space="preserve">10.3. </w:t>
      </w:r>
      <w:r w:rsidRPr="003A7D1D">
        <w:rPr>
          <w:rFonts w:ascii="Calibri" w:hAnsi="Calibri"/>
        </w:rPr>
        <w:t>Wymagania techniczne</w:t>
      </w:r>
    </w:p>
    <w:p w:rsidR="000C27BF" w:rsidRPr="003A7D1D" w:rsidRDefault="000C27BF" w:rsidP="000C27BF">
      <w:pPr>
        <w:rPr>
          <w:rFonts w:ascii="Calibri" w:hAnsi="Calibri"/>
        </w:rPr>
      </w:pPr>
      <w:r>
        <w:rPr>
          <w:rFonts w:ascii="Calibri" w:hAnsi="Calibri"/>
        </w:rPr>
        <w:t xml:space="preserve">64. </w:t>
      </w:r>
      <w:r w:rsidRPr="003A7D1D">
        <w:rPr>
          <w:rFonts w:ascii="Calibri" w:hAnsi="Calibri"/>
        </w:rPr>
        <w:t>WT-1 Kruszywa 2010. Kruszywa do mieszanek mineralno-asfaltowych i powierzchniowych utrwaleń na drogach krajowych - Zarządzenie nr 102 Generalnego Dyrektora Dróg Krajowych i Autostrad z dnia 19 listopada 2010 r.</w:t>
      </w:r>
    </w:p>
    <w:p w:rsidR="000C27BF" w:rsidRPr="003A7D1D" w:rsidRDefault="000C27BF" w:rsidP="000C27BF">
      <w:pPr>
        <w:rPr>
          <w:rFonts w:ascii="Calibri" w:hAnsi="Calibri"/>
        </w:rPr>
      </w:pPr>
      <w:r>
        <w:rPr>
          <w:rFonts w:ascii="Calibri" w:hAnsi="Calibri"/>
        </w:rPr>
        <w:t xml:space="preserve">65. </w:t>
      </w:r>
      <w:r w:rsidRPr="003A7D1D">
        <w:rPr>
          <w:rFonts w:ascii="Calibri" w:hAnsi="Calibri"/>
        </w:rPr>
        <w:t>WT-2 Nawierzchnie asfaltowe 2010. Nawierzchnie asfaltowe na drogach krajowych - Zarządzenie nr 102 Generalnego Dyrektora Dróg Krajowych i Autostrad z dnia 19 listopada 2010 r.</w:t>
      </w:r>
    </w:p>
    <w:p w:rsidR="000C27BF" w:rsidRPr="003A7D1D" w:rsidRDefault="000C27BF" w:rsidP="000C27BF">
      <w:pPr>
        <w:rPr>
          <w:rFonts w:ascii="Calibri" w:hAnsi="Calibri"/>
        </w:rPr>
      </w:pPr>
      <w:r>
        <w:rPr>
          <w:rFonts w:ascii="Calibri" w:hAnsi="Calibri"/>
        </w:rPr>
        <w:t xml:space="preserve">66. </w:t>
      </w:r>
      <w:r w:rsidRPr="003A7D1D">
        <w:rPr>
          <w:rFonts w:ascii="Calibri" w:hAnsi="Calibri"/>
        </w:rPr>
        <w:t>WT-3 Emulsje asfaltowe 2009. Kationowe emulsje asfaltowe na drogach publicznych</w:t>
      </w:r>
    </w:p>
    <w:p w:rsidR="000C27BF" w:rsidRPr="003A7D1D" w:rsidRDefault="000C27BF" w:rsidP="000C27BF">
      <w:pPr>
        <w:rPr>
          <w:rFonts w:ascii="Calibri" w:hAnsi="Calibri"/>
        </w:rPr>
      </w:pPr>
      <w:r w:rsidRPr="00654C26">
        <w:rPr>
          <w:rFonts w:ascii="Calibri" w:hAnsi="Calibri"/>
          <w:b/>
        </w:rPr>
        <w:t>10.4.</w:t>
      </w:r>
      <w:r w:rsidRPr="003A7D1D">
        <w:rPr>
          <w:rFonts w:ascii="Calibri" w:hAnsi="Calibri"/>
        </w:rPr>
        <w:t xml:space="preserve"> Inne dokumenty</w:t>
      </w:r>
    </w:p>
    <w:p w:rsidR="000C27BF" w:rsidRPr="003A7D1D" w:rsidRDefault="000C27BF" w:rsidP="000C27BF">
      <w:pPr>
        <w:rPr>
          <w:rFonts w:ascii="Calibri" w:hAnsi="Calibri"/>
        </w:rPr>
      </w:pPr>
      <w:r>
        <w:rPr>
          <w:rFonts w:ascii="Calibri" w:hAnsi="Calibri"/>
        </w:rPr>
        <w:t xml:space="preserve">67. </w:t>
      </w:r>
      <w:r w:rsidRPr="003A7D1D">
        <w:rPr>
          <w:rFonts w:ascii="Calibri" w:hAnsi="Calibri"/>
        </w:rPr>
        <w:t>Rozporządzenie Ministra Transportu i Gospodarki Morskiej z dnia 2 marca 1999 r. w sprawie warunków technicznych, jakim powinny odpowiadać drogi publiczne i ich usytuowanie (Dz.U. nr 43, poz. 430)</w:t>
      </w:r>
    </w:p>
    <w:p w:rsidR="000C27BF" w:rsidRPr="003A7D1D" w:rsidRDefault="000C27BF" w:rsidP="000C27BF">
      <w:pPr>
        <w:rPr>
          <w:rFonts w:ascii="Calibri" w:hAnsi="Calibri"/>
        </w:rPr>
      </w:pPr>
      <w:r>
        <w:rPr>
          <w:rFonts w:ascii="Calibri" w:hAnsi="Calibri"/>
        </w:rPr>
        <w:t xml:space="preserve">68. </w:t>
      </w:r>
      <w:r w:rsidRPr="003A7D1D">
        <w:rPr>
          <w:rFonts w:ascii="Calibri" w:hAnsi="Calibri"/>
        </w:rPr>
        <w:t>Katalog typowych konstrukcji nawierzchni podatnych i półsztywnych. Generalna Dyrekcja Dróg Publicznych – Instytut Badawczy Dróg i Mostów, Warszawa 1997</w:t>
      </w:r>
    </w:p>
    <w:p w:rsidR="000C27BF" w:rsidRDefault="000C27BF" w:rsidP="000C27BF">
      <w:pPr>
        <w:spacing w:after="120"/>
        <w:ind w:right="-142"/>
      </w:pPr>
    </w:p>
    <w:p w:rsidR="000C27BF" w:rsidRDefault="000C27BF" w:rsidP="000C27BF">
      <w:pPr>
        <w:spacing w:after="120"/>
        <w:ind w:right="-142"/>
      </w:pPr>
    </w:p>
    <w:p w:rsidR="000C27BF" w:rsidRDefault="000C27BF" w:rsidP="000C27BF">
      <w:pPr>
        <w:spacing w:after="120"/>
        <w:ind w:right="-142"/>
      </w:pPr>
    </w:p>
    <w:p w:rsidR="00141829" w:rsidRDefault="00141829" w:rsidP="00141829"/>
    <w:p w:rsidR="00141829" w:rsidRDefault="00141829" w:rsidP="00141829"/>
    <w:p w:rsidR="00141829" w:rsidRDefault="00141829" w:rsidP="00141829"/>
    <w:p w:rsidR="00141829" w:rsidRDefault="00141829" w:rsidP="00141829"/>
    <w:p w:rsidR="00141829" w:rsidRDefault="00141829" w:rsidP="00141829"/>
    <w:p w:rsidR="00141829" w:rsidRDefault="00141829" w:rsidP="00141829"/>
    <w:p w:rsidR="00141829" w:rsidRDefault="00141829" w:rsidP="00141829"/>
    <w:p w:rsidR="00141829" w:rsidRDefault="00141829" w:rsidP="00141829"/>
    <w:p w:rsidR="00141829" w:rsidRDefault="00141829" w:rsidP="00141829"/>
    <w:p w:rsidR="000C27BF" w:rsidRDefault="000C27BF" w:rsidP="00141829"/>
    <w:p w:rsidR="000C27BF" w:rsidRDefault="000C27BF" w:rsidP="00141829"/>
    <w:p w:rsidR="000C27BF" w:rsidRDefault="000C27BF" w:rsidP="00141829"/>
    <w:p w:rsidR="000C27BF" w:rsidRDefault="000C27BF" w:rsidP="00141829"/>
    <w:p w:rsidR="000C27BF" w:rsidRDefault="000C27BF" w:rsidP="00141829"/>
    <w:p w:rsidR="000C27BF" w:rsidRDefault="000C27BF" w:rsidP="00141829"/>
    <w:p w:rsidR="000C27BF" w:rsidRDefault="000C27BF" w:rsidP="00141829"/>
    <w:p w:rsidR="000C27BF" w:rsidRDefault="000C27BF" w:rsidP="00141829"/>
    <w:p w:rsidR="000C27BF" w:rsidRDefault="000C27BF" w:rsidP="00141829"/>
    <w:p w:rsidR="000C27BF" w:rsidRDefault="000C27BF" w:rsidP="00141829"/>
    <w:p w:rsidR="000C27BF" w:rsidRDefault="000C27BF" w:rsidP="00141829"/>
    <w:p w:rsidR="000C27BF" w:rsidRDefault="000C27BF" w:rsidP="00141829"/>
    <w:p w:rsidR="000C27BF" w:rsidRDefault="000C27BF" w:rsidP="00141829"/>
    <w:p w:rsidR="000C27BF" w:rsidRDefault="000C27BF" w:rsidP="00141829"/>
    <w:p w:rsidR="000C27BF" w:rsidRDefault="000C27BF" w:rsidP="00141829"/>
    <w:p w:rsidR="000C27BF" w:rsidRDefault="000C27BF" w:rsidP="00141829"/>
    <w:p w:rsidR="000C27BF" w:rsidRDefault="000C27BF" w:rsidP="00141829"/>
    <w:p w:rsidR="000C27BF" w:rsidRDefault="000C27BF" w:rsidP="00141829"/>
    <w:p w:rsidR="000C27BF" w:rsidRDefault="000C27BF" w:rsidP="00141829"/>
    <w:p w:rsidR="000C27BF" w:rsidRDefault="000C27BF" w:rsidP="00141829"/>
    <w:p w:rsidR="000C27BF" w:rsidRDefault="000C27BF" w:rsidP="00141829"/>
    <w:p w:rsidR="000C27BF" w:rsidRDefault="000C27BF" w:rsidP="00141829"/>
    <w:p w:rsidR="000C27BF" w:rsidRDefault="000C27BF" w:rsidP="00141829"/>
    <w:p w:rsidR="000C27BF" w:rsidRDefault="000C27BF" w:rsidP="00141829"/>
    <w:p w:rsidR="000C27BF" w:rsidRDefault="000C27BF" w:rsidP="00141829"/>
    <w:p w:rsidR="000C27BF" w:rsidRDefault="000C27BF" w:rsidP="00141829"/>
    <w:p w:rsidR="000C27BF" w:rsidRDefault="000C27BF" w:rsidP="00141829"/>
    <w:p w:rsidR="000C27BF" w:rsidRDefault="000C27BF" w:rsidP="00141829"/>
    <w:p w:rsidR="000C27BF" w:rsidRDefault="000C27BF" w:rsidP="00141829"/>
    <w:p w:rsidR="000C27BF" w:rsidRDefault="000C27BF" w:rsidP="00141829"/>
    <w:p w:rsidR="000C27BF" w:rsidRDefault="000C27BF" w:rsidP="00141829"/>
    <w:p w:rsidR="000C27BF" w:rsidRDefault="000C27BF" w:rsidP="00141829"/>
    <w:p w:rsidR="000C27BF" w:rsidRDefault="000C27BF" w:rsidP="00141829"/>
    <w:p w:rsidR="000C27BF" w:rsidRDefault="000C27BF" w:rsidP="00141829"/>
    <w:p w:rsidR="000C27BF" w:rsidRDefault="000C27BF" w:rsidP="00141829"/>
    <w:p w:rsidR="000C27BF" w:rsidRDefault="000C27BF" w:rsidP="00141829"/>
    <w:p w:rsidR="000C27BF" w:rsidRDefault="000C27BF" w:rsidP="00141829"/>
    <w:p w:rsidR="000C27BF" w:rsidRDefault="000C27BF" w:rsidP="00141829"/>
    <w:p w:rsidR="000C27BF" w:rsidRDefault="000C27BF" w:rsidP="00141829"/>
    <w:p w:rsidR="000C27BF" w:rsidRDefault="000C27BF" w:rsidP="00141829"/>
    <w:p w:rsidR="000C27BF" w:rsidRDefault="000C27BF" w:rsidP="00141829"/>
    <w:p w:rsidR="000C27BF" w:rsidRDefault="000C27BF" w:rsidP="00141829"/>
    <w:p w:rsidR="000C27BF" w:rsidRDefault="000C27BF" w:rsidP="00141829"/>
    <w:p w:rsidR="000C27BF" w:rsidRDefault="000C27BF" w:rsidP="00141829"/>
    <w:p w:rsidR="000C27BF" w:rsidRDefault="000C27BF" w:rsidP="00141829"/>
    <w:p w:rsidR="000C27BF" w:rsidRDefault="000C27BF" w:rsidP="00141829"/>
    <w:p w:rsidR="000C27BF" w:rsidRDefault="000C27BF" w:rsidP="00141829"/>
    <w:p w:rsidR="000C27BF" w:rsidRDefault="000C27BF" w:rsidP="00141829"/>
    <w:p w:rsidR="00141829" w:rsidRDefault="00141829" w:rsidP="00141829"/>
    <w:p w:rsidR="00141829" w:rsidRDefault="00141829" w:rsidP="00141829"/>
    <w:p w:rsidR="00141829" w:rsidRPr="00141829" w:rsidRDefault="00141829" w:rsidP="00141829"/>
    <w:p w:rsidR="00864D7C" w:rsidRPr="004B054E" w:rsidRDefault="00864D7C" w:rsidP="00864D7C">
      <w:pPr>
        <w:pStyle w:val="Nagwek1"/>
        <w:jc w:val="center"/>
      </w:pPr>
      <w:bookmarkStart w:id="1496" w:name="_Toc438237731"/>
      <w:r w:rsidRPr="004B054E">
        <w:t>D-05.03.11 FREZOWANIE NAWIERZCHNI ASFALTOWYCH NA ZIMNO</w:t>
      </w:r>
      <w:bookmarkEnd w:id="1496"/>
    </w:p>
    <w:p w:rsidR="00864D7C" w:rsidRPr="004B054E" w:rsidRDefault="00864D7C" w:rsidP="00864D7C">
      <w:pPr>
        <w:jc w:val="center"/>
      </w:pPr>
    </w:p>
    <w:p w:rsidR="00864D7C" w:rsidRPr="006A1269" w:rsidRDefault="00864D7C" w:rsidP="00864D7C">
      <w:pPr>
        <w:jc w:val="center"/>
      </w:pPr>
    </w:p>
    <w:p w:rsidR="00864D7C" w:rsidRPr="006A1269" w:rsidRDefault="00864D7C" w:rsidP="00864D7C"/>
    <w:p w:rsidR="00864D7C" w:rsidRPr="006A1269" w:rsidRDefault="00864D7C" w:rsidP="00864D7C"/>
    <w:p w:rsidR="00864D7C" w:rsidRPr="006A1269" w:rsidRDefault="00864D7C" w:rsidP="00864D7C"/>
    <w:p w:rsidR="00864D7C" w:rsidRPr="006A1269" w:rsidRDefault="00864D7C" w:rsidP="00864D7C"/>
    <w:p w:rsidR="00864D7C" w:rsidRPr="006A1269" w:rsidRDefault="00864D7C" w:rsidP="00864D7C"/>
    <w:p w:rsidR="00864D7C" w:rsidRPr="006A1269" w:rsidRDefault="00864D7C" w:rsidP="00864D7C"/>
    <w:p w:rsidR="00864D7C" w:rsidRPr="006A1269" w:rsidRDefault="00864D7C" w:rsidP="00864D7C"/>
    <w:p w:rsidR="00864D7C" w:rsidRPr="006A1269" w:rsidRDefault="00864D7C" w:rsidP="00864D7C"/>
    <w:p w:rsidR="00864D7C" w:rsidRDefault="00864D7C" w:rsidP="00864D7C"/>
    <w:p w:rsidR="00864D7C" w:rsidRDefault="00864D7C" w:rsidP="00864D7C"/>
    <w:p w:rsidR="00864D7C" w:rsidRDefault="00864D7C" w:rsidP="00864D7C"/>
    <w:p w:rsidR="00864D7C" w:rsidRDefault="00864D7C" w:rsidP="00864D7C"/>
    <w:p w:rsidR="00864D7C" w:rsidRDefault="00864D7C" w:rsidP="00864D7C"/>
    <w:p w:rsidR="00864D7C" w:rsidRDefault="00864D7C" w:rsidP="00864D7C"/>
    <w:p w:rsidR="00864D7C" w:rsidRDefault="00864D7C" w:rsidP="00864D7C"/>
    <w:p w:rsidR="00864D7C" w:rsidRDefault="00864D7C" w:rsidP="00864D7C"/>
    <w:p w:rsidR="00864D7C" w:rsidRDefault="00864D7C" w:rsidP="00864D7C"/>
    <w:p w:rsidR="00864D7C" w:rsidRDefault="00864D7C" w:rsidP="00864D7C"/>
    <w:p w:rsidR="00864D7C" w:rsidRDefault="00864D7C" w:rsidP="00864D7C"/>
    <w:p w:rsidR="00864D7C" w:rsidRDefault="00864D7C" w:rsidP="00864D7C"/>
    <w:p w:rsidR="00864D7C" w:rsidRDefault="00864D7C" w:rsidP="00864D7C"/>
    <w:p w:rsidR="00864D7C" w:rsidRDefault="00864D7C" w:rsidP="00864D7C"/>
    <w:p w:rsidR="00864D7C" w:rsidRPr="006A1269" w:rsidRDefault="00864D7C" w:rsidP="00864D7C"/>
    <w:p w:rsidR="00864D7C" w:rsidRPr="006A1269" w:rsidRDefault="00864D7C" w:rsidP="00864D7C"/>
    <w:p w:rsidR="00864D7C" w:rsidRPr="006A1269" w:rsidRDefault="00864D7C" w:rsidP="00864D7C"/>
    <w:p w:rsidR="00864D7C" w:rsidRPr="006A1269" w:rsidRDefault="00864D7C" w:rsidP="00864D7C"/>
    <w:p w:rsidR="00864D7C" w:rsidRPr="006A1269" w:rsidRDefault="00864D7C" w:rsidP="00864D7C"/>
    <w:p w:rsidR="00864D7C" w:rsidRPr="006A1269" w:rsidRDefault="00864D7C" w:rsidP="00864D7C"/>
    <w:p w:rsidR="00864D7C" w:rsidRDefault="00864D7C" w:rsidP="00864D7C"/>
    <w:p w:rsidR="00864D7C" w:rsidRDefault="00864D7C" w:rsidP="00864D7C"/>
    <w:p w:rsidR="00864D7C" w:rsidRDefault="00864D7C" w:rsidP="00864D7C"/>
    <w:p w:rsidR="00864D7C" w:rsidRDefault="00864D7C" w:rsidP="00864D7C"/>
    <w:p w:rsidR="00864D7C" w:rsidRDefault="00864D7C" w:rsidP="00864D7C"/>
    <w:p w:rsidR="00864D7C" w:rsidRDefault="00864D7C" w:rsidP="00864D7C"/>
    <w:p w:rsidR="00864D7C" w:rsidRDefault="00864D7C" w:rsidP="00864D7C"/>
    <w:p w:rsidR="00141829" w:rsidRDefault="00141829" w:rsidP="00864D7C"/>
    <w:p w:rsidR="00864D7C" w:rsidRDefault="00864D7C" w:rsidP="00864D7C"/>
    <w:p w:rsidR="00864D7C" w:rsidRDefault="00864D7C" w:rsidP="00864D7C"/>
    <w:p w:rsidR="00864D7C" w:rsidRPr="006A1269" w:rsidRDefault="00864D7C" w:rsidP="00864D7C"/>
    <w:p w:rsidR="00864D7C" w:rsidRPr="006A1269" w:rsidRDefault="00864D7C" w:rsidP="00864D7C"/>
    <w:p w:rsidR="00864D7C" w:rsidRPr="006A1269" w:rsidRDefault="00864D7C" w:rsidP="00864D7C"/>
    <w:p w:rsidR="00864D7C" w:rsidRPr="006A1269" w:rsidRDefault="00864D7C" w:rsidP="00864D7C"/>
    <w:p w:rsidR="00864D7C" w:rsidRPr="00D7084D" w:rsidRDefault="00864D7C" w:rsidP="00864D7C">
      <w:pPr>
        <w:rPr>
          <w:rFonts w:asciiTheme="minorHAnsi" w:hAnsiTheme="minorHAnsi"/>
          <w:b/>
        </w:rPr>
      </w:pPr>
      <w:r w:rsidRPr="00D7084D">
        <w:rPr>
          <w:rFonts w:asciiTheme="minorHAnsi" w:hAnsiTheme="minorHAnsi"/>
          <w:b/>
        </w:rPr>
        <w:lastRenderedPageBreak/>
        <w:t>1. WSTĘP</w:t>
      </w:r>
    </w:p>
    <w:p w:rsidR="00864D7C" w:rsidRPr="00D7084D" w:rsidRDefault="00864D7C" w:rsidP="00864D7C">
      <w:pPr>
        <w:rPr>
          <w:rFonts w:asciiTheme="minorHAnsi" w:hAnsiTheme="minorHAnsi"/>
        </w:rPr>
      </w:pPr>
      <w:r w:rsidRPr="00D7084D">
        <w:rPr>
          <w:rFonts w:asciiTheme="minorHAnsi" w:hAnsiTheme="minorHAnsi"/>
          <w:b/>
        </w:rPr>
        <w:t>1.1.</w:t>
      </w:r>
      <w:r w:rsidRPr="00D7084D">
        <w:rPr>
          <w:rFonts w:asciiTheme="minorHAnsi" w:hAnsiTheme="minorHAnsi"/>
        </w:rPr>
        <w:t xml:space="preserve"> Przedmiot ST</w:t>
      </w:r>
    </w:p>
    <w:p w:rsidR="00864D7C" w:rsidRPr="00D7084D" w:rsidRDefault="00864D7C" w:rsidP="00864D7C">
      <w:pPr>
        <w:rPr>
          <w:rFonts w:asciiTheme="minorHAnsi" w:hAnsiTheme="minorHAnsi"/>
        </w:rPr>
      </w:pPr>
      <w:r w:rsidRPr="00D7084D">
        <w:rPr>
          <w:rFonts w:asciiTheme="minorHAnsi" w:hAnsiTheme="minorHAnsi"/>
        </w:rPr>
        <w:tab/>
        <w:t>Przedmiotem niniejszej specyfikacji technicznej (ST) są wymagania dotyczące wykonania i odbioru robót związanych z frezowaniem nawierzchni asfaltowych na zimno.</w:t>
      </w:r>
    </w:p>
    <w:p w:rsidR="00864D7C" w:rsidRPr="00D7084D" w:rsidRDefault="00864D7C" w:rsidP="00864D7C">
      <w:pPr>
        <w:rPr>
          <w:rFonts w:asciiTheme="minorHAnsi" w:hAnsiTheme="minorHAnsi"/>
        </w:rPr>
      </w:pPr>
      <w:r w:rsidRPr="00D7084D">
        <w:rPr>
          <w:rFonts w:asciiTheme="minorHAnsi" w:hAnsiTheme="minorHAnsi"/>
          <w:b/>
        </w:rPr>
        <w:t>1.2.</w:t>
      </w:r>
      <w:r w:rsidRPr="00D7084D">
        <w:rPr>
          <w:rFonts w:asciiTheme="minorHAnsi" w:hAnsiTheme="minorHAnsi"/>
        </w:rPr>
        <w:t xml:space="preserve"> Zakres stosowania ST</w:t>
      </w:r>
    </w:p>
    <w:p w:rsidR="00864D7C" w:rsidRPr="00D7084D" w:rsidRDefault="00864D7C" w:rsidP="00864D7C">
      <w:pPr>
        <w:rPr>
          <w:rFonts w:asciiTheme="minorHAnsi" w:hAnsiTheme="minorHAnsi"/>
        </w:rPr>
      </w:pPr>
      <w:r w:rsidRPr="00D7084D">
        <w:rPr>
          <w:rFonts w:asciiTheme="minorHAnsi" w:hAnsiTheme="minorHAnsi"/>
        </w:rPr>
        <w:tab/>
        <w:t>Specyfikacja techniczna określa wymagania dla wykonania i odbioru robót budowlanych przewidzianych do wykonania w ramach umowy a zawarte w niej zapisy w zakresie standardu materiałów, wykonania robót i wymaganej ich jakości oraz kontroli jakości robót należy traktować jako minimalne.</w:t>
      </w:r>
    </w:p>
    <w:p w:rsidR="00864D7C" w:rsidRPr="00D7084D" w:rsidRDefault="00864D7C" w:rsidP="00864D7C">
      <w:pPr>
        <w:rPr>
          <w:rFonts w:asciiTheme="minorHAnsi" w:hAnsiTheme="minorHAnsi"/>
        </w:rPr>
      </w:pPr>
      <w:r w:rsidRPr="00D7084D">
        <w:rPr>
          <w:rFonts w:asciiTheme="minorHAnsi" w:hAnsiTheme="minorHAnsi"/>
          <w:b/>
        </w:rPr>
        <w:t>1.3.</w:t>
      </w:r>
      <w:r w:rsidRPr="00D7084D">
        <w:rPr>
          <w:rFonts w:asciiTheme="minorHAnsi" w:hAnsiTheme="minorHAnsi"/>
        </w:rPr>
        <w:t xml:space="preserve"> Zakres robót objętych ST</w:t>
      </w:r>
    </w:p>
    <w:p w:rsidR="008F20A4" w:rsidRPr="00C3299C" w:rsidRDefault="00864D7C" w:rsidP="008F20A4">
      <w:pPr>
        <w:rPr>
          <w:rFonts w:asciiTheme="minorHAnsi" w:hAnsiTheme="minorHAnsi" w:cs="Calibri"/>
        </w:rPr>
      </w:pPr>
      <w:r w:rsidRPr="00D7084D">
        <w:rPr>
          <w:rFonts w:asciiTheme="minorHAnsi" w:hAnsiTheme="minorHAnsi"/>
        </w:rPr>
        <w:tab/>
        <w:t>Ustalenia zawarte w niniejszej specyfikacji dotyczą zasad prowadzenia robót związanych z frezowaniem n</w:t>
      </w:r>
      <w:r w:rsidR="00141829">
        <w:rPr>
          <w:rFonts w:asciiTheme="minorHAnsi" w:hAnsiTheme="minorHAnsi"/>
        </w:rPr>
        <w:t xml:space="preserve">awierzchni asfaltowych na zimno </w:t>
      </w:r>
      <w:r w:rsidR="008F20A4" w:rsidRPr="00C3299C">
        <w:rPr>
          <w:rFonts w:ascii="Calibri" w:hAnsi="Calibri" w:cs="Calibri"/>
        </w:rPr>
        <w:t>w związku z „</w:t>
      </w:r>
      <w:r w:rsidR="008F20A4" w:rsidRPr="00C3299C">
        <w:rPr>
          <w:rFonts w:asciiTheme="minorHAnsi" w:hAnsiTheme="minorHAnsi"/>
        </w:rPr>
        <w:t>Przebudową ul.55 Pułku Piechoty w Lesznie wraz z przebudową oświetlenia”</w:t>
      </w:r>
      <w:r w:rsidR="008F20A4" w:rsidRPr="00C3299C">
        <w:rPr>
          <w:rFonts w:asciiTheme="minorHAnsi" w:hAnsiTheme="minorHAnsi" w:cs="Calibri"/>
        </w:rPr>
        <w:t>.</w:t>
      </w:r>
    </w:p>
    <w:p w:rsidR="00864D7C" w:rsidRPr="00D7084D" w:rsidRDefault="00864D7C" w:rsidP="00864D7C">
      <w:pPr>
        <w:rPr>
          <w:rFonts w:asciiTheme="minorHAnsi" w:hAnsiTheme="minorHAnsi"/>
        </w:rPr>
      </w:pPr>
      <w:r w:rsidRPr="00D7084D">
        <w:rPr>
          <w:rFonts w:asciiTheme="minorHAnsi" w:hAnsiTheme="minorHAnsi"/>
          <w:b/>
        </w:rPr>
        <w:t>1.4.</w:t>
      </w:r>
      <w:r w:rsidRPr="00D7084D">
        <w:rPr>
          <w:rFonts w:asciiTheme="minorHAnsi" w:hAnsiTheme="minorHAnsi"/>
        </w:rPr>
        <w:t xml:space="preserve"> Określenia podstawowe</w:t>
      </w:r>
    </w:p>
    <w:p w:rsidR="00864D7C" w:rsidRPr="00D7084D" w:rsidRDefault="00864D7C" w:rsidP="00864D7C">
      <w:pPr>
        <w:rPr>
          <w:rFonts w:asciiTheme="minorHAnsi" w:hAnsiTheme="minorHAnsi"/>
        </w:rPr>
      </w:pPr>
      <w:r w:rsidRPr="00D7084D">
        <w:rPr>
          <w:rFonts w:asciiTheme="minorHAnsi" w:hAnsiTheme="minorHAnsi"/>
          <w:b/>
        </w:rPr>
        <w:t>1.4.1.</w:t>
      </w:r>
      <w:r w:rsidRPr="00D7084D">
        <w:rPr>
          <w:rFonts w:asciiTheme="minorHAnsi" w:hAnsiTheme="minorHAnsi"/>
        </w:rPr>
        <w:t xml:space="preserve"> Frezowanie nawierzchni asfaltowej na zimno - kontrolowany proces skrawania górnej warstwy nawierzchni asfaltowej, bez jej ogrzania, na określoną głębokość.</w:t>
      </w:r>
    </w:p>
    <w:p w:rsidR="00864D7C" w:rsidRPr="00D7084D" w:rsidRDefault="00864D7C" w:rsidP="00864D7C">
      <w:pPr>
        <w:rPr>
          <w:rFonts w:asciiTheme="minorHAnsi" w:hAnsiTheme="minorHAnsi"/>
        </w:rPr>
      </w:pPr>
      <w:r w:rsidRPr="00D7084D">
        <w:rPr>
          <w:rFonts w:asciiTheme="minorHAnsi" w:hAnsiTheme="minorHAnsi"/>
          <w:b/>
        </w:rPr>
        <w:t>1.4.2.</w:t>
      </w:r>
      <w:r w:rsidRPr="00D7084D">
        <w:rPr>
          <w:rFonts w:asciiTheme="minorHAnsi" w:hAnsiTheme="minorHAnsi"/>
        </w:rPr>
        <w:t xml:space="preserve"> Pozostałe określenia są zgodne z obowiązującymi, odpowiednimi polskimi normami i z definicjami podanymi w ST D-M-00.00.00 „Wymagania ogólne” pkt 1.4.</w:t>
      </w:r>
    </w:p>
    <w:p w:rsidR="00864D7C" w:rsidRPr="00D7084D" w:rsidRDefault="00864D7C" w:rsidP="00864D7C">
      <w:pPr>
        <w:rPr>
          <w:rFonts w:asciiTheme="minorHAnsi" w:hAnsiTheme="minorHAnsi"/>
        </w:rPr>
      </w:pPr>
      <w:r w:rsidRPr="00D7084D">
        <w:rPr>
          <w:rFonts w:asciiTheme="minorHAnsi" w:hAnsiTheme="minorHAnsi"/>
          <w:b/>
        </w:rPr>
        <w:t>1.5.</w:t>
      </w:r>
      <w:r w:rsidRPr="00D7084D">
        <w:rPr>
          <w:rFonts w:asciiTheme="minorHAnsi" w:hAnsiTheme="minorHAnsi"/>
        </w:rPr>
        <w:t xml:space="preserve"> Ogólne wymagania dotyczące robót</w:t>
      </w:r>
    </w:p>
    <w:p w:rsidR="00864D7C" w:rsidRPr="00D7084D" w:rsidRDefault="00864D7C" w:rsidP="00864D7C">
      <w:pPr>
        <w:rPr>
          <w:rFonts w:asciiTheme="minorHAnsi" w:hAnsiTheme="minorHAnsi"/>
        </w:rPr>
      </w:pPr>
      <w:r w:rsidRPr="00D7084D">
        <w:rPr>
          <w:rFonts w:asciiTheme="minorHAnsi" w:hAnsiTheme="minorHAnsi"/>
        </w:rPr>
        <w:tab/>
        <w:t>Ogólne wymagania dotyczące robót podano w ST D-M-00.00.00 „Wymagania ogólne” pkt 1.5.</w:t>
      </w:r>
    </w:p>
    <w:p w:rsidR="00864D7C" w:rsidRPr="00D7084D" w:rsidRDefault="00864D7C" w:rsidP="00864D7C">
      <w:pPr>
        <w:rPr>
          <w:rFonts w:asciiTheme="minorHAnsi" w:hAnsiTheme="minorHAnsi"/>
        </w:rPr>
      </w:pPr>
    </w:p>
    <w:p w:rsidR="00864D7C" w:rsidRPr="00D7084D" w:rsidRDefault="00864D7C" w:rsidP="00864D7C">
      <w:pPr>
        <w:rPr>
          <w:rFonts w:asciiTheme="minorHAnsi" w:hAnsiTheme="minorHAnsi"/>
          <w:b/>
        </w:rPr>
      </w:pPr>
      <w:r w:rsidRPr="00D7084D">
        <w:rPr>
          <w:rFonts w:asciiTheme="minorHAnsi" w:hAnsiTheme="minorHAnsi"/>
          <w:b/>
        </w:rPr>
        <w:t>2. MATERIAŁY</w:t>
      </w:r>
    </w:p>
    <w:p w:rsidR="00864D7C" w:rsidRPr="00D7084D" w:rsidRDefault="00864D7C" w:rsidP="00864D7C">
      <w:pPr>
        <w:rPr>
          <w:rFonts w:asciiTheme="minorHAnsi" w:hAnsiTheme="minorHAnsi"/>
        </w:rPr>
      </w:pPr>
      <w:r w:rsidRPr="00D7084D">
        <w:rPr>
          <w:rFonts w:asciiTheme="minorHAnsi" w:hAnsiTheme="minorHAnsi"/>
        </w:rPr>
        <w:tab/>
        <w:t>Nie występują.</w:t>
      </w:r>
    </w:p>
    <w:p w:rsidR="00864D7C" w:rsidRPr="00D7084D" w:rsidRDefault="00864D7C" w:rsidP="00864D7C">
      <w:pPr>
        <w:rPr>
          <w:rFonts w:asciiTheme="minorHAnsi" w:hAnsiTheme="minorHAnsi"/>
        </w:rPr>
      </w:pPr>
    </w:p>
    <w:p w:rsidR="00864D7C" w:rsidRPr="00D7084D" w:rsidRDefault="00864D7C" w:rsidP="00864D7C">
      <w:pPr>
        <w:rPr>
          <w:rFonts w:asciiTheme="minorHAnsi" w:hAnsiTheme="minorHAnsi"/>
          <w:b/>
        </w:rPr>
      </w:pPr>
      <w:r w:rsidRPr="00D7084D">
        <w:rPr>
          <w:rFonts w:asciiTheme="minorHAnsi" w:hAnsiTheme="minorHAnsi"/>
          <w:b/>
        </w:rPr>
        <w:t>3. SPRZĘT</w:t>
      </w:r>
    </w:p>
    <w:p w:rsidR="00864D7C" w:rsidRPr="00D7084D" w:rsidRDefault="00864D7C" w:rsidP="00864D7C">
      <w:pPr>
        <w:rPr>
          <w:rFonts w:asciiTheme="minorHAnsi" w:hAnsiTheme="minorHAnsi"/>
        </w:rPr>
      </w:pPr>
      <w:r w:rsidRPr="00D7084D">
        <w:rPr>
          <w:rFonts w:asciiTheme="minorHAnsi" w:hAnsiTheme="minorHAnsi"/>
          <w:b/>
        </w:rPr>
        <w:t>3.1.</w:t>
      </w:r>
      <w:r w:rsidRPr="00D7084D">
        <w:rPr>
          <w:rFonts w:asciiTheme="minorHAnsi" w:hAnsiTheme="minorHAnsi"/>
        </w:rPr>
        <w:t xml:space="preserve"> Ogólne wymagania dotyczące sprzętu</w:t>
      </w:r>
    </w:p>
    <w:p w:rsidR="00864D7C" w:rsidRPr="00D7084D" w:rsidRDefault="00864D7C" w:rsidP="00864D7C">
      <w:pPr>
        <w:rPr>
          <w:rFonts w:asciiTheme="minorHAnsi" w:hAnsiTheme="minorHAnsi"/>
        </w:rPr>
      </w:pPr>
      <w:r w:rsidRPr="00D7084D">
        <w:rPr>
          <w:rFonts w:asciiTheme="minorHAnsi" w:hAnsiTheme="minorHAnsi"/>
        </w:rPr>
        <w:tab/>
        <w:t>Ogólne wymagania dotyczące sprzętu podano w ST D-M-00.00.00 „Wymagania ogólne” pkt 3.</w:t>
      </w:r>
    </w:p>
    <w:p w:rsidR="00864D7C" w:rsidRPr="00D7084D" w:rsidRDefault="00864D7C" w:rsidP="00864D7C">
      <w:pPr>
        <w:rPr>
          <w:rFonts w:asciiTheme="minorHAnsi" w:hAnsiTheme="minorHAnsi"/>
        </w:rPr>
      </w:pPr>
      <w:r w:rsidRPr="00D7084D">
        <w:rPr>
          <w:rFonts w:asciiTheme="minorHAnsi" w:hAnsiTheme="minorHAnsi"/>
          <w:b/>
        </w:rPr>
        <w:t>3.2.</w:t>
      </w:r>
      <w:r w:rsidRPr="00D7084D">
        <w:rPr>
          <w:rFonts w:asciiTheme="minorHAnsi" w:hAnsiTheme="minorHAnsi"/>
        </w:rPr>
        <w:t xml:space="preserve"> Sprzęt do frezowania</w:t>
      </w:r>
    </w:p>
    <w:p w:rsidR="00864D7C" w:rsidRPr="00D7084D" w:rsidRDefault="00864D7C" w:rsidP="00864D7C">
      <w:pPr>
        <w:rPr>
          <w:rFonts w:asciiTheme="minorHAnsi" w:hAnsiTheme="minorHAnsi"/>
        </w:rPr>
      </w:pPr>
      <w:r w:rsidRPr="00D7084D">
        <w:rPr>
          <w:rFonts w:asciiTheme="minorHAnsi" w:hAnsiTheme="minorHAnsi"/>
        </w:rPr>
        <w:tab/>
        <w:t>Należy stosować frezarki drogowe umożliwiające frezowanie nawierzchni asfaltowej na zimno na określoną głębokość.</w:t>
      </w:r>
    </w:p>
    <w:p w:rsidR="00864D7C" w:rsidRPr="00D7084D" w:rsidRDefault="00864D7C" w:rsidP="00864D7C">
      <w:pPr>
        <w:rPr>
          <w:rFonts w:asciiTheme="minorHAnsi" w:hAnsiTheme="minorHAnsi"/>
        </w:rPr>
      </w:pPr>
      <w:r w:rsidRPr="00D7084D">
        <w:rPr>
          <w:rFonts w:asciiTheme="minorHAnsi" w:hAnsiTheme="minorHAnsi"/>
        </w:rPr>
        <w:tab/>
        <w:t>Frezarka powinna być sterowana elektronicznie i zapewniać zachowanie wymaganej równości oraz pochyleń poprzecznych i podłużnych powierzchni po frezowaniu. Do małych robót (naprawy części jezdni) Inżynier może dopuścić frezarki sterowane mechanicznie.</w:t>
      </w:r>
    </w:p>
    <w:p w:rsidR="00864D7C" w:rsidRPr="00D7084D" w:rsidRDefault="00864D7C" w:rsidP="00864D7C">
      <w:pPr>
        <w:rPr>
          <w:rFonts w:asciiTheme="minorHAnsi" w:hAnsiTheme="minorHAnsi"/>
        </w:rPr>
      </w:pPr>
      <w:r w:rsidRPr="00D7084D">
        <w:rPr>
          <w:rFonts w:asciiTheme="minorHAnsi" w:hAnsiTheme="minorHAnsi"/>
        </w:rPr>
        <w:tab/>
        <w:t xml:space="preserve">Szerokość bębna frezującego powinna być dobrana zależnie od zakresu robót. Przy lokalnych naprawach szerokość bębna może być dostosowana do szerokości skrawanych elementów nawierzchni. Przy frezowaniu całej jezdni szerokość bębna skrawającego powinna być co najmniej równa 1200 </w:t>
      </w:r>
      <w:r>
        <w:rPr>
          <w:rFonts w:asciiTheme="minorHAnsi" w:hAnsiTheme="minorHAnsi"/>
        </w:rPr>
        <w:t>m</w:t>
      </w:r>
      <w:r w:rsidRPr="00D7084D">
        <w:rPr>
          <w:rFonts w:asciiTheme="minorHAnsi" w:hAnsiTheme="minorHAnsi"/>
        </w:rPr>
        <w:t>m.</w:t>
      </w:r>
    </w:p>
    <w:p w:rsidR="00864D7C" w:rsidRPr="00D7084D" w:rsidRDefault="00864D7C" w:rsidP="00864D7C">
      <w:pPr>
        <w:rPr>
          <w:rFonts w:asciiTheme="minorHAnsi" w:hAnsiTheme="minorHAnsi"/>
        </w:rPr>
      </w:pPr>
      <w:r w:rsidRPr="00D7084D">
        <w:rPr>
          <w:rFonts w:asciiTheme="minorHAnsi" w:hAnsiTheme="minorHAnsi"/>
        </w:rPr>
        <w:tab/>
        <w:t>Przy dużych robotach frezarki muszą być wyposażone w przenośnik sfrezowanego materiału, podający go z jezdni na środki transportu.</w:t>
      </w:r>
    </w:p>
    <w:p w:rsidR="00864D7C" w:rsidRPr="00D7084D" w:rsidRDefault="00864D7C" w:rsidP="00864D7C">
      <w:pPr>
        <w:rPr>
          <w:rFonts w:asciiTheme="minorHAnsi" w:hAnsiTheme="minorHAnsi"/>
        </w:rPr>
      </w:pPr>
      <w:r w:rsidRPr="00D7084D">
        <w:rPr>
          <w:rFonts w:asciiTheme="minorHAnsi" w:hAnsiTheme="minorHAnsi"/>
        </w:rPr>
        <w:tab/>
        <w:t>Frezarki muszą być zaopatrzone w systemy odpylania. Za zgodą Inżyniera można dopuścić frezarki bez tego systemu przy małym zakresie robót.</w:t>
      </w:r>
    </w:p>
    <w:p w:rsidR="00864D7C" w:rsidRPr="00D7084D" w:rsidRDefault="00864D7C" w:rsidP="00864D7C">
      <w:pPr>
        <w:rPr>
          <w:rFonts w:asciiTheme="minorHAnsi" w:hAnsiTheme="minorHAnsi"/>
        </w:rPr>
      </w:pPr>
      <w:r w:rsidRPr="00D7084D">
        <w:rPr>
          <w:rFonts w:asciiTheme="minorHAnsi" w:hAnsiTheme="minorHAnsi"/>
        </w:rPr>
        <w:tab/>
        <w:t>Wykonawca może używać tylko frezarki zaakceptowane przez Inżyniera. Wykonawca powinien przedstawić dane techniczne frezarek, a w przypadkach jakichkolwiek wątpliwości przeprowadzić demonstrację pracy frezarki, na własny koszt.</w:t>
      </w:r>
    </w:p>
    <w:p w:rsidR="00864D7C" w:rsidRPr="00D7084D" w:rsidRDefault="00864D7C" w:rsidP="00864D7C">
      <w:pPr>
        <w:rPr>
          <w:rFonts w:asciiTheme="minorHAnsi" w:hAnsiTheme="minorHAnsi"/>
        </w:rPr>
      </w:pPr>
    </w:p>
    <w:p w:rsidR="00864D7C" w:rsidRPr="00D7084D" w:rsidRDefault="00864D7C" w:rsidP="00864D7C">
      <w:pPr>
        <w:rPr>
          <w:rFonts w:asciiTheme="minorHAnsi" w:hAnsiTheme="minorHAnsi"/>
          <w:b/>
        </w:rPr>
      </w:pPr>
      <w:r w:rsidRPr="00D7084D">
        <w:rPr>
          <w:rFonts w:asciiTheme="minorHAnsi" w:hAnsiTheme="minorHAnsi"/>
          <w:b/>
        </w:rPr>
        <w:t>4. TRANSPORT</w:t>
      </w:r>
    </w:p>
    <w:p w:rsidR="00864D7C" w:rsidRPr="00D7084D" w:rsidRDefault="00864D7C" w:rsidP="00864D7C">
      <w:pPr>
        <w:rPr>
          <w:rFonts w:asciiTheme="minorHAnsi" w:hAnsiTheme="minorHAnsi"/>
        </w:rPr>
      </w:pPr>
      <w:r w:rsidRPr="00D7084D">
        <w:rPr>
          <w:rFonts w:asciiTheme="minorHAnsi" w:hAnsiTheme="minorHAnsi"/>
          <w:b/>
        </w:rPr>
        <w:t>4.1.</w:t>
      </w:r>
      <w:r w:rsidRPr="00D7084D">
        <w:rPr>
          <w:rFonts w:asciiTheme="minorHAnsi" w:hAnsiTheme="minorHAnsi"/>
        </w:rPr>
        <w:t xml:space="preserve"> Ogólne wymagania dotyczące transportu</w:t>
      </w:r>
    </w:p>
    <w:p w:rsidR="00864D7C" w:rsidRPr="00D7084D" w:rsidRDefault="00864D7C" w:rsidP="00864D7C">
      <w:pPr>
        <w:rPr>
          <w:rFonts w:asciiTheme="minorHAnsi" w:hAnsiTheme="minorHAnsi"/>
        </w:rPr>
      </w:pPr>
      <w:r w:rsidRPr="00D7084D">
        <w:rPr>
          <w:rFonts w:asciiTheme="minorHAnsi" w:hAnsiTheme="minorHAnsi"/>
        </w:rPr>
        <w:tab/>
        <w:t>Ogólne wymagania dotyczące transportu podano w ST D-M-00.00.00 „Wymagania ogólne” pkt 4.</w:t>
      </w:r>
    </w:p>
    <w:p w:rsidR="00864D7C" w:rsidRPr="00D7084D" w:rsidRDefault="00864D7C" w:rsidP="00864D7C">
      <w:pPr>
        <w:rPr>
          <w:rFonts w:asciiTheme="minorHAnsi" w:hAnsiTheme="minorHAnsi"/>
        </w:rPr>
      </w:pPr>
      <w:r w:rsidRPr="00D7084D">
        <w:rPr>
          <w:rFonts w:asciiTheme="minorHAnsi" w:hAnsiTheme="minorHAnsi"/>
          <w:b/>
        </w:rPr>
        <w:t>4.2.</w:t>
      </w:r>
      <w:r w:rsidRPr="00D7084D">
        <w:rPr>
          <w:rFonts w:asciiTheme="minorHAnsi" w:hAnsiTheme="minorHAnsi"/>
        </w:rPr>
        <w:t xml:space="preserve"> Transport sfrezowanego materiału</w:t>
      </w:r>
    </w:p>
    <w:p w:rsidR="00864D7C" w:rsidRPr="00D7084D" w:rsidRDefault="00864D7C" w:rsidP="00864D7C">
      <w:pPr>
        <w:rPr>
          <w:rFonts w:asciiTheme="minorHAnsi" w:hAnsiTheme="minorHAnsi"/>
        </w:rPr>
      </w:pPr>
      <w:r w:rsidRPr="00D7084D">
        <w:rPr>
          <w:rFonts w:asciiTheme="minorHAnsi" w:hAnsiTheme="minorHAnsi"/>
        </w:rPr>
        <w:tab/>
        <w:t>Transport sfrezowanego materiału powinien być tak zorganizowany, aby zapewnić pracę frezarki bez postojów. Materiał może być wywożony dowolnymi środkami transportowymi.</w:t>
      </w:r>
    </w:p>
    <w:p w:rsidR="00864D7C" w:rsidRPr="00D7084D" w:rsidRDefault="00864D7C" w:rsidP="00864D7C">
      <w:pPr>
        <w:rPr>
          <w:rFonts w:asciiTheme="minorHAnsi" w:hAnsiTheme="minorHAnsi"/>
        </w:rPr>
      </w:pPr>
    </w:p>
    <w:p w:rsidR="00864D7C" w:rsidRPr="00D7084D" w:rsidRDefault="00864D7C" w:rsidP="00864D7C">
      <w:pPr>
        <w:rPr>
          <w:rFonts w:asciiTheme="minorHAnsi" w:hAnsiTheme="minorHAnsi"/>
          <w:b/>
        </w:rPr>
      </w:pPr>
      <w:r w:rsidRPr="00D7084D">
        <w:rPr>
          <w:rFonts w:asciiTheme="minorHAnsi" w:hAnsiTheme="minorHAnsi"/>
          <w:b/>
        </w:rPr>
        <w:t>5. WYKONANIE ROBÓT</w:t>
      </w:r>
    </w:p>
    <w:p w:rsidR="00864D7C" w:rsidRPr="00D7084D" w:rsidRDefault="00864D7C" w:rsidP="00864D7C">
      <w:pPr>
        <w:rPr>
          <w:rFonts w:asciiTheme="minorHAnsi" w:hAnsiTheme="minorHAnsi"/>
        </w:rPr>
      </w:pPr>
      <w:r w:rsidRPr="00D7084D">
        <w:rPr>
          <w:rFonts w:asciiTheme="minorHAnsi" w:hAnsiTheme="minorHAnsi"/>
          <w:b/>
        </w:rPr>
        <w:t>5.1.</w:t>
      </w:r>
      <w:r w:rsidRPr="00D7084D">
        <w:rPr>
          <w:rFonts w:asciiTheme="minorHAnsi" w:hAnsiTheme="minorHAnsi"/>
        </w:rPr>
        <w:t xml:space="preserve"> Ogólne zasady wykonania robót</w:t>
      </w:r>
    </w:p>
    <w:p w:rsidR="00864D7C" w:rsidRPr="00D7084D" w:rsidRDefault="00864D7C" w:rsidP="00864D7C">
      <w:pPr>
        <w:rPr>
          <w:rFonts w:asciiTheme="minorHAnsi" w:hAnsiTheme="minorHAnsi"/>
        </w:rPr>
      </w:pPr>
      <w:r w:rsidRPr="00D7084D">
        <w:rPr>
          <w:rFonts w:asciiTheme="minorHAnsi" w:hAnsiTheme="minorHAnsi"/>
        </w:rPr>
        <w:tab/>
        <w:t>Ogólne zasady wykonania robót podano w ST D-M-00.00.00 „Wymagania ogólne” pkt 5.</w:t>
      </w:r>
    </w:p>
    <w:p w:rsidR="00864D7C" w:rsidRPr="00D7084D" w:rsidRDefault="00864D7C" w:rsidP="00864D7C">
      <w:pPr>
        <w:rPr>
          <w:rFonts w:asciiTheme="minorHAnsi" w:hAnsiTheme="minorHAnsi"/>
        </w:rPr>
      </w:pPr>
      <w:r w:rsidRPr="00D7084D">
        <w:rPr>
          <w:rFonts w:asciiTheme="minorHAnsi" w:hAnsiTheme="minorHAnsi"/>
          <w:b/>
        </w:rPr>
        <w:t>5.2.</w:t>
      </w:r>
      <w:r w:rsidRPr="00D7084D">
        <w:rPr>
          <w:rFonts w:asciiTheme="minorHAnsi" w:hAnsiTheme="minorHAnsi"/>
        </w:rPr>
        <w:t xml:space="preserve"> Wykonanie frezowania</w:t>
      </w:r>
    </w:p>
    <w:p w:rsidR="00864D7C" w:rsidRPr="00D7084D" w:rsidRDefault="00864D7C" w:rsidP="00864D7C">
      <w:pPr>
        <w:rPr>
          <w:rFonts w:asciiTheme="minorHAnsi" w:hAnsiTheme="minorHAnsi"/>
        </w:rPr>
      </w:pPr>
      <w:r w:rsidRPr="00D7084D">
        <w:rPr>
          <w:rFonts w:asciiTheme="minorHAnsi" w:hAnsiTheme="minorHAnsi"/>
        </w:rPr>
        <w:tab/>
        <w:t>Nawierzchnia powinna być frezowana do głębokości, szerokości i pochyleń zgodnyc</w:t>
      </w:r>
      <w:r>
        <w:rPr>
          <w:rFonts w:asciiTheme="minorHAnsi" w:hAnsiTheme="minorHAnsi"/>
        </w:rPr>
        <w:t>h z dokumentacją projektową</w:t>
      </w:r>
      <w:r w:rsidRPr="00D7084D">
        <w:rPr>
          <w:rFonts w:asciiTheme="minorHAnsi" w:hAnsiTheme="minorHAnsi"/>
        </w:rPr>
        <w:t>.</w:t>
      </w:r>
    </w:p>
    <w:p w:rsidR="00864D7C" w:rsidRPr="00D7084D" w:rsidRDefault="00864D7C" w:rsidP="00864D7C">
      <w:pPr>
        <w:rPr>
          <w:rFonts w:asciiTheme="minorHAnsi" w:hAnsiTheme="minorHAnsi"/>
        </w:rPr>
      </w:pPr>
      <w:r w:rsidRPr="00D7084D">
        <w:rPr>
          <w:rFonts w:asciiTheme="minorHAnsi" w:hAnsiTheme="minorHAnsi"/>
        </w:rPr>
        <w:tab/>
        <w:t>Jeżeli ruch drogowy ma być dopuszczony po sfrezowanej części jezdni, to wówczas, ze względów bezpieczeństwa należy spełnić następujące warunki:</w:t>
      </w:r>
    </w:p>
    <w:p w:rsidR="00864D7C" w:rsidRPr="00D7084D" w:rsidRDefault="00180FC1" w:rsidP="00864D7C">
      <w:pPr>
        <w:rPr>
          <w:rFonts w:asciiTheme="minorHAnsi" w:hAnsiTheme="minorHAnsi"/>
        </w:rPr>
      </w:pPr>
      <w:r>
        <w:rPr>
          <w:rFonts w:asciiTheme="minorHAnsi" w:hAnsiTheme="minorHAnsi"/>
        </w:rPr>
        <w:lastRenderedPageBreak/>
        <w:t>-</w:t>
      </w:r>
      <w:r w:rsidR="00864D7C" w:rsidRPr="00D7084D">
        <w:rPr>
          <w:rFonts w:asciiTheme="minorHAnsi" w:hAnsiTheme="minorHAnsi"/>
        </w:rPr>
        <w:t>należy usunąć ścięty materiał i oczyścić nawierzchnię,</w:t>
      </w:r>
    </w:p>
    <w:p w:rsidR="00864D7C" w:rsidRPr="00D7084D" w:rsidRDefault="00180FC1" w:rsidP="00864D7C">
      <w:pPr>
        <w:rPr>
          <w:rFonts w:asciiTheme="minorHAnsi" w:hAnsiTheme="minorHAnsi"/>
        </w:rPr>
      </w:pPr>
      <w:r>
        <w:rPr>
          <w:rFonts w:asciiTheme="minorHAnsi" w:hAnsiTheme="minorHAnsi"/>
        </w:rPr>
        <w:t>-</w:t>
      </w:r>
      <w:r w:rsidR="00864D7C" w:rsidRPr="00D7084D">
        <w:rPr>
          <w:rFonts w:asciiTheme="minorHAnsi" w:hAnsiTheme="minorHAnsi"/>
        </w:rPr>
        <w:t>przy frezowaniu poszczególnych pasów ruchu, wysokość podłużnych pionowych krawędzi nie może przekraczać 40 mm,</w:t>
      </w:r>
    </w:p>
    <w:p w:rsidR="00864D7C" w:rsidRPr="00D7084D" w:rsidRDefault="00180FC1" w:rsidP="00864D7C">
      <w:pPr>
        <w:rPr>
          <w:rFonts w:asciiTheme="minorHAnsi" w:hAnsiTheme="minorHAnsi"/>
        </w:rPr>
      </w:pPr>
      <w:r>
        <w:rPr>
          <w:rFonts w:asciiTheme="minorHAnsi" w:hAnsiTheme="minorHAnsi"/>
        </w:rPr>
        <w:t>-</w:t>
      </w:r>
      <w:r w:rsidR="00864D7C" w:rsidRPr="00D7084D">
        <w:rPr>
          <w:rFonts w:asciiTheme="minorHAnsi" w:hAnsiTheme="minorHAnsi"/>
        </w:rPr>
        <w:t>przy lokalnych naprawach polegających na sfrezowaniu nawierzchni przy linii krawężnika (ścieku) dopuszcza się większy uskok niż określono w pkt b), ale przy głębokości większej od 75 mm wymaga on specjalnego oznakowania,</w:t>
      </w:r>
    </w:p>
    <w:p w:rsidR="00864D7C" w:rsidRPr="00D7084D" w:rsidRDefault="00180FC1" w:rsidP="00864D7C">
      <w:pPr>
        <w:rPr>
          <w:rFonts w:asciiTheme="minorHAnsi" w:hAnsiTheme="minorHAnsi"/>
        </w:rPr>
      </w:pPr>
      <w:r>
        <w:rPr>
          <w:rFonts w:asciiTheme="minorHAnsi" w:hAnsiTheme="minorHAnsi"/>
        </w:rPr>
        <w:t>-</w:t>
      </w:r>
      <w:r w:rsidR="00864D7C" w:rsidRPr="00D7084D">
        <w:rPr>
          <w:rFonts w:asciiTheme="minorHAnsi" w:hAnsiTheme="minorHAnsi"/>
        </w:rPr>
        <w:t>krawędzie poprzeczne na zakończenie dnia roboczego powinny być klinowo ścięte.</w:t>
      </w:r>
    </w:p>
    <w:p w:rsidR="00864D7C" w:rsidRPr="00D7084D" w:rsidRDefault="00864D7C" w:rsidP="00864D7C">
      <w:pPr>
        <w:rPr>
          <w:rFonts w:asciiTheme="minorHAnsi" w:hAnsiTheme="minorHAnsi"/>
        </w:rPr>
      </w:pPr>
    </w:p>
    <w:p w:rsidR="00864D7C" w:rsidRPr="00D7084D" w:rsidRDefault="00864D7C" w:rsidP="00864D7C">
      <w:pPr>
        <w:rPr>
          <w:rFonts w:asciiTheme="minorHAnsi" w:hAnsiTheme="minorHAnsi"/>
          <w:b/>
        </w:rPr>
      </w:pPr>
      <w:r w:rsidRPr="00D7084D">
        <w:rPr>
          <w:rFonts w:asciiTheme="minorHAnsi" w:hAnsiTheme="minorHAnsi"/>
          <w:b/>
        </w:rPr>
        <w:t>6. KONTROLA JAKOŚCI ROBÓT</w:t>
      </w:r>
    </w:p>
    <w:p w:rsidR="00864D7C" w:rsidRPr="00D7084D" w:rsidRDefault="00864D7C" w:rsidP="00864D7C">
      <w:pPr>
        <w:rPr>
          <w:rFonts w:asciiTheme="minorHAnsi" w:hAnsiTheme="minorHAnsi"/>
        </w:rPr>
      </w:pPr>
      <w:r w:rsidRPr="00D7084D">
        <w:rPr>
          <w:rFonts w:asciiTheme="minorHAnsi" w:hAnsiTheme="minorHAnsi"/>
          <w:b/>
        </w:rPr>
        <w:t>6.1.</w:t>
      </w:r>
      <w:r w:rsidRPr="00D7084D">
        <w:rPr>
          <w:rFonts w:asciiTheme="minorHAnsi" w:hAnsiTheme="minorHAnsi"/>
        </w:rPr>
        <w:t xml:space="preserve"> Ogólne zasady kontroli jakości robót</w:t>
      </w:r>
    </w:p>
    <w:p w:rsidR="00864D7C" w:rsidRPr="00D7084D" w:rsidRDefault="00864D7C" w:rsidP="00864D7C">
      <w:pPr>
        <w:rPr>
          <w:rFonts w:asciiTheme="minorHAnsi" w:hAnsiTheme="minorHAnsi"/>
        </w:rPr>
      </w:pPr>
      <w:r w:rsidRPr="00D7084D">
        <w:rPr>
          <w:rFonts w:asciiTheme="minorHAnsi" w:hAnsiTheme="minorHAnsi"/>
        </w:rPr>
        <w:tab/>
        <w:t>Ogólne zasady kontroli jakości robót podano w ST D-M-00.00.00 „Wymagania ogólne” pkt 6.</w:t>
      </w:r>
    </w:p>
    <w:p w:rsidR="00864D7C" w:rsidRPr="00D7084D" w:rsidRDefault="00864D7C" w:rsidP="00864D7C">
      <w:pPr>
        <w:rPr>
          <w:rFonts w:asciiTheme="minorHAnsi" w:hAnsiTheme="minorHAnsi"/>
        </w:rPr>
      </w:pPr>
      <w:r w:rsidRPr="00D7084D">
        <w:rPr>
          <w:rFonts w:asciiTheme="minorHAnsi" w:hAnsiTheme="minorHAnsi"/>
          <w:b/>
        </w:rPr>
        <w:t>6.2.</w:t>
      </w:r>
      <w:r w:rsidRPr="00D7084D">
        <w:rPr>
          <w:rFonts w:asciiTheme="minorHAnsi" w:hAnsiTheme="minorHAnsi"/>
        </w:rPr>
        <w:t xml:space="preserve"> Częstotliwość oraz zakres pomiarów kontrolnych</w:t>
      </w:r>
    </w:p>
    <w:p w:rsidR="00864D7C" w:rsidRPr="00D7084D" w:rsidRDefault="00864D7C" w:rsidP="00864D7C">
      <w:pPr>
        <w:rPr>
          <w:rFonts w:asciiTheme="minorHAnsi" w:hAnsiTheme="minorHAnsi"/>
        </w:rPr>
      </w:pPr>
      <w:r w:rsidRPr="00D7084D">
        <w:rPr>
          <w:rFonts w:asciiTheme="minorHAnsi" w:hAnsiTheme="minorHAnsi"/>
        </w:rPr>
        <w:t>Minimalna częstotliwość pomiarów</w:t>
      </w:r>
    </w:p>
    <w:p w:rsidR="00864D7C" w:rsidRPr="00D7084D" w:rsidRDefault="00864D7C" w:rsidP="00864D7C">
      <w:pPr>
        <w:rPr>
          <w:rFonts w:asciiTheme="minorHAnsi" w:hAnsiTheme="minorHAnsi"/>
        </w:rPr>
      </w:pPr>
      <w:r w:rsidRPr="00D7084D">
        <w:rPr>
          <w:rFonts w:asciiTheme="minorHAnsi" w:hAnsiTheme="minorHAnsi"/>
        </w:rPr>
        <w:tab/>
        <w:t>Częstotliwość oraz zakres pomiarów dla nawierzchni frezowanej na zimno podano w tablicy 1.</w:t>
      </w:r>
    </w:p>
    <w:p w:rsidR="00864D7C" w:rsidRPr="00D7084D" w:rsidRDefault="00864D7C" w:rsidP="00864D7C">
      <w:pPr>
        <w:rPr>
          <w:rFonts w:asciiTheme="minorHAnsi" w:hAnsiTheme="minorHAnsi"/>
        </w:rPr>
      </w:pPr>
    </w:p>
    <w:p w:rsidR="00864D7C" w:rsidRPr="00D7084D" w:rsidRDefault="00864D7C" w:rsidP="00864D7C">
      <w:pPr>
        <w:ind w:left="709"/>
        <w:rPr>
          <w:rFonts w:asciiTheme="minorHAnsi" w:hAnsiTheme="minorHAnsi"/>
        </w:rPr>
      </w:pPr>
      <w:r w:rsidRPr="00D7084D">
        <w:rPr>
          <w:rFonts w:asciiTheme="minorHAnsi" w:hAnsiTheme="minorHAnsi"/>
        </w:rPr>
        <w:t>Tablica 1. Częstotliwość oraz zakres pomiarów kontrolnych nawierzchni frezowanej na zimno</w:t>
      </w:r>
    </w:p>
    <w:tbl>
      <w:tblPr>
        <w:tblW w:w="0" w:type="auto"/>
        <w:tblInd w:w="779" w:type="dxa"/>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ayout w:type="fixed"/>
        <w:tblCellMar>
          <w:left w:w="70" w:type="dxa"/>
          <w:right w:w="70" w:type="dxa"/>
        </w:tblCellMar>
        <w:tblLook w:val="0000"/>
      </w:tblPr>
      <w:tblGrid>
        <w:gridCol w:w="496"/>
        <w:gridCol w:w="3507"/>
        <w:gridCol w:w="3507"/>
      </w:tblGrid>
      <w:tr w:rsidR="00864D7C" w:rsidRPr="00D7084D" w:rsidTr="00052A91">
        <w:tc>
          <w:tcPr>
            <w:tcW w:w="496" w:type="dxa"/>
            <w:tcBorders>
              <w:bottom w:val="double" w:sz="6" w:space="0" w:color="auto"/>
            </w:tcBorders>
          </w:tcPr>
          <w:p w:rsidR="00864D7C" w:rsidRPr="00D7084D" w:rsidRDefault="00864D7C" w:rsidP="00052A91">
            <w:pPr>
              <w:jc w:val="center"/>
              <w:rPr>
                <w:rFonts w:asciiTheme="minorHAnsi" w:hAnsiTheme="minorHAnsi"/>
              </w:rPr>
            </w:pPr>
            <w:r w:rsidRPr="00D7084D">
              <w:rPr>
                <w:rFonts w:asciiTheme="minorHAnsi" w:hAnsiTheme="minorHAnsi"/>
              </w:rPr>
              <w:t>Lp.</w:t>
            </w:r>
          </w:p>
        </w:tc>
        <w:tc>
          <w:tcPr>
            <w:tcW w:w="3507" w:type="dxa"/>
            <w:tcBorders>
              <w:bottom w:val="double" w:sz="6" w:space="0" w:color="auto"/>
            </w:tcBorders>
          </w:tcPr>
          <w:p w:rsidR="00864D7C" w:rsidRPr="00D7084D" w:rsidRDefault="00864D7C" w:rsidP="00052A91">
            <w:pPr>
              <w:jc w:val="center"/>
              <w:rPr>
                <w:rFonts w:asciiTheme="minorHAnsi" w:hAnsiTheme="minorHAnsi"/>
              </w:rPr>
            </w:pPr>
            <w:r w:rsidRPr="00D7084D">
              <w:rPr>
                <w:rFonts w:asciiTheme="minorHAnsi" w:hAnsiTheme="minorHAnsi"/>
              </w:rPr>
              <w:t>Właściwość nawierzchni</w:t>
            </w:r>
          </w:p>
        </w:tc>
        <w:tc>
          <w:tcPr>
            <w:tcW w:w="3507" w:type="dxa"/>
            <w:tcBorders>
              <w:bottom w:val="double" w:sz="6" w:space="0" w:color="auto"/>
            </w:tcBorders>
          </w:tcPr>
          <w:p w:rsidR="00864D7C" w:rsidRPr="00D7084D" w:rsidRDefault="00864D7C" w:rsidP="00052A91">
            <w:pPr>
              <w:jc w:val="center"/>
              <w:rPr>
                <w:rFonts w:asciiTheme="minorHAnsi" w:hAnsiTheme="minorHAnsi"/>
              </w:rPr>
            </w:pPr>
            <w:r w:rsidRPr="00D7084D">
              <w:rPr>
                <w:rFonts w:asciiTheme="minorHAnsi" w:hAnsiTheme="minorHAnsi"/>
              </w:rPr>
              <w:t>Minimalna częstotliwość pomiarów</w:t>
            </w:r>
          </w:p>
        </w:tc>
      </w:tr>
      <w:tr w:rsidR="00864D7C" w:rsidRPr="00D7084D" w:rsidTr="00052A91">
        <w:tc>
          <w:tcPr>
            <w:tcW w:w="496" w:type="dxa"/>
            <w:tcBorders>
              <w:top w:val="nil"/>
            </w:tcBorders>
          </w:tcPr>
          <w:p w:rsidR="00864D7C" w:rsidRPr="00D7084D" w:rsidRDefault="00864D7C" w:rsidP="00052A91">
            <w:pPr>
              <w:jc w:val="center"/>
              <w:rPr>
                <w:rFonts w:asciiTheme="minorHAnsi" w:hAnsiTheme="minorHAnsi"/>
              </w:rPr>
            </w:pPr>
            <w:r w:rsidRPr="00D7084D">
              <w:rPr>
                <w:rFonts w:asciiTheme="minorHAnsi" w:hAnsiTheme="minorHAnsi"/>
              </w:rPr>
              <w:t>1</w:t>
            </w:r>
          </w:p>
        </w:tc>
        <w:tc>
          <w:tcPr>
            <w:tcW w:w="3507" w:type="dxa"/>
            <w:tcBorders>
              <w:top w:val="nil"/>
            </w:tcBorders>
          </w:tcPr>
          <w:p w:rsidR="00864D7C" w:rsidRPr="00D7084D" w:rsidRDefault="00864D7C" w:rsidP="00052A91">
            <w:pPr>
              <w:jc w:val="center"/>
              <w:rPr>
                <w:rFonts w:asciiTheme="minorHAnsi" w:hAnsiTheme="minorHAnsi"/>
              </w:rPr>
            </w:pPr>
            <w:r w:rsidRPr="00D7084D">
              <w:rPr>
                <w:rFonts w:asciiTheme="minorHAnsi" w:hAnsiTheme="minorHAnsi"/>
              </w:rPr>
              <w:t>Równość podłużna</w:t>
            </w:r>
          </w:p>
        </w:tc>
        <w:tc>
          <w:tcPr>
            <w:tcW w:w="3507" w:type="dxa"/>
            <w:tcBorders>
              <w:top w:val="nil"/>
            </w:tcBorders>
          </w:tcPr>
          <w:p w:rsidR="00864D7C" w:rsidRPr="00D7084D" w:rsidRDefault="00864D7C" w:rsidP="00052A91">
            <w:pPr>
              <w:jc w:val="center"/>
              <w:rPr>
                <w:rFonts w:asciiTheme="minorHAnsi" w:hAnsiTheme="minorHAnsi"/>
              </w:rPr>
            </w:pPr>
            <w:r w:rsidRPr="00D7084D">
              <w:rPr>
                <w:rFonts w:asciiTheme="minorHAnsi" w:hAnsiTheme="minorHAnsi"/>
              </w:rPr>
              <w:t>łatą 4-metrową co 20 metrów</w:t>
            </w:r>
          </w:p>
        </w:tc>
      </w:tr>
      <w:tr w:rsidR="00864D7C" w:rsidRPr="00D7084D" w:rsidTr="00052A91">
        <w:tc>
          <w:tcPr>
            <w:tcW w:w="496" w:type="dxa"/>
          </w:tcPr>
          <w:p w:rsidR="00864D7C" w:rsidRPr="00D7084D" w:rsidRDefault="00864D7C" w:rsidP="00052A91">
            <w:pPr>
              <w:jc w:val="center"/>
              <w:rPr>
                <w:rFonts w:asciiTheme="minorHAnsi" w:hAnsiTheme="minorHAnsi"/>
              </w:rPr>
            </w:pPr>
            <w:r w:rsidRPr="00D7084D">
              <w:rPr>
                <w:rFonts w:asciiTheme="minorHAnsi" w:hAnsiTheme="minorHAnsi"/>
              </w:rPr>
              <w:t>2</w:t>
            </w:r>
          </w:p>
        </w:tc>
        <w:tc>
          <w:tcPr>
            <w:tcW w:w="3507" w:type="dxa"/>
          </w:tcPr>
          <w:p w:rsidR="00864D7C" w:rsidRPr="00D7084D" w:rsidRDefault="00864D7C" w:rsidP="00052A91">
            <w:pPr>
              <w:jc w:val="center"/>
              <w:rPr>
                <w:rFonts w:asciiTheme="minorHAnsi" w:hAnsiTheme="minorHAnsi"/>
              </w:rPr>
            </w:pPr>
            <w:r w:rsidRPr="00D7084D">
              <w:rPr>
                <w:rFonts w:asciiTheme="minorHAnsi" w:hAnsiTheme="minorHAnsi"/>
              </w:rPr>
              <w:t>Równość poprzeczna</w:t>
            </w:r>
          </w:p>
        </w:tc>
        <w:tc>
          <w:tcPr>
            <w:tcW w:w="3507" w:type="dxa"/>
          </w:tcPr>
          <w:p w:rsidR="00864D7C" w:rsidRPr="00D7084D" w:rsidRDefault="00864D7C" w:rsidP="00052A91">
            <w:pPr>
              <w:jc w:val="center"/>
              <w:rPr>
                <w:rFonts w:asciiTheme="minorHAnsi" w:hAnsiTheme="minorHAnsi"/>
              </w:rPr>
            </w:pPr>
            <w:r w:rsidRPr="00D7084D">
              <w:rPr>
                <w:rFonts w:asciiTheme="minorHAnsi" w:hAnsiTheme="minorHAnsi"/>
              </w:rPr>
              <w:t>łatą 4-metrową co 20 metrów</w:t>
            </w:r>
          </w:p>
        </w:tc>
      </w:tr>
      <w:tr w:rsidR="00864D7C" w:rsidRPr="00D7084D" w:rsidTr="00052A91">
        <w:tc>
          <w:tcPr>
            <w:tcW w:w="496" w:type="dxa"/>
          </w:tcPr>
          <w:p w:rsidR="00864D7C" w:rsidRPr="00D7084D" w:rsidRDefault="00864D7C" w:rsidP="00052A91">
            <w:pPr>
              <w:jc w:val="center"/>
              <w:rPr>
                <w:rFonts w:asciiTheme="minorHAnsi" w:hAnsiTheme="minorHAnsi"/>
              </w:rPr>
            </w:pPr>
            <w:r w:rsidRPr="00D7084D">
              <w:rPr>
                <w:rFonts w:asciiTheme="minorHAnsi" w:hAnsiTheme="minorHAnsi"/>
              </w:rPr>
              <w:t>3</w:t>
            </w:r>
          </w:p>
        </w:tc>
        <w:tc>
          <w:tcPr>
            <w:tcW w:w="3507" w:type="dxa"/>
          </w:tcPr>
          <w:p w:rsidR="00864D7C" w:rsidRPr="00D7084D" w:rsidRDefault="00864D7C" w:rsidP="00052A91">
            <w:pPr>
              <w:jc w:val="center"/>
              <w:rPr>
                <w:rFonts w:asciiTheme="minorHAnsi" w:hAnsiTheme="minorHAnsi"/>
              </w:rPr>
            </w:pPr>
            <w:r w:rsidRPr="00D7084D">
              <w:rPr>
                <w:rFonts w:asciiTheme="minorHAnsi" w:hAnsiTheme="minorHAnsi"/>
              </w:rPr>
              <w:t>Spadki poprzeczne</w:t>
            </w:r>
          </w:p>
        </w:tc>
        <w:tc>
          <w:tcPr>
            <w:tcW w:w="3507" w:type="dxa"/>
          </w:tcPr>
          <w:p w:rsidR="00864D7C" w:rsidRPr="00D7084D" w:rsidRDefault="00864D7C" w:rsidP="00052A91">
            <w:pPr>
              <w:jc w:val="center"/>
              <w:rPr>
                <w:rFonts w:asciiTheme="minorHAnsi" w:hAnsiTheme="minorHAnsi"/>
              </w:rPr>
            </w:pPr>
            <w:r w:rsidRPr="00D7084D">
              <w:rPr>
                <w:rFonts w:asciiTheme="minorHAnsi" w:hAnsiTheme="minorHAnsi"/>
              </w:rPr>
              <w:t>co 50 m</w:t>
            </w:r>
          </w:p>
        </w:tc>
      </w:tr>
      <w:tr w:rsidR="00864D7C" w:rsidRPr="00D7084D" w:rsidTr="00052A91">
        <w:tc>
          <w:tcPr>
            <w:tcW w:w="496" w:type="dxa"/>
          </w:tcPr>
          <w:p w:rsidR="00864D7C" w:rsidRPr="00D7084D" w:rsidRDefault="00864D7C" w:rsidP="00052A91">
            <w:pPr>
              <w:jc w:val="center"/>
              <w:rPr>
                <w:rFonts w:asciiTheme="minorHAnsi" w:hAnsiTheme="minorHAnsi"/>
              </w:rPr>
            </w:pPr>
            <w:r w:rsidRPr="00D7084D">
              <w:rPr>
                <w:rFonts w:asciiTheme="minorHAnsi" w:hAnsiTheme="minorHAnsi"/>
              </w:rPr>
              <w:t>4</w:t>
            </w:r>
          </w:p>
        </w:tc>
        <w:tc>
          <w:tcPr>
            <w:tcW w:w="3507" w:type="dxa"/>
          </w:tcPr>
          <w:p w:rsidR="00864D7C" w:rsidRPr="00D7084D" w:rsidRDefault="00864D7C" w:rsidP="00052A91">
            <w:pPr>
              <w:jc w:val="center"/>
              <w:rPr>
                <w:rFonts w:asciiTheme="minorHAnsi" w:hAnsiTheme="minorHAnsi"/>
              </w:rPr>
            </w:pPr>
            <w:r w:rsidRPr="00D7084D">
              <w:rPr>
                <w:rFonts w:asciiTheme="minorHAnsi" w:hAnsiTheme="minorHAnsi"/>
              </w:rPr>
              <w:t>Szerokość frezowania</w:t>
            </w:r>
          </w:p>
        </w:tc>
        <w:tc>
          <w:tcPr>
            <w:tcW w:w="3507" w:type="dxa"/>
          </w:tcPr>
          <w:p w:rsidR="00864D7C" w:rsidRPr="00D7084D" w:rsidRDefault="00864D7C" w:rsidP="00052A91">
            <w:pPr>
              <w:jc w:val="center"/>
              <w:rPr>
                <w:rFonts w:asciiTheme="minorHAnsi" w:hAnsiTheme="minorHAnsi"/>
              </w:rPr>
            </w:pPr>
            <w:r w:rsidRPr="00D7084D">
              <w:rPr>
                <w:rFonts w:asciiTheme="minorHAnsi" w:hAnsiTheme="minorHAnsi"/>
              </w:rPr>
              <w:t>co 50 m</w:t>
            </w:r>
          </w:p>
        </w:tc>
      </w:tr>
      <w:tr w:rsidR="00864D7C" w:rsidRPr="00D7084D" w:rsidTr="00052A91">
        <w:tc>
          <w:tcPr>
            <w:tcW w:w="496" w:type="dxa"/>
          </w:tcPr>
          <w:p w:rsidR="00864D7C" w:rsidRPr="00D7084D" w:rsidRDefault="00864D7C" w:rsidP="00052A91">
            <w:pPr>
              <w:jc w:val="center"/>
              <w:rPr>
                <w:rFonts w:asciiTheme="minorHAnsi" w:hAnsiTheme="minorHAnsi"/>
              </w:rPr>
            </w:pPr>
            <w:r w:rsidRPr="00D7084D">
              <w:rPr>
                <w:rFonts w:asciiTheme="minorHAnsi" w:hAnsiTheme="minorHAnsi"/>
              </w:rPr>
              <w:t>5</w:t>
            </w:r>
          </w:p>
        </w:tc>
        <w:tc>
          <w:tcPr>
            <w:tcW w:w="3507" w:type="dxa"/>
          </w:tcPr>
          <w:p w:rsidR="00864D7C" w:rsidRPr="00D7084D" w:rsidRDefault="00864D7C" w:rsidP="00052A91">
            <w:pPr>
              <w:jc w:val="center"/>
              <w:rPr>
                <w:rFonts w:asciiTheme="minorHAnsi" w:hAnsiTheme="minorHAnsi"/>
              </w:rPr>
            </w:pPr>
            <w:r w:rsidRPr="00D7084D">
              <w:rPr>
                <w:rFonts w:asciiTheme="minorHAnsi" w:hAnsiTheme="minorHAnsi"/>
              </w:rPr>
              <w:t>Głębokość frezowania</w:t>
            </w:r>
          </w:p>
        </w:tc>
        <w:tc>
          <w:tcPr>
            <w:tcW w:w="3507" w:type="dxa"/>
          </w:tcPr>
          <w:p w:rsidR="00864D7C" w:rsidRPr="00D7084D" w:rsidRDefault="00864D7C" w:rsidP="00052A91">
            <w:pPr>
              <w:jc w:val="center"/>
              <w:rPr>
                <w:rFonts w:asciiTheme="minorHAnsi" w:hAnsiTheme="minorHAnsi"/>
              </w:rPr>
            </w:pPr>
            <w:r w:rsidRPr="00D7084D">
              <w:rPr>
                <w:rFonts w:asciiTheme="minorHAnsi" w:hAnsiTheme="minorHAnsi"/>
              </w:rPr>
              <w:t>na bieżąco</w:t>
            </w:r>
          </w:p>
        </w:tc>
      </w:tr>
    </w:tbl>
    <w:p w:rsidR="00864D7C" w:rsidRPr="00D7084D" w:rsidRDefault="00864D7C" w:rsidP="00864D7C">
      <w:pPr>
        <w:rPr>
          <w:rFonts w:asciiTheme="minorHAnsi" w:hAnsiTheme="minorHAnsi"/>
          <w:b/>
        </w:rPr>
      </w:pPr>
    </w:p>
    <w:p w:rsidR="00864D7C" w:rsidRPr="00D7084D" w:rsidRDefault="00864D7C" w:rsidP="00864D7C">
      <w:pPr>
        <w:rPr>
          <w:rFonts w:asciiTheme="minorHAnsi" w:hAnsiTheme="minorHAnsi"/>
        </w:rPr>
      </w:pPr>
      <w:r w:rsidRPr="00D7084D">
        <w:rPr>
          <w:rFonts w:asciiTheme="minorHAnsi" w:hAnsiTheme="minorHAnsi"/>
          <w:b/>
        </w:rPr>
        <w:t>6.2.2.</w:t>
      </w:r>
      <w:r w:rsidRPr="00D7084D">
        <w:rPr>
          <w:rFonts w:asciiTheme="minorHAnsi" w:hAnsiTheme="minorHAnsi"/>
        </w:rPr>
        <w:t xml:space="preserve"> Równość nawierzchni</w:t>
      </w:r>
    </w:p>
    <w:p w:rsidR="00864D7C" w:rsidRPr="00D7084D" w:rsidRDefault="00864D7C" w:rsidP="00864D7C">
      <w:pPr>
        <w:tabs>
          <w:tab w:val="left" w:pos="567"/>
          <w:tab w:val="left" w:pos="709"/>
        </w:tabs>
        <w:rPr>
          <w:rFonts w:asciiTheme="minorHAnsi" w:hAnsiTheme="minorHAnsi"/>
        </w:rPr>
      </w:pPr>
      <w:r w:rsidRPr="00D7084D">
        <w:rPr>
          <w:rFonts w:asciiTheme="minorHAnsi" w:hAnsiTheme="minorHAnsi"/>
        </w:rPr>
        <w:tab/>
        <w:t>Nierówności powierzchni po frezowaniu mierzone łatą 4-metrową zgodnie z BN-68/8931-04 nie powinny przekraczać 6 mm.</w:t>
      </w:r>
    </w:p>
    <w:p w:rsidR="00864D7C" w:rsidRPr="00D7084D" w:rsidRDefault="00864D7C" w:rsidP="00864D7C">
      <w:pPr>
        <w:rPr>
          <w:rFonts w:asciiTheme="minorHAnsi" w:hAnsiTheme="minorHAnsi"/>
        </w:rPr>
      </w:pPr>
      <w:r w:rsidRPr="00D7084D">
        <w:rPr>
          <w:rFonts w:asciiTheme="minorHAnsi" w:hAnsiTheme="minorHAnsi"/>
          <w:b/>
        </w:rPr>
        <w:t>6.2.3.</w:t>
      </w:r>
      <w:r w:rsidRPr="00D7084D">
        <w:rPr>
          <w:rFonts w:asciiTheme="minorHAnsi" w:hAnsiTheme="minorHAnsi"/>
        </w:rPr>
        <w:t xml:space="preserve"> Spadki poprzeczne</w:t>
      </w:r>
    </w:p>
    <w:p w:rsidR="00864D7C" w:rsidRPr="00D7084D" w:rsidRDefault="00864D7C" w:rsidP="00864D7C">
      <w:pPr>
        <w:rPr>
          <w:rFonts w:asciiTheme="minorHAnsi" w:hAnsiTheme="minorHAnsi"/>
        </w:rPr>
      </w:pPr>
      <w:r w:rsidRPr="00D7084D">
        <w:rPr>
          <w:rFonts w:asciiTheme="minorHAnsi" w:hAnsiTheme="minorHAnsi"/>
        </w:rPr>
        <w:tab/>
        <w:t xml:space="preserve">Spadki poprzeczne nawierzchni po frezowaniu powinny być zgodne z dokumentacją projektową, z tolerancją </w:t>
      </w:r>
      <w:r w:rsidRPr="00D7084D">
        <w:rPr>
          <w:rFonts w:asciiTheme="minorHAnsi" w:hAnsiTheme="minorHAnsi"/>
        </w:rPr>
        <w:sym w:font="Symbol" w:char="F0B1"/>
      </w:r>
      <w:r w:rsidRPr="00D7084D">
        <w:rPr>
          <w:rFonts w:asciiTheme="minorHAnsi" w:hAnsiTheme="minorHAnsi"/>
        </w:rPr>
        <w:t xml:space="preserve"> 0,5%.</w:t>
      </w:r>
    </w:p>
    <w:p w:rsidR="00864D7C" w:rsidRPr="00D7084D" w:rsidRDefault="00864D7C" w:rsidP="00864D7C">
      <w:pPr>
        <w:rPr>
          <w:rFonts w:asciiTheme="minorHAnsi" w:hAnsiTheme="minorHAnsi"/>
        </w:rPr>
      </w:pPr>
      <w:r w:rsidRPr="00D7084D">
        <w:rPr>
          <w:rFonts w:asciiTheme="minorHAnsi" w:hAnsiTheme="minorHAnsi"/>
          <w:b/>
        </w:rPr>
        <w:t>6.2.4.</w:t>
      </w:r>
      <w:r w:rsidRPr="00D7084D">
        <w:rPr>
          <w:rFonts w:asciiTheme="minorHAnsi" w:hAnsiTheme="minorHAnsi"/>
        </w:rPr>
        <w:t xml:space="preserve"> Szerokość frezowania</w:t>
      </w:r>
    </w:p>
    <w:p w:rsidR="00864D7C" w:rsidRPr="00D7084D" w:rsidRDefault="00864D7C" w:rsidP="00864D7C">
      <w:pPr>
        <w:rPr>
          <w:rFonts w:asciiTheme="minorHAnsi" w:hAnsiTheme="minorHAnsi"/>
        </w:rPr>
      </w:pPr>
      <w:r w:rsidRPr="00D7084D">
        <w:rPr>
          <w:rFonts w:asciiTheme="minorHAnsi" w:hAnsiTheme="minorHAnsi"/>
        </w:rPr>
        <w:tab/>
        <w:t xml:space="preserve">Szerokość frezowania powinna odpowiadać szerokości określonej w dokumentacji projektowej z dokładnością </w:t>
      </w:r>
      <w:r w:rsidRPr="00D7084D">
        <w:rPr>
          <w:rFonts w:asciiTheme="minorHAnsi" w:hAnsiTheme="minorHAnsi"/>
        </w:rPr>
        <w:sym w:font="Symbol" w:char="F0B1"/>
      </w:r>
      <w:r w:rsidRPr="00D7084D">
        <w:rPr>
          <w:rFonts w:asciiTheme="minorHAnsi" w:hAnsiTheme="minorHAnsi"/>
        </w:rPr>
        <w:t xml:space="preserve"> 5 cm.</w:t>
      </w:r>
    </w:p>
    <w:p w:rsidR="00864D7C" w:rsidRPr="00D7084D" w:rsidRDefault="00864D7C" w:rsidP="00864D7C">
      <w:pPr>
        <w:rPr>
          <w:rFonts w:asciiTheme="minorHAnsi" w:hAnsiTheme="minorHAnsi"/>
        </w:rPr>
      </w:pPr>
      <w:r w:rsidRPr="00D7084D">
        <w:rPr>
          <w:rFonts w:asciiTheme="minorHAnsi" w:hAnsiTheme="minorHAnsi"/>
          <w:b/>
        </w:rPr>
        <w:t>6.2.5.</w:t>
      </w:r>
      <w:r w:rsidRPr="00D7084D">
        <w:rPr>
          <w:rFonts w:asciiTheme="minorHAnsi" w:hAnsiTheme="minorHAnsi"/>
        </w:rPr>
        <w:t xml:space="preserve"> Głębokość frezowania</w:t>
      </w:r>
    </w:p>
    <w:p w:rsidR="00864D7C" w:rsidRPr="00D7084D" w:rsidRDefault="00864D7C" w:rsidP="00864D7C">
      <w:pPr>
        <w:rPr>
          <w:rFonts w:asciiTheme="minorHAnsi" w:hAnsiTheme="minorHAnsi"/>
        </w:rPr>
      </w:pPr>
      <w:r w:rsidRPr="00D7084D">
        <w:rPr>
          <w:rFonts w:asciiTheme="minorHAnsi" w:hAnsiTheme="minorHAnsi"/>
        </w:rPr>
        <w:tab/>
        <w:t>Głębokość frezowania powinna odpowiadać głębokości określonej w dokumentacji projektowej z dokładnością dostosowaną do potrzeb wynikających z przyjętej technologii naprawy.</w:t>
      </w:r>
    </w:p>
    <w:p w:rsidR="00864D7C" w:rsidRPr="00D7084D" w:rsidRDefault="00864D7C" w:rsidP="00864D7C">
      <w:pPr>
        <w:rPr>
          <w:rFonts w:asciiTheme="minorHAnsi" w:hAnsiTheme="minorHAnsi"/>
        </w:rPr>
      </w:pPr>
      <w:r w:rsidRPr="00D7084D">
        <w:rPr>
          <w:rFonts w:asciiTheme="minorHAnsi" w:hAnsiTheme="minorHAnsi"/>
        </w:rPr>
        <w:tab/>
      </w:r>
    </w:p>
    <w:p w:rsidR="00864D7C" w:rsidRPr="00D7084D" w:rsidRDefault="00864D7C" w:rsidP="00864D7C">
      <w:pPr>
        <w:rPr>
          <w:rFonts w:asciiTheme="minorHAnsi" w:hAnsiTheme="minorHAnsi"/>
          <w:b/>
        </w:rPr>
      </w:pPr>
      <w:r w:rsidRPr="00D7084D">
        <w:rPr>
          <w:rFonts w:asciiTheme="minorHAnsi" w:hAnsiTheme="minorHAnsi"/>
          <w:b/>
        </w:rPr>
        <w:t>7. OBMIAR ROBÓT</w:t>
      </w:r>
    </w:p>
    <w:p w:rsidR="00864D7C" w:rsidRPr="00D7084D" w:rsidRDefault="00864D7C" w:rsidP="00864D7C">
      <w:pPr>
        <w:rPr>
          <w:rFonts w:asciiTheme="minorHAnsi" w:hAnsiTheme="minorHAnsi"/>
        </w:rPr>
      </w:pPr>
      <w:r w:rsidRPr="00D7084D">
        <w:rPr>
          <w:rFonts w:asciiTheme="minorHAnsi" w:hAnsiTheme="minorHAnsi"/>
          <w:b/>
        </w:rPr>
        <w:t>7.1.</w:t>
      </w:r>
      <w:r w:rsidRPr="00D7084D">
        <w:rPr>
          <w:rFonts w:asciiTheme="minorHAnsi" w:hAnsiTheme="minorHAnsi"/>
        </w:rPr>
        <w:t xml:space="preserve"> Ogólne zasady obmiaru robót</w:t>
      </w:r>
    </w:p>
    <w:p w:rsidR="00864D7C" w:rsidRPr="00D7084D" w:rsidRDefault="00864D7C" w:rsidP="00864D7C">
      <w:pPr>
        <w:rPr>
          <w:rFonts w:asciiTheme="minorHAnsi" w:hAnsiTheme="minorHAnsi"/>
        </w:rPr>
      </w:pPr>
      <w:r w:rsidRPr="00D7084D">
        <w:rPr>
          <w:rFonts w:asciiTheme="minorHAnsi" w:hAnsiTheme="minorHAnsi"/>
        </w:rPr>
        <w:tab/>
        <w:t>Ogólne zasady obmiaru robót podano w ST D-M-00.00.00 „Wymagania ogólne” pkt 7.</w:t>
      </w:r>
    </w:p>
    <w:p w:rsidR="00864D7C" w:rsidRPr="00D7084D" w:rsidRDefault="00864D7C" w:rsidP="00864D7C">
      <w:pPr>
        <w:rPr>
          <w:rFonts w:asciiTheme="minorHAnsi" w:hAnsiTheme="minorHAnsi"/>
        </w:rPr>
      </w:pPr>
      <w:r w:rsidRPr="00D7084D">
        <w:rPr>
          <w:rFonts w:asciiTheme="minorHAnsi" w:hAnsiTheme="minorHAnsi"/>
          <w:b/>
        </w:rPr>
        <w:t>7.2.</w:t>
      </w:r>
      <w:r w:rsidRPr="00D7084D">
        <w:rPr>
          <w:rFonts w:asciiTheme="minorHAnsi" w:hAnsiTheme="minorHAnsi"/>
        </w:rPr>
        <w:t xml:space="preserve"> Jednostka obmiarowa</w:t>
      </w:r>
    </w:p>
    <w:p w:rsidR="00864D7C" w:rsidRPr="00D7084D" w:rsidRDefault="00864D7C" w:rsidP="00864D7C">
      <w:pPr>
        <w:rPr>
          <w:rFonts w:asciiTheme="minorHAnsi" w:hAnsiTheme="minorHAnsi"/>
        </w:rPr>
      </w:pPr>
      <w:r w:rsidRPr="00D7084D">
        <w:rPr>
          <w:rFonts w:asciiTheme="minorHAnsi" w:hAnsiTheme="minorHAnsi"/>
        </w:rPr>
        <w:tab/>
        <w:t>Jednostką obmiarową jest 1 m2 (metr kwadratowy).</w:t>
      </w:r>
    </w:p>
    <w:p w:rsidR="00864D7C" w:rsidRPr="00D7084D" w:rsidRDefault="00864D7C" w:rsidP="00864D7C">
      <w:pPr>
        <w:rPr>
          <w:rFonts w:asciiTheme="minorHAnsi" w:hAnsiTheme="minorHAnsi"/>
        </w:rPr>
      </w:pPr>
    </w:p>
    <w:p w:rsidR="00864D7C" w:rsidRPr="00D7084D" w:rsidRDefault="00864D7C" w:rsidP="00864D7C">
      <w:pPr>
        <w:rPr>
          <w:rFonts w:asciiTheme="minorHAnsi" w:hAnsiTheme="minorHAnsi"/>
          <w:b/>
        </w:rPr>
      </w:pPr>
      <w:r w:rsidRPr="00D7084D">
        <w:rPr>
          <w:rFonts w:asciiTheme="minorHAnsi" w:hAnsiTheme="minorHAnsi"/>
          <w:b/>
        </w:rPr>
        <w:t>8. ODBIÓR ROBÓT</w:t>
      </w:r>
    </w:p>
    <w:p w:rsidR="00864D7C" w:rsidRPr="00D7084D" w:rsidRDefault="00864D7C" w:rsidP="00864D7C">
      <w:pPr>
        <w:rPr>
          <w:rFonts w:asciiTheme="minorHAnsi" w:hAnsiTheme="minorHAnsi"/>
        </w:rPr>
      </w:pPr>
      <w:r w:rsidRPr="00D7084D">
        <w:rPr>
          <w:rFonts w:asciiTheme="minorHAnsi" w:hAnsiTheme="minorHAnsi"/>
        </w:rPr>
        <w:tab/>
        <w:t>Ogólne zasady odbioru robót podano w ST D-M-00.00.00 „Wymagania ogólne” pkt 8.</w:t>
      </w:r>
    </w:p>
    <w:p w:rsidR="00864D7C" w:rsidRPr="00D7084D" w:rsidRDefault="00864D7C" w:rsidP="00864D7C">
      <w:pPr>
        <w:rPr>
          <w:rFonts w:asciiTheme="minorHAnsi" w:hAnsiTheme="minorHAnsi"/>
        </w:rPr>
      </w:pPr>
      <w:r w:rsidRPr="00D7084D">
        <w:rPr>
          <w:rFonts w:asciiTheme="minorHAnsi" w:hAnsiTheme="minorHAnsi"/>
        </w:rPr>
        <w:tab/>
        <w:t>Roboty uznaje się za wykonane zgodnie z dokumentacją projektową, ST i wymaganiami Inżyniera, jeżeli wszystkie pomiary i badania z zachowaniem tolerancji wg pkt 6 dały wyniki pozytywne.</w:t>
      </w:r>
    </w:p>
    <w:p w:rsidR="00864D7C" w:rsidRPr="00D7084D" w:rsidRDefault="00864D7C" w:rsidP="00864D7C">
      <w:pPr>
        <w:rPr>
          <w:rFonts w:asciiTheme="minorHAnsi" w:hAnsiTheme="minorHAnsi"/>
        </w:rPr>
      </w:pPr>
    </w:p>
    <w:p w:rsidR="00864D7C" w:rsidRPr="00D7084D" w:rsidRDefault="00864D7C" w:rsidP="00864D7C">
      <w:pPr>
        <w:rPr>
          <w:rFonts w:asciiTheme="minorHAnsi" w:hAnsiTheme="minorHAnsi"/>
          <w:b/>
        </w:rPr>
      </w:pPr>
      <w:r w:rsidRPr="00D7084D">
        <w:rPr>
          <w:rFonts w:asciiTheme="minorHAnsi" w:hAnsiTheme="minorHAnsi"/>
          <w:b/>
        </w:rPr>
        <w:t>9. PODSTAWA PŁATNOŚCI</w:t>
      </w:r>
    </w:p>
    <w:p w:rsidR="00864D7C" w:rsidRPr="00D7084D" w:rsidRDefault="00864D7C" w:rsidP="00864D7C">
      <w:pPr>
        <w:rPr>
          <w:rFonts w:asciiTheme="minorHAnsi" w:hAnsiTheme="minorHAnsi"/>
        </w:rPr>
      </w:pPr>
      <w:r w:rsidRPr="00D7084D">
        <w:rPr>
          <w:rFonts w:asciiTheme="minorHAnsi" w:hAnsiTheme="minorHAnsi"/>
          <w:b/>
        </w:rPr>
        <w:t>9.1.</w:t>
      </w:r>
      <w:r w:rsidRPr="00D7084D">
        <w:rPr>
          <w:rFonts w:asciiTheme="minorHAnsi" w:hAnsiTheme="minorHAnsi"/>
        </w:rPr>
        <w:t xml:space="preserve"> Ogólne ustalenia dotyczące podstawy płatności</w:t>
      </w:r>
    </w:p>
    <w:p w:rsidR="00864D7C" w:rsidRPr="00D7084D" w:rsidRDefault="00864D7C" w:rsidP="00864D7C">
      <w:pPr>
        <w:rPr>
          <w:rFonts w:asciiTheme="minorHAnsi" w:hAnsiTheme="minorHAnsi"/>
        </w:rPr>
      </w:pPr>
      <w:r w:rsidRPr="00D7084D">
        <w:rPr>
          <w:rFonts w:asciiTheme="minorHAnsi" w:hAnsiTheme="minorHAnsi"/>
        </w:rPr>
        <w:tab/>
        <w:t>Ogólne ustalenia dotyczące podstawy płatności podano w ST D-M-00.00.00 „Wymagania ogólne” pkt 9.</w:t>
      </w:r>
      <w:r w:rsidRPr="00D7084D">
        <w:rPr>
          <w:rFonts w:asciiTheme="minorHAnsi" w:hAnsiTheme="minorHAnsi"/>
        </w:rPr>
        <w:tab/>
      </w:r>
    </w:p>
    <w:p w:rsidR="00864D7C" w:rsidRPr="00D7084D" w:rsidRDefault="00864D7C" w:rsidP="00864D7C">
      <w:pPr>
        <w:rPr>
          <w:rFonts w:asciiTheme="minorHAnsi" w:hAnsiTheme="minorHAnsi"/>
        </w:rPr>
      </w:pPr>
      <w:r w:rsidRPr="00D7084D">
        <w:rPr>
          <w:rFonts w:asciiTheme="minorHAnsi" w:hAnsiTheme="minorHAnsi"/>
          <w:b/>
        </w:rPr>
        <w:t>9.2.</w:t>
      </w:r>
      <w:r w:rsidRPr="00D7084D">
        <w:rPr>
          <w:rFonts w:asciiTheme="minorHAnsi" w:hAnsiTheme="minorHAnsi"/>
        </w:rPr>
        <w:t xml:space="preserve"> Cena jednostki obmiarowej</w:t>
      </w:r>
    </w:p>
    <w:p w:rsidR="00864D7C" w:rsidRPr="00D7084D" w:rsidRDefault="00864D7C" w:rsidP="00864D7C">
      <w:pPr>
        <w:rPr>
          <w:rFonts w:asciiTheme="minorHAnsi" w:hAnsiTheme="minorHAnsi"/>
        </w:rPr>
      </w:pPr>
      <w:r w:rsidRPr="00D7084D">
        <w:rPr>
          <w:rFonts w:asciiTheme="minorHAnsi" w:hAnsiTheme="minorHAnsi"/>
        </w:rPr>
        <w:tab/>
        <w:t>Cena wykonania 1 m2  frezowania na zimno nawierzchni asfaltowej obejmuje:</w:t>
      </w:r>
    </w:p>
    <w:p w:rsidR="00864D7C" w:rsidRPr="00D7084D" w:rsidRDefault="00864D7C" w:rsidP="00864D7C">
      <w:pPr>
        <w:rPr>
          <w:rFonts w:asciiTheme="minorHAnsi" w:hAnsiTheme="minorHAnsi"/>
        </w:rPr>
      </w:pPr>
      <w:r>
        <w:rPr>
          <w:rFonts w:asciiTheme="minorHAnsi" w:hAnsiTheme="minorHAnsi"/>
        </w:rPr>
        <w:t>-</w:t>
      </w:r>
      <w:r w:rsidRPr="00D7084D">
        <w:rPr>
          <w:rFonts w:asciiTheme="minorHAnsi" w:hAnsiTheme="minorHAnsi"/>
        </w:rPr>
        <w:t>prace pomiarowe,</w:t>
      </w:r>
    </w:p>
    <w:p w:rsidR="00864D7C" w:rsidRPr="00D7084D" w:rsidRDefault="00864D7C" w:rsidP="00864D7C">
      <w:pPr>
        <w:rPr>
          <w:rFonts w:asciiTheme="minorHAnsi" w:hAnsiTheme="minorHAnsi"/>
        </w:rPr>
      </w:pPr>
      <w:r>
        <w:rPr>
          <w:rFonts w:asciiTheme="minorHAnsi" w:hAnsiTheme="minorHAnsi"/>
        </w:rPr>
        <w:t>-</w:t>
      </w:r>
      <w:r w:rsidRPr="00D7084D">
        <w:rPr>
          <w:rFonts w:asciiTheme="minorHAnsi" w:hAnsiTheme="minorHAnsi"/>
        </w:rPr>
        <w:t>oznakowanie robót,</w:t>
      </w:r>
    </w:p>
    <w:p w:rsidR="00864D7C" w:rsidRPr="00D7084D" w:rsidRDefault="00864D7C" w:rsidP="00864D7C">
      <w:pPr>
        <w:rPr>
          <w:rFonts w:asciiTheme="minorHAnsi" w:hAnsiTheme="minorHAnsi"/>
        </w:rPr>
      </w:pPr>
      <w:r>
        <w:rPr>
          <w:rFonts w:asciiTheme="minorHAnsi" w:hAnsiTheme="minorHAnsi"/>
        </w:rPr>
        <w:t>-</w:t>
      </w:r>
      <w:r w:rsidRPr="00D7084D">
        <w:rPr>
          <w:rFonts w:asciiTheme="minorHAnsi" w:hAnsiTheme="minorHAnsi"/>
        </w:rPr>
        <w:t>frezowanie,</w:t>
      </w:r>
    </w:p>
    <w:p w:rsidR="00864D7C" w:rsidRPr="00D7084D" w:rsidRDefault="00864D7C" w:rsidP="00864D7C">
      <w:pPr>
        <w:rPr>
          <w:rFonts w:asciiTheme="minorHAnsi" w:hAnsiTheme="minorHAnsi"/>
        </w:rPr>
      </w:pPr>
      <w:r>
        <w:rPr>
          <w:rFonts w:asciiTheme="minorHAnsi" w:hAnsiTheme="minorHAnsi"/>
        </w:rPr>
        <w:t>-</w:t>
      </w:r>
      <w:r w:rsidRPr="00D7084D">
        <w:rPr>
          <w:rFonts w:asciiTheme="minorHAnsi" w:hAnsiTheme="minorHAnsi"/>
        </w:rPr>
        <w:t>transport sfrezowanego materiału,</w:t>
      </w:r>
    </w:p>
    <w:p w:rsidR="00864D7C" w:rsidRPr="00D7084D" w:rsidRDefault="00864D7C" w:rsidP="00864D7C">
      <w:pPr>
        <w:rPr>
          <w:rFonts w:asciiTheme="minorHAnsi" w:hAnsiTheme="minorHAnsi"/>
        </w:rPr>
      </w:pPr>
      <w:r>
        <w:rPr>
          <w:rFonts w:asciiTheme="minorHAnsi" w:hAnsiTheme="minorHAnsi"/>
        </w:rPr>
        <w:t>-</w:t>
      </w:r>
      <w:r w:rsidRPr="00D7084D">
        <w:rPr>
          <w:rFonts w:asciiTheme="minorHAnsi" w:hAnsiTheme="minorHAnsi"/>
        </w:rPr>
        <w:t>przeprowadzenie pomiarów wymaganych w specyfikacji technicznej.</w:t>
      </w:r>
    </w:p>
    <w:p w:rsidR="00864D7C" w:rsidRPr="00D7084D" w:rsidRDefault="00864D7C" w:rsidP="00864D7C">
      <w:pPr>
        <w:rPr>
          <w:rFonts w:asciiTheme="minorHAnsi" w:hAnsiTheme="minorHAnsi"/>
        </w:rPr>
      </w:pPr>
      <w:r w:rsidRPr="00D7084D">
        <w:rPr>
          <w:rFonts w:asciiTheme="minorHAnsi" w:hAnsiTheme="minorHAnsi"/>
        </w:rPr>
        <w:tab/>
      </w:r>
    </w:p>
    <w:p w:rsidR="00864D7C" w:rsidRPr="00D7084D" w:rsidRDefault="00864D7C" w:rsidP="00864D7C">
      <w:pPr>
        <w:rPr>
          <w:rFonts w:asciiTheme="minorHAnsi" w:hAnsiTheme="minorHAnsi"/>
          <w:b/>
        </w:rPr>
      </w:pPr>
      <w:r w:rsidRPr="00D7084D">
        <w:rPr>
          <w:rFonts w:asciiTheme="minorHAnsi" w:hAnsiTheme="minorHAnsi"/>
          <w:b/>
        </w:rPr>
        <w:lastRenderedPageBreak/>
        <w:t>10. PRZEPISY ZWIĄZANE</w:t>
      </w:r>
    </w:p>
    <w:p w:rsidR="00864D7C" w:rsidRPr="00D7084D" w:rsidRDefault="00864D7C" w:rsidP="00864D7C">
      <w:pPr>
        <w:rPr>
          <w:rFonts w:asciiTheme="minorHAnsi" w:hAnsiTheme="minorHAnsi"/>
        </w:rPr>
      </w:pPr>
      <w:r w:rsidRPr="00D7084D">
        <w:rPr>
          <w:rFonts w:asciiTheme="minorHAnsi" w:hAnsiTheme="minorHAnsi"/>
        </w:rPr>
        <w:t>Normy</w:t>
      </w:r>
      <w:r w:rsidRPr="00D7084D">
        <w:rPr>
          <w:rFonts w:asciiTheme="minorHAnsi" w:hAnsiTheme="minorHAnsi"/>
        </w:rPr>
        <w:tab/>
      </w:r>
    </w:p>
    <w:p w:rsidR="00864D7C" w:rsidRPr="00D7084D" w:rsidRDefault="00864D7C" w:rsidP="00864D7C">
      <w:pPr>
        <w:rPr>
          <w:rFonts w:asciiTheme="minorHAnsi" w:hAnsiTheme="minorHAnsi"/>
        </w:rPr>
      </w:pPr>
      <w:r w:rsidRPr="00D7084D">
        <w:rPr>
          <w:rFonts w:asciiTheme="minorHAnsi" w:hAnsiTheme="minorHAnsi"/>
        </w:rPr>
        <w:t>1. BN-68/8931-04</w:t>
      </w:r>
      <w:r w:rsidRPr="00D7084D">
        <w:rPr>
          <w:rFonts w:asciiTheme="minorHAnsi" w:hAnsiTheme="minorHAnsi"/>
        </w:rPr>
        <w:tab/>
        <w:t>Drogi samochodowe. Pomiar równości nawierzchni planografem i łatą.</w:t>
      </w:r>
    </w:p>
    <w:p w:rsidR="00E21692" w:rsidRDefault="00E21692" w:rsidP="00BB2441">
      <w:pPr>
        <w:pStyle w:val="Nagwek1"/>
        <w:jc w:val="center"/>
      </w:pPr>
    </w:p>
    <w:p w:rsidR="00864D7C" w:rsidRDefault="00864D7C" w:rsidP="00864D7C"/>
    <w:p w:rsidR="00864D7C" w:rsidRDefault="00864D7C" w:rsidP="00864D7C"/>
    <w:p w:rsidR="00864D7C" w:rsidRDefault="00864D7C" w:rsidP="00864D7C"/>
    <w:p w:rsidR="00864D7C" w:rsidRDefault="00864D7C" w:rsidP="00864D7C"/>
    <w:p w:rsidR="00864D7C" w:rsidRDefault="00864D7C" w:rsidP="00864D7C"/>
    <w:p w:rsidR="00864D7C" w:rsidRDefault="00864D7C" w:rsidP="00864D7C"/>
    <w:p w:rsidR="00864D7C" w:rsidRDefault="00864D7C" w:rsidP="00864D7C"/>
    <w:p w:rsidR="00864D7C" w:rsidRDefault="00864D7C" w:rsidP="00864D7C"/>
    <w:p w:rsidR="00864D7C" w:rsidRDefault="00864D7C" w:rsidP="00864D7C"/>
    <w:p w:rsidR="00864D7C" w:rsidRDefault="00864D7C" w:rsidP="00864D7C"/>
    <w:p w:rsidR="00864D7C" w:rsidRDefault="00864D7C" w:rsidP="00864D7C"/>
    <w:p w:rsidR="00864D7C" w:rsidRDefault="00864D7C" w:rsidP="00864D7C"/>
    <w:p w:rsidR="00864D7C" w:rsidRDefault="00864D7C" w:rsidP="00864D7C"/>
    <w:p w:rsidR="00864D7C" w:rsidRDefault="00864D7C" w:rsidP="00864D7C"/>
    <w:p w:rsidR="00864D7C" w:rsidRDefault="00864D7C" w:rsidP="00864D7C"/>
    <w:p w:rsidR="00864D7C" w:rsidRDefault="00864D7C" w:rsidP="00864D7C"/>
    <w:p w:rsidR="00864D7C" w:rsidRDefault="00864D7C" w:rsidP="00864D7C"/>
    <w:p w:rsidR="00864D7C" w:rsidRDefault="00864D7C" w:rsidP="00864D7C"/>
    <w:p w:rsidR="00864D7C" w:rsidRDefault="00864D7C" w:rsidP="00864D7C"/>
    <w:p w:rsidR="00864D7C" w:rsidRDefault="00864D7C" w:rsidP="00864D7C"/>
    <w:p w:rsidR="00864D7C" w:rsidRDefault="00864D7C" w:rsidP="00864D7C"/>
    <w:p w:rsidR="00864D7C" w:rsidRDefault="00864D7C" w:rsidP="00864D7C"/>
    <w:p w:rsidR="00864D7C" w:rsidRDefault="00864D7C" w:rsidP="00864D7C"/>
    <w:p w:rsidR="00864D7C" w:rsidRDefault="00864D7C" w:rsidP="00864D7C"/>
    <w:p w:rsidR="00864D7C" w:rsidRDefault="00864D7C" w:rsidP="00864D7C"/>
    <w:p w:rsidR="00864D7C" w:rsidRDefault="00864D7C" w:rsidP="00864D7C"/>
    <w:p w:rsidR="00864D7C" w:rsidRDefault="00864D7C" w:rsidP="00864D7C"/>
    <w:p w:rsidR="00864D7C" w:rsidRDefault="00864D7C" w:rsidP="00864D7C"/>
    <w:p w:rsidR="00864D7C" w:rsidRDefault="00864D7C" w:rsidP="00864D7C"/>
    <w:p w:rsidR="00864D7C" w:rsidRDefault="00864D7C" w:rsidP="00864D7C"/>
    <w:p w:rsidR="00864D7C" w:rsidRDefault="00864D7C" w:rsidP="00864D7C"/>
    <w:p w:rsidR="00864D7C" w:rsidRDefault="00864D7C" w:rsidP="00864D7C"/>
    <w:p w:rsidR="00864D7C" w:rsidRDefault="00864D7C" w:rsidP="00864D7C"/>
    <w:p w:rsidR="00864D7C" w:rsidRDefault="00864D7C" w:rsidP="00864D7C"/>
    <w:p w:rsidR="00864D7C" w:rsidRDefault="00864D7C" w:rsidP="00864D7C"/>
    <w:p w:rsidR="00864D7C" w:rsidRDefault="00864D7C" w:rsidP="00864D7C"/>
    <w:p w:rsidR="00864D7C" w:rsidRDefault="00864D7C" w:rsidP="00864D7C"/>
    <w:p w:rsidR="00864D7C" w:rsidRDefault="00864D7C" w:rsidP="00864D7C"/>
    <w:p w:rsidR="00864D7C" w:rsidRDefault="00864D7C" w:rsidP="00864D7C"/>
    <w:p w:rsidR="00864D7C" w:rsidRDefault="00864D7C" w:rsidP="00864D7C"/>
    <w:p w:rsidR="00864D7C" w:rsidRDefault="00864D7C" w:rsidP="00864D7C"/>
    <w:p w:rsidR="00864D7C" w:rsidRDefault="00864D7C" w:rsidP="00864D7C"/>
    <w:p w:rsidR="00864D7C" w:rsidRDefault="00864D7C" w:rsidP="00864D7C"/>
    <w:p w:rsidR="00864D7C" w:rsidRDefault="00864D7C" w:rsidP="00864D7C"/>
    <w:p w:rsidR="00864D7C" w:rsidRDefault="00864D7C" w:rsidP="00864D7C"/>
    <w:p w:rsidR="00864D7C" w:rsidRDefault="00864D7C" w:rsidP="00864D7C"/>
    <w:p w:rsidR="00864D7C" w:rsidRDefault="00864D7C" w:rsidP="00864D7C"/>
    <w:p w:rsidR="00864D7C" w:rsidRDefault="00864D7C" w:rsidP="00864D7C"/>
    <w:p w:rsidR="00864D7C" w:rsidRDefault="00864D7C" w:rsidP="00864D7C"/>
    <w:p w:rsidR="00864D7C" w:rsidRDefault="00864D7C" w:rsidP="00864D7C"/>
    <w:p w:rsidR="00864D7C" w:rsidRDefault="00864D7C" w:rsidP="00864D7C"/>
    <w:p w:rsidR="00864D7C" w:rsidRDefault="00864D7C" w:rsidP="00864D7C"/>
    <w:p w:rsidR="00E21692" w:rsidRDefault="00E21692" w:rsidP="00BB2441">
      <w:pPr>
        <w:pStyle w:val="Nagwek1"/>
        <w:jc w:val="center"/>
      </w:pPr>
    </w:p>
    <w:p w:rsidR="00E21692" w:rsidRDefault="00E21692" w:rsidP="00BB2441">
      <w:pPr>
        <w:pStyle w:val="Nagwek1"/>
        <w:jc w:val="center"/>
      </w:pPr>
    </w:p>
    <w:p w:rsidR="00E21692" w:rsidRDefault="00E21692" w:rsidP="00BB2441">
      <w:pPr>
        <w:pStyle w:val="Nagwek1"/>
        <w:jc w:val="center"/>
      </w:pPr>
    </w:p>
    <w:p w:rsidR="000C27BF" w:rsidRDefault="000C27BF" w:rsidP="000C27BF"/>
    <w:p w:rsidR="000C27BF" w:rsidRDefault="000C27BF" w:rsidP="000C27BF"/>
    <w:p w:rsidR="000C27BF" w:rsidRDefault="000C27BF" w:rsidP="000C27BF"/>
    <w:p w:rsidR="000C27BF" w:rsidRDefault="000C27BF" w:rsidP="000C27BF"/>
    <w:p w:rsidR="000C27BF" w:rsidRDefault="000C27BF" w:rsidP="000C27BF"/>
    <w:p w:rsidR="000C27BF" w:rsidRDefault="000C27BF" w:rsidP="000C27BF"/>
    <w:p w:rsidR="000C27BF" w:rsidRPr="000C27BF" w:rsidRDefault="000C27BF" w:rsidP="000C27BF"/>
    <w:p w:rsidR="00E21692" w:rsidRDefault="00E21692" w:rsidP="00BB2441">
      <w:pPr>
        <w:pStyle w:val="Nagwek1"/>
        <w:jc w:val="center"/>
      </w:pPr>
    </w:p>
    <w:p w:rsidR="00E21692" w:rsidRPr="00E21692" w:rsidRDefault="00E21692" w:rsidP="00E21692"/>
    <w:p w:rsidR="00E21692" w:rsidRDefault="00E21692" w:rsidP="00BB2441">
      <w:pPr>
        <w:pStyle w:val="Nagwek1"/>
        <w:jc w:val="center"/>
      </w:pPr>
    </w:p>
    <w:p w:rsidR="00B83F88" w:rsidRPr="00C01A93" w:rsidRDefault="00EF7FDC" w:rsidP="00BB2441">
      <w:pPr>
        <w:pStyle w:val="Nagwek1"/>
        <w:jc w:val="center"/>
      </w:pPr>
      <w:bookmarkStart w:id="1497" w:name="_Toc438237732"/>
      <w:r>
        <w:t xml:space="preserve">D-05.03.23a </w:t>
      </w:r>
      <w:r w:rsidR="00753E52">
        <w:t xml:space="preserve"> </w:t>
      </w:r>
      <w:r>
        <w:t xml:space="preserve">NAWIERZCHNIA Z BETONOWEJ </w:t>
      </w:r>
      <w:r w:rsidR="00B83F88" w:rsidRPr="00C01A93">
        <w:t xml:space="preserve">KOSTKI BRUKOWEJ  DLA </w:t>
      </w:r>
      <w:r>
        <w:t xml:space="preserve">DRÓG I ULIC ORAZ PLACÓW I </w:t>
      </w:r>
      <w:r w:rsidR="00B83F88" w:rsidRPr="00C01A93">
        <w:t>CHODNIKÓW</w:t>
      </w:r>
      <w:bookmarkEnd w:id="1493"/>
      <w:bookmarkEnd w:id="1497"/>
    </w:p>
    <w:p w:rsidR="00B83F88" w:rsidRPr="00C01A93" w:rsidRDefault="00B83F88" w:rsidP="00B83F88">
      <w:pPr>
        <w:rPr>
          <w:rFonts w:asciiTheme="minorHAnsi" w:hAnsiTheme="minorHAnsi"/>
        </w:rPr>
      </w:pPr>
    </w:p>
    <w:p w:rsidR="00B83F88" w:rsidRPr="00C01A93" w:rsidRDefault="00B83F88" w:rsidP="00B83F88">
      <w:pPr>
        <w:rPr>
          <w:rFonts w:asciiTheme="minorHAnsi" w:hAnsiTheme="minorHAnsi"/>
        </w:rPr>
      </w:pPr>
    </w:p>
    <w:p w:rsidR="00B83F88" w:rsidRPr="00C01A93" w:rsidRDefault="00B83F88" w:rsidP="00B83F88">
      <w:pPr>
        <w:rPr>
          <w:rFonts w:asciiTheme="minorHAnsi" w:hAnsiTheme="minorHAnsi"/>
        </w:rPr>
      </w:pPr>
    </w:p>
    <w:p w:rsidR="00B83F88" w:rsidRPr="00C01A93" w:rsidRDefault="00B83F88" w:rsidP="00B83F88">
      <w:pPr>
        <w:rPr>
          <w:rFonts w:asciiTheme="minorHAnsi" w:hAnsiTheme="minorHAnsi"/>
        </w:rPr>
      </w:pPr>
    </w:p>
    <w:p w:rsidR="00B83F88" w:rsidRPr="00C01A93" w:rsidRDefault="00B83F88" w:rsidP="00B83F88">
      <w:pPr>
        <w:rPr>
          <w:rFonts w:asciiTheme="minorHAnsi" w:hAnsiTheme="minorHAnsi"/>
        </w:rPr>
      </w:pPr>
    </w:p>
    <w:p w:rsidR="00B83F88" w:rsidRPr="00C01A93" w:rsidRDefault="00B83F88" w:rsidP="00B83F88">
      <w:pPr>
        <w:rPr>
          <w:rFonts w:asciiTheme="minorHAnsi" w:hAnsiTheme="minorHAnsi"/>
        </w:rPr>
      </w:pPr>
    </w:p>
    <w:p w:rsidR="00B83F88" w:rsidRPr="00C01A93" w:rsidRDefault="00B83F88" w:rsidP="00B83F88">
      <w:pPr>
        <w:rPr>
          <w:rFonts w:asciiTheme="minorHAnsi" w:hAnsiTheme="minorHAnsi"/>
        </w:rPr>
      </w:pPr>
    </w:p>
    <w:p w:rsidR="00B83F88" w:rsidRPr="00C01A93" w:rsidRDefault="00B83F88" w:rsidP="00B83F88">
      <w:pPr>
        <w:rPr>
          <w:rFonts w:asciiTheme="minorHAnsi" w:hAnsiTheme="minorHAnsi"/>
        </w:rPr>
      </w:pPr>
    </w:p>
    <w:p w:rsidR="00B83F88" w:rsidRPr="00C01A93" w:rsidRDefault="00B83F88" w:rsidP="00B83F88">
      <w:pPr>
        <w:rPr>
          <w:rFonts w:asciiTheme="minorHAnsi" w:hAnsiTheme="minorHAnsi"/>
        </w:rPr>
      </w:pPr>
    </w:p>
    <w:p w:rsidR="00753E52" w:rsidRDefault="00753E52" w:rsidP="00B83F88">
      <w:pPr>
        <w:rPr>
          <w:rFonts w:asciiTheme="minorHAnsi" w:hAnsiTheme="minorHAnsi"/>
          <w:b/>
        </w:rPr>
      </w:pPr>
      <w:bookmarkStart w:id="1498" w:name="_Toc107903636"/>
    </w:p>
    <w:p w:rsidR="00753E52" w:rsidRDefault="00753E52" w:rsidP="00B83F88">
      <w:pPr>
        <w:rPr>
          <w:rFonts w:asciiTheme="minorHAnsi" w:hAnsiTheme="minorHAnsi"/>
          <w:b/>
        </w:rPr>
      </w:pPr>
    </w:p>
    <w:p w:rsidR="00753E52" w:rsidRDefault="00753E52" w:rsidP="00B83F88">
      <w:pPr>
        <w:rPr>
          <w:rFonts w:asciiTheme="minorHAnsi" w:hAnsiTheme="minorHAnsi"/>
          <w:b/>
        </w:rPr>
      </w:pPr>
    </w:p>
    <w:p w:rsidR="00753E52" w:rsidRDefault="00753E52" w:rsidP="00B83F88">
      <w:pPr>
        <w:rPr>
          <w:rFonts w:asciiTheme="minorHAnsi" w:hAnsiTheme="minorHAnsi"/>
          <w:b/>
        </w:rPr>
      </w:pPr>
    </w:p>
    <w:p w:rsidR="00753E52" w:rsidRDefault="00753E52" w:rsidP="00B83F88">
      <w:pPr>
        <w:rPr>
          <w:rFonts w:asciiTheme="minorHAnsi" w:hAnsiTheme="minorHAnsi"/>
          <w:b/>
        </w:rPr>
      </w:pPr>
    </w:p>
    <w:p w:rsidR="00753E52" w:rsidRDefault="00753E52" w:rsidP="00B83F88">
      <w:pPr>
        <w:rPr>
          <w:rFonts w:asciiTheme="minorHAnsi" w:hAnsiTheme="minorHAnsi"/>
          <w:b/>
        </w:rPr>
      </w:pPr>
    </w:p>
    <w:p w:rsidR="00753E52" w:rsidRDefault="00753E52" w:rsidP="00B83F88">
      <w:pPr>
        <w:rPr>
          <w:rFonts w:asciiTheme="minorHAnsi" w:hAnsiTheme="minorHAnsi"/>
          <w:b/>
        </w:rPr>
      </w:pPr>
    </w:p>
    <w:p w:rsidR="00753E52" w:rsidRDefault="00753E52" w:rsidP="00B83F88">
      <w:pPr>
        <w:rPr>
          <w:rFonts w:asciiTheme="minorHAnsi" w:hAnsiTheme="minorHAnsi"/>
          <w:b/>
        </w:rPr>
      </w:pPr>
    </w:p>
    <w:p w:rsidR="00753E52" w:rsidRDefault="00753E52" w:rsidP="00B83F88">
      <w:pPr>
        <w:rPr>
          <w:rFonts w:asciiTheme="minorHAnsi" w:hAnsiTheme="minorHAnsi"/>
          <w:b/>
        </w:rPr>
      </w:pPr>
    </w:p>
    <w:p w:rsidR="00753E52" w:rsidRDefault="00753E52" w:rsidP="00B83F88">
      <w:pPr>
        <w:rPr>
          <w:rFonts w:asciiTheme="minorHAnsi" w:hAnsiTheme="minorHAnsi"/>
          <w:b/>
        </w:rPr>
      </w:pPr>
    </w:p>
    <w:p w:rsidR="00753E52" w:rsidRDefault="00753E52" w:rsidP="00B83F88">
      <w:pPr>
        <w:rPr>
          <w:rFonts w:asciiTheme="minorHAnsi" w:hAnsiTheme="minorHAnsi"/>
          <w:b/>
        </w:rPr>
      </w:pPr>
    </w:p>
    <w:p w:rsidR="00753E52" w:rsidRDefault="00753E52" w:rsidP="00B83F88">
      <w:pPr>
        <w:rPr>
          <w:rFonts w:asciiTheme="minorHAnsi" w:hAnsiTheme="minorHAnsi"/>
          <w:b/>
        </w:rPr>
      </w:pPr>
    </w:p>
    <w:p w:rsidR="00753E52" w:rsidRDefault="00753E52" w:rsidP="00B83F88">
      <w:pPr>
        <w:rPr>
          <w:rFonts w:asciiTheme="minorHAnsi" w:hAnsiTheme="minorHAnsi"/>
          <w:b/>
        </w:rPr>
      </w:pPr>
    </w:p>
    <w:p w:rsidR="00753E52" w:rsidRDefault="00753E52" w:rsidP="00B83F88">
      <w:pPr>
        <w:rPr>
          <w:rFonts w:asciiTheme="minorHAnsi" w:hAnsiTheme="minorHAnsi"/>
          <w:b/>
        </w:rPr>
      </w:pPr>
    </w:p>
    <w:p w:rsidR="00753E52" w:rsidRDefault="00753E52" w:rsidP="00B83F88">
      <w:pPr>
        <w:rPr>
          <w:rFonts w:asciiTheme="minorHAnsi" w:hAnsiTheme="minorHAnsi"/>
          <w:b/>
        </w:rPr>
      </w:pPr>
    </w:p>
    <w:p w:rsidR="00753E52" w:rsidRDefault="00753E52" w:rsidP="00B83F88">
      <w:pPr>
        <w:rPr>
          <w:rFonts w:asciiTheme="minorHAnsi" w:hAnsiTheme="minorHAnsi"/>
          <w:b/>
        </w:rPr>
      </w:pPr>
    </w:p>
    <w:p w:rsidR="00753E52" w:rsidRDefault="00753E52" w:rsidP="00B83F88">
      <w:pPr>
        <w:rPr>
          <w:rFonts w:asciiTheme="minorHAnsi" w:hAnsiTheme="minorHAnsi"/>
          <w:b/>
        </w:rPr>
      </w:pPr>
    </w:p>
    <w:p w:rsidR="00753E52" w:rsidRDefault="00753E52" w:rsidP="00B83F88">
      <w:pPr>
        <w:rPr>
          <w:rFonts w:asciiTheme="minorHAnsi" w:hAnsiTheme="minorHAnsi"/>
          <w:b/>
        </w:rPr>
      </w:pPr>
    </w:p>
    <w:p w:rsidR="00753E52" w:rsidRDefault="00753E52" w:rsidP="00B83F88">
      <w:pPr>
        <w:rPr>
          <w:rFonts w:asciiTheme="minorHAnsi" w:hAnsiTheme="minorHAnsi"/>
          <w:b/>
        </w:rPr>
      </w:pPr>
    </w:p>
    <w:p w:rsidR="00753E52" w:rsidRDefault="00753E52" w:rsidP="00B83F88">
      <w:pPr>
        <w:rPr>
          <w:rFonts w:asciiTheme="minorHAnsi" w:hAnsiTheme="minorHAnsi"/>
          <w:b/>
        </w:rPr>
      </w:pPr>
    </w:p>
    <w:p w:rsidR="00753E52" w:rsidRDefault="00753E52" w:rsidP="00B83F88">
      <w:pPr>
        <w:rPr>
          <w:rFonts w:asciiTheme="minorHAnsi" w:hAnsiTheme="minorHAnsi"/>
          <w:b/>
        </w:rPr>
      </w:pPr>
    </w:p>
    <w:p w:rsidR="00753E52" w:rsidRDefault="00753E52" w:rsidP="00B83F88">
      <w:pPr>
        <w:rPr>
          <w:rFonts w:asciiTheme="minorHAnsi" w:hAnsiTheme="minorHAnsi"/>
          <w:b/>
        </w:rPr>
      </w:pPr>
    </w:p>
    <w:p w:rsidR="00753E52" w:rsidRDefault="00753E52" w:rsidP="00B83F88">
      <w:pPr>
        <w:rPr>
          <w:rFonts w:asciiTheme="minorHAnsi" w:hAnsiTheme="minorHAnsi"/>
          <w:b/>
        </w:rPr>
      </w:pPr>
    </w:p>
    <w:p w:rsidR="00753E52" w:rsidRDefault="00753E52" w:rsidP="00B83F88">
      <w:pPr>
        <w:rPr>
          <w:rFonts w:asciiTheme="minorHAnsi" w:hAnsiTheme="minorHAnsi"/>
          <w:b/>
        </w:rPr>
      </w:pPr>
    </w:p>
    <w:p w:rsidR="00753E52" w:rsidRDefault="00753E52" w:rsidP="00B83F88">
      <w:pPr>
        <w:rPr>
          <w:rFonts w:asciiTheme="minorHAnsi" w:hAnsiTheme="minorHAnsi"/>
          <w:b/>
        </w:rPr>
      </w:pPr>
    </w:p>
    <w:p w:rsidR="00753E52" w:rsidRDefault="00753E52" w:rsidP="00B83F88">
      <w:pPr>
        <w:rPr>
          <w:rFonts w:asciiTheme="minorHAnsi" w:hAnsiTheme="minorHAnsi"/>
          <w:b/>
        </w:rPr>
      </w:pPr>
    </w:p>
    <w:p w:rsidR="00141829" w:rsidRDefault="00141829" w:rsidP="00B83F88">
      <w:pPr>
        <w:rPr>
          <w:rFonts w:asciiTheme="minorHAnsi" w:hAnsiTheme="minorHAnsi"/>
          <w:b/>
        </w:rPr>
      </w:pPr>
    </w:p>
    <w:p w:rsidR="00141829" w:rsidRDefault="00141829" w:rsidP="00B83F88">
      <w:pPr>
        <w:rPr>
          <w:rFonts w:asciiTheme="minorHAnsi" w:hAnsiTheme="minorHAnsi"/>
          <w:b/>
        </w:rPr>
      </w:pPr>
    </w:p>
    <w:p w:rsidR="00E21692" w:rsidRDefault="00E21692" w:rsidP="00B83F88">
      <w:pPr>
        <w:rPr>
          <w:rFonts w:asciiTheme="minorHAnsi" w:hAnsiTheme="minorHAnsi"/>
          <w:b/>
        </w:rPr>
      </w:pPr>
    </w:p>
    <w:p w:rsidR="00753E52" w:rsidRDefault="00753E52" w:rsidP="00B83F88">
      <w:pPr>
        <w:rPr>
          <w:rFonts w:asciiTheme="minorHAnsi" w:hAnsiTheme="minorHAnsi"/>
          <w:b/>
        </w:rPr>
      </w:pPr>
    </w:p>
    <w:p w:rsidR="00B83F88" w:rsidRPr="00C01A93" w:rsidRDefault="00B83F88" w:rsidP="00B83F88">
      <w:pPr>
        <w:rPr>
          <w:rFonts w:asciiTheme="minorHAnsi" w:hAnsiTheme="minorHAnsi"/>
          <w:b/>
        </w:rPr>
      </w:pPr>
      <w:r w:rsidRPr="00C01A93">
        <w:rPr>
          <w:rFonts w:asciiTheme="minorHAnsi" w:hAnsiTheme="minorHAnsi"/>
          <w:b/>
        </w:rPr>
        <w:lastRenderedPageBreak/>
        <w:t>1. WSTĘP</w:t>
      </w:r>
      <w:bookmarkEnd w:id="1498"/>
    </w:p>
    <w:p w:rsidR="00B83F88" w:rsidRPr="00C01A93" w:rsidRDefault="00B83F88" w:rsidP="00B83F88">
      <w:pPr>
        <w:rPr>
          <w:rFonts w:asciiTheme="minorHAnsi" w:hAnsiTheme="minorHAnsi"/>
        </w:rPr>
      </w:pPr>
      <w:r w:rsidRPr="00C01A93">
        <w:rPr>
          <w:rFonts w:asciiTheme="minorHAnsi" w:hAnsiTheme="minorHAnsi"/>
          <w:b/>
        </w:rPr>
        <w:t>1.1.</w:t>
      </w:r>
      <w:r w:rsidRPr="00C01A93">
        <w:rPr>
          <w:rFonts w:asciiTheme="minorHAnsi" w:hAnsiTheme="minorHAnsi"/>
        </w:rPr>
        <w:t xml:space="preserve"> Przedmiot ST</w:t>
      </w:r>
    </w:p>
    <w:p w:rsidR="00B83F88" w:rsidRPr="00C01A93" w:rsidRDefault="00B83F88" w:rsidP="00B83F88">
      <w:pPr>
        <w:rPr>
          <w:rFonts w:asciiTheme="minorHAnsi" w:hAnsiTheme="minorHAnsi"/>
        </w:rPr>
      </w:pPr>
      <w:r w:rsidRPr="00C01A93">
        <w:rPr>
          <w:rFonts w:asciiTheme="minorHAnsi" w:hAnsiTheme="minorHAnsi"/>
        </w:rPr>
        <w:tab/>
        <w:t>Przedmiotem niniejszej specyfikacji technicznej (ST) są wymagania dotyczące wykonania i odbioru robót związanych z wykonaniem nawierzchni z betonowej kostki brukowej.</w:t>
      </w:r>
    </w:p>
    <w:p w:rsidR="00B83F88" w:rsidRPr="00C01A93" w:rsidRDefault="00B83F88" w:rsidP="00B83F88">
      <w:pPr>
        <w:rPr>
          <w:rFonts w:asciiTheme="minorHAnsi" w:hAnsiTheme="minorHAnsi"/>
        </w:rPr>
      </w:pPr>
      <w:r w:rsidRPr="00C01A93">
        <w:rPr>
          <w:rFonts w:asciiTheme="minorHAnsi" w:hAnsiTheme="minorHAnsi"/>
          <w:b/>
        </w:rPr>
        <w:t>1.2.</w:t>
      </w:r>
      <w:r w:rsidRPr="00C01A93">
        <w:rPr>
          <w:rFonts w:asciiTheme="minorHAnsi" w:hAnsiTheme="minorHAnsi"/>
        </w:rPr>
        <w:t xml:space="preserve"> Zakres stosowania ST</w:t>
      </w:r>
    </w:p>
    <w:p w:rsidR="00B83F88" w:rsidRPr="00C01A93" w:rsidRDefault="00B83F88" w:rsidP="00B83F88">
      <w:pPr>
        <w:rPr>
          <w:rFonts w:asciiTheme="minorHAnsi" w:hAnsiTheme="minorHAnsi"/>
        </w:rPr>
      </w:pPr>
      <w:r w:rsidRPr="00C01A93">
        <w:rPr>
          <w:rFonts w:asciiTheme="minorHAnsi" w:hAnsiTheme="minorHAnsi"/>
        </w:rPr>
        <w:tab/>
        <w:t>Specyfikacja techniczna określa wymagania dla wykonania i odbioru robót budowlanych przewidzianych do wykonania w ramach umowy a zawarte w niej zapisy w zakresie standardu materiałów, wykonania robót i wymaganej ich jakości oraz kontroli jakości robót należy traktować jako minimalne.</w:t>
      </w:r>
    </w:p>
    <w:p w:rsidR="00B83F88" w:rsidRPr="00C01A93" w:rsidRDefault="00B83F88" w:rsidP="00B83F88">
      <w:pPr>
        <w:rPr>
          <w:rFonts w:asciiTheme="minorHAnsi" w:hAnsiTheme="minorHAnsi"/>
        </w:rPr>
      </w:pPr>
      <w:r w:rsidRPr="00C01A93">
        <w:rPr>
          <w:rFonts w:asciiTheme="minorHAnsi" w:hAnsiTheme="minorHAnsi"/>
          <w:b/>
        </w:rPr>
        <w:t>1.3.</w:t>
      </w:r>
      <w:r w:rsidRPr="00C01A93">
        <w:rPr>
          <w:rFonts w:asciiTheme="minorHAnsi" w:hAnsiTheme="minorHAnsi"/>
        </w:rPr>
        <w:t xml:space="preserve"> Zakres robót objętych ST</w:t>
      </w:r>
    </w:p>
    <w:p w:rsidR="00180FC1" w:rsidRPr="00C3299C" w:rsidRDefault="00B83F88" w:rsidP="00180FC1">
      <w:pPr>
        <w:rPr>
          <w:rFonts w:asciiTheme="minorHAnsi" w:hAnsiTheme="minorHAnsi" w:cs="Calibri"/>
        </w:rPr>
      </w:pPr>
      <w:r w:rsidRPr="00C01A93">
        <w:rPr>
          <w:rFonts w:asciiTheme="minorHAnsi" w:hAnsiTheme="minorHAnsi"/>
        </w:rPr>
        <w:tab/>
        <w:t>Ustalenia zawarte w niniejszej specyfikacji dotyczą zasad prowadzenia robót związanych z wykonaniem i odbiorem nawierzc</w:t>
      </w:r>
      <w:r w:rsidR="001E5422">
        <w:rPr>
          <w:rFonts w:asciiTheme="minorHAnsi" w:hAnsiTheme="minorHAnsi"/>
        </w:rPr>
        <w:t>hni z betonowej kost</w:t>
      </w:r>
      <w:r w:rsidR="00141829">
        <w:rPr>
          <w:rFonts w:asciiTheme="minorHAnsi" w:hAnsiTheme="minorHAnsi"/>
        </w:rPr>
        <w:t xml:space="preserve">ki brukowej dla </w:t>
      </w:r>
      <w:r w:rsidRPr="00C01A93">
        <w:rPr>
          <w:rFonts w:asciiTheme="minorHAnsi" w:hAnsiTheme="minorHAnsi"/>
        </w:rPr>
        <w:t>ciągów pieszo-jezdnych,</w:t>
      </w:r>
      <w:r w:rsidR="00141829">
        <w:rPr>
          <w:rFonts w:asciiTheme="minorHAnsi" w:hAnsiTheme="minorHAnsi"/>
        </w:rPr>
        <w:t xml:space="preserve"> </w:t>
      </w:r>
      <w:r w:rsidRPr="00C01A93">
        <w:rPr>
          <w:rFonts w:asciiTheme="minorHAnsi" w:hAnsiTheme="minorHAnsi"/>
        </w:rPr>
        <w:t>wjazdów do bram,</w:t>
      </w:r>
      <w:r w:rsidR="00141829">
        <w:rPr>
          <w:rFonts w:asciiTheme="minorHAnsi" w:hAnsiTheme="minorHAnsi"/>
        </w:rPr>
        <w:t xml:space="preserve"> </w:t>
      </w:r>
      <w:r w:rsidRPr="00C01A93">
        <w:rPr>
          <w:rFonts w:asciiTheme="minorHAnsi" w:hAnsiTheme="minorHAnsi"/>
        </w:rPr>
        <w:t>chodników</w:t>
      </w:r>
      <w:r w:rsidR="00141829">
        <w:rPr>
          <w:rFonts w:asciiTheme="minorHAnsi" w:hAnsiTheme="minorHAnsi"/>
        </w:rPr>
        <w:t xml:space="preserve"> i </w:t>
      </w:r>
      <w:r w:rsidR="001E5422">
        <w:rPr>
          <w:rFonts w:asciiTheme="minorHAnsi" w:hAnsiTheme="minorHAnsi"/>
        </w:rPr>
        <w:t>ścieżek rowerowych</w:t>
      </w:r>
      <w:r w:rsidR="00141829">
        <w:rPr>
          <w:rFonts w:asciiTheme="minorHAnsi" w:hAnsiTheme="minorHAnsi"/>
        </w:rPr>
        <w:t xml:space="preserve"> </w:t>
      </w:r>
      <w:r w:rsidR="00180FC1" w:rsidRPr="00C3299C">
        <w:rPr>
          <w:rFonts w:ascii="Calibri" w:hAnsi="Calibri" w:cs="Calibri"/>
        </w:rPr>
        <w:t>w związku z „</w:t>
      </w:r>
      <w:r w:rsidR="00180FC1" w:rsidRPr="00C3299C">
        <w:rPr>
          <w:rFonts w:asciiTheme="minorHAnsi" w:hAnsiTheme="minorHAnsi"/>
        </w:rPr>
        <w:t>Przebudową ul.55 Pułku Piechoty w Lesznie wraz z przebudową oświetlenia”</w:t>
      </w:r>
      <w:r w:rsidR="00180FC1" w:rsidRPr="00C3299C">
        <w:rPr>
          <w:rFonts w:asciiTheme="minorHAnsi" w:hAnsiTheme="minorHAnsi" w:cs="Calibri"/>
        </w:rPr>
        <w:t>.</w:t>
      </w:r>
    </w:p>
    <w:p w:rsidR="00B83F88" w:rsidRPr="00C01A93" w:rsidRDefault="00B83F88" w:rsidP="00B83F88">
      <w:pPr>
        <w:rPr>
          <w:rFonts w:asciiTheme="minorHAnsi" w:hAnsiTheme="minorHAnsi"/>
        </w:rPr>
      </w:pPr>
      <w:r w:rsidRPr="00C01A93">
        <w:rPr>
          <w:rFonts w:asciiTheme="minorHAnsi" w:hAnsiTheme="minorHAnsi"/>
          <w:b/>
        </w:rPr>
        <w:t>1.4.</w:t>
      </w:r>
      <w:r w:rsidRPr="00C01A93">
        <w:rPr>
          <w:rFonts w:asciiTheme="minorHAnsi" w:hAnsiTheme="minorHAnsi"/>
        </w:rPr>
        <w:t xml:space="preserve"> Określenia podstawowe</w:t>
      </w:r>
    </w:p>
    <w:p w:rsidR="00B83F88" w:rsidRPr="00C01A93" w:rsidRDefault="00B83F88" w:rsidP="00B83F88">
      <w:pPr>
        <w:rPr>
          <w:rFonts w:asciiTheme="minorHAnsi" w:hAnsiTheme="minorHAnsi"/>
        </w:rPr>
      </w:pPr>
      <w:r w:rsidRPr="00C01A93">
        <w:rPr>
          <w:rFonts w:asciiTheme="minorHAnsi" w:hAnsiTheme="minorHAnsi"/>
          <w:b/>
        </w:rPr>
        <w:t>1.4.1.</w:t>
      </w:r>
      <w:r w:rsidRPr="00C01A93">
        <w:rPr>
          <w:rFonts w:asciiTheme="minorHAnsi" w:hAnsiTheme="minorHAnsi"/>
        </w:rPr>
        <w:t xml:space="preserve"> Betonowa kostka brukowa - prefabrykowany element budowlany, przeznaczony do budowy warstwy ścieralnej nawierzchni, wykonany metodą wibroprasowania z betonu niezbrojonego niebarwionego lub barwionego, jedno- lub dwuwarstwowego, charakteryzujący się kształtem, który umożliwia wzajemne przystawanie elementów.</w:t>
      </w:r>
    </w:p>
    <w:p w:rsidR="00B83F88" w:rsidRPr="00C01A93" w:rsidRDefault="00B83F88" w:rsidP="00B83F88">
      <w:pPr>
        <w:rPr>
          <w:rFonts w:asciiTheme="minorHAnsi" w:hAnsiTheme="minorHAnsi"/>
        </w:rPr>
      </w:pPr>
      <w:r w:rsidRPr="00C01A93">
        <w:rPr>
          <w:rFonts w:asciiTheme="minorHAnsi" w:hAnsiTheme="minorHAnsi"/>
          <w:b/>
        </w:rPr>
        <w:t>1.4.2.</w:t>
      </w:r>
      <w:r w:rsidRPr="00C01A93">
        <w:rPr>
          <w:rFonts w:asciiTheme="minorHAnsi" w:hAnsiTheme="minorHAnsi"/>
        </w:rPr>
        <w:t xml:space="preserve"> Krawężnik - prosty lub łukowy element budowlany oddzielający jezdnię od chodnika, charakteryzujący się stałym lub zmiennym przekrojem poprzecznym i długością nie większą niż </w:t>
      </w:r>
      <w:smartTag w:uri="urn:schemas-microsoft-com:office:smarttags" w:element="metricconverter">
        <w:smartTagPr>
          <w:attr w:name="ProductID" w:val="1,0 m"/>
        </w:smartTagPr>
        <w:r w:rsidRPr="00C01A93">
          <w:rPr>
            <w:rFonts w:asciiTheme="minorHAnsi" w:hAnsiTheme="minorHAnsi"/>
          </w:rPr>
          <w:t>1,0 m</w:t>
        </w:r>
      </w:smartTag>
      <w:r w:rsidRPr="00C01A93">
        <w:rPr>
          <w:rFonts w:asciiTheme="minorHAnsi" w:hAnsiTheme="minorHAnsi"/>
        </w:rPr>
        <w:t>.</w:t>
      </w:r>
    </w:p>
    <w:p w:rsidR="00B83F88" w:rsidRPr="00C01A93" w:rsidRDefault="00B83F88" w:rsidP="00B83F88">
      <w:pPr>
        <w:rPr>
          <w:rFonts w:asciiTheme="minorHAnsi" w:hAnsiTheme="minorHAnsi"/>
        </w:rPr>
      </w:pPr>
      <w:r w:rsidRPr="00C01A93">
        <w:rPr>
          <w:rFonts w:asciiTheme="minorHAnsi" w:hAnsiTheme="minorHAnsi"/>
          <w:b/>
        </w:rPr>
        <w:t>1.4.</w:t>
      </w:r>
      <w:r w:rsidR="001E5422">
        <w:rPr>
          <w:rFonts w:asciiTheme="minorHAnsi" w:hAnsiTheme="minorHAnsi"/>
          <w:b/>
        </w:rPr>
        <w:t>3</w:t>
      </w:r>
      <w:r w:rsidRPr="00C01A93">
        <w:rPr>
          <w:rFonts w:asciiTheme="minorHAnsi" w:hAnsiTheme="minorHAnsi"/>
          <w:b/>
        </w:rPr>
        <w:t>.</w:t>
      </w:r>
      <w:r w:rsidRPr="00C01A93">
        <w:rPr>
          <w:rFonts w:asciiTheme="minorHAnsi" w:hAnsiTheme="minorHAnsi"/>
        </w:rPr>
        <w:t xml:space="preserve"> Obrzeże - element budowlany, oddzielający nawierzchnie chodników i ciągów pieszych od terenów nie przeznaczonych  do komunikacji.</w:t>
      </w:r>
    </w:p>
    <w:p w:rsidR="00B83F88" w:rsidRPr="00C01A93" w:rsidRDefault="001E5422" w:rsidP="00B83F88">
      <w:pPr>
        <w:rPr>
          <w:rFonts w:asciiTheme="minorHAnsi" w:hAnsiTheme="minorHAnsi"/>
        </w:rPr>
      </w:pPr>
      <w:r>
        <w:rPr>
          <w:rFonts w:asciiTheme="minorHAnsi" w:hAnsiTheme="minorHAnsi"/>
          <w:b/>
        </w:rPr>
        <w:t>1.4.4</w:t>
      </w:r>
      <w:r w:rsidR="00B83F88" w:rsidRPr="00C01A93">
        <w:rPr>
          <w:rFonts w:asciiTheme="minorHAnsi" w:hAnsiTheme="minorHAnsi"/>
          <w:b/>
        </w:rPr>
        <w:t>.</w:t>
      </w:r>
      <w:r w:rsidR="00B83F88">
        <w:rPr>
          <w:rFonts w:asciiTheme="minorHAnsi" w:hAnsiTheme="minorHAnsi"/>
        </w:rPr>
        <w:t xml:space="preserve"> Spoina</w:t>
      </w:r>
      <w:r w:rsidR="00B83F88" w:rsidRPr="00C01A93">
        <w:rPr>
          <w:rFonts w:asciiTheme="minorHAnsi" w:hAnsiTheme="minorHAnsi"/>
        </w:rPr>
        <w:t>- odstęp pomiędzy przylegającymi elementami (kostkami) wypełniony określonymi materiałami wypełniającymi.</w:t>
      </w:r>
    </w:p>
    <w:p w:rsidR="00B83F88" w:rsidRPr="00C01A93" w:rsidRDefault="001E5422" w:rsidP="00B83F88">
      <w:pPr>
        <w:rPr>
          <w:rFonts w:asciiTheme="minorHAnsi" w:hAnsiTheme="minorHAnsi"/>
        </w:rPr>
      </w:pPr>
      <w:r>
        <w:rPr>
          <w:rFonts w:asciiTheme="minorHAnsi" w:hAnsiTheme="minorHAnsi"/>
          <w:b/>
        </w:rPr>
        <w:t>1.4.5</w:t>
      </w:r>
      <w:r w:rsidR="00B83F88" w:rsidRPr="00C01A93">
        <w:rPr>
          <w:rFonts w:asciiTheme="minorHAnsi" w:hAnsiTheme="minorHAnsi"/>
          <w:b/>
        </w:rPr>
        <w:t>.</w:t>
      </w:r>
      <w:r w:rsidR="00B83F88" w:rsidRPr="00C01A93">
        <w:rPr>
          <w:rFonts w:asciiTheme="minorHAnsi" w:hAnsiTheme="minorHAnsi"/>
        </w:rPr>
        <w:t xml:space="preserve"> Szczelina dylatacyjna - odstęp dzielący duży fragment nawierzchni na sekcje w celu umożliwienia odkształceń temperaturowych, wypełniony określonymi materiałami wypełniającymi.</w:t>
      </w:r>
    </w:p>
    <w:p w:rsidR="00B83F88" w:rsidRPr="00C01A93" w:rsidRDefault="001E5422" w:rsidP="00B83F88">
      <w:pPr>
        <w:rPr>
          <w:rFonts w:asciiTheme="minorHAnsi" w:hAnsiTheme="minorHAnsi"/>
        </w:rPr>
      </w:pPr>
      <w:r>
        <w:rPr>
          <w:rFonts w:asciiTheme="minorHAnsi" w:hAnsiTheme="minorHAnsi"/>
          <w:b/>
        </w:rPr>
        <w:t>1.4.6</w:t>
      </w:r>
      <w:r w:rsidR="00B83F88" w:rsidRPr="00C01A93">
        <w:rPr>
          <w:rFonts w:asciiTheme="minorHAnsi" w:hAnsiTheme="minorHAnsi"/>
          <w:b/>
        </w:rPr>
        <w:t>.</w:t>
      </w:r>
      <w:r w:rsidR="00B83F88" w:rsidRPr="00C01A93">
        <w:rPr>
          <w:rFonts w:asciiTheme="minorHAnsi" w:hAnsiTheme="minorHAnsi"/>
        </w:rPr>
        <w:t xml:space="preserve"> Pozostałe określenia podstawowe są zgodne z obowiązującymi, odpowiednimi polskimi normami i z definicjami podanymi w ST D-M-00.00.00 „Wymagania ogólne” pkt 1.4.</w:t>
      </w:r>
    </w:p>
    <w:p w:rsidR="00B83F88" w:rsidRPr="00C01A93" w:rsidRDefault="00B83F88" w:rsidP="00B83F88">
      <w:pPr>
        <w:rPr>
          <w:rFonts w:asciiTheme="minorHAnsi" w:hAnsiTheme="minorHAnsi"/>
        </w:rPr>
      </w:pPr>
      <w:r w:rsidRPr="00C01A93">
        <w:rPr>
          <w:rFonts w:asciiTheme="minorHAnsi" w:hAnsiTheme="minorHAnsi"/>
          <w:b/>
        </w:rPr>
        <w:t>1.5.</w:t>
      </w:r>
      <w:r w:rsidRPr="00C01A93">
        <w:rPr>
          <w:rFonts w:asciiTheme="minorHAnsi" w:hAnsiTheme="minorHAnsi"/>
        </w:rPr>
        <w:t xml:space="preserve"> Ogólne wymagania dotyczące robót </w:t>
      </w:r>
    </w:p>
    <w:p w:rsidR="00B83F88" w:rsidRPr="00C01A93" w:rsidRDefault="00B83F88" w:rsidP="00B83F88">
      <w:pPr>
        <w:rPr>
          <w:rFonts w:asciiTheme="minorHAnsi" w:hAnsiTheme="minorHAnsi"/>
        </w:rPr>
      </w:pPr>
      <w:r w:rsidRPr="00C01A93">
        <w:rPr>
          <w:rFonts w:asciiTheme="minorHAnsi" w:hAnsiTheme="minorHAnsi"/>
        </w:rPr>
        <w:tab/>
        <w:t>Ogólne wymagania dotyczące robót podano w ST D-M-00.00.00 „Wymagania ogólne” pkt 1.5.</w:t>
      </w:r>
    </w:p>
    <w:p w:rsidR="00B83F88" w:rsidRPr="00C01A93" w:rsidRDefault="00B83F88" w:rsidP="00B83F88">
      <w:pPr>
        <w:rPr>
          <w:rFonts w:asciiTheme="minorHAnsi" w:hAnsiTheme="minorHAnsi"/>
        </w:rPr>
      </w:pPr>
    </w:p>
    <w:p w:rsidR="00B83F88" w:rsidRPr="00C01A93" w:rsidRDefault="00B83F88" w:rsidP="00B83F88">
      <w:pPr>
        <w:rPr>
          <w:rFonts w:asciiTheme="minorHAnsi" w:hAnsiTheme="minorHAnsi"/>
          <w:b/>
        </w:rPr>
      </w:pPr>
      <w:r w:rsidRPr="00C01A93">
        <w:rPr>
          <w:rFonts w:asciiTheme="minorHAnsi" w:hAnsiTheme="minorHAnsi"/>
          <w:b/>
        </w:rPr>
        <w:t>2. MATERIAŁY</w:t>
      </w:r>
    </w:p>
    <w:p w:rsidR="00B83F88" w:rsidRPr="00C01A93" w:rsidRDefault="00B83F88" w:rsidP="00B83F88">
      <w:pPr>
        <w:rPr>
          <w:rFonts w:asciiTheme="minorHAnsi" w:hAnsiTheme="minorHAnsi"/>
        </w:rPr>
      </w:pPr>
      <w:r w:rsidRPr="00C01A93">
        <w:rPr>
          <w:rFonts w:asciiTheme="minorHAnsi" w:hAnsiTheme="minorHAnsi"/>
          <w:b/>
        </w:rPr>
        <w:t>2.1.</w:t>
      </w:r>
      <w:r w:rsidRPr="00C01A93">
        <w:rPr>
          <w:rFonts w:asciiTheme="minorHAnsi" w:hAnsiTheme="minorHAnsi"/>
        </w:rPr>
        <w:t xml:space="preserve"> Ogólne wymagania dotyczące materiałów</w:t>
      </w:r>
    </w:p>
    <w:p w:rsidR="00B83F88" w:rsidRPr="00C01A93" w:rsidRDefault="00B83F88" w:rsidP="00B83F88">
      <w:pPr>
        <w:rPr>
          <w:rFonts w:asciiTheme="minorHAnsi" w:hAnsiTheme="minorHAnsi"/>
        </w:rPr>
      </w:pPr>
      <w:r w:rsidRPr="00C01A93">
        <w:rPr>
          <w:rFonts w:asciiTheme="minorHAnsi" w:hAnsiTheme="minorHAnsi"/>
        </w:rPr>
        <w:tab/>
        <w:t>Ogólne wymagania dotyczące materiałów, ich pozyskiwania i składowania, podano w ST D-M-00.00.00 „Wymagania ogólne” pkt 2.</w:t>
      </w:r>
    </w:p>
    <w:p w:rsidR="00B83F88" w:rsidRPr="00C01A93" w:rsidRDefault="00B83F88" w:rsidP="00B83F88">
      <w:pPr>
        <w:rPr>
          <w:rFonts w:asciiTheme="minorHAnsi" w:hAnsiTheme="minorHAnsi"/>
        </w:rPr>
      </w:pPr>
      <w:r w:rsidRPr="00C01A93">
        <w:rPr>
          <w:rFonts w:asciiTheme="minorHAnsi" w:hAnsiTheme="minorHAnsi"/>
          <w:b/>
        </w:rPr>
        <w:t>2.2.</w:t>
      </w:r>
      <w:r w:rsidRPr="00C01A93">
        <w:rPr>
          <w:rFonts w:asciiTheme="minorHAnsi" w:hAnsiTheme="minorHAnsi"/>
        </w:rPr>
        <w:t xml:space="preserve"> Betonowa kostka brukowa  </w:t>
      </w:r>
    </w:p>
    <w:p w:rsidR="00B83F88" w:rsidRPr="00C01A93" w:rsidRDefault="00B83F88" w:rsidP="00B83F88">
      <w:pPr>
        <w:rPr>
          <w:rFonts w:asciiTheme="minorHAnsi" w:hAnsiTheme="minorHAnsi"/>
        </w:rPr>
      </w:pPr>
      <w:r w:rsidRPr="00C01A93">
        <w:rPr>
          <w:rFonts w:asciiTheme="minorHAnsi" w:hAnsiTheme="minorHAnsi"/>
          <w:b/>
        </w:rPr>
        <w:t>2.2.1.</w:t>
      </w:r>
      <w:r w:rsidRPr="00C01A93">
        <w:rPr>
          <w:rFonts w:asciiTheme="minorHAnsi" w:hAnsiTheme="minorHAnsi"/>
        </w:rPr>
        <w:t xml:space="preserve"> Klasyfikacja betonowych kostek brukowych</w:t>
      </w:r>
    </w:p>
    <w:p w:rsidR="00B83F88" w:rsidRPr="00C01A93" w:rsidRDefault="00B83F88" w:rsidP="00B83F88">
      <w:pPr>
        <w:rPr>
          <w:rFonts w:asciiTheme="minorHAnsi" w:hAnsiTheme="minorHAnsi"/>
        </w:rPr>
      </w:pPr>
      <w:r w:rsidRPr="00C01A93">
        <w:rPr>
          <w:rFonts w:asciiTheme="minorHAnsi" w:hAnsiTheme="minorHAnsi"/>
        </w:rPr>
        <w:tab/>
        <w:t>Betonowa kostka brukowa może mieć następujące cechy charakterystyczne, określone w katalogu producenta:</w:t>
      </w:r>
    </w:p>
    <w:p w:rsidR="00B83F88" w:rsidRPr="00564136" w:rsidRDefault="00B83F88" w:rsidP="00B83F88">
      <w:pPr>
        <w:rPr>
          <w:rFonts w:asciiTheme="minorHAnsi" w:hAnsiTheme="minorHAnsi"/>
        </w:rPr>
      </w:pPr>
      <w:r w:rsidRPr="00564136">
        <w:rPr>
          <w:rFonts w:asciiTheme="minorHAnsi" w:hAnsiTheme="minorHAnsi"/>
        </w:rPr>
        <w:t>a)</w:t>
      </w:r>
      <w:r>
        <w:rPr>
          <w:rFonts w:asciiTheme="minorHAnsi" w:hAnsiTheme="minorHAnsi"/>
        </w:rPr>
        <w:t xml:space="preserve"> </w:t>
      </w:r>
      <w:r w:rsidRPr="00564136">
        <w:rPr>
          <w:rFonts w:asciiTheme="minorHAnsi" w:hAnsiTheme="minorHAnsi"/>
        </w:rPr>
        <w:t>odmianę:</w:t>
      </w:r>
    </w:p>
    <w:p w:rsidR="00B83F88" w:rsidRPr="00C01A93" w:rsidRDefault="00B83F88" w:rsidP="00B83F88">
      <w:pPr>
        <w:rPr>
          <w:rFonts w:asciiTheme="minorHAnsi" w:hAnsiTheme="minorHAnsi"/>
        </w:rPr>
      </w:pPr>
      <w:r>
        <w:rPr>
          <w:rFonts w:asciiTheme="minorHAnsi" w:hAnsiTheme="minorHAnsi"/>
        </w:rPr>
        <w:t>-</w:t>
      </w:r>
      <w:r w:rsidRPr="00C01A93">
        <w:rPr>
          <w:rFonts w:asciiTheme="minorHAnsi" w:hAnsiTheme="minorHAnsi"/>
        </w:rPr>
        <w:t>kostka jednowarstwowa (z jednego rodzaju betonu),</w:t>
      </w:r>
    </w:p>
    <w:p w:rsidR="00B83F88" w:rsidRPr="00C01A93" w:rsidRDefault="00B83F88" w:rsidP="00B83F88">
      <w:pPr>
        <w:rPr>
          <w:rFonts w:asciiTheme="minorHAnsi" w:hAnsiTheme="minorHAnsi"/>
        </w:rPr>
      </w:pPr>
      <w:r>
        <w:rPr>
          <w:rFonts w:asciiTheme="minorHAnsi" w:hAnsiTheme="minorHAnsi"/>
        </w:rPr>
        <w:t>-</w:t>
      </w:r>
      <w:r w:rsidRPr="00C01A93">
        <w:rPr>
          <w:rFonts w:asciiTheme="minorHAnsi" w:hAnsiTheme="minorHAnsi"/>
        </w:rPr>
        <w:t xml:space="preserve">kostka dwuwarstwowa (z betonu warstwy spodniej konstrukcyjnej i warstwy ścieralnej (górnej) zwykle barwionej grubości min. </w:t>
      </w:r>
      <w:smartTag w:uri="urn:schemas-microsoft-com:office:smarttags" w:element="metricconverter">
        <w:smartTagPr>
          <w:attr w:name="ProductID" w:val="4 mm"/>
        </w:smartTagPr>
        <w:r w:rsidRPr="00C01A93">
          <w:rPr>
            <w:rFonts w:asciiTheme="minorHAnsi" w:hAnsiTheme="minorHAnsi"/>
          </w:rPr>
          <w:t>4 mm</w:t>
        </w:r>
      </w:smartTag>
      <w:r w:rsidRPr="00C01A93">
        <w:rPr>
          <w:rFonts w:asciiTheme="minorHAnsi" w:hAnsiTheme="minorHAnsi"/>
        </w:rPr>
        <w:t>,</w:t>
      </w:r>
    </w:p>
    <w:p w:rsidR="00B83F88" w:rsidRPr="00C01A93" w:rsidRDefault="00B83F88" w:rsidP="00B83F88">
      <w:pPr>
        <w:rPr>
          <w:rFonts w:asciiTheme="minorHAnsi" w:hAnsiTheme="minorHAnsi"/>
        </w:rPr>
      </w:pPr>
      <w:r>
        <w:rPr>
          <w:rFonts w:asciiTheme="minorHAnsi" w:hAnsiTheme="minorHAnsi"/>
        </w:rPr>
        <w:t xml:space="preserve">b) </w:t>
      </w:r>
      <w:r w:rsidRPr="00C01A93">
        <w:rPr>
          <w:rFonts w:asciiTheme="minorHAnsi" w:hAnsiTheme="minorHAnsi"/>
        </w:rPr>
        <w:t>barwę:</w:t>
      </w:r>
    </w:p>
    <w:p w:rsidR="00B83F88" w:rsidRPr="00C01A93" w:rsidRDefault="00B83F88" w:rsidP="00B83F88">
      <w:pPr>
        <w:rPr>
          <w:rFonts w:asciiTheme="minorHAnsi" w:hAnsiTheme="minorHAnsi"/>
        </w:rPr>
      </w:pPr>
      <w:r>
        <w:rPr>
          <w:rFonts w:asciiTheme="minorHAnsi" w:hAnsiTheme="minorHAnsi"/>
        </w:rPr>
        <w:t>-</w:t>
      </w:r>
      <w:r w:rsidRPr="00C01A93">
        <w:rPr>
          <w:rFonts w:asciiTheme="minorHAnsi" w:hAnsiTheme="minorHAnsi"/>
        </w:rPr>
        <w:t>kostka szara, z betonu niebarwionego,</w:t>
      </w:r>
    </w:p>
    <w:p w:rsidR="00B83F88" w:rsidRPr="00C01A93" w:rsidRDefault="00B83F88" w:rsidP="00B83F88">
      <w:pPr>
        <w:rPr>
          <w:rFonts w:asciiTheme="minorHAnsi" w:hAnsiTheme="minorHAnsi"/>
        </w:rPr>
      </w:pPr>
      <w:r>
        <w:rPr>
          <w:rFonts w:asciiTheme="minorHAnsi" w:hAnsiTheme="minorHAnsi"/>
        </w:rPr>
        <w:t>-</w:t>
      </w:r>
      <w:r w:rsidRPr="00C01A93">
        <w:rPr>
          <w:rFonts w:asciiTheme="minorHAnsi" w:hAnsiTheme="minorHAnsi"/>
        </w:rPr>
        <w:t>kostka kolorowa, z betonu barwionego,</w:t>
      </w:r>
    </w:p>
    <w:p w:rsidR="00B83F88" w:rsidRPr="00C01A93" w:rsidRDefault="00B83F88" w:rsidP="00B83F88">
      <w:pPr>
        <w:rPr>
          <w:rFonts w:asciiTheme="minorHAnsi" w:hAnsiTheme="minorHAnsi"/>
        </w:rPr>
      </w:pPr>
      <w:r>
        <w:rPr>
          <w:rFonts w:asciiTheme="minorHAnsi" w:hAnsiTheme="minorHAnsi"/>
        </w:rPr>
        <w:t xml:space="preserve">c) </w:t>
      </w:r>
      <w:r w:rsidRPr="00C01A93">
        <w:rPr>
          <w:rFonts w:asciiTheme="minorHAnsi" w:hAnsiTheme="minorHAnsi"/>
        </w:rPr>
        <w:t>wzór (kształt) kostki: zgodny z kształtami określonymi przez producenta (przykłady podano w załączniku 1),</w:t>
      </w:r>
    </w:p>
    <w:p w:rsidR="00B83F88" w:rsidRPr="00C01A93" w:rsidRDefault="00B83F88" w:rsidP="00B83F88">
      <w:pPr>
        <w:rPr>
          <w:rFonts w:asciiTheme="minorHAnsi" w:hAnsiTheme="minorHAnsi"/>
        </w:rPr>
      </w:pPr>
      <w:r>
        <w:rPr>
          <w:rFonts w:asciiTheme="minorHAnsi" w:hAnsiTheme="minorHAnsi"/>
        </w:rPr>
        <w:t xml:space="preserve">d) </w:t>
      </w:r>
      <w:r w:rsidRPr="00C01A93">
        <w:rPr>
          <w:rFonts w:asciiTheme="minorHAnsi" w:hAnsiTheme="minorHAnsi"/>
        </w:rPr>
        <w:t>wymiary, zgodne z wymiarami określonymi przez producenta, w zasadzie:</w:t>
      </w:r>
    </w:p>
    <w:p w:rsidR="00B83F88" w:rsidRPr="00C01A93" w:rsidRDefault="00B83F88" w:rsidP="00B83F88">
      <w:pPr>
        <w:rPr>
          <w:rFonts w:asciiTheme="minorHAnsi" w:hAnsiTheme="minorHAnsi"/>
        </w:rPr>
      </w:pPr>
      <w:r>
        <w:rPr>
          <w:rFonts w:asciiTheme="minorHAnsi" w:hAnsiTheme="minorHAnsi"/>
        </w:rPr>
        <w:t>-</w:t>
      </w:r>
      <w:r w:rsidRPr="00C01A93">
        <w:rPr>
          <w:rFonts w:asciiTheme="minorHAnsi" w:hAnsiTheme="minorHAnsi"/>
        </w:rPr>
        <w:t xml:space="preserve">długość: od </w:t>
      </w:r>
      <w:smartTag w:uri="urn:schemas-microsoft-com:office:smarttags" w:element="metricconverter">
        <w:smartTagPr>
          <w:attr w:name="ProductID" w:val="140 mm"/>
        </w:smartTagPr>
        <w:r w:rsidRPr="00C01A93">
          <w:rPr>
            <w:rFonts w:asciiTheme="minorHAnsi" w:hAnsiTheme="minorHAnsi"/>
          </w:rPr>
          <w:t>140 mm</w:t>
        </w:r>
      </w:smartTag>
      <w:r w:rsidRPr="00C01A93">
        <w:rPr>
          <w:rFonts w:asciiTheme="minorHAnsi" w:hAnsiTheme="minorHAnsi"/>
        </w:rPr>
        <w:t xml:space="preserve"> do </w:t>
      </w:r>
      <w:smartTag w:uri="urn:schemas-microsoft-com:office:smarttags" w:element="metricconverter">
        <w:smartTagPr>
          <w:attr w:name="ProductID" w:val="280 mm"/>
        </w:smartTagPr>
        <w:r w:rsidRPr="00C01A93">
          <w:rPr>
            <w:rFonts w:asciiTheme="minorHAnsi" w:hAnsiTheme="minorHAnsi"/>
          </w:rPr>
          <w:t>280 mm</w:t>
        </w:r>
      </w:smartTag>
      <w:r w:rsidRPr="00C01A93">
        <w:rPr>
          <w:rFonts w:asciiTheme="minorHAnsi" w:hAnsiTheme="minorHAnsi"/>
        </w:rPr>
        <w:t>,</w:t>
      </w:r>
    </w:p>
    <w:p w:rsidR="00B83F88" w:rsidRPr="00C01A93" w:rsidRDefault="00B83F88" w:rsidP="00B83F88">
      <w:pPr>
        <w:rPr>
          <w:rFonts w:asciiTheme="minorHAnsi" w:hAnsiTheme="minorHAnsi"/>
        </w:rPr>
      </w:pPr>
      <w:r>
        <w:rPr>
          <w:rFonts w:asciiTheme="minorHAnsi" w:hAnsiTheme="minorHAnsi"/>
        </w:rPr>
        <w:t>-</w:t>
      </w:r>
      <w:r w:rsidRPr="00C01A93">
        <w:rPr>
          <w:rFonts w:asciiTheme="minorHAnsi" w:hAnsiTheme="minorHAnsi"/>
        </w:rPr>
        <w:t xml:space="preserve">szerokość: od 0,5 do 1,0 wymiaru długości, lecz nie mniej niż </w:t>
      </w:r>
      <w:smartTag w:uri="urn:schemas-microsoft-com:office:smarttags" w:element="metricconverter">
        <w:smartTagPr>
          <w:attr w:name="ProductID" w:val="100 mm"/>
        </w:smartTagPr>
        <w:r w:rsidRPr="00C01A93">
          <w:rPr>
            <w:rFonts w:asciiTheme="minorHAnsi" w:hAnsiTheme="minorHAnsi"/>
          </w:rPr>
          <w:t>100 mm</w:t>
        </w:r>
      </w:smartTag>
      <w:r w:rsidRPr="00C01A93">
        <w:rPr>
          <w:rFonts w:asciiTheme="minorHAnsi" w:hAnsiTheme="minorHAnsi"/>
        </w:rPr>
        <w:t>,</w:t>
      </w:r>
    </w:p>
    <w:p w:rsidR="00B83F88" w:rsidRPr="00C01A93" w:rsidRDefault="00B83F88" w:rsidP="00B83F88">
      <w:pPr>
        <w:rPr>
          <w:rFonts w:asciiTheme="minorHAnsi" w:hAnsiTheme="minorHAnsi"/>
        </w:rPr>
      </w:pPr>
      <w:r>
        <w:rPr>
          <w:rFonts w:asciiTheme="minorHAnsi" w:hAnsiTheme="minorHAnsi"/>
        </w:rPr>
        <w:t>-</w:t>
      </w:r>
      <w:r w:rsidRPr="00C01A93">
        <w:rPr>
          <w:rFonts w:asciiTheme="minorHAnsi" w:hAnsiTheme="minorHAnsi"/>
        </w:rPr>
        <w:t xml:space="preserve">grubość: od </w:t>
      </w:r>
      <w:smartTag w:uri="urn:schemas-microsoft-com:office:smarttags" w:element="metricconverter">
        <w:smartTagPr>
          <w:attr w:name="ProductID" w:val="40 mm"/>
        </w:smartTagPr>
        <w:r w:rsidRPr="00C01A93">
          <w:rPr>
            <w:rFonts w:asciiTheme="minorHAnsi" w:hAnsiTheme="minorHAnsi"/>
          </w:rPr>
          <w:t>40 mm</w:t>
        </w:r>
      </w:smartTag>
      <w:r w:rsidRPr="00C01A93">
        <w:rPr>
          <w:rFonts w:asciiTheme="minorHAnsi" w:hAnsiTheme="minorHAnsi"/>
        </w:rPr>
        <w:t xml:space="preserve"> do </w:t>
      </w:r>
      <w:smartTag w:uri="urn:schemas-microsoft-com:office:smarttags" w:element="metricconverter">
        <w:smartTagPr>
          <w:attr w:name="ProductID" w:val="140 mm"/>
        </w:smartTagPr>
        <w:r w:rsidRPr="00C01A93">
          <w:rPr>
            <w:rFonts w:asciiTheme="minorHAnsi" w:hAnsiTheme="minorHAnsi"/>
          </w:rPr>
          <w:t>140 mm</w:t>
        </w:r>
      </w:smartTag>
      <w:r w:rsidRPr="00C01A93">
        <w:rPr>
          <w:rFonts w:asciiTheme="minorHAnsi" w:hAnsiTheme="minorHAnsi"/>
        </w:rPr>
        <w:t xml:space="preserve">, przy czym zalecanymi grubościami są: </w:t>
      </w:r>
      <w:smartTag w:uri="urn:schemas-microsoft-com:office:smarttags" w:element="metricconverter">
        <w:smartTagPr>
          <w:attr w:name="ProductID" w:val="60 mm"/>
        </w:smartTagPr>
        <w:r w:rsidRPr="00C01A93">
          <w:rPr>
            <w:rFonts w:asciiTheme="minorHAnsi" w:hAnsiTheme="minorHAnsi"/>
          </w:rPr>
          <w:t>60 mm</w:t>
        </w:r>
      </w:smartTag>
      <w:r w:rsidRPr="00C01A93">
        <w:rPr>
          <w:rFonts w:asciiTheme="minorHAnsi" w:hAnsiTheme="minorHAnsi"/>
        </w:rPr>
        <w:t xml:space="preserve">, 80 mm i </w:t>
      </w:r>
      <w:smartTag w:uri="urn:schemas-microsoft-com:office:smarttags" w:element="metricconverter">
        <w:smartTagPr>
          <w:attr w:name="ProductID" w:val="100 mm"/>
        </w:smartTagPr>
        <w:r w:rsidRPr="00C01A93">
          <w:rPr>
            <w:rFonts w:asciiTheme="minorHAnsi" w:hAnsiTheme="minorHAnsi"/>
          </w:rPr>
          <w:t>100 mm</w:t>
        </w:r>
      </w:smartTag>
      <w:r w:rsidRPr="00C01A93">
        <w:rPr>
          <w:rFonts w:asciiTheme="minorHAnsi" w:hAnsiTheme="minorHAnsi"/>
        </w:rPr>
        <w:t xml:space="preserve"> (zalecane grubości kostek podano w załączniku 2).</w:t>
      </w:r>
    </w:p>
    <w:p w:rsidR="00B83F88" w:rsidRPr="00C01A93" w:rsidRDefault="00B83F88" w:rsidP="00B83F88">
      <w:pPr>
        <w:rPr>
          <w:rFonts w:asciiTheme="minorHAnsi" w:hAnsiTheme="minorHAnsi"/>
        </w:rPr>
      </w:pPr>
      <w:r w:rsidRPr="00C01A93">
        <w:rPr>
          <w:rFonts w:asciiTheme="minorHAnsi" w:hAnsiTheme="minorHAnsi"/>
        </w:rPr>
        <w:t xml:space="preserve"> </w:t>
      </w:r>
      <w:r w:rsidRPr="00C01A93">
        <w:rPr>
          <w:rFonts w:asciiTheme="minorHAnsi" w:hAnsiTheme="minorHAnsi"/>
        </w:rPr>
        <w:tab/>
        <w:t xml:space="preserve">Pożądane jest, aby wymiary kostek były dostosowane do sposobu układania i siatki spoin oraz umożliwiały wykonanie warstwy o szerokości </w:t>
      </w:r>
      <w:smartTag w:uri="urn:schemas-microsoft-com:office:smarttags" w:element="metricconverter">
        <w:smartTagPr>
          <w:attr w:name="ProductID" w:val="1,0 m"/>
        </w:smartTagPr>
        <w:r w:rsidRPr="00C01A93">
          <w:rPr>
            <w:rFonts w:asciiTheme="minorHAnsi" w:hAnsiTheme="minorHAnsi"/>
          </w:rPr>
          <w:t>1,0 m</w:t>
        </w:r>
      </w:smartTag>
      <w:r w:rsidRPr="00C01A93">
        <w:rPr>
          <w:rFonts w:asciiTheme="minorHAnsi" w:hAnsiTheme="minorHAnsi"/>
        </w:rPr>
        <w:t xml:space="preserve"> lub </w:t>
      </w:r>
      <w:smartTag w:uri="urn:schemas-microsoft-com:office:smarttags" w:element="metricconverter">
        <w:smartTagPr>
          <w:attr w:name="ProductID" w:val="1,5 m"/>
        </w:smartTagPr>
        <w:r w:rsidRPr="00C01A93">
          <w:rPr>
            <w:rFonts w:asciiTheme="minorHAnsi" w:hAnsiTheme="minorHAnsi"/>
          </w:rPr>
          <w:t>1,5 m</w:t>
        </w:r>
      </w:smartTag>
      <w:r w:rsidRPr="00C01A93">
        <w:rPr>
          <w:rFonts w:asciiTheme="minorHAnsi" w:hAnsiTheme="minorHAnsi"/>
        </w:rPr>
        <w:t xml:space="preserve"> bez konieczności przecinania elementów w trakcie ich wbudowywania w nawierzchnię.</w:t>
      </w:r>
    </w:p>
    <w:p w:rsidR="00B83F88" w:rsidRPr="00C01A93" w:rsidRDefault="00B83F88" w:rsidP="00B83F88">
      <w:pPr>
        <w:rPr>
          <w:rFonts w:asciiTheme="minorHAnsi" w:hAnsiTheme="minorHAnsi"/>
        </w:rPr>
      </w:pPr>
      <w:r w:rsidRPr="00C01A93">
        <w:rPr>
          <w:rFonts w:asciiTheme="minorHAnsi" w:hAnsiTheme="minorHAnsi"/>
        </w:rPr>
        <w:tab/>
        <w:t>Kostki mogą być produkowane z wypustkami dystansowymi na powierzchniach bocznych oraz z ukosowanymi krawędziami górnymi.</w:t>
      </w:r>
    </w:p>
    <w:p w:rsidR="00180FC1" w:rsidRDefault="00180FC1" w:rsidP="00B83F88">
      <w:pPr>
        <w:rPr>
          <w:rFonts w:asciiTheme="minorHAnsi" w:hAnsiTheme="minorHAnsi"/>
          <w:b/>
        </w:rPr>
      </w:pPr>
    </w:p>
    <w:p w:rsidR="00B83F88" w:rsidRPr="00C01A93" w:rsidRDefault="00B83F88" w:rsidP="00B83F88">
      <w:pPr>
        <w:rPr>
          <w:rFonts w:asciiTheme="minorHAnsi" w:hAnsiTheme="minorHAnsi"/>
        </w:rPr>
      </w:pPr>
      <w:r w:rsidRPr="00C01A93">
        <w:rPr>
          <w:rFonts w:asciiTheme="minorHAnsi" w:hAnsiTheme="minorHAnsi"/>
          <w:b/>
        </w:rPr>
        <w:lastRenderedPageBreak/>
        <w:t>2.2.2.</w:t>
      </w:r>
      <w:r w:rsidRPr="00C01A93">
        <w:rPr>
          <w:rFonts w:asciiTheme="minorHAnsi" w:hAnsiTheme="minorHAnsi"/>
        </w:rPr>
        <w:t xml:space="preserve"> Wymagania techniczne stawiane betonowym kostkom brukowym</w:t>
      </w:r>
    </w:p>
    <w:p w:rsidR="00B83F88" w:rsidRPr="00C01A93" w:rsidRDefault="00B83F88" w:rsidP="00B83F88">
      <w:pPr>
        <w:rPr>
          <w:rFonts w:asciiTheme="minorHAnsi" w:hAnsiTheme="minorHAnsi"/>
        </w:rPr>
      </w:pPr>
      <w:r w:rsidRPr="00C01A93">
        <w:rPr>
          <w:rFonts w:asciiTheme="minorHAnsi" w:hAnsiTheme="minorHAnsi"/>
        </w:rPr>
        <w:tab/>
        <w:t>Wymagania techniczne stawiane betonowym kostkom brukowym stosowanym na nawierzchniach dróg, ulic, chodników itp. określa PN-EN 1338 w sposób przedstawiony w tablicy 1.</w:t>
      </w:r>
    </w:p>
    <w:p w:rsidR="000C27BF" w:rsidRDefault="000C27BF" w:rsidP="00722F1D">
      <w:pPr>
        <w:ind w:left="709"/>
        <w:rPr>
          <w:rFonts w:asciiTheme="minorHAnsi" w:hAnsiTheme="minorHAnsi"/>
        </w:rPr>
      </w:pPr>
    </w:p>
    <w:p w:rsidR="00B83F88" w:rsidRPr="00C01A93" w:rsidRDefault="00B83F88" w:rsidP="00180FC1">
      <w:pPr>
        <w:ind w:left="284"/>
        <w:rPr>
          <w:rFonts w:asciiTheme="minorHAnsi" w:hAnsiTheme="minorHAnsi"/>
        </w:rPr>
      </w:pPr>
      <w:r>
        <w:rPr>
          <w:rFonts w:asciiTheme="minorHAnsi" w:hAnsiTheme="minorHAnsi"/>
        </w:rPr>
        <w:t xml:space="preserve">Tablica 1. </w:t>
      </w:r>
      <w:r w:rsidRPr="00C01A93">
        <w:rPr>
          <w:rFonts w:asciiTheme="minorHAnsi" w:hAnsiTheme="minorHAnsi"/>
        </w:rPr>
        <w:t>Wymagania wobec betonowej kostki brukowej, ustalone w PN-EN 1338 do stosowania na zewnętrznych nawierzchniach, mających kontakt z solą odladzającą w warunkach mrozu</w:t>
      </w:r>
      <w:r w:rsidRPr="00C01A93">
        <w:rPr>
          <w:rFonts w:asciiTheme="minorHAnsi" w:hAnsiTheme="minorHAnsi"/>
        </w:rPr>
        <w:tab/>
      </w:r>
    </w:p>
    <w:tbl>
      <w:tblPr>
        <w:tblW w:w="8787" w:type="dxa"/>
        <w:tblInd w:w="108" w:type="dxa"/>
        <w:tblLayout w:type="fixed"/>
        <w:tblLook w:val="01E0"/>
      </w:tblPr>
      <w:tblGrid>
        <w:gridCol w:w="567"/>
        <w:gridCol w:w="3685"/>
        <w:gridCol w:w="992"/>
        <w:gridCol w:w="1700"/>
        <w:gridCol w:w="426"/>
        <w:gridCol w:w="1417"/>
      </w:tblGrid>
      <w:tr w:rsidR="00B83F88" w:rsidRPr="009E59D9" w:rsidTr="00180FC1">
        <w:tc>
          <w:tcPr>
            <w:tcW w:w="567" w:type="dxa"/>
            <w:tcBorders>
              <w:top w:val="single" w:sz="4" w:space="0" w:color="auto"/>
              <w:left w:val="single" w:sz="4" w:space="0" w:color="auto"/>
              <w:bottom w:val="double" w:sz="4" w:space="0" w:color="auto"/>
              <w:right w:val="single" w:sz="4" w:space="0" w:color="auto"/>
            </w:tcBorders>
          </w:tcPr>
          <w:p w:rsidR="00B83F88" w:rsidRPr="009E59D9" w:rsidRDefault="00B83F88" w:rsidP="00B83F88">
            <w:pPr>
              <w:jc w:val="center"/>
              <w:rPr>
                <w:rFonts w:asciiTheme="minorHAnsi" w:hAnsiTheme="minorHAnsi"/>
                <w:b/>
                <w:sz w:val="18"/>
                <w:szCs w:val="18"/>
              </w:rPr>
            </w:pPr>
            <w:r w:rsidRPr="009E59D9">
              <w:rPr>
                <w:rFonts w:asciiTheme="minorHAnsi" w:hAnsiTheme="minorHAnsi"/>
                <w:b/>
                <w:sz w:val="18"/>
                <w:szCs w:val="18"/>
              </w:rPr>
              <w:t>Lp.</w:t>
            </w:r>
          </w:p>
        </w:tc>
        <w:tc>
          <w:tcPr>
            <w:tcW w:w="3685" w:type="dxa"/>
            <w:tcBorders>
              <w:top w:val="single" w:sz="4" w:space="0" w:color="auto"/>
              <w:left w:val="single" w:sz="4" w:space="0" w:color="auto"/>
              <w:bottom w:val="double" w:sz="4" w:space="0" w:color="auto"/>
              <w:right w:val="single" w:sz="4" w:space="0" w:color="auto"/>
            </w:tcBorders>
          </w:tcPr>
          <w:p w:rsidR="00B83F88" w:rsidRPr="009E59D9" w:rsidRDefault="00B83F88" w:rsidP="00B83F88">
            <w:pPr>
              <w:jc w:val="center"/>
              <w:rPr>
                <w:rFonts w:asciiTheme="minorHAnsi" w:hAnsiTheme="minorHAnsi"/>
                <w:b/>
                <w:sz w:val="18"/>
                <w:szCs w:val="18"/>
              </w:rPr>
            </w:pPr>
            <w:r w:rsidRPr="009E59D9">
              <w:rPr>
                <w:rFonts w:asciiTheme="minorHAnsi" w:hAnsiTheme="minorHAnsi"/>
                <w:b/>
                <w:sz w:val="18"/>
                <w:szCs w:val="18"/>
              </w:rPr>
              <w:t>Cecha</w:t>
            </w:r>
          </w:p>
        </w:tc>
        <w:tc>
          <w:tcPr>
            <w:tcW w:w="992" w:type="dxa"/>
            <w:tcBorders>
              <w:top w:val="single" w:sz="4" w:space="0" w:color="auto"/>
              <w:left w:val="single" w:sz="4" w:space="0" w:color="auto"/>
              <w:bottom w:val="double" w:sz="4" w:space="0" w:color="auto"/>
              <w:right w:val="single" w:sz="4" w:space="0" w:color="auto"/>
            </w:tcBorders>
          </w:tcPr>
          <w:p w:rsidR="00B83F88" w:rsidRPr="009E59D9" w:rsidRDefault="00B83F88" w:rsidP="00B83F88">
            <w:pPr>
              <w:jc w:val="center"/>
              <w:rPr>
                <w:rFonts w:asciiTheme="minorHAnsi" w:hAnsiTheme="minorHAnsi"/>
                <w:b/>
                <w:sz w:val="18"/>
                <w:szCs w:val="18"/>
              </w:rPr>
            </w:pPr>
            <w:r w:rsidRPr="009E59D9">
              <w:rPr>
                <w:rFonts w:asciiTheme="minorHAnsi" w:hAnsiTheme="minorHAnsi"/>
                <w:b/>
                <w:sz w:val="18"/>
                <w:szCs w:val="18"/>
              </w:rPr>
              <w:t>Załącznik normy</w:t>
            </w:r>
          </w:p>
        </w:tc>
        <w:tc>
          <w:tcPr>
            <w:tcW w:w="3543" w:type="dxa"/>
            <w:gridSpan w:val="3"/>
            <w:tcBorders>
              <w:top w:val="single" w:sz="4" w:space="0" w:color="auto"/>
              <w:left w:val="single" w:sz="4" w:space="0" w:color="auto"/>
              <w:bottom w:val="double" w:sz="4" w:space="0" w:color="auto"/>
              <w:right w:val="single" w:sz="4" w:space="0" w:color="auto"/>
            </w:tcBorders>
          </w:tcPr>
          <w:p w:rsidR="00B83F88" w:rsidRPr="009E59D9" w:rsidRDefault="00B83F88" w:rsidP="00B83F88">
            <w:pPr>
              <w:jc w:val="center"/>
              <w:rPr>
                <w:rFonts w:asciiTheme="minorHAnsi" w:hAnsiTheme="minorHAnsi"/>
                <w:b/>
                <w:sz w:val="18"/>
                <w:szCs w:val="18"/>
              </w:rPr>
            </w:pPr>
            <w:r w:rsidRPr="009E59D9">
              <w:rPr>
                <w:rFonts w:asciiTheme="minorHAnsi" w:hAnsiTheme="minorHAnsi"/>
                <w:b/>
                <w:sz w:val="18"/>
                <w:szCs w:val="18"/>
              </w:rPr>
              <w:t>Wymaganie</w:t>
            </w:r>
          </w:p>
        </w:tc>
      </w:tr>
      <w:tr w:rsidR="00180FC1" w:rsidRPr="009E59D9" w:rsidTr="00ED53FE">
        <w:trPr>
          <w:trHeight w:val="357"/>
        </w:trPr>
        <w:tc>
          <w:tcPr>
            <w:tcW w:w="567" w:type="dxa"/>
            <w:tcBorders>
              <w:top w:val="double" w:sz="4" w:space="0" w:color="auto"/>
              <w:left w:val="single" w:sz="4" w:space="0" w:color="auto"/>
              <w:bottom w:val="single" w:sz="4" w:space="0" w:color="auto"/>
              <w:right w:val="single" w:sz="4" w:space="0" w:color="auto"/>
            </w:tcBorders>
          </w:tcPr>
          <w:p w:rsidR="00180FC1" w:rsidRPr="009E59D9" w:rsidRDefault="00180FC1" w:rsidP="00B83F88">
            <w:pPr>
              <w:jc w:val="center"/>
              <w:rPr>
                <w:rFonts w:asciiTheme="minorHAnsi" w:hAnsiTheme="minorHAnsi"/>
                <w:sz w:val="18"/>
                <w:szCs w:val="18"/>
              </w:rPr>
            </w:pPr>
            <w:r w:rsidRPr="009E59D9">
              <w:rPr>
                <w:rFonts w:asciiTheme="minorHAnsi" w:hAnsiTheme="minorHAnsi"/>
                <w:sz w:val="18"/>
                <w:szCs w:val="18"/>
              </w:rPr>
              <w:t>1</w:t>
            </w:r>
          </w:p>
        </w:tc>
        <w:tc>
          <w:tcPr>
            <w:tcW w:w="8220" w:type="dxa"/>
            <w:gridSpan w:val="5"/>
            <w:tcBorders>
              <w:top w:val="double" w:sz="4" w:space="0" w:color="auto"/>
              <w:left w:val="single" w:sz="4" w:space="0" w:color="auto"/>
              <w:bottom w:val="single" w:sz="4" w:space="0" w:color="auto"/>
              <w:right w:val="single" w:sz="4" w:space="0" w:color="auto"/>
            </w:tcBorders>
          </w:tcPr>
          <w:p w:rsidR="00180FC1" w:rsidRPr="009E59D9" w:rsidRDefault="00180FC1" w:rsidP="00B83F88">
            <w:pPr>
              <w:jc w:val="center"/>
              <w:rPr>
                <w:rFonts w:asciiTheme="minorHAnsi" w:hAnsiTheme="minorHAnsi"/>
                <w:sz w:val="18"/>
                <w:szCs w:val="18"/>
              </w:rPr>
            </w:pPr>
            <w:r w:rsidRPr="00180FC1">
              <w:rPr>
                <w:rFonts w:asciiTheme="minorHAnsi" w:hAnsiTheme="minorHAnsi"/>
                <w:b/>
                <w:sz w:val="18"/>
                <w:szCs w:val="18"/>
              </w:rPr>
              <w:t>Kształt i wymiary</w:t>
            </w:r>
          </w:p>
        </w:tc>
      </w:tr>
      <w:tr w:rsidR="00B83F88" w:rsidRPr="009E59D9" w:rsidTr="00180FC1">
        <w:tc>
          <w:tcPr>
            <w:tcW w:w="567" w:type="dxa"/>
            <w:tcBorders>
              <w:top w:val="single" w:sz="4" w:space="0" w:color="auto"/>
              <w:left w:val="single" w:sz="4" w:space="0" w:color="auto"/>
              <w:bottom w:val="single" w:sz="4" w:space="0" w:color="auto"/>
              <w:right w:val="single" w:sz="4" w:space="0" w:color="auto"/>
            </w:tcBorders>
          </w:tcPr>
          <w:p w:rsidR="00B83F88" w:rsidRPr="009E59D9" w:rsidRDefault="00B83F88" w:rsidP="00B83F88">
            <w:pPr>
              <w:jc w:val="center"/>
              <w:rPr>
                <w:rFonts w:asciiTheme="minorHAnsi" w:hAnsiTheme="minorHAnsi"/>
                <w:sz w:val="18"/>
                <w:szCs w:val="18"/>
              </w:rPr>
            </w:pPr>
            <w:r w:rsidRPr="009E59D9">
              <w:rPr>
                <w:rFonts w:asciiTheme="minorHAnsi" w:hAnsiTheme="minorHAnsi"/>
                <w:sz w:val="18"/>
                <w:szCs w:val="18"/>
              </w:rPr>
              <w:t>1.1</w:t>
            </w:r>
          </w:p>
        </w:tc>
        <w:tc>
          <w:tcPr>
            <w:tcW w:w="3685" w:type="dxa"/>
            <w:tcBorders>
              <w:top w:val="single" w:sz="4" w:space="0" w:color="auto"/>
              <w:left w:val="single" w:sz="4" w:space="0" w:color="auto"/>
              <w:bottom w:val="single" w:sz="4" w:space="0" w:color="auto"/>
              <w:right w:val="single" w:sz="4" w:space="0" w:color="auto"/>
            </w:tcBorders>
          </w:tcPr>
          <w:p w:rsidR="00B83F88" w:rsidRPr="009E59D9" w:rsidRDefault="00B83F88" w:rsidP="00B83F88">
            <w:pPr>
              <w:jc w:val="center"/>
              <w:rPr>
                <w:rFonts w:asciiTheme="minorHAnsi" w:hAnsiTheme="minorHAnsi"/>
                <w:sz w:val="18"/>
                <w:szCs w:val="18"/>
              </w:rPr>
            </w:pPr>
            <w:r w:rsidRPr="009E59D9">
              <w:rPr>
                <w:rFonts w:asciiTheme="minorHAnsi" w:hAnsiTheme="minorHAnsi"/>
                <w:sz w:val="18"/>
                <w:szCs w:val="18"/>
              </w:rPr>
              <w:t>Dopuszczalne odchyłki w mm od zadeklarowanych wymiarów kostki,</w:t>
            </w:r>
          </w:p>
          <w:p w:rsidR="00B83F88" w:rsidRPr="009E59D9" w:rsidRDefault="00B83F88" w:rsidP="00B83F88">
            <w:pPr>
              <w:jc w:val="center"/>
              <w:rPr>
                <w:rFonts w:asciiTheme="minorHAnsi" w:hAnsiTheme="minorHAnsi"/>
                <w:sz w:val="18"/>
                <w:szCs w:val="18"/>
              </w:rPr>
            </w:pPr>
            <w:r w:rsidRPr="009E59D9">
              <w:rPr>
                <w:rFonts w:asciiTheme="minorHAnsi" w:hAnsiTheme="minorHAnsi"/>
                <w:sz w:val="18"/>
                <w:szCs w:val="18"/>
              </w:rPr>
              <w:t xml:space="preserve">grubośc  &lt; </w:t>
            </w:r>
            <w:smartTag w:uri="urn:schemas-microsoft-com:office:smarttags" w:element="metricconverter">
              <w:smartTagPr>
                <w:attr w:name="ProductID" w:val="100 mm"/>
              </w:smartTagPr>
              <w:r w:rsidRPr="009E59D9">
                <w:rPr>
                  <w:rFonts w:asciiTheme="minorHAnsi" w:hAnsiTheme="minorHAnsi"/>
                  <w:sz w:val="18"/>
                  <w:szCs w:val="18"/>
                </w:rPr>
                <w:t>100 mm</w:t>
              </w:r>
            </w:smartTag>
          </w:p>
          <w:p w:rsidR="00B83F88" w:rsidRPr="009E59D9" w:rsidRDefault="00B83F88" w:rsidP="00B83F88">
            <w:pPr>
              <w:jc w:val="center"/>
              <w:rPr>
                <w:rFonts w:asciiTheme="minorHAnsi" w:hAnsiTheme="minorHAnsi"/>
                <w:sz w:val="18"/>
                <w:szCs w:val="18"/>
              </w:rPr>
            </w:pPr>
            <w:r w:rsidRPr="009E59D9">
              <w:rPr>
                <w:rFonts w:asciiTheme="minorHAnsi" w:hAnsiTheme="minorHAnsi"/>
                <w:sz w:val="18"/>
                <w:szCs w:val="18"/>
              </w:rPr>
              <w:t xml:space="preserve">≥ </w:t>
            </w:r>
            <w:smartTag w:uri="urn:schemas-microsoft-com:office:smarttags" w:element="metricconverter">
              <w:smartTagPr>
                <w:attr w:name="ProductID" w:val="100 mm"/>
              </w:smartTagPr>
              <w:r w:rsidRPr="009E59D9">
                <w:rPr>
                  <w:rFonts w:asciiTheme="minorHAnsi" w:hAnsiTheme="minorHAnsi"/>
                  <w:sz w:val="18"/>
                  <w:szCs w:val="18"/>
                </w:rPr>
                <w:t>100 mm</w:t>
              </w:r>
            </w:smartTag>
          </w:p>
        </w:tc>
        <w:tc>
          <w:tcPr>
            <w:tcW w:w="992" w:type="dxa"/>
            <w:tcBorders>
              <w:top w:val="single" w:sz="4" w:space="0" w:color="auto"/>
              <w:left w:val="single" w:sz="4" w:space="0" w:color="auto"/>
              <w:bottom w:val="single" w:sz="4" w:space="0" w:color="auto"/>
              <w:right w:val="single" w:sz="4" w:space="0" w:color="auto"/>
            </w:tcBorders>
          </w:tcPr>
          <w:p w:rsidR="00B83F88" w:rsidRPr="009E59D9" w:rsidRDefault="00B83F88" w:rsidP="00B83F88">
            <w:pPr>
              <w:jc w:val="center"/>
              <w:rPr>
                <w:rFonts w:asciiTheme="minorHAnsi" w:hAnsiTheme="minorHAnsi"/>
                <w:sz w:val="18"/>
                <w:szCs w:val="18"/>
              </w:rPr>
            </w:pPr>
            <w:r w:rsidRPr="009E59D9">
              <w:rPr>
                <w:rFonts w:asciiTheme="minorHAnsi" w:hAnsiTheme="minorHAnsi"/>
                <w:sz w:val="18"/>
                <w:szCs w:val="18"/>
              </w:rPr>
              <w:t>C</w:t>
            </w:r>
          </w:p>
        </w:tc>
        <w:tc>
          <w:tcPr>
            <w:tcW w:w="2126" w:type="dxa"/>
            <w:gridSpan w:val="2"/>
            <w:tcBorders>
              <w:top w:val="single" w:sz="4" w:space="0" w:color="auto"/>
              <w:left w:val="single" w:sz="4" w:space="0" w:color="auto"/>
              <w:bottom w:val="single" w:sz="4" w:space="0" w:color="auto"/>
              <w:right w:val="single" w:sz="4" w:space="0" w:color="auto"/>
            </w:tcBorders>
          </w:tcPr>
          <w:p w:rsidR="00B83F88" w:rsidRPr="009E59D9" w:rsidRDefault="00B83F88" w:rsidP="00B83F88">
            <w:pPr>
              <w:jc w:val="center"/>
              <w:rPr>
                <w:rFonts w:asciiTheme="minorHAnsi" w:hAnsiTheme="minorHAnsi"/>
                <w:sz w:val="18"/>
                <w:szCs w:val="18"/>
              </w:rPr>
            </w:pPr>
            <w:r w:rsidRPr="009E59D9">
              <w:rPr>
                <w:rFonts w:asciiTheme="minorHAnsi" w:hAnsiTheme="minorHAnsi"/>
                <w:sz w:val="18"/>
                <w:szCs w:val="18"/>
              </w:rPr>
              <w:t>Długość   szerokość   grubość</w:t>
            </w:r>
          </w:p>
          <w:p w:rsidR="00B83F88" w:rsidRPr="009E59D9" w:rsidRDefault="00B83F88" w:rsidP="00B83F88">
            <w:pPr>
              <w:jc w:val="center"/>
              <w:rPr>
                <w:rFonts w:asciiTheme="minorHAnsi" w:hAnsiTheme="minorHAnsi"/>
                <w:sz w:val="18"/>
                <w:szCs w:val="18"/>
              </w:rPr>
            </w:pPr>
          </w:p>
          <w:p w:rsidR="00B83F88" w:rsidRPr="009E59D9" w:rsidRDefault="00B83F88" w:rsidP="00B83F88">
            <w:pPr>
              <w:jc w:val="center"/>
              <w:rPr>
                <w:rFonts w:asciiTheme="minorHAnsi" w:hAnsiTheme="minorHAnsi"/>
                <w:sz w:val="18"/>
                <w:szCs w:val="18"/>
              </w:rPr>
            </w:pPr>
            <w:r w:rsidRPr="009E59D9">
              <w:rPr>
                <w:rFonts w:asciiTheme="minorHAnsi" w:hAnsiTheme="minorHAnsi"/>
                <w:sz w:val="18"/>
                <w:szCs w:val="18"/>
              </w:rPr>
              <w:t>± 2            ± 2            ± 3</w:t>
            </w:r>
          </w:p>
          <w:p w:rsidR="00B83F88" w:rsidRPr="009E59D9" w:rsidRDefault="00B83F88" w:rsidP="00B83F88">
            <w:pPr>
              <w:jc w:val="center"/>
              <w:rPr>
                <w:rFonts w:asciiTheme="minorHAnsi" w:hAnsiTheme="minorHAnsi"/>
                <w:sz w:val="18"/>
                <w:szCs w:val="18"/>
              </w:rPr>
            </w:pPr>
            <w:r w:rsidRPr="009E59D9">
              <w:rPr>
                <w:rFonts w:asciiTheme="minorHAnsi" w:hAnsiTheme="minorHAnsi"/>
                <w:sz w:val="18"/>
                <w:szCs w:val="18"/>
              </w:rPr>
              <w:t>± 3            ± 3            ± 4</w:t>
            </w:r>
          </w:p>
        </w:tc>
        <w:tc>
          <w:tcPr>
            <w:tcW w:w="1417" w:type="dxa"/>
            <w:tcBorders>
              <w:top w:val="single" w:sz="4" w:space="0" w:color="auto"/>
              <w:left w:val="single" w:sz="4" w:space="0" w:color="auto"/>
              <w:bottom w:val="single" w:sz="4" w:space="0" w:color="auto"/>
              <w:right w:val="single" w:sz="4" w:space="0" w:color="auto"/>
            </w:tcBorders>
          </w:tcPr>
          <w:p w:rsidR="00B83F88" w:rsidRPr="009E59D9" w:rsidRDefault="00B83F88" w:rsidP="00B83F88">
            <w:pPr>
              <w:jc w:val="center"/>
              <w:rPr>
                <w:rFonts w:asciiTheme="minorHAnsi" w:hAnsiTheme="minorHAnsi"/>
                <w:sz w:val="18"/>
                <w:szCs w:val="18"/>
              </w:rPr>
            </w:pPr>
            <w:r w:rsidRPr="009E59D9">
              <w:rPr>
                <w:rFonts w:asciiTheme="minorHAnsi" w:hAnsiTheme="minorHAnsi"/>
                <w:sz w:val="18"/>
                <w:szCs w:val="18"/>
              </w:rPr>
              <w:t xml:space="preserve">Różnica pomiędzy dwoma pomiarami grubości, tej samej kostki, powinna być ≤ </w:t>
            </w:r>
            <w:smartTag w:uri="urn:schemas-microsoft-com:office:smarttags" w:element="metricconverter">
              <w:smartTagPr>
                <w:attr w:name="ProductID" w:val="3 mm"/>
              </w:smartTagPr>
              <w:r w:rsidRPr="009E59D9">
                <w:rPr>
                  <w:rFonts w:asciiTheme="minorHAnsi" w:hAnsiTheme="minorHAnsi"/>
                  <w:sz w:val="18"/>
                  <w:szCs w:val="18"/>
                </w:rPr>
                <w:t>3 mm</w:t>
              </w:r>
            </w:smartTag>
          </w:p>
        </w:tc>
      </w:tr>
      <w:tr w:rsidR="00B83F88" w:rsidRPr="009E59D9" w:rsidTr="00180FC1">
        <w:tc>
          <w:tcPr>
            <w:tcW w:w="567" w:type="dxa"/>
            <w:tcBorders>
              <w:top w:val="single" w:sz="4" w:space="0" w:color="auto"/>
              <w:left w:val="single" w:sz="4" w:space="0" w:color="auto"/>
              <w:bottom w:val="single" w:sz="4" w:space="0" w:color="auto"/>
              <w:right w:val="single" w:sz="4" w:space="0" w:color="auto"/>
            </w:tcBorders>
          </w:tcPr>
          <w:p w:rsidR="00B83F88" w:rsidRPr="009E59D9" w:rsidRDefault="00B83F88" w:rsidP="00B83F88">
            <w:pPr>
              <w:jc w:val="center"/>
              <w:rPr>
                <w:rFonts w:asciiTheme="minorHAnsi" w:hAnsiTheme="minorHAnsi"/>
                <w:sz w:val="18"/>
                <w:szCs w:val="18"/>
              </w:rPr>
            </w:pPr>
            <w:r w:rsidRPr="009E59D9">
              <w:rPr>
                <w:rFonts w:asciiTheme="minorHAnsi" w:hAnsiTheme="minorHAnsi"/>
                <w:sz w:val="18"/>
                <w:szCs w:val="18"/>
              </w:rPr>
              <w:t>1.2</w:t>
            </w:r>
          </w:p>
        </w:tc>
        <w:tc>
          <w:tcPr>
            <w:tcW w:w="3685" w:type="dxa"/>
            <w:tcBorders>
              <w:top w:val="single" w:sz="4" w:space="0" w:color="auto"/>
              <w:left w:val="single" w:sz="4" w:space="0" w:color="auto"/>
              <w:bottom w:val="single" w:sz="4" w:space="0" w:color="auto"/>
              <w:right w:val="single" w:sz="4" w:space="0" w:color="auto"/>
            </w:tcBorders>
          </w:tcPr>
          <w:p w:rsidR="00B83F88" w:rsidRPr="009E59D9" w:rsidRDefault="00B83F88" w:rsidP="00B83F88">
            <w:pPr>
              <w:jc w:val="center"/>
              <w:rPr>
                <w:rFonts w:asciiTheme="minorHAnsi" w:hAnsiTheme="minorHAnsi"/>
                <w:sz w:val="18"/>
                <w:szCs w:val="18"/>
              </w:rPr>
            </w:pPr>
            <w:r w:rsidRPr="009E59D9">
              <w:rPr>
                <w:rFonts w:asciiTheme="minorHAnsi" w:hAnsiTheme="minorHAnsi"/>
                <w:sz w:val="18"/>
                <w:szCs w:val="18"/>
              </w:rPr>
              <w:t xml:space="preserve">Odchyłki płaskości i pofalowania (jeśli maksymalne wymiary kostki  &gt; </w:t>
            </w:r>
            <w:smartTag w:uri="urn:schemas-microsoft-com:office:smarttags" w:element="metricconverter">
              <w:smartTagPr>
                <w:attr w:name="ProductID" w:val="300 mm"/>
              </w:smartTagPr>
              <w:r w:rsidRPr="009E59D9">
                <w:rPr>
                  <w:rFonts w:asciiTheme="minorHAnsi" w:hAnsiTheme="minorHAnsi"/>
                  <w:sz w:val="18"/>
                  <w:szCs w:val="18"/>
                </w:rPr>
                <w:t>300 mm</w:t>
              </w:r>
            </w:smartTag>
            <w:r w:rsidRPr="009E59D9">
              <w:rPr>
                <w:rFonts w:asciiTheme="minorHAnsi" w:hAnsiTheme="minorHAnsi"/>
                <w:sz w:val="18"/>
                <w:szCs w:val="18"/>
              </w:rPr>
              <w:t>), przy długości pomiarowej</w:t>
            </w:r>
          </w:p>
          <w:p w:rsidR="00B83F88" w:rsidRPr="009E59D9" w:rsidRDefault="00B83F88" w:rsidP="00B83F88">
            <w:pPr>
              <w:jc w:val="center"/>
              <w:rPr>
                <w:rFonts w:asciiTheme="minorHAnsi" w:hAnsiTheme="minorHAnsi"/>
                <w:sz w:val="18"/>
                <w:szCs w:val="18"/>
              </w:rPr>
            </w:pPr>
            <w:r w:rsidRPr="009E59D9">
              <w:rPr>
                <w:rFonts w:asciiTheme="minorHAnsi" w:hAnsiTheme="minorHAnsi"/>
                <w:sz w:val="18"/>
                <w:szCs w:val="18"/>
              </w:rPr>
              <w:t>300 mm</w:t>
            </w:r>
          </w:p>
          <w:p w:rsidR="00B83F88" w:rsidRPr="009E59D9" w:rsidRDefault="00B83F88" w:rsidP="00B83F88">
            <w:pPr>
              <w:jc w:val="center"/>
              <w:rPr>
                <w:rFonts w:asciiTheme="minorHAnsi" w:hAnsiTheme="minorHAnsi"/>
                <w:sz w:val="18"/>
                <w:szCs w:val="18"/>
              </w:rPr>
            </w:pPr>
            <w:r w:rsidRPr="009E59D9">
              <w:rPr>
                <w:rFonts w:asciiTheme="minorHAnsi" w:hAnsiTheme="minorHAnsi"/>
                <w:sz w:val="18"/>
                <w:szCs w:val="18"/>
              </w:rPr>
              <w:t>400 mm</w:t>
            </w:r>
          </w:p>
          <w:p w:rsidR="00B83F88" w:rsidRPr="009E59D9" w:rsidRDefault="00B83F88" w:rsidP="00B83F88">
            <w:pPr>
              <w:jc w:val="center"/>
              <w:rPr>
                <w:rFonts w:asciiTheme="minorHAnsi" w:hAnsiTheme="minorHAnsi"/>
                <w:sz w:val="18"/>
                <w:szCs w:val="18"/>
              </w:rPr>
            </w:pPr>
          </w:p>
        </w:tc>
        <w:tc>
          <w:tcPr>
            <w:tcW w:w="992" w:type="dxa"/>
            <w:tcBorders>
              <w:top w:val="single" w:sz="4" w:space="0" w:color="auto"/>
              <w:left w:val="single" w:sz="4" w:space="0" w:color="auto"/>
              <w:bottom w:val="single" w:sz="4" w:space="0" w:color="auto"/>
              <w:right w:val="single" w:sz="4" w:space="0" w:color="auto"/>
            </w:tcBorders>
          </w:tcPr>
          <w:p w:rsidR="00B83F88" w:rsidRPr="009E59D9" w:rsidRDefault="00B83F88" w:rsidP="00B83F88">
            <w:pPr>
              <w:jc w:val="center"/>
              <w:rPr>
                <w:rFonts w:asciiTheme="minorHAnsi" w:hAnsiTheme="minorHAnsi"/>
                <w:sz w:val="18"/>
                <w:szCs w:val="18"/>
              </w:rPr>
            </w:pPr>
            <w:r w:rsidRPr="009E59D9">
              <w:rPr>
                <w:rFonts w:asciiTheme="minorHAnsi" w:hAnsiTheme="minorHAnsi"/>
                <w:sz w:val="18"/>
                <w:szCs w:val="18"/>
              </w:rPr>
              <w:t>C</w:t>
            </w:r>
          </w:p>
        </w:tc>
        <w:tc>
          <w:tcPr>
            <w:tcW w:w="3543" w:type="dxa"/>
            <w:gridSpan w:val="3"/>
            <w:tcBorders>
              <w:top w:val="single" w:sz="4" w:space="0" w:color="auto"/>
              <w:left w:val="single" w:sz="4" w:space="0" w:color="auto"/>
              <w:bottom w:val="single" w:sz="4" w:space="0" w:color="auto"/>
              <w:right w:val="single" w:sz="4" w:space="0" w:color="auto"/>
            </w:tcBorders>
          </w:tcPr>
          <w:p w:rsidR="00B83F88" w:rsidRPr="009E59D9" w:rsidRDefault="00B83F88" w:rsidP="00B83F88">
            <w:pPr>
              <w:jc w:val="center"/>
              <w:rPr>
                <w:rFonts w:asciiTheme="minorHAnsi" w:hAnsiTheme="minorHAnsi"/>
                <w:sz w:val="18"/>
                <w:szCs w:val="18"/>
              </w:rPr>
            </w:pPr>
            <w:r w:rsidRPr="009E59D9">
              <w:rPr>
                <w:rFonts w:asciiTheme="minorHAnsi" w:hAnsiTheme="minorHAnsi"/>
                <w:sz w:val="18"/>
                <w:szCs w:val="18"/>
              </w:rPr>
              <w:t>Maksymalna (w mm)</w:t>
            </w:r>
          </w:p>
          <w:p w:rsidR="00B83F88" w:rsidRPr="009E59D9" w:rsidRDefault="00B83F88" w:rsidP="00B83F88">
            <w:pPr>
              <w:jc w:val="center"/>
              <w:rPr>
                <w:rFonts w:asciiTheme="minorHAnsi" w:hAnsiTheme="minorHAnsi"/>
                <w:sz w:val="18"/>
                <w:szCs w:val="18"/>
              </w:rPr>
            </w:pPr>
            <w:r w:rsidRPr="009E59D9">
              <w:rPr>
                <w:rFonts w:asciiTheme="minorHAnsi" w:hAnsiTheme="minorHAnsi"/>
                <w:sz w:val="18"/>
                <w:szCs w:val="18"/>
              </w:rPr>
              <w:t>wypukłość                      wklęsłość</w:t>
            </w:r>
          </w:p>
          <w:p w:rsidR="00B83F88" w:rsidRPr="009E59D9" w:rsidRDefault="00B83F88" w:rsidP="00B83F88">
            <w:pPr>
              <w:jc w:val="center"/>
              <w:rPr>
                <w:rFonts w:asciiTheme="minorHAnsi" w:hAnsiTheme="minorHAnsi"/>
                <w:sz w:val="18"/>
                <w:szCs w:val="18"/>
              </w:rPr>
            </w:pPr>
          </w:p>
          <w:p w:rsidR="00B83F88" w:rsidRPr="009E59D9" w:rsidRDefault="00B83F88" w:rsidP="00B83F88">
            <w:pPr>
              <w:jc w:val="center"/>
              <w:rPr>
                <w:rFonts w:asciiTheme="minorHAnsi" w:hAnsiTheme="minorHAnsi"/>
                <w:sz w:val="18"/>
                <w:szCs w:val="18"/>
              </w:rPr>
            </w:pPr>
            <w:r w:rsidRPr="009E59D9">
              <w:rPr>
                <w:rFonts w:asciiTheme="minorHAnsi" w:hAnsiTheme="minorHAnsi"/>
                <w:sz w:val="18"/>
                <w:szCs w:val="18"/>
              </w:rPr>
              <w:t>1,5                                    1,0</w:t>
            </w:r>
          </w:p>
          <w:p w:rsidR="00B83F88" w:rsidRPr="009E59D9" w:rsidRDefault="00B83F88" w:rsidP="00B83F88">
            <w:pPr>
              <w:jc w:val="center"/>
              <w:rPr>
                <w:rFonts w:asciiTheme="minorHAnsi" w:hAnsiTheme="minorHAnsi"/>
                <w:sz w:val="18"/>
                <w:szCs w:val="18"/>
              </w:rPr>
            </w:pPr>
            <w:r w:rsidRPr="009E59D9">
              <w:rPr>
                <w:rFonts w:asciiTheme="minorHAnsi" w:hAnsiTheme="minorHAnsi"/>
                <w:sz w:val="18"/>
                <w:szCs w:val="18"/>
              </w:rPr>
              <w:t>2,0                                    1,5</w:t>
            </w:r>
          </w:p>
        </w:tc>
      </w:tr>
      <w:tr w:rsidR="00B83F88" w:rsidRPr="009E59D9" w:rsidTr="00180FC1">
        <w:trPr>
          <w:trHeight w:val="441"/>
        </w:trPr>
        <w:tc>
          <w:tcPr>
            <w:tcW w:w="567" w:type="dxa"/>
            <w:tcBorders>
              <w:top w:val="single" w:sz="4" w:space="0" w:color="auto"/>
              <w:left w:val="single" w:sz="4" w:space="0" w:color="auto"/>
              <w:bottom w:val="single" w:sz="4" w:space="0" w:color="auto"/>
              <w:right w:val="single" w:sz="4" w:space="0" w:color="auto"/>
            </w:tcBorders>
          </w:tcPr>
          <w:p w:rsidR="00B83F88" w:rsidRPr="009E59D9" w:rsidRDefault="00B83F88" w:rsidP="00B83F88">
            <w:pPr>
              <w:jc w:val="center"/>
              <w:rPr>
                <w:rFonts w:asciiTheme="minorHAnsi" w:hAnsiTheme="minorHAnsi"/>
                <w:sz w:val="18"/>
                <w:szCs w:val="18"/>
              </w:rPr>
            </w:pPr>
            <w:r w:rsidRPr="009E59D9">
              <w:rPr>
                <w:rFonts w:asciiTheme="minorHAnsi" w:hAnsiTheme="minorHAnsi"/>
                <w:sz w:val="18"/>
                <w:szCs w:val="18"/>
              </w:rPr>
              <w:t>2</w:t>
            </w:r>
          </w:p>
        </w:tc>
        <w:tc>
          <w:tcPr>
            <w:tcW w:w="8220" w:type="dxa"/>
            <w:gridSpan w:val="5"/>
            <w:tcBorders>
              <w:top w:val="single" w:sz="4" w:space="0" w:color="auto"/>
              <w:left w:val="single" w:sz="4" w:space="0" w:color="auto"/>
              <w:bottom w:val="single" w:sz="4" w:space="0" w:color="auto"/>
              <w:right w:val="single" w:sz="4" w:space="0" w:color="auto"/>
            </w:tcBorders>
          </w:tcPr>
          <w:p w:rsidR="00B83F88" w:rsidRPr="009E59D9" w:rsidRDefault="00B83F88" w:rsidP="00B83F88">
            <w:pPr>
              <w:jc w:val="center"/>
              <w:rPr>
                <w:rFonts w:asciiTheme="minorHAnsi" w:hAnsiTheme="minorHAnsi"/>
                <w:b/>
                <w:sz w:val="18"/>
                <w:szCs w:val="18"/>
              </w:rPr>
            </w:pPr>
            <w:r w:rsidRPr="009E59D9">
              <w:rPr>
                <w:rFonts w:asciiTheme="minorHAnsi" w:hAnsiTheme="minorHAnsi"/>
                <w:b/>
                <w:sz w:val="18"/>
                <w:szCs w:val="18"/>
              </w:rPr>
              <w:t>Właściwości fizyczne i mechaniczne</w:t>
            </w:r>
          </w:p>
        </w:tc>
      </w:tr>
      <w:tr w:rsidR="00B83F88" w:rsidRPr="009E59D9" w:rsidTr="00180FC1">
        <w:tc>
          <w:tcPr>
            <w:tcW w:w="567" w:type="dxa"/>
            <w:tcBorders>
              <w:top w:val="single" w:sz="4" w:space="0" w:color="auto"/>
              <w:left w:val="single" w:sz="4" w:space="0" w:color="auto"/>
              <w:bottom w:val="single" w:sz="4" w:space="0" w:color="auto"/>
              <w:right w:val="single" w:sz="4" w:space="0" w:color="auto"/>
            </w:tcBorders>
          </w:tcPr>
          <w:p w:rsidR="00B83F88" w:rsidRPr="009E59D9" w:rsidRDefault="00B83F88" w:rsidP="00B83F88">
            <w:pPr>
              <w:jc w:val="center"/>
              <w:rPr>
                <w:rFonts w:asciiTheme="minorHAnsi" w:hAnsiTheme="minorHAnsi"/>
                <w:sz w:val="18"/>
                <w:szCs w:val="18"/>
              </w:rPr>
            </w:pPr>
            <w:r w:rsidRPr="009E59D9">
              <w:rPr>
                <w:rFonts w:asciiTheme="minorHAnsi" w:hAnsiTheme="minorHAnsi"/>
                <w:sz w:val="18"/>
                <w:szCs w:val="18"/>
              </w:rPr>
              <w:t>2.1</w:t>
            </w:r>
          </w:p>
        </w:tc>
        <w:tc>
          <w:tcPr>
            <w:tcW w:w="3685" w:type="dxa"/>
            <w:tcBorders>
              <w:top w:val="single" w:sz="4" w:space="0" w:color="auto"/>
              <w:left w:val="single" w:sz="4" w:space="0" w:color="auto"/>
              <w:bottom w:val="single" w:sz="4" w:space="0" w:color="auto"/>
              <w:right w:val="single" w:sz="4" w:space="0" w:color="auto"/>
            </w:tcBorders>
          </w:tcPr>
          <w:p w:rsidR="00B83F88" w:rsidRPr="009E59D9" w:rsidRDefault="00B83F88" w:rsidP="00B83F88">
            <w:pPr>
              <w:jc w:val="center"/>
              <w:rPr>
                <w:rFonts w:asciiTheme="minorHAnsi" w:hAnsiTheme="minorHAnsi"/>
                <w:sz w:val="18"/>
                <w:szCs w:val="18"/>
              </w:rPr>
            </w:pPr>
            <w:r w:rsidRPr="009E59D9">
              <w:rPr>
                <w:rFonts w:asciiTheme="minorHAnsi" w:hAnsiTheme="minorHAnsi"/>
                <w:sz w:val="18"/>
                <w:szCs w:val="18"/>
              </w:rPr>
              <w:t>Odporność na zamrażanie/rozmraża-nie z udziałem soli odladzających (wg klasy 3, zał. D)</w:t>
            </w:r>
          </w:p>
          <w:p w:rsidR="00B83F88" w:rsidRPr="009E59D9" w:rsidRDefault="00B83F88" w:rsidP="00B83F88">
            <w:pPr>
              <w:jc w:val="center"/>
              <w:rPr>
                <w:rFonts w:asciiTheme="minorHAnsi" w:hAnsiTheme="minorHAnsi"/>
                <w:sz w:val="18"/>
                <w:szCs w:val="18"/>
              </w:rPr>
            </w:pPr>
          </w:p>
        </w:tc>
        <w:tc>
          <w:tcPr>
            <w:tcW w:w="992" w:type="dxa"/>
            <w:tcBorders>
              <w:top w:val="single" w:sz="4" w:space="0" w:color="auto"/>
              <w:left w:val="single" w:sz="4" w:space="0" w:color="auto"/>
              <w:bottom w:val="single" w:sz="4" w:space="0" w:color="auto"/>
              <w:right w:val="single" w:sz="4" w:space="0" w:color="auto"/>
            </w:tcBorders>
          </w:tcPr>
          <w:p w:rsidR="00B83F88" w:rsidRPr="009E59D9" w:rsidRDefault="00B83F88" w:rsidP="00B83F88">
            <w:pPr>
              <w:jc w:val="center"/>
              <w:rPr>
                <w:rFonts w:asciiTheme="minorHAnsi" w:hAnsiTheme="minorHAnsi"/>
                <w:sz w:val="18"/>
                <w:szCs w:val="18"/>
              </w:rPr>
            </w:pPr>
            <w:r w:rsidRPr="009E59D9">
              <w:rPr>
                <w:rFonts w:asciiTheme="minorHAnsi" w:hAnsiTheme="minorHAnsi"/>
                <w:sz w:val="18"/>
                <w:szCs w:val="18"/>
              </w:rPr>
              <w:t>D</w:t>
            </w:r>
          </w:p>
        </w:tc>
        <w:tc>
          <w:tcPr>
            <w:tcW w:w="3543" w:type="dxa"/>
            <w:gridSpan w:val="3"/>
            <w:tcBorders>
              <w:top w:val="single" w:sz="4" w:space="0" w:color="auto"/>
              <w:left w:val="single" w:sz="4" w:space="0" w:color="auto"/>
              <w:bottom w:val="single" w:sz="4" w:space="0" w:color="auto"/>
              <w:right w:val="single" w:sz="4" w:space="0" w:color="auto"/>
            </w:tcBorders>
          </w:tcPr>
          <w:p w:rsidR="00B83F88" w:rsidRDefault="00B83F88" w:rsidP="00B83F88">
            <w:pPr>
              <w:jc w:val="center"/>
              <w:rPr>
                <w:rFonts w:asciiTheme="minorHAnsi" w:hAnsiTheme="minorHAnsi"/>
                <w:sz w:val="18"/>
                <w:szCs w:val="18"/>
              </w:rPr>
            </w:pPr>
            <w:r w:rsidRPr="009E59D9">
              <w:rPr>
                <w:rFonts w:asciiTheme="minorHAnsi" w:hAnsiTheme="minorHAnsi"/>
                <w:sz w:val="18"/>
                <w:szCs w:val="18"/>
              </w:rPr>
              <w:t>Ubytek masy po badaniu: wartość średnia ≤ 1,0 kg/m2, przy czym każdy pojedynczy wynik &lt; 1,5 kg/m2</w:t>
            </w:r>
          </w:p>
          <w:p w:rsidR="00722F1D" w:rsidRPr="009E59D9" w:rsidRDefault="00722F1D" w:rsidP="00B83F88">
            <w:pPr>
              <w:jc w:val="center"/>
              <w:rPr>
                <w:rFonts w:asciiTheme="minorHAnsi" w:hAnsiTheme="minorHAnsi"/>
                <w:sz w:val="18"/>
                <w:szCs w:val="18"/>
              </w:rPr>
            </w:pPr>
          </w:p>
        </w:tc>
      </w:tr>
      <w:tr w:rsidR="00B83F88" w:rsidRPr="009E59D9" w:rsidTr="00180FC1">
        <w:tc>
          <w:tcPr>
            <w:tcW w:w="567" w:type="dxa"/>
            <w:tcBorders>
              <w:top w:val="single" w:sz="4" w:space="0" w:color="auto"/>
              <w:left w:val="single" w:sz="4" w:space="0" w:color="auto"/>
              <w:bottom w:val="single" w:sz="4" w:space="0" w:color="auto"/>
              <w:right w:val="single" w:sz="4" w:space="0" w:color="auto"/>
            </w:tcBorders>
          </w:tcPr>
          <w:p w:rsidR="00B83F88" w:rsidRPr="009E59D9" w:rsidRDefault="00B83F88" w:rsidP="00B83F88">
            <w:pPr>
              <w:jc w:val="center"/>
              <w:rPr>
                <w:rFonts w:asciiTheme="minorHAnsi" w:hAnsiTheme="minorHAnsi"/>
                <w:sz w:val="18"/>
                <w:szCs w:val="18"/>
              </w:rPr>
            </w:pPr>
            <w:r w:rsidRPr="009E59D9">
              <w:rPr>
                <w:rFonts w:asciiTheme="minorHAnsi" w:hAnsiTheme="minorHAnsi"/>
                <w:sz w:val="18"/>
                <w:szCs w:val="18"/>
              </w:rPr>
              <w:t>2.2</w:t>
            </w:r>
          </w:p>
        </w:tc>
        <w:tc>
          <w:tcPr>
            <w:tcW w:w="3685" w:type="dxa"/>
            <w:tcBorders>
              <w:top w:val="single" w:sz="4" w:space="0" w:color="auto"/>
              <w:left w:val="single" w:sz="4" w:space="0" w:color="auto"/>
              <w:bottom w:val="single" w:sz="4" w:space="0" w:color="auto"/>
              <w:right w:val="single" w:sz="4" w:space="0" w:color="auto"/>
            </w:tcBorders>
          </w:tcPr>
          <w:p w:rsidR="00B83F88" w:rsidRPr="009E59D9" w:rsidRDefault="00B83F88" w:rsidP="00B83F88">
            <w:pPr>
              <w:jc w:val="center"/>
              <w:rPr>
                <w:rFonts w:asciiTheme="minorHAnsi" w:hAnsiTheme="minorHAnsi"/>
                <w:sz w:val="18"/>
                <w:szCs w:val="18"/>
              </w:rPr>
            </w:pPr>
            <w:r w:rsidRPr="009E59D9">
              <w:rPr>
                <w:rFonts w:asciiTheme="minorHAnsi" w:hAnsiTheme="minorHAnsi"/>
                <w:sz w:val="18"/>
                <w:szCs w:val="18"/>
              </w:rPr>
              <w:t>Wytrzymałość na rozciąganie przy rozłupywaniu</w:t>
            </w:r>
          </w:p>
        </w:tc>
        <w:tc>
          <w:tcPr>
            <w:tcW w:w="992" w:type="dxa"/>
            <w:tcBorders>
              <w:top w:val="single" w:sz="4" w:space="0" w:color="auto"/>
              <w:left w:val="single" w:sz="4" w:space="0" w:color="auto"/>
              <w:bottom w:val="single" w:sz="4" w:space="0" w:color="auto"/>
              <w:right w:val="single" w:sz="4" w:space="0" w:color="auto"/>
            </w:tcBorders>
          </w:tcPr>
          <w:p w:rsidR="00B83F88" w:rsidRPr="009E59D9" w:rsidRDefault="00B83F88" w:rsidP="00B83F88">
            <w:pPr>
              <w:jc w:val="center"/>
              <w:rPr>
                <w:rFonts w:asciiTheme="minorHAnsi" w:hAnsiTheme="minorHAnsi"/>
                <w:sz w:val="18"/>
                <w:szCs w:val="18"/>
              </w:rPr>
            </w:pPr>
            <w:r w:rsidRPr="009E59D9">
              <w:rPr>
                <w:rFonts w:asciiTheme="minorHAnsi" w:hAnsiTheme="minorHAnsi"/>
                <w:sz w:val="18"/>
                <w:szCs w:val="18"/>
              </w:rPr>
              <w:t>F</w:t>
            </w:r>
          </w:p>
        </w:tc>
        <w:tc>
          <w:tcPr>
            <w:tcW w:w="3543" w:type="dxa"/>
            <w:gridSpan w:val="3"/>
            <w:tcBorders>
              <w:top w:val="single" w:sz="4" w:space="0" w:color="auto"/>
              <w:left w:val="single" w:sz="4" w:space="0" w:color="auto"/>
              <w:bottom w:val="single" w:sz="4" w:space="0" w:color="auto"/>
              <w:right w:val="single" w:sz="4" w:space="0" w:color="auto"/>
            </w:tcBorders>
          </w:tcPr>
          <w:p w:rsidR="00B83F88" w:rsidRPr="009E59D9" w:rsidRDefault="00B83F88" w:rsidP="00B83F88">
            <w:pPr>
              <w:jc w:val="center"/>
              <w:rPr>
                <w:rFonts w:asciiTheme="minorHAnsi" w:hAnsiTheme="minorHAnsi"/>
                <w:sz w:val="18"/>
                <w:szCs w:val="18"/>
              </w:rPr>
            </w:pPr>
            <w:r w:rsidRPr="009E59D9">
              <w:rPr>
                <w:rFonts w:asciiTheme="minorHAnsi" w:hAnsiTheme="minorHAnsi"/>
                <w:sz w:val="18"/>
                <w:szCs w:val="18"/>
              </w:rPr>
              <w:t>Wytrzymałość charakterystyczna T ≥ 3,6 MPa. Każdy pojedynczy wynik ≥ 2,9 MPa i nie powinien wykazywać obciążenia niszczącego mniejszego niż 250 N/mm długości rozłupania</w:t>
            </w:r>
          </w:p>
          <w:p w:rsidR="00B83F88" w:rsidRPr="009E59D9" w:rsidRDefault="00B83F88" w:rsidP="00B83F88">
            <w:pPr>
              <w:jc w:val="center"/>
              <w:rPr>
                <w:rFonts w:asciiTheme="minorHAnsi" w:hAnsiTheme="minorHAnsi"/>
                <w:sz w:val="18"/>
                <w:szCs w:val="18"/>
              </w:rPr>
            </w:pPr>
          </w:p>
        </w:tc>
      </w:tr>
      <w:tr w:rsidR="00B83F88" w:rsidRPr="009E59D9" w:rsidTr="00180FC1">
        <w:tc>
          <w:tcPr>
            <w:tcW w:w="567" w:type="dxa"/>
            <w:tcBorders>
              <w:top w:val="single" w:sz="4" w:space="0" w:color="auto"/>
              <w:left w:val="single" w:sz="4" w:space="0" w:color="auto"/>
              <w:bottom w:val="single" w:sz="4" w:space="0" w:color="auto"/>
              <w:right w:val="single" w:sz="4" w:space="0" w:color="auto"/>
            </w:tcBorders>
          </w:tcPr>
          <w:p w:rsidR="00B83F88" w:rsidRPr="009E59D9" w:rsidRDefault="00B83F88" w:rsidP="00B83F88">
            <w:pPr>
              <w:jc w:val="center"/>
              <w:rPr>
                <w:rFonts w:asciiTheme="minorHAnsi" w:hAnsiTheme="minorHAnsi"/>
                <w:sz w:val="18"/>
                <w:szCs w:val="18"/>
              </w:rPr>
            </w:pPr>
            <w:r w:rsidRPr="009E59D9">
              <w:rPr>
                <w:rFonts w:asciiTheme="minorHAnsi" w:hAnsiTheme="minorHAnsi"/>
                <w:sz w:val="18"/>
                <w:szCs w:val="18"/>
              </w:rPr>
              <w:t>2.3</w:t>
            </w:r>
          </w:p>
        </w:tc>
        <w:tc>
          <w:tcPr>
            <w:tcW w:w="3685" w:type="dxa"/>
            <w:tcBorders>
              <w:top w:val="single" w:sz="4" w:space="0" w:color="auto"/>
              <w:left w:val="single" w:sz="4" w:space="0" w:color="auto"/>
              <w:bottom w:val="single" w:sz="4" w:space="0" w:color="auto"/>
              <w:right w:val="single" w:sz="4" w:space="0" w:color="auto"/>
            </w:tcBorders>
          </w:tcPr>
          <w:p w:rsidR="00B83F88" w:rsidRPr="009E59D9" w:rsidRDefault="00B83F88" w:rsidP="00B83F88">
            <w:pPr>
              <w:jc w:val="center"/>
              <w:rPr>
                <w:rFonts w:asciiTheme="minorHAnsi" w:hAnsiTheme="minorHAnsi"/>
                <w:sz w:val="18"/>
                <w:szCs w:val="18"/>
              </w:rPr>
            </w:pPr>
            <w:r w:rsidRPr="009E59D9">
              <w:rPr>
                <w:rFonts w:asciiTheme="minorHAnsi" w:hAnsiTheme="minorHAnsi"/>
                <w:sz w:val="18"/>
                <w:szCs w:val="18"/>
              </w:rPr>
              <w:t>Trwałość   (ze względu na wytrzymałość)</w:t>
            </w:r>
          </w:p>
        </w:tc>
        <w:tc>
          <w:tcPr>
            <w:tcW w:w="992" w:type="dxa"/>
            <w:tcBorders>
              <w:top w:val="single" w:sz="4" w:space="0" w:color="auto"/>
              <w:left w:val="single" w:sz="4" w:space="0" w:color="auto"/>
              <w:bottom w:val="single" w:sz="4" w:space="0" w:color="auto"/>
              <w:right w:val="single" w:sz="4" w:space="0" w:color="auto"/>
            </w:tcBorders>
          </w:tcPr>
          <w:p w:rsidR="00B83F88" w:rsidRPr="009E59D9" w:rsidRDefault="00B83F88" w:rsidP="00B83F88">
            <w:pPr>
              <w:jc w:val="center"/>
              <w:rPr>
                <w:rFonts w:asciiTheme="minorHAnsi" w:hAnsiTheme="minorHAnsi"/>
                <w:sz w:val="18"/>
                <w:szCs w:val="18"/>
              </w:rPr>
            </w:pPr>
            <w:r w:rsidRPr="009E59D9">
              <w:rPr>
                <w:rFonts w:asciiTheme="minorHAnsi" w:hAnsiTheme="minorHAnsi"/>
                <w:sz w:val="18"/>
                <w:szCs w:val="18"/>
              </w:rPr>
              <w:t>F</w:t>
            </w:r>
          </w:p>
        </w:tc>
        <w:tc>
          <w:tcPr>
            <w:tcW w:w="3543" w:type="dxa"/>
            <w:gridSpan w:val="3"/>
            <w:tcBorders>
              <w:top w:val="single" w:sz="4" w:space="0" w:color="auto"/>
              <w:left w:val="single" w:sz="4" w:space="0" w:color="auto"/>
              <w:bottom w:val="single" w:sz="4" w:space="0" w:color="auto"/>
              <w:right w:val="single" w:sz="4" w:space="0" w:color="auto"/>
            </w:tcBorders>
          </w:tcPr>
          <w:p w:rsidR="00B83F88" w:rsidRPr="009E59D9" w:rsidRDefault="00B83F88" w:rsidP="00B83F88">
            <w:pPr>
              <w:jc w:val="center"/>
              <w:rPr>
                <w:rFonts w:asciiTheme="minorHAnsi" w:hAnsiTheme="minorHAnsi"/>
                <w:sz w:val="18"/>
                <w:szCs w:val="18"/>
              </w:rPr>
            </w:pPr>
            <w:r w:rsidRPr="009E59D9">
              <w:rPr>
                <w:rFonts w:asciiTheme="minorHAnsi" w:hAnsiTheme="minorHAnsi"/>
                <w:sz w:val="18"/>
                <w:szCs w:val="18"/>
              </w:rPr>
              <w:t>Kostki mają zadawalającą trwałość (wytrzymałość) jeśli spełnione są wymagania pktu 2.2 oraz istnieje normalna konserwacja</w:t>
            </w:r>
          </w:p>
        </w:tc>
      </w:tr>
      <w:tr w:rsidR="00B83F88" w:rsidRPr="009E59D9" w:rsidTr="00180FC1">
        <w:trPr>
          <w:trHeight w:val="375"/>
        </w:trPr>
        <w:tc>
          <w:tcPr>
            <w:tcW w:w="567" w:type="dxa"/>
            <w:tcBorders>
              <w:top w:val="single" w:sz="4" w:space="0" w:color="auto"/>
              <w:left w:val="single" w:sz="4" w:space="0" w:color="auto"/>
              <w:right w:val="single" w:sz="4" w:space="0" w:color="auto"/>
            </w:tcBorders>
          </w:tcPr>
          <w:p w:rsidR="00B83F88" w:rsidRPr="009E59D9" w:rsidRDefault="00B83F88" w:rsidP="00B83F88">
            <w:pPr>
              <w:jc w:val="center"/>
              <w:rPr>
                <w:rFonts w:asciiTheme="minorHAnsi" w:hAnsiTheme="minorHAnsi"/>
                <w:sz w:val="18"/>
                <w:szCs w:val="18"/>
              </w:rPr>
            </w:pPr>
            <w:r w:rsidRPr="009E59D9">
              <w:rPr>
                <w:rFonts w:asciiTheme="minorHAnsi" w:hAnsiTheme="minorHAnsi"/>
                <w:sz w:val="18"/>
                <w:szCs w:val="18"/>
              </w:rPr>
              <w:t>2.4</w:t>
            </w:r>
          </w:p>
        </w:tc>
        <w:tc>
          <w:tcPr>
            <w:tcW w:w="3685" w:type="dxa"/>
            <w:tcBorders>
              <w:top w:val="single" w:sz="4" w:space="0" w:color="auto"/>
              <w:left w:val="single" w:sz="4" w:space="0" w:color="auto"/>
              <w:right w:val="single" w:sz="4" w:space="0" w:color="auto"/>
            </w:tcBorders>
          </w:tcPr>
          <w:p w:rsidR="00B83F88" w:rsidRPr="009E59D9" w:rsidRDefault="00B83F88" w:rsidP="00B83F88">
            <w:pPr>
              <w:jc w:val="center"/>
              <w:rPr>
                <w:rFonts w:asciiTheme="minorHAnsi" w:hAnsiTheme="minorHAnsi"/>
                <w:sz w:val="18"/>
                <w:szCs w:val="18"/>
              </w:rPr>
            </w:pPr>
            <w:r w:rsidRPr="009E59D9">
              <w:rPr>
                <w:rFonts w:asciiTheme="minorHAnsi" w:hAnsiTheme="minorHAnsi"/>
                <w:sz w:val="18"/>
                <w:szCs w:val="18"/>
              </w:rPr>
              <w:t>Odporność na ścieranie (wg klasy 3</w:t>
            </w:r>
          </w:p>
        </w:tc>
        <w:tc>
          <w:tcPr>
            <w:tcW w:w="992" w:type="dxa"/>
            <w:tcBorders>
              <w:top w:val="single" w:sz="4" w:space="0" w:color="auto"/>
              <w:left w:val="single" w:sz="4" w:space="0" w:color="auto"/>
              <w:right w:val="single" w:sz="4" w:space="0" w:color="auto"/>
            </w:tcBorders>
          </w:tcPr>
          <w:p w:rsidR="00B83F88" w:rsidRPr="009E59D9" w:rsidRDefault="00B83F88" w:rsidP="00B83F88">
            <w:pPr>
              <w:jc w:val="center"/>
              <w:rPr>
                <w:rFonts w:asciiTheme="minorHAnsi" w:hAnsiTheme="minorHAnsi"/>
                <w:sz w:val="18"/>
                <w:szCs w:val="18"/>
              </w:rPr>
            </w:pPr>
            <w:r w:rsidRPr="009E59D9">
              <w:rPr>
                <w:rFonts w:asciiTheme="minorHAnsi" w:hAnsiTheme="minorHAnsi"/>
                <w:sz w:val="18"/>
                <w:szCs w:val="18"/>
              </w:rPr>
              <w:t>G i H</w:t>
            </w:r>
          </w:p>
        </w:tc>
        <w:tc>
          <w:tcPr>
            <w:tcW w:w="3543" w:type="dxa"/>
            <w:gridSpan w:val="3"/>
            <w:tcBorders>
              <w:top w:val="single" w:sz="4" w:space="0" w:color="auto"/>
              <w:left w:val="single" w:sz="4" w:space="0" w:color="auto"/>
              <w:bottom w:val="single" w:sz="4" w:space="0" w:color="auto"/>
              <w:right w:val="single" w:sz="4" w:space="0" w:color="auto"/>
            </w:tcBorders>
            <w:shd w:val="clear" w:color="auto" w:fill="auto"/>
          </w:tcPr>
          <w:p w:rsidR="00B83F88" w:rsidRPr="009E59D9" w:rsidRDefault="00B83F88" w:rsidP="00B83F88">
            <w:pPr>
              <w:jc w:val="center"/>
              <w:rPr>
                <w:rFonts w:asciiTheme="minorHAnsi" w:hAnsiTheme="minorHAnsi"/>
                <w:sz w:val="18"/>
                <w:szCs w:val="18"/>
              </w:rPr>
            </w:pPr>
            <w:r w:rsidRPr="009E59D9">
              <w:rPr>
                <w:rFonts w:asciiTheme="minorHAnsi" w:hAnsiTheme="minorHAnsi"/>
                <w:sz w:val="18"/>
                <w:szCs w:val="18"/>
              </w:rPr>
              <w:t>Pomiar wykonany na tarczy</w:t>
            </w:r>
          </w:p>
        </w:tc>
      </w:tr>
      <w:tr w:rsidR="00B83F88" w:rsidRPr="009E59D9" w:rsidTr="00180FC1">
        <w:tc>
          <w:tcPr>
            <w:tcW w:w="567" w:type="dxa"/>
            <w:tcBorders>
              <w:left w:val="single" w:sz="4" w:space="0" w:color="auto"/>
              <w:right w:val="single" w:sz="4" w:space="0" w:color="auto"/>
            </w:tcBorders>
          </w:tcPr>
          <w:p w:rsidR="00B83F88" w:rsidRPr="009E59D9" w:rsidRDefault="00B83F88" w:rsidP="00B83F88">
            <w:pPr>
              <w:jc w:val="center"/>
              <w:rPr>
                <w:rFonts w:asciiTheme="minorHAnsi" w:hAnsiTheme="minorHAnsi"/>
                <w:sz w:val="18"/>
                <w:szCs w:val="18"/>
              </w:rPr>
            </w:pPr>
          </w:p>
        </w:tc>
        <w:tc>
          <w:tcPr>
            <w:tcW w:w="3685" w:type="dxa"/>
            <w:tcBorders>
              <w:left w:val="single" w:sz="4" w:space="0" w:color="auto"/>
              <w:right w:val="single" w:sz="4" w:space="0" w:color="auto"/>
            </w:tcBorders>
          </w:tcPr>
          <w:p w:rsidR="00B83F88" w:rsidRPr="009E59D9" w:rsidRDefault="00B83F88" w:rsidP="00B83F88">
            <w:pPr>
              <w:jc w:val="center"/>
              <w:rPr>
                <w:rFonts w:asciiTheme="minorHAnsi" w:hAnsiTheme="minorHAnsi"/>
                <w:sz w:val="18"/>
                <w:szCs w:val="18"/>
              </w:rPr>
            </w:pPr>
            <w:r w:rsidRPr="009E59D9">
              <w:rPr>
                <w:rFonts w:asciiTheme="minorHAnsi" w:hAnsiTheme="minorHAnsi"/>
                <w:sz w:val="18"/>
                <w:szCs w:val="18"/>
              </w:rPr>
              <w:t>oznaczenia H normy)</w:t>
            </w:r>
          </w:p>
        </w:tc>
        <w:tc>
          <w:tcPr>
            <w:tcW w:w="992" w:type="dxa"/>
            <w:tcBorders>
              <w:left w:val="single" w:sz="4" w:space="0" w:color="auto"/>
              <w:right w:val="single" w:sz="4" w:space="0" w:color="auto"/>
            </w:tcBorders>
          </w:tcPr>
          <w:p w:rsidR="00B83F88" w:rsidRPr="009E59D9" w:rsidRDefault="00B83F88" w:rsidP="00B83F88">
            <w:pPr>
              <w:jc w:val="center"/>
              <w:rPr>
                <w:rFonts w:asciiTheme="minorHAnsi" w:hAnsiTheme="minorHAnsi"/>
                <w:sz w:val="18"/>
                <w:szCs w:val="18"/>
              </w:rPr>
            </w:pPr>
          </w:p>
        </w:tc>
        <w:tc>
          <w:tcPr>
            <w:tcW w:w="1700" w:type="dxa"/>
            <w:tcBorders>
              <w:top w:val="single" w:sz="4" w:space="0" w:color="auto"/>
              <w:left w:val="single" w:sz="4" w:space="0" w:color="auto"/>
              <w:bottom w:val="single" w:sz="4" w:space="0" w:color="auto"/>
              <w:right w:val="single" w:sz="4" w:space="0" w:color="auto"/>
            </w:tcBorders>
            <w:shd w:val="clear" w:color="auto" w:fill="auto"/>
          </w:tcPr>
          <w:p w:rsidR="00B83F88" w:rsidRPr="009E59D9" w:rsidRDefault="00B83F88" w:rsidP="00B83F88">
            <w:pPr>
              <w:jc w:val="center"/>
              <w:rPr>
                <w:rFonts w:asciiTheme="minorHAnsi" w:hAnsiTheme="minorHAnsi"/>
                <w:sz w:val="18"/>
                <w:szCs w:val="18"/>
              </w:rPr>
            </w:pPr>
            <w:r w:rsidRPr="009E59D9">
              <w:rPr>
                <w:rFonts w:asciiTheme="minorHAnsi" w:hAnsiTheme="minorHAnsi"/>
                <w:sz w:val="18"/>
                <w:szCs w:val="18"/>
              </w:rPr>
              <w:t>szerokiej ściernej,              wg zał. G normy – badanie podstawowe</w:t>
            </w:r>
          </w:p>
        </w:tc>
        <w:tc>
          <w:tcPr>
            <w:tcW w:w="1843" w:type="dxa"/>
            <w:gridSpan w:val="2"/>
            <w:tcBorders>
              <w:top w:val="single" w:sz="4" w:space="0" w:color="auto"/>
              <w:left w:val="single" w:sz="4" w:space="0" w:color="auto"/>
              <w:bottom w:val="single" w:sz="4" w:space="0" w:color="auto"/>
              <w:right w:val="single" w:sz="4" w:space="0" w:color="auto"/>
            </w:tcBorders>
            <w:shd w:val="clear" w:color="auto" w:fill="auto"/>
          </w:tcPr>
          <w:p w:rsidR="00B83F88" w:rsidRPr="009E59D9" w:rsidRDefault="00B83F88" w:rsidP="00B83F88">
            <w:pPr>
              <w:jc w:val="center"/>
              <w:rPr>
                <w:rFonts w:asciiTheme="minorHAnsi" w:hAnsiTheme="minorHAnsi"/>
                <w:sz w:val="18"/>
                <w:szCs w:val="18"/>
              </w:rPr>
            </w:pPr>
            <w:r w:rsidRPr="009E59D9">
              <w:rPr>
                <w:rFonts w:asciiTheme="minorHAnsi" w:hAnsiTheme="minorHAnsi"/>
                <w:sz w:val="18"/>
                <w:szCs w:val="18"/>
              </w:rPr>
              <w:t>Böhmego,</w:t>
            </w:r>
          </w:p>
          <w:p w:rsidR="00B83F88" w:rsidRPr="009E59D9" w:rsidRDefault="00B83F88" w:rsidP="00B83F88">
            <w:pPr>
              <w:jc w:val="center"/>
              <w:rPr>
                <w:rFonts w:asciiTheme="minorHAnsi" w:hAnsiTheme="minorHAnsi"/>
                <w:sz w:val="18"/>
                <w:szCs w:val="18"/>
              </w:rPr>
            </w:pPr>
            <w:r w:rsidRPr="009E59D9">
              <w:rPr>
                <w:rFonts w:asciiTheme="minorHAnsi" w:hAnsiTheme="minorHAnsi"/>
                <w:sz w:val="18"/>
                <w:szCs w:val="18"/>
              </w:rPr>
              <w:t>wg zał. H mormy – badanie alternatywne</w:t>
            </w:r>
          </w:p>
        </w:tc>
      </w:tr>
      <w:tr w:rsidR="00B83F88" w:rsidRPr="009E59D9" w:rsidTr="00180FC1">
        <w:trPr>
          <w:trHeight w:val="662"/>
        </w:trPr>
        <w:tc>
          <w:tcPr>
            <w:tcW w:w="567" w:type="dxa"/>
            <w:tcBorders>
              <w:left w:val="single" w:sz="4" w:space="0" w:color="auto"/>
              <w:bottom w:val="single" w:sz="4" w:space="0" w:color="auto"/>
              <w:right w:val="single" w:sz="4" w:space="0" w:color="auto"/>
            </w:tcBorders>
          </w:tcPr>
          <w:p w:rsidR="00B83F88" w:rsidRPr="009E59D9" w:rsidRDefault="00B83F88" w:rsidP="00B83F88">
            <w:pPr>
              <w:jc w:val="center"/>
              <w:rPr>
                <w:rFonts w:asciiTheme="minorHAnsi" w:hAnsiTheme="minorHAnsi"/>
                <w:sz w:val="18"/>
                <w:szCs w:val="18"/>
              </w:rPr>
            </w:pPr>
          </w:p>
        </w:tc>
        <w:tc>
          <w:tcPr>
            <w:tcW w:w="3685" w:type="dxa"/>
            <w:tcBorders>
              <w:left w:val="single" w:sz="4" w:space="0" w:color="auto"/>
              <w:bottom w:val="single" w:sz="4" w:space="0" w:color="auto"/>
              <w:right w:val="single" w:sz="4" w:space="0" w:color="auto"/>
            </w:tcBorders>
          </w:tcPr>
          <w:p w:rsidR="00B83F88" w:rsidRPr="009E59D9" w:rsidRDefault="00B83F88" w:rsidP="00B83F88">
            <w:pPr>
              <w:jc w:val="center"/>
              <w:rPr>
                <w:rFonts w:asciiTheme="minorHAnsi" w:hAnsiTheme="minorHAnsi"/>
                <w:sz w:val="18"/>
                <w:szCs w:val="18"/>
              </w:rPr>
            </w:pPr>
          </w:p>
        </w:tc>
        <w:tc>
          <w:tcPr>
            <w:tcW w:w="992" w:type="dxa"/>
            <w:tcBorders>
              <w:left w:val="single" w:sz="4" w:space="0" w:color="auto"/>
              <w:bottom w:val="single" w:sz="4" w:space="0" w:color="auto"/>
              <w:right w:val="single" w:sz="4" w:space="0" w:color="auto"/>
            </w:tcBorders>
          </w:tcPr>
          <w:p w:rsidR="00B83F88" w:rsidRPr="009E59D9" w:rsidRDefault="00B83F88" w:rsidP="00B83F88">
            <w:pPr>
              <w:jc w:val="center"/>
              <w:rPr>
                <w:rFonts w:asciiTheme="minorHAnsi" w:hAnsiTheme="minorHAnsi"/>
                <w:sz w:val="18"/>
                <w:szCs w:val="18"/>
              </w:rPr>
            </w:pPr>
          </w:p>
        </w:tc>
        <w:tc>
          <w:tcPr>
            <w:tcW w:w="1700" w:type="dxa"/>
            <w:tcBorders>
              <w:top w:val="single" w:sz="4" w:space="0" w:color="auto"/>
              <w:left w:val="single" w:sz="4" w:space="0" w:color="auto"/>
              <w:bottom w:val="single" w:sz="4" w:space="0" w:color="auto"/>
              <w:right w:val="single" w:sz="4" w:space="0" w:color="auto"/>
            </w:tcBorders>
            <w:shd w:val="clear" w:color="auto" w:fill="auto"/>
          </w:tcPr>
          <w:p w:rsidR="00B83F88" w:rsidRPr="009E59D9" w:rsidRDefault="00B83F88" w:rsidP="00B83F88">
            <w:pPr>
              <w:jc w:val="center"/>
              <w:rPr>
                <w:rFonts w:asciiTheme="minorHAnsi" w:hAnsiTheme="minorHAnsi"/>
                <w:sz w:val="18"/>
                <w:szCs w:val="18"/>
              </w:rPr>
            </w:pPr>
            <w:r w:rsidRPr="009E59D9">
              <w:rPr>
                <w:rFonts w:asciiTheme="minorHAnsi" w:hAnsiTheme="minorHAnsi"/>
                <w:sz w:val="18"/>
                <w:szCs w:val="18"/>
              </w:rPr>
              <w:t xml:space="preserve">≤ </w:t>
            </w:r>
            <w:smartTag w:uri="urn:schemas-microsoft-com:office:smarttags" w:element="metricconverter">
              <w:smartTagPr>
                <w:attr w:name="ProductID" w:val="23 mm"/>
              </w:smartTagPr>
              <w:r w:rsidRPr="009E59D9">
                <w:rPr>
                  <w:rFonts w:asciiTheme="minorHAnsi" w:hAnsiTheme="minorHAnsi"/>
                  <w:sz w:val="18"/>
                  <w:szCs w:val="18"/>
                </w:rPr>
                <w:t>23 mm</w:t>
              </w:r>
            </w:smartTag>
          </w:p>
        </w:tc>
        <w:tc>
          <w:tcPr>
            <w:tcW w:w="1843" w:type="dxa"/>
            <w:gridSpan w:val="2"/>
            <w:tcBorders>
              <w:top w:val="single" w:sz="4" w:space="0" w:color="auto"/>
              <w:left w:val="single" w:sz="4" w:space="0" w:color="auto"/>
              <w:bottom w:val="single" w:sz="4" w:space="0" w:color="auto"/>
              <w:right w:val="single" w:sz="4" w:space="0" w:color="auto"/>
            </w:tcBorders>
            <w:shd w:val="clear" w:color="auto" w:fill="auto"/>
          </w:tcPr>
          <w:p w:rsidR="00B83F88" w:rsidRPr="009E59D9" w:rsidRDefault="00B83F88" w:rsidP="00B83F88">
            <w:pPr>
              <w:jc w:val="center"/>
              <w:rPr>
                <w:rFonts w:asciiTheme="minorHAnsi" w:hAnsiTheme="minorHAnsi"/>
                <w:sz w:val="18"/>
                <w:szCs w:val="18"/>
              </w:rPr>
            </w:pPr>
            <w:r w:rsidRPr="009E59D9">
              <w:rPr>
                <w:rFonts w:asciiTheme="minorHAnsi" w:hAnsiTheme="minorHAnsi"/>
                <w:sz w:val="18"/>
                <w:szCs w:val="18"/>
              </w:rPr>
              <w:t>≤20 000mm3/5000 mm2</w:t>
            </w:r>
          </w:p>
        </w:tc>
      </w:tr>
      <w:tr w:rsidR="00B83F88" w:rsidRPr="009E59D9" w:rsidTr="00180FC1">
        <w:tc>
          <w:tcPr>
            <w:tcW w:w="567" w:type="dxa"/>
            <w:tcBorders>
              <w:top w:val="single" w:sz="4" w:space="0" w:color="auto"/>
              <w:left w:val="single" w:sz="4" w:space="0" w:color="auto"/>
              <w:bottom w:val="single" w:sz="4" w:space="0" w:color="auto"/>
              <w:right w:val="single" w:sz="4" w:space="0" w:color="auto"/>
            </w:tcBorders>
          </w:tcPr>
          <w:p w:rsidR="00B83F88" w:rsidRPr="009E59D9" w:rsidRDefault="00B83F88" w:rsidP="00B83F88">
            <w:pPr>
              <w:jc w:val="center"/>
              <w:rPr>
                <w:rFonts w:asciiTheme="minorHAnsi" w:hAnsiTheme="minorHAnsi"/>
                <w:sz w:val="18"/>
                <w:szCs w:val="18"/>
              </w:rPr>
            </w:pPr>
            <w:r w:rsidRPr="009E59D9">
              <w:rPr>
                <w:rFonts w:asciiTheme="minorHAnsi" w:hAnsiTheme="minorHAnsi"/>
                <w:sz w:val="18"/>
                <w:szCs w:val="18"/>
              </w:rPr>
              <w:t>2.5</w:t>
            </w:r>
          </w:p>
        </w:tc>
        <w:tc>
          <w:tcPr>
            <w:tcW w:w="3685" w:type="dxa"/>
            <w:tcBorders>
              <w:top w:val="single" w:sz="4" w:space="0" w:color="auto"/>
              <w:left w:val="single" w:sz="4" w:space="0" w:color="auto"/>
              <w:bottom w:val="single" w:sz="4" w:space="0" w:color="auto"/>
              <w:right w:val="single" w:sz="4" w:space="0" w:color="auto"/>
            </w:tcBorders>
          </w:tcPr>
          <w:p w:rsidR="00B83F88" w:rsidRPr="009E59D9" w:rsidRDefault="00B83F88" w:rsidP="00B83F88">
            <w:pPr>
              <w:jc w:val="center"/>
              <w:rPr>
                <w:rFonts w:asciiTheme="minorHAnsi" w:hAnsiTheme="minorHAnsi"/>
                <w:sz w:val="18"/>
                <w:szCs w:val="18"/>
              </w:rPr>
            </w:pPr>
            <w:r w:rsidRPr="009E59D9">
              <w:rPr>
                <w:rFonts w:asciiTheme="minorHAnsi" w:hAnsiTheme="minorHAnsi"/>
                <w:sz w:val="18"/>
                <w:szCs w:val="18"/>
              </w:rPr>
              <w:t>Odporność na poślizg/poślizgnięcie</w:t>
            </w:r>
          </w:p>
        </w:tc>
        <w:tc>
          <w:tcPr>
            <w:tcW w:w="992" w:type="dxa"/>
            <w:tcBorders>
              <w:top w:val="single" w:sz="4" w:space="0" w:color="auto"/>
              <w:left w:val="single" w:sz="4" w:space="0" w:color="auto"/>
              <w:bottom w:val="single" w:sz="4" w:space="0" w:color="auto"/>
              <w:right w:val="single" w:sz="4" w:space="0" w:color="auto"/>
            </w:tcBorders>
          </w:tcPr>
          <w:p w:rsidR="00B83F88" w:rsidRPr="009E59D9" w:rsidRDefault="00B83F88" w:rsidP="00B83F88">
            <w:pPr>
              <w:jc w:val="center"/>
              <w:rPr>
                <w:rFonts w:asciiTheme="minorHAnsi" w:hAnsiTheme="minorHAnsi"/>
                <w:sz w:val="18"/>
                <w:szCs w:val="18"/>
              </w:rPr>
            </w:pPr>
            <w:r w:rsidRPr="009E59D9">
              <w:rPr>
                <w:rFonts w:asciiTheme="minorHAnsi" w:hAnsiTheme="minorHAnsi"/>
                <w:sz w:val="18"/>
                <w:szCs w:val="18"/>
              </w:rPr>
              <w:t>I</w:t>
            </w:r>
          </w:p>
        </w:tc>
        <w:tc>
          <w:tcPr>
            <w:tcW w:w="3543" w:type="dxa"/>
            <w:gridSpan w:val="3"/>
            <w:tcBorders>
              <w:top w:val="single" w:sz="4" w:space="0" w:color="auto"/>
              <w:left w:val="single" w:sz="4" w:space="0" w:color="auto"/>
              <w:bottom w:val="single" w:sz="4" w:space="0" w:color="auto"/>
              <w:right w:val="single" w:sz="4" w:space="0" w:color="auto"/>
            </w:tcBorders>
          </w:tcPr>
          <w:p w:rsidR="00B83F88" w:rsidRPr="009E59D9" w:rsidRDefault="00B83F88" w:rsidP="00B83F88">
            <w:pPr>
              <w:jc w:val="center"/>
              <w:rPr>
                <w:rFonts w:asciiTheme="minorHAnsi" w:hAnsiTheme="minorHAnsi"/>
                <w:sz w:val="18"/>
                <w:szCs w:val="18"/>
              </w:rPr>
            </w:pPr>
            <w:r w:rsidRPr="009E59D9">
              <w:rPr>
                <w:rFonts w:asciiTheme="minorHAnsi" w:hAnsiTheme="minorHAnsi"/>
                <w:sz w:val="18"/>
                <w:szCs w:val="18"/>
              </w:rPr>
              <w:t>jeśli górna powierzchnia kostki nie była szlifowana lub polerowana – zadawalająca odporność,</w:t>
            </w:r>
          </w:p>
          <w:p w:rsidR="00B83F88" w:rsidRDefault="00B83F88" w:rsidP="00B83F88">
            <w:pPr>
              <w:jc w:val="center"/>
              <w:rPr>
                <w:rFonts w:asciiTheme="minorHAnsi" w:hAnsiTheme="minorHAnsi"/>
                <w:sz w:val="18"/>
                <w:szCs w:val="18"/>
              </w:rPr>
            </w:pPr>
            <w:r w:rsidRPr="009E59D9">
              <w:rPr>
                <w:rFonts w:asciiTheme="minorHAnsi" w:hAnsiTheme="minorHAnsi"/>
                <w:sz w:val="18"/>
                <w:szCs w:val="18"/>
              </w:rPr>
              <w:t>jeśli wyjątkowo wymaga się podania wartości odporności na poślizg/poślizgnięcie – należy zadeklarować minimalną jej wartość pomierzoną wg zał. I normy (wahadłowym przyrządem do badania tarcia)</w:t>
            </w:r>
          </w:p>
          <w:p w:rsidR="00722F1D" w:rsidRPr="009E59D9" w:rsidRDefault="00722F1D" w:rsidP="00B83F88">
            <w:pPr>
              <w:jc w:val="center"/>
              <w:rPr>
                <w:rFonts w:asciiTheme="minorHAnsi" w:hAnsiTheme="minorHAnsi"/>
                <w:sz w:val="18"/>
                <w:szCs w:val="18"/>
              </w:rPr>
            </w:pPr>
          </w:p>
        </w:tc>
      </w:tr>
      <w:tr w:rsidR="00B83F88" w:rsidRPr="009E59D9" w:rsidTr="00180FC1">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512"/>
        </w:trPr>
        <w:tc>
          <w:tcPr>
            <w:tcW w:w="567" w:type="dxa"/>
            <w:tcBorders>
              <w:top w:val="single" w:sz="4" w:space="0" w:color="auto"/>
              <w:left w:val="single" w:sz="4" w:space="0" w:color="auto"/>
              <w:bottom w:val="single" w:sz="4" w:space="0" w:color="auto"/>
              <w:right w:val="single" w:sz="4" w:space="0" w:color="auto"/>
            </w:tcBorders>
          </w:tcPr>
          <w:p w:rsidR="00B83F88" w:rsidRPr="009E59D9" w:rsidRDefault="00B83F88" w:rsidP="00B83F88">
            <w:pPr>
              <w:jc w:val="center"/>
              <w:rPr>
                <w:rFonts w:asciiTheme="minorHAnsi" w:hAnsiTheme="minorHAnsi"/>
                <w:sz w:val="18"/>
                <w:szCs w:val="18"/>
              </w:rPr>
            </w:pPr>
            <w:r w:rsidRPr="009E59D9">
              <w:rPr>
                <w:rFonts w:asciiTheme="minorHAnsi" w:hAnsiTheme="minorHAnsi"/>
                <w:sz w:val="18"/>
                <w:szCs w:val="18"/>
              </w:rPr>
              <w:t>3</w:t>
            </w:r>
          </w:p>
        </w:tc>
        <w:tc>
          <w:tcPr>
            <w:tcW w:w="8220" w:type="dxa"/>
            <w:gridSpan w:val="5"/>
            <w:tcBorders>
              <w:top w:val="single" w:sz="4" w:space="0" w:color="auto"/>
              <w:left w:val="single" w:sz="4" w:space="0" w:color="auto"/>
              <w:bottom w:val="single" w:sz="4" w:space="0" w:color="auto"/>
              <w:right w:val="single" w:sz="4" w:space="0" w:color="auto"/>
            </w:tcBorders>
          </w:tcPr>
          <w:p w:rsidR="00B83F88" w:rsidRPr="009E59D9" w:rsidRDefault="00B83F88" w:rsidP="00B83F88">
            <w:pPr>
              <w:jc w:val="center"/>
              <w:rPr>
                <w:rFonts w:asciiTheme="minorHAnsi" w:hAnsiTheme="minorHAnsi"/>
                <w:b/>
                <w:sz w:val="18"/>
                <w:szCs w:val="18"/>
              </w:rPr>
            </w:pPr>
            <w:r w:rsidRPr="009E59D9">
              <w:rPr>
                <w:rFonts w:asciiTheme="minorHAnsi" w:hAnsiTheme="minorHAnsi"/>
                <w:b/>
                <w:sz w:val="18"/>
                <w:szCs w:val="18"/>
              </w:rPr>
              <w:t>Aspekty wizualne</w:t>
            </w:r>
          </w:p>
        </w:tc>
      </w:tr>
      <w:tr w:rsidR="00B83F88" w:rsidRPr="009E59D9" w:rsidTr="00180FC1">
        <w:tc>
          <w:tcPr>
            <w:tcW w:w="567" w:type="dxa"/>
            <w:tcBorders>
              <w:top w:val="single" w:sz="4" w:space="0" w:color="auto"/>
              <w:left w:val="single" w:sz="4" w:space="0" w:color="auto"/>
              <w:bottom w:val="single" w:sz="4" w:space="0" w:color="auto"/>
              <w:right w:val="single" w:sz="4" w:space="0" w:color="auto"/>
            </w:tcBorders>
          </w:tcPr>
          <w:p w:rsidR="00B83F88" w:rsidRPr="009E59D9" w:rsidRDefault="00B83F88" w:rsidP="00B83F88">
            <w:pPr>
              <w:jc w:val="center"/>
              <w:rPr>
                <w:rFonts w:asciiTheme="minorHAnsi" w:hAnsiTheme="minorHAnsi"/>
                <w:sz w:val="18"/>
                <w:szCs w:val="18"/>
              </w:rPr>
            </w:pPr>
            <w:r w:rsidRPr="009E59D9">
              <w:rPr>
                <w:rFonts w:asciiTheme="minorHAnsi" w:hAnsiTheme="minorHAnsi"/>
                <w:sz w:val="18"/>
                <w:szCs w:val="18"/>
              </w:rPr>
              <w:t>3.1</w:t>
            </w:r>
          </w:p>
        </w:tc>
        <w:tc>
          <w:tcPr>
            <w:tcW w:w="3685" w:type="dxa"/>
            <w:tcBorders>
              <w:top w:val="single" w:sz="4" w:space="0" w:color="auto"/>
              <w:left w:val="single" w:sz="4" w:space="0" w:color="auto"/>
              <w:bottom w:val="single" w:sz="4" w:space="0" w:color="auto"/>
              <w:right w:val="single" w:sz="4" w:space="0" w:color="auto"/>
            </w:tcBorders>
          </w:tcPr>
          <w:p w:rsidR="00B83F88" w:rsidRPr="009E59D9" w:rsidRDefault="00B83F88" w:rsidP="00B83F88">
            <w:pPr>
              <w:jc w:val="center"/>
              <w:rPr>
                <w:rFonts w:asciiTheme="minorHAnsi" w:hAnsiTheme="minorHAnsi"/>
                <w:sz w:val="18"/>
                <w:szCs w:val="18"/>
              </w:rPr>
            </w:pPr>
            <w:r w:rsidRPr="009E59D9">
              <w:rPr>
                <w:rFonts w:asciiTheme="minorHAnsi" w:hAnsiTheme="minorHAnsi"/>
                <w:sz w:val="18"/>
                <w:szCs w:val="18"/>
              </w:rPr>
              <w:t>Wygląd</w:t>
            </w:r>
          </w:p>
        </w:tc>
        <w:tc>
          <w:tcPr>
            <w:tcW w:w="992" w:type="dxa"/>
            <w:tcBorders>
              <w:top w:val="single" w:sz="4" w:space="0" w:color="auto"/>
              <w:left w:val="single" w:sz="4" w:space="0" w:color="auto"/>
              <w:bottom w:val="single" w:sz="4" w:space="0" w:color="auto"/>
              <w:right w:val="single" w:sz="4" w:space="0" w:color="auto"/>
            </w:tcBorders>
          </w:tcPr>
          <w:p w:rsidR="00B83F88" w:rsidRPr="009E59D9" w:rsidRDefault="00B83F88" w:rsidP="00B83F88">
            <w:pPr>
              <w:jc w:val="center"/>
              <w:rPr>
                <w:rFonts w:asciiTheme="minorHAnsi" w:hAnsiTheme="minorHAnsi"/>
                <w:sz w:val="18"/>
                <w:szCs w:val="18"/>
              </w:rPr>
            </w:pPr>
            <w:r w:rsidRPr="009E59D9">
              <w:rPr>
                <w:rFonts w:asciiTheme="minorHAnsi" w:hAnsiTheme="minorHAnsi"/>
                <w:sz w:val="18"/>
                <w:szCs w:val="18"/>
              </w:rPr>
              <w:t>J</w:t>
            </w:r>
          </w:p>
        </w:tc>
        <w:tc>
          <w:tcPr>
            <w:tcW w:w="3543" w:type="dxa"/>
            <w:gridSpan w:val="3"/>
            <w:tcBorders>
              <w:top w:val="single" w:sz="4" w:space="0" w:color="auto"/>
              <w:left w:val="single" w:sz="4" w:space="0" w:color="auto"/>
              <w:bottom w:val="single" w:sz="4" w:space="0" w:color="auto"/>
              <w:right w:val="single" w:sz="4" w:space="0" w:color="auto"/>
            </w:tcBorders>
          </w:tcPr>
          <w:p w:rsidR="00B83F88" w:rsidRPr="009E59D9" w:rsidRDefault="00B83F88" w:rsidP="00B83F88">
            <w:pPr>
              <w:jc w:val="center"/>
              <w:rPr>
                <w:rFonts w:asciiTheme="minorHAnsi" w:hAnsiTheme="minorHAnsi"/>
                <w:sz w:val="18"/>
                <w:szCs w:val="18"/>
              </w:rPr>
            </w:pPr>
            <w:r w:rsidRPr="009E59D9">
              <w:rPr>
                <w:rFonts w:asciiTheme="minorHAnsi" w:hAnsiTheme="minorHAnsi"/>
                <w:sz w:val="18"/>
                <w:szCs w:val="18"/>
              </w:rPr>
              <w:t>górna powierzchnia kostki nie powinna mieć rys i odprysków,</w:t>
            </w:r>
          </w:p>
          <w:p w:rsidR="00B83F88" w:rsidRPr="009E59D9" w:rsidRDefault="00B83F88" w:rsidP="00B83F88">
            <w:pPr>
              <w:jc w:val="center"/>
              <w:rPr>
                <w:rFonts w:asciiTheme="minorHAnsi" w:hAnsiTheme="minorHAnsi"/>
                <w:sz w:val="18"/>
                <w:szCs w:val="18"/>
              </w:rPr>
            </w:pPr>
            <w:r w:rsidRPr="009E59D9">
              <w:rPr>
                <w:rFonts w:asciiTheme="minorHAnsi" w:hAnsiTheme="minorHAnsi"/>
                <w:sz w:val="18"/>
                <w:szCs w:val="18"/>
              </w:rPr>
              <w:t>nie dopuszcza się rozwarstwień w kostkach dwuwarstwowych,</w:t>
            </w:r>
          </w:p>
          <w:p w:rsidR="00B83F88" w:rsidRPr="009E59D9" w:rsidRDefault="00B83F88" w:rsidP="00B83F88">
            <w:pPr>
              <w:jc w:val="center"/>
              <w:rPr>
                <w:rFonts w:asciiTheme="minorHAnsi" w:hAnsiTheme="minorHAnsi"/>
                <w:sz w:val="18"/>
                <w:szCs w:val="18"/>
              </w:rPr>
            </w:pPr>
            <w:r w:rsidRPr="009E59D9">
              <w:rPr>
                <w:rFonts w:asciiTheme="minorHAnsi" w:hAnsiTheme="minorHAnsi"/>
                <w:sz w:val="18"/>
                <w:szCs w:val="18"/>
              </w:rPr>
              <w:t>ewentualne wykwity nie są uważane za istotne</w:t>
            </w:r>
          </w:p>
        </w:tc>
      </w:tr>
      <w:tr w:rsidR="00B83F88" w:rsidRPr="009E59D9" w:rsidTr="00180FC1">
        <w:tc>
          <w:tcPr>
            <w:tcW w:w="567" w:type="dxa"/>
            <w:tcBorders>
              <w:top w:val="single" w:sz="4" w:space="0" w:color="auto"/>
              <w:left w:val="single" w:sz="4" w:space="0" w:color="auto"/>
              <w:bottom w:val="single" w:sz="4" w:space="0" w:color="auto"/>
              <w:right w:val="single" w:sz="4" w:space="0" w:color="auto"/>
            </w:tcBorders>
          </w:tcPr>
          <w:p w:rsidR="00B83F88" w:rsidRPr="009E59D9" w:rsidRDefault="00B83F88" w:rsidP="00B83F88">
            <w:pPr>
              <w:jc w:val="center"/>
              <w:rPr>
                <w:rFonts w:asciiTheme="minorHAnsi" w:hAnsiTheme="minorHAnsi"/>
                <w:sz w:val="18"/>
                <w:szCs w:val="18"/>
              </w:rPr>
            </w:pPr>
            <w:r w:rsidRPr="009E59D9">
              <w:rPr>
                <w:rFonts w:asciiTheme="minorHAnsi" w:hAnsiTheme="minorHAnsi"/>
                <w:sz w:val="18"/>
                <w:szCs w:val="18"/>
              </w:rPr>
              <w:lastRenderedPageBreak/>
              <w:t>3.2</w:t>
            </w:r>
          </w:p>
          <w:p w:rsidR="00B83F88" w:rsidRPr="009E59D9" w:rsidRDefault="00B83F88" w:rsidP="00B83F88">
            <w:pPr>
              <w:jc w:val="center"/>
              <w:rPr>
                <w:rFonts w:asciiTheme="minorHAnsi" w:hAnsiTheme="minorHAnsi"/>
                <w:sz w:val="18"/>
                <w:szCs w:val="18"/>
              </w:rPr>
            </w:pPr>
          </w:p>
          <w:p w:rsidR="00B83F88" w:rsidRPr="009E59D9" w:rsidRDefault="00B83F88" w:rsidP="00B83F88">
            <w:pPr>
              <w:jc w:val="center"/>
              <w:rPr>
                <w:rFonts w:asciiTheme="minorHAnsi" w:hAnsiTheme="minorHAnsi"/>
                <w:sz w:val="18"/>
                <w:szCs w:val="18"/>
              </w:rPr>
            </w:pPr>
          </w:p>
          <w:p w:rsidR="00B83F88" w:rsidRPr="009E59D9" w:rsidRDefault="00B83F88" w:rsidP="00B83F88">
            <w:pPr>
              <w:jc w:val="center"/>
              <w:rPr>
                <w:rFonts w:asciiTheme="minorHAnsi" w:hAnsiTheme="minorHAnsi"/>
                <w:sz w:val="18"/>
                <w:szCs w:val="18"/>
              </w:rPr>
            </w:pPr>
          </w:p>
          <w:p w:rsidR="00B83F88" w:rsidRPr="009E59D9" w:rsidRDefault="00B83F88" w:rsidP="00B83F88">
            <w:pPr>
              <w:jc w:val="center"/>
              <w:rPr>
                <w:rFonts w:asciiTheme="minorHAnsi" w:hAnsiTheme="minorHAnsi"/>
                <w:sz w:val="18"/>
                <w:szCs w:val="18"/>
              </w:rPr>
            </w:pPr>
          </w:p>
          <w:p w:rsidR="00B83F88" w:rsidRPr="009E59D9" w:rsidRDefault="00B83F88" w:rsidP="00B83F88">
            <w:pPr>
              <w:jc w:val="center"/>
              <w:rPr>
                <w:rFonts w:asciiTheme="minorHAnsi" w:hAnsiTheme="minorHAnsi"/>
                <w:sz w:val="18"/>
                <w:szCs w:val="18"/>
              </w:rPr>
            </w:pPr>
            <w:r w:rsidRPr="009E59D9">
              <w:rPr>
                <w:rFonts w:asciiTheme="minorHAnsi" w:hAnsiTheme="minorHAnsi"/>
                <w:sz w:val="18"/>
                <w:szCs w:val="18"/>
              </w:rPr>
              <w:t>3.3</w:t>
            </w:r>
          </w:p>
        </w:tc>
        <w:tc>
          <w:tcPr>
            <w:tcW w:w="3685" w:type="dxa"/>
            <w:tcBorders>
              <w:top w:val="single" w:sz="4" w:space="0" w:color="auto"/>
              <w:left w:val="single" w:sz="4" w:space="0" w:color="auto"/>
              <w:bottom w:val="single" w:sz="4" w:space="0" w:color="auto"/>
              <w:right w:val="single" w:sz="4" w:space="0" w:color="auto"/>
            </w:tcBorders>
          </w:tcPr>
          <w:p w:rsidR="00B83F88" w:rsidRPr="009E59D9" w:rsidRDefault="00B83F88" w:rsidP="00B83F88">
            <w:pPr>
              <w:jc w:val="center"/>
              <w:rPr>
                <w:rFonts w:asciiTheme="minorHAnsi" w:hAnsiTheme="minorHAnsi"/>
                <w:sz w:val="18"/>
                <w:szCs w:val="18"/>
              </w:rPr>
            </w:pPr>
            <w:r w:rsidRPr="009E59D9">
              <w:rPr>
                <w:rFonts w:asciiTheme="minorHAnsi" w:hAnsiTheme="minorHAnsi"/>
                <w:sz w:val="18"/>
                <w:szCs w:val="18"/>
              </w:rPr>
              <w:t>Tekstura</w:t>
            </w:r>
          </w:p>
          <w:p w:rsidR="00B83F88" w:rsidRPr="009E59D9" w:rsidRDefault="00B83F88" w:rsidP="00B83F88">
            <w:pPr>
              <w:jc w:val="center"/>
              <w:rPr>
                <w:rFonts w:asciiTheme="minorHAnsi" w:hAnsiTheme="minorHAnsi"/>
                <w:sz w:val="18"/>
                <w:szCs w:val="18"/>
              </w:rPr>
            </w:pPr>
          </w:p>
          <w:p w:rsidR="00B83F88" w:rsidRPr="009E59D9" w:rsidRDefault="00B83F88" w:rsidP="00B83F88">
            <w:pPr>
              <w:jc w:val="center"/>
              <w:rPr>
                <w:rFonts w:asciiTheme="minorHAnsi" w:hAnsiTheme="minorHAnsi"/>
                <w:sz w:val="18"/>
                <w:szCs w:val="18"/>
              </w:rPr>
            </w:pPr>
          </w:p>
          <w:p w:rsidR="00B83F88" w:rsidRPr="009E59D9" w:rsidRDefault="00B83F88" w:rsidP="00B83F88">
            <w:pPr>
              <w:jc w:val="center"/>
              <w:rPr>
                <w:rFonts w:asciiTheme="minorHAnsi" w:hAnsiTheme="minorHAnsi"/>
                <w:sz w:val="18"/>
                <w:szCs w:val="18"/>
              </w:rPr>
            </w:pPr>
          </w:p>
          <w:p w:rsidR="00B83F88" w:rsidRPr="009E59D9" w:rsidRDefault="00B83F88" w:rsidP="00B83F88">
            <w:pPr>
              <w:jc w:val="center"/>
              <w:rPr>
                <w:rFonts w:asciiTheme="minorHAnsi" w:hAnsiTheme="minorHAnsi"/>
                <w:sz w:val="18"/>
                <w:szCs w:val="18"/>
              </w:rPr>
            </w:pPr>
          </w:p>
          <w:p w:rsidR="00B83F88" w:rsidRPr="009E59D9" w:rsidRDefault="00B83F88" w:rsidP="00B83F88">
            <w:pPr>
              <w:jc w:val="center"/>
              <w:rPr>
                <w:rFonts w:asciiTheme="minorHAnsi" w:hAnsiTheme="minorHAnsi"/>
                <w:sz w:val="18"/>
                <w:szCs w:val="18"/>
              </w:rPr>
            </w:pPr>
            <w:r w:rsidRPr="009E59D9">
              <w:rPr>
                <w:rFonts w:asciiTheme="minorHAnsi" w:hAnsiTheme="minorHAnsi"/>
                <w:sz w:val="18"/>
                <w:szCs w:val="18"/>
              </w:rPr>
              <w:t>Zabarwienie (barwiona może być warstwa ścieralna lub cały element)</w:t>
            </w:r>
          </w:p>
          <w:p w:rsidR="00B83F88" w:rsidRPr="009E59D9" w:rsidRDefault="00B83F88" w:rsidP="00B83F88">
            <w:pPr>
              <w:jc w:val="center"/>
              <w:rPr>
                <w:rFonts w:asciiTheme="minorHAnsi" w:hAnsiTheme="minorHAnsi"/>
                <w:sz w:val="18"/>
                <w:szCs w:val="18"/>
              </w:rPr>
            </w:pPr>
          </w:p>
        </w:tc>
        <w:tc>
          <w:tcPr>
            <w:tcW w:w="992" w:type="dxa"/>
            <w:tcBorders>
              <w:top w:val="single" w:sz="4" w:space="0" w:color="auto"/>
              <w:left w:val="single" w:sz="4" w:space="0" w:color="auto"/>
              <w:bottom w:val="single" w:sz="4" w:space="0" w:color="auto"/>
              <w:right w:val="single" w:sz="4" w:space="0" w:color="auto"/>
            </w:tcBorders>
          </w:tcPr>
          <w:p w:rsidR="00B83F88" w:rsidRPr="009E59D9" w:rsidRDefault="00B83F88" w:rsidP="00B83F88">
            <w:pPr>
              <w:jc w:val="center"/>
              <w:rPr>
                <w:rFonts w:asciiTheme="minorHAnsi" w:hAnsiTheme="minorHAnsi"/>
                <w:sz w:val="18"/>
                <w:szCs w:val="18"/>
              </w:rPr>
            </w:pPr>
            <w:r w:rsidRPr="009E59D9">
              <w:rPr>
                <w:rFonts w:asciiTheme="minorHAnsi" w:hAnsiTheme="minorHAnsi"/>
                <w:sz w:val="18"/>
                <w:szCs w:val="18"/>
              </w:rPr>
              <w:t>J</w:t>
            </w:r>
          </w:p>
        </w:tc>
        <w:tc>
          <w:tcPr>
            <w:tcW w:w="3543" w:type="dxa"/>
            <w:gridSpan w:val="3"/>
            <w:tcBorders>
              <w:top w:val="single" w:sz="4" w:space="0" w:color="auto"/>
              <w:left w:val="single" w:sz="4" w:space="0" w:color="auto"/>
              <w:bottom w:val="single" w:sz="4" w:space="0" w:color="auto"/>
              <w:right w:val="single" w:sz="4" w:space="0" w:color="auto"/>
            </w:tcBorders>
          </w:tcPr>
          <w:p w:rsidR="00B83F88" w:rsidRPr="009E59D9" w:rsidRDefault="00B83F88" w:rsidP="00B83F88">
            <w:pPr>
              <w:jc w:val="center"/>
              <w:rPr>
                <w:rFonts w:asciiTheme="minorHAnsi" w:hAnsiTheme="minorHAnsi"/>
                <w:sz w:val="18"/>
                <w:szCs w:val="18"/>
              </w:rPr>
            </w:pPr>
            <w:r w:rsidRPr="009E59D9">
              <w:rPr>
                <w:rFonts w:asciiTheme="minorHAnsi" w:hAnsiTheme="minorHAnsi"/>
                <w:sz w:val="18"/>
                <w:szCs w:val="18"/>
              </w:rPr>
              <w:t>kostki z powierzchnią o specjalnej teksturze – producent powinien opisać rodzaj tekstury,</w:t>
            </w:r>
          </w:p>
          <w:p w:rsidR="00B83F88" w:rsidRPr="009E59D9" w:rsidRDefault="00B83F88" w:rsidP="00B83F88">
            <w:pPr>
              <w:jc w:val="center"/>
              <w:rPr>
                <w:rFonts w:asciiTheme="minorHAnsi" w:hAnsiTheme="minorHAnsi"/>
                <w:sz w:val="18"/>
                <w:szCs w:val="18"/>
              </w:rPr>
            </w:pPr>
            <w:r w:rsidRPr="009E59D9">
              <w:rPr>
                <w:rFonts w:asciiTheme="minorHAnsi" w:hAnsiTheme="minorHAnsi"/>
                <w:sz w:val="18"/>
                <w:szCs w:val="18"/>
              </w:rPr>
              <w:t>tekstura lub zabarwienie kostki powinny być porównane z próbką producenta, zatwierdzoną przez odbiorcę,</w:t>
            </w:r>
          </w:p>
          <w:p w:rsidR="00B83F88" w:rsidRPr="009E59D9" w:rsidRDefault="00B83F88" w:rsidP="00B83F88">
            <w:pPr>
              <w:jc w:val="center"/>
              <w:rPr>
                <w:rFonts w:asciiTheme="minorHAnsi" w:hAnsiTheme="minorHAnsi"/>
                <w:sz w:val="18"/>
                <w:szCs w:val="18"/>
              </w:rPr>
            </w:pPr>
            <w:r w:rsidRPr="009E59D9">
              <w:rPr>
                <w:rFonts w:asciiTheme="minorHAnsi" w:hAnsiTheme="minorHAnsi"/>
                <w:sz w:val="18"/>
                <w:szCs w:val="18"/>
              </w:rPr>
              <w:t>ewentualne różnice w jednolitości tekstury lub zabarwienia, spowodowane nieuniknionymi zmianami we właściwościach surowców i zmianach warunków twardnienia nie są uważane za istotne</w:t>
            </w:r>
          </w:p>
        </w:tc>
      </w:tr>
    </w:tbl>
    <w:p w:rsidR="00B83F88" w:rsidRPr="000B786E" w:rsidRDefault="00B83F88" w:rsidP="00B83F88"/>
    <w:p w:rsidR="00B83F88" w:rsidRPr="00047A45" w:rsidRDefault="00B83F88" w:rsidP="00B83F88">
      <w:pPr>
        <w:rPr>
          <w:rFonts w:asciiTheme="minorHAnsi" w:hAnsiTheme="minorHAnsi"/>
        </w:rPr>
      </w:pPr>
      <w:r w:rsidRPr="000B786E">
        <w:tab/>
      </w:r>
      <w:r w:rsidRPr="00047A45">
        <w:rPr>
          <w:rFonts w:asciiTheme="minorHAnsi" w:hAnsiTheme="minorHAnsi"/>
        </w:rPr>
        <w:t>W przypadku zastosowań kostki na powierzchniach innych niż przewidziano w tablicy 1 (np. na nawierzchniach wewnętrznych nie narażonych na kontakt z solą odladzającą), wymagania wobec kostki należy odpowiednio dostosować do ustaleń PN-EN-1338.</w:t>
      </w:r>
    </w:p>
    <w:p w:rsidR="00B83F88" w:rsidRPr="00047A45" w:rsidRDefault="00B83F88" w:rsidP="00B83F88">
      <w:pPr>
        <w:rPr>
          <w:rFonts w:asciiTheme="minorHAnsi" w:hAnsiTheme="minorHAnsi"/>
        </w:rPr>
      </w:pPr>
      <w:r w:rsidRPr="00047A45">
        <w:rPr>
          <w:rFonts w:asciiTheme="minorHAnsi" w:hAnsiTheme="minorHAnsi"/>
        </w:rPr>
        <w:tab/>
        <w:t>Kostki kolorowe powinny być barwione substancjami odpornymi na działanie czynników atmosferycznych, światła (w tym promieniowania UV) i silnych alkaliów (m.in. cementu, który przy wypełnieniu spoin zaprawą cementowo-piaskową nie może odbarwiać kostek). Zaleca się stosowanie środków stabilnie barwiących zaczyn cementowy w kostce, np. tlenki żelaza, tlenek chromu, tlenek tytanu, tlenek kobaltowo-glinowy (nie należy stosować do barwienia: sadz i barwników organicznych).</w:t>
      </w:r>
    </w:p>
    <w:p w:rsidR="00B83F88" w:rsidRPr="00047A45" w:rsidRDefault="00B83F88" w:rsidP="00B83F88">
      <w:pPr>
        <w:rPr>
          <w:rFonts w:asciiTheme="minorHAnsi" w:hAnsiTheme="minorHAnsi"/>
        </w:rPr>
      </w:pPr>
      <w:r w:rsidRPr="00047A45">
        <w:rPr>
          <w:rFonts w:asciiTheme="minorHAnsi" w:hAnsiTheme="minorHAnsi"/>
        </w:rPr>
        <w:t>Uwaga: Naloty wapienne (wykwity w postaci białych plam) mogą pojawić się na powierzchni kostek w początkowym okresie eksploatacji. Powstają one w wyniku naturalnych procesów fizykochemicznych występujących w betonie i zanikają w trakcie użytkowania w okresie do 2-3 lat.</w:t>
      </w:r>
    </w:p>
    <w:p w:rsidR="00B83F88" w:rsidRPr="00047A45" w:rsidRDefault="00B83F88" w:rsidP="00B83F88">
      <w:pPr>
        <w:rPr>
          <w:rFonts w:asciiTheme="minorHAnsi" w:hAnsiTheme="minorHAnsi"/>
        </w:rPr>
      </w:pPr>
      <w:r w:rsidRPr="00047A45">
        <w:rPr>
          <w:rFonts w:asciiTheme="minorHAnsi" w:hAnsiTheme="minorHAnsi"/>
          <w:b/>
        </w:rPr>
        <w:t>2.2.3.</w:t>
      </w:r>
      <w:r w:rsidRPr="00047A45">
        <w:rPr>
          <w:rFonts w:asciiTheme="minorHAnsi" w:hAnsiTheme="minorHAnsi"/>
        </w:rPr>
        <w:t xml:space="preserve"> Składowanie kostek</w:t>
      </w:r>
    </w:p>
    <w:p w:rsidR="00B83F88" w:rsidRPr="00047A45" w:rsidRDefault="00B83F88" w:rsidP="00B83F88">
      <w:pPr>
        <w:rPr>
          <w:rFonts w:asciiTheme="minorHAnsi" w:hAnsiTheme="minorHAnsi"/>
        </w:rPr>
      </w:pPr>
      <w:r w:rsidRPr="00047A45">
        <w:rPr>
          <w:rFonts w:asciiTheme="minorHAnsi" w:hAnsiTheme="minorHAnsi"/>
        </w:rPr>
        <w:t xml:space="preserve"> </w:t>
      </w:r>
      <w:r w:rsidRPr="00047A45">
        <w:rPr>
          <w:rFonts w:asciiTheme="minorHAnsi" w:hAnsiTheme="minorHAnsi"/>
        </w:rPr>
        <w:tab/>
        <w:t>Kostkę zaleca się pakować na paletach. Palety z kostką mogą być składowane na otwartej przestrzeni, przy czym podłoże powinno być wyrównane i odwodnione.</w:t>
      </w:r>
    </w:p>
    <w:p w:rsidR="00B83F88" w:rsidRPr="00047A45" w:rsidRDefault="00B83F88" w:rsidP="00B83F88">
      <w:pPr>
        <w:rPr>
          <w:rFonts w:asciiTheme="minorHAnsi" w:hAnsiTheme="minorHAnsi"/>
        </w:rPr>
      </w:pPr>
      <w:r w:rsidRPr="00047A45">
        <w:rPr>
          <w:rFonts w:asciiTheme="minorHAnsi" w:hAnsiTheme="minorHAnsi"/>
          <w:b/>
        </w:rPr>
        <w:t>2.3.</w:t>
      </w:r>
      <w:r w:rsidRPr="00047A45">
        <w:rPr>
          <w:rFonts w:asciiTheme="minorHAnsi" w:hAnsiTheme="minorHAnsi"/>
        </w:rPr>
        <w:t xml:space="preserve"> Materiały na podsypkę i do wypełnienia spoin oraz szczelin w nawierzchni</w:t>
      </w:r>
    </w:p>
    <w:p w:rsidR="00B83F88" w:rsidRPr="00047A45" w:rsidRDefault="00B83F88" w:rsidP="00B83F88">
      <w:pPr>
        <w:rPr>
          <w:rFonts w:asciiTheme="minorHAnsi" w:hAnsiTheme="minorHAnsi"/>
        </w:rPr>
      </w:pPr>
      <w:r w:rsidRPr="00047A45">
        <w:rPr>
          <w:rFonts w:asciiTheme="minorHAnsi" w:hAnsiTheme="minorHAnsi"/>
        </w:rPr>
        <w:tab/>
        <w:t>Jeśli</w:t>
      </w:r>
      <w:r w:rsidR="00722F1D">
        <w:rPr>
          <w:rFonts w:asciiTheme="minorHAnsi" w:hAnsiTheme="minorHAnsi"/>
        </w:rPr>
        <w:t xml:space="preserve"> dokumentacja projektowa </w:t>
      </w:r>
      <w:r w:rsidRPr="00047A45">
        <w:rPr>
          <w:rFonts w:asciiTheme="minorHAnsi" w:hAnsiTheme="minorHAnsi"/>
        </w:rPr>
        <w:t>nie ustala inaczej, to należy stosować następujące materiały:</w:t>
      </w:r>
    </w:p>
    <w:p w:rsidR="00B83F88" w:rsidRPr="00047A45" w:rsidRDefault="00B83F88" w:rsidP="00B83F88">
      <w:pPr>
        <w:rPr>
          <w:rFonts w:asciiTheme="minorHAnsi" w:hAnsiTheme="minorHAnsi"/>
        </w:rPr>
      </w:pPr>
      <w:r>
        <w:rPr>
          <w:rFonts w:asciiTheme="minorHAnsi" w:hAnsiTheme="minorHAnsi"/>
        </w:rPr>
        <w:t>-</w:t>
      </w:r>
      <w:r w:rsidRPr="00047A45">
        <w:rPr>
          <w:rFonts w:asciiTheme="minorHAnsi" w:hAnsiTheme="minorHAnsi"/>
        </w:rPr>
        <w:t>na podsypkę piaskową pod nawierzchnię</w:t>
      </w:r>
    </w:p>
    <w:p w:rsidR="00B83F88" w:rsidRPr="00047A45" w:rsidRDefault="00B83F88" w:rsidP="00B83F88">
      <w:pPr>
        <w:rPr>
          <w:rFonts w:asciiTheme="minorHAnsi" w:hAnsiTheme="minorHAnsi"/>
        </w:rPr>
      </w:pPr>
      <w:r w:rsidRPr="00047A45">
        <w:rPr>
          <w:rFonts w:asciiTheme="minorHAnsi" w:hAnsiTheme="minorHAnsi"/>
        </w:rPr>
        <w:t>piasek naturalny wg PN-EN 13242:2004,</w:t>
      </w:r>
    </w:p>
    <w:p w:rsidR="00B83F88" w:rsidRPr="00047A45" w:rsidRDefault="00B83F88" w:rsidP="00B83F88">
      <w:pPr>
        <w:rPr>
          <w:rFonts w:asciiTheme="minorHAnsi" w:hAnsiTheme="minorHAnsi"/>
        </w:rPr>
      </w:pPr>
      <w:r w:rsidRPr="00047A45">
        <w:rPr>
          <w:rFonts w:asciiTheme="minorHAnsi" w:hAnsiTheme="minorHAnsi"/>
        </w:rPr>
        <w:t>piasek łamany (0,075</w:t>
      </w:r>
      <w:r w:rsidRPr="00047A45">
        <w:rPr>
          <w:rFonts w:asciiTheme="minorHAnsi" w:hAnsiTheme="minorHAnsi"/>
        </w:rPr>
        <w:sym w:font="Symbol" w:char="F0B8"/>
      </w:r>
      <w:r w:rsidRPr="00047A45">
        <w:rPr>
          <w:rFonts w:asciiTheme="minorHAnsi" w:hAnsiTheme="minorHAnsi"/>
        </w:rPr>
        <w:t>2) mm wg PN-EN 13242:2004,</w:t>
      </w:r>
    </w:p>
    <w:p w:rsidR="00B83F88" w:rsidRPr="00047A45" w:rsidRDefault="00B83F88" w:rsidP="00B83F88">
      <w:pPr>
        <w:rPr>
          <w:rFonts w:asciiTheme="minorHAnsi" w:hAnsiTheme="minorHAnsi"/>
        </w:rPr>
      </w:pPr>
      <w:r>
        <w:rPr>
          <w:rFonts w:asciiTheme="minorHAnsi" w:hAnsiTheme="minorHAnsi"/>
        </w:rPr>
        <w:t>-</w:t>
      </w:r>
      <w:r w:rsidRPr="00047A45">
        <w:rPr>
          <w:rFonts w:asciiTheme="minorHAnsi" w:hAnsiTheme="minorHAnsi"/>
        </w:rPr>
        <w:t>na podsypkę cementowo-piaskową pod nawierzchnię</w:t>
      </w:r>
    </w:p>
    <w:p w:rsidR="00B83F88" w:rsidRPr="00047A45" w:rsidRDefault="00B83F88" w:rsidP="00B83F88">
      <w:pPr>
        <w:ind w:firstLine="567"/>
        <w:rPr>
          <w:rFonts w:asciiTheme="minorHAnsi" w:hAnsiTheme="minorHAnsi"/>
        </w:rPr>
      </w:pPr>
      <w:r w:rsidRPr="00047A45">
        <w:rPr>
          <w:rFonts w:asciiTheme="minorHAnsi" w:hAnsiTheme="minorHAnsi"/>
        </w:rPr>
        <w:t>mieszankę cementu i piasku w stosunku 1:4 z piasku naturalnego spełniającego wymagania PN-EN 13242:2004, cementu powszechnego użytku spełniającego wymagania PN-EN 197-1:2002 i wody odpowiadającej wymaganiom  PN-EN 1008:2004,</w:t>
      </w:r>
    </w:p>
    <w:p w:rsidR="00B83F88" w:rsidRPr="00047A45" w:rsidRDefault="00B83F88" w:rsidP="00B83F88">
      <w:pPr>
        <w:rPr>
          <w:rFonts w:asciiTheme="minorHAnsi" w:hAnsiTheme="minorHAnsi"/>
        </w:rPr>
      </w:pPr>
      <w:r>
        <w:rPr>
          <w:rFonts w:asciiTheme="minorHAnsi" w:hAnsiTheme="minorHAnsi"/>
        </w:rPr>
        <w:t>-</w:t>
      </w:r>
      <w:r w:rsidRPr="00047A45">
        <w:rPr>
          <w:rFonts w:asciiTheme="minorHAnsi" w:hAnsiTheme="minorHAnsi"/>
        </w:rPr>
        <w:t>do wypełniania spoin w nawierzchni na podsypce piaskowej</w:t>
      </w:r>
    </w:p>
    <w:p w:rsidR="00B83F88" w:rsidRPr="00047A45" w:rsidRDefault="00B83F88" w:rsidP="00B83F88">
      <w:pPr>
        <w:ind w:firstLine="567"/>
        <w:rPr>
          <w:rFonts w:asciiTheme="minorHAnsi" w:hAnsiTheme="minorHAnsi"/>
        </w:rPr>
      </w:pPr>
      <w:r w:rsidRPr="00047A45">
        <w:rPr>
          <w:rFonts w:asciiTheme="minorHAnsi" w:hAnsiTheme="minorHAnsi"/>
        </w:rPr>
        <w:t>piasek naturalny spełniający wymagania PN-EN 13242:2004,</w:t>
      </w:r>
    </w:p>
    <w:p w:rsidR="00B83F88" w:rsidRPr="00047A45" w:rsidRDefault="00B83F88" w:rsidP="00B83F88">
      <w:pPr>
        <w:ind w:firstLine="567"/>
        <w:rPr>
          <w:rFonts w:asciiTheme="minorHAnsi" w:hAnsiTheme="minorHAnsi"/>
        </w:rPr>
      </w:pPr>
      <w:r w:rsidRPr="00047A45">
        <w:rPr>
          <w:rFonts w:asciiTheme="minorHAnsi" w:hAnsiTheme="minorHAnsi"/>
        </w:rPr>
        <w:t>piasek łamany (0,075</w:t>
      </w:r>
      <w:r w:rsidRPr="00047A45">
        <w:rPr>
          <w:rFonts w:asciiTheme="minorHAnsi" w:hAnsiTheme="minorHAnsi"/>
        </w:rPr>
        <w:sym w:font="Symbol" w:char="F0B8"/>
      </w:r>
      <w:r w:rsidRPr="00047A45">
        <w:rPr>
          <w:rFonts w:asciiTheme="minorHAnsi" w:hAnsiTheme="minorHAnsi"/>
        </w:rPr>
        <w:t xml:space="preserve">2) mm wg PN-EN 13242:2004, </w:t>
      </w:r>
    </w:p>
    <w:p w:rsidR="00B83F88" w:rsidRPr="00047A45" w:rsidRDefault="00B83F88" w:rsidP="00B83F88">
      <w:pPr>
        <w:rPr>
          <w:rFonts w:asciiTheme="minorHAnsi" w:hAnsiTheme="minorHAnsi"/>
        </w:rPr>
      </w:pPr>
      <w:r>
        <w:rPr>
          <w:rFonts w:asciiTheme="minorHAnsi" w:hAnsiTheme="minorHAnsi"/>
        </w:rPr>
        <w:t>-</w:t>
      </w:r>
      <w:r w:rsidRPr="00047A45">
        <w:rPr>
          <w:rFonts w:asciiTheme="minorHAnsi" w:hAnsiTheme="minorHAnsi"/>
        </w:rPr>
        <w:t>do wypełniania spoin w nawierzchni na podsypce cementowo-piaskowej</w:t>
      </w:r>
    </w:p>
    <w:p w:rsidR="00B83F88" w:rsidRPr="00047A45" w:rsidRDefault="00B83F88" w:rsidP="00B83F88">
      <w:pPr>
        <w:ind w:firstLine="567"/>
        <w:rPr>
          <w:rFonts w:asciiTheme="minorHAnsi" w:hAnsiTheme="minorHAnsi"/>
        </w:rPr>
      </w:pPr>
      <w:r w:rsidRPr="00047A45">
        <w:rPr>
          <w:rFonts w:asciiTheme="minorHAnsi" w:hAnsiTheme="minorHAnsi"/>
        </w:rPr>
        <w:t xml:space="preserve">zaprawę cementowo-piaskową 1:4, </w:t>
      </w:r>
    </w:p>
    <w:p w:rsidR="00B83F88" w:rsidRPr="00047A45" w:rsidRDefault="00B83F88" w:rsidP="00B83F88">
      <w:pPr>
        <w:rPr>
          <w:rFonts w:asciiTheme="minorHAnsi" w:hAnsiTheme="minorHAnsi"/>
        </w:rPr>
      </w:pPr>
      <w:r>
        <w:rPr>
          <w:rFonts w:asciiTheme="minorHAnsi" w:hAnsiTheme="minorHAnsi"/>
        </w:rPr>
        <w:t>-</w:t>
      </w:r>
      <w:r w:rsidRPr="00047A45">
        <w:rPr>
          <w:rFonts w:asciiTheme="minorHAnsi" w:hAnsiTheme="minorHAnsi"/>
        </w:rPr>
        <w:t>do wypełniania szczelin dylatacyjnych w nawierzchni na podsypce cementowo-piaskowej</w:t>
      </w:r>
    </w:p>
    <w:p w:rsidR="00B83F88" w:rsidRPr="00047A45" w:rsidRDefault="00B83F88" w:rsidP="00B83F88">
      <w:pPr>
        <w:ind w:firstLine="567"/>
        <w:rPr>
          <w:rFonts w:asciiTheme="minorHAnsi" w:hAnsiTheme="minorHAnsi"/>
        </w:rPr>
      </w:pPr>
      <w:r w:rsidRPr="00047A45">
        <w:rPr>
          <w:rFonts w:asciiTheme="minorHAnsi" w:hAnsiTheme="minorHAnsi"/>
        </w:rPr>
        <w:t>do wypełnienia górnej części szczeliny dylatacyjnej należy stosować drogowe zalewy kauczukowo-asfaltowe lub syntetyczne masy uszczelniające (np. poliuretanowe, poliwinylowe itp.), spełniające wymagania norm lub aprobat technicznych,</w:t>
      </w:r>
    </w:p>
    <w:p w:rsidR="00B83F88" w:rsidRPr="00047A45" w:rsidRDefault="00B83F88" w:rsidP="00B83F88">
      <w:pPr>
        <w:ind w:firstLine="567"/>
        <w:rPr>
          <w:rFonts w:asciiTheme="minorHAnsi" w:hAnsiTheme="minorHAnsi"/>
        </w:rPr>
      </w:pPr>
      <w:r w:rsidRPr="00047A45">
        <w:rPr>
          <w:rFonts w:asciiTheme="minorHAnsi" w:hAnsiTheme="minorHAnsi"/>
        </w:rPr>
        <w:t>do wypełnienia dolnej części szczeliny dylatacyjnej należy stosować wilgotną mieszankę cementowo-piaskową 1:8 lub inny materiał zaakceptowany przez Inżyniera.</w:t>
      </w:r>
    </w:p>
    <w:p w:rsidR="00B83F88" w:rsidRPr="00047A45" w:rsidRDefault="00B83F88" w:rsidP="00B83F88">
      <w:pPr>
        <w:rPr>
          <w:rFonts w:asciiTheme="minorHAnsi" w:hAnsiTheme="minorHAnsi"/>
        </w:rPr>
      </w:pPr>
      <w:r w:rsidRPr="00047A45">
        <w:rPr>
          <w:rFonts w:asciiTheme="minorHAnsi" w:hAnsiTheme="minorHAnsi"/>
        </w:rPr>
        <w:tab/>
        <w:t>Składowanie kruszywa, nie przeznaczonego do bezpośredniego wbudowania po dostarczeniu na budowę, powinno odbywać się na podłożu równym, utwardzonym i dobrze odwodnionym, przy zabezpieczeniu kruszywa przed zanieczyszczeniem i zmieszaniem z innymi materiałami kamiennymi.</w:t>
      </w:r>
    </w:p>
    <w:p w:rsidR="00B83F88" w:rsidRDefault="00B83F88" w:rsidP="00B83F88">
      <w:pPr>
        <w:rPr>
          <w:rFonts w:asciiTheme="minorHAnsi" w:hAnsiTheme="minorHAnsi"/>
        </w:rPr>
      </w:pPr>
      <w:r w:rsidRPr="00047A45">
        <w:rPr>
          <w:rFonts w:asciiTheme="minorHAnsi" w:hAnsiTheme="minorHAnsi"/>
        </w:rPr>
        <w:t xml:space="preserve">Cement w workach, co najmniej trzywarstwowych, o masie np. </w:t>
      </w:r>
      <w:smartTag w:uri="urn:schemas-microsoft-com:office:smarttags" w:element="metricconverter">
        <w:smartTagPr>
          <w:attr w:name="ProductID" w:val="50 kg"/>
        </w:smartTagPr>
        <w:r w:rsidRPr="00047A45">
          <w:rPr>
            <w:rFonts w:asciiTheme="minorHAnsi" w:hAnsiTheme="minorHAnsi"/>
          </w:rPr>
          <w:t>50 kg</w:t>
        </w:r>
      </w:smartTag>
      <w:r w:rsidRPr="00047A45">
        <w:rPr>
          <w:rFonts w:asciiTheme="minorHAnsi" w:hAnsiTheme="minorHAnsi"/>
        </w:rPr>
        <w:t xml:space="preserve">, można przechowywać do: </w:t>
      </w:r>
    </w:p>
    <w:p w:rsidR="00B83F88" w:rsidRDefault="00B83F88" w:rsidP="00B83F88">
      <w:pPr>
        <w:rPr>
          <w:rFonts w:asciiTheme="minorHAnsi" w:hAnsiTheme="minorHAnsi"/>
        </w:rPr>
      </w:pPr>
      <w:r w:rsidRPr="00047A45">
        <w:rPr>
          <w:rFonts w:asciiTheme="minorHAnsi" w:hAnsiTheme="minorHAnsi"/>
        </w:rPr>
        <w:t xml:space="preserve">a) 10 dni w miejscach zadaszonych na otwartym terenie o podłożu twardym i suchym, </w:t>
      </w:r>
    </w:p>
    <w:p w:rsidR="00B83F88" w:rsidRDefault="00B83F88" w:rsidP="00B83F88">
      <w:pPr>
        <w:rPr>
          <w:rFonts w:asciiTheme="minorHAnsi" w:hAnsiTheme="minorHAnsi"/>
        </w:rPr>
      </w:pPr>
      <w:r w:rsidRPr="00047A45">
        <w:rPr>
          <w:rFonts w:asciiTheme="minorHAnsi" w:hAnsiTheme="minorHAnsi"/>
        </w:rPr>
        <w:t xml:space="preserve">b) terminu trwałości, podanego przez producenta, w pomieszczeniach o szczelnym dachu i ścianach oraz podłogach suchych i czystych. Cement dostarczony na paletach magazynuje się razem z paletami, z dopuszczalną wysokością 3 szt. palet. </w:t>
      </w:r>
    </w:p>
    <w:p w:rsidR="00B83F88" w:rsidRPr="00047A45" w:rsidRDefault="00B83F88" w:rsidP="00B83F88">
      <w:pPr>
        <w:rPr>
          <w:rFonts w:asciiTheme="minorHAnsi" w:hAnsiTheme="minorHAnsi"/>
        </w:rPr>
      </w:pPr>
      <w:r w:rsidRPr="00047A45">
        <w:rPr>
          <w:rFonts w:asciiTheme="minorHAnsi" w:hAnsiTheme="minorHAnsi"/>
        </w:rPr>
        <w:t>Cement niespaletowany układa się w stosy płaskie o liczbie warstw 12 (dla worków trzywarstwowych). Cement dostarczany luzem przechowuje się w magazynach specjalnych (zbiornikach stalowych, betonowych), przystosowanych do pneumatycznego załadowania i wyładowania.</w:t>
      </w:r>
    </w:p>
    <w:p w:rsidR="00B83F88" w:rsidRPr="00047A45" w:rsidRDefault="00B83F88" w:rsidP="00B83F88">
      <w:pPr>
        <w:rPr>
          <w:rFonts w:asciiTheme="minorHAnsi" w:hAnsiTheme="minorHAnsi"/>
        </w:rPr>
      </w:pPr>
      <w:r w:rsidRPr="00047A45">
        <w:rPr>
          <w:rFonts w:asciiTheme="minorHAnsi" w:hAnsiTheme="minorHAnsi"/>
          <w:b/>
        </w:rPr>
        <w:t>2.4.</w:t>
      </w:r>
      <w:r w:rsidR="001E5422">
        <w:rPr>
          <w:rFonts w:asciiTheme="minorHAnsi" w:hAnsiTheme="minorHAnsi"/>
        </w:rPr>
        <w:t xml:space="preserve"> Krawężniki i </w:t>
      </w:r>
      <w:r w:rsidRPr="00047A45">
        <w:rPr>
          <w:rFonts w:asciiTheme="minorHAnsi" w:hAnsiTheme="minorHAnsi"/>
        </w:rPr>
        <w:t>obrzeża</w:t>
      </w:r>
    </w:p>
    <w:p w:rsidR="00B83F88" w:rsidRPr="00047A45" w:rsidRDefault="00B83F88" w:rsidP="00B83F88">
      <w:pPr>
        <w:rPr>
          <w:rFonts w:asciiTheme="minorHAnsi" w:hAnsiTheme="minorHAnsi"/>
        </w:rPr>
      </w:pPr>
      <w:r w:rsidRPr="00047A45">
        <w:rPr>
          <w:rFonts w:asciiTheme="minorHAnsi" w:hAnsiTheme="minorHAnsi"/>
        </w:rPr>
        <w:tab/>
        <w:t>Jeśli dokumentacja projektowa lub Inżynier nie ustalą inaczej, to do obramowania nawierzchni z kostek można stosować:</w:t>
      </w:r>
    </w:p>
    <w:p w:rsidR="00B83F88" w:rsidRPr="00047A45" w:rsidRDefault="00B83F88" w:rsidP="00B83F88">
      <w:pPr>
        <w:rPr>
          <w:rFonts w:asciiTheme="minorHAnsi" w:hAnsiTheme="minorHAnsi"/>
        </w:rPr>
      </w:pPr>
      <w:r>
        <w:rPr>
          <w:rFonts w:asciiTheme="minorHAnsi" w:hAnsiTheme="minorHAnsi"/>
        </w:rPr>
        <w:t>-</w:t>
      </w:r>
      <w:r w:rsidRPr="00047A45">
        <w:rPr>
          <w:rFonts w:asciiTheme="minorHAnsi" w:hAnsiTheme="minorHAnsi"/>
        </w:rPr>
        <w:t>krawężniki betonowe,</w:t>
      </w:r>
    </w:p>
    <w:p w:rsidR="00B83F88" w:rsidRPr="00047A45" w:rsidRDefault="00B83F88" w:rsidP="00B83F88">
      <w:pPr>
        <w:rPr>
          <w:rFonts w:asciiTheme="minorHAnsi" w:hAnsiTheme="minorHAnsi"/>
        </w:rPr>
      </w:pPr>
      <w:r>
        <w:rPr>
          <w:rFonts w:asciiTheme="minorHAnsi" w:hAnsiTheme="minorHAnsi"/>
        </w:rPr>
        <w:t>-</w:t>
      </w:r>
      <w:r w:rsidR="001E5422">
        <w:rPr>
          <w:rFonts w:asciiTheme="minorHAnsi" w:hAnsiTheme="minorHAnsi"/>
        </w:rPr>
        <w:t>obrzeża betonowe.</w:t>
      </w:r>
    </w:p>
    <w:p w:rsidR="00B83F88" w:rsidRPr="00047A45" w:rsidRDefault="00B83F88" w:rsidP="00B83F88">
      <w:pPr>
        <w:rPr>
          <w:rFonts w:asciiTheme="minorHAnsi" w:hAnsiTheme="minorHAnsi"/>
        </w:rPr>
      </w:pPr>
      <w:r w:rsidRPr="00047A45">
        <w:rPr>
          <w:rFonts w:asciiTheme="minorHAnsi" w:hAnsiTheme="minorHAnsi"/>
        </w:rPr>
        <w:lastRenderedPageBreak/>
        <w:tab/>
        <w:t>Kr</w:t>
      </w:r>
      <w:r w:rsidR="001E5422">
        <w:rPr>
          <w:rFonts w:asciiTheme="minorHAnsi" w:hAnsiTheme="minorHAnsi"/>
        </w:rPr>
        <w:t xml:space="preserve">awężniki i </w:t>
      </w:r>
      <w:r w:rsidRPr="00047A45">
        <w:rPr>
          <w:rFonts w:asciiTheme="minorHAnsi" w:hAnsiTheme="minorHAnsi"/>
        </w:rPr>
        <w:t>obrzeża mogą być ustawiane na:</w:t>
      </w:r>
    </w:p>
    <w:p w:rsidR="00B83F88" w:rsidRPr="00047A45" w:rsidRDefault="00B83F88" w:rsidP="00B83F88">
      <w:pPr>
        <w:rPr>
          <w:rFonts w:asciiTheme="minorHAnsi" w:hAnsiTheme="minorHAnsi"/>
        </w:rPr>
      </w:pPr>
      <w:r>
        <w:rPr>
          <w:rFonts w:asciiTheme="minorHAnsi" w:hAnsiTheme="minorHAnsi"/>
        </w:rPr>
        <w:t>-</w:t>
      </w:r>
      <w:r w:rsidRPr="00047A45">
        <w:rPr>
          <w:rFonts w:asciiTheme="minorHAnsi" w:hAnsiTheme="minorHAnsi"/>
        </w:rPr>
        <w:t>podsypce piaskowej lub cementowo-piaskowej, spełniających wymagania wg 2.3,</w:t>
      </w:r>
    </w:p>
    <w:p w:rsidR="00B83F88" w:rsidRPr="00047A45" w:rsidRDefault="00B83F88" w:rsidP="00B83F88">
      <w:pPr>
        <w:rPr>
          <w:rFonts w:asciiTheme="minorHAnsi" w:hAnsiTheme="minorHAnsi"/>
        </w:rPr>
      </w:pPr>
      <w:r>
        <w:rPr>
          <w:rFonts w:asciiTheme="minorHAnsi" w:hAnsiTheme="minorHAnsi"/>
        </w:rPr>
        <w:t>-</w:t>
      </w:r>
      <w:r w:rsidRPr="00047A45">
        <w:rPr>
          <w:rFonts w:asciiTheme="minorHAnsi" w:hAnsiTheme="minorHAnsi"/>
        </w:rPr>
        <w:t>ławach żwirowych, tłuczniowych lub betonowych.</w:t>
      </w:r>
    </w:p>
    <w:p w:rsidR="00B83F88" w:rsidRPr="00047A45" w:rsidRDefault="00B83F88" w:rsidP="00B83F88">
      <w:pPr>
        <w:rPr>
          <w:rFonts w:asciiTheme="minorHAnsi" w:hAnsiTheme="minorHAnsi"/>
        </w:rPr>
      </w:pPr>
      <w:r w:rsidRPr="00047A45">
        <w:rPr>
          <w:rFonts w:asciiTheme="minorHAnsi" w:hAnsiTheme="minorHAnsi"/>
        </w:rPr>
        <w:tab/>
        <w:t>Krawężniki i obrzeża mogą być przechowywane na składowiskach otwartych, posegregowane według typów, rodzajów, odmian i wielkości. Należy układać je z zastosowaniem podkładek i przekładek drewnianych.</w:t>
      </w:r>
    </w:p>
    <w:p w:rsidR="00B83F88" w:rsidRPr="00047A45" w:rsidRDefault="00B83F88" w:rsidP="00B83F88">
      <w:pPr>
        <w:rPr>
          <w:rFonts w:asciiTheme="minorHAnsi" w:hAnsiTheme="minorHAnsi"/>
        </w:rPr>
      </w:pPr>
      <w:r w:rsidRPr="00047A45">
        <w:rPr>
          <w:rFonts w:asciiTheme="minorHAnsi" w:hAnsiTheme="minorHAnsi"/>
        </w:rPr>
        <w:tab/>
        <w:t xml:space="preserve">Kruszywo i cement powinny być składowane i przechowywane wg 2.3. </w:t>
      </w:r>
    </w:p>
    <w:p w:rsidR="00B83F88" w:rsidRPr="00047A45" w:rsidRDefault="00B83F88" w:rsidP="00B83F88">
      <w:pPr>
        <w:rPr>
          <w:rFonts w:asciiTheme="minorHAnsi" w:hAnsiTheme="minorHAnsi"/>
        </w:rPr>
      </w:pPr>
      <w:r w:rsidRPr="00047A45">
        <w:rPr>
          <w:rFonts w:asciiTheme="minorHAnsi" w:hAnsiTheme="minorHAnsi"/>
          <w:b/>
        </w:rPr>
        <w:t>2.5.</w:t>
      </w:r>
      <w:r>
        <w:rPr>
          <w:rFonts w:asciiTheme="minorHAnsi" w:hAnsiTheme="minorHAnsi"/>
        </w:rPr>
        <w:t xml:space="preserve"> </w:t>
      </w:r>
      <w:r w:rsidRPr="00047A45">
        <w:rPr>
          <w:rFonts w:asciiTheme="minorHAnsi" w:hAnsiTheme="minorHAnsi"/>
        </w:rPr>
        <w:t>Materiały do podbudowy ułożonej pod nawierzchnią z betonowej kostki brukowej</w:t>
      </w:r>
    </w:p>
    <w:p w:rsidR="00B83F88" w:rsidRPr="00047A45" w:rsidRDefault="00B83F88" w:rsidP="00B83F88">
      <w:pPr>
        <w:rPr>
          <w:rFonts w:asciiTheme="minorHAnsi" w:hAnsiTheme="minorHAnsi"/>
        </w:rPr>
      </w:pPr>
      <w:r w:rsidRPr="00047A45">
        <w:rPr>
          <w:rFonts w:asciiTheme="minorHAnsi" w:hAnsiTheme="minorHAnsi"/>
        </w:rPr>
        <w:tab/>
        <w:t>Materiały do podbudowy, ustalonej w dokumentacji projektowej, powinny odpowiadać wymaganiom właściwej ST lub innym dokumentom zaakceptowanym przez Inżyniera.</w:t>
      </w:r>
    </w:p>
    <w:p w:rsidR="00B83F88" w:rsidRPr="00047A45" w:rsidRDefault="00B83F88" w:rsidP="00B83F88">
      <w:pPr>
        <w:rPr>
          <w:rFonts w:asciiTheme="minorHAnsi" w:hAnsiTheme="minorHAnsi"/>
          <w:b/>
        </w:rPr>
      </w:pPr>
      <w:bookmarkStart w:id="1499" w:name="_Toc107903638"/>
    </w:p>
    <w:p w:rsidR="00B83F88" w:rsidRPr="00047A45" w:rsidRDefault="00B83F88" w:rsidP="00B83F88">
      <w:pPr>
        <w:rPr>
          <w:rFonts w:asciiTheme="minorHAnsi" w:hAnsiTheme="minorHAnsi"/>
          <w:b/>
        </w:rPr>
      </w:pPr>
      <w:r w:rsidRPr="00047A45">
        <w:rPr>
          <w:rFonts w:asciiTheme="minorHAnsi" w:hAnsiTheme="minorHAnsi"/>
          <w:b/>
        </w:rPr>
        <w:t xml:space="preserve">3. </w:t>
      </w:r>
      <w:bookmarkEnd w:id="1499"/>
      <w:r w:rsidRPr="00047A45">
        <w:rPr>
          <w:rFonts w:asciiTheme="minorHAnsi" w:hAnsiTheme="minorHAnsi"/>
          <w:b/>
        </w:rPr>
        <w:t>SPRZĘT</w:t>
      </w:r>
    </w:p>
    <w:p w:rsidR="00B83F88" w:rsidRPr="00047A45" w:rsidRDefault="00B83F88" w:rsidP="00B83F88">
      <w:pPr>
        <w:rPr>
          <w:rFonts w:asciiTheme="minorHAnsi" w:hAnsiTheme="minorHAnsi"/>
        </w:rPr>
      </w:pPr>
      <w:r w:rsidRPr="00047A45">
        <w:rPr>
          <w:rFonts w:asciiTheme="minorHAnsi" w:hAnsiTheme="minorHAnsi"/>
          <w:b/>
        </w:rPr>
        <w:t>3.1.</w:t>
      </w:r>
      <w:r w:rsidRPr="00047A45">
        <w:rPr>
          <w:rFonts w:asciiTheme="minorHAnsi" w:hAnsiTheme="minorHAnsi"/>
        </w:rPr>
        <w:t xml:space="preserve"> Ogólne wymagania dotyczące sprzętu</w:t>
      </w:r>
    </w:p>
    <w:p w:rsidR="00B83F88" w:rsidRPr="00047A45" w:rsidRDefault="00B83F88" w:rsidP="00B83F88">
      <w:pPr>
        <w:rPr>
          <w:rFonts w:asciiTheme="minorHAnsi" w:hAnsiTheme="minorHAnsi"/>
        </w:rPr>
      </w:pPr>
      <w:r w:rsidRPr="00047A45">
        <w:rPr>
          <w:rFonts w:asciiTheme="minorHAnsi" w:hAnsiTheme="minorHAnsi"/>
        </w:rPr>
        <w:tab/>
        <w:t>Ogólne wymagania dotyczące sprzętu podano w ST D-M-00.00.00 „Wymagania ogólne” pkt 3.</w:t>
      </w:r>
    </w:p>
    <w:p w:rsidR="00B83F88" w:rsidRPr="00047A45" w:rsidRDefault="00B83F88" w:rsidP="00B83F88">
      <w:pPr>
        <w:rPr>
          <w:rFonts w:asciiTheme="minorHAnsi" w:hAnsiTheme="minorHAnsi"/>
        </w:rPr>
      </w:pPr>
      <w:r w:rsidRPr="00047A45">
        <w:rPr>
          <w:rFonts w:asciiTheme="minorHAnsi" w:hAnsiTheme="minorHAnsi"/>
          <w:b/>
        </w:rPr>
        <w:t>3.2.</w:t>
      </w:r>
      <w:r w:rsidRPr="00047A45">
        <w:rPr>
          <w:rFonts w:asciiTheme="minorHAnsi" w:hAnsiTheme="minorHAnsi"/>
        </w:rPr>
        <w:t xml:space="preserve"> Sprzęt do wykonania nawierzchni  </w:t>
      </w:r>
    </w:p>
    <w:p w:rsidR="00B83F88" w:rsidRPr="00047A45" w:rsidRDefault="00B83F88" w:rsidP="00B83F88">
      <w:pPr>
        <w:rPr>
          <w:rFonts w:asciiTheme="minorHAnsi" w:hAnsiTheme="minorHAnsi"/>
        </w:rPr>
      </w:pPr>
      <w:r w:rsidRPr="00047A45">
        <w:rPr>
          <w:rFonts w:asciiTheme="minorHAnsi" w:hAnsiTheme="minorHAnsi"/>
        </w:rPr>
        <w:tab/>
        <w:t xml:space="preserve"> Układanie betonowej kostki brukowej może odbywać się:</w:t>
      </w:r>
    </w:p>
    <w:p w:rsidR="00B83F88" w:rsidRPr="00047A45" w:rsidRDefault="00B83F88" w:rsidP="00B83F88">
      <w:pPr>
        <w:rPr>
          <w:rFonts w:asciiTheme="minorHAnsi" w:hAnsiTheme="minorHAnsi"/>
        </w:rPr>
      </w:pPr>
      <w:r>
        <w:rPr>
          <w:rFonts w:asciiTheme="minorHAnsi" w:hAnsiTheme="minorHAnsi"/>
        </w:rPr>
        <w:t>-</w:t>
      </w:r>
      <w:r w:rsidRPr="00047A45">
        <w:rPr>
          <w:rFonts w:asciiTheme="minorHAnsi" w:hAnsiTheme="minorHAnsi"/>
        </w:rPr>
        <w:t>ręcznie, zwłaszcza na małych powierzchniach,</w:t>
      </w:r>
    </w:p>
    <w:p w:rsidR="00B83F88" w:rsidRPr="00047A45" w:rsidRDefault="00B83F88" w:rsidP="00B83F88">
      <w:pPr>
        <w:rPr>
          <w:rFonts w:asciiTheme="minorHAnsi" w:hAnsiTheme="minorHAnsi"/>
        </w:rPr>
      </w:pPr>
      <w:r>
        <w:rPr>
          <w:rFonts w:asciiTheme="minorHAnsi" w:hAnsiTheme="minorHAnsi"/>
        </w:rPr>
        <w:t>-</w:t>
      </w:r>
      <w:r w:rsidRPr="00047A45">
        <w:rPr>
          <w:rFonts w:asciiTheme="minorHAnsi" w:hAnsiTheme="minorHAnsi"/>
        </w:rPr>
        <w:t>mechanicznie przy zastosowaniu urządzeń układających (układarek), składających się z wózka i chwytaka sterowanego hydraulicznie, służącego do przenoszenia z palety warstwy kostek na miejsce ich ułożenia; urządzenie to, po skończonym układaniu kostek, można wykorzystać do wmiatania piasku w szczeliny, zamocowanymi do chwytaka szczotkami.</w:t>
      </w:r>
    </w:p>
    <w:p w:rsidR="00B83F88" w:rsidRPr="00047A45" w:rsidRDefault="00B83F88" w:rsidP="00B83F88">
      <w:pPr>
        <w:rPr>
          <w:rFonts w:asciiTheme="minorHAnsi" w:hAnsiTheme="minorHAnsi"/>
        </w:rPr>
      </w:pPr>
      <w:r w:rsidRPr="00047A45">
        <w:rPr>
          <w:rFonts w:asciiTheme="minorHAnsi" w:hAnsiTheme="minorHAnsi"/>
        </w:rPr>
        <w:tab/>
        <w:t>Do przycinania kostek można stosować specjalne narzędzia tnące (np. przycinarki, szlifierki z tarczą).</w:t>
      </w:r>
    </w:p>
    <w:p w:rsidR="00B83F88" w:rsidRPr="00047A45" w:rsidRDefault="00B83F88" w:rsidP="00B83F88">
      <w:pPr>
        <w:rPr>
          <w:rFonts w:asciiTheme="minorHAnsi" w:hAnsiTheme="minorHAnsi"/>
        </w:rPr>
      </w:pPr>
      <w:r w:rsidRPr="00047A45">
        <w:rPr>
          <w:rFonts w:asciiTheme="minorHAnsi" w:hAnsiTheme="minorHAnsi"/>
        </w:rPr>
        <w:tab/>
        <w:t>Do zagęszczania nawierzchni z kostki należy stosować zagęszczarki wibracyjne (płytowe) z wykładziną elastomerową, chroniące kostki przed ścieraniem i wykruszaniem naroży.</w:t>
      </w:r>
    </w:p>
    <w:p w:rsidR="00B83F88" w:rsidRPr="00047A45" w:rsidRDefault="00B83F88" w:rsidP="00B83F88">
      <w:pPr>
        <w:rPr>
          <w:rFonts w:asciiTheme="minorHAnsi" w:hAnsiTheme="minorHAnsi"/>
        </w:rPr>
      </w:pPr>
      <w:r w:rsidRPr="00047A45">
        <w:rPr>
          <w:rFonts w:asciiTheme="minorHAnsi" w:hAnsiTheme="minorHAnsi"/>
        </w:rPr>
        <w:tab/>
        <w:t>Sprzęt do wykonania koryta, podbudowy i podsypki powinien odpowiadać wymaganiom właściwych ST lub innym dokumentom (normom PN i BN, wytycznym IBDiM).</w:t>
      </w:r>
    </w:p>
    <w:p w:rsidR="00B83F88" w:rsidRPr="00047A45" w:rsidRDefault="00B83F88" w:rsidP="00B83F88">
      <w:pPr>
        <w:rPr>
          <w:rFonts w:asciiTheme="minorHAnsi" w:hAnsiTheme="minorHAnsi"/>
        </w:rPr>
      </w:pPr>
      <w:r w:rsidRPr="00047A45">
        <w:rPr>
          <w:rFonts w:asciiTheme="minorHAnsi" w:hAnsiTheme="minorHAnsi"/>
        </w:rPr>
        <w:tab/>
        <w:t>Do wytwarzania podsypki cementowo-piaskowej i zapraw należy stosować betoniarki.</w:t>
      </w:r>
    </w:p>
    <w:p w:rsidR="00B83F88" w:rsidRPr="00047A45" w:rsidRDefault="00B83F88" w:rsidP="00B83F88">
      <w:pPr>
        <w:rPr>
          <w:rFonts w:asciiTheme="minorHAnsi" w:hAnsiTheme="minorHAnsi"/>
        </w:rPr>
      </w:pPr>
      <w:r w:rsidRPr="00047A45">
        <w:rPr>
          <w:rFonts w:asciiTheme="minorHAnsi" w:hAnsiTheme="minorHAnsi"/>
        </w:rPr>
        <w:tab/>
      </w:r>
    </w:p>
    <w:p w:rsidR="00B83F88" w:rsidRPr="00047A45" w:rsidRDefault="00B83F88" w:rsidP="00B83F88">
      <w:pPr>
        <w:rPr>
          <w:rFonts w:asciiTheme="minorHAnsi" w:hAnsiTheme="minorHAnsi"/>
          <w:b/>
        </w:rPr>
      </w:pPr>
      <w:bookmarkStart w:id="1500" w:name="_Toc107903639"/>
      <w:r w:rsidRPr="00047A45">
        <w:rPr>
          <w:rFonts w:asciiTheme="minorHAnsi" w:hAnsiTheme="minorHAnsi"/>
          <w:b/>
        </w:rPr>
        <w:t xml:space="preserve">4. </w:t>
      </w:r>
      <w:bookmarkEnd w:id="1500"/>
      <w:r w:rsidRPr="00047A45">
        <w:rPr>
          <w:rFonts w:asciiTheme="minorHAnsi" w:hAnsiTheme="minorHAnsi"/>
          <w:b/>
        </w:rPr>
        <w:t>TRANSPORT</w:t>
      </w:r>
    </w:p>
    <w:p w:rsidR="00B83F88" w:rsidRPr="00047A45" w:rsidRDefault="00B83F88" w:rsidP="00B83F88">
      <w:pPr>
        <w:rPr>
          <w:rFonts w:asciiTheme="minorHAnsi" w:hAnsiTheme="minorHAnsi"/>
        </w:rPr>
      </w:pPr>
      <w:r w:rsidRPr="00047A45">
        <w:rPr>
          <w:rFonts w:asciiTheme="minorHAnsi" w:hAnsiTheme="minorHAnsi"/>
          <w:b/>
        </w:rPr>
        <w:t>4.1.</w:t>
      </w:r>
      <w:r w:rsidRPr="00047A45">
        <w:rPr>
          <w:rFonts w:asciiTheme="minorHAnsi" w:hAnsiTheme="minorHAnsi"/>
        </w:rPr>
        <w:t xml:space="preserve"> Ogólne wymagania dotyczące transportu</w:t>
      </w:r>
    </w:p>
    <w:p w:rsidR="00B83F88" w:rsidRPr="00047A45" w:rsidRDefault="00B83F88" w:rsidP="00B83F88">
      <w:pPr>
        <w:rPr>
          <w:rFonts w:asciiTheme="minorHAnsi" w:hAnsiTheme="minorHAnsi"/>
        </w:rPr>
      </w:pPr>
      <w:r w:rsidRPr="00047A45">
        <w:rPr>
          <w:rFonts w:asciiTheme="minorHAnsi" w:hAnsiTheme="minorHAnsi"/>
        </w:rPr>
        <w:tab/>
        <w:t>Ogólne wymagania dotyczące transportu podano w ST D-M-00.00.00 „Wymagania ogólne” pkt 4.</w:t>
      </w:r>
    </w:p>
    <w:p w:rsidR="00B83F88" w:rsidRPr="00047A45" w:rsidRDefault="00B83F88" w:rsidP="00B83F88">
      <w:pPr>
        <w:rPr>
          <w:rFonts w:asciiTheme="minorHAnsi" w:hAnsiTheme="minorHAnsi"/>
        </w:rPr>
      </w:pPr>
      <w:r w:rsidRPr="00047A45">
        <w:rPr>
          <w:rFonts w:asciiTheme="minorHAnsi" w:hAnsiTheme="minorHAnsi"/>
          <w:b/>
        </w:rPr>
        <w:t>4.2.</w:t>
      </w:r>
      <w:r w:rsidRPr="00047A45">
        <w:rPr>
          <w:rFonts w:asciiTheme="minorHAnsi" w:hAnsiTheme="minorHAnsi"/>
        </w:rPr>
        <w:t xml:space="preserve"> Transport materiałów do wykonania nawierzchni</w:t>
      </w:r>
    </w:p>
    <w:p w:rsidR="00B83F88" w:rsidRPr="00047A45" w:rsidRDefault="00B83F88" w:rsidP="00B83F88">
      <w:pPr>
        <w:rPr>
          <w:rFonts w:asciiTheme="minorHAnsi" w:hAnsiTheme="minorHAnsi"/>
        </w:rPr>
      </w:pPr>
      <w:r w:rsidRPr="00047A45">
        <w:rPr>
          <w:rFonts w:asciiTheme="minorHAnsi" w:hAnsiTheme="minorHAnsi"/>
        </w:rPr>
        <w:tab/>
        <w:t>Betonowe kostki brukowe mogą być przewożone na paletach - dowolnymi środkami transportowymi po osiągnięciu przez beton wytrzymałości na ściskanie co najmniej 15 MPa. Kostki w trakcie transportu powinny być zabezpieczone przed przemieszczaniem się i uszkodzeniem.</w:t>
      </w:r>
    </w:p>
    <w:p w:rsidR="00B83F88" w:rsidRPr="00047A45" w:rsidRDefault="00B83F88" w:rsidP="00B83F88">
      <w:pPr>
        <w:rPr>
          <w:rFonts w:asciiTheme="minorHAnsi" w:hAnsiTheme="minorHAnsi"/>
        </w:rPr>
      </w:pPr>
      <w:r w:rsidRPr="00047A45">
        <w:rPr>
          <w:rFonts w:asciiTheme="minorHAnsi" w:hAnsiTheme="minorHAnsi"/>
        </w:rPr>
        <w:tab/>
        <w:t>Jako środki transportu wewnątrzzakładowego kostek na środki transportu zewnętrznego mogą służyć wózki widłowe, którymi można dokonać załadunku palet. Do załadunku palet na środki transportu można wykorzystywać również dźwigi samochodowe.</w:t>
      </w:r>
    </w:p>
    <w:p w:rsidR="00B83F88" w:rsidRPr="00047A45" w:rsidRDefault="00B83F88" w:rsidP="00B83F88">
      <w:pPr>
        <w:rPr>
          <w:rFonts w:asciiTheme="minorHAnsi" w:hAnsiTheme="minorHAnsi"/>
        </w:rPr>
      </w:pPr>
      <w:r w:rsidRPr="00047A45">
        <w:rPr>
          <w:rFonts w:asciiTheme="minorHAnsi" w:hAnsiTheme="minorHAnsi"/>
        </w:rPr>
        <w:tab/>
        <w:t xml:space="preserve">Palety transportowe powinny być spinane taśmami stalowymi lub plastikowymi, zabezpieczającymi kostki przed uszkodzeniem w czasie transportu. Na jednej palecie zaleca się układać do 10 warstw kostek (zależnie od grubości i kształtu), tak aby masa palety z kostkami wynosiła od </w:t>
      </w:r>
      <w:smartTag w:uri="urn:schemas-microsoft-com:office:smarttags" w:element="metricconverter">
        <w:smartTagPr>
          <w:attr w:name="ProductID" w:val="1200 kg"/>
        </w:smartTagPr>
        <w:r w:rsidRPr="00047A45">
          <w:rPr>
            <w:rFonts w:asciiTheme="minorHAnsi" w:hAnsiTheme="minorHAnsi"/>
          </w:rPr>
          <w:t>1200 kg</w:t>
        </w:r>
      </w:smartTag>
      <w:r w:rsidRPr="00047A45">
        <w:rPr>
          <w:rFonts w:asciiTheme="minorHAnsi" w:hAnsiTheme="minorHAnsi"/>
        </w:rPr>
        <w:t xml:space="preserve"> do </w:t>
      </w:r>
      <w:smartTag w:uri="urn:schemas-microsoft-com:office:smarttags" w:element="metricconverter">
        <w:smartTagPr>
          <w:attr w:name="ProductID" w:val="1700 kg"/>
        </w:smartTagPr>
        <w:r w:rsidRPr="00047A45">
          <w:rPr>
            <w:rFonts w:asciiTheme="minorHAnsi" w:hAnsiTheme="minorHAnsi"/>
          </w:rPr>
          <w:t>1700 kg</w:t>
        </w:r>
      </w:smartTag>
      <w:r w:rsidRPr="00047A45">
        <w:rPr>
          <w:rFonts w:asciiTheme="minorHAnsi" w:hAnsiTheme="minorHAnsi"/>
        </w:rPr>
        <w:t>. Pożądane jest, aby palety z kostkami były wysyłane do odbiorcy środkiem transportu samochodowego wyposażonym w dźwig do za- i rozładunku.</w:t>
      </w:r>
    </w:p>
    <w:p w:rsidR="00B83F88" w:rsidRPr="00047A45" w:rsidRDefault="00B83F88" w:rsidP="00B83F88">
      <w:pPr>
        <w:rPr>
          <w:rFonts w:asciiTheme="minorHAnsi" w:hAnsiTheme="minorHAnsi"/>
        </w:rPr>
      </w:pPr>
      <w:r w:rsidRPr="00047A45">
        <w:rPr>
          <w:rFonts w:asciiTheme="minorHAnsi" w:hAnsiTheme="minorHAnsi"/>
        </w:rPr>
        <w:tab/>
        <w:t>Krawężniki i obrzeża mogą być przewożone dowolnymi środkami transportowymi. Krawężniki betonowe należy układać w pozycji pionowej z nachyleniem w kierunku jazdy. Krawężniki kamienne należy układać na podkładkach drewnianych, długością w kierunku jazdy. Krawężniki i obrzeża powinny być zabezpieczone przed przemieszczaniem się i uszkodzeniem w czasie transportu.</w:t>
      </w:r>
    </w:p>
    <w:p w:rsidR="00B83F88" w:rsidRPr="00047A45" w:rsidRDefault="00B83F88" w:rsidP="00B83F88">
      <w:pPr>
        <w:rPr>
          <w:rFonts w:asciiTheme="minorHAnsi" w:hAnsiTheme="minorHAnsi"/>
        </w:rPr>
      </w:pPr>
      <w:r w:rsidRPr="00047A45">
        <w:rPr>
          <w:rFonts w:asciiTheme="minorHAnsi" w:hAnsiTheme="minorHAnsi"/>
        </w:rPr>
        <w:tab/>
        <w:t>Kruszywa można przewozić dowolnym środkiem transportu, w warunkach zabezpieczających je przed zanieczyszczeniem i zmieszaniem z innymi materiałami. Podczas transportu kruszywa powinny być zabezpieczone przed wysypaniem, a kruszywo drobne - przed rozpyleniem.</w:t>
      </w:r>
    </w:p>
    <w:p w:rsidR="00B83F88" w:rsidRPr="00047A45" w:rsidRDefault="00B83F88" w:rsidP="00B83F88">
      <w:pPr>
        <w:rPr>
          <w:rFonts w:asciiTheme="minorHAnsi" w:hAnsiTheme="minorHAnsi"/>
        </w:rPr>
      </w:pPr>
      <w:r w:rsidRPr="00047A45">
        <w:rPr>
          <w:rFonts w:asciiTheme="minorHAnsi" w:hAnsiTheme="minorHAnsi"/>
        </w:rPr>
        <w:t xml:space="preserve">Cement w workach może być przewożony samochodami krytymi, wagonami towarowymi i innymi środkami transportu, w sposób nie powodujący uszkodzeń opakowania. Worki przewożone na paletach układa się po 5 warstw worków, po 4 szt. w warstwie. Worki niespaletowane układa się na płask, przylegające do siebie, w równej wysokości do 10 warstw. Ładowanie i wyładowywanie zaleca się wykonywać za pomocą zmechanizowanych urządzeń do poziomego i pionowego przemieszczania ładunków. Cement luzem może być przewożony w zbiornikach transportowych (np. wagonach, samochodach), czystych i wolnych od pozostałości z poprzednich dostaw, oraz nie powinien ulegać </w:t>
      </w:r>
      <w:r w:rsidRPr="00047A45">
        <w:rPr>
          <w:rFonts w:asciiTheme="minorHAnsi" w:hAnsiTheme="minorHAnsi"/>
        </w:rPr>
        <w:lastRenderedPageBreak/>
        <w:t>zniszczeniom podczas transportu. Środki transportu powinny być wyposażone we wsypy i urządzenia do wyładowania cementu.</w:t>
      </w:r>
      <w:r w:rsidRPr="00047A45">
        <w:rPr>
          <w:rFonts w:asciiTheme="minorHAnsi" w:hAnsiTheme="minorHAnsi"/>
        </w:rPr>
        <w:tab/>
      </w:r>
    </w:p>
    <w:p w:rsidR="00B83F88" w:rsidRPr="00047A45" w:rsidRDefault="00B83F88" w:rsidP="00B83F88">
      <w:pPr>
        <w:rPr>
          <w:rFonts w:asciiTheme="minorHAnsi" w:hAnsiTheme="minorHAnsi"/>
        </w:rPr>
      </w:pPr>
      <w:r w:rsidRPr="00047A45">
        <w:rPr>
          <w:rFonts w:asciiTheme="minorHAnsi" w:hAnsiTheme="minorHAnsi"/>
        </w:rPr>
        <w:t>Zalewę lub masy uszczelniające do szczelin dylatacyjnych można transportować dowolnymi środkami transportu w fabrycznie zamkniętych pojemnikach lub opakowaniach, chroniących je przed zanieczyszczeniem.</w:t>
      </w:r>
    </w:p>
    <w:p w:rsidR="00B83F88" w:rsidRPr="00047A45" w:rsidRDefault="00B83F88" w:rsidP="00B83F88">
      <w:pPr>
        <w:rPr>
          <w:rFonts w:asciiTheme="minorHAnsi" w:hAnsiTheme="minorHAnsi"/>
        </w:rPr>
      </w:pPr>
      <w:r w:rsidRPr="00047A45">
        <w:rPr>
          <w:rFonts w:asciiTheme="minorHAnsi" w:hAnsiTheme="minorHAnsi"/>
        </w:rPr>
        <w:tab/>
        <w:t>Materiały do podbudowy powinny być przewożone w sposób odpowiadający wymaganiom właściwej ST.</w:t>
      </w:r>
    </w:p>
    <w:p w:rsidR="00B83F88" w:rsidRPr="00047A45" w:rsidRDefault="00B83F88" w:rsidP="00B83F88">
      <w:pPr>
        <w:rPr>
          <w:rFonts w:asciiTheme="minorHAnsi" w:hAnsiTheme="minorHAnsi"/>
        </w:rPr>
      </w:pPr>
    </w:p>
    <w:p w:rsidR="00B83F88" w:rsidRPr="00047A45" w:rsidRDefault="00B83F88" w:rsidP="00B83F88">
      <w:pPr>
        <w:rPr>
          <w:rFonts w:asciiTheme="minorHAnsi" w:hAnsiTheme="minorHAnsi"/>
          <w:b/>
        </w:rPr>
      </w:pPr>
      <w:bookmarkStart w:id="1501" w:name="_Toc107903640"/>
      <w:r w:rsidRPr="00047A45">
        <w:rPr>
          <w:rFonts w:asciiTheme="minorHAnsi" w:hAnsiTheme="minorHAnsi"/>
          <w:b/>
        </w:rPr>
        <w:t xml:space="preserve">5. </w:t>
      </w:r>
      <w:bookmarkEnd w:id="1501"/>
      <w:r w:rsidRPr="00047A45">
        <w:rPr>
          <w:rFonts w:asciiTheme="minorHAnsi" w:hAnsiTheme="minorHAnsi"/>
          <w:b/>
        </w:rPr>
        <w:t>WYKONANIE ROBÓT</w:t>
      </w:r>
    </w:p>
    <w:p w:rsidR="00B83F88" w:rsidRPr="00047A45" w:rsidRDefault="00B83F88" w:rsidP="00B83F88">
      <w:pPr>
        <w:rPr>
          <w:rFonts w:asciiTheme="minorHAnsi" w:hAnsiTheme="minorHAnsi"/>
        </w:rPr>
      </w:pPr>
      <w:r w:rsidRPr="00047A45">
        <w:rPr>
          <w:rFonts w:asciiTheme="minorHAnsi" w:hAnsiTheme="minorHAnsi"/>
          <w:b/>
        </w:rPr>
        <w:t>5.1.</w:t>
      </w:r>
      <w:r w:rsidRPr="00047A45">
        <w:rPr>
          <w:rFonts w:asciiTheme="minorHAnsi" w:hAnsiTheme="minorHAnsi"/>
        </w:rPr>
        <w:t xml:space="preserve"> Ogólne zasady wykonania robót</w:t>
      </w:r>
    </w:p>
    <w:p w:rsidR="00B83F88" w:rsidRPr="00047A45" w:rsidRDefault="00B83F88" w:rsidP="00B83F88">
      <w:pPr>
        <w:rPr>
          <w:rFonts w:asciiTheme="minorHAnsi" w:hAnsiTheme="minorHAnsi"/>
        </w:rPr>
      </w:pPr>
      <w:r w:rsidRPr="00047A45">
        <w:rPr>
          <w:rFonts w:asciiTheme="minorHAnsi" w:hAnsiTheme="minorHAnsi"/>
        </w:rPr>
        <w:tab/>
        <w:t>Ogólne zasady wykonania robót podano w ST D-M-00.00.00 „Wymagania ogólne” pkt 5.</w:t>
      </w:r>
    </w:p>
    <w:p w:rsidR="00B83F88" w:rsidRPr="00047A45" w:rsidRDefault="00B83F88" w:rsidP="00B83F88">
      <w:pPr>
        <w:rPr>
          <w:rFonts w:asciiTheme="minorHAnsi" w:hAnsiTheme="minorHAnsi"/>
        </w:rPr>
      </w:pPr>
      <w:r w:rsidRPr="00047A45">
        <w:rPr>
          <w:rFonts w:asciiTheme="minorHAnsi" w:hAnsiTheme="minorHAnsi"/>
          <w:b/>
        </w:rPr>
        <w:t>5.2.</w:t>
      </w:r>
      <w:r w:rsidRPr="00047A45">
        <w:rPr>
          <w:rFonts w:asciiTheme="minorHAnsi" w:hAnsiTheme="minorHAnsi"/>
        </w:rPr>
        <w:t xml:space="preserve"> Podłoże i koryto</w:t>
      </w:r>
    </w:p>
    <w:p w:rsidR="00B83F88" w:rsidRPr="00047A45" w:rsidRDefault="00B83F88" w:rsidP="00B83F88">
      <w:pPr>
        <w:rPr>
          <w:rFonts w:asciiTheme="minorHAnsi" w:hAnsiTheme="minorHAnsi"/>
        </w:rPr>
      </w:pPr>
      <w:r w:rsidRPr="00047A45">
        <w:rPr>
          <w:rFonts w:asciiTheme="minorHAnsi" w:hAnsiTheme="minorHAnsi"/>
        </w:rPr>
        <w:tab/>
        <w:t>Grunty podłoża powinny być niewysadzinowe, jednorodne i nośne oraz zabezpieczone przed nadmiernym zawilgoceniem i ujemnymi skutkami przemarzania, zgodnie z dokumentacją projektową.</w:t>
      </w:r>
    </w:p>
    <w:p w:rsidR="00B83F88" w:rsidRPr="00047A45" w:rsidRDefault="00B83F88" w:rsidP="00B83F88">
      <w:pPr>
        <w:rPr>
          <w:rFonts w:asciiTheme="minorHAnsi" w:hAnsiTheme="minorHAnsi"/>
        </w:rPr>
      </w:pPr>
      <w:r w:rsidRPr="00047A45">
        <w:rPr>
          <w:rFonts w:asciiTheme="minorHAnsi" w:hAnsiTheme="minorHAnsi"/>
        </w:rPr>
        <w:tab/>
        <w:t xml:space="preserve">Koryto pod podbudowę lub nawierzchnię powinno być wyprofilowane zgodnie z projektowanymi spadkami oraz przygotowane zgodnie z wymaganiami ST D-04.01.01.  </w:t>
      </w:r>
    </w:p>
    <w:p w:rsidR="00B83F88" w:rsidRPr="00047A45" w:rsidRDefault="00B83F88" w:rsidP="00B83F88">
      <w:pPr>
        <w:rPr>
          <w:rFonts w:asciiTheme="minorHAnsi" w:hAnsiTheme="minorHAnsi"/>
        </w:rPr>
      </w:pPr>
      <w:r w:rsidRPr="00047A45">
        <w:rPr>
          <w:rFonts w:asciiTheme="minorHAnsi" w:hAnsiTheme="minorHAnsi"/>
        </w:rPr>
        <w:tab/>
        <w:t>Koryto musi mieć skuteczne odwodnienie, zgodne z dokumentacją projektową.</w:t>
      </w:r>
    </w:p>
    <w:p w:rsidR="00B83F88" w:rsidRPr="00047A45" w:rsidRDefault="00B83F88" w:rsidP="00B83F88">
      <w:pPr>
        <w:rPr>
          <w:rFonts w:asciiTheme="minorHAnsi" w:hAnsiTheme="minorHAnsi"/>
        </w:rPr>
      </w:pPr>
      <w:r w:rsidRPr="00047A45">
        <w:rPr>
          <w:rFonts w:asciiTheme="minorHAnsi" w:hAnsiTheme="minorHAnsi"/>
          <w:b/>
        </w:rPr>
        <w:t>5.3.</w:t>
      </w:r>
      <w:r w:rsidRPr="00047A45">
        <w:rPr>
          <w:rFonts w:asciiTheme="minorHAnsi" w:hAnsiTheme="minorHAnsi"/>
        </w:rPr>
        <w:t xml:space="preserve"> Konstrukcja nawierzchni</w:t>
      </w:r>
    </w:p>
    <w:p w:rsidR="00B83F88" w:rsidRPr="00047A45" w:rsidRDefault="00B83F88" w:rsidP="00B83F88">
      <w:pPr>
        <w:rPr>
          <w:rFonts w:asciiTheme="minorHAnsi" w:hAnsiTheme="minorHAnsi"/>
        </w:rPr>
      </w:pPr>
      <w:r w:rsidRPr="00047A45">
        <w:rPr>
          <w:rFonts w:asciiTheme="minorHAnsi" w:hAnsiTheme="minorHAnsi"/>
        </w:rPr>
        <w:tab/>
        <w:t>Konstrukcja nawierzchni powinna być zgodna z dokumentacją projektową lub ST (przykłady konstrukcji nawierzchni podają załączniki 3 i 4).</w:t>
      </w:r>
    </w:p>
    <w:p w:rsidR="00B83F88" w:rsidRPr="00047A45" w:rsidRDefault="00B83F88" w:rsidP="00B83F88">
      <w:pPr>
        <w:rPr>
          <w:rFonts w:asciiTheme="minorHAnsi" w:hAnsiTheme="minorHAnsi"/>
        </w:rPr>
      </w:pPr>
      <w:r w:rsidRPr="00047A45">
        <w:rPr>
          <w:rFonts w:asciiTheme="minorHAnsi" w:hAnsiTheme="minorHAnsi"/>
        </w:rPr>
        <w:tab/>
        <w:t>Konstrukcja nawierzchni może obejmować ułożenie warstwy ścieralnej z betonowej kostki brukowej na:</w:t>
      </w:r>
    </w:p>
    <w:p w:rsidR="00B83F88" w:rsidRPr="00047A45" w:rsidRDefault="00B83F88" w:rsidP="00B83F88">
      <w:pPr>
        <w:rPr>
          <w:rFonts w:asciiTheme="minorHAnsi" w:hAnsiTheme="minorHAnsi"/>
        </w:rPr>
      </w:pPr>
      <w:r>
        <w:rPr>
          <w:rFonts w:asciiTheme="minorHAnsi" w:hAnsiTheme="minorHAnsi"/>
        </w:rPr>
        <w:t>-</w:t>
      </w:r>
      <w:r w:rsidRPr="00047A45">
        <w:rPr>
          <w:rFonts w:asciiTheme="minorHAnsi" w:hAnsiTheme="minorHAnsi"/>
        </w:rPr>
        <w:t>podsypce piaskowej lub cementowo-piaskowej oraz podbudowie,</w:t>
      </w:r>
    </w:p>
    <w:p w:rsidR="00B83F88" w:rsidRPr="00047A45" w:rsidRDefault="00B83F88" w:rsidP="00B83F88">
      <w:pPr>
        <w:rPr>
          <w:rFonts w:asciiTheme="minorHAnsi" w:hAnsiTheme="minorHAnsi"/>
        </w:rPr>
      </w:pPr>
      <w:r>
        <w:rPr>
          <w:rFonts w:asciiTheme="minorHAnsi" w:hAnsiTheme="minorHAnsi"/>
        </w:rPr>
        <w:t>-</w:t>
      </w:r>
      <w:r w:rsidRPr="00047A45">
        <w:rPr>
          <w:rFonts w:asciiTheme="minorHAnsi" w:hAnsiTheme="minorHAnsi"/>
        </w:rPr>
        <w:t>podsypce piaskowej rozścielonej bezpośrednio na podłożu z gruntu piaszczystego.</w:t>
      </w:r>
    </w:p>
    <w:p w:rsidR="00B83F88" w:rsidRPr="00047A45" w:rsidRDefault="00B83F88" w:rsidP="00B83F88">
      <w:pPr>
        <w:rPr>
          <w:rFonts w:asciiTheme="minorHAnsi" w:hAnsiTheme="minorHAnsi"/>
        </w:rPr>
      </w:pPr>
      <w:r w:rsidRPr="00047A45">
        <w:rPr>
          <w:rFonts w:asciiTheme="minorHAnsi" w:hAnsiTheme="minorHAnsi"/>
        </w:rPr>
        <w:tab/>
        <w:t>Podstawowe czynności przy wykonywaniu nawierzchni, z występowaniem podbudowy, podsypki cementowo-piaskowej i wypełnieniem spoin zaprawą cementowo-piaskową, obejmują:</w:t>
      </w:r>
    </w:p>
    <w:p w:rsidR="00B83F88" w:rsidRPr="00047A45" w:rsidRDefault="00B83F88" w:rsidP="00B83F88">
      <w:pPr>
        <w:rPr>
          <w:rFonts w:asciiTheme="minorHAnsi" w:hAnsiTheme="minorHAnsi"/>
        </w:rPr>
      </w:pPr>
      <w:r>
        <w:rPr>
          <w:rFonts w:asciiTheme="minorHAnsi" w:hAnsiTheme="minorHAnsi"/>
        </w:rPr>
        <w:t>-</w:t>
      </w:r>
      <w:r w:rsidRPr="00047A45">
        <w:rPr>
          <w:rFonts w:asciiTheme="minorHAnsi" w:hAnsiTheme="minorHAnsi"/>
        </w:rPr>
        <w:t>wykonanie podbudowy,</w:t>
      </w:r>
    </w:p>
    <w:p w:rsidR="00B83F88" w:rsidRPr="00047A45" w:rsidRDefault="00B83F88" w:rsidP="00B83F88">
      <w:pPr>
        <w:rPr>
          <w:rFonts w:asciiTheme="minorHAnsi" w:hAnsiTheme="minorHAnsi"/>
        </w:rPr>
      </w:pPr>
      <w:r>
        <w:rPr>
          <w:rFonts w:asciiTheme="minorHAnsi" w:hAnsiTheme="minorHAnsi"/>
        </w:rPr>
        <w:t>-</w:t>
      </w:r>
      <w:r w:rsidRPr="00047A45">
        <w:rPr>
          <w:rFonts w:asciiTheme="minorHAnsi" w:hAnsiTheme="minorHAnsi"/>
        </w:rPr>
        <w:t>wykonanie obramowania nawierzchni (z krawężników, obrzeży i ew. ścieków),</w:t>
      </w:r>
    </w:p>
    <w:p w:rsidR="00B83F88" w:rsidRPr="00047A45" w:rsidRDefault="00B83F88" w:rsidP="00B83F88">
      <w:pPr>
        <w:rPr>
          <w:rFonts w:asciiTheme="minorHAnsi" w:hAnsiTheme="minorHAnsi"/>
        </w:rPr>
      </w:pPr>
      <w:r>
        <w:rPr>
          <w:rFonts w:asciiTheme="minorHAnsi" w:hAnsiTheme="minorHAnsi"/>
        </w:rPr>
        <w:t>-</w:t>
      </w:r>
      <w:r w:rsidRPr="00047A45">
        <w:rPr>
          <w:rFonts w:asciiTheme="minorHAnsi" w:hAnsiTheme="minorHAnsi"/>
        </w:rPr>
        <w:t>przygotowanie i rozścielenie podsypki cementowo-piaskowej,</w:t>
      </w:r>
    </w:p>
    <w:p w:rsidR="00B83F88" w:rsidRPr="00047A45" w:rsidRDefault="00B83F88" w:rsidP="00B83F88">
      <w:pPr>
        <w:rPr>
          <w:rFonts w:asciiTheme="minorHAnsi" w:hAnsiTheme="minorHAnsi"/>
        </w:rPr>
      </w:pPr>
      <w:r>
        <w:rPr>
          <w:rFonts w:asciiTheme="minorHAnsi" w:hAnsiTheme="minorHAnsi"/>
        </w:rPr>
        <w:t>-</w:t>
      </w:r>
      <w:r w:rsidRPr="00047A45">
        <w:rPr>
          <w:rFonts w:asciiTheme="minorHAnsi" w:hAnsiTheme="minorHAnsi"/>
        </w:rPr>
        <w:t>ułożenie kostek z ubiciem,</w:t>
      </w:r>
    </w:p>
    <w:p w:rsidR="00B83F88" w:rsidRPr="00047A45" w:rsidRDefault="00B83F88" w:rsidP="00B83F88">
      <w:pPr>
        <w:rPr>
          <w:rFonts w:asciiTheme="minorHAnsi" w:hAnsiTheme="minorHAnsi"/>
        </w:rPr>
      </w:pPr>
      <w:r>
        <w:rPr>
          <w:rFonts w:asciiTheme="minorHAnsi" w:hAnsiTheme="minorHAnsi"/>
        </w:rPr>
        <w:t>-</w:t>
      </w:r>
      <w:r w:rsidRPr="00047A45">
        <w:rPr>
          <w:rFonts w:asciiTheme="minorHAnsi" w:hAnsiTheme="minorHAnsi"/>
        </w:rPr>
        <w:t>przygotowanie zaprawy cementowo-piaskowej i wypełnienie nią szczelin,</w:t>
      </w:r>
    </w:p>
    <w:p w:rsidR="00B83F88" w:rsidRPr="00047A45" w:rsidRDefault="00B83F88" w:rsidP="00B83F88">
      <w:pPr>
        <w:rPr>
          <w:rFonts w:asciiTheme="minorHAnsi" w:hAnsiTheme="minorHAnsi"/>
        </w:rPr>
      </w:pPr>
      <w:r>
        <w:rPr>
          <w:rFonts w:asciiTheme="minorHAnsi" w:hAnsiTheme="minorHAnsi"/>
        </w:rPr>
        <w:t>-</w:t>
      </w:r>
      <w:r w:rsidRPr="00047A45">
        <w:rPr>
          <w:rFonts w:asciiTheme="minorHAnsi" w:hAnsiTheme="minorHAnsi"/>
        </w:rPr>
        <w:t>wypełnienie szczelin dylatacyjnych,</w:t>
      </w:r>
    </w:p>
    <w:p w:rsidR="00B83F88" w:rsidRPr="00047A45" w:rsidRDefault="00B83F88" w:rsidP="00B83F88">
      <w:pPr>
        <w:rPr>
          <w:rFonts w:asciiTheme="minorHAnsi" w:hAnsiTheme="minorHAnsi"/>
        </w:rPr>
      </w:pPr>
      <w:r>
        <w:rPr>
          <w:rFonts w:asciiTheme="minorHAnsi" w:hAnsiTheme="minorHAnsi"/>
        </w:rPr>
        <w:t>-</w:t>
      </w:r>
      <w:r w:rsidRPr="00047A45">
        <w:rPr>
          <w:rFonts w:asciiTheme="minorHAnsi" w:hAnsiTheme="minorHAnsi"/>
        </w:rPr>
        <w:t>pielęgnację nawierzchni i oddanie jej do ruchu.</w:t>
      </w:r>
    </w:p>
    <w:p w:rsidR="00B83F88" w:rsidRPr="00047A45" w:rsidRDefault="00B83F88" w:rsidP="00B83F88">
      <w:pPr>
        <w:rPr>
          <w:rFonts w:asciiTheme="minorHAnsi" w:hAnsiTheme="minorHAnsi"/>
        </w:rPr>
      </w:pPr>
      <w:r w:rsidRPr="00047A45">
        <w:rPr>
          <w:rFonts w:asciiTheme="minorHAnsi" w:hAnsiTheme="minorHAnsi"/>
          <w:b/>
        </w:rPr>
        <w:t>5.4.</w:t>
      </w:r>
      <w:r w:rsidRPr="00047A45">
        <w:rPr>
          <w:rFonts w:asciiTheme="minorHAnsi" w:hAnsiTheme="minorHAnsi"/>
        </w:rPr>
        <w:t xml:space="preserve"> Podbudowa</w:t>
      </w:r>
    </w:p>
    <w:p w:rsidR="00B83F88" w:rsidRPr="00047A45" w:rsidRDefault="00B83F88" w:rsidP="00B83F88">
      <w:pPr>
        <w:rPr>
          <w:rFonts w:asciiTheme="minorHAnsi" w:hAnsiTheme="minorHAnsi"/>
        </w:rPr>
      </w:pPr>
      <w:r w:rsidRPr="00047A45">
        <w:rPr>
          <w:rFonts w:asciiTheme="minorHAnsi" w:hAnsiTheme="minorHAnsi"/>
        </w:rPr>
        <w:tab/>
        <w:t>Rodzaj podbudowy przewidzianej do wykonania pod warstwą betonowej kostki brukowej powinien być zgodny z dokumentacją projektową.</w:t>
      </w:r>
    </w:p>
    <w:p w:rsidR="00B83F88" w:rsidRPr="00047A45" w:rsidRDefault="00B83F88" w:rsidP="00B83F88">
      <w:pPr>
        <w:rPr>
          <w:rFonts w:asciiTheme="minorHAnsi" w:hAnsiTheme="minorHAnsi"/>
        </w:rPr>
      </w:pPr>
      <w:r w:rsidRPr="00047A45">
        <w:rPr>
          <w:rFonts w:asciiTheme="minorHAnsi" w:hAnsiTheme="minorHAnsi"/>
        </w:rPr>
        <w:tab/>
        <w:t>Wykonanie podbudowy powinno odpowiadać wymaganiom właś</w:t>
      </w:r>
      <w:r>
        <w:rPr>
          <w:rFonts w:asciiTheme="minorHAnsi" w:hAnsiTheme="minorHAnsi"/>
        </w:rPr>
        <w:t>ciwych</w:t>
      </w:r>
      <w:r w:rsidRPr="00047A45">
        <w:rPr>
          <w:rFonts w:asciiTheme="minorHAnsi" w:hAnsiTheme="minorHAnsi"/>
        </w:rPr>
        <w:t xml:space="preserve"> </w:t>
      </w:r>
      <w:r>
        <w:rPr>
          <w:rFonts w:asciiTheme="minorHAnsi" w:hAnsiTheme="minorHAnsi"/>
        </w:rPr>
        <w:t>ST.</w:t>
      </w:r>
    </w:p>
    <w:p w:rsidR="00B83F88" w:rsidRPr="00047A45" w:rsidRDefault="00B83F88" w:rsidP="00B83F88">
      <w:pPr>
        <w:rPr>
          <w:rFonts w:asciiTheme="minorHAnsi" w:hAnsiTheme="minorHAnsi"/>
        </w:rPr>
      </w:pPr>
      <w:r w:rsidRPr="00047A45">
        <w:rPr>
          <w:rFonts w:asciiTheme="minorHAnsi" w:hAnsiTheme="minorHAnsi"/>
          <w:b/>
        </w:rPr>
        <w:t>5.5.</w:t>
      </w:r>
      <w:r w:rsidRPr="00047A45">
        <w:rPr>
          <w:rFonts w:asciiTheme="minorHAnsi" w:hAnsiTheme="minorHAnsi"/>
        </w:rPr>
        <w:t xml:space="preserve"> Obramowanie nawierzchni</w:t>
      </w:r>
    </w:p>
    <w:p w:rsidR="00B83F88" w:rsidRPr="00047A45" w:rsidRDefault="00B83F88" w:rsidP="00B83F88">
      <w:pPr>
        <w:rPr>
          <w:rFonts w:asciiTheme="minorHAnsi" w:hAnsiTheme="minorHAnsi"/>
        </w:rPr>
      </w:pPr>
      <w:r w:rsidRPr="00047A45">
        <w:rPr>
          <w:rFonts w:asciiTheme="minorHAnsi" w:hAnsiTheme="minorHAnsi"/>
        </w:rPr>
        <w:tab/>
        <w:t>Rodzaj obramowania nawierzchni powinien być zgodny z dokumentacją projektową.</w:t>
      </w:r>
    </w:p>
    <w:p w:rsidR="00B83F88" w:rsidRPr="00047A45" w:rsidRDefault="00B83F88" w:rsidP="00B83F88">
      <w:pPr>
        <w:rPr>
          <w:rFonts w:asciiTheme="minorHAnsi" w:hAnsiTheme="minorHAnsi"/>
        </w:rPr>
      </w:pPr>
      <w:r w:rsidRPr="00047A45">
        <w:rPr>
          <w:rFonts w:asciiTheme="minorHAnsi" w:hAnsiTheme="minorHAnsi"/>
        </w:rPr>
        <w:tab/>
        <w:t>Jeśli dokumentacja projektowa nie ustala inaczej, to materiały do wykonania obramowań powinny odpowiadać wymaganiom określonym w pkcie 2.4.</w:t>
      </w:r>
    </w:p>
    <w:p w:rsidR="00B83F88" w:rsidRPr="00047A45" w:rsidRDefault="001E5422" w:rsidP="00B83F88">
      <w:pPr>
        <w:rPr>
          <w:rFonts w:asciiTheme="minorHAnsi" w:hAnsiTheme="minorHAnsi"/>
        </w:rPr>
      </w:pPr>
      <w:r>
        <w:rPr>
          <w:rFonts w:asciiTheme="minorHAnsi" w:hAnsiTheme="minorHAnsi"/>
        </w:rPr>
        <w:tab/>
        <w:t xml:space="preserve">Ustawianie krawężników i </w:t>
      </w:r>
      <w:r w:rsidR="00B83F88" w:rsidRPr="00047A45">
        <w:rPr>
          <w:rFonts w:asciiTheme="minorHAnsi" w:hAnsiTheme="minorHAnsi"/>
        </w:rPr>
        <w:t>obrzeży powinno być zgodne z wymaganiami zawartymi w odpowiednich ST.</w:t>
      </w:r>
    </w:p>
    <w:p w:rsidR="00B83F88" w:rsidRPr="00047A45" w:rsidRDefault="00B83F88" w:rsidP="00B83F88">
      <w:pPr>
        <w:rPr>
          <w:rFonts w:asciiTheme="minorHAnsi" w:hAnsiTheme="minorHAnsi"/>
        </w:rPr>
      </w:pPr>
      <w:r w:rsidRPr="00047A45">
        <w:rPr>
          <w:rFonts w:asciiTheme="minorHAnsi" w:hAnsiTheme="minorHAnsi"/>
        </w:rPr>
        <w:tab/>
        <w:t>Krawężniki i obrzeża zaleca się ustawiać przed przystąpieniem do układania nawierzchni z kostki. Przed ich ustawieniem, pożądane jest ułożenie pojedynczego rzędu kostek w celu ustalenia szerokości nawierzchni i prawidłowej lokalizacji krawężników lub obrzeży.</w:t>
      </w:r>
    </w:p>
    <w:p w:rsidR="00B83F88" w:rsidRPr="00047A45" w:rsidRDefault="00B83F88" w:rsidP="00B83F88">
      <w:pPr>
        <w:rPr>
          <w:rFonts w:asciiTheme="minorHAnsi" w:hAnsiTheme="minorHAnsi"/>
        </w:rPr>
      </w:pPr>
      <w:r w:rsidRPr="00047A45">
        <w:rPr>
          <w:rFonts w:asciiTheme="minorHAnsi" w:hAnsiTheme="minorHAnsi"/>
          <w:b/>
        </w:rPr>
        <w:t>5.6.</w:t>
      </w:r>
      <w:r w:rsidRPr="00047A45">
        <w:rPr>
          <w:rFonts w:asciiTheme="minorHAnsi" w:hAnsiTheme="minorHAnsi"/>
        </w:rPr>
        <w:t xml:space="preserve"> Podsypka</w:t>
      </w:r>
    </w:p>
    <w:p w:rsidR="00B83F88" w:rsidRPr="00047A45" w:rsidRDefault="00B83F88" w:rsidP="00B83F88">
      <w:pPr>
        <w:rPr>
          <w:rFonts w:asciiTheme="minorHAnsi" w:hAnsiTheme="minorHAnsi"/>
        </w:rPr>
      </w:pPr>
      <w:r w:rsidRPr="00047A45">
        <w:rPr>
          <w:rFonts w:asciiTheme="minorHAnsi" w:hAnsiTheme="minorHAnsi"/>
        </w:rPr>
        <w:tab/>
        <w:t>Rodzaj podsypki i jej grubość powinny być zgodne z dokumentacją projektową.</w:t>
      </w:r>
    </w:p>
    <w:p w:rsidR="00B83F88" w:rsidRPr="00047A45" w:rsidRDefault="00B83F88" w:rsidP="00B83F88">
      <w:pPr>
        <w:rPr>
          <w:rFonts w:asciiTheme="minorHAnsi" w:hAnsiTheme="minorHAnsi"/>
        </w:rPr>
      </w:pPr>
      <w:r w:rsidRPr="00047A45">
        <w:rPr>
          <w:rFonts w:asciiTheme="minorHAnsi" w:hAnsiTheme="minorHAnsi"/>
        </w:rPr>
        <w:tab/>
        <w:t>Jeśli dokumentacja projektowa nie ustala inaczej to grubość podsypki powinna wynosić po zagęszczeniu 3</w:t>
      </w:r>
      <w:r w:rsidRPr="00047A45">
        <w:rPr>
          <w:rFonts w:asciiTheme="minorHAnsi" w:hAnsiTheme="minorHAnsi"/>
        </w:rPr>
        <w:sym w:font="Symbol" w:char="F0B8"/>
      </w:r>
      <w:r w:rsidRPr="00047A45">
        <w:rPr>
          <w:rFonts w:asciiTheme="minorHAnsi" w:hAnsiTheme="minorHAnsi"/>
        </w:rPr>
        <w:t xml:space="preserve">5 cm, a wymagania dla materiałów na podsypkę powinny być zgodne z pktem 2.3. Dopuszczalne odchyłki od zaprojektowanej grubości podsypki nie powinny przekraczać </w:t>
      </w:r>
      <w:r w:rsidRPr="00047A45">
        <w:rPr>
          <w:rFonts w:asciiTheme="minorHAnsi" w:hAnsiTheme="minorHAnsi"/>
        </w:rPr>
        <w:sym w:font="Symbol" w:char="F0B1"/>
      </w:r>
      <w:r w:rsidRPr="00047A45">
        <w:rPr>
          <w:rFonts w:asciiTheme="minorHAnsi" w:hAnsiTheme="minorHAnsi"/>
        </w:rPr>
        <w:t xml:space="preserve"> </w:t>
      </w:r>
      <w:smartTag w:uri="urn:schemas-microsoft-com:office:smarttags" w:element="metricconverter">
        <w:smartTagPr>
          <w:attr w:name="ProductID" w:val="1 cm"/>
        </w:smartTagPr>
        <w:r w:rsidRPr="00047A45">
          <w:rPr>
            <w:rFonts w:asciiTheme="minorHAnsi" w:hAnsiTheme="minorHAnsi"/>
          </w:rPr>
          <w:t>1 cm</w:t>
        </w:r>
      </w:smartTag>
      <w:r w:rsidRPr="00047A45">
        <w:rPr>
          <w:rFonts w:asciiTheme="minorHAnsi" w:hAnsiTheme="minorHAnsi"/>
        </w:rPr>
        <w:t>.</w:t>
      </w:r>
    </w:p>
    <w:p w:rsidR="00B83F88" w:rsidRPr="00047A45" w:rsidRDefault="00B83F88" w:rsidP="00B83F88">
      <w:pPr>
        <w:rPr>
          <w:rFonts w:asciiTheme="minorHAnsi" w:hAnsiTheme="minorHAnsi"/>
        </w:rPr>
      </w:pPr>
      <w:r w:rsidRPr="00047A45">
        <w:rPr>
          <w:rFonts w:asciiTheme="minorHAnsi" w:hAnsiTheme="minorHAnsi"/>
        </w:rPr>
        <w:tab/>
        <w:t>Podsypkę piaskową należy zwilżyć wodą, równomiernie rozścielić i zagęścić lekkimi walcami (np. ręcznymi) lub zagęszczarkami wibracyjnymi w stanie wilgotności optymalnej.</w:t>
      </w:r>
    </w:p>
    <w:p w:rsidR="00B83F88" w:rsidRPr="00047A45" w:rsidRDefault="00B83F88" w:rsidP="00B83F88">
      <w:pPr>
        <w:rPr>
          <w:rFonts w:asciiTheme="minorHAnsi" w:hAnsiTheme="minorHAnsi"/>
        </w:rPr>
      </w:pPr>
      <w:r w:rsidRPr="00047A45">
        <w:rPr>
          <w:rFonts w:asciiTheme="minorHAnsi" w:hAnsiTheme="minorHAnsi"/>
        </w:rPr>
        <w:tab/>
        <w:t>Podsypkę cementowo-piaskową stosuje się z zasady przy występowaniu podbudowy pod nawierzchnią z kostki. Podsypkę cementowo-piaskową przygotowuje się w betoniarkach, a następnie rozściela się na uprzednio zwilżonej podbudowie, przy zachowaniu:</w:t>
      </w:r>
    </w:p>
    <w:p w:rsidR="00B83F88" w:rsidRPr="00047A45" w:rsidRDefault="00B83F88" w:rsidP="00B83F88">
      <w:pPr>
        <w:rPr>
          <w:rFonts w:asciiTheme="minorHAnsi" w:hAnsiTheme="minorHAnsi"/>
        </w:rPr>
      </w:pPr>
      <w:r>
        <w:rPr>
          <w:rFonts w:asciiTheme="minorHAnsi" w:hAnsiTheme="minorHAnsi"/>
        </w:rPr>
        <w:t>-</w:t>
      </w:r>
      <w:r w:rsidRPr="00047A45">
        <w:rPr>
          <w:rFonts w:asciiTheme="minorHAnsi" w:hAnsiTheme="minorHAnsi"/>
        </w:rPr>
        <w:t>współczynnika wodnocementowego od 0,25 do 0,35,</w:t>
      </w:r>
    </w:p>
    <w:p w:rsidR="00B83F88" w:rsidRPr="00047A45" w:rsidRDefault="00B83F88" w:rsidP="00B83F88">
      <w:pPr>
        <w:rPr>
          <w:rFonts w:asciiTheme="minorHAnsi" w:hAnsiTheme="minorHAnsi"/>
        </w:rPr>
      </w:pPr>
      <w:r>
        <w:rPr>
          <w:rFonts w:asciiTheme="minorHAnsi" w:hAnsiTheme="minorHAnsi"/>
        </w:rPr>
        <w:t>-</w:t>
      </w:r>
      <w:r w:rsidRPr="00047A45">
        <w:rPr>
          <w:rFonts w:asciiTheme="minorHAnsi" w:hAnsiTheme="minorHAnsi"/>
        </w:rPr>
        <w:t>wytrzymałości na ściskanie nie mniejszej niż R7 = 10 MPa, R28 = 14 MPa.</w:t>
      </w:r>
    </w:p>
    <w:p w:rsidR="00B83F88" w:rsidRPr="00047A45" w:rsidRDefault="00B83F88" w:rsidP="00B83F88">
      <w:pPr>
        <w:rPr>
          <w:rFonts w:asciiTheme="minorHAnsi" w:hAnsiTheme="minorHAnsi"/>
        </w:rPr>
      </w:pPr>
      <w:r w:rsidRPr="00047A45">
        <w:rPr>
          <w:rFonts w:asciiTheme="minorHAnsi" w:hAnsiTheme="minorHAnsi"/>
        </w:rPr>
        <w:tab/>
        <w:t xml:space="preserve">W praktyce, wilgotność układanej podsypki powinna być taka, aby po ściśnięciu podsypki w dłoni podsypka nie rozsypywała się i nie było na dłoni śladów wody, a po naciśnięciu palcami podsypka </w:t>
      </w:r>
      <w:r w:rsidRPr="00047A45">
        <w:rPr>
          <w:rFonts w:asciiTheme="minorHAnsi" w:hAnsiTheme="minorHAnsi"/>
        </w:rPr>
        <w:lastRenderedPageBreak/>
        <w:t xml:space="preserve">rozsypywała się. Rozścielenie podsypki cementowo-piaskowej powinno wyprzedzać układanie nawierzchni z kostek od 3 do </w:t>
      </w:r>
      <w:smartTag w:uri="urn:schemas-microsoft-com:office:smarttags" w:element="metricconverter">
        <w:smartTagPr>
          <w:attr w:name="ProductID" w:val="4 m"/>
        </w:smartTagPr>
        <w:r w:rsidRPr="00047A45">
          <w:rPr>
            <w:rFonts w:asciiTheme="minorHAnsi" w:hAnsiTheme="minorHAnsi"/>
          </w:rPr>
          <w:t>4 m</w:t>
        </w:r>
      </w:smartTag>
      <w:r w:rsidRPr="00047A45">
        <w:rPr>
          <w:rFonts w:asciiTheme="minorHAnsi" w:hAnsiTheme="minorHAnsi"/>
        </w:rPr>
        <w:t>. Rozścielona podsypka powinna być wyprofilowana i zagęszczona w stanie wilgotnym, lekkimi walcami (np. ręcznymi) lub zagęszczarkami wibracyjnymi.</w:t>
      </w:r>
    </w:p>
    <w:p w:rsidR="00B83F88" w:rsidRPr="00047A45" w:rsidRDefault="00B83F88" w:rsidP="00B83F88">
      <w:pPr>
        <w:rPr>
          <w:rFonts w:asciiTheme="minorHAnsi" w:hAnsiTheme="minorHAnsi"/>
        </w:rPr>
      </w:pPr>
      <w:r w:rsidRPr="00047A45">
        <w:rPr>
          <w:rFonts w:asciiTheme="minorHAnsi" w:hAnsiTheme="minorHAnsi"/>
        </w:rPr>
        <w:tab/>
        <w:t xml:space="preserve">Jeśli podsypka jest wykonana z suchej zaprawy cementowo-piaskowej to po zawałowaniu nawierzchni należy ją polać wodą w takiej ilości, aby woda zwilżyła całą grubość podsypki. Rozścielenie podsypki z suchej zaprawy może wyprzedzać układanie nawierzchni z kostek o około </w:t>
      </w:r>
      <w:smartTag w:uri="urn:schemas-microsoft-com:office:smarttags" w:element="metricconverter">
        <w:smartTagPr>
          <w:attr w:name="ProductID" w:val="20 m"/>
        </w:smartTagPr>
        <w:r w:rsidRPr="00047A45">
          <w:rPr>
            <w:rFonts w:asciiTheme="minorHAnsi" w:hAnsiTheme="minorHAnsi"/>
          </w:rPr>
          <w:t>20 m</w:t>
        </w:r>
      </w:smartTag>
      <w:r w:rsidRPr="00047A45">
        <w:rPr>
          <w:rFonts w:asciiTheme="minorHAnsi" w:hAnsiTheme="minorHAnsi"/>
        </w:rPr>
        <w:t>.</w:t>
      </w:r>
    </w:p>
    <w:p w:rsidR="00B83F88" w:rsidRPr="00047A45" w:rsidRDefault="00B83F88" w:rsidP="00B83F88">
      <w:pPr>
        <w:rPr>
          <w:rFonts w:asciiTheme="minorHAnsi" w:hAnsiTheme="minorHAnsi"/>
        </w:rPr>
      </w:pPr>
      <w:r w:rsidRPr="00047A45">
        <w:rPr>
          <w:rFonts w:asciiTheme="minorHAnsi" w:hAnsiTheme="minorHAnsi"/>
        </w:rPr>
        <w:tab/>
        <w:t>Całkowite ubicie nawierzchni i wypełnienie spoin zaprawą musi być zakończone przed rozpoczęciem wiązania cementu w podsypce.</w:t>
      </w:r>
    </w:p>
    <w:p w:rsidR="00B83F88" w:rsidRPr="00047A45" w:rsidRDefault="00B83F88" w:rsidP="00B83F88">
      <w:pPr>
        <w:rPr>
          <w:rFonts w:asciiTheme="minorHAnsi" w:hAnsiTheme="minorHAnsi"/>
        </w:rPr>
      </w:pPr>
      <w:r w:rsidRPr="00047A45">
        <w:rPr>
          <w:rFonts w:asciiTheme="minorHAnsi" w:hAnsiTheme="minorHAnsi"/>
          <w:b/>
        </w:rPr>
        <w:t>5.7.</w:t>
      </w:r>
      <w:r w:rsidRPr="00047A45">
        <w:rPr>
          <w:rFonts w:asciiTheme="minorHAnsi" w:hAnsiTheme="minorHAnsi"/>
        </w:rPr>
        <w:t xml:space="preserve"> Układanie nawierzchni z betonowych kostek brukowych</w:t>
      </w:r>
    </w:p>
    <w:p w:rsidR="00B83F88" w:rsidRPr="00047A45" w:rsidRDefault="00B83F88" w:rsidP="00B83F88">
      <w:pPr>
        <w:rPr>
          <w:rFonts w:asciiTheme="minorHAnsi" w:hAnsiTheme="minorHAnsi"/>
        </w:rPr>
      </w:pPr>
      <w:r>
        <w:rPr>
          <w:rFonts w:asciiTheme="minorHAnsi" w:hAnsiTheme="minorHAnsi"/>
        </w:rPr>
        <w:t>-</w:t>
      </w:r>
      <w:r w:rsidRPr="00047A45">
        <w:rPr>
          <w:rFonts w:asciiTheme="minorHAnsi" w:hAnsiTheme="minorHAnsi"/>
        </w:rPr>
        <w:t>Ustalenie kształtu, wymiaru i koloru kostek oraz desenia ich układania</w:t>
      </w:r>
      <w:r>
        <w:rPr>
          <w:rFonts w:asciiTheme="minorHAnsi" w:hAnsiTheme="minorHAnsi"/>
        </w:rPr>
        <w:t>:</w:t>
      </w:r>
    </w:p>
    <w:p w:rsidR="00B83F88" w:rsidRPr="00047A45" w:rsidRDefault="00B83F88" w:rsidP="00B83F88">
      <w:pPr>
        <w:rPr>
          <w:rFonts w:asciiTheme="minorHAnsi" w:hAnsiTheme="minorHAnsi"/>
        </w:rPr>
      </w:pPr>
      <w:r w:rsidRPr="00047A45">
        <w:rPr>
          <w:rFonts w:asciiTheme="minorHAnsi" w:hAnsiTheme="minorHAnsi"/>
        </w:rPr>
        <w:tab/>
        <w:t xml:space="preserve">Kształt, wymiary, barwę i inne cechy charakterystyczne kostek wg pktu 2.2.1 oraz deseń ich układania (przykłady podano w zał. 5) powinny być zgodne z dokumentacją projektową a w przypadku braku wystarczających ustaleń Wykonawca przedkłada odpowiednie propozycje do zaakceptowania Inżynierowi. Przed ostatecznym zaakceptowaniem kształtu, koloru, sposobu układania i wytwórni kostek, Inżynier może polecić Wykonawcy ułożenie po </w:t>
      </w:r>
      <w:smartTag w:uri="urn:schemas-microsoft-com:office:smarttags" w:element="metricconverter">
        <w:smartTagPr>
          <w:attr w:name="ProductID" w:val="1 m2"/>
        </w:smartTagPr>
        <w:r w:rsidRPr="00047A45">
          <w:rPr>
            <w:rFonts w:asciiTheme="minorHAnsi" w:hAnsiTheme="minorHAnsi"/>
          </w:rPr>
          <w:t>1 m2</w:t>
        </w:r>
      </w:smartTag>
      <w:r w:rsidRPr="00047A45">
        <w:rPr>
          <w:rFonts w:asciiTheme="minorHAnsi" w:hAnsiTheme="minorHAnsi"/>
        </w:rPr>
        <w:t xml:space="preserve"> wstępnie wybranych kostek, wyłącznie na podsypce piaskowej.</w:t>
      </w:r>
    </w:p>
    <w:p w:rsidR="00B83F88" w:rsidRPr="00047A45" w:rsidRDefault="00B83F88" w:rsidP="00B83F88">
      <w:pPr>
        <w:rPr>
          <w:rFonts w:asciiTheme="minorHAnsi" w:hAnsiTheme="minorHAnsi"/>
        </w:rPr>
      </w:pPr>
      <w:r>
        <w:rPr>
          <w:rFonts w:asciiTheme="minorHAnsi" w:hAnsiTheme="minorHAnsi"/>
        </w:rPr>
        <w:t>-</w:t>
      </w:r>
      <w:r w:rsidRPr="00047A45">
        <w:rPr>
          <w:rFonts w:asciiTheme="minorHAnsi" w:hAnsiTheme="minorHAnsi"/>
        </w:rPr>
        <w:t>Warunki atmosferyczne</w:t>
      </w:r>
      <w:r>
        <w:rPr>
          <w:rFonts w:asciiTheme="minorHAnsi" w:hAnsiTheme="minorHAnsi"/>
        </w:rPr>
        <w:t>:</w:t>
      </w:r>
    </w:p>
    <w:p w:rsidR="00B83F88" w:rsidRPr="00047A45" w:rsidRDefault="00B83F88" w:rsidP="00B83F88">
      <w:pPr>
        <w:rPr>
          <w:rFonts w:asciiTheme="minorHAnsi" w:hAnsiTheme="minorHAnsi"/>
        </w:rPr>
      </w:pPr>
      <w:r w:rsidRPr="00047A45">
        <w:rPr>
          <w:rFonts w:asciiTheme="minorHAnsi" w:hAnsiTheme="minorHAnsi"/>
        </w:rPr>
        <w:tab/>
        <w:t>Ułożenie nawierzchni z kostki na podsypce cementowo-piaskowej zaleca się wykonywać przy temperaturze otoczenia nie niższej niż +5</w:t>
      </w:r>
      <w:r w:rsidRPr="00A33A6F">
        <w:rPr>
          <w:rFonts w:asciiTheme="minorHAnsi" w:hAnsiTheme="minorHAnsi"/>
          <w:vertAlign w:val="superscript"/>
        </w:rPr>
        <w:t>o</w:t>
      </w:r>
      <w:r w:rsidRPr="00047A45">
        <w:rPr>
          <w:rFonts w:asciiTheme="minorHAnsi" w:hAnsiTheme="minorHAnsi"/>
        </w:rPr>
        <w:t>C. Dopuszcza się wykonanie nawierzchni jeśli w ciągu dnia temperatura utrzymuje się w granicach od 0</w:t>
      </w:r>
      <w:r w:rsidRPr="00047A45">
        <w:rPr>
          <w:rFonts w:asciiTheme="minorHAnsi" w:hAnsiTheme="minorHAnsi"/>
          <w:vertAlign w:val="superscript"/>
        </w:rPr>
        <w:t>o</w:t>
      </w:r>
      <w:r w:rsidRPr="00047A45">
        <w:rPr>
          <w:rFonts w:asciiTheme="minorHAnsi" w:hAnsiTheme="minorHAnsi"/>
        </w:rPr>
        <w:t>C do +5</w:t>
      </w:r>
      <w:r w:rsidRPr="00047A45">
        <w:rPr>
          <w:rFonts w:asciiTheme="minorHAnsi" w:hAnsiTheme="minorHAnsi"/>
          <w:vertAlign w:val="superscript"/>
        </w:rPr>
        <w:t>o</w:t>
      </w:r>
      <w:r w:rsidRPr="00047A45">
        <w:rPr>
          <w:rFonts w:asciiTheme="minorHAnsi" w:hAnsiTheme="minorHAnsi"/>
        </w:rPr>
        <w:t>C, przy czym jeśli w nocy spodziewane są przymrozki kostkę należy zabezpieczyć materiałami o złym przewodnictwie ciepła (np. matami ze słomy, papą itp.).</w:t>
      </w:r>
    </w:p>
    <w:p w:rsidR="00B83F88" w:rsidRPr="00047A45" w:rsidRDefault="00B83F88" w:rsidP="00B83F88">
      <w:pPr>
        <w:rPr>
          <w:rFonts w:asciiTheme="minorHAnsi" w:hAnsiTheme="minorHAnsi"/>
        </w:rPr>
      </w:pPr>
      <w:r w:rsidRPr="00047A45">
        <w:rPr>
          <w:rFonts w:asciiTheme="minorHAnsi" w:hAnsiTheme="minorHAnsi"/>
        </w:rPr>
        <w:tab/>
        <w:t>Nawierzchnię na podsypce piaskowej zaleca się wykonywać w dodatnich temperaturach otoczenia.</w:t>
      </w:r>
    </w:p>
    <w:p w:rsidR="00B83F88" w:rsidRPr="00047A45" w:rsidRDefault="00B83F88" w:rsidP="00B83F88">
      <w:pPr>
        <w:rPr>
          <w:rFonts w:asciiTheme="minorHAnsi" w:hAnsiTheme="minorHAnsi"/>
        </w:rPr>
      </w:pPr>
      <w:r>
        <w:rPr>
          <w:rFonts w:asciiTheme="minorHAnsi" w:hAnsiTheme="minorHAnsi"/>
        </w:rPr>
        <w:t>-</w:t>
      </w:r>
      <w:r w:rsidRPr="00047A45">
        <w:rPr>
          <w:rFonts w:asciiTheme="minorHAnsi" w:hAnsiTheme="minorHAnsi"/>
        </w:rPr>
        <w:t>Ułożenie nawierzchni z kostek</w:t>
      </w:r>
      <w:r>
        <w:rPr>
          <w:rFonts w:asciiTheme="minorHAnsi" w:hAnsiTheme="minorHAnsi"/>
        </w:rPr>
        <w:t>:</w:t>
      </w:r>
    </w:p>
    <w:p w:rsidR="00B83F88" w:rsidRPr="00047A45" w:rsidRDefault="00B83F88" w:rsidP="00B83F88">
      <w:pPr>
        <w:rPr>
          <w:rFonts w:asciiTheme="minorHAnsi" w:hAnsiTheme="minorHAnsi"/>
        </w:rPr>
      </w:pPr>
      <w:r w:rsidRPr="00047A45">
        <w:rPr>
          <w:rFonts w:asciiTheme="minorHAnsi" w:hAnsiTheme="minorHAnsi"/>
        </w:rPr>
        <w:t>Warstwa nawierzchni z kostki powinna być wykonana z elementów o jednakowej grubości. Na większym fragmencie robót zaleca się stosować kostki dostarczone w tej samej partii materiału, w której niedopuszczalne są różne odcienie wybranego koloru kostki.</w:t>
      </w:r>
    </w:p>
    <w:p w:rsidR="00B83F88" w:rsidRPr="00047A45" w:rsidRDefault="00B83F88" w:rsidP="00B83F88">
      <w:pPr>
        <w:rPr>
          <w:rFonts w:asciiTheme="minorHAnsi" w:hAnsiTheme="minorHAnsi"/>
        </w:rPr>
      </w:pPr>
      <w:r w:rsidRPr="00047A45">
        <w:rPr>
          <w:rFonts w:asciiTheme="minorHAnsi" w:hAnsiTheme="minorHAnsi"/>
        </w:rPr>
        <w:t>Układanie kostki można wykonywać ręcznie lub mechanicznie.</w:t>
      </w:r>
    </w:p>
    <w:p w:rsidR="00B83F88" w:rsidRPr="00047A45" w:rsidRDefault="00B83F88" w:rsidP="00B83F88">
      <w:pPr>
        <w:rPr>
          <w:rFonts w:asciiTheme="minorHAnsi" w:hAnsiTheme="minorHAnsi"/>
        </w:rPr>
      </w:pPr>
      <w:r w:rsidRPr="00047A45">
        <w:rPr>
          <w:rFonts w:asciiTheme="minorHAnsi" w:hAnsiTheme="minorHAnsi"/>
        </w:rPr>
        <w:tab/>
        <w:t>Układanie ręczne zaleca się wykonywać na mniejszych powierzchniach, zwłaszcza skomplikowanych pod względem kształtu lub wymagających kompozycji kolorystycznej układanych deseni oraz różnych wymiarów i kształtów kostek. Układanie kostek powinni wykonywać przyuczeni brukarze.</w:t>
      </w:r>
    </w:p>
    <w:p w:rsidR="00B83F88" w:rsidRPr="00047A45" w:rsidRDefault="00B83F88" w:rsidP="00B83F88">
      <w:pPr>
        <w:rPr>
          <w:rFonts w:asciiTheme="minorHAnsi" w:hAnsiTheme="minorHAnsi"/>
        </w:rPr>
      </w:pPr>
      <w:r w:rsidRPr="00047A45">
        <w:rPr>
          <w:rFonts w:asciiTheme="minorHAnsi" w:hAnsiTheme="minorHAnsi"/>
        </w:rPr>
        <w:tab/>
        <w:t>Układanie mechaniczne zaleca się wykonywać na dużych powierzchniach o prostym kształcie, tak aby układarka mogła przenosić z palety warstwę kształtek na miejsce ich ułożenia z wymaganą dokładnością. Kostka do układania mechanicznego nie może mieć dużych odchyłek wymiarowych i musi być odpowiednio przygotowana przez producenta, tj. ułożona na palecie w odpowiedni wzór, bez dołożenia połówek i dziewiątek, przy czym każda warstwa na palecie musi być dobrze przesypana bardzo drobnym piaskiem, by kostki nie przywierały do siebie. Układanie mechaniczne zawsze musi być wsparte pracą brukarzy, którzy uzupełniają przerwy, wyrabiają łuki, dokładają kostki w okolicach studzienek i krawężników.</w:t>
      </w:r>
    </w:p>
    <w:p w:rsidR="00B83F88" w:rsidRPr="00047A45" w:rsidRDefault="00B83F88" w:rsidP="00B83F88">
      <w:pPr>
        <w:rPr>
          <w:rFonts w:asciiTheme="minorHAnsi" w:hAnsiTheme="minorHAnsi"/>
        </w:rPr>
      </w:pPr>
      <w:r w:rsidRPr="00047A45">
        <w:rPr>
          <w:rFonts w:asciiTheme="minorHAnsi" w:hAnsiTheme="minorHAnsi"/>
        </w:rPr>
        <w:tab/>
        <w:t xml:space="preserve">Kostkę układa się około </w:t>
      </w:r>
      <w:smartTag w:uri="urn:schemas-microsoft-com:office:smarttags" w:element="metricconverter">
        <w:smartTagPr>
          <w:attr w:name="ProductID" w:val="1,5 cm"/>
        </w:smartTagPr>
        <w:r w:rsidRPr="00047A45">
          <w:rPr>
            <w:rFonts w:asciiTheme="minorHAnsi" w:hAnsiTheme="minorHAnsi"/>
          </w:rPr>
          <w:t>1,5 cm</w:t>
        </w:r>
      </w:smartTag>
      <w:r w:rsidRPr="00047A45">
        <w:rPr>
          <w:rFonts w:asciiTheme="minorHAnsi" w:hAnsiTheme="minorHAnsi"/>
        </w:rPr>
        <w:t xml:space="preserve"> wyżej od projektowanej niwelety, ponieważ po procesie ubijania podsypka zagęszcza się.</w:t>
      </w:r>
    </w:p>
    <w:p w:rsidR="00B83F88" w:rsidRPr="00047A45" w:rsidRDefault="00B83F88" w:rsidP="00B83F88">
      <w:pPr>
        <w:rPr>
          <w:rFonts w:asciiTheme="minorHAnsi" w:hAnsiTheme="minorHAnsi"/>
        </w:rPr>
      </w:pPr>
      <w:r w:rsidRPr="00047A45">
        <w:rPr>
          <w:rFonts w:asciiTheme="minorHAnsi" w:hAnsiTheme="minorHAnsi"/>
        </w:rPr>
        <w:tab/>
        <w:t xml:space="preserve">Powierzchnia kostek położonych obok urządzeń infrastruktury technicznej (np. studzienek, włazów itp.) powinna trwale wystawać od </w:t>
      </w:r>
      <w:smartTag w:uri="urn:schemas-microsoft-com:office:smarttags" w:element="metricconverter">
        <w:smartTagPr>
          <w:attr w:name="ProductID" w:val="3 mm"/>
        </w:smartTagPr>
        <w:r w:rsidRPr="00047A45">
          <w:rPr>
            <w:rFonts w:asciiTheme="minorHAnsi" w:hAnsiTheme="minorHAnsi"/>
          </w:rPr>
          <w:t>3 mm</w:t>
        </w:r>
      </w:smartTag>
      <w:r w:rsidRPr="00047A45">
        <w:rPr>
          <w:rFonts w:asciiTheme="minorHAnsi" w:hAnsiTheme="minorHAnsi"/>
        </w:rPr>
        <w:t xml:space="preserve"> do </w:t>
      </w:r>
      <w:smartTag w:uri="urn:schemas-microsoft-com:office:smarttags" w:element="metricconverter">
        <w:smartTagPr>
          <w:attr w:name="ProductID" w:val="5 mm"/>
        </w:smartTagPr>
        <w:r w:rsidRPr="00047A45">
          <w:rPr>
            <w:rFonts w:asciiTheme="minorHAnsi" w:hAnsiTheme="minorHAnsi"/>
          </w:rPr>
          <w:t>5 mm</w:t>
        </w:r>
      </w:smartTag>
      <w:r w:rsidRPr="00047A45">
        <w:rPr>
          <w:rFonts w:asciiTheme="minorHAnsi" w:hAnsiTheme="minorHAnsi"/>
        </w:rPr>
        <w:t xml:space="preserve"> powyżej powierzchni tych urządzeń oraz od </w:t>
      </w:r>
      <w:smartTag w:uri="urn:schemas-microsoft-com:office:smarttags" w:element="metricconverter">
        <w:smartTagPr>
          <w:attr w:name="ProductID" w:val="3 mm"/>
        </w:smartTagPr>
        <w:r w:rsidRPr="00047A45">
          <w:rPr>
            <w:rFonts w:asciiTheme="minorHAnsi" w:hAnsiTheme="minorHAnsi"/>
          </w:rPr>
          <w:t>3 mm</w:t>
        </w:r>
      </w:smartTag>
      <w:r w:rsidRPr="00047A45">
        <w:rPr>
          <w:rFonts w:asciiTheme="minorHAnsi" w:hAnsiTheme="minorHAnsi"/>
        </w:rPr>
        <w:t xml:space="preserve"> do </w:t>
      </w:r>
      <w:smartTag w:uri="urn:schemas-microsoft-com:office:smarttags" w:element="metricconverter">
        <w:smartTagPr>
          <w:attr w:name="ProductID" w:val="10 mm"/>
        </w:smartTagPr>
        <w:r w:rsidRPr="00047A45">
          <w:rPr>
            <w:rFonts w:asciiTheme="minorHAnsi" w:hAnsiTheme="minorHAnsi"/>
          </w:rPr>
          <w:t>10 mm</w:t>
        </w:r>
      </w:smartTag>
      <w:r w:rsidRPr="00047A45">
        <w:rPr>
          <w:rFonts w:asciiTheme="minorHAnsi" w:hAnsiTheme="minorHAnsi"/>
        </w:rPr>
        <w:t xml:space="preserve"> powyżej korytek ściekowych (ścieków).</w:t>
      </w:r>
    </w:p>
    <w:p w:rsidR="00B83F88" w:rsidRPr="00047A45" w:rsidRDefault="00B83F88" w:rsidP="00B83F88">
      <w:pPr>
        <w:rPr>
          <w:rFonts w:asciiTheme="minorHAnsi" w:hAnsiTheme="minorHAnsi"/>
        </w:rPr>
      </w:pPr>
      <w:r w:rsidRPr="00047A45">
        <w:rPr>
          <w:rFonts w:asciiTheme="minorHAnsi" w:hAnsiTheme="minorHAnsi"/>
        </w:rPr>
        <w:tab/>
        <w:t>Do uzupełnienia przestrzeni przy krawężnikach, obrzeżach i studzienkach można używać elementy kostkowe wykończeniowe w postaci tzw. połówek i dziewiątek, mających wszystkie krawędzie równe i odpowiednio fazowane. W przypadku potrzeby kształtek o nietypowych wymiarach, wolną przestrzeń uzupełnia się kostką ciętą, przycinaną na budowie specjalnymi narzędziami tnącymi (przycinarkami, szlifierkami z tarczą itp.).</w:t>
      </w:r>
    </w:p>
    <w:p w:rsidR="00B83F88" w:rsidRPr="00047A45" w:rsidRDefault="00B83F88" w:rsidP="00B83F88">
      <w:pPr>
        <w:rPr>
          <w:rFonts w:asciiTheme="minorHAnsi" w:hAnsiTheme="minorHAnsi"/>
        </w:rPr>
      </w:pPr>
      <w:r w:rsidRPr="00047A45">
        <w:rPr>
          <w:rFonts w:asciiTheme="minorHAnsi" w:hAnsiTheme="minorHAnsi"/>
        </w:rPr>
        <w:tab/>
        <w:t>Dzienną działkę roboczą nawierzchni na podsypce cementowo-piaskowej zaleca się zakończyć prowizorycznie około półmetrowym pasem nawierzchni na podsypce piaskowej w celu wytworzenia oporu dla ubicia kostki ułożonej na stałe. Przed dalszym wznowieniem robót, prowizorycznie ułożoną nawierzchnię na podsypce piaskowej należy rozebrać i usunąć wraz z podsypką.</w:t>
      </w:r>
    </w:p>
    <w:p w:rsidR="00B83F88" w:rsidRPr="00047A45" w:rsidRDefault="00B83F88" w:rsidP="00B83F88">
      <w:pPr>
        <w:rPr>
          <w:rFonts w:asciiTheme="minorHAnsi" w:hAnsiTheme="minorHAnsi"/>
        </w:rPr>
      </w:pPr>
      <w:r w:rsidRPr="00047A45">
        <w:rPr>
          <w:rFonts w:asciiTheme="minorHAnsi" w:hAnsiTheme="minorHAnsi"/>
        </w:rPr>
        <w:t>Ubicie nawierzchni z kostek</w:t>
      </w:r>
    </w:p>
    <w:p w:rsidR="00B83F88" w:rsidRPr="00047A45" w:rsidRDefault="00B83F88" w:rsidP="00B83F88">
      <w:pPr>
        <w:rPr>
          <w:rFonts w:asciiTheme="minorHAnsi" w:hAnsiTheme="minorHAnsi"/>
        </w:rPr>
      </w:pPr>
      <w:r w:rsidRPr="00047A45">
        <w:rPr>
          <w:rFonts w:asciiTheme="minorHAnsi" w:hAnsiTheme="minorHAnsi"/>
        </w:rPr>
        <w:tab/>
        <w:t>Ubicie nawierzchni należy przeprowadzić za pomocą zagęszczarki wibracyjnej (płytowej) z osłoną z tworzywa sztucznego. Do ubicia nawierzchni nie wolno używać walca.</w:t>
      </w:r>
    </w:p>
    <w:p w:rsidR="00B83F88" w:rsidRPr="00047A45" w:rsidRDefault="00B83F88" w:rsidP="00B83F88">
      <w:pPr>
        <w:rPr>
          <w:rFonts w:asciiTheme="minorHAnsi" w:hAnsiTheme="minorHAnsi"/>
        </w:rPr>
      </w:pPr>
      <w:r w:rsidRPr="00047A45">
        <w:rPr>
          <w:rFonts w:asciiTheme="minorHAnsi" w:hAnsiTheme="minorHAnsi"/>
        </w:rPr>
        <w:lastRenderedPageBreak/>
        <w:tab/>
        <w:t>Ubijanie nawierzchni należy prowadzić od krawędzi powierzchni w kierunku jej środka i jednocześnie w kierunku poprzecznym kształtek. Ewentualne nierówności powierzchniowe mogą być zlikwidowane przez ubijanie w kierunku wzdłużnym kostki.</w:t>
      </w:r>
    </w:p>
    <w:p w:rsidR="00B83F88" w:rsidRPr="00047A45" w:rsidRDefault="00B83F88" w:rsidP="00B83F88">
      <w:pPr>
        <w:rPr>
          <w:rFonts w:asciiTheme="minorHAnsi" w:hAnsiTheme="minorHAnsi"/>
        </w:rPr>
      </w:pPr>
      <w:r w:rsidRPr="00047A45">
        <w:rPr>
          <w:rFonts w:asciiTheme="minorHAnsi" w:hAnsiTheme="minorHAnsi"/>
        </w:rPr>
        <w:tab/>
        <w:t>Po ubiciu nawierzchni wszystkie kostki uszkodzone (np. pęknięte) należy wymienić na kostki całe.</w:t>
      </w:r>
    </w:p>
    <w:p w:rsidR="00B83F88" w:rsidRPr="00047A45" w:rsidRDefault="00B83F88" w:rsidP="00B83F88">
      <w:pPr>
        <w:rPr>
          <w:rFonts w:asciiTheme="minorHAnsi" w:hAnsiTheme="minorHAnsi"/>
        </w:rPr>
      </w:pPr>
      <w:r w:rsidRPr="00047A45">
        <w:rPr>
          <w:rFonts w:asciiTheme="minorHAnsi" w:hAnsiTheme="minorHAnsi"/>
        </w:rPr>
        <w:t>Spoiny i szczeliny dylatacyjne</w:t>
      </w:r>
      <w:r>
        <w:rPr>
          <w:rFonts w:asciiTheme="minorHAnsi" w:hAnsiTheme="minorHAnsi"/>
        </w:rPr>
        <w:t>:</w:t>
      </w:r>
    </w:p>
    <w:p w:rsidR="00B83F88" w:rsidRPr="00047A45" w:rsidRDefault="00B83F88" w:rsidP="00B83F88">
      <w:pPr>
        <w:rPr>
          <w:rFonts w:asciiTheme="minorHAnsi" w:hAnsiTheme="minorHAnsi"/>
        </w:rPr>
      </w:pPr>
      <w:r>
        <w:rPr>
          <w:rFonts w:asciiTheme="minorHAnsi" w:hAnsiTheme="minorHAnsi"/>
        </w:rPr>
        <w:t>-</w:t>
      </w:r>
      <w:r w:rsidRPr="00047A45">
        <w:rPr>
          <w:rFonts w:asciiTheme="minorHAnsi" w:hAnsiTheme="minorHAnsi"/>
        </w:rPr>
        <w:t>Spoiny</w:t>
      </w:r>
    </w:p>
    <w:p w:rsidR="00B83F88" w:rsidRPr="00BA7D5E" w:rsidRDefault="00B83F88" w:rsidP="00B83F88">
      <w:pPr>
        <w:rPr>
          <w:rFonts w:asciiTheme="minorHAnsi" w:hAnsiTheme="minorHAnsi"/>
        </w:rPr>
      </w:pPr>
      <w:r w:rsidRPr="00047A45">
        <w:rPr>
          <w:rFonts w:asciiTheme="minorHAnsi" w:hAnsiTheme="minorHAnsi"/>
        </w:rPr>
        <w:tab/>
      </w:r>
      <w:r w:rsidRPr="00BA7D5E">
        <w:rPr>
          <w:rFonts w:asciiTheme="minorHAnsi" w:hAnsiTheme="minorHAnsi"/>
        </w:rPr>
        <w:t xml:space="preserve">Szerokość spoin pomiędzy betonowymi kostkami brukowymi powinna wynosić od </w:t>
      </w:r>
      <w:smartTag w:uri="urn:schemas-microsoft-com:office:smarttags" w:element="metricconverter">
        <w:smartTagPr>
          <w:attr w:name="ProductID" w:val="3 mm"/>
        </w:smartTagPr>
        <w:r w:rsidRPr="00BA7D5E">
          <w:rPr>
            <w:rFonts w:asciiTheme="minorHAnsi" w:hAnsiTheme="minorHAnsi"/>
          </w:rPr>
          <w:t>3 mm</w:t>
        </w:r>
      </w:smartTag>
      <w:r w:rsidRPr="00BA7D5E">
        <w:rPr>
          <w:rFonts w:asciiTheme="minorHAnsi" w:hAnsiTheme="minorHAnsi"/>
        </w:rPr>
        <w:t xml:space="preserve"> do </w:t>
      </w:r>
      <w:smartTag w:uri="urn:schemas-microsoft-com:office:smarttags" w:element="metricconverter">
        <w:smartTagPr>
          <w:attr w:name="ProductID" w:val="5 mm"/>
        </w:smartTagPr>
        <w:r w:rsidRPr="00BA7D5E">
          <w:rPr>
            <w:rFonts w:asciiTheme="minorHAnsi" w:hAnsiTheme="minorHAnsi"/>
          </w:rPr>
          <w:t>5 mm</w:t>
        </w:r>
      </w:smartTag>
      <w:r w:rsidRPr="00BA7D5E">
        <w:rPr>
          <w:rFonts w:asciiTheme="minorHAnsi" w:hAnsiTheme="minorHAnsi"/>
        </w:rPr>
        <w:t>.</w:t>
      </w:r>
    </w:p>
    <w:p w:rsidR="00B83F88" w:rsidRPr="00BA7D5E" w:rsidRDefault="00B83F88" w:rsidP="00B83F88">
      <w:pPr>
        <w:rPr>
          <w:rFonts w:asciiTheme="minorHAnsi" w:hAnsiTheme="minorHAnsi"/>
        </w:rPr>
      </w:pPr>
      <w:r w:rsidRPr="00BA7D5E">
        <w:rPr>
          <w:rFonts w:asciiTheme="minorHAnsi" w:hAnsiTheme="minorHAnsi"/>
        </w:rPr>
        <w:tab/>
        <w:t>W przypadku stosowania prostopadłościennych kostek brukowych zaleca się aby osie spoin pomiędzy dłuższymi bokami tych kostek tworzyły z osią drogi kąt 45°, a wierzchołek utworzonego kąta prostego pomiędzy spoinami miał kierunek odwrotny do kierunku spadku podłużnego nawierzchni.</w:t>
      </w:r>
    </w:p>
    <w:p w:rsidR="00B83F88" w:rsidRPr="00BA7D5E" w:rsidRDefault="00B83F88" w:rsidP="00B83F88">
      <w:pPr>
        <w:rPr>
          <w:rFonts w:asciiTheme="minorHAnsi" w:hAnsiTheme="minorHAnsi"/>
        </w:rPr>
      </w:pPr>
      <w:r w:rsidRPr="00BA7D5E">
        <w:rPr>
          <w:rFonts w:asciiTheme="minorHAnsi" w:hAnsiTheme="minorHAnsi"/>
        </w:rPr>
        <w:tab/>
        <w:t>Po ułożeniu kostek, spoiny należy wypełnić:</w:t>
      </w:r>
    </w:p>
    <w:p w:rsidR="00B83F88" w:rsidRPr="00BA7D5E" w:rsidRDefault="00B83F88" w:rsidP="00B83F88">
      <w:pPr>
        <w:rPr>
          <w:rFonts w:asciiTheme="minorHAnsi" w:hAnsiTheme="minorHAnsi"/>
        </w:rPr>
      </w:pPr>
      <w:r>
        <w:rPr>
          <w:rFonts w:asciiTheme="minorHAnsi" w:hAnsiTheme="minorHAnsi"/>
        </w:rPr>
        <w:t>-</w:t>
      </w:r>
      <w:r w:rsidRPr="00BA7D5E">
        <w:rPr>
          <w:rFonts w:asciiTheme="minorHAnsi" w:hAnsiTheme="minorHAnsi"/>
        </w:rPr>
        <w:t>piaskiem, spełniającym wymagania pktu 2.3, jeśli nawierzchnia jest na podsypce piaskowej,</w:t>
      </w:r>
    </w:p>
    <w:p w:rsidR="00B83F88" w:rsidRPr="00BA7D5E" w:rsidRDefault="00B83F88" w:rsidP="00B83F88">
      <w:pPr>
        <w:rPr>
          <w:rFonts w:asciiTheme="minorHAnsi" w:hAnsiTheme="minorHAnsi"/>
        </w:rPr>
      </w:pPr>
      <w:r>
        <w:rPr>
          <w:rFonts w:asciiTheme="minorHAnsi" w:hAnsiTheme="minorHAnsi"/>
        </w:rPr>
        <w:t>-</w:t>
      </w:r>
      <w:r w:rsidRPr="00BA7D5E">
        <w:rPr>
          <w:rFonts w:asciiTheme="minorHAnsi" w:hAnsiTheme="minorHAnsi"/>
        </w:rPr>
        <w:t>zaprawą cementowo-piaskową, spełniającą wymagania pktu 2.3, jeśli nawierzchnia jest na podsypce cementowo-piaskowej.</w:t>
      </w:r>
    </w:p>
    <w:p w:rsidR="00B83F88" w:rsidRPr="00BA7D5E" w:rsidRDefault="00B83F88" w:rsidP="00B83F88">
      <w:pPr>
        <w:rPr>
          <w:rFonts w:asciiTheme="minorHAnsi" w:hAnsiTheme="minorHAnsi"/>
        </w:rPr>
      </w:pPr>
      <w:r w:rsidRPr="00BA7D5E">
        <w:rPr>
          <w:rFonts w:asciiTheme="minorHAnsi" w:hAnsiTheme="minorHAnsi"/>
        </w:rPr>
        <w:tab/>
        <w:t>Wypełnienie spoin piaskiem polega na rozsypaniu warstwy piasku i wmieceniu go w spoiny na sucho lub, po obfitym polaniu wodą - wmieceniu papki piaskowej szczotkami względnie rozgarniaczkami z piórami gumowymi.</w:t>
      </w:r>
    </w:p>
    <w:p w:rsidR="00B83F88" w:rsidRPr="00BA7D5E" w:rsidRDefault="00B83F88" w:rsidP="00B83F88">
      <w:pPr>
        <w:rPr>
          <w:rFonts w:asciiTheme="minorHAnsi" w:hAnsiTheme="minorHAnsi"/>
        </w:rPr>
      </w:pPr>
      <w:r w:rsidRPr="00BA7D5E">
        <w:rPr>
          <w:rFonts w:asciiTheme="minorHAnsi" w:hAnsiTheme="minorHAnsi"/>
        </w:rPr>
        <w:tab/>
        <w:t>Zaprawę cementowo-piaskową zaleca się przygotować w betoniarce, w sposób zapewniający jej wystarczającą płynność. Spoiny można wypełnić przez rozlanie zaprawy na nawierzchnię i nagarnianie jej w szczeliny szczotkami lub rozgarniaczkami z piórami gumowymi. Przed rozpoczęciem zalewania kostka powinna być oczyszczona i dobrze zwilżona wodą. Zalewa powinna całkowicie wypełnić spoiny i tworzyć monolit z kostkami.</w:t>
      </w:r>
    </w:p>
    <w:p w:rsidR="00B83F88" w:rsidRPr="00BA7D5E" w:rsidRDefault="00B83F88" w:rsidP="00B83F88">
      <w:pPr>
        <w:rPr>
          <w:rFonts w:asciiTheme="minorHAnsi" w:hAnsiTheme="minorHAnsi"/>
        </w:rPr>
      </w:pPr>
      <w:r w:rsidRPr="00BA7D5E">
        <w:rPr>
          <w:rFonts w:asciiTheme="minorHAnsi" w:hAnsiTheme="minorHAnsi"/>
        </w:rPr>
        <w:tab/>
        <w:t>Przy wypełnianiu spoin zaprawą cementowo-piaskową należy zabezpieczyć przed zalaniem nią szczeliny dylatacyjne, wkładając zwinięte paski papy, zwitki z worków po cemencie itp.</w:t>
      </w:r>
    </w:p>
    <w:p w:rsidR="00B83F88" w:rsidRPr="00BA7D5E" w:rsidRDefault="00B83F88" w:rsidP="00B83F88">
      <w:pPr>
        <w:rPr>
          <w:rFonts w:asciiTheme="minorHAnsi" w:hAnsiTheme="minorHAnsi"/>
        </w:rPr>
      </w:pPr>
      <w:r w:rsidRPr="00BA7D5E">
        <w:rPr>
          <w:rFonts w:asciiTheme="minorHAnsi" w:hAnsiTheme="minorHAnsi"/>
        </w:rPr>
        <w:tab/>
        <w:t>Po wypełnianiu spoin zaprawą cementowo-piaskową nawierzchnię należy starannie oczyścić; szczególnie dotyczy to nawierzchni z kostek kolorowych i z różnymi deseniami układania.</w:t>
      </w:r>
    </w:p>
    <w:p w:rsidR="00B83F88" w:rsidRPr="00BA7D5E" w:rsidRDefault="00B83F88" w:rsidP="00B83F88">
      <w:pPr>
        <w:rPr>
          <w:rFonts w:asciiTheme="minorHAnsi" w:hAnsiTheme="minorHAnsi"/>
        </w:rPr>
      </w:pPr>
      <w:r w:rsidRPr="00BA7D5E">
        <w:rPr>
          <w:rFonts w:asciiTheme="minorHAnsi" w:hAnsiTheme="minorHAnsi"/>
        </w:rPr>
        <w:t>Szczeliny dylatacyjne</w:t>
      </w:r>
    </w:p>
    <w:p w:rsidR="00B83F88" w:rsidRPr="00BA7D5E" w:rsidRDefault="00B83F88" w:rsidP="00B83F88">
      <w:pPr>
        <w:rPr>
          <w:rFonts w:asciiTheme="minorHAnsi" w:hAnsiTheme="minorHAnsi"/>
        </w:rPr>
      </w:pPr>
      <w:r w:rsidRPr="00BA7D5E">
        <w:rPr>
          <w:rFonts w:asciiTheme="minorHAnsi" w:hAnsiTheme="minorHAnsi"/>
        </w:rPr>
        <w:tab/>
        <w:t xml:space="preserve">W przypadku układania kostek na podsypce cementowo-piaskowej i wypełnianiu spoin zaprawą cementowo-piaskową, należy przewidzieć wykonanie szczelin dylatacyjnych w odległościach zgodnych </w:t>
      </w:r>
      <w:r>
        <w:rPr>
          <w:rFonts w:asciiTheme="minorHAnsi" w:hAnsiTheme="minorHAnsi"/>
        </w:rPr>
        <w:t>z dokumentacją projektową,</w:t>
      </w:r>
      <w:r w:rsidRPr="00BA7D5E">
        <w:rPr>
          <w:rFonts w:asciiTheme="minorHAnsi" w:hAnsiTheme="minorHAnsi"/>
        </w:rPr>
        <w:t xml:space="preserve"> względnie nie większych niż co </w:t>
      </w:r>
      <w:smartTag w:uri="urn:schemas-microsoft-com:office:smarttags" w:element="metricconverter">
        <w:smartTagPr>
          <w:attr w:name="ProductID" w:val="8 m"/>
        </w:smartTagPr>
        <w:r w:rsidRPr="00BA7D5E">
          <w:rPr>
            <w:rFonts w:asciiTheme="minorHAnsi" w:hAnsiTheme="minorHAnsi"/>
          </w:rPr>
          <w:t>8 m</w:t>
        </w:r>
      </w:smartTag>
      <w:r w:rsidRPr="00BA7D5E">
        <w:rPr>
          <w:rFonts w:asciiTheme="minorHAnsi" w:hAnsiTheme="minorHAnsi"/>
        </w:rPr>
        <w:t xml:space="preserve">. Szerokość szczelin dylatacyjnych powinna umożliwiać przejęcie przez nie przemieszczeń wywołanych wysokimi temperaturami nawierzchni w okresie letnim, lecz nie powinna być mniejsza niż </w:t>
      </w:r>
      <w:smartTag w:uri="urn:schemas-microsoft-com:office:smarttags" w:element="metricconverter">
        <w:smartTagPr>
          <w:attr w:name="ProductID" w:val="8 mm"/>
        </w:smartTagPr>
        <w:r w:rsidRPr="00BA7D5E">
          <w:rPr>
            <w:rFonts w:asciiTheme="minorHAnsi" w:hAnsiTheme="minorHAnsi"/>
          </w:rPr>
          <w:t>8 mm</w:t>
        </w:r>
      </w:smartTag>
      <w:r w:rsidRPr="00BA7D5E">
        <w:rPr>
          <w:rFonts w:asciiTheme="minorHAnsi" w:hAnsiTheme="minorHAnsi"/>
        </w:rPr>
        <w:t>. Szczeliny te powinny być wypełnione trwale zalewami i masami określonymi w pkcie 2.3.</w:t>
      </w:r>
    </w:p>
    <w:p w:rsidR="00B83F88" w:rsidRPr="00047A45" w:rsidRDefault="00B83F88" w:rsidP="00B83F88">
      <w:pPr>
        <w:rPr>
          <w:rFonts w:asciiTheme="minorHAnsi" w:hAnsiTheme="minorHAnsi"/>
        </w:rPr>
      </w:pPr>
      <w:r w:rsidRPr="00047A45">
        <w:rPr>
          <w:rFonts w:asciiTheme="minorHAnsi" w:hAnsiTheme="minorHAnsi"/>
        </w:rPr>
        <w:tab/>
        <w:t>Szczeliny dylatacyjne poprzeczne należy stosować dodatkowo w miejscach, w których występuje zmiana sztywności podłoża (np. nad przepustami, przy przyczółkach mostowych, nad szczelinami dylatacyjnymi w podbudowie itp.). Zaleca się wykonywać szczeliny podłużne przy ściekach wzdłuż jezdni.</w:t>
      </w:r>
    </w:p>
    <w:p w:rsidR="00B83F88" w:rsidRPr="00047A45" w:rsidRDefault="00B83F88" w:rsidP="00B83F88">
      <w:pPr>
        <w:rPr>
          <w:rFonts w:asciiTheme="minorHAnsi" w:hAnsiTheme="minorHAnsi"/>
        </w:rPr>
      </w:pPr>
      <w:r w:rsidRPr="00047A45">
        <w:rPr>
          <w:rFonts w:asciiTheme="minorHAnsi" w:hAnsiTheme="minorHAnsi"/>
          <w:b/>
        </w:rPr>
        <w:t>5.8.</w:t>
      </w:r>
      <w:r w:rsidRPr="00047A45">
        <w:rPr>
          <w:rFonts w:asciiTheme="minorHAnsi" w:hAnsiTheme="minorHAnsi"/>
        </w:rPr>
        <w:t xml:space="preserve"> Pielęgnacja nawierzchni i oddanie jej dla ruchu</w:t>
      </w:r>
    </w:p>
    <w:p w:rsidR="00B83F88" w:rsidRPr="00047A45" w:rsidRDefault="00B83F88" w:rsidP="00B83F88">
      <w:pPr>
        <w:rPr>
          <w:rFonts w:asciiTheme="minorHAnsi" w:hAnsiTheme="minorHAnsi"/>
        </w:rPr>
      </w:pPr>
      <w:r w:rsidRPr="00047A45">
        <w:rPr>
          <w:rFonts w:asciiTheme="minorHAnsi" w:hAnsiTheme="minorHAnsi"/>
        </w:rPr>
        <w:tab/>
        <w:t>Nawierzchnię na podsypce piaskowej ze spoinami wypełnionymi piaskiem można oddać do użytku bezpośrednio po jej wykonaniu.</w:t>
      </w:r>
    </w:p>
    <w:p w:rsidR="00B83F88" w:rsidRDefault="00B83F88" w:rsidP="00B83F88">
      <w:pPr>
        <w:rPr>
          <w:rFonts w:asciiTheme="minorHAnsi" w:hAnsiTheme="minorHAnsi"/>
        </w:rPr>
      </w:pPr>
      <w:r w:rsidRPr="00047A45">
        <w:rPr>
          <w:rFonts w:asciiTheme="minorHAnsi" w:hAnsiTheme="minorHAnsi"/>
        </w:rPr>
        <w:tab/>
        <w:t xml:space="preserve">Nawierzchnię na podsypce cementowo-piaskowej ze spoinami wypełnionymi zaprawą cementowo-piaskową, po jej wykonaniu należy przykryć warstwą wilgotnego piasku o grubości od 3,0 do </w:t>
      </w:r>
      <w:smartTag w:uri="urn:schemas-microsoft-com:office:smarttags" w:element="metricconverter">
        <w:smartTagPr>
          <w:attr w:name="ProductID" w:val="4,0 cm"/>
        </w:smartTagPr>
        <w:r w:rsidRPr="00047A45">
          <w:rPr>
            <w:rFonts w:asciiTheme="minorHAnsi" w:hAnsiTheme="minorHAnsi"/>
          </w:rPr>
          <w:t>4,0 cm</w:t>
        </w:r>
      </w:smartTag>
      <w:r w:rsidRPr="00047A45">
        <w:rPr>
          <w:rFonts w:asciiTheme="minorHAnsi" w:hAnsiTheme="minorHAnsi"/>
        </w:rPr>
        <w:t xml:space="preserve"> i utrzymywać ją w stanie wilgotnym przez 7 do 10 dni. Po upływie od 2 tygodni (przy temperaturze średniej otoczenia nie niższej niż 15</w:t>
      </w:r>
      <w:r w:rsidRPr="00047A45">
        <w:rPr>
          <w:rFonts w:asciiTheme="minorHAnsi" w:hAnsiTheme="minorHAnsi"/>
          <w:vertAlign w:val="superscript"/>
        </w:rPr>
        <w:t>o</w:t>
      </w:r>
      <w:r>
        <w:rPr>
          <w:rFonts w:asciiTheme="minorHAnsi" w:hAnsiTheme="minorHAnsi"/>
        </w:rPr>
        <w:t>C) do</w:t>
      </w:r>
      <w:r w:rsidRPr="00047A45">
        <w:rPr>
          <w:rFonts w:asciiTheme="minorHAnsi" w:hAnsiTheme="minorHAnsi"/>
        </w:rPr>
        <w:t xml:space="preserve"> 3 tygodni (w porze chłodniejszej) nawierzchnię należy oczyścić z piasku i można oddać do użytku.</w:t>
      </w:r>
    </w:p>
    <w:p w:rsidR="00722F1D" w:rsidRDefault="00722F1D" w:rsidP="00B83F88">
      <w:pPr>
        <w:rPr>
          <w:rFonts w:asciiTheme="minorHAnsi" w:hAnsiTheme="minorHAnsi"/>
          <w:b/>
        </w:rPr>
      </w:pPr>
      <w:bookmarkStart w:id="1502" w:name="_Toc107903641"/>
    </w:p>
    <w:p w:rsidR="00B83F88" w:rsidRPr="00047A45" w:rsidRDefault="00B83F88" w:rsidP="00B83F88">
      <w:pPr>
        <w:rPr>
          <w:rFonts w:asciiTheme="minorHAnsi" w:hAnsiTheme="minorHAnsi"/>
          <w:b/>
        </w:rPr>
      </w:pPr>
      <w:r w:rsidRPr="00047A45">
        <w:rPr>
          <w:rFonts w:asciiTheme="minorHAnsi" w:hAnsiTheme="minorHAnsi"/>
          <w:b/>
        </w:rPr>
        <w:t xml:space="preserve">6. </w:t>
      </w:r>
      <w:bookmarkEnd w:id="1502"/>
      <w:r w:rsidRPr="00047A45">
        <w:rPr>
          <w:rFonts w:asciiTheme="minorHAnsi" w:hAnsiTheme="minorHAnsi"/>
          <w:b/>
        </w:rPr>
        <w:t>KONTROLA JAKOŚCI ROBÓT</w:t>
      </w:r>
    </w:p>
    <w:p w:rsidR="00B83F88" w:rsidRPr="00047A45" w:rsidRDefault="00B83F88" w:rsidP="00B83F88">
      <w:pPr>
        <w:rPr>
          <w:rFonts w:asciiTheme="minorHAnsi" w:hAnsiTheme="minorHAnsi"/>
        </w:rPr>
      </w:pPr>
      <w:r w:rsidRPr="00047A45">
        <w:rPr>
          <w:rFonts w:asciiTheme="minorHAnsi" w:hAnsiTheme="minorHAnsi"/>
          <w:b/>
        </w:rPr>
        <w:t>6.1.</w:t>
      </w:r>
      <w:r w:rsidRPr="00047A45">
        <w:rPr>
          <w:rFonts w:asciiTheme="minorHAnsi" w:hAnsiTheme="minorHAnsi"/>
        </w:rPr>
        <w:t xml:space="preserve"> Ogólne zasady kontroli jakości robót</w:t>
      </w:r>
    </w:p>
    <w:p w:rsidR="00B83F88" w:rsidRPr="00047A45" w:rsidRDefault="00B83F88" w:rsidP="00B83F88">
      <w:pPr>
        <w:rPr>
          <w:rFonts w:asciiTheme="minorHAnsi" w:hAnsiTheme="minorHAnsi"/>
        </w:rPr>
      </w:pPr>
      <w:r w:rsidRPr="00047A45">
        <w:rPr>
          <w:rFonts w:asciiTheme="minorHAnsi" w:hAnsiTheme="minorHAnsi"/>
        </w:rPr>
        <w:tab/>
        <w:t>Ogólne zasady kontroli jakości robót podano w ST D-M-00.00.00 „Wymagania ogólne” pkt 6.</w:t>
      </w:r>
    </w:p>
    <w:p w:rsidR="00B83F88" w:rsidRPr="00047A45" w:rsidRDefault="00B83F88" w:rsidP="00B83F88">
      <w:pPr>
        <w:rPr>
          <w:rFonts w:asciiTheme="minorHAnsi" w:hAnsiTheme="minorHAnsi"/>
        </w:rPr>
      </w:pPr>
      <w:r w:rsidRPr="00047A45">
        <w:rPr>
          <w:rFonts w:asciiTheme="minorHAnsi" w:hAnsiTheme="minorHAnsi"/>
          <w:b/>
        </w:rPr>
        <w:t>6.2.</w:t>
      </w:r>
      <w:r w:rsidRPr="00047A45">
        <w:rPr>
          <w:rFonts w:asciiTheme="minorHAnsi" w:hAnsiTheme="minorHAnsi"/>
        </w:rPr>
        <w:t xml:space="preserve"> Badania przed przystąpieniem do robót</w:t>
      </w:r>
    </w:p>
    <w:p w:rsidR="00B83F88" w:rsidRPr="00047A45" w:rsidRDefault="00B83F88" w:rsidP="00B83F88">
      <w:pPr>
        <w:rPr>
          <w:rFonts w:asciiTheme="minorHAnsi" w:hAnsiTheme="minorHAnsi"/>
        </w:rPr>
      </w:pPr>
      <w:r w:rsidRPr="00047A45">
        <w:rPr>
          <w:rFonts w:asciiTheme="minorHAnsi" w:hAnsiTheme="minorHAnsi"/>
        </w:rPr>
        <w:t>Przed przystąpieniem do robót Wykonawca powinien:</w:t>
      </w:r>
    </w:p>
    <w:p w:rsidR="00B83F88" w:rsidRPr="00047A45" w:rsidRDefault="00B83F88" w:rsidP="00B83F88">
      <w:pPr>
        <w:rPr>
          <w:rFonts w:asciiTheme="minorHAnsi" w:hAnsiTheme="minorHAnsi"/>
        </w:rPr>
      </w:pPr>
      <w:r>
        <w:rPr>
          <w:rFonts w:asciiTheme="minorHAnsi" w:hAnsiTheme="minorHAnsi"/>
        </w:rPr>
        <w:t>-</w:t>
      </w:r>
      <w:r w:rsidRPr="00047A45">
        <w:rPr>
          <w:rFonts w:asciiTheme="minorHAnsi" w:hAnsiTheme="minorHAnsi"/>
        </w:rPr>
        <w:t>uzyskać wymagane dokumenty, dopuszczające wyroby budowlane do obrotu i powszechnego stosowania (aprobaty techniczne, certyfikaty zgodności, deklaracje zgodności, ew. badania materiałów wykonane przez dostawców itp.),</w:t>
      </w:r>
    </w:p>
    <w:p w:rsidR="00B83F88" w:rsidRPr="00047A45" w:rsidRDefault="00B83F88" w:rsidP="00B83F88">
      <w:pPr>
        <w:rPr>
          <w:rFonts w:asciiTheme="minorHAnsi" w:hAnsiTheme="minorHAnsi"/>
        </w:rPr>
      </w:pPr>
      <w:r>
        <w:rPr>
          <w:rFonts w:asciiTheme="minorHAnsi" w:hAnsiTheme="minorHAnsi"/>
        </w:rPr>
        <w:t>-</w:t>
      </w:r>
      <w:r w:rsidRPr="00047A45">
        <w:rPr>
          <w:rFonts w:asciiTheme="minorHAnsi" w:hAnsiTheme="minorHAnsi"/>
        </w:rPr>
        <w:t>wykonać badania właściwości materiałów przeznaczonych do wykonania robót, określone w pkcie 2,</w:t>
      </w:r>
    </w:p>
    <w:p w:rsidR="00B83F88" w:rsidRPr="00047A45" w:rsidRDefault="00B83F88" w:rsidP="00B83F88">
      <w:pPr>
        <w:rPr>
          <w:rFonts w:asciiTheme="minorHAnsi" w:hAnsiTheme="minorHAnsi"/>
        </w:rPr>
      </w:pPr>
      <w:r>
        <w:rPr>
          <w:rFonts w:asciiTheme="minorHAnsi" w:hAnsiTheme="minorHAnsi"/>
        </w:rPr>
        <w:t>-</w:t>
      </w:r>
      <w:r w:rsidRPr="00047A45">
        <w:rPr>
          <w:rFonts w:asciiTheme="minorHAnsi" w:hAnsiTheme="minorHAnsi"/>
        </w:rPr>
        <w:t>sprawdzić cechy zewnętrzne gotowych materiałów z tworzyw i prefabrykowanych.</w:t>
      </w:r>
    </w:p>
    <w:p w:rsidR="00B83F88" w:rsidRPr="00047A45" w:rsidRDefault="00B83F88" w:rsidP="00B83F88">
      <w:pPr>
        <w:rPr>
          <w:rFonts w:asciiTheme="minorHAnsi" w:hAnsiTheme="minorHAnsi"/>
        </w:rPr>
      </w:pPr>
      <w:r w:rsidRPr="00047A45">
        <w:rPr>
          <w:rFonts w:asciiTheme="minorHAnsi" w:hAnsiTheme="minorHAnsi"/>
        </w:rPr>
        <w:tab/>
        <w:t>Wszystkie dokumenty oraz wyniki badań Wykonawca przedstawia Inżynierowi do akceptacji.</w:t>
      </w:r>
    </w:p>
    <w:p w:rsidR="00180FC1" w:rsidRDefault="00180FC1" w:rsidP="00B83F88">
      <w:pPr>
        <w:rPr>
          <w:rFonts w:asciiTheme="minorHAnsi" w:hAnsiTheme="minorHAnsi"/>
          <w:b/>
        </w:rPr>
      </w:pPr>
    </w:p>
    <w:p w:rsidR="00B83F88" w:rsidRPr="00047A45" w:rsidRDefault="00B83F88" w:rsidP="00B83F88">
      <w:pPr>
        <w:rPr>
          <w:rFonts w:asciiTheme="minorHAnsi" w:hAnsiTheme="minorHAnsi"/>
        </w:rPr>
      </w:pPr>
      <w:r w:rsidRPr="00047A45">
        <w:rPr>
          <w:rFonts w:asciiTheme="minorHAnsi" w:hAnsiTheme="minorHAnsi"/>
          <w:b/>
        </w:rPr>
        <w:lastRenderedPageBreak/>
        <w:t>6.3.</w:t>
      </w:r>
      <w:r w:rsidRPr="00047A45">
        <w:rPr>
          <w:rFonts w:asciiTheme="minorHAnsi" w:hAnsiTheme="minorHAnsi"/>
        </w:rPr>
        <w:t xml:space="preserve"> Badania w czasie robót</w:t>
      </w:r>
    </w:p>
    <w:p w:rsidR="00B83F88" w:rsidRDefault="00B83F88" w:rsidP="00B83F88">
      <w:pPr>
        <w:rPr>
          <w:rFonts w:asciiTheme="minorHAnsi" w:hAnsiTheme="minorHAnsi"/>
        </w:rPr>
      </w:pPr>
      <w:r w:rsidRPr="00047A45">
        <w:rPr>
          <w:rFonts w:asciiTheme="minorHAnsi" w:hAnsiTheme="minorHAnsi"/>
        </w:rPr>
        <w:tab/>
        <w:t>Częstotliwość oraz zakres badań i pomiarów w czasie robót nawierzchniowych z kostki podaje tablica 2.</w:t>
      </w:r>
    </w:p>
    <w:p w:rsidR="00180FC1" w:rsidRPr="00047A45" w:rsidRDefault="00180FC1" w:rsidP="00B83F88">
      <w:pPr>
        <w:rPr>
          <w:rFonts w:asciiTheme="minorHAnsi" w:hAnsiTheme="minorHAnsi"/>
        </w:rPr>
      </w:pPr>
    </w:p>
    <w:p w:rsidR="00B83F88" w:rsidRPr="001631EC" w:rsidRDefault="00B83F88" w:rsidP="002075C4">
      <w:pPr>
        <w:ind w:left="709"/>
        <w:rPr>
          <w:rFonts w:asciiTheme="minorHAnsi" w:hAnsiTheme="minorHAnsi"/>
        </w:rPr>
      </w:pPr>
      <w:r w:rsidRPr="001631EC">
        <w:rPr>
          <w:rFonts w:asciiTheme="minorHAnsi" w:hAnsiTheme="minorHAnsi"/>
        </w:rPr>
        <w:t>Tablica 2. Częstotliwość oraz zakres badań i pomiarów w czasie robót</w:t>
      </w:r>
    </w:p>
    <w:tbl>
      <w:tblPr>
        <w:tblW w:w="7725" w:type="dxa"/>
        <w:tblInd w:w="779" w:type="dxa"/>
        <w:tblLayout w:type="fixed"/>
        <w:tblCellMar>
          <w:left w:w="70" w:type="dxa"/>
          <w:right w:w="70" w:type="dxa"/>
        </w:tblCellMar>
        <w:tblLook w:val="0000"/>
      </w:tblPr>
      <w:tblGrid>
        <w:gridCol w:w="496"/>
        <w:gridCol w:w="3056"/>
        <w:gridCol w:w="2755"/>
        <w:gridCol w:w="1418"/>
      </w:tblGrid>
      <w:tr w:rsidR="00B83F88" w:rsidRPr="001631EC" w:rsidTr="002075C4">
        <w:tc>
          <w:tcPr>
            <w:tcW w:w="496" w:type="dxa"/>
            <w:tcBorders>
              <w:top w:val="single" w:sz="6" w:space="0" w:color="auto"/>
              <w:left w:val="single" w:sz="6" w:space="0" w:color="auto"/>
              <w:bottom w:val="single" w:sz="4" w:space="0" w:color="auto"/>
              <w:right w:val="single" w:sz="6" w:space="0" w:color="auto"/>
            </w:tcBorders>
          </w:tcPr>
          <w:p w:rsidR="00B83F88" w:rsidRPr="001631EC" w:rsidRDefault="00B83F88" w:rsidP="00B83F88">
            <w:pPr>
              <w:jc w:val="center"/>
              <w:rPr>
                <w:rFonts w:asciiTheme="minorHAnsi" w:hAnsiTheme="minorHAnsi"/>
                <w:b/>
                <w:sz w:val="18"/>
                <w:szCs w:val="18"/>
              </w:rPr>
            </w:pPr>
            <w:r w:rsidRPr="001631EC">
              <w:rPr>
                <w:rFonts w:asciiTheme="minorHAnsi" w:hAnsiTheme="minorHAnsi"/>
                <w:b/>
                <w:sz w:val="18"/>
                <w:szCs w:val="18"/>
              </w:rPr>
              <w:t>Lp.</w:t>
            </w:r>
          </w:p>
        </w:tc>
        <w:tc>
          <w:tcPr>
            <w:tcW w:w="3056" w:type="dxa"/>
            <w:tcBorders>
              <w:top w:val="single" w:sz="6" w:space="0" w:color="auto"/>
              <w:left w:val="single" w:sz="6" w:space="0" w:color="auto"/>
              <w:bottom w:val="single" w:sz="4" w:space="0" w:color="auto"/>
              <w:right w:val="single" w:sz="6" w:space="0" w:color="auto"/>
            </w:tcBorders>
          </w:tcPr>
          <w:p w:rsidR="00B83F88" w:rsidRPr="001631EC" w:rsidRDefault="00B83F88" w:rsidP="00B83F88">
            <w:pPr>
              <w:jc w:val="center"/>
              <w:rPr>
                <w:rFonts w:asciiTheme="minorHAnsi" w:hAnsiTheme="minorHAnsi"/>
                <w:b/>
                <w:sz w:val="18"/>
                <w:szCs w:val="18"/>
              </w:rPr>
            </w:pPr>
            <w:r w:rsidRPr="001631EC">
              <w:rPr>
                <w:rFonts w:asciiTheme="minorHAnsi" w:hAnsiTheme="minorHAnsi"/>
                <w:b/>
                <w:sz w:val="18"/>
                <w:szCs w:val="18"/>
              </w:rPr>
              <w:t>Wyszczególnienie</w:t>
            </w:r>
          </w:p>
          <w:p w:rsidR="00B83F88" w:rsidRPr="001631EC" w:rsidRDefault="00B83F88" w:rsidP="00B83F88">
            <w:pPr>
              <w:jc w:val="center"/>
              <w:rPr>
                <w:rFonts w:asciiTheme="minorHAnsi" w:hAnsiTheme="minorHAnsi"/>
                <w:b/>
                <w:sz w:val="18"/>
                <w:szCs w:val="18"/>
              </w:rPr>
            </w:pPr>
            <w:r w:rsidRPr="001631EC">
              <w:rPr>
                <w:rFonts w:asciiTheme="minorHAnsi" w:hAnsiTheme="minorHAnsi"/>
                <w:b/>
                <w:sz w:val="18"/>
                <w:szCs w:val="18"/>
              </w:rPr>
              <w:t>badań i pomiarów</w:t>
            </w:r>
          </w:p>
        </w:tc>
        <w:tc>
          <w:tcPr>
            <w:tcW w:w="2755" w:type="dxa"/>
            <w:tcBorders>
              <w:top w:val="single" w:sz="6" w:space="0" w:color="auto"/>
              <w:left w:val="single" w:sz="6" w:space="0" w:color="auto"/>
              <w:bottom w:val="single" w:sz="4" w:space="0" w:color="auto"/>
              <w:right w:val="single" w:sz="6" w:space="0" w:color="auto"/>
            </w:tcBorders>
          </w:tcPr>
          <w:p w:rsidR="00B83F88" w:rsidRPr="001631EC" w:rsidRDefault="00B83F88" w:rsidP="00B83F88">
            <w:pPr>
              <w:jc w:val="center"/>
              <w:rPr>
                <w:rFonts w:asciiTheme="minorHAnsi" w:hAnsiTheme="minorHAnsi"/>
                <w:b/>
                <w:sz w:val="18"/>
                <w:szCs w:val="18"/>
              </w:rPr>
            </w:pPr>
            <w:r w:rsidRPr="001631EC">
              <w:rPr>
                <w:rFonts w:asciiTheme="minorHAnsi" w:hAnsiTheme="minorHAnsi"/>
                <w:b/>
                <w:sz w:val="18"/>
                <w:szCs w:val="18"/>
              </w:rPr>
              <w:t>Częstotliwość badań</w:t>
            </w:r>
          </w:p>
        </w:tc>
        <w:tc>
          <w:tcPr>
            <w:tcW w:w="1418" w:type="dxa"/>
            <w:tcBorders>
              <w:top w:val="single" w:sz="6" w:space="0" w:color="auto"/>
              <w:left w:val="single" w:sz="6" w:space="0" w:color="auto"/>
              <w:bottom w:val="single" w:sz="4" w:space="0" w:color="auto"/>
              <w:right w:val="single" w:sz="6" w:space="0" w:color="auto"/>
            </w:tcBorders>
          </w:tcPr>
          <w:p w:rsidR="00B83F88" w:rsidRPr="001631EC" w:rsidRDefault="00B83F88" w:rsidP="00B83F88">
            <w:pPr>
              <w:jc w:val="center"/>
              <w:rPr>
                <w:rFonts w:asciiTheme="minorHAnsi" w:hAnsiTheme="minorHAnsi"/>
                <w:b/>
                <w:sz w:val="18"/>
                <w:szCs w:val="18"/>
              </w:rPr>
            </w:pPr>
            <w:r w:rsidRPr="001631EC">
              <w:rPr>
                <w:rFonts w:asciiTheme="minorHAnsi" w:hAnsiTheme="minorHAnsi"/>
                <w:b/>
                <w:sz w:val="18"/>
                <w:szCs w:val="18"/>
              </w:rPr>
              <w:t>Wartości dopuszczalne</w:t>
            </w:r>
          </w:p>
        </w:tc>
      </w:tr>
      <w:tr w:rsidR="00B83F88" w:rsidRPr="001631EC" w:rsidTr="002075C4">
        <w:tc>
          <w:tcPr>
            <w:tcW w:w="496" w:type="dxa"/>
            <w:tcBorders>
              <w:top w:val="single" w:sz="4" w:space="0" w:color="auto"/>
              <w:left w:val="single" w:sz="6" w:space="0" w:color="auto"/>
            </w:tcBorders>
          </w:tcPr>
          <w:p w:rsidR="00B83F88" w:rsidRPr="001631EC" w:rsidRDefault="00B83F88" w:rsidP="00B83F88">
            <w:pPr>
              <w:jc w:val="center"/>
              <w:rPr>
                <w:rFonts w:asciiTheme="minorHAnsi" w:hAnsiTheme="minorHAnsi"/>
                <w:sz w:val="18"/>
                <w:szCs w:val="18"/>
              </w:rPr>
            </w:pPr>
            <w:r w:rsidRPr="001631EC">
              <w:rPr>
                <w:rFonts w:asciiTheme="minorHAnsi" w:hAnsiTheme="minorHAnsi"/>
                <w:sz w:val="18"/>
                <w:szCs w:val="18"/>
              </w:rPr>
              <w:t>1</w:t>
            </w:r>
          </w:p>
        </w:tc>
        <w:tc>
          <w:tcPr>
            <w:tcW w:w="3056" w:type="dxa"/>
            <w:tcBorders>
              <w:top w:val="single" w:sz="4" w:space="0" w:color="auto"/>
              <w:left w:val="single" w:sz="6" w:space="0" w:color="auto"/>
            </w:tcBorders>
          </w:tcPr>
          <w:p w:rsidR="00B83F88" w:rsidRPr="001631EC" w:rsidRDefault="00B83F88" w:rsidP="00B83F88">
            <w:pPr>
              <w:jc w:val="center"/>
              <w:rPr>
                <w:rFonts w:asciiTheme="minorHAnsi" w:hAnsiTheme="minorHAnsi"/>
                <w:sz w:val="18"/>
                <w:szCs w:val="18"/>
              </w:rPr>
            </w:pPr>
            <w:r w:rsidRPr="001631EC">
              <w:rPr>
                <w:rFonts w:asciiTheme="minorHAnsi" w:hAnsiTheme="minorHAnsi"/>
                <w:sz w:val="18"/>
                <w:szCs w:val="18"/>
              </w:rPr>
              <w:t>Sprawdzenie podłoża i koryta</w:t>
            </w:r>
          </w:p>
        </w:tc>
        <w:tc>
          <w:tcPr>
            <w:tcW w:w="2755" w:type="dxa"/>
            <w:tcBorders>
              <w:top w:val="single" w:sz="4" w:space="0" w:color="auto"/>
              <w:left w:val="single" w:sz="6" w:space="0" w:color="auto"/>
            </w:tcBorders>
          </w:tcPr>
          <w:p w:rsidR="00B83F88" w:rsidRPr="001631EC" w:rsidRDefault="00E90E02" w:rsidP="00B83F88">
            <w:pPr>
              <w:jc w:val="center"/>
              <w:rPr>
                <w:rFonts w:asciiTheme="minorHAnsi" w:hAnsiTheme="minorHAnsi"/>
                <w:sz w:val="18"/>
                <w:szCs w:val="18"/>
              </w:rPr>
            </w:pPr>
            <w:r>
              <w:rPr>
                <w:rFonts w:asciiTheme="minorHAnsi" w:hAnsiTheme="minorHAnsi"/>
                <w:sz w:val="18"/>
                <w:szCs w:val="18"/>
              </w:rPr>
              <w:t xml:space="preserve">Wg </w:t>
            </w:r>
            <w:r w:rsidR="00B83F88" w:rsidRPr="001631EC">
              <w:rPr>
                <w:rFonts w:asciiTheme="minorHAnsi" w:hAnsiTheme="minorHAnsi"/>
                <w:sz w:val="18"/>
                <w:szCs w:val="18"/>
              </w:rPr>
              <w:t>ST D-04.01.01</w:t>
            </w:r>
          </w:p>
        </w:tc>
        <w:tc>
          <w:tcPr>
            <w:tcW w:w="1418" w:type="dxa"/>
            <w:tcBorders>
              <w:top w:val="single" w:sz="4" w:space="0" w:color="auto"/>
              <w:right w:val="single" w:sz="6" w:space="0" w:color="auto"/>
            </w:tcBorders>
          </w:tcPr>
          <w:p w:rsidR="00B83F88" w:rsidRPr="001631EC" w:rsidRDefault="00B83F88" w:rsidP="00B83F88">
            <w:pPr>
              <w:jc w:val="center"/>
              <w:rPr>
                <w:rFonts w:asciiTheme="minorHAnsi" w:hAnsiTheme="minorHAnsi"/>
                <w:sz w:val="18"/>
                <w:szCs w:val="18"/>
              </w:rPr>
            </w:pPr>
          </w:p>
        </w:tc>
      </w:tr>
      <w:tr w:rsidR="00B83F88" w:rsidRPr="001631EC" w:rsidTr="002075C4">
        <w:tc>
          <w:tcPr>
            <w:tcW w:w="496" w:type="dxa"/>
            <w:tcBorders>
              <w:top w:val="single" w:sz="6" w:space="0" w:color="auto"/>
              <w:left w:val="single" w:sz="6" w:space="0" w:color="auto"/>
              <w:right w:val="single" w:sz="6" w:space="0" w:color="auto"/>
            </w:tcBorders>
          </w:tcPr>
          <w:p w:rsidR="00B83F88" w:rsidRPr="001631EC" w:rsidRDefault="00B83F88" w:rsidP="00B83F88">
            <w:pPr>
              <w:jc w:val="center"/>
              <w:rPr>
                <w:rFonts w:asciiTheme="minorHAnsi" w:hAnsiTheme="minorHAnsi"/>
                <w:sz w:val="18"/>
                <w:szCs w:val="18"/>
              </w:rPr>
            </w:pPr>
            <w:r w:rsidRPr="001631EC">
              <w:rPr>
                <w:rFonts w:asciiTheme="minorHAnsi" w:hAnsiTheme="minorHAnsi"/>
                <w:sz w:val="18"/>
                <w:szCs w:val="18"/>
              </w:rPr>
              <w:t>2</w:t>
            </w:r>
          </w:p>
        </w:tc>
        <w:tc>
          <w:tcPr>
            <w:tcW w:w="3056" w:type="dxa"/>
            <w:tcBorders>
              <w:top w:val="single" w:sz="6" w:space="0" w:color="auto"/>
            </w:tcBorders>
          </w:tcPr>
          <w:p w:rsidR="00B83F88" w:rsidRPr="001631EC" w:rsidRDefault="00B83F88" w:rsidP="00B83F88">
            <w:pPr>
              <w:jc w:val="center"/>
              <w:rPr>
                <w:rFonts w:asciiTheme="minorHAnsi" w:hAnsiTheme="minorHAnsi"/>
                <w:sz w:val="18"/>
                <w:szCs w:val="18"/>
              </w:rPr>
            </w:pPr>
            <w:r w:rsidRPr="001631EC">
              <w:rPr>
                <w:rFonts w:asciiTheme="minorHAnsi" w:hAnsiTheme="minorHAnsi"/>
                <w:sz w:val="18"/>
                <w:szCs w:val="18"/>
              </w:rPr>
              <w:t>Sprawdzenie ew. podbudowy</w:t>
            </w:r>
          </w:p>
        </w:tc>
        <w:tc>
          <w:tcPr>
            <w:tcW w:w="2755" w:type="dxa"/>
            <w:tcBorders>
              <w:top w:val="single" w:sz="6" w:space="0" w:color="auto"/>
              <w:left w:val="single" w:sz="6" w:space="0" w:color="auto"/>
            </w:tcBorders>
          </w:tcPr>
          <w:p w:rsidR="00B83F88" w:rsidRPr="001631EC" w:rsidRDefault="00B83F88" w:rsidP="00B83F88">
            <w:pPr>
              <w:jc w:val="center"/>
              <w:rPr>
                <w:rFonts w:asciiTheme="minorHAnsi" w:hAnsiTheme="minorHAnsi"/>
                <w:sz w:val="18"/>
                <w:szCs w:val="18"/>
              </w:rPr>
            </w:pPr>
            <w:r w:rsidRPr="001631EC">
              <w:rPr>
                <w:rFonts w:asciiTheme="minorHAnsi" w:hAnsiTheme="minorHAnsi"/>
                <w:sz w:val="18"/>
                <w:szCs w:val="18"/>
              </w:rPr>
              <w:t>Wg OST, norm, wytycznych, wymienionych w pkcie 5.4</w:t>
            </w:r>
          </w:p>
        </w:tc>
        <w:tc>
          <w:tcPr>
            <w:tcW w:w="1418" w:type="dxa"/>
            <w:tcBorders>
              <w:top w:val="single" w:sz="6" w:space="0" w:color="auto"/>
              <w:bottom w:val="single" w:sz="6" w:space="0" w:color="auto"/>
              <w:right w:val="single" w:sz="6" w:space="0" w:color="auto"/>
            </w:tcBorders>
          </w:tcPr>
          <w:p w:rsidR="00B83F88" w:rsidRPr="001631EC" w:rsidRDefault="00B83F88" w:rsidP="00B83F88">
            <w:pPr>
              <w:jc w:val="center"/>
              <w:rPr>
                <w:rFonts w:asciiTheme="minorHAnsi" w:hAnsiTheme="minorHAnsi"/>
                <w:sz w:val="18"/>
                <w:szCs w:val="18"/>
              </w:rPr>
            </w:pPr>
          </w:p>
        </w:tc>
      </w:tr>
      <w:tr w:rsidR="00B83F88" w:rsidRPr="001631EC" w:rsidTr="002075C4">
        <w:tc>
          <w:tcPr>
            <w:tcW w:w="496" w:type="dxa"/>
            <w:tcBorders>
              <w:top w:val="single" w:sz="6" w:space="0" w:color="auto"/>
              <w:left w:val="single" w:sz="6" w:space="0" w:color="auto"/>
              <w:right w:val="single" w:sz="6" w:space="0" w:color="auto"/>
            </w:tcBorders>
          </w:tcPr>
          <w:p w:rsidR="00B83F88" w:rsidRPr="001631EC" w:rsidRDefault="00B83F88" w:rsidP="00B83F88">
            <w:pPr>
              <w:jc w:val="center"/>
              <w:rPr>
                <w:rFonts w:asciiTheme="minorHAnsi" w:hAnsiTheme="minorHAnsi"/>
                <w:sz w:val="18"/>
                <w:szCs w:val="18"/>
              </w:rPr>
            </w:pPr>
            <w:r w:rsidRPr="001631EC">
              <w:rPr>
                <w:rFonts w:asciiTheme="minorHAnsi" w:hAnsiTheme="minorHAnsi"/>
                <w:sz w:val="18"/>
                <w:szCs w:val="18"/>
              </w:rPr>
              <w:t>3</w:t>
            </w:r>
          </w:p>
        </w:tc>
        <w:tc>
          <w:tcPr>
            <w:tcW w:w="3056" w:type="dxa"/>
            <w:tcBorders>
              <w:top w:val="single" w:sz="6" w:space="0" w:color="auto"/>
            </w:tcBorders>
          </w:tcPr>
          <w:p w:rsidR="00B83F88" w:rsidRPr="001631EC" w:rsidRDefault="00B83F88" w:rsidP="00B83F88">
            <w:pPr>
              <w:jc w:val="center"/>
              <w:rPr>
                <w:rFonts w:asciiTheme="minorHAnsi" w:hAnsiTheme="minorHAnsi"/>
                <w:sz w:val="18"/>
                <w:szCs w:val="18"/>
              </w:rPr>
            </w:pPr>
            <w:r w:rsidRPr="001631EC">
              <w:rPr>
                <w:rFonts w:asciiTheme="minorHAnsi" w:hAnsiTheme="minorHAnsi"/>
                <w:sz w:val="18"/>
                <w:szCs w:val="18"/>
              </w:rPr>
              <w:t>Sprawdzenie obramowania nawierzchni</w:t>
            </w:r>
          </w:p>
        </w:tc>
        <w:tc>
          <w:tcPr>
            <w:tcW w:w="2755" w:type="dxa"/>
            <w:tcBorders>
              <w:top w:val="single" w:sz="6" w:space="0" w:color="auto"/>
              <w:left w:val="single" w:sz="6" w:space="0" w:color="auto"/>
            </w:tcBorders>
          </w:tcPr>
          <w:p w:rsidR="00B83F88" w:rsidRPr="001631EC" w:rsidRDefault="00B83F88" w:rsidP="00B83F88">
            <w:pPr>
              <w:jc w:val="center"/>
              <w:rPr>
                <w:rFonts w:asciiTheme="minorHAnsi" w:hAnsiTheme="minorHAnsi"/>
                <w:sz w:val="18"/>
                <w:szCs w:val="18"/>
              </w:rPr>
            </w:pPr>
            <w:r w:rsidRPr="001631EC">
              <w:rPr>
                <w:rFonts w:asciiTheme="minorHAnsi" w:hAnsiTheme="minorHAnsi"/>
                <w:sz w:val="18"/>
                <w:szCs w:val="18"/>
              </w:rPr>
              <w:t>wg OST D-08.01.01a;                  D-08.01.02 [14]; D-08.03.01;           D-08.05.00</w:t>
            </w:r>
          </w:p>
        </w:tc>
        <w:tc>
          <w:tcPr>
            <w:tcW w:w="1418" w:type="dxa"/>
            <w:tcBorders>
              <w:right w:val="single" w:sz="6" w:space="0" w:color="auto"/>
            </w:tcBorders>
          </w:tcPr>
          <w:p w:rsidR="00B83F88" w:rsidRPr="001631EC" w:rsidRDefault="00B83F88" w:rsidP="00B83F88">
            <w:pPr>
              <w:jc w:val="center"/>
              <w:rPr>
                <w:rFonts w:asciiTheme="minorHAnsi" w:hAnsiTheme="minorHAnsi"/>
                <w:sz w:val="18"/>
                <w:szCs w:val="18"/>
              </w:rPr>
            </w:pPr>
          </w:p>
        </w:tc>
      </w:tr>
      <w:tr w:rsidR="00B83F88" w:rsidRPr="001631EC" w:rsidTr="002075C4">
        <w:tc>
          <w:tcPr>
            <w:tcW w:w="496" w:type="dxa"/>
            <w:tcBorders>
              <w:top w:val="single" w:sz="6" w:space="0" w:color="auto"/>
              <w:left w:val="single" w:sz="6" w:space="0" w:color="auto"/>
              <w:right w:val="single" w:sz="6" w:space="0" w:color="auto"/>
            </w:tcBorders>
          </w:tcPr>
          <w:p w:rsidR="00B83F88" w:rsidRPr="001631EC" w:rsidRDefault="00B83F88" w:rsidP="00B83F88">
            <w:pPr>
              <w:jc w:val="center"/>
              <w:rPr>
                <w:rFonts w:asciiTheme="minorHAnsi" w:hAnsiTheme="minorHAnsi"/>
                <w:sz w:val="18"/>
                <w:szCs w:val="18"/>
              </w:rPr>
            </w:pPr>
            <w:r w:rsidRPr="001631EC">
              <w:rPr>
                <w:rFonts w:asciiTheme="minorHAnsi" w:hAnsiTheme="minorHAnsi"/>
                <w:sz w:val="18"/>
                <w:szCs w:val="18"/>
              </w:rPr>
              <w:t>4</w:t>
            </w:r>
          </w:p>
        </w:tc>
        <w:tc>
          <w:tcPr>
            <w:tcW w:w="3056" w:type="dxa"/>
            <w:tcBorders>
              <w:top w:val="single" w:sz="6" w:space="0" w:color="auto"/>
              <w:left w:val="single" w:sz="6" w:space="0" w:color="auto"/>
              <w:right w:val="single" w:sz="6" w:space="0" w:color="auto"/>
            </w:tcBorders>
          </w:tcPr>
          <w:p w:rsidR="00B83F88" w:rsidRPr="001631EC" w:rsidRDefault="00B83F88" w:rsidP="00B83F88">
            <w:pPr>
              <w:jc w:val="center"/>
              <w:rPr>
                <w:rFonts w:asciiTheme="minorHAnsi" w:hAnsiTheme="minorHAnsi"/>
                <w:sz w:val="18"/>
                <w:szCs w:val="18"/>
              </w:rPr>
            </w:pPr>
            <w:r w:rsidRPr="001631EC">
              <w:rPr>
                <w:rFonts w:asciiTheme="minorHAnsi" w:hAnsiTheme="minorHAnsi"/>
                <w:sz w:val="18"/>
                <w:szCs w:val="18"/>
              </w:rPr>
              <w:t>Sprawdzenie podsypki (przymiarem liniowym lub metodą niwelacji)</w:t>
            </w:r>
          </w:p>
        </w:tc>
        <w:tc>
          <w:tcPr>
            <w:tcW w:w="2755" w:type="dxa"/>
            <w:tcBorders>
              <w:top w:val="single" w:sz="6" w:space="0" w:color="auto"/>
              <w:left w:val="single" w:sz="6" w:space="0" w:color="auto"/>
              <w:right w:val="single" w:sz="6" w:space="0" w:color="auto"/>
            </w:tcBorders>
          </w:tcPr>
          <w:p w:rsidR="00B83F88" w:rsidRPr="001631EC" w:rsidRDefault="00B83F88" w:rsidP="00B83F88">
            <w:pPr>
              <w:jc w:val="center"/>
              <w:rPr>
                <w:rFonts w:asciiTheme="minorHAnsi" w:hAnsiTheme="minorHAnsi"/>
                <w:sz w:val="18"/>
                <w:szCs w:val="18"/>
              </w:rPr>
            </w:pPr>
            <w:r w:rsidRPr="001631EC">
              <w:rPr>
                <w:rFonts w:asciiTheme="minorHAnsi" w:hAnsiTheme="minorHAnsi"/>
                <w:sz w:val="18"/>
                <w:szCs w:val="18"/>
              </w:rPr>
              <w:t>Bieżąca kontrola w 10 punktach dziennej działki roboczej: grubości, spadków i cech konstrukcyjnych w porównaniu z dokumentacją projektową i specyfikacją</w:t>
            </w:r>
          </w:p>
          <w:p w:rsidR="00B83F88" w:rsidRPr="001631EC" w:rsidRDefault="00B83F88" w:rsidP="00B83F88">
            <w:pPr>
              <w:jc w:val="center"/>
              <w:rPr>
                <w:rFonts w:asciiTheme="minorHAnsi" w:hAnsiTheme="minorHAnsi"/>
                <w:sz w:val="18"/>
                <w:szCs w:val="18"/>
              </w:rPr>
            </w:pPr>
          </w:p>
        </w:tc>
        <w:tc>
          <w:tcPr>
            <w:tcW w:w="1418" w:type="dxa"/>
            <w:tcBorders>
              <w:top w:val="single" w:sz="6" w:space="0" w:color="auto"/>
              <w:left w:val="single" w:sz="6" w:space="0" w:color="auto"/>
              <w:right w:val="single" w:sz="6" w:space="0" w:color="auto"/>
            </w:tcBorders>
          </w:tcPr>
          <w:p w:rsidR="00B83F88" w:rsidRPr="001631EC" w:rsidRDefault="00B83F88" w:rsidP="00B83F88">
            <w:pPr>
              <w:jc w:val="center"/>
              <w:rPr>
                <w:rFonts w:asciiTheme="minorHAnsi" w:hAnsiTheme="minorHAnsi"/>
                <w:sz w:val="18"/>
                <w:szCs w:val="18"/>
              </w:rPr>
            </w:pPr>
            <w:r w:rsidRPr="001631EC">
              <w:rPr>
                <w:rFonts w:asciiTheme="minorHAnsi" w:hAnsiTheme="minorHAnsi"/>
                <w:sz w:val="18"/>
                <w:szCs w:val="18"/>
              </w:rPr>
              <w:t xml:space="preserve">Wg pktu 5.6; odchyłki od projektowanej grubości </w:t>
            </w:r>
            <w:r w:rsidRPr="001631EC">
              <w:rPr>
                <w:rFonts w:asciiTheme="minorHAnsi" w:hAnsiTheme="minorHAnsi"/>
                <w:sz w:val="18"/>
                <w:szCs w:val="18"/>
              </w:rPr>
              <w:sym w:font="Symbol" w:char="F0B1"/>
            </w:r>
            <w:r w:rsidRPr="001631EC">
              <w:rPr>
                <w:rFonts w:asciiTheme="minorHAnsi" w:hAnsiTheme="minorHAnsi"/>
                <w:sz w:val="18"/>
                <w:szCs w:val="18"/>
              </w:rPr>
              <w:t>1 cm</w:t>
            </w:r>
          </w:p>
        </w:tc>
      </w:tr>
      <w:tr w:rsidR="00B83F88" w:rsidRPr="001631EC" w:rsidTr="001E5422">
        <w:trPr>
          <w:trHeight w:val="485"/>
        </w:trPr>
        <w:tc>
          <w:tcPr>
            <w:tcW w:w="496" w:type="dxa"/>
            <w:tcBorders>
              <w:top w:val="single" w:sz="6" w:space="0" w:color="auto"/>
              <w:left w:val="single" w:sz="6" w:space="0" w:color="auto"/>
              <w:right w:val="single" w:sz="6" w:space="0" w:color="auto"/>
            </w:tcBorders>
          </w:tcPr>
          <w:p w:rsidR="00B83F88" w:rsidRPr="001631EC" w:rsidRDefault="00B83F88" w:rsidP="00B83F88">
            <w:pPr>
              <w:jc w:val="center"/>
              <w:rPr>
                <w:rFonts w:asciiTheme="minorHAnsi" w:hAnsiTheme="minorHAnsi"/>
                <w:sz w:val="18"/>
                <w:szCs w:val="18"/>
              </w:rPr>
            </w:pPr>
            <w:r w:rsidRPr="001631EC">
              <w:rPr>
                <w:rFonts w:asciiTheme="minorHAnsi" w:hAnsiTheme="minorHAnsi"/>
                <w:sz w:val="18"/>
                <w:szCs w:val="18"/>
              </w:rPr>
              <w:t>5</w:t>
            </w:r>
          </w:p>
        </w:tc>
        <w:tc>
          <w:tcPr>
            <w:tcW w:w="7229" w:type="dxa"/>
            <w:gridSpan w:val="3"/>
            <w:tcBorders>
              <w:top w:val="single" w:sz="6" w:space="0" w:color="auto"/>
              <w:right w:val="single" w:sz="6" w:space="0" w:color="auto"/>
            </w:tcBorders>
          </w:tcPr>
          <w:p w:rsidR="00B83F88" w:rsidRPr="001631EC" w:rsidRDefault="00B83F88" w:rsidP="00B83F88">
            <w:pPr>
              <w:jc w:val="center"/>
              <w:rPr>
                <w:rFonts w:asciiTheme="minorHAnsi" w:hAnsiTheme="minorHAnsi"/>
                <w:sz w:val="18"/>
                <w:szCs w:val="18"/>
              </w:rPr>
            </w:pPr>
            <w:r w:rsidRPr="001631EC">
              <w:rPr>
                <w:rFonts w:asciiTheme="minorHAnsi" w:hAnsiTheme="minorHAnsi"/>
                <w:sz w:val="18"/>
                <w:szCs w:val="18"/>
              </w:rPr>
              <w:t>Badania  wykonywania  nawierzchni  z</w:t>
            </w:r>
          </w:p>
          <w:p w:rsidR="00B83F88" w:rsidRPr="001631EC" w:rsidRDefault="00B83F88" w:rsidP="001E5422">
            <w:pPr>
              <w:jc w:val="center"/>
              <w:rPr>
                <w:rFonts w:asciiTheme="minorHAnsi" w:hAnsiTheme="minorHAnsi"/>
                <w:sz w:val="18"/>
                <w:szCs w:val="18"/>
              </w:rPr>
            </w:pPr>
            <w:r w:rsidRPr="001631EC">
              <w:rPr>
                <w:rFonts w:asciiTheme="minorHAnsi" w:hAnsiTheme="minorHAnsi"/>
                <w:sz w:val="18"/>
                <w:szCs w:val="18"/>
              </w:rPr>
              <w:t>Kostki</w:t>
            </w:r>
          </w:p>
        </w:tc>
      </w:tr>
      <w:tr w:rsidR="00B83F88" w:rsidRPr="001631EC" w:rsidTr="002075C4">
        <w:tc>
          <w:tcPr>
            <w:tcW w:w="496" w:type="dxa"/>
            <w:tcBorders>
              <w:left w:val="single" w:sz="6" w:space="0" w:color="auto"/>
            </w:tcBorders>
          </w:tcPr>
          <w:p w:rsidR="00B83F88" w:rsidRPr="001631EC" w:rsidRDefault="00B83F88" w:rsidP="00B83F88">
            <w:pPr>
              <w:jc w:val="center"/>
              <w:rPr>
                <w:rFonts w:asciiTheme="minorHAnsi" w:hAnsiTheme="minorHAnsi"/>
                <w:sz w:val="18"/>
                <w:szCs w:val="18"/>
              </w:rPr>
            </w:pPr>
          </w:p>
        </w:tc>
        <w:tc>
          <w:tcPr>
            <w:tcW w:w="3056" w:type="dxa"/>
            <w:tcBorders>
              <w:top w:val="single" w:sz="6" w:space="0" w:color="auto"/>
              <w:left w:val="single" w:sz="6" w:space="0" w:color="auto"/>
              <w:bottom w:val="single" w:sz="6" w:space="0" w:color="auto"/>
              <w:right w:val="single" w:sz="6" w:space="0" w:color="auto"/>
            </w:tcBorders>
          </w:tcPr>
          <w:p w:rsidR="00B83F88" w:rsidRPr="001631EC" w:rsidRDefault="00B83F88" w:rsidP="00B83F88">
            <w:pPr>
              <w:jc w:val="center"/>
              <w:rPr>
                <w:rFonts w:asciiTheme="minorHAnsi" w:hAnsiTheme="minorHAnsi"/>
                <w:sz w:val="18"/>
                <w:szCs w:val="18"/>
              </w:rPr>
            </w:pPr>
            <w:r w:rsidRPr="001631EC">
              <w:rPr>
                <w:rFonts w:asciiTheme="minorHAnsi" w:hAnsiTheme="minorHAnsi"/>
                <w:sz w:val="18"/>
                <w:szCs w:val="18"/>
              </w:rPr>
              <w:t>zgodność z dokumentacją projektową</w:t>
            </w:r>
          </w:p>
        </w:tc>
        <w:tc>
          <w:tcPr>
            <w:tcW w:w="2755" w:type="dxa"/>
            <w:tcBorders>
              <w:top w:val="single" w:sz="6" w:space="0" w:color="auto"/>
              <w:left w:val="single" w:sz="6" w:space="0" w:color="auto"/>
              <w:bottom w:val="single" w:sz="6" w:space="0" w:color="auto"/>
              <w:right w:val="single" w:sz="6" w:space="0" w:color="auto"/>
            </w:tcBorders>
          </w:tcPr>
          <w:p w:rsidR="00B83F88" w:rsidRPr="001631EC" w:rsidRDefault="00B83F88" w:rsidP="00B83F88">
            <w:pPr>
              <w:jc w:val="center"/>
              <w:rPr>
                <w:rFonts w:asciiTheme="minorHAnsi" w:hAnsiTheme="minorHAnsi"/>
                <w:sz w:val="18"/>
                <w:szCs w:val="18"/>
              </w:rPr>
            </w:pPr>
            <w:r w:rsidRPr="001631EC">
              <w:rPr>
                <w:rFonts w:asciiTheme="minorHAnsi" w:hAnsiTheme="minorHAnsi"/>
                <w:sz w:val="18"/>
                <w:szCs w:val="18"/>
              </w:rPr>
              <w:t>Sukcesywnie na każdej działce roboczej</w:t>
            </w:r>
          </w:p>
          <w:p w:rsidR="00B83F88" w:rsidRPr="001631EC" w:rsidRDefault="00B83F88" w:rsidP="00B83F88">
            <w:pPr>
              <w:jc w:val="center"/>
              <w:rPr>
                <w:rFonts w:asciiTheme="minorHAnsi" w:hAnsiTheme="minorHAnsi"/>
                <w:sz w:val="18"/>
                <w:szCs w:val="18"/>
              </w:rPr>
            </w:pPr>
          </w:p>
        </w:tc>
        <w:tc>
          <w:tcPr>
            <w:tcW w:w="1418" w:type="dxa"/>
            <w:tcBorders>
              <w:top w:val="single" w:sz="6" w:space="0" w:color="auto"/>
              <w:left w:val="single" w:sz="6" w:space="0" w:color="auto"/>
              <w:bottom w:val="single" w:sz="6" w:space="0" w:color="auto"/>
              <w:right w:val="single" w:sz="6" w:space="0" w:color="auto"/>
            </w:tcBorders>
          </w:tcPr>
          <w:p w:rsidR="00B83F88" w:rsidRPr="001631EC" w:rsidRDefault="00B83F88" w:rsidP="00B83F88">
            <w:pPr>
              <w:jc w:val="center"/>
              <w:rPr>
                <w:rFonts w:asciiTheme="minorHAnsi" w:hAnsiTheme="minorHAnsi"/>
                <w:sz w:val="18"/>
                <w:szCs w:val="18"/>
              </w:rPr>
            </w:pPr>
            <w:r w:rsidRPr="001631EC">
              <w:rPr>
                <w:rFonts w:asciiTheme="minorHAnsi" w:hAnsiTheme="minorHAnsi"/>
                <w:sz w:val="18"/>
                <w:szCs w:val="18"/>
              </w:rPr>
              <w:t>-</w:t>
            </w:r>
          </w:p>
        </w:tc>
      </w:tr>
      <w:tr w:rsidR="00B83F88" w:rsidRPr="001631EC" w:rsidTr="002075C4">
        <w:tc>
          <w:tcPr>
            <w:tcW w:w="496" w:type="dxa"/>
            <w:tcBorders>
              <w:left w:val="single" w:sz="6" w:space="0" w:color="auto"/>
            </w:tcBorders>
          </w:tcPr>
          <w:p w:rsidR="00B83F88" w:rsidRPr="001631EC" w:rsidRDefault="00B83F88" w:rsidP="00B83F88">
            <w:pPr>
              <w:jc w:val="center"/>
              <w:rPr>
                <w:rFonts w:asciiTheme="minorHAnsi" w:hAnsiTheme="minorHAnsi"/>
                <w:sz w:val="18"/>
                <w:szCs w:val="18"/>
              </w:rPr>
            </w:pPr>
          </w:p>
        </w:tc>
        <w:tc>
          <w:tcPr>
            <w:tcW w:w="3056" w:type="dxa"/>
            <w:tcBorders>
              <w:top w:val="single" w:sz="6" w:space="0" w:color="auto"/>
              <w:left w:val="single" w:sz="6" w:space="0" w:color="auto"/>
              <w:bottom w:val="single" w:sz="6" w:space="0" w:color="auto"/>
              <w:right w:val="single" w:sz="6" w:space="0" w:color="auto"/>
            </w:tcBorders>
          </w:tcPr>
          <w:p w:rsidR="00B83F88" w:rsidRPr="001631EC" w:rsidRDefault="00B83F88" w:rsidP="00B83F88">
            <w:pPr>
              <w:jc w:val="center"/>
              <w:rPr>
                <w:rFonts w:asciiTheme="minorHAnsi" w:hAnsiTheme="minorHAnsi"/>
                <w:sz w:val="18"/>
                <w:szCs w:val="18"/>
              </w:rPr>
            </w:pPr>
            <w:r w:rsidRPr="001631EC">
              <w:rPr>
                <w:rFonts w:asciiTheme="minorHAnsi" w:hAnsiTheme="minorHAnsi"/>
                <w:sz w:val="18"/>
                <w:szCs w:val="18"/>
              </w:rPr>
              <w:t>położenie osi w planie (sprawdzone geodezyjnie)</w:t>
            </w:r>
          </w:p>
        </w:tc>
        <w:tc>
          <w:tcPr>
            <w:tcW w:w="2755" w:type="dxa"/>
            <w:tcBorders>
              <w:top w:val="single" w:sz="6" w:space="0" w:color="auto"/>
              <w:left w:val="single" w:sz="6" w:space="0" w:color="auto"/>
              <w:bottom w:val="single" w:sz="6" w:space="0" w:color="auto"/>
              <w:right w:val="single" w:sz="6" w:space="0" w:color="auto"/>
            </w:tcBorders>
          </w:tcPr>
          <w:p w:rsidR="00B83F88" w:rsidRPr="001631EC" w:rsidRDefault="00B83F88" w:rsidP="00B83F88">
            <w:pPr>
              <w:jc w:val="center"/>
              <w:rPr>
                <w:rFonts w:asciiTheme="minorHAnsi" w:hAnsiTheme="minorHAnsi"/>
                <w:sz w:val="18"/>
                <w:szCs w:val="18"/>
              </w:rPr>
            </w:pPr>
            <w:r w:rsidRPr="001631EC">
              <w:rPr>
                <w:rFonts w:asciiTheme="minorHAnsi" w:hAnsiTheme="minorHAnsi"/>
                <w:sz w:val="18"/>
                <w:szCs w:val="18"/>
              </w:rPr>
              <w:t xml:space="preserve">Co </w:t>
            </w:r>
            <w:smartTag w:uri="urn:schemas-microsoft-com:office:smarttags" w:element="metricconverter">
              <w:smartTagPr>
                <w:attr w:name="ProductID" w:val="100 m"/>
              </w:smartTagPr>
              <w:r w:rsidRPr="001631EC">
                <w:rPr>
                  <w:rFonts w:asciiTheme="minorHAnsi" w:hAnsiTheme="minorHAnsi"/>
                  <w:sz w:val="18"/>
                  <w:szCs w:val="18"/>
                </w:rPr>
                <w:t>100 m</w:t>
              </w:r>
            </w:smartTag>
            <w:r w:rsidRPr="001631EC">
              <w:rPr>
                <w:rFonts w:asciiTheme="minorHAnsi" w:hAnsiTheme="minorHAnsi"/>
                <w:sz w:val="18"/>
                <w:szCs w:val="18"/>
              </w:rPr>
              <w:t xml:space="preserve"> i we wszystkich punktach charakterystycznych</w:t>
            </w:r>
          </w:p>
          <w:p w:rsidR="00B83F88" w:rsidRPr="001631EC" w:rsidRDefault="00B83F88" w:rsidP="00B83F88">
            <w:pPr>
              <w:jc w:val="center"/>
              <w:rPr>
                <w:rFonts w:asciiTheme="minorHAnsi" w:hAnsiTheme="minorHAnsi"/>
                <w:sz w:val="18"/>
                <w:szCs w:val="18"/>
              </w:rPr>
            </w:pPr>
          </w:p>
          <w:p w:rsidR="00B83F88" w:rsidRPr="001631EC" w:rsidRDefault="00B83F88" w:rsidP="00B83F88">
            <w:pPr>
              <w:jc w:val="center"/>
              <w:rPr>
                <w:rFonts w:asciiTheme="minorHAnsi" w:hAnsiTheme="minorHAnsi"/>
                <w:sz w:val="18"/>
                <w:szCs w:val="18"/>
              </w:rPr>
            </w:pPr>
          </w:p>
        </w:tc>
        <w:tc>
          <w:tcPr>
            <w:tcW w:w="1418" w:type="dxa"/>
            <w:tcBorders>
              <w:top w:val="single" w:sz="6" w:space="0" w:color="auto"/>
              <w:left w:val="single" w:sz="6" w:space="0" w:color="auto"/>
              <w:bottom w:val="single" w:sz="6" w:space="0" w:color="auto"/>
              <w:right w:val="single" w:sz="6" w:space="0" w:color="auto"/>
            </w:tcBorders>
          </w:tcPr>
          <w:p w:rsidR="00B83F88" w:rsidRPr="001631EC" w:rsidRDefault="00B83F88" w:rsidP="00B83F88">
            <w:pPr>
              <w:jc w:val="center"/>
              <w:rPr>
                <w:rFonts w:asciiTheme="minorHAnsi" w:hAnsiTheme="minorHAnsi"/>
                <w:sz w:val="18"/>
                <w:szCs w:val="18"/>
              </w:rPr>
            </w:pPr>
            <w:r w:rsidRPr="001631EC">
              <w:rPr>
                <w:rFonts w:asciiTheme="minorHAnsi" w:hAnsiTheme="minorHAnsi"/>
                <w:sz w:val="18"/>
                <w:szCs w:val="18"/>
              </w:rPr>
              <w:t xml:space="preserve">Przesunięcie od osi projektowa-nej do </w:t>
            </w:r>
            <w:smartTag w:uri="urn:schemas-microsoft-com:office:smarttags" w:element="metricconverter">
              <w:smartTagPr>
                <w:attr w:name="ProductID" w:val="2 cm"/>
              </w:smartTagPr>
              <w:r w:rsidRPr="001631EC">
                <w:rPr>
                  <w:rFonts w:asciiTheme="minorHAnsi" w:hAnsiTheme="minorHAnsi"/>
                  <w:sz w:val="18"/>
                  <w:szCs w:val="18"/>
                </w:rPr>
                <w:t>2 cm</w:t>
              </w:r>
            </w:smartTag>
          </w:p>
        </w:tc>
      </w:tr>
      <w:tr w:rsidR="00B83F88" w:rsidRPr="001631EC" w:rsidTr="002075C4">
        <w:tc>
          <w:tcPr>
            <w:tcW w:w="496" w:type="dxa"/>
            <w:tcBorders>
              <w:left w:val="single" w:sz="6" w:space="0" w:color="auto"/>
            </w:tcBorders>
          </w:tcPr>
          <w:p w:rsidR="00B83F88" w:rsidRPr="001631EC" w:rsidRDefault="00B83F88" w:rsidP="00B83F88">
            <w:pPr>
              <w:jc w:val="center"/>
              <w:rPr>
                <w:rFonts w:asciiTheme="minorHAnsi" w:hAnsiTheme="minorHAnsi"/>
                <w:sz w:val="18"/>
                <w:szCs w:val="18"/>
              </w:rPr>
            </w:pPr>
          </w:p>
        </w:tc>
        <w:tc>
          <w:tcPr>
            <w:tcW w:w="3056" w:type="dxa"/>
            <w:tcBorders>
              <w:top w:val="single" w:sz="6" w:space="0" w:color="auto"/>
              <w:left w:val="single" w:sz="6" w:space="0" w:color="auto"/>
              <w:bottom w:val="single" w:sz="6" w:space="0" w:color="auto"/>
              <w:right w:val="single" w:sz="6" w:space="0" w:color="auto"/>
            </w:tcBorders>
          </w:tcPr>
          <w:p w:rsidR="00B83F88" w:rsidRPr="001631EC" w:rsidRDefault="00B83F88" w:rsidP="00B83F88">
            <w:pPr>
              <w:jc w:val="center"/>
              <w:rPr>
                <w:rFonts w:asciiTheme="minorHAnsi" w:hAnsiTheme="minorHAnsi"/>
                <w:sz w:val="18"/>
                <w:szCs w:val="18"/>
              </w:rPr>
            </w:pPr>
            <w:r w:rsidRPr="001631EC">
              <w:rPr>
                <w:rFonts w:asciiTheme="minorHAnsi" w:hAnsiTheme="minorHAnsi"/>
                <w:sz w:val="18"/>
                <w:szCs w:val="18"/>
              </w:rPr>
              <w:t>rzędne wysokościowe (pomierzone instrumentem pomiarowym)</w:t>
            </w:r>
          </w:p>
        </w:tc>
        <w:tc>
          <w:tcPr>
            <w:tcW w:w="2755" w:type="dxa"/>
            <w:tcBorders>
              <w:top w:val="single" w:sz="6" w:space="0" w:color="auto"/>
              <w:left w:val="single" w:sz="6" w:space="0" w:color="auto"/>
              <w:bottom w:val="single" w:sz="6" w:space="0" w:color="auto"/>
              <w:right w:val="single" w:sz="6" w:space="0" w:color="auto"/>
            </w:tcBorders>
          </w:tcPr>
          <w:p w:rsidR="00B83F88" w:rsidRPr="001631EC" w:rsidRDefault="00B83F88" w:rsidP="00B83F88">
            <w:pPr>
              <w:jc w:val="center"/>
              <w:rPr>
                <w:rFonts w:asciiTheme="minorHAnsi" w:hAnsiTheme="minorHAnsi"/>
                <w:sz w:val="18"/>
                <w:szCs w:val="18"/>
              </w:rPr>
            </w:pPr>
            <w:r w:rsidRPr="001631EC">
              <w:rPr>
                <w:rFonts w:asciiTheme="minorHAnsi" w:hAnsiTheme="minorHAnsi"/>
                <w:sz w:val="18"/>
                <w:szCs w:val="18"/>
              </w:rPr>
              <w:t xml:space="preserve">Co </w:t>
            </w:r>
            <w:smartTag w:uri="urn:schemas-microsoft-com:office:smarttags" w:element="metricconverter">
              <w:smartTagPr>
                <w:attr w:name="ProductID" w:val="25 m"/>
              </w:smartTagPr>
              <w:r w:rsidRPr="001631EC">
                <w:rPr>
                  <w:rFonts w:asciiTheme="minorHAnsi" w:hAnsiTheme="minorHAnsi"/>
                  <w:sz w:val="18"/>
                  <w:szCs w:val="18"/>
                </w:rPr>
                <w:t>25 m</w:t>
              </w:r>
            </w:smartTag>
            <w:r w:rsidRPr="001631EC">
              <w:rPr>
                <w:rFonts w:asciiTheme="minorHAnsi" w:hAnsiTheme="minorHAnsi"/>
                <w:sz w:val="18"/>
                <w:szCs w:val="18"/>
              </w:rPr>
              <w:t xml:space="preserve"> w osi i przy krawędziach oraz we wszystkich punktach</w:t>
            </w:r>
          </w:p>
          <w:p w:rsidR="00B83F88" w:rsidRPr="001631EC" w:rsidRDefault="00B83F88" w:rsidP="00B83F88">
            <w:pPr>
              <w:jc w:val="center"/>
              <w:rPr>
                <w:rFonts w:asciiTheme="minorHAnsi" w:hAnsiTheme="minorHAnsi"/>
                <w:sz w:val="18"/>
                <w:szCs w:val="18"/>
              </w:rPr>
            </w:pPr>
            <w:r w:rsidRPr="001631EC">
              <w:rPr>
                <w:rFonts w:asciiTheme="minorHAnsi" w:hAnsiTheme="minorHAnsi"/>
                <w:sz w:val="18"/>
                <w:szCs w:val="18"/>
              </w:rPr>
              <w:t xml:space="preserve"> Charakterystycznych</w:t>
            </w:r>
          </w:p>
          <w:p w:rsidR="00B83F88" w:rsidRPr="001631EC" w:rsidRDefault="00B83F88" w:rsidP="00B83F88">
            <w:pPr>
              <w:jc w:val="center"/>
              <w:rPr>
                <w:rFonts w:asciiTheme="minorHAnsi" w:hAnsiTheme="minorHAnsi"/>
                <w:sz w:val="18"/>
                <w:szCs w:val="18"/>
              </w:rPr>
            </w:pPr>
          </w:p>
        </w:tc>
        <w:tc>
          <w:tcPr>
            <w:tcW w:w="1418" w:type="dxa"/>
            <w:tcBorders>
              <w:top w:val="single" w:sz="6" w:space="0" w:color="auto"/>
              <w:left w:val="single" w:sz="6" w:space="0" w:color="auto"/>
              <w:bottom w:val="single" w:sz="6" w:space="0" w:color="auto"/>
              <w:right w:val="single" w:sz="6" w:space="0" w:color="auto"/>
            </w:tcBorders>
          </w:tcPr>
          <w:p w:rsidR="00B83F88" w:rsidRPr="001631EC" w:rsidRDefault="00B83F88" w:rsidP="00B83F88">
            <w:pPr>
              <w:jc w:val="center"/>
              <w:rPr>
                <w:rFonts w:asciiTheme="minorHAnsi" w:hAnsiTheme="minorHAnsi"/>
                <w:sz w:val="18"/>
                <w:szCs w:val="18"/>
              </w:rPr>
            </w:pPr>
            <w:r w:rsidRPr="001631EC">
              <w:rPr>
                <w:rFonts w:asciiTheme="minorHAnsi" w:hAnsiTheme="minorHAnsi"/>
                <w:sz w:val="18"/>
                <w:szCs w:val="18"/>
              </w:rPr>
              <w:t>Odchylenia:       +</w:t>
            </w:r>
            <w:smartTag w:uri="urn:schemas-microsoft-com:office:smarttags" w:element="metricconverter">
              <w:smartTagPr>
                <w:attr w:name="ProductID" w:val="1 cm"/>
              </w:smartTagPr>
              <w:r w:rsidRPr="001631EC">
                <w:rPr>
                  <w:rFonts w:asciiTheme="minorHAnsi" w:hAnsiTheme="minorHAnsi"/>
                  <w:sz w:val="18"/>
                  <w:szCs w:val="18"/>
                </w:rPr>
                <w:t>1 cm</w:t>
              </w:r>
            </w:smartTag>
            <w:r w:rsidRPr="001631EC">
              <w:rPr>
                <w:rFonts w:asciiTheme="minorHAnsi" w:hAnsiTheme="minorHAnsi"/>
                <w:sz w:val="18"/>
                <w:szCs w:val="18"/>
              </w:rPr>
              <w:t xml:space="preserve">; </w:t>
            </w:r>
            <w:smartTag w:uri="urn:schemas-microsoft-com:office:smarttags" w:element="metricconverter">
              <w:smartTagPr>
                <w:attr w:name="ProductID" w:val="-2 cm"/>
              </w:smartTagPr>
              <w:r w:rsidRPr="001631EC">
                <w:rPr>
                  <w:rFonts w:asciiTheme="minorHAnsi" w:hAnsiTheme="minorHAnsi"/>
                  <w:sz w:val="18"/>
                  <w:szCs w:val="18"/>
                </w:rPr>
                <w:t>-2 cm</w:t>
              </w:r>
            </w:smartTag>
          </w:p>
        </w:tc>
      </w:tr>
      <w:tr w:rsidR="00B83F88" w:rsidRPr="001631EC" w:rsidTr="002075C4">
        <w:tc>
          <w:tcPr>
            <w:tcW w:w="496" w:type="dxa"/>
            <w:tcBorders>
              <w:left w:val="single" w:sz="6" w:space="0" w:color="auto"/>
            </w:tcBorders>
          </w:tcPr>
          <w:p w:rsidR="00B83F88" w:rsidRPr="001631EC" w:rsidRDefault="00B83F88" w:rsidP="00B83F88">
            <w:pPr>
              <w:jc w:val="center"/>
              <w:rPr>
                <w:rFonts w:asciiTheme="minorHAnsi" w:hAnsiTheme="minorHAnsi"/>
                <w:sz w:val="18"/>
                <w:szCs w:val="18"/>
              </w:rPr>
            </w:pPr>
          </w:p>
        </w:tc>
        <w:tc>
          <w:tcPr>
            <w:tcW w:w="3056" w:type="dxa"/>
            <w:tcBorders>
              <w:top w:val="single" w:sz="6" w:space="0" w:color="auto"/>
              <w:left w:val="single" w:sz="6" w:space="0" w:color="auto"/>
              <w:bottom w:val="single" w:sz="6" w:space="0" w:color="auto"/>
              <w:right w:val="single" w:sz="6" w:space="0" w:color="auto"/>
            </w:tcBorders>
          </w:tcPr>
          <w:p w:rsidR="00B83F88" w:rsidRPr="001631EC" w:rsidRDefault="00B83F88" w:rsidP="00B83F88">
            <w:pPr>
              <w:jc w:val="center"/>
              <w:rPr>
                <w:rFonts w:asciiTheme="minorHAnsi" w:hAnsiTheme="minorHAnsi"/>
                <w:sz w:val="18"/>
                <w:szCs w:val="18"/>
              </w:rPr>
            </w:pPr>
            <w:r w:rsidRPr="001631EC">
              <w:rPr>
                <w:rFonts w:asciiTheme="minorHAnsi" w:hAnsiTheme="minorHAnsi"/>
                <w:sz w:val="18"/>
                <w:szCs w:val="18"/>
              </w:rPr>
              <w:t>równość w profilu podłużnym łatą czterometrową)</w:t>
            </w:r>
          </w:p>
          <w:p w:rsidR="00B83F88" w:rsidRPr="001631EC" w:rsidRDefault="00B83F88" w:rsidP="00B83F88">
            <w:pPr>
              <w:jc w:val="center"/>
              <w:rPr>
                <w:rFonts w:asciiTheme="minorHAnsi" w:hAnsiTheme="minorHAnsi"/>
                <w:sz w:val="18"/>
                <w:szCs w:val="18"/>
              </w:rPr>
            </w:pPr>
          </w:p>
        </w:tc>
        <w:tc>
          <w:tcPr>
            <w:tcW w:w="2755" w:type="dxa"/>
            <w:tcBorders>
              <w:top w:val="single" w:sz="6" w:space="0" w:color="auto"/>
              <w:left w:val="single" w:sz="6" w:space="0" w:color="auto"/>
              <w:bottom w:val="single" w:sz="6" w:space="0" w:color="auto"/>
              <w:right w:val="single" w:sz="6" w:space="0" w:color="auto"/>
            </w:tcBorders>
          </w:tcPr>
          <w:p w:rsidR="00B83F88" w:rsidRPr="001631EC" w:rsidRDefault="00B83F88" w:rsidP="00B83F88">
            <w:pPr>
              <w:jc w:val="center"/>
              <w:rPr>
                <w:rFonts w:asciiTheme="minorHAnsi" w:hAnsiTheme="minorHAnsi"/>
                <w:sz w:val="18"/>
                <w:szCs w:val="18"/>
              </w:rPr>
            </w:pPr>
            <w:r w:rsidRPr="001631EC">
              <w:rPr>
                <w:rFonts w:asciiTheme="minorHAnsi" w:hAnsiTheme="minorHAnsi"/>
                <w:sz w:val="18"/>
                <w:szCs w:val="18"/>
              </w:rPr>
              <w:t>Jw.</w:t>
            </w:r>
          </w:p>
        </w:tc>
        <w:tc>
          <w:tcPr>
            <w:tcW w:w="1418" w:type="dxa"/>
            <w:tcBorders>
              <w:top w:val="single" w:sz="6" w:space="0" w:color="auto"/>
              <w:left w:val="single" w:sz="6" w:space="0" w:color="auto"/>
              <w:bottom w:val="single" w:sz="6" w:space="0" w:color="auto"/>
              <w:right w:val="single" w:sz="6" w:space="0" w:color="auto"/>
            </w:tcBorders>
          </w:tcPr>
          <w:p w:rsidR="00B83F88" w:rsidRPr="001631EC" w:rsidRDefault="00B83F88" w:rsidP="00B83F88">
            <w:pPr>
              <w:jc w:val="center"/>
              <w:rPr>
                <w:rFonts w:asciiTheme="minorHAnsi" w:hAnsiTheme="minorHAnsi"/>
                <w:sz w:val="18"/>
                <w:szCs w:val="18"/>
              </w:rPr>
            </w:pPr>
            <w:r w:rsidRPr="001631EC">
              <w:rPr>
                <w:rFonts w:asciiTheme="minorHAnsi" w:hAnsiTheme="minorHAnsi"/>
                <w:sz w:val="18"/>
                <w:szCs w:val="18"/>
              </w:rPr>
              <w:t xml:space="preserve">Nierówności do </w:t>
            </w:r>
            <w:smartTag w:uri="urn:schemas-microsoft-com:office:smarttags" w:element="metricconverter">
              <w:smartTagPr>
                <w:attr w:name="ProductID" w:val="8 mm"/>
              </w:smartTagPr>
              <w:r w:rsidRPr="001631EC">
                <w:rPr>
                  <w:rFonts w:asciiTheme="minorHAnsi" w:hAnsiTheme="minorHAnsi"/>
                  <w:sz w:val="18"/>
                  <w:szCs w:val="18"/>
                </w:rPr>
                <w:t>8 mm</w:t>
              </w:r>
            </w:smartTag>
          </w:p>
        </w:tc>
      </w:tr>
      <w:tr w:rsidR="00B83F88" w:rsidRPr="001631EC" w:rsidTr="002075C4">
        <w:tc>
          <w:tcPr>
            <w:tcW w:w="496" w:type="dxa"/>
            <w:tcBorders>
              <w:left w:val="single" w:sz="6" w:space="0" w:color="auto"/>
            </w:tcBorders>
          </w:tcPr>
          <w:p w:rsidR="00B83F88" w:rsidRPr="001631EC" w:rsidRDefault="00B83F88" w:rsidP="00B83F88">
            <w:pPr>
              <w:jc w:val="center"/>
              <w:rPr>
                <w:rFonts w:asciiTheme="minorHAnsi" w:hAnsiTheme="minorHAnsi"/>
                <w:sz w:val="18"/>
                <w:szCs w:val="18"/>
              </w:rPr>
            </w:pPr>
          </w:p>
        </w:tc>
        <w:tc>
          <w:tcPr>
            <w:tcW w:w="3056" w:type="dxa"/>
            <w:tcBorders>
              <w:top w:val="single" w:sz="6" w:space="0" w:color="auto"/>
              <w:left w:val="single" w:sz="6" w:space="0" w:color="auto"/>
              <w:bottom w:val="single" w:sz="6" w:space="0" w:color="auto"/>
              <w:right w:val="single" w:sz="6" w:space="0" w:color="auto"/>
            </w:tcBorders>
          </w:tcPr>
          <w:p w:rsidR="00B83F88" w:rsidRPr="001631EC" w:rsidRDefault="00B83F88" w:rsidP="00B83F88">
            <w:pPr>
              <w:jc w:val="center"/>
              <w:rPr>
                <w:rFonts w:asciiTheme="minorHAnsi" w:hAnsiTheme="minorHAnsi"/>
                <w:sz w:val="18"/>
                <w:szCs w:val="18"/>
              </w:rPr>
            </w:pPr>
            <w:r w:rsidRPr="001631EC">
              <w:rPr>
                <w:rFonts w:asciiTheme="minorHAnsi" w:hAnsiTheme="minorHAnsi"/>
                <w:sz w:val="18"/>
                <w:szCs w:val="18"/>
              </w:rPr>
              <w:t>równość w przekroju poprzecznym (sprawdzona łatą profilową z poziomnicą i pomiarze prześwitu klinem cechowanym oraz przymiarem liniowym względnie metodą niwelacji)</w:t>
            </w:r>
          </w:p>
        </w:tc>
        <w:tc>
          <w:tcPr>
            <w:tcW w:w="2755" w:type="dxa"/>
            <w:tcBorders>
              <w:top w:val="single" w:sz="6" w:space="0" w:color="auto"/>
              <w:left w:val="single" w:sz="6" w:space="0" w:color="auto"/>
              <w:bottom w:val="single" w:sz="6" w:space="0" w:color="auto"/>
              <w:right w:val="single" w:sz="6" w:space="0" w:color="auto"/>
            </w:tcBorders>
          </w:tcPr>
          <w:p w:rsidR="00B83F88" w:rsidRPr="001631EC" w:rsidRDefault="00B83F88" w:rsidP="00B83F88">
            <w:pPr>
              <w:jc w:val="center"/>
              <w:rPr>
                <w:rFonts w:asciiTheme="minorHAnsi" w:hAnsiTheme="minorHAnsi"/>
                <w:sz w:val="18"/>
                <w:szCs w:val="18"/>
              </w:rPr>
            </w:pPr>
            <w:r w:rsidRPr="001631EC">
              <w:rPr>
                <w:rFonts w:asciiTheme="minorHAnsi" w:hAnsiTheme="minorHAnsi"/>
                <w:sz w:val="18"/>
                <w:szCs w:val="18"/>
              </w:rPr>
              <w:t>Jw.</w:t>
            </w:r>
          </w:p>
        </w:tc>
        <w:tc>
          <w:tcPr>
            <w:tcW w:w="1418" w:type="dxa"/>
            <w:tcBorders>
              <w:top w:val="single" w:sz="6" w:space="0" w:color="auto"/>
              <w:left w:val="single" w:sz="6" w:space="0" w:color="auto"/>
              <w:bottom w:val="single" w:sz="6" w:space="0" w:color="auto"/>
              <w:right w:val="single" w:sz="6" w:space="0" w:color="auto"/>
            </w:tcBorders>
          </w:tcPr>
          <w:p w:rsidR="00B83F88" w:rsidRPr="001631EC" w:rsidRDefault="00B83F88" w:rsidP="00B83F88">
            <w:pPr>
              <w:jc w:val="center"/>
              <w:rPr>
                <w:rFonts w:asciiTheme="minorHAnsi" w:hAnsiTheme="minorHAnsi"/>
                <w:sz w:val="18"/>
                <w:szCs w:val="18"/>
              </w:rPr>
            </w:pPr>
            <w:r w:rsidRPr="001631EC">
              <w:rPr>
                <w:rFonts w:asciiTheme="minorHAnsi" w:hAnsiTheme="minorHAnsi"/>
                <w:sz w:val="18"/>
                <w:szCs w:val="18"/>
              </w:rPr>
              <w:t xml:space="preserve">Prześwity między łatą a po-     wierzchnią do         </w:t>
            </w:r>
            <w:smartTag w:uri="urn:schemas-microsoft-com:office:smarttags" w:element="metricconverter">
              <w:smartTagPr>
                <w:attr w:name="ProductID" w:val="8 mm"/>
              </w:smartTagPr>
              <w:r w:rsidRPr="001631EC">
                <w:rPr>
                  <w:rFonts w:asciiTheme="minorHAnsi" w:hAnsiTheme="minorHAnsi"/>
                  <w:sz w:val="18"/>
                  <w:szCs w:val="18"/>
                </w:rPr>
                <w:t>8 mm</w:t>
              </w:r>
            </w:smartTag>
          </w:p>
        </w:tc>
      </w:tr>
      <w:tr w:rsidR="00B83F88" w:rsidRPr="001631EC" w:rsidTr="002075C4">
        <w:tc>
          <w:tcPr>
            <w:tcW w:w="496" w:type="dxa"/>
            <w:tcBorders>
              <w:left w:val="single" w:sz="6" w:space="0" w:color="auto"/>
            </w:tcBorders>
          </w:tcPr>
          <w:p w:rsidR="00B83F88" w:rsidRPr="001631EC" w:rsidRDefault="00B83F88" w:rsidP="00B83F88">
            <w:pPr>
              <w:jc w:val="center"/>
              <w:rPr>
                <w:rFonts w:asciiTheme="minorHAnsi" w:hAnsiTheme="minorHAnsi"/>
                <w:sz w:val="18"/>
                <w:szCs w:val="18"/>
              </w:rPr>
            </w:pPr>
          </w:p>
        </w:tc>
        <w:tc>
          <w:tcPr>
            <w:tcW w:w="3056" w:type="dxa"/>
            <w:tcBorders>
              <w:top w:val="single" w:sz="6" w:space="0" w:color="auto"/>
              <w:left w:val="single" w:sz="6" w:space="0" w:color="auto"/>
              <w:bottom w:val="single" w:sz="6" w:space="0" w:color="auto"/>
              <w:right w:val="single" w:sz="6" w:space="0" w:color="auto"/>
            </w:tcBorders>
          </w:tcPr>
          <w:p w:rsidR="00B83F88" w:rsidRPr="001631EC" w:rsidRDefault="00B83F88" w:rsidP="00B83F88">
            <w:pPr>
              <w:jc w:val="center"/>
              <w:rPr>
                <w:rFonts w:asciiTheme="minorHAnsi" w:hAnsiTheme="minorHAnsi"/>
                <w:sz w:val="18"/>
                <w:szCs w:val="18"/>
              </w:rPr>
            </w:pPr>
            <w:r w:rsidRPr="001631EC">
              <w:rPr>
                <w:rFonts w:asciiTheme="minorHAnsi" w:hAnsiTheme="minorHAnsi"/>
                <w:sz w:val="18"/>
                <w:szCs w:val="18"/>
              </w:rPr>
              <w:t>spadki poprzeczne (sprawdzone me-todą niwelacji)</w:t>
            </w:r>
          </w:p>
        </w:tc>
        <w:tc>
          <w:tcPr>
            <w:tcW w:w="2755" w:type="dxa"/>
            <w:tcBorders>
              <w:top w:val="single" w:sz="6" w:space="0" w:color="auto"/>
              <w:left w:val="single" w:sz="6" w:space="0" w:color="auto"/>
              <w:bottom w:val="single" w:sz="6" w:space="0" w:color="auto"/>
              <w:right w:val="single" w:sz="6" w:space="0" w:color="auto"/>
            </w:tcBorders>
          </w:tcPr>
          <w:p w:rsidR="00B83F88" w:rsidRPr="001631EC" w:rsidRDefault="00B83F88" w:rsidP="00B83F88">
            <w:pPr>
              <w:jc w:val="center"/>
              <w:rPr>
                <w:rFonts w:asciiTheme="minorHAnsi" w:hAnsiTheme="minorHAnsi"/>
                <w:sz w:val="18"/>
                <w:szCs w:val="18"/>
              </w:rPr>
            </w:pPr>
            <w:r w:rsidRPr="001631EC">
              <w:rPr>
                <w:rFonts w:asciiTheme="minorHAnsi" w:hAnsiTheme="minorHAnsi"/>
                <w:sz w:val="18"/>
                <w:szCs w:val="18"/>
              </w:rPr>
              <w:t>Jw.</w:t>
            </w:r>
          </w:p>
        </w:tc>
        <w:tc>
          <w:tcPr>
            <w:tcW w:w="1418" w:type="dxa"/>
            <w:tcBorders>
              <w:top w:val="single" w:sz="6" w:space="0" w:color="auto"/>
              <w:left w:val="single" w:sz="6" w:space="0" w:color="auto"/>
              <w:bottom w:val="single" w:sz="6" w:space="0" w:color="auto"/>
              <w:right w:val="single" w:sz="6" w:space="0" w:color="auto"/>
            </w:tcBorders>
          </w:tcPr>
          <w:p w:rsidR="00B83F88" w:rsidRPr="001631EC" w:rsidRDefault="00B83F88" w:rsidP="00B83F88">
            <w:pPr>
              <w:jc w:val="center"/>
              <w:rPr>
                <w:rFonts w:asciiTheme="minorHAnsi" w:hAnsiTheme="minorHAnsi"/>
                <w:sz w:val="18"/>
                <w:szCs w:val="18"/>
              </w:rPr>
            </w:pPr>
            <w:r w:rsidRPr="001631EC">
              <w:rPr>
                <w:rFonts w:asciiTheme="minorHAnsi" w:hAnsiTheme="minorHAnsi"/>
                <w:sz w:val="18"/>
                <w:szCs w:val="18"/>
              </w:rPr>
              <w:t>Odchyłki od dokumentacji projektowej do 0,3%</w:t>
            </w:r>
          </w:p>
        </w:tc>
      </w:tr>
      <w:tr w:rsidR="00B83F88" w:rsidRPr="001631EC" w:rsidTr="002075C4">
        <w:tc>
          <w:tcPr>
            <w:tcW w:w="496" w:type="dxa"/>
            <w:tcBorders>
              <w:left w:val="single" w:sz="6" w:space="0" w:color="auto"/>
            </w:tcBorders>
          </w:tcPr>
          <w:p w:rsidR="00B83F88" w:rsidRPr="001631EC" w:rsidRDefault="00B83F88" w:rsidP="00B83F88">
            <w:pPr>
              <w:jc w:val="center"/>
              <w:rPr>
                <w:rFonts w:asciiTheme="minorHAnsi" w:hAnsiTheme="minorHAnsi"/>
                <w:sz w:val="18"/>
                <w:szCs w:val="18"/>
              </w:rPr>
            </w:pPr>
          </w:p>
        </w:tc>
        <w:tc>
          <w:tcPr>
            <w:tcW w:w="3056" w:type="dxa"/>
            <w:tcBorders>
              <w:top w:val="single" w:sz="6" w:space="0" w:color="auto"/>
              <w:left w:val="single" w:sz="6" w:space="0" w:color="auto"/>
              <w:bottom w:val="single" w:sz="6" w:space="0" w:color="auto"/>
              <w:right w:val="single" w:sz="6" w:space="0" w:color="auto"/>
            </w:tcBorders>
          </w:tcPr>
          <w:p w:rsidR="00B83F88" w:rsidRPr="001631EC" w:rsidRDefault="00B83F88" w:rsidP="00B83F88">
            <w:pPr>
              <w:jc w:val="center"/>
              <w:rPr>
                <w:rFonts w:asciiTheme="minorHAnsi" w:hAnsiTheme="minorHAnsi"/>
                <w:sz w:val="18"/>
                <w:szCs w:val="18"/>
              </w:rPr>
            </w:pPr>
            <w:r w:rsidRPr="001631EC">
              <w:rPr>
                <w:rFonts w:asciiTheme="minorHAnsi" w:hAnsiTheme="minorHAnsi"/>
                <w:sz w:val="18"/>
                <w:szCs w:val="18"/>
              </w:rPr>
              <w:t>szerokość nawierzchni (sprawdzona przymiarem liniowym)</w:t>
            </w:r>
          </w:p>
        </w:tc>
        <w:tc>
          <w:tcPr>
            <w:tcW w:w="2755" w:type="dxa"/>
            <w:tcBorders>
              <w:top w:val="single" w:sz="6" w:space="0" w:color="auto"/>
              <w:left w:val="single" w:sz="6" w:space="0" w:color="auto"/>
              <w:bottom w:val="single" w:sz="6" w:space="0" w:color="auto"/>
              <w:right w:val="single" w:sz="6" w:space="0" w:color="auto"/>
            </w:tcBorders>
          </w:tcPr>
          <w:p w:rsidR="00B83F88" w:rsidRPr="001631EC" w:rsidRDefault="00B83F88" w:rsidP="00B83F88">
            <w:pPr>
              <w:jc w:val="center"/>
              <w:rPr>
                <w:rFonts w:asciiTheme="minorHAnsi" w:hAnsiTheme="minorHAnsi"/>
                <w:sz w:val="18"/>
                <w:szCs w:val="18"/>
              </w:rPr>
            </w:pPr>
            <w:r w:rsidRPr="001631EC">
              <w:rPr>
                <w:rFonts w:asciiTheme="minorHAnsi" w:hAnsiTheme="minorHAnsi"/>
                <w:sz w:val="18"/>
                <w:szCs w:val="18"/>
              </w:rPr>
              <w:t>Jw.</w:t>
            </w:r>
          </w:p>
        </w:tc>
        <w:tc>
          <w:tcPr>
            <w:tcW w:w="1418" w:type="dxa"/>
            <w:tcBorders>
              <w:top w:val="single" w:sz="6" w:space="0" w:color="auto"/>
              <w:left w:val="single" w:sz="6" w:space="0" w:color="auto"/>
              <w:bottom w:val="single" w:sz="6" w:space="0" w:color="auto"/>
              <w:right w:val="single" w:sz="6" w:space="0" w:color="auto"/>
            </w:tcBorders>
          </w:tcPr>
          <w:p w:rsidR="00B83F88" w:rsidRPr="001631EC" w:rsidRDefault="00B83F88" w:rsidP="00B83F88">
            <w:pPr>
              <w:jc w:val="center"/>
              <w:rPr>
                <w:rFonts w:asciiTheme="minorHAnsi" w:hAnsiTheme="minorHAnsi"/>
                <w:sz w:val="18"/>
                <w:szCs w:val="18"/>
              </w:rPr>
            </w:pPr>
            <w:r w:rsidRPr="001631EC">
              <w:rPr>
                <w:rFonts w:asciiTheme="minorHAnsi" w:hAnsiTheme="minorHAnsi"/>
                <w:sz w:val="18"/>
                <w:szCs w:val="18"/>
              </w:rPr>
              <w:t xml:space="preserve">Odchyłki od szerokości projektowanej do  </w:t>
            </w:r>
            <w:r w:rsidRPr="001631EC">
              <w:rPr>
                <w:rFonts w:asciiTheme="minorHAnsi" w:hAnsiTheme="minorHAnsi"/>
                <w:sz w:val="18"/>
                <w:szCs w:val="18"/>
              </w:rPr>
              <w:sym w:font="Symbol" w:char="F0B1"/>
            </w:r>
            <w:r w:rsidRPr="001631EC">
              <w:rPr>
                <w:rFonts w:asciiTheme="minorHAnsi" w:hAnsiTheme="minorHAnsi"/>
                <w:sz w:val="18"/>
                <w:szCs w:val="18"/>
              </w:rPr>
              <w:t>5 cm</w:t>
            </w:r>
          </w:p>
        </w:tc>
      </w:tr>
      <w:tr w:rsidR="00B83F88" w:rsidRPr="001631EC" w:rsidTr="002075C4">
        <w:tc>
          <w:tcPr>
            <w:tcW w:w="496" w:type="dxa"/>
            <w:tcBorders>
              <w:left w:val="single" w:sz="6" w:space="0" w:color="auto"/>
            </w:tcBorders>
          </w:tcPr>
          <w:p w:rsidR="00B83F88" w:rsidRPr="001631EC" w:rsidRDefault="00B83F88" w:rsidP="00B83F88">
            <w:pPr>
              <w:jc w:val="center"/>
              <w:rPr>
                <w:rFonts w:asciiTheme="minorHAnsi" w:hAnsiTheme="minorHAnsi"/>
                <w:sz w:val="18"/>
                <w:szCs w:val="18"/>
              </w:rPr>
            </w:pPr>
          </w:p>
        </w:tc>
        <w:tc>
          <w:tcPr>
            <w:tcW w:w="3056" w:type="dxa"/>
            <w:tcBorders>
              <w:top w:val="single" w:sz="6" w:space="0" w:color="auto"/>
              <w:left w:val="single" w:sz="6" w:space="0" w:color="auto"/>
              <w:bottom w:val="single" w:sz="6" w:space="0" w:color="auto"/>
              <w:right w:val="single" w:sz="6" w:space="0" w:color="auto"/>
            </w:tcBorders>
          </w:tcPr>
          <w:p w:rsidR="00B83F88" w:rsidRPr="001631EC" w:rsidRDefault="00B83F88" w:rsidP="00B83F88">
            <w:pPr>
              <w:jc w:val="center"/>
              <w:rPr>
                <w:rFonts w:asciiTheme="minorHAnsi" w:hAnsiTheme="minorHAnsi"/>
                <w:sz w:val="18"/>
                <w:szCs w:val="18"/>
              </w:rPr>
            </w:pPr>
            <w:r w:rsidRPr="001631EC">
              <w:rPr>
                <w:rFonts w:asciiTheme="minorHAnsi" w:hAnsiTheme="minorHAnsi"/>
                <w:sz w:val="18"/>
                <w:szCs w:val="18"/>
              </w:rPr>
              <w:t xml:space="preserve">szerokość i głębokość wypełnienia spoin i szczelin (oględziny i pomiar przymiarem liniowym po wykruszeniu dług. </w:t>
            </w:r>
            <w:smartTag w:uri="urn:schemas-microsoft-com:office:smarttags" w:element="metricconverter">
              <w:smartTagPr>
                <w:attr w:name="ProductID" w:val="10 cm"/>
              </w:smartTagPr>
              <w:r w:rsidRPr="001631EC">
                <w:rPr>
                  <w:rFonts w:asciiTheme="minorHAnsi" w:hAnsiTheme="minorHAnsi"/>
                  <w:sz w:val="18"/>
                  <w:szCs w:val="18"/>
                </w:rPr>
                <w:t>10 cm</w:t>
              </w:r>
            </w:smartTag>
            <w:r w:rsidRPr="001631EC">
              <w:rPr>
                <w:rFonts w:asciiTheme="minorHAnsi" w:hAnsiTheme="minorHAnsi"/>
                <w:sz w:val="18"/>
                <w:szCs w:val="18"/>
              </w:rPr>
              <w:t>)</w:t>
            </w:r>
          </w:p>
        </w:tc>
        <w:tc>
          <w:tcPr>
            <w:tcW w:w="2755" w:type="dxa"/>
            <w:tcBorders>
              <w:top w:val="single" w:sz="6" w:space="0" w:color="auto"/>
              <w:left w:val="single" w:sz="6" w:space="0" w:color="auto"/>
              <w:bottom w:val="single" w:sz="6" w:space="0" w:color="auto"/>
              <w:right w:val="single" w:sz="6" w:space="0" w:color="auto"/>
            </w:tcBorders>
          </w:tcPr>
          <w:p w:rsidR="00B83F88" w:rsidRPr="001631EC" w:rsidRDefault="00B83F88" w:rsidP="00B83F88">
            <w:pPr>
              <w:jc w:val="center"/>
              <w:rPr>
                <w:rFonts w:asciiTheme="minorHAnsi" w:hAnsiTheme="minorHAnsi"/>
                <w:sz w:val="18"/>
                <w:szCs w:val="18"/>
              </w:rPr>
            </w:pPr>
            <w:r w:rsidRPr="001631EC">
              <w:rPr>
                <w:rFonts w:asciiTheme="minorHAnsi" w:hAnsiTheme="minorHAnsi"/>
                <w:sz w:val="18"/>
                <w:szCs w:val="18"/>
              </w:rPr>
              <w:t>W 20 punktach charakterystycznych dziennej działki roboczej</w:t>
            </w:r>
          </w:p>
        </w:tc>
        <w:tc>
          <w:tcPr>
            <w:tcW w:w="1418" w:type="dxa"/>
            <w:tcBorders>
              <w:top w:val="single" w:sz="6" w:space="0" w:color="auto"/>
              <w:left w:val="single" w:sz="6" w:space="0" w:color="auto"/>
              <w:bottom w:val="single" w:sz="6" w:space="0" w:color="auto"/>
              <w:right w:val="single" w:sz="6" w:space="0" w:color="auto"/>
            </w:tcBorders>
          </w:tcPr>
          <w:p w:rsidR="00B83F88" w:rsidRPr="001631EC" w:rsidRDefault="00B83F88" w:rsidP="00B83F88">
            <w:pPr>
              <w:jc w:val="center"/>
              <w:rPr>
                <w:rFonts w:asciiTheme="minorHAnsi" w:hAnsiTheme="minorHAnsi"/>
                <w:sz w:val="18"/>
                <w:szCs w:val="18"/>
              </w:rPr>
            </w:pPr>
            <w:r w:rsidRPr="001631EC">
              <w:rPr>
                <w:rFonts w:asciiTheme="minorHAnsi" w:hAnsiTheme="minorHAnsi"/>
                <w:sz w:val="18"/>
                <w:szCs w:val="18"/>
              </w:rPr>
              <w:t>Wg pktu 5.7.5</w:t>
            </w:r>
          </w:p>
        </w:tc>
      </w:tr>
      <w:tr w:rsidR="00B83F88" w:rsidRPr="001631EC" w:rsidTr="002075C4">
        <w:tc>
          <w:tcPr>
            <w:tcW w:w="496" w:type="dxa"/>
            <w:tcBorders>
              <w:left w:val="single" w:sz="6" w:space="0" w:color="auto"/>
              <w:bottom w:val="single" w:sz="6" w:space="0" w:color="auto"/>
            </w:tcBorders>
          </w:tcPr>
          <w:p w:rsidR="00B83F88" w:rsidRPr="001631EC" w:rsidRDefault="00B83F88" w:rsidP="00B83F88">
            <w:pPr>
              <w:jc w:val="center"/>
              <w:rPr>
                <w:rFonts w:asciiTheme="minorHAnsi" w:hAnsiTheme="minorHAnsi"/>
                <w:sz w:val="18"/>
                <w:szCs w:val="18"/>
              </w:rPr>
            </w:pPr>
          </w:p>
        </w:tc>
        <w:tc>
          <w:tcPr>
            <w:tcW w:w="3056" w:type="dxa"/>
            <w:tcBorders>
              <w:top w:val="single" w:sz="6" w:space="0" w:color="auto"/>
              <w:left w:val="single" w:sz="6" w:space="0" w:color="auto"/>
              <w:bottom w:val="single" w:sz="6" w:space="0" w:color="auto"/>
              <w:right w:val="single" w:sz="6" w:space="0" w:color="auto"/>
            </w:tcBorders>
          </w:tcPr>
          <w:p w:rsidR="00B83F88" w:rsidRPr="001631EC" w:rsidRDefault="00B83F88" w:rsidP="00B83F88">
            <w:pPr>
              <w:jc w:val="center"/>
              <w:rPr>
                <w:rFonts w:asciiTheme="minorHAnsi" w:hAnsiTheme="minorHAnsi"/>
                <w:sz w:val="18"/>
                <w:szCs w:val="18"/>
              </w:rPr>
            </w:pPr>
            <w:r w:rsidRPr="001631EC">
              <w:rPr>
                <w:rFonts w:asciiTheme="minorHAnsi" w:hAnsiTheme="minorHAnsi"/>
                <w:sz w:val="18"/>
                <w:szCs w:val="18"/>
              </w:rPr>
              <w:t>sprawdzenie koloru kostek i desenia ich ułożenia</w:t>
            </w:r>
          </w:p>
        </w:tc>
        <w:tc>
          <w:tcPr>
            <w:tcW w:w="2755" w:type="dxa"/>
            <w:tcBorders>
              <w:top w:val="single" w:sz="6" w:space="0" w:color="auto"/>
              <w:left w:val="single" w:sz="6" w:space="0" w:color="auto"/>
              <w:bottom w:val="single" w:sz="6" w:space="0" w:color="auto"/>
              <w:right w:val="single" w:sz="6" w:space="0" w:color="auto"/>
            </w:tcBorders>
          </w:tcPr>
          <w:p w:rsidR="00B83F88" w:rsidRPr="001631EC" w:rsidRDefault="00B83F88" w:rsidP="00B83F88">
            <w:pPr>
              <w:jc w:val="center"/>
              <w:rPr>
                <w:rFonts w:asciiTheme="minorHAnsi" w:hAnsiTheme="minorHAnsi"/>
                <w:sz w:val="18"/>
                <w:szCs w:val="18"/>
              </w:rPr>
            </w:pPr>
            <w:r w:rsidRPr="001631EC">
              <w:rPr>
                <w:rFonts w:asciiTheme="minorHAnsi" w:hAnsiTheme="minorHAnsi"/>
                <w:sz w:val="18"/>
                <w:szCs w:val="18"/>
              </w:rPr>
              <w:t>Kontrola bieżąca</w:t>
            </w:r>
          </w:p>
        </w:tc>
        <w:tc>
          <w:tcPr>
            <w:tcW w:w="1418" w:type="dxa"/>
            <w:tcBorders>
              <w:top w:val="single" w:sz="6" w:space="0" w:color="auto"/>
              <w:left w:val="single" w:sz="6" w:space="0" w:color="auto"/>
              <w:bottom w:val="single" w:sz="6" w:space="0" w:color="auto"/>
              <w:right w:val="single" w:sz="6" w:space="0" w:color="auto"/>
            </w:tcBorders>
          </w:tcPr>
          <w:p w:rsidR="00B83F88" w:rsidRPr="001631EC" w:rsidRDefault="00B83F88" w:rsidP="00B83F88">
            <w:pPr>
              <w:jc w:val="center"/>
              <w:rPr>
                <w:rFonts w:asciiTheme="minorHAnsi" w:hAnsiTheme="minorHAnsi"/>
                <w:sz w:val="18"/>
                <w:szCs w:val="18"/>
              </w:rPr>
            </w:pPr>
            <w:r w:rsidRPr="001631EC">
              <w:rPr>
                <w:rFonts w:asciiTheme="minorHAnsi" w:hAnsiTheme="minorHAnsi"/>
                <w:sz w:val="18"/>
                <w:szCs w:val="18"/>
              </w:rPr>
              <w:t>Wg dokumentacji projektowej lub decyzji Inżyniera</w:t>
            </w:r>
          </w:p>
        </w:tc>
      </w:tr>
    </w:tbl>
    <w:p w:rsidR="00141829" w:rsidRDefault="00141829" w:rsidP="00B83F88">
      <w:pPr>
        <w:rPr>
          <w:rFonts w:asciiTheme="minorHAnsi" w:hAnsiTheme="minorHAnsi"/>
          <w:b/>
        </w:rPr>
      </w:pPr>
    </w:p>
    <w:p w:rsidR="00B83F88" w:rsidRPr="001631EC" w:rsidRDefault="00B83F88" w:rsidP="00B83F88">
      <w:pPr>
        <w:rPr>
          <w:rFonts w:asciiTheme="minorHAnsi" w:hAnsiTheme="minorHAnsi"/>
        </w:rPr>
      </w:pPr>
      <w:r w:rsidRPr="001631EC">
        <w:rPr>
          <w:rFonts w:asciiTheme="minorHAnsi" w:hAnsiTheme="minorHAnsi"/>
          <w:b/>
        </w:rPr>
        <w:t>6.4.</w:t>
      </w:r>
      <w:r w:rsidRPr="001631EC">
        <w:rPr>
          <w:rFonts w:asciiTheme="minorHAnsi" w:hAnsiTheme="minorHAnsi"/>
        </w:rPr>
        <w:t xml:space="preserve"> Badania wykonanych robót</w:t>
      </w:r>
    </w:p>
    <w:p w:rsidR="00B83F88" w:rsidRPr="001631EC" w:rsidRDefault="00B83F88" w:rsidP="00B83F88">
      <w:pPr>
        <w:rPr>
          <w:rFonts w:asciiTheme="minorHAnsi" w:hAnsiTheme="minorHAnsi"/>
        </w:rPr>
      </w:pPr>
      <w:r w:rsidRPr="001631EC">
        <w:rPr>
          <w:rFonts w:asciiTheme="minorHAnsi" w:hAnsiTheme="minorHAnsi"/>
        </w:rPr>
        <w:tab/>
        <w:t>Zakres badań i pomiarów wykonanej nawierzchni z betonowej kostki brukowej podano w tablicy 3.</w:t>
      </w:r>
    </w:p>
    <w:p w:rsidR="00B83F88" w:rsidRPr="001631EC" w:rsidRDefault="00B83F88" w:rsidP="00B83F88">
      <w:pPr>
        <w:rPr>
          <w:rFonts w:asciiTheme="minorHAnsi" w:hAnsiTheme="minorHAnsi"/>
        </w:rPr>
      </w:pPr>
    </w:p>
    <w:p w:rsidR="000C27BF" w:rsidRDefault="000C27BF" w:rsidP="002075C4">
      <w:pPr>
        <w:ind w:left="709"/>
        <w:rPr>
          <w:rFonts w:asciiTheme="minorHAnsi" w:hAnsiTheme="minorHAnsi"/>
        </w:rPr>
      </w:pPr>
    </w:p>
    <w:p w:rsidR="000C27BF" w:rsidRDefault="000C27BF" w:rsidP="002075C4">
      <w:pPr>
        <w:ind w:left="709"/>
        <w:rPr>
          <w:rFonts w:asciiTheme="minorHAnsi" w:hAnsiTheme="minorHAnsi"/>
        </w:rPr>
      </w:pPr>
    </w:p>
    <w:p w:rsidR="000C27BF" w:rsidRDefault="000C27BF" w:rsidP="002075C4">
      <w:pPr>
        <w:ind w:left="709"/>
        <w:rPr>
          <w:rFonts w:asciiTheme="minorHAnsi" w:hAnsiTheme="minorHAnsi"/>
        </w:rPr>
      </w:pPr>
    </w:p>
    <w:p w:rsidR="00B83F88" w:rsidRPr="001631EC" w:rsidRDefault="00B83F88" w:rsidP="002075C4">
      <w:pPr>
        <w:ind w:left="709"/>
        <w:rPr>
          <w:rFonts w:asciiTheme="minorHAnsi" w:hAnsiTheme="minorHAnsi"/>
        </w:rPr>
      </w:pPr>
      <w:r w:rsidRPr="001631EC">
        <w:rPr>
          <w:rFonts w:asciiTheme="minorHAnsi" w:hAnsiTheme="minorHAnsi"/>
        </w:rPr>
        <w:lastRenderedPageBreak/>
        <w:t>Tablica 3. Badania i pomiary po ukończeniu budowy nawierzchni</w:t>
      </w:r>
    </w:p>
    <w:tbl>
      <w:tblPr>
        <w:tblW w:w="7510" w:type="dxa"/>
        <w:tblInd w:w="779" w:type="dxa"/>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ayout w:type="fixed"/>
        <w:tblCellMar>
          <w:left w:w="70" w:type="dxa"/>
          <w:right w:w="70" w:type="dxa"/>
        </w:tblCellMar>
        <w:tblLook w:val="0000"/>
      </w:tblPr>
      <w:tblGrid>
        <w:gridCol w:w="496"/>
        <w:gridCol w:w="3507"/>
        <w:gridCol w:w="3507"/>
      </w:tblGrid>
      <w:tr w:rsidR="00B83F88" w:rsidRPr="001631EC" w:rsidTr="002075C4">
        <w:tc>
          <w:tcPr>
            <w:tcW w:w="496" w:type="dxa"/>
            <w:tcBorders>
              <w:bottom w:val="double" w:sz="6" w:space="0" w:color="auto"/>
            </w:tcBorders>
          </w:tcPr>
          <w:p w:rsidR="00B83F88" w:rsidRPr="001631EC" w:rsidRDefault="00B83F88" w:rsidP="00B83F88">
            <w:pPr>
              <w:jc w:val="center"/>
              <w:rPr>
                <w:rFonts w:asciiTheme="minorHAnsi" w:hAnsiTheme="minorHAnsi"/>
                <w:b/>
                <w:sz w:val="18"/>
                <w:szCs w:val="18"/>
              </w:rPr>
            </w:pPr>
            <w:r w:rsidRPr="001631EC">
              <w:rPr>
                <w:rFonts w:asciiTheme="minorHAnsi" w:hAnsiTheme="minorHAnsi"/>
                <w:b/>
                <w:sz w:val="18"/>
                <w:szCs w:val="18"/>
              </w:rPr>
              <w:t>Lp.</w:t>
            </w:r>
          </w:p>
        </w:tc>
        <w:tc>
          <w:tcPr>
            <w:tcW w:w="3507" w:type="dxa"/>
            <w:tcBorders>
              <w:bottom w:val="double" w:sz="6" w:space="0" w:color="auto"/>
            </w:tcBorders>
          </w:tcPr>
          <w:p w:rsidR="00B83F88" w:rsidRPr="001631EC" w:rsidRDefault="00B83F88" w:rsidP="00B83F88">
            <w:pPr>
              <w:jc w:val="center"/>
              <w:rPr>
                <w:rFonts w:asciiTheme="minorHAnsi" w:hAnsiTheme="minorHAnsi"/>
                <w:b/>
                <w:sz w:val="18"/>
                <w:szCs w:val="18"/>
              </w:rPr>
            </w:pPr>
            <w:r w:rsidRPr="001631EC">
              <w:rPr>
                <w:rFonts w:asciiTheme="minorHAnsi" w:hAnsiTheme="minorHAnsi"/>
                <w:b/>
                <w:sz w:val="18"/>
                <w:szCs w:val="18"/>
              </w:rPr>
              <w:t>Wyszczególnienie badań i pomiarów</w:t>
            </w:r>
          </w:p>
        </w:tc>
        <w:tc>
          <w:tcPr>
            <w:tcW w:w="3507" w:type="dxa"/>
            <w:tcBorders>
              <w:bottom w:val="double" w:sz="6" w:space="0" w:color="auto"/>
            </w:tcBorders>
          </w:tcPr>
          <w:p w:rsidR="00B83F88" w:rsidRPr="001631EC" w:rsidRDefault="00B83F88" w:rsidP="00B83F88">
            <w:pPr>
              <w:jc w:val="center"/>
              <w:rPr>
                <w:rFonts w:asciiTheme="minorHAnsi" w:hAnsiTheme="minorHAnsi"/>
                <w:b/>
                <w:sz w:val="18"/>
                <w:szCs w:val="18"/>
              </w:rPr>
            </w:pPr>
            <w:r w:rsidRPr="001631EC">
              <w:rPr>
                <w:rFonts w:asciiTheme="minorHAnsi" w:hAnsiTheme="minorHAnsi"/>
                <w:b/>
                <w:sz w:val="18"/>
                <w:szCs w:val="18"/>
              </w:rPr>
              <w:t>Sposób sprawdzenia</w:t>
            </w:r>
          </w:p>
        </w:tc>
      </w:tr>
      <w:tr w:rsidR="00B83F88" w:rsidRPr="001631EC" w:rsidTr="002075C4">
        <w:tc>
          <w:tcPr>
            <w:tcW w:w="496" w:type="dxa"/>
            <w:tcBorders>
              <w:top w:val="nil"/>
            </w:tcBorders>
          </w:tcPr>
          <w:p w:rsidR="00B83F88" w:rsidRPr="001631EC" w:rsidRDefault="00B83F88" w:rsidP="00B83F88">
            <w:pPr>
              <w:jc w:val="center"/>
              <w:rPr>
                <w:rFonts w:asciiTheme="minorHAnsi" w:hAnsiTheme="minorHAnsi"/>
                <w:sz w:val="18"/>
                <w:szCs w:val="18"/>
              </w:rPr>
            </w:pPr>
            <w:r w:rsidRPr="001631EC">
              <w:rPr>
                <w:rFonts w:asciiTheme="minorHAnsi" w:hAnsiTheme="minorHAnsi"/>
                <w:sz w:val="18"/>
                <w:szCs w:val="18"/>
              </w:rPr>
              <w:t>1</w:t>
            </w:r>
          </w:p>
        </w:tc>
        <w:tc>
          <w:tcPr>
            <w:tcW w:w="3507" w:type="dxa"/>
            <w:tcBorders>
              <w:top w:val="nil"/>
            </w:tcBorders>
          </w:tcPr>
          <w:p w:rsidR="00B83F88" w:rsidRPr="001631EC" w:rsidRDefault="00B83F88" w:rsidP="00B83F88">
            <w:pPr>
              <w:jc w:val="center"/>
              <w:rPr>
                <w:rFonts w:asciiTheme="minorHAnsi" w:hAnsiTheme="minorHAnsi"/>
                <w:sz w:val="18"/>
                <w:szCs w:val="18"/>
              </w:rPr>
            </w:pPr>
            <w:r w:rsidRPr="001631EC">
              <w:rPr>
                <w:rFonts w:asciiTheme="minorHAnsi" w:hAnsiTheme="minorHAnsi"/>
                <w:sz w:val="18"/>
                <w:szCs w:val="18"/>
              </w:rPr>
              <w:t>Sprawdzenie wyglądu zewnętrznego nawierzchni, krawężników, obrzeży, ścieków</w:t>
            </w:r>
          </w:p>
        </w:tc>
        <w:tc>
          <w:tcPr>
            <w:tcW w:w="3507" w:type="dxa"/>
            <w:tcBorders>
              <w:top w:val="nil"/>
            </w:tcBorders>
          </w:tcPr>
          <w:p w:rsidR="00B83F88" w:rsidRPr="001631EC" w:rsidRDefault="00B83F88" w:rsidP="00B83F88">
            <w:pPr>
              <w:jc w:val="center"/>
              <w:rPr>
                <w:rFonts w:asciiTheme="minorHAnsi" w:hAnsiTheme="minorHAnsi"/>
                <w:sz w:val="18"/>
                <w:szCs w:val="18"/>
              </w:rPr>
            </w:pPr>
            <w:r w:rsidRPr="001631EC">
              <w:rPr>
                <w:rFonts w:asciiTheme="minorHAnsi" w:hAnsiTheme="minorHAnsi"/>
                <w:sz w:val="18"/>
                <w:szCs w:val="18"/>
              </w:rPr>
              <w:t>Wizualne sprawdzenie jednorodności wyglądu, prawidłowości desenia, kolorów kostek, spękań, plam, deformacji, wy-kruszeń, spoin i szczelin</w:t>
            </w:r>
          </w:p>
        </w:tc>
      </w:tr>
      <w:tr w:rsidR="00B83F88" w:rsidRPr="001631EC" w:rsidTr="002075C4">
        <w:tc>
          <w:tcPr>
            <w:tcW w:w="496" w:type="dxa"/>
          </w:tcPr>
          <w:p w:rsidR="00B83F88" w:rsidRPr="001631EC" w:rsidRDefault="00B83F88" w:rsidP="00B83F88">
            <w:pPr>
              <w:jc w:val="center"/>
              <w:rPr>
                <w:rFonts w:asciiTheme="minorHAnsi" w:hAnsiTheme="minorHAnsi"/>
                <w:sz w:val="18"/>
                <w:szCs w:val="18"/>
              </w:rPr>
            </w:pPr>
            <w:r w:rsidRPr="001631EC">
              <w:rPr>
                <w:rFonts w:asciiTheme="minorHAnsi" w:hAnsiTheme="minorHAnsi"/>
                <w:sz w:val="18"/>
                <w:szCs w:val="18"/>
              </w:rPr>
              <w:t>2</w:t>
            </w:r>
          </w:p>
        </w:tc>
        <w:tc>
          <w:tcPr>
            <w:tcW w:w="3507" w:type="dxa"/>
          </w:tcPr>
          <w:p w:rsidR="00B83F88" w:rsidRPr="001631EC" w:rsidRDefault="00B83F88" w:rsidP="00B83F88">
            <w:pPr>
              <w:jc w:val="center"/>
              <w:rPr>
                <w:rFonts w:asciiTheme="minorHAnsi" w:hAnsiTheme="minorHAnsi"/>
                <w:sz w:val="18"/>
                <w:szCs w:val="18"/>
              </w:rPr>
            </w:pPr>
            <w:r w:rsidRPr="001631EC">
              <w:rPr>
                <w:rFonts w:asciiTheme="minorHAnsi" w:hAnsiTheme="minorHAnsi"/>
                <w:sz w:val="18"/>
                <w:szCs w:val="18"/>
              </w:rPr>
              <w:t>Badanie położenia osi nawierzchni w planie</w:t>
            </w:r>
          </w:p>
        </w:tc>
        <w:tc>
          <w:tcPr>
            <w:tcW w:w="3507" w:type="dxa"/>
          </w:tcPr>
          <w:p w:rsidR="00B83F88" w:rsidRPr="001631EC" w:rsidRDefault="00B83F88" w:rsidP="00B83F88">
            <w:pPr>
              <w:jc w:val="center"/>
              <w:rPr>
                <w:rFonts w:asciiTheme="minorHAnsi" w:hAnsiTheme="minorHAnsi"/>
                <w:sz w:val="18"/>
                <w:szCs w:val="18"/>
              </w:rPr>
            </w:pPr>
            <w:r w:rsidRPr="001631EC">
              <w:rPr>
                <w:rFonts w:asciiTheme="minorHAnsi" w:hAnsiTheme="minorHAnsi"/>
                <w:sz w:val="18"/>
                <w:szCs w:val="18"/>
              </w:rPr>
              <w:t xml:space="preserve">Geodezyjne sprawdzenie położenia osi co </w:t>
            </w:r>
            <w:smartTag w:uri="urn:schemas-microsoft-com:office:smarttags" w:element="metricconverter">
              <w:smartTagPr>
                <w:attr w:name="ProductID" w:val="25 m"/>
              </w:smartTagPr>
              <w:r w:rsidRPr="001631EC">
                <w:rPr>
                  <w:rFonts w:asciiTheme="minorHAnsi" w:hAnsiTheme="minorHAnsi"/>
                  <w:sz w:val="18"/>
                  <w:szCs w:val="18"/>
                </w:rPr>
                <w:t>25 m</w:t>
              </w:r>
            </w:smartTag>
            <w:r w:rsidRPr="001631EC">
              <w:rPr>
                <w:rFonts w:asciiTheme="minorHAnsi" w:hAnsiTheme="minorHAnsi"/>
                <w:sz w:val="18"/>
                <w:szCs w:val="18"/>
              </w:rPr>
              <w:t xml:space="preserve"> i w punktach charakterystycznych (dopuszczalne przesunięcia wg tab. 2, lp. 5b)</w:t>
            </w:r>
          </w:p>
        </w:tc>
      </w:tr>
      <w:tr w:rsidR="00B83F88" w:rsidRPr="001631EC" w:rsidTr="002075C4">
        <w:tc>
          <w:tcPr>
            <w:tcW w:w="496" w:type="dxa"/>
          </w:tcPr>
          <w:p w:rsidR="00B83F88" w:rsidRPr="001631EC" w:rsidRDefault="00B83F88" w:rsidP="00B83F88">
            <w:pPr>
              <w:jc w:val="center"/>
              <w:rPr>
                <w:rFonts w:asciiTheme="minorHAnsi" w:hAnsiTheme="minorHAnsi"/>
                <w:sz w:val="18"/>
                <w:szCs w:val="18"/>
              </w:rPr>
            </w:pPr>
            <w:r w:rsidRPr="001631EC">
              <w:rPr>
                <w:rFonts w:asciiTheme="minorHAnsi" w:hAnsiTheme="minorHAnsi"/>
                <w:sz w:val="18"/>
                <w:szCs w:val="18"/>
              </w:rPr>
              <w:t>3</w:t>
            </w:r>
          </w:p>
        </w:tc>
        <w:tc>
          <w:tcPr>
            <w:tcW w:w="3507" w:type="dxa"/>
          </w:tcPr>
          <w:p w:rsidR="00B83F88" w:rsidRPr="001631EC" w:rsidRDefault="00B83F88" w:rsidP="00B83F88">
            <w:pPr>
              <w:jc w:val="center"/>
              <w:rPr>
                <w:rFonts w:asciiTheme="minorHAnsi" w:hAnsiTheme="minorHAnsi"/>
                <w:sz w:val="18"/>
                <w:szCs w:val="18"/>
              </w:rPr>
            </w:pPr>
            <w:r w:rsidRPr="001631EC">
              <w:rPr>
                <w:rFonts w:asciiTheme="minorHAnsi" w:hAnsiTheme="minorHAnsi"/>
                <w:sz w:val="18"/>
                <w:szCs w:val="18"/>
              </w:rPr>
              <w:t>Rzędne wysokościowe, równość podłużna i poprzeczna, spadki poprzeczne i szerokość</w:t>
            </w:r>
          </w:p>
        </w:tc>
        <w:tc>
          <w:tcPr>
            <w:tcW w:w="3507" w:type="dxa"/>
          </w:tcPr>
          <w:p w:rsidR="00B83F88" w:rsidRPr="001631EC" w:rsidRDefault="00B83F88" w:rsidP="00B83F88">
            <w:pPr>
              <w:jc w:val="center"/>
              <w:rPr>
                <w:rFonts w:asciiTheme="minorHAnsi" w:hAnsiTheme="minorHAnsi"/>
                <w:sz w:val="18"/>
                <w:szCs w:val="18"/>
              </w:rPr>
            </w:pPr>
            <w:r w:rsidRPr="001631EC">
              <w:rPr>
                <w:rFonts w:asciiTheme="minorHAnsi" w:hAnsiTheme="minorHAnsi"/>
                <w:sz w:val="18"/>
                <w:szCs w:val="18"/>
              </w:rPr>
              <w:t xml:space="preserve">Co </w:t>
            </w:r>
            <w:smartTag w:uri="urn:schemas-microsoft-com:office:smarttags" w:element="metricconverter">
              <w:smartTagPr>
                <w:attr w:name="ProductID" w:val="25 m"/>
              </w:smartTagPr>
              <w:r w:rsidRPr="001631EC">
                <w:rPr>
                  <w:rFonts w:asciiTheme="minorHAnsi" w:hAnsiTheme="minorHAnsi"/>
                  <w:sz w:val="18"/>
                  <w:szCs w:val="18"/>
                </w:rPr>
                <w:t>25 m</w:t>
              </w:r>
            </w:smartTag>
            <w:r w:rsidRPr="001631EC">
              <w:rPr>
                <w:rFonts w:asciiTheme="minorHAnsi" w:hAnsiTheme="minorHAnsi"/>
                <w:sz w:val="18"/>
                <w:szCs w:val="18"/>
              </w:rPr>
              <w:t xml:space="preserve"> i we wszystkich  punktach charakterystycznych (wg metod i do-puszczalnych wartości podanych w tab. 2, lp. od 5c do 5g)</w:t>
            </w:r>
          </w:p>
        </w:tc>
      </w:tr>
      <w:tr w:rsidR="00B83F88" w:rsidRPr="001631EC" w:rsidTr="002075C4">
        <w:trPr>
          <w:trHeight w:val="951"/>
        </w:trPr>
        <w:tc>
          <w:tcPr>
            <w:tcW w:w="496" w:type="dxa"/>
          </w:tcPr>
          <w:p w:rsidR="00B83F88" w:rsidRPr="001631EC" w:rsidRDefault="00B83F88" w:rsidP="00B83F88">
            <w:pPr>
              <w:jc w:val="center"/>
              <w:rPr>
                <w:rFonts w:asciiTheme="minorHAnsi" w:hAnsiTheme="minorHAnsi"/>
                <w:sz w:val="18"/>
                <w:szCs w:val="18"/>
              </w:rPr>
            </w:pPr>
            <w:r w:rsidRPr="001631EC">
              <w:rPr>
                <w:rFonts w:asciiTheme="minorHAnsi" w:hAnsiTheme="minorHAnsi"/>
                <w:sz w:val="18"/>
                <w:szCs w:val="18"/>
              </w:rPr>
              <w:t>4</w:t>
            </w:r>
          </w:p>
        </w:tc>
        <w:tc>
          <w:tcPr>
            <w:tcW w:w="3507" w:type="dxa"/>
          </w:tcPr>
          <w:p w:rsidR="00B83F88" w:rsidRPr="001631EC" w:rsidRDefault="00B83F88" w:rsidP="00B83F88">
            <w:pPr>
              <w:jc w:val="center"/>
              <w:rPr>
                <w:rFonts w:asciiTheme="minorHAnsi" w:hAnsiTheme="minorHAnsi"/>
                <w:sz w:val="18"/>
                <w:szCs w:val="18"/>
              </w:rPr>
            </w:pPr>
            <w:r w:rsidRPr="001631EC">
              <w:rPr>
                <w:rFonts w:asciiTheme="minorHAnsi" w:hAnsiTheme="minorHAnsi"/>
                <w:sz w:val="18"/>
                <w:szCs w:val="18"/>
              </w:rPr>
              <w:t>Rozmieszczenie i szerokość spoin i szczelin w nawierzchni, pomiędzy krawężnikami, obrzeżami, ściekami oraz wypełnienie spoin i szczelin</w:t>
            </w:r>
          </w:p>
        </w:tc>
        <w:tc>
          <w:tcPr>
            <w:tcW w:w="3507" w:type="dxa"/>
          </w:tcPr>
          <w:p w:rsidR="00B83F88" w:rsidRPr="001631EC" w:rsidRDefault="00B83F88" w:rsidP="00B83F88">
            <w:pPr>
              <w:jc w:val="center"/>
              <w:rPr>
                <w:rFonts w:asciiTheme="minorHAnsi" w:hAnsiTheme="minorHAnsi"/>
                <w:sz w:val="18"/>
                <w:szCs w:val="18"/>
              </w:rPr>
            </w:pPr>
            <w:r w:rsidRPr="001631EC">
              <w:rPr>
                <w:rFonts w:asciiTheme="minorHAnsi" w:hAnsiTheme="minorHAnsi"/>
                <w:sz w:val="18"/>
                <w:szCs w:val="18"/>
              </w:rPr>
              <w:t>Wg pktu 5.5 i 5.7.5</w:t>
            </w:r>
          </w:p>
        </w:tc>
      </w:tr>
    </w:tbl>
    <w:p w:rsidR="00B83F88" w:rsidRPr="001631EC" w:rsidRDefault="00B83F88" w:rsidP="00B83F88">
      <w:pPr>
        <w:rPr>
          <w:rFonts w:asciiTheme="minorHAnsi" w:hAnsiTheme="minorHAnsi"/>
        </w:rPr>
      </w:pPr>
    </w:p>
    <w:p w:rsidR="00B83F88" w:rsidRPr="001631EC" w:rsidRDefault="00B83F88" w:rsidP="00B83F88">
      <w:pPr>
        <w:rPr>
          <w:rFonts w:asciiTheme="minorHAnsi" w:hAnsiTheme="minorHAnsi"/>
          <w:b/>
        </w:rPr>
      </w:pPr>
      <w:bookmarkStart w:id="1503" w:name="_Toc107903642"/>
      <w:r w:rsidRPr="001631EC">
        <w:rPr>
          <w:rFonts w:asciiTheme="minorHAnsi" w:hAnsiTheme="minorHAnsi"/>
          <w:b/>
        </w:rPr>
        <w:t xml:space="preserve">7. </w:t>
      </w:r>
      <w:bookmarkEnd w:id="1503"/>
      <w:r w:rsidRPr="001631EC">
        <w:rPr>
          <w:rFonts w:asciiTheme="minorHAnsi" w:hAnsiTheme="minorHAnsi"/>
          <w:b/>
        </w:rPr>
        <w:t>OBMIAR ROBÓT</w:t>
      </w:r>
    </w:p>
    <w:p w:rsidR="00B83F88" w:rsidRPr="001631EC" w:rsidRDefault="00B83F88" w:rsidP="00B83F88">
      <w:pPr>
        <w:rPr>
          <w:rFonts w:asciiTheme="minorHAnsi" w:hAnsiTheme="minorHAnsi"/>
        </w:rPr>
      </w:pPr>
      <w:r w:rsidRPr="001631EC">
        <w:rPr>
          <w:rFonts w:asciiTheme="minorHAnsi" w:hAnsiTheme="minorHAnsi"/>
          <w:b/>
        </w:rPr>
        <w:t>7.1.</w:t>
      </w:r>
      <w:r w:rsidRPr="001631EC">
        <w:rPr>
          <w:rFonts w:asciiTheme="minorHAnsi" w:hAnsiTheme="minorHAnsi"/>
        </w:rPr>
        <w:t xml:space="preserve"> Ogólne zasady obmiaru robót</w:t>
      </w:r>
    </w:p>
    <w:p w:rsidR="00B83F88" w:rsidRPr="001631EC" w:rsidRDefault="00B83F88" w:rsidP="00B83F88">
      <w:pPr>
        <w:rPr>
          <w:rFonts w:asciiTheme="minorHAnsi" w:hAnsiTheme="minorHAnsi"/>
        </w:rPr>
      </w:pPr>
      <w:r w:rsidRPr="001631EC">
        <w:rPr>
          <w:rFonts w:asciiTheme="minorHAnsi" w:hAnsiTheme="minorHAnsi"/>
        </w:rPr>
        <w:tab/>
        <w:t>Ogólne zasady obmiaru robót podano w ST D-M-00.00.00 „Wymagania ogólne” pkt 7.</w:t>
      </w:r>
    </w:p>
    <w:p w:rsidR="00B83F88" w:rsidRPr="001631EC" w:rsidRDefault="00B83F88" w:rsidP="00B83F88">
      <w:pPr>
        <w:rPr>
          <w:rFonts w:asciiTheme="minorHAnsi" w:hAnsiTheme="minorHAnsi"/>
        </w:rPr>
      </w:pPr>
      <w:r w:rsidRPr="001631EC">
        <w:rPr>
          <w:rFonts w:asciiTheme="minorHAnsi" w:hAnsiTheme="minorHAnsi"/>
          <w:b/>
        </w:rPr>
        <w:t>7.2.</w:t>
      </w:r>
      <w:r w:rsidRPr="001631EC">
        <w:rPr>
          <w:rFonts w:asciiTheme="minorHAnsi" w:hAnsiTheme="minorHAnsi"/>
        </w:rPr>
        <w:t xml:space="preserve"> Jednostka obmiarowa</w:t>
      </w:r>
    </w:p>
    <w:p w:rsidR="00B83F88" w:rsidRPr="001631EC" w:rsidRDefault="00B83F88" w:rsidP="00B83F88">
      <w:pPr>
        <w:rPr>
          <w:rFonts w:asciiTheme="minorHAnsi" w:hAnsiTheme="minorHAnsi"/>
        </w:rPr>
      </w:pPr>
      <w:r w:rsidRPr="001631EC">
        <w:rPr>
          <w:rFonts w:asciiTheme="minorHAnsi" w:hAnsiTheme="minorHAnsi"/>
        </w:rPr>
        <w:tab/>
        <w:t>Jednostką obmiarową jest 1 m2 (metr kwadratowy) wykonanej nawierzchni z betonowej kostki brukowej.</w:t>
      </w:r>
    </w:p>
    <w:p w:rsidR="00B83F88" w:rsidRPr="001631EC" w:rsidRDefault="00B83F88" w:rsidP="00B83F88">
      <w:pPr>
        <w:rPr>
          <w:rFonts w:asciiTheme="minorHAnsi" w:hAnsiTheme="minorHAnsi"/>
        </w:rPr>
      </w:pPr>
      <w:r w:rsidRPr="001631EC">
        <w:rPr>
          <w:rFonts w:asciiTheme="minorHAnsi" w:hAnsiTheme="minorHAnsi"/>
        </w:rPr>
        <w:tab/>
        <w:t>Jednostki obmiarowe robót towarzyszących budowie nawierzchni z betonowej kostki brukowej (podbudowa, obramowanie itp.) są ustalone w odpowiednich ST.</w:t>
      </w:r>
    </w:p>
    <w:p w:rsidR="00B83F88" w:rsidRPr="001631EC" w:rsidRDefault="00B83F88" w:rsidP="00B83F88">
      <w:pPr>
        <w:rPr>
          <w:rFonts w:asciiTheme="minorHAnsi" w:hAnsiTheme="minorHAnsi"/>
        </w:rPr>
      </w:pPr>
    </w:p>
    <w:p w:rsidR="00B83F88" w:rsidRPr="001631EC" w:rsidRDefault="00B83F88" w:rsidP="00B83F88">
      <w:pPr>
        <w:rPr>
          <w:rFonts w:asciiTheme="minorHAnsi" w:hAnsiTheme="minorHAnsi"/>
          <w:b/>
        </w:rPr>
      </w:pPr>
      <w:bookmarkStart w:id="1504" w:name="_Toc107903643"/>
      <w:r w:rsidRPr="001631EC">
        <w:rPr>
          <w:rFonts w:asciiTheme="minorHAnsi" w:hAnsiTheme="minorHAnsi"/>
          <w:b/>
        </w:rPr>
        <w:t xml:space="preserve">8. </w:t>
      </w:r>
      <w:bookmarkEnd w:id="1504"/>
      <w:r w:rsidRPr="001631EC">
        <w:rPr>
          <w:rFonts w:asciiTheme="minorHAnsi" w:hAnsiTheme="minorHAnsi"/>
          <w:b/>
        </w:rPr>
        <w:t>ODBIÓR ROBÓT</w:t>
      </w:r>
    </w:p>
    <w:p w:rsidR="00B83F88" w:rsidRPr="001631EC" w:rsidRDefault="00B83F88" w:rsidP="00B83F88">
      <w:pPr>
        <w:rPr>
          <w:rFonts w:asciiTheme="minorHAnsi" w:hAnsiTheme="minorHAnsi"/>
        </w:rPr>
      </w:pPr>
      <w:r w:rsidRPr="001631EC">
        <w:rPr>
          <w:rFonts w:asciiTheme="minorHAnsi" w:hAnsiTheme="minorHAnsi"/>
          <w:b/>
        </w:rPr>
        <w:t>8.1.</w:t>
      </w:r>
      <w:r w:rsidRPr="001631EC">
        <w:rPr>
          <w:rFonts w:asciiTheme="minorHAnsi" w:hAnsiTheme="minorHAnsi"/>
        </w:rPr>
        <w:t xml:space="preserve"> Ogólne zasady odbioru robót</w:t>
      </w:r>
    </w:p>
    <w:p w:rsidR="00B83F88" w:rsidRPr="001631EC" w:rsidRDefault="00B83F88" w:rsidP="00B83F88">
      <w:pPr>
        <w:rPr>
          <w:rFonts w:asciiTheme="minorHAnsi" w:hAnsiTheme="minorHAnsi"/>
        </w:rPr>
      </w:pPr>
      <w:r w:rsidRPr="001631EC">
        <w:rPr>
          <w:rFonts w:asciiTheme="minorHAnsi" w:hAnsiTheme="minorHAnsi"/>
        </w:rPr>
        <w:tab/>
        <w:t>Ogólne zasady odbioru robót podano w ST D-M-00.00.00 „Wymagania ogólne” pkt 8.</w:t>
      </w:r>
    </w:p>
    <w:p w:rsidR="00B83F88" w:rsidRPr="001631EC" w:rsidRDefault="00B83F88" w:rsidP="00B83F88">
      <w:pPr>
        <w:rPr>
          <w:rFonts w:asciiTheme="minorHAnsi" w:hAnsiTheme="minorHAnsi"/>
        </w:rPr>
      </w:pPr>
      <w:r w:rsidRPr="001631EC">
        <w:rPr>
          <w:rFonts w:asciiTheme="minorHAnsi" w:hAnsiTheme="minorHAnsi"/>
        </w:rPr>
        <w:tab/>
        <w:t>Roboty uznaje się za wykonane zgodnie z dokumentacją projektową, ST i wymaganiami Inżyniera, jeżeli wszystkie pomiary i badania z zachowaniem tolerancji według pktu 6 dały wyniki pozytywne.</w:t>
      </w:r>
    </w:p>
    <w:p w:rsidR="00B83F88" w:rsidRPr="001631EC" w:rsidRDefault="00B83F88" w:rsidP="00B83F88">
      <w:pPr>
        <w:rPr>
          <w:rFonts w:asciiTheme="minorHAnsi" w:hAnsiTheme="minorHAnsi"/>
        </w:rPr>
      </w:pPr>
      <w:r w:rsidRPr="001631EC">
        <w:rPr>
          <w:rFonts w:asciiTheme="minorHAnsi" w:hAnsiTheme="minorHAnsi"/>
          <w:b/>
        </w:rPr>
        <w:t>8.2.</w:t>
      </w:r>
      <w:r w:rsidRPr="001631EC">
        <w:rPr>
          <w:rFonts w:asciiTheme="minorHAnsi" w:hAnsiTheme="minorHAnsi"/>
        </w:rPr>
        <w:t xml:space="preserve"> Odbiór robót zanikających i ulegających  zakryciu</w:t>
      </w:r>
    </w:p>
    <w:p w:rsidR="00B83F88" w:rsidRPr="001631EC" w:rsidRDefault="00B83F88" w:rsidP="00B83F88">
      <w:pPr>
        <w:rPr>
          <w:rFonts w:asciiTheme="minorHAnsi" w:hAnsiTheme="minorHAnsi"/>
        </w:rPr>
      </w:pPr>
      <w:r w:rsidRPr="001631EC">
        <w:rPr>
          <w:rFonts w:asciiTheme="minorHAnsi" w:hAnsiTheme="minorHAnsi"/>
        </w:rPr>
        <w:tab/>
        <w:t>Odbiorowi robót zanikających i ulegających zakryciu podlegają:</w:t>
      </w:r>
    </w:p>
    <w:p w:rsidR="00B83F88" w:rsidRPr="001631EC" w:rsidRDefault="00B83F88" w:rsidP="00B83F88">
      <w:pPr>
        <w:rPr>
          <w:rFonts w:asciiTheme="minorHAnsi" w:hAnsiTheme="minorHAnsi"/>
        </w:rPr>
      </w:pPr>
      <w:r>
        <w:rPr>
          <w:rFonts w:asciiTheme="minorHAnsi" w:hAnsiTheme="minorHAnsi"/>
        </w:rPr>
        <w:t>-</w:t>
      </w:r>
      <w:r w:rsidRPr="001631EC">
        <w:rPr>
          <w:rFonts w:asciiTheme="minorHAnsi" w:hAnsiTheme="minorHAnsi"/>
        </w:rPr>
        <w:t>przygotowanie podłoża i wykonanie  koryta,</w:t>
      </w:r>
    </w:p>
    <w:p w:rsidR="00B83F88" w:rsidRPr="001631EC" w:rsidRDefault="00B83F88" w:rsidP="00B83F88">
      <w:pPr>
        <w:rPr>
          <w:rFonts w:asciiTheme="minorHAnsi" w:hAnsiTheme="minorHAnsi"/>
        </w:rPr>
      </w:pPr>
      <w:r>
        <w:rPr>
          <w:rFonts w:asciiTheme="minorHAnsi" w:hAnsiTheme="minorHAnsi"/>
        </w:rPr>
        <w:t>-</w:t>
      </w:r>
      <w:r w:rsidRPr="001631EC">
        <w:rPr>
          <w:rFonts w:asciiTheme="minorHAnsi" w:hAnsiTheme="minorHAnsi"/>
        </w:rPr>
        <w:t>ewentualnie wykonanie podbudowy,</w:t>
      </w:r>
    </w:p>
    <w:p w:rsidR="00B83F88" w:rsidRPr="001631EC" w:rsidRDefault="00B83F88" w:rsidP="00B83F88">
      <w:pPr>
        <w:rPr>
          <w:rFonts w:asciiTheme="minorHAnsi" w:hAnsiTheme="minorHAnsi"/>
        </w:rPr>
      </w:pPr>
      <w:r>
        <w:rPr>
          <w:rFonts w:asciiTheme="minorHAnsi" w:hAnsiTheme="minorHAnsi"/>
        </w:rPr>
        <w:t>-</w:t>
      </w:r>
      <w:r w:rsidRPr="001631EC">
        <w:rPr>
          <w:rFonts w:asciiTheme="minorHAnsi" w:hAnsiTheme="minorHAnsi"/>
        </w:rPr>
        <w:t>ewentualnie wykonanie ław (podsypek) pod krawężniki, obrzeża, ścieki,</w:t>
      </w:r>
    </w:p>
    <w:p w:rsidR="00B83F88" w:rsidRPr="001631EC" w:rsidRDefault="00B83F88" w:rsidP="00B83F88">
      <w:pPr>
        <w:rPr>
          <w:rFonts w:asciiTheme="minorHAnsi" w:hAnsiTheme="minorHAnsi"/>
        </w:rPr>
      </w:pPr>
      <w:r>
        <w:rPr>
          <w:rFonts w:asciiTheme="minorHAnsi" w:hAnsiTheme="minorHAnsi"/>
        </w:rPr>
        <w:t>-</w:t>
      </w:r>
      <w:r w:rsidRPr="001631EC">
        <w:rPr>
          <w:rFonts w:asciiTheme="minorHAnsi" w:hAnsiTheme="minorHAnsi"/>
        </w:rPr>
        <w:t>wykonanie podsypki pod nawierzchnię,</w:t>
      </w:r>
    </w:p>
    <w:p w:rsidR="00B83F88" w:rsidRPr="001631EC" w:rsidRDefault="00B83F88" w:rsidP="00B83F88">
      <w:pPr>
        <w:rPr>
          <w:rFonts w:asciiTheme="minorHAnsi" w:hAnsiTheme="minorHAnsi"/>
        </w:rPr>
      </w:pPr>
      <w:r>
        <w:rPr>
          <w:rFonts w:asciiTheme="minorHAnsi" w:hAnsiTheme="minorHAnsi"/>
        </w:rPr>
        <w:t>-</w:t>
      </w:r>
      <w:r w:rsidRPr="001631EC">
        <w:rPr>
          <w:rFonts w:asciiTheme="minorHAnsi" w:hAnsiTheme="minorHAnsi"/>
        </w:rPr>
        <w:t>ewentualnie wypełnienie dolnej części szczelin dylatacyjnych.</w:t>
      </w:r>
    </w:p>
    <w:p w:rsidR="00B83F88" w:rsidRPr="001631EC" w:rsidRDefault="00B83F88" w:rsidP="00B83F88">
      <w:pPr>
        <w:rPr>
          <w:rFonts w:asciiTheme="minorHAnsi" w:hAnsiTheme="minorHAnsi"/>
        </w:rPr>
      </w:pPr>
      <w:r w:rsidRPr="001631EC">
        <w:rPr>
          <w:rFonts w:asciiTheme="minorHAnsi" w:hAnsiTheme="minorHAnsi"/>
        </w:rPr>
        <w:tab/>
        <w:t>Odbiór tych robót powinien  być zgodny z wymaganiami pktu 8.2 D-M-00.00.00 „Wymagania ogólne” oraz niniejszej ST.</w:t>
      </w:r>
    </w:p>
    <w:p w:rsidR="00B83F88" w:rsidRPr="001631EC" w:rsidRDefault="00B83F88" w:rsidP="00B83F88">
      <w:pPr>
        <w:rPr>
          <w:rFonts w:asciiTheme="minorHAnsi" w:hAnsiTheme="minorHAnsi"/>
        </w:rPr>
      </w:pPr>
    </w:p>
    <w:p w:rsidR="00B83F88" w:rsidRPr="001631EC" w:rsidRDefault="00B83F88" w:rsidP="00B83F88">
      <w:pPr>
        <w:rPr>
          <w:rFonts w:asciiTheme="minorHAnsi" w:hAnsiTheme="minorHAnsi"/>
          <w:b/>
        </w:rPr>
      </w:pPr>
      <w:bookmarkStart w:id="1505" w:name="_Toc107903644"/>
      <w:r w:rsidRPr="001631EC">
        <w:rPr>
          <w:rFonts w:asciiTheme="minorHAnsi" w:hAnsiTheme="minorHAnsi"/>
          <w:b/>
        </w:rPr>
        <w:t xml:space="preserve">9. </w:t>
      </w:r>
      <w:bookmarkEnd w:id="1505"/>
      <w:r w:rsidRPr="001631EC">
        <w:rPr>
          <w:rFonts w:asciiTheme="minorHAnsi" w:hAnsiTheme="minorHAnsi"/>
          <w:b/>
        </w:rPr>
        <w:t>PODSTAWA PŁATNOŚCI</w:t>
      </w:r>
    </w:p>
    <w:p w:rsidR="00B83F88" w:rsidRPr="001631EC" w:rsidRDefault="00B83F88" w:rsidP="00B83F88">
      <w:pPr>
        <w:rPr>
          <w:rFonts w:asciiTheme="minorHAnsi" w:hAnsiTheme="minorHAnsi"/>
        </w:rPr>
      </w:pPr>
      <w:r w:rsidRPr="001631EC">
        <w:rPr>
          <w:rFonts w:asciiTheme="minorHAnsi" w:hAnsiTheme="minorHAnsi"/>
          <w:b/>
        </w:rPr>
        <w:t>9.1.</w:t>
      </w:r>
      <w:r w:rsidRPr="001631EC">
        <w:rPr>
          <w:rFonts w:asciiTheme="minorHAnsi" w:hAnsiTheme="minorHAnsi"/>
        </w:rPr>
        <w:t xml:space="preserve"> Ogólne ustalenia dotyczące podstawy płatności</w:t>
      </w:r>
    </w:p>
    <w:p w:rsidR="00B83F88" w:rsidRPr="001631EC" w:rsidRDefault="00B83F88" w:rsidP="00B83F88">
      <w:pPr>
        <w:rPr>
          <w:rFonts w:asciiTheme="minorHAnsi" w:hAnsiTheme="minorHAnsi"/>
        </w:rPr>
      </w:pPr>
      <w:r w:rsidRPr="001631EC">
        <w:rPr>
          <w:rFonts w:asciiTheme="minorHAnsi" w:hAnsiTheme="minorHAnsi"/>
        </w:rPr>
        <w:tab/>
        <w:t>Ogólne ustalenia dotyczące podstawy płatności podano w ST D-M-00.00.00 „Wymagania ogólne” pkt 9.</w:t>
      </w:r>
    </w:p>
    <w:p w:rsidR="00B83F88" w:rsidRPr="001631EC" w:rsidRDefault="00B83F88" w:rsidP="00B83F88">
      <w:pPr>
        <w:rPr>
          <w:rFonts w:asciiTheme="minorHAnsi" w:hAnsiTheme="minorHAnsi"/>
        </w:rPr>
      </w:pPr>
      <w:r w:rsidRPr="001631EC">
        <w:rPr>
          <w:rFonts w:asciiTheme="minorHAnsi" w:hAnsiTheme="minorHAnsi"/>
          <w:b/>
        </w:rPr>
        <w:t>9.2.</w:t>
      </w:r>
      <w:r w:rsidRPr="001631EC">
        <w:rPr>
          <w:rFonts w:asciiTheme="minorHAnsi" w:hAnsiTheme="minorHAnsi"/>
        </w:rPr>
        <w:t xml:space="preserve"> Cena jednostki obmiarowej</w:t>
      </w:r>
    </w:p>
    <w:p w:rsidR="00B83F88" w:rsidRPr="001631EC" w:rsidRDefault="00B83F88" w:rsidP="00B83F88">
      <w:pPr>
        <w:rPr>
          <w:rFonts w:asciiTheme="minorHAnsi" w:hAnsiTheme="minorHAnsi"/>
        </w:rPr>
      </w:pPr>
      <w:r w:rsidRPr="001631EC">
        <w:rPr>
          <w:rFonts w:asciiTheme="minorHAnsi" w:hAnsiTheme="minorHAnsi"/>
        </w:rPr>
        <w:tab/>
        <w:t xml:space="preserve">Cena wykonania </w:t>
      </w:r>
      <w:smartTag w:uri="urn:schemas-microsoft-com:office:smarttags" w:element="metricconverter">
        <w:smartTagPr>
          <w:attr w:name="ProductID" w:val="1 m2"/>
        </w:smartTagPr>
        <w:r w:rsidRPr="001631EC">
          <w:rPr>
            <w:rFonts w:asciiTheme="minorHAnsi" w:hAnsiTheme="minorHAnsi"/>
          </w:rPr>
          <w:t>1 m2</w:t>
        </w:r>
      </w:smartTag>
      <w:r w:rsidRPr="001631EC">
        <w:rPr>
          <w:rFonts w:asciiTheme="minorHAnsi" w:hAnsiTheme="minorHAnsi"/>
        </w:rPr>
        <w:t xml:space="preserve"> nawierzchni z betonowej kostki brukowej obejmuje:</w:t>
      </w:r>
    </w:p>
    <w:p w:rsidR="00B83F88" w:rsidRPr="001631EC" w:rsidRDefault="00B83F88" w:rsidP="00B83F88">
      <w:pPr>
        <w:rPr>
          <w:rFonts w:asciiTheme="minorHAnsi" w:hAnsiTheme="minorHAnsi"/>
        </w:rPr>
      </w:pPr>
      <w:r>
        <w:rPr>
          <w:rFonts w:asciiTheme="minorHAnsi" w:hAnsiTheme="minorHAnsi"/>
        </w:rPr>
        <w:t>-</w:t>
      </w:r>
      <w:r w:rsidRPr="001631EC">
        <w:rPr>
          <w:rFonts w:asciiTheme="minorHAnsi" w:hAnsiTheme="minorHAnsi"/>
        </w:rPr>
        <w:t>prace pomiarowe i roboty przygotowawcze,</w:t>
      </w:r>
    </w:p>
    <w:p w:rsidR="00B83F88" w:rsidRPr="001631EC" w:rsidRDefault="00B83F88" w:rsidP="00B83F88">
      <w:pPr>
        <w:rPr>
          <w:rFonts w:asciiTheme="minorHAnsi" w:hAnsiTheme="minorHAnsi"/>
        </w:rPr>
      </w:pPr>
      <w:r>
        <w:rPr>
          <w:rFonts w:asciiTheme="minorHAnsi" w:hAnsiTheme="minorHAnsi"/>
        </w:rPr>
        <w:t>-</w:t>
      </w:r>
      <w:r w:rsidRPr="001631EC">
        <w:rPr>
          <w:rFonts w:asciiTheme="minorHAnsi" w:hAnsiTheme="minorHAnsi"/>
        </w:rPr>
        <w:t>oznakowanie robót,</w:t>
      </w:r>
    </w:p>
    <w:p w:rsidR="00B83F88" w:rsidRPr="001631EC" w:rsidRDefault="00B83F88" w:rsidP="00B83F88">
      <w:pPr>
        <w:rPr>
          <w:rFonts w:asciiTheme="minorHAnsi" w:hAnsiTheme="minorHAnsi"/>
        </w:rPr>
      </w:pPr>
      <w:r>
        <w:rPr>
          <w:rFonts w:asciiTheme="minorHAnsi" w:hAnsiTheme="minorHAnsi"/>
        </w:rPr>
        <w:t>-</w:t>
      </w:r>
      <w:r w:rsidRPr="001631EC">
        <w:rPr>
          <w:rFonts w:asciiTheme="minorHAnsi" w:hAnsiTheme="minorHAnsi"/>
        </w:rPr>
        <w:t>przygotowanie podłoża i wykonanie koryta,</w:t>
      </w:r>
    </w:p>
    <w:p w:rsidR="00B83F88" w:rsidRPr="001631EC" w:rsidRDefault="00B83F88" w:rsidP="00B83F88">
      <w:pPr>
        <w:rPr>
          <w:rFonts w:asciiTheme="minorHAnsi" w:hAnsiTheme="minorHAnsi"/>
        </w:rPr>
      </w:pPr>
      <w:r>
        <w:rPr>
          <w:rFonts w:asciiTheme="minorHAnsi" w:hAnsiTheme="minorHAnsi"/>
        </w:rPr>
        <w:t>-</w:t>
      </w:r>
      <w:r w:rsidRPr="001631EC">
        <w:rPr>
          <w:rFonts w:asciiTheme="minorHAnsi" w:hAnsiTheme="minorHAnsi"/>
        </w:rPr>
        <w:t>dostarczenie materiałów i sprzętu,</w:t>
      </w:r>
    </w:p>
    <w:p w:rsidR="00B83F88" w:rsidRPr="001631EC" w:rsidRDefault="00B83F88" w:rsidP="00B83F88">
      <w:pPr>
        <w:rPr>
          <w:rFonts w:asciiTheme="minorHAnsi" w:hAnsiTheme="minorHAnsi"/>
        </w:rPr>
      </w:pPr>
      <w:r>
        <w:rPr>
          <w:rFonts w:asciiTheme="minorHAnsi" w:hAnsiTheme="minorHAnsi"/>
        </w:rPr>
        <w:t>-</w:t>
      </w:r>
      <w:r w:rsidRPr="001631EC">
        <w:rPr>
          <w:rFonts w:asciiTheme="minorHAnsi" w:hAnsiTheme="minorHAnsi"/>
        </w:rPr>
        <w:t>wykonanie podsypki,</w:t>
      </w:r>
    </w:p>
    <w:p w:rsidR="00B83F88" w:rsidRPr="001631EC" w:rsidRDefault="00B83F88" w:rsidP="00B83F88">
      <w:pPr>
        <w:rPr>
          <w:rFonts w:asciiTheme="minorHAnsi" w:hAnsiTheme="minorHAnsi"/>
        </w:rPr>
      </w:pPr>
      <w:r>
        <w:rPr>
          <w:rFonts w:asciiTheme="minorHAnsi" w:hAnsiTheme="minorHAnsi"/>
        </w:rPr>
        <w:t>-</w:t>
      </w:r>
      <w:r w:rsidRPr="001631EC">
        <w:rPr>
          <w:rFonts w:asciiTheme="minorHAnsi" w:hAnsiTheme="minorHAnsi"/>
        </w:rPr>
        <w:t>ustalenie kształtu, koloru i desenia kostek,</w:t>
      </w:r>
    </w:p>
    <w:p w:rsidR="00B83F88" w:rsidRPr="001631EC" w:rsidRDefault="00B83F88" w:rsidP="00B83F88">
      <w:pPr>
        <w:rPr>
          <w:rFonts w:asciiTheme="minorHAnsi" w:hAnsiTheme="minorHAnsi"/>
        </w:rPr>
      </w:pPr>
      <w:r>
        <w:rPr>
          <w:rFonts w:asciiTheme="minorHAnsi" w:hAnsiTheme="minorHAnsi"/>
        </w:rPr>
        <w:t>-</w:t>
      </w:r>
      <w:r w:rsidRPr="001631EC">
        <w:rPr>
          <w:rFonts w:asciiTheme="minorHAnsi" w:hAnsiTheme="minorHAnsi"/>
        </w:rPr>
        <w:t>ułożenie i ubicie kostek,</w:t>
      </w:r>
    </w:p>
    <w:p w:rsidR="00B83F88" w:rsidRPr="001631EC" w:rsidRDefault="00B83F88" w:rsidP="00B83F88">
      <w:pPr>
        <w:rPr>
          <w:rFonts w:asciiTheme="minorHAnsi" w:hAnsiTheme="minorHAnsi"/>
        </w:rPr>
      </w:pPr>
      <w:r>
        <w:rPr>
          <w:rFonts w:asciiTheme="minorHAnsi" w:hAnsiTheme="minorHAnsi"/>
        </w:rPr>
        <w:t>-</w:t>
      </w:r>
      <w:r w:rsidRPr="001631EC">
        <w:rPr>
          <w:rFonts w:asciiTheme="minorHAnsi" w:hAnsiTheme="minorHAnsi"/>
        </w:rPr>
        <w:t>wypełnienie spoin i ew. szczelin dylatacyjnych w nawierzchni,</w:t>
      </w:r>
    </w:p>
    <w:p w:rsidR="00B83F88" w:rsidRPr="001631EC" w:rsidRDefault="00B83F88" w:rsidP="00B83F88">
      <w:pPr>
        <w:rPr>
          <w:rFonts w:asciiTheme="minorHAnsi" w:hAnsiTheme="minorHAnsi"/>
        </w:rPr>
      </w:pPr>
      <w:r>
        <w:rPr>
          <w:rFonts w:asciiTheme="minorHAnsi" w:hAnsiTheme="minorHAnsi"/>
        </w:rPr>
        <w:t>-</w:t>
      </w:r>
      <w:r w:rsidRPr="001631EC">
        <w:rPr>
          <w:rFonts w:asciiTheme="minorHAnsi" w:hAnsiTheme="minorHAnsi"/>
        </w:rPr>
        <w:t>pielęgnację nawierzchni,</w:t>
      </w:r>
    </w:p>
    <w:p w:rsidR="00B83F88" w:rsidRPr="001631EC" w:rsidRDefault="00B83F88" w:rsidP="00B83F88">
      <w:pPr>
        <w:rPr>
          <w:rFonts w:asciiTheme="minorHAnsi" w:hAnsiTheme="minorHAnsi"/>
        </w:rPr>
      </w:pPr>
      <w:r>
        <w:rPr>
          <w:rFonts w:asciiTheme="minorHAnsi" w:hAnsiTheme="minorHAnsi"/>
        </w:rPr>
        <w:t>-</w:t>
      </w:r>
      <w:r w:rsidRPr="001631EC">
        <w:rPr>
          <w:rFonts w:asciiTheme="minorHAnsi" w:hAnsiTheme="minorHAnsi"/>
        </w:rPr>
        <w:t>przeprowadzenie pomiarów i badań  wymaganych w niniejszej specyfikacji technicznej,</w:t>
      </w:r>
    </w:p>
    <w:p w:rsidR="00B83F88" w:rsidRPr="001631EC" w:rsidRDefault="00B83F88" w:rsidP="00B83F88">
      <w:pPr>
        <w:rPr>
          <w:rFonts w:asciiTheme="minorHAnsi" w:hAnsiTheme="minorHAnsi"/>
        </w:rPr>
      </w:pPr>
      <w:r>
        <w:rPr>
          <w:rFonts w:asciiTheme="minorHAnsi" w:hAnsiTheme="minorHAnsi"/>
        </w:rPr>
        <w:t>-</w:t>
      </w:r>
      <w:r w:rsidRPr="001631EC">
        <w:rPr>
          <w:rFonts w:asciiTheme="minorHAnsi" w:hAnsiTheme="minorHAnsi"/>
        </w:rPr>
        <w:t>odwiezienie sprzętu.</w:t>
      </w:r>
    </w:p>
    <w:p w:rsidR="00B83F88" w:rsidRPr="001631EC" w:rsidRDefault="00B83F88" w:rsidP="00B83F88">
      <w:pPr>
        <w:rPr>
          <w:rFonts w:asciiTheme="minorHAnsi" w:hAnsiTheme="minorHAnsi"/>
        </w:rPr>
      </w:pPr>
      <w:r w:rsidRPr="001631EC">
        <w:rPr>
          <w:rFonts w:asciiTheme="minorHAnsi" w:hAnsiTheme="minorHAnsi"/>
        </w:rPr>
        <w:lastRenderedPageBreak/>
        <w:tab/>
        <w:t xml:space="preserve">Cena wykonania </w:t>
      </w:r>
      <w:smartTag w:uri="urn:schemas-microsoft-com:office:smarttags" w:element="metricconverter">
        <w:smartTagPr>
          <w:attr w:name="ProductID" w:val="1 m2"/>
        </w:smartTagPr>
        <w:r w:rsidRPr="001631EC">
          <w:rPr>
            <w:rFonts w:asciiTheme="minorHAnsi" w:hAnsiTheme="minorHAnsi"/>
          </w:rPr>
          <w:t>1 m2</w:t>
        </w:r>
      </w:smartTag>
      <w:r w:rsidRPr="001631EC">
        <w:rPr>
          <w:rFonts w:asciiTheme="minorHAnsi" w:hAnsiTheme="minorHAnsi"/>
        </w:rPr>
        <w:t xml:space="preserve"> nawierzchni z betonowej kostki brukowej nie obejmuje robót towarzyszących (jak: podbudowa, obramowanie itp.), które powinny być ujęte w innych pozycjach kosztorysowych, a których zakres jest określony przez </w:t>
      </w:r>
      <w:r>
        <w:rPr>
          <w:rFonts w:asciiTheme="minorHAnsi" w:hAnsiTheme="minorHAnsi"/>
        </w:rPr>
        <w:t xml:space="preserve">odpowiednie </w:t>
      </w:r>
      <w:r w:rsidRPr="001631EC">
        <w:rPr>
          <w:rFonts w:asciiTheme="minorHAnsi" w:hAnsiTheme="minorHAnsi"/>
        </w:rPr>
        <w:t>ST.</w:t>
      </w:r>
    </w:p>
    <w:p w:rsidR="00B83F88" w:rsidRPr="001631EC" w:rsidRDefault="00B83F88" w:rsidP="00B83F88">
      <w:pPr>
        <w:rPr>
          <w:rFonts w:asciiTheme="minorHAnsi" w:hAnsiTheme="minorHAnsi"/>
        </w:rPr>
      </w:pPr>
      <w:bookmarkStart w:id="1506" w:name="_Toc421940505"/>
      <w:r w:rsidRPr="001631EC">
        <w:rPr>
          <w:rFonts w:asciiTheme="minorHAnsi" w:hAnsiTheme="minorHAnsi"/>
          <w:b/>
        </w:rPr>
        <w:t>9.3.</w:t>
      </w:r>
      <w:r w:rsidRPr="001631EC">
        <w:rPr>
          <w:rFonts w:asciiTheme="minorHAnsi" w:hAnsiTheme="minorHAnsi"/>
        </w:rPr>
        <w:t xml:space="preserve"> Sposób rozliczenia robót tymczasowych i prac towarzyszących</w:t>
      </w:r>
    </w:p>
    <w:p w:rsidR="00B83F88" w:rsidRPr="001631EC" w:rsidRDefault="00B83F88" w:rsidP="00B83F88">
      <w:pPr>
        <w:rPr>
          <w:rFonts w:asciiTheme="minorHAnsi" w:hAnsiTheme="minorHAnsi"/>
        </w:rPr>
      </w:pPr>
      <w:r w:rsidRPr="001631EC">
        <w:rPr>
          <w:rFonts w:asciiTheme="minorHAnsi" w:hAnsiTheme="minorHAnsi"/>
        </w:rPr>
        <w:tab/>
        <w:t>Cena wykonania robót określonych niniejszą ST obejmuje:</w:t>
      </w:r>
    </w:p>
    <w:p w:rsidR="00B83F88" w:rsidRPr="001631EC" w:rsidRDefault="00B83F88" w:rsidP="00B83F88">
      <w:pPr>
        <w:rPr>
          <w:rFonts w:asciiTheme="minorHAnsi" w:hAnsiTheme="minorHAnsi"/>
        </w:rPr>
      </w:pPr>
      <w:r>
        <w:rPr>
          <w:rFonts w:asciiTheme="minorHAnsi" w:hAnsiTheme="minorHAnsi"/>
        </w:rPr>
        <w:t>-</w:t>
      </w:r>
      <w:r w:rsidRPr="001631EC">
        <w:rPr>
          <w:rFonts w:asciiTheme="minorHAnsi" w:hAnsiTheme="minorHAnsi"/>
        </w:rPr>
        <w:t>roboty tymczasowe, które są potrzebne do wykonania robót podstawowych, ale nie są przekazywane Zamawiającemu i są usuwane po wykonaniu robót podstawowych,</w:t>
      </w:r>
    </w:p>
    <w:p w:rsidR="00B83F88" w:rsidRPr="001631EC" w:rsidRDefault="00B83F88" w:rsidP="00B83F88">
      <w:pPr>
        <w:rPr>
          <w:rFonts w:asciiTheme="minorHAnsi" w:hAnsiTheme="minorHAnsi"/>
        </w:rPr>
      </w:pPr>
      <w:r>
        <w:rPr>
          <w:rFonts w:asciiTheme="minorHAnsi" w:hAnsiTheme="minorHAnsi"/>
        </w:rPr>
        <w:t>-</w:t>
      </w:r>
      <w:r w:rsidRPr="001631EC">
        <w:rPr>
          <w:rFonts w:asciiTheme="minorHAnsi" w:hAnsiTheme="minorHAnsi"/>
        </w:rPr>
        <w:t>prace towarzyszące, które są niezbędne do wykonania robót podstawowych, niezaliczane do robót tymczasowych, jak geodezyjne wytyczenie robót itd.</w:t>
      </w:r>
      <w:bookmarkStart w:id="1507" w:name="_Toc107903645"/>
    </w:p>
    <w:p w:rsidR="00B83F88" w:rsidRPr="001631EC" w:rsidRDefault="00B83F88" w:rsidP="00B83F88">
      <w:pPr>
        <w:rPr>
          <w:rFonts w:asciiTheme="minorHAnsi" w:hAnsiTheme="minorHAnsi"/>
          <w:b/>
        </w:rPr>
      </w:pPr>
    </w:p>
    <w:p w:rsidR="00B83F88" w:rsidRPr="001631EC" w:rsidRDefault="00B83F88" w:rsidP="00B83F88">
      <w:pPr>
        <w:rPr>
          <w:rFonts w:asciiTheme="minorHAnsi" w:hAnsiTheme="minorHAnsi"/>
          <w:b/>
        </w:rPr>
      </w:pPr>
      <w:r w:rsidRPr="001631EC">
        <w:rPr>
          <w:rFonts w:asciiTheme="minorHAnsi" w:hAnsiTheme="minorHAnsi"/>
          <w:b/>
        </w:rPr>
        <w:t xml:space="preserve">10. </w:t>
      </w:r>
      <w:bookmarkEnd w:id="1506"/>
      <w:bookmarkEnd w:id="1507"/>
      <w:r w:rsidRPr="001631EC">
        <w:rPr>
          <w:rFonts w:asciiTheme="minorHAnsi" w:hAnsiTheme="minorHAnsi"/>
          <w:b/>
        </w:rPr>
        <w:t>PRZEPISY ZWIĄZANE</w:t>
      </w:r>
    </w:p>
    <w:p w:rsidR="00B83F88" w:rsidRPr="001631EC" w:rsidRDefault="00B83F88" w:rsidP="00B83F88">
      <w:pPr>
        <w:rPr>
          <w:rFonts w:asciiTheme="minorHAnsi" w:hAnsiTheme="minorHAnsi"/>
        </w:rPr>
      </w:pPr>
      <w:r w:rsidRPr="001631EC">
        <w:rPr>
          <w:rFonts w:asciiTheme="minorHAnsi" w:hAnsiTheme="minorHAnsi"/>
          <w:b/>
        </w:rPr>
        <w:t>10.1.</w:t>
      </w:r>
      <w:r w:rsidRPr="001631EC">
        <w:rPr>
          <w:rFonts w:asciiTheme="minorHAnsi" w:hAnsiTheme="minorHAnsi"/>
        </w:rPr>
        <w:t xml:space="preserve">  Normy</w:t>
      </w:r>
    </w:p>
    <w:tbl>
      <w:tblPr>
        <w:tblW w:w="0" w:type="auto"/>
        <w:tblInd w:w="70" w:type="dxa"/>
        <w:tblLayout w:type="fixed"/>
        <w:tblCellMar>
          <w:left w:w="70" w:type="dxa"/>
          <w:right w:w="70" w:type="dxa"/>
        </w:tblCellMar>
        <w:tblLook w:val="0000"/>
      </w:tblPr>
      <w:tblGrid>
        <w:gridCol w:w="496"/>
        <w:gridCol w:w="1984"/>
        <w:gridCol w:w="5030"/>
      </w:tblGrid>
      <w:tr w:rsidR="00B83F88" w:rsidRPr="001631EC" w:rsidTr="002075C4">
        <w:tc>
          <w:tcPr>
            <w:tcW w:w="496" w:type="dxa"/>
          </w:tcPr>
          <w:p w:rsidR="00B83F88" w:rsidRPr="001631EC" w:rsidRDefault="00B83F88" w:rsidP="00B83F88">
            <w:pPr>
              <w:rPr>
                <w:rFonts w:asciiTheme="minorHAnsi" w:hAnsiTheme="minorHAnsi"/>
              </w:rPr>
            </w:pPr>
            <w:r w:rsidRPr="001631EC">
              <w:rPr>
                <w:rFonts w:asciiTheme="minorHAnsi" w:hAnsiTheme="minorHAnsi"/>
              </w:rPr>
              <w:t>1.</w:t>
            </w:r>
          </w:p>
        </w:tc>
        <w:tc>
          <w:tcPr>
            <w:tcW w:w="1984" w:type="dxa"/>
          </w:tcPr>
          <w:p w:rsidR="00B83F88" w:rsidRPr="001631EC" w:rsidRDefault="00B83F88" w:rsidP="00B83F88">
            <w:pPr>
              <w:rPr>
                <w:rFonts w:asciiTheme="minorHAnsi" w:hAnsiTheme="minorHAnsi"/>
              </w:rPr>
            </w:pPr>
            <w:r w:rsidRPr="001631EC">
              <w:rPr>
                <w:rFonts w:asciiTheme="minorHAnsi" w:hAnsiTheme="minorHAnsi"/>
              </w:rPr>
              <w:t>PN-EN 197-1:2002</w:t>
            </w:r>
          </w:p>
        </w:tc>
        <w:tc>
          <w:tcPr>
            <w:tcW w:w="5030" w:type="dxa"/>
          </w:tcPr>
          <w:p w:rsidR="00B83F88" w:rsidRPr="001631EC" w:rsidRDefault="00B83F88" w:rsidP="00B83F88">
            <w:pPr>
              <w:rPr>
                <w:rFonts w:asciiTheme="minorHAnsi" w:hAnsiTheme="minorHAnsi"/>
              </w:rPr>
            </w:pPr>
            <w:r w:rsidRPr="001631EC">
              <w:rPr>
                <w:rFonts w:asciiTheme="minorHAnsi" w:hAnsiTheme="minorHAnsi"/>
              </w:rPr>
              <w:t>Cement. Część 1: Skład, wymagania i kryteria zgodności dotyczące cementu powszechnego użytku</w:t>
            </w:r>
          </w:p>
        </w:tc>
      </w:tr>
      <w:tr w:rsidR="00B83F88" w:rsidRPr="001631EC" w:rsidTr="002075C4">
        <w:tc>
          <w:tcPr>
            <w:tcW w:w="496" w:type="dxa"/>
          </w:tcPr>
          <w:p w:rsidR="00B83F88" w:rsidRPr="001631EC" w:rsidRDefault="00B83F88" w:rsidP="00B83F88">
            <w:pPr>
              <w:rPr>
                <w:rFonts w:asciiTheme="minorHAnsi" w:hAnsiTheme="minorHAnsi"/>
              </w:rPr>
            </w:pPr>
            <w:r w:rsidRPr="001631EC">
              <w:rPr>
                <w:rFonts w:asciiTheme="minorHAnsi" w:hAnsiTheme="minorHAnsi"/>
              </w:rPr>
              <w:t>2.</w:t>
            </w:r>
          </w:p>
        </w:tc>
        <w:tc>
          <w:tcPr>
            <w:tcW w:w="1984" w:type="dxa"/>
          </w:tcPr>
          <w:p w:rsidR="00B83F88" w:rsidRPr="001631EC" w:rsidRDefault="00B83F88" w:rsidP="00B83F88">
            <w:pPr>
              <w:rPr>
                <w:rFonts w:asciiTheme="minorHAnsi" w:hAnsiTheme="minorHAnsi"/>
              </w:rPr>
            </w:pPr>
            <w:r w:rsidRPr="001631EC">
              <w:rPr>
                <w:rFonts w:asciiTheme="minorHAnsi" w:hAnsiTheme="minorHAnsi"/>
              </w:rPr>
              <w:t>PN-EN 1338:2005</w:t>
            </w:r>
          </w:p>
        </w:tc>
        <w:tc>
          <w:tcPr>
            <w:tcW w:w="5030" w:type="dxa"/>
          </w:tcPr>
          <w:p w:rsidR="00B83F88" w:rsidRPr="001631EC" w:rsidRDefault="00B83F88" w:rsidP="00B83F88">
            <w:pPr>
              <w:rPr>
                <w:rFonts w:asciiTheme="minorHAnsi" w:hAnsiTheme="minorHAnsi"/>
              </w:rPr>
            </w:pPr>
            <w:r w:rsidRPr="001631EC">
              <w:rPr>
                <w:rFonts w:asciiTheme="minorHAnsi" w:hAnsiTheme="minorHAnsi"/>
              </w:rPr>
              <w:t>Betonowe kostki brukowe. Wymagania i metody badań</w:t>
            </w:r>
          </w:p>
        </w:tc>
      </w:tr>
      <w:tr w:rsidR="00B83F88" w:rsidRPr="001631EC" w:rsidTr="002075C4">
        <w:tc>
          <w:tcPr>
            <w:tcW w:w="496" w:type="dxa"/>
          </w:tcPr>
          <w:p w:rsidR="00B83F88" w:rsidRPr="001631EC" w:rsidRDefault="00B83F88" w:rsidP="00B83F88">
            <w:pPr>
              <w:rPr>
                <w:rFonts w:asciiTheme="minorHAnsi" w:hAnsiTheme="minorHAnsi"/>
              </w:rPr>
            </w:pPr>
            <w:r w:rsidRPr="001631EC">
              <w:rPr>
                <w:rFonts w:asciiTheme="minorHAnsi" w:hAnsiTheme="minorHAnsi"/>
              </w:rPr>
              <w:t>3.</w:t>
            </w:r>
          </w:p>
        </w:tc>
        <w:tc>
          <w:tcPr>
            <w:tcW w:w="1984" w:type="dxa"/>
          </w:tcPr>
          <w:p w:rsidR="00B83F88" w:rsidRPr="001631EC" w:rsidRDefault="00B83F88" w:rsidP="00B83F88">
            <w:pPr>
              <w:rPr>
                <w:rFonts w:asciiTheme="minorHAnsi" w:hAnsiTheme="minorHAnsi"/>
              </w:rPr>
            </w:pPr>
            <w:r w:rsidRPr="001631EC">
              <w:rPr>
                <w:rFonts w:asciiTheme="minorHAnsi" w:hAnsiTheme="minorHAnsi"/>
              </w:rPr>
              <w:t>PN-EN 13242:2004</w:t>
            </w:r>
          </w:p>
        </w:tc>
        <w:tc>
          <w:tcPr>
            <w:tcW w:w="5030" w:type="dxa"/>
          </w:tcPr>
          <w:p w:rsidR="00B83F88" w:rsidRPr="001631EC" w:rsidRDefault="00B83F88" w:rsidP="00B83F88">
            <w:pPr>
              <w:rPr>
                <w:rFonts w:asciiTheme="minorHAnsi" w:hAnsiTheme="minorHAnsi"/>
              </w:rPr>
            </w:pPr>
            <w:r w:rsidRPr="001631EC">
              <w:rPr>
                <w:rFonts w:asciiTheme="minorHAnsi" w:hAnsiTheme="minorHAnsi"/>
              </w:rPr>
              <w:t>Kruszywa do niezwiązanych i związanych hydraulicznie materiałów stosowanych w obiektach budowlanych i budownictwie drogowym (W okresie przejściowym można stosować PN-B-11111:1996 Kruszywa mineralne. Kruszywa naturalne do nawierzchni drogowych. Żwir i mieszanka, PN-B-11112:1996 Kruszywa mineralne. Kruszywo łamane do nawierzchni drogowych, PN-B-11113:1996 Kruszywa mineralne. Kruszywa naturalne do nawierzchni drogowych. Piasek)</w:t>
            </w:r>
          </w:p>
        </w:tc>
      </w:tr>
      <w:tr w:rsidR="00B83F88" w:rsidRPr="001631EC" w:rsidTr="002075C4">
        <w:tc>
          <w:tcPr>
            <w:tcW w:w="496" w:type="dxa"/>
          </w:tcPr>
          <w:p w:rsidR="00B83F88" w:rsidRPr="001631EC" w:rsidRDefault="00B83F88" w:rsidP="00B83F88">
            <w:pPr>
              <w:rPr>
                <w:rFonts w:asciiTheme="minorHAnsi" w:hAnsiTheme="minorHAnsi"/>
              </w:rPr>
            </w:pPr>
            <w:r w:rsidRPr="001631EC">
              <w:rPr>
                <w:rFonts w:asciiTheme="minorHAnsi" w:hAnsiTheme="minorHAnsi"/>
              </w:rPr>
              <w:t>4.</w:t>
            </w:r>
          </w:p>
        </w:tc>
        <w:tc>
          <w:tcPr>
            <w:tcW w:w="1984" w:type="dxa"/>
          </w:tcPr>
          <w:p w:rsidR="00B83F88" w:rsidRPr="001631EC" w:rsidRDefault="00B83F88" w:rsidP="00B83F88">
            <w:pPr>
              <w:rPr>
                <w:rFonts w:asciiTheme="minorHAnsi" w:hAnsiTheme="minorHAnsi"/>
              </w:rPr>
            </w:pPr>
            <w:r w:rsidRPr="001631EC">
              <w:rPr>
                <w:rFonts w:asciiTheme="minorHAnsi" w:hAnsiTheme="minorHAnsi"/>
              </w:rPr>
              <w:t>PN-EN 1008:2004</w:t>
            </w:r>
          </w:p>
        </w:tc>
        <w:tc>
          <w:tcPr>
            <w:tcW w:w="5030" w:type="dxa"/>
          </w:tcPr>
          <w:p w:rsidR="00B83F88" w:rsidRPr="001631EC" w:rsidRDefault="00B83F88" w:rsidP="00B83F88">
            <w:pPr>
              <w:rPr>
                <w:rFonts w:asciiTheme="minorHAnsi" w:hAnsiTheme="minorHAnsi"/>
              </w:rPr>
            </w:pPr>
            <w:r w:rsidRPr="001631EC">
              <w:rPr>
                <w:rFonts w:asciiTheme="minorHAnsi" w:hAnsiTheme="minorHAnsi"/>
              </w:rPr>
              <w:t>Woda zarobowa do betonu. Specyfikacja pobierania próbek, badanie i ocena przydatności wody zarobowej do betonu, w tym wody odzyskanej z procesów produkcji betonu</w:t>
            </w:r>
          </w:p>
        </w:tc>
      </w:tr>
    </w:tbl>
    <w:p w:rsidR="00B83F88" w:rsidRPr="001631EC" w:rsidRDefault="00B83F88" w:rsidP="00B83F88">
      <w:pPr>
        <w:rPr>
          <w:rFonts w:asciiTheme="minorHAnsi" w:hAnsiTheme="minorHAnsi"/>
        </w:rPr>
      </w:pPr>
      <w:r w:rsidRPr="001631EC">
        <w:rPr>
          <w:rFonts w:asciiTheme="minorHAnsi" w:hAnsiTheme="minorHAnsi"/>
          <w:b/>
        </w:rPr>
        <w:t>10.2.</w:t>
      </w:r>
      <w:r w:rsidRPr="001631EC">
        <w:rPr>
          <w:rFonts w:asciiTheme="minorHAnsi" w:hAnsiTheme="minorHAnsi"/>
        </w:rPr>
        <w:t xml:space="preserve"> Specyfikacje techniczne (ST)</w:t>
      </w:r>
    </w:p>
    <w:tbl>
      <w:tblPr>
        <w:tblW w:w="0" w:type="auto"/>
        <w:tblInd w:w="70" w:type="dxa"/>
        <w:tblLayout w:type="fixed"/>
        <w:tblCellMar>
          <w:left w:w="70" w:type="dxa"/>
          <w:right w:w="70" w:type="dxa"/>
        </w:tblCellMar>
        <w:tblLook w:val="0000"/>
      </w:tblPr>
      <w:tblGrid>
        <w:gridCol w:w="7510"/>
      </w:tblGrid>
      <w:tr w:rsidR="00B83F88" w:rsidRPr="001631EC" w:rsidTr="00E90E02">
        <w:trPr>
          <w:trHeight w:val="1658"/>
        </w:trPr>
        <w:tc>
          <w:tcPr>
            <w:tcW w:w="7510" w:type="dxa"/>
          </w:tcPr>
          <w:p w:rsidR="00B83F88" w:rsidRPr="001631EC" w:rsidRDefault="00B83F88" w:rsidP="00B83F88">
            <w:pPr>
              <w:rPr>
                <w:rFonts w:asciiTheme="minorHAnsi" w:hAnsiTheme="minorHAnsi"/>
              </w:rPr>
            </w:pPr>
            <w:r w:rsidRPr="001631EC">
              <w:rPr>
                <w:rFonts w:asciiTheme="minorHAnsi" w:hAnsiTheme="minorHAnsi"/>
              </w:rPr>
              <w:t>5. D-M-00.00.00 Wymagania ogólne</w:t>
            </w:r>
          </w:p>
          <w:p w:rsidR="00B83F88" w:rsidRPr="001631EC" w:rsidRDefault="00B83F88" w:rsidP="00B83F88">
            <w:pPr>
              <w:rPr>
                <w:rFonts w:asciiTheme="minorHAnsi" w:hAnsiTheme="minorHAnsi"/>
              </w:rPr>
            </w:pPr>
            <w:r w:rsidRPr="001631EC">
              <w:rPr>
                <w:rFonts w:asciiTheme="minorHAnsi" w:hAnsiTheme="minorHAnsi"/>
              </w:rPr>
              <w:t>6. D-04.01.01</w:t>
            </w:r>
            <w:r w:rsidRPr="001631EC">
              <w:rPr>
                <w:rFonts w:asciiTheme="minorHAnsi" w:hAnsiTheme="minorHAnsi"/>
              </w:rPr>
              <w:sym w:font="Symbol" w:char="F0B8"/>
            </w:r>
            <w:r w:rsidRPr="001631EC">
              <w:rPr>
                <w:rFonts w:asciiTheme="minorHAnsi" w:hAnsiTheme="minorHAnsi"/>
              </w:rPr>
              <w:t>04.03.01 Dolne warstwy podbudów oraz oczyszczenie i skropienie</w:t>
            </w:r>
          </w:p>
          <w:p w:rsidR="00B83F88" w:rsidRPr="001631EC" w:rsidRDefault="00B83F88" w:rsidP="00B83F88">
            <w:pPr>
              <w:rPr>
                <w:rFonts w:asciiTheme="minorHAnsi" w:hAnsiTheme="minorHAnsi"/>
              </w:rPr>
            </w:pPr>
            <w:r w:rsidRPr="001631EC">
              <w:rPr>
                <w:rFonts w:asciiTheme="minorHAnsi" w:hAnsiTheme="minorHAnsi"/>
              </w:rPr>
              <w:t>7. D-04.04.00</w:t>
            </w:r>
            <w:r w:rsidRPr="001631EC">
              <w:rPr>
                <w:rFonts w:asciiTheme="minorHAnsi" w:hAnsiTheme="minorHAnsi"/>
              </w:rPr>
              <w:sym w:font="Symbol" w:char="F0B8"/>
            </w:r>
            <w:r w:rsidRPr="001631EC">
              <w:rPr>
                <w:rFonts w:asciiTheme="minorHAnsi" w:hAnsiTheme="minorHAnsi"/>
              </w:rPr>
              <w:t>04.04.03 Podbudowy z kruszywa stabilizowanego mechanicznie</w:t>
            </w:r>
          </w:p>
          <w:p w:rsidR="00B83F88" w:rsidRPr="001631EC" w:rsidRDefault="002075C4" w:rsidP="00B83F88">
            <w:pPr>
              <w:rPr>
                <w:rFonts w:asciiTheme="minorHAnsi" w:hAnsiTheme="minorHAnsi"/>
              </w:rPr>
            </w:pPr>
            <w:r>
              <w:rPr>
                <w:rFonts w:asciiTheme="minorHAnsi" w:hAnsiTheme="minorHAnsi"/>
              </w:rPr>
              <w:t>8</w:t>
            </w:r>
            <w:r w:rsidR="00B83F88" w:rsidRPr="001631EC">
              <w:rPr>
                <w:rFonts w:asciiTheme="minorHAnsi" w:hAnsiTheme="minorHAnsi"/>
              </w:rPr>
              <w:t>. D-08.01.01b Ustawianie krawężników betonowych</w:t>
            </w:r>
          </w:p>
          <w:p w:rsidR="00B83F88" w:rsidRPr="001631EC" w:rsidRDefault="002075C4" w:rsidP="00B83F88">
            <w:pPr>
              <w:rPr>
                <w:rFonts w:asciiTheme="minorHAnsi" w:hAnsiTheme="minorHAnsi"/>
              </w:rPr>
            </w:pPr>
            <w:r>
              <w:rPr>
                <w:rFonts w:asciiTheme="minorHAnsi" w:hAnsiTheme="minorHAnsi"/>
              </w:rPr>
              <w:t>9</w:t>
            </w:r>
            <w:r w:rsidR="00B83F88" w:rsidRPr="001631EC">
              <w:rPr>
                <w:rFonts w:asciiTheme="minorHAnsi" w:hAnsiTheme="minorHAnsi"/>
              </w:rPr>
              <w:t>. D-08.03.01 Betonowe obrzeża chodnikowe</w:t>
            </w:r>
          </w:p>
          <w:p w:rsidR="00B83F88" w:rsidRPr="001631EC" w:rsidRDefault="00B83F88" w:rsidP="002075C4">
            <w:pPr>
              <w:rPr>
                <w:rFonts w:asciiTheme="minorHAnsi" w:hAnsiTheme="minorHAnsi"/>
              </w:rPr>
            </w:pPr>
            <w:r w:rsidRPr="001631EC">
              <w:rPr>
                <w:rFonts w:asciiTheme="minorHAnsi" w:hAnsiTheme="minorHAnsi"/>
              </w:rPr>
              <w:t>1</w:t>
            </w:r>
            <w:r w:rsidR="002075C4">
              <w:rPr>
                <w:rFonts w:asciiTheme="minorHAnsi" w:hAnsiTheme="minorHAnsi"/>
              </w:rPr>
              <w:t>0</w:t>
            </w:r>
            <w:r w:rsidRPr="001631EC">
              <w:rPr>
                <w:rFonts w:asciiTheme="minorHAnsi" w:hAnsiTheme="minorHAnsi"/>
              </w:rPr>
              <w:t>. D-08.05.00 Ścieki</w:t>
            </w:r>
          </w:p>
        </w:tc>
      </w:tr>
    </w:tbl>
    <w:p w:rsidR="00B83F88" w:rsidRPr="001631EC" w:rsidRDefault="00B83F88" w:rsidP="00B83F88">
      <w:pPr>
        <w:rPr>
          <w:rFonts w:asciiTheme="minorHAnsi" w:hAnsiTheme="minorHAnsi"/>
          <w:b/>
        </w:rPr>
      </w:pPr>
      <w:bookmarkStart w:id="1508" w:name="_Toc107903646"/>
      <w:r w:rsidRPr="001631EC">
        <w:rPr>
          <w:rFonts w:asciiTheme="minorHAnsi" w:hAnsiTheme="minorHAnsi"/>
          <w:b/>
        </w:rPr>
        <w:t>11. ZAŁĄCZNIKI</w:t>
      </w:r>
      <w:bookmarkEnd w:id="1508"/>
    </w:p>
    <w:p w:rsidR="00B83F88" w:rsidRPr="001631EC" w:rsidRDefault="00B83F88" w:rsidP="00B83F88">
      <w:pPr>
        <w:rPr>
          <w:rFonts w:asciiTheme="minorHAnsi" w:hAnsiTheme="minorHAnsi"/>
        </w:rPr>
      </w:pPr>
      <w:r w:rsidRPr="001631EC">
        <w:rPr>
          <w:rFonts w:asciiTheme="minorHAnsi" w:hAnsiTheme="minorHAnsi"/>
        </w:rPr>
        <w:t>ZAŁĄCZNIK 1</w:t>
      </w:r>
    </w:p>
    <w:p w:rsidR="00B83F88" w:rsidRPr="001631EC" w:rsidRDefault="00B83F88" w:rsidP="00B83F88">
      <w:pPr>
        <w:rPr>
          <w:rFonts w:asciiTheme="minorHAnsi" w:hAnsiTheme="minorHAnsi"/>
        </w:rPr>
      </w:pPr>
      <w:r w:rsidRPr="001631EC">
        <w:rPr>
          <w:rFonts w:asciiTheme="minorHAnsi" w:hAnsiTheme="minorHAnsi"/>
        </w:rPr>
        <w:t>Przykłady kształtów betonowej kostki brukowej</w:t>
      </w:r>
    </w:p>
    <w:p w:rsidR="00B83F88" w:rsidRPr="001631EC" w:rsidRDefault="00B83F88" w:rsidP="002075C4">
      <w:pPr>
        <w:jc w:val="left"/>
        <w:rPr>
          <w:rFonts w:asciiTheme="minorHAnsi" w:hAnsiTheme="minorHAnsi"/>
        </w:rPr>
      </w:pPr>
      <w:r w:rsidRPr="001631EC">
        <w:rPr>
          <w:rFonts w:asciiTheme="minorHAnsi" w:hAnsiTheme="minorHAnsi"/>
        </w:rPr>
        <w:t>Najczęściej spotykane kształty kostek i sposoby ich układania</w:t>
      </w:r>
      <w:r w:rsidRPr="001631EC">
        <w:rPr>
          <w:rFonts w:asciiTheme="minorHAnsi" w:hAnsiTheme="minorHAnsi"/>
        </w:rPr>
        <w:br/>
        <w:t>(wg W. Brylicki: Kostka brukowa z betonu wibroprasowanego, 1998)</w:t>
      </w:r>
    </w:p>
    <w:p w:rsidR="00B83F88" w:rsidRPr="001631EC" w:rsidRDefault="00B83F88" w:rsidP="00B83F88">
      <w:pPr>
        <w:rPr>
          <w:rFonts w:asciiTheme="minorHAnsi" w:hAnsiTheme="minorHAnsi"/>
        </w:rPr>
      </w:pPr>
    </w:p>
    <w:p w:rsidR="00B83F88" w:rsidRDefault="00B83F88" w:rsidP="00B83F88">
      <w:r>
        <w:rPr>
          <w:noProof/>
        </w:rPr>
        <w:drawing>
          <wp:inline distT="0" distB="0" distL="0" distR="0">
            <wp:extent cx="4686300" cy="2333625"/>
            <wp:effectExtent l="19050" t="0" r="0" b="0"/>
            <wp:docPr id="63" name="Obraz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54" cstate="print"/>
                    <a:srcRect/>
                    <a:stretch>
                      <a:fillRect/>
                    </a:stretch>
                  </pic:blipFill>
                  <pic:spPr bwMode="auto">
                    <a:xfrm>
                      <a:off x="0" y="0"/>
                      <a:ext cx="4686300" cy="2333625"/>
                    </a:xfrm>
                    <a:prstGeom prst="rect">
                      <a:avLst/>
                    </a:prstGeom>
                    <a:noFill/>
                    <a:ln w="9525">
                      <a:noFill/>
                      <a:miter lim="800000"/>
                      <a:headEnd/>
                      <a:tailEnd/>
                    </a:ln>
                  </pic:spPr>
                </pic:pic>
              </a:graphicData>
            </a:graphic>
          </wp:inline>
        </w:drawing>
      </w:r>
    </w:p>
    <w:p w:rsidR="00B83F88" w:rsidRPr="001631EC" w:rsidRDefault="00B83F88" w:rsidP="00B83F88">
      <w:pPr>
        <w:rPr>
          <w:rFonts w:asciiTheme="minorHAnsi" w:hAnsiTheme="minorHAnsi"/>
        </w:rPr>
      </w:pPr>
    </w:p>
    <w:p w:rsidR="00B83F88" w:rsidRPr="001631EC" w:rsidRDefault="00B83F88" w:rsidP="00B83F88">
      <w:pPr>
        <w:rPr>
          <w:rFonts w:asciiTheme="minorHAnsi" w:hAnsiTheme="minorHAnsi"/>
        </w:rPr>
      </w:pPr>
    </w:p>
    <w:p w:rsidR="00B83F88" w:rsidRPr="001631EC" w:rsidRDefault="00B83F88" w:rsidP="00B83F88">
      <w:pPr>
        <w:rPr>
          <w:rFonts w:asciiTheme="minorHAnsi" w:hAnsiTheme="minorHAnsi"/>
        </w:rPr>
      </w:pPr>
      <w:r w:rsidRPr="001631EC">
        <w:rPr>
          <w:rFonts w:asciiTheme="minorHAnsi" w:hAnsiTheme="minorHAnsi"/>
        </w:rPr>
        <w:lastRenderedPageBreak/>
        <w:t>Podstawowe kształty kostek (wg W. Grzybowska, P. Zieliński: Nawierzchnie kostek betonowych w świetle doświadczeń zagranicznych, Drogownictwo 5/1999)</w:t>
      </w:r>
    </w:p>
    <w:p w:rsidR="00B83F88" w:rsidRDefault="00B83F88" w:rsidP="00B83F88">
      <w:pPr>
        <w:rPr>
          <w:rFonts w:asciiTheme="minorHAnsi" w:hAnsiTheme="minorHAnsi"/>
        </w:rPr>
      </w:pPr>
      <w:r w:rsidRPr="001631EC">
        <w:rPr>
          <w:rFonts w:asciiTheme="minorHAnsi" w:hAnsiTheme="minorHAnsi"/>
        </w:rPr>
        <w:tab/>
        <w:t xml:space="preserve">Oznaczenia:  </w:t>
      </w:r>
    </w:p>
    <w:p w:rsidR="00B83F88" w:rsidRPr="001631EC" w:rsidRDefault="00B83F88" w:rsidP="00B83F88">
      <w:pPr>
        <w:rPr>
          <w:rFonts w:asciiTheme="minorHAnsi" w:hAnsiTheme="minorHAnsi"/>
        </w:rPr>
      </w:pPr>
      <w:r w:rsidRPr="001631EC">
        <w:rPr>
          <w:rFonts w:asciiTheme="minorHAnsi" w:hAnsiTheme="minorHAnsi"/>
        </w:rPr>
        <w:t>(1) - typ kostki charakterystyczny dla wiązań w jodełkę,</w:t>
      </w:r>
    </w:p>
    <w:p w:rsidR="00B83F88" w:rsidRPr="001631EC" w:rsidRDefault="00B83F88" w:rsidP="00B83F88">
      <w:pPr>
        <w:rPr>
          <w:rFonts w:asciiTheme="minorHAnsi" w:hAnsiTheme="minorHAnsi"/>
        </w:rPr>
      </w:pPr>
      <w:r>
        <w:rPr>
          <w:rFonts w:asciiTheme="minorHAnsi" w:hAnsiTheme="minorHAnsi"/>
        </w:rPr>
        <w:t>(2)</w:t>
      </w:r>
      <w:r w:rsidRPr="001631EC">
        <w:rPr>
          <w:rFonts w:asciiTheme="minorHAnsi" w:hAnsiTheme="minorHAnsi"/>
        </w:rPr>
        <w:t>- typ kostki odpowiedni tylko dla wiązań w rzędy proste.</w:t>
      </w:r>
    </w:p>
    <w:p w:rsidR="00B83F88" w:rsidRPr="001631EC" w:rsidRDefault="00B83F88" w:rsidP="00B83F88">
      <w:pPr>
        <w:rPr>
          <w:rFonts w:asciiTheme="minorHAnsi" w:hAnsiTheme="minorHAnsi"/>
        </w:rPr>
      </w:pPr>
      <w:r w:rsidRPr="001631EC">
        <w:rPr>
          <w:rFonts w:asciiTheme="minorHAnsi" w:hAnsiTheme="minorHAnsi"/>
        </w:rPr>
        <w:t>Kształtki zacienione - typ kostki zapewniający dobry rozkład obciążenia.</w:t>
      </w:r>
    </w:p>
    <w:p w:rsidR="00B83F88" w:rsidRPr="001631EC" w:rsidRDefault="00B83F88" w:rsidP="00B83F88">
      <w:pPr>
        <w:rPr>
          <w:rFonts w:asciiTheme="minorHAnsi" w:hAnsiTheme="minorHAnsi"/>
        </w:rPr>
      </w:pPr>
    </w:p>
    <w:tbl>
      <w:tblPr>
        <w:tblW w:w="0" w:type="auto"/>
        <w:tblLayout w:type="fixed"/>
        <w:tblCellMar>
          <w:left w:w="70" w:type="dxa"/>
          <w:right w:w="70" w:type="dxa"/>
        </w:tblCellMar>
        <w:tblLook w:val="0000"/>
      </w:tblPr>
      <w:tblGrid>
        <w:gridCol w:w="1630"/>
        <w:gridCol w:w="5880"/>
      </w:tblGrid>
      <w:tr w:rsidR="00B83F88" w:rsidRPr="001631EC" w:rsidTr="00FD47C7">
        <w:tc>
          <w:tcPr>
            <w:tcW w:w="1630" w:type="dxa"/>
          </w:tcPr>
          <w:p w:rsidR="00B83F88" w:rsidRPr="001631EC" w:rsidRDefault="00B83F88" w:rsidP="00B83F88">
            <w:pPr>
              <w:rPr>
                <w:rFonts w:asciiTheme="minorHAnsi" w:hAnsiTheme="minorHAnsi"/>
              </w:rPr>
            </w:pPr>
          </w:p>
          <w:p w:rsidR="00B83F88" w:rsidRPr="001631EC" w:rsidRDefault="00B83F88" w:rsidP="00B83F88">
            <w:pPr>
              <w:rPr>
                <w:rFonts w:asciiTheme="minorHAnsi" w:hAnsiTheme="minorHAnsi"/>
              </w:rPr>
            </w:pPr>
          </w:p>
          <w:p w:rsidR="00B83F88" w:rsidRPr="001631EC" w:rsidRDefault="00B83F88" w:rsidP="00B83F88">
            <w:pPr>
              <w:rPr>
                <w:rFonts w:asciiTheme="minorHAnsi" w:hAnsiTheme="minorHAnsi"/>
              </w:rPr>
            </w:pPr>
            <w:r w:rsidRPr="001631EC">
              <w:rPr>
                <w:rFonts w:asciiTheme="minorHAnsi" w:hAnsiTheme="minorHAnsi"/>
              </w:rPr>
              <w:t>Kategoria A</w:t>
            </w:r>
          </w:p>
          <w:p w:rsidR="00B83F88" w:rsidRPr="001631EC" w:rsidRDefault="00B83F88" w:rsidP="00B83F88">
            <w:pPr>
              <w:rPr>
                <w:rFonts w:asciiTheme="minorHAnsi" w:hAnsiTheme="minorHAnsi"/>
              </w:rPr>
            </w:pPr>
          </w:p>
          <w:p w:rsidR="00B83F88" w:rsidRPr="001631EC" w:rsidRDefault="00B83F88" w:rsidP="00B83F88">
            <w:pPr>
              <w:rPr>
                <w:rFonts w:asciiTheme="minorHAnsi" w:hAnsiTheme="minorHAnsi"/>
              </w:rPr>
            </w:pPr>
          </w:p>
          <w:p w:rsidR="00B83F88" w:rsidRPr="001631EC" w:rsidRDefault="00B83F88" w:rsidP="00B83F88">
            <w:pPr>
              <w:rPr>
                <w:rFonts w:asciiTheme="minorHAnsi" w:hAnsiTheme="minorHAnsi"/>
              </w:rPr>
            </w:pPr>
          </w:p>
          <w:p w:rsidR="00B83F88" w:rsidRPr="001631EC" w:rsidRDefault="00B83F88" w:rsidP="00B83F88">
            <w:pPr>
              <w:rPr>
                <w:rFonts w:asciiTheme="minorHAnsi" w:hAnsiTheme="minorHAnsi"/>
              </w:rPr>
            </w:pPr>
            <w:r w:rsidRPr="001631EC">
              <w:rPr>
                <w:rFonts w:asciiTheme="minorHAnsi" w:hAnsiTheme="minorHAnsi"/>
              </w:rPr>
              <w:t>Kategoria B</w:t>
            </w:r>
          </w:p>
          <w:p w:rsidR="00B83F88" w:rsidRPr="001631EC" w:rsidRDefault="00B83F88" w:rsidP="00B83F88">
            <w:pPr>
              <w:rPr>
                <w:rFonts w:asciiTheme="minorHAnsi" w:hAnsiTheme="minorHAnsi"/>
              </w:rPr>
            </w:pPr>
          </w:p>
          <w:p w:rsidR="00B83F88" w:rsidRPr="001631EC" w:rsidRDefault="00B83F88" w:rsidP="00B83F88">
            <w:pPr>
              <w:rPr>
                <w:rFonts w:asciiTheme="minorHAnsi" w:hAnsiTheme="minorHAnsi"/>
              </w:rPr>
            </w:pPr>
          </w:p>
          <w:p w:rsidR="00B83F88" w:rsidRPr="001631EC" w:rsidRDefault="00B83F88" w:rsidP="00B83F88">
            <w:pPr>
              <w:rPr>
                <w:rFonts w:asciiTheme="minorHAnsi" w:hAnsiTheme="minorHAnsi"/>
              </w:rPr>
            </w:pPr>
          </w:p>
          <w:p w:rsidR="00B83F88" w:rsidRPr="001631EC" w:rsidRDefault="00B83F88" w:rsidP="00B83F88">
            <w:pPr>
              <w:rPr>
                <w:rFonts w:asciiTheme="minorHAnsi" w:hAnsiTheme="minorHAnsi"/>
              </w:rPr>
            </w:pPr>
            <w:r w:rsidRPr="001631EC">
              <w:rPr>
                <w:rFonts w:asciiTheme="minorHAnsi" w:hAnsiTheme="minorHAnsi"/>
              </w:rPr>
              <w:t>Kategoria C</w:t>
            </w:r>
          </w:p>
        </w:tc>
        <w:tc>
          <w:tcPr>
            <w:tcW w:w="5880" w:type="dxa"/>
          </w:tcPr>
          <w:p w:rsidR="00B83F88" w:rsidRPr="001631EC" w:rsidRDefault="00B83F88" w:rsidP="00B83F88">
            <w:pPr>
              <w:rPr>
                <w:rFonts w:asciiTheme="minorHAnsi" w:hAnsiTheme="minorHAnsi"/>
              </w:rPr>
            </w:pPr>
            <w:r w:rsidRPr="001631EC">
              <w:rPr>
                <w:rFonts w:asciiTheme="minorHAnsi" w:hAnsiTheme="minorHAnsi"/>
                <w:noProof/>
              </w:rPr>
              <w:drawing>
                <wp:inline distT="0" distB="0" distL="0" distR="0">
                  <wp:extent cx="3638550" cy="2009775"/>
                  <wp:effectExtent l="19050" t="0" r="0" b="0"/>
                  <wp:docPr id="64" name="Obraz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55" cstate="print"/>
                          <a:srcRect/>
                          <a:stretch>
                            <a:fillRect/>
                          </a:stretch>
                        </pic:blipFill>
                        <pic:spPr bwMode="auto">
                          <a:xfrm>
                            <a:off x="0" y="0"/>
                            <a:ext cx="3638550" cy="2009775"/>
                          </a:xfrm>
                          <a:prstGeom prst="rect">
                            <a:avLst/>
                          </a:prstGeom>
                          <a:noFill/>
                          <a:ln w="9525">
                            <a:noFill/>
                            <a:miter lim="800000"/>
                            <a:headEnd/>
                            <a:tailEnd/>
                          </a:ln>
                        </pic:spPr>
                      </pic:pic>
                    </a:graphicData>
                  </a:graphic>
                </wp:inline>
              </w:drawing>
            </w:r>
          </w:p>
        </w:tc>
      </w:tr>
    </w:tbl>
    <w:p w:rsidR="00B83F88" w:rsidRPr="00142204" w:rsidRDefault="00B83F88" w:rsidP="00B83F88"/>
    <w:tbl>
      <w:tblPr>
        <w:tblW w:w="0" w:type="auto"/>
        <w:tblLayout w:type="fixed"/>
        <w:tblCellMar>
          <w:left w:w="70" w:type="dxa"/>
          <w:right w:w="70" w:type="dxa"/>
        </w:tblCellMar>
        <w:tblLook w:val="0000"/>
      </w:tblPr>
      <w:tblGrid>
        <w:gridCol w:w="1488"/>
        <w:gridCol w:w="6022"/>
      </w:tblGrid>
      <w:tr w:rsidR="00B83F88" w:rsidRPr="001631EC" w:rsidTr="00FD47C7">
        <w:tc>
          <w:tcPr>
            <w:tcW w:w="1488" w:type="dxa"/>
          </w:tcPr>
          <w:p w:rsidR="00B83F88" w:rsidRPr="001631EC" w:rsidRDefault="00B83F88" w:rsidP="00B83F88">
            <w:pPr>
              <w:rPr>
                <w:rFonts w:asciiTheme="minorHAnsi" w:hAnsiTheme="minorHAnsi"/>
              </w:rPr>
            </w:pPr>
            <w:r w:rsidRPr="001631EC">
              <w:rPr>
                <w:rFonts w:asciiTheme="minorHAnsi" w:hAnsiTheme="minorHAnsi"/>
              </w:rPr>
              <w:t>Kategoria  A:</w:t>
            </w:r>
          </w:p>
        </w:tc>
        <w:tc>
          <w:tcPr>
            <w:tcW w:w="6022" w:type="dxa"/>
          </w:tcPr>
          <w:p w:rsidR="00B83F88" w:rsidRPr="001631EC" w:rsidRDefault="00B83F88" w:rsidP="00B83F88">
            <w:pPr>
              <w:rPr>
                <w:rFonts w:asciiTheme="minorHAnsi" w:hAnsiTheme="minorHAnsi"/>
              </w:rPr>
            </w:pPr>
            <w:r w:rsidRPr="001631EC">
              <w:rPr>
                <w:rFonts w:asciiTheme="minorHAnsi" w:hAnsiTheme="minorHAnsi"/>
              </w:rPr>
              <w:t>kostki zazębiające się wzajemnie na wszystkich czterech bocznych ściankach - spoiny nie rozszerzają się pod ruchem</w:t>
            </w:r>
          </w:p>
        </w:tc>
      </w:tr>
      <w:tr w:rsidR="00B83F88" w:rsidRPr="001631EC" w:rsidTr="00FD47C7">
        <w:tc>
          <w:tcPr>
            <w:tcW w:w="1488" w:type="dxa"/>
          </w:tcPr>
          <w:p w:rsidR="00B83F88" w:rsidRPr="001631EC" w:rsidRDefault="00B83F88" w:rsidP="00B83F88">
            <w:pPr>
              <w:rPr>
                <w:rFonts w:asciiTheme="minorHAnsi" w:hAnsiTheme="minorHAnsi"/>
              </w:rPr>
            </w:pPr>
            <w:r w:rsidRPr="001631EC">
              <w:rPr>
                <w:rFonts w:asciiTheme="minorHAnsi" w:hAnsiTheme="minorHAnsi"/>
              </w:rPr>
              <w:t>Kategoria  B:</w:t>
            </w:r>
          </w:p>
        </w:tc>
        <w:tc>
          <w:tcPr>
            <w:tcW w:w="6022" w:type="dxa"/>
          </w:tcPr>
          <w:p w:rsidR="00B83F88" w:rsidRPr="001631EC" w:rsidRDefault="00B83F88" w:rsidP="00B83F88">
            <w:pPr>
              <w:rPr>
                <w:rFonts w:asciiTheme="minorHAnsi" w:hAnsiTheme="minorHAnsi"/>
              </w:rPr>
            </w:pPr>
            <w:r w:rsidRPr="001631EC">
              <w:rPr>
                <w:rFonts w:asciiTheme="minorHAnsi" w:hAnsiTheme="minorHAnsi"/>
              </w:rPr>
              <w:t>kostki zazębiające się wzajemnie na dwóch bocznych ściankach                  - utrudnione rozszerzanie spoin równolegle do osi podłużnej elementów</w:t>
            </w:r>
          </w:p>
        </w:tc>
      </w:tr>
      <w:tr w:rsidR="00B83F88" w:rsidRPr="001631EC" w:rsidTr="00FD47C7">
        <w:tc>
          <w:tcPr>
            <w:tcW w:w="1488" w:type="dxa"/>
          </w:tcPr>
          <w:p w:rsidR="00B83F88" w:rsidRPr="001631EC" w:rsidRDefault="00B83F88" w:rsidP="00B83F88">
            <w:pPr>
              <w:rPr>
                <w:rFonts w:asciiTheme="minorHAnsi" w:hAnsiTheme="minorHAnsi"/>
              </w:rPr>
            </w:pPr>
            <w:r w:rsidRPr="001631EC">
              <w:rPr>
                <w:rFonts w:asciiTheme="minorHAnsi" w:hAnsiTheme="minorHAnsi"/>
              </w:rPr>
              <w:t>Kategoria  C:</w:t>
            </w:r>
          </w:p>
        </w:tc>
        <w:tc>
          <w:tcPr>
            <w:tcW w:w="6022" w:type="dxa"/>
          </w:tcPr>
          <w:p w:rsidR="00B83F88" w:rsidRPr="001631EC" w:rsidRDefault="00B83F88" w:rsidP="00B83F88">
            <w:pPr>
              <w:rPr>
                <w:rFonts w:asciiTheme="minorHAnsi" w:hAnsiTheme="minorHAnsi"/>
              </w:rPr>
            </w:pPr>
            <w:r w:rsidRPr="001631EC">
              <w:rPr>
                <w:rFonts w:asciiTheme="minorHAnsi" w:hAnsiTheme="minorHAnsi"/>
              </w:rPr>
              <w:t>kostki nie zazębiają się wzajemnie - wymagana jest duża dokładność układania kostek o jednakowych wymiarach</w:t>
            </w:r>
          </w:p>
        </w:tc>
      </w:tr>
    </w:tbl>
    <w:p w:rsidR="00B83F88" w:rsidRPr="001631EC" w:rsidRDefault="00B83F88" w:rsidP="00B83F88">
      <w:pPr>
        <w:rPr>
          <w:rFonts w:asciiTheme="minorHAnsi" w:hAnsiTheme="minorHAnsi"/>
        </w:rPr>
      </w:pPr>
    </w:p>
    <w:p w:rsidR="00B83F88" w:rsidRPr="001631EC" w:rsidRDefault="00B83F88" w:rsidP="00B83F88">
      <w:pPr>
        <w:rPr>
          <w:rFonts w:asciiTheme="minorHAnsi" w:hAnsiTheme="minorHAnsi"/>
        </w:rPr>
      </w:pPr>
      <w:r w:rsidRPr="001631EC">
        <w:rPr>
          <w:rFonts w:asciiTheme="minorHAnsi" w:hAnsiTheme="minorHAnsi"/>
        </w:rPr>
        <w:t>ZAŁĄCZNIK 2</w:t>
      </w:r>
    </w:p>
    <w:p w:rsidR="00B83F88" w:rsidRPr="001631EC" w:rsidRDefault="00B83F88" w:rsidP="00B83F88">
      <w:pPr>
        <w:rPr>
          <w:rFonts w:asciiTheme="minorHAnsi" w:hAnsiTheme="minorHAnsi"/>
        </w:rPr>
      </w:pPr>
      <w:r w:rsidRPr="001631EC">
        <w:rPr>
          <w:rFonts w:asciiTheme="minorHAnsi" w:hAnsiTheme="minorHAnsi"/>
        </w:rPr>
        <w:t>Zalecane grubości betonowej kostki brukowej</w:t>
      </w:r>
    </w:p>
    <w:p w:rsidR="00B83F88" w:rsidRPr="001631EC" w:rsidRDefault="00B83F88" w:rsidP="00B83F88">
      <w:pPr>
        <w:rPr>
          <w:rFonts w:asciiTheme="minorHAnsi" w:hAnsiTheme="minorHAnsi"/>
        </w:rPr>
      </w:pPr>
      <w:r w:rsidRPr="001631EC">
        <w:rPr>
          <w:rFonts w:asciiTheme="minorHAnsi" w:hAnsiTheme="minorHAnsi"/>
        </w:rPr>
        <w:t>(wg: A. Becher, Z. Gustowski – Jak wykonać trwałą nawierzchnię z kostki brukowej, „Materiały Budowlane” nr 5/2005)</w:t>
      </w:r>
    </w:p>
    <w:p w:rsidR="00B83F88" w:rsidRPr="001631EC" w:rsidRDefault="00B83F88" w:rsidP="00B83F88">
      <w:pPr>
        <w:rPr>
          <w:rFonts w:asciiTheme="minorHAnsi" w:hAnsiTheme="minorHAnsi"/>
        </w:rPr>
      </w:pPr>
      <w:r w:rsidRPr="001631EC">
        <w:rPr>
          <w:rFonts w:asciiTheme="minorHAnsi" w:hAnsiTheme="minorHAnsi"/>
        </w:rPr>
        <w:tab/>
        <w:t>W zależności od rodzaju zastosowania kostek w nawierzchni, można przyjmować następującą minimalną jej grubość:</w:t>
      </w:r>
    </w:p>
    <w:tbl>
      <w:tblPr>
        <w:tblW w:w="7599" w:type="dxa"/>
        <w:tblLook w:val="01E0"/>
      </w:tblPr>
      <w:tblGrid>
        <w:gridCol w:w="1668"/>
        <w:gridCol w:w="5931"/>
      </w:tblGrid>
      <w:tr w:rsidR="00B83F88" w:rsidRPr="001631EC" w:rsidTr="00FD47C7">
        <w:tc>
          <w:tcPr>
            <w:tcW w:w="1668" w:type="dxa"/>
          </w:tcPr>
          <w:p w:rsidR="00B83F88" w:rsidRPr="001631EC" w:rsidRDefault="00B83F88" w:rsidP="00B83F88">
            <w:pPr>
              <w:rPr>
                <w:rFonts w:asciiTheme="minorHAnsi" w:hAnsiTheme="minorHAnsi"/>
              </w:rPr>
            </w:pPr>
            <w:r w:rsidRPr="001631EC">
              <w:rPr>
                <w:rFonts w:asciiTheme="minorHAnsi" w:hAnsiTheme="minorHAnsi"/>
              </w:rPr>
              <w:t xml:space="preserve">a) </w:t>
            </w:r>
            <w:smartTag w:uri="urn:schemas-microsoft-com:office:smarttags" w:element="metricconverter">
              <w:smartTagPr>
                <w:attr w:name="ProductID" w:val="4 cm"/>
              </w:smartTagPr>
              <w:r w:rsidRPr="001631EC">
                <w:rPr>
                  <w:rFonts w:asciiTheme="minorHAnsi" w:hAnsiTheme="minorHAnsi"/>
                </w:rPr>
                <w:t>4 cm</w:t>
              </w:r>
            </w:smartTag>
          </w:p>
        </w:tc>
        <w:tc>
          <w:tcPr>
            <w:tcW w:w="5931" w:type="dxa"/>
          </w:tcPr>
          <w:p w:rsidR="00B83F88" w:rsidRPr="001631EC" w:rsidRDefault="00B83F88" w:rsidP="00B83F88">
            <w:pPr>
              <w:rPr>
                <w:rFonts w:asciiTheme="minorHAnsi" w:hAnsiTheme="minorHAnsi"/>
              </w:rPr>
            </w:pPr>
            <w:r w:rsidRPr="001631EC">
              <w:rPr>
                <w:rFonts w:asciiTheme="minorHAnsi" w:hAnsiTheme="minorHAnsi"/>
              </w:rPr>
              <w:t>w przypadku ruchu pieszego (np. na przydomowych chodnikach, tarasach),</w:t>
            </w:r>
          </w:p>
        </w:tc>
      </w:tr>
      <w:tr w:rsidR="00B83F88" w:rsidRPr="001631EC" w:rsidTr="00FD47C7">
        <w:tc>
          <w:tcPr>
            <w:tcW w:w="1668" w:type="dxa"/>
          </w:tcPr>
          <w:p w:rsidR="00B83F88" w:rsidRPr="001631EC" w:rsidRDefault="00B83F88" w:rsidP="00B83F88">
            <w:pPr>
              <w:rPr>
                <w:rFonts w:asciiTheme="minorHAnsi" w:hAnsiTheme="minorHAnsi"/>
              </w:rPr>
            </w:pPr>
            <w:r w:rsidRPr="001631EC">
              <w:rPr>
                <w:rFonts w:asciiTheme="minorHAnsi" w:hAnsiTheme="minorHAnsi"/>
              </w:rPr>
              <w:t xml:space="preserve">b) 6 lub  </w:t>
            </w:r>
            <w:smartTag w:uri="urn:schemas-microsoft-com:office:smarttags" w:element="metricconverter">
              <w:smartTagPr>
                <w:attr w:name="ProductID" w:val="7 cm"/>
              </w:smartTagPr>
              <w:r w:rsidRPr="001631EC">
                <w:rPr>
                  <w:rFonts w:asciiTheme="minorHAnsi" w:hAnsiTheme="minorHAnsi"/>
                </w:rPr>
                <w:t>7 cm</w:t>
              </w:r>
            </w:smartTag>
          </w:p>
        </w:tc>
        <w:tc>
          <w:tcPr>
            <w:tcW w:w="5931" w:type="dxa"/>
          </w:tcPr>
          <w:p w:rsidR="00B83F88" w:rsidRPr="001631EC" w:rsidRDefault="00B83F88" w:rsidP="00B83F88">
            <w:pPr>
              <w:rPr>
                <w:rFonts w:asciiTheme="minorHAnsi" w:hAnsiTheme="minorHAnsi"/>
              </w:rPr>
            </w:pPr>
            <w:r w:rsidRPr="001631EC">
              <w:rPr>
                <w:rFonts w:asciiTheme="minorHAnsi" w:hAnsiTheme="minorHAnsi"/>
              </w:rPr>
              <w:t>w przypadku ruchu pieszego i pojazdów niemechanicznych oraz mało intensywnego ruchu samochodów o masie do 3,5 t,</w:t>
            </w:r>
          </w:p>
        </w:tc>
      </w:tr>
      <w:tr w:rsidR="00B83F88" w:rsidRPr="001631EC" w:rsidTr="00FD47C7">
        <w:tc>
          <w:tcPr>
            <w:tcW w:w="1668" w:type="dxa"/>
          </w:tcPr>
          <w:p w:rsidR="00B83F88" w:rsidRPr="001631EC" w:rsidRDefault="00B83F88" w:rsidP="00B83F88">
            <w:pPr>
              <w:rPr>
                <w:rFonts w:asciiTheme="minorHAnsi" w:hAnsiTheme="minorHAnsi"/>
              </w:rPr>
            </w:pPr>
            <w:r w:rsidRPr="001631EC">
              <w:rPr>
                <w:rFonts w:asciiTheme="minorHAnsi" w:hAnsiTheme="minorHAnsi"/>
              </w:rPr>
              <w:t xml:space="preserve">c) </w:t>
            </w:r>
            <w:smartTag w:uri="urn:schemas-microsoft-com:office:smarttags" w:element="metricconverter">
              <w:smartTagPr>
                <w:attr w:name="ProductID" w:val="8 cm"/>
              </w:smartTagPr>
              <w:r w:rsidRPr="001631EC">
                <w:rPr>
                  <w:rFonts w:asciiTheme="minorHAnsi" w:hAnsiTheme="minorHAnsi"/>
                </w:rPr>
                <w:t>8 cm</w:t>
              </w:r>
            </w:smartTag>
          </w:p>
        </w:tc>
        <w:tc>
          <w:tcPr>
            <w:tcW w:w="5931" w:type="dxa"/>
          </w:tcPr>
          <w:p w:rsidR="00B83F88" w:rsidRPr="001631EC" w:rsidRDefault="00B83F88" w:rsidP="00B83F88">
            <w:pPr>
              <w:rPr>
                <w:rFonts w:asciiTheme="minorHAnsi" w:hAnsiTheme="minorHAnsi"/>
              </w:rPr>
            </w:pPr>
            <w:r w:rsidRPr="001631EC">
              <w:rPr>
                <w:rFonts w:asciiTheme="minorHAnsi" w:hAnsiTheme="minorHAnsi"/>
              </w:rPr>
              <w:t>w przypadku intensywnego ruchu samochodów osobowych, ciężarowych i innych ciężkich pojazdów,</w:t>
            </w:r>
          </w:p>
        </w:tc>
      </w:tr>
      <w:tr w:rsidR="00B83F88" w:rsidRPr="001631EC" w:rsidTr="00FD47C7">
        <w:tc>
          <w:tcPr>
            <w:tcW w:w="1668" w:type="dxa"/>
          </w:tcPr>
          <w:p w:rsidR="00B83F88" w:rsidRPr="001631EC" w:rsidRDefault="00B83F88" w:rsidP="00B83F88">
            <w:pPr>
              <w:rPr>
                <w:rFonts w:asciiTheme="minorHAnsi" w:hAnsiTheme="minorHAnsi"/>
              </w:rPr>
            </w:pPr>
            <w:r w:rsidRPr="001631EC">
              <w:rPr>
                <w:rFonts w:asciiTheme="minorHAnsi" w:hAnsiTheme="minorHAnsi"/>
              </w:rPr>
              <w:t xml:space="preserve">d) </w:t>
            </w:r>
            <w:smartTag w:uri="urn:schemas-microsoft-com:office:smarttags" w:element="metricconverter">
              <w:smartTagPr>
                <w:attr w:name="ProductID" w:val="10 cm"/>
              </w:smartTagPr>
              <w:r w:rsidRPr="001631EC">
                <w:rPr>
                  <w:rFonts w:asciiTheme="minorHAnsi" w:hAnsiTheme="minorHAnsi"/>
                </w:rPr>
                <w:t>10 cm</w:t>
              </w:r>
            </w:smartTag>
          </w:p>
        </w:tc>
        <w:tc>
          <w:tcPr>
            <w:tcW w:w="5931" w:type="dxa"/>
          </w:tcPr>
          <w:p w:rsidR="00B83F88" w:rsidRPr="001631EC" w:rsidRDefault="00B83F88" w:rsidP="00B83F88">
            <w:pPr>
              <w:rPr>
                <w:rFonts w:asciiTheme="minorHAnsi" w:hAnsiTheme="minorHAnsi"/>
              </w:rPr>
            </w:pPr>
            <w:r w:rsidRPr="001631EC">
              <w:rPr>
                <w:rFonts w:asciiTheme="minorHAnsi" w:hAnsiTheme="minorHAnsi"/>
              </w:rPr>
              <w:t>w przypadku najbardziej intensywnego obciążenia, np. na placach przemysłowych, przy ciągłym ruchu ciężkich pojazdów.</w:t>
            </w:r>
          </w:p>
        </w:tc>
      </w:tr>
    </w:tbl>
    <w:p w:rsidR="00B83F88" w:rsidRPr="001631EC" w:rsidRDefault="00B83F88" w:rsidP="00B83F88">
      <w:pPr>
        <w:rPr>
          <w:rFonts w:asciiTheme="minorHAnsi" w:hAnsiTheme="minorHAnsi"/>
        </w:rPr>
      </w:pPr>
    </w:p>
    <w:p w:rsidR="00B83F88" w:rsidRPr="001631EC" w:rsidRDefault="00B83F88" w:rsidP="00B83F88">
      <w:pPr>
        <w:rPr>
          <w:rFonts w:asciiTheme="minorHAnsi" w:hAnsiTheme="minorHAnsi"/>
        </w:rPr>
      </w:pPr>
      <w:r w:rsidRPr="001631EC">
        <w:rPr>
          <w:rFonts w:asciiTheme="minorHAnsi" w:hAnsiTheme="minorHAnsi"/>
        </w:rPr>
        <w:t>ZAŁĄCZNIK 3</w:t>
      </w:r>
    </w:p>
    <w:p w:rsidR="00B83F88" w:rsidRPr="001631EC" w:rsidRDefault="00B83F88" w:rsidP="00B83F88">
      <w:pPr>
        <w:rPr>
          <w:rFonts w:asciiTheme="minorHAnsi" w:hAnsiTheme="minorHAnsi"/>
        </w:rPr>
      </w:pPr>
      <w:r w:rsidRPr="001631EC">
        <w:rPr>
          <w:rFonts w:asciiTheme="minorHAnsi" w:hAnsiTheme="minorHAnsi"/>
        </w:rPr>
        <w:t>Przykładowe konstrukcje nawierzchni z betonowej kostki brukowej na ulicach</w:t>
      </w:r>
    </w:p>
    <w:p w:rsidR="00B83F88" w:rsidRPr="001631EC" w:rsidRDefault="00B83F88" w:rsidP="00B83F88">
      <w:pPr>
        <w:rPr>
          <w:rFonts w:asciiTheme="minorHAnsi" w:hAnsiTheme="minorHAnsi"/>
        </w:rPr>
      </w:pPr>
      <w:r w:rsidRPr="001631EC">
        <w:rPr>
          <w:rFonts w:asciiTheme="minorHAnsi" w:hAnsiTheme="minorHAnsi"/>
        </w:rPr>
        <w:t>(wg W. Brylicki: Zadanie dla specjalistów, „Budownictwo-Technologie-Architektura”,</w:t>
      </w:r>
      <w:r w:rsidRPr="001631EC">
        <w:rPr>
          <w:rFonts w:asciiTheme="minorHAnsi" w:hAnsiTheme="minorHAnsi"/>
        </w:rPr>
        <w:br/>
        <w:t>nr specjalny, 2005 r.)</w:t>
      </w:r>
    </w:p>
    <w:p w:rsidR="00B83F88" w:rsidRPr="001631EC" w:rsidRDefault="00B83F88" w:rsidP="00B83F88">
      <w:pPr>
        <w:rPr>
          <w:rFonts w:asciiTheme="minorHAnsi" w:hAnsiTheme="minorHAnsi"/>
          <w:color w:val="FF0000"/>
        </w:rPr>
      </w:pPr>
    </w:p>
    <w:p w:rsidR="00B83F88" w:rsidRDefault="00B83F88" w:rsidP="00B83F88">
      <w:pPr>
        <w:rPr>
          <w:rFonts w:asciiTheme="minorHAnsi" w:hAnsiTheme="minorHAnsi"/>
        </w:rPr>
      </w:pPr>
      <w:r w:rsidRPr="001631EC">
        <w:rPr>
          <w:rFonts w:asciiTheme="minorHAnsi" w:hAnsiTheme="minorHAnsi"/>
        </w:rPr>
        <w:t>1. Kategorie ruchu do ustalenia konstrukcji nawierzchni</w:t>
      </w:r>
    </w:p>
    <w:p w:rsidR="00B83F88" w:rsidRPr="001631EC" w:rsidRDefault="00B83F88" w:rsidP="00B83F88">
      <w:pPr>
        <w:rPr>
          <w:rFonts w:asciiTheme="minorHAnsi" w:hAnsiTheme="minorHAnsi"/>
        </w:rPr>
      </w:pPr>
    </w:p>
    <w:tbl>
      <w:tblPr>
        <w:tblW w:w="0" w:type="auto"/>
        <w:tblInd w:w="95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tblPr>
      <w:tblGrid>
        <w:gridCol w:w="543"/>
        <w:gridCol w:w="4473"/>
        <w:gridCol w:w="2441"/>
      </w:tblGrid>
      <w:tr w:rsidR="00B83F88" w:rsidRPr="001631EC" w:rsidTr="002075C4">
        <w:tc>
          <w:tcPr>
            <w:tcW w:w="543" w:type="dxa"/>
            <w:tcBorders>
              <w:bottom w:val="single" w:sz="4" w:space="0" w:color="auto"/>
            </w:tcBorders>
          </w:tcPr>
          <w:p w:rsidR="00B83F88" w:rsidRPr="001631EC" w:rsidRDefault="00B83F88" w:rsidP="00B83F88">
            <w:pPr>
              <w:jc w:val="center"/>
              <w:rPr>
                <w:rFonts w:asciiTheme="minorHAnsi" w:hAnsiTheme="minorHAnsi"/>
                <w:b/>
                <w:sz w:val="18"/>
                <w:szCs w:val="18"/>
              </w:rPr>
            </w:pPr>
            <w:r w:rsidRPr="001631EC">
              <w:rPr>
                <w:rFonts w:asciiTheme="minorHAnsi" w:hAnsiTheme="minorHAnsi"/>
                <w:b/>
                <w:sz w:val="18"/>
                <w:szCs w:val="18"/>
              </w:rPr>
              <w:t>Lp.</w:t>
            </w:r>
          </w:p>
        </w:tc>
        <w:tc>
          <w:tcPr>
            <w:tcW w:w="4473" w:type="dxa"/>
            <w:tcBorders>
              <w:bottom w:val="single" w:sz="4" w:space="0" w:color="auto"/>
            </w:tcBorders>
          </w:tcPr>
          <w:p w:rsidR="00B83F88" w:rsidRPr="001631EC" w:rsidRDefault="00B83F88" w:rsidP="00B83F88">
            <w:pPr>
              <w:jc w:val="center"/>
              <w:rPr>
                <w:rFonts w:asciiTheme="minorHAnsi" w:hAnsiTheme="minorHAnsi"/>
                <w:b/>
                <w:sz w:val="18"/>
                <w:szCs w:val="18"/>
              </w:rPr>
            </w:pPr>
            <w:r w:rsidRPr="001631EC">
              <w:rPr>
                <w:rFonts w:asciiTheme="minorHAnsi" w:hAnsiTheme="minorHAnsi"/>
                <w:b/>
                <w:sz w:val="18"/>
                <w:szCs w:val="18"/>
              </w:rPr>
              <w:t>Przeznaczenie nawierzchni</w:t>
            </w:r>
          </w:p>
        </w:tc>
        <w:tc>
          <w:tcPr>
            <w:tcW w:w="2441" w:type="dxa"/>
            <w:tcBorders>
              <w:bottom w:val="single" w:sz="4" w:space="0" w:color="auto"/>
            </w:tcBorders>
          </w:tcPr>
          <w:p w:rsidR="00B83F88" w:rsidRPr="001631EC" w:rsidRDefault="00B83F88" w:rsidP="00B83F88">
            <w:pPr>
              <w:jc w:val="center"/>
              <w:rPr>
                <w:rFonts w:asciiTheme="minorHAnsi" w:hAnsiTheme="minorHAnsi"/>
                <w:b/>
                <w:sz w:val="18"/>
                <w:szCs w:val="18"/>
              </w:rPr>
            </w:pPr>
            <w:r w:rsidRPr="001631EC">
              <w:rPr>
                <w:rFonts w:asciiTheme="minorHAnsi" w:hAnsiTheme="minorHAnsi"/>
                <w:b/>
                <w:sz w:val="18"/>
                <w:szCs w:val="18"/>
              </w:rPr>
              <w:t>Kategoria ruchu</w:t>
            </w:r>
          </w:p>
          <w:p w:rsidR="00B83F88" w:rsidRPr="001631EC" w:rsidRDefault="00B83F88" w:rsidP="00B83F88">
            <w:pPr>
              <w:jc w:val="center"/>
              <w:rPr>
                <w:rFonts w:asciiTheme="minorHAnsi" w:hAnsiTheme="minorHAnsi"/>
                <w:b/>
                <w:sz w:val="18"/>
                <w:szCs w:val="18"/>
              </w:rPr>
            </w:pPr>
            <w:r w:rsidRPr="001631EC">
              <w:rPr>
                <w:rFonts w:asciiTheme="minorHAnsi" w:hAnsiTheme="minorHAnsi"/>
                <w:b/>
                <w:sz w:val="18"/>
                <w:szCs w:val="18"/>
              </w:rPr>
              <w:t>(liczba pojazdów porównawczych o nacisku do 80 kN/oś/pas/24 h)</w:t>
            </w:r>
          </w:p>
        </w:tc>
      </w:tr>
      <w:tr w:rsidR="00B83F88" w:rsidRPr="001631EC" w:rsidTr="002075C4">
        <w:tc>
          <w:tcPr>
            <w:tcW w:w="543" w:type="dxa"/>
            <w:tcBorders>
              <w:top w:val="single" w:sz="4" w:space="0" w:color="auto"/>
            </w:tcBorders>
          </w:tcPr>
          <w:p w:rsidR="00B83F88" w:rsidRPr="001631EC" w:rsidRDefault="00B83F88" w:rsidP="00B83F88">
            <w:pPr>
              <w:jc w:val="center"/>
              <w:rPr>
                <w:rFonts w:asciiTheme="minorHAnsi" w:hAnsiTheme="minorHAnsi"/>
                <w:sz w:val="18"/>
                <w:szCs w:val="18"/>
              </w:rPr>
            </w:pPr>
            <w:r w:rsidRPr="001631EC">
              <w:rPr>
                <w:rFonts w:asciiTheme="minorHAnsi" w:hAnsiTheme="minorHAnsi"/>
                <w:sz w:val="18"/>
                <w:szCs w:val="18"/>
              </w:rPr>
              <w:t>1</w:t>
            </w:r>
          </w:p>
        </w:tc>
        <w:tc>
          <w:tcPr>
            <w:tcW w:w="4473" w:type="dxa"/>
            <w:tcBorders>
              <w:top w:val="single" w:sz="4" w:space="0" w:color="auto"/>
            </w:tcBorders>
          </w:tcPr>
          <w:p w:rsidR="00B83F88" w:rsidRPr="001631EC" w:rsidRDefault="00B83F88" w:rsidP="00B83F88">
            <w:pPr>
              <w:jc w:val="center"/>
              <w:rPr>
                <w:rFonts w:asciiTheme="minorHAnsi" w:hAnsiTheme="minorHAnsi"/>
                <w:sz w:val="18"/>
                <w:szCs w:val="18"/>
              </w:rPr>
            </w:pPr>
            <w:r w:rsidRPr="001631EC">
              <w:rPr>
                <w:rFonts w:asciiTheme="minorHAnsi" w:hAnsiTheme="minorHAnsi"/>
                <w:sz w:val="18"/>
                <w:szCs w:val="18"/>
              </w:rPr>
              <w:t>Chodniki, ścieżki rowerowe i ciągi pieszo-jezdne tylko wyjątkowo wykorzystywane przez samochody dostawcze i samochody oczyszczania</w:t>
            </w:r>
          </w:p>
        </w:tc>
        <w:tc>
          <w:tcPr>
            <w:tcW w:w="2441" w:type="dxa"/>
            <w:tcBorders>
              <w:top w:val="single" w:sz="4" w:space="0" w:color="auto"/>
            </w:tcBorders>
          </w:tcPr>
          <w:p w:rsidR="00B83F88" w:rsidRPr="001631EC" w:rsidRDefault="00B83F88" w:rsidP="00B83F88">
            <w:pPr>
              <w:jc w:val="center"/>
              <w:rPr>
                <w:rFonts w:asciiTheme="minorHAnsi" w:hAnsiTheme="minorHAnsi"/>
                <w:sz w:val="18"/>
                <w:szCs w:val="18"/>
              </w:rPr>
            </w:pPr>
            <w:r w:rsidRPr="001631EC">
              <w:rPr>
                <w:rFonts w:asciiTheme="minorHAnsi" w:hAnsiTheme="minorHAnsi"/>
                <w:sz w:val="18"/>
                <w:szCs w:val="18"/>
              </w:rPr>
              <w:t>Bardzo lekki</w:t>
            </w:r>
          </w:p>
          <w:p w:rsidR="00B83F88" w:rsidRPr="001631EC" w:rsidRDefault="00B83F88" w:rsidP="00B83F88">
            <w:pPr>
              <w:jc w:val="center"/>
              <w:rPr>
                <w:rFonts w:asciiTheme="minorHAnsi" w:hAnsiTheme="minorHAnsi"/>
                <w:sz w:val="18"/>
                <w:szCs w:val="18"/>
              </w:rPr>
            </w:pPr>
            <w:r w:rsidRPr="001631EC">
              <w:rPr>
                <w:rFonts w:asciiTheme="minorHAnsi" w:hAnsiTheme="minorHAnsi"/>
                <w:sz w:val="18"/>
                <w:szCs w:val="18"/>
              </w:rPr>
              <w:t>R0 /do 4</w:t>
            </w:r>
          </w:p>
        </w:tc>
      </w:tr>
      <w:tr w:rsidR="00B83F88" w:rsidRPr="001631EC" w:rsidTr="002075C4">
        <w:tc>
          <w:tcPr>
            <w:tcW w:w="543" w:type="dxa"/>
          </w:tcPr>
          <w:p w:rsidR="00B83F88" w:rsidRPr="001631EC" w:rsidRDefault="00B83F88" w:rsidP="00B83F88">
            <w:pPr>
              <w:jc w:val="center"/>
              <w:rPr>
                <w:rFonts w:asciiTheme="minorHAnsi" w:hAnsiTheme="minorHAnsi"/>
                <w:sz w:val="18"/>
                <w:szCs w:val="18"/>
              </w:rPr>
            </w:pPr>
            <w:r w:rsidRPr="001631EC">
              <w:rPr>
                <w:rFonts w:asciiTheme="minorHAnsi" w:hAnsiTheme="minorHAnsi"/>
                <w:sz w:val="18"/>
                <w:szCs w:val="18"/>
              </w:rPr>
              <w:t>2</w:t>
            </w:r>
          </w:p>
        </w:tc>
        <w:tc>
          <w:tcPr>
            <w:tcW w:w="4473" w:type="dxa"/>
          </w:tcPr>
          <w:p w:rsidR="00B83F88" w:rsidRPr="001631EC" w:rsidRDefault="00B83F88" w:rsidP="00B83F88">
            <w:pPr>
              <w:jc w:val="center"/>
              <w:rPr>
                <w:rFonts w:asciiTheme="minorHAnsi" w:hAnsiTheme="minorHAnsi"/>
                <w:sz w:val="18"/>
                <w:szCs w:val="18"/>
              </w:rPr>
            </w:pPr>
            <w:r w:rsidRPr="001631EC">
              <w:rPr>
                <w:rFonts w:asciiTheme="minorHAnsi" w:hAnsiTheme="minorHAnsi"/>
                <w:sz w:val="18"/>
                <w:szCs w:val="18"/>
              </w:rPr>
              <w:t>Ulice osiedlowe, parkingi samochodów osobowych, na których okazjonalnie zatrzymują się samochody ciężarowe oraz rzadko użytkowane przez samochody ciężarowe ulice i place</w:t>
            </w:r>
          </w:p>
        </w:tc>
        <w:tc>
          <w:tcPr>
            <w:tcW w:w="2441" w:type="dxa"/>
          </w:tcPr>
          <w:p w:rsidR="00B83F88" w:rsidRPr="001631EC" w:rsidRDefault="00B83F88" w:rsidP="00B83F88">
            <w:pPr>
              <w:jc w:val="center"/>
              <w:rPr>
                <w:rFonts w:asciiTheme="minorHAnsi" w:hAnsiTheme="minorHAnsi"/>
                <w:sz w:val="18"/>
                <w:szCs w:val="18"/>
              </w:rPr>
            </w:pPr>
          </w:p>
          <w:p w:rsidR="00B83F88" w:rsidRPr="001631EC" w:rsidRDefault="00B83F88" w:rsidP="00B83F88">
            <w:pPr>
              <w:jc w:val="center"/>
              <w:rPr>
                <w:rFonts w:asciiTheme="minorHAnsi" w:hAnsiTheme="minorHAnsi"/>
                <w:sz w:val="18"/>
                <w:szCs w:val="18"/>
              </w:rPr>
            </w:pPr>
            <w:r w:rsidRPr="001631EC">
              <w:rPr>
                <w:rFonts w:asciiTheme="minorHAnsi" w:hAnsiTheme="minorHAnsi"/>
                <w:sz w:val="18"/>
                <w:szCs w:val="18"/>
              </w:rPr>
              <w:t>Bardzo lekki</w:t>
            </w:r>
          </w:p>
          <w:p w:rsidR="00B83F88" w:rsidRPr="001631EC" w:rsidRDefault="00B83F88" w:rsidP="00B83F88">
            <w:pPr>
              <w:jc w:val="center"/>
              <w:rPr>
                <w:rFonts w:asciiTheme="minorHAnsi" w:hAnsiTheme="minorHAnsi"/>
                <w:sz w:val="18"/>
                <w:szCs w:val="18"/>
              </w:rPr>
            </w:pPr>
            <w:r w:rsidRPr="001631EC">
              <w:rPr>
                <w:rFonts w:asciiTheme="minorHAnsi" w:hAnsiTheme="minorHAnsi"/>
                <w:sz w:val="18"/>
                <w:szCs w:val="18"/>
              </w:rPr>
              <w:t>R1 / 5÷11</w:t>
            </w:r>
          </w:p>
        </w:tc>
      </w:tr>
      <w:tr w:rsidR="00B83F88" w:rsidRPr="001631EC" w:rsidTr="002075C4">
        <w:tc>
          <w:tcPr>
            <w:tcW w:w="543" w:type="dxa"/>
          </w:tcPr>
          <w:p w:rsidR="00B83F88" w:rsidRPr="001631EC" w:rsidRDefault="00B83F88" w:rsidP="00B83F88">
            <w:pPr>
              <w:jc w:val="center"/>
              <w:rPr>
                <w:rFonts w:asciiTheme="minorHAnsi" w:hAnsiTheme="minorHAnsi"/>
                <w:sz w:val="18"/>
                <w:szCs w:val="18"/>
              </w:rPr>
            </w:pPr>
            <w:r w:rsidRPr="001631EC">
              <w:rPr>
                <w:rFonts w:asciiTheme="minorHAnsi" w:hAnsiTheme="minorHAnsi"/>
                <w:sz w:val="18"/>
                <w:szCs w:val="18"/>
              </w:rPr>
              <w:lastRenderedPageBreak/>
              <w:t>3</w:t>
            </w:r>
          </w:p>
        </w:tc>
        <w:tc>
          <w:tcPr>
            <w:tcW w:w="4473" w:type="dxa"/>
          </w:tcPr>
          <w:p w:rsidR="00B83F88" w:rsidRPr="001631EC" w:rsidRDefault="00B83F88" w:rsidP="00B83F88">
            <w:pPr>
              <w:jc w:val="center"/>
              <w:rPr>
                <w:rFonts w:asciiTheme="minorHAnsi" w:hAnsiTheme="minorHAnsi"/>
                <w:sz w:val="18"/>
                <w:szCs w:val="18"/>
              </w:rPr>
            </w:pPr>
            <w:r w:rsidRPr="001631EC">
              <w:rPr>
                <w:rFonts w:asciiTheme="minorHAnsi" w:hAnsiTheme="minorHAnsi"/>
                <w:sz w:val="18"/>
                <w:szCs w:val="18"/>
              </w:rPr>
              <w:t>Ulice osiedlowe, strefy ruchu pieszego z ruchem dostawczym, stale użytkowane parkingi samochodów osobowych z nielicznym udziałem samochodów ciężarowych i autobusów</w:t>
            </w:r>
          </w:p>
        </w:tc>
        <w:tc>
          <w:tcPr>
            <w:tcW w:w="2441" w:type="dxa"/>
          </w:tcPr>
          <w:p w:rsidR="00B83F88" w:rsidRPr="001631EC" w:rsidRDefault="00B83F88" w:rsidP="00B83F88">
            <w:pPr>
              <w:jc w:val="center"/>
              <w:rPr>
                <w:rFonts w:asciiTheme="minorHAnsi" w:hAnsiTheme="minorHAnsi"/>
                <w:sz w:val="18"/>
                <w:szCs w:val="18"/>
              </w:rPr>
            </w:pPr>
          </w:p>
          <w:p w:rsidR="00B83F88" w:rsidRPr="001631EC" w:rsidRDefault="00B83F88" w:rsidP="00B83F88">
            <w:pPr>
              <w:jc w:val="center"/>
              <w:rPr>
                <w:rFonts w:asciiTheme="minorHAnsi" w:hAnsiTheme="minorHAnsi"/>
                <w:sz w:val="18"/>
                <w:szCs w:val="18"/>
              </w:rPr>
            </w:pPr>
            <w:r w:rsidRPr="001631EC">
              <w:rPr>
                <w:rFonts w:asciiTheme="minorHAnsi" w:hAnsiTheme="minorHAnsi"/>
                <w:sz w:val="18"/>
                <w:szCs w:val="18"/>
              </w:rPr>
              <w:t>Lekki</w:t>
            </w:r>
          </w:p>
          <w:p w:rsidR="00B83F88" w:rsidRPr="001631EC" w:rsidRDefault="00B83F88" w:rsidP="00B83F88">
            <w:pPr>
              <w:jc w:val="center"/>
              <w:rPr>
                <w:rFonts w:asciiTheme="minorHAnsi" w:hAnsiTheme="minorHAnsi"/>
                <w:sz w:val="18"/>
                <w:szCs w:val="18"/>
              </w:rPr>
            </w:pPr>
            <w:r w:rsidRPr="001631EC">
              <w:rPr>
                <w:rFonts w:asciiTheme="minorHAnsi" w:hAnsiTheme="minorHAnsi"/>
                <w:sz w:val="18"/>
                <w:szCs w:val="18"/>
              </w:rPr>
              <w:t>R2 / 12÷35</w:t>
            </w:r>
          </w:p>
        </w:tc>
      </w:tr>
      <w:tr w:rsidR="00B83F88" w:rsidRPr="001631EC" w:rsidTr="002075C4">
        <w:tc>
          <w:tcPr>
            <w:tcW w:w="543" w:type="dxa"/>
          </w:tcPr>
          <w:p w:rsidR="00B83F88" w:rsidRPr="001631EC" w:rsidRDefault="00B83F88" w:rsidP="00B83F88">
            <w:pPr>
              <w:jc w:val="center"/>
              <w:rPr>
                <w:rFonts w:asciiTheme="minorHAnsi" w:hAnsiTheme="minorHAnsi"/>
                <w:sz w:val="18"/>
                <w:szCs w:val="18"/>
              </w:rPr>
            </w:pPr>
            <w:r w:rsidRPr="001631EC">
              <w:rPr>
                <w:rFonts w:asciiTheme="minorHAnsi" w:hAnsiTheme="minorHAnsi"/>
                <w:sz w:val="18"/>
                <w:szCs w:val="18"/>
              </w:rPr>
              <w:t>4</w:t>
            </w:r>
          </w:p>
        </w:tc>
        <w:tc>
          <w:tcPr>
            <w:tcW w:w="4473" w:type="dxa"/>
          </w:tcPr>
          <w:p w:rsidR="00B83F88" w:rsidRPr="001631EC" w:rsidRDefault="00B83F88" w:rsidP="00B83F88">
            <w:pPr>
              <w:jc w:val="center"/>
              <w:rPr>
                <w:rFonts w:asciiTheme="minorHAnsi" w:hAnsiTheme="minorHAnsi"/>
                <w:sz w:val="18"/>
                <w:szCs w:val="18"/>
              </w:rPr>
            </w:pPr>
            <w:r w:rsidRPr="001631EC">
              <w:rPr>
                <w:rFonts w:asciiTheme="minorHAnsi" w:hAnsiTheme="minorHAnsi"/>
                <w:sz w:val="18"/>
                <w:szCs w:val="18"/>
              </w:rPr>
              <w:t>Ulice zbiorcze, strefy ruchu pieszego z ciężkim ruchem dostawczym, parkingi dla samochodów ciężarowych i autobusów oraz drogi przemysłowe</w:t>
            </w:r>
          </w:p>
        </w:tc>
        <w:tc>
          <w:tcPr>
            <w:tcW w:w="2441" w:type="dxa"/>
          </w:tcPr>
          <w:p w:rsidR="00B83F88" w:rsidRPr="001631EC" w:rsidRDefault="00B83F88" w:rsidP="00B83F88">
            <w:pPr>
              <w:jc w:val="center"/>
              <w:rPr>
                <w:rFonts w:asciiTheme="minorHAnsi" w:hAnsiTheme="minorHAnsi"/>
                <w:sz w:val="18"/>
                <w:szCs w:val="18"/>
              </w:rPr>
            </w:pPr>
            <w:r w:rsidRPr="001631EC">
              <w:rPr>
                <w:rFonts w:asciiTheme="minorHAnsi" w:hAnsiTheme="minorHAnsi"/>
                <w:sz w:val="18"/>
                <w:szCs w:val="18"/>
              </w:rPr>
              <w:t>Lekko-średni</w:t>
            </w:r>
          </w:p>
          <w:p w:rsidR="00B83F88" w:rsidRPr="001631EC" w:rsidRDefault="00B83F88" w:rsidP="00B83F88">
            <w:pPr>
              <w:jc w:val="center"/>
              <w:rPr>
                <w:rFonts w:asciiTheme="minorHAnsi" w:hAnsiTheme="minorHAnsi"/>
                <w:sz w:val="18"/>
                <w:szCs w:val="18"/>
              </w:rPr>
            </w:pPr>
            <w:r w:rsidRPr="001631EC">
              <w:rPr>
                <w:rFonts w:asciiTheme="minorHAnsi" w:hAnsiTheme="minorHAnsi"/>
                <w:sz w:val="18"/>
                <w:szCs w:val="18"/>
              </w:rPr>
              <w:t>R3 / 36÷100</w:t>
            </w:r>
          </w:p>
        </w:tc>
      </w:tr>
    </w:tbl>
    <w:p w:rsidR="00B83F88" w:rsidRPr="001631EC" w:rsidRDefault="00B83F88" w:rsidP="00B83F88">
      <w:pPr>
        <w:rPr>
          <w:rFonts w:asciiTheme="minorHAnsi" w:hAnsiTheme="minorHAnsi"/>
        </w:rPr>
      </w:pPr>
    </w:p>
    <w:p w:rsidR="00B83F88" w:rsidRPr="001631EC" w:rsidRDefault="00B83F88" w:rsidP="00B83F88">
      <w:pPr>
        <w:rPr>
          <w:rFonts w:asciiTheme="minorHAnsi" w:hAnsiTheme="minorHAnsi"/>
        </w:rPr>
      </w:pPr>
      <w:r w:rsidRPr="001631EC">
        <w:rPr>
          <w:rFonts w:asciiTheme="minorHAnsi" w:hAnsiTheme="minorHAnsi"/>
        </w:rPr>
        <w:t>2. Konstrukcje nawierzchni</w:t>
      </w:r>
    </w:p>
    <w:p w:rsidR="00B83F88" w:rsidRPr="001631EC" w:rsidRDefault="00B83F88" w:rsidP="00B83F88">
      <w:pPr>
        <w:rPr>
          <w:rFonts w:asciiTheme="minorHAnsi" w:hAnsiTheme="minorHAnsi"/>
        </w:rPr>
      </w:pPr>
      <w:r w:rsidRPr="001631EC">
        <w:rPr>
          <w:rFonts w:asciiTheme="minorHAnsi" w:hAnsiTheme="minorHAnsi"/>
        </w:rPr>
        <w:t>Oznaczenia:</w:t>
      </w:r>
    </w:p>
    <w:p w:rsidR="00B83F88" w:rsidRPr="001631EC" w:rsidRDefault="00B83F88" w:rsidP="00B83F88">
      <w:pPr>
        <w:rPr>
          <w:rFonts w:asciiTheme="minorHAnsi" w:hAnsiTheme="minorHAnsi"/>
        </w:rPr>
      </w:pPr>
      <w:r w:rsidRPr="001631EC">
        <w:rPr>
          <w:rFonts w:asciiTheme="minorHAnsi" w:hAnsiTheme="minorHAnsi"/>
        </w:rPr>
        <w:t>a) warstwa ścieralna z drobnowymiarowych elementów betonowych innych niż elementy sześciokątne,</w:t>
      </w:r>
    </w:p>
    <w:p w:rsidR="00B83F88" w:rsidRPr="001631EC" w:rsidRDefault="00B83F88" w:rsidP="00B83F88">
      <w:pPr>
        <w:rPr>
          <w:rFonts w:asciiTheme="minorHAnsi" w:hAnsiTheme="minorHAnsi"/>
        </w:rPr>
      </w:pPr>
      <w:r w:rsidRPr="001631EC">
        <w:rPr>
          <w:rFonts w:asciiTheme="minorHAnsi" w:hAnsiTheme="minorHAnsi"/>
        </w:rPr>
        <w:t xml:space="preserve">b) warstwa ścieralna z drobnowymiarowych elementów betonowych o kształcie sześciokątnym, </w:t>
      </w:r>
    </w:p>
    <w:p w:rsidR="00B83F88" w:rsidRDefault="00B83F88" w:rsidP="00B83F88">
      <w:pPr>
        <w:rPr>
          <w:rFonts w:asciiTheme="minorHAnsi" w:hAnsiTheme="minorHAnsi"/>
        </w:rPr>
      </w:pPr>
      <w:r w:rsidRPr="001631EC">
        <w:rPr>
          <w:rFonts w:asciiTheme="minorHAnsi" w:hAnsiTheme="minorHAnsi"/>
        </w:rPr>
        <w:t>c) warstwa ścieralna z drobnowymiarowych elementów betonowych może być układana bezpośrednio na warstwie mrozoodpornej odpowiedniej grubości.</w:t>
      </w:r>
    </w:p>
    <w:p w:rsidR="001F5E2E" w:rsidRDefault="001F5E2E" w:rsidP="00B83F88">
      <w:pPr>
        <w:rPr>
          <w:rFonts w:asciiTheme="minorHAnsi" w:hAnsiTheme="minorHAnsi"/>
        </w:rPr>
      </w:pPr>
    </w:p>
    <w:tbl>
      <w:tblPr>
        <w:tblW w:w="0" w:type="auto"/>
        <w:tblInd w:w="959" w:type="dxa"/>
        <w:tblLook w:val="01E0"/>
      </w:tblPr>
      <w:tblGrid>
        <w:gridCol w:w="3756"/>
        <w:gridCol w:w="3857"/>
      </w:tblGrid>
      <w:tr w:rsidR="00B83F88" w:rsidRPr="001631EC" w:rsidTr="002075C4">
        <w:trPr>
          <w:trHeight w:val="437"/>
        </w:trPr>
        <w:tc>
          <w:tcPr>
            <w:tcW w:w="3756" w:type="dxa"/>
          </w:tcPr>
          <w:p w:rsidR="00B83F88" w:rsidRPr="001631EC" w:rsidRDefault="00B83F88" w:rsidP="00B83F88">
            <w:pPr>
              <w:ind w:hanging="426"/>
              <w:rPr>
                <w:rFonts w:asciiTheme="minorHAnsi" w:hAnsiTheme="minorHAnsi"/>
              </w:rPr>
            </w:pPr>
          </w:p>
          <w:p w:rsidR="00B83F88" w:rsidRPr="001631EC" w:rsidRDefault="00B83F88" w:rsidP="00B83F88">
            <w:pPr>
              <w:ind w:hanging="426"/>
              <w:rPr>
                <w:rFonts w:asciiTheme="minorHAnsi" w:hAnsiTheme="minorHAnsi"/>
              </w:rPr>
            </w:pPr>
            <w:r w:rsidRPr="001631EC">
              <w:rPr>
                <w:rFonts w:asciiTheme="minorHAnsi" w:hAnsiTheme="minorHAnsi"/>
              </w:rPr>
              <w:t>2.1. Konstrukcja nawierzchni dla kategorii ruchu R</w:t>
            </w:r>
            <w:r w:rsidRPr="001631EC">
              <w:rPr>
                <w:rFonts w:asciiTheme="minorHAnsi" w:hAnsiTheme="minorHAnsi"/>
                <w:vertAlign w:val="subscript"/>
              </w:rPr>
              <w:t>0</w:t>
            </w:r>
            <w:r w:rsidRPr="001631EC">
              <w:rPr>
                <w:rFonts w:asciiTheme="minorHAnsi" w:hAnsiTheme="minorHAnsi"/>
              </w:rPr>
              <w:t xml:space="preserve"> – grubość warstwy w [cm]</w:t>
            </w:r>
          </w:p>
          <w:p w:rsidR="00B83F88" w:rsidRPr="001631EC" w:rsidRDefault="00B83F88" w:rsidP="00B83F88">
            <w:pPr>
              <w:ind w:hanging="426"/>
              <w:rPr>
                <w:rFonts w:asciiTheme="minorHAnsi" w:hAnsiTheme="minorHAnsi"/>
              </w:rPr>
            </w:pPr>
          </w:p>
        </w:tc>
        <w:tc>
          <w:tcPr>
            <w:tcW w:w="3857" w:type="dxa"/>
          </w:tcPr>
          <w:p w:rsidR="00B83F88" w:rsidRPr="001631EC" w:rsidRDefault="00B83F88" w:rsidP="00B83F88">
            <w:pPr>
              <w:ind w:hanging="426"/>
              <w:rPr>
                <w:rFonts w:asciiTheme="minorHAnsi" w:hAnsiTheme="minorHAnsi"/>
              </w:rPr>
            </w:pPr>
          </w:p>
          <w:p w:rsidR="00B83F88" w:rsidRPr="001631EC" w:rsidRDefault="00B83F88" w:rsidP="00B83F88">
            <w:pPr>
              <w:ind w:hanging="426"/>
              <w:rPr>
                <w:rFonts w:asciiTheme="minorHAnsi" w:hAnsiTheme="minorHAnsi"/>
              </w:rPr>
            </w:pPr>
            <w:r w:rsidRPr="001631EC">
              <w:rPr>
                <w:rFonts w:asciiTheme="minorHAnsi" w:hAnsiTheme="minorHAnsi"/>
              </w:rPr>
              <w:t>2.2. Konstrukcja nawierzchni dla kategorii ruchu R</w:t>
            </w:r>
            <w:r w:rsidRPr="001631EC">
              <w:rPr>
                <w:rFonts w:asciiTheme="minorHAnsi" w:hAnsiTheme="minorHAnsi"/>
                <w:vertAlign w:val="subscript"/>
              </w:rPr>
              <w:t>1</w:t>
            </w:r>
            <w:r w:rsidRPr="001631EC">
              <w:rPr>
                <w:rFonts w:asciiTheme="minorHAnsi" w:hAnsiTheme="minorHAnsi"/>
              </w:rPr>
              <w:t xml:space="preserve"> – grubość warstwy w [cm]</w:t>
            </w:r>
          </w:p>
          <w:p w:rsidR="00B83F88" w:rsidRPr="001631EC" w:rsidRDefault="00B83F88" w:rsidP="00B83F88">
            <w:pPr>
              <w:rPr>
                <w:rFonts w:asciiTheme="minorHAnsi" w:hAnsiTheme="minorHAnsi"/>
              </w:rPr>
            </w:pPr>
          </w:p>
        </w:tc>
      </w:tr>
      <w:tr w:rsidR="00B83F88" w:rsidRPr="001631EC" w:rsidTr="002075C4">
        <w:trPr>
          <w:trHeight w:val="2157"/>
        </w:trPr>
        <w:tc>
          <w:tcPr>
            <w:tcW w:w="3756" w:type="dxa"/>
          </w:tcPr>
          <w:p w:rsidR="00B83F88" w:rsidRPr="001631EC" w:rsidRDefault="00B83F88" w:rsidP="00B83F88">
            <w:pPr>
              <w:rPr>
                <w:rFonts w:asciiTheme="minorHAnsi" w:hAnsiTheme="minorHAnsi"/>
              </w:rPr>
            </w:pPr>
            <w:r w:rsidRPr="001631EC">
              <w:rPr>
                <w:rFonts w:asciiTheme="minorHAnsi" w:hAnsiTheme="minorHAnsi"/>
                <w:noProof/>
              </w:rPr>
              <w:drawing>
                <wp:inline distT="0" distB="0" distL="0" distR="0">
                  <wp:extent cx="2085975" cy="1200150"/>
                  <wp:effectExtent l="19050" t="0" r="9525" b="0"/>
                  <wp:docPr id="65" name="Obraz 3" descr="rys2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rys211"/>
                          <pic:cNvPicPr>
                            <a:picLocks noChangeAspect="1" noChangeArrowheads="1"/>
                          </pic:cNvPicPr>
                        </pic:nvPicPr>
                        <pic:blipFill>
                          <a:blip r:embed="rId56" cstate="print"/>
                          <a:srcRect/>
                          <a:stretch>
                            <a:fillRect/>
                          </a:stretch>
                        </pic:blipFill>
                        <pic:spPr bwMode="auto">
                          <a:xfrm>
                            <a:off x="0" y="0"/>
                            <a:ext cx="2085975" cy="1200150"/>
                          </a:xfrm>
                          <a:prstGeom prst="rect">
                            <a:avLst/>
                          </a:prstGeom>
                          <a:noFill/>
                          <a:ln w="9525">
                            <a:noFill/>
                            <a:miter lim="800000"/>
                            <a:headEnd/>
                            <a:tailEnd/>
                          </a:ln>
                        </pic:spPr>
                      </pic:pic>
                    </a:graphicData>
                  </a:graphic>
                </wp:inline>
              </w:drawing>
            </w:r>
          </w:p>
          <w:p w:rsidR="00B83F88" w:rsidRPr="001631EC" w:rsidRDefault="00B83F88" w:rsidP="00B83F88">
            <w:pPr>
              <w:rPr>
                <w:rFonts w:asciiTheme="minorHAnsi" w:hAnsiTheme="minorHAnsi"/>
              </w:rPr>
            </w:pPr>
          </w:p>
        </w:tc>
        <w:tc>
          <w:tcPr>
            <w:tcW w:w="3857" w:type="dxa"/>
          </w:tcPr>
          <w:p w:rsidR="00B83F88" w:rsidRPr="001631EC" w:rsidRDefault="00B83F88" w:rsidP="00B83F88">
            <w:pPr>
              <w:rPr>
                <w:rFonts w:asciiTheme="minorHAnsi" w:hAnsiTheme="minorHAnsi"/>
              </w:rPr>
            </w:pPr>
            <w:r w:rsidRPr="001631EC">
              <w:rPr>
                <w:rFonts w:asciiTheme="minorHAnsi" w:hAnsiTheme="minorHAnsi"/>
                <w:noProof/>
              </w:rPr>
              <w:drawing>
                <wp:inline distT="0" distB="0" distL="0" distR="0">
                  <wp:extent cx="2247900" cy="1323975"/>
                  <wp:effectExtent l="19050" t="0" r="0" b="0"/>
                  <wp:docPr id="66" name="Obraz 4" descr="rys2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rys221"/>
                          <pic:cNvPicPr>
                            <a:picLocks noChangeAspect="1" noChangeArrowheads="1"/>
                          </pic:cNvPicPr>
                        </pic:nvPicPr>
                        <pic:blipFill>
                          <a:blip r:embed="rId57" cstate="print"/>
                          <a:srcRect/>
                          <a:stretch>
                            <a:fillRect/>
                          </a:stretch>
                        </pic:blipFill>
                        <pic:spPr bwMode="auto">
                          <a:xfrm>
                            <a:off x="0" y="0"/>
                            <a:ext cx="2247900" cy="1323975"/>
                          </a:xfrm>
                          <a:prstGeom prst="rect">
                            <a:avLst/>
                          </a:prstGeom>
                          <a:noFill/>
                          <a:ln w="9525">
                            <a:noFill/>
                            <a:miter lim="800000"/>
                            <a:headEnd/>
                            <a:tailEnd/>
                          </a:ln>
                        </pic:spPr>
                      </pic:pic>
                    </a:graphicData>
                  </a:graphic>
                </wp:inline>
              </w:drawing>
            </w:r>
          </w:p>
        </w:tc>
      </w:tr>
      <w:tr w:rsidR="00B83F88" w:rsidRPr="001631EC" w:rsidTr="002075C4">
        <w:trPr>
          <w:trHeight w:val="206"/>
        </w:trPr>
        <w:tc>
          <w:tcPr>
            <w:tcW w:w="3756" w:type="dxa"/>
          </w:tcPr>
          <w:p w:rsidR="00B83F88" w:rsidRPr="001631EC" w:rsidRDefault="00B83F88" w:rsidP="00B83F88">
            <w:pPr>
              <w:rPr>
                <w:rFonts w:asciiTheme="minorHAnsi" w:hAnsiTheme="minorHAnsi"/>
              </w:rPr>
            </w:pPr>
            <w:r w:rsidRPr="001631EC">
              <w:rPr>
                <w:rFonts w:asciiTheme="minorHAnsi" w:hAnsiTheme="minorHAnsi"/>
                <w:noProof/>
              </w:rPr>
              <w:drawing>
                <wp:inline distT="0" distB="0" distL="0" distR="0">
                  <wp:extent cx="2162175" cy="1247775"/>
                  <wp:effectExtent l="19050" t="0" r="9525" b="0"/>
                  <wp:docPr id="78" name="Obraz 5" descr="rys2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rys212"/>
                          <pic:cNvPicPr>
                            <a:picLocks noChangeAspect="1" noChangeArrowheads="1"/>
                          </pic:cNvPicPr>
                        </pic:nvPicPr>
                        <pic:blipFill>
                          <a:blip r:embed="rId58" cstate="print"/>
                          <a:srcRect/>
                          <a:stretch>
                            <a:fillRect/>
                          </a:stretch>
                        </pic:blipFill>
                        <pic:spPr bwMode="auto">
                          <a:xfrm>
                            <a:off x="0" y="0"/>
                            <a:ext cx="2162175" cy="1247775"/>
                          </a:xfrm>
                          <a:prstGeom prst="rect">
                            <a:avLst/>
                          </a:prstGeom>
                          <a:noFill/>
                          <a:ln w="9525">
                            <a:noFill/>
                            <a:miter lim="800000"/>
                            <a:headEnd/>
                            <a:tailEnd/>
                          </a:ln>
                        </pic:spPr>
                      </pic:pic>
                    </a:graphicData>
                  </a:graphic>
                </wp:inline>
              </w:drawing>
            </w:r>
          </w:p>
          <w:p w:rsidR="00B83F88" w:rsidRPr="001631EC" w:rsidRDefault="00B83F88" w:rsidP="00B83F88">
            <w:pPr>
              <w:rPr>
                <w:rFonts w:asciiTheme="minorHAnsi" w:hAnsiTheme="minorHAnsi"/>
              </w:rPr>
            </w:pPr>
          </w:p>
        </w:tc>
        <w:tc>
          <w:tcPr>
            <w:tcW w:w="3857" w:type="dxa"/>
          </w:tcPr>
          <w:p w:rsidR="00B83F88" w:rsidRPr="001631EC" w:rsidRDefault="00B83F88" w:rsidP="00B83F88">
            <w:pPr>
              <w:ind w:hanging="426"/>
              <w:rPr>
                <w:rFonts w:asciiTheme="minorHAnsi" w:hAnsiTheme="minorHAnsi"/>
              </w:rPr>
            </w:pPr>
            <w:r w:rsidRPr="001631EC">
              <w:rPr>
                <w:rFonts w:asciiTheme="minorHAnsi" w:hAnsiTheme="minorHAnsi"/>
                <w:noProof/>
              </w:rPr>
              <w:drawing>
                <wp:inline distT="0" distB="0" distL="0" distR="0">
                  <wp:extent cx="2238375" cy="1276350"/>
                  <wp:effectExtent l="19050" t="0" r="9525" b="0"/>
                  <wp:docPr id="79" name="Obraz 6" descr="rys2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rys222"/>
                          <pic:cNvPicPr>
                            <a:picLocks noChangeAspect="1" noChangeArrowheads="1"/>
                          </pic:cNvPicPr>
                        </pic:nvPicPr>
                        <pic:blipFill>
                          <a:blip r:embed="rId59" cstate="print"/>
                          <a:srcRect/>
                          <a:stretch>
                            <a:fillRect/>
                          </a:stretch>
                        </pic:blipFill>
                        <pic:spPr bwMode="auto">
                          <a:xfrm>
                            <a:off x="0" y="0"/>
                            <a:ext cx="2238375" cy="1276350"/>
                          </a:xfrm>
                          <a:prstGeom prst="rect">
                            <a:avLst/>
                          </a:prstGeom>
                          <a:noFill/>
                          <a:ln w="9525">
                            <a:noFill/>
                            <a:miter lim="800000"/>
                            <a:headEnd/>
                            <a:tailEnd/>
                          </a:ln>
                        </pic:spPr>
                      </pic:pic>
                    </a:graphicData>
                  </a:graphic>
                </wp:inline>
              </w:drawing>
            </w:r>
          </w:p>
        </w:tc>
      </w:tr>
      <w:tr w:rsidR="00B83F88" w:rsidRPr="001631EC" w:rsidTr="002075C4">
        <w:trPr>
          <w:trHeight w:val="2340"/>
        </w:trPr>
        <w:tc>
          <w:tcPr>
            <w:tcW w:w="3756" w:type="dxa"/>
          </w:tcPr>
          <w:p w:rsidR="00B83F88" w:rsidRPr="001631EC" w:rsidRDefault="00B83F88" w:rsidP="00B83F88">
            <w:pPr>
              <w:rPr>
                <w:rFonts w:asciiTheme="minorHAnsi" w:hAnsiTheme="minorHAnsi"/>
              </w:rPr>
            </w:pPr>
            <w:r w:rsidRPr="001631EC">
              <w:rPr>
                <w:rFonts w:asciiTheme="minorHAnsi" w:hAnsiTheme="minorHAnsi"/>
                <w:noProof/>
              </w:rPr>
              <w:drawing>
                <wp:inline distT="0" distB="0" distL="0" distR="0">
                  <wp:extent cx="2162175" cy="1276350"/>
                  <wp:effectExtent l="19050" t="0" r="9525" b="0"/>
                  <wp:docPr id="80" name="Obraz 7" descr="rys2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descr="rys213"/>
                          <pic:cNvPicPr>
                            <a:picLocks noChangeAspect="1" noChangeArrowheads="1"/>
                          </pic:cNvPicPr>
                        </pic:nvPicPr>
                        <pic:blipFill>
                          <a:blip r:embed="rId60" cstate="print"/>
                          <a:srcRect/>
                          <a:stretch>
                            <a:fillRect/>
                          </a:stretch>
                        </pic:blipFill>
                        <pic:spPr bwMode="auto">
                          <a:xfrm>
                            <a:off x="0" y="0"/>
                            <a:ext cx="2162175" cy="1276350"/>
                          </a:xfrm>
                          <a:prstGeom prst="rect">
                            <a:avLst/>
                          </a:prstGeom>
                          <a:noFill/>
                          <a:ln w="9525">
                            <a:noFill/>
                            <a:miter lim="800000"/>
                            <a:headEnd/>
                            <a:tailEnd/>
                          </a:ln>
                        </pic:spPr>
                      </pic:pic>
                    </a:graphicData>
                  </a:graphic>
                </wp:inline>
              </w:drawing>
            </w:r>
          </w:p>
          <w:p w:rsidR="00B83F88" w:rsidRPr="001631EC" w:rsidRDefault="00B83F88" w:rsidP="00B83F88">
            <w:pPr>
              <w:rPr>
                <w:rFonts w:asciiTheme="minorHAnsi" w:hAnsiTheme="minorHAnsi"/>
              </w:rPr>
            </w:pPr>
          </w:p>
        </w:tc>
        <w:tc>
          <w:tcPr>
            <w:tcW w:w="3857" w:type="dxa"/>
          </w:tcPr>
          <w:p w:rsidR="00B83F88" w:rsidRPr="001631EC" w:rsidRDefault="00B83F88" w:rsidP="00B83F88">
            <w:pPr>
              <w:ind w:hanging="426"/>
              <w:rPr>
                <w:rFonts w:asciiTheme="minorHAnsi" w:hAnsiTheme="minorHAnsi"/>
              </w:rPr>
            </w:pPr>
            <w:r w:rsidRPr="001631EC">
              <w:rPr>
                <w:rFonts w:asciiTheme="minorHAnsi" w:hAnsiTheme="minorHAnsi"/>
                <w:noProof/>
              </w:rPr>
              <w:drawing>
                <wp:inline distT="0" distB="0" distL="0" distR="0">
                  <wp:extent cx="2266950" cy="1314450"/>
                  <wp:effectExtent l="19050" t="0" r="0" b="0"/>
                  <wp:docPr id="81" name="Obraz 8" descr="rys2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descr="rys223"/>
                          <pic:cNvPicPr>
                            <a:picLocks noChangeAspect="1" noChangeArrowheads="1"/>
                          </pic:cNvPicPr>
                        </pic:nvPicPr>
                        <pic:blipFill>
                          <a:blip r:embed="rId61" cstate="print"/>
                          <a:srcRect/>
                          <a:stretch>
                            <a:fillRect/>
                          </a:stretch>
                        </pic:blipFill>
                        <pic:spPr bwMode="auto">
                          <a:xfrm>
                            <a:off x="0" y="0"/>
                            <a:ext cx="2266950" cy="1314450"/>
                          </a:xfrm>
                          <a:prstGeom prst="rect">
                            <a:avLst/>
                          </a:prstGeom>
                          <a:noFill/>
                          <a:ln w="9525">
                            <a:noFill/>
                            <a:miter lim="800000"/>
                            <a:headEnd/>
                            <a:tailEnd/>
                          </a:ln>
                        </pic:spPr>
                      </pic:pic>
                    </a:graphicData>
                  </a:graphic>
                </wp:inline>
              </w:drawing>
            </w:r>
          </w:p>
        </w:tc>
      </w:tr>
      <w:tr w:rsidR="00B83F88" w:rsidRPr="001631EC" w:rsidTr="002075C4">
        <w:trPr>
          <w:trHeight w:val="2154"/>
        </w:trPr>
        <w:tc>
          <w:tcPr>
            <w:tcW w:w="3756" w:type="dxa"/>
          </w:tcPr>
          <w:p w:rsidR="00B83F88" w:rsidRPr="001631EC" w:rsidRDefault="00B83F88" w:rsidP="00B83F88">
            <w:pPr>
              <w:rPr>
                <w:rFonts w:asciiTheme="minorHAnsi" w:hAnsiTheme="minorHAnsi"/>
              </w:rPr>
            </w:pPr>
            <w:r w:rsidRPr="001631EC">
              <w:rPr>
                <w:rFonts w:asciiTheme="minorHAnsi" w:hAnsiTheme="minorHAnsi"/>
                <w:noProof/>
              </w:rPr>
              <w:drawing>
                <wp:inline distT="0" distB="0" distL="0" distR="0">
                  <wp:extent cx="2228850" cy="1314450"/>
                  <wp:effectExtent l="19050" t="0" r="0" b="0"/>
                  <wp:docPr id="82" name="Obraz 9" descr="rys2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descr="rys214"/>
                          <pic:cNvPicPr>
                            <a:picLocks noChangeAspect="1" noChangeArrowheads="1"/>
                          </pic:cNvPicPr>
                        </pic:nvPicPr>
                        <pic:blipFill>
                          <a:blip r:embed="rId62" cstate="print"/>
                          <a:srcRect/>
                          <a:stretch>
                            <a:fillRect/>
                          </a:stretch>
                        </pic:blipFill>
                        <pic:spPr bwMode="auto">
                          <a:xfrm>
                            <a:off x="0" y="0"/>
                            <a:ext cx="2228850" cy="1314450"/>
                          </a:xfrm>
                          <a:prstGeom prst="rect">
                            <a:avLst/>
                          </a:prstGeom>
                          <a:noFill/>
                          <a:ln w="9525">
                            <a:noFill/>
                            <a:miter lim="800000"/>
                            <a:headEnd/>
                            <a:tailEnd/>
                          </a:ln>
                        </pic:spPr>
                      </pic:pic>
                    </a:graphicData>
                  </a:graphic>
                </wp:inline>
              </w:drawing>
            </w:r>
          </w:p>
        </w:tc>
        <w:tc>
          <w:tcPr>
            <w:tcW w:w="3857" w:type="dxa"/>
          </w:tcPr>
          <w:p w:rsidR="00B83F88" w:rsidRPr="001631EC" w:rsidRDefault="00B83F88" w:rsidP="00B83F88">
            <w:pPr>
              <w:ind w:hanging="426"/>
              <w:rPr>
                <w:rFonts w:asciiTheme="minorHAnsi" w:hAnsiTheme="minorHAnsi"/>
              </w:rPr>
            </w:pPr>
            <w:r w:rsidRPr="001631EC">
              <w:rPr>
                <w:rFonts w:asciiTheme="minorHAnsi" w:hAnsiTheme="minorHAnsi"/>
                <w:noProof/>
              </w:rPr>
              <w:drawing>
                <wp:inline distT="0" distB="0" distL="0" distR="0">
                  <wp:extent cx="2286000" cy="1333500"/>
                  <wp:effectExtent l="19050" t="0" r="0" b="0"/>
                  <wp:docPr id="83" name="Obraz 10" descr="rys2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descr="rys224"/>
                          <pic:cNvPicPr>
                            <a:picLocks noChangeAspect="1" noChangeArrowheads="1"/>
                          </pic:cNvPicPr>
                        </pic:nvPicPr>
                        <pic:blipFill>
                          <a:blip r:embed="rId63" cstate="print"/>
                          <a:srcRect/>
                          <a:stretch>
                            <a:fillRect/>
                          </a:stretch>
                        </pic:blipFill>
                        <pic:spPr bwMode="auto">
                          <a:xfrm>
                            <a:off x="0" y="0"/>
                            <a:ext cx="2286000" cy="1333500"/>
                          </a:xfrm>
                          <a:prstGeom prst="rect">
                            <a:avLst/>
                          </a:prstGeom>
                          <a:noFill/>
                          <a:ln w="9525">
                            <a:noFill/>
                            <a:miter lim="800000"/>
                            <a:headEnd/>
                            <a:tailEnd/>
                          </a:ln>
                        </pic:spPr>
                      </pic:pic>
                    </a:graphicData>
                  </a:graphic>
                </wp:inline>
              </w:drawing>
            </w:r>
          </w:p>
        </w:tc>
      </w:tr>
    </w:tbl>
    <w:p w:rsidR="00B83F88" w:rsidRDefault="00B83F88" w:rsidP="00B83F88"/>
    <w:p w:rsidR="00E90E02" w:rsidRDefault="00E90E02" w:rsidP="00B83F88"/>
    <w:p w:rsidR="00E90E02" w:rsidRDefault="00E90E02" w:rsidP="00B83F88"/>
    <w:p w:rsidR="00E90E02" w:rsidRDefault="00E90E02" w:rsidP="00B83F88"/>
    <w:p w:rsidR="00E90E02" w:rsidRDefault="00E90E02" w:rsidP="00B83F88"/>
    <w:tbl>
      <w:tblPr>
        <w:tblW w:w="7621" w:type="dxa"/>
        <w:tblInd w:w="959" w:type="dxa"/>
        <w:tblLayout w:type="fixed"/>
        <w:tblLook w:val="01E0"/>
      </w:tblPr>
      <w:tblGrid>
        <w:gridCol w:w="3736"/>
        <w:gridCol w:w="3885"/>
      </w:tblGrid>
      <w:tr w:rsidR="00B83F88" w:rsidRPr="001631EC" w:rsidTr="002075C4">
        <w:trPr>
          <w:trHeight w:val="682"/>
        </w:trPr>
        <w:tc>
          <w:tcPr>
            <w:tcW w:w="3736" w:type="dxa"/>
          </w:tcPr>
          <w:p w:rsidR="00B83F88" w:rsidRPr="001631EC" w:rsidRDefault="00B83F88" w:rsidP="00B83F88">
            <w:pPr>
              <w:ind w:hanging="426"/>
              <w:rPr>
                <w:rFonts w:asciiTheme="minorHAnsi" w:hAnsiTheme="minorHAnsi"/>
              </w:rPr>
            </w:pPr>
            <w:r w:rsidRPr="001631EC">
              <w:rPr>
                <w:rFonts w:asciiTheme="minorHAnsi" w:hAnsiTheme="minorHAnsi"/>
              </w:rPr>
              <w:lastRenderedPageBreak/>
              <w:t>2.3. Konstrukcja nawierzchni dla kategorii ruchu R</w:t>
            </w:r>
            <w:r w:rsidRPr="001631EC">
              <w:rPr>
                <w:rFonts w:asciiTheme="minorHAnsi" w:hAnsiTheme="minorHAnsi"/>
                <w:vertAlign w:val="subscript"/>
              </w:rPr>
              <w:t>2</w:t>
            </w:r>
            <w:r w:rsidRPr="001631EC">
              <w:rPr>
                <w:rFonts w:asciiTheme="minorHAnsi" w:hAnsiTheme="minorHAnsi"/>
              </w:rPr>
              <w:t xml:space="preserve"> – grubość warstwy w [cm]</w:t>
            </w:r>
          </w:p>
          <w:p w:rsidR="00B83F88" w:rsidRPr="001631EC" w:rsidRDefault="00B83F88" w:rsidP="00B83F88">
            <w:pPr>
              <w:rPr>
                <w:rFonts w:asciiTheme="minorHAnsi" w:hAnsiTheme="minorHAnsi"/>
              </w:rPr>
            </w:pPr>
          </w:p>
        </w:tc>
        <w:tc>
          <w:tcPr>
            <w:tcW w:w="3885" w:type="dxa"/>
          </w:tcPr>
          <w:p w:rsidR="00B83F88" w:rsidRPr="001631EC" w:rsidRDefault="00B83F88" w:rsidP="00B83F88">
            <w:pPr>
              <w:ind w:hanging="426"/>
              <w:rPr>
                <w:rFonts w:asciiTheme="minorHAnsi" w:hAnsiTheme="minorHAnsi"/>
              </w:rPr>
            </w:pPr>
            <w:r w:rsidRPr="001631EC">
              <w:rPr>
                <w:rFonts w:asciiTheme="minorHAnsi" w:hAnsiTheme="minorHAnsi"/>
              </w:rPr>
              <w:t>2.4. Konstrukcja nawierzchni dla kategorii ruchu R</w:t>
            </w:r>
            <w:r w:rsidRPr="001631EC">
              <w:rPr>
                <w:rFonts w:asciiTheme="minorHAnsi" w:hAnsiTheme="minorHAnsi"/>
                <w:vertAlign w:val="subscript"/>
              </w:rPr>
              <w:t xml:space="preserve">3 </w:t>
            </w:r>
            <w:r w:rsidRPr="001631EC">
              <w:rPr>
                <w:rFonts w:asciiTheme="minorHAnsi" w:hAnsiTheme="minorHAnsi"/>
              </w:rPr>
              <w:t>– grubość warstwy w [cm]</w:t>
            </w:r>
          </w:p>
          <w:p w:rsidR="00B83F88" w:rsidRPr="001631EC" w:rsidRDefault="00B83F88" w:rsidP="00B83F88">
            <w:pPr>
              <w:rPr>
                <w:rFonts w:asciiTheme="minorHAnsi" w:hAnsiTheme="minorHAnsi"/>
              </w:rPr>
            </w:pPr>
          </w:p>
        </w:tc>
      </w:tr>
      <w:tr w:rsidR="00B83F88" w:rsidRPr="001631EC" w:rsidTr="002075C4">
        <w:trPr>
          <w:trHeight w:val="334"/>
        </w:trPr>
        <w:tc>
          <w:tcPr>
            <w:tcW w:w="3736" w:type="dxa"/>
          </w:tcPr>
          <w:p w:rsidR="00B83F88" w:rsidRPr="001631EC" w:rsidRDefault="00B83F88" w:rsidP="00B83F88">
            <w:pPr>
              <w:rPr>
                <w:rFonts w:asciiTheme="minorHAnsi" w:hAnsiTheme="minorHAnsi"/>
              </w:rPr>
            </w:pPr>
            <w:r w:rsidRPr="001631EC">
              <w:rPr>
                <w:rFonts w:asciiTheme="minorHAnsi" w:hAnsiTheme="minorHAnsi"/>
                <w:noProof/>
              </w:rPr>
              <w:drawing>
                <wp:inline distT="0" distB="0" distL="0" distR="0">
                  <wp:extent cx="2152650" cy="1257300"/>
                  <wp:effectExtent l="19050" t="0" r="0" b="0"/>
                  <wp:docPr id="84" name="Obraz 11" descr="rys2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descr="rys231"/>
                          <pic:cNvPicPr>
                            <a:picLocks noChangeAspect="1" noChangeArrowheads="1"/>
                          </pic:cNvPicPr>
                        </pic:nvPicPr>
                        <pic:blipFill>
                          <a:blip r:embed="rId64" cstate="print"/>
                          <a:srcRect/>
                          <a:stretch>
                            <a:fillRect/>
                          </a:stretch>
                        </pic:blipFill>
                        <pic:spPr bwMode="auto">
                          <a:xfrm>
                            <a:off x="0" y="0"/>
                            <a:ext cx="2152650" cy="1257300"/>
                          </a:xfrm>
                          <a:prstGeom prst="rect">
                            <a:avLst/>
                          </a:prstGeom>
                          <a:noFill/>
                          <a:ln w="9525">
                            <a:noFill/>
                            <a:miter lim="800000"/>
                            <a:headEnd/>
                            <a:tailEnd/>
                          </a:ln>
                        </pic:spPr>
                      </pic:pic>
                    </a:graphicData>
                  </a:graphic>
                </wp:inline>
              </w:drawing>
            </w:r>
          </w:p>
        </w:tc>
        <w:tc>
          <w:tcPr>
            <w:tcW w:w="3885" w:type="dxa"/>
          </w:tcPr>
          <w:p w:rsidR="00B83F88" w:rsidRPr="001631EC" w:rsidRDefault="00B83F88" w:rsidP="00B83F88">
            <w:pPr>
              <w:rPr>
                <w:rFonts w:asciiTheme="minorHAnsi" w:hAnsiTheme="minorHAnsi"/>
              </w:rPr>
            </w:pPr>
            <w:r w:rsidRPr="001631EC">
              <w:rPr>
                <w:rFonts w:asciiTheme="minorHAnsi" w:hAnsiTheme="minorHAnsi"/>
                <w:noProof/>
              </w:rPr>
              <w:drawing>
                <wp:inline distT="0" distB="0" distL="0" distR="0">
                  <wp:extent cx="2295525" cy="1085850"/>
                  <wp:effectExtent l="19050" t="0" r="9525" b="0"/>
                  <wp:docPr id="85" name="Obraz 12" descr="rys24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descr="rys241"/>
                          <pic:cNvPicPr>
                            <a:picLocks noChangeAspect="1" noChangeArrowheads="1"/>
                          </pic:cNvPicPr>
                        </pic:nvPicPr>
                        <pic:blipFill>
                          <a:blip r:embed="rId65" cstate="print"/>
                          <a:srcRect/>
                          <a:stretch>
                            <a:fillRect/>
                          </a:stretch>
                        </pic:blipFill>
                        <pic:spPr bwMode="auto">
                          <a:xfrm>
                            <a:off x="0" y="0"/>
                            <a:ext cx="2295525" cy="1085850"/>
                          </a:xfrm>
                          <a:prstGeom prst="rect">
                            <a:avLst/>
                          </a:prstGeom>
                          <a:noFill/>
                          <a:ln w="9525">
                            <a:noFill/>
                            <a:miter lim="800000"/>
                            <a:headEnd/>
                            <a:tailEnd/>
                          </a:ln>
                        </pic:spPr>
                      </pic:pic>
                    </a:graphicData>
                  </a:graphic>
                </wp:inline>
              </w:drawing>
            </w:r>
          </w:p>
        </w:tc>
      </w:tr>
      <w:tr w:rsidR="00B83F88" w:rsidRPr="001631EC" w:rsidTr="002075C4">
        <w:trPr>
          <w:trHeight w:val="206"/>
        </w:trPr>
        <w:tc>
          <w:tcPr>
            <w:tcW w:w="3736" w:type="dxa"/>
          </w:tcPr>
          <w:p w:rsidR="00B83F88" w:rsidRPr="001631EC" w:rsidRDefault="00B83F88" w:rsidP="00B83F88">
            <w:pPr>
              <w:rPr>
                <w:rFonts w:asciiTheme="minorHAnsi" w:hAnsiTheme="minorHAnsi"/>
              </w:rPr>
            </w:pPr>
            <w:r w:rsidRPr="001631EC">
              <w:rPr>
                <w:rFonts w:asciiTheme="minorHAnsi" w:hAnsiTheme="minorHAnsi"/>
                <w:noProof/>
              </w:rPr>
              <w:drawing>
                <wp:inline distT="0" distB="0" distL="0" distR="0">
                  <wp:extent cx="2152650" cy="1238250"/>
                  <wp:effectExtent l="19050" t="0" r="0" b="0"/>
                  <wp:docPr id="86" name="Obraz 13" descr="rys23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descr="rys232"/>
                          <pic:cNvPicPr>
                            <a:picLocks noChangeAspect="1" noChangeArrowheads="1"/>
                          </pic:cNvPicPr>
                        </pic:nvPicPr>
                        <pic:blipFill>
                          <a:blip r:embed="rId66" cstate="print"/>
                          <a:srcRect/>
                          <a:stretch>
                            <a:fillRect/>
                          </a:stretch>
                        </pic:blipFill>
                        <pic:spPr bwMode="auto">
                          <a:xfrm>
                            <a:off x="0" y="0"/>
                            <a:ext cx="2152650" cy="1238250"/>
                          </a:xfrm>
                          <a:prstGeom prst="rect">
                            <a:avLst/>
                          </a:prstGeom>
                          <a:noFill/>
                          <a:ln w="9525">
                            <a:noFill/>
                            <a:miter lim="800000"/>
                            <a:headEnd/>
                            <a:tailEnd/>
                          </a:ln>
                        </pic:spPr>
                      </pic:pic>
                    </a:graphicData>
                  </a:graphic>
                </wp:inline>
              </w:drawing>
            </w:r>
          </w:p>
        </w:tc>
        <w:tc>
          <w:tcPr>
            <w:tcW w:w="3885" w:type="dxa"/>
          </w:tcPr>
          <w:p w:rsidR="00B83F88" w:rsidRPr="001631EC" w:rsidRDefault="00B83F88" w:rsidP="00B83F88">
            <w:pPr>
              <w:rPr>
                <w:rFonts w:asciiTheme="minorHAnsi" w:hAnsiTheme="minorHAnsi"/>
              </w:rPr>
            </w:pPr>
            <w:r w:rsidRPr="001631EC">
              <w:rPr>
                <w:rFonts w:asciiTheme="minorHAnsi" w:hAnsiTheme="minorHAnsi"/>
                <w:noProof/>
              </w:rPr>
              <w:drawing>
                <wp:inline distT="0" distB="0" distL="0" distR="0">
                  <wp:extent cx="2305050" cy="1228725"/>
                  <wp:effectExtent l="19050" t="0" r="0" b="0"/>
                  <wp:docPr id="87" name="Obraz 14" descr="rys24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descr="rys242"/>
                          <pic:cNvPicPr>
                            <a:picLocks noChangeAspect="1" noChangeArrowheads="1"/>
                          </pic:cNvPicPr>
                        </pic:nvPicPr>
                        <pic:blipFill>
                          <a:blip r:embed="rId67" cstate="print"/>
                          <a:srcRect/>
                          <a:stretch>
                            <a:fillRect/>
                          </a:stretch>
                        </pic:blipFill>
                        <pic:spPr bwMode="auto">
                          <a:xfrm>
                            <a:off x="0" y="0"/>
                            <a:ext cx="2305050" cy="1228725"/>
                          </a:xfrm>
                          <a:prstGeom prst="rect">
                            <a:avLst/>
                          </a:prstGeom>
                          <a:noFill/>
                          <a:ln w="9525">
                            <a:noFill/>
                            <a:miter lim="800000"/>
                            <a:headEnd/>
                            <a:tailEnd/>
                          </a:ln>
                        </pic:spPr>
                      </pic:pic>
                    </a:graphicData>
                  </a:graphic>
                </wp:inline>
              </w:drawing>
            </w:r>
          </w:p>
        </w:tc>
      </w:tr>
      <w:tr w:rsidR="00B83F88" w:rsidRPr="001631EC" w:rsidTr="002075C4">
        <w:trPr>
          <w:trHeight w:val="193"/>
        </w:trPr>
        <w:tc>
          <w:tcPr>
            <w:tcW w:w="3736" w:type="dxa"/>
          </w:tcPr>
          <w:p w:rsidR="00B83F88" w:rsidRPr="001631EC" w:rsidRDefault="00B83F88" w:rsidP="00B83F88">
            <w:pPr>
              <w:rPr>
                <w:rFonts w:asciiTheme="minorHAnsi" w:hAnsiTheme="minorHAnsi"/>
              </w:rPr>
            </w:pPr>
            <w:r w:rsidRPr="001631EC">
              <w:rPr>
                <w:rFonts w:asciiTheme="minorHAnsi" w:hAnsiTheme="minorHAnsi"/>
                <w:noProof/>
              </w:rPr>
              <w:drawing>
                <wp:inline distT="0" distB="0" distL="0" distR="0">
                  <wp:extent cx="2152650" cy="1257300"/>
                  <wp:effectExtent l="19050" t="0" r="0" b="0"/>
                  <wp:docPr id="88" name="Obraz 15" descr="rys23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 descr="rys233"/>
                          <pic:cNvPicPr>
                            <a:picLocks noChangeAspect="1" noChangeArrowheads="1"/>
                          </pic:cNvPicPr>
                        </pic:nvPicPr>
                        <pic:blipFill>
                          <a:blip r:embed="rId68" cstate="print"/>
                          <a:srcRect/>
                          <a:stretch>
                            <a:fillRect/>
                          </a:stretch>
                        </pic:blipFill>
                        <pic:spPr bwMode="auto">
                          <a:xfrm>
                            <a:off x="0" y="0"/>
                            <a:ext cx="2152650" cy="1257300"/>
                          </a:xfrm>
                          <a:prstGeom prst="rect">
                            <a:avLst/>
                          </a:prstGeom>
                          <a:noFill/>
                          <a:ln w="9525">
                            <a:noFill/>
                            <a:miter lim="800000"/>
                            <a:headEnd/>
                            <a:tailEnd/>
                          </a:ln>
                        </pic:spPr>
                      </pic:pic>
                    </a:graphicData>
                  </a:graphic>
                </wp:inline>
              </w:drawing>
            </w:r>
          </w:p>
        </w:tc>
        <w:tc>
          <w:tcPr>
            <w:tcW w:w="3885" w:type="dxa"/>
          </w:tcPr>
          <w:p w:rsidR="00B83F88" w:rsidRPr="001631EC" w:rsidRDefault="00B83F88" w:rsidP="00B83F88">
            <w:pPr>
              <w:rPr>
                <w:rFonts w:asciiTheme="minorHAnsi" w:hAnsiTheme="minorHAnsi"/>
              </w:rPr>
            </w:pPr>
            <w:r w:rsidRPr="001631EC">
              <w:rPr>
                <w:rFonts w:asciiTheme="minorHAnsi" w:hAnsiTheme="minorHAnsi"/>
                <w:noProof/>
              </w:rPr>
              <w:drawing>
                <wp:inline distT="0" distB="0" distL="0" distR="0">
                  <wp:extent cx="2371725" cy="1152525"/>
                  <wp:effectExtent l="19050" t="0" r="9525" b="0"/>
                  <wp:docPr id="89" name="Obraz 16" descr="rys24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 descr="rys243"/>
                          <pic:cNvPicPr>
                            <a:picLocks noChangeAspect="1" noChangeArrowheads="1"/>
                          </pic:cNvPicPr>
                        </pic:nvPicPr>
                        <pic:blipFill>
                          <a:blip r:embed="rId69" cstate="print"/>
                          <a:srcRect/>
                          <a:stretch>
                            <a:fillRect/>
                          </a:stretch>
                        </pic:blipFill>
                        <pic:spPr bwMode="auto">
                          <a:xfrm>
                            <a:off x="0" y="0"/>
                            <a:ext cx="2371725" cy="1152525"/>
                          </a:xfrm>
                          <a:prstGeom prst="rect">
                            <a:avLst/>
                          </a:prstGeom>
                          <a:noFill/>
                          <a:ln w="9525">
                            <a:noFill/>
                            <a:miter lim="800000"/>
                            <a:headEnd/>
                            <a:tailEnd/>
                          </a:ln>
                        </pic:spPr>
                      </pic:pic>
                    </a:graphicData>
                  </a:graphic>
                </wp:inline>
              </w:drawing>
            </w:r>
          </w:p>
        </w:tc>
      </w:tr>
      <w:tr w:rsidR="00B83F88" w:rsidRPr="001631EC" w:rsidTr="002075C4">
        <w:trPr>
          <w:trHeight w:val="193"/>
        </w:trPr>
        <w:tc>
          <w:tcPr>
            <w:tcW w:w="3736" w:type="dxa"/>
          </w:tcPr>
          <w:p w:rsidR="00B83F88" w:rsidRPr="001631EC" w:rsidRDefault="00B83F88" w:rsidP="00B83F88">
            <w:pPr>
              <w:rPr>
                <w:rFonts w:asciiTheme="minorHAnsi" w:hAnsiTheme="minorHAnsi"/>
              </w:rPr>
            </w:pPr>
            <w:r w:rsidRPr="001631EC">
              <w:rPr>
                <w:rFonts w:asciiTheme="minorHAnsi" w:hAnsiTheme="minorHAnsi"/>
                <w:noProof/>
              </w:rPr>
              <w:drawing>
                <wp:inline distT="0" distB="0" distL="0" distR="0">
                  <wp:extent cx="2238375" cy="1266825"/>
                  <wp:effectExtent l="19050" t="0" r="9525" b="0"/>
                  <wp:docPr id="90" name="Obraz 17" descr="rys2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 descr="rys234"/>
                          <pic:cNvPicPr>
                            <a:picLocks noChangeAspect="1" noChangeArrowheads="1"/>
                          </pic:cNvPicPr>
                        </pic:nvPicPr>
                        <pic:blipFill>
                          <a:blip r:embed="rId70" cstate="print"/>
                          <a:srcRect/>
                          <a:stretch>
                            <a:fillRect/>
                          </a:stretch>
                        </pic:blipFill>
                        <pic:spPr bwMode="auto">
                          <a:xfrm>
                            <a:off x="0" y="0"/>
                            <a:ext cx="2238375" cy="1266825"/>
                          </a:xfrm>
                          <a:prstGeom prst="rect">
                            <a:avLst/>
                          </a:prstGeom>
                          <a:noFill/>
                          <a:ln w="9525">
                            <a:noFill/>
                            <a:miter lim="800000"/>
                            <a:headEnd/>
                            <a:tailEnd/>
                          </a:ln>
                        </pic:spPr>
                      </pic:pic>
                    </a:graphicData>
                  </a:graphic>
                </wp:inline>
              </w:drawing>
            </w:r>
          </w:p>
        </w:tc>
        <w:tc>
          <w:tcPr>
            <w:tcW w:w="3885" w:type="dxa"/>
          </w:tcPr>
          <w:p w:rsidR="00B83F88" w:rsidRPr="001631EC" w:rsidRDefault="00B83F88" w:rsidP="00B83F88">
            <w:pPr>
              <w:rPr>
                <w:rFonts w:asciiTheme="minorHAnsi" w:hAnsiTheme="minorHAnsi"/>
              </w:rPr>
            </w:pPr>
            <w:r w:rsidRPr="001631EC">
              <w:rPr>
                <w:rFonts w:asciiTheme="minorHAnsi" w:hAnsiTheme="minorHAnsi"/>
                <w:noProof/>
              </w:rPr>
              <w:drawing>
                <wp:inline distT="0" distB="0" distL="0" distR="0">
                  <wp:extent cx="2371725" cy="1133475"/>
                  <wp:effectExtent l="19050" t="0" r="9525" b="0"/>
                  <wp:docPr id="91" name="Obraz 18" descr="rys24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 descr="rys244"/>
                          <pic:cNvPicPr>
                            <a:picLocks noChangeAspect="1" noChangeArrowheads="1"/>
                          </pic:cNvPicPr>
                        </pic:nvPicPr>
                        <pic:blipFill>
                          <a:blip r:embed="rId71" cstate="print"/>
                          <a:srcRect/>
                          <a:stretch>
                            <a:fillRect/>
                          </a:stretch>
                        </pic:blipFill>
                        <pic:spPr bwMode="auto">
                          <a:xfrm>
                            <a:off x="0" y="0"/>
                            <a:ext cx="2371725" cy="1133475"/>
                          </a:xfrm>
                          <a:prstGeom prst="rect">
                            <a:avLst/>
                          </a:prstGeom>
                          <a:noFill/>
                          <a:ln w="9525">
                            <a:noFill/>
                            <a:miter lim="800000"/>
                            <a:headEnd/>
                            <a:tailEnd/>
                          </a:ln>
                        </pic:spPr>
                      </pic:pic>
                    </a:graphicData>
                  </a:graphic>
                </wp:inline>
              </w:drawing>
            </w:r>
          </w:p>
        </w:tc>
      </w:tr>
    </w:tbl>
    <w:p w:rsidR="00B83F88" w:rsidRPr="001631EC" w:rsidRDefault="00B83F88" w:rsidP="00B83F88">
      <w:pPr>
        <w:rPr>
          <w:rFonts w:asciiTheme="minorHAnsi" w:hAnsiTheme="minorHAnsi"/>
        </w:rPr>
      </w:pPr>
    </w:p>
    <w:p w:rsidR="00B83F88" w:rsidRDefault="00B83F88" w:rsidP="00B83F88">
      <w:pPr>
        <w:rPr>
          <w:rFonts w:asciiTheme="minorHAnsi" w:hAnsiTheme="minorHAnsi"/>
        </w:rPr>
      </w:pPr>
    </w:p>
    <w:p w:rsidR="00141829" w:rsidRDefault="00141829" w:rsidP="00B83F88">
      <w:pPr>
        <w:rPr>
          <w:rFonts w:asciiTheme="minorHAnsi" w:hAnsiTheme="minorHAnsi"/>
        </w:rPr>
      </w:pPr>
    </w:p>
    <w:p w:rsidR="00141829" w:rsidRDefault="00141829" w:rsidP="00B83F88">
      <w:pPr>
        <w:rPr>
          <w:rFonts w:asciiTheme="minorHAnsi" w:hAnsiTheme="minorHAnsi"/>
        </w:rPr>
      </w:pPr>
    </w:p>
    <w:p w:rsidR="00141829" w:rsidRDefault="00141829" w:rsidP="00B83F88">
      <w:pPr>
        <w:rPr>
          <w:rFonts w:asciiTheme="minorHAnsi" w:hAnsiTheme="minorHAnsi"/>
        </w:rPr>
      </w:pPr>
    </w:p>
    <w:p w:rsidR="00141829" w:rsidRDefault="00141829" w:rsidP="00B83F88">
      <w:pPr>
        <w:rPr>
          <w:rFonts w:asciiTheme="minorHAnsi" w:hAnsiTheme="minorHAnsi"/>
        </w:rPr>
      </w:pPr>
    </w:p>
    <w:p w:rsidR="00141829" w:rsidRDefault="00141829" w:rsidP="00B83F88">
      <w:pPr>
        <w:rPr>
          <w:rFonts w:asciiTheme="minorHAnsi" w:hAnsiTheme="minorHAnsi"/>
        </w:rPr>
      </w:pPr>
    </w:p>
    <w:p w:rsidR="00141829" w:rsidRDefault="00141829" w:rsidP="00B83F88">
      <w:pPr>
        <w:rPr>
          <w:rFonts w:asciiTheme="minorHAnsi" w:hAnsiTheme="minorHAnsi"/>
        </w:rPr>
      </w:pPr>
    </w:p>
    <w:p w:rsidR="00141829" w:rsidRDefault="00141829" w:rsidP="00B83F88">
      <w:pPr>
        <w:rPr>
          <w:rFonts w:asciiTheme="minorHAnsi" w:hAnsiTheme="minorHAnsi"/>
        </w:rPr>
      </w:pPr>
    </w:p>
    <w:p w:rsidR="00141829" w:rsidRDefault="00141829" w:rsidP="00B83F88">
      <w:pPr>
        <w:rPr>
          <w:rFonts w:asciiTheme="minorHAnsi" w:hAnsiTheme="minorHAnsi"/>
        </w:rPr>
      </w:pPr>
    </w:p>
    <w:p w:rsidR="00141829" w:rsidRDefault="00141829" w:rsidP="00B83F88">
      <w:pPr>
        <w:rPr>
          <w:rFonts w:asciiTheme="minorHAnsi" w:hAnsiTheme="minorHAnsi"/>
        </w:rPr>
      </w:pPr>
    </w:p>
    <w:p w:rsidR="00141829" w:rsidRDefault="00141829" w:rsidP="00B83F88">
      <w:pPr>
        <w:rPr>
          <w:rFonts w:asciiTheme="minorHAnsi" w:hAnsiTheme="minorHAnsi"/>
        </w:rPr>
      </w:pPr>
    </w:p>
    <w:p w:rsidR="00141829" w:rsidRDefault="00141829" w:rsidP="00B83F88">
      <w:pPr>
        <w:rPr>
          <w:rFonts w:asciiTheme="minorHAnsi" w:hAnsiTheme="minorHAnsi"/>
        </w:rPr>
      </w:pPr>
    </w:p>
    <w:p w:rsidR="00141829" w:rsidRDefault="00141829" w:rsidP="00B83F88">
      <w:pPr>
        <w:rPr>
          <w:rFonts w:asciiTheme="minorHAnsi" w:hAnsiTheme="minorHAnsi"/>
        </w:rPr>
      </w:pPr>
    </w:p>
    <w:p w:rsidR="00141829" w:rsidRDefault="00141829" w:rsidP="00B83F88">
      <w:pPr>
        <w:rPr>
          <w:rFonts w:asciiTheme="minorHAnsi" w:hAnsiTheme="minorHAnsi"/>
        </w:rPr>
      </w:pPr>
    </w:p>
    <w:p w:rsidR="00141829" w:rsidRDefault="00141829" w:rsidP="00B83F88">
      <w:pPr>
        <w:rPr>
          <w:rFonts w:asciiTheme="minorHAnsi" w:hAnsiTheme="minorHAnsi"/>
        </w:rPr>
      </w:pPr>
    </w:p>
    <w:p w:rsidR="00141829" w:rsidRDefault="00141829" w:rsidP="00B83F88">
      <w:pPr>
        <w:rPr>
          <w:rFonts w:asciiTheme="minorHAnsi" w:hAnsiTheme="minorHAnsi"/>
        </w:rPr>
      </w:pPr>
    </w:p>
    <w:p w:rsidR="00141829" w:rsidRDefault="00141829" w:rsidP="00B83F88">
      <w:pPr>
        <w:rPr>
          <w:rFonts w:asciiTheme="minorHAnsi" w:hAnsiTheme="minorHAnsi"/>
        </w:rPr>
      </w:pPr>
    </w:p>
    <w:p w:rsidR="00141829" w:rsidRDefault="00141829" w:rsidP="00B83F88">
      <w:pPr>
        <w:rPr>
          <w:rFonts w:asciiTheme="minorHAnsi" w:hAnsiTheme="minorHAnsi"/>
        </w:rPr>
      </w:pPr>
    </w:p>
    <w:p w:rsidR="00141829" w:rsidRDefault="00141829" w:rsidP="00B83F88">
      <w:pPr>
        <w:rPr>
          <w:rFonts w:asciiTheme="minorHAnsi" w:hAnsiTheme="minorHAnsi"/>
        </w:rPr>
      </w:pPr>
    </w:p>
    <w:p w:rsidR="00141829" w:rsidRDefault="00141829" w:rsidP="00B83F88">
      <w:pPr>
        <w:rPr>
          <w:rFonts w:asciiTheme="minorHAnsi" w:hAnsiTheme="minorHAnsi"/>
        </w:rPr>
      </w:pPr>
    </w:p>
    <w:p w:rsidR="000C27BF" w:rsidRDefault="000C27BF" w:rsidP="00B83F88">
      <w:pPr>
        <w:rPr>
          <w:rFonts w:asciiTheme="minorHAnsi" w:hAnsiTheme="minorHAnsi"/>
        </w:rPr>
      </w:pPr>
    </w:p>
    <w:p w:rsidR="000C27BF" w:rsidRDefault="000C27BF" w:rsidP="00B83F88">
      <w:pPr>
        <w:rPr>
          <w:rFonts w:asciiTheme="minorHAnsi" w:hAnsiTheme="minorHAnsi"/>
        </w:rPr>
      </w:pPr>
    </w:p>
    <w:p w:rsidR="000C27BF" w:rsidRDefault="000C27BF" w:rsidP="00B83F88">
      <w:pPr>
        <w:rPr>
          <w:rFonts w:asciiTheme="minorHAnsi" w:hAnsiTheme="minorHAnsi"/>
        </w:rPr>
      </w:pPr>
    </w:p>
    <w:p w:rsidR="000C27BF" w:rsidRPr="001631EC" w:rsidRDefault="000C27BF" w:rsidP="00B83F88">
      <w:pPr>
        <w:rPr>
          <w:rFonts w:asciiTheme="minorHAnsi" w:hAnsiTheme="minorHAnsi"/>
        </w:rPr>
      </w:pPr>
    </w:p>
    <w:p w:rsidR="00B83F88" w:rsidRPr="001631EC" w:rsidRDefault="00B83F88" w:rsidP="00B83F88">
      <w:pPr>
        <w:rPr>
          <w:rFonts w:asciiTheme="minorHAnsi" w:hAnsiTheme="minorHAnsi"/>
        </w:rPr>
      </w:pPr>
      <w:r w:rsidRPr="001631EC">
        <w:rPr>
          <w:rFonts w:asciiTheme="minorHAnsi" w:hAnsiTheme="minorHAnsi"/>
        </w:rPr>
        <w:lastRenderedPageBreak/>
        <w:t>ZAŁĄCZNIK 4</w:t>
      </w:r>
    </w:p>
    <w:p w:rsidR="00B83F88" w:rsidRPr="001631EC" w:rsidRDefault="00B83F88" w:rsidP="00B83F88">
      <w:pPr>
        <w:rPr>
          <w:rFonts w:asciiTheme="minorHAnsi" w:hAnsiTheme="minorHAnsi"/>
        </w:rPr>
      </w:pPr>
      <w:r w:rsidRPr="001631EC">
        <w:rPr>
          <w:rFonts w:asciiTheme="minorHAnsi" w:hAnsiTheme="minorHAnsi"/>
        </w:rPr>
        <w:t>Zalecone konstrukcje nawierzchni z betonowej kostki brukowej na drogach publicznych</w:t>
      </w:r>
    </w:p>
    <w:p w:rsidR="00B83F88" w:rsidRPr="001631EC" w:rsidRDefault="00B83F88" w:rsidP="00B83F88">
      <w:pPr>
        <w:rPr>
          <w:rFonts w:asciiTheme="minorHAnsi" w:hAnsiTheme="minorHAnsi"/>
        </w:rPr>
      </w:pPr>
      <w:r w:rsidRPr="001631EC">
        <w:rPr>
          <w:rFonts w:asciiTheme="minorHAnsi" w:hAnsiTheme="minorHAnsi"/>
        </w:rPr>
        <w:t>(wg rozporządzenia Ministra Transportu i Gospodarki Morskiej z dnia 2 marca 1999 r.</w:t>
      </w:r>
      <w:r w:rsidRPr="001631EC">
        <w:rPr>
          <w:rFonts w:asciiTheme="minorHAnsi" w:hAnsiTheme="minorHAnsi"/>
        </w:rPr>
        <w:br/>
        <w:t>w sprawie warunków technicznych, jakim powinny odpowiadać drogi publiczne i ich usytuowanie, Dz.U. Nr 43, poz. 430)</w:t>
      </w:r>
    </w:p>
    <w:p w:rsidR="00B83F88" w:rsidRPr="001631EC" w:rsidRDefault="00B83F88" w:rsidP="00B83F88">
      <w:pPr>
        <w:rPr>
          <w:rFonts w:asciiTheme="minorHAnsi" w:hAnsiTheme="minorHAnsi"/>
        </w:rPr>
      </w:pPr>
    </w:p>
    <w:p w:rsidR="00B83F88" w:rsidRPr="001631EC" w:rsidRDefault="00B83F88" w:rsidP="00B83F88">
      <w:pPr>
        <w:rPr>
          <w:rFonts w:asciiTheme="minorHAnsi" w:hAnsiTheme="minorHAnsi"/>
        </w:rPr>
      </w:pPr>
      <w:r w:rsidRPr="001631EC">
        <w:rPr>
          <w:rFonts w:asciiTheme="minorHAnsi" w:hAnsiTheme="minorHAnsi"/>
        </w:rPr>
        <w:t>1.Nawierzchnia w rejonie przystanku autobusowego (na podłożu G1 o module sprężystości (wtórnym) ≥ 120 MPa)</w:t>
      </w:r>
    </w:p>
    <w:p w:rsidR="00B83F88" w:rsidRPr="00270DB6" w:rsidRDefault="00B83F88" w:rsidP="00B83F88">
      <w:pPr>
        <w:rPr>
          <w:rFonts w:asciiTheme="minorHAnsi" w:hAnsiTheme="minorHAnsi"/>
        </w:rPr>
      </w:pPr>
      <w:r w:rsidRPr="00270DB6">
        <w:rPr>
          <w:rFonts w:asciiTheme="minorHAnsi" w:hAnsiTheme="minorHAnsi"/>
        </w:rPr>
        <w:t>1.1. Drogi o ruchu kategorii KR3 (71</w:t>
      </w:r>
      <w:r w:rsidRPr="00270DB6">
        <w:rPr>
          <w:rFonts w:asciiTheme="minorHAnsi" w:hAnsiTheme="minorHAnsi"/>
        </w:rPr>
        <w:sym w:font="Symbol" w:char="F0B8"/>
      </w:r>
      <w:r w:rsidRPr="00270DB6">
        <w:rPr>
          <w:rFonts w:asciiTheme="minorHAnsi" w:hAnsiTheme="minorHAnsi"/>
        </w:rPr>
        <w:t>335 osi obliczeniowych 100 kN/pas/dobę)</w:t>
      </w:r>
    </w:p>
    <w:p w:rsidR="00B83F88" w:rsidRDefault="00B83F88" w:rsidP="00B83F88">
      <w:pPr>
        <w:jc w:val="center"/>
      </w:pPr>
      <w:r>
        <w:rPr>
          <w:noProof/>
        </w:rPr>
        <w:drawing>
          <wp:inline distT="0" distB="0" distL="0" distR="0">
            <wp:extent cx="4667250" cy="1800225"/>
            <wp:effectExtent l="19050" t="0" r="0" b="0"/>
            <wp:docPr id="92" name="Obraz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
                    <pic:cNvPicPr>
                      <a:picLocks noChangeAspect="1" noChangeArrowheads="1"/>
                    </pic:cNvPicPr>
                  </pic:nvPicPr>
                  <pic:blipFill>
                    <a:blip r:embed="rId72" cstate="print"/>
                    <a:srcRect/>
                    <a:stretch>
                      <a:fillRect/>
                    </a:stretch>
                  </pic:blipFill>
                  <pic:spPr bwMode="auto">
                    <a:xfrm>
                      <a:off x="0" y="0"/>
                      <a:ext cx="4667250" cy="1800225"/>
                    </a:xfrm>
                    <a:prstGeom prst="rect">
                      <a:avLst/>
                    </a:prstGeom>
                    <a:noFill/>
                    <a:ln w="9525">
                      <a:noFill/>
                      <a:miter lim="800000"/>
                      <a:headEnd/>
                      <a:tailEnd/>
                    </a:ln>
                  </pic:spPr>
                </pic:pic>
              </a:graphicData>
            </a:graphic>
          </wp:inline>
        </w:drawing>
      </w:r>
    </w:p>
    <w:p w:rsidR="00B83F88" w:rsidRPr="00270DB6" w:rsidRDefault="00B83F88" w:rsidP="00B83F88">
      <w:pPr>
        <w:rPr>
          <w:rFonts w:asciiTheme="minorHAnsi" w:hAnsiTheme="minorHAnsi"/>
        </w:rPr>
      </w:pPr>
      <w:r w:rsidRPr="00270DB6">
        <w:rPr>
          <w:rFonts w:asciiTheme="minorHAnsi" w:hAnsiTheme="minorHAnsi"/>
        </w:rPr>
        <w:t>1.2. Drogi o ruchu kategorii KR4 (336</w:t>
      </w:r>
      <w:r w:rsidRPr="00270DB6">
        <w:rPr>
          <w:rFonts w:asciiTheme="minorHAnsi" w:hAnsiTheme="minorHAnsi"/>
        </w:rPr>
        <w:sym w:font="Symbol" w:char="F0B8"/>
      </w:r>
      <w:r w:rsidRPr="00270DB6">
        <w:rPr>
          <w:rFonts w:asciiTheme="minorHAnsi" w:hAnsiTheme="minorHAnsi"/>
        </w:rPr>
        <w:t>1000 osi obliczeniowych 100 kN/pas/dobę)</w:t>
      </w:r>
    </w:p>
    <w:p w:rsidR="00B83F88" w:rsidRDefault="00B83F88" w:rsidP="00B83F88">
      <w:pPr>
        <w:jc w:val="center"/>
      </w:pPr>
      <w:r>
        <w:rPr>
          <w:noProof/>
        </w:rPr>
        <w:drawing>
          <wp:inline distT="0" distB="0" distL="0" distR="0">
            <wp:extent cx="4695825" cy="2047875"/>
            <wp:effectExtent l="19050" t="0" r="9525" b="0"/>
            <wp:docPr id="93" name="Obraz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
                    <pic:cNvPicPr>
                      <a:picLocks noChangeAspect="1" noChangeArrowheads="1"/>
                    </pic:cNvPicPr>
                  </pic:nvPicPr>
                  <pic:blipFill>
                    <a:blip r:embed="rId73" cstate="print"/>
                    <a:srcRect/>
                    <a:stretch>
                      <a:fillRect/>
                    </a:stretch>
                  </pic:blipFill>
                  <pic:spPr bwMode="auto">
                    <a:xfrm>
                      <a:off x="0" y="0"/>
                      <a:ext cx="4695825" cy="2047875"/>
                    </a:xfrm>
                    <a:prstGeom prst="rect">
                      <a:avLst/>
                    </a:prstGeom>
                    <a:noFill/>
                    <a:ln w="9525">
                      <a:noFill/>
                      <a:miter lim="800000"/>
                      <a:headEnd/>
                      <a:tailEnd/>
                    </a:ln>
                  </pic:spPr>
                </pic:pic>
              </a:graphicData>
            </a:graphic>
          </wp:inline>
        </w:drawing>
      </w:r>
    </w:p>
    <w:p w:rsidR="00B83F88" w:rsidRDefault="00B83F88" w:rsidP="00B83F88">
      <w:pPr>
        <w:jc w:val="center"/>
      </w:pPr>
    </w:p>
    <w:p w:rsidR="00B83F88" w:rsidRPr="00270DB6" w:rsidRDefault="00B83F88" w:rsidP="00B83F88">
      <w:pPr>
        <w:rPr>
          <w:rFonts w:asciiTheme="minorHAnsi" w:hAnsiTheme="minorHAnsi"/>
        </w:rPr>
      </w:pPr>
      <w:r w:rsidRPr="00270DB6">
        <w:rPr>
          <w:rFonts w:asciiTheme="minorHAnsi" w:hAnsiTheme="minorHAnsi"/>
        </w:rPr>
        <w:t>1.3. Drogi o ruchu kategorii KR5 (1001</w:t>
      </w:r>
      <w:r w:rsidRPr="00270DB6">
        <w:rPr>
          <w:rFonts w:asciiTheme="minorHAnsi" w:hAnsiTheme="minorHAnsi"/>
        </w:rPr>
        <w:sym w:font="Symbol" w:char="F0B8"/>
      </w:r>
      <w:r w:rsidRPr="00270DB6">
        <w:rPr>
          <w:rFonts w:asciiTheme="minorHAnsi" w:hAnsiTheme="minorHAnsi"/>
        </w:rPr>
        <w:t>2000 osi obliczeniowych 100 kN/pas/dobę)</w:t>
      </w:r>
    </w:p>
    <w:p w:rsidR="00B83F88" w:rsidRDefault="00B83F88" w:rsidP="00B83F88">
      <w:pPr>
        <w:jc w:val="center"/>
      </w:pPr>
      <w:r>
        <w:rPr>
          <w:noProof/>
        </w:rPr>
        <w:drawing>
          <wp:inline distT="0" distB="0" distL="0" distR="0">
            <wp:extent cx="4705350" cy="2057400"/>
            <wp:effectExtent l="19050" t="0" r="0" b="0"/>
            <wp:docPr id="94" name="Obraz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
                    <pic:cNvPicPr>
                      <a:picLocks noChangeAspect="1" noChangeArrowheads="1"/>
                    </pic:cNvPicPr>
                  </pic:nvPicPr>
                  <pic:blipFill>
                    <a:blip r:embed="rId74" cstate="print"/>
                    <a:srcRect/>
                    <a:stretch>
                      <a:fillRect/>
                    </a:stretch>
                  </pic:blipFill>
                  <pic:spPr bwMode="auto">
                    <a:xfrm>
                      <a:off x="0" y="0"/>
                      <a:ext cx="4705350" cy="2057400"/>
                    </a:xfrm>
                    <a:prstGeom prst="rect">
                      <a:avLst/>
                    </a:prstGeom>
                    <a:noFill/>
                    <a:ln w="9525">
                      <a:noFill/>
                      <a:miter lim="800000"/>
                      <a:headEnd/>
                      <a:tailEnd/>
                    </a:ln>
                  </pic:spPr>
                </pic:pic>
              </a:graphicData>
            </a:graphic>
          </wp:inline>
        </w:drawing>
      </w:r>
    </w:p>
    <w:p w:rsidR="00B83F88" w:rsidRDefault="00B83F88" w:rsidP="00B83F88">
      <w:pPr>
        <w:jc w:val="center"/>
      </w:pPr>
    </w:p>
    <w:p w:rsidR="00E005EB" w:rsidRDefault="00E005EB" w:rsidP="00B83F88">
      <w:pPr>
        <w:rPr>
          <w:rFonts w:asciiTheme="minorHAnsi" w:hAnsiTheme="minorHAnsi"/>
        </w:rPr>
      </w:pPr>
    </w:p>
    <w:p w:rsidR="00E005EB" w:rsidRDefault="00E005EB" w:rsidP="00B83F88">
      <w:pPr>
        <w:rPr>
          <w:rFonts w:asciiTheme="minorHAnsi" w:hAnsiTheme="minorHAnsi"/>
        </w:rPr>
      </w:pPr>
    </w:p>
    <w:p w:rsidR="000C27BF" w:rsidRDefault="000C27BF" w:rsidP="00B83F88">
      <w:pPr>
        <w:rPr>
          <w:rFonts w:asciiTheme="minorHAnsi" w:hAnsiTheme="minorHAnsi"/>
        </w:rPr>
      </w:pPr>
    </w:p>
    <w:p w:rsidR="000C27BF" w:rsidRDefault="000C27BF" w:rsidP="00B83F88">
      <w:pPr>
        <w:rPr>
          <w:rFonts w:asciiTheme="minorHAnsi" w:hAnsiTheme="minorHAnsi"/>
        </w:rPr>
      </w:pPr>
    </w:p>
    <w:p w:rsidR="000C27BF" w:rsidRDefault="000C27BF" w:rsidP="00B83F88">
      <w:pPr>
        <w:rPr>
          <w:rFonts w:asciiTheme="minorHAnsi" w:hAnsiTheme="minorHAnsi"/>
        </w:rPr>
      </w:pPr>
    </w:p>
    <w:p w:rsidR="00E005EB" w:rsidRDefault="00E005EB" w:rsidP="00B83F88">
      <w:pPr>
        <w:rPr>
          <w:rFonts w:asciiTheme="minorHAnsi" w:hAnsiTheme="minorHAnsi"/>
        </w:rPr>
      </w:pPr>
    </w:p>
    <w:p w:rsidR="00E005EB" w:rsidRDefault="00E005EB" w:rsidP="00B83F88">
      <w:pPr>
        <w:rPr>
          <w:rFonts w:asciiTheme="minorHAnsi" w:hAnsiTheme="minorHAnsi"/>
        </w:rPr>
      </w:pPr>
    </w:p>
    <w:p w:rsidR="00E005EB" w:rsidRDefault="00E005EB" w:rsidP="00B83F88">
      <w:pPr>
        <w:rPr>
          <w:rFonts w:asciiTheme="minorHAnsi" w:hAnsiTheme="minorHAnsi"/>
        </w:rPr>
      </w:pPr>
    </w:p>
    <w:p w:rsidR="00B83F88" w:rsidRPr="00270DB6" w:rsidRDefault="00B83F88" w:rsidP="00B83F88">
      <w:pPr>
        <w:rPr>
          <w:rFonts w:asciiTheme="minorHAnsi" w:hAnsiTheme="minorHAnsi"/>
        </w:rPr>
      </w:pPr>
      <w:r>
        <w:rPr>
          <w:rFonts w:asciiTheme="minorHAnsi" w:hAnsiTheme="minorHAnsi"/>
        </w:rPr>
        <w:lastRenderedPageBreak/>
        <w:t xml:space="preserve">2. </w:t>
      </w:r>
      <w:r w:rsidRPr="00270DB6">
        <w:rPr>
          <w:rFonts w:asciiTheme="minorHAnsi" w:hAnsiTheme="minorHAnsi"/>
        </w:rPr>
        <w:t xml:space="preserve">Nawierzchnia jezdni dróg klasy L (lokalnych) i D (dojazdowych) w strefie zamieszkania (na podłożu G1 o module sprężystości (wtórnym) </w:t>
      </w:r>
      <w:r w:rsidRPr="00270DB6">
        <w:rPr>
          <w:rFonts w:asciiTheme="minorHAnsi" w:hAnsiTheme="minorHAnsi"/>
        </w:rPr>
        <w:sym w:font="Symbol" w:char="F0B3"/>
      </w:r>
      <w:r w:rsidRPr="00270DB6">
        <w:rPr>
          <w:rFonts w:asciiTheme="minorHAnsi" w:hAnsiTheme="minorHAnsi"/>
        </w:rPr>
        <w:t xml:space="preserve"> 100 MPa)</w:t>
      </w:r>
    </w:p>
    <w:p w:rsidR="00B83F88" w:rsidRDefault="00B83F88" w:rsidP="00B83F88">
      <w:pPr>
        <w:jc w:val="center"/>
      </w:pPr>
      <w:r>
        <w:rPr>
          <w:noProof/>
        </w:rPr>
        <w:drawing>
          <wp:inline distT="0" distB="0" distL="0" distR="0">
            <wp:extent cx="2276475" cy="1343025"/>
            <wp:effectExtent l="19050" t="0" r="9525" b="0"/>
            <wp:docPr id="95" name="Obraz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
                    <pic:cNvPicPr>
                      <a:picLocks noChangeAspect="1" noChangeArrowheads="1"/>
                    </pic:cNvPicPr>
                  </pic:nvPicPr>
                  <pic:blipFill>
                    <a:blip r:embed="rId75" cstate="print"/>
                    <a:srcRect/>
                    <a:stretch>
                      <a:fillRect/>
                    </a:stretch>
                  </pic:blipFill>
                  <pic:spPr bwMode="auto">
                    <a:xfrm>
                      <a:off x="0" y="0"/>
                      <a:ext cx="2276475" cy="1343025"/>
                    </a:xfrm>
                    <a:prstGeom prst="rect">
                      <a:avLst/>
                    </a:prstGeom>
                    <a:noFill/>
                    <a:ln w="9525">
                      <a:noFill/>
                      <a:miter lim="800000"/>
                      <a:headEnd/>
                      <a:tailEnd/>
                    </a:ln>
                  </pic:spPr>
                </pic:pic>
              </a:graphicData>
            </a:graphic>
          </wp:inline>
        </w:drawing>
      </w:r>
    </w:p>
    <w:p w:rsidR="00B83F88" w:rsidRPr="000B786E" w:rsidRDefault="00B83F88" w:rsidP="00B83F88">
      <w:pPr>
        <w:jc w:val="center"/>
      </w:pPr>
    </w:p>
    <w:p w:rsidR="00E90E02" w:rsidRDefault="00E90E02" w:rsidP="00B83F88">
      <w:pPr>
        <w:rPr>
          <w:rFonts w:asciiTheme="minorHAnsi" w:hAnsiTheme="minorHAnsi"/>
        </w:rPr>
      </w:pPr>
    </w:p>
    <w:p w:rsidR="00B83F88" w:rsidRPr="00270DB6" w:rsidRDefault="00B83F88" w:rsidP="00B83F88">
      <w:pPr>
        <w:rPr>
          <w:rFonts w:asciiTheme="minorHAnsi" w:hAnsiTheme="minorHAnsi"/>
        </w:rPr>
      </w:pPr>
      <w:r>
        <w:rPr>
          <w:rFonts w:asciiTheme="minorHAnsi" w:hAnsiTheme="minorHAnsi"/>
        </w:rPr>
        <w:t xml:space="preserve">3. </w:t>
      </w:r>
      <w:r w:rsidRPr="00270DB6">
        <w:rPr>
          <w:rFonts w:asciiTheme="minorHAnsi" w:hAnsiTheme="minorHAnsi"/>
        </w:rPr>
        <w:t>Nawierzchnia chodnika</w:t>
      </w:r>
    </w:p>
    <w:p w:rsidR="00B83F88" w:rsidRPr="00270DB6" w:rsidRDefault="00B83F88" w:rsidP="00B83F88">
      <w:pPr>
        <w:rPr>
          <w:rFonts w:asciiTheme="minorHAnsi" w:hAnsiTheme="minorHAnsi"/>
        </w:rPr>
      </w:pPr>
      <w:r w:rsidRPr="00270DB6">
        <w:rPr>
          <w:rFonts w:asciiTheme="minorHAnsi" w:hAnsiTheme="minorHAnsi"/>
        </w:rPr>
        <w:t xml:space="preserve">a) z dopuszczeniem postoju samochodów o masie całkowitej </w:t>
      </w:r>
      <w:r w:rsidRPr="00270DB6">
        <w:rPr>
          <w:rFonts w:asciiTheme="minorHAnsi" w:hAnsiTheme="minorHAnsi"/>
        </w:rPr>
        <w:sym w:font="Symbol" w:char="F0A3"/>
      </w:r>
      <w:r w:rsidRPr="00270DB6">
        <w:rPr>
          <w:rFonts w:asciiTheme="minorHAnsi" w:hAnsiTheme="minorHAnsi"/>
        </w:rPr>
        <w:t xml:space="preserve"> </w:t>
      </w:r>
      <w:smartTag w:uri="urn:schemas-microsoft-com:office:smarttags" w:element="metricconverter">
        <w:smartTagPr>
          <w:attr w:name="ProductID" w:val="2500 kg"/>
        </w:smartTagPr>
        <w:r w:rsidRPr="00270DB6">
          <w:rPr>
            <w:rFonts w:asciiTheme="minorHAnsi" w:hAnsiTheme="minorHAnsi"/>
          </w:rPr>
          <w:t>2500 kg</w:t>
        </w:r>
      </w:smartTag>
      <w:r w:rsidRPr="00270DB6">
        <w:rPr>
          <w:rFonts w:asciiTheme="minorHAnsi" w:hAnsiTheme="minorHAnsi"/>
        </w:rPr>
        <w:t xml:space="preserve">, na podłożu G1 o module sprężystości (wtórnym) </w:t>
      </w:r>
      <w:r w:rsidRPr="00270DB6">
        <w:rPr>
          <w:rFonts w:asciiTheme="minorHAnsi" w:hAnsiTheme="minorHAnsi"/>
        </w:rPr>
        <w:sym w:font="Symbol" w:char="F0B3"/>
      </w:r>
      <w:r w:rsidRPr="00270DB6">
        <w:rPr>
          <w:rFonts w:asciiTheme="minorHAnsi" w:hAnsiTheme="minorHAnsi"/>
        </w:rPr>
        <w:t xml:space="preserve"> 80 MPa</w:t>
      </w:r>
    </w:p>
    <w:p w:rsidR="00B83F88" w:rsidRDefault="00B83F88" w:rsidP="00B83F88">
      <w:pPr>
        <w:jc w:val="center"/>
      </w:pPr>
      <w:r>
        <w:rPr>
          <w:noProof/>
        </w:rPr>
        <w:drawing>
          <wp:inline distT="0" distB="0" distL="0" distR="0">
            <wp:extent cx="2286000" cy="1219200"/>
            <wp:effectExtent l="19050" t="0" r="0" b="0"/>
            <wp:docPr id="96" name="Obraz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
                    <pic:cNvPicPr>
                      <a:picLocks noChangeAspect="1" noChangeArrowheads="1"/>
                    </pic:cNvPicPr>
                  </pic:nvPicPr>
                  <pic:blipFill>
                    <a:blip r:embed="rId76" cstate="print"/>
                    <a:srcRect/>
                    <a:stretch>
                      <a:fillRect/>
                    </a:stretch>
                  </pic:blipFill>
                  <pic:spPr bwMode="auto">
                    <a:xfrm>
                      <a:off x="0" y="0"/>
                      <a:ext cx="2286000" cy="1219200"/>
                    </a:xfrm>
                    <a:prstGeom prst="rect">
                      <a:avLst/>
                    </a:prstGeom>
                    <a:noFill/>
                    <a:ln w="9525">
                      <a:noFill/>
                      <a:miter lim="800000"/>
                      <a:headEnd/>
                      <a:tailEnd/>
                    </a:ln>
                  </pic:spPr>
                </pic:pic>
              </a:graphicData>
            </a:graphic>
          </wp:inline>
        </w:drawing>
      </w:r>
    </w:p>
    <w:p w:rsidR="00B83F88" w:rsidRPr="00270DB6" w:rsidRDefault="00B83F88" w:rsidP="00B83F88">
      <w:pPr>
        <w:rPr>
          <w:rFonts w:asciiTheme="minorHAnsi" w:hAnsiTheme="minorHAnsi"/>
        </w:rPr>
      </w:pPr>
      <w:r w:rsidRPr="00270DB6">
        <w:rPr>
          <w:rFonts w:asciiTheme="minorHAnsi" w:hAnsiTheme="minorHAnsi"/>
        </w:rPr>
        <w:t>b) wyłącznie dla ruchu pieszych</w:t>
      </w:r>
    </w:p>
    <w:p w:rsidR="00B83F88" w:rsidRDefault="00B83F88" w:rsidP="00B83F88">
      <w:pPr>
        <w:jc w:val="center"/>
      </w:pPr>
      <w:r>
        <w:rPr>
          <w:noProof/>
        </w:rPr>
        <w:drawing>
          <wp:inline distT="0" distB="0" distL="0" distR="0">
            <wp:extent cx="2476500" cy="847725"/>
            <wp:effectExtent l="19050" t="0" r="0" b="0"/>
            <wp:docPr id="97" name="Obraz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
                    <pic:cNvPicPr>
                      <a:picLocks noChangeAspect="1" noChangeArrowheads="1"/>
                    </pic:cNvPicPr>
                  </pic:nvPicPr>
                  <pic:blipFill>
                    <a:blip r:embed="rId77" cstate="print"/>
                    <a:srcRect/>
                    <a:stretch>
                      <a:fillRect/>
                    </a:stretch>
                  </pic:blipFill>
                  <pic:spPr bwMode="auto">
                    <a:xfrm>
                      <a:off x="0" y="0"/>
                      <a:ext cx="2476500" cy="847725"/>
                    </a:xfrm>
                    <a:prstGeom prst="rect">
                      <a:avLst/>
                    </a:prstGeom>
                    <a:noFill/>
                    <a:ln w="9525">
                      <a:noFill/>
                      <a:miter lim="800000"/>
                      <a:headEnd/>
                      <a:tailEnd/>
                    </a:ln>
                  </pic:spPr>
                </pic:pic>
              </a:graphicData>
            </a:graphic>
          </wp:inline>
        </w:drawing>
      </w:r>
    </w:p>
    <w:p w:rsidR="00B83F88" w:rsidRPr="00270DB6" w:rsidRDefault="00B83F88" w:rsidP="00B83F88">
      <w:pPr>
        <w:rPr>
          <w:rFonts w:asciiTheme="minorHAnsi" w:hAnsiTheme="minorHAnsi"/>
        </w:rPr>
      </w:pPr>
      <w:r w:rsidRPr="00270DB6">
        <w:rPr>
          <w:rFonts w:asciiTheme="minorHAnsi" w:hAnsiTheme="minorHAnsi"/>
        </w:rPr>
        <w:t>4.  Nawierzchnia ścieżek rowerowych</w:t>
      </w:r>
    </w:p>
    <w:p w:rsidR="00B83F88" w:rsidRDefault="00B83F88" w:rsidP="00B83F88">
      <w:pPr>
        <w:jc w:val="center"/>
      </w:pPr>
      <w:r>
        <w:rPr>
          <w:noProof/>
        </w:rPr>
        <w:drawing>
          <wp:inline distT="0" distB="0" distL="0" distR="0">
            <wp:extent cx="2476500" cy="847725"/>
            <wp:effectExtent l="19050" t="0" r="0" b="0"/>
            <wp:docPr id="98" name="Obraz 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
                    <pic:cNvPicPr>
                      <a:picLocks noChangeAspect="1" noChangeArrowheads="1"/>
                    </pic:cNvPicPr>
                  </pic:nvPicPr>
                  <pic:blipFill>
                    <a:blip r:embed="rId77" cstate="print"/>
                    <a:srcRect/>
                    <a:stretch>
                      <a:fillRect/>
                    </a:stretch>
                  </pic:blipFill>
                  <pic:spPr bwMode="auto">
                    <a:xfrm>
                      <a:off x="0" y="0"/>
                      <a:ext cx="2476500" cy="847725"/>
                    </a:xfrm>
                    <a:prstGeom prst="rect">
                      <a:avLst/>
                    </a:prstGeom>
                    <a:noFill/>
                    <a:ln w="9525">
                      <a:noFill/>
                      <a:miter lim="800000"/>
                      <a:headEnd/>
                      <a:tailEnd/>
                    </a:ln>
                  </pic:spPr>
                </pic:pic>
              </a:graphicData>
            </a:graphic>
          </wp:inline>
        </w:drawing>
      </w:r>
    </w:p>
    <w:p w:rsidR="00B83F88" w:rsidRPr="000B786E" w:rsidRDefault="00B83F88" w:rsidP="00B83F88">
      <w:pPr>
        <w:jc w:val="center"/>
      </w:pPr>
    </w:p>
    <w:p w:rsidR="00B83F88" w:rsidRPr="00270DB6" w:rsidRDefault="00B83F88" w:rsidP="00B83F88">
      <w:pPr>
        <w:rPr>
          <w:rFonts w:asciiTheme="minorHAnsi" w:hAnsiTheme="minorHAnsi"/>
        </w:rPr>
      </w:pPr>
      <w:r w:rsidRPr="00270DB6">
        <w:rPr>
          <w:rFonts w:asciiTheme="minorHAnsi" w:hAnsiTheme="minorHAnsi"/>
        </w:rPr>
        <w:t>5. Nawierzchnia przeznaczona do postoju pojazdów i jezdni manewrowej (m.in. na parkingu)</w:t>
      </w:r>
    </w:p>
    <w:p w:rsidR="00B83F88" w:rsidRPr="00270DB6" w:rsidRDefault="00B83F88" w:rsidP="00B83F88">
      <w:pPr>
        <w:rPr>
          <w:rFonts w:asciiTheme="minorHAnsi" w:hAnsiTheme="minorHAnsi"/>
        </w:rPr>
      </w:pPr>
      <w:r w:rsidRPr="00270DB6">
        <w:rPr>
          <w:rFonts w:asciiTheme="minorHAnsi" w:hAnsiTheme="minorHAnsi"/>
        </w:rPr>
        <w:t>5.1.</w:t>
      </w:r>
      <w:r w:rsidRPr="00270DB6">
        <w:rPr>
          <w:rFonts w:asciiTheme="minorHAnsi" w:hAnsiTheme="minorHAnsi"/>
        </w:rPr>
        <w:tab/>
        <w:t xml:space="preserve">dla samochodów o masie całkowitej </w:t>
      </w:r>
      <w:r w:rsidRPr="00270DB6">
        <w:rPr>
          <w:rFonts w:asciiTheme="minorHAnsi" w:hAnsiTheme="minorHAnsi"/>
        </w:rPr>
        <w:sym w:font="Symbol" w:char="F0A3"/>
      </w:r>
      <w:r w:rsidRPr="00270DB6">
        <w:rPr>
          <w:rFonts w:asciiTheme="minorHAnsi" w:hAnsiTheme="minorHAnsi"/>
        </w:rPr>
        <w:t xml:space="preserve"> </w:t>
      </w:r>
      <w:smartTag w:uri="urn:schemas-microsoft-com:office:smarttags" w:element="metricconverter">
        <w:smartTagPr>
          <w:attr w:name="ProductID" w:val="2500 kg"/>
        </w:smartTagPr>
        <w:r w:rsidRPr="00270DB6">
          <w:rPr>
            <w:rFonts w:asciiTheme="minorHAnsi" w:hAnsiTheme="minorHAnsi"/>
          </w:rPr>
          <w:t>2500 kg</w:t>
        </w:r>
      </w:smartTag>
      <w:r w:rsidRPr="00270DB6">
        <w:rPr>
          <w:rFonts w:asciiTheme="minorHAnsi" w:hAnsiTheme="minorHAnsi"/>
        </w:rPr>
        <w:t xml:space="preserve">, na podłożu G1 o module sprężystości (wtórnym) </w:t>
      </w:r>
      <w:r w:rsidRPr="00270DB6">
        <w:rPr>
          <w:rFonts w:asciiTheme="minorHAnsi" w:hAnsiTheme="minorHAnsi"/>
        </w:rPr>
        <w:sym w:font="Symbol" w:char="F0B3"/>
      </w:r>
      <w:r w:rsidRPr="00270DB6">
        <w:rPr>
          <w:rFonts w:asciiTheme="minorHAnsi" w:hAnsiTheme="minorHAnsi"/>
        </w:rPr>
        <w:t xml:space="preserve"> 100 MPa</w:t>
      </w:r>
    </w:p>
    <w:p w:rsidR="00B83F88" w:rsidRDefault="00B83F88" w:rsidP="00B83F88">
      <w:pPr>
        <w:jc w:val="center"/>
      </w:pPr>
      <w:r>
        <w:rPr>
          <w:noProof/>
        </w:rPr>
        <w:drawing>
          <wp:inline distT="0" distB="0" distL="0" distR="0">
            <wp:extent cx="2581275" cy="1476375"/>
            <wp:effectExtent l="19050" t="0" r="9525" b="0"/>
            <wp:docPr id="99" name="Obraz 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
                    <pic:cNvPicPr>
                      <a:picLocks noChangeAspect="1" noChangeArrowheads="1"/>
                    </pic:cNvPicPr>
                  </pic:nvPicPr>
                  <pic:blipFill>
                    <a:blip r:embed="rId78" cstate="print"/>
                    <a:srcRect/>
                    <a:stretch>
                      <a:fillRect/>
                    </a:stretch>
                  </pic:blipFill>
                  <pic:spPr bwMode="auto">
                    <a:xfrm>
                      <a:off x="0" y="0"/>
                      <a:ext cx="2581275" cy="1476375"/>
                    </a:xfrm>
                    <a:prstGeom prst="rect">
                      <a:avLst/>
                    </a:prstGeom>
                    <a:noFill/>
                    <a:ln w="9525">
                      <a:noFill/>
                      <a:miter lim="800000"/>
                      <a:headEnd/>
                      <a:tailEnd/>
                    </a:ln>
                  </pic:spPr>
                </pic:pic>
              </a:graphicData>
            </a:graphic>
          </wp:inline>
        </w:drawing>
      </w:r>
    </w:p>
    <w:p w:rsidR="00E90E02" w:rsidRDefault="00E90E02" w:rsidP="00B83F88">
      <w:pPr>
        <w:rPr>
          <w:rFonts w:asciiTheme="minorHAnsi" w:hAnsiTheme="minorHAnsi"/>
        </w:rPr>
      </w:pPr>
    </w:p>
    <w:p w:rsidR="00E90E02" w:rsidRDefault="00E90E02" w:rsidP="00B83F88">
      <w:pPr>
        <w:rPr>
          <w:rFonts w:asciiTheme="minorHAnsi" w:hAnsiTheme="minorHAnsi"/>
        </w:rPr>
      </w:pPr>
    </w:p>
    <w:p w:rsidR="00E90E02" w:rsidRDefault="00E90E02" w:rsidP="00B83F88">
      <w:pPr>
        <w:rPr>
          <w:rFonts w:asciiTheme="minorHAnsi" w:hAnsiTheme="minorHAnsi"/>
        </w:rPr>
      </w:pPr>
    </w:p>
    <w:p w:rsidR="00E90E02" w:rsidRDefault="00E90E02" w:rsidP="00B83F88">
      <w:pPr>
        <w:rPr>
          <w:rFonts w:asciiTheme="minorHAnsi" w:hAnsiTheme="minorHAnsi"/>
        </w:rPr>
      </w:pPr>
    </w:p>
    <w:p w:rsidR="000C27BF" w:rsidRDefault="000C27BF" w:rsidP="00B83F88">
      <w:pPr>
        <w:rPr>
          <w:rFonts w:asciiTheme="minorHAnsi" w:hAnsiTheme="minorHAnsi"/>
        </w:rPr>
      </w:pPr>
    </w:p>
    <w:p w:rsidR="000C27BF" w:rsidRDefault="000C27BF" w:rsidP="00B83F88">
      <w:pPr>
        <w:rPr>
          <w:rFonts w:asciiTheme="minorHAnsi" w:hAnsiTheme="minorHAnsi"/>
        </w:rPr>
      </w:pPr>
    </w:p>
    <w:p w:rsidR="000C27BF" w:rsidRDefault="000C27BF" w:rsidP="00B83F88">
      <w:pPr>
        <w:rPr>
          <w:rFonts w:asciiTheme="minorHAnsi" w:hAnsiTheme="minorHAnsi"/>
        </w:rPr>
      </w:pPr>
    </w:p>
    <w:p w:rsidR="00E90E02" w:rsidRDefault="00E90E02" w:rsidP="00B83F88">
      <w:pPr>
        <w:rPr>
          <w:rFonts w:asciiTheme="minorHAnsi" w:hAnsiTheme="minorHAnsi"/>
        </w:rPr>
      </w:pPr>
    </w:p>
    <w:p w:rsidR="00E90E02" w:rsidRDefault="00E90E02" w:rsidP="00B83F88">
      <w:pPr>
        <w:rPr>
          <w:rFonts w:asciiTheme="minorHAnsi" w:hAnsiTheme="minorHAnsi"/>
        </w:rPr>
      </w:pPr>
    </w:p>
    <w:p w:rsidR="00E90E02" w:rsidRDefault="00E90E02" w:rsidP="00B83F88">
      <w:pPr>
        <w:rPr>
          <w:rFonts w:asciiTheme="minorHAnsi" w:hAnsiTheme="minorHAnsi"/>
        </w:rPr>
      </w:pPr>
    </w:p>
    <w:p w:rsidR="00B83F88" w:rsidRPr="00270DB6" w:rsidRDefault="00B83F88" w:rsidP="00B83F88">
      <w:pPr>
        <w:rPr>
          <w:rFonts w:asciiTheme="minorHAnsi" w:hAnsiTheme="minorHAnsi"/>
        </w:rPr>
      </w:pPr>
      <w:r w:rsidRPr="00270DB6">
        <w:rPr>
          <w:rFonts w:asciiTheme="minorHAnsi" w:hAnsiTheme="minorHAnsi"/>
        </w:rPr>
        <w:lastRenderedPageBreak/>
        <w:t>5.2.</w:t>
      </w:r>
      <w:r w:rsidRPr="00270DB6">
        <w:rPr>
          <w:rFonts w:asciiTheme="minorHAnsi" w:hAnsiTheme="minorHAnsi"/>
        </w:rPr>
        <w:tab/>
        <w:t xml:space="preserve">dla samochodów ciężarowych na podłożu G1 o module sprężystości (wtórnym) </w:t>
      </w:r>
      <w:r w:rsidRPr="00270DB6">
        <w:rPr>
          <w:rFonts w:asciiTheme="minorHAnsi" w:hAnsiTheme="minorHAnsi"/>
        </w:rPr>
        <w:sym w:font="Symbol" w:char="F0B3"/>
      </w:r>
      <w:r w:rsidRPr="00270DB6">
        <w:rPr>
          <w:rFonts w:asciiTheme="minorHAnsi" w:hAnsiTheme="minorHAnsi"/>
        </w:rPr>
        <w:t> 120 MPa</w:t>
      </w:r>
    </w:p>
    <w:p w:rsidR="00B83F88" w:rsidRDefault="00B83F88" w:rsidP="00B83F88">
      <w:pPr>
        <w:jc w:val="center"/>
      </w:pPr>
      <w:r>
        <w:rPr>
          <w:noProof/>
        </w:rPr>
        <w:drawing>
          <wp:inline distT="0" distB="0" distL="0" distR="0">
            <wp:extent cx="4667250" cy="3028950"/>
            <wp:effectExtent l="19050" t="0" r="0" b="0"/>
            <wp:docPr id="100" name="Obraz 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
                    <pic:cNvPicPr>
                      <a:picLocks noChangeAspect="1" noChangeArrowheads="1"/>
                    </pic:cNvPicPr>
                  </pic:nvPicPr>
                  <pic:blipFill>
                    <a:blip r:embed="rId79" cstate="print"/>
                    <a:srcRect/>
                    <a:stretch>
                      <a:fillRect/>
                    </a:stretch>
                  </pic:blipFill>
                  <pic:spPr bwMode="auto">
                    <a:xfrm>
                      <a:off x="0" y="0"/>
                      <a:ext cx="4667250" cy="3028950"/>
                    </a:xfrm>
                    <a:prstGeom prst="rect">
                      <a:avLst/>
                    </a:prstGeom>
                    <a:noFill/>
                    <a:ln w="9525">
                      <a:noFill/>
                      <a:miter lim="800000"/>
                      <a:headEnd/>
                      <a:tailEnd/>
                    </a:ln>
                  </pic:spPr>
                </pic:pic>
              </a:graphicData>
            </a:graphic>
          </wp:inline>
        </w:drawing>
      </w:r>
    </w:p>
    <w:p w:rsidR="00B83F88" w:rsidRDefault="00B83F88" w:rsidP="00B83F88">
      <w:pPr>
        <w:jc w:val="center"/>
      </w:pPr>
    </w:p>
    <w:p w:rsidR="00B83F88" w:rsidRDefault="00B83F88" w:rsidP="00B83F88">
      <w:pPr>
        <w:ind w:hanging="1134"/>
      </w:pPr>
    </w:p>
    <w:p w:rsidR="00B83F88" w:rsidRDefault="00B83F88" w:rsidP="00B83F88">
      <w:pPr>
        <w:ind w:hanging="1134"/>
      </w:pPr>
    </w:p>
    <w:p w:rsidR="00B83F88" w:rsidRPr="000B786E" w:rsidRDefault="00B83F88" w:rsidP="00B83F88">
      <w:r w:rsidRPr="000B786E">
        <w:t>ZAŁĄCZNIK 5</w:t>
      </w:r>
    </w:p>
    <w:p w:rsidR="00B83F88" w:rsidRPr="000B786E" w:rsidRDefault="00B83F88" w:rsidP="00B83F88">
      <w:r w:rsidRPr="000B786E">
        <w:t>Przykłady deseni układania betonowych kostek brukowych (wg literatury podanej w zał. 1)</w:t>
      </w:r>
    </w:p>
    <w:p w:rsidR="00B83F88" w:rsidRPr="000B786E" w:rsidRDefault="00B83F88" w:rsidP="00B83F88">
      <w:pPr>
        <w:jc w:val="center"/>
      </w:pPr>
    </w:p>
    <w:p w:rsidR="00B83F88" w:rsidRPr="000B786E" w:rsidRDefault="00B83F88" w:rsidP="00B83F88">
      <w:r w:rsidRPr="000B786E">
        <w:t>a)  deseń w jodełkę</w:t>
      </w:r>
    </w:p>
    <w:p w:rsidR="00B83F88" w:rsidRDefault="00B83F88" w:rsidP="00B83F88">
      <w:pPr>
        <w:jc w:val="center"/>
      </w:pPr>
      <w:r>
        <w:rPr>
          <w:noProof/>
        </w:rPr>
        <w:drawing>
          <wp:inline distT="0" distB="0" distL="0" distR="0">
            <wp:extent cx="4714875" cy="1609725"/>
            <wp:effectExtent l="19050" t="0" r="9525" b="0"/>
            <wp:docPr id="101" name="Obraz 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
                    <pic:cNvPicPr>
                      <a:picLocks noChangeAspect="1" noChangeArrowheads="1"/>
                    </pic:cNvPicPr>
                  </pic:nvPicPr>
                  <pic:blipFill>
                    <a:blip r:embed="rId80" cstate="print"/>
                    <a:srcRect/>
                    <a:stretch>
                      <a:fillRect/>
                    </a:stretch>
                  </pic:blipFill>
                  <pic:spPr bwMode="auto">
                    <a:xfrm>
                      <a:off x="0" y="0"/>
                      <a:ext cx="4714875" cy="1609725"/>
                    </a:xfrm>
                    <a:prstGeom prst="rect">
                      <a:avLst/>
                    </a:prstGeom>
                    <a:noFill/>
                    <a:ln w="9525">
                      <a:noFill/>
                      <a:miter lim="800000"/>
                      <a:headEnd/>
                      <a:tailEnd/>
                    </a:ln>
                  </pic:spPr>
                </pic:pic>
              </a:graphicData>
            </a:graphic>
          </wp:inline>
        </w:drawing>
      </w:r>
    </w:p>
    <w:p w:rsidR="00B83F88" w:rsidRDefault="00B83F88" w:rsidP="00B83F88"/>
    <w:p w:rsidR="00B83F88" w:rsidRDefault="00B83F88" w:rsidP="00B83F88"/>
    <w:p w:rsidR="00B83F88" w:rsidRDefault="00B83F88" w:rsidP="00B83F88">
      <w:pPr>
        <w:framePr w:w="2835" w:h="2308" w:hRule="exact" w:hSpace="142" w:wrap="auto" w:vAnchor="text" w:hAnchor="page" w:x="2592" w:y="341"/>
      </w:pPr>
      <w:r>
        <w:rPr>
          <w:noProof/>
        </w:rPr>
        <w:drawing>
          <wp:inline distT="0" distB="0" distL="0" distR="0">
            <wp:extent cx="1685925" cy="1457325"/>
            <wp:effectExtent l="19050" t="0" r="9525" b="0"/>
            <wp:docPr id="102" name="Obraz 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9"/>
                    <pic:cNvPicPr>
                      <a:picLocks noChangeAspect="1" noChangeArrowheads="1"/>
                    </pic:cNvPicPr>
                  </pic:nvPicPr>
                  <pic:blipFill>
                    <a:blip r:embed="rId81" cstate="print"/>
                    <a:srcRect/>
                    <a:stretch>
                      <a:fillRect/>
                    </a:stretch>
                  </pic:blipFill>
                  <pic:spPr bwMode="auto">
                    <a:xfrm>
                      <a:off x="0" y="0"/>
                      <a:ext cx="1685925" cy="1457325"/>
                    </a:xfrm>
                    <a:prstGeom prst="rect">
                      <a:avLst/>
                    </a:prstGeom>
                    <a:noFill/>
                    <a:ln w="9525">
                      <a:noFill/>
                      <a:miter lim="800000"/>
                      <a:headEnd/>
                      <a:tailEnd/>
                    </a:ln>
                  </pic:spPr>
                </pic:pic>
              </a:graphicData>
            </a:graphic>
          </wp:inline>
        </w:drawing>
      </w:r>
    </w:p>
    <w:p w:rsidR="00B83F88" w:rsidRPr="000B786E" w:rsidRDefault="00B83F88" w:rsidP="00B83F88">
      <w:r w:rsidRPr="000B786E">
        <w:t>b) deseń w rzędy proste</w:t>
      </w:r>
      <w:r w:rsidRPr="000B786E">
        <w:tab/>
      </w:r>
      <w:r w:rsidRPr="000B786E">
        <w:tab/>
      </w:r>
      <w:r w:rsidRPr="000B786E">
        <w:tab/>
      </w:r>
      <w:r w:rsidRPr="000B786E">
        <w:tab/>
        <w:t>c) deseń koszykowy</w:t>
      </w:r>
    </w:p>
    <w:p w:rsidR="00B83F88" w:rsidRDefault="00B83F88" w:rsidP="00B83F88">
      <w:pPr>
        <w:framePr w:w="2835" w:h="2308" w:hRule="exact" w:hSpace="142" w:wrap="auto" w:vAnchor="text" w:hAnchor="page" w:x="6646" w:y="109"/>
      </w:pPr>
      <w:r>
        <w:rPr>
          <w:noProof/>
        </w:rPr>
        <w:drawing>
          <wp:inline distT="0" distB="0" distL="0" distR="0">
            <wp:extent cx="1781175" cy="1581150"/>
            <wp:effectExtent l="19050" t="0" r="9525" b="0"/>
            <wp:docPr id="103" name="Obraz 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0"/>
                    <pic:cNvPicPr>
                      <a:picLocks noChangeAspect="1" noChangeArrowheads="1"/>
                    </pic:cNvPicPr>
                  </pic:nvPicPr>
                  <pic:blipFill>
                    <a:blip r:embed="rId82" cstate="print"/>
                    <a:srcRect/>
                    <a:stretch>
                      <a:fillRect/>
                    </a:stretch>
                  </pic:blipFill>
                  <pic:spPr bwMode="auto">
                    <a:xfrm>
                      <a:off x="0" y="0"/>
                      <a:ext cx="1781175" cy="1581150"/>
                    </a:xfrm>
                    <a:prstGeom prst="rect">
                      <a:avLst/>
                    </a:prstGeom>
                    <a:noFill/>
                    <a:ln w="9525">
                      <a:noFill/>
                      <a:miter lim="800000"/>
                      <a:headEnd/>
                      <a:tailEnd/>
                    </a:ln>
                  </pic:spPr>
                </pic:pic>
              </a:graphicData>
            </a:graphic>
          </wp:inline>
        </w:drawing>
      </w:r>
    </w:p>
    <w:p w:rsidR="00B83F88" w:rsidRDefault="00B83F88" w:rsidP="00B83F88">
      <w:r>
        <w:tab/>
      </w:r>
      <w:r>
        <w:tab/>
      </w:r>
    </w:p>
    <w:p w:rsidR="00B83F88" w:rsidRDefault="00B83F88" w:rsidP="00B83F88"/>
    <w:p w:rsidR="00B83F88" w:rsidRDefault="00B83F88" w:rsidP="00B83F88">
      <w:pPr>
        <w:framePr w:w="2835" w:h="2835" w:hSpace="142" w:wrap="auto" w:vAnchor="text" w:hAnchor="page" w:x="6627" w:y="493"/>
      </w:pPr>
      <w:r>
        <w:rPr>
          <w:noProof/>
        </w:rPr>
        <w:lastRenderedPageBreak/>
        <w:drawing>
          <wp:inline distT="0" distB="0" distL="0" distR="0">
            <wp:extent cx="1752600" cy="1504950"/>
            <wp:effectExtent l="19050" t="0" r="0" b="0"/>
            <wp:docPr id="104" name="Obraz 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1"/>
                    <pic:cNvPicPr>
                      <a:picLocks noChangeAspect="1" noChangeArrowheads="1"/>
                    </pic:cNvPicPr>
                  </pic:nvPicPr>
                  <pic:blipFill>
                    <a:blip r:embed="rId83" cstate="print"/>
                    <a:srcRect/>
                    <a:stretch>
                      <a:fillRect/>
                    </a:stretch>
                  </pic:blipFill>
                  <pic:spPr bwMode="auto">
                    <a:xfrm>
                      <a:off x="0" y="0"/>
                      <a:ext cx="1752600" cy="1504950"/>
                    </a:xfrm>
                    <a:prstGeom prst="rect">
                      <a:avLst/>
                    </a:prstGeom>
                    <a:noFill/>
                    <a:ln w="9525">
                      <a:noFill/>
                      <a:miter lim="800000"/>
                      <a:headEnd/>
                      <a:tailEnd/>
                    </a:ln>
                  </pic:spPr>
                </pic:pic>
              </a:graphicData>
            </a:graphic>
          </wp:inline>
        </w:drawing>
      </w:r>
    </w:p>
    <w:p w:rsidR="00B83F88" w:rsidRDefault="00B83F88" w:rsidP="00B83F88">
      <w:pPr>
        <w:framePr w:w="2790" w:h="2835" w:hSpace="142" w:wrap="auto" w:vAnchor="text" w:hAnchor="page" w:x="2595" w:y="493"/>
      </w:pPr>
      <w:r>
        <w:rPr>
          <w:noProof/>
        </w:rPr>
        <w:drawing>
          <wp:inline distT="0" distB="0" distL="0" distR="0">
            <wp:extent cx="1752600" cy="1504950"/>
            <wp:effectExtent l="19050" t="0" r="0" b="0"/>
            <wp:docPr id="105" name="Obraz 3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2"/>
                    <pic:cNvPicPr>
                      <a:picLocks noChangeAspect="1" noChangeArrowheads="1"/>
                    </pic:cNvPicPr>
                  </pic:nvPicPr>
                  <pic:blipFill>
                    <a:blip r:embed="rId83" cstate="print"/>
                    <a:srcRect/>
                    <a:stretch>
                      <a:fillRect/>
                    </a:stretch>
                  </pic:blipFill>
                  <pic:spPr bwMode="auto">
                    <a:xfrm>
                      <a:off x="0" y="0"/>
                      <a:ext cx="1752600" cy="1504950"/>
                    </a:xfrm>
                    <a:prstGeom prst="rect">
                      <a:avLst/>
                    </a:prstGeom>
                    <a:noFill/>
                    <a:ln w="9525">
                      <a:noFill/>
                      <a:miter lim="800000"/>
                      <a:headEnd/>
                      <a:tailEnd/>
                    </a:ln>
                  </pic:spPr>
                </pic:pic>
              </a:graphicData>
            </a:graphic>
          </wp:inline>
        </w:drawing>
      </w:r>
    </w:p>
    <w:p w:rsidR="00B83F88" w:rsidRPr="000B786E" w:rsidRDefault="00B83F88" w:rsidP="00B83F88">
      <w:r w:rsidRPr="000B786E">
        <w:t>d)wzory dekoracyjne</w:t>
      </w:r>
    </w:p>
    <w:p w:rsidR="00B83F88" w:rsidRDefault="00B83F88" w:rsidP="00B83F88">
      <w:pPr>
        <w:spacing w:after="120"/>
      </w:pPr>
    </w:p>
    <w:p w:rsidR="00B83F88" w:rsidRDefault="00B83F88" w:rsidP="00B83F88">
      <w:pPr>
        <w:spacing w:after="120"/>
      </w:pPr>
    </w:p>
    <w:p w:rsidR="00B83F88" w:rsidRDefault="00B83F88" w:rsidP="00B83F88">
      <w:pPr>
        <w:spacing w:after="120"/>
      </w:pPr>
    </w:p>
    <w:p w:rsidR="00B83F88" w:rsidRDefault="00B83F88" w:rsidP="00B83F88">
      <w:pPr>
        <w:spacing w:after="120"/>
      </w:pPr>
    </w:p>
    <w:p w:rsidR="00B83F88" w:rsidRDefault="00B83F88" w:rsidP="00B83F88">
      <w:pPr>
        <w:spacing w:after="120"/>
      </w:pPr>
    </w:p>
    <w:p w:rsidR="00B83F88" w:rsidRDefault="00B83F88" w:rsidP="00B83F88">
      <w:pPr>
        <w:spacing w:after="120"/>
      </w:pPr>
    </w:p>
    <w:p w:rsidR="00B83F88" w:rsidRDefault="00B83F88" w:rsidP="00B83F88">
      <w:pPr>
        <w:spacing w:after="120"/>
      </w:pPr>
    </w:p>
    <w:p w:rsidR="00B83F88" w:rsidRDefault="00B83F88" w:rsidP="00B83F88">
      <w:pPr>
        <w:spacing w:after="120"/>
      </w:pPr>
    </w:p>
    <w:p w:rsidR="00B83F88" w:rsidRDefault="00B83F88" w:rsidP="00B83F88">
      <w:pPr>
        <w:spacing w:after="120"/>
      </w:pPr>
    </w:p>
    <w:p w:rsidR="00E90E02" w:rsidRDefault="00E90E02" w:rsidP="002075C4">
      <w:pPr>
        <w:pStyle w:val="Nagwek4"/>
      </w:pPr>
      <w:bookmarkStart w:id="1509" w:name="_Toc404983742"/>
      <w:bookmarkStart w:id="1510" w:name="_Toc250368191"/>
    </w:p>
    <w:p w:rsidR="00E90E02" w:rsidRDefault="00E90E02" w:rsidP="002075C4">
      <w:pPr>
        <w:pStyle w:val="Nagwek4"/>
      </w:pPr>
    </w:p>
    <w:p w:rsidR="00E90E02" w:rsidRDefault="00E90E02" w:rsidP="002075C4">
      <w:pPr>
        <w:pStyle w:val="Nagwek4"/>
      </w:pPr>
    </w:p>
    <w:p w:rsidR="00E90E02" w:rsidRDefault="00E90E02" w:rsidP="002075C4">
      <w:pPr>
        <w:pStyle w:val="Nagwek4"/>
      </w:pPr>
    </w:p>
    <w:p w:rsidR="00E90E02" w:rsidRDefault="00E90E02" w:rsidP="002075C4">
      <w:pPr>
        <w:pStyle w:val="Nagwek4"/>
      </w:pPr>
    </w:p>
    <w:p w:rsidR="00E90E02" w:rsidRDefault="00E90E02" w:rsidP="00E90E02"/>
    <w:p w:rsidR="00E90E02" w:rsidRDefault="00E90E02" w:rsidP="00E90E02"/>
    <w:p w:rsidR="00E90E02" w:rsidRPr="00E90E02" w:rsidRDefault="00E90E02" w:rsidP="00E90E02"/>
    <w:p w:rsidR="00E90E02" w:rsidRDefault="00E90E02" w:rsidP="002075C4">
      <w:pPr>
        <w:pStyle w:val="Nagwek4"/>
      </w:pPr>
    </w:p>
    <w:p w:rsidR="00E90E02" w:rsidRDefault="00E90E02" w:rsidP="002075C4">
      <w:pPr>
        <w:pStyle w:val="Nagwek4"/>
      </w:pPr>
    </w:p>
    <w:p w:rsidR="00E90E02" w:rsidRDefault="00E90E02" w:rsidP="002075C4">
      <w:pPr>
        <w:pStyle w:val="Nagwek4"/>
      </w:pPr>
    </w:p>
    <w:p w:rsidR="00E90E02" w:rsidRDefault="00E90E02" w:rsidP="002075C4">
      <w:pPr>
        <w:pStyle w:val="Nagwek4"/>
      </w:pPr>
    </w:p>
    <w:p w:rsidR="00E90E02" w:rsidRDefault="00E90E02" w:rsidP="002075C4">
      <w:pPr>
        <w:pStyle w:val="Nagwek4"/>
      </w:pPr>
    </w:p>
    <w:p w:rsidR="00E90E02" w:rsidRDefault="00E90E02" w:rsidP="002075C4">
      <w:pPr>
        <w:pStyle w:val="Nagwek4"/>
      </w:pPr>
    </w:p>
    <w:p w:rsidR="00E90E02" w:rsidRDefault="00E90E02" w:rsidP="00E90E02"/>
    <w:p w:rsidR="00E90E02" w:rsidRDefault="00E90E02" w:rsidP="00E90E02"/>
    <w:bookmarkEnd w:id="1509"/>
    <w:bookmarkEnd w:id="1510"/>
    <w:p w:rsidR="00AA5B22" w:rsidRDefault="00AA5B22" w:rsidP="001C1829">
      <w:pPr>
        <w:spacing w:after="120"/>
      </w:pPr>
    </w:p>
    <w:p w:rsidR="00AA5B22" w:rsidRDefault="00AA5B22" w:rsidP="001C1829">
      <w:pPr>
        <w:spacing w:after="120"/>
      </w:pPr>
    </w:p>
    <w:p w:rsidR="00AA5B22" w:rsidRDefault="00AA5B22" w:rsidP="001C1829">
      <w:pPr>
        <w:spacing w:after="120"/>
      </w:pPr>
    </w:p>
    <w:p w:rsidR="00AA5B22" w:rsidRDefault="00AA5B22" w:rsidP="001C1829">
      <w:pPr>
        <w:spacing w:after="120"/>
      </w:pPr>
    </w:p>
    <w:p w:rsidR="00AA5B22" w:rsidRDefault="00AA5B22" w:rsidP="001C1829">
      <w:pPr>
        <w:spacing w:after="120"/>
      </w:pPr>
    </w:p>
    <w:p w:rsidR="007A1748" w:rsidRDefault="007A1748" w:rsidP="001C1829">
      <w:pPr>
        <w:spacing w:after="120"/>
      </w:pPr>
    </w:p>
    <w:p w:rsidR="007A1748" w:rsidRDefault="007A1748" w:rsidP="001C1829">
      <w:pPr>
        <w:spacing w:after="120"/>
      </w:pPr>
    </w:p>
    <w:p w:rsidR="007A1748" w:rsidRDefault="007A1748" w:rsidP="001C1829">
      <w:pPr>
        <w:spacing w:after="120"/>
      </w:pPr>
    </w:p>
    <w:p w:rsidR="007A1748" w:rsidRDefault="007A1748" w:rsidP="001C1829">
      <w:pPr>
        <w:spacing w:after="120"/>
      </w:pPr>
    </w:p>
    <w:p w:rsidR="007A1748" w:rsidRDefault="007A1748" w:rsidP="001C1829">
      <w:pPr>
        <w:spacing w:after="120"/>
      </w:pPr>
    </w:p>
    <w:p w:rsidR="007A1748" w:rsidRDefault="007A1748" w:rsidP="001C1829">
      <w:pPr>
        <w:spacing w:after="120"/>
      </w:pPr>
    </w:p>
    <w:p w:rsidR="007A1748" w:rsidRDefault="007A1748" w:rsidP="001C1829">
      <w:pPr>
        <w:spacing w:after="120"/>
      </w:pPr>
    </w:p>
    <w:p w:rsidR="007A1748" w:rsidRDefault="007A1748" w:rsidP="001C1829">
      <w:pPr>
        <w:spacing w:after="120"/>
      </w:pPr>
    </w:p>
    <w:p w:rsidR="007A1748" w:rsidRDefault="007A1748" w:rsidP="001C1829">
      <w:pPr>
        <w:spacing w:after="120"/>
      </w:pPr>
    </w:p>
    <w:p w:rsidR="007A1748" w:rsidRDefault="007A1748" w:rsidP="001C1829">
      <w:pPr>
        <w:spacing w:after="120"/>
      </w:pPr>
    </w:p>
    <w:p w:rsidR="007A1748" w:rsidRDefault="007A1748" w:rsidP="001C1829">
      <w:pPr>
        <w:spacing w:after="120"/>
      </w:pPr>
    </w:p>
    <w:p w:rsidR="007A1748" w:rsidRDefault="007A1748" w:rsidP="001C1829">
      <w:pPr>
        <w:spacing w:after="120"/>
      </w:pPr>
    </w:p>
    <w:p w:rsidR="007A1748" w:rsidRDefault="007A1748" w:rsidP="001C1829">
      <w:pPr>
        <w:spacing w:after="120"/>
      </w:pPr>
    </w:p>
    <w:p w:rsidR="007A1748" w:rsidRPr="0001511E" w:rsidRDefault="007A1748" w:rsidP="007A1748">
      <w:pPr>
        <w:pStyle w:val="Nagwek1"/>
        <w:jc w:val="center"/>
      </w:pPr>
      <w:bookmarkStart w:id="1511" w:name="_Toc438237733"/>
      <w:r w:rsidRPr="0001511E">
        <w:t>D-05.03.26a ZABEZPIECZENIE GEOSIATKĄ NAWIERZCHNI ASFALTOWEJ PRZED SPĘKANIAMI ODBITYMI</w:t>
      </w:r>
      <w:bookmarkEnd w:id="1511"/>
    </w:p>
    <w:p w:rsidR="007A1748" w:rsidRDefault="007A1748" w:rsidP="007A1748">
      <w:pPr>
        <w:rPr>
          <w:rFonts w:asciiTheme="minorHAnsi" w:hAnsiTheme="minorHAnsi"/>
        </w:rPr>
      </w:pPr>
    </w:p>
    <w:p w:rsidR="007A1748" w:rsidRDefault="007A1748" w:rsidP="007A1748">
      <w:pPr>
        <w:rPr>
          <w:rFonts w:asciiTheme="minorHAnsi" w:hAnsiTheme="minorHAnsi"/>
        </w:rPr>
      </w:pPr>
    </w:p>
    <w:p w:rsidR="007A1748" w:rsidRDefault="007A1748" w:rsidP="007A1748">
      <w:pPr>
        <w:rPr>
          <w:rFonts w:asciiTheme="minorHAnsi" w:hAnsiTheme="minorHAnsi"/>
        </w:rPr>
      </w:pPr>
    </w:p>
    <w:p w:rsidR="007A1748" w:rsidRDefault="007A1748" w:rsidP="007A1748">
      <w:pPr>
        <w:rPr>
          <w:rFonts w:asciiTheme="minorHAnsi" w:hAnsiTheme="minorHAnsi"/>
        </w:rPr>
      </w:pPr>
    </w:p>
    <w:p w:rsidR="007A1748" w:rsidRDefault="007A1748" w:rsidP="007A1748">
      <w:pPr>
        <w:rPr>
          <w:rFonts w:asciiTheme="minorHAnsi" w:hAnsiTheme="minorHAnsi"/>
        </w:rPr>
      </w:pPr>
    </w:p>
    <w:p w:rsidR="007A1748" w:rsidRDefault="007A1748" w:rsidP="007A1748">
      <w:pPr>
        <w:rPr>
          <w:rFonts w:asciiTheme="minorHAnsi" w:hAnsiTheme="minorHAnsi"/>
        </w:rPr>
      </w:pPr>
    </w:p>
    <w:p w:rsidR="007A1748" w:rsidRDefault="007A1748" w:rsidP="007A1748">
      <w:pPr>
        <w:rPr>
          <w:rFonts w:asciiTheme="minorHAnsi" w:hAnsiTheme="minorHAnsi"/>
        </w:rPr>
      </w:pPr>
    </w:p>
    <w:p w:rsidR="007A1748" w:rsidRDefault="007A1748" w:rsidP="007A1748">
      <w:pPr>
        <w:rPr>
          <w:rFonts w:asciiTheme="minorHAnsi" w:hAnsiTheme="minorHAnsi"/>
        </w:rPr>
      </w:pPr>
    </w:p>
    <w:p w:rsidR="007A1748" w:rsidRDefault="007A1748" w:rsidP="007A1748">
      <w:pPr>
        <w:rPr>
          <w:rFonts w:asciiTheme="minorHAnsi" w:hAnsiTheme="minorHAnsi"/>
        </w:rPr>
      </w:pPr>
    </w:p>
    <w:p w:rsidR="007A1748" w:rsidRDefault="007A1748" w:rsidP="007A1748">
      <w:pPr>
        <w:rPr>
          <w:rFonts w:asciiTheme="minorHAnsi" w:hAnsiTheme="minorHAnsi"/>
        </w:rPr>
      </w:pPr>
    </w:p>
    <w:p w:rsidR="007A1748" w:rsidRDefault="007A1748" w:rsidP="007A1748">
      <w:pPr>
        <w:rPr>
          <w:rFonts w:asciiTheme="minorHAnsi" w:hAnsiTheme="minorHAnsi"/>
        </w:rPr>
      </w:pPr>
    </w:p>
    <w:p w:rsidR="007A1748" w:rsidRDefault="007A1748" w:rsidP="007A1748">
      <w:pPr>
        <w:rPr>
          <w:rFonts w:asciiTheme="minorHAnsi" w:hAnsiTheme="minorHAnsi"/>
        </w:rPr>
      </w:pPr>
    </w:p>
    <w:p w:rsidR="007A1748" w:rsidRDefault="007A1748" w:rsidP="007A1748">
      <w:pPr>
        <w:rPr>
          <w:rFonts w:asciiTheme="minorHAnsi" w:hAnsiTheme="minorHAnsi"/>
        </w:rPr>
      </w:pPr>
    </w:p>
    <w:p w:rsidR="007A1748" w:rsidRDefault="007A1748" w:rsidP="007A1748">
      <w:pPr>
        <w:rPr>
          <w:rFonts w:asciiTheme="minorHAnsi" w:hAnsiTheme="minorHAnsi"/>
        </w:rPr>
      </w:pPr>
    </w:p>
    <w:p w:rsidR="007A1748" w:rsidRDefault="007A1748" w:rsidP="007A1748">
      <w:pPr>
        <w:rPr>
          <w:rFonts w:asciiTheme="minorHAnsi" w:hAnsiTheme="minorHAnsi"/>
        </w:rPr>
      </w:pPr>
    </w:p>
    <w:p w:rsidR="007A1748" w:rsidRDefault="007A1748" w:rsidP="007A1748">
      <w:pPr>
        <w:rPr>
          <w:rFonts w:asciiTheme="minorHAnsi" w:hAnsiTheme="minorHAnsi"/>
        </w:rPr>
      </w:pPr>
    </w:p>
    <w:p w:rsidR="007A1748" w:rsidRDefault="007A1748" w:rsidP="007A1748">
      <w:pPr>
        <w:rPr>
          <w:rFonts w:asciiTheme="minorHAnsi" w:hAnsiTheme="minorHAnsi"/>
        </w:rPr>
      </w:pPr>
    </w:p>
    <w:p w:rsidR="007A1748" w:rsidRDefault="007A1748" w:rsidP="007A1748">
      <w:pPr>
        <w:rPr>
          <w:rFonts w:asciiTheme="minorHAnsi" w:hAnsiTheme="minorHAnsi"/>
        </w:rPr>
      </w:pPr>
    </w:p>
    <w:p w:rsidR="007A1748" w:rsidRDefault="007A1748" w:rsidP="007A1748">
      <w:pPr>
        <w:rPr>
          <w:rFonts w:asciiTheme="minorHAnsi" w:hAnsiTheme="minorHAnsi"/>
        </w:rPr>
      </w:pPr>
    </w:p>
    <w:p w:rsidR="007A1748" w:rsidRDefault="007A1748" w:rsidP="007A1748">
      <w:pPr>
        <w:rPr>
          <w:rFonts w:asciiTheme="minorHAnsi" w:hAnsiTheme="minorHAnsi"/>
        </w:rPr>
      </w:pPr>
    </w:p>
    <w:p w:rsidR="007A1748" w:rsidRDefault="007A1748" w:rsidP="007A1748">
      <w:pPr>
        <w:rPr>
          <w:rFonts w:asciiTheme="minorHAnsi" w:hAnsiTheme="minorHAnsi"/>
        </w:rPr>
      </w:pPr>
    </w:p>
    <w:p w:rsidR="007A1748" w:rsidRDefault="007A1748" w:rsidP="007A1748">
      <w:pPr>
        <w:rPr>
          <w:rFonts w:asciiTheme="minorHAnsi" w:hAnsiTheme="minorHAnsi"/>
        </w:rPr>
      </w:pPr>
    </w:p>
    <w:p w:rsidR="007A1748" w:rsidRDefault="007A1748" w:rsidP="007A1748">
      <w:pPr>
        <w:rPr>
          <w:rFonts w:asciiTheme="minorHAnsi" w:hAnsiTheme="minorHAnsi"/>
        </w:rPr>
      </w:pPr>
    </w:p>
    <w:p w:rsidR="007A1748" w:rsidRDefault="007A1748" w:rsidP="007A1748">
      <w:pPr>
        <w:rPr>
          <w:rFonts w:asciiTheme="minorHAnsi" w:hAnsiTheme="minorHAnsi"/>
        </w:rPr>
      </w:pPr>
    </w:p>
    <w:p w:rsidR="007A1748" w:rsidRDefault="007A1748" w:rsidP="007A1748">
      <w:pPr>
        <w:rPr>
          <w:rFonts w:asciiTheme="minorHAnsi" w:hAnsiTheme="minorHAnsi"/>
        </w:rPr>
      </w:pPr>
    </w:p>
    <w:p w:rsidR="007A1748" w:rsidRDefault="007A1748" w:rsidP="007A1748">
      <w:pPr>
        <w:rPr>
          <w:rFonts w:asciiTheme="minorHAnsi" w:hAnsiTheme="minorHAnsi"/>
        </w:rPr>
      </w:pPr>
    </w:p>
    <w:p w:rsidR="007A1748" w:rsidRDefault="007A1748" w:rsidP="007A1748">
      <w:pPr>
        <w:rPr>
          <w:rFonts w:asciiTheme="minorHAnsi" w:hAnsiTheme="minorHAnsi"/>
        </w:rPr>
      </w:pPr>
    </w:p>
    <w:p w:rsidR="007A1748" w:rsidRDefault="007A1748" w:rsidP="007A1748">
      <w:pPr>
        <w:rPr>
          <w:rFonts w:asciiTheme="minorHAnsi" w:hAnsiTheme="minorHAnsi"/>
        </w:rPr>
      </w:pPr>
    </w:p>
    <w:p w:rsidR="007A1748" w:rsidRDefault="007A1748" w:rsidP="007A1748">
      <w:pPr>
        <w:rPr>
          <w:rFonts w:asciiTheme="minorHAnsi" w:hAnsiTheme="minorHAnsi"/>
        </w:rPr>
      </w:pPr>
    </w:p>
    <w:p w:rsidR="007A1748" w:rsidRDefault="007A1748" w:rsidP="007A1748">
      <w:pPr>
        <w:rPr>
          <w:rFonts w:asciiTheme="minorHAnsi" w:hAnsiTheme="minorHAnsi"/>
        </w:rPr>
      </w:pPr>
    </w:p>
    <w:p w:rsidR="007A1748" w:rsidRDefault="007A1748" w:rsidP="007A1748">
      <w:pPr>
        <w:rPr>
          <w:rFonts w:asciiTheme="minorHAnsi" w:hAnsiTheme="minorHAnsi"/>
        </w:rPr>
      </w:pPr>
    </w:p>
    <w:p w:rsidR="007A1748" w:rsidRDefault="007A1748" w:rsidP="007A1748">
      <w:pPr>
        <w:rPr>
          <w:rFonts w:asciiTheme="minorHAnsi" w:hAnsiTheme="minorHAnsi"/>
        </w:rPr>
      </w:pPr>
    </w:p>
    <w:p w:rsidR="007A1748" w:rsidRDefault="007A1748" w:rsidP="007A1748">
      <w:pPr>
        <w:rPr>
          <w:rFonts w:asciiTheme="minorHAnsi" w:hAnsiTheme="minorHAnsi"/>
        </w:rPr>
      </w:pPr>
    </w:p>
    <w:p w:rsidR="007A1748" w:rsidRDefault="007A1748" w:rsidP="007A1748">
      <w:pPr>
        <w:rPr>
          <w:rFonts w:asciiTheme="minorHAnsi" w:hAnsiTheme="minorHAnsi"/>
        </w:rPr>
      </w:pPr>
    </w:p>
    <w:p w:rsidR="007A1748" w:rsidRDefault="007A1748" w:rsidP="007A1748">
      <w:pPr>
        <w:rPr>
          <w:rFonts w:asciiTheme="minorHAnsi" w:hAnsiTheme="minorHAnsi"/>
        </w:rPr>
      </w:pPr>
    </w:p>
    <w:p w:rsidR="007A1748" w:rsidRDefault="007A1748" w:rsidP="007A1748">
      <w:pPr>
        <w:rPr>
          <w:rFonts w:asciiTheme="minorHAnsi" w:hAnsiTheme="minorHAnsi"/>
        </w:rPr>
      </w:pPr>
    </w:p>
    <w:p w:rsidR="007A1748" w:rsidRPr="00AD7F53" w:rsidRDefault="007A1748" w:rsidP="007A1748">
      <w:pPr>
        <w:rPr>
          <w:rFonts w:asciiTheme="minorHAnsi" w:hAnsiTheme="minorHAnsi"/>
          <w:b/>
        </w:rPr>
      </w:pPr>
      <w:bookmarkStart w:id="1512" w:name="_Toc41966529"/>
      <w:r w:rsidRPr="00AD7F53">
        <w:rPr>
          <w:rFonts w:asciiTheme="minorHAnsi" w:hAnsiTheme="minorHAnsi"/>
          <w:b/>
        </w:rPr>
        <w:lastRenderedPageBreak/>
        <w:t>1. WSTĘP</w:t>
      </w:r>
      <w:bookmarkEnd w:id="1512"/>
    </w:p>
    <w:p w:rsidR="007A1748" w:rsidRPr="0001511E" w:rsidRDefault="007A1748" w:rsidP="007A1748">
      <w:pPr>
        <w:rPr>
          <w:rFonts w:asciiTheme="minorHAnsi" w:hAnsiTheme="minorHAnsi"/>
        </w:rPr>
      </w:pPr>
      <w:r w:rsidRPr="00AD7F53">
        <w:rPr>
          <w:rFonts w:asciiTheme="minorHAnsi" w:hAnsiTheme="minorHAnsi"/>
          <w:b/>
        </w:rPr>
        <w:t>1.1.</w:t>
      </w:r>
      <w:r w:rsidRPr="0001511E">
        <w:rPr>
          <w:rFonts w:asciiTheme="minorHAnsi" w:hAnsiTheme="minorHAnsi"/>
        </w:rPr>
        <w:t xml:space="preserve"> Przedmiot ST</w:t>
      </w:r>
    </w:p>
    <w:p w:rsidR="007A1748" w:rsidRPr="0001511E" w:rsidRDefault="007A1748" w:rsidP="007A1748">
      <w:pPr>
        <w:rPr>
          <w:rFonts w:asciiTheme="minorHAnsi" w:hAnsiTheme="minorHAnsi"/>
        </w:rPr>
      </w:pPr>
      <w:r w:rsidRPr="0001511E">
        <w:rPr>
          <w:rFonts w:asciiTheme="minorHAnsi" w:hAnsiTheme="minorHAnsi"/>
        </w:rPr>
        <w:tab/>
        <w:t>Przedmiotem niniejszej specyfikacji technicznej (ST) są wymagania dotyczące wykonania i odbioru robót związanych z wykonaniem zabezpieczenia geosiatką nawierzchni asfaltowych przed spękaniami odbitymi.</w:t>
      </w:r>
    </w:p>
    <w:p w:rsidR="007A1748" w:rsidRPr="0001511E" w:rsidRDefault="007A1748" w:rsidP="007A1748">
      <w:pPr>
        <w:rPr>
          <w:rFonts w:asciiTheme="minorHAnsi" w:hAnsiTheme="minorHAnsi"/>
        </w:rPr>
      </w:pPr>
      <w:r w:rsidRPr="00AD7F53">
        <w:rPr>
          <w:rFonts w:asciiTheme="minorHAnsi" w:hAnsiTheme="minorHAnsi"/>
          <w:b/>
        </w:rPr>
        <w:t>1.2.</w:t>
      </w:r>
      <w:r w:rsidRPr="0001511E">
        <w:rPr>
          <w:rFonts w:asciiTheme="minorHAnsi" w:hAnsiTheme="minorHAnsi"/>
        </w:rPr>
        <w:t xml:space="preserve"> Zakres stosowania ST</w:t>
      </w:r>
    </w:p>
    <w:p w:rsidR="007A1748" w:rsidRPr="007621DF" w:rsidRDefault="007A1748" w:rsidP="007A1748">
      <w:pPr>
        <w:rPr>
          <w:rFonts w:ascii="Calibri" w:hAnsi="Calibri" w:cs="Calibri"/>
        </w:rPr>
      </w:pPr>
      <w:r w:rsidRPr="0001511E">
        <w:rPr>
          <w:rFonts w:asciiTheme="minorHAnsi" w:hAnsiTheme="minorHAnsi"/>
        </w:rPr>
        <w:tab/>
      </w:r>
      <w:r w:rsidRPr="007621DF">
        <w:rPr>
          <w:rFonts w:ascii="Calibri" w:hAnsi="Calibri" w:cs="Calibri"/>
        </w:rPr>
        <w:t>Specyfikacja techniczna określa wymagania dla wykonania i odbioru robót budowlanych przewidzianych do wykonania w ramach umowy a zawarte w niej zapisy w zakresie standardu materiałów, wykonania robót i wymaganej ich jakości oraz kontroli jakości robót należy traktować jako minimalne.</w:t>
      </w:r>
    </w:p>
    <w:p w:rsidR="007A1748" w:rsidRPr="0001511E" w:rsidRDefault="007A1748" w:rsidP="007A1748">
      <w:pPr>
        <w:rPr>
          <w:rFonts w:asciiTheme="minorHAnsi" w:hAnsiTheme="minorHAnsi"/>
        </w:rPr>
      </w:pPr>
      <w:r w:rsidRPr="00AD7F53">
        <w:rPr>
          <w:rFonts w:asciiTheme="minorHAnsi" w:hAnsiTheme="minorHAnsi"/>
          <w:b/>
        </w:rPr>
        <w:t>1.3.</w:t>
      </w:r>
      <w:r w:rsidRPr="0001511E">
        <w:rPr>
          <w:rFonts w:asciiTheme="minorHAnsi" w:hAnsiTheme="minorHAnsi"/>
        </w:rPr>
        <w:t xml:space="preserve"> Zakres robót objętych ST</w:t>
      </w:r>
    </w:p>
    <w:p w:rsidR="00180FC1" w:rsidRPr="00C3299C" w:rsidRDefault="007A1748" w:rsidP="00180FC1">
      <w:pPr>
        <w:rPr>
          <w:rFonts w:asciiTheme="minorHAnsi" w:hAnsiTheme="minorHAnsi" w:cs="Calibri"/>
        </w:rPr>
      </w:pPr>
      <w:r w:rsidRPr="0001511E">
        <w:rPr>
          <w:rFonts w:asciiTheme="minorHAnsi" w:hAnsiTheme="minorHAnsi"/>
        </w:rPr>
        <w:t xml:space="preserve">Ustalenia zawarte w niniejszej specyfikacji dotyczą zasad prowadzenia robót związanych z wykonaniem i odbiorem nowych nawierzchni asfaltowych z geosiatkami </w:t>
      </w:r>
      <w:r w:rsidR="00180FC1" w:rsidRPr="00C3299C">
        <w:rPr>
          <w:rFonts w:ascii="Calibri" w:hAnsi="Calibri" w:cs="Calibri"/>
        </w:rPr>
        <w:t>w związku z „</w:t>
      </w:r>
      <w:r w:rsidR="00180FC1" w:rsidRPr="00C3299C">
        <w:rPr>
          <w:rFonts w:asciiTheme="minorHAnsi" w:hAnsiTheme="minorHAnsi"/>
        </w:rPr>
        <w:t>Przebudową ul.55 Pułku Piechoty w Lesznie wraz z przebudową oświetlenia”</w:t>
      </w:r>
      <w:r w:rsidR="00180FC1" w:rsidRPr="00C3299C">
        <w:rPr>
          <w:rFonts w:asciiTheme="minorHAnsi" w:hAnsiTheme="minorHAnsi" w:cs="Calibri"/>
        </w:rPr>
        <w:t>.</w:t>
      </w:r>
    </w:p>
    <w:p w:rsidR="007A1748" w:rsidRPr="0001511E" w:rsidRDefault="00180FC1" w:rsidP="007A1748">
      <w:pPr>
        <w:rPr>
          <w:rFonts w:asciiTheme="minorHAnsi" w:hAnsiTheme="minorHAnsi"/>
        </w:rPr>
      </w:pPr>
      <w:r>
        <w:rPr>
          <w:rFonts w:asciiTheme="minorHAnsi" w:hAnsiTheme="minorHAnsi"/>
        </w:rPr>
        <w:t>Geosiatka ma za zadanie opóźniać</w:t>
      </w:r>
      <w:r w:rsidR="007A1748" w:rsidRPr="0001511E">
        <w:rPr>
          <w:rFonts w:asciiTheme="minorHAnsi" w:hAnsiTheme="minorHAnsi"/>
        </w:rPr>
        <w:t xml:space="preserve"> powstawanie, w warstwie ścieralnej i wiążącej, spękań odbitych zlokalizowanych w miejscach:</w:t>
      </w:r>
    </w:p>
    <w:p w:rsidR="007A1748" w:rsidRPr="0001511E" w:rsidRDefault="007A1748" w:rsidP="007A1748">
      <w:pPr>
        <w:rPr>
          <w:rFonts w:asciiTheme="minorHAnsi" w:hAnsiTheme="minorHAnsi"/>
        </w:rPr>
      </w:pPr>
      <w:r>
        <w:rPr>
          <w:rFonts w:asciiTheme="minorHAnsi" w:hAnsiTheme="minorHAnsi"/>
        </w:rPr>
        <w:t>-</w:t>
      </w:r>
      <w:r w:rsidRPr="0001511E">
        <w:rPr>
          <w:rFonts w:asciiTheme="minorHAnsi" w:hAnsiTheme="minorHAnsi"/>
        </w:rPr>
        <w:t>nieszczelności podbudowy i warstw nawierzchni leżących niżej,</w:t>
      </w:r>
    </w:p>
    <w:p w:rsidR="007A1748" w:rsidRPr="0001511E" w:rsidRDefault="007A1748" w:rsidP="007A1748">
      <w:pPr>
        <w:rPr>
          <w:rFonts w:asciiTheme="minorHAnsi" w:hAnsiTheme="minorHAnsi"/>
        </w:rPr>
      </w:pPr>
      <w:r>
        <w:rPr>
          <w:rFonts w:asciiTheme="minorHAnsi" w:hAnsiTheme="minorHAnsi"/>
        </w:rPr>
        <w:t>-</w:t>
      </w:r>
      <w:r w:rsidRPr="0001511E">
        <w:rPr>
          <w:rFonts w:asciiTheme="minorHAnsi" w:hAnsiTheme="minorHAnsi"/>
        </w:rPr>
        <w:t>połączeń różnych rodzajów nawierzchni,</w:t>
      </w:r>
    </w:p>
    <w:p w:rsidR="007A1748" w:rsidRPr="0001511E" w:rsidRDefault="007A1748" w:rsidP="007A1748">
      <w:pPr>
        <w:rPr>
          <w:rFonts w:asciiTheme="minorHAnsi" w:hAnsiTheme="minorHAnsi"/>
        </w:rPr>
      </w:pPr>
      <w:r>
        <w:rPr>
          <w:rFonts w:asciiTheme="minorHAnsi" w:hAnsiTheme="minorHAnsi"/>
        </w:rPr>
        <w:t>-</w:t>
      </w:r>
      <w:r w:rsidRPr="0001511E">
        <w:rPr>
          <w:rFonts w:asciiTheme="minorHAnsi" w:hAnsiTheme="minorHAnsi"/>
        </w:rPr>
        <w:t>poszerzeń istniejących nawierzchni.</w:t>
      </w:r>
    </w:p>
    <w:p w:rsidR="007A1748" w:rsidRPr="0001511E" w:rsidRDefault="007A1748" w:rsidP="007A1748">
      <w:pPr>
        <w:rPr>
          <w:rFonts w:asciiTheme="minorHAnsi" w:hAnsiTheme="minorHAnsi"/>
        </w:rPr>
      </w:pPr>
      <w:r w:rsidRPr="0001511E">
        <w:rPr>
          <w:rFonts w:asciiTheme="minorHAnsi" w:hAnsiTheme="minorHAnsi"/>
        </w:rPr>
        <w:tab/>
        <w:t>Ustalenia ST dotyczą geosiatek z tworzyw sztucznych.</w:t>
      </w:r>
    </w:p>
    <w:p w:rsidR="007A1748" w:rsidRPr="0001511E" w:rsidRDefault="007A1748" w:rsidP="007A1748">
      <w:pPr>
        <w:rPr>
          <w:rFonts w:asciiTheme="minorHAnsi" w:hAnsiTheme="minorHAnsi"/>
        </w:rPr>
      </w:pPr>
      <w:r w:rsidRPr="00AD7F53">
        <w:rPr>
          <w:rFonts w:asciiTheme="minorHAnsi" w:hAnsiTheme="minorHAnsi"/>
          <w:b/>
        </w:rPr>
        <w:t>1.4.</w:t>
      </w:r>
      <w:r w:rsidRPr="0001511E">
        <w:rPr>
          <w:rFonts w:asciiTheme="minorHAnsi" w:hAnsiTheme="minorHAnsi"/>
        </w:rPr>
        <w:t xml:space="preserve"> Określenia podstawowe</w:t>
      </w:r>
    </w:p>
    <w:p w:rsidR="007A1748" w:rsidRPr="0001511E" w:rsidRDefault="007A1748" w:rsidP="007A1748">
      <w:pPr>
        <w:rPr>
          <w:rFonts w:asciiTheme="minorHAnsi" w:hAnsiTheme="minorHAnsi"/>
        </w:rPr>
      </w:pPr>
      <w:r w:rsidRPr="0001511E">
        <w:rPr>
          <w:rFonts w:asciiTheme="minorHAnsi" w:hAnsiTheme="minorHAnsi"/>
        </w:rPr>
        <w:t>Geosyntetyk - materiał o postaci ciągłej, wytwarzany z wysoko spolimeryzowanych włókien syntetycznych jak polietylen, polipropylen, poliester, charakteryzujący się m.in. dużą wytrzymałością oraz wodoprzepuszczalnością.</w:t>
      </w:r>
    </w:p>
    <w:p w:rsidR="007A1748" w:rsidRPr="0001511E" w:rsidRDefault="007A1748" w:rsidP="007A1748">
      <w:pPr>
        <w:rPr>
          <w:rFonts w:asciiTheme="minorHAnsi" w:hAnsiTheme="minorHAnsi"/>
        </w:rPr>
      </w:pPr>
      <w:r w:rsidRPr="0001511E">
        <w:rPr>
          <w:rFonts w:asciiTheme="minorHAnsi" w:hAnsiTheme="minorHAnsi"/>
        </w:rPr>
        <w:t>Geosyntetyki obejmują: geosiatki, geowłókniny, geotkaniny, geodzianiny, georuszty, geokompozyty, geomembrany.</w:t>
      </w:r>
    </w:p>
    <w:p w:rsidR="007A1748" w:rsidRPr="0001511E" w:rsidRDefault="007A1748" w:rsidP="007A1748">
      <w:pPr>
        <w:rPr>
          <w:rFonts w:asciiTheme="minorHAnsi" w:hAnsiTheme="minorHAnsi"/>
        </w:rPr>
      </w:pPr>
      <w:r w:rsidRPr="0001511E">
        <w:rPr>
          <w:rFonts w:asciiTheme="minorHAnsi" w:hAnsiTheme="minorHAnsi"/>
        </w:rPr>
        <w:t>Geosiatka - płaska struktura w postaci siatki, z otworami znacznie większymi niż elementy składowe, z oczkami połączonymi (przeplatanymi) w węzłach lub ciągnionymi.</w:t>
      </w:r>
    </w:p>
    <w:p w:rsidR="007A1748" w:rsidRPr="0001511E" w:rsidRDefault="007A1748" w:rsidP="007A1748">
      <w:pPr>
        <w:rPr>
          <w:rFonts w:asciiTheme="minorHAnsi" w:hAnsiTheme="minorHAnsi"/>
        </w:rPr>
      </w:pPr>
      <w:r w:rsidRPr="0001511E">
        <w:rPr>
          <w:rFonts w:asciiTheme="minorHAnsi" w:hAnsiTheme="minorHAnsi"/>
        </w:rPr>
        <w:t>Nawierzchnia asfaltowa - nawierzchnia, której warstwy są wykonane z kruszywa związanego lepiszczem asfaltowym.</w:t>
      </w:r>
    </w:p>
    <w:p w:rsidR="007A1748" w:rsidRPr="0001511E" w:rsidRDefault="007A1748" w:rsidP="007A1748">
      <w:pPr>
        <w:rPr>
          <w:rFonts w:asciiTheme="minorHAnsi" w:hAnsiTheme="minorHAnsi"/>
        </w:rPr>
      </w:pPr>
      <w:r w:rsidRPr="0001511E">
        <w:rPr>
          <w:rFonts w:asciiTheme="minorHAnsi" w:hAnsiTheme="minorHAnsi"/>
        </w:rPr>
        <w:t>Pęknięcie odbite - pęknięcie (spękanie) warstwy powierzchniowej nawierzchni, będące odwzorowaniem istniejących pęknięć i nieciągłości warstw w materiale podbudowy, propagowanych w górę w wyniku koncentracji naprężeń i nieciągłości struktury materiału, prowadzących do lokalnego przekroczenia wytrzymałości granicznej. (Pęknięcia odbite zwykle występują w nawierzchniach asfaltowych posadowionych na podbudowach związanych hydraulicznie).</w:t>
      </w:r>
    </w:p>
    <w:p w:rsidR="007A1748" w:rsidRPr="0001511E" w:rsidRDefault="007A1748" w:rsidP="007A1748">
      <w:pPr>
        <w:rPr>
          <w:rFonts w:asciiTheme="minorHAnsi" w:hAnsiTheme="minorHAnsi"/>
        </w:rPr>
      </w:pPr>
      <w:r w:rsidRPr="00AD7F53">
        <w:rPr>
          <w:rFonts w:asciiTheme="minorHAnsi" w:hAnsiTheme="minorHAnsi"/>
          <w:b/>
        </w:rPr>
        <w:t>1.4.</w:t>
      </w:r>
      <w:r>
        <w:rPr>
          <w:rFonts w:asciiTheme="minorHAnsi" w:hAnsiTheme="minorHAnsi"/>
          <w:b/>
        </w:rPr>
        <w:t>1</w:t>
      </w:r>
      <w:r w:rsidRPr="00AD7F53">
        <w:rPr>
          <w:rFonts w:asciiTheme="minorHAnsi" w:hAnsiTheme="minorHAnsi"/>
          <w:b/>
        </w:rPr>
        <w:t>.</w:t>
      </w:r>
      <w:r w:rsidRPr="0001511E">
        <w:rPr>
          <w:rFonts w:asciiTheme="minorHAnsi" w:hAnsiTheme="minorHAnsi"/>
        </w:rPr>
        <w:t xml:space="preserve"> Pozostałe określenia podstawowe są zgodne z obowiązującymi, odpowiednimi polskimi normami i z definicjami podanymi w ST   D-M-00.00.00 „Wymagania ogólne”  pkt 1.4.</w:t>
      </w:r>
    </w:p>
    <w:p w:rsidR="007A1748" w:rsidRPr="0001511E" w:rsidRDefault="007A1748" w:rsidP="007A1748">
      <w:pPr>
        <w:rPr>
          <w:rFonts w:asciiTheme="minorHAnsi" w:hAnsiTheme="minorHAnsi"/>
        </w:rPr>
      </w:pPr>
      <w:r w:rsidRPr="00AD7F53">
        <w:rPr>
          <w:rFonts w:asciiTheme="minorHAnsi" w:hAnsiTheme="minorHAnsi"/>
          <w:b/>
        </w:rPr>
        <w:t>1.5.</w:t>
      </w:r>
      <w:r w:rsidRPr="0001511E">
        <w:rPr>
          <w:rFonts w:asciiTheme="minorHAnsi" w:hAnsiTheme="minorHAnsi"/>
        </w:rPr>
        <w:t xml:space="preserve"> Ogólne wymagania dotyczące robót </w:t>
      </w:r>
    </w:p>
    <w:p w:rsidR="007A1748" w:rsidRDefault="007A1748" w:rsidP="007A1748">
      <w:pPr>
        <w:rPr>
          <w:rFonts w:asciiTheme="minorHAnsi" w:hAnsiTheme="minorHAnsi"/>
        </w:rPr>
      </w:pPr>
      <w:r w:rsidRPr="0001511E">
        <w:rPr>
          <w:rFonts w:asciiTheme="minorHAnsi" w:hAnsiTheme="minorHAnsi"/>
        </w:rPr>
        <w:tab/>
        <w:t>Ogólne wymagania dotyczące robót podano w ST D-M-00.00.00 „Wymagania ogólne” pkt 1.5.</w:t>
      </w:r>
    </w:p>
    <w:p w:rsidR="007A1748" w:rsidRPr="0001511E" w:rsidRDefault="007A1748" w:rsidP="007A1748">
      <w:pPr>
        <w:rPr>
          <w:rFonts w:asciiTheme="minorHAnsi" w:hAnsiTheme="minorHAnsi"/>
        </w:rPr>
      </w:pPr>
    </w:p>
    <w:p w:rsidR="007A1748" w:rsidRPr="00AD7F53" w:rsidRDefault="007A1748" w:rsidP="007A1748">
      <w:pPr>
        <w:rPr>
          <w:rFonts w:asciiTheme="minorHAnsi" w:hAnsiTheme="minorHAnsi"/>
          <w:b/>
        </w:rPr>
      </w:pPr>
      <w:bookmarkStart w:id="1513" w:name="_Toc24955909"/>
      <w:bookmarkStart w:id="1514" w:name="_Toc25041743"/>
      <w:bookmarkStart w:id="1515" w:name="_Toc25128883"/>
      <w:bookmarkStart w:id="1516" w:name="_Toc25373381"/>
      <w:bookmarkStart w:id="1517" w:name="_Toc25379397"/>
      <w:bookmarkStart w:id="1518" w:name="_Toc41966530"/>
      <w:r w:rsidRPr="00AD7F53">
        <w:rPr>
          <w:rFonts w:asciiTheme="minorHAnsi" w:hAnsiTheme="minorHAnsi"/>
          <w:b/>
        </w:rPr>
        <w:t>2. MATERIAŁY</w:t>
      </w:r>
      <w:bookmarkEnd w:id="1513"/>
      <w:bookmarkEnd w:id="1514"/>
      <w:bookmarkEnd w:id="1515"/>
      <w:bookmarkEnd w:id="1516"/>
      <w:bookmarkEnd w:id="1517"/>
      <w:bookmarkEnd w:id="1518"/>
    </w:p>
    <w:p w:rsidR="007A1748" w:rsidRPr="0001511E" w:rsidRDefault="007A1748" w:rsidP="007A1748">
      <w:pPr>
        <w:rPr>
          <w:rFonts w:asciiTheme="minorHAnsi" w:hAnsiTheme="minorHAnsi"/>
        </w:rPr>
      </w:pPr>
      <w:r w:rsidRPr="00AD7F53">
        <w:rPr>
          <w:rFonts w:asciiTheme="minorHAnsi" w:hAnsiTheme="minorHAnsi"/>
          <w:b/>
        </w:rPr>
        <w:t>2.1.</w:t>
      </w:r>
      <w:r w:rsidRPr="0001511E">
        <w:rPr>
          <w:rFonts w:asciiTheme="minorHAnsi" w:hAnsiTheme="minorHAnsi"/>
        </w:rPr>
        <w:t xml:space="preserve"> Ogólne wymagania dotyczące materiałów</w:t>
      </w:r>
    </w:p>
    <w:p w:rsidR="007A1748" w:rsidRPr="0001511E" w:rsidRDefault="007A1748" w:rsidP="007A1748">
      <w:pPr>
        <w:rPr>
          <w:rFonts w:asciiTheme="minorHAnsi" w:hAnsiTheme="minorHAnsi"/>
        </w:rPr>
      </w:pPr>
      <w:r w:rsidRPr="0001511E">
        <w:rPr>
          <w:rFonts w:asciiTheme="minorHAnsi" w:hAnsiTheme="minorHAnsi"/>
        </w:rPr>
        <w:tab/>
        <w:t>Ogólne wymagania dotyczące materiałów, ich pozyskiwania i składowania, podano w ST D-M-00.00.00 „Wymagania ogólne” pkt 2.</w:t>
      </w:r>
    </w:p>
    <w:p w:rsidR="007A1748" w:rsidRPr="0001511E" w:rsidRDefault="007A1748" w:rsidP="007A1748">
      <w:pPr>
        <w:rPr>
          <w:rFonts w:asciiTheme="minorHAnsi" w:hAnsiTheme="minorHAnsi"/>
        </w:rPr>
      </w:pPr>
      <w:r w:rsidRPr="00AD7F53">
        <w:rPr>
          <w:rFonts w:asciiTheme="minorHAnsi" w:hAnsiTheme="minorHAnsi"/>
          <w:b/>
        </w:rPr>
        <w:t>2.2.</w:t>
      </w:r>
      <w:r w:rsidRPr="0001511E">
        <w:rPr>
          <w:rFonts w:asciiTheme="minorHAnsi" w:hAnsiTheme="minorHAnsi"/>
        </w:rPr>
        <w:t xml:space="preserve"> Geosiatka</w:t>
      </w:r>
    </w:p>
    <w:p w:rsidR="007A1748" w:rsidRPr="0001511E" w:rsidRDefault="007A1748" w:rsidP="007A1748">
      <w:pPr>
        <w:rPr>
          <w:rFonts w:asciiTheme="minorHAnsi" w:hAnsiTheme="minorHAnsi"/>
        </w:rPr>
      </w:pPr>
      <w:r w:rsidRPr="0001511E">
        <w:rPr>
          <w:rFonts w:asciiTheme="minorHAnsi" w:hAnsiTheme="minorHAnsi"/>
        </w:rPr>
        <w:tab/>
        <w:t>Geosiatka powinna mieć właściwości zgodne z ustaleniami dokumentacji projektowej oraz aprobatą techniczną IBDiM.</w:t>
      </w:r>
    </w:p>
    <w:p w:rsidR="007A1748" w:rsidRPr="0001511E" w:rsidRDefault="007A1748" w:rsidP="007A1748">
      <w:pPr>
        <w:rPr>
          <w:rFonts w:asciiTheme="minorHAnsi" w:hAnsiTheme="minorHAnsi"/>
        </w:rPr>
      </w:pPr>
      <w:r w:rsidRPr="0001511E">
        <w:rPr>
          <w:rFonts w:asciiTheme="minorHAnsi" w:hAnsiTheme="minorHAnsi"/>
        </w:rPr>
        <w:tab/>
        <w:t>W przypadku braku wystarczających danych, przy wyborze geosiatki można korzystać z ustaleń podanych w załącznikach 2, 3 i 4 w zakresie:</w:t>
      </w:r>
    </w:p>
    <w:p w:rsidR="007A1748" w:rsidRPr="0001511E" w:rsidRDefault="007A1748" w:rsidP="007A1748">
      <w:pPr>
        <w:rPr>
          <w:rFonts w:asciiTheme="minorHAnsi" w:hAnsiTheme="minorHAnsi"/>
        </w:rPr>
      </w:pPr>
      <w:r>
        <w:rPr>
          <w:rFonts w:asciiTheme="minorHAnsi" w:hAnsiTheme="minorHAnsi"/>
        </w:rPr>
        <w:t>-</w:t>
      </w:r>
      <w:r w:rsidRPr="0001511E">
        <w:rPr>
          <w:rFonts w:asciiTheme="minorHAnsi" w:hAnsiTheme="minorHAnsi"/>
        </w:rPr>
        <w:t>zasad wyboru geosiatki do robót nawierzchniowych,</w:t>
      </w:r>
    </w:p>
    <w:p w:rsidR="007A1748" w:rsidRPr="0001511E" w:rsidRDefault="007A1748" w:rsidP="007A1748">
      <w:pPr>
        <w:rPr>
          <w:rFonts w:asciiTheme="minorHAnsi" w:hAnsiTheme="minorHAnsi"/>
        </w:rPr>
      </w:pPr>
      <w:r>
        <w:rPr>
          <w:rFonts w:asciiTheme="minorHAnsi" w:hAnsiTheme="minorHAnsi"/>
        </w:rPr>
        <w:t>-</w:t>
      </w:r>
      <w:r w:rsidRPr="0001511E">
        <w:rPr>
          <w:rFonts w:asciiTheme="minorHAnsi" w:hAnsiTheme="minorHAnsi"/>
        </w:rPr>
        <w:t>funkcji geosiatki w nawierzchni asfaltowej,</w:t>
      </w:r>
    </w:p>
    <w:p w:rsidR="007A1748" w:rsidRPr="0001511E" w:rsidRDefault="007A1748" w:rsidP="007A1748">
      <w:pPr>
        <w:rPr>
          <w:rFonts w:asciiTheme="minorHAnsi" w:hAnsiTheme="minorHAnsi"/>
        </w:rPr>
      </w:pPr>
      <w:r>
        <w:rPr>
          <w:rFonts w:asciiTheme="minorHAnsi" w:hAnsiTheme="minorHAnsi"/>
        </w:rPr>
        <w:t>-</w:t>
      </w:r>
      <w:r w:rsidRPr="0001511E">
        <w:rPr>
          <w:rFonts w:asciiTheme="minorHAnsi" w:hAnsiTheme="minorHAnsi"/>
        </w:rPr>
        <w:t>wymagań i zaleceń materiałowo-konstrukcyjnych dla geosiatek.</w:t>
      </w:r>
    </w:p>
    <w:p w:rsidR="007A1748" w:rsidRPr="0001511E" w:rsidRDefault="007A1748" w:rsidP="007A1748">
      <w:pPr>
        <w:rPr>
          <w:rFonts w:asciiTheme="minorHAnsi" w:hAnsiTheme="minorHAnsi"/>
        </w:rPr>
      </w:pPr>
      <w:r w:rsidRPr="0001511E">
        <w:rPr>
          <w:rFonts w:asciiTheme="minorHAnsi" w:hAnsiTheme="minorHAnsi"/>
        </w:rPr>
        <w:tab/>
        <w:t>Geosiatka może być składowana na placu budowy pod warunkiem, że jest nawinięta na tuleję lub rurę w wodoszczelnej nieuszkodzonej folii, którą zaleca się zdejmować przed momentem wbudowania.</w:t>
      </w:r>
    </w:p>
    <w:p w:rsidR="007A1748" w:rsidRPr="0001511E" w:rsidRDefault="007A1748" w:rsidP="007A1748">
      <w:pPr>
        <w:rPr>
          <w:rFonts w:asciiTheme="minorHAnsi" w:hAnsiTheme="minorHAnsi"/>
        </w:rPr>
      </w:pPr>
      <w:r w:rsidRPr="0001511E">
        <w:rPr>
          <w:rFonts w:asciiTheme="minorHAnsi" w:hAnsiTheme="minorHAnsi"/>
        </w:rPr>
        <w:tab/>
        <w:t>Rolki geosiatki należy składować w suchym miejscu, na czystej i gładkiej powierzchni oraz nie więcej niż trzy rolki jedna na drugiej. Nie wolno składować rolek skrzyżowanych oraz wyjątkowo można zezwolić na składowanie rolek nie owiniętych folią przez okres dłuższy niż jeden tydzień.</w:t>
      </w:r>
    </w:p>
    <w:p w:rsidR="007A1748" w:rsidRPr="0001511E" w:rsidRDefault="007A1748" w:rsidP="007A1748">
      <w:pPr>
        <w:rPr>
          <w:rFonts w:asciiTheme="minorHAnsi" w:hAnsiTheme="minorHAnsi"/>
        </w:rPr>
      </w:pPr>
      <w:r w:rsidRPr="0001511E">
        <w:rPr>
          <w:rFonts w:asciiTheme="minorHAnsi" w:hAnsiTheme="minorHAnsi"/>
        </w:rPr>
        <w:tab/>
        <w:t>Przy składowaniu geosiatki należy przestrzegać zaleceń producenta.</w:t>
      </w:r>
    </w:p>
    <w:p w:rsidR="00180FC1" w:rsidRDefault="00180FC1" w:rsidP="007A1748">
      <w:pPr>
        <w:rPr>
          <w:rFonts w:asciiTheme="minorHAnsi" w:hAnsiTheme="minorHAnsi"/>
          <w:b/>
        </w:rPr>
      </w:pPr>
    </w:p>
    <w:p w:rsidR="007A1748" w:rsidRPr="0001511E" w:rsidRDefault="007A1748" w:rsidP="007A1748">
      <w:pPr>
        <w:rPr>
          <w:rFonts w:asciiTheme="minorHAnsi" w:hAnsiTheme="minorHAnsi"/>
        </w:rPr>
      </w:pPr>
      <w:r w:rsidRPr="00AD7F53">
        <w:rPr>
          <w:rFonts w:asciiTheme="minorHAnsi" w:hAnsiTheme="minorHAnsi"/>
          <w:b/>
        </w:rPr>
        <w:lastRenderedPageBreak/>
        <w:t>2.3.</w:t>
      </w:r>
      <w:r w:rsidRPr="0001511E">
        <w:rPr>
          <w:rFonts w:asciiTheme="minorHAnsi" w:hAnsiTheme="minorHAnsi"/>
        </w:rPr>
        <w:t xml:space="preserve"> Lepiszcza do przyklejenia geosiatki</w:t>
      </w:r>
    </w:p>
    <w:p w:rsidR="007A1748" w:rsidRPr="0001511E" w:rsidRDefault="007A1748" w:rsidP="007A1748">
      <w:pPr>
        <w:rPr>
          <w:rFonts w:asciiTheme="minorHAnsi" w:hAnsiTheme="minorHAnsi"/>
        </w:rPr>
      </w:pPr>
      <w:r w:rsidRPr="0001511E">
        <w:rPr>
          <w:rFonts w:asciiTheme="minorHAnsi" w:hAnsiTheme="minorHAnsi"/>
        </w:rPr>
        <w:tab/>
        <w:t>Do przyklejenia geosiatki należy stosować:</w:t>
      </w:r>
    </w:p>
    <w:p w:rsidR="007A1748" w:rsidRPr="0001511E" w:rsidRDefault="007A1748" w:rsidP="007A1748">
      <w:pPr>
        <w:rPr>
          <w:rFonts w:asciiTheme="minorHAnsi" w:hAnsiTheme="minorHAnsi"/>
        </w:rPr>
      </w:pPr>
      <w:r>
        <w:rPr>
          <w:rFonts w:asciiTheme="minorHAnsi" w:hAnsiTheme="minorHAnsi"/>
        </w:rPr>
        <w:t>-</w:t>
      </w:r>
      <w:r w:rsidRPr="0001511E">
        <w:rPr>
          <w:rFonts w:asciiTheme="minorHAnsi" w:hAnsiTheme="minorHAnsi"/>
        </w:rPr>
        <w:t>kationową emulsję asfaltową modyfikowaną polimerem, szybkorozpadową wg EmA-99, posiadającą aprobatę techniczną IBDiM; zaleca się emulsję K1-70MP,</w:t>
      </w:r>
    </w:p>
    <w:p w:rsidR="007A1748" w:rsidRPr="0001511E" w:rsidRDefault="007A1748" w:rsidP="007A1748">
      <w:pPr>
        <w:rPr>
          <w:rFonts w:asciiTheme="minorHAnsi" w:hAnsiTheme="minorHAnsi"/>
        </w:rPr>
      </w:pPr>
      <w:r>
        <w:rPr>
          <w:rFonts w:asciiTheme="minorHAnsi" w:hAnsiTheme="minorHAnsi"/>
        </w:rPr>
        <w:t>-</w:t>
      </w:r>
      <w:r w:rsidRPr="0001511E">
        <w:rPr>
          <w:rFonts w:asciiTheme="minorHAnsi" w:hAnsiTheme="minorHAnsi"/>
        </w:rPr>
        <w:t>polimeroasfalt drogowy wg TWT PAD-97, posiadający aprobatę techniczną IBDiM; zaleca się asfalty: DE 150 C i DE 250 C.</w:t>
      </w:r>
    </w:p>
    <w:p w:rsidR="007A1748" w:rsidRPr="0001511E" w:rsidRDefault="007A1748" w:rsidP="007A1748">
      <w:pPr>
        <w:rPr>
          <w:rFonts w:asciiTheme="minorHAnsi" w:hAnsiTheme="minorHAnsi"/>
        </w:rPr>
      </w:pPr>
      <w:r w:rsidRPr="00AD7F53">
        <w:rPr>
          <w:rFonts w:asciiTheme="minorHAnsi" w:hAnsiTheme="minorHAnsi"/>
          <w:b/>
        </w:rPr>
        <w:t>2.4.</w:t>
      </w:r>
      <w:r w:rsidRPr="0001511E">
        <w:rPr>
          <w:rFonts w:asciiTheme="minorHAnsi" w:hAnsiTheme="minorHAnsi"/>
        </w:rPr>
        <w:t xml:space="preserve"> Materiały do robót nawierzchniowych</w:t>
      </w:r>
    </w:p>
    <w:p w:rsidR="007A1748" w:rsidRPr="0001511E" w:rsidRDefault="007A1748" w:rsidP="007A1748">
      <w:pPr>
        <w:rPr>
          <w:rFonts w:asciiTheme="minorHAnsi" w:hAnsiTheme="minorHAnsi"/>
        </w:rPr>
      </w:pPr>
      <w:r w:rsidRPr="0001511E">
        <w:rPr>
          <w:rFonts w:asciiTheme="minorHAnsi" w:hAnsiTheme="minorHAnsi"/>
        </w:rPr>
        <w:tab/>
        <w:t>Materiały do wykonania warstwy lub warstw asfaltowych powinny odpowiadać wymaganiom ST właściwym dla ustalonego rodzaju nawierzchni, przykrywającego geosiatkę, np. betonu asfaltowego.</w:t>
      </w:r>
    </w:p>
    <w:p w:rsidR="007A1748" w:rsidRDefault="007A1748" w:rsidP="007A1748">
      <w:pPr>
        <w:rPr>
          <w:rFonts w:asciiTheme="minorHAnsi" w:hAnsiTheme="minorHAnsi"/>
        </w:rPr>
      </w:pPr>
      <w:bookmarkStart w:id="1519" w:name="_Toc41966531"/>
    </w:p>
    <w:p w:rsidR="007A1748" w:rsidRPr="00AD7F53" w:rsidRDefault="007A1748" w:rsidP="007A1748">
      <w:pPr>
        <w:rPr>
          <w:rFonts w:asciiTheme="minorHAnsi" w:hAnsiTheme="minorHAnsi"/>
          <w:b/>
        </w:rPr>
      </w:pPr>
      <w:r w:rsidRPr="00AD7F53">
        <w:rPr>
          <w:rFonts w:asciiTheme="minorHAnsi" w:hAnsiTheme="minorHAnsi"/>
          <w:b/>
        </w:rPr>
        <w:t>3. SPRZĘT</w:t>
      </w:r>
      <w:bookmarkEnd w:id="1519"/>
    </w:p>
    <w:p w:rsidR="007A1748" w:rsidRPr="0001511E" w:rsidRDefault="007A1748" w:rsidP="007A1748">
      <w:pPr>
        <w:rPr>
          <w:rFonts w:asciiTheme="minorHAnsi" w:hAnsiTheme="minorHAnsi"/>
        </w:rPr>
      </w:pPr>
      <w:r w:rsidRPr="00AD7F53">
        <w:rPr>
          <w:rFonts w:asciiTheme="minorHAnsi" w:hAnsiTheme="minorHAnsi"/>
          <w:b/>
        </w:rPr>
        <w:t>3.1.</w:t>
      </w:r>
      <w:r w:rsidRPr="0001511E">
        <w:rPr>
          <w:rFonts w:asciiTheme="minorHAnsi" w:hAnsiTheme="minorHAnsi"/>
        </w:rPr>
        <w:t xml:space="preserve"> Ogólne wymagania dotyczące sprzętu</w:t>
      </w:r>
    </w:p>
    <w:p w:rsidR="007A1748" w:rsidRPr="0001511E" w:rsidRDefault="007A1748" w:rsidP="007A1748">
      <w:pPr>
        <w:rPr>
          <w:rFonts w:asciiTheme="minorHAnsi" w:hAnsiTheme="minorHAnsi"/>
        </w:rPr>
      </w:pPr>
      <w:r w:rsidRPr="0001511E">
        <w:rPr>
          <w:rFonts w:asciiTheme="minorHAnsi" w:hAnsiTheme="minorHAnsi"/>
        </w:rPr>
        <w:tab/>
        <w:t>Ogólne wymagania dotyczące sprzętu podano w ST  D-M-00.00.00 „Wymagania ogólne” pkt 3.</w:t>
      </w:r>
    </w:p>
    <w:p w:rsidR="007A1748" w:rsidRPr="0001511E" w:rsidRDefault="007A1748" w:rsidP="007A1748">
      <w:pPr>
        <w:rPr>
          <w:rFonts w:asciiTheme="minorHAnsi" w:hAnsiTheme="minorHAnsi"/>
        </w:rPr>
      </w:pPr>
      <w:r w:rsidRPr="00AD7F53">
        <w:rPr>
          <w:rFonts w:asciiTheme="minorHAnsi" w:hAnsiTheme="minorHAnsi"/>
          <w:b/>
        </w:rPr>
        <w:t>3.2.</w:t>
      </w:r>
      <w:r w:rsidRPr="0001511E">
        <w:rPr>
          <w:rFonts w:asciiTheme="minorHAnsi" w:hAnsiTheme="minorHAnsi"/>
        </w:rPr>
        <w:t xml:space="preserve"> Układarki geosiatek</w:t>
      </w:r>
    </w:p>
    <w:p w:rsidR="007A1748" w:rsidRPr="0001511E" w:rsidRDefault="007A1748" w:rsidP="007A1748">
      <w:pPr>
        <w:rPr>
          <w:rFonts w:asciiTheme="minorHAnsi" w:hAnsiTheme="minorHAnsi"/>
        </w:rPr>
      </w:pPr>
      <w:r w:rsidRPr="0001511E">
        <w:rPr>
          <w:rFonts w:asciiTheme="minorHAnsi" w:hAnsiTheme="minorHAnsi"/>
        </w:rPr>
        <w:tab/>
        <w:t>Do układania geosiatek na podłożu można stosować układarki o prostej konstrukcji, umożliwiające rozwijanie geosiatki ze szpuli.</w:t>
      </w:r>
    </w:p>
    <w:p w:rsidR="007A1748" w:rsidRPr="0001511E" w:rsidRDefault="007A1748" w:rsidP="007A1748">
      <w:pPr>
        <w:rPr>
          <w:rFonts w:asciiTheme="minorHAnsi" w:hAnsiTheme="minorHAnsi"/>
        </w:rPr>
      </w:pPr>
      <w:r w:rsidRPr="00AD7F53">
        <w:rPr>
          <w:rFonts w:asciiTheme="minorHAnsi" w:hAnsiTheme="minorHAnsi"/>
          <w:b/>
        </w:rPr>
        <w:t>3.3.</w:t>
      </w:r>
      <w:r w:rsidRPr="0001511E">
        <w:rPr>
          <w:rFonts w:asciiTheme="minorHAnsi" w:hAnsiTheme="minorHAnsi"/>
        </w:rPr>
        <w:t xml:space="preserve"> Skrapiarki</w:t>
      </w:r>
    </w:p>
    <w:p w:rsidR="007A1748" w:rsidRPr="0001511E" w:rsidRDefault="007A1748" w:rsidP="007A1748">
      <w:pPr>
        <w:rPr>
          <w:rFonts w:asciiTheme="minorHAnsi" w:hAnsiTheme="minorHAnsi"/>
        </w:rPr>
      </w:pPr>
      <w:r w:rsidRPr="0001511E">
        <w:rPr>
          <w:rFonts w:asciiTheme="minorHAnsi" w:hAnsiTheme="minorHAnsi"/>
        </w:rPr>
        <w:tab/>
        <w:t>W zależności od potrzeb należy zapewnić użycie odpowiednich skrapiarek do asfaltu i do emulsji asfaltowej. Do większości robót można stosować skrapiarki małe z ręcznie prowadzoną lancą spryskującą. Podstawowym warunkiem jest zapewnienie stałego wydatku lepiszcza, aby ułatwić operatorowi równomierne spryskanie lepiszczem naprawianego miejsca w założonej ilości (l/m2).</w:t>
      </w:r>
    </w:p>
    <w:p w:rsidR="007A1748" w:rsidRPr="0001511E" w:rsidRDefault="007A1748" w:rsidP="007A1748">
      <w:pPr>
        <w:rPr>
          <w:rFonts w:asciiTheme="minorHAnsi" w:hAnsiTheme="minorHAnsi"/>
        </w:rPr>
      </w:pPr>
      <w:r w:rsidRPr="00AD7F53">
        <w:rPr>
          <w:rFonts w:asciiTheme="minorHAnsi" w:hAnsiTheme="minorHAnsi"/>
          <w:b/>
        </w:rPr>
        <w:t>3.4.</w:t>
      </w:r>
      <w:r w:rsidRPr="0001511E">
        <w:rPr>
          <w:rFonts w:asciiTheme="minorHAnsi" w:hAnsiTheme="minorHAnsi"/>
        </w:rPr>
        <w:t xml:space="preserve"> Inny sprzęt</w:t>
      </w:r>
    </w:p>
    <w:p w:rsidR="007A1748" w:rsidRPr="0001511E" w:rsidRDefault="007A1748" w:rsidP="007A1748">
      <w:pPr>
        <w:rPr>
          <w:rFonts w:asciiTheme="minorHAnsi" w:hAnsiTheme="minorHAnsi"/>
        </w:rPr>
      </w:pPr>
      <w:r w:rsidRPr="0001511E">
        <w:rPr>
          <w:rFonts w:asciiTheme="minorHAnsi" w:hAnsiTheme="minorHAnsi"/>
        </w:rPr>
        <w:tab/>
        <w:t>Pozostały sprzęt stosowany do robót powinien odpowiadać wymaganiom ST, wymienionych w niniejszej specyfikacji.</w:t>
      </w:r>
    </w:p>
    <w:p w:rsidR="007A1748" w:rsidRDefault="007A1748" w:rsidP="007A1748">
      <w:pPr>
        <w:rPr>
          <w:rFonts w:asciiTheme="minorHAnsi" w:hAnsiTheme="minorHAnsi"/>
        </w:rPr>
      </w:pPr>
      <w:bookmarkStart w:id="1520" w:name="_Toc41966532"/>
    </w:p>
    <w:p w:rsidR="007A1748" w:rsidRPr="00AD7F53" w:rsidRDefault="007A1748" w:rsidP="007A1748">
      <w:pPr>
        <w:rPr>
          <w:rFonts w:asciiTheme="minorHAnsi" w:hAnsiTheme="minorHAnsi"/>
          <w:b/>
        </w:rPr>
      </w:pPr>
      <w:r w:rsidRPr="00AD7F53">
        <w:rPr>
          <w:rFonts w:asciiTheme="minorHAnsi" w:hAnsiTheme="minorHAnsi"/>
          <w:b/>
        </w:rPr>
        <w:t>4. TRANSPORT</w:t>
      </w:r>
      <w:bookmarkEnd w:id="1520"/>
    </w:p>
    <w:p w:rsidR="007A1748" w:rsidRPr="0001511E" w:rsidRDefault="007A1748" w:rsidP="007A1748">
      <w:pPr>
        <w:rPr>
          <w:rFonts w:asciiTheme="minorHAnsi" w:hAnsiTheme="minorHAnsi"/>
        </w:rPr>
      </w:pPr>
      <w:r w:rsidRPr="00AD7F53">
        <w:rPr>
          <w:rFonts w:asciiTheme="minorHAnsi" w:hAnsiTheme="minorHAnsi"/>
          <w:b/>
        </w:rPr>
        <w:t>4.1.</w:t>
      </w:r>
      <w:r w:rsidRPr="0001511E">
        <w:rPr>
          <w:rFonts w:asciiTheme="minorHAnsi" w:hAnsiTheme="minorHAnsi"/>
        </w:rPr>
        <w:t xml:space="preserve"> Ogólne wymagania dotyczące transportu</w:t>
      </w:r>
    </w:p>
    <w:p w:rsidR="007A1748" w:rsidRPr="0001511E" w:rsidRDefault="007A1748" w:rsidP="007A1748">
      <w:pPr>
        <w:rPr>
          <w:rFonts w:asciiTheme="minorHAnsi" w:hAnsiTheme="minorHAnsi"/>
        </w:rPr>
      </w:pPr>
      <w:r w:rsidRPr="0001511E">
        <w:rPr>
          <w:rFonts w:asciiTheme="minorHAnsi" w:hAnsiTheme="minorHAnsi"/>
        </w:rPr>
        <w:tab/>
        <w:t>Ogólne wymagania dotyczące transportu podano w ST D-M-00.00.00 „Wymagania ogólne” pkt 4.</w:t>
      </w:r>
    </w:p>
    <w:p w:rsidR="007A1748" w:rsidRPr="0001511E" w:rsidRDefault="007A1748" w:rsidP="007A1748">
      <w:pPr>
        <w:rPr>
          <w:rFonts w:asciiTheme="minorHAnsi" w:hAnsiTheme="minorHAnsi"/>
        </w:rPr>
      </w:pPr>
      <w:r w:rsidRPr="00AD7F53">
        <w:rPr>
          <w:rFonts w:asciiTheme="minorHAnsi" w:hAnsiTheme="minorHAnsi"/>
          <w:b/>
        </w:rPr>
        <w:t>4.2.</w:t>
      </w:r>
      <w:r w:rsidRPr="0001511E">
        <w:rPr>
          <w:rFonts w:asciiTheme="minorHAnsi" w:hAnsiTheme="minorHAnsi"/>
        </w:rPr>
        <w:t xml:space="preserve"> Transport geosiatek</w:t>
      </w:r>
    </w:p>
    <w:p w:rsidR="007A1748" w:rsidRPr="0001511E" w:rsidRDefault="007A1748" w:rsidP="007A1748">
      <w:pPr>
        <w:rPr>
          <w:rFonts w:asciiTheme="minorHAnsi" w:hAnsiTheme="minorHAnsi"/>
        </w:rPr>
      </w:pPr>
      <w:r w:rsidRPr="0001511E">
        <w:rPr>
          <w:rFonts w:asciiTheme="minorHAnsi" w:hAnsiTheme="minorHAnsi"/>
        </w:rPr>
        <w:tab/>
        <w:t>Geosiatki należy transportować w rolkach owiniętych polietylenową folią. Folia ma na celu zabezpieczenie geosiatki przed uszkodzeniem w  czasie transportu i składowania na budowie, a także zabezpiecza składowaną geosiatkę przed negatywnym działaniem ultrafioletowego promieniowania słonecznego. Podczas transportu należy chronić materiał przed zawilgoceniem i zabrudzeniem. Rolki powinny być ułożone poziomo, nie więcej niż w trzech warstwach. W czasie wyładowywania geosiatki ze środka transportu nie należy dopuścić do porozrywania lub podziurawienia opakowania z folii.</w:t>
      </w:r>
    </w:p>
    <w:p w:rsidR="007A1748" w:rsidRPr="0001511E" w:rsidRDefault="007A1748" w:rsidP="007A1748">
      <w:pPr>
        <w:rPr>
          <w:rFonts w:asciiTheme="minorHAnsi" w:hAnsiTheme="minorHAnsi"/>
        </w:rPr>
      </w:pPr>
      <w:r w:rsidRPr="0001511E">
        <w:rPr>
          <w:rFonts w:asciiTheme="minorHAnsi" w:hAnsiTheme="minorHAnsi"/>
        </w:rPr>
        <w:tab/>
        <w:t>Przy transporcie geosiatki należy przestrzegać zaleceń producenta.</w:t>
      </w:r>
    </w:p>
    <w:p w:rsidR="007A1748" w:rsidRPr="0001511E" w:rsidRDefault="007A1748" w:rsidP="007A1748">
      <w:pPr>
        <w:rPr>
          <w:rFonts w:asciiTheme="minorHAnsi" w:hAnsiTheme="minorHAnsi"/>
        </w:rPr>
      </w:pPr>
      <w:r w:rsidRPr="00AD7F53">
        <w:rPr>
          <w:rFonts w:asciiTheme="minorHAnsi" w:hAnsiTheme="minorHAnsi"/>
          <w:b/>
        </w:rPr>
        <w:t>4.3.</w:t>
      </w:r>
      <w:r w:rsidRPr="0001511E">
        <w:rPr>
          <w:rFonts w:asciiTheme="minorHAnsi" w:hAnsiTheme="minorHAnsi"/>
        </w:rPr>
        <w:t xml:space="preserve"> Transport innych materiałów</w:t>
      </w:r>
    </w:p>
    <w:p w:rsidR="007A1748" w:rsidRPr="0001511E" w:rsidRDefault="007A1748" w:rsidP="007A1748">
      <w:pPr>
        <w:rPr>
          <w:rFonts w:asciiTheme="minorHAnsi" w:hAnsiTheme="minorHAnsi"/>
        </w:rPr>
      </w:pPr>
      <w:r w:rsidRPr="0001511E">
        <w:rPr>
          <w:rFonts w:asciiTheme="minorHAnsi" w:hAnsiTheme="minorHAnsi"/>
        </w:rPr>
        <w:tab/>
        <w:t>Transport pozostałych materiałów powinien odpowiadać wymaganiom ST, wymienionych w niniejszej specyfikacji.</w:t>
      </w:r>
    </w:p>
    <w:p w:rsidR="007A1748" w:rsidRDefault="007A1748" w:rsidP="007A1748">
      <w:pPr>
        <w:rPr>
          <w:rFonts w:asciiTheme="minorHAnsi" w:hAnsiTheme="minorHAnsi"/>
        </w:rPr>
      </w:pPr>
      <w:bookmarkStart w:id="1521" w:name="_Toc485450214"/>
      <w:bookmarkStart w:id="1522" w:name="_Toc485608034"/>
      <w:bookmarkStart w:id="1523" w:name="_Toc485703813"/>
      <w:bookmarkStart w:id="1524" w:name="_Toc485797030"/>
      <w:bookmarkStart w:id="1525" w:name="_Toc41966533"/>
    </w:p>
    <w:p w:rsidR="007A1748" w:rsidRPr="00AD7F53" w:rsidRDefault="007A1748" w:rsidP="007A1748">
      <w:pPr>
        <w:rPr>
          <w:rFonts w:asciiTheme="minorHAnsi" w:hAnsiTheme="minorHAnsi"/>
          <w:b/>
        </w:rPr>
      </w:pPr>
      <w:r w:rsidRPr="00AD7F53">
        <w:rPr>
          <w:rFonts w:asciiTheme="minorHAnsi" w:hAnsiTheme="minorHAnsi"/>
          <w:b/>
        </w:rPr>
        <w:t>5. WYKONANIE ROBÓT</w:t>
      </w:r>
      <w:bookmarkEnd w:id="1521"/>
      <w:bookmarkEnd w:id="1522"/>
      <w:bookmarkEnd w:id="1523"/>
      <w:bookmarkEnd w:id="1524"/>
      <w:bookmarkEnd w:id="1525"/>
    </w:p>
    <w:p w:rsidR="007A1748" w:rsidRPr="0001511E" w:rsidRDefault="007A1748" w:rsidP="007A1748">
      <w:pPr>
        <w:rPr>
          <w:rFonts w:asciiTheme="minorHAnsi" w:hAnsiTheme="minorHAnsi"/>
        </w:rPr>
      </w:pPr>
      <w:r w:rsidRPr="00AD7F53">
        <w:rPr>
          <w:rFonts w:asciiTheme="minorHAnsi" w:hAnsiTheme="minorHAnsi"/>
          <w:b/>
        </w:rPr>
        <w:t>5.1.</w:t>
      </w:r>
      <w:r w:rsidRPr="0001511E">
        <w:rPr>
          <w:rFonts w:asciiTheme="minorHAnsi" w:hAnsiTheme="minorHAnsi"/>
        </w:rPr>
        <w:t xml:space="preserve"> Ogólne zasady wykonania robót</w:t>
      </w:r>
    </w:p>
    <w:p w:rsidR="007A1748" w:rsidRPr="0001511E" w:rsidRDefault="007A1748" w:rsidP="007A1748">
      <w:pPr>
        <w:rPr>
          <w:rFonts w:asciiTheme="minorHAnsi" w:hAnsiTheme="minorHAnsi"/>
        </w:rPr>
      </w:pPr>
      <w:r w:rsidRPr="0001511E">
        <w:rPr>
          <w:rFonts w:asciiTheme="minorHAnsi" w:hAnsiTheme="minorHAnsi"/>
        </w:rPr>
        <w:tab/>
        <w:t>Ogólne zasady wykonania robót podano w ST D-M-00.00.00 „Wymagania ogólne” pkt 5.</w:t>
      </w:r>
    </w:p>
    <w:p w:rsidR="007A1748" w:rsidRPr="0001511E" w:rsidRDefault="007A1748" w:rsidP="007A1748">
      <w:pPr>
        <w:rPr>
          <w:rFonts w:asciiTheme="minorHAnsi" w:hAnsiTheme="minorHAnsi"/>
        </w:rPr>
      </w:pPr>
      <w:r w:rsidRPr="00AD7F53">
        <w:rPr>
          <w:rFonts w:asciiTheme="minorHAnsi" w:hAnsiTheme="minorHAnsi"/>
          <w:b/>
        </w:rPr>
        <w:t>5.2.</w:t>
      </w:r>
      <w:r w:rsidRPr="0001511E">
        <w:rPr>
          <w:rFonts w:asciiTheme="minorHAnsi" w:hAnsiTheme="minorHAnsi"/>
        </w:rPr>
        <w:t xml:space="preserve"> Zasady wykonywania robót</w:t>
      </w:r>
    </w:p>
    <w:p w:rsidR="007A1748" w:rsidRPr="0001511E" w:rsidRDefault="007A1748" w:rsidP="007A1748">
      <w:pPr>
        <w:rPr>
          <w:rFonts w:asciiTheme="minorHAnsi" w:hAnsiTheme="minorHAnsi"/>
        </w:rPr>
      </w:pPr>
      <w:r w:rsidRPr="0001511E">
        <w:rPr>
          <w:rFonts w:asciiTheme="minorHAnsi" w:hAnsiTheme="minorHAnsi"/>
        </w:rPr>
        <w:tab/>
        <w:t>Konstrukcja i sposób zabezpieczenia geosiatką nawierzchni asfaltowej przed spękaniami odbitymi powinny być zgodne z dokumentacją techniczną i ustaleniami producenta geosiatek. W przypadku braku wystarczających danych należy korzystać z ustaleń podanych w niniejszej specyfikacji.</w:t>
      </w:r>
    </w:p>
    <w:p w:rsidR="007A1748" w:rsidRPr="0001511E" w:rsidRDefault="007A1748" w:rsidP="007A1748">
      <w:pPr>
        <w:rPr>
          <w:rFonts w:asciiTheme="minorHAnsi" w:hAnsiTheme="minorHAnsi"/>
        </w:rPr>
      </w:pPr>
      <w:r w:rsidRPr="0001511E">
        <w:rPr>
          <w:rFonts w:asciiTheme="minorHAnsi" w:hAnsiTheme="minorHAnsi"/>
        </w:rPr>
        <w:tab/>
        <w:t>Przy zabezpieczaniu geosiatkami nawierzchni asfaltowych przed spękaniami odbitymi, mogą występować następujące czynności:</w:t>
      </w:r>
    </w:p>
    <w:p w:rsidR="007A1748" w:rsidRPr="0001511E" w:rsidRDefault="007A1748" w:rsidP="007A1748">
      <w:pPr>
        <w:rPr>
          <w:rFonts w:asciiTheme="minorHAnsi" w:hAnsiTheme="minorHAnsi"/>
        </w:rPr>
      </w:pPr>
      <w:r>
        <w:rPr>
          <w:rFonts w:asciiTheme="minorHAnsi" w:hAnsiTheme="minorHAnsi"/>
        </w:rPr>
        <w:t>-</w:t>
      </w:r>
      <w:r w:rsidRPr="0001511E">
        <w:rPr>
          <w:rFonts w:asciiTheme="minorHAnsi" w:hAnsiTheme="minorHAnsi"/>
        </w:rPr>
        <w:t>oczyszczenie powierzchni przewidzianej do ułożenia geosiatki,</w:t>
      </w:r>
    </w:p>
    <w:p w:rsidR="007A1748" w:rsidRPr="0001511E" w:rsidRDefault="007A1748" w:rsidP="007A1748">
      <w:pPr>
        <w:rPr>
          <w:rFonts w:asciiTheme="minorHAnsi" w:hAnsiTheme="minorHAnsi"/>
        </w:rPr>
      </w:pPr>
      <w:r>
        <w:rPr>
          <w:rFonts w:asciiTheme="minorHAnsi" w:hAnsiTheme="minorHAnsi"/>
        </w:rPr>
        <w:t>-</w:t>
      </w:r>
      <w:r w:rsidRPr="0001511E">
        <w:rPr>
          <w:rFonts w:asciiTheme="minorHAnsi" w:hAnsiTheme="minorHAnsi"/>
        </w:rPr>
        <w:t>skropienie lepiszczem,</w:t>
      </w:r>
    </w:p>
    <w:p w:rsidR="007A1748" w:rsidRPr="0001511E" w:rsidRDefault="007A1748" w:rsidP="007A1748">
      <w:pPr>
        <w:rPr>
          <w:rFonts w:asciiTheme="minorHAnsi" w:hAnsiTheme="minorHAnsi"/>
        </w:rPr>
      </w:pPr>
      <w:r>
        <w:rPr>
          <w:rFonts w:asciiTheme="minorHAnsi" w:hAnsiTheme="minorHAnsi"/>
        </w:rPr>
        <w:t>-</w:t>
      </w:r>
      <w:r w:rsidRPr="0001511E">
        <w:rPr>
          <w:rFonts w:asciiTheme="minorHAnsi" w:hAnsiTheme="minorHAnsi"/>
        </w:rPr>
        <w:t>ułożenie geosiatki i przymocowanie jej do podłoża,</w:t>
      </w:r>
    </w:p>
    <w:p w:rsidR="007A1748" w:rsidRPr="0001511E" w:rsidRDefault="007A1748" w:rsidP="007A1748">
      <w:pPr>
        <w:rPr>
          <w:rFonts w:asciiTheme="minorHAnsi" w:hAnsiTheme="minorHAnsi"/>
        </w:rPr>
      </w:pPr>
      <w:r>
        <w:rPr>
          <w:rFonts w:asciiTheme="minorHAnsi" w:hAnsiTheme="minorHAnsi"/>
        </w:rPr>
        <w:t>-</w:t>
      </w:r>
      <w:r w:rsidRPr="0001511E">
        <w:rPr>
          <w:rFonts w:asciiTheme="minorHAnsi" w:hAnsiTheme="minorHAnsi"/>
        </w:rPr>
        <w:t>ułożenie warstwy lub warstw nawierzchni asfaltowej na rozebranym fragmencie jezdni lub na całej szerokości jezdni.</w:t>
      </w:r>
    </w:p>
    <w:p w:rsidR="007A1748" w:rsidRPr="0001511E" w:rsidRDefault="007A1748" w:rsidP="007A1748">
      <w:pPr>
        <w:rPr>
          <w:rFonts w:asciiTheme="minorHAnsi" w:hAnsiTheme="minorHAnsi"/>
        </w:rPr>
      </w:pPr>
      <w:r w:rsidRPr="00AD7F53">
        <w:rPr>
          <w:rFonts w:asciiTheme="minorHAnsi" w:hAnsiTheme="minorHAnsi"/>
          <w:b/>
        </w:rPr>
        <w:t>5.3.</w:t>
      </w:r>
      <w:r w:rsidRPr="0001511E">
        <w:rPr>
          <w:rFonts w:asciiTheme="minorHAnsi" w:hAnsiTheme="minorHAnsi"/>
        </w:rPr>
        <w:t xml:space="preserve"> Oczyszczenie powierzchni przewidzianej do skropienia lepiszczem i ułożenia geosiatki</w:t>
      </w:r>
    </w:p>
    <w:p w:rsidR="007A1748" w:rsidRPr="0001511E" w:rsidRDefault="007A1748" w:rsidP="007A1748">
      <w:pPr>
        <w:rPr>
          <w:rFonts w:asciiTheme="minorHAnsi" w:hAnsiTheme="minorHAnsi"/>
        </w:rPr>
      </w:pPr>
      <w:r w:rsidRPr="0001511E">
        <w:rPr>
          <w:rFonts w:asciiTheme="minorHAnsi" w:hAnsiTheme="minorHAnsi"/>
        </w:rPr>
        <w:tab/>
        <w:t>Przygotowanie powierzchni do skropienia lepiszczem i ułożenia geosiatki, zakłada:</w:t>
      </w:r>
    </w:p>
    <w:p w:rsidR="007A1748" w:rsidRPr="0001511E" w:rsidRDefault="007A1748" w:rsidP="007A1748">
      <w:pPr>
        <w:rPr>
          <w:rFonts w:asciiTheme="minorHAnsi" w:hAnsiTheme="minorHAnsi"/>
        </w:rPr>
      </w:pPr>
      <w:r>
        <w:rPr>
          <w:rFonts w:asciiTheme="minorHAnsi" w:hAnsiTheme="minorHAnsi"/>
        </w:rPr>
        <w:t>-</w:t>
      </w:r>
      <w:r w:rsidRPr="0001511E">
        <w:rPr>
          <w:rFonts w:asciiTheme="minorHAnsi" w:hAnsiTheme="minorHAnsi"/>
        </w:rPr>
        <w:t>dokładne usunięcie z nawierzchni wszystkich zanieczyszczeń, nie będących integralną jej częścią (takich jak: luźne kawałki i odpryski asfaltu, przyczepione do nawierzchni kawałki błota, gliny itp.);</w:t>
      </w:r>
    </w:p>
    <w:p w:rsidR="007A1748" w:rsidRPr="0001511E" w:rsidRDefault="007A1748" w:rsidP="007A1748">
      <w:pPr>
        <w:rPr>
          <w:rFonts w:asciiTheme="minorHAnsi" w:hAnsiTheme="minorHAnsi"/>
        </w:rPr>
      </w:pPr>
      <w:r>
        <w:rPr>
          <w:rFonts w:asciiTheme="minorHAnsi" w:hAnsiTheme="minorHAnsi"/>
        </w:rPr>
        <w:lastRenderedPageBreak/>
        <w:t>-</w:t>
      </w:r>
      <w:r w:rsidRPr="0001511E">
        <w:rPr>
          <w:rFonts w:asciiTheme="minorHAnsi" w:hAnsiTheme="minorHAnsi"/>
        </w:rPr>
        <w:t>oczyszczenie całej nawierzchni (najkorzystniej obrotową, mechaniczną, wirującą drucianą szczotką) do stanu, w którym zapewnione zostanie pozostawienie na podłożu starej nawierzchni jedynie elementów związanych w sposób trwały;</w:t>
      </w:r>
    </w:p>
    <w:p w:rsidR="007A1748" w:rsidRPr="0001511E" w:rsidRDefault="007A1748" w:rsidP="007A1748">
      <w:pPr>
        <w:rPr>
          <w:rFonts w:asciiTheme="minorHAnsi" w:hAnsiTheme="minorHAnsi"/>
        </w:rPr>
      </w:pPr>
      <w:r>
        <w:rPr>
          <w:rFonts w:asciiTheme="minorHAnsi" w:hAnsiTheme="minorHAnsi"/>
        </w:rPr>
        <w:t>-</w:t>
      </w:r>
      <w:r w:rsidRPr="0001511E">
        <w:rPr>
          <w:rFonts w:asciiTheme="minorHAnsi" w:hAnsiTheme="minorHAnsi"/>
        </w:rPr>
        <w:t>odkurzanie całej nawierzchni odkurzaczem przemysłowym lub, o ile na to pozwalają warunki miejscowe, strumieniem sprężonego powietrza z przemieszczalnego wentylatora, o możliwie dużym wydmuchu powietrza;</w:t>
      </w:r>
    </w:p>
    <w:p w:rsidR="007A1748" w:rsidRPr="0001511E" w:rsidRDefault="007A1748" w:rsidP="007A1748">
      <w:pPr>
        <w:rPr>
          <w:rFonts w:asciiTheme="minorHAnsi" w:hAnsiTheme="minorHAnsi"/>
        </w:rPr>
      </w:pPr>
      <w:r>
        <w:rPr>
          <w:rFonts w:asciiTheme="minorHAnsi" w:hAnsiTheme="minorHAnsi"/>
        </w:rPr>
        <w:t>-</w:t>
      </w:r>
      <w:r w:rsidRPr="0001511E">
        <w:rPr>
          <w:rFonts w:asciiTheme="minorHAnsi" w:hAnsiTheme="minorHAnsi"/>
        </w:rPr>
        <w:t>zmycie nawierzchni strumieniem wody pod ciśnieniem;</w:t>
      </w:r>
    </w:p>
    <w:p w:rsidR="007A1748" w:rsidRPr="0001511E" w:rsidRDefault="007A1748" w:rsidP="007A1748">
      <w:pPr>
        <w:rPr>
          <w:rFonts w:asciiTheme="minorHAnsi" w:hAnsiTheme="minorHAnsi"/>
        </w:rPr>
      </w:pPr>
      <w:r>
        <w:rPr>
          <w:rFonts w:asciiTheme="minorHAnsi" w:hAnsiTheme="minorHAnsi"/>
        </w:rPr>
        <w:t>-</w:t>
      </w:r>
      <w:r w:rsidRPr="0001511E">
        <w:rPr>
          <w:rFonts w:asciiTheme="minorHAnsi" w:hAnsiTheme="minorHAnsi"/>
        </w:rPr>
        <w:t>powtórne odkurzanie  całej nawierzchni odkurzaczem przemysłowym lub sprężonym powietrzem.</w:t>
      </w:r>
    </w:p>
    <w:p w:rsidR="007A1748" w:rsidRPr="0001511E" w:rsidRDefault="007A1748" w:rsidP="007A1748">
      <w:pPr>
        <w:rPr>
          <w:rFonts w:asciiTheme="minorHAnsi" w:hAnsiTheme="minorHAnsi"/>
        </w:rPr>
      </w:pPr>
      <w:r w:rsidRPr="00AD7F53">
        <w:rPr>
          <w:rFonts w:asciiTheme="minorHAnsi" w:hAnsiTheme="minorHAnsi"/>
          <w:b/>
        </w:rPr>
        <w:t>5.4.</w:t>
      </w:r>
      <w:r w:rsidRPr="0001511E">
        <w:rPr>
          <w:rFonts w:asciiTheme="minorHAnsi" w:hAnsiTheme="minorHAnsi"/>
        </w:rPr>
        <w:t xml:space="preserve"> Ułożenie geosiatki</w:t>
      </w:r>
    </w:p>
    <w:p w:rsidR="007A1748" w:rsidRPr="0001511E" w:rsidRDefault="007A1748" w:rsidP="007A1748">
      <w:pPr>
        <w:rPr>
          <w:rFonts w:asciiTheme="minorHAnsi" w:hAnsiTheme="minorHAnsi"/>
        </w:rPr>
      </w:pPr>
      <w:r w:rsidRPr="00AD7F53">
        <w:rPr>
          <w:rFonts w:asciiTheme="minorHAnsi" w:hAnsiTheme="minorHAnsi"/>
          <w:b/>
        </w:rPr>
        <w:t>5.4.1.</w:t>
      </w:r>
      <w:r w:rsidRPr="0001511E">
        <w:rPr>
          <w:rFonts w:asciiTheme="minorHAnsi" w:hAnsiTheme="minorHAnsi"/>
        </w:rPr>
        <w:t xml:space="preserve"> Czynności przygotowawcze</w:t>
      </w:r>
    </w:p>
    <w:p w:rsidR="007A1748" w:rsidRPr="0001511E" w:rsidRDefault="007A1748" w:rsidP="007A1748">
      <w:pPr>
        <w:rPr>
          <w:rFonts w:asciiTheme="minorHAnsi" w:hAnsiTheme="minorHAnsi"/>
        </w:rPr>
      </w:pPr>
      <w:r w:rsidRPr="0001511E">
        <w:rPr>
          <w:rFonts w:asciiTheme="minorHAnsi" w:hAnsiTheme="minorHAnsi"/>
        </w:rPr>
        <w:tab/>
        <w:t>Ułożenie geosiatki powinno być zgodne z zaleceniami producenta i aprobaty technicznej, a w przypadku ich braku lub niepełnych danych - zgodne ze wskazaniami podanymi w dalszym ciągu.</w:t>
      </w:r>
    </w:p>
    <w:p w:rsidR="007A1748" w:rsidRPr="0001511E" w:rsidRDefault="007A1748" w:rsidP="007A1748">
      <w:pPr>
        <w:rPr>
          <w:rFonts w:asciiTheme="minorHAnsi" w:hAnsiTheme="minorHAnsi"/>
        </w:rPr>
      </w:pPr>
      <w:r w:rsidRPr="0001511E">
        <w:rPr>
          <w:rFonts w:asciiTheme="minorHAnsi" w:hAnsiTheme="minorHAnsi"/>
        </w:rPr>
        <w:tab/>
        <w:t>Folię, w którą są zapakowane rolki geosiatki, zaleca się zdejmować bezpośrednio przed układaniem. W celu uzyskania mniejszej szerokości rolki można ją przeciąć piłą. Szerokość po przycięciu powinna umożliwić połączenie sąsiednich pasm siatki z zakładem. Początkowo nie należy wykonywać wcięć na wpusty uliczne i studzienki, gdyż należy je wykonać dopiero po naciągnięciu i zamocowaniu siatki. Przygotowane rolki siatki należy rozłożyć wzdłuż odcinka drogi, na którym będą prowadzone prace.</w:t>
      </w:r>
    </w:p>
    <w:p w:rsidR="007A1748" w:rsidRPr="0001511E" w:rsidRDefault="007A1748" w:rsidP="007A1748">
      <w:pPr>
        <w:rPr>
          <w:rFonts w:asciiTheme="minorHAnsi" w:hAnsiTheme="minorHAnsi"/>
        </w:rPr>
      </w:pPr>
      <w:r w:rsidRPr="0001511E">
        <w:rPr>
          <w:rFonts w:asciiTheme="minorHAnsi" w:hAnsiTheme="minorHAnsi"/>
        </w:rPr>
        <w:tab/>
        <w:t>Rozpakowanie rulonów powinno następować pojedynczo, na przygotowanym podłożu. Przy większym zakresie robót zaleca się wykonanie projektu (rysunku), ilustrującego sposób układania i łączenia rulonów, ew. szerokości zakładek, mocowania do podłoża itp.</w:t>
      </w:r>
    </w:p>
    <w:p w:rsidR="007A1748" w:rsidRPr="0001511E" w:rsidRDefault="007A1748" w:rsidP="007A1748">
      <w:pPr>
        <w:rPr>
          <w:rFonts w:asciiTheme="minorHAnsi" w:hAnsiTheme="minorHAnsi"/>
        </w:rPr>
      </w:pPr>
      <w:r w:rsidRPr="0001511E">
        <w:rPr>
          <w:rFonts w:asciiTheme="minorHAnsi" w:hAnsiTheme="minorHAnsi"/>
        </w:rPr>
        <w:tab/>
        <w:t>Geosiatkę można układać ręcznie lub za pomocą układarki przez rozwijanie ze szpuli.</w:t>
      </w:r>
    </w:p>
    <w:p w:rsidR="007A1748" w:rsidRPr="0001511E" w:rsidRDefault="007A1748" w:rsidP="007A1748">
      <w:pPr>
        <w:rPr>
          <w:rFonts w:asciiTheme="minorHAnsi" w:hAnsiTheme="minorHAnsi"/>
        </w:rPr>
      </w:pPr>
      <w:r w:rsidRPr="00AD7F53">
        <w:rPr>
          <w:rFonts w:asciiTheme="minorHAnsi" w:hAnsiTheme="minorHAnsi"/>
          <w:b/>
        </w:rPr>
        <w:t>5.4.2.</w:t>
      </w:r>
      <w:r w:rsidRPr="0001511E">
        <w:rPr>
          <w:rFonts w:asciiTheme="minorHAnsi" w:hAnsiTheme="minorHAnsi"/>
        </w:rPr>
        <w:t xml:space="preserve"> Sposób ułożenia geosiatki</w:t>
      </w:r>
    </w:p>
    <w:p w:rsidR="007A1748" w:rsidRPr="0001511E" w:rsidRDefault="007A1748" w:rsidP="007A1748">
      <w:pPr>
        <w:rPr>
          <w:rFonts w:asciiTheme="minorHAnsi" w:hAnsiTheme="minorHAnsi"/>
        </w:rPr>
      </w:pPr>
      <w:r w:rsidRPr="0001511E">
        <w:rPr>
          <w:rFonts w:asciiTheme="minorHAnsi" w:hAnsiTheme="minorHAnsi"/>
        </w:rPr>
        <w:tab/>
        <w:t>Układanie geosiatek plecionych przewiduje następujące czynności, jeśli dokumentacja projektowa lub zalecenie producenta nie przewidują inaczej:</w:t>
      </w:r>
    </w:p>
    <w:p w:rsidR="007A1748" w:rsidRPr="0001511E" w:rsidRDefault="007A1748" w:rsidP="007A1748">
      <w:pPr>
        <w:rPr>
          <w:rFonts w:asciiTheme="minorHAnsi" w:hAnsiTheme="minorHAnsi"/>
        </w:rPr>
      </w:pPr>
      <w:r>
        <w:rPr>
          <w:rFonts w:asciiTheme="minorHAnsi" w:hAnsiTheme="minorHAnsi"/>
        </w:rPr>
        <w:t>-</w:t>
      </w:r>
      <w:r w:rsidRPr="0001511E">
        <w:rPr>
          <w:rFonts w:asciiTheme="minorHAnsi" w:hAnsiTheme="minorHAnsi"/>
        </w:rPr>
        <w:t>geosiatki powinny być układane na powłoce z asfaltu drogowego lub na warstwie emulsji w ilości określonej przez producenta, np. 400-450 g/m2; skropienie lepiszczem powinno odpowiadać wymaganiom ST D-04.03.01,</w:t>
      </w:r>
    </w:p>
    <w:p w:rsidR="007A1748" w:rsidRPr="0001511E" w:rsidRDefault="007A1748" w:rsidP="007A1748">
      <w:pPr>
        <w:rPr>
          <w:rFonts w:asciiTheme="minorHAnsi" w:hAnsiTheme="minorHAnsi"/>
        </w:rPr>
      </w:pPr>
      <w:r>
        <w:rPr>
          <w:rFonts w:asciiTheme="minorHAnsi" w:hAnsiTheme="minorHAnsi"/>
        </w:rPr>
        <w:t>-</w:t>
      </w:r>
      <w:r w:rsidRPr="0001511E">
        <w:rPr>
          <w:rFonts w:asciiTheme="minorHAnsi" w:hAnsiTheme="minorHAnsi"/>
        </w:rPr>
        <w:t>geosiatkę rozwija się i układa bez sfalowań na przygotowanej powierzchni, wstępnie naprężając w czasie układania przez podnoszenie rolki i naciąganie siatki,</w:t>
      </w:r>
    </w:p>
    <w:p w:rsidR="007A1748" w:rsidRPr="0001511E" w:rsidRDefault="007A1748" w:rsidP="007A1748">
      <w:pPr>
        <w:rPr>
          <w:rFonts w:asciiTheme="minorHAnsi" w:hAnsiTheme="minorHAnsi"/>
        </w:rPr>
      </w:pPr>
      <w:r>
        <w:rPr>
          <w:rFonts w:asciiTheme="minorHAnsi" w:hAnsiTheme="minorHAnsi"/>
        </w:rPr>
        <w:t>-</w:t>
      </w:r>
      <w:r w:rsidRPr="0001511E">
        <w:rPr>
          <w:rFonts w:asciiTheme="minorHAnsi" w:hAnsiTheme="minorHAnsi"/>
        </w:rPr>
        <w:t>siatki plecione rozłożone z rolki wzdłuż osi przymocowuje się na początku kołkami stalowymi wbijanymi w dolną warstwę, ew. śrubami z nakrętką osadzonymi wewnątrz kołków,</w:t>
      </w:r>
    </w:p>
    <w:p w:rsidR="007A1748" w:rsidRPr="0001511E" w:rsidRDefault="007A1748" w:rsidP="007A1748">
      <w:pPr>
        <w:rPr>
          <w:rFonts w:asciiTheme="minorHAnsi" w:hAnsiTheme="minorHAnsi"/>
        </w:rPr>
      </w:pPr>
      <w:r>
        <w:rPr>
          <w:rFonts w:asciiTheme="minorHAnsi" w:hAnsiTheme="minorHAnsi"/>
        </w:rPr>
        <w:t>-</w:t>
      </w:r>
      <w:r w:rsidRPr="0001511E">
        <w:rPr>
          <w:rFonts w:asciiTheme="minorHAnsi" w:hAnsiTheme="minorHAnsi"/>
        </w:rPr>
        <w:t>geosiatki łączy się na zakład, który w kierunku podłużnym wynosi co najmniej 200 mm, a w kierunku poprzecznym co najmniej 150 mm. W celu połączenia zakładów pasm geosiatki zaleca się ją skropić lepiszczem w ilości 300 g/m2,</w:t>
      </w:r>
    </w:p>
    <w:p w:rsidR="007A1748" w:rsidRPr="0001511E" w:rsidRDefault="007A1748" w:rsidP="007A1748">
      <w:pPr>
        <w:rPr>
          <w:rFonts w:asciiTheme="minorHAnsi" w:hAnsiTheme="minorHAnsi"/>
        </w:rPr>
      </w:pPr>
      <w:r>
        <w:rPr>
          <w:rFonts w:asciiTheme="minorHAnsi" w:hAnsiTheme="minorHAnsi"/>
        </w:rPr>
        <w:t>-</w:t>
      </w:r>
      <w:r w:rsidRPr="0001511E">
        <w:rPr>
          <w:rFonts w:asciiTheme="minorHAnsi" w:hAnsiTheme="minorHAnsi"/>
        </w:rPr>
        <w:t>geosiatki napręża się przy użyciu urządzenia naciągającego, np. belki oraz pojazdu, stopniowo do wydłużenia max. 0,2% lub 200 mm na 100 m. Ma to na celu zapewnienie prawidłowej pracy siatki w nawierzchni oraz uniknięcie przesunięcia lub sfalowania podczas układania na niej mieszanki przez rozściełarkę,</w:t>
      </w:r>
    </w:p>
    <w:p w:rsidR="007A1748" w:rsidRPr="0001511E" w:rsidRDefault="007A1748" w:rsidP="007A1748">
      <w:pPr>
        <w:rPr>
          <w:rFonts w:asciiTheme="minorHAnsi" w:hAnsiTheme="minorHAnsi"/>
        </w:rPr>
      </w:pPr>
      <w:r>
        <w:rPr>
          <w:rFonts w:asciiTheme="minorHAnsi" w:hAnsiTheme="minorHAnsi"/>
        </w:rPr>
        <w:t>-</w:t>
      </w:r>
      <w:r w:rsidRPr="0001511E">
        <w:rPr>
          <w:rFonts w:asciiTheme="minorHAnsi" w:hAnsiTheme="minorHAnsi"/>
        </w:rPr>
        <w:t>po naprężeniu siatki można w niej wyciąć otwory na wpusty i studzienki, tak aby pozostało 10 cm do obrysu tych urządzeń,</w:t>
      </w:r>
    </w:p>
    <w:p w:rsidR="007A1748" w:rsidRPr="0001511E" w:rsidRDefault="007A1748" w:rsidP="007A1748">
      <w:pPr>
        <w:rPr>
          <w:rFonts w:asciiTheme="minorHAnsi" w:hAnsiTheme="minorHAnsi"/>
        </w:rPr>
      </w:pPr>
      <w:r>
        <w:rPr>
          <w:rFonts w:asciiTheme="minorHAnsi" w:hAnsiTheme="minorHAnsi"/>
        </w:rPr>
        <w:t>-</w:t>
      </w:r>
      <w:r w:rsidRPr="0001511E">
        <w:rPr>
          <w:rFonts w:asciiTheme="minorHAnsi" w:hAnsiTheme="minorHAnsi"/>
        </w:rPr>
        <w:t>jeżeli geosiatki układane są na spoinach, brzeg siatki powinien być przesunięty w stosunku do spoiny o min. 500 mm,</w:t>
      </w:r>
    </w:p>
    <w:p w:rsidR="007A1748" w:rsidRPr="0001511E" w:rsidRDefault="007A1748" w:rsidP="007A1748">
      <w:pPr>
        <w:rPr>
          <w:rFonts w:asciiTheme="minorHAnsi" w:hAnsiTheme="minorHAnsi"/>
        </w:rPr>
      </w:pPr>
      <w:r>
        <w:rPr>
          <w:rFonts w:asciiTheme="minorHAnsi" w:hAnsiTheme="minorHAnsi"/>
        </w:rPr>
        <w:t>-</w:t>
      </w:r>
      <w:r w:rsidRPr="0001511E">
        <w:rPr>
          <w:rFonts w:asciiTheme="minorHAnsi" w:hAnsiTheme="minorHAnsi"/>
        </w:rPr>
        <w:t>przy promieniach krzywizny większych od 600 m geosiatki układa się bez specjalnych zabiegów. Na odcinkach, gdzie promienie krzywizn są mniejsze od 600 m, ułożenie geosiatek powinno być dostosowane do przebiegu trasy przez nacinanie ich i przybicie krawędzi stalowymi kołkami.</w:t>
      </w:r>
    </w:p>
    <w:p w:rsidR="007A1748" w:rsidRPr="0001511E" w:rsidRDefault="007A1748" w:rsidP="007A1748">
      <w:pPr>
        <w:rPr>
          <w:rFonts w:asciiTheme="minorHAnsi" w:hAnsiTheme="minorHAnsi"/>
        </w:rPr>
      </w:pPr>
      <w:r w:rsidRPr="0001511E">
        <w:rPr>
          <w:rFonts w:asciiTheme="minorHAnsi" w:hAnsiTheme="minorHAnsi"/>
        </w:rPr>
        <w:tab/>
        <w:t>Przy stosowaniu geosiatek ciągnionych obowiązują następujące różnice wykonawcze:</w:t>
      </w:r>
    </w:p>
    <w:p w:rsidR="007A1748" w:rsidRPr="0001511E" w:rsidRDefault="007A1748" w:rsidP="007A1748">
      <w:pPr>
        <w:rPr>
          <w:rFonts w:asciiTheme="minorHAnsi" w:hAnsiTheme="minorHAnsi"/>
        </w:rPr>
      </w:pPr>
      <w:r>
        <w:rPr>
          <w:rFonts w:asciiTheme="minorHAnsi" w:hAnsiTheme="minorHAnsi"/>
        </w:rPr>
        <w:t>-</w:t>
      </w:r>
      <w:r w:rsidRPr="0001511E">
        <w:rPr>
          <w:rFonts w:asciiTheme="minorHAnsi" w:hAnsiTheme="minorHAnsi"/>
        </w:rPr>
        <w:t>ilość emulsji asfaltowej do skropienia powinna odpowiadać wymaganiom producenta i np. wynosić 1400-2000 g/m2,</w:t>
      </w:r>
    </w:p>
    <w:p w:rsidR="007A1748" w:rsidRPr="0001511E" w:rsidRDefault="007A1748" w:rsidP="007A1748">
      <w:pPr>
        <w:rPr>
          <w:rFonts w:asciiTheme="minorHAnsi" w:hAnsiTheme="minorHAnsi"/>
        </w:rPr>
      </w:pPr>
      <w:r>
        <w:rPr>
          <w:rFonts w:asciiTheme="minorHAnsi" w:hAnsiTheme="minorHAnsi"/>
        </w:rPr>
        <w:t>-</w:t>
      </w:r>
      <w:r w:rsidRPr="0001511E">
        <w:rPr>
          <w:rFonts w:asciiTheme="minorHAnsi" w:hAnsiTheme="minorHAnsi"/>
        </w:rPr>
        <w:t>początek siatki umocowuje się przy zastosowaniu perforowanej taśmy stalowej i stalowych kołków wbitych do dolnej warstwy bitumicznej przy pomocy specjalnego urządzenia; odstęp pomiędzy kołkami wynosi 1-2 oczek siatki, zależnie od twardości nawierzchni,</w:t>
      </w:r>
    </w:p>
    <w:p w:rsidR="007A1748" w:rsidRPr="0001511E" w:rsidRDefault="007A1748" w:rsidP="007A1748">
      <w:pPr>
        <w:rPr>
          <w:rFonts w:asciiTheme="minorHAnsi" w:hAnsiTheme="minorHAnsi"/>
        </w:rPr>
      </w:pPr>
      <w:r>
        <w:rPr>
          <w:rFonts w:asciiTheme="minorHAnsi" w:hAnsiTheme="minorHAnsi"/>
        </w:rPr>
        <w:t>-</w:t>
      </w:r>
      <w:r w:rsidRPr="0001511E">
        <w:rPr>
          <w:rFonts w:asciiTheme="minorHAnsi" w:hAnsiTheme="minorHAnsi"/>
        </w:rPr>
        <w:t>geosiatki zaleca się układać na dłuższym odcinku drogi, np. ok. 8 rolek połączonych ze sobą przy pomocy łączników zaciskowych na zakład, który w kierunku podłużnym wynosi co najmniej 200 mm, a w kierunku poprzecznym co najmniej 100 mm,</w:t>
      </w:r>
    </w:p>
    <w:p w:rsidR="007A1748" w:rsidRPr="0001511E" w:rsidRDefault="007A1748" w:rsidP="007A1748">
      <w:pPr>
        <w:rPr>
          <w:rFonts w:asciiTheme="minorHAnsi" w:hAnsiTheme="minorHAnsi"/>
        </w:rPr>
      </w:pPr>
      <w:r>
        <w:rPr>
          <w:rFonts w:asciiTheme="minorHAnsi" w:hAnsiTheme="minorHAnsi"/>
        </w:rPr>
        <w:t>-</w:t>
      </w:r>
      <w:r w:rsidRPr="0001511E">
        <w:rPr>
          <w:rFonts w:asciiTheme="minorHAnsi" w:hAnsiTheme="minorHAnsi"/>
        </w:rPr>
        <w:t>siatka powinna być naprężona i utrzymana w poziomie, bez sfalowań. Rozciąganie przeprowadza się stopniowo, aż do wydłużenia max. 0,5% lub 500 mm na 100 m. Następnie krawędź geosiatki przymocowuje się do warstwy dolnej przy pomocy kołków stalowych, a włókna podłużne łączy się z kolejną siatką przy pomocy łączników zaciskowych.</w:t>
      </w:r>
    </w:p>
    <w:p w:rsidR="007A1748" w:rsidRPr="0001511E" w:rsidRDefault="007A1748" w:rsidP="007A1748">
      <w:pPr>
        <w:rPr>
          <w:rFonts w:asciiTheme="minorHAnsi" w:hAnsiTheme="minorHAnsi"/>
        </w:rPr>
      </w:pPr>
      <w:r w:rsidRPr="00AD7F53">
        <w:rPr>
          <w:rFonts w:asciiTheme="minorHAnsi" w:hAnsiTheme="minorHAnsi"/>
          <w:b/>
        </w:rPr>
        <w:t>5.5.</w:t>
      </w:r>
      <w:r w:rsidRPr="0001511E">
        <w:rPr>
          <w:rFonts w:asciiTheme="minorHAnsi" w:hAnsiTheme="minorHAnsi"/>
        </w:rPr>
        <w:t xml:space="preserve"> Zalecenia uzupełniające</w:t>
      </w:r>
    </w:p>
    <w:p w:rsidR="007A1748" w:rsidRPr="0001511E" w:rsidRDefault="007A1748" w:rsidP="007A1748">
      <w:pPr>
        <w:rPr>
          <w:rFonts w:asciiTheme="minorHAnsi" w:hAnsiTheme="minorHAnsi"/>
        </w:rPr>
      </w:pPr>
      <w:r w:rsidRPr="0001511E">
        <w:rPr>
          <w:rFonts w:asciiTheme="minorHAnsi" w:hAnsiTheme="minorHAnsi"/>
        </w:rPr>
        <w:lastRenderedPageBreak/>
        <w:tab/>
        <w:t xml:space="preserve">W wypadku układania geosiatki na górnej powierzchni jezdni pod nowe warstwy asfaltowe, powierzchnia skrapiana lepiszczem powinna mieć szerokość większą od szerokości pasa geosiatki o 0,10 </w:t>
      </w:r>
      <w:r w:rsidRPr="0001511E">
        <w:rPr>
          <w:rFonts w:asciiTheme="minorHAnsi" w:hAnsiTheme="minorHAnsi"/>
        </w:rPr>
        <w:sym w:font="Symbol" w:char="F0B8"/>
      </w:r>
      <w:r w:rsidRPr="0001511E">
        <w:rPr>
          <w:rFonts w:asciiTheme="minorHAnsi" w:hAnsiTheme="minorHAnsi"/>
        </w:rPr>
        <w:t xml:space="preserve"> 0,15 m z każdej strony. Powierzchnia skrapiana lepiszczem powinna być czysta - wszelkie zanieczyszczenia gliną, kruszywem itp. powinny zostać usunięte przed skropieniem. Części geosiatki zanieczyszczone smarami i olejami należy wyciąć. Miejsca te należy powtórnie skropić wraz z brzegiem otaczającej geosiatki, a następnie wkleić w nie prostokątną łatę z geosiatki o wymiarach zapewniających przykrycie wyciętego otworu z zakładem około 0,10 m.</w:t>
      </w:r>
    </w:p>
    <w:p w:rsidR="007A1748" w:rsidRPr="0001511E" w:rsidRDefault="007A1748" w:rsidP="007A1748">
      <w:pPr>
        <w:rPr>
          <w:rFonts w:asciiTheme="minorHAnsi" w:hAnsiTheme="minorHAnsi"/>
        </w:rPr>
      </w:pPr>
      <w:r w:rsidRPr="0001511E">
        <w:rPr>
          <w:rFonts w:asciiTheme="minorHAnsi" w:hAnsiTheme="minorHAnsi"/>
        </w:rPr>
        <w:tab/>
        <w:t>Jeśli stosowany jest elastomeroasfalt upłynniony, zawierający rozpuszczalnik, to geosiatkę należy rozkładać po odparowaniu rozpuszczalnika. Jeśli używana jest emulsja elastomeroasfaltowa, to geosiatkę należy rozkładać po rozpadzie emulsji i odparowaniu wody.</w:t>
      </w:r>
    </w:p>
    <w:p w:rsidR="007A1748" w:rsidRPr="0001511E" w:rsidRDefault="007A1748" w:rsidP="007A1748">
      <w:pPr>
        <w:rPr>
          <w:rFonts w:asciiTheme="minorHAnsi" w:hAnsiTheme="minorHAnsi"/>
        </w:rPr>
      </w:pPr>
      <w:r w:rsidRPr="0001511E">
        <w:rPr>
          <w:rFonts w:asciiTheme="minorHAnsi" w:hAnsiTheme="minorHAnsi"/>
        </w:rPr>
        <w:tab/>
        <w:t>Przed ułożeniem warstwy asfaltowej na ułożonej geosiatce należy naprawić miejsca odklejone, fałdy i rozdarcia geosiatki.</w:t>
      </w:r>
    </w:p>
    <w:p w:rsidR="007A1748" w:rsidRPr="0001511E" w:rsidRDefault="007A1748" w:rsidP="007A1748">
      <w:pPr>
        <w:rPr>
          <w:rFonts w:asciiTheme="minorHAnsi" w:hAnsiTheme="minorHAnsi"/>
        </w:rPr>
      </w:pPr>
      <w:r w:rsidRPr="0001511E">
        <w:rPr>
          <w:rFonts w:asciiTheme="minorHAnsi" w:hAnsiTheme="minorHAnsi"/>
        </w:rPr>
        <w:tab/>
        <w:t>Roboty prowadzi się wyłącznie podczas suchej pogody. Geosiatka nie może być mokra, rozkładana na mokrej powierzchni lub pozostawiona na noc bez przykrycia warstwą asfaltową.</w:t>
      </w:r>
    </w:p>
    <w:p w:rsidR="007A1748" w:rsidRPr="0001511E" w:rsidRDefault="007A1748" w:rsidP="007A1748">
      <w:pPr>
        <w:rPr>
          <w:rFonts w:asciiTheme="minorHAnsi" w:hAnsiTheme="minorHAnsi"/>
        </w:rPr>
      </w:pPr>
      <w:r w:rsidRPr="0001511E">
        <w:rPr>
          <w:rFonts w:asciiTheme="minorHAnsi" w:hAnsiTheme="minorHAnsi"/>
        </w:rPr>
        <w:tab/>
        <w:t>Konieczne jest zapewnienie prawidłowego przyklejenia geosiatki do podłoża. Jeśli uzyskanie tego nie jest możliwe z jakiegokolwiek powodu (np. istnieją fale), to należy zrezygnować z zastosowanie tej technologii, bowiem niewłaściwe jej wykonanie może być powodem zniszczenia nawierzchni (np. fale mogą zniszczyć połączenia warstw).</w:t>
      </w:r>
    </w:p>
    <w:p w:rsidR="007A1748" w:rsidRPr="0001511E" w:rsidRDefault="007A1748" w:rsidP="007A1748">
      <w:pPr>
        <w:rPr>
          <w:rFonts w:asciiTheme="minorHAnsi" w:hAnsiTheme="minorHAnsi"/>
        </w:rPr>
      </w:pPr>
      <w:r w:rsidRPr="0001511E">
        <w:rPr>
          <w:rFonts w:asciiTheme="minorHAnsi" w:hAnsiTheme="minorHAnsi"/>
        </w:rPr>
        <w:tab/>
        <w:t>Powstałe fale siatki można, za zgodą Inżyniera, zneutralizować, posypując siatkę mieszanką mineralno-asfaltową drobnoziarnistą, np. grubości 5 mm, a następnie ostrożnie ją ubijając.</w:t>
      </w:r>
    </w:p>
    <w:p w:rsidR="007A1748" w:rsidRPr="0001511E" w:rsidRDefault="007A1748" w:rsidP="007A1748">
      <w:pPr>
        <w:rPr>
          <w:rFonts w:asciiTheme="minorHAnsi" w:hAnsiTheme="minorHAnsi"/>
        </w:rPr>
      </w:pPr>
      <w:r w:rsidRPr="0001511E">
        <w:rPr>
          <w:rFonts w:asciiTheme="minorHAnsi" w:hAnsiTheme="minorHAnsi"/>
        </w:rPr>
        <w:tab/>
        <w:t>Temperatura wykonawstwa robót jest limitowana dopuszczalną temperaturą robót asfaltowych. W przypadku stosowania do nasycania i przyklejania geosiatki emulsji elastomeroasfaltowej kationowej lub elastomeroasfaltu na gorąco, temperatura powietrza powinna być nie niższa niż 15oC, a temperatura skrapianej nawierzchni powinna być nie niższa niż 10oC.</w:t>
      </w:r>
    </w:p>
    <w:p w:rsidR="007A1748" w:rsidRPr="0001511E" w:rsidRDefault="007A1748" w:rsidP="007A1748">
      <w:pPr>
        <w:rPr>
          <w:rFonts w:asciiTheme="minorHAnsi" w:hAnsiTheme="minorHAnsi"/>
        </w:rPr>
      </w:pPr>
      <w:r w:rsidRPr="0001511E">
        <w:rPr>
          <w:rFonts w:asciiTheme="minorHAnsi" w:hAnsiTheme="minorHAnsi"/>
        </w:rPr>
        <w:tab/>
        <w:t>Nie dopuszcza się ruchu pojazdów po rozłożonej geosiatce. Wyjątkowo może odbywać się jedynie ruch technologiczny. Wówczas pojazdy powinny poruszać się z małą prędkością, bez gwałtownego przyśpieszania, hamowania i skręcania.</w:t>
      </w:r>
    </w:p>
    <w:p w:rsidR="007A1748" w:rsidRPr="0001511E" w:rsidRDefault="007A1748" w:rsidP="007A1748">
      <w:pPr>
        <w:rPr>
          <w:rFonts w:asciiTheme="minorHAnsi" w:hAnsiTheme="minorHAnsi"/>
        </w:rPr>
      </w:pPr>
      <w:r w:rsidRPr="00AD7F53">
        <w:rPr>
          <w:rFonts w:asciiTheme="minorHAnsi" w:hAnsiTheme="minorHAnsi"/>
          <w:b/>
        </w:rPr>
        <w:t>5.6.</w:t>
      </w:r>
      <w:r w:rsidRPr="0001511E">
        <w:rPr>
          <w:rFonts w:asciiTheme="minorHAnsi" w:hAnsiTheme="minorHAnsi"/>
        </w:rPr>
        <w:t xml:space="preserve"> Układanie warstwy lub warstw nawierzchni asfaltowej</w:t>
      </w:r>
    </w:p>
    <w:p w:rsidR="007A1748" w:rsidRPr="0001511E" w:rsidRDefault="007A1748" w:rsidP="007A1748">
      <w:pPr>
        <w:rPr>
          <w:rFonts w:asciiTheme="minorHAnsi" w:hAnsiTheme="minorHAnsi"/>
        </w:rPr>
      </w:pPr>
      <w:r w:rsidRPr="0001511E">
        <w:rPr>
          <w:rFonts w:asciiTheme="minorHAnsi" w:hAnsiTheme="minorHAnsi"/>
        </w:rPr>
        <w:tab/>
        <w:t>Warstwę mieszanki mineralno-asfaltowej zaleca się układać natychmiast po ułożeniu geosiatki. Na rozwiniętą geosiatkę należy najechać tyłem od czoła i rozkładać mieszankę zgodnie z zaleceniami technologicznymi odpowiednich ST. W czasie układania warstw nawierzchni rozkładarka i pojazdy muszą poruszać się ostrożnie, bez gwałtownej zmiany prędkości i kierunku. Zabrania się gwałtownego przyspieszania lub hamowania na nie przykrytej siatce.</w:t>
      </w:r>
    </w:p>
    <w:p w:rsidR="007A1748" w:rsidRDefault="007A1748" w:rsidP="007A1748">
      <w:pPr>
        <w:rPr>
          <w:rFonts w:asciiTheme="minorHAnsi" w:hAnsiTheme="minorHAnsi"/>
        </w:rPr>
      </w:pPr>
      <w:bookmarkStart w:id="1526" w:name="_Toc41966534"/>
    </w:p>
    <w:p w:rsidR="007A1748" w:rsidRPr="00AD7F53" w:rsidRDefault="007A1748" w:rsidP="007A1748">
      <w:pPr>
        <w:rPr>
          <w:rFonts w:asciiTheme="minorHAnsi" w:hAnsiTheme="minorHAnsi"/>
          <w:b/>
        </w:rPr>
      </w:pPr>
      <w:r w:rsidRPr="00AD7F53">
        <w:rPr>
          <w:rFonts w:asciiTheme="minorHAnsi" w:hAnsiTheme="minorHAnsi"/>
          <w:b/>
        </w:rPr>
        <w:t>6. KONTROLA JAKOŚCI ROBÓT</w:t>
      </w:r>
      <w:bookmarkEnd w:id="1526"/>
    </w:p>
    <w:p w:rsidR="007A1748" w:rsidRPr="0001511E" w:rsidRDefault="007A1748" w:rsidP="007A1748">
      <w:pPr>
        <w:rPr>
          <w:rFonts w:asciiTheme="minorHAnsi" w:hAnsiTheme="minorHAnsi"/>
        </w:rPr>
      </w:pPr>
      <w:r w:rsidRPr="00AD7F53">
        <w:rPr>
          <w:rFonts w:asciiTheme="minorHAnsi" w:hAnsiTheme="minorHAnsi"/>
          <w:b/>
        </w:rPr>
        <w:t>6.1.</w:t>
      </w:r>
      <w:r w:rsidRPr="0001511E">
        <w:rPr>
          <w:rFonts w:asciiTheme="minorHAnsi" w:hAnsiTheme="minorHAnsi"/>
        </w:rPr>
        <w:t xml:space="preserve"> Ogólne zasady kontroli jakości robót</w:t>
      </w:r>
    </w:p>
    <w:p w:rsidR="007A1748" w:rsidRPr="0001511E" w:rsidRDefault="007A1748" w:rsidP="007A1748">
      <w:pPr>
        <w:rPr>
          <w:rFonts w:asciiTheme="minorHAnsi" w:hAnsiTheme="minorHAnsi"/>
        </w:rPr>
      </w:pPr>
      <w:r w:rsidRPr="0001511E">
        <w:rPr>
          <w:rFonts w:asciiTheme="minorHAnsi" w:hAnsiTheme="minorHAnsi"/>
        </w:rPr>
        <w:tab/>
        <w:t>Ogólne zasady kontroli jakości robót podano w ST   D-M-00.00.00 „Wymagania ogólne” pkt 6.</w:t>
      </w:r>
    </w:p>
    <w:p w:rsidR="007A1748" w:rsidRPr="0001511E" w:rsidRDefault="007A1748" w:rsidP="007A1748">
      <w:pPr>
        <w:rPr>
          <w:rFonts w:asciiTheme="minorHAnsi" w:hAnsiTheme="minorHAnsi"/>
        </w:rPr>
      </w:pPr>
      <w:r w:rsidRPr="00AD7F53">
        <w:rPr>
          <w:rFonts w:asciiTheme="minorHAnsi" w:hAnsiTheme="minorHAnsi"/>
          <w:b/>
        </w:rPr>
        <w:t>6.2.</w:t>
      </w:r>
      <w:r w:rsidRPr="0001511E">
        <w:rPr>
          <w:rFonts w:asciiTheme="minorHAnsi" w:hAnsiTheme="minorHAnsi"/>
        </w:rPr>
        <w:t xml:space="preserve"> Badania przed przystąpieniem do robót</w:t>
      </w:r>
    </w:p>
    <w:p w:rsidR="007A1748" w:rsidRPr="0001511E" w:rsidRDefault="007A1748" w:rsidP="007A1748">
      <w:pPr>
        <w:rPr>
          <w:rFonts w:asciiTheme="minorHAnsi" w:hAnsiTheme="minorHAnsi"/>
        </w:rPr>
      </w:pPr>
      <w:r w:rsidRPr="0001511E">
        <w:rPr>
          <w:rFonts w:asciiTheme="minorHAnsi" w:hAnsiTheme="minorHAnsi"/>
        </w:rPr>
        <w:tab/>
        <w:t>Przed przystąpieniem do robót Wykonawca powinien:</w:t>
      </w:r>
    </w:p>
    <w:p w:rsidR="007A1748" w:rsidRPr="0001511E" w:rsidRDefault="007A1748" w:rsidP="007A1748">
      <w:pPr>
        <w:rPr>
          <w:rFonts w:asciiTheme="minorHAnsi" w:hAnsiTheme="minorHAnsi"/>
        </w:rPr>
      </w:pPr>
      <w:r>
        <w:rPr>
          <w:rFonts w:asciiTheme="minorHAnsi" w:hAnsiTheme="minorHAnsi"/>
        </w:rPr>
        <w:t>-</w:t>
      </w:r>
      <w:r w:rsidRPr="0001511E">
        <w:rPr>
          <w:rFonts w:asciiTheme="minorHAnsi" w:hAnsiTheme="minorHAnsi"/>
        </w:rPr>
        <w:t>uzyskać wymagane dokumenty, dopuszczające wyroby budowlane do obrotu i powszechnego stosowania (certyfikaty na znak bezpieczeństwa, aprobaty techniczne, certyfikaty zgodności, deklaracje zgodności, ew. badania materiałów wykonane przez dostawców itp.),</w:t>
      </w:r>
    </w:p>
    <w:p w:rsidR="007A1748" w:rsidRPr="0001511E" w:rsidRDefault="007A1748" w:rsidP="007A1748">
      <w:pPr>
        <w:rPr>
          <w:rFonts w:asciiTheme="minorHAnsi" w:hAnsiTheme="minorHAnsi"/>
        </w:rPr>
      </w:pPr>
      <w:r>
        <w:rPr>
          <w:rFonts w:asciiTheme="minorHAnsi" w:hAnsiTheme="minorHAnsi"/>
        </w:rPr>
        <w:t>-</w:t>
      </w:r>
      <w:r w:rsidRPr="0001511E">
        <w:rPr>
          <w:rFonts w:asciiTheme="minorHAnsi" w:hAnsiTheme="minorHAnsi"/>
        </w:rPr>
        <w:t>wykonać badania właściwości materiałów przeznaczonych do wykonania robót, określone w pkcie 2,</w:t>
      </w:r>
    </w:p>
    <w:p w:rsidR="007A1748" w:rsidRPr="0001511E" w:rsidRDefault="007A1748" w:rsidP="007A1748">
      <w:pPr>
        <w:rPr>
          <w:rFonts w:asciiTheme="minorHAnsi" w:hAnsiTheme="minorHAnsi"/>
        </w:rPr>
      </w:pPr>
      <w:r>
        <w:rPr>
          <w:rFonts w:asciiTheme="minorHAnsi" w:hAnsiTheme="minorHAnsi"/>
        </w:rPr>
        <w:t>-</w:t>
      </w:r>
      <w:r w:rsidRPr="0001511E">
        <w:rPr>
          <w:rFonts w:asciiTheme="minorHAnsi" w:hAnsiTheme="minorHAnsi"/>
        </w:rPr>
        <w:t>sprawdzić cechy zewnętrzne gotowych materiałów z tworzyw.</w:t>
      </w:r>
    </w:p>
    <w:p w:rsidR="007A1748" w:rsidRPr="0001511E" w:rsidRDefault="007A1748" w:rsidP="007A1748">
      <w:pPr>
        <w:rPr>
          <w:rFonts w:asciiTheme="minorHAnsi" w:hAnsiTheme="minorHAnsi"/>
        </w:rPr>
      </w:pPr>
      <w:r w:rsidRPr="0001511E">
        <w:rPr>
          <w:rFonts w:asciiTheme="minorHAnsi" w:hAnsiTheme="minorHAnsi"/>
        </w:rPr>
        <w:tab/>
        <w:t>Wszystkie dokumenty oraz wyniki badań Wykonawca przedstawia Inżynierowi do akceptacji.</w:t>
      </w:r>
    </w:p>
    <w:p w:rsidR="007A1748" w:rsidRPr="0001511E" w:rsidRDefault="007A1748" w:rsidP="007A1748">
      <w:pPr>
        <w:rPr>
          <w:rFonts w:asciiTheme="minorHAnsi" w:hAnsiTheme="minorHAnsi"/>
        </w:rPr>
      </w:pPr>
      <w:r w:rsidRPr="00AD7F53">
        <w:rPr>
          <w:rFonts w:asciiTheme="minorHAnsi" w:hAnsiTheme="minorHAnsi"/>
          <w:b/>
        </w:rPr>
        <w:t>6.3.</w:t>
      </w:r>
      <w:r w:rsidRPr="0001511E">
        <w:rPr>
          <w:rFonts w:asciiTheme="minorHAnsi" w:hAnsiTheme="minorHAnsi"/>
        </w:rPr>
        <w:t xml:space="preserve"> Badania w czasie robót</w:t>
      </w:r>
    </w:p>
    <w:p w:rsidR="007A1748" w:rsidRDefault="007A1748" w:rsidP="007A1748">
      <w:pPr>
        <w:rPr>
          <w:rFonts w:asciiTheme="minorHAnsi" w:hAnsiTheme="minorHAnsi"/>
        </w:rPr>
      </w:pPr>
      <w:r w:rsidRPr="0001511E">
        <w:rPr>
          <w:rFonts w:asciiTheme="minorHAnsi" w:hAnsiTheme="minorHAnsi"/>
        </w:rPr>
        <w:tab/>
        <w:t>Częstotliwość oraz zakres badań i pomiarów, które należy wykonać w czasie robót podaje tablica 1.</w:t>
      </w:r>
    </w:p>
    <w:p w:rsidR="007A1748" w:rsidRPr="0001511E" w:rsidRDefault="007A1748" w:rsidP="007A1748">
      <w:pPr>
        <w:rPr>
          <w:rFonts w:asciiTheme="minorHAnsi" w:hAnsiTheme="minorHAnsi"/>
        </w:rPr>
      </w:pPr>
    </w:p>
    <w:p w:rsidR="007A1748" w:rsidRPr="00AD7F53" w:rsidRDefault="007A1748" w:rsidP="007A1748">
      <w:pPr>
        <w:rPr>
          <w:rFonts w:asciiTheme="minorHAnsi" w:hAnsiTheme="minorHAnsi"/>
          <w:b/>
        </w:rPr>
      </w:pPr>
      <w:bookmarkStart w:id="1527" w:name="_Toc41966535"/>
      <w:r w:rsidRPr="00AD7F53">
        <w:rPr>
          <w:rFonts w:asciiTheme="minorHAnsi" w:hAnsiTheme="minorHAnsi"/>
          <w:b/>
        </w:rPr>
        <w:t>7. OBMIAR ROBÓT</w:t>
      </w:r>
      <w:bookmarkEnd w:id="1527"/>
    </w:p>
    <w:p w:rsidR="007A1748" w:rsidRPr="0001511E" w:rsidRDefault="007A1748" w:rsidP="007A1748">
      <w:pPr>
        <w:rPr>
          <w:rFonts w:asciiTheme="minorHAnsi" w:hAnsiTheme="minorHAnsi"/>
        </w:rPr>
      </w:pPr>
      <w:r w:rsidRPr="00AD7F53">
        <w:rPr>
          <w:rFonts w:asciiTheme="minorHAnsi" w:hAnsiTheme="minorHAnsi"/>
          <w:b/>
        </w:rPr>
        <w:t>7.1.</w:t>
      </w:r>
      <w:r w:rsidRPr="0001511E">
        <w:rPr>
          <w:rFonts w:asciiTheme="minorHAnsi" w:hAnsiTheme="minorHAnsi"/>
        </w:rPr>
        <w:t xml:space="preserve"> Ogólne zasady obmiaru robót</w:t>
      </w:r>
    </w:p>
    <w:p w:rsidR="007A1748" w:rsidRPr="0001511E" w:rsidRDefault="007A1748" w:rsidP="007A1748">
      <w:pPr>
        <w:rPr>
          <w:rFonts w:asciiTheme="minorHAnsi" w:hAnsiTheme="minorHAnsi"/>
        </w:rPr>
      </w:pPr>
      <w:r w:rsidRPr="0001511E">
        <w:rPr>
          <w:rFonts w:asciiTheme="minorHAnsi" w:hAnsiTheme="minorHAnsi"/>
        </w:rPr>
        <w:tab/>
        <w:t>Ogólne zasady obmiaru robót podano w ST  D-M-00.00.00 „Wymagania ogólne” pkt 7.</w:t>
      </w:r>
    </w:p>
    <w:p w:rsidR="007A1748" w:rsidRPr="0001511E" w:rsidRDefault="007A1748" w:rsidP="007A1748">
      <w:pPr>
        <w:rPr>
          <w:rFonts w:asciiTheme="minorHAnsi" w:hAnsiTheme="minorHAnsi"/>
        </w:rPr>
      </w:pPr>
      <w:r w:rsidRPr="00AD7F53">
        <w:rPr>
          <w:rFonts w:asciiTheme="minorHAnsi" w:hAnsiTheme="minorHAnsi"/>
          <w:b/>
        </w:rPr>
        <w:t>7.2.</w:t>
      </w:r>
      <w:r w:rsidRPr="0001511E">
        <w:rPr>
          <w:rFonts w:asciiTheme="minorHAnsi" w:hAnsiTheme="minorHAnsi"/>
        </w:rPr>
        <w:t xml:space="preserve"> Jednostka obmiarowa</w:t>
      </w:r>
    </w:p>
    <w:p w:rsidR="007A1748" w:rsidRPr="0001511E" w:rsidRDefault="007A1748" w:rsidP="007A1748">
      <w:pPr>
        <w:rPr>
          <w:rFonts w:asciiTheme="minorHAnsi" w:hAnsiTheme="minorHAnsi"/>
        </w:rPr>
      </w:pPr>
      <w:r w:rsidRPr="0001511E">
        <w:rPr>
          <w:rFonts w:asciiTheme="minorHAnsi" w:hAnsiTheme="minorHAnsi"/>
        </w:rPr>
        <w:tab/>
        <w:t>Jednostką obmiaru robót jest m2 (metr kwadratowy) zabezpieczonej geosiatką powierzchni nawierzchni.</w:t>
      </w:r>
    </w:p>
    <w:p w:rsidR="007A1748" w:rsidRDefault="007A1748" w:rsidP="007A1748">
      <w:pPr>
        <w:rPr>
          <w:rFonts w:asciiTheme="minorHAnsi" w:hAnsiTheme="minorHAnsi"/>
        </w:rPr>
      </w:pPr>
    </w:p>
    <w:p w:rsidR="007A1748" w:rsidRDefault="007A1748" w:rsidP="007A1748">
      <w:pPr>
        <w:rPr>
          <w:rFonts w:asciiTheme="minorHAnsi" w:hAnsiTheme="minorHAnsi"/>
        </w:rPr>
      </w:pPr>
    </w:p>
    <w:p w:rsidR="007A1748" w:rsidRDefault="007A1748" w:rsidP="007A1748">
      <w:pPr>
        <w:rPr>
          <w:rFonts w:asciiTheme="minorHAnsi" w:hAnsiTheme="minorHAnsi"/>
        </w:rPr>
      </w:pPr>
    </w:p>
    <w:p w:rsidR="007A1748" w:rsidRDefault="007A1748" w:rsidP="007A1748">
      <w:pPr>
        <w:rPr>
          <w:rFonts w:asciiTheme="minorHAnsi" w:hAnsiTheme="minorHAnsi"/>
        </w:rPr>
      </w:pPr>
    </w:p>
    <w:p w:rsidR="007A1748" w:rsidRDefault="007A1748" w:rsidP="007A1748">
      <w:pPr>
        <w:rPr>
          <w:rFonts w:asciiTheme="minorHAnsi" w:hAnsiTheme="minorHAnsi"/>
        </w:rPr>
      </w:pPr>
    </w:p>
    <w:p w:rsidR="007A1748" w:rsidRPr="0001511E" w:rsidRDefault="007A1748" w:rsidP="007A1748">
      <w:pPr>
        <w:ind w:left="709"/>
        <w:rPr>
          <w:rFonts w:asciiTheme="minorHAnsi" w:hAnsiTheme="minorHAnsi"/>
        </w:rPr>
      </w:pPr>
      <w:r w:rsidRPr="0001511E">
        <w:rPr>
          <w:rFonts w:asciiTheme="minorHAnsi" w:hAnsiTheme="minorHAnsi"/>
        </w:rPr>
        <w:lastRenderedPageBreak/>
        <w:t>Tablica 1. Częstotliwość oraz zakres badań i pomiarów w czasie robót</w:t>
      </w:r>
    </w:p>
    <w:tbl>
      <w:tblPr>
        <w:tblW w:w="7583" w:type="dxa"/>
        <w:tblInd w:w="779" w:type="dxa"/>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ayout w:type="fixed"/>
        <w:tblCellMar>
          <w:left w:w="70" w:type="dxa"/>
          <w:right w:w="70" w:type="dxa"/>
        </w:tblCellMar>
        <w:tblLook w:val="0000"/>
      </w:tblPr>
      <w:tblGrid>
        <w:gridCol w:w="496"/>
        <w:gridCol w:w="3543"/>
        <w:gridCol w:w="1560"/>
        <w:gridCol w:w="1984"/>
      </w:tblGrid>
      <w:tr w:rsidR="007A1748" w:rsidRPr="0001511E" w:rsidTr="00C26550">
        <w:tc>
          <w:tcPr>
            <w:tcW w:w="496" w:type="dxa"/>
            <w:tcBorders>
              <w:bottom w:val="double" w:sz="6" w:space="0" w:color="auto"/>
            </w:tcBorders>
          </w:tcPr>
          <w:p w:rsidR="007A1748" w:rsidRPr="0001511E" w:rsidRDefault="007A1748" w:rsidP="00C26550">
            <w:pPr>
              <w:numPr>
                <w:ilvl w:val="12"/>
                <w:numId w:val="0"/>
              </w:numPr>
              <w:spacing w:before="180" w:after="60"/>
              <w:jc w:val="center"/>
              <w:rPr>
                <w:rFonts w:asciiTheme="minorHAnsi" w:hAnsiTheme="minorHAnsi"/>
              </w:rPr>
            </w:pPr>
            <w:r w:rsidRPr="0001511E">
              <w:rPr>
                <w:rFonts w:asciiTheme="minorHAnsi" w:hAnsiTheme="minorHAnsi"/>
              </w:rPr>
              <w:t>Lp.</w:t>
            </w:r>
          </w:p>
        </w:tc>
        <w:tc>
          <w:tcPr>
            <w:tcW w:w="3543" w:type="dxa"/>
            <w:tcBorders>
              <w:bottom w:val="double" w:sz="6" w:space="0" w:color="auto"/>
            </w:tcBorders>
          </w:tcPr>
          <w:p w:rsidR="007A1748" w:rsidRPr="0001511E" w:rsidRDefault="007A1748" w:rsidP="00C26550">
            <w:pPr>
              <w:numPr>
                <w:ilvl w:val="12"/>
                <w:numId w:val="0"/>
              </w:numPr>
              <w:spacing w:before="180" w:after="60"/>
              <w:jc w:val="center"/>
              <w:rPr>
                <w:rFonts w:asciiTheme="minorHAnsi" w:hAnsiTheme="minorHAnsi"/>
              </w:rPr>
            </w:pPr>
            <w:r w:rsidRPr="0001511E">
              <w:rPr>
                <w:rFonts w:asciiTheme="minorHAnsi" w:hAnsiTheme="minorHAnsi"/>
              </w:rPr>
              <w:t>Wyszczególnienie badań i pomiarów</w:t>
            </w:r>
          </w:p>
        </w:tc>
        <w:tc>
          <w:tcPr>
            <w:tcW w:w="1560" w:type="dxa"/>
            <w:tcBorders>
              <w:bottom w:val="double" w:sz="6" w:space="0" w:color="auto"/>
            </w:tcBorders>
          </w:tcPr>
          <w:p w:rsidR="007A1748" w:rsidRPr="0001511E" w:rsidRDefault="007A1748" w:rsidP="00C26550">
            <w:pPr>
              <w:numPr>
                <w:ilvl w:val="12"/>
                <w:numId w:val="0"/>
              </w:numPr>
              <w:spacing w:before="60" w:after="60"/>
              <w:jc w:val="center"/>
              <w:rPr>
                <w:rFonts w:asciiTheme="minorHAnsi" w:hAnsiTheme="minorHAnsi"/>
              </w:rPr>
            </w:pPr>
            <w:r w:rsidRPr="0001511E">
              <w:rPr>
                <w:rFonts w:asciiTheme="minorHAnsi" w:hAnsiTheme="minorHAnsi"/>
              </w:rPr>
              <w:t>Częstotliwość badań</w:t>
            </w:r>
          </w:p>
        </w:tc>
        <w:tc>
          <w:tcPr>
            <w:tcW w:w="1984" w:type="dxa"/>
            <w:tcBorders>
              <w:bottom w:val="double" w:sz="6" w:space="0" w:color="auto"/>
            </w:tcBorders>
          </w:tcPr>
          <w:p w:rsidR="007A1748" w:rsidRPr="0001511E" w:rsidRDefault="007A1748" w:rsidP="00C26550">
            <w:pPr>
              <w:numPr>
                <w:ilvl w:val="12"/>
                <w:numId w:val="0"/>
              </w:numPr>
              <w:spacing w:before="60" w:after="60"/>
              <w:jc w:val="center"/>
              <w:rPr>
                <w:rFonts w:asciiTheme="minorHAnsi" w:hAnsiTheme="minorHAnsi"/>
              </w:rPr>
            </w:pPr>
            <w:r w:rsidRPr="0001511E">
              <w:rPr>
                <w:rFonts w:asciiTheme="minorHAnsi" w:hAnsiTheme="minorHAnsi"/>
              </w:rPr>
              <w:t>Wartości dopuszczalne</w:t>
            </w:r>
          </w:p>
        </w:tc>
      </w:tr>
      <w:tr w:rsidR="007A1748" w:rsidRPr="0001511E" w:rsidTr="00C26550">
        <w:tc>
          <w:tcPr>
            <w:tcW w:w="496" w:type="dxa"/>
          </w:tcPr>
          <w:p w:rsidR="007A1748" w:rsidRPr="0001511E" w:rsidRDefault="007A1748" w:rsidP="00C26550">
            <w:pPr>
              <w:numPr>
                <w:ilvl w:val="12"/>
                <w:numId w:val="0"/>
              </w:numPr>
              <w:jc w:val="center"/>
              <w:rPr>
                <w:rFonts w:asciiTheme="minorHAnsi" w:hAnsiTheme="minorHAnsi"/>
              </w:rPr>
            </w:pPr>
          </w:p>
          <w:p w:rsidR="007A1748" w:rsidRPr="0001511E" w:rsidRDefault="007A1748" w:rsidP="00C26550">
            <w:pPr>
              <w:numPr>
                <w:ilvl w:val="12"/>
                <w:numId w:val="0"/>
              </w:numPr>
              <w:jc w:val="center"/>
              <w:rPr>
                <w:rFonts w:asciiTheme="minorHAnsi" w:hAnsiTheme="minorHAnsi"/>
              </w:rPr>
            </w:pPr>
            <w:r w:rsidRPr="0001511E">
              <w:rPr>
                <w:rFonts w:asciiTheme="minorHAnsi" w:hAnsiTheme="minorHAnsi"/>
              </w:rPr>
              <w:t>1</w:t>
            </w:r>
          </w:p>
        </w:tc>
        <w:tc>
          <w:tcPr>
            <w:tcW w:w="3543" w:type="dxa"/>
          </w:tcPr>
          <w:p w:rsidR="007A1748" w:rsidRPr="0001511E" w:rsidRDefault="007A1748" w:rsidP="00C26550">
            <w:pPr>
              <w:numPr>
                <w:ilvl w:val="12"/>
                <w:numId w:val="0"/>
              </w:numPr>
              <w:rPr>
                <w:rFonts w:asciiTheme="minorHAnsi" w:hAnsiTheme="minorHAnsi"/>
              </w:rPr>
            </w:pPr>
            <w:r w:rsidRPr="0001511E">
              <w:rPr>
                <w:rFonts w:asciiTheme="minorHAnsi" w:hAnsiTheme="minorHAnsi"/>
              </w:rPr>
              <w:t>Sprawdzenie oczyszczenia podłoża (Ocena wizualna)</w:t>
            </w:r>
          </w:p>
        </w:tc>
        <w:tc>
          <w:tcPr>
            <w:tcW w:w="1560" w:type="dxa"/>
          </w:tcPr>
          <w:p w:rsidR="007A1748" w:rsidRPr="0001511E" w:rsidRDefault="007A1748" w:rsidP="00C26550">
            <w:pPr>
              <w:numPr>
                <w:ilvl w:val="12"/>
                <w:numId w:val="0"/>
              </w:numPr>
              <w:jc w:val="center"/>
              <w:rPr>
                <w:rFonts w:asciiTheme="minorHAnsi" w:hAnsiTheme="minorHAnsi"/>
              </w:rPr>
            </w:pPr>
          </w:p>
          <w:p w:rsidR="007A1748" w:rsidRPr="0001511E" w:rsidRDefault="007A1748" w:rsidP="00C26550">
            <w:pPr>
              <w:numPr>
                <w:ilvl w:val="12"/>
                <w:numId w:val="0"/>
              </w:numPr>
              <w:jc w:val="center"/>
              <w:rPr>
                <w:rFonts w:asciiTheme="minorHAnsi" w:hAnsiTheme="minorHAnsi"/>
              </w:rPr>
            </w:pPr>
            <w:r w:rsidRPr="0001511E">
              <w:rPr>
                <w:rFonts w:asciiTheme="minorHAnsi" w:hAnsiTheme="minorHAnsi"/>
              </w:rPr>
              <w:t>Całe podłoże</w:t>
            </w:r>
          </w:p>
        </w:tc>
        <w:tc>
          <w:tcPr>
            <w:tcW w:w="1984" w:type="dxa"/>
          </w:tcPr>
          <w:p w:rsidR="007A1748" w:rsidRPr="0001511E" w:rsidRDefault="007A1748" w:rsidP="00C26550">
            <w:pPr>
              <w:numPr>
                <w:ilvl w:val="12"/>
                <w:numId w:val="0"/>
              </w:numPr>
              <w:spacing w:before="120"/>
              <w:jc w:val="center"/>
              <w:rPr>
                <w:rFonts w:asciiTheme="minorHAnsi" w:hAnsiTheme="minorHAnsi"/>
              </w:rPr>
            </w:pPr>
            <w:r w:rsidRPr="0001511E">
              <w:rPr>
                <w:rFonts w:asciiTheme="minorHAnsi" w:hAnsiTheme="minorHAnsi"/>
              </w:rPr>
              <w:t>Brak luźnych odprysków  i kurzu</w:t>
            </w:r>
          </w:p>
        </w:tc>
      </w:tr>
      <w:tr w:rsidR="007A1748" w:rsidRPr="0001511E" w:rsidTr="00C26550">
        <w:tc>
          <w:tcPr>
            <w:tcW w:w="496" w:type="dxa"/>
          </w:tcPr>
          <w:p w:rsidR="007A1748" w:rsidRPr="0001511E" w:rsidRDefault="007A1748" w:rsidP="00C26550">
            <w:pPr>
              <w:numPr>
                <w:ilvl w:val="12"/>
                <w:numId w:val="0"/>
              </w:numPr>
              <w:spacing w:before="120"/>
              <w:jc w:val="center"/>
              <w:rPr>
                <w:rFonts w:asciiTheme="minorHAnsi" w:hAnsiTheme="minorHAnsi"/>
              </w:rPr>
            </w:pPr>
            <w:r w:rsidRPr="0001511E">
              <w:rPr>
                <w:rFonts w:asciiTheme="minorHAnsi" w:hAnsiTheme="minorHAnsi"/>
              </w:rPr>
              <w:t>2</w:t>
            </w:r>
          </w:p>
        </w:tc>
        <w:tc>
          <w:tcPr>
            <w:tcW w:w="3543" w:type="dxa"/>
          </w:tcPr>
          <w:p w:rsidR="007A1748" w:rsidRPr="0001511E" w:rsidRDefault="007A1748" w:rsidP="00C26550">
            <w:pPr>
              <w:numPr>
                <w:ilvl w:val="12"/>
                <w:numId w:val="0"/>
              </w:numPr>
              <w:rPr>
                <w:rFonts w:asciiTheme="minorHAnsi" w:hAnsiTheme="minorHAnsi"/>
              </w:rPr>
            </w:pPr>
            <w:r w:rsidRPr="0001511E">
              <w:rPr>
                <w:rFonts w:asciiTheme="minorHAnsi" w:hAnsiTheme="minorHAnsi"/>
              </w:rPr>
              <w:t>Badanie skropienia lepiszczem podłoża (wg ST D-04.03.01)</w:t>
            </w:r>
          </w:p>
        </w:tc>
        <w:tc>
          <w:tcPr>
            <w:tcW w:w="1560" w:type="dxa"/>
          </w:tcPr>
          <w:p w:rsidR="007A1748" w:rsidRPr="0001511E" w:rsidRDefault="007A1748" w:rsidP="00C26550">
            <w:pPr>
              <w:numPr>
                <w:ilvl w:val="12"/>
                <w:numId w:val="0"/>
              </w:numPr>
              <w:spacing w:before="120"/>
              <w:jc w:val="center"/>
              <w:rPr>
                <w:rFonts w:asciiTheme="minorHAnsi" w:hAnsiTheme="minorHAnsi"/>
              </w:rPr>
            </w:pPr>
            <w:r w:rsidRPr="0001511E">
              <w:rPr>
                <w:rFonts w:asciiTheme="minorHAnsi" w:hAnsiTheme="minorHAnsi"/>
              </w:rPr>
              <w:t xml:space="preserve"> Całe podłoże</w:t>
            </w:r>
          </w:p>
        </w:tc>
        <w:tc>
          <w:tcPr>
            <w:tcW w:w="1984" w:type="dxa"/>
          </w:tcPr>
          <w:p w:rsidR="007A1748" w:rsidRPr="0001511E" w:rsidRDefault="007A1748" w:rsidP="00C26550">
            <w:pPr>
              <w:numPr>
                <w:ilvl w:val="12"/>
                <w:numId w:val="0"/>
              </w:numPr>
              <w:spacing w:before="120"/>
              <w:jc w:val="center"/>
              <w:rPr>
                <w:rFonts w:asciiTheme="minorHAnsi" w:hAnsiTheme="minorHAnsi"/>
              </w:rPr>
            </w:pPr>
            <w:r w:rsidRPr="0001511E">
              <w:rPr>
                <w:rFonts w:asciiTheme="minorHAnsi" w:hAnsiTheme="minorHAnsi"/>
              </w:rPr>
              <w:t>Wg ST</w:t>
            </w:r>
          </w:p>
        </w:tc>
      </w:tr>
      <w:tr w:rsidR="007A1748" w:rsidRPr="0001511E" w:rsidTr="00C26550">
        <w:tc>
          <w:tcPr>
            <w:tcW w:w="496" w:type="dxa"/>
          </w:tcPr>
          <w:p w:rsidR="007A1748" w:rsidRPr="0001511E" w:rsidRDefault="007A1748" w:rsidP="00C26550">
            <w:pPr>
              <w:numPr>
                <w:ilvl w:val="12"/>
                <w:numId w:val="0"/>
              </w:numPr>
              <w:spacing w:before="120"/>
              <w:jc w:val="center"/>
              <w:rPr>
                <w:rFonts w:asciiTheme="minorHAnsi" w:hAnsiTheme="minorHAnsi"/>
              </w:rPr>
            </w:pPr>
            <w:r w:rsidRPr="0001511E">
              <w:rPr>
                <w:rFonts w:asciiTheme="minorHAnsi" w:hAnsiTheme="minorHAnsi"/>
              </w:rPr>
              <w:t>3</w:t>
            </w:r>
          </w:p>
        </w:tc>
        <w:tc>
          <w:tcPr>
            <w:tcW w:w="3543" w:type="dxa"/>
          </w:tcPr>
          <w:p w:rsidR="007A1748" w:rsidRPr="0001511E" w:rsidRDefault="007A1748" w:rsidP="00C26550">
            <w:pPr>
              <w:numPr>
                <w:ilvl w:val="12"/>
                <w:numId w:val="0"/>
              </w:numPr>
              <w:rPr>
                <w:rFonts w:asciiTheme="minorHAnsi" w:hAnsiTheme="minorHAnsi"/>
              </w:rPr>
            </w:pPr>
            <w:r w:rsidRPr="0001511E">
              <w:rPr>
                <w:rFonts w:asciiTheme="minorHAnsi" w:hAnsiTheme="minorHAnsi"/>
              </w:rPr>
              <w:t>Badanie ułożenia geosiatki (ocena wizualna)</w:t>
            </w:r>
          </w:p>
        </w:tc>
        <w:tc>
          <w:tcPr>
            <w:tcW w:w="1560" w:type="dxa"/>
          </w:tcPr>
          <w:p w:rsidR="007A1748" w:rsidRPr="0001511E" w:rsidRDefault="007A1748" w:rsidP="00C26550">
            <w:pPr>
              <w:numPr>
                <w:ilvl w:val="12"/>
                <w:numId w:val="0"/>
              </w:numPr>
              <w:spacing w:before="120"/>
              <w:jc w:val="center"/>
              <w:rPr>
                <w:rFonts w:asciiTheme="minorHAnsi" w:hAnsiTheme="minorHAnsi"/>
              </w:rPr>
            </w:pPr>
            <w:r w:rsidRPr="0001511E">
              <w:rPr>
                <w:rFonts w:asciiTheme="minorHAnsi" w:hAnsiTheme="minorHAnsi"/>
              </w:rPr>
              <w:t>Cała siatka</w:t>
            </w:r>
          </w:p>
        </w:tc>
        <w:tc>
          <w:tcPr>
            <w:tcW w:w="1984" w:type="dxa"/>
          </w:tcPr>
          <w:p w:rsidR="007A1748" w:rsidRPr="0001511E" w:rsidRDefault="007A1748" w:rsidP="00C26550">
            <w:pPr>
              <w:numPr>
                <w:ilvl w:val="12"/>
                <w:numId w:val="0"/>
              </w:numPr>
              <w:spacing w:before="120"/>
              <w:jc w:val="center"/>
              <w:rPr>
                <w:rFonts w:asciiTheme="minorHAnsi" w:hAnsiTheme="minorHAnsi"/>
              </w:rPr>
            </w:pPr>
            <w:r w:rsidRPr="0001511E">
              <w:rPr>
                <w:rFonts w:asciiTheme="minorHAnsi" w:hAnsiTheme="minorHAnsi"/>
              </w:rPr>
              <w:t xml:space="preserve"> Wg p. 5.4.</w:t>
            </w:r>
          </w:p>
        </w:tc>
      </w:tr>
      <w:tr w:rsidR="007A1748" w:rsidRPr="0001511E" w:rsidTr="00C26550">
        <w:tc>
          <w:tcPr>
            <w:tcW w:w="496" w:type="dxa"/>
          </w:tcPr>
          <w:p w:rsidR="007A1748" w:rsidRPr="0001511E" w:rsidRDefault="007A1748" w:rsidP="00C26550">
            <w:pPr>
              <w:numPr>
                <w:ilvl w:val="12"/>
                <w:numId w:val="0"/>
              </w:numPr>
              <w:jc w:val="center"/>
              <w:rPr>
                <w:rFonts w:asciiTheme="minorHAnsi" w:hAnsiTheme="minorHAnsi"/>
              </w:rPr>
            </w:pPr>
          </w:p>
          <w:p w:rsidR="007A1748" w:rsidRPr="0001511E" w:rsidRDefault="007A1748" w:rsidP="00C26550">
            <w:pPr>
              <w:numPr>
                <w:ilvl w:val="12"/>
                <w:numId w:val="0"/>
              </w:numPr>
              <w:jc w:val="center"/>
              <w:rPr>
                <w:rFonts w:asciiTheme="minorHAnsi" w:hAnsiTheme="minorHAnsi"/>
              </w:rPr>
            </w:pPr>
          </w:p>
          <w:p w:rsidR="007A1748" w:rsidRPr="0001511E" w:rsidRDefault="007A1748" w:rsidP="00C26550">
            <w:pPr>
              <w:numPr>
                <w:ilvl w:val="12"/>
                <w:numId w:val="0"/>
              </w:numPr>
              <w:jc w:val="center"/>
              <w:rPr>
                <w:rFonts w:asciiTheme="minorHAnsi" w:hAnsiTheme="minorHAnsi"/>
              </w:rPr>
            </w:pPr>
            <w:r w:rsidRPr="0001511E">
              <w:rPr>
                <w:rFonts w:asciiTheme="minorHAnsi" w:hAnsiTheme="minorHAnsi"/>
              </w:rPr>
              <w:t>4</w:t>
            </w:r>
          </w:p>
        </w:tc>
        <w:tc>
          <w:tcPr>
            <w:tcW w:w="3543" w:type="dxa"/>
          </w:tcPr>
          <w:p w:rsidR="007A1748" w:rsidRPr="0001511E" w:rsidRDefault="007A1748" w:rsidP="00C26550">
            <w:pPr>
              <w:numPr>
                <w:ilvl w:val="12"/>
                <w:numId w:val="0"/>
              </w:numPr>
              <w:spacing w:before="240"/>
              <w:rPr>
                <w:rFonts w:asciiTheme="minorHAnsi" w:hAnsiTheme="minorHAnsi"/>
              </w:rPr>
            </w:pPr>
            <w:r w:rsidRPr="0001511E">
              <w:rPr>
                <w:rFonts w:asciiTheme="minorHAnsi" w:hAnsiTheme="minorHAnsi"/>
              </w:rPr>
              <w:t>Badanie warstwy lub warstw nawierzchni asfaltowej (wg odpowiedniej ST)</w:t>
            </w:r>
          </w:p>
        </w:tc>
        <w:tc>
          <w:tcPr>
            <w:tcW w:w="1560" w:type="dxa"/>
          </w:tcPr>
          <w:p w:rsidR="007A1748" w:rsidRPr="0001511E" w:rsidRDefault="007A1748" w:rsidP="00C26550">
            <w:pPr>
              <w:numPr>
                <w:ilvl w:val="12"/>
                <w:numId w:val="0"/>
              </w:numPr>
              <w:jc w:val="center"/>
              <w:rPr>
                <w:rFonts w:asciiTheme="minorHAnsi" w:hAnsiTheme="minorHAnsi"/>
              </w:rPr>
            </w:pPr>
            <w:r w:rsidRPr="0001511E">
              <w:rPr>
                <w:rFonts w:asciiTheme="minorHAnsi" w:hAnsiTheme="minorHAnsi"/>
              </w:rPr>
              <w:t xml:space="preserve"> Wg odpowied-niej ST</w:t>
            </w:r>
          </w:p>
        </w:tc>
        <w:tc>
          <w:tcPr>
            <w:tcW w:w="1984" w:type="dxa"/>
          </w:tcPr>
          <w:p w:rsidR="007A1748" w:rsidRPr="0001511E" w:rsidRDefault="007A1748" w:rsidP="00C26550">
            <w:pPr>
              <w:numPr>
                <w:ilvl w:val="12"/>
                <w:numId w:val="0"/>
              </w:numPr>
              <w:spacing w:before="120"/>
              <w:jc w:val="center"/>
              <w:rPr>
                <w:rFonts w:asciiTheme="minorHAnsi" w:hAnsiTheme="minorHAnsi"/>
              </w:rPr>
            </w:pPr>
            <w:r w:rsidRPr="0001511E">
              <w:rPr>
                <w:rFonts w:asciiTheme="minorHAnsi" w:hAnsiTheme="minorHAnsi"/>
              </w:rPr>
              <w:t>Wg odpowiedniej ST</w:t>
            </w:r>
          </w:p>
        </w:tc>
      </w:tr>
    </w:tbl>
    <w:p w:rsidR="007A1748" w:rsidRDefault="007A1748" w:rsidP="007A1748">
      <w:pPr>
        <w:rPr>
          <w:rFonts w:asciiTheme="minorHAnsi" w:hAnsiTheme="minorHAnsi"/>
        </w:rPr>
      </w:pPr>
      <w:bookmarkStart w:id="1528" w:name="_Toc41966536"/>
    </w:p>
    <w:p w:rsidR="007A1748" w:rsidRPr="00AD7F53" w:rsidRDefault="007A1748" w:rsidP="007A1748">
      <w:pPr>
        <w:rPr>
          <w:rFonts w:asciiTheme="minorHAnsi" w:hAnsiTheme="minorHAnsi"/>
          <w:b/>
        </w:rPr>
      </w:pPr>
      <w:r w:rsidRPr="00AD7F53">
        <w:rPr>
          <w:rFonts w:asciiTheme="minorHAnsi" w:hAnsiTheme="minorHAnsi"/>
          <w:b/>
        </w:rPr>
        <w:t>8. ODBIÓR ROBÓT</w:t>
      </w:r>
      <w:bookmarkEnd w:id="1528"/>
    </w:p>
    <w:p w:rsidR="007A1748" w:rsidRPr="0001511E" w:rsidRDefault="007A1748" w:rsidP="007A1748">
      <w:pPr>
        <w:rPr>
          <w:rFonts w:asciiTheme="minorHAnsi" w:hAnsiTheme="minorHAnsi"/>
        </w:rPr>
      </w:pPr>
      <w:r w:rsidRPr="00AD7F53">
        <w:rPr>
          <w:rFonts w:asciiTheme="minorHAnsi" w:hAnsiTheme="minorHAnsi"/>
          <w:b/>
        </w:rPr>
        <w:t>8.1.</w:t>
      </w:r>
      <w:r w:rsidRPr="0001511E">
        <w:rPr>
          <w:rFonts w:asciiTheme="minorHAnsi" w:hAnsiTheme="minorHAnsi"/>
        </w:rPr>
        <w:t xml:space="preserve"> Ogólne zasady odbioru robót</w:t>
      </w:r>
    </w:p>
    <w:p w:rsidR="007A1748" w:rsidRPr="0001511E" w:rsidRDefault="007A1748" w:rsidP="007A1748">
      <w:pPr>
        <w:rPr>
          <w:rFonts w:asciiTheme="minorHAnsi" w:hAnsiTheme="minorHAnsi"/>
        </w:rPr>
      </w:pPr>
      <w:r w:rsidRPr="0001511E">
        <w:rPr>
          <w:rFonts w:asciiTheme="minorHAnsi" w:hAnsiTheme="minorHAnsi"/>
        </w:rPr>
        <w:tab/>
        <w:t>Ogólne zasady odbioru robót podano w ST  D-M-00.00.00 „Wymagania ogólne” pkt 8.</w:t>
      </w:r>
    </w:p>
    <w:p w:rsidR="007A1748" w:rsidRPr="0001511E" w:rsidRDefault="007A1748" w:rsidP="007A1748">
      <w:pPr>
        <w:rPr>
          <w:rFonts w:asciiTheme="minorHAnsi" w:hAnsiTheme="minorHAnsi"/>
        </w:rPr>
      </w:pPr>
      <w:r w:rsidRPr="0001511E">
        <w:rPr>
          <w:rFonts w:asciiTheme="minorHAnsi" w:hAnsiTheme="minorHAnsi"/>
        </w:rPr>
        <w:tab/>
        <w:t>Roboty uznaje się za wykonane zgodnie z dokumentacją projektową, ST i wymaganiami Inżyniera, jeżeli wszystkie pomiary i badania z zachowaniem tolerancji według pktu 6 dały wyniki pozytywne.</w:t>
      </w:r>
    </w:p>
    <w:p w:rsidR="007A1748" w:rsidRPr="0001511E" w:rsidRDefault="007A1748" w:rsidP="007A1748">
      <w:pPr>
        <w:rPr>
          <w:rFonts w:asciiTheme="minorHAnsi" w:hAnsiTheme="minorHAnsi"/>
        </w:rPr>
      </w:pPr>
      <w:r w:rsidRPr="00AD7F53">
        <w:rPr>
          <w:rFonts w:asciiTheme="minorHAnsi" w:hAnsiTheme="minorHAnsi"/>
          <w:b/>
        </w:rPr>
        <w:t>8.2.</w:t>
      </w:r>
      <w:r w:rsidRPr="0001511E">
        <w:rPr>
          <w:rFonts w:asciiTheme="minorHAnsi" w:hAnsiTheme="minorHAnsi"/>
        </w:rPr>
        <w:t xml:space="preserve"> Odbiór robót zanikających i ulegających  zakryciu</w:t>
      </w:r>
    </w:p>
    <w:p w:rsidR="007A1748" w:rsidRPr="0001511E" w:rsidRDefault="007A1748" w:rsidP="007A1748">
      <w:pPr>
        <w:rPr>
          <w:rFonts w:asciiTheme="minorHAnsi" w:hAnsiTheme="minorHAnsi"/>
        </w:rPr>
      </w:pPr>
      <w:r w:rsidRPr="0001511E">
        <w:rPr>
          <w:rFonts w:asciiTheme="minorHAnsi" w:hAnsiTheme="minorHAnsi"/>
        </w:rPr>
        <w:tab/>
        <w:t>Odbiorowi robót zanikających i ulegających zakryciu podlegają:</w:t>
      </w:r>
    </w:p>
    <w:p w:rsidR="007A1748" w:rsidRPr="0001511E" w:rsidRDefault="007A1748" w:rsidP="007A1748">
      <w:pPr>
        <w:rPr>
          <w:rFonts w:asciiTheme="minorHAnsi" w:hAnsiTheme="minorHAnsi"/>
        </w:rPr>
      </w:pPr>
      <w:r>
        <w:rPr>
          <w:rFonts w:asciiTheme="minorHAnsi" w:hAnsiTheme="minorHAnsi"/>
        </w:rPr>
        <w:t>-</w:t>
      </w:r>
      <w:r w:rsidRPr="0001511E">
        <w:rPr>
          <w:rFonts w:asciiTheme="minorHAnsi" w:hAnsiTheme="minorHAnsi"/>
        </w:rPr>
        <w:t>skropienie lepiszczem podłoża,</w:t>
      </w:r>
    </w:p>
    <w:p w:rsidR="007A1748" w:rsidRPr="0001511E" w:rsidRDefault="007A1748" w:rsidP="007A1748">
      <w:pPr>
        <w:rPr>
          <w:rFonts w:asciiTheme="minorHAnsi" w:hAnsiTheme="minorHAnsi"/>
        </w:rPr>
      </w:pPr>
      <w:r>
        <w:rPr>
          <w:rFonts w:asciiTheme="minorHAnsi" w:hAnsiTheme="minorHAnsi"/>
        </w:rPr>
        <w:t>-</w:t>
      </w:r>
      <w:r w:rsidRPr="0001511E">
        <w:rPr>
          <w:rFonts w:asciiTheme="minorHAnsi" w:hAnsiTheme="minorHAnsi"/>
        </w:rPr>
        <w:t>rozłożenie geosiatki bez fałd z przymocowaniem do podłoża i wycięciem otworów na studzienki.</w:t>
      </w:r>
    </w:p>
    <w:p w:rsidR="007A1748" w:rsidRDefault="007A1748" w:rsidP="007A1748">
      <w:pPr>
        <w:rPr>
          <w:rFonts w:asciiTheme="minorHAnsi" w:hAnsiTheme="minorHAnsi"/>
        </w:rPr>
      </w:pPr>
      <w:bookmarkStart w:id="1529" w:name="_Toc41966537"/>
    </w:p>
    <w:p w:rsidR="007A1748" w:rsidRPr="00AD7F53" w:rsidRDefault="007A1748" w:rsidP="007A1748">
      <w:pPr>
        <w:rPr>
          <w:rFonts w:asciiTheme="minorHAnsi" w:hAnsiTheme="minorHAnsi"/>
          <w:b/>
        </w:rPr>
      </w:pPr>
      <w:r w:rsidRPr="00AD7F53">
        <w:rPr>
          <w:rFonts w:asciiTheme="minorHAnsi" w:hAnsiTheme="minorHAnsi"/>
          <w:b/>
        </w:rPr>
        <w:t>9. PODSTAWA PŁATNOŚCI</w:t>
      </w:r>
      <w:bookmarkEnd w:id="1529"/>
    </w:p>
    <w:p w:rsidR="007A1748" w:rsidRPr="0001511E" w:rsidRDefault="007A1748" w:rsidP="007A1748">
      <w:pPr>
        <w:rPr>
          <w:rFonts w:asciiTheme="minorHAnsi" w:hAnsiTheme="minorHAnsi"/>
        </w:rPr>
      </w:pPr>
      <w:r w:rsidRPr="00AD7F53">
        <w:rPr>
          <w:rFonts w:asciiTheme="minorHAnsi" w:hAnsiTheme="minorHAnsi"/>
          <w:b/>
        </w:rPr>
        <w:t>9.1.</w:t>
      </w:r>
      <w:r w:rsidRPr="0001511E">
        <w:rPr>
          <w:rFonts w:asciiTheme="minorHAnsi" w:hAnsiTheme="minorHAnsi"/>
        </w:rPr>
        <w:t xml:space="preserve"> Ogólne ustalenia dotyczące podstawy płatności</w:t>
      </w:r>
    </w:p>
    <w:p w:rsidR="007A1748" w:rsidRPr="0001511E" w:rsidRDefault="007A1748" w:rsidP="007A1748">
      <w:pPr>
        <w:rPr>
          <w:rFonts w:asciiTheme="minorHAnsi" w:hAnsiTheme="minorHAnsi"/>
        </w:rPr>
      </w:pPr>
      <w:r w:rsidRPr="0001511E">
        <w:rPr>
          <w:rFonts w:asciiTheme="minorHAnsi" w:hAnsiTheme="minorHAnsi"/>
        </w:rPr>
        <w:tab/>
        <w:t>Ogólne ustalenia dotyczące podstawy płatności podano w ST D-M-00.00.00 „Wymagania ogólne” pkt 9.</w:t>
      </w:r>
    </w:p>
    <w:p w:rsidR="007A1748" w:rsidRPr="0001511E" w:rsidRDefault="007A1748" w:rsidP="007A1748">
      <w:pPr>
        <w:rPr>
          <w:rFonts w:asciiTheme="minorHAnsi" w:hAnsiTheme="minorHAnsi"/>
        </w:rPr>
      </w:pPr>
      <w:r w:rsidRPr="00AD7F53">
        <w:rPr>
          <w:rFonts w:asciiTheme="minorHAnsi" w:hAnsiTheme="minorHAnsi"/>
          <w:b/>
        </w:rPr>
        <w:t>9.2.</w:t>
      </w:r>
      <w:r w:rsidRPr="0001511E">
        <w:rPr>
          <w:rFonts w:asciiTheme="minorHAnsi" w:hAnsiTheme="minorHAnsi"/>
        </w:rPr>
        <w:t xml:space="preserve"> Cena jednostki obmiarowej</w:t>
      </w:r>
    </w:p>
    <w:p w:rsidR="007A1748" w:rsidRPr="0001511E" w:rsidRDefault="007A1748" w:rsidP="007A1748">
      <w:pPr>
        <w:rPr>
          <w:rFonts w:asciiTheme="minorHAnsi" w:hAnsiTheme="minorHAnsi"/>
        </w:rPr>
      </w:pPr>
      <w:r w:rsidRPr="0001511E">
        <w:rPr>
          <w:rFonts w:asciiTheme="minorHAnsi" w:hAnsiTheme="minorHAnsi"/>
        </w:rPr>
        <w:tab/>
        <w:t>Cena wykonania 1 m2 nawierzchni asfaltowej z geosiatką obejmuje:</w:t>
      </w:r>
    </w:p>
    <w:p w:rsidR="007A1748" w:rsidRPr="0001511E" w:rsidRDefault="007A1748" w:rsidP="007A1748">
      <w:pPr>
        <w:rPr>
          <w:rFonts w:asciiTheme="minorHAnsi" w:hAnsiTheme="minorHAnsi"/>
        </w:rPr>
      </w:pPr>
      <w:r>
        <w:rPr>
          <w:rFonts w:asciiTheme="minorHAnsi" w:hAnsiTheme="minorHAnsi"/>
        </w:rPr>
        <w:t>-</w:t>
      </w:r>
      <w:r w:rsidRPr="0001511E">
        <w:rPr>
          <w:rFonts w:asciiTheme="minorHAnsi" w:hAnsiTheme="minorHAnsi"/>
        </w:rPr>
        <w:t>prace pomiarowe i roboty przygotowawcze,</w:t>
      </w:r>
    </w:p>
    <w:p w:rsidR="007A1748" w:rsidRPr="0001511E" w:rsidRDefault="007A1748" w:rsidP="007A1748">
      <w:pPr>
        <w:rPr>
          <w:rFonts w:asciiTheme="minorHAnsi" w:hAnsiTheme="minorHAnsi"/>
        </w:rPr>
      </w:pPr>
      <w:r>
        <w:rPr>
          <w:rFonts w:asciiTheme="minorHAnsi" w:hAnsiTheme="minorHAnsi"/>
        </w:rPr>
        <w:t>-</w:t>
      </w:r>
      <w:r w:rsidRPr="0001511E">
        <w:rPr>
          <w:rFonts w:asciiTheme="minorHAnsi" w:hAnsiTheme="minorHAnsi"/>
        </w:rPr>
        <w:t>oznakowanie robót,</w:t>
      </w:r>
    </w:p>
    <w:p w:rsidR="007A1748" w:rsidRPr="0001511E" w:rsidRDefault="007A1748" w:rsidP="007A1748">
      <w:pPr>
        <w:rPr>
          <w:rFonts w:asciiTheme="minorHAnsi" w:hAnsiTheme="minorHAnsi"/>
        </w:rPr>
      </w:pPr>
      <w:r>
        <w:rPr>
          <w:rFonts w:asciiTheme="minorHAnsi" w:hAnsiTheme="minorHAnsi"/>
        </w:rPr>
        <w:t>-</w:t>
      </w:r>
      <w:r w:rsidRPr="0001511E">
        <w:rPr>
          <w:rFonts w:asciiTheme="minorHAnsi" w:hAnsiTheme="minorHAnsi"/>
        </w:rPr>
        <w:t>dostarczenie materiałów i sprzętu na budowę,</w:t>
      </w:r>
    </w:p>
    <w:p w:rsidR="007A1748" w:rsidRPr="0001511E" w:rsidRDefault="007A1748" w:rsidP="007A1748">
      <w:pPr>
        <w:rPr>
          <w:rFonts w:asciiTheme="minorHAnsi" w:hAnsiTheme="minorHAnsi"/>
        </w:rPr>
      </w:pPr>
      <w:r>
        <w:rPr>
          <w:rFonts w:asciiTheme="minorHAnsi" w:hAnsiTheme="minorHAnsi"/>
        </w:rPr>
        <w:t>-</w:t>
      </w:r>
      <w:r w:rsidRPr="0001511E">
        <w:rPr>
          <w:rFonts w:asciiTheme="minorHAnsi" w:hAnsiTheme="minorHAnsi"/>
        </w:rPr>
        <w:t>wykonanie nawierzchni zgodnie z dokumentacją projektową, ST i ewentualnie zaleceniami Inżyniera, obejmującej oczyszczenie podłoża, skropienie lepiszczem, rozłożenie geosiatki, ułożenie nawierzchni asfaltowej, itp.,</w:t>
      </w:r>
    </w:p>
    <w:p w:rsidR="007A1748" w:rsidRPr="0001511E" w:rsidRDefault="007A1748" w:rsidP="007A1748">
      <w:pPr>
        <w:rPr>
          <w:rFonts w:asciiTheme="minorHAnsi" w:hAnsiTheme="minorHAnsi"/>
        </w:rPr>
      </w:pPr>
      <w:r>
        <w:rPr>
          <w:rFonts w:asciiTheme="minorHAnsi" w:hAnsiTheme="minorHAnsi"/>
        </w:rPr>
        <w:t>-</w:t>
      </w:r>
      <w:r w:rsidRPr="0001511E">
        <w:rPr>
          <w:rFonts w:asciiTheme="minorHAnsi" w:hAnsiTheme="minorHAnsi"/>
        </w:rPr>
        <w:t>pomiary i badania laboratoryjne,</w:t>
      </w:r>
    </w:p>
    <w:p w:rsidR="007A1748" w:rsidRPr="0001511E" w:rsidRDefault="007A1748" w:rsidP="007A1748">
      <w:pPr>
        <w:rPr>
          <w:rFonts w:asciiTheme="minorHAnsi" w:hAnsiTheme="minorHAnsi"/>
        </w:rPr>
      </w:pPr>
      <w:r>
        <w:rPr>
          <w:rFonts w:asciiTheme="minorHAnsi" w:hAnsiTheme="minorHAnsi"/>
        </w:rPr>
        <w:t>-</w:t>
      </w:r>
      <w:r w:rsidRPr="0001511E">
        <w:rPr>
          <w:rFonts w:asciiTheme="minorHAnsi" w:hAnsiTheme="minorHAnsi"/>
        </w:rPr>
        <w:t>odtransportowanie sprzętu z placu budowy.</w:t>
      </w:r>
    </w:p>
    <w:p w:rsidR="007A1748" w:rsidRDefault="007A1748" w:rsidP="007A1748">
      <w:pPr>
        <w:rPr>
          <w:rFonts w:asciiTheme="minorHAnsi" w:hAnsiTheme="minorHAnsi"/>
        </w:rPr>
      </w:pPr>
      <w:bookmarkStart w:id="1530" w:name="_Toc41966538"/>
    </w:p>
    <w:p w:rsidR="007A1748" w:rsidRPr="00AD7F53" w:rsidRDefault="007A1748" w:rsidP="007A1748">
      <w:pPr>
        <w:rPr>
          <w:rFonts w:asciiTheme="minorHAnsi" w:hAnsiTheme="minorHAnsi"/>
          <w:b/>
        </w:rPr>
      </w:pPr>
      <w:r w:rsidRPr="00AD7F53">
        <w:rPr>
          <w:rFonts w:asciiTheme="minorHAnsi" w:hAnsiTheme="minorHAnsi"/>
          <w:b/>
        </w:rPr>
        <w:t>10. PRZEPISY ZWIĄZANE</w:t>
      </w:r>
      <w:bookmarkEnd w:id="1530"/>
    </w:p>
    <w:p w:rsidR="007A1748" w:rsidRPr="0001511E" w:rsidRDefault="007A1748" w:rsidP="007A1748">
      <w:pPr>
        <w:rPr>
          <w:rFonts w:asciiTheme="minorHAnsi" w:hAnsiTheme="minorHAnsi"/>
        </w:rPr>
      </w:pPr>
      <w:r w:rsidRPr="00AD7F53">
        <w:rPr>
          <w:rFonts w:asciiTheme="minorHAnsi" w:hAnsiTheme="minorHAnsi"/>
          <w:b/>
        </w:rPr>
        <w:t>10.1.</w:t>
      </w:r>
      <w:r w:rsidRPr="0001511E">
        <w:rPr>
          <w:rFonts w:asciiTheme="minorHAnsi" w:hAnsiTheme="minorHAnsi"/>
        </w:rPr>
        <w:t xml:space="preserve"> Specyfikacje techniczne (ST)</w:t>
      </w:r>
    </w:p>
    <w:tbl>
      <w:tblPr>
        <w:tblW w:w="0" w:type="auto"/>
        <w:tblInd w:w="-214" w:type="dxa"/>
        <w:tblLayout w:type="fixed"/>
        <w:tblCellMar>
          <w:left w:w="70" w:type="dxa"/>
          <w:right w:w="70" w:type="dxa"/>
        </w:tblCellMar>
        <w:tblLook w:val="0000"/>
      </w:tblPr>
      <w:tblGrid>
        <w:gridCol w:w="496"/>
        <w:gridCol w:w="1945"/>
        <w:gridCol w:w="5069"/>
      </w:tblGrid>
      <w:tr w:rsidR="007A1748" w:rsidRPr="0001511E" w:rsidTr="00C26550">
        <w:tc>
          <w:tcPr>
            <w:tcW w:w="496" w:type="dxa"/>
          </w:tcPr>
          <w:p w:rsidR="007A1748" w:rsidRPr="0001511E" w:rsidRDefault="007A1748" w:rsidP="00C26550">
            <w:pPr>
              <w:jc w:val="right"/>
              <w:rPr>
                <w:rFonts w:asciiTheme="minorHAnsi" w:hAnsiTheme="minorHAnsi"/>
              </w:rPr>
            </w:pPr>
            <w:r w:rsidRPr="0001511E">
              <w:rPr>
                <w:rFonts w:asciiTheme="minorHAnsi" w:hAnsiTheme="minorHAnsi"/>
              </w:rPr>
              <w:t>1.</w:t>
            </w:r>
          </w:p>
        </w:tc>
        <w:tc>
          <w:tcPr>
            <w:tcW w:w="1945" w:type="dxa"/>
          </w:tcPr>
          <w:p w:rsidR="007A1748" w:rsidRPr="0001511E" w:rsidRDefault="007A1748" w:rsidP="00C26550">
            <w:pPr>
              <w:rPr>
                <w:rFonts w:asciiTheme="minorHAnsi" w:hAnsiTheme="minorHAnsi"/>
              </w:rPr>
            </w:pPr>
            <w:r w:rsidRPr="0001511E">
              <w:rPr>
                <w:rFonts w:asciiTheme="minorHAnsi" w:hAnsiTheme="minorHAnsi"/>
              </w:rPr>
              <w:t>D-M-00.00.00</w:t>
            </w:r>
          </w:p>
        </w:tc>
        <w:tc>
          <w:tcPr>
            <w:tcW w:w="5069" w:type="dxa"/>
          </w:tcPr>
          <w:p w:rsidR="007A1748" w:rsidRPr="0001511E" w:rsidRDefault="007A1748" w:rsidP="00C26550">
            <w:pPr>
              <w:rPr>
                <w:rFonts w:asciiTheme="minorHAnsi" w:hAnsiTheme="minorHAnsi"/>
              </w:rPr>
            </w:pPr>
            <w:r w:rsidRPr="0001511E">
              <w:rPr>
                <w:rFonts w:asciiTheme="minorHAnsi" w:hAnsiTheme="minorHAnsi"/>
              </w:rPr>
              <w:t>Wymagania ogólne</w:t>
            </w:r>
          </w:p>
        </w:tc>
      </w:tr>
      <w:tr w:rsidR="007A1748" w:rsidRPr="0001511E" w:rsidTr="00C26550">
        <w:tc>
          <w:tcPr>
            <w:tcW w:w="496" w:type="dxa"/>
          </w:tcPr>
          <w:p w:rsidR="007A1748" w:rsidRPr="0001511E" w:rsidRDefault="007A1748" w:rsidP="00C26550">
            <w:pPr>
              <w:jc w:val="right"/>
              <w:rPr>
                <w:rFonts w:asciiTheme="minorHAnsi" w:hAnsiTheme="minorHAnsi"/>
              </w:rPr>
            </w:pPr>
            <w:r w:rsidRPr="0001511E">
              <w:rPr>
                <w:rFonts w:asciiTheme="minorHAnsi" w:hAnsiTheme="minorHAnsi"/>
              </w:rPr>
              <w:t>2.</w:t>
            </w:r>
          </w:p>
        </w:tc>
        <w:tc>
          <w:tcPr>
            <w:tcW w:w="1945" w:type="dxa"/>
          </w:tcPr>
          <w:p w:rsidR="007A1748" w:rsidRPr="0001511E" w:rsidRDefault="007A1748" w:rsidP="00C26550">
            <w:pPr>
              <w:rPr>
                <w:rFonts w:asciiTheme="minorHAnsi" w:hAnsiTheme="minorHAnsi"/>
              </w:rPr>
            </w:pPr>
            <w:r w:rsidRPr="0001511E">
              <w:rPr>
                <w:rFonts w:asciiTheme="minorHAnsi" w:hAnsiTheme="minorHAnsi"/>
              </w:rPr>
              <w:t>D-04.03.01</w:t>
            </w:r>
          </w:p>
        </w:tc>
        <w:tc>
          <w:tcPr>
            <w:tcW w:w="5069" w:type="dxa"/>
          </w:tcPr>
          <w:p w:rsidR="007A1748" w:rsidRPr="0001511E" w:rsidRDefault="007A1748" w:rsidP="00C26550">
            <w:pPr>
              <w:rPr>
                <w:rFonts w:asciiTheme="minorHAnsi" w:hAnsiTheme="minorHAnsi"/>
              </w:rPr>
            </w:pPr>
            <w:r w:rsidRPr="0001511E">
              <w:rPr>
                <w:rFonts w:asciiTheme="minorHAnsi" w:hAnsiTheme="minorHAnsi"/>
              </w:rPr>
              <w:t>Oczyszczenie i skropienie warstw konstrukcyjnych</w:t>
            </w:r>
          </w:p>
        </w:tc>
      </w:tr>
      <w:tr w:rsidR="007A1748" w:rsidRPr="0001511E" w:rsidTr="00C26550">
        <w:tc>
          <w:tcPr>
            <w:tcW w:w="496" w:type="dxa"/>
          </w:tcPr>
          <w:p w:rsidR="007A1748" w:rsidRPr="0001511E" w:rsidRDefault="007A1748" w:rsidP="00C26550">
            <w:pPr>
              <w:jc w:val="right"/>
              <w:rPr>
                <w:rFonts w:asciiTheme="minorHAnsi" w:hAnsiTheme="minorHAnsi"/>
              </w:rPr>
            </w:pPr>
            <w:r w:rsidRPr="0001511E">
              <w:rPr>
                <w:rFonts w:asciiTheme="minorHAnsi" w:hAnsiTheme="minorHAnsi"/>
              </w:rPr>
              <w:t>3.</w:t>
            </w:r>
          </w:p>
        </w:tc>
        <w:tc>
          <w:tcPr>
            <w:tcW w:w="1945" w:type="dxa"/>
          </w:tcPr>
          <w:p w:rsidR="007A1748" w:rsidRPr="0001511E" w:rsidRDefault="007A1748" w:rsidP="00C26550">
            <w:pPr>
              <w:rPr>
                <w:rFonts w:asciiTheme="minorHAnsi" w:hAnsiTheme="minorHAnsi"/>
              </w:rPr>
            </w:pPr>
            <w:r w:rsidRPr="0001511E">
              <w:rPr>
                <w:rFonts w:asciiTheme="minorHAnsi" w:hAnsiTheme="minorHAnsi"/>
              </w:rPr>
              <w:t>D-05.03.05</w:t>
            </w:r>
          </w:p>
        </w:tc>
        <w:tc>
          <w:tcPr>
            <w:tcW w:w="5069" w:type="dxa"/>
          </w:tcPr>
          <w:p w:rsidR="007A1748" w:rsidRPr="0001511E" w:rsidRDefault="007A1748" w:rsidP="00C26550">
            <w:pPr>
              <w:rPr>
                <w:rFonts w:asciiTheme="minorHAnsi" w:hAnsiTheme="minorHAnsi"/>
              </w:rPr>
            </w:pPr>
            <w:r w:rsidRPr="0001511E">
              <w:rPr>
                <w:rFonts w:asciiTheme="minorHAnsi" w:hAnsiTheme="minorHAnsi"/>
              </w:rPr>
              <w:t>Nawierzchnia z betonu asfaltowego</w:t>
            </w:r>
          </w:p>
        </w:tc>
      </w:tr>
    </w:tbl>
    <w:p w:rsidR="007A1748" w:rsidRPr="0001511E" w:rsidRDefault="007A1748" w:rsidP="007A1748">
      <w:pPr>
        <w:rPr>
          <w:rFonts w:asciiTheme="minorHAnsi" w:hAnsiTheme="minorHAnsi"/>
        </w:rPr>
      </w:pPr>
      <w:r w:rsidRPr="00AD7F53">
        <w:rPr>
          <w:rFonts w:asciiTheme="minorHAnsi" w:hAnsiTheme="minorHAnsi"/>
          <w:b/>
        </w:rPr>
        <w:t>10.2.</w:t>
      </w:r>
      <w:r w:rsidRPr="0001511E">
        <w:rPr>
          <w:rFonts w:asciiTheme="minorHAnsi" w:hAnsiTheme="minorHAnsi"/>
        </w:rPr>
        <w:t xml:space="preserve"> Inne dokumenty</w:t>
      </w:r>
    </w:p>
    <w:p w:rsidR="007A1748" w:rsidRPr="0001511E" w:rsidRDefault="007A1748" w:rsidP="007A1748">
      <w:pPr>
        <w:rPr>
          <w:rFonts w:asciiTheme="minorHAnsi" w:hAnsiTheme="minorHAnsi"/>
        </w:rPr>
      </w:pPr>
      <w:r>
        <w:rPr>
          <w:rFonts w:asciiTheme="minorHAnsi" w:hAnsiTheme="minorHAnsi"/>
        </w:rPr>
        <w:t xml:space="preserve">4. </w:t>
      </w:r>
      <w:r w:rsidRPr="0001511E">
        <w:rPr>
          <w:rFonts w:asciiTheme="minorHAnsi" w:hAnsiTheme="minorHAnsi"/>
        </w:rPr>
        <w:t>Tymczasowe wytyczne techniczne. Polimeroasfalty drogowe. TWT-PAD-97. Informacje, instrukcje - zeszyt 54, IBDiM, Warszawa, 1997</w:t>
      </w:r>
    </w:p>
    <w:p w:rsidR="007A1748" w:rsidRPr="0001511E" w:rsidRDefault="007A1748" w:rsidP="007A1748">
      <w:pPr>
        <w:rPr>
          <w:rFonts w:asciiTheme="minorHAnsi" w:hAnsiTheme="minorHAnsi"/>
        </w:rPr>
      </w:pPr>
      <w:r>
        <w:rPr>
          <w:rFonts w:asciiTheme="minorHAnsi" w:hAnsiTheme="minorHAnsi"/>
        </w:rPr>
        <w:t xml:space="preserve">5. </w:t>
      </w:r>
      <w:r w:rsidRPr="0001511E">
        <w:rPr>
          <w:rFonts w:asciiTheme="minorHAnsi" w:hAnsiTheme="minorHAnsi"/>
        </w:rPr>
        <w:t>Warunki techniczne. Drogowe kationowe emulsje asfaltowe EmA-99. Informacje, instrukcje - zeszyt 60, IBDiM, Warszawa, 1999</w:t>
      </w:r>
    </w:p>
    <w:p w:rsidR="007A1748" w:rsidRPr="0001511E" w:rsidRDefault="007A1748" w:rsidP="007A1748">
      <w:pPr>
        <w:rPr>
          <w:rFonts w:asciiTheme="minorHAnsi" w:hAnsiTheme="minorHAnsi"/>
        </w:rPr>
      </w:pPr>
      <w:r>
        <w:rPr>
          <w:rFonts w:asciiTheme="minorHAnsi" w:hAnsiTheme="minorHAnsi"/>
        </w:rPr>
        <w:t xml:space="preserve">6. </w:t>
      </w:r>
      <w:r w:rsidRPr="0001511E">
        <w:rPr>
          <w:rFonts w:asciiTheme="minorHAnsi" w:hAnsiTheme="minorHAnsi"/>
        </w:rPr>
        <w:t>Katalog wzmocnień i remontów nawierzchni podatnych i półsztywnych,                    GDDP - IBDiM, Warszawa, 2001.</w:t>
      </w:r>
    </w:p>
    <w:p w:rsidR="007A1748" w:rsidRPr="0001511E" w:rsidRDefault="007A1748" w:rsidP="007A1748">
      <w:pPr>
        <w:rPr>
          <w:rFonts w:asciiTheme="minorHAnsi" w:hAnsiTheme="minorHAnsi"/>
        </w:rPr>
      </w:pPr>
    </w:p>
    <w:p w:rsidR="007A1748" w:rsidRDefault="007A1748" w:rsidP="007A1748">
      <w:pPr>
        <w:rPr>
          <w:rFonts w:asciiTheme="minorHAnsi" w:hAnsiTheme="minorHAnsi"/>
        </w:rPr>
      </w:pPr>
    </w:p>
    <w:p w:rsidR="007A1748" w:rsidRDefault="007A1748" w:rsidP="007A1748">
      <w:pPr>
        <w:rPr>
          <w:rFonts w:asciiTheme="minorHAnsi" w:hAnsiTheme="minorHAnsi"/>
        </w:rPr>
      </w:pPr>
    </w:p>
    <w:p w:rsidR="007A1748" w:rsidRDefault="007A1748" w:rsidP="007A1748">
      <w:pPr>
        <w:rPr>
          <w:rFonts w:asciiTheme="minorHAnsi" w:hAnsiTheme="minorHAnsi"/>
        </w:rPr>
      </w:pPr>
    </w:p>
    <w:p w:rsidR="007A1748" w:rsidRDefault="007A1748" w:rsidP="007A1748">
      <w:pPr>
        <w:rPr>
          <w:rFonts w:asciiTheme="minorHAnsi" w:hAnsiTheme="minorHAnsi"/>
        </w:rPr>
      </w:pPr>
    </w:p>
    <w:p w:rsidR="007A1748" w:rsidRDefault="007A1748" w:rsidP="007A1748">
      <w:pPr>
        <w:rPr>
          <w:rFonts w:asciiTheme="minorHAnsi" w:hAnsiTheme="minorHAnsi"/>
        </w:rPr>
      </w:pPr>
    </w:p>
    <w:p w:rsidR="007A1748" w:rsidRPr="0001511E" w:rsidRDefault="007A1748" w:rsidP="007A1748">
      <w:pPr>
        <w:rPr>
          <w:rFonts w:asciiTheme="minorHAnsi" w:hAnsiTheme="minorHAnsi"/>
        </w:rPr>
      </w:pPr>
    </w:p>
    <w:p w:rsidR="007A1748" w:rsidRPr="00AD7F53" w:rsidRDefault="007A1748" w:rsidP="007A1748">
      <w:pPr>
        <w:rPr>
          <w:rFonts w:asciiTheme="minorHAnsi" w:hAnsiTheme="minorHAnsi"/>
          <w:b/>
        </w:rPr>
      </w:pPr>
      <w:r>
        <w:rPr>
          <w:rFonts w:asciiTheme="minorHAnsi" w:hAnsiTheme="minorHAnsi"/>
          <w:b/>
        </w:rPr>
        <w:lastRenderedPageBreak/>
        <w:t xml:space="preserve">11. </w:t>
      </w:r>
      <w:r w:rsidRPr="00AD7F53">
        <w:rPr>
          <w:rFonts w:asciiTheme="minorHAnsi" w:hAnsiTheme="minorHAnsi"/>
          <w:b/>
        </w:rPr>
        <w:t>ZAŁĄCZNIKI</w:t>
      </w:r>
    </w:p>
    <w:p w:rsidR="007A1748" w:rsidRPr="0001511E" w:rsidRDefault="007A1748" w:rsidP="007A1748">
      <w:pPr>
        <w:rPr>
          <w:rFonts w:asciiTheme="minorHAnsi" w:hAnsiTheme="minorHAnsi"/>
        </w:rPr>
      </w:pPr>
    </w:p>
    <w:p w:rsidR="007A1748" w:rsidRPr="0001511E" w:rsidRDefault="007A1748" w:rsidP="007A1748">
      <w:pPr>
        <w:rPr>
          <w:rFonts w:asciiTheme="minorHAnsi" w:hAnsiTheme="minorHAnsi"/>
        </w:rPr>
      </w:pPr>
      <w:r w:rsidRPr="0001511E">
        <w:rPr>
          <w:rFonts w:asciiTheme="minorHAnsi" w:hAnsiTheme="minorHAnsi"/>
        </w:rPr>
        <w:t>ZAŁĄCZNIK 1</w:t>
      </w:r>
    </w:p>
    <w:p w:rsidR="007A1748" w:rsidRPr="0001511E" w:rsidRDefault="007A1748" w:rsidP="007A1748">
      <w:pPr>
        <w:rPr>
          <w:rFonts w:asciiTheme="minorHAnsi" w:hAnsiTheme="minorHAnsi"/>
        </w:rPr>
      </w:pPr>
    </w:p>
    <w:p w:rsidR="007A1748" w:rsidRPr="0001511E" w:rsidRDefault="007A1748" w:rsidP="007A1748">
      <w:pPr>
        <w:rPr>
          <w:rFonts w:asciiTheme="minorHAnsi" w:hAnsiTheme="minorHAnsi"/>
        </w:rPr>
      </w:pPr>
      <w:r w:rsidRPr="0001511E">
        <w:rPr>
          <w:rFonts w:asciiTheme="minorHAnsi" w:hAnsiTheme="minorHAnsi"/>
        </w:rPr>
        <w:t>PRZYKŁADY   GEOSIATEK</w:t>
      </w:r>
    </w:p>
    <w:p w:rsidR="007A1748" w:rsidRDefault="007A1748" w:rsidP="007A1748">
      <w:pPr>
        <w:jc w:val="center"/>
      </w:pPr>
    </w:p>
    <w:tbl>
      <w:tblPr>
        <w:tblW w:w="0" w:type="auto"/>
        <w:tblLayout w:type="fixed"/>
        <w:tblCellMar>
          <w:left w:w="70" w:type="dxa"/>
          <w:right w:w="70" w:type="dxa"/>
        </w:tblCellMar>
        <w:tblLook w:val="0000"/>
      </w:tblPr>
      <w:tblGrid>
        <w:gridCol w:w="3755"/>
        <w:gridCol w:w="3755"/>
      </w:tblGrid>
      <w:tr w:rsidR="007A1748" w:rsidRPr="0001511E" w:rsidTr="00C26550">
        <w:tc>
          <w:tcPr>
            <w:tcW w:w="3755" w:type="dxa"/>
          </w:tcPr>
          <w:p w:rsidR="007A1748" w:rsidRPr="0001511E" w:rsidRDefault="007A1748" w:rsidP="00C26550">
            <w:pPr>
              <w:jc w:val="center"/>
              <w:rPr>
                <w:rFonts w:asciiTheme="minorHAnsi" w:hAnsiTheme="minorHAnsi"/>
              </w:rPr>
            </w:pPr>
            <w:r w:rsidRPr="0001511E">
              <w:rPr>
                <w:rFonts w:asciiTheme="minorHAnsi" w:hAnsiTheme="minorHAnsi"/>
              </w:rPr>
              <w:t xml:space="preserve">Siatka przeplatana w węzłach </w:t>
            </w:r>
          </w:p>
          <w:p w:rsidR="007A1748" w:rsidRPr="0001511E" w:rsidRDefault="007A1748" w:rsidP="00C26550">
            <w:pPr>
              <w:jc w:val="center"/>
              <w:rPr>
                <w:rFonts w:asciiTheme="minorHAnsi" w:hAnsiTheme="minorHAnsi"/>
              </w:rPr>
            </w:pPr>
            <w:r w:rsidRPr="0001511E">
              <w:rPr>
                <w:rFonts w:asciiTheme="minorHAnsi" w:hAnsiTheme="minorHAnsi"/>
              </w:rPr>
              <w:t>z wiązki włókien syntetycznych</w:t>
            </w:r>
          </w:p>
        </w:tc>
        <w:tc>
          <w:tcPr>
            <w:tcW w:w="3755" w:type="dxa"/>
          </w:tcPr>
          <w:p w:rsidR="007A1748" w:rsidRPr="0001511E" w:rsidRDefault="007A1748" w:rsidP="00C26550">
            <w:pPr>
              <w:jc w:val="center"/>
              <w:rPr>
                <w:rFonts w:asciiTheme="minorHAnsi" w:hAnsiTheme="minorHAnsi"/>
              </w:rPr>
            </w:pPr>
            <w:r w:rsidRPr="0001511E">
              <w:rPr>
                <w:rFonts w:asciiTheme="minorHAnsi" w:hAnsiTheme="minorHAnsi"/>
              </w:rPr>
              <w:t>Siatka ciągniona polipropylenowa</w:t>
            </w:r>
          </w:p>
        </w:tc>
      </w:tr>
      <w:tr w:rsidR="007A1748" w:rsidRPr="0001511E" w:rsidTr="00C26550">
        <w:tc>
          <w:tcPr>
            <w:tcW w:w="3755" w:type="dxa"/>
          </w:tcPr>
          <w:p w:rsidR="007A1748" w:rsidRPr="0001511E" w:rsidRDefault="007A1748" w:rsidP="00C26550">
            <w:pPr>
              <w:jc w:val="center"/>
              <w:rPr>
                <w:rFonts w:asciiTheme="minorHAnsi" w:hAnsiTheme="minorHAnsi"/>
              </w:rPr>
            </w:pPr>
            <w:r>
              <w:rPr>
                <w:rFonts w:asciiTheme="minorHAnsi" w:hAnsiTheme="minorHAnsi"/>
                <w:noProof/>
              </w:rPr>
              <w:drawing>
                <wp:inline distT="0" distB="0" distL="0" distR="0">
                  <wp:extent cx="2113915" cy="1555750"/>
                  <wp:effectExtent l="19050" t="0" r="635" b="0"/>
                  <wp:docPr id="28" name="Obraz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pic:cNvPicPr>
                            <a:picLocks noChangeAspect="1" noChangeArrowheads="1"/>
                          </pic:cNvPicPr>
                        </pic:nvPicPr>
                        <pic:blipFill>
                          <a:blip r:embed="rId84" cstate="print"/>
                          <a:srcRect/>
                          <a:stretch>
                            <a:fillRect/>
                          </a:stretch>
                        </pic:blipFill>
                        <pic:spPr bwMode="auto">
                          <a:xfrm>
                            <a:off x="0" y="0"/>
                            <a:ext cx="2113915" cy="1555750"/>
                          </a:xfrm>
                          <a:prstGeom prst="rect">
                            <a:avLst/>
                          </a:prstGeom>
                          <a:noFill/>
                          <a:ln w="9525">
                            <a:noFill/>
                            <a:miter lim="800000"/>
                            <a:headEnd/>
                            <a:tailEnd/>
                          </a:ln>
                        </pic:spPr>
                      </pic:pic>
                    </a:graphicData>
                  </a:graphic>
                </wp:inline>
              </w:drawing>
            </w:r>
          </w:p>
        </w:tc>
        <w:tc>
          <w:tcPr>
            <w:tcW w:w="3755" w:type="dxa"/>
          </w:tcPr>
          <w:p w:rsidR="007A1748" w:rsidRPr="0001511E" w:rsidRDefault="007A1748" w:rsidP="00C26550">
            <w:pPr>
              <w:jc w:val="center"/>
              <w:rPr>
                <w:rFonts w:asciiTheme="minorHAnsi" w:hAnsiTheme="minorHAnsi"/>
              </w:rPr>
            </w:pPr>
          </w:p>
          <w:p w:rsidR="007A1748" w:rsidRPr="0001511E" w:rsidRDefault="007A1748" w:rsidP="00C26550">
            <w:pPr>
              <w:jc w:val="center"/>
              <w:rPr>
                <w:rFonts w:asciiTheme="minorHAnsi" w:hAnsiTheme="minorHAnsi"/>
              </w:rPr>
            </w:pPr>
            <w:r>
              <w:rPr>
                <w:rFonts w:asciiTheme="minorHAnsi" w:hAnsiTheme="minorHAnsi"/>
                <w:noProof/>
              </w:rPr>
              <w:drawing>
                <wp:inline distT="0" distB="0" distL="0" distR="0">
                  <wp:extent cx="2149475" cy="1021080"/>
                  <wp:effectExtent l="19050" t="0" r="3175" b="0"/>
                  <wp:docPr id="27" name="Obraz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pic:cNvPicPr>
                            <a:picLocks noChangeAspect="1" noChangeArrowheads="1"/>
                          </pic:cNvPicPr>
                        </pic:nvPicPr>
                        <pic:blipFill>
                          <a:blip r:embed="rId85" cstate="print"/>
                          <a:srcRect/>
                          <a:stretch>
                            <a:fillRect/>
                          </a:stretch>
                        </pic:blipFill>
                        <pic:spPr bwMode="auto">
                          <a:xfrm>
                            <a:off x="0" y="0"/>
                            <a:ext cx="2149475" cy="1021080"/>
                          </a:xfrm>
                          <a:prstGeom prst="rect">
                            <a:avLst/>
                          </a:prstGeom>
                          <a:noFill/>
                          <a:ln w="9525">
                            <a:noFill/>
                            <a:miter lim="800000"/>
                            <a:headEnd/>
                            <a:tailEnd/>
                          </a:ln>
                        </pic:spPr>
                      </pic:pic>
                    </a:graphicData>
                  </a:graphic>
                </wp:inline>
              </w:drawing>
            </w:r>
          </w:p>
        </w:tc>
      </w:tr>
    </w:tbl>
    <w:p w:rsidR="007A1748" w:rsidRDefault="007A1748" w:rsidP="007A1748"/>
    <w:p w:rsidR="007A1748" w:rsidRPr="0001511E" w:rsidRDefault="007A1748" w:rsidP="007A1748">
      <w:pPr>
        <w:rPr>
          <w:rFonts w:asciiTheme="minorHAnsi" w:hAnsiTheme="minorHAnsi"/>
        </w:rPr>
      </w:pPr>
    </w:p>
    <w:p w:rsidR="007A1748" w:rsidRPr="0001511E" w:rsidRDefault="007A1748" w:rsidP="007A1748">
      <w:pPr>
        <w:rPr>
          <w:rFonts w:asciiTheme="minorHAnsi" w:hAnsiTheme="minorHAnsi"/>
        </w:rPr>
      </w:pPr>
    </w:p>
    <w:p w:rsidR="007A1748" w:rsidRPr="0001511E" w:rsidRDefault="007A1748" w:rsidP="007A1748">
      <w:pPr>
        <w:rPr>
          <w:rFonts w:asciiTheme="minorHAnsi" w:hAnsiTheme="minorHAnsi"/>
        </w:rPr>
      </w:pPr>
    </w:p>
    <w:p w:rsidR="007A1748" w:rsidRPr="0001511E" w:rsidRDefault="007A1748" w:rsidP="007A1748">
      <w:pPr>
        <w:rPr>
          <w:rFonts w:asciiTheme="minorHAnsi" w:hAnsiTheme="minorHAnsi"/>
        </w:rPr>
      </w:pPr>
      <w:r w:rsidRPr="0001511E">
        <w:rPr>
          <w:rFonts w:asciiTheme="minorHAnsi" w:hAnsiTheme="minorHAnsi"/>
        </w:rPr>
        <w:t>ZAŁĄCZNIK 2</w:t>
      </w:r>
    </w:p>
    <w:p w:rsidR="007A1748" w:rsidRPr="0001511E" w:rsidRDefault="007A1748" w:rsidP="007A1748">
      <w:pPr>
        <w:rPr>
          <w:rFonts w:asciiTheme="minorHAnsi" w:hAnsiTheme="minorHAnsi"/>
        </w:rPr>
      </w:pPr>
    </w:p>
    <w:p w:rsidR="007A1748" w:rsidRPr="0001511E" w:rsidRDefault="007A1748" w:rsidP="007A1748">
      <w:pPr>
        <w:rPr>
          <w:rFonts w:asciiTheme="minorHAnsi" w:hAnsiTheme="minorHAnsi"/>
        </w:rPr>
      </w:pPr>
      <w:r w:rsidRPr="0001511E">
        <w:rPr>
          <w:rFonts w:asciiTheme="minorHAnsi" w:hAnsiTheme="minorHAnsi"/>
        </w:rPr>
        <w:t>ZASADY   WYBORU   GEOSIATKI   DO   ROBÓT   NAWIERZCHNIOWYCH</w:t>
      </w:r>
    </w:p>
    <w:p w:rsidR="007A1748" w:rsidRPr="0001511E" w:rsidRDefault="007A1748" w:rsidP="007A1748">
      <w:pPr>
        <w:rPr>
          <w:rFonts w:asciiTheme="minorHAnsi" w:hAnsiTheme="minorHAnsi"/>
        </w:rPr>
      </w:pPr>
    </w:p>
    <w:p w:rsidR="007A1748" w:rsidRPr="0001511E" w:rsidRDefault="007A1748" w:rsidP="007A1748">
      <w:pPr>
        <w:rPr>
          <w:rFonts w:asciiTheme="minorHAnsi" w:hAnsiTheme="minorHAnsi"/>
        </w:rPr>
      </w:pPr>
      <w:r w:rsidRPr="0001511E">
        <w:rPr>
          <w:rFonts w:asciiTheme="minorHAnsi" w:hAnsiTheme="minorHAnsi"/>
        </w:rPr>
        <w:tab/>
        <w:t>Zaleca się stosowanie geosyntetyków do robót wzmacniających nawierzchnie asfaltowe, gdy:</w:t>
      </w:r>
    </w:p>
    <w:p w:rsidR="007A1748" w:rsidRPr="0001511E" w:rsidRDefault="007A1748" w:rsidP="007A1748">
      <w:pPr>
        <w:rPr>
          <w:rFonts w:asciiTheme="minorHAnsi" w:hAnsiTheme="minorHAnsi"/>
        </w:rPr>
      </w:pPr>
      <w:r w:rsidRPr="0001511E">
        <w:rPr>
          <w:rFonts w:asciiTheme="minorHAnsi" w:hAnsiTheme="minorHAnsi"/>
        </w:rPr>
        <w:t>można spodziewać się, że technologie tradycyjne (bez geosyntetyków) nie spełnią swoich zadań,</w:t>
      </w:r>
    </w:p>
    <w:p w:rsidR="007A1748" w:rsidRPr="0001511E" w:rsidRDefault="007A1748" w:rsidP="007A1748">
      <w:pPr>
        <w:rPr>
          <w:rFonts w:asciiTheme="minorHAnsi" w:hAnsiTheme="minorHAnsi"/>
        </w:rPr>
      </w:pPr>
      <w:r w:rsidRPr="0001511E">
        <w:rPr>
          <w:rFonts w:asciiTheme="minorHAnsi" w:hAnsiTheme="minorHAnsi"/>
        </w:rPr>
        <w:t>występuje stosunkowo duże obciążenie drogi, dla którego wymagany jest długi okres pomiędzy remontami (przy zastosowaniu geosyntetyków można zakładać czas eksploatacji nawierzchni 10 - 12 lat).</w:t>
      </w:r>
    </w:p>
    <w:p w:rsidR="007A1748" w:rsidRPr="0001511E" w:rsidRDefault="007A1748" w:rsidP="007A1748">
      <w:pPr>
        <w:rPr>
          <w:rFonts w:asciiTheme="minorHAnsi" w:hAnsiTheme="minorHAnsi"/>
        </w:rPr>
      </w:pPr>
      <w:r w:rsidRPr="0001511E">
        <w:rPr>
          <w:rFonts w:asciiTheme="minorHAnsi" w:hAnsiTheme="minorHAnsi"/>
        </w:rPr>
        <w:tab/>
        <w:t>Geosiatkę wybiera się (zamiast np. geowłóknin), gdy ma związać się z materiałem asfaltowym i będzie pracować jak „zbrojenie”, nadając nawierzchni nowe parametry wytrzymałościowe na rozciąganie i lepszy rozkład naprężeń (przekazywanie naprężeń rozciągających ze spękanej warstwy asfaltowej na geosiatkę). Geosiatki przydatne są szczególnie przy opóźnieniu powstawania spękań odbitych, kolein itp.</w:t>
      </w:r>
    </w:p>
    <w:p w:rsidR="007A1748" w:rsidRPr="0001511E" w:rsidRDefault="007A1748" w:rsidP="007A1748">
      <w:pPr>
        <w:rPr>
          <w:rFonts w:asciiTheme="minorHAnsi" w:hAnsiTheme="minorHAnsi"/>
        </w:rPr>
      </w:pPr>
      <w:r w:rsidRPr="0001511E">
        <w:rPr>
          <w:rFonts w:asciiTheme="minorHAnsi" w:hAnsiTheme="minorHAnsi"/>
        </w:rPr>
        <w:tab/>
        <w:t>Geosiatka może być realnie traktowana jako zbrojenie, jeżeli moduł sprężystości (sztywność) geosiatki będzie wyższy od modułu sztywności warstwy asfaltowej; należy przy tym uwzględniać, że moduł sztywności warstwy asfaltowej zmienia się w zależności od temperatury i w procesie spękania warstwy.</w:t>
      </w:r>
    </w:p>
    <w:p w:rsidR="007A1748" w:rsidRPr="0001511E" w:rsidRDefault="007A1748" w:rsidP="007A1748">
      <w:pPr>
        <w:rPr>
          <w:rFonts w:asciiTheme="minorHAnsi" w:hAnsiTheme="minorHAnsi"/>
        </w:rPr>
      </w:pPr>
      <w:r w:rsidRPr="0001511E">
        <w:rPr>
          <w:rFonts w:asciiTheme="minorHAnsi" w:hAnsiTheme="minorHAnsi"/>
        </w:rPr>
        <w:tab/>
        <w:t>Do produkcji geosyntetyków przeznaczonych do wzmocnień nawierzchni drogowych używa się polimerów syntetycznych, o odpowiednio wysokich parametrach wytrzymałościowych oraz odpornych na podniesione temperatury (tj. temperatury asfaltowych warstw wzmacniających, układanych na geosyntetykach). Najczęściej stosowanymi są polipropylen, polietylen i poliester.</w:t>
      </w:r>
    </w:p>
    <w:p w:rsidR="007A1748" w:rsidRPr="0001511E" w:rsidRDefault="007A1748" w:rsidP="007A1748">
      <w:pPr>
        <w:rPr>
          <w:rFonts w:asciiTheme="minorHAnsi" w:hAnsiTheme="minorHAnsi"/>
        </w:rPr>
      </w:pPr>
      <w:r w:rsidRPr="0001511E">
        <w:rPr>
          <w:rFonts w:asciiTheme="minorHAnsi" w:hAnsiTheme="minorHAnsi"/>
        </w:rPr>
        <w:tab/>
        <w:t>Geosiatki polipropylenowe i polietylenowe są siatkami wykonanymi najczęściej metodą odlewu, z zakotwieniami na węzłach, o dosyć dużej płaszczyźnie i masie własnej, bywają niejednokrotnie utwardzane (dla polepszenia modułu sztywności). Metoda odlewu pozwala na uzyskanie dużych płaszczyzn  i wykonanie ostrych brzegów siatki, co poprawia jej zdolność kotwienia. Odporne są na działanie wodnych roztworów kwasów, zasad, soli i benzyn w temperaturze otoczenia. Odporne są również na hydrolizę i niszczenie.</w:t>
      </w:r>
    </w:p>
    <w:p w:rsidR="007A1748" w:rsidRPr="0001511E" w:rsidRDefault="007A1748" w:rsidP="007A1748">
      <w:pPr>
        <w:rPr>
          <w:rFonts w:asciiTheme="minorHAnsi" w:hAnsiTheme="minorHAnsi"/>
        </w:rPr>
      </w:pPr>
      <w:r w:rsidRPr="0001511E">
        <w:rPr>
          <w:rFonts w:asciiTheme="minorHAnsi" w:hAnsiTheme="minorHAnsi"/>
        </w:rPr>
        <w:tab/>
        <w:t>Geosiatki poliestrowe są zwykle wytwarzane metodą tkaną z wysokowytrzymałego poliestru z otoczką np. z PVC, o dużej odporności chemicznej na występujące kwasy, zasady i substancje organiczne. Główne zalety poliestru to wysoki moduł elastyczności i wysoka wytrzymałość. W porównaniu do siatek polipropylenowych i polietylenowych poliester charakteryzuje się wyższą wytrzymałością na rozciąganie i mniejszą skłonnością do pełzania. Powłoka PVC skleja nitki poliestru i stabilizuje w ten sposób konstrukcję siatki (ochrona przed przesunięciem) i zwiększa wytrzymałość na węzłach. Posiadają wysoką wytrzymałość, gdyż przy niewielkim wydłużeniu - przejęcie siły następuje natychmiast.</w:t>
      </w:r>
    </w:p>
    <w:p w:rsidR="007A1748" w:rsidRPr="0001511E" w:rsidRDefault="007A1748" w:rsidP="007A1748">
      <w:pPr>
        <w:rPr>
          <w:rFonts w:asciiTheme="minorHAnsi" w:hAnsiTheme="minorHAnsi"/>
        </w:rPr>
      </w:pPr>
    </w:p>
    <w:p w:rsidR="007A1748" w:rsidRPr="0001511E" w:rsidRDefault="007A1748" w:rsidP="007A1748">
      <w:pPr>
        <w:rPr>
          <w:rFonts w:asciiTheme="minorHAnsi" w:hAnsiTheme="minorHAnsi"/>
        </w:rPr>
      </w:pPr>
    </w:p>
    <w:p w:rsidR="007A1748" w:rsidRDefault="007A1748" w:rsidP="007A1748">
      <w:pPr>
        <w:rPr>
          <w:rFonts w:asciiTheme="minorHAnsi" w:hAnsiTheme="minorHAnsi"/>
        </w:rPr>
      </w:pPr>
    </w:p>
    <w:p w:rsidR="007A1748" w:rsidRPr="0001511E" w:rsidRDefault="007A1748" w:rsidP="007A1748">
      <w:pPr>
        <w:rPr>
          <w:rFonts w:asciiTheme="minorHAnsi" w:hAnsiTheme="minorHAnsi"/>
        </w:rPr>
      </w:pPr>
    </w:p>
    <w:p w:rsidR="007A1748" w:rsidRPr="0001511E" w:rsidRDefault="007A1748" w:rsidP="007A1748">
      <w:pPr>
        <w:rPr>
          <w:rFonts w:asciiTheme="minorHAnsi" w:hAnsiTheme="minorHAnsi"/>
        </w:rPr>
      </w:pPr>
      <w:r w:rsidRPr="0001511E">
        <w:rPr>
          <w:rFonts w:asciiTheme="minorHAnsi" w:hAnsiTheme="minorHAnsi"/>
        </w:rPr>
        <w:lastRenderedPageBreak/>
        <w:t>ZAŁĄCZNIK 3</w:t>
      </w:r>
    </w:p>
    <w:p w:rsidR="007A1748" w:rsidRPr="0001511E" w:rsidRDefault="007A1748" w:rsidP="007A1748">
      <w:pPr>
        <w:rPr>
          <w:rFonts w:asciiTheme="minorHAnsi" w:hAnsiTheme="minorHAnsi"/>
        </w:rPr>
      </w:pPr>
    </w:p>
    <w:p w:rsidR="007A1748" w:rsidRPr="0001511E" w:rsidRDefault="007A1748" w:rsidP="007A1748">
      <w:pPr>
        <w:rPr>
          <w:rFonts w:asciiTheme="minorHAnsi" w:hAnsiTheme="minorHAnsi"/>
        </w:rPr>
      </w:pPr>
      <w:r w:rsidRPr="0001511E">
        <w:rPr>
          <w:rFonts w:asciiTheme="minorHAnsi" w:hAnsiTheme="minorHAnsi"/>
        </w:rPr>
        <w:t>FUNKCJE   GEOSIATKI   W   NAWIERZCHNI   ASFALTOWEJ</w:t>
      </w:r>
    </w:p>
    <w:p w:rsidR="007A1748" w:rsidRPr="0001511E" w:rsidRDefault="007A1748" w:rsidP="007A1748">
      <w:pPr>
        <w:rPr>
          <w:rFonts w:asciiTheme="minorHAnsi" w:hAnsiTheme="minorHAnsi"/>
        </w:rPr>
      </w:pPr>
    </w:p>
    <w:p w:rsidR="007A1748" w:rsidRPr="0001511E" w:rsidRDefault="007A1748" w:rsidP="007A1748">
      <w:pPr>
        <w:rPr>
          <w:rFonts w:asciiTheme="minorHAnsi" w:hAnsiTheme="minorHAnsi"/>
        </w:rPr>
      </w:pPr>
      <w:r w:rsidRPr="0001511E">
        <w:rPr>
          <w:rFonts w:asciiTheme="minorHAnsi" w:hAnsiTheme="minorHAnsi"/>
        </w:rPr>
        <w:t>Zasada stosowania geosiatek</w:t>
      </w:r>
    </w:p>
    <w:p w:rsidR="007A1748" w:rsidRPr="0001511E" w:rsidRDefault="007A1748" w:rsidP="007A1748">
      <w:pPr>
        <w:rPr>
          <w:rFonts w:asciiTheme="minorHAnsi" w:hAnsiTheme="minorHAnsi"/>
        </w:rPr>
      </w:pPr>
      <w:r w:rsidRPr="0001511E">
        <w:rPr>
          <w:rFonts w:asciiTheme="minorHAnsi" w:hAnsiTheme="minorHAnsi"/>
        </w:rPr>
        <w:tab/>
        <w:t>Podstawową zasadą w stosowaniu geosiatek jest układanie ich na warstwie betonowej, stabilizowanej cementem, popękanej starej nawierzchni asfaltowej i pomiędzy nowymi warstwami asfaltowymi. Skropienie lepiszczem powierzchni warstwy jest wymagane tylko gdy dolna warstwa wykazuje brak dostatecznej zawartości asfaltu. Dobra adhezja pomiędzy istniejącą nawierzchnią i warstwami wzmacniającymi oraz pomiędzy siatką a towarzyszącymi jej warstwami jest zasadniczym warunkiem prawidłowej pracy całego układu. Geosiatki po ułożeniu powinny być naciągnięte i końce ich przybite.</w:t>
      </w:r>
    </w:p>
    <w:p w:rsidR="007A1748" w:rsidRPr="0001511E" w:rsidRDefault="007A1748" w:rsidP="007A1748">
      <w:pPr>
        <w:rPr>
          <w:rFonts w:asciiTheme="minorHAnsi" w:hAnsiTheme="minorHAnsi"/>
        </w:rPr>
      </w:pPr>
      <w:r w:rsidRPr="0001511E">
        <w:rPr>
          <w:rFonts w:asciiTheme="minorHAnsi" w:hAnsiTheme="minorHAnsi"/>
        </w:rPr>
        <w:t>Opóźnienie powstawania spękań odbitych</w:t>
      </w:r>
    </w:p>
    <w:p w:rsidR="007A1748" w:rsidRPr="0001511E" w:rsidRDefault="007A1748" w:rsidP="007A1748">
      <w:pPr>
        <w:rPr>
          <w:rFonts w:asciiTheme="minorHAnsi" w:hAnsiTheme="minorHAnsi"/>
        </w:rPr>
      </w:pPr>
      <w:r w:rsidRPr="0001511E">
        <w:rPr>
          <w:rFonts w:asciiTheme="minorHAnsi" w:hAnsiTheme="minorHAnsi"/>
        </w:rPr>
        <w:tab/>
        <w:t>Główną funkcją geosiatek jest opóźnianie pojawiania się spękań odbitych. Realizowane jest to przez przejmowanie naprężeń i redukcję ich wielkości w wyniku pełzania materiału siatki.</w:t>
      </w:r>
    </w:p>
    <w:p w:rsidR="007A1748" w:rsidRPr="0001511E" w:rsidRDefault="007A1748" w:rsidP="007A1748">
      <w:pPr>
        <w:rPr>
          <w:rFonts w:asciiTheme="minorHAnsi" w:hAnsiTheme="minorHAnsi"/>
        </w:rPr>
      </w:pPr>
      <w:r w:rsidRPr="0001511E">
        <w:rPr>
          <w:rFonts w:asciiTheme="minorHAnsi" w:hAnsiTheme="minorHAnsi"/>
        </w:rPr>
        <w:tab/>
        <w:t>Mieszanki mineralno-asfaltowe układane w nawierzchni pracują w warunkach obciążeń krótkotrwałych (obciążenia od pojazdów poruszających się z dużą prędkością), oraz obciążeń o dłuższym czasie trwania (obciążenia od pojazdów stojących lub poruszających się wolno, zmiany termiczne, osiadania). Dla krótkotrwałych obciążeń moduł dynamiczny, zależnie od temperatury, zmienia się w orientacyjnych granicach od 0,1 do       10 GPa i spękania określane jako zmęczeniowe mogą nastąpić przy niewielkich wydłużeniach, poniżej 0,1%, zachodzących w strefie odkształceń sprężystych. Dla dłużej trwających obciążeń wywołujących zjawisko pełzania, spękania pojawiają się przy wydłużeniach 1-2%. W warstwach asfaltowych naprężenia ściskające przenoszone są przez kruszywo mineralne, naprężenia rozciągające przez lepiszcze asfaltowe, zatem spękania zmęczeniowe indukowane są w asfalcie,</w:t>
      </w:r>
    </w:p>
    <w:p w:rsidR="007A1748" w:rsidRPr="0001511E" w:rsidRDefault="007A1748" w:rsidP="007A1748">
      <w:pPr>
        <w:rPr>
          <w:rFonts w:asciiTheme="minorHAnsi" w:hAnsiTheme="minorHAnsi"/>
        </w:rPr>
      </w:pPr>
      <w:r w:rsidRPr="0001511E">
        <w:rPr>
          <w:rFonts w:asciiTheme="minorHAnsi" w:hAnsiTheme="minorHAnsi"/>
        </w:rPr>
        <w:tab/>
        <w:t>Geosiatki opóźniają propagację spękań przez przejmowanie naprężeń rozciągających w momencie, kiedy naprężenia rozciągające przy lokalnych, maksymalnych wydłużeniach są bliskie dopuszczalnej granicy dla lepiszcza asfaltowego.</w:t>
      </w:r>
    </w:p>
    <w:p w:rsidR="007A1748" w:rsidRPr="0001511E" w:rsidRDefault="007A1748" w:rsidP="007A1748">
      <w:pPr>
        <w:rPr>
          <w:rFonts w:asciiTheme="minorHAnsi" w:hAnsiTheme="minorHAnsi"/>
        </w:rPr>
      </w:pPr>
      <w:r w:rsidRPr="0001511E">
        <w:rPr>
          <w:rFonts w:asciiTheme="minorHAnsi" w:hAnsiTheme="minorHAnsi"/>
        </w:rPr>
        <w:t>Opóźnianie tworzenia się kolein</w:t>
      </w:r>
    </w:p>
    <w:p w:rsidR="007A1748" w:rsidRPr="0001511E" w:rsidRDefault="007A1748" w:rsidP="007A1748">
      <w:pPr>
        <w:rPr>
          <w:rFonts w:asciiTheme="minorHAnsi" w:hAnsiTheme="minorHAnsi"/>
        </w:rPr>
      </w:pPr>
      <w:r w:rsidRPr="0001511E">
        <w:rPr>
          <w:rFonts w:asciiTheme="minorHAnsi" w:hAnsiTheme="minorHAnsi"/>
        </w:rPr>
        <w:tab/>
        <w:t>Geosiatki ułożone poprawnie, tj. naciągnięte i przymocowane stalowymi kołkami, ułożone na głębokości min. 50 mm poniżej powierzchni jezdni, przeciwdziałają nadmiernym naprężeniom ścinającym, wywołującym powstawanie kolein z towarzyszącym temu bocznym przesunięciem i wypychaniem materiału warstwy do góry.</w:t>
      </w:r>
    </w:p>
    <w:p w:rsidR="007A1748" w:rsidRPr="0001511E" w:rsidRDefault="007A1748" w:rsidP="007A1748">
      <w:pPr>
        <w:rPr>
          <w:rFonts w:asciiTheme="minorHAnsi" w:hAnsiTheme="minorHAnsi"/>
        </w:rPr>
      </w:pPr>
    </w:p>
    <w:p w:rsidR="007A1748" w:rsidRDefault="007A1748" w:rsidP="007A1748">
      <w:pPr>
        <w:rPr>
          <w:rFonts w:asciiTheme="minorHAnsi" w:hAnsiTheme="minorHAnsi"/>
        </w:rPr>
      </w:pPr>
    </w:p>
    <w:p w:rsidR="007A1748" w:rsidRPr="0001511E" w:rsidRDefault="007A1748" w:rsidP="007A1748">
      <w:pPr>
        <w:rPr>
          <w:rFonts w:asciiTheme="minorHAnsi" w:hAnsiTheme="minorHAnsi"/>
        </w:rPr>
      </w:pPr>
      <w:r w:rsidRPr="0001511E">
        <w:rPr>
          <w:rFonts w:asciiTheme="minorHAnsi" w:hAnsiTheme="minorHAnsi"/>
        </w:rPr>
        <w:t>ZAŁĄCZNIK 4</w:t>
      </w:r>
    </w:p>
    <w:p w:rsidR="007A1748" w:rsidRPr="0001511E" w:rsidRDefault="007A1748" w:rsidP="007A1748">
      <w:pPr>
        <w:rPr>
          <w:rFonts w:asciiTheme="minorHAnsi" w:hAnsiTheme="minorHAnsi"/>
        </w:rPr>
      </w:pPr>
    </w:p>
    <w:p w:rsidR="007A1748" w:rsidRPr="0001511E" w:rsidRDefault="007A1748" w:rsidP="007A1748">
      <w:pPr>
        <w:rPr>
          <w:rFonts w:asciiTheme="minorHAnsi" w:hAnsiTheme="minorHAnsi"/>
        </w:rPr>
      </w:pPr>
      <w:r w:rsidRPr="0001511E">
        <w:rPr>
          <w:rFonts w:asciiTheme="minorHAnsi" w:hAnsiTheme="minorHAnsi"/>
        </w:rPr>
        <w:t>ZALECENIA   MATERIAŁOWO-KONSTRUKCYJNE</w:t>
      </w:r>
    </w:p>
    <w:p w:rsidR="007A1748" w:rsidRPr="0001511E" w:rsidRDefault="007A1748" w:rsidP="007A1748">
      <w:pPr>
        <w:rPr>
          <w:rFonts w:asciiTheme="minorHAnsi" w:hAnsiTheme="minorHAnsi"/>
        </w:rPr>
      </w:pPr>
      <w:r w:rsidRPr="0001511E">
        <w:rPr>
          <w:rFonts w:asciiTheme="minorHAnsi" w:hAnsiTheme="minorHAnsi"/>
        </w:rPr>
        <w:t>DLA   SIATEK   Z   WŁÓKIEN   SYNTETYCZNYCH</w:t>
      </w:r>
    </w:p>
    <w:p w:rsidR="007A1748" w:rsidRPr="0001511E" w:rsidRDefault="007A1748" w:rsidP="007A1748">
      <w:pPr>
        <w:rPr>
          <w:rFonts w:asciiTheme="minorHAnsi" w:hAnsiTheme="minorHAnsi"/>
        </w:rPr>
      </w:pPr>
    </w:p>
    <w:p w:rsidR="007A1748" w:rsidRPr="0001511E" w:rsidRDefault="007A1748" w:rsidP="007A1748">
      <w:pPr>
        <w:rPr>
          <w:rFonts w:asciiTheme="minorHAnsi" w:hAnsiTheme="minorHAnsi"/>
        </w:rPr>
      </w:pPr>
      <w:r w:rsidRPr="0001511E">
        <w:rPr>
          <w:rFonts w:asciiTheme="minorHAnsi" w:hAnsiTheme="minorHAnsi"/>
        </w:rPr>
        <w:t xml:space="preserve">przyjmowane w europejskiej praktyce (wg opracowania Politechniki Krakowskiej, </w:t>
      </w:r>
    </w:p>
    <w:p w:rsidR="007A1748" w:rsidRPr="0001511E" w:rsidRDefault="007A1748" w:rsidP="007A1748">
      <w:pPr>
        <w:rPr>
          <w:rFonts w:asciiTheme="minorHAnsi" w:hAnsiTheme="minorHAnsi"/>
        </w:rPr>
      </w:pPr>
      <w:r w:rsidRPr="0001511E">
        <w:rPr>
          <w:rFonts w:asciiTheme="minorHAnsi" w:hAnsiTheme="minorHAnsi"/>
        </w:rPr>
        <w:t>Instytut Dróg, Kolei i Mostów, 1992)</w:t>
      </w:r>
    </w:p>
    <w:p w:rsidR="007A1748" w:rsidRDefault="007A1748" w:rsidP="007A1748">
      <w:pPr>
        <w:numPr>
          <w:ilvl w:val="12"/>
          <w:numId w:val="0"/>
        </w:numPr>
        <w:jc w:val="center"/>
      </w:pPr>
    </w:p>
    <w:tbl>
      <w:tblPr>
        <w:tblW w:w="7514" w:type="dxa"/>
        <w:tblInd w:w="779" w:type="dxa"/>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ayout w:type="fixed"/>
        <w:tblCellMar>
          <w:left w:w="70" w:type="dxa"/>
          <w:right w:w="70" w:type="dxa"/>
        </w:tblCellMar>
        <w:tblLook w:val="0000"/>
      </w:tblPr>
      <w:tblGrid>
        <w:gridCol w:w="496"/>
        <w:gridCol w:w="3118"/>
        <w:gridCol w:w="1070"/>
        <w:gridCol w:w="1415"/>
        <w:gridCol w:w="1409"/>
        <w:gridCol w:w="6"/>
      </w:tblGrid>
      <w:tr w:rsidR="007A1748" w:rsidRPr="0001511E" w:rsidTr="00C26550">
        <w:trPr>
          <w:gridAfter w:val="1"/>
          <w:wAfter w:w="6" w:type="dxa"/>
        </w:trPr>
        <w:tc>
          <w:tcPr>
            <w:tcW w:w="496" w:type="dxa"/>
            <w:tcBorders>
              <w:bottom w:val="nil"/>
            </w:tcBorders>
          </w:tcPr>
          <w:p w:rsidR="007A1748" w:rsidRPr="0001511E" w:rsidRDefault="007A1748" w:rsidP="00C26550">
            <w:pPr>
              <w:numPr>
                <w:ilvl w:val="12"/>
                <w:numId w:val="0"/>
              </w:numPr>
              <w:jc w:val="center"/>
              <w:rPr>
                <w:rFonts w:asciiTheme="minorHAnsi" w:hAnsiTheme="minorHAnsi"/>
              </w:rPr>
            </w:pPr>
          </w:p>
        </w:tc>
        <w:tc>
          <w:tcPr>
            <w:tcW w:w="3118" w:type="dxa"/>
            <w:tcBorders>
              <w:bottom w:val="nil"/>
            </w:tcBorders>
          </w:tcPr>
          <w:p w:rsidR="007A1748" w:rsidRPr="0001511E" w:rsidRDefault="007A1748" w:rsidP="00C26550">
            <w:pPr>
              <w:numPr>
                <w:ilvl w:val="12"/>
                <w:numId w:val="0"/>
              </w:numPr>
              <w:jc w:val="center"/>
              <w:rPr>
                <w:rFonts w:asciiTheme="minorHAnsi" w:hAnsiTheme="minorHAnsi"/>
              </w:rPr>
            </w:pPr>
          </w:p>
        </w:tc>
        <w:tc>
          <w:tcPr>
            <w:tcW w:w="1070" w:type="dxa"/>
            <w:tcBorders>
              <w:bottom w:val="nil"/>
            </w:tcBorders>
          </w:tcPr>
          <w:p w:rsidR="007A1748" w:rsidRPr="0001511E" w:rsidRDefault="007A1748" w:rsidP="00C26550">
            <w:pPr>
              <w:numPr>
                <w:ilvl w:val="12"/>
                <w:numId w:val="0"/>
              </w:numPr>
              <w:jc w:val="center"/>
              <w:rPr>
                <w:rFonts w:asciiTheme="minorHAnsi" w:hAnsiTheme="minorHAnsi"/>
              </w:rPr>
            </w:pPr>
          </w:p>
        </w:tc>
        <w:tc>
          <w:tcPr>
            <w:tcW w:w="2824" w:type="dxa"/>
            <w:gridSpan w:val="2"/>
          </w:tcPr>
          <w:p w:rsidR="007A1748" w:rsidRPr="0001511E" w:rsidRDefault="007A1748" w:rsidP="00C26550">
            <w:pPr>
              <w:numPr>
                <w:ilvl w:val="12"/>
                <w:numId w:val="0"/>
              </w:numPr>
              <w:jc w:val="center"/>
              <w:rPr>
                <w:rFonts w:asciiTheme="minorHAnsi" w:hAnsiTheme="minorHAnsi"/>
              </w:rPr>
            </w:pPr>
            <w:r w:rsidRPr="0001511E">
              <w:rPr>
                <w:rFonts w:asciiTheme="minorHAnsi" w:hAnsiTheme="minorHAnsi"/>
              </w:rPr>
              <w:t>Wymagania dla geosiatki</w:t>
            </w:r>
          </w:p>
        </w:tc>
      </w:tr>
      <w:tr w:rsidR="007A1748" w:rsidRPr="0001511E" w:rsidTr="00C26550">
        <w:tc>
          <w:tcPr>
            <w:tcW w:w="496" w:type="dxa"/>
            <w:tcBorders>
              <w:top w:val="nil"/>
              <w:bottom w:val="double" w:sz="6" w:space="0" w:color="auto"/>
            </w:tcBorders>
          </w:tcPr>
          <w:p w:rsidR="007A1748" w:rsidRPr="0001511E" w:rsidRDefault="007A1748" w:rsidP="00C26550">
            <w:pPr>
              <w:numPr>
                <w:ilvl w:val="12"/>
                <w:numId w:val="0"/>
              </w:numPr>
              <w:jc w:val="center"/>
              <w:rPr>
                <w:rFonts w:asciiTheme="minorHAnsi" w:hAnsiTheme="minorHAnsi"/>
              </w:rPr>
            </w:pPr>
            <w:r w:rsidRPr="0001511E">
              <w:rPr>
                <w:rFonts w:asciiTheme="minorHAnsi" w:hAnsiTheme="minorHAnsi"/>
              </w:rPr>
              <w:t>Lp.</w:t>
            </w:r>
          </w:p>
        </w:tc>
        <w:tc>
          <w:tcPr>
            <w:tcW w:w="3118" w:type="dxa"/>
            <w:tcBorders>
              <w:top w:val="nil"/>
              <w:bottom w:val="double" w:sz="6" w:space="0" w:color="auto"/>
            </w:tcBorders>
          </w:tcPr>
          <w:p w:rsidR="007A1748" w:rsidRPr="0001511E" w:rsidRDefault="007A1748" w:rsidP="00C26550">
            <w:pPr>
              <w:numPr>
                <w:ilvl w:val="12"/>
                <w:numId w:val="0"/>
              </w:numPr>
              <w:jc w:val="center"/>
              <w:rPr>
                <w:rFonts w:asciiTheme="minorHAnsi" w:hAnsiTheme="minorHAnsi"/>
              </w:rPr>
            </w:pPr>
            <w:r w:rsidRPr="0001511E">
              <w:rPr>
                <w:rFonts w:asciiTheme="minorHAnsi" w:hAnsiTheme="minorHAnsi"/>
              </w:rPr>
              <w:t>Własność</w:t>
            </w:r>
          </w:p>
        </w:tc>
        <w:tc>
          <w:tcPr>
            <w:tcW w:w="1070" w:type="dxa"/>
            <w:tcBorders>
              <w:top w:val="nil"/>
              <w:bottom w:val="double" w:sz="6" w:space="0" w:color="auto"/>
            </w:tcBorders>
          </w:tcPr>
          <w:p w:rsidR="007A1748" w:rsidRPr="0001511E" w:rsidRDefault="007A1748" w:rsidP="00C26550">
            <w:pPr>
              <w:numPr>
                <w:ilvl w:val="12"/>
                <w:numId w:val="0"/>
              </w:numPr>
              <w:jc w:val="center"/>
              <w:rPr>
                <w:rFonts w:asciiTheme="minorHAnsi" w:hAnsiTheme="minorHAnsi"/>
              </w:rPr>
            </w:pPr>
            <w:r w:rsidRPr="0001511E">
              <w:rPr>
                <w:rFonts w:asciiTheme="minorHAnsi" w:hAnsiTheme="minorHAnsi"/>
              </w:rPr>
              <w:t>Jednostka</w:t>
            </w:r>
          </w:p>
        </w:tc>
        <w:tc>
          <w:tcPr>
            <w:tcW w:w="1415" w:type="dxa"/>
            <w:tcBorders>
              <w:bottom w:val="double" w:sz="6" w:space="0" w:color="auto"/>
            </w:tcBorders>
          </w:tcPr>
          <w:p w:rsidR="007A1748" w:rsidRPr="0001511E" w:rsidRDefault="007A1748" w:rsidP="00C26550">
            <w:pPr>
              <w:numPr>
                <w:ilvl w:val="12"/>
                <w:numId w:val="0"/>
              </w:numPr>
              <w:jc w:val="center"/>
              <w:rPr>
                <w:rFonts w:asciiTheme="minorHAnsi" w:hAnsiTheme="minorHAnsi"/>
              </w:rPr>
            </w:pPr>
            <w:r w:rsidRPr="0001511E">
              <w:rPr>
                <w:rFonts w:asciiTheme="minorHAnsi" w:hAnsiTheme="minorHAnsi"/>
              </w:rPr>
              <w:t xml:space="preserve">przeplatanej </w:t>
            </w:r>
          </w:p>
          <w:p w:rsidR="007A1748" w:rsidRPr="0001511E" w:rsidRDefault="007A1748" w:rsidP="00C26550">
            <w:pPr>
              <w:numPr>
                <w:ilvl w:val="12"/>
                <w:numId w:val="0"/>
              </w:numPr>
              <w:jc w:val="center"/>
              <w:rPr>
                <w:rFonts w:asciiTheme="minorHAnsi" w:hAnsiTheme="minorHAnsi"/>
              </w:rPr>
            </w:pPr>
            <w:r w:rsidRPr="0001511E">
              <w:rPr>
                <w:rFonts w:asciiTheme="minorHAnsi" w:hAnsiTheme="minorHAnsi"/>
              </w:rPr>
              <w:t>w węzłach</w:t>
            </w:r>
          </w:p>
        </w:tc>
        <w:tc>
          <w:tcPr>
            <w:tcW w:w="1415" w:type="dxa"/>
            <w:gridSpan w:val="2"/>
            <w:tcBorders>
              <w:bottom w:val="double" w:sz="6" w:space="0" w:color="auto"/>
            </w:tcBorders>
          </w:tcPr>
          <w:p w:rsidR="007A1748" w:rsidRPr="0001511E" w:rsidRDefault="007A1748" w:rsidP="00C26550">
            <w:pPr>
              <w:numPr>
                <w:ilvl w:val="12"/>
                <w:numId w:val="0"/>
              </w:numPr>
              <w:spacing w:before="120"/>
              <w:jc w:val="center"/>
              <w:rPr>
                <w:rFonts w:asciiTheme="minorHAnsi" w:hAnsiTheme="minorHAnsi"/>
              </w:rPr>
            </w:pPr>
            <w:r w:rsidRPr="0001511E">
              <w:rPr>
                <w:rFonts w:asciiTheme="minorHAnsi" w:hAnsiTheme="minorHAnsi"/>
              </w:rPr>
              <w:t>ciągnionej</w:t>
            </w:r>
          </w:p>
        </w:tc>
      </w:tr>
      <w:tr w:rsidR="007A1748" w:rsidRPr="0001511E" w:rsidTr="00C26550">
        <w:tc>
          <w:tcPr>
            <w:tcW w:w="496" w:type="dxa"/>
            <w:tcBorders>
              <w:top w:val="nil"/>
            </w:tcBorders>
          </w:tcPr>
          <w:p w:rsidR="007A1748" w:rsidRPr="0001511E" w:rsidRDefault="007A1748" w:rsidP="00C26550">
            <w:pPr>
              <w:numPr>
                <w:ilvl w:val="12"/>
                <w:numId w:val="0"/>
              </w:numPr>
              <w:spacing w:before="60" w:after="60"/>
              <w:jc w:val="center"/>
              <w:rPr>
                <w:rFonts w:asciiTheme="minorHAnsi" w:hAnsiTheme="minorHAnsi"/>
              </w:rPr>
            </w:pPr>
            <w:r w:rsidRPr="0001511E">
              <w:rPr>
                <w:rFonts w:asciiTheme="minorHAnsi" w:hAnsiTheme="minorHAnsi"/>
              </w:rPr>
              <w:t>1</w:t>
            </w:r>
          </w:p>
        </w:tc>
        <w:tc>
          <w:tcPr>
            <w:tcW w:w="3118" w:type="dxa"/>
            <w:tcBorders>
              <w:top w:val="nil"/>
            </w:tcBorders>
          </w:tcPr>
          <w:p w:rsidR="007A1748" w:rsidRPr="0001511E" w:rsidRDefault="007A1748" w:rsidP="00C26550">
            <w:pPr>
              <w:numPr>
                <w:ilvl w:val="12"/>
                <w:numId w:val="0"/>
              </w:numPr>
              <w:spacing w:before="60" w:after="60"/>
              <w:rPr>
                <w:rFonts w:asciiTheme="minorHAnsi" w:hAnsiTheme="minorHAnsi"/>
              </w:rPr>
            </w:pPr>
            <w:r w:rsidRPr="0001511E">
              <w:rPr>
                <w:rFonts w:asciiTheme="minorHAnsi" w:hAnsiTheme="minorHAnsi"/>
              </w:rPr>
              <w:t>Siła zrywająca, min.</w:t>
            </w:r>
          </w:p>
        </w:tc>
        <w:tc>
          <w:tcPr>
            <w:tcW w:w="1070" w:type="dxa"/>
            <w:tcBorders>
              <w:top w:val="nil"/>
            </w:tcBorders>
          </w:tcPr>
          <w:p w:rsidR="007A1748" w:rsidRPr="0001511E" w:rsidRDefault="007A1748" w:rsidP="00C26550">
            <w:pPr>
              <w:numPr>
                <w:ilvl w:val="12"/>
                <w:numId w:val="0"/>
              </w:numPr>
              <w:spacing w:before="60" w:after="60"/>
              <w:jc w:val="center"/>
              <w:rPr>
                <w:rFonts w:asciiTheme="minorHAnsi" w:hAnsiTheme="minorHAnsi"/>
              </w:rPr>
            </w:pPr>
            <w:r w:rsidRPr="0001511E">
              <w:rPr>
                <w:rFonts w:asciiTheme="minorHAnsi" w:hAnsiTheme="minorHAnsi"/>
              </w:rPr>
              <w:t>kN/m</w:t>
            </w:r>
          </w:p>
        </w:tc>
        <w:tc>
          <w:tcPr>
            <w:tcW w:w="1415" w:type="dxa"/>
            <w:tcBorders>
              <w:top w:val="nil"/>
            </w:tcBorders>
          </w:tcPr>
          <w:p w:rsidR="007A1748" w:rsidRPr="0001511E" w:rsidRDefault="007A1748" w:rsidP="00C26550">
            <w:pPr>
              <w:numPr>
                <w:ilvl w:val="12"/>
                <w:numId w:val="0"/>
              </w:numPr>
              <w:spacing w:before="60" w:after="60"/>
              <w:jc w:val="center"/>
              <w:rPr>
                <w:rFonts w:asciiTheme="minorHAnsi" w:hAnsiTheme="minorHAnsi"/>
              </w:rPr>
            </w:pPr>
            <w:r w:rsidRPr="0001511E">
              <w:rPr>
                <w:rFonts w:asciiTheme="minorHAnsi" w:hAnsiTheme="minorHAnsi"/>
              </w:rPr>
              <w:t>50</w:t>
            </w:r>
          </w:p>
        </w:tc>
        <w:tc>
          <w:tcPr>
            <w:tcW w:w="1415" w:type="dxa"/>
            <w:gridSpan w:val="2"/>
            <w:tcBorders>
              <w:top w:val="nil"/>
            </w:tcBorders>
          </w:tcPr>
          <w:p w:rsidR="007A1748" w:rsidRPr="0001511E" w:rsidRDefault="007A1748" w:rsidP="00C26550">
            <w:pPr>
              <w:numPr>
                <w:ilvl w:val="12"/>
                <w:numId w:val="0"/>
              </w:numPr>
              <w:spacing w:before="60" w:after="60"/>
              <w:jc w:val="center"/>
              <w:rPr>
                <w:rFonts w:asciiTheme="minorHAnsi" w:hAnsiTheme="minorHAnsi"/>
              </w:rPr>
            </w:pPr>
            <w:r w:rsidRPr="0001511E">
              <w:rPr>
                <w:rFonts w:asciiTheme="minorHAnsi" w:hAnsiTheme="minorHAnsi"/>
              </w:rPr>
              <w:t>14</w:t>
            </w:r>
          </w:p>
        </w:tc>
      </w:tr>
      <w:tr w:rsidR="007A1748" w:rsidRPr="0001511E" w:rsidTr="00C26550">
        <w:tc>
          <w:tcPr>
            <w:tcW w:w="496" w:type="dxa"/>
          </w:tcPr>
          <w:p w:rsidR="007A1748" w:rsidRPr="0001511E" w:rsidRDefault="007A1748" w:rsidP="00C26550">
            <w:pPr>
              <w:numPr>
                <w:ilvl w:val="12"/>
                <w:numId w:val="0"/>
              </w:numPr>
              <w:spacing w:before="60" w:after="60"/>
              <w:jc w:val="center"/>
              <w:rPr>
                <w:rFonts w:asciiTheme="minorHAnsi" w:hAnsiTheme="minorHAnsi"/>
              </w:rPr>
            </w:pPr>
            <w:r w:rsidRPr="0001511E">
              <w:rPr>
                <w:rFonts w:asciiTheme="minorHAnsi" w:hAnsiTheme="minorHAnsi"/>
              </w:rPr>
              <w:t>2</w:t>
            </w:r>
          </w:p>
        </w:tc>
        <w:tc>
          <w:tcPr>
            <w:tcW w:w="3118" w:type="dxa"/>
          </w:tcPr>
          <w:p w:rsidR="007A1748" w:rsidRPr="0001511E" w:rsidRDefault="007A1748" w:rsidP="00C26550">
            <w:pPr>
              <w:numPr>
                <w:ilvl w:val="12"/>
                <w:numId w:val="0"/>
              </w:numPr>
              <w:spacing w:before="60" w:after="60"/>
              <w:rPr>
                <w:rFonts w:asciiTheme="minorHAnsi" w:hAnsiTheme="minorHAnsi"/>
              </w:rPr>
            </w:pPr>
            <w:r w:rsidRPr="0001511E">
              <w:rPr>
                <w:rFonts w:asciiTheme="minorHAnsi" w:hAnsiTheme="minorHAnsi"/>
              </w:rPr>
              <w:t>Wydłużenie przy zerwaniu, max.</w:t>
            </w:r>
          </w:p>
        </w:tc>
        <w:tc>
          <w:tcPr>
            <w:tcW w:w="1070" w:type="dxa"/>
          </w:tcPr>
          <w:p w:rsidR="007A1748" w:rsidRPr="0001511E" w:rsidRDefault="007A1748" w:rsidP="00C26550">
            <w:pPr>
              <w:numPr>
                <w:ilvl w:val="12"/>
                <w:numId w:val="0"/>
              </w:numPr>
              <w:spacing w:before="60" w:after="60"/>
              <w:jc w:val="center"/>
              <w:rPr>
                <w:rFonts w:asciiTheme="minorHAnsi" w:hAnsiTheme="minorHAnsi"/>
              </w:rPr>
            </w:pPr>
            <w:r w:rsidRPr="0001511E">
              <w:rPr>
                <w:rFonts w:asciiTheme="minorHAnsi" w:hAnsiTheme="minorHAnsi"/>
              </w:rPr>
              <w:t>%</w:t>
            </w:r>
          </w:p>
        </w:tc>
        <w:tc>
          <w:tcPr>
            <w:tcW w:w="1415" w:type="dxa"/>
          </w:tcPr>
          <w:p w:rsidR="007A1748" w:rsidRPr="0001511E" w:rsidRDefault="007A1748" w:rsidP="00C26550">
            <w:pPr>
              <w:numPr>
                <w:ilvl w:val="12"/>
                <w:numId w:val="0"/>
              </w:numPr>
              <w:spacing w:before="60" w:after="60"/>
              <w:jc w:val="center"/>
              <w:rPr>
                <w:rFonts w:asciiTheme="minorHAnsi" w:hAnsiTheme="minorHAnsi"/>
              </w:rPr>
            </w:pPr>
            <w:r w:rsidRPr="0001511E">
              <w:rPr>
                <w:rFonts w:asciiTheme="minorHAnsi" w:hAnsiTheme="minorHAnsi"/>
              </w:rPr>
              <w:t>14</w:t>
            </w:r>
          </w:p>
        </w:tc>
        <w:tc>
          <w:tcPr>
            <w:tcW w:w="1415" w:type="dxa"/>
            <w:gridSpan w:val="2"/>
          </w:tcPr>
          <w:p w:rsidR="007A1748" w:rsidRPr="0001511E" w:rsidRDefault="007A1748" w:rsidP="00C26550">
            <w:pPr>
              <w:numPr>
                <w:ilvl w:val="12"/>
                <w:numId w:val="0"/>
              </w:numPr>
              <w:spacing w:before="60" w:after="60"/>
              <w:jc w:val="center"/>
              <w:rPr>
                <w:rFonts w:asciiTheme="minorHAnsi" w:hAnsiTheme="minorHAnsi"/>
              </w:rPr>
            </w:pPr>
            <w:r w:rsidRPr="0001511E">
              <w:rPr>
                <w:rFonts w:asciiTheme="minorHAnsi" w:hAnsiTheme="minorHAnsi"/>
              </w:rPr>
              <w:t>14</w:t>
            </w:r>
          </w:p>
        </w:tc>
      </w:tr>
      <w:tr w:rsidR="007A1748" w:rsidRPr="0001511E" w:rsidTr="00C26550">
        <w:tc>
          <w:tcPr>
            <w:tcW w:w="496" w:type="dxa"/>
          </w:tcPr>
          <w:p w:rsidR="007A1748" w:rsidRPr="0001511E" w:rsidRDefault="007A1748" w:rsidP="00C26550">
            <w:pPr>
              <w:numPr>
                <w:ilvl w:val="12"/>
                <w:numId w:val="0"/>
              </w:numPr>
              <w:jc w:val="center"/>
              <w:rPr>
                <w:rFonts w:asciiTheme="minorHAnsi" w:hAnsiTheme="minorHAnsi"/>
              </w:rPr>
            </w:pPr>
            <w:r w:rsidRPr="0001511E">
              <w:rPr>
                <w:rFonts w:asciiTheme="minorHAnsi" w:hAnsiTheme="minorHAnsi"/>
              </w:rPr>
              <w:t>3</w:t>
            </w:r>
          </w:p>
        </w:tc>
        <w:tc>
          <w:tcPr>
            <w:tcW w:w="3118" w:type="dxa"/>
          </w:tcPr>
          <w:p w:rsidR="007A1748" w:rsidRPr="0001511E" w:rsidRDefault="007A1748" w:rsidP="00C26550">
            <w:pPr>
              <w:numPr>
                <w:ilvl w:val="12"/>
                <w:numId w:val="0"/>
              </w:numPr>
              <w:rPr>
                <w:rFonts w:asciiTheme="minorHAnsi" w:hAnsiTheme="minorHAnsi"/>
              </w:rPr>
            </w:pPr>
            <w:r w:rsidRPr="0001511E">
              <w:rPr>
                <w:rFonts w:asciiTheme="minorHAnsi" w:hAnsiTheme="minorHAnsi"/>
              </w:rPr>
              <w:t>Siła rozciągająca przy wydłużeniu 1% (moduł sieczny), min.</w:t>
            </w:r>
          </w:p>
        </w:tc>
        <w:tc>
          <w:tcPr>
            <w:tcW w:w="1070" w:type="dxa"/>
          </w:tcPr>
          <w:p w:rsidR="007A1748" w:rsidRPr="0001511E" w:rsidRDefault="007A1748" w:rsidP="00C26550">
            <w:pPr>
              <w:numPr>
                <w:ilvl w:val="12"/>
                <w:numId w:val="0"/>
              </w:numPr>
              <w:spacing w:before="120"/>
              <w:jc w:val="center"/>
              <w:rPr>
                <w:rFonts w:asciiTheme="minorHAnsi" w:hAnsiTheme="minorHAnsi"/>
              </w:rPr>
            </w:pPr>
            <w:r w:rsidRPr="0001511E">
              <w:rPr>
                <w:rFonts w:asciiTheme="minorHAnsi" w:hAnsiTheme="minorHAnsi"/>
              </w:rPr>
              <w:t>kN/m</w:t>
            </w:r>
          </w:p>
        </w:tc>
        <w:tc>
          <w:tcPr>
            <w:tcW w:w="1415" w:type="dxa"/>
          </w:tcPr>
          <w:p w:rsidR="007A1748" w:rsidRPr="0001511E" w:rsidRDefault="007A1748" w:rsidP="00C26550">
            <w:pPr>
              <w:numPr>
                <w:ilvl w:val="12"/>
                <w:numId w:val="0"/>
              </w:numPr>
              <w:spacing w:before="120"/>
              <w:jc w:val="center"/>
              <w:rPr>
                <w:rFonts w:asciiTheme="minorHAnsi" w:hAnsiTheme="minorHAnsi"/>
              </w:rPr>
            </w:pPr>
            <w:r w:rsidRPr="0001511E">
              <w:rPr>
                <w:rFonts w:asciiTheme="minorHAnsi" w:hAnsiTheme="minorHAnsi"/>
              </w:rPr>
              <w:t>3</w:t>
            </w:r>
          </w:p>
        </w:tc>
        <w:tc>
          <w:tcPr>
            <w:tcW w:w="1415" w:type="dxa"/>
            <w:gridSpan w:val="2"/>
          </w:tcPr>
          <w:p w:rsidR="007A1748" w:rsidRPr="0001511E" w:rsidRDefault="007A1748" w:rsidP="00C26550">
            <w:pPr>
              <w:numPr>
                <w:ilvl w:val="12"/>
                <w:numId w:val="0"/>
              </w:numPr>
              <w:spacing w:before="120"/>
              <w:jc w:val="center"/>
              <w:rPr>
                <w:rFonts w:asciiTheme="minorHAnsi" w:hAnsiTheme="minorHAnsi"/>
              </w:rPr>
            </w:pPr>
            <w:r w:rsidRPr="0001511E">
              <w:rPr>
                <w:rFonts w:asciiTheme="minorHAnsi" w:hAnsiTheme="minorHAnsi"/>
              </w:rPr>
              <w:t>2</w:t>
            </w:r>
          </w:p>
        </w:tc>
      </w:tr>
      <w:tr w:rsidR="007A1748" w:rsidRPr="0001511E" w:rsidTr="00C26550">
        <w:tc>
          <w:tcPr>
            <w:tcW w:w="496" w:type="dxa"/>
          </w:tcPr>
          <w:p w:rsidR="007A1748" w:rsidRPr="0001511E" w:rsidRDefault="007A1748" w:rsidP="00C26550">
            <w:pPr>
              <w:numPr>
                <w:ilvl w:val="12"/>
                <w:numId w:val="0"/>
              </w:numPr>
              <w:jc w:val="center"/>
              <w:rPr>
                <w:rFonts w:asciiTheme="minorHAnsi" w:hAnsiTheme="minorHAnsi"/>
              </w:rPr>
            </w:pPr>
            <w:r w:rsidRPr="0001511E">
              <w:rPr>
                <w:rFonts w:asciiTheme="minorHAnsi" w:hAnsiTheme="minorHAnsi"/>
              </w:rPr>
              <w:t>4</w:t>
            </w:r>
          </w:p>
        </w:tc>
        <w:tc>
          <w:tcPr>
            <w:tcW w:w="3118" w:type="dxa"/>
          </w:tcPr>
          <w:p w:rsidR="007A1748" w:rsidRPr="0001511E" w:rsidRDefault="007A1748" w:rsidP="00C26550">
            <w:pPr>
              <w:numPr>
                <w:ilvl w:val="12"/>
                <w:numId w:val="0"/>
              </w:numPr>
              <w:rPr>
                <w:rFonts w:asciiTheme="minorHAnsi" w:hAnsiTheme="minorHAnsi"/>
              </w:rPr>
            </w:pPr>
            <w:r w:rsidRPr="0001511E">
              <w:rPr>
                <w:rFonts w:asciiTheme="minorHAnsi" w:hAnsiTheme="minorHAnsi"/>
              </w:rPr>
              <w:t>Powierzchnia oczek siatki, łącznie, min.</w:t>
            </w:r>
          </w:p>
        </w:tc>
        <w:tc>
          <w:tcPr>
            <w:tcW w:w="1070" w:type="dxa"/>
          </w:tcPr>
          <w:p w:rsidR="007A1748" w:rsidRPr="0001511E" w:rsidRDefault="007A1748" w:rsidP="00C26550">
            <w:pPr>
              <w:numPr>
                <w:ilvl w:val="12"/>
                <w:numId w:val="0"/>
              </w:numPr>
              <w:spacing w:before="120"/>
              <w:jc w:val="center"/>
              <w:rPr>
                <w:rFonts w:asciiTheme="minorHAnsi" w:hAnsiTheme="minorHAnsi"/>
              </w:rPr>
            </w:pPr>
            <w:r w:rsidRPr="0001511E">
              <w:rPr>
                <w:rFonts w:asciiTheme="minorHAnsi" w:hAnsiTheme="minorHAnsi"/>
              </w:rPr>
              <w:t>%</w:t>
            </w:r>
          </w:p>
        </w:tc>
        <w:tc>
          <w:tcPr>
            <w:tcW w:w="1415" w:type="dxa"/>
          </w:tcPr>
          <w:p w:rsidR="007A1748" w:rsidRPr="0001511E" w:rsidRDefault="007A1748" w:rsidP="00C26550">
            <w:pPr>
              <w:numPr>
                <w:ilvl w:val="12"/>
                <w:numId w:val="0"/>
              </w:numPr>
              <w:spacing w:before="120"/>
              <w:jc w:val="center"/>
              <w:rPr>
                <w:rFonts w:asciiTheme="minorHAnsi" w:hAnsiTheme="minorHAnsi"/>
              </w:rPr>
            </w:pPr>
            <w:r w:rsidRPr="0001511E">
              <w:rPr>
                <w:rFonts w:asciiTheme="minorHAnsi" w:hAnsiTheme="minorHAnsi"/>
              </w:rPr>
              <w:t>70</w:t>
            </w:r>
          </w:p>
        </w:tc>
        <w:tc>
          <w:tcPr>
            <w:tcW w:w="1415" w:type="dxa"/>
            <w:gridSpan w:val="2"/>
          </w:tcPr>
          <w:p w:rsidR="007A1748" w:rsidRPr="0001511E" w:rsidRDefault="007A1748" w:rsidP="00C26550">
            <w:pPr>
              <w:numPr>
                <w:ilvl w:val="12"/>
                <w:numId w:val="0"/>
              </w:numPr>
              <w:spacing w:before="120"/>
              <w:jc w:val="center"/>
              <w:rPr>
                <w:rFonts w:asciiTheme="minorHAnsi" w:hAnsiTheme="minorHAnsi"/>
              </w:rPr>
            </w:pPr>
            <w:r w:rsidRPr="0001511E">
              <w:rPr>
                <w:rFonts w:asciiTheme="minorHAnsi" w:hAnsiTheme="minorHAnsi"/>
              </w:rPr>
              <w:t>70</w:t>
            </w:r>
          </w:p>
        </w:tc>
      </w:tr>
      <w:tr w:rsidR="007A1748" w:rsidRPr="0001511E" w:rsidTr="00C26550">
        <w:tc>
          <w:tcPr>
            <w:tcW w:w="496" w:type="dxa"/>
          </w:tcPr>
          <w:p w:rsidR="007A1748" w:rsidRPr="0001511E" w:rsidRDefault="007A1748" w:rsidP="00C26550">
            <w:pPr>
              <w:numPr>
                <w:ilvl w:val="12"/>
                <w:numId w:val="0"/>
              </w:numPr>
              <w:jc w:val="center"/>
              <w:rPr>
                <w:rFonts w:asciiTheme="minorHAnsi" w:hAnsiTheme="minorHAnsi"/>
              </w:rPr>
            </w:pPr>
            <w:r w:rsidRPr="0001511E">
              <w:rPr>
                <w:rFonts w:asciiTheme="minorHAnsi" w:hAnsiTheme="minorHAnsi"/>
              </w:rPr>
              <w:t>5</w:t>
            </w:r>
          </w:p>
        </w:tc>
        <w:tc>
          <w:tcPr>
            <w:tcW w:w="3118" w:type="dxa"/>
          </w:tcPr>
          <w:p w:rsidR="007A1748" w:rsidRPr="0001511E" w:rsidRDefault="007A1748" w:rsidP="00C26550">
            <w:pPr>
              <w:numPr>
                <w:ilvl w:val="12"/>
                <w:numId w:val="0"/>
              </w:numPr>
              <w:rPr>
                <w:rFonts w:asciiTheme="minorHAnsi" w:hAnsiTheme="minorHAnsi"/>
              </w:rPr>
            </w:pPr>
            <w:r w:rsidRPr="0001511E">
              <w:rPr>
                <w:rFonts w:asciiTheme="minorHAnsi" w:hAnsiTheme="minorHAnsi"/>
              </w:rPr>
              <w:t>Wymiar oczek siatki, min. lub dwukrotnie większy od max. ziarna w mieszance mineralno-asfaltowej</w:t>
            </w:r>
          </w:p>
        </w:tc>
        <w:tc>
          <w:tcPr>
            <w:tcW w:w="1070" w:type="dxa"/>
          </w:tcPr>
          <w:p w:rsidR="007A1748" w:rsidRPr="0001511E" w:rsidRDefault="007A1748" w:rsidP="00C26550">
            <w:pPr>
              <w:numPr>
                <w:ilvl w:val="12"/>
                <w:numId w:val="0"/>
              </w:numPr>
              <w:jc w:val="center"/>
              <w:rPr>
                <w:rFonts w:asciiTheme="minorHAnsi" w:hAnsiTheme="minorHAnsi"/>
              </w:rPr>
            </w:pPr>
          </w:p>
          <w:p w:rsidR="007A1748" w:rsidRPr="0001511E" w:rsidRDefault="007A1748" w:rsidP="00C26550">
            <w:pPr>
              <w:numPr>
                <w:ilvl w:val="12"/>
                <w:numId w:val="0"/>
              </w:numPr>
              <w:jc w:val="center"/>
              <w:rPr>
                <w:rFonts w:asciiTheme="minorHAnsi" w:hAnsiTheme="minorHAnsi"/>
              </w:rPr>
            </w:pPr>
            <w:r w:rsidRPr="0001511E">
              <w:rPr>
                <w:rFonts w:asciiTheme="minorHAnsi" w:hAnsiTheme="minorHAnsi"/>
              </w:rPr>
              <w:t>mm</w:t>
            </w:r>
          </w:p>
        </w:tc>
        <w:tc>
          <w:tcPr>
            <w:tcW w:w="1415" w:type="dxa"/>
          </w:tcPr>
          <w:p w:rsidR="007A1748" w:rsidRPr="0001511E" w:rsidRDefault="007A1748" w:rsidP="00C26550">
            <w:pPr>
              <w:numPr>
                <w:ilvl w:val="12"/>
                <w:numId w:val="0"/>
              </w:numPr>
              <w:jc w:val="center"/>
              <w:rPr>
                <w:rFonts w:asciiTheme="minorHAnsi" w:hAnsiTheme="minorHAnsi"/>
              </w:rPr>
            </w:pPr>
          </w:p>
          <w:p w:rsidR="007A1748" w:rsidRPr="0001511E" w:rsidRDefault="007A1748" w:rsidP="00C26550">
            <w:pPr>
              <w:numPr>
                <w:ilvl w:val="12"/>
                <w:numId w:val="0"/>
              </w:numPr>
              <w:jc w:val="center"/>
              <w:rPr>
                <w:rFonts w:asciiTheme="minorHAnsi" w:hAnsiTheme="minorHAnsi"/>
              </w:rPr>
            </w:pPr>
            <w:r w:rsidRPr="0001511E">
              <w:rPr>
                <w:rFonts w:asciiTheme="minorHAnsi" w:hAnsiTheme="minorHAnsi"/>
              </w:rPr>
              <w:t>20 x 20</w:t>
            </w:r>
          </w:p>
        </w:tc>
        <w:tc>
          <w:tcPr>
            <w:tcW w:w="1415" w:type="dxa"/>
            <w:gridSpan w:val="2"/>
          </w:tcPr>
          <w:p w:rsidR="007A1748" w:rsidRPr="0001511E" w:rsidRDefault="007A1748" w:rsidP="00C26550">
            <w:pPr>
              <w:numPr>
                <w:ilvl w:val="12"/>
                <w:numId w:val="0"/>
              </w:numPr>
              <w:jc w:val="center"/>
              <w:rPr>
                <w:rFonts w:asciiTheme="minorHAnsi" w:hAnsiTheme="minorHAnsi"/>
              </w:rPr>
            </w:pPr>
          </w:p>
          <w:p w:rsidR="007A1748" w:rsidRPr="0001511E" w:rsidRDefault="007A1748" w:rsidP="00C26550">
            <w:pPr>
              <w:numPr>
                <w:ilvl w:val="12"/>
                <w:numId w:val="0"/>
              </w:numPr>
              <w:jc w:val="center"/>
              <w:rPr>
                <w:rFonts w:asciiTheme="minorHAnsi" w:hAnsiTheme="minorHAnsi"/>
              </w:rPr>
            </w:pPr>
            <w:r w:rsidRPr="0001511E">
              <w:rPr>
                <w:rFonts w:asciiTheme="minorHAnsi" w:hAnsiTheme="minorHAnsi"/>
              </w:rPr>
              <w:t>20 x 20</w:t>
            </w:r>
          </w:p>
        </w:tc>
      </w:tr>
      <w:tr w:rsidR="007A1748" w:rsidRPr="0001511E" w:rsidTr="00C26550">
        <w:tc>
          <w:tcPr>
            <w:tcW w:w="496" w:type="dxa"/>
          </w:tcPr>
          <w:p w:rsidR="007A1748" w:rsidRPr="0001511E" w:rsidRDefault="007A1748" w:rsidP="00C26550">
            <w:pPr>
              <w:numPr>
                <w:ilvl w:val="12"/>
                <w:numId w:val="0"/>
              </w:numPr>
              <w:spacing w:before="60" w:after="60"/>
              <w:jc w:val="center"/>
              <w:rPr>
                <w:rFonts w:asciiTheme="minorHAnsi" w:hAnsiTheme="minorHAnsi"/>
              </w:rPr>
            </w:pPr>
            <w:r w:rsidRPr="0001511E">
              <w:rPr>
                <w:rFonts w:asciiTheme="minorHAnsi" w:hAnsiTheme="minorHAnsi"/>
              </w:rPr>
              <w:t>6</w:t>
            </w:r>
          </w:p>
        </w:tc>
        <w:tc>
          <w:tcPr>
            <w:tcW w:w="3118" w:type="dxa"/>
          </w:tcPr>
          <w:p w:rsidR="007A1748" w:rsidRPr="0001511E" w:rsidRDefault="007A1748" w:rsidP="00C26550">
            <w:pPr>
              <w:numPr>
                <w:ilvl w:val="12"/>
                <w:numId w:val="0"/>
              </w:numPr>
              <w:spacing w:before="60" w:after="60"/>
              <w:rPr>
                <w:rFonts w:asciiTheme="minorHAnsi" w:hAnsiTheme="minorHAnsi"/>
              </w:rPr>
            </w:pPr>
            <w:r w:rsidRPr="0001511E">
              <w:rPr>
                <w:rFonts w:asciiTheme="minorHAnsi" w:hAnsiTheme="minorHAnsi"/>
              </w:rPr>
              <w:t>Odporność na temperaturę, min. do</w:t>
            </w:r>
          </w:p>
        </w:tc>
        <w:tc>
          <w:tcPr>
            <w:tcW w:w="1070" w:type="dxa"/>
          </w:tcPr>
          <w:p w:rsidR="007A1748" w:rsidRPr="0001511E" w:rsidRDefault="007A1748" w:rsidP="00C26550">
            <w:pPr>
              <w:numPr>
                <w:ilvl w:val="12"/>
                <w:numId w:val="0"/>
              </w:numPr>
              <w:spacing w:before="60" w:after="60"/>
              <w:jc w:val="center"/>
              <w:rPr>
                <w:rFonts w:asciiTheme="minorHAnsi" w:hAnsiTheme="minorHAnsi"/>
              </w:rPr>
            </w:pPr>
            <w:r w:rsidRPr="0001511E">
              <w:rPr>
                <w:rFonts w:asciiTheme="minorHAnsi" w:hAnsiTheme="minorHAnsi"/>
                <w:vertAlign w:val="superscript"/>
              </w:rPr>
              <w:t>o</w:t>
            </w:r>
            <w:r w:rsidRPr="0001511E">
              <w:rPr>
                <w:rFonts w:asciiTheme="minorHAnsi" w:hAnsiTheme="minorHAnsi"/>
              </w:rPr>
              <w:t>C</w:t>
            </w:r>
          </w:p>
        </w:tc>
        <w:tc>
          <w:tcPr>
            <w:tcW w:w="1415" w:type="dxa"/>
          </w:tcPr>
          <w:p w:rsidR="007A1748" w:rsidRPr="0001511E" w:rsidRDefault="007A1748" w:rsidP="00C26550">
            <w:pPr>
              <w:numPr>
                <w:ilvl w:val="12"/>
                <w:numId w:val="0"/>
              </w:numPr>
              <w:spacing w:before="60" w:after="60"/>
              <w:jc w:val="center"/>
              <w:rPr>
                <w:rFonts w:asciiTheme="minorHAnsi" w:hAnsiTheme="minorHAnsi"/>
              </w:rPr>
            </w:pPr>
            <w:r w:rsidRPr="0001511E">
              <w:rPr>
                <w:rFonts w:asciiTheme="minorHAnsi" w:hAnsiTheme="minorHAnsi"/>
              </w:rPr>
              <w:t>190</w:t>
            </w:r>
          </w:p>
        </w:tc>
        <w:tc>
          <w:tcPr>
            <w:tcW w:w="1415" w:type="dxa"/>
            <w:gridSpan w:val="2"/>
          </w:tcPr>
          <w:p w:rsidR="007A1748" w:rsidRPr="0001511E" w:rsidRDefault="007A1748" w:rsidP="00C26550">
            <w:pPr>
              <w:numPr>
                <w:ilvl w:val="12"/>
                <w:numId w:val="0"/>
              </w:numPr>
              <w:spacing w:before="60" w:after="60"/>
              <w:jc w:val="center"/>
              <w:rPr>
                <w:rFonts w:asciiTheme="minorHAnsi" w:hAnsiTheme="minorHAnsi"/>
              </w:rPr>
            </w:pPr>
            <w:r w:rsidRPr="0001511E">
              <w:rPr>
                <w:rFonts w:asciiTheme="minorHAnsi" w:hAnsiTheme="minorHAnsi"/>
              </w:rPr>
              <w:t>148</w:t>
            </w:r>
          </w:p>
        </w:tc>
      </w:tr>
      <w:tr w:rsidR="007A1748" w:rsidRPr="0001511E" w:rsidTr="00C26550">
        <w:tc>
          <w:tcPr>
            <w:tcW w:w="496" w:type="dxa"/>
          </w:tcPr>
          <w:p w:rsidR="007A1748" w:rsidRPr="0001511E" w:rsidRDefault="007A1748" w:rsidP="00C26550">
            <w:pPr>
              <w:numPr>
                <w:ilvl w:val="12"/>
                <w:numId w:val="0"/>
              </w:numPr>
              <w:jc w:val="center"/>
              <w:rPr>
                <w:rFonts w:asciiTheme="minorHAnsi" w:hAnsiTheme="minorHAnsi"/>
              </w:rPr>
            </w:pPr>
            <w:r w:rsidRPr="0001511E">
              <w:rPr>
                <w:rFonts w:asciiTheme="minorHAnsi" w:hAnsiTheme="minorHAnsi"/>
              </w:rPr>
              <w:t>7</w:t>
            </w:r>
          </w:p>
        </w:tc>
        <w:tc>
          <w:tcPr>
            <w:tcW w:w="3118" w:type="dxa"/>
          </w:tcPr>
          <w:p w:rsidR="007A1748" w:rsidRPr="0001511E" w:rsidRDefault="007A1748" w:rsidP="00C26550">
            <w:pPr>
              <w:numPr>
                <w:ilvl w:val="12"/>
                <w:numId w:val="0"/>
              </w:numPr>
              <w:rPr>
                <w:rFonts w:asciiTheme="minorHAnsi" w:hAnsiTheme="minorHAnsi"/>
              </w:rPr>
            </w:pPr>
            <w:r w:rsidRPr="0001511E">
              <w:rPr>
                <w:rFonts w:asciiTheme="minorHAnsi" w:hAnsiTheme="minorHAnsi"/>
              </w:rPr>
              <w:t xml:space="preserve">Siła zrywająca przy wydłużeniu       1%, min. </w:t>
            </w:r>
          </w:p>
          <w:p w:rsidR="007A1748" w:rsidRPr="0001511E" w:rsidRDefault="007A1748" w:rsidP="00C26550">
            <w:pPr>
              <w:numPr>
                <w:ilvl w:val="12"/>
                <w:numId w:val="0"/>
              </w:numPr>
              <w:rPr>
                <w:rFonts w:asciiTheme="minorHAnsi" w:hAnsiTheme="minorHAnsi"/>
              </w:rPr>
            </w:pPr>
            <w:r w:rsidRPr="0001511E">
              <w:rPr>
                <w:rFonts w:asciiTheme="minorHAnsi" w:hAnsiTheme="minorHAnsi"/>
              </w:rPr>
              <w:t>tj. moduł sieczny, min.</w:t>
            </w:r>
          </w:p>
        </w:tc>
        <w:tc>
          <w:tcPr>
            <w:tcW w:w="1070" w:type="dxa"/>
          </w:tcPr>
          <w:p w:rsidR="007A1748" w:rsidRPr="0001511E" w:rsidRDefault="007A1748" w:rsidP="00C26550">
            <w:pPr>
              <w:numPr>
                <w:ilvl w:val="12"/>
                <w:numId w:val="0"/>
              </w:numPr>
              <w:jc w:val="center"/>
              <w:rPr>
                <w:rFonts w:asciiTheme="minorHAnsi" w:hAnsiTheme="minorHAnsi"/>
              </w:rPr>
            </w:pPr>
          </w:p>
          <w:p w:rsidR="007A1748" w:rsidRPr="0001511E" w:rsidRDefault="007A1748" w:rsidP="00C26550">
            <w:pPr>
              <w:numPr>
                <w:ilvl w:val="12"/>
                <w:numId w:val="0"/>
              </w:numPr>
              <w:jc w:val="center"/>
              <w:rPr>
                <w:rFonts w:asciiTheme="minorHAnsi" w:hAnsiTheme="minorHAnsi"/>
              </w:rPr>
            </w:pPr>
            <w:r w:rsidRPr="0001511E">
              <w:rPr>
                <w:rFonts w:asciiTheme="minorHAnsi" w:hAnsiTheme="minorHAnsi"/>
              </w:rPr>
              <w:t>kN/m</w:t>
            </w:r>
          </w:p>
          <w:p w:rsidR="007A1748" w:rsidRPr="0001511E" w:rsidRDefault="007A1748" w:rsidP="00C26550">
            <w:pPr>
              <w:numPr>
                <w:ilvl w:val="12"/>
                <w:numId w:val="0"/>
              </w:numPr>
              <w:spacing w:after="60"/>
              <w:jc w:val="center"/>
              <w:rPr>
                <w:rFonts w:asciiTheme="minorHAnsi" w:hAnsiTheme="minorHAnsi"/>
              </w:rPr>
            </w:pPr>
            <w:r w:rsidRPr="0001511E">
              <w:rPr>
                <w:rFonts w:asciiTheme="minorHAnsi" w:hAnsiTheme="minorHAnsi"/>
              </w:rPr>
              <w:t>kN/m</w:t>
            </w:r>
          </w:p>
        </w:tc>
        <w:tc>
          <w:tcPr>
            <w:tcW w:w="1415" w:type="dxa"/>
          </w:tcPr>
          <w:p w:rsidR="007A1748" w:rsidRPr="0001511E" w:rsidRDefault="007A1748" w:rsidP="00C26550">
            <w:pPr>
              <w:numPr>
                <w:ilvl w:val="12"/>
                <w:numId w:val="0"/>
              </w:numPr>
              <w:jc w:val="center"/>
              <w:rPr>
                <w:rFonts w:asciiTheme="minorHAnsi" w:hAnsiTheme="minorHAnsi"/>
              </w:rPr>
            </w:pPr>
          </w:p>
          <w:p w:rsidR="007A1748" w:rsidRPr="0001511E" w:rsidRDefault="007A1748" w:rsidP="00C26550">
            <w:pPr>
              <w:numPr>
                <w:ilvl w:val="12"/>
                <w:numId w:val="0"/>
              </w:numPr>
              <w:jc w:val="center"/>
              <w:rPr>
                <w:rFonts w:asciiTheme="minorHAnsi" w:hAnsiTheme="minorHAnsi"/>
              </w:rPr>
            </w:pPr>
            <w:r w:rsidRPr="0001511E">
              <w:rPr>
                <w:rFonts w:asciiTheme="minorHAnsi" w:hAnsiTheme="minorHAnsi"/>
              </w:rPr>
              <w:t>2</w:t>
            </w:r>
          </w:p>
          <w:p w:rsidR="007A1748" w:rsidRPr="0001511E" w:rsidRDefault="007A1748" w:rsidP="00C26550">
            <w:pPr>
              <w:numPr>
                <w:ilvl w:val="12"/>
                <w:numId w:val="0"/>
              </w:numPr>
              <w:jc w:val="center"/>
              <w:rPr>
                <w:rFonts w:asciiTheme="minorHAnsi" w:hAnsiTheme="minorHAnsi"/>
              </w:rPr>
            </w:pPr>
            <w:r w:rsidRPr="0001511E">
              <w:rPr>
                <w:rFonts w:asciiTheme="minorHAnsi" w:hAnsiTheme="minorHAnsi"/>
              </w:rPr>
              <w:t>200</w:t>
            </w:r>
          </w:p>
        </w:tc>
        <w:tc>
          <w:tcPr>
            <w:tcW w:w="1415" w:type="dxa"/>
            <w:gridSpan w:val="2"/>
          </w:tcPr>
          <w:p w:rsidR="007A1748" w:rsidRPr="0001511E" w:rsidRDefault="007A1748" w:rsidP="00C26550">
            <w:pPr>
              <w:numPr>
                <w:ilvl w:val="12"/>
                <w:numId w:val="0"/>
              </w:numPr>
              <w:jc w:val="center"/>
              <w:rPr>
                <w:rFonts w:asciiTheme="minorHAnsi" w:hAnsiTheme="minorHAnsi"/>
              </w:rPr>
            </w:pPr>
          </w:p>
          <w:p w:rsidR="007A1748" w:rsidRPr="0001511E" w:rsidRDefault="007A1748" w:rsidP="00C26550">
            <w:pPr>
              <w:numPr>
                <w:ilvl w:val="12"/>
                <w:numId w:val="0"/>
              </w:numPr>
              <w:jc w:val="center"/>
              <w:rPr>
                <w:rFonts w:asciiTheme="minorHAnsi" w:hAnsiTheme="minorHAnsi"/>
              </w:rPr>
            </w:pPr>
            <w:r w:rsidRPr="0001511E">
              <w:rPr>
                <w:rFonts w:asciiTheme="minorHAnsi" w:hAnsiTheme="minorHAnsi"/>
              </w:rPr>
              <w:t>2</w:t>
            </w:r>
          </w:p>
          <w:p w:rsidR="007A1748" w:rsidRPr="0001511E" w:rsidRDefault="007A1748" w:rsidP="00C26550">
            <w:pPr>
              <w:numPr>
                <w:ilvl w:val="12"/>
                <w:numId w:val="0"/>
              </w:numPr>
              <w:jc w:val="center"/>
              <w:rPr>
                <w:rFonts w:asciiTheme="minorHAnsi" w:hAnsiTheme="minorHAnsi"/>
              </w:rPr>
            </w:pPr>
            <w:r w:rsidRPr="0001511E">
              <w:rPr>
                <w:rFonts w:asciiTheme="minorHAnsi" w:hAnsiTheme="minorHAnsi"/>
              </w:rPr>
              <w:t>200</w:t>
            </w:r>
          </w:p>
        </w:tc>
      </w:tr>
    </w:tbl>
    <w:p w:rsidR="007A1748" w:rsidRPr="0001511E" w:rsidRDefault="007A1748" w:rsidP="007A1748">
      <w:pPr>
        <w:rPr>
          <w:rFonts w:asciiTheme="minorHAnsi" w:hAnsiTheme="minorHAnsi"/>
        </w:rPr>
      </w:pPr>
      <w:r w:rsidRPr="0001511E">
        <w:rPr>
          <w:rFonts w:asciiTheme="minorHAnsi" w:hAnsiTheme="minorHAnsi"/>
        </w:rPr>
        <w:lastRenderedPageBreak/>
        <w:t>ZAŁĄCZNIK 5</w:t>
      </w:r>
    </w:p>
    <w:p w:rsidR="007A1748" w:rsidRPr="0001511E" w:rsidRDefault="007A1748" w:rsidP="007A1748">
      <w:pPr>
        <w:rPr>
          <w:rFonts w:asciiTheme="minorHAnsi" w:hAnsiTheme="minorHAnsi"/>
        </w:rPr>
      </w:pPr>
    </w:p>
    <w:p w:rsidR="007A1748" w:rsidRPr="0001511E" w:rsidRDefault="007A1748" w:rsidP="007A1748">
      <w:pPr>
        <w:rPr>
          <w:rFonts w:asciiTheme="minorHAnsi" w:hAnsiTheme="minorHAnsi"/>
        </w:rPr>
      </w:pPr>
      <w:r w:rsidRPr="0001511E">
        <w:rPr>
          <w:rFonts w:asciiTheme="minorHAnsi" w:hAnsiTheme="minorHAnsi"/>
        </w:rPr>
        <w:t>PRZYKŁADY   ZABEZPIECZENIA   GEOSIATKĄ   NAWIERZCHNI</w:t>
      </w:r>
    </w:p>
    <w:p w:rsidR="007A1748" w:rsidRPr="0001511E" w:rsidRDefault="007A1748" w:rsidP="007A1748">
      <w:pPr>
        <w:rPr>
          <w:rFonts w:asciiTheme="minorHAnsi" w:hAnsiTheme="minorHAnsi"/>
        </w:rPr>
      </w:pPr>
      <w:r w:rsidRPr="0001511E">
        <w:rPr>
          <w:rFonts w:asciiTheme="minorHAnsi" w:hAnsiTheme="minorHAnsi"/>
        </w:rPr>
        <w:t>ASFALTOWEJ   W   STREFIE   SPĘKAŃ</w:t>
      </w:r>
    </w:p>
    <w:p w:rsidR="007A1748" w:rsidRPr="0001511E" w:rsidRDefault="007A1748" w:rsidP="007A1748">
      <w:pPr>
        <w:rPr>
          <w:rFonts w:asciiTheme="minorHAnsi" w:hAnsiTheme="minorHAnsi"/>
        </w:rPr>
      </w:pPr>
      <w:r w:rsidRPr="0001511E">
        <w:rPr>
          <w:rFonts w:asciiTheme="minorHAnsi" w:hAnsiTheme="minorHAnsi"/>
        </w:rPr>
        <w:t>(wg opracowania Politechniki Krakowskiej, Instytut Dróg, Kolei i Mostów)</w:t>
      </w:r>
    </w:p>
    <w:p w:rsidR="007A1748" w:rsidRDefault="007A1748" w:rsidP="007A1748">
      <w:pPr>
        <w:rPr>
          <w:rFonts w:asciiTheme="minorHAnsi" w:hAnsiTheme="minorHAnsi"/>
        </w:rPr>
      </w:pPr>
    </w:p>
    <w:p w:rsidR="007A1748" w:rsidRDefault="007A1748" w:rsidP="007A1748">
      <w:pPr>
        <w:rPr>
          <w:rFonts w:asciiTheme="minorHAnsi" w:hAnsiTheme="minorHAnsi"/>
        </w:rPr>
      </w:pPr>
    </w:p>
    <w:p w:rsidR="007A1748" w:rsidRPr="0001511E" w:rsidRDefault="007A1748" w:rsidP="007A1748">
      <w:pPr>
        <w:rPr>
          <w:rFonts w:asciiTheme="minorHAnsi" w:hAnsiTheme="minorHAnsi"/>
        </w:rPr>
      </w:pPr>
      <w:r w:rsidRPr="0001511E">
        <w:rPr>
          <w:rFonts w:asciiTheme="minorHAnsi" w:hAnsiTheme="minorHAnsi"/>
        </w:rPr>
        <w:t>Rys. 1. Wzmocnienie nawierzchni asfaltowej nad przekopem instalacyjnym</w:t>
      </w:r>
    </w:p>
    <w:p w:rsidR="007A1748" w:rsidRDefault="007A1748" w:rsidP="007A1748">
      <w:pPr>
        <w:spacing w:before="120" w:after="120"/>
        <w:ind w:left="709" w:hanging="709"/>
      </w:pPr>
      <w:r>
        <w:rPr>
          <w:noProof/>
        </w:rPr>
        <w:drawing>
          <wp:inline distT="0" distB="0" distL="0" distR="0">
            <wp:extent cx="4084955" cy="1531620"/>
            <wp:effectExtent l="19050" t="0" r="0" b="0"/>
            <wp:docPr id="26" name="Obraz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pic:cNvPicPr>
                      <a:picLocks noChangeAspect="1" noChangeArrowheads="1"/>
                    </pic:cNvPicPr>
                  </pic:nvPicPr>
                  <pic:blipFill>
                    <a:blip r:embed="rId86" cstate="print"/>
                    <a:srcRect/>
                    <a:stretch>
                      <a:fillRect/>
                    </a:stretch>
                  </pic:blipFill>
                  <pic:spPr bwMode="auto">
                    <a:xfrm>
                      <a:off x="0" y="0"/>
                      <a:ext cx="4084955" cy="1531620"/>
                    </a:xfrm>
                    <a:prstGeom prst="rect">
                      <a:avLst/>
                    </a:prstGeom>
                    <a:noFill/>
                    <a:ln w="9525">
                      <a:noFill/>
                      <a:miter lim="800000"/>
                      <a:headEnd/>
                      <a:tailEnd/>
                    </a:ln>
                  </pic:spPr>
                </pic:pic>
              </a:graphicData>
            </a:graphic>
          </wp:inline>
        </w:drawing>
      </w:r>
    </w:p>
    <w:p w:rsidR="007A1748" w:rsidRDefault="007A1748" w:rsidP="007A1748">
      <w:pPr>
        <w:rPr>
          <w:rFonts w:asciiTheme="minorHAnsi" w:hAnsiTheme="minorHAnsi"/>
        </w:rPr>
      </w:pPr>
    </w:p>
    <w:p w:rsidR="007A1748" w:rsidRDefault="007A1748" w:rsidP="007A1748">
      <w:pPr>
        <w:rPr>
          <w:rFonts w:asciiTheme="minorHAnsi" w:hAnsiTheme="minorHAnsi"/>
        </w:rPr>
      </w:pPr>
    </w:p>
    <w:p w:rsidR="007A1748" w:rsidRPr="0001511E" w:rsidRDefault="007A1748" w:rsidP="007A1748">
      <w:pPr>
        <w:rPr>
          <w:rFonts w:asciiTheme="minorHAnsi" w:hAnsiTheme="minorHAnsi"/>
        </w:rPr>
      </w:pPr>
      <w:r w:rsidRPr="0001511E">
        <w:rPr>
          <w:rFonts w:asciiTheme="minorHAnsi" w:hAnsiTheme="minorHAnsi"/>
        </w:rPr>
        <w:t>Rys. 2. Wzmocnienie nawierzchni asfaltowej w strefie zmiany nośności podłoża gruntowego</w:t>
      </w:r>
    </w:p>
    <w:p w:rsidR="007A1748" w:rsidRDefault="007A1748" w:rsidP="007A1748">
      <w:pPr>
        <w:spacing w:before="120" w:after="120"/>
        <w:ind w:left="851" w:hanging="851"/>
      </w:pPr>
      <w:r>
        <w:rPr>
          <w:noProof/>
        </w:rPr>
        <w:drawing>
          <wp:inline distT="0" distB="0" distL="0" distR="0">
            <wp:extent cx="4667250" cy="2161540"/>
            <wp:effectExtent l="19050" t="0" r="0" b="0"/>
            <wp:docPr id="25" name="Obraz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
                    <pic:cNvPicPr>
                      <a:picLocks noChangeAspect="1" noChangeArrowheads="1"/>
                    </pic:cNvPicPr>
                  </pic:nvPicPr>
                  <pic:blipFill>
                    <a:blip r:embed="rId87" cstate="print"/>
                    <a:srcRect/>
                    <a:stretch>
                      <a:fillRect/>
                    </a:stretch>
                  </pic:blipFill>
                  <pic:spPr bwMode="auto">
                    <a:xfrm>
                      <a:off x="0" y="0"/>
                      <a:ext cx="4667250" cy="2161540"/>
                    </a:xfrm>
                    <a:prstGeom prst="rect">
                      <a:avLst/>
                    </a:prstGeom>
                    <a:noFill/>
                    <a:ln w="9525">
                      <a:noFill/>
                      <a:miter lim="800000"/>
                      <a:headEnd/>
                      <a:tailEnd/>
                    </a:ln>
                  </pic:spPr>
                </pic:pic>
              </a:graphicData>
            </a:graphic>
          </wp:inline>
        </w:drawing>
      </w:r>
    </w:p>
    <w:p w:rsidR="007A1748" w:rsidRDefault="007A1748" w:rsidP="007A1748">
      <w:pPr>
        <w:ind w:left="709" w:hanging="709"/>
      </w:pPr>
    </w:p>
    <w:p w:rsidR="007A1748" w:rsidRDefault="007A1748" w:rsidP="007A1748">
      <w:pPr>
        <w:ind w:left="709" w:hanging="709"/>
      </w:pPr>
    </w:p>
    <w:p w:rsidR="007A1748" w:rsidRPr="0001511E" w:rsidRDefault="007A1748" w:rsidP="007A1748">
      <w:pPr>
        <w:rPr>
          <w:rFonts w:asciiTheme="minorHAnsi" w:hAnsiTheme="minorHAnsi"/>
        </w:rPr>
      </w:pPr>
      <w:r w:rsidRPr="0001511E">
        <w:rPr>
          <w:rFonts w:asciiTheme="minorHAnsi" w:hAnsiTheme="minorHAnsi"/>
        </w:rPr>
        <w:t>Rys. 3. Wzmocnienie nawierzchni asfaltowej w strefie spoiny roboczej</w:t>
      </w:r>
    </w:p>
    <w:p w:rsidR="007A1748" w:rsidRDefault="007A1748" w:rsidP="007A1748">
      <w:pPr>
        <w:spacing w:before="120"/>
      </w:pPr>
    </w:p>
    <w:p w:rsidR="007A1748" w:rsidRDefault="007A1748" w:rsidP="007A1748">
      <w:pPr>
        <w:spacing w:before="120"/>
      </w:pPr>
      <w:r>
        <w:rPr>
          <w:noProof/>
        </w:rPr>
        <w:drawing>
          <wp:inline distT="0" distB="0" distL="0" distR="0">
            <wp:extent cx="4192270" cy="1935480"/>
            <wp:effectExtent l="19050" t="0" r="0" b="0"/>
            <wp:docPr id="24" name="Obraz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
                    <pic:cNvPicPr>
                      <a:picLocks noChangeAspect="1" noChangeArrowheads="1"/>
                    </pic:cNvPicPr>
                  </pic:nvPicPr>
                  <pic:blipFill>
                    <a:blip r:embed="rId88" cstate="print"/>
                    <a:srcRect/>
                    <a:stretch>
                      <a:fillRect/>
                    </a:stretch>
                  </pic:blipFill>
                  <pic:spPr bwMode="auto">
                    <a:xfrm>
                      <a:off x="0" y="0"/>
                      <a:ext cx="4192270" cy="1935480"/>
                    </a:xfrm>
                    <a:prstGeom prst="rect">
                      <a:avLst/>
                    </a:prstGeom>
                    <a:noFill/>
                    <a:ln w="9525">
                      <a:noFill/>
                      <a:miter lim="800000"/>
                      <a:headEnd/>
                      <a:tailEnd/>
                    </a:ln>
                  </pic:spPr>
                </pic:pic>
              </a:graphicData>
            </a:graphic>
          </wp:inline>
        </w:drawing>
      </w:r>
    </w:p>
    <w:p w:rsidR="007A1748" w:rsidRDefault="007A1748" w:rsidP="007A1748"/>
    <w:p w:rsidR="007A1748" w:rsidRDefault="007A1748" w:rsidP="007A1748"/>
    <w:p w:rsidR="007A1748" w:rsidRDefault="007A1748" w:rsidP="007A1748"/>
    <w:p w:rsidR="007A1748" w:rsidRDefault="007A1748" w:rsidP="007A1748"/>
    <w:p w:rsidR="007A1748" w:rsidRDefault="007A1748" w:rsidP="007A1748"/>
    <w:p w:rsidR="00180FC1" w:rsidRDefault="00180FC1" w:rsidP="007A1748"/>
    <w:p w:rsidR="007A1748" w:rsidRPr="0001511E" w:rsidRDefault="007A1748" w:rsidP="007A1748">
      <w:pPr>
        <w:rPr>
          <w:rFonts w:asciiTheme="minorHAnsi" w:hAnsiTheme="minorHAnsi"/>
        </w:rPr>
      </w:pPr>
      <w:r w:rsidRPr="0001511E">
        <w:rPr>
          <w:rFonts w:asciiTheme="minorHAnsi" w:hAnsiTheme="minorHAnsi"/>
        </w:rPr>
        <w:lastRenderedPageBreak/>
        <w:t>Rys. 4. Wzmocnienie nawierzchni asfaltowej w strefie zmiany konstrukcji nawierzchni</w:t>
      </w:r>
    </w:p>
    <w:p w:rsidR="007A1748" w:rsidRDefault="007A1748" w:rsidP="007A1748">
      <w:pPr>
        <w:keepNext/>
      </w:pPr>
    </w:p>
    <w:p w:rsidR="007A1748" w:rsidRDefault="007A1748" w:rsidP="007A1748">
      <w:r>
        <w:rPr>
          <w:noProof/>
        </w:rPr>
        <w:drawing>
          <wp:inline distT="0" distB="0" distL="0" distR="0">
            <wp:extent cx="4678680" cy="2018665"/>
            <wp:effectExtent l="19050" t="0" r="7620" b="0"/>
            <wp:docPr id="23" name="Obraz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
                    <pic:cNvPicPr>
                      <a:picLocks noChangeAspect="1" noChangeArrowheads="1"/>
                    </pic:cNvPicPr>
                  </pic:nvPicPr>
                  <pic:blipFill>
                    <a:blip r:embed="rId89" cstate="print"/>
                    <a:srcRect/>
                    <a:stretch>
                      <a:fillRect/>
                    </a:stretch>
                  </pic:blipFill>
                  <pic:spPr bwMode="auto">
                    <a:xfrm>
                      <a:off x="0" y="0"/>
                      <a:ext cx="4678680" cy="2018665"/>
                    </a:xfrm>
                    <a:prstGeom prst="rect">
                      <a:avLst/>
                    </a:prstGeom>
                    <a:noFill/>
                    <a:ln w="9525">
                      <a:noFill/>
                      <a:miter lim="800000"/>
                      <a:headEnd/>
                      <a:tailEnd/>
                    </a:ln>
                  </pic:spPr>
                </pic:pic>
              </a:graphicData>
            </a:graphic>
          </wp:inline>
        </w:drawing>
      </w:r>
    </w:p>
    <w:p w:rsidR="007A1748" w:rsidRDefault="007A1748" w:rsidP="007A1748">
      <w:pPr>
        <w:spacing w:before="120"/>
      </w:pPr>
    </w:p>
    <w:p w:rsidR="007A1748" w:rsidRDefault="007A1748" w:rsidP="007A1748">
      <w:pPr>
        <w:rPr>
          <w:rFonts w:asciiTheme="minorHAnsi" w:hAnsiTheme="minorHAnsi"/>
        </w:rPr>
      </w:pPr>
    </w:p>
    <w:p w:rsidR="007A1748" w:rsidRPr="0001511E" w:rsidRDefault="007A1748" w:rsidP="007A1748">
      <w:pPr>
        <w:rPr>
          <w:rFonts w:asciiTheme="minorHAnsi" w:hAnsiTheme="minorHAnsi"/>
        </w:rPr>
      </w:pPr>
      <w:r w:rsidRPr="0001511E">
        <w:rPr>
          <w:rFonts w:asciiTheme="minorHAnsi" w:hAnsiTheme="minorHAnsi"/>
        </w:rPr>
        <w:t>Rys. 5. Wzmocnienie nawierzchni asfaltowej w strefie poszerzenia nawierzchni</w:t>
      </w:r>
    </w:p>
    <w:p w:rsidR="007A1748" w:rsidRDefault="007A1748" w:rsidP="007A1748">
      <w:pPr>
        <w:rPr>
          <w:rFonts w:asciiTheme="minorHAnsi" w:hAnsiTheme="minorHAnsi"/>
        </w:rPr>
      </w:pPr>
    </w:p>
    <w:p w:rsidR="007A1748" w:rsidRPr="0001511E" w:rsidRDefault="007A1748" w:rsidP="007A1748">
      <w:pPr>
        <w:rPr>
          <w:rFonts w:asciiTheme="minorHAnsi" w:hAnsiTheme="minorHAnsi"/>
        </w:rPr>
      </w:pPr>
      <w:r w:rsidRPr="0001511E">
        <w:rPr>
          <w:rFonts w:asciiTheme="minorHAnsi" w:hAnsiTheme="minorHAnsi"/>
        </w:rPr>
        <w:t>a)  wariant 1</w:t>
      </w:r>
    </w:p>
    <w:p w:rsidR="007A1748" w:rsidRPr="0001511E" w:rsidRDefault="007A1748" w:rsidP="007A1748">
      <w:pPr>
        <w:rPr>
          <w:rFonts w:asciiTheme="minorHAnsi" w:hAnsiTheme="minorHAnsi"/>
        </w:rPr>
      </w:pPr>
      <w:r>
        <w:rPr>
          <w:rFonts w:asciiTheme="minorHAnsi" w:hAnsiTheme="minorHAnsi"/>
          <w:noProof/>
        </w:rPr>
        <w:drawing>
          <wp:inline distT="0" distB="0" distL="0" distR="0">
            <wp:extent cx="4429760" cy="1638935"/>
            <wp:effectExtent l="19050" t="0" r="8890" b="0"/>
            <wp:docPr id="22" name="Obraz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
                    <pic:cNvPicPr>
                      <a:picLocks noChangeAspect="1" noChangeArrowheads="1"/>
                    </pic:cNvPicPr>
                  </pic:nvPicPr>
                  <pic:blipFill>
                    <a:blip r:embed="rId90" cstate="print"/>
                    <a:srcRect/>
                    <a:stretch>
                      <a:fillRect/>
                    </a:stretch>
                  </pic:blipFill>
                  <pic:spPr bwMode="auto">
                    <a:xfrm>
                      <a:off x="0" y="0"/>
                      <a:ext cx="4429760" cy="1638935"/>
                    </a:xfrm>
                    <a:prstGeom prst="rect">
                      <a:avLst/>
                    </a:prstGeom>
                    <a:noFill/>
                    <a:ln w="9525">
                      <a:noFill/>
                      <a:miter lim="800000"/>
                      <a:headEnd/>
                      <a:tailEnd/>
                    </a:ln>
                  </pic:spPr>
                </pic:pic>
              </a:graphicData>
            </a:graphic>
          </wp:inline>
        </w:drawing>
      </w:r>
    </w:p>
    <w:p w:rsidR="007A1748" w:rsidRDefault="007A1748" w:rsidP="007A1748">
      <w:pPr>
        <w:rPr>
          <w:rFonts w:asciiTheme="minorHAnsi" w:hAnsiTheme="minorHAnsi"/>
        </w:rPr>
      </w:pPr>
    </w:p>
    <w:p w:rsidR="007A1748" w:rsidRPr="0001511E" w:rsidRDefault="007A1748" w:rsidP="007A1748">
      <w:pPr>
        <w:rPr>
          <w:rFonts w:asciiTheme="minorHAnsi" w:hAnsiTheme="minorHAnsi"/>
        </w:rPr>
      </w:pPr>
      <w:r w:rsidRPr="0001511E">
        <w:rPr>
          <w:rFonts w:asciiTheme="minorHAnsi" w:hAnsiTheme="minorHAnsi"/>
        </w:rPr>
        <w:t>b)  wariant 2</w:t>
      </w:r>
    </w:p>
    <w:p w:rsidR="007A1748" w:rsidRDefault="007A1748" w:rsidP="007A1748">
      <w:pPr>
        <w:spacing w:after="120"/>
      </w:pPr>
      <w:r>
        <w:rPr>
          <w:noProof/>
        </w:rPr>
        <w:drawing>
          <wp:inline distT="0" distB="0" distL="0" distR="0">
            <wp:extent cx="4607560" cy="1424940"/>
            <wp:effectExtent l="19050" t="0" r="2540" b="0"/>
            <wp:docPr id="19" name="Obraz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
                    <pic:cNvPicPr>
                      <a:picLocks noChangeAspect="1" noChangeArrowheads="1"/>
                    </pic:cNvPicPr>
                  </pic:nvPicPr>
                  <pic:blipFill>
                    <a:blip r:embed="rId91" cstate="print"/>
                    <a:srcRect/>
                    <a:stretch>
                      <a:fillRect/>
                    </a:stretch>
                  </pic:blipFill>
                  <pic:spPr bwMode="auto">
                    <a:xfrm>
                      <a:off x="0" y="0"/>
                      <a:ext cx="4607560" cy="1424940"/>
                    </a:xfrm>
                    <a:prstGeom prst="rect">
                      <a:avLst/>
                    </a:prstGeom>
                    <a:noFill/>
                    <a:ln w="9525">
                      <a:noFill/>
                      <a:miter lim="800000"/>
                      <a:headEnd/>
                      <a:tailEnd/>
                    </a:ln>
                  </pic:spPr>
                </pic:pic>
              </a:graphicData>
            </a:graphic>
          </wp:inline>
        </w:drawing>
      </w:r>
    </w:p>
    <w:p w:rsidR="007A1748" w:rsidRDefault="007A1748" w:rsidP="007A1748">
      <w:pPr>
        <w:rPr>
          <w:rFonts w:asciiTheme="minorHAnsi" w:hAnsiTheme="minorHAnsi"/>
        </w:rPr>
      </w:pPr>
    </w:p>
    <w:p w:rsidR="007A1748" w:rsidRPr="0001511E" w:rsidRDefault="007A1748" w:rsidP="007A1748">
      <w:pPr>
        <w:rPr>
          <w:rFonts w:asciiTheme="minorHAnsi" w:hAnsiTheme="minorHAnsi"/>
        </w:rPr>
      </w:pPr>
      <w:r w:rsidRPr="0001511E">
        <w:rPr>
          <w:rFonts w:asciiTheme="minorHAnsi" w:hAnsiTheme="minorHAnsi"/>
        </w:rPr>
        <w:t>Rys. 6. Wzmocnienie nawierzchni asfaltowej na podbudowie z gruntu stabilizowanego cementem</w:t>
      </w:r>
    </w:p>
    <w:p w:rsidR="007A1748" w:rsidRDefault="007A1748" w:rsidP="007A1748">
      <w:pPr>
        <w:spacing w:before="120" w:after="240"/>
        <w:ind w:left="709" w:hanging="709"/>
      </w:pPr>
      <w:r>
        <w:rPr>
          <w:noProof/>
        </w:rPr>
        <w:drawing>
          <wp:inline distT="0" distB="0" distL="0" distR="0">
            <wp:extent cx="4500880" cy="1816735"/>
            <wp:effectExtent l="19050" t="0" r="0" b="0"/>
            <wp:docPr id="20" name="Obraz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
                    <pic:cNvPicPr>
                      <a:picLocks noChangeAspect="1" noChangeArrowheads="1"/>
                    </pic:cNvPicPr>
                  </pic:nvPicPr>
                  <pic:blipFill>
                    <a:blip r:embed="rId92" cstate="print"/>
                    <a:srcRect/>
                    <a:stretch>
                      <a:fillRect/>
                    </a:stretch>
                  </pic:blipFill>
                  <pic:spPr bwMode="auto">
                    <a:xfrm>
                      <a:off x="0" y="0"/>
                      <a:ext cx="4500880" cy="1816735"/>
                    </a:xfrm>
                    <a:prstGeom prst="rect">
                      <a:avLst/>
                    </a:prstGeom>
                    <a:noFill/>
                    <a:ln w="9525">
                      <a:noFill/>
                      <a:miter lim="800000"/>
                      <a:headEnd/>
                      <a:tailEnd/>
                    </a:ln>
                  </pic:spPr>
                </pic:pic>
              </a:graphicData>
            </a:graphic>
          </wp:inline>
        </w:drawing>
      </w:r>
    </w:p>
    <w:p w:rsidR="007A1748" w:rsidRDefault="007A1748" w:rsidP="007A1748">
      <w:pPr>
        <w:rPr>
          <w:rFonts w:asciiTheme="minorHAnsi" w:hAnsiTheme="minorHAnsi"/>
        </w:rPr>
      </w:pPr>
    </w:p>
    <w:p w:rsidR="007A1748" w:rsidRPr="0001511E" w:rsidRDefault="007A1748" w:rsidP="007A1748">
      <w:pPr>
        <w:rPr>
          <w:rFonts w:asciiTheme="minorHAnsi" w:hAnsiTheme="minorHAnsi"/>
        </w:rPr>
      </w:pPr>
      <w:r w:rsidRPr="0001511E">
        <w:rPr>
          <w:rFonts w:asciiTheme="minorHAnsi" w:hAnsiTheme="minorHAnsi"/>
        </w:rPr>
        <w:lastRenderedPageBreak/>
        <w:t>Rys. 7. Wzmocnienie nawierzchni asfaltowej położonej na istniejącej nawierzchni z betonu cementowego</w:t>
      </w:r>
    </w:p>
    <w:p w:rsidR="007A1748" w:rsidRDefault="007A1748" w:rsidP="007A1748">
      <w:pPr>
        <w:spacing w:before="120" w:after="240"/>
        <w:ind w:left="709" w:hanging="709"/>
      </w:pPr>
      <w:r>
        <w:rPr>
          <w:noProof/>
        </w:rPr>
        <w:drawing>
          <wp:inline distT="0" distB="0" distL="0" distR="0">
            <wp:extent cx="4643120" cy="1603375"/>
            <wp:effectExtent l="19050" t="0" r="5080" b="0"/>
            <wp:docPr id="21" name="Obraz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
                    <pic:cNvPicPr>
                      <a:picLocks noChangeAspect="1" noChangeArrowheads="1"/>
                    </pic:cNvPicPr>
                  </pic:nvPicPr>
                  <pic:blipFill>
                    <a:blip r:embed="rId93" cstate="print"/>
                    <a:srcRect/>
                    <a:stretch>
                      <a:fillRect/>
                    </a:stretch>
                  </pic:blipFill>
                  <pic:spPr bwMode="auto">
                    <a:xfrm>
                      <a:off x="0" y="0"/>
                      <a:ext cx="4643120" cy="1603375"/>
                    </a:xfrm>
                    <a:prstGeom prst="rect">
                      <a:avLst/>
                    </a:prstGeom>
                    <a:noFill/>
                    <a:ln w="9525">
                      <a:noFill/>
                      <a:miter lim="800000"/>
                      <a:headEnd/>
                      <a:tailEnd/>
                    </a:ln>
                  </pic:spPr>
                </pic:pic>
              </a:graphicData>
            </a:graphic>
          </wp:inline>
        </w:drawing>
      </w:r>
    </w:p>
    <w:p w:rsidR="007A1748" w:rsidRDefault="007A1748" w:rsidP="007A1748">
      <w:pPr>
        <w:spacing w:before="120" w:after="240"/>
        <w:ind w:left="709" w:hanging="709"/>
      </w:pPr>
    </w:p>
    <w:p w:rsidR="00AA5B22" w:rsidRDefault="00AA5B22" w:rsidP="001C1829">
      <w:pPr>
        <w:spacing w:after="120"/>
      </w:pPr>
    </w:p>
    <w:p w:rsidR="009B7C43" w:rsidRDefault="009B7C43" w:rsidP="001C1829">
      <w:pPr>
        <w:spacing w:after="120"/>
      </w:pPr>
    </w:p>
    <w:p w:rsidR="000C27BF" w:rsidRDefault="000C27BF" w:rsidP="001C1829">
      <w:pPr>
        <w:spacing w:after="120"/>
      </w:pPr>
    </w:p>
    <w:p w:rsidR="002C49DF" w:rsidRDefault="002C49DF" w:rsidP="002C49DF"/>
    <w:p w:rsidR="002C49DF" w:rsidRDefault="002C49DF" w:rsidP="002C49DF"/>
    <w:p w:rsidR="002C49DF" w:rsidRDefault="002C49DF" w:rsidP="002C49DF"/>
    <w:p w:rsidR="002C49DF" w:rsidRDefault="002C49DF" w:rsidP="002C49DF"/>
    <w:p w:rsidR="002C49DF" w:rsidRDefault="002C49DF" w:rsidP="002C49DF"/>
    <w:p w:rsidR="002C49DF" w:rsidRDefault="002C49DF" w:rsidP="002C49DF"/>
    <w:p w:rsidR="002C49DF" w:rsidRDefault="002C49DF" w:rsidP="002C49DF"/>
    <w:p w:rsidR="002C49DF" w:rsidRDefault="002C49DF" w:rsidP="002C49DF"/>
    <w:p w:rsidR="007A1748" w:rsidRDefault="007A1748" w:rsidP="002C49DF"/>
    <w:p w:rsidR="007A1748" w:rsidRDefault="007A1748" w:rsidP="002C49DF"/>
    <w:p w:rsidR="007A1748" w:rsidRDefault="007A1748" w:rsidP="002C49DF"/>
    <w:p w:rsidR="007A1748" w:rsidRDefault="007A1748" w:rsidP="002C49DF"/>
    <w:p w:rsidR="007A1748" w:rsidRDefault="007A1748" w:rsidP="002C49DF"/>
    <w:p w:rsidR="007A1748" w:rsidRDefault="007A1748" w:rsidP="002C49DF"/>
    <w:p w:rsidR="007A1748" w:rsidRDefault="007A1748" w:rsidP="002C49DF"/>
    <w:p w:rsidR="007A1748" w:rsidRDefault="007A1748" w:rsidP="002C49DF"/>
    <w:p w:rsidR="007A1748" w:rsidRDefault="007A1748" w:rsidP="002C49DF"/>
    <w:p w:rsidR="007A1748" w:rsidRDefault="007A1748" w:rsidP="002C49DF"/>
    <w:p w:rsidR="007A1748" w:rsidRDefault="007A1748" w:rsidP="002C49DF"/>
    <w:p w:rsidR="007A1748" w:rsidRDefault="007A1748" w:rsidP="002C49DF"/>
    <w:p w:rsidR="007A1748" w:rsidRDefault="007A1748" w:rsidP="002C49DF"/>
    <w:p w:rsidR="007A1748" w:rsidRDefault="007A1748" w:rsidP="002C49DF"/>
    <w:p w:rsidR="007A1748" w:rsidRDefault="007A1748" w:rsidP="002C49DF"/>
    <w:p w:rsidR="007A1748" w:rsidRDefault="007A1748" w:rsidP="002C49DF"/>
    <w:p w:rsidR="007A1748" w:rsidRDefault="007A1748" w:rsidP="002C49DF"/>
    <w:p w:rsidR="007A1748" w:rsidRDefault="007A1748" w:rsidP="002C49DF"/>
    <w:p w:rsidR="007A1748" w:rsidRDefault="007A1748" w:rsidP="002C49DF"/>
    <w:p w:rsidR="007A1748" w:rsidRDefault="007A1748" w:rsidP="002C49DF"/>
    <w:p w:rsidR="007A1748" w:rsidRDefault="007A1748" w:rsidP="002C49DF"/>
    <w:p w:rsidR="007A1748" w:rsidRDefault="007A1748" w:rsidP="002C49DF"/>
    <w:p w:rsidR="007A1748" w:rsidRDefault="007A1748" w:rsidP="002C49DF"/>
    <w:p w:rsidR="007A1748" w:rsidRDefault="007A1748" w:rsidP="002C49DF"/>
    <w:p w:rsidR="007A1748" w:rsidRDefault="007A1748" w:rsidP="002C49DF"/>
    <w:p w:rsidR="007A1748" w:rsidRDefault="007A1748" w:rsidP="002C49DF"/>
    <w:p w:rsidR="007A1748" w:rsidRDefault="007A1748" w:rsidP="002C49DF"/>
    <w:p w:rsidR="007A1748" w:rsidRDefault="007A1748" w:rsidP="002C49DF"/>
    <w:p w:rsidR="007A1748" w:rsidRDefault="007A1748" w:rsidP="002C49DF"/>
    <w:p w:rsidR="007A1748" w:rsidRDefault="007A1748" w:rsidP="002C49DF"/>
    <w:p w:rsidR="007A1748" w:rsidRDefault="007A1748" w:rsidP="002C49DF"/>
    <w:p w:rsidR="007A1748" w:rsidRDefault="007A1748" w:rsidP="002C49DF"/>
    <w:p w:rsidR="007A1748" w:rsidRDefault="007A1748" w:rsidP="002C49DF"/>
    <w:p w:rsidR="007A1748" w:rsidRDefault="007A1748" w:rsidP="002C49DF"/>
    <w:p w:rsidR="007A1748" w:rsidRDefault="007A1748" w:rsidP="002C49DF"/>
    <w:p w:rsidR="007A1748" w:rsidRDefault="007A1748" w:rsidP="002C49DF"/>
    <w:p w:rsidR="007A1748" w:rsidRDefault="007A1748" w:rsidP="002C49DF"/>
    <w:p w:rsidR="007A1748" w:rsidRDefault="007A1748" w:rsidP="002C49DF"/>
    <w:p w:rsidR="007A1748" w:rsidRDefault="007A1748" w:rsidP="002C49DF"/>
    <w:p w:rsidR="007A1748" w:rsidRDefault="007A1748" w:rsidP="002C49DF"/>
    <w:p w:rsidR="007A1748" w:rsidRDefault="007A1748" w:rsidP="002C49DF"/>
    <w:p w:rsidR="007A1748" w:rsidRDefault="007A1748" w:rsidP="002C49DF"/>
    <w:p w:rsidR="007A1748" w:rsidRDefault="007A1748" w:rsidP="002C49DF"/>
    <w:p w:rsidR="007A1748" w:rsidRDefault="007A1748" w:rsidP="002C49DF"/>
    <w:p w:rsidR="007A1748" w:rsidRDefault="007A1748" w:rsidP="002C49DF"/>
    <w:p w:rsidR="007A1748" w:rsidRDefault="007A1748" w:rsidP="002C49DF"/>
    <w:p w:rsidR="007A1748" w:rsidRDefault="007A1748" w:rsidP="002C49DF"/>
    <w:p w:rsidR="007A1748" w:rsidRDefault="007A1748" w:rsidP="002C49DF"/>
    <w:p w:rsidR="007A1748" w:rsidRDefault="007A1748" w:rsidP="002C49DF"/>
    <w:p w:rsidR="007A1748" w:rsidRDefault="007A1748" w:rsidP="002C49DF"/>
    <w:p w:rsidR="007A1748" w:rsidRDefault="007A1748" w:rsidP="002C49DF"/>
    <w:p w:rsidR="002C49DF" w:rsidRDefault="002C49DF" w:rsidP="002C49DF"/>
    <w:p w:rsidR="002C49DF" w:rsidRPr="00E90E02" w:rsidRDefault="002C49DF" w:rsidP="002C49DF"/>
    <w:p w:rsidR="002C49DF" w:rsidRPr="00F05830" w:rsidRDefault="002C49DF" w:rsidP="002C49DF">
      <w:pPr>
        <w:pStyle w:val="Nagwek1"/>
        <w:jc w:val="center"/>
      </w:pPr>
      <w:bookmarkStart w:id="1531" w:name="_Toc416565721"/>
      <w:bookmarkStart w:id="1532" w:name="_Toc438237734"/>
      <w:r w:rsidRPr="00F05830">
        <w:t>D–05.03.26g  POŁĄCZENIE NOWEJ KONSTRUKCJI NAWIERZCHNI  Z NAWIERZCHNIĄ ISTNIEJĄCĄ</w:t>
      </w:r>
      <w:bookmarkEnd w:id="1531"/>
      <w:bookmarkEnd w:id="1532"/>
    </w:p>
    <w:p w:rsidR="002C49DF" w:rsidRDefault="002C49DF" w:rsidP="002C49DF">
      <w:pPr>
        <w:tabs>
          <w:tab w:val="left" w:pos="284"/>
        </w:tabs>
        <w:rPr>
          <w:rFonts w:asciiTheme="minorHAnsi" w:hAnsiTheme="minorHAnsi"/>
          <w:b/>
        </w:rPr>
      </w:pPr>
    </w:p>
    <w:p w:rsidR="002C49DF" w:rsidRDefault="002C49DF" w:rsidP="002C49DF">
      <w:pPr>
        <w:tabs>
          <w:tab w:val="left" w:pos="284"/>
        </w:tabs>
        <w:rPr>
          <w:rFonts w:asciiTheme="minorHAnsi" w:hAnsiTheme="minorHAnsi"/>
          <w:b/>
        </w:rPr>
      </w:pPr>
    </w:p>
    <w:p w:rsidR="002C49DF" w:rsidRDefault="002C49DF" w:rsidP="002C49DF">
      <w:pPr>
        <w:tabs>
          <w:tab w:val="left" w:pos="284"/>
        </w:tabs>
        <w:rPr>
          <w:rFonts w:asciiTheme="minorHAnsi" w:hAnsiTheme="minorHAnsi"/>
          <w:b/>
        </w:rPr>
      </w:pPr>
    </w:p>
    <w:p w:rsidR="002C49DF" w:rsidRDefault="002C49DF" w:rsidP="002C49DF">
      <w:pPr>
        <w:tabs>
          <w:tab w:val="left" w:pos="284"/>
        </w:tabs>
        <w:rPr>
          <w:rFonts w:asciiTheme="minorHAnsi" w:hAnsiTheme="minorHAnsi"/>
          <w:b/>
        </w:rPr>
      </w:pPr>
    </w:p>
    <w:p w:rsidR="002C49DF" w:rsidRDefault="002C49DF" w:rsidP="002C49DF">
      <w:pPr>
        <w:tabs>
          <w:tab w:val="left" w:pos="284"/>
        </w:tabs>
        <w:rPr>
          <w:rFonts w:asciiTheme="minorHAnsi" w:hAnsiTheme="minorHAnsi"/>
          <w:b/>
        </w:rPr>
      </w:pPr>
    </w:p>
    <w:p w:rsidR="002C49DF" w:rsidRDefault="002C49DF" w:rsidP="002C49DF">
      <w:pPr>
        <w:tabs>
          <w:tab w:val="left" w:pos="284"/>
        </w:tabs>
        <w:rPr>
          <w:rFonts w:asciiTheme="minorHAnsi" w:hAnsiTheme="minorHAnsi"/>
          <w:b/>
        </w:rPr>
      </w:pPr>
    </w:p>
    <w:p w:rsidR="002C49DF" w:rsidRDefault="002C49DF" w:rsidP="002C49DF">
      <w:pPr>
        <w:tabs>
          <w:tab w:val="left" w:pos="284"/>
        </w:tabs>
        <w:rPr>
          <w:rFonts w:asciiTheme="minorHAnsi" w:hAnsiTheme="minorHAnsi"/>
          <w:b/>
        </w:rPr>
      </w:pPr>
    </w:p>
    <w:p w:rsidR="002C49DF" w:rsidRDefault="002C49DF" w:rsidP="002C49DF">
      <w:pPr>
        <w:tabs>
          <w:tab w:val="left" w:pos="284"/>
        </w:tabs>
        <w:rPr>
          <w:rFonts w:asciiTheme="minorHAnsi" w:hAnsiTheme="minorHAnsi"/>
          <w:b/>
        </w:rPr>
      </w:pPr>
    </w:p>
    <w:p w:rsidR="002C49DF" w:rsidRDefault="002C49DF" w:rsidP="002C49DF">
      <w:pPr>
        <w:tabs>
          <w:tab w:val="left" w:pos="284"/>
        </w:tabs>
        <w:rPr>
          <w:rFonts w:asciiTheme="minorHAnsi" w:hAnsiTheme="minorHAnsi"/>
          <w:b/>
        </w:rPr>
      </w:pPr>
    </w:p>
    <w:p w:rsidR="002C49DF" w:rsidRDefault="002C49DF" w:rsidP="002C49DF">
      <w:pPr>
        <w:tabs>
          <w:tab w:val="left" w:pos="284"/>
        </w:tabs>
        <w:rPr>
          <w:rFonts w:asciiTheme="minorHAnsi" w:hAnsiTheme="minorHAnsi"/>
          <w:b/>
        </w:rPr>
      </w:pPr>
    </w:p>
    <w:p w:rsidR="002C49DF" w:rsidRDefault="002C49DF" w:rsidP="002C49DF">
      <w:pPr>
        <w:tabs>
          <w:tab w:val="left" w:pos="284"/>
        </w:tabs>
        <w:rPr>
          <w:rFonts w:asciiTheme="minorHAnsi" w:hAnsiTheme="minorHAnsi"/>
          <w:b/>
        </w:rPr>
      </w:pPr>
    </w:p>
    <w:p w:rsidR="002C49DF" w:rsidRDefault="002C49DF" w:rsidP="002C49DF">
      <w:pPr>
        <w:tabs>
          <w:tab w:val="left" w:pos="284"/>
        </w:tabs>
        <w:rPr>
          <w:rFonts w:asciiTheme="minorHAnsi" w:hAnsiTheme="minorHAnsi"/>
          <w:b/>
        </w:rPr>
      </w:pPr>
    </w:p>
    <w:p w:rsidR="002C49DF" w:rsidRDefault="002C49DF" w:rsidP="002C49DF">
      <w:pPr>
        <w:tabs>
          <w:tab w:val="left" w:pos="284"/>
        </w:tabs>
        <w:rPr>
          <w:rFonts w:asciiTheme="minorHAnsi" w:hAnsiTheme="minorHAnsi"/>
          <w:b/>
        </w:rPr>
      </w:pPr>
    </w:p>
    <w:p w:rsidR="002C49DF" w:rsidRDefault="002C49DF" w:rsidP="002C49DF">
      <w:pPr>
        <w:tabs>
          <w:tab w:val="left" w:pos="284"/>
        </w:tabs>
        <w:rPr>
          <w:rFonts w:asciiTheme="minorHAnsi" w:hAnsiTheme="minorHAnsi"/>
          <w:b/>
        </w:rPr>
      </w:pPr>
    </w:p>
    <w:p w:rsidR="002C49DF" w:rsidRDefault="002C49DF" w:rsidP="002C49DF">
      <w:pPr>
        <w:tabs>
          <w:tab w:val="left" w:pos="284"/>
        </w:tabs>
        <w:rPr>
          <w:rFonts w:asciiTheme="minorHAnsi" w:hAnsiTheme="minorHAnsi"/>
          <w:b/>
        </w:rPr>
      </w:pPr>
    </w:p>
    <w:p w:rsidR="002C49DF" w:rsidRDefault="002C49DF" w:rsidP="002C49DF">
      <w:pPr>
        <w:tabs>
          <w:tab w:val="left" w:pos="284"/>
        </w:tabs>
        <w:rPr>
          <w:rFonts w:asciiTheme="minorHAnsi" w:hAnsiTheme="minorHAnsi"/>
          <w:b/>
        </w:rPr>
      </w:pPr>
    </w:p>
    <w:p w:rsidR="002C49DF" w:rsidRDefault="002C49DF" w:rsidP="002C49DF">
      <w:pPr>
        <w:tabs>
          <w:tab w:val="left" w:pos="284"/>
        </w:tabs>
        <w:rPr>
          <w:rFonts w:asciiTheme="minorHAnsi" w:hAnsiTheme="minorHAnsi"/>
          <w:b/>
        </w:rPr>
      </w:pPr>
    </w:p>
    <w:p w:rsidR="002C49DF" w:rsidRDefault="002C49DF" w:rsidP="002C49DF">
      <w:pPr>
        <w:tabs>
          <w:tab w:val="left" w:pos="284"/>
        </w:tabs>
        <w:rPr>
          <w:rFonts w:asciiTheme="minorHAnsi" w:hAnsiTheme="minorHAnsi"/>
          <w:b/>
        </w:rPr>
      </w:pPr>
    </w:p>
    <w:p w:rsidR="002C49DF" w:rsidRDefault="002C49DF" w:rsidP="002C49DF">
      <w:pPr>
        <w:tabs>
          <w:tab w:val="left" w:pos="284"/>
        </w:tabs>
        <w:rPr>
          <w:rFonts w:asciiTheme="minorHAnsi" w:hAnsiTheme="minorHAnsi"/>
          <w:b/>
        </w:rPr>
      </w:pPr>
    </w:p>
    <w:p w:rsidR="002C49DF" w:rsidRDefault="002C49DF" w:rsidP="002C49DF">
      <w:pPr>
        <w:tabs>
          <w:tab w:val="left" w:pos="284"/>
        </w:tabs>
        <w:rPr>
          <w:rFonts w:asciiTheme="minorHAnsi" w:hAnsiTheme="minorHAnsi"/>
          <w:b/>
        </w:rPr>
      </w:pPr>
    </w:p>
    <w:p w:rsidR="002C49DF" w:rsidRDefault="002C49DF" w:rsidP="002C49DF">
      <w:pPr>
        <w:tabs>
          <w:tab w:val="left" w:pos="284"/>
        </w:tabs>
        <w:rPr>
          <w:rFonts w:asciiTheme="minorHAnsi" w:hAnsiTheme="minorHAnsi"/>
          <w:b/>
        </w:rPr>
      </w:pPr>
    </w:p>
    <w:p w:rsidR="002C49DF" w:rsidRDefault="002C49DF" w:rsidP="002C49DF">
      <w:pPr>
        <w:tabs>
          <w:tab w:val="left" w:pos="284"/>
        </w:tabs>
        <w:rPr>
          <w:rFonts w:asciiTheme="minorHAnsi" w:hAnsiTheme="minorHAnsi"/>
          <w:b/>
        </w:rPr>
      </w:pPr>
    </w:p>
    <w:p w:rsidR="002C49DF" w:rsidRDefault="002C49DF" w:rsidP="002C49DF">
      <w:pPr>
        <w:tabs>
          <w:tab w:val="left" w:pos="284"/>
        </w:tabs>
        <w:rPr>
          <w:rFonts w:asciiTheme="minorHAnsi" w:hAnsiTheme="minorHAnsi"/>
          <w:b/>
        </w:rPr>
      </w:pPr>
    </w:p>
    <w:p w:rsidR="002C49DF" w:rsidRDefault="002C49DF" w:rsidP="002C49DF">
      <w:pPr>
        <w:tabs>
          <w:tab w:val="left" w:pos="284"/>
        </w:tabs>
        <w:rPr>
          <w:rFonts w:asciiTheme="minorHAnsi" w:hAnsiTheme="minorHAnsi"/>
          <w:b/>
        </w:rPr>
      </w:pPr>
    </w:p>
    <w:p w:rsidR="002C49DF" w:rsidRDefault="002C49DF" w:rsidP="002C49DF">
      <w:pPr>
        <w:tabs>
          <w:tab w:val="left" w:pos="284"/>
        </w:tabs>
        <w:rPr>
          <w:rFonts w:asciiTheme="minorHAnsi" w:hAnsiTheme="minorHAnsi"/>
          <w:b/>
        </w:rPr>
      </w:pPr>
    </w:p>
    <w:p w:rsidR="002C49DF" w:rsidRDefault="002C49DF" w:rsidP="002C49DF">
      <w:pPr>
        <w:tabs>
          <w:tab w:val="left" w:pos="284"/>
        </w:tabs>
        <w:rPr>
          <w:rFonts w:asciiTheme="minorHAnsi" w:hAnsiTheme="minorHAnsi"/>
          <w:b/>
        </w:rPr>
      </w:pPr>
    </w:p>
    <w:p w:rsidR="002C49DF" w:rsidRDefault="002C49DF" w:rsidP="002C49DF">
      <w:pPr>
        <w:tabs>
          <w:tab w:val="left" w:pos="284"/>
        </w:tabs>
        <w:rPr>
          <w:rFonts w:asciiTheme="minorHAnsi" w:hAnsiTheme="minorHAnsi"/>
          <w:b/>
        </w:rPr>
      </w:pPr>
    </w:p>
    <w:p w:rsidR="002C49DF" w:rsidRDefault="002C49DF" w:rsidP="002C49DF">
      <w:pPr>
        <w:tabs>
          <w:tab w:val="left" w:pos="284"/>
        </w:tabs>
        <w:rPr>
          <w:rFonts w:asciiTheme="minorHAnsi" w:hAnsiTheme="minorHAnsi"/>
          <w:b/>
        </w:rPr>
      </w:pPr>
    </w:p>
    <w:p w:rsidR="002C49DF" w:rsidRDefault="002C49DF" w:rsidP="002C49DF">
      <w:pPr>
        <w:tabs>
          <w:tab w:val="left" w:pos="284"/>
        </w:tabs>
        <w:rPr>
          <w:rFonts w:asciiTheme="minorHAnsi" w:hAnsiTheme="minorHAnsi"/>
          <w:b/>
        </w:rPr>
      </w:pPr>
    </w:p>
    <w:p w:rsidR="002C49DF" w:rsidRDefault="002C49DF" w:rsidP="002C49DF">
      <w:pPr>
        <w:tabs>
          <w:tab w:val="left" w:pos="284"/>
        </w:tabs>
        <w:rPr>
          <w:rFonts w:asciiTheme="minorHAnsi" w:hAnsiTheme="minorHAnsi"/>
          <w:b/>
        </w:rPr>
      </w:pPr>
    </w:p>
    <w:p w:rsidR="002C49DF" w:rsidRDefault="002C49DF" w:rsidP="002C49DF">
      <w:pPr>
        <w:tabs>
          <w:tab w:val="left" w:pos="284"/>
        </w:tabs>
        <w:rPr>
          <w:rFonts w:asciiTheme="minorHAnsi" w:hAnsiTheme="minorHAnsi"/>
          <w:b/>
        </w:rPr>
      </w:pPr>
    </w:p>
    <w:p w:rsidR="002C49DF" w:rsidRDefault="002C49DF" w:rsidP="002C49DF">
      <w:pPr>
        <w:tabs>
          <w:tab w:val="left" w:pos="284"/>
        </w:tabs>
        <w:rPr>
          <w:rFonts w:asciiTheme="minorHAnsi" w:hAnsiTheme="minorHAnsi"/>
          <w:b/>
        </w:rPr>
      </w:pPr>
    </w:p>
    <w:p w:rsidR="002C49DF" w:rsidRDefault="002C49DF" w:rsidP="002C49DF">
      <w:pPr>
        <w:tabs>
          <w:tab w:val="left" w:pos="284"/>
        </w:tabs>
        <w:rPr>
          <w:rFonts w:asciiTheme="minorHAnsi" w:hAnsiTheme="minorHAnsi"/>
          <w:b/>
        </w:rPr>
      </w:pPr>
    </w:p>
    <w:p w:rsidR="002C49DF" w:rsidRDefault="002C49DF" w:rsidP="002C49DF">
      <w:pPr>
        <w:tabs>
          <w:tab w:val="left" w:pos="284"/>
        </w:tabs>
        <w:rPr>
          <w:rFonts w:asciiTheme="minorHAnsi" w:hAnsiTheme="minorHAnsi"/>
          <w:b/>
        </w:rPr>
      </w:pPr>
    </w:p>
    <w:p w:rsidR="002C49DF" w:rsidRDefault="002C49DF" w:rsidP="002C49DF">
      <w:pPr>
        <w:tabs>
          <w:tab w:val="left" w:pos="284"/>
        </w:tabs>
        <w:rPr>
          <w:rFonts w:asciiTheme="minorHAnsi" w:hAnsiTheme="minorHAnsi"/>
          <w:b/>
        </w:rPr>
      </w:pPr>
    </w:p>
    <w:p w:rsidR="002C49DF" w:rsidRDefault="002C49DF" w:rsidP="002C49DF">
      <w:pPr>
        <w:tabs>
          <w:tab w:val="left" w:pos="284"/>
        </w:tabs>
        <w:rPr>
          <w:rFonts w:asciiTheme="minorHAnsi" w:hAnsiTheme="minorHAnsi"/>
          <w:b/>
        </w:rPr>
      </w:pPr>
    </w:p>
    <w:p w:rsidR="002C49DF" w:rsidRDefault="002C49DF" w:rsidP="002C49DF">
      <w:pPr>
        <w:tabs>
          <w:tab w:val="left" w:pos="284"/>
        </w:tabs>
        <w:rPr>
          <w:rFonts w:asciiTheme="minorHAnsi" w:hAnsiTheme="minorHAnsi"/>
          <w:b/>
        </w:rPr>
      </w:pPr>
    </w:p>
    <w:p w:rsidR="002C49DF" w:rsidRDefault="002C49DF" w:rsidP="002C49DF">
      <w:pPr>
        <w:tabs>
          <w:tab w:val="left" w:pos="284"/>
        </w:tabs>
        <w:rPr>
          <w:rFonts w:asciiTheme="minorHAnsi" w:hAnsiTheme="minorHAnsi"/>
          <w:b/>
        </w:rPr>
      </w:pPr>
    </w:p>
    <w:p w:rsidR="002C49DF" w:rsidRDefault="002C49DF" w:rsidP="002C49DF">
      <w:pPr>
        <w:tabs>
          <w:tab w:val="left" w:pos="284"/>
        </w:tabs>
        <w:rPr>
          <w:rFonts w:asciiTheme="minorHAnsi" w:hAnsiTheme="minorHAnsi"/>
          <w:b/>
        </w:rPr>
      </w:pPr>
    </w:p>
    <w:p w:rsidR="002C49DF" w:rsidRPr="009336DA" w:rsidRDefault="002C49DF" w:rsidP="002C49DF">
      <w:pPr>
        <w:tabs>
          <w:tab w:val="left" w:pos="284"/>
        </w:tabs>
        <w:rPr>
          <w:rFonts w:asciiTheme="minorHAnsi" w:hAnsiTheme="minorHAnsi"/>
          <w:b/>
        </w:rPr>
      </w:pPr>
      <w:r w:rsidRPr="009336DA">
        <w:rPr>
          <w:rFonts w:asciiTheme="minorHAnsi" w:hAnsiTheme="minorHAnsi"/>
          <w:b/>
        </w:rPr>
        <w:lastRenderedPageBreak/>
        <w:t>1. WSTĘP</w:t>
      </w:r>
    </w:p>
    <w:p w:rsidR="002C49DF" w:rsidRPr="009336DA" w:rsidRDefault="002C49DF" w:rsidP="002C49DF">
      <w:pPr>
        <w:tabs>
          <w:tab w:val="left" w:pos="284"/>
        </w:tabs>
        <w:rPr>
          <w:rFonts w:asciiTheme="minorHAnsi" w:hAnsiTheme="minorHAnsi"/>
        </w:rPr>
      </w:pPr>
      <w:r w:rsidRPr="009336DA">
        <w:rPr>
          <w:rFonts w:asciiTheme="minorHAnsi" w:hAnsiTheme="minorHAnsi"/>
          <w:b/>
        </w:rPr>
        <w:t>1.1.</w:t>
      </w:r>
      <w:r w:rsidRPr="009336DA">
        <w:rPr>
          <w:rFonts w:asciiTheme="minorHAnsi" w:hAnsiTheme="minorHAnsi"/>
        </w:rPr>
        <w:t xml:space="preserve"> Przedmiot ST</w:t>
      </w:r>
    </w:p>
    <w:p w:rsidR="002C49DF" w:rsidRPr="009336DA" w:rsidRDefault="00180FC1" w:rsidP="002C49DF">
      <w:pPr>
        <w:tabs>
          <w:tab w:val="left" w:pos="284"/>
        </w:tabs>
        <w:rPr>
          <w:rFonts w:asciiTheme="minorHAnsi" w:hAnsiTheme="minorHAnsi"/>
        </w:rPr>
      </w:pPr>
      <w:r>
        <w:rPr>
          <w:rFonts w:asciiTheme="minorHAnsi" w:hAnsiTheme="minorHAnsi"/>
        </w:rPr>
        <w:tab/>
      </w:r>
      <w:r>
        <w:rPr>
          <w:rFonts w:asciiTheme="minorHAnsi" w:hAnsiTheme="minorHAnsi"/>
        </w:rPr>
        <w:tab/>
      </w:r>
      <w:r w:rsidR="002C49DF" w:rsidRPr="009336DA">
        <w:rPr>
          <w:rFonts w:asciiTheme="minorHAnsi" w:hAnsiTheme="minorHAnsi"/>
        </w:rPr>
        <w:t>Przedmiotem niniejszej specyfikacji technicznej (ST) są wymagania dotyczące wykonania i odbioru robót związanych z połączeniem nowej konstrukcji nawierzchni z nawierzchnią istniejącą.</w:t>
      </w:r>
    </w:p>
    <w:p w:rsidR="002C49DF" w:rsidRPr="009336DA" w:rsidRDefault="002C49DF" w:rsidP="002C49DF">
      <w:pPr>
        <w:tabs>
          <w:tab w:val="left" w:pos="284"/>
        </w:tabs>
        <w:rPr>
          <w:rFonts w:asciiTheme="minorHAnsi" w:hAnsiTheme="minorHAnsi"/>
        </w:rPr>
      </w:pPr>
      <w:r w:rsidRPr="009336DA">
        <w:rPr>
          <w:rFonts w:asciiTheme="minorHAnsi" w:hAnsiTheme="minorHAnsi"/>
          <w:b/>
        </w:rPr>
        <w:t>1.2.</w:t>
      </w:r>
      <w:r w:rsidRPr="009336DA">
        <w:rPr>
          <w:rFonts w:asciiTheme="minorHAnsi" w:hAnsiTheme="minorHAnsi"/>
        </w:rPr>
        <w:t xml:space="preserve"> Zakres stosowania ST</w:t>
      </w:r>
    </w:p>
    <w:p w:rsidR="002C49DF" w:rsidRPr="009336DA" w:rsidRDefault="002C49DF" w:rsidP="002C49DF">
      <w:pPr>
        <w:tabs>
          <w:tab w:val="left" w:pos="284"/>
        </w:tabs>
        <w:rPr>
          <w:rFonts w:asciiTheme="minorHAnsi" w:hAnsiTheme="minorHAnsi"/>
        </w:rPr>
      </w:pPr>
      <w:r w:rsidRPr="009336DA">
        <w:rPr>
          <w:rFonts w:asciiTheme="minorHAnsi" w:hAnsiTheme="minorHAnsi"/>
        </w:rPr>
        <w:tab/>
      </w:r>
      <w:r w:rsidR="00180FC1">
        <w:rPr>
          <w:rFonts w:asciiTheme="minorHAnsi" w:hAnsiTheme="minorHAnsi"/>
        </w:rPr>
        <w:tab/>
      </w:r>
      <w:r w:rsidRPr="009336DA">
        <w:rPr>
          <w:rFonts w:asciiTheme="minorHAnsi" w:hAnsiTheme="minorHAnsi"/>
        </w:rPr>
        <w:t>Specyfikacja techniczna określa wymagania dla wykonania i odbioru robót budowlanych przewidzianych do wykonania w ramach umowy a zawarte w niej zapisy w zakresie standardu materiałów, wykonania robót i wymaganej ich jakości oraz kontroli jakości robót należy traktować jako minimalne.</w:t>
      </w:r>
    </w:p>
    <w:p w:rsidR="002C49DF" w:rsidRPr="009336DA" w:rsidRDefault="002C49DF" w:rsidP="002C49DF">
      <w:pPr>
        <w:tabs>
          <w:tab w:val="left" w:pos="284"/>
        </w:tabs>
        <w:rPr>
          <w:rFonts w:asciiTheme="minorHAnsi" w:hAnsiTheme="minorHAnsi"/>
        </w:rPr>
      </w:pPr>
      <w:r w:rsidRPr="009336DA">
        <w:rPr>
          <w:rFonts w:asciiTheme="minorHAnsi" w:hAnsiTheme="minorHAnsi"/>
          <w:b/>
        </w:rPr>
        <w:t>1.3.</w:t>
      </w:r>
      <w:r w:rsidRPr="009336DA">
        <w:rPr>
          <w:rFonts w:asciiTheme="minorHAnsi" w:hAnsiTheme="minorHAnsi"/>
        </w:rPr>
        <w:t xml:space="preserve"> Zakres robót objętych ST</w:t>
      </w:r>
    </w:p>
    <w:p w:rsidR="00180FC1" w:rsidRPr="00C3299C" w:rsidRDefault="002C49DF" w:rsidP="00180FC1">
      <w:pPr>
        <w:rPr>
          <w:rFonts w:asciiTheme="minorHAnsi" w:hAnsiTheme="minorHAnsi" w:cs="Calibri"/>
        </w:rPr>
      </w:pPr>
      <w:r w:rsidRPr="009336DA">
        <w:rPr>
          <w:rFonts w:asciiTheme="minorHAnsi" w:hAnsiTheme="minorHAnsi"/>
        </w:rPr>
        <w:tab/>
        <w:t>Ustalenia zawarte w niniejszej specyfikacji dotyczą zasad prowadzenia robót związanych z wykonaniem i odbiorem połączenia nowej konstrukcji nawierzchni, zawierającej asfaltową warstwę ścieralną i wiążącą z istniejącą nawierzchnią a</w:t>
      </w:r>
      <w:r w:rsidR="00180FC1">
        <w:rPr>
          <w:rFonts w:asciiTheme="minorHAnsi" w:hAnsiTheme="minorHAnsi"/>
        </w:rPr>
        <w:t xml:space="preserve">sfaltową na dowolnej podbudowie </w:t>
      </w:r>
      <w:r w:rsidR="00180FC1" w:rsidRPr="00C3299C">
        <w:rPr>
          <w:rFonts w:ascii="Calibri" w:hAnsi="Calibri" w:cs="Calibri"/>
        </w:rPr>
        <w:t>w związku z „</w:t>
      </w:r>
      <w:r w:rsidR="00180FC1" w:rsidRPr="00C3299C">
        <w:rPr>
          <w:rFonts w:asciiTheme="minorHAnsi" w:hAnsiTheme="minorHAnsi"/>
        </w:rPr>
        <w:t>Przebudową ul.55 Pułku Piechoty w Lesznie wraz z przebudową oświetlenia”</w:t>
      </w:r>
      <w:r w:rsidR="00180FC1" w:rsidRPr="00C3299C">
        <w:rPr>
          <w:rFonts w:asciiTheme="minorHAnsi" w:hAnsiTheme="minorHAnsi" w:cs="Calibri"/>
        </w:rPr>
        <w:t>.</w:t>
      </w:r>
    </w:p>
    <w:p w:rsidR="002C49DF" w:rsidRPr="009336DA" w:rsidRDefault="002C49DF" w:rsidP="002C49DF">
      <w:pPr>
        <w:tabs>
          <w:tab w:val="left" w:pos="284"/>
        </w:tabs>
        <w:rPr>
          <w:rFonts w:asciiTheme="minorHAnsi" w:hAnsiTheme="minorHAnsi"/>
        </w:rPr>
      </w:pPr>
      <w:r w:rsidRPr="009336DA">
        <w:rPr>
          <w:rFonts w:asciiTheme="minorHAnsi" w:hAnsiTheme="minorHAnsi"/>
        </w:rPr>
        <w:tab/>
        <w:t>Połączenie polega na rozbiórce starej nawierzchni z wykonaniem schodkowania jej krawędzi, skropieniu warstwy wiążącej emulsją asfaltową i ułożeniu geokompozytu, a następnie przykryciu go nową asfaltową warstwą ścieralną.</w:t>
      </w:r>
    </w:p>
    <w:p w:rsidR="002C49DF" w:rsidRPr="009336DA" w:rsidRDefault="002C49DF" w:rsidP="002C49DF">
      <w:pPr>
        <w:tabs>
          <w:tab w:val="left" w:pos="284"/>
        </w:tabs>
        <w:rPr>
          <w:rFonts w:asciiTheme="minorHAnsi" w:hAnsiTheme="minorHAnsi"/>
        </w:rPr>
      </w:pPr>
      <w:r w:rsidRPr="009336DA">
        <w:rPr>
          <w:rFonts w:asciiTheme="minorHAnsi" w:hAnsiTheme="minorHAnsi"/>
        </w:rPr>
        <w:tab/>
      </w:r>
      <w:r w:rsidR="00180FC1">
        <w:rPr>
          <w:rFonts w:asciiTheme="minorHAnsi" w:hAnsiTheme="minorHAnsi"/>
        </w:rPr>
        <w:tab/>
      </w:r>
      <w:r w:rsidRPr="009336DA">
        <w:rPr>
          <w:rFonts w:asciiTheme="minorHAnsi" w:hAnsiTheme="minorHAnsi"/>
        </w:rPr>
        <w:t>Wykonanie połączenia ma zapobiec (lub co najmniej opóźnić) wystąpieniu na powierzchni jezdni poprzecznego pęknięcia, odbitego od spoiny na krawędzi połączenia.</w:t>
      </w:r>
    </w:p>
    <w:p w:rsidR="002C49DF" w:rsidRPr="009336DA" w:rsidRDefault="002C49DF" w:rsidP="002C49DF">
      <w:pPr>
        <w:tabs>
          <w:tab w:val="left" w:pos="284"/>
        </w:tabs>
        <w:rPr>
          <w:rFonts w:asciiTheme="minorHAnsi" w:hAnsiTheme="minorHAnsi"/>
        </w:rPr>
      </w:pPr>
      <w:r w:rsidRPr="009336DA">
        <w:rPr>
          <w:rFonts w:asciiTheme="minorHAnsi" w:hAnsiTheme="minorHAnsi"/>
          <w:b/>
        </w:rPr>
        <w:t>1.4.</w:t>
      </w:r>
      <w:r w:rsidRPr="009336DA">
        <w:rPr>
          <w:rFonts w:asciiTheme="minorHAnsi" w:hAnsiTheme="minorHAnsi"/>
        </w:rPr>
        <w:t xml:space="preserve"> Określenia podstawowe</w:t>
      </w:r>
    </w:p>
    <w:p w:rsidR="002C49DF" w:rsidRPr="009336DA" w:rsidRDefault="002C49DF" w:rsidP="002C49DF">
      <w:pPr>
        <w:tabs>
          <w:tab w:val="left" w:pos="284"/>
        </w:tabs>
        <w:rPr>
          <w:rFonts w:asciiTheme="minorHAnsi" w:hAnsiTheme="minorHAnsi"/>
        </w:rPr>
      </w:pPr>
      <w:r w:rsidRPr="009336DA">
        <w:rPr>
          <w:rFonts w:asciiTheme="minorHAnsi" w:hAnsiTheme="minorHAnsi"/>
          <w:b/>
        </w:rPr>
        <w:t>1.4.1.</w:t>
      </w:r>
      <w:r w:rsidRPr="009336DA">
        <w:rPr>
          <w:rFonts w:asciiTheme="minorHAnsi" w:hAnsiTheme="minorHAnsi"/>
        </w:rPr>
        <w:t xml:space="preserve"> Nawierzchnia – konstrukcja składająca się z kilku warstw, służących do przejmowania i rozkładania na podłoże obciążeń od ruchu pojazdów.</w:t>
      </w:r>
    </w:p>
    <w:p w:rsidR="002C49DF" w:rsidRPr="009336DA" w:rsidRDefault="002C49DF" w:rsidP="002C49DF">
      <w:pPr>
        <w:tabs>
          <w:tab w:val="left" w:pos="284"/>
        </w:tabs>
        <w:rPr>
          <w:rFonts w:asciiTheme="minorHAnsi" w:hAnsiTheme="minorHAnsi"/>
        </w:rPr>
      </w:pPr>
      <w:r w:rsidRPr="009336DA">
        <w:rPr>
          <w:rFonts w:asciiTheme="minorHAnsi" w:hAnsiTheme="minorHAnsi"/>
          <w:b/>
        </w:rPr>
        <w:t>1.4.2.</w:t>
      </w:r>
      <w:r w:rsidRPr="009336DA">
        <w:rPr>
          <w:rFonts w:asciiTheme="minorHAnsi" w:hAnsiTheme="minorHAnsi"/>
        </w:rPr>
        <w:t xml:space="preserve"> Warstwa nawierzchni – element konstrukcji nawierzchni zbudowany z jednego materiału.</w:t>
      </w:r>
    </w:p>
    <w:p w:rsidR="002C49DF" w:rsidRPr="009336DA" w:rsidRDefault="002C49DF" w:rsidP="002C49DF">
      <w:pPr>
        <w:tabs>
          <w:tab w:val="left" w:pos="284"/>
        </w:tabs>
        <w:rPr>
          <w:rFonts w:asciiTheme="minorHAnsi" w:hAnsiTheme="minorHAnsi"/>
        </w:rPr>
      </w:pPr>
      <w:r w:rsidRPr="009336DA">
        <w:rPr>
          <w:rFonts w:asciiTheme="minorHAnsi" w:hAnsiTheme="minorHAnsi"/>
          <w:b/>
        </w:rPr>
        <w:t>1.4.3.</w:t>
      </w:r>
      <w:r w:rsidRPr="009336DA">
        <w:rPr>
          <w:rFonts w:asciiTheme="minorHAnsi" w:hAnsiTheme="minorHAnsi"/>
        </w:rPr>
        <w:t xml:space="preserve"> Warstwa ścieralna – górna warstwa nawierzchni będąca w bezpośrednim kontakcie z kołami pojazdów.</w:t>
      </w:r>
    </w:p>
    <w:p w:rsidR="002C49DF" w:rsidRPr="009336DA" w:rsidRDefault="002C49DF" w:rsidP="002C49DF">
      <w:pPr>
        <w:tabs>
          <w:tab w:val="left" w:pos="284"/>
        </w:tabs>
        <w:rPr>
          <w:rFonts w:asciiTheme="minorHAnsi" w:hAnsiTheme="minorHAnsi"/>
        </w:rPr>
      </w:pPr>
      <w:r w:rsidRPr="009336DA">
        <w:rPr>
          <w:rFonts w:asciiTheme="minorHAnsi" w:hAnsiTheme="minorHAnsi"/>
          <w:b/>
        </w:rPr>
        <w:t>1.4.4.</w:t>
      </w:r>
      <w:r w:rsidRPr="009336DA">
        <w:rPr>
          <w:rFonts w:asciiTheme="minorHAnsi" w:hAnsiTheme="minorHAnsi"/>
        </w:rPr>
        <w:t xml:space="preserve"> Warstwa wiążąca – warstwa nawierzchni między warstwą ścieralną a podbudową.</w:t>
      </w:r>
    </w:p>
    <w:p w:rsidR="002C49DF" w:rsidRPr="009336DA" w:rsidRDefault="002C49DF" w:rsidP="002C49DF">
      <w:pPr>
        <w:tabs>
          <w:tab w:val="left" w:pos="284"/>
        </w:tabs>
        <w:rPr>
          <w:rFonts w:asciiTheme="minorHAnsi" w:hAnsiTheme="minorHAnsi"/>
        </w:rPr>
      </w:pPr>
      <w:r w:rsidRPr="009336DA">
        <w:rPr>
          <w:rFonts w:asciiTheme="minorHAnsi" w:hAnsiTheme="minorHAnsi"/>
          <w:b/>
        </w:rPr>
        <w:t>1.4.5.</w:t>
      </w:r>
      <w:r w:rsidRPr="009336DA">
        <w:rPr>
          <w:rFonts w:asciiTheme="minorHAnsi" w:hAnsiTheme="minorHAnsi"/>
        </w:rPr>
        <w:t xml:space="preserve"> Podbudowa – główny element konstrukcyjny nawierzchni, ułożony w jednej lub kilku warstwach.</w:t>
      </w:r>
    </w:p>
    <w:p w:rsidR="002C49DF" w:rsidRPr="009336DA" w:rsidRDefault="002C49DF" w:rsidP="002C49DF">
      <w:pPr>
        <w:tabs>
          <w:tab w:val="left" w:pos="284"/>
        </w:tabs>
        <w:rPr>
          <w:rFonts w:asciiTheme="minorHAnsi" w:hAnsiTheme="minorHAnsi"/>
        </w:rPr>
      </w:pPr>
      <w:r w:rsidRPr="009336DA">
        <w:rPr>
          <w:rFonts w:asciiTheme="minorHAnsi" w:hAnsiTheme="minorHAnsi"/>
          <w:b/>
        </w:rPr>
        <w:t>1.4.6.</w:t>
      </w:r>
      <w:r w:rsidRPr="009336DA">
        <w:rPr>
          <w:rFonts w:asciiTheme="minorHAnsi" w:hAnsiTheme="minorHAnsi"/>
        </w:rPr>
        <w:t xml:space="preserve"> Połączenie nowej i starej nawierzchni – sposób konstrukcji, łączący nową nawierzchnię z nawierzchnią istniejącą, mający na celu zagwarantowanie tej samej nośności (trwałości zmęczeniowej) obu części i zapobiegający wystąpieniu na powierzchni jezdni poprzecznego pęknięcia.</w:t>
      </w:r>
    </w:p>
    <w:p w:rsidR="002C49DF" w:rsidRPr="009336DA" w:rsidRDefault="002C49DF" w:rsidP="002C49DF">
      <w:pPr>
        <w:tabs>
          <w:tab w:val="left" w:pos="284"/>
        </w:tabs>
        <w:rPr>
          <w:rFonts w:asciiTheme="minorHAnsi" w:hAnsiTheme="minorHAnsi"/>
        </w:rPr>
      </w:pPr>
      <w:r w:rsidRPr="009336DA">
        <w:rPr>
          <w:rFonts w:asciiTheme="minorHAnsi" w:hAnsiTheme="minorHAnsi"/>
          <w:b/>
        </w:rPr>
        <w:t>1.4.7.</w:t>
      </w:r>
      <w:r w:rsidRPr="009336DA">
        <w:rPr>
          <w:rFonts w:asciiTheme="minorHAnsi" w:hAnsiTheme="minorHAnsi"/>
        </w:rPr>
        <w:t xml:space="preserve"> Kategoria ruchu – obciążenie drogi ruchem samochodowym, wyrażone w osiach obliczeniowych (100 kN) wg „Katalogu typowych konstrukcji nawierzchni podatnych i półsztywnych”, GDDP – IBDiM, Warszawa 1997.</w:t>
      </w:r>
    </w:p>
    <w:p w:rsidR="002C49DF" w:rsidRPr="009336DA" w:rsidRDefault="002C49DF" w:rsidP="002C49DF">
      <w:pPr>
        <w:tabs>
          <w:tab w:val="left" w:pos="284"/>
        </w:tabs>
        <w:rPr>
          <w:rFonts w:asciiTheme="minorHAnsi" w:hAnsiTheme="minorHAnsi"/>
        </w:rPr>
      </w:pPr>
      <w:r w:rsidRPr="009336DA">
        <w:rPr>
          <w:rFonts w:asciiTheme="minorHAnsi" w:hAnsiTheme="minorHAnsi"/>
          <w:b/>
        </w:rPr>
        <w:t>1.4.8.</w:t>
      </w:r>
      <w:r w:rsidRPr="009336DA">
        <w:rPr>
          <w:rFonts w:asciiTheme="minorHAnsi" w:hAnsiTheme="minorHAnsi"/>
        </w:rPr>
        <w:t xml:space="preserve"> Emulsja asfaltowa – emulsja, w której fazą zdyspergowaną jest asfalt a fazą ciągłą jest woda lub roztwór wodny, o ile nie ustalono inaczej.</w:t>
      </w:r>
    </w:p>
    <w:p w:rsidR="002C49DF" w:rsidRPr="009336DA" w:rsidRDefault="002C49DF" w:rsidP="002C49DF">
      <w:pPr>
        <w:tabs>
          <w:tab w:val="left" w:pos="284"/>
        </w:tabs>
        <w:rPr>
          <w:rFonts w:asciiTheme="minorHAnsi" w:hAnsiTheme="minorHAnsi"/>
        </w:rPr>
      </w:pPr>
      <w:r w:rsidRPr="009336DA">
        <w:rPr>
          <w:rFonts w:asciiTheme="minorHAnsi" w:hAnsiTheme="minorHAnsi"/>
          <w:b/>
        </w:rPr>
        <w:t>1.4.9.</w:t>
      </w:r>
      <w:r w:rsidRPr="009336DA">
        <w:rPr>
          <w:rFonts w:asciiTheme="minorHAnsi" w:hAnsiTheme="minorHAnsi"/>
        </w:rPr>
        <w:t xml:space="preserve"> Geokompozyt – geosyntetyk, składający się z siatki z włókien mineralnych połączonej z geowłókniną z włókien syntetycznych.</w:t>
      </w:r>
    </w:p>
    <w:p w:rsidR="002C49DF" w:rsidRPr="009336DA" w:rsidRDefault="002C49DF" w:rsidP="002C49DF">
      <w:pPr>
        <w:tabs>
          <w:tab w:val="left" w:pos="284"/>
        </w:tabs>
        <w:rPr>
          <w:rFonts w:asciiTheme="minorHAnsi" w:hAnsiTheme="minorHAnsi"/>
        </w:rPr>
      </w:pPr>
      <w:r w:rsidRPr="009336DA">
        <w:rPr>
          <w:rFonts w:asciiTheme="minorHAnsi" w:hAnsiTheme="minorHAnsi"/>
          <w:b/>
        </w:rPr>
        <w:t>1.4.10.</w:t>
      </w:r>
      <w:r w:rsidRPr="009336DA">
        <w:rPr>
          <w:rFonts w:asciiTheme="minorHAnsi" w:hAnsiTheme="minorHAnsi"/>
        </w:rPr>
        <w:t xml:space="preserve"> Pozostałe określenia podstawowe są zgodne z obowiązującymi, odpowiednimi polskimi normami i z definicjami podanymi w ST D-M-00.00.00 „Wymagania ogólne” pkt 1.4.</w:t>
      </w:r>
    </w:p>
    <w:p w:rsidR="002C49DF" w:rsidRPr="009336DA" w:rsidRDefault="002C49DF" w:rsidP="002C49DF">
      <w:pPr>
        <w:tabs>
          <w:tab w:val="left" w:pos="284"/>
        </w:tabs>
        <w:rPr>
          <w:rFonts w:asciiTheme="minorHAnsi" w:hAnsiTheme="minorHAnsi"/>
        </w:rPr>
      </w:pPr>
      <w:r w:rsidRPr="009336DA">
        <w:rPr>
          <w:rFonts w:asciiTheme="minorHAnsi" w:hAnsiTheme="minorHAnsi"/>
          <w:b/>
        </w:rPr>
        <w:t>1.5.</w:t>
      </w:r>
      <w:r w:rsidRPr="009336DA">
        <w:rPr>
          <w:rFonts w:asciiTheme="minorHAnsi" w:hAnsiTheme="minorHAnsi"/>
        </w:rPr>
        <w:t xml:space="preserve"> Ogólne wymagania dotyczące robót</w:t>
      </w:r>
    </w:p>
    <w:p w:rsidR="002C49DF" w:rsidRPr="009336DA" w:rsidRDefault="002C49DF" w:rsidP="002C49DF">
      <w:pPr>
        <w:tabs>
          <w:tab w:val="left" w:pos="284"/>
        </w:tabs>
        <w:rPr>
          <w:rFonts w:asciiTheme="minorHAnsi" w:hAnsiTheme="minorHAnsi"/>
        </w:rPr>
      </w:pPr>
      <w:r w:rsidRPr="009336DA">
        <w:rPr>
          <w:rFonts w:asciiTheme="minorHAnsi" w:hAnsiTheme="minorHAnsi"/>
        </w:rPr>
        <w:tab/>
      </w:r>
      <w:r w:rsidR="00180FC1">
        <w:rPr>
          <w:rFonts w:asciiTheme="minorHAnsi" w:hAnsiTheme="minorHAnsi"/>
        </w:rPr>
        <w:tab/>
      </w:r>
      <w:r w:rsidRPr="009336DA">
        <w:rPr>
          <w:rFonts w:asciiTheme="minorHAnsi" w:hAnsiTheme="minorHAnsi"/>
        </w:rPr>
        <w:t>Ogólne wymagania dotyczące robót podano w ST D-M-00.00.00 „Wymagania ogólne” pkt 1.5.</w:t>
      </w:r>
    </w:p>
    <w:p w:rsidR="002C49DF" w:rsidRPr="009336DA" w:rsidRDefault="002C49DF" w:rsidP="002C49DF">
      <w:pPr>
        <w:tabs>
          <w:tab w:val="left" w:pos="284"/>
        </w:tabs>
        <w:rPr>
          <w:rFonts w:asciiTheme="minorHAnsi" w:hAnsiTheme="minorHAnsi"/>
        </w:rPr>
      </w:pPr>
    </w:p>
    <w:p w:rsidR="002C49DF" w:rsidRPr="009336DA" w:rsidRDefault="002C49DF" w:rsidP="002C49DF">
      <w:pPr>
        <w:tabs>
          <w:tab w:val="left" w:pos="284"/>
        </w:tabs>
        <w:rPr>
          <w:rFonts w:asciiTheme="minorHAnsi" w:hAnsiTheme="minorHAnsi"/>
          <w:b/>
        </w:rPr>
      </w:pPr>
      <w:bookmarkStart w:id="1533" w:name="_Toc250368192"/>
      <w:r w:rsidRPr="009336DA">
        <w:rPr>
          <w:rFonts w:asciiTheme="minorHAnsi" w:hAnsiTheme="minorHAnsi"/>
          <w:b/>
        </w:rPr>
        <w:t>2. MATERIAŁY</w:t>
      </w:r>
      <w:bookmarkEnd w:id="1533"/>
    </w:p>
    <w:p w:rsidR="002C49DF" w:rsidRPr="009336DA" w:rsidRDefault="002C49DF" w:rsidP="002C49DF">
      <w:pPr>
        <w:tabs>
          <w:tab w:val="left" w:pos="284"/>
        </w:tabs>
        <w:rPr>
          <w:rFonts w:asciiTheme="minorHAnsi" w:hAnsiTheme="minorHAnsi"/>
        </w:rPr>
      </w:pPr>
      <w:r w:rsidRPr="009336DA">
        <w:rPr>
          <w:rFonts w:asciiTheme="minorHAnsi" w:hAnsiTheme="minorHAnsi"/>
          <w:b/>
        </w:rPr>
        <w:t>2.1.</w:t>
      </w:r>
      <w:r w:rsidRPr="009336DA">
        <w:rPr>
          <w:rFonts w:asciiTheme="minorHAnsi" w:hAnsiTheme="minorHAnsi"/>
        </w:rPr>
        <w:t xml:space="preserve"> Ogólne wymagania dotyczące materiałów</w:t>
      </w:r>
    </w:p>
    <w:p w:rsidR="002C49DF" w:rsidRPr="009336DA" w:rsidRDefault="002C49DF" w:rsidP="002C49DF">
      <w:pPr>
        <w:tabs>
          <w:tab w:val="left" w:pos="284"/>
        </w:tabs>
        <w:rPr>
          <w:rFonts w:asciiTheme="minorHAnsi" w:hAnsiTheme="minorHAnsi"/>
        </w:rPr>
      </w:pPr>
      <w:r w:rsidRPr="009336DA">
        <w:rPr>
          <w:rFonts w:asciiTheme="minorHAnsi" w:hAnsiTheme="minorHAnsi"/>
        </w:rPr>
        <w:tab/>
      </w:r>
      <w:r w:rsidR="00180FC1">
        <w:rPr>
          <w:rFonts w:asciiTheme="minorHAnsi" w:hAnsiTheme="minorHAnsi"/>
        </w:rPr>
        <w:tab/>
      </w:r>
      <w:r w:rsidRPr="009336DA">
        <w:rPr>
          <w:rFonts w:asciiTheme="minorHAnsi" w:hAnsiTheme="minorHAnsi"/>
        </w:rPr>
        <w:t>Ogólne wymagania dotyczące materiałów, ich pozyskiwania i składowania, podano w ST D-M-00.00.00 „Wymagania ogólne” pkt 2.</w:t>
      </w:r>
    </w:p>
    <w:p w:rsidR="002C49DF" w:rsidRPr="009336DA" w:rsidRDefault="002C49DF" w:rsidP="002C49DF">
      <w:pPr>
        <w:tabs>
          <w:tab w:val="left" w:pos="284"/>
        </w:tabs>
        <w:rPr>
          <w:rFonts w:asciiTheme="minorHAnsi" w:hAnsiTheme="minorHAnsi"/>
        </w:rPr>
      </w:pPr>
      <w:r w:rsidRPr="009336DA">
        <w:rPr>
          <w:rFonts w:asciiTheme="minorHAnsi" w:hAnsiTheme="minorHAnsi"/>
          <w:b/>
        </w:rPr>
        <w:t>2.2.</w:t>
      </w:r>
      <w:r w:rsidRPr="009336DA">
        <w:rPr>
          <w:rFonts w:asciiTheme="minorHAnsi" w:hAnsiTheme="minorHAnsi"/>
        </w:rPr>
        <w:t xml:space="preserve"> Materiały do wykonania robót</w:t>
      </w:r>
    </w:p>
    <w:p w:rsidR="002C49DF" w:rsidRPr="009336DA" w:rsidRDefault="002C49DF" w:rsidP="002C49DF">
      <w:pPr>
        <w:tabs>
          <w:tab w:val="left" w:pos="284"/>
        </w:tabs>
        <w:rPr>
          <w:rFonts w:asciiTheme="minorHAnsi" w:hAnsiTheme="minorHAnsi"/>
        </w:rPr>
      </w:pPr>
      <w:r w:rsidRPr="009336DA">
        <w:rPr>
          <w:rFonts w:asciiTheme="minorHAnsi" w:hAnsiTheme="minorHAnsi"/>
          <w:b/>
        </w:rPr>
        <w:t>2.2.1.</w:t>
      </w:r>
      <w:r w:rsidRPr="009336DA">
        <w:rPr>
          <w:rFonts w:asciiTheme="minorHAnsi" w:hAnsiTheme="minorHAnsi"/>
        </w:rPr>
        <w:t xml:space="preserve">  Zgodność materiałów z dokumentacją projektową </w:t>
      </w:r>
    </w:p>
    <w:p w:rsidR="002C49DF" w:rsidRPr="009336DA" w:rsidRDefault="002C49DF" w:rsidP="002C49DF">
      <w:pPr>
        <w:tabs>
          <w:tab w:val="left" w:pos="284"/>
        </w:tabs>
        <w:rPr>
          <w:rFonts w:asciiTheme="minorHAnsi" w:hAnsiTheme="minorHAnsi"/>
        </w:rPr>
      </w:pPr>
      <w:r w:rsidRPr="009336DA">
        <w:rPr>
          <w:rFonts w:asciiTheme="minorHAnsi" w:hAnsiTheme="minorHAnsi"/>
        </w:rPr>
        <w:tab/>
      </w:r>
      <w:r w:rsidR="00180FC1">
        <w:rPr>
          <w:rFonts w:asciiTheme="minorHAnsi" w:hAnsiTheme="minorHAnsi"/>
        </w:rPr>
        <w:tab/>
      </w:r>
      <w:r w:rsidRPr="009336DA">
        <w:rPr>
          <w:rFonts w:asciiTheme="minorHAnsi" w:hAnsiTheme="minorHAnsi"/>
        </w:rPr>
        <w:t>Materiały do wykonania robót powinny być zgodne z ustaleniami dokumentacji projektowej lub ST.</w:t>
      </w:r>
    </w:p>
    <w:p w:rsidR="002C49DF" w:rsidRPr="009336DA" w:rsidRDefault="002C49DF" w:rsidP="002C49DF">
      <w:pPr>
        <w:tabs>
          <w:tab w:val="left" w:pos="284"/>
        </w:tabs>
        <w:rPr>
          <w:rFonts w:asciiTheme="minorHAnsi" w:hAnsiTheme="minorHAnsi"/>
        </w:rPr>
      </w:pPr>
      <w:r w:rsidRPr="009336DA">
        <w:rPr>
          <w:rFonts w:asciiTheme="minorHAnsi" w:hAnsiTheme="minorHAnsi"/>
          <w:b/>
        </w:rPr>
        <w:t>2.2.2.</w:t>
      </w:r>
      <w:r w:rsidRPr="009336DA">
        <w:rPr>
          <w:rFonts w:asciiTheme="minorHAnsi" w:hAnsiTheme="minorHAnsi"/>
        </w:rPr>
        <w:t xml:space="preserve"> Materiały do wykonania robót</w:t>
      </w:r>
    </w:p>
    <w:p w:rsidR="002C49DF" w:rsidRPr="009336DA" w:rsidRDefault="002C49DF" w:rsidP="002C49DF">
      <w:pPr>
        <w:tabs>
          <w:tab w:val="left" w:pos="284"/>
        </w:tabs>
        <w:rPr>
          <w:rFonts w:asciiTheme="minorHAnsi" w:hAnsiTheme="minorHAnsi"/>
        </w:rPr>
      </w:pPr>
      <w:r w:rsidRPr="009336DA">
        <w:rPr>
          <w:rFonts w:asciiTheme="minorHAnsi" w:hAnsiTheme="minorHAnsi"/>
        </w:rPr>
        <w:tab/>
      </w:r>
      <w:r w:rsidR="00180FC1">
        <w:rPr>
          <w:rFonts w:asciiTheme="minorHAnsi" w:hAnsiTheme="minorHAnsi"/>
        </w:rPr>
        <w:tab/>
      </w:r>
      <w:r w:rsidRPr="009336DA">
        <w:rPr>
          <w:rFonts w:asciiTheme="minorHAnsi" w:hAnsiTheme="minorHAnsi"/>
        </w:rPr>
        <w:t xml:space="preserve">Do wykonania robót należy użyć: </w:t>
      </w:r>
    </w:p>
    <w:p w:rsidR="002C49DF" w:rsidRPr="009336DA" w:rsidRDefault="002C49DF" w:rsidP="002C49DF">
      <w:pPr>
        <w:tabs>
          <w:tab w:val="left" w:pos="284"/>
        </w:tabs>
        <w:rPr>
          <w:rFonts w:asciiTheme="minorHAnsi" w:hAnsiTheme="minorHAnsi"/>
        </w:rPr>
      </w:pPr>
      <w:r>
        <w:rPr>
          <w:rFonts w:asciiTheme="minorHAnsi" w:hAnsiTheme="minorHAnsi"/>
        </w:rPr>
        <w:t>-</w:t>
      </w:r>
      <w:r w:rsidRPr="009336DA">
        <w:rPr>
          <w:rFonts w:asciiTheme="minorHAnsi" w:hAnsiTheme="minorHAnsi"/>
        </w:rPr>
        <w:t>geokompozyt, wzmacniający nawierzchnię na linii styku starej i nowej nawierzchni,</w:t>
      </w:r>
    </w:p>
    <w:p w:rsidR="002C49DF" w:rsidRPr="009336DA" w:rsidRDefault="002C49DF" w:rsidP="002C49DF">
      <w:pPr>
        <w:tabs>
          <w:tab w:val="left" w:pos="284"/>
        </w:tabs>
        <w:rPr>
          <w:rFonts w:asciiTheme="minorHAnsi" w:hAnsiTheme="minorHAnsi"/>
        </w:rPr>
      </w:pPr>
      <w:r>
        <w:rPr>
          <w:rFonts w:asciiTheme="minorHAnsi" w:hAnsiTheme="minorHAnsi"/>
        </w:rPr>
        <w:t>-</w:t>
      </w:r>
      <w:r w:rsidRPr="009336DA">
        <w:rPr>
          <w:rFonts w:asciiTheme="minorHAnsi" w:hAnsiTheme="minorHAnsi"/>
        </w:rPr>
        <w:t>emulsję asfaltową do złączenia geokompozytu z nawierzchnią.</w:t>
      </w:r>
    </w:p>
    <w:p w:rsidR="002C49DF" w:rsidRPr="009336DA" w:rsidRDefault="002C49DF" w:rsidP="002C49DF">
      <w:pPr>
        <w:tabs>
          <w:tab w:val="left" w:pos="284"/>
        </w:tabs>
        <w:rPr>
          <w:rFonts w:asciiTheme="minorHAnsi" w:hAnsiTheme="minorHAnsi"/>
        </w:rPr>
      </w:pPr>
      <w:r w:rsidRPr="009336DA">
        <w:rPr>
          <w:rFonts w:asciiTheme="minorHAnsi" w:hAnsiTheme="minorHAnsi"/>
        </w:rPr>
        <w:t>Ponadto przy konstruowaniu połączenia nowej i starej nawierzchni występują materiały, z których zbudowana będzie nowa nawierzchnia.</w:t>
      </w:r>
    </w:p>
    <w:p w:rsidR="002C49DF" w:rsidRPr="009336DA" w:rsidRDefault="002C49DF" w:rsidP="002C49DF">
      <w:pPr>
        <w:tabs>
          <w:tab w:val="left" w:pos="284"/>
        </w:tabs>
        <w:rPr>
          <w:rFonts w:asciiTheme="minorHAnsi" w:hAnsiTheme="minorHAnsi"/>
        </w:rPr>
      </w:pPr>
      <w:r w:rsidRPr="009336DA">
        <w:rPr>
          <w:rFonts w:asciiTheme="minorHAnsi" w:hAnsiTheme="minorHAnsi"/>
          <w:b/>
        </w:rPr>
        <w:t>2.2.3.</w:t>
      </w:r>
      <w:r w:rsidRPr="009336DA">
        <w:rPr>
          <w:rFonts w:asciiTheme="minorHAnsi" w:hAnsiTheme="minorHAnsi"/>
        </w:rPr>
        <w:t xml:space="preserve"> Geokompozyt</w:t>
      </w:r>
    </w:p>
    <w:p w:rsidR="002C49DF" w:rsidRPr="009336DA" w:rsidRDefault="002C49DF" w:rsidP="002C49DF">
      <w:pPr>
        <w:tabs>
          <w:tab w:val="left" w:pos="284"/>
        </w:tabs>
        <w:rPr>
          <w:rFonts w:asciiTheme="minorHAnsi" w:hAnsiTheme="minorHAnsi"/>
        </w:rPr>
      </w:pPr>
      <w:r w:rsidRPr="009336DA">
        <w:rPr>
          <w:rFonts w:asciiTheme="minorHAnsi" w:hAnsiTheme="minorHAnsi"/>
        </w:rPr>
        <w:tab/>
      </w:r>
      <w:r w:rsidR="00180FC1">
        <w:rPr>
          <w:rFonts w:asciiTheme="minorHAnsi" w:hAnsiTheme="minorHAnsi"/>
        </w:rPr>
        <w:tab/>
      </w:r>
      <w:r w:rsidRPr="009336DA">
        <w:rPr>
          <w:rFonts w:asciiTheme="minorHAnsi" w:hAnsiTheme="minorHAnsi"/>
        </w:rPr>
        <w:t xml:space="preserve">Jeśli dokumentacja projektowa nie ustala inaczej, pod linią styku starej i nowej nawierzchni można zastosować geokompozyt, stanowiący połączenie siatki z włókien mineralnych (np. poliestrowych, szklanych) z geowłókniną wytworzoną z włókien syntetycznych (polipropylenowych, </w:t>
      </w:r>
      <w:r w:rsidRPr="009336DA">
        <w:rPr>
          <w:rFonts w:asciiTheme="minorHAnsi" w:hAnsiTheme="minorHAnsi"/>
        </w:rPr>
        <w:lastRenderedPageBreak/>
        <w:t>polietylenowych lub poliestrowych) ciągłych wzmacnianych mechanicznie poprzez igłowanie, stabilizowanych przeciw promieniowaniu UV. Geokompozyt musi mieć deklarowane przez producenta przeznaczenie do wzmacniania nawierzchni asfaltowych i opóźniania powstawania spękań w nawierzchni.</w:t>
      </w:r>
    </w:p>
    <w:p w:rsidR="002C49DF" w:rsidRPr="009336DA" w:rsidRDefault="002C49DF" w:rsidP="002C49DF">
      <w:pPr>
        <w:tabs>
          <w:tab w:val="left" w:pos="284"/>
        </w:tabs>
        <w:rPr>
          <w:rFonts w:asciiTheme="minorHAnsi" w:hAnsiTheme="minorHAnsi"/>
        </w:rPr>
      </w:pPr>
      <w:r w:rsidRPr="009336DA">
        <w:rPr>
          <w:rFonts w:asciiTheme="minorHAnsi" w:hAnsiTheme="minorHAnsi"/>
        </w:rPr>
        <w:tab/>
      </w:r>
      <w:r w:rsidR="00180FC1">
        <w:rPr>
          <w:rFonts w:asciiTheme="minorHAnsi" w:hAnsiTheme="minorHAnsi"/>
        </w:rPr>
        <w:tab/>
      </w:r>
      <w:r w:rsidRPr="009336DA">
        <w:rPr>
          <w:rFonts w:asciiTheme="minorHAnsi" w:hAnsiTheme="minorHAnsi"/>
        </w:rPr>
        <w:t>Wytrzymałość na rozciąganie geokompozytu powinna wynosić:</w:t>
      </w:r>
    </w:p>
    <w:p w:rsidR="002C49DF" w:rsidRPr="009336DA" w:rsidRDefault="002C49DF" w:rsidP="002C49DF">
      <w:pPr>
        <w:tabs>
          <w:tab w:val="left" w:pos="284"/>
        </w:tabs>
        <w:rPr>
          <w:rFonts w:asciiTheme="minorHAnsi" w:hAnsiTheme="minorHAnsi"/>
        </w:rPr>
      </w:pPr>
      <w:r>
        <w:rPr>
          <w:rFonts w:asciiTheme="minorHAnsi" w:hAnsiTheme="minorHAnsi"/>
        </w:rPr>
        <w:t>-</w:t>
      </w:r>
      <w:r w:rsidRPr="009336DA">
        <w:rPr>
          <w:rFonts w:asciiTheme="minorHAnsi" w:hAnsiTheme="minorHAnsi"/>
        </w:rPr>
        <w:t>dla dróg o kategorii ruchu KR1 do KR4</w:t>
      </w:r>
      <w:r w:rsidRPr="009336DA">
        <w:rPr>
          <w:rFonts w:asciiTheme="minorHAnsi" w:hAnsiTheme="minorHAnsi"/>
        </w:rPr>
        <w:tab/>
        <w:t>≥ 70 kN/m,</w:t>
      </w:r>
    </w:p>
    <w:p w:rsidR="002C49DF" w:rsidRPr="009336DA" w:rsidRDefault="002C49DF" w:rsidP="002C49DF">
      <w:pPr>
        <w:tabs>
          <w:tab w:val="left" w:pos="284"/>
        </w:tabs>
        <w:rPr>
          <w:rFonts w:asciiTheme="minorHAnsi" w:hAnsiTheme="minorHAnsi"/>
        </w:rPr>
      </w:pPr>
      <w:r>
        <w:rPr>
          <w:rFonts w:asciiTheme="minorHAnsi" w:hAnsiTheme="minorHAnsi"/>
        </w:rPr>
        <w:t>-</w:t>
      </w:r>
      <w:r w:rsidRPr="009336DA">
        <w:rPr>
          <w:rFonts w:asciiTheme="minorHAnsi" w:hAnsiTheme="minorHAnsi"/>
        </w:rPr>
        <w:t>dla dróg o kategorii ruchu KR5 do KR6</w:t>
      </w:r>
      <w:r w:rsidRPr="009336DA">
        <w:rPr>
          <w:rFonts w:asciiTheme="minorHAnsi" w:hAnsiTheme="minorHAnsi"/>
        </w:rPr>
        <w:tab/>
        <w:t>≥ 100 kN/m.</w:t>
      </w:r>
    </w:p>
    <w:p w:rsidR="002C49DF" w:rsidRPr="009336DA" w:rsidRDefault="002C49DF" w:rsidP="002C49DF">
      <w:pPr>
        <w:tabs>
          <w:tab w:val="left" w:pos="284"/>
        </w:tabs>
        <w:rPr>
          <w:rFonts w:asciiTheme="minorHAnsi" w:hAnsiTheme="minorHAnsi"/>
        </w:rPr>
      </w:pPr>
      <w:r w:rsidRPr="009336DA">
        <w:rPr>
          <w:rFonts w:asciiTheme="minorHAnsi" w:hAnsiTheme="minorHAnsi"/>
        </w:rPr>
        <w:t>Wydłużenie przy zerwaniu wzdłuż pasma powinno wynosić ≤ 3%.</w:t>
      </w:r>
    </w:p>
    <w:p w:rsidR="002C49DF" w:rsidRPr="009336DA" w:rsidRDefault="002C49DF" w:rsidP="002C49DF">
      <w:pPr>
        <w:tabs>
          <w:tab w:val="left" w:pos="284"/>
        </w:tabs>
        <w:rPr>
          <w:rFonts w:asciiTheme="minorHAnsi" w:hAnsiTheme="minorHAnsi"/>
        </w:rPr>
      </w:pPr>
      <w:r w:rsidRPr="009336DA">
        <w:rPr>
          <w:rFonts w:asciiTheme="minorHAnsi" w:hAnsiTheme="minorHAnsi"/>
        </w:rPr>
        <w:t>Temperatura mięknienia geokompozytu powinna być niższa od temperatury układania warstwy ścieralnej.</w:t>
      </w:r>
    </w:p>
    <w:p w:rsidR="002C49DF" w:rsidRPr="009336DA" w:rsidRDefault="002C49DF" w:rsidP="002C49DF">
      <w:pPr>
        <w:tabs>
          <w:tab w:val="left" w:pos="284"/>
        </w:tabs>
        <w:rPr>
          <w:rFonts w:asciiTheme="minorHAnsi" w:hAnsiTheme="minorHAnsi"/>
        </w:rPr>
      </w:pPr>
      <w:r w:rsidRPr="009336DA">
        <w:rPr>
          <w:rFonts w:asciiTheme="minorHAnsi" w:hAnsiTheme="minorHAnsi"/>
        </w:rPr>
        <w:t xml:space="preserve">Długość geokompozytu powinna być równa szerokości nawierzchni. Jeżeli dokumentacja projektowa nie podaje inaczej, szerokość geokompozytu powinna wynosić po </w:t>
      </w:r>
      <w:smartTag w:uri="urn:schemas-microsoft-com:office:smarttags" w:element="metricconverter">
        <w:smartTagPr>
          <w:attr w:name="ProductID" w:val="1,0 m"/>
        </w:smartTagPr>
        <w:r w:rsidRPr="009336DA">
          <w:rPr>
            <w:rFonts w:asciiTheme="minorHAnsi" w:hAnsiTheme="minorHAnsi"/>
          </w:rPr>
          <w:t>1,0 m</w:t>
        </w:r>
      </w:smartTag>
      <w:r w:rsidRPr="009336DA">
        <w:rPr>
          <w:rFonts w:asciiTheme="minorHAnsi" w:hAnsiTheme="minorHAnsi"/>
        </w:rPr>
        <w:t xml:space="preserve"> z każdej strony spoiny w warstwie wiążącej.</w:t>
      </w:r>
    </w:p>
    <w:p w:rsidR="002C49DF" w:rsidRPr="009336DA" w:rsidRDefault="002C49DF" w:rsidP="002C49DF">
      <w:pPr>
        <w:tabs>
          <w:tab w:val="left" w:pos="284"/>
        </w:tabs>
        <w:rPr>
          <w:rFonts w:asciiTheme="minorHAnsi" w:hAnsiTheme="minorHAnsi"/>
        </w:rPr>
      </w:pPr>
      <w:r w:rsidRPr="009336DA">
        <w:rPr>
          <w:rFonts w:asciiTheme="minorHAnsi" w:hAnsiTheme="minorHAnsi"/>
          <w:b/>
        </w:rPr>
        <w:t>2.2.4.</w:t>
      </w:r>
      <w:r w:rsidRPr="009336DA">
        <w:rPr>
          <w:rFonts w:asciiTheme="minorHAnsi" w:hAnsiTheme="minorHAnsi"/>
        </w:rPr>
        <w:t xml:space="preserve"> Emulsja asfaltowa</w:t>
      </w:r>
    </w:p>
    <w:p w:rsidR="002C49DF" w:rsidRPr="009336DA" w:rsidRDefault="002C49DF" w:rsidP="002C49DF">
      <w:pPr>
        <w:tabs>
          <w:tab w:val="left" w:pos="284"/>
        </w:tabs>
        <w:rPr>
          <w:rFonts w:asciiTheme="minorHAnsi" w:hAnsiTheme="minorHAnsi"/>
        </w:rPr>
      </w:pPr>
      <w:r w:rsidRPr="009336DA">
        <w:rPr>
          <w:rFonts w:asciiTheme="minorHAnsi" w:hAnsiTheme="minorHAnsi"/>
        </w:rPr>
        <w:tab/>
      </w:r>
      <w:r w:rsidR="00180FC1">
        <w:rPr>
          <w:rFonts w:asciiTheme="minorHAnsi" w:hAnsiTheme="minorHAnsi"/>
        </w:rPr>
        <w:tab/>
      </w:r>
      <w:r w:rsidRPr="009336DA">
        <w:rPr>
          <w:rFonts w:asciiTheme="minorHAnsi" w:hAnsiTheme="minorHAnsi"/>
        </w:rPr>
        <w:t>Do złączania geokompozytu z asfaltową warstwą nawierzchni należy stosować kationową emulsję modyfikowaną polimerem, spełniającą wymagania określone w tablicy 1.</w:t>
      </w:r>
    </w:p>
    <w:p w:rsidR="002C49DF" w:rsidRPr="009336DA" w:rsidRDefault="002C49DF" w:rsidP="002C49DF">
      <w:pPr>
        <w:tabs>
          <w:tab w:val="left" w:pos="284"/>
        </w:tabs>
        <w:rPr>
          <w:rFonts w:asciiTheme="minorHAnsi" w:hAnsiTheme="minorHAnsi"/>
        </w:rPr>
      </w:pPr>
    </w:p>
    <w:p w:rsidR="002C49DF" w:rsidRPr="000B786E" w:rsidRDefault="002C49DF" w:rsidP="002C49DF">
      <w:pPr>
        <w:ind w:left="709"/>
      </w:pPr>
      <w:r w:rsidRPr="009336DA">
        <w:rPr>
          <w:rFonts w:asciiTheme="minorHAnsi" w:hAnsiTheme="minorHAnsi"/>
        </w:rPr>
        <w:t>Tablica 1. Wymagania dotyczące kationowych emulsji asfaltowych modyfikowanych polimerami</w:t>
      </w:r>
    </w:p>
    <w:tbl>
      <w:tblPr>
        <w:tblW w:w="8080" w:type="dxa"/>
        <w:tblInd w:w="81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tblPr>
      <w:tblGrid>
        <w:gridCol w:w="1702"/>
        <w:gridCol w:w="1134"/>
        <w:gridCol w:w="992"/>
        <w:gridCol w:w="993"/>
        <w:gridCol w:w="1275"/>
        <w:gridCol w:w="566"/>
        <w:gridCol w:w="1418"/>
      </w:tblGrid>
      <w:tr w:rsidR="002C49DF" w:rsidRPr="009336DA" w:rsidTr="00C26550">
        <w:tc>
          <w:tcPr>
            <w:tcW w:w="1702" w:type="dxa"/>
            <w:vMerge w:val="restart"/>
            <w:vAlign w:val="center"/>
          </w:tcPr>
          <w:p w:rsidR="002C49DF" w:rsidRPr="009336DA" w:rsidRDefault="002C49DF" w:rsidP="00C26550">
            <w:pPr>
              <w:jc w:val="center"/>
              <w:rPr>
                <w:rFonts w:asciiTheme="minorHAnsi" w:hAnsiTheme="minorHAnsi"/>
                <w:b/>
                <w:sz w:val="16"/>
                <w:szCs w:val="16"/>
              </w:rPr>
            </w:pPr>
            <w:r w:rsidRPr="009336DA">
              <w:rPr>
                <w:rFonts w:asciiTheme="minorHAnsi" w:hAnsiTheme="minorHAnsi"/>
                <w:b/>
                <w:sz w:val="16"/>
                <w:szCs w:val="16"/>
              </w:rPr>
              <w:t>Wymagania techniczne</w:t>
            </w:r>
          </w:p>
        </w:tc>
        <w:tc>
          <w:tcPr>
            <w:tcW w:w="1134" w:type="dxa"/>
            <w:vMerge w:val="restart"/>
            <w:vAlign w:val="center"/>
          </w:tcPr>
          <w:p w:rsidR="002C49DF" w:rsidRPr="009336DA" w:rsidRDefault="002C49DF" w:rsidP="00C26550">
            <w:pPr>
              <w:jc w:val="center"/>
              <w:rPr>
                <w:rFonts w:asciiTheme="minorHAnsi" w:hAnsiTheme="minorHAnsi"/>
                <w:b/>
                <w:sz w:val="16"/>
                <w:szCs w:val="16"/>
              </w:rPr>
            </w:pPr>
            <w:r w:rsidRPr="009336DA">
              <w:rPr>
                <w:rFonts w:asciiTheme="minorHAnsi" w:hAnsiTheme="minorHAnsi"/>
                <w:b/>
                <w:sz w:val="16"/>
                <w:szCs w:val="16"/>
              </w:rPr>
              <w:t>Metoda badania</w:t>
            </w:r>
          </w:p>
          <w:p w:rsidR="002C49DF" w:rsidRPr="009336DA" w:rsidRDefault="002C49DF" w:rsidP="00C26550">
            <w:pPr>
              <w:jc w:val="center"/>
              <w:rPr>
                <w:rFonts w:asciiTheme="minorHAnsi" w:hAnsiTheme="minorHAnsi"/>
                <w:b/>
                <w:sz w:val="16"/>
                <w:szCs w:val="16"/>
              </w:rPr>
            </w:pPr>
            <w:r w:rsidRPr="009336DA">
              <w:rPr>
                <w:rFonts w:asciiTheme="minorHAnsi" w:hAnsiTheme="minorHAnsi"/>
                <w:b/>
                <w:sz w:val="16"/>
                <w:szCs w:val="16"/>
              </w:rPr>
              <w:t>wg normy</w:t>
            </w:r>
          </w:p>
        </w:tc>
        <w:tc>
          <w:tcPr>
            <w:tcW w:w="992" w:type="dxa"/>
            <w:vMerge w:val="restart"/>
            <w:vAlign w:val="center"/>
          </w:tcPr>
          <w:p w:rsidR="002C49DF" w:rsidRPr="009336DA" w:rsidRDefault="002C49DF" w:rsidP="00C26550">
            <w:pPr>
              <w:jc w:val="center"/>
              <w:rPr>
                <w:rFonts w:asciiTheme="minorHAnsi" w:hAnsiTheme="minorHAnsi"/>
                <w:b/>
                <w:sz w:val="16"/>
                <w:szCs w:val="16"/>
              </w:rPr>
            </w:pPr>
            <w:r w:rsidRPr="009336DA">
              <w:rPr>
                <w:rFonts w:asciiTheme="minorHAnsi" w:hAnsiTheme="minorHAnsi"/>
                <w:b/>
                <w:sz w:val="16"/>
                <w:szCs w:val="16"/>
              </w:rPr>
              <w:t>Jednostka</w:t>
            </w:r>
          </w:p>
        </w:tc>
        <w:tc>
          <w:tcPr>
            <w:tcW w:w="4252" w:type="dxa"/>
            <w:gridSpan w:val="4"/>
          </w:tcPr>
          <w:p w:rsidR="002C49DF" w:rsidRPr="009336DA" w:rsidRDefault="002C49DF" w:rsidP="00C26550">
            <w:pPr>
              <w:jc w:val="center"/>
              <w:rPr>
                <w:rFonts w:asciiTheme="minorHAnsi" w:hAnsiTheme="minorHAnsi"/>
                <w:b/>
                <w:sz w:val="16"/>
                <w:szCs w:val="16"/>
              </w:rPr>
            </w:pPr>
            <w:r w:rsidRPr="009336DA">
              <w:rPr>
                <w:rFonts w:asciiTheme="minorHAnsi" w:hAnsiTheme="minorHAnsi"/>
                <w:b/>
                <w:sz w:val="16"/>
                <w:szCs w:val="16"/>
              </w:rPr>
              <w:t>Wymagania dla emulsji</w:t>
            </w:r>
          </w:p>
        </w:tc>
      </w:tr>
      <w:tr w:rsidR="002C49DF" w:rsidRPr="009336DA" w:rsidTr="00C26550">
        <w:trPr>
          <w:trHeight w:val="357"/>
        </w:trPr>
        <w:tc>
          <w:tcPr>
            <w:tcW w:w="1702" w:type="dxa"/>
            <w:vMerge/>
          </w:tcPr>
          <w:p w:rsidR="002C49DF" w:rsidRPr="009336DA" w:rsidRDefault="002C49DF" w:rsidP="00C26550">
            <w:pPr>
              <w:jc w:val="center"/>
              <w:rPr>
                <w:rFonts w:asciiTheme="minorHAnsi" w:hAnsiTheme="minorHAnsi"/>
                <w:b/>
                <w:sz w:val="16"/>
                <w:szCs w:val="16"/>
              </w:rPr>
            </w:pPr>
          </w:p>
        </w:tc>
        <w:tc>
          <w:tcPr>
            <w:tcW w:w="1134" w:type="dxa"/>
            <w:vMerge/>
          </w:tcPr>
          <w:p w:rsidR="002C49DF" w:rsidRPr="009336DA" w:rsidRDefault="002C49DF" w:rsidP="00C26550">
            <w:pPr>
              <w:jc w:val="center"/>
              <w:rPr>
                <w:rFonts w:asciiTheme="minorHAnsi" w:hAnsiTheme="minorHAnsi"/>
                <w:b/>
                <w:sz w:val="16"/>
                <w:szCs w:val="16"/>
              </w:rPr>
            </w:pPr>
          </w:p>
        </w:tc>
        <w:tc>
          <w:tcPr>
            <w:tcW w:w="992" w:type="dxa"/>
            <w:vMerge/>
          </w:tcPr>
          <w:p w:rsidR="002C49DF" w:rsidRPr="009336DA" w:rsidRDefault="002C49DF" w:rsidP="00C26550">
            <w:pPr>
              <w:jc w:val="center"/>
              <w:rPr>
                <w:rFonts w:asciiTheme="minorHAnsi" w:hAnsiTheme="minorHAnsi"/>
                <w:b/>
                <w:sz w:val="16"/>
                <w:szCs w:val="16"/>
              </w:rPr>
            </w:pPr>
          </w:p>
        </w:tc>
        <w:tc>
          <w:tcPr>
            <w:tcW w:w="2268" w:type="dxa"/>
            <w:gridSpan w:val="2"/>
          </w:tcPr>
          <w:p w:rsidR="002C49DF" w:rsidRPr="009336DA" w:rsidRDefault="002C49DF" w:rsidP="00C26550">
            <w:pPr>
              <w:jc w:val="center"/>
              <w:rPr>
                <w:rFonts w:asciiTheme="minorHAnsi" w:hAnsiTheme="minorHAnsi"/>
                <w:b/>
                <w:sz w:val="16"/>
                <w:szCs w:val="16"/>
              </w:rPr>
            </w:pPr>
            <w:r w:rsidRPr="009336DA">
              <w:rPr>
                <w:rFonts w:asciiTheme="minorHAnsi" w:hAnsiTheme="minorHAnsi"/>
                <w:b/>
                <w:sz w:val="16"/>
                <w:szCs w:val="16"/>
              </w:rPr>
              <w:t>C60 BP3 ZM lub</w:t>
            </w:r>
          </w:p>
          <w:p w:rsidR="002C49DF" w:rsidRPr="009336DA" w:rsidRDefault="002C49DF" w:rsidP="00C26550">
            <w:pPr>
              <w:jc w:val="center"/>
              <w:rPr>
                <w:rFonts w:asciiTheme="minorHAnsi" w:hAnsiTheme="minorHAnsi"/>
                <w:b/>
                <w:sz w:val="16"/>
                <w:szCs w:val="16"/>
              </w:rPr>
            </w:pPr>
            <w:r w:rsidRPr="009336DA">
              <w:rPr>
                <w:rFonts w:asciiTheme="minorHAnsi" w:hAnsiTheme="minorHAnsi"/>
                <w:b/>
                <w:sz w:val="16"/>
                <w:szCs w:val="16"/>
              </w:rPr>
              <w:t>C60 BP4 ZM</w:t>
            </w:r>
          </w:p>
        </w:tc>
        <w:tc>
          <w:tcPr>
            <w:tcW w:w="1984" w:type="dxa"/>
            <w:gridSpan w:val="2"/>
          </w:tcPr>
          <w:p w:rsidR="002C49DF" w:rsidRPr="009336DA" w:rsidRDefault="002C49DF" w:rsidP="00C26550">
            <w:pPr>
              <w:jc w:val="center"/>
              <w:rPr>
                <w:rFonts w:asciiTheme="minorHAnsi" w:hAnsiTheme="minorHAnsi"/>
                <w:b/>
                <w:sz w:val="16"/>
                <w:szCs w:val="16"/>
              </w:rPr>
            </w:pPr>
            <w:r w:rsidRPr="009336DA">
              <w:rPr>
                <w:rFonts w:asciiTheme="minorHAnsi" w:hAnsiTheme="minorHAnsi"/>
                <w:b/>
                <w:sz w:val="16"/>
                <w:szCs w:val="16"/>
              </w:rPr>
              <w:t>C60 BP5 ZM</w:t>
            </w:r>
          </w:p>
        </w:tc>
      </w:tr>
      <w:tr w:rsidR="002C49DF" w:rsidRPr="009336DA" w:rsidTr="00C26550">
        <w:tc>
          <w:tcPr>
            <w:tcW w:w="1702" w:type="dxa"/>
            <w:vMerge/>
          </w:tcPr>
          <w:p w:rsidR="002C49DF" w:rsidRPr="009336DA" w:rsidRDefault="002C49DF" w:rsidP="00C26550">
            <w:pPr>
              <w:jc w:val="center"/>
              <w:rPr>
                <w:rFonts w:asciiTheme="minorHAnsi" w:hAnsiTheme="minorHAnsi"/>
                <w:b/>
                <w:sz w:val="16"/>
                <w:szCs w:val="16"/>
              </w:rPr>
            </w:pPr>
          </w:p>
        </w:tc>
        <w:tc>
          <w:tcPr>
            <w:tcW w:w="1134" w:type="dxa"/>
            <w:vMerge/>
          </w:tcPr>
          <w:p w:rsidR="002C49DF" w:rsidRPr="009336DA" w:rsidRDefault="002C49DF" w:rsidP="00C26550">
            <w:pPr>
              <w:jc w:val="center"/>
              <w:rPr>
                <w:rFonts w:asciiTheme="minorHAnsi" w:hAnsiTheme="minorHAnsi"/>
                <w:b/>
                <w:sz w:val="16"/>
                <w:szCs w:val="16"/>
              </w:rPr>
            </w:pPr>
          </w:p>
        </w:tc>
        <w:tc>
          <w:tcPr>
            <w:tcW w:w="992" w:type="dxa"/>
            <w:vMerge/>
          </w:tcPr>
          <w:p w:rsidR="002C49DF" w:rsidRPr="009336DA" w:rsidRDefault="002C49DF" w:rsidP="00C26550">
            <w:pPr>
              <w:jc w:val="center"/>
              <w:rPr>
                <w:rFonts w:asciiTheme="minorHAnsi" w:hAnsiTheme="minorHAnsi"/>
                <w:b/>
                <w:sz w:val="16"/>
                <w:szCs w:val="16"/>
              </w:rPr>
            </w:pPr>
          </w:p>
        </w:tc>
        <w:tc>
          <w:tcPr>
            <w:tcW w:w="993" w:type="dxa"/>
          </w:tcPr>
          <w:p w:rsidR="002C49DF" w:rsidRPr="009336DA" w:rsidRDefault="002C49DF" w:rsidP="00C26550">
            <w:pPr>
              <w:jc w:val="center"/>
              <w:rPr>
                <w:rFonts w:asciiTheme="minorHAnsi" w:hAnsiTheme="minorHAnsi"/>
                <w:b/>
                <w:sz w:val="16"/>
                <w:szCs w:val="16"/>
              </w:rPr>
            </w:pPr>
            <w:r w:rsidRPr="009336DA">
              <w:rPr>
                <w:rFonts w:asciiTheme="minorHAnsi" w:hAnsiTheme="minorHAnsi"/>
                <w:b/>
                <w:sz w:val="16"/>
                <w:szCs w:val="16"/>
              </w:rPr>
              <w:t>Klasa</w:t>
            </w:r>
          </w:p>
        </w:tc>
        <w:tc>
          <w:tcPr>
            <w:tcW w:w="1275" w:type="dxa"/>
          </w:tcPr>
          <w:p w:rsidR="002C49DF" w:rsidRPr="009336DA" w:rsidRDefault="002C49DF" w:rsidP="00C26550">
            <w:pPr>
              <w:jc w:val="center"/>
              <w:rPr>
                <w:rFonts w:asciiTheme="minorHAnsi" w:hAnsiTheme="minorHAnsi"/>
                <w:b/>
                <w:sz w:val="16"/>
                <w:szCs w:val="16"/>
              </w:rPr>
            </w:pPr>
            <w:r w:rsidRPr="009336DA">
              <w:rPr>
                <w:rFonts w:asciiTheme="minorHAnsi" w:hAnsiTheme="minorHAnsi"/>
                <w:b/>
                <w:sz w:val="16"/>
                <w:szCs w:val="16"/>
              </w:rPr>
              <w:t>Zakres wartości</w:t>
            </w:r>
          </w:p>
        </w:tc>
        <w:tc>
          <w:tcPr>
            <w:tcW w:w="566" w:type="dxa"/>
          </w:tcPr>
          <w:p w:rsidR="002C49DF" w:rsidRPr="009336DA" w:rsidRDefault="002C49DF" w:rsidP="00C26550">
            <w:pPr>
              <w:jc w:val="center"/>
              <w:rPr>
                <w:rFonts w:asciiTheme="minorHAnsi" w:hAnsiTheme="minorHAnsi"/>
                <w:b/>
                <w:sz w:val="16"/>
                <w:szCs w:val="16"/>
              </w:rPr>
            </w:pPr>
            <w:r w:rsidRPr="009336DA">
              <w:rPr>
                <w:rFonts w:asciiTheme="minorHAnsi" w:hAnsiTheme="minorHAnsi"/>
                <w:b/>
                <w:sz w:val="16"/>
                <w:szCs w:val="16"/>
              </w:rPr>
              <w:t>Klasa</w:t>
            </w:r>
          </w:p>
        </w:tc>
        <w:tc>
          <w:tcPr>
            <w:tcW w:w="1418" w:type="dxa"/>
          </w:tcPr>
          <w:p w:rsidR="002C49DF" w:rsidRPr="009336DA" w:rsidRDefault="002C49DF" w:rsidP="00C26550">
            <w:pPr>
              <w:jc w:val="center"/>
              <w:rPr>
                <w:rFonts w:asciiTheme="minorHAnsi" w:hAnsiTheme="minorHAnsi"/>
                <w:b/>
                <w:sz w:val="16"/>
                <w:szCs w:val="16"/>
              </w:rPr>
            </w:pPr>
            <w:r w:rsidRPr="009336DA">
              <w:rPr>
                <w:rFonts w:asciiTheme="minorHAnsi" w:hAnsiTheme="minorHAnsi"/>
                <w:b/>
                <w:sz w:val="16"/>
                <w:szCs w:val="16"/>
              </w:rPr>
              <w:t>Zakres wartości</w:t>
            </w:r>
          </w:p>
        </w:tc>
      </w:tr>
      <w:tr w:rsidR="002C49DF" w:rsidRPr="009336DA" w:rsidTr="00C26550">
        <w:tc>
          <w:tcPr>
            <w:tcW w:w="1702" w:type="dxa"/>
          </w:tcPr>
          <w:p w:rsidR="002C49DF" w:rsidRPr="009336DA" w:rsidRDefault="002C49DF" w:rsidP="00C26550">
            <w:pPr>
              <w:jc w:val="center"/>
              <w:rPr>
                <w:rFonts w:asciiTheme="minorHAnsi" w:hAnsiTheme="minorHAnsi"/>
                <w:sz w:val="16"/>
                <w:szCs w:val="16"/>
              </w:rPr>
            </w:pPr>
            <w:r w:rsidRPr="009336DA">
              <w:rPr>
                <w:rFonts w:asciiTheme="minorHAnsi" w:hAnsiTheme="minorHAnsi"/>
                <w:sz w:val="16"/>
                <w:szCs w:val="16"/>
              </w:rPr>
              <w:t>Indeks rozpadu</w:t>
            </w:r>
          </w:p>
        </w:tc>
        <w:tc>
          <w:tcPr>
            <w:tcW w:w="1134" w:type="dxa"/>
          </w:tcPr>
          <w:p w:rsidR="002C49DF" w:rsidRPr="009336DA" w:rsidRDefault="002C49DF" w:rsidP="00C26550">
            <w:pPr>
              <w:jc w:val="center"/>
              <w:rPr>
                <w:rFonts w:asciiTheme="minorHAnsi" w:hAnsiTheme="minorHAnsi"/>
                <w:sz w:val="16"/>
                <w:szCs w:val="16"/>
              </w:rPr>
            </w:pPr>
            <w:r w:rsidRPr="009336DA">
              <w:rPr>
                <w:rFonts w:asciiTheme="minorHAnsi" w:hAnsiTheme="minorHAnsi"/>
                <w:sz w:val="16"/>
                <w:szCs w:val="16"/>
              </w:rPr>
              <w:t>PN-EN 13075-1</w:t>
            </w:r>
          </w:p>
        </w:tc>
        <w:tc>
          <w:tcPr>
            <w:tcW w:w="992" w:type="dxa"/>
          </w:tcPr>
          <w:p w:rsidR="002C49DF" w:rsidRPr="009336DA" w:rsidRDefault="002C49DF" w:rsidP="00C26550">
            <w:pPr>
              <w:jc w:val="center"/>
              <w:rPr>
                <w:rFonts w:asciiTheme="minorHAnsi" w:hAnsiTheme="minorHAnsi"/>
                <w:sz w:val="16"/>
                <w:szCs w:val="16"/>
              </w:rPr>
            </w:pPr>
            <w:r w:rsidRPr="009336DA">
              <w:rPr>
                <w:rFonts w:asciiTheme="minorHAnsi" w:hAnsiTheme="minorHAnsi"/>
                <w:sz w:val="16"/>
                <w:szCs w:val="16"/>
              </w:rPr>
              <w:t>-</w:t>
            </w:r>
          </w:p>
        </w:tc>
        <w:tc>
          <w:tcPr>
            <w:tcW w:w="993" w:type="dxa"/>
          </w:tcPr>
          <w:p w:rsidR="002C49DF" w:rsidRPr="009336DA" w:rsidRDefault="002C49DF" w:rsidP="00C26550">
            <w:pPr>
              <w:jc w:val="center"/>
              <w:rPr>
                <w:rFonts w:asciiTheme="minorHAnsi" w:hAnsiTheme="minorHAnsi"/>
                <w:sz w:val="16"/>
                <w:szCs w:val="16"/>
              </w:rPr>
            </w:pPr>
            <w:r w:rsidRPr="009336DA">
              <w:rPr>
                <w:rFonts w:asciiTheme="minorHAnsi" w:hAnsiTheme="minorHAnsi"/>
                <w:sz w:val="16"/>
                <w:szCs w:val="16"/>
              </w:rPr>
              <w:t>3 lub 4</w:t>
            </w:r>
          </w:p>
        </w:tc>
        <w:tc>
          <w:tcPr>
            <w:tcW w:w="1275" w:type="dxa"/>
          </w:tcPr>
          <w:p w:rsidR="002C49DF" w:rsidRPr="009336DA" w:rsidRDefault="002C49DF" w:rsidP="00C26550">
            <w:pPr>
              <w:jc w:val="center"/>
              <w:rPr>
                <w:rFonts w:asciiTheme="minorHAnsi" w:hAnsiTheme="minorHAnsi"/>
                <w:sz w:val="16"/>
                <w:szCs w:val="16"/>
              </w:rPr>
            </w:pPr>
            <w:r w:rsidRPr="009336DA">
              <w:rPr>
                <w:rFonts w:asciiTheme="minorHAnsi" w:hAnsiTheme="minorHAnsi"/>
                <w:sz w:val="16"/>
                <w:szCs w:val="16"/>
              </w:rPr>
              <w:t>50 do 100</w:t>
            </w:r>
          </w:p>
          <w:p w:rsidR="002C49DF" w:rsidRPr="009336DA" w:rsidRDefault="002C49DF" w:rsidP="00C26550">
            <w:pPr>
              <w:jc w:val="center"/>
              <w:rPr>
                <w:rFonts w:asciiTheme="minorHAnsi" w:hAnsiTheme="minorHAnsi"/>
                <w:sz w:val="16"/>
                <w:szCs w:val="16"/>
              </w:rPr>
            </w:pPr>
            <w:r w:rsidRPr="009336DA">
              <w:rPr>
                <w:rFonts w:asciiTheme="minorHAnsi" w:hAnsiTheme="minorHAnsi"/>
                <w:sz w:val="16"/>
                <w:szCs w:val="16"/>
              </w:rPr>
              <w:t>lub 70 do 130</w:t>
            </w:r>
          </w:p>
        </w:tc>
        <w:tc>
          <w:tcPr>
            <w:tcW w:w="566" w:type="dxa"/>
          </w:tcPr>
          <w:p w:rsidR="002C49DF" w:rsidRPr="009336DA" w:rsidRDefault="002C49DF" w:rsidP="00C26550">
            <w:pPr>
              <w:jc w:val="center"/>
              <w:rPr>
                <w:rFonts w:asciiTheme="minorHAnsi" w:hAnsiTheme="minorHAnsi"/>
                <w:sz w:val="16"/>
                <w:szCs w:val="16"/>
              </w:rPr>
            </w:pPr>
            <w:r w:rsidRPr="009336DA">
              <w:rPr>
                <w:rFonts w:asciiTheme="minorHAnsi" w:hAnsiTheme="minorHAnsi"/>
                <w:sz w:val="16"/>
                <w:szCs w:val="16"/>
              </w:rPr>
              <w:t>5</w:t>
            </w:r>
          </w:p>
        </w:tc>
        <w:tc>
          <w:tcPr>
            <w:tcW w:w="1418" w:type="dxa"/>
          </w:tcPr>
          <w:p w:rsidR="002C49DF" w:rsidRPr="009336DA" w:rsidRDefault="002C49DF" w:rsidP="00C26550">
            <w:pPr>
              <w:jc w:val="center"/>
              <w:rPr>
                <w:rFonts w:asciiTheme="minorHAnsi" w:hAnsiTheme="minorHAnsi"/>
                <w:sz w:val="16"/>
                <w:szCs w:val="16"/>
              </w:rPr>
            </w:pPr>
            <w:r w:rsidRPr="009336DA">
              <w:rPr>
                <w:rFonts w:asciiTheme="minorHAnsi" w:hAnsiTheme="minorHAnsi"/>
                <w:sz w:val="16"/>
                <w:szCs w:val="16"/>
              </w:rPr>
              <w:t>120 do 180</w:t>
            </w:r>
          </w:p>
        </w:tc>
      </w:tr>
      <w:tr w:rsidR="002C49DF" w:rsidRPr="009336DA" w:rsidTr="00C26550">
        <w:tc>
          <w:tcPr>
            <w:tcW w:w="1702" w:type="dxa"/>
          </w:tcPr>
          <w:p w:rsidR="002C49DF" w:rsidRPr="009336DA" w:rsidRDefault="002C49DF" w:rsidP="00C26550">
            <w:pPr>
              <w:jc w:val="center"/>
              <w:rPr>
                <w:rFonts w:asciiTheme="minorHAnsi" w:hAnsiTheme="minorHAnsi"/>
                <w:sz w:val="16"/>
                <w:szCs w:val="16"/>
              </w:rPr>
            </w:pPr>
            <w:r w:rsidRPr="009336DA">
              <w:rPr>
                <w:rFonts w:asciiTheme="minorHAnsi" w:hAnsiTheme="minorHAnsi"/>
                <w:sz w:val="16"/>
                <w:szCs w:val="16"/>
              </w:rPr>
              <w:t>Zawartość lepiszcza</w:t>
            </w:r>
          </w:p>
        </w:tc>
        <w:tc>
          <w:tcPr>
            <w:tcW w:w="1134" w:type="dxa"/>
          </w:tcPr>
          <w:p w:rsidR="002C49DF" w:rsidRPr="009336DA" w:rsidRDefault="002C49DF" w:rsidP="00C26550">
            <w:pPr>
              <w:jc w:val="center"/>
              <w:rPr>
                <w:rFonts w:asciiTheme="minorHAnsi" w:hAnsiTheme="minorHAnsi"/>
                <w:sz w:val="16"/>
                <w:szCs w:val="16"/>
              </w:rPr>
            </w:pPr>
            <w:r w:rsidRPr="009336DA">
              <w:rPr>
                <w:rFonts w:asciiTheme="minorHAnsi" w:hAnsiTheme="minorHAnsi"/>
                <w:sz w:val="16"/>
                <w:szCs w:val="16"/>
              </w:rPr>
              <w:t>PN-EN 1428</w:t>
            </w:r>
          </w:p>
        </w:tc>
        <w:tc>
          <w:tcPr>
            <w:tcW w:w="992" w:type="dxa"/>
          </w:tcPr>
          <w:p w:rsidR="002C49DF" w:rsidRPr="009336DA" w:rsidRDefault="002C49DF" w:rsidP="00C26550">
            <w:pPr>
              <w:jc w:val="center"/>
              <w:rPr>
                <w:rFonts w:asciiTheme="minorHAnsi" w:hAnsiTheme="minorHAnsi"/>
                <w:sz w:val="16"/>
                <w:szCs w:val="16"/>
              </w:rPr>
            </w:pPr>
            <w:r w:rsidRPr="009336DA">
              <w:rPr>
                <w:rFonts w:asciiTheme="minorHAnsi" w:hAnsiTheme="minorHAnsi"/>
                <w:sz w:val="16"/>
                <w:szCs w:val="16"/>
              </w:rPr>
              <w:t>%(m/m)</w:t>
            </w:r>
          </w:p>
        </w:tc>
        <w:tc>
          <w:tcPr>
            <w:tcW w:w="993" w:type="dxa"/>
          </w:tcPr>
          <w:p w:rsidR="002C49DF" w:rsidRPr="009336DA" w:rsidRDefault="002C49DF" w:rsidP="00C26550">
            <w:pPr>
              <w:jc w:val="center"/>
              <w:rPr>
                <w:rFonts w:asciiTheme="minorHAnsi" w:hAnsiTheme="minorHAnsi"/>
                <w:sz w:val="16"/>
                <w:szCs w:val="16"/>
              </w:rPr>
            </w:pPr>
            <w:r w:rsidRPr="009336DA">
              <w:rPr>
                <w:rFonts w:asciiTheme="minorHAnsi" w:hAnsiTheme="minorHAnsi"/>
                <w:sz w:val="16"/>
                <w:szCs w:val="16"/>
              </w:rPr>
              <w:t>5</w:t>
            </w:r>
          </w:p>
        </w:tc>
        <w:tc>
          <w:tcPr>
            <w:tcW w:w="1275" w:type="dxa"/>
          </w:tcPr>
          <w:p w:rsidR="002C49DF" w:rsidRPr="009336DA" w:rsidRDefault="002C49DF" w:rsidP="00C26550">
            <w:pPr>
              <w:jc w:val="center"/>
              <w:rPr>
                <w:rFonts w:asciiTheme="minorHAnsi" w:hAnsiTheme="minorHAnsi"/>
                <w:sz w:val="16"/>
                <w:szCs w:val="16"/>
              </w:rPr>
            </w:pPr>
            <w:r w:rsidRPr="009336DA">
              <w:rPr>
                <w:rFonts w:asciiTheme="minorHAnsi" w:hAnsiTheme="minorHAnsi"/>
                <w:sz w:val="16"/>
                <w:szCs w:val="16"/>
              </w:rPr>
              <w:t>58 do 62</w:t>
            </w:r>
            <w:r w:rsidRPr="006472E8">
              <w:rPr>
                <w:rFonts w:asciiTheme="minorHAnsi" w:hAnsiTheme="minorHAnsi"/>
                <w:sz w:val="16"/>
                <w:szCs w:val="16"/>
              </w:rPr>
              <w:t>a)</w:t>
            </w:r>
          </w:p>
        </w:tc>
        <w:tc>
          <w:tcPr>
            <w:tcW w:w="566" w:type="dxa"/>
          </w:tcPr>
          <w:p w:rsidR="002C49DF" w:rsidRPr="009336DA" w:rsidRDefault="002C49DF" w:rsidP="00C26550">
            <w:pPr>
              <w:jc w:val="center"/>
              <w:rPr>
                <w:rFonts w:asciiTheme="minorHAnsi" w:hAnsiTheme="minorHAnsi"/>
                <w:sz w:val="16"/>
                <w:szCs w:val="16"/>
              </w:rPr>
            </w:pPr>
            <w:r w:rsidRPr="009336DA">
              <w:rPr>
                <w:rFonts w:asciiTheme="minorHAnsi" w:hAnsiTheme="minorHAnsi"/>
                <w:sz w:val="16"/>
                <w:szCs w:val="16"/>
              </w:rPr>
              <w:t>5</w:t>
            </w:r>
          </w:p>
        </w:tc>
        <w:tc>
          <w:tcPr>
            <w:tcW w:w="1418" w:type="dxa"/>
          </w:tcPr>
          <w:p w:rsidR="002C49DF" w:rsidRPr="009336DA" w:rsidRDefault="002C49DF" w:rsidP="00C26550">
            <w:pPr>
              <w:jc w:val="center"/>
              <w:rPr>
                <w:rFonts w:asciiTheme="minorHAnsi" w:hAnsiTheme="minorHAnsi"/>
                <w:sz w:val="16"/>
                <w:szCs w:val="16"/>
              </w:rPr>
            </w:pPr>
            <w:r w:rsidRPr="009336DA">
              <w:rPr>
                <w:rFonts w:asciiTheme="minorHAnsi" w:hAnsiTheme="minorHAnsi"/>
                <w:sz w:val="16"/>
                <w:szCs w:val="16"/>
              </w:rPr>
              <w:t>58 do 62a)</w:t>
            </w:r>
          </w:p>
        </w:tc>
      </w:tr>
      <w:tr w:rsidR="002C49DF" w:rsidRPr="009336DA" w:rsidTr="00C26550">
        <w:tc>
          <w:tcPr>
            <w:tcW w:w="1702" w:type="dxa"/>
          </w:tcPr>
          <w:p w:rsidR="002C49DF" w:rsidRPr="009336DA" w:rsidRDefault="002C49DF" w:rsidP="00C26550">
            <w:pPr>
              <w:jc w:val="center"/>
              <w:rPr>
                <w:rFonts w:asciiTheme="minorHAnsi" w:hAnsiTheme="minorHAnsi"/>
                <w:sz w:val="16"/>
                <w:szCs w:val="16"/>
              </w:rPr>
            </w:pPr>
            <w:r w:rsidRPr="009336DA">
              <w:rPr>
                <w:rFonts w:asciiTheme="minorHAnsi" w:hAnsiTheme="minorHAnsi"/>
                <w:sz w:val="16"/>
                <w:szCs w:val="16"/>
              </w:rPr>
              <w:t xml:space="preserve">Czas wypływu dla Ø </w:t>
            </w:r>
            <w:smartTag w:uri="urn:schemas-microsoft-com:office:smarttags" w:element="metricconverter">
              <w:smartTagPr>
                <w:attr w:name="ProductID" w:val="2 mm"/>
              </w:smartTagPr>
              <w:r w:rsidRPr="009336DA">
                <w:rPr>
                  <w:rFonts w:asciiTheme="minorHAnsi" w:hAnsiTheme="minorHAnsi"/>
                  <w:sz w:val="16"/>
                  <w:szCs w:val="16"/>
                </w:rPr>
                <w:t>2 mm</w:t>
              </w:r>
            </w:smartTag>
            <w:r w:rsidRPr="009336DA">
              <w:rPr>
                <w:rFonts w:asciiTheme="minorHAnsi" w:hAnsiTheme="minorHAnsi"/>
                <w:sz w:val="16"/>
                <w:szCs w:val="16"/>
              </w:rPr>
              <w:t xml:space="preserve"> w 40</w:t>
            </w:r>
            <w:r w:rsidRPr="006472E8">
              <w:rPr>
                <w:rFonts w:asciiTheme="minorHAnsi" w:hAnsiTheme="minorHAnsi"/>
                <w:sz w:val="16"/>
                <w:szCs w:val="16"/>
                <w:vertAlign w:val="superscript"/>
              </w:rPr>
              <w:t>o</w:t>
            </w:r>
            <w:r w:rsidRPr="009336DA">
              <w:rPr>
                <w:rFonts w:asciiTheme="minorHAnsi" w:hAnsiTheme="minorHAnsi"/>
                <w:sz w:val="16"/>
                <w:szCs w:val="16"/>
              </w:rPr>
              <w:t>C</w:t>
            </w:r>
          </w:p>
        </w:tc>
        <w:tc>
          <w:tcPr>
            <w:tcW w:w="1134" w:type="dxa"/>
          </w:tcPr>
          <w:p w:rsidR="002C49DF" w:rsidRPr="009336DA" w:rsidRDefault="002C49DF" w:rsidP="00C26550">
            <w:pPr>
              <w:jc w:val="center"/>
              <w:rPr>
                <w:rFonts w:asciiTheme="minorHAnsi" w:hAnsiTheme="minorHAnsi"/>
                <w:sz w:val="16"/>
                <w:szCs w:val="16"/>
              </w:rPr>
            </w:pPr>
            <w:r w:rsidRPr="009336DA">
              <w:rPr>
                <w:rFonts w:asciiTheme="minorHAnsi" w:hAnsiTheme="minorHAnsi"/>
                <w:sz w:val="16"/>
                <w:szCs w:val="16"/>
              </w:rPr>
              <w:t>PN-EN 12846</w:t>
            </w:r>
          </w:p>
          <w:p w:rsidR="002C49DF" w:rsidRPr="009336DA" w:rsidRDefault="002C49DF" w:rsidP="00C26550">
            <w:pPr>
              <w:jc w:val="center"/>
              <w:rPr>
                <w:rFonts w:asciiTheme="minorHAnsi" w:hAnsiTheme="minorHAnsi"/>
                <w:sz w:val="16"/>
                <w:szCs w:val="16"/>
              </w:rPr>
            </w:pPr>
          </w:p>
        </w:tc>
        <w:tc>
          <w:tcPr>
            <w:tcW w:w="992" w:type="dxa"/>
          </w:tcPr>
          <w:p w:rsidR="002C49DF" w:rsidRPr="009336DA" w:rsidRDefault="002C49DF" w:rsidP="00C26550">
            <w:pPr>
              <w:jc w:val="center"/>
              <w:rPr>
                <w:rFonts w:asciiTheme="minorHAnsi" w:hAnsiTheme="minorHAnsi"/>
                <w:sz w:val="16"/>
                <w:szCs w:val="16"/>
              </w:rPr>
            </w:pPr>
          </w:p>
          <w:p w:rsidR="002C49DF" w:rsidRPr="009336DA" w:rsidRDefault="002C49DF" w:rsidP="00C26550">
            <w:pPr>
              <w:jc w:val="center"/>
              <w:rPr>
                <w:rFonts w:asciiTheme="minorHAnsi" w:hAnsiTheme="minorHAnsi"/>
                <w:sz w:val="16"/>
                <w:szCs w:val="16"/>
              </w:rPr>
            </w:pPr>
            <w:r w:rsidRPr="009336DA">
              <w:rPr>
                <w:rFonts w:asciiTheme="minorHAnsi" w:hAnsiTheme="minorHAnsi"/>
                <w:sz w:val="16"/>
                <w:szCs w:val="16"/>
              </w:rPr>
              <w:t>s</w:t>
            </w:r>
          </w:p>
        </w:tc>
        <w:tc>
          <w:tcPr>
            <w:tcW w:w="993" w:type="dxa"/>
          </w:tcPr>
          <w:p w:rsidR="002C49DF" w:rsidRPr="009336DA" w:rsidRDefault="002C49DF" w:rsidP="00C26550">
            <w:pPr>
              <w:jc w:val="center"/>
              <w:rPr>
                <w:rFonts w:asciiTheme="minorHAnsi" w:hAnsiTheme="minorHAnsi"/>
                <w:sz w:val="16"/>
                <w:szCs w:val="16"/>
              </w:rPr>
            </w:pPr>
          </w:p>
          <w:p w:rsidR="002C49DF" w:rsidRPr="009336DA" w:rsidRDefault="002C49DF" w:rsidP="00C26550">
            <w:pPr>
              <w:jc w:val="center"/>
              <w:rPr>
                <w:rFonts w:asciiTheme="minorHAnsi" w:hAnsiTheme="minorHAnsi"/>
                <w:sz w:val="16"/>
                <w:szCs w:val="16"/>
              </w:rPr>
            </w:pPr>
            <w:r w:rsidRPr="009336DA">
              <w:rPr>
                <w:rFonts w:asciiTheme="minorHAnsi" w:hAnsiTheme="minorHAnsi"/>
                <w:sz w:val="16"/>
                <w:szCs w:val="16"/>
              </w:rPr>
              <w:t>1</w:t>
            </w:r>
          </w:p>
        </w:tc>
        <w:tc>
          <w:tcPr>
            <w:tcW w:w="1275" w:type="dxa"/>
          </w:tcPr>
          <w:p w:rsidR="002C49DF" w:rsidRPr="009336DA" w:rsidRDefault="002C49DF" w:rsidP="00C26550">
            <w:pPr>
              <w:jc w:val="center"/>
              <w:rPr>
                <w:rFonts w:asciiTheme="minorHAnsi" w:hAnsiTheme="minorHAnsi"/>
                <w:sz w:val="16"/>
                <w:szCs w:val="16"/>
              </w:rPr>
            </w:pPr>
          </w:p>
          <w:p w:rsidR="002C49DF" w:rsidRPr="009336DA" w:rsidRDefault="002C49DF" w:rsidP="00C26550">
            <w:pPr>
              <w:jc w:val="center"/>
              <w:rPr>
                <w:rFonts w:asciiTheme="minorHAnsi" w:hAnsiTheme="minorHAnsi"/>
                <w:sz w:val="16"/>
                <w:szCs w:val="16"/>
              </w:rPr>
            </w:pPr>
            <w:r w:rsidRPr="009336DA">
              <w:rPr>
                <w:rFonts w:asciiTheme="minorHAnsi" w:hAnsiTheme="minorHAnsi"/>
                <w:sz w:val="16"/>
                <w:szCs w:val="16"/>
              </w:rPr>
              <w:t>TBRb)</w:t>
            </w:r>
          </w:p>
        </w:tc>
        <w:tc>
          <w:tcPr>
            <w:tcW w:w="566" w:type="dxa"/>
          </w:tcPr>
          <w:p w:rsidR="002C49DF" w:rsidRPr="009336DA" w:rsidRDefault="002C49DF" w:rsidP="00C26550">
            <w:pPr>
              <w:jc w:val="center"/>
              <w:rPr>
                <w:rFonts w:asciiTheme="minorHAnsi" w:hAnsiTheme="minorHAnsi"/>
                <w:sz w:val="16"/>
                <w:szCs w:val="16"/>
              </w:rPr>
            </w:pPr>
          </w:p>
          <w:p w:rsidR="002C49DF" w:rsidRPr="009336DA" w:rsidRDefault="002C49DF" w:rsidP="00C26550">
            <w:pPr>
              <w:jc w:val="center"/>
              <w:rPr>
                <w:rFonts w:asciiTheme="minorHAnsi" w:hAnsiTheme="minorHAnsi"/>
                <w:sz w:val="16"/>
                <w:szCs w:val="16"/>
              </w:rPr>
            </w:pPr>
            <w:r w:rsidRPr="009336DA">
              <w:rPr>
                <w:rFonts w:asciiTheme="minorHAnsi" w:hAnsiTheme="minorHAnsi"/>
                <w:sz w:val="16"/>
                <w:szCs w:val="16"/>
              </w:rPr>
              <w:t>1</w:t>
            </w:r>
          </w:p>
        </w:tc>
        <w:tc>
          <w:tcPr>
            <w:tcW w:w="1418" w:type="dxa"/>
          </w:tcPr>
          <w:p w:rsidR="002C49DF" w:rsidRPr="009336DA" w:rsidRDefault="002C49DF" w:rsidP="00C26550">
            <w:pPr>
              <w:jc w:val="center"/>
              <w:rPr>
                <w:rFonts w:asciiTheme="minorHAnsi" w:hAnsiTheme="minorHAnsi"/>
                <w:sz w:val="16"/>
                <w:szCs w:val="16"/>
              </w:rPr>
            </w:pPr>
          </w:p>
          <w:p w:rsidR="002C49DF" w:rsidRPr="009336DA" w:rsidRDefault="002C49DF" w:rsidP="00C26550">
            <w:pPr>
              <w:jc w:val="center"/>
              <w:rPr>
                <w:rFonts w:asciiTheme="minorHAnsi" w:hAnsiTheme="minorHAnsi"/>
                <w:sz w:val="16"/>
                <w:szCs w:val="16"/>
              </w:rPr>
            </w:pPr>
            <w:r w:rsidRPr="009336DA">
              <w:rPr>
                <w:rFonts w:asciiTheme="minorHAnsi" w:hAnsiTheme="minorHAnsi"/>
                <w:sz w:val="16"/>
                <w:szCs w:val="16"/>
              </w:rPr>
              <w:t>TBRb)</w:t>
            </w:r>
          </w:p>
        </w:tc>
      </w:tr>
      <w:tr w:rsidR="002C49DF" w:rsidRPr="009336DA" w:rsidTr="00C26550">
        <w:tc>
          <w:tcPr>
            <w:tcW w:w="1702" w:type="dxa"/>
          </w:tcPr>
          <w:p w:rsidR="002C49DF" w:rsidRPr="009336DA" w:rsidRDefault="002C49DF" w:rsidP="00C26550">
            <w:pPr>
              <w:jc w:val="center"/>
              <w:rPr>
                <w:rFonts w:asciiTheme="minorHAnsi" w:hAnsiTheme="minorHAnsi"/>
                <w:sz w:val="16"/>
                <w:szCs w:val="16"/>
              </w:rPr>
            </w:pPr>
            <w:r w:rsidRPr="009336DA">
              <w:rPr>
                <w:rFonts w:asciiTheme="minorHAnsi" w:hAnsiTheme="minorHAnsi"/>
                <w:sz w:val="16"/>
                <w:szCs w:val="16"/>
              </w:rPr>
              <w:t xml:space="preserve">Pozostałość na sicie </w:t>
            </w:r>
            <w:smartTag w:uri="urn:schemas-microsoft-com:office:smarttags" w:element="metricconverter">
              <w:smartTagPr>
                <w:attr w:name="ProductID" w:val="0,5 mm"/>
              </w:smartTagPr>
              <w:r w:rsidRPr="009336DA">
                <w:rPr>
                  <w:rFonts w:asciiTheme="minorHAnsi" w:hAnsiTheme="minorHAnsi"/>
                  <w:sz w:val="16"/>
                  <w:szCs w:val="16"/>
                </w:rPr>
                <w:t>0,5 mm</w:t>
              </w:r>
            </w:smartTag>
          </w:p>
        </w:tc>
        <w:tc>
          <w:tcPr>
            <w:tcW w:w="1134" w:type="dxa"/>
          </w:tcPr>
          <w:p w:rsidR="002C49DF" w:rsidRPr="009336DA" w:rsidRDefault="002C49DF" w:rsidP="00C26550">
            <w:pPr>
              <w:jc w:val="center"/>
              <w:rPr>
                <w:rFonts w:asciiTheme="minorHAnsi" w:hAnsiTheme="minorHAnsi"/>
                <w:sz w:val="16"/>
                <w:szCs w:val="16"/>
              </w:rPr>
            </w:pPr>
            <w:r w:rsidRPr="009336DA">
              <w:rPr>
                <w:rFonts w:asciiTheme="minorHAnsi" w:hAnsiTheme="minorHAnsi"/>
                <w:sz w:val="16"/>
                <w:szCs w:val="16"/>
              </w:rPr>
              <w:t>PN-EN 1429</w:t>
            </w:r>
          </w:p>
        </w:tc>
        <w:tc>
          <w:tcPr>
            <w:tcW w:w="992" w:type="dxa"/>
          </w:tcPr>
          <w:p w:rsidR="002C49DF" w:rsidRPr="009336DA" w:rsidRDefault="002C49DF" w:rsidP="00C26550">
            <w:pPr>
              <w:jc w:val="center"/>
              <w:rPr>
                <w:rFonts w:asciiTheme="minorHAnsi" w:hAnsiTheme="minorHAnsi"/>
                <w:sz w:val="16"/>
                <w:szCs w:val="16"/>
              </w:rPr>
            </w:pPr>
            <w:r w:rsidRPr="009336DA">
              <w:rPr>
                <w:rFonts w:asciiTheme="minorHAnsi" w:hAnsiTheme="minorHAnsi"/>
                <w:sz w:val="16"/>
                <w:szCs w:val="16"/>
              </w:rPr>
              <w:t>%(m/m)</w:t>
            </w:r>
          </w:p>
        </w:tc>
        <w:tc>
          <w:tcPr>
            <w:tcW w:w="993" w:type="dxa"/>
          </w:tcPr>
          <w:p w:rsidR="002C49DF" w:rsidRPr="009336DA" w:rsidRDefault="002C49DF" w:rsidP="00C26550">
            <w:pPr>
              <w:jc w:val="center"/>
              <w:rPr>
                <w:rFonts w:asciiTheme="minorHAnsi" w:hAnsiTheme="minorHAnsi"/>
                <w:sz w:val="16"/>
                <w:szCs w:val="16"/>
              </w:rPr>
            </w:pPr>
            <w:r w:rsidRPr="009336DA">
              <w:rPr>
                <w:rFonts w:asciiTheme="minorHAnsi" w:hAnsiTheme="minorHAnsi"/>
                <w:sz w:val="16"/>
                <w:szCs w:val="16"/>
              </w:rPr>
              <w:t>1</w:t>
            </w:r>
          </w:p>
        </w:tc>
        <w:tc>
          <w:tcPr>
            <w:tcW w:w="1275" w:type="dxa"/>
          </w:tcPr>
          <w:p w:rsidR="002C49DF" w:rsidRPr="009336DA" w:rsidRDefault="002C49DF" w:rsidP="00C26550">
            <w:pPr>
              <w:jc w:val="center"/>
              <w:rPr>
                <w:rFonts w:asciiTheme="minorHAnsi" w:hAnsiTheme="minorHAnsi"/>
                <w:sz w:val="16"/>
                <w:szCs w:val="16"/>
              </w:rPr>
            </w:pPr>
            <w:r w:rsidRPr="009336DA">
              <w:rPr>
                <w:rFonts w:asciiTheme="minorHAnsi" w:hAnsiTheme="minorHAnsi"/>
                <w:sz w:val="16"/>
                <w:szCs w:val="16"/>
              </w:rPr>
              <w:t>TBR</w:t>
            </w:r>
          </w:p>
        </w:tc>
        <w:tc>
          <w:tcPr>
            <w:tcW w:w="566" w:type="dxa"/>
          </w:tcPr>
          <w:p w:rsidR="002C49DF" w:rsidRPr="009336DA" w:rsidRDefault="002C49DF" w:rsidP="00C26550">
            <w:pPr>
              <w:jc w:val="center"/>
              <w:rPr>
                <w:rFonts w:asciiTheme="minorHAnsi" w:hAnsiTheme="minorHAnsi"/>
                <w:sz w:val="16"/>
                <w:szCs w:val="16"/>
              </w:rPr>
            </w:pPr>
            <w:r w:rsidRPr="009336DA">
              <w:rPr>
                <w:rFonts w:asciiTheme="minorHAnsi" w:hAnsiTheme="minorHAnsi"/>
                <w:sz w:val="16"/>
                <w:szCs w:val="16"/>
              </w:rPr>
              <w:t>1</w:t>
            </w:r>
          </w:p>
        </w:tc>
        <w:tc>
          <w:tcPr>
            <w:tcW w:w="1418" w:type="dxa"/>
          </w:tcPr>
          <w:p w:rsidR="002C49DF" w:rsidRPr="009336DA" w:rsidRDefault="002C49DF" w:rsidP="00C26550">
            <w:pPr>
              <w:jc w:val="center"/>
              <w:rPr>
                <w:rFonts w:asciiTheme="minorHAnsi" w:hAnsiTheme="minorHAnsi"/>
                <w:sz w:val="16"/>
                <w:szCs w:val="16"/>
              </w:rPr>
            </w:pPr>
            <w:r w:rsidRPr="009336DA">
              <w:rPr>
                <w:rFonts w:asciiTheme="minorHAnsi" w:hAnsiTheme="minorHAnsi"/>
                <w:sz w:val="16"/>
                <w:szCs w:val="16"/>
              </w:rPr>
              <w:t>TBR</w:t>
            </w:r>
          </w:p>
        </w:tc>
      </w:tr>
      <w:tr w:rsidR="002C49DF" w:rsidRPr="009336DA" w:rsidTr="00C26550">
        <w:tc>
          <w:tcPr>
            <w:tcW w:w="1702" w:type="dxa"/>
          </w:tcPr>
          <w:p w:rsidR="002C49DF" w:rsidRPr="009336DA" w:rsidRDefault="002C49DF" w:rsidP="00C26550">
            <w:pPr>
              <w:jc w:val="center"/>
              <w:rPr>
                <w:rFonts w:asciiTheme="minorHAnsi" w:hAnsiTheme="minorHAnsi"/>
                <w:sz w:val="16"/>
                <w:szCs w:val="16"/>
              </w:rPr>
            </w:pPr>
            <w:r w:rsidRPr="009336DA">
              <w:rPr>
                <w:rFonts w:asciiTheme="minorHAnsi" w:hAnsiTheme="minorHAnsi"/>
                <w:sz w:val="16"/>
                <w:szCs w:val="16"/>
              </w:rPr>
              <w:t>Trwałość po 7 dniach magazynowania</w:t>
            </w:r>
          </w:p>
        </w:tc>
        <w:tc>
          <w:tcPr>
            <w:tcW w:w="1134" w:type="dxa"/>
          </w:tcPr>
          <w:p w:rsidR="002C49DF" w:rsidRPr="009336DA" w:rsidRDefault="002C49DF" w:rsidP="00C26550">
            <w:pPr>
              <w:jc w:val="center"/>
              <w:rPr>
                <w:rFonts w:asciiTheme="minorHAnsi" w:hAnsiTheme="minorHAnsi"/>
                <w:sz w:val="16"/>
                <w:szCs w:val="16"/>
              </w:rPr>
            </w:pPr>
            <w:r w:rsidRPr="009336DA">
              <w:rPr>
                <w:rFonts w:asciiTheme="minorHAnsi" w:hAnsiTheme="minorHAnsi"/>
                <w:sz w:val="16"/>
                <w:szCs w:val="16"/>
              </w:rPr>
              <w:t>PN-EN 1429</w:t>
            </w:r>
          </w:p>
        </w:tc>
        <w:tc>
          <w:tcPr>
            <w:tcW w:w="992" w:type="dxa"/>
          </w:tcPr>
          <w:p w:rsidR="002C49DF" w:rsidRPr="009336DA" w:rsidRDefault="002C49DF" w:rsidP="00C26550">
            <w:pPr>
              <w:jc w:val="center"/>
              <w:rPr>
                <w:rFonts w:asciiTheme="minorHAnsi" w:hAnsiTheme="minorHAnsi"/>
                <w:sz w:val="16"/>
                <w:szCs w:val="16"/>
              </w:rPr>
            </w:pPr>
          </w:p>
          <w:p w:rsidR="002C49DF" w:rsidRPr="009336DA" w:rsidRDefault="002C49DF" w:rsidP="00C26550">
            <w:pPr>
              <w:jc w:val="center"/>
              <w:rPr>
                <w:rFonts w:asciiTheme="minorHAnsi" w:hAnsiTheme="minorHAnsi"/>
                <w:sz w:val="16"/>
                <w:szCs w:val="16"/>
              </w:rPr>
            </w:pPr>
            <w:r w:rsidRPr="009336DA">
              <w:rPr>
                <w:rFonts w:asciiTheme="minorHAnsi" w:hAnsiTheme="minorHAnsi"/>
                <w:sz w:val="16"/>
                <w:szCs w:val="16"/>
              </w:rPr>
              <w:t>%(m/m)</w:t>
            </w:r>
          </w:p>
        </w:tc>
        <w:tc>
          <w:tcPr>
            <w:tcW w:w="993" w:type="dxa"/>
          </w:tcPr>
          <w:p w:rsidR="002C49DF" w:rsidRPr="009336DA" w:rsidRDefault="002C49DF" w:rsidP="00C26550">
            <w:pPr>
              <w:jc w:val="center"/>
              <w:rPr>
                <w:rFonts w:asciiTheme="minorHAnsi" w:hAnsiTheme="minorHAnsi"/>
                <w:sz w:val="16"/>
                <w:szCs w:val="16"/>
              </w:rPr>
            </w:pPr>
          </w:p>
          <w:p w:rsidR="002C49DF" w:rsidRPr="009336DA" w:rsidRDefault="002C49DF" w:rsidP="00C26550">
            <w:pPr>
              <w:jc w:val="center"/>
              <w:rPr>
                <w:rFonts w:asciiTheme="minorHAnsi" w:hAnsiTheme="minorHAnsi"/>
                <w:sz w:val="16"/>
                <w:szCs w:val="16"/>
              </w:rPr>
            </w:pPr>
            <w:r w:rsidRPr="009336DA">
              <w:rPr>
                <w:rFonts w:asciiTheme="minorHAnsi" w:hAnsiTheme="minorHAnsi"/>
                <w:sz w:val="16"/>
                <w:szCs w:val="16"/>
              </w:rPr>
              <w:t>1</w:t>
            </w:r>
          </w:p>
        </w:tc>
        <w:tc>
          <w:tcPr>
            <w:tcW w:w="1275" w:type="dxa"/>
          </w:tcPr>
          <w:p w:rsidR="002C49DF" w:rsidRPr="009336DA" w:rsidRDefault="002C49DF" w:rsidP="00C26550">
            <w:pPr>
              <w:jc w:val="center"/>
              <w:rPr>
                <w:rFonts w:asciiTheme="minorHAnsi" w:hAnsiTheme="minorHAnsi"/>
                <w:sz w:val="16"/>
                <w:szCs w:val="16"/>
              </w:rPr>
            </w:pPr>
          </w:p>
          <w:p w:rsidR="002C49DF" w:rsidRPr="009336DA" w:rsidRDefault="002C49DF" w:rsidP="00C26550">
            <w:pPr>
              <w:jc w:val="center"/>
              <w:rPr>
                <w:rFonts w:asciiTheme="minorHAnsi" w:hAnsiTheme="minorHAnsi"/>
                <w:sz w:val="16"/>
                <w:szCs w:val="16"/>
              </w:rPr>
            </w:pPr>
            <w:r w:rsidRPr="009336DA">
              <w:rPr>
                <w:rFonts w:asciiTheme="minorHAnsi" w:hAnsiTheme="minorHAnsi"/>
                <w:sz w:val="16"/>
                <w:szCs w:val="16"/>
              </w:rPr>
              <w:t>TBR</w:t>
            </w:r>
          </w:p>
        </w:tc>
        <w:tc>
          <w:tcPr>
            <w:tcW w:w="566" w:type="dxa"/>
          </w:tcPr>
          <w:p w:rsidR="002C49DF" w:rsidRPr="009336DA" w:rsidRDefault="002C49DF" w:rsidP="00C26550">
            <w:pPr>
              <w:jc w:val="center"/>
              <w:rPr>
                <w:rFonts w:asciiTheme="minorHAnsi" w:hAnsiTheme="minorHAnsi"/>
                <w:sz w:val="16"/>
                <w:szCs w:val="16"/>
              </w:rPr>
            </w:pPr>
          </w:p>
          <w:p w:rsidR="002C49DF" w:rsidRPr="009336DA" w:rsidRDefault="002C49DF" w:rsidP="00C26550">
            <w:pPr>
              <w:jc w:val="center"/>
              <w:rPr>
                <w:rFonts w:asciiTheme="minorHAnsi" w:hAnsiTheme="minorHAnsi"/>
                <w:sz w:val="16"/>
                <w:szCs w:val="16"/>
              </w:rPr>
            </w:pPr>
            <w:r w:rsidRPr="009336DA">
              <w:rPr>
                <w:rFonts w:asciiTheme="minorHAnsi" w:hAnsiTheme="minorHAnsi"/>
                <w:sz w:val="16"/>
                <w:szCs w:val="16"/>
              </w:rPr>
              <w:t>1</w:t>
            </w:r>
          </w:p>
        </w:tc>
        <w:tc>
          <w:tcPr>
            <w:tcW w:w="1418" w:type="dxa"/>
          </w:tcPr>
          <w:p w:rsidR="002C49DF" w:rsidRPr="009336DA" w:rsidRDefault="002C49DF" w:rsidP="00C26550">
            <w:pPr>
              <w:jc w:val="center"/>
              <w:rPr>
                <w:rFonts w:asciiTheme="minorHAnsi" w:hAnsiTheme="minorHAnsi"/>
                <w:sz w:val="16"/>
                <w:szCs w:val="16"/>
              </w:rPr>
            </w:pPr>
          </w:p>
          <w:p w:rsidR="002C49DF" w:rsidRPr="009336DA" w:rsidRDefault="002C49DF" w:rsidP="00C26550">
            <w:pPr>
              <w:jc w:val="center"/>
              <w:rPr>
                <w:rFonts w:asciiTheme="minorHAnsi" w:hAnsiTheme="minorHAnsi"/>
                <w:sz w:val="16"/>
                <w:szCs w:val="16"/>
              </w:rPr>
            </w:pPr>
            <w:r w:rsidRPr="009336DA">
              <w:rPr>
                <w:rFonts w:asciiTheme="minorHAnsi" w:hAnsiTheme="minorHAnsi"/>
                <w:sz w:val="16"/>
                <w:szCs w:val="16"/>
              </w:rPr>
              <w:t>TBR</w:t>
            </w:r>
          </w:p>
        </w:tc>
      </w:tr>
      <w:tr w:rsidR="002C49DF" w:rsidRPr="009336DA" w:rsidTr="00C26550">
        <w:tc>
          <w:tcPr>
            <w:tcW w:w="1702" w:type="dxa"/>
          </w:tcPr>
          <w:p w:rsidR="002C49DF" w:rsidRPr="009336DA" w:rsidRDefault="002C49DF" w:rsidP="00C26550">
            <w:pPr>
              <w:jc w:val="center"/>
              <w:rPr>
                <w:rFonts w:asciiTheme="minorHAnsi" w:hAnsiTheme="minorHAnsi"/>
                <w:sz w:val="16"/>
                <w:szCs w:val="16"/>
              </w:rPr>
            </w:pPr>
            <w:r w:rsidRPr="009336DA">
              <w:rPr>
                <w:rFonts w:asciiTheme="minorHAnsi" w:hAnsiTheme="minorHAnsi"/>
                <w:sz w:val="16"/>
                <w:szCs w:val="16"/>
              </w:rPr>
              <w:t>Sedymentacja</w:t>
            </w:r>
          </w:p>
        </w:tc>
        <w:tc>
          <w:tcPr>
            <w:tcW w:w="1134" w:type="dxa"/>
          </w:tcPr>
          <w:p w:rsidR="002C49DF" w:rsidRPr="009336DA" w:rsidRDefault="002C49DF" w:rsidP="00C26550">
            <w:pPr>
              <w:jc w:val="center"/>
              <w:rPr>
                <w:rFonts w:asciiTheme="minorHAnsi" w:hAnsiTheme="minorHAnsi"/>
                <w:sz w:val="16"/>
                <w:szCs w:val="16"/>
              </w:rPr>
            </w:pPr>
            <w:r w:rsidRPr="009336DA">
              <w:rPr>
                <w:rFonts w:asciiTheme="minorHAnsi" w:hAnsiTheme="minorHAnsi"/>
                <w:sz w:val="16"/>
                <w:szCs w:val="16"/>
              </w:rPr>
              <w:t>PN-EN 12847</w:t>
            </w:r>
          </w:p>
        </w:tc>
        <w:tc>
          <w:tcPr>
            <w:tcW w:w="992" w:type="dxa"/>
          </w:tcPr>
          <w:p w:rsidR="002C49DF" w:rsidRPr="009336DA" w:rsidRDefault="002C49DF" w:rsidP="00C26550">
            <w:pPr>
              <w:jc w:val="center"/>
              <w:rPr>
                <w:rFonts w:asciiTheme="minorHAnsi" w:hAnsiTheme="minorHAnsi"/>
                <w:sz w:val="16"/>
                <w:szCs w:val="16"/>
              </w:rPr>
            </w:pPr>
            <w:r w:rsidRPr="009336DA">
              <w:rPr>
                <w:rFonts w:asciiTheme="minorHAnsi" w:hAnsiTheme="minorHAnsi"/>
                <w:sz w:val="16"/>
                <w:szCs w:val="16"/>
              </w:rPr>
              <w:t>%(m/m)</w:t>
            </w:r>
          </w:p>
        </w:tc>
        <w:tc>
          <w:tcPr>
            <w:tcW w:w="993" w:type="dxa"/>
          </w:tcPr>
          <w:p w:rsidR="002C49DF" w:rsidRPr="009336DA" w:rsidRDefault="002C49DF" w:rsidP="00C26550">
            <w:pPr>
              <w:jc w:val="center"/>
              <w:rPr>
                <w:rFonts w:asciiTheme="minorHAnsi" w:hAnsiTheme="minorHAnsi"/>
                <w:sz w:val="16"/>
                <w:szCs w:val="16"/>
              </w:rPr>
            </w:pPr>
            <w:r w:rsidRPr="009336DA">
              <w:rPr>
                <w:rFonts w:asciiTheme="minorHAnsi" w:hAnsiTheme="minorHAnsi"/>
                <w:sz w:val="16"/>
                <w:szCs w:val="16"/>
              </w:rPr>
              <w:t>1</w:t>
            </w:r>
          </w:p>
        </w:tc>
        <w:tc>
          <w:tcPr>
            <w:tcW w:w="1275" w:type="dxa"/>
          </w:tcPr>
          <w:p w:rsidR="002C49DF" w:rsidRPr="009336DA" w:rsidRDefault="002C49DF" w:rsidP="00C26550">
            <w:pPr>
              <w:jc w:val="center"/>
              <w:rPr>
                <w:rFonts w:asciiTheme="minorHAnsi" w:hAnsiTheme="minorHAnsi"/>
                <w:sz w:val="16"/>
                <w:szCs w:val="16"/>
              </w:rPr>
            </w:pPr>
            <w:r w:rsidRPr="009336DA">
              <w:rPr>
                <w:rFonts w:asciiTheme="minorHAnsi" w:hAnsiTheme="minorHAnsi"/>
                <w:sz w:val="16"/>
                <w:szCs w:val="16"/>
              </w:rPr>
              <w:t>TBR</w:t>
            </w:r>
          </w:p>
        </w:tc>
        <w:tc>
          <w:tcPr>
            <w:tcW w:w="566" w:type="dxa"/>
          </w:tcPr>
          <w:p w:rsidR="002C49DF" w:rsidRPr="009336DA" w:rsidRDefault="002C49DF" w:rsidP="00C26550">
            <w:pPr>
              <w:jc w:val="center"/>
              <w:rPr>
                <w:rFonts w:asciiTheme="minorHAnsi" w:hAnsiTheme="minorHAnsi"/>
                <w:sz w:val="16"/>
                <w:szCs w:val="16"/>
              </w:rPr>
            </w:pPr>
            <w:r w:rsidRPr="009336DA">
              <w:rPr>
                <w:rFonts w:asciiTheme="minorHAnsi" w:hAnsiTheme="minorHAnsi"/>
                <w:sz w:val="16"/>
                <w:szCs w:val="16"/>
              </w:rPr>
              <w:t>1</w:t>
            </w:r>
          </w:p>
        </w:tc>
        <w:tc>
          <w:tcPr>
            <w:tcW w:w="1418" w:type="dxa"/>
          </w:tcPr>
          <w:p w:rsidR="002C49DF" w:rsidRPr="009336DA" w:rsidRDefault="002C49DF" w:rsidP="00C26550">
            <w:pPr>
              <w:jc w:val="center"/>
              <w:rPr>
                <w:rFonts w:asciiTheme="minorHAnsi" w:hAnsiTheme="minorHAnsi"/>
                <w:sz w:val="16"/>
                <w:szCs w:val="16"/>
              </w:rPr>
            </w:pPr>
            <w:r w:rsidRPr="009336DA">
              <w:rPr>
                <w:rFonts w:asciiTheme="minorHAnsi" w:hAnsiTheme="minorHAnsi"/>
                <w:sz w:val="16"/>
                <w:szCs w:val="16"/>
              </w:rPr>
              <w:t>TBR</w:t>
            </w:r>
          </w:p>
        </w:tc>
      </w:tr>
    </w:tbl>
    <w:p w:rsidR="002C49DF" w:rsidRPr="006472E8" w:rsidRDefault="002C49DF" w:rsidP="002C49DF">
      <w:pPr>
        <w:ind w:left="709"/>
        <w:rPr>
          <w:rFonts w:asciiTheme="minorHAnsi" w:hAnsiTheme="minorHAnsi"/>
          <w:i/>
          <w:sz w:val="18"/>
          <w:szCs w:val="18"/>
        </w:rPr>
      </w:pPr>
      <w:r w:rsidRPr="006472E8">
        <w:rPr>
          <w:rFonts w:asciiTheme="minorHAnsi" w:hAnsiTheme="minorHAnsi"/>
          <w:i/>
          <w:sz w:val="18"/>
          <w:szCs w:val="18"/>
        </w:rPr>
        <w:t>a)Emulsję można rozcieńczać wodą, do stężenia asfaltu nie niższego niż 40%(m/m)</w:t>
      </w:r>
    </w:p>
    <w:p w:rsidR="002C49DF" w:rsidRPr="006472E8" w:rsidRDefault="002C49DF" w:rsidP="002C49DF">
      <w:pPr>
        <w:ind w:left="709"/>
        <w:rPr>
          <w:rFonts w:asciiTheme="minorHAnsi" w:hAnsiTheme="minorHAnsi"/>
          <w:i/>
          <w:sz w:val="18"/>
          <w:szCs w:val="18"/>
        </w:rPr>
      </w:pPr>
      <w:r w:rsidRPr="006472E8">
        <w:rPr>
          <w:rFonts w:asciiTheme="minorHAnsi" w:hAnsiTheme="minorHAnsi"/>
          <w:i/>
          <w:sz w:val="18"/>
          <w:szCs w:val="18"/>
        </w:rPr>
        <w:t>Nie dotyczy emulsji rozcieńczanej wodą na budowie</w:t>
      </w:r>
    </w:p>
    <w:p w:rsidR="002C49DF" w:rsidRPr="006472E8" w:rsidRDefault="002C49DF" w:rsidP="002C49DF">
      <w:pPr>
        <w:ind w:left="709"/>
        <w:rPr>
          <w:rFonts w:asciiTheme="minorHAnsi" w:hAnsiTheme="minorHAnsi"/>
          <w:i/>
          <w:sz w:val="18"/>
          <w:szCs w:val="18"/>
        </w:rPr>
      </w:pPr>
      <w:r w:rsidRPr="006472E8">
        <w:rPr>
          <w:rFonts w:asciiTheme="minorHAnsi" w:hAnsiTheme="minorHAnsi"/>
          <w:i/>
          <w:sz w:val="18"/>
          <w:szCs w:val="18"/>
        </w:rPr>
        <w:t>b)TBR (To be reported) – do zadeklarowania (producent może dostarczyć odpowiednie informacje, jednak nie jest do tego zobowiązany)</w:t>
      </w:r>
    </w:p>
    <w:p w:rsidR="002C49DF" w:rsidRDefault="002C49DF" w:rsidP="002C49DF">
      <w:pPr>
        <w:rPr>
          <w:rFonts w:asciiTheme="minorHAnsi" w:hAnsiTheme="minorHAnsi"/>
        </w:rPr>
      </w:pPr>
    </w:p>
    <w:p w:rsidR="002C49DF" w:rsidRPr="006472E8" w:rsidRDefault="002C49DF" w:rsidP="002C49DF">
      <w:pPr>
        <w:rPr>
          <w:rFonts w:asciiTheme="minorHAnsi" w:hAnsiTheme="minorHAnsi"/>
        </w:rPr>
      </w:pPr>
      <w:r w:rsidRPr="006472E8">
        <w:rPr>
          <w:rFonts w:asciiTheme="minorHAnsi" w:hAnsiTheme="minorHAnsi"/>
        </w:rPr>
        <w:t>Przykład oznaczenia kationowej emulsji asfaltowej:</w:t>
      </w:r>
    </w:p>
    <w:p w:rsidR="002C49DF" w:rsidRPr="006472E8" w:rsidRDefault="002C49DF" w:rsidP="002C49DF">
      <w:pPr>
        <w:rPr>
          <w:rFonts w:asciiTheme="minorHAnsi" w:hAnsiTheme="minorHAnsi"/>
        </w:rPr>
      </w:pPr>
      <w:r w:rsidRPr="006472E8">
        <w:rPr>
          <w:rFonts w:asciiTheme="minorHAnsi" w:hAnsiTheme="minorHAnsi"/>
        </w:rPr>
        <w:t>C60 BP3 ZM – kationowa emulsja asfaltowa o zawartości lepiszcza 60%, wyprodukowana z asfaltu modyfikowanego polimerami, o klasie indeksu rozpadu 3, przeznaczona do złączania warstw nawierzchni.</w:t>
      </w:r>
    </w:p>
    <w:p w:rsidR="002C49DF" w:rsidRPr="006472E8" w:rsidRDefault="002C49DF" w:rsidP="002C49DF">
      <w:pPr>
        <w:rPr>
          <w:rFonts w:asciiTheme="minorHAnsi" w:hAnsiTheme="minorHAnsi"/>
        </w:rPr>
      </w:pPr>
      <w:r w:rsidRPr="006472E8">
        <w:rPr>
          <w:rFonts w:asciiTheme="minorHAnsi" w:hAnsiTheme="minorHAnsi"/>
          <w:b/>
        </w:rPr>
        <w:t>2.2.5.</w:t>
      </w:r>
      <w:r w:rsidRPr="006472E8">
        <w:rPr>
          <w:rFonts w:asciiTheme="minorHAnsi" w:hAnsiTheme="minorHAnsi"/>
        </w:rPr>
        <w:t xml:space="preserve"> Materiały występujące przy budowie nowej nawierzchni</w:t>
      </w:r>
    </w:p>
    <w:p w:rsidR="002C49DF" w:rsidRPr="006472E8" w:rsidRDefault="002C49DF" w:rsidP="002C49DF">
      <w:pPr>
        <w:rPr>
          <w:rFonts w:asciiTheme="minorHAnsi" w:hAnsiTheme="minorHAnsi"/>
        </w:rPr>
      </w:pPr>
      <w:r w:rsidRPr="006472E8">
        <w:rPr>
          <w:rFonts w:asciiTheme="minorHAnsi" w:hAnsiTheme="minorHAnsi"/>
        </w:rPr>
        <w:tab/>
        <w:t>Materiały występujące przy budowie nowej nawierzchni powinny być zgodne z ustaleniami dokumentacji projektowej i dostosowane do rodzaju warstw nawierzchni.</w:t>
      </w:r>
    </w:p>
    <w:p w:rsidR="002C49DF" w:rsidRPr="006472E8" w:rsidRDefault="002C49DF" w:rsidP="002C49DF">
      <w:pPr>
        <w:rPr>
          <w:rFonts w:asciiTheme="minorHAnsi" w:hAnsiTheme="minorHAnsi"/>
        </w:rPr>
      </w:pPr>
    </w:p>
    <w:p w:rsidR="002C49DF" w:rsidRPr="006472E8" w:rsidRDefault="002C49DF" w:rsidP="002C49DF">
      <w:pPr>
        <w:rPr>
          <w:rFonts w:asciiTheme="minorHAnsi" w:hAnsiTheme="minorHAnsi"/>
          <w:b/>
        </w:rPr>
      </w:pPr>
      <w:bookmarkStart w:id="1534" w:name="_Toc113935589"/>
      <w:bookmarkStart w:id="1535" w:name="_Toc116360494"/>
      <w:bookmarkStart w:id="1536" w:name="_Toc174333135"/>
      <w:bookmarkStart w:id="1537" w:name="_Toc208892383"/>
      <w:bookmarkStart w:id="1538" w:name="_Toc235854624"/>
      <w:bookmarkStart w:id="1539" w:name="_Toc250368193"/>
      <w:r w:rsidRPr="006472E8">
        <w:rPr>
          <w:rFonts w:asciiTheme="minorHAnsi" w:hAnsiTheme="minorHAnsi"/>
          <w:b/>
        </w:rPr>
        <w:t xml:space="preserve">3. </w:t>
      </w:r>
      <w:bookmarkEnd w:id="1534"/>
      <w:bookmarkEnd w:id="1535"/>
      <w:bookmarkEnd w:id="1536"/>
      <w:bookmarkEnd w:id="1537"/>
      <w:bookmarkEnd w:id="1538"/>
      <w:bookmarkEnd w:id="1539"/>
      <w:r w:rsidRPr="006472E8">
        <w:rPr>
          <w:rFonts w:asciiTheme="minorHAnsi" w:hAnsiTheme="minorHAnsi"/>
          <w:b/>
        </w:rPr>
        <w:t>SPRZĘT</w:t>
      </w:r>
    </w:p>
    <w:p w:rsidR="002C49DF" w:rsidRPr="006472E8" w:rsidRDefault="002C49DF" w:rsidP="002C49DF">
      <w:pPr>
        <w:rPr>
          <w:rFonts w:asciiTheme="minorHAnsi" w:hAnsiTheme="minorHAnsi"/>
        </w:rPr>
      </w:pPr>
      <w:r w:rsidRPr="006472E8">
        <w:rPr>
          <w:rFonts w:asciiTheme="minorHAnsi" w:hAnsiTheme="minorHAnsi"/>
          <w:b/>
        </w:rPr>
        <w:t>3.1.</w:t>
      </w:r>
      <w:r w:rsidRPr="006472E8">
        <w:rPr>
          <w:rFonts w:asciiTheme="minorHAnsi" w:hAnsiTheme="minorHAnsi"/>
        </w:rPr>
        <w:t xml:space="preserve"> Ogólne wymagania dotyczące sprzętu</w:t>
      </w:r>
    </w:p>
    <w:p w:rsidR="002C49DF" w:rsidRPr="006472E8" w:rsidRDefault="002C49DF" w:rsidP="002C49DF">
      <w:pPr>
        <w:rPr>
          <w:rFonts w:asciiTheme="minorHAnsi" w:hAnsiTheme="minorHAnsi"/>
        </w:rPr>
      </w:pPr>
      <w:r w:rsidRPr="006472E8">
        <w:rPr>
          <w:rFonts w:asciiTheme="minorHAnsi" w:hAnsiTheme="minorHAnsi"/>
        </w:rPr>
        <w:tab/>
        <w:t>Ogólne wymagania dotyczące sprzętu podano w ST  D-M-00.00.00 „Wymagania ogólne” pkt 3.</w:t>
      </w:r>
    </w:p>
    <w:p w:rsidR="002C49DF" w:rsidRPr="006472E8" w:rsidRDefault="002C49DF" w:rsidP="002C49DF">
      <w:pPr>
        <w:rPr>
          <w:rFonts w:asciiTheme="minorHAnsi" w:hAnsiTheme="minorHAnsi"/>
        </w:rPr>
      </w:pPr>
      <w:r w:rsidRPr="006472E8">
        <w:rPr>
          <w:rFonts w:asciiTheme="minorHAnsi" w:hAnsiTheme="minorHAnsi"/>
          <w:b/>
        </w:rPr>
        <w:t>3.2.</w:t>
      </w:r>
      <w:r w:rsidRPr="006472E8">
        <w:rPr>
          <w:rFonts w:asciiTheme="minorHAnsi" w:hAnsiTheme="minorHAnsi"/>
        </w:rPr>
        <w:t xml:space="preserve"> Sprzęt stosowany do wykonania robót</w:t>
      </w:r>
    </w:p>
    <w:p w:rsidR="002C49DF" w:rsidRPr="006472E8" w:rsidRDefault="002C49DF" w:rsidP="002C49DF">
      <w:pPr>
        <w:rPr>
          <w:rFonts w:asciiTheme="minorHAnsi" w:hAnsiTheme="minorHAnsi"/>
        </w:rPr>
      </w:pPr>
      <w:r w:rsidRPr="006472E8">
        <w:rPr>
          <w:rFonts w:asciiTheme="minorHAnsi" w:hAnsiTheme="minorHAnsi"/>
        </w:rPr>
        <w:tab/>
        <w:t>Przy wykonywaniu robót Wykonawca w zależności od potrzeb, powinien wykazać się możliwością korzystania ze sprzętu dostosowanego do przyjętej metody robót, jak:</w:t>
      </w:r>
    </w:p>
    <w:p w:rsidR="002C49DF" w:rsidRPr="006472E8" w:rsidRDefault="002C49DF" w:rsidP="002C49DF">
      <w:pPr>
        <w:rPr>
          <w:rFonts w:asciiTheme="minorHAnsi" w:hAnsiTheme="minorHAnsi"/>
        </w:rPr>
      </w:pPr>
      <w:r>
        <w:rPr>
          <w:rFonts w:asciiTheme="minorHAnsi" w:hAnsiTheme="minorHAnsi"/>
        </w:rPr>
        <w:t>-</w:t>
      </w:r>
      <w:r w:rsidRPr="006472E8">
        <w:rPr>
          <w:rFonts w:asciiTheme="minorHAnsi" w:hAnsiTheme="minorHAnsi"/>
        </w:rPr>
        <w:t>piły do cięcia betonu asfaltowego,</w:t>
      </w:r>
    </w:p>
    <w:p w:rsidR="002C49DF" w:rsidRPr="006472E8" w:rsidRDefault="002C49DF" w:rsidP="002C49DF">
      <w:pPr>
        <w:rPr>
          <w:rFonts w:asciiTheme="minorHAnsi" w:hAnsiTheme="minorHAnsi"/>
        </w:rPr>
      </w:pPr>
      <w:r>
        <w:rPr>
          <w:rFonts w:asciiTheme="minorHAnsi" w:hAnsiTheme="minorHAnsi"/>
        </w:rPr>
        <w:t>-</w:t>
      </w:r>
      <w:r w:rsidRPr="006472E8">
        <w:rPr>
          <w:rFonts w:asciiTheme="minorHAnsi" w:hAnsiTheme="minorHAnsi"/>
        </w:rPr>
        <w:t>frezarki do betonu asfaltowego,</w:t>
      </w:r>
    </w:p>
    <w:p w:rsidR="002C49DF" w:rsidRPr="006472E8" w:rsidRDefault="002C49DF" w:rsidP="002C49DF">
      <w:pPr>
        <w:rPr>
          <w:rFonts w:asciiTheme="minorHAnsi" w:hAnsiTheme="minorHAnsi"/>
        </w:rPr>
      </w:pPr>
      <w:r>
        <w:rPr>
          <w:rFonts w:asciiTheme="minorHAnsi" w:hAnsiTheme="minorHAnsi"/>
        </w:rPr>
        <w:t>-</w:t>
      </w:r>
      <w:r w:rsidRPr="006472E8">
        <w:rPr>
          <w:rFonts w:asciiTheme="minorHAnsi" w:hAnsiTheme="minorHAnsi"/>
        </w:rPr>
        <w:t>młot pneumatyczny, sprężarka powietrza,</w:t>
      </w:r>
    </w:p>
    <w:p w:rsidR="002C49DF" w:rsidRPr="006472E8" w:rsidRDefault="002C49DF" w:rsidP="002C49DF">
      <w:pPr>
        <w:rPr>
          <w:rFonts w:asciiTheme="minorHAnsi" w:hAnsiTheme="minorHAnsi"/>
        </w:rPr>
      </w:pPr>
      <w:r>
        <w:rPr>
          <w:rFonts w:asciiTheme="minorHAnsi" w:hAnsiTheme="minorHAnsi"/>
        </w:rPr>
        <w:t>-</w:t>
      </w:r>
      <w:r w:rsidRPr="006472E8">
        <w:rPr>
          <w:rFonts w:asciiTheme="minorHAnsi" w:hAnsiTheme="minorHAnsi"/>
        </w:rPr>
        <w:t>skrapiarka emulsji asfaltowej z ręcznie prowadzoną lancą spryskującą, ze zbiornikiem na lepiszcze,</w:t>
      </w:r>
    </w:p>
    <w:p w:rsidR="002C49DF" w:rsidRPr="006472E8" w:rsidRDefault="002C49DF" w:rsidP="002C49DF">
      <w:pPr>
        <w:rPr>
          <w:rFonts w:asciiTheme="minorHAnsi" w:hAnsiTheme="minorHAnsi"/>
        </w:rPr>
      </w:pPr>
      <w:r>
        <w:rPr>
          <w:rFonts w:asciiTheme="minorHAnsi" w:hAnsiTheme="minorHAnsi"/>
        </w:rPr>
        <w:t>-</w:t>
      </w:r>
      <w:r w:rsidRPr="006472E8">
        <w:rPr>
          <w:rFonts w:asciiTheme="minorHAnsi" w:hAnsiTheme="minorHAnsi"/>
        </w:rPr>
        <w:t>ew. układarka geokompozytu, umożliwiającą rozwijanie go ze szpuli oraz noże do cięcia geokompozytu,</w:t>
      </w:r>
    </w:p>
    <w:p w:rsidR="002C49DF" w:rsidRPr="006472E8" w:rsidRDefault="002C49DF" w:rsidP="002C49DF">
      <w:pPr>
        <w:rPr>
          <w:rFonts w:asciiTheme="minorHAnsi" w:hAnsiTheme="minorHAnsi"/>
        </w:rPr>
      </w:pPr>
      <w:r>
        <w:rPr>
          <w:rFonts w:asciiTheme="minorHAnsi" w:hAnsiTheme="minorHAnsi"/>
        </w:rPr>
        <w:t>-</w:t>
      </w:r>
      <w:r w:rsidRPr="006472E8">
        <w:rPr>
          <w:rFonts w:asciiTheme="minorHAnsi" w:hAnsiTheme="minorHAnsi"/>
        </w:rPr>
        <w:t>sprzęt pomocniczy, jak oskardy, łopaty, szczotki itp.</w:t>
      </w:r>
    </w:p>
    <w:p w:rsidR="002C49DF" w:rsidRPr="006472E8" w:rsidRDefault="002C49DF" w:rsidP="002C49DF">
      <w:pPr>
        <w:rPr>
          <w:rFonts w:asciiTheme="minorHAnsi" w:hAnsiTheme="minorHAnsi"/>
        </w:rPr>
      </w:pPr>
      <w:r w:rsidRPr="006472E8">
        <w:rPr>
          <w:rFonts w:asciiTheme="minorHAnsi" w:hAnsiTheme="minorHAnsi"/>
        </w:rPr>
        <w:t>Zaleca się, aby skrapiarka była wyposażona w urządzenia pomiarowo-kontrolne, pozwalające na sprawdzenie i regulowanie: temperatury, ciśnienia, obrotów pompy dozującej lepiszcze, prędkości poruszania się skrapiarki oraz ilości dozowanego lepiszcza. Skrapiarka powinna zapewniać rozkładanie lepiszcza z tolerancją ± 10% w stosunku do ilości założonej. Zbiornik na lepiszcze powinien być izolowany termicznie, tak aby było możliwe zachowanie stałej temperatury lepiszcza.</w:t>
      </w:r>
    </w:p>
    <w:p w:rsidR="002C49DF" w:rsidRPr="006472E8" w:rsidRDefault="002C49DF" w:rsidP="002C49DF">
      <w:pPr>
        <w:rPr>
          <w:rFonts w:asciiTheme="minorHAnsi" w:hAnsiTheme="minorHAnsi"/>
        </w:rPr>
      </w:pPr>
      <w:r w:rsidRPr="006472E8">
        <w:rPr>
          <w:rFonts w:asciiTheme="minorHAnsi" w:hAnsiTheme="minorHAnsi"/>
        </w:rPr>
        <w:lastRenderedPageBreak/>
        <w:t>Sprzęt do budowy nowej nawierzchni powinien być dostosowany do rodzaju warstw nawierzchni, ustalonych w dokumentacji projektowej.</w:t>
      </w:r>
    </w:p>
    <w:p w:rsidR="002C49DF" w:rsidRPr="006472E8" w:rsidRDefault="002C49DF" w:rsidP="002C49DF">
      <w:pPr>
        <w:rPr>
          <w:rFonts w:asciiTheme="minorHAnsi" w:hAnsiTheme="minorHAnsi"/>
        </w:rPr>
      </w:pPr>
      <w:r w:rsidRPr="006472E8">
        <w:rPr>
          <w:rFonts w:asciiTheme="minorHAnsi" w:hAnsiTheme="minorHAnsi"/>
        </w:rPr>
        <w:t>Sprzęt powinien odpowiadać wymaganiom określonym w założeniach Zamawiającego, ST, instrukcjach producentów lub propozycji Wykonawcy i powinien być zaakceptowany przez Inżyniera.</w:t>
      </w:r>
    </w:p>
    <w:p w:rsidR="002C49DF" w:rsidRPr="006472E8" w:rsidRDefault="002C49DF" w:rsidP="002C49DF">
      <w:pPr>
        <w:rPr>
          <w:rFonts w:asciiTheme="minorHAnsi" w:hAnsiTheme="minorHAnsi"/>
        </w:rPr>
      </w:pPr>
    </w:p>
    <w:p w:rsidR="002C49DF" w:rsidRPr="006472E8" w:rsidRDefault="002C49DF" w:rsidP="002C49DF">
      <w:pPr>
        <w:rPr>
          <w:rFonts w:asciiTheme="minorHAnsi" w:hAnsiTheme="minorHAnsi"/>
          <w:b/>
        </w:rPr>
      </w:pPr>
      <w:bookmarkStart w:id="1540" w:name="_Toc424534468"/>
      <w:bookmarkStart w:id="1541" w:name="_Toc46643999"/>
      <w:bookmarkStart w:id="1542" w:name="_Toc51995832"/>
      <w:bookmarkStart w:id="1543" w:name="_Toc63568300"/>
      <w:bookmarkStart w:id="1544" w:name="_Toc73770658"/>
      <w:bookmarkStart w:id="1545" w:name="_Toc113935590"/>
      <w:bookmarkStart w:id="1546" w:name="_Toc116360495"/>
      <w:bookmarkStart w:id="1547" w:name="_Toc174333136"/>
      <w:bookmarkStart w:id="1548" w:name="_Toc208892384"/>
      <w:bookmarkStart w:id="1549" w:name="_Toc235854625"/>
      <w:bookmarkStart w:id="1550" w:name="_Toc250368194"/>
      <w:r w:rsidRPr="006472E8">
        <w:rPr>
          <w:rFonts w:asciiTheme="minorHAnsi" w:hAnsiTheme="minorHAnsi"/>
          <w:b/>
        </w:rPr>
        <w:t>4. TRANSPORT</w:t>
      </w:r>
      <w:bookmarkEnd w:id="1540"/>
      <w:bookmarkEnd w:id="1541"/>
      <w:bookmarkEnd w:id="1542"/>
      <w:bookmarkEnd w:id="1543"/>
      <w:bookmarkEnd w:id="1544"/>
      <w:bookmarkEnd w:id="1545"/>
      <w:bookmarkEnd w:id="1546"/>
      <w:bookmarkEnd w:id="1547"/>
      <w:bookmarkEnd w:id="1548"/>
      <w:bookmarkEnd w:id="1549"/>
      <w:bookmarkEnd w:id="1550"/>
    </w:p>
    <w:p w:rsidR="002C49DF" w:rsidRPr="006472E8" w:rsidRDefault="002C49DF" w:rsidP="002C49DF">
      <w:pPr>
        <w:rPr>
          <w:rFonts w:asciiTheme="minorHAnsi" w:hAnsiTheme="minorHAnsi"/>
        </w:rPr>
      </w:pPr>
      <w:r w:rsidRPr="006472E8">
        <w:rPr>
          <w:rFonts w:asciiTheme="minorHAnsi" w:hAnsiTheme="minorHAnsi"/>
          <w:b/>
        </w:rPr>
        <w:t>4.1.</w:t>
      </w:r>
      <w:r w:rsidRPr="006472E8">
        <w:rPr>
          <w:rFonts w:asciiTheme="minorHAnsi" w:hAnsiTheme="minorHAnsi"/>
        </w:rPr>
        <w:t xml:space="preserve"> Ogólne wymagania dotyczące transportu </w:t>
      </w:r>
    </w:p>
    <w:p w:rsidR="002C49DF" w:rsidRPr="006472E8" w:rsidRDefault="00F040CD" w:rsidP="002C49DF">
      <w:pPr>
        <w:rPr>
          <w:rFonts w:asciiTheme="minorHAnsi" w:hAnsiTheme="minorHAnsi"/>
        </w:rPr>
      </w:pPr>
      <w:r>
        <w:rPr>
          <w:rFonts w:asciiTheme="minorHAnsi" w:hAnsiTheme="minorHAnsi"/>
        </w:rPr>
        <w:tab/>
      </w:r>
      <w:r w:rsidR="002C49DF" w:rsidRPr="006472E8">
        <w:rPr>
          <w:rFonts w:asciiTheme="minorHAnsi" w:hAnsiTheme="minorHAnsi"/>
        </w:rPr>
        <w:t>Ogólne wymagania dotyczące transportu podano w ST D-M-00.00.00 „Wymagania ogólne” pkt 4.</w:t>
      </w:r>
    </w:p>
    <w:p w:rsidR="002C49DF" w:rsidRPr="006472E8" w:rsidRDefault="002C49DF" w:rsidP="002C49DF">
      <w:pPr>
        <w:rPr>
          <w:rFonts w:asciiTheme="minorHAnsi" w:hAnsiTheme="minorHAnsi"/>
        </w:rPr>
      </w:pPr>
      <w:r w:rsidRPr="006472E8">
        <w:rPr>
          <w:rFonts w:asciiTheme="minorHAnsi" w:hAnsiTheme="minorHAnsi"/>
          <w:b/>
        </w:rPr>
        <w:t>4.2.</w:t>
      </w:r>
      <w:r w:rsidRPr="006472E8">
        <w:rPr>
          <w:rFonts w:asciiTheme="minorHAnsi" w:hAnsiTheme="minorHAnsi"/>
        </w:rPr>
        <w:t xml:space="preserve"> Transport materiałów</w:t>
      </w:r>
    </w:p>
    <w:p w:rsidR="002C49DF" w:rsidRPr="006472E8" w:rsidRDefault="002C49DF" w:rsidP="002C49DF">
      <w:pPr>
        <w:rPr>
          <w:rFonts w:asciiTheme="minorHAnsi" w:hAnsiTheme="minorHAnsi"/>
        </w:rPr>
      </w:pPr>
      <w:r w:rsidRPr="006472E8">
        <w:rPr>
          <w:rFonts w:asciiTheme="minorHAnsi" w:hAnsiTheme="minorHAnsi"/>
        </w:rPr>
        <w:tab/>
        <w:t>Geokompozyt należy transportować w rolkach owiniętych folią w celu zabezpieczenia go przed uszkodzeniem w czasie transportu i składowania na budowie, a także przed negatywnym działaniem ultrafioletowego promieniowania słonecznego. Rolki powinny być przewożone w pozycji pionowej lub ułożone poziomo, nie więcej niż w trzech warstwach. Podczas transportu i składowania należy chronić materiał przed zawilgoceniem i zabrudzeniem. W czasie wyładowania geokompozytu ze środka transportu nie należy dopuścić do porozrywania lub podziurawienia opakowania z folii.</w:t>
      </w:r>
    </w:p>
    <w:p w:rsidR="002C49DF" w:rsidRPr="006472E8" w:rsidRDefault="002C49DF" w:rsidP="002C49DF">
      <w:pPr>
        <w:rPr>
          <w:rFonts w:asciiTheme="minorHAnsi" w:hAnsiTheme="minorHAnsi"/>
        </w:rPr>
      </w:pPr>
      <w:r w:rsidRPr="006472E8">
        <w:rPr>
          <w:rFonts w:asciiTheme="minorHAnsi" w:hAnsiTheme="minorHAnsi"/>
        </w:rPr>
        <w:tab/>
        <w:t xml:space="preserve">Emulsja asfaltowa może być transportowana w cysternach, skrapiarkach, beczkach i innych opakowaniach, pod warunkiem, że nie będą korodowały pod wpływem emulsji i nie będą powodowały jej rozpadu. Cysterny powinny być przedzielone przegrodami na komory o pojemności do </w:t>
      </w:r>
      <w:smartTag w:uri="urn:schemas-microsoft-com:office:smarttags" w:element="metricconverter">
        <w:smartTagPr>
          <w:attr w:name="ProductID" w:val="1 m3"/>
        </w:smartTagPr>
        <w:r w:rsidRPr="006472E8">
          <w:rPr>
            <w:rFonts w:asciiTheme="minorHAnsi" w:hAnsiTheme="minorHAnsi"/>
          </w:rPr>
          <w:t>1 m</w:t>
        </w:r>
        <w:r w:rsidRPr="006472E8">
          <w:rPr>
            <w:rFonts w:asciiTheme="minorHAnsi" w:hAnsiTheme="minorHAnsi"/>
            <w:vertAlign w:val="superscript"/>
          </w:rPr>
          <w:t>3</w:t>
        </w:r>
      </w:smartTag>
      <w:r w:rsidRPr="006472E8">
        <w:rPr>
          <w:rFonts w:asciiTheme="minorHAnsi" w:hAnsiTheme="minorHAnsi"/>
        </w:rPr>
        <w:t>, które powinny mieć wykroje umożliwiające przepływ emulsji. Zbiorniki do przewozu emulsji powinny być czyste i nie zawierać resztek innych lepiszczy.</w:t>
      </w:r>
    </w:p>
    <w:p w:rsidR="002C49DF" w:rsidRPr="006472E8" w:rsidRDefault="002C49DF" w:rsidP="002C49DF">
      <w:pPr>
        <w:rPr>
          <w:rFonts w:asciiTheme="minorHAnsi" w:hAnsiTheme="minorHAnsi"/>
        </w:rPr>
      </w:pPr>
      <w:r w:rsidRPr="006472E8">
        <w:rPr>
          <w:rFonts w:asciiTheme="minorHAnsi" w:hAnsiTheme="minorHAnsi"/>
        </w:rPr>
        <w:tab/>
        <w:t>Transport materiałów do budowy nowej nawierzchni powinien być zgodny z ustaleniami dla całego budowanego odcinka drogi.</w:t>
      </w:r>
    </w:p>
    <w:p w:rsidR="002C49DF" w:rsidRPr="006472E8" w:rsidRDefault="002C49DF" w:rsidP="002C49DF">
      <w:pPr>
        <w:rPr>
          <w:rFonts w:asciiTheme="minorHAnsi" w:hAnsiTheme="minorHAnsi"/>
        </w:rPr>
      </w:pPr>
    </w:p>
    <w:p w:rsidR="002C49DF" w:rsidRPr="006472E8" w:rsidRDefault="002C49DF" w:rsidP="002C49DF">
      <w:pPr>
        <w:rPr>
          <w:rFonts w:asciiTheme="minorHAnsi" w:hAnsiTheme="minorHAnsi"/>
          <w:b/>
        </w:rPr>
      </w:pPr>
      <w:bookmarkStart w:id="1551" w:name="_Toc233428813"/>
      <w:bookmarkStart w:id="1552" w:name="_Toc235854626"/>
      <w:bookmarkStart w:id="1553" w:name="_Toc250368195"/>
      <w:r w:rsidRPr="006472E8">
        <w:rPr>
          <w:rFonts w:asciiTheme="minorHAnsi" w:hAnsiTheme="minorHAnsi"/>
          <w:b/>
        </w:rPr>
        <w:t xml:space="preserve">5. </w:t>
      </w:r>
      <w:bookmarkEnd w:id="1551"/>
      <w:bookmarkEnd w:id="1552"/>
      <w:bookmarkEnd w:id="1553"/>
      <w:r w:rsidRPr="006472E8">
        <w:rPr>
          <w:rFonts w:asciiTheme="minorHAnsi" w:hAnsiTheme="minorHAnsi"/>
          <w:b/>
        </w:rPr>
        <w:t>WYKONANIE ROBÓT</w:t>
      </w:r>
    </w:p>
    <w:p w:rsidR="002C49DF" w:rsidRPr="006472E8" w:rsidRDefault="002C49DF" w:rsidP="002C49DF">
      <w:pPr>
        <w:rPr>
          <w:rFonts w:asciiTheme="minorHAnsi" w:hAnsiTheme="minorHAnsi"/>
        </w:rPr>
      </w:pPr>
      <w:r w:rsidRPr="006472E8">
        <w:rPr>
          <w:rFonts w:asciiTheme="minorHAnsi" w:hAnsiTheme="minorHAnsi"/>
          <w:b/>
        </w:rPr>
        <w:t>5.1.</w:t>
      </w:r>
      <w:r w:rsidRPr="006472E8">
        <w:rPr>
          <w:rFonts w:asciiTheme="minorHAnsi" w:hAnsiTheme="minorHAnsi"/>
        </w:rPr>
        <w:t xml:space="preserve"> Ogólne zasady wykonania robót</w:t>
      </w:r>
    </w:p>
    <w:p w:rsidR="002C49DF" w:rsidRPr="006472E8" w:rsidRDefault="002C49DF" w:rsidP="002C49DF">
      <w:pPr>
        <w:rPr>
          <w:rFonts w:asciiTheme="minorHAnsi" w:hAnsiTheme="minorHAnsi"/>
        </w:rPr>
      </w:pPr>
      <w:r w:rsidRPr="006472E8">
        <w:rPr>
          <w:rFonts w:asciiTheme="minorHAnsi" w:hAnsiTheme="minorHAnsi"/>
        </w:rPr>
        <w:tab/>
        <w:t>Ogólne zasady wykonania robót podano w ST D-M-00.00.00 „Wymagania ogólne” pkt 5.</w:t>
      </w:r>
    </w:p>
    <w:p w:rsidR="002C49DF" w:rsidRPr="006472E8" w:rsidRDefault="002C49DF" w:rsidP="002C49DF">
      <w:pPr>
        <w:rPr>
          <w:rFonts w:asciiTheme="minorHAnsi" w:hAnsiTheme="minorHAnsi"/>
        </w:rPr>
      </w:pPr>
      <w:r w:rsidRPr="006472E8">
        <w:rPr>
          <w:rFonts w:asciiTheme="minorHAnsi" w:hAnsiTheme="minorHAnsi"/>
          <w:b/>
        </w:rPr>
        <w:t>5.2.</w:t>
      </w:r>
      <w:r w:rsidRPr="006472E8">
        <w:rPr>
          <w:rFonts w:asciiTheme="minorHAnsi" w:hAnsiTheme="minorHAnsi"/>
        </w:rPr>
        <w:t xml:space="preserve"> Zasady wykonywania robót</w:t>
      </w:r>
    </w:p>
    <w:p w:rsidR="002C49DF" w:rsidRPr="006472E8" w:rsidRDefault="002C49DF" w:rsidP="002C49DF">
      <w:pPr>
        <w:rPr>
          <w:rFonts w:asciiTheme="minorHAnsi" w:hAnsiTheme="minorHAnsi"/>
        </w:rPr>
      </w:pPr>
      <w:r w:rsidRPr="006472E8">
        <w:rPr>
          <w:rFonts w:asciiTheme="minorHAnsi" w:hAnsiTheme="minorHAnsi"/>
        </w:rPr>
        <w:t>Sposób wykonania robót powinien być zgodny z dokumentacją projektową. W przypadku braku wystarczających danych można korzystać z ustaleń podanych w niniejszej specyfikacji oraz z informacji podanych w załącznikach.</w:t>
      </w:r>
    </w:p>
    <w:p w:rsidR="002C49DF" w:rsidRPr="006472E8" w:rsidRDefault="002C49DF" w:rsidP="002C49DF">
      <w:pPr>
        <w:rPr>
          <w:rFonts w:asciiTheme="minorHAnsi" w:hAnsiTheme="minorHAnsi"/>
        </w:rPr>
      </w:pPr>
      <w:r w:rsidRPr="006472E8">
        <w:rPr>
          <w:rFonts w:asciiTheme="minorHAnsi" w:hAnsiTheme="minorHAnsi"/>
        </w:rPr>
        <w:tab/>
        <w:t>Podstawowe czynności przy wykonywaniu robót obejmują:</w:t>
      </w:r>
    </w:p>
    <w:p w:rsidR="002C49DF" w:rsidRPr="006472E8" w:rsidRDefault="002C49DF" w:rsidP="002C49DF">
      <w:pPr>
        <w:rPr>
          <w:rFonts w:asciiTheme="minorHAnsi" w:hAnsiTheme="minorHAnsi"/>
        </w:rPr>
      </w:pPr>
      <w:r>
        <w:rPr>
          <w:rFonts w:asciiTheme="minorHAnsi" w:hAnsiTheme="minorHAnsi"/>
        </w:rPr>
        <w:t>-</w:t>
      </w:r>
      <w:r w:rsidRPr="006472E8">
        <w:rPr>
          <w:rFonts w:asciiTheme="minorHAnsi" w:hAnsiTheme="minorHAnsi"/>
        </w:rPr>
        <w:t xml:space="preserve">roboty przygotowawcze, </w:t>
      </w:r>
    </w:p>
    <w:p w:rsidR="002C49DF" w:rsidRPr="006472E8" w:rsidRDefault="002C49DF" w:rsidP="002C49DF">
      <w:pPr>
        <w:rPr>
          <w:rFonts w:asciiTheme="minorHAnsi" w:hAnsiTheme="minorHAnsi"/>
        </w:rPr>
      </w:pPr>
      <w:r>
        <w:rPr>
          <w:rFonts w:asciiTheme="minorHAnsi" w:hAnsiTheme="minorHAnsi"/>
        </w:rPr>
        <w:t>-</w:t>
      </w:r>
      <w:r w:rsidRPr="006472E8">
        <w:rPr>
          <w:rFonts w:asciiTheme="minorHAnsi" w:hAnsiTheme="minorHAnsi"/>
        </w:rPr>
        <w:t>rozbiórkę starej nawierzchni,</w:t>
      </w:r>
    </w:p>
    <w:p w:rsidR="002C49DF" w:rsidRPr="006472E8" w:rsidRDefault="002C49DF" w:rsidP="002C49DF">
      <w:pPr>
        <w:rPr>
          <w:rFonts w:asciiTheme="minorHAnsi" w:hAnsiTheme="minorHAnsi"/>
        </w:rPr>
      </w:pPr>
      <w:r>
        <w:rPr>
          <w:rFonts w:asciiTheme="minorHAnsi" w:hAnsiTheme="minorHAnsi"/>
        </w:rPr>
        <w:t>-</w:t>
      </w:r>
      <w:r w:rsidRPr="006472E8">
        <w:rPr>
          <w:rFonts w:asciiTheme="minorHAnsi" w:hAnsiTheme="minorHAnsi"/>
        </w:rPr>
        <w:t>ułożenie nowych warstw podbudowy i warstwy wiążącej,</w:t>
      </w:r>
    </w:p>
    <w:p w:rsidR="002C49DF" w:rsidRPr="006472E8" w:rsidRDefault="002C49DF" w:rsidP="002C49DF">
      <w:pPr>
        <w:rPr>
          <w:rFonts w:asciiTheme="minorHAnsi" w:hAnsiTheme="minorHAnsi"/>
        </w:rPr>
      </w:pPr>
      <w:r>
        <w:rPr>
          <w:rFonts w:asciiTheme="minorHAnsi" w:hAnsiTheme="minorHAnsi"/>
        </w:rPr>
        <w:t>-</w:t>
      </w:r>
      <w:r w:rsidRPr="006472E8">
        <w:rPr>
          <w:rFonts w:asciiTheme="minorHAnsi" w:hAnsiTheme="minorHAnsi"/>
        </w:rPr>
        <w:t>ułożenie geokompozytu i warstwy ścieralnej,</w:t>
      </w:r>
    </w:p>
    <w:p w:rsidR="002C49DF" w:rsidRPr="006472E8" w:rsidRDefault="002C49DF" w:rsidP="002C49DF">
      <w:pPr>
        <w:rPr>
          <w:rFonts w:asciiTheme="minorHAnsi" w:hAnsiTheme="minorHAnsi"/>
        </w:rPr>
      </w:pPr>
      <w:r>
        <w:rPr>
          <w:rFonts w:asciiTheme="minorHAnsi" w:hAnsiTheme="minorHAnsi"/>
        </w:rPr>
        <w:t>-</w:t>
      </w:r>
      <w:r w:rsidRPr="006472E8">
        <w:rPr>
          <w:rFonts w:asciiTheme="minorHAnsi" w:hAnsiTheme="minorHAnsi"/>
        </w:rPr>
        <w:t>roboty wykończeniowe.</w:t>
      </w:r>
    </w:p>
    <w:p w:rsidR="002C49DF" w:rsidRPr="006472E8" w:rsidRDefault="002C49DF" w:rsidP="002C49DF">
      <w:pPr>
        <w:rPr>
          <w:rFonts w:asciiTheme="minorHAnsi" w:hAnsiTheme="minorHAnsi"/>
        </w:rPr>
      </w:pPr>
      <w:r w:rsidRPr="006472E8">
        <w:rPr>
          <w:rFonts w:asciiTheme="minorHAnsi" w:hAnsiTheme="minorHAnsi"/>
          <w:b/>
        </w:rPr>
        <w:t>5.3.</w:t>
      </w:r>
      <w:r w:rsidRPr="006472E8">
        <w:rPr>
          <w:rFonts w:asciiTheme="minorHAnsi" w:hAnsiTheme="minorHAnsi"/>
        </w:rPr>
        <w:t xml:space="preserve"> Roboty przygotowawcze</w:t>
      </w:r>
    </w:p>
    <w:p w:rsidR="002C49DF" w:rsidRPr="006472E8" w:rsidRDefault="002C49DF" w:rsidP="002C49DF">
      <w:pPr>
        <w:rPr>
          <w:rFonts w:asciiTheme="minorHAnsi" w:hAnsiTheme="minorHAnsi"/>
        </w:rPr>
      </w:pPr>
      <w:r w:rsidRPr="006472E8">
        <w:rPr>
          <w:rFonts w:asciiTheme="minorHAnsi" w:hAnsiTheme="minorHAnsi"/>
        </w:rPr>
        <w:tab/>
        <w:t>Przed przystąpieniem do robót należy, na podstawi</w:t>
      </w:r>
      <w:r>
        <w:rPr>
          <w:rFonts w:asciiTheme="minorHAnsi" w:hAnsiTheme="minorHAnsi"/>
        </w:rPr>
        <w:t xml:space="preserve">e dokumentacji projektowej </w:t>
      </w:r>
      <w:r w:rsidRPr="006472E8">
        <w:rPr>
          <w:rFonts w:asciiTheme="minorHAnsi" w:hAnsiTheme="minorHAnsi"/>
        </w:rPr>
        <w:t>lub wskazań Inżyniera:</w:t>
      </w:r>
    </w:p>
    <w:p w:rsidR="002C49DF" w:rsidRPr="006472E8" w:rsidRDefault="002C49DF" w:rsidP="002C49DF">
      <w:pPr>
        <w:rPr>
          <w:rFonts w:asciiTheme="minorHAnsi" w:hAnsiTheme="minorHAnsi"/>
        </w:rPr>
      </w:pPr>
      <w:r>
        <w:rPr>
          <w:rFonts w:asciiTheme="minorHAnsi" w:hAnsiTheme="minorHAnsi"/>
        </w:rPr>
        <w:t>-</w:t>
      </w:r>
      <w:r w:rsidRPr="006472E8">
        <w:rPr>
          <w:rFonts w:asciiTheme="minorHAnsi" w:hAnsiTheme="minorHAnsi"/>
        </w:rPr>
        <w:t>ustalić lokalizację robót, wyznaczyć oraz oznaczyć linię styku istniejącej nawierzchni i nowej konstrukcji,</w:t>
      </w:r>
    </w:p>
    <w:p w:rsidR="002C49DF" w:rsidRPr="006472E8" w:rsidRDefault="002C49DF" w:rsidP="002C49DF">
      <w:pPr>
        <w:rPr>
          <w:rFonts w:asciiTheme="minorHAnsi" w:hAnsiTheme="minorHAnsi"/>
        </w:rPr>
      </w:pPr>
      <w:r>
        <w:rPr>
          <w:rFonts w:asciiTheme="minorHAnsi" w:hAnsiTheme="minorHAnsi"/>
        </w:rPr>
        <w:t>-</w:t>
      </w:r>
      <w:r w:rsidRPr="006472E8">
        <w:rPr>
          <w:rFonts w:asciiTheme="minorHAnsi" w:hAnsiTheme="minorHAnsi"/>
        </w:rPr>
        <w:t>ew. przeprowadzić obliczenia i pomiary geodezyjne niezbędne do szczegółowego wytyczenia robót oraz ustalenia danych wysokościowych,</w:t>
      </w:r>
    </w:p>
    <w:p w:rsidR="002C49DF" w:rsidRPr="006472E8" w:rsidRDefault="002C49DF" w:rsidP="002C49DF">
      <w:pPr>
        <w:rPr>
          <w:rFonts w:asciiTheme="minorHAnsi" w:hAnsiTheme="minorHAnsi"/>
        </w:rPr>
      </w:pPr>
      <w:r>
        <w:rPr>
          <w:rFonts w:asciiTheme="minorHAnsi" w:hAnsiTheme="minorHAnsi"/>
        </w:rPr>
        <w:t>-</w:t>
      </w:r>
      <w:r w:rsidRPr="006472E8">
        <w:rPr>
          <w:rFonts w:asciiTheme="minorHAnsi" w:hAnsiTheme="minorHAnsi"/>
        </w:rPr>
        <w:t>usunąć przeszkody, np. drzewa, krzaki, obiekty, elementy dróg, ogrodzeń itd.</w:t>
      </w:r>
    </w:p>
    <w:p w:rsidR="002C49DF" w:rsidRPr="006472E8" w:rsidRDefault="002C49DF" w:rsidP="002C49DF">
      <w:pPr>
        <w:rPr>
          <w:rFonts w:asciiTheme="minorHAnsi" w:hAnsiTheme="minorHAnsi"/>
        </w:rPr>
      </w:pPr>
      <w:r w:rsidRPr="006472E8">
        <w:rPr>
          <w:rFonts w:asciiTheme="minorHAnsi" w:hAnsiTheme="minorHAnsi"/>
          <w:b/>
        </w:rPr>
        <w:t>5.4.</w:t>
      </w:r>
      <w:r w:rsidRPr="006472E8">
        <w:rPr>
          <w:rFonts w:asciiTheme="minorHAnsi" w:hAnsiTheme="minorHAnsi"/>
        </w:rPr>
        <w:t xml:space="preserve"> Rozbiórka starej nawierzchni</w:t>
      </w:r>
    </w:p>
    <w:p w:rsidR="002C49DF" w:rsidRPr="006472E8" w:rsidRDefault="002C49DF" w:rsidP="002C49DF">
      <w:pPr>
        <w:rPr>
          <w:rFonts w:asciiTheme="minorHAnsi" w:hAnsiTheme="minorHAnsi"/>
        </w:rPr>
      </w:pPr>
      <w:r w:rsidRPr="006472E8">
        <w:rPr>
          <w:rFonts w:asciiTheme="minorHAnsi" w:hAnsiTheme="minorHAnsi"/>
        </w:rPr>
        <w:tab/>
        <w:t>Fragment istniejącej nawierzchni, od wyznaczonej linii styku nowej i starej nawierzchni, należy rozebrać do głębokości przewidzianej dokumentacją projektową, przy użyciu ręcznego sprzętu rozbiórkowego lub frezarki.</w:t>
      </w:r>
    </w:p>
    <w:p w:rsidR="002C49DF" w:rsidRPr="006472E8" w:rsidRDefault="002C49DF" w:rsidP="002C49DF">
      <w:pPr>
        <w:rPr>
          <w:rFonts w:asciiTheme="minorHAnsi" w:hAnsiTheme="minorHAnsi"/>
        </w:rPr>
      </w:pPr>
      <w:r w:rsidRPr="006472E8">
        <w:rPr>
          <w:rFonts w:asciiTheme="minorHAnsi" w:hAnsiTheme="minorHAnsi"/>
        </w:rPr>
        <w:tab/>
        <w:t xml:space="preserve">Przy rozbiórce istniejącej nawierzchni należy wykonać stopnie w istniejącej konstrukcji w celu uzyskania prawidłowego wzmocnionego połączenia nowych i starych warstw. Szerokość stopni powinna być nie mniejsza niż 1,5 grubości wyżej położonej warstwy, z wyjątkiem stopnia pod warstwą ścieralną, którego szerokość powinna wynosić 1,1 ÷ </w:t>
      </w:r>
      <w:smartTag w:uri="urn:schemas-microsoft-com:office:smarttags" w:element="metricconverter">
        <w:smartTagPr>
          <w:attr w:name="ProductID" w:val="1,15 m"/>
        </w:smartTagPr>
        <w:r w:rsidRPr="006472E8">
          <w:rPr>
            <w:rFonts w:asciiTheme="minorHAnsi" w:hAnsiTheme="minorHAnsi"/>
          </w:rPr>
          <w:t>1,15 m</w:t>
        </w:r>
      </w:smartTag>
      <w:r w:rsidRPr="006472E8">
        <w:rPr>
          <w:rFonts w:asciiTheme="minorHAnsi" w:hAnsiTheme="minorHAnsi"/>
        </w:rPr>
        <w:t>.</w:t>
      </w:r>
    </w:p>
    <w:p w:rsidR="002C49DF" w:rsidRPr="006472E8" w:rsidRDefault="002C49DF" w:rsidP="002C49DF">
      <w:pPr>
        <w:rPr>
          <w:rFonts w:asciiTheme="minorHAnsi" w:hAnsiTheme="minorHAnsi"/>
        </w:rPr>
      </w:pPr>
      <w:r w:rsidRPr="006472E8">
        <w:rPr>
          <w:rFonts w:asciiTheme="minorHAnsi" w:hAnsiTheme="minorHAnsi"/>
        </w:rPr>
        <w:t xml:space="preserve">        Przykład rozbiórki istniejącej nawierzchni przedstawiono na rysunku 1.</w:t>
      </w:r>
    </w:p>
    <w:p w:rsidR="002C49DF" w:rsidRPr="006472E8" w:rsidRDefault="002C49DF" w:rsidP="002C49DF">
      <w:pPr>
        <w:rPr>
          <w:rFonts w:asciiTheme="minorHAnsi" w:hAnsiTheme="minorHAnsi"/>
        </w:rPr>
      </w:pPr>
      <w:r w:rsidRPr="006472E8">
        <w:rPr>
          <w:rFonts w:asciiTheme="minorHAnsi" w:hAnsiTheme="minorHAnsi"/>
          <w:b/>
        </w:rPr>
        <w:t>5.5.</w:t>
      </w:r>
      <w:r w:rsidRPr="006472E8">
        <w:rPr>
          <w:rFonts w:asciiTheme="minorHAnsi" w:hAnsiTheme="minorHAnsi"/>
        </w:rPr>
        <w:t xml:space="preserve"> Ułożenie nowych warstw podbudowy i warstwy wiążącej</w:t>
      </w:r>
    </w:p>
    <w:p w:rsidR="002C49DF" w:rsidRPr="006472E8" w:rsidRDefault="002C49DF" w:rsidP="002C49DF">
      <w:pPr>
        <w:rPr>
          <w:rFonts w:asciiTheme="minorHAnsi" w:hAnsiTheme="minorHAnsi"/>
        </w:rPr>
      </w:pPr>
      <w:r w:rsidRPr="006472E8">
        <w:rPr>
          <w:rFonts w:asciiTheme="minorHAnsi" w:hAnsiTheme="minorHAnsi"/>
        </w:rPr>
        <w:tab/>
        <w:t>Do przygotowanych stopni na powierzchniach warstw nawierzchni należy doprowadzić nowe warstwy podbudowy i warstwę wiążącą. Stare powierzchnie warstw należy oczyścić, a w przypadku konstrukcji niezwiązanych należy je zagęścić.</w:t>
      </w:r>
    </w:p>
    <w:p w:rsidR="002C49DF" w:rsidRPr="006472E8" w:rsidRDefault="002C49DF" w:rsidP="002C49DF">
      <w:pPr>
        <w:rPr>
          <w:rFonts w:asciiTheme="minorHAnsi" w:hAnsiTheme="minorHAnsi"/>
        </w:rPr>
      </w:pPr>
      <w:r w:rsidRPr="006472E8">
        <w:rPr>
          <w:rFonts w:asciiTheme="minorHAnsi" w:hAnsiTheme="minorHAnsi"/>
        </w:rPr>
        <w:tab/>
        <w:t>Wykonanie konstrukcji warstw nawierzchni powinno odpowiadać wymaganiom właściwych specyfikacji technicznych, określonych w dokumentacji projektowej.</w:t>
      </w:r>
    </w:p>
    <w:p w:rsidR="00F040CD" w:rsidRDefault="00F040CD" w:rsidP="002C49DF">
      <w:pPr>
        <w:rPr>
          <w:rFonts w:asciiTheme="minorHAnsi" w:hAnsiTheme="minorHAnsi"/>
          <w:b/>
        </w:rPr>
      </w:pPr>
    </w:p>
    <w:p w:rsidR="002C49DF" w:rsidRPr="006472E8" w:rsidRDefault="002C49DF" w:rsidP="002C49DF">
      <w:pPr>
        <w:rPr>
          <w:rFonts w:asciiTheme="minorHAnsi" w:hAnsiTheme="minorHAnsi"/>
        </w:rPr>
      </w:pPr>
      <w:r w:rsidRPr="006472E8">
        <w:rPr>
          <w:rFonts w:asciiTheme="minorHAnsi" w:hAnsiTheme="minorHAnsi"/>
          <w:b/>
        </w:rPr>
        <w:lastRenderedPageBreak/>
        <w:t>5.6.</w:t>
      </w:r>
      <w:r w:rsidRPr="006472E8">
        <w:rPr>
          <w:rFonts w:asciiTheme="minorHAnsi" w:hAnsiTheme="minorHAnsi"/>
        </w:rPr>
        <w:t xml:space="preserve"> Ułożenie geokompozytu i warstwy ścieralnej</w:t>
      </w:r>
    </w:p>
    <w:p w:rsidR="002C49DF" w:rsidRPr="006472E8" w:rsidRDefault="002C49DF" w:rsidP="002C49DF">
      <w:pPr>
        <w:rPr>
          <w:rFonts w:asciiTheme="minorHAnsi" w:hAnsiTheme="minorHAnsi"/>
        </w:rPr>
      </w:pPr>
      <w:r w:rsidRPr="006472E8">
        <w:rPr>
          <w:rFonts w:asciiTheme="minorHAnsi" w:hAnsiTheme="minorHAnsi"/>
        </w:rPr>
        <w:tab/>
        <w:t>Na ułożonej i zagęszczonej warstwie wiążącej (np. z betonu asfaltowego) należy:</w:t>
      </w:r>
    </w:p>
    <w:p w:rsidR="002C49DF" w:rsidRPr="006472E8" w:rsidRDefault="002C49DF" w:rsidP="002C49DF">
      <w:pPr>
        <w:rPr>
          <w:rFonts w:asciiTheme="minorHAnsi" w:hAnsiTheme="minorHAnsi"/>
        </w:rPr>
      </w:pPr>
      <w:r>
        <w:rPr>
          <w:rFonts w:asciiTheme="minorHAnsi" w:hAnsiTheme="minorHAnsi"/>
        </w:rPr>
        <w:t>-</w:t>
      </w:r>
      <w:r w:rsidRPr="006472E8">
        <w:rPr>
          <w:rFonts w:asciiTheme="minorHAnsi" w:hAnsiTheme="minorHAnsi"/>
        </w:rPr>
        <w:t xml:space="preserve">skropić emulsją asfaltową, według pktu 2.2.4, pas szerokości 2,2 ÷ </w:t>
      </w:r>
      <w:smartTag w:uri="urn:schemas-microsoft-com:office:smarttags" w:element="metricconverter">
        <w:smartTagPr>
          <w:attr w:name="ProductID" w:val="2,3 m"/>
        </w:smartTagPr>
        <w:r w:rsidRPr="006472E8">
          <w:rPr>
            <w:rFonts w:asciiTheme="minorHAnsi" w:hAnsiTheme="minorHAnsi"/>
          </w:rPr>
          <w:t>2,3 m</w:t>
        </w:r>
      </w:smartTag>
      <w:r w:rsidRPr="006472E8">
        <w:rPr>
          <w:rFonts w:asciiTheme="minorHAnsi" w:hAnsiTheme="minorHAnsi"/>
        </w:rPr>
        <w:t xml:space="preserve"> (około 0,2 ÷ </w:t>
      </w:r>
      <w:smartTag w:uri="urn:schemas-microsoft-com:office:smarttags" w:element="metricconverter">
        <w:smartTagPr>
          <w:attr w:name="ProductID" w:val="0,3 m"/>
        </w:smartTagPr>
        <w:r w:rsidRPr="006472E8">
          <w:rPr>
            <w:rFonts w:asciiTheme="minorHAnsi" w:hAnsiTheme="minorHAnsi"/>
          </w:rPr>
          <w:t>0,3 m</w:t>
        </w:r>
      </w:smartTag>
      <w:r w:rsidRPr="006472E8">
        <w:rPr>
          <w:rFonts w:asciiTheme="minorHAnsi" w:hAnsiTheme="minorHAnsi"/>
        </w:rPr>
        <w:t xml:space="preserve"> większy niż szerokość geokompozytu, który ma być ułożony),</w:t>
      </w:r>
    </w:p>
    <w:p w:rsidR="002C49DF" w:rsidRPr="006472E8" w:rsidRDefault="002C49DF" w:rsidP="002C49DF">
      <w:pPr>
        <w:rPr>
          <w:rFonts w:asciiTheme="minorHAnsi" w:hAnsiTheme="minorHAnsi"/>
        </w:rPr>
      </w:pPr>
      <w:r>
        <w:rPr>
          <w:rFonts w:asciiTheme="minorHAnsi" w:hAnsiTheme="minorHAnsi"/>
        </w:rPr>
        <w:t>-</w:t>
      </w:r>
      <w:r w:rsidRPr="006472E8">
        <w:rPr>
          <w:rFonts w:asciiTheme="minorHAnsi" w:hAnsiTheme="minorHAnsi"/>
        </w:rPr>
        <w:t xml:space="preserve">ułożyć geokompozyt o szerokości co najmniej </w:t>
      </w:r>
      <w:smartTag w:uri="urn:schemas-microsoft-com:office:smarttags" w:element="metricconverter">
        <w:smartTagPr>
          <w:attr w:name="ProductID" w:val="1,0 m"/>
        </w:smartTagPr>
        <w:r w:rsidRPr="006472E8">
          <w:rPr>
            <w:rFonts w:asciiTheme="minorHAnsi" w:hAnsiTheme="minorHAnsi"/>
          </w:rPr>
          <w:t>1,0 m</w:t>
        </w:r>
      </w:smartTag>
      <w:r w:rsidRPr="006472E8">
        <w:rPr>
          <w:rFonts w:asciiTheme="minorHAnsi" w:hAnsiTheme="minorHAnsi"/>
        </w:rPr>
        <w:t xml:space="preserve"> po każdej stronie połączenia,</w:t>
      </w:r>
    </w:p>
    <w:p w:rsidR="002C49DF" w:rsidRPr="006472E8" w:rsidRDefault="002C49DF" w:rsidP="002C49DF">
      <w:pPr>
        <w:rPr>
          <w:rFonts w:asciiTheme="minorHAnsi" w:hAnsiTheme="minorHAnsi"/>
        </w:rPr>
      </w:pPr>
      <w:r>
        <w:rPr>
          <w:rFonts w:asciiTheme="minorHAnsi" w:hAnsiTheme="minorHAnsi"/>
        </w:rPr>
        <w:t>-</w:t>
      </w:r>
      <w:r w:rsidRPr="006472E8">
        <w:rPr>
          <w:rFonts w:asciiTheme="minorHAnsi" w:hAnsiTheme="minorHAnsi"/>
        </w:rPr>
        <w:t>przykryć całość fragmentu nawierzchni nad geokompozytem nową warstwą ścieralną.</w:t>
      </w:r>
    </w:p>
    <w:p w:rsidR="002C49DF" w:rsidRPr="006472E8" w:rsidRDefault="002C49DF" w:rsidP="002C49DF">
      <w:pPr>
        <w:rPr>
          <w:rFonts w:asciiTheme="minorHAnsi" w:hAnsiTheme="minorHAnsi"/>
        </w:rPr>
      </w:pPr>
      <w:r w:rsidRPr="006472E8">
        <w:rPr>
          <w:rFonts w:asciiTheme="minorHAnsi" w:hAnsiTheme="minorHAnsi"/>
        </w:rPr>
        <w:tab/>
        <w:t>Przy wyżej wymienionych czynnościach obowiązują następujące zalecenia:</w:t>
      </w:r>
    </w:p>
    <w:p w:rsidR="002C49DF" w:rsidRPr="006472E8" w:rsidRDefault="002C49DF" w:rsidP="002C49DF">
      <w:pPr>
        <w:rPr>
          <w:rFonts w:asciiTheme="minorHAnsi" w:hAnsiTheme="minorHAnsi"/>
        </w:rPr>
      </w:pPr>
      <w:r>
        <w:rPr>
          <w:rFonts w:asciiTheme="minorHAnsi" w:hAnsiTheme="minorHAnsi"/>
        </w:rPr>
        <w:t>-</w:t>
      </w:r>
      <w:r w:rsidRPr="006472E8">
        <w:rPr>
          <w:rFonts w:asciiTheme="minorHAnsi" w:hAnsiTheme="minorHAnsi"/>
        </w:rPr>
        <w:t>układanie geokompozytu można prowadzić wyłącznie podczas suchej pogody; geokompozyt nie może być mokry i pozostawiony na noc bez przykrycia warstwą asfaltową; temperatura powietrza powinna wynosić co najmniej +10°C,</w:t>
      </w:r>
    </w:p>
    <w:p w:rsidR="002C49DF" w:rsidRPr="006472E8" w:rsidRDefault="002C49DF" w:rsidP="002C49DF">
      <w:pPr>
        <w:rPr>
          <w:rFonts w:asciiTheme="minorHAnsi" w:hAnsiTheme="minorHAnsi"/>
        </w:rPr>
      </w:pPr>
      <w:r>
        <w:rPr>
          <w:rFonts w:asciiTheme="minorHAnsi" w:hAnsiTheme="minorHAnsi"/>
        </w:rPr>
        <w:t>-</w:t>
      </w:r>
      <w:r w:rsidRPr="006472E8">
        <w:rPr>
          <w:rFonts w:asciiTheme="minorHAnsi" w:hAnsiTheme="minorHAnsi"/>
        </w:rPr>
        <w:t>ilość lepiszcza do skropienia (składa się z lepiszcza do nasycenia podłoża: około 100 ÷ 250 g/m2 efektywnego lepiszcza – asfaltu oraz lepiszcza do nasycenia geowłókniny w geokompozycie oznaczanego doświadczalnie wg może orientacyjnie wynosić 1100 ÷ 1600 g/m2 w zależności od stanu podłoża i masy powierzchniowej geowłókniny; właściwą ilość powinien podać dostawca lub producent wyrobu,</w:t>
      </w:r>
    </w:p>
    <w:p w:rsidR="002C49DF" w:rsidRPr="006472E8" w:rsidRDefault="002C49DF" w:rsidP="002C49DF">
      <w:pPr>
        <w:rPr>
          <w:rFonts w:asciiTheme="minorHAnsi" w:hAnsiTheme="minorHAnsi"/>
        </w:rPr>
      </w:pPr>
      <w:r>
        <w:rPr>
          <w:rFonts w:asciiTheme="minorHAnsi" w:hAnsiTheme="minorHAnsi"/>
        </w:rPr>
        <w:t>-</w:t>
      </w:r>
      <w:r w:rsidRPr="006472E8">
        <w:rPr>
          <w:rFonts w:asciiTheme="minorHAnsi" w:hAnsiTheme="minorHAnsi"/>
        </w:rPr>
        <w:t>dobre zespolenie geokompozytu z sąsiednimi warstwami nawierzchni uzyska się, gdy: podłoże będzie czyste, suche (przed skropieniem), równe (tak aby wyrób do niego przylegał),</w:t>
      </w:r>
    </w:p>
    <w:p w:rsidR="002C49DF" w:rsidRPr="006472E8" w:rsidRDefault="002C49DF" w:rsidP="002C49DF">
      <w:pPr>
        <w:rPr>
          <w:rFonts w:asciiTheme="minorHAnsi" w:hAnsiTheme="minorHAnsi"/>
        </w:rPr>
      </w:pPr>
      <w:r>
        <w:rPr>
          <w:rFonts w:asciiTheme="minorHAnsi" w:hAnsiTheme="minorHAnsi"/>
        </w:rPr>
        <w:t>-</w:t>
      </w:r>
      <w:r w:rsidRPr="006472E8">
        <w:rPr>
          <w:rFonts w:asciiTheme="minorHAnsi" w:hAnsiTheme="minorHAnsi"/>
        </w:rPr>
        <w:t>geokompozyt powinien być układany stroną z siatką do podłoża, po rozpadzie emulsji asfaltowej i odparowaniu wody; czas oczekiwania na odparowanie powinien być taki, aby pozostały asfalt miał konsystencję lekko klejącą,</w:t>
      </w:r>
    </w:p>
    <w:p w:rsidR="002C49DF" w:rsidRPr="006472E8" w:rsidRDefault="002C49DF" w:rsidP="002C49DF">
      <w:pPr>
        <w:rPr>
          <w:rFonts w:asciiTheme="minorHAnsi" w:hAnsiTheme="minorHAnsi"/>
        </w:rPr>
      </w:pPr>
      <w:r>
        <w:rPr>
          <w:rFonts w:asciiTheme="minorHAnsi" w:hAnsiTheme="minorHAnsi"/>
        </w:rPr>
        <w:t>-</w:t>
      </w:r>
      <w:r w:rsidRPr="006472E8">
        <w:rPr>
          <w:rFonts w:asciiTheme="minorHAnsi" w:hAnsiTheme="minorHAnsi"/>
        </w:rPr>
        <w:t>powierzchnia skrapiana emulsją asfaltową powinna być czysta – wszelkie zanieczyszczenia gliną, kruszywem itp. powinny zostać usunięte przed skropieniem,</w:t>
      </w:r>
    </w:p>
    <w:p w:rsidR="002C49DF" w:rsidRPr="006472E8" w:rsidRDefault="002C49DF" w:rsidP="002C49DF">
      <w:pPr>
        <w:rPr>
          <w:rFonts w:asciiTheme="minorHAnsi" w:hAnsiTheme="minorHAnsi"/>
        </w:rPr>
      </w:pPr>
      <w:r>
        <w:rPr>
          <w:rFonts w:asciiTheme="minorHAnsi" w:hAnsiTheme="minorHAnsi"/>
        </w:rPr>
        <w:t>-</w:t>
      </w:r>
      <w:r w:rsidRPr="006472E8">
        <w:rPr>
          <w:rFonts w:asciiTheme="minorHAnsi" w:hAnsiTheme="minorHAnsi"/>
        </w:rPr>
        <w:t xml:space="preserve">części geokompozytu zanieczyszczone smarem i olejem należy wyciąć, a miejsca te należy powtórnie skropić wraz z brzegiem otaczającego wyrobu i wkleić w nie prostokątną łatę geokompozytu o wymiarach zapewniających przykrycie wyciętego otworu z zakładem około </w:t>
      </w:r>
      <w:smartTag w:uri="urn:schemas-microsoft-com:office:smarttags" w:element="metricconverter">
        <w:smartTagPr>
          <w:attr w:name="ProductID" w:val="0,10 m"/>
        </w:smartTagPr>
        <w:r w:rsidRPr="006472E8">
          <w:rPr>
            <w:rFonts w:asciiTheme="minorHAnsi" w:hAnsiTheme="minorHAnsi"/>
          </w:rPr>
          <w:t>0,10 m</w:t>
        </w:r>
      </w:smartTag>
      <w:r w:rsidRPr="006472E8">
        <w:rPr>
          <w:rFonts w:asciiTheme="minorHAnsi" w:hAnsiTheme="minorHAnsi"/>
        </w:rPr>
        <w:t>,</w:t>
      </w:r>
    </w:p>
    <w:p w:rsidR="002C49DF" w:rsidRPr="006472E8" w:rsidRDefault="002C49DF" w:rsidP="002C49DF">
      <w:pPr>
        <w:rPr>
          <w:rFonts w:asciiTheme="minorHAnsi" w:hAnsiTheme="minorHAnsi"/>
        </w:rPr>
      </w:pPr>
      <w:r>
        <w:rPr>
          <w:rFonts w:asciiTheme="minorHAnsi" w:hAnsiTheme="minorHAnsi"/>
        </w:rPr>
        <w:t>-</w:t>
      </w:r>
      <w:r w:rsidRPr="006472E8">
        <w:rPr>
          <w:rFonts w:asciiTheme="minorHAnsi" w:hAnsiTheme="minorHAnsi"/>
        </w:rPr>
        <w:t xml:space="preserve">w przypadku łączenia pasów geokompozytu szerokość poprzecznego zakładu wynosi 0,10 ÷ </w:t>
      </w:r>
      <w:smartTag w:uri="urn:schemas-microsoft-com:office:smarttags" w:element="metricconverter">
        <w:smartTagPr>
          <w:attr w:name="ProductID" w:val="0,15 m"/>
        </w:smartTagPr>
        <w:r w:rsidRPr="006472E8">
          <w:rPr>
            <w:rFonts w:asciiTheme="minorHAnsi" w:hAnsiTheme="minorHAnsi"/>
          </w:rPr>
          <w:t>0,15 m</w:t>
        </w:r>
      </w:smartTag>
      <w:r w:rsidRPr="006472E8">
        <w:rPr>
          <w:rFonts w:asciiTheme="minorHAnsi" w:hAnsiTheme="minorHAnsi"/>
        </w:rPr>
        <w:t>, przy czym dolną warstwę zakładu należy skropić dodatkowo lepiszczem w ilości około 0,400 g/m2,</w:t>
      </w:r>
    </w:p>
    <w:p w:rsidR="002C49DF" w:rsidRPr="006472E8" w:rsidRDefault="002C49DF" w:rsidP="002C49DF">
      <w:pPr>
        <w:rPr>
          <w:rFonts w:asciiTheme="minorHAnsi" w:hAnsiTheme="minorHAnsi"/>
        </w:rPr>
      </w:pPr>
      <w:r>
        <w:rPr>
          <w:rFonts w:asciiTheme="minorHAnsi" w:hAnsiTheme="minorHAnsi"/>
        </w:rPr>
        <w:t>-</w:t>
      </w:r>
      <w:r w:rsidRPr="006472E8">
        <w:rPr>
          <w:rFonts w:asciiTheme="minorHAnsi" w:hAnsiTheme="minorHAnsi"/>
        </w:rPr>
        <w:t>przy ręcznym układaniu geokompozytu zaleca się, bezpośrednio po jego ułożeniu, przejazd jednokrotny walcem ogumionym (ew. stalowym) w celu ustabilizowania jego położenia,</w:t>
      </w:r>
    </w:p>
    <w:p w:rsidR="002C49DF" w:rsidRPr="006472E8" w:rsidRDefault="002C49DF" w:rsidP="002C49DF">
      <w:pPr>
        <w:rPr>
          <w:rFonts w:asciiTheme="minorHAnsi" w:hAnsiTheme="minorHAnsi"/>
        </w:rPr>
      </w:pPr>
      <w:r>
        <w:rPr>
          <w:rFonts w:asciiTheme="minorHAnsi" w:hAnsiTheme="minorHAnsi"/>
        </w:rPr>
        <w:t>-</w:t>
      </w:r>
      <w:r w:rsidRPr="006472E8">
        <w:rPr>
          <w:rFonts w:asciiTheme="minorHAnsi" w:hAnsiTheme="minorHAnsi"/>
        </w:rPr>
        <w:t>w przypadku powstania fałdy w geokompozycie należy ją przeciąć i założyć w kierunku układania warstwy nawierzchni asfaltowej,</w:t>
      </w:r>
    </w:p>
    <w:p w:rsidR="002C49DF" w:rsidRPr="006472E8" w:rsidRDefault="002C49DF" w:rsidP="002C49DF">
      <w:pPr>
        <w:rPr>
          <w:rFonts w:asciiTheme="minorHAnsi" w:hAnsiTheme="minorHAnsi"/>
        </w:rPr>
      </w:pPr>
      <w:r>
        <w:rPr>
          <w:rFonts w:asciiTheme="minorHAnsi" w:hAnsiTheme="minorHAnsi"/>
        </w:rPr>
        <w:t>-</w:t>
      </w:r>
      <w:r w:rsidRPr="006472E8">
        <w:rPr>
          <w:rFonts w:asciiTheme="minorHAnsi" w:hAnsiTheme="minorHAnsi"/>
        </w:rPr>
        <w:t>przed ułożeniem war</w:t>
      </w:r>
      <w:r w:rsidR="00F040CD">
        <w:rPr>
          <w:rFonts w:asciiTheme="minorHAnsi" w:hAnsiTheme="minorHAnsi"/>
        </w:rPr>
        <w:t>stwy ścieralnej na geokompozycie</w:t>
      </w:r>
      <w:r w:rsidRPr="006472E8">
        <w:rPr>
          <w:rFonts w:asciiTheme="minorHAnsi" w:hAnsiTheme="minorHAnsi"/>
        </w:rPr>
        <w:t xml:space="preserve"> należy naprawić miejsca odklejone, fałdy, pęcherze i rozdarcia,</w:t>
      </w:r>
    </w:p>
    <w:p w:rsidR="002C49DF" w:rsidRPr="006472E8" w:rsidRDefault="002C49DF" w:rsidP="002C49DF">
      <w:pPr>
        <w:rPr>
          <w:rFonts w:asciiTheme="minorHAnsi" w:hAnsiTheme="minorHAnsi"/>
        </w:rPr>
      </w:pPr>
      <w:r>
        <w:rPr>
          <w:rFonts w:asciiTheme="minorHAnsi" w:hAnsiTheme="minorHAnsi"/>
        </w:rPr>
        <w:t>-</w:t>
      </w:r>
      <w:r w:rsidRPr="006472E8">
        <w:rPr>
          <w:rFonts w:asciiTheme="minorHAnsi" w:hAnsiTheme="minorHAnsi"/>
        </w:rPr>
        <w:t>ruch pojazdów roboczych po rozłożeniu geokompozytu powinien być ograniczony do minimum przy przestrzeganiu zakazu gwałtownego hamowania i skręcania, aby nie fałdować wyrobu.</w:t>
      </w:r>
    </w:p>
    <w:p w:rsidR="002C49DF" w:rsidRPr="006472E8" w:rsidRDefault="002C49DF" w:rsidP="002C49DF">
      <w:pPr>
        <w:rPr>
          <w:rFonts w:asciiTheme="minorHAnsi" w:hAnsiTheme="minorHAnsi"/>
        </w:rPr>
      </w:pPr>
      <w:r w:rsidRPr="006472E8">
        <w:rPr>
          <w:rFonts w:asciiTheme="minorHAnsi" w:hAnsiTheme="minorHAnsi"/>
        </w:rPr>
        <w:tab/>
        <w:t>Konieczne jest zapewnienie prawidłowej impregnacji i przyklejenia geokompozytu do podłoża. Jeżeli uzyskanie tego nie jest możliwe z jakiegokolwiek powodu (np. istnieją fale), to należy zrezygnować z zastosowania tej technologii, bowiem niewłaściwe jej wykonanie może być powodem zniszczenia nawierzchni (np. fale mogą zniszczyć połączenie warstw).</w:t>
      </w:r>
    </w:p>
    <w:p w:rsidR="002C49DF" w:rsidRPr="006472E8" w:rsidRDefault="002C49DF" w:rsidP="002C49DF">
      <w:pPr>
        <w:rPr>
          <w:rFonts w:asciiTheme="minorHAnsi" w:hAnsiTheme="minorHAnsi"/>
        </w:rPr>
      </w:pPr>
      <w:r w:rsidRPr="006472E8">
        <w:rPr>
          <w:rFonts w:asciiTheme="minorHAnsi" w:hAnsiTheme="minorHAnsi"/>
        </w:rPr>
        <w:t>Przykład połączenia nowej i starej nawierzchni przedstawiono na rysunku 2.</w:t>
      </w:r>
    </w:p>
    <w:p w:rsidR="002C49DF" w:rsidRPr="006472E8" w:rsidRDefault="002C49DF" w:rsidP="002C49DF">
      <w:pPr>
        <w:rPr>
          <w:rFonts w:asciiTheme="minorHAnsi" w:hAnsiTheme="minorHAnsi"/>
        </w:rPr>
      </w:pPr>
      <w:r w:rsidRPr="006472E8">
        <w:rPr>
          <w:rFonts w:asciiTheme="minorHAnsi" w:hAnsiTheme="minorHAnsi"/>
          <w:b/>
        </w:rPr>
        <w:t>5.7.</w:t>
      </w:r>
      <w:r w:rsidRPr="006472E8">
        <w:rPr>
          <w:rFonts w:asciiTheme="minorHAnsi" w:hAnsiTheme="minorHAnsi"/>
        </w:rPr>
        <w:t xml:space="preserve"> Roboty wykończeniowe</w:t>
      </w:r>
    </w:p>
    <w:p w:rsidR="002C49DF" w:rsidRPr="006472E8" w:rsidRDefault="002C49DF" w:rsidP="002C49DF">
      <w:pPr>
        <w:rPr>
          <w:rFonts w:asciiTheme="minorHAnsi" w:hAnsiTheme="minorHAnsi"/>
        </w:rPr>
      </w:pPr>
      <w:r w:rsidRPr="006472E8">
        <w:rPr>
          <w:rFonts w:asciiTheme="minorHAnsi" w:hAnsiTheme="minorHAnsi"/>
        </w:rPr>
        <w:t>Roboty wykończeniowe powinny być zgodne z dokumentacją projektową i ST. Do robót wykończeniowych należą prace związane z dostosowaniem wykonanych robót do istniejących warunków terenowych, takie jak:</w:t>
      </w:r>
    </w:p>
    <w:p w:rsidR="002C49DF" w:rsidRPr="006472E8" w:rsidRDefault="00F040CD" w:rsidP="002C49DF">
      <w:pPr>
        <w:rPr>
          <w:rFonts w:asciiTheme="minorHAnsi" w:hAnsiTheme="minorHAnsi"/>
        </w:rPr>
      </w:pPr>
      <w:r>
        <w:rPr>
          <w:rFonts w:asciiTheme="minorHAnsi" w:hAnsiTheme="minorHAnsi"/>
        </w:rPr>
        <w:t>-</w:t>
      </w:r>
      <w:r w:rsidR="002C49DF" w:rsidRPr="006472E8">
        <w:rPr>
          <w:rFonts w:asciiTheme="minorHAnsi" w:hAnsiTheme="minorHAnsi"/>
        </w:rPr>
        <w:t xml:space="preserve">odtworzenie przeszkód czasowo usuniętych, </w:t>
      </w:r>
    </w:p>
    <w:p w:rsidR="002C49DF" w:rsidRPr="006472E8" w:rsidRDefault="00F040CD" w:rsidP="002C49DF">
      <w:pPr>
        <w:rPr>
          <w:rFonts w:asciiTheme="minorHAnsi" w:hAnsiTheme="minorHAnsi"/>
        </w:rPr>
      </w:pPr>
      <w:r>
        <w:rPr>
          <w:rFonts w:asciiTheme="minorHAnsi" w:hAnsiTheme="minorHAnsi"/>
        </w:rPr>
        <w:t>-</w:t>
      </w:r>
      <w:r w:rsidR="002C49DF" w:rsidRPr="006472E8">
        <w:rPr>
          <w:rFonts w:asciiTheme="minorHAnsi" w:hAnsiTheme="minorHAnsi"/>
        </w:rPr>
        <w:t xml:space="preserve">niezbędne uzupełnienia zniszczonej w czasie robót roślinności, np. zatrawienia,  </w:t>
      </w:r>
    </w:p>
    <w:p w:rsidR="002C49DF" w:rsidRPr="006472E8" w:rsidRDefault="00F040CD" w:rsidP="002C49DF">
      <w:pPr>
        <w:rPr>
          <w:rFonts w:asciiTheme="minorHAnsi" w:hAnsiTheme="minorHAnsi"/>
        </w:rPr>
      </w:pPr>
      <w:r>
        <w:rPr>
          <w:rFonts w:asciiTheme="minorHAnsi" w:hAnsiTheme="minorHAnsi"/>
        </w:rPr>
        <w:t>-</w:t>
      </w:r>
      <w:r w:rsidR="002C49DF" w:rsidRPr="006472E8">
        <w:rPr>
          <w:rFonts w:asciiTheme="minorHAnsi" w:hAnsiTheme="minorHAnsi"/>
        </w:rPr>
        <w:t>roboty porządkujące otoczenie terenu robót.</w:t>
      </w:r>
    </w:p>
    <w:p w:rsidR="002C49DF" w:rsidRPr="006472E8" w:rsidRDefault="002C49DF" w:rsidP="002C49DF">
      <w:pPr>
        <w:rPr>
          <w:rFonts w:asciiTheme="minorHAnsi" w:hAnsiTheme="minorHAnsi"/>
        </w:rPr>
      </w:pPr>
    </w:p>
    <w:p w:rsidR="002C49DF" w:rsidRPr="006472E8" w:rsidRDefault="002C49DF" w:rsidP="002C49DF">
      <w:pPr>
        <w:rPr>
          <w:rFonts w:asciiTheme="minorHAnsi" w:hAnsiTheme="minorHAnsi"/>
          <w:b/>
        </w:rPr>
      </w:pPr>
      <w:bookmarkStart w:id="1554" w:name="_Toc138042850"/>
      <w:bookmarkStart w:id="1555" w:name="_Toc250368196"/>
      <w:r w:rsidRPr="006472E8">
        <w:rPr>
          <w:rFonts w:asciiTheme="minorHAnsi" w:hAnsiTheme="minorHAnsi"/>
          <w:b/>
        </w:rPr>
        <w:t>6. KONTROLA JAKOŚCI ROBÓT</w:t>
      </w:r>
      <w:bookmarkEnd w:id="1554"/>
      <w:bookmarkEnd w:id="1555"/>
    </w:p>
    <w:p w:rsidR="002C49DF" w:rsidRPr="006472E8" w:rsidRDefault="002C49DF" w:rsidP="002C49DF">
      <w:pPr>
        <w:rPr>
          <w:rFonts w:asciiTheme="minorHAnsi" w:hAnsiTheme="minorHAnsi"/>
        </w:rPr>
      </w:pPr>
      <w:r w:rsidRPr="006472E8">
        <w:rPr>
          <w:rFonts w:asciiTheme="minorHAnsi" w:hAnsiTheme="minorHAnsi"/>
          <w:b/>
        </w:rPr>
        <w:t>6.1.</w:t>
      </w:r>
      <w:r w:rsidRPr="006472E8">
        <w:rPr>
          <w:rFonts w:asciiTheme="minorHAnsi" w:hAnsiTheme="minorHAnsi"/>
        </w:rPr>
        <w:t xml:space="preserve"> Ogólne zasady kontroli jakości robót</w:t>
      </w:r>
    </w:p>
    <w:p w:rsidR="002C49DF" w:rsidRPr="006472E8" w:rsidRDefault="002C49DF" w:rsidP="002C49DF">
      <w:pPr>
        <w:rPr>
          <w:rFonts w:asciiTheme="minorHAnsi" w:hAnsiTheme="minorHAnsi"/>
        </w:rPr>
      </w:pPr>
      <w:r w:rsidRPr="006472E8">
        <w:rPr>
          <w:rFonts w:asciiTheme="minorHAnsi" w:hAnsiTheme="minorHAnsi"/>
        </w:rPr>
        <w:tab/>
        <w:t>Ogólne zasady kontroli jakości robót podano w ST D-M-00.00.00 „Wymagania ogólne” pkt 6.</w:t>
      </w:r>
    </w:p>
    <w:p w:rsidR="002C49DF" w:rsidRPr="006472E8" w:rsidRDefault="002C49DF" w:rsidP="002C49DF">
      <w:pPr>
        <w:rPr>
          <w:rFonts w:asciiTheme="minorHAnsi" w:hAnsiTheme="minorHAnsi"/>
        </w:rPr>
      </w:pPr>
      <w:r w:rsidRPr="006472E8">
        <w:rPr>
          <w:rFonts w:asciiTheme="minorHAnsi" w:hAnsiTheme="minorHAnsi"/>
          <w:b/>
        </w:rPr>
        <w:t>6.2.</w:t>
      </w:r>
      <w:r w:rsidRPr="006472E8">
        <w:rPr>
          <w:rFonts w:asciiTheme="minorHAnsi" w:hAnsiTheme="minorHAnsi"/>
        </w:rPr>
        <w:t xml:space="preserve"> Badania przed przystąpieniem do robót</w:t>
      </w:r>
    </w:p>
    <w:p w:rsidR="002C49DF" w:rsidRPr="006472E8" w:rsidRDefault="002C49DF" w:rsidP="002C49DF">
      <w:pPr>
        <w:rPr>
          <w:rFonts w:asciiTheme="minorHAnsi" w:hAnsiTheme="minorHAnsi"/>
        </w:rPr>
      </w:pPr>
      <w:r w:rsidRPr="006472E8">
        <w:rPr>
          <w:rFonts w:asciiTheme="minorHAnsi" w:hAnsiTheme="minorHAnsi"/>
        </w:rPr>
        <w:tab/>
        <w:t>Przed przystąpieniem do robót Wykonawca powinien:</w:t>
      </w:r>
    </w:p>
    <w:p w:rsidR="002C49DF" w:rsidRPr="006472E8" w:rsidRDefault="002C49DF" w:rsidP="002C49DF">
      <w:pPr>
        <w:rPr>
          <w:rFonts w:asciiTheme="minorHAnsi" w:hAnsiTheme="minorHAnsi"/>
        </w:rPr>
      </w:pPr>
      <w:r>
        <w:rPr>
          <w:rFonts w:asciiTheme="minorHAnsi" w:hAnsiTheme="minorHAnsi"/>
        </w:rPr>
        <w:t>-</w:t>
      </w:r>
      <w:r w:rsidRPr="006472E8">
        <w:rPr>
          <w:rFonts w:asciiTheme="minorHAnsi" w:hAnsiTheme="minorHAnsi"/>
        </w:rPr>
        <w:t>uzyskać wymagane dokumenty, dopuszczające wyroby budowlane do obrotu i powszechnego stosowania (np. stwierdzenie o oznakowaniu materiału znakiem CE lub znakiem budowlanym B, certyfikat zgodności, deklarację zgodności, aprobatę techniczną, ew. badania materiałów wykonane przez dostawców itp.),</w:t>
      </w:r>
    </w:p>
    <w:p w:rsidR="002C49DF" w:rsidRPr="006472E8" w:rsidRDefault="002C49DF" w:rsidP="002C49DF">
      <w:pPr>
        <w:rPr>
          <w:rFonts w:asciiTheme="minorHAnsi" w:hAnsiTheme="minorHAnsi"/>
        </w:rPr>
      </w:pPr>
      <w:r>
        <w:rPr>
          <w:rFonts w:asciiTheme="minorHAnsi" w:hAnsiTheme="minorHAnsi"/>
        </w:rPr>
        <w:t>-</w:t>
      </w:r>
      <w:r w:rsidRPr="006472E8">
        <w:rPr>
          <w:rFonts w:asciiTheme="minorHAnsi" w:hAnsiTheme="minorHAnsi"/>
        </w:rPr>
        <w:t>ew. wykonać własne badania właściwości materiałów przeznaczonych do wykonania robót, określone przez Inżyniera,</w:t>
      </w:r>
    </w:p>
    <w:p w:rsidR="002C49DF" w:rsidRPr="006472E8" w:rsidRDefault="002C49DF" w:rsidP="002C49DF">
      <w:pPr>
        <w:rPr>
          <w:rFonts w:asciiTheme="minorHAnsi" w:hAnsiTheme="minorHAnsi"/>
        </w:rPr>
      </w:pPr>
      <w:r>
        <w:rPr>
          <w:rFonts w:asciiTheme="minorHAnsi" w:hAnsiTheme="minorHAnsi"/>
        </w:rPr>
        <w:t>-</w:t>
      </w:r>
      <w:r w:rsidRPr="006472E8">
        <w:rPr>
          <w:rFonts w:asciiTheme="minorHAnsi" w:hAnsiTheme="minorHAnsi"/>
        </w:rPr>
        <w:t>sprawdzić cechy zewnętrzne gotowych materiałów z tworzyw i prefabrykowanych.</w:t>
      </w:r>
    </w:p>
    <w:p w:rsidR="002C49DF" w:rsidRPr="006472E8" w:rsidRDefault="002C49DF" w:rsidP="002C49DF">
      <w:pPr>
        <w:rPr>
          <w:rFonts w:asciiTheme="minorHAnsi" w:hAnsiTheme="minorHAnsi"/>
        </w:rPr>
      </w:pPr>
      <w:r w:rsidRPr="006472E8">
        <w:rPr>
          <w:rFonts w:asciiTheme="minorHAnsi" w:hAnsiTheme="minorHAnsi"/>
        </w:rPr>
        <w:tab/>
        <w:t>Wszystkie dokumenty oraz wyniki badań Wykonawca przedstawia Inżynierowi do akceptacji.</w:t>
      </w:r>
    </w:p>
    <w:p w:rsidR="002C49DF" w:rsidRPr="006472E8" w:rsidRDefault="002C49DF" w:rsidP="002C49DF">
      <w:pPr>
        <w:rPr>
          <w:rFonts w:asciiTheme="minorHAnsi" w:hAnsiTheme="minorHAnsi"/>
        </w:rPr>
      </w:pPr>
      <w:r w:rsidRPr="006472E8">
        <w:rPr>
          <w:rFonts w:asciiTheme="minorHAnsi" w:hAnsiTheme="minorHAnsi"/>
          <w:b/>
        </w:rPr>
        <w:lastRenderedPageBreak/>
        <w:t>6.3.</w:t>
      </w:r>
      <w:r w:rsidRPr="006472E8">
        <w:rPr>
          <w:rFonts w:asciiTheme="minorHAnsi" w:hAnsiTheme="minorHAnsi"/>
        </w:rPr>
        <w:t xml:space="preserve"> Badania w czasie robót</w:t>
      </w:r>
    </w:p>
    <w:p w:rsidR="002C49DF" w:rsidRPr="006472E8" w:rsidRDefault="002C49DF" w:rsidP="002C49DF">
      <w:pPr>
        <w:rPr>
          <w:rFonts w:asciiTheme="minorHAnsi" w:hAnsiTheme="minorHAnsi"/>
        </w:rPr>
      </w:pPr>
      <w:r w:rsidRPr="006472E8">
        <w:rPr>
          <w:rFonts w:asciiTheme="minorHAnsi" w:hAnsiTheme="minorHAnsi"/>
        </w:rPr>
        <w:t>Częstotliwość oraz zakres badań i pomiarów, które należy wykonać w czasie robót podaje tablica 2.</w:t>
      </w:r>
    </w:p>
    <w:p w:rsidR="002C49DF" w:rsidRPr="000B786E" w:rsidRDefault="002C49DF" w:rsidP="002C49DF"/>
    <w:p w:rsidR="002C49DF" w:rsidRPr="00575C10" w:rsidRDefault="002C49DF" w:rsidP="002C49DF">
      <w:pPr>
        <w:ind w:left="709"/>
        <w:rPr>
          <w:rFonts w:asciiTheme="minorHAnsi" w:hAnsiTheme="minorHAnsi"/>
        </w:rPr>
      </w:pPr>
      <w:r w:rsidRPr="00575C10">
        <w:rPr>
          <w:rFonts w:asciiTheme="minorHAnsi" w:hAnsiTheme="minorHAnsi"/>
        </w:rPr>
        <w:t>Tablica 2. Częstotliwość oraz zakres badań i pomiarów w czasie robót</w:t>
      </w:r>
    </w:p>
    <w:tbl>
      <w:tblPr>
        <w:tblW w:w="7441" w:type="dxa"/>
        <w:tblInd w:w="779" w:type="dxa"/>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ayout w:type="fixed"/>
        <w:tblCellMar>
          <w:left w:w="70" w:type="dxa"/>
          <w:right w:w="70" w:type="dxa"/>
        </w:tblCellMar>
        <w:tblLook w:val="0000"/>
      </w:tblPr>
      <w:tblGrid>
        <w:gridCol w:w="496"/>
        <w:gridCol w:w="3260"/>
        <w:gridCol w:w="1417"/>
        <w:gridCol w:w="2268"/>
      </w:tblGrid>
      <w:tr w:rsidR="002C49DF" w:rsidRPr="009336DA" w:rsidTr="00C26550">
        <w:tc>
          <w:tcPr>
            <w:tcW w:w="496" w:type="dxa"/>
            <w:tcBorders>
              <w:bottom w:val="single" w:sz="4" w:space="0" w:color="auto"/>
            </w:tcBorders>
          </w:tcPr>
          <w:p w:rsidR="002C49DF" w:rsidRPr="009336DA" w:rsidRDefault="002C49DF" w:rsidP="00C26550">
            <w:pPr>
              <w:jc w:val="center"/>
              <w:rPr>
                <w:rFonts w:asciiTheme="minorHAnsi" w:hAnsiTheme="minorHAnsi"/>
                <w:b/>
                <w:sz w:val="18"/>
                <w:szCs w:val="18"/>
              </w:rPr>
            </w:pPr>
            <w:r w:rsidRPr="009336DA">
              <w:rPr>
                <w:rFonts w:asciiTheme="minorHAnsi" w:hAnsiTheme="minorHAnsi"/>
                <w:b/>
                <w:sz w:val="18"/>
                <w:szCs w:val="18"/>
              </w:rPr>
              <w:t>Lp.</w:t>
            </w:r>
          </w:p>
        </w:tc>
        <w:tc>
          <w:tcPr>
            <w:tcW w:w="3260" w:type="dxa"/>
            <w:tcBorders>
              <w:bottom w:val="single" w:sz="4" w:space="0" w:color="auto"/>
            </w:tcBorders>
          </w:tcPr>
          <w:p w:rsidR="002C49DF" w:rsidRPr="009336DA" w:rsidRDefault="002C49DF" w:rsidP="00C26550">
            <w:pPr>
              <w:jc w:val="center"/>
              <w:rPr>
                <w:rFonts w:asciiTheme="minorHAnsi" w:hAnsiTheme="minorHAnsi"/>
                <w:b/>
                <w:sz w:val="18"/>
                <w:szCs w:val="18"/>
              </w:rPr>
            </w:pPr>
            <w:r w:rsidRPr="009336DA">
              <w:rPr>
                <w:rFonts w:asciiTheme="minorHAnsi" w:hAnsiTheme="minorHAnsi"/>
                <w:b/>
                <w:sz w:val="18"/>
                <w:szCs w:val="18"/>
              </w:rPr>
              <w:t>Wyszczególnienie badań i pomiarów</w:t>
            </w:r>
          </w:p>
        </w:tc>
        <w:tc>
          <w:tcPr>
            <w:tcW w:w="1417" w:type="dxa"/>
            <w:tcBorders>
              <w:bottom w:val="single" w:sz="4" w:space="0" w:color="auto"/>
            </w:tcBorders>
          </w:tcPr>
          <w:p w:rsidR="002C49DF" w:rsidRPr="009336DA" w:rsidRDefault="002C49DF" w:rsidP="00C26550">
            <w:pPr>
              <w:jc w:val="center"/>
              <w:rPr>
                <w:rFonts w:asciiTheme="minorHAnsi" w:hAnsiTheme="minorHAnsi"/>
                <w:b/>
                <w:sz w:val="18"/>
                <w:szCs w:val="18"/>
              </w:rPr>
            </w:pPr>
            <w:r w:rsidRPr="009336DA">
              <w:rPr>
                <w:rFonts w:asciiTheme="minorHAnsi" w:hAnsiTheme="minorHAnsi"/>
                <w:b/>
                <w:sz w:val="18"/>
                <w:szCs w:val="18"/>
              </w:rPr>
              <w:t>Częstotliwość badań</w:t>
            </w:r>
          </w:p>
        </w:tc>
        <w:tc>
          <w:tcPr>
            <w:tcW w:w="2268" w:type="dxa"/>
            <w:tcBorders>
              <w:bottom w:val="single" w:sz="4" w:space="0" w:color="auto"/>
            </w:tcBorders>
          </w:tcPr>
          <w:p w:rsidR="002C49DF" w:rsidRPr="009336DA" w:rsidRDefault="002C49DF" w:rsidP="00C26550">
            <w:pPr>
              <w:jc w:val="center"/>
              <w:rPr>
                <w:rFonts w:asciiTheme="minorHAnsi" w:hAnsiTheme="minorHAnsi"/>
                <w:b/>
                <w:sz w:val="18"/>
                <w:szCs w:val="18"/>
              </w:rPr>
            </w:pPr>
            <w:r w:rsidRPr="009336DA">
              <w:rPr>
                <w:rFonts w:asciiTheme="minorHAnsi" w:hAnsiTheme="minorHAnsi"/>
                <w:b/>
                <w:sz w:val="18"/>
                <w:szCs w:val="18"/>
              </w:rPr>
              <w:t>Wartości dopuszczalne</w:t>
            </w:r>
          </w:p>
        </w:tc>
      </w:tr>
      <w:tr w:rsidR="002C49DF" w:rsidRPr="009336DA" w:rsidTr="00C26550">
        <w:tc>
          <w:tcPr>
            <w:tcW w:w="496" w:type="dxa"/>
            <w:tcBorders>
              <w:top w:val="single" w:sz="4" w:space="0" w:color="auto"/>
            </w:tcBorders>
          </w:tcPr>
          <w:p w:rsidR="002C49DF" w:rsidRPr="009336DA" w:rsidRDefault="002C49DF" w:rsidP="00C26550">
            <w:pPr>
              <w:jc w:val="center"/>
              <w:rPr>
                <w:rFonts w:asciiTheme="minorHAnsi" w:hAnsiTheme="minorHAnsi"/>
                <w:sz w:val="18"/>
                <w:szCs w:val="18"/>
              </w:rPr>
            </w:pPr>
            <w:r w:rsidRPr="009336DA">
              <w:rPr>
                <w:rFonts w:asciiTheme="minorHAnsi" w:hAnsiTheme="minorHAnsi"/>
                <w:sz w:val="18"/>
                <w:szCs w:val="18"/>
              </w:rPr>
              <w:t>1</w:t>
            </w:r>
          </w:p>
        </w:tc>
        <w:tc>
          <w:tcPr>
            <w:tcW w:w="3260" w:type="dxa"/>
            <w:tcBorders>
              <w:top w:val="single" w:sz="4" w:space="0" w:color="auto"/>
            </w:tcBorders>
          </w:tcPr>
          <w:p w:rsidR="002C49DF" w:rsidRPr="009336DA" w:rsidRDefault="002C49DF" w:rsidP="00C26550">
            <w:pPr>
              <w:jc w:val="center"/>
              <w:rPr>
                <w:rFonts w:asciiTheme="minorHAnsi" w:hAnsiTheme="minorHAnsi"/>
                <w:sz w:val="18"/>
                <w:szCs w:val="18"/>
              </w:rPr>
            </w:pPr>
            <w:r w:rsidRPr="009336DA">
              <w:rPr>
                <w:rFonts w:asciiTheme="minorHAnsi" w:hAnsiTheme="minorHAnsi"/>
                <w:sz w:val="18"/>
                <w:szCs w:val="18"/>
              </w:rPr>
              <w:t>Lokalizacja i zgodność granic terenu robót z dokumentacją projektową</w:t>
            </w:r>
          </w:p>
        </w:tc>
        <w:tc>
          <w:tcPr>
            <w:tcW w:w="1417" w:type="dxa"/>
            <w:tcBorders>
              <w:top w:val="single" w:sz="4" w:space="0" w:color="auto"/>
            </w:tcBorders>
          </w:tcPr>
          <w:p w:rsidR="002C49DF" w:rsidRPr="009336DA" w:rsidRDefault="002C49DF" w:rsidP="00C26550">
            <w:pPr>
              <w:jc w:val="center"/>
              <w:rPr>
                <w:rFonts w:asciiTheme="minorHAnsi" w:hAnsiTheme="minorHAnsi"/>
                <w:sz w:val="18"/>
                <w:szCs w:val="18"/>
              </w:rPr>
            </w:pPr>
            <w:r w:rsidRPr="009336DA">
              <w:rPr>
                <w:rFonts w:asciiTheme="minorHAnsi" w:hAnsiTheme="minorHAnsi"/>
                <w:sz w:val="18"/>
                <w:szCs w:val="18"/>
              </w:rPr>
              <w:t>1 raz</w:t>
            </w:r>
          </w:p>
        </w:tc>
        <w:tc>
          <w:tcPr>
            <w:tcW w:w="2268" w:type="dxa"/>
            <w:tcBorders>
              <w:top w:val="single" w:sz="4" w:space="0" w:color="auto"/>
            </w:tcBorders>
          </w:tcPr>
          <w:p w:rsidR="002C49DF" w:rsidRPr="009336DA" w:rsidRDefault="002C49DF" w:rsidP="00C26550">
            <w:pPr>
              <w:jc w:val="center"/>
              <w:rPr>
                <w:rFonts w:asciiTheme="minorHAnsi" w:hAnsiTheme="minorHAnsi"/>
                <w:sz w:val="18"/>
                <w:szCs w:val="18"/>
              </w:rPr>
            </w:pPr>
            <w:r w:rsidRPr="009336DA">
              <w:rPr>
                <w:rFonts w:asciiTheme="minorHAnsi" w:hAnsiTheme="minorHAnsi"/>
                <w:sz w:val="18"/>
                <w:szCs w:val="18"/>
              </w:rPr>
              <w:t>Wg pktu 5 i dokumentacji projektowej</w:t>
            </w:r>
          </w:p>
        </w:tc>
      </w:tr>
      <w:tr w:rsidR="002C49DF" w:rsidRPr="009336DA" w:rsidTr="00C26550">
        <w:tc>
          <w:tcPr>
            <w:tcW w:w="496" w:type="dxa"/>
          </w:tcPr>
          <w:p w:rsidR="002C49DF" w:rsidRPr="009336DA" w:rsidRDefault="002C49DF" w:rsidP="00C26550">
            <w:pPr>
              <w:jc w:val="center"/>
              <w:rPr>
                <w:rFonts w:asciiTheme="minorHAnsi" w:hAnsiTheme="minorHAnsi"/>
                <w:sz w:val="18"/>
                <w:szCs w:val="18"/>
              </w:rPr>
            </w:pPr>
            <w:r w:rsidRPr="009336DA">
              <w:rPr>
                <w:rFonts w:asciiTheme="minorHAnsi" w:hAnsiTheme="minorHAnsi"/>
                <w:sz w:val="18"/>
                <w:szCs w:val="18"/>
              </w:rPr>
              <w:t>2</w:t>
            </w:r>
          </w:p>
        </w:tc>
        <w:tc>
          <w:tcPr>
            <w:tcW w:w="3260" w:type="dxa"/>
          </w:tcPr>
          <w:p w:rsidR="002C49DF" w:rsidRPr="009336DA" w:rsidRDefault="002C49DF" w:rsidP="00C26550">
            <w:pPr>
              <w:jc w:val="center"/>
              <w:rPr>
                <w:rFonts w:asciiTheme="minorHAnsi" w:hAnsiTheme="minorHAnsi"/>
                <w:sz w:val="18"/>
                <w:szCs w:val="18"/>
              </w:rPr>
            </w:pPr>
            <w:r w:rsidRPr="009336DA">
              <w:rPr>
                <w:rFonts w:asciiTheme="minorHAnsi" w:hAnsiTheme="minorHAnsi"/>
                <w:sz w:val="18"/>
                <w:szCs w:val="18"/>
              </w:rPr>
              <w:t>Wyznaczenie linii styku starej i nowej nawierzchni</w:t>
            </w:r>
          </w:p>
        </w:tc>
        <w:tc>
          <w:tcPr>
            <w:tcW w:w="1417" w:type="dxa"/>
          </w:tcPr>
          <w:p w:rsidR="002C49DF" w:rsidRPr="009336DA" w:rsidRDefault="002C49DF" w:rsidP="00C26550">
            <w:pPr>
              <w:jc w:val="center"/>
              <w:rPr>
                <w:rFonts w:asciiTheme="minorHAnsi" w:hAnsiTheme="minorHAnsi"/>
                <w:sz w:val="18"/>
                <w:szCs w:val="18"/>
              </w:rPr>
            </w:pPr>
            <w:r w:rsidRPr="009336DA">
              <w:rPr>
                <w:rFonts w:asciiTheme="minorHAnsi" w:hAnsiTheme="minorHAnsi"/>
                <w:sz w:val="18"/>
                <w:szCs w:val="18"/>
              </w:rPr>
              <w:t>1 raz</w:t>
            </w:r>
          </w:p>
        </w:tc>
        <w:tc>
          <w:tcPr>
            <w:tcW w:w="2268" w:type="dxa"/>
          </w:tcPr>
          <w:p w:rsidR="002C49DF" w:rsidRPr="009336DA" w:rsidRDefault="002C49DF" w:rsidP="00C26550">
            <w:pPr>
              <w:jc w:val="center"/>
              <w:rPr>
                <w:rFonts w:asciiTheme="minorHAnsi" w:hAnsiTheme="minorHAnsi"/>
                <w:sz w:val="18"/>
                <w:szCs w:val="18"/>
              </w:rPr>
            </w:pPr>
            <w:r w:rsidRPr="009336DA">
              <w:rPr>
                <w:rFonts w:asciiTheme="minorHAnsi" w:hAnsiTheme="minorHAnsi"/>
                <w:sz w:val="18"/>
                <w:szCs w:val="18"/>
              </w:rPr>
              <w:t>Linia prosta</w:t>
            </w:r>
          </w:p>
        </w:tc>
      </w:tr>
      <w:tr w:rsidR="002C49DF" w:rsidRPr="009336DA" w:rsidTr="00C26550">
        <w:tc>
          <w:tcPr>
            <w:tcW w:w="496" w:type="dxa"/>
          </w:tcPr>
          <w:p w:rsidR="002C49DF" w:rsidRPr="009336DA" w:rsidRDefault="002C49DF" w:rsidP="00C26550">
            <w:pPr>
              <w:jc w:val="center"/>
              <w:rPr>
                <w:rFonts w:asciiTheme="minorHAnsi" w:hAnsiTheme="minorHAnsi"/>
                <w:sz w:val="18"/>
                <w:szCs w:val="18"/>
              </w:rPr>
            </w:pPr>
            <w:r w:rsidRPr="009336DA">
              <w:rPr>
                <w:rFonts w:asciiTheme="minorHAnsi" w:hAnsiTheme="minorHAnsi"/>
                <w:sz w:val="18"/>
                <w:szCs w:val="18"/>
              </w:rPr>
              <w:t>3</w:t>
            </w:r>
          </w:p>
        </w:tc>
        <w:tc>
          <w:tcPr>
            <w:tcW w:w="3260" w:type="dxa"/>
          </w:tcPr>
          <w:p w:rsidR="002C49DF" w:rsidRPr="009336DA" w:rsidRDefault="002C49DF" w:rsidP="00C26550">
            <w:pPr>
              <w:jc w:val="center"/>
              <w:rPr>
                <w:rFonts w:asciiTheme="minorHAnsi" w:hAnsiTheme="minorHAnsi"/>
                <w:sz w:val="18"/>
                <w:szCs w:val="18"/>
              </w:rPr>
            </w:pPr>
            <w:r w:rsidRPr="009336DA">
              <w:rPr>
                <w:rFonts w:asciiTheme="minorHAnsi" w:hAnsiTheme="minorHAnsi"/>
                <w:sz w:val="18"/>
                <w:szCs w:val="18"/>
              </w:rPr>
              <w:t>Rozbiórka starej nawierzchni</w:t>
            </w:r>
          </w:p>
        </w:tc>
        <w:tc>
          <w:tcPr>
            <w:tcW w:w="1417" w:type="dxa"/>
          </w:tcPr>
          <w:p w:rsidR="002C49DF" w:rsidRPr="009336DA" w:rsidRDefault="002C49DF" w:rsidP="00C26550">
            <w:pPr>
              <w:jc w:val="center"/>
              <w:rPr>
                <w:rFonts w:asciiTheme="minorHAnsi" w:hAnsiTheme="minorHAnsi"/>
                <w:sz w:val="18"/>
                <w:szCs w:val="18"/>
              </w:rPr>
            </w:pPr>
            <w:r w:rsidRPr="009336DA">
              <w:rPr>
                <w:rFonts w:asciiTheme="minorHAnsi" w:hAnsiTheme="minorHAnsi"/>
                <w:sz w:val="18"/>
                <w:szCs w:val="18"/>
              </w:rPr>
              <w:t>Ocena ciągła</w:t>
            </w:r>
          </w:p>
        </w:tc>
        <w:tc>
          <w:tcPr>
            <w:tcW w:w="2268" w:type="dxa"/>
          </w:tcPr>
          <w:p w:rsidR="002C49DF" w:rsidRPr="009336DA" w:rsidRDefault="002C49DF" w:rsidP="00C26550">
            <w:pPr>
              <w:jc w:val="center"/>
              <w:rPr>
                <w:rFonts w:asciiTheme="minorHAnsi" w:hAnsiTheme="minorHAnsi"/>
                <w:sz w:val="18"/>
                <w:szCs w:val="18"/>
              </w:rPr>
            </w:pPr>
            <w:r w:rsidRPr="009336DA">
              <w:rPr>
                <w:rFonts w:asciiTheme="minorHAnsi" w:hAnsiTheme="minorHAnsi"/>
                <w:sz w:val="18"/>
                <w:szCs w:val="18"/>
              </w:rPr>
              <w:t>Wg pktu 5.4</w:t>
            </w:r>
          </w:p>
        </w:tc>
      </w:tr>
      <w:tr w:rsidR="002C49DF" w:rsidRPr="009336DA" w:rsidTr="00C26550">
        <w:tc>
          <w:tcPr>
            <w:tcW w:w="496" w:type="dxa"/>
          </w:tcPr>
          <w:p w:rsidR="002C49DF" w:rsidRPr="009336DA" w:rsidRDefault="002C49DF" w:rsidP="00C26550">
            <w:pPr>
              <w:jc w:val="center"/>
              <w:rPr>
                <w:rFonts w:asciiTheme="minorHAnsi" w:hAnsiTheme="minorHAnsi"/>
                <w:sz w:val="18"/>
                <w:szCs w:val="18"/>
              </w:rPr>
            </w:pPr>
            <w:r w:rsidRPr="009336DA">
              <w:rPr>
                <w:rFonts w:asciiTheme="minorHAnsi" w:hAnsiTheme="minorHAnsi"/>
                <w:sz w:val="18"/>
                <w:szCs w:val="18"/>
              </w:rPr>
              <w:t>4</w:t>
            </w:r>
          </w:p>
        </w:tc>
        <w:tc>
          <w:tcPr>
            <w:tcW w:w="3260" w:type="dxa"/>
          </w:tcPr>
          <w:p w:rsidR="002C49DF" w:rsidRPr="009336DA" w:rsidRDefault="002C49DF" w:rsidP="00C26550">
            <w:pPr>
              <w:jc w:val="center"/>
              <w:rPr>
                <w:rFonts w:asciiTheme="minorHAnsi" w:hAnsiTheme="minorHAnsi"/>
                <w:sz w:val="18"/>
                <w:szCs w:val="18"/>
              </w:rPr>
            </w:pPr>
            <w:r w:rsidRPr="009336DA">
              <w:rPr>
                <w:rFonts w:asciiTheme="minorHAnsi" w:hAnsiTheme="minorHAnsi"/>
                <w:sz w:val="18"/>
                <w:szCs w:val="18"/>
              </w:rPr>
              <w:t>Ułożenie nowych warstw podbudowy i warstwy wiążącej</w:t>
            </w:r>
          </w:p>
        </w:tc>
        <w:tc>
          <w:tcPr>
            <w:tcW w:w="1417" w:type="dxa"/>
          </w:tcPr>
          <w:p w:rsidR="002C49DF" w:rsidRPr="009336DA" w:rsidRDefault="002C49DF" w:rsidP="00C26550">
            <w:pPr>
              <w:jc w:val="center"/>
              <w:rPr>
                <w:rFonts w:asciiTheme="minorHAnsi" w:hAnsiTheme="minorHAnsi"/>
                <w:sz w:val="18"/>
                <w:szCs w:val="18"/>
              </w:rPr>
            </w:pPr>
            <w:r w:rsidRPr="009336DA">
              <w:rPr>
                <w:rFonts w:asciiTheme="minorHAnsi" w:hAnsiTheme="minorHAnsi"/>
                <w:sz w:val="18"/>
                <w:szCs w:val="18"/>
              </w:rPr>
              <w:t>Jw.</w:t>
            </w:r>
          </w:p>
        </w:tc>
        <w:tc>
          <w:tcPr>
            <w:tcW w:w="2268" w:type="dxa"/>
          </w:tcPr>
          <w:p w:rsidR="002C49DF" w:rsidRPr="009336DA" w:rsidRDefault="002C49DF" w:rsidP="00C26550">
            <w:pPr>
              <w:jc w:val="center"/>
              <w:rPr>
                <w:rFonts w:asciiTheme="minorHAnsi" w:hAnsiTheme="minorHAnsi"/>
                <w:sz w:val="18"/>
                <w:szCs w:val="18"/>
              </w:rPr>
            </w:pPr>
            <w:r w:rsidRPr="009336DA">
              <w:rPr>
                <w:rFonts w:asciiTheme="minorHAnsi" w:hAnsiTheme="minorHAnsi"/>
                <w:sz w:val="18"/>
                <w:szCs w:val="18"/>
              </w:rPr>
              <w:t>Wg pktu 5.5</w:t>
            </w:r>
          </w:p>
        </w:tc>
      </w:tr>
      <w:tr w:rsidR="002C49DF" w:rsidRPr="009336DA" w:rsidTr="00C26550">
        <w:tc>
          <w:tcPr>
            <w:tcW w:w="496" w:type="dxa"/>
          </w:tcPr>
          <w:p w:rsidR="002C49DF" w:rsidRPr="009336DA" w:rsidRDefault="002C49DF" w:rsidP="00C26550">
            <w:pPr>
              <w:jc w:val="center"/>
              <w:rPr>
                <w:rFonts w:asciiTheme="minorHAnsi" w:hAnsiTheme="minorHAnsi"/>
                <w:sz w:val="18"/>
                <w:szCs w:val="18"/>
              </w:rPr>
            </w:pPr>
            <w:r w:rsidRPr="009336DA">
              <w:rPr>
                <w:rFonts w:asciiTheme="minorHAnsi" w:hAnsiTheme="minorHAnsi"/>
                <w:sz w:val="18"/>
                <w:szCs w:val="18"/>
              </w:rPr>
              <w:t>5</w:t>
            </w:r>
          </w:p>
        </w:tc>
        <w:tc>
          <w:tcPr>
            <w:tcW w:w="3260" w:type="dxa"/>
          </w:tcPr>
          <w:p w:rsidR="002C49DF" w:rsidRPr="009336DA" w:rsidRDefault="002C49DF" w:rsidP="00C26550">
            <w:pPr>
              <w:jc w:val="center"/>
              <w:rPr>
                <w:rFonts w:asciiTheme="minorHAnsi" w:hAnsiTheme="minorHAnsi"/>
                <w:sz w:val="18"/>
                <w:szCs w:val="18"/>
              </w:rPr>
            </w:pPr>
            <w:r w:rsidRPr="009336DA">
              <w:rPr>
                <w:rFonts w:asciiTheme="minorHAnsi" w:hAnsiTheme="minorHAnsi"/>
                <w:sz w:val="18"/>
                <w:szCs w:val="18"/>
              </w:rPr>
              <w:t>Skropienie emulsją asfaltową podłoża pod geokompozyt</w:t>
            </w:r>
          </w:p>
        </w:tc>
        <w:tc>
          <w:tcPr>
            <w:tcW w:w="1417" w:type="dxa"/>
          </w:tcPr>
          <w:p w:rsidR="002C49DF" w:rsidRPr="009336DA" w:rsidRDefault="002C49DF" w:rsidP="00C26550">
            <w:pPr>
              <w:jc w:val="center"/>
              <w:rPr>
                <w:rFonts w:asciiTheme="minorHAnsi" w:hAnsiTheme="minorHAnsi"/>
                <w:sz w:val="18"/>
                <w:szCs w:val="18"/>
              </w:rPr>
            </w:pPr>
            <w:r w:rsidRPr="009336DA">
              <w:rPr>
                <w:rFonts w:asciiTheme="minorHAnsi" w:hAnsiTheme="minorHAnsi"/>
                <w:sz w:val="18"/>
                <w:szCs w:val="18"/>
              </w:rPr>
              <w:t>Jw.</w:t>
            </w:r>
          </w:p>
        </w:tc>
        <w:tc>
          <w:tcPr>
            <w:tcW w:w="2268" w:type="dxa"/>
          </w:tcPr>
          <w:p w:rsidR="002C49DF" w:rsidRPr="009336DA" w:rsidRDefault="002C49DF" w:rsidP="00C26550">
            <w:pPr>
              <w:jc w:val="center"/>
              <w:rPr>
                <w:rFonts w:asciiTheme="minorHAnsi" w:hAnsiTheme="minorHAnsi"/>
                <w:sz w:val="18"/>
                <w:szCs w:val="18"/>
              </w:rPr>
            </w:pPr>
            <w:r w:rsidRPr="009336DA">
              <w:rPr>
                <w:rFonts w:asciiTheme="minorHAnsi" w:hAnsiTheme="minorHAnsi"/>
                <w:sz w:val="18"/>
                <w:szCs w:val="18"/>
              </w:rPr>
              <w:t>Wg pktu 5.6</w:t>
            </w:r>
          </w:p>
        </w:tc>
      </w:tr>
      <w:tr w:rsidR="002C49DF" w:rsidRPr="009336DA" w:rsidTr="00C26550">
        <w:tc>
          <w:tcPr>
            <w:tcW w:w="496" w:type="dxa"/>
          </w:tcPr>
          <w:p w:rsidR="002C49DF" w:rsidRPr="009336DA" w:rsidRDefault="002C49DF" w:rsidP="00C26550">
            <w:pPr>
              <w:jc w:val="center"/>
              <w:rPr>
                <w:rFonts w:asciiTheme="minorHAnsi" w:hAnsiTheme="minorHAnsi"/>
                <w:sz w:val="18"/>
                <w:szCs w:val="18"/>
              </w:rPr>
            </w:pPr>
            <w:r w:rsidRPr="009336DA">
              <w:rPr>
                <w:rFonts w:asciiTheme="minorHAnsi" w:hAnsiTheme="minorHAnsi"/>
                <w:sz w:val="18"/>
                <w:szCs w:val="18"/>
              </w:rPr>
              <w:t>6</w:t>
            </w:r>
          </w:p>
        </w:tc>
        <w:tc>
          <w:tcPr>
            <w:tcW w:w="3260" w:type="dxa"/>
          </w:tcPr>
          <w:p w:rsidR="002C49DF" w:rsidRPr="009336DA" w:rsidRDefault="002C49DF" w:rsidP="00C26550">
            <w:pPr>
              <w:jc w:val="center"/>
              <w:rPr>
                <w:rFonts w:asciiTheme="minorHAnsi" w:hAnsiTheme="minorHAnsi"/>
                <w:sz w:val="18"/>
                <w:szCs w:val="18"/>
              </w:rPr>
            </w:pPr>
            <w:r w:rsidRPr="009336DA">
              <w:rPr>
                <w:rFonts w:asciiTheme="minorHAnsi" w:hAnsiTheme="minorHAnsi"/>
                <w:sz w:val="18"/>
                <w:szCs w:val="18"/>
              </w:rPr>
              <w:t>Ułożenie geokompozytu</w:t>
            </w:r>
          </w:p>
        </w:tc>
        <w:tc>
          <w:tcPr>
            <w:tcW w:w="1417" w:type="dxa"/>
          </w:tcPr>
          <w:p w:rsidR="002C49DF" w:rsidRPr="009336DA" w:rsidRDefault="002C49DF" w:rsidP="00C26550">
            <w:pPr>
              <w:jc w:val="center"/>
              <w:rPr>
                <w:rFonts w:asciiTheme="minorHAnsi" w:hAnsiTheme="minorHAnsi"/>
                <w:sz w:val="18"/>
                <w:szCs w:val="18"/>
              </w:rPr>
            </w:pPr>
            <w:r w:rsidRPr="009336DA">
              <w:rPr>
                <w:rFonts w:asciiTheme="minorHAnsi" w:hAnsiTheme="minorHAnsi"/>
                <w:sz w:val="18"/>
                <w:szCs w:val="18"/>
              </w:rPr>
              <w:t>Jw.</w:t>
            </w:r>
          </w:p>
        </w:tc>
        <w:tc>
          <w:tcPr>
            <w:tcW w:w="2268" w:type="dxa"/>
          </w:tcPr>
          <w:p w:rsidR="002C49DF" w:rsidRPr="009336DA" w:rsidRDefault="002C49DF" w:rsidP="00C26550">
            <w:pPr>
              <w:jc w:val="center"/>
              <w:rPr>
                <w:rFonts w:asciiTheme="minorHAnsi" w:hAnsiTheme="minorHAnsi"/>
                <w:sz w:val="18"/>
                <w:szCs w:val="18"/>
              </w:rPr>
            </w:pPr>
            <w:r w:rsidRPr="009336DA">
              <w:rPr>
                <w:rFonts w:asciiTheme="minorHAnsi" w:hAnsiTheme="minorHAnsi"/>
                <w:sz w:val="18"/>
                <w:szCs w:val="18"/>
              </w:rPr>
              <w:t>Wg pktu 5.6</w:t>
            </w:r>
          </w:p>
        </w:tc>
      </w:tr>
      <w:tr w:rsidR="002C49DF" w:rsidRPr="009336DA" w:rsidTr="00C26550">
        <w:tc>
          <w:tcPr>
            <w:tcW w:w="496" w:type="dxa"/>
          </w:tcPr>
          <w:p w:rsidR="002C49DF" w:rsidRPr="009336DA" w:rsidRDefault="002C49DF" w:rsidP="00C26550">
            <w:pPr>
              <w:jc w:val="center"/>
              <w:rPr>
                <w:rFonts w:asciiTheme="minorHAnsi" w:hAnsiTheme="minorHAnsi"/>
                <w:sz w:val="18"/>
                <w:szCs w:val="18"/>
              </w:rPr>
            </w:pPr>
            <w:r w:rsidRPr="009336DA">
              <w:rPr>
                <w:rFonts w:asciiTheme="minorHAnsi" w:hAnsiTheme="minorHAnsi"/>
                <w:sz w:val="18"/>
                <w:szCs w:val="18"/>
              </w:rPr>
              <w:t>7</w:t>
            </w:r>
          </w:p>
        </w:tc>
        <w:tc>
          <w:tcPr>
            <w:tcW w:w="3260" w:type="dxa"/>
          </w:tcPr>
          <w:p w:rsidR="002C49DF" w:rsidRPr="009336DA" w:rsidRDefault="002C49DF" w:rsidP="00C26550">
            <w:pPr>
              <w:jc w:val="center"/>
              <w:rPr>
                <w:rFonts w:asciiTheme="minorHAnsi" w:hAnsiTheme="minorHAnsi"/>
                <w:sz w:val="18"/>
                <w:szCs w:val="18"/>
              </w:rPr>
            </w:pPr>
            <w:r w:rsidRPr="009336DA">
              <w:rPr>
                <w:rFonts w:asciiTheme="minorHAnsi" w:hAnsiTheme="minorHAnsi"/>
                <w:sz w:val="18"/>
                <w:szCs w:val="18"/>
              </w:rPr>
              <w:t>Ułożenie nowej warstwy ścieralnej nawierzchni</w:t>
            </w:r>
          </w:p>
        </w:tc>
        <w:tc>
          <w:tcPr>
            <w:tcW w:w="1417" w:type="dxa"/>
          </w:tcPr>
          <w:p w:rsidR="002C49DF" w:rsidRPr="009336DA" w:rsidRDefault="002C49DF" w:rsidP="00C26550">
            <w:pPr>
              <w:jc w:val="center"/>
              <w:rPr>
                <w:rFonts w:asciiTheme="minorHAnsi" w:hAnsiTheme="minorHAnsi"/>
                <w:sz w:val="18"/>
                <w:szCs w:val="18"/>
              </w:rPr>
            </w:pPr>
            <w:r w:rsidRPr="009336DA">
              <w:rPr>
                <w:rFonts w:asciiTheme="minorHAnsi" w:hAnsiTheme="minorHAnsi"/>
                <w:sz w:val="18"/>
                <w:szCs w:val="18"/>
              </w:rPr>
              <w:t>Jw.</w:t>
            </w:r>
          </w:p>
        </w:tc>
        <w:tc>
          <w:tcPr>
            <w:tcW w:w="2268" w:type="dxa"/>
          </w:tcPr>
          <w:p w:rsidR="002C49DF" w:rsidRPr="009336DA" w:rsidRDefault="002C49DF" w:rsidP="00C26550">
            <w:pPr>
              <w:jc w:val="center"/>
              <w:rPr>
                <w:rFonts w:asciiTheme="minorHAnsi" w:hAnsiTheme="minorHAnsi"/>
                <w:sz w:val="18"/>
                <w:szCs w:val="18"/>
              </w:rPr>
            </w:pPr>
            <w:r w:rsidRPr="009336DA">
              <w:rPr>
                <w:rFonts w:asciiTheme="minorHAnsi" w:hAnsiTheme="minorHAnsi"/>
                <w:sz w:val="18"/>
                <w:szCs w:val="18"/>
              </w:rPr>
              <w:t>Wg pktu 5.6</w:t>
            </w:r>
          </w:p>
        </w:tc>
      </w:tr>
      <w:tr w:rsidR="002C49DF" w:rsidRPr="009336DA" w:rsidTr="00C26550">
        <w:tc>
          <w:tcPr>
            <w:tcW w:w="496" w:type="dxa"/>
          </w:tcPr>
          <w:p w:rsidR="002C49DF" w:rsidRPr="009336DA" w:rsidRDefault="002C49DF" w:rsidP="00C26550">
            <w:pPr>
              <w:jc w:val="center"/>
              <w:rPr>
                <w:rFonts w:asciiTheme="minorHAnsi" w:hAnsiTheme="minorHAnsi"/>
                <w:sz w:val="18"/>
                <w:szCs w:val="18"/>
              </w:rPr>
            </w:pPr>
            <w:r w:rsidRPr="009336DA">
              <w:rPr>
                <w:rFonts w:asciiTheme="minorHAnsi" w:hAnsiTheme="minorHAnsi"/>
                <w:sz w:val="18"/>
                <w:szCs w:val="18"/>
              </w:rPr>
              <w:t>8</w:t>
            </w:r>
          </w:p>
        </w:tc>
        <w:tc>
          <w:tcPr>
            <w:tcW w:w="3260" w:type="dxa"/>
          </w:tcPr>
          <w:p w:rsidR="002C49DF" w:rsidRPr="009336DA" w:rsidRDefault="002C49DF" w:rsidP="00C26550">
            <w:pPr>
              <w:jc w:val="center"/>
              <w:rPr>
                <w:rFonts w:asciiTheme="minorHAnsi" w:hAnsiTheme="minorHAnsi"/>
                <w:sz w:val="18"/>
                <w:szCs w:val="18"/>
              </w:rPr>
            </w:pPr>
            <w:r w:rsidRPr="009336DA">
              <w:rPr>
                <w:rFonts w:asciiTheme="minorHAnsi" w:hAnsiTheme="minorHAnsi"/>
                <w:sz w:val="18"/>
                <w:szCs w:val="18"/>
              </w:rPr>
              <w:t>Wykonanie robót wykończeniowych</w:t>
            </w:r>
          </w:p>
        </w:tc>
        <w:tc>
          <w:tcPr>
            <w:tcW w:w="1417" w:type="dxa"/>
          </w:tcPr>
          <w:p w:rsidR="002C49DF" w:rsidRPr="009336DA" w:rsidRDefault="002C49DF" w:rsidP="00C26550">
            <w:pPr>
              <w:jc w:val="center"/>
              <w:rPr>
                <w:rFonts w:asciiTheme="minorHAnsi" w:hAnsiTheme="minorHAnsi"/>
                <w:sz w:val="18"/>
                <w:szCs w:val="18"/>
              </w:rPr>
            </w:pPr>
            <w:r w:rsidRPr="009336DA">
              <w:rPr>
                <w:rFonts w:asciiTheme="minorHAnsi" w:hAnsiTheme="minorHAnsi"/>
                <w:sz w:val="18"/>
                <w:szCs w:val="18"/>
              </w:rPr>
              <w:t>Ocena ciągła</w:t>
            </w:r>
          </w:p>
        </w:tc>
        <w:tc>
          <w:tcPr>
            <w:tcW w:w="2268" w:type="dxa"/>
          </w:tcPr>
          <w:p w:rsidR="002C49DF" w:rsidRPr="009336DA" w:rsidRDefault="002C49DF" w:rsidP="00C26550">
            <w:pPr>
              <w:jc w:val="center"/>
              <w:rPr>
                <w:rFonts w:asciiTheme="minorHAnsi" w:hAnsiTheme="minorHAnsi"/>
                <w:sz w:val="18"/>
                <w:szCs w:val="18"/>
              </w:rPr>
            </w:pPr>
            <w:r w:rsidRPr="009336DA">
              <w:rPr>
                <w:rFonts w:asciiTheme="minorHAnsi" w:hAnsiTheme="minorHAnsi"/>
                <w:sz w:val="18"/>
                <w:szCs w:val="18"/>
              </w:rPr>
              <w:t>Wg pktu 5.7</w:t>
            </w:r>
          </w:p>
        </w:tc>
      </w:tr>
    </w:tbl>
    <w:p w:rsidR="002C49DF" w:rsidRPr="009336DA" w:rsidRDefault="002C49DF" w:rsidP="002C49DF">
      <w:pPr>
        <w:rPr>
          <w:rFonts w:asciiTheme="minorHAnsi" w:hAnsiTheme="minorHAnsi"/>
        </w:rPr>
      </w:pPr>
    </w:p>
    <w:p w:rsidR="002C49DF" w:rsidRPr="009336DA" w:rsidRDefault="002C49DF" w:rsidP="002C49DF">
      <w:pPr>
        <w:rPr>
          <w:rFonts w:asciiTheme="minorHAnsi" w:hAnsiTheme="minorHAnsi"/>
          <w:b/>
        </w:rPr>
      </w:pPr>
      <w:bookmarkStart w:id="1556" w:name="_Toc421594985"/>
      <w:bookmarkStart w:id="1557" w:name="_Toc507909785"/>
      <w:bookmarkStart w:id="1558" w:name="_Toc507909892"/>
      <w:bookmarkStart w:id="1559" w:name="_Toc138042851"/>
      <w:bookmarkStart w:id="1560" w:name="_Toc250368197"/>
      <w:r w:rsidRPr="009336DA">
        <w:rPr>
          <w:rFonts w:asciiTheme="minorHAnsi" w:hAnsiTheme="minorHAnsi"/>
          <w:b/>
        </w:rPr>
        <w:t xml:space="preserve">7. </w:t>
      </w:r>
      <w:bookmarkEnd w:id="1556"/>
      <w:bookmarkEnd w:id="1557"/>
      <w:bookmarkEnd w:id="1558"/>
      <w:bookmarkEnd w:id="1559"/>
      <w:bookmarkEnd w:id="1560"/>
      <w:r w:rsidRPr="009336DA">
        <w:rPr>
          <w:rFonts w:asciiTheme="minorHAnsi" w:hAnsiTheme="minorHAnsi"/>
          <w:b/>
        </w:rPr>
        <w:t>OBMIAR ROBÓT</w:t>
      </w:r>
    </w:p>
    <w:p w:rsidR="002C49DF" w:rsidRPr="009336DA" w:rsidRDefault="002C49DF" w:rsidP="002C49DF">
      <w:pPr>
        <w:rPr>
          <w:rFonts w:asciiTheme="minorHAnsi" w:hAnsiTheme="minorHAnsi"/>
        </w:rPr>
      </w:pPr>
      <w:r w:rsidRPr="009336DA">
        <w:rPr>
          <w:rFonts w:asciiTheme="minorHAnsi" w:hAnsiTheme="minorHAnsi"/>
          <w:b/>
        </w:rPr>
        <w:t>7.1.</w:t>
      </w:r>
      <w:r w:rsidRPr="009336DA">
        <w:rPr>
          <w:rFonts w:asciiTheme="minorHAnsi" w:hAnsiTheme="minorHAnsi"/>
        </w:rPr>
        <w:t xml:space="preserve"> Ogólne zasady obmiaru robót</w:t>
      </w:r>
    </w:p>
    <w:p w:rsidR="002C49DF" w:rsidRPr="009336DA" w:rsidRDefault="002C49DF" w:rsidP="002C49DF">
      <w:pPr>
        <w:rPr>
          <w:rFonts w:asciiTheme="minorHAnsi" w:hAnsiTheme="minorHAnsi"/>
        </w:rPr>
      </w:pPr>
      <w:r w:rsidRPr="009336DA">
        <w:rPr>
          <w:rFonts w:asciiTheme="minorHAnsi" w:hAnsiTheme="minorHAnsi"/>
        </w:rPr>
        <w:tab/>
        <w:t>Ogólne zasady obmiaru robót podano w ST D-M-00.00.00 „Wymagania ogólne” pkt 7.</w:t>
      </w:r>
    </w:p>
    <w:p w:rsidR="002C49DF" w:rsidRPr="009336DA" w:rsidRDefault="002C49DF" w:rsidP="002C49DF">
      <w:pPr>
        <w:rPr>
          <w:rFonts w:asciiTheme="minorHAnsi" w:hAnsiTheme="minorHAnsi"/>
        </w:rPr>
      </w:pPr>
      <w:r w:rsidRPr="009336DA">
        <w:rPr>
          <w:rFonts w:asciiTheme="minorHAnsi" w:hAnsiTheme="minorHAnsi"/>
          <w:b/>
        </w:rPr>
        <w:t>7.2.</w:t>
      </w:r>
      <w:r w:rsidRPr="009336DA">
        <w:rPr>
          <w:rFonts w:asciiTheme="minorHAnsi" w:hAnsiTheme="minorHAnsi"/>
        </w:rPr>
        <w:t xml:space="preserve"> Jednostka obmiarowa</w:t>
      </w:r>
    </w:p>
    <w:p w:rsidR="002C49DF" w:rsidRPr="009336DA" w:rsidRDefault="002C49DF" w:rsidP="002C49DF">
      <w:pPr>
        <w:rPr>
          <w:rFonts w:asciiTheme="minorHAnsi" w:hAnsiTheme="minorHAnsi"/>
        </w:rPr>
      </w:pPr>
      <w:r w:rsidRPr="009336DA">
        <w:rPr>
          <w:rFonts w:asciiTheme="minorHAnsi" w:hAnsiTheme="minorHAnsi"/>
        </w:rPr>
        <w:tab/>
        <w:t>Jednostką obmiarową jest 1 m</w:t>
      </w:r>
      <w:r w:rsidRPr="009336DA">
        <w:rPr>
          <w:rFonts w:asciiTheme="minorHAnsi" w:hAnsiTheme="minorHAnsi"/>
          <w:vertAlign w:val="superscript"/>
        </w:rPr>
        <w:t>2</w:t>
      </w:r>
      <w:r w:rsidRPr="009336DA">
        <w:rPr>
          <w:rFonts w:asciiTheme="minorHAnsi" w:hAnsiTheme="minorHAnsi"/>
        </w:rPr>
        <w:t xml:space="preserve"> (metr kwadratowy) ułożonego geokompozytu.</w:t>
      </w:r>
    </w:p>
    <w:p w:rsidR="002C49DF" w:rsidRPr="009336DA" w:rsidRDefault="002C49DF" w:rsidP="002C49DF">
      <w:pPr>
        <w:rPr>
          <w:rFonts w:asciiTheme="minorHAnsi" w:hAnsiTheme="minorHAnsi"/>
        </w:rPr>
      </w:pPr>
      <w:r w:rsidRPr="009336DA">
        <w:rPr>
          <w:rFonts w:asciiTheme="minorHAnsi" w:hAnsiTheme="minorHAnsi"/>
        </w:rPr>
        <w:tab/>
        <w:t>Jednostki obmiarowe robót towarzyszących (np. ułożenia warstw nowej nawierzchni) są ustalone w odpowiednich ST.</w:t>
      </w:r>
    </w:p>
    <w:p w:rsidR="002C49DF" w:rsidRPr="009336DA" w:rsidRDefault="002C49DF" w:rsidP="002C49DF">
      <w:pPr>
        <w:rPr>
          <w:rFonts w:asciiTheme="minorHAnsi" w:hAnsiTheme="minorHAnsi"/>
        </w:rPr>
      </w:pPr>
    </w:p>
    <w:p w:rsidR="002C49DF" w:rsidRPr="009336DA" w:rsidRDefault="002C49DF" w:rsidP="002C49DF">
      <w:pPr>
        <w:rPr>
          <w:rFonts w:asciiTheme="minorHAnsi" w:hAnsiTheme="minorHAnsi"/>
          <w:b/>
        </w:rPr>
      </w:pPr>
      <w:bookmarkStart w:id="1561" w:name="_Toc421594986"/>
      <w:bookmarkStart w:id="1562" w:name="_Toc507909786"/>
      <w:bookmarkStart w:id="1563" w:name="_Toc507909893"/>
      <w:bookmarkStart w:id="1564" w:name="_Toc138042852"/>
      <w:bookmarkStart w:id="1565" w:name="_Toc250368198"/>
      <w:r w:rsidRPr="009336DA">
        <w:rPr>
          <w:rFonts w:asciiTheme="minorHAnsi" w:hAnsiTheme="minorHAnsi"/>
          <w:b/>
        </w:rPr>
        <w:t xml:space="preserve">8. </w:t>
      </w:r>
      <w:bookmarkEnd w:id="1561"/>
      <w:bookmarkEnd w:id="1562"/>
      <w:bookmarkEnd w:id="1563"/>
      <w:bookmarkEnd w:id="1564"/>
      <w:bookmarkEnd w:id="1565"/>
      <w:r w:rsidRPr="009336DA">
        <w:rPr>
          <w:rFonts w:asciiTheme="minorHAnsi" w:hAnsiTheme="minorHAnsi"/>
          <w:b/>
        </w:rPr>
        <w:t>ODBIÓR ROBÓT</w:t>
      </w:r>
    </w:p>
    <w:p w:rsidR="002C49DF" w:rsidRPr="009336DA" w:rsidRDefault="002C49DF" w:rsidP="002C49DF">
      <w:pPr>
        <w:rPr>
          <w:rFonts w:asciiTheme="minorHAnsi" w:hAnsiTheme="minorHAnsi"/>
        </w:rPr>
      </w:pPr>
      <w:r w:rsidRPr="009336DA">
        <w:rPr>
          <w:rFonts w:asciiTheme="minorHAnsi" w:hAnsiTheme="minorHAnsi"/>
          <w:b/>
        </w:rPr>
        <w:t>8.1.</w:t>
      </w:r>
      <w:r w:rsidRPr="009336DA">
        <w:rPr>
          <w:rFonts w:asciiTheme="minorHAnsi" w:hAnsiTheme="minorHAnsi"/>
        </w:rPr>
        <w:t xml:space="preserve"> Ogólne zasady odbioru robót</w:t>
      </w:r>
      <w:r w:rsidRPr="009336DA">
        <w:rPr>
          <w:rFonts w:asciiTheme="minorHAnsi" w:hAnsiTheme="minorHAnsi"/>
        </w:rPr>
        <w:tab/>
      </w:r>
    </w:p>
    <w:p w:rsidR="002C49DF" w:rsidRPr="009336DA" w:rsidRDefault="002C49DF" w:rsidP="002C49DF">
      <w:pPr>
        <w:rPr>
          <w:rFonts w:asciiTheme="minorHAnsi" w:hAnsiTheme="minorHAnsi"/>
        </w:rPr>
      </w:pPr>
      <w:r w:rsidRPr="009336DA">
        <w:rPr>
          <w:rFonts w:asciiTheme="minorHAnsi" w:hAnsiTheme="minorHAnsi"/>
        </w:rPr>
        <w:t>Ogólne zasady odbioru robót podano w ST D-M-00.00.00 „Wymagania ogólne” pkt 8.</w:t>
      </w:r>
    </w:p>
    <w:p w:rsidR="002C49DF" w:rsidRPr="009336DA" w:rsidRDefault="002C49DF" w:rsidP="002C49DF">
      <w:pPr>
        <w:rPr>
          <w:rFonts w:asciiTheme="minorHAnsi" w:hAnsiTheme="minorHAnsi"/>
        </w:rPr>
      </w:pPr>
      <w:r w:rsidRPr="009336DA">
        <w:rPr>
          <w:rFonts w:asciiTheme="minorHAnsi" w:hAnsiTheme="minorHAnsi"/>
        </w:rPr>
        <w:tab/>
        <w:t>Roboty uznaje się za wykonane zgodnie z dokumentacją projektową, ST i wymaganiami Inżyniera, jeżeli wszystkie pomiary i badania z zachowaniem tolerancji według pktu 6 dały wyniki pozytywne.</w:t>
      </w:r>
      <w:bookmarkStart w:id="1566" w:name="_Toc421594987"/>
    </w:p>
    <w:p w:rsidR="002C49DF" w:rsidRPr="009336DA" w:rsidRDefault="002C49DF" w:rsidP="002C49DF">
      <w:pPr>
        <w:rPr>
          <w:rFonts w:asciiTheme="minorHAnsi" w:hAnsiTheme="minorHAnsi"/>
        </w:rPr>
      </w:pPr>
      <w:r w:rsidRPr="009336DA">
        <w:rPr>
          <w:rFonts w:asciiTheme="minorHAnsi" w:hAnsiTheme="minorHAnsi"/>
          <w:b/>
        </w:rPr>
        <w:t>8.2.</w:t>
      </w:r>
      <w:r w:rsidRPr="009336DA">
        <w:rPr>
          <w:rFonts w:asciiTheme="minorHAnsi" w:hAnsiTheme="minorHAnsi"/>
        </w:rPr>
        <w:t xml:space="preserve"> Odbiór robót zanikających i ulegających zakryciu</w:t>
      </w:r>
    </w:p>
    <w:p w:rsidR="002C49DF" w:rsidRPr="009336DA" w:rsidRDefault="002C49DF" w:rsidP="002C49DF">
      <w:pPr>
        <w:rPr>
          <w:rFonts w:asciiTheme="minorHAnsi" w:hAnsiTheme="minorHAnsi"/>
        </w:rPr>
      </w:pPr>
      <w:r w:rsidRPr="009336DA">
        <w:rPr>
          <w:rFonts w:asciiTheme="minorHAnsi" w:hAnsiTheme="minorHAnsi"/>
        </w:rPr>
        <w:tab/>
        <w:t>Odbiorowi robót zanikających i ulegających zakryciu podlegają:</w:t>
      </w:r>
    </w:p>
    <w:p w:rsidR="002C49DF" w:rsidRPr="009336DA" w:rsidRDefault="002C49DF" w:rsidP="002C49DF">
      <w:pPr>
        <w:rPr>
          <w:rFonts w:asciiTheme="minorHAnsi" w:hAnsiTheme="minorHAnsi"/>
        </w:rPr>
      </w:pPr>
      <w:r>
        <w:rPr>
          <w:rFonts w:asciiTheme="minorHAnsi" w:hAnsiTheme="minorHAnsi"/>
        </w:rPr>
        <w:t>-</w:t>
      </w:r>
      <w:r w:rsidRPr="009336DA">
        <w:rPr>
          <w:rFonts w:asciiTheme="minorHAnsi" w:hAnsiTheme="minorHAnsi"/>
        </w:rPr>
        <w:t>oczyszczenie nawierzchni,</w:t>
      </w:r>
    </w:p>
    <w:p w:rsidR="002C49DF" w:rsidRPr="009336DA" w:rsidRDefault="002C49DF" w:rsidP="002C49DF">
      <w:pPr>
        <w:rPr>
          <w:rFonts w:asciiTheme="minorHAnsi" w:hAnsiTheme="minorHAnsi"/>
        </w:rPr>
      </w:pPr>
      <w:r>
        <w:rPr>
          <w:rFonts w:asciiTheme="minorHAnsi" w:hAnsiTheme="minorHAnsi"/>
        </w:rPr>
        <w:t>-</w:t>
      </w:r>
      <w:r w:rsidRPr="009336DA">
        <w:rPr>
          <w:rFonts w:asciiTheme="minorHAnsi" w:hAnsiTheme="minorHAnsi"/>
        </w:rPr>
        <w:t>skropienie nawierzchni emulsją asfaltową,</w:t>
      </w:r>
    </w:p>
    <w:p w:rsidR="002C49DF" w:rsidRPr="009336DA" w:rsidRDefault="002C49DF" w:rsidP="002C49DF">
      <w:pPr>
        <w:rPr>
          <w:rFonts w:asciiTheme="minorHAnsi" w:hAnsiTheme="minorHAnsi"/>
        </w:rPr>
      </w:pPr>
      <w:r>
        <w:rPr>
          <w:rFonts w:asciiTheme="minorHAnsi" w:hAnsiTheme="minorHAnsi"/>
        </w:rPr>
        <w:t>-</w:t>
      </w:r>
      <w:r w:rsidRPr="009336DA">
        <w:rPr>
          <w:rFonts w:asciiTheme="minorHAnsi" w:hAnsiTheme="minorHAnsi"/>
        </w:rPr>
        <w:t>ułożenie geokompozytu.</w:t>
      </w:r>
    </w:p>
    <w:p w:rsidR="002C49DF" w:rsidRPr="009336DA" w:rsidRDefault="002C49DF" w:rsidP="002C49DF">
      <w:pPr>
        <w:rPr>
          <w:rFonts w:asciiTheme="minorHAnsi" w:hAnsiTheme="minorHAnsi"/>
        </w:rPr>
      </w:pPr>
      <w:r w:rsidRPr="009336DA">
        <w:rPr>
          <w:rFonts w:asciiTheme="minorHAnsi" w:hAnsiTheme="minorHAnsi"/>
        </w:rPr>
        <w:t>Odbiór tych robót powinien być zgodny z wymaganiami pktu 8.2 ST D-M-00.00.00 „Wymagania ogólne” oraz niniejszej ST.</w:t>
      </w:r>
    </w:p>
    <w:p w:rsidR="002C49DF" w:rsidRPr="009336DA" w:rsidRDefault="002C49DF" w:rsidP="002C49DF">
      <w:pPr>
        <w:rPr>
          <w:rFonts w:asciiTheme="minorHAnsi" w:hAnsiTheme="minorHAnsi"/>
        </w:rPr>
      </w:pPr>
    </w:p>
    <w:p w:rsidR="002C49DF" w:rsidRPr="009336DA" w:rsidRDefault="002C49DF" w:rsidP="002C49DF">
      <w:pPr>
        <w:rPr>
          <w:rFonts w:asciiTheme="minorHAnsi" w:hAnsiTheme="minorHAnsi"/>
          <w:b/>
        </w:rPr>
      </w:pPr>
      <w:bookmarkStart w:id="1567" w:name="_Toc507909787"/>
      <w:bookmarkStart w:id="1568" w:name="_Toc507909894"/>
      <w:bookmarkStart w:id="1569" w:name="_Toc138042853"/>
      <w:bookmarkStart w:id="1570" w:name="_Toc250368199"/>
      <w:r w:rsidRPr="009336DA">
        <w:rPr>
          <w:rFonts w:asciiTheme="minorHAnsi" w:hAnsiTheme="minorHAnsi"/>
          <w:b/>
        </w:rPr>
        <w:t xml:space="preserve">9. </w:t>
      </w:r>
      <w:bookmarkEnd w:id="1566"/>
      <w:bookmarkEnd w:id="1567"/>
      <w:bookmarkEnd w:id="1568"/>
      <w:bookmarkEnd w:id="1569"/>
      <w:bookmarkEnd w:id="1570"/>
      <w:r w:rsidRPr="009336DA">
        <w:rPr>
          <w:rFonts w:asciiTheme="minorHAnsi" w:hAnsiTheme="minorHAnsi"/>
          <w:b/>
        </w:rPr>
        <w:t>PODSTAWA PŁATNOŚCI</w:t>
      </w:r>
    </w:p>
    <w:p w:rsidR="002C49DF" w:rsidRPr="009336DA" w:rsidRDefault="002C49DF" w:rsidP="002C49DF">
      <w:pPr>
        <w:rPr>
          <w:rFonts w:asciiTheme="minorHAnsi" w:hAnsiTheme="minorHAnsi"/>
        </w:rPr>
      </w:pPr>
      <w:r w:rsidRPr="009336DA">
        <w:rPr>
          <w:rFonts w:asciiTheme="minorHAnsi" w:hAnsiTheme="minorHAnsi"/>
          <w:b/>
        </w:rPr>
        <w:t>9.1.</w:t>
      </w:r>
      <w:r w:rsidRPr="009336DA">
        <w:rPr>
          <w:rFonts w:asciiTheme="minorHAnsi" w:hAnsiTheme="minorHAnsi"/>
        </w:rPr>
        <w:t xml:space="preserve"> Ogólne ustalenia dotyczące podstawy płatności</w:t>
      </w:r>
    </w:p>
    <w:p w:rsidR="002C49DF" w:rsidRPr="009336DA" w:rsidRDefault="002C49DF" w:rsidP="002C49DF">
      <w:pPr>
        <w:rPr>
          <w:rFonts w:asciiTheme="minorHAnsi" w:hAnsiTheme="minorHAnsi"/>
        </w:rPr>
      </w:pPr>
      <w:r w:rsidRPr="009336DA">
        <w:rPr>
          <w:rFonts w:asciiTheme="minorHAnsi" w:hAnsiTheme="minorHAnsi"/>
        </w:rPr>
        <w:tab/>
        <w:t>Ogólne ustalenia dotyczące podstawy płatności podano w ST D-M-00.00.00 „Wymagania ogólne” pkt 9.</w:t>
      </w:r>
    </w:p>
    <w:p w:rsidR="002C49DF" w:rsidRPr="009336DA" w:rsidRDefault="002C49DF" w:rsidP="002C49DF">
      <w:pPr>
        <w:rPr>
          <w:rFonts w:asciiTheme="minorHAnsi" w:hAnsiTheme="minorHAnsi"/>
        </w:rPr>
      </w:pPr>
      <w:r w:rsidRPr="009336DA">
        <w:rPr>
          <w:rFonts w:asciiTheme="minorHAnsi" w:hAnsiTheme="minorHAnsi"/>
          <w:b/>
        </w:rPr>
        <w:t>9.2.</w:t>
      </w:r>
      <w:r w:rsidRPr="009336DA">
        <w:rPr>
          <w:rFonts w:asciiTheme="minorHAnsi" w:hAnsiTheme="minorHAnsi"/>
        </w:rPr>
        <w:t xml:space="preserve"> Cena jednostki obmiarowej</w:t>
      </w:r>
    </w:p>
    <w:p w:rsidR="002C49DF" w:rsidRPr="009336DA" w:rsidRDefault="002C49DF" w:rsidP="002C49DF">
      <w:pPr>
        <w:rPr>
          <w:rFonts w:asciiTheme="minorHAnsi" w:hAnsiTheme="minorHAnsi"/>
        </w:rPr>
      </w:pPr>
      <w:r w:rsidRPr="009336DA">
        <w:rPr>
          <w:rFonts w:asciiTheme="minorHAnsi" w:hAnsiTheme="minorHAnsi"/>
        </w:rPr>
        <w:tab/>
        <w:t xml:space="preserve">Cena wykonania </w:t>
      </w:r>
      <w:smartTag w:uri="urn:schemas-microsoft-com:office:smarttags" w:element="metricconverter">
        <w:smartTagPr>
          <w:attr w:name="ProductID" w:val="1 m2"/>
        </w:smartTagPr>
        <w:r w:rsidRPr="009336DA">
          <w:rPr>
            <w:rFonts w:asciiTheme="minorHAnsi" w:hAnsiTheme="minorHAnsi"/>
          </w:rPr>
          <w:t>1 m</w:t>
        </w:r>
        <w:r w:rsidRPr="009336DA">
          <w:rPr>
            <w:rFonts w:asciiTheme="minorHAnsi" w:hAnsiTheme="minorHAnsi"/>
            <w:vertAlign w:val="superscript"/>
          </w:rPr>
          <w:t>2</w:t>
        </w:r>
      </w:smartTag>
      <w:r w:rsidRPr="009336DA">
        <w:rPr>
          <w:rFonts w:asciiTheme="minorHAnsi" w:hAnsiTheme="minorHAnsi"/>
        </w:rPr>
        <w:t xml:space="preserve"> ułożenia geokompozytu obejmuje:</w:t>
      </w:r>
    </w:p>
    <w:p w:rsidR="002C49DF" w:rsidRPr="009336DA" w:rsidRDefault="002C49DF" w:rsidP="002C49DF">
      <w:pPr>
        <w:rPr>
          <w:rFonts w:asciiTheme="minorHAnsi" w:hAnsiTheme="minorHAnsi"/>
        </w:rPr>
      </w:pPr>
      <w:r>
        <w:rPr>
          <w:rFonts w:asciiTheme="minorHAnsi" w:hAnsiTheme="minorHAnsi"/>
        </w:rPr>
        <w:t>-</w:t>
      </w:r>
      <w:r w:rsidRPr="009336DA">
        <w:rPr>
          <w:rFonts w:asciiTheme="minorHAnsi" w:hAnsiTheme="minorHAnsi"/>
        </w:rPr>
        <w:t>prace pomiarowe i roboty przygotowawcze,</w:t>
      </w:r>
    </w:p>
    <w:p w:rsidR="002C49DF" w:rsidRPr="009336DA" w:rsidRDefault="002C49DF" w:rsidP="002C49DF">
      <w:pPr>
        <w:rPr>
          <w:rFonts w:asciiTheme="minorHAnsi" w:hAnsiTheme="minorHAnsi"/>
        </w:rPr>
      </w:pPr>
      <w:r>
        <w:rPr>
          <w:rFonts w:asciiTheme="minorHAnsi" w:hAnsiTheme="minorHAnsi"/>
        </w:rPr>
        <w:t>-</w:t>
      </w:r>
      <w:r w:rsidRPr="009336DA">
        <w:rPr>
          <w:rFonts w:asciiTheme="minorHAnsi" w:hAnsiTheme="minorHAnsi"/>
        </w:rPr>
        <w:t>oznakowanie robót,</w:t>
      </w:r>
    </w:p>
    <w:p w:rsidR="002C49DF" w:rsidRPr="009336DA" w:rsidRDefault="002C49DF" w:rsidP="002C49DF">
      <w:pPr>
        <w:rPr>
          <w:rFonts w:asciiTheme="minorHAnsi" w:hAnsiTheme="minorHAnsi"/>
        </w:rPr>
      </w:pPr>
      <w:r>
        <w:rPr>
          <w:rFonts w:asciiTheme="minorHAnsi" w:hAnsiTheme="minorHAnsi"/>
        </w:rPr>
        <w:t>-</w:t>
      </w:r>
      <w:r w:rsidRPr="009336DA">
        <w:rPr>
          <w:rFonts w:asciiTheme="minorHAnsi" w:hAnsiTheme="minorHAnsi"/>
        </w:rPr>
        <w:t>dostarczenie materiałów i sprzętu,</w:t>
      </w:r>
    </w:p>
    <w:p w:rsidR="002C49DF" w:rsidRPr="009336DA" w:rsidRDefault="002C49DF" w:rsidP="002C49DF">
      <w:pPr>
        <w:rPr>
          <w:rFonts w:asciiTheme="minorHAnsi" w:hAnsiTheme="minorHAnsi"/>
        </w:rPr>
      </w:pPr>
      <w:r>
        <w:rPr>
          <w:rFonts w:asciiTheme="minorHAnsi" w:hAnsiTheme="minorHAnsi"/>
        </w:rPr>
        <w:t>-</w:t>
      </w:r>
      <w:r w:rsidRPr="009336DA">
        <w:rPr>
          <w:rFonts w:asciiTheme="minorHAnsi" w:hAnsiTheme="minorHAnsi"/>
        </w:rPr>
        <w:t>przygotowanie podłoża do ułożenia geokompozytu,</w:t>
      </w:r>
    </w:p>
    <w:p w:rsidR="002C49DF" w:rsidRPr="009336DA" w:rsidRDefault="002C49DF" w:rsidP="002C49DF">
      <w:pPr>
        <w:rPr>
          <w:rFonts w:asciiTheme="minorHAnsi" w:hAnsiTheme="minorHAnsi"/>
        </w:rPr>
      </w:pPr>
      <w:r>
        <w:rPr>
          <w:rFonts w:asciiTheme="minorHAnsi" w:hAnsiTheme="minorHAnsi"/>
        </w:rPr>
        <w:t>-</w:t>
      </w:r>
      <w:r w:rsidRPr="009336DA">
        <w:rPr>
          <w:rFonts w:asciiTheme="minorHAnsi" w:hAnsiTheme="minorHAnsi"/>
        </w:rPr>
        <w:t>rozebranie istniejącej nawierzchni,</w:t>
      </w:r>
    </w:p>
    <w:p w:rsidR="002C49DF" w:rsidRPr="009336DA" w:rsidRDefault="002C49DF" w:rsidP="002C49DF">
      <w:pPr>
        <w:rPr>
          <w:rFonts w:asciiTheme="minorHAnsi" w:hAnsiTheme="minorHAnsi"/>
        </w:rPr>
      </w:pPr>
      <w:r>
        <w:rPr>
          <w:rFonts w:asciiTheme="minorHAnsi" w:hAnsiTheme="minorHAnsi"/>
        </w:rPr>
        <w:t>-</w:t>
      </w:r>
      <w:r w:rsidRPr="009336DA">
        <w:rPr>
          <w:rFonts w:asciiTheme="minorHAnsi" w:hAnsiTheme="minorHAnsi"/>
        </w:rPr>
        <w:t>skropienie podłoża emulsją asfaltową,</w:t>
      </w:r>
    </w:p>
    <w:p w:rsidR="002C49DF" w:rsidRPr="009336DA" w:rsidRDefault="002C49DF" w:rsidP="002C49DF">
      <w:pPr>
        <w:rPr>
          <w:rFonts w:asciiTheme="minorHAnsi" w:hAnsiTheme="minorHAnsi"/>
        </w:rPr>
      </w:pPr>
      <w:r>
        <w:rPr>
          <w:rFonts w:asciiTheme="minorHAnsi" w:hAnsiTheme="minorHAnsi"/>
        </w:rPr>
        <w:t>-</w:t>
      </w:r>
      <w:r w:rsidRPr="009336DA">
        <w:rPr>
          <w:rFonts w:asciiTheme="minorHAnsi" w:hAnsiTheme="minorHAnsi"/>
        </w:rPr>
        <w:t>ułożenie geokompozytu,</w:t>
      </w:r>
    </w:p>
    <w:p w:rsidR="002C49DF" w:rsidRPr="009336DA" w:rsidRDefault="002C49DF" w:rsidP="002C49DF">
      <w:pPr>
        <w:rPr>
          <w:rFonts w:asciiTheme="minorHAnsi" w:hAnsiTheme="minorHAnsi"/>
        </w:rPr>
      </w:pPr>
      <w:r>
        <w:rPr>
          <w:rFonts w:asciiTheme="minorHAnsi" w:hAnsiTheme="minorHAnsi"/>
        </w:rPr>
        <w:t>-</w:t>
      </w:r>
      <w:r w:rsidRPr="009336DA">
        <w:rPr>
          <w:rFonts w:asciiTheme="minorHAnsi" w:hAnsiTheme="minorHAnsi"/>
        </w:rPr>
        <w:t>wykonanie wszystkich robót według wymagań dokumentacji projektowej i specyfikacji technicznej,</w:t>
      </w:r>
    </w:p>
    <w:p w:rsidR="002C49DF" w:rsidRPr="009336DA" w:rsidRDefault="002C49DF" w:rsidP="002C49DF">
      <w:pPr>
        <w:rPr>
          <w:rFonts w:asciiTheme="minorHAnsi" w:hAnsiTheme="minorHAnsi"/>
        </w:rPr>
      </w:pPr>
      <w:r>
        <w:rPr>
          <w:rFonts w:asciiTheme="minorHAnsi" w:hAnsiTheme="minorHAnsi"/>
        </w:rPr>
        <w:t>-</w:t>
      </w:r>
      <w:r w:rsidRPr="009336DA">
        <w:rPr>
          <w:rFonts w:asciiTheme="minorHAnsi" w:hAnsiTheme="minorHAnsi"/>
        </w:rPr>
        <w:t>oczyszczenie miejsca robót i uporządkowanie terenu przyległego,</w:t>
      </w:r>
    </w:p>
    <w:p w:rsidR="002C49DF" w:rsidRPr="009336DA" w:rsidRDefault="002C49DF" w:rsidP="002C49DF">
      <w:pPr>
        <w:rPr>
          <w:rFonts w:asciiTheme="minorHAnsi" w:hAnsiTheme="minorHAnsi"/>
        </w:rPr>
      </w:pPr>
      <w:r>
        <w:rPr>
          <w:rFonts w:asciiTheme="minorHAnsi" w:hAnsiTheme="minorHAnsi"/>
        </w:rPr>
        <w:t>-</w:t>
      </w:r>
      <w:r w:rsidRPr="009336DA">
        <w:rPr>
          <w:rFonts w:asciiTheme="minorHAnsi" w:hAnsiTheme="minorHAnsi"/>
        </w:rPr>
        <w:t>przeprowadzenie pomiarów i badań wymaganych w specyfikacji technicznej,</w:t>
      </w:r>
    </w:p>
    <w:p w:rsidR="002C49DF" w:rsidRPr="009336DA" w:rsidRDefault="002C49DF" w:rsidP="002C49DF">
      <w:pPr>
        <w:rPr>
          <w:rFonts w:asciiTheme="minorHAnsi" w:hAnsiTheme="minorHAnsi"/>
        </w:rPr>
      </w:pPr>
      <w:r>
        <w:rPr>
          <w:rFonts w:asciiTheme="minorHAnsi" w:hAnsiTheme="minorHAnsi"/>
        </w:rPr>
        <w:t>-</w:t>
      </w:r>
      <w:r w:rsidRPr="009336DA">
        <w:rPr>
          <w:rFonts w:asciiTheme="minorHAnsi" w:hAnsiTheme="minorHAnsi"/>
        </w:rPr>
        <w:t>odwiezienie sprzętu.</w:t>
      </w:r>
    </w:p>
    <w:p w:rsidR="002C49DF" w:rsidRPr="006456E2" w:rsidRDefault="002C49DF" w:rsidP="002C49DF">
      <w:pPr>
        <w:rPr>
          <w:rFonts w:asciiTheme="minorHAnsi" w:hAnsiTheme="minorHAnsi"/>
        </w:rPr>
      </w:pPr>
      <w:r w:rsidRPr="006456E2">
        <w:rPr>
          <w:rFonts w:asciiTheme="minorHAnsi" w:hAnsiTheme="minorHAnsi"/>
        </w:rPr>
        <w:t xml:space="preserve">Cena wykonania </w:t>
      </w:r>
      <w:smartTag w:uri="urn:schemas-microsoft-com:office:smarttags" w:element="metricconverter">
        <w:smartTagPr>
          <w:attr w:name="ProductID" w:val="1 m2"/>
        </w:smartTagPr>
        <w:r w:rsidRPr="006456E2">
          <w:rPr>
            <w:rFonts w:asciiTheme="minorHAnsi" w:hAnsiTheme="minorHAnsi"/>
          </w:rPr>
          <w:t>1 m</w:t>
        </w:r>
        <w:r w:rsidRPr="006456E2">
          <w:rPr>
            <w:rFonts w:asciiTheme="minorHAnsi" w:hAnsiTheme="minorHAnsi"/>
            <w:vertAlign w:val="superscript"/>
          </w:rPr>
          <w:t>2</w:t>
        </w:r>
      </w:smartTag>
      <w:r w:rsidRPr="006456E2">
        <w:rPr>
          <w:rFonts w:asciiTheme="minorHAnsi" w:hAnsiTheme="minorHAnsi"/>
        </w:rPr>
        <w:t xml:space="preserve"> ułożenia geokompozytu nie obejmuje robót innych, np. wykonania warstw nowej nawierzchni, które powinny być ujęte w innych pozycjach kosztorysowych.</w:t>
      </w:r>
    </w:p>
    <w:p w:rsidR="002C49DF" w:rsidRPr="006456E2" w:rsidRDefault="002C49DF" w:rsidP="002C49DF">
      <w:pPr>
        <w:rPr>
          <w:rFonts w:asciiTheme="minorHAnsi" w:hAnsiTheme="minorHAnsi"/>
        </w:rPr>
      </w:pPr>
      <w:r w:rsidRPr="006456E2">
        <w:rPr>
          <w:rFonts w:asciiTheme="minorHAnsi" w:hAnsiTheme="minorHAnsi"/>
          <w:b/>
        </w:rPr>
        <w:lastRenderedPageBreak/>
        <w:t>9.3.</w:t>
      </w:r>
      <w:r w:rsidRPr="006456E2">
        <w:rPr>
          <w:rFonts w:asciiTheme="minorHAnsi" w:hAnsiTheme="minorHAnsi"/>
        </w:rPr>
        <w:t xml:space="preserve"> Sposób rozliczenia robót tymczasowych i prac towarzyszących</w:t>
      </w:r>
    </w:p>
    <w:p w:rsidR="002C49DF" w:rsidRPr="006456E2" w:rsidRDefault="002C49DF" w:rsidP="002C49DF">
      <w:pPr>
        <w:rPr>
          <w:rFonts w:asciiTheme="minorHAnsi" w:hAnsiTheme="minorHAnsi"/>
        </w:rPr>
      </w:pPr>
      <w:r w:rsidRPr="006456E2">
        <w:rPr>
          <w:rFonts w:asciiTheme="minorHAnsi" w:hAnsiTheme="minorHAnsi"/>
        </w:rPr>
        <w:tab/>
        <w:t>Cena wykonania robót określonych niniejszą ST obejmuje:</w:t>
      </w:r>
    </w:p>
    <w:p w:rsidR="002C49DF" w:rsidRPr="006456E2" w:rsidRDefault="002C49DF" w:rsidP="002C49DF">
      <w:pPr>
        <w:rPr>
          <w:rFonts w:asciiTheme="minorHAnsi" w:hAnsiTheme="minorHAnsi"/>
        </w:rPr>
      </w:pPr>
      <w:r w:rsidRPr="006456E2">
        <w:rPr>
          <w:rFonts w:asciiTheme="minorHAnsi" w:hAnsiTheme="minorHAnsi"/>
        </w:rPr>
        <w:t>-roboty tymczasowe, które są potrzebne do wykonania robót podstawowych, ale nie są przekazywane Zamawiającemu i są usuwane po wykonaniu robót podstawowych,</w:t>
      </w:r>
    </w:p>
    <w:p w:rsidR="002C49DF" w:rsidRPr="006456E2" w:rsidRDefault="002C49DF" w:rsidP="002C49DF">
      <w:pPr>
        <w:rPr>
          <w:rFonts w:asciiTheme="minorHAnsi" w:hAnsiTheme="minorHAnsi"/>
        </w:rPr>
      </w:pPr>
      <w:r w:rsidRPr="006456E2">
        <w:rPr>
          <w:rFonts w:asciiTheme="minorHAnsi" w:hAnsiTheme="minorHAnsi"/>
        </w:rPr>
        <w:t>-prace towarzyszące, które są niezbędne do wykonania robót podstawowych, niezaliczane do robót tymczasowych, jak geodezyjne wytyczenie robót itd.</w:t>
      </w:r>
    </w:p>
    <w:p w:rsidR="002C49DF" w:rsidRPr="006456E2" w:rsidRDefault="002C49DF" w:rsidP="002C49DF">
      <w:pPr>
        <w:rPr>
          <w:rFonts w:asciiTheme="minorHAnsi" w:hAnsiTheme="minorHAnsi"/>
        </w:rPr>
      </w:pPr>
    </w:p>
    <w:p w:rsidR="002C49DF" w:rsidRPr="006456E2" w:rsidRDefault="002C49DF" w:rsidP="002C49DF">
      <w:pPr>
        <w:rPr>
          <w:rFonts w:asciiTheme="minorHAnsi" w:hAnsiTheme="minorHAnsi"/>
          <w:b/>
        </w:rPr>
      </w:pPr>
      <w:bookmarkStart w:id="1571" w:name="_Toc138042854"/>
      <w:bookmarkStart w:id="1572" w:name="_Toc250368200"/>
      <w:r w:rsidRPr="006456E2">
        <w:rPr>
          <w:rFonts w:asciiTheme="minorHAnsi" w:hAnsiTheme="minorHAnsi"/>
          <w:b/>
        </w:rPr>
        <w:t xml:space="preserve">10. </w:t>
      </w:r>
      <w:bookmarkEnd w:id="1571"/>
      <w:bookmarkEnd w:id="1572"/>
      <w:r w:rsidRPr="006456E2">
        <w:rPr>
          <w:rFonts w:asciiTheme="minorHAnsi" w:hAnsiTheme="minorHAnsi"/>
          <w:b/>
        </w:rPr>
        <w:t>PRZEPISY ZWIĄZANE</w:t>
      </w:r>
    </w:p>
    <w:p w:rsidR="002C49DF" w:rsidRPr="006456E2" w:rsidRDefault="002C49DF" w:rsidP="002C49DF">
      <w:pPr>
        <w:rPr>
          <w:rFonts w:asciiTheme="minorHAnsi" w:hAnsiTheme="minorHAnsi"/>
        </w:rPr>
      </w:pPr>
      <w:r w:rsidRPr="006456E2">
        <w:rPr>
          <w:rFonts w:asciiTheme="minorHAnsi" w:hAnsiTheme="minorHAnsi"/>
          <w:b/>
        </w:rPr>
        <w:t>10.1.</w:t>
      </w:r>
      <w:r w:rsidRPr="006456E2">
        <w:rPr>
          <w:rFonts w:asciiTheme="minorHAnsi" w:hAnsiTheme="minorHAnsi"/>
        </w:rPr>
        <w:t xml:space="preserve"> Specyfikacje techniczne (ST)</w:t>
      </w:r>
    </w:p>
    <w:tbl>
      <w:tblPr>
        <w:tblW w:w="0" w:type="auto"/>
        <w:tblInd w:w="354" w:type="dxa"/>
        <w:tblLayout w:type="fixed"/>
        <w:tblCellMar>
          <w:left w:w="70" w:type="dxa"/>
          <w:right w:w="70" w:type="dxa"/>
        </w:tblCellMar>
        <w:tblLook w:val="0000"/>
      </w:tblPr>
      <w:tblGrid>
        <w:gridCol w:w="496"/>
        <w:gridCol w:w="1559"/>
        <w:gridCol w:w="5455"/>
      </w:tblGrid>
      <w:tr w:rsidR="002C49DF" w:rsidRPr="006456E2" w:rsidTr="00C26550">
        <w:tc>
          <w:tcPr>
            <w:tcW w:w="496" w:type="dxa"/>
          </w:tcPr>
          <w:p w:rsidR="002C49DF" w:rsidRPr="006456E2" w:rsidRDefault="002C49DF" w:rsidP="00C26550">
            <w:pPr>
              <w:rPr>
                <w:rFonts w:asciiTheme="minorHAnsi" w:hAnsiTheme="minorHAnsi"/>
              </w:rPr>
            </w:pPr>
            <w:r w:rsidRPr="006456E2">
              <w:rPr>
                <w:rFonts w:asciiTheme="minorHAnsi" w:hAnsiTheme="minorHAnsi"/>
              </w:rPr>
              <w:t>1.</w:t>
            </w:r>
          </w:p>
        </w:tc>
        <w:tc>
          <w:tcPr>
            <w:tcW w:w="1559" w:type="dxa"/>
          </w:tcPr>
          <w:p w:rsidR="002C49DF" w:rsidRPr="006456E2" w:rsidRDefault="002C49DF" w:rsidP="00C26550">
            <w:pPr>
              <w:rPr>
                <w:rFonts w:asciiTheme="minorHAnsi" w:hAnsiTheme="minorHAnsi"/>
              </w:rPr>
            </w:pPr>
            <w:r w:rsidRPr="006456E2">
              <w:rPr>
                <w:rFonts w:asciiTheme="minorHAnsi" w:hAnsiTheme="minorHAnsi"/>
              </w:rPr>
              <w:t>D-M-00.00.00</w:t>
            </w:r>
          </w:p>
        </w:tc>
        <w:tc>
          <w:tcPr>
            <w:tcW w:w="5455" w:type="dxa"/>
          </w:tcPr>
          <w:p w:rsidR="002C49DF" w:rsidRPr="006456E2" w:rsidRDefault="002C49DF" w:rsidP="00C26550">
            <w:pPr>
              <w:rPr>
                <w:rFonts w:asciiTheme="minorHAnsi" w:hAnsiTheme="minorHAnsi"/>
              </w:rPr>
            </w:pPr>
            <w:r w:rsidRPr="006456E2">
              <w:rPr>
                <w:rFonts w:asciiTheme="minorHAnsi" w:hAnsiTheme="minorHAnsi"/>
              </w:rPr>
              <w:t>Wymagania ogólne</w:t>
            </w:r>
          </w:p>
        </w:tc>
      </w:tr>
    </w:tbl>
    <w:p w:rsidR="002C49DF" w:rsidRPr="006456E2" w:rsidRDefault="002C49DF" w:rsidP="002C49DF">
      <w:r w:rsidRPr="006456E2">
        <w:rPr>
          <w:b/>
        </w:rPr>
        <w:t>10.2.</w:t>
      </w:r>
      <w:r w:rsidRPr="006456E2">
        <w:t xml:space="preserve"> Normy</w:t>
      </w:r>
    </w:p>
    <w:tbl>
      <w:tblPr>
        <w:tblW w:w="0" w:type="auto"/>
        <w:tblInd w:w="392" w:type="dxa"/>
        <w:tblLook w:val="01E0"/>
      </w:tblPr>
      <w:tblGrid>
        <w:gridCol w:w="534"/>
        <w:gridCol w:w="1701"/>
        <w:gridCol w:w="5276"/>
      </w:tblGrid>
      <w:tr w:rsidR="002C49DF" w:rsidRPr="006456E2" w:rsidTr="00C26550">
        <w:tc>
          <w:tcPr>
            <w:tcW w:w="534" w:type="dxa"/>
          </w:tcPr>
          <w:p w:rsidR="002C49DF" w:rsidRPr="006456E2" w:rsidRDefault="002C49DF" w:rsidP="00C26550">
            <w:pPr>
              <w:rPr>
                <w:rFonts w:asciiTheme="minorHAnsi" w:hAnsiTheme="minorHAnsi"/>
              </w:rPr>
            </w:pPr>
            <w:r w:rsidRPr="006456E2">
              <w:rPr>
                <w:rFonts w:asciiTheme="minorHAnsi" w:hAnsiTheme="minorHAnsi"/>
              </w:rPr>
              <w:t>2.</w:t>
            </w:r>
          </w:p>
        </w:tc>
        <w:tc>
          <w:tcPr>
            <w:tcW w:w="1701" w:type="dxa"/>
          </w:tcPr>
          <w:p w:rsidR="002C49DF" w:rsidRPr="006456E2" w:rsidRDefault="002C49DF" w:rsidP="00C26550">
            <w:pPr>
              <w:rPr>
                <w:rFonts w:asciiTheme="minorHAnsi" w:hAnsiTheme="minorHAnsi"/>
              </w:rPr>
            </w:pPr>
            <w:r w:rsidRPr="006456E2">
              <w:rPr>
                <w:rFonts w:asciiTheme="minorHAnsi" w:hAnsiTheme="minorHAnsi"/>
              </w:rPr>
              <w:t>PN-EN 1428</w:t>
            </w:r>
          </w:p>
        </w:tc>
        <w:tc>
          <w:tcPr>
            <w:tcW w:w="5276" w:type="dxa"/>
          </w:tcPr>
          <w:p w:rsidR="002C49DF" w:rsidRPr="006456E2" w:rsidRDefault="002C49DF" w:rsidP="00C26550">
            <w:pPr>
              <w:rPr>
                <w:rFonts w:asciiTheme="minorHAnsi" w:hAnsiTheme="minorHAnsi"/>
              </w:rPr>
            </w:pPr>
            <w:r w:rsidRPr="006456E2">
              <w:rPr>
                <w:rFonts w:asciiTheme="minorHAnsi" w:hAnsiTheme="minorHAnsi"/>
              </w:rPr>
              <w:t>Asfalty i lepiszcza asfaltowe – Oznaczanie zawartości wody w emulsjach asfaltowych – Metoda destylacji azeotropowej</w:t>
            </w:r>
          </w:p>
        </w:tc>
      </w:tr>
      <w:tr w:rsidR="002C49DF" w:rsidRPr="006456E2" w:rsidTr="00C26550">
        <w:tc>
          <w:tcPr>
            <w:tcW w:w="534" w:type="dxa"/>
          </w:tcPr>
          <w:p w:rsidR="002C49DF" w:rsidRPr="006456E2" w:rsidRDefault="002C49DF" w:rsidP="00C26550">
            <w:pPr>
              <w:rPr>
                <w:rFonts w:asciiTheme="minorHAnsi" w:hAnsiTheme="minorHAnsi"/>
              </w:rPr>
            </w:pPr>
            <w:r w:rsidRPr="006456E2">
              <w:rPr>
                <w:rFonts w:asciiTheme="minorHAnsi" w:hAnsiTheme="minorHAnsi"/>
              </w:rPr>
              <w:t>3.</w:t>
            </w:r>
          </w:p>
        </w:tc>
        <w:tc>
          <w:tcPr>
            <w:tcW w:w="1701" w:type="dxa"/>
          </w:tcPr>
          <w:p w:rsidR="002C49DF" w:rsidRPr="006456E2" w:rsidRDefault="002C49DF" w:rsidP="00C26550">
            <w:pPr>
              <w:rPr>
                <w:rFonts w:asciiTheme="minorHAnsi" w:hAnsiTheme="minorHAnsi"/>
              </w:rPr>
            </w:pPr>
            <w:r w:rsidRPr="006456E2">
              <w:rPr>
                <w:rFonts w:asciiTheme="minorHAnsi" w:hAnsiTheme="minorHAnsi"/>
              </w:rPr>
              <w:t>PN-EN 1429</w:t>
            </w:r>
          </w:p>
        </w:tc>
        <w:tc>
          <w:tcPr>
            <w:tcW w:w="5276" w:type="dxa"/>
          </w:tcPr>
          <w:p w:rsidR="002C49DF" w:rsidRPr="006456E2" w:rsidRDefault="002C49DF" w:rsidP="00C26550">
            <w:pPr>
              <w:rPr>
                <w:rFonts w:asciiTheme="minorHAnsi" w:hAnsiTheme="minorHAnsi"/>
              </w:rPr>
            </w:pPr>
            <w:r w:rsidRPr="006456E2">
              <w:rPr>
                <w:rFonts w:asciiTheme="minorHAnsi" w:hAnsiTheme="minorHAnsi"/>
              </w:rPr>
              <w:t>Asfalty i lepiszcza asfaltowe – Oznaczanie pozostałości na sicie emulsji asfaltowych oraz trwałości podczas magazynowania metodą pozostałości na sicie</w:t>
            </w:r>
          </w:p>
        </w:tc>
      </w:tr>
      <w:tr w:rsidR="002C49DF" w:rsidRPr="006456E2" w:rsidTr="00C26550">
        <w:tc>
          <w:tcPr>
            <w:tcW w:w="534" w:type="dxa"/>
          </w:tcPr>
          <w:p w:rsidR="002C49DF" w:rsidRPr="006456E2" w:rsidRDefault="002C49DF" w:rsidP="00C26550">
            <w:pPr>
              <w:rPr>
                <w:rFonts w:asciiTheme="minorHAnsi" w:hAnsiTheme="minorHAnsi"/>
              </w:rPr>
            </w:pPr>
            <w:r w:rsidRPr="006456E2">
              <w:rPr>
                <w:rFonts w:asciiTheme="minorHAnsi" w:hAnsiTheme="minorHAnsi"/>
              </w:rPr>
              <w:t>4.</w:t>
            </w:r>
          </w:p>
        </w:tc>
        <w:tc>
          <w:tcPr>
            <w:tcW w:w="1701" w:type="dxa"/>
          </w:tcPr>
          <w:p w:rsidR="002C49DF" w:rsidRPr="006456E2" w:rsidRDefault="002C49DF" w:rsidP="00C26550">
            <w:pPr>
              <w:rPr>
                <w:rFonts w:asciiTheme="minorHAnsi" w:hAnsiTheme="minorHAnsi"/>
              </w:rPr>
            </w:pPr>
            <w:r w:rsidRPr="006456E2">
              <w:rPr>
                <w:rFonts w:asciiTheme="minorHAnsi" w:hAnsiTheme="minorHAnsi"/>
              </w:rPr>
              <w:t>PN-EN 12846</w:t>
            </w:r>
          </w:p>
        </w:tc>
        <w:tc>
          <w:tcPr>
            <w:tcW w:w="5276" w:type="dxa"/>
          </w:tcPr>
          <w:p w:rsidR="002C49DF" w:rsidRPr="006456E2" w:rsidRDefault="002C49DF" w:rsidP="00C26550">
            <w:pPr>
              <w:rPr>
                <w:rFonts w:asciiTheme="minorHAnsi" w:hAnsiTheme="minorHAnsi"/>
              </w:rPr>
            </w:pPr>
            <w:r w:rsidRPr="006456E2">
              <w:rPr>
                <w:rFonts w:asciiTheme="minorHAnsi" w:hAnsiTheme="minorHAnsi"/>
              </w:rPr>
              <w:t>Asfalty i lepiszcza asfaltowe – Oznaczanie czasu wypływu emulsji asfaltowych lepkościomierzem wypływowym</w:t>
            </w:r>
          </w:p>
        </w:tc>
      </w:tr>
      <w:tr w:rsidR="002C49DF" w:rsidRPr="006456E2" w:rsidTr="00C26550">
        <w:tc>
          <w:tcPr>
            <w:tcW w:w="534" w:type="dxa"/>
          </w:tcPr>
          <w:p w:rsidR="002C49DF" w:rsidRPr="006456E2" w:rsidRDefault="002C49DF" w:rsidP="00C26550">
            <w:pPr>
              <w:rPr>
                <w:rFonts w:asciiTheme="minorHAnsi" w:hAnsiTheme="minorHAnsi"/>
              </w:rPr>
            </w:pPr>
            <w:r w:rsidRPr="006456E2">
              <w:rPr>
                <w:rFonts w:asciiTheme="minorHAnsi" w:hAnsiTheme="minorHAnsi"/>
              </w:rPr>
              <w:t>5.</w:t>
            </w:r>
          </w:p>
        </w:tc>
        <w:tc>
          <w:tcPr>
            <w:tcW w:w="1701" w:type="dxa"/>
          </w:tcPr>
          <w:p w:rsidR="002C49DF" w:rsidRPr="006456E2" w:rsidRDefault="002C49DF" w:rsidP="00C26550">
            <w:pPr>
              <w:rPr>
                <w:rFonts w:asciiTheme="minorHAnsi" w:hAnsiTheme="minorHAnsi"/>
              </w:rPr>
            </w:pPr>
            <w:r w:rsidRPr="006456E2">
              <w:rPr>
                <w:rFonts w:asciiTheme="minorHAnsi" w:hAnsiTheme="minorHAnsi"/>
              </w:rPr>
              <w:t>PN-EN 12847</w:t>
            </w:r>
          </w:p>
        </w:tc>
        <w:tc>
          <w:tcPr>
            <w:tcW w:w="5276" w:type="dxa"/>
          </w:tcPr>
          <w:p w:rsidR="002C49DF" w:rsidRPr="006456E2" w:rsidRDefault="002C49DF" w:rsidP="00C26550">
            <w:pPr>
              <w:rPr>
                <w:rFonts w:asciiTheme="minorHAnsi" w:hAnsiTheme="minorHAnsi"/>
              </w:rPr>
            </w:pPr>
            <w:r w:rsidRPr="006456E2">
              <w:rPr>
                <w:rFonts w:asciiTheme="minorHAnsi" w:hAnsiTheme="minorHAnsi"/>
              </w:rPr>
              <w:t>Asfalty i lepiszcza asfaltowe – Oznaczanie sedymentacji emulsji asfaltowych</w:t>
            </w:r>
          </w:p>
        </w:tc>
      </w:tr>
      <w:tr w:rsidR="002C49DF" w:rsidRPr="006456E2" w:rsidTr="00C26550">
        <w:tc>
          <w:tcPr>
            <w:tcW w:w="534" w:type="dxa"/>
          </w:tcPr>
          <w:p w:rsidR="002C49DF" w:rsidRPr="006456E2" w:rsidRDefault="002C49DF" w:rsidP="00C26550">
            <w:pPr>
              <w:rPr>
                <w:rFonts w:asciiTheme="minorHAnsi" w:hAnsiTheme="minorHAnsi"/>
              </w:rPr>
            </w:pPr>
            <w:r w:rsidRPr="006456E2">
              <w:rPr>
                <w:rFonts w:asciiTheme="minorHAnsi" w:hAnsiTheme="minorHAnsi"/>
              </w:rPr>
              <w:t>6.</w:t>
            </w:r>
          </w:p>
        </w:tc>
        <w:tc>
          <w:tcPr>
            <w:tcW w:w="1701" w:type="dxa"/>
          </w:tcPr>
          <w:p w:rsidR="002C49DF" w:rsidRPr="006456E2" w:rsidRDefault="002C49DF" w:rsidP="00C26550">
            <w:pPr>
              <w:rPr>
                <w:rFonts w:asciiTheme="minorHAnsi" w:hAnsiTheme="minorHAnsi"/>
              </w:rPr>
            </w:pPr>
            <w:r w:rsidRPr="006456E2">
              <w:rPr>
                <w:rFonts w:asciiTheme="minorHAnsi" w:hAnsiTheme="minorHAnsi"/>
              </w:rPr>
              <w:t>PN-EN 13075-1</w:t>
            </w:r>
          </w:p>
        </w:tc>
        <w:tc>
          <w:tcPr>
            <w:tcW w:w="5276" w:type="dxa"/>
          </w:tcPr>
          <w:p w:rsidR="002C49DF" w:rsidRPr="006456E2" w:rsidRDefault="002C49DF" w:rsidP="00C26550">
            <w:pPr>
              <w:rPr>
                <w:rFonts w:asciiTheme="minorHAnsi" w:hAnsiTheme="minorHAnsi"/>
              </w:rPr>
            </w:pPr>
            <w:r w:rsidRPr="006456E2">
              <w:rPr>
                <w:rFonts w:asciiTheme="minorHAnsi" w:hAnsiTheme="minorHAnsi"/>
              </w:rPr>
              <w:t>Asfalty i lepiszcza asfaltowe – Badanie rozpadu – Część 1: Oznaczanie indeksu rozpadu kationowych emulsji asfaltowych, metodą z wypełniaczem mineralnym</w:t>
            </w:r>
          </w:p>
        </w:tc>
      </w:tr>
    </w:tbl>
    <w:p w:rsidR="002C49DF" w:rsidRPr="006456E2" w:rsidRDefault="002C49DF" w:rsidP="002C49DF">
      <w:pPr>
        <w:rPr>
          <w:rFonts w:asciiTheme="minorHAnsi" w:hAnsiTheme="minorHAnsi"/>
        </w:rPr>
      </w:pPr>
      <w:r w:rsidRPr="006456E2">
        <w:rPr>
          <w:rFonts w:asciiTheme="minorHAnsi" w:hAnsiTheme="minorHAnsi"/>
          <w:b/>
        </w:rPr>
        <w:t>10.3.</w:t>
      </w:r>
      <w:r w:rsidRPr="006456E2">
        <w:rPr>
          <w:rFonts w:asciiTheme="minorHAnsi" w:hAnsiTheme="minorHAnsi"/>
        </w:rPr>
        <w:t xml:space="preserve"> Wymagania techniczne (rekomendowane przez Ministra Infrastruktury)</w:t>
      </w:r>
    </w:p>
    <w:p w:rsidR="002C49DF" w:rsidRPr="006456E2" w:rsidRDefault="002C49DF" w:rsidP="002C49DF">
      <w:pPr>
        <w:rPr>
          <w:rFonts w:asciiTheme="minorHAnsi" w:hAnsiTheme="minorHAnsi"/>
        </w:rPr>
      </w:pPr>
      <w:r w:rsidRPr="006456E2">
        <w:rPr>
          <w:rFonts w:asciiTheme="minorHAnsi" w:hAnsiTheme="minorHAnsi"/>
        </w:rPr>
        <w:t>7. WT-3 Emulsje asfaltowe 2009. Kationowe emulsje asfaltowe na drogach publicznych</w:t>
      </w:r>
    </w:p>
    <w:p w:rsidR="002C49DF" w:rsidRPr="006456E2" w:rsidRDefault="002C49DF" w:rsidP="002C49DF">
      <w:pPr>
        <w:rPr>
          <w:rFonts w:asciiTheme="minorHAnsi" w:hAnsiTheme="minorHAnsi"/>
        </w:rPr>
      </w:pPr>
      <w:r w:rsidRPr="006456E2">
        <w:rPr>
          <w:rFonts w:asciiTheme="minorHAnsi" w:hAnsiTheme="minorHAnsi"/>
          <w:b/>
        </w:rPr>
        <w:t>10.4.</w:t>
      </w:r>
      <w:r w:rsidRPr="006456E2">
        <w:rPr>
          <w:rFonts w:asciiTheme="minorHAnsi" w:hAnsiTheme="minorHAnsi"/>
        </w:rPr>
        <w:t xml:space="preserve"> Inne dokumenty</w:t>
      </w:r>
    </w:p>
    <w:p w:rsidR="002C49DF" w:rsidRPr="006456E2" w:rsidRDefault="002C49DF" w:rsidP="002C49DF">
      <w:pPr>
        <w:rPr>
          <w:rFonts w:asciiTheme="minorHAnsi" w:hAnsiTheme="minorHAnsi"/>
        </w:rPr>
      </w:pPr>
      <w:r w:rsidRPr="006456E2">
        <w:rPr>
          <w:rFonts w:asciiTheme="minorHAnsi" w:hAnsiTheme="minorHAnsi"/>
        </w:rPr>
        <w:t>8. Katalog wzmocnień i remontów nawierzchni podatnych i półsztywnych, IBDiM, Warszawa 2001</w:t>
      </w:r>
    </w:p>
    <w:p w:rsidR="002C49DF" w:rsidRPr="006456E2" w:rsidRDefault="002C49DF" w:rsidP="002C49DF">
      <w:pPr>
        <w:rPr>
          <w:rFonts w:asciiTheme="minorHAnsi" w:hAnsiTheme="minorHAnsi"/>
        </w:rPr>
      </w:pPr>
      <w:r w:rsidRPr="006456E2">
        <w:rPr>
          <w:rFonts w:asciiTheme="minorHAnsi" w:hAnsiTheme="minorHAnsi"/>
        </w:rPr>
        <w:t>9. Zalecenia stosowania geowyrobów w warstwach asfaltowych nawierzchni drogowych. Informacje – instrukcje, zeszyt 66. IBDiM, Warszawa 2004</w:t>
      </w:r>
    </w:p>
    <w:p w:rsidR="002C49DF" w:rsidRPr="006456E2" w:rsidRDefault="002C49DF" w:rsidP="002C49DF">
      <w:pPr>
        <w:rPr>
          <w:rFonts w:asciiTheme="minorHAnsi" w:hAnsiTheme="minorHAnsi"/>
          <w:b/>
        </w:rPr>
      </w:pPr>
      <w:bookmarkStart w:id="1573" w:name="_Toc250368201"/>
    </w:p>
    <w:p w:rsidR="002C49DF" w:rsidRPr="006456E2" w:rsidRDefault="002C49DF" w:rsidP="002C49DF">
      <w:pPr>
        <w:rPr>
          <w:rFonts w:asciiTheme="minorHAnsi" w:hAnsiTheme="minorHAnsi"/>
          <w:b/>
        </w:rPr>
      </w:pPr>
      <w:r w:rsidRPr="006456E2">
        <w:rPr>
          <w:rFonts w:asciiTheme="minorHAnsi" w:hAnsiTheme="minorHAnsi"/>
          <w:b/>
        </w:rPr>
        <w:t>11. ZAŁĄCZNIKI</w:t>
      </w:r>
      <w:bookmarkEnd w:id="1573"/>
    </w:p>
    <w:p w:rsidR="002C49DF" w:rsidRPr="006456E2" w:rsidRDefault="002C49DF" w:rsidP="002C49DF">
      <w:pPr>
        <w:rPr>
          <w:rFonts w:asciiTheme="minorHAnsi" w:hAnsiTheme="minorHAnsi"/>
        </w:rPr>
      </w:pPr>
      <w:r w:rsidRPr="006456E2">
        <w:rPr>
          <w:rFonts w:asciiTheme="minorHAnsi" w:hAnsiTheme="minorHAnsi"/>
        </w:rPr>
        <w:t>ZAŁĄCZNIK 1</w:t>
      </w:r>
    </w:p>
    <w:p w:rsidR="002C49DF" w:rsidRPr="006456E2" w:rsidRDefault="002C49DF" w:rsidP="002C49DF">
      <w:pPr>
        <w:rPr>
          <w:rFonts w:asciiTheme="minorHAnsi" w:hAnsiTheme="minorHAnsi"/>
        </w:rPr>
      </w:pPr>
      <w:r w:rsidRPr="006456E2">
        <w:rPr>
          <w:rFonts w:asciiTheme="minorHAnsi" w:hAnsiTheme="minorHAnsi"/>
        </w:rPr>
        <w:t>ZASADY  POŁĄCZENIA  NOWEJ  KONSTRUKCJI  NAWIERZCHNI Z  NAWIERZCHNIĄ  ISTNIEJĄCĄ</w:t>
      </w:r>
    </w:p>
    <w:p w:rsidR="002C49DF" w:rsidRPr="006456E2" w:rsidRDefault="002C49DF" w:rsidP="002C49DF">
      <w:pPr>
        <w:rPr>
          <w:rFonts w:asciiTheme="minorHAnsi" w:hAnsiTheme="minorHAnsi"/>
        </w:rPr>
      </w:pPr>
    </w:p>
    <w:p w:rsidR="002C49DF" w:rsidRPr="006456E2" w:rsidRDefault="002C49DF" w:rsidP="002C49DF">
      <w:pPr>
        <w:rPr>
          <w:rFonts w:asciiTheme="minorHAnsi" w:hAnsiTheme="minorHAnsi"/>
        </w:rPr>
      </w:pPr>
      <w:r w:rsidRPr="006456E2">
        <w:rPr>
          <w:rFonts w:asciiTheme="minorHAnsi" w:hAnsiTheme="minorHAnsi"/>
        </w:rPr>
        <w:t>Zasady ogólne</w:t>
      </w:r>
    </w:p>
    <w:p w:rsidR="002C49DF" w:rsidRPr="006456E2" w:rsidRDefault="002C49DF" w:rsidP="002C49DF">
      <w:pPr>
        <w:rPr>
          <w:rFonts w:asciiTheme="minorHAnsi" w:hAnsiTheme="minorHAnsi"/>
        </w:rPr>
      </w:pPr>
      <w:r w:rsidRPr="006456E2">
        <w:rPr>
          <w:rFonts w:asciiTheme="minorHAnsi" w:hAnsiTheme="minorHAnsi"/>
        </w:rPr>
        <w:t>Połączenie nowej nawierzchni z nawierzchnią istniejącą powinno gwarantować tę samą nośność (trwałość zmęczeniową) obu połączonych konstrukcji nawierzchniowych. Sposób połączenia powinien zapobiegać lub co najmniej opóźniać wystąpienie na powierzchni jezdni poprzecznego pęknięcia, które może pojawić się jako spękanie odbite od spoiny dolnej warstwy nawierzchni.</w:t>
      </w:r>
    </w:p>
    <w:p w:rsidR="002C49DF" w:rsidRPr="006456E2" w:rsidRDefault="002C49DF" w:rsidP="002C49DF">
      <w:pPr>
        <w:rPr>
          <w:rFonts w:asciiTheme="minorHAnsi" w:hAnsiTheme="minorHAnsi"/>
        </w:rPr>
      </w:pPr>
    </w:p>
    <w:p w:rsidR="002C49DF" w:rsidRPr="006456E2" w:rsidRDefault="002C49DF" w:rsidP="002C49DF">
      <w:pPr>
        <w:rPr>
          <w:rFonts w:asciiTheme="minorHAnsi" w:hAnsiTheme="minorHAnsi"/>
        </w:rPr>
      </w:pPr>
      <w:r w:rsidRPr="006456E2">
        <w:rPr>
          <w:rFonts w:asciiTheme="minorHAnsi" w:hAnsiTheme="minorHAnsi"/>
        </w:rPr>
        <w:t>Sposób połączenia nowej i starej nawierzchni</w:t>
      </w:r>
    </w:p>
    <w:p w:rsidR="002C49DF" w:rsidRPr="006456E2" w:rsidRDefault="002C49DF" w:rsidP="002C49DF">
      <w:pPr>
        <w:rPr>
          <w:rFonts w:asciiTheme="minorHAnsi" w:hAnsiTheme="minorHAnsi"/>
        </w:rPr>
      </w:pPr>
      <w:r w:rsidRPr="006456E2">
        <w:rPr>
          <w:rFonts w:asciiTheme="minorHAnsi" w:hAnsiTheme="minorHAnsi"/>
        </w:rPr>
        <w:t>Konstrukcja połączenia nowej i starej nawierzchni powinna być dostosowana do pozostawianej części konstrukcji istniejącej nawierzchni oraz odpowiednio z nią połączona schodkowo.</w:t>
      </w:r>
    </w:p>
    <w:p w:rsidR="002C49DF" w:rsidRPr="006456E2" w:rsidRDefault="002C49DF" w:rsidP="002C49DF">
      <w:pPr>
        <w:rPr>
          <w:rFonts w:asciiTheme="minorHAnsi" w:hAnsiTheme="minorHAnsi"/>
        </w:rPr>
      </w:pPr>
      <w:r w:rsidRPr="006456E2">
        <w:rPr>
          <w:rFonts w:asciiTheme="minorHAnsi" w:hAnsiTheme="minorHAnsi"/>
        </w:rPr>
        <w:t>Na jezdni istniejącej należy wyznaczyć linię styku nowej i starej nawierzchni oraz rozebrać starą nawierzchnię z wykonaniem schodków na kolejnych warstwach. Przesunięcie kolejnych warstw nawierzchni (schodków) powinno być nie mniejsze niż 1,5 grubości wyżej położonej warstwy (rys. 1).</w:t>
      </w:r>
    </w:p>
    <w:p w:rsidR="002C49DF" w:rsidRPr="006456E2" w:rsidRDefault="002C49DF" w:rsidP="002C49DF">
      <w:pPr>
        <w:rPr>
          <w:rFonts w:asciiTheme="minorHAnsi" w:hAnsiTheme="minorHAnsi"/>
        </w:rPr>
      </w:pPr>
      <w:r w:rsidRPr="006456E2">
        <w:rPr>
          <w:rFonts w:asciiTheme="minorHAnsi" w:hAnsiTheme="minorHAnsi"/>
        </w:rPr>
        <w:t>Schodek pod warstwą ścieralną powinien być odpowiednio szerszy w celu umożliwienia ułożenia na nim geokompozytu, którego celem jest zabezpieczenie przed powstaniem pęknięcia odbitego na jezdni w miejscu połączenia nowej i starej warstwy ścieralnej. Geokompozyt w połączeniu nawierzchni zaleca się stosować we wszystkich wypadkach i na drogach wszystkich kategorii (rys. 2).</w:t>
      </w:r>
    </w:p>
    <w:p w:rsidR="002C49DF" w:rsidRPr="006456E2" w:rsidRDefault="002C49DF" w:rsidP="002C49DF">
      <w:pPr>
        <w:rPr>
          <w:rFonts w:asciiTheme="minorHAnsi" w:hAnsiTheme="minorHAnsi"/>
        </w:rPr>
      </w:pPr>
    </w:p>
    <w:p w:rsidR="002C49DF" w:rsidRPr="006456E2" w:rsidRDefault="002C49DF" w:rsidP="002C49DF">
      <w:pPr>
        <w:rPr>
          <w:rFonts w:asciiTheme="minorHAnsi" w:hAnsiTheme="minorHAnsi"/>
        </w:rPr>
      </w:pPr>
      <w:r w:rsidRPr="006456E2">
        <w:rPr>
          <w:rFonts w:asciiTheme="minorHAnsi" w:hAnsiTheme="minorHAnsi"/>
        </w:rPr>
        <w:t>Uwagi wykonawcze</w:t>
      </w:r>
    </w:p>
    <w:p w:rsidR="002C49DF" w:rsidRPr="006456E2" w:rsidRDefault="002C49DF" w:rsidP="002C49DF">
      <w:pPr>
        <w:rPr>
          <w:rFonts w:asciiTheme="minorHAnsi" w:hAnsiTheme="minorHAnsi"/>
        </w:rPr>
      </w:pPr>
      <w:r w:rsidRPr="006456E2">
        <w:rPr>
          <w:rFonts w:asciiTheme="minorHAnsi" w:hAnsiTheme="minorHAnsi"/>
        </w:rPr>
        <w:t>Geosyntetyki stosowane w połączeniu obu nawierzchni powinny być o zwiększonej sztywności i wytrzymałości na rozciąganie oraz o małym wydłużeniu.</w:t>
      </w:r>
    </w:p>
    <w:p w:rsidR="002C49DF" w:rsidRPr="00177B05" w:rsidRDefault="002C49DF" w:rsidP="002C49DF">
      <w:pPr>
        <w:rPr>
          <w:rFonts w:asciiTheme="minorHAnsi" w:hAnsiTheme="minorHAnsi"/>
        </w:rPr>
      </w:pPr>
      <w:r w:rsidRPr="00177B05">
        <w:rPr>
          <w:rFonts w:asciiTheme="minorHAnsi" w:hAnsiTheme="minorHAnsi"/>
        </w:rPr>
        <w:t>W nawierzchniach dróg KR4 ÷ KR6 zaleca się stosowanie geokompozytów będących połączeniem siatki i włókniny. W nawierzchniach dróg KR1 ÷ KR3 można też stosować samą geowłókninę o odpowiednich parametrach mechanicznych.</w:t>
      </w:r>
    </w:p>
    <w:p w:rsidR="002C49DF" w:rsidRPr="00177B05" w:rsidRDefault="002C49DF" w:rsidP="002C49DF">
      <w:pPr>
        <w:rPr>
          <w:rFonts w:asciiTheme="minorHAnsi" w:hAnsiTheme="minorHAnsi"/>
        </w:rPr>
      </w:pPr>
      <w:r w:rsidRPr="00177B05">
        <w:rPr>
          <w:rFonts w:asciiTheme="minorHAnsi" w:hAnsiTheme="minorHAnsi"/>
        </w:rPr>
        <w:t xml:space="preserve">Geowłóknina, będąca składnikiem geokompozytu lub stosowana samodzielnie, powinna być odpowiednio nasycona lepiszczem, bez nadmiaru lub niedoboru. Nadmiar lepiszcza zmniejsza wytrzymałość warstwy pośredniej na ścinanie w podwyższonej temperaturze, co może spowodować </w:t>
      </w:r>
      <w:r w:rsidRPr="00177B05">
        <w:rPr>
          <w:rFonts w:asciiTheme="minorHAnsi" w:hAnsiTheme="minorHAnsi"/>
        </w:rPr>
        <w:lastRenderedPageBreak/>
        <w:t>odkształcenia trwałe nawierzchni, zwłaszcza w strefach hamowania i przyspieszania. Niedobór lepiszcza uniemożliwi pełne nasycenie geowłókniny lepiszczem, co spowoduje niedostateczną szczelność warstwy pośredniej. Nastąpi infiltracja i retencja wody, która zmniejszy adhezję pomiędzy warstwami, a tym samym pogorszy trwałość nawierzchni.</w:t>
      </w:r>
    </w:p>
    <w:p w:rsidR="002C49DF" w:rsidRPr="00177B05" w:rsidRDefault="002C49DF" w:rsidP="002C49DF">
      <w:pPr>
        <w:rPr>
          <w:rFonts w:asciiTheme="minorHAnsi" w:hAnsiTheme="minorHAnsi"/>
        </w:rPr>
      </w:pPr>
      <w:r w:rsidRPr="00177B05">
        <w:rPr>
          <w:rFonts w:asciiTheme="minorHAnsi" w:hAnsiTheme="minorHAnsi"/>
        </w:rPr>
        <w:t>W nawierzchniach dróg o wyższej kategorii ruchu (KR4 ÷ KR6) można stosować geokompozyt w dwóch kolejnych połączeniach warstw (między trzema warstwami).</w:t>
      </w:r>
    </w:p>
    <w:p w:rsidR="002C49DF" w:rsidRPr="00177B05" w:rsidRDefault="002C49DF" w:rsidP="002C49DF">
      <w:pPr>
        <w:rPr>
          <w:rFonts w:asciiTheme="minorHAnsi" w:hAnsiTheme="minorHAnsi"/>
        </w:rPr>
      </w:pPr>
    </w:p>
    <w:p w:rsidR="002C49DF" w:rsidRPr="00177B05" w:rsidRDefault="002C49DF" w:rsidP="002C49DF">
      <w:pPr>
        <w:rPr>
          <w:rFonts w:asciiTheme="minorHAnsi" w:hAnsiTheme="minorHAnsi"/>
        </w:rPr>
      </w:pPr>
    </w:p>
    <w:p w:rsidR="002C49DF" w:rsidRPr="00177B05" w:rsidRDefault="002C49DF" w:rsidP="002C49DF">
      <w:pPr>
        <w:rPr>
          <w:rFonts w:asciiTheme="minorHAnsi" w:hAnsiTheme="minorHAnsi"/>
        </w:rPr>
      </w:pPr>
    </w:p>
    <w:p w:rsidR="002C49DF" w:rsidRPr="00177B05" w:rsidRDefault="002C49DF" w:rsidP="002C49DF">
      <w:pPr>
        <w:rPr>
          <w:rFonts w:asciiTheme="minorHAnsi" w:hAnsiTheme="minorHAnsi"/>
        </w:rPr>
      </w:pPr>
      <w:r w:rsidRPr="00177B05">
        <w:rPr>
          <w:rFonts w:asciiTheme="minorHAnsi" w:hAnsiTheme="minorHAnsi"/>
        </w:rPr>
        <w:t>ZAŁĄCZNIK 2</w:t>
      </w:r>
    </w:p>
    <w:p w:rsidR="002C49DF" w:rsidRPr="00177B05" w:rsidRDefault="002C49DF" w:rsidP="002C49DF">
      <w:pPr>
        <w:rPr>
          <w:rFonts w:asciiTheme="minorHAnsi" w:hAnsiTheme="minorHAnsi"/>
        </w:rPr>
      </w:pPr>
      <w:r w:rsidRPr="00177B05">
        <w:rPr>
          <w:rFonts w:asciiTheme="minorHAnsi" w:hAnsiTheme="minorHAnsi"/>
        </w:rPr>
        <w:t>PRZYKŁAD  POŁĄCZENIA  NOWEJ  I  STAREJ  NAWIERZCHNI</w:t>
      </w:r>
    </w:p>
    <w:p w:rsidR="002C49DF" w:rsidRPr="00177B05" w:rsidRDefault="002C49DF" w:rsidP="002C49DF">
      <w:pPr>
        <w:rPr>
          <w:rFonts w:asciiTheme="minorHAnsi" w:hAnsiTheme="minorHAnsi"/>
        </w:rPr>
      </w:pPr>
    </w:p>
    <w:p w:rsidR="002C49DF" w:rsidRPr="00177B05" w:rsidRDefault="002C49DF" w:rsidP="002C49DF">
      <w:pPr>
        <w:rPr>
          <w:rFonts w:asciiTheme="minorHAnsi" w:hAnsiTheme="minorHAnsi"/>
        </w:rPr>
      </w:pPr>
      <w:r w:rsidRPr="00177B05">
        <w:rPr>
          <w:rFonts w:asciiTheme="minorHAnsi" w:hAnsiTheme="minorHAnsi"/>
        </w:rPr>
        <w:t>Rys. 1. Sposób rozebrania nawierzchni istniejącej</w:t>
      </w:r>
    </w:p>
    <w:p w:rsidR="002C49DF" w:rsidRPr="000203A8" w:rsidRDefault="002C49DF" w:rsidP="002C49DF"/>
    <w:p w:rsidR="002C49DF" w:rsidRPr="000203A8" w:rsidRDefault="002C49DF" w:rsidP="002C49DF">
      <w:r>
        <w:rPr>
          <w:noProof/>
        </w:rPr>
        <w:drawing>
          <wp:inline distT="0" distB="0" distL="0" distR="0">
            <wp:extent cx="4333875" cy="1933575"/>
            <wp:effectExtent l="19050" t="0" r="9525" b="0"/>
            <wp:docPr id="106" name="Obraz 33" descr="rys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3" descr="rys1"/>
                    <pic:cNvPicPr>
                      <a:picLocks noChangeAspect="1" noChangeArrowheads="1"/>
                    </pic:cNvPicPr>
                  </pic:nvPicPr>
                  <pic:blipFill>
                    <a:blip r:embed="rId94" cstate="print"/>
                    <a:srcRect/>
                    <a:stretch>
                      <a:fillRect/>
                    </a:stretch>
                  </pic:blipFill>
                  <pic:spPr bwMode="auto">
                    <a:xfrm>
                      <a:off x="0" y="0"/>
                      <a:ext cx="4333875" cy="1933575"/>
                    </a:xfrm>
                    <a:prstGeom prst="rect">
                      <a:avLst/>
                    </a:prstGeom>
                    <a:noFill/>
                    <a:ln w="9525">
                      <a:noFill/>
                      <a:miter lim="800000"/>
                      <a:headEnd/>
                      <a:tailEnd/>
                    </a:ln>
                  </pic:spPr>
                </pic:pic>
              </a:graphicData>
            </a:graphic>
          </wp:inline>
        </w:drawing>
      </w:r>
    </w:p>
    <w:p w:rsidR="002C49DF" w:rsidRDefault="002C49DF" w:rsidP="002C49DF"/>
    <w:p w:rsidR="002C49DF" w:rsidRPr="000B786E" w:rsidRDefault="002C49DF" w:rsidP="002C49DF"/>
    <w:p w:rsidR="002C49DF" w:rsidRPr="000B786E" w:rsidRDefault="002C49DF" w:rsidP="002C49DF"/>
    <w:p w:rsidR="002C49DF" w:rsidRPr="000B786E" w:rsidRDefault="002C49DF" w:rsidP="002C49DF">
      <w:r w:rsidRPr="000B786E">
        <w:t>Rys. 2. Konstrukcja połączenia starej i nowej nawierzchni</w:t>
      </w:r>
    </w:p>
    <w:p w:rsidR="002C49DF" w:rsidRPr="000203A8" w:rsidRDefault="002C49DF" w:rsidP="002C49DF"/>
    <w:p w:rsidR="002C49DF" w:rsidRPr="000203A8" w:rsidRDefault="002C49DF" w:rsidP="002C49DF">
      <w:r>
        <w:rPr>
          <w:noProof/>
        </w:rPr>
        <w:drawing>
          <wp:inline distT="0" distB="0" distL="0" distR="0">
            <wp:extent cx="4676775" cy="1876425"/>
            <wp:effectExtent l="19050" t="0" r="9525" b="0"/>
            <wp:docPr id="107" name="Obraz 34" descr="rys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4" descr="rys2"/>
                    <pic:cNvPicPr>
                      <a:picLocks noChangeAspect="1" noChangeArrowheads="1"/>
                    </pic:cNvPicPr>
                  </pic:nvPicPr>
                  <pic:blipFill>
                    <a:blip r:embed="rId95" cstate="print"/>
                    <a:srcRect/>
                    <a:stretch>
                      <a:fillRect/>
                    </a:stretch>
                  </pic:blipFill>
                  <pic:spPr bwMode="auto">
                    <a:xfrm>
                      <a:off x="0" y="0"/>
                      <a:ext cx="4676775" cy="1876425"/>
                    </a:xfrm>
                    <a:prstGeom prst="rect">
                      <a:avLst/>
                    </a:prstGeom>
                    <a:noFill/>
                    <a:ln w="9525">
                      <a:noFill/>
                      <a:miter lim="800000"/>
                      <a:headEnd/>
                      <a:tailEnd/>
                    </a:ln>
                  </pic:spPr>
                </pic:pic>
              </a:graphicData>
            </a:graphic>
          </wp:inline>
        </w:drawing>
      </w:r>
    </w:p>
    <w:p w:rsidR="002C49DF" w:rsidRDefault="002C49DF" w:rsidP="002C49DF">
      <w:pPr>
        <w:spacing w:after="120"/>
      </w:pPr>
    </w:p>
    <w:p w:rsidR="002C49DF" w:rsidRDefault="002C49DF" w:rsidP="002C49DF">
      <w:pPr>
        <w:spacing w:after="120"/>
      </w:pPr>
    </w:p>
    <w:p w:rsidR="002C49DF" w:rsidRDefault="002C49DF" w:rsidP="002C49DF">
      <w:pPr>
        <w:spacing w:after="120"/>
      </w:pPr>
    </w:p>
    <w:p w:rsidR="002C49DF" w:rsidRDefault="002C49DF" w:rsidP="002C49DF">
      <w:pPr>
        <w:spacing w:after="120"/>
      </w:pPr>
    </w:p>
    <w:p w:rsidR="002C49DF" w:rsidRDefault="002C49DF" w:rsidP="002C49DF">
      <w:pPr>
        <w:spacing w:after="120"/>
      </w:pPr>
    </w:p>
    <w:p w:rsidR="000C27BF" w:rsidRDefault="000C27BF" w:rsidP="001C1829">
      <w:pPr>
        <w:spacing w:after="120"/>
      </w:pPr>
    </w:p>
    <w:p w:rsidR="000C27BF" w:rsidRDefault="000C27BF" w:rsidP="001C1829">
      <w:pPr>
        <w:spacing w:after="120"/>
      </w:pPr>
    </w:p>
    <w:p w:rsidR="000C27BF" w:rsidRDefault="000C27BF" w:rsidP="001C1829">
      <w:pPr>
        <w:spacing w:after="120"/>
      </w:pPr>
    </w:p>
    <w:p w:rsidR="000C27BF" w:rsidRDefault="000C27BF" w:rsidP="001C1829">
      <w:pPr>
        <w:spacing w:after="120"/>
      </w:pPr>
    </w:p>
    <w:p w:rsidR="009B7C43" w:rsidRDefault="009B7C43" w:rsidP="001C1829">
      <w:pPr>
        <w:spacing w:after="120"/>
      </w:pPr>
    </w:p>
    <w:p w:rsidR="00E005EB" w:rsidRDefault="00E005EB" w:rsidP="001C1829">
      <w:pPr>
        <w:spacing w:after="120"/>
      </w:pPr>
    </w:p>
    <w:p w:rsidR="002C49DF" w:rsidRDefault="002C49DF" w:rsidP="009B7C43">
      <w:pPr>
        <w:pStyle w:val="Nagwek1"/>
        <w:jc w:val="center"/>
      </w:pPr>
      <w:bookmarkStart w:id="1574" w:name="_Toc404442668"/>
    </w:p>
    <w:p w:rsidR="002C49DF" w:rsidRDefault="002C49DF" w:rsidP="009B7C43">
      <w:pPr>
        <w:pStyle w:val="Nagwek1"/>
        <w:jc w:val="center"/>
      </w:pPr>
    </w:p>
    <w:p w:rsidR="002C49DF" w:rsidRDefault="002C49DF" w:rsidP="009B7C43">
      <w:pPr>
        <w:pStyle w:val="Nagwek1"/>
        <w:jc w:val="center"/>
      </w:pPr>
    </w:p>
    <w:p w:rsidR="002C49DF" w:rsidRDefault="002C49DF" w:rsidP="009B7C43">
      <w:pPr>
        <w:pStyle w:val="Nagwek1"/>
        <w:jc w:val="center"/>
      </w:pPr>
    </w:p>
    <w:p w:rsidR="002C49DF" w:rsidRDefault="002C49DF" w:rsidP="009B7C43">
      <w:pPr>
        <w:pStyle w:val="Nagwek1"/>
        <w:jc w:val="center"/>
      </w:pPr>
    </w:p>
    <w:p w:rsidR="002C49DF" w:rsidRDefault="002C49DF" w:rsidP="009B7C43">
      <w:pPr>
        <w:pStyle w:val="Nagwek1"/>
        <w:jc w:val="center"/>
      </w:pPr>
    </w:p>
    <w:p w:rsidR="002C49DF" w:rsidRDefault="002C49DF" w:rsidP="009B7C43">
      <w:pPr>
        <w:pStyle w:val="Nagwek1"/>
        <w:jc w:val="center"/>
      </w:pPr>
    </w:p>
    <w:p w:rsidR="002C49DF" w:rsidRDefault="002C49DF" w:rsidP="009B7C43">
      <w:pPr>
        <w:pStyle w:val="Nagwek1"/>
        <w:jc w:val="center"/>
      </w:pPr>
    </w:p>
    <w:p w:rsidR="002C49DF" w:rsidRDefault="002C49DF" w:rsidP="009B7C43">
      <w:pPr>
        <w:pStyle w:val="Nagwek1"/>
        <w:jc w:val="center"/>
      </w:pPr>
    </w:p>
    <w:p w:rsidR="009B7C43" w:rsidRPr="00A836C9" w:rsidRDefault="009B7C43" w:rsidP="009B7C43">
      <w:pPr>
        <w:pStyle w:val="Nagwek1"/>
        <w:jc w:val="center"/>
      </w:pPr>
      <w:bookmarkStart w:id="1575" w:name="_Toc438237735"/>
      <w:r w:rsidRPr="00A836C9">
        <w:t>D-07.01.01 OZNAKOWANIE  POZIOME CIENKOWARSTWOWE</w:t>
      </w:r>
      <w:bookmarkEnd w:id="1574"/>
      <w:bookmarkEnd w:id="1575"/>
    </w:p>
    <w:p w:rsidR="009B7C43" w:rsidRPr="000203A8" w:rsidRDefault="009B7C43" w:rsidP="009B7C43"/>
    <w:p w:rsidR="009B7C43" w:rsidRPr="000203A8" w:rsidRDefault="009B7C43" w:rsidP="009B7C43"/>
    <w:p w:rsidR="009B7C43" w:rsidRPr="00A836C9" w:rsidRDefault="009B7C43" w:rsidP="009B7C43">
      <w:pPr>
        <w:rPr>
          <w:rFonts w:asciiTheme="minorHAnsi" w:hAnsiTheme="minorHAnsi"/>
        </w:rPr>
      </w:pPr>
    </w:p>
    <w:p w:rsidR="009B7C43" w:rsidRPr="00A836C9" w:rsidRDefault="009B7C43" w:rsidP="009B7C43">
      <w:pPr>
        <w:rPr>
          <w:rFonts w:asciiTheme="minorHAnsi" w:hAnsiTheme="minorHAnsi"/>
        </w:rPr>
      </w:pPr>
    </w:p>
    <w:p w:rsidR="009B7C43" w:rsidRPr="00A836C9" w:rsidRDefault="009B7C43" w:rsidP="009B7C43">
      <w:pPr>
        <w:rPr>
          <w:rFonts w:asciiTheme="minorHAnsi" w:hAnsiTheme="minorHAnsi"/>
        </w:rPr>
      </w:pPr>
    </w:p>
    <w:p w:rsidR="009B7C43" w:rsidRPr="00A836C9" w:rsidRDefault="009B7C43" w:rsidP="009B7C43">
      <w:pPr>
        <w:rPr>
          <w:rFonts w:asciiTheme="minorHAnsi" w:hAnsiTheme="minorHAnsi"/>
        </w:rPr>
      </w:pPr>
    </w:p>
    <w:p w:rsidR="009B7C43" w:rsidRPr="00A836C9" w:rsidRDefault="009B7C43" w:rsidP="009B7C43">
      <w:pPr>
        <w:rPr>
          <w:rFonts w:asciiTheme="minorHAnsi" w:hAnsiTheme="minorHAnsi"/>
        </w:rPr>
      </w:pPr>
    </w:p>
    <w:p w:rsidR="009B7C43" w:rsidRPr="00A836C9" w:rsidRDefault="009B7C43" w:rsidP="009B7C43">
      <w:pPr>
        <w:rPr>
          <w:rFonts w:asciiTheme="minorHAnsi" w:hAnsiTheme="minorHAnsi"/>
        </w:rPr>
      </w:pPr>
    </w:p>
    <w:p w:rsidR="009B7C43" w:rsidRPr="00A836C9" w:rsidRDefault="009B7C43" w:rsidP="009B7C43">
      <w:pPr>
        <w:rPr>
          <w:rFonts w:asciiTheme="minorHAnsi" w:hAnsiTheme="minorHAnsi"/>
        </w:rPr>
      </w:pPr>
    </w:p>
    <w:p w:rsidR="009B7C43" w:rsidRPr="00A836C9" w:rsidRDefault="009B7C43" w:rsidP="009B7C43">
      <w:pPr>
        <w:rPr>
          <w:rFonts w:asciiTheme="minorHAnsi" w:hAnsiTheme="minorHAnsi"/>
        </w:rPr>
      </w:pPr>
    </w:p>
    <w:p w:rsidR="009B7C43" w:rsidRPr="00A836C9" w:rsidRDefault="009B7C43" w:rsidP="009B7C43">
      <w:pPr>
        <w:rPr>
          <w:rFonts w:asciiTheme="minorHAnsi" w:hAnsiTheme="minorHAnsi"/>
        </w:rPr>
      </w:pPr>
    </w:p>
    <w:p w:rsidR="009B7C43" w:rsidRPr="00A836C9" w:rsidRDefault="009B7C43" w:rsidP="009B7C43">
      <w:pPr>
        <w:rPr>
          <w:rFonts w:asciiTheme="minorHAnsi" w:hAnsiTheme="minorHAnsi"/>
        </w:rPr>
      </w:pPr>
    </w:p>
    <w:p w:rsidR="009B7C43" w:rsidRPr="00A836C9" w:rsidRDefault="009B7C43" w:rsidP="009B7C43">
      <w:pPr>
        <w:rPr>
          <w:rFonts w:asciiTheme="minorHAnsi" w:hAnsiTheme="minorHAnsi"/>
        </w:rPr>
      </w:pPr>
    </w:p>
    <w:p w:rsidR="009B7C43" w:rsidRPr="00A836C9" w:rsidRDefault="009B7C43" w:rsidP="009B7C43">
      <w:pPr>
        <w:rPr>
          <w:rFonts w:asciiTheme="minorHAnsi" w:hAnsiTheme="minorHAnsi"/>
        </w:rPr>
      </w:pPr>
    </w:p>
    <w:p w:rsidR="009B7C43" w:rsidRPr="00A836C9" w:rsidRDefault="009B7C43" w:rsidP="009B7C43">
      <w:pPr>
        <w:rPr>
          <w:rFonts w:asciiTheme="minorHAnsi" w:hAnsiTheme="minorHAnsi"/>
        </w:rPr>
      </w:pPr>
    </w:p>
    <w:p w:rsidR="009B7C43" w:rsidRPr="00A836C9" w:rsidRDefault="009B7C43" w:rsidP="009B7C43">
      <w:pPr>
        <w:rPr>
          <w:rFonts w:asciiTheme="minorHAnsi" w:hAnsiTheme="minorHAnsi"/>
        </w:rPr>
      </w:pPr>
    </w:p>
    <w:p w:rsidR="009B7C43" w:rsidRPr="00A836C9" w:rsidRDefault="009B7C43" w:rsidP="009B7C43">
      <w:pPr>
        <w:rPr>
          <w:rFonts w:asciiTheme="minorHAnsi" w:hAnsiTheme="minorHAnsi"/>
        </w:rPr>
      </w:pPr>
    </w:p>
    <w:p w:rsidR="009B7C43" w:rsidRPr="00A836C9" w:rsidRDefault="009B7C43" w:rsidP="009B7C43">
      <w:pPr>
        <w:rPr>
          <w:rFonts w:asciiTheme="minorHAnsi" w:hAnsiTheme="minorHAnsi"/>
        </w:rPr>
      </w:pPr>
    </w:p>
    <w:p w:rsidR="009B7C43" w:rsidRPr="00A836C9" w:rsidRDefault="009B7C43" w:rsidP="009B7C43">
      <w:pPr>
        <w:rPr>
          <w:rFonts w:asciiTheme="minorHAnsi" w:hAnsiTheme="minorHAnsi"/>
        </w:rPr>
      </w:pPr>
    </w:p>
    <w:p w:rsidR="009B7C43" w:rsidRPr="00A836C9" w:rsidRDefault="009B7C43" w:rsidP="009B7C43">
      <w:pPr>
        <w:rPr>
          <w:rFonts w:asciiTheme="minorHAnsi" w:hAnsiTheme="minorHAnsi"/>
        </w:rPr>
      </w:pPr>
    </w:p>
    <w:p w:rsidR="009B7C43" w:rsidRPr="00A836C9" w:rsidRDefault="009B7C43" w:rsidP="009B7C43">
      <w:pPr>
        <w:rPr>
          <w:rFonts w:asciiTheme="minorHAnsi" w:hAnsiTheme="minorHAnsi"/>
        </w:rPr>
      </w:pPr>
    </w:p>
    <w:p w:rsidR="009B7C43" w:rsidRPr="00A836C9" w:rsidRDefault="009B7C43" w:rsidP="009B7C43">
      <w:pPr>
        <w:rPr>
          <w:rFonts w:asciiTheme="minorHAnsi" w:hAnsiTheme="minorHAnsi"/>
        </w:rPr>
      </w:pPr>
    </w:p>
    <w:p w:rsidR="009B7C43" w:rsidRPr="00A836C9" w:rsidRDefault="009B7C43" w:rsidP="009B7C43">
      <w:pPr>
        <w:rPr>
          <w:rFonts w:asciiTheme="minorHAnsi" w:hAnsiTheme="minorHAnsi"/>
        </w:rPr>
      </w:pPr>
    </w:p>
    <w:p w:rsidR="009B7C43" w:rsidRPr="00A836C9" w:rsidRDefault="009B7C43" w:rsidP="009B7C43">
      <w:pPr>
        <w:rPr>
          <w:rFonts w:asciiTheme="minorHAnsi" w:hAnsiTheme="minorHAnsi"/>
        </w:rPr>
      </w:pPr>
    </w:p>
    <w:p w:rsidR="009B7C43" w:rsidRDefault="009B7C43" w:rsidP="009B7C43">
      <w:pPr>
        <w:rPr>
          <w:rFonts w:asciiTheme="minorHAnsi" w:hAnsiTheme="minorHAnsi"/>
        </w:rPr>
      </w:pPr>
    </w:p>
    <w:p w:rsidR="009B7C43" w:rsidRDefault="009B7C43" w:rsidP="009B7C43">
      <w:pPr>
        <w:rPr>
          <w:rFonts w:asciiTheme="minorHAnsi" w:hAnsiTheme="minorHAnsi"/>
        </w:rPr>
      </w:pPr>
    </w:p>
    <w:p w:rsidR="009B7C43" w:rsidRDefault="009B7C43" w:rsidP="009B7C43">
      <w:pPr>
        <w:rPr>
          <w:rFonts w:asciiTheme="minorHAnsi" w:hAnsiTheme="minorHAnsi"/>
        </w:rPr>
      </w:pPr>
    </w:p>
    <w:p w:rsidR="009B7C43" w:rsidRDefault="009B7C43" w:rsidP="009B7C43">
      <w:pPr>
        <w:rPr>
          <w:rFonts w:asciiTheme="minorHAnsi" w:hAnsiTheme="minorHAnsi"/>
        </w:rPr>
      </w:pPr>
    </w:p>
    <w:p w:rsidR="009B7C43" w:rsidRDefault="009B7C43" w:rsidP="009B7C43">
      <w:pPr>
        <w:rPr>
          <w:rFonts w:asciiTheme="minorHAnsi" w:hAnsiTheme="minorHAnsi"/>
        </w:rPr>
      </w:pPr>
    </w:p>
    <w:p w:rsidR="009B7C43" w:rsidRDefault="009B7C43" w:rsidP="009B7C43">
      <w:pPr>
        <w:rPr>
          <w:rFonts w:asciiTheme="minorHAnsi" w:hAnsiTheme="minorHAnsi"/>
        </w:rPr>
      </w:pPr>
    </w:p>
    <w:p w:rsidR="009B7C43" w:rsidRDefault="009B7C43" w:rsidP="009B7C43">
      <w:pPr>
        <w:rPr>
          <w:rFonts w:asciiTheme="minorHAnsi" w:hAnsiTheme="minorHAnsi"/>
        </w:rPr>
      </w:pPr>
    </w:p>
    <w:p w:rsidR="009B7C43" w:rsidRDefault="009B7C43" w:rsidP="009B7C43">
      <w:pPr>
        <w:rPr>
          <w:rFonts w:asciiTheme="minorHAnsi" w:hAnsiTheme="minorHAnsi"/>
        </w:rPr>
      </w:pPr>
    </w:p>
    <w:p w:rsidR="009B7C43" w:rsidRDefault="009B7C43" w:rsidP="009B7C43">
      <w:pPr>
        <w:rPr>
          <w:rFonts w:asciiTheme="minorHAnsi" w:hAnsiTheme="minorHAnsi"/>
        </w:rPr>
      </w:pPr>
    </w:p>
    <w:p w:rsidR="009B7C43" w:rsidRDefault="009B7C43" w:rsidP="009B7C43">
      <w:pPr>
        <w:rPr>
          <w:rFonts w:asciiTheme="minorHAnsi" w:hAnsiTheme="minorHAnsi"/>
        </w:rPr>
      </w:pPr>
    </w:p>
    <w:p w:rsidR="009B7C43" w:rsidRDefault="009B7C43" w:rsidP="009B7C43">
      <w:pPr>
        <w:rPr>
          <w:rFonts w:asciiTheme="minorHAnsi" w:hAnsiTheme="minorHAnsi"/>
        </w:rPr>
      </w:pPr>
    </w:p>
    <w:p w:rsidR="00E005EB" w:rsidRDefault="00E005EB" w:rsidP="009B7C43">
      <w:pPr>
        <w:rPr>
          <w:rFonts w:asciiTheme="minorHAnsi" w:hAnsiTheme="minorHAnsi"/>
        </w:rPr>
      </w:pPr>
    </w:p>
    <w:p w:rsidR="00E005EB" w:rsidRDefault="00E005EB" w:rsidP="009B7C43">
      <w:pPr>
        <w:rPr>
          <w:rFonts w:asciiTheme="minorHAnsi" w:hAnsiTheme="minorHAnsi"/>
        </w:rPr>
      </w:pPr>
    </w:p>
    <w:p w:rsidR="009B7C43" w:rsidRDefault="009B7C43" w:rsidP="009B7C43">
      <w:pPr>
        <w:rPr>
          <w:rFonts w:asciiTheme="minorHAnsi" w:hAnsiTheme="minorHAnsi"/>
        </w:rPr>
      </w:pPr>
    </w:p>
    <w:p w:rsidR="00AA5B22" w:rsidRDefault="00AA5B22" w:rsidP="009B7C43">
      <w:pPr>
        <w:rPr>
          <w:rFonts w:asciiTheme="minorHAnsi" w:hAnsiTheme="minorHAnsi"/>
        </w:rPr>
      </w:pPr>
    </w:p>
    <w:p w:rsidR="009B7C43" w:rsidRPr="00A836C9" w:rsidRDefault="009B7C43" w:rsidP="009B7C43">
      <w:pPr>
        <w:rPr>
          <w:rFonts w:asciiTheme="minorHAnsi" w:hAnsiTheme="minorHAnsi"/>
        </w:rPr>
      </w:pPr>
    </w:p>
    <w:p w:rsidR="009B7C43" w:rsidRPr="00A836C9" w:rsidRDefault="009B7C43" w:rsidP="009B7C43">
      <w:pPr>
        <w:rPr>
          <w:rFonts w:asciiTheme="minorHAnsi" w:hAnsiTheme="minorHAnsi"/>
        </w:rPr>
      </w:pPr>
    </w:p>
    <w:p w:rsidR="009B7C43" w:rsidRPr="004E5CC8" w:rsidRDefault="009B7C43" w:rsidP="009B7C43">
      <w:pPr>
        <w:rPr>
          <w:rFonts w:asciiTheme="minorHAnsi" w:hAnsiTheme="minorHAnsi"/>
          <w:b/>
        </w:rPr>
      </w:pPr>
      <w:bookmarkStart w:id="1576" w:name="_Toc420816680"/>
      <w:r w:rsidRPr="004E5CC8">
        <w:rPr>
          <w:rFonts w:asciiTheme="minorHAnsi" w:hAnsiTheme="minorHAnsi"/>
          <w:b/>
        </w:rPr>
        <w:lastRenderedPageBreak/>
        <w:t>1. WSTĘP</w:t>
      </w:r>
      <w:bookmarkEnd w:id="1576"/>
    </w:p>
    <w:p w:rsidR="009B7C43" w:rsidRPr="004E5CC8" w:rsidRDefault="009B7C43" w:rsidP="009B7C43">
      <w:pPr>
        <w:rPr>
          <w:rFonts w:asciiTheme="minorHAnsi" w:hAnsiTheme="minorHAnsi"/>
        </w:rPr>
      </w:pPr>
      <w:r w:rsidRPr="004E5CC8">
        <w:rPr>
          <w:rFonts w:asciiTheme="minorHAnsi" w:hAnsiTheme="minorHAnsi"/>
          <w:b/>
        </w:rPr>
        <w:t>1.1.</w:t>
      </w:r>
      <w:r w:rsidRPr="004E5CC8">
        <w:rPr>
          <w:rFonts w:asciiTheme="minorHAnsi" w:hAnsiTheme="minorHAnsi"/>
        </w:rPr>
        <w:t xml:space="preserve"> Przedmiot ST</w:t>
      </w:r>
    </w:p>
    <w:p w:rsidR="009B7C43" w:rsidRPr="004E5CC8" w:rsidRDefault="009B7C43" w:rsidP="009B7C43">
      <w:pPr>
        <w:rPr>
          <w:rFonts w:asciiTheme="minorHAnsi" w:hAnsiTheme="minorHAnsi"/>
        </w:rPr>
      </w:pPr>
      <w:r w:rsidRPr="004E5CC8">
        <w:rPr>
          <w:rFonts w:asciiTheme="minorHAnsi" w:hAnsiTheme="minorHAnsi"/>
        </w:rPr>
        <w:tab/>
        <w:t>Przedmiotem niniejszej specyfikacji technicznej (ST) są wymagania dotyczące wykonania i odbioru oznakowania poziomego cienkowarstwowego dróg.</w:t>
      </w:r>
    </w:p>
    <w:p w:rsidR="009B7C43" w:rsidRPr="004E5CC8" w:rsidRDefault="009B7C43" w:rsidP="009B7C43">
      <w:pPr>
        <w:rPr>
          <w:rFonts w:asciiTheme="minorHAnsi" w:hAnsiTheme="minorHAnsi"/>
        </w:rPr>
      </w:pPr>
      <w:r w:rsidRPr="004E5CC8">
        <w:rPr>
          <w:rFonts w:asciiTheme="minorHAnsi" w:hAnsiTheme="minorHAnsi"/>
          <w:b/>
        </w:rPr>
        <w:t>1.2.</w:t>
      </w:r>
      <w:r w:rsidRPr="004E5CC8">
        <w:rPr>
          <w:rFonts w:asciiTheme="minorHAnsi" w:hAnsiTheme="minorHAnsi"/>
        </w:rPr>
        <w:t xml:space="preserve"> Zakres stosowania ST</w:t>
      </w:r>
    </w:p>
    <w:p w:rsidR="009B7C43" w:rsidRPr="004E5CC8" w:rsidRDefault="009B7C43" w:rsidP="009B7C43">
      <w:pPr>
        <w:rPr>
          <w:rFonts w:asciiTheme="minorHAnsi" w:hAnsiTheme="minorHAnsi"/>
        </w:rPr>
      </w:pPr>
      <w:r w:rsidRPr="004E5CC8">
        <w:rPr>
          <w:rFonts w:asciiTheme="minorHAnsi" w:hAnsiTheme="minorHAnsi"/>
        </w:rPr>
        <w:tab/>
        <w:t>Specyfikacja techniczna określa wymagania dla wykonania i odbioru robót budowlanych przewidzianych do wykonania w ramach umowy a zawarte w niej zapisy w zakresie standardu materiałów, wykonania robót i wymaganej ich jakości oraz kontroli jakości robót należy traktować jako minimalne.</w:t>
      </w:r>
    </w:p>
    <w:p w:rsidR="009B7C43" w:rsidRPr="004E5CC8" w:rsidRDefault="009B7C43" w:rsidP="009B7C43">
      <w:pPr>
        <w:rPr>
          <w:rFonts w:asciiTheme="minorHAnsi" w:hAnsiTheme="minorHAnsi"/>
        </w:rPr>
      </w:pPr>
      <w:r w:rsidRPr="004E5CC8">
        <w:rPr>
          <w:rFonts w:asciiTheme="minorHAnsi" w:hAnsiTheme="minorHAnsi"/>
          <w:b/>
        </w:rPr>
        <w:t>1.3.</w:t>
      </w:r>
      <w:r w:rsidRPr="004E5CC8">
        <w:rPr>
          <w:rFonts w:asciiTheme="minorHAnsi" w:hAnsiTheme="minorHAnsi"/>
        </w:rPr>
        <w:t xml:space="preserve"> Zakres robót objętych ST</w:t>
      </w:r>
    </w:p>
    <w:p w:rsidR="00F040CD" w:rsidRPr="00C3299C" w:rsidRDefault="009B7C43" w:rsidP="00F040CD">
      <w:pPr>
        <w:rPr>
          <w:rFonts w:asciiTheme="minorHAnsi" w:hAnsiTheme="minorHAnsi" w:cs="Calibri"/>
        </w:rPr>
      </w:pPr>
      <w:r w:rsidRPr="004E5CC8">
        <w:rPr>
          <w:rFonts w:asciiTheme="minorHAnsi" w:hAnsiTheme="minorHAnsi"/>
        </w:rPr>
        <w:tab/>
        <w:t>Ustalenia zawarte w niniejszej specyfikacji dotyczą zasad prowadzenia robót związanych z wykonywaniem i odbiorem oznakowania poziomego cienkowarstwowego stosowanego n</w:t>
      </w:r>
      <w:r w:rsidR="00E005EB" w:rsidRPr="004E5CC8">
        <w:rPr>
          <w:rFonts w:asciiTheme="minorHAnsi" w:hAnsiTheme="minorHAnsi"/>
        </w:rPr>
        <w:t xml:space="preserve">a drogach o nawierzchni twardej </w:t>
      </w:r>
      <w:r w:rsidR="00F040CD" w:rsidRPr="00C3299C">
        <w:rPr>
          <w:rFonts w:ascii="Calibri" w:hAnsi="Calibri" w:cs="Calibri"/>
        </w:rPr>
        <w:t>w związku z „</w:t>
      </w:r>
      <w:r w:rsidR="00F040CD" w:rsidRPr="00C3299C">
        <w:rPr>
          <w:rFonts w:asciiTheme="minorHAnsi" w:hAnsiTheme="minorHAnsi"/>
        </w:rPr>
        <w:t>Przebudową ul.55 Pułku Piechoty w Lesznie wraz z przebudową oświetlenia”</w:t>
      </w:r>
      <w:r w:rsidR="00F040CD" w:rsidRPr="00C3299C">
        <w:rPr>
          <w:rFonts w:asciiTheme="minorHAnsi" w:hAnsiTheme="minorHAnsi" w:cs="Calibri"/>
        </w:rPr>
        <w:t>.</w:t>
      </w:r>
    </w:p>
    <w:p w:rsidR="009B7C43" w:rsidRPr="004E5CC8" w:rsidRDefault="009B7C43" w:rsidP="009B7C43">
      <w:pPr>
        <w:rPr>
          <w:rFonts w:asciiTheme="minorHAnsi" w:hAnsiTheme="minorHAnsi"/>
        </w:rPr>
      </w:pPr>
      <w:r w:rsidRPr="004E5CC8">
        <w:rPr>
          <w:rFonts w:asciiTheme="minorHAnsi" w:hAnsiTheme="minorHAnsi"/>
          <w:b/>
        </w:rPr>
        <w:t>1.4.</w:t>
      </w:r>
      <w:r w:rsidRPr="004E5CC8">
        <w:rPr>
          <w:rFonts w:asciiTheme="minorHAnsi" w:hAnsiTheme="minorHAnsi"/>
        </w:rPr>
        <w:t xml:space="preserve"> Określenia podstawowe</w:t>
      </w:r>
    </w:p>
    <w:p w:rsidR="009B7C43" w:rsidRPr="004E5CC8" w:rsidRDefault="009B7C43" w:rsidP="009B7C43">
      <w:pPr>
        <w:rPr>
          <w:rFonts w:asciiTheme="minorHAnsi" w:hAnsiTheme="minorHAnsi"/>
        </w:rPr>
      </w:pPr>
      <w:r w:rsidRPr="004E5CC8">
        <w:rPr>
          <w:rFonts w:asciiTheme="minorHAnsi" w:hAnsiTheme="minorHAnsi"/>
          <w:b/>
        </w:rPr>
        <w:t>1.4.1.</w:t>
      </w:r>
      <w:r w:rsidRPr="004E5CC8">
        <w:rPr>
          <w:rFonts w:asciiTheme="minorHAnsi" w:hAnsiTheme="minorHAnsi"/>
        </w:rPr>
        <w:t xml:space="preserve"> Oznakowanie poziome - znaki drogowe poziome, umieszczone na nawierzchni w postaci linii ciągłych lub przerywanych, pojedynczych lub podwójnych, strzałek, napisów, symboli oraz innych linii związanych z oznaczeniem określonych miejsc na tej nawierzchni. W zależności od rodzaju i sposobu zastosowania znaki poziome mogą mieć znaczenie prowadzące, segregujące, informujące, ostrzegawcze, zakazujące lub nakazujące.</w:t>
      </w:r>
    </w:p>
    <w:p w:rsidR="009B7C43" w:rsidRPr="004E5CC8" w:rsidRDefault="009B7C43" w:rsidP="009B7C43">
      <w:pPr>
        <w:rPr>
          <w:rFonts w:asciiTheme="minorHAnsi" w:hAnsiTheme="minorHAnsi"/>
        </w:rPr>
      </w:pPr>
      <w:r w:rsidRPr="004E5CC8">
        <w:rPr>
          <w:rFonts w:asciiTheme="minorHAnsi" w:hAnsiTheme="minorHAnsi"/>
          <w:b/>
        </w:rPr>
        <w:t>1.4.2.</w:t>
      </w:r>
      <w:r w:rsidRPr="004E5CC8">
        <w:rPr>
          <w:rFonts w:asciiTheme="minorHAnsi" w:hAnsiTheme="minorHAnsi"/>
        </w:rPr>
        <w:t xml:space="preserve"> Znaki podłużne - linie równoległe do osi jezdni lub odchylone od niej pod niewielkim kątem, występujące jako linie: – pojedyncze: przerywane lub ciągłe, segregacyjne lub krawędziowe, – podwójne: ciągłe z przerywanymi, ciągłe lub przerywane.</w:t>
      </w:r>
    </w:p>
    <w:p w:rsidR="009B7C43" w:rsidRPr="004E5CC8" w:rsidRDefault="009B7C43" w:rsidP="009B7C43">
      <w:pPr>
        <w:rPr>
          <w:rFonts w:asciiTheme="minorHAnsi" w:hAnsiTheme="minorHAnsi"/>
        </w:rPr>
      </w:pPr>
      <w:r w:rsidRPr="004E5CC8">
        <w:rPr>
          <w:rFonts w:asciiTheme="minorHAnsi" w:hAnsiTheme="minorHAnsi"/>
          <w:b/>
        </w:rPr>
        <w:t>1.4.3.</w:t>
      </w:r>
      <w:r w:rsidRPr="004E5CC8">
        <w:rPr>
          <w:rFonts w:asciiTheme="minorHAnsi" w:hAnsiTheme="minorHAnsi"/>
        </w:rPr>
        <w:t xml:space="preserve"> Strzałki - znaki poziome na nawierzchni, występujące jako strzałki kierunkowe służące do wskazania dozwolonego kierunku zjazdu z pasa oraz strzałki naprowadzające, które uprzedzają o konieczności opuszczenia pasa, na którym się znajdują.</w:t>
      </w:r>
    </w:p>
    <w:p w:rsidR="009B7C43" w:rsidRPr="004E5CC8" w:rsidRDefault="009B7C43" w:rsidP="009B7C43">
      <w:pPr>
        <w:rPr>
          <w:rFonts w:asciiTheme="minorHAnsi" w:hAnsiTheme="minorHAnsi"/>
        </w:rPr>
      </w:pPr>
      <w:r w:rsidRPr="004E5CC8">
        <w:rPr>
          <w:rFonts w:asciiTheme="minorHAnsi" w:hAnsiTheme="minorHAnsi"/>
          <w:b/>
        </w:rPr>
        <w:t>1.4.4.</w:t>
      </w:r>
      <w:r w:rsidRPr="004E5CC8">
        <w:rPr>
          <w:rFonts w:asciiTheme="minorHAnsi" w:hAnsiTheme="minorHAnsi"/>
        </w:rPr>
        <w:t xml:space="preserve"> Znaki poprzeczne - znaki służące do oznaczenia miejsc przeznaczonych do ruchu pieszych i rowerzystów w poprzek drogi, miejsc wymagających zatrzymania pojazdów oraz miejsc lokalizacji progów zwalniających.</w:t>
      </w:r>
    </w:p>
    <w:p w:rsidR="009B7C43" w:rsidRPr="004E5CC8" w:rsidRDefault="009B7C43" w:rsidP="009B7C43">
      <w:pPr>
        <w:rPr>
          <w:rFonts w:asciiTheme="minorHAnsi" w:hAnsiTheme="minorHAnsi"/>
        </w:rPr>
      </w:pPr>
      <w:r w:rsidRPr="004E5CC8">
        <w:rPr>
          <w:rFonts w:asciiTheme="minorHAnsi" w:hAnsiTheme="minorHAnsi"/>
          <w:b/>
        </w:rPr>
        <w:t>1.4.5.</w:t>
      </w:r>
      <w:r w:rsidRPr="004E5CC8">
        <w:rPr>
          <w:rFonts w:asciiTheme="minorHAnsi" w:hAnsiTheme="minorHAnsi"/>
        </w:rPr>
        <w:t xml:space="preserve"> Znaki uzupełniające - znaki o różnych kształtach, wymiarach i przeznaczeniu, występujące w postaci symboli, napisów, linii przystankowych, stanowisk i pasów postojowych, powierzchni wyłączonych z ruchu oraz symboli znaków pionowych w oznakowaniu poziomym.</w:t>
      </w:r>
    </w:p>
    <w:p w:rsidR="009B7C43" w:rsidRPr="004E5CC8" w:rsidRDefault="009B7C43" w:rsidP="009B7C43">
      <w:pPr>
        <w:rPr>
          <w:rFonts w:asciiTheme="minorHAnsi" w:hAnsiTheme="minorHAnsi"/>
        </w:rPr>
      </w:pPr>
      <w:r w:rsidRPr="004E5CC8">
        <w:rPr>
          <w:rFonts w:asciiTheme="minorHAnsi" w:hAnsiTheme="minorHAnsi"/>
          <w:b/>
        </w:rPr>
        <w:t>1.4.6.</w:t>
      </w:r>
      <w:r w:rsidRPr="004E5CC8">
        <w:rPr>
          <w:rFonts w:asciiTheme="minorHAnsi" w:hAnsiTheme="minorHAnsi"/>
        </w:rPr>
        <w:t xml:space="preserve"> Materiały do poziomego znakowania dróg - materiały zawierające rozpuszczalniki, wolne od rozpuszczalników lub punktowe elementy odblaskowe, które mogą zostać naniesione albo wbudowane przez malowanie, natryskiwanie, odlewanie, wytłaczanie, rolowanie, klejenie itp. na nawierzchnie drogowe, stosowane w temperaturze otoczenia lub w temperaturze podwyższonej. Materiały te powinny posiadać właściwości odblaskowe.</w:t>
      </w:r>
    </w:p>
    <w:p w:rsidR="009B7C43" w:rsidRPr="004E5CC8" w:rsidRDefault="009B7C43" w:rsidP="009B7C43">
      <w:pPr>
        <w:rPr>
          <w:rFonts w:asciiTheme="minorHAnsi" w:hAnsiTheme="minorHAnsi"/>
        </w:rPr>
      </w:pPr>
      <w:r w:rsidRPr="004E5CC8">
        <w:rPr>
          <w:rFonts w:asciiTheme="minorHAnsi" w:hAnsiTheme="minorHAnsi"/>
          <w:b/>
        </w:rPr>
        <w:t>1.4.7.</w:t>
      </w:r>
      <w:r w:rsidRPr="004E5CC8">
        <w:rPr>
          <w:rFonts w:asciiTheme="minorHAnsi" w:hAnsiTheme="minorHAnsi"/>
        </w:rPr>
        <w:t xml:space="preserve"> Materiały do znakowania cienkowarstwowego - farby rozpuszczalnikowe, wodorozcieńczalne i chemoutwardzalne nakładane warstwą grubości od </w:t>
      </w:r>
      <w:smartTag w:uri="urn:schemas-microsoft-com:office:smarttags" w:element="metricconverter">
        <w:smartTagPr>
          <w:attr w:name="ProductID" w:val="0,4 mm"/>
        </w:smartTagPr>
        <w:r w:rsidRPr="004E5CC8">
          <w:rPr>
            <w:rFonts w:asciiTheme="minorHAnsi" w:hAnsiTheme="minorHAnsi"/>
          </w:rPr>
          <w:t>0,4 mm</w:t>
        </w:r>
      </w:smartTag>
      <w:r w:rsidRPr="004E5CC8">
        <w:rPr>
          <w:rFonts w:asciiTheme="minorHAnsi" w:hAnsiTheme="minorHAnsi"/>
        </w:rPr>
        <w:t xml:space="preserve"> do </w:t>
      </w:r>
      <w:smartTag w:uri="urn:schemas-microsoft-com:office:smarttags" w:element="metricconverter">
        <w:smartTagPr>
          <w:attr w:name="ProductID" w:val="0,8 mm"/>
        </w:smartTagPr>
        <w:r w:rsidRPr="004E5CC8">
          <w:rPr>
            <w:rFonts w:asciiTheme="minorHAnsi" w:hAnsiTheme="minorHAnsi"/>
          </w:rPr>
          <w:t>0,8 mm</w:t>
        </w:r>
      </w:smartTag>
      <w:r w:rsidRPr="004E5CC8">
        <w:rPr>
          <w:rFonts w:asciiTheme="minorHAnsi" w:hAnsiTheme="minorHAnsi"/>
        </w:rPr>
        <w:t>, mierzoną na mokro.</w:t>
      </w:r>
    </w:p>
    <w:p w:rsidR="009B7C43" w:rsidRPr="004E5CC8" w:rsidRDefault="009B7C43" w:rsidP="009B7C43">
      <w:pPr>
        <w:rPr>
          <w:rFonts w:asciiTheme="minorHAnsi" w:hAnsiTheme="minorHAnsi"/>
        </w:rPr>
      </w:pPr>
      <w:r w:rsidRPr="004E5CC8">
        <w:rPr>
          <w:rFonts w:asciiTheme="minorHAnsi" w:hAnsiTheme="minorHAnsi"/>
          <w:b/>
        </w:rPr>
        <w:t>1.4.8.</w:t>
      </w:r>
      <w:r w:rsidRPr="004E5CC8">
        <w:rPr>
          <w:rFonts w:asciiTheme="minorHAnsi" w:hAnsiTheme="minorHAnsi"/>
        </w:rPr>
        <w:t xml:space="preserve"> Materiały prefabrykowane - materiały, które łączy się z powierzchnią drogi przez klejenie, wtapianie, wbudowanie lub w inny sposób. Zalicza się do nich masy termoplastyczne w arkuszach do wtapiania oraz taśmy do oznakowań tymczasowych (żółte) i trwałych (białe).</w:t>
      </w:r>
    </w:p>
    <w:p w:rsidR="009B7C43" w:rsidRPr="004E5CC8" w:rsidRDefault="009B7C43" w:rsidP="009B7C43">
      <w:pPr>
        <w:rPr>
          <w:rFonts w:asciiTheme="minorHAnsi" w:hAnsiTheme="minorHAnsi"/>
        </w:rPr>
      </w:pPr>
      <w:r w:rsidRPr="004E5CC8">
        <w:rPr>
          <w:rFonts w:asciiTheme="minorHAnsi" w:hAnsiTheme="minorHAnsi"/>
          <w:b/>
        </w:rPr>
        <w:t>1.4.9.</w:t>
      </w:r>
      <w:r w:rsidRPr="004E5CC8">
        <w:rPr>
          <w:rFonts w:asciiTheme="minorHAnsi" w:hAnsiTheme="minorHAnsi"/>
        </w:rPr>
        <w:t xml:space="preserve"> Punktowe elementy odblaskowe - urządzenia prowadzenia poziomego, o różnym kształcie, wielkości i wysokość oraz rodzaju i liczbie zastosowanych odbłyśników, które odbijają padające z boku oświetlenie w celu ostrzegania, prowadzenia i informowania użytkowników drogi. Punktowy element odblaskowy może składać się z jednej lub kilku integralnie związanych ze sobą części, może być przyklejony, zakotwiczony  lub wbudowany w nawierzchnię drogi. Część odblaskowa może być jedno lub dwukierunkowa, może się zginać lub nie. Element ten może być typu stałego (P) lub tymczasowego (T).</w:t>
      </w:r>
    </w:p>
    <w:p w:rsidR="009B7C43" w:rsidRPr="004E5CC8" w:rsidRDefault="009B7C43" w:rsidP="009B7C43">
      <w:pPr>
        <w:rPr>
          <w:rFonts w:asciiTheme="minorHAnsi" w:hAnsiTheme="minorHAnsi"/>
        </w:rPr>
      </w:pPr>
      <w:r w:rsidRPr="004E5CC8">
        <w:rPr>
          <w:rFonts w:asciiTheme="minorHAnsi" w:hAnsiTheme="minorHAnsi"/>
          <w:b/>
        </w:rPr>
        <w:t>1.4.10.</w:t>
      </w:r>
      <w:r w:rsidRPr="004E5CC8">
        <w:rPr>
          <w:rFonts w:asciiTheme="minorHAnsi" w:hAnsiTheme="minorHAnsi"/>
        </w:rPr>
        <w:t xml:space="preserve"> Kulki szklane – materiał w postaci przezroczystych, kulistych cząstek szklanych do posypywania lub narzucania pod ciśnieniem na oznakowanie wykonane materiałami w stanie ciekłym, w celu uzyskania widzialności oznakowania w nocy przez odbicie powrotne padającej wiązki światła pojazdu w kierunku kierowcy. </w:t>
      </w:r>
    </w:p>
    <w:p w:rsidR="009B7C43" w:rsidRPr="004E5CC8" w:rsidRDefault="009B7C43" w:rsidP="009B7C43">
      <w:pPr>
        <w:rPr>
          <w:rFonts w:asciiTheme="minorHAnsi" w:hAnsiTheme="minorHAnsi"/>
        </w:rPr>
      </w:pPr>
      <w:r w:rsidRPr="004E5CC8">
        <w:rPr>
          <w:rFonts w:asciiTheme="minorHAnsi" w:hAnsiTheme="minorHAnsi"/>
          <w:b/>
        </w:rPr>
        <w:t>1.4.11.</w:t>
      </w:r>
      <w:r w:rsidRPr="004E5CC8">
        <w:rPr>
          <w:rFonts w:asciiTheme="minorHAnsi" w:hAnsiTheme="minorHAnsi"/>
        </w:rPr>
        <w:t xml:space="preserve"> Kruszywo przeciwpoślizgowe – twarde ziarna pochodzenia naturalnego lub sztucznego stosowane do zapewnienia własności przeciwpoślizgowych poziomym oznakowaniom dróg, stosowane samo lub w mieszaninie z kulkami szklanymi.</w:t>
      </w:r>
    </w:p>
    <w:p w:rsidR="009B7C43" w:rsidRPr="00A836C9" w:rsidRDefault="009B7C43" w:rsidP="009B7C43">
      <w:pPr>
        <w:rPr>
          <w:rFonts w:asciiTheme="minorHAnsi" w:hAnsiTheme="minorHAnsi"/>
        </w:rPr>
      </w:pPr>
      <w:r w:rsidRPr="00A836C9">
        <w:rPr>
          <w:rFonts w:asciiTheme="minorHAnsi" w:hAnsiTheme="minorHAnsi"/>
          <w:b/>
        </w:rPr>
        <w:t>1.4.12.</w:t>
      </w:r>
      <w:r w:rsidRPr="00A836C9">
        <w:rPr>
          <w:rFonts w:asciiTheme="minorHAnsi" w:hAnsiTheme="minorHAnsi"/>
        </w:rPr>
        <w:t xml:space="preserve"> Oznakowanie nowe – oznakowanie, w którym zakończył się czas schnięcia i nie upłynęło 30 dni od wykonania oznakowania. Pomiary właściwości oznakowania należy wykonywać od 14 do 30 dnia po wykonaniu oznakowania.</w:t>
      </w:r>
    </w:p>
    <w:p w:rsidR="009B7C43" w:rsidRPr="00A836C9" w:rsidRDefault="009B7C43" w:rsidP="009B7C43">
      <w:pPr>
        <w:rPr>
          <w:rFonts w:asciiTheme="minorHAnsi" w:hAnsiTheme="minorHAnsi"/>
        </w:rPr>
      </w:pPr>
      <w:r w:rsidRPr="00A836C9">
        <w:rPr>
          <w:rFonts w:asciiTheme="minorHAnsi" w:hAnsiTheme="minorHAnsi"/>
          <w:b/>
        </w:rPr>
        <w:t>1.4.13.</w:t>
      </w:r>
      <w:r w:rsidRPr="00A836C9">
        <w:rPr>
          <w:rFonts w:asciiTheme="minorHAnsi" w:hAnsiTheme="minorHAnsi"/>
        </w:rPr>
        <w:t xml:space="preserve"> Tymczasowe oznakowanie drogowe - oznakowanie z materiału o barwie żółtej, którego czas użytkowania wynosi do 3 miesięcy lub do czasu zakończenia robót.</w:t>
      </w:r>
    </w:p>
    <w:p w:rsidR="009B7C43" w:rsidRPr="00A836C9" w:rsidRDefault="009B7C43" w:rsidP="009B7C43">
      <w:pPr>
        <w:rPr>
          <w:rFonts w:asciiTheme="minorHAnsi" w:hAnsiTheme="minorHAnsi"/>
        </w:rPr>
      </w:pPr>
      <w:r w:rsidRPr="00A836C9">
        <w:rPr>
          <w:rFonts w:asciiTheme="minorHAnsi" w:hAnsiTheme="minorHAnsi"/>
          <w:b/>
        </w:rPr>
        <w:lastRenderedPageBreak/>
        <w:t>1.4.14.</w:t>
      </w:r>
      <w:r w:rsidRPr="00A836C9">
        <w:rPr>
          <w:rFonts w:asciiTheme="minorHAnsi" w:hAnsiTheme="minorHAnsi"/>
        </w:rPr>
        <w:t xml:space="preserve"> Powyższe i pozostałe określenia są zgodne z odpowiednimi polskimi normami i z definicjami podanymi w ST D-M-00.00.00 „Wymagania ogólne” pkt 1.4. </w:t>
      </w:r>
    </w:p>
    <w:p w:rsidR="009B7C43" w:rsidRPr="00A836C9" w:rsidRDefault="009B7C43" w:rsidP="009B7C43">
      <w:pPr>
        <w:rPr>
          <w:rFonts w:asciiTheme="minorHAnsi" w:hAnsiTheme="minorHAnsi"/>
        </w:rPr>
      </w:pPr>
      <w:r w:rsidRPr="00A836C9">
        <w:rPr>
          <w:rFonts w:asciiTheme="minorHAnsi" w:hAnsiTheme="minorHAnsi"/>
          <w:b/>
        </w:rPr>
        <w:t>1.5.</w:t>
      </w:r>
      <w:r w:rsidRPr="00A836C9">
        <w:rPr>
          <w:rFonts w:asciiTheme="minorHAnsi" w:hAnsiTheme="minorHAnsi"/>
        </w:rPr>
        <w:t xml:space="preserve"> Ogólne wymagania dotyczące robót</w:t>
      </w:r>
    </w:p>
    <w:p w:rsidR="009B7C43" w:rsidRPr="00A836C9" w:rsidRDefault="009B7C43" w:rsidP="009B7C43">
      <w:pPr>
        <w:rPr>
          <w:rFonts w:asciiTheme="minorHAnsi" w:hAnsiTheme="minorHAnsi"/>
        </w:rPr>
      </w:pPr>
      <w:r w:rsidRPr="00A836C9">
        <w:rPr>
          <w:rFonts w:asciiTheme="minorHAnsi" w:hAnsiTheme="minorHAnsi"/>
        </w:rPr>
        <w:tab/>
        <w:t xml:space="preserve">Ogólne wymagania dotyczące robót podano w ST D-M-00.00.00 „Wymagania ogólne” pkt 1.5. </w:t>
      </w:r>
    </w:p>
    <w:p w:rsidR="009B7C43" w:rsidRPr="00A836C9" w:rsidRDefault="009B7C43" w:rsidP="009B7C43">
      <w:pPr>
        <w:rPr>
          <w:rFonts w:asciiTheme="minorHAnsi" w:hAnsiTheme="minorHAnsi"/>
        </w:rPr>
      </w:pPr>
    </w:p>
    <w:p w:rsidR="009B7C43" w:rsidRPr="00A836C9" w:rsidRDefault="009B7C43" w:rsidP="009B7C43">
      <w:pPr>
        <w:rPr>
          <w:rFonts w:asciiTheme="minorHAnsi" w:hAnsiTheme="minorHAnsi"/>
          <w:b/>
        </w:rPr>
      </w:pPr>
      <w:bookmarkStart w:id="1577" w:name="_Toc420816681"/>
      <w:r w:rsidRPr="00A836C9">
        <w:rPr>
          <w:rFonts w:asciiTheme="minorHAnsi" w:hAnsiTheme="minorHAnsi"/>
          <w:b/>
        </w:rPr>
        <w:t xml:space="preserve">2. </w:t>
      </w:r>
      <w:bookmarkEnd w:id="1577"/>
      <w:r w:rsidRPr="00A836C9">
        <w:rPr>
          <w:rFonts w:asciiTheme="minorHAnsi" w:hAnsiTheme="minorHAnsi"/>
          <w:b/>
        </w:rPr>
        <w:t>MATERIAŁY</w:t>
      </w:r>
    </w:p>
    <w:p w:rsidR="009B7C43" w:rsidRPr="00A836C9" w:rsidRDefault="009B7C43" w:rsidP="009B7C43">
      <w:pPr>
        <w:rPr>
          <w:rFonts w:asciiTheme="minorHAnsi" w:hAnsiTheme="minorHAnsi"/>
        </w:rPr>
      </w:pPr>
      <w:r w:rsidRPr="00A836C9">
        <w:rPr>
          <w:rFonts w:asciiTheme="minorHAnsi" w:hAnsiTheme="minorHAnsi"/>
          <w:b/>
        </w:rPr>
        <w:t>2.1.</w:t>
      </w:r>
      <w:r w:rsidRPr="00A836C9">
        <w:rPr>
          <w:rFonts w:asciiTheme="minorHAnsi" w:hAnsiTheme="minorHAnsi"/>
        </w:rPr>
        <w:t xml:space="preserve"> Ogólne wymagania dotyczące materiałów</w:t>
      </w:r>
    </w:p>
    <w:p w:rsidR="009B7C43" w:rsidRPr="00A836C9" w:rsidRDefault="009B7C43" w:rsidP="009B7C43">
      <w:pPr>
        <w:rPr>
          <w:rFonts w:asciiTheme="minorHAnsi" w:hAnsiTheme="minorHAnsi"/>
        </w:rPr>
      </w:pPr>
      <w:r w:rsidRPr="00A836C9">
        <w:rPr>
          <w:rFonts w:asciiTheme="minorHAnsi" w:hAnsiTheme="minorHAnsi"/>
        </w:rPr>
        <w:tab/>
        <w:t>Ogólne wymagania dotyczące materiałów, ich pozyskiwania i składowania podano w ST D-M-00.00.00 „Wymagania ogólne” pkt 2.</w:t>
      </w:r>
    </w:p>
    <w:p w:rsidR="009B7C43" w:rsidRPr="00A836C9" w:rsidRDefault="009B7C43" w:rsidP="009B7C43">
      <w:pPr>
        <w:rPr>
          <w:rFonts w:asciiTheme="minorHAnsi" w:hAnsiTheme="minorHAnsi"/>
        </w:rPr>
      </w:pPr>
      <w:r w:rsidRPr="00A836C9">
        <w:rPr>
          <w:rFonts w:asciiTheme="minorHAnsi" w:hAnsiTheme="minorHAnsi"/>
          <w:b/>
        </w:rPr>
        <w:t>2.2.</w:t>
      </w:r>
      <w:r w:rsidRPr="00A836C9">
        <w:rPr>
          <w:rFonts w:asciiTheme="minorHAnsi" w:hAnsiTheme="minorHAnsi"/>
        </w:rPr>
        <w:t xml:space="preserve"> Dokument dopuszczający do stosowania materiałów</w:t>
      </w:r>
    </w:p>
    <w:p w:rsidR="009B7C43" w:rsidRPr="00A836C9" w:rsidRDefault="009B7C43" w:rsidP="009B7C43">
      <w:pPr>
        <w:rPr>
          <w:rFonts w:asciiTheme="minorHAnsi" w:hAnsiTheme="minorHAnsi"/>
        </w:rPr>
      </w:pPr>
      <w:r w:rsidRPr="00A836C9">
        <w:rPr>
          <w:rFonts w:asciiTheme="minorHAnsi" w:hAnsiTheme="minorHAnsi"/>
        </w:rPr>
        <w:tab/>
        <w:t xml:space="preserve">Materiały stosowane przez Wykonawcę do poziomego oznakowania dróg powinny spełniać warunki postawione w rozporządzeniu Ministra Infrastruktury. </w:t>
      </w:r>
    </w:p>
    <w:p w:rsidR="009B7C43" w:rsidRPr="00A836C9" w:rsidRDefault="009B7C43" w:rsidP="009B7C43">
      <w:pPr>
        <w:rPr>
          <w:rFonts w:asciiTheme="minorHAnsi" w:hAnsiTheme="minorHAnsi"/>
        </w:rPr>
      </w:pPr>
      <w:r w:rsidRPr="00A836C9">
        <w:rPr>
          <w:rFonts w:asciiTheme="minorHAnsi" w:hAnsiTheme="minorHAnsi"/>
        </w:rPr>
        <w:t>Producenci powinni oznakować wyroby znakiem budowlanym B, zgodnie z rozporządzeniem Ministra Infrastruktury, co oznacza wystawienie deklaracji zgodności z aprobatą techniczną lub znakiem CE, zgodnie z rozporządzeniem Ministra Infrastruktury, co oznacza wystawienie deklaracji zgodności z normą zharmonizowaną (np. dla kulek szklanych i punktowych elementów odblaskowych).</w:t>
      </w:r>
    </w:p>
    <w:p w:rsidR="009B7C43" w:rsidRPr="00A836C9" w:rsidRDefault="009B7C43" w:rsidP="009B7C43">
      <w:pPr>
        <w:rPr>
          <w:rFonts w:asciiTheme="minorHAnsi" w:hAnsiTheme="minorHAnsi"/>
        </w:rPr>
      </w:pPr>
      <w:r w:rsidRPr="00A836C9">
        <w:rPr>
          <w:rFonts w:asciiTheme="minorHAnsi" w:hAnsiTheme="minorHAnsi"/>
        </w:rPr>
        <w:t>Aprobaty techniczne wystawione przed czasem wejścia w życie rozporządzenia nie mogą być zmieniane lecz zachowują ważność przez okres, na jaki zostały wydane. W tym przypadku do oznakowania wyrobu znakiem budowlanym B wystarcza deklaracja zgodności z aprobatą techniczną.</w:t>
      </w:r>
    </w:p>
    <w:p w:rsidR="009B7C43" w:rsidRPr="00A836C9" w:rsidRDefault="009B7C43" w:rsidP="009B7C43">
      <w:pPr>
        <w:rPr>
          <w:rFonts w:asciiTheme="minorHAnsi" w:hAnsiTheme="minorHAnsi"/>
        </w:rPr>
      </w:pPr>
      <w:r w:rsidRPr="00A836C9">
        <w:rPr>
          <w:rFonts w:asciiTheme="minorHAnsi" w:hAnsiTheme="minorHAnsi"/>
        </w:rPr>
        <w:tab/>
        <w:t>Powyższe zasady należy stosować także do oznakowań tymczasowych wykonywanych materiałami o barwie żółtej.</w:t>
      </w:r>
    </w:p>
    <w:p w:rsidR="009B7C43" w:rsidRPr="00A836C9" w:rsidRDefault="009B7C43" w:rsidP="009B7C43">
      <w:pPr>
        <w:rPr>
          <w:rFonts w:asciiTheme="minorHAnsi" w:hAnsiTheme="minorHAnsi"/>
        </w:rPr>
      </w:pPr>
      <w:r w:rsidRPr="00A836C9">
        <w:rPr>
          <w:rFonts w:asciiTheme="minorHAnsi" w:hAnsiTheme="minorHAnsi"/>
          <w:b/>
        </w:rPr>
        <w:t>2.3.</w:t>
      </w:r>
      <w:r w:rsidRPr="00A836C9">
        <w:rPr>
          <w:rFonts w:asciiTheme="minorHAnsi" w:hAnsiTheme="minorHAnsi"/>
        </w:rPr>
        <w:t xml:space="preserve"> Badanie materiałów, których jakość budzi wątpliwość</w:t>
      </w:r>
    </w:p>
    <w:p w:rsidR="009B7C43" w:rsidRPr="00A836C9" w:rsidRDefault="009B7C43" w:rsidP="009B7C43">
      <w:pPr>
        <w:rPr>
          <w:rFonts w:asciiTheme="minorHAnsi" w:hAnsiTheme="minorHAnsi"/>
        </w:rPr>
      </w:pPr>
      <w:r w:rsidRPr="00A836C9">
        <w:rPr>
          <w:rFonts w:asciiTheme="minorHAnsi" w:hAnsiTheme="minorHAnsi"/>
        </w:rPr>
        <w:tab/>
        <w:t>Wykonawca powinien przeprowadzić dodatkowe badania tych materiałów, które budzą wątpliwości jego lub Inżyniera, co do jakości, w celu stwierdzenia czy odpowiadają one wymaganiom określonym w aprobacie technicznej. Badania te Wykonawca zleci IBDiM lub akredytowanemu laboratorium drogowemu. Badania powinny być wykonane zgodnie z PN-EN 1871:2003 lub Warunkami Technicznymi POD-97 lub POD-2006 po ich wydaniu.</w:t>
      </w:r>
    </w:p>
    <w:p w:rsidR="009B7C43" w:rsidRPr="00A836C9" w:rsidRDefault="009B7C43" w:rsidP="009B7C43">
      <w:pPr>
        <w:rPr>
          <w:rFonts w:asciiTheme="minorHAnsi" w:hAnsiTheme="minorHAnsi"/>
        </w:rPr>
      </w:pPr>
      <w:r w:rsidRPr="00A836C9">
        <w:rPr>
          <w:rFonts w:asciiTheme="minorHAnsi" w:hAnsiTheme="minorHAnsi"/>
          <w:b/>
        </w:rPr>
        <w:t>2.4.</w:t>
      </w:r>
      <w:r w:rsidRPr="00A836C9">
        <w:rPr>
          <w:rFonts w:asciiTheme="minorHAnsi" w:hAnsiTheme="minorHAnsi"/>
        </w:rPr>
        <w:t xml:space="preserve"> Oznakowanie opakowań</w:t>
      </w:r>
    </w:p>
    <w:p w:rsidR="009B7C43" w:rsidRPr="00A836C9" w:rsidRDefault="009B7C43" w:rsidP="009B7C43">
      <w:pPr>
        <w:rPr>
          <w:rFonts w:asciiTheme="minorHAnsi" w:hAnsiTheme="minorHAnsi"/>
        </w:rPr>
      </w:pPr>
      <w:r w:rsidRPr="00A836C9">
        <w:rPr>
          <w:rFonts w:asciiTheme="minorHAnsi" w:hAnsiTheme="minorHAnsi"/>
        </w:rPr>
        <w:tab/>
        <w:t>Wykonawca powinien żądać od producenta, aby oznakowanie opakowań materiałów do poziomego znakowania dróg było wykonane zgodnie z PN-O-79252, a ponadto aby na każdym opakowaniu był umieszczony trwały napis zawierający:</w:t>
      </w:r>
    </w:p>
    <w:p w:rsidR="009B7C43" w:rsidRPr="00A836C9" w:rsidRDefault="009B7C43" w:rsidP="009B7C43">
      <w:pPr>
        <w:rPr>
          <w:rFonts w:asciiTheme="minorHAnsi" w:hAnsiTheme="minorHAnsi"/>
        </w:rPr>
      </w:pPr>
      <w:r>
        <w:rPr>
          <w:rFonts w:asciiTheme="minorHAnsi" w:hAnsiTheme="minorHAnsi"/>
        </w:rPr>
        <w:t>-</w:t>
      </w:r>
      <w:r w:rsidRPr="00A836C9">
        <w:rPr>
          <w:rFonts w:asciiTheme="minorHAnsi" w:hAnsiTheme="minorHAnsi"/>
        </w:rPr>
        <w:t>nazwę i adres producenta,</w:t>
      </w:r>
    </w:p>
    <w:p w:rsidR="009B7C43" w:rsidRPr="00A836C9" w:rsidRDefault="009B7C43" w:rsidP="009B7C43">
      <w:pPr>
        <w:rPr>
          <w:rFonts w:asciiTheme="minorHAnsi" w:hAnsiTheme="minorHAnsi"/>
        </w:rPr>
      </w:pPr>
      <w:r>
        <w:rPr>
          <w:rFonts w:asciiTheme="minorHAnsi" w:hAnsiTheme="minorHAnsi"/>
        </w:rPr>
        <w:t>-</w:t>
      </w:r>
      <w:r w:rsidRPr="00A836C9">
        <w:rPr>
          <w:rFonts w:asciiTheme="minorHAnsi" w:hAnsiTheme="minorHAnsi"/>
        </w:rPr>
        <w:t>datę produkcji i termin przydatności do użycia,</w:t>
      </w:r>
    </w:p>
    <w:p w:rsidR="009B7C43" w:rsidRPr="00A836C9" w:rsidRDefault="009B7C43" w:rsidP="009B7C43">
      <w:pPr>
        <w:rPr>
          <w:rFonts w:asciiTheme="minorHAnsi" w:hAnsiTheme="minorHAnsi"/>
        </w:rPr>
      </w:pPr>
      <w:r>
        <w:rPr>
          <w:rFonts w:asciiTheme="minorHAnsi" w:hAnsiTheme="minorHAnsi"/>
        </w:rPr>
        <w:t>-</w:t>
      </w:r>
      <w:r w:rsidRPr="00A836C9">
        <w:rPr>
          <w:rFonts w:asciiTheme="minorHAnsi" w:hAnsiTheme="minorHAnsi"/>
        </w:rPr>
        <w:t>masę netto,</w:t>
      </w:r>
    </w:p>
    <w:p w:rsidR="009B7C43" w:rsidRPr="00A836C9" w:rsidRDefault="009B7C43" w:rsidP="009B7C43">
      <w:pPr>
        <w:rPr>
          <w:rFonts w:asciiTheme="minorHAnsi" w:hAnsiTheme="minorHAnsi"/>
        </w:rPr>
      </w:pPr>
      <w:r>
        <w:rPr>
          <w:rFonts w:asciiTheme="minorHAnsi" w:hAnsiTheme="minorHAnsi"/>
        </w:rPr>
        <w:t>-</w:t>
      </w:r>
      <w:r w:rsidRPr="00A836C9">
        <w:rPr>
          <w:rFonts w:asciiTheme="minorHAnsi" w:hAnsiTheme="minorHAnsi"/>
        </w:rPr>
        <w:t>numer partii i datę produkcji,</w:t>
      </w:r>
    </w:p>
    <w:p w:rsidR="009B7C43" w:rsidRPr="00A836C9" w:rsidRDefault="009B7C43" w:rsidP="009B7C43">
      <w:pPr>
        <w:rPr>
          <w:rFonts w:asciiTheme="minorHAnsi" w:hAnsiTheme="minorHAnsi"/>
        </w:rPr>
      </w:pPr>
      <w:r>
        <w:rPr>
          <w:rFonts w:asciiTheme="minorHAnsi" w:hAnsiTheme="minorHAnsi"/>
        </w:rPr>
        <w:t>-</w:t>
      </w:r>
      <w:r w:rsidRPr="00A836C9">
        <w:rPr>
          <w:rFonts w:asciiTheme="minorHAnsi" w:hAnsiTheme="minorHAnsi"/>
        </w:rPr>
        <w:t>informację, że wyrób posiada aprobatę techniczną IBDiM i jej numer,</w:t>
      </w:r>
    </w:p>
    <w:p w:rsidR="009B7C43" w:rsidRPr="00A836C9" w:rsidRDefault="009B7C43" w:rsidP="009B7C43">
      <w:pPr>
        <w:rPr>
          <w:rFonts w:asciiTheme="minorHAnsi" w:hAnsiTheme="minorHAnsi"/>
        </w:rPr>
      </w:pPr>
      <w:r>
        <w:rPr>
          <w:rFonts w:asciiTheme="minorHAnsi" w:hAnsiTheme="minorHAnsi"/>
        </w:rPr>
        <w:t>-</w:t>
      </w:r>
      <w:r w:rsidRPr="00A836C9">
        <w:rPr>
          <w:rFonts w:asciiTheme="minorHAnsi" w:hAnsiTheme="minorHAnsi"/>
        </w:rPr>
        <w:t xml:space="preserve">nazwę jednostki certyfikującej i numer certyfikatu, jeśli dotyczy, </w:t>
      </w:r>
    </w:p>
    <w:p w:rsidR="009B7C43" w:rsidRPr="00A836C9" w:rsidRDefault="009B7C43" w:rsidP="009B7C43">
      <w:pPr>
        <w:rPr>
          <w:rFonts w:asciiTheme="minorHAnsi" w:hAnsiTheme="minorHAnsi"/>
        </w:rPr>
      </w:pPr>
      <w:r>
        <w:rPr>
          <w:rFonts w:asciiTheme="minorHAnsi" w:hAnsiTheme="minorHAnsi"/>
        </w:rPr>
        <w:t>-</w:t>
      </w:r>
      <w:r w:rsidRPr="00A836C9">
        <w:rPr>
          <w:rFonts w:asciiTheme="minorHAnsi" w:hAnsiTheme="minorHAnsi"/>
        </w:rPr>
        <w:t>znak budowlany „B” wg rozporządzenia Ministra Infrastruktury i/lub znak „CE” wg rozporządzenia Ministra Infrastruktury,</w:t>
      </w:r>
    </w:p>
    <w:p w:rsidR="009B7C43" w:rsidRPr="00A836C9" w:rsidRDefault="009B7C43" w:rsidP="009B7C43">
      <w:pPr>
        <w:rPr>
          <w:rFonts w:asciiTheme="minorHAnsi" w:hAnsiTheme="minorHAnsi"/>
        </w:rPr>
      </w:pPr>
      <w:r>
        <w:rPr>
          <w:rFonts w:asciiTheme="minorHAnsi" w:hAnsiTheme="minorHAnsi"/>
        </w:rPr>
        <w:t>-</w:t>
      </w:r>
      <w:r w:rsidRPr="00A836C9">
        <w:rPr>
          <w:rFonts w:asciiTheme="minorHAnsi" w:hAnsiTheme="minorHAnsi"/>
        </w:rPr>
        <w:t>informację o szkodliwości i klasie zagrożenia pożarowego,</w:t>
      </w:r>
    </w:p>
    <w:p w:rsidR="009B7C43" w:rsidRPr="00A836C9" w:rsidRDefault="009B7C43" w:rsidP="009B7C43">
      <w:pPr>
        <w:rPr>
          <w:rFonts w:asciiTheme="minorHAnsi" w:hAnsiTheme="minorHAnsi"/>
        </w:rPr>
      </w:pPr>
      <w:r>
        <w:rPr>
          <w:rFonts w:asciiTheme="minorHAnsi" w:hAnsiTheme="minorHAnsi"/>
        </w:rPr>
        <w:t>-</w:t>
      </w:r>
      <w:r w:rsidRPr="00A836C9">
        <w:rPr>
          <w:rFonts w:asciiTheme="minorHAnsi" w:hAnsiTheme="minorHAnsi"/>
        </w:rPr>
        <w:t>ewentualne wskazówki dla użytkowników.</w:t>
      </w:r>
    </w:p>
    <w:p w:rsidR="009B7C43" w:rsidRPr="00A836C9" w:rsidRDefault="009B7C43" w:rsidP="009B7C43">
      <w:pPr>
        <w:rPr>
          <w:rFonts w:asciiTheme="minorHAnsi" w:hAnsiTheme="minorHAnsi"/>
        </w:rPr>
      </w:pPr>
      <w:r w:rsidRPr="00A836C9">
        <w:rPr>
          <w:rFonts w:asciiTheme="minorHAnsi" w:hAnsiTheme="minorHAnsi"/>
        </w:rPr>
        <w:t>W przypadku farb rozpuszczalnikowych i wyrobów chemoutwardzalnych oznakowanie opakowania powinno być zgodne z rozporządzeniem Ministra Zdrowia.</w:t>
      </w:r>
    </w:p>
    <w:p w:rsidR="009B7C43" w:rsidRPr="00A836C9" w:rsidRDefault="009B7C43" w:rsidP="009B7C43">
      <w:pPr>
        <w:rPr>
          <w:rFonts w:asciiTheme="minorHAnsi" w:hAnsiTheme="minorHAnsi"/>
        </w:rPr>
      </w:pPr>
      <w:r w:rsidRPr="00A836C9">
        <w:rPr>
          <w:rFonts w:asciiTheme="minorHAnsi" w:hAnsiTheme="minorHAnsi"/>
          <w:b/>
        </w:rPr>
        <w:t>2.5.</w:t>
      </w:r>
      <w:r w:rsidRPr="00A836C9">
        <w:rPr>
          <w:rFonts w:asciiTheme="minorHAnsi" w:hAnsiTheme="minorHAnsi"/>
        </w:rPr>
        <w:t xml:space="preserve"> Przepisy określające wymagania dla materiałów</w:t>
      </w:r>
    </w:p>
    <w:p w:rsidR="009B7C43" w:rsidRPr="00A836C9" w:rsidRDefault="009B7C43" w:rsidP="009B7C43">
      <w:pPr>
        <w:rPr>
          <w:rFonts w:asciiTheme="minorHAnsi" w:hAnsiTheme="minorHAnsi"/>
        </w:rPr>
      </w:pPr>
      <w:r w:rsidRPr="00A836C9">
        <w:rPr>
          <w:rFonts w:asciiTheme="minorHAnsi" w:hAnsiTheme="minorHAnsi"/>
        </w:rPr>
        <w:tab/>
        <w:t>Podstawowe wymagania dotyczące materiałów podano w punkcie 2.6, a szczegółowe wymagania określone są w Warunkach technicznych POD-97 lub POD-2006 po ich wydaniu.</w:t>
      </w:r>
    </w:p>
    <w:p w:rsidR="009B7C43" w:rsidRPr="00A836C9" w:rsidRDefault="009B7C43" w:rsidP="009B7C43">
      <w:pPr>
        <w:rPr>
          <w:rFonts w:asciiTheme="minorHAnsi" w:hAnsiTheme="minorHAnsi"/>
        </w:rPr>
      </w:pPr>
      <w:r w:rsidRPr="00A836C9">
        <w:rPr>
          <w:rFonts w:asciiTheme="minorHAnsi" w:hAnsiTheme="minorHAnsi"/>
          <w:b/>
        </w:rPr>
        <w:t>2.6.</w:t>
      </w:r>
      <w:r w:rsidRPr="00A836C9">
        <w:rPr>
          <w:rFonts w:asciiTheme="minorHAnsi" w:hAnsiTheme="minorHAnsi"/>
        </w:rPr>
        <w:t xml:space="preserve"> Wymagania wobec materiałów do poziomego oznakowania cienkowarstwowego dróg</w:t>
      </w:r>
    </w:p>
    <w:p w:rsidR="009B7C43" w:rsidRPr="00A836C9" w:rsidRDefault="009B7C43" w:rsidP="009B7C43">
      <w:pPr>
        <w:rPr>
          <w:rFonts w:asciiTheme="minorHAnsi" w:hAnsiTheme="minorHAnsi"/>
        </w:rPr>
      </w:pPr>
      <w:r w:rsidRPr="00A836C9">
        <w:rPr>
          <w:rFonts w:asciiTheme="minorHAnsi" w:hAnsiTheme="minorHAnsi"/>
        </w:rPr>
        <w:tab/>
        <w:t xml:space="preserve">Materiałami do wykonywania oznakowania cienkowarstwowego powinny być farby nakładane warstwą grubości od </w:t>
      </w:r>
      <w:smartTag w:uri="urn:schemas-microsoft-com:office:smarttags" w:element="metricconverter">
        <w:smartTagPr>
          <w:attr w:name="ProductID" w:val="0,4 mm"/>
        </w:smartTagPr>
        <w:r w:rsidRPr="00A836C9">
          <w:rPr>
            <w:rFonts w:asciiTheme="minorHAnsi" w:hAnsiTheme="minorHAnsi"/>
          </w:rPr>
          <w:t>0,4 mm</w:t>
        </w:r>
      </w:smartTag>
      <w:r w:rsidRPr="00A836C9">
        <w:rPr>
          <w:rFonts w:asciiTheme="minorHAnsi" w:hAnsiTheme="minorHAnsi"/>
        </w:rPr>
        <w:t xml:space="preserve"> do </w:t>
      </w:r>
      <w:smartTag w:uri="urn:schemas-microsoft-com:office:smarttags" w:element="metricconverter">
        <w:smartTagPr>
          <w:attr w:name="ProductID" w:val="0,8 mm"/>
        </w:smartTagPr>
        <w:r w:rsidRPr="00A836C9">
          <w:rPr>
            <w:rFonts w:asciiTheme="minorHAnsi" w:hAnsiTheme="minorHAnsi"/>
          </w:rPr>
          <w:t>0,8 mm</w:t>
        </w:r>
      </w:smartTag>
      <w:r w:rsidRPr="00A836C9">
        <w:rPr>
          <w:rFonts w:asciiTheme="minorHAnsi" w:hAnsiTheme="minorHAnsi"/>
        </w:rPr>
        <w:t xml:space="preserve"> (na mokro). Powinny to być ciekłe produkty zawierające ciała stałe zdyspergowane w roztworze żywicy syntetycznej w rozpuszczalniku organicznym lub w wodzie, które mogą występować w układach jedno- lub wieloskładnikowych.</w:t>
      </w:r>
    </w:p>
    <w:p w:rsidR="009B7C43" w:rsidRPr="00A836C9" w:rsidRDefault="009B7C43" w:rsidP="009B7C43">
      <w:pPr>
        <w:rPr>
          <w:rFonts w:asciiTheme="minorHAnsi" w:hAnsiTheme="minorHAnsi"/>
        </w:rPr>
      </w:pPr>
      <w:r w:rsidRPr="00A836C9">
        <w:rPr>
          <w:rFonts w:asciiTheme="minorHAnsi" w:hAnsiTheme="minorHAnsi"/>
        </w:rPr>
        <w:tab/>
        <w:t xml:space="preserve"> Podczas nakładania farb, do znakowania cienkowarstwowego, na nawierzchnię pędzlem, wałkiem lub przez natrysk, powinny one tworzyć warstwę kohezyjną w procesie odparowania i/lub w procesie chemicznym.</w:t>
      </w:r>
    </w:p>
    <w:p w:rsidR="009B7C43" w:rsidRPr="00A836C9" w:rsidRDefault="009B7C43" w:rsidP="009B7C43">
      <w:pPr>
        <w:rPr>
          <w:rFonts w:asciiTheme="minorHAnsi" w:hAnsiTheme="minorHAnsi"/>
        </w:rPr>
      </w:pPr>
      <w:r w:rsidRPr="00A836C9">
        <w:rPr>
          <w:rFonts w:asciiTheme="minorHAnsi" w:hAnsiTheme="minorHAnsi"/>
        </w:rPr>
        <w:tab/>
        <w:t xml:space="preserve">Właściwości fizyczne poszczególnych materiałów do poziomego oznakowania cienkowarstwowego określają aprobaty techniczne. </w:t>
      </w:r>
    </w:p>
    <w:p w:rsidR="009B7C43" w:rsidRPr="00A836C9" w:rsidRDefault="009B7C43" w:rsidP="009B7C43">
      <w:pPr>
        <w:rPr>
          <w:rFonts w:asciiTheme="minorHAnsi" w:hAnsiTheme="minorHAnsi"/>
        </w:rPr>
      </w:pPr>
      <w:r w:rsidRPr="00A836C9">
        <w:rPr>
          <w:rFonts w:asciiTheme="minorHAnsi" w:hAnsiTheme="minorHAnsi"/>
        </w:rPr>
        <w:tab/>
        <w:t xml:space="preserve">Zawartość składników lotnych (rozpuszczalników organicznych) nie powinna przekraczać 25% (m/m) w postaci gotowej do aplikacji, w materiałach do znakowania cienkowarstwowego. </w:t>
      </w:r>
    </w:p>
    <w:p w:rsidR="009B7C43" w:rsidRPr="00A836C9" w:rsidRDefault="009B7C43" w:rsidP="009B7C43">
      <w:pPr>
        <w:rPr>
          <w:rFonts w:asciiTheme="minorHAnsi" w:hAnsiTheme="minorHAnsi"/>
        </w:rPr>
      </w:pPr>
      <w:r w:rsidRPr="00A836C9">
        <w:rPr>
          <w:rFonts w:asciiTheme="minorHAnsi" w:hAnsiTheme="minorHAnsi"/>
        </w:rPr>
        <w:lastRenderedPageBreak/>
        <w:tab/>
        <w:t>Nie dopuszcza się stosowania materiałów zawierających rozpuszczalnik aromatyczny (jak np. toluen, ksylen, etylobenzen) w ilości większej niż 8 % (m/m). Nie dopuszcza się stosowania materiałów zawierających benzen i rozpuszczalniki chlorowane.</w:t>
      </w:r>
    </w:p>
    <w:p w:rsidR="009B7C43" w:rsidRPr="00A836C9" w:rsidRDefault="009B7C43" w:rsidP="009B7C43">
      <w:pPr>
        <w:rPr>
          <w:rFonts w:asciiTheme="minorHAnsi" w:hAnsiTheme="minorHAnsi"/>
        </w:rPr>
      </w:pPr>
      <w:r w:rsidRPr="00A836C9">
        <w:rPr>
          <w:rFonts w:asciiTheme="minorHAnsi" w:hAnsiTheme="minorHAnsi"/>
          <w:b/>
        </w:rPr>
        <w:t>2.6.1.</w:t>
      </w:r>
      <w:r w:rsidRPr="00A836C9">
        <w:rPr>
          <w:rFonts w:asciiTheme="minorHAnsi" w:hAnsiTheme="minorHAnsi"/>
        </w:rPr>
        <w:t xml:space="preserve"> Kulki szklane</w:t>
      </w:r>
    </w:p>
    <w:p w:rsidR="009B7C43" w:rsidRPr="00A836C9" w:rsidRDefault="009B7C43" w:rsidP="009B7C43">
      <w:pPr>
        <w:rPr>
          <w:rFonts w:asciiTheme="minorHAnsi" w:hAnsiTheme="minorHAnsi"/>
        </w:rPr>
      </w:pPr>
      <w:r w:rsidRPr="00A836C9">
        <w:rPr>
          <w:rFonts w:asciiTheme="minorHAnsi" w:hAnsiTheme="minorHAnsi"/>
        </w:rPr>
        <w:tab/>
        <w:t>Materiały w postaci kulek szklanych refleksyjnych do posypywania lub narzucania pod ciśnieniem na materiały do oznakowania powinny zapewniać widzialność w nocy poprzez odbicie powrotne w kierunku pojazdu wiązki światła wysyłanej przez reflektory pojazdu.</w:t>
      </w:r>
    </w:p>
    <w:p w:rsidR="009B7C43" w:rsidRPr="00A836C9" w:rsidRDefault="009B7C43" w:rsidP="009B7C43">
      <w:pPr>
        <w:rPr>
          <w:rFonts w:asciiTheme="minorHAnsi" w:hAnsiTheme="minorHAnsi"/>
        </w:rPr>
      </w:pPr>
      <w:r w:rsidRPr="00A836C9">
        <w:rPr>
          <w:rFonts w:asciiTheme="minorHAnsi" w:hAnsiTheme="minorHAnsi"/>
        </w:rPr>
        <w:tab/>
        <w:t xml:space="preserve">Kulki szklane powinny charakteryzować się współczynnikiem załamania powyżej 1,50, wykazywać odporność na wodę, kwas solny, chlorek wapniowy i siarczek sodowy oraz zawierać nie więcej niż 20% kulek z defektami w przypadku kulek o maksymalnej średnicy poniżej </w:t>
      </w:r>
      <w:smartTag w:uri="urn:schemas-microsoft-com:office:smarttags" w:element="metricconverter">
        <w:smartTagPr>
          <w:attr w:name="ProductID" w:val="1 mm"/>
        </w:smartTagPr>
        <w:r w:rsidRPr="00A836C9">
          <w:rPr>
            <w:rFonts w:asciiTheme="minorHAnsi" w:hAnsiTheme="minorHAnsi"/>
          </w:rPr>
          <w:t>1 mm</w:t>
        </w:r>
      </w:smartTag>
      <w:r w:rsidRPr="00A836C9">
        <w:rPr>
          <w:rFonts w:asciiTheme="minorHAnsi" w:hAnsiTheme="minorHAnsi"/>
        </w:rPr>
        <w:t xml:space="preserve"> oraz 30 % w przypadku kulek o maksymalnej średnicy równej i większej niż </w:t>
      </w:r>
      <w:smartTag w:uri="urn:schemas-microsoft-com:office:smarttags" w:element="metricconverter">
        <w:smartTagPr>
          <w:attr w:name="ProductID" w:val="1 mm"/>
        </w:smartTagPr>
        <w:r w:rsidRPr="00A836C9">
          <w:rPr>
            <w:rFonts w:asciiTheme="minorHAnsi" w:hAnsiTheme="minorHAnsi"/>
          </w:rPr>
          <w:t>1 mm</w:t>
        </w:r>
      </w:smartTag>
      <w:r w:rsidRPr="00A836C9">
        <w:rPr>
          <w:rFonts w:asciiTheme="minorHAnsi" w:hAnsiTheme="minorHAnsi"/>
        </w:rPr>
        <w:t>. Krzywa uziarnienia powinna mieścić się w krzywych granicznych podanych w wymaganiach aprobaty technicznej wyrobu lub w certyfikacie CE.</w:t>
      </w:r>
    </w:p>
    <w:p w:rsidR="009B7C43" w:rsidRPr="00A836C9" w:rsidRDefault="009B7C43" w:rsidP="009B7C43">
      <w:pPr>
        <w:rPr>
          <w:rFonts w:asciiTheme="minorHAnsi" w:hAnsiTheme="minorHAnsi"/>
        </w:rPr>
      </w:pPr>
      <w:r w:rsidRPr="00A836C9">
        <w:rPr>
          <w:rFonts w:asciiTheme="minorHAnsi" w:hAnsiTheme="minorHAnsi"/>
        </w:rPr>
        <w:tab/>
        <w:t xml:space="preserve">Kulki szklane hydrofobizowane powinny ponadto wykazywać stopień hydrofobizacji co najmniej 80%. </w:t>
      </w:r>
    </w:p>
    <w:p w:rsidR="009B7C43" w:rsidRPr="00A836C9" w:rsidRDefault="009B7C43" w:rsidP="009B7C43">
      <w:pPr>
        <w:rPr>
          <w:rFonts w:asciiTheme="minorHAnsi" w:hAnsiTheme="minorHAnsi"/>
        </w:rPr>
      </w:pPr>
      <w:r w:rsidRPr="00A836C9">
        <w:rPr>
          <w:rFonts w:asciiTheme="minorHAnsi" w:hAnsiTheme="minorHAnsi"/>
        </w:rPr>
        <w:tab/>
        <w:t>Wymagania i metody badań kulek szklanych podano w PN-EN 1423:2000.</w:t>
      </w:r>
    </w:p>
    <w:p w:rsidR="009B7C43" w:rsidRPr="00A836C9" w:rsidRDefault="009B7C43" w:rsidP="009B7C43">
      <w:pPr>
        <w:rPr>
          <w:rFonts w:asciiTheme="minorHAnsi" w:hAnsiTheme="minorHAnsi"/>
        </w:rPr>
      </w:pPr>
      <w:r w:rsidRPr="00A836C9">
        <w:rPr>
          <w:rFonts w:asciiTheme="minorHAnsi" w:hAnsiTheme="minorHAnsi"/>
        </w:rPr>
        <w:tab/>
        <w:t>Właściwości kulek szklanych określają odpowiednie aprobaty techniczne, lub certyfikaty „CE”.</w:t>
      </w:r>
    </w:p>
    <w:p w:rsidR="009B7C43" w:rsidRPr="00A836C9" w:rsidRDefault="009B7C43" w:rsidP="009B7C43">
      <w:pPr>
        <w:rPr>
          <w:rFonts w:asciiTheme="minorHAnsi" w:hAnsiTheme="minorHAnsi"/>
        </w:rPr>
      </w:pPr>
      <w:r w:rsidRPr="00A836C9">
        <w:rPr>
          <w:rFonts w:asciiTheme="minorHAnsi" w:hAnsiTheme="minorHAnsi"/>
          <w:b/>
        </w:rPr>
        <w:t>2.6.2.</w:t>
      </w:r>
      <w:r w:rsidRPr="00A836C9">
        <w:rPr>
          <w:rFonts w:asciiTheme="minorHAnsi" w:hAnsiTheme="minorHAnsi"/>
        </w:rPr>
        <w:t xml:space="preserve"> Materiał uszorstniający oznakowanie</w:t>
      </w:r>
    </w:p>
    <w:p w:rsidR="009B7C43" w:rsidRPr="00A836C9" w:rsidRDefault="009B7C43" w:rsidP="009B7C43">
      <w:pPr>
        <w:rPr>
          <w:rFonts w:asciiTheme="minorHAnsi" w:hAnsiTheme="minorHAnsi"/>
        </w:rPr>
      </w:pPr>
      <w:r w:rsidRPr="00A836C9">
        <w:rPr>
          <w:rFonts w:asciiTheme="minorHAnsi" w:hAnsiTheme="minorHAnsi"/>
        </w:rPr>
        <w:tab/>
        <w:t xml:space="preserve">Materiał uszorstniający oznakowanie powinien składać się z naturalnego lub sztucznego twardego kruszywa (np. krystobalitu), stosowanego w celu zapewnienia oznakowaniu odpowiedniej szorstkości (właściwości antypoślizgowych). Materiał uszorstniający nie może zawierać więcej niż 1% cząstek mniejszych niż 90 </w:t>
      </w:r>
      <w:r w:rsidRPr="00A836C9">
        <w:rPr>
          <w:rFonts w:asciiTheme="minorHAnsi" w:hAnsiTheme="minorHAnsi"/>
        </w:rPr>
        <w:sym w:font="Symbol" w:char="F06D"/>
      </w:r>
      <w:r w:rsidRPr="00A836C9">
        <w:rPr>
          <w:rFonts w:asciiTheme="minorHAnsi" w:hAnsiTheme="minorHAnsi"/>
        </w:rPr>
        <w:t xml:space="preserve">m.. Konieczność jego użycia zachodzi w przypadku potrzeby uzyskania wskaźnika szorstkości oznakowania  SRT </w:t>
      </w:r>
      <w:r w:rsidRPr="00A836C9">
        <w:rPr>
          <w:rFonts w:asciiTheme="minorHAnsi" w:hAnsiTheme="minorHAnsi"/>
        </w:rPr>
        <w:sym w:font="Symbol" w:char="F0B3"/>
      </w:r>
      <w:r w:rsidRPr="00A836C9">
        <w:rPr>
          <w:rFonts w:asciiTheme="minorHAnsi" w:hAnsiTheme="minorHAnsi"/>
        </w:rPr>
        <w:t xml:space="preserve"> 50.</w:t>
      </w:r>
    </w:p>
    <w:p w:rsidR="009B7C43" w:rsidRPr="00A836C9" w:rsidRDefault="009B7C43" w:rsidP="009B7C43">
      <w:pPr>
        <w:rPr>
          <w:rFonts w:asciiTheme="minorHAnsi" w:hAnsiTheme="minorHAnsi"/>
        </w:rPr>
      </w:pPr>
      <w:r w:rsidRPr="00A836C9">
        <w:rPr>
          <w:rFonts w:asciiTheme="minorHAnsi" w:hAnsiTheme="minorHAnsi"/>
        </w:rPr>
        <w:tab/>
        <w:t>Materiał uszorstniający (kruszywo przeciwpoślizgowe) oraz mieszanina kulek szklanych z materiałem uszorstniającym powinny odpowiadać wymaganiom określonym w aprobacie technicznej.</w:t>
      </w:r>
    </w:p>
    <w:p w:rsidR="009B7C43" w:rsidRPr="00A836C9" w:rsidRDefault="009B7C43" w:rsidP="009B7C43">
      <w:pPr>
        <w:rPr>
          <w:rFonts w:asciiTheme="minorHAnsi" w:hAnsiTheme="minorHAnsi"/>
        </w:rPr>
      </w:pPr>
      <w:r w:rsidRPr="00A836C9">
        <w:rPr>
          <w:rFonts w:asciiTheme="minorHAnsi" w:hAnsiTheme="minorHAnsi"/>
          <w:b/>
        </w:rPr>
        <w:t>2.6.3.</w:t>
      </w:r>
      <w:r w:rsidRPr="00A836C9">
        <w:rPr>
          <w:rFonts w:asciiTheme="minorHAnsi" w:hAnsiTheme="minorHAnsi"/>
        </w:rPr>
        <w:t xml:space="preserve"> Punktowe elementy odblaskowe</w:t>
      </w:r>
    </w:p>
    <w:p w:rsidR="009B7C43" w:rsidRPr="00A836C9" w:rsidRDefault="009B7C43" w:rsidP="009B7C43">
      <w:pPr>
        <w:rPr>
          <w:rFonts w:asciiTheme="minorHAnsi" w:hAnsiTheme="minorHAnsi"/>
        </w:rPr>
      </w:pPr>
      <w:r w:rsidRPr="00A836C9">
        <w:rPr>
          <w:rFonts w:asciiTheme="minorHAnsi" w:hAnsiTheme="minorHAnsi"/>
        </w:rPr>
        <w:tab/>
        <w:t>Punktowym elementem odblaskowym powinna być naklejana, kotwiczona lub wbudowana w nawierzchnię płytka z materiału wytrzymującego przejazdy pojazdów samochodowych, zawierająca element odblaskowy umieszczony w ten sposób, aby zapewniał widzialność w nocy, a także w czasie opadów deszczu wg PN-EN 1463-1:2000.</w:t>
      </w:r>
    </w:p>
    <w:p w:rsidR="009B7C43" w:rsidRPr="00A836C9" w:rsidRDefault="009B7C43" w:rsidP="009B7C43">
      <w:pPr>
        <w:rPr>
          <w:rFonts w:asciiTheme="minorHAnsi" w:hAnsiTheme="minorHAnsi"/>
        </w:rPr>
      </w:pPr>
      <w:r w:rsidRPr="00A836C9">
        <w:rPr>
          <w:rFonts w:asciiTheme="minorHAnsi" w:hAnsiTheme="minorHAnsi"/>
        </w:rPr>
        <w:tab/>
        <w:t>Odbłyśnik, będący częścią punktowego elementu odblaskowego może być:</w:t>
      </w:r>
    </w:p>
    <w:p w:rsidR="009B7C43" w:rsidRPr="00A836C9" w:rsidRDefault="009B7C43" w:rsidP="009B7C43">
      <w:pPr>
        <w:rPr>
          <w:rFonts w:asciiTheme="minorHAnsi" w:hAnsiTheme="minorHAnsi"/>
        </w:rPr>
      </w:pPr>
      <w:r w:rsidRPr="00A836C9">
        <w:rPr>
          <w:rFonts w:asciiTheme="minorHAnsi" w:hAnsiTheme="minorHAnsi"/>
        </w:rPr>
        <w:t>szklany lub plastikowy w całości lub z dodatkową warstwą odbijającą znajdującą się na powierzchni nie wystawionej na zewnątrz i nie narażoną na przejeżdżanie pojazdów,</w:t>
      </w:r>
    </w:p>
    <w:p w:rsidR="009B7C43" w:rsidRPr="00A836C9" w:rsidRDefault="009B7C43" w:rsidP="009B7C43">
      <w:pPr>
        <w:rPr>
          <w:rFonts w:asciiTheme="minorHAnsi" w:hAnsiTheme="minorHAnsi"/>
        </w:rPr>
      </w:pPr>
      <w:r w:rsidRPr="00A836C9">
        <w:rPr>
          <w:rFonts w:asciiTheme="minorHAnsi" w:hAnsiTheme="minorHAnsi"/>
        </w:rPr>
        <w:t>plastikowy z warstwą zabezpieczającą przed ścieraniem, który może mieć warstwę odbijającą tylko w miejscu nie wystawionym na ruch i w którym powierzchnie wystawione na ruch są zabezpieczone warstwami odpornymi na ścieranie.</w:t>
      </w:r>
    </w:p>
    <w:p w:rsidR="009B7C43" w:rsidRPr="00A836C9" w:rsidRDefault="009B7C43" w:rsidP="009B7C43">
      <w:pPr>
        <w:rPr>
          <w:rFonts w:asciiTheme="minorHAnsi" w:hAnsiTheme="minorHAnsi"/>
        </w:rPr>
      </w:pPr>
      <w:r w:rsidRPr="00A836C9">
        <w:rPr>
          <w:rFonts w:asciiTheme="minorHAnsi" w:hAnsiTheme="minorHAnsi"/>
        </w:rPr>
        <w:tab/>
        <w:t xml:space="preserve">Profil punktowego elementu odblaskowego nie powinien mieć żadnych ostrych krawędzi od strony najeżdżanej przez pojazdy. Jeśli punktowy element odblaskowy jest wykonany z dwu lub więcej części, każda z nich powinna być usuwalna tylko za pomocą narzędzi polecanych przez producenta. Wysokość punktowego elementu nie może być większa od </w:t>
      </w:r>
      <w:smartTag w:uri="urn:schemas-microsoft-com:office:smarttags" w:element="metricconverter">
        <w:smartTagPr>
          <w:attr w:name="ProductID" w:val="25 mm"/>
        </w:smartTagPr>
        <w:r w:rsidRPr="00A836C9">
          <w:rPr>
            <w:rFonts w:asciiTheme="minorHAnsi" w:hAnsiTheme="minorHAnsi"/>
          </w:rPr>
          <w:t>25 mm</w:t>
        </w:r>
      </w:smartTag>
      <w:r w:rsidRPr="00A836C9">
        <w:rPr>
          <w:rFonts w:asciiTheme="minorHAnsi" w:hAnsiTheme="minorHAnsi"/>
        </w:rPr>
        <w:t>. Barwa, w przypadku oznakowania trwałego, powinna być biała lub czerwona, a dla oznakowania czasowego – żółta zgodnie z załącznikiem nr 2 do rozporządzenia Ministra Infrastruktury.</w:t>
      </w:r>
    </w:p>
    <w:p w:rsidR="009B7C43" w:rsidRPr="00A836C9" w:rsidRDefault="009B7C43" w:rsidP="009B7C43">
      <w:pPr>
        <w:rPr>
          <w:rFonts w:asciiTheme="minorHAnsi" w:hAnsiTheme="minorHAnsi"/>
        </w:rPr>
      </w:pPr>
      <w:r w:rsidRPr="00A836C9">
        <w:rPr>
          <w:rFonts w:asciiTheme="minorHAnsi" w:hAnsiTheme="minorHAnsi"/>
        </w:rPr>
        <w:tab/>
        <w:t>Właściwości i wymagania dotyczące punktowych elementów odblaskowych określone są w normie zharmonizowanej i odpowiednich  aprobatach technicznych.</w:t>
      </w:r>
    </w:p>
    <w:p w:rsidR="009B7C43" w:rsidRPr="00A836C9" w:rsidRDefault="009B7C43" w:rsidP="009B7C43">
      <w:pPr>
        <w:rPr>
          <w:rFonts w:asciiTheme="minorHAnsi" w:hAnsiTheme="minorHAnsi"/>
        </w:rPr>
      </w:pPr>
      <w:r w:rsidRPr="00A836C9">
        <w:rPr>
          <w:rFonts w:asciiTheme="minorHAnsi" w:hAnsiTheme="minorHAnsi"/>
          <w:b/>
        </w:rPr>
        <w:t>2.6.4.</w:t>
      </w:r>
      <w:r w:rsidRPr="00A836C9">
        <w:rPr>
          <w:rFonts w:asciiTheme="minorHAnsi" w:hAnsiTheme="minorHAnsi"/>
        </w:rPr>
        <w:t xml:space="preserve"> Wymagania wobec materiałów ze względu na ochronę warunków pracy i środowiska</w:t>
      </w:r>
    </w:p>
    <w:p w:rsidR="009B7C43" w:rsidRPr="00A836C9" w:rsidRDefault="009B7C43" w:rsidP="009B7C43">
      <w:pPr>
        <w:rPr>
          <w:rFonts w:asciiTheme="minorHAnsi" w:hAnsiTheme="minorHAnsi"/>
        </w:rPr>
      </w:pPr>
      <w:r w:rsidRPr="00A836C9">
        <w:rPr>
          <w:rFonts w:asciiTheme="minorHAnsi" w:hAnsiTheme="minorHAnsi"/>
        </w:rPr>
        <w:tab/>
        <w:t>Materiały stosowane do znakowania nawierzchni nie powinny zawierać substancji zagrażających zdrowiu ludzi i powodujących skażenie środowiska.</w:t>
      </w:r>
    </w:p>
    <w:p w:rsidR="009B7C43" w:rsidRPr="00A836C9" w:rsidRDefault="009B7C43" w:rsidP="009B7C43">
      <w:pPr>
        <w:rPr>
          <w:rFonts w:asciiTheme="minorHAnsi" w:hAnsiTheme="minorHAnsi"/>
        </w:rPr>
      </w:pPr>
      <w:r w:rsidRPr="00A836C9">
        <w:rPr>
          <w:rFonts w:asciiTheme="minorHAnsi" w:hAnsiTheme="minorHAnsi"/>
          <w:b/>
        </w:rPr>
        <w:t>2.7.</w:t>
      </w:r>
      <w:r w:rsidRPr="00A836C9">
        <w:rPr>
          <w:rFonts w:asciiTheme="minorHAnsi" w:hAnsiTheme="minorHAnsi"/>
        </w:rPr>
        <w:t xml:space="preserve"> Przechowywanie i składowanie materiałów</w:t>
      </w:r>
    </w:p>
    <w:p w:rsidR="009B7C43" w:rsidRPr="00A836C9" w:rsidRDefault="009B7C43" w:rsidP="009B7C43">
      <w:pPr>
        <w:rPr>
          <w:rFonts w:asciiTheme="minorHAnsi" w:hAnsiTheme="minorHAnsi"/>
        </w:rPr>
      </w:pPr>
      <w:r w:rsidRPr="00A836C9">
        <w:rPr>
          <w:rFonts w:asciiTheme="minorHAnsi" w:hAnsiTheme="minorHAnsi"/>
        </w:rPr>
        <w:tab/>
        <w:t>Materiały do oznakowania cienkowarstwowego nawierzchni powinny zachować stałość swoich właściwości chemicznych i fizykochemicznych przez okres co najmniej 6 miesięcy składowania w warunkach określonych przez producenta.</w:t>
      </w:r>
    </w:p>
    <w:p w:rsidR="009B7C43" w:rsidRPr="00A836C9" w:rsidRDefault="009B7C43" w:rsidP="009B7C43">
      <w:pPr>
        <w:rPr>
          <w:rFonts w:asciiTheme="minorHAnsi" w:hAnsiTheme="minorHAnsi"/>
        </w:rPr>
      </w:pPr>
      <w:r w:rsidRPr="00A836C9">
        <w:rPr>
          <w:rFonts w:asciiTheme="minorHAnsi" w:hAnsiTheme="minorHAnsi"/>
        </w:rPr>
        <w:tab/>
        <w:t>Materiały do poziomego oznakowania dróg należy przechowywać w magazynach odpowiadających zaleceniom producenta, zwłaszcza zabezpieczających je od napromieniowania słonecznego, opadów i w temperaturze, dla:</w:t>
      </w:r>
    </w:p>
    <w:p w:rsidR="009B7C43" w:rsidRPr="00A836C9" w:rsidRDefault="009B7C43" w:rsidP="009B7C43">
      <w:pPr>
        <w:rPr>
          <w:rFonts w:asciiTheme="minorHAnsi" w:hAnsiTheme="minorHAnsi"/>
        </w:rPr>
      </w:pPr>
      <w:r>
        <w:rPr>
          <w:rFonts w:asciiTheme="minorHAnsi" w:hAnsiTheme="minorHAnsi"/>
        </w:rPr>
        <w:t>-</w:t>
      </w:r>
      <w:r w:rsidRPr="00A836C9">
        <w:rPr>
          <w:rFonts w:asciiTheme="minorHAnsi" w:hAnsiTheme="minorHAnsi"/>
        </w:rPr>
        <w:t>farb wodorozcieńczalnych od 5</w:t>
      </w:r>
      <w:r w:rsidRPr="00A836C9">
        <w:rPr>
          <w:rFonts w:asciiTheme="minorHAnsi" w:hAnsiTheme="minorHAnsi"/>
          <w:vertAlign w:val="superscript"/>
        </w:rPr>
        <w:t>o</w:t>
      </w:r>
      <w:r w:rsidRPr="00A836C9">
        <w:rPr>
          <w:rFonts w:asciiTheme="minorHAnsi" w:hAnsiTheme="minorHAnsi"/>
        </w:rPr>
        <w:t>C do 40</w:t>
      </w:r>
      <w:r w:rsidRPr="00A836C9">
        <w:rPr>
          <w:rFonts w:asciiTheme="minorHAnsi" w:hAnsiTheme="minorHAnsi"/>
          <w:vertAlign w:val="superscript"/>
        </w:rPr>
        <w:t>o</w:t>
      </w:r>
      <w:r w:rsidRPr="00A836C9">
        <w:rPr>
          <w:rFonts w:asciiTheme="minorHAnsi" w:hAnsiTheme="minorHAnsi"/>
        </w:rPr>
        <w:t>C,</w:t>
      </w:r>
    </w:p>
    <w:p w:rsidR="009B7C43" w:rsidRPr="00A836C9" w:rsidRDefault="009B7C43" w:rsidP="009B7C43">
      <w:pPr>
        <w:rPr>
          <w:rFonts w:asciiTheme="minorHAnsi" w:hAnsiTheme="minorHAnsi"/>
        </w:rPr>
      </w:pPr>
      <w:r>
        <w:rPr>
          <w:rFonts w:asciiTheme="minorHAnsi" w:hAnsiTheme="minorHAnsi"/>
        </w:rPr>
        <w:t>-</w:t>
      </w:r>
      <w:r w:rsidRPr="00A836C9">
        <w:rPr>
          <w:rFonts w:asciiTheme="minorHAnsi" w:hAnsiTheme="minorHAnsi"/>
        </w:rPr>
        <w:t>farb rozpuszczalnikowych od -5</w:t>
      </w:r>
      <w:r w:rsidRPr="00A836C9">
        <w:rPr>
          <w:rFonts w:asciiTheme="minorHAnsi" w:hAnsiTheme="minorHAnsi"/>
          <w:vertAlign w:val="superscript"/>
        </w:rPr>
        <w:t>o</w:t>
      </w:r>
      <w:r w:rsidRPr="00A836C9">
        <w:rPr>
          <w:rFonts w:asciiTheme="minorHAnsi" w:hAnsiTheme="minorHAnsi"/>
        </w:rPr>
        <w:t>C do 25</w:t>
      </w:r>
      <w:r w:rsidRPr="00A836C9">
        <w:rPr>
          <w:rFonts w:asciiTheme="minorHAnsi" w:hAnsiTheme="minorHAnsi"/>
          <w:vertAlign w:val="superscript"/>
        </w:rPr>
        <w:t>o</w:t>
      </w:r>
      <w:r w:rsidRPr="00A836C9">
        <w:rPr>
          <w:rFonts w:asciiTheme="minorHAnsi" w:hAnsiTheme="minorHAnsi"/>
        </w:rPr>
        <w:t>C,</w:t>
      </w:r>
    </w:p>
    <w:p w:rsidR="009B7C43" w:rsidRPr="00A836C9" w:rsidRDefault="009B7C43" w:rsidP="009B7C43">
      <w:pPr>
        <w:rPr>
          <w:rFonts w:asciiTheme="minorHAnsi" w:hAnsiTheme="minorHAnsi"/>
        </w:rPr>
      </w:pPr>
      <w:r>
        <w:rPr>
          <w:rFonts w:asciiTheme="minorHAnsi" w:hAnsiTheme="minorHAnsi"/>
        </w:rPr>
        <w:t>-</w:t>
      </w:r>
      <w:r w:rsidRPr="00A836C9">
        <w:rPr>
          <w:rFonts w:asciiTheme="minorHAnsi" w:hAnsiTheme="minorHAnsi"/>
        </w:rPr>
        <w:t>pozostałych materiałów - poniżej 40</w:t>
      </w:r>
      <w:r w:rsidRPr="00A836C9">
        <w:rPr>
          <w:rFonts w:asciiTheme="minorHAnsi" w:hAnsiTheme="minorHAnsi"/>
          <w:vertAlign w:val="superscript"/>
        </w:rPr>
        <w:t>o</w:t>
      </w:r>
      <w:r w:rsidRPr="00A836C9">
        <w:rPr>
          <w:rFonts w:asciiTheme="minorHAnsi" w:hAnsiTheme="minorHAnsi"/>
        </w:rPr>
        <w:t>C.</w:t>
      </w:r>
    </w:p>
    <w:p w:rsidR="00F040CD" w:rsidRDefault="00F040CD" w:rsidP="009B7C43">
      <w:pPr>
        <w:rPr>
          <w:rFonts w:asciiTheme="minorHAnsi" w:hAnsiTheme="minorHAnsi"/>
          <w:b/>
        </w:rPr>
      </w:pPr>
      <w:bookmarkStart w:id="1578" w:name="_Toc420816682"/>
    </w:p>
    <w:p w:rsidR="00F040CD" w:rsidRDefault="00F040CD" w:rsidP="009B7C43">
      <w:pPr>
        <w:rPr>
          <w:rFonts w:asciiTheme="minorHAnsi" w:hAnsiTheme="minorHAnsi"/>
          <w:b/>
        </w:rPr>
      </w:pPr>
    </w:p>
    <w:p w:rsidR="00F040CD" w:rsidRDefault="00F040CD" w:rsidP="009B7C43">
      <w:pPr>
        <w:rPr>
          <w:rFonts w:asciiTheme="minorHAnsi" w:hAnsiTheme="minorHAnsi"/>
          <w:b/>
        </w:rPr>
      </w:pPr>
    </w:p>
    <w:p w:rsidR="009B7C43" w:rsidRPr="00A836C9" w:rsidRDefault="009B7C43" w:rsidP="009B7C43">
      <w:pPr>
        <w:rPr>
          <w:rFonts w:asciiTheme="minorHAnsi" w:hAnsiTheme="minorHAnsi"/>
          <w:b/>
        </w:rPr>
      </w:pPr>
      <w:r w:rsidRPr="00A836C9">
        <w:rPr>
          <w:rFonts w:asciiTheme="minorHAnsi" w:hAnsiTheme="minorHAnsi"/>
          <w:b/>
        </w:rPr>
        <w:lastRenderedPageBreak/>
        <w:t xml:space="preserve">3. </w:t>
      </w:r>
      <w:bookmarkEnd w:id="1578"/>
      <w:r w:rsidRPr="00A836C9">
        <w:rPr>
          <w:rFonts w:asciiTheme="minorHAnsi" w:hAnsiTheme="minorHAnsi"/>
          <w:b/>
        </w:rPr>
        <w:t>SPRZĘT</w:t>
      </w:r>
    </w:p>
    <w:p w:rsidR="009B7C43" w:rsidRPr="00A836C9" w:rsidRDefault="009B7C43" w:rsidP="009B7C43">
      <w:pPr>
        <w:rPr>
          <w:rFonts w:asciiTheme="minorHAnsi" w:hAnsiTheme="minorHAnsi"/>
        </w:rPr>
      </w:pPr>
      <w:r w:rsidRPr="00A836C9">
        <w:rPr>
          <w:rFonts w:asciiTheme="minorHAnsi" w:hAnsiTheme="minorHAnsi"/>
          <w:b/>
        </w:rPr>
        <w:t>3.1.</w:t>
      </w:r>
      <w:r w:rsidRPr="00A836C9">
        <w:rPr>
          <w:rFonts w:asciiTheme="minorHAnsi" w:hAnsiTheme="minorHAnsi"/>
        </w:rPr>
        <w:t xml:space="preserve"> Ogólne wymagania dotyczące sprzętu</w:t>
      </w:r>
    </w:p>
    <w:p w:rsidR="009B7C43" w:rsidRPr="00A836C9" w:rsidRDefault="009B7C43" w:rsidP="009B7C43">
      <w:pPr>
        <w:rPr>
          <w:rFonts w:asciiTheme="minorHAnsi" w:hAnsiTheme="minorHAnsi"/>
        </w:rPr>
      </w:pPr>
      <w:r w:rsidRPr="00A836C9">
        <w:rPr>
          <w:rFonts w:asciiTheme="minorHAnsi" w:hAnsiTheme="minorHAnsi"/>
        </w:rPr>
        <w:tab/>
        <w:t>Ogólne wymagania dotyczące sprzętu podano w ST D-M-00.00.00 „Wymagania ogólne” pkt 3.</w:t>
      </w:r>
    </w:p>
    <w:p w:rsidR="009B7C43" w:rsidRPr="00A836C9" w:rsidRDefault="009B7C43" w:rsidP="009B7C43">
      <w:pPr>
        <w:rPr>
          <w:rFonts w:asciiTheme="minorHAnsi" w:hAnsiTheme="minorHAnsi"/>
        </w:rPr>
      </w:pPr>
      <w:r w:rsidRPr="00A836C9">
        <w:rPr>
          <w:rFonts w:asciiTheme="minorHAnsi" w:hAnsiTheme="minorHAnsi"/>
          <w:b/>
        </w:rPr>
        <w:t>3.2.</w:t>
      </w:r>
      <w:r w:rsidRPr="00A836C9">
        <w:rPr>
          <w:rFonts w:asciiTheme="minorHAnsi" w:hAnsiTheme="minorHAnsi"/>
        </w:rPr>
        <w:t xml:space="preserve"> Sprzęt do wykonania oznakowania poziomego</w:t>
      </w:r>
    </w:p>
    <w:p w:rsidR="009B7C43" w:rsidRPr="00A836C9" w:rsidRDefault="009B7C43" w:rsidP="009B7C43">
      <w:pPr>
        <w:rPr>
          <w:rFonts w:asciiTheme="minorHAnsi" w:hAnsiTheme="minorHAnsi"/>
        </w:rPr>
      </w:pPr>
      <w:r w:rsidRPr="00A836C9">
        <w:rPr>
          <w:rFonts w:asciiTheme="minorHAnsi" w:hAnsiTheme="minorHAnsi"/>
        </w:rPr>
        <w:tab/>
        <w:t>Wykonawca przystępujący do wykonania oznakowania poziomego, w zależności od zakresu robót, powinien wykazać się możliwością korzystania z następującego sprzętu, zaakceptowanego przez Inżyniera:</w:t>
      </w:r>
    </w:p>
    <w:p w:rsidR="009B7C43" w:rsidRPr="00A836C9" w:rsidRDefault="009B7C43" w:rsidP="009B7C43">
      <w:pPr>
        <w:rPr>
          <w:rFonts w:asciiTheme="minorHAnsi" w:hAnsiTheme="minorHAnsi"/>
        </w:rPr>
      </w:pPr>
      <w:r>
        <w:rPr>
          <w:rFonts w:asciiTheme="minorHAnsi" w:hAnsiTheme="minorHAnsi"/>
        </w:rPr>
        <w:t>-</w:t>
      </w:r>
      <w:r w:rsidRPr="00A836C9">
        <w:rPr>
          <w:rFonts w:asciiTheme="minorHAnsi" w:hAnsiTheme="minorHAnsi"/>
        </w:rPr>
        <w:t>szczotek mechanicznych (zaleca się stosowanie szczotek wyposażonych w urządzenia odpylające) oraz szczotek ręcznych,</w:t>
      </w:r>
    </w:p>
    <w:p w:rsidR="009B7C43" w:rsidRPr="00A836C9" w:rsidRDefault="009B7C43" w:rsidP="009B7C43">
      <w:pPr>
        <w:rPr>
          <w:rFonts w:asciiTheme="minorHAnsi" w:hAnsiTheme="minorHAnsi"/>
        </w:rPr>
      </w:pPr>
      <w:r>
        <w:rPr>
          <w:rFonts w:asciiTheme="minorHAnsi" w:hAnsiTheme="minorHAnsi"/>
        </w:rPr>
        <w:t>-</w:t>
      </w:r>
      <w:r w:rsidRPr="00A836C9">
        <w:rPr>
          <w:rFonts w:asciiTheme="minorHAnsi" w:hAnsiTheme="minorHAnsi"/>
        </w:rPr>
        <w:t>frezarek,</w:t>
      </w:r>
    </w:p>
    <w:p w:rsidR="009B7C43" w:rsidRPr="00A836C9" w:rsidRDefault="009B7C43" w:rsidP="009B7C43">
      <w:pPr>
        <w:rPr>
          <w:rFonts w:asciiTheme="minorHAnsi" w:hAnsiTheme="minorHAnsi"/>
        </w:rPr>
      </w:pPr>
      <w:r>
        <w:rPr>
          <w:rFonts w:asciiTheme="minorHAnsi" w:hAnsiTheme="minorHAnsi"/>
        </w:rPr>
        <w:t>-</w:t>
      </w:r>
      <w:r w:rsidRPr="00A836C9">
        <w:rPr>
          <w:rFonts w:asciiTheme="minorHAnsi" w:hAnsiTheme="minorHAnsi"/>
        </w:rPr>
        <w:t>sprężarek,</w:t>
      </w:r>
    </w:p>
    <w:p w:rsidR="009B7C43" w:rsidRPr="00A836C9" w:rsidRDefault="009B7C43" w:rsidP="009B7C43">
      <w:pPr>
        <w:rPr>
          <w:rFonts w:asciiTheme="minorHAnsi" w:hAnsiTheme="minorHAnsi"/>
        </w:rPr>
      </w:pPr>
      <w:r>
        <w:rPr>
          <w:rFonts w:asciiTheme="minorHAnsi" w:hAnsiTheme="minorHAnsi"/>
        </w:rPr>
        <w:t>-</w:t>
      </w:r>
      <w:r w:rsidRPr="00A836C9">
        <w:rPr>
          <w:rFonts w:asciiTheme="minorHAnsi" w:hAnsiTheme="minorHAnsi"/>
        </w:rPr>
        <w:t>malowarek,</w:t>
      </w:r>
    </w:p>
    <w:p w:rsidR="009B7C43" w:rsidRPr="00A836C9" w:rsidRDefault="009B7C43" w:rsidP="009B7C43">
      <w:pPr>
        <w:rPr>
          <w:rFonts w:asciiTheme="minorHAnsi" w:hAnsiTheme="minorHAnsi"/>
        </w:rPr>
      </w:pPr>
      <w:r>
        <w:rPr>
          <w:rFonts w:asciiTheme="minorHAnsi" w:hAnsiTheme="minorHAnsi"/>
        </w:rPr>
        <w:t>-</w:t>
      </w:r>
      <w:r w:rsidRPr="00A836C9">
        <w:rPr>
          <w:rFonts w:asciiTheme="minorHAnsi" w:hAnsiTheme="minorHAnsi"/>
        </w:rPr>
        <w:t>układarek mas termoplastycznych i chemoutwardzalnych,</w:t>
      </w:r>
    </w:p>
    <w:p w:rsidR="009B7C43" w:rsidRPr="00A836C9" w:rsidRDefault="009B7C43" w:rsidP="009B7C43">
      <w:pPr>
        <w:rPr>
          <w:rFonts w:asciiTheme="minorHAnsi" w:hAnsiTheme="minorHAnsi"/>
        </w:rPr>
      </w:pPr>
      <w:r>
        <w:rPr>
          <w:rFonts w:asciiTheme="minorHAnsi" w:hAnsiTheme="minorHAnsi"/>
        </w:rPr>
        <w:t>-</w:t>
      </w:r>
      <w:r w:rsidRPr="00A836C9">
        <w:rPr>
          <w:rFonts w:asciiTheme="minorHAnsi" w:hAnsiTheme="minorHAnsi"/>
        </w:rPr>
        <w:t>wyklejarek do taśm,</w:t>
      </w:r>
    </w:p>
    <w:p w:rsidR="009B7C43" w:rsidRPr="00A836C9" w:rsidRDefault="009B7C43" w:rsidP="009B7C43">
      <w:pPr>
        <w:rPr>
          <w:rFonts w:asciiTheme="minorHAnsi" w:hAnsiTheme="minorHAnsi"/>
        </w:rPr>
      </w:pPr>
      <w:r>
        <w:rPr>
          <w:rFonts w:asciiTheme="minorHAnsi" w:hAnsiTheme="minorHAnsi"/>
        </w:rPr>
        <w:t>-</w:t>
      </w:r>
      <w:r w:rsidRPr="00A836C9">
        <w:rPr>
          <w:rFonts w:asciiTheme="minorHAnsi" w:hAnsiTheme="minorHAnsi"/>
        </w:rPr>
        <w:t>sprzętu do badań.</w:t>
      </w:r>
    </w:p>
    <w:p w:rsidR="009B7C43" w:rsidRPr="00A836C9" w:rsidRDefault="009B7C43" w:rsidP="009B7C43">
      <w:pPr>
        <w:rPr>
          <w:rFonts w:asciiTheme="minorHAnsi" w:hAnsiTheme="minorHAnsi"/>
        </w:rPr>
      </w:pPr>
      <w:r w:rsidRPr="00A836C9">
        <w:rPr>
          <w:rFonts w:asciiTheme="minorHAnsi" w:hAnsiTheme="minorHAnsi"/>
        </w:rPr>
        <w:t>Wykonawca powinien zapewnić odpowiednią jakość, ilość i wydajność malowarek lub układarek proporcjonalną do wielkości i czasu wykonania całego zakresu robót.</w:t>
      </w:r>
    </w:p>
    <w:p w:rsidR="009B7C43" w:rsidRPr="00A836C9" w:rsidRDefault="009B7C43" w:rsidP="009B7C43">
      <w:pPr>
        <w:rPr>
          <w:rFonts w:asciiTheme="minorHAnsi" w:hAnsiTheme="minorHAnsi"/>
        </w:rPr>
      </w:pPr>
    </w:p>
    <w:p w:rsidR="009B7C43" w:rsidRPr="00A836C9" w:rsidRDefault="009B7C43" w:rsidP="009B7C43">
      <w:pPr>
        <w:rPr>
          <w:rFonts w:asciiTheme="minorHAnsi" w:hAnsiTheme="minorHAnsi"/>
          <w:b/>
        </w:rPr>
      </w:pPr>
      <w:bookmarkStart w:id="1579" w:name="_Toc420816683"/>
      <w:r w:rsidRPr="00A836C9">
        <w:rPr>
          <w:rFonts w:asciiTheme="minorHAnsi" w:hAnsiTheme="minorHAnsi"/>
          <w:b/>
        </w:rPr>
        <w:t xml:space="preserve">4. </w:t>
      </w:r>
      <w:bookmarkEnd w:id="1579"/>
      <w:r w:rsidRPr="00A836C9">
        <w:rPr>
          <w:rFonts w:asciiTheme="minorHAnsi" w:hAnsiTheme="minorHAnsi"/>
          <w:b/>
        </w:rPr>
        <w:t>TRANSPORT</w:t>
      </w:r>
    </w:p>
    <w:p w:rsidR="009B7C43" w:rsidRPr="00A836C9" w:rsidRDefault="009B7C43" w:rsidP="009B7C43">
      <w:pPr>
        <w:rPr>
          <w:rFonts w:asciiTheme="minorHAnsi" w:hAnsiTheme="minorHAnsi"/>
        </w:rPr>
      </w:pPr>
      <w:r w:rsidRPr="00A836C9">
        <w:rPr>
          <w:rFonts w:asciiTheme="minorHAnsi" w:hAnsiTheme="minorHAnsi"/>
          <w:b/>
        </w:rPr>
        <w:t>4.1.</w:t>
      </w:r>
      <w:r w:rsidRPr="00A836C9">
        <w:rPr>
          <w:rFonts w:asciiTheme="minorHAnsi" w:hAnsiTheme="minorHAnsi"/>
        </w:rPr>
        <w:t xml:space="preserve"> Ogólne wymagania dotyczące transportu</w:t>
      </w:r>
    </w:p>
    <w:p w:rsidR="009B7C43" w:rsidRPr="00A836C9" w:rsidRDefault="009B7C43" w:rsidP="009B7C43">
      <w:pPr>
        <w:rPr>
          <w:rFonts w:asciiTheme="minorHAnsi" w:hAnsiTheme="minorHAnsi"/>
        </w:rPr>
      </w:pPr>
      <w:r w:rsidRPr="00A836C9">
        <w:rPr>
          <w:rFonts w:asciiTheme="minorHAnsi" w:hAnsiTheme="minorHAnsi"/>
        </w:rPr>
        <w:tab/>
        <w:t>Ogólne wymagania dotyczące transportu podano w ST D-M-00.00.00 „Wymagania ogólne” pkt 4.</w:t>
      </w:r>
    </w:p>
    <w:p w:rsidR="009B7C43" w:rsidRPr="00A836C9" w:rsidRDefault="009B7C43" w:rsidP="009B7C43">
      <w:pPr>
        <w:rPr>
          <w:rFonts w:asciiTheme="minorHAnsi" w:hAnsiTheme="minorHAnsi"/>
        </w:rPr>
      </w:pPr>
      <w:r w:rsidRPr="00A836C9">
        <w:rPr>
          <w:rFonts w:asciiTheme="minorHAnsi" w:hAnsiTheme="minorHAnsi"/>
          <w:b/>
        </w:rPr>
        <w:t>4.2.</w:t>
      </w:r>
      <w:r w:rsidRPr="00A836C9">
        <w:rPr>
          <w:rFonts w:asciiTheme="minorHAnsi" w:hAnsiTheme="minorHAnsi"/>
        </w:rPr>
        <w:t xml:space="preserve"> Przewóz materiałów do poziomego znakowania dróg</w:t>
      </w:r>
    </w:p>
    <w:p w:rsidR="009B7C43" w:rsidRPr="00A836C9" w:rsidRDefault="009B7C43" w:rsidP="009B7C43">
      <w:pPr>
        <w:rPr>
          <w:rFonts w:asciiTheme="minorHAnsi" w:hAnsiTheme="minorHAnsi"/>
        </w:rPr>
      </w:pPr>
      <w:r w:rsidRPr="00A836C9">
        <w:rPr>
          <w:rFonts w:asciiTheme="minorHAnsi" w:hAnsiTheme="minorHAnsi"/>
        </w:rPr>
        <w:tab/>
        <w:t>Materiały do poziomego znakowania dróg należy przewozić w opakowaniach zapewniających szczelność, bezpieczny transport i zachowanie wymaganych właściwości materiałów. Pojemniki powinny być oznakowane zgodnie z normą PN-O-79252. W przypadku  materiałów niebezpiecznych opakowania powinny być oznakowane zgodnie z rozporządzeniem Ministra Zdrowia.</w:t>
      </w:r>
    </w:p>
    <w:p w:rsidR="009B7C43" w:rsidRPr="00A836C9" w:rsidRDefault="009B7C43" w:rsidP="009B7C43">
      <w:pPr>
        <w:rPr>
          <w:rFonts w:asciiTheme="minorHAnsi" w:hAnsiTheme="minorHAnsi"/>
        </w:rPr>
      </w:pPr>
      <w:r w:rsidRPr="00A836C9">
        <w:rPr>
          <w:rFonts w:asciiTheme="minorHAnsi" w:hAnsiTheme="minorHAnsi"/>
        </w:rPr>
        <w:tab/>
        <w:t>Farby rozpuszczalnikowe, rozpuszczalniki palne oraz farby i masy chemoutwardzalne należy transportować zgodnie z postanowieniami umowy międzynarodowej dla transportu drogowego materiałów palnych, klasy 3 oraz szczegółowymi zaleceniami zawartymi w karcie charakterystyki wyrobu sporządzonej przez producenta. Wyroby, wyżej wymienione, nie posiadające karty charakterystyki nie powinny być dopuszczone do transportu.</w:t>
      </w:r>
    </w:p>
    <w:p w:rsidR="009B7C43" w:rsidRPr="00A836C9" w:rsidRDefault="009B7C43" w:rsidP="009B7C43">
      <w:pPr>
        <w:rPr>
          <w:rFonts w:asciiTheme="minorHAnsi" w:hAnsiTheme="minorHAnsi"/>
        </w:rPr>
      </w:pPr>
      <w:r w:rsidRPr="00A836C9">
        <w:rPr>
          <w:rFonts w:asciiTheme="minorHAnsi" w:hAnsiTheme="minorHAnsi"/>
        </w:rPr>
        <w:t>Pozostałe materiały do znakowania poziomego należy przewozić krytymi środkami transportowymi, chroniąc opakowania przed uszkodzeniem mechanicznym, zgodnie z PN-C-81400 oraz zgodnie z prawem przewozowym.</w:t>
      </w:r>
    </w:p>
    <w:p w:rsidR="009B7C43" w:rsidRPr="00A836C9" w:rsidRDefault="009B7C43" w:rsidP="009B7C43">
      <w:pPr>
        <w:rPr>
          <w:rFonts w:asciiTheme="minorHAnsi" w:hAnsiTheme="minorHAnsi"/>
        </w:rPr>
      </w:pPr>
    </w:p>
    <w:p w:rsidR="009B7C43" w:rsidRPr="00A836C9" w:rsidRDefault="009B7C43" w:rsidP="009B7C43">
      <w:pPr>
        <w:rPr>
          <w:rFonts w:asciiTheme="minorHAnsi" w:hAnsiTheme="minorHAnsi"/>
          <w:b/>
        </w:rPr>
      </w:pPr>
      <w:bookmarkStart w:id="1580" w:name="_Toc420816684"/>
      <w:r w:rsidRPr="00A836C9">
        <w:rPr>
          <w:rFonts w:asciiTheme="minorHAnsi" w:hAnsiTheme="minorHAnsi"/>
          <w:b/>
        </w:rPr>
        <w:t xml:space="preserve">5. </w:t>
      </w:r>
      <w:bookmarkEnd w:id="1580"/>
      <w:r w:rsidRPr="00A836C9">
        <w:rPr>
          <w:rFonts w:asciiTheme="minorHAnsi" w:hAnsiTheme="minorHAnsi"/>
          <w:b/>
        </w:rPr>
        <w:t>WYKONANIE ROBÓT</w:t>
      </w:r>
    </w:p>
    <w:p w:rsidR="009B7C43" w:rsidRPr="00A836C9" w:rsidRDefault="009B7C43" w:rsidP="009B7C43">
      <w:pPr>
        <w:rPr>
          <w:rFonts w:asciiTheme="minorHAnsi" w:hAnsiTheme="minorHAnsi"/>
        </w:rPr>
      </w:pPr>
      <w:r w:rsidRPr="00A836C9">
        <w:rPr>
          <w:rFonts w:asciiTheme="minorHAnsi" w:hAnsiTheme="minorHAnsi"/>
          <w:b/>
        </w:rPr>
        <w:t>5.1.</w:t>
      </w:r>
      <w:r w:rsidRPr="00A836C9">
        <w:rPr>
          <w:rFonts w:asciiTheme="minorHAnsi" w:hAnsiTheme="minorHAnsi"/>
        </w:rPr>
        <w:t xml:space="preserve"> Ogólne zasady wykonania robót</w:t>
      </w:r>
    </w:p>
    <w:p w:rsidR="009B7C43" w:rsidRPr="00A836C9" w:rsidRDefault="009B7C43" w:rsidP="009B7C43">
      <w:pPr>
        <w:rPr>
          <w:rFonts w:asciiTheme="minorHAnsi" w:hAnsiTheme="minorHAnsi"/>
        </w:rPr>
      </w:pPr>
      <w:r w:rsidRPr="00A836C9">
        <w:rPr>
          <w:rFonts w:asciiTheme="minorHAnsi" w:hAnsiTheme="minorHAnsi"/>
        </w:rPr>
        <w:tab/>
        <w:t xml:space="preserve">Ogólne zasady wykonania robót podano w ST D-M-00.00.00 „Wymagania ogólne” pkt 5. Nowe i odnowione nawierzchnie dróg przed otwarciem do ruchu muszą być oznakowane zgodnie z dokumentacją projektową. </w:t>
      </w:r>
    </w:p>
    <w:p w:rsidR="009B7C43" w:rsidRPr="00A836C9" w:rsidRDefault="009B7C43" w:rsidP="009B7C43">
      <w:pPr>
        <w:rPr>
          <w:rFonts w:asciiTheme="minorHAnsi" w:hAnsiTheme="minorHAnsi"/>
        </w:rPr>
      </w:pPr>
      <w:r w:rsidRPr="00A836C9">
        <w:rPr>
          <w:rFonts w:asciiTheme="minorHAnsi" w:hAnsiTheme="minorHAnsi"/>
          <w:b/>
        </w:rPr>
        <w:t>5.2.</w:t>
      </w:r>
      <w:r w:rsidRPr="00A836C9">
        <w:rPr>
          <w:rFonts w:asciiTheme="minorHAnsi" w:hAnsiTheme="minorHAnsi"/>
        </w:rPr>
        <w:t xml:space="preserve"> Warunki atmosferyczne</w:t>
      </w:r>
    </w:p>
    <w:p w:rsidR="009B7C43" w:rsidRPr="00A836C9" w:rsidRDefault="009B7C43" w:rsidP="009B7C43">
      <w:pPr>
        <w:rPr>
          <w:rFonts w:asciiTheme="minorHAnsi" w:hAnsiTheme="minorHAnsi"/>
        </w:rPr>
      </w:pPr>
      <w:r w:rsidRPr="00A836C9">
        <w:rPr>
          <w:rFonts w:asciiTheme="minorHAnsi" w:hAnsiTheme="minorHAnsi"/>
        </w:rPr>
        <w:tab/>
        <w:t>W czasie wykonywania oznakowania temperatura nawierzchni i powietrza powinna wynosić co najmniej 5</w:t>
      </w:r>
      <w:r w:rsidRPr="00A836C9">
        <w:rPr>
          <w:rFonts w:asciiTheme="minorHAnsi" w:hAnsiTheme="minorHAnsi"/>
          <w:vertAlign w:val="superscript"/>
        </w:rPr>
        <w:t>o</w:t>
      </w:r>
      <w:r w:rsidRPr="00A836C9">
        <w:rPr>
          <w:rFonts w:asciiTheme="minorHAnsi" w:hAnsiTheme="minorHAnsi"/>
        </w:rPr>
        <w:t>C, a wilgotność względna powietrza powinna być zgodna z zaleceniami producenta lub wynosić co najwyżej 85%.</w:t>
      </w:r>
    </w:p>
    <w:p w:rsidR="009B7C43" w:rsidRPr="00A836C9" w:rsidRDefault="009B7C43" w:rsidP="009B7C43">
      <w:pPr>
        <w:rPr>
          <w:rFonts w:asciiTheme="minorHAnsi" w:hAnsiTheme="minorHAnsi"/>
        </w:rPr>
      </w:pPr>
      <w:r w:rsidRPr="00A836C9">
        <w:rPr>
          <w:rFonts w:asciiTheme="minorHAnsi" w:hAnsiTheme="minorHAnsi"/>
          <w:b/>
        </w:rPr>
        <w:t>5.3.</w:t>
      </w:r>
      <w:r w:rsidRPr="00A836C9">
        <w:rPr>
          <w:rFonts w:asciiTheme="minorHAnsi" w:hAnsiTheme="minorHAnsi"/>
        </w:rPr>
        <w:t xml:space="preserve"> Jednorodność nawierzchni znakowanej</w:t>
      </w:r>
    </w:p>
    <w:p w:rsidR="009B7C43" w:rsidRPr="00A836C9" w:rsidRDefault="009B7C43" w:rsidP="009B7C43">
      <w:pPr>
        <w:rPr>
          <w:rFonts w:asciiTheme="minorHAnsi" w:hAnsiTheme="minorHAnsi"/>
        </w:rPr>
      </w:pPr>
      <w:r w:rsidRPr="00A836C9">
        <w:rPr>
          <w:rFonts w:asciiTheme="minorHAnsi" w:hAnsiTheme="minorHAnsi"/>
        </w:rPr>
        <w:tab/>
        <w:t xml:space="preserve">Poprawność wykonania znakowania wymaga jednorodności nawierzchni znakowanej. Nierówności i/lub miejsca napraw cząstkowych nawierzchni, które nie wyróżniają się od starej nawierzchni i nie mają większego rozmiaru niż 15% powierzchni znakowanej, uznaje się za powierzchnie jednorodne. </w:t>
      </w:r>
    </w:p>
    <w:p w:rsidR="009B7C43" w:rsidRPr="00A836C9" w:rsidRDefault="009B7C43" w:rsidP="009B7C43">
      <w:pPr>
        <w:rPr>
          <w:rFonts w:asciiTheme="minorHAnsi" w:hAnsiTheme="minorHAnsi"/>
        </w:rPr>
      </w:pPr>
      <w:r w:rsidRPr="00A836C9">
        <w:rPr>
          <w:rFonts w:asciiTheme="minorHAnsi" w:hAnsiTheme="minorHAnsi"/>
          <w:b/>
        </w:rPr>
        <w:t>5.4.</w:t>
      </w:r>
      <w:r w:rsidRPr="00A836C9">
        <w:rPr>
          <w:rFonts w:asciiTheme="minorHAnsi" w:hAnsiTheme="minorHAnsi"/>
        </w:rPr>
        <w:t xml:space="preserve"> Przygotowanie podłoża do wykonania znakowania</w:t>
      </w:r>
    </w:p>
    <w:p w:rsidR="009B7C43" w:rsidRPr="00A836C9" w:rsidRDefault="009B7C43" w:rsidP="009B7C43">
      <w:pPr>
        <w:rPr>
          <w:rFonts w:asciiTheme="minorHAnsi" w:hAnsiTheme="minorHAnsi"/>
        </w:rPr>
      </w:pPr>
      <w:r w:rsidRPr="00A836C9">
        <w:rPr>
          <w:rFonts w:asciiTheme="minorHAnsi" w:hAnsiTheme="minorHAnsi"/>
        </w:rPr>
        <w:tab/>
        <w:t>Przed wykonaniem znakowania poziomego należy oczyścić powierzchnię nawierzchni malowanej z pyłu, kurzu, piasku, smarów, olejów i innych zanieczyszczeń, przy użyciu sprzętu zaakceptowanego przez Inżyniera.</w:t>
      </w:r>
    </w:p>
    <w:p w:rsidR="009B7C43" w:rsidRPr="00A836C9" w:rsidRDefault="009B7C43" w:rsidP="009B7C43">
      <w:pPr>
        <w:rPr>
          <w:rFonts w:asciiTheme="minorHAnsi" w:hAnsiTheme="minorHAnsi"/>
        </w:rPr>
      </w:pPr>
      <w:r w:rsidRPr="00A836C9">
        <w:rPr>
          <w:rFonts w:asciiTheme="minorHAnsi" w:hAnsiTheme="minorHAnsi"/>
        </w:rPr>
        <w:tab/>
        <w:t>Powierzchnia nawierzchni przygotowana do wykonania oznakowania poziomego musi być czysta i sucha.</w:t>
      </w:r>
    </w:p>
    <w:p w:rsidR="009B7C43" w:rsidRPr="00A836C9" w:rsidRDefault="009B7C43" w:rsidP="009B7C43">
      <w:pPr>
        <w:rPr>
          <w:rFonts w:asciiTheme="minorHAnsi" w:hAnsiTheme="minorHAnsi"/>
        </w:rPr>
      </w:pPr>
      <w:r w:rsidRPr="00A836C9">
        <w:rPr>
          <w:rFonts w:asciiTheme="minorHAnsi" w:hAnsiTheme="minorHAnsi"/>
          <w:b/>
        </w:rPr>
        <w:t>5.5.</w:t>
      </w:r>
      <w:r w:rsidRPr="00A836C9">
        <w:rPr>
          <w:rFonts w:asciiTheme="minorHAnsi" w:hAnsiTheme="minorHAnsi"/>
        </w:rPr>
        <w:t xml:space="preserve"> Przedznakowanie</w:t>
      </w:r>
    </w:p>
    <w:p w:rsidR="009B7C43" w:rsidRPr="00A836C9" w:rsidRDefault="009B7C43" w:rsidP="009B7C43">
      <w:pPr>
        <w:rPr>
          <w:rFonts w:asciiTheme="minorHAnsi" w:hAnsiTheme="minorHAnsi"/>
        </w:rPr>
      </w:pPr>
      <w:r w:rsidRPr="00A836C9">
        <w:rPr>
          <w:rFonts w:asciiTheme="minorHAnsi" w:hAnsiTheme="minorHAnsi"/>
        </w:rPr>
        <w:tab/>
        <w:t>W celu dokładnego wykonania poziomego oznakowania drogi, można wykonać przedznakowanie, stosując się do ustaleń zawartych w dokumentacji projektowej, w załączniku nr 2 do rozporządzenia Ministra Infrastruktury i wskazaniach Inżyniera.</w:t>
      </w:r>
    </w:p>
    <w:p w:rsidR="009B7C43" w:rsidRPr="00A836C9" w:rsidRDefault="009B7C43" w:rsidP="009B7C43">
      <w:pPr>
        <w:rPr>
          <w:rFonts w:asciiTheme="minorHAnsi" w:hAnsiTheme="minorHAnsi"/>
        </w:rPr>
      </w:pPr>
      <w:r w:rsidRPr="00A836C9">
        <w:rPr>
          <w:rFonts w:asciiTheme="minorHAnsi" w:hAnsiTheme="minorHAnsi"/>
        </w:rPr>
        <w:lastRenderedPageBreak/>
        <w:tab/>
        <w:t>Do wykonania przedznakowania można stosować nietrwałą farbę, np. farbę silnie rozcieńczoną rozpuszczalnikiem. Zaleca się wykonywanie przedznakowania w postaci cienkich linii lub kropek. Początek i koniec znakowania należy zaznaczyć małą kreską poprzeczną.</w:t>
      </w:r>
    </w:p>
    <w:p w:rsidR="009B7C43" w:rsidRPr="00A836C9" w:rsidRDefault="009B7C43" w:rsidP="009B7C43">
      <w:pPr>
        <w:rPr>
          <w:rFonts w:asciiTheme="minorHAnsi" w:hAnsiTheme="minorHAnsi"/>
        </w:rPr>
      </w:pPr>
      <w:r w:rsidRPr="00A836C9">
        <w:rPr>
          <w:rFonts w:asciiTheme="minorHAnsi" w:hAnsiTheme="minorHAnsi"/>
          <w:b/>
        </w:rPr>
        <w:t>5.6.</w:t>
      </w:r>
      <w:r w:rsidRPr="00A836C9">
        <w:rPr>
          <w:rFonts w:asciiTheme="minorHAnsi" w:hAnsiTheme="minorHAnsi"/>
        </w:rPr>
        <w:t xml:space="preserve"> Wykonanie oznakowania drogi</w:t>
      </w:r>
    </w:p>
    <w:p w:rsidR="009B7C43" w:rsidRPr="00A836C9" w:rsidRDefault="009B7C43" w:rsidP="009B7C43">
      <w:pPr>
        <w:rPr>
          <w:rFonts w:asciiTheme="minorHAnsi" w:hAnsiTheme="minorHAnsi"/>
        </w:rPr>
      </w:pPr>
      <w:r w:rsidRPr="00A836C9">
        <w:rPr>
          <w:rFonts w:asciiTheme="minorHAnsi" w:hAnsiTheme="minorHAnsi"/>
          <w:b/>
        </w:rPr>
        <w:t>5.6.1.</w:t>
      </w:r>
      <w:r w:rsidRPr="00A836C9">
        <w:rPr>
          <w:rFonts w:asciiTheme="minorHAnsi" w:hAnsiTheme="minorHAnsi"/>
        </w:rPr>
        <w:t xml:space="preserve">  Dostarczenie materiałów i spełnienie zaleceń producenta materiałów</w:t>
      </w:r>
    </w:p>
    <w:p w:rsidR="009B7C43" w:rsidRPr="00A836C9" w:rsidRDefault="009B7C43" w:rsidP="009B7C43">
      <w:pPr>
        <w:rPr>
          <w:rFonts w:asciiTheme="minorHAnsi" w:hAnsiTheme="minorHAnsi"/>
        </w:rPr>
      </w:pPr>
      <w:r w:rsidRPr="00A836C9">
        <w:rPr>
          <w:rFonts w:asciiTheme="minorHAnsi" w:hAnsiTheme="minorHAnsi"/>
        </w:rPr>
        <w:tab/>
        <w:t>Materiały do znakowania drogi, spełniające wymagania podane w punkcie 2, powinny być dostarczone w oryginalnych opakowaniach handlowych i stosowane zgodnie z zaleceniami producenta oraz wymaganiami znajdującymi się w aprobacie technicznej.</w:t>
      </w:r>
    </w:p>
    <w:p w:rsidR="009B7C43" w:rsidRPr="00A836C9" w:rsidRDefault="009B7C43" w:rsidP="009B7C43">
      <w:pPr>
        <w:rPr>
          <w:rFonts w:asciiTheme="minorHAnsi" w:hAnsiTheme="minorHAnsi"/>
        </w:rPr>
      </w:pPr>
      <w:r w:rsidRPr="00A836C9">
        <w:rPr>
          <w:rFonts w:asciiTheme="minorHAnsi" w:hAnsiTheme="minorHAnsi"/>
          <w:b/>
        </w:rPr>
        <w:t>5.6.2.</w:t>
      </w:r>
      <w:r w:rsidRPr="00A836C9">
        <w:rPr>
          <w:rFonts w:asciiTheme="minorHAnsi" w:hAnsiTheme="minorHAnsi"/>
        </w:rPr>
        <w:t xml:space="preserve"> Wykonanie oznakowania drogi materiałami cienkowarstwowymi</w:t>
      </w:r>
    </w:p>
    <w:p w:rsidR="009B7C43" w:rsidRPr="00A836C9" w:rsidRDefault="009B7C43" w:rsidP="009B7C43">
      <w:pPr>
        <w:rPr>
          <w:rFonts w:asciiTheme="minorHAnsi" w:hAnsiTheme="minorHAnsi"/>
        </w:rPr>
      </w:pPr>
      <w:r w:rsidRPr="00A836C9">
        <w:rPr>
          <w:rFonts w:asciiTheme="minorHAnsi" w:hAnsiTheme="minorHAnsi"/>
        </w:rPr>
        <w:tab/>
        <w:t>Wykonanie znakowania powinno być zgodne z zaleceniami producenta materiałów, a w przypadku ich braku lub niepełnych danych - zgodne z poniższymi wskazaniami.</w:t>
      </w:r>
    </w:p>
    <w:p w:rsidR="009B7C43" w:rsidRPr="00A836C9" w:rsidRDefault="009B7C43" w:rsidP="009B7C43">
      <w:pPr>
        <w:rPr>
          <w:rFonts w:asciiTheme="minorHAnsi" w:hAnsiTheme="minorHAnsi"/>
        </w:rPr>
      </w:pPr>
      <w:r w:rsidRPr="00A836C9">
        <w:rPr>
          <w:rFonts w:asciiTheme="minorHAnsi" w:hAnsiTheme="minorHAnsi"/>
        </w:rPr>
        <w:tab/>
        <w:t xml:space="preserve">Farbę do znakowania cienkowarstwowego po otwarciu opakowania należy wymieszać w czasie od 2 do 4 minut do uzyskania pełnej jednorodności. Przed lub w czasie napełniania zbiornika malowarki zaleca się przecedzić farbę przez sito </w:t>
      </w:r>
      <w:smartTag w:uri="urn:schemas-microsoft-com:office:smarttags" w:element="metricconverter">
        <w:smartTagPr>
          <w:attr w:name="ProductID" w:val="0,6 mm"/>
        </w:smartTagPr>
        <w:r w:rsidRPr="00A836C9">
          <w:rPr>
            <w:rFonts w:asciiTheme="minorHAnsi" w:hAnsiTheme="minorHAnsi"/>
          </w:rPr>
          <w:t>0,6 mm</w:t>
        </w:r>
      </w:smartTag>
      <w:r w:rsidRPr="00A836C9">
        <w:rPr>
          <w:rFonts w:asciiTheme="minorHAnsi" w:hAnsiTheme="minorHAnsi"/>
        </w:rPr>
        <w:t>. Nie wolno stosować do malowania mechanicznego farby, w której osad na dnie opakowania nie daje się całkowicie wymieszać lub na jej powierzchni znajduje się kożuch.</w:t>
      </w:r>
    </w:p>
    <w:p w:rsidR="009B7C43" w:rsidRPr="00A836C9" w:rsidRDefault="009B7C43" w:rsidP="009B7C43">
      <w:pPr>
        <w:rPr>
          <w:rFonts w:asciiTheme="minorHAnsi" w:hAnsiTheme="minorHAnsi"/>
        </w:rPr>
      </w:pPr>
      <w:r w:rsidRPr="00A836C9">
        <w:rPr>
          <w:rFonts w:asciiTheme="minorHAnsi" w:hAnsiTheme="minorHAnsi"/>
        </w:rPr>
        <w:tab/>
        <w:t>Farbę należy nakładać równomierną warstwą , zachowując wymiary i ostrość krawędzi. Grubość nanoszonej warstwy zaleca się kontrolować przy pomocy grzebienia pomiarowego na płytce szklanej lub metalowej podkładanej na drodze malowarki. Ilość farby zużyta w czasie prac, określona przez średnie zużycie na metr kwadratowy nie może się różnić od ilości ustalonej, więcej niż o 20%.</w:t>
      </w:r>
    </w:p>
    <w:p w:rsidR="009B7C43" w:rsidRPr="00A836C9" w:rsidRDefault="009B7C43" w:rsidP="009B7C43">
      <w:pPr>
        <w:rPr>
          <w:rFonts w:asciiTheme="minorHAnsi" w:hAnsiTheme="minorHAnsi"/>
        </w:rPr>
      </w:pPr>
      <w:r w:rsidRPr="00A836C9">
        <w:rPr>
          <w:rFonts w:asciiTheme="minorHAnsi" w:hAnsiTheme="minorHAnsi"/>
        </w:rPr>
        <w:tab/>
        <w:t>Wszystkie większe prace powinny być wykonane przy użyciu samojezdnych malowarek z automatycznym podziałem linii i posypywaniem kulkami szklanymi z ew. materiałem uszorstniającym. W przypadku mniejszych prac, wielkość, wydajność i jakość sprzętu należy dostosować do zakresu i rozmiaru prac. Decyzję dotyczącą rodzaju sprzętu i sposobu wykonania znakowania podejmuje Inżynier na wniosek Wykonawcy.</w:t>
      </w:r>
    </w:p>
    <w:p w:rsidR="009B7C43" w:rsidRPr="00A836C9" w:rsidRDefault="009B7C43" w:rsidP="009B7C43">
      <w:pPr>
        <w:rPr>
          <w:rFonts w:asciiTheme="minorHAnsi" w:hAnsiTheme="minorHAnsi"/>
        </w:rPr>
      </w:pPr>
      <w:r w:rsidRPr="00A836C9">
        <w:rPr>
          <w:rFonts w:asciiTheme="minorHAnsi" w:hAnsiTheme="minorHAnsi"/>
          <w:b/>
        </w:rPr>
        <w:t>5.6.3.</w:t>
      </w:r>
      <w:r w:rsidRPr="00A836C9">
        <w:rPr>
          <w:rFonts w:asciiTheme="minorHAnsi" w:hAnsiTheme="minorHAnsi"/>
        </w:rPr>
        <w:t xml:space="preserve"> Wykonanie oznakowania drogi punktowymi elementami odblaskowymi</w:t>
      </w:r>
    </w:p>
    <w:p w:rsidR="009B7C43" w:rsidRPr="00A836C9" w:rsidRDefault="009B7C43" w:rsidP="009B7C43">
      <w:pPr>
        <w:rPr>
          <w:rFonts w:asciiTheme="minorHAnsi" w:hAnsiTheme="minorHAnsi"/>
        </w:rPr>
      </w:pPr>
      <w:r w:rsidRPr="00A836C9">
        <w:rPr>
          <w:rFonts w:asciiTheme="minorHAnsi" w:hAnsiTheme="minorHAnsi"/>
        </w:rPr>
        <w:tab/>
        <w:t>Wykonanie oznakowania powinno być zgodne z zaleceniami producenta materiałów, a w przypadku ich braku lub niepełnych danych - zgodne z poniższymi wskazaniami.</w:t>
      </w:r>
    </w:p>
    <w:p w:rsidR="009B7C43" w:rsidRPr="00A836C9" w:rsidRDefault="009B7C43" w:rsidP="009B7C43">
      <w:pPr>
        <w:rPr>
          <w:rFonts w:asciiTheme="minorHAnsi" w:hAnsiTheme="minorHAnsi"/>
        </w:rPr>
      </w:pPr>
      <w:r w:rsidRPr="00A836C9">
        <w:rPr>
          <w:rFonts w:asciiTheme="minorHAnsi" w:hAnsiTheme="minorHAnsi"/>
        </w:rPr>
        <w:tab/>
        <w:t>Przy wykonywaniu oznakowania punktowymi elementami odblaskowymi należy zwracać szczególną uwagę na staranne mocowanie elementów do podłoża, od czego zależy trwałość wykonanego oznakowania.</w:t>
      </w:r>
    </w:p>
    <w:p w:rsidR="009B7C43" w:rsidRPr="00A836C9" w:rsidRDefault="009B7C43" w:rsidP="009B7C43">
      <w:pPr>
        <w:rPr>
          <w:rFonts w:asciiTheme="minorHAnsi" w:hAnsiTheme="minorHAnsi"/>
        </w:rPr>
      </w:pPr>
      <w:r w:rsidRPr="00A836C9">
        <w:rPr>
          <w:rFonts w:asciiTheme="minorHAnsi" w:hAnsiTheme="minorHAnsi"/>
        </w:rPr>
        <w:tab/>
        <w:t>Nie wolno zmieniać ustalonego przez producenta rodzaju kleju z uwagi na możliwość uzyskania różnej jego przyczepności do nawierzchni i do materiałów, z których wykonano punktowe elementy odblaskowe.</w:t>
      </w:r>
    </w:p>
    <w:p w:rsidR="009B7C43" w:rsidRPr="00A836C9" w:rsidRDefault="009B7C43" w:rsidP="009B7C43">
      <w:pPr>
        <w:rPr>
          <w:rFonts w:asciiTheme="minorHAnsi" w:hAnsiTheme="minorHAnsi"/>
        </w:rPr>
      </w:pPr>
      <w:r w:rsidRPr="00A836C9">
        <w:rPr>
          <w:rFonts w:asciiTheme="minorHAnsi" w:hAnsiTheme="minorHAnsi"/>
          <w:b/>
        </w:rPr>
        <w:t>5.6.4.</w:t>
      </w:r>
      <w:r w:rsidRPr="00A836C9">
        <w:rPr>
          <w:rFonts w:asciiTheme="minorHAnsi" w:hAnsiTheme="minorHAnsi"/>
        </w:rPr>
        <w:t xml:space="preserve"> Wykonanie oznakowania tymczasowego</w:t>
      </w:r>
    </w:p>
    <w:p w:rsidR="009B7C43" w:rsidRPr="00A836C9" w:rsidRDefault="009B7C43" w:rsidP="009B7C43">
      <w:pPr>
        <w:rPr>
          <w:rFonts w:asciiTheme="minorHAnsi" w:hAnsiTheme="minorHAnsi"/>
        </w:rPr>
      </w:pPr>
      <w:r w:rsidRPr="00A836C9">
        <w:rPr>
          <w:rFonts w:asciiTheme="minorHAnsi" w:hAnsiTheme="minorHAnsi"/>
        </w:rPr>
        <w:t xml:space="preserve">Do wykonywania oznakowania tymczasowego barwy żółtej należy stosować materiały łatwe do usunięcia po zakończeniu okresu tymczasowości. Linie wyznaczające pasy ruchu zaleca się uzupełnić punktowymi elementami odblaskowymi z odbłyśnikami także barwy żółtej. </w:t>
      </w:r>
    </w:p>
    <w:p w:rsidR="009B7C43" w:rsidRPr="00A836C9" w:rsidRDefault="009B7C43" w:rsidP="009B7C43">
      <w:pPr>
        <w:rPr>
          <w:rFonts w:asciiTheme="minorHAnsi" w:hAnsiTheme="minorHAnsi"/>
        </w:rPr>
      </w:pPr>
      <w:r w:rsidRPr="00A836C9">
        <w:rPr>
          <w:rFonts w:asciiTheme="minorHAnsi" w:hAnsiTheme="minorHAnsi"/>
        </w:rPr>
        <w:t>Czasowe oznakowanie poziome powinno być wykonane z materiałów odblaskowych. Do jego wykonania należy stosować: farby, taśmy samoprzylepne lub punktowe elementy odblaskowe. Stosowanie farb dopuszcza się wyłącznie w takich przypadkach, gdy w wyniku przewidywanych robót nawierzchniowych oznakowanie to po ich zakończeniu będzie całkowicie niewidoczne, np. zostanie przykryte nową warstwą ścieralną nawierzchni.</w:t>
      </w:r>
    </w:p>
    <w:p w:rsidR="009B7C43" w:rsidRPr="00A836C9" w:rsidRDefault="009B7C43" w:rsidP="009B7C43">
      <w:pPr>
        <w:rPr>
          <w:rFonts w:asciiTheme="minorHAnsi" w:hAnsiTheme="minorHAnsi"/>
        </w:rPr>
      </w:pPr>
      <w:r w:rsidRPr="00A836C9">
        <w:rPr>
          <w:rFonts w:asciiTheme="minorHAnsi" w:hAnsiTheme="minorHAnsi"/>
        </w:rPr>
        <w:t>Materiały stosowane do wykonywania oznakowania tymczasowego powinny także posiadać aprobaty techniczne, a producent powinien wystawiać deklarację zgodności.</w:t>
      </w:r>
    </w:p>
    <w:p w:rsidR="009B7C43" w:rsidRPr="00A836C9" w:rsidRDefault="009B7C43" w:rsidP="009B7C43">
      <w:pPr>
        <w:rPr>
          <w:rFonts w:asciiTheme="minorHAnsi" w:hAnsiTheme="minorHAnsi"/>
        </w:rPr>
      </w:pPr>
    </w:p>
    <w:p w:rsidR="009B7C43" w:rsidRPr="00A836C9" w:rsidRDefault="009B7C43" w:rsidP="009B7C43">
      <w:pPr>
        <w:rPr>
          <w:rFonts w:asciiTheme="minorHAnsi" w:hAnsiTheme="minorHAnsi"/>
          <w:b/>
        </w:rPr>
      </w:pPr>
      <w:bookmarkStart w:id="1581" w:name="_Toc420816685"/>
      <w:r w:rsidRPr="00A836C9">
        <w:rPr>
          <w:rFonts w:asciiTheme="minorHAnsi" w:hAnsiTheme="minorHAnsi"/>
          <w:b/>
        </w:rPr>
        <w:t xml:space="preserve">6. </w:t>
      </w:r>
      <w:bookmarkEnd w:id="1581"/>
      <w:r w:rsidRPr="00A836C9">
        <w:rPr>
          <w:rFonts w:asciiTheme="minorHAnsi" w:hAnsiTheme="minorHAnsi"/>
          <w:b/>
        </w:rPr>
        <w:t>KONTROLA JAKOŚCI ROBÓT</w:t>
      </w:r>
    </w:p>
    <w:p w:rsidR="009B7C43" w:rsidRPr="00A836C9" w:rsidRDefault="009B7C43" w:rsidP="009B7C43">
      <w:pPr>
        <w:rPr>
          <w:rFonts w:asciiTheme="minorHAnsi" w:hAnsiTheme="minorHAnsi"/>
        </w:rPr>
      </w:pPr>
      <w:r w:rsidRPr="00A836C9">
        <w:rPr>
          <w:rFonts w:asciiTheme="minorHAnsi" w:hAnsiTheme="minorHAnsi"/>
          <w:b/>
        </w:rPr>
        <w:t>6.1.</w:t>
      </w:r>
      <w:r w:rsidRPr="00A836C9">
        <w:rPr>
          <w:rFonts w:asciiTheme="minorHAnsi" w:hAnsiTheme="minorHAnsi"/>
        </w:rPr>
        <w:t xml:space="preserve"> Ogólne zasady kontroli jakości robót</w:t>
      </w:r>
    </w:p>
    <w:p w:rsidR="009B7C43" w:rsidRPr="00A836C9" w:rsidRDefault="009B7C43" w:rsidP="009B7C43">
      <w:pPr>
        <w:rPr>
          <w:rFonts w:asciiTheme="minorHAnsi" w:hAnsiTheme="minorHAnsi"/>
        </w:rPr>
      </w:pPr>
      <w:r w:rsidRPr="00A836C9">
        <w:rPr>
          <w:rFonts w:asciiTheme="minorHAnsi" w:hAnsiTheme="minorHAnsi"/>
        </w:rPr>
        <w:tab/>
        <w:t>Ogólne zasady kontroli jakości robót podano w ST D-M-00.00.00 „Wymagania ogólne” pkt 6.</w:t>
      </w:r>
    </w:p>
    <w:p w:rsidR="009B7C43" w:rsidRPr="00A836C9" w:rsidRDefault="009B7C43" w:rsidP="009B7C43">
      <w:pPr>
        <w:rPr>
          <w:rFonts w:asciiTheme="minorHAnsi" w:hAnsiTheme="minorHAnsi"/>
        </w:rPr>
      </w:pPr>
      <w:r w:rsidRPr="00A836C9">
        <w:rPr>
          <w:rFonts w:asciiTheme="minorHAnsi" w:hAnsiTheme="minorHAnsi"/>
          <w:b/>
        </w:rPr>
        <w:t>6.2.</w:t>
      </w:r>
      <w:r w:rsidRPr="00A836C9">
        <w:rPr>
          <w:rFonts w:asciiTheme="minorHAnsi" w:hAnsiTheme="minorHAnsi"/>
        </w:rPr>
        <w:t xml:space="preserve"> Badanie przygotowania podłoża i przedznakowania</w:t>
      </w:r>
    </w:p>
    <w:p w:rsidR="009B7C43" w:rsidRPr="00A836C9" w:rsidRDefault="009B7C43" w:rsidP="009B7C43">
      <w:pPr>
        <w:rPr>
          <w:rFonts w:asciiTheme="minorHAnsi" w:hAnsiTheme="minorHAnsi"/>
        </w:rPr>
      </w:pPr>
      <w:r w:rsidRPr="00A836C9">
        <w:rPr>
          <w:rFonts w:asciiTheme="minorHAnsi" w:hAnsiTheme="minorHAnsi"/>
        </w:rPr>
        <w:tab/>
        <w:t>Powierzchnia jezdni przed wykonaniem znakowania poziomego musi być całkowicie czysta i sucha.</w:t>
      </w:r>
    </w:p>
    <w:p w:rsidR="009B7C43" w:rsidRPr="00A836C9" w:rsidRDefault="009B7C43" w:rsidP="009B7C43">
      <w:pPr>
        <w:rPr>
          <w:rFonts w:asciiTheme="minorHAnsi" w:hAnsiTheme="minorHAnsi"/>
        </w:rPr>
      </w:pPr>
      <w:r w:rsidRPr="00A836C9">
        <w:rPr>
          <w:rFonts w:asciiTheme="minorHAnsi" w:hAnsiTheme="minorHAnsi"/>
        </w:rPr>
        <w:tab/>
        <w:t>Przedznakowanie powinno być wykonane zgodnie z wymaganiami punktu 5.5.</w:t>
      </w:r>
    </w:p>
    <w:p w:rsidR="009B7C43" w:rsidRPr="00A836C9" w:rsidRDefault="009B7C43" w:rsidP="009B7C43">
      <w:pPr>
        <w:rPr>
          <w:rFonts w:asciiTheme="minorHAnsi" w:hAnsiTheme="minorHAnsi"/>
        </w:rPr>
      </w:pPr>
      <w:r w:rsidRPr="00A836C9">
        <w:rPr>
          <w:rFonts w:asciiTheme="minorHAnsi" w:hAnsiTheme="minorHAnsi"/>
          <w:b/>
        </w:rPr>
        <w:t>6.3.</w:t>
      </w:r>
      <w:r w:rsidRPr="00A836C9">
        <w:rPr>
          <w:rFonts w:asciiTheme="minorHAnsi" w:hAnsiTheme="minorHAnsi"/>
        </w:rPr>
        <w:t xml:space="preserve"> Badania wykonania oznakowania poziomego</w:t>
      </w:r>
    </w:p>
    <w:p w:rsidR="009B7C43" w:rsidRPr="00A836C9" w:rsidRDefault="009B7C43" w:rsidP="009B7C43">
      <w:pPr>
        <w:rPr>
          <w:rFonts w:asciiTheme="minorHAnsi" w:hAnsiTheme="minorHAnsi"/>
        </w:rPr>
      </w:pPr>
      <w:r w:rsidRPr="00A836C9">
        <w:rPr>
          <w:rFonts w:asciiTheme="minorHAnsi" w:hAnsiTheme="minorHAnsi"/>
          <w:b/>
        </w:rPr>
        <w:t>6.3.1.</w:t>
      </w:r>
      <w:r w:rsidRPr="00A836C9">
        <w:rPr>
          <w:rFonts w:asciiTheme="minorHAnsi" w:hAnsiTheme="minorHAnsi"/>
        </w:rPr>
        <w:t xml:space="preserve"> Wymagania wobec oznakowania poziomego</w:t>
      </w:r>
    </w:p>
    <w:p w:rsidR="009B7C43" w:rsidRPr="00A836C9" w:rsidRDefault="009B7C43" w:rsidP="009B7C43">
      <w:pPr>
        <w:rPr>
          <w:rFonts w:asciiTheme="minorHAnsi" w:hAnsiTheme="minorHAnsi"/>
        </w:rPr>
      </w:pPr>
      <w:r w:rsidRPr="00A836C9">
        <w:rPr>
          <w:rFonts w:asciiTheme="minorHAnsi" w:hAnsiTheme="minorHAnsi"/>
          <w:b/>
        </w:rPr>
        <w:t>6.3.1.1.</w:t>
      </w:r>
      <w:r w:rsidRPr="00A836C9">
        <w:rPr>
          <w:rFonts w:asciiTheme="minorHAnsi" w:hAnsiTheme="minorHAnsi"/>
        </w:rPr>
        <w:t xml:space="preserve"> Zasady</w:t>
      </w:r>
    </w:p>
    <w:p w:rsidR="009B7C43" w:rsidRPr="00A836C9" w:rsidRDefault="009B7C43" w:rsidP="009B7C43">
      <w:pPr>
        <w:rPr>
          <w:rFonts w:asciiTheme="minorHAnsi" w:hAnsiTheme="minorHAnsi"/>
        </w:rPr>
      </w:pPr>
      <w:r w:rsidRPr="00A836C9">
        <w:rPr>
          <w:rFonts w:asciiTheme="minorHAnsi" w:hAnsiTheme="minorHAnsi"/>
        </w:rPr>
        <w:t xml:space="preserve">Wymagania sprecyzowano przede wszystkim w celu określenia właściwości oznakowania dróg w czasie ich użytkowania. Wymagania określa się kilkoma parametrami reprezentującymi różne aspekty właściwości oznakowania dróg według PN-EN 1436:2000 i PN-EN 1436:2000/A1:2005. </w:t>
      </w:r>
    </w:p>
    <w:p w:rsidR="009B7C43" w:rsidRPr="00A836C9" w:rsidRDefault="009B7C43" w:rsidP="009B7C43">
      <w:pPr>
        <w:rPr>
          <w:rFonts w:asciiTheme="minorHAnsi" w:hAnsiTheme="minorHAnsi"/>
        </w:rPr>
      </w:pPr>
      <w:r w:rsidRPr="00A836C9">
        <w:rPr>
          <w:rFonts w:asciiTheme="minorHAnsi" w:hAnsiTheme="minorHAnsi"/>
        </w:rPr>
        <w:lastRenderedPageBreak/>
        <w:t xml:space="preserve">Badania wstępne, dla których określono pierwsze wymaganie, są wykonywane w celu kontroli przed odbiorem. Powinny być wykonane w terminie od 14 do 30 dnia po wykonaniu. Kolejne badania kontrolne należy wykonywać po okresie, od 3 do 6 miesięcy po wykonaniu i przed upływem 1 roku, oraz po 2, 3 i 4 latach dla materiałów o trwałości dłuższej niż 1 rok. </w:t>
      </w:r>
    </w:p>
    <w:p w:rsidR="009B7C43" w:rsidRPr="00A836C9" w:rsidRDefault="009B7C43" w:rsidP="009B7C43">
      <w:pPr>
        <w:rPr>
          <w:rFonts w:asciiTheme="minorHAnsi" w:hAnsiTheme="minorHAnsi"/>
        </w:rPr>
      </w:pPr>
      <w:r w:rsidRPr="00A836C9">
        <w:rPr>
          <w:rFonts w:asciiTheme="minorHAnsi" w:hAnsiTheme="minorHAnsi"/>
        </w:rPr>
        <w:t>Barwa żółta dotyczy tylko oznakowań tymczasowych, które także powinny być kontrolowane. Inne barwy oznakowań niż biała i żółta należy stosować zgodnie z zaleceniami zawartymi w załączniku nr 2 do rozporządzenia.</w:t>
      </w:r>
    </w:p>
    <w:p w:rsidR="009B7C43" w:rsidRPr="00A836C9" w:rsidRDefault="009B7C43" w:rsidP="009B7C43">
      <w:pPr>
        <w:rPr>
          <w:rFonts w:asciiTheme="minorHAnsi" w:hAnsiTheme="minorHAnsi"/>
        </w:rPr>
      </w:pPr>
      <w:r w:rsidRPr="00A836C9">
        <w:rPr>
          <w:rFonts w:asciiTheme="minorHAnsi" w:hAnsiTheme="minorHAnsi"/>
          <w:b/>
        </w:rPr>
        <w:t>6.3.1.2.</w:t>
      </w:r>
      <w:r w:rsidRPr="00A836C9">
        <w:rPr>
          <w:rFonts w:asciiTheme="minorHAnsi" w:hAnsiTheme="minorHAnsi"/>
        </w:rPr>
        <w:t xml:space="preserve"> Widzialność w dzień</w:t>
      </w:r>
    </w:p>
    <w:p w:rsidR="009B7C43" w:rsidRPr="00A836C9" w:rsidRDefault="009B7C43" w:rsidP="009B7C43">
      <w:pPr>
        <w:rPr>
          <w:rFonts w:asciiTheme="minorHAnsi" w:hAnsiTheme="minorHAnsi"/>
        </w:rPr>
      </w:pPr>
      <w:r w:rsidRPr="00A836C9">
        <w:rPr>
          <w:rFonts w:asciiTheme="minorHAnsi" w:hAnsiTheme="minorHAnsi"/>
        </w:rPr>
        <w:tab/>
        <w:t xml:space="preserve">Widzialność oznakowania w dzień jest określona współczynnikiem luminancji </w:t>
      </w:r>
      <w:r w:rsidRPr="00A836C9">
        <w:rPr>
          <w:rFonts w:asciiTheme="minorHAnsi" w:hAnsiTheme="minorHAnsi"/>
        </w:rPr>
        <w:sym w:font="Symbol" w:char="F062"/>
      </w:r>
      <w:r w:rsidRPr="00A836C9">
        <w:rPr>
          <w:rFonts w:asciiTheme="minorHAnsi" w:hAnsiTheme="minorHAnsi"/>
        </w:rPr>
        <w:t xml:space="preserve"> i barwą oznakowania wyrażoną współrzędnymi chromatyczności.</w:t>
      </w:r>
    </w:p>
    <w:p w:rsidR="009B7C43" w:rsidRPr="00A836C9" w:rsidRDefault="009B7C43" w:rsidP="009B7C43">
      <w:pPr>
        <w:rPr>
          <w:rFonts w:asciiTheme="minorHAnsi" w:hAnsiTheme="minorHAnsi"/>
        </w:rPr>
      </w:pPr>
      <w:r w:rsidRPr="00A836C9">
        <w:rPr>
          <w:rFonts w:asciiTheme="minorHAnsi" w:hAnsiTheme="minorHAnsi"/>
        </w:rPr>
        <w:t xml:space="preserve">Wartość współczynnika </w:t>
      </w:r>
      <w:r w:rsidRPr="00A836C9">
        <w:rPr>
          <w:rFonts w:asciiTheme="minorHAnsi" w:hAnsiTheme="minorHAnsi"/>
        </w:rPr>
        <w:sym w:font="Symbol" w:char="F062"/>
      </w:r>
      <w:r w:rsidRPr="00A836C9">
        <w:rPr>
          <w:rFonts w:asciiTheme="minorHAnsi" w:hAnsiTheme="minorHAnsi"/>
        </w:rPr>
        <w:t xml:space="preserve"> powinna wynosić dla oznakowania nowego w terminie od 14 do 30 dnia po wykonaniu, barwy:</w:t>
      </w:r>
    </w:p>
    <w:p w:rsidR="009B7C43" w:rsidRPr="00A836C9" w:rsidRDefault="009B7C43" w:rsidP="009B7C43">
      <w:pPr>
        <w:rPr>
          <w:rFonts w:asciiTheme="minorHAnsi" w:hAnsiTheme="minorHAnsi"/>
        </w:rPr>
      </w:pPr>
      <w:r>
        <w:rPr>
          <w:rFonts w:asciiTheme="minorHAnsi" w:hAnsiTheme="minorHAnsi"/>
        </w:rPr>
        <w:t>-</w:t>
      </w:r>
      <w:r w:rsidRPr="00A836C9">
        <w:rPr>
          <w:rFonts w:asciiTheme="minorHAnsi" w:hAnsiTheme="minorHAnsi"/>
        </w:rPr>
        <w:t>białej, na nawierzchni asfaltowej , co najmniej 0,40, klasa B3,</w:t>
      </w:r>
    </w:p>
    <w:p w:rsidR="009B7C43" w:rsidRPr="00A836C9" w:rsidRDefault="009B7C43" w:rsidP="009B7C43">
      <w:pPr>
        <w:rPr>
          <w:rFonts w:asciiTheme="minorHAnsi" w:hAnsiTheme="minorHAnsi"/>
        </w:rPr>
      </w:pPr>
      <w:r>
        <w:rPr>
          <w:rFonts w:asciiTheme="minorHAnsi" w:hAnsiTheme="minorHAnsi"/>
        </w:rPr>
        <w:t>-</w:t>
      </w:r>
      <w:r w:rsidRPr="00A836C9">
        <w:rPr>
          <w:rFonts w:asciiTheme="minorHAnsi" w:hAnsiTheme="minorHAnsi"/>
        </w:rPr>
        <w:t>żółtej, co najmniej 0,30, klasa B2.</w:t>
      </w:r>
    </w:p>
    <w:p w:rsidR="009B7C43" w:rsidRPr="00A836C9" w:rsidRDefault="009B7C43" w:rsidP="009B7C43">
      <w:pPr>
        <w:rPr>
          <w:rFonts w:asciiTheme="minorHAnsi" w:hAnsiTheme="minorHAnsi"/>
        </w:rPr>
      </w:pPr>
      <w:r w:rsidRPr="00A836C9">
        <w:rPr>
          <w:rFonts w:asciiTheme="minorHAnsi" w:hAnsiTheme="minorHAnsi"/>
        </w:rPr>
        <w:tab/>
        <w:t xml:space="preserve">Wartość współczynnika </w:t>
      </w:r>
      <w:r w:rsidRPr="00A836C9">
        <w:rPr>
          <w:rFonts w:asciiTheme="minorHAnsi" w:hAnsiTheme="minorHAnsi"/>
        </w:rPr>
        <w:sym w:font="Symbol" w:char="F062"/>
      </w:r>
      <w:r w:rsidRPr="00A836C9">
        <w:rPr>
          <w:rFonts w:asciiTheme="minorHAnsi" w:hAnsiTheme="minorHAnsi"/>
        </w:rPr>
        <w:t xml:space="preserve"> powinna wynosić po 30 dniu od wykonania dla całego okresu użytkowania oznakowania, barwy:</w:t>
      </w:r>
    </w:p>
    <w:p w:rsidR="009B7C43" w:rsidRPr="00A836C9" w:rsidRDefault="009B7C43" w:rsidP="009B7C43">
      <w:pPr>
        <w:rPr>
          <w:rFonts w:asciiTheme="minorHAnsi" w:hAnsiTheme="minorHAnsi"/>
        </w:rPr>
      </w:pPr>
      <w:r>
        <w:rPr>
          <w:rFonts w:asciiTheme="minorHAnsi" w:hAnsiTheme="minorHAnsi"/>
        </w:rPr>
        <w:t>-</w:t>
      </w:r>
      <w:r w:rsidRPr="00A836C9">
        <w:rPr>
          <w:rFonts w:asciiTheme="minorHAnsi" w:hAnsiTheme="minorHAnsi"/>
        </w:rPr>
        <w:t>białej, na nawierzchni asfaltowej , co najmniej 0,30, klasa B2,</w:t>
      </w:r>
    </w:p>
    <w:p w:rsidR="009B7C43" w:rsidRPr="00A836C9" w:rsidRDefault="009B7C43" w:rsidP="009B7C43">
      <w:pPr>
        <w:rPr>
          <w:rFonts w:asciiTheme="minorHAnsi" w:hAnsiTheme="minorHAnsi"/>
        </w:rPr>
      </w:pPr>
      <w:r>
        <w:rPr>
          <w:rFonts w:asciiTheme="minorHAnsi" w:hAnsiTheme="minorHAnsi"/>
        </w:rPr>
        <w:t>-</w:t>
      </w:r>
      <w:r w:rsidRPr="00A836C9">
        <w:rPr>
          <w:rFonts w:asciiTheme="minorHAnsi" w:hAnsiTheme="minorHAnsi"/>
        </w:rPr>
        <w:t xml:space="preserve">żółtej, co najmniej 0,20 klasa B1. </w:t>
      </w:r>
    </w:p>
    <w:p w:rsidR="009B7C43" w:rsidRPr="00A836C9" w:rsidRDefault="009B7C43" w:rsidP="009B7C43">
      <w:pPr>
        <w:rPr>
          <w:rFonts w:asciiTheme="minorHAnsi" w:hAnsiTheme="minorHAnsi"/>
        </w:rPr>
      </w:pPr>
      <w:r w:rsidRPr="00A836C9">
        <w:rPr>
          <w:rFonts w:asciiTheme="minorHAnsi" w:hAnsiTheme="minorHAnsi"/>
        </w:rPr>
        <w:tab/>
        <w:t>Barwa oznakowania powinna być określona wg PN-EN 1436:2000 przez współrzędne chromatyczności x i y, które dla suchego oznakowania powinny leżeć w obszarze zdefiniowanym przez cztery punkty narożne podane w tablicy 1 i na wykresach (rys. 1, 2 i 3).</w:t>
      </w:r>
    </w:p>
    <w:p w:rsidR="009B7C43" w:rsidRPr="00A836C9" w:rsidRDefault="009B7C43" w:rsidP="009B7C43">
      <w:pPr>
        <w:rPr>
          <w:rFonts w:asciiTheme="minorHAnsi" w:hAnsiTheme="minorHAnsi"/>
        </w:rPr>
      </w:pPr>
    </w:p>
    <w:p w:rsidR="009B7C43" w:rsidRPr="00A836C9" w:rsidRDefault="009B7C43" w:rsidP="004E5CC8">
      <w:pPr>
        <w:ind w:left="851"/>
        <w:rPr>
          <w:rFonts w:asciiTheme="minorHAnsi" w:hAnsiTheme="minorHAnsi"/>
        </w:rPr>
      </w:pPr>
      <w:r w:rsidRPr="00A836C9">
        <w:rPr>
          <w:rFonts w:asciiTheme="minorHAnsi" w:hAnsiTheme="minorHAnsi"/>
        </w:rPr>
        <w:t>Tablica 1. Punkty narożne obszarów chromatyczności oznakowań dróg</w:t>
      </w:r>
    </w:p>
    <w:tbl>
      <w:tblPr>
        <w:tblW w:w="7468" w:type="dxa"/>
        <w:jc w:val="center"/>
        <w:tblInd w:w="1987" w:type="dxa"/>
        <w:tblLayout w:type="fixed"/>
        <w:tblCellMar>
          <w:left w:w="157" w:type="dxa"/>
          <w:right w:w="157" w:type="dxa"/>
        </w:tblCellMar>
        <w:tblLook w:val="0000"/>
      </w:tblPr>
      <w:tblGrid>
        <w:gridCol w:w="2601"/>
        <w:gridCol w:w="425"/>
        <w:gridCol w:w="1110"/>
        <w:gridCol w:w="1111"/>
        <w:gridCol w:w="1110"/>
        <w:gridCol w:w="1111"/>
      </w:tblGrid>
      <w:tr w:rsidR="009B7C43" w:rsidRPr="00A836C9" w:rsidTr="00F040CD">
        <w:trPr>
          <w:trHeight w:val="398"/>
          <w:jc w:val="center"/>
        </w:trPr>
        <w:tc>
          <w:tcPr>
            <w:tcW w:w="3026" w:type="dxa"/>
            <w:gridSpan w:val="2"/>
            <w:tcBorders>
              <w:top w:val="single" w:sz="6" w:space="0" w:color="auto"/>
              <w:left w:val="single" w:sz="6" w:space="0" w:color="auto"/>
              <w:bottom w:val="double" w:sz="4" w:space="0" w:color="auto"/>
              <w:right w:val="nil"/>
            </w:tcBorders>
          </w:tcPr>
          <w:p w:rsidR="009B7C43" w:rsidRPr="00A836C9" w:rsidRDefault="009B7C43" w:rsidP="00D11375">
            <w:pPr>
              <w:jc w:val="center"/>
              <w:rPr>
                <w:rFonts w:asciiTheme="minorHAnsi" w:hAnsiTheme="minorHAnsi"/>
                <w:b/>
                <w:sz w:val="18"/>
                <w:szCs w:val="18"/>
              </w:rPr>
            </w:pPr>
            <w:r w:rsidRPr="00A836C9">
              <w:rPr>
                <w:rFonts w:asciiTheme="minorHAnsi" w:hAnsiTheme="minorHAnsi"/>
                <w:b/>
                <w:sz w:val="18"/>
                <w:szCs w:val="18"/>
              </w:rPr>
              <w:t>Punkt narożny nr</w:t>
            </w:r>
          </w:p>
        </w:tc>
        <w:tc>
          <w:tcPr>
            <w:tcW w:w="1110" w:type="dxa"/>
            <w:tcBorders>
              <w:top w:val="single" w:sz="6" w:space="0" w:color="auto"/>
              <w:left w:val="single" w:sz="6" w:space="0" w:color="auto"/>
              <w:bottom w:val="double" w:sz="4" w:space="0" w:color="auto"/>
              <w:right w:val="nil"/>
            </w:tcBorders>
          </w:tcPr>
          <w:p w:rsidR="009B7C43" w:rsidRPr="00A836C9" w:rsidRDefault="009B7C43" w:rsidP="00D11375">
            <w:pPr>
              <w:jc w:val="center"/>
              <w:rPr>
                <w:rFonts w:asciiTheme="minorHAnsi" w:hAnsiTheme="minorHAnsi"/>
                <w:b/>
                <w:sz w:val="18"/>
                <w:szCs w:val="18"/>
              </w:rPr>
            </w:pPr>
            <w:r w:rsidRPr="00A836C9">
              <w:rPr>
                <w:rFonts w:asciiTheme="minorHAnsi" w:hAnsiTheme="minorHAnsi"/>
                <w:b/>
                <w:sz w:val="18"/>
                <w:szCs w:val="18"/>
              </w:rPr>
              <w:t>1</w:t>
            </w:r>
          </w:p>
        </w:tc>
        <w:tc>
          <w:tcPr>
            <w:tcW w:w="1111" w:type="dxa"/>
            <w:tcBorders>
              <w:top w:val="single" w:sz="6" w:space="0" w:color="auto"/>
              <w:left w:val="single" w:sz="6" w:space="0" w:color="auto"/>
              <w:bottom w:val="double" w:sz="4" w:space="0" w:color="auto"/>
              <w:right w:val="nil"/>
            </w:tcBorders>
          </w:tcPr>
          <w:p w:rsidR="009B7C43" w:rsidRPr="00A836C9" w:rsidRDefault="009B7C43" w:rsidP="00D11375">
            <w:pPr>
              <w:jc w:val="center"/>
              <w:rPr>
                <w:rFonts w:asciiTheme="minorHAnsi" w:hAnsiTheme="minorHAnsi"/>
                <w:b/>
                <w:sz w:val="18"/>
                <w:szCs w:val="18"/>
              </w:rPr>
            </w:pPr>
            <w:r w:rsidRPr="00A836C9">
              <w:rPr>
                <w:rFonts w:asciiTheme="minorHAnsi" w:hAnsiTheme="minorHAnsi"/>
                <w:b/>
                <w:sz w:val="18"/>
                <w:szCs w:val="18"/>
              </w:rPr>
              <w:t>2</w:t>
            </w:r>
          </w:p>
        </w:tc>
        <w:tc>
          <w:tcPr>
            <w:tcW w:w="1110" w:type="dxa"/>
            <w:tcBorders>
              <w:top w:val="single" w:sz="6" w:space="0" w:color="auto"/>
              <w:left w:val="single" w:sz="6" w:space="0" w:color="auto"/>
              <w:bottom w:val="double" w:sz="4" w:space="0" w:color="auto"/>
              <w:right w:val="nil"/>
            </w:tcBorders>
          </w:tcPr>
          <w:p w:rsidR="009B7C43" w:rsidRPr="00A836C9" w:rsidRDefault="009B7C43" w:rsidP="00D11375">
            <w:pPr>
              <w:jc w:val="center"/>
              <w:rPr>
                <w:rFonts w:asciiTheme="minorHAnsi" w:hAnsiTheme="minorHAnsi"/>
                <w:b/>
                <w:sz w:val="18"/>
                <w:szCs w:val="18"/>
              </w:rPr>
            </w:pPr>
            <w:r w:rsidRPr="00A836C9">
              <w:rPr>
                <w:rFonts w:asciiTheme="minorHAnsi" w:hAnsiTheme="minorHAnsi"/>
                <w:b/>
                <w:sz w:val="18"/>
                <w:szCs w:val="18"/>
              </w:rPr>
              <w:t>3</w:t>
            </w:r>
          </w:p>
        </w:tc>
        <w:tc>
          <w:tcPr>
            <w:tcW w:w="1111" w:type="dxa"/>
            <w:tcBorders>
              <w:top w:val="single" w:sz="6" w:space="0" w:color="auto"/>
              <w:left w:val="single" w:sz="6" w:space="0" w:color="auto"/>
              <w:bottom w:val="double" w:sz="4" w:space="0" w:color="auto"/>
              <w:right w:val="single" w:sz="6" w:space="0" w:color="auto"/>
            </w:tcBorders>
          </w:tcPr>
          <w:p w:rsidR="009B7C43" w:rsidRPr="00A836C9" w:rsidRDefault="009B7C43" w:rsidP="00D11375">
            <w:pPr>
              <w:jc w:val="center"/>
              <w:rPr>
                <w:rFonts w:asciiTheme="minorHAnsi" w:hAnsiTheme="minorHAnsi"/>
                <w:b/>
                <w:sz w:val="18"/>
                <w:szCs w:val="18"/>
              </w:rPr>
            </w:pPr>
            <w:r w:rsidRPr="00A836C9">
              <w:rPr>
                <w:rFonts w:asciiTheme="minorHAnsi" w:hAnsiTheme="minorHAnsi"/>
                <w:b/>
                <w:sz w:val="18"/>
                <w:szCs w:val="18"/>
              </w:rPr>
              <w:t>4</w:t>
            </w:r>
          </w:p>
        </w:tc>
      </w:tr>
      <w:tr w:rsidR="009B7C43" w:rsidRPr="00A836C9" w:rsidTr="00F040CD">
        <w:trPr>
          <w:jc w:val="center"/>
        </w:trPr>
        <w:tc>
          <w:tcPr>
            <w:tcW w:w="2601" w:type="dxa"/>
            <w:tcBorders>
              <w:top w:val="double" w:sz="4" w:space="0" w:color="auto"/>
              <w:left w:val="single" w:sz="6" w:space="0" w:color="auto"/>
              <w:bottom w:val="nil"/>
              <w:right w:val="nil"/>
            </w:tcBorders>
          </w:tcPr>
          <w:p w:rsidR="009B7C43" w:rsidRPr="00A836C9" w:rsidRDefault="009B7C43" w:rsidP="00D11375">
            <w:pPr>
              <w:jc w:val="center"/>
              <w:rPr>
                <w:rFonts w:asciiTheme="minorHAnsi" w:hAnsiTheme="minorHAnsi"/>
                <w:sz w:val="18"/>
                <w:szCs w:val="18"/>
              </w:rPr>
            </w:pPr>
            <w:r w:rsidRPr="00A836C9">
              <w:rPr>
                <w:rFonts w:asciiTheme="minorHAnsi" w:hAnsiTheme="minorHAnsi"/>
                <w:sz w:val="18"/>
                <w:szCs w:val="18"/>
              </w:rPr>
              <w:t>Oznakowanie białe</w:t>
            </w:r>
          </w:p>
        </w:tc>
        <w:tc>
          <w:tcPr>
            <w:tcW w:w="425" w:type="dxa"/>
            <w:tcBorders>
              <w:top w:val="double" w:sz="4" w:space="0" w:color="auto"/>
              <w:left w:val="single" w:sz="6" w:space="0" w:color="auto"/>
              <w:bottom w:val="nil"/>
              <w:right w:val="nil"/>
            </w:tcBorders>
          </w:tcPr>
          <w:p w:rsidR="009B7C43" w:rsidRPr="00A836C9" w:rsidRDefault="009B7C43" w:rsidP="00D11375">
            <w:pPr>
              <w:jc w:val="center"/>
              <w:rPr>
                <w:rFonts w:asciiTheme="minorHAnsi" w:hAnsiTheme="minorHAnsi"/>
                <w:sz w:val="18"/>
                <w:szCs w:val="18"/>
              </w:rPr>
            </w:pPr>
            <w:r w:rsidRPr="00A836C9">
              <w:rPr>
                <w:rFonts w:asciiTheme="minorHAnsi" w:hAnsiTheme="minorHAnsi"/>
                <w:sz w:val="18"/>
                <w:szCs w:val="18"/>
              </w:rPr>
              <w:t>x</w:t>
            </w:r>
          </w:p>
        </w:tc>
        <w:tc>
          <w:tcPr>
            <w:tcW w:w="1110" w:type="dxa"/>
            <w:tcBorders>
              <w:top w:val="double" w:sz="4" w:space="0" w:color="auto"/>
              <w:left w:val="single" w:sz="6" w:space="0" w:color="auto"/>
              <w:bottom w:val="nil"/>
              <w:right w:val="nil"/>
            </w:tcBorders>
          </w:tcPr>
          <w:p w:rsidR="009B7C43" w:rsidRPr="00A836C9" w:rsidRDefault="009B7C43" w:rsidP="00D11375">
            <w:pPr>
              <w:jc w:val="center"/>
              <w:rPr>
                <w:rFonts w:asciiTheme="minorHAnsi" w:hAnsiTheme="minorHAnsi"/>
                <w:sz w:val="18"/>
                <w:szCs w:val="18"/>
              </w:rPr>
            </w:pPr>
            <w:r w:rsidRPr="00A836C9">
              <w:rPr>
                <w:rFonts w:asciiTheme="minorHAnsi" w:hAnsiTheme="minorHAnsi"/>
                <w:sz w:val="18"/>
                <w:szCs w:val="18"/>
              </w:rPr>
              <w:t>0,355</w:t>
            </w:r>
          </w:p>
        </w:tc>
        <w:tc>
          <w:tcPr>
            <w:tcW w:w="1111" w:type="dxa"/>
            <w:tcBorders>
              <w:top w:val="double" w:sz="4" w:space="0" w:color="auto"/>
              <w:left w:val="single" w:sz="6" w:space="0" w:color="auto"/>
              <w:bottom w:val="nil"/>
              <w:right w:val="nil"/>
            </w:tcBorders>
          </w:tcPr>
          <w:p w:rsidR="009B7C43" w:rsidRPr="00A836C9" w:rsidRDefault="009B7C43" w:rsidP="00D11375">
            <w:pPr>
              <w:jc w:val="center"/>
              <w:rPr>
                <w:rFonts w:asciiTheme="minorHAnsi" w:hAnsiTheme="minorHAnsi"/>
                <w:sz w:val="18"/>
                <w:szCs w:val="18"/>
              </w:rPr>
            </w:pPr>
            <w:r w:rsidRPr="00A836C9">
              <w:rPr>
                <w:rFonts w:asciiTheme="minorHAnsi" w:hAnsiTheme="minorHAnsi"/>
                <w:sz w:val="18"/>
                <w:szCs w:val="18"/>
              </w:rPr>
              <w:t>0,305</w:t>
            </w:r>
          </w:p>
        </w:tc>
        <w:tc>
          <w:tcPr>
            <w:tcW w:w="1110" w:type="dxa"/>
            <w:tcBorders>
              <w:top w:val="double" w:sz="4" w:space="0" w:color="auto"/>
              <w:left w:val="single" w:sz="6" w:space="0" w:color="auto"/>
              <w:bottom w:val="nil"/>
              <w:right w:val="nil"/>
            </w:tcBorders>
          </w:tcPr>
          <w:p w:rsidR="009B7C43" w:rsidRPr="00A836C9" w:rsidRDefault="009B7C43" w:rsidP="00D11375">
            <w:pPr>
              <w:jc w:val="center"/>
              <w:rPr>
                <w:rFonts w:asciiTheme="minorHAnsi" w:hAnsiTheme="minorHAnsi"/>
                <w:sz w:val="18"/>
                <w:szCs w:val="18"/>
              </w:rPr>
            </w:pPr>
            <w:r w:rsidRPr="00A836C9">
              <w:rPr>
                <w:rFonts w:asciiTheme="minorHAnsi" w:hAnsiTheme="minorHAnsi"/>
                <w:sz w:val="18"/>
                <w:szCs w:val="18"/>
              </w:rPr>
              <w:t>0,285</w:t>
            </w:r>
          </w:p>
        </w:tc>
        <w:tc>
          <w:tcPr>
            <w:tcW w:w="1111" w:type="dxa"/>
            <w:tcBorders>
              <w:top w:val="double" w:sz="4" w:space="0" w:color="auto"/>
              <w:left w:val="single" w:sz="6" w:space="0" w:color="auto"/>
              <w:bottom w:val="nil"/>
              <w:right w:val="single" w:sz="6" w:space="0" w:color="auto"/>
            </w:tcBorders>
          </w:tcPr>
          <w:p w:rsidR="009B7C43" w:rsidRPr="00A836C9" w:rsidRDefault="009B7C43" w:rsidP="00D11375">
            <w:pPr>
              <w:jc w:val="center"/>
              <w:rPr>
                <w:rFonts w:asciiTheme="minorHAnsi" w:hAnsiTheme="minorHAnsi"/>
                <w:sz w:val="18"/>
                <w:szCs w:val="18"/>
              </w:rPr>
            </w:pPr>
            <w:r w:rsidRPr="00A836C9">
              <w:rPr>
                <w:rFonts w:asciiTheme="minorHAnsi" w:hAnsiTheme="minorHAnsi"/>
                <w:sz w:val="18"/>
                <w:szCs w:val="18"/>
              </w:rPr>
              <w:t>0,335</w:t>
            </w:r>
          </w:p>
        </w:tc>
      </w:tr>
      <w:tr w:rsidR="009B7C43" w:rsidRPr="00A836C9" w:rsidTr="00F040CD">
        <w:trPr>
          <w:jc w:val="center"/>
        </w:trPr>
        <w:tc>
          <w:tcPr>
            <w:tcW w:w="2601" w:type="dxa"/>
            <w:tcBorders>
              <w:top w:val="nil"/>
              <w:left w:val="single" w:sz="6" w:space="0" w:color="auto"/>
              <w:bottom w:val="nil"/>
              <w:right w:val="nil"/>
            </w:tcBorders>
          </w:tcPr>
          <w:p w:rsidR="009B7C43" w:rsidRPr="00A836C9" w:rsidRDefault="009B7C43" w:rsidP="00D11375">
            <w:pPr>
              <w:jc w:val="center"/>
              <w:rPr>
                <w:rFonts w:asciiTheme="minorHAnsi" w:hAnsiTheme="minorHAnsi"/>
                <w:sz w:val="18"/>
                <w:szCs w:val="18"/>
              </w:rPr>
            </w:pPr>
          </w:p>
        </w:tc>
        <w:tc>
          <w:tcPr>
            <w:tcW w:w="425" w:type="dxa"/>
            <w:tcBorders>
              <w:top w:val="single" w:sz="6" w:space="0" w:color="auto"/>
              <w:left w:val="single" w:sz="6" w:space="0" w:color="auto"/>
              <w:bottom w:val="nil"/>
              <w:right w:val="nil"/>
            </w:tcBorders>
          </w:tcPr>
          <w:p w:rsidR="009B7C43" w:rsidRPr="00A836C9" w:rsidRDefault="009B7C43" w:rsidP="00D11375">
            <w:pPr>
              <w:jc w:val="center"/>
              <w:rPr>
                <w:rFonts w:asciiTheme="minorHAnsi" w:hAnsiTheme="minorHAnsi"/>
                <w:sz w:val="18"/>
                <w:szCs w:val="18"/>
              </w:rPr>
            </w:pPr>
            <w:r w:rsidRPr="00A836C9">
              <w:rPr>
                <w:rFonts w:asciiTheme="minorHAnsi" w:hAnsiTheme="minorHAnsi"/>
                <w:sz w:val="18"/>
                <w:szCs w:val="18"/>
              </w:rPr>
              <w:t>y</w:t>
            </w:r>
          </w:p>
        </w:tc>
        <w:tc>
          <w:tcPr>
            <w:tcW w:w="1110" w:type="dxa"/>
            <w:tcBorders>
              <w:top w:val="single" w:sz="6" w:space="0" w:color="auto"/>
              <w:left w:val="single" w:sz="6" w:space="0" w:color="auto"/>
              <w:bottom w:val="nil"/>
              <w:right w:val="nil"/>
            </w:tcBorders>
          </w:tcPr>
          <w:p w:rsidR="009B7C43" w:rsidRPr="00A836C9" w:rsidRDefault="009B7C43" w:rsidP="00D11375">
            <w:pPr>
              <w:jc w:val="center"/>
              <w:rPr>
                <w:rFonts w:asciiTheme="minorHAnsi" w:hAnsiTheme="minorHAnsi"/>
                <w:sz w:val="18"/>
                <w:szCs w:val="18"/>
              </w:rPr>
            </w:pPr>
            <w:r w:rsidRPr="00A836C9">
              <w:rPr>
                <w:rFonts w:asciiTheme="minorHAnsi" w:hAnsiTheme="minorHAnsi"/>
                <w:sz w:val="18"/>
                <w:szCs w:val="18"/>
              </w:rPr>
              <w:t>0,355</w:t>
            </w:r>
          </w:p>
        </w:tc>
        <w:tc>
          <w:tcPr>
            <w:tcW w:w="1111" w:type="dxa"/>
            <w:tcBorders>
              <w:top w:val="single" w:sz="6" w:space="0" w:color="auto"/>
              <w:left w:val="single" w:sz="6" w:space="0" w:color="auto"/>
              <w:bottom w:val="nil"/>
              <w:right w:val="nil"/>
            </w:tcBorders>
          </w:tcPr>
          <w:p w:rsidR="009B7C43" w:rsidRPr="00A836C9" w:rsidRDefault="009B7C43" w:rsidP="00D11375">
            <w:pPr>
              <w:jc w:val="center"/>
              <w:rPr>
                <w:rFonts w:asciiTheme="minorHAnsi" w:hAnsiTheme="minorHAnsi"/>
                <w:sz w:val="18"/>
                <w:szCs w:val="18"/>
              </w:rPr>
            </w:pPr>
            <w:r w:rsidRPr="00A836C9">
              <w:rPr>
                <w:rFonts w:asciiTheme="minorHAnsi" w:hAnsiTheme="minorHAnsi"/>
                <w:sz w:val="18"/>
                <w:szCs w:val="18"/>
              </w:rPr>
              <w:t>0,305</w:t>
            </w:r>
          </w:p>
        </w:tc>
        <w:tc>
          <w:tcPr>
            <w:tcW w:w="1110" w:type="dxa"/>
            <w:tcBorders>
              <w:top w:val="single" w:sz="6" w:space="0" w:color="auto"/>
              <w:left w:val="single" w:sz="6" w:space="0" w:color="auto"/>
              <w:bottom w:val="nil"/>
              <w:right w:val="nil"/>
            </w:tcBorders>
          </w:tcPr>
          <w:p w:rsidR="009B7C43" w:rsidRPr="00A836C9" w:rsidRDefault="009B7C43" w:rsidP="00D11375">
            <w:pPr>
              <w:jc w:val="center"/>
              <w:rPr>
                <w:rFonts w:asciiTheme="minorHAnsi" w:hAnsiTheme="minorHAnsi"/>
                <w:sz w:val="18"/>
                <w:szCs w:val="18"/>
              </w:rPr>
            </w:pPr>
            <w:r w:rsidRPr="00A836C9">
              <w:rPr>
                <w:rFonts w:asciiTheme="minorHAnsi" w:hAnsiTheme="minorHAnsi"/>
                <w:sz w:val="18"/>
                <w:szCs w:val="18"/>
              </w:rPr>
              <w:t>0,325</w:t>
            </w:r>
          </w:p>
        </w:tc>
        <w:tc>
          <w:tcPr>
            <w:tcW w:w="1111" w:type="dxa"/>
            <w:tcBorders>
              <w:top w:val="single" w:sz="6" w:space="0" w:color="auto"/>
              <w:left w:val="single" w:sz="6" w:space="0" w:color="auto"/>
              <w:bottom w:val="nil"/>
              <w:right w:val="single" w:sz="6" w:space="0" w:color="auto"/>
            </w:tcBorders>
          </w:tcPr>
          <w:p w:rsidR="009B7C43" w:rsidRPr="00A836C9" w:rsidRDefault="009B7C43" w:rsidP="00D11375">
            <w:pPr>
              <w:jc w:val="center"/>
              <w:rPr>
                <w:rFonts w:asciiTheme="minorHAnsi" w:hAnsiTheme="minorHAnsi"/>
                <w:sz w:val="18"/>
                <w:szCs w:val="18"/>
              </w:rPr>
            </w:pPr>
            <w:r w:rsidRPr="00A836C9">
              <w:rPr>
                <w:rFonts w:asciiTheme="minorHAnsi" w:hAnsiTheme="minorHAnsi"/>
                <w:sz w:val="18"/>
                <w:szCs w:val="18"/>
              </w:rPr>
              <w:t>0,375</w:t>
            </w:r>
          </w:p>
        </w:tc>
      </w:tr>
      <w:tr w:rsidR="009B7C43" w:rsidRPr="00A836C9" w:rsidTr="00F040CD">
        <w:trPr>
          <w:jc w:val="center"/>
        </w:trPr>
        <w:tc>
          <w:tcPr>
            <w:tcW w:w="2601" w:type="dxa"/>
            <w:tcBorders>
              <w:top w:val="single" w:sz="6" w:space="0" w:color="auto"/>
              <w:left w:val="single" w:sz="6" w:space="0" w:color="auto"/>
              <w:bottom w:val="nil"/>
              <w:right w:val="nil"/>
            </w:tcBorders>
          </w:tcPr>
          <w:p w:rsidR="009B7C43" w:rsidRPr="00A836C9" w:rsidRDefault="009B7C43" w:rsidP="00D11375">
            <w:pPr>
              <w:jc w:val="center"/>
              <w:rPr>
                <w:rFonts w:asciiTheme="minorHAnsi" w:hAnsiTheme="minorHAnsi"/>
                <w:sz w:val="18"/>
                <w:szCs w:val="18"/>
              </w:rPr>
            </w:pPr>
            <w:r w:rsidRPr="00A836C9">
              <w:rPr>
                <w:rFonts w:asciiTheme="minorHAnsi" w:hAnsiTheme="minorHAnsi"/>
                <w:sz w:val="18"/>
                <w:szCs w:val="18"/>
              </w:rPr>
              <w:t>Oznakowanie żółte klasa Y1</w:t>
            </w:r>
          </w:p>
        </w:tc>
        <w:tc>
          <w:tcPr>
            <w:tcW w:w="425" w:type="dxa"/>
            <w:tcBorders>
              <w:top w:val="single" w:sz="6" w:space="0" w:color="auto"/>
              <w:left w:val="single" w:sz="6" w:space="0" w:color="auto"/>
              <w:bottom w:val="nil"/>
              <w:right w:val="nil"/>
            </w:tcBorders>
          </w:tcPr>
          <w:p w:rsidR="009B7C43" w:rsidRPr="00A836C9" w:rsidRDefault="009B7C43" w:rsidP="00D11375">
            <w:pPr>
              <w:jc w:val="center"/>
              <w:rPr>
                <w:rFonts w:asciiTheme="minorHAnsi" w:hAnsiTheme="minorHAnsi"/>
                <w:sz w:val="18"/>
                <w:szCs w:val="18"/>
              </w:rPr>
            </w:pPr>
            <w:r w:rsidRPr="00A836C9">
              <w:rPr>
                <w:rFonts w:asciiTheme="minorHAnsi" w:hAnsiTheme="minorHAnsi"/>
                <w:sz w:val="18"/>
                <w:szCs w:val="18"/>
              </w:rPr>
              <w:t>x</w:t>
            </w:r>
          </w:p>
        </w:tc>
        <w:tc>
          <w:tcPr>
            <w:tcW w:w="1110" w:type="dxa"/>
            <w:tcBorders>
              <w:top w:val="single" w:sz="6" w:space="0" w:color="auto"/>
              <w:left w:val="single" w:sz="6" w:space="0" w:color="auto"/>
              <w:bottom w:val="nil"/>
              <w:right w:val="nil"/>
            </w:tcBorders>
          </w:tcPr>
          <w:p w:rsidR="009B7C43" w:rsidRPr="00A836C9" w:rsidRDefault="009B7C43" w:rsidP="00D11375">
            <w:pPr>
              <w:jc w:val="center"/>
              <w:rPr>
                <w:rFonts w:asciiTheme="minorHAnsi" w:hAnsiTheme="minorHAnsi"/>
                <w:sz w:val="18"/>
                <w:szCs w:val="18"/>
              </w:rPr>
            </w:pPr>
            <w:r w:rsidRPr="00A836C9">
              <w:rPr>
                <w:rFonts w:asciiTheme="minorHAnsi" w:hAnsiTheme="minorHAnsi"/>
                <w:sz w:val="18"/>
                <w:szCs w:val="18"/>
              </w:rPr>
              <w:t>0,443</w:t>
            </w:r>
          </w:p>
        </w:tc>
        <w:tc>
          <w:tcPr>
            <w:tcW w:w="1111" w:type="dxa"/>
            <w:tcBorders>
              <w:top w:val="single" w:sz="6" w:space="0" w:color="auto"/>
              <w:left w:val="single" w:sz="6" w:space="0" w:color="auto"/>
              <w:bottom w:val="nil"/>
              <w:right w:val="nil"/>
            </w:tcBorders>
          </w:tcPr>
          <w:p w:rsidR="009B7C43" w:rsidRPr="00A836C9" w:rsidRDefault="009B7C43" w:rsidP="00D11375">
            <w:pPr>
              <w:jc w:val="center"/>
              <w:rPr>
                <w:rFonts w:asciiTheme="minorHAnsi" w:hAnsiTheme="minorHAnsi"/>
                <w:sz w:val="18"/>
                <w:szCs w:val="18"/>
              </w:rPr>
            </w:pPr>
            <w:r w:rsidRPr="00A836C9">
              <w:rPr>
                <w:rFonts w:asciiTheme="minorHAnsi" w:hAnsiTheme="minorHAnsi"/>
                <w:sz w:val="18"/>
                <w:szCs w:val="18"/>
              </w:rPr>
              <w:t>0,545</w:t>
            </w:r>
          </w:p>
        </w:tc>
        <w:tc>
          <w:tcPr>
            <w:tcW w:w="1110" w:type="dxa"/>
            <w:tcBorders>
              <w:top w:val="single" w:sz="6" w:space="0" w:color="auto"/>
              <w:left w:val="single" w:sz="6" w:space="0" w:color="auto"/>
              <w:bottom w:val="nil"/>
              <w:right w:val="nil"/>
            </w:tcBorders>
          </w:tcPr>
          <w:p w:rsidR="009B7C43" w:rsidRPr="00A836C9" w:rsidRDefault="009B7C43" w:rsidP="00D11375">
            <w:pPr>
              <w:jc w:val="center"/>
              <w:rPr>
                <w:rFonts w:asciiTheme="minorHAnsi" w:hAnsiTheme="minorHAnsi"/>
                <w:sz w:val="18"/>
                <w:szCs w:val="18"/>
              </w:rPr>
            </w:pPr>
            <w:r w:rsidRPr="00A836C9">
              <w:rPr>
                <w:rFonts w:asciiTheme="minorHAnsi" w:hAnsiTheme="minorHAnsi"/>
                <w:sz w:val="18"/>
                <w:szCs w:val="18"/>
              </w:rPr>
              <w:t>0,465</w:t>
            </w:r>
          </w:p>
        </w:tc>
        <w:tc>
          <w:tcPr>
            <w:tcW w:w="1111" w:type="dxa"/>
            <w:tcBorders>
              <w:top w:val="single" w:sz="6" w:space="0" w:color="auto"/>
              <w:left w:val="single" w:sz="6" w:space="0" w:color="auto"/>
              <w:bottom w:val="nil"/>
              <w:right w:val="single" w:sz="6" w:space="0" w:color="auto"/>
            </w:tcBorders>
          </w:tcPr>
          <w:p w:rsidR="009B7C43" w:rsidRPr="00A836C9" w:rsidRDefault="009B7C43" w:rsidP="00D11375">
            <w:pPr>
              <w:jc w:val="center"/>
              <w:rPr>
                <w:rFonts w:asciiTheme="minorHAnsi" w:hAnsiTheme="minorHAnsi"/>
                <w:sz w:val="18"/>
                <w:szCs w:val="18"/>
              </w:rPr>
            </w:pPr>
            <w:r w:rsidRPr="00A836C9">
              <w:rPr>
                <w:rFonts w:asciiTheme="minorHAnsi" w:hAnsiTheme="minorHAnsi"/>
                <w:sz w:val="18"/>
                <w:szCs w:val="18"/>
              </w:rPr>
              <w:t>0,389</w:t>
            </w:r>
          </w:p>
        </w:tc>
      </w:tr>
      <w:tr w:rsidR="009B7C43" w:rsidRPr="00A836C9" w:rsidTr="00F040CD">
        <w:trPr>
          <w:jc w:val="center"/>
        </w:trPr>
        <w:tc>
          <w:tcPr>
            <w:tcW w:w="2601" w:type="dxa"/>
            <w:tcBorders>
              <w:top w:val="nil"/>
              <w:left w:val="single" w:sz="6" w:space="0" w:color="auto"/>
              <w:bottom w:val="single" w:sz="6" w:space="0" w:color="auto"/>
              <w:right w:val="nil"/>
            </w:tcBorders>
          </w:tcPr>
          <w:p w:rsidR="009B7C43" w:rsidRPr="00A836C9" w:rsidRDefault="009B7C43" w:rsidP="00D11375">
            <w:pPr>
              <w:jc w:val="center"/>
              <w:rPr>
                <w:rFonts w:asciiTheme="minorHAnsi" w:hAnsiTheme="minorHAnsi"/>
                <w:sz w:val="18"/>
                <w:szCs w:val="18"/>
              </w:rPr>
            </w:pPr>
          </w:p>
        </w:tc>
        <w:tc>
          <w:tcPr>
            <w:tcW w:w="425" w:type="dxa"/>
            <w:tcBorders>
              <w:top w:val="single" w:sz="6" w:space="0" w:color="auto"/>
              <w:left w:val="single" w:sz="6" w:space="0" w:color="auto"/>
              <w:bottom w:val="single" w:sz="6" w:space="0" w:color="auto"/>
              <w:right w:val="nil"/>
            </w:tcBorders>
          </w:tcPr>
          <w:p w:rsidR="009B7C43" w:rsidRPr="00A836C9" w:rsidRDefault="009B7C43" w:rsidP="00D11375">
            <w:pPr>
              <w:jc w:val="center"/>
              <w:rPr>
                <w:rFonts w:asciiTheme="minorHAnsi" w:hAnsiTheme="minorHAnsi"/>
                <w:sz w:val="18"/>
                <w:szCs w:val="18"/>
              </w:rPr>
            </w:pPr>
            <w:r w:rsidRPr="00A836C9">
              <w:rPr>
                <w:rFonts w:asciiTheme="minorHAnsi" w:hAnsiTheme="minorHAnsi"/>
                <w:sz w:val="18"/>
                <w:szCs w:val="18"/>
              </w:rPr>
              <w:t>y</w:t>
            </w:r>
          </w:p>
        </w:tc>
        <w:tc>
          <w:tcPr>
            <w:tcW w:w="1110" w:type="dxa"/>
            <w:tcBorders>
              <w:top w:val="single" w:sz="6" w:space="0" w:color="auto"/>
              <w:left w:val="single" w:sz="6" w:space="0" w:color="auto"/>
              <w:bottom w:val="single" w:sz="6" w:space="0" w:color="auto"/>
              <w:right w:val="nil"/>
            </w:tcBorders>
          </w:tcPr>
          <w:p w:rsidR="009B7C43" w:rsidRPr="00A836C9" w:rsidRDefault="009B7C43" w:rsidP="00D11375">
            <w:pPr>
              <w:jc w:val="center"/>
              <w:rPr>
                <w:rFonts w:asciiTheme="minorHAnsi" w:hAnsiTheme="minorHAnsi"/>
                <w:sz w:val="18"/>
                <w:szCs w:val="18"/>
              </w:rPr>
            </w:pPr>
            <w:r w:rsidRPr="00A836C9">
              <w:rPr>
                <w:rFonts w:asciiTheme="minorHAnsi" w:hAnsiTheme="minorHAnsi"/>
                <w:sz w:val="18"/>
                <w:szCs w:val="18"/>
              </w:rPr>
              <w:t>0,399</w:t>
            </w:r>
          </w:p>
        </w:tc>
        <w:tc>
          <w:tcPr>
            <w:tcW w:w="1111" w:type="dxa"/>
            <w:tcBorders>
              <w:top w:val="single" w:sz="6" w:space="0" w:color="auto"/>
              <w:left w:val="single" w:sz="6" w:space="0" w:color="auto"/>
              <w:bottom w:val="single" w:sz="6" w:space="0" w:color="auto"/>
              <w:right w:val="nil"/>
            </w:tcBorders>
          </w:tcPr>
          <w:p w:rsidR="009B7C43" w:rsidRPr="00A836C9" w:rsidRDefault="009B7C43" w:rsidP="00D11375">
            <w:pPr>
              <w:jc w:val="center"/>
              <w:rPr>
                <w:rFonts w:asciiTheme="minorHAnsi" w:hAnsiTheme="minorHAnsi"/>
                <w:sz w:val="18"/>
                <w:szCs w:val="18"/>
              </w:rPr>
            </w:pPr>
            <w:r w:rsidRPr="00A836C9">
              <w:rPr>
                <w:rFonts w:asciiTheme="minorHAnsi" w:hAnsiTheme="minorHAnsi"/>
                <w:sz w:val="18"/>
                <w:szCs w:val="18"/>
              </w:rPr>
              <w:t>0,455</w:t>
            </w:r>
          </w:p>
        </w:tc>
        <w:tc>
          <w:tcPr>
            <w:tcW w:w="1110" w:type="dxa"/>
            <w:tcBorders>
              <w:top w:val="single" w:sz="6" w:space="0" w:color="auto"/>
              <w:left w:val="single" w:sz="6" w:space="0" w:color="auto"/>
              <w:bottom w:val="single" w:sz="6" w:space="0" w:color="auto"/>
              <w:right w:val="nil"/>
            </w:tcBorders>
          </w:tcPr>
          <w:p w:rsidR="009B7C43" w:rsidRPr="00A836C9" w:rsidRDefault="009B7C43" w:rsidP="00D11375">
            <w:pPr>
              <w:jc w:val="center"/>
              <w:rPr>
                <w:rFonts w:asciiTheme="minorHAnsi" w:hAnsiTheme="minorHAnsi"/>
                <w:sz w:val="18"/>
                <w:szCs w:val="18"/>
              </w:rPr>
            </w:pPr>
            <w:r w:rsidRPr="00A836C9">
              <w:rPr>
                <w:rFonts w:asciiTheme="minorHAnsi" w:hAnsiTheme="minorHAnsi"/>
                <w:sz w:val="18"/>
                <w:szCs w:val="18"/>
              </w:rPr>
              <w:t>0,535</w:t>
            </w:r>
          </w:p>
        </w:tc>
        <w:tc>
          <w:tcPr>
            <w:tcW w:w="1111" w:type="dxa"/>
            <w:tcBorders>
              <w:top w:val="single" w:sz="6" w:space="0" w:color="auto"/>
              <w:left w:val="single" w:sz="6" w:space="0" w:color="auto"/>
              <w:bottom w:val="single" w:sz="6" w:space="0" w:color="auto"/>
              <w:right w:val="single" w:sz="6" w:space="0" w:color="auto"/>
            </w:tcBorders>
          </w:tcPr>
          <w:p w:rsidR="009B7C43" w:rsidRPr="00A836C9" w:rsidRDefault="009B7C43" w:rsidP="00D11375">
            <w:pPr>
              <w:jc w:val="center"/>
              <w:rPr>
                <w:rFonts w:asciiTheme="minorHAnsi" w:hAnsiTheme="minorHAnsi"/>
                <w:sz w:val="18"/>
                <w:szCs w:val="18"/>
              </w:rPr>
            </w:pPr>
            <w:r w:rsidRPr="00A836C9">
              <w:rPr>
                <w:rFonts w:asciiTheme="minorHAnsi" w:hAnsiTheme="minorHAnsi"/>
                <w:sz w:val="18"/>
                <w:szCs w:val="18"/>
              </w:rPr>
              <w:t>0,431</w:t>
            </w:r>
          </w:p>
        </w:tc>
      </w:tr>
      <w:tr w:rsidR="009B7C43" w:rsidRPr="00A836C9" w:rsidTr="00F040CD">
        <w:trPr>
          <w:jc w:val="center"/>
        </w:trPr>
        <w:tc>
          <w:tcPr>
            <w:tcW w:w="2601" w:type="dxa"/>
            <w:tcBorders>
              <w:top w:val="single" w:sz="6" w:space="0" w:color="auto"/>
              <w:left w:val="single" w:sz="6" w:space="0" w:color="auto"/>
              <w:right w:val="nil"/>
            </w:tcBorders>
          </w:tcPr>
          <w:p w:rsidR="009B7C43" w:rsidRPr="00A836C9" w:rsidRDefault="009B7C43" w:rsidP="00D11375">
            <w:pPr>
              <w:jc w:val="center"/>
              <w:rPr>
                <w:rFonts w:asciiTheme="minorHAnsi" w:hAnsiTheme="minorHAnsi"/>
                <w:sz w:val="18"/>
                <w:szCs w:val="18"/>
              </w:rPr>
            </w:pPr>
            <w:r w:rsidRPr="00A836C9">
              <w:rPr>
                <w:rFonts w:asciiTheme="minorHAnsi" w:hAnsiTheme="minorHAnsi"/>
                <w:sz w:val="18"/>
                <w:szCs w:val="18"/>
              </w:rPr>
              <w:t>Oznakowanie żółte klasa Y2</w:t>
            </w:r>
          </w:p>
        </w:tc>
        <w:tc>
          <w:tcPr>
            <w:tcW w:w="425" w:type="dxa"/>
            <w:tcBorders>
              <w:top w:val="single" w:sz="6" w:space="0" w:color="auto"/>
              <w:left w:val="single" w:sz="6" w:space="0" w:color="auto"/>
              <w:bottom w:val="single" w:sz="4" w:space="0" w:color="auto"/>
              <w:right w:val="nil"/>
            </w:tcBorders>
          </w:tcPr>
          <w:p w:rsidR="009B7C43" w:rsidRPr="00A836C9" w:rsidRDefault="009B7C43" w:rsidP="00D11375">
            <w:pPr>
              <w:jc w:val="center"/>
              <w:rPr>
                <w:rFonts w:asciiTheme="minorHAnsi" w:hAnsiTheme="minorHAnsi"/>
                <w:sz w:val="18"/>
                <w:szCs w:val="18"/>
              </w:rPr>
            </w:pPr>
            <w:r w:rsidRPr="00A836C9">
              <w:rPr>
                <w:rFonts w:asciiTheme="minorHAnsi" w:hAnsiTheme="minorHAnsi"/>
                <w:sz w:val="18"/>
                <w:szCs w:val="18"/>
              </w:rPr>
              <w:t>x</w:t>
            </w:r>
          </w:p>
        </w:tc>
        <w:tc>
          <w:tcPr>
            <w:tcW w:w="1110" w:type="dxa"/>
            <w:tcBorders>
              <w:top w:val="single" w:sz="6" w:space="0" w:color="auto"/>
              <w:left w:val="single" w:sz="6" w:space="0" w:color="auto"/>
              <w:bottom w:val="single" w:sz="4" w:space="0" w:color="auto"/>
              <w:right w:val="nil"/>
            </w:tcBorders>
          </w:tcPr>
          <w:p w:rsidR="009B7C43" w:rsidRPr="00A836C9" w:rsidRDefault="009B7C43" w:rsidP="00D11375">
            <w:pPr>
              <w:jc w:val="center"/>
              <w:rPr>
                <w:rFonts w:asciiTheme="minorHAnsi" w:hAnsiTheme="minorHAnsi"/>
                <w:sz w:val="18"/>
                <w:szCs w:val="18"/>
              </w:rPr>
            </w:pPr>
            <w:r w:rsidRPr="00A836C9">
              <w:rPr>
                <w:rFonts w:asciiTheme="minorHAnsi" w:hAnsiTheme="minorHAnsi"/>
                <w:sz w:val="18"/>
                <w:szCs w:val="18"/>
              </w:rPr>
              <w:t>0,494</w:t>
            </w:r>
          </w:p>
        </w:tc>
        <w:tc>
          <w:tcPr>
            <w:tcW w:w="1111" w:type="dxa"/>
            <w:tcBorders>
              <w:top w:val="single" w:sz="6" w:space="0" w:color="auto"/>
              <w:left w:val="single" w:sz="6" w:space="0" w:color="auto"/>
              <w:bottom w:val="single" w:sz="4" w:space="0" w:color="auto"/>
              <w:right w:val="nil"/>
            </w:tcBorders>
          </w:tcPr>
          <w:p w:rsidR="009B7C43" w:rsidRPr="00A836C9" w:rsidRDefault="009B7C43" w:rsidP="00D11375">
            <w:pPr>
              <w:jc w:val="center"/>
              <w:rPr>
                <w:rFonts w:asciiTheme="minorHAnsi" w:hAnsiTheme="minorHAnsi"/>
                <w:sz w:val="18"/>
                <w:szCs w:val="18"/>
              </w:rPr>
            </w:pPr>
            <w:r w:rsidRPr="00A836C9">
              <w:rPr>
                <w:rFonts w:asciiTheme="minorHAnsi" w:hAnsiTheme="minorHAnsi"/>
                <w:sz w:val="18"/>
                <w:szCs w:val="18"/>
              </w:rPr>
              <w:t>0,545</w:t>
            </w:r>
          </w:p>
        </w:tc>
        <w:tc>
          <w:tcPr>
            <w:tcW w:w="1110" w:type="dxa"/>
            <w:tcBorders>
              <w:top w:val="single" w:sz="6" w:space="0" w:color="auto"/>
              <w:left w:val="single" w:sz="6" w:space="0" w:color="auto"/>
              <w:bottom w:val="single" w:sz="4" w:space="0" w:color="auto"/>
              <w:right w:val="nil"/>
            </w:tcBorders>
          </w:tcPr>
          <w:p w:rsidR="009B7C43" w:rsidRPr="00A836C9" w:rsidRDefault="009B7C43" w:rsidP="00D11375">
            <w:pPr>
              <w:jc w:val="center"/>
              <w:rPr>
                <w:rFonts w:asciiTheme="minorHAnsi" w:hAnsiTheme="minorHAnsi"/>
                <w:sz w:val="18"/>
                <w:szCs w:val="18"/>
              </w:rPr>
            </w:pPr>
            <w:r w:rsidRPr="00A836C9">
              <w:rPr>
                <w:rFonts w:asciiTheme="minorHAnsi" w:hAnsiTheme="minorHAnsi"/>
                <w:sz w:val="18"/>
                <w:szCs w:val="18"/>
              </w:rPr>
              <w:t>0,465</w:t>
            </w:r>
          </w:p>
        </w:tc>
        <w:tc>
          <w:tcPr>
            <w:tcW w:w="1111" w:type="dxa"/>
            <w:tcBorders>
              <w:top w:val="single" w:sz="6" w:space="0" w:color="auto"/>
              <w:left w:val="single" w:sz="6" w:space="0" w:color="auto"/>
              <w:bottom w:val="single" w:sz="4" w:space="0" w:color="auto"/>
              <w:right w:val="single" w:sz="6" w:space="0" w:color="auto"/>
            </w:tcBorders>
          </w:tcPr>
          <w:p w:rsidR="009B7C43" w:rsidRPr="00A836C9" w:rsidRDefault="009B7C43" w:rsidP="00D11375">
            <w:pPr>
              <w:jc w:val="center"/>
              <w:rPr>
                <w:rFonts w:asciiTheme="minorHAnsi" w:hAnsiTheme="minorHAnsi"/>
                <w:sz w:val="18"/>
                <w:szCs w:val="18"/>
              </w:rPr>
            </w:pPr>
            <w:r w:rsidRPr="00A836C9">
              <w:rPr>
                <w:rFonts w:asciiTheme="minorHAnsi" w:hAnsiTheme="minorHAnsi"/>
                <w:sz w:val="18"/>
                <w:szCs w:val="18"/>
              </w:rPr>
              <w:t>0,427</w:t>
            </w:r>
          </w:p>
        </w:tc>
      </w:tr>
      <w:tr w:rsidR="009B7C43" w:rsidRPr="00A836C9" w:rsidTr="00F040CD">
        <w:trPr>
          <w:jc w:val="center"/>
        </w:trPr>
        <w:tc>
          <w:tcPr>
            <w:tcW w:w="2601" w:type="dxa"/>
            <w:tcBorders>
              <w:left w:val="single" w:sz="6" w:space="0" w:color="auto"/>
              <w:bottom w:val="single" w:sz="6" w:space="0" w:color="auto"/>
              <w:right w:val="nil"/>
            </w:tcBorders>
          </w:tcPr>
          <w:p w:rsidR="009B7C43" w:rsidRPr="00A836C9" w:rsidRDefault="009B7C43" w:rsidP="00D11375">
            <w:pPr>
              <w:jc w:val="center"/>
              <w:rPr>
                <w:rFonts w:asciiTheme="minorHAnsi" w:hAnsiTheme="minorHAnsi"/>
                <w:sz w:val="18"/>
                <w:szCs w:val="18"/>
              </w:rPr>
            </w:pPr>
          </w:p>
        </w:tc>
        <w:tc>
          <w:tcPr>
            <w:tcW w:w="425" w:type="dxa"/>
            <w:tcBorders>
              <w:top w:val="single" w:sz="4" w:space="0" w:color="auto"/>
              <w:left w:val="single" w:sz="6" w:space="0" w:color="auto"/>
              <w:bottom w:val="single" w:sz="6" w:space="0" w:color="auto"/>
              <w:right w:val="nil"/>
            </w:tcBorders>
          </w:tcPr>
          <w:p w:rsidR="009B7C43" w:rsidRPr="00A836C9" w:rsidRDefault="009B7C43" w:rsidP="00D11375">
            <w:pPr>
              <w:jc w:val="center"/>
              <w:rPr>
                <w:rFonts w:asciiTheme="minorHAnsi" w:hAnsiTheme="minorHAnsi"/>
                <w:sz w:val="18"/>
                <w:szCs w:val="18"/>
              </w:rPr>
            </w:pPr>
            <w:r w:rsidRPr="00A836C9">
              <w:rPr>
                <w:rFonts w:asciiTheme="minorHAnsi" w:hAnsiTheme="minorHAnsi"/>
                <w:sz w:val="18"/>
                <w:szCs w:val="18"/>
              </w:rPr>
              <w:t>y</w:t>
            </w:r>
          </w:p>
        </w:tc>
        <w:tc>
          <w:tcPr>
            <w:tcW w:w="1110" w:type="dxa"/>
            <w:tcBorders>
              <w:top w:val="single" w:sz="4" w:space="0" w:color="auto"/>
              <w:left w:val="single" w:sz="6" w:space="0" w:color="auto"/>
              <w:bottom w:val="single" w:sz="6" w:space="0" w:color="auto"/>
              <w:right w:val="nil"/>
            </w:tcBorders>
          </w:tcPr>
          <w:p w:rsidR="009B7C43" w:rsidRPr="00A836C9" w:rsidRDefault="009B7C43" w:rsidP="00D11375">
            <w:pPr>
              <w:jc w:val="center"/>
              <w:rPr>
                <w:rFonts w:asciiTheme="minorHAnsi" w:hAnsiTheme="minorHAnsi"/>
                <w:sz w:val="18"/>
                <w:szCs w:val="18"/>
              </w:rPr>
            </w:pPr>
            <w:r w:rsidRPr="00A836C9">
              <w:rPr>
                <w:rFonts w:asciiTheme="minorHAnsi" w:hAnsiTheme="minorHAnsi"/>
                <w:sz w:val="18"/>
                <w:szCs w:val="18"/>
              </w:rPr>
              <w:t>0,427</w:t>
            </w:r>
          </w:p>
        </w:tc>
        <w:tc>
          <w:tcPr>
            <w:tcW w:w="1111" w:type="dxa"/>
            <w:tcBorders>
              <w:top w:val="single" w:sz="4" w:space="0" w:color="auto"/>
              <w:left w:val="single" w:sz="6" w:space="0" w:color="auto"/>
              <w:bottom w:val="single" w:sz="6" w:space="0" w:color="auto"/>
              <w:right w:val="nil"/>
            </w:tcBorders>
          </w:tcPr>
          <w:p w:rsidR="009B7C43" w:rsidRPr="00A836C9" w:rsidRDefault="009B7C43" w:rsidP="00D11375">
            <w:pPr>
              <w:jc w:val="center"/>
              <w:rPr>
                <w:rFonts w:asciiTheme="minorHAnsi" w:hAnsiTheme="minorHAnsi"/>
                <w:sz w:val="18"/>
                <w:szCs w:val="18"/>
              </w:rPr>
            </w:pPr>
            <w:r w:rsidRPr="00A836C9">
              <w:rPr>
                <w:rFonts w:asciiTheme="minorHAnsi" w:hAnsiTheme="minorHAnsi"/>
                <w:sz w:val="18"/>
                <w:szCs w:val="18"/>
              </w:rPr>
              <w:t>0,455</w:t>
            </w:r>
          </w:p>
        </w:tc>
        <w:tc>
          <w:tcPr>
            <w:tcW w:w="1110" w:type="dxa"/>
            <w:tcBorders>
              <w:top w:val="single" w:sz="4" w:space="0" w:color="auto"/>
              <w:left w:val="single" w:sz="6" w:space="0" w:color="auto"/>
              <w:bottom w:val="single" w:sz="6" w:space="0" w:color="auto"/>
              <w:right w:val="nil"/>
            </w:tcBorders>
          </w:tcPr>
          <w:p w:rsidR="009B7C43" w:rsidRPr="00A836C9" w:rsidRDefault="009B7C43" w:rsidP="00D11375">
            <w:pPr>
              <w:jc w:val="center"/>
              <w:rPr>
                <w:rFonts w:asciiTheme="minorHAnsi" w:hAnsiTheme="minorHAnsi"/>
                <w:sz w:val="18"/>
                <w:szCs w:val="18"/>
              </w:rPr>
            </w:pPr>
            <w:r w:rsidRPr="00A836C9">
              <w:rPr>
                <w:rFonts w:asciiTheme="minorHAnsi" w:hAnsiTheme="minorHAnsi"/>
                <w:sz w:val="18"/>
                <w:szCs w:val="18"/>
              </w:rPr>
              <w:t>0,535</w:t>
            </w:r>
          </w:p>
        </w:tc>
        <w:tc>
          <w:tcPr>
            <w:tcW w:w="1111" w:type="dxa"/>
            <w:tcBorders>
              <w:top w:val="single" w:sz="4" w:space="0" w:color="auto"/>
              <w:left w:val="single" w:sz="6" w:space="0" w:color="auto"/>
              <w:bottom w:val="single" w:sz="6" w:space="0" w:color="auto"/>
              <w:right w:val="single" w:sz="6" w:space="0" w:color="auto"/>
            </w:tcBorders>
          </w:tcPr>
          <w:p w:rsidR="009B7C43" w:rsidRPr="00A836C9" w:rsidRDefault="009B7C43" w:rsidP="00D11375">
            <w:pPr>
              <w:jc w:val="center"/>
              <w:rPr>
                <w:rFonts w:asciiTheme="minorHAnsi" w:hAnsiTheme="minorHAnsi"/>
                <w:sz w:val="18"/>
                <w:szCs w:val="18"/>
              </w:rPr>
            </w:pPr>
            <w:r w:rsidRPr="00A836C9">
              <w:rPr>
                <w:rFonts w:asciiTheme="minorHAnsi" w:hAnsiTheme="minorHAnsi"/>
                <w:sz w:val="18"/>
                <w:szCs w:val="18"/>
              </w:rPr>
              <w:t>0,483</w:t>
            </w:r>
          </w:p>
        </w:tc>
      </w:tr>
      <w:tr w:rsidR="009B7C43" w:rsidRPr="00A836C9" w:rsidTr="00F040CD">
        <w:trPr>
          <w:jc w:val="center"/>
        </w:trPr>
        <w:tc>
          <w:tcPr>
            <w:tcW w:w="2601" w:type="dxa"/>
            <w:tcBorders>
              <w:top w:val="single" w:sz="6" w:space="0" w:color="auto"/>
              <w:left w:val="single" w:sz="6" w:space="0" w:color="auto"/>
              <w:bottom w:val="nil"/>
              <w:right w:val="nil"/>
            </w:tcBorders>
          </w:tcPr>
          <w:p w:rsidR="009B7C43" w:rsidRPr="00A836C9" w:rsidRDefault="009B7C43" w:rsidP="00D11375">
            <w:pPr>
              <w:jc w:val="center"/>
              <w:rPr>
                <w:rFonts w:asciiTheme="minorHAnsi" w:hAnsiTheme="minorHAnsi"/>
                <w:sz w:val="18"/>
                <w:szCs w:val="18"/>
              </w:rPr>
            </w:pPr>
            <w:r w:rsidRPr="00A836C9">
              <w:rPr>
                <w:rFonts w:asciiTheme="minorHAnsi" w:hAnsiTheme="minorHAnsi"/>
                <w:sz w:val="18"/>
                <w:szCs w:val="18"/>
              </w:rPr>
              <w:t>Oznakowanie czerwone</w:t>
            </w:r>
          </w:p>
        </w:tc>
        <w:tc>
          <w:tcPr>
            <w:tcW w:w="425" w:type="dxa"/>
            <w:tcBorders>
              <w:top w:val="single" w:sz="6" w:space="0" w:color="auto"/>
              <w:left w:val="single" w:sz="6" w:space="0" w:color="auto"/>
              <w:bottom w:val="nil"/>
              <w:right w:val="nil"/>
            </w:tcBorders>
          </w:tcPr>
          <w:p w:rsidR="009B7C43" w:rsidRPr="00A836C9" w:rsidRDefault="009B7C43" w:rsidP="00D11375">
            <w:pPr>
              <w:jc w:val="center"/>
              <w:rPr>
                <w:rFonts w:asciiTheme="minorHAnsi" w:hAnsiTheme="minorHAnsi"/>
                <w:sz w:val="18"/>
                <w:szCs w:val="18"/>
              </w:rPr>
            </w:pPr>
            <w:r w:rsidRPr="00A836C9">
              <w:rPr>
                <w:rFonts w:asciiTheme="minorHAnsi" w:hAnsiTheme="minorHAnsi"/>
                <w:sz w:val="18"/>
                <w:szCs w:val="18"/>
              </w:rPr>
              <w:t>x</w:t>
            </w:r>
          </w:p>
        </w:tc>
        <w:tc>
          <w:tcPr>
            <w:tcW w:w="1110" w:type="dxa"/>
            <w:tcBorders>
              <w:top w:val="single" w:sz="6" w:space="0" w:color="auto"/>
              <w:left w:val="single" w:sz="6" w:space="0" w:color="auto"/>
              <w:bottom w:val="nil"/>
              <w:right w:val="nil"/>
            </w:tcBorders>
          </w:tcPr>
          <w:p w:rsidR="009B7C43" w:rsidRPr="00A836C9" w:rsidRDefault="009B7C43" w:rsidP="00D11375">
            <w:pPr>
              <w:jc w:val="center"/>
              <w:rPr>
                <w:rFonts w:asciiTheme="minorHAnsi" w:hAnsiTheme="minorHAnsi"/>
                <w:sz w:val="18"/>
                <w:szCs w:val="18"/>
              </w:rPr>
            </w:pPr>
            <w:r w:rsidRPr="00A836C9">
              <w:rPr>
                <w:rFonts w:asciiTheme="minorHAnsi" w:hAnsiTheme="minorHAnsi"/>
                <w:sz w:val="18"/>
                <w:szCs w:val="18"/>
              </w:rPr>
              <w:t>0,690</w:t>
            </w:r>
          </w:p>
        </w:tc>
        <w:tc>
          <w:tcPr>
            <w:tcW w:w="1111" w:type="dxa"/>
            <w:tcBorders>
              <w:top w:val="single" w:sz="6" w:space="0" w:color="auto"/>
              <w:left w:val="single" w:sz="6" w:space="0" w:color="auto"/>
              <w:bottom w:val="nil"/>
              <w:right w:val="nil"/>
            </w:tcBorders>
          </w:tcPr>
          <w:p w:rsidR="009B7C43" w:rsidRPr="00A836C9" w:rsidRDefault="009B7C43" w:rsidP="00D11375">
            <w:pPr>
              <w:jc w:val="center"/>
              <w:rPr>
                <w:rFonts w:asciiTheme="minorHAnsi" w:hAnsiTheme="minorHAnsi"/>
                <w:sz w:val="18"/>
                <w:szCs w:val="18"/>
              </w:rPr>
            </w:pPr>
            <w:r w:rsidRPr="00A836C9">
              <w:rPr>
                <w:rFonts w:asciiTheme="minorHAnsi" w:hAnsiTheme="minorHAnsi"/>
                <w:sz w:val="18"/>
                <w:szCs w:val="18"/>
              </w:rPr>
              <w:t>0,530</w:t>
            </w:r>
          </w:p>
        </w:tc>
        <w:tc>
          <w:tcPr>
            <w:tcW w:w="1110" w:type="dxa"/>
            <w:tcBorders>
              <w:top w:val="single" w:sz="6" w:space="0" w:color="auto"/>
              <w:left w:val="single" w:sz="6" w:space="0" w:color="auto"/>
              <w:bottom w:val="nil"/>
              <w:right w:val="nil"/>
            </w:tcBorders>
          </w:tcPr>
          <w:p w:rsidR="009B7C43" w:rsidRPr="00A836C9" w:rsidRDefault="009B7C43" w:rsidP="00D11375">
            <w:pPr>
              <w:jc w:val="center"/>
              <w:rPr>
                <w:rFonts w:asciiTheme="minorHAnsi" w:hAnsiTheme="minorHAnsi"/>
                <w:sz w:val="18"/>
                <w:szCs w:val="18"/>
              </w:rPr>
            </w:pPr>
            <w:r w:rsidRPr="00A836C9">
              <w:rPr>
                <w:rFonts w:asciiTheme="minorHAnsi" w:hAnsiTheme="minorHAnsi"/>
                <w:sz w:val="18"/>
                <w:szCs w:val="18"/>
              </w:rPr>
              <w:t>0,495</w:t>
            </w:r>
          </w:p>
        </w:tc>
        <w:tc>
          <w:tcPr>
            <w:tcW w:w="1111" w:type="dxa"/>
            <w:tcBorders>
              <w:top w:val="single" w:sz="6" w:space="0" w:color="auto"/>
              <w:left w:val="single" w:sz="6" w:space="0" w:color="auto"/>
              <w:bottom w:val="nil"/>
              <w:right w:val="single" w:sz="6" w:space="0" w:color="auto"/>
            </w:tcBorders>
          </w:tcPr>
          <w:p w:rsidR="009B7C43" w:rsidRPr="00A836C9" w:rsidRDefault="009B7C43" w:rsidP="00D11375">
            <w:pPr>
              <w:jc w:val="center"/>
              <w:rPr>
                <w:rFonts w:asciiTheme="minorHAnsi" w:hAnsiTheme="minorHAnsi"/>
                <w:sz w:val="18"/>
                <w:szCs w:val="18"/>
              </w:rPr>
            </w:pPr>
            <w:r w:rsidRPr="00A836C9">
              <w:rPr>
                <w:rFonts w:asciiTheme="minorHAnsi" w:hAnsiTheme="minorHAnsi"/>
                <w:sz w:val="18"/>
                <w:szCs w:val="18"/>
              </w:rPr>
              <w:t>0,655</w:t>
            </w:r>
          </w:p>
        </w:tc>
      </w:tr>
      <w:tr w:rsidR="009B7C43" w:rsidRPr="00A836C9" w:rsidTr="00F040CD">
        <w:trPr>
          <w:jc w:val="center"/>
        </w:trPr>
        <w:tc>
          <w:tcPr>
            <w:tcW w:w="2601" w:type="dxa"/>
            <w:tcBorders>
              <w:top w:val="nil"/>
              <w:left w:val="single" w:sz="6" w:space="0" w:color="auto"/>
              <w:bottom w:val="single" w:sz="4" w:space="0" w:color="auto"/>
              <w:right w:val="nil"/>
            </w:tcBorders>
          </w:tcPr>
          <w:p w:rsidR="009B7C43" w:rsidRPr="00A836C9" w:rsidRDefault="009B7C43" w:rsidP="00D11375">
            <w:pPr>
              <w:jc w:val="center"/>
              <w:rPr>
                <w:rFonts w:asciiTheme="minorHAnsi" w:hAnsiTheme="minorHAnsi"/>
                <w:sz w:val="18"/>
                <w:szCs w:val="18"/>
              </w:rPr>
            </w:pPr>
          </w:p>
        </w:tc>
        <w:tc>
          <w:tcPr>
            <w:tcW w:w="425" w:type="dxa"/>
            <w:tcBorders>
              <w:top w:val="single" w:sz="6" w:space="0" w:color="auto"/>
              <w:left w:val="single" w:sz="6" w:space="0" w:color="auto"/>
              <w:bottom w:val="single" w:sz="6" w:space="0" w:color="auto"/>
              <w:right w:val="nil"/>
            </w:tcBorders>
          </w:tcPr>
          <w:p w:rsidR="009B7C43" w:rsidRPr="00A836C9" w:rsidRDefault="009B7C43" w:rsidP="00D11375">
            <w:pPr>
              <w:jc w:val="center"/>
              <w:rPr>
                <w:rFonts w:asciiTheme="minorHAnsi" w:hAnsiTheme="minorHAnsi"/>
                <w:sz w:val="18"/>
                <w:szCs w:val="18"/>
              </w:rPr>
            </w:pPr>
            <w:r w:rsidRPr="00A836C9">
              <w:rPr>
                <w:rFonts w:asciiTheme="minorHAnsi" w:hAnsiTheme="minorHAnsi"/>
                <w:sz w:val="18"/>
                <w:szCs w:val="18"/>
              </w:rPr>
              <w:t>y</w:t>
            </w:r>
          </w:p>
        </w:tc>
        <w:tc>
          <w:tcPr>
            <w:tcW w:w="1110" w:type="dxa"/>
            <w:tcBorders>
              <w:top w:val="single" w:sz="6" w:space="0" w:color="auto"/>
              <w:left w:val="single" w:sz="6" w:space="0" w:color="auto"/>
              <w:bottom w:val="single" w:sz="6" w:space="0" w:color="auto"/>
              <w:right w:val="nil"/>
            </w:tcBorders>
          </w:tcPr>
          <w:p w:rsidR="009B7C43" w:rsidRPr="00A836C9" w:rsidRDefault="009B7C43" w:rsidP="00D11375">
            <w:pPr>
              <w:jc w:val="center"/>
              <w:rPr>
                <w:rFonts w:asciiTheme="minorHAnsi" w:hAnsiTheme="minorHAnsi"/>
                <w:sz w:val="18"/>
                <w:szCs w:val="18"/>
              </w:rPr>
            </w:pPr>
            <w:r w:rsidRPr="00A836C9">
              <w:rPr>
                <w:rFonts w:asciiTheme="minorHAnsi" w:hAnsiTheme="minorHAnsi"/>
                <w:sz w:val="18"/>
                <w:szCs w:val="18"/>
              </w:rPr>
              <w:t>0,310</w:t>
            </w:r>
          </w:p>
        </w:tc>
        <w:tc>
          <w:tcPr>
            <w:tcW w:w="1111" w:type="dxa"/>
            <w:tcBorders>
              <w:top w:val="single" w:sz="6" w:space="0" w:color="auto"/>
              <w:left w:val="single" w:sz="6" w:space="0" w:color="auto"/>
              <w:bottom w:val="single" w:sz="6" w:space="0" w:color="auto"/>
              <w:right w:val="nil"/>
            </w:tcBorders>
          </w:tcPr>
          <w:p w:rsidR="009B7C43" w:rsidRPr="00A836C9" w:rsidRDefault="009B7C43" w:rsidP="00D11375">
            <w:pPr>
              <w:jc w:val="center"/>
              <w:rPr>
                <w:rFonts w:asciiTheme="minorHAnsi" w:hAnsiTheme="minorHAnsi"/>
                <w:sz w:val="18"/>
                <w:szCs w:val="18"/>
              </w:rPr>
            </w:pPr>
            <w:r w:rsidRPr="00A836C9">
              <w:rPr>
                <w:rFonts w:asciiTheme="minorHAnsi" w:hAnsiTheme="minorHAnsi"/>
                <w:sz w:val="18"/>
                <w:szCs w:val="18"/>
              </w:rPr>
              <w:t>0,300</w:t>
            </w:r>
          </w:p>
        </w:tc>
        <w:tc>
          <w:tcPr>
            <w:tcW w:w="1110" w:type="dxa"/>
            <w:tcBorders>
              <w:top w:val="single" w:sz="6" w:space="0" w:color="auto"/>
              <w:left w:val="single" w:sz="6" w:space="0" w:color="auto"/>
              <w:bottom w:val="single" w:sz="6" w:space="0" w:color="auto"/>
              <w:right w:val="nil"/>
            </w:tcBorders>
          </w:tcPr>
          <w:p w:rsidR="009B7C43" w:rsidRPr="00A836C9" w:rsidRDefault="009B7C43" w:rsidP="00D11375">
            <w:pPr>
              <w:jc w:val="center"/>
              <w:rPr>
                <w:rFonts w:asciiTheme="minorHAnsi" w:hAnsiTheme="minorHAnsi"/>
                <w:sz w:val="18"/>
                <w:szCs w:val="18"/>
              </w:rPr>
            </w:pPr>
            <w:r w:rsidRPr="00A836C9">
              <w:rPr>
                <w:rFonts w:asciiTheme="minorHAnsi" w:hAnsiTheme="minorHAnsi"/>
                <w:sz w:val="18"/>
                <w:szCs w:val="18"/>
              </w:rPr>
              <w:t>0,335</w:t>
            </w:r>
          </w:p>
        </w:tc>
        <w:tc>
          <w:tcPr>
            <w:tcW w:w="1111" w:type="dxa"/>
            <w:tcBorders>
              <w:top w:val="single" w:sz="6" w:space="0" w:color="auto"/>
              <w:left w:val="single" w:sz="6" w:space="0" w:color="auto"/>
              <w:bottom w:val="single" w:sz="6" w:space="0" w:color="auto"/>
              <w:right w:val="single" w:sz="6" w:space="0" w:color="auto"/>
            </w:tcBorders>
          </w:tcPr>
          <w:p w:rsidR="009B7C43" w:rsidRPr="00A836C9" w:rsidRDefault="009B7C43" w:rsidP="00D11375">
            <w:pPr>
              <w:jc w:val="center"/>
              <w:rPr>
                <w:rFonts w:asciiTheme="minorHAnsi" w:hAnsiTheme="minorHAnsi"/>
                <w:sz w:val="18"/>
                <w:szCs w:val="18"/>
              </w:rPr>
            </w:pPr>
            <w:r w:rsidRPr="00A836C9">
              <w:rPr>
                <w:rFonts w:asciiTheme="minorHAnsi" w:hAnsiTheme="minorHAnsi"/>
                <w:sz w:val="18"/>
                <w:szCs w:val="18"/>
              </w:rPr>
              <w:t>0,345</w:t>
            </w:r>
          </w:p>
        </w:tc>
      </w:tr>
      <w:tr w:rsidR="009B7C43" w:rsidRPr="00A836C9" w:rsidTr="00F040CD">
        <w:trPr>
          <w:jc w:val="center"/>
        </w:trPr>
        <w:tc>
          <w:tcPr>
            <w:tcW w:w="2601" w:type="dxa"/>
            <w:tcBorders>
              <w:top w:val="nil"/>
              <w:left w:val="single" w:sz="6" w:space="0" w:color="auto"/>
              <w:bottom w:val="nil"/>
              <w:right w:val="nil"/>
            </w:tcBorders>
          </w:tcPr>
          <w:p w:rsidR="009B7C43" w:rsidRPr="00A836C9" w:rsidRDefault="009B7C43" w:rsidP="00D11375">
            <w:pPr>
              <w:jc w:val="center"/>
              <w:rPr>
                <w:rFonts w:asciiTheme="minorHAnsi" w:hAnsiTheme="minorHAnsi"/>
                <w:sz w:val="18"/>
                <w:szCs w:val="18"/>
              </w:rPr>
            </w:pPr>
            <w:r w:rsidRPr="00A836C9">
              <w:rPr>
                <w:rFonts w:asciiTheme="minorHAnsi" w:hAnsiTheme="minorHAnsi"/>
                <w:sz w:val="18"/>
                <w:szCs w:val="18"/>
              </w:rPr>
              <w:t>Oznakowanie niebieskie</w:t>
            </w:r>
          </w:p>
        </w:tc>
        <w:tc>
          <w:tcPr>
            <w:tcW w:w="425" w:type="dxa"/>
            <w:tcBorders>
              <w:top w:val="single" w:sz="6" w:space="0" w:color="auto"/>
              <w:left w:val="single" w:sz="6" w:space="0" w:color="auto"/>
              <w:bottom w:val="single" w:sz="6" w:space="0" w:color="auto"/>
              <w:right w:val="nil"/>
            </w:tcBorders>
          </w:tcPr>
          <w:p w:rsidR="009B7C43" w:rsidRPr="00A836C9" w:rsidRDefault="009B7C43" w:rsidP="00D11375">
            <w:pPr>
              <w:jc w:val="center"/>
              <w:rPr>
                <w:rFonts w:asciiTheme="minorHAnsi" w:hAnsiTheme="minorHAnsi"/>
                <w:sz w:val="18"/>
                <w:szCs w:val="18"/>
              </w:rPr>
            </w:pPr>
            <w:r w:rsidRPr="00A836C9">
              <w:rPr>
                <w:rFonts w:asciiTheme="minorHAnsi" w:hAnsiTheme="minorHAnsi"/>
                <w:sz w:val="18"/>
                <w:szCs w:val="18"/>
              </w:rPr>
              <w:t>x</w:t>
            </w:r>
          </w:p>
        </w:tc>
        <w:tc>
          <w:tcPr>
            <w:tcW w:w="1110" w:type="dxa"/>
            <w:tcBorders>
              <w:top w:val="single" w:sz="6" w:space="0" w:color="auto"/>
              <w:left w:val="single" w:sz="6" w:space="0" w:color="auto"/>
              <w:bottom w:val="single" w:sz="6" w:space="0" w:color="auto"/>
              <w:right w:val="nil"/>
            </w:tcBorders>
          </w:tcPr>
          <w:p w:rsidR="009B7C43" w:rsidRPr="00A836C9" w:rsidRDefault="009B7C43" w:rsidP="00D11375">
            <w:pPr>
              <w:jc w:val="center"/>
              <w:rPr>
                <w:rFonts w:asciiTheme="minorHAnsi" w:hAnsiTheme="minorHAnsi"/>
                <w:sz w:val="18"/>
                <w:szCs w:val="18"/>
              </w:rPr>
            </w:pPr>
            <w:r w:rsidRPr="00A836C9">
              <w:rPr>
                <w:rFonts w:asciiTheme="minorHAnsi" w:hAnsiTheme="minorHAnsi"/>
                <w:sz w:val="18"/>
                <w:szCs w:val="18"/>
              </w:rPr>
              <w:t>0,078</w:t>
            </w:r>
          </w:p>
        </w:tc>
        <w:tc>
          <w:tcPr>
            <w:tcW w:w="1111" w:type="dxa"/>
            <w:tcBorders>
              <w:top w:val="single" w:sz="6" w:space="0" w:color="auto"/>
              <w:left w:val="single" w:sz="6" w:space="0" w:color="auto"/>
              <w:bottom w:val="single" w:sz="6" w:space="0" w:color="auto"/>
              <w:right w:val="nil"/>
            </w:tcBorders>
          </w:tcPr>
          <w:p w:rsidR="009B7C43" w:rsidRPr="00A836C9" w:rsidRDefault="009B7C43" w:rsidP="00D11375">
            <w:pPr>
              <w:jc w:val="center"/>
              <w:rPr>
                <w:rFonts w:asciiTheme="minorHAnsi" w:hAnsiTheme="minorHAnsi"/>
                <w:sz w:val="18"/>
                <w:szCs w:val="18"/>
              </w:rPr>
            </w:pPr>
            <w:r w:rsidRPr="00A836C9">
              <w:rPr>
                <w:rFonts w:asciiTheme="minorHAnsi" w:hAnsiTheme="minorHAnsi"/>
                <w:sz w:val="18"/>
                <w:szCs w:val="18"/>
              </w:rPr>
              <w:t>0,200</w:t>
            </w:r>
          </w:p>
        </w:tc>
        <w:tc>
          <w:tcPr>
            <w:tcW w:w="1110" w:type="dxa"/>
            <w:tcBorders>
              <w:top w:val="single" w:sz="6" w:space="0" w:color="auto"/>
              <w:left w:val="single" w:sz="6" w:space="0" w:color="auto"/>
              <w:bottom w:val="single" w:sz="6" w:space="0" w:color="auto"/>
              <w:right w:val="nil"/>
            </w:tcBorders>
          </w:tcPr>
          <w:p w:rsidR="009B7C43" w:rsidRPr="00A836C9" w:rsidRDefault="009B7C43" w:rsidP="00D11375">
            <w:pPr>
              <w:jc w:val="center"/>
              <w:rPr>
                <w:rFonts w:asciiTheme="minorHAnsi" w:hAnsiTheme="minorHAnsi"/>
                <w:sz w:val="18"/>
                <w:szCs w:val="18"/>
              </w:rPr>
            </w:pPr>
            <w:r w:rsidRPr="00A836C9">
              <w:rPr>
                <w:rFonts w:asciiTheme="minorHAnsi" w:hAnsiTheme="minorHAnsi"/>
                <w:sz w:val="18"/>
                <w:szCs w:val="18"/>
              </w:rPr>
              <w:t>0,240</w:t>
            </w:r>
          </w:p>
        </w:tc>
        <w:tc>
          <w:tcPr>
            <w:tcW w:w="1111" w:type="dxa"/>
            <w:tcBorders>
              <w:top w:val="single" w:sz="6" w:space="0" w:color="auto"/>
              <w:left w:val="single" w:sz="6" w:space="0" w:color="auto"/>
              <w:bottom w:val="single" w:sz="6" w:space="0" w:color="auto"/>
              <w:right w:val="single" w:sz="6" w:space="0" w:color="auto"/>
            </w:tcBorders>
          </w:tcPr>
          <w:p w:rsidR="009B7C43" w:rsidRPr="00A836C9" w:rsidRDefault="009B7C43" w:rsidP="00D11375">
            <w:pPr>
              <w:jc w:val="center"/>
              <w:rPr>
                <w:rFonts w:asciiTheme="minorHAnsi" w:hAnsiTheme="minorHAnsi"/>
                <w:sz w:val="18"/>
                <w:szCs w:val="18"/>
              </w:rPr>
            </w:pPr>
            <w:r w:rsidRPr="00A836C9">
              <w:rPr>
                <w:rFonts w:asciiTheme="minorHAnsi" w:hAnsiTheme="minorHAnsi"/>
                <w:sz w:val="18"/>
                <w:szCs w:val="18"/>
              </w:rPr>
              <w:t>0,137</w:t>
            </w:r>
          </w:p>
        </w:tc>
      </w:tr>
      <w:tr w:rsidR="009B7C43" w:rsidRPr="00A836C9" w:rsidTr="00F040CD">
        <w:trPr>
          <w:jc w:val="center"/>
        </w:trPr>
        <w:tc>
          <w:tcPr>
            <w:tcW w:w="2601" w:type="dxa"/>
            <w:tcBorders>
              <w:top w:val="nil"/>
              <w:left w:val="single" w:sz="6" w:space="0" w:color="auto"/>
              <w:bottom w:val="single" w:sz="4" w:space="0" w:color="auto"/>
              <w:right w:val="nil"/>
            </w:tcBorders>
          </w:tcPr>
          <w:p w:rsidR="009B7C43" w:rsidRPr="00A836C9" w:rsidRDefault="009B7C43" w:rsidP="00D11375">
            <w:pPr>
              <w:jc w:val="center"/>
              <w:rPr>
                <w:rFonts w:asciiTheme="minorHAnsi" w:hAnsiTheme="minorHAnsi"/>
                <w:sz w:val="18"/>
                <w:szCs w:val="18"/>
              </w:rPr>
            </w:pPr>
          </w:p>
        </w:tc>
        <w:tc>
          <w:tcPr>
            <w:tcW w:w="425" w:type="dxa"/>
            <w:tcBorders>
              <w:top w:val="single" w:sz="6" w:space="0" w:color="auto"/>
              <w:left w:val="single" w:sz="6" w:space="0" w:color="auto"/>
              <w:bottom w:val="single" w:sz="6" w:space="0" w:color="auto"/>
              <w:right w:val="nil"/>
            </w:tcBorders>
          </w:tcPr>
          <w:p w:rsidR="009B7C43" w:rsidRPr="00A836C9" w:rsidRDefault="009B7C43" w:rsidP="00D11375">
            <w:pPr>
              <w:jc w:val="center"/>
              <w:rPr>
                <w:rFonts w:asciiTheme="minorHAnsi" w:hAnsiTheme="minorHAnsi"/>
                <w:sz w:val="18"/>
                <w:szCs w:val="18"/>
              </w:rPr>
            </w:pPr>
            <w:r w:rsidRPr="00A836C9">
              <w:rPr>
                <w:rFonts w:asciiTheme="minorHAnsi" w:hAnsiTheme="minorHAnsi"/>
                <w:sz w:val="18"/>
                <w:szCs w:val="18"/>
              </w:rPr>
              <w:t>y</w:t>
            </w:r>
          </w:p>
        </w:tc>
        <w:tc>
          <w:tcPr>
            <w:tcW w:w="1110" w:type="dxa"/>
            <w:tcBorders>
              <w:top w:val="single" w:sz="6" w:space="0" w:color="auto"/>
              <w:left w:val="single" w:sz="6" w:space="0" w:color="auto"/>
              <w:bottom w:val="single" w:sz="6" w:space="0" w:color="auto"/>
              <w:right w:val="nil"/>
            </w:tcBorders>
          </w:tcPr>
          <w:p w:rsidR="009B7C43" w:rsidRPr="00A836C9" w:rsidRDefault="009B7C43" w:rsidP="00D11375">
            <w:pPr>
              <w:jc w:val="center"/>
              <w:rPr>
                <w:rFonts w:asciiTheme="minorHAnsi" w:hAnsiTheme="minorHAnsi"/>
                <w:sz w:val="18"/>
                <w:szCs w:val="18"/>
              </w:rPr>
            </w:pPr>
            <w:r w:rsidRPr="00A836C9">
              <w:rPr>
                <w:rFonts w:asciiTheme="minorHAnsi" w:hAnsiTheme="minorHAnsi"/>
                <w:sz w:val="18"/>
                <w:szCs w:val="18"/>
              </w:rPr>
              <w:t>0,171</w:t>
            </w:r>
          </w:p>
        </w:tc>
        <w:tc>
          <w:tcPr>
            <w:tcW w:w="1111" w:type="dxa"/>
            <w:tcBorders>
              <w:top w:val="single" w:sz="6" w:space="0" w:color="auto"/>
              <w:left w:val="single" w:sz="6" w:space="0" w:color="auto"/>
              <w:bottom w:val="single" w:sz="6" w:space="0" w:color="auto"/>
              <w:right w:val="nil"/>
            </w:tcBorders>
          </w:tcPr>
          <w:p w:rsidR="009B7C43" w:rsidRPr="00A836C9" w:rsidRDefault="009B7C43" w:rsidP="00D11375">
            <w:pPr>
              <w:jc w:val="center"/>
              <w:rPr>
                <w:rFonts w:asciiTheme="minorHAnsi" w:hAnsiTheme="minorHAnsi"/>
                <w:sz w:val="18"/>
                <w:szCs w:val="18"/>
              </w:rPr>
            </w:pPr>
            <w:r w:rsidRPr="00A836C9">
              <w:rPr>
                <w:rFonts w:asciiTheme="minorHAnsi" w:hAnsiTheme="minorHAnsi"/>
                <w:sz w:val="18"/>
                <w:szCs w:val="18"/>
              </w:rPr>
              <w:t>0,255</w:t>
            </w:r>
          </w:p>
        </w:tc>
        <w:tc>
          <w:tcPr>
            <w:tcW w:w="1110" w:type="dxa"/>
            <w:tcBorders>
              <w:top w:val="single" w:sz="6" w:space="0" w:color="auto"/>
              <w:left w:val="single" w:sz="6" w:space="0" w:color="auto"/>
              <w:bottom w:val="single" w:sz="6" w:space="0" w:color="auto"/>
              <w:right w:val="nil"/>
            </w:tcBorders>
          </w:tcPr>
          <w:p w:rsidR="009B7C43" w:rsidRPr="00A836C9" w:rsidRDefault="009B7C43" w:rsidP="00D11375">
            <w:pPr>
              <w:jc w:val="center"/>
              <w:rPr>
                <w:rFonts w:asciiTheme="minorHAnsi" w:hAnsiTheme="minorHAnsi"/>
                <w:sz w:val="18"/>
                <w:szCs w:val="18"/>
              </w:rPr>
            </w:pPr>
            <w:r w:rsidRPr="00A836C9">
              <w:rPr>
                <w:rFonts w:asciiTheme="minorHAnsi" w:hAnsiTheme="minorHAnsi"/>
                <w:sz w:val="18"/>
                <w:szCs w:val="18"/>
              </w:rPr>
              <w:t>0,210</w:t>
            </w:r>
          </w:p>
        </w:tc>
        <w:tc>
          <w:tcPr>
            <w:tcW w:w="1111" w:type="dxa"/>
            <w:tcBorders>
              <w:top w:val="single" w:sz="6" w:space="0" w:color="auto"/>
              <w:left w:val="single" w:sz="6" w:space="0" w:color="auto"/>
              <w:bottom w:val="single" w:sz="6" w:space="0" w:color="auto"/>
              <w:right w:val="single" w:sz="6" w:space="0" w:color="auto"/>
            </w:tcBorders>
          </w:tcPr>
          <w:p w:rsidR="009B7C43" w:rsidRPr="00A836C9" w:rsidRDefault="009B7C43" w:rsidP="00D11375">
            <w:pPr>
              <w:jc w:val="center"/>
              <w:rPr>
                <w:rFonts w:asciiTheme="minorHAnsi" w:hAnsiTheme="minorHAnsi"/>
                <w:sz w:val="18"/>
                <w:szCs w:val="18"/>
              </w:rPr>
            </w:pPr>
            <w:r w:rsidRPr="00A836C9">
              <w:rPr>
                <w:rFonts w:asciiTheme="minorHAnsi" w:hAnsiTheme="minorHAnsi"/>
                <w:sz w:val="18"/>
                <w:szCs w:val="18"/>
              </w:rPr>
              <w:t>0,038</w:t>
            </w:r>
          </w:p>
        </w:tc>
      </w:tr>
    </w:tbl>
    <w:p w:rsidR="009B7C43" w:rsidRPr="001B1721" w:rsidRDefault="009B7C43" w:rsidP="009B7C43"/>
    <w:p w:rsidR="009B7C43" w:rsidRPr="000203A8" w:rsidRDefault="009B7C43" w:rsidP="009B7C43"/>
    <w:p w:rsidR="009B7C43" w:rsidRPr="000203A8" w:rsidRDefault="009B7C43" w:rsidP="004E5CC8">
      <w:pPr>
        <w:ind w:left="709"/>
      </w:pPr>
      <w:r>
        <w:rPr>
          <w:noProof/>
        </w:rPr>
        <w:drawing>
          <wp:inline distT="0" distB="0" distL="0" distR="0">
            <wp:extent cx="3191510" cy="2665730"/>
            <wp:effectExtent l="19050" t="0" r="8890" b="0"/>
            <wp:docPr id="4" name="Obraz 1" descr="rys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rys1"/>
                    <pic:cNvPicPr>
                      <a:picLocks noChangeAspect="1" noChangeArrowheads="1"/>
                    </pic:cNvPicPr>
                  </pic:nvPicPr>
                  <pic:blipFill>
                    <a:blip r:embed="rId96" cstate="print"/>
                    <a:srcRect/>
                    <a:stretch>
                      <a:fillRect/>
                    </a:stretch>
                  </pic:blipFill>
                  <pic:spPr bwMode="auto">
                    <a:xfrm>
                      <a:off x="0" y="0"/>
                      <a:ext cx="3191510" cy="2665730"/>
                    </a:xfrm>
                    <a:prstGeom prst="rect">
                      <a:avLst/>
                    </a:prstGeom>
                    <a:noFill/>
                    <a:ln w="9525">
                      <a:noFill/>
                      <a:miter lim="800000"/>
                      <a:headEnd/>
                      <a:tailEnd/>
                    </a:ln>
                  </pic:spPr>
                </pic:pic>
              </a:graphicData>
            </a:graphic>
          </wp:inline>
        </w:drawing>
      </w:r>
    </w:p>
    <w:p w:rsidR="009B7C43" w:rsidRPr="00A836C9" w:rsidRDefault="009B7C43" w:rsidP="004E5CC8">
      <w:pPr>
        <w:ind w:left="851"/>
        <w:rPr>
          <w:rFonts w:asciiTheme="minorHAnsi" w:hAnsiTheme="minorHAnsi"/>
        </w:rPr>
      </w:pPr>
      <w:r w:rsidRPr="00A836C9">
        <w:rPr>
          <w:rFonts w:asciiTheme="minorHAnsi" w:hAnsiTheme="minorHAnsi"/>
        </w:rPr>
        <w:t>Rys. 1. Współrzędne chromatyczności x,y dla barwy białej oznakowania</w:t>
      </w:r>
    </w:p>
    <w:p w:rsidR="009B7C43" w:rsidRPr="00A836C9" w:rsidRDefault="009B7C43" w:rsidP="009B7C43">
      <w:pPr>
        <w:rPr>
          <w:rFonts w:asciiTheme="minorHAnsi" w:hAnsiTheme="minorHAnsi"/>
        </w:rPr>
      </w:pPr>
    </w:p>
    <w:p w:rsidR="009B7C43" w:rsidRPr="00A836C9" w:rsidRDefault="009B7C43" w:rsidP="009B7C43">
      <w:pPr>
        <w:rPr>
          <w:rFonts w:asciiTheme="minorHAnsi" w:hAnsiTheme="minorHAnsi"/>
        </w:rPr>
      </w:pPr>
    </w:p>
    <w:p w:rsidR="009B7C43" w:rsidRPr="00A836C9" w:rsidRDefault="009B7C43" w:rsidP="009B7C43">
      <w:pPr>
        <w:rPr>
          <w:rFonts w:asciiTheme="minorHAnsi" w:hAnsiTheme="minorHAnsi"/>
        </w:rPr>
      </w:pPr>
    </w:p>
    <w:p w:rsidR="009B7C43" w:rsidRPr="001B1721" w:rsidRDefault="009B7C43" w:rsidP="009B7C43"/>
    <w:p w:rsidR="009B7C43" w:rsidRPr="000203A8" w:rsidRDefault="009B7C43" w:rsidP="004E5CC8">
      <w:pPr>
        <w:ind w:left="709"/>
      </w:pPr>
      <w:r>
        <w:rPr>
          <w:noProof/>
        </w:rPr>
        <w:lastRenderedPageBreak/>
        <w:drawing>
          <wp:inline distT="0" distB="0" distL="0" distR="0">
            <wp:extent cx="3070860" cy="2630805"/>
            <wp:effectExtent l="19050" t="0" r="0" b="0"/>
            <wp:docPr id="5" name="Obraz 2" descr="rys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rys2"/>
                    <pic:cNvPicPr>
                      <a:picLocks noChangeAspect="1" noChangeArrowheads="1"/>
                    </pic:cNvPicPr>
                  </pic:nvPicPr>
                  <pic:blipFill>
                    <a:blip r:embed="rId97" cstate="print"/>
                    <a:srcRect/>
                    <a:stretch>
                      <a:fillRect/>
                    </a:stretch>
                  </pic:blipFill>
                  <pic:spPr bwMode="auto">
                    <a:xfrm>
                      <a:off x="0" y="0"/>
                      <a:ext cx="3070860" cy="2630805"/>
                    </a:xfrm>
                    <a:prstGeom prst="rect">
                      <a:avLst/>
                    </a:prstGeom>
                    <a:noFill/>
                    <a:ln w="9525">
                      <a:noFill/>
                      <a:miter lim="800000"/>
                      <a:headEnd/>
                      <a:tailEnd/>
                    </a:ln>
                  </pic:spPr>
                </pic:pic>
              </a:graphicData>
            </a:graphic>
          </wp:inline>
        </w:drawing>
      </w:r>
    </w:p>
    <w:p w:rsidR="009B7C43" w:rsidRPr="00A836C9" w:rsidRDefault="009B7C43" w:rsidP="004E5CC8">
      <w:pPr>
        <w:ind w:left="851"/>
        <w:rPr>
          <w:rFonts w:asciiTheme="minorHAnsi" w:hAnsiTheme="minorHAnsi"/>
        </w:rPr>
      </w:pPr>
      <w:r w:rsidRPr="00A836C9">
        <w:rPr>
          <w:rFonts w:asciiTheme="minorHAnsi" w:hAnsiTheme="minorHAnsi"/>
        </w:rPr>
        <w:t>Rys.2. Współrzędne chromatyczności x,y dla barwy żółtej oznakowania</w:t>
      </w:r>
    </w:p>
    <w:p w:rsidR="009B7C43" w:rsidRPr="00A836C9" w:rsidRDefault="009B7C43" w:rsidP="009B7C43">
      <w:pPr>
        <w:rPr>
          <w:rFonts w:asciiTheme="minorHAnsi" w:hAnsiTheme="minorHAnsi"/>
        </w:rPr>
      </w:pPr>
    </w:p>
    <w:p w:rsidR="009B7C43" w:rsidRPr="000203A8" w:rsidRDefault="009B7C43" w:rsidP="004E5CC8">
      <w:pPr>
        <w:ind w:left="709"/>
      </w:pPr>
      <w:r>
        <w:rPr>
          <w:noProof/>
        </w:rPr>
        <w:drawing>
          <wp:inline distT="0" distB="0" distL="0" distR="0">
            <wp:extent cx="3390265" cy="3640455"/>
            <wp:effectExtent l="0" t="0" r="0" b="0"/>
            <wp:docPr id="6" name="Obraz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98" cstate="print"/>
                    <a:srcRect/>
                    <a:stretch>
                      <a:fillRect/>
                    </a:stretch>
                  </pic:blipFill>
                  <pic:spPr bwMode="auto">
                    <a:xfrm>
                      <a:off x="0" y="0"/>
                      <a:ext cx="3390265" cy="3640455"/>
                    </a:xfrm>
                    <a:prstGeom prst="rect">
                      <a:avLst/>
                    </a:prstGeom>
                    <a:noFill/>
                    <a:ln w="9525">
                      <a:noFill/>
                      <a:miter lim="800000"/>
                      <a:headEnd/>
                      <a:tailEnd/>
                    </a:ln>
                  </pic:spPr>
                </pic:pic>
              </a:graphicData>
            </a:graphic>
          </wp:inline>
        </w:drawing>
      </w:r>
    </w:p>
    <w:p w:rsidR="009B7C43" w:rsidRPr="00A836C9" w:rsidRDefault="009B7C43" w:rsidP="004E5CC8">
      <w:pPr>
        <w:ind w:left="851"/>
        <w:rPr>
          <w:rFonts w:asciiTheme="minorHAnsi" w:hAnsiTheme="minorHAnsi"/>
        </w:rPr>
      </w:pPr>
      <w:r w:rsidRPr="00A836C9">
        <w:rPr>
          <w:rFonts w:asciiTheme="minorHAnsi" w:hAnsiTheme="minorHAnsi"/>
        </w:rPr>
        <w:t>Rys. 3. Granice barw białej, żółtej, czerwonej, niebieskiej i zielonej oznakowania</w:t>
      </w:r>
    </w:p>
    <w:p w:rsidR="009B7C43" w:rsidRPr="00A836C9" w:rsidRDefault="009B7C43" w:rsidP="009B7C43">
      <w:pPr>
        <w:rPr>
          <w:rFonts w:asciiTheme="minorHAnsi" w:hAnsiTheme="minorHAnsi"/>
        </w:rPr>
      </w:pPr>
      <w:r w:rsidRPr="00A836C9">
        <w:rPr>
          <w:rFonts w:asciiTheme="minorHAnsi" w:hAnsiTheme="minorHAnsi"/>
        </w:rPr>
        <w:tab/>
      </w:r>
    </w:p>
    <w:p w:rsidR="009B7C43" w:rsidRPr="00A836C9" w:rsidRDefault="009B7C43" w:rsidP="009B7C43">
      <w:pPr>
        <w:rPr>
          <w:rFonts w:asciiTheme="minorHAnsi" w:hAnsiTheme="minorHAnsi"/>
        </w:rPr>
      </w:pPr>
      <w:r w:rsidRPr="00A836C9">
        <w:rPr>
          <w:rFonts w:asciiTheme="minorHAnsi" w:hAnsiTheme="minorHAnsi"/>
        </w:rPr>
        <w:tab/>
        <w:t xml:space="preserve">Pomiar współczynnika luminancji </w:t>
      </w:r>
      <w:r w:rsidRPr="00A836C9">
        <w:rPr>
          <w:rFonts w:asciiTheme="minorHAnsi" w:hAnsiTheme="minorHAnsi"/>
        </w:rPr>
        <w:sym w:font="Symbol" w:char="F062"/>
      </w:r>
      <w:r w:rsidRPr="00A836C9">
        <w:rPr>
          <w:rFonts w:asciiTheme="minorHAnsi" w:hAnsiTheme="minorHAnsi"/>
        </w:rPr>
        <w:t xml:space="preserve"> może być zastąpiony pomiarem współczynnika luminancji w świetle rozproszonym Qd, wg PN-EN 1436:2000 lub wg POD-97 i POD-2006 (po wydaniu).</w:t>
      </w:r>
    </w:p>
    <w:p w:rsidR="009B7C43" w:rsidRPr="00A836C9" w:rsidRDefault="009B7C43" w:rsidP="009B7C43">
      <w:pPr>
        <w:rPr>
          <w:rFonts w:asciiTheme="minorHAnsi" w:hAnsiTheme="minorHAnsi"/>
        </w:rPr>
      </w:pPr>
      <w:r w:rsidRPr="00A836C9">
        <w:rPr>
          <w:rFonts w:asciiTheme="minorHAnsi" w:hAnsiTheme="minorHAnsi"/>
        </w:rPr>
        <w:tab/>
        <w:t xml:space="preserve">Do określenia odbicia światła dziennego lub odbicia oświetlenia drogi od oznakowania stosuje się współczynnik luminancji w świetle rozproszonym Qd. </w:t>
      </w:r>
    </w:p>
    <w:p w:rsidR="009B7C43" w:rsidRPr="00A836C9" w:rsidRDefault="009B7C43" w:rsidP="009B7C43">
      <w:pPr>
        <w:rPr>
          <w:rFonts w:asciiTheme="minorHAnsi" w:hAnsiTheme="minorHAnsi"/>
        </w:rPr>
      </w:pPr>
      <w:r w:rsidRPr="00A836C9">
        <w:rPr>
          <w:rFonts w:asciiTheme="minorHAnsi" w:hAnsiTheme="minorHAnsi"/>
        </w:rPr>
        <w:tab/>
        <w:t>Wartość współczynnika Qd dla oznakowania nowego w ciągu 14 - 30 dni po wykonaniu powinna wynosić dla oznakowania świeżego, barwy:</w:t>
      </w:r>
    </w:p>
    <w:p w:rsidR="009B7C43" w:rsidRPr="00A836C9" w:rsidRDefault="009B7C43" w:rsidP="009B7C43">
      <w:pPr>
        <w:rPr>
          <w:rFonts w:asciiTheme="minorHAnsi" w:hAnsiTheme="minorHAnsi"/>
        </w:rPr>
      </w:pPr>
      <w:r>
        <w:rPr>
          <w:rFonts w:asciiTheme="minorHAnsi" w:hAnsiTheme="minorHAnsi"/>
        </w:rPr>
        <w:t>-</w:t>
      </w:r>
      <w:r w:rsidRPr="00A836C9">
        <w:rPr>
          <w:rFonts w:asciiTheme="minorHAnsi" w:hAnsiTheme="minorHAnsi"/>
        </w:rPr>
        <w:t>białej, co najmniej 130 mcd m-2 lx-1 (nawierzchnie asfaltowe), klasa Q3,</w:t>
      </w:r>
    </w:p>
    <w:p w:rsidR="009B7C43" w:rsidRPr="00A836C9" w:rsidRDefault="009B7C43" w:rsidP="009B7C43">
      <w:pPr>
        <w:rPr>
          <w:rFonts w:asciiTheme="minorHAnsi" w:hAnsiTheme="minorHAnsi"/>
        </w:rPr>
      </w:pPr>
      <w:r>
        <w:rPr>
          <w:rFonts w:asciiTheme="minorHAnsi" w:hAnsiTheme="minorHAnsi"/>
        </w:rPr>
        <w:t>-</w:t>
      </w:r>
      <w:r w:rsidRPr="00A836C9">
        <w:rPr>
          <w:rFonts w:asciiTheme="minorHAnsi" w:hAnsiTheme="minorHAnsi"/>
        </w:rPr>
        <w:t>żółtej, co najmniej 100 mcd m-2 lx-1), klasa Q2,</w:t>
      </w:r>
    </w:p>
    <w:p w:rsidR="009B7C43" w:rsidRPr="00A836C9" w:rsidRDefault="009B7C43" w:rsidP="009B7C43">
      <w:pPr>
        <w:rPr>
          <w:rFonts w:asciiTheme="minorHAnsi" w:hAnsiTheme="minorHAnsi"/>
        </w:rPr>
      </w:pPr>
      <w:r w:rsidRPr="00A836C9">
        <w:rPr>
          <w:rFonts w:asciiTheme="minorHAnsi" w:hAnsiTheme="minorHAnsi"/>
        </w:rPr>
        <w:tab/>
        <w:t>Wartość współczynnika Qd powinna wynosić dla oznakowania eksploatowanego po 30 dniu od wykonania, w ciągu całego okresu użytkowania,  barwy:</w:t>
      </w:r>
    </w:p>
    <w:p w:rsidR="009B7C43" w:rsidRPr="00A836C9" w:rsidRDefault="009B7C43" w:rsidP="009B7C43">
      <w:pPr>
        <w:rPr>
          <w:rFonts w:asciiTheme="minorHAnsi" w:hAnsiTheme="minorHAnsi"/>
        </w:rPr>
      </w:pPr>
      <w:r>
        <w:rPr>
          <w:rFonts w:asciiTheme="minorHAnsi" w:hAnsiTheme="minorHAnsi"/>
        </w:rPr>
        <w:t>-</w:t>
      </w:r>
      <w:r w:rsidRPr="00A836C9">
        <w:rPr>
          <w:rFonts w:asciiTheme="minorHAnsi" w:hAnsiTheme="minorHAnsi"/>
        </w:rPr>
        <w:t>białej, co najmniej 100 mcd m-2 lx-1(nawierzchnie asfaltowe), klasa Q2,</w:t>
      </w:r>
    </w:p>
    <w:p w:rsidR="009B7C43" w:rsidRPr="00A836C9" w:rsidRDefault="009B7C43" w:rsidP="009B7C43">
      <w:pPr>
        <w:rPr>
          <w:rFonts w:asciiTheme="minorHAnsi" w:hAnsiTheme="minorHAnsi"/>
        </w:rPr>
      </w:pPr>
      <w:r>
        <w:rPr>
          <w:rFonts w:asciiTheme="minorHAnsi" w:hAnsiTheme="minorHAnsi"/>
        </w:rPr>
        <w:t>-</w:t>
      </w:r>
      <w:r w:rsidRPr="00A836C9">
        <w:rPr>
          <w:rFonts w:asciiTheme="minorHAnsi" w:hAnsiTheme="minorHAnsi"/>
        </w:rPr>
        <w:t>żółtej, co najmniej 80 mcd m-2 lx-1, klasa Q1.</w:t>
      </w:r>
    </w:p>
    <w:p w:rsidR="009B7C43" w:rsidRPr="00A836C9" w:rsidRDefault="009B7C43" w:rsidP="009B7C43">
      <w:pPr>
        <w:rPr>
          <w:rFonts w:asciiTheme="minorHAnsi" w:hAnsiTheme="minorHAnsi"/>
        </w:rPr>
      </w:pPr>
      <w:r w:rsidRPr="00A836C9">
        <w:rPr>
          <w:rFonts w:asciiTheme="minorHAnsi" w:hAnsiTheme="minorHAnsi"/>
          <w:b/>
        </w:rPr>
        <w:t xml:space="preserve"> 6.3.1.3.</w:t>
      </w:r>
      <w:r w:rsidRPr="00A836C9">
        <w:rPr>
          <w:rFonts w:asciiTheme="minorHAnsi" w:hAnsiTheme="minorHAnsi"/>
        </w:rPr>
        <w:t xml:space="preserve"> Widzialność w nocy</w:t>
      </w:r>
    </w:p>
    <w:p w:rsidR="009B7C43" w:rsidRPr="00A836C9" w:rsidRDefault="009B7C43" w:rsidP="009B7C43">
      <w:pPr>
        <w:rPr>
          <w:rFonts w:asciiTheme="minorHAnsi" w:hAnsiTheme="minorHAnsi"/>
        </w:rPr>
      </w:pPr>
      <w:r w:rsidRPr="00A836C9">
        <w:rPr>
          <w:rFonts w:asciiTheme="minorHAnsi" w:hAnsiTheme="minorHAnsi"/>
        </w:rPr>
        <w:tab/>
        <w:t>Za miarę widzialności w nocy przyjęto powierzchniowy współczynnik odblasku RL, określany według PN-EN 1436:2000 z uwzględnieniem podziału na klasy PN-EN 1436:2000/A1:2005.</w:t>
      </w:r>
    </w:p>
    <w:p w:rsidR="009B7C43" w:rsidRPr="00A836C9" w:rsidRDefault="009B7C43" w:rsidP="009B7C43">
      <w:pPr>
        <w:rPr>
          <w:rFonts w:asciiTheme="minorHAnsi" w:hAnsiTheme="minorHAnsi"/>
        </w:rPr>
      </w:pPr>
      <w:r w:rsidRPr="00A836C9">
        <w:rPr>
          <w:rFonts w:asciiTheme="minorHAnsi" w:hAnsiTheme="minorHAnsi"/>
        </w:rPr>
        <w:lastRenderedPageBreak/>
        <w:tab/>
        <w:t>Wartość współczynnika RL powinna wynosić dla oznakowania nowego (w stanie suchym) w ciągu 14 - 30 dni po wykonaniu, barwy:</w:t>
      </w:r>
    </w:p>
    <w:p w:rsidR="009B7C43" w:rsidRPr="00A836C9" w:rsidRDefault="009B7C43" w:rsidP="009B7C43">
      <w:pPr>
        <w:rPr>
          <w:rFonts w:asciiTheme="minorHAnsi" w:hAnsiTheme="minorHAnsi"/>
        </w:rPr>
      </w:pPr>
      <w:r>
        <w:rPr>
          <w:rFonts w:asciiTheme="minorHAnsi" w:hAnsiTheme="minorHAnsi"/>
        </w:rPr>
        <w:t>-</w:t>
      </w:r>
      <w:r w:rsidRPr="00A836C9">
        <w:rPr>
          <w:rFonts w:asciiTheme="minorHAnsi" w:hAnsiTheme="minorHAnsi"/>
        </w:rPr>
        <w:t>białej, co najmniej 200 mcd m-2 lx-1, klasa R4,</w:t>
      </w:r>
    </w:p>
    <w:p w:rsidR="009B7C43" w:rsidRPr="00A836C9" w:rsidRDefault="009B7C43" w:rsidP="009B7C43">
      <w:pPr>
        <w:rPr>
          <w:rFonts w:asciiTheme="minorHAnsi" w:hAnsiTheme="minorHAnsi"/>
        </w:rPr>
      </w:pPr>
      <w:r>
        <w:rPr>
          <w:rFonts w:asciiTheme="minorHAnsi" w:hAnsiTheme="minorHAnsi"/>
        </w:rPr>
        <w:t>-</w:t>
      </w:r>
      <w:r w:rsidRPr="00A836C9">
        <w:rPr>
          <w:rFonts w:asciiTheme="minorHAnsi" w:hAnsiTheme="minorHAnsi"/>
        </w:rPr>
        <w:t>żółtej tymczasowej, co najmniej 150 mcd m-2 lx-1, klasa R3,</w:t>
      </w:r>
    </w:p>
    <w:p w:rsidR="009B7C43" w:rsidRPr="00A836C9" w:rsidRDefault="009B7C43" w:rsidP="009B7C43">
      <w:pPr>
        <w:rPr>
          <w:rFonts w:asciiTheme="minorHAnsi" w:hAnsiTheme="minorHAnsi"/>
        </w:rPr>
      </w:pPr>
      <w:r w:rsidRPr="00A836C9">
        <w:rPr>
          <w:rFonts w:asciiTheme="minorHAnsi" w:hAnsiTheme="minorHAnsi"/>
        </w:rPr>
        <w:tab/>
        <w:t>Wartość współczynnika RL powinna wynosić dla oznakowania eksploatowanego w ciągu od 2 do 6 miesięcy po wykonaniu,  barwy:</w:t>
      </w:r>
    </w:p>
    <w:p w:rsidR="009B7C43" w:rsidRPr="00A836C9" w:rsidRDefault="009B7C43" w:rsidP="009B7C43">
      <w:pPr>
        <w:rPr>
          <w:rFonts w:asciiTheme="minorHAnsi" w:hAnsiTheme="minorHAnsi"/>
        </w:rPr>
      </w:pPr>
      <w:r>
        <w:rPr>
          <w:rFonts w:asciiTheme="minorHAnsi" w:hAnsiTheme="minorHAnsi"/>
        </w:rPr>
        <w:t>-</w:t>
      </w:r>
      <w:r w:rsidRPr="00A836C9">
        <w:rPr>
          <w:rFonts w:asciiTheme="minorHAnsi" w:hAnsiTheme="minorHAnsi"/>
        </w:rPr>
        <w:t>białej, co najmniej 150 mcd m-2 lx-1, klasa R3</w:t>
      </w:r>
    </w:p>
    <w:p w:rsidR="009B7C43" w:rsidRPr="00A836C9" w:rsidRDefault="009B7C43" w:rsidP="009B7C43">
      <w:pPr>
        <w:rPr>
          <w:rFonts w:asciiTheme="minorHAnsi" w:hAnsiTheme="minorHAnsi"/>
        </w:rPr>
      </w:pPr>
      <w:r>
        <w:rPr>
          <w:rFonts w:asciiTheme="minorHAnsi" w:hAnsiTheme="minorHAnsi"/>
        </w:rPr>
        <w:t>-</w:t>
      </w:r>
      <w:r w:rsidRPr="00A836C9">
        <w:rPr>
          <w:rFonts w:asciiTheme="minorHAnsi" w:hAnsiTheme="minorHAnsi"/>
        </w:rPr>
        <w:t>żółtej tymczasowej, co najmniej 100 mcd m-2 lx-1, klasa R2.</w:t>
      </w:r>
    </w:p>
    <w:p w:rsidR="009B7C43" w:rsidRPr="00A836C9" w:rsidRDefault="009B7C43" w:rsidP="009B7C43">
      <w:pPr>
        <w:rPr>
          <w:rFonts w:asciiTheme="minorHAnsi" w:hAnsiTheme="minorHAnsi"/>
        </w:rPr>
      </w:pPr>
      <w:r w:rsidRPr="00A836C9">
        <w:rPr>
          <w:rFonts w:asciiTheme="minorHAnsi" w:hAnsiTheme="minorHAnsi"/>
        </w:rPr>
        <w:tab/>
        <w:t>Wartość współczynnika RL powinna wynosić dla oznakowania eksploatowanego od 7 miesiąca po wykonaniu,  barwy:</w:t>
      </w:r>
    </w:p>
    <w:p w:rsidR="009B7C43" w:rsidRPr="00A836C9" w:rsidRDefault="009B7C43" w:rsidP="009B7C43">
      <w:pPr>
        <w:rPr>
          <w:rFonts w:asciiTheme="minorHAnsi" w:hAnsiTheme="minorHAnsi"/>
        </w:rPr>
      </w:pPr>
      <w:r>
        <w:rPr>
          <w:rFonts w:asciiTheme="minorHAnsi" w:hAnsiTheme="minorHAnsi"/>
        </w:rPr>
        <w:t>-</w:t>
      </w:r>
      <w:r w:rsidRPr="00A836C9">
        <w:rPr>
          <w:rFonts w:asciiTheme="minorHAnsi" w:hAnsiTheme="minorHAnsi"/>
        </w:rPr>
        <w:t>białej, co najmniej 100 mcd m-2 lx-1 , klasa R2,</w:t>
      </w:r>
    </w:p>
    <w:p w:rsidR="009B7C43" w:rsidRPr="00A836C9" w:rsidRDefault="009B7C43" w:rsidP="009B7C43">
      <w:pPr>
        <w:rPr>
          <w:rFonts w:asciiTheme="minorHAnsi" w:hAnsiTheme="minorHAnsi"/>
        </w:rPr>
      </w:pPr>
      <w:r>
        <w:rPr>
          <w:rFonts w:asciiTheme="minorHAnsi" w:hAnsiTheme="minorHAnsi"/>
        </w:rPr>
        <w:t>-</w:t>
      </w:r>
      <w:r w:rsidRPr="00A836C9">
        <w:rPr>
          <w:rFonts w:asciiTheme="minorHAnsi" w:hAnsiTheme="minorHAnsi"/>
        </w:rPr>
        <w:t>żółtej tymczasowej, co najmniej 100 mcd m-2 lx-1, klasa R2.</w:t>
      </w:r>
    </w:p>
    <w:p w:rsidR="009B7C43" w:rsidRPr="00A836C9" w:rsidRDefault="009B7C43" w:rsidP="009B7C43">
      <w:pPr>
        <w:rPr>
          <w:rFonts w:asciiTheme="minorHAnsi" w:hAnsiTheme="minorHAnsi"/>
        </w:rPr>
      </w:pPr>
      <w:r w:rsidRPr="00A836C9">
        <w:rPr>
          <w:rFonts w:asciiTheme="minorHAnsi" w:hAnsiTheme="minorHAnsi"/>
          <w:b/>
        </w:rPr>
        <w:t>6.3.1.4.</w:t>
      </w:r>
      <w:r w:rsidRPr="00A836C9">
        <w:rPr>
          <w:rFonts w:asciiTheme="minorHAnsi" w:hAnsiTheme="minorHAnsi"/>
        </w:rPr>
        <w:t xml:space="preserve"> Szorstkość oznakowania</w:t>
      </w:r>
    </w:p>
    <w:p w:rsidR="009B7C43" w:rsidRPr="00A836C9" w:rsidRDefault="009B7C43" w:rsidP="009B7C43">
      <w:pPr>
        <w:rPr>
          <w:rFonts w:asciiTheme="minorHAnsi" w:hAnsiTheme="minorHAnsi"/>
        </w:rPr>
      </w:pPr>
      <w:r w:rsidRPr="00A836C9">
        <w:rPr>
          <w:rFonts w:asciiTheme="minorHAnsi" w:hAnsiTheme="minorHAnsi"/>
        </w:rPr>
        <w:tab/>
        <w:t xml:space="preserve">Miarą szorstkości oznakowania jest wartość wskaźnika szorstkości SRT (Skid Resistance Tester) mierzona wahadłem angielskim, wg PN-EN 1436:2000 lub POD-97 i POD-2006 (po wydaniu). Wartość SRT symuluje warunki, w których pojazd wyposażony w typowe opony hamuje z blokadą kół przy prędkości </w:t>
      </w:r>
      <w:smartTag w:uri="urn:schemas-microsoft-com:office:smarttags" w:element="metricconverter">
        <w:smartTagPr>
          <w:attr w:name="ProductID" w:val="50 km/h"/>
        </w:smartTagPr>
        <w:r w:rsidRPr="00A836C9">
          <w:rPr>
            <w:rFonts w:asciiTheme="minorHAnsi" w:hAnsiTheme="minorHAnsi"/>
          </w:rPr>
          <w:t>50 km/h</w:t>
        </w:r>
      </w:smartTag>
      <w:r w:rsidRPr="00A836C9">
        <w:rPr>
          <w:rFonts w:asciiTheme="minorHAnsi" w:hAnsiTheme="minorHAnsi"/>
        </w:rPr>
        <w:t xml:space="preserve"> na mokrej nawierzchni.</w:t>
      </w:r>
    </w:p>
    <w:p w:rsidR="009B7C43" w:rsidRPr="00A836C9" w:rsidRDefault="009B7C43" w:rsidP="009B7C43">
      <w:pPr>
        <w:rPr>
          <w:rFonts w:asciiTheme="minorHAnsi" w:hAnsiTheme="minorHAnsi"/>
        </w:rPr>
      </w:pPr>
      <w:r w:rsidRPr="00A836C9">
        <w:rPr>
          <w:rFonts w:asciiTheme="minorHAnsi" w:hAnsiTheme="minorHAnsi"/>
        </w:rPr>
        <w:tab/>
        <w:t>Wymaga się, aby wartość wskaźnika szorstko</w:t>
      </w:r>
      <w:r>
        <w:rPr>
          <w:rFonts w:asciiTheme="minorHAnsi" w:hAnsiTheme="minorHAnsi"/>
        </w:rPr>
        <w:t xml:space="preserve">ści SRT wynosiła na oznakowaniu </w:t>
      </w:r>
      <w:r w:rsidRPr="00A836C9">
        <w:rPr>
          <w:rFonts w:asciiTheme="minorHAnsi" w:hAnsiTheme="minorHAnsi"/>
        </w:rPr>
        <w:t>w ciągu całego okresu użytkowania, co najmniej 45 jednostek SRT (klasa S1).</w:t>
      </w:r>
    </w:p>
    <w:p w:rsidR="009B7C43" w:rsidRPr="00A836C9" w:rsidRDefault="009B7C43" w:rsidP="009B7C43">
      <w:pPr>
        <w:rPr>
          <w:rFonts w:asciiTheme="minorHAnsi" w:hAnsiTheme="minorHAnsi"/>
        </w:rPr>
      </w:pPr>
      <w:r w:rsidRPr="00A836C9">
        <w:rPr>
          <w:rFonts w:asciiTheme="minorHAnsi" w:hAnsiTheme="minorHAnsi"/>
        </w:rPr>
        <w:tab/>
        <w:t>Szorstkość oznakowania, na którym nie zastosowano kruszywa przeciwpoślizgowego, zazwyczaj wzrasta w okresie eksploatacji oznakowania, dlatego nie należy wymagać wyższej jego wartości na starcie, a niższej w okresie gwarancji.</w:t>
      </w:r>
    </w:p>
    <w:p w:rsidR="009B7C43" w:rsidRPr="00A836C9" w:rsidRDefault="009B7C43" w:rsidP="009B7C43">
      <w:pPr>
        <w:rPr>
          <w:rFonts w:asciiTheme="minorHAnsi" w:hAnsiTheme="minorHAnsi"/>
        </w:rPr>
      </w:pPr>
      <w:r w:rsidRPr="00A836C9">
        <w:rPr>
          <w:rFonts w:asciiTheme="minorHAnsi" w:hAnsiTheme="minorHAnsi"/>
        </w:rPr>
        <w:tab/>
        <w:t>UWAGA: Wskaźnik szorstkości SRT w normach powierzchniowych został nazwany PTV (Polishing Test Value) za PN-EN 13 036-4:2004(U). Metoda pomiaru i sprzęt do jego wykonania są identyczne z przyjętymi w PN-EN 1436:2000dla oznakowań poziomych.</w:t>
      </w:r>
    </w:p>
    <w:p w:rsidR="009B7C43" w:rsidRPr="00A836C9" w:rsidRDefault="009B7C43" w:rsidP="009B7C43">
      <w:pPr>
        <w:rPr>
          <w:rFonts w:asciiTheme="minorHAnsi" w:hAnsiTheme="minorHAnsi"/>
        </w:rPr>
      </w:pPr>
      <w:r w:rsidRPr="00A836C9">
        <w:rPr>
          <w:rFonts w:asciiTheme="minorHAnsi" w:hAnsiTheme="minorHAnsi"/>
          <w:b/>
        </w:rPr>
        <w:t>6.3.1.5.</w:t>
      </w:r>
      <w:r w:rsidRPr="00A836C9">
        <w:rPr>
          <w:rFonts w:asciiTheme="minorHAnsi" w:hAnsiTheme="minorHAnsi"/>
        </w:rPr>
        <w:t xml:space="preserve"> Trwałość oznakowania</w:t>
      </w:r>
    </w:p>
    <w:p w:rsidR="009B7C43" w:rsidRPr="00A836C9" w:rsidRDefault="009B7C43" w:rsidP="009B7C43">
      <w:pPr>
        <w:rPr>
          <w:rFonts w:asciiTheme="minorHAnsi" w:hAnsiTheme="minorHAnsi"/>
        </w:rPr>
      </w:pPr>
      <w:r w:rsidRPr="00A836C9">
        <w:rPr>
          <w:rFonts w:asciiTheme="minorHAnsi" w:hAnsiTheme="minorHAnsi"/>
        </w:rPr>
        <w:tab/>
        <w:t>Trwałość oznakowania cienkowarstwowego oceniana jako stopień zużycia w 10-stopniowej skali LCPC określonej w POD-97 lub POD-2006 (po wydaniu) powinna wynosić po 12-miesięcznym okresie eksploatacji oznakowania: co najmniej 6.</w:t>
      </w:r>
    </w:p>
    <w:p w:rsidR="009B7C43" w:rsidRPr="00A836C9" w:rsidRDefault="009B7C43" w:rsidP="009B7C43">
      <w:pPr>
        <w:rPr>
          <w:rFonts w:asciiTheme="minorHAnsi" w:hAnsiTheme="minorHAnsi"/>
        </w:rPr>
      </w:pPr>
      <w:r w:rsidRPr="00A836C9">
        <w:rPr>
          <w:rFonts w:asciiTheme="minorHAnsi" w:hAnsiTheme="minorHAnsi"/>
        </w:rPr>
        <w:t>Taka metoda oceny znajduje szczególnie zastosowanie do oceny przydatności materiałów do poziomego oznakowania dróg.</w:t>
      </w:r>
    </w:p>
    <w:p w:rsidR="009B7C43" w:rsidRPr="00A836C9" w:rsidRDefault="009B7C43" w:rsidP="009B7C43">
      <w:pPr>
        <w:rPr>
          <w:rFonts w:asciiTheme="minorHAnsi" w:hAnsiTheme="minorHAnsi"/>
        </w:rPr>
      </w:pPr>
      <w:r w:rsidRPr="00A836C9">
        <w:rPr>
          <w:rFonts w:asciiTheme="minorHAnsi" w:hAnsiTheme="minorHAnsi"/>
        </w:rPr>
        <w:tab/>
        <w:t>W celach kontrolnych trwałość jest oceniana pośrednio przez sprawdzenie spełniania wymagań widoczności w dzień, w nocy i szorstkości.</w:t>
      </w:r>
    </w:p>
    <w:p w:rsidR="009B7C43" w:rsidRPr="00A836C9" w:rsidRDefault="009B7C43" w:rsidP="009B7C43">
      <w:pPr>
        <w:rPr>
          <w:rFonts w:asciiTheme="minorHAnsi" w:hAnsiTheme="minorHAnsi"/>
        </w:rPr>
      </w:pPr>
      <w:r w:rsidRPr="00A836C9">
        <w:rPr>
          <w:rFonts w:asciiTheme="minorHAnsi" w:hAnsiTheme="minorHAnsi"/>
          <w:b/>
        </w:rPr>
        <w:t>6.3.1.6.</w:t>
      </w:r>
      <w:r w:rsidRPr="00A836C9">
        <w:rPr>
          <w:rFonts w:asciiTheme="minorHAnsi" w:hAnsiTheme="minorHAnsi"/>
        </w:rPr>
        <w:t xml:space="preserve"> Czas schnięcia oznakowania (względnie czas do przejezdności oznakowania)</w:t>
      </w:r>
    </w:p>
    <w:p w:rsidR="009B7C43" w:rsidRPr="00A836C9" w:rsidRDefault="009B7C43" w:rsidP="009B7C43">
      <w:pPr>
        <w:rPr>
          <w:rFonts w:asciiTheme="minorHAnsi" w:hAnsiTheme="minorHAnsi"/>
        </w:rPr>
      </w:pPr>
      <w:r w:rsidRPr="00A836C9">
        <w:rPr>
          <w:rFonts w:asciiTheme="minorHAnsi" w:hAnsiTheme="minorHAnsi"/>
        </w:rPr>
        <w:tab/>
        <w:t>Za czas schnięcia oznakowania przyjmuje się czas upływający między wykonaniem oznakowania a jego oddaniem do ruchu.</w:t>
      </w:r>
    </w:p>
    <w:p w:rsidR="009B7C43" w:rsidRPr="00A836C9" w:rsidRDefault="009B7C43" w:rsidP="009B7C43">
      <w:pPr>
        <w:rPr>
          <w:rFonts w:asciiTheme="minorHAnsi" w:hAnsiTheme="minorHAnsi"/>
        </w:rPr>
      </w:pPr>
      <w:r w:rsidRPr="00A836C9">
        <w:rPr>
          <w:rFonts w:asciiTheme="minorHAnsi" w:hAnsiTheme="minorHAnsi"/>
        </w:rPr>
        <w:tab/>
        <w:t>Czas schnięcia oznakowania nie powinien przekraczać czasu gwarantowanego przez producenta, z tym że nie może przekraczać 2 godzin w przypadku wymalowań nocnych i 1 godziny w przypadku wymalowań dziennych. Metoda oznaczenia czasu schnięcia znajduje się w POD-97 lub POD-2006 (po wydaniu).</w:t>
      </w:r>
    </w:p>
    <w:p w:rsidR="009B7C43" w:rsidRPr="00A836C9" w:rsidRDefault="009B7C43" w:rsidP="009B7C43">
      <w:pPr>
        <w:rPr>
          <w:rFonts w:asciiTheme="minorHAnsi" w:hAnsiTheme="minorHAnsi"/>
        </w:rPr>
      </w:pPr>
      <w:r w:rsidRPr="00A836C9">
        <w:rPr>
          <w:rFonts w:asciiTheme="minorHAnsi" w:hAnsiTheme="minorHAnsi"/>
          <w:b/>
        </w:rPr>
        <w:t>6.3.1.7.</w:t>
      </w:r>
      <w:r w:rsidRPr="00A836C9">
        <w:rPr>
          <w:rFonts w:asciiTheme="minorHAnsi" w:hAnsiTheme="minorHAnsi"/>
        </w:rPr>
        <w:t xml:space="preserve"> Grubość oznakowania</w:t>
      </w:r>
    </w:p>
    <w:p w:rsidR="009B7C43" w:rsidRPr="00A836C9" w:rsidRDefault="009B7C43" w:rsidP="009B7C43">
      <w:pPr>
        <w:rPr>
          <w:rFonts w:asciiTheme="minorHAnsi" w:hAnsiTheme="minorHAnsi"/>
        </w:rPr>
      </w:pPr>
      <w:r w:rsidRPr="00A836C9">
        <w:rPr>
          <w:rFonts w:asciiTheme="minorHAnsi" w:hAnsiTheme="minorHAnsi"/>
        </w:rPr>
        <w:tab/>
        <w:t>Grubość oznakowania, tj. podwyższenie ponad górną powierzchnię nawierzchni, powinna wynosić dla oznakowania cienkowarstwowego (grubość na mokro bez kulek szklanych), co najwyżej 0,89 mm,</w:t>
      </w:r>
    </w:p>
    <w:p w:rsidR="009B7C43" w:rsidRPr="00A836C9" w:rsidRDefault="009B7C43" w:rsidP="009B7C43">
      <w:pPr>
        <w:rPr>
          <w:rFonts w:asciiTheme="minorHAnsi" w:hAnsiTheme="minorHAnsi"/>
        </w:rPr>
      </w:pPr>
      <w:r w:rsidRPr="00A836C9">
        <w:rPr>
          <w:rFonts w:asciiTheme="minorHAnsi" w:hAnsiTheme="minorHAnsi"/>
        </w:rPr>
        <w:t xml:space="preserve">punktowych elementów odblaskowych umieszczanych na części jezdnej drogi, co najwyżej </w:t>
      </w:r>
      <w:smartTag w:uri="urn:schemas-microsoft-com:office:smarttags" w:element="metricconverter">
        <w:smartTagPr>
          <w:attr w:name="ProductID" w:val="15 mm"/>
        </w:smartTagPr>
        <w:r w:rsidRPr="00A836C9">
          <w:rPr>
            <w:rFonts w:asciiTheme="minorHAnsi" w:hAnsiTheme="minorHAnsi"/>
          </w:rPr>
          <w:t>15 mm</w:t>
        </w:r>
      </w:smartTag>
      <w:r w:rsidRPr="00A836C9">
        <w:rPr>
          <w:rFonts w:asciiTheme="minorHAnsi" w:hAnsiTheme="minorHAnsi"/>
        </w:rPr>
        <w:t xml:space="preserve">, a w uzasadnionych przypadkach ustalonych w dokumentacji projektowej, co najwyżej </w:t>
      </w:r>
      <w:smartTag w:uri="urn:schemas-microsoft-com:office:smarttags" w:element="metricconverter">
        <w:smartTagPr>
          <w:attr w:name="ProductID" w:val="25 mm"/>
        </w:smartTagPr>
        <w:r w:rsidRPr="00A836C9">
          <w:rPr>
            <w:rFonts w:asciiTheme="minorHAnsi" w:hAnsiTheme="minorHAnsi"/>
          </w:rPr>
          <w:t>25 mm</w:t>
        </w:r>
      </w:smartTag>
      <w:r w:rsidRPr="00A836C9">
        <w:rPr>
          <w:rFonts w:asciiTheme="minorHAnsi" w:hAnsiTheme="minorHAnsi"/>
        </w:rPr>
        <w:t>.</w:t>
      </w:r>
    </w:p>
    <w:p w:rsidR="009B7C43" w:rsidRPr="00A836C9" w:rsidRDefault="009B7C43" w:rsidP="009B7C43">
      <w:pPr>
        <w:rPr>
          <w:rFonts w:asciiTheme="minorHAnsi" w:hAnsiTheme="minorHAnsi"/>
        </w:rPr>
      </w:pPr>
      <w:r w:rsidRPr="00A836C9">
        <w:rPr>
          <w:rFonts w:asciiTheme="minorHAnsi" w:hAnsiTheme="minorHAnsi"/>
          <w:b/>
        </w:rPr>
        <w:t>6.3.2.</w:t>
      </w:r>
      <w:r w:rsidRPr="00A836C9">
        <w:rPr>
          <w:rFonts w:asciiTheme="minorHAnsi" w:hAnsiTheme="minorHAnsi"/>
        </w:rPr>
        <w:tab/>
        <w:t>Badania wykonania znakowania poziomego z materiału cienkowarstwowego.</w:t>
      </w:r>
    </w:p>
    <w:p w:rsidR="009B7C43" w:rsidRPr="00A836C9" w:rsidRDefault="009B7C43" w:rsidP="009B7C43">
      <w:pPr>
        <w:rPr>
          <w:rFonts w:asciiTheme="minorHAnsi" w:hAnsiTheme="minorHAnsi"/>
        </w:rPr>
      </w:pPr>
      <w:r w:rsidRPr="00A836C9">
        <w:rPr>
          <w:rFonts w:asciiTheme="minorHAnsi" w:hAnsiTheme="minorHAnsi"/>
        </w:rPr>
        <w:tab/>
        <w:t>Wykonawca wykonując znakowanie poziome z materiału cienkowarstwowego przeprowadza przed rozpoczęciem każdej pracy oraz w czasie jej wykonywania, co najmniej raz dziennie następujące badania:</w:t>
      </w:r>
    </w:p>
    <w:p w:rsidR="009B7C43" w:rsidRPr="00A836C9" w:rsidRDefault="009B7C43" w:rsidP="009B7C43">
      <w:pPr>
        <w:rPr>
          <w:rFonts w:asciiTheme="minorHAnsi" w:hAnsiTheme="minorHAnsi"/>
        </w:rPr>
      </w:pPr>
      <w:r w:rsidRPr="00F040CD">
        <w:rPr>
          <w:rFonts w:asciiTheme="minorHAnsi" w:hAnsiTheme="minorHAnsi"/>
          <w:b/>
        </w:rPr>
        <w:t>a)</w:t>
      </w:r>
      <w:r w:rsidRPr="00A836C9">
        <w:rPr>
          <w:rFonts w:asciiTheme="minorHAnsi" w:hAnsiTheme="minorHAnsi"/>
        </w:rPr>
        <w:t xml:space="preserve"> przed rozpoczęciem pracy:</w:t>
      </w:r>
    </w:p>
    <w:p w:rsidR="009B7C43" w:rsidRPr="00A836C9" w:rsidRDefault="009B7C43" w:rsidP="009B7C43">
      <w:pPr>
        <w:rPr>
          <w:rFonts w:asciiTheme="minorHAnsi" w:hAnsiTheme="minorHAnsi"/>
        </w:rPr>
      </w:pPr>
      <w:r>
        <w:rPr>
          <w:rFonts w:asciiTheme="minorHAnsi" w:hAnsiTheme="minorHAnsi"/>
        </w:rPr>
        <w:t>-</w:t>
      </w:r>
      <w:r w:rsidRPr="00A836C9">
        <w:rPr>
          <w:rFonts w:asciiTheme="minorHAnsi" w:hAnsiTheme="minorHAnsi"/>
        </w:rPr>
        <w:t>sprawdzenie oznakowania opakowań,</w:t>
      </w:r>
    </w:p>
    <w:p w:rsidR="009B7C43" w:rsidRPr="00A836C9" w:rsidRDefault="009B7C43" w:rsidP="009B7C43">
      <w:pPr>
        <w:rPr>
          <w:rFonts w:asciiTheme="minorHAnsi" w:hAnsiTheme="minorHAnsi"/>
        </w:rPr>
      </w:pPr>
      <w:r>
        <w:rPr>
          <w:rFonts w:asciiTheme="minorHAnsi" w:hAnsiTheme="minorHAnsi"/>
        </w:rPr>
        <w:t>-</w:t>
      </w:r>
      <w:r w:rsidRPr="00A836C9">
        <w:rPr>
          <w:rFonts w:asciiTheme="minorHAnsi" w:hAnsiTheme="minorHAnsi"/>
        </w:rPr>
        <w:t>wizualną ocenę stanu  materiału, w zakresie jego jednorodności i widocznych wad,</w:t>
      </w:r>
    </w:p>
    <w:p w:rsidR="009B7C43" w:rsidRPr="00A836C9" w:rsidRDefault="009B7C43" w:rsidP="009B7C43">
      <w:pPr>
        <w:rPr>
          <w:rFonts w:asciiTheme="minorHAnsi" w:hAnsiTheme="minorHAnsi"/>
        </w:rPr>
      </w:pPr>
      <w:r>
        <w:rPr>
          <w:rFonts w:asciiTheme="minorHAnsi" w:hAnsiTheme="minorHAnsi"/>
        </w:rPr>
        <w:t>-</w:t>
      </w:r>
      <w:r w:rsidRPr="00A836C9">
        <w:rPr>
          <w:rFonts w:asciiTheme="minorHAnsi" w:hAnsiTheme="minorHAnsi"/>
        </w:rPr>
        <w:t>pomiar wilgotności względnej powietrza,</w:t>
      </w:r>
    </w:p>
    <w:p w:rsidR="009B7C43" w:rsidRPr="00A836C9" w:rsidRDefault="009B7C43" w:rsidP="009B7C43">
      <w:pPr>
        <w:rPr>
          <w:rFonts w:asciiTheme="minorHAnsi" w:hAnsiTheme="minorHAnsi"/>
        </w:rPr>
      </w:pPr>
      <w:r>
        <w:rPr>
          <w:rFonts w:asciiTheme="minorHAnsi" w:hAnsiTheme="minorHAnsi"/>
        </w:rPr>
        <w:t>-</w:t>
      </w:r>
      <w:r w:rsidRPr="00A836C9">
        <w:rPr>
          <w:rFonts w:asciiTheme="minorHAnsi" w:hAnsiTheme="minorHAnsi"/>
        </w:rPr>
        <w:t>pomiar temperatury powietrza i nawierzchni,</w:t>
      </w:r>
    </w:p>
    <w:p w:rsidR="009B7C43" w:rsidRPr="00A836C9" w:rsidRDefault="009B7C43" w:rsidP="009B7C43">
      <w:pPr>
        <w:rPr>
          <w:rFonts w:asciiTheme="minorHAnsi" w:hAnsiTheme="minorHAnsi"/>
        </w:rPr>
      </w:pPr>
      <w:r>
        <w:rPr>
          <w:rFonts w:asciiTheme="minorHAnsi" w:hAnsiTheme="minorHAnsi"/>
        </w:rPr>
        <w:t>-</w:t>
      </w:r>
      <w:r w:rsidRPr="00A836C9">
        <w:rPr>
          <w:rFonts w:asciiTheme="minorHAnsi" w:hAnsiTheme="minorHAnsi"/>
        </w:rPr>
        <w:t>badanie lepkości farby, wg POD-97 lub POD-2006 (po wydaniu),</w:t>
      </w:r>
    </w:p>
    <w:p w:rsidR="009B7C43" w:rsidRPr="00A836C9" w:rsidRDefault="009B7C43" w:rsidP="009B7C43">
      <w:pPr>
        <w:rPr>
          <w:rFonts w:asciiTheme="minorHAnsi" w:hAnsiTheme="minorHAnsi"/>
        </w:rPr>
      </w:pPr>
      <w:r w:rsidRPr="00F040CD">
        <w:rPr>
          <w:rFonts w:asciiTheme="minorHAnsi" w:hAnsiTheme="minorHAnsi"/>
          <w:b/>
        </w:rPr>
        <w:t>b)</w:t>
      </w:r>
      <w:r w:rsidRPr="00A836C9">
        <w:rPr>
          <w:rFonts w:asciiTheme="minorHAnsi" w:hAnsiTheme="minorHAnsi"/>
        </w:rPr>
        <w:t xml:space="preserve"> w czasie wykonywania pracy:</w:t>
      </w:r>
    </w:p>
    <w:p w:rsidR="009B7C43" w:rsidRPr="00A836C9" w:rsidRDefault="009B7C43" w:rsidP="009B7C43">
      <w:pPr>
        <w:rPr>
          <w:rFonts w:asciiTheme="minorHAnsi" w:hAnsiTheme="minorHAnsi"/>
        </w:rPr>
      </w:pPr>
      <w:r>
        <w:rPr>
          <w:rFonts w:asciiTheme="minorHAnsi" w:hAnsiTheme="minorHAnsi"/>
        </w:rPr>
        <w:t>-</w:t>
      </w:r>
      <w:r w:rsidRPr="00A836C9">
        <w:rPr>
          <w:rFonts w:asciiTheme="minorHAnsi" w:hAnsiTheme="minorHAnsi"/>
        </w:rPr>
        <w:t>pomiar grubości warstwy oznakowania,</w:t>
      </w:r>
    </w:p>
    <w:p w:rsidR="009B7C43" w:rsidRPr="00A836C9" w:rsidRDefault="009B7C43" w:rsidP="009B7C43">
      <w:pPr>
        <w:rPr>
          <w:rFonts w:asciiTheme="minorHAnsi" w:hAnsiTheme="minorHAnsi"/>
        </w:rPr>
      </w:pPr>
      <w:r>
        <w:rPr>
          <w:rFonts w:asciiTheme="minorHAnsi" w:hAnsiTheme="minorHAnsi"/>
        </w:rPr>
        <w:t>-</w:t>
      </w:r>
      <w:r w:rsidRPr="00A836C9">
        <w:rPr>
          <w:rFonts w:asciiTheme="minorHAnsi" w:hAnsiTheme="minorHAnsi"/>
        </w:rPr>
        <w:t>pomiar czasu schnięcia, wg POD-97 lub POD-2006 (po wydaniu),</w:t>
      </w:r>
    </w:p>
    <w:p w:rsidR="009B7C43" w:rsidRPr="00A836C9" w:rsidRDefault="009B7C43" w:rsidP="009B7C43">
      <w:pPr>
        <w:rPr>
          <w:rFonts w:asciiTheme="minorHAnsi" w:hAnsiTheme="minorHAnsi"/>
        </w:rPr>
      </w:pPr>
      <w:r>
        <w:rPr>
          <w:rFonts w:asciiTheme="minorHAnsi" w:hAnsiTheme="minorHAnsi"/>
        </w:rPr>
        <w:t>-</w:t>
      </w:r>
      <w:r w:rsidRPr="00A836C9">
        <w:rPr>
          <w:rFonts w:asciiTheme="minorHAnsi" w:hAnsiTheme="minorHAnsi"/>
        </w:rPr>
        <w:t>wizualną ocenę równomierności rozłożenia kulek szklanych podczas objazdu w nocy,</w:t>
      </w:r>
    </w:p>
    <w:p w:rsidR="009B7C43" w:rsidRPr="00A836C9" w:rsidRDefault="009B7C43" w:rsidP="009B7C43">
      <w:pPr>
        <w:rPr>
          <w:rFonts w:asciiTheme="minorHAnsi" w:hAnsiTheme="minorHAnsi"/>
        </w:rPr>
      </w:pPr>
      <w:r>
        <w:rPr>
          <w:rFonts w:asciiTheme="minorHAnsi" w:hAnsiTheme="minorHAnsi"/>
        </w:rPr>
        <w:lastRenderedPageBreak/>
        <w:t>-</w:t>
      </w:r>
      <w:r w:rsidRPr="00A836C9">
        <w:rPr>
          <w:rFonts w:asciiTheme="minorHAnsi" w:hAnsiTheme="minorHAnsi"/>
        </w:rPr>
        <w:t>pomiar poziomych wymiarów oznakowania, na zgodność z dokumentacją projektową i załącznikiem nr 2 do rozporządzenia Ministra Infrastruktury,</w:t>
      </w:r>
    </w:p>
    <w:p w:rsidR="009B7C43" w:rsidRPr="00A836C9" w:rsidRDefault="009B7C43" w:rsidP="009B7C43">
      <w:pPr>
        <w:rPr>
          <w:rFonts w:asciiTheme="minorHAnsi" w:hAnsiTheme="minorHAnsi"/>
        </w:rPr>
      </w:pPr>
      <w:r>
        <w:rPr>
          <w:rFonts w:asciiTheme="minorHAnsi" w:hAnsiTheme="minorHAnsi"/>
        </w:rPr>
        <w:t>-</w:t>
      </w:r>
      <w:r w:rsidRPr="00A836C9">
        <w:rPr>
          <w:rFonts w:asciiTheme="minorHAnsi" w:hAnsiTheme="minorHAnsi"/>
        </w:rPr>
        <w:t>wizualną ocenę równomierności skropienia (rozłożenia materiału) na całej szerokości linii,</w:t>
      </w:r>
    </w:p>
    <w:p w:rsidR="009B7C43" w:rsidRPr="00A836C9" w:rsidRDefault="009B7C43" w:rsidP="009B7C43">
      <w:pPr>
        <w:rPr>
          <w:rFonts w:asciiTheme="minorHAnsi" w:hAnsiTheme="minorHAnsi"/>
        </w:rPr>
      </w:pPr>
      <w:r>
        <w:rPr>
          <w:rFonts w:asciiTheme="minorHAnsi" w:hAnsiTheme="minorHAnsi"/>
        </w:rPr>
        <w:t>-</w:t>
      </w:r>
      <w:r w:rsidRPr="00A836C9">
        <w:rPr>
          <w:rFonts w:asciiTheme="minorHAnsi" w:hAnsiTheme="minorHAnsi"/>
        </w:rPr>
        <w:t>oznaczenia czasu przejezdności, wg POD-97 [9] lub POD-2006 (po wydaniu).</w:t>
      </w:r>
    </w:p>
    <w:p w:rsidR="009B7C43" w:rsidRPr="00A836C9" w:rsidRDefault="009B7C43" w:rsidP="009B7C43">
      <w:pPr>
        <w:rPr>
          <w:rFonts w:asciiTheme="minorHAnsi" w:hAnsiTheme="minorHAnsi"/>
        </w:rPr>
      </w:pPr>
      <w:r w:rsidRPr="00A836C9">
        <w:rPr>
          <w:rFonts w:asciiTheme="minorHAnsi" w:hAnsiTheme="minorHAnsi"/>
        </w:rPr>
        <w:tab/>
        <w:t xml:space="preserve">Protokół z przeprowadzonych badań wraz z jedną próbką, jednoznacznie oznakowaną, na blasze (300 x 250 x </w:t>
      </w:r>
      <w:smartTag w:uri="urn:schemas-microsoft-com:office:smarttags" w:element="metricconverter">
        <w:smartTagPr>
          <w:attr w:name="ProductID" w:val="1,5 mm"/>
        </w:smartTagPr>
        <w:r w:rsidRPr="00A836C9">
          <w:rPr>
            <w:rFonts w:asciiTheme="minorHAnsi" w:hAnsiTheme="minorHAnsi"/>
          </w:rPr>
          <w:t>1,5 mm</w:t>
        </w:r>
      </w:smartTag>
      <w:r w:rsidRPr="00A836C9">
        <w:rPr>
          <w:rFonts w:asciiTheme="minorHAnsi" w:hAnsiTheme="minorHAnsi"/>
        </w:rPr>
        <w:t>) Wykonawca powinien przechować do czasu upływu okresu gwarancji.</w:t>
      </w:r>
    </w:p>
    <w:p w:rsidR="009B7C43" w:rsidRPr="00A836C9" w:rsidRDefault="009B7C43" w:rsidP="009B7C43">
      <w:pPr>
        <w:rPr>
          <w:rFonts w:asciiTheme="minorHAnsi" w:hAnsiTheme="minorHAnsi"/>
        </w:rPr>
      </w:pPr>
      <w:r w:rsidRPr="00A836C9">
        <w:rPr>
          <w:rFonts w:asciiTheme="minorHAnsi" w:hAnsiTheme="minorHAnsi"/>
        </w:rPr>
        <w:tab/>
        <w:t>Do odbioru i w przypadku wątpliwości dotyczących wykonania oznakowania poziomego, Inżynier może zlecić wykonanie badań:</w:t>
      </w:r>
    </w:p>
    <w:p w:rsidR="009B7C43" w:rsidRPr="00A836C9" w:rsidRDefault="009B7C43" w:rsidP="009B7C43">
      <w:pPr>
        <w:rPr>
          <w:rFonts w:asciiTheme="minorHAnsi" w:hAnsiTheme="minorHAnsi"/>
        </w:rPr>
      </w:pPr>
      <w:r>
        <w:rPr>
          <w:rFonts w:asciiTheme="minorHAnsi" w:hAnsiTheme="minorHAnsi"/>
        </w:rPr>
        <w:t>-</w:t>
      </w:r>
      <w:r w:rsidRPr="00A836C9">
        <w:rPr>
          <w:rFonts w:asciiTheme="minorHAnsi" w:hAnsiTheme="minorHAnsi"/>
        </w:rPr>
        <w:t>widzialności w nocy,</w:t>
      </w:r>
    </w:p>
    <w:p w:rsidR="009B7C43" w:rsidRPr="00A836C9" w:rsidRDefault="009B7C43" w:rsidP="009B7C43">
      <w:pPr>
        <w:rPr>
          <w:rFonts w:asciiTheme="minorHAnsi" w:hAnsiTheme="minorHAnsi"/>
        </w:rPr>
      </w:pPr>
      <w:r>
        <w:rPr>
          <w:rFonts w:asciiTheme="minorHAnsi" w:hAnsiTheme="minorHAnsi"/>
        </w:rPr>
        <w:t>-</w:t>
      </w:r>
      <w:r w:rsidRPr="00A836C9">
        <w:rPr>
          <w:rFonts w:asciiTheme="minorHAnsi" w:hAnsiTheme="minorHAnsi"/>
        </w:rPr>
        <w:t>widzialności w dzień,</w:t>
      </w:r>
    </w:p>
    <w:p w:rsidR="009B7C43" w:rsidRPr="00A836C9" w:rsidRDefault="009B7C43" w:rsidP="009B7C43">
      <w:pPr>
        <w:rPr>
          <w:rFonts w:asciiTheme="minorHAnsi" w:hAnsiTheme="minorHAnsi"/>
        </w:rPr>
      </w:pPr>
      <w:r>
        <w:rPr>
          <w:rFonts w:asciiTheme="minorHAnsi" w:hAnsiTheme="minorHAnsi"/>
        </w:rPr>
        <w:t>-</w:t>
      </w:r>
      <w:r w:rsidRPr="00A836C9">
        <w:rPr>
          <w:rFonts w:asciiTheme="minorHAnsi" w:hAnsiTheme="minorHAnsi"/>
        </w:rPr>
        <w:t>szorstkości,</w:t>
      </w:r>
    </w:p>
    <w:p w:rsidR="009B7C43" w:rsidRPr="00A836C9" w:rsidRDefault="009B7C43" w:rsidP="009B7C43">
      <w:pPr>
        <w:rPr>
          <w:rFonts w:asciiTheme="minorHAnsi" w:hAnsiTheme="minorHAnsi"/>
        </w:rPr>
      </w:pPr>
      <w:r>
        <w:rPr>
          <w:rFonts w:asciiTheme="minorHAnsi" w:hAnsiTheme="minorHAnsi"/>
        </w:rPr>
        <w:t>-</w:t>
      </w:r>
      <w:r w:rsidRPr="00A836C9">
        <w:rPr>
          <w:rFonts w:asciiTheme="minorHAnsi" w:hAnsiTheme="minorHAnsi"/>
        </w:rPr>
        <w:t>odpowiadających wymaganiom podanym w punkcie 6.3.1 i wykonanych według metod określonych w Warunkach technicznych POD-97 lub POD-2006 (po wydaniu). Jeżeli wyniki tych badań wykażą wadliwość wykonanego oznakowania to koszt badań ponosi Wykonawca, w przypadku przeciwnym - Zamawiający. Badania powinien zlecać Zamawiający do niezależnego laboratorium badawczego, co gwarantuje większa wiarygodność wyników.</w:t>
      </w:r>
    </w:p>
    <w:p w:rsidR="009B7C43" w:rsidRPr="00A836C9" w:rsidRDefault="009B7C43" w:rsidP="009B7C43">
      <w:pPr>
        <w:rPr>
          <w:rFonts w:asciiTheme="minorHAnsi" w:hAnsiTheme="minorHAnsi"/>
        </w:rPr>
      </w:pPr>
      <w:r w:rsidRPr="00A836C9">
        <w:rPr>
          <w:rFonts w:asciiTheme="minorHAnsi" w:hAnsiTheme="minorHAnsi"/>
        </w:rPr>
        <w:tab/>
        <w:t xml:space="preserve">W przypadku wykonywania pomiarów współczynnika odblaskowości i współczynników luminancji aparatami ręcznymi częstotliwość pomiarów należy dostosować do długości badanego odcinka, zgodnie z tablicą 2. W każdym z mierzonych punktów należy wykonać po 5 odczytów współczynnika odblasku i po 3 odczyty współczynników luminancji w odległości jeden od drugiego minimum </w:t>
      </w:r>
      <w:smartTag w:uri="urn:schemas-microsoft-com:office:smarttags" w:element="metricconverter">
        <w:smartTagPr>
          <w:attr w:name="ProductID" w:val="1 m"/>
        </w:smartTagPr>
        <w:r w:rsidRPr="00A836C9">
          <w:rPr>
            <w:rFonts w:asciiTheme="minorHAnsi" w:hAnsiTheme="minorHAnsi"/>
          </w:rPr>
          <w:t>1 m</w:t>
        </w:r>
      </w:smartTag>
      <w:r w:rsidRPr="00A836C9">
        <w:rPr>
          <w:rFonts w:asciiTheme="minorHAnsi" w:hAnsiTheme="minorHAnsi"/>
        </w:rPr>
        <w:t>.</w:t>
      </w:r>
    </w:p>
    <w:p w:rsidR="009B7C43" w:rsidRPr="00A836C9" w:rsidRDefault="009B7C43" w:rsidP="009B7C43">
      <w:pPr>
        <w:rPr>
          <w:rFonts w:asciiTheme="minorHAnsi" w:hAnsiTheme="minorHAnsi"/>
        </w:rPr>
      </w:pPr>
    </w:p>
    <w:p w:rsidR="009B7C43" w:rsidRPr="00A836C9" w:rsidRDefault="009B7C43" w:rsidP="009B7C43">
      <w:pPr>
        <w:ind w:left="709"/>
        <w:rPr>
          <w:rFonts w:asciiTheme="minorHAnsi" w:hAnsiTheme="minorHAnsi"/>
        </w:rPr>
      </w:pPr>
      <w:r w:rsidRPr="00A836C9">
        <w:rPr>
          <w:rFonts w:asciiTheme="minorHAnsi" w:hAnsiTheme="minorHAnsi"/>
        </w:rPr>
        <w:t>Tablica 2. Częstotliwość pomiarów współczynników odblaskowości i luminancji aparatami ręcznymi</w:t>
      </w:r>
    </w:p>
    <w:tbl>
      <w:tblPr>
        <w:tblW w:w="0" w:type="auto"/>
        <w:tblInd w:w="77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000"/>
      </w:tblPr>
      <w:tblGrid>
        <w:gridCol w:w="567"/>
        <w:gridCol w:w="1995"/>
        <w:gridCol w:w="2126"/>
        <w:gridCol w:w="1559"/>
      </w:tblGrid>
      <w:tr w:rsidR="009B7C43" w:rsidRPr="00A836C9" w:rsidTr="00D11375">
        <w:trPr>
          <w:trHeight w:val="549"/>
        </w:trPr>
        <w:tc>
          <w:tcPr>
            <w:tcW w:w="567" w:type="dxa"/>
            <w:tcBorders>
              <w:bottom w:val="double" w:sz="4" w:space="0" w:color="auto"/>
            </w:tcBorders>
            <w:vAlign w:val="center"/>
          </w:tcPr>
          <w:p w:rsidR="009B7C43" w:rsidRPr="00A836C9" w:rsidRDefault="009B7C43" w:rsidP="00D11375">
            <w:pPr>
              <w:jc w:val="center"/>
              <w:rPr>
                <w:rFonts w:asciiTheme="minorHAnsi" w:hAnsiTheme="minorHAnsi"/>
                <w:b/>
                <w:sz w:val="18"/>
                <w:szCs w:val="18"/>
              </w:rPr>
            </w:pPr>
            <w:r w:rsidRPr="00A836C9">
              <w:rPr>
                <w:rFonts w:asciiTheme="minorHAnsi" w:hAnsiTheme="minorHAnsi"/>
                <w:b/>
                <w:sz w:val="18"/>
                <w:szCs w:val="18"/>
              </w:rPr>
              <w:t>Lp.</w:t>
            </w:r>
          </w:p>
        </w:tc>
        <w:tc>
          <w:tcPr>
            <w:tcW w:w="1995" w:type="dxa"/>
            <w:tcBorders>
              <w:bottom w:val="double" w:sz="4" w:space="0" w:color="auto"/>
            </w:tcBorders>
            <w:vAlign w:val="center"/>
          </w:tcPr>
          <w:p w:rsidR="009B7C43" w:rsidRPr="00A836C9" w:rsidRDefault="009B7C43" w:rsidP="00D11375">
            <w:pPr>
              <w:jc w:val="center"/>
              <w:rPr>
                <w:rFonts w:asciiTheme="minorHAnsi" w:hAnsiTheme="minorHAnsi"/>
                <w:b/>
                <w:sz w:val="18"/>
                <w:szCs w:val="18"/>
              </w:rPr>
            </w:pPr>
            <w:r w:rsidRPr="00A836C9">
              <w:rPr>
                <w:rFonts w:asciiTheme="minorHAnsi" w:hAnsiTheme="minorHAnsi"/>
                <w:b/>
                <w:sz w:val="18"/>
                <w:szCs w:val="18"/>
              </w:rPr>
              <w:t>Długość odcinka, km</w:t>
            </w:r>
          </w:p>
        </w:tc>
        <w:tc>
          <w:tcPr>
            <w:tcW w:w="2126" w:type="dxa"/>
            <w:tcBorders>
              <w:bottom w:val="double" w:sz="4" w:space="0" w:color="auto"/>
            </w:tcBorders>
            <w:vAlign w:val="center"/>
          </w:tcPr>
          <w:p w:rsidR="009B7C43" w:rsidRPr="00A836C9" w:rsidRDefault="009B7C43" w:rsidP="00D11375">
            <w:pPr>
              <w:jc w:val="center"/>
              <w:rPr>
                <w:rFonts w:asciiTheme="minorHAnsi" w:hAnsiTheme="minorHAnsi"/>
                <w:b/>
                <w:sz w:val="18"/>
                <w:szCs w:val="18"/>
              </w:rPr>
            </w:pPr>
            <w:r w:rsidRPr="00A836C9">
              <w:rPr>
                <w:rFonts w:asciiTheme="minorHAnsi" w:hAnsiTheme="minorHAnsi"/>
                <w:b/>
                <w:sz w:val="18"/>
                <w:szCs w:val="18"/>
              </w:rPr>
              <w:t>Częstotliwość pomiarów, co najmniej</w:t>
            </w:r>
          </w:p>
        </w:tc>
        <w:tc>
          <w:tcPr>
            <w:tcW w:w="1559" w:type="dxa"/>
            <w:tcBorders>
              <w:bottom w:val="double" w:sz="4" w:space="0" w:color="auto"/>
            </w:tcBorders>
            <w:vAlign w:val="center"/>
          </w:tcPr>
          <w:p w:rsidR="009B7C43" w:rsidRPr="00A836C9" w:rsidRDefault="009B7C43" w:rsidP="00D11375">
            <w:pPr>
              <w:jc w:val="center"/>
              <w:rPr>
                <w:rFonts w:asciiTheme="minorHAnsi" w:hAnsiTheme="minorHAnsi"/>
                <w:b/>
                <w:sz w:val="18"/>
                <w:szCs w:val="18"/>
              </w:rPr>
            </w:pPr>
            <w:r w:rsidRPr="00A836C9">
              <w:rPr>
                <w:rFonts w:asciiTheme="minorHAnsi" w:hAnsiTheme="minorHAnsi"/>
                <w:b/>
                <w:sz w:val="18"/>
                <w:szCs w:val="18"/>
              </w:rPr>
              <w:t>Minimalna ilość pomiarów</w:t>
            </w:r>
          </w:p>
        </w:tc>
      </w:tr>
      <w:tr w:rsidR="009B7C43" w:rsidRPr="00A836C9" w:rsidTr="00D11375">
        <w:trPr>
          <w:trHeight w:val="337"/>
        </w:trPr>
        <w:tc>
          <w:tcPr>
            <w:tcW w:w="567" w:type="dxa"/>
            <w:tcBorders>
              <w:top w:val="double" w:sz="4" w:space="0" w:color="auto"/>
            </w:tcBorders>
          </w:tcPr>
          <w:p w:rsidR="009B7C43" w:rsidRPr="00A836C9" w:rsidRDefault="009B7C43" w:rsidP="00D11375">
            <w:pPr>
              <w:jc w:val="center"/>
              <w:rPr>
                <w:rFonts w:asciiTheme="minorHAnsi" w:hAnsiTheme="minorHAnsi"/>
                <w:sz w:val="18"/>
                <w:szCs w:val="18"/>
              </w:rPr>
            </w:pPr>
            <w:r w:rsidRPr="00A836C9">
              <w:rPr>
                <w:rFonts w:asciiTheme="minorHAnsi" w:hAnsiTheme="minorHAnsi"/>
                <w:sz w:val="18"/>
                <w:szCs w:val="18"/>
              </w:rPr>
              <w:t>1</w:t>
            </w:r>
          </w:p>
        </w:tc>
        <w:tc>
          <w:tcPr>
            <w:tcW w:w="1995" w:type="dxa"/>
            <w:tcBorders>
              <w:top w:val="double" w:sz="4" w:space="0" w:color="auto"/>
            </w:tcBorders>
          </w:tcPr>
          <w:p w:rsidR="009B7C43" w:rsidRPr="00A836C9" w:rsidRDefault="009B7C43" w:rsidP="00D11375">
            <w:pPr>
              <w:jc w:val="center"/>
              <w:rPr>
                <w:rFonts w:asciiTheme="minorHAnsi" w:hAnsiTheme="minorHAnsi"/>
                <w:sz w:val="18"/>
                <w:szCs w:val="18"/>
              </w:rPr>
            </w:pPr>
            <w:r w:rsidRPr="00A836C9">
              <w:rPr>
                <w:rFonts w:asciiTheme="minorHAnsi" w:hAnsiTheme="minorHAnsi"/>
                <w:sz w:val="18"/>
                <w:szCs w:val="18"/>
              </w:rPr>
              <w:t>od 0 do 3</w:t>
            </w:r>
          </w:p>
        </w:tc>
        <w:tc>
          <w:tcPr>
            <w:tcW w:w="2126" w:type="dxa"/>
            <w:tcBorders>
              <w:top w:val="double" w:sz="4" w:space="0" w:color="auto"/>
            </w:tcBorders>
          </w:tcPr>
          <w:p w:rsidR="009B7C43" w:rsidRPr="00A836C9" w:rsidRDefault="009B7C43" w:rsidP="00D11375">
            <w:pPr>
              <w:jc w:val="center"/>
              <w:rPr>
                <w:rFonts w:asciiTheme="minorHAnsi" w:hAnsiTheme="minorHAnsi"/>
                <w:sz w:val="18"/>
                <w:szCs w:val="18"/>
              </w:rPr>
            </w:pPr>
            <w:r w:rsidRPr="00A836C9">
              <w:rPr>
                <w:rFonts w:asciiTheme="minorHAnsi" w:hAnsiTheme="minorHAnsi"/>
                <w:sz w:val="18"/>
                <w:szCs w:val="18"/>
              </w:rPr>
              <w:t xml:space="preserve">od 0,1 do </w:t>
            </w:r>
            <w:smartTag w:uri="urn:schemas-microsoft-com:office:smarttags" w:element="metricconverter">
              <w:smartTagPr>
                <w:attr w:name="ProductID" w:val="0,5 km"/>
              </w:smartTagPr>
              <w:r w:rsidRPr="00A836C9">
                <w:rPr>
                  <w:rFonts w:asciiTheme="minorHAnsi" w:hAnsiTheme="minorHAnsi"/>
                  <w:sz w:val="18"/>
                  <w:szCs w:val="18"/>
                </w:rPr>
                <w:t>0,5 km</w:t>
              </w:r>
            </w:smartTag>
          </w:p>
        </w:tc>
        <w:tc>
          <w:tcPr>
            <w:tcW w:w="1559" w:type="dxa"/>
            <w:tcBorders>
              <w:top w:val="double" w:sz="4" w:space="0" w:color="auto"/>
            </w:tcBorders>
          </w:tcPr>
          <w:p w:rsidR="009B7C43" w:rsidRPr="00A836C9" w:rsidRDefault="009B7C43" w:rsidP="00D11375">
            <w:pPr>
              <w:jc w:val="center"/>
              <w:rPr>
                <w:rFonts w:asciiTheme="minorHAnsi" w:hAnsiTheme="minorHAnsi"/>
                <w:sz w:val="18"/>
                <w:szCs w:val="18"/>
              </w:rPr>
            </w:pPr>
            <w:r w:rsidRPr="00A836C9">
              <w:rPr>
                <w:rFonts w:asciiTheme="minorHAnsi" w:hAnsiTheme="minorHAnsi"/>
                <w:sz w:val="18"/>
                <w:szCs w:val="18"/>
              </w:rPr>
              <w:t>3-6</w:t>
            </w:r>
          </w:p>
        </w:tc>
      </w:tr>
    </w:tbl>
    <w:p w:rsidR="009B7C43" w:rsidRPr="00A836C9" w:rsidRDefault="009B7C43" w:rsidP="009B7C43">
      <w:pPr>
        <w:ind w:left="709"/>
        <w:rPr>
          <w:rFonts w:asciiTheme="minorHAnsi" w:hAnsiTheme="minorHAnsi"/>
        </w:rPr>
      </w:pPr>
      <w:r w:rsidRPr="00A836C9">
        <w:rPr>
          <w:rFonts w:asciiTheme="minorHAnsi" w:hAnsiTheme="minorHAnsi"/>
        </w:rPr>
        <w:t>Wartość wskaźnika szorstkości zaleca się oznaczyć w 2 – 4 punktach oznakowania odcinka.</w:t>
      </w:r>
    </w:p>
    <w:p w:rsidR="009B7C43" w:rsidRPr="00A836C9" w:rsidRDefault="009B7C43" w:rsidP="009B7C43">
      <w:pPr>
        <w:rPr>
          <w:rFonts w:asciiTheme="minorHAnsi" w:hAnsiTheme="minorHAnsi"/>
        </w:rPr>
      </w:pPr>
    </w:p>
    <w:p w:rsidR="009B7C43" w:rsidRPr="00A836C9" w:rsidRDefault="009B7C43" w:rsidP="009B7C43">
      <w:pPr>
        <w:rPr>
          <w:rFonts w:asciiTheme="minorHAnsi" w:hAnsiTheme="minorHAnsi"/>
        </w:rPr>
      </w:pPr>
      <w:r w:rsidRPr="00A836C9">
        <w:rPr>
          <w:rFonts w:asciiTheme="minorHAnsi" w:hAnsiTheme="minorHAnsi"/>
          <w:b/>
        </w:rPr>
        <w:t>6.3.3.</w:t>
      </w:r>
      <w:r w:rsidRPr="00A836C9">
        <w:rPr>
          <w:rFonts w:asciiTheme="minorHAnsi" w:hAnsiTheme="minorHAnsi"/>
        </w:rPr>
        <w:t xml:space="preserve"> Badania wykonania oznakowania poziomego z zastosowaniem punktowych elementów odblaskowych</w:t>
      </w:r>
    </w:p>
    <w:p w:rsidR="009B7C43" w:rsidRPr="00A836C9" w:rsidRDefault="009B7C43" w:rsidP="009B7C43">
      <w:pPr>
        <w:rPr>
          <w:rFonts w:asciiTheme="minorHAnsi" w:hAnsiTheme="minorHAnsi"/>
        </w:rPr>
      </w:pPr>
      <w:r w:rsidRPr="00A836C9">
        <w:rPr>
          <w:rFonts w:asciiTheme="minorHAnsi" w:hAnsiTheme="minorHAnsi"/>
        </w:rPr>
        <w:tab/>
        <w:t>Wykonawca wykonując oznakowanie z prefabrykowanych elementów odblaskowych przeprowadza, co najmniej raz dziennie następujące badania:</w:t>
      </w:r>
    </w:p>
    <w:p w:rsidR="009B7C43" w:rsidRPr="00A836C9" w:rsidRDefault="009B7C43" w:rsidP="009B7C43">
      <w:pPr>
        <w:rPr>
          <w:rFonts w:asciiTheme="minorHAnsi" w:hAnsiTheme="minorHAnsi"/>
        </w:rPr>
      </w:pPr>
      <w:r>
        <w:rPr>
          <w:rFonts w:asciiTheme="minorHAnsi" w:hAnsiTheme="minorHAnsi"/>
        </w:rPr>
        <w:t>-</w:t>
      </w:r>
      <w:r w:rsidRPr="00A836C9">
        <w:rPr>
          <w:rFonts w:asciiTheme="minorHAnsi" w:hAnsiTheme="minorHAnsi"/>
        </w:rPr>
        <w:t>sprawdzenie oznakowania opakowań,</w:t>
      </w:r>
    </w:p>
    <w:p w:rsidR="009B7C43" w:rsidRPr="00A836C9" w:rsidRDefault="009B7C43" w:rsidP="009B7C43">
      <w:pPr>
        <w:rPr>
          <w:rFonts w:asciiTheme="minorHAnsi" w:hAnsiTheme="minorHAnsi"/>
        </w:rPr>
      </w:pPr>
      <w:r>
        <w:rPr>
          <w:rFonts w:asciiTheme="minorHAnsi" w:hAnsiTheme="minorHAnsi"/>
        </w:rPr>
        <w:t>-</w:t>
      </w:r>
      <w:r w:rsidRPr="00A836C9">
        <w:rPr>
          <w:rFonts w:asciiTheme="minorHAnsi" w:hAnsiTheme="minorHAnsi"/>
        </w:rPr>
        <w:t>sprawdzenie rodzaju stosowanego kleju lub innych elementów mocujących,</w:t>
      </w:r>
    </w:p>
    <w:p w:rsidR="009B7C43" w:rsidRPr="00A836C9" w:rsidRDefault="009B7C43" w:rsidP="009B7C43">
      <w:pPr>
        <w:rPr>
          <w:rFonts w:asciiTheme="minorHAnsi" w:hAnsiTheme="minorHAnsi"/>
        </w:rPr>
      </w:pPr>
      <w:r>
        <w:rPr>
          <w:rFonts w:asciiTheme="minorHAnsi" w:hAnsiTheme="minorHAnsi"/>
        </w:rPr>
        <w:t>-</w:t>
      </w:r>
      <w:r w:rsidRPr="00A836C9">
        <w:rPr>
          <w:rFonts w:asciiTheme="minorHAnsi" w:hAnsiTheme="minorHAnsi"/>
        </w:rPr>
        <w:t>wizualną ocenę stanu elementów, w zakresie ich kompletności i braku wad,</w:t>
      </w:r>
    </w:p>
    <w:p w:rsidR="009B7C43" w:rsidRPr="00A836C9" w:rsidRDefault="009B7C43" w:rsidP="009B7C43">
      <w:pPr>
        <w:rPr>
          <w:rFonts w:asciiTheme="minorHAnsi" w:hAnsiTheme="minorHAnsi"/>
        </w:rPr>
      </w:pPr>
      <w:r>
        <w:rPr>
          <w:rFonts w:asciiTheme="minorHAnsi" w:hAnsiTheme="minorHAnsi"/>
        </w:rPr>
        <w:t>-</w:t>
      </w:r>
      <w:r w:rsidRPr="00A836C9">
        <w:rPr>
          <w:rFonts w:asciiTheme="minorHAnsi" w:hAnsiTheme="minorHAnsi"/>
        </w:rPr>
        <w:t>temperatury powietrza i nawierzchni,</w:t>
      </w:r>
    </w:p>
    <w:p w:rsidR="009B7C43" w:rsidRPr="00A836C9" w:rsidRDefault="009B7C43" w:rsidP="009B7C43">
      <w:pPr>
        <w:rPr>
          <w:rFonts w:asciiTheme="minorHAnsi" w:hAnsiTheme="minorHAnsi"/>
        </w:rPr>
      </w:pPr>
      <w:r>
        <w:rPr>
          <w:rFonts w:asciiTheme="minorHAnsi" w:hAnsiTheme="minorHAnsi"/>
        </w:rPr>
        <w:t>-</w:t>
      </w:r>
      <w:r w:rsidRPr="00A836C9">
        <w:rPr>
          <w:rFonts w:asciiTheme="minorHAnsi" w:hAnsiTheme="minorHAnsi"/>
        </w:rPr>
        <w:t>pomiaru czasu oddania do ruchu,</w:t>
      </w:r>
    </w:p>
    <w:p w:rsidR="009B7C43" w:rsidRPr="00A836C9" w:rsidRDefault="009B7C43" w:rsidP="009B7C43">
      <w:pPr>
        <w:rPr>
          <w:rFonts w:asciiTheme="minorHAnsi" w:hAnsiTheme="minorHAnsi"/>
        </w:rPr>
      </w:pPr>
      <w:r>
        <w:rPr>
          <w:rFonts w:asciiTheme="minorHAnsi" w:hAnsiTheme="minorHAnsi"/>
        </w:rPr>
        <w:t>-</w:t>
      </w:r>
      <w:r w:rsidRPr="00A836C9">
        <w:rPr>
          <w:rFonts w:asciiTheme="minorHAnsi" w:hAnsiTheme="minorHAnsi"/>
        </w:rPr>
        <w:t>wizualną ocenę liniowości i kierunkowości przyklejenia elementów,</w:t>
      </w:r>
    </w:p>
    <w:p w:rsidR="009B7C43" w:rsidRPr="00A836C9" w:rsidRDefault="009B7C43" w:rsidP="009B7C43">
      <w:pPr>
        <w:rPr>
          <w:rFonts w:asciiTheme="minorHAnsi" w:hAnsiTheme="minorHAnsi"/>
        </w:rPr>
      </w:pPr>
      <w:r>
        <w:rPr>
          <w:rFonts w:asciiTheme="minorHAnsi" w:hAnsiTheme="minorHAnsi"/>
        </w:rPr>
        <w:t>-</w:t>
      </w:r>
      <w:r w:rsidRPr="00A836C9">
        <w:rPr>
          <w:rFonts w:asciiTheme="minorHAnsi" w:hAnsiTheme="minorHAnsi"/>
        </w:rPr>
        <w:t>równomierności przyklejenia elementów na całej długości linii,</w:t>
      </w:r>
    </w:p>
    <w:p w:rsidR="009B7C43" w:rsidRPr="00A836C9" w:rsidRDefault="009B7C43" w:rsidP="009B7C43">
      <w:pPr>
        <w:rPr>
          <w:rFonts w:asciiTheme="minorHAnsi" w:hAnsiTheme="minorHAnsi"/>
        </w:rPr>
      </w:pPr>
      <w:r>
        <w:rPr>
          <w:rFonts w:asciiTheme="minorHAnsi" w:hAnsiTheme="minorHAnsi"/>
        </w:rPr>
        <w:t>-</w:t>
      </w:r>
      <w:r w:rsidRPr="00A836C9">
        <w:rPr>
          <w:rFonts w:asciiTheme="minorHAnsi" w:hAnsiTheme="minorHAnsi"/>
        </w:rPr>
        <w:t>zgodności wykonania oznakowania z dokumentacja projektową i załącznikiem nr 2 do rozporządzenia Ministra Infrastruktury z 3 lipca 2003 r.</w:t>
      </w:r>
    </w:p>
    <w:p w:rsidR="009B7C43" w:rsidRPr="00A836C9" w:rsidRDefault="009B7C43" w:rsidP="009B7C43">
      <w:pPr>
        <w:rPr>
          <w:rFonts w:asciiTheme="minorHAnsi" w:hAnsiTheme="minorHAnsi"/>
        </w:rPr>
      </w:pPr>
      <w:r w:rsidRPr="00A836C9">
        <w:rPr>
          <w:rFonts w:asciiTheme="minorHAnsi" w:hAnsiTheme="minorHAnsi"/>
        </w:rPr>
        <w:t>Protokół z przeprowadzonych badań wraz z próbkami przyklejonych elementów, w liczbie określonej w ST, Wykonawca przechowuje do czasu upływu okresu gwarancji.</w:t>
      </w:r>
    </w:p>
    <w:p w:rsidR="009B7C43" w:rsidRPr="00A836C9" w:rsidRDefault="009B7C43" w:rsidP="009B7C43">
      <w:pPr>
        <w:rPr>
          <w:rFonts w:asciiTheme="minorHAnsi" w:hAnsiTheme="minorHAnsi"/>
        </w:rPr>
      </w:pPr>
      <w:r w:rsidRPr="00A836C9">
        <w:rPr>
          <w:rFonts w:asciiTheme="minorHAnsi" w:hAnsiTheme="minorHAnsi"/>
        </w:rPr>
        <w:tab/>
        <w:t>W przypadku wątpliwości dotyczących wykonania oznakowania poziomego Inżynier może zlecić wykonanie badań widzialności w nocy, na próbkach zdjętych z nawierzchni i dostarczonych do laboratorium, na zgodność z wymaganiami podanymi w ST lub aprobacie technicznej, wykonanych według metod określonych w PN-EN 1463-1 lub w Warunkach technicznych POD-97 lub POD-2006 (po wydaniu). Jeśli wyniki tych badań wykażą wadliwość wykonanego oznakowania to koszt badań ponosi Wykonawca, w przypadku przeciwnym - Zamawiający.</w:t>
      </w:r>
    </w:p>
    <w:p w:rsidR="009B7C43" w:rsidRPr="00A836C9" w:rsidRDefault="009B7C43" w:rsidP="009B7C43">
      <w:pPr>
        <w:rPr>
          <w:rFonts w:asciiTheme="minorHAnsi" w:hAnsiTheme="minorHAnsi"/>
        </w:rPr>
      </w:pPr>
      <w:r w:rsidRPr="00A836C9">
        <w:rPr>
          <w:rFonts w:asciiTheme="minorHAnsi" w:hAnsiTheme="minorHAnsi"/>
          <w:b/>
        </w:rPr>
        <w:t>6.3.4.</w:t>
      </w:r>
      <w:r w:rsidRPr="00A836C9">
        <w:rPr>
          <w:rFonts w:asciiTheme="minorHAnsi" w:hAnsiTheme="minorHAnsi"/>
        </w:rPr>
        <w:t xml:space="preserve"> Zbiorcze zestawienie wymagań dla materiałów i oznakowań</w:t>
      </w:r>
    </w:p>
    <w:p w:rsidR="009B7C43" w:rsidRPr="00A836C9" w:rsidRDefault="009B7C43" w:rsidP="009B7C43">
      <w:pPr>
        <w:rPr>
          <w:rFonts w:asciiTheme="minorHAnsi" w:hAnsiTheme="minorHAnsi"/>
        </w:rPr>
      </w:pPr>
      <w:r w:rsidRPr="00A836C9">
        <w:rPr>
          <w:rFonts w:asciiTheme="minorHAnsi" w:hAnsiTheme="minorHAnsi"/>
        </w:rPr>
        <w:tab/>
        <w:t>W tablicy 4 podano zbiorcze zestawienie dla oznakowań na pozostałych drogach.</w:t>
      </w:r>
    </w:p>
    <w:p w:rsidR="009B7C43" w:rsidRDefault="009B7C43" w:rsidP="009B7C43">
      <w:pPr>
        <w:rPr>
          <w:rFonts w:asciiTheme="minorHAnsi" w:hAnsiTheme="minorHAnsi"/>
        </w:rPr>
      </w:pPr>
    </w:p>
    <w:p w:rsidR="009B7C43" w:rsidRDefault="009B7C43" w:rsidP="009B7C43">
      <w:pPr>
        <w:rPr>
          <w:rFonts w:asciiTheme="minorHAnsi" w:hAnsiTheme="minorHAnsi"/>
        </w:rPr>
      </w:pPr>
    </w:p>
    <w:p w:rsidR="000C27BF" w:rsidRDefault="000C27BF" w:rsidP="009B7C43">
      <w:pPr>
        <w:rPr>
          <w:rFonts w:asciiTheme="minorHAnsi" w:hAnsiTheme="minorHAnsi"/>
        </w:rPr>
      </w:pPr>
    </w:p>
    <w:p w:rsidR="000C27BF" w:rsidRDefault="000C27BF" w:rsidP="009B7C43">
      <w:pPr>
        <w:rPr>
          <w:rFonts w:asciiTheme="minorHAnsi" w:hAnsiTheme="minorHAnsi"/>
        </w:rPr>
      </w:pPr>
    </w:p>
    <w:p w:rsidR="00F040CD" w:rsidRDefault="00F040CD" w:rsidP="009B7C43">
      <w:pPr>
        <w:rPr>
          <w:rFonts w:asciiTheme="minorHAnsi" w:hAnsiTheme="minorHAnsi"/>
        </w:rPr>
      </w:pPr>
    </w:p>
    <w:p w:rsidR="000C27BF" w:rsidRDefault="000C27BF" w:rsidP="009B7C43">
      <w:pPr>
        <w:rPr>
          <w:rFonts w:asciiTheme="minorHAnsi" w:hAnsiTheme="minorHAnsi"/>
        </w:rPr>
      </w:pPr>
    </w:p>
    <w:p w:rsidR="009B7C43" w:rsidRPr="00A836C9" w:rsidRDefault="009B7C43" w:rsidP="009B7C43">
      <w:pPr>
        <w:rPr>
          <w:rFonts w:asciiTheme="minorHAnsi" w:hAnsiTheme="minorHAnsi"/>
        </w:rPr>
      </w:pPr>
    </w:p>
    <w:p w:rsidR="009B7C43" w:rsidRPr="00A836C9" w:rsidRDefault="009B7C43" w:rsidP="009B7C43">
      <w:pPr>
        <w:ind w:left="709"/>
        <w:rPr>
          <w:rFonts w:asciiTheme="minorHAnsi" w:hAnsiTheme="minorHAnsi"/>
        </w:rPr>
      </w:pPr>
      <w:r w:rsidRPr="00A836C9">
        <w:rPr>
          <w:rFonts w:asciiTheme="minorHAnsi" w:hAnsiTheme="minorHAnsi"/>
        </w:rPr>
        <w:lastRenderedPageBreak/>
        <w:t>Tablica 3.   Zbiorcze zestawienie wymagań dla materiałów</w:t>
      </w:r>
    </w:p>
    <w:tbl>
      <w:tblPr>
        <w:tblW w:w="7511" w:type="dxa"/>
        <w:tblInd w:w="77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tblPr>
      <w:tblGrid>
        <w:gridCol w:w="496"/>
        <w:gridCol w:w="3685"/>
        <w:gridCol w:w="1134"/>
        <w:gridCol w:w="2196"/>
      </w:tblGrid>
      <w:tr w:rsidR="009B7C43" w:rsidRPr="00A836C9" w:rsidTr="00D11375">
        <w:trPr>
          <w:tblHeader/>
        </w:trPr>
        <w:tc>
          <w:tcPr>
            <w:tcW w:w="496" w:type="dxa"/>
            <w:tcBorders>
              <w:bottom w:val="double" w:sz="4" w:space="0" w:color="auto"/>
            </w:tcBorders>
          </w:tcPr>
          <w:p w:rsidR="009B7C43" w:rsidRPr="00A836C9" w:rsidRDefault="009B7C43" w:rsidP="00D11375">
            <w:pPr>
              <w:jc w:val="center"/>
              <w:rPr>
                <w:rFonts w:asciiTheme="minorHAnsi" w:hAnsiTheme="minorHAnsi"/>
                <w:b/>
                <w:sz w:val="18"/>
                <w:szCs w:val="18"/>
              </w:rPr>
            </w:pPr>
            <w:r w:rsidRPr="00A836C9">
              <w:rPr>
                <w:rFonts w:asciiTheme="minorHAnsi" w:hAnsiTheme="minorHAnsi"/>
                <w:b/>
                <w:sz w:val="18"/>
                <w:szCs w:val="18"/>
              </w:rPr>
              <w:t>Lp.</w:t>
            </w:r>
          </w:p>
        </w:tc>
        <w:tc>
          <w:tcPr>
            <w:tcW w:w="3685" w:type="dxa"/>
            <w:tcBorders>
              <w:bottom w:val="double" w:sz="4" w:space="0" w:color="auto"/>
            </w:tcBorders>
          </w:tcPr>
          <w:p w:rsidR="009B7C43" w:rsidRPr="00A836C9" w:rsidRDefault="009B7C43" w:rsidP="00D11375">
            <w:pPr>
              <w:jc w:val="center"/>
              <w:rPr>
                <w:rFonts w:asciiTheme="minorHAnsi" w:hAnsiTheme="minorHAnsi"/>
                <w:b/>
                <w:sz w:val="18"/>
                <w:szCs w:val="18"/>
              </w:rPr>
            </w:pPr>
            <w:r w:rsidRPr="00A836C9">
              <w:rPr>
                <w:rFonts w:asciiTheme="minorHAnsi" w:hAnsiTheme="minorHAnsi"/>
                <w:b/>
                <w:sz w:val="18"/>
                <w:szCs w:val="18"/>
              </w:rPr>
              <w:t>Właściwość</w:t>
            </w:r>
          </w:p>
        </w:tc>
        <w:tc>
          <w:tcPr>
            <w:tcW w:w="1134" w:type="dxa"/>
            <w:tcBorders>
              <w:bottom w:val="double" w:sz="4" w:space="0" w:color="auto"/>
            </w:tcBorders>
          </w:tcPr>
          <w:p w:rsidR="009B7C43" w:rsidRPr="00A836C9" w:rsidRDefault="009B7C43" w:rsidP="00D11375">
            <w:pPr>
              <w:jc w:val="center"/>
              <w:rPr>
                <w:rFonts w:asciiTheme="minorHAnsi" w:hAnsiTheme="minorHAnsi"/>
                <w:b/>
                <w:sz w:val="18"/>
                <w:szCs w:val="18"/>
              </w:rPr>
            </w:pPr>
            <w:r w:rsidRPr="00A836C9">
              <w:rPr>
                <w:rFonts w:asciiTheme="minorHAnsi" w:hAnsiTheme="minorHAnsi"/>
                <w:b/>
                <w:sz w:val="18"/>
                <w:szCs w:val="18"/>
              </w:rPr>
              <w:t>Jednostka</w:t>
            </w:r>
          </w:p>
        </w:tc>
        <w:tc>
          <w:tcPr>
            <w:tcW w:w="2196" w:type="dxa"/>
            <w:tcBorders>
              <w:bottom w:val="double" w:sz="4" w:space="0" w:color="auto"/>
            </w:tcBorders>
          </w:tcPr>
          <w:p w:rsidR="009B7C43" w:rsidRPr="00A836C9" w:rsidRDefault="009B7C43" w:rsidP="00D11375">
            <w:pPr>
              <w:jc w:val="center"/>
              <w:rPr>
                <w:rFonts w:asciiTheme="minorHAnsi" w:hAnsiTheme="minorHAnsi"/>
                <w:b/>
                <w:sz w:val="18"/>
                <w:szCs w:val="18"/>
              </w:rPr>
            </w:pPr>
            <w:r w:rsidRPr="00A836C9">
              <w:rPr>
                <w:rFonts w:asciiTheme="minorHAnsi" w:hAnsiTheme="minorHAnsi"/>
                <w:b/>
                <w:sz w:val="18"/>
                <w:szCs w:val="18"/>
              </w:rPr>
              <w:t>Wymagania</w:t>
            </w:r>
          </w:p>
        </w:tc>
      </w:tr>
      <w:tr w:rsidR="009B7C43" w:rsidRPr="00A836C9" w:rsidTr="00D11375">
        <w:tc>
          <w:tcPr>
            <w:tcW w:w="496" w:type="dxa"/>
            <w:tcBorders>
              <w:top w:val="double" w:sz="4" w:space="0" w:color="auto"/>
            </w:tcBorders>
          </w:tcPr>
          <w:p w:rsidR="009B7C43" w:rsidRPr="00A836C9" w:rsidRDefault="009B7C43" w:rsidP="00D11375">
            <w:pPr>
              <w:jc w:val="center"/>
              <w:rPr>
                <w:rFonts w:asciiTheme="minorHAnsi" w:hAnsiTheme="minorHAnsi"/>
                <w:sz w:val="18"/>
                <w:szCs w:val="18"/>
              </w:rPr>
            </w:pPr>
          </w:p>
        </w:tc>
        <w:tc>
          <w:tcPr>
            <w:tcW w:w="3685" w:type="dxa"/>
            <w:tcBorders>
              <w:top w:val="double" w:sz="4" w:space="0" w:color="auto"/>
            </w:tcBorders>
          </w:tcPr>
          <w:p w:rsidR="009B7C43" w:rsidRPr="00A836C9" w:rsidRDefault="009B7C43" w:rsidP="00D11375">
            <w:pPr>
              <w:jc w:val="center"/>
              <w:rPr>
                <w:rFonts w:asciiTheme="minorHAnsi" w:hAnsiTheme="minorHAnsi"/>
                <w:sz w:val="18"/>
                <w:szCs w:val="18"/>
              </w:rPr>
            </w:pPr>
            <w:r w:rsidRPr="00A836C9">
              <w:rPr>
                <w:rFonts w:asciiTheme="minorHAnsi" w:hAnsiTheme="minorHAnsi"/>
                <w:sz w:val="18"/>
                <w:szCs w:val="18"/>
              </w:rPr>
              <w:t>Zawartość składników lotnych w materiałach do znakowania</w:t>
            </w:r>
          </w:p>
          <w:p w:rsidR="009B7C43" w:rsidRPr="00A836C9" w:rsidRDefault="009B7C43" w:rsidP="00D11375">
            <w:pPr>
              <w:jc w:val="center"/>
              <w:rPr>
                <w:rFonts w:asciiTheme="minorHAnsi" w:hAnsiTheme="minorHAnsi"/>
                <w:sz w:val="18"/>
                <w:szCs w:val="18"/>
              </w:rPr>
            </w:pPr>
            <w:r w:rsidRPr="00A836C9">
              <w:rPr>
                <w:rFonts w:asciiTheme="minorHAnsi" w:hAnsiTheme="minorHAnsi"/>
                <w:sz w:val="18"/>
                <w:szCs w:val="18"/>
              </w:rPr>
              <w:t>rozpuszczalników organicznych</w:t>
            </w:r>
          </w:p>
          <w:p w:rsidR="009B7C43" w:rsidRPr="00A836C9" w:rsidRDefault="009B7C43" w:rsidP="00D11375">
            <w:pPr>
              <w:jc w:val="center"/>
              <w:rPr>
                <w:rFonts w:asciiTheme="minorHAnsi" w:hAnsiTheme="minorHAnsi"/>
                <w:sz w:val="18"/>
                <w:szCs w:val="18"/>
              </w:rPr>
            </w:pPr>
            <w:r w:rsidRPr="00A836C9">
              <w:rPr>
                <w:rFonts w:asciiTheme="minorHAnsi" w:hAnsiTheme="minorHAnsi"/>
                <w:sz w:val="18"/>
                <w:szCs w:val="18"/>
              </w:rPr>
              <w:t>rozpuszczalników aromatycznych</w:t>
            </w:r>
          </w:p>
          <w:p w:rsidR="009B7C43" w:rsidRPr="00A836C9" w:rsidRDefault="009B7C43" w:rsidP="00D11375">
            <w:pPr>
              <w:jc w:val="center"/>
              <w:rPr>
                <w:rFonts w:asciiTheme="minorHAnsi" w:hAnsiTheme="minorHAnsi"/>
                <w:sz w:val="18"/>
                <w:szCs w:val="18"/>
              </w:rPr>
            </w:pPr>
            <w:r w:rsidRPr="00A836C9">
              <w:rPr>
                <w:rFonts w:asciiTheme="minorHAnsi" w:hAnsiTheme="minorHAnsi"/>
                <w:sz w:val="18"/>
                <w:szCs w:val="18"/>
              </w:rPr>
              <w:t>benzenu i rozpuszczalników chlorowanych</w:t>
            </w:r>
          </w:p>
        </w:tc>
        <w:tc>
          <w:tcPr>
            <w:tcW w:w="1134" w:type="dxa"/>
            <w:tcBorders>
              <w:top w:val="double" w:sz="4" w:space="0" w:color="auto"/>
            </w:tcBorders>
          </w:tcPr>
          <w:p w:rsidR="009B7C43" w:rsidRPr="00A836C9" w:rsidRDefault="009B7C43" w:rsidP="00D11375">
            <w:pPr>
              <w:jc w:val="center"/>
              <w:rPr>
                <w:rFonts w:asciiTheme="minorHAnsi" w:hAnsiTheme="minorHAnsi"/>
                <w:sz w:val="18"/>
                <w:szCs w:val="18"/>
              </w:rPr>
            </w:pPr>
          </w:p>
          <w:p w:rsidR="009B7C43" w:rsidRPr="00A836C9" w:rsidRDefault="009B7C43" w:rsidP="00D11375">
            <w:pPr>
              <w:jc w:val="center"/>
              <w:rPr>
                <w:rFonts w:asciiTheme="minorHAnsi" w:hAnsiTheme="minorHAnsi"/>
                <w:sz w:val="18"/>
                <w:szCs w:val="18"/>
              </w:rPr>
            </w:pPr>
          </w:p>
          <w:p w:rsidR="009B7C43" w:rsidRPr="00A836C9" w:rsidRDefault="009B7C43" w:rsidP="00D11375">
            <w:pPr>
              <w:jc w:val="center"/>
              <w:rPr>
                <w:rFonts w:asciiTheme="minorHAnsi" w:hAnsiTheme="minorHAnsi"/>
                <w:sz w:val="18"/>
                <w:szCs w:val="18"/>
              </w:rPr>
            </w:pPr>
            <w:r w:rsidRPr="00A836C9">
              <w:rPr>
                <w:rFonts w:asciiTheme="minorHAnsi" w:hAnsiTheme="minorHAnsi"/>
                <w:sz w:val="18"/>
                <w:szCs w:val="18"/>
              </w:rPr>
              <w:t>% (m/m)</w:t>
            </w:r>
          </w:p>
          <w:p w:rsidR="009B7C43" w:rsidRPr="00A836C9" w:rsidRDefault="009B7C43" w:rsidP="00D11375">
            <w:pPr>
              <w:jc w:val="center"/>
              <w:rPr>
                <w:rFonts w:asciiTheme="minorHAnsi" w:hAnsiTheme="minorHAnsi"/>
                <w:sz w:val="18"/>
                <w:szCs w:val="18"/>
              </w:rPr>
            </w:pPr>
            <w:r w:rsidRPr="00A836C9">
              <w:rPr>
                <w:rFonts w:asciiTheme="minorHAnsi" w:hAnsiTheme="minorHAnsi"/>
                <w:sz w:val="18"/>
                <w:szCs w:val="18"/>
              </w:rPr>
              <w:t>% (m/m)</w:t>
            </w:r>
          </w:p>
          <w:p w:rsidR="009B7C43" w:rsidRPr="00A836C9" w:rsidRDefault="009B7C43" w:rsidP="00D11375">
            <w:pPr>
              <w:jc w:val="center"/>
              <w:rPr>
                <w:rFonts w:asciiTheme="minorHAnsi" w:hAnsiTheme="minorHAnsi"/>
                <w:sz w:val="18"/>
                <w:szCs w:val="18"/>
              </w:rPr>
            </w:pPr>
          </w:p>
          <w:p w:rsidR="009B7C43" w:rsidRPr="00A836C9" w:rsidRDefault="009B7C43" w:rsidP="00D11375">
            <w:pPr>
              <w:jc w:val="center"/>
              <w:rPr>
                <w:rFonts w:asciiTheme="minorHAnsi" w:hAnsiTheme="minorHAnsi"/>
                <w:sz w:val="18"/>
                <w:szCs w:val="18"/>
              </w:rPr>
            </w:pPr>
            <w:r w:rsidRPr="00A836C9">
              <w:rPr>
                <w:rFonts w:asciiTheme="minorHAnsi" w:hAnsiTheme="minorHAnsi"/>
                <w:sz w:val="18"/>
                <w:szCs w:val="18"/>
              </w:rPr>
              <w:t>% (m/m)</w:t>
            </w:r>
          </w:p>
        </w:tc>
        <w:tc>
          <w:tcPr>
            <w:tcW w:w="2196" w:type="dxa"/>
            <w:tcBorders>
              <w:top w:val="double" w:sz="4" w:space="0" w:color="auto"/>
            </w:tcBorders>
          </w:tcPr>
          <w:p w:rsidR="009B7C43" w:rsidRPr="00A836C9" w:rsidRDefault="009B7C43" w:rsidP="00D11375">
            <w:pPr>
              <w:jc w:val="center"/>
              <w:rPr>
                <w:rFonts w:asciiTheme="minorHAnsi" w:hAnsiTheme="minorHAnsi"/>
                <w:sz w:val="18"/>
                <w:szCs w:val="18"/>
              </w:rPr>
            </w:pPr>
          </w:p>
          <w:p w:rsidR="009B7C43" w:rsidRPr="00A836C9" w:rsidRDefault="009B7C43" w:rsidP="00D11375">
            <w:pPr>
              <w:jc w:val="center"/>
              <w:rPr>
                <w:rFonts w:asciiTheme="minorHAnsi" w:hAnsiTheme="minorHAnsi"/>
                <w:sz w:val="18"/>
                <w:szCs w:val="18"/>
              </w:rPr>
            </w:pPr>
          </w:p>
          <w:p w:rsidR="009B7C43" w:rsidRPr="00A836C9" w:rsidRDefault="009B7C43" w:rsidP="00D11375">
            <w:pPr>
              <w:jc w:val="center"/>
              <w:rPr>
                <w:rFonts w:asciiTheme="minorHAnsi" w:hAnsiTheme="minorHAnsi"/>
                <w:sz w:val="18"/>
                <w:szCs w:val="18"/>
              </w:rPr>
            </w:pPr>
            <w:r w:rsidRPr="00A836C9">
              <w:rPr>
                <w:rFonts w:asciiTheme="minorHAnsi" w:hAnsiTheme="minorHAnsi"/>
                <w:sz w:val="18"/>
                <w:szCs w:val="18"/>
              </w:rPr>
              <w:sym w:font="Symbol" w:char="F0A3"/>
            </w:r>
            <w:r w:rsidRPr="00A836C9">
              <w:rPr>
                <w:rFonts w:asciiTheme="minorHAnsi" w:hAnsiTheme="minorHAnsi"/>
                <w:sz w:val="18"/>
                <w:szCs w:val="18"/>
              </w:rPr>
              <w:t xml:space="preserve"> 25</w:t>
            </w:r>
          </w:p>
          <w:p w:rsidR="009B7C43" w:rsidRPr="00A836C9" w:rsidRDefault="009B7C43" w:rsidP="00D11375">
            <w:pPr>
              <w:jc w:val="center"/>
              <w:rPr>
                <w:rFonts w:asciiTheme="minorHAnsi" w:hAnsiTheme="minorHAnsi"/>
                <w:sz w:val="18"/>
                <w:szCs w:val="18"/>
              </w:rPr>
            </w:pPr>
            <w:r w:rsidRPr="00A836C9">
              <w:rPr>
                <w:rFonts w:asciiTheme="minorHAnsi" w:hAnsiTheme="minorHAnsi"/>
                <w:sz w:val="18"/>
                <w:szCs w:val="18"/>
              </w:rPr>
              <w:sym w:font="Symbol" w:char="F0A3"/>
            </w:r>
            <w:r w:rsidRPr="00A836C9">
              <w:rPr>
                <w:rFonts w:asciiTheme="minorHAnsi" w:hAnsiTheme="minorHAnsi"/>
                <w:sz w:val="18"/>
                <w:szCs w:val="18"/>
              </w:rPr>
              <w:t xml:space="preserve"> 8</w:t>
            </w:r>
          </w:p>
          <w:p w:rsidR="009B7C43" w:rsidRPr="00A836C9" w:rsidRDefault="009B7C43" w:rsidP="00D11375">
            <w:pPr>
              <w:jc w:val="center"/>
              <w:rPr>
                <w:rFonts w:asciiTheme="minorHAnsi" w:hAnsiTheme="minorHAnsi"/>
                <w:sz w:val="18"/>
                <w:szCs w:val="18"/>
              </w:rPr>
            </w:pPr>
          </w:p>
          <w:p w:rsidR="009B7C43" w:rsidRPr="00A836C9" w:rsidRDefault="009B7C43" w:rsidP="00D11375">
            <w:pPr>
              <w:jc w:val="center"/>
              <w:rPr>
                <w:rFonts w:asciiTheme="minorHAnsi" w:hAnsiTheme="minorHAnsi"/>
                <w:sz w:val="18"/>
                <w:szCs w:val="18"/>
              </w:rPr>
            </w:pPr>
            <w:r w:rsidRPr="00A836C9">
              <w:rPr>
                <w:rFonts w:asciiTheme="minorHAnsi" w:hAnsiTheme="minorHAnsi"/>
                <w:sz w:val="18"/>
                <w:szCs w:val="18"/>
              </w:rPr>
              <w:t>0</w:t>
            </w:r>
          </w:p>
        </w:tc>
      </w:tr>
      <w:tr w:rsidR="009B7C43" w:rsidRPr="00A836C9" w:rsidTr="00D11375">
        <w:tc>
          <w:tcPr>
            <w:tcW w:w="496" w:type="dxa"/>
          </w:tcPr>
          <w:p w:rsidR="009B7C43" w:rsidRPr="00A836C9" w:rsidRDefault="009B7C43" w:rsidP="00D11375">
            <w:pPr>
              <w:jc w:val="center"/>
              <w:rPr>
                <w:rFonts w:asciiTheme="minorHAnsi" w:hAnsiTheme="minorHAnsi"/>
                <w:sz w:val="18"/>
                <w:szCs w:val="18"/>
              </w:rPr>
            </w:pPr>
          </w:p>
        </w:tc>
        <w:tc>
          <w:tcPr>
            <w:tcW w:w="3685" w:type="dxa"/>
          </w:tcPr>
          <w:p w:rsidR="009B7C43" w:rsidRPr="00A836C9" w:rsidRDefault="009B7C43" w:rsidP="00D11375">
            <w:pPr>
              <w:jc w:val="center"/>
              <w:rPr>
                <w:rFonts w:asciiTheme="minorHAnsi" w:hAnsiTheme="minorHAnsi"/>
                <w:sz w:val="18"/>
                <w:szCs w:val="18"/>
              </w:rPr>
            </w:pPr>
            <w:r w:rsidRPr="00A836C9">
              <w:rPr>
                <w:rFonts w:asciiTheme="minorHAnsi" w:hAnsiTheme="minorHAnsi"/>
                <w:sz w:val="18"/>
                <w:szCs w:val="18"/>
              </w:rPr>
              <w:t>Właściwości kulek szklanych</w:t>
            </w:r>
          </w:p>
          <w:p w:rsidR="009B7C43" w:rsidRPr="00A836C9" w:rsidRDefault="009B7C43" w:rsidP="00D11375">
            <w:pPr>
              <w:jc w:val="center"/>
              <w:rPr>
                <w:rFonts w:asciiTheme="minorHAnsi" w:hAnsiTheme="minorHAnsi"/>
                <w:sz w:val="18"/>
                <w:szCs w:val="18"/>
              </w:rPr>
            </w:pPr>
            <w:r w:rsidRPr="00A836C9">
              <w:rPr>
                <w:rFonts w:asciiTheme="minorHAnsi" w:hAnsiTheme="minorHAnsi"/>
                <w:sz w:val="18"/>
                <w:szCs w:val="18"/>
              </w:rPr>
              <w:t>współczynnik załamania światła</w:t>
            </w:r>
          </w:p>
          <w:p w:rsidR="009B7C43" w:rsidRPr="00A836C9" w:rsidRDefault="009B7C43" w:rsidP="00D11375">
            <w:pPr>
              <w:jc w:val="center"/>
              <w:rPr>
                <w:rFonts w:asciiTheme="minorHAnsi" w:hAnsiTheme="minorHAnsi"/>
                <w:sz w:val="18"/>
                <w:szCs w:val="18"/>
              </w:rPr>
            </w:pPr>
            <w:r w:rsidRPr="00A836C9">
              <w:rPr>
                <w:rFonts w:asciiTheme="minorHAnsi" w:hAnsiTheme="minorHAnsi"/>
                <w:sz w:val="18"/>
                <w:szCs w:val="18"/>
              </w:rPr>
              <w:t>zawartość kulek z defektami</w:t>
            </w:r>
          </w:p>
        </w:tc>
        <w:tc>
          <w:tcPr>
            <w:tcW w:w="1134" w:type="dxa"/>
          </w:tcPr>
          <w:p w:rsidR="009B7C43" w:rsidRPr="00A836C9" w:rsidRDefault="009B7C43" w:rsidP="00D11375">
            <w:pPr>
              <w:jc w:val="center"/>
              <w:rPr>
                <w:rFonts w:asciiTheme="minorHAnsi" w:hAnsiTheme="minorHAnsi"/>
                <w:sz w:val="18"/>
                <w:szCs w:val="18"/>
              </w:rPr>
            </w:pPr>
          </w:p>
          <w:p w:rsidR="009B7C43" w:rsidRPr="00A836C9" w:rsidRDefault="009B7C43" w:rsidP="00D11375">
            <w:pPr>
              <w:jc w:val="center"/>
              <w:rPr>
                <w:rFonts w:asciiTheme="minorHAnsi" w:hAnsiTheme="minorHAnsi"/>
                <w:sz w:val="18"/>
                <w:szCs w:val="18"/>
              </w:rPr>
            </w:pPr>
            <w:r w:rsidRPr="00A836C9">
              <w:rPr>
                <w:rFonts w:asciiTheme="minorHAnsi" w:hAnsiTheme="minorHAnsi"/>
                <w:sz w:val="18"/>
                <w:szCs w:val="18"/>
              </w:rPr>
              <w:t>-</w:t>
            </w:r>
          </w:p>
          <w:p w:rsidR="009B7C43" w:rsidRPr="00A836C9" w:rsidRDefault="009B7C43" w:rsidP="00D11375">
            <w:pPr>
              <w:jc w:val="center"/>
              <w:rPr>
                <w:rFonts w:asciiTheme="minorHAnsi" w:hAnsiTheme="minorHAnsi"/>
                <w:sz w:val="18"/>
                <w:szCs w:val="18"/>
              </w:rPr>
            </w:pPr>
            <w:r w:rsidRPr="00A836C9">
              <w:rPr>
                <w:rFonts w:asciiTheme="minorHAnsi" w:hAnsiTheme="minorHAnsi"/>
                <w:sz w:val="18"/>
                <w:szCs w:val="18"/>
              </w:rPr>
              <w:t>%</w:t>
            </w:r>
          </w:p>
        </w:tc>
        <w:tc>
          <w:tcPr>
            <w:tcW w:w="2196" w:type="dxa"/>
          </w:tcPr>
          <w:p w:rsidR="009B7C43" w:rsidRPr="00A836C9" w:rsidRDefault="009B7C43" w:rsidP="00D11375">
            <w:pPr>
              <w:jc w:val="center"/>
              <w:rPr>
                <w:rFonts w:asciiTheme="minorHAnsi" w:hAnsiTheme="minorHAnsi"/>
                <w:sz w:val="18"/>
                <w:szCs w:val="18"/>
              </w:rPr>
            </w:pPr>
          </w:p>
          <w:p w:rsidR="009B7C43" w:rsidRPr="00A836C9" w:rsidRDefault="009B7C43" w:rsidP="00D11375">
            <w:pPr>
              <w:jc w:val="center"/>
              <w:rPr>
                <w:rFonts w:asciiTheme="minorHAnsi" w:hAnsiTheme="minorHAnsi"/>
                <w:sz w:val="18"/>
                <w:szCs w:val="18"/>
              </w:rPr>
            </w:pPr>
            <w:r w:rsidRPr="00A836C9">
              <w:rPr>
                <w:rFonts w:asciiTheme="minorHAnsi" w:hAnsiTheme="minorHAnsi"/>
                <w:sz w:val="18"/>
                <w:szCs w:val="18"/>
              </w:rPr>
              <w:sym w:font="Symbol" w:char="F0B3"/>
            </w:r>
            <w:r w:rsidRPr="00A836C9">
              <w:rPr>
                <w:rFonts w:asciiTheme="minorHAnsi" w:hAnsiTheme="minorHAnsi"/>
                <w:sz w:val="18"/>
                <w:szCs w:val="18"/>
              </w:rPr>
              <w:t xml:space="preserve"> 1,5</w:t>
            </w:r>
          </w:p>
          <w:p w:rsidR="009B7C43" w:rsidRPr="00A836C9" w:rsidRDefault="009B7C43" w:rsidP="00D11375">
            <w:pPr>
              <w:jc w:val="center"/>
              <w:rPr>
                <w:rFonts w:asciiTheme="minorHAnsi" w:hAnsiTheme="minorHAnsi"/>
                <w:sz w:val="18"/>
                <w:szCs w:val="18"/>
              </w:rPr>
            </w:pPr>
            <w:r w:rsidRPr="00A836C9">
              <w:rPr>
                <w:rFonts w:asciiTheme="minorHAnsi" w:hAnsiTheme="minorHAnsi"/>
                <w:sz w:val="18"/>
                <w:szCs w:val="18"/>
              </w:rPr>
              <w:t>20</w:t>
            </w:r>
          </w:p>
        </w:tc>
      </w:tr>
      <w:tr w:rsidR="009B7C43" w:rsidRPr="00A836C9" w:rsidTr="00D11375">
        <w:tc>
          <w:tcPr>
            <w:tcW w:w="496" w:type="dxa"/>
          </w:tcPr>
          <w:p w:rsidR="009B7C43" w:rsidRPr="00A836C9" w:rsidRDefault="009B7C43" w:rsidP="00D11375">
            <w:pPr>
              <w:jc w:val="center"/>
              <w:rPr>
                <w:rFonts w:asciiTheme="minorHAnsi" w:hAnsiTheme="minorHAnsi"/>
                <w:sz w:val="18"/>
                <w:szCs w:val="18"/>
              </w:rPr>
            </w:pPr>
          </w:p>
        </w:tc>
        <w:tc>
          <w:tcPr>
            <w:tcW w:w="3685" w:type="dxa"/>
          </w:tcPr>
          <w:p w:rsidR="009B7C43" w:rsidRPr="00A836C9" w:rsidRDefault="009B7C43" w:rsidP="00D11375">
            <w:pPr>
              <w:jc w:val="center"/>
              <w:rPr>
                <w:rFonts w:asciiTheme="minorHAnsi" w:hAnsiTheme="minorHAnsi"/>
                <w:sz w:val="18"/>
                <w:szCs w:val="18"/>
              </w:rPr>
            </w:pPr>
            <w:r w:rsidRPr="00A836C9">
              <w:rPr>
                <w:rFonts w:asciiTheme="minorHAnsi" w:hAnsiTheme="minorHAnsi"/>
                <w:sz w:val="18"/>
                <w:szCs w:val="18"/>
              </w:rPr>
              <w:t>Okres stałości właściwości materiałów do znakowania przy składowaniu</w:t>
            </w:r>
          </w:p>
        </w:tc>
        <w:tc>
          <w:tcPr>
            <w:tcW w:w="1134" w:type="dxa"/>
          </w:tcPr>
          <w:p w:rsidR="009B7C43" w:rsidRPr="00A836C9" w:rsidRDefault="009B7C43" w:rsidP="00D11375">
            <w:pPr>
              <w:jc w:val="center"/>
              <w:rPr>
                <w:rFonts w:asciiTheme="minorHAnsi" w:hAnsiTheme="minorHAnsi"/>
                <w:sz w:val="18"/>
                <w:szCs w:val="18"/>
              </w:rPr>
            </w:pPr>
            <w:r w:rsidRPr="00A836C9">
              <w:rPr>
                <w:rFonts w:asciiTheme="minorHAnsi" w:hAnsiTheme="minorHAnsi"/>
                <w:sz w:val="18"/>
                <w:szCs w:val="18"/>
              </w:rPr>
              <w:t>miesiące</w:t>
            </w:r>
          </w:p>
        </w:tc>
        <w:tc>
          <w:tcPr>
            <w:tcW w:w="2196" w:type="dxa"/>
          </w:tcPr>
          <w:p w:rsidR="009B7C43" w:rsidRPr="00A836C9" w:rsidRDefault="009B7C43" w:rsidP="00D11375">
            <w:pPr>
              <w:jc w:val="center"/>
              <w:rPr>
                <w:rFonts w:asciiTheme="minorHAnsi" w:hAnsiTheme="minorHAnsi"/>
                <w:sz w:val="18"/>
                <w:szCs w:val="18"/>
              </w:rPr>
            </w:pPr>
            <w:r w:rsidRPr="00A836C9">
              <w:rPr>
                <w:rFonts w:asciiTheme="minorHAnsi" w:hAnsiTheme="minorHAnsi"/>
                <w:sz w:val="18"/>
                <w:szCs w:val="18"/>
              </w:rPr>
              <w:sym w:font="Symbol" w:char="F0B3"/>
            </w:r>
            <w:r w:rsidRPr="00A836C9">
              <w:rPr>
                <w:rFonts w:asciiTheme="minorHAnsi" w:hAnsiTheme="minorHAnsi"/>
                <w:sz w:val="18"/>
                <w:szCs w:val="18"/>
              </w:rPr>
              <w:t xml:space="preserve"> 6</w:t>
            </w:r>
          </w:p>
        </w:tc>
      </w:tr>
    </w:tbl>
    <w:p w:rsidR="009B7C43" w:rsidRPr="001B1721" w:rsidRDefault="009B7C43" w:rsidP="009B7C43"/>
    <w:p w:rsidR="009B7C43" w:rsidRPr="00A836C9" w:rsidRDefault="009B7C43" w:rsidP="009B7C43">
      <w:pPr>
        <w:ind w:left="709"/>
        <w:rPr>
          <w:rFonts w:asciiTheme="minorHAnsi" w:hAnsiTheme="minorHAnsi"/>
        </w:rPr>
      </w:pPr>
      <w:r w:rsidRPr="00A836C9">
        <w:rPr>
          <w:rFonts w:asciiTheme="minorHAnsi" w:hAnsiTheme="minorHAnsi"/>
        </w:rPr>
        <w:t>Tablica 4</w:t>
      </w:r>
      <w:r>
        <w:rPr>
          <w:rFonts w:asciiTheme="minorHAnsi" w:hAnsiTheme="minorHAnsi"/>
        </w:rPr>
        <w:t xml:space="preserve">. </w:t>
      </w:r>
      <w:r w:rsidRPr="00A836C9">
        <w:rPr>
          <w:rFonts w:asciiTheme="minorHAnsi" w:hAnsiTheme="minorHAnsi"/>
        </w:rPr>
        <w:t xml:space="preserve">Zbiorcze zestawienie wymagań dla oznakowań na pozostałych drogach nie wymienionych w tablicy </w:t>
      </w:r>
      <w:r>
        <w:rPr>
          <w:rFonts w:asciiTheme="minorHAnsi" w:hAnsiTheme="minorHAnsi"/>
        </w:rPr>
        <w:t>3</w:t>
      </w:r>
    </w:p>
    <w:tbl>
      <w:tblPr>
        <w:tblW w:w="7515" w:type="dxa"/>
        <w:tblInd w:w="779" w:type="dxa"/>
        <w:tblBorders>
          <w:top w:val="double" w:sz="6" w:space="0" w:color="auto"/>
          <w:left w:val="single" w:sz="6" w:space="0" w:color="auto"/>
          <w:bottom w:val="single" w:sz="6" w:space="0" w:color="auto"/>
          <w:right w:val="single" w:sz="6" w:space="0" w:color="auto"/>
          <w:insideH w:val="single" w:sz="6" w:space="0" w:color="auto"/>
          <w:insideV w:val="single" w:sz="6" w:space="0" w:color="auto"/>
        </w:tblBorders>
        <w:tblLayout w:type="fixed"/>
        <w:tblCellMar>
          <w:left w:w="70" w:type="dxa"/>
          <w:right w:w="70" w:type="dxa"/>
        </w:tblCellMar>
        <w:tblLook w:val="0000"/>
      </w:tblPr>
      <w:tblGrid>
        <w:gridCol w:w="496"/>
        <w:gridCol w:w="3685"/>
        <w:gridCol w:w="1134"/>
        <w:gridCol w:w="1276"/>
        <w:gridCol w:w="924"/>
      </w:tblGrid>
      <w:tr w:rsidR="009B7C43" w:rsidRPr="00A836C9" w:rsidTr="00D11375">
        <w:trPr>
          <w:cantSplit/>
          <w:tblHeader/>
        </w:trPr>
        <w:tc>
          <w:tcPr>
            <w:tcW w:w="496" w:type="dxa"/>
            <w:tcBorders>
              <w:top w:val="single" w:sz="4" w:space="0" w:color="auto"/>
              <w:bottom w:val="double" w:sz="4" w:space="0" w:color="auto"/>
            </w:tcBorders>
          </w:tcPr>
          <w:p w:rsidR="009B7C43" w:rsidRPr="00A836C9" w:rsidRDefault="009B7C43" w:rsidP="00D11375">
            <w:pPr>
              <w:jc w:val="center"/>
              <w:rPr>
                <w:rFonts w:asciiTheme="minorHAnsi" w:hAnsiTheme="minorHAnsi"/>
                <w:b/>
                <w:sz w:val="18"/>
                <w:szCs w:val="18"/>
              </w:rPr>
            </w:pPr>
            <w:r w:rsidRPr="00A836C9">
              <w:rPr>
                <w:rFonts w:asciiTheme="minorHAnsi" w:hAnsiTheme="minorHAnsi"/>
                <w:b/>
                <w:sz w:val="18"/>
                <w:szCs w:val="18"/>
              </w:rPr>
              <w:t>Lp.</w:t>
            </w:r>
          </w:p>
        </w:tc>
        <w:tc>
          <w:tcPr>
            <w:tcW w:w="3685" w:type="dxa"/>
            <w:tcBorders>
              <w:top w:val="single" w:sz="4" w:space="0" w:color="auto"/>
              <w:bottom w:val="double" w:sz="4" w:space="0" w:color="auto"/>
            </w:tcBorders>
          </w:tcPr>
          <w:p w:rsidR="009B7C43" w:rsidRPr="00A836C9" w:rsidRDefault="009B7C43" w:rsidP="00D11375">
            <w:pPr>
              <w:jc w:val="center"/>
              <w:rPr>
                <w:rFonts w:asciiTheme="minorHAnsi" w:hAnsiTheme="minorHAnsi"/>
                <w:b/>
                <w:sz w:val="18"/>
                <w:szCs w:val="18"/>
              </w:rPr>
            </w:pPr>
            <w:r w:rsidRPr="00A836C9">
              <w:rPr>
                <w:rFonts w:asciiTheme="minorHAnsi" w:hAnsiTheme="minorHAnsi"/>
                <w:b/>
                <w:sz w:val="18"/>
                <w:szCs w:val="18"/>
              </w:rPr>
              <w:t>Właściwość</w:t>
            </w:r>
          </w:p>
        </w:tc>
        <w:tc>
          <w:tcPr>
            <w:tcW w:w="1134" w:type="dxa"/>
            <w:tcBorders>
              <w:top w:val="single" w:sz="4" w:space="0" w:color="auto"/>
              <w:bottom w:val="double" w:sz="4" w:space="0" w:color="auto"/>
            </w:tcBorders>
          </w:tcPr>
          <w:p w:rsidR="009B7C43" w:rsidRPr="00A836C9" w:rsidRDefault="009B7C43" w:rsidP="00D11375">
            <w:pPr>
              <w:jc w:val="center"/>
              <w:rPr>
                <w:rFonts w:asciiTheme="minorHAnsi" w:hAnsiTheme="minorHAnsi"/>
                <w:b/>
                <w:sz w:val="18"/>
                <w:szCs w:val="18"/>
              </w:rPr>
            </w:pPr>
            <w:r w:rsidRPr="00A836C9">
              <w:rPr>
                <w:rFonts w:asciiTheme="minorHAnsi" w:hAnsiTheme="minorHAnsi"/>
                <w:b/>
                <w:sz w:val="18"/>
                <w:szCs w:val="18"/>
              </w:rPr>
              <w:t>Jednostka</w:t>
            </w:r>
          </w:p>
        </w:tc>
        <w:tc>
          <w:tcPr>
            <w:tcW w:w="1276" w:type="dxa"/>
            <w:tcBorders>
              <w:top w:val="single" w:sz="4" w:space="0" w:color="auto"/>
              <w:bottom w:val="double" w:sz="4" w:space="0" w:color="auto"/>
            </w:tcBorders>
          </w:tcPr>
          <w:p w:rsidR="009B7C43" w:rsidRPr="00A836C9" w:rsidRDefault="009B7C43" w:rsidP="00D11375">
            <w:pPr>
              <w:jc w:val="center"/>
              <w:rPr>
                <w:rFonts w:asciiTheme="minorHAnsi" w:hAnsiTheme="minorHAnsi"/>
                <w:b/>
                <w:sz w:val="18"/>
                <w:szCs w:val="18"/>
              </w:rPr>
            </w:pPr>
            <w:r w:rsidRPr="00A836C9">
              <w:rPr>
                <w:rFonts w:asciiTheme="minorHAnsi" w:hAnsiTheme="minorHAnsi"/>
                <w:b/>
                <w:sz w:val="18"/>
                <w:szCs w:val="18"/>
              </w:rPr>
              <w:t>Wymagania</w:t>
            </w:r>
          </w:p>
        </w:tc>
        <w:tc>
          <w:tcPr>
            <w:tcW w:w="924" w:type="dxa"/>
            <w:tcBorders>
              <w:top w:val="single" w:sz="4" w:space="0" w:color="auto"/>
              <w:bottom w:val="double" w:sz="4" w:space="0" w:color="auto"/>
            </w:tcBorders>
          </w:tcPr>
          <w:p w:rsidR="009B7C43" w:rsidRPr="00A836C9" w:rsidRDefault="009B7C43" w:rsidP="00D11375">
            <w:pPr>
              <w:jc w:val="center"/>
              <w:rPr>
                <w:rFonts w:asciiTheme="minorHAnsi" w:hAnsiTheme="minorHAnsi"/>
                <w:b/>
                <w:sz w:val="18"/>
                <w:szCs w:val="18"/>
              </w:rPr>
            </w:pPr>
            <w:r w:rsidRPr="00A836C9">
              <w:rPr>
                <w:rFonts w:asciiTheme="minorHAnsi" w:hAnsiTheme="minorHAnsi"/>
                <w:b/>
                <w:sz w:val="18"/>
                <w:szCs w:val="18"/>
              </w:rPr>
              <w:t>Klasa</w:t>
            </w:r>
          </w:p>
        </w:tc>
      </w:tr>
      <w:tr w:rsidR="009B7C43" w:rsidRPr="00A836C9" w:rsidTr="00D11375">
        <w:trPr>
          <w:cantSplit/>
        </w:trPr>
        <w:tc>
          <w:tcPr>
            <w:tcW w:w="496" w:type="dxa"/>
            <w:tcBorders>
              <w:top w:val="double" w:sz="4" w:space="0" w:color="auto"/>
            </w:tcBorders>
          </w:tcPr>
          <w:p w:rsidR="009B7C43" w:rsidRPr="00A836C9" w:rsidRDefault="009B7C43" w:rsidP="00D11375">
            <w:pPr>
              <w:jc w:val="center"/>
              <w:rPr>
                <w:rFonts w:asciiTheme="minorHAnsi" w:hAnsiTheme="minorHAnsi"/>
                <w:sz w:val="18"/>
                <w:szCs w:val="18"/>
              </w:rPr>
            </w:pPr>
            <w:r>
              <w:rPr>
                <w:rFonts w:asciiTheme="minorHAnsi" w:hAnsiTheme="minorHAnsi"/>
                <w:sz w:val="18"/>
                <w:szCs w:val="18"/>
              </w:rPr>
              <w:t>1</w:t>
            </w:r>
          </w:p>
        </w:tc>
        <w:tc>
          <w:tcPr>
            <w:tcW w:w="3685" w:type="dxa"/>
            <w:tcBorders>
              <w:top w:val="double" w:sz="4" w:space="0" w:color="auto"/>
            </w:tcBorders>
          </w:tcPr>
          <w:p w:rsidR="009B7C43" w:rsidRPr="00A836C9" w:rsidRDefault="009B7C43" w:rsidP="00D11375">
            <w:pPr>
              <w:rPr>
                <w:rFonts w:asciiTheme="minorHAnsi" w:hAnsiTheme="minorHAnsi"/>
                <w:sz w:val="18"/>
                <w:szCs w:val="18"/>
              </w:rPr>
            </w:pPr>
            <w:r w:rsidRPr="00A836C9">
              <w:rPr>
                <w:rFonts w:asciiTheme="minorHAnsi" w:hAnsiTheme="minorHAnsi"/>
                <w:sz w:val="18"/>
                <w:szCs w:val="18"/>
              </w:rPr>
              <w:t>Współczynnik odblasku RL dla oznakowania nowego (w ciągu 14 - 30 dni po wykonaniu) w stanie suchym barwy:</w:t>
            </w:r>
          </w:p>
          <w:p w:rsidR="009B7C43" w:rsidRPr="00A836C9" w:rsidRDefault="009B7C43" w:rsidP="00D11375">
            <w:pPr>
              <w:rPr>
                <w:rFonts w:asciiTheme="minorHAnsi" w:hAnsiTheme="minorHAnsi"/>
                <w:sz w:val="18"/>
                <w:szCs w:val="18"/>
              </w:rPr>
            </w:pPr>
            <w:r w:rsidRPr="00A836C9">
              <w:rPr>
                <w:rFonts w:asciiTheme="minorHAnsi" w:hAnsiTheme="minorHAnsi"/>
                <w:sz w:val="18"/>
                <w:szCs w:val="18"/>
              </w:rPr>
              <w:t>białej,</w:t>
            </w:r>
          </w:p>
          <w:p w:rsidR="009B7C43" w:rsidRPr="00A836C9" w:rsidRDefault="009B7C43" w:rsidP="00D11375">
            <w:pPr>
              <w:rPr>
                <w:rFonts w:asciiTheme="minorHAnsi" w:hAnsiTheme="minorHAnsi"/>
                <w:sz w:val="18"/>
                <w:szCs w:val="18"/>
              </w:rPr>
            </w:pPr>
            <w:r w:rsidRPr="00A836C9">
              <w:rPr>
                <w:rFonts w:asciiTheme="minorHAnsi" w:hAnsiTheme="minorHAnsi"/>
                <w:sz w:val="18"/>
                <w:szCs w:val="18"/>
              </w:rPr>
              <w:t>żółtej tymczasowej</w:t>
            </w:r>
          </w:p>
        </w:tc>
        <w:tc>
          <w:tcPr>
            <w:tcW w:w="1134" w:type="dxa"/>
            <w:tcBorders>
              <w:top w:val="double" w:sz="4" w:space="0" w:color="auto"/>
            </w:tcBorders>
          </w:tcPr>
          <w:p w:rsidR="009B7C43" w:rsidRPr="00A836C9" w:rsidRDefault="009B7C43" w:rsidP="00D11375">
            <w:pPr>
              <w:rPr>
                <w:rFonts w:asciiTheme="minorHAnsi" w:hAnsiTheme="minorHAnsi"/>
                <w:sz w:val="18"/>
                <w:szCs w:val="18"/>
              </w:rPr>
            </w:pPr>
          </w:p>
          <w:p w:rsidR="009B7C43" w:rsidRPr="00A836C9" w:rsidRDefault="009B7C43" w:rsidP="00D11375">
            <w:pPr>
              <w:rPr>
                <w:rFonts w:asciiTheme="minorHAnsi" w:hAnsiTheme="minorHAnsi"/>
                <w:sz w:val="18"/>
                <w:szCs w:val="18"/>
              </w:rPr>
            </w:pPr>
          </w:p>
          <w:p w:rsidR="009B7C43" w:rsidRPr="00A836C9" w:rsidRDefault="009B7C43" w:rsidP="00D11375">
            <w:pPr>
              <w:rPr>
                <w:rFonts w:asciiTheme="minorHAnsi" w:hAnsiTheme="minorHAnsi"/>
                <w:sz w:val="18"/>
                <w:szCs w:val="18"/>
              </w:rPr>
            </w:pPr>
          </w:p>
          <w:p w:rsidR="009B7C43" w:rsidRPr="00A836C9" w:rsidRDefault="009B7C43" w:rsidP="00D11375">
            <w:pPr>
              <w:rPr>
                <w:rFonts w:asciiTheme="minorHAnsi" w:hAnsiTheme="minorHAnsi"/>
                <w:sz w:val="18"/>
                <w:szCs w:val="18"/>
              </w:rPr>
            </w:pPr>
            <w:r w:rsidRPr="00A836C9">
              <w:rPr>
                <w:rFonts w:asciiTheme="minorHAnsi" w:hAnsiTheme="minorHAnsi"/>
                <w:sz w:val="18"/>
                <w:szCs w:val="18"/>
              </w:rPr>
              <w:t>mcd m-2 lx-1</w:t>
            </w:r>
          </w:p>
          <w:p w:rsidR="009B7C43" w:rsidRPr="00A836C9" w:rsidRDefault="009B7C43" w:rsidP="00D11375">
            <w:pPr>
              <w:rPr>
                <w:rFonts w:asciiTheme="minorHAnsi" w:hAnsiTheme="minorHAnsi"/>
                <w:sz w:val="18"/>
                <w:szCs w:val="18"/>
              </w:rPr>
            </w:pPr>
            <w:r w:rsidRPr="00A836C9">
              <w:rPr>
                <w:rFonts w:asciiTheme="minorHAnsi" w:hAnsiTheme="minorHAnsi"/>
                <w:sz w:val="18"/>
                <w:szCs w:val="18"/>
              </w:rPr>
              <w:t>mcd m-2 lx-1</w:t>
            </w:r>
          </w:p>
        </w:tc>
        <w:tc>
          <w:tcPr>
            <w:tcW w:w="1276" w:type="dxa"/>
            <w:tcBorders>
              <w:top w:val="double" w:sz="4" w:space="0" w:color="auto"/>
            </w:tcBorders>
          </w:tcPr>
          <w:p w:rsidR="009B7C43" w:rsidRPr="00A836C9" w:rsidRDefault="009B7C43" w:rsidP="00D11375">
            <w:pPr>
              <w:rPr>
                <w:rFonts w:asciiTheme="minorHAnsi" w:hAnsiTheme="minorHAnsi"/>
                <w:sz w:val="18"/>
                <w:szCs w:val="18"/>
              </w:rPr>
            </w:pPr>
          </w:p>
          <w:p w:rsidR="009B7C43" w:rsidRPr="00A836C9" w:rsidRDefault="009B7C43" w:rsidP="00D11375">
            <w:pPr>
              <w:rPr>
                <w:rFonts w:asciiTheme="minorHAnsi" w:hAnsiTheme="minorHAnsi"/>
                <w:sz w:val="18"/>
                <w:szCs w:val="18"/>
              </w:rPr>
            </w:pPr>
          </w:p>
          <w:p w:rsidR="009B7C43" w:rsidRPr="00A836C9" w:rsidRDefault="009B7C43" w:rsidP="00D11375">
            <w:pPr>
              <w:rPr>
                <w:rFonts w:asciiTheme="minorHAnsi" w:hAnsiTheme="minorHAnsi"/>
                <w:sz w:val="18"/>
                <w:szCs w:val="18"/>
              </w:rPr>
            </w:pPr>
          </w:p>
          <w:p w:rsidR="009B7C43" w:rsidRPr="00A836C9" w:rsidRDefault="009B7C43" w:rsidP="00D11375">
            <w:pPr>
              <w:rPr>
                <w:rFonts w:asciiTheme="minorHAnsi" w:hAnsiTheme="minorHAnsi"/>
                <w:sz w:val="18"/>
                <w:szCs w:val="18"/>
              </w:rPr>
            </w:pPr>
            <w:r w:rsidRPr="00A836C9">
              <w:rPr>
                <w:rFonts w:asciiTheme="minorHAnsi" w:hAnsiTheme="minorHAnsi"/>
                <w:sz w:val="18"/>
                <w:szCs w:val="18"/>
              </w:rPr>
              <w:sym w:font="Symbol" w:char="F0B3"/>
            </w:r>
            <w:r w:rsidRPr="00A836C9">
              <w:rPr>
                <w:rFonts w:asciiTheme="minorHAnsi" w:hAnsiTheme="minorHAnsi"/>
                <w:sz w:val="18"/>
                <w:szCs w:val="18"/>
              </w:rPr>
              <w:t xml:space="preserve"> 200</w:t>
            </w:r>
          </w:p>
          <w:p w:rsidR="009B7C43" w:rsidRPr="00A836C9" w:rsidRDefault="009B7C43" w:rsidP="00D11375">
            <w:pPr>
              <w:rPr>
                <w:rFonts w:asciiTheme="minorHAnsi" w:hAnsiTheme="minorHAnsi"/>
                <w:sz w:val="18"/>
                <w:szCs w:val="18"/>
              </w:rPr>
            </w:pPr>
            <w:r w:rsidRPr="00A836C9">
              <w:rPr>
                <w:rFonts w:asciiTheme="minorHAnsi" w:hAnsiTheme="minorHAnsi"/>
                <w:sz w:val="18"/>
                <w:szCs w:val="18"/>
              </w:rPr>
              <w:sym w:font="Symbol" w:char="F0B3"/>
            </w:r>
            <w:r w:rsidRPr="00A836C9">
              <w:rPr>
                <w:rFonts w:asciiTheme="minorHAnsi" w:hAnsiTheme="minorHAnsi"/>
                <w:sz w:val="18"/>
                <w:szCs w:val="18"/>
              </w:rPr>
              <w:t xml:space="preserve"> 150</w:t>
            </w:r>
          </w:p>
        </w:tc>
        <w:tc>
          <w:tcPr>
            <w:tcW w:w="924" w:type="dxa"/>
            <w:tcBorders>
              <w:top w:val="double" w:sz="4" w:space="0" w:color="auto"/>
            </w:tcBorders>
          </w:tcPr>
          <w:p w:rsidR="009B7C43" w:rsidRPr="00A836C9" w:rsidRDefault="009B7C43" w:rsidP="00D11375">
            <w:pPr>
              <w:rPr>
                <w:rFonts w:asciiTheme="minorHAnsi" w:hAnsiTheme="minorHAnsi"/>
                <w:sz w:val="18"/>
                <w:szCs w:val="18"/>
              </w:rPr>
            </w:pPr>
          </w:p>
          <w:p w:rsidR="009B7C43" w:rsidRPr="00A836C9" w:rsidRDefault="009B7C43" w:rsidP="00D11375">
            <w:pPr>
              <w:rPr>
                <w:rFonts w:asciiTheme="minorHAnsi" w:hAnsiTheme="minorHAnsi"/>
                <w:sz w:val="18"/>
                <w:szCs w:val="18"/>
              </w:rPr>
            </w:pPr>
          </w:p>
          <w:p w:rsidR="009B7C43" w:rsidRPr="00A836C9" w:rsidRDefault="009B7C43" w:rsidP="00D11375">
            <w:pPr>
              <w:rPr>
                <w:rFonts w:asciiTheme="minorHAnsi" w:hAnsiTheme="minorHAnsi"/>
                <w:sz w:val="18"/>
                <w:szCs w:val="18"/>
              </w:rPr>
            </w:pPr>
          </w:p>
          <w:p w:rsidR="009B7C43" w:rsidRPr="00A836C9" w:rsidRDefault="009B7C43" w:rsidP="00D11375">
            <w:pPr>
              <w:rPr>
                <w:rFonts w:asciiTheme="minorHAnsi" w:hAnsiTheme="minorHAnsi"/>
                <w:sz w:val="18"/>
                <w:szCs w:val="18"/>
              </w:rPr>
            </w:pPr>
            <w:r w:rsidRPr="00A836C9">
              <w:rPr>
                <w:rFonts w:asciiTheme="minorHAnsi" w:hAnsiTheme="minorHAnsi"/>
                <w:sz w:val="18"/>
                <w:szCs w:val="18"/>
              </w:rPr>
              <w:t>R4</w:t>
            </w:r>
          </w:p>
          <w:p w:rsidR="009B7C43" w:rsidRPr="00A836C9" w:rsidRDefault="009B7C43" w:rsidP="00D11375">
            <w:pPr>
              <w:rPr>
                <w:rFonts w:asciiTheme="minorHAnsi" w:hAnsiTheme="minorHAnsi"/>
                <w:sz w:val="18"/>
                <w:szCs w:val="18"/>
              </w:rPr>
            </w:pPr>
            <w:r w:rsidRPr="00A836C9">
              <w:rPr>
                <w:rFonts w:asciiTheme="minorHAnsi" w:hAnsiTheme="minorHAnsi"/>
                <w:sz w:val="18"/>
                <w:szCs w:val="18"/>
              </w:rPr>
              <w:t>R3</w:t>
            </w:r>
          </w:p>
        </w:tc>
      </w:tr>
      <w:tr w:rsidR="009B7C43" w:rsidRPr="00A836C9" w:rsidTr="00D11375">
        <w:trPr>
          <w:cantSplit/>
        </w:trPr>
        <w:tc>
          <w:tcPr>
            <w:tcW w:w="496" w:type="dxa"/>
          </w:tcPr>
          <w:p w:rsidR="009B7C43" w:rsidRPr="00A836C9" w:rsidRDefault="009B7C43" w:rsidP="00D11375">
            <w:pPr>
              <w:jc w:val="center"/>
              <w:rPr>
                <w:rFonts w:asciiTheme="minorHAnsi" w:hAnsiTheme="minorHAnsi"/>
                <w:sz w:val="18"/>
                <w:szCs w:val="18"/>
              </w:rPr>
            </w:pPr>
            <w:r>
              <w:rPr>
                <w:rFonts w:asciiTheme="minorHAnsi" w:hAnsiTheme="minorHAnsi"/>
                <w:sz w:val="18"/>
                <w:szCs w:val="18"/>
              </w:rPr>
              <w:t>2</w:t>
            </w:r>
          </w:p>
        </w:tc>
        <w:tc>
          <w:tcPr>
            <w:tcW w:w="3685" w:type="dxa"/>
          </w:tcPr>
          <w:p w:rsidR="009B7C43" w:rsidRPr="00A836C9" w:rsidRDefault="009B7C43" w:rsidP="00D11375">
            <w:pPr>
              <w:rPr>
                <w:rFonts w:asciiTheme="minorHAnsi" w:hAnsiTheme="minorHAnsi"/>
                <w:sz w:val="18"/>
                <w:szCs w:val="18"/>
              </w:rPr>
            </w:pPr>
            <w:r w:rsidRPr="00A836C9">
              <w:rPr>
                <w:rFonts w:asciiTheme="minorHAnsi" w:hAnsiTheme="minorHAnsi"/>
                <w:sz w:val="18"/>
                <w:szCs w:val="18"/>
              </w:rPr>
              <w:t>Współczynnik odblasku RL dla oznakowania eksploatowanego od 2 do 6 miesięcy po wykonaniu, barwy:</w:t>
            </w:r>
          </w:p>
          <w:p w:rsidR="009B7C43" w:rsidRPr="00A836C9" w:rsidRDefault="009B7C43" w:rsidP="00D11375">
            <w:pPr>
              <w:rPr>
                <w:rFonts w:asciiTheme="minorHAnsi" w:hAnsiTheme="minorHAnsi"/>
                <w:sz w:val="18"/>
                <w:szCs w:val="18"/>
              </w:rPr>
            </w:pPr>
            <w:r w:rsidRPr="00A836C9">
              <w:rPr>
                <w:rFonts w:asciiTheme="minorHAnsi" w:hAnsiTheme="minorHAnsi"/>
                <w:sz w:val="18"/>
                <w:szCs w:val="18"/>
              </w:rPr>
              <w:t>białej,</w:t>
            </w:r>
          </w:p>
          <w:p w:rsidR="009B7C43" w:rsidRPr="00A836C9" w:rsidRDefault="009B7C43" w:rsidP="00D11375">
            <w:pPr>
              <w:rPr>
                <w:rFonts w:asciiTheme="minorHAnsi" w:hAnsiTheme="minorHAnsi"/>
                <w:sz w:val="18"/>
                <w:szCs w:val="18"/>
              </w:rPr>
            </w:pPr>
            <w:r w:rsidRPr="00A836C9">
              <w:rPr>
                <w:rFonts w:asciiTheme="minorHAnsi" w:hAnsiTheme="minorHAnsi"/>
                <w:sz w:val="18"/>
                <w:szCs w:val="18"/>
              </w:rPr>
              <w:t>żółtej</w:t>
            </w:r>
          </w:p>
        </w:tc>
        <w:tc>
          <w:tcPr>
            <w:tcW w:w="1134" w:type="dxa"/>
          </w:tcPr>
          <w:p w:rsidR="009B7C43" w:rsidRPr="00A836C9" w:rsidRDefault="009B7C43" w:rsidP="00D11375">
            <w:pPr>
              <w:rPr>
                <w:rFonts w:asciiTheme="minorHAnsi" w:hAnsiTheme="minorHAnsi"/>
                <w:sz w:val="18"/>
                <w:szCs w:val="18"/>
              </w:rPr>
            </w:pPr>
          </w:p>
          <w:p w:rsidR="009B7C43" w:rsidRPr="00A836C9" w:rsidRDefault="009B7C43" w:rsidP="00D11375">
            <w:pPr>
              <w:rPr>
                <w:rFonts w:asciiTheme="minorHAnsi" w:hAnsiTheme="minorHAnsi"/>
                <w:sz w:val="18"/>
                <w:szCs w:val="18"/>
              </w:rPr>
            </w:pPr>
          </w:p>
          <w:p w:rsidR="009B7C43" w:rsidRPr="00A836C9" w:rsidRDefault="009B7C43" w:rsidP="00D11375">
            <w:pPr>
              <w:rPr>
                <w:rFonts w:asciiTheme="minorHAnsi" w:hAnsiTheme="minorHAnsi"/>
                <w:sz w:val="18"/>
                <w:szCs w:val="18"/>
              </w:rPr>
            </w:pPr>
          </w:p>
          <w:p w:rsidR="009B7C43" w:rsidRPr="00A836C9" w:rsidRDefault="009B7C43" w:rsidP="00D11375">
            <w:pPr>
              <w:rPr>
                <w:rFonts w:asciiTheme="minorHAnsi" w:hAnsiTheme="minorHAnsi"/>
                <w:sz w:val="18"/>
                <w:szCs w:val="18"/>
              </w:rPr>
            </w:pPr>
            <w:r w:rsidRPr="00A836C9">
              <w:rPr>
                <w:rFonts w:asciiTheme="minorHAnsi" w:hAnsiTheme="minorHAnsi"/>
                <w:sz w:val="18"/>
                <w:szCs w:val="18"/>
              </w:rPr>
              <w:t>mcd m-2 lx-1</w:t>
            </w:r>
          </w:p>
          <w:p w:rsidR="009B7C43" w:rsidRPr="00A836C9" w:rsidRDefault="009B7C43" w:rsidP="00D11375">
            <w:pPr>
              <w:rPr>
                <w:rFonts w:asciiTheme="minorHAnsi" w:hAnsiTheme="minorHAnsi"/>
                <w:sz w:val="18"/>
                <w:szCs w:val="18"/>
              </w:rPr>
            </w:pPr>
            <w:r w:rsidRPr="00A836C9">
              <w:rPr>
                <w:rFonts w:asciiTheme="minorHAnsi" w:hAnsiTheme="minorHAnsi"/>
                <w:sz w:val="18"/>
                <w:szCs w:val="18"/>
              </w:rPr>
              <w:t>mcd m-2 lx-1</w:t>
            </w:r>
          </w:p>
        </w:tc>
        <w:tc>
          <w:tcPr>
            <w:tcW w:w="1276" w:type="dxa"/>
          </w:tcPr>
          <w:p w:rsidR="009B7C43" w:rsidRPr="00A836C9" w:rsidRDefault="009B7C43" w:rsidP="00D11375">
            <w:pPr>
              <w:rPr>
                <w:rFonts w:asciiTheme="minorHAnsi" w:hAnsiTheme="minorHAnsi"/>
                <w:sz w:val="18"/>
                <w:szCs w:val="18"/>
              </w:rPr>
            </w:pPr>
          </w:p>
          <w:p w:rsidR="009B7C43" w:rsidRPr="00A836C9" w:rsidRDefault="009B7C43" w:rsidP="00D11375">
            <w:pPr>
              <w:rPr>
                <w:rFonts w:asciiTheme="minorHAnsi" w:hAnsiTheme="minorHAnsi"/>
                <w:sz w:val="18"/>
                <w:szCs w:val="18"/>
              </w:rPr>
            </w:pPr>
          </w:p>
          <w:p w:rsidR="009B7C43" w:rsidRPr="00A836C9" w:rsidRDefault="009B7C43" w:rsidP="00D11375">
            <w:pPr>
              <w:rPr>
                <w:rFonts w:asciiTheme="minorHAnsi" w:hAnsiTheme="minorHAnsi"/>
                <w:sz w:val="18"/>
                <w:szCs w:val="18"/>
              </w:rPr>
            </w:pPr>
          </w:p>
          <w:p w:rsidR="009B7C43" w:rsidRPr="00A836C9" w:rsidRDefault="009B7C43" w:rsidP="00D11375">
            <w:pPr>
              <w:rPr>
                <w:rFonts w:asciiTheme="minorHAnsi" w:hAnsiTheme="minorHAnsi"/>
                <w:sz w:val="18"/>
                <w:szCs w:val="18"/>
              </w:rPr>
            </w:pPr>
            <w:r w:rsidRPr="00A836C9">
              <w:rPr>
                <w:rFonts w:asciiTheme="minorHAnsi" w:hAnsiTheme="minorHAnsi"/>
                <w:sz w:val="18"/>
                <w:szCs w:val="18"/>
              </w:rPr>
              <w:sym w:font="Symbol" w:char="F0B3"/>
            </w:r>
            <w:r w:rsidRPr="00A836C9">
              <w:rPr>
                <w:rFonts w:asciiTheme="minorHAnsi" w:hAnsiTheme="minorHAnsi"/>
                <w:sz w:val="18"/>
                <w:szCs w:val="18"/>
              </w:rPr>
              <w:t xml:space="preserve"> 150</w:t>
            </w:r>
          </w:p>
          <w:p w:rsidR="009B7C43" w:rsidRPr="00A836C9" w:rsidRDefault="009B7C43" w:rsidP="00D11375">
            <w:pPr>
              <w:rPr>
                <w:rFonts w:asciiTheme="minorHAnsi" w:hAnsiTheme="minorHAnsi"/>
                <w:sz w:val="18"/>
                <w:szCs w:val="18"/>
              </w:rPr>
            </w:pPr>
            <w:r w:rsidRPr="00A836C9">
              <w:rPr>
                <w:rFonts w:asciiTheme="minorHAnsi" w:hAnsiTheme="minorHAnsi"/>
                <w:sz w:val="18"/>
                <w:szCs w:val="18"/>
              </w:rPr>
              <w:sym w:font="Symbol" w:char="F0B3"/>
            </w:r>
            <w:r w:rsidRPr="00A836C9">
              <w:rPr>
                <w:rFonts w:asciiTheme="minorHAnsi" w:hAnsiTheme="minorHAnsi"/>
                <w:sz w:val="18"/>
                <w:szCs w:val="18"/>
              </w:rPr>
              <w:t xml:space="preserve"> 100</w:t>
            </w:r>
          </w:p>
        </w:tc>
        <w:tc>
          <w:tcPr>
            <w:tcW w:w="924" w:type="dxa"/>
          </w:tcPr>
          <w:p w:rsidR="009B7C43" w:rsidRPr="00A836C9" w:rsidRDefault="009B7C43" w:rsidP="00D11375">
            <w:pPr>
              <w:rPr>
                <w:rFonts w:asciiTheme="minorHAnsi" w:hAnsiTheme="minorHAnsi"/>
                <w:sz w:val="18"/>
                <w:szCs w:val="18"/>
              </w:rPr>
            </w:pPr>
          </w:p>
          <w:p w:rsidR="009B7C43" w:rsidRPr="00A836C9" w:rsidRDefault="009B7C43" w:rsidP="00D11375">
            <w:pPr>
              <w:rPr>
                <w:rFonts w:asciiTheme="minorHAnsi" w:hAnsiTheme="minorHAnsi"/>
                <w:sz w:val="18"/>
                <w:szCs w:val="18"/>
              </w:rPr>
            </w:pPr>
          </w:p>
          <w:p w:rsidR="009B7C43" w:rsidRPr="00A836C9" w:rsidRDefault="009B7C43" w:rsidP="00D11375">
            <w:pPr>
              <w:rPr>
                <w:rFonts w:asciiTheme="minorHAnsi" w:hAnsiTheme="minorHAnsi"/>
                <w:sz w:val="18"/>
                <w:szCs w:val="18"/>
              </w:rPr>
            </w:pPr>
          </w:p>
          <w:p w:rsidR="009B7C43" w:rsidRPr="00A836C9" w:rsidRDefault="009B7C43" w:rsidP="00D11375">
            <w:pPr>
              <w:rPr>
                <w:rFonts w:asciiTheme="minorHAnsi" w:hAnsiTheme="minorHAnsi"/>
                <w:sz w:val="18"/>
                <w:szCs w:val="18"/>
              </w:rPr>
            </w:pPr>
            <w:r w:rsidRPr="00A836C9">
              <w:rPr>
                <w:rFonts w:asciiTheme="minorHAnsi" w:hAnsiTheme="minorHAnsi"/>
                <w:sz w:val="18"/>
                <w:szCs w:val="18"/>
              </w:rPr>
              <w:t>R3</w:t>
            </w:r>
          </w:p>
          <w:p w:rsidR="009B7C43" w:rsidRPr="00A836C9" w:rsidRDefault="009B7C43" w:rsidP="00D11375">
            <w:pPr>
              <w:rPr>
                <w:rFonts w:asciiTheme="minorHAnsi" w:hAnsiTheme="minorHAnsi"/>
                <w:sz w:val="18"/>
                <w:szCs w:val="18"/>
              </w:rPr>
            </w:pPr>
            <w:r w:rsidRPr="00A836C9">
              <w:rPr>
                <w:rFonts w:asciiTheme="minorHAnsi" w:hAnsiTheme="minorHAnsi"/>
                <w:sz w:val="18"/>
                <w:szCs w:val="18"/>
              </w:rPr>
              <w:t>R2</w:t>
            </w:r>
          </w:p>
        </w:tc>
      </w:tr>
      <w:tr w:rsidR="009B7C43" w:rsidRPr="00A836C9" w:rsidTr="00D11375">
        <w:trPr>
          <w:cantSplit/>
        </w:trPr>
        <w:tc>
          <w:tcPr>
            <w:tcW w:w="496" w:type="dxa"/>
          </w:tcPr>
          <w:p w:rsidR="009B7C43" w:rsidRPr="00A836C9" w:rsidRDefault="009B7C43" w:rsidP="00D11375">
            <w:pPr>
              <w:jc w:val="center"/>
              <w:rPr>
                <w:rFonts w:asciiTheme="minorHAnsi" w:hAnsiTheme="minorHAnsi"/>
                <w:sz w:val="18"/>
                <w:szCs w:val="18"/>
              </w:rPr>
            </w:pPr>
            <w:r>
              <w:rPr>
                <w:rFonts w:asciiTheme="minorHAnsi" w:hAnsiTheme="minorHAnsi"/>
                <w:sz w:val="18"/>
                <w:szCs w:val="18"/>
              </w:rPr>
              <w:t>3</w:t>
            </w:r>
          </w:p>
        </w:tc>
        <w:tc>
          <w:tcPr>
            <w:tcW w:w="3685" w:type="dxa"/>
          </w:tcPr>
          <w:p w:rsidR="009B7C43" w:rsidRPr="00A836C9" w:rsidRDefault="009B7C43" w:rsidP="00D11375">
            <w:pPr>
              <w:rPr>
                <w:rFonts w:asciiTheme="minorHAnsi" w:hAnsiTheme="minorHAnsi"/>
                <w:sz w:val="18"/>
                <w:szCs w:val="18"/>
              </w:rPr>
            </w:pPr>
            <w:r w:rsidRPr="00A836C9">
              <w:rPr>
                <w:rFonts w:asciiTheme="minorHAnsi" w:hAnsiTheme="minorHAnsi"/>
                <w:sz w:val="18"/>
                <w:szCs w:val="18"/>
              </w:rPr>
              <w:t>Współczynnik odblasku RL dla oznakowania suchego od 7 miesiąca po wykonaniu barwy białej</w:t>
            </w:r>
          </w:p>
        </w:tc>
        <w:tc>
          <w:tcPr>
            <w:tcW w:w="1134" w:type="dxa"/>
            <w:vAlign w:val="center"/>
          </w:tcPr>
          <w:p w:rsidR="009B7C43" w:rsidRPr="00A836C9" w:rsidRDefault="009B7C43" w:rsidP="00D11375">
            <w:pPr>
              <w:rPr>
                <w:rFonts w:asciiTheme="minorHAnsi" w:hAnsiTheme="minorHAnsi"/>
                <w:sz w:val="18"/>
                <w:szCs w:val="18"/>
              </w:rPr>
            </w:pPr>
            <w:r w:rsidRPr="00A836C9">
              <w:rPr>
                <w:rFonts w:asciiTheme="minorHAnsi" w:hAnsiTheme="minorHAnsi"/>
                <w:sz w:val="18"/>
                <w:szCs w:val="18"/>
              </w:rPr>
              <w:t>mcd m-2 lx-1</w:t>
            </w:r>
          </w:p>
        </w:tc>
        <w:tc>
          <w:tcPr>
            <w:tcW w:w="1276" w:type="dxa"/>
            <w:vAlign w:val="center"/>
          </w:tcPr>
          <w:p w:rsidR="009B7C43" w:rsidRPr="00A836C9" w:rsidRDefault="009B7C43" w:rsidP="00D11375">
            <w:pPr>
              <w:rPr>
                <w:rFonts w:asciiTheme="minorHAnsi" w:hAnsiTheme="minorHAnsi"/>
                <w:sz w:val="18"/>
                <w:szCs w:val="18"/>
              </w:rPr>
            </w:pPr>
            <w:r w:rsidRPr="00A836C9">
              <w:rPr>
                <w:rFonts w:asciiTheme="minorHAnsi" w:hAnsiTheme="minorHAnsi"/>
                <w:sz w:val="18"/>
                <w:szCs w:val="18"/>
              </w:rPr>
              <w:sym w:font="Symbol" w:char="F0B3"/>
            </w:r>
            <w:r w:rsidRPr="00A836C9">
              <w:rPr>
                <w:rFonts w:asciiTheme="minorHAnsi" w:hAnsiTheme="minorHAnsi"/>
                <w:sz w:val="18"/>
                <w:szCs w:val="18"/>
              </w:rPr>
              <w:t xml:space="preserve"> 100</w:t>
            </w:r>
          </w:p>
        </w:tc>
        <w:tc>
          <w:tcPr>
            <w:tcW w:w="924" w:type="dxa"/>
            <w:vAlign w:val="center"/>
          </w:tcPr>
          <w:p w:rsidR="009B7C43" w:rsidRPr="00A836C9" w:rsidRDefault="009B7C43" w:rsidP="00D11375">
            <w:pPr>
              <w:rPr>
                <w:rFonts w:asciiTheme="minorHAnsi" w:hAnsiTheme="minorHAnsi"/>
                <w:sz w:val="18"/>
                <w:szCs w:val="18"/>
              </w:rPr>
            </w:pPr>
            <w:r w:rsidRPr="00A836C9">
              <w:rPr>
                <w:rFonts w:asciiTheme="minorHAnsi" w:hAnsiTheme="minorHAnsi"/>
                <w:sz w:val="18"/>
                <w:szCs w:val="18"/>
              </w:rPr>
              <w:t>R2</w:t>
            </w:r>
          </w:p>
        </w:tc>
      </w:tr>
      <w:tr w:rsidR="009B7C43" w:rsidRPr="00A836C9" w:rsidTr="00D11375">
        <w:trPr>
          <w:cantSplit/>
        </w:trPr>
        <w:tc>
          <w:tcPr>
            <w:tcW w:w="496" w:type="dxa"/>
          </w:tcPr>
          <w:p w:rsidR="009B7C43" w:rsidRPr="00A836C9" w:rsidRDefault="009B7C43" w:rsidP="00D11375">
            <w:pPr>
              <w:jc w:val="center"/>
              <w:rPr>
                <w:rFonts w:asciiTheme="minorHAnsi" w:hAnsiTheme="minorHAnsi"/>
                <w:sz w:val="18"/>
                <w:szCs w:val="18"/>
              </w:rPr>
            </w:pPr>
            <w:r>
              <w:rPr>
                <w:rFonts w:asciiTheme="minorHAnsi" w:hAnsiTheme="minorHAnsi"/>
                <w:sz w:val="18"/>
                <w:szCs w:val="18"/>
              </w:rPr>
              <w:t>4</w:t>
            </w:r>
          </w:p>
        </w:tc>
        <w:tc>
          <w:tcPr>
            <w:tcW w:w="3685" w:type="dxa"/>
          </w:tcPr>
          <w:p w:rsidR="009B7C43" w:rsidRPr="00A836C9" w:rsidRDefault="009B7C43" w:rsidP="00D11375">
            <w:pPr>
              <w:rPr>
                <w:rFonts w:asciiTheme="minorHAnsi" w:hAnsiTheme="minorHAnsi"/>
                <w:sz w:val="18"/>
                <w:szCs w:val="18"/>
              </w:rPr>
            </w:pPr>
            <w:r w:rsidRPr="00A836C9">
              <w:rPr>
                <w:rFonts w:asciiTheme="minorHAnsi" w:hAnsiTheme="minorHAnsi"/>
                <w:sz w:val="18"/>
                <w:szCs w:val="18"/>
              </w:rPr>
              <w:t xml:space="preserve">Współczynnik luminancji </w:t>
            </w:r>
            <w:r w:rsidRPr="00A836C9">
              <w:rPr>
                <w:rFonts w:asciiTheme="minorHAnsi" w:hAnsiTheme="minorHAnsi"/>
                <w:sz w:val="18"/>
                <w:szCs w:val="18"/>
              </w:rPr>
              <w:sym w:font="Symbol" w:char="0062"/>
            </w:r>
            <w:r w:rsidRPr="00A836C9">
              <w:rPr>
                <w:rFonts w:asciiTheme="minorHAnsi" w:hAnsiTheme="minorHAnsi"/>
                <w:sz w:val="18"/>
                <w:szCs w:val="18"/>
              </w:rPr>
              <w:t xml:space="preserve"> dla oznakowania nowego (od 14 do 30 dnia po wykonaniu)  barwy:</w:t>
            </w:r>
          </w:p>
          <w:p w:rsidR="009B7C43" w:rsidRPr="00A836C9" w:rsidRDefault="009B7C43" w:rsidP="00D11375">
            <w:pPr>
              <w:rPr>
                <w:rFonts w:asciiTheme="minorHAnsi" w:hAnsiTheme="minorHAnsi"/>
                <w:sz w:val="18"/>
                <w:szCs w:val="18"/>
              </w:rPr>
            </w:pPr>
            <w:r w:rsidRPr="00A836C9">
              <w:rPr>
                <w:rFonts w:asciiTheme="minorHAnsi" w:hAnsiTheme="minorHAnsi"/>
                <w:sz w:val="18"/>
                <w:szCs w:val="18"/>
              </w:rPr>
              <w:t>białej na nawierzchni asfaltowej,</w:t>
            </w:r>
          </w:p>
          <w:p w:rsidR="009B7C43" w:rsidRPr="00A836C9" w:rsidRDefault="009B7C43" w:rsidP="00D11375">
            <w:pPr>
              <w:rPr>
                <w:rFonts w:asciiTheme="minorHAnsi" w:hAnsiTheme="minorHAnsi"/>
                <w:sz w:val="18"/>
                <w:szCs w:val="18"/>
              </w:rPr>
            </w:pPr>
            <w:r w:rsidRPr="00A836C9">
              <w:rPr>
                <w:rFonts w:asciiTheme="minorHAnsi" w:hAnsiTheme="minorHAnsi"/>
                <w:sz w:val="18"/>
                <w:szCs w:val="18"/>
              </w:rPr>
              <w:t>żółtej</w:t>
            </w:r>
          </w:p>
        </w:tc>
        <w:tc>
          <w:tcPr>
            <w:tcW w:w="1134" w:type="dxa"/>
          </w:tcPr>
          <w:p w:rsidR="009B7C43" w:rsidRPr="00A836C9" w:rsidRDefault="009B7C43" w:rsidP="00D11375">
            <w:pPr>
              <w:rPr>
                <w:rFonts w:asciiTheme="minorHAnsi" w:hAnsiTheme="minorHAnsi"/>
                <w:sz w:val="18"/>
                <w:szCs w:val="18"/>
              </w:rPr>
            </w:pPr>
          </w:p>
          <w:p w:rsidR="009B7C43" w:rsidRPr="00A836C9" w:rsidRDefault="009B7C43" w:rsidP="00D11375">
            <w:pPr>
              <w:rPr>
                <w:rFonts w:asciiTheme="minorHAnsi" w:hAnsiTheme="minorHAnsi"/>
                <w:sz w:val="18"/>
                <w:szCs w:val="18"/>
              </w:rPr>
            </w:pPr>
          </w:p>
          <w:p w:rsidR="009B7C43" w:rsidRPr="00A836C9" w:rsidRDefault="009B7C43" w:rsidP="00D11375">
            <w:pPr>
              <w:rPr>
                <w:rFonts w:asciiTheme="minorHAnsi" w:hAnsiTheme="minorHAnsi"/>
                <w:sz w:val="18"/>
                <w:szCs w:val="18"/>
              </w:rPr>
            </w:pPr>
          </w:p>
          <w:p w:rsidR="009B7C43" w:rsidRPr="00A836C9" w:rsidRDefault="009B7C43" w:rsidP="00D11375">
            <w:pPr>
              <w:rPr>
                <w:rFonts w:asciiTheme="minorHAnsi" w:hAnsiTheme="minorHAnsi"/>
                <w:sz w:val="18"/>
                <w:szCs w:val="18"/>
              </w:rPr>
            </w:pPr>
            <w:r w:rsidRPr="00A836C9">
              <w:rPr>
                <w:rFonts w:asciiTheme="minorHAnsi" w:hAnsiTheme="minorHAnsi"/>
                <w:sz w:val="18"/>
                <w:szCs w:val="18"/>
              </w:rPr>
              <w:t>-</w:t>
            </w:r>
          </w:p>
          <w:p w:rsidR="009B7C43" w:rsidRPr="00A836C9" w:rsidRDefault="009B7C43" w:rsidP="00D11375">
            <w:pPr>
              <w:rPr>
                <w:rFonts w:asciiTheme="minorHAnsi" w:hAnsiTheme="minorHAnsi"/>
                <w:sz w:val="18"/>
                <w:szCs w:val="18"/>
              </w:rPr>
            </w:pPr>
            <w:r w:rsidRPr="00A836C9">
              <w:rPr>
                <w:rFonts w:asciiTheme="minorHAnsi" w:hAnsiTheme="minorHAnsi"/>
                <w:sz w:val="18"/>
                <w:szCs w:val="18"/>
              </w:rPr>
              <w:t>-</w:t>
            </w:r>
          </w:p>
        </w:tc>
        <w:tc>
          <w:tcPr>
            <w:tcW w:w="1276" w:type="dxa"/>
          </w:tcPr>
          <w:p w:rsidR="009B7C43" w:rsidRPr="00A836C9" w:rsidRDefault="009B7C43" w:rsidP="00D11375">
            <w:pPr>
              <w:rPr>
                <w:rFonts w:asciiTheme="minorHAnsi" w:hAnsiTheme="minorHAnsi"/>
                <w:sz w:val="18"/>
                <w:szCs w:val="18"/>
              </w:rPr>
            </w:pPr>
          </w:p>
          <w:p w:rsidR="009B7C43" w:rsidRPr="00A836C9" w:rsidRDefault="009B7C43" w:rsidP="00D11375">
            <w:pPr>
              <w:rPr>
                <w:rFonts w:asciiTheme="minorHAnsi" w:hAnsiTheme="minorHAnsi"/>
                <w:sz w:val="18"/>
                <w:szCs w:val="18"/>
              </w:rPr>
            </w:pPr>
          </w:p>
          <w:p w:rsidR="009B7C43" w:rsidRPr="00A836C9" w:rsidRDefault="009B7C43" w:rsidP="00D11375">
            <w:pPr>
              <w:rPr>
                <w:rFonts w:asciiTheme="minorHAnsi" w:hAnsiTheme="minorHAnsi"/>
                <w:sz w:val="18"/>
                <w:szCs w:val="18"/>
              </w:rPr>
            </w:pPr>
          </w:p>
          <w:p w:rsidR="009B7C43" w:rsidRPr="00A836C9" w:rsidRDefault="009B7C43" w:rsidP="00D11375">
            <w:pPr>
              <w:rPr>
                <w:rFonts w:asciiTheme="minorHAnsi" w:hAnsiTheme="minorHAnsi"/>
                <w:sz w:val="18"/>
                <w:szCs w:val="18"/>
              </w:rPr>
            </w:pPr>
            <w:r w:rsidRPr="00A836C9">
              <w:rPr>
                <w:rFonts w:asciiTheme="minorHAnsi" w:hAnsiTheme="minorHAnsi"/>
                <w:sz w:val="18"/>
                <w:szCs w:val="18"/>
              </w:rPr>
              <w:sym w:font="Symbol" w:char="F0B3"/>
            </w:r>
            <w:r w:rsidRPr="00A836C9">
              <w:rPr>
                <w:rFonts w:asciiTheme="minorHAnsi" w:hAnsiTheme="minorHAnsi"/>
                <w:sz w:val="18"/>
                <w:szCs w:val="18"/>
              </w:rPr>
              <w:t xml:space="preserve"> 0,40</w:t>
            </w:r>
          </w:p>
          <w:p w:rsidR="009B7C43" w:rsidRPr="00A836C9" w:rsidRDefault="009B7C43" w:rsidP="00D11375">
            <w:pPr>
              <w:rPr>
                <w:rFonts w:asciiTheme="minorHAnsi" w:hAnsiTheme="minorHAnsi"/>
                <w:sz w:val="18"/>
                <w:szCs w:val="18"/>
              </w:rPr>
            </w:pPr>
            <w:r w:rsidRPr="00A836C9">
              <w:rPr>
                <w:rFonts w:asciiTheme="minorHAnsi" w:hAnsiTheme="minorHAnsi"/>
                <w:sz w:val="18"/>
                <w:szCs w:val="18"/>
              </w:rPr>
              <w:sym w:font="Symbol" w:char="F0B3"/>
            </w:r>
            <w:r w:rsidRPr="00A836C9">
              <w:rPr>
                <w:rFonts w:asciiTheme="minorHAnsi" w:hAnsiTheme="minorHAnsi"/>
                <w:sz w:val="18"/>
                <w:szCs w:val="18"/>
              </w:rPr>
              <w:t xml:space="preserve"> 0,30</w:t>
            </w:r>
          </w:p>
        </w:tc>
        <w:tc>
          <w:tcPr>
            <w:tcW w:w="924" w:type="dxa"/>
          </w:tcPr>
          <w:p w:rsidR="009B7C43" w:rsidRPr="00A836C9" w:rsidRDefault="009B7C43" w:rsidP="00D11375">
            <w:pPr>
              <w:rPr>
                <w:rFonts w:asciiTheme="minorHAnsi" w:hAnsiTheme="minorHAnsi"/>
                <w:sz w:val="18"/>
                <w:szCs w:val="18"/>
              </w:rPr>
            </w:pPr>
          </w:p>
          <w:p w:rsidR="009B7C43" w:rsidRPr="00A836C9" w:rsidRDefault="009B7C43" w:rsidP="00D11375">
            <w:pPr>
              <w:rPr>
                <w:rFonts w:asciiTheme="minorHAnsi" w:hAnsiTheme="minorHAnsi"/>
                <w:sz w:val="18"/>
                <w:szCs w:val="18"/>
              </w:rPr>
            </w:pPr>
          </w:p>
          <w:p w:rsidR="009B7C43" w:rsidRPr="00A836C9" w:rsidRDefault="009B7C43" w:rsidP="00D11375">
            <w:pPr>
              <w:rPr>
                <w:rFonts w:asciiTheme="minorHAnsi" w:hAnsiTheme="minorHAnsi"/>
                <w:sz w:val="18"/>
                <w:szCs w:val="18"/>
              </w:rPr>
            </w:pPr>
          </w:p>
          <w:p w:rsidR="009B7C43" w:rsidRPr="00A836C9" w:rsidRDefault="009B7C43" w:rsidP="00D11375">
            <w:pPr>
              <w:rPr>
                <w:rFonts w:asciiTheme="minorHAnsi" w:hAnsiTheme="minorHAnsi"/>
                <w:sz w:val="18"/>
                <w:szCs w:val="18"/>
              </w:rPr>
            </w:pPr>
            <w:r w:rsidRPr="00A836C9">
              <w:rPr>
                <w:rFonts w:asciiTheme="minorHAnsi" w:hAnsiTheme="minorHAnsi"/>
                <w:sz w:val="18"/>
                <w:szCs w:val="18"/>
              </w:rPr>
              <w:t>B3</w:t>
            </w:r>
          </w:p>
          <w:p w:rsidR="009B7C43" w:rsidRPr="00A836C9" w:rsidRDefault="009B7C43" w:rsidP="00D11375">
            <w:pPr>
              <w:rPr>
                <w:rFonts w:asciiTheme="minorHAnsi" w:hAnsiTheme="minorHAnsi"/>
                <w:sz w:val="18"/>
                <w:szCs w:val="18"/>
              </w:rPr>
            </w:pPr>
            <w:r w:rsidRPr="00A836C9">
              <w:rPr>
                <w:rFonts w:asciiTheme="minorHAnsi" w:hAnsiTheme="minorHAnsi"/>
                <w:sz w:val="18"/>
                <w:szCs w:val="18"/>
              </w:rPr>
              <w:t>B2</w:t>
            </w:r>
          </w:p>
        </w:tc>
      </w:tr>
      <w:tr w:rsidR="009B7C43" w:rsidRPr="00A836C9" w:rsidTr="00D11375">
        <w:trPr>
          <w:cantSplit/>
        </w:trPr>
        <w:tc>
          <w:tcPr>
            <w:tcW w:w="496" w:type="dxa"/>
          </w:tcPr>
          <w:p w:rsidR="009B7C43" w:rsidRPr="00A836C9" w:rsidRDefault="009B7C43" w:rsidP="00D11375">
            <w:pPr>
              <w:jc w:val="center"/>
              <w:rPr>
                <w:rFonts w:asciiTheme="minorHAnsi" w:hAnsiTheme="minorHAnsi"/>
                <w:sz w:val="18"/>
                <w:szCs w:val="18"/>
              </w:rPr>
            </w:pPr>
            <w:r>
              <w:rPr>
                <w:rFonts w:asciiTheme="minorHAnsi" w:hAnsiTheme="minorHAnsi"/>
                <w:sz w:val="18"/>
                <w:szCs w:val="18"/>
              </w:rPr>
              <w:t>5</w:t>
            </w:r>
          </w:p>
        </w:tc>
        <w:tc>
          <w:tcPr>
            <w:tcW w:w="3685" w:type="dxa"/>
          </w:tcPr>
          <w:p w:rsidR="009B7C43" w:rsidRPr="00A836C9" w:rsidRDefault="009B7C43" w:rsidP="00D11375">
            <w:pPr>
              <w:rPr>
                <w:rFonts w:asciiTheme="minorHAnsi" w:hAnsiTheme="minorHAnsi"/>
                <w:sz w:val="18"/>
                <w:szCs w:val="18"/>
              </w:rPr>
            </w:pPr>
            <w:r w:rsidRPr="00A836C9">
              <w:rPr>
                <w:rFonts w:asciiTheme="minorHAnsi" w:hAnsiTheme="minorHAnsi"/>
                <w:sz w:val="18"/>
                <w:szCs w:val="18"/>
              </w:rPr>
              <w:t xml:space="preserve">Współczynnik luminancji </w:t>
            </w:r>
            <w:r w:rsidRPr="00A836C9">
              <w:rPr>
                <w:rFonts w:asciiTheme="minorHAnsi" w:hAnsiTheme="minorHAnsi"/>
                <w:sz w:val="18"/>
                <w:szCs w:val="18"/>
              </w:rPr>
              <w:sym w:font="Symbol" w:char="F062"/>
            </w:r>
            <w:r w:rsidRPr="00A836C9">
              <w:rPr>
                <w:rFonts w:asciiTheme="minorHAnsi" w:hAnsiTheme="minorHAnsi"/>
                <w:sz w:val="18"/>
                <w:szCs w:val="18"/>
              </w:rPr>
              <w:t xml:space="preserve"> dla oznakowania eksploatowanego (po 30 dniu od wykonania) barwy:</w:t>
            </w:r>
          </w:p>
          <w:p w:rsidR="009B7C43" w:rsidRPr="00A836C9" w:rsidRDefault="009B7C43" w:rsidP="00D11375">
            <w:pPr>
              <w:rPr>
                <w:rFonts w:asciiTheme="minorHAnsi" w:hAnsiTheme="minorHAnsi"/>
                <w:sz w:val="18"/>
                <w:szCs w:val="18"/>
              </w:rPr>
            </w:pPr>
            <w:r w:rsidRPr="00A836C9">
              <w:rPr>
                <w:rFonts w:asciiTheme="minorHAnsi" w:hAnsiTheme="minorHAnsi"/>
                <w:sz w:val="18"/>
                <w:szCs w:val="18"/>
              </w:rPr>
              <w:t>- białej</w:t>
            </w:r>
          </w:p>
          <w:p w:rsidR="009B7C43" w:rsidRPr="00A836C9" w:rsidRDefault="009B7C43" w:rsidP="00D11375">
            <w:pPr>
              <w:rPr>
                <w:rFonts w:asciiTheme="minorHAnsi" w:hAnsiTheme="minorHAnsi"/>
                <w:sz w:val="18"/>
                <w:szCs w:val="18"/>
              </w:rPr>
            </w:pPr>
            <w:r w:rsidRPr="00A836C9">
              <w:rPr>
                <w:rFonts w:asciiTheme="minorHAnsi" w:hAnsiTheme="minorHAnsi"/>
                <w:sz w:val="18"/>
                <w:szCs w:val="18"/>
              </w:rPr>
              <w:t>- żółtej</w:t>
            </w:r>
          </w:p>
        </w:tc>
        <w:tc>
          <w:tcPr>
            <w:tcW w:w="1134" w:type="dxa"/>
          </w:tcPr>
          <w:p w:rsidR="009B7C43" w:rsidRPr="00A836C9" w:rsidRDefault="009B7C43" w:rsidP="00D11375">
            <w:pPr>
              <w:rPr>
                <w:rFonts w:asciiTheme="minorHAnsi" w:hAnsiTheme="minorHAnsi"/>
                <w:sz w:val="18"/>
                <w:szCs w:val="18"/>
              </w:rPr>
            </w:pPr>
          </w:p>
          <w:p w:rsidR="009B7C43" w:rsidRPr="00A836C9" w:rsidRDefault="009B7C43" w:rsidP="00D11375">
            <w:pPr>
              <w:rPr>
                <w:rFonts w:asciiTheme="minorHAnsi" w:hAnsiTheme="minorHAnsi"/>
                <w:sz w:val="18"/>
                <w:szCs w:val="18"/>
              </w:rPr>
            </w:pPr>
          </w:p>
          <w:p w:rsidR="009B7C43" w:rsidRPr="00A836C9" w:rsidRDefault="009B7C43" w:rsidP="00D11375">
            <w:pPr>
              <w:rPr>
                <w:rFonts w:asciiTheme="minorHAnsi" w:hAnsiTheme="minorHAnsi"/>
                <w:sz w:val="18"/>
                <w:szCs w:val="18"/>
              </w:rPr>
            </w:pPr>
          </w:p>
          <w:p w:rsidR="009B7C43" w:rsidRPr="00A836C9" w:rsidRDefault="009B7C43" w:rsidP="00D11375">
            <w:pPr>
              <w:rPr>
                <w:rFonts w:asciiTheme="minorHAnsi" w:hAnsiTheme="minorHAnsi"/>
                <w:sz w:val="18"/>
                <w:szCs w:val="18"/>
              </w:rPr>
            </w:pPr>
            <w:r w:rsidRPr="00A836C9">
              <w:rPr>
                <w:rFonts w:asciiTheme="minorHAnsi" w:hAnsiTheme="minorHAnsi"/>
                <w:sz w:val="18"/>
                <w:szCs w:val="18"/>
              </w:rPr>
              <w:t>-</w:t>
            </w:r>
          </w:p>
          <w:p w:rsidR="009B7C43" w:rsidRPr="00A836C9" w:rsidRDefault="009B7C43" w:rsidP="00D11375">
            <w:pPr>
              <w:rPr>
                <w:rFonts w:asciiTheme="minorHAnsi" w:hAnsiTheme="minorHAnsi"/>
                <w:sz w:val="18"/>
                <w:szCs w:val="18"/>
              </w:rPr>
            </w:pPr>
            <w:r w:rsidRPr="00A836C9">
              <w:rPr>
                <w:rFonts w:asciiTheme="minorHAnsi" w:hAnsiTheme="minorHAnsi"/>
                <w:sz w:val="18"/>
                <w:szCs w:val="18"/>
              </w:rPr>
              <w:t>-</w:t>
            </w:r>
          </w:p>
        </w:tc>
        <w:tc>
          <w:tcPr>
            <w:tcW w:w="1276" w:type="dxa"/>
          </w:tcPr>
          <w:p w:rsidR="009B7C43" w:rsidRPr="00A836C9" w:rsidRDefault="009B7C43" w:rsidP="00D11375">
            <w:pPr>
              <w:rPr>
                <w:rFonts w:asciiTheme="minorHAnsi" w:hAnsiTheme="minorHAnsi"/>
                <w:sz w:val="18"/>
                <w:szCs w:val="18"/>
              </w:rPr>
            </w:pPr>
          </w:p>
          <w:p w:rsidR="009B7C43" w:rsidRPr="00A836C9" w:rsidRDefault="009B7C43" w:rsidP="00D11375">
            <w:pPr>
              <w:rPr>
                <w:rFonts w:asciiTheme="minorHAnsi" w:hAnsiTheme="minorHAnsi"/>
                <w:sz w:val="18"/>
                <w:szCs w:val="18"/>
              </w:rPr>
            </w:pPr>
          </w:p>
          <w:p w:rsidR="009B7C43" w:rsidRPr="00A836C9" w:rsidRDefault="009B7C43" w:rsidP="00D11375">
            <w:pPr>
              <w:rPr>
                <w:rFonts w:asciiTheme="minorHAnsi" w:hAnsiTheme="minorHAnsi"/>
                <w:sz w:val="18"/>
                <w:szCs w:val="18"/>
              </w:rPr>
            </w:pPr>
          </w:p>
          <w:p w:rsidR="009B7C43" w:rsidRPr="00A836C9" w:rsidRDefault="009B7C43" w:rsidP="00D11375">
            <w:pPr>
              <w:rPr>
                <w:rFonts w:asciiTheme="minorHAnsi" w:hAnsiTheme="minorHAnsi"/>
                <w:sz w:val="18"/>
                <w:szCs w:val="18"/>
              </w:rPr>
            </w:pPr>
            <w:r w:rsidRPr="00A836C9">
              <w:rPr>
                <w:rFonts w:asciiTheme="minorHAnsi" w:hAnsiTheme="minorHAnsi"/>
                <w:sz w:val="18"/>
                <w:szCs w:val="18"/>
              </w:rPr>
              <w:sym w:font="Symbol" w:char="F0B3"/>
            </w:r>
            <w:r w:rsidRPr="00A836C9">
              <w:rPr>
                <w:rFonts w:asciiTheme="minorHAnsi" w:hAnsiTheme="minorHAnsi"/>
                <w:sz w:val="18"/>
                <w:szCs w:val="18"/>
              </w:rPr>
              <w:t xml:space="preserve"> 0,30</w:t>
            </w:r>
          </w:p>
          <w:p w:rsidR="009B7C43" w:rsidRPr="00A836C9" w:rsidRDefault="009B7C43" w:rsidP="00D11375">
            <w:pPr>
              <w:rPr>
                <w:rFonts w:asciiTheme="minorHAnsi" w:hAnsiTheme="minorHAnsi"/>
                <w:sz w:val="18"/>
                <w:szCs w:val="18"/>
              </w:rPr>
            </w:pPr>
            <w:r w:rsidRPr="00A836C9">
              <w:rPr>
                <w:rFonts w:asciiTheme="minorHAnsi" w:hAnsiTheme="minorHAnsi"/>
                <w:sz w:val="18"/>
                <w:szCs w:val="18"/>
              </w:rPr>
              <w:sym w:font="Symbol" w:char="F0B3"/>
            </w:r>
            <w:r w:rsidRPr="00A836C9">
              <w:rPr>
                <w:rFonts w:asciiTheme="minorHAnsi" w:hAnsiTheme="minorHAnsi"/>
                <w:sz w:val="18"/>
                <w:szCs w:val="18"/>
              </w:rPr>
              <w:t xml:space="preserve"> 0,20</w:t>
            </w:r>
          </w:p>
        </w:tc>
        <w:tc>
          <w:tcPr>
            <w:tcW w:w="924" w:type="dxa"/>
          </w:tcPr>
          <w:p w:rsidR="009B7C43" w:rsidRPr="00A836C9" w:rsidRDefault="009B7C43" w:rsidP="00D11375">
            <w:pPr>
              <w:rPr>
                <w:rFonts w:asciiTheme="minorHAnsi" w:hAnsiTheme="minorHAnsi"/>
                <w:sz w:val="18"/>
                <w:szCs w:val="18"/>
              </w:rPr>
            </w:pPr>
          </w:p>
          <w:p w:rsidR="009B7C43" w:rsidRPr="00A836C9" w:rsidRDefault="009B7C43" w:rsidP="00D11375">
            <w:pPr>
              <w:rPr>
                <w:rFonts w:asciiTheme="minorHAnsi" w:hAnsiTheme="minorHAnsi"/>
                <w:sz w:val="18"/>
                <w:szCs w:val="18"/>
              </w:rPr>
            </w:pPr>
          </w:p>
          <w:p w:rsidR="009B7C43" w:rsidRPr="00A836C9" w:rsidRDefault="009B7C43" w:rsidP="00D11375">
            <w:pPr>
              <w:rPr>
                <w:rFonts w:asciiTheme="minorHAnsi" w:hAnsiTheme="minorHAnsi"/>
                <w:sz w:val="18"/>
                <w:szCs w:val="18"/>
              </w:rPr>
            </w:pPr>
          </w:p>
          <w:p w:rsidR="009B7C43" w:rsidRPr="00A836C9" w:rsidRDefault="009B7C43" w:rsidP="00D11375">
            <w:pPr>
              <w:rPr>
                <w:rFonts w:asciiTheme="minorHAnsi" w:hAnsiTheme="minorHAnsi"/>
                <w:sz w:val="18"/>
                <w:szCs w:val="18"/>
              </w:rPr>
            </w:pPr>
            <w:r w:rsidRPr="00A836C9">
              <w:rPr>
                <w:rFonts w:asciiTheme="minorHAnsi" w:hAnsiTheme="minorHAnsi"/>
                <w:sz w:val="18"/>
                <w:szCs w:val="18"/>
              </w:rPr>
              <w:t>B2</w:t>
            </w:r>
          </w:p>
          <w:p w:rsidR="009B7C43" w:rsidRPr="00A836C9" w:rsidRDefault="009B7C43" w:rsidP="00D11375">
            <w:pPr>
              <w:rPr>
                <w:rFonts w:asciiTheme="minorHAnsi" w:hAnsiTheme="minorHAnsi"/>
                <w:sz w:val="18"/>
                <w:szCs w:val="18"/>
              </w:rPr>
            </w:pPr>
            <w:r w:rsidRPr="00A836C9">
              <w:rPr>
                <w:rFonts w:asciiTheme="minorHAnsi" w:hAnsiTheme="minorHAnsi"/>
                <w:sz w:val="18"/>
                <w:szCs w:val="18"/>
              </w:rPr>
              <w:t>B1</w:t>
            </w:r>
          </w:p>
        </w:tc>
      </w:tr>
      <w:tr w:rsidR="009B7C43" w:rsidRPr="00A836C9" w:rsidTr="00D11375">
        <w:trPr>
          <w:cantSplit/>
        </w:trPr>
        <w:tc>
          <w:tcPr>
            <w:tcW w:w="496" w:type="dxa"/>
          </w:tcPr>
          <w:p w:rsidR="009B7C43" w:rsidRPr="00A836C9" w:rsidRDefault="009B7C43" w:rsidP="00D11375">
            <w:pPr>
              <w:jc w:val="center"/>
              <w:rPr>
                <w:rFonts w:asciiTheme="minorHAnsi" w:hAnsiTheme="minorHAnsi"/>
                <w:sz w:val="18"/>
                <w:szCs w:val="18"/>
              </w:rPr>
            </w:pPr>
            <w:r>
              <w:rPr>
                <w:rFonts w:asciiTheme="minorHAnsi" w:hAnsiTheme="minorHAnsi"/>
                <w:sz w:val="18"/>
                <w:szCs w:val="18"/>
              </w:rPr>
              <w:t>6</w:t>
            </w:r>
          </w:p>
        </w:tc>
        <w:tc>
          <w:tcPr>
            <w:tcW w:w="3685" w:type="dxa"/>
          </w:tcPr>
          <w:p w:rsidR="009B7C43" w:rsidRPr="00A836C9" w:rsidRDefault="009B7C43" w:rsidP="00D11375">
            <w:pPr>
              <w:rPr>
                <w:rFonts w:asciiTheme="minorHAnsi" w:hAnsiTheme="minorHAnsi"/>
                <w:sz w:val="18"/>
                <w:szCs w:val="18"/>
              </w:rPr>
            </w:pPr>
            <w:r w:rsidRPr="00A836C9">
              <w:rPr>
                <w:rFonts w:asciiTheme="minorHAnsi" w:hAnsiTheme="minorHAnsi"/>
                <w:sz w:val="18"/>
                <w:szCs w:val="18"/>
              </w:rPr>
              <w:t xml:space="preserve">Współczynnik luminancji w świetle rozproszonym Qd (alternatywnie do </w:t>
            </w:r>
            <w:r w:rsidRPr="00A836C9">
              <w:rPr>
                <w:rFonts w:asciiTheme="minorHAnsi" w:hAnsiTheme="minorHAnsi"/>
                <w:sz w:val="18"/>
                <w:szCs w:val="18"/>
              </w:rPr>
              <w:sym w:font="Symbol" w:char="F062"/>
            </w:r>
            <w:r w:rsidRPr="00A836C9">
              <w:rPr>
                <w:rFonts w:asciiTheme="minorHAnsi" w:hAnsiTheme="minorHAnsi"/>
                <w:sz w:val="18"/>
                <w:szCs w:val="18"/>
              </w:rPr>
              <w:t>) dla oznakowania nowego w ciągu od 14 do 30  dnia po wykonaniu, barwy:</w:t>
            </w:r>
          </w:p>
          <w:p w:rsidR="009B7C43" w:rsidRPr="00A836C9" w:rsidRDefault="009B7C43" w:rsidP="00D11375">
            <w:pPr>
              <w:rPr>
                <w:rFonts w:asciiTheme="minorHAnsi" w:hAnsiTheme="minorHAnsi"/>
                <w:sz w:val="18"/>
                <w:szCs w:val="18"/>
              </w:rPr>
            </w:pPr>
            <w:r w:rsidRPr="00A836C9">
              <w:rPr>
                <w:rFonts w:asciiTheme="minorHAnsi" w:hAnsiTheme="minorHAnsi"/>
                <w:sz w:val="18"/>
                <w:szCs w:val="18"/>
              </w:rPr>
              <w:t>białej na nawierzchni asfaltowej</w:t>
            </w:r>
          </w:p>
          <w:p w:rsidR="009B7C43" w:rsidRPr="00A836C9" w:rsidRDefault="009B7C43" w:rsidP="00D11375">
            <w:pPr>
              <w:rPr>
                <w:rFonts w:asciiTheme="minorHAnsi" w:hAnsiTheme="minorHAnsi"/>
                <w:sz w:val="18"/>
                <w:szCs w:val="18"/>
              </w:rPr>
            </w:pPr>
            <w:r w:rsidRPr="00A836C9">
              <w:rPr>
                <w:rFonts w:asciiTheme="minorHAnsi" w:hAnsiTheme="minorHAnsi"/>
                <w:sz w:val="18"/>
                <w:szCs w:val="18"/>
              </w:rPr>
              <w:t>żółtej</w:t>
            </w:r>
          </w:p>
        </w:tc>
        <w:tc>
          <w:tcPr>
            <w:tcW w:w="1134" w:type="dxa"/>
          </w:tcPr>
          <w:p w:rsidR="009B7C43" w:rsidRPr="00A836C9" w:rsidRDefault="009B7C43" w:rsidP="00D11375">
            <w:pPr>
              <w:rPr>
                <w:rFonts w:asciiTheme="minorHAnsi" w:hAnsiTheme="minorHAnsi"/>
                <w:sz w:val="18"/>
                <w:szCs w:val="18"/>
              </w:rPr>
            </w:pPr>
          </w:p>
          <w:p w:rsidR="009B7C43" w:rsidRPr="00A836C9" w:rsidRDefault="009B7C43" w:rsidP="00D11375">
            <w:pPr>
              <w:rPr>
                <w:rFonts w:asciiTheme="minorHAnsi" w:hAnsiTheme="minorHAnsi"/>
                <w:sz w:val="18"/>
                <w:szCs w:val="18"/>
              </w:rPr>
            </w:pPr>
          </w:p>
          <w:p w:rsidR="009B7C43" w:rsidRPr="00A836C9" w:rsidRDefault="009B7C43" w:rsidP="00D11375">
            <w:pPr>
              <w:rPr>
                <w:rFonts w:asciiTheme="minorHAnsi" w:hAnsiTheme="minorHAnsi"/>
                <w:sz w:val="18"/>
                <w:szCs w:val="18"/>
              </w:rPr>
            </w:pPr>
          </w:p>
          <w:p w:rsidR="009B7C43" w:rsidRPr="00A836C9" w:rsidRDefault="009B7C43" w:rsidP="00D11375">
            <w:pPr>
              <w:rPr>
                <w:rFonts w:asciiTheme="minorHAnsi" w:hAnsiTheme="minorHAnsi"/>
                <w:sz w:val="18"/>
                <w:szCs w:val="18"/>
              </w:rPr>
            </w:pPr>
          </w:p>
          <w:p w:rsidR="009B7C43" w:rsidRPr="00A836C9" w:rsidRDefault="009B7C43" w:rsidP="00D11375">
            <w:pPr>
              <w:rPr>
                <w:rFonts w:asciiTheme="minorHAnsi" w:hAnsiTheme="minorHAnsi"/>
                <w:sz w:val="18"/>
                <w:szCs w:val="18"/>
              </w:rPr>
            </w:pPr>
            <w:r w:rsidRPr="00A836C9">
              <w:rPr>
                <w:rFonts w:asciiTheme="minorHAnsi" w:hAnsiTheme="minorHAnsi"/>
                <w:sz w:val="18"/>
                <w:szCs w:val="18"/>
              </w:rPr>
              <w:t>mcd m-2 lx-1</w:t>
            </w:r>
          </w:p>
          <w:p w:rsidR="009B7C43" w:rsidRPr="00A836C9" w:rsidRDefault="009B7C43" w:rsidP="00D11375">
            <w:pPr>
              <w:rPr>
                <w:rFonts w:asciiTheme="minorHAnsi" w:hAnsiTheme="minorHAnsi"/>
                <w:sz w:val="18"/>
                <w:szCs w:val="18"/>
              </w:rPr>
            </w:pPr>
            <w:r w:rsidRPr="00A836C9">
              <w:rPr>
                <w:rFonts w:asciiTheme="minorHAnsi" w:hAnsiTheme="minorHAnsi"/>
                <w:sz w:val="18"/>
                <w:szCs w:val="18"/>
              </w:rPr>
              <w:t>mcd m-2 lx-1</w:t>
            </w:r>
          </w:p>
        </w:tc>
        <w:tc>
          <w:tcPr>
            <w:tcW w:w="1276" w:type="dxa"/>
          </w:tcPr>
          <w:p w:rsidR="009B7C43" w:rsidRPr="00A836C9" w:rsidRDefault="009B7C43" w:rsidP="00D11375">
            <w:pPr>
              <w:rPr>
                <w:rFonts w:asciiTheme="minorHAnsi" w:hAnsiTheme="minorHAnsi"/>
                <w:sz w:val="18"/>
                <w:szCs w:val="18"/>
              </w:rPr>
            </w:pPr>
          </w:p>
          <w:p w:rsidR="009B7C43" w:rsidRPr="00A836C9" w:rsidRDefault="009B7C43" w:rsidP="00D11375">
            <w:pPr>
              <w:rPr>
                <w:rFonts w:asciiTheme="minorHAnsi" w:hAnsiTheme="minorHAnsi"/>
                <w:sz w:val="18"/>
                <w:szCs w:val="18"/>
              </w:rPr>
            </w:pPr>
          </w:p>
          <w:p w:rsidR="009B7C43" w:rsidRPr="00A836C9" w:rsidRDefault="009B7C43" w:rsidP="00D11375">
            <w:pPr>
              <w:rPr>
                <w:rFonts w:asciiTheme="minorHAnsi" w:hAnsiTheme="minorHAnsi"/>
                <w:sz w:val="18"/>
                <w:szCs w:val="18"/>
              </w:rPr>
            </w:pPr>
          </w:p>
          <w:p w:rsidR="009B7C43" w:rsidRPr="00A836C9" w:rsidRDefault="009B7C43" w:rsidP="00D11375">
            <w:pPr>
              <w:rPr>
                <w:rFonts w:asciiTheme="minorHAnsi" w:hAnsiTheme="minorHAnsi"/>
                <w:sz w:val="18"/>
                <w:szCs w:val="18"/>
              </w:rPr>
            </w:pPr>
          </w:p>
          <w:p w:rsidR="009B7C43" w:rsidRPr="00A836C9" w:rsidRDefault="009B7C43" w:rsidP="00D11375">
            <w:pPr>
              <w:rPr>
                <w:rFonts w:asciiTheme="minorHAnsi" w:hAnsiTheme="minorHAnsi"/>
                <w:sz w:val="18"/>
                <w:szCs w:val="18"/>
              </w:rPr>
            </w:pPr>
            <w:r w:rsidRPr="00A836C9">
              <w:rPr>
                <w:rFonts w:asciiTheme="minorHAnsi" w:hAnsiTheme="minorHAnsi"/>
                <w:sz w:val="18"/>
                <w:szCs w:val="18"/>
              </w:rPr>
              <w:sym w:font="Symbol" w:char="F0B3"/>
            </w:r>
            <w:r w:rsidRPr="00A836C9">
              <w:rPr>
                <w:rFonts w:asciiTheme="minorHAnsi" w:hAnsiTheme="minorHAnsi"/>
                <w:sz w:val="18"/>
                <w:szCs w:val="18"/>
              </w:rPr>
              <w:t xml:space="preserve"> 130</w:t>
            </w:r>
          </w:p>
          <w:p w:rsidR="009B7C43" w:rsidRPr="00A836C9" w:rsidRDefault="009B7C43" w:rsidP="00D11375">
            <w:pPr>
              <w:rPr>
                <w:rFonts w:asciiTheme="minorHAnsi" w:hAnsiTheme="minorHAnsi"/>
                <w:sz w:val="18"/>
                <w:szCs w:val="18"/>
              </w:rPr>
            </w:pPr>
            <w:r w:rsidRPr="00A836C9">
              <w:rPr>
                <w:rFonts w:asciiTheme="minorHAnsi" w:hAnsiTheme="minorHAnsi"/>
                <w:sz w:val="18"/>
                <w:szCs w:val="18"/>
              </w:rPr>
              <w:sym w:font="Symbol" w:char="F0B3"/>
            </w:r>
            <w:r w:rsidRPr="00A836C9">
              <w:rPr>
                <w:rFonts w:asciiTheme="minorHAnsi" w:hAnsiTheme="minorHAnsi"/>
                <w:sz w:val="18"/>
                <w:szCs w:val="18"/>
              </w:rPr>
              <w:t xml:space="preserve"> 100</w:t>
            </w:r>
          </w:p>
        </w:tc>
        <w:tc>
          <w:tcPr>
            <w:tcW w:w="924" w:type="dxa"/>
          </w:tcPr>
          <w:p w:rsidR="009B7C43" w:rsidRPr="00A836C9" w:rsidRDefault="009B7C43" w:rsidP="00D11375">
            <w:pPr>
              <w:rPr>
                <w:rFonts w:asciiTheme="minorHAnsi" w:hAnsiTheme="minorHAnsi"/>
                <w:sz w:val="18"/>
                <w:szCs w:val="18"/>
              </w:rPr>
            </w:pPr>
          </w:p>
          <w:p w:rsidR="009B7C43" w:rsidRPr="00A836C9" w:rsidRDefault="009B7C43" w:rsidP="00D11375">
            <w:pPr>
              <w:rPr>
                <w:rFonts w:asciiTheme="minorHAnsi" w:hAnsiTheme="minorHAnsi"/>
                <w:sz w:val="18"/>
                <w:szCs w:val="18"/>
              </w:rPr>
            </w:pPr>
          </w:p>
          <w:p w:rsidR="009B7C43" w:rsidRPr="00A836C9" w:rsidRDefault="009B7C43" w:rsidP="00D11375">
            <w:pPr>
              <w:rPr>
                <w:rFonts w:asciiTheme="minorHAnsi" w:hAnsiTheme="minorHAnsi"/>
                <w:sz w:val="18"/>
                <w:szCs w:val="18"/>
              </w:rPr>
            </w:pPr>
          </w:p>
          <w:p w:rsidR="009B7C43" w:rsidRPr="00A836C9" w:rsidRDefault="009B7C43" w:rsidP="00D11375">
            <w:pPr>
              <w:rPr>
                <w:rFonts w:asciiTheme="minorHAnsi" w:hAnsiTheme="minorHAnsi"/>
                <w:sz w:val="18"/>
                <w:szCs w:val="18"/>
              </w:rPr>
            </w:pPr>
          </w:p>
          <w:p w:rsidR="009B7C43" w:rsidRPr="00A836C9" w:rsidRDefault="009B7C43" w:rsidP="00D11375">
            <w:pPr>
              <w:rPr>
                <w:rFonts w:asciiTheme="minorHAnsi" w:hAnsiTheme="minorHAnsi"/>
                <w:sz w:val="18"/>
                <w:szCs w:val="18"/>
              </w:rPr>
            </w:pPr>
            <w:r w:rsidRPr="00A836C9">
              <w:rPr>
                <w:rFonts w:asciiTheme="minorHAnsi" w:hAnsiTheme="minorHAnsi"/>
                <w:sz w:val="18"/>
                <w:szCs w:val="18"/>
              </w:rPr>
              <w:t>Q3</w:t>
            </w:r>
          </w:p>
          <w:p w:rsidR="009B7C43" w:rsidRPr="00A836C9" w:rsidRDefault="009B7C43" w:rsidP="00D11375">
            <w:pPr>
              <w:rPr>
                <w:rFonts w:asciiTheme="minorHAnsi" w:hAnsiTheme="minorHAnsi"/>
                <w:sz w:val="18"/>
                <w:szCs w:val="18"/>
              </w:rPr>
            </w:pPr>
            <w:r w:rsidRPr="00A836C9">
              <w:rPr>
                <w:rFonts w:asciiTheme="minorHAnsi" w:hAnsiTheme="minorHAnsi"/>
                <w:sz w:val="18"/>
                <w:szCs w:val="18"/>
              </w:rPr>
              <w:t>Q2</w:t>
            </w:r>
          </w:p>
        </w:tc>
      </w:tr>
      <w:tr w:rsidR="009B7C43" w:rsidRPr="00A836C9" w:rsidTr="00D11375">
        <w:trPr>
          <w:cantSplit/>
        </w:trPr>
        <w:tc>
          <w:tcPr>
            <w:tcW w:w="496" w:type="dxa"/>
          </w:tcPr>
          <w:p w:rsidR="009B7C43" w:rsidRPr="00A836C9" w:rsidRDefault="009B7C43" w:rsidP="00D11375">
            <w:pPr>
              <w:jc w:val="center"/>
              <w:rPr>
                <w:rFonts w:asciiTheme="minorHAnsi" w:hAnsiTheme="minorHAnsi"/>
                <w:sz w:val="18"/>
                <w:szCs w:val="18"/>
              </w:rPr>
            </w:pPr>
            <w:r>
              <w:rPr>
                <w:rFonts w:asciiTheme="minorHAnsi" w:hAnsiTheme="minorHAnsi"/>
                <w:sz w:val="18"/>
                <w:szCs w:val="18"/>
              </w:rPr>
              <w:t>7</w:t>
            </w:r>
          </w:p>
        </w:tc>
        <w:tc>
          <w:tcPr>
            <w:tcW w:w="3685" w:type="dxa"/>
          </w:tcPr>
          <w:p w:rsidR="009B7C43" w:rsidRPr="00A836C9" w:rsidRDefault="009B7C43" w:rsidP="00D11375">
            <w:pPr>
              <w:rPr>
                <w:rFonts w:asciiTheme="minorHAnsi" w:hAnsiTheme="minorHAnsi"/>
                <w:sz w:val="18"/>
                <w:szCs w:val="18"/>
              </w:rPr>
            </w:pPr>
            <w:r w:rsidRPr="00A836C9">
              <w:rPr>
                <w:rFonts w:asciiTheme="minorHAnsi" w:hAnsiTheme="minorHAnsi"/>
                <w:sz w:val="18"/>
                <w:szCs w:val="18"/>
              </w:rPr>
              <w:t xml:space="preserve">Współczynnik luminancji w świetle rozproszonym Qd (alternatywnie do </w:t>
            </w:r>
            <w:r w:rsidRPr="00A836C9">
              <w:rPr>
                <w:rFonts w:asciiTheme="minorHAnsi" w:hAnsiTheme="minorHAnsi"/>
                <w:sz w:val="18"/>
                <w:szCs w:val="18"/>
              </w:rPr>
              <w:sym w:font="Symbol" w:char="F062"/>
            </w:r>
            <w:r w:rsidRPr="00A836C9">
              <w:rPr>
                <w:rFonts w:asciiTheme="minorHAnsi" w:hAnsiTheme="minorHAnsi"/>
                <w:sz w:val="18"/>
                <w:szCs w:val="18"/>
              </w:rPr>
              <w:t>) dla oznakowania eksploatowanego w ciągu całego okresu eksploatacji po 30 dniu od wykonania,  barwy:</w:t>
            </w:r>
          </w:p>
          <w:p w:rsidR="009B7C43" w:rsidRPr="00A836C9" w:rsidRDefault="009B7C43" w:rsidP="00D11375">
            <w:pPr>
              <w:rPr>
                <w:rFonts w:asciiTheme="minorHAnsi" w:hAnsiTheme="minorHAnsi"/>
                <w:sz w:val="18"/>
                <w:szCs w:val="18"/>
              </w:rPr>
            </w:pPr>
            <w:r w:rsidRPr="00A836C9">
              <w:rPr>
                <w:rFonts w:asciiTheme="minorHAnsi" w:hAnsiTheme="minorHAnsi"/>
                <w:sz w:val="18"/>
                <w:szCs w:val="18"/>
              </w:rPr>
              <w:t>białej na nawierzchni asfaltowej</w:t>
            </w:r>
          </w:p>
          <w:p w:rsidR="009B7C43" w:rsidRPr="00A836C9" w:rsidRDefault="009B7C43" w:rsidP="00D11375">
            <w:pPr>
              <w:rPr>
                <w:rFonts w:asciiTheme="minorHAnsi" w:hAnsiTheme="minorHAnsi"/>
                <w:sz w:val="18"/>
                <w:szCs w:val="18"/>
              </w:rPr>
            </w:pPr>
            <w:r w:rsidRPr="00A836C9">
              <w:rPr>
                <w:rFonts w:asciiTheme="minorHAnsi" w:hAnsiTheme="minorHAnsi"/>
                <w:sz w:val="18"/>
                <w:szCs w:val="18"/>
              </w:rPr>
              <w:t>żółtej</w:t>
            </w:r>
          </w:p>
        </w:tc>
        <w:tc>
          <w:tcPr>
            <w:tcW w:w="1134" w:type="dxa"/>
          </w:tcPr>
          <w:p w:rsidR="009B7C43" w:rsidRPr="00A836C9" w:rsidRDefault="009B7C43" w:rsidP="00D11375">
            <w:pPr>
              <w:rPr>
                <w:rFonts w:asciiTheme="minorHAnsi" w:hAnsiTheme="minorHAnsi"/>
                <w:sz w:val="18"/>
                <w:szCs w:val="18"/>
              </w:rPr>
            </w:pPr>
          </w:p>
          <w:p w:rsidR="009B7C43" w:rsidRPr="00A836C9" w:rsidRDefault="009B7C43" w:rsidP="00D11375">
            <w:pPr>
              <w:rPr>
                <w:rFonts w:asciiTheme="minorHAnsi" w:hAnsiTheme="minorHAnsi"/>
                <w:sz w:val="18"/>
                <w:szCs w:val="18"/>
              </w:rPr>
            </w:pPr>
          </w:p>
          <w:p w:rsidR="009B7C43" w:rsidRPr="00A836C9" w:rsidRDefault="009B7C43" w:rsidP="00D11375">
            <w:pPr>
              <w:rPr>
                <w:rFonts w:asciiTheme="minorHAnsi" w:hAnsiTheme="minorHAnsi"/>
                <w:sz w:val="18"/>
                <w:szCs w:val="18"/>
              </w:rPr>
            </w:pPr>
          </w:p>
          <w:p w:rsidR="009B7C43" w:rsidRPr="00A836C9" w:rsidRDefault="009B7C43" w:rsidP="00D11375">
            <w:pPr>
              <w:rPr>
                <w:rFonts w:asciiTheme="minorHAnsi" w:hAnsiTheme="minorHAnsi"/>
                <w:sz w:val="18"/>
                <w:szCs w:val="18"/>
              </w:rPr>
            </w:pPr>
          </w:p>
          <w:p w:rsidR="009B7C43" w:rsidRPr="00A836C9" w:rsidRDefault="009B7C43" w:rsidP="00D11375">
            <w:pPr>
              <w:rPr>
                <w:rFonts w:asciiTheme="minorHAnsi" w:hAnsiTheme="minorHAnsi"/>
                <w:sz w:val="18"/>
                <w:szCs w:val="18"/>
              </w:rPr>
            </w:pPr>
          </w:p>
          <w:p w:rsidR="009B7C43" w:rsidRPr="00A836C9" w:rsidRDefault="009B7C43" w:rsidP="00D11375">
            <w:pPr>
              <w:rPr>
                <w:rFonts w:asciiTheme="minorHAnsi" w:hAnsiTheme="minorHAnsi"/>
                <w:sz w:val="18"/>
                <w:szCs w:val="18"/>
              </w:rPr>
            </w:pPr>
            <w:r w:rsidRPr="00A836C9">
              <w:rPr>
                <w:rFonts w:asciiTheme="minorHAnsi" w:hAnsiTheme="minorHAnsi"/>
                <w:sz w:val="18"/>
                <w:szCs w:val="18"/>
              </w:rPr>
              <w:t>mcd m-2 lx-1</w:t>
            </w:r>
          </w:p>
          <w:p w:rsidR="009B7C43" w:rsidRPr="00A836C9" w:rsidRDefault="009B7C43" w:rsidP="00D11375">
            <w:pPr>
              <w:rPr>
                <w:rFonts w:asciiTheme="minorHAnsi" w:hAnsiTheme="minorHAnsi"/>
                <w:sz w:val="18"/>
                <w:szCs w:val="18"/>
              </w:rPr>
            </w:pPr>
            <w:r w:rsidRPr="00A836C9">
              <w:rPr>
                <w:rFonts w:asciiTheme="minorHAnsi" w:hAnsiTheme="minorHAnsi"/>
                <w:sz w:val="18"/>
                <w:szCs w:val="18"/>
              </w:rPr>
              <w:t>mcd m-2 lx-1</w:t>
            </w:r>
          </w:p>
        </w:tc>
        <w:tc>
          <w:tcPr>
            <w:tcW w:w="1276" w:type="dxa"/>
          </w:tcPr>
          <w:p w:rsidR="009B7C43" w:rsidRPr="00A836C9" w:rsidRDefault="009B7C43" w:rsidP="00D11375">
            <w:pPr>
              <w:rPr>
                <w:rFonts w:asciiTheme="minorHAnsi" w:hAnsiTheme="minorHAnsi"/>
                <w:sz w:val="18"/>
                <w:szCs w:val="18"/>
              </w:rPr>
            </w:pPr>
          </w:p>
          <w:p w:rsidR="009B7C43" w:rsidRPr="00A836C9" w:rsidRDefault="009B7C43" w:rsidP="00D11375">
            <w:pPr>
              <w:rPr>
                <w:rFonts w:asciiTheme="minorHAnsi" w:hAnsiTheme="minorHAnsi"/>
                <w:sz w:val="18"/>
                <w:szCs w:val="18"/>
              </w:rPr>
            </w:pPr>
          </w:p>
          <w:p w:rsidR="009B7C43" w:rsidRPr="00A836C9" w:rsidRDefault="009B7C43" w:rsidP="00D11375">
            <w:pPr>
              <w:rPr>
                <w:rFonts w:asciiTheme="minorHAnsi" w:hAnsiTheme="minorHAnsi"/>
                <w:sz w:val="18"/>
                <w:szCs w:val="18"/>
              </w:rPr>
            </w:pPr>
          </w:p>
          <w:p w:rsidR="009B7C43" w:rsidRPr="00A836C9" w:rsidRDefault="009B7C43" w:rsidP="00D11375">
            <w:pPr>
              <w:rPr>
                <w:rFonts w:asciiTheme="minorHAnsi" w:hAnsiTheme="minorHAnsi"/>
                <w:sz w:val="18"/>
                <w:szCs w:val="18"/>
              </w:rPr>
            </w:pPr>
          </w:p>
          <w:p w:rsidR="009B7C43" w:rsidRPr="00A836C9" w:rsidRDefault="009B7C43" w:rsidP="00D11375">
            <w:pPr>
              <w:rPr>
                <w:rFonts w:asciiTheme="minorHAnsi" w:hAnsiTheme="minorHAnsi"/>
                <w:sz w:val="18"/>
                <w:szCs w:val="18"/>
              </w:rPr>
            </w:pPr>
          </w:p>
          <w:p w:rsidR="009B7C43" w:rsidRPr="00A836C9" w:rsidRDefault="009B7C43" w:rsidP="00D11375">
            <w:pPr>
              <w:rPr>
                <w:rFonts w:asciiTheme="minorHAnsi" w:hAnsiTheme="minorHAnsi"/>
                <w:sz w:val="18"/>
                <w:szCs w:val="18"/>
              </w:rPr>
            </w:pPr>
            <w:r w:rsidRPr="00A836C9">
              <w:rPr>
                <w:rFonts w:asciiTheme="minorHAnsi" w:hAnsiTheme="minorHAnsi"/>
                <w:sz w:val="18"/>
                <w:szCs w:val="18"/>
              </w:rPr>
              <w:sym w:font="Symbol" w:char="F0B3"/>
            </w:r>
            <w:r w:rsidRPr="00A836C9">
              <w:rPr>
                <w:rFonts w:asciiTheme="minorHAnsi" w:hAnsiTheme="minorHAnsi"/>
                <w:sz w:val="18"/>
                <w:szCs w:val="18"/>
              </w:rPr>
              <w:t xml:space="preserve"> 100</w:t>
            </w:r>
          </w:p>
          <w:p w:rsidR="009B7C43" w:rsidRPr="00A836C9" w:rsidRDefault="009B7C43" w:rsidP="00D11375">
            <w:pPr>
              <w:rPr>
                <w:rFonts w:asciiTheme="minorHAnsi" w:hAnsiTheme="minorHAnsi"/>
                <w:sz w:val="18"/>
                <w:szCs w:val="18"/>
              </w:rPr>
            </w:pPr>
            <w:r w:rsidRPr="00A836C9">
              <w:rPr>
                <w:rFonts w:asciiTheme="minorHAnsi" w:hAnsiTheme="minorHAnsi"/>
                <w:sz w:val="18"/>
                <w:szCs w:val="18"/>
              </w:rPr>
              <w:sym w:font="Symbol" w:char="F0B3"/>
            </w:r>
            <w:r w:rsidRPr="00A836C9">
              <w:rPr>
                <w:rFonts w:asciiTheme="minorHAnsi" w:hAnsiTheme="minorHAnsi"/>
                <w:sz w:val="18"/>
                <w:szCs w:val="18"/>
              </w:rPr>
              <w:t xml:space="preserve"> 80</w:t>
            </w:r>
          </w:p>
        </w:tc>
        <w:tc>
          <w:tcPr>
            <w:tcW w:w="924" w:type="dxa"/>
          </w:tcPr>
          <w:p w:rsidR="009B7C43" w:rsidRPr="00A836C9" w:rsidRDefault="009B7C43" w:rsidP="00D11375">
            <w:pPr>
              <w:rPr>
                <w:rFonts w:asciiTheme="minorHAnsi" w:hAnsiTheme="minorHAnsi"/>
                <w:sz w:val="18"/>
                <w:szCs w:val="18"/>
              </w:rPr>
            </w:pPr>
          </w:p>
          <w:p w:rsidR="009B7C43" w:rsidRPr="00A836C9" w:rsidRDefault="009B7C43" w:rsidP="00D11375">
            <w:pPr>
              <w:rPr>
                <w:rFonts w:asciiTheme="minorHAnsi" w:hAnsiTheme="minorHAnsi"/>
                <w:sz w:val="18"/>
                <w:szCs w:val="18"/>
              </w:rPr>
            </w:pPr>
          </w:p>
          <w:p w:rsidR="009B7C43" w:rsidRPr="00A836C9" w:rsidRDefault="009B7C43" w:rsidP="00D11375">
            <w:pPr>
              <w:rPr>
                <w:rFonts w:asciiTheme="minorHAnsi" w:hAnsiTheme="minorHAnsi"/>
                <w:sz w:val="18"/>
                <w:szCs w:val="18"/>
              </w:rPr>
            </w:pPr>
          </w:p>
          <w:p w:rsidR="009B7C43" w:rsidRPr="00A836C9" w:rsidRDefault="009B7C43" w:rsidP="00D11375">
            <w:pPr>
              <w:rPr>
                <w:rFonts w:asciiTheme="minorHAnsi" w:hAnsiTheme="minorHAnsi"/>
                <w:sz w:val="18"/>
                <w:szCs w:val="18"/>
              </w:rPr>
            </w:pPr>
          </w:p>
          <w:p w:rsidR="009B7C43" w:rsidRPr="00A836C9" w:rsidRDefault="009B7C43" w:rsidP="00D11375">
            <w:pPr>
              <w:rPr>
                <w:rFonts w:asciiTheme="minorHAnsi" w:hAnsiTheme="minorHAnsi"/>
                <w:sz w:val="18"/>
                <w:szCs w:val="18"/>
              </w:rPr>
            </w:pPr>
          </w:p>
          <w:p w:rsidR="009B7C43" w:rsidRPr="00A836C9" w:rsidRDefault="009B7C43" w:rsidP="00D11375">
            <w:pPr>
              <w:rPr>
                <w:rFonts w:asciiTheme="minorHAnsi" w:hAnsiTheme="minorHAnsi"/>
                <w:sz w:val="18"/>
                <w:szCs w:val="18"/>
              </w:rPr>
            </w:pPr>
            <w:r w:rsidRPr="00A836C9">
              <w:rPr>
                <w:rFonts w:asciiTheme="minorHAnsi" w:hAnsiTheme="minorHAnsi"/>
                <w:sz w:val="18"/>
                <w:szCs w:val="18"/>
              </w:rPr>
              <w:t>Q2</w:t>
            </w:r>
          </w:p>
          <w:p w:rsidR="009B7C43" w:rsidRPr="00A836C9" w:rsidRDefault="009B7C43" w:rsidP="00D11375">
            <w:pPr>
              <w:rPr>
                <w:rFonts w:asciiTheme="minorHAnsi" w:hAnsiTheme="minorHAnsi"/>
                <w:sz w:val="18"/>
                <w:szCs w:val="18"/>
              </w:rPr>
            </w:pPr>
            <w:r w:rsidRPr="00A836C9">
              <w:rPr>
                <w:rFonts w:asciiTheme="minorHAnsi" w:hAnsiTheme="minorHAnsi"/>
                <w:sz w:val="18"/>
                <w:szCs w:val="18"/>
              </w:rPr>
              <w:t>Q1</w:t>
            </w:r>
          </w:p>
        </w:tc>
      </w:tr>
      <w:tr w:rsidR="009B7C43" w:rsidRPr="00A836C9" w:rsidTr="00D11375">
        <w:trPr>
          <w:cantSplit/>
        </w:trPr>
        <w:tc>
          <w:tcPr>
            <w:tcW w:w="496" w:type="dxa"/>
          </w:tcPr>
          <w:p w:rsidR="009B7C43" w:rsidRPr="00A836C9" w:rsidRDefault="009B7C43" w:rsidP="00D11375">
            <w:pPr>
              <w:jc w:val="center"/>
              <w:rPr>
                <w:rFonts w:asciiTheme="minorHAnsi" w:hAnsiTheme="minorHAnsi"/>
                <w:sz w:val="18"/>
                <w:szCs w:val="18"/>
              </w:rPr>
            </w:pPr>
            <w:r>
              <w:rPr>
                <w:rFonts w:asciiTheme="minorHAnsi" w:hAnsiTheme="minorHAnsi"/>
                <w:sz w:val="18"/>
                <w:szCs w:val="18"/>
              </w:rPr>
              <w:t>8</w:t>
            </w:r>
          </w:p>
        </w:tc>
        <w:tc>
          <w:tcPr>
            <w:tcW w:w="3685" w:type="dxa"/>
          </w:tcPr>
          <w:p w:rsidR="009B7C43" w:rsidRPr="00A836C9" w:rsidRDefault="009B7C43" w:rsidP="00D11375">
            <w:pPr>
              <w:rPr>
                <w:rFonts w:asciiTheme="minorHAnsi" w:hAnsiTheme="minorHAnsi"/>
                <w:sz w:val="18"/>
                <w:szCs w:val="18"/>
              </w:rPr>
            </w:pPr>
            <w:r w:rsidRPr="00A836C9">
              <w:rPr>
                <w:rFonts w:asciiTheme="minorHAnsi" w:hAnsiTheme="minorHAnsi"/>
                <w:sz w:val="18"/>
                <w:szCs w:val="18"/>
              </w:rPr>
              <w:t>Szorstkość oznakowania eksploatowanego</w:t>
            </w:r>
          </w:p>
        </w:tc>
        <w:tc>
          <w:tcPr>
            <w:tcW w:w="1134" w:type="dxa"/>
          </w:tcPr>
          <w:p w:rsidR="009B7C43" w:rsidRPr="00A836C9" w:rsidRDefault="009B7C43" w:rsidP="00D11375">
            <w:pPr>
              <w:rPr>
                <w:rFonts w:asciiTheme="minorHAnsi" w:hAnsiTheme="minorHAnsi"/>
                <w:sz w:val="18"/>
                <w:szCs w:val="18"/>
              </w:rPr>
            </w:pPr>
            <w:r w:rsidRPr="00A836C9">
              <w:rPr>
                <w:rFonts w:asciiTheme="minorHAnsi" w:hAnsiTheme="minorHAnsi"/>
                <w:sz w:val="18"/>
                <w:szCs w:val="18"/>
              </w:rPr>
              <w:t>wskaźnik</w:t>
            </w:r>
          </w:p>
          <w:p w:rsidR="009B7C43" w:rsidRPr="00A836C9" w:rsidRDefault="009B7C43" w:rsidP="00D11375">
            <w:pPr>
              <w:rPr>
                <w:rFonts w:asciiTheme="minorHAnsi" w:hAnsiTheme="minorHAnsi"/>
                <w:sz w:val="18"/>
                <w:szCs w:val="18"/>
              </w:rPr>
            </w:pPr>
            <w:r w:rsidRPr="00A836C9">
              <w:rPr>
                <w:rFonts w:asciiTheme="minorHAnsi" w:hAnsiTheme="minorHAnsi"/>
                <w:sz w:val="18"/>
                <w:szCs w:val="18"/>
              </w:rPr>
              <w:t>SRT</w:t>
            </w:r>
          </w:p>
        </w:tc>
        <w:tc>
          <w:tcPr>
            <w:tcW w:w="1276" w:type="dxa"/>
          </w:tcPr>
          <w:p w:rsidR="009B7C43" w:rsidRPr="00A836C9" w:rsidRDefault="009B7C43" w:rsidP="00D11375">
            <w:pPr>
              <w:rPr>
                <w:rFonts w:asciiTheme="minorHAnsi" w:hAnsiTheme="minorHAnsi"/>
                <w:sz w:val="18"/>
                <w:szCs w:val="18"/>
              </w:rPr>
            </w:pPr>
          </w:p>
          <w:p w:rsidR="009B7C43" w:rsidRPr="00A836C9" w:rsidRDefault="009B7C43" w:rsidP="00D11375">
            <w:pPr>
              <w:rPr>
                <w:rFonts w:asciiTheme="minorHAnsi" w:hAnsiTheme="minorHAnsi"/>
                <w:sz w:val="18"/>
                <w:szCs w:val="18"/>
              </w:rPr>
            </w:pPr>
            <w:r w:rsidRPr="00A836C9">
              <w:rPr>
                <w:rFonts w:asciiTheme="minorHAnsi" w:hAnsiTheme="minorHAnsi"/>
                <w:sz w:val="18"/>
                <w:szCs w:val="18"/>
              </w:rPr>
              <w:sym w:font="Symbol" w:char="F0B3"/>
            </w:r>
            <w:r w:rsidRPr="00A836C9">
              <w:rPr>
                <w:rFonts w:asciiTheme="minorHAnsi" w:hAnsiTheme="minorHAnsi"/>
                <w:sz w:val="18"/>
                <w:szCs w:val="18"/>
              </w:rPr>
              <w:t xml:space="preserve"> 45</w:t>
            </w:r>
          </w:p>
        </w:tc>
        <w:tc>
          <w:tcPr>
            <w:tcW w:w="924" w:type="dxa"/>
          </w:tcPr>
          <w:p w:rsidR="009B7C43" w:rsidRPr="00A836C9" w:rsidRDefault="009B7C43" w:rsidP="00D11375">
            <w:pPr>
              <w:rPr>
                <w:rFonts w:asciiTheme="minorHAnsi" w:hAnsiTheme="minorHAnsi"/>
                <w:sz w:val="18"/>
                <w:szCs w:val="18"/>
              </w:rPr>
            </w:pPr>
          </w:p>
          <w:p w:rsidR="009B7C43" w:rsidRPr="00A836C9" w:rsidRDefault="009B7C43" w:rsidP="00D11375">
            <w:pPr>
              <w:rPr>
                <w:rFonts w:asciiTheme="minorHAnsi" w:hAnsiTheme="minorHAnsi"/>
                <w:sz w:val="18"/>
                <w:szCs w:val="18"/>
              </w:rPr>
            </w:pPr>
            <w:r w:rsidRPr="00A836C9">
              <w:rPr>
                <w:rFonts w:asciiTheme="minorHAnsi" w:hAnsiTheme="minorHAnsi"/>
                <w:sz w:val="18"/>
                <w:szCs w:val="18"/>
              </w:rPr>
              <w:t>S1</w:t>
            </w:r>
          </w:p>
        </w:tc>
      </w:tr>
      <w:tr w:rsidR="009B7C43" w:rsidRPr="00A836C9" w:rsidTr="00D11375">
        <w:trPr>
          <w:cantSplit/>
        </w:trPr>
        <w:tc>
          <w:tcPr>
            <w:tcW w:w="496" w:type="dxa"/>
          </w:tcPr>
          <w:p w:rsidR="009B7C43" w:rsidRPr="00A836C9" w:rsidRDefault="009B7C43" w:rsidP="00D11375">
            <w:pPr>
              <w:jc w:val="center"/>
              <w:rPr>
                <w:rFonts w:asciiTheme="minorHAnsi" w:hAnsiTheme="minorHAnsi"/>
                <w:sz w:val="18"/>
                <w:szCs w:val="18"/>
              </w:rPr>
            </w:pPr>
            <w:r>
              <w:rPr>
                <w:rFonts w:asciiTheme="minorHAnsi" w:hAnsiTheme="minorHAnsi"/>
                <w:sz w:val="18"/>
                <w:szCs w:val="18"/>
              </w:rPr>
              <w:t>9</w:t>
            </w:r>
          </w:p>
        </w:tc>
        <w:tc>
          <w:tcPr>
            <w:tcW w:w="3685" w:type="dxa"/>
          </w:tcPr>
          <w:p w:rsidR="009B7C43" w:rsidRPr="00A836C9" w:rsidRDefault="009B7C43" w:rsidP="00D11375">
            <w:pPr>
              <w:rPr>
                <w:rFonts w:asciiTheme="minorHAnsi" w:hAnsiTheme="minorHAnsi"/>
                <w:sz w:val="18"/>
                <w:szCs w:val="18"/>
              </w:rPr>
            </w:pPr>
            <w:r w:rsidRPr="00A836C9">
              <w:rPr>
                <w:rFonts w:asciiTheme="minorHAnsi" w:hAnsiTheme="minorHAnsi"/>
                <w:sz w:val="18"/>
                <w:szCs w:val="18"/>
              </w:rPr>
              <w:t>Trwałość oznakowania cienkowarstwowego po 12 miesiącach:</w:t>
            </w:r>
          </w:p>
        </w:tc>
        <w:tc>
          <w:tcPr>
            <w:tcW w:w="1134" w:type="dxa"/>
          </w:tcPr>
          <w:p w:rsidR="009B7C43" w:rsidRPr="00A836C9" w:rsidRDefault="009B7C43" w:rsidP="00D11375">
            <w:pPr>
              <w:rPr>
                <w:rFonts w:asciiTheme="minorHAnsi" w:hAnsiTheme="minorHAnsi"/>
                <w:sz w:val="18"/>
                <w:szCs w:val="18"/>
              </w:rPr>
            </w:pPr>
          </w:p>
          <w:p w:rsidR="009B7C43" w:rsidRPr="00A836C9" w:rsidRDefault="009B7C43" w:rsidP="00D11375">
            <w:pPr>
              <w:rPr>
                <w:rFonts w:asciiTheme="minorHAnsi" w:hAnsiTheme="minorHAnsi"/>
                <w:sz w:val="18"/>
                <w:szCs w:val="18"/>
              </w:rPr>
            </w:pPr>
            <w:r w:rsidRPr="00A836C9">
              <w:rPr>
                <w:rFonts w:asciiTheme="minorHAnsi" w:hAnsiTheme="minorHAnsi"/>
                <w:sz w:val="18"/>
                <w:szCs w:val="18"/>
              </w:rPr>
              <w:t>skala LCPC</w:t>
            </w:r>
          </w:p>
        </w:tc>
        <w:tc>
          <w:tcPr>
            <w:tcW w:w="1276" w:type="dxa"/>
          </w:tcPr>
          <w:p w:rsidR="009B7C43" w:rsidRPr="00A836C9" w:rsidRDefault="009B7C43" w:rsidP="00D11375">
            <w:pPr>
              <w:rPr>
                <w:rFonts w:asciiTheme="minorHAnsi" w:hAnsiTheme="minorHAnsi"/>
                <w:sz w:val="18"/>
                <w:szCs w:val="18"/>
              </w:rPr>
            </w:pPr>
          </w:p>
          <w:p w:rsidR="009B7C43" w:rsidRPr="00A836C9" w:rsidRDefault="009B7C43" w:rsidP="00D11375">
            <w:pPr>
              <w:rPr>
                <w:rFonts w:asciiTheme="minorHAnsi" w:hAnsiTheme="minorHAnsi"/>
                <w:sz w:val="18"/>
                <w:szCs w:val="18"/>
              </w:rPr>
            </w:pPr>
            <w:r w:rsidRPr="00A836C9">
              <w:rPr>
                <w:rFonts w:asciiTheme="minorHAnsi" w:hAnsiTheme="minorHAnsi"/>
                <w:sz w:val="18"/>
                <w:szCs w:val="18"/>
              </w:rPr>
              <w:sym w:font="Symbol" w:char="F0B3"/>
            </w:r>
            <w:r w:rsidRPr="00A836C9">
              <w:rPr>
                <w:rFonts w:asciiTheme="minorHAnsi" w:hAnsiTheme="minorHAnsi"/>
                <w:sz w:val="18"/>
                <w:szCs w:val="18"/>
              </w:rPr>
              <w:t xml:space="preserve"> 6</w:t>
            </w:r>
          </w:p>
        </w:tc>
        <w:tc>
          <w:tcPr>
            <w:tcW w:w="924" w:type="dxa"/>
          </w:tcPr>
          <w:p w:rsidR="009B7C43" w:rsidRPr="00A836C9" w:rsidRDefault="009B7C43" w:rsidP="00D11375">
            <w:pPr>
              <w:rPr>
                <w:rFonts w:asciiTheme="minorHAnsi" w:hAnsiTheme="minorHAnsi"/>
                <w:sz w:val="18"/>
                <w:szCs w:val="18"/>
              </w:rPr>
            </w:pPr>
          </w:p>
          <w:p w:rsidR="009B7C43" w:rsidRPr="00A836C9" w:rsidRDefault="009B7C43" w:rsidP="00D11375">
            <w:pPr>
              <w:rPr>
                <w:rFonts w:asciiTheme="minorHAnsi" w:hAnsiTheme="minorHAnsi"/>
                <w:sz w:val="18"/>
                <w:szCs w:val="18"/>
              </w:rPr>
            </w:pPr>
            <w:r w:rsidRPr="00A836C9">
              <w:rPr>
                <w:rFonts w:asciiTheme="minorHAnsi" w:hAnsiTheme="minorHAnsi"/>
                <w:sz w:val="18"/>
                <w:szCs w:val="18"/>
              </w:rPr>
              <w:t>-</w:t>
            </w:r>
          </w:p>
        </w:tc>
      </w:tr>
      <w:tr w:rsidR="009B7C43" w:rsidRPr="00A836C9" w:rsidTr="00D11375">
        <w:trPr>
          <w:cantSplit/>
        </w:trPr>
        <w:tc>
          <w:tcPr>
            <w:tcW w:w="496" w:type="dxa"/>
          </w:tcPr>
          <w:p w:rsidR="009B7C43" w:rsidRPr="00A836C9" w:rsidRDefault="009B7C43" w:rsidP="00D11375">
            <w:pPr>
              <w:jc w:val="center"/>
              <w:rPr>
                <w:rFonts w:asciiTheme="minorHAnsi" w:hAnsiTheme="minorHAnsi"/>
                <w:sz w:val="18"/>
                <w:szCs w:val="18"/>
              </w:rPr>
            </w:pPr>
            <w:r>
              <w:rPr>
                <w:rFonts w:asciiTheme="minorHAnsi" w:hAnsiTheme="minorHAnsi"/>
                <w:sz w:val="18"/>
                <w:szCs w:val="18"/>
              </w:rPr>
              <w:t>10</w:t>
            </w:r>
          </w:p>
        </w:tc>
        <w:tc>
          <w:tcPr>
            <w:tcW w:w="3685" w:type="dxa"/>
          </w:tcPr>
          <w:p w:rsidR="009B7C43" w:rsidRPr="00A836C9" w:rsidRDefault="009B7C43" w:rsidP="00D11375">
            <w:pPr>
              <w:rPr>
                <w:rFonts w:asciiTheme="minorHAnsi" w:hAnsiTheme="minorHAnsi"/>
                <w:sz w:val="18"/>
                <w:szCs w:val="18"/>
              </w:rPr>
            </w:pPr>
            <w:r w:rsidRPr="00A836C9">
              <w:rPr>
                <w:rFonts w:asciiTheme="minorHAnsi" w:hAnsiTheme="minorHAnsi"/>
                <w:sz w:val="18"/>
                <w:szCs w:val="18"/>
              </w:rPr>
              <w:t>Czas schnięcia materiału na nawierzchni</w:t>
            </w:r>
          </w:p>
          <w:p w:rsidR="009B7C43" w:rsidRPr="00A836C9" w:rsidRDefault="009B7C43" w:rsidP="00D11375">
            <w:pPr>
              <w:rPr>
                <w:rFonts w:asciiTheme="minorHAnsi" w:hAnsiTheme="minorHAnsi"/>
                <w:sz w:val="18"/>
                <w:szCs w:val="18"/>
              </w:rPr>
            </w:pPr>
            <w:r w:rsidRPr="00A836C9">
              <w:rPr>
                <w:rFonts w:asciiTheme="minorHAnsi" w:hAnsiTheme="minorHAnsi"/>
                <w:sz w:val="18"/>
                <w:szCs w:val="18"/>
              </w:rPr>
              <w:t>w dzień</w:t>
            </w:r>
          </w:p>
          <w:p w:rsidR="009B7C43" w:rsidRPr="00A836C9" w:rsidRDefault="009B7C43" w:rsidP="00D11375">
            <w:pPr>
              <w:rPr>
                <w:rFonts w:asciiTheme="minorHAnsi" w:hAnsiTheme="minorHAnsi"/>
                <w:sz w:val="18"/>
                <w:szCs w:val="18"/>
              </w:rPr>
            </w:pPr>
            <w:r w:rsidRPr="00A836C9">
              <w:rPr>
                <w:rFonts w:asciiTheme="minorHAnsi" w:hAnsiTheme="minorHAnsi"/>
                <w:sz w:val="18"/>
                <w:szCs w:val="18"/>
              </w:rPr>
              <w:t>w nocy</w:t>
            </w:r>
          </w:p>
        </w:tc>
        <w:tc>
          <w:tcPr>
            <w:tcW w:w="1134" w:type="dxa"/>
          </w:tcPr>
          <w:p w:rsidR="009B7C43" w:rsidRPr="00A836C9" w:rsidRDefault="009B7C43" w:rsidP="00D11375">
            <w:pPr>
              <w:rPr>
                <w:rFonts w:asciiTheme="minorHAnsi" w:hAnsiTheme="minorHAnsi"/>
                <w:sz w:val="18"/>
                <w:szCs w:val="18"/>
              </w:rPr>
            </w:pPr>
          </w:p>
          <w:p w:rsidR="009B7C43" w:rsidRPr="00A836C9" w:rsidRDefault="009B7C43" w:rsidP="00D11375">
            <w:pPr>
              <w:rPr>
                <w:rFonts w:asciiTheme="minorHAnsi" w:hAnsiTheme="minorHAnsi"/>
                <w:sz w:val="18"/>
                <w:szCs w:val="18"/>
              </w:rPr>
            </w:pPr>
            <w:r w:rsidRPr="00A836C9">
              <w:rPr>
                <w:rFonts w:asciiTheme="minorHAnsi" w:hAnsiTheme="minorHAnsi"/>
                <w:sz w:val="18"/>
                <w:szCs w:val="18"/>
              </w:rPr>
              <w:t>h</w:t>
            </w:r>
          </w:p>
          <w:p w:rsidR="009B7C43" w:rsidRPr="00A836C9" w:rsidRDefault="009B7C43" w:rsidP="00D11375">
            <w:pPr>
              <w:rPr>
                <w:rFonts w:asciiTheme="minorHAnsi" w:hAnsiTheme="minorHAnsi"/>
                <w:sz w:val="18"/>
                <w:szCs w:val="18"/>
              </w:rPr>
            </w:pPr>
            <w:r w:rsidRPr="00A836C9">
              <w:rPr>
                <w:rFonts w:asciiTheme="minorHAnsi" w:hAnsiTheme="minorHAnsi"/>
                <w:sz w:val="18"/>
                <w:szCs w:val="18"/>
              </w:rPr>
              <w:t>h</w:t>
            </w:r>
          </w:p>
        </w:tc>
        <w:tc>
          <w:tcPr>
            <w:tcW w:w="1276" w:type="dxa"/>
          </w:tcPr>
          <w:p w:rsidR="009B7C43" w:rsidRPr="00A836C9" w:rsidRDefault="009B7C43" w:rsidP="00D11375">
            <w:pPr>
              <w:rPr>
                <w:rFonts w:asciiTheme="minorHAnsi" w:hAnsiTheme="minorHAnsi"/>
                <w:sz w:val="18"/>
                <w:szCs w:val="18"/>
              </w:rPr>
            </w:pPr>
          </w:p>
          <w:p w:rsidR="009B7C43" w:rsidRPr="00A836C9" w:rsidRDefault="009B7C43" w:rsidP="00D11375">
            <w:pPr>
              <w:rPr>
                <w:rFonts w:asciiTheme="minorHAnsi" w:hAnsiTheme="minorHAnsi"/>
                <w:sz w:val="18"/>
                <w:szCs w:val="18"/>
              </w:rPr>
            </w:pPr>
            <w:r w:rsidRPr="00A836C9">
              <w:rPr>
                <w:rFonts w:asciiTheme="minorHAnsi" w:hAnsiTheme="minorHAnsi"/>
                <w:sz w:val="18"/>
                <w:szCs w:val="18"/>
              </w:rPr>
              <w:sym w:font="Symbol" w:char="F0A3"/>
            </w:r>
            <w:r w:rsidRPr="00A836C9">
              <w:rPr>
                <w:rFonts w:asciiTheme="minorHAnsi" w:hAnsiTheme="minorHAnsi"/>
                <w:sz w:val="18"/>
                <w:szCs w:val="18"/>
              </w:rPr>
              <w:t xml:space="preserve"> 1</w:t>
            </w:r>
          </w:p>
          <w:p w:rsidR="009B7C43" w:rsidRPr="00A836C9" w:rsidRDefault="009B7C43" w:rsidP="00D11375">
            <w:pPr>
              <w:rPr>
                <w:rFonts w:asciiTheme="minorHAnsi" w:hAnsiTheme="minorHAnsi"/>
                <w:sz w:val="18"/>
                <w:szCs w:val="18"/>
              </w:rPr>
            </w:pPr>
            <w:r w:rsidRPr="00A836C9">
              <w:rPr>
                <w:rFonts w:asciiTheme="minorHAnsi" w:hAnsiTheme="minorHAnsi"/>
                <w:sz w:val="18"/>
                <w:szCs w:val="18"/>
              </w:rPr>
              <w:sym w:font="Symbol" w:char="F0A3"/>
            </w:r>
            <w:r w:rsidRPr="00A836C9">
              <w:rPr>
                <w:rFonts w:asciiTheme="minorHAnsi" w:hAnsiTheme="minorHAnsi"/>
                <w:sz w:val="18"/>
                <w:szCs w:val="18"/>
              </w:rPr>
              <w:t xml:space="preserve"> 2</w:t>
            </w:r>
          </w:p>
        </w:tc>
        <w:tc>
          <w:tcPr>
            <w:tcW w:w="924" w:type="dxa"/>
          </w:tcPr>
          <w:p w:rsidR="009B7C43" w:rsidRPr="00A836C9" w:rsidRDefault="009B7C43" w:rsidP="00D11375">
            <w:pPr>
              <w:rPr>
                <w:rFonts w:asciiTheme="minorHAnsi" w:hAnsiTheme="minorHAnsi"/>
                <w:sz w:val="18"/>
                <w:szCs w:val="18"/>
              </w:rPr>
            </w:pPr>
          </w:p>
          <w:p w:rsidR="009B7C43" w:rsidRPr="00A836C9" w:rsidRDefault="009B7C43" w:rsidP="00D11375">
            <w:pPr>
              <w:rPr>
                <w:rFonts w:asciiTheme="minorHAnsi" w:hAnsiTheme="minorHAnsi"/>
                <w:sz w:val="18"/>
                <w:szCs w:val="18"/>
              </w:rPr>
            </w:pPr>
            <w:r w:rsidRPr="00A836C9">
              <w:rPr>
                <w:rFonts w:asciiTheme="minorHAnsi" w:hAnsiTheme="minorHAnsi"/>
                <w:sz w:val="18"/>
                <w:szCs w:val="18"/>
              </w:rPr>
              <w:t>-</w:t>
            </w:r>
          </w:p>
          <w:p w:rsidR="009B7C43" w:rsidRPr="00A836C9" w:rsidRDefault="009B7C43" w:rsidP="00D11375">
            <w:pPr>
              <w:rPr>
                <w:rFonts w:asciiTheme="minorHAnsi" w:hAnsiTheme="minorHAnsi"/>
                <w:sz w:val="18"/>
                <w:szCs w:val="18"/>
              </w:rPr>
            </w:pPr>
            <w:r w:rsidRPr="00A836C9">
              <w:rPr>
                <w:rFonts w:asciiTheme="minorHAnsi" w:hAnsiTheme="minorHAnsi"/>
                <w:sz w:val="18"/>
                <w:szCs w:val="18"/>
              </w:rPr>
              <w:t>-</w:t>
            </w:r>
          </w:p>
        </w:tc>
      </w:tr>
    </w:tbl>
    <w:p w:rsidR="00F040CD" w:rsidRDefault="00F040CD" w:rsidP="009B7C43">
      <w:pPr>
        <w:rPr>
          <w:rFonts w:asciiTheme="minorHAnsi" w:hAnsiTheme="minorHAnsi"/>
          <w:b/>
        </w:rPr>
      </w:pPr>
    </w:p>
    <w:p w:rsidR="00F040CD" w:rsidRDefault="00F040CD" w:rsidP="009B7C43">
      <w:pPr>
        <w:rPr>
          <w:rFonts w:asciiTheme="minorHAnsi" w:hAnsiTheme="minorHAnsi"/>
          <w:b/>
        </w:rPr>
      </w:pPr>
    </w:p>
    <w:p w:rsidR="00F040CD" w:rsidRDefault="00F040CD" w:rsidP="009B7C43">
      <w:pPr>
        <w:rPr>
          <w:rFonts w:asciiTheme="minorHAnsi" w:hAnsiTheme="minorHAnsi"/>
          <w:b/>
        </w:rPr>
      </w:pPr>
    </w:p>
    <w:p w:rsidR="00F040CD" w:rsidRDefault="00F040CD" w:rsidP="009B7C43">
      <w:pPr>
        <w:rPr>
          <w:rFonts w:asciiTheme="minorHAnsi" w:hAnsiTheme="minorHAnsi"/>
          <w:b/>
        </w:rPr>
      </w:pPr>
    </w:p>
    <w:p w:rsidR="009B7C43" w:rsidRPr="00A836C9" w:rsidRDefault="009B7C43" w:rsidP="009B7C43">
      <w:pPr>
        <w:rPr>
          <w:rFonts w:asciiTheme="minorHAnsi" w:hAnsiTheme="minorHAnsi"/>
        </w:rPr>
      </w:pPr>
      <w:r w:rsidRPr="00A836C9">
        <w:rPr>
          <w:rFonts w:asciiTheme="minorHAnsi" w:hAnsiTheme="minorHAnsi"/>
          <w:b/>
        </w:rPr>
        <w:lastRenderedPageBreak/>
        <w:t>6.4.</w:t>
      </w:r>
      <w:r w:rsidRPr="00A836C9">
        <w:rPr>
          <w:rFonts w:asciiTheme="minorHAnsi" w:hAnsiTheme="minorHAnsi"/>
        </w:rPr>
        <w:t xml:space="preserve"> Tolerancje wymiarów oznakowania</w:t>
      </w:r>
    </w:p>
    <w:p w:rsidR="009B7C43" w:rsidRPr="00A836C9" w:rsidRDefault="009B7C43" w:rsidP="009B7C43">
      <w:pPr>
        <w:rPr>
          <w:rFonts w:asciiTheme="minorHAnsi" w:hAnsiTheme="minorHAnsi"/>
        </w:rPr>
      </w:pPr>
      <w:r w:rsidRPr="00A836C9">
        <w:rPr>
          <w:rFonts w:asciiTheme="minorHAnsi" w:hAnsiTheme="minorHAnsi"/>
          <w:b/>
        </w:rPr>
        <w:t>6.4.1.</w:t>
      </w:r>
      <w:r w:rsidRPr="00A836C9">
        <w:rPr>
          <w:rFonts w:asciiTheme="minorHAnsi" w:hAnsiTheme="minorHAnsi"/>
        </w:rPr>
        <w:t xml:space="preserve"> Tolerancje nowo wykonanego oznakowania</w:t>
      </w:r>
    </w:p>
    <w:p w:rsidR="009B7C43" w:rsidRPr="00A836C9" w:rsidRDefault="009B7C43" w:rsidP="009B7C43">
      <w:pPr>
        <w:rPr>
          <w:rFonts w:asciiTheme="minorHAnsi" w:hAnsiTheme="minorHAnsi"/>
        </w:rPr>
      </w:pPr>
      <w:r w:rsidRPr="00A836C9">
        <w:rPr>
          <w:rFonts w:asciiTheme="minorHAnsi" w:hAnsiTheme="minorHAnsi"/>
        </w:rPr>
        <w:tab/>
        <w:t>Tolerancje nowo wykonanego oznakowania poziomego, zgodnego z dokumentacją projektową i załącznikiem nr 2 do rozporządzenia Ministra Infrastruktury z 3.07.2003r. powinny odpowiadać następującym warunkom:</w:t>
      </w:r>
    </w:p>
    <w:p w:rsidR="009B7C43" w:rsidRPr="00A836C9" w:rsidRDefault="009B7C43" w:rsidP="009B7C43">
      <w:pPr>
        <w:rPr>
          <w:rFonts w:asciiTheme="minorHAnsi" w:hAnsiTheme="minorHAnsi"/>
        </w:rPr>
      </w:pPr>
      <w:r>
        <w:rPr>
          <w:rFonts w:asciiTheme="minorHAnsi" w:hAnsiTheme="minorHAnsi"/>
        </w:rPr>
        <w:t>-</w:t>
      </w:r>
      <w:r w:rsidRPr="00A836C9">
        <w:rPr>
          <w:rFonts w:asciiTheme="minorHAnsi" w:hAnsiTheme="minorHAnsi"/>
        </w:rPr>
        <w:t xml:space="preserve">szerokość linii może różnić się od wymaganej o </w:t>
      </w:r>
      <w:r w:rsidRPr="00A836C9">
        <w:rPr>
          <w:rFonts w:asciiTheme="minorHAnsi" w:hAnsiTheme="minorHAnsi"/>
        </w:rPr>
        <w:sym w:font="Symbol" w:char="F0B1"/>
      </w:r>
      <w:r w:rsidRPr="00A836C9">
        <w:rPr>
          <w:rFonts w:asciiTheme="minorHAnsi" w:hAnsiTheme="minorHAnsi"/>
        </w:rPr>
        <w:t xml:space="preserve"> </w:t>
      </w:r>
      <w:smartTag w:uri="urn:schemas-microsoft-com:office:smarttags" w:element="metricconverter">
        <w:smartTagPr>
          <w:attr w:name="ProductID" w:val="5 mm"/>
        </w:smartTagPr>
        <w:r w:rsidRPr="00A836C9">
          <w:rPr>
            <w:rFonts w:asciiTheme="minorHAnsi" w:hAnsiTheme="minorHAnsi"/>
          </w:rPr>
          <w:t>5 mm</w:t>
        </w:r>
      </w:smartTag>
      <w:r w:rsidRPr="00A836C9">
        <w:rPr>
          <w:rFonts w:asciiTheme="minorHAnsi" w:hAnsiTheme="minorHAnsi"/>
        </w:rPr>
        <w:t>,</w:t>
      </w:r>
    </w:p>
    <w:p w:rsidR="009B7C43" w:rsidRPr="00A836C9" w:rsidRDefault="009B7C43" w:rsidP="009B7C43">
      <w:pPr>
        <w:rPr>
          <w:rFonts w:asciiTheme="minorHAnsi" w:hAnsiTheme="minorHAnsi"/>
        </w:rPr>
      </w:pPr>
      <w:r>
        <w:rPr>
          <w:rFonts w:asciiTheme="minorHAnsi" w:hAnsiTheme="minorHAnsi"/>
        </w:rPr>
        <w:t>-</w:t>
      </w:r>
      <w:r w:rsidRPr="00A836C9">
        <w:rPr>
          <w:rFonts w:asciiTheme="minorHAnsi" w:hAnsiTheme="minorHAnsi"/>
        </w:rPr>
        <w:t xml:space="preserve">długość linii może być mniejsza od wymaganej co najwyżej o </w:t>
      </w:r>
      <w:smartTag w:uri="urn:schemas-microsoft-com:office:smarttags" w:element="metricconverter">
        <w:smartTagPr>
          <w:attr w:name="ProductID" w:val="50 mm"/>
        </w:smartTagPr>
        <w:r w:rsidRPr="00A836C9">
          <w:rPr>
            <w:rFonts w:asciiTheme="minorHAnsi" w:hAnsiTheme="minorHAnsi"/>
          </w:rPr>
          <w:t>50 mm</w:t>
        </w:r>
      </w:smartTag>
      <w:r w:rsidRPr="00A836C9">
        <w:rPr>
          <w:rFonts w:asciiTheme="minorHAnsi" w:hAnsiTheme="minorHAnsi"/>
        </w:rPr>
        <w:t xml:space="preserve"> lub większa co najwyżej o </w:t>
      </w:r>
      <w:smartTag w:uri="urn:schemas-microsoft-com:office:smarttags" w:element="metricconverter">
        <w:smartTagPr>
          <w:attr w:name="ProductID" w:val="150 mm"/>
        </w:smartTagPr>
        <w:r w:rsidRPr="00A836C9">
          <w:rPr>
            <w:rFonts w:asciiTheme="minorHAnsi" w:hAnsiTheme="minorHAnsi"/>
          </w:rPr>
          <w:t>150 mm</w:t>
        </w:r>
      </w:smartTag>
      <w:r w:rsidRPr="00A836C9">
        <w:rPr>
          <w:rFonts w:asciiTheme="minorHAnsi" w:hAnsiTheme="minorHAnsi"/>
        </w:rPr>
        <w:t>,</w:t>
      </w:r>
    </w:p>
    <w:p w:rsidR="009B7C43" w:rsidRPr="00A836C9" w:rsidRDefault="009B7C43" w:rsidP="009B7C43">
      <w:pPr>
        <w:rPr>
          <w:rFonts w:asciiTheme="minorHAnsi" w:hAnsiTheme="minorHAnsi"/>
        </w:rPr>
      </w:pPr>
      <w:r>
        <w:rPr>
          <w:rFonts w:asciiTheme="minorHAnsi" w:hAnsiTheme="minorHAnsi"/>
        </w:rPr>
        <w:t>-</w:t>
      </w:r>
      <w:r w:rsidRPr="00A836C9">
        <w:rPr>
          <w:rFonts w:asciiTheme="minorHAnsi" w:hAnsiTheme="minorHAnsi"/>
        </w:rPr>
        <w:t xml:space="preserve">dla linii przerywanych, długość cyklu składającego się z linii i przerwy nie może odbiegać od średniej liczonej z 10 kolejnych cykli o więcej niż </w:t>
      </w:r>
      <w:r w:rsidRPr="00A836C9">
        <w:rPr>
          <w:rFonts w:asciiTheme="minorHAnsi" w:hAnsiTheme="minorHAnsi"/>
        </w:rPr>
        <w:sym w:font="Symbol" w:char="F0B1"/>
      </w:r>
      <w:r w:rsidRPr="00A836C9">
        <w:rPr>
          <w:rFonts w:asciiTheme="minorHAnsi" w:hAnsiTheme="minorHAnsi"/>
        </w:rPr>
        <w:t xml:space="preserve"> </w:t>
      </w:r>
      <w:smartTag w:uri="urn:schemas-microsoft-com:office:smarttags" w:element="metricconverter">
        <w:smartTagPr>
          <w:attr w:name="ProductID" w:val="50 mm"/>
        </w:smartTagPr>
        <w:r w:rsidRPr="00A836C9">
          <w:rPr>
            <w:rFonts w:asciiTheme="minorHAnsi" w:hAnsiTheme="minorHAnsi"/>
          </w:rPr>
          <w:t>50 mm</w:t>
        </w:r>
      </w:smartTag>
      <w:r w:rsidRPr="00A836C9">
        <w:rPr>
          <w:rFonts w:asciiTheme="minorHAnsi" w:hAnsiTheme="minorHAnsi"/>
        </w:rPr>
        <w:t xml:space="preserve"> długości wymaganej,</w:t>
      </w:r>
    </w:p>
    <w:p w:rsidR="009B7C43" w:rsidRPr="00A836C9" w:rsidRDefault="009B7C43" w:rsidP="009B7C43">
      <w:pPr>
        <w:rPr>
          <w:rFonts w:asciiTheme="minorHAnsi" w:hAnsiTheme="minorHAnsi"/>
        </w:rPr>
      </w:pPr>
      <w:r>
        <w:rPr>
          <w:rFonts w:asciiTheme="minorHAnsi" w:hAnsiTheme="minorHAnsi"/>
        </w:rPr>
        <w:t>-</w:t>
      </w:r>
      <w:r w:rsidRPr="00A836C9">
        <w:rPr>
          <w:rFonts w:asciiTheme="minorHAnsi" w:hAnsiTheme="minorHAnsi"/>
        </w:rPr>
        <w:t xml:space="preserve">dla strzałek, liter i cyfr rozstaw punktów narożnikowych nie może mieć większej odchyłki od wymaganego wzoru niż </w:t>
      </w:r>
      <w:r w:rsidRPr="00A836C9">
        <w:rPr>
          <w:rFonts w:asciiTheme="minorHAnsi" w:hAnsiTheme="minorHAnsi"/>
        </w:rPr>
        <w:sym w:font="Symbol" w:char="F0B1"/>
      </w:r>
      <w:r w:rsidRPr="00A836C9">
        <w:rPr>
          <w:rFonts w:asciiTheme="minorHAnsi" w:hAnsiTheme="minorHAnsi"/>
        </w:rPr>
        <w:t xml:space="preserve"> </w:t>
      </w:r>
      <w:smartTag w:uri="urn:schemas-microsoft-com:office:smarttags" w:element="metricconverter">
        <w:smartTagPr>
          <w:attr w:name="ProductID" w:val="50 mm"/>
        </w:smartTagPr>
        <w:r w:rsidRPr="00A836C9">
          <w:rPr>
            <w:rFonts w:asciiTheme="minorHAnsi" w:hAnsiTheme="minorHAnsi"/>
          </w:rPr>
          <w:t>50 mm</w:t>
        </w:r>
      </w:smartTag>
      <w:r w:rsidRPr="00A836C9">
        <w:rPr>
          <w:rFonts w:asciiTheme="minorHAnsi" w:hAnsiTheme="minorHAnsi"/>
        </w:rPr>
        <w:t xml:space="preserve"> dla wymiaru długości i </w:t>
      </w:r>
      <w:r w:rsidRPr="00A836C9">
        <w:rPr>
          <w:rFonts w:asciiTheme="minorHAnsi" w:hAnsiTheme="minorHAnsi"/>
        </w:rPr>
        <w:sym w:font="Symbol" w:char="F0B1"/>
      </w:r>
      <w:r w:rsidRPr="00A836C9">
        <w:rPr>
          <w:rFonts w:asciiTheme="minorHAnsi" w:hAnsiTheme="minorHAnsi"/>
        </w:rPr>
        <w:t xml:space="preserve"> </w:t>
      </w:r>
      <w:smartTag w:uri="urn:schemas-microsoft-com:office:smarttags" w:element="metricconverter">
        <w:smartTagPr>
          <w:attr w:name="ProductID" w:val="20 mm"/>
        </w:smartTagPr>
        <w:r w:rsidRPr="00A836C9">
          <w:rPr>
            <w:rFonts w:asciiTheme="minorHAnsi" w:hAnsiTheme="minorHAnsi"/>
          </w:rPr>
          <w:t>20 mm</w:t>
        </w:r>
      </w:smartTag>
      <w:r w:rsidRPr="00A836C9">
        <w:rPr>
          <w:rFonts w:asciiTheme="minorHAnsi" w:hAnsiTheme="minorHAnsi"/>
        </w:rPr>
        <w:t xml:space="preserve"> dla wymiaru szerokości.</w:t>
      </w:r>
    </w:p>
    <w:p w:rsidR="009B7C43" w:rsidRPr="00A836C9" w:rsidRDefault="009B7C43" w:rsidP="009B7C43">
      <w:pPr>
        <w:rPr>
          <w:rFonts w:asciiTheme="minorHAnsi" w:hAnsiTheme="minorHAnsi"/>
        </w:rPr>
      </w:pPr>
      <w:r w:rsidRPr="00A836C9">
        <w:rPr>
          <w:rFonts w:asciiTheme="minorHAnsi" w:hAnsiTheme="minorHAnsi"/>
        </w:rPr>
        <w:tab/>
        <w:t>Przy wykonywaniu nowego oznakowania poziomego, spowodowanego zmianami organizacji ruchu, należy dokładnie usunąć zbędne stare oznakowanie.</w:t>
      </w:r>
    </w:p>
    <w:p w:rsidR="009B7C43" w:rsidRPr="00A836C9" w:rsidRDefault="009B7C43" w:rsidP="009B7C43">
      <w:pPr>
        <w:rPr>
          <w:rFonts w:asciiTheme="minorHAnsi" w:hAnsiTheme="minorHAnsi"/>
        </w:rPr>
      </w:pPr>
    </w:p>
    <w:p w:rsidR="009B7C43" w:rsidRPr="00A836C9" w:rsidRDefault="009B7C43" w:rsidP="009B7C43">
      <w:pPr>
        <w:rPr>
          <w:rFonts w:asciiTheme="minorHAnsi" w:hAnsiTheme="minorHAnsi"/>
          <w:b/>
        </w:rPr>
      </w:pPr>
      <w:bookmarkStart w:id="1582" w:name="_Toc420816686"/>
      <w:r w:rsidRPr="00A836C9">
        <w:rPr>
          <w:rFonts w:asciiTheme="minorHAnsi" w:hAnsiTheme="minorHAnsi"/>
          <w:b/>
        </w:rPr>
        <w:t xml:space="preserve">7. </w:t>
      </w:r>
      <w:bookmarkEnd w:id="1582"/>
      <w:r w:rsidRPr="00A836C9">
        <w:rPr>
          <w:rFonts w:asciiTheme="minorHAnsi" w:hAnsiTheme="minorHAnsi"/>
          <w:b/>
        </w:rPr>
        <w:t>OBMIAR ROBÓT</w:t>
      </w:r>
    </w:p>
    <w:p w:rsidR="009B7C43" w:rsidRPr="00A836C9" w:rsidRDefault="009B7C43" w:rsidP="009B7C43">
      <w:pPr>
        <w:rPr>
          <w:rFonts w:asciiTheme="minorHAnsi" w:hAnsiTheme="minorHAnsi"/>
        </w:rPr>
      </w:pPr>
      <w:r w:rsidRPr="00A836C9">
        <w:rPr>
          <w:rFonts w:asciiTheme="minorHAnsi" w:hAnsiTheme="minorHAnsi"/>
          <w:b/>
        </w:rPr>
        <w:t>7.1.</w:t>
      </w:r>
      <w:r w:rsidRPr="00A836C9">
        <w:rPr>
          <w:rFonts w:asciiTheme="minorHAnsi" w:hAnsiTheme="minorHAnsi"/>
        </w:rPr>
        <w:t xml:space="preserve"> Ogólne zasady obmiaru robót</w:t>
      </w:r>
    </w:p>
    <w:p w:rsidR="009B7C43" w:rsidRPr="00A836C9" w:rsidRDefault="009B7C43" w:rsidP="009B7C43">
      <w:pPr>
        <w:rPr>
          <w:rFonts w:asciiTheme="minorHAnsi" w:hAnsiTheme="minorHAnsi"/>
        </w:rPr>
      </w:pPr>
      <w:r w:rsidRPr="00A836C9">
        <w:rPr>
          <w:rFonts w:asciiTheme="minorHAnsi" w:hAnsiTheme="minorHAnsi"/>
        </w:rPr>
        <w:tab/>
        <w:t>Ogólne zasady obmiaru robót podano w ST D-M-00.00.00 „Wymagania ogólne” pkt 7.</w:t>
      </w:r>
    </w:p>
    <w:p w:rsidR="009B7C43" w:rsidRPr="00A836C9" w:rsidRDefault="009B7C43" w:rsidP="009B7C43">
      <w:pPr>
        <w:rPr>
          <w:rFonts w:asciiTheme="minorHAnsi" w:hAnsiTheme="minorHAnsi"/>
        </w:rPr>
      </w:pPr>
      <w:r w:rsidRPr="00A836C9">
        <w:rPr>
          <w:rFonts w:asciiTheme="minorHAnsi" w:hAnsiTheme="minorHAnsi"/>
          <w:b/>
        </w:rPr>
        <w:t>7.2.</w:t>
      </w:r>
      <w:r w:rsidRPr="00A836C9">
        <w:rPr>
          <w:rFonts w:asciiTheme="minorHAnsi" w:hAnsiTheme="minorHAnsi"/>
        </w:rPr>
        <w:t xml:space="preserve"> Jednostka obmiarowa</w:t>
      </w:r>
    </w:p>
    <w:p w:rsidR="009B7C43" w:rsidRPr="00A836C9" w:rsidRDefault="009B7C43" w:rsidP="009B7C43">
      <w:pPr>
        <w:rPr>
          <w:rFonts w:asciiTheme="minorHAnsi" w:hAnsiTheme="minorHAnsi"/>
        </w:rPr>
      </w:pPr>
      <w:r w:rsidRPr="00A836C9">
        <w:rPr>
          <w:rFonts w:asciiTheme="minorHAnsi" w:hAnsiTheme="minorHAnsi"/>
        </w:rPr>
        <w:tab/>
        <w:t>Jednostką obmiarową oznakowania poziomego jest 1 m2 (metr kwadratowy) powierzchni naniesionych oznakowań lub liczba umieszczonych punktowych elementów odblaskowych.</w:t>
      </w:r>
    </w:p>
    <w:p w:rsidR="009B7C43" w:rsidRPr="00A836C9" w:rsidRDefault="009B7C43" w:rsidP="009B7C43">
      <w:pPr>
        <w:rPr>
          <w:rFonts w:asciiTheme="minorHAnsi" w:hAnsiTheme="minorHAnsi"/>
        </w:rPr>
      </w:pPr>
    </w:p>
    <w:p w:rsidR="009B7C43" w:rsidRPr="00A836C9" w:rsidRDefault="009B7C43" w:rsidP="009B7C43">
      <w:pPr>
        <w:rPr>
          <w:rFonts w:asciiTheme="minorHAnsi" w:hAnsiTheme="minorHAnsi"/>
          <w:b/>
        </w:rPr>
      </w:pPr>
      <w:bookmarkStart w:id="1583" w:name="_Toc420816687"/>
      <w:r w:rsidRPr="00A836C9">
        <w:rPr>
          <w:rFonts w:asciiTheme="minorHAnsi" w:hAnsiTheme="minorHAnsi"/>
          <w:b/>
        </w:rPr>
        <w:t xml:space="preserve">8. </w:t>
      </w:r>
      <w:bookmarkEnd w:id="1583"/>
      <w:r w:rsidRPr="00A836C9">
        <w:rPr>
          <w:rFonts w:asciiTheme="minorHAnsi" w:hAnsiTheme="minorHAnsi"/>
          <w:b/>
        </w:rPr>
        <w:t>ODBIÓR ROBÓT</w:t>
      </w:r>
    </w:p>
    <w:p w:rsidR="009B7C43" w:rsidRPr="00A836C9" w:rsidRDefault="009B7C43" w:rsidP="009B7C43">
      <w:pPr>
        <w:rPr>
          <w:rFonts w:asciiTheme="minorHAnsi" w:hAnsiTheme="minorHAnsi"/>
        </w:rPr>
      </w:pPr>
      <w:r w:rsidRPr="00A836C9">
        <w:rPr>
          <w:rFonts w:asciiTheme="minorHAnsi" w:hAnsiTheme="minorHAnsi"/>
          <w:b/>
        </w:rPr>
        <w:t>8.1.</w:t>
      </w:r>
      <w:r w:rsidRPr="00A836C9">
        <w:rPr>
          <w:rFonts w:asciiTheme="minorHAnsi" w:hAnsiTheme="minorHAnsi"/>
        </w:rPr>
        <w:t xml:space="preserve"> Ogólne zasady odbioru robót</w:t>
      </w:r>
    </w:p>
    <w:p w:rsidR="009B7C43" w:rsidRPr="00A836C9" w:rsidRDefault="009B7C43" w:rsidP="009B7C43">
      <w:pPr>
        <w:rPr>
          <w:rFonts w:asciiTheme="minorHAnsi" w:hAnsiTheme="minorHAnsi"/>
        </w:rPr>
      </w:pPr>
      <w:r w:rsidRPr="00A836C9">
        <w:rPr>
          <w:rFonts w:asciiTheme="minorHAnsi" w:hAnsiTheme="minorHAnsi"/>
        </w:rPr>
        <w:tab/>
        <w:t>Ogólne zasady odbioru robót podano w ST D-M-00.00.00 „Wymagania ogólne” pkt 8.</w:t>
      </w:r>
    </w:p>
    <w:p w:rsidR="009B7C43" w:rsidRPr="00A836C9" w:rsidRDefault="009B7C43" w:rsidP="009B7C43">
      <w:pPr>
        <w:rPr>
          <w:rFonts w:asciiTheme="minorHAnsi" w:hAnsiTheme="minorHAnsi"/>
        </w:rPr>
      </w:pPr>
      <w:r w:rsidRPr="00A836C9">
        <w:rPr>
          <w:rFonts w:asciiTheme="minorHAnsi" w:hAnsiTheme="minorHAnsi"/>
        </w:rPr>
        <w:tab/>
        <w:t>Roboty uznaje się za wykonane zgodnie z dokumentacją projektową, ST i wymaganiami Inżyniera, jeżeli wszystkie pomiary i badania, z zachowaniem tolerancji wg pkt 6, dały wyniki pozytywne.</w:t>
      </w:r>
    </w:p>
    <w:p w:rsidR="009B7C43" w:rsidRPr="00A836C9" w:rsidRDefault="009B7C43" w:rsidP="009B7C43">
      <w:pPr>
        <w:rPr>
          <w:rFonts w:asciiTheme="minorHAnsi" w:hAnsiTheme="minorHAnsi"/>
        </w:rPr>
      </w:pPr>
      <w:r w:rsidRPr="00A836C9">
        <w:rPr>
          <w:rFonts w:asciiTheme="minorHAnsi" w:hAnsiTheme="minorHAnsi"/>
          <w:b/>
        </w:rPr>
        <w:t>8.2.</w:t>
      </w:r>
      <w:r w:rsidRPr="00A836C9">
        <w:rPr>
          <w:rFonts w:asciiTheme="minorHAnsi" w:hAnsiTheme="minorHAnsi"/>
        </w:rPr>
        <w:t xml:space="preserve"> Odbiór robót zanikających i ulegających zakryciu</w:t>
      </w:r>
    </w:p>
    <w:p w:rsidR="009B7C43" w:rsidRPr="00A836C9" w:rsidRDefault="009B7C43" w:rsidP="009B7C43">
      <w:pPr>
        <w:rPr>
          <w:rFonts w:asciiTheme="minorHAnsi" w:hAnsiTheme="minorHAnsi"/>
        </w:rPr>
      </w:pPr>
      <w:r w:rsidRPr="00A836C9">
        <w:rPr>
          <w:rFonts w:asciiTheme="minorHAnsi" w:hAnsiTheme="minorHAnsi"/>
        </w:rPr>
        <w:tab/>
        <w:t>Odbiór robót zanikających i ulegających zakryciu, w zależności od przyjętego sposobu wykona</w:t>
      </w:r>
      <w:r>
        <w:rPr>
          <w:rFonts w:asciiTheme="minorHAnsi" w:hAnsiTheme="minorHAnsi"/>
        </w:rPr>
        <w:t xml:space="preserve">nia robót, może być dokonany po </w:t>
      </w:r>
      <w:r w:rsidRPr="00A836C9">
        <w:rPr>
          <w:rFonts w:asciiTheme="minorHAnsi" w:hAnsiTheme="minorHAnsi"/>
        </w:rPr>
        <w:t>oczys</w:t>
      </w:r>
      <w:r>
        <w:rPr>
          <w:rFonts w:asciiTheme="minorHAnsi" w:hAnsiTheme="minorHAnsi"/>
        </w:rPr>
        <w:t>zczeniu powierzchni nawierzchni i</w:t>
      </w:r>
      <w:r w:rsidRPr="00A836C9">
        <w:rPr>
          <w:rFonts w:asciiTheme="minorHAnsi" w:hAnsiTheme="minorHAnsi"/>
        </w:rPr>
        <w:t xml:space="preserve"> przedznakowaniu.</w:t>
      </w:r>
    </w:p>
    <w:p w:rsidR="009B7C43" w:rsidRPr="00A836C9" w:rsidRDefault="009B7C43" w:rsidP="009B7C43">
      <w:pPr>
        <w:rPr>
          <w:rFonts w:asciiTheme="minorHAnsi" w:hAnsiTheme="minorHAnsi"/>
        </w:rPr>
      </w:pPr>
      <w:r w:rsidRPr="00A836C9">
        <w:rPr>
          <w:rFonts w:asciiTheme="minorHAnsi" w:hAnsiTheme="minorHAnsi"/>
          <w:b/>
        </w:rPr>
        <w:t>8.3.</w:t>
      </w:r>
      <w:r w:rsidRPr="00A836C9">
        <w:rPr>
          <w:rFonts w:asciiTheme="minorHAnsi" w:hAnsiTheme="minorHAnsi"/>
        </w:rPr>
        <w:t xml:space="preserve"> Odbiór ostateczny</w:t>
      </w:r>
    </w:p>
    <w:p w:rsidR="009B7C43" w:rsidRPr="00A836C9" w:rsidRDefault="009B7C43" w:rsidP="009B7C43">
      <w:pPr>
        <w:rPr>
          <w:rFonts w:asciiTheme="minorHAnsi" w:hAnsiTheme="minorHAnsi"/>
        </w:rPr>
      </w:pPr>
      <w:r w:rsidRPr="00A836C9">
        <w:rPr>
          <w:rFonts w:asciiTheme="minorHAnsi" w:hAnsiTheme="minorHAnsi"/>
        </w:rPr>
        <w:tab/>
        <w:t>Odbioru ostatecznego należy dokonać po całkowitym zakończeniu robót, na podstawie wyników pomiarów i badań jakościowych określonych w punktach od 2 do 6.</w:t>
      </w:r>
    </w:p>
    <w:p w:rsidR="009B7C43" w:rsidRPr="00A836C9" w:rsidRDefault="009B7C43" w:rsidP="009B7C43">
      <w:pPr>
        <w:rPr>
          <w:rFonts w:asciiTheme="minorHAnsi" w:hAnsiTheme="minorHAnsi"/>
        </w:rPr>
      </w:pPr>
      <w:r w:rsidRPr="00A836C9">
        <w:rPr>
          <w:rFonts w:asciiTheme="minorHAnsi" w:hAnsiTheme="minorHAnsi"/>
          <w:b/>
        </w:rPr>
        <w:t>8.4.</w:t>
      </w:r>
      <w:r w:rsidRPr="00A836C9">
        <w:rPr>
          <w:rFonts w:asciiTheme="minorHAnsi" w:hAnsiTheme="minorHAnsi"/>
        </w:rPr>
        <w:t xml:space="preserve"> Odbiór pogwarancyjny</w:t>
      </w:r>
    </w:p>
    <w:p w:rsidR="009B7C43" w:rsidRPr="00A836C9" w:rsidRDefault="009B7C43" w:rsidP="009B7C43">
      <w:pPr>
        <w:rPr>
          <w:rFonts w:asciiTheme="minorHAnsi" w:hAnsiTheme="minorHAnsi"/>
        </w:rPr>
      </w:pPr>
      <w:r w:rsidRPr="00A836C9">
        <w:rPr>
          <w:rFonts w:asciiTheme="minorHAnsi" w:hAnsiTheme="minorHAnsi"/>
        </w:rPr>
        <w:tab/>
        <w:t>Odbioru pogwarancyjnego należy dokonać po upływie okresu gwarancyjnego. Sprawdzeniu podlegają cechy oznakowania określone niniejszym ST na podstawie badań wykonanych przed upływem okresu gwarancyjnego.</w:t>
      </w:r>
    </w:p>
    <w:p w:rsidR="009B7C43" w:rsidRPr="00A836C9" w:rsidRDefault="009B7C43" w:rsidP="009B7C43">
      <w:pPr>
        <w:rPr>
          <w:rFonts w:asciiTheme="minorHAnsi" w:hAnsiTheme="minorHAnsi"/>
        </w:rPr>
      </w:pPr>
      <w:r w:rsidRPr="00A836C9">
        <w:rPr>
          <w:rFonts w:asciiTheme="minorHAnsi" w:hAnsiTheme="minorHAnsi"/>
        </w:rPr>
        <w:tab/>
        <w:t>Zaleca się stosowanie następujących minimalnych okresów gwarancyjnych dla oznakowania cienkowarstwowego</w:t>
      </w:r>
      <w:r w:rsidR="00F040CD">
        <w:rPr>
          <w:rFonts w:asciiTheme="minorHAnsi" w:hAnsiTheme="minorHAnsi"/>
        </w:rPr>
        <w:t xml:space="preserve"> </w:t>
      </w:r>
      <w:r w:rsidRPr="00A836C9">
        <w:rPr>
          <w:rFonts w:asciiTheme="minorHAnsi" w:hAnsiTheme="minorHAnsi"/>
        </w:rPr>
        <w:t>co najmniej 6 miesięcy a na przejściach dla pieszych co najmniej 3 miesiące,</w:t>
      </w:r>
      <w:r w:rsidR="00F040CD">
        <w:rPr>
          <w:rFonts w:asciiTheme="minorHAnsi" w:hAnsiTheme="minorHAnsi"/>
        </w:rPr>
        <w:t xml:space="preserve"> </w:t>
      </w:r>
      <w:r w:rsidRPr="00A836C9">
        <w:rPr>
          <w:rFonts w:asciiTheme="minorHAnsi" w:hAnsiTheme="minorHAnsi"/>
        </w:rPr>
        <w:t>dla oznakowania punktowymi elementami odblaskowymi co najmniej 24 miesiące.</w:t>
      </w:r>
    </w:p>
    <w:p w:rsidR="009B7C43" w:rsidRPr="00A836C9" w:rsidRDefault="009B7C43" w:rsidP="009B7C43">
      <w:pPr>
        <w:rPr>
          <w:rFonts w:asciiTheme="minorHAnsi" w:hAnsiTheme="minorHAnsi"/>
        </w:rPr>
      </w:pPr>
      <w:r w:rsidRPr="00A836C9">
        <w:rPr>
          <w:rFonts w:asciiTheme="minorHAnsi" w:hAnsiTheme="minorHAnsi"/>
        </w:rPr>
        <w:tab/>
      </w:r>
    </w:p>
    <w:p w:rsidR="009B7C43" w:rsidRPr="00A836C9" w:rsidRDefault="009B7C43" w:rsidP="009B7C43">
      <w:pPr>
        <w:rPr>
          <w:rFonts w:asciiTheme="minorHAnsi" w:hAnsiTheme="minorHAnsi"/>
          <w:b/>
        </w:rPr>
      </w:pPr>
      <w:bookmarkStart w:id="1584" w:name="_Toc420816688"/>
      <w:r w:rsidRPr="00A836C9">
        <w:rPr>
          <w:rFonts w:asciiTheme="minorHAnsi" w:hAnsiTheme="minorHAnsi"/>
          <w:b/>
        </w:rPr>
        <w:t xml:space="preserve">9. </w:t>
      </w:r>
      <w:bookmarkEnd w:id="1584"/>
      <w:r w:rsidRPr="00A836C9">
        <w:rPr>
          <w:rFonts w:asciiTheme="minorHAnsi" w:hAnsiTheme="minorHAnsi"/>
          <w:b/>
        </w:rPr>
        <w:t>PODSTAWA PŁATNOŚCI</w:t>
      </w:r>
    </w:p>
    <w:p w:rsidR="009B7C43" w:rsidRPr="00A836C9" w:rsidRDefault="009B7C43" w:rsidP="009B7C43">
      <w:pPr>
        <w:rPr>
          <w:rFonts w:asciiTheme="minorHAnsi" w:hAnsiTheme="minorHAnsi"/>
        </w:rPr>
      </w:pPr>
      <w:r w:rsidRPr="00A836C9">
        <w:rPr>
          <w:rFonts w:asciiTheme="minorHAnsi" w:hAnsiTheme="minorHAnsi"/>
          <w:b/>
        </w:rPr>
        <w:t>9.1.</w:t>
      </w:r>
      <w:r w:rsidRPr="00A836C9">
        <w:rPr>
          <w:rFonts w:asciiTheme="minorHAnsi" w:hAnsiTheme="minorHAnsi"/>
        </w:rPr>
        <w:t xml:space="preserve"> Ogólne ustalenia dotyczące podstawy płatności</w:t>
      </w:r>
    </w:p>
    <w:p w:rsidR="009B7C43" w:rsidRPr="00A836C9" w:rsidRDefault="009B7C43" w:rsidP="009B7C43">
      <w:pPr>
        <w:rPr>
          <w:rFonts w:asciiTheme="minorHAnsi" w:hAnsiTheme="minorHAnsi"/>
        </w:rPr>
      </w:pPr>
      <w:r w:rsidRPr="00A836C9">
        <w:rPr>
          <w:rFonts w:asciiTheme="minorHAnsi" w:hAnsiTheme="minorHAnsi"/>
        </w:rPr>
        <w:tab/>
        <w:t xml:space="preserve">Ogólne ustalenia dotyczące podstawy płatności podano w ST D-M-00.00.00 „Wymagania ogólne” pkt 9. </w:t>
      </w:r>
    </w:p>
    <w:p w:rsidR="009B7C43" w:rsidRPr="00A836C9" w:rsidRDefault="009B7C43" w:rsidP="009B7C43">
      <w:pPr>
        <w:rPr>
          <w:rFonts w:asciiTheme="minorHAnsi" w:hAnsiTheme="minorHAnsi"/>
        </w:rPr>
      </w:pPr>
      <w:r w:rsidRPr="00A836C9">
        <w:rPr>
          <w:rFonts w:asciiTheme="minorHAnsi" w:hAnsiTheme="minorHAnsi"/>
          <w:b/>
        </w:rPr>
        <w:t>9.2.</w:t>
      </w:r>
      <w:r w:rsidRPr="00A836C9">
        <w:rPr>
          <w:rFonts w:asciiTheme="minorHAnsi" w:hAnsiTheme="minorHAnsi"/>
        </w:rPr>
        <w:t xml:space="preserve"> Cena jednostki obmiarowej</w:t>
      </w:r>
    </w:p>
    <w:p w:rsidR="009B7C43" w:rsidRPr="00A836C9" w:rsidRDefault="009B7C43" w:rsidP="009B7C43">
      <w:pPr>
        <w:rPr>
          <w:rFonts w:asciiTheme="minorHAnsi" w:hAnsiTheme="minorHAnsi"/>
        </w:rPr>
      </w:pPr>
      <w:r w:rsidRPr="00A836C9">
        <w:rPr>
          <w:rFonts w:asciiTheme="minorHAnsi" w:hAnsiTheme="minorHAnsi"/>
        </w:rPr>
        <w:tab/>
        <w:t xml:space="preserve">Cena </w:t>
      </w:r>
      <w:smartTag w:uri="urn:schemas-microsoft-com:office:smarttags" w:element="metricconverter">
        <w:smartTagPr>
          <w:attr w:name="ProductID" w:val="1 m2"/>
        </w:smartTagPr>
        <w:r w:rsidRPr="00A836C9">
          <w:rPr>
            <w:rFonts w:asciiTheme="minorHAnsi" w:hAnsiTheme="minorHAnsi"/>
          </w:rPr>
          <w:t>1 m2</w:t>
        </w:r>
      </w:smartTag>
      <w:r w:rsidRPr="00A836C9">
        <w:rPr>
          <w:rFonts w:asciiTheme="minorHAnsi" w:hAnsiTheme="minorHAnsi"/>
        </w:rPr>
        <w:t xml:space="preserve"> wykonania robót obejmuje:</w:t>
      </w:r>
    </w:p>
    <w:p w:rsidR="009B7C43" w:rsidRPr="00A836C9" w:rsidRDefault="009B7C43" w:rsidP="009B7C43">
      <w:pPr>
        <w:rPr>
          <w:rFonts w:asciiTheme="minorHAnsi" w:hAnsiTheme="minorHAnsi"/>
        </w:rPr>
      </w:pPr>
      <w:r>
        <w:rPr>
          <w:rFonts w:asciiTheme="minorHAnsi" w:hAnsiTheme="minorHAnsi"/>
        </w:rPr>
        <w:t>-</w:t>
      </w:r>
      <w:r w:rsidRPr="00A836C9">
        <w:rPr>
          <w:rFonts w:asciiTheme="minorHAnsi" w:hAnsiTheme="minorHAnsi"/>
        </w:rPr>
        <w:t>prace pomiarowe, roboty przygotowawcze i oznakowanie robót,</w:t>
      </w:r>
    </w:p>
    <w:p w:rsidR="009B7C43" w:rsidRPr="00A836C9" w:rsidRDefault="009B7C43" w:rsidP="009B7C43">
      <w:pPr>
        <w:rPr>
          <w:rFonts w:asciiTheme="minorHAnsi" w:hAnsiTheme="minorHAnsi"/>
        </w:rPr>
      </w:pPr>
      <w:r>
        <w:rPr>
          <w:rFonts w:asciiTheme="minorHAnsi" w:hAnsiTheme="minorHAnsi"/>
        </w:rPr>
        <w:t>-</w:t>
      </w:r>
      <w:r w:rsidRPr="00A836C9">
        <w:rPr>
          <w:rFonts w:asciiTheme="minorHAnsi" w:hAnsiTheme="minorHAnsi"/>
        </w:rPr>
        <w:t>przygotowanie i dostarczenie materiałów,</w:t>
      </w:r>
    </w:p>
    <w:p w:rsidR="009B7C43" w:rsidRPr="00A836C9" w:rsidRDefault="009B7C43" w:rsidP="009B7C43">
      <w:pPr>
        <w:rPr>
          <w:rFonts w:asciiTheme="minorHAnsi" w:hAnsiTheme="minorHAnsi"/>
        </w:rPr>
      </w:pPr>
      <w:r>
        <w:rPr>
          <w:rFonts w:asciiTheme="minorHAnsi" w:hAnsiTheme="minorHAnsi"/>
        </w:rPr>
        <w:t>-</w:t>
      </w:r>
      <w:r w:rsidRPr="00A836C9">
        <w:rPr>
          <w:rFonts w:asciiTheme="minorHAnsi" w:hAnsiTheme="minorHAnsi"/>
        </w:rPr>
        <w:t>oczyszczenie podłoża (nawierzchni),</w:t>
      </w:r>
    </w:p>
    <w:p w:rsidR="009B7C43" w:rsidRPr="00A836C9" w:rsidRDefault="009B7C43" w:rsidP="009B7C43">
      <w:pPr>
        <w:rPr>
          <w:rFonts w:asciiTheme="minorHAnsi" w:hAnsiTheme="minorHAnsi"/>
        </w:rPr>
      </w:pPr>
      <w:r>
        <w:rPr>
          <w:rFonts w:asciiTheme="minorHAnsi" w:hAnsiTheme="minorHAnsi"/>
        </w:rPr>
        <w:t>-</w:t>
      </w:r>
      <w:r w:rsidRPr="00A836C9">
        <w:rPr>
          <w:rFonts w:asciiTheme="minorHAnsi" w:hAnsiTheme="minorHAnsi"/>
        </w:rPr>
        <w:t>przedznakowanie,</w:t>
      </w:r>
    </w:p>
    <w:p w:rsidR="009B7C43" w:rsidRPr="00A836C9" w:rsidRDefault="009B7C43" w:rsidP="009B7C43">
      <w:pPr>
        <w:rPr>
          <w:rFonts w:asciiTheme="minorHAnsi" w:hAnsiTheme="minorHAnsi"/>
        </w:rPr>
      </w:pPr>
      <w:r>
        <w:rPr>
          <w:rFonts w:asciiTheme="minorHAnsi" w:hAnsiTheme="minorHAnsi"/>
        </w:rPr>
        <w:t>-</w:t>
      </w:r>
      <w:r w:rsidRPr="00A836C9">
        <w:rPr>
          <w:rFonts w:asciiTheme="minorHAnsi" w:hAnsiTheme="minorHAnsi"/>
        </w:rPr>
        <w:t>naniesienie powłoki znaków na nawierzchnię drogi o kształtach i wymiarach zgodnych z dokumentacją projektową i załącznikiem nr 2 do rozporządzenia Ministra Infrastruktury,</w:t>
      </w:r>
    </w:p>
    <w:p w:rsidR="009B7C43" w:rsidRPr="00A836C9" w:rsidRDefault="009B7C43" w:rsidP="009B7C43">
      <w:pPr>
        <w:rPr>
          <w:rFonts w:asciiTheme="minorHAnsi" w:hAnsiTheme="minorHAnsi"/>
        </w:rPr>
      </w:pPr>
      <w:r>
        <w:rPr>
          <w:rFonts w:asciiTheme="minorHAnsi" w:hAnsiTheme="minorHAnsi"/>
        </w:rPr>
        <w:t>-</w:t>
      </w:r>
      <w:r w:rsidRPr="00A836C9">
        <w:rPr>
          <w:rFonts w:asciiTheme="minorHAnsi" w:hAnsiTheme="minorHAnsi"/>
        </w:rPr>
        <w:t>ochrona znaków przed zniszczeniem przez pojazdy w czasie prowadzenia robót,</w:t>
      </w:r>
    </w:p>
    <w:p w:rsidR="009B7C43" w:rsidRPr="00A836C9" w:rsidRDefault="009B7C43" w:rsidP="009B7C43">
      <w:pPr>
        <w:rPr>
          <w:rFonts w:asciiTheme="minorHAnsi" w:hAnsiTheme="minorHAnsi"/>
        </w:rPr>
      </w:pPr>
      <w:r>
        <w:rPr>
          <w:rFonts w:asciiTheme="minorHAnsi" w:hAnsiTheme="minorHAnsi"/>
        </w:rPr>
        <w:t>-</w:t>
      </w:r>
      <w:r w:rsidRPr="00A836C9">
        <w:rPr>
          <w:rFonts w:asciiTheme="minorHAnsi" w:hAnsiTheme="minorHAnsi"/>
        </w:rPr>
        <w:t>przeprowadzenie pomiarów i badań laboratoryjnych wymaganych w specyfikacji technicznej.</w:t>
      </w:r>
    </w:p>
    <w:p w:rsidR="009B7C43" w:rsidRPr="00A836C9" w:rsidRDefault="009B7C43" w:rsidP="009B7C43">
      <w:pPr>
        <w:rPr>
          <w:rFonts w:asciiTheme="minorHAnsi" w:hAnsiTheme="minorHAnsi"/>
        </w:rPr>
      </w:pPr>
    </w:p>
    <w:p w:rsidR="009B7C43" w:rsidRPr="00A836C9" w:rsidRDefault="009B7C43" w:rsidP="009B7C43">
      <w:pPr>
        <w:rPr>
          <w:rFonts w:asciiTheme="minorHAnsi" w:hAnsiTheme="minorHAnsi"/>
          <w:b/>
        </w:rPr>
      </w:pPr>
      <w:bookmarkStart w:id="1585" w:name="_Toc420816689"/>
      <w:r w:rsidRPr="00A836C9">
        <w:rPr>
          <w:rFonts w:asciiTheme="minorHAnsi" w:hAnsiTheme="minorHAnsi"/>
          <w:b/>
        </w:rPr>
        <w:t xml:space="preserve">10. </w:t>
      </w:r>
      <w:bookmarkEnd w:id="1585"/>
      <w:r w:rsidRPr="00A836C9">
        <w:rPr>
          <w:rFonts w:asciiTheme="minorHAnsi" w:hAnsiTheme="minorHAnsi"/>
          <w:b/>
        </w:rPr>
        <w:t>PRZEPISY ZWIĄZANE</w:t>
      </w:r>
    </w:p>
    <w:p w:rsidR="009B7C43" w:rsidRPr="00A836C9" w:rsidRDefault="009B7C43" w:rsidP="009B7C43">
      <w:pPr>
        <w:rPr>
          <w:rFonts w:asciiTheme="minorHAnsi" w:hAnsiTheme="minorHAnsi"/>
        </w:rPr>
      </w:pPr>
      <w:r w:rsidRPr="00A836C9">
        <w:rPr>
          <w:rFonts w:asciiTheme="minorHAnsi" w:hAnsiTheme="minorHAnsi"/>
          <w:b/>
        </w:rPr>
        <w:t>10.1.</w:t>
      </w:r>
      <w:r w:rsidRPr="00A836C9">
        <w:rPr>
          <w:rFonts w:asciiTheme="minorHAnsi" w:hAnsiTheme="minorHAnsi"/>
        </w:rPr>
        <w:t xml:space="preserve"> Normy</w:t>
      </w:r>
    </w:p>
    <w:tbl>
      <w:tblPr>
        <w:tblW w:w="0" w:type="auto"/>
        <w:tblLayout w:type="fixed"/>
        <w:tblCellMar>
          <w:left w:w="70" w:type="dxa"/>
          <w:right w:w="70" w:type="dxa"/>
        </w:tblCellMar>
        <w:tblLook w:val="0000"/>
      </w:tblPr>
      <w:tblGrid>
        <w:gridCol w:w="496"/>
        <w:gridCol w:w="1842"/>
        <w:gridCol w:w="5172"/>
      </w:tblGrid>
      <w:tr w:rsidR="009B7C43" w:rsidRPr="00A836C9" w:rsidTr="00D11375">
        <w:tc>
          <w:tcPr>
            <w:tcW w:w="496" w:type="dxa"/>
            <w:tcBorders>
              <w:top w:val="nil"/>
              <w:left w:val="nil"/>
              <w:bottom w:val="nil"/>
              <w:right w:val="nil"/>
            </w:tcBorders>
          </w:tcPr>
          <w:p w:rsidR="009B7C43" w:rsidRPr="00A836C9" w:rsidRDefault="009B7C43" w:rsidP="00D11375">
            <w:pPr>
              <w:rPr>
                <w:rFonts w:asciiTheme="minorHAnsi" w:hAnsiTheme="minorHAnsi"/>
              </w:rPr>
            </w:pPr>
            <w:r w:rsidRPr="00A836C9">
              <w:rPr>
                <w:rFonts w:asciiTheme="minorHAnsi" w:hAnsiTheme="minorHAnsi"/>
              </w:rPr>
              <w:t>1.</w:t>
            </w:r>
          </w:p>
        </w:tc>
        <w:tc>
          <w:tcPr>
            <w:tcW w:w="1842" w:type="dxa"/>
            <w:tcBorders>
              <w:top w:val="nil"/>
              <w:left w:val="nil"/>
              <w:bottom w:val="nil"/>
              <w:right w:val="nil"/>
            </w:tcBorders>
          </w:tcPr>
          <w:p w:rsidR="009B7C43" w:rsidRPr="00A836C9" w:rsidRDefault="009B7C43" w:rsidP="00D11375">
            <w:pPr>
              <w:rPr>
                <w:rFonts w:asciiTheme="minorHAnsi" w:hAnsiTheme="minorHAnsi"/>
              </w:rPr>
            </w:pPr>
            <w:r w:rsidRPr="00A836C9">
              <w:rPr>
                <w:rFonts w:asciiTheme="minorHAnsi" w:hAnsiTheme="minorHAnsi"/>
              </w:rPr>
              <w:t>PN-89/C-81400</w:t>
            </w:r>
          </w:p>
        </w:tc>
        <w:tc>
          <w:tcPr>
            <w:tcW w:w="5172" w:type="dxa"/>
            <w:tcBorders>
              <w:top w:val="nil"/>
              <w:left w:val="nil"/>
              <w:bottom w:val="nil"/>
              <w:right w:val="nil"/>
            </w:tcBorders>
          </w:tcPr>
          <w:p w:rsidR="009B7C43" w:rsidRPr="00A836C9" w:rsidRDefault="009B7C43" w:rsidP="00D11375">
            <w:pPr>
              <w:rPr>
                <w:rFonts w:asciiTheme="minorHAnsi" w:hAnsiTheme="minorHAnsi"/>
              </w:rPr>
            </w:pPr>
            <w:r w:rsidRPr="00A836C9">
              <w:rPr>
                <w:rFonts w:asciiTheme="minorHAnsi" w:hAnsiTheme="minorHAnsi"/>
              </w:rPr>
              <w:t>Wyroby lakierowe. Pakowanie, przechowywanie i transport</w:t>
            </w:r>
          </w:p>
        </w:tc>
      </w:tr>
      <w:tr w:rsidR="009B7C43" w:rsidRPr="00A836C9" w:rsidTr="00D11375">
        <w:tc>
          <w:tcPr>
            <w:tcW w:w="496" w:type="dxa"/>
            <w:tcBorders>
              <w:top w:val="nil"/>
              <w:left w:val="nil"/>
              <w:bottom w:val="nil"/>
              <w:right w:val="nil"/>
            </w:tcBorders>
          </w:tcPr>
          <w:p w:rsidR="009B7C43" w:rsidRPr="00A836C9" w:rsidRDefault="009B7C43" w:rsidP="00D11375">
            <w:pPr>
              <w:rPr>
                <w:rFonts w:asciiTheme="minorHAnsi" w:hAnsiTheme="minorHAnsi"/>
              </w:rPr>
            </w:pPr>
            <w:r w:rsidRPr="00A836C9">
              <w:rPr>
                <w:rFonts w:asciiTheme="minorHAnsi" w:hAnsiTheme="minorHAnsi"/>
              </w:rPr>
              <w:t>2.</w:t>
            </w:r>
          </w:p>
        </w:tc>
        <w:tc>
          <w:tcPr>
            <w:tcW w:w="1842" w:type="dxa"/>
            <w:tcBorders>
              <w:top w:val="nil"/>
              <w:left w:val="nil"/>
              <w:bottom w:val="nil"/>
              <w:right w:val="nil"/>
            </w:tcBorders>
          </w:tcPr>
          <w:p w:rsidR="009B7C43" w:rsidRPr="00A836C9" w:rsidRDefault="009B7C43" w:rsidP="00D11375">
            <w:pPr>
              <w:rPr>
                <w:rFonts w:asciiTheme="minorHAnsi" w:hAnsiTheme="minorHAnsi"/>
              </w:rPr>
            </w:pPr>
            <w:r w:rsidRPr="00A836C9">
              <w:rPr>
                <w:rFonts w:asciiTheme="minorHAnsi" w:hAnsiTheme="minorHAnsi"/>
              </w:rPr>
              <w:t>PN-85/O-79252</w:t>
            </w:r>
          </w:p>
        </w:tc>
        <w:tc>
          <w:tcPr>
            <w:tcW w:w="5172" w:type="dxa"/>
            <w:tcBorders>
              <w:top w:val="nil"/>
              <w:left w:val="nil"/>
              <w:bottom w:val="nil"/>
              <w:right w:val="nil"/>
            </w:tcBorders>
          </w:tcPr>
          <w:p w:rsidR="009B7C43" w:rsidRPr="00A836C9" w:rsidRDefault="009B7C43" w:rsidP="00D11375">
            <w:pPr>
              <w:rPr>
                <w:rFonts w:asciiTheme="minorHAnsi" w:hAnsiTheme="minorHAnsi"/>
              </w:rPr>
            </w:pPr>
            <w:r w:rsidRPr="00A836C9">
              <w:rPr>
                <w:rFonts w:asciiTheme="minorHAnsi" w:hAnsiTheme="minorHAnsi"/>
              </w:rPr>
              <w:t>Opakowania transportowe z zawartością. Znaki i znakowanie. Wymagania podstawowe</w:t>
            </w:r>
          </w:p>
        </w:tc>
      </w:tr>
      <w:tr w:rsidR="009B7C43" w:rsidRPr="00A836C9" w:rsidTr="00D11375">
        <w:tc>
          <w:tcPr>
            <w:tcW w:w="496" w:type="dxa"/>
            <w:tcBorders>
              <w:top w:val="nil"/>
              <w:left w:val="nil"/>
              <w:bottom w:val="nil"/>
              <w:right w:val="nil"/>
            </w:tcBorders>
          </w:tcPr>
          <w:p w:rsidR="009B7C43" w:rsidRPr="00A836C9" w:rsidRDefault="009B7C43" w:rsidP="00D11375">
            <w:pPr>
              <w:rPr>
                <w:rFonts w:asciiTheme="minorHAnsi" w:hAnsiTheme="minorHAnsi"/>
              </w:rPr>
            </w:pPr>
            <w:r w:rsidRPr="00A836C9">
              <w:rPr>
                <w:rFonts w:asciiTheme="minorHAnsi" w:hAnsiTheme="minorHAnsi"/>
              </w:rPr>
              <w:lastRenderedPageBreak/>
              <w:t>3.</w:t>
            </w:r>
          </w:p>
        </w:tc>
        <w:tc>
          <w:tcPr>
            <w:tcW w:w="1842" w:type="dxa"/>
            <w:tcBorders>
              <w:top w:val="nil"/>
              <w:left w:val="nil"/>
              <w:bottom w:val="nil"/>
              <w:right w:val="nil"/>
            </w:tcBorders>
          </w:tcPr>
          <w:p w:rsidR="009B7C43" w:rsidRPr="00A836C9" w:rsidRDefault="009B7C43" w:rsidP="00D11375">
            <w:pPr>
              <w:rPr>
                <w:rFonts w:asciiTheme="minorHAnsi" w:hAnsiTheme="minorHAnsi"/>
              </w:rPr>
            </w:pPr>
            <w:r w:rsidRPr="00A836C9">
              <w:rPr>
                <w:rFonts w:asciiTheme="minorHAnsi" w:hAnsiTheme="minorHAnsi"/>
              </w:rPr>
              <w:t>PN-EN 1423:2000</w:t>
            </w:r>
          </w:p>
          <w:p w:rsidR="009B7C43" w:rsidRPr="00A836C9" w:rsidRDefault="009B7C43" w:rsidP="00D11375">
            <w:pPr>
              <w:rPr>
                <w:rFonts w:asciiTheme="minorHAnsi" w:hAnsiTheme="minorHAnsi"/>
              </w:rPr>
            </w:pPr>
          </w:p>
        </w:tc>
        <w:tc>
          <w:tcPr>
            <w:tcW w:w="5172" w:type="dxa"/>
            <w:tcBorders>
              <w:top w:val="nil"/>
              <w:left w:val="nil"/>
              <w:bottom w:val="nil"/>
              <w:right w:val="nil"/>
            </w:tcBorders>
          </w:tcPr>
          <w:p w:rsidR="009B7C43" w:rsidRPr="00A836C9" w:rsidRDefault="009B7C43" w:rsidP="00D11375">
            <w:pPr>
              <w:rPr>
                <w:rFonts w:asciiTheme="minorHAnsi" w:hAnsiTheme="minorHAnsi"/>
              </w:rPr>
            </w:pPr>
            <w:r w:rsidRPr="00A836C9">
              <w:rPr>
                <w:rFonts w:asciiTheme="minorHAnsi" w:hAnsiTheme="minorHAnsi"/>
              </w:rPr>
              <w:t>Materiały do poziomego oznakowania dróg Materiały do posypywania. Kulki szklane, kruszywo przeciwpoślizgowe i ich mieszaniny)</w:t>
            </w:r>
          </w:p>
        </w:tc>
      </w:tr>
      <w:tr w:rsidR="009B7C43" w:rsidRPr="00A836C9" w:rsidTr="00D11375">
        <w:tc>
          <w:tcPr>
            <w:tcW w:w="496" w:type="dxa"/>
            <w:tcBorders>
              <w:top w:val="nil"/>
              <w:left w:val="nil"/>
              <w:bottom w:val="nil"/>
              <w:right w:val="nil"/>
            </w:tcBorders>
          </w:tcPr>
          <w:p w:rsidR="009B7C43" w:rsidRPr="00A836C9" w:rsidRDefault="009B7C43" w:rsidP="00D11375">
            <w:pPr>
              <w:rPr>
                <w:rFonts w:asciiTheme="minorHAnsi" w:hAnsiTheme="minorHAnsi"/>
              </w:rPr>
            </w:pPr>
            <w:r w:rsidRPr="00A836C9">
              <w:rPr>
                <w:rFonts w:asciiTheme="minorHAnsi" w:hAnsiTheme="minorHAnsi"/>
              </w:rPr>
              <w:t>3a.</w:t>
            </w:r>
          </w:p>
        </w:tc>
        <w:tc>
          <w:tcPr>
            <w:tcW w:w="1842" w:type="dxa"/>
            <w:tcBorders>
              <w:top w:val="nil"/>
              <w:left w:val="nil"/>
              <w:bottom w:val="nil"/>
              <w:right w:val="nil"/>
            </w:tcBorders>
          </w:tcPr>
          <w:p w:rsidR="009B7C43" w:rsidRPr="00A836C9" w:rsidRDefault="009B7C43" w:rsidP="00D11375">
            <w:pPr>
              <w:rPr>
                <w:rFonts w:asciiTheme="minorHAnsi" w:hAnsiTheme="minorHAnsi"/>
              </w:rPr>
            </w:pPr>
            <w:r w:rsidRPr="00A836C9">
              <w:rPr>
                <w:rFonts w:asciiTheme="minorHAnsi" w:hAnsiTheme="minorHAnsi"/>
              </w:rPr>
              <w:t>PN-EN 1423:2001/A1:2005</w:t>
            </w:r>
          </w:p>
        </w:tc>
        <w:tc>
          <w:tcPr>
            <w:tcW w:w="5172" w:type="dxa"/>
            <w:tcBorders>
              <w:top w:val="nil"/>
              <w:left w:val="nil"/>
              <w:bottom w:val="nil"/>
              <w:right w:val="nil"/>
            </w:tcBorders>
          </w:tcPr>
          <w:p w:rsidR="009B7C43" w:rsidRPr="00A836C9" w:rsidRDefault="009B7C43" w:rsidP="00D11375">
            <w:pPr>
              <w:rPr>
                <w:rFonts w:asciiTheme="minorHAnsi" w:hAnsiTheme="minorHAnsi"/>
              </w:rPr>
            </w:pPr>
            <w:r w:rsidRPr="00A836C9">
              <w:rPr>
                <w:rFonts w:asciiTheme="minorHAnsi" w:hAnsiTheme="minorHAnsi"/>
              </w:rPr>
              <w:t>Materiały do poziomego oznakowania dróg Materiały do posypywania. Kulki szklane, kruszywo przeciwpoślizgowe i ich mieszaniny (Zmiana A1)</w:t>
            </w:r>
          </w:p>
        </w:tc>
      </w:tr>
      <w:tr w:rsidR="009B7C43" w:rsidRPr="00A836C9" w:rsidTr="00D11375">
        <w:tc>
          <w:tcPr>
            <w:tcW w:w="496" w:type="dxa"/>
            <w:tcBorders>
              <w:top w:val="nil"/>
              <w:left w:val="nil"/>
              <w:bottom w:val="nil"/>
              <w:right w:val="nil"/>
            </w:tcBorders>
          </w:tcPr>
          <w:p w:rsidR="009B7C43" w:rsidRPr="00A836C9" w:rsidRDefault="009B7C43" w:rsidP="00D11375">
            <w:pPr>
              <w:rPr>
                <w:rFonts w:asciiTheme="minorHAnsi" w:hAnsiTheme="minorHAnsi"/>
              </w:rPr>
            </w:pPr>
            <w:r w:rsidRPr="00A836C9">
              <w:rPr>
                <w:rFonts w:asciiTheme="minorHAnsi" w:hAnsiTheme="minorHAnsi"/>
              </w:rPr>
              <w:t>4.</w:t>
            </w:r>
          </w:p>
        </w:tc>
        <w:tc>
          <w:tcPr>
            <w:tcW w:w="1842" w:type="dxa"/>
            <w:tcBorders>
              <w:top w:val="nil"/>
              <w:left w:val="nil"/>
              <w:bottom w:val="nil"/>
              <w:right w:val="nil"/>
            </w:tcBorders>
          </w:tcPr>
          <w:p w:rsidR="009B7C43" w:rsidRPr="00A836C9" w:rsidRDefault="009B7C43" w:rsidP="00D11375">
            <w:pPr>
              <w:rPr>
                <w:rFonts w:asciiTheme="minorHAnsi" w:hAnsiTheme="minorHAnsi"/>
              </w:rPr>
            </w:pPr>
            <w:r w:rsidRPr="00A836C9">
              <w:rPr>
                <w:rFonts w:asciiTheme="minorHAnsi" w:hAnsiTheme="minorHAnsi"/>
              </w:rPr>
              <w:t>PN-EN 1436:2000</w:t>
            </w:r>
          </w:p>
          <w:p w:rsidR="009B7C43" w:rsidRPr="00A836C9" w:rsidRDefault="009B7C43" w:rsidP="00D11375">
            <w:pPr>
              <w:rPr>
                <w:rFonts w:asciiTheme="minorHAnsi" w:hAnsiTheme="minorHAnsi"/>
              </w:rPr>
            </w:pPr>
          </w:p>
        </w:tc>
        <w:tc>
          <w:tcPr>
            <w:tcW w:w="5172" w:type="dxa"/>
            <w:tcBorders>
              <w:top w:val="nil"/>
              <w:left w:val="nil"/>
              <w:bottom w:val="nil"/>
              <w:right w:val="nil"/>
            </w:tcBorders>
          </w:tcPr>
          <w:p w:rsidR="009B7C43" w:rsidRPr="00A836C9" w:rsidRDefault="009B7C43" w:rsidP="00D11375">
            <w:pPr>
              <w:rPr>
                <w:rFonts w:asciiTheme="minorHAnsi" w:hAnsiTheme="minorHAnsi"/>
              </w:rPr>
            </w:pPr>
            <w:r w:rsidRPr="00A836C9">
              <w:rPr>
                <w:rFonts w:asciiTheme="minorHAnsi" w:hAnsiTheme="minorHAnsi"/>
              </w:rPr>
              <w:t>Materiały do poziomego oznakowania dróg. Wymagania dotyczące poziomego oznakowania dróg</w:t>
            </w:r>
          </w:p>
        </w:tc>
      </w:tr>
      <w:tr w:rsidR="009B7C43" w:rsidRPr="00A836C9" w:rsidTr="00D11375">
        <w:tc>
          <w:tcPr>
            <w:tcW w:w="496" w:type="dxa"/>
            <w:tcBorders>
              <w:top w:val="nil"/>
              <w:left w:val="nil"/>
              <w:bottom w:val="nil"/>
              <w:right w:val="nil"/>
            </w:tcBorders>
          </w:tcPr>
          <w:p w:rsidR="009B7C43" w:rsidRPr="00A836C9" w:rsidRDefault="009B7C43" w:rsidP="00D11375">
            <w:pPr>
              <w:rPr>
                <w:rFonts w:asciiTheme="minorHAnsi" w:hAnsiTheme="minorHAnsi"/>
              </w:rPr>
            </w:pPr>
            <w:r w:rsidRPr="00A836C9">
              <w:rPr>
                <w:rFonts w:asciiTheme="minorHAnsi" w:hAnsiTheme="minorHAnsi"/>
              </w:rPr>
              <w:t>4a.</w:t>
            </w:r>
          </w:p>
        </w:tc>
        <w:tc>
          <w:tcPr>
            <w:tcW w:w="1842" w:type="dxa"/>
            <w:tcBorders>
              <w:top w:val="nil"/>
              <w:left w:val="nil"/>
              <w:bottom w:val="nil"/>
              <w:right w:val="nil"/>
            </w:tcBorders>
          </w:tcPr>
          <w:p w:rsidR="009B7C43" w:rsidRPr="00A836C9" w:rsidRDefault="009B7C43" w:rsidP="00D11375">
            <w:pPr>
              <w:rPr>
                <w:rFonts w:asciiTheme="minorHAnsi" w:hAnsiTheme="minorHAnsi"/>
              </w:rPr>
            </w:pPr>
            <w:r w:rsidRPr="00A836C9">
              <w:rPr>
                <w:rFonts w:asciiTheme="minorHAnsi" w:hAnsiTheme="minorHAnsi"/>
              </w:rPr>
              <w:t>PN-EN 1436:2000/A1:2005</w:t>
            </w:r>
          </w:p>
        </w:tc>
        <w:tc>
          <w:tcPr>
            <w:tcW w:w="5172" w:type="dxa"/>
            <w:tcBorders>
              <w:top w:val="nil"/>
              <w:left w:val="nil"/>
              <w:bottom w:val="nil"/>
              <w:right w:val="nil"/>
            </w:tcBorders>
          </w:tcPr>
          <w:p w:rsidR="009B7C43" w:rsidRPr="00A836C9" w:rsidRDefault="009B7C43" w:rsidP="00D11375">
            <w:pPr>
              <w:rPr>
                <w:rFonts w:asciiTheme="minorHAnsi" w:hAnsiTheme="minorHAnsi"/>
              </w:rPr>
            </w:pPr>
            <w:r w:rsidRPr="00A836C9">
              <w:rPr>
                <w:rFonts w:asciiTheme="minorHAnsi" w:hAnsiTheme="minorHAnsi"/>
              </w:rPr>
              <w:t>Materiały do poziomego oznakowania dróg. Wymagania dotyczące poziomego oznakowania dróg (Zmiana A1)</w:t>
            </w:r>
          </w:p>
        </w:tc>
      </w:tr>
      <w:tr w:rsidR="009B7C43" w:rsidRPr="00A836C9" w:rsidTr="00D11375">
        <w:tc>
          <w:tcPr>
            <w:tcW w:w="496" w:type="dxa"/>
            <w:tcBorders>
              <w:top w:val="nil"/>
              <w:left w:val="nil"/>
              <w:bottom w:val="nil"/>
              <w:right w:val="nil"/>
            </w:tcBorders>
          </w:tcPr>
          <w:p w:rsidR="009B7C43" w:rsidRPr="00A836C9" w:rsidRDefault="009B7C43" w:rsidP="00D11375">
            <w:pPr>
              <w:rPr>
                <w:rFonts w:asciiTheme="minorHAnsi" w:hAnsiTheme="minorHAnsi"/>
              </w:rPr>
            </w:pPr>
            <w:r w:rsidRPr="00A836C9">
              <w:rPr>
                <w:rFonts w:asciiTheme="minorHAnsi" w:hAnsiTheme="minorHAnsi"/>
              </w:rPr>
              <w:t>5.</w:t>
            </w:r>
          </w:p>
        </w:tc>
        <w:tc>
          <w:tcPr>
            <w:tcW w:w="1842" w:type="dxa"/>
            <w:tcBorders>
              <w:top w:val="nil"/>
              <w:left w:val="nil"/>
              <w:bottom w:val="nil"/>
              <w:right w:val="nil"/>
            </w:tcBorders>
          </w:tcPr>
          <w:p w:rsidR="009B7C43" w:rsidRPr="00A836C9" w:rsidRDefault="009B7C43" w:rsidP="00D11375">
            <w:pPr>
              <w:rPr>
                <w:rFonts w:asciiTheme="minorHAnsi" w:hAnsiTheme="minorHAnsi"/>
              </w:rPr>
            </w:pPr>
            <w:r w:rsidRPr="00A836C9">
              <w:rPr>
                <w:rFonts w:asciiTheme="minorHAnsi" w:hAnsiTheme="minorHAnsi"/>
              </w:rPr>
              <w:t>PN-EN 1463-1:2000</w:t>
            </w:r>
          </w:p>
          <w:p w:rsidR="009B7C43" w:rsidRPr="00A836C9" w:rsidRDefault="009B7C43" w:rsidP="00D11375">
            <w:pPr>
              <w:rPr>
                <w:rFonts w:asciiTheme="minorHAnsi" w:hAnsiTheme="minorHAnsi"/>
              </w:rPr>
            </w:pPr>
          </w:p>
        </w:tc>
        <w:tc>
          <w:tcPr>
            <w:tcW w:w="5172" w:type="dxa"/>
            <w:tcBorders>
              <w:top w:val="nil"/>
              <w:left w:val="nil"/>
              <w:bottom w:val="nil"/>
              <w:right w:val="nil"/>
            </w:tcBorders>
          </w:tcPr>
          <w:p w:rsidR="009B7C43" w:rsidRPr="00A836C9" w:rsidRDefault="009B7C43" w:rsidP="00D11375">
            <w:pPr>
              <w:rPr>
                <w:rFonts w:asciiTheme="minorHAnsi" w:hAnsiTheme="minorHAnsi"/>
              </w:rPr>
            </w:pPr>
            <w:r w:rsidRPr="00A836C9">
              <w:rPr>
                <w:rFonts w:asciiTheme="minorHAnsi" w:hAnsiTheme="minorHAnsi"/>
              </w:rPr>
              <w:t>Materiały do poziomego oznakowania dróg. Punktowe elementy odblaskowe Część 1: Wymagania dotyczące charakterystyki nowego elementu</w:t>
            </w:r>
          </w:p>
        </w:tc>
      </w:tr>
      <w:tr w:rsidR="009B7C43" w:rsidRPr="00A836C9" w:rsidTr="00D11375">
        <w:tc>
          <w:tcPr>
            <w:tcW w:w="496" w:type="dxa"/>
            <w:tcBorders>
              <w:top w:val="nil"/>
              <w:left w:val="nil"/>
              <w:bottom w:val="nil"/>
              <w:right w:val="nil"/>
            </w:tcBorders>
          </w:tcPr>
          <w:p w:rsidR="009B7C43" w:rsidRPr="00A836C9" w:rsidRDefault="009B7C43" w:rsidP="00D11375">
            <w:pPr>
              <w:rPr>
                <w:rFonts w:asciiTheme="minorHAnsi" w:hAnsiTheme="minorHAnsi"/>
              </w:rPr>
            </w:pPr>
            <w:r w:rsidRPr="00A836C9">
              <w:rPr>
                <w:rFonts w:asciiTheme="minorHAnsi" w:hAnsiTheme="minorHAnsi"/>
              </w:rPr>
              <w:t>5a.</w:t>
            </w:r>
          </w:p>
        </w:tc>
        <w:tc>
          <w:tcPr>
            <w:tcW w:w="1842" w:type="dxa"/>
            <w:tcBorders>
              <w:top w:val="nil"/>
              <w:left w:val="nil"/>
              <w:bottom w:val="nil"/>
              <w:right w:val="nil"/>
            </w:tcBorders>
          </w:tcPr>
          <w:p w:rsidR="009B7C43" w:rsidRPr="00A836C9" w:rsidRDefault="009B7C43" w:rsidP="00D11375">
            <w:pPr>
              <w:rPr>
                <w:rFonts w:asciiTheme="minorHAnsi" w:hAnsiTheme="minorHAnsi"/>
              </w:rPr>
            </w:pPr>
            <w:r w:rsidRPr="00A836C9">
              <w:rPr>
                <w:rFonts w:asciiTheme="minorHAnsi" w:hAnsiTheme="minorHAnsi"/>
              </w:rPr>
              <w:t>PN-EN 1463-1:2000/A1:2005</w:t>
            </w:r>
          </w:p>
        </w:tc>
        <w:tc>
          <w:tcPr>
            <w:tcW w:w="5172" w:type="dxa"/>
            <w:tcBorders>
              <w:top w:val="nil"/>
              <w:left w:val="nil"/>
              <w:bottom w:val="nil"/>
              <w:right w:val="nil"/>
            </w:tcBorders>
          </w:tcPr>
          <w:p w:rsidR="009B7C43" w:rsidRPr="00A836C9" w:rsidRDefault="009B7C43" w:rsidP="00D11375">
            <w:pPr>
              <w:rPr>
                <w:rFonts w:asciiTheme="minorHAnsi" w:hAnsiTheme="minorHAnsi"/>
              </w:rPr>
            </w:pPr>
            <w:r w:rsidRPr="00A836C9">
              <w:rPr>
                <w:rFonts w:asciiTheme="minorHAnsi" w:hAnsiTheme="minorHAnsi"/>
              </w:rPr>
              <w:t>Materiały do poziomego oznakowania dróg. Punktowe elementy odblaskowe Część 1: Wymagania dotyczące charakterystyki nowego elementu (Zmiana A1)</w:t>
            </w:r>
          </w:p>
        </w:tc>
      </w:tr>
      <w:tr w:rsidR="009B7C43" w:rsidRPr="00A836C9" w:rsidTr="00D11375">
        <w:tc>
          <w:tcPr>
            <w:tcW w:w="496" w:type="dxa"/>
            <w:tcBorders>
              <w:top w:val="nil"/>
              <w:left w:val="nil"/>
              <w:bottom w:val="nil"/>
              <w:right w:val="nil"/>
            </w:tcBorders>
          </w:tcPr>
          <w:p w:rsidR="009B7C43" w:rsidRPr="00A836C9" w:rsidRDefault="009B7C43" w:rsidP="00D11375">
            <w:pPr>
              <w:rPr>
                <w:rFonts w:asciiTheme="minorHAnsi" w:hAnsiTheme="minorHAnsi"/>
              </w:rPr>
            </w:pPr>
            <w:r w:rsidRPr="00A836C9">
              <w:rPr>
                <w:rFonts w:asciiTheme="minorHAnsi" w:hAnsiTheme="minorHAnsi"/>
              </w:rPr>
              <w:t>5b.</w:t>
            </w:r>
          </w:p>
        </w:tc>
        <w:tc>
          <w:tcPr>
            <w:tcW w:w="1842" w:type="dxa"/>
            <w:tcBorders>
              <w:top w:val="nil"/>
              <w:left w:val="nil"/>
              <w:bottom w:val="nil"/>
              <w:right w:val="nil"/>
            </w:tcBorders>
          </w:tcPr>
          <w:p w:rsidR="009B7C43" w:rsidRPr="00A836C9" w:rsidRDefault="009B7C43" w:rsidP="00D11375">
            <w:pPr>
              <w:rPr>
                <w:rFonts w:asciiTheme="minorHAnsi" w:hAnsiTheme="minorHAnsi"/>
              </w:rPr>
            </w:pPr>
            <w:r w:rsidRPr="00A836C9">
              <w:rPr>
                <w:rFonts w:asciiTheme="minorHAnsi" w:hAnsiTheme="minorHAnsi"/>
              </w:rPr>
              <w:t>PN-EN 1463-2:2000</w:t>
            </w:r>
          </w:p>
        </w:tc>
        <w:tc>
          <w:tcPr>
            <w:tcW w:w="5172" w:type="dxa"/>
            <w:tcBorders>
              <w:top w:val="nil"/>
              <w:left w:val="nil"/>
              <w:bottom w:val="nil"/>
              <w:right w:val="nil"/>
            </w:tcBorders>
          </w:tcPr>
          <w:p w:rsidR="009B7C43" w:rsidRPr="00A836C9" w:rsidRDefault="009B7C43" w:rsidP="00D11375">
            <w:pPr>
              <w:rPr>
                <w:rFonts w:asciiTheme="minorHAnsi" w:hAnsiTheme="minorHAnsi"/>
              </w:rPr>
            </w:pPr>
            <w:r w:rsidRPr="00A836C9">
              <w:rPr>
                <w:rFonts w:asciiTheme="minorHAnsi" w:hAnsiTheme="minorHAnsi"/>
              </w:rPr>
              <w:t>Materiały do poziomego oznakowania dróg. Punktowe elementy odblaskowe Część 2: Badania terenowe</w:t>
            </w:r>
          </w:p>
        </w:tc>
      </w:tr>
      <w:tr w:rsidR="009B7C43" w:rsidRPr="00A836C9" w:rsidTr="00D11375">
        <w:tc>
          <w:tcPr>
            <w:tcW w:w="496" w:type="dxa"/>
            <w:tcBorders>
              <w:top w:val="nil"/>
              <w:left w:val="nil"/>
              <w:bottom w:val="nil"/>
              <w:right w:val="nil"/>
            </w:tcBorders>
          </w:tcPr>
          <w:p w:rsidR="009B7C43" w:rsidRPr="00A836C9" w:rsidRDefault="009B7C43" w:rsidP="00D11375">
            <w:pPr>
              <w:rPr>
                <w:rFonts w:asciiTheme="minorHAnsi" w:hAnsiTheme="minorHAnsi"/>
              </w:rPr>
            </w:pPr>
            <w:r w:rsidRPr="00A836C9">
              <w:rPr>
                <w:rFonts w:asciiTheme="minorHAnsi" w:hAnsiTheme="minorHAnsi"/>
              </w:rPr>
              <w:t>6.</w:t>
            </w:r>
          </w:p>
        </w:tc>
        <w:tc>
          <w:tcPr>
            <w:tcW w:w="1842" w:type="dxa"/>
            <w:tcBorders>
              <w:top w:val="nil"/>
              <w:left w:val="nil"/>
              <w:bottom w:val="nil"/>
              <w:right w:val="nil"/>
            </w:tcBorders>
          </w:tcPr>
          <w:p w:rsidR="009B7C43" w:rsidRPr="00A836C9" w:rsidRDefault="009B7C43" w:rsidP="00D11375">
            <w:pPr>
              <w:rPr>
                <w:rFonts w:asciiTheme="minorHAnsi" w:hAnsiTheme="minorHAnsi"/>
              </w:rPr>
            </w:pPr>
            <w:r w:rsidRPr="00A836C9">
              <w:rPr>
                <w:rFonts w:asciiTheme="minorHAnsi" w:hAnsiTheme="minorHAnsi"/>
              </w:rPr>
              <w:t>PN-EN 1871:2003</w:t>
            </w:r>
          </w:p>
        </w:tc>
        <w:tc>
          <w:tcPr>
            <w:tcW w:w="5172" w:type="dxa"/>
            <w:tcBorders>
              <w:top w:val="nil"/>
              <w:left w:val="nil"/>
              <w:bottom w:val="nil"/>
              <w:right w:val="nil"/>
            </w:tcBorders>
          </w:tcPr>
          <w:p w:rsidR="009B7C43" w:rsidRPr="00A836C9" w:rsidRDefault="009B7C43" w:rsidP="00D11375">
            <w:pPr>
              <w:rPr>
                <w:rFonts w:asciiTheme="minorHAnsi" w:hAnsiTheme="minorHAnsi"/>
              </w:rPr>
            </w:pPr>
            <w:r w:rsidRPr="00A836C9">
              <w:rPr>
                <w:rFonts w:asciiTheme="minorHAnsi" w:hAnsiTheme="minorHAnsi"/>
              </w:rPr>
              <w:t>Materiały do poziomego oznakowania dróg. Właściwości fizyczne</w:t>
            </w:r>
          </w:p>
        </w:tc>
      </w:tr>
      <w:tr w:rsidR="009B7C43" w:rsidRPr="00A836C9" w:rsidTr="00D11375">
        <w:tc>
          <w:tcPr>
            <w:tcW w:w="496" w:type="dxa"/>
            <w:tcBorders>
              <w:top w:val="nil"/>
              <w:left w:val="nil"/>
              <w:bottom w:val="nil"/>
              <w:right w:val="nil"/>
            </w:tcBorders>
          </w:tcPr>
          <w:p w:rsidR="009B7C43" w:rsidRPr="00A836C9" w:rsidRDefault="009B7C43" w:rsidP="00D11375">
            <w:pPr>
              <w:rPr>
                <w:rFonts w:asciiTheme="minorHAnsi" w:hAnsiTheme="minorHAnsi"/>
              </w:rPr>
            </w:pPr>
            <w:r w:rsidRPr="00A836C9">
              <w:rPr>
                <w:rFonts w:asciiTheme="minorHAnsi" w:hAnsiTheme="minorHAnsi"/>
              </w:rPr>
              <w:t>6a.</w:t>
            </w:r>
          </w:p>
        </w:tc>
        <w:tc>
          <w:tcPr>
            <w:tcW w:w="1842" w:type="dxa"/>
            <w:tcBorders>
              <w:top w:val="nil"/>
              <w:left w:val="nil"/>
              <w:bottom w:val="nil"/>
              <w:right w:val="nil"/>
            </w:tcBorders>
          </w:tcPr>
          <w:p w:rsidR="009B7C43" w:rsidRPr="00A836C9" w:rsidRDefault="009B7C43" w:rsidP="00D11375">
            <w:pPr>
              <w:rPr>
                <w:rFonts w:asciiTheme="minorHAnsi" w:hAnsiTheme="minorHAnsi"/>
              </w:rPr>
            </w:pPr>
            <w:r w:rsidRPr="00A836C9">
              <w:rPr>
                <w:rFonts w:asciiTheme="minorHAnsi" w:hAnsiTheme="minorHAnsi"/>
              </w:rPr>
              <w:t>PN-EN 13036-4: 2004(U)</w:t>
            </w:r>
          </w:p>
        </w:tc>
        <w:tc>
          <w:tcPr>
            <w:tcW w:w="5172" w:type="dxa"/>
            <w:tcBorders>
              <w:top w:val="nil"/>
              <w:left w:val="nil"/>
              <w:bottom w:val="nil"/>
              <w:right w:val="nil"/>
            </w:tcBorders>
          </w:tcPr>
          <w:p w:rsidR="009B7C43" w:rsidRPr="00A836C9" w:rsidRDefault="009B7C43" w:rsidP="00D11375">
            <w:pPr>
              <w:rPr>
                <w:rFonts w:asciiTheme="minorHAnsi" w:hAnsiTheme="minorHAnsi"/>
              </w:rPr>
            </w:pPr>
            <w:r w:rsidRPr="00A836C9">
              <w:rPr>
                <w:rFonts w:asciiTheme="minorHAnsi" w:hAnsiTheme="minorHAnsi"/>
              </w:rPr>
              <w:t>Drogi samochodowe i lotniskowe – Metody badań – Część 4: Metoda pomiaru oporów poślizgu/poślizgnięcia na powierzchni: próba wahadła</w:t>
            </w:r>
          </w:p>
        </w:tc>
      </w:tr>
    </w:tbl>
    <w:p w:rsidR="009B7C43" w:rsidRPr="00A836C9" w:rsidRDefault="009B7C43" w:rsidP="009B7C43">
      <w:pPr>
        <w:rPr>
          <w:rFonts w:asciiTheme="minorHAnsi" w:hAnsiTheme="minorHAnsi"/>
        </w:rPr>
      </w:pPr>
      <w:r w:rsidRPr="00A836C9">
        <w:rPr>
          <w:rFonts w:asciiTheme="minorHAnsi" w:hAnsiTheme="minorHAnsi"/>
          <w:b/>
        </w:rPr>
        <w:t>10.2.</w:t>
      </w:r>
      <w:r w:rsidRPr="00A836C9">
        <w:rPr>
          <w:rFonts w:asciiTheme="minorHAnsi" w:hAnsiTheme="minorHAnsi"/>
        </w:rPr>
        <w:t xml:space="preserve"> Przepisy związane i inne dokumenty</w:t>
      </w:r>
    </w:p>
    <w:p w:rsidR="009B7C43" w:rsidRPr="00A836C9" w:rsidRDefault="009B7C43" w:rsidP="009B7C43">
      <w:pPr>
        <w:rPr>
          <w:rFonts w:asciiTheme="minorHAnsi" w:hAnsiTheme="minorHAnsi"/>
        </w:rPr>
      </w:pPr>
      <w:r w:rsidRPr="00A836C9">
        <w:rPr>
          <w:rFonts w:asciiTheme="minorHAnsi" w:hAnsiTheme="minorHAnsi"/>
        </w:rPr>
        <w:t>7. Załącznik nr 2 do rozporządzenia Ministra Infrastruktury z dnia 3 lipca 2003 r. Szczegółowe warunki techniczne dla znaków drogowych poziomych i warunki ich umieszczania na drogach (Dz. U. nr 220, poz. 2181)</w:t>
      </w:r>
    </w:p>
    <w:p w:rsidR="009B7C43" w:rsidRPr="00A836C9" w:rsidRDefault="009B7C43" w:rsidP="009B7C43">
      <w:pPr>
        <w:rPr>
          <w:rFonts w:asciiTheme="minorHAnsi" w:hAnsiTheme="minorHAnsi"/>
        </w:rPr>
      </w:pPr>
      <w:r w:rsidRPr="00A836C9">
        <w:rPr>
          <w:rFonts w:asciiTheme="minorHAnsi" w:hAnsiTheme="minorHAnsi"/>
        </w:rPr>
        <w:t>8. Rozporządzenie  Ministra  Infrastruktury   z  dnia  11 sierpnia 2004 r.  w  sprawie  sposobów deklarowania zgodności wyrobów budowlanych oraz sposobu znakowania ich  znakiem budowlanym (Dz. U. nr 198, poz. 2041)</w:t>
      </w:r>
    </w:p>
    <w:p w:rsidR="009B7C43" w:rsidRPr="00A836C9" w:rsidRDefault="009B7C43" w:rsidP="009B7C43">
      <w:pPr>
        <w:rPr>
          <w:rFonts w:asciiTheme="minorHAnsi" w:hAnsiTheme="minorHAnsi"/>
        </w:rPr>
      </w:pPr>
      <w:r w:rsidRPr="00A836C9">
        <w:rPr>
          <w:rFonts w:asciiTheme="minorHAnsi" w:hAnsiTheme="minorHAnsi"/>
        </w:rPr>
        <w:t>9. Warunki Techniczne. Poziome znakowanie dróg. POD-97. Seria „I” - Informacje, Instrukcje. Zeszyt nr 55. IBDiM, Warszawa, 1997</w:t>
      </w:r>
    </w:p>
    <w:p w:rsidR="009B7C43" w:rsidRPr="00A836C9" w:rsidRDefault="009B7C43" w:rsidP="009B7C43">
      <w:pPr>
        <w:rPr>
          <w:rFonts w:asciiTheme="minorHAnsi" w:hAnsiTheme="minorHAnsi"/>
        </w:rPr>
      </w:pPr>
      <w:r w:rsidRPr="00A836C9">
        <w:rPr>
          <w:rFonts w:asciiTheme="minorHAnsi" w:hAnsiTheme="minorHAnsi"/>
        </w:rPr>
        <w:t>10. Warunki Techniczne. Poziome znakowanie dróg. POD-2006. Seria „I” - Informacje, Instrukcje. IBDiM, Warszawa, w opracowaniu</w:t>
      </w:r>
    </w:p>
    <w:p w:rsidR="009B7C43" w:rsidRPr="00A836C9" w:rsidRDefault="009B7C43" w:rsidP="009B7C43">
      <w:pPr>
        <w:rPr>
          <w:rFonts w:asciiTheme="minorHAnsi" w:hAnsiTheme="minorHAnsi"/>
        </w:rPr>
      </w:pPr>
      <w:r w:rsidRPr="00A836C9">
        <w:rPr>
          <w:rFonts w:asciiTheme="minorHAnsi" w:hAnsiTheme="minorHAnsi"/>
        </w:rPr>
        <w:t>11. Prawo przewozowe (Dz. U. nr 53 z 1984 r., poz. 272 z późniejszymi zmianami)</w:t>
      </w:r>
    </w:p>
    <w:p w:rsidR="009B7C43" w:rsidRPr="00A836C9" w:rsidRDefault="009B7C43" w:rsidP="009B7C43">
      <w:pPr>
        <w:rPr>
          <w:rFonts w:asciiTheme="minorHAnsi" w:hAnsiTheme="minorHAnsi"/>
        </w:rPr>
      </w:pPr>
      <w:r w:rsidRPr="00A836C9">
        <w:rPr>
          <w:rFonts w:asciiTheme="minorHAnsi" w:hAnsiTheme="minorHAnsi"/>
        </w:rPr>
        <w:t>12. Rozporządzenie  Ministra  Infrastruktury   z  dnia  11 sierpnia 2004 r.  w  sprawie  systemów oceny zgodności, wymagań jakie powinny spełniać notyfikowane jednostki uczestniczące w ocenie zgodności oraz sposobu oznaczania wyrobów budowlanych oznakowaniem CE (Dz. U. nr 195, poz. 2011)</w:t>
      </w:r>
    </w:p>
    <w:p w:rsidR="009B7C43" w:rsidRPr="00A836C9" w:rsidRDefault="009B7C43" w:rsidP="009B7C43">
      <w:pPr>
        <w:rPr>
          <w:rFonts w:asciiTheme="minorHAnsi" w:hAnsiTheme="minorHAnsi"/>
        </w:rPr>
      </w:pPr>
      <w:r w:rsidRPr="00A836C9">
        <w:rPr>
          <w:rFonts w:asciiTheme="minorHAnsi" w:hAnsiTheme="minorHAnsi"/>
        </w:rPr>
        <w:t>13. Rozporządzenie Ministra Zdrowia z dnia 2 września 2003 r. w sprawie oznakowania opakowań substancji niebezpiecznych i preparatów niebezpiecznych (Dz. U. nr 73, poz. 1679)</w:t>
      </w:r>
    </w:p>
    <w:p w:rsidR="009B7C43" w:rsidRPr="00A836C9" w:rsidRDefault="009B7C43" w:rsidP="009B7C43">
      <w:pPr>
        <w:rPr>
          <w:rFonts w:asciiTheme="minorHAnsi" w:hAnsiTheme="minorHAnsi"/>
        </w:rPr>
      </w:pPr>
      <w:r w:rsidRPr="00A836C9">
        <w:rPr>
          <w:rFonts w:asciiTheme="minorHAnsi" w:hAnsiTheme="minorHAnsi"/>
        </w:rPr>
        <w:t>14. Umowa europejska dotycząca międzynarodowego przewozu towarów niebezpiecznych (RID/ADR)</w:t>
      </w:r>
    </w:p>
    <w:p w:rsidR="009B7C43" w:rsidRPr="00A836C9" w:rsidRDefault="009B7C43" w:rsidP="009B7C43">
      <w:pPr>
        <w:rPr>
          <w:rFonts w:asciiTheme="minorHAnsi" w:hAnsiTheme="minorHAnsi"/>
        </w:rPr>
      </w:pPr>
      <w:r w:rsidRPr="00A836C9">
        <w:rPr>
          <w:rFonts w:asciiTheme="minorHAnsi" w:hAnsiTheme="minorHAnsi"/>
        </w:rPr>
        <w:t>15. Rozporządzenie Ministra Infrastruktury z dnia 8 listopada 2004 r. w sprawie aprobat technicznych oraz jednostek organizacyjnych uprawnionych do ich wydania (Dz.U. nr 249, poz. 2497)</w:t>
      </w:r>
    </w:p>
    <w:p w:rsidR="009B7C43" w:rsidRPr="00A836C9" w:rsidRDefault="009B7C43" w:rsidP="009B7C43">
      <w:pPr>
        <w:rPr>
          <w:rFonts w:asciiTheme="minorHAnsi" w:hAnsiTheme="minorHAnsi"/>
        </w:rPr>
      </w:pPr>
      <w:r w:rsidRPr="00A836C9">
        <w:rPr>
          <w:rFonts w:asciiTheme="minorHAnsi" w:hAnsiTheme="minorHAnsi"/>
        </w:rPr>
        <w:tab/>
      </w:r>
    </w:p>
    <w:p w:rsidR="009B7C43" w:rsidRPr="00A836C9" w:rsidRDefault="009B7C43" w:rsidP="009B7C43">
      <w:pPr>
        <w:rPr>
          <w:rFonts w:asciiTheme="minorHAnsi" w:hAnsiTheme="minorHAnsi"/>
        </w:rPr>
      </w:pPr>
    </w:p>
    <w:p w:rsidR="001C1829" w:rsidRDefault="001C1829" w:rsidP="001C1829">
      <w:pPr>
        <w:spacing w:after="120"/>
      </w:pPr>
    </w:p>
    <w:p w:rsidR="001C1829" w:rsidRDefault="001C1829" w:rsidP="001C1829">
      <w:pPr>
        <w:spacing w:after="120"/>
      </w:pPr>
    </w:p>
    <w:p w:rsidR="001C1829" w:rsidRDefault="001C1829" w:rsidP="001C1829">
      <w:pPr>
        <w:spacing w:after="120"/>
      </w:pPr>
    </w:p>
    <w:p w:rsidR="006456E2" w:rsidRDefault="006456E2" w:rsidP="001C1829">
      <w:pPr>
        <w:spacing w:after="120"/>
      </w:pPr>
    </w:p>
    <w:p w:rsidR="006456E2" w:rsidRDefault="006456E2" w:rsidP="001C1829">
      <w:pPr>
        <w:spacing w:after="120"/>
      </w:pPr>
    </w:p>
    <w:p w:rsidR="006456E2" w:rsidRDefault="006456E2" w:rsidP="001C1829">
      <w:pPr>
        <w:spacing w:after="120"/>
      </w:pPr>
    </w:p>
    <w:p w:rsidR="006456E2" w:rsidRDefault="006456E2" w:rsidP="001C1829">
      <w:pPr>
        <w:spacing w:after="120"/>
      </w:pPr>
    </w:p>
    <w:p w:rsidR="009B7C43" w:rsidRDefault="009B7C43" w:rsidP="001C1829">
      <w:pPr>
        <w:spacing w:after="120"/>
      </w:pPr>
    </w:p>
    <w:p w:rsidR="009B7C43" w:rsidRDefault="009B7C43" w:rsidP="001C1829">
      <w:pPr>
        <w:spacing w:after="120"/>
      </w:pPr>
    </w:p>
    <w:p w:rsidR="009B7C43" w:rsidRDefault="009B7C43" w:rsidP="001C1829">
      <w:pPr>
        <w:spacing w:after="120"/>
      </w:pPr>
    </w:p>
    <w:p w:rsidR="009B7C43" w:rsidRDefault="009B7C43" w:rsidP="001C1829">
      <w:pPr>
        <w:spacing w:after="120"/>
      </w:pPr>
    </w:p>
    <w:p w:rsidR="009B7C43" w:rsidRDefault="009B7C43" w:rsidP="001C1829">
      <w:pPr>
        <w:spacing w:after="120"/>
      </w:pPr>
    </w:p>
    <w:p w:rsidR="009B7C43" w:rsidRDefault="009B7C43" w:rsidP="001C1829">
      <w:pPr>
        <w:spacing w:after="120"/>
      </w:pPr>
    </w:p>
    <w:p w:rsidR="009B7C43" w:rsidRDefault="009B7C43" w:rsidP="001C1829">
      <w:pPr>
        <w:spacing w:after="120"/>
      </w:pPr>
    </w:p>
    <w:p w:rsidR="009B7C43" w:rsidRDefault="009B7C43" w:rsidP="001C1829">
      <w:pPr>
        <w:spacing w:after="120"/>
      </w:pPr>
    </w:p>
    <w:p w:rsidR="000C27BF" w:rsidRDefault="000C27BF" w:rsidP="001C1829">
      <w:pPr>
        <w:spacing w:after="120"/>
      </w:pPr>
    </w:p>
    <w:p w:rsidR="000C27BF" w:rsidRDefault="000C27BF" w:rsidP="001C1829">
      <w:pPr>
        <w:spacing w:after="120"/>
      </w:pPr>
    </w:p>
    <w:p w:rsidR="000C27BF" w:rsidRDefault="000C27BF" w:rsidP="001C1829">
      <w:pPr>
        <w:spacing w:after="120"/>
      </w:pPr>
    </w:p>
    <w:p w:rsidR="000C27BF" w:rsidRDefault="000C27BF" w:rsidP="001C1829">
      <w:pPr>
        <w:spacing w:after="120"/>
      </w:pPr>
    </w:p>
    <w:p w:rsidR="000C27BF" w:rsidRDefault="000C27BF" w:rsidP="001C1829">
      <w:pPr>
        <w:spacing w:after="120"/>
      </w:pPr>
    </w:p>
    <w:p w:rsidR="000C27BF" w:rsidRDefault="000C27BF" w:rsidP="001C1829">
      <w:pPr>
        <w:spacing w:after="120"/>
      </w:pPr>
    </w:p>
    <w:p w:rsidR="000C27BF" w:rsidRDefault="000C27BF" w:rsidP="001C1829">
      <w:pPr>
        <w:spacing w:after="120"/>
      </w:pPr>
    </w:p>
    <w:p w:rsidR="001C1829" w:rsidRDefault="001C1829" w:rsidP="001C1829">
      <w:pPr>
        <w:spacing w:after="120"/>
      </w:pPr>
    </w:p>
    <w:p w:rsidR="001F3A98" w:rsidRPr="00CF5A42" w:rsidRDefault="002075C4" w:rsidP="00BB2441">
      <w:pPr>
        <w:pStyle w:val="Nagwek1"/>
        <w:jc w:val="center"/>
      </w:pPr>
      <w:bookmarkStart w:id="1586" w:name="_Toc404342043"/>
      <w:bookmarkStart w:id="1587" w:name="_Toc425833580"/>
      <w:bookmarkStart w:id="1588" w:name="_Toc438237736"/>
      <w:r>
        <w:t xml:space="preserve">D-07.02.01 </w:t>
      </w:r>
      <w:r w:rsidR="006456E2">
        <w:t xml:space="preserve"> </w:t>
      </w:r>
      <w:r>
        <w:t xml:space="preserve">OZNAKOWANIE </w:t>
      </w:r>
      <w:r w:rsidR="001F3A98" w:rsidRPr="00CF5A42">
        <w:t>PIONOWE</w:t>
      </w:r>
      <w:bookmarkEnd w:id="1586"/>
      <w:bookmarkEnd w:id="1588"/>
    </w:p>
    <w:p w:rsidR="001F3A98" w:rsidRDefault="001F3A98" w:rsidP="001F3A98">
      <w:pPr>
        <w:rPr>
          <w:b/>
        </w:rPr>
      </w:pPr>
    </w:p>
    <w:p w:rsidR="001F3A98" w:rsidRDefault="001F3A98" w:rsidP="001F3A98">
      <w:pPr>
        <w:rPr>
          <w:b/>
        </w:rPr>
      </w:pPr>
    </w:p>
    <w:p w:rsidR="006456E2" w:rsidRDefault="006456E2" w:rsidP="001F3A98">
      <w:pPr>
        <w:rPr>
          <w:rFonts w:ascii="Calibri" w:hAnsi="Calibri"/>
          <w:b/>
        </w:rPr>
      </w:pPr>
    </w:p>
    <w:p w:rsidR="006456E2" w:rsidRDefault="006456E2" w:rsidP="001F3A98">
      <w:pPr>
        <w:rPr>
          <w:rFonts w:ascii="Calibri" w:hAnsi="Calibri"/>
          <w:b/>
        </w:rPr>
      </w:pPr>
    </w:p>
    <w:p w:rsidR="006456E2" w:rsidRDefault="006456E2" w:rsidP="001F3A98">
      <w:pPr>
        <w:rPr>
          <w:rFonts w:ascii="Calibri" w:hAnsi="Calibri"/>
          <w:b/>
        </w:rPr>
      </w:pPr>
    </w:p>
    <w:p w:rsidR="006456E2" w:rsidRDefault="006456E2" w:rsidP="001F3A98">
      <w:pPr>
        <w:rPr>
          <w:rFonts w:ascii="Calibri" w:hAnsi="Calibri"/>
          <w:b/>
        </w:rPr>
      </w:pPr>
    </w:p>
    <w:p w:rsidR="006456E2" w:rsidRDefault="006456E2" w:rsidP="001F3A98">
      <w:pPr>
        <w:rPr>
          <w:rFonts w:ascii="Calibri" w:hAnsi="Calibri"/>
          <w:b/>
        </w:rPr>
      </w:pPr>
    </w:p>
    <w:p w:rsidR="006456E2" w:rsidRDefault="006456E2" w:rsidP="001F3A98">
      <w:pPr>
        <w:rPr>
          <w:rFonts w:ascii="Calibri" w:hAnsi="Calibri"/>
          <w:b/>
        </w:rPr>
      </w:pPr>
    </w:p>
    <w:p w:rsidR="006456E2" w:rsidRDefault="006456E2" w:rsidP="001F3A98">
      <w:pPr>
        <w:rPr>
          <w:rFonts w:ascii="Calibri" w:hAnsi="Calibri"/>
          <w:b/>
        </w:rPr>
      </w:pPr>
    </w:p>
    <w:p w:rsidR="006456E2" w:rsidRDefault="006456E2" w:rsidP="001F3A98">
      <w:pPr>
        <w:rPr>
          <w:rFonts w:ascii="Calibri" w:hAnsi="Calibri"/>
          <w:b/>
        </w:rPr>
      </w:pPr>
    </w:p>
    <w:p w:rsidR="006456E2" w:rsidRDefault="006456E2" w:rsidP="001F3A98">
      <w:pPr>
        <w:rPr>
          <w:rFonts w:ascii="Calibri" w:hAnsi="Calibri"/>
          <w:b/>
        </w:rPr>
      </w:pPr>
    </w:p>
    <w:p w:rsidR="006456E2" w:rsidRDefault="006456E2" w:rsidP="001F3A98">
      <w:pPr>
        <w:rPr>
          <w:rFonts w:ascii="Calibri" w:hAnsi="Calibri"/>
          <w:b/>
        </w:rPr>
      </w:pPr>
    </w:p>
    <w:p w:rsidR="006456E2" w:rsidRDefault="006456E2" w:rsidP="001F3A98">
      <w:pPr>
        <w:rPr>
          <w:rFonts w:ascii="Calibri" w:hAnsi="Calibri"/>
          <w:b/>
        </w:rPr>
      </w:pPr>
    </w:p>
    <w:p w:rsidR="006456E2" w:rsidRDefault="006456E2" w:rsidP="001F3A98">
      <w:pPr>
        <w:rPr>
          <w:rFonts w:ascii="Calibri" w:hAnsi="Calibri"/>
          <w:b/>
        </w:rPr>
      </w:pPr>
    </w:p>
    <w:p w:rsidR="006456E2" w:rsidRDefault="006456E2" w:rsidP="001F3A98">
      <w:pPr>
        <w:rPr>
          <w:rFonts w:ascii="Calibri" w:hAnsi="Calibri"/>
          <w:b/>
        </w:rPr>
      </w:pPr>
    </w:p>
    <w:p w:rsidR="006456E2" w:rsidRDefault="006456E2" w:rsidP="001F3A98">
      <w:pPr>
        <w:rPr>
          <w:rFonts w:ascii="Calibri" w:hAnsi="Calibri"/>
          <w:b/>
        </w:rPr>
      </w:pPr>
    </w:p>
    <w:p w:rsidR="006456E2" w:rsidRDefault="006456E2" w:rsidP="001F3A98">
      <w:pPr>
        <w:rPr>
          <w:rFonts w:ascii="Calibri" w:hAnsi="Calibri"/>
          <w:b/>
        </w:rPr>
      </w:pPr>
    </w:p>
    <w:p w:rsidR="006456E2" w:rsidRDefault="006456E2" w:rsidP="001F3A98">
      <w:pPr>
        <w:rPr>
          <w:rFonts w:ascii="Calibri" w:hAnsi="Calibri"/>
          <w:b/>
        </w:rPr>
      </w:pPr>
    </w:p>
    <w:p w:rsidR="006456E2" w:rsidRDefault="006456E2" w:rsidP="001F3A98">
      <w:pPr>
        <w:rPr>
          <w:rFonts w:ascii="Calibri" w:hAnsi="Calibri"/>
          <w:b/>
        </w:rPr>
      </w:pPr>
    </w:p>
    <w:p w:rsidR="006456E2" w:rsidRDefault="006456E2" w:rsidP="001F3A98">
      <w:pPr>
        <w:rPr>
          <w:rFonts w:ascii="Calibri" w:hAnsi="Calibri"/>
          <w:b/>
        </w:rPr>
      </w:pPr>
    </w:p>
    <w:p w:rsidR="006456E2" w:rsidRDefault="006456E2" w:rsidP="001F3A98">
      <w:pPr>
        <w:rPr>
          <w:rFonts w:ascii="Calibri" w:hAnsi="Calibri"/>
          <w:b/>
        </w:rPr>
      </w:pPr>
    </w:p>
    <w:p w:rsidR="006456E2" w:rsidRDefault="006456E2" w:rsidP="001F3A98">
      <w:pPr>
        <w:rPr>
          <w:rFonts w:ascii="Calibri" w:hAnsi="Calibri"/>
          <w:b/>
        </w:rPr>
      </w:pPr>
    </w:p>
    <w:p w:rsidR="006456E2" w:rsidRDefault="006456E2" w:rsidP="001F3A98">
      <w:pPr>
        <w:rPr>
          <w:rFonts w:ascii="Calibri" w:hAnsi="Calibri"/>
          <w:b/>
        </w:rPr>
      </w:pPr>
    </w:p>
    <w:p w:rsidR="006456E2" w:rsidRDefault="006456E2" w:rsidP="001F3A98">
      <w:pPr>
        <w:rPr>
          <w:rFonts w:ascii="Calibri" w:hAnsi="Calibri"/>
          <w:b/>
        </w:rPr>
      </w:pPr>
    </w:p>
    <w:p w:rsidR="006456E2" w:rsidRDefault="006456E2" w:rsidP="001F3A98">
      <w:pPr>
        <w:rPr>
          <w:rFonts w:ascii="Calibri" w:hAnsi="Calibri"/>
          <w:b/>
        </w:rPr>
      </w:pPr>
    </w:p>
    <w:p w:rsidR="006456E2" w:rsidRDefault="006456E2" w:rsidP="001F3A98">
      <w:pPr>
        <w:rPr>
          <w:rFonts w:ascii="Calibri" w:hAnsi="Calibri"/>
          <w:b/>
        </w:rPr>
      </w:pPr>
    </w:p>
    <w:p w:rsidR="006456E2" w:rsidRDefault="006456E2" w:rsidP="001F3A98">
      <w:pPr>
        <w:rPr>
          <w:rFonts w:ascii="Calibri" w:hAnsi="Calibri"/>
          <w:b/>
        </w:rPr>
      </w:pPr>
    </w:p>
    <w:p w:rsidR="006456E2" w:rsidRDefault="006456E2" w:rsidP="001F3A98">
      <w:pPr>
        <w:rPr>
          <w:rFonts w:ascii="Calibri" w:hAnsi="Calibri"/>
          <w:b/>
        </w:rPr>
      </w:pPr>
    </w:p>
    <w:p w:rsidR="006456E2" w:rsidRDefault="006456E2" w:rsidP="001F3A98">
      <w:pPr>
        <w:rPr>
          <w:rFonts w:ascii="Calibri" w:hAnsi="Calibri"/>
          <w:b/>
        </w:rPr>
      </w:pPr>
    </w:p>
    <w:p w:rsidR="006456E2" w:rsidRDefault="006456E2" w:rsidP="001F3A98">
      <w:pPr>
        <w:rPr>
          <w:rFonts w:ascii="Calibri" w:hAnsi="Calibri"/>
          <w:b/>
        </w:rPr>
      </w:pPr>
    </w:p>
    <w:p w:rsidR="006456E2" w:rsidRDefault="006456E2" w:rsidP="001F3A98">
      <w:pPr>
        <w:rPr>
          <w:rFonts w:ascii="Calibri" w:hAnsi="Calibri"/>
          <w:b/>
        </w:rPr>
      </w:pPr>
    </w:p>
    <w:p w:rsidR="006456E2" w:rsidRDefault="006456E2" w:rsidP="001F3A98">
      <w:pPr>
        <w:rPr>
          <w:rFonts w:ascii="Calibri" w:hAnsi="Calibri"/>
          <w:b/>
        </w:rPr>
      </w:pPr>
    </w:p>
    <w:p w:rsidR="006456E2" w:rsidRDefault="006456E2" w:rsidP="001F3A98">
      <w:pPr>
        <w:rPr>
          <w:rFonts w:ascii="Calibri" w:hAnsi="Calibri"/>
          <w:b/>
        </w:rPr>
      </w:pPr>
    </w:p>
    <w:p w:rsidR="006456E2" w:rsidRDefault="006456E2" w:rsidP="001F3A98">
      <w:pPr>
        <w:rPr>
          <w:rFonts w:ascii="Calibri" w:hAnsi="Calibri"/>
          <w:b/>
        </w:rPr>
      </w:pPr>
    </w:p>
    <w:p w:rsidR="006456E2" w:rsidRDefault="006456E2" w:rsidP="001F3A98">
      <w:pPr>
        <w:rPr>
          <w:rFonts w:ascii="Calibri" w:hAnsi="Calibri"/>
          <w:b/>
        </w:rPr>
      </w:pPr>
    </w:p>
    <w:p w:rsidR="006456E2" w:rsidRDefault="006456E2" w:rsidP="001F3A98">
      <w:pPr>
        <w:rPr>
          <w:rFonts w:ascii="Calibri" w:hAnsi="Calibri"/>
          <w:b/>
        </w:rPr>
      </w:pPr>
    </w:p>
    <w:p w:rsidR="006456E2" w:rsidRDefault="006456E2" w:rsidP="001F3A98">
      <w:pPr>
        <w:rPr>
          <w:rFonts w:ascii="Calibri" w:hAnsi="Calibri"/>
          <w:b/>
        </w:rPr>
      </w:pPr>
    </w:p>
    <w:p w:rsidR="006456E2" w:rsidRDefault="006456E2" w:rsidP="001F3A98">
      <w:pPr>
        <w:rPr>
          <w:rFonts w:ascii="Calibri" w:hAnsi="Calibri"/>
          <w:b/>
        </w:rPr>
      </w:pPr>
    </w:p>
    <w:p w:rsidR="006456E2" w:rsidRDefault="006456E2" w:rsidP="001F3A98">
      <w:pPr>
        <w:rPr>
          <w:rFonts w:ascii="Calibri" w:hAnsi="Calibri"/>
          <w:b/>
        </w:rPr>
      </w:pPr>
    </w:p>
    <w:p w:rsidR="006456E2" w:rsidRDefault="006456E2" w:rsidP="001F3A98">
      <w:pPr>
        <w:rPr>
          <w:rFonts w:ascii="Calibri" w:hAnsi="Calibri"/>
          <w:b/>
        </w:rPr>
      </w:pPr>
    </w:p>
    <w:p w:rsidR="006456E2" w:rsidRDefault="006456E2" w:rsidP="001F3A98">
      <w:pPr>
        <w:rPr>
          <w:rFonts w:ascii="Calibri" w:hAnsi="Calibri"/>
          <w:b/>
        </w:rPr>
      </w:pPr>
    </w:p>
    <w:p w:rsidR="001F3A98" w:rsidRPr="00CF5A42" w:rsidRDefault="006456E2" w:rsidP="001F3A98">
      <w:pPr>
        <w:rPr>
          <w:rFonts w:ascii="Calibri" w:hAnsi="Calibri"/>
          <w:b/>
        </w:rPr>
      </w:pPr>
      <w:r>
        <w:rPr>
          <w:rFonts w:ascii="Calibri" w:hAnsi="Calibri"/>
          <w:b/>
        </w:rPr>
        <w:lastRenderedPageBreak/>
        <w:t xml:space="preserve">1. </w:t>
      </w:r>
      <w:r w:rsidR="001F3A98" w:rsidRPr="00CF5A42">
        <w:rPr>
          <w:rFonts w:ascii="Calibri" w:hAnsi="Calibri"/>
          <w:b/>
        </w:rPr>
        <w:t>WSTĘP</w:t>
      </w:r>
      <w:bookmarkEnd w:id="1587"/>
    </w:p>
    <w:p w:rsidR="001F3A98" w:rsidRPr="00CF5A42" w:rsidRDefault="001F3A98" w:rsidP="001F3A98">
      <w:pPr>
        <w:rPr>
          <w:rFonts w:ascii="Calibri" w:hAnsi="Calibri"/>
        </w:rPr>
      </w:pPr>
      <w:r w:rsidRPr="00CF5A42">
        <w:rPr>
          <w:rFonts w:ascii="Calibri" w:hAnsi="Calibri"/>
          <w:b/>
        </w:rPr>
        <w:t>1.1.</w:t>
      </w:r>
      <w:r w:rsidRPr="00CF5A42">
        <w:rPr>
          <w:rFonts w:ascii="Calibri" w:hAnsi="Calibri"/>
        </w:rPr>
        <w:t xml:space="preserve"> Przedmiot ST</w:t>
      </w:r>
    </w:p>
    <w:p w:rsidR="001F3A98" w:rsidRPr="00CF5A42" w:rsidRDefault="001F3A98" w:rsidP="001F3A98">
      <w:pPr>
        <w:rPr>
          <w:rFonts w:ascii="Calibri" w:hAnsi="Calibri"/>
        </w:rPr>
      </w:pPr>
      <w:r w:rsidRPr="00CF5A42">
        <w:rPr>
          <w:rFonts w:ascii="Calibri" w:hAnsi="Calibri"/>
        </w:rPr>
        <w:tab/>
        <w:t>Przedmiotem niniejszej specyfikacji technicznej (ST) są wymagania dotyczące wykonania i odbioru oznakowania pionowego.</w:t>
      </w:r>
    </w:p>
    <w:p w:rsidR="001F3A98" w:rsidRPr="00CF5A42" w:rsidRDefault="001F3A98" w:rsidP="001F3A98">
      <w:pPr>
        <w:rPr>
          <w:rFonts w:ascii="Calibri" w:hAnsi="Calibri"/>
        </w:rPr>
      </w:pPr>
      <w:r w:rsidRPr="00CF5A42">
        <w:rPr>
          <w:rFonts w:ascii="Calibri" w:hAnsi="Calibri"/>
          <w:b/>
        </w:rPr>
        <w:t>1.2.</w:t>
      </w:r>
      <w:r w:rsidRPr="00CF5A42">
        <w:rPr>
          <w:rFonts w:ascii="Calibri" w:hAnsi="Calibri"/>
        </w:rPr>
        <w:t xml:space="preserve"> Zakres stosowania ST</w:t>
      </w:r>
    </w:p>
    <w:p w:rsidR="001F3A98" w:rsidRPr="00CF5A42" w:rsidRDefault="001F3A98" w:rsidP="001F3A98">
      <w:pPr>
        <w:rPr>
          <w:rFonts w:ascii="Calibri" w:hAnsi="Calibri"/>
        </w:rPr>
      </w:pPr>
      <w:r w:rsidRPr="00CF5A42">
        <w:rPr>
          <w:rFonts w:ascii="Calibri" w:hAnsi="Calibri"/>
        </w:rPr>
        <w:tab/>
        <w:t>Specyfikacja techniczna określa wymagania dla wykonania i odbioru robót budowlanych przewidzianych do wykonania w ramach umowy a zawarte w niej zapisy w zakresie standardu materiałów, wykonania robót i wymaganej ich jakości oraz kontroli jakości robót należy traktować jako minimalne.</w:t>
      </w:r>
    </w:p>
    <w:p w:rsidR="001F3A98" w:rsidRPr="00CF5A42" w:rsidRDefault="001F3A98" w:rsidP="001F3A98">
      <w:pPr>
        <w:rPr>
          <w:rFonts w:ascii="Calibri" w:hAnsi="Calibri"/>
        </w:rPr>
      </w:pPr>
      <w:r w:rsidRPr="00CF5A42">
        <w:rPr>
          <w:rFonts w:ascii="Calibri" w:hAnsi="Calibri"/>
          <w:b/>
        </w:rPr>
        <w:t>1.3.</w:t>
      </w:r>
      <w:r w:rsidRPr="00CF5A42">
        <w:rPr>
          <w:rFonts w:ascii="Calibri" w:hAnsi="Calibri"/>
        </w:rPr>
        <w:t xml:space="preserve"> Zakres robót objętych ST</w:t>
      </w:r>
    </w:p>
    <w:p w:rsidR="00F040CD" w:rsidRPr="00C3299C" w:rsidRDefault="001F3A98" w:rsidP="00F040CD">
      <w:pPr>
        <w:rPr>
          <w:rFonts w:asciiTheme="minorHAnsi" w:hAnsiTheme="minorHAnsi" w:cs="Calibri"/>
        </w:rPr>
      </w:pPr>
      <w:r w:rsidRPr="00CF5A42">
        <w:rPr>
          <w:rFonts w:ascii="Calibri" w:hAnsi="Calibri"/>
        </w:rPr>
        <w:tab/>
        <w:t>Ustalenia zawarte w niniejszej specyfikacji dotyczą zasad prowadzenia robót związanych z wykonywaniem i odbiorem oznakowania pionowego st</w:t>
      </w:r>
      <w:r w:rsidR="004E5CC8">
        <w:rPr>
          <w:rFonts w:ascii="Calibri" w:hAnsi="Calibri"/>
        </w:rPr>
        <w:t xml:space="preserve">osowanego na drogach, w postaci </w:t>
      </w:r>
      <w:r w:rsidRPr="00CF5A42">
        <w:rPr>
          <w:rFonts w:ascii="Calibri" w:hAnsi="Calibri"/>
        </w:rPr>
        <w:t>znaków ostrzegawczych,</w:t>
      </w:r>
      <w:r w:rsidR="004E5CC8">
        <w:rPr>
          <w:rFonts w:ascii="Calibri" w:hAnsi="Calibri"/>
        </w:rPr>
        <w:t xml:space="preserve"> </w:t>
      </w:r>
      <w:r w:rsidRPr="00CF5A42">
        <w:rPr>
          <w:rFonts w:ascii="Calibri" w:hAnsi="Calibri"/>
        </w:rPr>
        <w:t>znaków zakazu i nakazu,</w:t>
      </w:r>
      <w:r w:rsidR="004E5CC8">
        <w:rPr>
          <w:rFonts w:ascii="Calibri" w:hAnsi="Calibri"/>
        </w:rPr>
        <w:t xml:space="preserve"> </w:t>
      </w:r>
      <w:r w:rsidRPr="00CF5A42">
        <w:rPr>
          <w:rFonts w:ascii="Calibri" w:hAnsi="Calibri"/>
        </w:rPr>
        <w:t>znaków informacyjnych oraz kierunku i miejscowości,</w:t>
      </w:r>
      <w:r w:rsidR="004E5CC8">
        <w:rPr>
          <w:rFonts w:ascii="Calibri" w:hAnsi="Calibri"/>
        </w:rPr>
        <w:t xml:space="preserve"> </w:t>
      </w:r>
      <w:r w:rsidRPr="00CF5A42">
        <w:rPr>
          <w:rFonts w:ascii="Calibri" w:hAnsi="Calibri"/>
        </w:rPr>
        <w:t xml:space="preserve">znaków uzupełniających </w:t>
      </w:r>
      <w:r w:rsidR="004E5CC8">
        <w:rPr>
          <w:rFonts w:ascii="Calibri" w:hAnsi="Calibri"/>
        </w:rPr>
        <w:t xml:space="preserve">i tabliczek do znaków drogowych </w:t>
      </w:r>
      <w:r w:rsidR="00F040CD" w:rsidRPr="00C3299C">
        <w:rPr>
          <w:rFonts w:ascii="Calibri" w:hAnsi="Calibri" w:cs="Calibri"/>
        </w:rPr>
        <w:t>w związku z „</w:t>
      </w:r>
      <w:r w:rsidR="00F040CD" w:rsidRPr="00C3299C">
        <w:rPr>
          <w:rFonts w:asciiTheme="minorHAnsi" w:hAnsiTheme="minorHAnsi"/>
        </w:rPr>
        <w:t>Przebudową ul.55 Pułku Piechoty w Lesznie wraz z przebudową oświetlenia”</w:t>
      </w:r>
      <w:r w:rsidR="00F040CD" w:rsidRPr="00C3299C">
        <w:rPr>
          <w:rFonts w:asciiTheme="minorHAnsi" w:hAnsiTheme="minorHAnsi" w:cs="Calibri"/>
        </w:rPr>
        <w:t>.</w:t>
      </w:r>
    </w:p>
    <w:p w:rsidR="001F3A98" w:rsidRPr="00CF5A42" w:rsidRDefault="001F3A98" w:rsidP="001F3A98">
      <w:pPr>
        <w:rPr>
          <w:rFonts w:ascii="Calibri" w:hAnsi="Calibri"/>
        </w:rPr>
      </w:pPr>
      <w:r w:rsidRPr="00CF5A42">
        <w:rPr>
          <w:rFonts w:ascii="Calibri" w:hAnsi="Calibri"/>
          <w:b/>
        </w:rPr>
        <w:t>1.4.</w:t>
      </w:r>
      <w:r w:rsidRPr="00CF5A42">
        <w:rPr>
          <w:rFonts w:ascii="Calibri" w:hAnsi="Calibri"/>
        </w:rPr>
        <w:t xml:space="preserve"> Określenia podstawowe</w:t>
      </w:r>
    </w:p>
    <w:p w:rsidR="001F3A98" w:rsidRPr="00CF5A42" w:rsidRDefault="001F3A98" w:rsidP="001F3A98">
      <w:pPr>
        <w:rPr>
          <w:rFonts w:ascii="Calibri" w:hAnsi="Calibri"/>
        </w:rPr>
      </w:pPr>
      <w:r w:rsidRPr="00CF5A42">
        <w:rPr>
          <w:rFonts w:ascii="Calibri" w:hAnsi="Calibri"/>
          <w:b/>
        </w:rPr>
        <w:t>1.4.1.</w:t>
      </w:r>
      <w:r w:rsidRPr="00CF5A42">
        <w:rPr>
          <w:rFonts w:ascii="Calibri" w:hAnsi="Calibri"/>
        </w:rPr>
        <w:t xml:space="preserve"> Stały znak drogowy pionowy - składa się z lica, tarczy z uchwytem montażowym oraz z konstrukcji wsporczej. </w:t>
      </w:r>
    </w:p>
    <w:p w:rsidR="001F3A98" w:rsidRPr="00CF5A42" w:rsidRDefault="001F3A98" w:rsidP="001F3A98">
      <w:pPr>
        <w:rPr>
          <w:rFonts w:ascii="Calibri" w:hAnsi="Calibri"/>
        </w:rPr>
      </w:pPr>
      <w:r w:rsidRPr="00CF5A42">
        <w:rPr>
          <w:rFonts w:ascii="Calibri" w:hAnsi="Calibri"/>
          <w:b/>
        </w:rPr>
        <w:t>1.4.2.</w:t>
      </w:r>
      <w:r w:rsidRPr="00CF5A42">
        <w:rPr>
          <w:rFonts w:ascii="Calibri" w:hAnsi="Calibri"/>
        </w:rPr>
        <w:t xml:space="preserve"> Tarcza znaku - płaska powierzchnia z usztywnioną krawędzią, na której w sposób trwały umieszczone jest lico znaku. Tarcza może być wykonana z blachy stalowej ocynkowanej ogniowo albo aluminiowej zabezpieczona przed procesami korozji powłokami ochronnymi  zapewniającymi jakość i trwałość wykonanego znaku. </w:t>
      </w:r>
    </w:p>
    <w:p w:rsidR="001F3A98" w:rsidRPr="00CF5A42" w:rsidRDefault="001F3A98" w:rsidP="001F3A98">
      <w:pPr>
        <w:rPr>
          <w:rFonts w:ascii="Calibri" w:hAnsi="Calibri"/>
        </w:rPr>
      </w:pPr>
      <w:r w:rsidRPr="00CF5A42">
        <w:rPr>
          <w:rFonts w:ascii="Calibri" w:hAnsi="Calibri"/>
          <w:b/>
        </w:rPr>
        <w:t>1.4.3.</w:t>
      </w:r>
      <w:r w:rsidRPr="00CF5A42">
        <w:rPr>
          <w:rFonts w:ascii="Calibri" w:hAnsi="Calibri"/>
        </w:rPr>
        <w:t xml:space="preserve"> Lico znaku - przednia część znaku, wykonana z samoprzylepnej folii odblaskowej wraz z naniesioną treścią, wykonaną techniką druku sitowego, wyklejaną z transparentnych folii ploterowych lub z folii odblaskowych.</w:t>
      </w:r>
    </w:p>
    <w:p w:rsidR="001F3A98" w:rsidRPr="00CF5A42" w:rsidRDefault="001F3A98" w:rsidP="001F3A98">
      <w:pPr>
        <w:rPr>
          <w:rFonts w:ascii="Calibri" w:hAnsi="Calibri"/>
        </w:rPr>
      </w:pPr>
      <w:r w:rsidRPr="00CF5A42">
        <w:rPr>
          <w:rFonts w:ascii="Calibri" w:hAnsi="Calibri"/>
          <w:b/>
        </w:rPr>
        <w:t>1.4.4.</w:t>
      </w:r>
      <w:r w:rsidRPr="00CF5A42">
        <w:rPr>
          <w:rFonts w:ascii="Calibri" w:hAnsi="Calibri"/>
        </w:rPr>
        <w:t xml:space="preserve"> Uchwyt montażowy - element stalowy lub aluminiowy zabezpieczony przed korozją, służący do zamocowania w sposób rozłączny tarczy znaku do konstrukcji wsporczej.</w:t>
      </w:r>
    </w:p>
    <w:p w:rsidR="001F3A98" w:rsidRPr="00CF5A42" w:rsidRDefault="001F3A98" w:rsidP="001F3A98">
      <w:pPr>
        <w:rPr>
          <w:rFonts w:ascii="Calibri" w:hAnsi="Calibri"/>
        </w:rPr>
      </w:pPr>
      <w:r w:rsidRPr="00CF5A42">
        <w:rPr>
          <w:rFonts w:ascii="Calibri" w:hAnsi="Calibri"/>
          <w:b/>
        </w:rPr>
        <w:t>1.4.5.</w:t>
      </w:r>
      <w:r w:rsidRPr="00CF5A42">
        <w:rPr>
          <w:rFonts w:ascii="Calibri" w:hAnsi="Calibri"/>
        </w:rPr>
        <w:t xml:space="preserve"> Znak drogowy odblaskowy - znak, którego lico wykazuje właściwości odblaskowe (wykonane jest z materiału o odbiciu powrotnym - współdrożnym).</w:t>
      </w:r>
    </w:p>
    <w:p w:rsidR="001F3A98" w:rsidRPr="00CF5A42" w:rsidRDefault="001F3A98" w:rsidP="001F3A98">
      <w:pPr>
        <w:rPr>
          <w:rFonts w:ascii="Calibri" w:hAnsi="Calibri"/>
        </w:rPr>
      </w:pPr>
      <w:r w:rsidRPr="00CF5A42">
        <w:rPr>
          <w:rFonts w:ascii="Calibri" w:hAnsi="Calibri"/>
          <w:b/>
        </w:rPr>
        <w:t>1.4.6.</w:t>
      </w:r>
      <w:r w:rsidRPr="00CF5A42">
        <w:rPr>
          <w:rFonts w:ascii="Calibri" w:hAnsi="Calibri"/>
        </w:rPr>
        <w:t xml:space="preserve"> Konstrukcja wsporcza znaku - każdy rodzaj konstrukcji (słupek, słup, słupy, kratownice, wysięgniki, bramy, wsporniki itp.) gwarantujący przenoszenie obciążeń zmiennych i stałych działających na konstrukcję i zamontowane na niej znaki lub tablice.</w:t>
      </w:r>
    </w:p>
    <w:p w:rsidR="001F3A98" w:rsidRPr="00CF5A42" w:rsidRDefault="001F3A98" w:rsidP="001F3A98">
      <w:pPr>
        <w:rPr>
          <w:rFonts w:ascii="Calibri" w:hAnsi="Calibri"/>
        </w:rPr>
      </w:pPr>
      <w:r w:rsidRPr="00CF5A42">
        <w:rPr>
          <w:rFonts w:ascii="Calibri" w:hAnsi="Calibri"/>
          <w:b/>
        </w:rPr>
        <w:t>1.4.9.</w:t>
      </w:r>
      <w:r w:rsidRPr="00CF5A42">
        <w:rPr>
          <w:rFonts w:ascii="Calibri" w:hAnsi="Calibri"/>
        </w:rPr>
        <w:t xml:space="preserve"> Znak nowy - znak użytkowany (ustawiony na drodze) lub magazynowany w okresie do 3 miesięcy od daty produkcji.</w:t>
      </w:r>
    </w:p>
    <w:p w:rsidR="001F3A98" w:rsidRPr="00CF5A42" w:rsidRDefault="001F3A98" w:rsidP="001F3A98">
      <w:pPr>
        <w:rPr>
          <w:rFonts w:ascii="Calibri" w:hAnsi="Calibri"/>
        </w:rPr>
      </w:pPr>
      <w:r w:rsidRPr="00CF5A42">
        <w:rPr>
          <w:rFonts w:ascii="Calibri" w:hAnsi="Calibri"/>
          <w:b/>
        </w:rPr>
        <w:t>1.4.10.</w:t>
      </w:r>
      <w:r w:rsidRPr="00CF5A42">
        <w:rPr>
          <w:rFonts w:ascii="Calibri" w:hAnsi="Calibri"/>
        </w:rPr>
        <w:t xml:space="preserve"> Znak użytkowany (eksploatowany) - znak ustawiony na drodze lub magazynowany przez okres dłuższy niż 3 miesiące od daty produkcji.</w:t>
      </w:r>
    </w:p>
    <w:p w:rsidR="001F3A98" w:rsidRPr="00CF5A42" w:rsidRDefault="001F3A98" w:rsidP="001F3A98">
      <w:pPr>
        <w:rPr>
          <w:rFonts w:ascii="Calibri" w:hAnsi="Calibri"/>
        </w:rPr>
      </w:pPr>
      <w:r w:rsidRPr="00CF5A42">
        <w:rPr>
          <w:rFonts w:ascii="Calibri" w:hAnsi="Calibri"/>
          <w:b/>
        </w:rPr>
        <w:t>1.4.11.</w:t>
      </w:r>
      <w:r w:rsidRPr="00CF5A42">
        <w:rPr>
          <w:rFonts w:ascii="Calibri" w:hAnsi="Calibri"/>
        </w:rPr>
        <w:t xml:space="preserve"> Pozostałe określenia podstawowe są zgodne z obowiązującymi, odpowiednimi polskimi normami i z definicjami podanymi w ST D-M-00.00.00 „Wymagania ogólne” pkt 1.4. </w:t>
      </w:r>
    </w:p>
    <w:p w:rsidR="001F3A98" w:rsidRPr="00CF5A42" w:rsidRDefault="001F3A98" w:rsidP="001F3A98">
      <w:pPr>
        <w:rPr>
          <w:rFonts w:ascii="Calibri" w:hAnsi="Calibri"/>
        </w:rPr>
      </w:pPr>
      <w:r w:rsidRPr="00CF5A42">
        <w:rPr>
          <w:rFonts w:ascii="Calibri" w:hAnsi="Calibri"/>
          <w:b/>
        </w:rPr>
        <w:t>1.5.</w:t>
      </w:r>
      <w:r w:rsidRPr="00CF5A42">
        <w:rPr>
          <w:rFonts w:ascii="Calibri" w:hAnsi="Calibri"/>
        </w:rPr>
        <w:t xml:space="preserve"> Ogólne wymagania dotyczące robót</w:t>
      </w:r>
    </w:p>
    <w:p w:rsidR="001F3A98" w:rsidRPr="00CF5A42" w:rsidRDefault="001F3A98" w:rsidP="001F3A98">
      <w:pPr>
        <w:rPr>
          <w:rFonts w:ascii="Calibri" w:hAnsi="Calibri"/>
        </w:rPr>
      </w:pPr>
      <w:r w:rsidRPr="00CF5A42">
        <w:rPr>
          <w:rFonts w:ascii="Calibri" w:hAnsi="Calibri"/>
        </w:rPr>
        <w:tab/>
        <w:t xml:space="preserve">Ogólne wymagania dotyczące robót podano w ST D-M-00.00.00 „Wymagania ogólne” pkt 1.5. </w:t>
      </w:r>
    </w:p>
    <w:p w:rsidR="001F3A98" w:rsidRPr="00CF5A42" w:rsidRDefault="001F3A98" w:rsidP="001F3A98">
      <w:pPr>
        <w:rPr>
          <w:rFonts w:ascii="Calibri" w:hAnsi="Calibri"/>
        </w:rPr>
      </w:pPr>
    </w:p>
    <w:p w:rsidR="001F3A98" w:rsidRPr="00CF5A42" w:rsidRDefault="001F3A98" w:rsidP="001F3A98">
      <w:pPr>
        <w:rPr>
          <w:rFonts w:ascii="Calibri" w:hAnsi="Calibri"/>
          <w:b/>
        </w:rPr>
      </w:pPr>
      <w:bookmarkStart w:id="1589" w:name="_Toc425833581"/>
      <w:r w:rsidRPr="00CF5A42">
        <w:rPr>
          <w:rFonts w:ascii="Calibri" w:hAnsi="Calibri"/>
          <w:b/>
        </w:rPr>
        <w:t xml:space="preserve">2. </w:t>
      </w:r>
      <w:bookmarkEnd w:id="1589"/>
      <w:r w:rsidRPr="00CF5A42">
        <w:rPr>
          <w:rFonts w:ascii="Calibri" w:hAnsi="Calibri"/>
          <w:b/>
        </w:rPr>
        <w:t>MATERIAŁY</w:t>
      </w:r>
    </w:p>
    <w:p w:rsidR="001F3A98" w:rsidRPr="00CF5A42" w:rsidRDefault="001F3A98" w:rsidP="001F3A98">
      <w:pPr>
        <w:rPr>
          <w:rFonts w:ascii="Calibri" w:hAnsi="Calibri"/>
        </w:rPr>
      </w:pPr>
      <w:r w:rsidRPr="00CF5A42">
        <w:rPr>
          <w:rFonts w:ascii="Calibri" w:hAnsi="Calibri"/>
          <w:b/>
        </w:rPr>
        <w:t>2.1.</w:t>
      </w:r>
      <w:r w:rsidRPr="00CF5A42">
        <w:rPr>
          <w:rFonts w:ascii="Calibri" w:hAnsi="Calibri"/>
        </w:rPr>
        <w:t xml:space="preserve"> Ogólne wymagania dotyczące materiałów</w:t>
      </w:r>
    </w:p>
    <w:p w:rsidR="001F3A98" w:rsidRPr="00CF5A42" w:rsidRDefault="001F3A98" w:rsidP="001F3A98">
      <w:pPr>
        <w:rPr>
          <w:rFonts w:ascii="Calibri" w:hAnsi="Calibri"/>
        </w:rPr>
      </w:pPr>
      <w:r w:rsidRPr="00CF5A42">
        <w:rPr>
          <w:rFonts w:ascii="Calibri" w:hAnsi="Calibri"/>
        </w:rPr>
        <w:tab/>
        <w:t>Ogólne wymagania dotyczące materiałów, ich pozyskiwania i składowania podano w ST D-M-00.00.00 „Wymagania ogólne” pkt 2.</w:t>
      </w:r>
    </w:p>
    <w:p w:rsidR="001F3A98" w:rsidRPr="00CF5A42" w:rsidRDefault="001F3A98" w:rsidP="001F3A98">
      <w:pPr>
        <w:rPr>
          <w:rFonts w:ascii="Calibri" w:hAnsi="Calibri"/>
        </w:rPr>
      </w:pPr>
      <w:r w:rsidRPr="00CF5A42">
        <w:rPr>
          <w:rFonts w:ascii="Calibri" w:hAnsi="Calibri"/>
          <w:b/>
        </w:rPr>
        <w:t>2.2.</w:t>
      </w:r>
      <w:r w:rsidRPr="00CF5A42">
        <w:rPr>
          <w:rFonts w:ascii="Calibri" w:hAnsi="Calibri"/>
        </w:rPr>
        <w:t xml:space="preserve"> Dopuszczenie do stosowania</w:t>
      </w:r>
    </w:p>
    <w:p w:rsidR="001F3A98" w:rsidRPr="00CF5A42" w:rsidRDefault="001F3A98" w:rsidP="001F3A98">
      <w:pPr>
        <w:rPr>
          <w:rFonts w:ascii="Calibri" w:hAnsi="Calibri"/>
        </w:rPr>
      </w:pPr>
      <w:r w:rsidRPr="00CF5A42">
        <w:rPr>
          <w:rFonts w:ascii="Calibri" w:hAnsi="Calibri"/>
        </w:rPr>
        <w:tab/>
        <w:t xml:space="preserve">Producent znaków drogowych powinien posiadać dla swojego wyrobu aprobatę techniczną, certyfikat zgodności nadany mu przez uprawnioną jednostkę certyfikującą, znak budowlany „B” i wystawioną przez siebie deklarację zgodności, zgodnie z rozporządzeniem Ministra Infrastruktury. Folie odblaskowe stosowane na lica znaków drogowych powinny posiadać aprobatę techniczną wydaną przez uprawnioną jednostkę oraz deklaracje zgodności wystawioną przez producenta. Słupki, blachy i inne elementy konstrukcyjne powinny mieć deklaracje zgodności z odpowiednimi normami. </w:t>
      </w:r>
    </w:p>
    <w:p w:rsidR="001F3A98" w:rsidRPr="00CF5A42" w:rsidRDefault="001F3A98" w:rsidP="001F3A98">
      <w:pPr>
        <w:rPr>
          <w:rFonts w:ascii="Calibri" w:hAnsi="Calibri"/>
        </w:rPr>
      </w:pPr>
      <w:r w:rsidRPr="00CF5A42">
        <w:rPr>
          <w:rFonts w:ascii="Calibri" w:hAnsi="Calibri"/>
        </w:rPr>
        <w:t>W załączniku nr 1 do rozporządzenia Ministra Infrastruktury z dnia 3 lipca 2003  w sprawie szczegółowych warunków technicznych dla znaków i sygnałów drogowych oraz urządzeń bezpieczeństwa ruchu drogowego i warunków ich umieszczania na drogach,  podano szczegółowe informacje odnośnie wymagań dla znaków pionowych.</w:t>
      </w:r>
    </w:p>
    <w:p w:rsidR="001F3A98" w:rsidRPr="00CF5A42" w:rsidRDefault="001F3A98" w:rsidP="001F3A98">
      <w:pPr>
        <w:rPr>
          <w:rFonts w:ascii="Calibri" w:hAnsi="Calibri"/>
        </w:rPr>
      </w:pPr>
      <w:r w:rsidRPr="00CF5A42">
        <w:rPr>
          <w:rFonts w:ascii="Calibri" w:hAnsi="Calibri"/>
          <w:b/>
        </w:rPr>
        <w:t>2.3.</w:t>
      </w:r>
      <w:r w:rsidRPr="00CF5A42">
        <w:rPr>
          <w:rFonts w:ascii="Calibri" w:hAnsi="Calibri"/>
        </w:rPr>
        <w:t xml:space="preserve"> Materiały stosowane do fundamentów znaków</w:t>
      </w:r>
    </w:p>
    <w:p w:rsidR="001F3A98" w:rsidRPr="00CF5A42" w:rsidRDefault="001F3A98" w:rsidP="001F3A98">
      <w:pPr>
        <w:rPr>
          <w:rFonts w:ascii="Calibri" w:hAnsi="Calibri"/>
        </w:rPr>
      </w:pPr>
      <w:r w:rsidRPr="00CF5A42">
        <w:rPr>
          <w:rFonts w:ascii="Calibri" w:hAnsi="Calibri"/>
        </w:rPr>
        <w:tab/>
        <w:t>Fundamenty dla zamocowania konstrukcji wsporczych znaków mogą być wykonywane jako:</w:t>
      </w:r>
    </w:p>
    <w:p w:rsidR="001F3A98" w:rsidRPr="00CF5A42" w:rsidRDefault="001F3A98" w:rsidP="001F3A98">
      <w:pPr>
        <w:rPr>
          <w:rFonts w:ascii="Calibri" w:hAnsi="Calibri"/>
        </w:rPr>
      </w:pPr>
      <w:r>
        <w:rPr>
          <w:rFonts w:ascii="Calibri" w:hAnsi="Calibri"/>
        </w:rPr>
        <w:t>-</w:t>
      </w:r>
      <w:r w:rsidRPr="00CF5A42">
        <w:rPr>
          <w:rFonts w:ascii="Calibri" w:hAnsi="Calibri"/>
        </w:rPr>
        <w:t>prefabrykaty betonowe,</w:t>
      </w:r>
    </w:p>
    <w:p w:rsidR="001F3A98" w:rsidRPr="00CF5A42" w:rsidRDefault="001F3A98" w:rsidP="001F3A98">
      <w:pPr>
        <w:rPr>
          <w:rFonts w:ascii="Calibri" w:hAnsi="Calibri"/>
        </w:rPr>
      </w:pPr>
      <w:r>
        <w:rPr>
          <w:rFonts w:ascii="Calibri" w:hAnsi="Calibri"/>
        </w:rPr>
        <w:t>-</w:t>
      </w:r>
      <w:r w:rsidRPr="00CF5A42">
        <w:rPr>
          <w:rFonts w:ascii="Calibri" w:hAnsi="Calibri"/>
        </w:rPr>
        <w:t>z betonu wykonywanego „na mokro”,</w:t>
      </w:r>
    </w:p>
    <w:p w:rsidR="001F3A98" w:rsidRPr="00CF5A42" w:rsidRDefault="001F3A98" w:rsidP="001F3A98">
      <w:pPr>
        <w:rPr>
          <w:rFonts w:ascii="Calibri" w:hAnsi="Calibri"/>
        </w:rPr>
      </w:pPr>
      <w:r>
        <w:rPr>
          <w:rFonts w:ascii="Calibri" w:hAnsi="Calibri"/>
        </w:rPr>
        <w:lastRenderedPageBreak/>
        <w:t>-</w:t>
      </w:r>
      <w:r w:rsidRPr="00CF5A42">
        <w:rPr>
          <w:rFonts w:ascii="Calibri" w:hAnsi="Calibri"/>
        </w:rPr>
        <w:t>z betonu zbrojonego,</w:t>
      </w:r>
    </w:p>
    <w:p w:rsidR="001F3A98" w:rsidRPr="00CF5A42" w:rsidRDefault="001F3A98" w:rsidP="001F3A98">
      <w:pPr>
        <w:rPr>
          <w:rFonts w:ascii="Calibri" w:hAnsi="Calibri"/>
        </w:rPr>
      </w:pPr>
      <w:r>
        <w:rPr>
          <w:rFonts w:ascii="Calibri" w:hAnsi="Calibri"/>
        </w:rPr>
        <w:t>-</w:t>
      </w:r>
      <w:r w:rsidRPr="00CF5A42">
        <w:rPr>
          <w:rFonts w:ascii="Calibri" w:hAnsi="Calibri"/>
        </w:rPr>
        <w:t>inne rozwiązania zaakceptowane przez Inżyniera.</w:t>
      </w:r>
    </w:p>
    <w:p w:rsidR="001F3A98" w:rsidRPr="00CF5A42" w:rsidRDefault="001F3A98" w:rsidP="001F3A98">
      <w:pPr>
        <w:rPr>
          <w:rFonts w:ascii="Calibri" w:hAnsi="Calibri"/>
        </w:rPr>
      </w:pPr>
      <w:r w:rsidRPr="00CF5A42">
        <w:rPr>
          <w:rFonts w:ascii="Calibri" w:hAnsi="Calibri"/>
        </w:rPr>
        <w:tab/>
        <w:t>Dla fundamentów należy opracować dokumentację techniczną zgodną z obowiązującymi przepisami.</w:t>
      </w:r>
    </w:p>
    <w:p w:rsidR="001F3A98" w:rsidRPr="00CF5A42" w:rsidRDefault="001F3A98" w:rsidP="001F3A98">
      <w:pPr>
        <w:rPr>
          <w:rFonts w:ascii="Calibri" w:hAnsi="Calibri"/>
        </w:rPr>
      </w:pPr>
      <w:r w:rsidRPr="00CF5A42">
        <w:rPr>
          <w:rFonts w:ascii="Calibri" w:hAnsi="Calibri"/>
        </w:rPr>
        <w:t>Fundamenty pod konstrukcje wsporcze oznakowania kierunkowego należy wykonać z betonu lub betonu zbrojonego klasy, co najmniej C16/20 wg PN-EN 206-1:2000 . Zbrojenia stalowe należy wykonać  zgodnie z normą PN-B-03264:1984. Wykonanie i osadzenie kotew fundamentowych należy wykonać  zgodnie z normą PN-B-03215:1998 . Posadowienie fundamentów należy wykonać na głębokość poniżej przemarzania gruntu.</w:t>
      </w:r>
    </w:p>
    <w:p w:rsidR="001F3A98" w:rsidRPr="00CF5A42" w:rsidRDefault="001F3A98" w:rsidP="001F3A98">
      <w:pPr>
        <w:rPr>
          <w:rFonts w:ascii="Calibri" w:hAnsi="Calibri"/>
        </w:rPr>
      </w:pPr>
      <w:r w:rsidRPr="00CF5A42">
        <w:rPr>
          <w:rFonts w:ascii="Calibri" w:hAnsi="Calibri"/>
          <w:b/>
        </w:rPr>
        <w:t>2.4.</w:t>
      </w:r>
      <w:r w:rsidRPr="00CF5A42">
        <w:rPr>
          <w:rFonts w:ascii="Calibri" w:hAnsi="Calibri"/>
        </w:rPr>
        <w:t xml:space="preserve"> Konstrukcje wsporcze</w:t>
      </w:r>
    </w:p>
    <w:p w:rsidR="001F3A98" w:rsidRPr="00CF5A42" w:rsidRDefault="001F3A98" w:rsidP="001F3A98">
      <w:pPr>
        <w:rPr>
          <w:rFonts w:ascii="Calibri" w:hAnsi="Calibri"/>
        </w:rPr>
      </w:pPr>
      <w:r w:rsidRPr="00CF5A42">
        <w:rPr>
          <w:rFonts w:ascii="Calibri" w:hAnsi="Calibri"/>
          <w:b/>
        </w:rPr>
        <w:t>2.4.1.</w:t>
      </w:r>
      <w:r w:rsidRPr="00CF5A42">
        <w:rPr>
          <w:rFonts w:ascii="Calibri" w:hAnsi="Calibri"/>
        </w:rPr>
        <w:t xml:space="preserve"> Ogólne charakterystyki konstrukcji</w:t>
      </w:r>
    </w:p>
    <w:p w:rsidR="001F3A98" w:rsidRPr="00CF5A42" w:rsidRDefault="001F3A98" w:rsidP="001F3A98">
      <w:pPr>
        <w:rPr>
          <w:rFonts w:ascii="Calibri" w:hAnsi="Calibri"/>
        </w:rPr>
      </w:pPr>
      <w:r w:rsidRPr="00CF5A42">
        <w:rPr>
          <w:rFonts w:ascii="Calibri" w:hAnsi="Calibri"/>
        </w:rPr>
        <w:tab/>
        <w:t>Konstrukcje wsporcze znaków pionowych należy wykonać zgodnie z dokumentacją projektową uwzględniającą wymagania postawione w PN-EN 12899-1:2005, a w przypadku braku wystarczających ustaleń, zgodnie z propozycją Wykonawcy zaakceptowaną przez Inżyniera.</w:t>
      </w:r>
    </w:p>
    <w:p w:rsidR="001F3A98" w:rsidRPr="00CF5A42" w:rsidRDefault="001F3A98" w:rsidP="001F3A98">
      <w:pPr>
        <w:rPr>
          <w:rFonts w:ascii="Calibri" w:hAnsi="Calibri"/>
        </w:rPr>
      </w:pPr>
      <w:r w:rsidRPr="00CF5A42">
        <w:rPr>
          <w:rFonts w:ascii="Calibri" w:hAnsi="Calibri"/>
        </w:rPr>
        <w:tab/>
        <w:t xml:space="preserve">Konstrukcje wsporcze do znaków i tablic należy zaprojektować i wykonać w sposób gwarantujący stabilne i prawidłowe ustawienie w pasie drogowym. </w:t>
      </w:r>
    </w:p>
    <w:p w:rsidR="001F3A98" w:rsidRPr="00CF5A42" w:rsidRDefault="001F3A98" w:rsidP="001F3A98">
      <w:pPr>
        <w:rPr>
          <w:rFonts w:ascii="Calibri" w:hAnsi="Calibri"/>
        </w:rPr>
      </w:pPr>
      <w:r w:rsidRPr="00CF5A42">
        <w:rPr>
          <w:rFonts w:ascii="Calibri" w:hAnsi="Calibri"/>
        </w:rPr>
        <w:t xml:space="preserve">Zakres dokumentacji powinien obejmować opis techniczny, obliczenia statyczne uwzględniające strefy obciążenia wiatrem dla określonej kategorii terenu oraz rysunki techniczne wykonawcze konstrukcji wsporczych.  Parametry techniczne konstrukcji  uzależnione są  od powierzchni montowanych znaków i tablic oraz od ilości i sposobu ich usytuowania w terenie. </w:t>
      </w:r>
    </w:p>
    <w:p w:rsidR="001F3A98" w:rsidRPr="00CF5A42" w:rsidRDefault="001F3A98" w:rsidP="001F3A98">
      <w:pPr>
        <w:rPr>
          <w:rFonts w:ascii="Calibri" w:hAnsi="Calibri"/>
        </w:rPr>
      </w:pPr>
      <w:r w:rsidRPr="00CF5A42">
        <w:rPr>
          <w:rFonts w:ascii="Calibri" w:hAnsi="Calibri"/>
          <w:b/>
        </w:rPr>
        <w:t>2.4.2.</w:t>
      </w:r>
      <w:r w:rsidRPr="00CF5A42">
        <w:rPr>
          <w:rFonts w:ascii="Calibri" w:hAnsi="Calibri"/>
        </w:rPr>
        <w:t xml:space="preserve"> Rury</w:t>
      </w:r>
    </w:p>
    <w:p w:rsidR="001F3A98" w:rsidRPr="00CF5A42" w:rsidRDefault="001F3A98" w:rsidP="001F3A98">
      <w:pPr>
        <w:rPr>
          <w:rFonts w:ascii="Calibri" w:hAnsi="Calibri"/>
        </w:rPr>
      </w:pPr>
      <w:r w:rsidRPr="00CF5A42">
        <w:rPr>
          <w:rFonts w:ascii="Calibri" w:hAnsi="Calibri"/>
        </w:rPr>
        <w:tab/>
        <w:t>Rury powinny odpowiadać wymaganiom PN-H-74200:1998, PN-84/H-74220 lub innej normy zaakceptowanej przez Inżyniera.</w:t>
      </w:r>
    </w:p>
    <w:p w:rsidR="001F3A98" w:rsidRPr="00CF5A42" w:rsidRDefault="001F3A98" w:rsidP="001F3A98">
      <w:pPr>
        <w:rPr>
          <w:rFonts w:ascii="Calibri" w:hAnsi="Calibri"/>
        </w:rPr>
      </w:pPr>
      <w:r w:rsidRPr="00CF5A42">
        <w:rPr>
          <w:rFonts w:ascii="Calibri" w:hAnsi="Calibri"/>
        </w:rPr>
        <w:tab/>
        <w:t>Powierzchnia zewnętrzna i wewnętrzna rur nie powinna wykazywać wad w postaci łusek, pęknięć, zwalcowań i naderwań. Dopuszczalne są nieznaczne nierówności, pojedyncze rysy wynikające z procesu wytwarzania, mieszczące się w granicach dopuszczalnych odchyłek wymiarowych.</w:t>
      </w:r>
    </w:p>
    <w:p w:rsidR="001F3A98" w:rsidRPr="00CF5A42" w:rsidRDefault="001F3A98" w:rsidP="001F3A98">
      <w:pPr>
        <w:rPr>
          <w:rFonts w:ascii="Calibri" w:hAnsi="Calibri"/>
        </w:rPr>
      </w:pPr>
      <w:r w:rsidRPr="00CF5A42">
        <w:rPr>
          <w:rFonts w:ascii="Calibri" w:hAnsi="Calibri"/>
        </w:rPr>
        <w:tab/>
        <w:t>Końce rur powinny być obcięte równo i prostopadle do osi rury.</w:t>
      </w:r>
    </w:p>
    <w:p w:rsidR="001F3A98" w:rsidRPr="00CF5A42" w:rsidRDefault="001F3A98" w:rsidP="001F3A98">
      <w:pPr>
        <w:rPr>
          <w:rFonts w:ascii="Calibri" w:hAnsi="Calibri"/>
        </w:rPr>
      </w:pPr>
      <w:r w:rsidRPr="00CF5A42">
        <w:rPr>
          <w:rFonts w:ascii="Calibri" w:hAnsi="Calibri"/>
        </w:rPr>
        <w:tab/>
        <w:t>Pożądane jest, aby rury były dostarczane o długościach:</w:t>
      </w:r>
    </w:p>
    <w:p w:rsidR="001F3A98" w:rsidRPr="00CF5A42" w:rsidRDefault="001F3A98" w:rsidP="001F3A98">
      <w:pPr>
        <w:rPr>
          <w:rFonts w:ascii="Calibri" w:hAnsi="Calibri"/>
        </w:rPr>
      </w:pPr>
      <w:r>
        <w:rPr>
          <w:rFonts w:ascii="Calibri" w:hAnsi="Calibri"/>
        </w:rPr>
        <w:t>-</w:t>
      </w:r>
      <w:r w:rsidRPr="00CF5A42">
        <w:rPr>
          <w:rFonts w:ascii="Calibri" w:hAnsi="Calibri"/>
        </w:rPr>
        <w:t xml:space="preserve">dokładnych, zgodnych z zamówieniem; z dopuszczalną odchyłką </w:t>
      </w:r>
      <w:r w:rsidRPr="00CF5A42">
        <w:rPr>
          <w:rFonts w:ascii="Calibri" w:hAnsi="Calibri"/>
        </w:rPr>
        <w:sym w:font="Symbol" w:char="F0B1"/>
      </w:r>
      <w:r w:rsidRPr="00CF5A42">
        <w:rPr>
          <w:rFonts w:ascii="Calibri" w:hAnsi="Calibri"/>
        </w:rPr>
        <w:t xml:space="preserve"> </w:t>
      </w:r>
      <w:smartTag w:uri="urn:schemas-microsoft-com:office:smarttags" w:element="metricconverter">
        <w:smartTagPr>
          <w:attr w:name="ProductID" w:val="10 mm"/>
        </w:smartTagPr>
        <w:r w:rsidRPr="00CF5A42">
          <w:rPr>
            <w:rFonts w:ascii="Calibri" w:hAnsi="Calibri"/>
          </w:rPr>
          <w:t>10 mm</w:t>
        </w:r>
      </w:smartTag>
      <w:r w:rsidRPr="00CF5A42">
        <w:rPr>
          <w:rFonts w:ascii="Calibri" w:hAnsi="Calibri"/>
        </w:rPr>
        <w:t>,</w:t>
      </w:r>
    </w:p>
    <w:p w:rsidR="001F3A98" w:rsidRPr="00CF5A42" w:rsidRDefault="001F3A98" w:rsidP="001F3A98">
      <w:pPr>
        <w:rPr>
          <w:rFonts w:ascii="Calibri" w:hAnsi="Calibri"/>
        </w:rPr>
      </w:pPr>
      <w:r>
        <w:rPr>
          <w:rFonts w:ascii="Calibri" w:hAnsi="Calibri"/>
        </w:rPr>
        <w:t>-</w:t>
      </w:r>
      <w:r w:rsidRPr="00CF5A42">
        <w:rPr>
          <w:rFonts w:ascii="Calibri" w:hAnsi="Calibri"/>
        </w:rPr>
        <w:t xml:space="preserve">wielokrotnych w stosunku do zamówionych długości dokładnych poniżej </w:t>
      </w:r>
      <w:smartTag w:uri="urn:schemas-microsoft-com:office:smarttags" w:element="metricconverter">
        <w:smartTagPr>
          <w:attr w:name="ProductID" w:val="3 m"/>
        </w:smartTagPr>
        <w:r w:rsidRPr="00CF5A42">
          <w:rPr>
            <w:rFonts w:ascii="Calibri" w:hAnsi="Calibri"/>
          </w:rPr>
          <w:t>3 m</w:t>
        </w:r>
      </w:smartTag>
      <w:r w:rsidRPr="00CF5A42">
        <w:rPr>
          <w:rFonts w:ascii="Calibri" w:hAnsi="Calibri"/>
        </w:rPr>
        <w:t xml:space="preserve"> z naddatkiem </w:t>
      </w:r>
      <w:smartTag w:uri="urn:schemas-microsoft-com:office:smarttags" w:element="metricconverter">
        <w:smartTagPr>
          <w:attr w:name="ProductID" w:val="5 mm"/>
        </w:smartTagPr>
        <w:r w:rsidRPr="00CF5A42">
          <w:rPr>
            <w:rFonts w:ascii="Calibri" w:hAnsi="Calibri"/>
          </w:rPr>
          <w:t>5 mm</w:t>
        </w:r>
      </w:smartTag>
      <w:r w:rsidRPr="00CF5A42">
        <w:rPr>
          <w:rFonts w:ascii="Calibri" w:hAnsi="Calibri"/>
        </w:rPr>
        <w:t xml:space="preserve"> na każde cięcie i z dopuszczalną odchyłką dla całej długości wielokrotnej, jak dla długości dokładnych.</w:t>
      </w:r>
    </w:p>
    <w:p w:rsidR="001F3A98" w:rsidRPr="00CF5A42" w:rsidRDefault="001F3A98" w:rsidP="001F3A98">
      <w:pPr>
        <w:rPr>
          <w:rFonts w:ascii="Calibri" w:hAnsi="Calibri"/>
        </w:rPr>
      </w:pPr>
      <w:r w:rsidRPr="00CF5A42">
        <w:rPr>
          <w:rFonts w:ascii="Calibri" w:hAnsi="Calibri"/>
        </w:rPr>
        <w:tab/>
        <w:t xml:space="preserve">Rury powinny być proste. Dopuszczalna miejscowa krzywizna nie powinna przekraczać </w:t>
      </w:r>
      <w:smartTag w:uri="urn:schemas-microsoft-com:office:smarttags" w:element="metricconverter">
        <w:smartTagPr>
          <w:attr w:name="ProductID" w:val="1,5 mm"/>
        </w:smartTagPr>
        <w:r w:rsidRPr="00CF5A42">
          <w:rPr>
            <w:rFonts w:ascii="Calibri" w:hAnsi="Calibri"/>
          </w:rPr>
          <w:t>1,5 mm</w:t>
        </w:r>
      </w:smartTag>
      <w:r w:rsidRPr="00CF5A42">
        <w:rPr>
          <w:rFonts w:ascii="Calibri" w:hAnsi="Calibri"/>
        </w:rPr>
        <w:t xml:space="preserve"> na </w:t>
      </w:r>
      <w:smartTag w:uri="urn:schemas-microsoft-com:office:smarttags" w:element="metricconverter">
        <w:smartTagPr>
          <w:attr w:name="ProductID" w:val="1 m"/>
        </w:smartTagPr>
        <w:r w:rsidRPr="00CF5A42">
          <w:rPr>
            <w:rFonts w:ascii="Calibri" w:hAnsi="Calibri"/>
          </w:rPr>
          <w:t>1 m</w:t>
        </w:r>
      </w:smartTag>
      <w:r w:rsidRPr="00CF5A42">
        <w:rPr>
          <w:rFonts w:ascii="Calibri" w:hAnsi="Calibri"/>
        </w:rPr>
        <w:t xml:space="preserve"> długości rury.</w:t>
      </w:r>
    </w:p>
    <w:p w:rsidR="001F3A98" w:rsidRPr="00CF5A42" w:rsidRDefault="001F3A98" w:rsidP="001F3A98">
      <w:pPr>
        <w:rPr>
          <w:rFonts w:ascii="Calibri" w:hAnsi="Calibri"/>
        </w:rPr>
      </w:pPr>
      <w:r w:rsidRPr="00CF5A42">
        <w:rPr>
          <w:rFonts w:ascii="Calibri" w:hAnsi="Calibri"/>
        </w:rPr>
        <w:tab/>
        <w:t xml:space="preserve">Rury powinny być wykonane ze stali w gatunkach dopuszczonych przez PN-H-84023.07, lub inne normy. </w:t>
      </w:r>
    </w:p>
    <w:p w:rsidR="001F3A98" w:rsidRPr="00CF5A42" w:rsidRDefault="001F3A98" w:rsidP="001F3A98">
      <w:pPr>
        <w:rPr>
          <w:rFonts w:ascii="Calibri" w:hAnsi="Calibri"/>
        </w:rPr>
      </w:pPr>
      <w:r w:rsidRPr="00CF5A42">
        <w:rPr>
          <w:rFonts w:ascii="Calibri" w:hAnsi="Calibri"/>
        </w:rPr>
        <w:tab/>
        <w:t>Rury powinny być dostarczone bez opakowania w wiązkach lub luzem względnie w opakowaniu uzgodnionym z Zamawiającym. Rury powinny być cechowane indywidualnie lub na przywieszkach metalowych.</w:t>
      </w:r>
    </w:p>
    <w:p w:rsidR="001F3A98" w:rsidRPr="00CF5A42" w:rsidRDefault="001F3A98" w:rsidP="001F3A98">
      <w:pPr>
        <w:rPr>
          <w:rFonts w:ascii="Calibri" w:hAnsi="Calibri"/>
        </w:rPr>
      </w:pPr>
      <w:r w:rsidRPr="00CF5A42">
        <w:rPr>
          <w:rFonts w:ascii="Calibri" w:hAnsi="Calibri"/>
          <w:b/>
        </w:rPr>
        <w:t>2.4.3.</w:t>
      </w:r>
      <w:r w:rsidRPr="00CF5A42">
        <w:rPr>
          <w:rFonts w:ascii="Calibri" w:hAnsi="Calibri"/>
        </w:rPr>
        <w:t xml:space="preserve"> Kształtowniki</w:t>
      </w:r>
    </w:p>
    <w:p w:rsidR="001F3A98" w:rsidRPr="00CF5A42" w:rsidRDefault="001F3A98" w:rsidP="001F3A98">
      <w:pPr>
        <w:rPr>
          <w:rFonts w:ascii="Calibri" w:hAnsi="Calibri"/>
        </w:rPr>
      </w:pPr>
      <w:r w:rsidRPr="00CF5A42">
        <w:rPr>
          <w:rFonts w:ascii="Calibri" w:hAnsi="Calibri"/>
        </w:rPr>
        <w:tab/>
        <w:t>Kształtowniki powinny odpowiadać wymaganiom PN-91/H-93010. Powierzchnia kształtownika powinna być charakterystyczna dla procesu walcowania i wolna od wad jak widoczne łuski, pęknięcia, zwalcowania i naderwania. Dopuszczalne są usunięte wady przez szlifowanie lub dłutowanie z tym, że obrobiona powierzchnia powinna mieć łagodne wycięcia i zaokrąglone brzegi, a grubość kształtownika nie może zmniejszyć się poza dopuszczalną dolną odchyłkę wymiarową dla kształtownika.</w:t>
      </w:r>
    </w:p>
    <w:p w:rsidR="001F3A98" w:rsidRPr="00CF5A42" w:rsidRDefault="001F3A98" w:rsidP="001F3A98">
      <w:pPr>
        <w:rPr>
          <w:rFonts w:ascii="Calibri" w:hAnsi="Calibri"/>
        </w:rPr>
      </w:pPr>
      <w:r w:rsidRPr="00CF5A42">
        <w:rPr>
          <w:rFonts w:ascii="Calibri" w:hAnsi="Calibri"/>
        </w:rPr>
        <w:tab/>
        <w:t>Kształtowniki powinny być obcięte prostopadle do osi wzdłużnej kształtownika. Powierzchnia końców kształtownika nie powinna wykazywać rzadzizn, rozwarstwień, pęknięć i śladów jamy skurczowej widocznych nie uzbrojonym okiem.</w:t>
      </w:r>
    </w:p>
    <w:p w:rsidR="001F3A98" w:rsidRPr="00CF5A42" w:rsidRDefault="001F3A98" w:rsidP="001F3A98">
      <w:pPr>
        <w:rPr>
          <w:rFonts w:ascii="Calibri" w:hAnsi="Calibri"/>
        </w:rPr>
      </w:pPr>
      <w:r w:rsidRPr="00CF5A42">
        <w:rPr>
          <w:rFonts w:ascii="Calibri" w:hAnsi="Calibri"/>
        </w:rPr>
        <w:tab/>
        <w:t>Kształtowniki powinny być ze stali St3W lub St4W oraz mieć własności mechaniczne według aktualnej normy uzgodnionej pomiędzy Zamawiającym i wytwórcą.</w:t>
      </w:r>
    </w:p>
    <w:p w:rsidR="001F3A98" w:rsidRPr="00CF5A42" w:rsidRDefault="001F3A98" w:rsidP="001F3A98">
      <w:pPr>
        <w:rPr>
          <w:rFonts w:ascii="Calibri" w:hAnsi="Calibri"/>
        </w:rPr>
      </w:pPr>
      <w:r w:rsidRPr="00CF5A42">
        <w:rPr>
          <w:rFonts w:ascii="Calibri" w:hAnsi="Calibri"/>
          <w:b/>
        </w:rPr>
        <w:t>2.4.4.</w:t>
      </w:r>
      <w:r w:rsidRPr="00CF5A42">
        <w:rPr>
          <w:rFonts w:ascii="Calibri" w:hAnsi="Calibri"/>
        </w:rPr>
        <w:t xml:space="preserve"> Powłoki metalizacyjne cynkowe</w:t>
      </w:r>
    </w:p>
    <w:p w:rsidR="001F3A98" w:rsidRPr="00CF5A42" w:rsidRDefault="001F3A98" w:rsidP="001F3A98">
      <w:pPr>
        <w:rPr>
          <w:rFonts w:ascii="Calibri" w:hAnsi="Calibri"/>
        </w:rPr>
      </w:pPr>
      <w:r w:rsidRPr="00CF5A42">
        <w:rPr>
          <w:rFonts w:ascii="Calibri" w:hAnsi="Calibri"/>
        </w:rPr>
        <w:tab/>
        <w:t xml:space="preserve">Powłoka metalizacyjna cynkowa na konstrukcjach stalowych powinna spełniać wymagania PN EN ISO 1461:2000 i PN-EN 10240:2001. Minimalna grubość powłoki cynkowej powinna wynosić 60 </w:t>
      </w:r>
      <w:r w:rsidRPr="00CF5A42">
        <w:rPr>
          <w:rFonts w:ascii="Calibri" w:hAnsi="Calibri"/>
        </w:rPr>
        <w:sym w:font="Symbol" w:char="F06D"/>
      </w:r>
      <w:r w:rsidRPr="00CF5A42">
        <w:rPr>
          <w:rFonts w:ascii="Calibri" w:hAnsi="Calibri"/>
        </w:rPr>
        <w:t>m.</w:t>
      </w:r>
    </w:p>
    <w:p w:rsidR="001F3A98" w:rsidRPr="00CF5A42" w:rsidRDefault="001F3A98" w:rsidP="001F3A98">
      <w:pPr>
        <w:rPr>
          <w:rFonts w:ascii="Calibri" w:hAnsi="Calibri"/>
        </w:rPr>
      </w:pPr>
      <w:r w:rsidRPr="00CF5A42">
        <w:rPr>
          <w:rFonts w:ascii="Calibri" w:hAnsi="Calibri"/>
        </w:rPr>
        <w:tab/>
        <w:t>Powierzchnia powłoki powinna być ciągła i jednorodna pod względem ziarnistości. Nie może ona wykazywać widocznych wad jak rysy, pęknięcia, pęcherze lub odstawanie powłoki od podłoża.</w:t>
      </w:r>
    </w:p>
    <w:p w:rsidR="001F3A98" w:rsidRPr="00CF5A42" w:rsidRDefault="001F3A98" w:rsidP="001F3A98">
      <w:pPr>
        <w:rPr>
          <w:rFonts w:ascii="Calibri" w:hAnsi="Calibri"/>
        </w:rPr>
      </w:pPr>
      <w:r w:rsidRPr="00CF5A42">
        <w:rPr>
          <w:rFonts w:ascii="Calibri" w:hAnsi="Calibri"/>
          <w:b/>
        </w:rPr>
        <w:t>2.4.5.</w:t>
      </w:r>
      <w:r w:rsidRPr="00CF5A42">
        <w:rPr>
          <w:rFonts w:ascii="Calibri" w:hAnsi="Calibri"/>
        </w:rPr>
        <w:t xml:space="preserve"> Gwarancja producenta lub dostawcy na konstrukcję wsporczą</w:t>
      </w:r>
    </w:p>
    <w:p w:rsidR="001F3A98" w:rsidRPr="00CF5A42" w:rsidRDefault="001F3A98" w:rsidP="001F3A98">
      <w:pPr>
        <w:rPr>
          <w:rFonts w:ascii="Calibri" w:hAnsi="Calibri"/>
        </w:rPr>
      </w:pPr>
      <w:r w:rsidRPr="00CF5A42">
        <w:rPr>
          <w:rFonts w:ascii="Calibri" w:hAnsi="Calibri"/>
        </w:rPr>
        <w:tab/>
        <w:t>Producent lub dostawca każdej konstrukcji wsporczej obowiązany jest do wydania gwarancji na okres trwałości znaku uzgodniony z odbiorcą. Przedmiotem gwarancji są właściwości techniczne konstrukcji wsporczej lub elementów mocujących oraz trwałość zabezpieczenia przeciwkorozyjnego.</w:t>
      </w:r>
    </w:p>
    <w:p w:rsidR="001F3A98" w:rsidRPr="00CF5A42" w:rsidRDefault="001F3A98" w:rsidP="001F3A98">
      <w:pPr>
        <w:rPr>
          <w:rFonts w:ascii="Calibri" w:hAnsi="Calibri"/>
        </w:rPr>
      </w:pPr>
      <w:r w:rsidRPr="00CF5A42">
        <w:rPr>
          <w:rFonts w:ascii="Calibri" w:hAnsi="Calibri"/>
        </w:rPr>
        <w:tab/>
        <w:t xml:space="preserve">W przypadku słupków znaków pionowych ostrzegawczych, zakazu, nakazu i informacyjnych o standardowych wymiarach oraz w przypadku elementów, służących do zamocowania znaków do innych </w:t>
      </w:r>
      <w:r w:rsidRPr="00CF5A42">
        <w:rPr>
          <w:rFonts w:ascii="Calibri" w:hAnsi="Calibri"/>
        </w:rPr>
        <w:lastRenderedPageBreak/>
        <w:t>obiektów lub konstrukcji - gwarancja może być wydana dla partii dostawy. W przypadku konstrukcji wsporczej dla znaków drogowych bramowych i wysięgnikowych gwarancja jest wystawiana indywidualnie dla każdej konstrukcji wsporczej. Minimalny okres trwałości konstrukcji wsporczej powinien wynosić 10 lat.</w:t>
      </w:r>
    </w:p>
    <w:p w:rsidR="001F3A98" w:rsidRPr="00CF5A42" w:rsidRDefault="001F3A98" w:rsidP="001F3A98">
      <w:pPr>
        <w:rPr>
          <w:rFonts w:ascii="Calibri" w:hAnsi="Calibri"/>
        </w:rPr>
      </w:pPr>
      <w:r w:rsidRPr="00CF5A42">
        <w:rPr>
          <w:rFonts w:ascii="Calibri" w:hAnsi="Calibri"/>
          <w:b/>
        </w:rPr>
        <w:t>2.5.</w:t>
      </w:r>
      <w:r w:rsidRPr="00CF5A42">
        <w:rPr>
          <w:rFonts w:ascii="Calibri" w:hAnsi="Calibri"/>
        </w:rPr>
        <w:t xml:space="preserve"> Tarcza znaku</w:t>
      </w:r>
    </w:p>
    <w:p w:rsidR="001F3A98" w:rsidRPr="00CF5A42" w:rsidRDefault="001F3A98" w:rsidP="001F3A98">
      <w:pPr>
        <w:rPr>
          <w:rFonts w:ascii="Calibri" w:hAnsi="Calibri"/>
        </w:rPr>
      </w:pPr>
      <w:r w:rsidRPr="00CF5A42">
        <w:rPr>
          <w:rFonts w:ascii="Calibri" w:hAnsi="Calibri"/>
          <w:b/>
        </w:rPr>
        <w:t>2.5.1.</w:t>
      </w:r>
      <w:r w:rsidRPr="00CF5A42">
        <w:rPr>
          <w:rFonts w:ascii="Calibri" w:hAnsi="Calibri"/>
        </w:rPr>
        <w:t xml:space="preserve">  Trwałość materiałów na wpływy zewnętrzne</w:t>
      </w:r>
    </w:p>
    <w:p w:rsidR="001F3A98" w:rsidRPr="00CF5A42" w:rsidRDefault="001F3A98" w:rsidP="001F3A98">
      <w:pPr>
        <w:rPr>
          <w:rFonts w:ascii="Calibri" w:hAnsi="Calibri"/>
        </w:rPr>
      </w:pPr>
      <w:r w:rsidRPr="00CF5A42">
        <w:rPr>
          <w:rFonts w:ascii="Calibri" w:hAnsi="Calibri"/>
        </w:rPr>
        <w:tab/>
        <w:t xml:space="preserve">Materiały użyte na lico i tarczę znaku oraz połączenie lica znaku z tarczą znaku, a także sposób wykończenia znaku, muszą wykazywać pełną odporność na oddziaływanie światła, zmian temperatury, wpływy atmosferyczne i występujące w normalnych warunkach oddziaływania chemiczne (w tym korozję elektrochemiczną) - przez cały czas trwałości znaku, określony przez wytwórcę lub dostawcę. </w:t>
      </w:r>
    </w:p>
    <w:p w:rsidR="001F3A98" w:rsidRPr="00CF5A42" w:rsidRDefault="001F3A98" w:rsidP="001F3A98">
      <w:pPr>
        <w:rPr>
          <w:rFonts w:ascii="Calibri" w:hAnsi="Calibri"/>
        </w:rPr>
      </w:pPr>
      <w:r w:rsidRPr="00CF5A42">
        <w:rPr>
          <w:rFonts w:ascii="Calibri" w:hAnsi="Calibri"/>
          <w:b/>
        </w:rPr>
        <w:t>2.5.2.</w:t>
      </w:r>
      <w:r w:rsidRPr="00CF5A42">
        <w:rPr>
          <w:rFonts w:ascii="Calibri" w:hAnsi="Calibri"/>
        </w:rPr>
        <w:t xml:space="preserve"> Warunki gwarancyjne producenta lub dostawcy znaku</w:t>
      </w:r>
    </w:p>
    <w:p w:rsidR="001F3A98" w:rsidRPr="00CF5A42" w:rsidRDefault="001F3A98" w:rsidP="001F3A98">
      <w:pPr>
        <w:rPr>
          <w:rFonts w:ascii="Calibri" w:hAnsi="Calibri"/>
        </w:rPr>
      </w:pPr>
      <w:r w:rsidRPr="00CF5A42">
        <w:rPr>
          <w:rFonts w:ascii="Calibri" w:hAnsi="Calibri"/>
        </w:rPr>
        <w:tab/>
        <w:t>Producent lub dostawca znaku obowiązany jest przy dostawie określić, uzgodnioną z odbiorcą, trwałość znaku oraz warunki gwarancyjne dla znaku, a także udostępnić na życzenie odbiorcy:</w:t>
      </w:r>
    </w:p>
    <w:p w:rsidR="001F3A98" w:rsidRPr="00CF5A42" w:rsidRDefault="001F3A98" w:rsidP="001F3A98">
      <w:pPr>
        <w:rPr>
          <w:rFonts w:ascii="Calibri" w:hAnsi="Calibri"/>
        </w:rPr>
      </w:pPr>
      <w:r>
        <w:rPr>
          <w:rFonts w:ascii="Calibri" w:hAnsi="Calibri"/>
        </w:rPr>
        <w:t>-</w:t>
      </w:r>
      <w:r w:rsidRPr="00CF5A42">
        <w:rPr>
          <w:rFonts w:ascii="Calibri" w:hAnsi="Calibri"/>
        </w:rPr>
        <w:t>instrukcję montażu znaku,</w:t>
      </w:r>
    </w:p>
    <w:p w:rsidR="001F3A98" w:rsidRPr="00CF5A42" w:rsidRDefault="001F3A98" w:rsidP="001F3A98">
      <w:pPr>
        <w:rPr>
          <w:rFonts w:ascii="Calibri" w:hAnsi="Calibri"/>
        </w:rPr>
      </w:pPr>
      <w:r>
        <w:rPr>
          <w:rFonts w:ascii="Calibri" w:hAnsi="Calibri"/>
        </w:rPr>
        <w:t>-</w:t>
      </w:r>
      <w:r w:rsidRPr="00CF5A42">
        <w:rPr>
          <w:rFonts w:ascii="Calibri" w:hAnsi="Calibri"/>
        </w:rPr>
        <w:t>dane szczegółowe o ewentualnych ograniczeniach w stosowaniu znaku,</w:t>
      </w:r>
    </w:p>
    <w:p w:rsidR="001F3A98" w:rsidRPr="00CF5A42" w:rsidRDefault="001F3A98" w:rsidP="001F3A98">
      <w:pPr>
        <w:rPr>
          <w:rFonts w:ascii="Calibri" w:hAnsi="Calibri"/>
        </w:rPr>
      </w:pPr>
      <w:r>
        <w:rPr>
          <w:rFonts w:ascii="Calibri" w:hAnsi="Calibri"/>
        </w:rPr>
        <w:t>-</w:t>
      </w:r>
      <w:r w:rsidRPr="00CF5A42">
        <w:rPr>
          <w:rFonts w:ascii="Calibri" w:hAnsi="Calibri"/>
        </w:rPr>
        <w:t>instrukcję utrzymania znaku.</w:t>
      </w:r>
    </w:p>
    <w:p w:rsidR="001F3A98" w:rsidRPr="00CF5A42" w:rsidRDefault="001F3A98" w:rsidP="001F3A98">
      <w:pPr>
        <w:rPr>
          <w:rFonts w:ascii="Calibri" w:hAnsi="Calibri"/>
        </w:rPr>
      </w:pPr>
      <w:r w:rsidRPr="00CF5A42">
        <w:rPr>
          <w:rFonts w:ascii="Calibri" w:hAnsi="Calibri"/>
        </w:rPr>
        <w:t>Trwałość znaku powinna być co najmniej równa trwałości zastosowanej folii. Minimalne okresy gwarancyjne powinny wynosić  dla znaków z folią typu 1 – 7 lat, z folią typu 2 – 10 lat, z folią pryzmatyczną – 12 lat.</w:t>
      </w:r>
    </w:p>
    <w:p w:rsidR="001F3A98" w:rsidRPr="00CF5A42" w:rsidRDefault="001F3A98" w:rsidP="001F3A98">
      <w:pPr>
        <w:rPr>
          <w:rFonts w:ascii="Calibri" w:hAnsi="Calibri"/>
        </w:rPr>
      </w:pPr>
      <w:r w:rsidRPr="00CF5A42">
        <w:rPr>
          <w:rFonts w:ascii="Calibri" w:hAnsi="Calibri"/>
          <w:b/>
        </w:rPr>
        <w:t>2.5.3.</w:t>
      </w:r>
      <w:r w:rsidRPr="00CF5A42">
        <w:rPr>
          <w:rFonts w:ascii="Calibri" w:hAnsi="Calibri"/>
        </w:rPr>
        <w:t xml:space="preserve"> Materiały do wykonania tarczy znaku</w:t>
      </w:r>
    </w:p>
    <w:p w:rsidR="001F3A98" w:rsidRPr="00CF5A42" w:rsidRDefault="001F3A98" w:rsidP="001F3A98">
      <w:pPr>
        <w:rPr>
          <w:rFonts w:ascii="Calibri" w:hAnsi="Calibri"/>
        </w:rPr>
      </w:pPr>
      <w:r w:rsidRPr="00CF5A42">
        <w:rPr>
          <w:rFonts w:ascii="Calibri" w:hAnsi="Calibri"/>
        </w:rPr>
        <w:tab/>
        <w:t>Tarcza znaku powinna być wykonana z :</w:t>
      </w:r>
    </w:p>
    <w:p w:rsidR="001F3A98" w:rsidRPr="00CF5A42" w:rsidRDefault="001F3A98" w:rsidP="001F3A98">
      <w:pPr>
        <w:rPr>
          <w:rFonts w:ascii="Calibri" w:hAnsi="Calibri"/>
        </w:rPr>
      </w:pPr>
      <w:r>
        <w:rPr>
          <w:rFonts w:ascii="Calibri" w:hAnsi="Calibri"/>
        </w:rPr>
        <w:t>-</w:t>
      </w:r>
      <w:r w:rsidRPr="00CF5A42">
        <w:rPr>
          <w:rFonts w:ascii="Calibri" w:hAnsi="Calibri"/>
        </w:rPr>
        <w:t xml:space="preserve">blachy ocynkowanej ogniowo o grubości min. </w:t>
      </w:r>
      <w:smartTag w:uri="urn:schemas-microsoft-com:office:smarttags" w:element="metricconverter">
        <w:smartTagPr>
          <w:attr w:name="ProductID" w:val="1,25 mm"/>
        </w:smartTagPr>
        <w:r w:rsidRPr="00CF5A42">
          <w:rPr>
            <w:rFonts w:ascii="Calibri" w:hAnsi="Calibri"/>
          </w:rPr>
          <w:t>1,25 mm</w:t>
        </w:r>
      </w:smartTag>
      <w:r w:rsidRPr="00CF5A42">
        <w:rPr>
          <w:rFonts w:ascii="Calibri" w:hAnsi="Calibri"/>
        </w:rPr>
        <w:t xml:space="preserve"> wg PN-EN 10327:2005(U) lub PN-EN 10292:2003/A1:2004/A1:2005(U), </w:t>
      </w:r>
    </w:p>
    <w:p w:rsidR="001F3A98" w:rsidRPr="00CF5A42" w:rsidRDefault="001F3A98" w:rsidP="001F3A98">
      <w:pPr>
        <w:rPr>
          <w:rFonts w:ascii="Calibri" w:hAnsi="Calibri"/>
        </w:rPr>
      </w:pPr>
      <w:r>
        <w:rPr>
          <w:rFonts w:ascii="Calibri" w:hAnsi="Calibri"/>
        </w:rPr>
        <w:t>-</w:t>
      </w:r>
      <w:r w:rsidRPr="00CF5A42">
        <w:rPr>
          <w:rFonts w:ascii="Calibri" w:hAnsi="Calibri"/>
        </w:rPr>
        <w:t xml:space="preserve">blachy aluminiowej o grubości min. </w:t>
      </w:r>
      <w:smartTag w:uri="urn:schemas-microsoft-com:office:smarttags" w:element="metricconverter">
        <w:smartTagPr>
          <w:attr w:name="ProductID" w:val="1,5 m"/>
        </w:smartTagPr>
        <w:r w:rsidRPr="00CF5A42">
          <w:rPr>
            <w:rFonts w:ascii="Calibri" w:hAnsi="Calibri"/>
          </w:rPr>
          <w:t>1,5 m</w:t>
        </w:r>
      </w:smartTag>
      <w:r w:rsidRPr="00CF5A42">
        <w:rPr>
          <w:rFonts w:ascii="Calibri" w:hAnsi="Calibri"/>
        </w:rPr>
        <w:t xml:space="preserve"> wg PN-EN 485-4:1997,</w:t>
      </w:r>
    </w:p>
    <w:p w:rsidR="001F3A98" w:rsidRPr="00CF5A42" w:rsidRDefault="001F3A98" w:rsidP="001F3A98">
      <w:pPr>
        <w:rPr>
          <w:rFonts w:ascii="Calibri" w:hAnsi="Calibri"/>
        </w:rPr>
      </w:pPr>
      <w:r>
        <w:rPr>
          <w:rFonts w:ascii="Calibri" w:hAnsi="Calibri"/>
        </w:rPr>
        <w:t>-</w:t>
      </w:r>
      <w:r w:rsidRPr="00CF5A42">
        <w:rPr>
          <w:rFonts w:ascii="Calibri" w:hAnsi="Calibri"/>
        </w:rPr>
        <w:t>innych materiałów, np. tworzyw syntetycznych, pod warunkiem uzyskania przez producenta aprobaty technicznej.</w:t>
      </w:r>
    </w:p>
    <w:p w:rsidR="001F3A98" w:rsidRPr="00CF5A42" w:rsidRDefault="001F3A98" w:rsidP="001F3A98">
      <w:pPr>
        <w:rPr>
          <w:rFonts w:ascii="Calibri" w:hAnsi="Calibri"/>
        </w:rPr>
      </w:pPr>
      <w:r w:rsidRPr="00CF5A42">
        <w:rPr>
          <w:rFonts w:ascii="Calibri" w:hAnsi="Calibri"/>
        </w:rPr>
        <w:tab/>
        <w:t xml:space="preserve">Tarcza tablicy o powierzchni &gt; </w:t>
      </w:r>
      <w:smartTag w:uri="urn:schemas-microsoft-com:office:smarttags" w:element="metricconverter">
        <w:smartTagPr>
          <w:attr w:name="ProductID" w:val="1 m2"/>
        </w:smartTagPr>
        <w:r w:rsidRPr="00CF5A42">
          <w:rPr>
            <w:rFonts w:ascii="Calibri" w:hAnsi="Calibri"/>
          </w:rPr>
          <w:t>1 m2</w:t>
        </w:r>
      </w:smartTag>
      <w:r w:rsidRPr="00CF5A42">
        <w:rPr>
          <w:rFonts w:ascii="Calibri" w:hAnsi="Calibri"/>
        </w:rPr>
        <w:t xml:space="preserve">  powinna być wykonana z :</w:t>
      </w:r>
    </w:p>
    <w:p w:rsidR="001F3A98" w:rsidRPr="00CF5A42" w:rsidRDefault="001F3A98" w:rsidP="001F3A98">
      <w:pPr>
        <w:rPr>
          <w:rFonts w:ascii="Calibri" w:hAnsi="Calibri"/>
        </w:rPr>
      </w:pPr>
      <w:r>
        <w:rPr>
          <w:rFonts w:ascii="Calibri" w:hAnsi="Calibri"/>
        </w:rPr>
        <w:t>-</w:t>
      </w:r>
      <w:r w:rsidRPr="00CF5A42">
        <w:rPr>
          <w:rFonts w:ascii="Calibri" w:hAnsi="Calibri"/>
        </w:rPr>
        <w:t xml:space="preserve">blachy ocynkowanej ogniowo o grubości min. </w:t>
      </w:r>
      <w:smartTag w:uri="urn:schemas-microsoft-com:office:smarttags" w:element="metricconverter">
        <w:smartTagPr>
          <w:attr w:name="ProductID" w:val="1,5 mm"/>
        </w:smartTagPr>
        <w:r w:rsidRPr="00CF5A42">
          <w:rPr>
            <w:rFonts w:ascii="Calibri" w:hAnsi="Calibri"/>
          </w:rPr>
          <w:t>1,5 mm</w:t>
        </w:r>
      </w:smartTag>
      <w:r w:rsidRPr="00CF5A42">
        <w:rPr>
          <w:rFonts w:ascii="Calibri" w:hAnsi="Calibri"/>
        </w:rPr>
        <w:t xml:space="preserve"> wg   PN-EN 10327:2005 (U)  lub PN-EN 10292:2003/ A1:2004/A1:2005(U) lub z</w:t>
      </w:r>
    </w:p>
    <w:p w:rsidR="001F3A98" w:rsidRPr="00CF5A42" w:rsidRDefault="001F3A98" w:rsidP="001F3A98">
      <w:pPr>
        <w:rPr>
          <w:rFonts w:ascii="Calibri" w:hAnsi="Calibri"/>
        </w:rPr>
      </w:pPr>
      <w:r>
        <w:rPr>
          <w:rFonts w:ascii="Calibri" w:hAnsi="Calibri"/>
        </w:rPr>
        <w:t>-</w:t>
      </w:r>
      <w:r w:rsidRPr="00CF5A42">
        <w:rPr>
          <w:rFonts w:ascii="Calibri" w:hAnsi="Calibri"/>
        </w:rPr>
        <w:t xml:space="preserve">blachy aluminiowej o grubości min. </w:t>
      </w:r>
      <w:smartTag w:uri="urn:schemas-microsoft-com:office:smarttags" w:element="metricconverter">
        <w:smartTagPr>
          <w:attr w:name="ProductID" w:val="2 mm"/>
        </w:smartTagPr>
        <w:r w:rsidRPr="00CF5A42">
          <w:rPr>
            <w:rFonts w:ascii="Calibri" w:hAnsi="Calibri"/>
          </w:rPr>
          <w:t>2 mm</w:t>
        </w:r>
      </w:smartTag>
      <w:r w:rsidRPr="00CF5A42">
        <w:rPr>
          <w:rFonts w:ascii="Calibri" w:hAnsi="Calibri"/>
        </w:rPr>
        <w:t xml:space="preserve"> wg PN-EN 485-4:1997.</w:t>
      </w:r>
    </w:p>
    <w:p w:rsidR="001F3A98" w:rsidRPr="00CF5A42" w:rsidRDefault="001F3A98" w:rsidP="001F3A98">
      <w:pPr>
        <w:rPr>
          <w:rFonts w:ascii="Calibri" w:hAnsi="Calibri"/>
        </w:rPr>
      </w:pPr>
      <w:r w:rsidRPr="00CF5A42">
        <w:rPr>
          <w:rFonts w:ascii="Calibri" w:hAnsi="Calibri"/>
        </w:rPr>
        <w:t xml:space="preserve">Grubość warstwy powłoki cynkowej na blasze stalowej ocynkowanej ogniowo nie może być mniejsza niż 28 </w:t>
      </w:r>
      <w:r w:rsidRPr="00CF5A42">
        <w:rPr>
          <w:rFonts w:ascii="Calibri" w:hAnsi="Calibri"/>
        </w:rPr>
        <w:sym w:font="Symbol" w:char="F06D"/>
      </w:r>
      <w:r w:rsidRPr="00CF5A42">
        <w:rPr>
          <w:rFonts w:ascii="Calibri" w:hAnsi="Calibri"/>
        </w:rPr>
        <w:t>m (</w:t>
      </w:r>
      <w:smartTag w:uri="urn:schemas-microsoft-com:office:smarttags" w:element="metricconverter">
        <w:smartTagPr>
          <w:attr w:name="ProductID" w:val="200 g"/>
        </w:smartTagPr>
        <w:r w:rsidRPr="00CF5A42">
          <w:rPr>
            <w:rFonts w:ascii="Calibri" w:hAnsi="Calibri"/>
          </w:rPr>
          <w:t>200 g</w:t>
        </w:r>
      </w:smartTag>
      <w:r w:rsidRPr="00CF5A42">
        <w:rPr>
          <w:rFonts w:ascii="Calibri" w:hAnsi="Calibri"/>
        </w:rPr>
        <w:t xml:space="preserve"> Zn/m2).</w:t>
      </w:r>
    </w:p>
    <w:p w:rsidR="001F3A98" w:rsidRPr="00CF5A42" w:rsidRDefault="001F3A98" w:rsidP="001F3A98">
      <w:pPr>
        <w:rPr>
          <w:rFonts w:ascii="Calibri" w:hAnsi="Calibri"/>
        </w:rPr>
      </w:pPr>
      <w:r w:rsidRPr="00CF5A42">
        <w:rPr>
          <w:rFonts w:ascii="Calibri" w:hAnsi="Calibri"/>
        </w:rPr>
        <w:t>Znaki i tablice powinny spełniać następujące wymagania podane w tablicy 1.</w:t>
      </w:r>
    </w:p>
    <w:p w:rsidR="001F3A98" w:rsidRPr="00CF5A42" w:rsidRDefault="001F3A98" w:rsidP="001F3A98">
      <w:pPr>
        <w:rPr>
          <w:rFonts w:ascii="Calibri" w:hAnsi="Calibri"/>
        </w:rPr>
      </w:pPr>
    </w:p>
    <w:p w:rsidR="001F3A98" w:rsidRPr="00CF5A42" w:rsidRDefault="001F3A98" w:rsidP="004E5CC8">
      <w:pPr>
        <w:ind w:left="709"/>
        <w:rPr>
          <w:rFonts w:ascii="Calibri" w:hAnsi="Calibri"/>
        </w:rPr>
      </w:pPr>
      <w:r w:rsidRPr="00CF5A42">
        <w:rPr>
          <w:rFonts w:ascii="Calibri" w:hAnsi="Calibri"/>
        </w:rPr>
        <w:t>Tablica 1.Wymagania dla znaków i tarcz znaków drogowych</w:t>
      </w:r>
    </w:p>
    <w:tbl>
      <w:tblPr>
        <w:tblW w:w="8687" w:type="dxa"/>
        <w:jc w:val="center"/>
        <w:tblInd w:w="1248" w:type="dxa"/>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ayout w:type="fixed"/>
        <w:tblCellMar>
          <w:left w:w="70" w:type="dxa"/>
          <w:right w:w="70" w:type="dxa"/>
        </w:tblCellMar>
        <w:tblLook w:val="0000"/>
      </w:tblPr>
      <w:tblGrid>
        <w:gridCol w:w="2026"/>
        <w:gridCol w:w="1558"/>
        <w:gridCol w:w="3170"/>
        <w:gridCol w:w="1933"/>
      </w:tblGrid>
      <w:tr w:rsidR="001F3A98" w:rsidRPr="00CF5A42" w:rsidTr="006456E2">
        <w:trPr>
          <w:tblHeader/>
          <w:jc w:val="center"/>
        </w:trPr>
        <w:tc>
          <w:tcPr>
            <w:tcW w:w="2026" w:type="dxa"/>
            <w:tcBorders>
              <w:top w:val="single" w:sz="6" w:space="0" w:color="auto"/>
              <w:left w:val="single" w:sz="6" w:space="0" w:color="auto"/>
              <w:bottom w:val="double" w:sz="4" w:space="0" w:color="auto"/>
              <w:right w:val="single" w:sz="6" w:space="0" w:color="auto"/>
            </w:tcBorders>
            <w:vAlign w:val="center"/>
          </w:tcPr>
          <w:p w:rsidR="001F3A98" w:rsidRPr="00CF5A42" w:rsidRDefault="001F3A98" w:rsidP="00FD47C7">
            <w:pPr>
              <w:jc w:val="center"/>
              <w:rPr>
                <w:rFonts w:ascii="Calibri" w:hAnsi="Calibri"/>
                <w:b/>
                <w:sz w:val="18"/>
                <w:szCs w:val="18"/>
              </w:rPr>
            </w:pPr>
            <w:r w:rsidRPr="00CF5A42">
              <w:rPr>
                <w:rFonts w:ascii="Calibri" w:hAnsi="Calibri"/>
                <w:b/>
                <w:sz w:val="18"/>
                <w:szCs w:val="18"/>
              </w:rPr>
              <w:t>Parametr</w:t>
            </w:r>
          </w:p>
        </w:tc>
        <w:tc>
          <w:tcPr>
            <w:tcW w:w="1558" w:type="dxa"/>
            <w:tcBorders>
              <w:top w:val="single" w:sz="6" w:space="0" w:color="auto"/>
              <w:left w:val="single" w:sz="6" w:space="0" w:color="auto"/>
              <w:bottom w:val="double" w:sz="4" w:space="0" w:color="auto"/>
              <w:right w:val="single" w:sz="6" w:space="0" w:color="auto"/>
            </w:tcBorders>
            <w:vAlign w:val="center"/>
          </w:tcPr>
          <w:p w:rsidR="001F3A98" w:rsidRPr="00CF5A42" w:rsidRDefault="001F3A98" w:rsidP="00FD47C7">
            <w:pPr>
              <w:jc w:val="center"/>
              <w:rPr>
                <w:rFonts w:ascii="Calibri" w:hAnsi="Calibri"/>
                <w:b/>
                <w:sz w:val="18"/>
                <w:szCs w:val="18"/>
              </w:rPr>
            </w:pPr>
            <w:r w:rsidRPr="00CF5A42">
              <w:rPr>
                <w:rFonts w:ascii="Calibri" w:hAnsi="Calibri"/>
                <w:b/>
                <w:sz w:val="18"/>
                <w:szCs w:val="18"/>
              </w:rPr>
              <w:t>Jednostka</w:t>
            </w:r>
          </w:p>
        </w:tc>
        <w:tc>
          <w:tcPr>
            <w:tcW w:w="3170" w:type="dxa"/>
            <w:tcBorders>
              <w:top w:val="single" w:sz="6" w:space="0" w:color="auto"/>
              <w:left w:val="single" w:sz="6" w:space="0" w:color="auto"/>
              <w:bottom w:val="double" w:sz="4" w:space="0" w:color="auto"/>
              <w:right w:val="single" w:sz="6" w:space="0" w:color="auto"/>
            </w:tcBorders>
            <w:vAlign w:val="center"/>
          </w:tcPr>
          <w:p w:rsidR="001F3A98" w:rsidRPr="00CF5A42" w:rsidRDefault="001F3A98" w:rsidP="00FD47C7">
            <w:pPr>
              <w:jc w:val="center"/>
              <w:rPr>
                <w:rFonts w:ascii="Calibri" w:hAnsi="Calibri"/>
                <w:b/>
                <w:sz w:val="18"/>
                <w:szCs w:val="18"/>
              </w:rPr>
            </w:pPr>
            <w:r w:rsidRPr="00CF5A42">
              <w:rPr>
                <w:rFonts w:ascii="Calibri" w:hAnsi="Calibri"/>
                <w:b/>
                <w:sz w:val="18"/>
                <w:szCs w:val="18"/>
              </w:rPr>
              <w:t>Wymaganie</w:t>
            </w:r>
          </w:p>
        </w:tc>
        <w:tc>
          <w:tcPr>
            <w:tcW w:w="1933" w:type="dxa"/>
            <w:tcBorders>
              <w:top w:val="single" w:sz="6" w:space="0" w:color="auto"/>
              <w:left w:val="single" w:sz="6" w:space="0" w:color="auto"/>
              <w:bottom w:val="double" w:sz="4" w:space="0" w:color="auto"/>
              <w:right w:val="single" w:sz="6" w:space="0" w:color="auto"/>
            </w:tcBorders>
            <w:vAlign w:val="center"/>
          </w:tcPr>
          <w:p w:rsidR="001F3A98" w:rsidRPr="00CF5A42" w:rsidRDefault="001F3A98" w:rsidP="00FD47C7">
            <w:pPr>
              <w:jc w:val="center"/>
              <w:rPr>
                <w:rFonts w:ascii="Calibri" w:hAnsi="Calibri"/>
                <w:b/>
                <w:sz w:val="18"/>
                <w:szCs w:val="18"/>
              </w:rPr>
            </w:pPr>
            <w:r w:rsidRPr="00CF5A42">
              <w:rPr>
                <w:rFonts w:ascii="Calibri" w:hAnsi="Calibri"/>
                <w:b/>
                <w:sz w:val="18"/>
                <w:szCs w:val="18"/>
              </w:rPr>
              <w:t>Klasa wg</w:t>
            </w:r>
          </w:p>
          <w:p w:rsidR="001F3A98" w:rsidRPr="00CF5A42" w:rsidRDefault="001F3A98" w:rsidP="00FD47C7">
            <w:pPr>
              <w:jc w:val="center"/>
              <w:rPr>
                <w:rFonts w:ascii="Calibri" w:hAnsi="Calibri"/>
                <w:b/>
                <w:sz w:val="18"/>
                <w:szCs w:val="18"/>
              </w:rPr>
            </w:pPr>
            <w:r>
              <w:rPr>
                <w:rFonts w:ascii="Calibri" w:hAnsi="Calibri"/>
                <w:b/>
                <w:sz w:val="18"/>
                <w:szCs w:val="18"/>
              </w:rPr>
              <w:t xml:space="preserve">PN-EN 12899-1: 2005 </w:t>
            </w:r>
          </w:p>
        </w:tc>
      </w:tr>
      <w:tr w:rsidR="001F3A98" w:rsidRPr="00CF5A42" w:rsidTr="006456E2">
        <w:trPr>
          <w:jc w:val="center"/>
        </w:trPr>
        <w:tc>
          <w:tcPr>
            <w:tcW w:w="2026" w:type="dxa"/>
            <w:tcBorders>
              <w:top w:val="double" w:sz="4" w:space="0" w:color="auto"/>
              <w:left w:val="single" w:sz="6" w:space="0" w:color="auto"/>
              <w:bottom w:val="single" w:sz="6" w:space="0" w:color="auto"/>
              <w:right w:val="single" w:sz="6" w:space="0" w:color="auto"/>
            </w:tcBorders>
          </w:tcPr>
          <w:p w:rsidR="001F3A98" w:rsidRPr="00CF5A42" w:rsidRDefault="001F3A98" w:rsidP="00FD47C7">
            <w:pPr>
              <w:jc w:val="center"/>
              <w:rPr>
                <w:rFonts w:ascii="Calibri" w:hAnsi="Calibri"/>
                <w:sz w:val="18"/>
                <w:szCs w:val="18"/>
                <w:highlight w:val="green"/>
              </w:rPr>
            </w:pPr>
            <w:r w:rsidRPr="00CF5A42">
              <w:rPr>
                <w:rFonts w:ascii="Calibri" w:hAnsi="Calibri"/>
                <w:sz w:val="18"/>
                <w:szCs w:val="18"/>
              </w:rPr>
              <w:t>Wytrzymałość na obciążenie siłą naporu wiatru</w:t>
            </w:r>
          </w:p>
        </w:tc>
        <w:tc>
          <w:tcPr>
            <w:tcW w:w="1558" w:type="dxa"/>
            <w:tcBorders>
              <w:top w:val="double" w:sz="4" w:space="0" w:color="auto"/>
              <w:left w:val="single" w:sz="6" w:space="0" w:color="auto"/>
              <w:bottom w:val="single" w:sz="6" w:space="0" w:color="auto"/>
              <w:right w:val="single" w:sz="6" w:space="0" w:color="auto"/>
            </w:tcBorders>
          </w:tcPr>
          <w:p w:rsidR="001F3A98" w:rsidRPr="00CF5A42" w:rsidRDefault="001F3A98" w:rsidP="00FD47C7">
            <w:pPr>
              <w:jc w:val="center"/>
              <w:rPr>
                <w:rFonts w:ascii="Calibri" w:hAnsi="Calibri"/>
                <w:sz w:val="18"/>
                <w:szCs w:val="18"/>
              </w:rPr>
            </w:pPr>
            <w:r w:rsidRPr="00CF5A42">
              <w:rPr>
                <w:rFonts w:ascii="Calibri" w:hAnsi="Calibri"/>
                <w:sz w:val="18"/>
                <w:szCs w:val="18"/>
              </w:rPr>
              <w:t>kN m-2</w:t>
            </w:r>
          </w:p>
        </w:tc>
        <w:tc>
          <w:tcPr>
            <w:tcW w:w="3170" w:type="dxa"/>
            <w:tcBorders>
              <w:top w:val="double" w:sz="4" w:space="0" w:color="auto"/>
              <w:left w:val="single" w:sz="6" w:space="0" w:color="auto"/>
              <w:bottom w:val="single" w:sz="6" w:space="0" w:color="auto"/>
              <w:right w:val="single" w:sz="6" w:space="0" w:color="auto"/>
            </w:tcBorders>
          </w:tcPr>
          <w:p w:rsidR="001F3A98" w:rsidRPr="00CF5A42" w:rsidRDefault="001F3A98" w:rsidP="00FD47C7">
            <w:pPr>
              <w:jc w:val="center"/>
              <w:rPr>
                <w:rFonts w:ascii="Calibri" w:hAnsi="Calibri"/>
                <w:sz w:val="18"/>
                <w:szCs w:val="18"/>
                <w:highlight w:val="green"/>
              </w:rPr>
            </w:pPr>
            <w:r w:rsidRPr="00CF5A42">
              <w:rPr>
                <w:rFonts w:ascii="Calibri" w:hAnsi="Calibri"/>
                <w:sz w:val="18"/>
                <w:szCs w:val="18"/>
              </w:rPr>
              <w:sym w:font="Symbol" w:char="F0B3"/>
            </w:r>
            <w:r w:rsidRPr="00CF5A42">
              <w:rPr>
                <w:rFonts w:ascii="Calibri" w:hAnsi="Calibri"/>
                <w:sz w:val="18"/>
                <w:szCs w:val="18"/>
              </w:rPr>
              <w:t xml:space="preserve"> 0,60</w:t>
            </w:r>
          </w:p>
        </w:tc>
        <w:tc>
          <w:tcPr>
            <w:tcW w:w="1933" w:type="dxa"/>
            <w:tcBorders>
              <w:top w:val="double" w:sz="4" w:space="0" w:color="auto"/>
              <w:left w:val="single" w:sz="6" w:space="0" w:color="auto"/>
              <w:bottom w:val="single" w:sz="6" w:space="0" w:color="auto"/>
              <w:right w:val="single" w:sz="6" w:space="0" w:color="auto"/>
            </w:tcBorders>
          </w:tcPr>
          <w:p w:rsidR="001F3A98" w:rsidRPr="00CF5A42" w:rsidRDefault="001F3A98" w:rsidP="00FD47C7">
            <w:pPr>
              <w:jc w:val="center"/>
              <w:rPr>
                <w:rFonts w:ascii="Calibri" w:hAnsi="Calibri"/>
                <w:sz w:val="18"/>
                <w:szCs w:val="18"/>
              </w:rPr>
            </w:pPr>
            <w:r w:rsidRPr="00CF5A42">
              <w:rPr>
                <w:rFonts w:ascii="Calibri" w:hAnsi="Calibri"/>
                <w:sz w:val="18"/>
                <w:szCs w:val="18"/>
              </w:rPr>
              <w:t>WL2</w:t>
            </w:r>
          </w:p>
        </w:tc>
      </w:tr>
      <w:tr w:rsidR="001F3A98" w:rsidRPr="00CF5A42" w:rsidTr="006456E2">
        <w:trPr>
          <w:jc w:val="center"/>
        </w:trPr>
        <w:tc>
          <w:tcPr>
            <w:tcW w:w="2026" w:type="dxa"/>
            <w:tcBorders>
              <w:top w:val="single" w:sz="6" w:space="0" w:color="auto"/>
              <w:left w:val="single" w:sz="6" w:space="0" w:color="auto"/>
              <w:bottom w:val="single" w:sz="6" w:space="0" w:color="auto"/>
              <w:right w:val="single" w:sz="6" w:space="0" w:color="auto"/>
            </w:tcBorders>
          </w:tcPr>
          <w:p w:rsidR="001F3A98" w:rsidRPr="00CF5A42" w:rsidRDefault="001F3A98" w:rsidP="00FD47C7">
            <w:pPr>
              <w:jc w:val="center"/>
              <w:rPr>
                <w:rFonts w:ascii="Calibri" w:hAnsi="Calibri"/>
                <w:sz w:val="18"/>
                <w:szCs w:val="18"/>
                <w:highlight w:val="green"/>
              </w:rPr>
            </w:pPr>
            <w:r w:rsidRPr="00CF5A42">
              <w:rPr>
                <w:rFonts w:ascii="Calibri" w:hAnsi="Calibri"/>
                <w:sz w:val="18"/>
                <w:szCs w:val="18"/>
              </w:rPr>
              <w:t>Wytrzymałość na obciążenie skupione</w:t>
            </w:r>
          </w:p>
        </w:tc>
        <w:tc>
          <w:tcPr>
            <w:tcW w:w="1558" w:type="dxa"/>
            <w:tcBorders>
              <w:top w:val="single" w:sz="6" w:space="0" w:color="auto"/>
              <w:left w:val="single" w:sz="6" w:space="0" w:color="auto"/>
              <w:bottom w:val="single" w:sz="6" w:space="0" w:color="auto"/>
              <w:right w:val="single" w:sz="6" w:space="0" w:color="auto"/>
            </w:tcBorders>
          </w:tcPr>
          <w:p w:rsidR="001F3A98" w:rsidRPr="00CF5A42" w:rsidRDefault="001F3A98" w:rsidP="00FD47C7">
            <w:pPr>
              <w:jc w:val="center"/>
              <w:rPr>
                <w:rFonts w:ascii="Calibri" w:hAnsi="Calibri"/>
                <w:sz w:val="18"/>
                <w:szCs w:val="18"/>
              </w:rPr>
            </w:pPr>
            <w:r w:rsidRPr="00CF5A42">
              <w:rPr>
                <w:rFonts w:ascii="Calibri" w:hAnsi="Calibri"/>
                <w:sz w:val="18"/>
                <w:szCs w:val="18"/>
              </w:rPr>
              <w:t>kN</w:t>
            </w:r>
          </w:p>
        </w:tc>
        <w:tc>
          <w:tcPr>
            <w:tcW w:w="3170" w:type="dxa"/>
            <w:tcBorders>
              <w:top w:val="single" w:sz="6" w:space="0" w:color="auto"/>
              <w:left w:val="single" w:sz="6" w:space="0" w:color="auto"/>
              <w:bottom w:val="single" w:sz="6" w:space="0" w:color="auto"/>
              <w:right w:val="single" w:sz="6" w:space="0" w:color="auto"/>
            </w:tcBorders>
          </w:tcPr>
          <w:p w:rsidR="001F3A98" w:rsidRPr="00CF5A42" w:rsidRDefault="001F3A98" w:rsidP="00FD47C7">
            <w:pPr>
              <w:jc w:val="center"/>
              <w:rPr>
                <w:rFonts w:ascii="Calibri" w:hAnsi="Calibri"/>
                <w:sz w:val="18"/>
                <w:szCs w:val="18"/>
                <w:highlight w:val="green"/>
              </w:rPr>
            </w:pPr>
            <w:r w:rsidRPr="00CF5A42">
              <w:rPr>
                <w:rFonts w:ascii="Calibri" w:hAnsi="Calibri"/>
                <w:sz w:val="18"/>
                <w:szCs w:val="18"/>
              </w:rPr>
              <w:sym w:font="Symbol" w:char="F0B3"/>
            </w:r>
            <w:r w:rsidRPr="00CF5A42">
              <w:rPr>
                <w:rFonts w:ascii="Calibri" w:hAnsi="Calibri"/>
                <w:sz w:val="18"/>
                <w:szCs w:val="18"/>
              </w:rPr>
              <w:t xml:space="preserve"> 0,50</w:t>
            </w:r>
          </w:p>
        </w:tc>
        <w:tc>
          <w:tcPr>
            <w:tcW w:w="1933" w:type="dxa"/>
            <w:tcBorders>
              <w:top w:val="single" w:sz="6" w:space="0" w:color="auto"/>
              <w:left w:val="single" w:sz="6" w:space="0" w:color="auto"/>
              <w:bottom w:val="single" w:sz="6" w:space="0" w:color="auto"/>
              <w:right w:val="single" w:sz="6" w:space="0" w:color="auto"/>
            </w:tcBorders>
          </w:tcPr>
          <w:p w:rsidR="001F3A98" w:rsidRPr="00CF5A42" w:rsidRDefault="001F3A98" w:rsidP="00FD47C7">
            <w:pPr>
              <w:jc w:val="center"/>
              <w:rPr>
                <w:rFonts w:ascii="Calibri" w:hAnsi="Calibri"/>
                <w:sz w:val="18"/>
                <w:szCs w:val="18"/>
              </w:rPr>
            </w:pPr>
            <w:r w:rsidRPr="00CF5A42">
              <w:rPr>
                <w:rFonts w:ascii="Calibri" w:hAnsi="Calibri"/>
                <w:sz w:val="18"/>
                <w:szCs w:val="18"/>
              </w:rPr>
              <w:t>PL2</w:t>
            </w:r>
          </w:p>
        </w:tc>
      </w:tr>
      <w:tr w:rsidR="001F3A98" w:rsidRPr="00CF5A42" w:rsidTr="006456E2">
        <w:trPr>
          <w:jc w:val="center"/>
        </w:trPr>
        <w:tc>
          <w:tcPr>
            <w:tcW w:w="2026" w:type="dxa"/>
            <w:tcBorders>
              <w:top w:val="single" w:sz="6" w:space="0" w:color="auto"/>
              <w:left w:val="single" w:sz="6" w:space="0" w:color="auto"/>
              <w:bottom w:val="single" w:sz="6" w:space="0" w:color="auto"/>
              <w:right w:val="single" w:sz="6" w:space="0" w:color="auto"/>
            </w:tcBorders>
          </w:tcPr>
          <w:p w:rsidR="001F3A98" w:rsidRPr="00CF5A42" w:rsidRDefault="001F3A98" w:rsidP="00FD47C7">
            <w:pPr>
              <w:jc w:val="center"/>
              <w:rPr>
                <w:rFonts w:ascii="Calibri" w:hAnsi="Calibri"/>
                <w:sz w:val="18"/>
                <w:szCs w:val="18"/>
                <w:highlight w:val="green"/>
              </w:rPr>
            </w:pPr>
            <w:r w:rsidRPr="00CF5A42">
              <w:rPr>
                <w:rFonts w:ascii="Calibri" w:hAnsi="Calibri"/>
                <w:sz w:val="18"/>
                <w:szCs w:val="18"/>
              </w:rPr>
              <w:t>Chwilowe odkształcenie zginające</w:t>
            </w:r>
          </w:p>
        </w:tc>
        <w:tc>
          <w:tcPr>
            <w:tcW w:w="1558" w:type="dxa"/>
            <w:tcBorders>
              <w:top w:val="single" w:sz="6" w:space="0" w:color="auto"/>
              <w:left w:val="single" w:sz="6" w:space="0" w:color="auto"/>
              <w:bottom w:val="single" w:sz="6" w:space="0" w:color="auto"/>
              <w:right w:val="single" w:sz="6" w:space="0" w:color="auto"/>
            </w:tcBorders>
          </w:tcPr>
          <w:p w:rsidR="001F3A98" w:rsidRPr="00CF5A42" w:rsidRDefault="001F3A98" w:rsidP="00FD47C7">
            <w:pPr>
              <w:jc w:val="center"/>
              <w:rPr>
                <w:rFonts w:ascii="Calibri" w:hAnsi="Calibri"/>
                <w:sz w:val="18"/>
                <w:szCs w:val="18"/>
              </w:rPr>
            </w:pPr>
            <w:r w:rsidRPr="00CF5A42">
              <w:rPr>
                <w:rFonts w:ascii="Calibri" w:hAnsi="Calibri"/>
                <w:sz w:val="18"/>
                <w:szCs w:val="18"/>
              </w:rPr>
              <w:t>mm/m</w:t>
            </w:r>
          </w:p>
        </w:tc>
        <w:tc>
          <w:tcPr>
            <w:tcW w:w="3170" w:type="dxa"/>
            <w:tcBorders>
              <w:top w:val="single" w:sz="6" w:space="0" w:color="auto"/>
              <w:left w:val="single" w:sz="6" w:space="0" w:color="auto"/>
              <w:bottom w:val="single" w:sz="6" w:space="0" w:color="auto"/>
              <w:right w:val="single" w:sz="6" w:space="0" w:color="auto"/>
            </w:tcBorders>
          </w:tcPr>
          <w:p w:rsidR="001F3A98" w:rsidRPr="00CF5A42" w:rsidRDefault="001F3A98" w:rsidP="00FD47C7">
            <w:pPr>
              <w:jc w:val="center"/>
              <w:rPr>
                <w:rFonts w:ascii="Calibri" w:hAnsi="Calibri"/>
                <w:sz w:val="18"/>
                <w:szCs w:val="18"/>
                <w:highlight w:val="green"/>
              </w:rPr>
            </w:pPr>
            <w:r w:rsidRPr="00CF5A42">
              <w:rPr>
                <w:rFonts w:ascii="Calibri" w:hAnsi="Calibri"/>
                <w:sz w:val="18"/>
                <w:szCs w:val="18"/>
              </w:rPr>
              <w:sym w:font="Symbol" w:char="F0A3"/>
            </w:r>
            <w:r w:rsidRPr="00CF5A42">
              <w:rPr>
                <w:rFonts w:ascii="Calibri" w:hAnsi="Calibri"/>
                <w:sz w:val="18"/>
                <w:szCs w:val="18"/>
              </w:rPr>
              <w:t xml:space="preserve"> 25</w:t>
            </w:r>
          </w:p>
        </w:tc>
        <w:tc>
          <w:tcPr>
            <w:tcW w:w="1933" w:type="dxa"/>
            <w:tcBorders>
              <w:top w:val="single" w:sz="6" w:space="0" w:color="auto"/>
              <w:left w:val="single" w:sz="6" w:space="0" w:color="auto"/>
              <w:bottom w:val="single" w:sz="6" w:space="0" w:color="auto"/>
              <w:right w:val="single" w:sz="6" w:space="0" w:color="auto"/>
            </w:tcBorders>
          </w:tcPr>
          <w:p w:rsidR="001F3A98" w:rsidRPr="00CF5A42" w:rsidRDefault="001F3A98" w:rsidP="00FD47C7">
            <w:pPr>
              <w:jc w:val="center"/>
              <w:rPr>
                <w:rFonts w:ascii="Calibri" w:hAnsi="Calibri"/>
                <w:sz w:val="18"/>
                <w:szCs w:val="18"/>
                <w:highlight w:val="green"/>
              </w:rPr>
            </w:pPr>
            <w:r w:rsidRPr="00CF5A42">
              <w:rPr>
                <w:rFonts w:ascii="Calibri" w:hAnsi="Calibri"/>
                <w:sz w:val="18"/>
                <w:szCs w:val="18"/>
              </w:rPr>
              <w:t>TDB4</w:t>
            </w:r>
          </w:p>
        </w:tc>
      </w:tr>
      <w:tr w:rsidR="001F3A98" w:rsidRPr="00CF5A42" w:rsidTr="006456E2">
        <w:trPr>
          <w:jc w:val="center"/>
        </w:trPr>
        <w:tc>
          <w:tcPr>
            <w:tcW w:w="2026" w:type="dxa"/>
            <w:tcBorders>
              <w:top w:val="single" w:sz="6" w:space="0" w:color="auto"/>
              <w:left w:val="single" w:sz="6" w:space="0" w:color="auto"/>
              <w:bottom w:val="single" w:sz="6" w:space="0" w:color="auto"/>
              <w:right w:val="single" w:sz="6" w:space="0" w:color="auto"/>
            </w:tcBorders>
          </w:tcPr>
          <w:p w:rsidR="001F3A98" w:rsidRPr="00CF5A42" w:rsidRDefault="001F3A98" w:rsidP="00FD47C7">
            <w:pPr>
              <w:jc w:val="center"/>
              <w:rPr>
                <w:rFonts w:ascii="Calibri" w:hAnsi="Calibri"/>
                <w:sz w:val="18"/>
                <w:szCs w:val="18"/>
                <w:highlight w:val="green"/>
              </w:rPr>
            </w:pPr>
            <w:r w:rsidRPr="00CF5A42">
              <w:rPr>
                <w:rFonts w:ascii="Calibri" w:hAnsi="Calibri"/>
                <w:sz w:val="18"/>
                <w:szCs w:val="18"/>
              </w:rPr>
              <w:t>Chwilowe odkształcenie skrętne</w:t>
            </w:r>
          </w:p>
        </w:tc>
        <w:tc>
          <w:tcPr>
            <w:tcW w:w="1558" w:type="dxa"/>
            <w:tcBorders>
              <w:top w:val="single" w:sz="6" w:space="0" w:color="auto"/>
              <w:left w:val="single" w:sz="6" w:space="0" w:color="auto"/>
              <w:bottom w:val="single" w:sz="6" w:space="0" w:color="auto"/>
              <w:right w:val="single" w:sz="6" w:space="0" w:color="auto"/>
            </w:tcBorders>
          </w:tcPr>
          <w:p w:rsidR="001F3A98" w:rsidRPr="00CF5A42" w:rsidRDefault="001F3A98" w:rsidP="00FD47C7">
            <w:pPr>
              <w:jc w:val="center"/>
              <w:rPr>
                <w:rFonts w:ascii="Calibri" w:hAnsi="Calibri"/>
                <w:sz w:val="18"/>
                <w:szCs w:val="18"/>
              </w:rPr>
            </w:pPr>
            <w:r w:rsidRPr="00CF5A42">
              <w:rPr>
                <w:rFonts w:ascii="Calibri" w:hAnsi="Calibri"/>
                <w:sz w:val="18"/>
                <w:szCs w:val="18"/>
              </w:rPr>
              <w:t xml:space="preserve">stopień </w:t>
            </w:r>
            <w:r w:rsidRPr="00CF5A42">
              <w:rPr>
                <w:rFonts w:ascii="Calibri" w:hAnsi="Calibri"/>
                <w:sz w:val="18"/>
                <w:szCs w:val="18"/>
              </w:rPr>
              <w:sym w:font="Symbol" w:char="F0D7"/>
            </w:r>
            <w:r w:rsidRPr="00CF5A42">
              <w:rPr>
                <w:rFonts w:ascii="Calibri" w:hAnsi="Calibri"/>
                <w:sz w:val="18"/>
                <w:szCs w:val="18"/>
              </w:rPr>
              <w:t xml:space="preserve"> m</w:t>
            </w:r>
          </w:p>
        </w:tc>
        <w:tc>
          <w:tcPr>
            <w:tcW w:w="3170" w:type="dxa"/>
            <w:tcBorders>
              <w:top w:val="single" w:sz="6" w:space="0" w:color="auto"/>
              <w:left w:val="single" w:sz="6" w:space="0" w:color="auto"/>
              <w:bottom w:val="single" w:sz="6" w:space="0" w:color="auto"/>
              <w:right w:val="single" w:sz="6" w:space="0" w:color="auto"/>
            </w:tcBorders>
          </w:tcPr>
          <w:p w:rsidR="001F3A98" w:rsidRPr="00CF5A42" w:rsidRDefault="001F3A98" w:rsidP="00FD47C7">
            <w:pPr>
              <w:jc w:val="center"/>
              <w:rPr>
                <w:rFonts w:ascii="Calibri" w:hAnsi="Calibri"/>
                <w:sz w:val="18"/>
                <w:szCs w:val="18"/>
              </w:rPr>
            </w:pPr>
            <w:r w:rsidRPr="00CF5A42">
              <w:rPr>
                <w:rFonts w:ascii="Calibri" w:hAnsi="Calibri"/>
                <w:sz w:val="18"/>
                <w:szCs w:val="18"/>
              </w:rPr>
              <w:sym w:font="Symbol" w:char="F0A3"/>
            </w:r>
            <w:r w:rsidRPr="00CF5A42">
              <w:rPr>
                <w:rFonts w:ascii="Calibri" w:hAnsi="Calibri"/>
                <w:sz w:val="18"/>
                <w:szCs w:val="18"/>
              </w:rPr>
              <w:t xml:space="preserve"> 0,02</w:t>
            </w:r>
          </w:p>
          <w:p w:rsidR="001F3A98" w:rsidRPr="00CF5A42" w:rsidRDefault="001F3A98" w:rsidP="00FD47C7">
            <w:pPr>
              <w:jc w:val="center"/>
              <w:rPr>
                <w:rFonts w:ascii="Calibri" w:hAnsi="Calibri"/>
                <w:sz w:val="18"/>
                <w:szCs w:val="18"/>
              </w:rPr>
            </w:pPr>
            <w:r w:rsidRPr="00CF5A42">
              <w:rPr>
                <w:rFonts w:ascii="Calibri" w:hAnsi="Calibri"/>
                <w:sz w:val="18"/>
                <w:szCs w:val="18"/>
              </w:rPr>
              <w:sym w:font="Symbol" w:char="F0A3"/>
            </w:r>
            <w:r w:rsidRPr="00CF5A42">
              <w:rPr>
                <w:rFonts w:ascii="Calibri" w:hAnsi="Calibri"/>
                <w:sz w:val="18"/>
                <w:szCs w:val="18"/>
              </w:rPr>
              <w:t xml:space="preserve"> 0,11</w:t>
            </w:r>
          </w:p>
          <w:p w:rsidR="001F3A98" w:rsidRPr="00CF5A42" w:rsidRDefault="001F3A98" w:rsidP="00FD47C7">
            <w:pPr>
              <w:jc w:val="center"/>
              <w:rPr>
                <w:rFonts w:ascii="Calibri" w:hAnsi="Calibri"/>
                <w:sz w:val="18"/>
                <w:szCs w:val="18"/>
              </w:rPr>
            </w:pPr>
            <w:r w:rsidRPr="00CF5A42">
              <w:rPr>
                <w:rFonts w:ascii="Calibri" w:hAnsi="Calibri"/>
                <w:sz w:val="18"/>
                <w:szCs w:val="18"/>
              </w:rPr>
              <w:sym w:font="Symbol" w:char="F0A3"/>
            </w:r>
            <w:r w:rsidRPr="00CF5A42">
              <w:rPr>
                <w:rFonts w:ascii="Calibri" w:hAnsi="Calibri"/>
                <w:sz w:val="18"/>
                <w:szCs w:val="18"/>
              </w:rPr>
              <w:t xml:space="preserve"> 0,57</w:t>
            </w:r>
          </w:p>
          <w:p w:rsidR="001F3A98" w:rsidRPr="00CF5A42" w:rsidRDefault="001F3A98" w:rsidP="00FD47C7">
            <w:pPr>
              <w:jc w:val="center"/>
              <w:rPr>
                <w:rFonts w:ascii="Calibri" w:hAnsi="Calibri"/>
                <w:sz w:val="18"/>
                <w:szCs w:val="18"/>
                <w:highlight w:val="green"/>
              </w:rPr>
            </w:pPr>
            <w:r w:rsidRPr="00CF5A42">
              <w:rPr>
                <w:rFonts w:ascii="Calibri" w:hAnsi="Calibri"/>
                <w:sz w:val="18"/>
                <w:szCs w:val="18"/>
              </w:rPr>
              <w:sym w:font="Symbol" w:char="F0A3"/>
            </w:r>
            <w:r w:rsidRPr="00CF5A42">
              <w:rPr>
                <w:rFonts w:ascii="Calibri" w:hAnsi="Calibri"/>
                <w:sz w:val="18"/>
                <w:szCs w:val="18"/>
              </w:rPr>
              <w:t xml:space="preserve"> 1,15</w:t>
            </w:r>
          </w:p>
        </w:tc>
        <w:tc>
          <w:tcPr>
            <w:tcW w:w="1933" w:type="dxa"/>
            <w:tcBorders>
              <w:top w:val="single" w:sz="6" w:space="0" w:color="auto"/>
              <w:left w:val="single" w:sz="6" w:space="0" w:color="auto"/>
              <w:bottom w:val="single" w:sz="6" w:space="0" w:color="auto"/>
              <w:right w:val="single" w:sz="6" w:space="0" w:color="auto"/>
            </w:tcBorders>
          </w:tcPr>
          <w:p w:rsidR="001F3A98" w:rsidRPr="00CF5A42" w:rsidRDefault="001F3A98" w:rsidP="00FD47C7">
            <w:pPr>
              <w:jc w:val="center"/>
              <w:rPr>
                <w:rFonts w:ascii="Calibri" w:hAnsi="Calibri"/>
                <w:sz w:val="18"/>
                <w:szCs w:val="18"/>
              </w:rPr>
            </w:pPr>
            <w:r w:rsidRPr="00CF5A42">
              <w:rPr>
                <w:rFonts w:ascii="Calibri" w:hAnsi="Calibri"/>
                <w:sz w:val="18"/>
                <w:szCs w:val="18"/>
              </w:rPr>
              <w:t>TDT1</w:t>
            </w:r>
          </w:p>
          <w:p w:rsidR="001F3A98" w:rsidRPr="00CF5A42" w:rsidRDefault="001F3A98" w:rsidP="00FD47C7">
            <w:pPr>
              <w:jc w:val="center"/>
              <w:rPr>
                <w:rFonts w:ascii="Calibri" w:hAnsi="Calibri"/>
                <w:sz w:val="18"/>
                <w:szCs w:val="18"/>
              </w:rPr>
            </w:pPr>
            <w:r w:rsidRPr="00CF5A42">
              <w:rPr>
                <w:rFonts w:ascii="Calibri" w:hAnsi="Calibri"/>
                <w:sz w:val="18"/>
                <w:szCs w:val="18"/>
              </w:rPr>
              <w:t>TDT3</w:t>
            </w:r>
          </w:p>
          <w:p w:rsidR="001F3A98" w:rsidRPr="00CF5A42" w:rsidRDefault="001F3A98" w:rsidP="00FD47C7">
            <w:pPr>
              <w:jc w:val="center"/>
              <w:rPr>
                <w:rFonts w:ascii="Calibri" w:hAnsi="Calibri"/>
                <w:sz w:val="18"/>
                <w:szCs w:val="18"/>
              </w:rPr>
            </w:pPr>
            <w:r w:rsidRPr="00CF5A42">
              <w:rPr>
                <w:rFonts w:ascii="Calibri" w:hAnsi="Calibri"/>
                <w:sz w:val="18"/>
                <w:szCs w:val="18"/>
              </w:rPr>
              <w:t>TDT5</w:t>
            </w:r>
          </w:p>
          <w:p w:rsidR="001F3A98" w:rsidRPr="00CF5A42" w:rsidRDefault="001F3A98" w:rsidP="00FD47C7">
            <w:pPr>
              <w:jc w:val="center"/>
              <w:rPr>
                <w:rFonts w:ascii="Calibri" w:hAnsi="Calibri"/>
                <w:sz w:val="18"/>
                <w:szCs w:val="18"/>
                <w:highlight w:val="green"/>
              </w:rPr>
            </w:pPr>
            <w:r w:rsidRPr="00CF5A42">
              <w:rPr>
                <w:rFonts w:ascii="Calibri" w:hAnsi="Calibri"/>
                <w:sz w:val="18"/>
                <w:szCs w:val="18"/>
              </w:rPr>
              <w:t>TDT6*</w:t>
            </w:r>
          </w:p>
        </w:tc>
      </w:tr>
      <w:tr w:rsidR="001F3A98" w:rsidRPr="00CF5A42" w:rsidTr="006456E2">
        <w:trPr>
          <w:jc w:val="center"/>
        </w:trPr>
        <w:tc>
          <w:tcPr>
            <w:tcW w:w="2026" w:type="dxa"/>
            <w:tcBorders>
              <w:top w:val="single" w:sz="6" w:space="0" w:color="auto"/>
              <w:left w:val="single" w:sz="6" w:space="0" w:color="auto"/>
              <w:bottom w:val="single" w:sz="6" w:space="0" w:color="auto"/>
              <w:right w:val="single" w:sz="6" w:space="0" w:color="auto"/>
            </w:tcBorders>
          </w:tcPr>
          <w:p w:rsidR="001F3A98" w:rsidRPr="00CF5A42" w:rsidRDefault="001F3A98" w:rsidP="00FD47C7">
            <w:pPr>
              <w:jc w:val="center"/>
              <w:rPr>
                <w:rFonts w:ascii="Calibri" w:hAnsi="Calibri"/>
                <w:sz w:val="18"/>
                <w:szCs w:val="18"/>
              </w:rPr>
            </w:pPr>
            <w:r w:rsidRPr="00CF5A42">
              <w:rPr>
                <w:rFonts w:ascii="Calibri" w:hAnsi="Calibri"/>
                <w:sz w:val="18"/>
                <w:szCs w:val="18"/>
              </w:rPr>
              <w:t>Odkształcenie trwałe</w:t>
            </w:r>
          </w:p>
        </w:tc>
        <w:tc>
          <w:tcPr>
            <w:tcW w:w="1558" w:type="dxa"/>
            <w:tcBorders>
              <w:top w:val="single" w:sz="6" w:space="0" w:color="auto"/>
              <w:left w:val="single" w:sz="6" w:space="0" w:color="auto"/>
              <w:bottom w:val="single" w:sz="6" w:space="0" w:color="auto"/>
              <w:right w:val="single" w:sz="6" w:space="0" w:color="auto"/>
            </w:tcBorders>
          </w:tcPr>
          <w:p w:rsidR="001F3A98" w:rsidRPr="00CF5A42" w:rsidRDefault="001F3A98" w:rsidP="00FD47C7">
            <w:pPr>
              <w:jc w:val="center"/>
              <w:rPr>
                <w:rFonts w:ascii="Calibri" w:hAnsi="Calibri"/>
                <w:sz w:val="18"/>
                <w:szCs w:val="18"/>
              </w:rPr>
            </w:pPr>
            <w:r w:rsidRPr="00CF5A42">
              <w:rPr>
                <w:rFonts w:ascii="Calibri" w:hAnsi="Calibri"/>
                <w:sz w:val="18"/>
                <w:szCs w:val="18"/>
              </w:rPr>
              <w:t xml:space="preserve">mm/m  lub stopień </w:t>
            </w:r>
            <w:r w:rsidRPr="00CF5A42">
              <w:rPr>
                <w:rFonts w:ascii="Calibri" w:hAnsi="Calibri"/>
                <w:sz w:val="18"/>
                <w:szCs w:val="18"/>
              </w:rPr>
              <w:sym w:font="Symbol" w:char="F0D7"/>
            </w:r>
            <w:r w:rsidRPr="00CF5A42">
              <w:rPr>
                <w:rFonts w:ascii="Calibri" w:hAnsi="Calibri"/>
                <w:sz w:val="18"/>
                <w:szCs w:val="18"/>
              </w:rPr>
              <w:t xml:space="preserve"> m</w:t>
            </w:r>
          </w:p>
        </w:tc>
        <w:tc>
          <w:tcPr>
            <w:tcW w:w="3170" w:type="dxa"/>
            <w:tcBorders>
              <w:top w:val="single" w:sz="6" w:space="0" w:color="auto"/>
              <w:left w:val="single" w:sz="6" w:space="0" w:color="auto"/>
              <w:bottom w:val="single" w:sz="6" w:space="0" w:color="auto"/>
              <w:right w:val="single" w:sz="6" w:space="0" w:color="auto"/>
            </w:tcBorders>
          </w:tcPr>
          <w:p w:rsidR="001F3A98" w:rsidRPr="00CF5A42" w:rsidRDefault="001F3A98" w:rsidP="00FD47C7">
            <w:pPr>
              <w:jc w:val="center"/>
              <w:rPr>
                <w:rFonts w:ascii="Calibri" w:hAnsi="Calibri"/>
                <w:sz w:val="18"/>
                <w:szCs w:val="18"/>
              </w:rPr>
            </w:pPr>
            <w:r w:rsidRPr="00CF5A42">
              <w:rPr>
                <w:rFonts w:ascii="Calibri" w:hAnsi="Calibri"/>
                <w:sz w:val="18"/>
                <w:szCs w:val="18"/>
              </w:rPr>
              <w:t>20 % odkształcenia chwilowego</w:t>
            </w:r>
          </w:p>
        </w:tc>
        <w:tc>
          <w:tcPr>
            <w:tcW w:w="1933" w:type="dxa"/>
            <w:tcBorders>
              <w:top w:val="single" w:sz="6" w:space="0" w:color="auto"/>
              <w:left w:val="single" w:sz="6" w:space="0" w:color="auto"/>
              <w:bottom w:val="single" w:sz="6" w:space="0" w:color="auto"/>
              <w:right w:val="single" w:sz="6" w:space="0" w:color="auto"/>
            </w:tcBorders>
          </w:tcPr>
          <w:p w:rsidR="001F3A98" w:rsidRPr="00CF5A42" w:rsidRDefault="001F3A98" w:rsidP="00FD47C7">
            <w:pPr>
              <w:jc w:val="center"/>
              <w:rPr>
                <w:rFonts w:ascii="Calibri" w:hAnsi="Calibri"/>
                <w:sz w:val="18"/>
                <w:szCs w:val="18"/>
              </w:rPr>
            </w:pPr>
            <w:r w:rsidRPr="00CF5A42">
              <w:rPr>
                <w:rFonts w:ascii="Calibri" w:hAnsi="Calibri"/>
                <w:sz w:val="18"/>
                <w:szCs w:val="18"/>
              </w:rPr>
              <w:t>-</w:t>
            </w:r>
          </w:p>
        </w:tc>
      </w:tr>
      <w:tr w:rsidR="001F3A98" w:rsidRPr="00CF5A42" w:rsidTr="006456E2">
        <w:trPr>
          <w:jc w:val="center"/>
        </w:trPr>
        <w:tc>
          <w:tcPr>
            <w:tcW w:w="2026" w:type="dxa"/>
            <w:tcBorders>
              <w:top w:val="single" w:sz="6" w:space="0" w:color="auto"/>
              <w:left w:val="single" w:sz="6" w:space="0" w:color="auto"/>
              <w:bottom w:val="single" w:sz="6" w:space="0" w:color="auto"/>
              <w:right w:val="single" w:sz="6" w:space="0" w:color="auto"/>
            </w:tcBorders>
          </w:tcPr>
          <w:p w:rsidR="001F3A98" w:rsidRPr="00CF5A42" w:rsidRDefault="001F3A98" w:rsidP="00FD47C7">
            <w:pPr>
              <w:jc w:val="center"/>
              <w:rPr>
                <w:rFonts w:ascii="Calibri" w:hAnsi="Calibri"/>
                <w:sz w:val="18"/>
                <w:szCs w:val="18"/>
              </w:rPr>
            </w:pPr>
            <w:r w:rsidRPr="00CF5A42">
              <w:rPr>
                <w:rFonts w:ascii="Calibri" w:hAnsi="Calibri"/>
                <w:sz w:val="18"/>
                <w:szCs w:val="18"/>
              </w:rPr>
              <w:t>Rodzaj krawędzi znaku</w:t>
            </w:r>
          </w:p>
        </w:tc>
        <w:tc>
          <w:tcPr>
            <w:tcW w:w="1558" w:type="dxa"/>
            <w:tcBorders>
              <w:top w:val="single" w:sz="6" w:space="0" w:color="auto"/>
              <w:left w:val="single" w:sz="6" w:space="0" w:color="auto"/>
              <w:bottom w:val="single" w:sz="6" w:space="0" w:color="auto"/>
              <w:right w:val="single" w:sz="6" w:space="0" w:color="auto"/>
            </w:tcBorders>
          </w:tcPr>
          <w:p w:rsidR="001F3A98" w:rsidRPr="00CF5A42" w:rsidRDefault="001F3A98" w:rsidP="00FD47C7">
            <w:pPr>
              <w:jc w:val="center"/>
              <w:rPr>
                <w:rFonts w:ascii="Calibri" w:hAnsi="Calibri"/>
                <w:sz w:val="18"/>
                <w:szCs w:val="18"/>
              </w:rPr>
            </w:pPr>
            <w:r w:rsidRPr="00CF5A42">
              <w:rPr>
                <w:rFonts w:ascii="Calibri" w:hAnsi="Calibri"/>
                <w:sz w:val="18"/>
                <w:szCs w:val="18"/>
              </w:rPr>
              <w:t>-</w:t>
            </w:r>
          </w:p>
        </w:tc>
        <w:tc>
          <w:tcPr>
            <w:tcW w:w="3170" w:type="dxa"/>
            <w:tcBorders>
              <w:top w:val="single" w:sz="6" w:space="0" w:color="auto"/>
              <w:left w:val="single" w:sz="6" w:space="0" w:color="auto"/>
              <w:bottom w:val="single" w:sz="6" w:space="0" w:color="auto"/>
              <w:right w:val="single" w:sz="6" w:space="0" w:color="auto"/>
            </w:tcBorders>
          </w:tcPr>
          <w:p w:rsidR="001F3A98" w:rsidRPr="00CF5A42" w:rsidRDefault="001F3A98" w:rsidP="00FD47C7">
            <w:pPr>
              <w:jc w:val="center"/>
              <w:rPr>
                <w:rFonts w:ascii="Calibri" w:hAnsi="Calibri"/>
                <w:sz w:val="18"/>
                <w:szCs w:val="18"/>
                <w:highlight w:val="green"/>
              </w:rPr>
            </w:pPr>
            <w:r w:rsidRPr="00CF5A42">
              <w:rPr>
                <w:rFonts w:ascii="Calibri" w:hAnsi="Calibri"/>
                <w:sz w:val="18"/>
                <w:szCs w:val="18"/>
              </w:rPr>
              <w:t>Zabezpieczona, krawędź tłoczona, zaginana, prasowana lub zabezpieczona profilem krawędziowym</w:t>
            </w:r>
          </w:p>
        </w:tc>
        <w:tc>
          <w:tcPr>
            <w:tcW w:w="1933" w:type="dxa"/>
            <w:tcBorders>
              <w:top w:val="single" w:sz="6" w:space="0" w:color="auto"/>
              <w:left w:val="single" w:sz="6" w:space="0" w:color="auto"/>
              <w:bottom w:val="single" w:sz="6" w:space="0" w:color="auto"/>
              <w:right w:val="single" w:sz="6" w:space="0" w:color="auto"/>
            </w:tcBorders>
          </w:tcPr>
          <w:p w:rsidR="001F3A98" w:rsidRPr="00CF5A42" w:rsidRDefault="001F3A98" w:rsidP="00FD47C7">
            <w:pPr>
              <w:jc w:val="center"/>
              <w:rPr>
                <w:rFonts w:ascii="Calibri" w:hAnsi="Calibri"/>
                <w:sz w:val="18"/>
                <w:szCs w:val="18"/>
              </w:rPr>
            </w:pPr>
            <w:r w:rsidRPr="00CF5A42">
              <w:rPr>
                <w:rFonts w:ascii="Calibri" w:hAnsi="Calibri"/>
                <w:sz w:val="18"/>
                <w:szCs w:val="18"/>
              </w:rPr>
              <w:t>E2</w:t>
            </w:r>
          </w:p>
        </w:tc>
      </w:tr>
      <w:tr w:rsidR="001F3A98" w:rsidRPr="00CF5A42" w:rsidTr="006456E2">
        <w:trPr>
          <w:jc w:val="center"/>
        </w:trPr>
        <w:tc>
          <w:tcPr>
            <w:tcW w:w="2026" w:type="dxa"/>
            <w:tcBorders>
              <w:top w:val="single" w:sz="6" w:space="0" w:color="auto"/>
              <w:left w:val="single" w:sz="6" w:space="0" w:color="auto"/>
              <w:bottom w:val="single" w:sz="6" w:space="0" w:color="auto"/>
              <w:right w:val="single" w:sz="6" w:space="0" w:color="auto"/>
            </w:tcBorders>
          </w:tcPr>
          <w:p w:rsidR="001F3A98" w:rsidRPr="00CF5A42" w:rsidRDefault="001F3A98" w:rsidP="00FD47C7">
            <w:pPr>
              <w:jc w:val="center"/>
              <w:rPr>
                <w:rFonts w:ascii="Calibri" w:hAnsi="Calibri"/>
                <w:sz w:val="18"/>
                <w:szCs w:val="18"/>
                <w:highlight w:val="green"/>
              </w:rPr>
            </w:pPr>
            <w:r w:rsidRPr="00CF5A42">
              <w:rPr>
                <w:rFonts w:ascii="Calibri" w:hAnsi="Calibri"/>
                <w:sz w:val="18"/>
                <w:szCs w:val="18"/>
              </w:rPr>
              <w:t>Przewiercanie lica znaku</w:t>
            </w:r>
          </w:p>
        </w:tc>
        <w:tc>
          <w:tcPr>
            <w:tcW w:w="1558" w:type="dxa"/>
            <w:tcBorders>
              <w:top w:val="single" w:sz="6" w:space="0" w:color="auto"/>
              <w:left w:val="single" w:sz="6" w:space="0" w:color="auto"/>
              <w:bottom w:val="single" w:sz="6" w:space="0" w:color="auto"/>
              <w:right w:val="single" w:sz="6" w:space="0" w:color="auto"/>
            </w:tcBorders>
          </w:tcPr>
          <w:p w:rsidR="001F3A98" w:rsidRPr="00CF5A42" w:rsidRDefault="001F3A98" w:rsidP="00FD47C7">
            <w:pPr>
              <w:jc w:val="center"/>
              <w:rPr>
                <w:rFonts w:ascii="Calibri" w:hAnsi="Calibri"/>
                <w:sz w:val="18"/>
                <w:szCs w:val="18"/>
              </w:rPr>
            </w:pPr>
            <w:r w:rsidRPr="00CF5A42">
              <w:rPr>
                <w:rFonts w:ascii="Calibri" w:hAnsi="Calibri"/>
                <w:sz w:val="18"/>
                <w:szCs w:val="18"/>
              </w:rPr>
              <w:t>-</w:t>
            </w:r>
          </w:p>
        </w:tc>
        <w:tc>
          <w:tcPr>
            <w:tcW w:w="3170" w:type="dxa"/>
            <w:tcBorders>
              <w:top w:val="single" w:sz="6" w:space="0" w:color="auto"/>
              <w:left w:val="single" w:sz="6" w:space="0" w:color="auto"/>
              <w:bottom w:val="single" w:sz="6" w:space="0" w:color="auto"/>
              <w:right w:val="single" w:sz="6" w:space="0" w:color="auto"/>
            </w:tcBorders>
          </w:tcPr>
          <w:p w:rsidR="001F3A98" w:rsidRPr="00CF5A42" w:rsidRDefault="001F3A98" w:rsidP="00FD47C7">
            <w:pPr>
              <w:jc w:val="center"/>
              <w:rPr>
                <w:rFonts w:ascii="Calibri" w:hAnsi="Calibri"/>
                <w:sz w:val="18"/>
                <w:szCs w:val="18"/>
                <w:highlight w:val="green"/>
              </w:rPr>
            </w:pPr>
            <w:r w:rsidRPr="00CF5A42">
              <w:rPr>
                <w:rFonts w:ascii="Calibri" w:hAnsi="Calibri"/>
                <w:sz w:val="18"/>
                <w:szCs w:val="18"/>
              </w:rPr>
              <w:t>Lico znaku nie może być przewiercone z żadnego powodu</w:t>
            </w:r>
          </w:p>
        </w:tc>
        <w:tc>
          <w:tcPr>
            <w:tcW w:w="1933" w:type="dxa"/>
            <w:tcBorders>
              <w:top w:val="single" w:sz="6" w:space="0" w:color="auto"/>
              <w:left w:val="single" w:sz="6" w:space="0" w:color="auto"/>
              <w:bottom w:val="single" w:sz="6" w:space="0" w:color="auto"/>
              <w:right w:val="single" w:sz="6" w:space="0" w:color="auto"/>
            </w:tcBorders>
          </w:tcPr>
          <w:p w:rsidR="001F3A98" w:rsidRPr="00CF5A42" w:rsidRDefault="001F3A98" w:rsidP="00FD47C7">
            <w:pPr>
              <w:jc w:val="center"/>
              <w:rPr>
                <w:rFonts w:ascii="Calibri" w:hAnsi="Calibri"/>
                <w:sz w:val="18"/>
                <w:szCs w:val="18"/>
                <w:highlight w:val="green"/>
              </w:rPr>
            </w:pPr>
            <w:r w:rsidRPr="00CF5A42">
              <w:rPr>
                <w:rFonts w:ascii="Calibri" w:hAnsi="Calibri"/>
                <w:sz w:val="18"/>
                <w:szCs w:val="18"/>
              </w:rPr>
              <w:t>P3</w:t>
            </w:r>
          </w:p>
        </w:tc>
      </w:tr>
    </w:tbl>
    <w:p w:rsidR="001F3A98" w:rsidRPr="00CF5A42" w:rsidRDefault="001F3A98" w:rsidP="006456E2">
      <w:pPr>
        <w:ind w:left="709" w:hanging="425"/>
        <w:rPr>
          <w:rFonts w:ascii="Calibri" w:hAnsi="Calibri"/>
          <w:i/>
        </w:rPr>
      </w:pPr>
      <w:r w:rsidRPr="00CF5A42">
        <w:rPr>
          <w:rFonts w:ascii="Calibri" w:hAnsi="Calibri"/>
          <w:i/>
        </w:rPr>
        <w:t>* klasę TDT3 stosuje się dla tablic na 2 lub więcej podporach, klasę TDT 5 dla tablic na jednej podporze, klasę TDT1 dla tablic na konstrukcjach bramowych, klasę TDT6 dla tablic na konstrukcjach wysięgnikowych</w:t>
      </w:r>
    </w:p>
    <w:p w:rsidR="001F3A98" w:rsidRPr="00CF5A42" w:rsidRDefault="001F3A98" w:rsidP="001F3A98">
      <w:pPr>
        <w:rPr>
          <w:rFonts w:ascii="Calibri" w:hAnsi="Calibri"/>
        </w:rPr>
      </w:pPr>
    </w:p>
    <w:p w:rsidR="001F3A98" w:rsidRPr="00CF5A42" w:rsidRDefault="001F3A98" w:rsidP="001F3A98">
      <w:pPr>
        <w:rPr>
          <w:rFonts w:ascii="Calibri" w:hAnsi="Calibri"/>
        </w:rPr>
      </w:pPr>
      <w:r w:rsidRPr="00CF5A42">
        <w:rPr>
          <w:rFonts w:ascii="Calibri" w:hAnsi="Calibri"/>
        </w:rPr>
        <w:lastRenderedPageBreak/>
        <w:t>Przyjęto zgodnie z tablicą 1, że przy sile naporu wiatru równej 0,6 kN (klasa WL2), chwilowe odkształcenie zginające, zarówno znak, jak i samą tarczę znaku nie może być większe niż 25 mm/m (klasa TDB4).</w:t>
      </w:r>
    </w:p>
    <w:p w:rsidR="001F3A98" w:rsidRPr="00CF5A42" w:rsidRDefault="001F3A98" w:rsidP="001F3A98">
      <w:pPr>
        <w:rPr>
          <w:rFonts w:ascii="Calibri" w:hAnsi="Calibri"/>
        </w:rPr>
      </w:pPr>
      <w:r w:rsidRPr="00CF5A42">
        <w:rPr>
          <w:rFonts w:ascii="Calibri" w:hAnsi="Calibri"/>
          <w:b/>
        </w:rPr>
        <w:t>2.5.4.</w:t>
      </w:r>
      <w:r w:rsidRPr="00CF5A42">
        <w:rPr>
          <w:rFonts w:ascii="Calibri" w:hAnsi="Calibri"/>
        </w:rPr>
        <w:t xml:space="preserve"> Warunki wykonania tarczy znaku</w:t>
      </w:r>
    </w:p>
    <w:p w:rsidR="001F3A98" w:rsidRPr="00CF5A42" w:rsidRDefault="001F3A98" w:rsidP="001F3A98">
      <w:pPr>
        <w:rPr>
          <w:rFonts w:ascii="Calibri" w:hAnsi="Calibri"/>
        </w:rPr>
      </w:pPr>
      <w:r w:rsidRPr="00CF5A42">
        <w:rPr>
          <w:rFonts w:ascii="Calibri" w:hAnsi="Calibri"/>
        </w:rPr>
        <w:t>Tarcze znaków powinny spełniać także następujące wymagania:</w:t>
      </w:r>
    </w:p>
    <w:p w:rsidR="001F3A98" w:rsidRPr="00CF5A42" w:rsidRDefault="001F3A98" w:rsidP="001F3A98">
      <w:pPr>
        <w:rPr>
          <w:rFonts w:ascii="Calibri" w:hAnsi="Calibri"/>
        </w:rPr>
      </w:pPr>
      <w:r>
        <w:rPr>
          <w:rFonts w:ascii="Calibri" w:hAnsi="Calibri"/>
        </w:rPr>
        <w:t>-</w:t>
      </w:r>
      <w:r w:rsidRPr="00CF5A42">
        <w:rPr>
          <w:rFonts w:ascii="Calibri" w:hAnsi="Calibri"/>
        </w:rPr>
        <w:t xml:space="preserve">krawędzie tarczy  znaku powinny być usztywnione na całym obwodzie poprzez ich podwójne gięcie o promieniu gięcia nie większym niż </w:t>
      </w:r>
      <w:smartTag w:uri="urn:schemas-microsoft-com:office:smarttags" w:element="metricconverter">
        <w:smartTagPr>
          <w:attr w:name="ProductID" w:val="10 mm"/>
        </w:smartTagPr>
        <w:r w:rsidRPr="00CF5A42">
          <w:rPr>
            <w:rFonts w:ascii="Calibri" w:hAnsi="Calibri"/>
          </w:rPr>
          <w:t>10 mm</w:t>
        </w:r>
      </w:smartTag>
      <w:r w:rsidRPr="00CF5A42">
        <w:rPr>
          <w:rFonts w:ascii="Calibri" w:hAnsi="Calibri"/>
        </w:rPr>
        <w:t xml:space="preserve"> włącznie z narożnikami lub przez zamocowanie odpowiedniego profilu na całym obwodzie znaku, </w:t>
      </w:r>
    </w:p>
    <w:p w:rsidR="001F3A98" w:rsidRPr="00CF5A42" w:rsidRDefault="001F3A98" w:rsidP="001F3A98">
      <w:pPr>
        <w:rPr>
          <w:rFonts w:ascii="Calibri" w:hAnsi="Calibri"/>
        </w:rPr>
      </w:pPr>
      <w:r>
        <w:rPr>
          <w:rFonts w:ascii="Calibri" w:hAnsi="Calibri"/>
        </w:rPr>
        <w:t>-</w:t>
      </w:r>
      <w:r w:rsidRPr="00CF5A42">
        <w:rPr>
          <w:rFonts w:ascii="Calibri" w:hAnsi="Calibri"/>
        </w:rPr>
        <w:t>powierzchnia czołowa tarczy znaku powinna być równa – bez wgięć, pofałdowań i otworów montażowych. Dopuszczalna nierówność wynosi 1 mm/m,</w:t>
      </w:r>
    </w:p>
    <w:p w:rsidR="001F3A98" w:rsidRPr="00CF5A42" w:rsidRDefault="001F3A98" w:rsidP="001F3A98">
      <w:pPr>
        <w:rPr>
          <w:rFonts w:ascii="Calibri" w:hAnsi="Calibri"/>
        </w:rPr>
      </w:pPr>
      <w:r>
        <w:rPr>
          <w:rFonts w:ascii="Calibri" w:hAnsi="Calibri"/>
        </w:rPr>
        <w:t>-</w:t>
      </w:r>
      <w:r w:rsidRPr="00CF5A42">
        <w:rPr>
          <w:rFonts w:ascii="Calibri" w:hAnsi="Calibri"/>
        </w:rPr>
        <w:t>podwójna gięta krawędź  lub przymocowane do tylnej powierzchni  profile montażowe powinny  usztywnić  tarczę znaku  w taki sposób, aby wymagania podane w tablicy 1 były spełnione a zarazem stanowiły element konstrukcyjny do montażu  do konstrukcji wsporczej. Dopuszcza się maksymalne odkształcenie trwałe do 20 % odkształcenia odpowiedniej klasy na zginanie i skręcanie,</w:t>
      </w:r>
    </w:p>
    <w:p w:rsidR="001F3A98" w:rsidRPr="00CF5A42" w:rsidRDefault="001F3A98" w:rsidP="001F3A98">
      <w:pPr>
        <w:rPr>
          <w:rFonts w:ascii="Calibri" w:hAnsi="Calibri"/>
        </w:rPr>
      </w:pPr>
      <w:r>
        <w:rPr>
          <w:rFonts w:ascii="Calibri" w:hAnsi="Calibri"/>
        </w:rPr>
        <w:t>-</w:t>
      </w:r>
      <w:r w:rsidRPr="00CF5A42">
        <w:rPr>
          <w:rFonts w:ascii="Calibri" w:hAnsi="Calibri"/>
        </w:rPr>
        <w:t xml:space="preserve">tylna powierzchnia tarczy powinna być zabezpieczona przed procesami korozji ochronnymi powłokami chemicznymi oraz powłoką lakierniczą o grubości min. 60 µm z proszkowych farb poliestrowych ciemnoszarych matowych lub półmatowych w kolorze RAL 7037; badania należy wykonywać zgodnie z PN-88/C-81523 oraz PN-76/C-81521 w zakresie odporności na działanie mgły solnej oraz wody.  </w:t>
      </w:r>
    </w:p>
    <w:p w:rsidR="001F3A98" w:rsidRPr="00CF5A42" w:rsidRDefault="001F3A98" w:rsidP="001F3A98">
      <w:pPr>
        <w:rPr>
          <w:rFonts w:ascii="Calibri" w:hAnsi="Calibri"/>
        </w:rPr>
      </w:pPr>
      <w:r w:rsidRPr="00CF5A42">
        <w:rPr>
          <w:rFonts w:ascii="Calibri" w:hAnsi="Calibri"/>
        </w:rPr>
        <w:t xml:space="preserve">Tarcze znaków i tablic o powierzchni  &gt; </w:t>
      </w:r>
      <w:smartTag w:uri="urn:schemas-microsoft-com:office:smarttags" w:element="metricconverter">
        <w:smartTagPr>
          <w:attr w:name="ProductID" w:val="1 m2"/>
        </w:smartTagPr>
        <w:r w:rsidRPr="00CF5A42">
          <w:rPr>
            <w:rFonts w:ascii="Calibri" w:hAnsi="Calibri"/>
          </w:rPr>
          <w:t>1 m2</w:t>
        </w:r>
      </w:smartTag>
      <w:r w:rsidRPr="00CF5A42">
        <w:rPr>
          <w:rFonts w:ascii="Calibri" w:hAnsi="Calibri"/>
        </w:rPr>
        <w:t xml:space="preserve"> powinny spełniać dodatkowo następujące wymagania:</w:t>
      </w:r>
    </w:p>
    <w:p w:rsidR="001F3A98" w:rsidRPr="00CF5A42" w:rsidRDefault="001F3A98" w:rsidP="001F3A98">
      <w:pPr>
        <w:rPr>
          <w:rFonts w:ascii="Calibri" w:hAnsi="Calibri"/>
        </w:rPr>
      </w:pPr>
      <w:r>
        <w:rPr>
          <w:rFonts w:ascii="Calibri" w:hAnsi="Calibri"/>
        </w:rPr>
        <w:t>-</w:t>
      </w:r>
      <w:r w:rsidRPr="00CF5A42">
        <w:rPr>
          <w:rFonts w:ascii="Calibri" w:hAnsi="Calibri"/>
        </w:rPr>
        <w:t xml:space="preserve">narożniki znaku i tablicy powinny być zaokrąglone, o promieniu zgodnym z wymaganiami określonymi w załączniku nr 1 do rozporządzenia Ministra Infrastruktury z dnia 3 lipca 2003 r.  nie mniejszym jednak niż </w:t>
      </w:r>
      <w:smartTag w:uri="urn:schemas-microsoft-com:office:smarttags" w:element="metricconverter">
        <w:smartTagPr>
          <w:attr w:name="ProductID" w:val="30 mm"/>
        </w:smartTagPr>
        <w:r w:rsidRPr="00CF5A42">
          <w:rPr>
            <w:rFonts w:ascii="Calibri" w:hAnsi="Calibri"/>
          </w:rPr>
          <w:t>30 mm</w:t>
        </w:r>
      </w:smartTag>
      <w:r w:rsidRPr="00CF5A42">
        <w:rPr>
          <w:rFonts w:ascii="Calibri" w:hAnsi="Calibri"/>
        </w:rPr>
        <w:t>, gdy wielkości tego promienia nie wskazano,</w:t>
      </w:r>
    </w:p>
    <w:p w:rsidR="001F3A98" w:rsidRPr="00CF5A42" w:rsidRDefault="001F3A98" w:rsidP="001F3A98">
      <w:pPr>
        <w:rPr>
          <w:rFonts w:ascii="Calibri" w:hAnsi="Calibri"/>
        </w:rPr>
      </w:pPr>
      <w:r>
        <w:rPr>
          <w:rFonts w:ascii="Calibri" w:hAnsi="Calibri"/>
        </w:rPr>
        <w:t>-</w:t>
      </w:r>
      <w:r w:rsidRPr="00CF5A42">
        <w:rPr>
          <w:rFonts w:ascii="Calibri" w:hAnsi="Calibri"/>
        </w:rPr>
        <w:t xml:space="preserve">łączenie poszczególnych segmentów tarczy (dla znaków wielkogabarytowych) wzdłuż poziomej lub pionowej krawędzi  powinno być wykonane w taki sposób, aby nie występowały przesunięcia i prześwity w miejscach ich łączenia. </w:t>
      </w:r>
    </w:p>
    <w:p w:rsidR="001F3A98" w:rsidRPr="00CF5A42" w:rsidRDefault="001F3A98" w:rsidP="001F3A98">
      <w:pPr>
        <w:rPr>
          <w:rFonts w:ascii="Calibri" w:hAnsi="Calibri"/>
        </w:rPr>
      </w:pPr>
      <w:r w:rsidRPr="00CF5A42">
        <w:rPr>
          <w:rFonts w:ascii="Calibri" w:hAnsi="Calibri"/>
          <w:b/>
        </w:rPr>
        <w:t>2.6.</w:t>
      </w:r>
      <w:r w:rsidRPr="00CF5A42">
        <w:rPr>
          <w:rFonts w:ascii="Calibri" w:hAnsi="Calibri"/>
        </w:rPr>
        <w:t xml:space="preserve"> Znaki odblaskowe</w:t>
      </w:r>
    </w:p>
    <w:p w:rsidR="001F3A98" w:rsidRPr="00CF5A42" w:rsidRDefault="001F3A98" w:rsidP="001F3A98">
      <w:pPr>
        <w:rPr>
          <w:rFonts w:ascii="Calibri" w:hAnsi="Calibri"/>
        </w:rPr>
      </w:pPr>
      <w:r w:rsidRPr="00CF5A42">
        <w:rPr>
          <w:rFonts w:ascii="Calibri" w:hAnsi="Calibri"/>
          <w:b/>
        </w:rPr>
        <w:t>2.6.1.</w:t>
      </w:r>
      <w:r w:rsidRPr="00CF5A42">
        <w:rPr>
          <w:rFonts w:ascii="Calibri" w:hAnsi="Calibri"/>
        </w:rPr>
        <w:t xml:space="preserve"> Wymagania dotyczące powierzchni odblaskowej</w:t>
      </w:r>
    </w:p>
    <w:p w:rsidR="001F3A98" w:rsidRPr="00CF5A42" w:rsidRDefault="001F3A98" w:rsidP="001F3A98">
      <w:pPr>
        <w:rPr>
          <w:rFonts w:ascii="Calibri" w:hAnsi="Calibri"/>
        </w:rPr>
      </w:pPr>
      <w:r w:rsidRPr="00CF5A42">
        <w:rPr>
          <w:rFonts w:ascii="Calibri" w:hAnsi="Calibri"/>
        </w:rPr>
        <w:tab/>
        <w:t>Znaki drogowe odblaskowe wykonuje się przez naklejenie na tarczę znaku lica wykonanego z samoprzylepnej, aktywowanej przez docisk, folii odblaskowej. Znaki drogowe klasy A, B, C, D, E, F, G, T i urządzenia bezpieczeństwa ruchu drogowego klasy U nie odblaskowe, nie są dopuszczone do stosowania na drogach publicznych.</w:t>
      </w:r>
    </w:p>
    <w:p w:rsidR="001F3A98" w:rsidRPr="00CF5A42" w:rsidRDefault="001F3A98" w:rsidP="001F3A98">
      <w:pPr>
        <w:rPr>
          <w:rFonts w:ascii="Calibri" w:hAnsi="Calibri"/>
        </w:rPr>
      </w:pPr>
      <w:r w:rsidRPr="00CF5A42">
        <w:rPr>
          <w:rFonts w:ascii="Calibri" w:hAnsi="Calibri"/>
        </w:rPr>
        <w:tab/>
        <w:t>Folia odblaskowa (odbijająca powrotnie) powinna spełniać wymagania określone w aprobacie technicznej .</w:t>
      </w:r>
    </w:p>
    <w:p w:rsidR="001F3A98" w:rsidRPr="00CF5A42" w:rsidRDefault="001F3A98" w:rsidP="001F3A98">
      <w:pPr>
        <w:rPr>
          <w:rFonts w:ascii="Calibri" w:hAnsi="Calibri"/>
        </w:rPr>
      </w:pPr>
      <w:r w:rsidRPr="00CF5A42">
        <w:rPr>
          <w:rFonts w:ascii="Calibri" w:hAnsi="Calibri"/>
        </w:rPr>
        <w:t>Lico znaku powinno być wykonane z:</w:t>
      </w:r>
    </w:p>
    <w:p w:rsidR="001F3A98" w:rsidRPr="00CF5A42" w:rsidRDefault="001F3A98" w:rsidP="001F3A98">
      <w:pPr>
        <w:rPr>
          <w:rFonts w:ascii="Calibri" w:hAnsi="Calibri"/>
        </w:rPr>
      </w:pPr>
      <w:r>
        <w:rPr>
          <w:rFonts w:ascii="Calibri" w:hAnsi="Calibri"/>
        </w:rPr>
        <w:t>-</w:t>
      </w:r>
      <w:r w:rsidRPr="00CF5A42">
        <w:rPr>
          <w:rFonts w:ascii="Calibri" w:hAnsi="Calibri"/>
        </w:rPr>
        <w:t>samoprzylepnej folii odblaskowej o właściwościach fotometrycznych i kolorymetrycznych typu 1, typu 2 (folia z kulkami szklanymi lub pryzmatyczna) lub typu 3 (folia pryzmatyczna) potwierdzonych uzyskanymi aprobatami technicznymi dla poszczególnych typów folii,</w:t>
      </w:r>
    </w:p>
    <w:p w:rsidR="001F3A98" w:rsidRPr="00CF5A42" w:rsidRDefault="001F3A98" w:rsidP="001F3A98">
      <w:pPr>
        <w:rPr>
          <w:rFonts w:ascii="Calibri" w:hAnsi="Calibri"/>
        </w:rPr>
      </w:pPr>
      <w:r>
        <w:rPr>
          <w:rFonts w:ascii="Calibri" w:hAnsi="Calibri"/>
        </w:rPr>
        <w:t>-</w:t>
      </w:r>
      <w:r w:rsidRPr="00CF5A42">
        <w:rPr>
          <w:rFonts w:ascii="Calibri" w:hAnsi="Calibri"/>
        </w:rPr>
        <w:t>do nanoszenia barw innych niż biała można stosować: farby transparentne do sitodruku, zalecane przez producenta danej folii, transparentne folie ploterowe posiadające aprobaty techniczne oraz w przypadku folii typu 1 wycinane kształty z folii odblaskowych barwnych,</w:t>
      </w:r>
    </w:p>
    <w:p w:rsidR="001F3A98" w:rsidRPr="00CF5A42" w:rsidRDefault="001F3A98" w:rsidP="001F3A98">
      <w:pPr>
        <w:rPr>
          <w:rFonts w:ascii="Calibri" w:hAnsi="Calibri"/>
        </w:rPr>
      </w:pPr>
      <w:r>
        <w:rPr>
          <w:rFonts w:ascii="Calibri" w:hAnsi="Calibri"/>
        </w:rPr>
        <w:t>-</w:t>
      </w:r>
      <w:r w:rsidRPr="00CF5A42">
        <w:rPr>
          <w:rFonts w:ascii="Calibri" w:hAnsi="Calibri"/>
        </w:rPr>
        <w:t>dopuszcza się wycinanie kształtów z folii 2 i 3 typu pod warunkiem zabezpieczenia ich krawędzi lakierem zalecanym przez producenta folii,</w:t>
      </w:r>
    </w:p>
    <w:p w:rsidR="001F3A98" w:rsidRPr="00CF5A42" w:rsidRDefault="001F3A98" w:rsidP="001F3A98">
      <w:pPr>
        <w:rPr>
          <w:rFonts w:ascii="Calibri" w:hAnsi="Calibri"/>
        </w:rPr>
      </w:pPr>
      <w:r>
        <w:rPr>
          <w:rFonts w:ascii="Calibri" w:hAnsi="Calibri"/>
        </w:rPr>
        <w:t>-</w:t>
      </w:r>
      <w:r w:rsidRPr="00CF5A42">
        <w:rPr>
          <w:rFonts w:ascii="Calibri" w:hAnsi="Calibri"/>
        </w:rPr>
        <w:t>nie dopuszcza się stosowania folii o okresie trwałości poniżej 7 lat do znaków stałych,</w:t>
      </w:r>
    </w:p>
    <w:p w:rsidR="001F3A98" w:rsidRPr="00CF5A42" w:rsidRDefault="001F3A98" w:rsidP="001F3A98">
      <w:pPr>
        <w:rPr>
          <w:rFonts w:ascii="Calibri" w:hAnsi="Calibri"/>
        </w:rPr>
      </w:pPr>
      <w:r>
        <w:rPr>
          <w:rFonts w:ascii="Calibri" w:hAnsi="Calibri"/>
        </w:rPr>
        <w:t>-</w:t>
      </w:r>
      <w:r w:rsidRPr="00CF5A42">
        <w:rPr>
          <w:rFonts w:ascii="Calibri" w:hAnsi="Calibri"/>
        </w:rPr>
        <w:t>folie o 2-letnim i 3-letnim okresie trwałości mogą być wykorzystywane do znaków tymczasowych stosowanych do oznakowania robót drogowych, pod warunkiem posiadania aprobaty technicznej i zachowania zgodności z załącznikiem nr 1 do rozporządzenia Ministra Infrastruktury z dnia 3 lipca 2003 w sprawie szczegółowych warunków technicznych dla znaków i sygnałów drogowych oraz urządzeń bezpieczeństwa ruchu drogowego i warunków ich umieszczania na drogach.</w:t>
      </w:r>
    </w:p>
    <w:p w:rsidR="001F3A98" w:rsidRPr="00CF5A42" w:rsidRDefault="001F3A98" w:rsidP="001F3A98">
      <w:pPr>
        <w:rPr>
          <w:rFonts w:ascii="Calibri" w:hAnsi="Calibri"/>
        </w:rPr>
      </w:pPr>
      <w:r w:rsidRPr="00CF5A42">
        <w:rPr>
          <w:rFonts w:ascii="Calibri" w:hAnsi="Calibri"/>
        </w:rPr>
        <w:t>Minimalna początkowa wartość współczynnika odblasku R’(cd·lx-1m-2 ) znaków odblaskowych, zmierzona zgodnie z procedurą zawartą w CIE No.54, używając standardowego iluminanta A, powinna spełniać odpowiednio wymagania podane w tablicy 2.</w:t>
      </w:r>
    </w:p>
    <w:p w:rsidR="001F3A98" w:rsidRPr="00CF5A42" w:rsidRDefault="001F3A98" w:rsidP="001F3A98">
      <w:pPr>
        <w:rPr>
          <w:rFonts w:ascii="Calibri" w:hAnsi="Calibri"/>
        </w:rPr>
      </w:pPr>
      <w:r w:rsidRPr="00CF5A42">
        <w:rPr>
          <w:rFonts w:ascii="Calibri" w:hAnsi="Calibri"/>
        </w:rPr>
        <w:t xml:space="preserve">Współczynnik odblasku R’ dla wszystkich kolorów drukowanych, z wyjątkiem białego, nie powinien być mniejszy niż 70 % wartości podanych w tablicy 2 dla znaków z folią typu 1 lub typu 2,  zgodnie  z publikacją CIE No 39.2. Folie odblaskowe pryzmatyczne (typ 3) powinny spełniać minimalne wymagania dla folii typu 2 lub zwiększone wymagania postawione w aprobacie technicznej dla danej folii. </w:t>
      </w:r>
    </w:p>
    <w:p w:rsidR="001F3A98" w:rsidRPr="00CF5A42" w:rsidRDefault="001F3A98" w:rsidP="001F3A98">
      <w:pPr>
        <w:rPr>
          <w:rFonts w:ascii="Calibri" w:hAnsi="Calibri"/>
        </w:rPr>
      </w:pPr>
      <w:r w:rsidRPr="00CF5A42">
        <w:rPr>
          <w:rFonts w:ascii="Calibri" w:hAnsi="Calibri"/>
        </w:rPr>
        <w:t xml:space="preserve">W przypadku oświetlenia standardowym iluminantem D 65 i pomiaru w geometrii 45/0 współrzędne chromatyczności i współczynnik luminancji </w:t>
      </w:r>
      <w:r w:rsidRPr="00CF5A42">
        <w:rPr>
          <w:rFonts w:ascii="Calibri" w:hAnsi="Calibri"/>
        </w:rPr>
        <w:sym w:font="Symbol" w:char="F062"/>
      </w:r>
      <w:r w:rsidRPr="00CF5A42">
        <w:rPr>
          <w:rFonts w:ascii="Calibri" w:hAnsi="Calibri"/>
        </w:rPr>
        <w:t xml:space="preserve"> powinny być zgodne z wymaganiami podanymi w tablicach 2 i 3.</w:t>
      </w:r>
    </w:p>
    <w:p w:rsidR="001F3A98" w:rsidRDefault="001F3A98" w:rsidP="001F3A98">
      <w:pPr>
        <w:rPr>
          <w:rFonts w:ascii="Calibri" w:hAnsi="Calibri"/>
        </w:rPr>
      </w:pPr>
    </w:p>
    <w:p w:rsidR="001F3A98" w:rsidRPr="00CF5A42" w:rsidRDefault="001F3A98" w:rsidP="006456E2">
      <w:pPr>
        <w:ind w:left="709"/>
        <w:rPr>
          <w:rFonts w:ascii="Calibri" w:hAnsi="Calibri"/>
        </w:rPr>
      </w:pPr>
      <w:r w:rsidRPr="00CF5A42">
        <w:rPr>
          <w:rFonts w:ascii="Calibri" w:hAnsi="Calibri"/>
        </w:rPr>
        <w:lastRenderedPageBreak/>
        <w:t xml:space="preserve">Tablica 2. Wymagania dla współczynnika luminancji </w:t>
      </w:r>
      <w:r w:rsidRPr="00CF5A42">
        <w:rPr>
          <w:rFonts w:ascii="Calibri" w:hAnsi="Calibri"/>
        </w:rPr>
        <w:sym w:font="Symbol" w:char="F062"/>
      </w:r>
      <w:r w:rsidRPr="00CF5A42">
        <w:rPr>
          <w:rFonts w:ascii="Calibri" w:hAnsi="Calibri"/>
        </w:rPr>
        <w:t xml:space="preserve"> i współrzędnych chromatyczności x, y oraz współczynnika odblasku R’</w:t>
      </w:r>
    </w:p>
    <w:tbl>
      <w:tblPr>
        <w:tblW w:w="7733" w:type="dxa"/>
        <w:jc w:val="center"/>
        <w:tblInd w:w="1128" w:type="dxa"/>
        <w:tblLayout w:type="fixed"/>
        <w:tblCellMar>
          <w:left w:w="70" w:type="dxa"/>
          <w:right w:w="70" w:type="dxa"/>
        </w:tblCellMar>
        <w:tblLook w:val="0000"/>
      </w:tblPr>
      <w:tblGrid>
        <w:gridCol w:w="567"/>
        <w:gridCol w:w="2835"/>
        <w:gridCol w:w="993"/>
        <w:gridCol w:w="1557"/>
        <w:gridCol w:w="1781"/>
      </w:tblGrid>
      <w:tr w:rsidR="001F3A98" w:rsidRPr="00CF5A42" w:rsidTr="00F040CD">
        <w:trPr>
          <w:trHeight w:val="218"/>
          <w:tblHeader/>
          <w:jc w:val="center"/>
        </w:trPr>
        <w:tc>
          <w:tcPr>
            <w:tcW w:w="567" w:type="dxa"/>
            <w:tcBorders>
              <w:top w:val="single" w:sz="6" w:space="0" w:color="auto"/>
              <w:left w:val="single" w:sz="6" w:space="0" w:color="auto"/>
              <w:bottom w:val="double" w:sz="4" w:space="0" w:color="auto"/>
              <w:right w:val="single" w:sz="6" w:space="0" w:color="auto"/>
            </w:tcBorders>
          </w:tcPr>
          <w:p w:rsidR="001F3A98" w:rsidRPr="00CF5A42" w:rsidRDefault="001F3A98" w:rsidP="00FD47C7">
            <w:pPr>
              <w:rPr>
                <w:rFonts w:ascii="Calibri" w:hAnsi="Calibri"/>
                <w:b/>
                <w:sz w:val="18"/>
                <w:szCs w:val="18"/>
              </w:rPr>
            </w:pPr>
            <w:r w:rsidRPr="00CF5A42">
              <w:rPr>
                <w:rFonts w:ascii="Calibri" w:hAnsi="Calibri"/>
                <w:b/>
                <w:sz w:val="18"/>
                <w:szCs w:val="18"/>
              </w:rPr>
              <w:t>Lp.</w:t>
            </w:r>
          </w:p>
        </w:tc>
        <w:tc>
          <w:tcPr>
            <w:tcW w:w="2835" w:type="dxa"/>
            <w:tcBorders>
              <w:top w:val="single" w:sz="6" w:space="0" w:color="auto"/>
              <w:left w:val="single" w:sz="6" w:space="0" w:color="auto"/>
              <w:bottom w:val="double" w:sz="4" w:space="0" w:color="auto"/>
              <w:right w:val="single" w:sz="6" w:space="0" w:color="auto"/>
            </w:tcBorders>
          </w:tcPr>
          <w:p w:rsidR="001F3A98" w:rsidRPr="00CF5A42" w:rsidRDefault="001F3A98" w:rsidP="00FD47C7">
            <w:pPr>
              <w:rPr>
                <w:rFonts w:ascii="Calibri" w:hAnsi="Calibri"/>
                <w:b/>
                <w:sz w:val="18"/>
                <w:szCs w:val="18"/>
              </w:rPr>
            </w:pPr>
            <w:r w:rsidRPr="00CF5A42">
              <w:rPr>
                <w:rFonts w:ascii="Calibri" w:hAnsi="Calibri"/>
                <w:b/>
                <w:sz w:val="18"/>
                <w:szCs w:val="18"/>
              </w:rPr>
              <w:t>Właściwości</w:t>
            </w:r>
          </w:p>
        </w:tc>
        <w:tc>
          <w:tcPr>
            <w:tcW w:w="993" w:type="dxa"/>
            <w:tcBorders>
              <w:top w:val="single" w:sz="6" w:space="0" w:color="auto"/>
              <w:left w:val="single" w:sz="6" w:space="0" w:color="auto"/>
              <w:bottom w:val="double" w:sz="4" w:space="0" w:color="auto"/>
              <w:right w:val="single" w:sz="6" w:space="0" w:color="auto"/>
            </w:tcBorders>
          </w:tcPr>
          <w:p w:rsidR="001F3A98" w:rsidRPr="00CF5A42" w:rsidRDefault="001F3A98" w:rsidP="00FD47C7">
            <w:pPr>
              <w:rPr>
                <w:rFonts w:ascii="Calibri" w:hAnsi="Calibri"/>
                <w:b/>
                <w:sz w:val="18"/>
                <w:szCs w:val="18"/>
              </w:rPr>
            </w:pPr>
            <w:r w:rsidRPr="00CF5A42">
              <w:rPr>
                <w:rFonts w:ascii="Calibri" w:hAnsi="Calibri"/>
                <w:b/>
                <w:sz w:val="18"/>
                <w:szCs w:val="18"/>
              </w:rPr>
              <w:t>Jednostki</w:t>
            </w:r>
          </w:p>
        </w:tc>
        <w:tc>
          <w:tcPr>
            <w:tcW w:w="3338" w:type="dxa"/>
            <w:gridSpan w:val="2"/>
            <w:tcBorders>
              <w:top w:val="single" w:sz="6" w:space="0" w:color="auto"/>
              <w:left w:val="single" w:sz="6" w:space="0" w:color="auto"/>
              <w:bottom w:val="double" w:sz="4" w:space="0" w:color="auto"/>
              <w:right w:val="single" w:sz="6" w:space="0" w:color="auto"/>
            </w:tcBorders>
          </w:tcPr>
          <w:p w:rsidR="001F3A98" w:rsidRPr="00CF5A42" w:rsidRDefault="001F3A98" w:rsidP="00FD47C7">
            <w:pPr>
              <w:rPr>
                <w:rFonts w:ascii="Calibri" w:hAnsi="Calibri"/>
                <w:b/>
                <w:sz w:val="18"/>
                <w:szCs w:val="18"/>
              </w:rPr>
            </w:pPr>
            <w:r w:rsidRPr="00CF5A42">
              <w:rPr>
                <w:rFonts w:ascii="Calibri" w:hAnsi="Calibri"/>
                <w:b/>
                <w:sz w:val="18"/>
                <w:szCs w:val="18"/>
              </w:rPr>
              <w:t>Wymagania</w:t>
            </w:r>
          </w:p>
        </w:tc>
      </w:tr>
      <w:tr w:rsidR="001F3A98" w:rsidRPr="00CF5A42" w:rsidTr="00F040CD">
        <w:trPr>
          <w:cantSplit/>
          <w:trHeight w:val="2590"/>
          <w:jc w:val="center"/>
        </w:trPr>
        <w:tc>
          <w:tcPr>
            <w:tcW w:w="567" w:type="dxa"/>
            <w:tcBorders>
              <w:top w:val="single" w:sz="6" w:space="0" w:color="auto"/>
              <w:left w:val="single" w:sz="6" w:space="0" w:color="auto"/>
              <w:bottom w:val="single" w:sz="6" w:space="0" w:color="auto"/>
              <w:right w:val="single" w:sz="6" w:space="0" w:color="auto"/>
            </w:tcBorders>
          </w:tcPr>
          <w:p w:rsidR="001F3A98" w:rsidRPr="00CF5A42" w:rsidRDefault="001F3A98" w:rsidP="00FD47C7">
            <w:pPr>
              <w:rPr>
                <w:rFonts w:ascii="Calibri" w:hAnsi="Calibri"/>
                <w:sz w:val="18"/>
                <w:szCs w:val="18"/>
              </w:rPr>
            </w:pPr>
            <w:r w:rsidRPr="00CF5A42">
              <w:rPr>
                <w:rFonts w:ascii="Calibri" w:hAnsi="Calibri"/>
                <w:sz w:val="18"/>
                <w:szCs w:val="18"/>
              </w:rPr>
              <w:t>1</w:t>
            </w:r>
          </w:p>
          <w:p w:rsidR="001F3A98" w:rsidRPr="00CF5A42" w:rsidRDefault="001F3A98" w:rsidP="00FD47C7">
            <w:pPr>
              <w:rPr>
                <w:rFonts w:ascii="Calibri" w:hAnsi="Calibri"/>
                <w:sz w:val="18"/>
                <w:szCs w:val="18"/>
              </w:rPr>
            </w:pPr>
          </w:p>
          <w:p w:rsidR="001F3A98" w:rsidRPr="00CF5A42" w:rsidRDefault="001F3A98" w:rsidP="00FD47C7">
            <w:pPr>
              <w:rPr>
                <w:rFonts w:ascii="Calibri" w:hAnsi="Calibri"/>
                <w:sz w:val="18"/>
                <w:szCs w:val="18"/>
              </w:rPr>
            </w:pPr>
          </w:p>
          <w:p w:rsidR="001F3A98" w:rsidRPr="00CF5A42" w:rsidRDefault="001F3A98" w:rsidP="00FD47C7">
            <w:pPr>
              <w:rPr>
                <w:rFonts w:ascii="Calibri" w:hAnsi="Calibri"/>
                <w:sz w:val="18"/>
                <w:szCs w:val="18"/>
              </w:rPr>
            </w:pPr>
          </w:p>
          <w:p w:rsidR="001F3A98" w:rsidRPr="00CF5A42" w:rsidRDefault="001F3A98" w:rsidP="00FD47C7">
            <w:pPr>
              <w:rPr>
                <w:rFonts w:ascii="Calibri" w:hAnsi="Calibri"/>
                <w:sz w:val="18"/>
                <w:szCs w:val="18"/>
              </w:rPr>
            </w:pPr>
          </w:p>
        </w:tc>
        <w:tc>
          <w:tcPr>
            <w:tcW w:w="2835" w:type="dxa"/>
            <w:tcBorders>
              <w:top w:val="single" w:sz="6" w:space="0" w:color="auto"/>
              <w:left w:val="single" w:sz="6" w:space="0" w:color="auto"/>
              <w:bottom w:val="single" w:sz="6" w:space="0" w:color="auto"/>
              <w:right w:val="single" w:sz="6" w:space="0" w:color="auto"/>
            </w:tcBorders>
          </w:tcPr>
          <w:p w:rsidR="001F3A98" w:rsidRPr="00CF5A42" w:rsidRDefault="001F3A98" w:rsidP="00FD47C7">
            <w:pPr>
              <w:rPr>
                <w:rFonts w:ascii="Calibri" w:hAnsi="Calibri"/>
                <w:sz w:val="18"/>
                <w:szCs w:val="18"/>
              </w:rPr>
            </w:pPr>
            <w:r w:rsidRPr="00CF5A42">
              <w:rPr>
                <w:rFonts w:ascii="Calibri" w:hAnsi="Calibri"/>
                <w:sz w:val="18"/>
                <w:szCs w:val="18"/>
              </w:rPr>
              <w:t>Współczynnik odblasku R’ (kąt oświetlenia 5</w:t>
            </w:r>
            <w:r w:rsidRPr="00CF5A42">
              <w:rPr>
                <w:rFonts w:ascii="Calibri" w:hAnsi="Calibri"/>
                <w:sz w:val="18"/>
                <w:szCs w:val="18"/>
                <w:vertAlign w:val="superscript"/>
              </w:rPr>
              <w:t>o</w:t>
            </w:r>
            <w:r w:rsidRPr="00CF5A42">
              <w:rPr>
                <w:rFonts w:ascii="Calibri" w:hAnsi="Calibri"/>
                <w:sz w:val="18"/>
                <w:szCs w:val="18"/>
              </w:rPr>
              <w:t>, kąt obserwacji 0,33</w:t>
            </w:r>
            <w:r w:rsidRPr="00CF5A42">
              <w:rPr>
                <w:rFonts w:ascii="Calibri" w:hAnsi="Calibri"/>
                <w:sz w:val="18"/>
                <w:szCs w:val="18"/>
                <w:vertAlign w:val="superscript"/>
              </w:rPr>
              <w:t>o</w:t>
            </w:r>
            <w:r w:rsidRPr="00CF5A42">
              <w:rPr>
                <w:rFonts w:ascii="Calibri" w:hAnsi="Calibri"/>
                <w:sz w:val="18"/>
                <w:szCs w:val="18"/>
              </w:rPr>
              <w:t>) dla folii:</w:t>
            </w:r>
          </w:p>
          <w:p w:rsidR="001F3A98" w:rsidRPr="00CF5A42" w:rsidRDefault="001F3A98" w:rsidP="00FD47C7">
            <w:pPr>
              <w:rPr>
                <w:rFonts w:ascii="Calibri" w:hAnsi="Calibri"/>
                <w:sz w:val="18"/>
                <w:szCs w:val="18"/>
              </w:rPr>
            </w:pPr>
            <w:r w:rsidRPr="00CF5A42">
              <w:rPr>
                <w:rFonts w:ascii="Calibri" w:hAnsi="Calibri"/>
                <w:sz w:val="18"/>
                <w:szCs w:val="18"/>
              </w:rPr>
              <w:t>- białej</w:t>
            </w:r>
          </w:p>
          <w:p w:rsidR="001F3A98" w:rsidRPr="00CF5A42" w:rsidRDefault="001F3A98" w:rsidP="00FD47C7">
            <w:pPr>
              <w:rPr>
                <w:rFonts w:ascii="Calibri" w:hAnsi="Calibri"/>
                <w:sz w:val="18"/>
                <w:szCs w:val="18"/>
              </w:rPr>
            </w:pPr>
            <w:r w:rsidRPr="00CF5A42">
              <w:rPr>
                <w:rFonts w:ascii="Calibri" w:hAnsi="Calibri"/>
                <w:sz w:val="18"/>
                <w:szCs w:val="18"/>
              </w:rPr>
              <w:t>- żółtej</w:t>
            </w:r>
          </w:p>
          <w:p w:rsidR="001F3A98" w:rsidRPr="00CF5A42" w:rsidRDefault="001F3A98" w:rsidP="00FD47C7">
            <w:pPr>
              <w:rPr>
                <w:rFonts w:ascii="Calibri" w:hAnsi="Calibri"/>
                <w:sz w:val="18"/>
                <w:szCs w:val="18"/>
              </w:rPr>
            </w:pPr>
            <w:r w:rsidRPr="00CF5A42">
              <w:rPr>
                <w:rFonts w:ascii="Calibri" w:hAnsi="Calibri"/>
                <w:sz w:val="18"/>
                <w:szCs w:val="18"/>
              </w:rPr>
              <w:t>- czerwonej</w:t>
            </w:r>
          </w:p>
          <w:p w:rsidR="001F3A98" w:rsidRPr="00CF5A42" w:rsidRDefault="001F3A98" w:rsidP="00FD47C7">
            <w:pPr>
              <w:rPr>
                <w:rFonts w:ascii="Calibri" w:hAnsi="Calibri"/>
                <w:sz w:val="18"/>
                <w:szCs w:val="18"/>
              </w:rPr>
            </w:pPr>
            <w:r w:rsidRPr="00CF5A42">
              <w:rPr>
                <w:rFonts w:ascii="Calibri" w:hAnsi="Calibri"/>
                <w:sz w:val="18"/>
                <w:szCs w:val="18"/>
              </w:rPr>
              <w:t>- zielonej</w:t>
            </w:r>
          </w:p>
          <w:p w:rsidR="001F3A98" w:rsidRPr="00CF5A42" w:rsidRDefault="001F3A98" w:rsidP="00FD47C7">
            <w:pPr>
              <w:rPr>
                <w:rFonts w:ascii="Calibri" w:hAnsi="Calibri"/>
                <w:sz w:val="18"/>
                <w:szCs w:val="18"/>
              </w:rPr>
            </w:pPr>
            <w:r w:rsidRPr="00CF5A42">
              <w:rPr>
                <w:rFonts w:ascii="Calibri" w:hAnsi="Calibri"/>
                <w:sz w:val="18"/>
                <w:szCs w:val="18"/>
              </w:rPr>
              <w:t>- niebieskiej</w:t>
            </w:r>
          </w:p>
          <w:p w:rsidR="001F3A98" w:rsidRPr="00CF5A42" w:rsidRDefault="001F3A98" w:rsidP="00FD47C7">
            <w:pPr>
              <w:rPr>
                <w:rFonts w:ascii="Calibri" w:hAnsi="Calibri"/>
                <w:sz w:val="18"/>
                <w:szCs w:val="18"/>
              </w:rPr>
            </w:pPr>
            <w:r w:rsidRPr="00CF5A42">
              <w:rPr>
                <w:rFonts w:ascii="Calibri" w:hAnsi="Calibri"/>
                <w:sz w:val="18"/>
                <w:szCs w:val="18"/>
              </w:rPr>
              <w:t>- brązowej</w:t>
            </w:r>
          </w:p>
          <w:p w:rsidR="001F3A98" w:rsidRPr="00CF5A42" w:rsidRDefault="001F3A98" w:rsidP="00FD47C7">
            <w:pPr>
              <w:rPr>
                <w:rFonts w:ascii="Calibri" w:hAnsi="Calibri"/>
                <w:sz w:val="18"/>
                <w:szCs w:val="18"/>
              </w:rPr>
            </w:pPr>
            <w:r w:rsidRPr="00CF5A42">
              <w:rPr>
                <w:rFonts w:ascii="Calibri" w:hAnsi="Calibri"/>
                <w:sz w:val="18"/>
                <w:szCs w:val="18"/>
              </w:rPr>
              <w:t>- pomarańczowej</w:t>
            </w:r>
          </w:p>
          <w:p w:rsidR="001F3A98" w:rsidRPr="00CF5A42" w:rsidRDefault="001F3A98" w:rsidP="00FD47C7">
            <w:pPr>
              <w:rPr>
                <w:rFonts w:ascii="Calibri" w:hAnsi="Calibri"/>
                <w:sz w:val="18"/>
                <w:szCs w:val="18"/>
              </w:rPr>
            </w:pPr>
            <w:r w:rsidRPr="00CF5A42">
              <w:rPr>
                <w:rFonts w:ascii="Calibri" w:hAnsi="Calibri"/>
                <w:sz w:val="18"/>
                <w:szCs w:val="18"/>
              </w:rPr>
              <w:t>- szarej</w:t>
            </w:r>
          </w:p>
        </w:tc>
        <w:tc>
          <w:tcPr>
            <w:tcW w:w="993" w:type="dxa"/>
            <w:tcBorders>
              <w:top w:val="single" w:sz="6" w:space="0" w:color="auto"/>
              <w:left w:val="single" w:sz="6" w:space="0" w:color="auto"/>
              <w:bottom w:val="single" w:sz="6" w:space="0" w:color="auto"/>
              <w:right w:val="single" w:sz="4" w:space="0" w:color="auto"/>
            </w:tcBorders>
          </w:tcPr>
          <w:p w:rsidR="001F3A98" w:rsidRPr="00CF5A42" w:rsidRDefault="001F3A98" w:rsidP="00FD47C7">
            <w:pPr>
              <w:rPr>
                <w:rFonts w:ascii="Calibri" w:hAnsi="Calibri"/>
                <w:sz w:val="18"/>
                <w:szCs w:val="18"/>
              </w:rPr>
            </w:pPr>
            <w:r w:rsidRPr="00CF5A42">
              <w:rPr>
                <w:rFonts w:ascii="Calibri" w:hAnsi="Calibri"/>
                <w:sz w:val="18"/>
                <w:szCs w:val="18"/>
              </w:rPr>
              <w:t>cd/m2lx</w:t>
            </w:r>
          </w:p>
        </w:tc>
        <w:tc>
          <w:tcPr>
            <w:tcW w:w="1557" w:type="dxa"/>
            <w:tcBorders>
              <w:top w:val="single" w:sz="4" w:space="0" w:color="auto"/>
              <w:left w:val="single" w:sz="4" w:space="0" w:color="auto"/>
              <w:bottom w:val="single" w:sz="4" w:space="0" w:color="auto"/>
              <w:right w:val="single" w:sz="4" w:space="0" w:color="auto"/>
            </w:tcBorders>
          </w:tcPr>
          <w:p w:rsidR="001F3A98" w:rsidRPr="00CF5A42" w:rsidRDefault="001F3A98" w:rsidP="00FD47C7">
            <w:pPr>
              <w:rPr>
                <w:rFonts w:ascii="Calibri" w:hAnsi="Calibri"/>
                <w:sz w:val="18"/>
                <w:szCs w:val="18"/>
              </w:rPr>
            </w:pPr>
            <w:r w:rsidRPr="00CF5A42">
              <w:rPr>
                <w:rFonts w:ascii="Calibri" w:hAnsi="Calibri"/>
                <w:sz w:val="18"/>
                <w:szCs w:val="18"/>
              </w:rPr>
              <w:t>typ 1</w:t>
            </w:r>
          </w:p>
          <w:p w:rsidR="001F3A98" w:rsidRPr="00CF5A42" w:rsidRDefault="001F3A98" w:rsidP="00FD47C7">
            <w:pPr>
              <w:rPr>
                <w:rFonts w:ascii="Calibri" w:hAnsi="Calibri"/>
                <w:sz w:val="18"/>
                <w:szCs w:val="18"/>
              </w:rPr>
            </w:pPr>
          </w:p>
          <w:p w:rsidR="001F3A98" w:rsidRPr="00CF5A42" w:rsidRDefault="001F3A98" w:rsidP="00FD47C7">
            <w:pPr>
              <w:rPr>
                <w:rFonts w:ascii="Calibri" w:hAnsi="Calibri"/>
                <w:sz w:val="18"/>
                <w:szCs w:val="18"/>
              </w:rPr>
            </w:pPr>
          </w:p>
          <w:p w:rsidR="001F3A98" w:rsidRPr="00CF5A42" w:rsidRDefault="001F3A98" w:rsidP="00FD47C7">
            <w:pPr>
              <w:rPr>
                <w:rFonts w:ascii="Calibri" w:hAnsi="Calibri"/>
                <w:sz w:val="18"/>
                <w:szCs w:val="18"/>
              </w:rPr>
            </w:pPr>
            <w:r w:rsidRPr="00CF5A42">
              <w:rPr>
                <w:rFonts w:ascii="Calibri" w:hAnsi="Calibri"/>
                <w:sz w:val="18"/>
                <w:szCs w:val="18"/>
              </w:rPr>
              <w:sym w:font="Symbol" w:char="00B3"/>
            </w:r>
            <w:r w:rsidRPr="00CF5A42">
              <w:rPr>
                <w:rFonts w:ascii="Calibri" w:hAnsi="Calibri"/>
                <w:sz w:val="18"/>
                <w:szCs w:val="18"/>
              </w:rPr>
              <w:t xml:space="preserve"> 50</w:t>
            </w:r>
          </w:p>
          <w:p w:rsidR="001F3A98" w:rsidRPr="00CF5A42" w:rsidRDefault="001F3A98" w:rsidP="00FD47C7">
            <w:pPr>
              <w:rPr>
                <w:rFonts w:ascii="Calibri" w:hAnsi="Calibri"/>
                <w:sz w:val="18"/>
                <w:szCs w:val="18"/>
              </w:rPr>
            </w:pPr>
            <w:r w:rsidRPr="00CF5A42">
              <w:rPr>
                <w:rFonts w:ascii="Calibri" w:hAnsi="Calibri"/>
                <w:sz w:val="18"/>
                <w:szCs w:val="18"/>
              </w:rPr>
              <w:sym w:font="Symbol" w:char="00B3"/>
            </w:r>
            <w:r w:rsidRPr="00CF5A42">
              <w:rPr>
                <w:rFonts w:ascii="Calibri" w:hAnsi="Calibri"/>
                <w:sz w:val="18"/>
                <w:szCs w:val="18"/>
              </w:rPr>
              <w:t xml:space="preserve"> 35</w:t>
            </w:r>
          </w:p>
          <w:p w:rsidR="001F3A98" w:rsidRPr="00CF5A42" w:rsidRDefault="001F3A98" w:rsidP="00FD47C7">
            <w:pPr>
              <w:rPr>
                <w:rFonts w:ascii="Calibri" w:hAnsi="Calibri"/>
                <w:sz w:val="18"/>
                <w:szCs w:val="18"/>
              </w:rPr>
            </w:pPr>
            <w:r w:rsidRPr="00CF5A42">
              <w:rPr>
                <w:rFonts w:ascii="Calibri" w:hAnsi="Calibri"/>
                <w:sz w:val="18"/>
                <w:szCs w:val="18"/>
              </w:rPr>
              <w:sym w:font="Symbol" w:char="00B3"/>
            </w:r>
            <w:r w:rsidRPr="00CF5A42">
              <w:rPr>
                <w:rFonts w:ascii="Calibri" w:hAnsi="Calibri"/>
                <w:sz w:val="18"/>
                <w:szCs w:val="18"/>
              </w:rPr>
              <w:t>10</w:t>
            </w:r>
          </w:p>
          <w:p w:rsidR="001F3A98" w:rsidRPr="00CF5A42" w:rsidRDefault="001F3A98" w:rsidP="00FD47C7">
            <w:pPr>
              <w:rPr>
                <w:rFonts w:ascii="Calibri" w:hAnsi="Calibri"/>
                <w:sz w:val="18"/>
                <w:szCs w:val="18"/>
              </w:rPr>
            </w:pPr>
            <w:r w:rsidRPr="00CF5A42">
              <w:rPr>
                <w:rFonts w:ascii="Calibri" w:hAnsi="Calibri"/>
                <w:sz w:val="18"/>
                <w:szCs w:val="18"/>
              </w:rPr>
              <w:sym w:font="Symbol" w:char="00B3"/>
            </w:r>
            <w:r w:rsidRPr="00CF5A42">
              <w:rPr>
                <w:rFonts w:ascii="Calibri" w:hAnsi="Calibri"/>
                <w:sz w:val="18"/>
                <w:szCs w:val="18"/>
              </w:rPr>
              <w:t xml:space="preserve"> 7</w:t>
            </w:r>
          </w:p>
          <w:p w:rsidR="001F3A98" w:rsidRPr="00CF5A42" w:rsidRDefault="001F3A98" w:rsidP="00FD47C7">
            <w:pPr>
              <w:rPr>
                <w:rFonts w:ascii="Calibri" w:hAnsi="Calibri"/>
                <w:sz w:val="18"/>
                <w:szCs w:val="18"/>
              </w:rPr>
            </w:pPr>
            <w:r w:rsidRPr="00CF5A42">
              <w:rPr>
                <w:rFonts w:ascii="Calibri" w:hAnsi="Calibri"/>
                <w:sz w:val="18"/>
                <w:szCs w:val="18"/>
              </w:rPr>
              <w:sym w:font="Symbol" w:char="00B3"/>
            </w:r>
            <w:r w:rsidRPr="00CF5A42">
              <w:rPr>
                <w:rFonts w:ascii="Calibri" w:hAnsi="Calibri"/>
                <w:sz w:val="18"/>
                <w:szCs w:val="18"/>
              </w:rPr>
              <w:t xml:space="preserve"> 2</w:t>
            </w:r>
          </w:p>
          <w:p w:rsidR="001F3A98" w:rsidRPr="00CF5A42" w:rsidRDefault="001F3A98" w:rsidP="00FD47C7">
            <w:pPr>
              <w:rPr>
                <w:rFonts w:ascii="Calibri" w:hAnsi="Calibri"/>
                <w:sz w:val="18"/>
                <w:szCs w:val="18"/>
              </w:rPr>
            </w:pPr>
            <w:r w:rsidRPr="00CF5A42">
              <w:rPr>
                <w:rFonts w:ascii="Calibri" w:hAnsi="Calibri"/>
                <w:sz w:val="18"/>
                <w:szCs w:val="18"/>
              </w:rPr>
              <w:sym w:font="Symbol" w:char="00B3"/>
            </w:r>
            <w:r w:rsidRPr="00CF5A42">
              <w:rPr>
                <w:rFonts w:ascii="Calibri" w:hAnsi="Calibri"/>
                <w:sz w:val="18"/>
                <w:szCs w:val="18"/>
              </w:rPr>
              <w:t xml:space="preserve"> 0,6</w:t>
            </w:r>
          </w:p>
          <w:p w:rsidR="001F3A98" w:rsidRPr="00CF5A42" w:rsidRDefault="001F3A98" w:rsidP="00FD47C7">
            <w:pPr>
              <w:rPr>
                <w:rFonts w:ascii="Calibri" w:hAnsi="Calibri"/>
                <w:sz w:val="18"/>
                <w:szCs w:val="18"/>
              </w:rPr>
            </w:pPr>
            <w:r w:rsidRPr="00CF5A42">
              <w:rPr>
                <w:rFonts w:ascii="Calibri" w:hAnsi="Calibri"/>
                <w:sz w:val="18"/>
                <w:szCs w:val="18"/>
              </w:rPr>
              <w:sym w:font="Symbol" w:char="00B3"/>
            </w:r>
            <w:r w:rsidRPr="00CF5A42">
              <w:rPr>
                <w:rFonts w:ascii="Calibri" w:hAnsi="Calibri"/>
                <w:sz w:val="18"/>
                <w:szCs w:val="18"/>
              </w:rPr>
              <w:t xml:space="preserve"> 20</w:t>
            </w:r>
          </w:p>
          <w:p w:rsidR="001F3A98" w:rsidRPr="00CF5A42" w:rsidRDefault="001F3A98" w:rsidP="00FD47C7">
            <w:pPr>
              <w:rPr>
                <w:rFonts w:ascii="Calibri" w:hAnsi="Calibri"/>
                <w:sz w:val="18"/>
                <w:szCs w:val="18"/>
              </w:rPr>
            </w:pPr>
            <w:r w:rsidRPr="00CF5A42">
              <w:rPr>
                <w:rFonts w:ascii="Calibri" w:hAnsi="Calibri"/>
                <w:sz w:val="18"/>
                <w:szCs w:val="18"/>
              </w:rPr>
              <w:sym w:font="Symbol" w:char="00B3"/>
            </w:r>
            <w:r w:rsidRPr="00CF5A42">
              <w:rPr>
                <w:rFonts w:ascii="Calibri" w:hAnsi="Calibri"/>
                <w:sz w:val="18"/>
                <w:szCs w:val="18"/>
              </w:rPr>
              <w:t xml:space="preserve"> 30</w:t>
            </w:r>
          </w:p>
        </w:tc>
        <w:tc>
          <w:tcPr>
            <w:tcW w:w="1781" w:type="dxa"/>
            <w:tcBorders>
              <w:top w:val="single" w:sz="4" w:space="0" w:color="auto"/>
              <w:left w:val="single" w:sz="4" w:space="0" w:color="auto"/>
              <w:bottom w:val="single" w:sz="4" w:space="0" w:color="auto"/>
              <w:right w:val="single" w:sz="4" w:space="0" w:color="auto"/>
            </w:tcBorders>
          </w:tcPr>
          <w:p w:rsidR="001F3A98" w:rsidRPr="00CF5A42" w:rsidRDefault="001F3A98" w:rsidP="00FD47C7">
            <w:pPr>
              <w:rPr>
                <w:rFonts w:ascii="Calibri" w:hAnsi="Calibri"/>
                <w:sz w:val="18"/>
                <w:szCs w:val="18"/>
                <w:highlight w:val="yellow"/>
              </w:rPr>
            </w:pPr>
            <w:r w:rsidRPr="00CF5A42">
              <w:rPr>
                <w:rFonts w:ascii="Calibri" w:hAnsi="Calibri"/>
                <w:sz w:val="18"/>
                <w:szCs w:val="18"/>
              </w:rPr>
              <w:t>typ 2</w:t>
            </w:r>
          </w:p>
          <w:p w:rsidR="001F3A98" w:rsidRPr="00CF5A42" w:rsidRDefault="001F3A98" w:rsidP="00FD47C7">
            <w:pPr>
              <w:rPr>
                <w:rFonts w:ascii="Calibri" w:hAnsi="Calibri"/>
                <w:sz w:val="18"/>
                <w:szCs w:val="18"/>
                <w:highlight w:val="yellow"/>
              </w:rPr>
            </w:pPr>
          </w:p>
          <w:p w:rsidR="001F3A98" w:rsidRPr="00CF5A42" w:rsidRDefault="001F3A98" w:rsidP="00FD47C7">
            <w:pPr>
              <w:rPr>
                <w:rFonts w:ascii="Calibri" w:hAnsi="Calibri"/>
                <w:sz w:val="18"/>
                <w:szCs w:val="18"/>
                <w:highlight w:val="yellow"/>
              </w:rPr>
            </w:pPr>
          </w:p>
          <w:p w:rsidR="001F3A98" w:rsidRPr="00CF5A42" w:rsidRDefault="001F3A98" w:rsidP="00FD47C7">
            <w:pPr>
              <w:rPr>
                <w:rFonts w:ascii="Calibri" w:hAnsi="Calibri"/>
                <w:sz w:val="18"/>
                <w:szCs w:val="18"/>
              </w:rPr>
            </w:pPr>
            <w:r w:rsidRPr="00CF5A42">
              <w:rPr>
                <w:rFonts w:ascii="Calibri" w:hAnsi="Calibri"/>
                <w:sz w:val="18"/>
                <w:szCs w:val="18"/>
              </w:rPr>
              <w:sym w:font="Symbol" w:char="00B3"/>
            </w:r>
            <w:r w:rsidRPr="00CF5A42">
              <w:rPr>
                <w:rFonts w:ascii="Calibri" w:hAnsi="Calibri"/>
                <w:sz w:val="18"/>
                <w:szCs w:val="18"/>
              </w:rPr>
              <w:t xml:space="preserve"> 180</w:t>
            </w:r>
          </w:p>
          <w:p w:rsidR="001F3A98" w:rsidRPr="00CF5A42" w:rsidRDefault="001F3A98" w:rsidP="00FD47C7">
            <w:pPr>
              <w:rPr>
                <w:rFonts w:ascii="Calibri" w:hAnsi="Calibri"/>
                <w:sz w:val="18"/>
                <w:szCs w:val="18"/>
              </w:rPr>
            </w:pPr>
            <w:r w:rsidRPr="00CF5A42">
              <w:rPr>
                <w:rFonts w:ascii="Calibri" w:hAnsi="Calibri"/>
                <w:sz w:val="18"/>
                <w:szCs w:val="18"/>
              </w:rPr>
              <w:sym w:font="Symbol" w:char="00B3"/>
            </w:r>
            <w:r w:rsidRPr="00CF5A42">
              <w:rPr>
                <w:rFonts w:ascii="Calibri" w:hAnsi="Calibri"/>
                <w:sz w:val="18"/>
                <w:szCs w:val="18"/>
              </w:rPr>
              <w:t xml:space="preserve"> 120</w:t>
            </w:r>
          </w:p>
          <w:p w:rsidR="001F3A98" w:rsidRPr="00CF5A42" w:rsidRDefault="001F3A98" w:rsidP="00FD47C7">
            <w:pPr>
              <w:rPr>
                <w:rFonts w:ascii="Calibri" w:hAnsi="Calibri"/>
                <w:sz w:val="18"/>
                <w:szCs w:val="18"/>
              </w:rPr>
            </w:pPr>
            <w:r w:rsidRPr="00CF5A42">
              <w:rPr>
                <w:rFonts w:ascii="Calibri" w:hAnsi="Calibri"/>
                <w:sz w:val="18"/>
                <w:szCs w:val="18"/>
              </w:rPr>
              <w:sym w:font="Symbol" w:char="00B3"/>
            </w:r>
            <w:r w:rsidRPr="00CF5A42">
              <w:rPr>
                <w:rFonts w:ascii="Calibri" w:hAnsi="Calibri"/>
                <w:sz w:val="18"/>
                <w:szCs w:val="18"/>
              </w:rPr>
              <w:t xml:space="preserve">  25</w:t>
            </w:r>
          </w:p>
          <w:p w:rsidR="001F3A98" w:rsidRPr="00CF5A42" w:rsidRDefault="001F3A98" w:rsidP="00FD47C7">
            <w:pPr>
              <w:rPr>
                <w:rFonts w:ascii="Calibri" w:hAnsi="Calibri"/>
                <w:sz w:val="18"/>
                <w:szCs w:val="18"/>
              </w:rPr>
            </w:pPr>
            <w:r w:rsidRPr="00CF5A42">
              <w:rPr>
                <w:rFonts w:ascii="Calibri" w:hAnsi="Calibri"/>
                <w:sz w:val="18"/>
                <w:szCs w:val="18"/>
              </w:rPr>
              <w:sym w:font="Symbol" w:char="00B3"/>
            </w:r>
            <w:r w:rsidRPr="00CF5A42">
              <w:rPr>
                <w:rFonts w:ascii="Calibri" w:hAnsi="Calibri"/>
                <w:sz w:val="18"/>
                <w:szCs w:val="18"/>
              </w:rPr>
              <w:t xml:space="preserve">  21</w:t>
            </w:r>
          </w:p>
          <w:p w:rsidR="001F3A98" w:rsidRPr="00CF5A42" w:rsidRDefault="001F3A98" w:rsidP="00FD47C7">
            <w:pPr>
              <w:rPr>
                <w:rFonts w:ascii="Calibri" w:hAnsi="Calibri"/>
                <w:sz w:val="18"/>
                <w:szCs w:val="18"/>
              </w:rPr>
            </w:pPr>
            <w:r w:rsidRPr="00CF5A42">
              <w:rPr>
                <w:rFonts w:ascii="Calibri" w:hAnsi="Calibri"/>
                <w:sz w:val="18"/>
                <w:szCs w:val="18"/>
              </w:rPr>
              <w:sym w:font="Symbol" w:char="00B3"/>
            </w:r>
            <w:r w:rsidRPr="00CF5A42">
              <w:rPr>
                <w:rFonts w:ascii="Calibri" w:hAnsi="Calibri"/>
                <w:sz w:val="18"/>
                <w:szCs w:val="18"/>
              </w:rPr>
              <w:t xml:space="preserve">  14</w:t>
            </w:r>
          </w:p>
          <w:p w:rsidR="001F3A98" w:rsidRPr="00CF5A42" w:rsidRDefault="001F3A98" w:rsidP="00FD47C7">
            <w:pPr>
              <w:rPr>
                <w:rFonts w:ascii="Calibri" w:hAnsi="Calibri"/>
                <w:sz w:val="18"/>
                <w:szCs w:val="18"/>
              </w:rPr>
            </w:pPr>
            <w:r w:rsidRPr="00CF5A42">
              <w:rPr>
                <w:rFonts w:ascii="Calibri" w:hAnsi="Calibri"/>
                <w:sz w:val="18"/>
                <w:szCs w:val="18"/>
              </w:rPr>
              <w:sym w:font="Symbol" w:char="00B3"/>
            </w:r>
            <w:r w:rsidRPr="00CF5A42">
              <w:rPr>
                <w:rFonts w:ascii="Calibri" w:hAnsi="Calibri"/>
                <w:sz w:val="18"/>
                <w:szCs w:val="18"/>
              </w:rPr>
              <w:t xml:space="preserve">   8</w:t>
            </w:r>
          </w:p>
          <w:p w:rsidR="001F3A98" w:rsidRPr="00CF5A42" w:rsidRDefault="001F3A98" w:rsidP="00FD47C7">
            <w:pPr>
              <w:rPr>
                <w:rFonts w:ascii="Calibri" w:hAnsi="Calibri"/>
                <w:sz w:val="18"/>
                <w:szCs w:val="18"/>
              </w:rPr>
            </w:pPr>
            <w:r w:rsidRPr="00CF5A42">
              <w:rPr>
                <w:rFonts w:ascii="Calibri" w:hAnsi="Calibri"/>
                <w:sz w:val="18"/>
                <w:szCs w:val="18"/>
              </w:rPr>
              <w:sym w:font="Symbol" w:char="00B3"/>
            </w:r>
            <w:r w:rsidRPr="00CF5A42">
              <w:rPr>
                <w:rFonts w:ascii="Calibri" w:hAnsi="Calibri"/>
                <w:sz w:val="18"/>
                <w:szCs w:val="18"/>
              </w:rPr>
              <w:t xml:space="preserve">  65</w:t>
            </w:r>
          </w:p>
          <w:p w:rsidR="001F3A98" w:rsidRPr="00CF5A42" w:rsidRDefault="001F3A98" w:rsidP="00FD47C7">
            <w:pPr>
              <w:rPr>
                <w:rFonts w:ascii="Calibri" w:hAnsi="Calibri"/>
                <w:sz w:val="18"/>
                <w:szCs w:val="18"/>
                <w:highlight w:val="yellow"/>
              </w:rPr>
            </w:pPr>
            <w:r w:rsidRPr="00CF5A42">
              <w:rPr>
                <w:rFonts w:ascii="Calibri" w:hAnsi="Calibri"/>
                <w:sz w:val="18"/>
                <w:szCs w:val="18"/>
              </w:rPr>
              <w:sym w:font="Symbol" w:char="00B3"/>
            </w:r>
            <w:r w:rsidRPr="00CF5A42">
              <w:rPr>
                <w:rFonts w:ascii="Calibri" w:hAnsi="Calibri"/>
                <w:sz w:val="18"/>
                <w:szCs w:val="18"/>
              </w:rPr>
              <w:t xml:space="preserve">  90</w:t>
            </w:r>
          </w:p>
        </w:tc>
      </w:tr>
      <w:tr w:rsidR="001F3A98" w:rsidRPr="00CF5A42" w:rsidTr="00F040CD">
        <w:trPr>
          <w:jc w:val="center"/>
        </w:trPr>
        <w:tc>
          <w:tcPr>
            <w:tcW w:w="567" w:type="dxa"/>
            <w:tcBorders>
              <w:top w:val="single" w:sz="6" w:space="0" w:color="auto"/>
              <w:left w:val="single" w:sz="6" w:space="0" w:color="auto"/>
              <w:bottom w:val="single" w:sz="6" w:space="0" w:color="auto"/>
              <w:right w:val="single" w:sz="6" w:space="0" w:color="auto"/>
            </w:tcBorders>
          </w:tcPr>
          <w:p w:rsidR="001F3A98" w:rsidRPr="00CF5A42" w:rsidRDefault="001F3A98" w:rsidP="00FD47C7">
            <w:pPr>
              <w:rPr>
                <w:rFonts w:ascii="Calibri" w:hAnsi="Calibri"/>
                <w:sz w:val="18"/>
                <w:szCs w:val="18"/>
              </w:rPr>
            </w:pPr>
            <w:r w:rsidRPr="00CF5A42">
              <w:rPr>
                <w:rFonts w:ascii="Calibri" w:hAnsi="Calibri"/>
                <w:sz w:val="18"/>
                <w:szCs w:val="18"/>
              </w:rPr>
              <w:t>2</w:t>
            </w:r>
          </w:p>
        </w:tc>
        <w:tc>
          <w:tcPr>
            <w:tcW w:w="2835" w:type="dxa"/>
            <w:tcBorders>
              <w:top w:val="single" w:sz="6" w:space="0" w:color="auto"/>
              <w:left w:val="single" w:sz="6" w:space="0" w:color="auto"/>
              <w:bottom w:val="single" w:sz="6" w:space="0" w:color="auto"/>
              <w:right w:val="single" w:sz="6" w:space="0" w:color="auto"/>
            </w:tcBorders>
          </w:tcPr>
          <w:p w:rsidR="001F3A98" w:rsidRPr="00CF5A42" w:rsidRDefault="001F3A98" w:rsidP="00FD47C7">
            <w:pPr>
              <w:rPr>
                <w:rFonts w:ascii="Calibri" w:hAnsi="Calibri"/>
                <w:sz w:val="18"/>
                <w:szCs w:val="18"/>
              </w:rPr>
            </w:pPr>
            <w:r w:rsidRPr="00CF5A42">
              <w:rPr>
                <w:rFonts w:ascii="Calibri" w:hAnsi="Calibri"/>
                <w:sz w:val="18"/>
                <w:szCs w:val="18"/>
              </w:rPr>
              <w:t xml:space="preserve">Współczynnik luminancji </w:t>
            </w:r>
            <w:r w:rsidRPr="00CF5A42">
              <w:rPr>
                <w:rFonts w:ascii="Calibri" w:hAnsi="Calibri"/>
                <w:sz w:val="18"/>
                <w:szCs w:val="18"/>
              </w:rPr>
              <w:sym w:font="Symbol" w:char="0062"/>
            </w:r>
            <w:r w:rsidRPr="00CF5A42">
              <w:rPr>
                <w:rFonts w:ascii="Calibri" w:hAnsi="Calibri"/>
                <w:sz w:val="18"/>
                <w:szCs w:val="18"/>
              </w:rPr>
              <w:t xml:space="preserve"> i współrzędne chromatyczności x, y *) dla folii:</w:t>
            </w:r>
          </w:p>
          <w:p w:rsidR="001F3A98" w:rsidRPr="00CF5A42" w:rsidRDefault="001F3A98" w:rsidP="00FD47C7">
            <w:pPr>
              <w:rPr>
                <w:rFonts w:ascii="Calibri" w:hAnsi="Calibri"/>
                <w:sz w:val="18"/>
                <w:szCs w:val="18"/>
              </w:rPr>
            </w:pPr>
            <w:r w:rsidRPr="00CF5A42">
              <w:rPr>
                <w:rFonts w:ascii="Calibri" w:hAnsi="Calibri"/>
                <w:sz w:val="18"/>
                <w:szCs w:val="18"/>
              </w:rPr>
              <w:t>- białej</w:t>
            </w:r>
          </w:p>
          <w:p w:rsidR="001F3A98" w:rsidRPr="00CF5A42" w:rsidRDefault="001F3A98" w:rsidP="00FD47C7">
            <w:pPr>
              <w:rPr>
                <w:rFonts w:ascii="Calibri" w:hAnsi="Calibri"/>
                <w:sz w:val="18"/>
                <w:szCs w:val="18"/>
              </w:rPr>
            </w:pPr>
            <w:r w:rsidRPr="00CF5A42">
              <w:rPr>
                <w:rFonts w:ascii="Calibri" w:hAnsi="Calibri"/>
                <w:sz w:val="18"/>
                <w:szCs w:val="18"/>
              </w:rPr>
              <w:t>- żółtej</w:t>
            </w:r>
          </w:p>
          <w:p w:rsidR="001F3A98" w:rsidRPr="00CF5A42" w:rsidRDefault="001F3A98" w:rsidP="00FD47C7">
            <w:pPr>
              <w:rPr>
                <w:rFonts w:ascii="Calibri" w:hAnsi="Calibri"/>
                <w:sz w:val="18"/>
                <w:szCs w:val="18"/>
              </w:rPr>
            </w:pPr>
            <w:r w:rsidRPr="00CF5A42">
              <w:rPr>
                <w:rFonts w:ascii="Calibri" w:hAnsi="Calibri"/>
                <w:sz w:val="18"/>
                <w:szCs w:val="18"/>
              </w:rPr>
              <w:t>- czerwonej</w:t>
            </w:r>
          </w:p>
          <w:p w:rsidR="001F3A98" w:rsidRPr="00CF5A42" w:rsidRDefault="001F3A98" w:rsidP="00FD47C7">
            <w:pPr>
              <w:rPr>
                <w:rFonts w:ascii="Calibri" w:hAnsi="Calibri"/>
                <w:sz w:val="18"/>
                <w:szCs w:val="18"/>
              </w:rPr>
            </w:pPr>
            <w:r w:rsidRPr="00CF5A42">
              <w:rPr>
                <w:rFonts w:ascii="Calibri" w:hAnsi="Calibri"/>
                <w:sz w:val="18"/>
                <w:szCs w:val="18"/>
              </w:rPr>
              <w:t>- zielonej</w:t>
            </w:r>
          </w:p>
          <w:p w:rsidR="001F3A98" w:rsidRPr="00CF5A42" w:rsidRDefault="001F3A98" w:rsidP="00FD47C7">
            <w:pPr>
              <w:rPr>
                <w:rFonts w:ascii="Calibri" w:hAnsi="Calibri"/>
                <w:sz w:val="18"/>
                <w:szCs w:val="18"/>
              </w:rPr>
            </w:pPr>
            <w:r w:rsidRPr="00CF5A42">
              <w:rPr>
                <w:rFonts w:ascii="Calibri" w:hAnsi="Calibri"/>
                <w:sz w:val="18"/>
                <w:szCs w:val="18"/>
              </w:rPr>
              <w:t>- niebieskiej</w:t>
            </w:r>
          </w:p>
          <w:p w:rsidR="001F3A98" w:rsidRPr="00CF5A42" w:rsidRDefault="001F3A98" w:rsidP="00FD47C7">
            <w:pPr>
              <w:rPr>
                <w:rFonts w:ascii="Calibri" w:hAnsi="Calibri"/>
                <w:sz w:val="18"/>
                <w:szCs w:val="18"/>
              </w:rPr>
            </w:pPr>
            <w:r w:rsidRPr="00CF5A42">
              <w:rPr>
                <w:rFonts w:ascii="Calibri" w:hAnsi="Calibri"/>
                <w:sz w:val="18"/>
                <w:szCs w:val="18"/>
              </w:rPr>
              <w:t>- brązowej</w:t>
            </w:r>
          </w:p>
          <w:p w:rsidR="001F3A98" w:rsidRPr="00CF5A42" w:rsidRDefault="001F3A98" w:rsidP="00FD47C7">
            <w:pPr>
              <w:rPr>
                <w:rFonts w:ascii="Calibri" w:hAnsi="Calibri"/>
                <w:sz w:val="18"/>
                <w:szCs w:val="18"/>
              </w:rPr>
            </w:pPr>
            <w:r w:rsidRPr="00CF5A42">
              <w:rPr>
                <w:rFonts w:ascii="Calibri" w:hAnsi="Calibri"/>
                <w:sz w:val="18"/>
                <w:szCs w:val="18"/>
              </w:rPr>
              <w:t>- pomarańczowej</w:t>
            </w:r>
          </w:p>
          <w:p w:rsidR="001F3A98" w:rsidRPr="00CF5A42" w:rsidRDefault="001F3A98" w:rsidP="00FD47C7">
            <w:pPr>
              <w:rPr>
                <w:rFonts w:ascii="Calibri" w:hAnsi="Calibri"/>
                <w:sz w:val="18"/>
                <w:szCs w:val="18"/>
              </w:rPr>
            </w:pPr>
            <w:r w:rsidRPr="00CF5A42">
              <w:rPr>
                <w:rFonts w:ascii="Calibri" w:hAnsi="Calibri"/>
                <w:sz w:val="18"/>
                <w:szCs w:val="18"/>
              </w:rPr>
              <w:t>- szarej</w:t>
            </w:r>
          </w:p>
        </w:tc>
        <w:tc>
          <w:tcPr>
            <w:tcW w:w="993" w:type="dxa"/>
            <w:tcBorders>
              <w:top w:val="single" w:sz="6" w:space="0" w:color="auto"/>
              <w:left w:val="single" w:sz="6" w:space="0" w:color="auto"/>
              <w:bottom w:val="single" w:sz="6" w:space="0" w:color="auto"/>
              <w:right w:val="single" w:sz="4" w:space="0" w:color="auto"/>
            </w:tcBorders>
          </w:tcPr>
          <w:p w:rsidR="001F3A98" w:rsidRPr="00CF5A42" w:rsidRDefault="001F3A98" w:rsidP="00FD47C7">
            <w:pPr>
              <w:rPr>
                <w:rFonts w:ascii="Calibri" w:hAnsi="Calibri"/>
                <w:sz w:val="18"/>
                <w:szCs w:val="18"/>
              </w:rPr>
            </w:pPr>
            <w:r w:rsidRPr="00CF5A42">
              <w:rPr>
                <w:rFonts w:ascii="Calibri" w:hAnsi="Calibri"/>
                <w:sz w:val="18"/>
                <w:szCs w:val="18"/>
              </w:rPr>
              <w:t>-</w:t>
            </w:r>
          </w:p>
        </w:tc>
        <w:tc>
          <w:tcPr>
            <w:tcW w:w="1557" w:type="dxa"/>
            <w:tcBorders>
              <w:top w:val="single" w:sz="4" w:space="0" w:color="auto"/>
              <w:left w:val="single" w:sz="4" w:space="0" w:color="auto"/>
              <w:bottom w:val="single" w:sz="4" w:space="0" w:color="auto"/>
              <w:right w:val="single" w:sz="4" w:space="0" w:color="auto"/>
            </w:tcBorders>
          </w:tcPr>
          <w:p w:rsidR="001F3A98" w:rsidRPr="00CF5A42" w:rsidRDefault="001F3A98" w:rsidP="00FD47C7">
            <w:pPr>
              <w:rPr>
                <w:rFonts w:ascii="Calibri" w:hAnsi="Calibri"/>
                <w:sz w:val="18"/>
                <w:szCs w:val="18"/>
              </w:rPr>
            </w:pPr>
            <w:r w:rsidRPr="00CF5A42">
              <w:rPr>
                <w:rFonts w:ascii="Calibri" w:hAnsi="Calibri"/>
                <w:sz w:val="18"/>
                <w:szCs w:val="18"/>
              </w:rPr>
              <w:t>typ 1</w:t>
            </w:r>
          </w:p>
          <w:p w:rsidR="001F3A98" w:rsidRPr="00CF5A42" w:rsidRDefault="001F3A98" w:rsidP="00FD47C7">
            <w:pPr>
              <w:rPr>
                <w:rFonts w:ascii="Calibri" w:hAnsi="Calibri"/>
                <w:sz w:val="18"/>
                <w:szCs w:val="18"/>
              </w:rPr>
            </w:pPr>
          </w:p>
          <w:p w:rsidR="001F3A98" w:rsidRPr="00CF5A42" w:rsidRDefault="001F3A98" w:rsidP="00FD47C7">
            <w:pPr>
              <w:rPr>
                <w:rFonts w:ascii="Calibri" w:hAnsi="Calibri"/>
                <w:sz w:val="18"/>
                <w:szCs w:val="18"/>
              </w:rPr>
            </w:pPr>
          </w:p>
          <w:p w:rsidR="001F3A98" w:rsidRPr="00CF5A42" w:rsidRDefault="001F3A98" w:rsidP="00FD47C7">
            <w:pPr>
              <w:rPr>
                <w:rFonts w:ascii="Calibri" w:hAnsi="Calibri"/>
                <w:sz w:val="18"/>
                <w:szCs w:val="18"/>
              </w:rPr>
            </w:pPr>
            <w:r w:rsidRPr="00CF5A42">
              <w:rPr>
                <w:rFonts w:ascii="Calibri" w:hAnsi="Calibri"/>
                <w:sz w:val="18"/>
                <w:szCs w:val="18"/>
              </w:rPr>
              <w:sym w:font="Symbol" w:char="0062"/>
            </w:r>
            <w:r w:rsidRPr="00CF5A42">
              <w:rPr>
                <w:rFonts w:ascii="Calibri" w:hAnsi="Calibri"/>
                <w:sz w:val="18"/>
                <w:szCs w:val="18"/>
              </w:rPr>
              <w:t xml:space="preserve"> </w:t>
            </w:r>
            <w:r w:rsidRPr="00CF5A42">
              <w:rPr>
                <w:rFonts w:ascii="Calibri" w:hAnsi="Calibri"/>
                <w:sz w:val="18"/>
                <w:szCs w:val="18"/>
              </w:rPr>
              <w:sym w:font="Symbol" w:char="00B3"/>
            </w:r>
            <w:r w:rsidRPr="00CF5A42">
              <w:rPr>
                <w:rFonts w:ascii="Calibri" w:hAnsi="Calibri"/>
                <w:sz w:val="18"/>
                <w:szCs w:val="18"/>
              </w:rPr>
              <w:t xml:space="preserve"> 0,35</w:t>
            </w:r>
          </w:p>
          <w:p w:rsidR="001F3A98" w:rsidRPr="00CF5A42" w:rsidRDefault="001F3A98" w:rsidP="00FD47C7">
            <w:pPr>
              <w:rPr>
                <w:rFonts w:ascii="Calibri" w:hAnsi="Calibri"/>
                <w:sz w:val="18"/>
                <w:szCs w:val="18"/>
              </w:rPr>
            </w:pPr>
            <w:r w:rsidRPr="00CF5A42">
              <w:rPr>
                <w:rFonts w:ascii="Calibri" w:hAnsi="Calibri"/>
                <w:sz w:val="18"/>
                <w:szCs w:val="18"/>
              </w:rPr>
              <w:sym w:font="Symbol" w:char="0062"/>
            </w:r>
            <w:r w:rsidRPr="00CF5A42">
              <w:rPr>
                <w:rFonts w:ascii="Calibri" w:hAnsi="Calibri"/>
                <w:sz w:val="18"/>
                <w:szCs w:val="18"/>
              </w:rPr>
              <w:t xml:space="preserve"> </w:t>
            </w:r>
            <w:r w:rsidRPr="00CF5A42">
              <w:rPr>
                <w:rFonts w:ascii="Calibri" w:hAnsi="Calibri"/>
                <w:sz w:val="18"/>
                <w:szCs w:val="18"/>
              </w:rPr>
              <w:sym w:font="Symbol" w:char="00B3"/>
            </w:r>
            <w:r w:rsidRPr="00CF5A42">
              <w:rPr>
                <w:rFonts w:ascii="Calibri" w:hAnsi="Calibri"/>
                <w:sz w:val="18"/>
                <w:szCs w:val="18"/>
              </w:rPr>
              <w:t xml:space="preserve"> 0,27</w:t>
            </w:r>
          </w:p>
          <w:p w:rsidR="001F3A98" w:rsidRPr="00CF5A42" w:rsidRDefault="001F3A98" w:rsidP="00FD47C7">
            <w:pPr>
              <w:rPr>
                <w:rFonts w:ascii="Calibri" w:hAnsi="Calibri"/>
                <w:sz w:val="18"/>
                <w:szCs w:val="18"/>
              </w:rPr>
            </w:pPr>
            <w:r w:rsidRPr="00CF5A42">
              <w:rPr>
                <w:rFonts w:ascii="Calibri" w:hAnsi="Calibri"/>
                <w:sz w:val="18"/>
                <w:szCs w:val="18"/>
              </w:rPr>
              <w:sym w:font="Symbol" w:char="0062"/>
            </w:r>
            <w:r w:rsidRPr="00CF5A42">
              <w:rPr>
                <w:rFonts w:ascii="Calibri" w:hAnsi="Calibri"/>
                <w:sz w:val="18"/>
                <w:szCs w:val="18"/>
              </w:rPr>
              <w:t xml:space="preserve"> </w:t>
            </w:r>
            <w:r w:rsidRPr="00CF5A42">
              <w:rPr>
                <w:rFonts w:ascii="Calibri" w:hAnsi="Calibri"/>
                <w:sz w:val="18"/>
                <w:szCs w:val="18"/>
              </w:rPr>
              <w:sym w:font="Symbol" w:char="00B3"/>
            </w:r>
            <w:r w:rsidRPr="00CF5A42">
              <w:rPr>
                <w:rFonts w:ascii="Calibri" w:hAnsi="Calibri"/>
                <w:sz w:val="18"/>
                <w:szCs w:val="18"/>
              </w:rPr>
              <w:t xml:space="preserve"> 0,05</w:t>
            </w:r>
          </w:p>
          <w:p w:rsidR="001F3A98" w:rsidRPr="00CF5A42" w:rsidRDefault="001F3A98" w:rsidP="00FD47C7">
            <w:pPr>
              <w:rPr>
                <w:rFonts w:ascii="Calibri" w:hAnsi="Calibri"/>
                <w:sz w:val="18"/>
                <w:szCs w:val="18"/>
              </w:rPr>
            </w:pPr>
            <w:r w:rsidRPr="00CF5A42">
              <w:rPr>
                <w:rFonts w:ascii="Calibri" w:hAnsi="Calibri"/>
                <w:sz w:val="18"/>
                <w:szCs w:val="18"/>
              </w:rPr>
              <w:sym w:font="Symbol" w:char="0062"/>
            </w:r>
            <w:r w:rsidRPr="00CF5A42">
              <w:rPr>
                <w:rFonts w:ascii="Calibri" w:hAnsi="Calibri"/>
                <w:sz w:val="18"/>
                <w:szCs w:val="18"/>
              </w:rPr>
              <w:t xml:space="preserve"> </w:t>
            </w:r>
            <w:r w:rsidRPr="00CF5A42">
              <w:rPr>
                <w:rFonts w:ascii="Calibri" w:hAnsi="Calibri"/>
                <w:sz w:val="18"/>
                <w:szCs w:val="18"/>
              </w:rPr>
              <w:sym w:font="Symbol" w:char="00B3"/>
            </w:r>
            <w:r w:rsidRPr="00CF5A42">
              <w:rPr>
                <w:rFonts w:ascii="Calibri" w:hAnsi="Calibri"/>
                <w:sz w:val="18"/>
                <w:szCs w:val="18"/>
              </w:rPr>
              <w:t xml:space="preserve"> 0,04</w:t>
            </w:r>
          </w:p>
          <w:p w:rsidR="001F3A98" w:rsidRPr="00CF5A42" w:rsidRDefault="001F3A98" w:rsidP="00FD47C7">
            <w:pPr>
              <w:rPr>
                <w:rFonts w:ascii="Calibri" w:hAnsi="Calibri"/>
                <w:sz w:val="18"/>
                <w:szCs w:val="18"/>
              </w:rPr>
            </w:pPr>
            <w:r w:rsidRPr="00CF5A42">
              <w:rPr>
                <w:rFonts w:ascii="Calibri" w:hAnsi="Calibri"/>
                <w:sz w:val="18"/>
                <w:szCs w:val="18"/>
              </w:rPr>
              <w:sym w:font="Symbol" w:char="0062"/>
            </w:r>
            <w:r w:rsidRPr="00CF5A42">
              <w:rPr>
                <w:rFonts w:ascii="Calibri" w:hAnsi="Calibri"/>
                <w:sz w:val="18"/>
                <w:szCs w:val="18"/>
              </w:rPr>
              <w:t xml:space="preserve"> </w:t>
            </w:r>
            <w:r w:rsidRPr="00CF5A42">
              <w:rPr>
                <w:rFonts w:ascii="Calibri" w:hAnsi="Calibri"/>
                <w:sz w:val="18"/>
                <w:szCs w:val="18"/>
              </w:rPr>
              <w:sym w:font="Symbol" w:char="00B3"/>
            </w:r>
            <w:r w:rsidRPr="00CF5A42">
              <w:rPr>
                <w:rFonts w:ascii="Calibri" w:hAnsi="Calibri"/>
                <w:sz w:val="18"/>
                <w:szCs w:val="18"/>
              </w:rPr>
              <w:t xml:space="preserve"> 0,01</w:t>
            </w:r>
          </w:p>
          <w:p w:rsidR="001F3A98" w:rsidRPr="00CF5A42" w:rsidRDefault="001F3A98" w:rsidP="00FD47C7">
            <w:pPr>
              <w:rPr>
                <w:rFonts w:ascii="Calibri" w:hAnsi="Calibri"/>
                <w:sz w:val="18"/>
                <w:szCs w:val="18"/>
              </w:rPr>
            </w:pPr>
            <w:r w:rsidRPr="00CF5A42">
              <w:rPr>
                <w:rFonts w:ascii="Calibri" w:hAnsi="Calibri"/>
                <w:sz w:val="18"/>
                <w:szCs w:val="18"/>
              </w:rPr>
              <w:t xml:space="preserve">0,09 </w:t>
            </w:r>
            <w:r w:rsidRPr="00CF5A42">
              <w:rPr>
                <w:rFonts w:ascii="Calibri" w:hAnsi="Calibri"/>
                <w:sz w:val="18"/>
                <w:szCs w:val="18"/>
              </w:rPr>
              <w:sym w:font="Symbol" w:char="00B3"/>
            </w:r>
            <w:r w:rsidRPr="00CF5A42">
              <w:rPr>
                <w:rFonts w:ascii="Calibri" w:hAnsi="Calibri"/>
                <w:sz w:val="18"/>
                <w:szCs w:val="18"/>
              </w:rPr>
              <w:sym w:font="Symbol" w:char="0062"/>
            </w:r>
            <w:r w:rsidRPr="00CF5A42">
              <w:rPr>
                <w:rFonts w:ascii="Calibri" w:hAnsi="Calibri"/>
                <w:sz w:val="18"/>
                <w:szCs w:val="18"/>
              </w:rPr>
              <w:t xml:space="preserve"> </w:t>
            </w:r>
            <w:r w:rsidRPr="00CF5A42">
              <w:rPr>
                <w:rFonts w:ascii="Calibri" w:hAnsi="Calibri"/>
                <w:sz w:val="18"/>
                <w:szCs w:val="18"/>
              </w:rPr>
              <w:sym w:font="Symbol" w:char="00B3"/>
            </w:r>
            <w:r w:rsidRPr="00CF5A42">
              <w:rPr>
                <w:rFonts w:ascii="Calibri" w:hAnsi="Calibri"/>
                <w:sz w:val="18"/>
                <w:szCs w:val="18"/>
              </w:rPr>
              <w:t xml:space="preserve"> 0,03</w:t>
            </w:r>
          </w:p>
          <w:p w:rsidR="001F3A98" w:rsidRPr="00CF5A42" w:rsidRDefault="001F3A98" w:rsidP="00FD47C7">
            <w:pPr>
              <w:rPr>
                <w:rFonts w:ascii="Calibri" w:hAnsi="Calibri"/>
                <w:sz w:val="18"/>
                <w:szCs w:val="18"/>
              </w:rPr>
            </w:pPr>
            <w:r w:rsidRPr="00CF5A42">
              <w:rPr>
                <w:rFonts w:ascii="Calibri" w:hAnsi="Calibri"/>
                <w:sz w:val="18"/>
                <w:szCs w:val="18"/>
              </w:rPr>
              <w:sym w:font="Symbol" w:char="0062"/>
            </w:r>
            <w:r w:rsidRPr="00CF5A42">
              <w:rPr>
                <w:rFonts w:ascii="Calibri" w:hAnsi="Calibri"/>
                <w:sz w:val="18"/>
                <w:szCs w:val="18"/>
              </w:rPr>
              <w:t xml:space="preserve"> </w:t>
            </w:r>
            <w:r w:rsidRPr="00CF5A42">
              <w:rPr>
                <w:rFonts w:ascii="Calibri" w:hAnsi="Calibri"/>
                <w:sz w:val="18"/>
                <w:szCs w:val="18"/>
              </w:rPr>
              <w:sym w:font="Symbol" w:char="00B3"/>
            </w:r>
            <w:r w:rsidRPr="00CF5A42">
              <w:rPr>
                <w:rFonts w:ascii="Calibri" w:hAnsi="Calibri"/>
                <w:sz w:val="18"/>
                <w:szCs w:val="18"/>
              </w:rPr>
              <w:t xml:space="preserve"> 0,17</w:t>
            </w:r>
          </w:p>
          <w:p w:rsidR="001F3A98" w:rsidRPr="00CF5A42" w:rsidRDefault="001F3A98" w:rsidP="00FD47C7">
            <w:pPr>
              <w:rPr>
                <w:rFonts w:ascii="Calibri" w:hAnsi="Calibri"/>
                <w:sz w:val="18"/>
                <w:szCs w:val="18"/>
              </w:rPr>
            </w:pPr>
            <w:r w:rsidRPr="00CF5A42">
              <w:rPr>
                <w:rFonts w:ascii="Calibri" w:hAnsi="Calibri"/>
                <w:sz w:val="18"/>
                <w:szCs w:val="18"/>
              </w:rPr>
              <w:t xml:space="preserve">0,18 </w:t>
            </w:r>
            <w:r w:rsidRPr="00CF5A42">
              <w:rPr>
                <w:rFonts w:ascii="Calibri" w:hAnsi="Calibri"/>
                <w:sz w:val="18"/>
                <w:szCs w:val="18"/>
              </w:rPr>
              <w:sym w:font="Symbol" w:char="00B3"/>
            </w:r>
            <w:r w:rsidRPr="00CF5A42">
              <w:rPr>
                <w:rFonts w:ascii="Calibri" w:hAnsi="Calibri"/>
                <w:sz w:val="18"/>
                <w:szCs w:val="18"/>
              </w:rPr>
              <w:sym w:font="Symbol" w:char="0062"/>
            </w:r>
            <w:r w:rsidRPr="00CF5A42">
              <w:rPr>
                <w:rFonts w:ascii="Calibri" w:hAnsi="Calibri"/>
                <w:sz w:val="18"/>
                <w:szCs w:val="18"/>
              </w:rPr>
              <w:t xml:space="preserve"> </w:t>
            </w:r>
            <w:r w:rsidRPr="00CF5A42">
              <w:rPr>
                <w:rFonts w:ascii="Calibri" w:hAnsi="Calibri"/>
                <w:sz w:val="18"/>
                <w:szCs w:val="18"/>
              </w:rPr>
              <w:sym w:font="Symbol" w:char="00B3"/>
            </w:r>
            <w:r w:rsidRPr="00CF5A42">
              <w:rPr>
                <w:rFonts w:ascii="Calibri" w:hAnsi="Calibri"/>
                <w:sz w:val="18"/>
                <w:szCs w:val="18"/>
              </w:rPr>
              <w:t xml:space="preserve"> 0,12</w:t>
            </w:r>
          </w:p>
        </w:tc>
        <w:tc>
          <w:tcPr>
            <w:tcW w:w="1781" w:type="dxa"/>
            <w:tcBorders>
              <w:top w:val="single" w:sz="4" w:space="0" w:color="auto"/>
              <w:left w:val="single" w:sz="4" w:space="0" w:color="auto"/>
              <w:bottom w:val="single" w:sz="4" w:space="0" w:color="auto"/>
              <w:right w:val="single" w:sz="4" w:space="0" w:color="auto"/>
            </w:tcBorders>
          </w:tcPr>
          <w:p w:rsidR="001F3A98" w:rsidRPr="00CF5A42" w:rsidRDefault="001F3A98" w:rsidP="00FD47C7">
            <w:pPr>
              <w:rPr>
                <w:rFonts w:ascii="Calibri" w:hAnsi="Calibri"/>
                <w:sz w:val="18"/>
                <w:szCs w:val="18"/>
              </w:rPr>
            </w:pPr>
            <w:r w:rsidRPr="00CF5A42">
              <w:rPr>
                <w:rFonts w:ascii="Calibri" w:hAnsi="Calibri"/>
                <w:sz w:val="18"/>
                <w:szCs w:val="18"/>
              </w:rPr>
              <w:t>typ 2</w:t>
            </w:r>
          </w:p>
          <w:p w:rsidR="001F3A98" w:rsidRPr="00CF5A42" w:rsidRDefault="001F3A98" w:rsidP="00FD47C7">
            <w:pPr>
              <w:rPr>
                <w:rFonts w:ascii="Calibri" w:hAnsi="Calibri"/>
                <w:sz w:val="18"/>
                <w:szCs w:val="18"/>
              </w:rPr>
            </w:pPr>
          </w:p>
          <w:p w:rsidR="001F3A98" w:rsidRPr="00CF5A42" w:rsidRDefault="001F3A98" w:rsidP="00FD47C7">
            <w:pPr>
              <w:rPr>
                <w:rFonts w:ascii="Calibri" w:hAnsi="Calibri"/>
                <w:sz w:val="18"/>
                <w:szCs w:val="18"/>
              </w:rPr>
            </w:pPr>
          </w:p>
          <w:p w:rsidR="001F3A98" w:rsidRPr="00CF5A42" w:rsidRDefault="001F3A98" w:rsidP="00FD47C7">
            <w:pPr>
              <w:rPr>
                <w:rFonts w:ascii="Calibri" w:hAnsi="Calibri"/>
                <w:sz w:val="18"/>
                <w:szCs w:val="18"/>
              </w:rPr>
            </w:pPr>
            <w:r w:rsidRPr="00CF5A42">
              <w:rPr>
                <w:rFonts w:ascii="Calibri" w:hAnsi="Calibri"/>
                <w:sz w:val="18"/>
                <w:szCs w:val="18"/>
              </w:rPr>
              <w:sym w:font="Symbol" w:char="0062"/>
            </w:r>
            <w:r w:rsidRPr="00CF5A42">
              <w:rPr>
                <w:rFonts w:ascii="Calibri" w:hAnsi="Calibri"/>
                <w:sz w:val="18"/>
                <w:szCs w:val="18"/>
              </w:rPr>
              <w:t xml:space="preserve"> </w:t>
            </w:r>
            <w:r w:rsidRPr="00CF5A42">
              <w:rPr>
                <w:rFonts w:ascii="Calibri" w:hAnsi="Calibri"/>
                <w:sz w:val="18"/>
                <w:szCs w:val="18"/>
              </w:rPr>
              <w:sym w:font="Symbol" w:char="00B3"/>
            </w:r>
            <w:r w:rsidRPr="00CF5A42">
              <w:rPr>
                <w:rFonts w:ascii="Calibri" w:hAnsi="Calibri"/>
                <w:sz w:val="18"/>
                <w:szCs w:val="18"/>
              </w:rPr>
              <w:t xml:space="preserve"> 0,27</w:t>
            </w:r>
          </w:p>
          <w:p w:rsidR="001F3A98" w:rsidRPr="00CF5A42" w:rsidRDefault="001F3A98" w:rsidP="00FD47C7">
            <w:pPr>
              <w:rPr>
                <w:rFonts w:ascii="Calibri" w:hAnsi="Calibri"/>
                <w:sz w:val="18"/>
                <w:szCs w:val="18"/>
              </w:rPr>
            </w:pPr>
            <w:r w:rsidRPr="00CF5A42">
              <w:rPr>
                <w:rFonts w:ascii="Calibri" w:hAnsi="Calibri"/>
                <w:sz w:val="18"/>
                <w:szCs w:val="18"/>
              </w:rPr>
              <w:sym w:font="Symbol" w:char="0062"/>
            </w:r>
            <w:r w:rsidRPr="00CF5A42">
              <w:rPr>
                <w:rFonts w:ascii="Calibri" w:hAnsi="Calibri"/>
                <w:sz w:val="18"/>
                <w:szCs w:val="18"/>
              </w:rPr>
              <w:t xml:space="preserve"> </w:t>
            </w:r>
            <w:r w:rsidRPr="00CF5A42">
              <w:rPr>
                <w:rFonts w:ascii="Calibri" w:hAnsi="Calibri"/>
                <w:sz w:val="18"/>
                <w:szCs w:val="18"/>
              </w:rPr>
              <w:sym w:font="Symbol" w:char="00B3"/>
            </w:r>
            <w:r w:rsidRPr="00CF5A42">
              <w:rPr>
                <w:rFonts w:ascii="Calibri" w:hAnsi="Calibri"/>
                <w:sz w:val="18"/>
                <w:szCs w:val="18"/>
              </w:rPr>
              <w:t xml:space="preserve"> 0,16</w:t>
            </w:r>
          </w:p>
          <w:p w:rsidR="001F3A98" w:rsidRPr="00CF5A42" w:rsidRDefault="001F3A98" w:rsidP="00FD47C7">
            <w:pPr>
              <w:rPr>
                <w:rFonts w:ascii="Calibri" w:hAnsi="Calibri"/>
                <w:sz w:val="18"/>
                <w:szCs w:val="18"/>
              </w:rPr>
            </w:pPr>
            <w:r w:rsidRPr="00CF5A42">
              <w:rPr>
                <w:rFonts w:ascii="Calibri" w:hAnsi="Calibri"/>
                <w:sz w:val="18"/>
                <w:szCs w:val="18"/>
              </w:rPr>
              <w:sym w:font="Symbol" w:char="0062"/>
            </w:r>
            <w:r w:rsidRPr="00CF5A42">
              <w:rPr>
                <w:rFonts w:ascii="Calibri" w:hAnsi="Calibri"/>
                <w:sz w:val="18"/>
                <w:szCs w:val="18"/>
              </w:rPr>
              <w:t xml:space="preserve"> </w:t>
            </w:r>
            <w:r w:rsidRPr="00CF5A42">
              <w:rPr>
                <w:rFonts w:ascii="Calibri" w:hAnsi="Calibri"/>
                <w:sz w:val="18"/>
                <w:szCs w:val="18"/>
              </w:rPr>
              <w:sym w:font="Symbol" w:char="00B3"/>
            </w:r>
            <w:r w:rsidRPr="00CF5A42">
              <w:rPr>
                <w:rFonts w:ascii="Calibri" w:hAnsi="Calibri"/>
                <w:sz w:val="18"/>
                <w:szCs w:val="18"/>
              </w:rPr>
              <w:t xml:space="preserve"> 0,03</w:t>
            </w:r>
          </w:p>
          <w:p w:rsidR="001F3A98" w:rsidRPr="00CF5A42" w:rsidRDefault="001F3A98" w:rsidP="00FD47C7">
            <w:pPr>
              <w:rPr>
                <w:rFonts w:ascii="Calibri" w:hAnsi="Calibri"/>
                <w:sz w:val="18"/>
                <w:szCs w:val="18"/>
              </w:rPr>
            </w:pPr>
            <w:r w:rsidRPr="00CF5A42">
              <w:rPr>
                <w:rFonts w:ascii="Calibri" w:hAnsi="Calibri"/>
                <w:sz w:val="18"/>
                <w:szCs w:val="18"/>
              </w:rPr>
              <w:sym w:font="Symbol" w:char="0062"/>
            </w:r>
            <w:r w:rsidRPr="00CF5A42">
              <w:rPr>
                <w:rFonts w:ascii="Calibri" w:hAnsi="Calibri"/>
                <w:sz w:val="18"/>
                <w:szCs w:val="18"/>
              </w:rPr>
              <w:t xml:space="preserve"> </w:t>
            </w:r>
            <w:r w:rsidRPr="00CF5A42">
              <w:rPr>
                <w:rFonts w:ascii="Calibri" w:hAnsi="Calibri"/>
                <w:sz w:val="18"/>
                <w:szCs w:val="18"/>
              </w:rPr>
              <w:sym w:font="Symbol" w:char="00B3"/>
            </w:r>
            <w:r w:rsidRPr="00CF5A42">
              <w:rPr>
                <w:rFonts w:ascii="Calibri" w:hAnsi="Calibri"/>
                <w:sz w:val="18"/>
                <w:szCs w:val="18"/>
              </w:rPr>
              <w:t xml:space="preserve"> 0,03</w:t>
            </w:r>
          </w:p>
          <w:p w:rsidR="001F3A98" w:rsidRPr="00CF5A42" w:rsidRDefault="001F3A98" w:rsidP="00FD47C7">
            <w:pPr>
              <w:rPr>
                <w:rFonts w:ascii="Calibri" w:hAnsi="Calibri"/>
                <w:sz w:val="18"/>
                <w:szCs w:val="18"/>
              </w:rPr>
            </w:pPr>
            <w:r w:rsidRPr="00CF5A42">
              <w:rPr>
                <w:rFonts w:ascii="Calibri" w:hAnsi="Calibri"/>
                <w:sz w:val="18"/>
                <w:szCs w:val="18"/>
              </w:rPr>
              <w:sym w:font="Symbol" w:char="0062"/>
            </w:r>
            <w:r w:rsidRPr="00CF5A42">
              <w:rPr>
                <w:rFonts w:ascii="Calibri" w:hAnsi="Calibri"/>
                <w:sz w:val="18"/>
                <w:szCs w:val="18"/>
              </w:rPr>
              <w:t xml:space="preserve"> </w:t>
            </w:r>
            <w:r w:rsidRPr="00CF5A42">
              <w:rPr>
                <w:rFonts w:ascii="Calibri" w:hAnsi="Calibri"/>
                <w:sz w:val="18"/>
                <w:szCs w:val="18"/>
              </w:rPr>
              <w:sym w:font="Symbol" w:char="00B3"/>
            </w:r>
            <w:r w:rsidRPr="00CF5A42">
              <w:rPr>
                <w:rFonts w:ascii="Calibri" w:hAnsi="Calibri"/>
                <w:sz w:val="18"/>
                <w:szCs w:val="18"/>
              </w:rPr>
              <w:t xml:space="preserve"> 0,01</w:t>
            </w:r>
          </w:p>
          <w:p w:rsidR="001F3A98" w:rsidRPr="00CF5A42" w:rsidRDefault="001F3A98" w:rsidP="00FD47C7">
            <w:pPr>
              <w:rPr>
                <w:rFonts w:ascii="Calibri" w:hAnsi="Calibri"/>
                <w:sz w:val="18"/>
                <w:szCs w:val="18"/>
              </w:rPr>
            </w:pPr>
            <w:r w:rsidRPr="00CF5A42">
              <w:rPr>
                <w:rFonts w:ascii="Calibri" w:hAnsi="Calibri"/>
                <w:sz w:val="18"/>
                <w:szCs w:val="18"/>
              </w:rPr>
              <w:t xml:space="preserve">0,09 </w:t>
            </w:r>
            <w:r w:rsidRPr="00CF5A42">
              <w:rPr>
                <w:rFonts w:ascii="Calibri" w:hAnsi="Calibri"/>
                <w:sz w:val="18"/>
                <w:szCs w:val="18"/>
              </w:rPr>
              <w:sym w:font="Symbol" w:char="00B3"/>
            </w:r>
            <w:r w:rsidRPr="00CF5A42">
              <w:rPr>
                <w:rFonts w:ascii="Calibri" w:hAnsi="Calibri"/>
                <w:sz w:val="18"/>
                <w:szCs w:val="18"/>
              </w:rPr>
              <w:sym w:font="Symbol" w:char="0062"/>
            </w:r>
            <w:r w:rsidRPr="00CF5A42">
              <w:rPr>
                <w:rFonts w:ascii="Calibri" w:hAnsi="Calibri"/>
                <w:sz w:val="18"/>
                <w:szCs w:val="18"/>
              </w:rPr>
              <w:t xml:space="preserve"> </w:t>
            </w:r>
            <w:r w:rsidRPr="00CF5A42">
              <w:rPr>
                <w:rFonts w:ascii="Calibri" w:hAnsi="Calibri"/>
                <w:sz w:val="18"/>
                <w:szCs w:val="18"/>
              </w:rPr>
              <w:sym w:font="Symbol" w:char="00B3"/>
            </w:r>
            <w:r w:rsidRPr="00CF5A42">
              <w:rPr>
                <w:rFonts w:ascii="Calibri" w:hAnsi="Calibri"/>
                <w:sz w:val="18"/>
                <w:szCs w:val="18"/>
              </w:rPr>
              <w:t xml:space="preserve"> 0,03</w:t>
            </w:r>
          </w:p>
          <w:p w:rsidR="001F3A98" w:rsidRPr="00CF5A42" w:rsidRDefault="001F3A98" w:rsidP="00FD47C7">
            <w:pPr>
              <w:rPr>
                <w:rFonts w:ascii="Calibri" w:hAnsi="Calibri"/>
                <w:sz w:val="18"/>
                <w:szCs w:val="18"/>
              </w:rPr>
            </w:pPr>
            <w:r w:rsidRPr="00CF5A42">
              <w:rPr>
                <w:rFonts w:ascii="Calibri" w:hAnsi="Calibri"/>
                <w:sz w:val="18"/>
                <w:szCs w:val="18"/>
              </w:rPr>
              <w:sym w:font="Symbol" w:char="0062"/>
            </w:r>
            <w:r w:rsidRPr="00CF5A42">
              <w:rPr>
                <w:rFonts w:ascii="Calibri" w:hAnsi="Calibri"/>
                <w:sz w:val="18"/>
                <w:szCs w:val="18"/>
              </w:rPr>
              <w:t xml:space="preserve"> </w:t>
            </w:r>
            <w:r w:rsidRPr="00CF5A42">
              <w:rPr>
                <w:rFonts w:ascii="Calibri" w:hAnsi="Calibri"/>
                <w:sz w:val="18"/>
                <w:szCs w:val="18"/>
              </w:rPr>
              <w:sym w:font="Symbol" w:char="00B3"/>
            </w:r>
            <w:r w:rsidRPr="00CF5A42">
              <w:rPr>
                <w:rFonts w:ascii="Calibri" w:hAnsi="Calibri"/>
                <w:sz w:val="18"/>
                <w:szCs w:val="18"/>
              </w:rPr>
              <w:t xml:space="preserve"> 0,14</w:t>
            </w:r>
          </w:p>
          <w:p w:rsidR="001F3A98" w:rsidRPr="00CF5A42" w:rsidRDefault="001F3A98" w:rsidP="00FD47C7">
            <w:pPr>
              <w:rPr>
                <w:rFonts w:ascii="Calibri" w:hAnsi="Calibri"/>
                <w:sz w:val="18"/>
                <w:szCs w:val="18"/>
              </w:rPr>
            </w:pPr>
            <w:r w:rsidRPr="00CF5A42">
              <w:rPr>
                <w:rFonts w:ascii="Calibri" w:hAnsi="Calibri"/>
                <w:sz w:val="18"/>
                <w:szCs w:val="18"/>
              </w:rPr>
              <w:t xml:space="preserve">0,18 </w:t>
            </w:r>
            <w:r w:rsidRPr="00CF5A42">
              <w:rPr>
                <w:rFonts w:ascii="Calibri" w:hAnsi="Calibri"/>
                <w:sz w:val="18"/>
                <w:szCs w:val="18"/>
              </w:rPr>
              <w:sym w:font="Symbol" w:char="00B3"/>
            </w:r>
            <w:r w:rsidRPr="00CF5A42">
              <w:rPr>
                <w:rFonts w:ascii="Calibri" w:hAnsi="Calibri"/>
                <w:sz w:val="18"/>
                <w:szCs w:val="18"/>
              </w:rPr>
              <w:sym w:font="Symbol" w:char="0062"/>
            </w:r>
            <w:r w:rsidRPr="00CF5A42">
              <w:rPr>
                <w:rFonts w:ascii="Calibri" w:hAnsi="Calibri"/>
                <w:sz w:val="18"/>
                <w:szCs w:val="18"/>
              </w:rPr>
              <w:t xml:space="preserve"> </w:t>
            </w:r>
            <w:r w:rsidRPr="00CF5A42">
              <w:rPr>
                <w:rFonts w:ascii="Calibri" w:hAnsi="Calibri"/>
                <w:sz w:val="18"/>
                <w:szCs w:val="18"/>
              </w:rPr>
              <w:sym w:font="Symbol" w:char="00B3"/>
            </w:r>
            <w:r w:rsidRPr="00CF5A42">
              <w:rPr>
                <w:rFonts w:ascii="Calibri" w:hAnsi="Calibri"/>
                <w:sz w:val="18"/>
                <w:szCs w:val="18"/>
              </w:rPr>
              <w:t xml:space="preserve"> 0,12</w:t>
            </w:r>
          </w:p>
        </w:tc>
      </w:tr>
    </w:tbl>
    <w:p w:rsidR="001F3A98" w:rsidRPr="00AE4681" w:rsidRDefault="001F3A98" w:rsidP="001F3A98">
      <w:pPr>
        <w:ind w:firstLine="709"/>
        <w:rPr>
          <w:rFonts w:ascii="Calibri" w:hAnsi="Calibri"/>
          <w:i/>
        </w:rPr>
      </w:pPr>
      <w:r w:rsidRPr="00AE4681">
        <w:rPr>
          <w:rFonts w:ascii="Calibri" w:hAnsi="Calibri"/>
          <w:i/>
        </w:rPr>
        <w:t>*) współrzędne chromatyczności x, y w polu barw według tablicy 3</w:t>
      </w:r>
    </w:p>
    <w:p w:rsidR="001F3A98" w:rsidRPr="00CF5A42" w:rsidRDefault="001F3A98" w:rsidP="001F3A98">
      <w:pPr>
        <w:rPr>
          <w:rFonts w:ascii="Calibri" w:hAnsi="Calibri"/>
        </w:rPr>
      </w:pPr>
    </w:p>
    <w:p w:rsidR="001F3A98" w:rsidRPr="00CF5A42" w:rsidRDefault="001F3A98" w:rsidP="004E5CC8">
      <w:pPr>
        <w:ind w:left="851"/>
        <w:rPr>
          <w:rFonts w:ascii="Calibri" w:hAnsi="Calibri"/>
        </w:rPr>
      </w:pPr>
      <w:r w:rsidRPr="00CF5A42">
        <w:rPr>
          <w:rFonts w:ascii="Calibri" w:hAnsi="Calibri"/>
        </w:rPr>
        <w:t>Tablica 3. Współrzędne punktów narożnych wyznaczających pola barw</w:t>
      </w:r>
    </w:p>
    <w:tbl>
      <w:tblPr>
        <w:tblW w:w="7300" w:type="dxa"/>
        <w:tblInd w:w="921" w:type="dxa"/>
        <w:tblBorders>
          <w:top w:val="single" w:sz="4" w:space="0" w:color="auto"/>
          <w:left w:val="single" w:sz="4" w:space="0" w:color="auto"/>
          <w:bottom w:val="single" w:sz="4" w:space="0" w:color="auto"/>
          <w:right w:val="single" w:sz="4" w:space="0" w:color="auto"/>
        </w:tblBorders>
        <w:tblLayout w:type="fixed"/>
        <w:tblCellMar>
          <w:left w:w="70" w:type="dxa"/>
          <w:right w:w="70" w:type="dxa"/>
        </w:tblCellMar>
        <w:tblLook w:val="0000"/>
      </w:tblPr>
      <w:tblGrid>
        <w:gridCol w:w="1913"/>
        <w:gridCol w:w="851"/>
        <w:gridCol w:w="1134"/>
        <w:gridCol w:w="1134"/>
        <w:gridCol w:w="1134"/>
        <w:gridCol w:w="1134"/>
      </w:tblGrid>
      <w:tr w:rsidR="001F3A98" w:rsidRPr="00CF5A42" w:rsidTr="004E5CC8">
        <w:trPr>
          <w:cantSplit/>
          <w:trHeight w:val="528"/>
          <w:tblHeader/>
        </w:trPr>
        <w:tc>
          <w:tcPr>
            <w:tcW w:w="2764" w:type="dxa"/>
            <w:gridSpan w:val="2"/>
            <w:vMerge w:val="restart"/>
            <w:tcBorders>
              <w:top w:val="single" w:sz="4" w:space="0" w:color="auto"/>
              <w:left w:val="single" w:sz="4" w:space="0" w:color="auto"/>
              <w:bottom w:val="single" w:sz="4" w:space="0" w:color="auto"/>
              <w:right w:val="single" w:sz="4" w:space="0" w:color="auto"/>
            </w:tcBorders>
          </w:tcPr>
          <w:p w:rsidR="001F3A98" w:rsidRPr="00CF5A42" w:rsidRDefault="001F3A98" w:rsidP="00FD47C7">
            <w:pPr>
              <w:rPr>
                <w:rFonts w:ascii="Calibri" w:hAnsi="Calibri"/>
                <w:b/>
                <w:sz w:val="18"/>
                <w:szCs w:val="18"/>
              </w:rPr>
            </w:pPr>
          </w:p>
          <w:p w:rsidR="001F3A98" w:rsidRPr="00CF5A42" w:rsidRDefault="001F3A98" w:rsidP="00FD47C7">
            <w:pPr>
              <w:rPr>
                <w:rFonts w:ascii="Calibri" w:hAnsi="Calibri"/>
                <w:b/>
                <w:sz w:val="18"/>
                <w:szCs w:val="18"/>
              </w:rPr>
            </w:pPr>
            <w:r w:rsidRPr="00CF5A42">
              <w:rPr>
                <w:rFonts w:ascii="Calibri" w:hAnsi="Calibri"/>
                <w:b/>
                <w:sz w:val="18"/>
                <w:szCs w:val="18"/>
              </w:rPr>
              <w:t>Barwa folii</w:t>
            </w:r>
          </w:p>
        </w:tc>
        <w:tc>
          <w:tcPr>
            <w:tcW w:w="4536" w:type="dxa"/>
            <w:gridSpan w:val="4"/>
            <w:tcBorders>
              <w:top w:val="single" w:sz="4" w:space="0" w:color="auto"/>
              <w:left w:val="single" w:sz="4" w:space="0" w:color="auto"/>
              <w:bottom w:val="single" w:sz="4" w:space="0" w:color="auto"/>
              <w:right w:val="single" w:sz="4" w:space="0" w:color="auto"/>
            </w:tcBorders>
          </w:tcPr>
          <w:p w:rsidR="001F3A98" w:rsidRPr="00CF5A42" w:rsidRDefault="001F3A98" w:rsidP="00FD47C7">
            <w:pPr>
              <w:rPr>
                <w:rFonts w:ascii="Calibri" w:hAnsi="Calibri"/>
                <w:b/>
                <w:sz w:val="18"/>
                <w:szCs w:val="18"/>
              </w:rPr>
            </w:pPr>
            <w:r w:rsidRPr="00CF5A42">
              <w:rPr>
                <w:rFonts w:ascii="Calibri" w:hAnsi="Calibri"/>
                <w:b/>
                <w:sz w:val="18"/>
                <w:szCs w:val="18"/>
              </w:rPr>
              <w:t>Współrzędne chromatyczności punktów narożnych wyznaczających pole barwy</w:t>
            </w:r>
          </w:p>
          <w:p w:rsidR="001F3A98" w:rsidRPr="00CF5A42" w:rsidRDefault="001F3A98" w:rsidP="00FD47C7">
            <w:pPr>
              <w:rPr>
                <w:rFonts w:ascii="Calibri" w:hAnsi="Calibri"/>
                <w:b/>
                <w:sz w:val="18"/>
                <w:szCs w:val="18"/>
              </w:rPr>
            </w:pPr>
            <w:r w:rsidRPr="00CF5A42">
              <w:rPr>
                <w:rFonts w:ascii="Calibri" w:hAnsi="Calibri"/>
                <w:b/>
                <w:sz w:val="18"/>
                <w:szCs w:val="18"/>
              </w:rPr>
              <w:t>(źródło światła D65, geometria pomiaru 45/0</w:t>
            </w:r>
            <w:r w:rsidRPr="00CF5A42">
              <w:rPr>
                <w:rFonts w:ascii="Calibri" w:hAnsi="Calibri"/>
                <w:b/>
                <w:sz w:val="18"/>
                <w:szCs w:val="18"/>
                <w:vertAlign w:val="superscript"/>
              </w:rPr>
              <w:t>o</w:t>
            </w:r>
            <w:r w:rsidRPr="00CF5A42">
              <w:rPr>
                <w:rFonts w:ascii="Calibri" w:hAnsi="Calibri"/>
                <w:b/>
                <w:sz w:val="18"/>
                <w:szCs w:val="18"/>
              </w:rPr>
              <w:t xml:space="preserve">)  </w:t>
            </w:r>
          </w:p>
        </w:tc>
      </w:tr>
      <w:tr w:rsidR="001F3A98" w:rsidRPr="00CF5A42" w:rsidTr="004E5CC8">
        <w:trPr>
          <w:cantSplit/>
          <w:trHeight w:val="194"/>
          <w:tblHeader/>
        </w:trPr>
        <w:tc>
          <w:tcPr>
            <w:tcW w:w="2764" w:type="dxa"/>
            <w:gridSpan w:val="2"/>
            <w:vMerge/>
            <w:tcBorders>
              <w:top w:val="single" w:sz="4" w:space="0" w:color="auto"/>
              <w:left w:val="single" w:sz="4" w:space="0" w:color="auto"/>
              <w:bottom w:val="single" w:sz="4" w:space="0" w:color="auto"/>
              <w:right w:val="single" w:sz="4" w:space="0" w:color="auto"/>
            </w:tcBorders>
            <w:vAlign w:val="center"/>
          </w:tcPr>
          <w:p w:rsidR="001F3A98" w:rsidRPr="00CF5A42" w:rsidRDefault="001F3A98" w:rsidP="00FD47C7">
            <w:pPr>
              <w:rPr>
                <w:rFonts w:ascii="Calibri" w:hAnsi="Calibri"/>
                <w:b/>
                <w:sz w:val="18"/>
                <w:szCs w:val="18"/>
              </w:rPr>
            </w:pPr>
          </w:p>
        </w:tc>
        <w:tc>
          <w:tcPr>
            <w:tcW w:w="1134" w:type="dxa"/>
            <w:tcBorders>
              <w:top w:val="single" w:sz="4" w:space="0" w:color="auto"/>
              <w:left w:val="single" w:sz="4" w:space="0" w:color="auto"/>
              <w:bottom w:val="single" w:sz="4" w:space="0" w:color="auto"/>
              <w:right w:val="single" w:sz="4" w:space="0" w:color="auto"/>
            </w:tcBorders>
          </w:tcPr>
          <w:p w:rsidR="001F3A98" w:rsidRPr="00CF5A42" w:rsidRDefault="001F3A98" w:rsidP="00FD47C7">
            <w:pPr>
              <w:rPr>
                <w:rFonts w:ascii="Calibri" w:hAnsi="Calibri"/>
                <w:b/>
                <w:sz w:val="18"/>
                <w:szCs w:val="18"/>
              </w:rPr>
            </w:pPr>
            <w:r w:rsidRPr="00CF5A42">
              <w:rPr>
                <w:rFonts w:ascii="Calibri" w:hAnsi="Calibri"/>
                <w:b/>
                <w:sz w:val="18"/>
                <w:szCs w:val="18"/>
              </w:rPr>
              <w:t>1</w:t>
            </w:r>
          </w:p>
        </w:tc>
        <w:tc>
          <w:tcPr>
            <w:tcW w:w="1134" w:type="dxa"/>
            <w:tcBorders>
              <w:top w:val="single" w:sz="4" w:space="0" w:color="auto"/>
              <w:left w:val="single" w:sz="4" w:space="0" w:color="auto"/>
              <w:bottom w:val="single" w:sz="4" w:space="0" w:color="auto"/>
              <w:right w:val="single" w:sz="4" w:space="0" w:color="auto"/>
            </w:tcBorders>
          </w:tcPr>
          <w:p w:rsidR="001F3A98" w:rsidRPr="00CF5A42" w:rsidRDefault="001F3A98" w:rsidP="00FD47C7">
            <w:pPr>
              <w:rPr>
                <w:rFonts w:ascii="Calibri" w:hAnsi="Calibri"/>
                <w:b/>
                <w:sz w:val="18"/>
                <w:szCs w:val="18"/>
              </w:rPr>
            </w:pPr>
            <w:r w:rsidRPr="00CF5A42">
              <w:rPr>
                <w:rFonts w:ascii="Calibri" w:hAnsi="Calibri"/>
                <w:b/>
                <w:sz w:val="18"/>
                <w:szCs w:val="18"/>
              </w:rPr>
              <w:t>2</w:t>
            </w:r>
          </w:p>
        </w:tc>
        <w:tc>
          <w:tcPr>
            <w:tcW w:w="1134" w:type="dxa"/>
            <w:tcBorders>
              <w:top w:val="single" w:sz="4" w:space="0" w:color="auto"/>
              <w:left w:val="single" w:sz="4" w:space="0" w:color="auto"/>
              <w:bottom w:val="single" w:sz="4" w:space="0" w:color="auto"/>
              <w:right w:val="single" w:sz="4" w:space="0" w:color="auto"/>
            </w:tcBorders>
          </w:tcPr>
          <w:p w:rsidR="001F3A98" w:rsidRPr="00CF5A42" w:rsidRDefault="001F3A98" w:rsidP="00FD47C7">
            <w:pPr>
              <w:rPr>
                <w:rFonts w:ascii="Calibri" w:hAnsi="Calibri"/>
                <w:b/>
                <w:sz w:val="18"/>
                <w:szCs w:val="18"/>
              </w:rPr>
            </w:pPr>
            <w:r w:rsidRPr="00CF5A42">
              <w:rPr>
                <w:rFonts w:ascii="Calibri" w:hAnsi="Calibri"/>
                <w:b/>
                <w:sz w:val="18"/>
                <w:szCs w:val="18"/>
              </w:rPr>
              <w:t>3</w:t>
            </w:r>
          </w:p>
        </w:tc>
        <w:tc>
          <w:tcPr>
            <w:tcW w:w="1134" w:type="dxa"/>
            <w:tcBorders>
              <w:top w:val="single" w:sz="4" w:space="0" w:color="auto"/>
              <w:left w:val="single" w:sz="4" w:space="0" w:color="auto"/>
              <w:bottom w:val="single" w:sz="4" w:space="0" w:color="auto"/>
              <w:right w:val="single" w:sz="4" w:space="0" w:color="auto"/>
            </w:tcBorders>
          </w:tcPr>
          <w:p w:rsidR="001F3A98" w:rsidRPr="00CF5A42" w:rsidRDefault="001F3A98" w:rsidP="00FD47C7">
            <w:pPr>
              <w:rPr>
                <w:rFonts w:ascii="Calibri" w:hAnsi="Calibri"/>
                <w:b/>
                <w:sz w:val="18"/>
                <w:szCs w:val="18"/>
              </w:rPr>
            </w:pPr>
            <w:r w:rsidRPr="00CF5A42">
              <w:rPr>
                <w:rFonts w:ascii="Calibri" w:hAnsi="Calibri"/>
                <w:b/>
                <w:sz w:val="18"/>
                <w:szCs w:val="18"/>
              </w:rPr>
              <w:t>4</w:t>
            </w:r>
          </w:p>
        </w:tc>
      </w:tr>
      <w:tr w:rsidR="001F3A98" w:rsidRPr="00CF5A42" w:rsidTr="004E5CC8">
        <w:trPr>
          <w:cantSplit/>
          <w:trHeight w:val="270"/>
        </w:trPr>
        <w:tc>
          <w:tcPr>
            <w:tcW w:w="1913" w:type="dxa"/>
            <w:vMerge w:val="restart"/>
            <w:tcBorders>
              <w:top w:val="single" w:sz="4" w:space="0" w:color="auto"/>
              <w:left w:val="single" w:sz="4" w:space="0" w:color="auto"/>
              <w:bottom w:val="single" w:sz="4" w:space="0" w:color="auto"/>
              <w:right w:val="single" w:sz="4" w:space="0" w:color="auto"/>
            </w:tcBorders>
          </w:tcPr>
          <w:p w:rsidR="001F3A98" w:rsidRPr="00CF5A42" w:rsidRDefault="001F3A98" w:rsidP="00FD47C7">
            <w:pPr>
              <w:rPr>
                <w:rFonts w:ascii="Calibri" w:hAnsi="Calibri"/>
                <w:sz w:val="18"/>
                <w:szCs w:val="18"/>
              </w:rPr>
            </w:pPr>
            <w:r w:rsidRPr="00CF5A42">
              <w:rPr>
                <w:rFonts w:ascii="Calibri" w:hAnsi="Calibri"/>
                <w:sz w:val="18"/>
                <w:szCs w:val="18"/>
              </w:rPr>
              <w:t>Biała</w:t>
            </w:r>
          </w:p>
        </w:tc>
        <w:tc>
          <w:tcPr>
            <w:tcW w:w="851" w:type="dxa"/>
            <w:tcBorders>
              <w:top w:val="single" w:sz="4" w:space="0" w:color="auto"/>
              <w:left w:val="single" w:sz="4" w:space="0" w:color="auto"/>
              <w:bottom w:val="single" w:sz="4" w:space="0" w:color="auto"/>
              <w:right w:val="single" w:sz="4" w:space="0" w:color="auto"/>
            </w:tcBorders>
          </w:tcPr>
          <w:p w:rsidR="001F3A98" w:rsidRPr="00CF5A42" w:rsidRDefault="001F3A98" w:rsidP="00FD47C7">
            <w:pPr>
              <w:rPr>
                <w:rFonts w:ascii="Calibri" w:hAnsi="Calibri"/>
                <w:sz w:val="18"/>
                <w:szCs w:val="18"/>
              </w:rPr>
            </w:pPr>
            <w:r w:rsidRPr="00CF5A42">
              <w:rPr>
                <w:rFonts w:ascii="Calibri" w:hAnsi="Calibri"/>
                <w:sz w:val="18"/>
                <w:szCs w:val="18"/>
              </w:rPr>
              <w:t>x</w:t>
            </w:r>
          </w:p>
        </w:tc>
        <w:tc>
          <w:tcPr>
            <w:tcW w:w="1134" w:type="dxa"/>
            <w:tcBorders>
              <w:top w:val="single" w:sz="4" w:space="0" w:color="auto"/>
              <w:left w:val="single" w:sz="4" w:space="0" w:color="auto"/>
              <w:bottom w:val="single" w:sz="4" w:space="0" w:color="auto"/>
              <w:right w:val="single" w:sz="4" w:space="0" w:color="auto"/>
            </w:tcBorders>
          </w:tcPr>
          <w:p w:rsidR="001F3A98" w:rsidRPr="00CF5A42" w:rsidRDefault="001F3A98" w:rsidP="00FD47C7">
            <w:pPr>
              <w:rPr>
                <w:rFonts w:ascii="Calibri" w:hAnsi="Calibri"/>
                <w:sz w:val="18"/>
                <w:szCs w:val="18"/>
              </w:rPr>
            </w:pPr>
            <w:r w:rsidRPr="00CF5A42">
              <w:rPr>
                <w:rFonts w:ascii="Calibri" w:hAnsi="Calibri"/>
                <w:sz w:val="18"/>
                <w:szCs w:val="18"/>
              </w:rPr>
              <w:t>0,355</w:t>
            </w:r>
          </w:p>
        </w:tc>
        <w:tc>
          <w:tcPr>
            <w:tcW w:w="1134" w:type="dxa"/>
            <w:tcBorders>
              <w:top w:val="single" w:sz="4" w:space="0" w:color="auto"/>
              <w:left w:val="single" w:sz="4" w:space="0" w:color="auto"/>
              <w:bottom w:val="single" w:sz="4" w:space="0" w:color="auto"/>
              <w:right w:val="single" w:sz="4" w:space="0" w:color="auto"/>
            </w:tcBorders>
          </w:tcPr>
          <w:p w:rsidR="001F3A98" w:rsidRPr="00CF5A42" w:rsidRDefault="001F3A98" w:rsidP="00FD47C7">
            <w:pPr>
              <w:rPr>
                <w:rFonts w:ascii="Calibri" w:hAnsi="Calibri"/>
                <w:sz w:val="18"/>
                <w:szCs w:val="18"/>
              </w:rPr>
            </w:pPr>
            <w:r w:rsidRPr="00CF5A42">
              <w:rPr>
                <w:rFonts w:ascii="Calibri" w:hAnsi="Calibri"/>
                <w:sz w:val="18"/>
                <w:szCs w:val="18"/>
              </w:rPr>
              <w:t>0,305</w:t>
            </w:r>
          </w:p>
        </w:tc>
        <w:tc>
          <w:tcPr>
            <w:tcW w:w="1134" w:type="dxa"/>
            <w:tcBorders>
              <w:top w:val="single" w:sz="4" w:space="0" w:color="auto"/>
              <w:left w:val="single" w:sz="4" w:space="0" w:color="auto"/>
              <w:bottom w:val="single" w:sz="4" w:space="0" w:color="auto"/>
              <w:right w:val="single" w:sz="4" w:space="0" w:color="auto"/>
            </w:tcBorders>
          </w:tcPr>
          <w:p w:rsidR="001F3A98" w:rsidRPr="00CF5A42" w:rsidRDefault="001F3A98" w:rsidP="00FD47C7">
            <w:pPr>
              <w:rPr>
                <w:rFonts w:ascii="Calibri" w:hAnsi="Calibri"/>
                <w:sz w:val="18"/>
                <w:szCs w:val="18"/>
              </w:rPr>
            </w:pPr>
            <w:r w:rsidRPr="00CF5A42">
              <w:rPr>
                <w:rFonts w:ascii="Calibri" w:hAnsi="Calibri"/>
                <w:sz w:val="18"/>
                <w:szCs w:val="18"/>
              </w:rPr>
              <w:t>0,285</w:t>
            </w:r>
          </w:p>
        </w:tc>
        <w:tc>
          <w:tcPr>
            <w:tcW w:w="1134" w:type="dxa"/>
            <w:tcBorders>
              <w:top w:val="single" w:sz="4" w:space="0" w:color="auto"/>
              <w:left w:val="single" w:sz="4" w:space="0" w:color="auto"/>
              <w:bottom w:val="single" w:sz="4" w:space="0" w:color="auto"/>
              <w:right w:val="single" w:sz="4" w:space="0" w:color="auto"/>
            </w:tcBorders>
          </w:tcPr>
          <w:p w:rsidR="001F3A98" w:rsidRPr="00CF5A42" w:rsidRDefault="001F3A98" w:rsidP="00FD47C7">
            <w:pPr>
              <w:rPr>
                <w:rFonts w:ascii="Calibri" w:hAnsi="Calibri"/>
                <w:sz w:val="18"/>
                <w:szCs w:val="18"/>
              </w:rPr>
            </w:pPr>
            <w:r w:rsidRPr="00CF5A42">
              <w:rPr>
                <w:rFonts w:ascii="Calibri" w:hAnsi="Calibri"/>
                <w:sz w:val="18"/>
                <w:szCs w:val="18"/>
              </w:rPr>
              <w:t>0,335</w:t>
            </w:r>
          </w:p>
        </w:tc>
      </w:tr>
      <w:tr w:rsidR="001F3A98" w:rsidRPr="00CF5A42" w:rsidTr="004E5CC8">
        <w:trPr>
          <w:cantSplit/>
          <w:trHeight w:val="274"/>
        </w:trPr>
        <w:tc>
          <w:tcPr>
            <w:tcW w:w="1913" w:type="dxa"/>
            <w:vMerge/>
            <w:tcBorders>
              <w:top w:val="single" w:sz="4" w:space="0" w:color="auto"/>
              <w:left w:val="single" w:sz="4" w:space="0" w:color="auto"/>
              <w:bottom w:val="single" w:sz="4" w:space="0" w:color="auto"/>
              <w:right w:val="single" w:sz="4" w:space="0" w:color="auto"/>
            </w:tcBorders>
            <w:vAlign w:val="center"/>
          </w:tcPr>
          <w:p w:rsidR="001F3A98" w:rsidRPr="00CF5A42" w:rsidRDefault="001F3A98" w:rsidP="00FD47C7">
            <w:pPr>
              <w:rPr>
                <w:rFonts w:ascii="Calibri" w:hAnsi="Calibri"/>
                <w:sz w:val="18"/>
                <w:szCs w:val="18"/>
              </w:rPr>
            </w:pPr>
          </w:p>
        </w:tc>
        <w:tc>
          <w:tcPr>
            <w:tcW w:w="851" w:type="dxa"/>
            <w:tcBorders>
              <w:top w:val="single" w:sz="4" w:space="0" w:color="auto"/>
              <w:left w:val="single" w:sz="4" w:space="0" w:color="auto"/>
              <w:bottom w:val="single" w:sz="4" w:space="0" w:color="auto"/>
              <w:right w:val="single" w:sz="4" w:space="0" w:color="auto"/>
            </w:tcBorders>
          </w:tcPr>
          <w:p w:rsidR="001F3A98" w:rsidRPr="00CF5A42" w:rsidRDefault="001F3A98" w:rsidP="00FD47C7">
            <w:pPr>
              <w:rPr>
                <w:rFonts w:ascii="Calibri" w:hAnsi="Calibri"/>
                <w:sz w:val="18"/>
                <w:szCs w:val="18"/>
              </w:rPr>
            </w:pPr>
            <w:r w:rsidRPr="00CF5A42">
              <w:rPr>
                <w:rFonts w:ascii="Calibri" w:hAnsi="Calibri"/>
                <w:sz w:val="18"/>
                <w:szCs w:val="18"/>
              </w:rPr>
              <w:t>y</w:t>
            </w:r>
          </w:p>
        </w:tc>
        <w:tc>
          <w:tcPr>
            <w:tcW w:w="1134" w:type="dxa"/>
            <w:tcBorders>
              <w:top w:val="single" w:sz="4" w:space="0" w:color="auto"/>
              <w:left w:val="single" w:sz="4" w:space="0" w:color="auto"/>
              <w:bottom w:val="single" w:sz="4" w:space="0" w:color="auto"/>
              <w:right w:val="single" w:sz="4" w:space="0" w:color="auto"/>
            </w:tcBorders>
          </w:tcPr>
          <w:p w:rsidR="001F3A98" w:rsidRPr="00CF5A42" w:rsidRDefault="001F3A98" w:rsidP="00FD47C7">
            <w:pPr>
              <w:rPr>
                <w:rFonts w:ascii="Calibri" w:hAnsi="Calibri"/>
                <w:sz w:val="18"/>
                <w:szCs w:val="18"/>
              </w:rPr>
            </w:pPr>
            <w:r w:rsidRPr="00CF5A42">
              <w:rPr>
                <w:rFonts w:ascii="Calibri" w:hAnsi="Calibri"/>
                <w:sz w:val="18"/>
                <w:szCs w:val="18"/>
              </w:rPr>
              <w:t>0,355</w:t>
            </w:r>
          </w:p>
        </w:tc>
        <w:tc>
          <w:tcPr>
            <w:tcW w:w="1134" w:type="dxa"/>
            <w:tcBorders>
              <w:top w:val="single" w:sz="4" w:space="0" w:color="auto"/>
              <w:left w:val="single" w:sz="4" w:space="0" w:color="auto"/>
              <w:bottom w:val="single" w:sz="4" w:space="0" w:color="auto"/>
              <w:right w:val="single" w:sz="4" w:space="0" w:color="auto"/>
            </w:tcBorders>
          </w:tcPr>
          <w:p w:rsidR="001F3A98" w:rsidRPr="00CF5A42" w:rsidRDefault="001F3A98" w:rsidP="00FD47C7">
            <w:pPr>
              <w:rPr>
                <w:rFonts w:ascii="Calibri" w:hAnsi="Calibri"/>
                <w:sz w:val="18"/>
                <w:szCs w:val="18"/>
              </w:rPr>
            </w:pPr>
            <w:r w:rsidRPr="00CF5A42">
              <w:rPr>
                <w:rFonts w:ascii="Calibri" w:hAnsi="Calibri"/>
                <w:sz w:val="18"/>
                <w:szCs w:val="18"/>
              </w:rPr>
              <w:t>0,305</w:t>
            </w:r>
          </w:p>
        </w:tc>
        <w:tc>
          <w:tcPr>
            <w:tcW w:w="1134" w:type="dxa"/>
            <w:tcBorders>
              <w:top w:val="single" w:sz="4" w:space="0" w:color="auto"/>
              <w:left w:val="single" w:sz="4" w:space="0" w:color="auto"/>
              <w:bottom w:val="single" w:sz="4" w:space="0" w:color="auto"/>
              <w:right w:val="single" w:sz="4" w:space="0" w:color="auto"/>
            </w:tcBorders>
          </w:tcPr>
          <w:p w:rsidR="001F3A98" w:rsidRPr="00CF5A42" w:rsidRDefault="001F3A98" w:rsidP="00FD47C7">
            <w:pPr>
              <w:rPr>
                <w:rFonts w:ascii="Calibri" w:hAnsi="Calibri"/>
                <w:sz w:val="18"/>
                <w:szCs w:val="18"/>
              </w:rPr>
            </w:pPr>
            <w:r w:rsidRPr="00CF5A42">
              <w:rPr>
                <w:rFonts w:ascii="Calibri" w:hAnsi="Calibri"/>
                <w:sz w:val="18"/>
                <w:szCs w:val="18"/>
              </w:rPr>
              <w:t>0,325</w:t>
            </w:r>
          </w:p>
        </w:tc>
        <w:tc>
          <w:tcPr>
            <w:tcW w:w="1134" w:type="dxa"/>
            <w:tcBorders>
              <w:top w:val="single" w:sz="4" w:space="0" w:color="auto"/>
              <w:left w:val="single" w:sz="4" w:space="0" w:color="auto"/>
              <w:bottom w:val="single" w:sz="4" w:space="0" w:color="auto"/>
              <w:right w:val="single" w:sz="4" w:space="0" w:color="auto"/>
            </w:tcBorders>
          </w:tcPr>
          <w:p w:rsidR="001F3A98" w:rsidRPr="00CF5A42" w:rsidRDefault="001F3A98" w:rsidP="00FD47C7">
            <w:pPr>
              <w:rPr>
                <w:rFonts w:ascii="Calibri" w:hAnsi="Calibri"/>
                <w:sz w:val="18"/>
                <w:szCs w:val="18"/>
              </w:rPr>
            </w:pPr>
            <w:r w:rsidRPr="00CF5A42">
              <w:rPr>
                <w:rFonts w:ascii="Calibri" w:hAnsi="Calibri"/>
                <w:sz w:val="18"/>
                <w:szCs w:val="18"/>
              </w:rPr>
              <w:t>0,375</w:t>
            </w:r>
          </w:p>
        </w:tc>
      </w:tr>
      <w:tr w:rsidR="001F3A98" w:rsidRPr="00CF5A42" w:rsidTr="004E5CC8">
        <w:trPr>
          <w:cantSplit/>
          <w:trHeight w:val="214"/>
        </w:trPr>
        <w:tc>
          <w:tcPr>
            <w:tcW w:w="1913" w:type="dxa"/>
            <w:vMerge w:val="restart"/>
            <w:tcBorders>
              <w:top w:val="single" w:sz="4" w:space="0" w:color="auto"/>
              <w:left w:val="single" w:sz="4" w:space="0" w:color="auto"/>
              <w:bottom w:val="single" w:sz="4" w:space="0" w:color="auto"/>
              <w:right w:val="single" w:sz="4" w:space="0" w:color="auto"/>
            </w:tcBorders>
          </w:tcPr>
          <w:p w:rsidR="001F3A98" w:rsidRPr="00CF5A42" w:rsidRDefault="001F3A98" w:rsidP="00FD47C7">
            <w:pPr>
              <w:rPr>
                <w:rFonts w:ascii="Calibri" w:hAnsi="Calibri"/>
                <w:sz w:val="18"/>
                <w:szCs w:val="18"/>
              </w:rPr>
            </w:pPr>
            <w:r w:rsidRPr="00CF5A42">
              <w:rPr>
                <w:rFonts w:ascii="Calibri" w:hAnsi="Calibri"/>
                <w:sz w:val="18"/>
                <w:szCs w:val="18"/>
              </w:rPr>
              <w:t>Żółta typ 1 folii</w:t>
            </w:r>
          </w:p>
        </w:tc>
        <w:tc>
          <w:tcPr>
            <w:tcW w:w="851" w:type="dxa"/>
            <w:tcBorders>
              <w:top w:val="single" w:sz="4" w:space="0" w:color="auto"/>
              <w:left w:val="single" w:sz="4" w:space="0" w:color="auto"/>
              <w:bottom w:val="single" w:sz="4" w:space="0" w:color="auto"/>
              <w:right w:val="single" w:sz="4" w:space="0" w:color="auto"/>
            </w:tcBorders>
          </w:tcPr>
          <w:p w:rsidR="001F3A98" w:rsidRPr="00CF5A42" w:rsidRDefault="001F3A98" w:rsidP="00FD47C7">
            <w:pPr>
              <w:rPr>
                <w:rFonts w:ascii="Calibri" w:hAnsi="Calibri"/>
                <w:sz w:val="18"/>
                <w:szCs w:val="18"/>
              </w:rPr>
            </w:pPr>
            <w:r w:rsidRPr="00CF5A42">
              <w:rPr>
                <w:rFonts w:ascii="Calibri" w:hAnsi="Calibri"/>
                <w:sz w:val="18"/>
                <w:szCs w:val="18"/>
              </w:rPr>
              <w:t>x</w:t>
            </w:r>
          </w:p>
        </w:tc>
        <w:tc>
          <w:tcPr>
            <w:tcW w:w="1134" w:type="dxa"/>
            <w:tcBorders>
              <w:top w:val="single" w:sz="4" w:space="0" w:color="auto"/>
              <w:left w:val="single" w:sz="4" w:space="0" w:color="auto"/>
              <w:bottom w:val="single" w:sz="4" w:space="0" w:color="auto"/>
              <w:right w:val="single" w:sz="4" w:space="0" w:color="auto"/>
            </w:tcBorders>
          </w:tcPr>
          <w:p w:rsidR="001F3A98" w:rsidRPr="00CF5A42" w:rsidRDefault="001F3A98" w:rsidP="00FD47C7">
            <w:pPr>
              <w:rPr>
                <w:rFonts w:ascii="Calibri" w:hAnsi="Calibri"/>
                <w:sz w:val="18"/>
                <w:szCs w:val="18"/>
              </w:rPr>
            </w:pPr>
            <w:r w:rsidRPr="00CF5A42">
              <w:rPr>
                <w:rFonts w:ascii="Calibri" w:hAnsi="Calibri"/>
                <w:sz w:val="18"/>
                <w:szCs w:val="18"/>
              </w:rPr>
              <w:t>0,522</w:t>
            </w:r>
          </w:p>
        </w:tc>
        <w:tc>
          <w:tcPr>
            <w:tcW w:w="1134" w:type="dxa"/>
            <w:tcBorders>
              <w:top w:val="single" w:sz="4" w:space="0" w:color="auto"/>
              <w:left w:val="single" w:sz="4" w:space="0" w:color="auto"/>
              <w:bottom w:val="single" w:sz="4" w:space="0" w:color="auto"/>
              <w:right w:val="single" w:sz="4" w:space="0" w:color="auto"/>
            </w:tcBorders>
          </w:tcPr>
          <w:p w:rsidR="001F3A98" w:rsidRPr="00CF5A42" w:rsidRDefault="001F3A98" w:rsidP="00FD47C7">
            <w:pPr>
              <w:rPr>
                <w:rFonts w:ascii="Calibri" w:hAnsi="Calibri"/>
                <w:sz w:val="18"/>
                <w:szCs w:val="18"/>
              </w:rPr>
            </w:pPr>
            <w:r w:rsidRPr="00CF5A42">
              <w:rPr>
                <w:rFonts w:ascii="Calibri" w:hAnsi="Calibri"/>
                <w:sz w:val="18"/>
                <w:szCs w:val="18"/>
              </w:rPr>
              <w:t>0,470</w:t>
            </w:r>
          </w:p>
        </w:tc>
        <w:tc>
          <w:tcPr>
            <w:tcW w:w="1134" w:type="dxa"/>
            <w:tcBorders>
              <w:top w:val="single" w:sz="4" w:space="0" w:color="auto"/>
              <w:left w:val="single" w:sz="4" w:space="0" w:color="auto"/>
              <w:bottom w:val="single" w:sz="4" w:space="0" w:color="auto"/>
              <w:right w:val="single" w:sz="4" w:space="0" w:color="auto"/>
            </w:tcBorders>
          </w:tcPr>
          <w:p w:rsidR="001F3A98" w:rsidRPr="00CF5A42" w:rsidRDefault="001F3A98" w:rsidP="00FD47C7">
            <w:pPr>
              <w:rPr>
                <w:rFonts w:ascii="Calibri" w:hAnsi="Calibri"/>
                <w:sz w:val="18"/>
                <w:szCs w:val="18"/>
              </w:rPr>
            </w:pPr>
            <w:r w:rsidRPr="00CF5A42">
              <w:rPr>
                <w:rFonts w:ascii="Calibri" w:hAnsi="Calibri"/>
                <w:sz w:val="18"/>
                <w:szCs w:val="18"/>
              </w:rPr>
              <w:t>0,427</w:t>
            </w:r>
          </w:p>
        </w:tc>
        <w:tc>
          <w:tcPr>
            <w:tcW w:w="1134" w:type="dxa"/>
            <w:tcBorders>
              <w:top w:val="single" w:sz="4" w:space="0" w:color="auto"/>
              <w:left w:val="single" w:sz="4" w:space="0" w:color="auto"/>
              <w:bottom w:val="single" w:sz="4" w:space="0" w:color="auto"/>
              <w:right w:val="single" w:sz="4" w:space="0" w:color="auto"/>
            </w:tcBorders>
          </w:tcPr>
          <w:p w:rsidR="001F3A98" w:rsidRPr="00CF5A42" w:rsidRDefault="001F3A98" w:rsidP="00FD47C7">
            <w:pPr>
              <w:rPr>
                <w:rFonts w:ascii="Calibri" w:hAnsi="Calibri"/>
                <w:sz w:val="18"/>
                <w:szCs w:val="18"/>
              </w:rPr>
            </w:pPr>
            <w:r w:rsidRPr="00CF5A42">
              <w:rPr>
                <w:rFonts w:ascii="Calibri" w:hAnsi="Calibri"/>
                <w:sz w:val="18"/>
                <w:szCs w:val="18"/>
              </w:rPr>
              <w:t>0,465</w:t>
            </w:r>
          </w:p>
        </w:tc>
      </w:tr>
      <w:tr w:rsidR="001F3A98" w:rsidRPr="00CF5A42" w:rsidTr="004E5CC8">
        <w:trPr>
          <w:cantSplit/>
          <w:trHeight w:val="281"/>
        </w:trPr>
        <w:tc>
          <w:tcPr>
            <w:tcW w:w="1913" w:type="dxa"/>
            <w:vMerge/>
            <w:tcBorders>
              <w:top w:val="single" w:sz="4" w:space="0" w:color="auto"/>
              <w:left w:val="single" w:sz="4" w:space="0" w:color="auto"/>
              <w:bottom w:val="single" w:sz="4" w:space="0" w:color="auto"/>
              <w:right w:val="single" w:sz="4" w:space="0" w:color="auto"/>
            </w:tcBorders>
            <w:vAlign w:val="center"/>
          </w:tcPr>
          <w:p w:rsidR="001F3A98" w:rsidRPr="00CF5A42" w:rsidRDefault="001F3A98" w:rsidP="00FD47C7">
            <w:pPr>
              <w:rPr>
                <w:rFonts w:ascii="Calibri" w:hAnsi="Calibri"/>
                <w:sz w:val="18"/>
                <w:szCs w:val="18"/>
              </w:rPr>
            </w:pPr>
          </w:p>
        </w:tc>
        <w:tc>
          <w:tcPr>
            <w:tcW w:w="851" w:type="dxa"/>
            <w:tcBorders>
              <w:top w:val="single" w:sz="4" w:space="0" w:color="auto"/>
              <w:left w:val="single" w:sz="4" w:space="0" w:color="auto"/>
              <w:bottom w:val="single" w:sz="4" w:space="0" w:color="auto"/>
              <w:right w:val="single" w:sz="4" w:space="0" w:color="auto"/>
            </w:tcBorders>
          </w:tcPr>
          <w:p w:rsidR="001F3A98" w:rsidRPr="00CF5A42" w:rsidRDefault="001F3A98" w:rsidP="00FD47C7">
            <w:pPr>
              <w:rPr>
                <w:rFonts w:ascii="Calibri" w:hAnsi="Calibri"/>
                <w:sz w:val="18"/>
                <w:szCs w:val="18"/>
              </w:rPr>
            </w:pPr>
            <w:r w:rsidRPr="00CF5A42">
              <w:rPr>
                <w:rFonts w:ascii="Calibri" w:hAnsi="Calibri"/>
                <w:sz w:val="18"/>
                <w:szCs w:val="18"/>
              </w:rPr>
              <w:t>y</w:t>
            </w:r>
          </w:p>
        </w:tc>
        <w:tc>
          <w:tcPr>
            <w:tcW w:w="1134" w:type="dxa"/>
            <w:tcBorders>
              <w:top w:val="single" w:sz="4" w:space="0" w:color="auto"/>
              <w:left w:val="single" w:sz="4" w:space="0" w:color="auto"/>
              <w:bottom w:val="single" w:sz="4" w:space="0" w:color="auto"/>
              <w:right w:val="single" w:sz="4" w:space="0" w:color="auto"/>
            </w:tcBorders>
          </w:tcPr>
          <w:p w:rsidR="001F3A98" w:rsidRPr="00CF5A42" w:rsidRDefault="001F3A98" w:rsidP="00FD47C7">
            <w:pPr>
              <w:rPr>
                <w:rFonts w:ascii="Calibri" w:hAnsi="Calibri"/>
                <w:sz w:val="18"/>
                <w:szCs w:val="18"/>
              </w:rPr>
            </w:pPr>
            <w:r w:rsidRPr="00CF5A42">
              <w:rPr>
                <w:rFonts w:ascii="Calibri" w:hAnsi="Calibri"/>
                <w:sz w:val="18"/>
                <w:szCs w:val="18"/>
              </w:rPr>
              <w:t>0,477</w:t>
            </w:r>
          </w:p>
        </w:tc>
        <w:tc>
          <w:tcPr>
            <w:tcW w:w="1134" w:type="dxa"/>
            <w:tcBorders>
              <w:top w:val="single" w:sz="4" w:space="0" w:color="auto"/>
              <w:left w:val="single" w:sz="4" w:space="0" w:color="auto"/>
              <w:bottom w:val="single" w:sz="4" w:space="0" w:color="auto"/>
              <w:right w:val="single" w:sz="4" w:space="0" w:color="auto"/>
            </w:tcBorders>
          </w:tcPr>
          <w:p w:rsidR="001F3A98" w:rsidRPr="00CF5A42" w:rsidRDefault="001F3A98" w:rsidP="00FD47C7">
            <w:pPr>
              <w:rPr>
                <w:rFonts w:ascii="Calibri" w:hAnsi="Calibri"/>
                <w:sz w:val="18"/>
                <w:szCs w:val="18"/>
              </w:rPr>
            </w:pPr>
            <w:r w:rsidRPr="00CF5A42">
              <w:rPr>
                <w:rFonts w:ascii="Calibri" w:hAnsi="Calibri"/>
                <w:sz w:val="18"/>
                <w:szCs w:val="18"/>
              </w:rPr>
              <w:t>0,440</w:t>
            </w:r>
          </w:p>
        </w:tc>
        <w:tc>
          <w:tcPr>
            <w:tcW w:w="1134" w:type="dxa"/>
            <w:tcBorders>
              <w:top w:val="single" w:sz="4" w:space="0" w:color="auto"/>
              <w:left w:val="single" w:sz="4" w:space="0" w:color="auto"/>
              <w:bottom w:val="single" w:sz="4" w:space="0" w:color="auto"/>
              <w:right w:val="single" w:sz="4" w:space="0" w:color="auto"/>
            </w:tcBorders>
          </w:tcPr>
          <w:p w:rsidR="001F3A98" w:rsidRPr="00CF5A42" w:rsidRDefault="001F3A98" w:rsidP="00FD47C7">
            <w:pPr>
              <w:rPr>
                <w:rFonts w:ascii="Calibri" w:hAnsi="Calibri"/>
                <w:sz w:val="18"/>
                <w:szCs w:val="18"/>
              </w:rPr>
            </w:pPr>
            <w:r w:rsidRPr="00CF5A42">
              <w:rPr>
                <w:rFonts w:ascii="Calibri" w:hAnsi="Calibri"/>
                <w:sz w:val="18"/>
                <w:szCs w:val="18"/>
              </w:rPr>
              <w:t>0,483</w:t>
            </w:r>
          </w:p>
        </w:tc>
        <w:tc>
          <w:tcPr>
            <w:tcW w:w="1134" w:type="dxa"/>
            <w:tcBorders>
              <w:top w:val="single" w:sz="4" w:space="0" w:color="auto"/>
              <w:left w:val="single" w:sz="4" w:space="0" w:color="auto"/>
              <w:bottom w:val="single" w:sz="4" w:space="0" w:color="auto"/>
              <w:right w:val="single" w:sz="4" w:space="0" w:color="auto"/>
            </w:tcBorders>
          </w:tcPr>
          <w:p w:rsidR="001F3A98" w:rsidRPr="00CF5A42" w:rsidRDefault="001F3A98" w:rsidP="00FD47C7">
            <w:pPr>
              <w:rPr>
                <w:rFonts w:ascii="Calibri" w:hAnsi="Calibri"/>
                <w:sz w:val="18"/>
                <w:szCs w:val="18"/>
              </w:rPr>
            </w:pPr>
            <w:r w:rsidRPr="00CF5A42">
              <w:rPr>
                <w:rFonts w:ascii="Calibri" w:hAnsi="Calibri"/>
                <w:sz w:val="18"/>
                <w:szCs w:val="18"/>
              </w:rPr>
              <w:t>0,534</w:t>
            </w:r>
          </w:p>
        </w:tc>
      </w:tr>
      <w:tr w:rsidR="001F3A98" w:rsidRPr="00CF5A42" w:rsidTr="004E5CC8">
        <w:trPr>
          <w:cantSplit/>
          <w:trHeight w:val="199"/>
        </w:trPr>
        <w:tc>
          <w:tcPr>
            <w:tcW w:w="1913" w:type="dxa"/>
            <w:vMerge w:val="restart"/>
            <w:tcBorders>
              <w:top w:val="single" w:sz="4" w:space="0" w:color="auto"/>
              <w:left w:val="single" w:sz="4" w:space="0" w:color="auto"/>
              <w:right w:val="single" w:sz="4" w:space="0" w:color="auto"/>
            </w:tcBorders>
          </w:tcPr>
          <w:p w:rsidR="001F3A98" w:rsidRPr="00CF5A42" w:rsidRDefault="001F3A98" w:rsidP="00FD47C7">
            <w:pPr>
              <w:rPr>
                <w:rFonts w:ascii="Calibri" w:hAnsi="Calibri"/>
                <w:sz w:val="18"/>
                <w:szCs w:val="18"/>
              </w:rPr>
            </w:pPr>
            <w:r w:rsidRPr="00CF5A42">
              <w:rPr>
                <w:rFonts w:ascii="Calibri" w:hAnsi="Calibri"/>
                <w:sz w:val="18"/>
                <w:szCs w:val="18"/>
              </w:rPr>
              <w:t>Żółta typ 2 folii</w:t>
            </w:r>
          </w:p>
        </w:tc>
        <w:tc>
          <w:tcPr>
            <w:tcW w:w="851" w:type="dxa"/>
            <w:tcBorders>
              <w:top w:val="single" w:sz="4" w:space="0" w:color="auto"/>
              <w:left w:val="single" w:sz="4" w:space="0" w:color="auto"/>
              <w:bottom w:val="single" w:sz="4" w:space="0" w:color="auto"/>
              <w:right w:val="single" w:sz="4" w:space="0" w:color="auto"/>
            </w:tcBorders>
          </w:tcPr>
          <w:p w:rsidR="001F3A98" w:rsidRPr="00CF5A42" w:rsidRDefault="001F3A98" w:rsidP="00FD47C7">
            <w:pPr>
              <w:rPr>
                <w:rFonts w:ascii="Calibri" w:hAnsi="Calibri"/>
                <w:sz w:val="18"/>
                <w:szCs w:val="18"/>
              </w:rPr>
            </w:pPr>
            <w:r w:rsidRPr="00CF5A42">
              <w:rPr>
                <w:rFonts w:ascii="Calibri" w:hAnsi="Calibri"/>
                <w:sz w:val="18"/>
                <w:szCs w:val="18"/>
              </w:rPr>
              <w:t>x</w:t>
            </w:r>
          </w:p>
        </w:tc>
        <w:tc>
          <w:tcPr>
            <w:tcW w:w="1134" w:type="dxa"/>
            <w:tcBorders>
              <w:top w:val="single" w:sz="4" w:space="0" w:color="auto"/>
              <w:left w:val="single" w:sz="4" w:space="0" w:color="auto"/>
              <w:bottom w:val="single" w:sz="4" w:space="0" w:color="auto"/>
              <w:right w:val="single" w:sz="4" w:space="0" w:color="auto"/>
            </w:tcBorders>
          </w:tcPr>
          <w:p w:rsidR="001F3A98" w:rsidRPr="00CF5A42" w:rsidRDefault="001F3A98" w:rsidP="00FD47C7">
            <w:pPr>
              <w:rPr>
                <w:rFonts w:ascii="Calibri" w:hAnsi="Calibri"/>
                <w:sz w:val="18"/>
                <w:szCs w:val="18"/>
              </w:rPr>
            </w:pPr>
            <w:r w:rsidRPr="00CF5A42">
              <w:rPr>
                <w:rFonts w:ascii="Calibri" w:hAnsi="Calibri"/>
                <w:sz w:val="18"/>
                <w:szCs w:val="18"/>
              </w:rPr>
              <w:t>0,545</w:t>
            </w:r>
          </w:p>
        </w:tc>
        <w:tc>
          <w:tcPr>
            <w:tcW w:w="1134" w:type="dxa"/>
            <w:tcBorders>
              <w:top w:val="single" w:sz="4" w:space="0" w:color="auto"/>
              <w:left w:val="single" w:sz="4" w:space="0" w:color="auto"/>
              <w:bottom w:val="single" w:sz="4" w:space="0" w:color="auto"/>
              <w:right w:val="single" w:sz="4" w:space="0" w:color="auto"/>
            </w:tcBorders>
          </w:tcPr>
          <w:p w:rsidR="001F3A98" w:rsidRPr="00CF5A42" w:rsidRDefault="001F3A98" w:rsidP="00FD47C7">
            <w:pPr>
              <w:rPr>
                <w:rFonts w:ascii="Calibri" w:hAnsi="Calibri"/>
                <w:sz w:val="18"/>
                <w:szCs w:val="18"/>
              </w:rPr>
            </w:pPr>
            <w:r w:rsidRPr="00CF5A42">
              <w:rPr>
                <w:rFonts w:ascii="Calibri" w:hAnsi="Calibri"/>
                <w:sz w:val="18"/>
                <w:szCs w:val="18"/>
              </w:rPr>
              <w:t>0,487</w:t>
            </w:r>
          </w:p>
        </w:tc>
        <w:tc>
          <w:tcPr>
            <w:tcW w:w="1134" w:type="dxa"/>
            <w:tcBorders>
              <w:top w:val="single" w:sz="4" w:space="0" w:color="auto"/>
              <w:left w:val="single" w:sz="4" w:space="0" w:color="auto"/>
              <w:bottom w:val="single" w:sz="4" w:space="0" w:color="auto"/>
              <w:right w:val="single" w:sz="4" w:space="0" w:color="auto"/>
            </w:tcBorders>
          </w:tcPr>
          <w:p w:rsidR="001F3A98" w:rsidRPr="00CF5A42" w:rsidRDefault="001F3A98" w:rsidP="00FD47C7">
            <w:pPr>
              <w:rPr>
                <w:rFonts w:ascii="Calibri" w:hAnsi="Calibri"/>
                <w:sz w:val="18"/>
                <w:szCs w:val="18"/>
              </w:rPr>
            </w:pPr>
            <w:r w:rsidRPr="00CF5A42">
              <w:rPr>
                <w:rFonts w:ascii="Calibri" w:hAnsi="Calibri"/>
                <w:sz w:val="18"/>
                <w:szCs w:val="18"/>
              </w:rPr>
              <w:t>0,427</w:t>
            </w:r>
          </w:p>
        </w:tc>
        <w:tc>
          <w:tcPr>
            <w:tcW w:w="1134" w:type="dxa"/>
            <w:tcBorders>
              <w:top w:val="single" w:sz="4" w:space="0" w:color="auto"/>
              <w:left w:val="single" w:sz="4" w:space="0" w:color="auto"/>
              <w:bottom w:val="single" w:sz="4" w:space="0" w:color="auto"/>
              <w:right w:val="single" w:sz="4" w:space="0" w:color="auto"/>
            </w:tcBorders>
          </w:tcPr>
          <w:p w:rsidR="001F3A98" w:rsidRPr="00CF5A42" w:rsidRDefault="001F3A98" w:rsidP="00FD47C7">
            <w:pPr>
              <w:rPr>
                <w:rFonts w:ascii="Calibri" w:hAnsi="Calibri"/>
                <w:sz w:val="18"/>
                <w:szCs w:val="18"/>
              </w:rPr>
            </w:pPr>
            <w:r w:rsidRPr="00CF5A42">
              <w:rPr>
                <w:rFonts w:ascii="Calibri" w:hAnsi="Calibri"/>
                <w:sz w:val="18"/>
                <w:szCs w:val="18"/>
              </w:rPr>
              <w:t>0,465</w:t>
            </w:r>
          </w:p>
        </w:tc>
      </w:tr>
      <w:tr w:rsidR="001F3A98" w:rsidRPr="00CF5A42" w:rsidTr="004E5CC8">
        <w:trPr>
          <w:cantSplit/>
          <w:trHeight w:val="199"/>
        </w:trPr>
        <w:tc>
          <w:tcPr>
            <w:tcW w:w="1913" w:type="dxa"/>
            <w:vMerge/>
            <w:tcBorders>
              <w:left w:val="single" w:sz="4" w:space="0" w:color="auto"/>
              <w:bottom w:val="single" w:sz="4" w:space="0" w:color="auto"/>
              <w:right w:val="single" w:sz="4" w:space="0" w:color="auto"/>
            </w:tcBorders>
          </w:tcPr>
          <w:p w:rsidR="001F3A98" w:rsidRPr="00CF5A42" w:rsidRDefault="001F3A98" w:rsidP="00FD47C7">
            <w:pPr>
              <w:rPr>
                <w:rFonts w:ascii="Calibri" w:hAnsi="Calibri"/>
                <w:sz w:val="18"/>
                <w:szCs w:val="18"/>
              </w:rPr>
            </w:pPr>
          </w:p>
        </w:tc>
        <w:tc>
          <w:tcPr>
            <w:tcW w:w="851" w:type="dxa"/>
            <w:tcBorders>
              <w:top w:val="single" w:sz="4" w:space="0" w:color="auto"/>
              <w:left w:val="single" w:sz="4" w:space="0" w:color="auto"/>
              <w:bottom w:val="single" w:sz="4" w:space="0" w:color="auto"/>
              <w:right w:val="single" w:sz="4" w:space="0" w:color="auto"/>
            </w:tcBorders>
          </w:tcPr>
          <w:p w:rsidR="001F3A98" w:rsidRPr="00CF5A42" w:rsidRDefault="001F3A98" w:rsidP="00FD47C7">
            <w:pPr>
              <w:rPr>
                <w:rFonts w:ascii="Calibri" w:hAnsi="Calibri"/>
                <w:sz w:val="18"/>
                <w:szCs w:val="18"/>
              </w:rPr>
            </w:pPr>
            <w:r w:rsidRPr="00CF5A42">
              <w:rPr>
                <w:rFonts w:ascii="Calibri" w:hAnsi="Calibri"/>
                <w:sz w:val="18"/>
                <w:szCs w:val="18"/>
              </w:rPr>
              <w:t>y</w:t>
            </w:r>
          </w:p>
        </w:tc>
        <w:tc>
          <w:tcPr>
            <w:tcW w:w="1134" w:type="dxa"/>
            <w:tcBorders>
              <w:top w:val="single" w:sz="4" w:space="0" w:color="auto"/>
              <w:left w:val="single" w:sz="4" w:space="0" w:color="auto"/>
              <w:bottom w:val="single" w:sz="4" w:space="0" w:color="auto"/>
              <w:right w:val="single" w:sz="4" w:space="0" w:color="auto"/>
            </w:tcBorders>
          </w:tcPr>
          <w:p w:rsidR="001F3A98" w:rsidRPr="00CF5A42" w:rsidRDefault="001F3A98" w:rsidP="00FD47C7">
            <w:pPr>
              <w:rPr>
                <w:rFonts w:ascii="Calibri" w:hAnsi="Calibri"/>
                <w:sz w:val="18"/>
                <w:szCs w:val="18"/>
              </w:rPr>
            </w:pPr>
            <w:r w:rsidRPr="00CF5A42">
              <w:rPr>
                <w:rFonts w:ascii="Calibri" w:hAnsi="Calibri"/>
                <w:sz w:val="18"/>
                <w:szCs w:val="18"/>
              </w:rPr>
              <w:t>0,454</w:t>
            </w:r>
          </w:p>
        </w:tc>
        <w:tc>
          <w:tcPr>
            <w:tcW w:w="1134" w:type="dxa"/>
            <w:tcBorders>
              <w:top w:val="single" w:sz="4" w:space="0" w:color="auto"/>
              <w:left w:val="single" w:sz="4" w:space="0" w:color="auto"/>
              <w:bottom w:val="single" w:sz="4" w:space="0" w:color="auto"/>
              <w:right w:val="single" w:sz="4" w:space="0" w:color="auto"/>
            </w:tcBorders>
          </w:tcPr>
          <w:p w:rsidR="001F3A98" w:rsidRPr="00CF5A42" w:rsidRDefault="001F3A98" w:rsidP="00FD47C7">
            <w:pPr>
              <w:rPr>
                <w:rFonts w:ascii="Calibri" w:hAnsi="Calibri"/>
                <w:sz w:val="18"/>
                <w:szCs w:val="18"/>
              </w:rPr>
            </w:pPr>
            <w:r w:rsidRPr="00CF5A42">
              <w:rPr>
                <w:rFonts w:ascii="Calibri" w:hAnsi="Calibri"/>
                <w:sz w:val="18"/>
                <w:szCs w:val="18"/>
              </w:rPr>
              <w:t>0,423</w:t>
            </w:r>
          </w:p>
        </w:tc>
        <w:tc>
          <w:tcPr>
            <w:tcW w:w="1134" w:type="dxa"/>
            <w:tcBorders>
              <w:top w:val="single" w:sz="4" w:space="0" w:color="auto"/>
              <w:left w:val="single" w:sz="4" w:space="0" w:color="auto"/>
              <w:bottom w:val="single" w:sz="4" w:space="0" w:color="auto"/>
              <w:right w:val="single" w:sz="4" w:space="0" w:color="auto"/>
            </w:tcBorders>
          </w:tcPr>
          <w:p w:rsidR="001F3A98" w:rsidRPr="00CF5A42" w:rsidRDefault="001F3A98" w:rsidP="00FD47C7">
            <w:pPr>
              <w:rPr>
                <w:rFonts w:ascii="Calibri" w:hAnsi="Calibri"/>
                <w:sz w:val="18"/>
                <w:szCs w:val="18"/>
              </w:rPr>
            </w:pPr>
            <w:r w:rsidRPr="00CF5A42">
              <w:rPr>
                <w:rFonts w:ascii="Calibri" w:hAnsi="Calibri"/>
                <w:sz w:val="18"/>
                <w:szCs w:val="18"/>
              </w:rPr>
              <w:t>0,483</w:t>
            </w:r>
          </w:p>
        </w:tc>
        <w:tc>
          <w:tcPr>
            <w:tcW w:w="1134" w:type="dxa"/>
            <w:tcBorders>
              <w:top w:val="single" w:sz="4" w:space="0" w:color="auto"/>
              <w:left w:val="single" w:sz="4" w:space="0" w:color="auto"/>
              <w:bottom w:val="single" w:sz="4" w:space="0" w:color="auto"/>
              <w:right w:val="single" w:sz="4" w:space="0" w:color="auto"/>
            </w:tcBorders>
          </w:tcPr>
          <w:p w:rsidR="001F3A98" w:rsidRPr="00CF5A42" w:rsidRDefault="001F3A98" w:rsidP="00FD47C7">
            <w:pPr>
              <w:rPr>
                <w:rFonts w:ascii="Calibri" w:hAnsi="Calibri"/>
                <w:sz w:val="18"/>
                <w:szCs w:val="18"/>
              </w:rPr>
            </w:pPr>
            <w:r w:rsidRPr="00CF5A42">
              <w:rPr>
                <w:rFonts w:ascii="Calibri" w:hAnsi="Calibri"/>
                <w:sz w:val="18"/>
                <w:szCs w:val="18"/>
              </w:rPr>
              <w:t>0,534</w:t>
            </w:r>
          </w:p>
        </w:tc>
      </w:tr>
      <w:tr w:rsidR="001F3A98" w:rsidRPr="00CF5A42" w:rsidTr="004E5CC8">
        <w:trPr>
          <w:cantSplit/>
          <w:trHeight w:val="182"/>
        </w:trPr>
        <w:tc>
          <w:tcPr>
            <w:tcW w:w="1913" w:type="dxa"/>
            <w:vMerge w:val="restart"/>
            <w:tcBorders>
              <w:top w:val="single" w:sz="4" w:space="0" w:color="auto"/>
              <w:left w:val="single" w:sz="4" w:space="0" w:color="auto"/>
              <w:bottom w:val="single" w:sz="4" w:space="0" w:color="auto"/>
              <w:right w:val="single" w:sz="4" w:space="0" w:color="auto"/>
            </w:tcBorders>
          </w:tcPr>
          <w:p w:rsidR="001F3A98" w:rsidRPr="00CF5A42" w:rsidRDefault="001F3A98" w:rsidP="00FD47C7">
            <w:pPr>
              <w:rPr>
                <w:rFonts w:ascii="Calibri" w:hAnsi="Calibri"/>
                <w:sz w:val="18"/>
                <w:szCs w:val="18"/>
              </w:rPr>
            </w:pPr>
            <w:r w:rsidRPr="00CF5A42">
              <w:rPr>
                <w:rFonts w:ascii="Calibri" w:hAnsi="Calibri"/>
                <w:sz w:val="18"/>
                <w:szCs w:val="18"/>
              </w:rPr>
              <w:t>Czerwona</w:t>
            </w:r>
          </w:p>
        </w:tc>
        <w:tc>
          <w:tcPr>
            <w:tcW w:w="851" w:type="dxa"/>
            <w:tcBorders>
              <w:top w:val="single" w:sz="4" w:space="0" w:color="auto"/>
              <w:left w:val="single" w:sz="4" w:space="0" w:color="auto"/>
              <w:bottom w:val="single" w:sz="4" w:space="0" w:color="auto"/>
              <w:right w:val="single" w:sz="4" w:space="0" w:color="auto"/>
            </w:tcBorders>
          </w:tcPr>
          <w:p w:rsidR="001F3A98" w:rsidRPr="00CF5A42" w:rsidRDefault="001F3A98" w:rsidP="00FD47C7">
            <w:pPr>
              <w:rPr>
                <w:rFonts w:ascii="Calibri" w:hAnsi="Calibri"/>
                <w:sz w:val="18"/>
                <w:szCs w:val="18"/>
              </w:rPr>
            </w:pPr>
            <w:r w:rsidRPr="00CF5A42">
              <w:rPr>
                <w:rFonts w:ascii="Calibri" w:hAnsi="Calibri"/>
                <w:sz w:val="18"/>
                <w:szCs w:val="18"/>
              </w:rPr>
              <w:t xml:space="preserve">x </w:t>
            </w:r>
          </w:p>
        </w:tc>
        <w:tc>
          <w:tcPr>
            <w:tcW w:w="1134" w:type="dxa"/>
            <w:tcBorders>
              <w:top w:val="single" w:sz="4" w:space="0" w:color="auto"/>
              <w:left w:val="single" w:sz="4" w:space="0" w:color="auto"/>
              <w:bottom w:val="single" w:sz="4" w:space="0" w:color="auto"/>
              <w:right w:val="single" w:sz="4" w:space="0" w:color="auto"/>
            </w:tcBorders>
          </w:tcPr>
          <w:p w:rsidR="001F3A98" w:rsidRPr="00CF5A42" w:rsidRDefault="001F3A98" w:rsidP="00FD47C7">
            <w:pPr>
              <w:rPr>
                <w:rFonts w:ascii="Calibri" w:hAnsi="Calibri"/>
                <w:sz w:val="18"/>
                <w:szCs w:val="18"/>
              </w:rPr>
            </w:pPr>
            <w:r w:rsidRPr="00CF5A42">
              <w:rPr>
                <w:rFonts w:ascii="Calibri" w:hAnsi="Calibri"/>
                <w:sz w:val="18"/>
                <w:szCs w:val="18"/>
              </w:rPr>
              <w:t>0,735</w:t>
            </w:r>
          </w:p>
        </w:tc>
        <w:tc>
          <w:tcPr>
            <w:tcW w:w="1134" w:type="dxa"/>
            <w:tcBorders>
              <w:top w:val="single" w:sz="4" w:space="0" w:color="auto"/>
              <w:left w:val="single" w:sz="4" w:space="0" w:color="auto"/>
              <w:bottom w:val="single" w:sz="4" w:space="0" w:color="auto"/>
              <w:right w:val="single" w:sz="4" w:space="0" w:color="auto"/>
            </w:tcBorders>
          </w:tcPr>
          <w:p w:rsidR="001F3A98" w:rsidRPr="00CF5A42" w:rsidRDefault="001F3A98" w:rsidP="00FD47C7">
            <w:pPr>
              <w:rPr>
                <w:rFonts w:ascii="Calibri" w:hAnsi="Calibri"/>
                <w:sz w:val="18"/>
                <w:szCs w:val="18"/>
              </w:rPr>
            </w:pPr>
            <w:r w:rsidRPr="00CF5A42">
              <w:rPr>
                <w:rFonts w:ascii="Calibri" w:hAnsi="Calibri"/>
                <w:sz w:val="18"/>
                <w:szCs w:val="18"/>
              </w:rPr>
              <w:t>0,674</w:t>
            </w:r>
          </w:p>
        </w:tc>
        <w:tc>
          <w:tcPr>
            <w:tcW w:w="1134" w:type="dxa"/>
            <w:tcBorders>
              <w:top w:val="single" w:sz="4" w:space="0" w:color="auto"/>
              <w:left w:val="single" w:sz="4" w:space="0" w:color="auto"/>
              <w:bottom w:val="single" w:sz="4" w:space="0" w:color="auto"/>
              <w:right w:val="single" w:sz="4" w:space="0" w:color="auto"/>
            </w:tcBorders>
          </w:tcPr>
          <w:p w:rsidR="001F3A98" w:rsidRPr="00CF5A42" w:rsidRDefault="001F3A98" w:rsidP="00FD47C7">
            <w:pPr>
              <w:rPr>
                <w:rFonts w:ascii="Calibri" w:hAnsi="Calibri"/>
                <w:sz w:val="18"/>
                <w:szCs w:val="18"/>
              </w:rPr>
            </w:pPr>
            <w:r w:rsidRPr="00CF5A42">
              <w:rPr>
                <w:rFonts w:ascii="Calibri" w:hAnsi="Calibri"/>
                <w:sz w:val="18"/>
                <w:szCs w:val="18"/>
              </w:rPr>
              <w:t>0,569</w:t>
            </w:r>
          </w:p>
        </w:tc>
        <w:tc>
          <w:tcPr>
            <w:tcW w:w="1134" w:type="dxa"/>
            <w:tcBorders>
              <w:top w:val="single" w:sz="4" w:space="0" w:color="auto"/>
              <w:left w:val="single" w:sz="4" w:space="0" w:color="auto"/>
              <w:bottom w:val="single" w:sz="4" w:space="0" w:color="auto"/>
              <w:right w:val="single" w:sz="4" w:space="0" w:color="auto"/>
            </w:tcBorders>
          </w:tcPr>
          <w:p w:rsidR="001F3A98" w:rsidRPr="00CF5A42" w:rsidRDefault="001F3A98" w:rsidP="00FD47C7">
            <w:pPr>
              <w:rPr>
                <w:rFonts w:ascii="Calibri" w:hAnsi="Calibri"/>
                <w:sz w:val="18"/>
                <w:szCs w:val="18"/>
              </w:rPr>
            </w:pPr>
            <w:r w:rsidRPr="00CF5A42">
              <w:rPr>
                <w:rFonts w:ascii="Calibri" w:hAnsi="Calibri"/>
                <w:sz w:val="18"/>
                <w:szCs w:val="18"/>
              </w:rPr>
              <w:t>0,655</w:t>
            </w:r>
          </w:p>
        </w:tc>
      </w:tr>
      <w:tr w:rsidR="001F3A98" w:rsidRPr="00CF5A42" w:rsidTr="004E5CC8">
        <w:trPr>
          <w:cantSplit/>
          <w:trHeight w:val="214"/>
        </w:trPr>
        <w:tc>
          <w:tcPr>
            <w:tcW w:w="1913" w:type="dxa"/>
            <w:vMerge/>
            <w:tcBorders>
              <w:top w:val="single" w:sz="4" w:space="0" w:color="auto"/>
              <w:left w:val="single" w:sz="4" w:space="0" w:color="auto"/>
              <w:bottom w:val="single" w:sz="4" w:space="0" w:color="auto"/>
              <w:right w:val="single" w:sz="4" w:space="0" w:color="auto"/>
            </w:tcBorders>
            <w:vAlign w:val="center"/>
          </w:tcPr>
          <w:p w:rsidR="001F3A98" w:rsidRPr="00CF5A42" w:rsidRDefault="001F3A98" w:rsidP="00FD47C7">
            <w:pPr>
              <w:rPr>
                <w:rFonts w:ascii="Calibri" w:hAnsi="Calibri"/>
                <w:sz w:val="18"/>
                <w:szCs w:val="18"/>
              </w:rPr>
            </w:pPr>
          </w:p>
        </w:tc>
        <w:tc>
          <w:tcPr>
            <w:tcW w:w="851" w:type="dxa"/>
            <w:tcBorders>
              <w:top w:val="single" w:sz="4" w:space="0" w:color="auto"/>
              <w:left w:val="single" w:sz="4" w:space="0" w:color="auto"/>
              <w:bottom w:val="single" w:sz="4" w:space="0" w:color="auto"/>
              <w:right w:val="single" w:sz="4" w:space="0" w:color="auto"/>
            </w:tcBorders>
          </w:tcPr>
          <w:p w:rsidR="001F3A98" w:rsidRPr="00CF5A42" w:rsidRDefault="001F3A98" w:rsidP="00FD47C7">
            <w:pPr>
              <w:rPr>
                <w:rFonts w:ascii="Calibri" w:hAnsi="Calibri"/>
                <w:sz w:val="18"/>
                <w:szCs w:val="18"/>
              </w:rPr>
            </w:pPr>
            <w:r w:rsidRPr="00CF5A42">
              <w:rPr>
                <w:rFonts w:ascii="Calibri" w:hAnsi="Calibri"/>
                <w:sz w:val="18"/>
                <w:szCs w:val="18"/>
              </w:rPr>
              <w:t xml:space="preserve">y </w:t>
            </w:r>
          </w:p>
        </w:tc>
        <w:tc>
          <w:tcPr>
            <w:tcW w:w="1134" w:type="dxa"/>
            <w:tcBorders>
              <w:top w:val="single" w:sz="4" w:space="0" w:color="auto"/>
              <w:left w:val="single" w:sz="4" w:space="0" w:color="auto"/>
              <w:bottom w:val="single" w:sz="4" w:space="0" w:color="auto"/>
              <w:right w:val="single" w:sz="4" w:space="0" w:color="auto"/>
            </w:tcBorders>
          </w:tcPr>
          <w:p w:rsidR="001F3A98" w:rsidRPr="00CF5A42" w:rsidRDefault="001F3A98" w:rsidP="00FD47C7">
            <w:pPr>
              <w:rPr>
                <w:rFonts w:ascii="Calibri" w:hAnsi="Calibri"/>
                <w:sz w:val="18"/>
                <w:szCs w:val="18"/>
              </w:rPr>
            </w:pPr>
            <w:r w:rsidRPr="00CF5A42">
              <w:rPr>
                <w:rFonts w:ascii="Calibri" w:hAnsi="Calibri"/>
                <w:sz w:val="18"/>
                <w:szCs w:val="18"/>
              </w:rPr>
              <w:t>0,265</w:t>
            </w:r>
          </w:p>
        </w:tc>
        <w:tc>
          <w:tcPr>
            <w:tcW w:w="1134" w:type="dxa"/>
            <w:tcBorders>
              <w:top w:val="single" w:sz="4" w:space="0" w:color="auto"/>
              <w:left w:val="single" w:sz="4" w:space="0" w:color="auto"/>
              <w:bottom w:val="single" w:sz="4" w:space="0" w:color="auto"/>
              <w:right w:val="single" w:sz="4" w:space="0" w:color="auto"/>
            </w:tcBorders>
          </w:tcPr>
          <w:p w:rsidR="001F3A98" w:rsidRPr="00CF5A42" w:rsidRDefault="001F3A98" w:rsidP="00FD47C7">
            <w:pPr>
              <w:rPr>
                <w:rFonts w:ascii="Calibri" w:hAnsi="Calibri"/>
                <w:sz w:val="18"/>
                <w:szCs w:val="18"/>
              </w:rPr>
            </w:pPr>
            <w:r w:rsidRPr="00CF5A42">
              <w:rPr>
                <w:rFonts w:ascii="Calibri" w:hAnsi="Calibri"/>
                <w:sz w:val="18"/>
                <w:szCs w:val="18"/>
              </w:rPr>
              <w:t>0,236</w:t>
            </w:r>
          </w:p>
        </w:tc>
        <w:tc>
          <w:tcPr>
            <w:tcW w:w="1134" w:type="dxa"/>
            <w:tcBorders>
              <w:top w:val="single" w:sz="4" w:space="0" w:color="auto"/>
              <w:left w:val="single" w:sz="4" w:space="0" w:color="auto"/>
              <w:bottom w:val="single" w:sz="4" w:space="0" w:color="auto"/>
              <w:right w:val="single" w:sz="4" w:space="0" w:color="auto"/>
            </w:tcBorders>
          </w:tcPr>
          <w:p w:rsidR="001F3A98" w:rsidRPr="00CF5A42" w:rsidRDefault="001F3A98" w:rsidP="00FD47C7">
            <w:pPr>
              <w:rPr>
                <w:rFonts w:ascii="Calibri" w:hAnsi="Calibri"/>
                <w:sz w:val="18"/>
                <w:szCs w:val="18"/>
              </w:rPr>
            </w:pPr>
            <w:r w:rsidRPr="00CF5A42">
              <w:rPr>
                <w:rFonts w:ascii="Calibri" w:hAnsi="Calibri"/>
                <w:sz w:val="18"/>
                <w:szCs w:val="18"/>
              </w:rPr>
              <w:t>0,341</w:t>
            </w:r>
          </w:p>
        </w:tc>
        <w:tc>
          <w:tcPr>
            <w:tcW w:w="1134" w:type="dxa"/>
            <w:tcBorders>
              <w:top w:val="single" w:sz="4" w:space="0" w:color="auto"/>
              <w:left w:val="single" w:sz="4" w:space="0" w:color="auto"/>
              <w:bottom w:val="single" w:sz="4" w:space="0" w:color="auto"/>
              <w:right w:val="single" w:sz="4" w:space="0" w:color="auto"/>
            </w:tcBorders>
          </w:tcPr>
          <w:p w:rsidR="001F3A98" w:rsidRPr="00CF5A42" w:rsidRDefault="001F3A98" w:rsidP="00FD47C7">
            <w:pPr>
              <w:rPr>
                <w:rFonts w:ascii="Calibri" w:hAnsi="Calibri"/>
                <w:sz w:val="18"/>
                <w:szCs w:val="18"/>
              </w:rPr>
            </w:pPr>
            <w:r w:rsidRPr="00CF5A42">
              <w:rPr>
                <w:rFonts w:ascii="Calibri" w:hAnsi="Calibri"/>
                <w:sz w:val="18"/>
                <w:szCs w:val="18"/>
              </w:rPr>
              <w:t>0,345</w:t>
            </w:r>
          </w:p>
        </w:tc>
      </w:tr>
      <w:tr w:rsidR="001F3A98" w:rsidRPr="00CF5A42" w:rsidTr="004E5CC8">
        <w:trPr>
          <w:cantSplit/>
          <w:trHeight w:val="254"/>
        </w:trPr>
        <w:tc>
          <w:tcPr>
            <w:tcW w:w="1913" w:type="dxa"/>
            <w:vMerge w:val="restart"/>
            <w:tcBorders>
              <w:top w:val="single" w:sz="4" w:space="0" w:color="auto"/>
              <w:left w:val="single" w:sz="4" w:space="0" w:color="auto"/>
              <w:bottom w:val="single" w:sz="4" w:space="0" w:color="auto"/>
              <w:right w:val="single" w:sz="4" w:space="0" w:color="auto"/>
            </w:tcBorders>
          </w:tcPr>
          <w:p w:rsidR="001F3A98" w:rsidRPr="00CF5A42" w:rsidRDefault="001F3A98" w:rsidP="00FD47C7">
            <w:pPr>
              <w:rPr>
                <w:rFonts w:ascii="Calibri" w:hAnsi="Calibri"/>
                <w:sz w:val="18"/>
                <w:szCs w:val="18"/>
              </w:rPr>
            </w:pPr>
            <w:r w:rsidRPr="00CF5A42">
              <w:rPr>
                <w:rFonts w:ascii="Calibri" w:hAnsi="Calibri"/>
                <w:sz w:val="18"/>
                <w:szCs w:val="18"/>
              </w:rPr>
              <w:t>Niebieska</w:t>
            </w:r>
          </w:p>
        </w:tc>
        <w:tc>
          <w:tcPr>
            <w:tcW w:w="851" w:type="dxa"/>
            <w:tcBorders>
              <w:top w:val="single" w:sz="4" w:space="0" w:color="auto"/>
              <w:left w:val="single" w:sz="4" w:space="0" w:color="auto"/>
              <w:bottom w:val="single" w:sz="4" w:space="0" w:color="auto"/>
              <w:right w:val="single" w:sz="4" w:space="0" w:color="auto"/>
            </w:tcBorders>
          </w:tcPr>
          <w:p w:rsidR="001F3A98" w:rsidRPr="00CF5A42" w:rsidRDefault="001F3A98" w:rsidP="00FD47C7">
            <w:pPr>
              <w:rPr>
                <w:rFonts w:ascii="Calibri" w:hAnsi="Calibri"/>
                <w:sz w:val="18"/>
                <w:szCs w:val="18"/>
              </w:rPr>
            </w:pPr>
            <w:r w:rsidRPr="00CF5A42">
              <w:rPr>
                <w:rFonts w:ascii="Calibri" w:hAnsi="Calibri"/>
                <w:sz w:val="18"/>
                <w:szCs w:val="18"/>
              </w:rPr>
              <w:t xml:space="preserve">x </w:t>
            </w:r>
          </w:p>
        </w:tc>
        <w:tc>
          <w:tcPr>
            <w:tcW w:w="1134" w:type="dxa"/>
            <w:tcBorders>
              <w:top w:val="single" w:sz="4" w:space="0" w:color="auto"/>
              <w:left w:val="single" w:sz="4" w:space="0" w:color="auto"/>
              <w:bottom w:val="single" w:sz="4" w:space="0" w:color="auto"/>
              <w:right w:val="single" w:sz="4" w:space="0" w:color="auto"/>
            </w:tcBorders>
          </w:tcPr>
          <w:p w:rsidR="001F3A98" w:rsidRPr="00CF5A42" w:rsidRDefault="001F3A98" w:rsidP="00FD47C7">
            <w:pPr>
              <w:rPr>
                <w:rFonts w:ascii="Calibri" w:hAnsi="Calibri"/>
                <w:sz w:val="18"/>
                <w:szCs w:val="18"/>
              </w:rPr>
            </w:pPr>
            <w:r w:rsidRPr="00CF5A42">
              <w:rPr>
                <w:rFonts w:ascii="Calibri" w:hAnsi="Calibri"/>
                <w:sz w:val="18"/>
                <w:szCs w:val="18"/>
              </w:rPr>
              <w:t>0,078</w:t>
            </w:r>
          </w:p>
        </w:tc>
        <w:tc>
          <w:tcPr>
            <w:tcW w:w="1134" w:type="dxa"/>
            <w:tcBorders>
              <w:top w:val="single" w:sz="4" w:space="0" w:color="auto"/>
              <w:left w:val="single" w:sz="4" w:space="0" w:color="auto"/>
              <w:bottom w:val="single" w:sz="4" w:space="0" w:color="auto"/>
              <w:right w:val="single" w:sz="4" w:space="0" w:color="auto"/>
            </w:tcBorders>
          </w:tcPr>
          <w:p w:rsidR="001F3A98" w:rsidRPr="00CF5A42" w:rsidRDefault="001F3A98" w:rsidP="00FD47C7">
            <w:pPr>
              <w:rPr>
                <w:rFonts w:ascii="Calibri" w:hAnsi="Calibri"/>
                <w:sz w:val="18"/>
                <w:szCs w:val="18"/>
              </w:rPr>
            </w:pPr>
            <w:r w:rsidRPr="00CF5A42">
              <w:rPr>
                <w:rFonts w:ascii="Calibri" w:hAnsi="Calibri"/>
                <w:sz w:val="18"/>
                <w:szCs w:val="18"/>
              </w:rPr>
              <w:t>0,150</w:t>
            </w:r>
          </w:p>
        </w:tc>
        <w:tc>
          <w:tcPr>
            <w:tcW w:w="1134" w:type="dxa"/>
            <w:tcBorders>
              <w:top w:val="single" w:sz="4" w:space="0" w:color="auto"/>
              <w:left w:val="single" w:sz="4" w:space="0" w:color="auto"/>
              <w:bottom w:val="single" w:sz="4" w:space="0" w:color="auto"/>
              <w:right w:val="single" w:sz="4" w:space="0" w:color="auto"/>
            </w:tcBorders>
          </w:tcPr>
          <w:p w:rsidR="001F3A98" w:rsidRPr="00CF5A42" w:rsidRDefault="001F3A98" w:rsidP="00FD47C7">
            <w:pPr>
              <w:rPr>
                <w:rFonts w:ascii="Calibri" w:hAnsi="Calibri"/>
                <w:sz w:val="18"/>
                <w:szCs w:val="18"/>
              </w:rPr>
            </w:pPr>
            <w:r w:rsidRPr="00CF5A42">
              <w:rPr>
                <w:rFonts w:ascii="Calibri" w:hAnsi="Calibri"/>
                <w:sz w:val="18"/>
                <w:szCs w:val="18"/>
              </w:rPr>
              <w:t>0,210</w:t>
            </w:r>
          </w:p>
        </w:tc>
        <w:tc>
          <w:tcPr>
            <w:tcW w:w="1134" w:type="dxa"/>
            <w:tcBorders>
              <w:top w:val="single" w:sz="4" w:space="0" w:color="auto"/>
              <w:left w:val="single" w:sz="4" w:space="0" w:color="auto"/>
              <w:bottom w:val="single" w:sz="4" w:space="0" w:color="auto"/>
              <w:right w:val="single" w:sz="4" w:space="0" w:color="auto"/>
            </w:tcBorders>
          </w:tcPr>
          <w:p w:rsidR="001F3A98" w:rsidRPr="00CF5A42" w:rsidRDefault="001F3A98" w:rsidP="00FD47C7">
            <w:pPr>
              <w:rPr>
                <w:rFonts w:ascii="Calibri" w:hAnsi="Calibri"/>
                <w:sz w:val="18"/>
                <w:szCs w:val="18"/>
              </w:rPr>
            </w:pPr>
            <w:r w:rsidRPr="00CF5A42">
              <w:rPr>
                <w:rFonts w:ascii="Calibri" w:hAnsi="Calibri"/>
                <w:sz w:val="18"/>
                <w:szCs w:val="18"/>
              </w:rPr>
              <w:t>0,137</w:t>
            </w:r>
          </w:p>
        </w:tc>
      </w:tr>
      <w:tr w:rsidR="001F3A98" w:rsidRPr="00CF5A42" w:rsidTr="004E5CC8">
        <w:trPr>
          <w:cantSplit/>
          <w:trHeight w:val="144"/>
        </w:trPr>
        <w:tc>
          <w:tcPr>
            <w:tcW w:w="1913" w:type="dxa"/>
            <w:vMerge/>
            <w:tcBorders>
              <w:top w:val="single" w:sz="4" w:space="0" w:color="auto"/>
              <w:left w:val="single" w:sz="4" w:space="0" w:color="auto"/>
              <w:bottom w:val="single" w:sz="4" w:space="0" w:color="auto"/>
              <w:right w:val="single" w:sz="4" w:space="0" w:color="auto"/>
            </w:tcBorders>
            <w:vAlign w:val="center"/>
          </w:tcPr>
          <w:p w:rsidR="001F3A98" w:rsidRPr="00CF5A42" w:rsidRDefault="001F3A98" w:rsidP="00FD47C7">
            <w:pPr>
              <w:rPr>
                <w:rFonts w:ascii="Calibri" w:hAnsi="Calibri"/>
                <w:sz w:val="18"/>
                <w:szCs w:val="18"/>
              </w:rPr>
            </w:pPr>
          </w:p>
        </w:tc>
        <w:tc>
          <w:tcPr>
            <w:tcW w:w="851" w:type="dxa"/>
            <w:tcBorders>
              <w:top w:val="single" w:sz="4" w:space="0" w:color="auto"/>
              <w:left w:val="single" w:sz="4" w:space="0" w:color="auto"/>
              <w:bottom w:val="single" w:sz="4" w:space="0" w:color="auto"/>
              <w:right w:val="single" w:sz="4" w:space="0" w:color="auto"/>
            </w:tcBorders>
          </w:tcPr>
          <w:p w:rsidR="001F3A98" w:rsidRPr="00CF5A42" w:rsidRDefault="001F3A98" w:rsidP="00FD47C7">
            <w:pPr>
              <w:rPr>
                <w:rFonts w:ascii="Calibri" w:hAnsi="Calibri"/>
                <w:sz w:val="18"/>
                <w:szCs w:val="18"/>
              </w:rPr>
            </w:pPr>
            <w:r w:rsidRPr="00CF5A42">
              <w:rPr>
                <w:rFonts w:ascii="Calibri" w:hAnsi="Calibri"/>
                <w:sz w:val="18"/>
                <w:szCs w:val="18"/>
              </w:rPr>
              <w:t xml:space="preserve">y </w:t>
            </w:r>
          </w:p>
        </w:tc>
        <w:tc>
          <w:tcPr>
            <w:tcW w:w="1134" w:type="dxa"/>
            <w:tcBorders>
              <w:top w:val="single" w:sz="4" w:space="0" w:color="auto"/>
              <w:left w:val="single" w:sz="4" w:space="0" w:color="auto"/>
              <w:bottom w:val="single" w:sz="4" w:space="0" w:color="auto"/>
              <w:right w:val="single" w:sz="4" w:space="0" w:color="auto"/>
            </w:tcBorders>
          </w:tcPr>
          <w:p w:rsidR="001F3A98" w:rsidRPr="00CF5A42" w:rsidRDefault="001F3A98" w:rsidP="00FD47C7">
            <w:pPr>
              <w:rPr>
                <w:rFonts w:ascii="Calibri" w:hAnsi="Calibri"/>
                <w:sz w:val="18"/>
                <w:szCs w:val="18"/>
              </w:rPr>
            </w:pPr>
            <w:r w:rsidRPr="00CF5A42">
              <w:rPr>
                <w:rFonts w:ascii="Calibri" w:hAnsi="Calibri"/>
                <w:sz w:val="18"/>
                <w:szCs w:val="18"/>
              </w:rPr>
              <w:t>0,171</w:t>
            </w:r>
          </w:p>
        </w:tc>
        <w:tc>
          <w:tcPr>
            <w:tcW w:w="1134" w:type="dxa"/>
            <w:tcBorders>
              <w:top w:val="single" w:sz="4" w:space="0" w:color="auto"/>
              <w:left w:val="single" w:sz="4" w:space="0" w:color="auto"/>
              <w:bottom w:val="single" w:sz="4" w:space="0" w:color="auto"/>
              <w:right w:val="single" w:sz="4" w:space="0" w:color="auto"/>
            </w:tcBorders>
          </w:tcPr>
          <w:p w:rsidR="001F3A98" w:rsidRPr="00CF5A42" w:rsidRDefault="001F3A98" w:rsidP="00FD47C7">
            <w:pPr>
              <w:rPr>
                <w:rFonts w:ascii="Calibri" w:hAnsi="Calibri"/>
                <w:sz w:val="18"/>
                <w:szCs w:val="18"/>
              </w:rPr>
            </w:pPr>
            <w:r w:rsidRPr="00CF5A42">
              <w:rPr>
                <w:rFonts w:ascii="Calibri" w:hAnsi="Calibri"/>
                <w:sz w:val="18"/>
                <w:szCs w:val="18"/>
              </w:rPr>
              <w:t>0,220</w:t>
            </w:r>
          </w:p>
        </w:tc>
        <w:tc>
          <w:tcPr>
            <w:tcW w:w="1134" w:type="dxa"/>
            <w:tcBorders>
              <w:top w:val="single" w:sz="4" w:space="0" w:color="auto"/>
              <w:left w:val="single" w:sz="4" w:space="0" w:color="auto"/>
              <w:bottom w:val="single" w:sz="4" w:space="0" w:color="auto"/>
              <w:right w:val="single" w:sz="4" w:space="0" w:color="auto"/>
            </w:tcBorders>
          </w:tcPr>
          <w:p w:rsidR="001F3A98" w:rsidRPr="00CF5A42" w:rsidRDefault="001F3A98" w:rsidP="00FD47C7">
            <w:pPr>
              <w:rPr>
                <w:rFonts w:ascii="Calibri" w:hAnsi="Calibri"/>
                <w:sz w:val="18"/>
                <w:szCs w:val="18"/>
              </w:rPr>
            </w:pPr>
            <w:r w:rsidRPr="00CF5A42">
              <w:rPr>
                <w:rFonts w:ascii="Calibri" w:hAnsi="Calibri"/>
                <w:sz w:val="18"/>
                <w:szCs w:val="18"/>
              </w:rPr>
              <w:t>0,160</w:t>
            </w:r>
          </w:p>
        </w:tc>
        <w:tc>
          <w:tcPr>
            <w:tcW w:w="1134" w:type="dxa"/>
            <w:tcBorders>
              <w:top w:val="single" w:sz="4" w:space="0" w:color="auto"/>
              <w:left w:val="single" w:sz="4" w:space="0" w:color="auto"/>
              <w:bottom w:val="single" w:sz="4" w:space="0" w:color="auto"/>
              <w:right w:val="single" w:sz="4" w:space="0" w:color="auto"/>
            </w:tcBorders>
          </w:tcPr>
          <w:p w:rsidR="001F3A98" w:rsidRPr="00CF5A42" w:rsidRDefault="001F3A98" w:rsidP="00FD47C7">
            <w:pPr>
              <w:rPr>
                <w:rFonts w:ascii="Calibri" w:hAnsi="Calibri"/>
                <w:sz w:val="18"/>
                <w:szCs w:val="18"/>
              </w:rPr>
            </w:pPr>
            <w:r w:rsidRPr="00CF5A42">
              <w:rPr>
                <w:rFonts w:ascii="Calibri" w:hAnsi="Calibri"/>
                <w:sz w:val="18"/>
                <w:szCs w:val="18"/>
              </w:rPr>
              <w:t>0,038</w:t>
            </w:r>
          </w:p>
        </w:tc>
      </w:tr>
      <w:tr w:rsidR="001F3A98" w:rsidRPr="00CF5A42" w:rsidTr="004E5CC8">
        <w:trPr>
          <w:cantSplit/>
          <w:trHeight w:val="213"/>
        </w:trPr>
        <w:tc>
          <w:tcPr>
            <w:tcW w:w="1913" w:type="dxa"/>
            <w:vMerge w:val="restart"/>
            <w:tcBorders>
              <w:top w:val="single" w:sz="4" w:space="0" w:color="auto"/>
              <w:left w:val="single" w:sz="4" w:space="0" w:color="auto"/>
              <w:bottom w:val="single" w:sz="4" w:space="0" w:color="auto"/>
              <w:right w:val="single" w:sz="4" w:space="0" w:color="auto"/>
            </w:tcBorders>
          </w:tcPr>
          <w:p w:rsidR="001F3A98" w:rsidRPr="00CF5A42" w:rsidRDefault="001F3A98" w:rsidP="00FD47C7">
            <w:pPr>
              <w:rPr>
                <w:rFonts w:ascii="Calibri" w:hAnsi="Calibri"/>
                <w:sz w:val="18"/>
                <w:szCs w:val="18"/>
              </w:rPr>
            </w:pPr>
            <w:r w:rsidRPr="00CF5A42">
              <w:rPr>
                <w:rFonts w:ascii="Calibri" w:hAnsi="Calibri"/>
                <w:sz w:val="18"/>
                <w:szCs w:val="18"/>
              </w:rPr>
              <w:t>Zielona</w:t>
            </w:r>
          </w:p>
        </w:tc>
        <w:tc>
          <w:tcPr>
            <w:tcW w:w="851" w:type="dxa"/>
            <w:tcBorders>
              <w:top w:val="single" w:sz="4" w:space="0" w:color="auto"/>
              <w:left w:val="single" w:sz="4" w:space="0" w:color="auto"/>
              <w:bottom w:val="single" w:sz="4" w:space="0" w:color="auto"/>
              <w:right w:val="single" w:sz="4" w:space="0" w:color="auto"/>
            </w:tcBorders>
          </w:tcPr>
          <w:p w:rsidR="001F3A98" w:rsidRPr="00CF5A42" w:rsidRDefault="001F3A98" w:rsidP="00FD47C7">
            <w:pPr>
              <w:rPr>
                <w:rFonts w:ascii="Calibri" w:hAnsi="Calibri"/>
                <w:sz w:val="18"/>
                <w:szCs w:val="18"/>
              </w:rPr>
            </w:pPr>
            <w:r w:rsidRPr="00CF5A42">
              <w:rPr>
                <w:rFonts w:ascii="Calibri" w:hAnsi="Calibri"/>
                <w:sz w:val="18"/>
                <w:szCs w:val="18"/>
              </w:rPr>
              <w:t xml:space="preserve">x </w:t>
            </w:r>
          </w:p>
        </w:tc>
        <w:tc>
          <w:tcPr>
            <w:tcW w:w="1134" w:type="dxa"/>
            <w:tcBorders>
              <w:top w:val="single" w:sz="4" w:space="0" w:color="auto"/>
              <w:left w:val="single" w:sz="4" w:space="0" w:color="auto"/>
              <w:bottom w:val="single" w:sz="4" w:space="0" w:color="auto"/>
              <w:right w:val="single" w:sz="4" w:space="0" w:color="auto"/>
            </w:tcBorders>
          </w:tcPr>
          <w:p w:rsidR="001F3A98" w:rsidRPr="00CF5A42" w:rsidRDefault="001F3A98" w:rsidP="00FD47C7">
            <w:pPr>
              <w:rPr>
                <w:rFonts w:ascii="Calibri" w:hAnsi="Calibri"/>
                <w:sz w:val="18"/>
                <w:szCs w:val="18"/>
              </w:rPr>
            </w:pPr>
            <w:r w:rsidRPr="00CF5A42">
              <w:rPr>
                <w:rFonts w:ascii="Calibri" w:hAnsi="Calibri"/>
                <w:sz w:val="18"/>
                <w:szCs w:val="18"/>
              </w:rPr>
              <w:t>0,007</w:t>
            </w:r>
          </w:p>
        </w:tc>
        <w:tc>
          <w:tcPr>
            <w:tcW w:w="1134" w:type="dxa"/>
            <w:tcBorders>
              <w:top w:val="single" w:sz="4" w:space="0" w:color="auto"/>
              <w:left w:val="single" w:sz="4" w:space="0" w:color="auto"/>
              <w:bottom w:val="single" w:sz="4" w:space="0" w:color="auto"/>
              <w:right w:val="single" w:sz="4" w:space="0" w:color="auto"/>
            </w:tcBorders>
          </w:tcPr>
          <w:p w:rsidR="001F3A98" w:rsidRPr="00CF5A42" w:rsidRDefault="001F3A98" w:rsidP="00FD47C7">
            <w:pPr>
              <w:rPr>
                <w:rFonts w:ascii="Calibri" w:hAnsi="Calibri"/>
                <w:sz w:val="18"/>
                <w:szCs w:val="18"/>
              </w:rPr>
            </w:pPr>
            <w:r w:rsidRPr="00CF5A42">
              <w:rPr>
                <w:rFonts w:ascii="Calibri" w:hAnsi="Calibri"/>
                <w:sz w:val="18"/>
                <w:szCs w:val="18"/>
              </w:rPr>
              <w:t>0,248</w:t>
            </w:r>
          </w:p>
        </w:tc>
        <w:tc>
          <w:tcPr>
            <w:tcW w:w="1134" w:type="dxa"/>
            <w:tcBorders>
              <w:top w:val="single" w:sz="4" w:space="0" w:color="auto"/>
              <w:left w:val="single" w:sz="4" w:space="0" w:color="auto"/>
              <w:bottom w:val="single" w:sz="4" w:space="0" w:color="auto"/>
              <w:right w:val="single" w:sz="4" w:space="0" w:color="auto"/>
            </w:tcBorders>
          </w:tcPr>
          <w:p w:rsidR="001F3A98" w:rsidRPr="00CF5A42" w:rsidRDefault="001F3A98" w:rsidP="00FD47C7">
            <w:pPr>
              <w:rPr>
                <w:rFonts w:ascii="Calibri" w:hAnsi="Calibri"/>
                <w:sz w:val="18"/>
                <w:szCs w:val="18"/>
              </w:rPr>
            </w:pPr>
            <w:r w:rsidRPr="00CF5A42">
              <w:rPr>
                <w:rFonts w:ascii="Calibri" w:hAnsi="Calibri"/>
                <w:sz w:val="18"/>
                <w:szCs w:val="18"/>
              </w:rPr>
              <w:t>0,177</w:t>
            </w:r>
          </w:p>
        </w:tc>
        <w:tc>
          <w:tcPr>
            <w:tcW w:w="1134" w:type="dxa"/>
            <w:tcBorders>
              <w:top w:val="single" w:sz="4" w:space="0" w:color="auto"/>
              <w:left w:val="single" w:sz="4" w:space="0" w:color="auto"/>
              <w:bottom w:val="single" w:sz="4" w:space="0" w:color="auto"/>
              <w:right w:val="single" w:sz="4" w:space="0" w:color="auto"/>
            </w:tcBorders>
          </w:tcPr>
          <w:p w:rsidR="001F3A98" w:rsidRPr="00CF5A42" w:rsidRDefault="001F3A98" w:rsidP="00FD47C7">
            <w:pPr>
              <w:rPr>
                <w:rFonts w:ascii="Calibri" w:hAnsi="Calibri"/>
                <w:sz w:val="18"/>
                <w:szCs w:val="18"/>
              </w:rPr>
            </w:pPr>
            <w:r w:rsidRPr="00CF5A42">
              <w:rPr>
                <w:rFonts w:ascii="Calibri" w:hAnsi="Calibri"/>
                <w:sz w:val="18"/>
                <w:szCs w:val="18"/>
              </w:rPr>
              <w:t>0,026</w:t>
            </w:r>
          </w:p>
        </w:tc>
      </w:tr>
      <w:tr w:rsidR="001F3A98" w:rsidRPr="00CF5A42" w:rsidTr="004E5CC8">
        <w:trPr>
          <w:cantSplit/>
          <w:trHeight w:val="230"/>
        </w:trPr>
        <w:tc>
          <w:tcPr>
            <w:tcW w:w="1913" w:type="dxa"/>
            <w:vMerge/>
            <w:tcBorders>
              <w:top w:val="single" w:sz="4" w:space="0" w:color="auto"/>
              <w:left w:val="single" w:sz="4" w:space="0" w:color="auto"/>
              <w:bottom w:val="single" w:sz="4" w:space="0" w:color="auto"/>
              <w:right w:val="single" w:sz="4" w:space="0" w:color="auto"/>
            </w:tcBorders>
            <w:vAlign w:val="center"/>
          </w:tcPr>
          <w:p w:rsidR="001F3A98" w:rsidRPr="00CF5A42" w:rsidRDefault="001F3A98" w:rsidP="00FD47C7">
            <w:pPr>
              <w:rPr>
                <w:rFonts w:ascii="Calibri" w:hAnsi="Calibri"/>
                <w:sz w:val="18"/>
                <w:szCs w:val="18"/>
              </w:rPr>
            </w:pPr>
          </w:p>
        </w:tc>
        <w:tc>
          <w:tcPr>
            <w:tcW w:w="851" w:type="dxa"/>
            <w:tcBorders>
              <w:top w:val="single" w:sz="4" w:space="0" w:color="auto"/>
              <w:left w:val="single" w:sz="4" w:space="0" w:color="auto"/>
              <w:bottom w:val="single" w:sz="4" w:space="0" w:color="auto"/>
              <w:right w:val="single" w:sz="4" w:space="0" w:color="auto"/>
            </w:tcBorders>
          </w:tcPr>
          <w:p w:rsidR="001F3A98" w:rsidRPr="00CF5A42" w:rsidRDefault="001F3A98" w:rsidP="00FD47C7">
            <w:pPr>
              <w:rPr>
                <w:rFonts w:ascii="Calibri" w:hAnsi="Calibri"/>
                <w:sz w:val="18"/>
                <w:szCs w:val="18"/>
              </w:rPr>
            </w:pPr>
            <w:r w:rsidRPr="00CF5A42">
              <w:rPr>
                <w:rFonts w:ascii="Calibri" w:hAnsi="Calibri"/>
                <w:sz w:val="18"/>
                <w:szCs w:val="18"/>
              </w:rPr>
              <w:t xml:space="preserve">y </w:t>
            </w:r>
          </w:p>
        </w:tc>
        <w:tc>
          <w:tcPr>
            <w:tcW w:w="1134" w:type="dxa"/>
            <w:tcBorders>
              <w:top w:val="single" w:sz="4" w:space="0" w:color="auto"/>
              <w:left w:val="single" w:sz="4" w:space="0" w:color="auto"/>
              <w:bottom w:val="single" w:sz="4" w:space="0" w:color="auto"/>
              <w:right w:val="single" w:sz="4" w:space="0" w:color="auto"/>
            </w:tcBorders>
          </w:tcPr>
          <w:p w:rsidR="001F3A98" w:rsidRPr="00CF5A42" w:rsidRDefault="001F3A98" w:rsidP="00FD47C7">
            <w:pPr>
              <w:rPr>
                <w:rFonts w:ascii="Calibri" w:hAnsi="Calibri"/>
                <w:sz w:val="18"/>
                <w:szCs w:val="18"/>
              </w:rPr>
            </w:pPr>
            <w:r w:rsidRPr="00CF5A42">
              <w:rPr>
                <w:rFonts w:ascii="Calibri" w:hAnsi="Calibri"/>
                <w:sz w:val="18"/>
                <w:szCs w:val="18"/>
              </w:rPr>
              <w:t>0,703</w:t>
            </w:r>
          </w:p>
        </w:tc>
        <w:tc>
          <w:tcPr>
            <w:tcW w:w="1134" w:type="dxa"/>
            <w:tcBorders>
              <w:top w:val="single" w:sz="4" w:space="0" w:color="auto"/>
              <w:left w:val="single" w:sz="4" w:space="0" w:color="auto"/>
              <w:bottom w:val="single" w:sz="4" w:space="0" w:color="auto"/>
              <w:right w:val="single" w:sz="4" w:space="0" w:color="auto"/>
            </w:tcBorders>
          </w:tcPr>
          <w:p w:rsidR="001F3A98" w:rsidRPr="00CF5A42" w:rsidRDefault="001F3A98" w:rsidP="00FD47C7">
            <w:pPr>
              <w:rPr>
                <w:rFonts w:ascii="Calibri" w:hAnsi="Calibri"/>
                <w:sz w:val="18"/>
                <w:szCs w:val="18"/>
              </w:rPr>
            </w:pPr>
            <w:r w:rsidRPr="00CF5A42">
              <w:rPr>
                <w:rFonts w:ascii="Calibri" w:hAnsi="Calibri"/>
                <w:sz w:val="18"/>
                <w:szCs w:val="18"/>
              </w:rPr>
              <w:t>0,409</w:t>
            </w:r>
          </w:p>
        </w:tc>
        <w:tc>
          <w:tcPr>
            <w:tcW w:w="1134" w:type="dxa"/>
            <w:tcBorders>
              <w:top w:val="single" w:sz="4" w:space="0" w:color="auto"/>
              <w:left w:val="single" w:sz="4" w:space="0" w:color="auto"/>
              <w:bottom w:val="single" w:sz="4" w:space="0" w:color="auto"/>
              <w:right w:val="single" w:sz="4" w:space="0" w:color="auto"/>
            </w:tcBorders>
          </w:tcPr>
          <w:p w:rsidR="001F3A98" w:rsidRPr="00CF5A42" w:rsidRDefault="001F3A98" w:rsidP="00FD47C7">
            <w:pPr>
              <w:rPr>
                <w:rFonts w:ascii="Calibri" w:hAnsi="Calibri"/>
                <w:sz w:val="18"/>
                <w:szCs w:val="18"/>
              </w:rPr>
            </w:pPr>
            <w:r w:rsidRPr="00CF5A42">
              <w:rPr>
                <w:rFonts w:ascii="Calibri" w:hAnsi="Calibri"/>
                <w:sz w:val="18"/>
                <w:szCs w:val="18"/>
              </w:rPr>
              <w:t>0,362</w:t>
            </w:r>
          </w:p>
        </w:tc>
        <w:tc>
          <w:tcPr>
            <w:tcW w:w="1134" w:type="dxa"/>
            <w:tcBorders>
              <w:top w:val="single" w:sz="4" w:space="0" w:color="auto"/>
              <w:left w:val="single" w:sz="4" w:space="0" w:color="auto"/>
              <w:bottom w:val="single" w:sz="4" w:space="0" w:color="auto"/>
              <w:right w:val="single" w:sz="4" w:space="0" w:color="auto"/>
            </w:tcBorders>
          </w:tcPr>
          <w:p w:rsidR="001F3A98" w:rsidRPr="00CF5A42" w:rsidRDefault="001F3A98" w:rsidP="00FD47C7">
            <w:pPr>
              <w:rPr>
                <w:rFonts w:ascii="Calibri" w:hAnsi="Calibri"/>
                <w:sz w:val="18"/>
                <w:szCs w:val="18"/>
              </w:rPr>
            </w:pPr>
            <w:r w:rsidRPr="00CF5A42">
              <w:rPr>
                <w:rFonts w:ascii="Calibri" w:hAnsi="Calibri"/>
                <w:sz w:val="18"/>
                <w:szCs w:val="18"/>
              </w:rPr>
              <w:t>0,399</w:t>
            </w:r>
          </w:p>
        </w:tc>
      </w:tr>
      <w:tr w:rsidR="001F3A98" w:rsidRPr="00CF5A42" w:rsidTr="004E5CC8">
        <w:trPr>
          <w:cantSplit/>
          <w:trHeight w:val="213"/>
        </w:trPr>
        <w:tc>
          <w:tcPr>
            <w:tcW w:w="1913" w:type="dxa"/>
            <w:vMerge w:val="restart"/>
            <w:tcBorders>
              <w:top w:val="single" w:sz="4" w:space="0" w:color="auto"/>
              <w:left w:val="single" w:sz="4" w:space="0" w:color="auto"/>
              <w:bottom w:val="single" w:sz="4" w:space="0" w:color="auto"/>
              <w:right w:val="single" w:sz="4" w:space="0" w:color="auto"/>
            </w:tcBorders>
          </w:tcPr>
          <w:p w:rsidR="001F3A98" w:rsidRPr="00CF5A42" w:rsidRDefault="001F3A98" w:rsidP="00FD47C7">
            <w:pPr>
              <w:rPr>
                <w:rFonts w:ascii="Calibri" w:hAnsi="Calibri"/>
                <w:sz w:val="18"/>
                <w:szCs w:val="18"/>
              </w:rPr>
            </w:pPr>
            <w:r w:rsidRPr="00CF5A42">
              <w:rPr>
                <w:rFonts w:ascii="Calibri" w:hAnsi="Calibri"/>
                <w:sz w:val="18"/>
                <w:szCs w:val="18"/>
              </w:rPr>
              <w:t>Brązowa</w:t>
            </w:r>
          </w:p>
        </w:tc>
        <w:tc>
          <w:tcPr>
            <w:tcW w:w="851" w:type="dxa"/>
            <w:tcBorders>
              <w:top w:val="single" w:sz="4" w:space="0" w:color="auto"/>
              <w:left w:val="single" w:sz="4" w:space="0" w:color="auto"/>
              <w:bottom w:val="single" w:sz="4" w:space="0" w:color="auto"/>
              <w:right w:val="single" w:sz="4" w:space="0" w:color="auto"/>
            </w:tcBorders>
          </w:tcPr>
          <w:p w:rsidR="001F3A98" w:rsidRPr="00CF5A42" w:rsidRDefault="001F3A98" w:rsidP="00FD47C7">
            <w:pPr>
              <w:rPr>
                <w:rFonts w:ascii="Calibri" w:hAnsi="Calibri"/>
                <w:sz w:val="18"/>
                <w:szCs w:val="18"/>
              </w:rPr>
            </w:pPr>
            <w:r w:rsidRPr="00CF5A42">
              <w:rPr>
                <w:rFonts w:ascii="Calibri" w:hAnsi="Calibri"/>
                <w:sz w:val="18"/>
                <w:szCs w:val="18"/>
              </w:rPr>
              <w:t>x</w:t>
            </w:r>
          </w:p>
        </w:tc>
        <w:tc>
          <w:tcPr>
            <w:tcW w:w="1134" w:type="dxa"/>
            <w:tcBorders>
              <w:top w:val="single" w:sz="4" w:space="0" w:color="auto"/>
              <w:left w:val="single" w:sz="4" w:space="0" w:color="auto"/>
              <w:bottom w:val="single" w:sz="4" w:space="0" w:color="auto"/>
              <w:right w:val="single" w:sz="4" w:space="0" w:color="auto"/>
            </w:tcBorders>
          </w:tcPr>
          <w:p w:rsidR="001F3A98" w:rsidRPr="00CF5A42" w:rsidRDefault="001F3A98" w:rsidP="00FD47C7">
            <w:pPr>
              <w:rPr>
                <w:rFonts w:ascii="Calibri" w:hAnsi="Calibri"/>
                <w:sz w:val="18"/>
                <w:szCs w:val="18"/>
              </w:rPr>
            </w:pPr>
            <w:r w:rsidRPr="00CF5A42">
              <w:rPr>
                <w:rFonts w:ascii="Calibri" w:hAnsi="Calibri"/>
                <w:sz w:val="18"/>
                <w:szCs w:val="18"/>
              </w:rPr>
              <w:t>0,455</w:t>
            </w:r>
          </w:p>
        </w:tc>
        <w:tc>
          <w:tcPr>
            <w:tcW w:w="1134" w:type="dxa"/>
            <w:tcBorders>
              <w:top w:val="single" w:sz="4" w:space="0" w:color="auto"/>
              <w:left w:val="single" w:sz="4" w:space="0" w:color="auto"/>
              <w:bottom w:val="single" w:sz="4" w:space="0" w:color="auto"/>
              <w:right w:val="single" w:sz="4" w:space="0" w:color="auto"/>
            </w:tcBorders>
          </w:tcPr>
          <w:p w:rsidR="001F3A98" w:rsidRPr="00CF5A42" w:rsidRDefault="001F3A98" w:rsidP="00FD47C7">
            <w:pPr>
              <w:rPr>
                <w:rFonts w:ascii="Calibri" w:hAnsi="Calibri"/>
                <w:sz w:val="18"/>
                <w:szCs w:val="18"/>
              </w:rPr>
            </w:pPr>
            <w:r w:rsidRPr="00CF5A42">
              <w:rPr>
                <w:rFonts w:ascii="Calibri" w:hAnsi="Calibri"/>
                <w:sz w:val="18"/>
                <w:szCs w:val="18"/>
              </w:rPr>
              <w:t>0,523</w:t>
            </w:r>
          </w:p>
        </w:tc>
        <w:tc>
          <w:tcPr>
            <w:tcW w:w="1134" w:type="dxa"/>
            <w:tcBorders>
              <w:top w:val="single" w:sz="4" w:space="0" w:color="auto"/>
              <w:left w:val="single" w:sz="4" w:space="0" w:color="auto"/>
              <w:bottom w:val="single" w:sz="4" w:space="0" w:color="auto"/>
              <w:right w:val="single" w:sz="4" w:space="0" w:color="auto"/>
            </w:tcBorders>
          </w:tcPr>
          <w:p w:rsidR="001F3A98" w:rsidRPr="00CF5A42" w:rsidRDefault="001F3A98" w:rsidP="00FD47C7">
            <w:pPr>
              <w:rPr>
                <w:rFonts w:ascii="Calibri" w:hAnsi="Calibri"/>
                <w:sz w:val="18"/>
                <w:szCs w:val="18"/>
              </w:rPr>
            </w:pPr>
            <w:r w:rsidRPr="00CF5A42">
              <w:rPr>
                <w:rFonts w:ascii="Calibri" w:hAnsi="Calibri"/>
                <w:sz w:val="18"/>
                <w:szCs w:val="18"/>
              </w:rPr>
              <w:t>0,479</w:t>
            </w:r>
          </w:p>
        </w:tc>
        <w:tc>
          <w:tcPr>
            <w:tcW w:w="1134" w:type="dxa"/>
            <w:tcBorders>
              <w:top w:val="single" w:sz="4" w:space="0" w:color="auto"/>
              <w:left w:val="single" w:sz="4" w:space="0" w:color="auto"/>
              <w:bottom w:val="single" w:sz="4" w:space="0" w:color="auto"/>
              <w:right w:val="single" w:sz="4" w:space="0" w:color="auto"/>
            </w:tcBorders>
          </w:tcPr>
          <w:p w:rsidR="001F3A98" w:rsidRPr="00CF5A42" w:rsidRDefault="001F3A98" w:rsidP="00FD47C7">
            <w:pPr>
              <w:rPr>
                <w:rFonts w:ascii="Calibri" w:hAnsi="Calibri"/>
                <w:sz w:val="18"/>
                <w:szCs w:val="18"/>
              </w:rPr>
            </w:pPr>
            <w:r w:rsidRPr="00CF5A42">
              <w:rPr>
                <w:rFonts w:ascii="Calibri" w:hAnsi="Calibri"/>
                <w:sz w:val="18"/>
                <w:szCs w:val="18"/>
              </w:rPr>
              <w:t>0,558</w:t>
            </w:r>
          </w:p>
        </w:tc>
      </w:tr>
      <w:tr w:rsidR="001F3A98" w:rsidRPr="00CF5A42" w:rsidTr="004E5CC8">
        <w:trPr>
          <w:cantSplit/>
          <w:trHeight w:val="230"/>
        </w:trPr>
        <w:tc>
          <w:tcPr>
            <w:tcW w:w="1913" w:type="dxa"/>
            <w:vMerge/>
            <w:tcBorders>
              <w:top w:val="single" w:sz="4" w:space="0" w:color="auto"/>
              <w:left w:val="single" w:sz="4" w:space="0" w:color="auto"/>
              <w:bottom w:val="single" w:sz="4" w:space="0" w:color="auto"/>
              <w:right w:val="single" w:sz="4" w:space="0" w:color="auto"/>
            </w:tcBorders>
            <w:vAlign w:val="center"/>
          </w:tcPr>
          <w:p w:rsidR="001F3A98" w:rsidRPr="00CF5A42" w:rsidRDefault="001F3A98" w:rsidP="00FD47C7">
            <w:pPr>
              <w:rPr>
                <w:rFonts w:ascii="Calibri" w:hAnsi="Calibri"/>
                <w:sz w:val="18"/>
                <w:szCs w:val="18"/>
              </w:rPr>
            </w:pPr>
          </w:p>
        </w:tc>
        <w:tc>
          <w:tcPr>
            <w:tcW w:w="851" w:type="dxa"/>
            <w:tcBorders>
              <w:top w:val="single" w:sz="4" w:space="0" w:color="auto"/>
              <w:left w:val="single" w:sz="4" w:space="0" w:color="auto"/>
              <w:bottom w:val="single" w:sz="4" w:space="0" w:color="auto"/>
              <w:right w:val="single" w:sz="4" w:space="0" w:color="auto"/>
            </w:tcBorders>
          </w:tcPr>
          <w:p w:rsidR="001F3A98" w:rsidRPr="00CF5A42" w:rsidRDefault="001F3A98" w:rsidP="00FD47C7">
            <w:pPr>
              <w:rPr>
                <w:rFonts w:ascii="Calibri" w:hAnsi="Calibri"/>
                <w:sz w:val="18"/>
                <w:szCs w:val="18"/>
              </w:rPr>
            </w:pPr>
            <w:r w:rsidRPr="00CF5A42">
              <w:rPr>
                <w:rFonts w:ascii="Calibri" w:hAnsi="Calibri"/>
                <w:sz w:val="18"/>
                <w:szCs w:val="18"/>
              </w:rPr>
              <w:t>y</w:t>
            </w:r>
          </w:p>
        </w:tc>
        <w:tc>
          <w:tcPr>
            <w:tcW w:w="1134" w:type="dxa"/>
            <w:tcBorders>
              <w:top w:val="single" w:sz="4" w:space="0" w:color="auto"/>
              <w:left w:val="single" w:sz="4" w:space="0" w:color="auto"/>
              <w:bottom w:val="single" w:sz="4" w:space="0" w:color="auto"/>
              <w:right w:val="single" w:sz="4" w:space="0" w:color="auto"/>
            </w:tcBorders>
          </w:tcPr>
          <w:p w:rsidR="001F3A98" w:rsidRPr="00CF5A42" w:rsidRDefault="001F3A98" w:rsidP="00FD47C7">
            <w:pPr>
              <w:rPr>
                <w:rFonts w:ascii="Calibri" w:hAnsi="Calibri"/>
                <w:sz w:val="18"/>
                <w:szCs w:val="18"/>
              </w:rPr>
            </w:pPr>
            <w:r w:rsidRPr="00CF5A42">
              <w:rPr>
                <w:rFonts w:ascii="Calibri" w:hAnsi="Calibri"/>
                <w:sz w:val="18"/>
                <w:szCs w:val="18"/>
              </w:rPr>
              <w:t>0,397</w:t>
            </w:r>
          </w:p>
        </w:tc>
        <w:tc>
          <w:tcPr>
            <w:tcW w:w="1134" w:type="dxa"/>
            <w:tcBorders>
              <w:top w:val="single" w:sz="4" w:space="0" w:color="auto"/>
              <w:left w:val="single" w:sz="4" w:space="0" w:color="auto"/>
              <w:bottom w:val="single" w:sz="4" w:space="0" w:color="auto"/>
              <w:right w:val="single" w:sz="4" w:space="0" w:color="auto"/>
            </w:tcBorders>
          </w:tcPr>
          <w:p w:rsidR="001F3A98" w:rsidRPr="00CF5A42" w:rsidRDefault="001F3A98" w:rsidP="00FD47C7">
            <w:pPr>
              <w:rPr>
                <w:rFonts w:ascii="Calibri" w:hAnsi="Calibri"/>
                <w:sz w:val="18"/>
                <w:szCs w:val="18"/>
              </w:rPr>
            </w:pPr>
            <w:r w:rsidRPr="00CF5A42">
              <w:rPr>
                <w:rFonts w:ascii="Calibri" w:hAnsi="Calibri"/>
                <w:sz w:val="18"/>
                <w:szCs w:val="18"/>
              </w:rPr>
              <w:t>0,429</w:t>
            </w:r>
          </w:p>
        </w:tc>
        <w:tc>
          <w:tcPr>
            <w:tcW w:w="1134" w:type="dxa"/>
            <w:tcBorders>
              <w:top w:val="single" w:sz="4" w:space="0" w:color="auto"/>
              <w:left w:val="single" w:sz="4" w:space="0" w:color="auto"/>
              <w:bottom w:val="single" w:sz="4" w:space="0" w:color="auto"/>
              <w:right w:val="single" w:sz="4" w:space="0" w:color="auto"/>
            </w:tcBorders>
          </w:tcPr>
          <w:p w:rsidR="001F3A98" w:rsidRPr="00CF5A42" w:rsidRDefault="001F3A98" w:rsidP="00FD47C7">
            <w:pPr>
              <w:rPr>
                <w:rFonts w:ascii="Calibri" w:hAnsi="Calibri"/>
                <w:sz w:val="18"/>
                <w:szCs w:val="18"/>
              </w:rPr>
            </w:pPr>
            <w:r w:rsidRPr="00CF5A42">
              <w:rPr>
                <w:rFonts w:ascii="Calibri" w:hAnsi="Calibri"/>
                <w:sz w:val="18"/>
                <w:szCs w:val="18"/>
              </w:rPr>
              <w:t>0,373</w:t>
            </w:r>
          </w:p>
        </w:tc>
        <w:tc>
          <w:tcPr>
            <w:tcW w:w="1134" w:type="dxa"/>
            <w:tcBorders>
              <w:top w:val="single" w:sz="4" w:space="0" w:color="auto"/>
              <w:left w:val="single" w:sz="4" w:space="0" w:color="auto"/>
              <w:bottom w:val="single" w:sz="4" w:space="0" w:color="auto"/>
              <w:right w:val="single" w:sz="4" w:space="0" w:color="auto"/>
            </w:tcBorders>
          </w:tcPr>
          <w:p w:rsidR="001F3A98" w:rsidRPr="00CF5A42" w:rsidRDefault="001F3A98" w:rsidP="00FD47C7">
            <w:pPr>
              <w:rPr>
                <w:rFonts w:ascii="Calibri" w:hAnsi="Calibri"/>
                <w:sz w:val="18"/>
                <w:szCs w:val="18"/>
              </w:rPr>
            </w:pPr>
            <w:r w:rsidRPr="00CF5A42">
              <w:rPr>
                <w:rFonts w:ascii="Calibri" w:hAnsi="Calibri"/>
                <w:sz w:val="18"/>
                <w:szCs w:val="18"/>
              </w:rPr>
              <w:t>0,394</w:t>
            </w:r>
          </w:p>
        </w:tc>
      </w:tr>
      <w:tr w:rsidR="001F3A98" w:rsidRPr="00CF5A42" w:rsidTr="004E5CC8">
        <w:trPr>
          <w:cantSplit/>
          <w:trHeight w:val="213"/>
        </w:trPr>
        <w:tc>
          <w:tcPr>
            <w:tcW w:w="1913" w:type="dxa"/>
            <w:vMerge w:val="restart"/>
            <w:tcBorders>
              <w:top w:val="single" w:sz="4" w:space="0" w:color="auto"/>
              <w:left w:val="single" w:sz="4" w:space="0" w:color="auto"/>
              <w:bottom w:val="single" w:sz="4" w:space="0" w:color="auto"/>
              <w:right w:val="single" w:sz="4" w:space="0" w:color="auto"/>
            </w:tcBorders>
          </w:tcPr>
          <w:p w:rsidR="001F3A98" w:rsidRPr="00CF5A42" w:rsidRDefault="001F3A98" w:rsidP="00FD47C7">
            <w:pPr>
              <w:rPr>
                <w:rFonts w:ascii="Calibri" w:hAnsi="Calibri"/>
                <w:sz w:val="18"/>
                <w:szCs w:val="18"/>
              </w:rPr>
            </w:pPr>
            <w:r w:rsidRPr="00CF5A42">
              <w:rPr>
                <w:rFonts w:ascii="Calibri" w:hAnsi="Calibri"/>
                <w:sz w:val="18"/>
                <w:szCs w:val="18"/>
              </w:rPr>
              <w:t>Pomarańczowa</w:t>
            </w:r>
          </w:p>
        </w:tc>
        <w:tc>
          <w:tcPr>
            <w:tcW w:w="851" w:type="dxa"/>
            <w:tcBorders>
              <w:top w:val="single" w:sz="4" w:space="0" w:color="auto"/>
              <w:left w:val="single" w:sz="4" w:space="0" w:color="auto"/>
              <w:bottom w:val="single" w:sz="4" w:space="0" w:color="auto"/>
              <w:right w:val="single" w:sz="4" w:space="0" w:color="auto"/>
            </w:tcBorders>
          </w:tcPr>
          <w:p w:rsidR="001F3A98" w:rsidRPr="00CF5A42" w:rsidRDefault="001F3A98" w:rsidP="00FD47C7">
            <w:pPr>
              <w:rPr>
                <w:rFonts w:ascii="Calibri" w:hAnsi="Calibri"/>
                <w:sz w:val="18"/>
                <w:szCs w:val="18"/>
              </w:rPr>
            </w:pPr>
            <w:r w:rsidRPr="00CF5A42">
              <w:rPr>
                <w:rFonts w:ascii="Calibri" w:hAnsi="Calibri"/>
                <w:sz w:val="18"/>
                <w:szCs w:val="18"/>
              </w:rPr>
              <w:t>x</w:t>
            </w:r>
          </w:p>
        </w:tc>
        <w:tc>
          <w:tcPr>
            <w:tcW w:w="1134" w:type="dxa"/>
            <w:tcBorders>
              <w:top w:val="single" w:sz="4" w:space="0" w:color="auto"/>
              <w:left w:val="single" w:sz="4" w:space="0" w:color="auto"/>
              <w:bottom w:val="single" w:sz="4" w:space="0" w:color="auto"/>
              <w:right w:val="single" w:sz="4" w:space="0" w:color="auto"/>
            </w:tcBorders>
          </w:tcPr>
          <w:p w:rsidR="001F3A98" w:rsidRPr="00CF5A42" w:rsidRDefault="001F3A98" w:rsidP="00FD47C7">
            <w:pPr>
              <w:rPr>
                <w:rFonts w:ascii="Calibri" w:hAnsi="Calibri"/>
                <w:sz w:val="18"/>
                <w:szCs w:val="18"/>
              </w:rPr>
            </w:pPr>
            <w:r w:rsidRPr="00CF5A42">
              <w:rPr>
                <w:rFonts w:ascii="Calibri" w:hAnsi="Calibri"/>
                <w:sz w:val="18"/>
                <w:szCs w:val="18"/>
              </w:rPr>
              <w:t>0,610</w:t>
            </w:r>
          </w:p>
        </w:tc>
        <w:tc>
          <w:tcPr>
            <w:tcW w:w="1134" w:type="dxa"/>
            <w:tcBorders>
              <w:top w:val="single" w:sz="4" w:space="0" w:color="auto"/>
              <w:left w:val="single" w:sz="4" w:space="0" w:color="auto"/>
              <w:bottom w:val="single" w:sz="4" w:space="0" w:color="auto"/>
              <w:right w:val="single" w:sz="4" w:space="0" w:color="auto"/>
            </w:tcBorders>
          </w:tcPr>
          <w:p w:rsidR="001F3A98" w:rsidRPr="00CF5A42" w:rsidRDefault="001F3A98" w:rsidP="00FD47C7">
            <w:pPr>
              <w:rPr>
                <w:rFonts w:ascii="Calibri" w:hAnsi="Calibri"/>
                <w:sz w:val="18"/>
                <w:szCs w:val="18"/>
              </w:rPr>
            </w:pPr>
            <w:r w:rsidRPr="00CF5A42">
              <w:rPr>
                <w:rFonts w:ascii="Calibri" w:hAnsi="Calibri"/>
                <w:sz w:val="18"/>
                <w:szCs w:val="18"/>
              </w:rPr>
              <w:t>0,535</w:t>
            </w:r>
          </w:p>
        </w:tc>
        <w:tc>
          <w:tcPr>
            <w:tcW w:w="1134" w:type="dxa"/>
            <w:tcBorders>
              <w:top w:val="single" w:sz="4" w:space="0" w:color="auto"/>
              <w:left w:val="single" w:sz="4" w:space="0" w:color="auto"/>
              <w:bottom w:val="single" w:sz="4" w:space="0" w:color="auto"/>
              <w:right w:val="single" w:sz="4" w:space="0" w:color="auto"/>
            </w:tcBorders>
          </w:tcPr>
          <w:p w:rsidR="001F3A98" w:rsidRPr="00CF5A42" w:rsidRDefault="001F3A98" w:rsidP="00FD47C7">
            <w:pPr>
              <w:rPr>
                <w:rFonts w:ascii="Calibri" w:hAnsi="Calibri"/>
                <w:sz w:val="18"/>
                <w:szCs w:val="18"/>
              </w:rPr>
            </w:pPr>
            <w:r w:rsidRPr="00CF5A42">
              <w:rPr>
                <w:rFonts w:ascii="Calibri" w:hAnsi="Calibri"/>
                <w:sz w:val="18"/>
                <w:szCs w:val="18"/>
              </w:rPr>
              <w:t>0,506</w:t>
            </w:r>
          </w:p>
        </w:tc>
        <w:tc>
          <w:tcPr>
            <w:tcW w:w="1134" w:type="dxa"/>
            <w:tcBorders>
              <w:top w:val="single" w:sz="4" w:space="0" w:color="auto"/>
              <w:left w:val="single" w:sz="4" w:space="0" w:color="auto"/>
              <w:bottom w:val="single" w:sz="4" w:space="0" w:color="auto"/>
              <w:right w:val="single" w:sz="4" w:space="0" w:color="auto"/>
            </w:tcBorders>
          </w:tcPr>
          <w:p w:rsidR="001F3A98" w:rsidRPr="00CF5A42" w:rsidRDefault="001F3A98" w:rsidP="00FD47C7">
            <w:pPr>
              <w:rPr>
                <w:rFonts w:ascii="Calibri" w:hAnsi="Calibri"/>
                <w:sz w:val="18"/>
                <w:szCs w:val="18"/>
              </w:rPr>
            </w:pPr>
            <w:r w:rsidRPr="00CF5A42">
              <w:rPr>
                <w:rFonts w:ascii="Calibri" w:hAnsi="Calibri"/>
                <w:sz w:val="18"/>
                <w:szCs w:val="18"/>
              </w:rPr>
              <w:t>0,570</w:t>
            </w:r>
          </w:p>
        </w:tc>
      </w:tr>
      <w:tr w:rsidR="001F3A98" w:rsidRPr="00CF5A42" w:rsidTr="004E5CC8">
        <w:trPr>
          <w:cantSplit/>
          <w:trHeight w:val="230"/>
        </w:trPr>
        <w:tc>
          <w:tcPr>
            <w:tcW w:w="1913" w:type="dxa"/>
            <w:vMerge/>
            <w:tcBorders>
              <w:top w:val="single" w:sz="4" w:space="0" w:color="auto"/>
              <w:left w:val="single" w:sz="4" w:space="0" w:color="auto"/>
              <w:bottom w:val="single" w:sz="4" w:space="0" w:color="auto"/>
              <w:right w:val="single" w:sz="4" w:space="0" w:color="auto"/>
            </w:tcBorders>
            <w:vAlign w:val="center"/>
          </w:tcPr>
          <w:p w:rsidR="001F3A98" w:rsidRPr="00CF5A42" w:rsidRDefault="001F3A98" w:rsidP="00FD47C7">
            <w:pPr>
              <w:rPr>
                <w:rFonts w:ascii="Calibri" w:hAnsi="Calibri"/>
                <w:sz w:val="18"/>
                <w:szCs w:val="18"/>
              </w:rPr>
            </w:pPr>
          </w:p>
        </w:tc>
        <w:tc>
          <w:tcPr>
            <w:tcW w:w="851" w:type="dxa"/>
            <w:tcBorders>
              <w:top w:val="single" w:sz="4" w:space="0" w:color="auto"/>
              <w:left w:val="single" w:sz="4" w:space="0" w:color="auto"/>
              <w:bottom w:val="single" w:sz="4" w:space="0" w:color="auto"/>
              <w:right w:val="single" w:sz="4" w:space="0" w:color="auto"/>
            </w:tcBorders>
          </w:tcPr>
          <w:p w:rsidR="001F3A98" w:rsidRPr="00CF5A42" w:rsidRDefault="001F3A98" w:rsidP="00FD47C7">
            <w:pPr>
              <w:rPr>
                <w:rFonts w:ascii="Calibri" w:hAnsi="Calibri"/>
                <w:sz w:val="18"/>
                <w:szCs w:val="18"/>
              </w:rPr>
            </w:pPr>
            <w:r w:rsidRPr="00CF5A42">
              <w:rPr>
                <w:rFonts w:ascii="Calibri" w:hAnsi="Calibri"/>
                <w:sz w:val="18"/>
                <w:szCs w:val="18"/>
              </w:rPr>
              <w:t>y</w:t>
            </w:r>
          </w:p>
        </w:tc>
        <w:tc>
          <w:tcPr>
            <w:tcW w:w="1134" w:type="dxa"/>
            <w:tcBorders>
              <w:top w:val="single" w:sz="4" w:space="0" w:color="auto"/>
              <w:left w:val="single" w:sz="4" w:space="0" w:color="auto"/>
              <w:bottom w:val="single" w:sz="4" w:space="0" w:color="auto"/>
              <w:right w:val="single" w:sz="4" w:space="0" w:color="auto"/>
            </w:tcBorders>
          </w:tcPr>
          <w:p w:rsidR="001F3A98" w:rsidRPr="00CF5A42" w:rsidRDefault="001F3A98" w:rsidP="00FD47C7">
            <w:pPr>
              <w:rPr>
                <w:rFonts w:ascii="Calibri" w:hAnsi="Calibri"/>
                <w:sz w:val="18"/>
                <w:szCs w:val="18"/>
              </w:rPr>
            </w:pPr>
            <w:r w:rsidRPr="00CF5A42">
              <w:rPr>
                <w:rFonts w:ascii="Calibri" w:hAnsi="Calibri"/>
                <w:sz w:val="18"/>
                <w:szCs w:val="18"/>
              </w:rPr>
              <w:t>0,390</w:t>
            </w:r>
          </w:p>
        </w:tc>
        <w:tc>
          <w:tcPr>
            <w:tcW w:w="1134" w:type="dxa"/>
            <w:tcBorders>
              <w:top w:val="single" w:sz="4" w:space="0" w:color="auto"/>
              <w:left w:val="single" w:sz="4" w:space="0" w:color="auto"/>
              <w:bottom w:val="single" w:sz="4" w:space="0" w:color="auto"/>
              <w:right w:val="single" w:sz="4" w:space="0" w:color="auto"/>
            </w:tcBorders>
          </w:tcPr>
          <w:p w:rsidR="001F3A98" w:rsidRPr="00CF5A42" w:rsidRDefault="001F3A98" w:rsidP="00FD47C7">
            <w:pPr>
              <w:rPr>
                <w:rFonts w:ascii="Calibri" w:hAnsi="Calibri"/>
                <w:sz w:val="18"/>
                <w:szCs w:val="18"/>
              </w:rPr>
            </w:pPr>
            <w:r w:rsidRPr="00CF5A42">
              <w:rPr>
                <w:rFonts w:ascii="Calibri" w:hAnsi="Calibri"/>
                <w:sz w:val="18"/>
                <w:szCs w:val="18"/>
              </w:rPr>
              <w:t>0,375</w:t>
            </w:r>
          </w:p>
        </w:tc>
        <w:tc>
          <w:tcPr>
            <w:tcW w:w="1134" w:type="dxa"/>
            <w:tcBorders>
              <w:top w:val="single" w:sz="4" w:space="0" w:color="auto"/>
              <w:left w:val="single" w:sz="4" w:space="0" w:color="auto"/>
              <w:bottom w:val="single" w:sz="4" w:space="0" w:color="auto"/>
              <w:right w:val="single" w:sz="4" w:space="0" w:color="auto"/>
            </w:tcBorders>
          </w:tcPr>
          <w:p w:rsidR="001F3A98" w:rsidRPr="00CF5A42" w:rsidRDefault="001F3A98" w:rsidP="00FD47C7">
            <w:pPr>
              <w:rPr>
                <w:rFonts w:ascii="Calibri" w:hAnsi="Calibri"/>
                <w:sz w:val="18"/>
                <w:szCs w:val="18"/>
              </w:rPr>
            </w:pPr>
            <w:r w:rsidRPr="00CF5A42">
              <w:rPr>
                <w:rFonts w:ascii="Calibri" w:hAnsi="Calibri"/>
                <w:sz w:val="18"/>
                <w:szCs w:val="18"/>
              </w:rPr>
              <w:t>0,404</w:t>
            </w:r>
          </w:p>
        </w:tc>
        <w:tc>
          <w:tcPr>
            <w:tcW w:w="1134" w:type="dxa"/>
            <w:tcBorders>
              <w:top w:val="single" w:sz="4" w:space="0" w:color="auto"/>
              <w:left w:val="single" w:sz="4" w:space="0" w:color="auto"/>
              <w:bottom w:val="single" w:sz="4" w:space="0" w:color="auto"/>
              <w:right w:val="single" w:sz="4" w:space="0" w:color="auto"/>
            </w:tcBorders>
          </w:tcPr>
          <w:p w:rsidR="001F3A98" w:rsidRPr="00CF5A42" w:rsidRDefault="001F3A98" w:rsidP="00FD47C7">
            <w:pPr>
              <w:rPr>
                <w:rFonts w:ascii="Calibri" w:hAnsi="Calibri"/>
                <w:sz w:val="18"/>
                <w:szCs w:val="18"/>
              </w:rPr>
            </w:pPr>
            <w:r w:rsidRPr="00CF5A42">
              <w:rPr>
                <w:rFonts w:ascii="Calibri" w:hAnsi="Calibri"/>
                <w:sz w:val="18"/>
                <w:szCs w:val="18"/>
              </w:rPr>
              <w:t>0,429</w:t>
            </w:r>
          </w:p>
        </w:tc>
      </w:tr>
      <w:tr w:rsidR="001F3A98" w:rsidRPr="00CF5A42" w:rsidTr="004E5CC8">
        <w:trPr>
          <w:cantSplit/>
          <w:trHeight w:val="199"/>
        </w:trPr>
        <w:tc>
          <w:tcPr>
            <w:tcW w:w="1913" w:type="dxa"/>
            <w:vMerge w:val="restart"/>
            <w:tcBorders>
              <w:top w:val="single" w:sz="4" w:space="0" w:color="auto"/>
              <w:left w:val="single" w:sz="4" w:space="0" w:color="auto"/>
              <w:right w:val="single" w:sz="4" w:space="0" w:color="auto"/>
            </w:tcBorders>
          </w:tcPr>
          <w:p w:rsidR="001F3A98" w:rsidRPr="00CF5A42" w:rsidRDefault="001F3A98" w:rsidP="00FD47C7">
            <w:pPr>
              <w:rPr>
                <w:rFonts w:ascii="Calibri" w:hAnsi="Calibri"/>
                <w:sz w:val="18"/>
                <w:szCs w:val="18"/>
              </w:rPr>
            </w:pPr>
            <w:r w:rsidRPr="00CF5A42">
              <w:rPr>
                <w:rFonts w:ascii="Calibri" w:hAnsi="Calibri"/>
                <w:sz w:val="18"/>
                <w:szCs w:val="18"/>
              </w:rPr>
              <w:t>Szara</w:t>
            </w:r>
          </w:p>
        </w:tc>
        <w:tc>
          <w:tcPr>
            <w:tcW w:w="851" w:type="dxa"/>
            <w:tcBorders>
              <w:top w:val="single" w:sz="4" w:space="0" w:color="auto"/>
              <w:left w:val="single" w:sz="4" w:space="0" w:color="auto"/>
              <w:bottom w:val="single" w:sz="4" w:space="0" w:color="auto"/>
              <w:right w:val="single" w:sz="4" w:space="0" w:color="auto"/>
            </w:tcBorders>
          </w:tcPr>
          <w:p w:rsidR="001F3A98" w:rsidRPr="00CF5A42" w:rsidRDefault="001F3A98" w:rsidP="00FD47C7">
            <w:pPr>
              <w:rPr>
                <w:rFonts w:ascii="Calibri" w:hAnsi="Calibri"/>
                <w:sz w:val="18"/>
                <w:szCs w:val="18"/>
              </w:rPr>
            </w:pPr>
            <w:r w:rsidRPr="00CF5A42">
              <w:rPr>
                <w:rFonts w:ascii="Calibri" w:hAnsi="Calibri"/>
                <w:sz w:val="18"/>
                <w:szCs w:val="18"/>
              </w:rPr>
              <w:t>x</w:t>
            </w:r>
          </w:p>
        </w:tc>
        <w:tc>
          <w:tcPr>
            <w:tcW w:w="1134" w:type="dxa"/>
            <w:tcBorders>
              <w:top w:val="single" w:sz="4" w:space="0" w:color="auto"/>
              <w:left w:val="single" w:sz="4" w:space="0" w:color="auto"/>
              <w:bottom w:val="single" w:sz="4" w:space="0" w:color="auto"/>
              <w:right w:val="single" w:sz="4" w:space="0" w:color="auto"/>
            </w:tcBorders>
          </w:tcPr>
          <w:p w:rsidR="001F3A98" w:rsidRPr="00CF5A42" w:rsidRDefault="001F3A98" w:rsidP="00FD47C7">
            <w:pPr>
              <w:rPr>
                <w:rFonts w:ascii="Calibri" w:hAnsi="Calibri"/>
                <w:sz w:val="18"/>
                <w:szCs w:val="18"/>
              </w:rPr>
            </w:pPr>
            <w:r w:rsidRPr="00CF5A42">
              <w:rPr>
                <w:rFonts w:ascii="Calibri" w:hAnsi="Calibri"/>
                <w:sz w:val="18"/>
                <w:szCs w:val="18"/>
              </w:rPr>
              <w:t>0,350</w:t>
            </w:r>
          </w:p>
        </w:tc>
        <w:tc>
          <w:tcPr>
            <w:tcW w:w="1134" w:type="dxa"/>
            <w:tcBorders>
              <w:top w:val="single" w:sz="4" w:space="0" w:color="auto"/>
              <w:left w:val="single" w:sz="4" w:space="0" w:color="auto"/>
              <w:bottom w:val="single" w:sz="4" w:space="0" w:color="auto"/>
              <w:right w:val="single" w:sz="4" w:space="0" w:color="auto"/>
            </w:tcBorders>
          </w:tcPr>
          <w:p w:rsidR="001F3A98" w:rsidRPr="00CF5A42" w:rsidRDefault="001F3A98" w:rsidP="00FD47C7">
            <w:pPr>
              <w:rPr>
                <w:rFonts w:ascii="Calibri" w:hAnsi="Calibri"/>
                <w:sz w:val="18"/>
                <w:szCs w:val="18"/>
              </w:rPr>
            </w:pPr>
            <w:r w:rsidRPr="00CF5A42">
              <w:rPr>
                <w:rFonts w:ascii="Calibri" w:hAnsi="Calibri"/>
                <w:sz w:val="18"/>
                <w:szCs w:val="18"/>
              </w:rPr>
              <w:t>0,300</w:t>
            </w:r>
          </w:p>
        </w:tc>
        <w:tc>
          <w:tcPr>
            <w:tcW w:w="1134" w:type="dxa"/>
            <w:tcBorders>
              <w:top w:val="single" w:sz="4" w:space="0" w:color="auto"/>
              <w:left w:val="single" w:sz="4" w:space="0" w:color="auto"/>
              <w:bottom w:val="single" w:sz="4" w:space="0" w:color="auto"/>
              <w:right w:val="single" w:sz="4" w:space="0" w:color="auto"/>
            </w:tcBorders>
          </w:tcPr>
          <w:p w:rsidR="001F3A98" w:rsidRPr="00CF5A42" w:rsidRDefault="001F3A98" w:rsidP="00FD47C7">
            <w:pPr>
              <w:rPr>
                <w:rFonts w:ascii="Calibri" w:hAnsi="Calibri"/>
                <w:sz w:val="18"/>
                <w:szCs w:val="18"/>
              </w:rPr>
            </w:pPr>
            <w:r w:rsidRPr="00CF5A42">
              <w:rPr>
                <w:rFonts w:ascii="Calibri" w:hAnsi="Calibri"/>
                <w:sz w:val="18"/>
                <w:szCs w:val="18"/>
              </w:rPr>
              <w:t>0,285</w:t>
            </w:r>
          </w:p>
        </w:tc>
        <w:tc>
          <w:tcPr>
            <w:tcW w:w="1134" w:type="dxa"/>
            <w:tcBorders>
              <w:top w:val="single" w:sz="4" w:space="0" w:color="auto"/>
              <w:left w:val="single" w:sz="4" w:space="0" w:color="auto"/>
              <w:bottom w:val="single" w:sz="4" w:space="0" w:color="auto"/>
              <w:right w:val="single" w:sz="4" w:space="0" w:color="auto"/>
            </w:tcBorders>
          </w:tcPr>
          <w:p w:rsidR="001F3A98" w:rsidRPr="00CF5A42" w:rsidRDefault="001F3A98" w:rsidP="00FD47C7">
            <w:pPr>
              <w:rPr>
                <w:rFonts w:ascii="Calibri" w:hAnsi="Calibri"/>
                <w:sz w:val="18"/>
                <w:szCs w:val="18"/>
              </w:rPr>
            </w:pPr>
            <w:r w:rsidRPr="00CF5A42">
              <w:rPr>
                <w:rFonts w:ascii="Calibri" w:hAnsi="Calibri"/>
                <w:sz w:val="18"/>
                <w:szCs w:val="18"/>
              </w:rPr>
              <w:t>0,335</w:t>
            </w:r>
          </w:p>
        </w:tc>
      </w:tr>
      <w:tr w:rsidR="001F3A98" w:rsidRPr="00CF5A42" w:rsidTr="004E5CC8">
        <w:trPr>
          <w:cantSplit/>
          <w:trHeight w:val="199"/>
        </w:trPr>
        <w:tc>
          <w:tcPr>
            <w:tcW w:w="1913" w:type="dxa"/>
            <w:vMerge/>
            <w:tcBorders>
              <w:left w:val="single" w:sz="4" w:space="0" w:color="auto"/>
              <w:bottom w:val="single" w:sz="4" w:space="0" w:color="auto"/>
              <w:right w:val="single" w:sz="4" w:space="0" w:color="auto"/>
            </w:tcBorders>
          </w:tcPr>
          <w:p w:rsidR="001F3A98" w:rsidRPr="00CF5A42" w:rsidRDefault="001F3A98" w:rsidP="00FD47C7">
            <w:pPr>
              <w:rPr>
                <w:rFonts w:ascii="Calibri" w:hAnsi="Calibri"/>
                <w:sz w:val="18"/>
                <w:szCs w:val="18"/>
              </w:rPr>
            </w:pPr>
          </w:p>
        </w:tc>
        <w:tc>
          <w:tcPr>
            <w:tcW w:w="851" w:type="dxa"/>
            <w:tcBorders>
              <w:top w:val="single" w:sz="4" w:space="0" w:color="auto"/>
              <w:left w:val="single" w:sz="4" w:space="0" w:color="auto"/>
              <w:bottom w:val="single" w:sz="4" w:space="0" w:color="auto"/>
              <w:right w:val="single" w:sz="4" w:space="0" w:color="auto"/>
            </w:tcBorders>
          </w:tcPr>
          <w:p w:rsidR="001F3A98" w:rsidRPr="00CF5A42" w:rsidRDefault="001F3A98" w:rsidP="00FD47C7">
            <w:pPr>
              <w:rPr>
                <w:rFonts w:ascii="Calibri" w:hAnsi="Calibri"/>
                <w:sz w:val="18"/>
                <w:szCs w:val="18"/>
              </w:rPr>
            </w:pPr>
            <w:r w:rsidRPr="00CF5A42">
              <w:rPr>
                <w:rFonts w:ascii="Calibri" w:hAnsi="Calibri"/>
                <w:sz w:val="18"/>
                <w:szCs w:val="18"/>
              </w:rPr>
              <w:t>y</w:t>
            </w:r>
          </w:p>
        </w:tc>
        <w:tc>
          <w:tcPr>
            <w:tcW w:w="1134" w:type="dxa"/>
            <w:tcBorders>
              <w:top w:val="single" w:sz="4" w:space="0" w:color="auto"/>
              <w:left w:val="single" w:sz="4" w:space="0" w:color="auto"/>
              <w:bottom w:val="single" w:sz="4" w:space="0" w:color="auto"/>
              <w:right w:val="single" w:sz="4" w:space="0" w:color="auto"/>
            </w:tcBorders>
          </w:tcPr>
          <w:p w:rsidR="001F3A98" w:rsidRPr="00CF5A42" w:rsidRDefault="001F3A98" w:rsidP="00FD47C7">
            <w:pPr>
              <w:rPr>
                <w:rFonts w:ascii="Calibri" w:hAnsi="Calibri"/>
                <w:sz w:val="18"/>
                <w:szCs w:val="18"/>
              </w:rPr>
            </w:pPr>
            <w:r w:rsidRPr="00CF5A42">
              <w:rPr>
                <w:rFonts w:ascii="Calibri" w:hAnsi="Calibri"/>
                <w:sz w:val="18"/>
                <w:szCs w:val="18"/>
              </w:rPr>
              <w:t>0,360</w:t>
            </w:r>
          </w:p>
        </w:tc>
        <w:tc>
          <w:tcPr>
            <w:tcW w:w="1134" w:type="dxa"/>
            <w:tcBorders>
              <w:top w:val="single" w:sz="4" w:space="0" w:color="auto"/>
              <w:left w:val="single" w:sz="4" w:space="0" w:color="auto"/>
              <w:bottom w:val="single" w:sz="4" w:space="0" w:color="auto"/>
              <w:right w:val="single" w:sz="4" w:space="0" w:color="auto"/>
            </w:tcBorders>
          </w:tcPr>
          <w:p w:rsidR="001F3A98" w:rsidRPr="00CF5A42" w:rsidRDefault="001F3A98" w:rsidP="00FD47C7">
            <w:pPr>
              <w:rPr>
                <w:rFonts w:ascii="Calibri" w:hAnsi="Calibri"/>
                <w:sz w:val="18"/>
                <w:szCs w:val="18"/>
              </w:rPr>
            </w:pPr>
            <w:r w:rsidRPr="00CF5A42">
              <w:rPr>
                <w:rFonts w:ascii="Calibri" w:hAnsi="Calibri"/>
                <w:sz w:val="18"/>
                <w:szCs w:val="18"/>
              </w:rPr>
              <w:t>0,310</w:t>
            </w:r>
          </w:p>
        </w:tc>
        <w:tc>
          <w:tcPr>
            <w:tcW w:w="1134" w:type="dxa"/>
            <w:tcBorders>
              <w:top w:val="single" w:sz="4" w:space="0" w:color="auto"/>
              <w:left w:val="single" w:sz="4" w:space="0" w:color="auto"/>
              <w:bottom w:val="single" w:sz="4" w:space="0" w:color="auto"/>
              <w:right w:val="single" w:sz="4" w:space="0" w:color="auto"/>
            </w:tcBorders>
          </w:tcPr>
          <w:p w:rsidR="001F3A98" w:rsidRPr="00CF5A42" w:rsidRDefault="001F3A98" w:rsidP="00FD47C7">
            <w:pPr>
              <w:rPr>
                <w:rFonts w:ascii="Calibri" w:hAnsi="Calibri"/>
                <w:sz w:val="18"/>
                <w:szCs w:val="18"/>
              </w:rPr>
            </w:pPr>
            <w:r w:rsidRPr="00CF5A42">
              <w:rPr>
                <w:rFonts w:ascii="Calibri" w:hAnsi="Calibri"/>
                <w:sz w:val="18"/>
                <w:szCs w:val="18"/>
              </w:rPr>
              <w:t>0,325</w:t>
            </w:r>
          </w:p>
        </w:tc>
        <w:tc>
          <w:tcPr>
            <w:tcW w:w="1134" w:type="dxa"/>
            <w:tcBorders>
              <w:top w:val="single" w:sz="4" w:space="0" w:color="auto"/>
              <w:left w:val="single" w:sz="4" w:space="0" w:color="auto"/>
              <w:bottom w:val="single" w:sz="4" w:space="0" w:color="auto"/>
              <w:right w:val="single" w:sz="4" w:space="0" w:color="auto"/>
            </w:tcBorders>
          </w:tcPr>
          <w:p w:rsidR="001F3A98" w:rsidRPr="00CF5A42" w:rsidRDefault="001F3A98" w:rsidP="00FD47C7">
            <w:pPr>
              <w:rPr>
                <w:rFonts w:ascii="Calibri" w:hAnsi="Calibri"/>
                <w:sz w:val="18"/>
                <w:szCs w:val="18"/>
              </w:rPr>
            </w:pPr>
            <w:r w:rsidRPr="00CF5A42">
              <w:rPr>
                <w:rFonts w:ascii="Calibri" w:hAnsi="Calibri"/>
                <w:sz w:val="18"/>
                <w:szCs w:val="18"/>
              </w:rPr>
              <w:t>0,375</w:t>
            </w:r>
          </w:p>
        </w:tc>
      </w:tr>
    </w:tbl>
    <w:p w:rsidR="001F3A98" w:rsidRPr="00CF5A42" w:rsidRDefault="001F3A98" w:rsidP="001F3A98">
      <w:pPr>
        <w:rPr>
          <w:rFonts w:ascii="Calibri" w:hAnsi="Calibri"/>
          <w:b/>
        </w:rPr>
      </w:pPr>
    </w:p>
    <w:p w:rsidR="001F3A98" w:rsidRPr="00CF5A42" w:rsidRDefault="001F3A98" w:rsidP="001F3A98">
      <w:pPr>
        <w:rPr>
          <w:rFonts w:ascii="Calibri" w:hAnsi="Calibri"/>
        </w:rPr>
      </w:pPr>
      <w:r w:rsidRPr="00CF5A42">
        <w:rPr>
          <w:rFonts w:ascii="Calibri" w:hAnsi="Calibri"/>
          <w:b/>
        </w:rPr>
        <w:t>2.6.2.</w:t>
      </w:r>
      <w:r w:rsidRPr="00CF5A42">
        <w:rPr>
          <w:rFonts w:ascii="Calibri" w:hAnsi="Calibri"/>
        </w:rPr>
        <w:t xml:space="preserve"> Wymagania jakościowe </w:t>
      </w:r>
    </w:p>
    <w:p w:rsidR="001F3A98" w:rsidRPr="00CF5A42" w:rsidRDefault="001F3A98" w:rsidP="001F3A98">
      <w:pPr>
        <w:rPr>
          <w:rFonts w:ascii="Calibri" w:hAnsi="Calibri"/>
        </w:rPr>
      </w:pPr>
      <w:r w:rsidRPr="00CF5A42">
        <w:rPr>
          <w:rFonts w:ascii="Calibri" w:hAnsi="Calibri"/>
        </w:rPr>
        <w:tab/>
        <w:t xml:space="preserve">Powierzchnia licowa znaku powinna być równa, gładka, bez rozwarstwień, pęcherzy i  odklejeń na krawędziach. Na powierzchni mogą występować w obrębie jednego pola średnio nie więcej niż 0,7 błędów na powierzchni (kurz, pęcherze) o wielkości najwyżej </w:t>
      </w:r>
      <w:smartTag w:uri="urn:schemas-microsoft-com:office:smarttags" w:element="metricconverter">
        <w:smartTagPr>
          <w:attr w:name="ProductID" w:val="1 mm"/>
        </w:smartTagPr>
        <w:r w:rsidRPr="00CF5A42">
          <w:rPr>
            <w:rFonts w:ascii="Calibri" w:hAnsi="Calibri"/>
          </w:rPr>
          <w:t>1 mm</w:t>
        </w:r>
      </w:smartTag>
      <w:r w:rsidRPr="00CF5A42">
        <w:rPr>
          <w:rFonts w:ascii="Calibri" w:hAnsi="Calibri"/>
        </w:rPr>
        <w:t>. Rysy nie mają prawa wystąpić.</w:t>
      </w:r>
    </w:p>
    <w:p w:rsidR="001F3A98" w:rsidRPr="00CF5A42" w:rsidRDefault="001F3A98" w:rsidP="001F3A98">
      <w:pPr>
        <w:rPr>
          <w:rFonts w:ascii="Calibri" w:hAnsi="Calibri"/>
        </w:rPr>
      </w:pPr>
      <w:r w:rsidRPr="00CF5A42">
        <w:rPr>
          <w:rFonts w:ascii="Calibri" w:hAnsi="Calibri"/>
        </w:rPr>
        <w:tab/>
        <w:t>Sposób połączenia folii z powierzchnią tarczy znaku powinien uniemożliwiać jej odłączenie od tarczy bez jej zniszczenia.</w:t>
      </w:r>
    </w:p>
    <w:p w:rsidR="001F3A98" w:rsidRPr="00CF5A42" w:rsidRDefault="001F3A98" w:rsidP="001F3A98">
      <w:pPr>
        <w:rPr>
          <w:rFonts w:ascii="Calibri" w:hAnsi="Calibri"/>
        </w:rPr>
      </w:pPr>
      <w:r w:rsidRPr="00CF5A42">
        <w:rPr>
          <w:rFonts w:ascii="Calibri" w:hAnsi="Calibri"/>
        </w:rPr>
        <w:tab/>
        <w:t>Dokładność rysunku znaku powinna być taka, aby wady konturów znaku, które mogą powstać przy nanoszeniu farby na odblaskową powierzchnię znaku, nie były większe niż podane w p. 2.6.3.</w:t>
      </w:r>
    </w:p>
    <w:p w:rsidR="001F3A98" w:rsidRPr="00CF5A42" w:rsidRDefault="001F3A98" w:rsidP="001F3A98">
      <w:pPr>
        <w:rPr>
          <w:rFonts w:ascii="Calibri" w:hAnsi="Calibri"/>
        </w:rPr>
      </w:pPr>
      <w:r w:rsidRPr="00CF5A42">
        <w:rPr>
          <w:rFonts w:ascii="Calibri" w:hAnsi="Calibri"/>
        </w:rPr>
        <w:t>Lica znaków wykonane drukiem sitowym powinny być wolne od smug i cieni.</w:t>
      </w:r>
    </w:p>
    <w:p w:rsidR="001F3A98" w:rsidRPr="00CF5A42" w:rsidRDefault="001F3A98" w:rsidP="001F3A98">
      <w:pPr>
        <w:rPr>
          <w:rFonts w:ascii="Calibri" w:hAnsi="Calibri"/>
        </w:rPr>
      </w:pPr>
      <w:r w:rsidRPr="00CF5A42">
        <w:rPr>
          <w:rFonts w:ascii="Calibri" w:hAnsi="Calibri"/>
        </w:rPr>
        <w:lastRenderedPageBreak/>
        <w:tab/>
        <w:t>Krawędzie lica znaku z folii typu 2 i folii pryzmatycznej powinny być odpowiednio zabezpieczone np. przez lakierowanie lub ramą z profilu ceowego.</w:t>
      </w:r>
    </w:p>
    <w:p w:rsidR="001F3A98" w:rsidRPr="00CF5A42" w:rsidRDefault="001F3A98" w:rsidP="001F3A98">
      <w:pPr>
        <w:rPr>
          <w:rFonts w:ascii="Calibri" w:hAnsi="Calibri"/>
        </w:rPr>
      </w:pPr>
      <w:r w:rsidRPr="00CF5A42">
        <w:rPr>
          <w:rFonts w:ascii="Calibri" w:hAnsi="Calibri"/>
        </w:rPr>
        <w:t xml:space="preserve">Powłoka lakiernicza w kolorze RAL 7037 na tylnej stronie znaku powinna być równa, gładka bez smug i zacieków.    </w:t>
      </w:r>
    </w:p>
    <w:p w:rsidR="001F3A98" w:rsidRPr="00CF5A42" w:rsidRDefault="001F3A98" w:rsidP="001F3A98">
      <w:pPr>
        <w:rPr>
          <w:rFonts w:ascii="Calibri" w:hAnsi="Calibri"/>
        </w:rPr>
      </w:pPr>
      <w:r w:rsidRPr="00CF5A42">
        <w:rPr>
          <w:rFonts w:ascii="Calibri" w:hAnsi="Calibri"/>
        </w:rPr>
        <w:t>Sprawdzenie polega na ocenie wizualnej.</w:t>
      </w:r>
    </w:p>
    <w:p w:rsidR="001F3A98" w:rsidRPr="00CF5A42" w:rsidRDefault="001F3A98" w:rsidP="001F3A98">
      <w:pPr>
        <w:rPr>
          <w:rFonts w:ascii="Calibri" w:hAnsi="Calibri"/>
        </w:rPr>
      </w:pPr>
      <w:r w:rsidRPr="00CF5A42">
        <w:rPr>
          <w:rFonts w:ascii="Calibri" w:hAnsi="Calibri"/>
          <w:b/>
        </w:rPr>
        <w:t>2.6.3.</w:t>
      </w:r>
      <w:r w:rsidRPr="00CF5A42">
        <w:rPr>
          <w:rFonts w:ascii="Calibri" w:hAnsi="Calibri"/>
        </w:rPr>
        <w:t xml:space="preserve">  Tolerancje wymiarowe znaków drogowych</w:t>
      </w:r>
    </w:p>
    <w:p w:rsidR="001F3A98" w:rsidRPr="00CF5A42" w:rsidRDefault="001F3A98" w:rsidP="001F3A98">
      <w:pPr>
        <w:rPr>
          <w:rFonts w:ascii="Calibri" w:hAnsi="Calibri"/>
        </w:rPr>
      </w:pPr>
      <w:r w:rsidRPr="00CF5A42">
        <w:rPr>
          <w:rFonts w:ascii="Calibri" w:hAnsi="Calibri"/>
          <w:b/>
        </w:rPr>
        <w:t>2.6.3.1.</w:t>
      </w:r>
      <w:r w:rsidRPr="00CF5A42">
        <w:rPr>
          <w:rFonts w:ascii="Calibri" w:hAnsi="Calibri"/>
        </w:rPr>
        <w:t xml:space="preserve">  Tolerancje wymiarowe dla grubości blach</w:t>
      </w:r>
    </w:p>
    <w:p w:rsidR="001F3A98" w:rsidRPr="00CF5A42" w:rsidRDefault="001F3A98" w:rsidP="001F3A98">
      <w:pPr>
        <w:rPr>
          <w:rFonts w:ascii="Calibri" w:hAnsi="Calibri"/>
        </w:rPr>
      </w:pPr>
      <w:r w:rsidRPr="00CF5A42">
        <w:rPr>
          <w:rFonts w:ascii="Calibri" w:hAnsi="Calibri"/>
        </w:rPr>
        <w:t>Sprawdzenie śrubą mikrometryczną:</w:t>
      </w:r>
    </w:p>
    <w:p w:rsidR="001F3A98" w:rsidRPr="00CF5A42" w:rsidRDefault="002075C4" w:rsidP="001F3A98">
      <w:pPr>
        <w:rPr>
          <w:rFonts w:ascii="Calibri" w:hAnsi="Calibri"/>
        </w:rPr>
      </w:pPr>
      <w:r>
        <w:rPr>
          <w:rFonts w:ascii="Calibri" w:hAnsi="Calibri"/>
        </w:rPr>
        <w:t>-</w:t>
      </w:r>
      <w:r w:rsidR="001F3A98" w:rsidRPr="00CF5A42">
        <w:rPr>
          <w:rFonts w:ascii="Calibri" w:hAnsi="Calibri"/>
        </w:rPr>
        <w:t xml:space="preserve">dla blachy stalowej ocynkowanej ogniowo o gr. 1,25 - </w:t>
      </w:r>
      <w:smartTag w:uri="urn:schemas-microsoft-com:office:smarttags" w:element="metricconverter">
        <w:smartTagPr>
          <w:attr w:name="ProductID" w:val="1,5 mm"/>
        </w:smartTagPr>
        <w:r w:rsidR="001F3A98" w:rsidRPr="00CF5A42">
          <w:rPr>
            <w:rFonts w:ascii="Calibri" w:hAnsi="Calibri"/>
          </w:rPr>
          <w:t>1,5 mm</w:t>
        </w:r>
      </w:smartTag>
      <w:r w:rsidR="006456E2">
        <w:rPr>
          <w:rFonts w:ascii="Calibri" w:hAnsi="Calibri"/>
        </w:rPr>
        <w:t xml:space="preserve"> wynosi </w:t>
      </w:r>
      <w:r w:rsidR="001F3A98" w:rsidRPr="00CF5A42">
        <w:rPr>
          <w:rFonts w:ascii="Calibri" w:hAnsi="Calibri"/>
        </w:rPr>
        <w:t xml:space="preserve"> - </w:t>
      </w:r>
      <w:smartTag w:uri="urn:schemas-microsoft-com:office:smarttags" w:element="metricconverter">
        <w:smartTagPr>
          <w:attr w:name="ProductID" w:val="0,14 mm"/>
        </w:smartTagPr>
        <w:r w:rsidR="001F3A98" w:rsidRPr="00CF5A42">
          <w:rPr>
            <w:rFonts w:ascii="Calibri" w:hAnsi="Calibri"/>
          </w:rPr>
          <w:t>0,14 mm</w:t>
        </w:r>
      </w:smartTag>
      <w:r w:rsidR="001F3A98" w:rsidRPr="00CF5A42">
        <w:rPr>
          <w:rFonts w:ascii="Calibri" w:hAnsi="Calibri"/>
        </w:rPr>
        <w:t>,</w:t>
      </w:r>
    </w:p>
    <w:p w:rsidR="001F3A98" w:rsidRPr="00CF5A42" w:rsidRDefault="002075C4" w:rsidP="001F3A98">
      <w:pPr>
        <w:rPr>
          <w:rFonts w:ascii="Calibri" w:hAnsi="Calibri"/>
        </w:rPr>
      </w:pPr>
      <w:r>
        <w:rPr>
          <w:rFonts w:ascii="Calibri" w:hAnsi="Calibri"/>
        </w:rPr>
        <w:t>-</w:t>
      </w:r>
      <w:r w:rsidR="001F3A98" w:rsidRPr="00CF5A42">
        <w:rPr>
          <w:rFonts w:ascii="Calibri" w:hAnsi="Calibri"/>
        </w:rPr>
        <w:t xml:space="preserve">dla blach aluminiowych o gr. 1,5 - </w:t>
      </w:r>
      <w:smartTag w:uri="urn:schemas-microsoft-com:office:smarttags" w:element="metricconverter">
        <w:smartTagPr>
          <w:attr w:name="ProductID" w:val="2,0 mm"/>
        </w:smartTagPr>
        <w:r w:rsidR="001F3A98" w:rsidRPr="00CF5A42">
          <w:rPr>
            <w:rFonts w:ascii="Calibri" w:hAnsi="Calibri"/>
          </w:rPr>
          <w:t>2,0 mm</w:t>
        </w:r>
      </w:smartTag>
      <w:r w:rsidR="001F3A98" w:rsidRPr="00CF5A42">
        <w:rPr>
          <w:rFonts w:ascii="Calibri" w:hAnsi="Calibri"/>
        </w:rPr>
        <w:t xml:space="preserve"> wynosi </w:t>
      </w:r>
      <w:r w:rsidR="001F3A98" w:rsidRPr="00CF5A42">
        <w:rPr>
          <w:rFonts w:ascii="Calibri" w:hAnsi="Calibri"/>
        </w:rPr>
        <w:tab/>
        <w:t xml:space="preserve">- </w:t>
      </w:r>
      <w:smartTag w:uri="urn:schemas-microsoft-com:office:smarttags" w:element="metricconverter">
        <w:smartTagPr>
          <w:attr w:name="ProductID" w:val="0,10 mm"/>
        </w:smartTagPr>
        <w:r w:rsidR="001F3A98" w:rsidRPr="00CF5A42">
          <w:rPr>
            <w:rFonts w:ascii="Calibri" w:hAnsi="Calibri"/>
          </w:rPr>
          <w:t>0,10 mm</w:t>
        </w:r>
      </w:smartTag>
      <w:r w:rsidR="001F3A98" w:rsidRPr="00CF5A42">
        <w:rPr>
          <w:rFonts w:ascii="Calibri" w:hAnsi="Calibri"/>
        </w:rPr>
        <w:t>.</w:t>
      </w:r>
    </w:p>
    <w:p w:rsidR="001F3A98" w:rsidRPr="00CF5A42" w:rsidRDefault="001F3A98" w:rsidP="001F3A98">
      <w:pPr>
        <w:rPr>
          <w:rFonts w:ascii="Calibri" w:hAnsi="Calibri"/>
        </w:rPr>
      </w:pPr>
      <w:r w:rsidRPr="00CF5A42">
        <w:rPr>
          <w:rFonts w:ascii="Calibri" w:hAnsi="Calibri"/>
          <w:b/>
        </w:rPr>
        <w:t>2.6.3.2.</w:t>
      </w:r>
      <w:r w:rsidRPr="00CF5A42">
        <w:rPr>
          <w:rFonts w:ascii="Calibri" w:hAnsi="Calibri"/>
        </w:rPr>
        <w:t xml:space="preserve"> Tolerancje wymiarowe dla grubości powłok malarskich </w:t>
      </w:r>
    </w:p>
    <w:p w:rsidR="001F3A98" w:rsidRPr="00CF5A42" w:rsidRDefault="001F3A98" w:rsidP="001F3A98">
      <w:pPr>
        <w:rPr>
          <w:rFonts w:ascii="Calibri" w:hAnsi="Calibri"/>
        </w:rPr>
      </w:pPr>
      <w:r w:rsidRPr="00CF5A42">
        <w:rPr>
          <w:rFonts w:ascii="Calibri" w:hAnsi="Calibri"/>
        </w:rPr>
        <w:t xml:space="preserve">Dla powłoki lakierniczej na tylnej powierzchni tarczy znaku o grubości 60 µm wynosi  </w:t>
      </w:r>
      <w:r w:rsidRPr="00CF5A42">
        <w:rPr>
          <w:rFonts w:ascii="Calibri" w:hAnsi="Calibri"/>
        </w:rPr>
        <w:sym w:font="Symbol" w:char="F0B1"/>
      </w:r>
      <w:r w:rsidRPr="00CF5A42">
        <w:rPr>
          <w:rFonts w:ascii="Calibri" w:hAnsi="Calibri"/>
        </w:rPr>
        <w:t>15 nm.  Sprawdzenie wg PN-EN ISO 2808:2000.</w:t>
      </w:r>
    </w:p>
    <w:p w:rsidR="001F3A98" w:rsidRPr="00CF5A42" w:rsidRDefault="001F3A98" w:rsidP="001F3A98">
      <w:pPr>
        <w:rPr>
          <w:rFonts w:ascii="Calibri" w:hAnsi="Calibri"/>
        </w:rPr>
      </w:pPr>
      <w:r w:rsidRPr="00CF5A42">
        <w:rPr>
          <w:rFonts w:ascii="Calibri" w:hAnsi="Calibri"/>
          <w:b/>
        </w:rPr>
        <w:t>2.6.3.3</w:t>
      </w:r>
      <w:r w:rsidRPr="00CF5A42">
        <w:rPr>
          <w:rFonts w:ascii="Calibri" w:hAnsi="Calibri"/>
        </w:rPr>
        <w:t xml:space="preserve"> Tolerancje wymiarowe dla płaskości powierzchni</w:t>
      </w:r>
    </w:p>
    <w:p w:rsidR="001F3A98" w:rsidRPr="00CF5A42" w:rsidRDefault="001F3A98" w:rsidP="001F3A98">
      <w:pPr>
        <w:rPr>
          <w:rFonts w:ascii="Calibri" w:hAnsi="Calibri"/>
        </w:rPr>
      </w:pPr>
      <w:r w:rsidRPr="00CF5A42">
        <w:rPr>
          <w:rFonts w:ascii="Calibri" w:hAnsi="Calibri"/>
        </w:rPr>
        <w:t>Odchylenia od poziomu nie mogą wynieść więcej niż 0,2%, wyjątkowo do 0,5%. Sprawdzenie szczelinomierzem.</w:t>
      </w:r>
    </w:p>
    <w:p w:rsidR="001F3A98" w:rsidRPr="00CF5A42" w:rsidRDefault="001F3A98" w:rsidP="001F3A98">
      <w:pPr>
        <w:rPr>
          <w:rFonts w:ascii="Calibri" w:hAnsi="Calibri"/>
        </w:rPr>
      </w:pPr>
      <w:r w:rsidRPr="00CF5A42">
        <w:rPr>
          <w:rFonts w:ascii="Calibri" w:hAnsi="Calibri"/>
          <w:b/>
        </w:rPr>
        <w:t>2.6.3.4.</w:t>
      </w:r>
      <w:r w:rsidRPr="00CF5A42">
        <w:rPr>
          <w:rFonts w:ascii="Calibri" w:hAnsi="Calibri"/>
        </w:rPr>
        <w:t xml:space="preserve"> Tolerancje wymiarowe dla tarcz znaków</w:t>
      </w:r>
    </w:p>
    <w:p w:rsidR="001F3A98" w:rsidRPr="00CF5A42" w:rsidRDefault="001F3A98" w:rsidP="001F3A98">
      <w:pPr>
        <w:rPr>
          <w:rFonts w:ascii="Calibri" w:hAnsi="Calibri"/>
        </w:rPr>
      </w:pPr>
      <w:r w:rsidRPr="00CF5A42">
        <w:rPr>
          <w:rFonts w:ascii="Calibri" w:hAnsi="Calibri"/>
        </w:rPr>
        <w:t>Sprawdzenie przymiarem liniowym:</w:t>
      </w:r>
    </w:p>
    <w:p w:rsidR="001F3A98" w:rsidRPr="00CF5A42" w:rsidRDefault="001F3A98" w:rsidP="001F3A98">
      <w:pPr>
        <w:rPr>
          <w:rFonts w:ascii="Calibri" w:hAnsi="Calibri"/>
        </w:rPr>
      </w:pPr>
      <w:r>
        <w:rPr>
          <w:rFonts w:ascii="Calibri" w:hAnsi="Calibri"/>
        </w:rPr>
        <w:t>-</w:t>
      </w:r>
      <w:r w:rsidRPr="00CF5A42">
        <w:rPr>
          <w:rFonts w:ascii="Calibri" w:hAnsi="Calibri"/>
        </w:rPr>
        <w:t xml:space="preserve">wymiary dla tarcz znaków o powierzchni &lt; 1m2 podane w opisach szczegółowych załącznika nr 1 są  należy powiększyć o </w:t>
      </w:r>
      <w:smartTag w:uri="urn:schemas-microsoft-com:office:smarttags" w:element="metricconverter">
        <w:smartTagPr>
          <w:attr w:name="ProductID" w:val="10 mm"/>
        </w:smartTagPr>
        <w:r w:rsidRPr="00CF5A42">
          <w:rPr>
            <w:rFonts w:ascii="Calibri" w:hAnsi="Calibri"/>
          </w:rPr>
          <w:t>10 mm</w:t>
        </w:r>
      </w:smartTag>
      <w:r w:rsidRPr="00CF5A42">
        <w:rPr>
          <w:rFonts w:ascii="Calibri" w:hAnsi="Calibri"/>
        </w:rPr>
        <w:t xml:space="preserve"> i wykonać w tolerancji wymiarowej </w:t>
      </w:r>
      <w:r w:rsidRPr="00CF5A42">
        <w:rPr>
          <w:rFonts w:ascii="Calibri" w:hAnsi="Calibri"/>
        </w:rPr>
        <w:sym w:font="Symbol" w:char="F0B1"/>
      </w:r>
      <w:r w:rsidRPr="00CF5A42">
        <w:rPr>
          <w:rFonts w:ascii="Calibri" w:hAnsi="Calibri"/>
        </w:rPr>
        <w:t xml:space="preserve"> </w:t>
      </w:r>
      <w:smartTag w:uri="urn:schemas-microsoft-com:office:smarttags" w:element="metricconverter">
        <w:smartTagPr>
          <w:attr w:name="ProductID" w:val="5 mm"/>
        </w:smartTagPr>
        <w:r w:rsidRPr="00CF5A42">
          <w:rPr>
            <w:rFonts w:ascii="Calibri" w:hAnsi="Calibri"/>
          </w:rPr>
          <w:t>5 mm</w:t>
        </w:r>
      </w:smartTag>
      <w:r w:rsidRPr="00CF5A42">
        <w:rPr>
          <w:rFonts w:ascii="Calibri" w:hAnsi="Calibri"/>
        </w:rPr>
        <w:t>,</w:t>
      </w:r>
    </w:p>
    <w:p w:rsidR="001F3A98" w:rsidRPr="00CF5A42" w:rsidRDefault="001F3A98" w:rsidP="001F3A98">
      <w:pPr>
        <w:rPr>
          <w:rFonts w:ascii="Calibri" w:hAnsi="Calibri"/>
        </w:rPr>
      </w:pPr>
      <w:r>
        <w:rPr>
          <w:rFonts w:ascii="Calibri" w:hAnsi="Calibri"/>
        </w:rPr>
        <w:t>-</w:t>
      </w:r>
      <w:r w:rsidRPr="00CF5A42">
        <w:rPr>
          <w:rFonts w:ascii="Calibri" w:hAnsi="Calibri"/>
        </w:rPr>
        <w:t xml:space="preserve">wymiary dla tarcz znaków i tablic  o powierzchni &gt; 1m2 podane w opisach szczegółowych załącznika nr 1 oraz  wymiary wynikowe dla tablic grupy E należy powiększyć o </w:t>
      </w:r>
      <w:smartTag w:uri="urn:schemas-microsoft-com:office:smarttags" w:element="metricconverter">
        <w:smartTagPr>
          <w:attr w:name="ProductID" w:val="15 mm"/>
        </w:smartTagPr>
        <w:r w:rsidRPr="00CF5A42">
          <w:rPr>
            <w:rFonts w:ascii="Calibri" w:hAnsi="Calibri"/>
          </w:rPr>
          <w:t>15 mm</w:t>
        </w:r>
      </w:smartTag>
      <w:r w:rsidRPr="00CF5A42">
        <w:rPr>
          <w:rFonts w:ascii="Calibri" w:hAnsi="Calibri"/>
        </w:rPr>
        <w:t xml:space="preserve"> i wykonać w tolerancji wymiarowej  </w:t>
      </w:r>
      <w:r w:rsidRPr="00CF5A42">
        <w:rPr>
          <w:rFonts w:ascii="Calibri" w:hAnsi="Calibri"/>
        </w:rPr>
        <w:sym w:font="Symbol" w:char="F0B1"/>
      </w:r>
      <w:r w:rsidRPr="00CF5A42">
        <w:rPr>
          <w:rFonts w:ascii="Calibri" w:hAnsi="Calibri"/>
        </w:rPr>
        <w:t xml:space="preserve"> </w:t>
      </w:r>
      <w:smartTag w:uri="urn:schemas-microsoft-com:office:smarttags" w:element="metricconverter">
        <w:smartTagPr>
          <w:attr w:name="ProductID" w:val="10 mm"/>
        </w:smartTagPr>
        <w:r w:rsidRPr="00CF5A42">
          <w:rPr>
            <w:rFonts w:ascii="Calibri" w:hAnsi="Calibri"/>
          </w:rPr>
          <w:t>10 mm</w:t>
        </w:r>
      </w:smartTag>
      <w:r w:rsidRPr="00CF5A42">
        <w:rPr>
          <w:rFonts w:ascii="Calibri" w:hAnsi="Calibri"/>
        </w:rPr>
        <w:t>.</w:t>
      </w:r>
    </w:p>
    <w:p w:rsidR="001F3A98" w:rsidRPr="00CF5A42" w:rsidRDefault="001F3A98" w:rsidP="001F3A98">
      <w:pPr>
        <w:rPr>
          <w:rFonts w:ascii="Calibri" w:hAnsi="Calibri"/>
        </w:rPr>
      </w:pPr>
      <w:r w:rsidRPr="00CF5A42">
        <w:rPr>
          <w:rFonts w:ascii="Calibri" w:hAnsi="Calibri"/>
          <w:b/>
        </w:rPr>
        <w:t>2.6.3.5.</w:t>
      </w:r>
      <w:r w:rsidRPr="00CF5A42">
        <w:rPr>
          <w:rFonts w:ascii="Calibri" w:hAnsi="Calibri"/>
        </w:rPr>
        <w:t xml:space="preserve"> Tolerancje wymiarowe dla lica znaku </w:t>
      </w:r>
    </w:p>
    <w:p w:rsidR="001F3A98" w:rsidRPr="00CF5A42" w:rsidRDefault="001F3A98" w:rsidP="001F3A98">
      <w:pPr>
        <w:rPr>
          <w:rFonts w:ascii="Calibri" w:hAnsi="Calibri"/>
        </w:rPr>
      </w:pPr>
      <w:r w:rsidRPr="00CF5A42">
        <w:rPr>
          <w:rFonts w:ascii="Calibri" w:hAnsi="Calibri"/>
        </w:rPr>
        <w:t>Sprawdzone przymiarem liniowym:</w:t>
      </w:r>
    </w:p>
    <w:p w:rsidR="001F3A98" w:rsidRPr="00CF5A42" w:rsidRDefault="001F3A98" w:rsidP="001F3A98">
      <w:pPr>
        <w:rPr>
          <w:rFonts w:ascii="Calibri" w:hAnsi="Calibri"/>
        </w:rPr>
      </w:pPr>
      <w:r>
        <w:rPr>
          <w:rFonts w:ascii="Calibri" w:hAnsi="Calibri"/>
        </w:rPr>
        <w:t>-</w:t>
      </w:r>
      <w:r w:rsidRPr="00CF5A42">
        <w:rPr>
          <w:rFonts w:ascii="Calibri" w:hAnsi="Calibri"/>
        </w:rPr>
        <w:t xml:space="preserve">tolerancje wymiarowe rysunku lica  wykonanego drukiem sitowym wynoszą  </w:t>
      </w:r>
      <w:r w:rsidRPr="00CF5A42">
        <w:rPr>
          <w:rFonts w:ascii="Calibri" w:hAnsi="Calibri"/>
        </w:rPr>
        <w:sym w:font="Symbol" w:char="F0B1"/>
      </w:r>
      <w:r w:rsidRPr="00CF5A42">
        <w:rPr>
          <w:rFonts w:ascii="Calibri" w:hAnsi="Calibri"/>
        </w:rPr>
        <w:t xml:space="preserve"> </w:t>
      </w:r>
      <w:smartTag w:uri="urn:schemas-microsoft-com:office:smarttags" w:element="metricconverter">
        <w:smartTagPr>
          <w:attr w:name="ProductID" w:val="1,5 mm"/>
        </w:smartTagPr>
        <w:r w:rsidRPr="00CF5A42">
          <w:rPr>
            <w:rFonts w:ascii="Calibri" w:hAnsi="Calibri"/>
          </w:rPr>
          <w:t>1,5 mm</w:t>
        </w:r>
      </w:smartTag>
      <w:r w:rsidRPr="00CF5A42">
        <w:rPr>
          <w:rFonts w:ascii="Calibri" w:hAnsi="Calibri"/>
        </w:rPr>
        <w:t>,</w:t>
      </w:r>
    </w:p>
    <w:p w:rsidR="001F3A98" w:rsidRPr="00CF5A42" w:rsidRDefault="001F3A98" w:rsidP="001F3A98">
      <w:pPr>
        <w:rPr>
          <w:rFonts w:ascii="Calibri" w:hAnsi="Calibri"/>
        </w:rPr>
      </w:pPr>
      <w:r>
        <w:rPr>
          <w:rFonts w:ascii="Calibri" w:hAnsi="Calibri"/>
        </w:rPr>
        <w:t>-</w:t>
      </w:r>
      <w:r w:rsidRPr="00CF5A42">
        <w:rPr>
          <w:rFonts w:ascii="Calibri" w:hAnsi="Calibri"/>
        </w:rPr>
        <w:t xml:space="preserve">tolerancje wymiarowe rysunku lica wykonanego metodą wyklejania wynoszą  </w:t>
      </w:r>
      <w:r w:rsidRPr="00CF5A42">
        <w:rPr>
          <w:rFonts w:ascii="Calibri" w:hAnsi="Calibri"/>
        </w:rPr>
        <w:sym w:font="Symbol" w:char="F0B1"/>
      </w:r>
      <w:r w:rsidRPr="00CF5A42">
        <w:rPr>
          <w:rFonts w:ascii="Calibri" w:hAnsi="Calibri"/>
        </w:rPr>
        <w:t xml:space="preserve"> </w:t>
      </w:r>
      <w:smartTag w:uri="urn:schemas-microsoft-com:office:smarttags" w:element="metricconverter">
        <w:smartTagPr>
          <w:attr w:name="ProductID" w:val="2 mm"/>
        </w:smartTagPr>
        <w:r w:rsidRPr="00CF5A42">
          <w:rPr>
            <w:rFonts w:ascii="Calibri" w:hAnsi="Calibri"/>
          </w:rPr>
          <w:t>2 mm</w:t>
        </w:r>
      </w:smartTag>
      <w:r w:rsidRPr="00CF5A42">
        <w:rPr>
          <w:rFonts w:ascii="Calibri" w:hAnsi="Calibri"/>
        </w:rPr>
        <w:t>,</w:t>
      </w:r>
    </w:p>
    <w:p w:rsidR="001F3A98" w:rsidRPr="00CF5A42" w:rsidRDefault="001F3A98" w:rsidP="001F3A98">
      <w:pPr>
        <w:rPr>
          <w:rFonts w:ascii="Calibri" w:hAnsi="Calibri"/>
        </w:rPr>
      </w:pPr>
      <w:r>
        <w:rPr>
          <w:rFonts w:ascii="Calibri" w:hAnsi="Calibri"/>
        </w:rPr>
        <w:t>-</w:t>
      </w:r>
      <w:r w:rsidRPr="00CF5A42">
        <w:rPr>
          <w:rFonts w:ascii="Calibri" w:hAnsi="Calibri"/>
        </w:rPr>
        <w:t xml:space="preserve">kontury rysunku znaku (obwódka i symbol) muszą być równe z dokładnością  w każdym  kierunku do </w:t>
      </w:r>
      <w:smartTag w:uri="urn:schemas-microsoft-com:office:smarttags" w:element="metricconverter">
        <w:smartTagPr>
          <w:attr w:name="ProductID" w:val="1,0 mm"/>
        </w:smartTagPr>
        <w:r w:rsidRPr="00CF5A42">
          <w:rPr>
            <w:rFonts w:ascii="Calibri" w:hAnsi="Calibri"/>
          </w:rPr>
          <w:t>1,0 mm</w:t>
        </w:r>
      </w:smartTag>
      <w:r w:rsidRPr="00CF5A42">
        <w:rPr>
          <w:rFonts w:ascii="Calibri" w:hAnsi="Calibri"/>
        </w:rPr>
        <w:t>.</w:t>
      </w:r>
    </w:p>
    <w:p w:rsidR="001F3A98" w:rsidRPr="00CF5A42" w:rsidRDefault="001F3A98" w:rsidP="001F3A98">
      <w:pPr>
        <w:rPr>
          <w:rFonts w:ascii="Calibri" w:hAnsi="Calibri"/>
        </w:rPr>
      </w:pPr>
      <w:r w:rsidRPr="00CF5A42">
        <w:rPr>
          <w:rFonts w:ascii="Calibri" w:hAnsi="Calibri"/>
        </w:rPr>
        <w:tab/>
        <w:t xml:space="preserve">W znakach nowych na każdym z fragmentów powierzchni znaku o wymiarach  4 x </w:t>
      </w:r>
      <w:smartTag w:uri="urn:schemas-microsoft-com:office:smarttags" w:element="metricconverter">
        <w:smartTagPr>
          <w:attr w:name="ProductID" w:val="4 cm"/>
        </w:smartTagPr>
        <w:r w:rsidRPr="00CF5A42">
          <w:rPr>
            <w:rFonts w:ascii="Calibri" w:hAnsi="Calibri"/>
          </w:rPr>
          <w:t>4 cm</w:t>
        </w:r>
      </w:smartTag>
      <w:r w:rsidRPr="00CF5A42">
        <w:rPr>
          <w:rFonts w:ascii="Calibri" w:hAnsi="Calibri"/>
        </w:rPr>
        <w:t xml:space="preserve"> nie może występować więcej niż 0,7 lokalnych usterek (załamania, pęcherzyki) o wymiarach nie większych niż </w:t>
      </w:r>
      <w:smartTag w:uri="urn:schemas-microsoft-com:office:smarttags" w:element="metricconverter">
        <w:smartTagPr>
          <w:attr w:name="ProductID" w:val="1 mm"/>
        </w:smartTagPr>
        <w:r w:rsidRPr="00CF5A42">
          <w:rPr>
            <w:rFonts w:ascii="Calibri" w:hAnsi="Calibri"/>
          </w:rPr>
          <w:t>1 mm</w:t>
        </w:r>
      </w:smartTag>
      <w:r w:rsidRPr="00CF5A42">
        <w:rPr>
          <w:rFonts w:ascii="Calibri" w:hAnsi="Calibri"/>
        </w:rPr>
        <w:t xml:space="preserve"> w każdym kierunku. Niedopuszczalne jest występowanie jakichkolwiek zarysowań powierzchni znaku.</w:t>
      </w:r>
    </w:p>
    <w:p w:rsidR="001F3A98" w:rsidRPr="00CF5A42" w:rsidRDefault="001F3A98" w:rsidP="001F3A98">
      <w:pPr>
        <w:rPr>
          <w:rFonts w:ascii="Calibri" w:hAnsi="Calibri"/>
        </w:rPr>
      </w:pPr>
      <w:r w:rsidRPr="00CF5A42">
        <w:rPr>
          <w:rFonts w:ascii="Calibri" w:hAnsi="Calibri"/>
        </w:rPr>
        <w:tab/>
        <w:t xml:space="preserve">Na znakach w okresie gwarancji, na każdym z fragmentów powierzchni znaku o wymiarach 4 x </w:t>
      </w:r>
      <w:smartTag w:uri="urn:schemas-microsoft-com:office:smarttags" w:element="metricconverter">
        <w:smartTagPr>
          <w:attr w:name="ProductID" w:val="4 cm"/>
        </w:smartTagPr>
        <w:r w:rsidRPr="00CF5A42">
          <w:rPr>
            <w:rFonts w:ascii="Calibri" w:hAnsi="Calibri"/>
          </w:rPr>
          <w:t>4 cm</w:t>
        </w:r>
      </w:smartTag>
      <w:r w:rsidRPr="00CF5A42">
        <w:rPr>
          <w:rFonts w:ascii="Calibri" w:hAnsi="Calibri"/>
        </w:rPr>
        <w:t xml:space="preserve"> dopuszcza się do 2 usterek jak wyżej, o wymiarach nie większych niż </w:t>
      </w:r>
      <w:smartTag w:uri="urn:schemas-microsoft-com:office:smarttags" w:element="metricconverter">
        <w:smartTagPr>
          <w:attr w:name="ProductID" w:val="1 mm"/>
        </w:smartTagPr>
        <w:r w:rsidRPr="00CF5A42">
          <w:rPr>
            <w:rFonts w:ascii="Calibri" w:hAnsi="Calibri"/>
          </w:rPr>
          <w:t>1 mm</w:t>
        </w:r>
      </w:smartTag>
      <w:r w:rsidRPr="00CF5A42">
        <w:rPr>
          <w:rFonts w:ascii="Calibri" w:hAnsi="Calibri"/>
        </w:rPr>
        <w:t xml:space="preserve"> w każdym kierunku. Na powierzchni tej dopuszcza się do 3 zarysowań o szerokości nie większej niż </w:t>
      </w:r>
      <w:smartTag w:uri="urn:schemas-microsoft-com:office:smarttags" w:element="metricconverter">
        <w:smartTagPr>
          <w:attr w:name="ProductID" w:val="0,8 mm"/>
        </w:smartTagPr>
        <w:r w:rsidRPr="00CF5A42">
          <w:rPr>
            <w:rFonts w:ascii="Calibri" w:hAnsi="Calibri"/>
          </w:rPr>
          <w:t>0,8 mm</w:t>
        </w:r>
      </w:smartTag>
      <w:r w:rsidRPr="00CF5A42">
        <w:rPr>
          <w:rFonts w:ascii="Calibri" w:hAnsi="Calibri"/>
        </w:rPr>
        <w:t xml:space="preserve"> i całkowitej długości nie większej niż </w:t>
      </w:r>
      <w:smartTag w:uri="urn:schemas-microsoft-com:office:smarttags" w:element="metricconverter">
        <w:smartTagPr>
          <w:attr w:name="ProductID" w:val="10 cm"/>
        </w:smartTagPr>
        <w:r w:rsidRPr="00CF5A42">
          <w:rPr>
            <w:rFonts w:ascii="Calibri" w:hAnsi="Calibri"/>
          </w:rPr>
          <w:t>10 cm</w:t>
        </w:r>
      </w:smartTag>
      <w:r w:rsidRPr="00CF5A42">
        <w:rPr>
          <w:rFonts w:ascii="Calibri" w:hAnsi="Calibri"/>
        </w:rPr>
        <w:t xml:space="preserve">. Na całkowitej długości znaku dopuszcza się nie więcej niż 5 rys szerokości nie większej niż </w:t>
      </w:r>
      <w:smartTag w:uri="urn:schemas-microsoft-com:office:smarttags" w:element="metricconverter">
        <w:smartTagPr>
          <w:attr w:name="ProductID" w:val="0,8 mm"/>
        </w:smartTagPr>
        <w:r w:rsidRPr="00CF5A42">
          <w:rPr>
            <w:rFonts w:ascii="Calibri" w:hAnsi="Calibri"/>
          </w:rPr>
          <w:t>0,8 mm</w:t>
        </w:r>
      </w:smartTag>
      <w:r w:rsidRPr="00CF5A42">
        <w:rPr>
          <w:rFonts w:ascii="Calibri" w:hAnsi="Calibri"/>
        </w:rPr>
        <w:t xml:space="preserve"> i długości przekraczającej </w:t>
      </w:r>
      <w:smartTag w:uri="urn:schemas-microsoft-com:office:smarttags" w:element="metricconverter">
        <w:smartTagPr>
          <w:attr w:name="ProductID" w:val="10 cm"/>
        </w:smartTagPr>
        <w:r w:rsidRPr="00CF5A42">
          <w:rPr>
            <w:rFonts w:ascii="Calibri" w:hAnsi="Calibri"/>
          </w:rPr>
          <w:t>10 cm</w:t>
        </w:r>
      </w:smartTag>
      <w:r w:rsidRPr="00CF5A42">
        <w:rPr>
          <w:rFonts w:ascii="Calibri" w:hAnsi="Calibri"/>
        </w:rPr>
        <w:t xml:space="preserve"> - pod warunkiem, że zarysowania te nie zniekształcają treści znaku.</w:t>
      </w:r>
    </w:p>
    <w:p w:rsidR="001F3A98" w:rsidRPr="00CF5A42" w:rsidRDefault="001F3A98" w:rsidP="001F3A98">
      <w:pPr>
        <w:rPr>
          <w:rFonts w:ascii="Calibri" w:hAnsi="Calibri"/>
        </w:rPr>
      </w:pPr>
      <w:r w:rsidRPr="00CF5A42">
        <w:rPr>
          <w:rFonts w:ascii="Calibri" w:hAnsi="Calibri"/>
        </w:rPr>
        <w:tab/>
        <w:t xml:space="preserve">Na znakach w okresie gwarancji dopuszcza się również lokalne uszkodzenie folii o powierzchni nie przekraczającej 6 mm2 każde - w liczbie nie większej niż pięć na powierzchni znaku małego lub średniego, oraz o powierzchni nie przekraczającej 8 mm2 każde - w liczbie nie większej niż 8 na każdym z fragmentów powierzchni znaku dużego lub wielkiego (włączając znaki informacyjne) o wymiarach 1200 × </w:t>
      </w:r>
      <w:smartTag w:uri="urn:schemas-microsoft-com:office:smarttags" w:element="metricconverter">
        <w:smartTagPr>
          <w:attr w:name="ProductID" w:val="1200 mm"/>
        </w:smartTagPr>
        <w:r w:rsidRPr="00CF5A42">
          <w:rPr>
            <w:rFonts w:ascii="Calibri" w:hAnsi="Calibri"/>
          </w:rPr>
          <w:t>1200 mm</w:t>
        </w:r>
      </w:smartTag>
      <w:r w:rsidRPr="00CF5A42">
        <w:rPr>
          <w:rFonts w:ascii="Calibri" w:hAnsi="Calibri"/>
        </w:rPr>
        <w:t>.</w:t>
      </w:r>
    </w:p>
    <w:p w:rsidR="001F3A98" w:rsidRPr="00CF5A42" w:rsidRDefault="001F3A98" w:rsidP="001F3A98">
      <w:pPr>
        <w:rPr>
          <w:rFonts w:ascii="Calibri" w:hAnsi="Calibri"/>
        </w:rPr>
      </w:pPr>
      <w:r w:rsidRPr="00CF5A42">
        <w:rPr>
          <w:rFonts w:ascii="Calibri" w:hAnsi="Calibri"/>
        </w:rPr>
        <w:tab/>
        <w:t>Uszkodzenia folii nie mogą zniekształcać treści znaku - w przypadku występowania takiego zniekształcenia znak musi być bezzwłocznie wymieniony.</w:t>
      </w:r>
    </w:p>
    <w:p w:rsidR="001F3A98" w:rsidRPr="00CF5A42" w:rsidRDefault="001F3A98" w:rsidP="001F3A98">
      <w:pPr>
        <w:rPr>
          <w:rFonts w:ascii="Calibri" w:hAnsi="Calibri"/>
        </w:rPr>
      </w:pPr>
      <w:r w:rsidRPr="00CF5A42">
        <w:rPr>
          <w:rFonts w:ascii="Calibri" w:hAnsi="Calibri"/>
        </w:rPr>
        <w:tab/>
        <w:t>W znakach nowych niedopuszczalne jest występowanie jakichkolwiek rys, sięgających przez warstwę folii do powierzchni tarczy znaku. W znakach eksploatowanych istnienie takich rys jest dopuszczalne pod warunkiem, że występujące w ich otoczeniu ogniska korozyjne nie przekroczą wielkości określonych poniżej.</w:t>
      </w:r>
    </w:p>
    <w:p w:rsidR="001F3A98" w:rsidRPr="00CF5A42" w:rsidRDefault="001F3A98" w:rsidP="001F3A98">
      <w:pPr>
        <w:rPr>
          <w:rFonts w:ascii="Calibri" w:hAnsi="Calibri"/>
        </w:rPr>
      </w:pPr>
      <w:r w:rsidRPr="00CF5A42">
        <w:rPr>
          <w:rFonts w:ascii="Calibri" w:hAnsi="Calibri"/>
        </w:rPr>
        <w:tab/>
        <w:t xml:space="preserve">W znakach eksploatowanych dopuszczalne jest występowanie co najwyżej dwóch lokalnych ognisk korozji o wymiarach nie przekraczających </w:t>
      </w:r>
      <w:smartTag w:uri="urn:schemas-microsoft-com:office:smarttags" w:element="metricconverter">
        <w:smartTagPr>
          <w:attr w:name="ProductID" w:val="2,0 mm"/>
        </w:smartTagPr>
        <w:r w:rsidRPr="00CF5A42">
          <w:rPr>
            <w:rFonts w:ascii="Calibri" w:hAnsi="Calibri"/>
          </w:rPr>
          <w:t>2,0 mm</w:t>
        </w:r>
      </w:smartTag>
      <w:r w:rsidRPr="00CF5A42">
        <w:rPr>
          <w:rFonts w:ascii="Calibri" w:hAnsi="Calibri"/>
        </w:rPr>
        <w:t xml:space="preserve"> w każdym kierunku na powierzchni każdego z fragmentów znaku o wymiarach 4 × </w:t>
      </w:r>
      <w:smartTag w:uri="urn:schemas-microsoft-com:office:smarttags" w:element="metricconverter">
        <w:smartTagPr>
          <w:attr w:name="ProductID" w:val="4 cm"/>
        </w:smartTagPr>
        <w:r w:rsidRPr="00CF5A42">
          <w:rPr>
            <w:rFonts w:ascii="Calibri" w:hAnsi="Calibri"/>
          </w:rPr>
          <w:t>4 cm</w:t>
        </w:r>
      </w:smartTag>
      <w:r w:rsidRPr="00CF5A42">
        <w:rPr>
          <w:rFonts w:ascii="Calibri" w:hAnsi="Calibri"/>
        </w:rPr>
        <w:t>. W znakach nowych oraz w znakach znajdujących się w okresie wymaganej gwarancji żadna korozja tarczy znaku nie może występować.</w:t>
      </w:r>
    </w:p>
    <w:p w:rsidR="001F3A98" w:rsidRPr="00CF5A42" w:rsidRDefault="001F3A98" w:rsidP="001F3A98">
      <w:pPr>
        <w:rPr>
          <w:rFonts w:ascii="Calibri" w:hAnsi="Calibri"/>
        </w:rPr>
      </w:pPr>
      <w:r w:rsidRPr="00CF5A42">
        <w:rPr>
          <w:rFonts w:ascii="Calibri" w:hAnsi="Calibri"/>
        </w:rPr>
        <w:tab/>
        <w:t>Wymagana jest taka wytrzymałość połączenia folii odblaskowej z tarczą znaku, by po zgięciu tarczy o 90</w:t>
      </w:r>
      <w:r w:rsidRPr="00CF5A42">
        <w:rPr>
          <w:rFonts w:ascii="Calibri" w:hAnsi="Calibri"/>
          <w:vertAlign w:val="superscript"/>
        </w:rPr>
        <w:t>o</w:t>
      </w:r>
      <w:r w:rsidRPr="00CF5A42">
        <w:rPr>
          <w:rFonts w:ascii="Calibri" w:hAnsi="Calibri"/>
        </w:rPr>
        <w:t xml:space="preserve"> przy promieniu łuku zgięcia do </w:t>
      </w:r>
      <w:smartTag w:uri="urn:schemas-microsoft-com:office:smarttags" w:element="metricconverter">
        <w:smartTagPr>
          <w:attr w:name="ProductID" w:val="10 mm"/>
        </w:smartTagPr>
        <w:r w:rsidRPr="00CF5A42">
          <w:rPr>
            <w:rFonts w:ascii="Calibri" w:hAnsi="Calibri"/>
          </w:rPr>
          <w:t>10 mm</w:t>
        </w:r>
      </w:smartTag>
      <w:r w:rsidRPr="00CF5A42">
        <w:rPr>
          <w:rFonts w:ascii="Calibri" w:hAnsi="Calibri"/>
        </w:rPr>
        <w:t xml:space="preserve"> w żadnym miejscu nie uległo ono zniszczeniu.</w:t>
      </w:r>
    </w:p>
    <w:p w:rsidR="001F3A98" w:rsidRPr="00CF5A42" w:rsidRDefault="001F3A98" w:rsidP="001F3A98">
      <w:pPr>
        <w:rPr>
          <w:rFonts w:ascii="Calibri" w:hAnsi="Calibri"/>
        </w:rPr>
      </w:pPr>
      <w:r w:rsidRPr="00CF5A42">
        <w:rPr>
          <w:rFonts w:ascii="Calibri" w:hAnsi="Calibri"/>
          <w:b/>
        </w:rPr>
        <w:t>2.6.4.</w:t>
      </w:r>
      <w:r w:rsidRPr="00CF5A42">
        <w:rPr>
          <w:rFonts w:ascii="Calibri" w:hAnsi="Calibri"/>
        </w:rPr>
        <w:t xml:space="preserve">   Obowiązujący system oceny zgodności</w:t>
      </w:r>
    </w:p>
    <w:p w:rsidR="001F3A98" w:rsidRPr="00CF5A42" w:rsidRDefault="001F3A98" w:rsidP="001F3A98">
      <w:pPr>
        <w:rPr>
          <w:rFonts w:ascii="Calibri" w:hAnsi="Calibri"/>
        </w:rPr>
      </w:pPr>
      <w:r w:rsidRPr="00CF5A42">
        <w:rPr>
          <w:rFonts w:ascii="Calibri" w:hAnsi="Calibri"/>
        </w:rPr>
        <w:t xml:space="preserve">Zgodnie z art. 4, art. 5 ust. 1 oraz art. 8, ust. 1 ustawy z dnia 16 kwietnia 2004r. o wyrobach budowlanych wyrób, który posiada aprobatę techniczną może być wprowadzony do obrotu i stosowania przy wykonywaniu robót budowlanych w zakresie odpowiadającym jego właściwościom użytkowym i </w:t>
      </w:r>
      <w:r w:rsidRPr="00CF5A42">
        <w:rPr>
          <w:rFonts w:ascii="Calibri" w:hAnsi="Calibri"/>
        </w:rPr>
        <w:lastRenderedPageBreak/>
        <w:t>przeznaczeniu, jeżeli producent dokonał oceny zgodności, wydał krajową deklarację zgodności z aprobatą techniczną i oznakował wyrób budowlany zgodnie z obowiązującymi przepisami.</w:t>
      </w:r>
    </w:p>
    <w:p w:rsidR="001F3A98" w:rsidRPr="00CF5A42" w:rsidRDefault="001F3A98" w:rsidP="001F3A98">
      <w:pPr>
        <w:rPr>
          <w:rFonts w:ascii="Calibri" w:hAnsi="Calibri"/>
        </w:rPr>
      </w:pPr>
      <w:r w:rsidRPr="00CF5A42">
        <w:rPr>
          <w:rFonts w:ascii="Calibri" w:hAnsi="Calibri"/>
        </w:rPr>
        <w:t>Zgodnie z rozporządzeniem Ministra Infrastruktury z dnia 11 sierpnia 2004r. oceny zgodności wyrobu z aprobatą techniczną dokonuje producent, stosując system 1.</w:t>
      </w:r>
    </w:p>
    <w:p w:rsidR="001F3A98" w:rsidRPr="00CF5A42" w:rsidRDefault="001F3A98" w:rsidP="001F3A98">
      <w:pPr>
        <w:rPr>
          <w:rFonts w:ascii="Calibri" w:hAnsi="Calibri"/>
        </w:rPr>
      </w:pPr>
      <w:r w:rsidRPr="00CF5A42">
        <w:rPr>
          <w:rFonts w:ascii="Calibri" w:hAnsi="Calibri"/>
          <w:b/>
        </w:rPr>
        <w:t>2.7.</w:t>
      </w:r>
      <w:r w:rsidRPr="00CF5A42">
        <w:rPr>
          <w:rFonts w:ascii="Calibri" w:hAnsi="Calibri"/>
        </w:rPr>
        <w:t xml:space="preserve"> Znaki oświetlane</w:t>
      </w:r>
    </w:p>
    <w:p w:rsidR="001F3A98" w:rsidRPr="00CF5A42" w:rsidRDefault="001F3A98" w:rsidP="001F3A98">
      <w:pPr>
        <w:rPr>
          <w:rFonts w:ascii="Calibri" w:hAnsi="Calibri"/>
        </w:rPr>
      </w:pPr>
      <w:r w:rsidRPr="00CF5A42">
        <w:rPr>
          <w:rFonts w:ascii="Calibri" w:hAnsi="Calibri"/>
          <w:b/>
        </w:rPr>
        <w:t>2.7.1.</w:t>
      </w:r>
      <w:r w:rsidRPr="00CF5A42">
        <w:rPr>
          <w:rFonts w:ascii="Calibri" w:hAnsi="Calibri"/>
        </w:rPr>
        <w:t xml:space="preserve"> Wymagania ogólne dotyczące znaków oświetlanych</w:t>
      </w:r>
    </w:p>
    <w:p w:rsidR="001F3A98" w:rsidRPr="00CF5A42" w:rsidRDefault="001F3A98" w:rsidP="001F3A98">
      <w:pPr>
        <w:rPr>
          <w:rFonts w:ascii="Calibri" w:hAnsi="Calibri"/>
        </w:rPr>
      </w:pPr>
      <w:r w:rsidRPr="00CF5A42">
        <w:rPr>
          <w:rFonts w:ascii="Calibri" w:hAnsi="Calibri"/>
        </w:rPr>
        <w:tab/>
        <w:t>Znaki drogowe oświetlane wykonuje się jak znaki nieodblaskowe. Ze znakiem sprzężona jest w sposób sztywny oprawa oświetleniowa, oświetlająca w nocy lico znaku. Oprawa umieszczona jest na zewnątrz znaku.</w:t>
      </w:r>
    </w:p>
    <w:p w:rsidR="001F3A98" w:rsidRPr="00CF5A42" w:rsidRDefault="001F3A98" w:rsidP="001F3A98">
      <w:pPr>
        <w:rPr>
          <w:rFonts w:ascii="Calibri" w:hAnsi="Calibri"/>
        </w:rPr>
      </w:pPr>
      <w:r w:rsidRPr="00CF5A42">
        <w:rPr>
          <w:rFonts w:ascii="Calibri" w:hAnsi="Calibri"/>
        </w:rPr>
        <w:tab/>
        <w:t>Jeśli dokumentacja projektowa przewiduje wykonanie znaku z materiałów odblaskowych, znak musi spełniać dodatkowo wymagania określone w punkcie 2.6.</w:t>
      </w:r>
    </w:p>
    <w:p w:rsidR="001F3A98" w:rsidRPr="00CF5A42" w:rsidRDefault="001F3A98" w:rsidP="001F3A98">
      <w:pPr>
        <w:rPr>
          <w:rFonts w:ascii="Calibri" w:hAnsi="Calibri"/>
        </w:rPr>
      </w:pPr>
      <w:r w:rsidRPr="00CF5A42">
        <w:rPr>
          <w:rFonts w:ascii="Calibri" w:hAnsi="Calibri"/>
          <w:b/>
        </w:rPr>
        <w:t>2.8.</w:t>
      </w:r>
      <w:r w:rsidRPr="00CF5A42">
        <w:rPr>
          <w:rFonts w:ascii="Calibri" w:hAnsi="Calibri"/>
        </w:rPr>
        <w:t xml:space="preserve"> Materiały do montażu znaków</w:t>
      </w:r>
    </w:p>
    <w:p w:rsidR="001F3A98" w:rsidRPr="00CF5A42" w:rsidRDefault="001F3A98" w:rsidP="001F3A98">
      <w:pPr>
        <w:rPr>
          <w:rFonts w:ascii="Calibri" w:hAnsi="Calibri"/>
        </w:rPr>
      </w:pPr>
      <w:r w:rsidRPr="00CF5A42">
        <w:rPr>
          <w:rFonts w:ascii="Calibri" w:hAnsi="Calibri"/>
        </w:rPr>
        <w:tab/>
        <w:t>Wszystkie łączniki metalowe przewidywane do mocowania między sobą elementów konstrukcji wsporczych znaków jak śruby, listwy, wkręty, nakrętki itp. powinny być czyste, gładkie, bez pęknięć, naderwań, rozwarstwień i wypukłych karbów.</w:t>
      </w:r>
    </w:p>
    <w:p w:rsidR="001F3A98" w:rsidRPr="00CF5A42" w:rsidRDefault="001F3A98" w:rsidP="001F3A98">
      <w:pPr>
        <w:rPr>
          <w:rFonts w:ascii="Calibri" w:hAnsi="Calibri"/>
        </w:rPr>
      </w:pPr>
      <w:r w:rsidRPr="00CF5A42">
        <w:rPr>
          <w:rFonts w:ascii="Calibri" w:hAnsi="Calibri"/>
        </w:rPr>
        <w:tab/>
        <w:t>Łączniki mogą być dostarczane w pudełkach tekturowych, pojemnikach blaszanych lub paletach, w zależności od ich wielkości. Łączniki powinny być ocynkowane ogniowo lub wykonane z materiałów odpornych na korozję w czasie nie krótszym niż tarcza znaku i konstrukcja wsporcza.</w:t>
      </w:r>
    </w:p>
    <w:p w:rsidR="001F3A98" w:rsidRPr="00CF5A42" w:rsidRDefault="001F3A98" w:rsidP="001F3A98">
      <w:pPr>
        <w:rPr>
          <w:rFonts w:ascii="Calibri" w:hAnsi="Calibri"/>
        </w:rPr>
      </w:pPr>
      <w:r w:rsidRPr="00CF5A42">
        <w:rPr>
          <w:rFonts w:ascii="Calibri" w:hAnsi="Calibri"/>
          <w:b/>
        </w:rPr>
        <w:t>2.10.</w:t>
      </w:r>
      <w:r w:rsidRPr="00CF5A42">
        <w:rPr>
          <w:rFonts w:ascii="Calibri" w:hAnsi="Calibri"/>
        </w:rPr>
        <w:t xml:space="preserve"> Przechowywanie i składowanie materiałów</w:t>
      </w:r>
    </w:p>
    <w:p w:rsidR="001F3A98" w:rsidRPr="00CF5A42" w:rsidRDefault="001F3A98" w:rsidP="001F3A98">
      <w:pPr>
        <w:rPr>
          <w:rFonts w:ascii="Calibri" w:hAnsi="Calibri"/>
        </w:rPr>
      </w:pPr>
      <w:r w:rsidRPr="00CF5A42">
        <w:rPr>
          <w:rFonts w:ascii="Calibri" w:hAnsi="Calibri"/>
        </w:rPr>
        <w:tab/>
        <w:t xml:space="preserve">Prefabrykaty betonowe powinny być składowane na wyrównanym, utwardzonym i odwodnionym podłożu. Prefabrykaty należy układać na podkładach z zachowaniem prześwitu minimum </w:t>
      </w:r>
      <w:smartTag w:uri="urn:schemas-microsoft-com:office:smarttags" w:element="metricconverter">
        <w:smartTagPr>
          <w:attr w:name="ProductID" w:val="10 cm"/>
        </w:smartTagPr>
        <w:r w:rsidRPr="00CF5A42">
          <w:rPr>
            <w:rFonts w:ascii="Calibri" w:hAnsi="Calibri"/>
          </w:rPr>
          <w:t>10 cm</w:t>
        </w:r>
      </w:smartTag>
      <w:r w:rsidRPr="00CF5A42">
        <w:rPr>
          <w:rFonts w:ascii="Calibri" w:hAnsi="Calibri"/>
        </w:rPr>
        <w:t xml:space="preserve"> między podłożem a prefabrykatem.</w:t>
      </w:r>
    </w:p>
    <w:p w:rsidR="001F3A98" w:rsidRPr="00CF5A42" w:rsidRDefault="001F3A98" w:rsidP="001F3A98">
      <w:pPr>
        <w:rPr>
          <w:rFonts w:ascii="Calibri" w:hAnsi="Calibri"/>
        </w:rPr>
      </w:pPr>
      <w:r w:rsidRPr="00CF5A42">
        <w:rPr>
          <w:rFonts w:ascii="Calibri" w:hAnsi="Calibri"/>
        </w:rPr>
        <w:tab/>
        <w:t>Znaki powinny być przechowywane w pomieszczeniach suchych, z dala od materiałów działających korodująco i w warunkach zabezpieczających przed uszkodzeniami.</w:t>
      </w:r>
    </w:p>
    <w:p w:rsidR="001F3A98" w:rsidRPr="00CF5A42" w:rsidRDefault="001F3A98" w:rsidP="001F3A98">
      <w:pPr>
        <w:rPr>
          <w:rFonts w:ascii="Calibri" w:hAnsi="Calibri"/>
        </w:rPr>
      </w:pPr>
    </w:p>
    <w:p w:rsidR="001F3A98" w:rsidRPr="00CF5A42" w:rsidRDefault="001F3A98" w:rsidP="001F3A98">
      <w:pPr>
        <w:rPr>
          <w:rFonts w:ascii="Calibri" w:hAnsi="Calibri"/>
          <w:b/>
        </w:rPr>
      </w:pPr>
      <w:bookmarkStart w:id="1590" w:name="_Toc425833582"/>
      <w:r w:rsidRPr="00CF5A42">
        <w:rPr>
          <w:rFonts w:ascii="Calibri" w:hAnsi="Calibri"/>
          <w:b/>
        </w:rPr>
        <w:t xml:space="preserve">3. </w:t>
      </w:r>
      <w:bookmarkEnd w:id="1590"/>
      <w:r w:rsidRPr="00CF5A42">
        <w:rPr>
          <w:rFonts w:ascii="Calibri" w:hAnsi="Calibri"/>
          <w:b/>
        </w:rPr>
        <w:t>SPRZĘT</w:t>
      </w:r>
    </w:p>
    <w:p w:rsidR="001F3A98" w:rsidRPr="00CF5A42" w:rsidRDefault="001F3A98" w:rsidP="001F3A98">
      <w:pPr>
        <w:rPr>
          <w:rFonts w:ascii="Calibri" w:hAnsi="Calibri"/>
        </w:rPr>
      </w:pPr>
      <w:r w:rsidRPr="00CF5A42">
        <w:rPr>
          <w:rFonts w:ascii="Calibri" w:hAnsi="Calibri"/>
          <w:b/>
        </w:rPr>
        <w:t>3.1.</w:t>
      </w:r>
      <w:r w:rsidRPr="00CF5A42">
        <w:rPr>
          <w:rFonts w:ascii="Calibri" w:hAnsi="Calibri"/>
        </w:rPr>
        <w:t xml:space="preserve"> Ogólne wymagania dotyczące sprzętu</w:t>
      </w:r>
    </w:p>
    <w:p w:rsidR="001F3A98" w:rsidRPr="00CF5A42" w:rsidRDefault="001F3A98" w:rsidP="001F3A98">
      <w:pPr>
        <w:rPr>
          <w:rFonts w:ascii="Calibri" w:hAnsi="Calibri"/>
        </w:rPr>
      </w:pPr>
      <w:r w:rsidRPr="00CF5A42">
        <w:rPr>
          <w:rFonts w:ascii="Calibri" w:hAnsi="Calibri"/>
        </w:rPr>
        <w:tab/>
        <w:t>Ogólne wymagania dotyczące sprzętu podano w ST D-M-00.00.00 „Wymagania ogólne” pkt 3.</w:t>
      </w:r>
    </w:p>
    <w:p w:rsidR="001F3A98" w:rsidRPr="00CF5A42" w:rsidRDefault="001F3A98" w:rsidP="001F3A98">
      <w:pPr>
        <w:rPr>
          <w:rFonts w:ascii="Calibri" w:hAnsi="Calibri"/>
        </w:rPr>
      </w:pPr>
      <w:r w:rsidRPr="00CF5A42">
        <w:rPr>
          <w:rFonts w:ascii="Calibri" w:hAnsi="Calibri"/>
          <w:b/>
        </w:rPr>
        <w:t>3.2.</w:t>
      </w:r>
      <w:r w:rsidRPr="00CF5A42">
        <w:rPr>
          <w:rFonts w:ascii="Calibri" w:hAnsi="Calibri"/>
        </w:rPr>
        <w:t xml:space="preserve"> Sprzęt do wykonania oznakowania pionowego</w:t>
      </w:r>
    </w:p>
    <w:p w:rsidR="001F3A98" w:rsidRPr="00CF5A42" w:rsidRDefault="001F3A98" w:rsidP="001F3A98">
      <w:pPr>
        <w:rPr>
          <w:rFonts w:ascii="Calibri" w:hAnsi="Calibri"/>
        </w:rPr>
      </w:pPr>
      <w:r w:rsidRPr="00CF5A42">
        <w:rPr>
          <w:rFonts w:ascii="Calibri" w:hAnsi="Calibri"/>
        </w:rPr>
        <w:tab/>
        <w:t>Wykonawca przystępujący do wykonania oznakowania pionowego powinien wykazać się możliwością korzystania z następującego sprzętu:</w:t>
      </w:r>
    </w:p>
    <w:p w:rsidR="001F3A98" w:rsidRPr="00CF5A42" w:rsidRDefault="001F3A98" w:rsidP="001F3A98">
      <w:pPr>
        <w:rPr>
          <w:rFonts w:ascii="Calibri" w:hAnsi="Calibri"/>
        </w:rPr>
      </w:pPr>
      <w:r>
        <w:rPr>
          <w:rFonts w:ascii="Calibri" w:hAnsi="Calibri"/>
        </w:rPr>
        <w:t>-</w:t>
      </w:r>
      <w:r w:rsidRPr="00CF5A42">
        <w:rPr>
          <w:rFonts w:ascii="Calibri" w:hAnsi="Calibri"/>
        </w:rPr>
        <w:t xml:space="preserve">koparek kołowych, np. </w:t>
      </w:r>
      <w:smartTag w:uri="urn:schemas-microsoft-com:office:smarttags" w:element="metricconverter">
        <w:smartTagPr>
          <w:attr w:name="ProductID" w:val="0,15 m3"/>
        </w:smartTagPr>
        <w:r w:rsidRPr="00CF5A42">
          <w:rPr>
            <w:rFonts w:ascii="Calibri" w:hAnsi="Calibri"/>
          </w:rPr>
          <w:t>0,15 m3</w:t>
        </w:r>
      </w:smartTag>
      <w:r w:rsidRPr="00CF5A42">
        <w:rPr>
          <w:rFonts w:ascii="Calibri" w:hAnsi="Calibri"/>
        </w:rPr>
        <w:t xml:space="preserve"> lub koparek gąsienicowych, np. </w:t>
      </w:r>
      <w:smartTag w:uri="urn:schemas-microsoft-com:office:smarttags" w:element="metricconverter">
        <w:smartTagPr>
          <w:attr w:name="ProductID" w:val="0,25 m3"/>
        </w:smartTagPr>
        <w:r w:rsidRPr="00CF5A42">
          <w:rPr>
            <w:rFonts w:ascii="Calibri" w:hAnsi="Calibri"/>
          </w:rPr>
          <w:t>0,25 m3</w:t>
        </w:r>
      </w:smartTag>
      <w:r w:rsidRPr="00CF5A42">
        <w:rPr>
          <w:rFonts w:ascii="Calibri" w:hAnsi="Calibri"/>
        </w:rPr>
        <w:t>,</w:t>
      </w:r>
    </w:p>
    <w:p w:rsidR="001F3A98" w:rsidRPr="00CF5A42" w:rsidRDefault="001F3A98" w:rsidP="001F3A98">
      <w:pPr>
        <w:rPr>
          <w:rFonts w:ascii="Calibri" w:hAnsi="Calibri"/>
        </w:rPr>
      </w:pPr>
      <w:r>
        <w:rPr>
          <w:rFonts w:ascii="Calibri" w:hAnsi="Calibri"/>
        </w:rPr>
        <w:t>-</w:t>
      </w:r>
      <w:r w:rsidRPr="00CF5A42">
        <w:rPr>
          <w:rFonts w:ascii="Calibri" w:hAnsi="Calibri"/>
        </w:rPr>
        <w:t>żurawi samochodowych o udźwigu do 4 t,</w:t>
      </w:r>
    </w:p>
    <w:p w:rsidR="001F3A98" w:rsidRPr="00CF5A42" w:rsidRDefault="001F3A98" w:rsidP="001F3A98">
      <w:pPr>
        <w:rPr>
          <w:rFonts w:ascii="Calibri" w:hAnsi="Calibri"/>
        </w:rPr>
      </w:pPr>
      <w:r>
        <w:rPr>
          <w:rFonts w:ascii="Calibri" w:hAnsi="Calibri"/>
        </w:rPr>
        <w:t>-</w:t>
      </w:r>
      <w:r w:rsidRPr="00CF5A42">
        <w:rPr>
          <w:rFonts w:ascii="Calibri" w:hAnsi="Calibri"/>
        </w:rPr>
        <w:t>wiertnic do wykonywania dołów pod słupki w gruncie spoistym,</w:t>
      </w:r>
    </w:p>
    <w:p w:rsidR="001F3A98" w:rsidRPr="00CF5A42" w:rsidRDefault="001F3A98" w:rsidP="001F3A98">
      <w:pPr>
        <w:rPr>
          <w:rFonts w:ascii="Calibri" w:hAnsi="Calibri"/>
        </w:rPr>
      </w:pPr>
      <w:r>
        <w:rPr>
          <w:rFonts w:ascii="Calibri" w:hAnsi="Calibri"/>
        </w:rPr>
        <w:t>-</w:t>
      </w:r>
      <w:r w:rsidRPr="00CF5A42">
        <w:rPr>
          <w:rFonts w:ascii="Calibri" w:hAnsi="Calibri"/>
        </w:rPr>
        <w:t>betoniarek przewoźnych do wykonywania fundamentów betonowych „na mokro”,</w:t>
      </w:r>
    </w:p>
    <w:p w:rsidR="001F3A98" w:rsidRPr="00CF5A42" w:rsidRDefault="001F3A98" w:rsidP="001F3A98">
      <w:pPr>
        <w:rPr>
          <w:rFonts w:ascii="Calibri" w:hAnsi="Calibri"/>
        </w:rPr>
      </w:pPr>
      <w:r>
        <w:rPr>
          <w:rFonts w:ascii="Calibri" w:hAnsi="Calibri"/>
        </w:rPr>
        <w:t>-</w:t>
      </w:r>
      <w:r w:rsidRPr="00CF5A42">
        <w:rPr>
          <w:rFonts w:ascii="Calibri" w:hAnsi="Calibri"/>
        </w:rPr>
        <w:t>środków transportowych do przewozu materiałów,</w:t>
      </w:r>
    </w:p>
    <w:p w:rsidR="001F3A98" w:rsidRPr="00CF5A42" w:rsidRDefault="001F3A98" w:rsidP="001F3A98">
      <w:pPr>
        <w:rPr>
          <w:rFonts w:ascii="Calibri" w:hAnsi="Calibri"/>
        </w:rPr>
      </w:pPr>
      <w:r>
        <w:rPr>
          <w:rFonts w:ascii="Calibri" w:hAnsi="Calibri"/>
        </w:rPr>
        <w:t>-</w:t>
      </w:r>
      <w:r w:rsidRPr="00CF5A42">
        <w:rPr>
          <w:rFonts w:ascii="Calibri" w:hAnsi="Calibri"/>
        </w:rPr>
        <w:t>przewoźnych zbiorników na wodę,</w:t>
      </w:r>
    </w:p>
    <w:p w:rsidR="001F3A98" w:rsidRPr="00CF5A42" w:rsidRDefault="001F3A98" w:rsidP="001F3A98">
      <w:pPr>
        <w:rPr>
          <w:rFonts w:ascii="Calibri" w:hAnsi="Calibri"/>
        </w:rPr>
      </w:pPr>
      <w:r>
        <w:rPr>
          <w:rFonts w:ascii="Calibri" w:hAnsi="Calibri"/>
        </w:rPr>
        <w:t>-</w:t>
      </w:r>
      <w:r w:rsidRPr="00CF5A42">
        <w:rPr>
          <w:rFonts w:ascii="Calibri" w:hAnsi="Calibri"/>
        </w:rPr>
        <w:t>sprzętu spawalniczego, itp.</w:t>
      </w:r>
    </w:p>
    <w:p w:rsidR="001F3A98" w:rsidRPr="00CF5A42" w:rsidRDefault="001F3A98" w:rsidP="001F3A98">
      <w:pPr>
        <w:rPr>
          <w:rFonts w:ascii="Calibri" w:hAnsi="Calibri"/>
        </w:rPr>
      </w:pPr>
      <w:r w:rsidRPr="00CF5A42">
        <w:rPr>
          <w:rFonts w:ascii="Calibri" w:hAnsi="Calibri"/>
        </w:rPr>
        <w:t>Pierwsze dwie pozycje dotyczą wykonawcy znaków bramowych.</w:t>
      </w:r>
    </w:p>
    <w:p w:rsidR="001F3A98" w:rsidRPr="00CF5A42" w:rsidRDefault="001F3A98" w:rsidP="001F3A98">
      <w:pPr>
        <w:rPr>
          <w:rFonts w:ascii="Calibri" w:hAnsi="Calibri"/>
        </w:rPr>
      </w:pPr>
    </w:p>
    <w:p w:rsidR="001F3A98" w:rsidRPr="00CF5A42" w:rsidRDefault="001F3A98" w:rsidP="001F3A98">
      <w:pPr>
        <w:rPr>
          <w:rFonts w:ascii="Calibri" w:hAnsi="Calibri"/>
          <w:b/>
        </w:rPr>
      </w:pPr>
      <w:bookmarkStart w:id="1591" w:name="_Toc425833583"/>
      <w:r w:rsidRPr="00CF5A42">
        <w:rPr>
          <w:rFonts w:ascii="Calibri" w:hAnsi="Calibri"/>
          <w:b/>
        </w:rPr>
        <w:t xml:space="preserve">4. </w:t>
      </w:r>
      <w:bookmarkEnd w:id="1591"/>
      <w:r w:rsidRPr="00CF5A42">
        <w:rPr>
          <w:rFonts w:ascii="Calibri" w:hAnsi="Calibri"/>
          <w:b/>
        </w:rPr>
        <w:t>TRANSPORT</w:t>
      </w:r>
    </w:p>
    <w:p w:rsidR="001F3A98" w:rsidRPr="00CF5A42" w:rsidRDefault="001F3A98" w:rsidP="001F3A98">
      <w:pPr>
        <w:rPr>
          <w:rFonts w:ascii="Calibri" w:hAnsi="Calibri"/>
        </w:rPr>
      </w:pPr>
      <w:r w:rsidRPr="00CF5A42">
        <w:rPr>
          <w:rFonts w:ascii="Calibri" w:hAnsi="Calibri"/>
          <w:b/>
        </w:rPr>
        <w:t>4.1.</w:t>
      </w:r>
      <w:r w:rsidRPr="00CF5A42">
        <w:rPr>
          <w:rFonts w:ascii="Calibri" w:hAnsi="Calibri"/>
        </w:rPr>
        <w:t xml:space="preserve"> Ogólne wymagania dotyczące transportu</w:t>
      </w:r>
    </w:p>
    <w:p w:rsidR="001F3A98" w:rsidRPr="00CF5A42" w:rsidRDefault="001F3A98" w:rsidP="001F3A98">
      <w:pPr>
        <w:rPr>
          <w:rFonts w:ascii="Calibri" w:hAnsi="Calibri"/>
        </w:rPr>
      </w:pPr>
      <w:r w:rsidRPr="00CF5A42">
        <w:rPr>
          <w:rFonts w:ascii="Calibri" w:hAnsi="Calibri"/>
        </w:rPr>
        <w:tab/>
        <w:t>Ogólne wymagania dotyczące transportu podano w ST D-M-00.00.00 „Wymagania ogólne” pkt 4.</w:t>
      </w:r>
    </w:p>
    <w:p w:rsidR="001F3A98" w:rsidRPr="00CF5A42" w:rsidRDefault="001F3A98" w:rsidP="001F3A98">
      <w:pPr>
        <w:rPr>
          <w:rFonts w:ascii="Calibri" w:hAnsi="Calibri"/>
        </w:rPr>
      </w:pPr>
      <w:r w:rsidRPr="00CF5A42">
        <w:rPr>
          <w:rFonts w:ascii="Calibri" w:hAnsi="Calibri"/>
          <w:b/>
        </w:rPr>
        <w:t>4.2.</w:t>
      </w:r>
      <w:r w:rsidRPr="00CF5A42">
        <w:rPr>
          <w:rFonts w:ascii="Calibri" w:hAnsi="Calibri"/>
        </w:rPr>
        <w:t xml:space="preserve"> Transport znaków do pionowego oznakowania dróg</w:t>
      </w:r>
    </w:p>
    <w:p w:rsidR="001F3A98" w:rsidRPr="00CF5A42" w:rsidRDefault="001F3A98" w:rsidP="001F3A98">
      <w:pPr>
        <w:rPr>
          <w:rFonts w:ascii="Calibri" w:hAnsi="Calibri"/>
        </w:rPr>
      </w:pPr>
      <w:bookmarkStart w:id="1592" w:name="_Toc425833584"/>
      <w:r w:rsidRPr="00CF5A42">
        <w:rPr>
          <w:rFonts w:ascii="Calibri" w:hAnsi="Calibri"/>
        </w:rPr>
        <w:t>Znaki drogowe należy na okres transportu odpowiednio zabezpieczyć, tak aby nie ulegały przemieszczaniu i w sposób nie uszkodzony dotarły do odbiorcy.</w:t>
      </w:r>
    </w:p>
    <w:p w:rsidR="001F3A98" w:rsidRPr="00CF5A42" w:rsidRDefault="001F3A98" w:rsidP="001F3A98">
      <w:pPr>
        <w:rPr>
          <w:rFonts w:ascii="Calibri" w:hAnsi="Calibri"/>
        </w:rPr>
      </w:pPr>
    </w:p>
    <w:p w:rsidR="001F3A98" w:rsidRPr="00CF5A42" w:rsidRDefault="001F3A98" w:rsidP="001F3A98">
      <w:pPr>
        <w:rPr>
          <w:rFonts w:ascii="Calibri" w:hAnsi="Calibri"/>
          <w:b/>
        </w:rPr>
      </w:pPr>
      <w:r w:rsidRPr="00CF5A42">
        <w:rPr>
          <w:rFonts w:ascii="Calibri" w:hAnsi="Calibri"/>
          <w:b/>
        </w:rPr>
        <w:t xml:space="preserve">5. </w:t>
      </w:r>
      <w:bookmarkEnd w:id="1592"/>
      <w:r w:rsidRPr="00CF5A42">
        <w:rPr>
          <w:rFonts w:ascii="Calibri" w:hAnsi="Calibri"/>
          <w:b/>
        </w:rPr>
        <w:t>WYKONANIE ROBÓT</w:t>
      </w:r>
    </w:p>
    <w:p w:rsidR="001F3A98" w:rsidRPr="00CF5A42" w:rsidRDefault="001F3A98" w:rsidP="001F3A98">
      <w:pPr>
        <w:rPr>
          <w:rFonts w:ascii="Calibri" w:hAnsi="Calibri"/>
        </w:rPr>
      </w:pPr>
      <w:r w:rsidRPr="00CF5A42">
        <w:rPr>
          <w:rFonts w:ascii="Calibri" w:hAnsi="Calibri"/>
          <w:b/>
        </w:rPr>
        <w:t>5.1.</w:t>
      </w:r>
      <w:r w:rsidRPr="00CF5A42">
        <w:rPr>
          <w:rFonts w:ascii="Calibri" w:hAnsi="Calibri"/>
        </w:rPr>
        <w:t xml:space="preserve"> Ogólne zasady wykonywania robót</w:t>
      </w:r>
    </w:p>
    <w:p w:rsidR="001F3A98" w:rsidRPr="00CF5A42" w:rsidRDefault="001F3A98" w:rsidP="001F3A98">
      <w:pPr>
        <w:rPr>
          <w:rFonts w:ascii="Calibri" w:hAnsi="Calibri"/>
        </w:rPr>
      </w:pPr>
      <w:r w:rsidRPr="00CF5A42">
        <w:rPr>
          <w:rFonts w:ascii="Calibri" w:hAnsi="Calibri"/>
        </w:rPr>
        <w:tab/>
        <w:t>Ogólne zasady wykonywania robót podano w ST D-M-00.00.00 „Wymagania ogólne” pkt 5.</w:t>
      </w:r>
    </w:p>
    <w:p w:rsidR="001F3A98" w:rsidRPr="00CF5A42" w:rsidRDefault="001F3A98" w:rsidP="001F3A98">
      <w:pPr>
        <w:rPr>
          <w:rFonts w:ascii="Calibri" w:hAnsi="Calibri"/>
        </w:rPr>
      </w:pPr>
      <w:r w:rsidRPr="00CF5A42">
        <w:rPr>
          <w:rFonts w:ascii="Calibri" w:hAnsi="Calibri"/>
          <w:b/>
        </w:rPr>
        <w:t>5.2.</w:t>
      </w:r>
      <w:r w:rsidRPr="00CF5A42">
        <w:rPr>
          <w:rFonts w:ascii="Calibri" w:hAnsi="Calibri"/>
        </w:rPr>
        <w:t xml:space="preserve"> Roboty przygotowawcze</w:t>
      </w:r>
    </w:p>
    <w:p w:rsidR="001F3A98" w:rsidRPr="00CF5A42" w:rsidRDefault="001F3A98" w:rsidP="001F3A98">
      <w:pPr>
        <w:rPr>
          <w:rFonts w:ascii="Calibri" w:hAnsi="Calibri"/>
        </w:rPr>
      </w:pPr>
      <w:r w:rsidRPr="00CF5A42">
        <w:rPr>
          <w:rFonts w:ascii="Calibri" w:hAnsi="Calibri"/>
        </w:rPr>
        <w:tab/>
        <w:t>Przed przystąpieniem do robót należy wyznaczyć:</w:t>
      </w:r>
    </w:p>
    <w:p w:rsidR="001F3A98" w:rsidRPr="00CF5A42" w:rsidRDefault="001F3A98" w:rsidP="001F3A98">
      <w:pPr>
        <w:rPr>
          <w:rFonts w:ascii="Calibri" w:hAnsi="Calibri"/>
        </w:rPr>
      </w:pPr>
      <w:r>
        <w:rPr>
          <w:rFonts w:ascii="Calibri" w:hAnsi="Calibri"/>
        </w:rPr>
        <w:t>-</w:t>
      </w:r>
      <w:r w:rsidRPr="00CF5A42">
        <w:rPr>
          <w:rFonts w:ascii="Calibri" w:hAnsi="Calibri"/>
        </w:rPr>
        <w:t>lokalizację znaku, tj. jego pikietaż oraz odległość od krawędzi jezdni, krawędzi pobocza umocnionego lub pasa awaryjnego postoju,</w:t>
      </w:r>
    </w:p>
    <w:p w:rsidR="001F3A98" w:rsidRPr="00CF5A42" w:rsidRDefault="001F3A98" w:rsidP="001F3A98">
      <w:pPr>
        <w:rPr>
          <w:rFonts w:ascii="Calibri" w:hAnsi="Calibri"/>
        </w:rPr>
      </w:pPr>
      <w:r>
        <w:rPr>
          <w:rFonts w:ascii="Calibri" w:hAnsi="Calibri"/>
        </w:rPr>
        <w:t>-</w:t>
      </w:r>
      <w:r w:rsidRPr="00CF5A42">
        <w:rPr>
          <w:rFonts w:ascii="Calibri" w:hAnsi="Calibri"/>
        </w:rPr>
        <w:t>wysokość zamocowania znaku na konstrukcji wsporczej.</w:t>
      </w:r>
    </w:p>
    <w:p w:rsidR="001F3A98" w:rsidRPr="00CF5A42" w:rsidRDefault="001F3A98" w:rsidP="001F3A98">
      <w:pPr>
        <w:rPr>
          <w:rFonts w:ascii="Calibri" w:hAnsi="Calibri"/>
        </w:rPr>
      </w:pPr>
      <w:r w:rsidRPr="00CF5A42">
        <w:rPr>
          <w:rFonts w:ascii="Calibri" w:hAnsi="Calibri"/>
        </w:rPr>
        <w:tab/>
        <w:t>Punkty stabilizujące miejsca ustawienia znaków należy zabezpieczyć w taki sposób, aby w czasie trwania i odbioru robót istniała możliwość sprawdzenia lokalizacji znaków.</w:t>
      </w:r>
    </w:p>
    <w:p w:rsidR="001F3A98" w:rsidRPr="00CF5A42" w:rsidRDefault="001F3A98" w:rsidP="001F3A98">
      <w:pPr>
        <w:rPr>
          <w:rFonts w:ascii="Calibri" w:hAnsi="Calibri"/>
        </w:rPr>
      </w:pPr>
      <w:r w:rsidRPr="00CF5A42">
        <w:rPr>
          <w:rFonts w:ascii="Calibri" w:hAnsi="Calibri"/>
        </w:rPr>
        <w:tab/>
        <w:t>Lokalizacja i wysokość zamocowania znaku powinny być zgodne z dokumentacją projektową.</w:t>
      </w:r>
    </w:p>
    <w:p w:rsidR="001F3A98" w:rsidRPr="00CF5A42" w:rsidRDefault="001F3A98" w:rsidP="001F3A98">
      <w:pPr>
        <w:rPr>
          <w:rFonts w:ascii="Calibri" w:hAnsi="Calibri"/>
        </w:rPr>
      </w:pPr>
      <w:r w:rsidRPr="00CF5A42">
        <w:rPr>
          <w:rFonts w:ascii="Calibri" w:hAnsi="Calibri"/>
        </w:rPr>
        <w:lastRenderedPageBreak/>
        <w:tab/>
        <w:t>Miejsce wykonywania prac należy oznakować, w celu zabezpieczenia pracowników i kierujących pojazdami na drodze.</w:t>
      </w:r>
    </w:p>
    <w:p w:rsidR="001F3A98" w:rsidRPr="00CF5A42" w:rsidRDefault="001F3A98" w:rsidP="001F3A98">
      <w:pPr>
        <w:rPr>
          <w:rFonts w:ascii="Calibri" w:hAnsi="Calibri"/>
        </w:rPr>
      </w:pPr>
      <w:r w:rsidRPr="00CF5A42">
        <w:rPr>
          <w:rFonts w:ascii="Calibri" w:hAnsi="Calibri"/>
          <w:b/>
        </w:rPr>
        <w:t>5.3.</w:t>
      </w:r>
      <w:r w:rsidRPr="00CF5A42">
        <w:rPr>
          <w:rFonts w:ascii="Calibri" w:hAnsi="Calibri"/>
        </w:rPr>
        <w:t xml:space="preserve"> Wykonanie wykopów i fundamentów dla konstrukcji wsporczych znaków</w:t>
      </w:r>
    </w:p>
    <w:p w:rsidR="001F3A98" w:rsidRPr="00CF5A42" w:rsidRDefault="001F3A98" w:rsidP="001F3A98">
      <w:pPr>
        <w:rPr>
          <w:rFonts w:ascii="Calibri" w:hAnsi="Calibri"/>
        </w:rPr>
      </w:pPr>
      <w:r w:rsidRPr="00CF5A42">
        <w:rPr>
          <w:rFonts w:ascii="Calibri" w:hAnsi="Calibri"/>
        </w:rPr>
        <w:tab/>
        <w:t>Sposób wykonania wykopu pod fundament znaku pionowego powinien być dostosowany do głębokości wykopu, rodzaju gruntu i posiadanego sprzętu. Wymiary wykopu powinny być zgodne z dokumentacją projektową lub wskazaniami Inżyniera.</w:t>
      </w:r>
    </w:p>
    <w:p w:rsidR="001F3A98" w:rsidRPr="00CF5A42" w:rsidRDefault="001F3A98" w:rsidP="001F3A98">
      <w:pPr>
        <w:rPr>
          <w:rFonts w:ascii="Calibri" w:hAnsi="Calibri"/>
        </w:rPr>
      </w:pPr>
      <w:r w:rsidRPr="00CF5A42">
        <w:rPr>
          <w:rFonts w:ascii="Calibri" w:hAnsi="Calibri"/>
        </w:rPr>
        <w:tab/>
        <w:t>Wykopy fundamentowe powinny być wykonane w takim okresie, aby po ich zakończeniu można było przystąpić natychmiast do wykonania w nich robót fundamentowych.</w:t>
      </w:r>
    </w:p>
    <w:p w:rsidR="001F3A98" w:rsidRPr="00CF5A42" w:rsidRDefault="001F3A98" w:rsidP="001F3A98">
      <w:pPr>
        <w:rPr>
          <w:rFonts w:ascii="Calibri" w:hAnsi="Calibri"/>
        </w:rPr>
      </w:pPr>
      <w:r w:rsidRPr="00CF5A42">
        <w:rPr>
          <w:rFonts w:ascii="Calibri" w:hAnsi="Calibri"/>
          <w:b/>
        </w:rPr>
        <w:t>5.3.1.</w:t>
      </w:r>
      <w:r w:rsidRPr="00CF5A42">
        <w:rPr>
          <w:rFonts w:ascii="Calibri" w:hAnsi="Calibri"/>
        </w:rPr>
        <w:t xml:space="preserve"> Prefabrykaty betonowe</w:t>
      </w:r>
    </w:p>
    <w:p w:rsidR="001F3A98" w:rsidRPr="00CF5A42" w:rsidRDefault="001F3A98" w:rsidP="001F3A98">
      <w:pPr>
        <w:rPr>
          <w:rFonts w:ascii="Calibri" w:hAnsi="Calibri"/>
        </w:rPr>
      </w:pPr>
      <w:r w:rsidRPr="00CF5A42">
        <w:rPr>
          <w:rFonts w:ascii="Calibri" w:hAnsi="Calibri"/>
        </w:rPr>
        <w:tab/>
        <w:t>Dno wykopu przed ułożeniem prefabrykatu należy wyrównać i zagęścić. Wolne przestrzenie między ścianami gruntu i prefabrykatem należy wypełnić materiałem kamiennym, np. klińcem i dokładnie zagęścić ubijakami ręcznymi.</w:t>
      </w:r>
    </w:p>
    <w:p w:rsidR="001F3A98" w:rsidRPr="00CF5A42" w:rsidRDefault="001F3A98" w:rsidP="001F3A98">
      <w:pPr>
        <w:rPr>
          <w:rFonts w:ascii="Calibri" w:hAnsi="Calibri"/>
        </w:rPr>
      </w:pPr>
      <w:r w:rsidRPr="00CF5A42">
        <w:rPr>
          <w:rFonts w:ascii="Calibri" w:hAnsi="Calibri"/>
        </w:rPr>
        <w:tab/>
        <w:t xml:space="preserve">Jeżeli znak jest zlokalizowany na poboczu drogi, to górna powierzchnia prefabrykatu powinna być równa z powierzchnią pobocza lub być wyniesiona nad tę powierzchnię nie więcej niż </w:t>
      </w:r>
      <w:smartTag w:uri="urn:schemas-microsoft-com:office:smarttags" w:element="metricconverter">
        <w:smartTagPr>
          <w:attr w:name="ProductID" w:val="0,03 m"/>
        </w:smartTagPr>
        <w:r w:rsidRPr="00CF5A42">
          <w:rPr>
            <w:rFonts w:ascii="Calibri" w:hAnsi="Calibri"/>
          </w:rPr>
          <w:t>0,03 m</w:t>
        </w:r>
      </w:smartTag>
      <w:r w:rsidRPr="00CF5A42">
        <w:rPr>
          <w:rFonts w:ascii="Calibri" w:hAnsi="Calibri"/>
        </w:rPr>
        <w:t>.</w:t>
      </w:r>
    </w:p>
    <w:p w:rsidR="001F3A98" w:rsidRPr="00CF5A42" w:rsidRDefault="001F3A98" w:rsidP="001F3A98">
      <w:pPr>
        <w:rPr>
          <w:rFonts w:ascii="Calibri" w:hAnsi="Calibri"/>
        </w:rPr>
      </w:pPr>
      <w:r w:rsidRPr="00CF5A42">
        <w:rPr>
          <w:rFonts w:ascii="Calibri" w:hAnsi="Calibri"/>
          <w:b/>
        </w:rPr>
        <w:t>5.3.2.</w:t>
      </w:r>
      <w:r w:rsidRPr="00CF5A42">
        <w:rPr>
          <w:rFonts w:ascii="Calibri" w:hAnsi="Calibri"/>
        </w:rPr>
        <w:t xml:space="preserve"> Fundamenty z betonu i betonu zbrojonego</w:t>
      </w:r>
    </w:p>
    <w:p w:rsidR="001F3A98" w:rsidRPr="00CF5A42" w:rsidRDefault="001F3A98" w:rsidP="001F3A98">
      <w:pPr>
        <w:rPr>
          <w:rFonts w:ascii="Calibri" w:hAnsi="Calibri"/>
        </w:rPr>
      </w:pPr>
      <w:r w:rsidRPr="00CF5A42">
        <w:rPr>
          <w:rFonts w:ascii="Calibri" w:hAnsi="Calibri"/>
        </w:rPr>
        <w:tab/>
        <w:t>Wykopy pod fundamenty konstrukcji wsporczych dla zamocowania znaków wielkowymiarowych (znak kierunku i miejscowości), wykonywane z betonu „na mokro” lub z betonu zbrojonego należy wykonać zgodnie z PN-S-02205:1998.</w:t>
      </w:r>
    </w:p>
    <w:p w:rsidR="001F3A98" w:rsidRPr="00CF5A42" w:rsidRDefault="001F3A98" w:rsidP="001F3A98">
      <w:pPr>
        <w:rPr>
          <w:rFonts w:ascii="Calibri" w:hAnsi="Calibri"/>
        </w:rPr>
      </w:pPr>
      <w:r w:rsidRPr="00CF5A42">
        <w:rPr>
          <w:rFonts w:ascii="Calibri" w:hAnsi="Calibri"/>
        </w:rPr>
        <w:tab/>
        <w:t xml:space="preserve">Posadowienie fundamentów w wykopach otwartych bądź rozpartych należy wykonywać zgodnie z dokumentacją projektową lub wskazaniami Inżyniera. Wykopy należy zabezpieczyć przed napływem wód opadowych przez wyprofilowanie terenu ze spadkiem umożliwiającym łatwy odpływ wody poza teren przylegający do wykopu. Dno wykopu powinno być wyrównane z dokładnością </w:t>
      </w:r>
      <w:r w:rsidRPr="00CF5A42">
        <w:rPr>
          <w:rFonts w:ascii="Calibri" w:hAnsi="Calibri"/>
        </w:rPr>
        <w:sym w:font="Symbol" w:char="F0B1"/>
      </w:r>
      <w:r w:rsidRPr="00CF5A42">
        <w:rPr>
          <w:rFonts w:ascii="Calibri" w:hAnsi="Calibri"/>
        </w:rPr>
        <w:t xml:space="preserve"> </w:t>
      </w:r>
      <w:smartTag w:uri="urn:schemas-microsoft-com:office:smarttags" w:element="metricconverter">
        <w:smartTagPr>
          <w:attr w:name="ProductID" w:val="2 cm"/>
        </w:smartTagPr>
        <w:r w:rsidRPr="00CF5A42">
          <w:rPr>
            <w:rFonts w:ascii="Calibri" w:hAnsi="Calibri"/>
          </w:rPr>
          <w:t>2 cm</w:t>
        </w:r>
      </w:smartTag>
      <w:r w:rsidRPr="00CF5A42">
        <w:rPr>
          <w:rFonts w:ascii="Calibri" w:hAnsi="Calibri"/>
        </w:rPr>
        <w:t>.</w:t>
      </w:r>
    </w:p>
    <w:p w:rsidR="001F3A98" w:rsidRPr="00CF5A42" w:rsidRDefault="001F3A98" w:rsidP="001F3A98">
      <w:pPr>
        <w:rPr>
          <w:rFonts w:ascii="Calibri" w:hAnsi="Calibri"/>
        </w:rPr>
      </w:pPr>
      <w:r w:rsidRPr="00CF5A42">
        <w:rPr>
          <w:rFonts w:ascii="Calibri" w:hAnsi="Calibri"/>
        </w:rPr>
        <w:tab/>
        <w:t xml:space="preserve">Przy naruszonej strukturze gruntu rodzimego, grunt należy usunąć i miejsce wypełnić do spodu fundamentu betonem. Płaszczyzny boczne fundamentów stykające się z gruntem należy zabezpieczyć izolacją, np. emulsją asfaltową. Po wykonaniu fundamentu wykop należy zasypać warstwami grubości </w:t>
      </w:r>
      <w:smartTag w:uri="urn:schemas-microsoft-com:office:smarttags" w:element="metricconverter">
        <w:smartTagPr>
          <w:attr w:name="ProductID" w:val="20 cm"/>
        </w:smartTagPr>
        <w:r w:rsidRPr="00CF5A42">
          <w:rPr>
            <w:rFonts w:ascii="Calibri" w:hAnsi="Calibri"/>
          </w:rPr>
          <w:t>20 cm</w:t>
        </w:r>
      </w:smartTag>
      <w:r w:rsidRPr="00CF5A42">
        <w:rPr>
          <w:rFonts w:ascii="Calibri" w:hAnsi="Calibri"/>
        </w:rPr>
        <w:t xml:space="preserve"> z dokładnym zagęszczeniem gruntu.</w:t>
      </w:r>
    </w:p>
    <w:p w:rsidR="001F3A98" w:rsidRPr="00CF5A42" w:rsidRDefault="001F3A98" w:rsidP="001F3A98">
      <w:pPr>
        <w:rPr>
          <w:rFonts w:ascii="Calibri" w:hAnsi="Calibri"/>
        </w:rPr>
      </w:pPr>
      <w:r w:rsidRPr="00CF5A42">
        <w:rPr>
          <w:rFonts w:ascii="Calibri" w:hAnsi="Calibri"/>
          <w:b/>
        </w:rPr>
        <w:t>5.4.</w:t>
      </w:r>
      <w:r w:rsidRPr="00CF5A42">
        <w:rPr>
          <w:rFonts w:ascii="Calibri" w:hAnsi="Calibri"/>
        </w:rPr>
        <w:t xml:space="preserve"> Tolerancje ustawienia znaku pionowego</w:t>
      </w:r>
    </w:p>
    <w:p w:rsidR="001F3A98" w:rsidRPr="00CF5A42" w:rsidRDefault="001F3A98" w:rsidP="001F3A98">
      <w:pPr>
        <w:rPr>
          <w:rFonts w:ascii="Calibri" w:hAnsi="Calibri"/>
        </w:rPr>
      </w:pPr>
      <w:r w:rsidRPr="00CF5A42">
        <w:rPr>
          <w:rFonts w:ascii="Calibri" w:hAnsi="Calibri"/>
        </w:rPr>
        <w:tab/>
        <w:t>Konstrukcje wsporcze znaków - słupki, słupy, wysięgniki, konstrukcje dla tablic wielkowymiarowych, powinny być wykonane zgodnie z dokumentacją.</w:t>
      </w:r>
    </w:p>
    <w:p w:rsidR="001F3A98" w:rsidRPr="00CF5A42" w:rsidRDefault="001F3A98" w:rsidP="001F3A98">
      <w:pPr>
        <w:rPr>
          <w:rFonts w:ascii="Calibri" w:hAnsi="Calibri"/>
        </w:rPr>
      </w:pPr>
      <w:r w:rsidRPr="00CF5A42">
        <w:rPr>
          <w:rFonts w:ascii="Calibri" w:hAnsi="Calibri"/>
        </w:rPr>
        <w:tab/>
        <w:t>Dopuszczalne tolerancje ustawienia znaku:</w:t>
      </w:r>
    </w:p>
    <w:p w:rsidR="001F3A98" w:rsidRPr="00CF5A42" w:rsidRDefault="001F3A98" w:rsidP="001F3A98">
      <w:pPr>
        <w:rPr>
          <w:rFonts w:ascii="Calibri" w:hAnsi="Calibri"/>
        </w:rPr>
      </w:pPr>
      <w:r>
        <w:rPr>
          <w:rFonts w:ascii="Calibri" w:hAnsi="Calibri"/>
        </w:rPr>
        <w:t>-</w:t>
      </w:r>
      <w:r w:rsidRPr="00CF5A42">
        <w:rPr>
          <w:rFonts w:ascii="Calibri" w:hAnsi="Calibri"/>
        </w:rPr>
        <w:t xml:space="preserve">odchyłka od pionu, nie więcej niż </w:t>
      </w:r>
      <w:r w:rsidRPr="00CF5A42">
        <w:rPr>
          <w:rFonts w:ascii="Calibri" w:hAnsi="Calibri"/>
        </w:rPr>
        <w:sym w:font="Symbol" w:char="F0B1"/>
      </w:r>
      <w:r w:rsidRPr="00CF5A42">
        <w:rPr>
          <w:rFonts w:ascii="Calibri" w:hAnsi="Calibri"/>
        </w:rPr>
        <w:t xml:space="preserve"> 1 %,</w:t>
      </w:r>
    </w:p>
    <w:p w:rsidR="001F3A98" w:rsidRPr="00CF5A42" w:rsidRDefault="001F3A98" w:rsidP="001F3A98">
      <w:pPr>
        <w:rPr>
          <w:rFonts w:ascii="Calibri" w:hAnsi="Calibri"/>
        </w:rPr>
      </w:pPr>
      <w:r>
        <w:rPr>
          <w:rFonts w:ascii="Calibri" w:hAnsi="Calibri"/>
        </w:rPr>
        <w:t>-</w:t>
      </w:r>
      <w:r w:rsidRPr="00CF5A42">
        <w:rPr>
          <w:rFonts w:ascii="Calibri" w:hAnsi="Calibri"/>
        </w:rPr>
        <w:t xml:space="preserve">odchyłka w wysokości umieszczenia znaku, nie więcej niż </w:t>
      </w:r>
      <w:r w:rsidRPr="00CF5A42">
        <w:rPr>
          <w:rFonts w:ascii="Calibri" w:hAnsi="Calibri"/>
        </w:rPr>
        <w:sym w:font="Symbol" w:char="F0B1"/>
      </w:r>
      <w:r w:rsidRPr="00CF5A42">
        <w:rPr>
          <w:rFonts w:ascii="Calibri" w:hAnsi="Calibri"/>
        </w:rPr>
        <w:t xml:space="preserve"> </w:t>
      </w:r>
      <w:smartTag w:uri="urn:schemas-microsoft-com:office:smarttags" w:element="metricconverter">
        <w:smartTagPr>
          <w:attr w:name="ProductID" w:val="2 cm"/>
        </w:smartTagPr>
        <w:r w:rsidRPr="00CF5A42">
          <w:rPr>
            <w:rFonts w:ascii="Calibri" w:hAnsi="Calibri"/>
          </w:rPr>
          <w:t>2 cm</w:t>
        </w:r>
      </w:smartTag>
      <w:r w:rsidRPr="00CF5A42">
        <w:rPr>
          <w:rFonts w:ascii="Calibri" w:hAnsi="Calibri"/>
        </w:rPr>
        <w:t>,</w:t>
      </w:r>
    </w:p>
    <w:p w:rsidR="001F3A98" w:rsidRPr="00CF5A42" w:rsidRDefault="001F3A98" w:rsidP="001F3A98">
      <w:pPr>
        <w:rPr>
          <w:rFonts w:ascii="Calibri" w:hAnsi="Calibri"/>
        </w:rPr>
      </w:pPr>
      <w:r>
        <w:rPr>
          <w:rFonts w:ascii="Calibri" w:hAnsi="Calibri"/>
        </w:rPr>
        <w:t>-</w:t>
      </w:r>
      <w:r w:rsidRPr="00CF5A42">
        <w:rPr>
          <w:rFonts w:ascii="Calibri" w:hAnsi="Calibri"/>
        </w:rPr>
        <w:t xml:space="preserve">odchyłka w odległości ustawienia znaku od krawędzi jezdni utwardzonego pobocza lub pasa awaryjnego postoju, nie więcej niż </w:t>
      </w:r>
      <w:r w:rsidRPr="00CF5A42">
        <w:rPr>
          <w:rFonts w:ascii="Calibri" w:hAnsi="Calibri"/>
        </w:rPr>
        <w:sym w:font="Symbol" w:char="F0B1"/>
      </w:r>
      <w:r w:rsidRPr="00CF5A42">
        <w:rPr>
          <w:rFonts w:ascii="Calibri" w:hAnsi="Calibri"/>
        </w:rPr>
        <w:t xml:space="preserve"> </w:t>
      </w:r>
      <w:smartTag w:uri="urn:schemas-microsoft-com:office:smarttags" w:element="metricconverter">
        <w:smartTagPr>
          <w:attr w:name="ProductID" w:val="5 cm"/>
        </w:smartTagPr>
        <w:r w:rsidRPr="00CF5A42">
          <w:rPr>
            <w:rFonts w:ascii="Calibri" w:hAnsi="Calibri"/>
          </w:rPr>
          <w:t>5 cm</w:t>
        </w:r>
      </w:smartTag>
      <w:r w:rsidRPr="00CF5A42">
        <w:rPr>
          <w:rFonts w:ascii="Calibri" w:hAnsi="Calibri"/>
        </w:rPr>
        <w:t>, przy zachowaniu minimalnej odległości umieszczenia znaku zgodnie z załącznikiem nr 1 do rozporządzenia Ministra Infrastruktury z dnia 3 lipca 2003r. w sprawie szczegółowych warunków technicznych dla znaków i sygnałów drogowych oraz urządzeń bezpieczeństwa ruchu drogowego i warunków ich umieszczania na drogach.</w:t>
      </w:r>
    </w:p>
    <w:p w:rsidR="001F3A98" w:rsidRPr="00CF5A42" w:rsidRDefault="001F3A98" w:rsidP="001F3A98">
      <w:pPr>
        <w:rPr>
          <w:rFonts w:ascii="Calibri" w:hAnsi="Calibri"/>
        </w:rPr>
      </w:pPr>
      <w:r w:rsidRPr="00CF5A42">
        <w:rPr>
          <w:rFonts w:ascii="Calibri" w:hAnsi="Calibri"/>
          <w:b/>
        </w:rPr>
        <w:t>5.5.</w:t>
      </w:r>
      <w:r w:rsidRPr="00CF5A42">
        <w:rPr>
          <w:rFonts w:ascii="Calibri" w:hAnsi="Calibri"/>
        </w:rPr>
        <w:t xml:space="preserve"> Konstrukcje wsporcze</w:t>
      </w:r>
    </w:p>
    <w:p w:rsidR="001F3A98" w:rsidRPr="00CF5A42" w:rsidRDefault="001F3A98" w:rsidP="001F3A98">
      <w:pPr>
        <w:rPr>
          <w:rFonts w:ascii="Calibri" w:hAnsi="Calibri"/>
        </w:rPr>
      </w:pPr>
      <w:r w:rsidRPr="00CF5A42">
        <w:rPr>
          <w:rFonts w:ascii="Calibri" w:hAnsi="Calibri"/>
          <w:b/>
        </w:rPr>
        <w:t>5.5.1.</w:t>
      </w:r>
      <w:r w:rsidRPr="00CF5A42">
        <w:rPr>
          <w:rFonts w:ascii="Calibri" w:hAnsi="Calibri"/>
        </w:rPr>
        <w:t xml:space="preserve"> Łatwo zrywalne złącza konstrukcji wsporczej</w:t>
      </w:r>
    </w:p>
    <w:p w:rsidR="001F3A98" w:rsidRPr="00CF5A42" w:rsidRDefault="001F3A98" w:rsidP="001F3A98">
      <w:pPr>
        <w:rPr>
          <w:rFonts w:ascii="Calibri" w:hAnsi="Calibri"/>
        </w:rPr>
      </w:pPr>
      <w:r w:rsidRPr="00CF5A42">
        <w:rPr>
          <w:rFonts w:ascii="Calibri" w:hAnsi="Calibri"/>
        </w:rPr>
        <w:tab/>
        <w:t xml:space="preserve">W przypadku konstrukcji wsporczych, nie osłoniętych barierami ochronnymi - zaleca się stosowanie łatwo zrywalnych lub łatwo rozłączalnych przekrojów, złączy lub przegubów o odpowiednio bezpiecznej konstrukcji, umieszczonych na wysokości od 0,15 do </w:t>
      </w:r>
      <w:smartTag w:uri="urn:schemas-microsoft-com:office:smarttags" w:element="metricconverter">
        <w:smartTagPr>
          <w:attr w:name="ProductID" w:val="0,20 m"/>
        </w:smartTagPr>
        <w:r w:rsidRPr="00CF5A42">
          <w:rPr>
            <w:rFonts w:ascii="Calibri" w:hAnsi="Calibri"/>
          </w:rPr>
          <w:t>0,20 m</w:t>
        </w:r>
      </w:smartTag>
      <w:r w:rsidRPr="00CF5A42">
        <w:rPr>
          <w:rFonts w:ascii="Calibri" w:hAnsi="Calibri"/>
        </w:rPr>
        <w:t xml:space="preserve"> nad powierzchnią terenu.</w:t>
      </w:r>
    </w:p>
    <w:p w:rsidR="001F3A98" w:rsidRPr="00CF5A42" w:rsidRDefault="001F3A98" w:rsidP="001F3A98">
      <w:pPr>
        <w:rPr>
          <w:rFonts w:ascii="Calibri" w:hAnsi="Calibri"/>
        </w:rPr>
      </w:pPr>
      <w:r w:rsidRPr="00CF5A42">
        <w:rPr>
          <w:rFonts w:ascii="Calibri" w:hAnsi="Calibri"/>
        </w:rPr>
        <w:tab/>
        <w:t>W szczególności - zaleca się stosowanie takich przekrojów, złączy lub przegubów w konstrukcjach wsporczych nie osłoniętych barierami ochronnymi, które znajdują się na obszarach zwiększonego zagrożenia kolizyjnego.</w:t>
      </w:r>
    </w:p>
    <w:p w:rsidR="001F3A98" w:rsidRPr="00CF5A42" w:rsidRDefault="001F3A98" w:rsidP="001F3A98">
      <w:pPr>
        <w:ind w:firstLine="709"/>
        <w:rPr>
          <w:rFonts w:ascii="Calibri" w:hAnsi="Calibri"/>
        </w:rPr>
      </w:pPr>
      <w:r w:rsidRPr="00CF5A42">
        <w:rPr>
          <w:rFonts w:ascii="Calibri" w:hAnsi="Calibri"/>
        </w:rPr>
        <w:t xml:space="preserve">Łatwo zrywalne lub łatwo rozłączalne złącza, przekroje lub przeguby powinny być tak skonstruowane i umieszczone, by znak wraz z konstrukcją wsporczą po zerwaniu nie przewracał się na jezdnię. Wysokość części konstrukcji wsporczej, pozostałej po odłączeniu górnej jej części od fundamentu, nie może być większa od </w:t>
      </w:r>
      <w:smartTag w:uri="urn:schemas-microsoft-com:office:smarttags" w:element="metricconverter">
        <w:smartTagPr>
          <w:attr w:name="ProductID" w:val="0,25 m"/>
        </w:smartTagPr>
        <w:r w:rsidRPr="00CF5A42">
          <w:rPr>
            <w:rFonts w:ascii="Calibri" w:hAnsi="Calibri"/>
          </w:rPr>
          <w:t>0,25 m</w:t>
        </w:r>
      </w:smartTag>
      <w:r w:rsidRPr="00CF5A42">
        <w:rPr>
          <w:rFonts w:ascii="Calibri" w:hAnsi="Calibri"/>
        </w:rPr>
        <w:t>.</w:t>
      </w:r>
    </w:p>
    <w:p w:rsidR="001F3A98" w:rsidRPr="00CF5A42" w:rsidRDefault="001F3A98" w:rsidP="001F3A98">
      <w:pPr>
        <w:rPr>
          <w:rFonts w:ascii="Calibri" w:hAnsi="Calibri"/>
        </w:rPr>
      </w:pPr>
      <w:r w:rsidRPr="00CF5A42">
        <w:rPr>
          <w:rFonts w:ascii="Calibri" w:hAnsi="Calibri"/>
          <w:b/>
        </w:rPr>
        <w:t>5.5.2.</w:t>
      </w:r>
      <w:r w:rsidRPr="00CF5A42">
        <w:rPr>
          <w:rFonts w:ascii="Calibri" w:hAnsi="Calibri"/>
        </w:rPr>
        <w:t xml:space="preserve">  Zapobieganie   zagrożeniu   użytkowników   drogi   i   terenu   przyległego   -   przez konstrukcję wsporczą</w:t>
      </w:r>
    </w:p>
    <w:p w:rsidR="001F3A98" w:rsidRPr="00CF5A42" w:rsidRDefault="001F3A98" w:rsidP="001F3A98">
      <w:pPr>
        <w:rPr>
          <w:rFonts w:ascii="Calibri" w:hAnsi="Calibri"/>
        </w:rPr>
      </w:pPr>
      <w:r w:rsidRPr="00CF5A42">
        <w:rPr>
          <w:rFonts w:ascii="Calibri" w:hAnsi="Calibri"/>
        </w:rPr>
        <w:tab/>
        <w:t>Konstrukcja wsporcza znaku musi być wykonana w sposób ograniczający zagrożenie użytkowników pojazdów samochodowych oraz innych użytkowników drogi i terenu do niej przyległego przy najechaniu przez pojazd na znak. Konstrukcja wsporcza znaku musi zapewnić możliwość łatwej naprawy po najechaniu przez pojazdy lub innego rodzaju uszkodzenia znaku.</w:t>
      </w:r>
    </w:p>
    <w:p w:rsidR="001F3A98" w:rsidRPr="00CF5A42" w:rsidRDefault="001F3A98" w:rsidP="001F3A98">
      <w:pPr>
        <w:rPr>
          <w:rFonts w:ascii="Calibri" w:hAnsi="Calibri"/>
        </w:rPr>
      </w:pPr>
      <w:r w:rsidRPr="00CF5A42">
        <w:rPr>
          <w:rFonts w:ascii="Calibri" w:hAnsi="Calibri"/>
          <w:b/>
        </w:rPr>
        <w:t>5.5.3.</w:t>
      </w:r>
      <w:r w:rsidRPr="00CF5A42">
        <w:rPr>
          <w:rFonts w:ascii="Calibri" w:hAnsi="Calibri"/>
        </w:rPr>
        <w:t xml:space="preserve"> Tablicowe znaki drogowe na dwóch słupach lub podporach</w:t>
      </w:r>
    </w:p>
    <w:p w:rsidR="001F3A98" w:rsidRPr="00CF5A42" w:rsidRDefault="001F3A98" w:rsidP="001F3A98">
      <w:pPr>
        <w:rPr>
          <w:rFonts w:ascii="Calibri" w:hAnsi="Calibri"/>
        </w:rPr>
      </w:pPr>
      <w:r w:rsidRPr="00CF5A42">
        <w:rPr>
          <w:rFonts w:ascii="Calibri" w:hAnsi="Calibri"/>
        </w:rPr>
        <w:tab/>
        <w:t xml:space="preserve">Przy stosowaniu tablicowych znaków drogowych (drogowskazów tablicowych, tablic przeddrogowskazowych, tablic szlaku drogowego itp.) umieszczanych na dwóch słupach lub podporach - odległość między tymi słupami lub podporami, mierzona prostopadle do przewidywanego kierunku </w:t>
      </w:r>
      <w:r w:rsidRPr="00CF5A42">
        <w:rPr>
          <w:rFonts w:ascii="Calibri" w:hAnsi="Calibri"/>
        </w:rPr>
        <w:lastRenderedPageBreak/>
        <w:t xml:space="preserve">najechania przez pojazd, nie może być mniejsza od </w:t>
      </w:r>
      <w:smartTag w:uri="urn:schemas-microsoft-com:office:smarttags" w:element="metricconverter">
        <w:smartTagPr>
          <w:attr w:name="ProductID" w:val="1,75 m"/>
        </w:smartTagPr>
        <w:r w:rsidRPr="00CF5A42">
          <w:rPr>
            <w:rFonts w:ascii="Calibri" w:hAnsi="Calibri"/>
          </w:rPr>
          <w:t>1,75 m</w:t>
        </w:r>
      </w:smartTag>
      <w:r w:rsidRPr="00CF5A42">
        <w:rPr>
          <w:rFonts w:ascii="Calibri" w:hAnsi="Calibri"/>
        </w:rPr>
        <w:t>. Przy stosowaniu większej liczby słupów niż dwa - odległość między nimi może być mniejsza.</w:t>
      </w:r>
    </w:p>
    <w:p w:rsidR="001F3A98" w:rsidRPr="00CF5A42" w:rsidRDefault="001F3A98" w:rsidP="001F3A98">
      <w:pPr>
        <w:rPr>
          <w:rFonts w:ascii="Calibri" w:hAnsi="Calibri"/>
        </w:rPr>
      </w:pPr>
      <w:r w:rsidRPr="00CF5A42">
        <w:rPr>
          <w:rFonts w:ascii="Calibri" w:hAnsi="Calibri"/>
          <w:b/>
        </w:rPr>
        <w:t>5.5.4.</w:t>
      </w:r>
      <w:r w:rsidRPr="00CF5A42">
        <w:rPr>
          <w:rFonts w:ascii="Calibri" w:hAnsi="Calibri"/>
        </w:rPr>
        <w:t xml:space="preserve"> Poziom górnej powierzchni fundamentu</w:t>
      </w:r>
    </w:p>
    <w:p w:rsidR="001F3A98" w:rsidRPr="00CF5A42" w:rsidRDefault="001F3A98" w:rsidP="001F3A98">
      <w:pPr>
        <w:rPr>
          <w:rFonts w:ascii="Calibri" w:hAnsi="Calibri"/>
        </w:rPr>
      </w:pPr>
      <w:r w:rsidRPr="00CF5A42">
        <w:rPr>
          <w:rFonts w:ascii="Calibri" w:hAnsi="Calibri"/>
        </w:rPr>
        <w:tab/>
        <w:t xml:space="preserve">Przy zamocowaniu konstrukcji wsporczej znaku w fundamencie betonowym lub innym podobnym - pożądane jest, by górna część fundamentu pokrywała się z powierzchnią pobocza, pasa dzielącego itp. lub była nad tę powierzchnię wyniesiona nie więcej niż  </w:t>
      </w:r>
      <w:smartTag w:uri="urn:schemas-microsoft-com:office:smarttags" w:element="metricconverter">
        <w:smartTagPr>
          <w:attr w:name="ProductID" w:val="0,03 m"/>
        </w:smartTagPr>
        <w:r w:rsidRPr="00CF5A42">
          <w:rPr>
            <w:rFonts w:ascii="Calibri" w:hAnsi="Calibri"/>
          </w:rPr>
          <w:t>0,03 m</w:t>
        </w:r>
      </w:smartTag>
      <w:r w:rsidRPr="00CF5A42">
        <w:rPr>
          <w:rFonts w:ascii="Calibri" w:hAnsi="Calibri"/>
        </w:rPr>
        <w:t xml:space="preserve">. W przypadku konstrukcji wsporczych, znajdujących się poza koroną drogi, górna część fundamentu powinna być wyniesiona nad powierzchnię terenu nie więcej niż </w:t>
      </w:r>
      <w:smartTag w:uri="urn:schemas-microsoft-com:office:smarttags" w:element="metricconverter">
        <w:smartTagPr>
          <w:attr w:name="ProductID" w:val="0,15 m"/>
        </w:smartTagPr>
        <w:r w:rsidRPr="00CF5A42">
          <w:rPr>
            <w:rFonts w:ascii="Calibri" w:hAnsi="Calibri"/>
          </w:rPr>
          <w:t>0,15 m</w:t>
        </w:r>
      </w:smartTag>
      <w:r w:rsidRPr="00CF5A42">
        <w:rPr>
          <w:rFonts w:ascii="Calibri" w:hAnsi="Calibri"/>
        </w:rPr>
        <w:t>.</w:t>
      </w:r>
    </w:p>
    <w:p w:rsidR="001F3A98" w:rsidRPr="00CF5A42" w:rsidRDefault="001F3A98" w:rsidP="001F3A98">
      <w:pPr>
        <w:rPr>
          <w:rFonts w:ascii="Calibri" w:hAnsi="Calibri"/>
        </w:rPr>
      </w:pPr>
      <w:r w:rsidRPr="00CF5A42">
        <w:rPr>
          <w:rFonts w:ascii="Calibri" w:hAnsi="Calibri"/>
          <w:b/>
        </w:rPr>
        <w:t>5.5.5.</w:t>
      </w:r>
      <w:r w:rsidRPr="00CF5A42">
        <w:rPr>
          <w:rFonts w:ascii="Calibri" w:hAnsi="Calibri"/>
        </w:rPr>
        <w:t xml:space="preserve"> Barwa konstrukcji wsporczej</w:t>
      </w:r>
    </w:p>
    <w:p w:rsidR="001F3A98" w:rsidRPr="00CF5A42" w:rsidRDefault="001F3A98" w:rsidP="001F3A98">
      <w:pPr>
        <w:rPr>
          <w:rFonts w:ascii="Calibri" w:hAnsi="Calibri"/>
        </w:rPr>
      </w:pPr>
      <w:r w:rsidRPr="00CF5A42">
        <w:rPr>
          <w:rFonts w:ascii="Calibri" w:hAnsi="Calibri"/>
        </w:rPr>
        <w:tab/>
        <w:t>Konstrukcje wsporcze znaków drogowych pionowych muszą mieć barwę szarą neutralną z tym, że dopuszcza się barwę naturalną pokryć cynkowanych. Zabrania się stosowania pokryć konstrukcji wsporczych o jaskrawej barwie - z wyjątkiem przypadków, gdy jest to wymagane odrębnymi przepisami, wytycznymi lub warunkami technicznymi.</w:t>
      </w:r>
    </w:p>
    <w:p w:rsidR="001F3A98" w:rsidRPr="00CF5A42" w:rsidRDefault="001F3A98" w:rsidP="001F3A98">
      <w:pPr>
        <w:rPr>
          <w:rFonts w:ascii="Calibri" w:hAnsi="Calibri"/>
        </w:rPr>
      </w:pPr>
      <w:r w:rsidRPr="00CF5A42">
        <w:rPr>
          <w:rFonts w:ascii="Calibri" w:hAnsi="Calibri"/>
          <w:b/>
        </w:rPr>
        <w:t>5.6.</w:t>
      </w:r>
      <w:r w:rsidRPr="00CF5A42">
        <w:rPr>
          <w:rFonts w:ascii="Calibri" w:hAnsi="Calibri"/>
        </w:rPr>
        <w:t xml:space="preserve"> Połączenie tarczy znaku z konstrukcją wsporczą</w:t>
      </w:r>
    </w:p>
    <w:p w:rsidR="001F3A98" w:rsidRPr="00CF5A42" w:rsidRDefault="001F3A98" w:rsidP="001F3A98">
      <w:pPr>
        <w:rPr>
          <w:rFonts w:ascii="Calibri" w:hAnsi="Calibri"/>
        </w:rPr>
      </w:pPr>
      <w:r w:rsidRPr="00CF5A42">
        <w:rPr>
          <w:rFonts w:ascii="Calibri" w:hAnsi="Calibri"/>
        </w:rPr>
        <w:tab/>
        <w:t>Tarcza znaku musi być zamocowana do konstrukcji wsporczej w sposób uniemożliwiający jej przesunięcie lub obrót.</w:t>
      </w:r>
    </w:p>
    <w:p w:rsidR="001F3A98" w:rsidRPr="00CF5A42" w:rsidRDefault="001F3A98" w:rsidP="001F3A98">
      <w:pPr>
        <w:rPr>
          <w:rFonts w:ascii="Calibri" w:hAnsi="Calibri"/>
        </w:rPr>
      </w:pPr>
      <w:r w:rsidRPr="00CF5A42">
        <w:rPr>
          <w:rFonts w:ascii="Calibri" w:hAnsi="Calibri"/>
        </w:rPr>
        <w:tab/>
        <w:t>Materiał i sposób wykonania połączenia tarczy znaku z konstrukcją wsporczą musi umożliwiać, przy użyciu odpowiednich narzędzi, odłączenie tarczy znaku od tej konstrukcji przez cały okres użytkowania znaku.</w:t>
      </w:r>
    </w:p>
    <w:p w:rsidR="001F3A98" w:rsidRPr="00CF5A42" w:rsidRDefault="001F3A98" w:rsidP="001F3A98">
      <w:pPr>
        <w:rPr>
          <w:rFonts w:ascii="Calibri" w:hAnsi="Calibri"/>
        </w:rPr>
      </w:pPr>
      <w:r w:rsidRPr="00CF5A42">
        <w:rPr>
          <w:rFonts w:ascii="Calibri" w:hAnsi="Calibri"/>
        </w:rPr>
        <w:tab/>
        <w:t>Na drogach i obszarach, na których występują częste przypadki dewastacji znaków, zaleca się stosowanie elementów złącznych o konstrukcji uniemożliwiającej lub znacznie utrudniającej ich rozłączenie przez osoby niepowołane.</w:t>
      </w:r>
    </w:p>
    <w:p w:rsidR="001F3A98" w:rsidRPr="00CF5A42" w:rsidRDefault="001F3A98" w:rsidP="001F3A98">
      <w:pPr>
        <w:rPr>
          <w:rFonts w:ascii="Calibri" w:hAnsi="Calibri"/>
        </w:rPr>
      </w:pPr>
      <w:r w:rsidRPr="00CF5A42">
        <w:rPr>
          <w:rFonts w:ascii="Calibri" w:hAnsi="Calibri"/>
        </w:rPr>
        <w:tab/>
        <w:t>Nie dopuszcza się zamocowania znaku do konstrukcji wsporczej w sposób wymagający bezpośredniego przeprowadzenia śrub mocujących przez lico znaku.</w:t>
      </w:r>
    </w:p>
    <w:p w:rsidR="001F3A98" w:rsidRPr="00CF5A42" w:rsidRDefault="001F3A98" w:rsidP="001F3A98">
      <w:pPr>
        <w:rPr>
          <w:rFonts w:ascii="Calibri" w:hAnsi="Calibri"/>
        </w:rPr>
      </w:pPr>
      <w:r w:rsidRPr="00CF5A42">
        <w:rPr>
          <w:rFonts w:ascii="Calibri" w:hAnsi="Calibri"/>
          <w:b/>
        </w:rPr>
        <w:t>5.7.</w:t>
      </w:r>
      <w:r w:rsidRPr="00CF5A42">
        <w:rPr>
          <w:rFonts w:ascii="Calibri" w:hAnsi="Calibri"/>
        </w:rPr>
        <w:t xml:space="preserve"> Urządzenia elektryczne na konstrukcji wsporczej</w:t>
      </w:r>
    </w:p>
    <w:p w:rsidR="001F3A98" w:rsidRPr="00CF5A42" w:rsidRDefault="001F3A98" w:rsidP="001F3A98">
      <w:pPr>
        <w:rPr>
          <w:rFonts w:ascii="Calibri" w:hAnsi="Calibri"/>
        </w:rPr>
      </w:pPr>
      <w:r w:rsidRPr="00CF5A42">
        <w:rPr>
          <w:rFonts w:ascii="Calibri" w:hAnsi="Calibri"/>
        </w:rPr>
        <w:tab/>
        <w:t>Przy umieszczaniu na konstrukcji wsporczej znaku drogowego jakichkolwiek urządzeń elektrycznych - obowiązują zasady oznaczania i zabezpieczania tych urządzeń, określone w odpowiednich przepisach i zaleceniach dotyczących urządzeń elektroenergetycznych.</w:t>
      </w:r>
    </w:p>
    <w:p w:rsidR="001F3A98" w:rsidRPr="00CF5A42" w:rsidRDefault="001F3A98" w:rsidP="001F3A98">
      <w:pPr>
        <w:rPr>
          <w:rFonts w:ascii="Calibri" w:hAnsi="Calibri"/>
        </w:rPr>
      </w:pPr>
      <w:r w:rsidRPr="00CF5A42">
        <w:rPr>
          <w:rFonts w:ascii="Calibri" w:hAnsi="Calibri"/>
        </w:rPr>
        <w:tab/>
        <w:t>Aparaturę elektryczną należy montować na pojedynczym słupie. Na słupie powinna być zamocowana skrzynka elektryczna zgodnie z PN-EN 40-5:2004. Każda skrzynka elektryczna powinna być zabezpieczona zamkiem natomiast poziomem zabezpieczenia przed przenikaniem kurzu i wody, określonym w EN 60529:2003, powinien być poziom 2 dla cząstek stałych i poziom 3 dla wody.</w:t>
      </w:r>
    </w:p>
    <w:p w:rsidR="001F3A98" w:rsidRPr="00CF5A42" w:rsidRDefault="001F3A98" w:rsidP="001F3A98">
      <w:pPr>
        <w:rPr>
          <w:rFonts w:ascii="Calibri" w:hAnsi="Calibri"/>
        </w:rPr>
      </w:pPr>
      <w:r w:rsidRPr="00CF5A42">
        <w:rPr>
          <w:rFonts w:ascii="Calibri" w:hAnsi="Calibri"/>
          <w:b/>
        </w:rPr>
        <w:t>5.8.</w:t>
      </w:r>
      <w:r w:rsidRPr="00CF5A42">
        <w:rPr>
          <w:rFonts w:ascii="Calibri" w:hAnsi="Calibri"/>
        </w:rPr>
        <w:t xml:space="preserve"> Źródło światła znaku oświetlanego</w:t>
      </w:r>
    </w:p>
    <w:p w:rsidR="001F3A98" w:rsidRPr="00CF5A42" w:rsidRDefault="001F3A98" w:rsidP="001F3A98">
      <w:pPr>
        <w:rPr>
          <w:rFonts w:ascii="Calibri" w:hAnsi="Calibri"/>
        </w:rPr>
      </w:pPr>
      <w:r w:rsidRPr="00CF5A42">
        <w:rPr>
          <w:rFonts w:ascii="Calibri" w:hAnsi="Calibri"/>
        </w:rPr>
        <w:tab/>
        <w:t>Źródło światła należy wykonać zgodnie z ustaleniami dokumentacji projektowej lub wskazaniami Inżyniera, jako:</w:t>
      </w:r>
    </w:p>
    <w:p w:rsidR="001F3A98" w:rsidRPr="00CF5A42" w:rsidRDefault="001F3A98" w:rsidP="001F3A98">
      <w:pPr>
        <w:rPr>
          <w:rFonts w:ascii="Calibri" w:hAnsi="Calibri"/>
        </w:rPr>
      </w:pPr>
      <w:r>
        <w:rPr>
          <w:rFonts w:ascii="Calibri" w:hAnsi="Calibri"/>
        </w:rPr>
        <w:t>-</w:t>
      </w:r>
      <w:r w:rsidRPr="00CF5A42">
        <w:rPr>
          <w:rFonts w:ascii="Calibri" w:hAnsi="Calibri"/>
        </w:rPr>
        <w:t>lampy fluorescencyjne barwy dziennej lub chłodno białej,</w:t>
      </w:r>
    </w:p>
    <w:p w:rsidR="001F3A98" w:rsidRPr="00CF5A42" w:rsidRDefault="001F3A98" w:rsidP="001F3A98">
      <w:pPr>
        <w:rPr>
          <w:rFonts w:ascii="Calibri" w:hAnsi="Calibri"/>
        </w:rPr>
      </w:pPr>
      <w:r>
        <w:rPr>
          <w:rFonts w:ascii="Calibri" w:hAnsi="Calibri"/>
        </w:rPr>
        <w:t>-</w:t>
      </w:r>
      <w:r w:rsidRPr="00CF5A42">
        <w:rPr>
          <w:rFonts w:ascii="Calibri" w:hAnsi="Calibri"/>
        </w:rPr>
        <w:t>wysokoprężne lampy rtęciowe o poprawionym współczynniku oddawania barw,</w:t>
      </w:r>
    </w:p>
    <w:p w:rsidR="001F3A98" w:rsidRPr="00CF5A42" w:rsidRDefault="006456E2" w:rsidP="001F3A98">
      <w:pPr>
        <w:rPr>
          <w:rFonts w:ascii="Calibri" w:hAnsi="Calibri"/>
        </w:rPr>
      </w:pPr>
      <w:r>
        <w:rPr>
          <w:rFonts w:ascii="Calibri" w:hAnsi="Calibri"/>
        </w:rPr>
        <w:t>-</w:t>
      </w:r>
      <w:r w:rsidR="001F3A98" w:rsidRPr="00CF5A42">
        <w:rPr>
          <w:rFonts w:ascii="Calibri" w:hAnsi="Calibri"/>
        </w:rPr>
        <w:t>lampy metalo-halogenowe.</w:t>
      </w:r>
    </w:p>
    <w:p w:rsidR="001F3A98" w:rsidRPr="00CF5A42" w:rsidRDefault="001F3A98" w:rsidP="001F3A98">
      <w:pPr>
        <w:rPr>
          <w:rFonts w:ascii="Calibri" w:hAnsi="Calibri"/>
        </w:rPr>
      </w:pPr>
      <w:r w:rsidRPr="00CF5A42">
        <w:rPr>
          <w:rFonts w:ascii="Calibri" w:hAnsi="Calibri"/>
        </w:rPr>
        <w:t>Równomierność luminancji dla każdej barwy zewnętrznie oświetlonej, oznaczona jako stosunek najniższej do najwyższej wartości zmierzonej w jakiejkolwiek części znaku, powinna spełniać wymagania podane w tablicy 4.</w:t>
      </w:r>
    </w:p>
    <w:p w:rsidR="001F3A98" w:rsidRPr="00CF5A42" w:rsidRDefault="001F3A98" w:rsidP="001F3A98">
      <w:pPr>
        <w:rPr>
          <w:rFonts w:ascii="Calibri" w:hAnsi="Calibri"/>
        </w:rPr>
      </w:pPr>
    </w:p>
    <w:p w:rsidR="001F3A98" w:rsidRPr="00CF5A42" w:rsidRDefault="001F3A98" w:rsidP="006456E2">
      <w:pPr>
        <w:ind w:left="709"/>
        <w:rPr>
          <w:rFonts w:ascii="Calibri" w:hAnsi="Calibri"/>
        </w:rPr>
      </w:pPr>
      <w:r w:rsidRPr="00CF5A42">
        <w:rPr>
          <w:rFonts w:ascii="Calibri" w:hAnsi="Calibri"/>
        </w:rPr>
        <w:t>Tablica 4 . Równomierność luminancji</w:t>
      </w:r>
    </w:p>
    <w:tbl>
      <w:tblPr>
        <w:tblW w:w="5954" w:type="dxa"/>
        <w:tblInd w:w="779" w:type="dxa"/>
        <w:tblBorders>
          <w:top w:val="single" w:sz="4" w:space="0" w:color="auto"/>
          <w:left w:val="single" w:sz="4" w:space="0" w:color="auto"/>
          <w:bottom w:val="single" w:sz="4" w:space="0" w:color="auto"/>
          <w:right w:val="single" w:sz="4" w:space="0" w:color="auto"/>
        </w:tblBorders>
        <w:tblLayout w:type="fixed"/>
        <w:tblCellMar>
          <w:left w:w="70" w:type="dxa"/>
          <w:right w:w="70" w:type="dxa"/>
        </w:tblCellMar>
        <w:tblLook w:val="0000"/>
      </w:tblPr>
      <w:tblGrid>
        <w:gridCol w:w="2835"/>
        <w:gridCol w:w="3119"/>
      </w:tblGrid>
      <w:tr w:rsidR="001F3A98" w:rsidRPr="00CF5A42" w:rsidTr="00FD47C7">
        <w:trPr>
          <w:trHeight w:val="171"/>
        </w:trPr>
        <w:tc>
          <w:tcPr>
            <w:tcW w:w="2835" w:type="dxa"/>
            <w:tcBorders>
              <w:top w:val="single" w:sz="4" w:space="0" w:color="auto"/>
              <w:left w:val="single" w:sz="4" w:space="0" w:color="auto"/>
              <w:bottom w:val="double" w:sz="4" w:space="0" w:color="auto"/>
              <w:right w:val="single" w:sz="4" w:space="0" w:color="auto"/>
            </w:tcBorders>
          </w:tcPr>
          <w:p w:rsidR="001F3A98" w:rsidRPr="00CF5A42" w:rsidRDefault="001F3A98" w:rsidP="00FD47C7">
            <w:pPr>
              <w:jc w:val="center"/>
              <w:rPr>
                <w:rFonts w:ascii="Calibri" w:hAnsi="Calibri"/>
                <w:b/>
                <w:sz w:val="18"/>
                <w:szCs w:val="18"/>
              </w:rPr>
            </w:pPr>
            <w:r w:rsidRPr="00CF5A42">
              <w:rPr>
                <w:rFonts w:ascii="Calibri" w:hAnsi="Calibri"/>
                <w:b/>
                <w:sz w:val="18"/>
                <w:szCs w:val="18"/>
              </w:rPr>
              <w:t>Klasa</w:t>
            </w:r>
          </w:p>
        </w:tc>
        <w:tc>
          <w:tcPr>
            <w:tcW w:w="3119" w:type="dxa"/>
            <w:tcBorders>
              <w:top w:val="single" w:sz="4" w:space="0" w:color="auto"/>
              <w:left w:val="single" w:sz="4" w:space="0" w:color="auto"/>
              <w:bottom w:val="double" w:sz="4" w:space="0" w:color="auto"/>
              <w:right w:val="single" w:sz="4" w:space="0" w:color="auto"/>
            </w:tcBorders>
          </w:tcPr>
          <w:p w:rsidR="001F3A98" w:rsidRPr="00CF5A42" w:rsidRDefault="001F3A98" w:rsidP="00FD47C7">
            <w:pPr>
              <w:jc w:val="center"/>
              <w:rPr>
                <w:rFonts w:ascii="Calibri" w:hAnsi="Calibri"/>
                <w:b/>
                <w:sz w:val="18"/>
                <w:szCs w:val="18"/>
              </w:rPr>
            </w:pPr>
            <w:r w:rsidRPr="00CF5A42">
              <w:rPr>
                <w:rFonts w:ascii="Calibri" w:hAnsi="Calibri"/>
                <w:b/>
                <w:sz w:val="18"/>
                <w:szCs w:val="18"/>
              </w:rPr>
              <w:t>Stosunek maksymalny</w:t>
            </w:r>
          </w:p>
        </w:tc>
      </w:tr>
      <w:tr w:rsidR="001F3A98" w:rsidRPr="00CF5A42" w:rsidTr="00FD47C7">
        <w:trPr>
          <w:trHeight w:val="283"/>
        </w:trPr>
        <w:tc>
          <w:tcPr>
            <w:tcW w:w="2835" w:type="dxa"/>
            <w:tcBorders>
              <w:top w:val="double" w:sz="4" w:space="0" w:color="auto"/>
              <w:left w:val="single" w:sz="4" w:space="0" w:color="auto"/>
              <w:bottom w:val="single" w:sz="4" w:space="0" w:color="auto"/>
              <w:right w:val="single" w:sz="4" w:space="0" w:color="auto"/>
            </w:tcBorders>
            <w:vAlign w:val="center"/>
          </w:tcPr>
          <w:p w:rsidR="001F3A98" w:rsidRPr="00CF5A42" w:rsidRDefault="001F3A98" w:rsidP="00FD47C7">
            <w:pPr>
              <w:jc w:val="center"/>
              <w:rPr>
                <w:rFonts w:ascii="Calibri" w:hAnsi="Calibri"/>
                <w:sz w:val="18"/>
                <w:szCs w:val="18"/>
              </w:rPr>
            </w:pPr>
            <w:r w:rsidRPr="00CF5A42">
              <w:rPr>
                <w:rFonts w:ascii="Calibri" w:hAnsi="Calibri"/>
                <w:sz w:val="18"/>
                <w:szCs w:val="18"/>
              </w:rPr>
              <w:t>U1</w:t>
            </w:r>
          </w:p>
        </w:tc>
        <w:tc>
          <w:tcPr>
            <w:tcW w:w="3119" w:type="dxa"/>
            <w:tcBorders>
              <w:top w:val="double" w:sz="4" w:space="0" w:color="auto"/>
              <w:left w:val="single" w:sz="4" w:space="0" w:color="auto"/>
              <w:bottom w:val="single" w:sz="4" w:space="0" w:color="auto"/>
              <w:right w:val="single" w:sz="4" w:space="0" w:color="auto"/>
            </w:tcBorders>
            <w:vAlign w:val="center"/>
          </w:tcPr>
          <w:p w:rsidR="001F3A98" w:rsidRPr="00CF5A42" w:rsidRDefault="001F3A98" w:rsidP="00FD47C7">
            <w:pPr>
              <w:jc w:val="center"/>
              <w:rPr>
                <w:rFonts w:ascii="Calibri" w:hAnsi="Calibri"/>
                <w:sz w:val="18"/>
                <w:szCs w:val="18"/>
              </w:rPr>
            </w:pPr>
            <w:r w:rsidRPr="00CF5A42">
              <w:rPr>
                <w:rFonts w:ascii="Calibri" w:hAnsi="Calibri"/>
                <w:sz w:val="18"/>
                <w:szCs w:val="18"/>
              </w:rPr>
              <w:t>1/10</w:t>
            </w:r>
          </w:p>
        </w:tc>
      </w:tr>
      <w:tr w:rsidR="001F3A98" w:rsidRPr="00CF5A42" w:rsidTr="00FD47C7">
        <w:trPr>
          <w:trHeight w:val="137"/>
        </w:trPr>
        <w:tc>
          <w:tcPr>
            <w:tcW w:w="2835" w:type="dxa"/>
            <w:tcBorders>
              <w:top w:val="single" w:sz="4" w:space="0" w:color="auto"/>
              <w:left w:val="single" w:sz="4" w:space="0" w:color="auto"/>
              <w:bottom w:val="single" w:sz="4" w:space="0" w:color="auto"/>
              <w:right w:val="single" w:sz="4" w:space="0" w:color="auto"/>
            </w:tcBorders>
            <w:vAlign w:val="center"/>
          </w:tcPr>
          <w:p w:rsidR="001F3A98" w:rsidRPr="00CF5A42" w:rsidRDefault="001F3A98" w:rsidP="00FD47C7">
            <w:pPr>
              <w:jc w:val="center"/>
              <w:rPr>
                <w:rFonts w:ascii="Calibri" w:hAnsi="Calibri"/>
                <w:sz w:val="18"/>
                <w:szCs w:val="18"/>
              </w:rPr>
            </w:pPr>
            <w:r w:rsidRPr="00CF5A42">
              <w:rPr>
                <w:rFonts w:ascii="Calibri" w:hAnsi="Calibri"/>
                <w:sz w:val="18"/>
                <w:szCs w:val="18"/>
              </w:rPr>
              <w:t>U2</w:t>
            </w:r>
          </w:p>
        </w:tc>
        <w:tc>
          <w:tcPr>
            <w:tcW w:w="3119" w:type="dxa"/>
            <w:tcBorders>
              <w:top w:val="single" w:sz="4" w:space="0" w:color="auto"/>
              <w:left w:val="single" w:sz="4" w:space="0" w:color="auto"/>
              <w:bottom w:val="single" w:sz="4" w:space="0" w:color="auto"/>
              <w:right w:val="single" w:sz="4" w:space="0" w:color="auto"/>
            </w:tcBorders>
            <w:vAlign w:val="center"/>
          </w:tcPr>
          <w:p w:rsidR="001F3A98" w:rsidRPr="00CF5A42" w:rsidRDefault="001F3A98" w:rsidP="00FD47C7">
            <w:pPr>
              <w:jc w:val="center"/>
              <w:rPr>
                <w:rFonts w:ascii="Calibri" w:hAnsi="Calibri"/>
                <w:sz w:val="18"/>
                <w:szCs w:val="18"/>
              </w:rPr>
            </w:pPr>
            <w:r w:rsidRPr="00CF5A42">
              <w:rPr>
                <w:rFonts w:ascii="Calibri" w:hAnsi="Calibri"/>
                <w:sz w:val="18"/>
                <w:szCs w:val="18"/>
              </w:rPr>
              <w:t>1/6</w:t>
            </w:r>
          </w:p>
        </w:tc>
      </w:tr>
      <w:tr w:rsidR="001F3A98" w:rsidRPr="00CF5A42" w:rsidTr="00FD47C7">
        <w:trPr>
          <w:trHeight w:val="127"/>
        </w:trPr>
        <w:tc>
          <w:tcPr>
            <w:tcW w:w="2835" w:type="dxa"/>
            <w:tcBorders>
              <w:top w:val="single" w:sz="4" w:space="0" w:color="auto"/>
              <w:left w:val="single" w:sz="4" w:space="0" w:color="auto"/>
              <w:bottom w:val="single" w:sz="4" w:space="0" w:color="auto"/>
              <w:right w:val="single" w:sz="4" w:space="0" w:color="auto"/>
            </w:tcBorders>
            <w:vAlign w:val="center"/>
          </w:tcPr>
          <w:p w:rsidR="001F3A98" w:rsidRPr="00CF5A42" w:rsidRDefault="001F3A98" w:rsidP="00FD47C7">
            <w:pPr>
              <w:jc w:val="center"/>
              <w:rPr>
                <w:rFonts w:ascii="Calibri" w:hAnsi="Calibri"/>
                <w:sz w:val="18"/>
                <w:szCs w:val="18"/>
              </w:rPr>
            </w:pPr>
            <w:r w:rsidRPr="00CF5A42">
              <w:rPr>
                <w:rFonts w:ascii="Calibri" w:hAnsi="Calibri"/>
                <w:sz w:val="18"/>
                <w:szCs w:val="18"/>
              </w:rPr>
              <w:t>U3</w:t>
            </w:r>
          </w:p>
        </w:tc>
        <w:tc>
          <w:tcPr>
            <w:tcW w:w="3119" w:type="dxa"/>
            <w:tcBorders>
              <w:top w:val="single" w:sz="4" w:space="0" w:color="auto"/>
              <w:left w:val="single" w:sz="4" w:space="0" w:color="auto"/>
              <w:bottom w:val="single" w:sz="4" w:space="0" w:color="auto"/>
              <w:right w:val="single" w:sz="4" w:space="0" w:color="auto"/>
            </w:tcBorders>
            <w:vAlign w:val="center"/>
          </w:tcPr>
          <w:p w:rsidR="001F3A98" w:rsidRPr="00CF5A42" w:rsidRDefault="001F3A98" w:rsidP="00FD47C7">
            <w:pPr>
              <w:jc w:val="center"/>
              <w:rPr>
                <w:rFonts w:ascii="Calibri" w:hAnsi="Calibri"/>
                <w:sz w:val="18"/>
                <w:szCs w:val="18"/>
              </w:rPr>
            </w:pPr>
            <w:r w:rsidRPr="00CF5A42">
              <w:rPr>
                <w:rFonts w:ascii="Calibri" w:hAnsi="Calibri"/>
                <w:sz w:val="18"/>
                <w:szCs w:val="18"/>
              </w:rPr>
              <w:t>1/3</w:t>
            </w:r>
          </w:p>
        </w:tc>
      </w:tr>
    </w:tbl>
    <w:p w:rsidR="001F3A98" w:rsidRPr="00CF5A42" w:rsidRDefault="001F3A98" w:rsidP="001F3A98">
      <w:pPr>
        <w:rPr>
          <w:rFonts w:ascii="Calibri" w:hAnsi="Calibri"/>
          <w:b/>
        </w:rPr>
      </w:pPr>
    </w:p>
    <w:p w:rsidR="001F3A98" w:rsidRPr="00CF5A42" w:rsidRDefault="001F3A98" w:rsidP="001F3A98">
      <w:pPr>
        <w:rPr>
          <w:rFonts w:ascii="Calibri" w:hAnsi="Calibri"/>
        </w:rPr>
      </w:pPr>
      <w:r w:rsidRPr="00CF5A42">
        <w:rPr>
          <w:rFonts w:ascii="Calibri" w:hAnsi="Calibri"/>
          <w:b/>
        </w:rPr>
        <w:t>5.9.</w:t>
      </w:r>
      <w:r w:rsidRPr="00CF5A42">
        <w:rPr>
          <w:rFonts w:ascii="Calibri" w:hAnsi="Calibri"/>
        </w:rPr>
        <w:t xml:space="preserve"> Warunki dla oprawy oświetleniowej znaku oświetlanego</w:t>
      </w:r>
    </w:p>
    <w:p w:rsidR="001F3A98" w:rsidRPr="00CF5A42" w:rsidRDefault="001F3A98" w:rsidP="001F3A98">
      <w:pPr>
        <w:rPr>
          <w:rFonts w:ascii="Calibri" w:hAnsi="Calibri"/>
        </w:rPr>
      </w:pPr>
      <w:r w:rsidRPr="00CF5A42">
        <w:rPr>
          <w:rFonts w:ascii="Calibri" w:hAnsi="Calibri"/>
        </w:rPr>
        <w:tab/>
        <w:t>Zewnętrzne oprawy oświetleniowe powinny być zgodne z PN-EN 60598-1:1990. Minimalnym poziomem zabezpieczenia konstrukcji wsporczych znaków, skrzynek elektrycznych zawierających urządzenia elektryczne, opraw oświetleniowych i ich obudów przed przenikaniem kurzu i wody, określonym w PN-EN 60529:2003, powinien być poziom 2 dla cząstek stałych i poziom 3 dla wody. Podstawą do określenia tych poziomów minimalnych powinien być poziom IP podany w wymaganiach klienta lub nabywcy. Zaleca się, aby oprawa była zbudowana jako zamknięta, o stopniu ochrony IP-53 dla komory lampowej i co najmniej IP-23 dla komory statecznika.</w:t>
      </w:r>
    </w:p>
    <w:p w:rsidR="001F3A98" w:rsidRPr="00CF5A42" w:rsidRDefault="001F3A98" w:rsidP="001F3A98">
      <w:pPr>
        <w:rPr>
          <w:rFonts w:ascii="Calibri" w:hAnsi="Calibri"/>
        </w:rPr>
      </w:pPr>
      <w:r w:rsidRPr="00CF5A42">
        <w:rPr>
          <w:rFonts w:ascii="Calibri" w:hAnsi="Calibri"/>
        </w:rPr>
        <w:tab/>
        <w:t>Projekt strukturalny powinien zawierać całą konstrukcję obejmującą obudowę, słupek i zamocowania. Lampy powinny być zabezpieczone obudową osłaniającą od deszczu, wiatru i innych niesprzyjających warunków zewnętrznych. Obudowy lamp i panele oświetleniowe  powinny być zgodne z PN-EN 12899-1:2005.</w:t>
      </w:r>
    </w:p>
    <w:p w:rsidR="001F3A98" w:rsidRPr="00CF5A42" w:rsidRDefault="001F3A98" w:rsidP="001F3A98">
      <w:pPr>
        <w:rPr>
          <w:rFonts w:ascii="Calibri" w:hAnsi="Calibri"/>
        </w:rPr>
      </w:pPr>
      <w:r w:rsidRPr="00CF5A42">
        <w:rPr>
          <w:rFonts w:ascii="Calibri" w:hAnsi="Calibri"/>
        </w:rPr>
        <w:lastRenderedPageBreak/>
        <w:tab/>
        <w:t>Oprawa oświetleniowa powinna spełniać ponadto następujące wymagania :</w:t>
      </w:r>
    </w:p>
    <w:p w:rsidR="001F3A98" w:rsidRPr="00CF5A42" w:rsidRDefault="001F3A98" w:rsidP="001F3A98">
      <w:pPr>
        <w:rPr>
          <w:rFonts w:ascii="Calibri" w:hAnsi="Calibri"/>
        </w:rPr>
      </w:pPr>
      <w:r>
        <w:rPr>
          <w:rFonts w:ascii="Calibri" w:hAnsi="Calibri"/>
        </w:rPr>
        <w:t>-</w:t>
      </w:r>
      <w:r w:rsidRPr="00CF5A42">
        <w:rPr>
          <w:rFonts w:ascii="Calibri" w:hAnsi="Calibri"/>
        </w:rPr>
        <w:t xml:space="preserve">dla opraw zawieszanych na wysokości poniżej </w:t>
      </w:r>
      <w:smartTag w:uri="urn:schemas-microsoft-com:office:smarttags" w:element="metricconverter">
        <w:smartTagPr>
          <w:attr w:name="ProductID" w:val="2,5 m"/>
        </w:smartTagPr>
        <w:r w:rsidRPr="00CF5A42">
          <w:rPr>
            <w:rFonts w:ascii="Calibri" w:hAnsi="Calibri"/>
          </w:rPr>
          <w:t>2,5 m</w:t>
        </w:r>
      </w:smartTag>
      <w:r w:rsidRPr="00CF5A42">
        <w:rPr>
          <w:rFonts w:ascii="Calibri" w:hAnsi="Calibri"/>
        </w:rPr>
        <w:t xml:space="preserve"> klosz oprawy powinien być wykonany z materiałów odpornych na uszkodzenia mechaniczne,</w:t>
      </w:r>
    </w:p>
    <w:p w:rsidR="001F3A98" w:rsidRPr="00CF5A42" w:rsidRDefault="001F3A98" w:rsidP="001F3A98">
      <w:pPr>
        <w:rPr>
          <w:rFonts w:ascii="Calibri" w:hAnsi="Calibri"/>
        </w:rPr>
      </w:pPr>
      <w:r>
        <w:rPr>
          <w:rFonts w:ascii="Calibri" w:hAnsi="Calibri"/>
        </w:rPr>
        <w:t>-</w:t>
      </w:r>
      <w:r w:rsidRPr="00CF5A42">
        <w:rPr>
          <w:rFonts w:ascii="Calibri" w:hAnsi="Calibri"/>
        </w:rPr>
        <w:t>w oznaczeniu oprawy musi być podany rok produkcji.</w:t>
      </w:r>
    </w:p>
    <w:p w:rsidR="001F3A98" w:rsidRPr="00CF5A42" w:rsidRDefault="001F3A98" w:rsidP="001F3A98">
      <w:pPr>
        <w:rPr>
          <w:rFonts w:ascii="Calibri" w:hAnsi="Calibri"/>
        </w:rPr>
      </w:pPr>
      <w:r w:rsidRPr="00CF5A42">
        <w:rPr>
          <w:rFonts w:ascii="Calibri" w:hAnsi="Calibri"/>
        </w:rPr>
        <w:tab/>
        <w:t>Oprawa oświetleniowa stanowiąca integralną część znaku oświetlanego umieszczana jest przed licem znaku i musi być sztywno i trwale związana z tarczą znaku. Zaleca się, aby oprawy były montowane tak, żeby nie zasłaniały kierowcom lica znaku.</w:t>
      </w:r>
    </w:p>
    <w:p w:rsidR="001F3A98" w:rsidRPr="00CF5A42" w:rsidRDefault="001F3A98" w:rsidP="001F3A98">
      <w:pPr>
        <w:rPr>
          <w:rFonts w:ascii="Calibri" w:hAnsi="Calibri"/>
        </w:rPr>
      </w:pPr>
      <w:r w:rsidRPr="00CF5A42">
        <w:rPr>
          <w:rFonts w:ascii="Calibri" w:hAnsi="Calibri"/>
          <w:b/>
        </w:rPr>
        <w:t>5.10.</w:t>
      </w:r>
      <w:r w:rsidRPr="00CF5A42">
        <w:rPr>
          <w:rFonts w:ascii="Calibri" w:hAnsi="Calibri"/>
        </w:rPr>
        <w:t xml:space="preserve"> Oznakowanie znaku</w:t>
      </w:r>
    </w:p>
    <w:p w:rsidR="001F3A98" w:rsidRPr="00CF5A42" w:rsidRDefault="001F3A98" w:rsidP="001F3A98">
      <w:pPr>
        <w:rPr>
          <w:rFonts w:ascii="Calibri" w:hAnsi="Calibri"/>
        </w:rPr>
      </w:pPr>
      <w:r w:rsidRPr="00CF5A42">
        <w:rPr>
          <w:rFonts w:ascii="Calibri" w:hAnsi="Calibri"/>
        </w:rPr>
        <w:tab/>
        <w:t>Każdy wykonany znak drogowy musi mieć naklejoną na rewersie naklejkę zawierającą następujące informacje:</w:t>
      </w:r>
    </w:p>
    <w:p w:rsidR="001F3A98" w:rsidRPr="00CF5A42" w:rsidRDefault="001F3A98" w:rsidP="001F3A98">
      <w:pPr>
        <w:rPr>
          <w:rFonts w:ascii="Calibri" w:hAnsi="Calibri"/>
        </w:rPr>
      </w:pPr>
      <w:r>
        <w:rPr>
          <w:rFonts w:ascii="Calibri" w:hAnsi="Calibri"/>
        </w:rPr>
        <w:t>-</w:t>
      </w:r>
      <w:r w:rsidRPr="00CF5A42">
        <w:rPr>
          <w:rFonts w:ascii="Calibri" w:hAnsi="Calibri"/>
        </w:rPr>
        <w:t>numer i datę normy tj. PN-EN 12899-1:2005,</w:t>
      </w:r>
    </w:p>
    <w:p w:rsidR="001F3A98" w:rsidRPr="00CF5A42" w:rsidRDefault="001F3A98" w:rsidP="001F3A98">
      <w:pPr>
        <w:rPr>
          <w:rFonts w:ascii="Calibri" w:hAnsi="Calibri"/>
        </w:rPr>
      </w:pPr>
      <w:r>
        <w:rPr>
          <w:rFonts w:ascii="Calibri" w:hAnsi="Calibri"/>
        </w:rPr>
        <w:t>-</w:t>
      </w:r>
      <w:r w:rsidRPr="00CF5A42">
        <w:rPr>
          <w:rFonts w:ascii="Calibri" w:hAnsi="Calibri"/>
        </w:rPr>
        <w:t>klasy istotnych właściwości wyrobu,</w:t>
      </w:r>
    </w:p>
    <w:p w:rsidR="001F3A98" w:rsidRPr="00CF5A42" w:rsidRDefault="001F3A98" w:rsidP="001F3A98">
      <w:pPr>
        <w:rPr>
          <w:rFonts w:ascii="Calibri" w:hAnsi="Calibri"/>
        </w:rPr>
      </w:pPr>
      <w:r>
        <w:rPr>
          <w:rFonts w:ascii="Calibri" w:hAnsi="Calibri"/>
        </w:rPr>
        <w:t>-</w:t>
      </w:r>
      <w:r w:rsidRPr="00CF5A42">
        <w:rPr>
          <w:rFonts w:ascii="Calibri" w:hAnsi="Calibri"/>
        </w:rPr>
        <w:t>miesiąc i dwie ostatnie cyfry roku produkcji</w:t>
      </w:r>
    </w:p>
    <w:p w:rsidR="001F3A98" w:rsidRPr="00CF5A42" w:rsidRDefault="001F3A98" w:rsidP="001F3A98">
      <w:pPr>
        <w:rPr>
          <w:rFonts w:ascii="Calibri" w:hAnsi="Calibri"/>
        </w:rPr>
      </w:pPr>
      <w:r>
        <w:rPr>
          <w:rFonts w:ascii="Calibri" w:hAnsi="Calibri"/>
        </w:rPr>
        <w:t>-</w:t>
      </w:r>
      <w:r w:rsidRPr="00CF5A42">
        <w:rPr>
          <w:rFonts w:ascii="Calibri" w:hAnsi="Calibri"/>
        </w:rPr>
        <w:t>nazwę, znak handlowy i inne oznaczenia identyfikujące producenta lub dostawcę jeśli nie jest producentem,</w:t>
      </w:r>
    </w:p>
    <w:p w:rsidR="001F3A98" w:rsidRPr="00CF5A42" w:rsidRDefault="001F3A98" w:rsidP="001F3A98">
      <w:pPr>
        <w:rPr>
          <w:rFonts w:ascii="Calibri" w:hAnsi="Calibri"/>
        </w:rPr>
      </w:pPr>
      <w:r>
        <w:rPr>
          <w:rFonts w:ascii="Calibri" w:hAnsi="Calibri"/>
        </w:rPr>
        <w:t>-</w:t>
      </w:r>
      <w:r w:rsidRPr="00CF5A42">
        <w:rPr>
          <w:rFonts w:ascii="Calibri" w:hAnsi="Calibri"/>
        </w:rPr>
        <w:t>znak budowlany „B”,</w:t>
      </w:r>
    </w:p>
    <w:p w:rsidR="001F3A98" w:rsidRPr="00CF5A42" w:rsidRDefault="001F3A98" w:rsidP="001F3A98">
      <w:pPr>
        <w:rPr>
          <w:rFonts w:ascii="Calibri" w:hAnsi="Calibri"/>
        </w:rPr>
      </w:pPr>
      <w:r>
        <w:rPr>
          <w:rFonts w:ascii="Calibri" w:hAnsi="Calibri"/>
        </w:rPr>
        <w:t>-</w:t>
      </w:r>
      <w:r w:rsidRPr="00CF5A42">
        <w:rPr>
          <w:rFonts w:ascii="Calibri" w:hAnsi="Calibri"/>
        </w:rPr>
        <w:t>numer aprobaty technicznej IBDiM,</w:t>
      </w:r>
    </w:p>
    <w:p w:rsidR="001F3A98" w:rsidRPr="00CF5A42" w:rsidRDefault="001F3A98" w:rsidP="001F3A98">
      <w:pPr>
        <w:rPr>
          <w:rFonts w:ascii="Calibri" w:hAnsi="Calibri"/>
        </w:rPr>
      </w:pPr>
      <w:r>
        <w:rPr>
          <w:rFonts w:ascii="Calibri" w:hAnsi="Calibri"/>
        </w:rPr>
        <w:t>-</w:t>
      </w:r>
      <w:r w:rsidRPr="00CF5A42">
        <w:rPr>
          <w:rFonts w:ascii="Calibri" w:hAnsi="Calibri"/>
        </w:rPr>
        <w:t>numer certyfikatu zgodności i numer jednostki certyfikującej.</w:t>
      </w:r>
    </w:p>
    <w:p w:rsidR="001F3A98" w:rsidRPr="00CF5A42" w:rsidRDefault="001F3A98" w:rsidP="001F3A98">
      <w:pPr>
        <w:rPr>
          <w:rFonts w:ascii="Calibri" w:hAnsi="Calibri"/>
        </w:rPr>
      </w:pPr>
      <w:r w:rsidRPr="00CF5A42">
        <w:rPr>
          <w:rFonts w:ascii="Calibri" w:hAnsi="Calibri"/>
        </w:rPr>
        <w:t>Oznakowania powinny być wykonane w sposób trwały i wyraźny, czytelny z normalnej odległości widzenia, a całkowita powierzchnia naklejki nie była większa niż 30 cm2 . Czytelność i trwałość cechy na tylnej stronie tarczy znaku nie powinna być niższa od wymaganej trwałości znaku. Naklejkę należy wykonać z folii nieodblaskowej.</w:t>
      </w:r>
    </w:p>
    <w:p w:rsidR="001F3A98" w:rsidRPr="00CF5A42" w:rsidRDefault="001F3A98" w:rsidP="001F3A98">
      <w:pPr>
        <w:rPr>
          <w:rFonts w:ascii="Calibri" w:hAnsi="Calibri"/>
        </w:rPr>
      </w:pPr>
    </w:p>
    <w:p w:rsidR="001F3A98" w:rsidRPr="00CF5A42" w:rsidRDefault="001F3A98" w:rsidP="001F3A98">
      <w:pPr>
        <w:rPr>
          <w:rFonts w:ascii="Calibri" w:hAnsi="Calibri"/>
          <w:b/>
        </w:rPr>
      </w:pPr>
      <w:bookmarkStart w:id="1593" w:name="_Toc425833585"/>
      <w:r w:rsidRPr="00CF5A42">
        <w:rPr>
          <w:rFonts w:ascii="Calibri" w:hAnsi="Calibri"/>
          <w:b/>
        </w:rPr>
        <w:t xml:space="preserve">6. </w:t>
      </w:r>
      <w:bookmarkEnd w:id="1593"/>
      <w:r w:rsidRPr="00CF5A42">
        <w:rPr>
          <w:rFonts w:ascii="Calibri" w:hAnsi="Calibri"/>
          <w:b/>
        </w:rPr>
        <w:t>KONTROLA JAKOŚCI ROBÓT</w:t>
      </w:r>
    </w:p>
    <w:p w:rsidR="001F3A98" w:rsidRPr="00CF5A42" w:rsidRDefault="001F3A98" w:rsidP="001F3A98">
      <w:pPr>
        <w:rPr>
          <w:rFonts w:ascii="Calibri" w:hAnsi="Calibri"/>
        </w:rPr>
      </w:pPr>
      <w:r w:rsidRPr="00CF5A42">
        <w:rPr>
          <w:rFonts w:ascii="Calibri" w:hAnsi="Calibri"/>
          <w:b/>
        </w:rPr>
        <w:t>6.1.</w:t>
      </w:r>
      <w:r w:rsidRPr="00CF5A42">
        <w:rPr>
          <w:rFonts w:ascii="Calibri" w:hAnsi="Calibri"/>
        </w:rPr>
        <w:t xml:space="preserve"> Ogólne zasady kontroli jakości robót</w:t>
      </w:r>
    </w:p>
    <w:p w:rsidR="001F3A98" w:rsidRPr="00CF5A42" w:rsidRDefault="001F3A98" w:rsidP="001F3A98">
      <w:pPr>
        <w:rPr>
          <w:rFonts w:ascii="Calibri" w:hAnsi="Calibri"/>
        </w:rPr>
      </w:pPr>
      <w:r w:rsidRPr="00CF5A42">
        <w:rPr>
          <w:rFonts w:ascii="Calibri" w:hAnsi="Calibri"/>
        </w:rPr>
        <w:tab/>
        <w:t>Ogólne zasady kontroli jakości robót podano w ST D-M-00.00.00 „Wymagania ogólne” pkt 6.</w:t>
      </w:r>
    </w:p>
    <w:p w:rsidR="001F3A98" w:rsidRPr="00CF5A42" w:rsidRDefault="001F3A98" w:rsidP="001F3A98">
      <w:pPr>
        <w:rPr>
          <w:rFonts w:ascii="Calibri" w:hAnsi="Calibri"/>
        </w:rPr>
      </w:pPr>
      <w:r w:rsidRPr="00CF5A42">
        <w:rPr>
          <w:rFonts w:ascii="Calibri" w:hAnsi="Calibri"/>
          <w:b/>
        </w:rPr>
        <w:t>6.2.</w:t>
      </w:r>
      <w:r w:rsidRPr="00CF5A42">
        <w:rPr>
          <w:rFonts w:ascii="Calibri" w:hAnsi="Calibri"/>
        </w:rPr>
        <w:t xml:space="preserve"> Badania materiałów do wykonania fundamentów betonowych</w:t>
      </w:r>
    </w:p>
    <w:p w:rsidR="001F3A98" w:rsidRPr="00CF5A42" w:rsidRDefault="001F3A98" w:rsidP="001F3A98">
      <w:pPr>
        <w:rPr>
          <w:rFonts w:ascii="Calibri" w:hAnsi="Calibri"/>
        </w:rPr>
      </w:pPr>
      <w:r w:rsidRPr="00CF5A42">
        <w:rPr>
          <w:rFonts w:ascii="Calibri" w:hAnsi="Calibri"/>
        </w:rPr>
        <w:tab/>
        <w:t>Wykonawca powinien przeprowadzić badania materiałów do wykonania fundamentów betonowych „na mokro”. Uwzględniając nieskomplikowany charakter robót fundamentowych, na wniosek Wykonawcy, Inżynier może zwolnić go z potrzeby wykonania badań materiałów dla tych robót.</w:t>
      </w:r>
    </w:p>
    <w:p w:rsidR="001F3A98" w:rsidRPr="00CF5A42" w:rsidRDefault="001F3A98" w:rsidP="001F3A98">
      <w:pPr>
        <w:rPr>
          <w:rFonts w:ascii="Calibri" w:hAnsi="Calibri"/>
        </w:rPr>
      </w:pPr>
      <w:r w:rsidRPr="00CF5A42">
        <w:rPr>
          <w:rFonts w:ascii="Calibri" w:hAnsi="Calibri"/>
          <w:b/>
        </w:rPr>
        <w:t>6.3.</w:t>
      </w:r>
      <w:r w:rsidRPr="00CF5A42">
        <w:rPr>
          <w:rFonts w:ascii="Calibri" w:hAnsi="Calibri"/>
        </w:rPr>
        <w:t xml:space="preserve"> Badania w czasie wykonywania robót</w:t>
      </w:r>
    </w:p>
    <w:p w:rsidR="001F3A98" w:rsidRPr="00CF5A42" w:rsidRDefault="001F3A98" w:rsidP="001F3A98">
      <w:pPr>
        <w:rPr>
          <w:rFonts w:ascii="Calibri" w:hAnsi="Calibri"/>
        </w:rPr>
      </w:pPr>
      <w:r w:rsidRPr="00CF5A42">
        <w:rPr>
          <w:rFonts w:ascii="Calibri" w:hAnsi="Calibri"/>
          <w:b/>
        </w:rPr>
        <w:t>6.3.1.</w:t>
      </w:r>
      <w:r w:rsidRPr="00CF5A42">
        <w:rPr>
          <w:rFonts w:ascii="Calibri" w:hAnsi="Calibri"/>
        </w:rPr>
        <w:t xml:space="preserve"> Badania materiałów w czasie wykonywania robót</w:t>
      </w:r>
    </w:p>
    <w:p w:rsidR="001F3A98" w:rsidRPr="00CF5A42" w:rsidRDefault="001F3A98" w:rsidP="001F3A98">
      <w:pPr>
        <w:rPr>
          <w:rFonts w:ascii="Calibri" w:hAnsi="Calibri"/>
        </w:rPr>
      </w:pPr>
      <w:r w:rsidRPr="00CF5A42">
        <w:rPr>
          <w:rFonts w:ascii="Calibri" w:hAnsi="Calibri"/>
        </w:rPr>
        <w:tab/>
        <w:t>Wszystkie materiały dostarczone na budowę powinny być sprawdzone w zakresie powierzchni wyrobu i jego wymiarów.</w:t>
      </w:r>
    </w:p>
    <w:p w:rsidR="001F3A98" w:rsidRPr="00CF5A42" w:rsidRDefault="001F3A98" w:rsidP="006456E2">
      <w:pPr>
        <w:ind w:firstLine="708"/>
        <w:rPr>
          <w:rFonts w:ascii="Calibri" w:hAnsi="Calibri"/>
        </w:rPr>
      </w:pPr>
      <w:r w:rsidRPr="00CF5A42">
        <w:rPr>
          <w:rFonts w:ascii="Calibri" w:hAnsi="Calibri"/>
        </w:rPr>
        <w:t>Częstotliwość badań i ocena ich wyników powinna być zgodna z ustaleniami zawartymi w tablicy 5.</w:t>
      </w:r>
    </w:p>
    <w:p w:rsidR="001F3A98" w:rsidRPr="00CF5A42" w:rsidRDefault="001F3A98" w:rsidP="001F3A98">
      <w:pPr>
        <w:rPr>
          <w:rFonts w:ascii="Calibri" w:hAnsi="Calibri"/>
        </w:rPr>
      </w:pPr>
    </w:p>
    <w:p w:rsidR="001F3A98" w:rsidRPr="00CF5A42" w:rsidRDefault="001F3A98" w:rsidP="006456E2">
      <w:pPr>
        <w:ind w:left="709"/>
        <w:rPr>
          <w:rFonts w:ascii="Calibri" w:hAnsi="Calibri"/>
        </w:rPr>
      </w:pPr>
      <w:r w:rsidRPr="00CF5A42">
        <w:rPr>
          <w:rFonts w:ascii="Calibri" w:hAnsi="Calibri"/>
        </w:rPr>
        <w:t>Tablica 5. Częstotliwość badań przy sprawdzeniu powierzchni i wymiarów wyrobów dostarczonych przez producentów</w:t>
      </w:r>
    </w:p>
    <w:tbl>
      <w:tblPr>
        <w:tblW w:w="7583" w:type="dxa"/>
        <w:tblInd w:w="77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tblPr>
      <w:tblGrid>
        <w:gridCol w:w="496"/>
        <w:gridCol w:w="1417"/>
        <w:gridCol w:w="1505"/>
        <w:gridCol w:w="2748"/>
        <w:gridCol w:w="1417"/>
      </w:tblGrid>
      <w:tr w:rsidR="001F3A98" w:rsidRPr="00CF5A42" w:rsidTr="00FD47C7">
        <w:tc>
          <w:tcPr>
            <w:tcW w:w="496" w:type="dxa"/>
            <w:tcBorders>
              <w:bottom w:val="double" w:sz="4" w:space="0" w:color="auto"/>
            </w:tcBorders>
          </w:tcPr>
          <w:p w:rsidR="001F3A98" w:rsidRPr="00CF5A42" w:rsidRDefault="001F3A98" w:rsidP="00FD47C7">
            <w:pPr>
              <w:jc w:val="center"/>
              <w:rPr>
                <w:rFonts w:ascii="Calibri" w:hAnsi="Calibri"/>
                <w:b/>
                <w:sz w:val="18"/>
                <w:szCs w:val="18"/>
              </w:rPr>
            </w:pPr>
            <w:r w:rsidRPr="00CF5A42">
              <w:rPr>
                <w:rFonts w:ascii="Calibri" w:hAnsi="Calibri"/>
                <w:b/>
                <w:sz w:val="18"/>
                <w:szCs w:val="18"/>
              </w:rPr>
              <w:t>Lp.</w:t>
            </w:r>
          </w:p>
        </w:tc>
        <w:tc>
          <w:tcPr>
            <w:tcW w:w="1417" w:type="dxa"/>
            <w:tcBorders>
              <w:bottom w:val="double" w:sz="4" w:space="0" w:color="auto"/>
            </w:tcBorders>
          </w:tcPr>
          <w:p w:rsidR="001F3A98" w:rsidRPr="00CF5A42" w:rsidRDefault="001F3A98" w:rsidP="00FD47C7">
            <w:pPr>
              <w:jc w:val="center"/>
              <w:rPr>
                <w:rFonts w:ascii="Calibri" w:hAnsi="Calibri"/>
                <w:b/>
                <w:sz w:val="18"/>
                <w:szCs w:val="18"/>
              </w:rPr>
            </w:pPr>
            <w:r w:rsidRPr="00CF5A42">
              <w:rPr>
                <w:rFonts w:ascii="Calibri" w:hAnsi="Calibri"/>
                <w:b/>
                <w:sz w:val="18"/>
                <w:szCs w:val="18"/>
              </w:rPr>
              <w:t>Rodzaj badania</w:t>
            </w:r>
          </w:p>
        </w:tc>
        <w:tc>
          <w:tcPr>
            <w:tcW w:w="1505" w:type="dxa"/>
            <w:tcBorders>
              <w:bottom w:val="double" w:sz="4" w:space="0" w:color="auto"/>
            </w:tcBorders>
          </w:tcPr>
          <w:p w:rsidR="001F3A98" w:rsidRPr="00CF5A42" w:rsidRDefault="001F3A98" w:rsidP="00FD47C7">
            <w:pPr>
              <w:jc w:val="center"/>
              <w:rPr>
                <w:rFonts w:ascii="Calibri" w:hAnsi="Calibri"/>
                <w:b/>
                <w:sz w:val="18"/>
                <w:szCs w:val="18"/>
              </w:rPr>
            </w:pPr>
            <w:r w:rsidRPr="00CF5A42">
              <w:rPr>
                <w:rFonts w:ascii="Calibri" w:hAnsi="Calibri"/>
                <w:b/>
                <w:sz w:val="18"/>
                <w:szCs w:val="18"/>
              </w:rPr>
              <w:t>Liczba badań</w:t>
            </w:r>
          </w:p>
        </w:tc>
        <w:tc>
          <w:tcPr>
            <w:tcW w:w="2748" w:type="dxa"/>
            <w:tcBorders>
              <w:bottom w:val="double" w:sz="4" w:space="0" w:color="auto"/>
            </w:tcBorders>
          </w:tcPr>
          <w:p w:rsidR="001F3A98" w:rsidRPr="00CF5A42" w:rsidRDefault="001F3A98" w:rsidP="00FD47C7">
            <w:pPr>
              <w:jc w:val="center"/>
              <w:rPr>
                <w:rFonts w:ascii="Calibri" w:hAnsi="Calibri"/>
                <w:b/>
                <w:sz w:val="18"/>
                <w:szCs w:val="18"/>
              </w:rPr>
            </w:pPr>
            <w:r w:rsidRPr="00CF5A42">
              <w:rPr>
                <w:rFonts w:ascii="Calibri" w:hAnsi="Calibri"/>
                <w:b/>
                <w:sz w:val="18"/>
                <w:szCs w:val="18"/>
              </w:rPr>
              <w:t>Opis badań</w:t>
            </w:r>
          </w:p>
        </w:tc>
        <w:tc>
          <w:tcPr>
            <w:tcW w:w="1417" w:type="dxa"/>
            <w:tcBorders>
              <w:bottom w:val="double" w:sz="4" w:space="0" w:color="auto"/>
            </w:tcBorders>
          </w:tcPr>
          <w:p w:rsidR="001F3A98" w:rsidRPr="00CF5A42" w:rsidRDefault="001F3A98" w:rsidP="00FD47C7">
            <w:pPr>
              <w:jc w:val="center"/>
              <w:rPr>
                <w:rFonts w:ascii="Calibri" w:hAnsi="Calibri"/>
                <w:b/>
                <w:sz w:val="18"/>
                <w:szCs w:val="18"/>
              </w:rPr>
            </w:pPr>
            <w:r w:rsidRPr="00CF5A42">
              <w:rPr>
                <w:rFonts w:ascii="Calibri" w:hAnsi="Calibri"/>
                <w:b/>
                <w:sz w:val="18"/>
                <w:szCs w:val="18"/>
              </w:rPr>
              <w:t>Ocena wyników badań</w:t>
            </w:r>
          </w:p>
        </w:tc>
      </w:tr>
      <w:tr w:rsidR="001F3A98" w:rsidRPr="00CF5A42" w:rsidTr="00FD47C7">
        <w:trPr>
          <w:cantSplit/>
        </w:trPr>
        <w:tc>
          <w:tcPr>
            <w:tcW w:w="496" w:type="dxa"/>
            <w:tcBorders>
              <w:top w:val="double" w:sz="4" w:space="0" w:color="auto"/>
            </w:tcBorders>
          </w:tcPr>
          <w:p w:rsidR="001F3A98" w:rsidRPr="00CF5A42" w:rsidRDefault="001F3A98" w:rsidP="00FD47C7">
            <w:pPr>
              <w:jc w:val="center"/>
              <w:rPr>
                <w:rFonts w:ascii="Calibri" w:hAnsi="Calibri"/>
                <w:sz w:val="18"/>
                <w:szCs w:val="18"/>
              </w:rPr>
            </w:pPr>
            <w:r w:rsidRPr="00CF5A42">
              <w:rPr>
                <w:rFonts w:ascii="Calibri" w:hAnsi="Calibri"/>
                <w:sz w:val="18"/>
                <w:szCs w:val="18"/>
              </w:rPr>
              <w:t>1</w:t>
            </w:r>
          </w:p>
        </w:tc>
        <w:tc>
          <w:tcPr>
            <w:tcW w:w="1417" w:type="dxa"/>
            <w:tcBorders>
              <w:top w:val="double" w:sz="4" w:space="0" w:color="auto"/>
            </w:tcBorders>
          </w:tcPr>
          <w:p w:rsidR="001F3A98" w:rsidRPr="00CF5A42" w:rsidRDefault="001F3A98" w:rsidP="00FD47C7">
            <w:pPr>
              <w:jc w:val="center"/>
              <w:rPr>
                <w:rFonts w:ascii="Calibri" w:hAnsi="Calibri"/>
                <w:sz w:val="18"/>
                <w:szCs w:val="18"/>
              </w:rPr>
            </w:pPr>
            <w:r w:rsidRPr="00CF5A42">
              <w:rPr>
                <w:rFonts w:ascii="Calibri" w:hAnsi="Calibri"/>
                <w:sz w:val="18"/>
                <w:szCs w:val="18"/>
              </w:rPr>
              <w:t>Sprawdzenie powierzchni</w:t>
            </w:r>
          </w:p>
        </w:tc>
        <w:tc>
          <w:tcPr>
            <w:tcW w:w="1505" w:type="dxa"/>
            <w:vMerge w:val="restart"/>
            <w:tcBorders>
              <w:top w:val="double" w:sz="4" w:space="0" w:color="auto"/>
            </w:tcBorders>
          </w:tcPr>
          <w:p w:rsidR="001F3A98" w:rsidRPr="00CF5A42" w:rsidRDefault="001F3A98" w:rsidP="00FD47C7">
            <w:pPr>
              <w:jc w:val="center"/>
              <w:rPr>
                <w:rFonts w:ascii="Calibri" w:hAnsi="Calibri"/>
                <w:sz w:val="18"/>
                <w:szCs w:val="18"/>
              </w:rPr>
            </w:pPr>
            <w:r w:rsidRPr="00CF5A42">
              <w:rPr>
                <w:rFonts w:ascii="Calibri" w:hAnsi="Calibri"/>
                <w:sz w:val="18"/>
                <w:szCs w:val="18"/>
              </w:rPr>
              <w:t>od 5 do 10 badań z wybranych losowo elementów w każdej dostarczonej partii wyrobów liczącej do 1000 elementów</w:t>
            </w:r>
          </w:p>
        </w:tc>
        <w:tc>
          <w:tcPr>
            <w:tcW w:w="2748" w:type="dxa"/>
            <w:tcBorders>
              <w:top w:val="double" w:sz="4" w:space="0" w:color="auto"/>
            </w:tcBorders>
          </w:tcPr>
          <w:p w:rsidR="001F3A98" w:rsidRPr="00CF5A42" w:rsidRDefault="001F3A98" w:rsidP="00FD47C7">
            <w:pPr>
              <w:jc w:val="center"/>
              <w:rPr>
                <w:rFonts w:ascii="Calibri" w:hAnsi="Calibri"/>
                <w:sz w:val="18"/>
                <w:szCs w:val="18"/>
              </w:rPr>
            </w:pPr>
            <w:r w:rsidRPr="00CF5A42">
              <w:rPr>
                <w:rFonts w:ascii="Calibri" w:hAnsi="Calibri"/>
                <w:sz w:val="18"/>
                <w:szCs w:val="18"/>
              </w:rPr>
              <w:t>Powierzchnię zbadać nieuzbrojonym okiem. Do ew. sprawdzenia głębokości wad użyć dostępnych narzędzi (np. liniałów z czujnikiem, suwmiarek, mikrometrów itp.</w:t>
            </w:r>
          </w:p>
        </w:tc>
        <w:tc>
          <w:tcPr>
            <w:tcW w:w="1417" w:type="dxa"/>
            <w:vMerge w:val="restart"/>
            <w:tcBorders>
              <w:top w:val="double" w:sz="4" w:space="0" w:color="auto"/>
            </w:tcBorders>
          </w:tcPr>
          <w:p w:rsidR="001F3A98" w:rsidRPr="00CF5A42" w:rsidRDefault="001F3A98" w:rsidP="00FD47C7">
            <w:pPr>
              <w:jc w:val="center"/>
              <w:rPr>
                <w:rFonts w:ascii="Calibri" w:hAnsi="Calibri"/>
                <w:sz w:val="18"/>
                <w:szCs w:val="18"/>
              </w:rPr>
            </w:pPr>
          </w:p>
          <w:p w:rsidR="001F3A98" w:rsidRPr="00CF5A42" w:rsidRDefault="001F3A98" w:rsidP="00FD47C7">
            <w:pPr>
              <w:jc w:val="center"/>
              <w:rPr>
                <w:rFonts w:ascii="Calibri" w:hAnsi="Calibri"/>
                <w:sz w:val="18"/>
                <w:szCs w:val="18"/>
              </w:rPr>
            </w:pPr>
          </w:p>
          <w:p w:rsidR="001F3A98" w:rsidRPr="00CF5A42" w:rsidRDefault="001F3A98" w:rsidP="00FD47C7">
            <w:pPr>
              <w:jc w:val="center"/>
              <w:rPr>
                <w:rFonts w:ascii="Calibri" w:hAnsi="Calibri"/>
                <w:sz w:val="18"/>
                <w:szCs w:val="18"/>
              </w:rPr>
            </w:pPr>
            <w:r w:rsidRPr="00CF5A42">
              <w:rPr>
                <w:rFonts w:ascii="Calibri" w:hAnsi="Calibri"/>
                <w:sz w:val="18"/>
                <w:szCs w:val="18"/>
              </w:rPr>
              <w:t>Wyniki badań powinny być zgodne z wymaganiami punktu 2</w:t>
            </w:r>
          </w:p>
        </w:tc>
      </w:tr>
      <w:tr w:rsidR="001F3A98" w:rsidRPr="00CF5A42" w:rsidTr="00FD47C7">
        <w:trPr>
          <w:cantSplit/>
        </w:trPr>
        <w:tc>
          <w:tcPr>
            <w:tcW w:w="496" w:type="dxa"/>
          </w:tcPr>
          <w:p w:rsidR="001F3A98" w:rsidRPr="00CF5A42" w:rsidRDefault="001F3A98" w:rsidP="00FD47C7">
            <w:pPr>
              <w:jc w:val="center"/>
              <w:rPr>
                <w:rFonts w:ascii="Calibri" w:hAnsi="Calibri"/>
                <w:sz w:val="18"/>
                <w:szCs w:val="18"/>
              </w:rPr>
            </w:pPr>
          </w:p>
          <w:p w:rsidR="001F3A98" w:rsidRPr="00CF5A42" w:rsidRDefault="001F3A98" w:rsidP="00FD47C7">
            <w:pPr>
              <w:jc w:val="center"/>
              <w:rPr>
                <w:rFonts w:ascii="Calibri" w:hAnsi="Calibri"/>
                <w:sz w:val="18"/>
                <w:szCs w:val="18"/>
              </w:rPr>
            </w:pPr>
            <w:r w:rsidRPr="00CF5A42">
              <w:rPr>
                <w:rFonts w:ascii="Calibri" w:hAnsi="Calibri"/>
                <w:sz w:val="18"/>
                <w:szCs w:val="18"/>
              </w:rPr>
              <w:t>2</w:t>
            </w:r>
          </w:p>
        </w:tc>
        <w:tc>
          <w:tcPr>
            <w:tcW w:w="1417" w:type="dxa"/>
          </w:tcPr>
          <w:p w:rsidR="001F3A98" w:rsidRPr="00CF5A42" w:rsidRDefault="001F3A98" w:rsidP="00FD47C7">
            <w:pPr>
              <w:jc w:val="center"/>
              <w:rPr>
                <w:rFonts w:ascii="Calibri" w:hAnsi="Calibri"/>
                <w:sz w:val="18"/>
                <w:szCs w:val="18"/>
              </w:rPr>
            </w:pPr>
          </w:p>
          <w:p w:rsidR="001F3A98" w:rsidRPr="00CF5A42" w:rsidRDefault="001F3A98" w:rsidP="00FD47C7">
            <w:pPr>
              <w:jc w:val="center"/>
              <w:rPr>
                <w:rFonts w:ascii="Calibri" w:hAnsi="Calibri"/>
                <w:sz w:val="18"/>
                <w:szCs w:val="18"/>
              </w:rPr>
            </w:pPr>
            <w:r w:rsidRPr="00CF5A42">
              <w:rPr>
                <w:rFonts w:ascii="Calibri" w:hAnsi="Calibri"/>
                <w:sz w:val="18"/>
                <w:szCs w:val="18"/>
              </w:rPr>
              <w:t>Sprawdzenie wymiarów</w:t>
            </w:r>
          </w:p>
        </w:tc>
        <w:tc>
          <w:tcPr>
            <w:tcW w:w="1505" w:type="dxa"/>
            <w:vMerge/>
          </w:tcPr>
          <w:p w:rsidR="001F3A98" w:rsidRPr="00CF5A42" w:rsidRDefault="001F3A98" w:rsidP="00FD47C7">
            <w:pPr>
              <w:jc w:val="center"/>
              <w:rPr>
                <w:rFonts w:ascii="Calibri" w:hAnsi="Calibri"/>
                <w:sz w:val="18"/>
                <w:szCs w:val="18"/>
              </w:rPr>
            </w:pPr>
          </w:p>
        </w:tc>
        <w:tc>
          <w:tcPr>
            <w:tcW w:w="2748" w:type="dxa"/>
          </w:tcPr>
          <w:p w:rsidR="001F3A98" w:rsidRPr="00CF5A42" w:rsidRDefault="001F3A98" w:rsidP="00FD47C7">
            <w:pPr>
              <w:jc w:val="center"/>
              <w:rPr>
                <w:rFonts w:ascii="Calibri" w:hAnsi="Calibri"/>
                <w:sz w:val="18"/>
                <w:szCs w:val="18"/>
              </w:rPr>
            </w:pPr>
            <w:r w:rsidRPr="00CF5A42">
              <w:rPr>
                <w:rFonts w:ascii="Calibri" w:hAnsi="Calibri"/>
                <w:sz w:val="18"/>
                <w:szCs w:val="18"/>
              </w:rPr>
              <w:t>Przeprowadzić uniwersalnymi przyrządami pomiarowymi lub sprawdzianami (np. liniałami, przymiarami itp.)</w:t>
            </w:r>
          </w:p>
        </w:tc>
        <w:tc>
          <w:tcPr>
            <w:tcW w:w="1417" w:type="dxa"/>
            <w:vMerge/>
          </w:tcPr>
          <w:p w:rsidR="001F3A98" w:rsidRPr="00CF5A42" w:rsidRDefault="001F3A98" w:rsidP="00FD47C7">
            <w:pPr>
              <w:jc w:val="center"/>
              <w:rPr>
                <w:rFonts w:ascii="Calibri" w:hAnsi="Calibri"/>
                <w:sz w:val="18"/>
                <w:szCs w:val="18"/>
              </w:rPr>
            </w:pPr>
          </w:p>
        </w:tc>
      </w:tr>
    </w:tbl>
    <w:p w:rsidR="001F3A98" w:rsidRPr="00CF5A42" w:rsidRDefault="001F3A98" w:rsidP="001F3A98">
      <w:pPr>
        <w:jc w:val="center"/>
        <w:rPr>
          <w:rFonts w:ascii="Calibri" w:hAnsi="Calibri"/>
        </w:rPr>
      </w:pPr>
    </w:p>
    <w:p w:rsidR="001F3A98" w:rsidRPr="00CF5A42" w:rsidRDefault="001F3A98" w:rsidP="001F3A98">
      <w:pPr>
        <w:rPr>
          <w:rFonts w:ascii="Calibri" w:hAnsi="Calibri"/>
        </w:rPr>
      </w:pPr>
      <w:r w:rsidRPr="00CF5A42">
        <w:rPr>
          <w:rFonts w:ascii="Calibri" w:hAnsi="Calibri"/>
        </w:rPr>
        <w:t xml:space="preserve">W przypadkach budzących wątpliwości można zlecić uprawnionej jednostce zbadanie właściwości dostarczonych wyrobów i materiałów w zakresie wymagań podanych w punkcie 2.  </w:t>
      </w:r>
    </w:p>
    <w:p w:rsidR="001F3A98" w:rsidRPr="00CF5A42" w:rsidRDefault="001F3A98" w:rsidP="001F3A98">
      <w:pPr>
        <w:rPr>
          <w:rFonts w:ascii="Calibri" w:hAnsi="Calibri"/>
        </w:rPr>
      </w:pPr>
      <w:r w:rsidRPr="00CF5A42">
        <w:rPr>
          <w:rFonts w:ascii="Calibri" w:hAnsi="Calibri"/>
          <w:b/>
        </w:rPr>
        <w:t>6.3.2.</w:t>
      </w:r>
      <w:r w:rsidRPr="00CF5A42">
        <w:rPr>
          <w:rFonts w:ascii="Calibri" w:hAnsi="Calibri"/>
        </w:rPr>
        <w:t xml:space="preserve"> Kontrola w czasie wykonywania robót</w:t>
      </w:r>
    </w:p>
    <w:p w:rsidR="001F3A98" w:rsidRPr="00CF5A42" w:rsidRDefault="001F3A98" w:rsidP="001F3A98">
      <w:pPr>
        <w:rPr>
          <w:rFonts w:ascii="Calibri" w:hAnsi="Calibri"/>
        </w:rPr>
      </w:pPr>
      <w:r w:rsidRPr="00CF5A42">
        <w:rPr>
          <w:rFonts w:ascii="Calibri" w:hAnsi="Calibri"/>
        </w:rPr>
        <w:tab/>
        <w:t>W czasie wykonywania robót należy sprawdzać:</w:t>
      </w:r>
    </w:p>
    <w:p w:rsidR="001F3A98" w:rsidRPr="00CF5A42" w:rsidRDefault="001F3A98" w:rsidP="001F3A98">
      <w:pPr>
        <w:rPr>
          <w:rFonts w:ascii="Calibri" w:hAnsi="Calibri"/>
        </w:rPr>
      </w:pPr>
      <w:r>
        <w:rPr>
          <w:rFonts w:ascii="Calibri" w:hAnsi="Calibri"/>
        </w:rPr>
        <w:t>-</w:t>
      </w:r>
      <w:r w:rsidRPr="00CF5A42">
        <w:rPr>
          <w:rFonts w:ascii="Calibri" w:hAnsi="Calibri"/>
        </w:rPr>
        <w:t>zgodność wykonania znaków pionowych z dokumentacją projektową (lokalizacja, wymiary znaków, wysokość zamocowania znaków),</w:t>
      </w:r>
    </w:p>
    <w:p w:rsidR="001F3A98" w:rsidRPr="00CF5A42" w:rsidRDefault="001F3A98" w:rsidP="001F3A98">
      <w:pPr>
        <w:rPr>
          <w:rFonts w:ascii="Calibri" w:hAnsi="Calibri"/>
        </w:rPr>
      </w:pPr>
      <w:r>
        <w:rPr>
          <w:rFonts w:ascii="Calibri" w:hAnsi="Calibri"/>
        </w:rPr>
        <w:t>-</w:t>
      </w:r>
      <w:r w:rsidRPr="00CF5A42">
        <w:rPr>
          <w:rFonts w:ascii="Calibri" w:hAnsi="Calibri"/>
        </w:rPr>
        <w:t>zachowanie dopuszczalnych odchyłek wymiarów, zgodnie z punktem 2 i 5,</w:t>
      </w:r>
    </w:p>
    <w:p w:rsidR="001F3A98" w:rsidRPr="00CF5A42" w:rsidRDefault="001F3A98" w:rsidP="001F3A98">
      <w:pPr>
        <w:rPr>
          <w:rFonts w:ascii="Calibri" w:hAnsi="Calibri"/>
        </w:rPr>
      </w:pPr>
      <w:r>
        <w:rPr>
          <w:rFonts w:ascii="Calibri" w:hAnsi="Calibri"/>
        </w:rPr>
        <w:t>-</w:t>
      </w:r>
      <w:r w:rsidRPr="00CF5A42">
        <w:rPr>
          <w:rFonts w:ascii="Calibri" w:hAnsi="Calibri"/>
        </w:rPr>
        <w:t>prawidłowość wykonania wykopów pod konstrukcje wsporcze, zgodnie z punktem 5.3,</w:t>
      </w:r>
    </w:p>
    <w:p w:rsidR="001F3A98" w:rsidRPr="00CF5A42" w:rsidRDefault="001F3A98" w:rsidP="001F3A98">
      <w:pPr>
        <w:rPr>
          <w:rFonts w:ascii="Calibri" w:hAnsi="Calibri"/>
        </w:rPr>
      </w:pPr>
      <w:r>
        <w:rPr>
          <w:rFonts w:ascii="Calibri" w:hAnsi="Calibri"/>
        </w:rPr>
        <w:t>-</w:t>
      </w:r>
      <w:r w:rsidRPr="00CF5A42">
        <w:rPr>
          <w:rFonts w:ascii="Calibri" w:hAnsi="Calibri"/>
        </w:rPr>
        <w:t>poprawność wykonania fundamentów pod słupki zgodnie z punktem 5.3,</w:t>
      </w:r>
    </w:p>
    <w:p w:rsidR="001F3A98" w:rsidRPr="00CF5A42" w:rsidRDefault="001F3A98" w:rsidP="001F3A98">
      <w:pPr>
        <w:rPr>
          <w:rFonts w:ascii="Calibri" w:hAnsi="Calibri"/>
        </w:rPr>
      </w:pPr>
      <w:r>
        <w:rPr>
          <w:rFonts w:ascii="Calibri" w:hAnsi="Calibri"/>
        </w:rPr>
        <w:lastRenderedPageBreak/>
        <w:t>-</w:t>
      </w:r>
      <w:r w:rsidRPr="00CF5A42">
        <w:rPr>
          <w:rFonts w:ascii="Calibri" w:hAnsi="Calibri"/>
        </w:rPr>
        <w:t>poprawność ustawienia słupków i konstrukcji wsporczych, zgodnie z punktem 5.4 i 5.5,</w:t>
      </w:r>
    </w:p>
    <w:p w:rsidR="001F3A98" w:rsidRPr="00CF5A42" w:rsidRDefault="001F3A98" w:rsidP="001F3A98">
      <w:pPr>
        <w:rPr>
          <w:rFonts w:ascii="Calibri" w:hAnsi="Calibri"/>
        </w:rPr>
      </w:pPr>
      <w:r>
        <w:rPr>
          <w:rFonts w:ascii="Calibri" w:hAnsi="Calibri"/>
        </w:rPr>
        <w:t>-</w:t>
      </w:r>
      <w:r w:rsidRPr="00CF5A42">
        <w:rPr>
          <w:rFonts w:ascii="Calibri" w:hAnsi="Calibri"/>
        </w:rPr>
        <w:t>zgodność rodzaju i grubości blachy ze specyfikacją.</w:t>
      </w:r>
    </w:p>
    <w:p w:rsidR="001F3A98" w:rsidRPr="00CF5A42" w:rsidRDefault="001F3A98" w:rsidP="001F3A98">
      <w:pPr>
        <w:rPr>
          <w:rFonts w:ascii="Calibri" w:hAnsi="Calibri"/>
        </w:rPr>
      </w:pPr>
    </w:p>
    <w:p w:rsidR="001F3A98" w:rsidRPr="00CF5A42" w:rsidRDefault="001F3A98" w:rsidP="001F3A98">
      <w:pPr>
        <w:rPr>
          <w:rFonts w:ascii="Calibri" w:hAnsi="Calibri"/>
          <w:b/>
        </w:rPr>
      </w:pPr>
      <w:bookmarkStart w:id="1594" w:name="_Toc425562419"/>
      <w:bookmarkStart w:id="1595" w:name="_Toc425833586"/>
      <w:r w:rsidRPr="00CF5A42">
        <w:rPr>
          <w:rFonts w:ascii="Calibri" w:hAnsi="Calibri"/>
          <w:b/>
        </w:rPr>
        <w:t>7. OBMIAR ROBÓT</w:t>
      </w:r>
      <w:bookmarkEnd w:id="1594"/>
      <w:bookmarkEnd w:id="1595"/>
    </w:p>
    <w:p w:rsidR="001F3A98" w:rsidRPr="00CF5A42" w:rsidRDefault="001F3A98" w:rsidP="001F3A98">
      <w:pPr>
        <w:rPr>
          <w:rFonts w:ascii="Calibri" w:hAnsi="Calibri"/>
        </w:rPr>
      </w:pPr>
      <w:r w:rsidRPr="00CF5A42">
        <w:rPr>
          <w:rFonts w:ascii="Calibri" w:hAnsi="Calibri"/>
          <w:b/>
        </w:rPr>
        <w:t>7.1.</w:t>
      </w:r>
      <w:r w:rsidRPr="00CF5A42">
        <w:rPr>
          <w:rFonts w:ascii="Calibri" w:hAnsi="Calibri"/>
        </w:rPr>
        <w:t xml:space="preserve"> Ogólne zasady obmiaru robót</w:t>
      </w:r>
    </w:p>
    <w:p w:rsidR="001F3A98" w:rsidRPr="00CF5A42" w:rsidRDefault="001F3A98" w:rsidP="001F3A98">
      <w:pPr>
        <w:rPr>
          <w:rFonts w:ascii="Calibri" w:hAnsi="Calibri"/>
        </w:rPr>
      </w:pPr>
      <w:r w:rsidRPr="00CF5A42">
        <w:rPr>
          <w:rFonts w:ascii="Calibri" w:hAnsi="Calibri"/>
        </w:rPr>
        <w:tab/>
        <w:t>Ogólne zasady obmiaru robót podano w ST D-M-00.00.00 „Wymagania ogólne” pkt 7.</w:t>
      </w:r>
    </w:p>
    <w:p w:rsidR="001F3A98" w:rsidRPr="00CF5A42" w:rsidRDefault="001F3A98" w:rsidP="001F3A98">
      <w:pPr>
        <w:rPr>
          <w:rFonts w:ascii="Calibri" w:hAnsi="Calibri"/>
        </w:rPr>
      </w:pPr>
      <w:r w:rsidRPr="00CF5A42">
        <w:rPr>
          <w:rFonts w:ascii="Calibri" w:hAnsi="Calibri"/>
          <w:b/>
        </w:rPr>
        <w:t>7.2.</w:t>
      </w:r>
      <w:r w:rsidRPr="00CF5A42">
        <w:rPr>
          <w:rFonts w:ascii="Calibri" w:hAnsi="Calibri"/>
        </w:rPr>
        <w:t xml:space="preserve"> Jednostka obmiarowa</w:t>
      </w:r>
    </w:p>
    <w:p w:rsidR="001F3A98" w:rsidRPr="00CF5A42" w:rsidRDefault="001F3A98" w:rsidP="001F3A98">
      <w:pPr>
        <w:rPr>
          <w:rFonts w:ascii="Calibri" w:hAnsi="Calibri"/>
        </w:rPr>
      </w:pPr>
      <w:r w:rsidRPr="00CF5A42">
        <w:rPr>
          <w:rFonts w:ascii="Calibri" w:hAnsi="Calibri"/>
        </w:rPr>
        <w:t>Jednostkami obmiarowymi są:</w:t>
      </w:r>
    </w:p>
    <w:p w:rsidR="001F3A98" w:rsidRPr="00CF5A42" w:rsidRDefault="001F3A98" w:rsidP="001F3A98">
      <w:pPr>
        <w:rPr>
          <w:rFonts w:ascii="Calibri" w:hAnsi="Calibri"/>
        </w:rPr>
      </w:pPr>
      <w:r>
        <w:rPr>
          <w:rFonts w:ascii="Calibri" w:hAnsi="Calibri"/>
        </w:rPr>
        <w:t>-</w:t>
      </w:r>
      <w:r w:rsidRPr="00CF5A42">
        <w:rPr>
          <w:rFonts w:ascii="Calibri" w:hAnsi="Calibri"/>
        </w:rPr>
        <w:t>1 szt. (sztuka), dla znaków drogowych konwencjonalnych oraz konstrukcji wsporczych,</w:t>
      </w:r>
    </w:p>
    <w:p w:rsidR="001F3A98" w:rsidRPr="00CF5A42" w:rsidRDefault="001F3A98" w:rsidP="001F3A98">
      <w:pPr>
        <w:rPr>
          <w:rFonts w:ascii="Calibri" w:hAnsi="Calibri"/>
        </w:rPr>
      </w:pPr>
      <w:r>
        <w:rPr>
          <w:rFonts w:ascii="Calibri" w:hAnsi="Calibri"/>
        </w:rPr>
        <w:t>-</w:t>
      </w:r>
      <w:r w:rsidRPr="00CF5A42">
        <w:rPr>
          <w:rFonts w:ascii="Calibri" w:hAnsi="Calibri"/>
        </w:rPr>
        <w:t>1 m2 (metr kwadratowy) powierzchni tablic dla znaków pozostałych.</w:t>
      </w:r>
    </w:p>
    <w:p w:rsidR="001F3A98" w:rsidRPr="00CF5A42" w:rsidRDefault="001F3A98" w:rsidP="001F3A98">
      <w:pPr>
        <w:rPr>
          <w:rFonts w:ascii="Calibri" w:hAnsi="Calibri"/>
        </w:rPr>
      </w:pPr>
    </w:p>
    <w:p w:rsidR="001F3A98" w:rsidRPr="00CF5A42" w:rsidRDefault="001F3A98" w:rsidP="001F3A98">
      <w:pPr>
        <w:rPr>
          <w:rFonts w:ascii="Calibri" w:hAnsi="Calibri"/>
          <w:b/>
        </w:rPr>
      </w:pPr>
      <w:bookmarkStart w:id="1596" w:name="_Toc425562420"/>
      <w:bookmarkStart w:id="1597" w:name="_Toc425833587"/>
      <w:r w:rsidRPr="00CF5A42">
        <w:rPr>
          <w:rFonts w:ascii="Calibri" w:hAnsi="Calibri"/>
          <w:b/>
        </w:rPr>
        <w:t>8. ODBIÓR ROBÓT</w:t>
      </w:r>
      <w:bookmarkEnd w:id="1596"/>
      <w:bookmarkEnd w:id="1597"/>
    </w:p>
    <w:p w:rsidR="001F3A98" w:rsidRPr="00CF5A42" w:rsidRDefault="001F3A98" w:rsidP="001F3A98">
      <w:pPr>
        <w:rPr>
          <w:rFonts w:ascii="Calibri" w:hAnsi="Calibri"/>
        </w:rPr>
      </w:pPr>
      <w:r w:rsidRPr="00CF5A42">
        <w:rPr>
          <w:rFonts w:ascii="Calibri" w:hAnsi="Calibri"/>
          <w:b/>
        </w:rPr>
        <w:t>8.1.</w:t>
      </w:r>
      <w:r w:rsidRPr="00CF5A42">
        <w:rPr>
          <w:rFonts w:ascii="Calibri" w:hAnsi="Calibri"/>
        </w:rPr>
        <w:t xml:space="preserve"> Ogólne zasady odbioru robót</w:t>
      </w:r>
    </w:p>
    <w:p w:rsidR="001F3A98" w:rsidRPr="00CF5A42" w:rsidRDefault="001F3A98" w:rsidP="001F3A98">
      <w:pPr>
        <w:rPr>
          <w:rFonts w:ascii="Calibri" w:hAnsi="Calibri"/>
        </w:rPr>
      </w:pPr>
      <w:r w:rsidRPr="00CF5A42">
        <w:rPr>
          <w:rFonts w:ascii="Calibri" w:hAnsi="Calibri"/>
        </w:rPr>
        <w:tab/>
        <w:t>Ogólne zasady odbioru robót podano w ST D-M-00.00.00 „Wymagania ogólne” pkt 8.</w:t>
      </w:r>
    </w:p>
    <w:p w:rsidR="001F3A98" w:rsidRPr="00CF5A42" w:rsidRDefault="001F3A98" w:rsidP="001F3A98">
      <w:pPr>
        <w:rPr>
          <w:rFonts w:ascii="Calibri" w:hAnsi="Calibri"/>
        </w:rPr>
      </w:pPr>
      <w:r w:rsidRPr="00CF5A42">
        <w:rPr>
          <w:rFonts w:ascii="Calibri" w:hAnsi="Calibri"/>
        </w:rPr>
        <w:tab/>
        <w:t>Roboty uznaje się za wykonane zgodnie z dokumentacją projektową, ST i wymaganiami Inżyniera, jeżeli wszystkie pomiary i badania z zachowaniem tolerancji wg pkt 6, dały wyniki pozytywne.</w:t>
      </w:r>
    </w:p>
    <w:p w:rsidR="001F3A98" w:rsidRPr="00CF5A42" w:rsidRDefault="001F3A98" w:rsidP="001F3A98">
      <w:pPr>
        <w:rPr>
          <w:rFonts w:ascii="Calibri" w:hAnsi="Calibri"/>
        </w:rPr>
      </w:pPr>
      <w:r w:rsidRPr="00CF5A42">
        <w:rPr>
          <w:rFonts w:ascii="Calibri" w:hAnsi="Calibri"/>
          <w:b/>
        </w:rPr>
        <w:t>8.2.</w:t>
      </w:r>
      <w:r w:rsidRPr="00CF5A42">
        <w:rPr>
          <w:rFonts w:ascii="Calibri" w:hAnsi="Calibri"/>
        </w:rPr>
        <w:t xml:space="preserve"> Odbiór ostateczny</w:t>
      </w:r>
    </w:p>
    <w:p w:rsidR="001F3A98" w:rsidRPr="00CF5A42" w:rsidRDefault="001F3A98" w:rsidP="001F3A98">
      <w:pPr>
        <w:rPr>
          <w:rFonts w:ascii="Calibri" w:hAnsi="Calibri"/>
        </w:rPr>
      </w:pPr>
      <w:r w:rsidRPr="00CF5A42">
        <w:rPr>
          <w:rFonts w:ascii="Calibri" w:hAnsi="Calibri"/>
        </w:rPr>
        <w:tab/>
        <w:t>Odbiór robót oznakowania pionowego dokonywany jest na zasadzie odbioru ostatecznego.</w:t>
      </w:r>
    </w:p>
    <w:p w:rsidR="001F3A98" w:rsidRPr="00CF5A42" w:rsidRDefault="001F3A98" w:rsidP="001F3A98">
      <w:pPr>
        <w:rPr>
          <w:rFonts w:ascii="Calibri" w:hAnsi="Calibri"/>
        </w:rPr>
      </w:pPr>
      <w:r w:rsidRPr="00CF5A42">
        <w:rPr>
          <w:rFonts w:ascii="Calibri" w:hAnsi="Calibri"/>
        </w:rPr>
        <w:tab/>
        <w:t>Odbiór ostateczny powinien być dokonany po całkowitym zakończeniu robót, na podstawie wyników pomiarów i badań jakościowych określonych w punktach 2 i 5.</w:t>
      </w:r>
    </w:p>
    <w:p w:rsidR="001F3A98" w:rsidRPr="00CF5A42" w:rsidRDefault="001F3A98" w:rsidP="001F3A98">
      <w:pPr>
        <w:rPr>
          <w:rFonts w:ascii="Calibri" w:hAnsi="Calibri"/>
        </w:rPr>
      </w:pPr>
      <w:r w:rsidRPr="00CF5A42">
        <w:rPr>
          <w:rFonts w:ascii="Calibri" w:hAnsi="Calibri"/>
          <w:b/>
        </w:rPr>
        <w:t>8.3.</w:t>
      </w:r>
      <w:r w:rsidRPr="00CF5A42">
        <w:rPr>
          <w:rFonts w:ascii="Calibri" w:hAnsi="Calibri"/>
        </w:rPr>
        <w:t xml:space="preserve"> Odbiór pogwarancyjny</w:t>
      </w:r>
    </w:p>
    <w:p w:rsidR="001F3A98" w:rsidRPr="00CF5A42" w:rsidRDefault="001F3A98" w:rsidP="001F3A98">
      <w:pPr>
        <w:rPr>
          <w:rFonts w:ascii="Calibri" w:hAnsi="Calibri"/>
        </w:rPr>
      </w:pPr>
      <w:r w:rsidRPr="00CF5A42">
        <w:rPr>
          <w:rFonts w:ascii="Calibri" w:hAnsi="Calibri"/>
        </w:rPr>
        <w:tab/>
        <w:t>Przed upływem okresu gwarancyjnego należy wykonać przegląd znaków i wybraną grupę poddać badaniom fotometrycznym lica. Pozytywne wyniki przeglądu i badań mogą być podstawą odbioru pogwarancyjnego.</w:t>
      </w:r>
    </w:p>
    <w:p w:rsidR="001F3A98" w:rsidRPr="00CF5A42" w:rsidRDefault="001F3A98" w:rsidP="001F3A98">
      <w:pPr>
        <w:rPr>
          <w:rFonts w:ascii="Calibri" w:hAnsi="Calibri"/>
        </w:rPr>
      </w:pPr>
      <w:r w:rsidRPr="00CF5A42">
        <w:rPr>
          <w:rFonts w:ascii="Calibri" w:hAnsi="Calibri"/>
        </w:rPr>
        <w:t>Odbiór pogwarancyjny należy przeprowadzić w ciągu 1 miesiąca po upływie okresu gwarancyjnego.</w:t>
      </w:r>
    </w:p>
    <w:p w:rsidR="001F3A98" w:rsidRPr="00CF5A42" w:rsidRDefault="001F3A98" w:rsidP="001F3A98">
      <w:pPr>
        <w:rPr>
          <w:rFonts w:ascii="Calibri" w:hAnsi="Calibri"/>
        </w:rPr>
      </w:pPr>
    </w:p>
    <w:p w:rsidR="001F3A98" w:rsidRPr="00CF5A42" w:rsidRDefault="001F3A98" w:rsidP="001F3A98">
      <w:pPr>
        <w:rPr>
          <w:rFonts w:ascii="Calibri" w:hAnsi="Calibri"/>
          <w:b/>
        </w:rPr>
      </w:pPr>
      <w:bookmarkStart w:id="1598" w:name="_Toc425833588"/>
      <w:r w:rsidRPr="00CF5A42">
        <w:rPr>
          <w:rFonts w:ascii="Calibri" w:hAnsi="Calibri"/>
          <w:b/>
        </w:rPr>
        <w:t xml:space="preserve">9. </w:t>
      </w:r>
      <w:bookmarkEnd w:id="1598"/>
      <w:r w:rsidRPr="00CF5A42">
        <w:rPr>
          <w:rFonts w:ascii="Calibri" w:hAnsi="Calibri"/>
          <w:b/>
        </w:rPr>
        <w:t>PODSTAWA PŁATNOSCI</w:t>
      </w:r>
    </w:p>
    <w:p w:rsidR="001F3A98" w:rsidRPr="00CF5A42" w:rsidRDefault="001F3A98" w:rsidP="001F3A98">
      <w:pPr>
        <w:rPr>
          <w:rFonts w:ascii="Calibri" w:hAnsi="Calibri"/>
        </w:rPr>
      </w:pPr>
      <w:r w:rsidRPr="00CF5A42">
        <w:rPr>
          <w:rFonts w:ascii="Calibri" w:hAnsi="Calibri"/>
          <w:b/>
        </w:rPr>
        <w:t>9.1.</w:t>
      </w:r>
      <w:r w:rsidRPr="00CF5A42">
        <w:rPr>
          <w:rFonts w:ascii="Calibri" w:hAnsi="Calibri"/>
        </w:rPr>
        <w:t xml:space="preserve"> Ogólne ustalenia dotyczące podstawy płatności</w:t>
      </w:r>
    </w:p>
    <w:p w:rsidR="001F3A98" w:rsidRPr="00CF5A42" w:rsidRDefault="001F3A98" w:rsidP="001F3A98">
      <w:pPr>
        <w:rPr>
          <w:rFonts w:ascii="Calibri" w:hAnsi="Calibri"/>
        </w:rPr>
      </w:pPr>
      <w:r w:rsidRPr="00CF5A42">
        <w:rPr>
          <w:rFonts w:ascii="Calibri" w:hAnsi="Calibri"/>
        </w:rPr>
        <w:tab/>
        <w:t>Ogólne ustalenia dotyczące podstawy płatności podano w ST D-M-00.00.00 „Wymagania ogólne” pkt 9.</w:t>
      </w:r>
    </w:p>
    <w:p w:rsidR="001F3A98" w:rsidRPr="00CF5A42" w:rsidRDefault="001F3A98" w:rsidP="001F3A98">
      <w:pPr>
        <w:rPr>
          <w:rFonts w:ascii="Calibri" w:hAnsi="Calibri"/>
        </w:rPr>
      </w:pPr>
      <w:r w:rsidRPr="00CF5A42">
        <w:rPr>
          <w:rFonts w:ascii="Calibri" w:hAnsi="Calibri"/>
          <w:b/>
        </w:rPr>
        <w:t>9.2.</w:t>
      </w:r>
      <w:r w:rsidRPr="00CF5A42">
        <w:rPr>
          <w:rFonts w:ascii="Calibri" w:hAnsi="Calibri"/>
        </w:rPr>
        <w:t xml:space="preserve"> Cena jednostki obmiarowej</w:t>
      </w:r>
    </w:p>
    <w:p w:rsidR="001F3A98" w:rsidRPr="00CF5A42" w:rsidRDefault="001F3A98" w:rsidP="001F3A98">
      <w:pPr>
        <w:rPr>
          <w:rFonts w:ascii="Calibri" w:hAnsi="Calibri"/>
        </w:rPr>
      </w:pPr>
      <w:r w:rsidRPr="00CF5A42">
        <w:rPr>
          <w:rFonts w:ascii="Calibri" w:hAnsi="Calibri"/>
        </w:rPr>
        <w:tab/>
        <w:t>Cena wykonania jednostki obmiarowej oznakowania pionowego obejmuje:</w:t>
      </w:r>
    </w:p>
    <w:p w:rsidR="001F3A98" w:rsidRPr="00CF5A42" w:rsidRDefault="001F3A98" w:rsidP="001F3A98">
      <w:pPr>
        <w:rPr>
          <w:rFonts w:ascii="Calibri" w:hAnsi="Calibri"/>
        </w:rPr>
      </w:pPr>
      <w:r>
        <w:rPr>
          <w:rFonts w:ascii="Calibri" w:hAnsi="Calibri"/>
        </w:rPr>
        <w:t>-</w:t>
      </w:r>
      <w:r w:rsidRPr="00CF5A42">
        <w:rPr>
          <w:rFonts w:ascii="Calibri" w:hAnsi="Calibri"/>
        </w:rPr>
        <w:t>prace pomiarowe i roboty przygotowawcze,</w:t>
      </w:r>
    </w:p>
    <w:p w:rsidR="001F3A98" w:rsidRPr="00CF5A42" w:rsidRDefault="001F3A98" w:rsidP="001F3A98">
      <w:pPr>
        <w:rPr>
          <w:rFonts w:ascii="Calibri" w:hAnsi="Calibri"/>
        </w:rPr>
      </w:pPr>
      <w:r>
        <w:rPr>
          <w:rFonts w:ascii="Calibri" w:hAnsi="Calibri"/>
        </w:rPr>
        <w:t>-</w:t>
      </w:r>
      <w:r w:rsidRPr="00CF5A42">
        <w:rPr>
          <w:rFonts w:ascii="Calibri" w:hAnsi="Calibri"/>
        </w:rPr>
        <w:t>wykonanie fundamentów,</w:t>
      </w:r>
    </w:p>
    <w:p w:rsidR="001F3A98" w:rsidRPr="00CF5A42" w:rsidRDefault="001F3A98" w:rsidP="001F3A98">
      <w:pPr>
        <w:rPr>
          <w:rFonts w:ascii="Calibri" w:hAnsi="Calibri"/>
        </w:rPr>
      </w:pPr>
      <w:r>
        <w:rPr>
          <w:rFonts w:ascii="Calibri" w:hAnsi="Calibri"/>
        </w:rPr>
        <w:t>-</w:t>
      </w:r>
      <w:r w:rsidRPr="00CF5A42">
        <w:rPr>
          <w:rFonts w:ascii="Calibri" w:hAnsi="Calibri"/>
        </w:rPr>
        <w:t>dostarczenie i ustawienie konstrukcji wsporczych,</w:t>
      </w:r>
    </w:p>
    <w:p w:rsidR="001F3A98" w:rsidRPr="00CF5A42" w:rsidRDefault="001F3A98" w:rsidP="001F3A98">
      <w:pPr>
        <w:rPr>
          <w:rFonts w:ascii="Calibri" w:hAnsi="Calibri"/>
        </w:rPr>
      </w:pPr>
      <w:r>
        <w:rPr>
          <w:rFonts w:ascii="Calibri" w:hAnsi="Calibri"/>
        </w:rPr>
        <w:t>-</w:t>
      </w:r>
      <w:r w:rsidRPr="00CF5A42">
        <w:rPr>
          <w:rFonts w:ascii="Calibri" w:hAnsi="Calibri"/>
        </w:rPr>
        <w:t>zamocowanie tarcz znaków drogowych,</w:t>
      </w:r>
    </w:p>
    <w:p w:rsidR="001F3A98" w:rsidRPr="00CF5A42" w:rsidRDefault="001F3A98" w:rsidP="001F3A98">
      <w:pPr>
        <w:rPr>
          <w:rFonts w:ascii="Calibri" w:hAnsi="Calibri"/>
        </w:rPr>
      </w:pPr>
      <w:r>
        <w:rPr>
          <w:rFonts w:ascii="Calibri" w:hAnsi="Calibri"/>
        </w:rPr>
        <w:t>-</w:t>
      </w:r>
      <w:r w:rsidRPr="00CF5A42">
        <w:rPr>
          <w:rFonts w:ascii="Calibri" w:hAnsi="Calibri"/>
        </w:rPr>
        <w:t>przeprowadzenie pomiarów i badań wymaganych w ST.</w:t>
      </w:r>
    </w:p>
    <w:p w:rsidR="001F3A98" w:rsidRPr="00CF5A42" w:rsidRDefault="001F3A98" w:rsidP="001F3A98">
      <w:pPr>
        <w:rPr>
          <w:rFonts w:ascii="Calibri" w:hAnsi="Calibri"/>
        </w:rPr>
      </w:pPr>
    </w:p>
    <w:p w:rsidR="001F3A98" w:rsidRPr="00CF5A42" w:rsidRDefault="001F3A98" w:rsidP="001F3A98">
      <w:pPr>
        <w:rPr>
          <w:rFonts w:ascii="Calibri" w:hAnsi="Calibri"/>
          <w:b/>
        </w:rPr>
      </w:pPr>
      <w:bookmarkStart w:id="1599" w:name="_Toc425833589"/>
      <w:r w:rsidRPr="00CF5A42">
        <w:rPr>
          <w:rFonts w:ascii="Calibri" w:hAnsi="Calibri"/>
          <w:b/>
        </w:rPr>
        <w:t xml:space="preserve">10. NORMY I </w:t>
      </w:r>
      <w:bookmarkEnd w:id="1599"/>
      <w:r w:rsidRPr="00CF5A42">
        <w:rPr>
          <w:rFonts w:ascii="Calibri" w:hAnsi="Calibri"/>
          <w:b/>
        </w:rPr>
        <w:t>PRZEPISY ZWIĄZANE</w:t>
      </w:r>
    </w:p>
    <w:p w:rsidR="001F3A98" w:rsidRPr="00CF5A42" w:rsidRDefault="001F3A98" w:rsidP="001F3A98">
      <w:pPr>
        <w:rPr>
          <w:rFonts w:ascii="Calibri" w:hAnsi="Calibri"/>
        </w:rPr>
      </w:pPr>
      <w:r w:rsidRPr="00CF5A42">
        <w:rPr>
          <w:rFonts w:ascii="Calibri" w:hAnsi="Calibri"/>
          <w:b/>
        </w:rPr>
        <w:t>10.1.</w:t>
      </w:r>
      <w:r w:rsidRPr="00CF5A42">
        <w:rPr>
          <w:rFonts w:ascii="Calibri" w:hAnsi="Calibri"/>
        </w:rPr>
        <w:t xml:space="preserve"> Normy</w:t>
      </w:r>
    </w:p>
    <w:tbl>
      <w:tblPr>
        <w:tblW w:w="0" w:type="auto"/>
        <w:tblLayout w:type="fixed"/>
        <w:tblCellMar>
          <w:left w:w="70" w:type="dxa"/>
          <w:right w:w="70" w:type="dxa"/>
        </w:tblCellMar>
        <w:tblLook w:val="0000"/>
      </w:tblPr>
      <w:tblGrid>
        <w:gridCol w:w="496"/>
        <w:gridCol w:w="2268"/>
        <w:gridCol w:w="4745"/>
      </w:tblGrid>
      <w:tr w:rsidR="001F3A98" w:rsidRPr="00CF5A42" w:rsidTr="00FD47C7">
        <w:tc>
          <w:tcPr>
            <w:tcW w:w="496" w:type="dxa"/>
            <w:tcBorders>
              <w:top w:val="nil"/>
              <w:left w:val="nil"/>
              <w:bottom w:val="nil"/>
              <w:right w:val="nil"/>
            </w:tcBorders>
          </w:tcPr>
          <w:p w:rsidR="001F3A98" w:rsidRPr="00CF5A42" w:rsidRDefault="001F3A98" w:rsidP="00FD47C7">
            <w:pPr>
              <w:rPr>
                <w:rFonts w:ascii="Calibri" w:hAnsi="Calibri"/>
              </w:rPr>
            </w:pPr>
            <w:r w:rsidRPr="00CF5A42">
              <w:rPr>
                <w:rFonts w:ascii="Calibri" w:hAnsi="Calibri"/>
              </w:rPr>
              <w:t xml:space="preserve">  1.</w:t>
            </w:r>
          </w:p>
        </w:tc>
        <w:tc>
          <w:tcPr>
            <w:tcW w:w="2268" w:type="dxa"/>
            <w:tcBorders>
              <w:top w:val="nil"/>
              <w:left w:val="nil"/>
              <w:bottom w:val="nil"/>
              <w:right w:val="nil"/>
            </w:tcBorders>
          </w:tcPr>
          <w:p w:rsidR="001F3A98" w:rsidRPr="00CF5A42" w:rsidRDefault="001F3A98" w:rsidP="00FD47C7">
            <w:pPr>
              <w:rPr>
                <w:rFonts w:ascii="Calibri" w:hAnsi="Calibri"/>
              </w:rPr>
            </w:pPr>
            <w:r w:rsidRPr="00CF5A42">
              <w:rPr>
                <w:rFonts w:ascii="Calibri" w:hAnsi="Calibri"/>
              </w:rPr>
              <w:t>PN-76/C-81521</w:t>
            </w:r>
          </w:p>
        </w:tc>
        <w:tc>
          <w:tcPr>
            <w:tcW w:w="4745" w:type="dxa"/>
            <w:tcBorders>
              <w:top w:val="nil"/>
              <w:left w:val="nil"/>
              <w:bottom w:val="nil"/>
              <w:right w:val="nil"/>
            </w:tcBorders>
          </w:tcPr>
          <w:p w:rsidR="001F3A98" w:rsidRPr="00CF5A42" w:rsidRDefault="001F3A98" w:rsidP="00FD47C7">
            <w:pPr>
              <w:rPr>
                <w:rFonts w:ascii="Calibri" w:hAnsi="Calibri"/>
              </w:rPr>
            </w:pPr>
            <w:r w:rsidRPr="00CF5A42">
              <w:rPr>
                <w:rFonts w:ascii="Calibri" w:hAnsi="Calibri"/>
              </w:rPr>
              <w:t xml:space="preserve">Wyroby lakierowane - badanie odporności powłoki lakierowanej na działanie wody oraz oznaczanie nasiąkliwości </w:t>
            </w:r>
            <w:r>
              <w:rPr>
                <w:rFonts w:ascii="Calibri" w:hAnsi="Calibri"/>
              </w:rPr>
              <w:t>.</w:t>
            </w:r>
          </w:p>
        </w:tc>
      </w:tr>
      <w:tr w:rsidR="001F3A98" w:rsidRPr="00CF5A42" w:rsidTr="00FD47C7">
        <w:tc>
          <w:tcPr>
            <w:tcW w:w="496" w:type="dxa"/>
            <w:tcBorders>
              <w:top w:val="nil"/>
              <w:left w:val="nil"/>
              <w:bottom w:val="nil"/>
              <w:right w:val="nil"/>
            </w:tcBorders>
          </w:tcPr>
          <w:p w:rsidR="001F3A98" w:rsidRPr="00CF5A42" w:rsidRDefault="001F3A98" w:rsidP="00FD47C7">
            <w:pPr>
              <w:rPr>
                <w:rFonts w:ascii="Calibri" w:hAnsi="Calibri"/>
              </w:rPr>
            </w:pPr>
            <w:r w:rsidRPr="00CF5A42">
              <w:rPr>
                <w:rFonts w:ascii="Calibri" w:hAnsi="Calibri"/>
              </w:rPr>
              <w:t xml:space="preserve">  2.</w:t>
            </w:r>
          </w:p>
        </w:tc>
        <w:tc>
          <w:tcPr>
            <w:tcW w:w="2268" w:type="dxa"/>
            <w:tcBorders>
              <w:top w:val="nil"/>
              <w:left w:val="nil"/>
              <w:bottom w:val="nil"/>
              <w:right w:val="nil"/>
            </w:tcBorders>
          </w:tcPr>
          <w:p w:rsidR="001F3A98" w:rsidRPr="00CF5A42" w:rsidRDefault="001F3A98" w:rsidP="00FD47C7">
            <w:pPr>
              <w:rPr>
                <w:rFonts w:ascii="Calibri" w:hAnsi="Calibri"/>
              </w:rPr>
            </w:pPr>
            <w:r w:rsidRPr="00CF5A42">
              <w:rPr>
                <w:rFonts w:ascii="Calibri" w:hAnsi="Calibri"/>
              </w:rPr>
              <w:t>PN-83/B-03010</w:t>
            </w:r>
          </w:p>
        </w:tc>
        <w:tc>
          <w:tcPr>
            <w:tcW w:w="4745" w:type="dxa"/>
            <w:tcBorders>
              <w:top w:val="nil"/>
              <w:left w:val="nil"/>
              <w:bottom w:val="nil"/>
              <w:right w:val="nil"/>
            </w:tcBorders>
          </w:tcPr>
          <w:p w:rsidR="001F3A98" w:rsidRPr="00CF5A42" w:rsidRDefault="001F3A98" w:rsidP="00FD47C7">
            <w:pPr>
              <w:rPr>
                <w:rFonts w:ascii="Calibri" w:hAnsi="Calibri"/>
              </w:rPr>
            </w:pPr>
            <w:r w:rsidRPr="00CF5A42">
              <w:rPr>
                <w:rFonts w:ascii="Calibri" w:hAnsi="Calibri"/>
              </w:rPr>
              <w:t>Ściany oporowe - Obliczenia statyczne i projektowanie</w:t>
            </w:r>
          </w:p>
        </w:tc>
      </w:tr>
      <w:tr w:rsidR="001F3A98" w:rsidRPr="00CF5A42" w:rsidTr="00FD47C7">
        <w:tc>
          <w:tcPr>
            <w:tcW w:w="496" w:type="dxa"/>
            <w:tcBorders>
              <w:top w:val="nil"/>
              <w:left w:val="nil"/>
              <w:bottom w:val="nil"/>
              <w:right w:val="nil"/>
            </w:tcBorders>
          </w:tcPr>
          <w:p w:rsidR="001F3A98" w:rsidRPr="00CF5A42" w:rsidRDefault="001F3A98" w:rsidP="00FD47C7">
            <w:pPr>
              <w:rPr>
                <w:rFonts w:ascii="Calibri" w:hAnsi="Calibri"/>
              </w:rPr>
            </w:pPr>
            <w:r w:rsidRPr="00CF5A42">
              <w:rPr>
                <w:rFonts w:ascii="Calibri" w:hAnsi="Calibri"/>
              </w:rPr>
              <w:t xml:space="preserve">  3.</w:t>
            </w:r>
          </w:p>
        </w:tc>
        <w:tc>
          <w:tcPr>
            <w:tcW w:w="2268" w:type="dxa"/>
            <w:tcBorders>
              <w:top w:val="nil"/>
              <w:left w:val="nil"/>
              <w:bottom w:val="nil"/>
              <w:right w:val="nil"/>
            </w:tcBorders>
          </w:tcPr>
          <w:p w:rsidR="001F3A98" w:rsidRPr="00CF5A42" w:rsidRDefault="001F3A98" w:rsidP="00FD47C7">
            <w:pPr>
              <w:rPr>
                <w:rFonts w:ascii="Calibri" w:hAnsi="Calibri"/>
              </w:rPr>
            </w:pPr>
            <w:r w:rsidRPr="00CF5A42">
              <w:rPr>
                <w:rFonts w:ascii="Calibri" w:hAnsi="Calibri"/>
              </w:rPr>
              <w:t>PN-84/H-74220</w:t>
            </w:r>
          </w:p>
        </w:tc>
        <w:tc>
          <w:tcPr>
            <w:tcW w:w="4745" w:type="dxa"/>
            <w:tcBorders>
              <w:top w:val="nil"/>
              <w:left w:val="nil"/>
              <w:bottom w:val="nil"/>
              <w:right w:val="nil"/>
            </w:tcBorders>
          </w:tcPr>
          <w:p w:rsidR="001F3A98" w:rsidRPr="00CF5A42" w:rsidRDefault="001F3A98" w:rsidP="00FD47C7">
            <w:pPr>
              <w:rPr>
                <w:rFonts w:ascii="Calibri" w:hAnsi="Calibri"/>
              </w:rPr>
            </w:pPr>
            <w:r w:rsidRPr="00CF5A42">
              <w:rPr>
                <w:rFonts w:ascii="Calibri" w:hAnsi="Calibri"/>
              </w:rPr>
              <w:t>Rury stalowe bez szwu ciągnione i walcowane na zimno ogólnego zastosowania</w:t>
            </w:r>
            <w:r>
              <w:rPr>
                <w:rFonts w:ascii="Calibri" w:hAnsi="Calibri"/>
              </w:rPr>
              <w:t>.</w:t>
            </w:r>
          </w:p>
        </w:tc>
      </w:tr>
      <w:tr w:rsidR="001F3A98" w:rsidRPr="00CF5A42" w:rsidTr="00FD47C7">
        <w:tc>
          <w:tcPr>
            <w:tcW w:w="496" w:type="dxa"/>
            <w:tcBorders>
              <w:top w:val="nil"/>
              <w:left w:val="nil"/>
              <w:bottom w:val="nil"/>
              <w:right w:val="nil"/>
            </w:tcBorders>
          </w:tcPr>
          <w:p w:rsidR="001F3A98" w:rsidRPr="00CF5A42" w:rsidRDefault="001F3A98" w:rsidP="00FD47C7">
            <w:pPr>
              <w:rPr>
                <w:rFonts w:ascii="Calibri" w:hAnsi="Calibri"/>
              </w:rPr>
            </w:pPr>
            <w:r w:rsidRPr="00CF5A42">
              <w:rPr>
                <w:rFonts w:ascii="Calibri" w:hAnsi="Calibri"/>
              </w:rPr>
              <w:t xml:space="preserve">  4.</w:t>
            </w:r>
          </w:p>
        </w:tc>
        <w:tc>
          <w:tcPr>
            <w:tcW w:w="2268" w:type="dxa"/>
            <w:tcBorders>
              <w:top w:val="nil"/>
              <w:left w:val="nil"/>
              <w:bottom w:val="nil"/>
              <w:right w:val="nil"/>
            </w:tcBorders>
          </w:tcPr>
          <w:p w:rsidR="001F3A98" w:rsidRPr="00CF5A42" w:rsidRDefault="001F3A98" w:rsidP="00FD47C7">
            <w:pPr>
              <w:rPr>
                <w:rFonts w:ascii="Calibri" w:hAnsi="Calibri"/>
              </w:rPr>
            </w:pPr>
            <w:r w:rsidRPr="00CF5A42">
              <w:rPr>
                <w:rFonts w:ascii="Calibri" w:hAnsi="Calibri"/>
              </w:rPr>
              <w:t>PN-88/C-81523</w:t>
            </w:r>
          </w:p>
        </w:tc>
        <w:tc>
          <w:tcPr>
            <w:tcW w:w="4745" w:type="dxa"/>
            <w:tcBorders>
              <w:top w:val="nil"/>
              <w:left w:val="nil"/>
              <w:bottom w:val="nil"/>
              <w:right w:val="nil"/>
            </w:tcBorders>
          </w:tcPr>
          <w:p w:rsidR="001F3A98" w:rsidRPr="00CF5A42" w:rsidRDefault="001F3A98" w:rsidP="00FD47C7">
            <w:pPr>
              <w:rPr>
                <w:rFonts w:ascii="Calibri" w:hAnsi="Calibri"/>
              </w:rPr>
            </w:pPr>
            <w:r w:rsidRPr="00CF5A42">
              <w:rPr>
                <w:rFonts w:ascii="Calibri" w:hAnsi="Calibri"/>
              </w:rPr>
              <w:t>Wyroby lakierowane  - Oznaczanie odporności powłoki na działanie mgły solnej</w:t>
            </w:r>
            <w:r>
              <w:rPr>
                <w:rFonts w:ascii="Calibri" w:hAnsi="Calibri"/>
              </w:rPr>
              <w:t>.</w:t>
            </w:r>
          </w:p>
        </w:tc>
      </w:tr>
      <w:tr w:rsidR="001F3A98" w:rsidRPr="00CF5A42" w:rsidTr="00FD47C7">
        <w:tc>
          <w:tcPr>
            <w:tcW w:w="496" w:type="dxa"/>
            <w:tcBorders>
              <w:top w:val="nil"/>
              <w:left w:val="nil"/>
              <w:bottom w:val="nil"/>
              <w:right w:val="nil"/>
            </w:tcBorders>
          </w:tcPr>
          <w:p w:rsidR="001F3A98" w:rsidRPr="00CF5A42" w:rsidRDefault="001F3A98" w:rsidP="00FD47C7">
            <w:pPr>
              <w:rPr>
                <w:rFonts w:ascii="Calibri" w:hAnsi="Calibri"/>
              </w:rPr>
            </w:pPr>
            <w:r w:rsidRPr="00CF5A42">
              <w:rPr>
                <w:rFonts w:ascii="Calibri" w:hAnsi="Calibri"/>
              </w:rPr>
              <w:t xml:space="preserve">  5.</w:t>
            </w:r>
          </w:p>
        </w:tc>
        <w:tc>
          <w:tcPr>
            <w:tcW w:w="2268" w:type="dxa"/>
            <w:tcBorders>
              <w:top w:val="nil"/>
              <w:left w:val="nil"/>
              <w:bottom w:val="nil"/>
              <w:right w:val="nil"/>
            </w:tcBorders>
          </w:tcPr>
          <w:p w:rsidR="001F3A98" w:rsidRPr="00CF5A42" w:rsidRDefault="001F3A98" w:rsidP="00FD47C7">
            <w:pPr>
              <w:rPr>
                <w:rFonts w:ascii="Calibri" w:hAnsi="Calibri"/>
              </w:rPr>
            </w:pPr>
            <w:r w:rsidRPr="00CF5A42">
              <w:rPr>
                <w:rFonts w:ascii="Calibri" w:hAnsi="Calibri"/>
              </w:rPr>
              <w:t>PN-89/H-84023.07</w:t>
            </w:r>
          </w:p>
        </w:tc>
        <w:tc>
          <w:tcPr>
            <w:tcW w:w="4745" w:type="dxa"/>
            <w:tcBorders>
              <w:top w:val="nil"/>
              <w:left w:val="nil"/>
              <w:bottom w:val="nil"/>
              <w:right w:val="nil"/>
            </w:tcBorders>
          </w:tcPr>
          <w:p w:rsidR="001F3A98" w:rsidRPr="00CF5A42" w:rsidRDefault="001F3A98" w:rsidP="00FD47C7">
            <w:pPr>
              <w:rPr>
                <w:rFonts w:ascii="Calibri" w:hAnsi="Calibri"/>
              </w:rPr>
            </w:pPr>
            <w:r w:rsidRPr="00CF5A42">
              <w:rPr>
                <w:rFonts w:ascii="Calibri" w:hAnsi="Calibri"/>
              </w:rPr>
              <w:t>Stal określonego zastosowania. Stal na rury. Gatunki</w:t>
            </w:r>
          </w:p>
        </w:tc>
      </w:tr>
      <w:tr w:rsidR="001F3A98" w:rsidRPr="00CF5A42" w:rsidTr="00FD47C7">
        <w:tc>
          <w:tcPr>
            <w:tcW w:w="496" w:type="dxa"/>
            <w:tcBorders>
              <w:top w:val="nil"/>
              <w:left w:val="nil"/>
              <w:bottom w:val="nil"/>
              <w:right w:val="nil"/>
            </w:tcBorders>
          </w:tcPr>
          <w:p w:rsidR="001F3A98" w:rsidRPr="00CF5A42" w:rsidRDefault="001F3A98" w:rsidP="00FD47C7">
            <w:pPr>
              <w:rPr>
                <w:rFonts w:ascii="Calibri" w:hAnsi="Calibri"/>
              </w:rPr>
            </w:pPr>
            <w:r w:rsidRPr="00CF5A42">
              <w:rPr>
                <w:rFonts w:ascii="Calibri" w:hAnsi="Calibri"/>
              </w:rPr>
              <w:t xml:space="preserve">  6.</w:t>
            </w:r>
          </w:p>
        </w:tc>
        <w:tc>
          <w:tcPr>
            <w:tcW w:w="2268" w:type="dxa"/>
            <w:tcBorders>
              <w:top w:val="nil"/>
              <w:left w:val="nil"/>
              <w:bottom w:val="nil"/>
              <w:right w:val="nil"/>
            </w:tcBorders>
          </w:tcPr>
          <w:p w:rsidR="001F3A98" w:rsidRPr="00CF5A42" w:rsidRDefault="001F3A98" w:rsidP="00FD47C7">
            <w:pPr>
              <w:rPr>
                <w:rFonts w:ascii="Calibri" w:hAnsi="Calibri"/>
              </w:rPr>
            </w:pPr>
            <w:r w:rsidRPr="00CF5A42">
              <w:rPr>
                <w:rFonts w:ascii="Calibri" w:hAnsi="Calibri"/>
              </w:rPr>
              <w:t>PN-B-03215:1998</w:t>
            </w:r>
          </w:p>
        </w:tc>
        <w:tc>
          <w:tcPr>
            <w:tcW w:w="4745" w:type="dxa"/>
            <w:tcBorders>
              <w:top w:val="nil"/>
              <w:left w:val="nil"/>
              <w:bottom w:val="nil"/>
              <w:right w:val="nil"/>
            </w:tcBorders>
          </w:tcPr>
          <w:p w:rsidR="001F3A98" w:rsidRPr="00CF5A42" w:rsidRDefault="001F3A98" w:rsidP="00FD47C7">
            <w:pPr>
              <w:rPr>
                <w:rFonts w:ascii="Calibri" w:hAnsi="Calibri"/>
              </w:rPr>
            </w:pPr>
            <w:r w:rsidRPr="00CF5A42">
              <w:rPr>
                <w:rFonts w:ascii="Calibri" w:hAnsi="Calibri"/>
              </w:rPr>
              <w:t>Konstrukcje stalowe - Połączenia z fundamentami - Projektowanie i wykonanie</w:t>
            </w:r>
            <w:r>
              <w:rPr>
                <w:rFonts w:ascii="Calibri" w:hAnsi="Calibri"/>
              </w:rPr>
              <w:t>.</w:t>
            </w:r>
          </w:p>
        </w:tc>
      </w:tr>
      <w:tr w:rsidR="001F3A98" w:rsidRPr="00CF5A42" w:rsidTr="00FD47C7">
        <w:tc>
          <w:tcPr>
            <w:tcW w:w="496" w:type="dxa"/>
            <w:tcBorders>
              <w:top w:val="nil"/>
              <w:left w:val="nil"/>
              <w:bottom w:val="nil"/>
              <w:right w:val="nil"/>
            </w:tcBorders>
          </w:tcPr>
          <w:p w:rsidR="001F3A98" w:rsidRPr="00CF5A42" w:rsidRDefault="001F3A98" w:rsidP="00FD47C7">
            <w:pPr>
              <w:rPr>
                <w:rFonts w:ascii="Calibri" w:hAnsi="Calibri"/>
              </w:rPr>
            </w:pPr>
            <w:r w:rsidRPr="00CF5A42">
              <w:rPr>
                <w:rFonts w:ascii="Calibri" w:hAnsi="Calibri"/>
              </w:rPr>
              <w:t xml:space="preserve">  7.</w:t>
            </w:r>
          </w:p>
        </w:tc>
        <w:tc>
          <w:tcPr>
            <w:tcW w:w="2268" w:type="dxa"/>
            <w:tcBorders>
              <w:top w:val="nil"/>
              <w:left w:val="nil"/>
              <w:bottom w:val="nil"/>
              <w:right w:val="nil"/>
            </w:tcBorders>
          </w:tcPr>
          <w:p w:rsidR="001F3A98" w:rsidRPr="00CF5A42" w:rsidRDefault="001F3A98" w:rsidP="00FD47C7">
            <w:pPr>
              <w:rPr>
                <w:rFonts w:ascii="Calibri" w:hAnsi="Calibri"/>
              </w:rPr>
            </w:pPr>
            <w:r w:rsidRPr="00CF5A42">
              <w:rPr>
                <w:rFonts w:ascii="Calibri" w:hAnsi="Calibri"/>
              </w:rPr>
              <w:t>PN-B-03264:2002</w:t>
            </w:r>
          </w:p>
        </w:tc>
        <w:tc>
          <w:tcPr>
            <w:tcW w:w="4745" w:type="dxa"/>
            <w:tcBorders>
              <w:top w:val="nil"/>
              <w:left w:val="nil"/>
              <w:bottom w:val="nil"/>
              <w:right w:val="nil"/>
            </w:tcBorders>
          </w:tcPr>
          <w:p w:rsidR="001F3A98" w:rsidRPr="00CF5A42" w:rsidRDefault="001F3A98" w:rsidP="00FD47C7">
            <w:pPr>
              <w:rPr>
                <w:rFonts w:ascii="Calibri" w:hAnsi="Calibri"/>
              </w:rPr>
            </w:pPr>
            <w:r w:rsidRPr="00CF5A42">
              <w:rPr>
                <w:rFonts w:ascii="Calibri" w:hAnsi="Calibri"/>
              </w:rPr>
              <w:t>Konstrukcje betonowe, żelbetowe i sprężone - Obliczenia statyczne i projektowanie</w:t>
            </w:r>
            <w:r>
              <w:rPr>
                <w:rFonts w:ascii="Calibri" w:hAnsi="Calibri"/>
              </w:rPr>
              <w:t>.</w:t>
            </w:r>
          </w:p>
        </w:tc>
      </w:tr>
      <w:tr w:rsidR="001F3A98" w:rsidRPr="00CF5A42" w:rsidTr="00FD47C7">
        <w:tc>
          <w:tcPr>
            <w:tcW w:w="496" w:type="dxa"/>
            <w:tcBorders>
              <w:top w:val="nil"/>
              <w:left w:val="nil"/>
              <w:bottom w:val="nil"/>
              <w:right w:val="nil"/>
            </w:tcBorders>
          </w:tcPr>
          <w:p w:rsidR="001F3A98" w:rsidRPr="00CF5A42" w:rsidRDefault="001F3A98" w:rsidP="00FD47C7">
            <w:pPr>
              <w:rPr>
                <w:rFonts w:ascii="Calibri" w:hAnsi="Calibri"/>
              </w:rPr>
            </w:pPr>
            <w:r w:rsidRPr="00CF5A42">
              <w:rPr>
                <w:rFonts w:ascii="Calibri" w:hAnsi="Calibri"/>
              </w:rPr>
              <w:t xml:space="preserve">  8.</w:t>
            </w:r>
          </w:p>
        </w:tc>
        <w:tc>
          <w:tcPr>
            <w:tcW w:w="2268" w:type="dxa"/>
            <w:tcBorders>
              <w:top w:val="nil"/>
              <w:left w:val="nil"/>
              <w:bottom w:val="nil"/>
              <w:right w:val="nil"/>
            </w:tcBorders>
          </w:tcPr>
          <w:p w:rsidR="001F3A98" w:rsidRPr="00CF5A42" w:rsidRDefault="001F3A98" w:rsidP="00FD47C7">
            <w:pPr>
              <w:rPr>
                <w:rFonts w:ascii="Calibri" w:hAnsi="Calibri"/>
              </w:rPr>
            </w:pPr>
            <w:r w:rsidRPr="00CF5A42">
              <w:rPr>
                <w:rFonts w:ascii="Calibri" w:hAnsi="Calibri"/>
              </w:rPr>
              <w:t>PN-EN 40-5:2004</w:t>
            </w:r>
          </w:p>
        </w:tc>
        <w:tc>
          <w:tcPr>
            <w:tcW w:w="4745" w:type="dxa"/>
            <w:tcBorders>
              <w:top w:val="nil"/>
              <w:left w:val="nil"/>
              <w:bottom w:val="nil"/>
              <w:right w:val="nil"/>
            </w:tcBorders>
          </w:tcPr>
          <w:p w:rsidR="001F3A98" w:rsidRPr="00CF5A42" w:rsidRDefault="001F3A98" w:rsidP="00FD47C7">
            <w:pPr>
              <w:rPr>
                <w:rFonts w:ascii="Calibri" w:hAnsi="Calibri"/>
              </w:rPr>
            </w:pPr>
            <w:r w:rsidRPr="00CF5A42">
              <w:rPr>
                <w:rFonts w:ascii="Calibri" w:hAnsi="Calibri"/>
              </w:rPr>
              <w:t>Słupy oświetleniowe. Część 5. Słupy oświetleniowe stalowe. Wymagania.</w:t>
            </w:r>
          </w:p>
        </w:tc>
      </w:tr>
      <w:tr w:rsidR="001F3A98" w:rsidRPr="00CF5A42" w:rsidTr="00FD47C7">
        <w:tc>
          <w:tcPr>
            <w:tcW w:w="496" w:type="dxa"/>
            <w:tcBorders>
              <w:top w:val="nil"/>
              <w:left w:val="nil"/>
              <w:bottom w:val="nil"/>
              <w:right w:val="nil"/>
            </w:tcBorders>
          </w:tcPr>
          <w:p w:rsidR="001F3A98" w:rsidRPr="00CF5A42" w:rsidRDefault="001F3A98" w:rsidP="00FD47C7">
            <w:pPr>
              <w:rPr>
                <w:rFonts w:ascii="Calibri" w:hAnsi="Calibri"/>
              </w:rPr>
            </w:pPr>
            <w:r w:rsidRPr="00CF5A42">
              <w:rPr>
                <w:rFonts w:ascii="Calibri" w:hAnsi="Calibri"/>
              </w:rPr>
              <w:t xml:space="preserve">  9. </w:t>
            </w:r>
          </w:p>
        </w:tc>
        <w:tc>
          <w:tcPr>
            <w:tcW w:w="2268" w:type="dxa"/>
            <w:tcBorders>
              <w:top w:val="nil"/>
              <w:left w:val="nil"/>
              <w:bottom w:val="nil"/>
              <w:right w:val="nil"/>
            </w:tcBorders>
          </w:tcPr>
          <w:p w:rsidR="001F3A98" w:rsidRPr="00CF5A42" w:rsidRDefault="001F3A98" w:rsidP="00FD47C7">
            <w:pPr>
              <w:rPr>
                <w:rFonts w:ascii="Calibri" w:hAnsi="Calibri"/>
              </w:rPr>
            </w:pPr>
            <w:r w:rsidRPr="00CF5A42">
              <w:rPr>
                <w:rFonts w:ascii="Calibri" w:hAnsi="Calibri"/>
              </w:rPr>
              <w:t>PN-EN 206-1:2003</w:t>
            </w:r>
          </w:p>
        </w:tc>
        <w:tc>
          <w:tcPr>
            <w:tcW w:w="4745" w:type="dxa"/>
            <w:tcBorders>
              <w:top w:val="nil"/>
              <w:left w:val="nil"/>
              <w:bottom w:val="nil"/>
              <w:right w:val="nil"/>
            </w:tcBorders>
          </w:tcPr>
          <w:p w:rsidR="001F3A98" w:rsidRPr="00CF5A42" w:rsidRDefault="001F3A98" w:rsidP="00FD47C7">
            <w:pPr>
              <w:rPr>
                <w:rFonts w:ascii="Calibri" w:hAnsi="Calibri"/>
              </w:rPr>
            </w:pPr>
            <w:r w:rsidRPr="00CF5A42">
              <w:rPr>
                <w:rFonts w:ascii="Calibri" w:hAnsi="Calibri"/>
              </w:rPr>
              <w:t>Beton Część 1: Wymagania, właściwości, produkcja i zgodność</w:t>
            </w:r>
            <w:r>
              <w:rPr>
                <w:rFonts w:ascii="Calibri" w:hAnsi="Calibri"/>
              </w:rPr>
              <w:t>.</w:t>
            </w:r>
          </w:p>
        </w:tc>
      </w:tr>
    </w:tbl>
    <w:p w:rsidR="001F3A98" w:rsidRPr="001B1721" w:rsidRDefault="001F3A98" w:rsidP="001F3A98"/>
    <w:tbl>
      <w:tblPr>
        <w:tblW w:w="0" w:type="auto"/>
        <w:tblLayout w:type="fixed"/>
        <w:tblCellMar>
          <w:left w:w="70" w:type="dxa"/>
          <w:right w:w="70" w:type="dxa"/>
        </w:tblCellMar>
        <w:tblLook w:val="0000"/>
      </w:tblPr>
      <w:tblGrid>
        <w:gridCol w:w="496"/>
        <w:gridCol w:w="2268"/>
        <w:gridCol w:w="4745"/>
      </w:tblGrid>
      <w:tr w:rsidR="001F3A98" w:rsidRPr="00CF5A42" w:rsidTr="00FD47C7">
        <w:tc>
          <w:tcPr>
            <w:tcW w:w="496" w:type="dxa"/>
            <w:tcBorders>
              <w:top w:val="nil"/>
              <w:left w:val="nil"/>
              <w:bottom w:val="nil"/>
              <w:right w:val="nil"/>
            </w:tcBorders>
          </w:tcPr>
          <w:p w:rsidR="001F3A98" w:rsidRPr="00CF5A42" w:rsidRDefault="001F3A98" w:rsidP="00FD47C7">
            <w:pPr>
              <w:rPr>
                <w:rFonts w:ascii="Calibri" w:hAnsi="Calibri"/>
              </w:rPr>
            </w:pPr>
            <w:r w:rsidRPr="00CF5A42">
              <w:rPr>
                <w:rFonts w:ascii="Calibri" w:hAnsi="Calibri"/>
              </w:rPr>
              <w:t>10.</w:t>
            </w:r>
          </w:p>
        </w:tc>
        <w:tc>
          <w:tcPr>
            <w:tcW w:w="2268" w:type="dxa"/>
            <w:tcBorders>
              <w:top w:val="nil"/>
              <w:left w:val="nil"/>
              <w:bottom w:val="nil"/>
              <w:right w:val="nil"/>
            </w:tcBorders>
          </w:tcPr>
          <w:p w:rsidR="001F3A98" w:rsidRPr="00CF5A42" w:rsidRDefault="001F3A98" w:rsidP="00FD47C7">
            <w:pPr>
              <w:rPr>
                <w:rFonts w:ascii="Calibri" w:hAnsi="Calibri"/>
              </w:rPr>
            </w:pPr>
            <w:r w:rsidRPr="00CF5A42">
              <w:rPr>
                <w:rFonts w:ascii="Calibri" w:hAnsi="Calibri"/>
              </w:rPr>
              <w:t>PN-EN 485-4:1997</w:t>
            </w:r>
          </w:p>
        </w:tc>
        <w:tc>
          <w:tcPr>
            <w:tcW w:w="4745" w:type="dxa"/>
            <w:tcBorders>
              <w:top w:val="nil"/>
              <w:left w:val="nil"/>
              <w:bottom w:val="nil"/>
              <w:right w:val="nil"/>
            </w:tcBorders>
          </w:tcPr>
          <w:p w:rsidR="001F3A98" w:rsidRPr="00CF5A42" w:rsidRDefault="001F3A98" w:rsidP="00FD47C7">
            <w:pPr>
              <w:rPr>
                <w:rFonts w:ascii="Calibri" w:hAnsi="Calibri"/>
              </w:rPr>
            </w:pPr>
            <w:r w:rsidRPr="00CF5A42">
              <w:rPr>
                <w:rFonts w:ascii="Calibri" w:hAnsi="Calibri"/>
              </w:rPr>
              <w:t xml:space="preserve">Aluminium i stopy aluminium - Blachy, taśmy i płyty - Tolerancje kształtu i wymiarów wyrobów walcowanych </w:t>
            </w:r>
            <w:r w:rsidRPr="00CF5A42">
              <w:rPr>
                <w:rFonts w:ascii="Calibri" w:hAnsi="Calibri"/>
              </w:rPr>
              <w:lastRenderedPageBreak/>
              <w:t>na zimno</w:t>
            </w:r>
            <w:r>
              <w:rPr>
                <w:rFonts w:ascii="Calibri" w:hAnsi="Calibri"/>
              </w:rPr>
              <w:t>.</w:t>
            </w:r>
          </w:p>
        </w:tc>
      </w:tr>
      <w:tr w:rsidR="001F3A98" w:rsidRPr="00CF5A42" w:rsidTr="00FD47C7">
        <w:tc>
          <w:tcPr>
            <w:tcW w:w="496" w:type="dxa"/>
            <w:tcBorders>
              <w:top w:val="nil"/>
              <w:left w:val="nil"/>
              <w:bottom w:val="nil"/>
              <w:right w:val="nil"/>
            </w:tcBorders>
          </w:tcPr>
          <w:p w:rsidR="001F3A98" w:rsidRPr="00CF5A42" w:rsidRDefault="001F3A98" w:rsidP="00FD47C7">
            <w:pPr>
              <w:rPr>
                <w:rFonts w:ascii="Calibri" w:hAnsi="Calibri"/>
              </w:rPr>
            </w:pPr>
            <w:r w:rsidRPr="00CF5A42">
              <w:rPr>
                <w:rFonts w:ascii="Calibri" w:hAnsi="Calibri"/>
              </w:rPr>
              <w:lastRenderedPageBreak/>
              <w:t>11.</w:t>
            </w:r>
          </w:p>
        </w:tc>
        <w:tc>
          <w:tcPr>
            <w:tcW w:w="2268" w:type="dxa"/>
            <w:tcBorders>
              <w:top w:val="nil"/>
              <w:left w:val="nil"/>
              <w:bottom w:val="nil"/>
              <w:right w:val="nil"/>
            </w:tcBorders>
          </w:tcPr>
          <w:p w:rsidR="001F3A98" w:rsidRPr="00CF5A42" w:rsidRDefault="001F3A98" w:rsidP="00FD47C7">
            <w:pPr>
              <w:rPr>
                <w:rFonts w:ascii="Calibri" w:hAnsi="Calibri"/>
              </w:rPr>
            </w:pPr>
            <w:r w:rsidRPr="00CF5A42">
              <w:rPr>
                <w:rFonts w:ascii="Calibri" w:hAnsi="Calibri"/>
              </w:rPr>
              <w:t>PN-EN ISO 1461:2000</w:t>
            </w:r>
          </w:p>
        </w:tc>
        <w:tc>
          <w:tcPr>
            <w:tcW w:w="4745" w:type="dxa"/>
            <w:tcBorders>
              <w:top w:val="nil"/>
              <w:left w:val="nil"/>
              <w:bottom w:val="nil"/>
              <w:right w:val="nil"/>
            </w:tcBorders>
          </w:tcPr>
          <w:p w:rsidR="001F3A98" w:rsidRPr="00CF5A42" w:rsidRDefault="001F3A98" w:rsidP="00FD47C7">
            <w:pPr>
              <w:rPr>
                <w:rFonts w:ascii="Calibri" w:hAnsi="Calibri"/>
              </w:rPr>
            </w:pPr>
            <w:r w:rsidRPr="00CF5A42">
              <w:rPr>
                <w:rFonts w:ascii="Calibri" w:hAnsi="Calibri"/>
              </w:rPr>
              <w:t>Powłoki cynkowe nanoszone na stal metodą zanurzeniową (cynkowanie jednostkowe) – Wymaganie i badani</w:t>
            </w:r>
            <w:r>
              <w:rPr>
                <w:rFonts w:ascii="Calibri" w:hAnsi="Calibri"/>
              </w:rPr>
              <w:t>e.</w:t>
            </w:r>
          </w:p>
        </w:tc>
      </w:tr>
      <w:tr w:rsidR="001F3A98" w:rsidRPr="00CF5A42" w:rsidTr="00FD47C7">
        <w:tc>
          <w:tcPr>
            <w:tcW w:w="496" w:type="dxa"/>
            <w:tcBorders>
              <w:top w:val="nil"/>
              <w:left w:val="nil"/>
              <w:bottom w:val="nil"/>
              <w:right w:val="nil"/>
            </w:tcBorders>
          </w:tcPr>
          <w:p w:rsidR="001F3A98" w:rsidRPr="00CF5A42" w:rsidRDefault="001F3A98" w:rsidP="00FD47C7">
            <w:pPr>
              <w:rPr>
                <w:rFonts w:ascii="Calibri" w:hAnsi="Calibri"/>
              </w:rPr>
            </w:pPr>
            <w:r w:rsidRPr="00CF5A42">
              <w:rPr>
                <w:rFonts w:ascii="Calibri" w:hAnsi="Calibri"/>
              </w:rPr>
              <w:t>12.</w:t>
            </w:r>
          </w:p>
        </w:tc>
        <w:tc>
          <w:tcPr>
            <w:tcW w:w="2268" w:type="dxa"/>
            <w:tcBorders>
              <w:top w:val="nil"/>
              <w:left w:val="nil"/>
              <w:bottom w:val="nil"/>
              <w:right w:val="nil"/>
            </w:tcBorders>
          </w:tcPr>
          <w:p w:rsidR="001F3A98" w:rsidRPr="00CF5A42" w:rsidRDefault="001F3A98" w:rsidP="00FD47C7">
            <w:pPr>
              <w:rPr>
                <w:rFonts w:ascii="Calibri" w:hAnsi="Calibri"/>
              </w:rPr>
            </w:pPr>
            <w:r w:rsidRPr="00CF5A42">
              <w:rPr>
                <w:rFonts w:ascii="Calibri" w:hAnsi="Calibri"/>
              </w:rPr>
              <w:t>PN-EN 10240:2001</w:t>
            </w:r>
          </w:p>
        </w:tc>
        <w:tc>
          <w:tcPr>
            <w:tcW w:w="4745" w:type="dxa"/>
            <w:tcBorders>
              <w:top w:val="nil"/>
              <w:left w:val="nil"/>
              <w:bottom w:val="nil"/>
              <w:right w:val="nil"/>
            </w:tcBorders>
          </w:tcPr>
          <w:p w:rsidR="001F3A98" w:rsidRPr="00CF5A42" w:rsidRDefault="001F3A98" w:rsidP="00FD47C7">
            <w:pPr>
              <w:rPr>
                <w:rFonts w:ascii="Calibri" w:hAnsi="Calibri"/>
              </w:rPr>
            </w:pPr>
            <w:r w:rsidRPr="00CF5A42">
              <w:rPr>
                <w:rFonts w:ascii="Calibri" w:hAnsi="Calibri"/>
              </w:rPr>
              <w:t>Wewnętrzne i/lub zewnętrzne powłoki ochronne rur stalowych. Wymagania dotyczące powłok wykonanych przez cynkowanie ogniowe w ocynkowniach zautomatyzowanych</w:t>
            </w:r>
            <w:r>
              <w:rPr>
                <w:rFonts w:ascii="Calibri" w:hAnsi="Calibri"/>
              </w:rPr>
              <w:t>.</w:t>
            </w:r>
          </w:p>
        </w:tc>
      </w:tr>
      <w:tr w:rsidR="001F3A98" w:rsidRPr="00CF5A42" w:rsidTr="00FD47C7">
        <w:tc>
          <w:tcPr>
            <w:tcW w:w="496" w:type="dxa"/>
            <w:tcBorders>
              <w:top w:val="nil"/>
              <w:left w:val="nil"/>
              <w:bottom w:val="nil"/>
              <w:right w:val="nil"/>
            </w:tcBorders>
          </w:tcPr>
          <w:p w:rsidR="001F3A98" w:rsidRPr="00CF5A42" w:rsidRDefault="001F3A98" w:rsidP="00FD47C7">
            <w:pPr>
              <w:rPr>
                <w:rFonts w:ascii="Calibri" w:hAnsi="Calibri"/>
              </w:rPr>
            </w:pPr>
            <w:r w:rsidRPr="00CF5A42">
              <w:rPr>
                <w:rFonts w:ascii="Calibri" w:hAnsi="Calibri"/>
              </w:rPr>
              <w:t>13.</w:t>
            </w:r>
          </w:p>
        </w:tc>
        <w:tc>
          <w:tcPr>
            <w:tcW w:w="2268" w:type="dxa"/>
            <w:tcBorders>
              <w:top w:val="nil"/>
              <w:left w:val="nil"/>
              <w:bottom w:val="nil"/>
              <w:right w:val="nil"/>
            </w:tcBorders>
          </w:tcPr>
          <w:p w:rsidR="001F3A98" w:rsidRPr="00CF5A42" w:rsidRDefault="001F3A98" w:rsidP="00FD47C7">
            <w:pPr>
              <w:rPr>
                <w:rFonts w:ascii="Calibri" w:hAnsi="Calibri"/>
              </w:rPr>
            </w:pPr>
            <w:r w:rsidRPr="00CF5A42">
              <w:rPr>
                <w:rFonts w:ascii="Calibri" w:hAnsi="Calibri"/>
              </w:rPr>
              <w:t>PN-EN 10292:2003/ A1:2004/A1:2005(U)</w:t>
            </w:r>
          </w:p>
        </w:tc>
        <w:tc>
          <w:tcPr>
            <w:tcW w:w="4745" w:type="dxa"/>
            <w:tcBorders>
              <w:top w:val="nil"/>
              <w:left w:val="nil"/>
              <w:bottom w:val="nil"/>
              <w:right w:val="nil"/>
            </w:tcBorders>
          </w:tcPr>
          <w:p w:rsidR="001F3A98" w:rsidRPr="00CF5A42" w:rsidRDefault="001F3A98" w:rsidP="00FD47C7">
            <w:pPr>
              <w:rPr>
                <w:rFonts w:ascii="Calibri" w:hAnsi="Calibri"/>
              </w:rPr>
            </w:pPr>
            <w:r w:rsidRPr="00CF5A42">
              <w:rPr>
                <w:rFonts w:ascii="Calibri" w:hAnsi="Calibri"/>
              </w:rPr>
              <w:t>Taśmy i blachy ze stali o podwyższonej granicy plastyczności powlekane ogniowo w sposób ciągły do obróbki plastycznej na zimno. Warunki techniczne dostawy</w:t>
            </w:r>
            <w:r>
              <w:rPr>
                <w:rFonts w:ascii="Calibri" w:hAnsi="Calibri"/>
              </w:rPr>
              <w:t>.</w:t>
            </w:r>
          </w:p>
        </w:tc>
      </w:tr>
      <w:tr w:rsidR="001F3A98" w:rsidRPr="00CF5A42" w:rsidTr="00FD47C7">
        <w:tc>
          <w:tcPr>
            <w:tcW w:w="496" w:type="dxa"/>
            <w:tcBorders>
              <w:top w:val="nil"/>
              <w:left w:val="nil"/>
              <w:bottom w:val="nil"/>
              <w:right w:val="nil"/>
            </w:tcBorders>
          </w:tcPr>
          <w:p w:rsidR="001F3A98" w:rsidRPr="00CF5A42" w:rsidRDefault="001F3A98" w:rsidP="00FD47C7">
            <w:pPr>
              <w:rPr>
                <w:rFonts w:ascii="Calibri" w:hAnsi="Calibri"/>
              </w:rPr>
            </w:pPr>
            <w:r w:rsidRPr="00CF5A42">
              <w:rPr>
                <w:rFonts w:ascii="Calibri" w:hAnsi="Calibri"/>
              </w:rPr>
              <w:t>14.</w:t>
            </w:r>
          </w:p>
        </w:tc>
        <w:tc>
          <w:tcPr>
            <w:tcW w:w="2268" w:type="dxa"/>
            <w:tcBorders>
              <w:top w:val="nil"/>
              <w:left w:val="nil"/>
              <w:bottom w:val="nil"/>
              <w:right w:val="nil"/>
            </w:tcBorders>
          </w:tcPr>
          <w:p w:rsidR="001F3A98" w:rsidRPr="00CF5A42" w:rsidRDefault="001F3A98" w:rsidP="00FD47C7">
            <w:pPr>
              <w:rPr>
                <w:rFonts w:ascii="Calibri" w:hAnsi="Calibri"/>
              </w:rPr>
            </w:pPr>
            <w:r w:rsidRPr="00CF5A42">
              <w:rPr>
                <w:rFonts w:ascii="Calibri" w:hAnsi="Calibri"/>
              </w:rPr>
              <w:t>PN-EN 10327:2005(U)</w:t>
            </w:r>
          </w:p>
        </w:tc>
        <w:tc>
          <w:tcPr>
            <w:tcW w:w="4745" w:type="dxa"/>
            <w:tcBorders>
              <w:top w:val="nil"/>
              <w:left w:val="nil"/>
              <w:bottom w:val="nil"/>
              <w:right w:val="nil"/>
            </w:tcBorders>
          </w:tcPr>
          <w:p w:rsidR="001F3A98" w:rsidRPr="00CF5A42" w:rsidRDefault="001F3A98" w:rsidP="00FD47C7">
            <w:pPr>
              <w:rPr>
                <w:rFonts w:ascii="Calibri" w:hAnsi="Calibri"/>
              </w:rPr>
            </w:pPr>
            <w:r w:rsidRPr="00CF5A42">
              <w:rPr>
                <w:rFonts w:ascii="Calibri" w:hAnsi="Calibri"/>
              </w:rPr>
              <w:t>Taśmy i blachy ze stali niskowęglowych powlekane ogniowo w sposób ciągły do obróbki plastycznej na zimno. Warunki techniczne dostawy</w:t>
            </w:r>
            <w:r>
              <w:rPr>
                <w:rFonts w:ascii="Calibri" w:hAnsi="Calibri"/>
              </w:rPr>
              <w:t>.</w:t>
            </w:r>
          </w:p>
        </w:tc>
      </w:tr>
      <w:tr w:rsidR="001F3A98" w:rsidRPr="00CF5A42" w:rsidTr="00FD47C7">
        <w:tc>
          <w:tcPr>
            <w:tcW w:w="496" w:type="dxa"/>
            <w:tcBorders>
              <w:top w:val="nil"/>
              <w:left w:val="nil"/>
              <w:bottom w:val="nil"/>
              <w:right w:val="nil"/>
            </w:tcBorders>
          </w:tcPr>
          <w:p w:rsidR="001F3A98" w:rsidRPr="00CF5A42" w:rsidRDefault="001F3A98" w:rsidP="00FD47C7">
            <w:pPr>
              <w:rPr>
                <w:rFonts w:ascii="Calibri" w:hAnsi="Calibri"/>
              </w:rPr>
            </w:pPr>
            <w:r w:rsidRPr="00CF5A42">
              <w:rPr>
                <w:rFonts w:ascii="Calibri" w:hAnsi="Calibri"/>
              </w:rPr>
              <w:t>15.</w:t>
            </w:r>
          </w:p>
        </w:tc>
        <w:tc>
          <w:tcPr>
            <w:tcW w:w="2268" w:type="dxa"/>
            <w:tcBorders>
              <w:top w:val="nil"/>
              <w:left w:val="nil"/>
              <w:bottom w:val="nil"/>
              <w:right w:val="nil"/>
            </w:tcBorders>
          </w:tcPr>
          <w:p w:rsidR="001F3A98" w:rsidRPr="00CF5A42" w:rsidRDefault="001F3A98" w:rsidP="00FD47C7">
            <w:pPr>
              <w:rPr>
                <w:rFonts w:ascii="Calibri" w:hAnsi="Calibri"/>
              </w:rPr>
            </w:pPr>
            <w:r w:rsidRPr="00CF5A42">
              <w:rPr>
                <w:rFonts w:ascii="Calibri" w:hAnsi="Calibri"/>
              </w:rPr>
              <w:t>PN-EN 12767:2003</w:t>
            </w:r>
          </w:p>
        </w:tc>
        <w:tc>
          <w:tcPr>
            <w:tcW w:w="4745" w:type="dxa"/>
            <w:tcBorders>
              <w:top w:val="nil"/>
              <w:left w:val="nil"/>
              <w:bottom w:val="nil"/>
              <w:right w:val="nil"/>
            </w:tcBorders>
          </w:tcPr>
          <w:p w:rsidR="001F3A98" w:rsidRPr="00CF5A42" w:rsidRDefault="001F3A98" w:rsidP="00FD47C7">
            <w:pPr>
              <w:rPr>
                <w:rFonts w:ascii="Calibri" w:hAnsi="Calibri"/>
              </w:rPr>
            </w:pPr>
            <w:r w:rsidRPr="00CF5A42">
              <w:rPr>
                <w:rFonts w:ascii="Calibri" w:hAnsi="Calibri"/>
              </w:rPr>
              <w:t>Bierne bezpieczeństwo konstrukcji wsporczych dla urządzeń drogowych.  Wymagania i metody badań</w:t>
            </w:r>
            <w:r>
              <w:rPr>
                <w:rFonts w:ascii="Calibri" w:hAnsi="Calibri"/>
              </w:rPr>
              <w:t>.</w:t>
            </w:r>
          </w:p>
        </w:tc>
      </w:tr>
      <w:tr w:rsidR="001F3A98" w:rsidRPr="00CF5A42" w:rsidTr="00FD47C7">
        <w:tc>
          <w:tcPr>
            <w:tcW w:w="496" w:type="dxa"/>
            <w:tcBorders>
              <w:top w:val="nil"/>
              <w:left w:val="nil"/>
              <w:bottom w:val="nil"/>
              <w:right w:val="nil"/>
            </w:tcBorders>
          </w:tcPr>
          <w:p w:rsidR="001F3A98" w:rsidRPr="00CF5A42" w:rsidRDefault="001F3A98" w:rsidP="00FD47C7">
            <w:pPr>
              <w:rPr>
                <w:rFonts w:ascii="Calibri" w:hAnsi="Calibri"/>
              </w:rPr>
            </w:pPr>
            <w:r w:rsidRPr="00CF5A42">
              <w:rPr>
                <w:rFonts w:ascii="Calibri" w:hAnsi="Calibri"/>
              </w:rPr>
              <w:t>16.</w:t>
            </w:r>
          </w:p>
        </w:tc>
        <w:tc>
          <w:tcPr>
            <w:tcW w:w="2268" w:type="dxa"/>
            <w:tcBorders>
              <w:top w:val="nil"/>
              <w:left w:val="nil"/>
              <w:bottom w:val="nil"/>
              <w:right w:val="nil"/>
            </w:tcBorders>
          </w:tcPr>
          <w:p w:rsidR="001F3A98" w:rsidRPr="00CF5A42" w:rsidRDefault="001F3A98" w:rsidP="00FD47C7">
            <w:pPr>
              <w:rPr>
                <w:rFonts w:ascii="Calibri" w:hAnsi="Calibri"/>
              </w:rPr>
            </w:pPr>
            <w:r w:rsidRPr="00CF5A42">
              <w:rPr>
                <w:rFonts w:ascii="Calibri" w:hAnsi="Calibri"/>
              </w:rPr>
              <w:t>PN-EN 12899-1:2005</w:t>
            </w:r>
          </w:p>
        </w:tc>
        <w:tc>
          <w:tcPr>
            <w:tcW w:w="4745" w:type="dxa"/>
            <w:tcBorders>
              <w:top w:val="nil"/>
              <w:left w:val="nil"/>
              <w:bottom w:val="nil"/>
              <w:right w:val="nil"/>
            </w:tcBorders>
          </w:tcPr>
          <w:p w:rsidR="001F3A98" w:rsidRPr="00CF5A42" w:rsidRDefault="001F3A98" w:rsidP="00FD47C7">
            <w:pPr>
              <w:rPr>
                <w:rFonts w:ascii="Calibri" w:hAnsi="Calibri"/>
              </w:rPr>
            </w:pPr>
            <w:r w:rsidRPr="00CF5A42">
              <w:rPr>
                <w:rFonts w:ascii="Calibri" w:hAnsi="Calibri"/>
              </w:rPr>
              <w:t xml:space="preserve">Stałe, pionowe znaki drogowe - Część 1: Znaki stałe </w:t>
            </w:r>
          </w:p>
        </w:tc>
      </w:tr>
      <w:tr w:rsidR="001F3A98" w:rsidRPr="00CF5A42" w:rsidTr="00FD47C7">
        <w:tc>
          <w:tcPr>
            <w:tcW w:w="496" w:type="dxa"/>
            <w:tcBorders>
              <w:top w:val="nil"/>
              <w:left w:val="nil"/>
              <w:bottom w:val="nil"/>
              <w:right w:val="nil"/>
            </w:tcBorders>
          </w:tcPr>
          <w:p w:rsidR="001F3A98" w:rsidRPr="00CF5A42" w:rsidRDefault="001F3A98" w:rsidP="00FD47C7">
            <w:pPr>
              <w:rPr>
                <w:rFonts w:ascii="Calibri" w:hAnsi="Calibri"/>
              </w:rPr>
            </w:pPr>
            <w:r w:rsidRPr="00CF5A42">
              <w:rPr>
                <w:rFonts w:ascii="Calibri" w:hAnsi="Calibri"/>
              </w:rPr>
              <w:t>17.</w:t>
            </w:r>
          </w:p>
        </w:tc>
        <w:tc>
          <w:tcPr>
            <w:tcW w:w="2268" w:type="dxa"/>
            <w:tcBorders>
              <w:top w:val="nil"/>
              <w:left w:val="nil"/>
              <w:bottom w:val="nil"/>
              <w:right w:val="nil"/>
            </w:tcBorders>
          </w:tcPr>
          <w:p w:rsidR="001F3A98" w:rsidRPr="00CF5A42" w:rsidRDefault="001F3A98" w:rsidP="00FD47C7">
            <w:pPr>
              <w:rPr>
                <w:rFonts w:ascii="Calibri" w:hAnsi="Calibri"/>
              </w:rPr>
            </w:pPr>
            <w:r w:rsidRPr="00CF5A42">
              <w:rPr>
                <w:rFonts w:ascii="Calibri" w:hAnsi="Calibri"/>
              </w:rPr>
              <w:t>prEN 12899-5</w:t>
            </w:r>
          </w:p>
        </w:tc>
        <w:tc>
          <w:tcPr>
            <w:tcW w:w="4745" w:type="dxa"/>
            <w:tcBorders>
              <w:top w:val="nil"/>
              <w:left w:val="nil"/>
              <w:bottom w:val="nil"/>
              <w:right w:val="nil"/>
            </w:tcBorders>
          </w:tcPr>
          <w:p w:rsidR="001F3A98" w:rsidRPr="00CF5A42" w:rsidRDefault="001F3A98" w:rsidP="00FD47C7">
            <w:pPr>
              <w:rPr>
                <w:rFonts w:ascii="Calibri" w:hAnsi="Calibri"/>
              </w:rPr>
            </w:pPr>
            <w:r w:rsidRPr="00CF5A42">
              <w:rPr>
                <w:rFonts w:ascii="Calibri" w:hAnsi="Calibri"/>
              </w:rPr>
              <w:t>Stałe, pionowe znaki drogowe - Część 5 Badanie wstępne typu</w:t>
            </w:r>
            <w:r>
              <w:rPr>
                <w:rFonts w:ascii="Calibri" w:hAnsi="Calibri"/>
              </w:rPr>
              <w:t>.</w:t>
            </w:r>
          </w:p>
        </w:tc>
      </w:tr>
      <w:tr w:rsidR="001F3A98" w:rsidRPr="00CF5A42" w:rsidTr="00FD47C7">
        <w:tc>
          <w:tcPr>
            <w:tcW w:w="496" w:type="dxa"/>
            <w:tcBorders>
              <w:top w:val="nil"/>
              <w:left w:val="nil"/>
              <w:bottom w:val="nil"/>
              <w:right w:val="nil"/>
            </w:tcBorders>
          </w:tcPr>
          <w:p w:rsidR="001F3A98" w:rsidRPr="00CF5A42" w:rsidRDefault="001F3A98" w:rsidP="00FD47C7">
            <w:pPr>
              <w:rPr>
                <w:rFonts w:ascii="Calibri" w:hAnsi="Calibri"/>
              </w:rPr>
            </w:pPr>
            <w:r w:rsidRPr="00CF5A42">
              <w:rPr>
                <w:rFonts w:ascii="Calibri" w:hAnsi="Calibri"/>
              </w:rPr>
              <w:t>18.</w:t>
            </w:r>
          </w:p>
        </w:tc>
        <w:tc>
          <w:tcPr>
            <w:tcW w:w="2268" w:type="dxa"/>
            <w:tcBorders>
              <w:top w:val="nil"/>
              <w:left w:val="nil"/>
              <w:bottom w:val="nil"/>
              <w:right w:val="nil"/>
            </w:tcBorders>
          </w:tcPr>
          <w:p w:rsidR="001F3A98" w:rsidRPr="00CF5A42" w:rsidRDefault="001F3A98" w:rsidP="00FD47C7">
            <w:pPr>
              <w:rPr>
                <w:rFonts w:ascii="Calibri" w:hAnsi="Calibri"/>
              </w:rPr>
            </w:pPr>
            <w:r w:rsidRPr="00CF5A42">
              <w:rPr>
                <w:rFonts w:ascii="Calibri" w:hAnsi="Calibri"/>
              </w:rPr>
              <w:t>PN-EN 60529:2003</w:t>
            </w:r>
          </w:p>
        </w:tc>
        <w:tc>
          <w:tcPr>
            <w:tcW w:w="4745" w:type="dxa"/>
            <w:tcBorders>
              <w:top w:val="nil"/>
              <w:left w:val="nil"/>
              <w:bottom w:val="nil"/>
              <w:right w:val="nil"/>
            </w:tcBorders>
          </w:tcPr>
          <w:p w:rsidR="001F3A98" w:rsidRPr="00CF5A42" w:rsidRDefault="001F3A98" w:rsidP="00FD47C7">
            <w:pPr>
              <w:rPr>
                <w:rFonts w:ascii="Calibri" w:hAnsi="Calibri"/>
              </w:rPr>
            </w:pPr>
            <w:r w:rsidRPr="00CF5A42">
              <w:rPr>
                <w:rFonts w:ascii="Calibri" w:hAnsi="Calibri"/>
              </w:rPr>
              <w:t>Stopnie ochrony zapewnianej przez obudowy (Kod IP)</w:t>
            </w:r>
          </w:p>
        </w:tc>
      </w:tr>
      <w:tr w:rsidR="001F3A98" w:rsidRPr="00CF5A42" w:rsidTr="00FD47C7">
        <w:tc>
          <w:tcPr>
            <w:tcW w:w="496" w:type="dxa"/>
            <w:tcBorders>
              <w:top w:val="nil"/>
              <w:left w:val="nil"/>
              <w:bottom w:val="nil"/>
              <w:right w:val="nil"/>
            </w:tcBorders>
          </w:tcPr>
          <w:p w:rsidR="001F3A98" w:rsidRPr="00CF5A42" w:rsidRDefault="001F3A98" w:rsidP="00FD47C7">
            <w:pPr>
              <w:rPr>
                <w:rFonts w:ascii="Calibri" w:hAnsi="Calibri"/>
              </w:rPr>
            </w:pPr>
            <w:r w:rsidRPr="00CF5A42">
              <w:rPr>
                <w:rFonts w:ascii="Calibri" w:hAnsi="Calibri"/>
              </w:rPr>
              <w:t>19.</w:t>
            </w:r>
          </w:p>
        </w:tc>
        <w:tc>
          <w:tcPr>
            <w:tcW w:w="2268" w:type="dxa"/>
            <w:tcBorders>
              <w:top w:val="nil"/>
              <w:left w:val="nil"/>
              <w:bottom w:val="nil"/>
              <w:right w:val="nil"/>
            </w:tcBorders>
          </w:tcPr>
          <w:p w:rsidR="001F3A98" w:rsidRPr="00CF5A42" w:rsidRDefault="001F3A98" w:rsidP="00FD47C7">
            <w:pPr>
              <w:rPr>
                <w:rFonts w:ascii="Calibri" w:hAnsi="Calibri"/>
              </w:rPr>
            </w:pPr>
            <w:r w:rsidRPr="00CF5A42">
              <w:rPr>
                <w:rFonts w:ascii="Calibri" w:hAnsi="Calibri"/>
              </w:rPr>
              <w:t>PN-EN 60598-1: 1990</w:t>
            </w:r>
          </w:p>
        </w:tc>
        <w:tc>
          <w:tcPr>
            <w:tcW w:w="4745" w:type="dxa"/>
            <w:tcBorders>
              <w:top w:val="nil"/>
              <w:left w:val="nil"/>
              <w:bottom w:val="nil"/>
              <w:right w:val="nil"/>
            </w:tcBorders>
          </w:tcPr>
          <w:p w:rsidR="001F3A98" w:rsidRPr="00CF5A42" w:rsidRDefault="001F3A98" w:rsidP="00FD47C7">
            <w:pPr>
              <w:rPr>
                <w:rFonts w:ascii="Calibri" w:hAnsi="Calibri"/>
              </w:rPr>
            </w:pPr>
            <w:r w:rsidRPr="00CF5A42">
              <w:rPr>
                <w:rFonts w:ascii="Calibri" w:hAnsi="Calibri"/>
              </w:rPr>
              <w:t>Oprawy oświetleniowe. Wymagania ogólne i badania</w:t>
            </w:r>
            <w:r>
              <w:rPr>
                <w:rFonts w:ascii="Calibri" w:hAnsi="Calibri"/>
              </w:rPr>
              <w:t>.</w:t>
            </w:r>
          </w:p>
        </w:tc>
      </w:tr>
      <w:tr w:rsidR="001F3A98" w:rsidRPr="00CF5A42" w:rsidTr="00FD47C7">
        <w:tc>
          <w:tcPr>
            <w:tcW w:w="496" w:type="dxa"/>
            <w:tcBorders>
              <w:top w:val="nil"/>
              <w:left w:val="nil"/>
              <w:bottom w:val="nil"/>
              <w:right w:val="nil"/>
            </w:tcBorders>
          </w:tcPr>
          <w:p w:rsidR="001F3A98" w:rsidRPr="00CF5A42" w:rsidRDefault="001F3A98" w:rsidP="00FD47C7">
            <w:pPr>
              <w:rPr>
                <w:rFonts w:ascii="Calibri" w:hAnsi="Calibri"/>
              </w:rPr>
            </w:pPr>
            <w:r w:rsidRPr="00CF5A42">
              <w:rPr>
                <w:rFonts w:ascii="Calibri" w:hAnsi="Calibri"/>
              </w:rPr>
              <w:t>20.</w:t>
            </w:r>
          </w:p>
        </w:tc>
        <w:tc>
          <w:tcPr>
            <w:tcW w:w="2268" w:type="dxa"/>
            <w:tcBorders>
              <w:top w:val="nil"/>
              <w:left w:val="nil"/>
              <w:bottom w:val="nil"/>
              <w:right w:val="nil"/>
            </w:tcBorders>
          </w:tcPr>
          <w:p w:rsidR="001F3A98" w:rsidRPr="00CF5A42" w:rsidRDefault="001F3A98" w:rsidP="00FD47C7">
            <w:pPr>
              <w:rPr>
                <w:rFonts w:ascii="Calibri" w:hAnsi="Calibri"/>
              </w:rPr>
            </w:pPr>
            <w:r w:rsidRPr="00CF5A42">
              <w:rPr>
                <w:rFonts w:ascii="Calibri" w:hAnsi="Calibri"/>
              </w:rPr>
              <w:t>PN-EN 60598-2:2003(U)</w:t>
            </w:r>
          </w:p>
        </w:tc>
        <w:tc>
          <w:tcPr>
            <w:tcW w:w="4745" w:type="dxa"/>
            <w:tcBorders>
              <w:top w:val="nil"/>
              <w:left w:val="nil"/>
              <w:bottom w:val="nil"/>
              <w:right w:val="nil"/>
            </w:tcBorders>
          </w:tcPr>
          <w:p w:rsidR="001F3A98" w:rsidRPr="00CF5A42" w:rsidRDefault="001F3A98" w:rsidP="00FD47C7">
            <w:pPr>
              <w:rPr>
                <w:rFonts w:ascii="Calibri" w:hAnsi="Calibri"/>
              </w:rPr>
            </w:pPr>
            <w:r w:rsidRPr="00CF5A42">
              <w:rPr>
                <w:rFonts w:ascii="Calibri" w:hAnsi="Calibri"/>
              </w:rPr>
              <w:t>Oprawy oświetleniowe - Wymagania szczegółowe - Oprawy oświetleniowe drogowe</w:t>
            </w:r>
            <w:r>
              <w:rPr>
                <w:rFonts w:ascii="Calibri" w:hAnsi="Calibri"/>
              </w:rPr>
              <w:t>.</w:t>
            </w:r>
          </w:p>
        </w:tc>
      </w:tr>
      <w:tr w:rsidR="001F3A98" w:rsidRPr="00CF5A42" w:rsidTr="00FD47C7">
        <w:tc>
          <w:tcPr>
            <w:tcW w:w="496" w:type="dxa"/>
            <w:tcBorders>
              <w:top w:val="nil"/>
              <w:left w:val="nil"/>
              <w:bottom w:val="nil"/>
              <w:right w:val="nil"/>
            </w:tcBorders>
          </w:tcPr>
          <w:p w:rsidR="001F3A98" w:rsidRPr="00CF5A42" w:rsidRDefault="001F3A98" w:rsidP="00FD47C7">
            <w:pPr>
              <w:rPr>
                <w:rFonts w:ascii="Calibri" w:hAnsi="Calibri"/>
              </w:rPr>
            </w:pPr>
            <w:r w:rsidRPr="00CF5A42">
              <w:rPr>
                <w:rFonts w:ascii="Calibri" w:hAnsi="Calibri"/>
              </w:rPr>
              <w:t>21.</w:t>
            </w:r>
          </w:p>
        </w:tc>
        <w:tc>
          <w:tcPr>
            <w:tcW w:w="2268" w:type="dxa"/>
            <w:tcBorders>
              <w:top w:val="nil"/>
              <w:left w:val="nil"/>
              <w:bottom w:val="nil"/>
              <w:right w:val="nil"/>
            </w:tcBorders>
          </w:tcPr>
          <w:p w:rsidR="001F3A98" w:rsidRPr="00CF5A42" w:rsidRDefault="001F3A98" w:rsidP="00FD47C7">
            <w:pPr>
              <w:rPr>
                <w:rFonts w:ascii="Calibri" w:hAnsi="Calibri"/>
              </w:rPr>
            </w:pPr>
            <w:r w:rsidRPr="00CF5A42">
              <w:rPr>
                <w:rFonts w:ascii="Calibri" w:hAnsi="Calibri"/>
              </w:rPr>
              <w:t>PN-H-74200:1998</w:t>
            </w:r>
          </w:p>
        </w:tc>
        <w:tc>
          <w:tcPr>
            <w:tcW w:w="4745" w:type="dxa"/>
            <w:tcBorders>
              <w:top w:val="nil"/>
              <w:left w:val="nil"/>
              <w:bottom w:val="nil"/>
              <w:right w:val="nil"/>
            </w:tcBorders>
          </w:tcPr>
          <w:p w:rsidR="001F3A98" w:rsidRPr="00CF5A42" w:rsidRDefault="001F3A98" w:rsidP="00FD47C7">
            <w:pPr>
              <w:rPr>
                <w:rFonts w:ascii="Calibri" w:hAnsi="Calibri"/>
              </w:rPr>
            </w:pPr>
            <w:r w:rsidRPr="00CF5A42">
              <w:rPr>
                <w:rFonts w:ascii="Calibri" w:hAnsi="Calibri"/>
              </w:rPr>
              <w:t>Rury stalowe ze szwem, gwintowane</w:t>
            </w:r>
            <w:r>
              <w:rPr>
                <w:rFonts w:ascii="Calibri" w:hAnsi="Calibri"/>
              </w:rPr>
              <w:t>.</w:t>
            </w:r>
            <w:r w:rsidRPr="00CF5A42">
              <w:rPr>
                <w:rFonts w:ascii="Calibri" w:hAnsi="Calibri"/>
              </w:rPr>
              <w:t xml:space="preserve"> </w:t>
            </w:r>
          </w:p>
        </w:tc>
      </w:tr>
      <w:tr w:rsidR="001F3A98" w:rsidRPr="00CF5A42" w:rsidTr="00FD47C7">
        <w:tc>
          <w:tcPr>
            <w:tcW w:w="496" w:type="dxa"/>
            <w:tcBorders>
              <w:top w:val="nil"/>
              <w:left w:val="nil"/>
              <w:bottom w:val="nil"/>
              <w:right w:val="nil"/>
            </w:tcBorders>
          </w:tcPr>
          <w:p w:rsidR="001F3A98" w:rsidRPr="00CF5A42" w:rsidRDefault="001F3A98" w:rsidP="00FD47C7">
            <w:pPr>
              <w:rPr>
                <w:rFonts w:ascii="Calibri" w:hAnsi="Calibri"/>
              </w:rPr>
            </w:pPr>
            <w:r w:rsidRPr="00CF5A42">
              <w:rPr>
                <w:rFonts w:ascii="Calibri" w:hAnsi="Calibri"/>
              </w:rPr>
              <w:t>22.</w:t>
            </w:r>
          </w:p>
        </w:tc>
        <w:tc>
          <w:tcPr>
            <w:tcW w:w="2268" w:type="dxa"/>
            <w:tcBorders>
              <w:top w:val="nil"/>
              <w:left w:val="nil"/>
              <w:bottom w:val="nil"/>
              <w:right w:val="nil"/>
            </w:tcBorders>
          </w:tcPr>
          <w:p w:rsidR="001F3A98" w:rsidRPr="00CF5A42" w:rsidRDefault="001F3A98" w:rsidP="00FD47C7">
            <w:pPr>
              <w:rPr>
                <w:rFonts w:ascii="Calibri" w:hAnsi="Calibri"/>
              </w:rPr>
            </w:pPr>
            <w:r w:rsidRPr="00CF5A42">
              <w:rPr>
                <w:rFonts w:ascii="Calibri" w:hAnsi="Calibri"/>
              </w:rPr>
              <w:t>PN-EN ISO 2808:2000</w:t>
            </w:r>
          </w:p>
        </w:tc>
        <w:tc>
          <w:tcPr>
            <w:tcW w:w="4745" w:type="dxa"/>
            <w:tcBorders>
              <w:top w:val="nil"/>
              <w:left w:val="nil"/>
              <w:bottom w:val="nil"/>
              <w:right w:val="nil"/>
            </w:tcBorders>
          </w:tcPr>
          <w:p w:rsidR="001F3A98" w:rsidRPr="00CF5A42" w:rsidRDefault="001F3A98" w:rsidP="00FD47C7">
            <w:pPr>
              <w:rPr>
                <w:rFonts w:ascii="Calibri" w:hAnsi="Calibri"/>
              </w:rPr>
            </w:pPr>
            <w:r w:rsidRPr="00CF5A42">
              <w:rPr>
                <w:rFonts w:ascii="Calibri" w:hAnsi="Calibri"/>
              </w:rPr>
              <w:t>Farby i lakiery - oznaczanie grubości powłoki</w:t>
            </w:r>
            <w:r>
              <w:rPr>
                <w:rFonts w:ascii="Calibri" w:hAnsi="Calibri"/>
              </w:rPr>
              <w:t>.</w:t>
            </w:r>
          </w:p>
        </w:tc>
      </w:tr>
      <w:tr w:rsidR="001F3A98" w:rsidRPr="00CF5A42" w:rsidTr="00FD47C7">
        <w:tc>
          <w:tcPr>
            <w:tcW w:w="496" w:type="dxa"/>
            <w:tcBorders>
              <w:top w:val="nil"/>
              <w:left w:val="nil"/>
              <w:bottom w:val="nil"/>
              <w:right w:val="nil"/>
            </w:tcBorders>
          </w:tcPr>
          <w:p w:rsidR="001F3A98" w:rsidRPr="00CF5A42" w:rsidRDefault="001F3A98" w:rsidP="00FD47C7">
            <w:pPr>
              <w:rPr>
                <w:rFonts w:ascii="Calibri" w:hAnsi="Calibri"/>
              </w:rPr>
            </w:pPr>
            <w:r w:rsidRPr="00CF5A42">
              <w:rPr>
                <w:rFonts w:ascii="Calibri" w:hAnsi="Calibri"/>
              </w:rPr>
              <w:t>23.</w:t>
            </w:r>
          </w:p>
        </w:tc>
        <w:tc>
          <w:tcPr>
            <w:tcW w:w="2268" w:type="dxa"/>
            <w:tcBorders>
              <w:top w:val="nil"/>
              <w:left w:val="nil"/>
              <w:bottom w:val="nil"/>
              <w:right w:val="nil"/>
            </w:tcBorders>
          </w:tcPr>
          <w:p w:rsidR="001F3A98" w:rsidRPr="00CF5A42" w:rsidRDefault="001F3A98" w:rsidP="00FD47C7">
            <w:pPr>
              <w:rPr>
                <w:rFonts w:ascii="Calibri" w:hAnsi="Calibri"/>
              </w:rPr>
            </w:pPr>
            <w:r w:rsidRPr="00CF5A42">
              <w:rPr>
                <w:rFonts w:ascii="Calibri" w:hAnsi="Calibri"/>
              </w:rPr>
              <w:t>PN-91/H-93010</w:t>
            </w:r>
          </w:p>
        </w:tc>
        <w:tc>
          <w:tcPr>
            <w:tcW w:w="4745" w:type="dxa"/>
            <w:tcBorders>
              <w:top w:val="nil"/>
              <w:left w:val="nil"/>
              <w:bottom w:val="nil"/>
              <w:right w:val="nil"/>
            </w:tcBorders>
          </w:tcPr>
          <w:p w:rsidR="001F3A98" w:rsidRPr="00CF5A42" w:rsidRDefault="001F3A98" w:rsidP="00FD47C7">
            <w:pPr>
              <w:rPr>
                <w:rFonts w:ascii="Calibri" w:hAnsi="Calibri"/>
              </w:rPr>
            </w:pPr>
            <w:r w:rsidRPr="00CF5A42">
              <w:rPr>
                <w:rFonts w:ascii="Calibri" w:hAnsi="Calibri"/>
              </w:rPr>
              <w:t>Stal. Kształtowniki walcowane na gorąco</w:t>
            </w:r>
            <w:r>
              <w:rPr>
                <w:rFonts w:ascii="Calibri" w:hAnsi="Calibri"/>
              </w:rPr>
              <w:t>.</w:t>
            </w:r>
          </w:p>
        </w:tc>
      </w:tr>
      <w:tr w:rsidR="001F3A98" w:rsidRPr="00CF5A42" w:rsidTr="00FD47C7">
        <w:tc>
          <w:tcPr>
            <w:tcW w:w="496" w:type="dxa"/>
            <w:tcBorders>
              <w:top w:val="nil"/>
              <w:left w:val="nil"/>
              <w:bottom w:val="nil"/>
              <w:right w:val="nil"/>
            </w:tcBorders>
          </w:tcPr>
          <w:p w:rsidR="001F3A98" w:rsidRPr="00CF5A42" w:rsidRDefault="001F3A98" w:rsidP="00FD47C7">
            <w:pPr>
              <w:rPr>
                <w:rFonts w:ascii="Calibri" w:hAnsi="Calibri"/>
              </w:rPr>
            </w:pPr>
            <w:r w:rsidRPr="00CF5A42">
              <w:rPr>
                <w:rFonts w:ascii="Calibri" w:hAnsi="Calibri"/>
              </w:rPr>
              <w:t>24.</w:t>
            </w:r>
          </w:p>
        </w:tc>
        <w:tc>
          <w:tcPr>
            <w:tcW w:w="2268" w:type="dxa"/>
            <w:tcBorders>
              <w:top w:val="nil"/>
              <w:left w:val="nil"/>
              <w:bottom w:val="nil"/>
              <w:right w:val="nil"/>
            </w:tcBorders>
          </w:tcPr>
          <w:p w:rsidR="001F3A98" w:rsidRPr="00CF5A42" w:rsidRDefault="001F3A98" w:rsidP="00FD47C7">
            <w:pPr>
              <w:rPr>
                <w:rFonts w:ascii="Calibri" w:hAnsi="Calibri"/>
              </w:rPr>
            </w:pPr>
            <w:r w:rsidRPr="00CF5A42">
              <w:rPr>
                <w:rFonts w:ascii="Calibri" w:hAnsi="Calibri"/>
              </w:rPr>
              <w:t>PN-S-02205:1998</w:t>
            </w:r>
          </w:p>
        </w:tc>
        <w:tc>
          <w:tcPr>
            <w:tcW w:w="4745" w:type="dxa"/>
            <w:tcBorders>
              <w:top w:val="nil"/>
              <w:left w:val="nil"/>
              <w:bottom w:val="nil"/>
              <w:right w:val="nil"/>
            </w:tcBorders>
          </w:tcPr>
          <w:p w:rsidR="001F3A98" w:rsidRPr="00CF5A42" w:rsidRDefault="001F3A98" w:rsidP="00FD47C7">
            <w:pPr>
              <w:rPr>
                <w:rFonts w:ascii="Calibri" w:hAnsi="Calibri"/>
              </w:rPr>
            </w:pPr>
            <w:r w:rsidRPr="00CF5A42">
              <w:rPr>
                <w:rFonts w:ascii="Calibri" w:hAnsi="Calibri"/>
              </w:rPr>
              <w:t>Drogi samochodowe. Roboty ziemne. Wymagania i badania</w:t>
            </w:r>
            <w:r>
              <w:rPr>
                <w:rFonts w:ascii="Calibri" w:hAnsi="Calibri"/>
              </w:rPr>
              <w:t>.</w:t>
            </w:r>
          </w:p>
        </w:tc>
      </w:tr>
    </w:tbl>
    <w:p w:rsidR="001F3A98" w:rsidRPr="00CF5A42" w:rsidRDefault="001F3A98" w:rsidP="001F3A98">
      <w:pPr>
        <w:rPr>
          <w:rFonts w:ascii="Calibri" w:hAnsi="Calibri"/>
        </w:rPr>
      </w:pPr>
      <w:r w:rsidRPr="00CF5A42">
        <w:rPr>
          <w:rFonts w:ascii="Calibri" w:hAnsi="Calibri"/>
          <w:b/>
        </w:rPr>
        <w:t>10.2.</w:t>
      </w:r>
      <w:r w:rsidRPr="00CF5A42">
        <w:rPr>
          <w:rFonts w:ascii="Calibri" w:hAnsi="Calibri"/>
        </w:rPr>
        <w:t xml:space="preserve">  Przepisy związane</w:t>
      </w:r>
    </w:p>
    <w:p w:rsidR="001F3A98" w:rsidRPr="00CF5A42" w:rsidRDefault="001F3A98" w:rsidP="001F3A98">
      <w:pPr>
        <w:rPr>
          <w:rFonts w:ascii="Calibri" w:hAnsi="Calibri"/>
        </w:rPr>
      </w:pPr>
      <w:r w:rsidRPr="00CF5A42">
        <w:rPr>
          <w:rFonts w:ascii="Calibri" w:hAnsi="Calibri"/>
        </w:rPr>
        <w:t>25. Załączniki nr 1 i 4 do rozporządzenia Ministra Infrastruktury z dnia 3 lipca 2003 w sprawie szczegółowych warunków technicznych dla znaków i sygnałów drogowych oraz urządzeń bezpieczeństwa ruchu drogowego i warunków ich umieszczania na drogach (Dz. U. nr 220, poz. 2181)</w:t>
      </w:r>
      <w:r>
        <w:rPr>
          <w:rFonts w:ascii="Calibri" w:hAnsi="Calibri"/>
        </w:rPr>
        <w:t>.</w:t>
      </w:r>
    </w:p>
    <w:p w:rsidR="001F3A98" w:rsidRPr="00CF5A42" w:rsidRDefault="001F3A98" w:rsidP="001F3A98">
      <w:pPr>
        <w:rPr>
          <w:rFonts w:ascii="Calibri" w:hAnsi="Calibri"/>
        </w:rPr>
      </w:pPr>
      <w:r w:rsidRPr="00CF5A42">
        <w:rPr>
          <w:rFonts w:ascii="Calibri" w:hAnsi="Calibri"/>
        </w:rPr>
        <w:t>26. Rozporządzenie Ministra Infrastruktury z dn. 11 sierpnia 2004 r. w sprawie sposobów deklarowania zgodności wyrobów budowlanych oraz sposobu znakowania ich znakiem budowlanym (Dz. U. nr 198, poz. 2041)</w:t>
      </w:r>
      <w:r>
        <w:rPr>
          <w:rFonts w:ascii="Calibri" w:hAnsi="Calibri"/>
        </w:rPr>
        <w:t>.</w:t>
      </w:r>
    </w:p>
    <w:p w:rsidR="001F3A98" w:rsidRPr="00CF5A42" w:rsidRDefault="001F3A98" w:rsidP="001F3A98">
      <w:pPr>
        <w:rPr>
          <w:rFonts w:ascii="Calibri" w:hAnsi="Calibri"/>
        </w:rPr>
      </w:pPr>
      <w:r w:rsidRPr="00CF5A42">
        <w:rPr>
          <w:rFonts w:ascii="Calibri" w:hAnsi="Calibri"/>
        </w:rPr>
        <w:t>27. Rozporządzenie Ministra Infrastruktury z dn. 08 listopada 2004 r. w sprawie aprobat technicznych oraz jednostek organizacyjnych upoważnionych do ich wydawania (Dz. U. nr 249, poz. 2497)</w:t>
      </w:r>
      <w:r>
        <w:rPr>
          <w:rFonts w:ascii="Calibri" w:hAnsi="Calibri"/>
        </w:rPr>
        <w:t>.</w:t>
      </w:r>
    </w:p>
    <w:p w:rsidR="001F3A98" w:rsidRPr="00CF5A42" w:rsidRDefault="001F3A98" w:rsidP="001F3A98">
      <w:pPr>
        <w:rPr>
          <w:rFonts w:ascii="Calibri" w:hAnsi="Calibri"/>
        </w:rPr>
      </w:pPr>
      <w:r w:rsidRPr="00CF5A42">
        <w:rPr>
          <w:rFonts w:ascii="Calibri" w:hAnsi="Calibri"/>
        </w:rPr>
        <w:t>28. CIE No. 39.2 1983 Recommendations for surface colours for visual signalling (Zalecenia dla barw powierzchniowych sygnalizacji wizualnej)</w:t>
      </w:r>
      <w:r>
        <w:rPr>
          <w:rFonts w:ascii="Calibri" w:hAnsi="Calibri"/>
        </w:rPr>
        <w:t>.</w:t>
      </w:r>
    </w:p>
    <w:p w:rsidR="001F3A98" w:rsidRPr="00CF5A42" w:rsidRDefault="001F3A98" w:rsidP="001F3A98">
      <w:pPr>
        <w:rPr>
          <w:rFonts w:ascii="Calibri" w:hAnsi="Calibri"/>
        </w:rPr>
      </w:pPr>
      <w:r w:rsidRPr="00CF5A42">
        <w:rPr>
          <w:rFonts w:ascii="Calibri" w:hAnsi="Calibri"/>
        </w:rPr>
        <w:t>29. CIE No. 54 Retroreflection definition and measurement (Powierzchniowy współczynnik odblasku definicja i pomiary)</w:t>
      </w:r>
      <w:r>
        <w:rPr>
          <w:rFonts w:ascii="Calibri" w:hAnsi="Calibri"/>
        </w:rPr>
        <w:t>.</w:t>
      </w:r>
    </w:p>
    <w:p w:rsidR="001F3A98" w:rsidRPr="00CF5A42" w:rsidRDefault="001F3A98" w:rsidP="001F3A98">
      <w:pPr>
        <w:rPr>
          <w:rFonts w:ascii="Calibri" w:hAnsi="Calibri"/>
        </w:rPr>
      </w:pPr>
      <w:r w:rsidRPr="00CF5A42">
        <w:rPr>
          <w:rFonts w:ascii="Calibri" w:hAnsi="Calibri"/>
        </w:rPr>
        <w:t>30. Ustawa z dnia 16 kwietnia 2004 r. o wyrobach budowlanych ( Dz. U. nr 92, poz. 881)</w:t>
      </w:r>
      <w:r>
        <w:rPr>
          <w:rFonts w:ascii="Calibri" w:hAnsi="Calibri"/>
        </w:rPr>
        <w:t>.</w:t>
      </w:r>
    </w:p>
    <w:p w:rsidR="001F3A98" w:rsidRPr="00CF5A42" w:rsidRDefault="001F3A98" w:rsidP="001F3A98">
      <w:pPr>
        <w:rPr>
          <w:rFonts w:ascii="Calibri" w:hAnsi="Calibri"/>
        </w:rPr>
      </w:pPr>
      <w:r w:rsidRPr="00CF5A42">
        <w:rPr>
          <w:rFonts w:ascii="Calibri" w:hAnsi="Calibri"/>
        </w:rPr>
        <w:t>31. Stałe odblaskowe znaki drogowe i urządzenia bezpieczeństwa ruchu drogowego. Zalecenia IBDiM do udzielania aprobat technicznych nr Z/2005-03-009</w:t>
      </w:r>
      <w:r>
        <w:rPr>
          <w:rFonts w:ascii="Calibri" w:hAnsi="Calibri"/>
        </w:rPr>
        <w:t>.</w:t>
      </w:r>
    </w:p>
    <w:p w:rsidR="00BB1234" w:rsidRDefault="00BB1234" w:rsidP="00BB1234">
      <w:pPr>
        <w:rPr>
          <w:rFonts w:ascii="Calibri" w:hAnsi="Calibri"/>
          <w:b/>
        </w:rPr>
      </w:pPr>
    </w:p>
    <w:p w:rsidR="00BB1234" w:rsidRDefault="00BB1234" w:rsidP="00BB1234">
      <w:pPr>
        <w:rPr>
          <w:rFonts w:ascii="Calibri" w:hAnsi="Calibri"/>
          <w:b/>
        </w:rPr>
      </w:pPr>
    </w:p>
    <w:p w:rsidR="00BB1234" w:rsidRDefault="00BB1234" w:rsidP="00BB1234">
      <w:pPr>
        <w:rPr>
          <w:rFonts w:ascii="Calibri" w:hAnsi="Calibri"/>
          <w:b/>
        </w:rPr>
      </w:pPr>
    </w:p>
    <w:p w:rsidR="00BB1234" w:rsidRDefault="00BB1234" w:rsidP="00BB1234">
      <w:pPr>
        <w:rPr>
          <w:rFonts w:ascii="Calibri" w:hAnsi="Calibri"/>
          <w:b/>
        </w:rPr>
      </w:pPr>
    </w:p>
    <w:p w:rsidR="00BB1234" w:rsidRDefault="00BB1234" w:rsidP="00BB1234">
      <w:pPr>
        <w:rPr>
          <w:rFonts w:ascii="Calibri" w:hAnsi="Calibri"/>
          <w:b/>
        </w:rPr>
      </w:pPr>
    </w:p>
    <w:p w:rsidR="00BB1234" w:rsidRDefault="00BB1234" w:rsidP="00BB1234">
      <w:pPr>
        <w:rPr>
          <w:rFonts w:ascii="Calibri" w:hAnsi="Calibri"/>
          <w:b/>
        </w:rPr>
      </w:pPr>
    </w:p>
    <w:p w:rsidR="00BB1234" w:rsidRDefault="00BB1234" w:rsidP="00BB1234">
      <w:pPr>
        <w:rPr>
          <w:rFonts w:ascii="Calibri" w:hAnsi="Calibri"/>
          <w:b/>
        </w:rPr>
      </w:pPr>
    </w:p>
    <w:p w:rsidR="00BB1234" w:rsidRDefault="00BB1234" w:rsidP="00BB1234">
      <w:pPr>
        <w:rPr>
          <w:rFonts w:ascii="Calibri" w:hAnsi="Calibri"/>
          <w:b/>
        </w:rPr>
      </w:pPr>
    </w:p>
    <w:p w:rsidR="00BB1234" w:rsidRDefault="00BB1234" w:rsidP="00BB1234">
      <w:pPr>
        <w:rPr>
          <w:rFonts w:ascii="Calibri" w:hAnsi="Calibri"/>
          <w:b/>
        </w:rPr>
      </w:pPr>
    </w:p>
    <w:p w:rsidR="00BB1234" w:rsidRDefault="00BB1234" w:rsidP="00BB1234">
      <w:pPr>
        <w:rPr>
          <w:rFonts w:ascii="Calibri" w:hAnsi="Calibri"/>
          <w:b/>
        </w:rPr>
      </w:pPr>
    </w:p>
    <w:p w:rsidR="00BB1234" w:rsidRDefault="00BB1234" w:rsidP="00BB1234">
      <w:pPr>
        <w:rPr>
          <w:rFonts w:ascii="Calibri" w:hAnsi="Calibri"/>
          <w:b/>
        </w:rPr>
      </w:pPr>
    </w:p>
    <w:p w:rsidR="00BB1234" w:rsidRDefault="00BB1234" w:rsidP="00BB1234">
      <w:pPr>
        <w:rPr>
          <w:rFonts w:ascii="Calibri" w:hAnsi="Calibri"/>
          <w:b/>
        </w:rPr>
      </w:pPr>
    </w:p>
    <w:p w:rsidR="00BB1234" w:rsidRDefault="00BB1234" w:rsidP="00BB1234">
      <w:pPr>
        <w:rPr>
          <w:rFonts w:ascii="Calibri" w:hAnsi="Calibri"/>
          <w:b/>
        </w:rPr>
      </w:pPr>
    </w:p>
    <w:p w:rsidR="00BB1234" w:rsidRDefault="00BB1234" w:rsidP="00BB1234">
      <w:pPr>
        <w:rPr>
          <w:rFonts w:ascii="Calibri" w:hAnsi="Calibri"/>
          <w:b/>
        </w:rPr>
      </w:pPr>
    </w:p>
    <w:p w:rsidR="0018327E" w:rsidRDefault="0018327E" w:rsidP="00BB1234">
      <w:pPr>
        <w:rPr>
          <w:rFonts w:ascii="Calibri" w:hAnsi="Calibri"/>
          <w:b/>
        </w:rPr>
      </w:pPr>
    </w:p>
    <w:p w:rsidR="0018327E" w:rsidRDefault="0018327E" w:rsidP="00BB1234">
      <w:pPr>
        <w:rPr>
          <w:rFonts w:ascii="Calibri" w:hAnsi="Calibri"/>
          <w:b/>
        </w:rPr>
      </w:pPr>
    </w:p>
    <w:p w:rsidR="00BB1234" w:rsidRDefault="00BB1234" w:rsidP="00BB1234">
      <w:pPr>
        <w:rPr>
          <w:rFonts w:ascii="Calibri" w:hAnsi="Calibri"/>
          <w:b/>
        </w:rPr>
      </w:pPr>
    </w:p>
    <w:p w:rsidR="000C27BF" w:rsidRDefault="000C27BF" w:rsidP="00BB1234">
      <w:pPr>
        <w:rPr>
          <w:rFonts w:ascii="Calibri" w:hAnsi="Calibri"/>
          <w:b/>
        </w:rPr>
      </w:pPr>
    </w:p>
    <w:p w:rsidR="000C27BF" w:rsidRDefault="000C27BF" w:rsidP="00BB1234">
      <w:pPr>
        <w:rPr>
          <w:rFonts w:ascii="Calibri" w:hAnsi="Calibri"/>
          <w:b/>
        </w:rPr>
      </w:pPr>
    </w:p>
    <w:p w:rsidR="000C27BF" w:rsidRDefault="000C27BF" w:rsidP="00BB1234">
      <w:pPr>
        <w:rPr>
          <w:rFonts w:ascii="Calibri" w:hAnsi="Calibri"/>
          <w:b/>
        </w:rPr>
      </w:pPr>
    </w:p>
    <w:p w:rsidR="000C27BF" w:rsidRDefault="000C27BF" w:rsidP="00BB1234">
      <w:pPr>
        <w:rPr>
          <w:rFonts w:ascii="Calibri" w:hAnsi="Calibri"/>
          <w:b/>
        </w:rPr>
      </w:pPr>
    </w:p>
    <w:p w:rsidR="000C27BF" w:rsidRDefault="000C27BF" w:rsidP="00BB1234">
      <w:pPr>
        <w:rPr>
          <w:rFonts w:ascii="Calibri" w:hAnsi="Calibri"/>
          <w:b/>
        </w:rPr>
      </w:pPr>
    </w:p>
    <w:p w:rsidR="000C27BF" w:rsidRDefault="000C27BF" w:rsidP="00BB1234">
      <w:pPr>
        <w:rPr>
          <w:rFonts w:ascii="Calibri" w:hAnsi="Calibri"/>
          <w:b/>
        </w:rPr>
      </w:pPr>
    </w:p>
    <w:p w:rsidR="000C27BF" w:rsidRDefault="000C27BF" w:rsidP="00BB1234">
      <w:pPr>
        <w:rPr>
          <w:rFonts w:ascii="Calibri" w:hAnsi="Calibri"/>
          <w:b/>
        </w:rPr>
      </w:pPr>
    </w:p>
    <w:p w:rsidR="000C27BF" w:rsidRDefault="000C27BF" w:rsidP="00BB1234">
      <w:pPr>
        <w:rPr>
          <w:rFonts w:ascii="Calibri" w:hAnsi="Calibri"/>
          <w:b/>
        </w:rPr>
      </w:pPr>
    </w:p>
    <w:p w:rsidR="000C27BF" w:rsidRDefault="000C27BF" w:rsidP="00BB1234">
      <w:pPr>
        <w:rPr>
          <w:rFonts w:ascii="Calibri" w:hAnsi="Calibri"/>
          <w:b/>
        </w:rPr>
      </w:pPr>
    </w:p>
    <w:p w:rsidR="000C27BF" w:rsidRDefault="000C27BF" w:rsidP="00BB1234">
      <w:pPr>
        <w:rPr>
          <w:rFonts w:ascii="Calibri" w:hAnsi="Calibri"/>
          <w:b/>
        </w:rPr>
      </w:pPr>
    </w:p>
    <w:p w:rsidR="000C27BF" w:rsidRDefault="000C27BF" w:rsidP="00BB1234">
      <w:pPr>
        <w:rPr>
          <w:rFonts w:ascii="Calibri" w:hAnsi="Calibri"/>
          <w:b/>
        </w:rPr>
      </w:pPr>
    </w:p>
    <w:p w:rsidR="000C27BF" w:rsidRDefault="000C27BF" w:rsidP="00BB1234">
      <w:pPr>
        <w:rPr>
          <w:rFonts w:ascii="Calibri" w:hAnsi="Calibri"/>
          <w:b/>
        </w:rPr>
      </w:pPr>
    </w:p>
    <w:p w:rsidR="000C27BF" w:rsidRDefault="000C27BF" w:rsidP="00BB1234">
      <w:pPr>
        <w:rPr>
          <w:rFonts w:ascii="Calibri" w:hAnsi="Calibri"/>
          <w:b/>
        </w:rPr>
      </w:pPr>
    </w:p>
    <w:p w:rsidR="000C27BF" w:rsidRDefault="000C27BF" w:rsidP="00BB1234">
      <w:pPr>
        <w:rPr>
          <w:rFonts w:ascii="Calibri" w:hAnsi="Calibri"/>
          <w:b/>
        </w:rPr>
      </w:pPr>
    </w:p>
    <w:p w:rsidR="00BB1234" w:rsidRDefault="00BB1234" w:rsidP="00BB1234">
      <w:pPr>
        <w:rPr>
          <w:rFonts w:ascii="Calibri" w:hAnsi="Calibri"/>
          <w:b/>
        </w:rPr>
      </w:pPr>
    </w:p>
    <w:p w:rsidR="0018327E" w:rsidRPr="00CE46E4" w:rsidRDefault="0018327E" w:rsidP="0018327E">
      <w:pPr>
        <w:pStyle w:val="Nagwek1"/>
        <w:jc w:val="center"/>
      </w:pPr>
      <w:bookmarkStart w:id="1600" w:name="_Toc438237737"/>
      <w:r w:rsidRPr="00CE46E4">
        <w:t>D-07.06.02 URZĄDZENIA ZABEZPIECZAJĄCE RUCH PIESZYCH</w:t>
      </w:r>
      <w:bookmarkEnd w:id="1600"/>
    </w:p>
    <w:p w:rsidR="0018327E" w:rsidRPr="004218DD" w:rsidRDefault="0018327E" w:rsidP="0018327E">
      <w:pPr>
        <w:rPr>
          <w:rFonts w:ascii="Calibri" w:hAnsi="Calibri"/>
        </w:rPr>
      </w:pPr>
    </w:p>
    <w:p w:rsidR="0018327E" w:rsidRPr="004218DD" w:rsidRDefault="0018327E" w:rsidP="0018327E">
      <w:pPr>
        <w:rPr>
          <w:rFonts w:ascii="Calibri" w:hAnsi="Calibri"/>
        </w:rPr>
      </w:pPr>
    </w:p>
    <w:p w:rsidR="0018327E" w:rsidRDefault="0018327E" w:rsidP="0018327E">
      <w:pPr>
        <w:rPr>
          <w:rFonts w:ascii="Calibri" w:hAnsi="Calibri"/>
          <w:b/>
        </w:rPr>
      </w:pPr>
      <w:bookmarkStart w:id="1601" w:name="_Toc425562413"/>
    </w:p>
    <w:p w:rsidR="0018327E" w:rsidRDefault="0018327E" w:rsidP="0018327E">
      <w:pPr>
        <w:rPr>
          <w:rFonts w:ascii="Calibri" w:hAnsi="Calibri"/>
          <w:b/>
        </w:rPr>
      </w:pPr>
    </w:p>
    <w:p w:rsidR="0018327E" w:rsidRDefault="0018327E" w:rsidP="0018327E">
      <w:pPr>
        <w:rPr>
          <w:rFonts w:ascii="Calibri" w:hAnsi="Calibri"/>
          <w:b/>
        </w:rPr>
      </w:pPr>
    </w:p>
    <w:p w:rsidR="0018327E" w:rsidRDefault="0018327E" w:rsidP="0018327E">
      <w:pPr>
        <w:rPr>
          <w:rFonts w:ascii="Calibri" w:hAnsi="Calibri"/>
          <w:b/>
        </w:rPr>
      </w:pPr>
    </w:p>
    <w:p w:rsidR="0018327E" w:rsidRDefault="0018327E" w:rsidP="0018327E">
      <w:pPr>
        <w:rPr>
          <w:rFonts w:ascii="Calibri" w:hAnsi="Calibri"/>
          <w:b/>
        </w:rPr>
      </w:pPr>
    </w:p>
    <w:p w:rsidR="0018327E" w:rsidRDefault="0018327E" w:rsidP="0018327E">
      <w:pPr>
        <w:rPr>
          <w:rFonts w:ascii="Calibri" w:hAnsi="Calibri"/>
          <w:b/>
        </w:rPr>
      </w:pPr>
    </w:p>
    <w:p w:rsidR="0018327E" w:rsidRDefault="0018327E" w:rsidP="0018327E">
      <w:pPr>
        <w:rPr>
          <w:rFonts w:ascii="Calibri" w:hAnsi="Calibri"/>
          <w:b/>
        </w:rPr>
      </w:pPr>
    </w:p>
    <w:p w:rsidR="0018327E" w:rsidRDefault="0018327E" w:rsidP="0018327E">
      <w:pPr>
        <w:rPr>
          <w:rFonts w:ascii="Calibri" w:hAnsi="Calibri"/>
          <w:b/>
        </w:rPr>
      </w:pPr>
    </w:p>
    <w:p w:rsidR="0018327E" w:rsidRDefault="0018327E" w:rsidP="0018327E">
      <w:pPr>
        <w:rPr>
          <w:rFonts w:ascii="Calibri" w:hAnsi="Calibri"/>
          <w:b/>
        </w:rPr>
      </w:pPr>
    </w:p>
    <w:p w:rsidR="0018327E" w:rsidRDefault="0018327E" w:rsidP="0018327E">
      <w:pPr>
        <w:rPr>
          <w:rFonts w:ascii="Calibri" w:hAnsi="Calibri"/>
          <w:b/>
        </w:rPr>
      </w:pPr>
    </w:p>
    <w:p w:rsidR="0018327E" w:rsidRDefault="0018327E" w:rsidP="0018327E">
      <w:pPr>
        <w:rPr>
          <w:rFonts w:ascii="Calibri" w:hAnsi="Calibri"/>
          <w:b/>
        </w:rPr>
      </w:pPr>
    </w:p>
    <w:p w:rsidR="0018327E" w:rsidRDefault="0018327E" w:rsidP="0018327E">
      <w:pPr>
        <w:rPr>
          <w:rFonts w:ascii="Calibri" w:hAnsi="Calibri"/>
          <w:b/>
        </w:rPr>
      </w:pPr>
    </w:p>
    <w:p w:rsidR="0018327E" w:rsidRDefault="0018327E" w:rsidP="0018327E">
      <w:pPr>
        <w:rPr>
          <w:rFonts w:ascii="Calibri" w:hAnsi="Calibri"/>
          <w:b/>
        </w:rPr>
      </w:pPr>
    </w:p>
    <w:p w:rsidR="0018327E" w:rsidRDefault="0018327E" w:rsidP="0018327E">
      <w:pPr>
        <w:rPr>
          <w:rFonts w:ascii="Calibri" w:hAnsi="Calibri"/>
          <w:b/>
        </w:rPr>
      </w:pPr>
    </w:p>
    <w:p w:rsidR="0018327E" w:rsidRDefault="0018327E" w:rsidP="0018327E">
      <w:pPr>
        <w:rPr>
          <w:rFonts w:ascii="Calibri" w:hAnsi="Calibri"/>
          <w:b/>
        </w:rPr>
      </w:pPr>
    </w:p>
    <w:p w:rsidR="0018327E" w:rsidRDefault="0018327E" w:rsidP="0018327E">
      <w:pPr>
        <w:rPr>
          <w:rFonts w:ascii="Calibri" w:hAnsi="Calibri"/>
          <w:b/>
        </w:rPr>
      </w:pPr>
    </w:p>
    <w:p w:rsidR="0018327E" w:rsidRDefault="0018327E" w:rsidP="0018327E">
      <w:pPr>
        <w:rPr>
          <w:rFonts w:ascii="Calibri" w:hAnsi="Calibri"/>
          <w:b/>
        </w:rPr>
      </w:pPr>
    </w:p>
    <w:p w:rsidR="0018327E" w:rsidRDefault="0018327E" w:rsidP="0018327E">
      <w:pPr>
        <w:rPr>
          <w:rFonts w:ascii="Calibri" w:hAnsi="Calibri"/>
          <w:b/>
        </w:rPr>
      </w:pPr>
    </w:p>
    <w:p w:rsidR="0018327E" w:rsidRDefault="0018327E" w:rsidP="0018327E">
      <w:pPr>
        <w:rPr>
          <w:rFonts w:ascii="Calibri" w:hAnsi="Calibri"/>
          <w:b/>
        </w:rPr>
      </w:pPr>
    </w:p>
    <w:p w:rsidR="0018327E" w:rsidRDefault="0018327E" w:rsidP="0018327E">
      <w:pPr>
        <w:rPr>
          <w:rFonts w:ascii="Calibri" w:hAnsi="Calibri"/>
          <w:b/>
        </w:rPr>
      </w:pPr>
    </w:p>
    <w:p w:rsidR="0018327E" w:rsidRDefault="0018327E" w:rsidP="0018327E">
      <w:pPr>
        <w:rPr>
          <w:rFonts w:ascii="Calibri" w:hAnsi="Calibri"/>
          <w:b/>
        </w:rPr>
      </w:pPr>
    </w:p>
    <w:p w:rsidR="0018327E" w:rsidRDefault="0018327E" w:rsidP="0018327E">
      <w:pPr>
        <w:rPr>
          <w:rFonts w:ascii="Calibri" w:hAnsi="Calibri"/>
          <w:b/>
        </w:rPr>
      </w:pPr>
    </w:p>
    <w:p w:rsidR="0018327E" w:rsidRDefault="0018327E" w:rsidP="0018327E">
      <w:pPr>
        <w:rPr>
          <w:rFonts w:ascii="Calibri" w:hAnsi="Calibri"/>
          <w:b/>
        </w:rPr>
      </w:pPr>
    </w:p>
    <w:p w:rsidR="0018327E" w:rsidRDefault="0018327E" w:rsidP="0018327E">
      <w:pPr>
        <w:rPr>
          <w:rFonts w:ascii="Calibri" w:hAnsi="Calibri"/>
          <w:b/>
        </w:rPr>
      </w:pPr>
    </w:p>
    <w:p w:rsidR="0018327E" w:rsidRDefault="0018327E" w:rsidP="0018327E">
      <w:pPr>
        <w:rPr>
          <w:rFonts w:ascii="Calibri" w:hAnsi="Calibri"/>
          <w:b/>
        </w:rPr>
      </w:pPr>
    </w:p>
    <w:p w:rsidR="0018327E" w:rsidRDefault="0018327E" w:rsidP="0018327E">
      <w:pPr>
        <w:rPr>
          <w:rFonts w:ascii="Calibri" w:hAnsi="Calibri"/>
          <w:b/>
        </w:rPr>
      </w:pPr>
    </w:p>
    <w:p w:rsidR="0018327E" w:rsidRDefault="0018327E" w:rsidP="0018327E">
      <w:pPr>
        <w:rPr>
          <w:rFonts w:ascii="Calibri" w:hAnsi="Calibri"/>
          <w:b/>
        </w:rPr>
      </w:pPr>
    </w:p>
    <w:p w:rsidR="0018327E" w:rsidRDefault="0018327E" w:rsidP="0018327E">
      <w:pPr>
        <w:rPr>
          <w:rFonts w:ascii="Calibri" w:hAnsi="Calibri"/>
          <w:b/>
        </w:rPr>
      </w:pPr>
    </w:p>
    <w:p w:rsidR="0018327E" w:rsidRDefault="0018327E" w:rsidP="0018327E">
      <w:pPr>
        <w:rPr>
          <w:rFonts w:ascii="Calibri" w:hAnsi="Calibri"/>
          <w:b/>
        </w:rPr>
      </w:pPr>
    </w:p>
    <w:p w:rsidR="0018327E" w:rsidRDefault="0018327E" w:rsidP="0018327E">
      <w:pPr>
        <w:rPr>
          <w:rFonts w:ascii="Calibri" w:hAnsi="Calibri"/>
          <w:b/>
        </w:rPr>
      </w:pPr>
    </w:p>
    <w:p w:rsidR="0018327E" w:rsidRDefault="0018327E" w:rsidP="0018327E">
      <w:pPr>
        <w:rPr>
          <w:rFonts w:ascii="Calibri" w:hAnsi="Calibri"/>
          <w:b/>
        </w:rPr>
      </w:pPr>
    </w:p>
    <w:p w:rsidR="0018327E" w:rsidRDefault="0018327E" w:rsidP="0018327E">
      <w:pPr>
        <w:rPr>
          <w:rFonts w:ascii="Calibri" w:hAnsi="Calibri"/>
          <w:b/>
        </w:rPr>
      </w:pPr>
    </w:p>
    <w:p w:rsidR="0018327E" w:rsidRDefault="0018327E" w:rsidP="0018327E">
      <w:pPr>
        <w:rPr>
          <w:rFonts w:ascii="Calibri" w:hAnsi="Calibri"/>
          <w:b/>
        </w:rPr>
      </w:pPr>
    </w:p>
    <w:p w:rsidR="0018327E" w:rsidRDefault="0018327E" w:rsidP="0018327E">
      <w:pPr>
        <w:rPr>
          <w:rFonts w:ascii="Calibri" w:hAnsi="Calibri"/>
          <w:b/>
        </w:rPr>
      </w:pPr>
    </w:p>
    <w:p w:rsidR="0018327E" w:rsidRDefault="0018327E" w:rsidP="0018327E">
      <w:pPr>
        <w:rPr>
          <w:rFonts w:ascii="Calibri" w:hAnsi="Calibri"/>
          <w:b/>
        </w:rPr>
      </w:pPr>
    </w:p>
    <w:p w:rsidR="0018327E" w:rsidRDefault="0018327E" w:rsidP="0018327E">
      <w:pPr>
        <w:rPr>
          <w:rFonts w:ascii="Calibri" w:hAnsi="Calibri"/>
          <w:b/>
        </w:rPr>
      </w:pPr>
    </w:p>
    <w:p w:rsidR="0018327E" w:rsidRDefault="0018327E" w:rsidP="0018327E">
      <w:pPr>
        <w:rPr>
          <w:rFonts w:ascii="Calibri" w:hAnsi="Calibri"/>
          <w:b/>
        </w:rPr>
      </w:pPr>
    </w:p>
    <w:p w:rsidR="0018327E" w:rsidRDefault="0018327E" w:rsidP="0018327E">
      <w:pPr>
        <w:rPr>
          <w:rFonts w:ascii="Calibri" w:hAnsi="Calibri"/>
          <w:b/>
        </w:rPr>
      </w:pPr>
    </w:p>
    <w:p w:rsidR="0018327E" w:rsidRPr="004C15C4" w:rsidRDefault="0018327E" w:rsidP="0018327E">
      <w:pPr>
        <w:rPr>
          <w:rFonts w:ascii="Calibri" w:hAnsi="Calibri"/>
          <w:b/>
        </w:rPr>
      </w:pPr>
      <w:r w:rsidRPr="004C15C4">
        <w:rPr>
          <w:rFonts w:ascii="Calibri" w:hAnsi="Calibri"/>
          <w:b/>
        </w:rPr>
        <w:lastRenderedPageBreak/>
        <w:t>1. WSTĘP</w:t>
      </w:r>
      <w:bookmarkEnd w:id="1601"/>
    </w:p>
    <w:p w:rsidR="0018327E" w:rsidRPr="004218DD" w:rsidRDefault="0018327E" w:rsidP="0018327E">
      <w:pPr>
        <w:rPr>
          <w:rFonts w:ascii="Calibri" w:hAnsi="Calibri"/>
        </w:rPr>
      </w:pPr>
      <w:r w:rsidRPr="004C15C4">
        <w:rPr>
          <w:rFonts w:ascii="Calibri" w:hAnsi="Calibri"/>
          <w:b/>
        </w:rPr>
        <w:t>1.1.</w:t>
      </w:r>
      <w:r>
        <w:rPr>
          <w:rFonts w:ascii="Calibri" w:hAnsi="Calibri"/>
        </w:rPr>
        <w:t xml:space="preserve"> Przedmiot </w:t>
      </w:r>
      <w:r w:rsidRPr="004218DD">
        <w:rPr>
          <w:rFonts w:ascii="Calibri" w:hAnsi="Calibri"/>
        </w:rPr>
        <w:t>ST</w:t>
      </w:r>
    </w:p>
    <w:p w:rsidR="0018327E" w:rsidRPr="004218DD" w:rsidRDefault="0018327E" w:rsidP="0018327E">
      <w:pPr>
        <w:rPr>
          <w:rFonts w:ascii="Calibri" w:hAnsi="Calibri"/>
        </w:rPr>
      </w:pPr>
      <w:r w:rsidRPr="004218DD">
        <w:rPr>
          <w:rFonts w:ascii="Calibri" w:hAnsi="Calibri"/>
        </w:rPr>
        <w:tab/>
        <w:t>Przedmiotem niniejszej specyfikacji technicznej (ST) są wymagania dotyczące wykonania i odbioru robót związanych z urządzeniami zabezpieczającymi ruch pieszych.</w:t>
      </w:r>
    </w:p>
    <w:p w:rsidR="0018327E" w:rsidRPr="004218DD" w:rsidRDefault="0018327E" w:rsidP="0018327E">
      <w:pPr>
        <w:rPr>
          <w:rFonts w:ascii="Calibri" w:hAnsi="Calibri"/>
        </w:rPr>
      </w:pPr>
      <w:r w:rsidRPr="004C15C4">
        <w:rPr>
          <w:rFonts w:ascii="Calibri" w:hAnsi="Calibri"/>
          <w:b/>
        </w:rPr>
        <w:t>1.2.</w:t>
      </w:r>
      <w:r w:rsidRPr="004218DD">
        <w:rPr>
          <w:rFonts w:ascii="Calibri" w:hAnsi="Calibri"/>
        </w:rPr>
        <w:t xml:space="preserve"> Zakres stosowania ST</w:t>
      </w:r>
    </w:p>
    <w:p w:rsidR="0018327E" w:rsidRPr="004C3772" w:rsidRDefault="0018327E" w:rsidP="0018327E">
      <w:pPr>
        <w:rPr>
          <w:rFonts w:ascii="Calibri" w:hAnsi="Calibri"/>
        </w:rPr>
      </w:pPr>
      <w:r w:rsidRPr="004218DD">
        <w:rPr>
          <w:rFonts w:ascii="Calibri" w:hAnsi="Calibri"/>
        </w:rPr>
        <w:tab/>
      </w:r>
      <w:r>
        <w:rPr>
          <w:rFonts w:ascii="Calibri" w:hAnsi="Calibri"/>
        </w:rPr>
        <w:t xml:space="preserve">Specyfikacja </w:t>
      </w:r>
      <w:r w:rsidRPr="004C3772">
        <w:rPr>
          <w:rFonts w:ascii="Calibri" w:hAnsi="Calibri"/>
        </w:rPr>
        <w:t>techniczna określa wymagania dla wykonania i odbioru robót budowlanych przewidzianych do wykonania w ramach umowy a zawarte w niej zapisy w zakresie standardu materiałów, wykonania robót i wymaganej ich jakości oraz kontroli jakości robót należy traktować jako minimalne.</w:t>
      </w:r>
    </w:p>
    <w:p w:rsidR="0018327E" w:rsidRPr="004218DD" w:rsidRDefault="0018327E" w:rsidP="0018327E">
      <w:pPr>
        <w:rPr>
          <w:rFonts w:ascii="Calibri" w:hAnsi="Calibri"/>
        </w:rPr>
      </w:pPr>
      <w:r w:rsidRPr="004C15C4">
        <w:rPr>
          <w:rFonts w:ascii="Calibri" w:hAnsi="Calibri"/>
          <w:b/>
        </w:rPr>
        <w:t>1.3.</w:t>
      </w:r>
      <w:r>
        <w:rPr>
          <w:rFonts w:ascii="Calibri" w:hAnsi="Calibri"/>
        </w:rPr>
        <w:t xml:space="preserve"> Zakres robót objętych </w:t>
      </w:r>
      <w:r w:rsidRPr="004218DD">
        <w:rPr>
          <w:rFonts w:ascii="Calibri" w:hAnsi="Calibri"/>
        </w:rPr>
        <w:t>ST</w:t>
      </w:r>
    </w:p>
    <w:p w:rsidR="00F040CD" w:rsidRPr="00C3299C" w:rsidRDefault="0018327E" w:rsidP="00F040CD">
      <w:pPr>
        <w:rPr>
          <w:rFonts w:asciiTheme="minorHAnsi" w:hAnsiTheme="minorHAnsi" w:cs="Calibri"/>
        </w:rPr>
      </w:pPr>
      <w:r w:rsidRPr="004218DD">
        <w:rPr>
          <w:rFonts w:ascii="Calibri" w:hAnsi="Calibri"/>
        </w:rPr>
        <w:tab/>
        <w:t>Ustalenia zawarte w niniejszej specyfikacji dotyczą zasad prowadzenia robót związanych z urządzeniami zabezpieczającymi ruch pieszych</w:t>
      </w:r>
      <w:r w:rsidR="003E2164">
        <w:rPr>
          <w:rFonts w:ascii="Calibri" w:hAnsi="Calibri"/>
        </w:rPr>
        <w:t xml:space="preserve"> (</w:t>
      </w:r>
      <w:r w:rsidR="003E2164" w:rsidRPr="004218DD">
        <w:rPr>
          <w:rFonts w:ascii="Calibri" w:hAnsi="Calibri"/>
        </w:rPr>
        <w:t>barierki z kształtowników metalowych oraz rurowe</w:t>
      </w:r>
      <w:r w:rsidR="003E2164">
        <w:rPr>
          <w:rFonts w:ascii="Calibri" w:hAnsi="Calibri"/>
        </w:rPr>
        <w:t>)</w:t>
      </w:r>
      <w:r w:rsidR="003E2164" w:rsidRPr="003E2164">
        <w:rPr>
          <w:rFonts w:ascii="Calibri" w:hAnsi="Calibri" w:cs="Calibri"/>
        </w:rPr>
        <w:t xml:space="preserve"> </w:t>
      </w:r>
      <w:r w:rsidR="00F040CD" w:rsidRPr="00C3299C">
        <w:rPr>
          <w:rFonts w:ascii="Calibri" w:hAnsi="Calibri" w:cs="Calibri"/>
        </w:rPr>
        <w:t>w związku z „</w:t>
      </w:r>
      <w:r w:rsidR="00F040CD" w:rsidRPr="00C3299C">
        <w:rPr>
          <w:rFonts w:asciiTheme="minorHAnsi" w:hAnsiTheme="minorHAnsi"/>
        </w:rPr>
        <w:t>Przebudową ul.55 Pułku Piechoty w Lesznie wraz z przebudową oświetlenia”</w:t>
      </w:r>
      <w:r w:rsidR="00F040CD" w:rsidRPr="00C3299C">
        <w:rPr>
          <w:rFonts w:asciiTheme="minorHAnsi" w:hAnsiTheme="minorHAnsi" w:cs="Calibri"/>
        </w:rPr>
        <w:t>.</w:t>
      </w:r>
    </w:p>
    <w:p w:rsidR="0018327E" w:rsidRPr="004218DD" w:rsidRDefault="0018327E" w:rsidP="0018327E">
      <w:pPr>
        <w:rPr>
          <w:rFonts w:ascii="Calibri" w:hAnsi="Calibri"/>
        </w:rPr>
      </w:pPr>
      <w:r w:rsidRPr="004218DD">
        <w:rPr>
          <w:rFonts w:ascii="Calibri" w:hAnsi="Calibri"/>
        </w:rPr>
        <w:tab/>
        <w:t>Celem stosowania urządzeń zabezpieczających ruch pieszyc</w:t>
      </w:r>
      <w:r>
        <w:rPr>
          <w:rFonts w:ascii="Calibri" w:hAnsi="Calibri"/>
        </w:rPr>
        <w:t>h jest ochrona życia</w:t>
      </w:r>
      <w:r w:rsidRPr="004218DD">
        <w:rPr>
          <w:rFonts w:ascii="Calibri" w:hAnsi="Calibri"/>
        </w:rPr>
        <w:t xml:space="preserve"> i zdrowia uczestników ruchu drogowego, zarówno pieszych jak i kierowców oraz pasażerów pojazdów poprzez uniemożliwienie nagłego wtargnięcia na jezdnię w miejscach do tego nieprzeznaczonych.</w:t>
      </w:r>
    </w:p>
    <w:p w:rsidR="0018327E" w:rsidRPr="004218DD" w:rsidRDefault="0018327E" w:rsidP="0018327E">
      <w:pPr>
        <w:rPr>
          <w:rFonts w:ascii="Calibri" w:hAnsi="Calibri"/>
        </w:rPr>
      </w:pPr>
      <w:r w:rsidRPr="004218DD">
        <w:rPr>
          <w:rFonts w:ascii="Calibri" w:hAnsi="Calibri"/>
        </w:rPr>
        <w:tab/>
        <w:t>Urządzenia zabezpieczające ruch pieszych powinny być zlokalizowane w szczególności:</w:t>
      </w:r>
    </w:p>
    <w:p w:rsidR="0018327E" w:rsidRPr="004218DD" w:rsidRDefault="0018327E" w:rsidP="0018327E">
      <w:pPr>
        <w:rPr>
          <w:rFonts w:ascii="Calibri" w:hAnsi="Calibri"/>
        </w:rPr>
      </w:pPr>
      <w:r>
        <w:rPr>
          <w:rFonts w:ascii="Calibri" w:hAnsi="Calibri"/>
        </w:rPr>
        <w:t>-</w:t>
      </w:r>
      <w:r w:rsidRPr="004218DD">
        <w:rPr>
          <w:rFonts w:ascii="Calibri" w:hAnsi="Calibri"/>
        </w:rPr>
        <w:t xml:space="preserve">między jezdnią i chodnikiem położonym bezpośrednio przy jezdni, gdy prędkość projektowa na drodze wynosi Vp </w:t>
      </w:r>
      <w:r w:rsidRPr="004218DD">
        <w:rPr>
          <w:rFonts w:ascii="Calibri" w:hAnsi="Calibri"/>
        </w:rPr>
        <w:sym w:font="Courier New" w:char="003E"/>
      </w:r>
      <w:r w:rsidRPr="004218DD">
        <w:rPr>
          <w:rFonts w:ascii="Calibri" w:hAnsi="Calibri"/>
        </w:rPr>
        <w:t xml:space="preserve"> 80 km/h,</w:t>
      </w:r>
    </w:p>
    <w:p w:rsidR="0018327E" w:rsidRPr="004218DD" w:rsidRDefault="0018327E" w:rsidP="0018327E">
      <w:pPr>
        <w:rPr>
          <w:rFonts w:ascii="Calibri" w:hAnsi="Calibri"/>
        </w:rPr>
      </w:pPr>
      <w:r>
        <w:rPr>
          <w:rFonts w:ascii="Calibri" w:hAnsi="Calibri"/>
        </w:rPr>
        <w:t>-</w:t>
      </w:r>
      <w:r w:rsidRPr="004218DD">
        <w:rPr>
          <w:rFonts w:ascii="Calibri" w:hAnsi="Calibri"/>
        </w:rPr>
        <w:t>na pasach dzielących w miejscach przewidywanego nieprzepisowego przekraczania jezdni,</w:t>
      </w:r>
    </w:p>
    <w:p w:rsidR="0018327E" w:rsidRPr="004218DD" w:rsidRDefault="0018327E" w:rsidP="0018327E">
      <w:pPr>
        <w:rPr>
          <w:rFonts w:ascii="Calibri" w:hAnsi="Calibri"/>
        </w:rPr>
      </w:pPr>
      <w:r>
        <w:rPr>
          <w:rFonts w:ascii="Calibri" w:hAnsi="Calibri"/>
        </w:rPr>
        <w:t>-</w:t>
      </w:r>
      <w:r w:rsidRPr="004218DD">
        <w:rPr>
          <w:rFonts w:ascii="Calibri" w:hAnsi="Calibri"/>
        </w:rPr>
        <w:t>w miejscach o niedostatecznej widoczności, gdzie spodziewane jest przekraczanie jezdni,</w:t>
      </w:r>
    </w:p>
    <w:p w:rsidR="0018327E" w:rsidRPr="004218DD" w:rsidRDefault="0018327E" w:rsidP="0018327E">
      <w:pPr>
        <w:rPr>
          <w:rFonts w:ascii="Calibri" w:hAnsi="Calibri"/>
        </w:rPr>
      </w:pPr>
      <w:r>
        <w:rPr>
          <w:rFonts w:ascii="Calibri" w:hAnsi="Calibri"/>
        </w:rPr>
        <w:t>-</w:t>
      </w:r>
      <w:r w:rsidRPr="004218DD">
        <w:rPr>
          <w:rFonts w:ascii="Calibri" w:hAnsi="Calibri"/>
        </w:rPr>
        <w:t>w rejonie wyjść ze szkół i terenów zabaw dzieci,</w:t>
      </w:r>
    </w:p>
    <w:p w:rsidR="0018327E" w:rsidRPr="004218DD" w:rsidRDefault="0018327E" w:rsidP="0018327E">
      <w:pPr>
        <w:rPr>
          <w:rFonts w:ascii="Calibri" w:hAnsi="Calibri"/>
        </w:rPr>
      </w:pPr>
      <w:r>
        <w:rPr>
          <w:rFonts w:ascii="Calibri" w:hAnsi="Calibri"/>
        </w:rPr>
        <w:t>-</w:t>
      </w:r>
      <w:r w:rsidRPr="004218DD">
        <w:rPr>
          <w:rFonts w:ascii="Calibri" w:hAnsi="Calibri"/>
        </w:rPr>
        <w:t>w sąsiedztwie bezkolizyjnych przejść dla pieszych.</w:t>
      </w:r>
    </w:p>
    <w:p w:rsidR="0018327E" w:rsidRPr="004218DD" w:rsidRDefault="0018327E" w:rsidP="0018327E">
      <w:pPr>
        <w:rPr>
          <w:rFonts w:ascii="Calibri" w:hAnsi="Calibri"/>
        </w:rPr>
      </w:pPr>
      <w:r w:rsidRPr="00B84C38">
        <w:rPr>
          <w:rFonts w:ascii="Calibri" w:hAnsi="Calibri"/>
          <w:b/>
        </w:rPr>
        <w:t>1.4.</w:t>
      </w:r>
      <w:r w:rsidRPr="004218DD">
        <w:rPr>
          <w:rFonts w:ascii="Calibri" w:hAnsi="Calibri"/>
        </w:rPr>
        <w:t xml:space="preserve"> Określenia podstawowe</w:t>
      </w:r>
    </w:p>
    <w:p w:rsidR="0018327E" w:rsidRPr="004218DD" w:rsidRDefault="0018327E" w:rsidP="0018327E">
      <w:pPr>
        <w:rPr>
          <w:rFonts w:ascii="Calibri" w:hAnsi="Calibri"/>
        </w:rPr>
      </w:pPr>
      <w:r w:rsidRPr="00B84C38">
        <w:rPr>
          <w:rFonts w:ascii="Calibri" w:hAnsi="Calibri"/>
          <w:b/>
        </w:rPr>
        <w:t>1.4.1.</w:t>
      </w:r>
      <w:r w:rsidRPr="004218DD">
        <w:rPr>
          <w:rFonts w:ascii="Calibri" w:hAnsi="Calibri"/>
        </w:rPr>
        <w:t xml:space="preserve">  Ogrodzenia ochronne sztywne - przegrody fizyczne separujące ruch pieszy od ruchu kołowego wykonane z kształtowników stalowych.</w:t>
      </w:r>
    </w:p>
    <w:p w:rsidR="0018327E" w:rsidRPr="004218DD" w:rsidRDefault="0018327E" w:rsidP="0018327E">
      <w:pPr>
        <w:rPr>
          <w:rFonts w:ascii="Calibri" w:hAnsi="Calibri"/>
        </w:rPr>
      </w:pPr>
      <w:r w:rsidRPr="00B84C38">
        <w:rPr>
          <w:rFonts w:ascii="Calibri" w:hAnsi="Calibri"/>
          <w:b/>
        </w:rPr>
        <w:t>1.4.2.</w:t>
      </w:r>
      <w:r w:rsidRPr="004218DD">
        <w:rPr>
          <w:rFonts w:ascii="Calibri" w:hAnsi="Calibri"/>
        </w:rPr>
        <w:t xml:space="preserve">  Kształtowniki - wyroby o stałym przekroju poprzecznym w kształcie złożonej figury geometrycznej, dostarczane w odcinkach prostych, stosowane w konstrukcjach stalowych lub w połączeniu z innymi materiałami budowlanymi.</w:t>
      </w:r>
    </w:p>
    <w:p w:rsidR="0018327E" w:rsidRPr="004218DD" w:rsidRDefault="0018327E" w:rsidP="0018327E">
      <w:pPr>
        <w:rPr>
          <w:rFonts w:ascii="Calibri" w:hAnsi="Calibri"/>
        </w:rPr>
      </w:pPr>
      <w:r w:rsidRPr="00B84C38">
        <w:rPr>
          <w:rFonts w:ascii="Calibri" w:hAnsi="Calibri"/>
          <w:b/>
        </w:rPr>
        <w:t>1.4.3.</w:t>
      </w:r>
      <w:r w:rsidRPr="004218DD">
        <w:rPr>
          <w:rFonts w:ascii="Calibri" w:hAnsi="Calibri"/>
        </w:rPr>
        <w:t xml:space="preserve"> Pozostałe określenia podstawowe są zgodne z obowiązującymi, odpowiednimi polskimi normami i z definicjami podanymi w ST D-M-00.00.00 „Wymagania ogólne” pkt 1.4. </w:t>
      </w:r>
    </w:p>
    <w:p w:rsidR="0018327E" w:rsidRPr="004218DD" w:rsidRDefault="0018327E" w:rsidP="0018327E">
      <w:pPr>
        <w:rPr>
          <w:rFonts w:ascii="Calibri" w:hAnsi="Calibri"/>
        </w:rPr>
      </w:pPr>
      <w:r w:rsidRPr="00B84C38">
        <w:rPr>
          <w:rFonts w:ascii="Calibri" w:hAnsi="Calibri"/>
          <w:b/>
        </w:rPr>
        <w:t>1.5.</w:t>
      </w:r>
      <w:r w:rsidRPr="004218DD">
        <w:rPr>
          <w:rFonts w:ascii="Calibri" w:hAnsi="Calibri"/>
        </w:rPr>
        <w:t xml:space="preserve"> Ogólne wymagania dotyczące robót</w:t>
      </w:r>
    </w:p>
    <w:p w:rsidR="0018327E" w:rsidRPr="004218DD" w:rsidRDefault="0018327E" w:rsidP="0018327E">
      <w:pPr>
        <w:rPr>
          <w:rFonts w:ascii="Calibri" w:hAnsi="Calibri"/>
        </w:rPr>
      </w:pPr>
      <w:r w:rsidRPr="004218DD">
        <w:rPr>
          <w:rFonts w:ascii="Calibri" w:hAnsi="Calibri"/>
        </w:rPr>
        <w:tab/>
        <w:t xml:space="preserve">Ogólne wymagania dotyczące robót podano w ST D-M-00.00.00 „Wymagania ogólne” pkt 1.5. </w:t>
      </w:r>
    </w:p>
    <w:p w:rsidR="0018327E" w:rsidRDefault="0018327E" w:rsidP="0018327E">
      <w:pPr>
        <w:rPr>
          <w:rFonts w:ascii="Calibri" w:hAnsi="Calibri"/>
          <w:b/>
        </w:rPr>
      </w:pPr>
      <w:bookmarkStart w:id="1602" w:name="_Toc425562414"/>
    </w:p>
    <w:p w:rsidR="0018327E" w:rsidRPr="00B84C38" w:rsidRDefault="0018327E" w:rsidP="0018327E">
      <w:pPr>
        <w:rPr>
          <w:rFonts w:ascii="Calibri" w:hAnsi="Calibri"/>
          <w:b/>
        </w:rPr>
      </w:pPr>
      <w:r w:rsidRPr="00B84C38">
        <w:rPr>
          <w:rFonts w:ascii="Calibri" w:hAnsi="Calibri"/>
          <w:b/>
        </w:rPr>
        <w:t>2. MATERIAŁY</w:t>
      </w:r>
      <w:bookmarkEnd w:id="1602"/>
    </w:p>
    <w:p w:rsidR="0018327E" w:rsidRPr="004218DD" w:rsidRDefault="0018327E" w:rsidP="0018327E">
      <w:pPr>
        <w:rPr>
          <w:rFonts w:ascii="Calibri" w:hAnsi="Calibri"/>
        </w:rPr>
      </w:pPr>
      <w:r w:rsidRPr="00B84C38">
        <w:rPr>
          <w:rFonts w:ascii="Calibri" w:hAnsi="Calibri"/>
          <w:b/>
        </w:rPr>
        <w:t>2.1.</w:t>
      </w:r>
      <w:r w:rsidRPr="004218DD">
        <w:rPr>
          <w:rFonts w:ascii="Calibri" w:hAnsi="Calibri"/>
        </w:rPr>
        <w:t xml:space="preserve"> Ogólne wymagania dotyczące materiałów</w:t>
      </w:r>
    </w:p>
    <w:p w:rsidR="0018327E" w:rsidRPr="004218DD" w:rsidRDefault="0018327E" w:rsidP="0018327E">
      <w:pPr>
        <w:rPr>
          <w:rFonts w:ascii="Calibri" w:hAnsi="Calibri"/>
        </w:rPr>
      </w:pPr>
      <w:r w:rsidRPr="004218DD">
        <w:rPr>
          <w:rFonts w:ascii="Calibri" w:hAnsi="Calibri"/>
        </w:rPr>
        <w:tab/>
        <w:t>Ogólne wymagania dotyczące materiałów, ich pozyskiwania i składowania, podano w ST D-M-00.00.00 „Wymagania ogólne” pkt 2.</w:t>
      </w:r>
    </w:p>
    <w:p w:rsidR="0018327E" w:rsidRPr="004218DD" w:rsidRDefault="0018327E" w:rsidP="0018327E">
      <w:pPr>
        <w:rPr>
          <w:rFonts w:ascii="Calibri" w:hAnsi="Calibri"/>
        </w:rPr>
      </w:pPr>
      <w:r w:rsidRPr="00B84C38">
        <w:rPr>
          <w:rFonts w:ascii="Calibri" w:hAnsi="Calibri"/>
          <w:b/>
        </w:rPr>
        <w:t>2.2.</w:t>
      </w:r>
      <w:r w:rsidRPr="004218DD">
        <w:rPr>
          <w:rFonts w:ascii="Calibri" w:hAnsi="Calibri"/>
        </w:rPr>
        <w:t xml:space="preserve"> Rodzaje materiałów</w:t>
      </w:r>
    </w:p>
    <w:p w:rsidR="0018327E" w:rsidRPr="004218DD" w:rsidRDefault="0018327E" w:rsidP="0018327E">
      <w:pPr>
        <w:rPr>
          <w:rFonts w:ascii="Calibri" w:hAnsi="Calibri"/>
        </w:rPr>
      </w:pPr>
      <w:r w:rsidRPr="004218DD">
        <w:rPr>
          <w:rFonts w:ascii="Calibri" w:hAnsi="Calibri"/>
        </w:rPr>
        <w:tab/>
        <w:t>Materiałami stosowanymi przy wykonywaniu urządzeń zabezpieczających ruch pieszy, objętych niniejszą ST, są:</w:t>
      </w:r>
    </w:p>
    <w:p w:rsidR="0018327E" w:rsidRPr="004218DD" w:rsidRDefault="0018327E" w:rsidP="0018327E">
      <w:pPr>
        <w:rPr>
          <w:rFonts w:ascii="Calibri" w:hAnsi="Calibri"/>
        </w:rPr>
      </w:pPr>
      <w:r w:rsidRPr="004218DD">
        <w:rPr>
          <w:rFonts w:ascii="Calibri" w:hAnsi="Calibri"/>
        </w:rPr>
        <w:t>słupki metalowe i elementy połączeniowe,</w:t>
      </w:r>
    </w:p>
    <w:p w:rsidR="0018327E" w:rsidRPr="004218DD" w:rsidRDefault="0018327E" w:rsidP="0018327E">
      <w:pPr>
        <w:rPr>
          <w:rFonts w:ascii="Calibri" w:hAnsi="Calibri"/>
        </w:rPr>
      </w:pPr>
      <w:r w:rsidRPr="004218DD">
        <w:rPr>
          <w:rFonts w:ascii="Calibri" w:hAnsi="Calibri"/>
        </w:rPr>
        <w:t>beton i jego składniki,</w:t>
      </w:r>
    </w:p>
    <w:p w:rsidR="0018327E" w:rsidRPr="004218DD" w:rsidRDefault="0018327E" w:rsidP="0018327E">
      <w:pPr>
        <w:rPr>
          <w:rFonts w:ascii="Calibri" w:hAnsi="Calibri"/>
        </w:rPr>
      </w:pPr>
      <w:r w:rsidRPr="004218DD">
        <w:rPr>
          <w:rFonts w:ascii="Calibri" w:hAnsi="Calibri"/>
        </w:rPr>
        <w:t>materiały do malowania i renowacji powłok malarskich.</w:t>
      </w:r>
    </w:p>
    <w:p w:rsidR="0018327E" w:rsidRPr="004218DD" w:rsidRDefault="0018327E" w:rsidP="0018327E">
      <w:pPr>
        <w:rPr>
          <w:rFonts w:ascii="Calibri" w:hAnsi="Calibri"/>
        </w:rPr>
      </w:pPr>
      <w:r w:rsidRPr="00B84C38">
        <w:rPr>
          <w:rFonts w:ascii="Calibri" w:hAnsi="Calibri"/>
          <w:b/>
        </w:rPr>
        <w:t>2.3.</w:t>
      </w:r>
      <w:r w:rsidRPr="004218DD">
        <w:rPr>
          <w:rFonts w:ascii="Calibri" w:hAnsi="Calibri"/>
        </w:rPr>
        <w:t xml:space="preserve"> Słupki metalowe i elementy połączeniowe</w:t>
      </w:r>
    </w:p>
    <w:p w:rsidR="0018327E" w:rsidRPr="004218DD" w:rsidRDefault="0018327E" w:rsidP="0018327E">
      <w:pPr>
        <w:rPr>
          <w:rFonts w:ascii="Calibri" w:hAnsi="Calibri"/>
        </w:rPr>
      </w:pPr>
      <w:r w:rsidRPr="00B84C38">
        <w:rPr>
          <w:rFonts w:ascii="Calibri" w:hAnsi="Calibri"/>
          <w:b/>
        </w:rPr>
        <w:t>2.3.1.</w:t>
      </w:r>
      <w:r w:rsidRPr="004218DD">
        <w:rPr>
          <w:rFonts w:ascii="Calibri" w:hAnsi="Calibri"/>
        </w:rPr>
        <w:t xml:space="preserve"> Wymiary i najważniejsze charakterystyki słupków</w:t>
      </w:r>
    </w:p>
    <w:p w:rsidR="0018327E" w:rsidRPr="004218DD" w:rsidRDefault="0018327E" w:rsidP="0018327E">
      <w:pPr>
        <w:rPr>
          <w:rFonts w:ascii="Calibri" w:hAnsi="Calibri"/>
        </w:rPr>
      </w:pPr>
      <w:r w:rsidRPr="004218DD">
        <w:rPr>
          <w:rFonts w:ascii="Calibri" w:hAnsi="Calibri"/>
        </w:rPr>
        <w:tab/>
        <w:t>Słupki metalowe ogrodzeń można wykonywać z ocynkowanych rur okrągłych i wyjątkowo z rur kwadratowych lub prostokątnych, względnie z kształtowników: kątowników, ceowników (w tym: częściowo zamkniętych), teowników i dwuteowników, zgodnie z dokumentacją projektową lub wskazaniami Inżyniera.</w:t>
      </w:r>
    </w:p>
    <w:p w:rsidR="0018327E" w:rsidRPr="004218DD" w:rsidRDefault="0018327E" w:rsidP="0018327E">
      <w:pPr>
        <w:rPr>
          <w:rFonts w:ascii="Calibri" w:hAnsi="Calibri"/>
        </w:rPr>
      </w:pPr>
      <w:r w:rsidRPr="004218DD">
        <w:rPr>
          <w:rFonts w:ascii="Calibri" w:hAnsi="Calibri"/>
        </w:rPr>
        <w:tab/>
        <w:t>Wymiary i najważniejsze charakterystyki słupków można przyjmować zgodnie z tablicami od 1 do 8.</w:t>
      </w:r>
    </w:p>
    <w:p w:rsidR="0018327E" w:rsidRPr="00C06FB8" w:rsidRDefault="0018327E" w:rsidP="0018327E">
      <w:pPr>
        <w:rPr>
          <w:rFonts w:asciiTheme="minorHAnsi" w:hAnsiTheme="minorHAnsi"/>
        </w:rPr>
      </w:pPr>
    </w:p>
    <w:p w:rsidR="0018327E" w:rsidRDefault="0018327E" w:rsidP="0018327E">
      <w:pPr>
        <w:ind w:left="709"/>
        <w:rPr>
          <w:rFonts w:asciiTheme="minorHAnsi" w:hAnsiTheme="minorHAnsi"/>
        </w:rPr>
      </w:pPr>
    </w:p>
    <w:p w:rsidR="0018327E" w:rsidRDefault="0018327E" w:rsidP="0018327E">
      <w:pPr>
        <w:ind w:left="709"/>
        <w:rPr>
          <w:rFonts w:asciiTheme="minorHAnsi" w:hAnsiTheme="minorHAnsi"/>
        </w:rPr>
      </w:pPr>
    </w:p>
    <w:p w:rsidR="00F040CD" w:rsidRDefault="00F040CD" w:rsidP="0018327E">
      <w:pPr>
        <w:ind w:left="709"/>
        <w:rPr>
          <w:rFonts w:asciiTheme="minorHAnsi" w:hAnsiTheme="minorHAnsi"/>
        </w:rPr>
      </w:pPr>
    </w:p>
    <w:p w:rsidR="0018327E" w:rsidRDefault="0018327E" w:rsidP="0018327E">
      <w:pPr>
        <w:ind w:left="709"/>
        <w:rPr>
          <w:rFonts w:asciiTheme="minorHAnsi" w:hAnsiTheme="minorHAnsi"/>
        </w:rPr>
      </w:pPr>
    </w:p>
    <w:p w:rsidR="0018327E" w:rsidRDefault="0018327E" w:rsidP="0018327E">
      <w:pPr>
        <w:ind w:left="709"/>
        <w:rPr>
          <w:rFonts w:asciiTheme="minorHAnsi" w:hAnsiTheme="minorHAnsi"/>
        </w:rPr>
      </w:pPr>
    </w:p>
    <w:p w:rsidR="0018327E" w:rsidRDefault="0018327E" w:rsidP="0018327E">
      <w:pPr>
        <w:ind w:left="709"/>
        <w:rPr>
          <w:rFonts w:asciiTheme="minorHAnsi" w:hAnsiTheme="minorHAnsi"/>
        </w:rPr>
      </w:pPr>
    </w:p>
    <w:p w:rsidR="0018327E" w:rsidRDefault="0018327E" w:rsidP="0018327E">
      <w:pPr>
        <w:ind w:left="709"/>
        <w:rPr>
          <w:rFonts w:asciiTheme="minorHAnsi" w:hAnsiTheme="minorHAnsi"/>
        </w:rPr>
      </w:pPr>
    </w:p>
    <w:p w:rsidR="0018327E" w:rsidRPr="00C06FB8" w:rsidRDefault="0018327E" w:rsidP="0018327E">
      <w:pPr>
        <w:ind w:left="709"/>
        <w:rPr>
          <w:rFonts w:ascii="Calibri" w:hAnsi="Calibri"/>
        </w:rPr>
      </w:pPr>
      <w:r w:rsidRPr="00C06FB8">
        <w:rPr>
          <w:rFonts w:asciiTheme="minorHAnsi" w:hAnsiTheme="minorHAnsi"/>
        </w:rPr>
        <w:lastRenderedPageBreak/>
        <w:t>Tablica 1</w:t>
      </w:r>
      <w:r w:rsidRPr="00C06FB8">
        <w:rPr>
          <w:rFonts w:ascii="Calibri" w:hAnsi="Calibri"/>
        </w:rPr>
        <w:t>. Rury stalowe okrągłe bez szwu walcow</w:t>
      </w:r>
      <w:r w:rsidRPr="00C06FB8">
        <w:rPr>
          <w:rFonts w:asciiTheme="minorHAnsi" w:hAnsiTheme="minorHAnsi"/>
        </w:rPr>
        <w:t>ane na gorąco wg PN-H-74219</w:t>
      </w:r>
    </w:p>
    <w:tbl>
      <w:tblPr>
        <w:tblW w:w="0" w:type="auto"/>
        <w:tblInd w:w="779" w:type="dxa"/>
        <w:tblLayout w:type="fixed"/>
        <w:tblCellMar>
          <w:left w:w="70" w:type="dxa"/>
          <w:right w:w="70" w:type="dxa"/>
        </w:tblCellMar>
        <w:tblLook w:val="0000"/>
      </w:tblPr>
      <w:tblGrid>
        <w:gridCol w:w="1346"/>
        <w:gridCol w:w="1843"/>
        <w:gridCol w:w="1938"/>
        <w:gridCol w:w="1229"/>
        <w:gridCol w:w="1229"/>
      </w:tblGrid>
      <w:tr w:rsidR="0018327E" w:rsidRPr="00C06FB8" w:rsidTr="0018327E">
        <w:tc>
          <w:tcPr>
            <w:tcW w:w="1346" w:type="dxa"/>
            <w:tcBorders>
              <w:top w:val="single" w:sz="6" w:space="0" w:color="auto"/>
              <w:left w:val="single" w:sz="6" w:space="0" w:color="auto"/>
              <w:right w:val="single" w:sz="6" w:space="0" w:color="auto"/>
            </w:tcBorders>
          </w:tcPr>
          <w:p w:rsidR="0018327E" w:rsidRPr="00C06FB8" w:rsidRDefault="0018327E" w:rsidP="0018327E">
            <w:pPr>
              <w:pStyle w:val="StylIwony"/>
              <w:spacing w:before="0" w:after="0"/>
              <w:jc w:val="center"/>
              <w:rPr>
                <w:rFonts w:ascii="Calibri" w:hAnsi="Calibri"/>
                <w:sz w:val="18"/>
                <w:szCs w:val="18"/>
              </w:rPr>
            </w:pPr>
            <w:r w:rsidRPr="00C06FB8">
              <w:rPr>
                <w:rFonts w:ascii="Calibri" w:hAnsi="Calibri"/>
                <w:sz w:val="18"/>
                <w:szCs w:val="18"/>
              </w:rPr>
              <w:t>Średnica</w:t>
            </w:r>
          </w:p>
        </w:tc>
        <w:tc>
          <w:tcPr>
            <w:tcW w:w="1843" w:type="dxa"/>
            <w:tcBorders>
              <w:top w:val="single" w:sz="6" w:space="0" w:color="auto"/>
              <w:left w:val="nil"/>
              <w:right w:val="single" w:sz="6" w:space="0" w:color="auto"/>
            </w:tcBorders>
          </w:tcPr>
          <w:p w:rsidR="0018327E" w:rsidRPr="00C06FB8" w:rsidRDefault="0018327E" w:rsidP="0018327E">
            <w:pPr>
              <w:pStyle w:val="StylIwony"/>
              <w:spacing w:before="0" w:after="0"/>
              <w:jc w:val="center"/>
              <w:rPr>
                <w:rFonts w:ascii="Calibri" w:hAnsi="Calibri"/>
                <w:sz w:val="18"/>
                <w:szCs w:val="18"/>
              </w:rPr>
            </w:pPr>
            <w:r w:rsidRPr="00C06FB8">
              <w:rPr>
                <w:rFonts w:ascii="Calibri" w:hAnsi="Calibri"/>
                <w:sz w:val="18"/>
                <w:szCs w:val="18"/>
              </w:rPr>
              <w:t>Grubość</w:t>
            </w:r>
          </w:p>
        </w:tc>
        <w:tc>
          <w:tcPr>
            <w:tcW w:w="1938" w:type="dxa"/>
            <w:tcBorders>
              <w:top w:val="single" w:sz="6" w:space="0" w:color="auto"/>
              <w:left w:val="nil"/>
            </w:tcBorders>
          </w:tcPr>
          <w:p w:rsidR="0018327E" w:rsidRPr="00C06FB8" w:rsidRDefault="0018327E" w:rsidP="0018327E">
            <w:pPr>
              <w:pStyle w:val="StylIwony"/>
              <w:spacing w:before="0" w:after="0"/>
              <w:jc w:val="center"/>
              <w:rPr>
                <w:rFonts w:ascii="Calibri" w:hAnsi="Calibri"/>
                <w:sz w:val="18"/>
                <w:szCs w:val="18"/>
              </w:rPr>
            </w:pPr>
            <w:r w:rsidRPr="00C06FB8">
              <w:rPr>
                <w:rFonts w:ascii="Calibri" w:hAnsi="Calibri"/>
                <w:sz w:val="18"/>
                <w:szCs w:val="18"/>
              </w:rPr>
              <w:t>Masa 1 m rury</w:t>
            </w:r>
          </w:p>
        </w:tc>
        <w:tc>
          <w:tcPr>
            <w:tcW w:w="2458" w:type="dxa"/>
            <w:gridSpan w:val="2"/>
            <w:tcBorders>
              <w:top w:val="single" w:sz="6" w:space="0" w:color="auto"/>
              <w:left w:val="single" w:sz="6" w:space="0" w:color="auto"/>
              <w:bottom w:val="single" w:sz="6" w:space="0" w:color="auto"/>
              <w:right w:val="single" w:sz="6" w:space="0" w:color="auto"/>
            </w:tcBorders>
          </w:tcPr>
          <w:p w:rsidR="0018327E" w:rsidRPr="00C06FB8" w:rsidRDefault="0018327E" w:rsidP="0018327E">
            <w:pPr>
              <w:pStyle w:val="StylIwony"/>
              <w:spacing w:before="0" w:after="0"/>
              <w:jc w:val="center"/>
              <w:rPr>
                <w:rFonts w:ascii="Calibri" w:hAnsi="Calibri"/>
                <w:sz w:val="18"/>
                <w:szCs w:val="18"/>
              </w:rPr>
            </w:pPr>
            <w:r w:rsidRPr="00C06FB8">
              <w:rPr>
                <w:rFonts w:ascii="Calibri" w:hAnsi="Calibri"/>
                <w:sz w:val="18"/>
                <w:szCs w:val="18"/>
              </w:rPr>
              <w:t>Dopuszczalne odchyłki, %</w:t>
            </w:r>
          </w:p>
        </w:tc>
      </w:tr>
      <w:tr w:rsidR="0018327E" w:rsidRPr="00C06FB8" w:rsidTr="0018327E">
        <w:tc>
          <w:tcPr>
            <w:tcW w:w="1346" w:type="dxa"/>
            <w:tcBorders>
              <w:left w:val="single" w:sz="6" w:space="0" w:color="auto"/>
              <w:bottom w:val="double" w:sz="6" w:space="0" w:color="auto"/>
              <w:right w:val="single" w:sz="6" w:space="0" w:color="auto"/>
            </w:tcBorders>
          </w:tcPr>
          <w:p w:rsidR="0018327E" w:rsidRPr="00C06FB8" w:rsidRDefault="0018327E" w:rsidP="0018327E">
            <w:pPr>
              <w:pStyle w:val="StylIwony"/>
              <w:spacing w:before="0" w:after="0"/>
              <w:jc w:val="center"/>
              <w:rPr>
                <w:rFonts w:ascii="Calibri" w:hAnsi="Calibri"/>
                <w:sz w:val="18"/>
                <w:szCs w:val="18"/>
              </w:rPr>
            </w:pPr>
            <w:r w:rsidRPr="00C06FB8">
              <w:rPr>
                <w:rFonts w:ascii="Calibri" w:hAnsi="Calibri"/>
                <w:sz w:val="18"/>
                <w:szCs w:val="18"/>
              </w:rPr>
              <w:t>zewnętrzna</w:t>
            </w:r>
          </w:p>
        </w:tc>
        <w:tc>
          <w:tcPr>
            <w:tcW w:w="1843" w:type="dxa"/>
            <w:tcBorders>
              <w:left w:val="nil"/>
              <w:bottom w:val="double" w:sz="6" w:space="0" w:color="auto"/>
            </w:tcBorders>
          </w:tcPr>
          <w:p w:rsidR="0018327E" w:rsidRPr="00C06FB8" w:rsidRDefault="0018327E" w:rsidP="0018327E">
            <w:pPr>
              <w:pStyle w:val="StylIwony"/>
              <w:spacing w:before="0" w:after="0"/>
              <w:jc w:val="center"/>
              <w:rPr>
                <w:rFonts w:ascii="Calibri" w:hAnsi="Calibri"/>
                <w:sz w:val="18"/>
                <w:szCs w:val="18"/>
              </w:rPr>
            </w:pPr>
            <w:r w:rsidRPr="00C06FB8">
              <w:rPr>
                <w:rFonts w:ascii="Calibri" w:hAnsi="Calibri"/>
                <w:sz w:val="18"/>
                <w:szCs w:val="18"/>
              </w:rPr>
              <w:t>ścianki</w:t>
            </w:r>
          </w:p>
        </w:tc>
        <w:tc>
          <w:tcPr>
            <w:tcW w:w="1938" w:type="dxa"/>
            <w:tcBorders>
              <w:left w:val="single" w:sz="6" w:space="0" w:color="auto"/>
              <w:bottom w:val="double" w:sz="6" w:space="0" w:color="auto"/>
            </w:tcBorders>
          </w:tcPr>
          <w:p w:rsidR="0018327E" w:rsidRPr="00C06FB8" w:rsidRDefault="0018327E" w:rsidP="0018327E">
            <w:pPr>
              <w:pStyle w:val="StylIwony"/>
              <w:spacing w:before="0" w:after="0"/>
              <w:jc w:val="center"/>
              <w:rPr>
                <w:rFonts w:ascii="Calibri" w:hAnsi="Calibri"/>
                <w:sz w:val="18"/>
                <w:szCs w:val="18"/>
              </w:rPr>
            </w:pPr>
            <w:r w:rsidRPr="00C06FB8">
              <w:rPr>
                <w:rFonts w:ascii="Calibri" w:hAnsi="Calibri"/>
                <w:sz w:val="18"/>
                <w:szCs w:val="18"/>
              </w:rPr>
              <w:t>kg/m</w:t>
            </w:r>
          </w:p>
        </w:tc>
        <w:tc>
          <w:tcPr>
            <w:tcW w:w="1229" w:type="dxa"/>
            <w:tcBorders>
              <w:top w:val="single" w:sz="6" w:space="0" w:color="auto"/>
              <w:left w:val="single" w:sz="6" w:space="0" w:color="auto"/>
              <w:bottom w:val="double" w:sz="6" w:space="0" w:color="auto"/>
              <w:right w:val="single" w:sz="6" w:space="0" w:color="auto"/>
            </w:tcBorders>
          </w:tcPr>
          <w:p w:rsidR="0018327E" w:rsidRPr="00C06FB8" w:rsidRDefault="0018327E" w:rsidP="0018327E">
            <w:pPr>
              <w:pStyle w:val="StylIwony"/>
              <w:spacing w:before="0" w:after="0"/>
              <w:jc w:val="center"/>
              <w:rPr>
                <w:rFonts w:ascii="Calibri" w:hAnsi="Calibri"/>
                <w:sz w:val="18"/>
                <w:szCs w:val="18"/>
              </w:rPr>
            </w:pPr>
            <w:r w:rsidRPr="00C06FB8">
              <w:rPr>
                <w:rFonts w:ascii="Calibri" w:hAnsi="Calibri"/>
                <w:sz w:val="18"/>
                <w:szCs w:val="18"/>
              </w:rPr>
              <w:t>średnicy zewnętrznej</w:t>
            </w:r>
          </w:p>
        </w:tc>
        <w:tc>
          <w:tcPr>
            <w:tcW w:w="1229" w:type="dxa"/>
            <w:tcBorders>
              <w:top w:val="single" w:sz="6" w:space="0" w:color="auto"/>
              <w:left w:val="single" w:sz="6" w:space="0" w:color="auto"/>
              <w:bottom w:val="double" w:sz="6" w:space="0" w:color="auto"/>
              <w:right w:val="single" w:sz="6" w:space="0" w:color="auto"/>
            </w:tcBorders>
          </w:tcPr>
          <w:p w:rsidR="0018327E" w:rsidRPr="00C06FB8" w:rsidRDefault="0018327E" w:rsidP="0018327E">
            <w:pPr>
              <w:pStyle w:val="StylIwony"/>
              <w:spacing w:before="0" w:after="0"/>
              <w:jc w:val="center"/>
              <w:rPr>
                <w:rFonts w:ascii="Calibri" w:hAnsi="Calibri"/>
                <w:sz w:val="18"/>
                <w:szCs w:val="18"/>
              </w:rPr>
            </w:pPr>
            <w:r w:rsidRPr="00C06FB8">
              <w:rPr>
                <w:rFonts w:ascii="Calibri" w:hAnsi="Calibri"/>
                <w:sz w:val="18"/>
                <w:szCs w:val="18"/>
              </w:rPr>
              <w:t>grubości ścianki</w:t>
            </w:r>
          </w:p>
        </w:tc>
      </w:tr>
      <w:tr w:rsidR="0018327E" w:rsidRPr="00C06FB8" w:rsidTr="0018327E">
        <w:tc>
          <w:tcPr>
            <w:tcW w:w="1346" w:type="dxa"/>
            <w:tcBorders>
              <w:left w:val="single" w:sz="6" w:space="0" w:color="auto"/>
              <w:bottom w:val="single" w:sz="6" w:space="0" w:color="auto"/>
              <w:right w:val="single" w:sz="6" w:space="0" w:color="auto"/>
            </w:tcBorders>
          </w:tcPr>
          <w:p w:rsidR="0018327E" w:rsidRPr="00C06FB8" w:rsidRDefault="0018327E" w:rsidP="0018327E">
            <w:pPr>
              <w:pStyle w:val="StylIwony"/>
              <w:spacing w:after="0"/>
              <w:jc w:val="center"/>
              <w:rPr>
                <w:rFonts w:ascii="Calibri" w:hAnsi="Calibri"/>
                <w:sz w:val="18"/>
                <w:szCs w:val="18"/>
              </w:rPr>
            </w:pPr>
            <w:r w:rsidRPr="00C06FB8">
              <w:rPr>
                <w:rFonts w:ascii="Calibri" w:hAnsi="Calibri"/>
                <w:sz w:val="18"/>
                <w:szCs w:val="18"/>
              </w:rPr>
              <w:t>51,0</w:t>
            </w:r>
          </w:p>
          <w:p w:rsidR="0018327E" w:rsidRPr="00C06FB8" w:rsidRDefault="0018327E" w:rsidP="0018327E">
            <w:pPr>
              <w:pStyle w:val="StylIwony"/>
              <w:spacing w:before="0" w:after="0"/>
              <w:jc w:val="center"/>
              <w:rPr>
                <w:rFonts w:ascii="Calibri" w:hAnsi="Calibri"/>
                <w:sz w:val="18"/>
                <w:szCs w:val="18"/>
              </w:rPr>
            </w:pPr>
            <w:r w:rsidRPr="00C06FB8">
              <w:rPr>
                <w:rFonts w:ascii="Calibri" w:hAnsi="Calibri"/>
                <w:sz w:val="18"/>
                <w:szCs w:val="18"/>
              </w:rPr>
              <w:t>54,0</w:t>
            </w:r>
          </w:p>
          <w:p w:rsidR="0018327E" w:rsidRPr="00C06FB8" w:rsidRDefault="0018327E" w:rsidP="0018327E">
            <w:pPr>
              <w:pStyle w:val="StylIwony"/>
              <w:spacing w:before="0" w:after="0"/>
              <w:jc w:val="center"/>
              <w:rPr>
                <w:rFonts w:ascii="Calibri" w:hAnsi="Calibri"/>
                <w:sz w:val="18"/>
                <w:szCs w:val="18"/>
              </w:rPr>
            </w:pPr>
            <w:r w:rsidRPr="00C06FB8">
              <w:rPr>
                <w:rFonts w:ascii="Calibri" w:hAnsi="Calibri"/>
                <w:sz w:val="18"/>
                <w:szCs w:val="18"/>
              </w:rPr>
              <w:t>57,0</w:t>
            </w:r>
          </w:p>
          <w:p w:rsidR="0018327E" w:rsidRPr="00C06FB8" w:rsidRDefault="0018327E" w:rsidP="0018327E">
            <w:pPr>
              <w:pStyle w:val="StylIwony"/>
              <w:spacing w:before="0" w:after="0"/>
              <w:jc w:val="center"/>
              <w:rPr>
                <w:rFonts w:ascii="Calibri" w:hAnsi="Calibri"/>
                <w:sz w:val="18"/>
                <w:szCs w:val="18"/>
              </w:rPr>
            </w:pPr>
            <w:r w:rsidRPr="00C06FB8">
              <w:rPr>
                <w:rFonts w:ascii="Calibri" w:hAnsi="Calibri"/>
                <w:sz w:val="18"/>
                <w:szCs w:val="18"/>
              </w:rPr>
              <w:t>60,3</w:t>
            </w:r>
          </w:p>
          <w:p w:rsidR="0018327E" w:rsidRPr="00C06FB8" w:rsidRDefault="0018327E" w:rsidP="0018327E">
            <w:pPr>
              <w:pStyle w:val="StylIwony"/>
              <w:spacing w:before="0" w:after="0"/>
              <w:jc w:val="center"/>
              <w:rPr>
                <w:rFonts w:ascii="Calibri" w:hAnsi="Calibri"/>
                <w:sz w:val="18"/>
                <w:szCs w:val="18"/>
              </w:rPr>
            </w:pPr>
            <w:r w:rsidRPr="00C06FB8">
              <w:rPr>
                <w:rFonts w:ascii="Calibri" w:hAnsi="Calibri"/>
                <w:sz w:val="18"/>
                <w:szCs w:val="18"/>
              </w:rPr>
              <w:t>63,5</w:t>
            </w:r>
          </w:p>
          <w:p w:rsidR="0018327E" w:rsidRPr="00C06FB8" w:rsidRDefault="0018327E" w:rsidP="0018327E">
            <w:pPr>
              <w:pStyle w:val="StylIwony"/>
              <w:spacing w:before="0" w:after="0"/>
              <w:jc w:val="center"/>
              <w:rPr>
                <w:rFonts w:ascii="Calibri" w:hAnsi="Calibri"/>
                <w:sz w:val="18"/>
                <w:szCs w:val="18"/>
              </w:rPr>
            </w:pPr>
            <w:r w:rsidRPr="00C06FB8">
              <w:rPr>
                <w:rFonts w:ascii="Calibri" w:hAnsi="Calibri"/>
                <w:sz w:val="18"/>
                <w:szCs w:val="18"/>
              </w:rPr>
              <w:t>70,0</w:t>
            </w:r>
          </w:p>
          <w:p w:rsidR="0018327E" w:rsidRPr="00C06FB8" w:rsidRDefault="0018327E" w:rsidP="0018327E">
            <w:pPr>
              <w:pStyle w:val="StylIwony"/>
              <w:spacing w:before="0" w:after="0"/>
              <w:jc w:val="center"/>
              <w:rPr>
                <w:rFonts w:ascii="Calibri" w:hAnsi="Calibri"/>
                <w:sz w:val="18"/>
                <w:szCs w:val="18"/>
              </w:rPr>
            </w:pPr>
            <w:r w:rsidRPr="00C06FB8">
              <w:rPr>
                <w:rFonts w:ascii="Calibri" w:hAnsi="Calibri"/>
                <w:sz w:val="18"/>
                <w:szCs w:val="18"/>
              </w:rPr>
              <w:t>76,1</w:t>
            </w:r>
          </w:p>
          <w:p w:rsidR="0018327E" w:rsidRPr="00C06FB8" w:rsidRDefault="0018327E" w:rsidP="0018327E">
            <w:pPr>
              <w:pStyle w:val="StylIwony"/>
              <w:spacing w:before="0" w:after="0"/>
              <w:jc w:val="center"/>
              <w:rPr>
                <w:rFonts w:ascii="Calibri" w:hAnsi="Calibri"/>
                <w:sz w:val="18"/>
                <w:szCs w:val="18"/>
              </w:rPr>
            </w:pPr>
            <w:r w:rsidRPr="00C06FB8">
              <w:rPr>
                <w:rFonts w:ascii="Calibri" w:hAnsi="Calibri"/>
                <w:sz w:val="18"/>
                <w:szCs w:val="18"/>
              </w:rPr>
              <w:t>82,5</w:t>
            </w:r>
          </w:p>
          <w:p w:rsidR="0018327E" w:rsidRPr="00C06FB8" w:rsidRDefault="0018327E" w:rsidP="0018327E">
            <w:pPr>
              <w:pStyle w:val="StylIwony"/>
              <w:spacing w:before="0" w:after="0"/>
              <w:jc w:val="center"/>
              <w:rPr>
                <w:rFonts w:ascii="Calibri" w:hAnsi="Calibri"/>
                <w:sz w:val="18"/>
                <w:szCs w:val="18"/>
              </w:rPr>
            </w:pPr>
            <w:r w:rsidRPr="00C06FB8">
              <w:rPr>
                <w:rFonts w:ascii="Calibri" w:hAnsi="Calibri"/>
                <w:sz w:val="18"/>
                <w:szCs w:val="18"/>
              </w:rPr>
              <w:t>88,9</w:t>
            </w:r>
          </w:p>
          <w:p w:rsidR="0018327E" w:rsidRPr="00C06FB8" w:rsidRDefault="0018327E" w:rsidP="0018327E">
            <w:pPr>
              <w:pStyle w:val="StylIwony"/>
              <w:spacing w:before="0" w:after="0"/>
              <w:jc w:val="center"/>
              <w:rPr>
                <w:rFonts w:ascii="Calibri" w:hAnsi="Calibri"/>
                <w:sz w:val="18"/>
                <w:szCs w:val="18"/>
              </w:rPr>
            </w:pPr>
            <w:r w:rsidRPr="00C06FB8">
              <w:rPr>
                <w:rFonts w:ascii="Calibri" w:hAnsi="Calibri"/>
                <w:sz w:val="18"/>
                <w:szCs w:val="18"/>
              </w:rPr>
              <w:t>101,6</w:t>
            </w:r>
          </w:p>
        </w:tc>
        <w:tc>
          <w:tcPr>
            <w:tcW w:w="1843" w:type="dxa"/>
            <w:tcBorders>
              <w:left w:val="single" w:sz="6" w:space="0" w:color="auto"/>
              <w:bottom w:val="single" w:sz="6" w:space="0" w:color="auto"/>
              <w:right w:val="single" w:sz="6" w:space="0" w:color="auto"/>
            </w:tcBorders>
          </w:tcPr>
          <w:p w:rsidR="0018327E" w:rsidRPr="00C06FB8" w:rsidRDefault="0018327E" w:rsidP="0018327E">
            <w:pPr>
              <w:pStyle w:val="StylIwony"/>
              <w:spacing w:after="0"/>
              <w:jc w:val="center"/>
              <w:rPr>
                <w:rFonts w:ascii="Calibri" w:hAnsi="Calibri"/>
                <w:sz w:val="18"/>
                <w:szCs w:val="18"/>
              </w:rPr>
            </w:pPr>
            <w:r w:rsidRPr="00C06FB8">
              <w:rPr>
                <w:rFonts w:ascii="Calibri" w:hAnsi="Calibri"/>
                <w:sz w:val="18"/>
                <w:szCs w:val="18"/>
              </w:rPr>
              <w:t>od 2,6 do 12,5</w:t>
            </w:r>
          </w:p>
          <w:p w:rsidR="0018327E" w:rsidRPr="00C06FB8" w:rsidRDefault="0018327E" w:rsidP="0018327E">
            <w:pPr>
              <w:pStyle w:val="StylIwony"/>
              <w:spacing w:before="0" w:after="0"/>
              <w:jc w:val="center"/>
              <w:rPr>
                <w:rFonts w:ascii="Calibri" w:hAnsi="Calibri"/>
                <w:sz w:val="18"/>
                <w:szCs w:val="18"/>
              </w:rPr>
            </w:pPr>
            <w:r w:rsidRPr="00C06FB8">
              <w:rPr>
                <w:rFonts w:ascii="Calibri" w:hAnsi="Calibri"/>
                <w:sz w:val="18"/>
                <w:szCs w:val="18"/>
              </w:rPr>
              <w:t>od 2,6 do 14,2</w:t>
            </w:r>
          </w:p>
          <w:p w:rsidR="0018327E" w:rsidRPr="00C06FB8" w:rsidRDefault="0018327E" w:rsidP="0018327E">
            <w:pPr>
              <w:pStyle w:val="StylIwony"/>
              <w:spacing w:before="0" w:after="0"/>
              <w:jc w:val="center"/>
              <w:rPr>
                <w:rFonts w:ascii="Calibri" w:hAnsi="Calibri"/>
                <w:sz w:val="18"/>
                <w:szCs w:val="18"/>
              </w:rPr>
            </w:pPr>
            <w:r w:rsidRPr="00C06FB8">
              <w:rPr>
                <w:rFonts w:ascii="Calibri" w:hAnsi="Calibri"/>
                <w:sz w:val="18"/>
                <w:szCs w:val="18"/>
              </w:rPr>
              <w:t>od 2,9 do 14,2</w:t>
            </w:r>
          </w:p>
          <w:p w:rsidR="0018327E" w:rsidRPr="00C06FB8" w:rsidRDefault="0018327E" w:rsidP="0018327E">
            <w:pPr>
              <w:pStyle w:val="StylIwony"/>
              <w:spacing w:before="0" w:after="0"/>
              <w:jc w:val="center"/>
              <w:rPr>
                <w:rFonts w:ascii="Calibri" w:hAnsi="Calibri"/>
                <w:sz w:val="18"/>
                <w:szCs w:val="18"/>
              </w:rPr>
            </w:pPr>
            <w:r w:rsidRPr="00C06FB8">
              <w:rPr>
                <w:rFonts w:ascii="Calibri" w:hAnsi="Calibri"/>
                <w:sz w:val="18"/>
                <w:szCs w:val="18"/>
              </w:rPr>
              <w:t>od 2,9 do</w:t>
            </w:r>
            <w:r w:rsidRPr="00C06FB8">
              <w:rPr>
                <w:rFonts w:ascii="Calibri" w:hAnsi="Calibri"/>
                <w:b/>
                <w:sz w:val="18"/>
                <w:szCs w:val="18"/>
              </w:rPr>
              <w:t xml:space="preserve"> </w:t>
            </w:r>
            <w:r w:rsidRPr="00C06FB8">
              <w:rPr>
                <w:rFonts w:ascii="Calibri" w:hAnsi="Calibri"/>
                <w:sz w:val="18"/>
                <w:szCs w:val="18"/>
              </w:rPr>
              <w:t>14,2</w:t>
            </w:r>
          </w:p>
          <w:p w:rsidR="0018327E" w:rsidRPr="00C06FB8" w:rsidRDefault="0018327E" w:rsidP="0018327E">
            <w:pPr>
              <w:pStyle w:val="StylIwony"/>
              <w:spacing w:before="0" w:after="0"/>
              <w:jc w:val="center"/>
              <w:rPr>
                <w:rFonts w:ascii="Calibri" w:hAnsi="Calibri"/>
                <w:sz w:val="18"/>
                <w:szCs w:val="18"/>
              </w:rPr>
            </w:pPr>
            <w:r w:rsidRPr="00C06FB8">
              <w:rPr>
                <w:rFonts w:ascii="Calibri" w:hAnsi="Calibri"/>
                <w:sz w:val="18"/>
                <w:szCs w:val="18"/>
              </w:rPr>
              <w:t>od 2,9 do 16,0</w:t>
            </w:r>
          </w:p>
          <w:p w:rsidR="0018327E" w:rsidRPr="00C06FB8" w:rsidRDefault="0018327E" w:rsidP="0018327E">
            <w:pPr>
              <w:pStyle w:val="StylIwony"/>
              <w:spacing w:before="0" w:after="0"/>
              <w:jc w:val="center"/>
              <w:rPr>
                <w:rFonts w:ascii="Calibri" w:hAnsi="Calibri"/>
                <w:sz w:val="18"/>
                <w:szCs w:val="18"/>
              </w:rPr>
            </w:pPr>
            <w:r w:rsidRPr="00C06FB8">
              <w:rPr>
                <w:rFonts w:ascii="Calibri" w:hAnsi="Calibri"/>
                <w:sz w:val="18"/>
                <w:szCs w:val="18"/>
              </w:rPr>
              <w:t>od 2,9 do 16,0</w:t>
            </w:r>
          </w:p>
          <w:p w:rsidR="0018327E" w:rsidRPr="00C06FB8" w:rsidRDefault="0018327E" w:rsidP="0018327E">
            <w:pPr>
              <w:pStyle w:val="StylIwony"/>
              <w:spacing w:before="0" w:after="0"/>
              <w:jc w:val="center"/>
              <w:rPr>
                <w:rFonts w:ascii="Calibri" w:hAnsi="Calibri"/>
                <w:sz w:val="18"/>
                <w:szCs w:val="18"/>
              </w:rPr>
            </w:pPr>
            <w:r w:rsidRPr="00C06FB8">
              <w:rPr>
                <w:rFonts w:ascii="Calibri" w:hAnsi="Calibri"/>
                <w:sz w:val="18"/>
                <w:szCs w:val="18"/>
              </w:rPr>
              <w:t>od 2,9 do 20,0</w:t>
            </w:r>
          </w:p>
          <w:p w:rsidR="0018327E" w:rsidRPr="00C06FB8" w:rsidRDefault="0018327E" w:rsidP="0018327E">
            <w:pPr>
              <w:pStyle w:val="StylIwony"/>
              <w:spacing w:before="0" w:after="0"/>
              <w:jc w:val="center"/>
              <w:rPr>
                <w:rFonts w:ascii="Calibri" w:hAnsi="Calibri"/>
                <w:sz w:val="18"/>
                <w:szCs w:val="18"/>
              </w:rPr>
            </w:pPr>
            <w:r w:rsidRPr="00C06FB8">
              <w:rPr>
                <w:rFonts w:ascii="Calibri" w:hAnsi="Calibri"/>
                <w:sz w:val="18"/>
                <w:szCs w:val="18"/>
              </w:rPr>
              <w:t>od 3,2 do 20,0</w:t>
            </w:r>
          </w:p>
          <w:p w:rsidR="0018327E" w:rsidRPr="00C06FB8" w:rsidRDefault="0018327E" w:rsidP="0018327E">
            <w:pPr>
              <w:pStyle w:val="StylIwony"/>
              <w:spacing w:before="0" w:after="0"/>
              <w:jc w:val="center"/>
              <w:rPr>
                <w:rFonts w:ascii="Calibri" w:hAnsi="Calibri"/>
                <w:sz w:val="18"/>
                <w:szCs w:val="18"/>
              </w:rPr>
            </w:pPr>
            <w:r w:rsidRPr="00C06FB8">
              <w:rPr>
                <w:rFonts w:ascii="Calibri" w:hAnsi="Calibri"/>
                <w:sz w:val="18"/>
                <w:szCs w:val="18"/>
              </w:rPr>
              <w:t>od 3,2 do 34,0</w:t>
            </w:r>
          </w:p>
          <w:p w:rsidR="0018327E" w:rsidRPr="00C06FB8" w:rsidRDefault="0018327E" w:rsidP="0018327E">
            <w:pPr>
              <w:pStyle w:val="StylIwony"/>
              <w:spacing w:before="0" w:after="0"/>
              <w:jc w:val="center"/>
              <w:rPr>
                <w:rFonts w:ascii="Calibri" w:hAnsi="Calibri"/>
                <w:sz w:val="18"/>
                <w:szCs w:val="18"/>
              </w:rPr>
            </w:pPr>
            <w:r w:rsidRPr="00C06FB8">
              <w:rPr>
                <w:rFonts w:ascii="Calibri" w:hAnsi="Calibri"/>
                <w:sz w:val="18"/>
                <w:szCs w:val="18"/>
              </w:rPr>
              <w:t>od 3,6 do 20,0</w:t>
            </w:r>
          </w:p>
        </w:tc>
        <w:tc>
          <w:tcPr>
            <w:tcW w:w="1938" w:type="dxa"/>
            <w:tcBorders>
              <w:left w:val="single" w:sz="6" w:space="0" w:color="auto"/>
              <w:bottom w:val="single" w:sz="6" w:space="0" w:color="auto"/>
              <w:right w:val="single" w:sz="6" w:space="0" w:color="auto"/>
            </w:tcBorders>
          </w:tcPr>
          <w:p w:rsidR="0018327E" w:rsidRPr="00C06FB8" w:rsidRDefault="0018327E" w:rsidP="0018327E">
            <w:pPr>
              <w:pStyle w:val="StylIwony"/>
              <w:spacing w:after="0"/>
              <w:jc w:val="center"/>
              <w:rPr>
                <w:rFonts w:ascii="Calibri" w:hAnsi="Calibri"/>
                <w:sz w:val="18"/>
                <w:szCs w:val="18"/>
              </w:rPr>
            </w:pPr>
            <w:r w:rsidRPr="00C06FB8">
              <w:rPr>
                <w:rFonts w:ascii="Calibri" w:hAnsi="Calibri"/>
                <w:sz w:val="18"/>
                <w:szCs w:val="18"/>
              </w:rPr>
              <w:t>od 3,10 do 11,9</w:t>
            </w:r>
          </w:p>
          <w:p w:rsidR="0018327E" w:rsidRPr="00C06FB8" w:rsidRDefault="0018327E" w:rsidP="0018327E">
            <w:pPr>
              <w:pStyle w:val="StylIwony"/>
              <w:spacing w:before="0" w:after="0"/>
              <w:jc w:val="center"/>
              <w:rPr>
                <w:rFonts w:ascii="Calibri" w:hAnsi="Calibri"/>
                <w:sz w:val="18"/>
                <w:szCs w:val="18"/>
              </w:rPr>
            </w:pPr>
            <w:r w:rsidRPr="00C06FB8">
              <w:rPr>
                <w:rFonts w:ascii="Calibri" w:hAnsi="Calibri"/>
                <w:sz w:val="18"/>
                <w:szCs w:val="18"/>
              </w:rPr>
              <w:t>od 3,30 do 13,9</w:t>
            </w:r>
          </w:p>
          <w:p w:rsidR="0018327E" w:rsidRPr="00C06FB8" w:rsidRDefault="0018327E" w:rsidP="0018327E">
            <w:pPr>
              <w:pStyle w:val="StylIwony"/>
              <w:spacing w:before="0" w:after="0"/>
              <w:jc w:val="center"/>
              <w:rPr>
                <w:rFonts w:ascii="Calibri" w:hAnsi="Calibri"/>
                <w:sz w:val="18"/>
                <w:szCs w:val="18"/>
              </w:rPr>
            </w:pPr>
            <w:r w:rsidRPr="00C06FB8">
              <w:rPr>
                <w:rFonts w:ascii="Calibri" w:hAnsi="Calibri"/>
                <w:sz w:val="18"/>
                <w:szCs w:val="18"/>
              </w:rPr>
              <w:t>od 3,87 do 15,0</w:t>
            </w:r>
          </w:p>
          <w:p w:rsidR="0018327E" w:rsidRPr="00C06FB8" w:rsidRDefault="0018327E" w:rsidP="0018327E">
            <w:pPr>
              <w:pStyle w:val="StylIwony"/>
              <w:spacing w:before="0" w:after="0"/>
              <w:jc w:val="center"/>
              <w:rPr>
                <w:rFonts w:ascii="Calibri" w:hAnsi="Calibri"/>
                <w:sz w:val="18"/>
                <w:szCs w:val="18"/>
              </w:rPr>
            </w:pPr>
            <w:r w:rsidRPr="00C06FB8">
              <w:rPr>
                <w:rFonts w:ascii="Calibri" w:hAnsi="Calibri"/>
                <w:sz w:val="18"/>
                <w:szCs w:val="18"/>
              </w:rPr>
              <w:t>od 4,11 do 16,1</w:t>
            </w:r>
          </w:p>
          <w:p w:rsidR="0018327E" w:rsidRPr="00C06FB8" w:rsidRDefault="0018327E" w:rsidP="0018327E">
            <w:pPr>
              <w:pStyle w:val="StylIwony"/>
              <w:spacing w:before="0" w:after="0"/>
              <w:jc w:val="center"/>
              <w:rPr>
                <w:rFonts w:ascii="Calibri" w:hAnsi="Calibri"/>
                <w:sz w:val="18"/>
                <w:szCs w:val="18"/>
              </w:rPr>
            </w:pPr>
            <w:r w:rsidRPr="00C06FB8">
              <w:rPr>
                <w:rFonts w:ascii="Calibri" w:hAnsi="Calibri"/>
                <w:sz w:val="18"/>
                <w:szCs w:val="18"/>
              </w:rPr>
              <w:t>od 4,33 do 18,7</w:t>
            </w:r>
          </w:p>
          <w:p w:rsidR="0018327E" w:rsidRPr="00C06FB8" w:rsidRDefault="0018327E" w:rsidP="0018327E">
            <w:pPr>
              <w:pStyle w:val="StylIwony"/>
              <w:spacing w:before="0" w:after="0"/>
              <w:jc w:val="center"/>
              <w:rPr>
                <w:rFonts w:ascii="Calibri" w:hAnsi="Calibri"/>
                <w:sz w:val="18"/>
                <w:szCs w:val="18"/>
              </w:rPr>
            </w:pPr>
            <w:r w:rsidRPr="00C06FB8">
              <w:rPr>
                <w:rFonts w:ascii="Calibri" w:hAnsi="Calibri"/>
                <w:sz w:val="18"/>
                <w:szCs w:val="18"/>
              </w:rPr>
              <w:t>od 5,80 do 21,3</w:t>
            </w:r>
          </w:p>
          <w:p w:rsidR="0018327E" w:rsidRPr="00C06FB8" w:rsidRDefault="0018327E" w:rsidP="0018327E">
            <w:pPr>
              <w:pStyle w:val="StylIwony"/>
              <w:spacing w:before="0" w:after="0"/>
              <w:jc w:val="center"/>
              <w:rPr>
                <w:rFonts w:ascii="Calibri" w:hAnsi="Calibri"/>
                <w:sz w:val="18"/>
                <w:szCs w:val="18"/>
              </w:rPr>
            </w:pPr>
            <w:r w:rsidRPr="00C06FB8">
              <w:rPr>
                <w:rFonts w:ascii="Calibri" w:hAnsi="Calibri"/>
                <w:sz w:val="18"/>
                <w:szCs w:val="18"/>
              </w:rPr>
              <w:t>od 5,24 do 27,7</w:t>
            </w:r>
          </w:p>
          <w:p w:rsidR="0018327E" w:rsidRPr="00C06FB8" w:rsidRDefault="0018327E" w:rsidP="0018327E">
            <w:pPr>
              <w:pStyle w:val="StylIwony"/>
              <w:spacing w:before="0" w:after="0"/>
              <w:jc w:val="center"/>
              <w:rPr>
                <w:rFonts w:ascii="Calibri" w:hAnsi="Calibri"/>
                <w:sz w:val="18"/>
                <w:szCs w:val="18"/>
              </w:rPr>
            </w:pPr>
            <w:r w:rsidRPr="00C06FB8">
              <w:rPr>
                <w:rFonts w:ascii="Calibri" w:hAnsi="Calibri"/>
                <w:sz w:val="18"/>
                <w:szCs w:val="18"/>
              </w:rPr>
              <w:t>od 6,26 do 30,8</w:t>
            </w:r>
          </w:p>
          <w:p w:rsidR="0018327E" w:rsidRPr="00C06FB8" w:rsidRDefault="0018327E" w:rsidP="0018327E">
            <w:pPr>
              <w:pStyle w:val="StylIwony"/>
              <w:spacing w:before="0" w:after="0"/>
              <w:jc w:val="center"/>
              <w:rPr>
                <w:rFonts w:ascii="Calibri" w:hAnsi="Calibri"/>
                <w:sz w:val="18"/>
                <w:szCs w:val="18"/>
              </w:rPr>
            </w:pPr>
            <w:r w:rsidRPr="00C06FB8">
              <w:rPr>
                <w:rFonts w:ascii="Calibri" w:hAnsi="Calibri"/>
                <w:sz w:val="18"/>
                <w:szCs w:val="18"/>
              </w:rPr>
              <w:t>od 6,76 do 34,0</w:t>
            </w:r>
          </w:p>
          <w:p w:rsidR="0018327E" w:rsidRPr="00C06FB8" w:rsidRDefault="0018327E" w:rsidP="0018327E">
            <w:pPr>
              <w:pStyle w:val="StylIwony"/>
              <w:spacing w:before="0"/>
              <w:jc w:val="center"/>
              <w:rPr>
                <w:rFonts w:ascii="Calibri" w:hAnsi="Calibri"/>
                <w:sz w:val="18"/>
                <w:szCs w:val="18"/>
              </w:rPr>
            </w:pPr>
            <w:r w:rsidRPr="00C06FB8">
              <w:rPr>
                <w:rFonts w:ascii="Calibri" w:hAnsi="Calibri"/>
                <w:sz w:val="18"/>
                <w:szCs w:val="18"/>
              </w:rPr>
              <w:t>od 8,70 do 40,2</w:t>
            </w:r>
          </w:p>
        </w:tc>
        <w:tc>
          <w:tcPr>
            <w:tcW w:w="1229" w:type="dxa"/>
            <w:tcBorders>
              <w:left w:val="single" w:sz="6" w:space="0" w:color="auto"/>
              <w:bottom w:val="single" w:sz="6" w:space="0" w:color="auto"/>
              <w:right w:val="single" w:sz="6" w:space="0" w:color="auto"/>
            </w:tcBorders>
          </w:tcPr>
          <w:p w:rsidR="0018327E" w:rsidRPr="00C06FB8" w:rsidRDefault="0018327E" w:rsidP="0018327E">
            <w:pPr>
              <w:pStyle w:val="StylIwony"/>
              <w:spacing w:before="0" w:after="0"/>
              <w:jc w:val="center"/>
              <w:rPr>
                <w:rFonts w:ascii="Calibri" w:hAnsi="Calibri"/>
                <w:sz w:val="18"/>
                <w:szCs w:val="18"/>
              </w:rPr>
            </w:pPr>
            <w:r w:rsidRPr="00C06FB8">
              <w:rPr>
                <w:rFonts w:ascii="Calibri" w:hAnsi="Calibri"/>
                <w:sz w:val="18"/>
                <w:szCs w:val="18"/>
              </w:rPr>
              <w:t xml:space="preserve"> </w:t>
            </w:r>
          </w:p>
          <w:p w:rsidR="0018327E" w:rsidRPr="00C06FB8" w:rsidRDefault="0018327E" w:rsidP="0018327E">
            <w:pPr>
              <w:pStyle w:val="StylIwony"/>
              <w:spacing w:before="0" w:after="0"/>
              <w:jc w:val="center"/>
              <w:rPr>
                <w:rFonts w:ascii="Calibri" w:hAnsi="Calibri"/>
                <w:sz w:val="18"/>
                <w:szCs w:val="18"/>
              </w:rPr>
            </w:pPr>
          </w:p>
          <w:p w:rsidR="0018327E" w:rsidRPr="00C06FB8" w:rsidRDefault="0018327E" w:rsidP="0018327E">
            <w:pPr>
              <w:pStyle w:val="StylIwony"/>
              <w:spacing w:before="0" w:after="0"/>
              <w:jc w:val="center"/>
              <w:rPr>
                <w:rFonts w:ascii="Calibri" w:hAnsi="Calibri"/>
                <w:sz w:val="18"/>
                <w:szCs w:val="18"/>
              </w:rPr>
            </w:pPr>
          </w:p>
          <w:p w:rsidR="0018327E" w:rsidRPr="00C06FB8" w:rsidRDefault="0018327E" w:rsidP="0018327E">
            <w:pPr>
              <w:pStyle w:val="StylIwony"/>
              <w:spacing w:before="0" w:after="0"/>
              <w:jc w:val="center"/>
              <w:rPr>
                <w:rFonts w:ascii="Calibri" w:hAnsi="Calibri"/>
                <w:sz w:val="18"/>
                <w:szCs w:val="18"/>
              </w:rPr>
            </w:pPr>
          </w:p>
          <w:p w:rsidR="0018327E" w:rsidRPr="00C06FB8" w:rsidRDefault="0018327E" w:rsidP="0018327E">
            <w:pPr>
              <w:pStyle w:val="StylIwony"/>
              <w:spacing w:after="0"/>
              <w:jc w:val="center"/>
              <w:rPr>
                <w:rFonts w:ascii="Calibri" w:hAnsi="Calibri"/>
                <w:sz w:val="18"/>
                <w:szCs w:val="18"/>
              </w:rPr>
            </w:pPr>
            <w:r w:rsidRPr="00C06FB8">
              <w:rPr>
                <w:rFonts w:ascii="Calibri" w:hAnsi="Calibri"/>
                <w:sz w:val="18"/>
                <w:szCs w:val="18"/>
              </w:rPr>
              <w:sym w:font="Symbol" w:char="F0B1"/>
            </w:r>
            <w:r w:rsidRPr="00C06FB8">
              <w:rPr>
                <w:rFonts w:ascii="Calibri" w:hAnsi="Calibri"/>
                <w:sz w:val="18"/>
                <w:szCs w:val="18"/>
              </w:rPr>
              <w:t xml:space="preserve"> 1,25</w:t>
            </w:r>
          </w:p>
        </w:tc>
        <w:tc>
          <w:tcPr>
            <w:tcW w:w="1229" w:type="dxa"/>
            <w:tcBorders>
              <w:left w:val="single" w:sz="6" w:space="0" w:color="auto"/>
              <w:bottom w:val="single" w:sz="6" w:space="0" w:color="auto"/>
              <w:right w:val="single" w:sz="6" w:space="0" w:color="auto"/>
            </w:tcBorders>
          </w:tcPr>
          <w:p w:rsidR="0018327E" w:rsidRPr="00C06FB8" w:rsidRDefault="0018327E" w:rsidP="0018327E">
            <w:pPr>
              <w:pStyle w:val="StylIwony"/>
              <w:spacing w:before="0" w:after="0"/>
              <w:jc w:val="center"/>
              <w:rPr>
                <w:rFonts w:ascii="Calibri" w:hAnsi="Calibri"/>
                <w:sz w:val="18"/>
                <w:szCs w:val="18"/>
              </w:rPr>
            </w:pPr>
          </w:p>
          <w:p w:rsidR="0018327E" w:rsidRPr="00C06FB8" w:rsidRDefault="0018327E" w:rsidP="0018327E">
            <w:pPr>
              <w:pStyle w:val="StylIwony"/>
              <w:spacing w:before="0" w:after="0"/>
              <w:jc w:val="center"/>
              <w:rPr>
                <w:rFonts w:ascii="Calibri" w:hAnsi="Calibri"/>
                <w:sz w:val="18"/>
                <w:szCs w:val="18"/>
              </w:rPr>
            </w:pPr>
          </w:p>
          <w:p w:rsidR="0018327E" w:rsidRPr="00C06FB8" w:rsidRDefault="0018327E" w:rsidP="0018327E">
            <w:pPr>
              <w:pStyle w:val="StylIwony"/>
              <w:spacing w:before="0" w:after="0"/>
              <w:jc w:val="center"/>
              <w:rPr>
                <w:rFonts w:ascii="Calibri" w:hAnsi="Calibri"/>
                <w:sz w:val="18"/>
                <w:szCs w:val="18"/>
              </w:rPr>
            </w:pPr>
          </w:p>
          <w:p w:rsidR="0018327E" w:rsidRPr="00C06FB8" w:rsidRDefault="0018327E" w:rsidP="0018327E">
            <w:pPr>
              <w:pStyle w:val="StylIwony"/>
              <w:spacing w:before="0" w:after="0"/>
              <w:jc w:val="center"/>
              <w:rPr>
                <w:rFonts w:ascii="Calibri" w:hAnsi="Calibri"/>
                <w:sz w:val="18"/>
                <w:szCs w:val="18"/>
              </w:rPr>
            </w:pPr>
          </w:p>
          <w:p w:rsidR="0018327E" w:rsidRPr="00C06FB8" w:rsidRDefault="0018327E" w:rsidP="0018327E">
            <w:pPr>
              <w:pStyle w:val="StylIwony"/>
              <w:spacing w:after="0"/>
              <w:jc w:val="center"/>
              <w:rPr>
                <w:rFonts w:ascii="Calibri" w:hAnsi="Calibri"/>
                <w:sz w:val="18"/>
                <w:szCs w:val="18"/>
              </w:rPr>
            </w:pPr>
            <w:r w:rsidRPr="00C06FB8">
              <w:rPr>
                <w:rFonts w:ascii="Calibri" w:hAnsi="Calibri"/>
                <w:sz w:val="18"/>
                <w:szCs w:val="18"/>
              </w:rPr>
              <w:sym w:font="Symbol" w:char="F0B1"/>
            </w:r>
            <w:r w:rsidRPr="00C06FB8">
              <w:rPr>
                <w:rFonts w:ascii="Calibri" w:hAnsi="Calibri"/>
                <w:sz w:val="18"/>
                <w:szCs w:val="18"/>
              </w:rPr>
              <w:t xml:space="preserve"> 15</w:t>
            </w:r>
          </w:p>
        </w:tc>
      </w:tr>
    </w:tbl>
    <w:p w:rsidR="0018327E" w:rsidRDefault="0018327E" w:rsidP="0018327E"/>
    <w:p w:rsidR="0018327E" w:rsidRPr="00F040CD" w:rsidRDefault="0018327E" w:rsidP="0018327E">
      <w:pPr>
        <w:ind w:left="709"/>
        <w:rPr>
          <w:rFonts w:asciiTheme="minorHAnsi" w:hAnsiTheme="minorHAnsi"/>
        </w:rPr>
      </w:pPr>
      <w:r w:rsidRPr="00F040CD">
        <w:rPr>
          <w:rFonts w:asciiTheme="minorHAnsi" w:hAnsiTheme="minorHAnsi"/>
        </w:rPr>
        <w:t>Tablica 2. Rury stalowe bez szwu ciągnione i walcowane na zimno wg PN-H-74220</w:t>
      </w:r>
    </w:p>
    <w:tbl>
      <w:tblPr>
        <w:tblW w:w="0" w:type="auto"/>
        <w:tblInd w:w="779" w:type="dxa"/>
        <w:tblLayout w:type="fixed"/>
        <w:tblCellMar>
          <w:left w:w="70" w:type="dxa"/>
          <w:right w:w="70" w:type="dxa"/>
        </w:tblCellMar>
        <w:tblLook w:val="0000"/>
      </w:tblPr>
      <w:tblGrid>
        <w:gridCol w:w="1346"/>
        <w:gridCol w:w="1810"/>
        <w:gridCol w:w="2000"/>
        <w:gridCol w:w="1151"/>
        <w:gridCol w:w="1276"/>
      </w:tblGrid>
      <w:tr w:rsidR="0018327E" w:rsidRPr="00C06FB8" w:rsidTr="0018327E">
        <w:tc>
          <w:tcPr>
            <w:tcW w:w="1346" w:type="dxa"/>
            <w:tcBorders>
              <w:top w:val="single" w:sz="6" w:space="0" w:color="auto"/>
              <w:left w:val="single" w:sz="6" w:space="0" w:color="auto"/>
              <w:right w:val="single" w:sz="6" w:space="0" w:color="auto"/>
            </w:tcBorders>
          </w:tcPr>
          <w:p w:rsidR="0018327E" w:rsidRPr="00C06FB8" w:rsidRDefault="0018327E" w:rsidP="0018327E">
            <w:pPr>
              <w:pStyle w:val="StylIwony"/>
              <w:spacing w:before="0" w:after="0"/>
              <w:jc w:val="center"/>
              <w:rPr>
                <w:rFonts w:ascii="Calibri" w:hAnsi="Calibri"/>
                <w:sz w:val="18"/>
                <w:szCs w:val="18"/>
              </w:rPr>
            </w:pPr>
            <w:r w:rsidRPr="00C06FB8">
              <w:rPr>
                <w:rFonts w:ascii="Calibri" w:hAnsi="Calibri"/>
                <w:sz w:val="18"/>
                <w:szCs w:val="18"/>
              </w:rPr>
              <w:t>Średnica</w:t>
            </w:r>
          </w:p>
        </w:tc>
        <w:tc>
          <w:tcPr>
            <w:tcW w:w="1810" w:type="dxa"/>
            <w:tcBorders>
              <w:top w:val="single" w:sz="6" w:space="0" w:color="auto"/>
              <w:left w:val="nil"/>
              <w:right w:val="single" w:sz="6" w:space="0" w:color="auto"/>
            </w:tcBorders>
          </w:tcPr>
          <w:p w:rsidR="0018327E" w:rsidRPr="00C06FB8" w:rsidRDefault="0018327E" w:rsidP="0018327E">
            <w:pPr>
              <w:pStyle w:val="StylIwony"/>
              <w:spacing w:before="0" w:after="0"/>
              <w:jc w:val="center"/>
              <w:rPr>
                <w:rFonts w:ascii="Calibri" w:hAnsi="Calibri"/>
                <w:sz w:val="18"/>
                <w:szCs w:val="18"/>
              </w:rPr>
            </w:pPr>
            <w:r w:rsidRPr="00C06FB8">
              <w:rPr>
                <w:rFonts w:ascii="Calibri" w:hAnsi="Calibri"/>
                <w:sz w:val="18"/>
                <w:szCs w:val="18"/>
              </w:rPr>
              <w:t>Grubość</w:t>
            </w:r>
          </w:p>
        </w:tc>
        <w:tc>
          <w:tcPr>
            <w:tcW w:w="2000" w:type="dxa"/>
            <w:tcBorders>
              <w:top w:val="single" w:sz="6" w:space="0" w:color="auto"/>
              <w:left w:val="nil"/>
            </w:tcBorders>
          </w:tcPr>
          <w:p w:rsidR="0018327E" w:rsidRPr="00C06FB8" w:rsidRDefault="0018327E" w:rsidP="0018327E">
            <w:pPr>
              <w:pStyle w:val="StylIwony"/>
              <w:spacing w:before="0" w:after="0"/>
              <w:jc w:val="center"/>
              <w:rPr>
                <w:rFonts w:ascii="Calibri" w:hAnsi="Calibri"/>
                <w:sz w:val="18"/>
                <w:szCs w:val="18"/>
              </w:rPr>
            </w:pPr>
            <w:r w:rsidRPr="00C06FB8">
              <w:rPr>
                <w:rFonts w:ascii="Calibri" w:hAnsi="Calibri"/>
                <w:sz w:val="18"/>
                <w:szCs w:val="18"/>
              </w:rPr>
              <w:t xml:space="preserve">Masa </w:t>
            </w:r>
          </w:p>
        </w:tc>
        <w:tc>
          <w:tcPr>
            <w:tcW w:w="2427" w:type="dxa"/>
            <w:gridSpan w:val="2"/>
            <w:tcBorders>
              <w:top w:val="single" w:sz="6" w:space="0" w:color="auto"/>
              <w:left w:val="single" w:sz="6" w:space="0" w:color="auto"/>
              <w:bottom w:val="single" w:sz="6" w:space="0" w:color="auto"/>
              <w:right w:val="single" w:sz="6" w:space="0" w:color="auto"/>
            </w:tcBorders>
          </w:tcPr>
          <w:p w:rsidR="0018327E" w:rsidRPr="00C06FB8" w:rsidRDefault="0018327E" w:rsidP="0018327E">
            <w:pPr>
              <w:pStyle w:val="StylIwony"/>
              <w:spacing w:before="0" w:after="0"/>
              <w:jc w:val="center"/>
              <w:rPr>
                <w:rFonts w:ascii="Calibri" w:hAnsi="Calibri"/>
                <w:sz w:val="18"/>
                <w:szCs w:val="18"/>
              </w:rPr>
            </w:pPr>
            <w:r w:rsidRPr="00C06FB8">
              <w:rPr>
                <w:rFonts w:ascii="Calibri" w:hAnsi="Calibri"/>
                <w:sz w:val="18"/>
                <w:szCs w:val="18"/>
              </w:rPr>
              <w:t>Dopuszczalne odchyłki, %</w:t>
            </w:r>
          </w:p>
        </w:tc>
      </w:tr>
      <w:tr w:rsidR="0018327E" w:rsidRPr="00C06FB8" w:rsidTr="0018327E">
        <w:tc>
          <w:tcPr>
            <w:tcW w:w="1346" w:type="dxa"/>
            <w:tcBorders>
              <w:left w:val="single" w:sz="6" w:space="0" w:color="auto"/>
              <w:bottom w:val="double" w:sz="6" w:space="0" w:color="auto"/>
              <w:right w:val="single" w:sz="6" w:space="0" w:color="auto"/>
            </w:tcBorders>
          </w:tcPr>
          <w:p w:rsidR="0018327E" w:rsidRPr="00C06FB8" w:rsidRDefault="0018327E" w:rsidP="0018327E">
            <w:pPr>
              <w:pStyle w:val="StylIwony"/>
              <w:spacing w:before="0" w:after="0"/>
              <w:jc w:val="center"/>
              <w:rPr>
                <w:rFonts w:ascii="Calibri" w:hAnsi="Calibri"/>
                <w:sz w:val="18"/>
                <w:szCs w:val="18"/>
              </w:rPr>
            </w:pPr>
            <w:r w:rsidRPr="00C06FB8">
              <w:rPr>
                <w:rFonts w:ascii="Calibri" w:hAnsi="Calibri"/>
                <w:sz w:val="18"/>
                <w:szCs w:val="18"/>
              </w:rPr>
              <w:t>zewnętrzna</w:t>
            </w:r>
          </w:p>
          <w:p w:rsidR="0018327E" w:rsidRPr="00C06FB8" w:rsidRDefault="0018327E" w:rsidP="0018327E">
            <w:pPr>
              <w:pStyle w:val="StylIwony"/>
              <w:spacing w:before="0" w:after="0"/>
              <w:jc w:val="center"/>
              <w:rPr>
                <w:rFonts w:ascii="Calibri" w:hAnsi="Calibri"/>
                <w:sz w:val="18"/>
                <w:szCs w:val="18"/>
              </w:rPr>
            </w:pPr>
            <w:r w:rsidRPr="00C06FB8">
              <w:rPr>
                <w:rFonts w:ascii="Calibri" w:hAnsi="Calibri"/>
                <w:sz w:val="18"/>
                <w:szCs w:val="18"/>
              </w:rPr>
              <w:t>mm</w:t>
            </w:r>
          </w:p>
        </w:tc>
        <w:tc>
          <w:tcPr>
            <w:tcW w:w="1810" w:type="dxa"/>
            <w:tcBorders>
              <w:left w:val="nil"/>
              <w:bottom w:val="double" w:sz="6" w:space="0" w:color="auto"/>
            </w:tcBorders>
          </w:tcPr>
          <w:p w:rsidR="0018327E" w:rsidRPr="00C06FB8" w:rsidRDefault="0018327E" w:rsidP="0018327E">
            <w:pPr>
              <w:pStyle w:val="StylIwony"/>
              <w:spacing w:before="0" w:after="0"/>
              <w:jc w:val="center"/>
              <w:rPr>
                <w:rFonts w:ascii="Calibri" w:hAnsi="Calibri"/>
                <w:sz w:val="18"/>
                <w:szCs w:val="18"/>
              </w:rPr>
            </w:pPr>
            <w:r w:rsidRPr="00C06FB8">
              <w:rPr>
                <w:rFonts w:ascii="Calibri" w:hAnsi="Calibri"/>
                <w:sz w:val="18"/>
                <w:szCs w:val="18"/>
              </w:rPr>
              <w:t>ścianki</w:t>
            </w:r>
          </w:p>
          <w:p w:rsidR="0018327E" w:rsidRPr="00C06FB8" w:rsidRDefault="0018327E" w:rsidP="0018327E">
            <w:pPr>
              <w:pStyle w:val="StylIwony"/>
              <w:spacing w:before="0" w:after="0"/>
              <w:jc w:val="center"/>
              <w:rPr>
                <w:rFonts w:ascii="Calibri" w:hAnsi="Calibri"/>
                <w:sz w:val="18"/>
                <w:szCs w:val="18"/>
              </w:rPr>
            </w:pPr>
            <w:r w:rsidRPr="00C06FB8">
              <w:rPr>
                <w:rFonts w:ascii="Calibri" w:hAnsi="Calibri"/>
                <w:sz w:val="18"/>
                <w:szCs w:val="18"/>
              </w:rPr>
              <w:t>mm</w:t>
            </w:r>
          </w:p>
        </w:tc>
        <w:tc>
          <w:tcPr>
            <w:tcW w:w="2000" w:type="dxa"/>
            <w:tcBorders>
              <w:left w:val="single" w:sz="6" w:space="0" w:color="auto"/>
              <w:bottom w:val="double" w:sz="6" w:space="0" w:color="auto"/>
            </w:tcBorders>
          </w:tcPr>
          <w:p w:rsidR="0018327E" w:rsidRPr="00C06FB8" w:rsidRDefault="0018327E" w:rsidP="0018327E">
            <w:pPr>
              <w:pStyle w:val="StylIwony"/>
              <w:spacing w:before="0" w:after="0"/>
              <w:jc w:val="center"/>
              <w:rPr>
                <w:rFonts w:ascii="Calibri" w:hAnsi="Calibri"/>
                <w:sz w:val="18"/>
                <w:szCs w:val="18"/>
              </w:rPr>
            </w:pPr>
            <w:r w:rsidRPr="00C06FB8">
              <w:rPr>
                <w:rFonts w:ascii="Calibri" w:hAnsi="Calibri"/>
                <w:sz w:val="18"/>
                <w:szCs w:val="18"/>
              </w:rPr>
              <w:t>1 m rury</w:t>
            </w:r>
          </w:p>
          <w:p w:rsidR="0018327E" w:rsidRPr="00C06FB8" w:rsidRDefault="0018327E" w:rsidP="0018327E">
            <w:pPr>
              <w:pStyle w:val="StylIwony"/>
              <w:spacing w:before="0" w:after="0"/>
              <w:jc w:val="center"/>
              <w:rPr>
                <w:rFonts w:ascii="Calibri" w:hAnsi="Calibri"/>
                <w:sz w:val="18"/>
                <w:szCs w:val="18"/>
              </w:rPr>
            </w:pPr>
            <w:r w:rsidRPr="00C06FB8">
              <w:rPr>
                <w:rFonts w:ascii="Calibri" w:hAnsi="Calibri"/>
                <w:sz w:val="18"/>
                <w:szCs w:val="18"/>
              </w:rPr>
              <w:t>kg/m</w:t>
            </w:r>
          </w:p>
        </w:tc>
        <w:tc>
          <w:tcPr>
            <w:tcW w:w="1151" w:type="dxa"/>
            <w:tcBorders>
              <w:top w:val="single" w:sz="6" w:space="0" w:color="auto"/>
              <w:left w:val="single" w:sz="6" w:space="0" w:color="auto"/>
              <w:bottom w:val="double" w:sz="6" w:space="0" w:color="auto"/>
              <w:right w:val="single" w:sz="6" w:space="0" w:color="auto"/>
            </w:tcBorders>
          </w:tcPr>
          <w:p w:rsidR="0018327E" w:rsidRPr="00C06FB8" w:rsidRDefault="0018327E" w:rsidP="0018327E">
            <w:pPr>
              <w:pStyle w:val="StylIwony"/>
              <w:spacing w:before="0" w:after="0"/>
              <w:jc w:val="center"/>
              <w:rPr>
                <w:rFonts w:ascii="Calibri" w:hAnsi="Calibri"/>
                <w:sz w:val="18"/>
                <w:szCs w:val="18"/>
              </w:rPr>
            </w:pPr>
            <w:r w:rsidRPr="00C06FB8">
              <w:rPr>
                <w:rFonts w:ascii="Calibri" w:hAnsi="Calibri"/>
                <w:sz w:val="18"/>
                <w:szCs w:val="18"/>
              </w:rPr>
              <w:t>Średnica zewnętrzna</w:t>
            </w:r>
          </w:p>
        </w:tc>
        <w:tc>
          <w:tcPr>
            <w:tcW w:w="1276" w:type="dxa"/>
            <w:tcBorders>
              <w:top w:val="single" w:sz="6" w:space="0" w:color="auto"/>
              <w:left w:val="single" w:sz="6" w:space="0" w:color="auto"/>
              <w:bottom w:val="double" w:sz="6" w:space="0" w:color="auto"/>
              <w:right w:val="single" w:sz="6" w:space="0" w:color="auto"/>
            </w:tcBorders>
          </w:tcPr>
          <w:p w:rsidR="0018327E" w:rsidRPr="00C06FB8" w:rsidRDefault="0018327E" w:rsidP="0018327E">
            <w:pPr>
              <w:pStyle w:val="StylIwony"/>
              <w:spacing w:before="0" w:after="0"/>
              <w:jc w:val="center"/>
              <w:rPr>
                <w:rFonts w:ascii="Calibri" w:hAnsi="Calibri"/>
                <w:sz w:val="18"/>
                <w:szCs w:val="18"/>
              </w:rPr>
            </w:pPr>
            <w:r w:rsidRPr="00C06FB8">
              <w:rPr>
                <w:rFonts w:ascii="Calibri" w:hAnsi="Calibri"/>
                <w:sz w:val="18"/>
                <w:szCs w:val="18"/>
              </w:rPr>
              <w:t>Grubość ścianki</w:t>
            </w:r>
          </w:p>
        </w:tc>
      </w:tr>
      <w:tr w:rsidR="0018327E" w:rsidRPr="00C06FB8" w:rsidTr="0018327E">
        <w:tc>
          <w:tcPr>
            <w:tcW w:w="1346" w:type="dxa"/>
            <w:tcBorders>
              <w:left w:val="single" w:sz="6" w:space="0" w:color="auto"/>
              <w:bottom w:val="single" w:sz="6" w:space="0" w:color="auto"/>
              <w:right w:val="single" w:sz="6" w:space="0" w:color="auto"/>
            </w:tcBorders>
          </w:tcPr>
          <w:p w:rsidR="0018327E" w:rsidRPr="00C06FB8" w:rsidRDefault="0018327E" w:rsidP="0018327E">
            <w:pPr>
              <w:pStyle w:val="StylIwony"/>
              <w:spacing w:after="0"/>
              <w:jc w:val="center"/>
              <w:rPr>
                <w:rFonts w:ascii="Calibri" w:hAnsi="Calibri"/>
                <w:sz w:val="18"/>
                <w:szCs w:val="18"/>
              </w:rPr>
            </w:pPr>
            <w:r w:rsidRPr="00C06FB8">
              <w:rPr>
                <w:rFonts w:ascii="Calibri" w:hAnsi="Calibri"/>
                <w:sz w:val="18"/>
                <w:szCs w:val="18"/>
              </w:rPr>
              <w:t>51,0</w:t>
            </w:r>
          </w:p>
          <w:p w:rsidR="0018327E" w:rsidRPr="00C06FB8" w:rsidRDefault="0018327E" w:rsidP="0018327E">
            <w:pPr>
              <w:pStyle w:val="StylIwony"/>
              <w:spacing w:before="0" w:after="0"/>
              <w:jc w:val="center"/>
              <w:rPr>
                <w:rFonts w:ascii="Calibri" w:hAnsi="Calibri"/>
                <w:sz w:val="18"/>
                <w:szCs w:val="18"/>
              </w:rPr>
            </w:pPr>
            <w:r w:rsidRPr="00C06FB8">
              <w:rPr>
                <w:rFonts w:ascii="Calibri" w:hAnsi="Calibri"/>
                <w:sz w:val="18"/>
                <w:szCs w:val="18"/>
              </w:rPr>
              <w:t>54,0</w:t>
            </w:r>
          </w:p>
          <w:p w:rsidR="0018327E" w:rsidRPr="00C06FB8" w:rsidRDefault="0018327E" w:rsidP="0018327E">
            <w:pPr>
              <w:pStyle w:val="StylIwony"/>
              <w:spacing w:before="0" w:after="0"/>
              <w:jc w:val="center"/>
              <w:rPr>
                <w:rFonts w:ascii="Calibri" w:hAnsi="Calibri"/>
                <w:sz w:val="18"/>
                <w:szCs w:val="18"/>
              </w:rPr>
            </w:pPr>
            <w:r w:rsidRPr="00C06FB8">
              <w:rPr>
                <w:rFonts w:ascii="Calibri" w:hAnsi="Calibri"/>
                <w:sz w:val="18"/>
                <w:szCs w:val="18"/>
              </w:rPr>
              <w:t>57,0</w:t>
            </w:r>
          </w:p>
          <w:p w:rsidR="0018327E" w:rsidRPr="00C06FB8" w:rsidRDefault="0018327E" w:rsidP="0018327E">
            <w:pPr>
              <w:pStyle w:val="StylIwony"/>
              <w:spacing w:before="0" w:after="0"/>
              <w:jc w:val="center"/>
              <w:rPr>
                <w:rFonts w:ascii="Calibri" w:hAnsi="Calibri"/>
                <w:sz w:val="18"/>
                <w:szCs w:val="18"/>
              </w:rPr>
            </w:pPr>
            <w:r w:rsidRPr="00C06FB8">
              <w:rPr>
                <w:rFonts w:ascii="Calibri" w:hAnsi="Calibri"/>
                <w:sz w:val="18"/>
                <w:szCs w:val="18"/>
              </w:rPr>
              <w:t>60,3</w:t>
            </w:r>
          </w:p>
          <w:p w:rsidR="0018327E" w:rsidRPr="00C06FB8" w:rsidRDefault="0018327E" w:rsidP="0018327E">
            <w:pPr>
              <w:pStyle w:val="StylIwony"/>
              <w:spacing w:before="0" w:after="0"/>
              <w:jc w:val="center"/>
              <w:rPr>
                <w:rFonts w:ascii="Calibri" w:hAnsi="Calibri"/>
                <w:sz w:val="18"/>
                <w:szCs w:val="18"/>
              </w:rPr>
            </w:pPr>
            <w:r w:rsidRPr="00C06FB8">
              <w:rPr>
                <w:rFonts w:ascii="Calibri" w:hAnsi="Calibri"/>
                <w:sz w:val="18"/>
                <w:szCs w:val="18"/>
              </w:rPr>
              <w:t>63,5</w:t>
            </w:r>
          </w:p>
        </w:tc>
        <w:tc>
          <w:tcPr>
            <w:tcW w:w="1810" w:type="dxa"/>
            <w:tcBorders>
              <w:left w:val="single" w:sz="6" w:space="0" w:color="auto"/>
              <w:bottom w:val="single" w:sz="6" w:space="0" w:color="auto"/>
              <w:right w:val="single" w:sz="6" w:space="0" w:color="auto"/>
            </w:tcBorders>
          </w:tcPr>
          <w:p w:rsidR="0018327E" w:rsidRPr="00C06FB8" w:rsidRDefault="0018327E" w:rsidP="0018327E">
            <w:pPr>
              <w:pStyle w:val="StylIwony"/>
              <w:spacing w:after="0"/>
              <w:jc w:val="center"/>
              <w:rPr>
                <w:rFonts w:ascii="Calibri" w:hAnsi="Calibri"/>
                <w:sz w:val="18"/>
                <w:szCs w:val="18"/>
              </w:rPr>
            </w:pPr>
            <w:r w:rsidRPr="00C06FB8">
              <w:rPr>
                <w:rFonts w:ascii="Calibri" w:hAnsi="Calibri"/>
                <w:sz w:val="18"/>
                <w:szCs w:val="18"/>
              </w:rPr>
              <w:t>od 2,9 do 5,6</w:t>
            </w:r>
          </w:p>
          <w:p w:rsidR="0018327E" w:rsidRPr="00C06FB8" w:rsidRDefault="0018327E" w:rsidP="0018327E">
            <w:pPr>
              <w:pStyle w:val="StylIwony"/>
              <w:spacing w:before="0" w:after="0"/>
              <w:jc w:val="center"/>
              <w:rPr>
                <w:rFonts w:ascii="Calibri" w:hAnsi="Calibri"/>
                <w:sz w:val="18"/>
                <w:szCs w:val="18"/>
              </w:rPr>
            </w:pPr>
            <w:r w:rsidRPr="00C06FB8">
              <w:rPr>
                <w:rFonts w:ascii="Calibri" w:hAnsi="Calibri"/>
                <w:sz w:val="18"/>
                <w:szCs w:val="18"/>
              </w:rPr>
              <w:t>od 2,9 do 8,0</w:t>
            </w:r>
          </w:p>
          <w:p w:rsidR="0018327E" w:rsidRPr="00C06FB8" w:rsidRDefault="0018327E" w:rsidP="0018327E">
            <w:pPr>
              <w:pStyle w:val="StylIwony"/>
              <w:spacing w:before="0" w:after="0"/>
              <w:jc w:val="center"/>
              <w:rPr>
                <w:rFonts w:ascii="Calibri" w:hAnsi="Calibri"/>
                <w:sz w:val="18"/>
                <w:szCs w:val="18"/>
              </w:rPr>
            </w:pPr>
            <w:r w:rsidRPr="00C06FB8">
              <w:rPr>
                <w:rFonts w:ascii="Calibri" w:hAnsi="Calibri"/>
                <w:sz w:val="18"/>
                <w:szCs w:val="18"/>
              </w:rPr>
              <w:t xml:space="preserve">  od 2,9 do 10,0</w:t>
            </w:r>
          </w:p>
          <w:p w:rsidR="0018327E" w:rsidRPr="00C06FB8" w:rsidRDefault="0018327E" w:rsidP="0018327E">
            <w:pPr>
              <w:pStyle w:val="StylIwony"/>
              <w:spacing w:before="0" w:after="0"/>
              <w:jc w:val="center"/>
              <w:rPr>
                <w:rFonts w:ascii="Calibri" w:hAnsi="Calibri"/>
                <w:sz w:val="18"/>
                <w:szCs w:val="18"/>
              </w:rPr>
            </w:pPr>
            <w:r w:rsidRPr="00C06FB8">
              <w:rPr>
                <w:rFonts w:ascii="Calibri" w:hAnsi="Calibri"/>
                <w:sz w:val="18"/>
                <w:szCs w:val="18"/>
              </w:rPr>
              <w:t xml:space="preserve">  od 7,1 do 10,0</w:t>
            </w:r>
          </w:p>
          <w:p w:rsidR="0018327E" w:rsidRPr="00C06FB8" w:rsidRDefault="0018327E" w:rsidP="0018327E">
            <w:pPr>
              <w:pStyle w:val="StylIwony"/>
              <w:spacing w:before="0" w:after="0"/>
              <w:jc w:val="center"/>
              <w:rPr>
                <w:rFonts w:ascii="Calibri" w:hAnsi="Calibri"/>
                <w:sz w:val="18"/>
                <w:szCs w:val="18"/>
              </w:rPr>
            </w:pPr>
            <w:r w:rsidRPr="00C06FB8">
              <w:rPr>
                <w:rFonts w:ascii="Calibri" w:hAnsi="Calibri"/>
                <w:sz w:val="18"/>
                <w:szCs w:val="18"/>
              </w:rPr>
              <w:t xml:space="preserve">  od 7,1 do 10,0</w:t>
            </w:r>
          </w:p>
        </w:tc>
        <w:tc>
          <w:tcPr>
            <w:tcW w:w="2000" w:type="dxa"/>
            <w:tcBorders>
              <w:left w:val="single" w:sz="6" w:space="0" w:color="auto"/>
              <w:bottom w:val="single" w:sz="6" w:space="0" w:color="auto"/>
            </w:tcBorders>
          </w:tcPr>
          <w:p w:rsidR="0018327E" w:rsidRPr="00C06FB8" w:rsidRDefault="0018327E" w:rsidP="0018327E">
            <w:pPr>
              <w:pStyle w:val="StylIwony"/>
              <w:spacing w:after="0"/>
              <w:jc w:val="center"/>
              <w:rPr>
                <w:rFonts w:ascii="Calibri" w:hAnsi="Calibri"/>
                <w:sz w:val="18"/>
                <w:szCs w:val="18"/>
              </w:rPr>
            </w:pPr>
            <w:r w:rsidRPr="00C06FB8">
              <w:rPr>
                <w:rFonts w:ascii="Calibri" w:hAnsi="Calibri"/>
                <w:sz w:val="18"/>
                <w:szCs w:val="18"/>
              </w:rPr>
              <w:t>od 3,44 do 6,27</w:t>
            </w:r>
          </w:p>
          <w:p w:rsidR="0018327E" w:rsidRPr="00C06FB8" w:rsidRDefault="0018327E" w:rsidP="0018327E">
            <w:pPr>
              <w:pStyle w:val="StylIwony"/>
              <w:spacing w:before="0" w:after="0"/>
              <w:jc w:val="center"/>
              <w:rPr>
                <w:rFonts w:ascii="Calibri" w:hAnsi="Calibri"/>
                <w:sz w:val="18"/>
                <w:szCs w:val="18"/>
              </w:rPr>
            </w:pPr>
            <w:r w:rsidRPr="00C06FB8">
              <w:rPr>
                <w:rFonts w:ascii="Calibri" w:hAnsi="Calibri"/>
                <w:sz w:val="18"/>
                <w:szCs w:val="18"/>
              </w:rPr>
              <w:t>od 3,65 do 9,04</w:t>
            </w:r>
          </w:p>
          <w:p w:rsidR="0018327E" w:rsidRPr="00C06FB8" w:rsidRDefault="0018327E" w:rsidP="0018327E">
            <w:pPr>
              <w:pStyle w:val="StylIwony"/>
              <w:spacing w:before="0" w:after="0"/>
              <w:jc w:val="center"/>
              <w:rPr>
                <w:rFonts w:ascii="Calibri" w:hAnsi="Calibri"/>
                <w:sz w:val="18"/>
                <w:szCs w:val="18"/>
              </w:rPr>
            </w:pPr>
            <w:r w:rsidRPr="00C06FB8">
              <w:rPr>
                <w:rFonts w:ascii="Calibri" w:hAnsi="Calibri"/>
                <w:sz w:val="18"/>
                <w:szCs w:val="18"/>
              </w:rPr>
              <w:t xml:space="preserve">  od 3,87 do 11,60</w:t>
            </w:r>
          </w:p>
          <w:p w:rsidR="0018327E" w:rsidRPr="00C06FB8" w:rsidRDefault="0018327E" w:rsidP="0018327E">
            <w:pPr>
              <w:pStyle w:val="StylIwony"/>
              <w:spacing w:before="0" w:after="0"/>
              <w:jc w:val="center"/>
              <w:rPr>
                <w:rFonts w:ascii="Calibri" w:hAnsi="Calibri"/>
                <w:sz w:val="18"/>
                <w:szCs w:val="18"/>
              </w:rPr>
            </w:pPr>
            <w:r w:rsidRPr="00C06FB8">
              <w:rPr>
                <w:rFonts w:ascii="Calibri" w:hAnsi="Calibri"/>
                <w:sz w:val="18"/>
                <w:szCs w:val="18"/>
              </w:rPr>
              <w:t xml:space="preserve">  od 9,34 do 12,40</w:t>
            </w:r>
          </w:p>
          <w:p w:rsidR="0018327E" w:rsidRPr="00C06FB8" w:rsidRDefault="0018327E" w:rsidP="0018327E">
            <w:pPr>
              <w:pStyle w:val="StylIwony"/>
              <w:spacing w:before="0"/>
              <w:jc w:val="center"/>
              <w:rPr>
                <w:rFonts w:ascii="Calibri" w:hAnsi="Calibri"/>
                <w:sz w:val="18"/>
                <w:szCs w:val="18"/>
              </w:rPr>
            </w:pPr>
            <w:r w:rsidRPr="00C06FB8">
              <w:rPr>
                <w:rFonts w:ascii="Calibri" w:hAnsi="Calibri"/>
                <w:sz w:val="18"/>
                <w:szCs w:val="18"/>
              </w:rPr>
              <w:t xml:space="preserve">  od 9,90 do 13,20</w:t>
            </w:r>
          </w:p>
        </w:tc>
        <w:tc>
          <w:tcPr>
            <w:tcW w:w="1151" w:type="dxa"/>
            <w:tcBorders>
              <w:left w:val="single" w:sz="6" w:space="0" w:color="auto"/>
              <w:bottom w:val="single" w:sz="6" w:space="0" w:color="auto"/>
              <w:right w:val="single" w:sz="6" w:space="0" w:color="auto"/>
            </w:tcBorders>
          </w:tcPr>
          <w:p w:rsidR="0018327E" w:rsidRPr="00C06FB8" w:rsidRDefault="0018327E" w:rsidP="0018327E">
            <w:pPr>
              <w:pStyle w:val="StylIwony"/>
              <w:spacing w:before="0" w:after="0"/>
              <w:jc w:val="center"/>
              <w:rPr>
                <w:rFonts w:ascii="Calibri" w:hAnsi="Calibri"/>
                <w:sz w:val="18"/>
                <w:szCs w:val="18"/>
              </w:rPr>
            </w:pPr>
          </w:p>
          <w:p w:rsidR="0018327E" w:rsidRPr="00C06FB8" w:rsidRDefault="0018327E" w:rsidP="0018327E">
            <w:pPr>
              <w:pStyle w:val="StylIwony"/>
              <w:spacing w:before="0" w:after="0"/>
              <w:jc w:val="center"/>
              <w:rPr>
                <w:rFonts w:ascii="Calibri" w:hAnsi="Calibri"/>
                <w:sz w:val="18"/>
                <w:szCs w:val="18"/>
              </w:rPr>
            </w:pPr>
          </w:p>
          <w:p w:rsidR="0018327E" w:rsidRPr="00C06FB8" w:rsidRDefault="0018327E" w:rsidP="0018327E">
            <w:pPr>
              <w:pStyle w:val="StylIwony"/>
              <w:spacing w:after="0"/>
              <w:jc w:val="center"/>
              <w:rPr>
                <w:rFonts w:ascii="Calibri" w:hAnsi="Calibri"/>
                <w:sz w:val="18"/>
                <w:szCs w:val="18"/>
              </w:rPr>
            </w:pPr>
            <w:r w:rsidRPr="00C06FB8">
              <w:rPr>
                <w:rFonts w:ascii="Calibri" w:hAnsi="Calibri"/>
                <w:sz w:val="18"/>
                <w:szCs w:val="18"/>
              </w:rPr>
              <w:sym w:font="Symbol" w:char="F0B1"/>
            </w:r>
            <w:r w:rsidRPr="00C06FB8">
              <w:rPr>
                <w:rFonts w:ascii="Calibri" w:hAnsi="Calibri"/>
                <w:sz w:val="18"/>
                <w:szCs w:val="18"/>
              </w:rPr>
              <w:t xml:space="preserve"> 1,0</w:t>
            </w:r>
          </w:p>
        </w:tc>
        <w:tc>
          <w:tcPr>
            <w:tcW w:w="1276" w:type="dxa"/>
            <w:tcBorders>
              <w:left w:val="single" w:sz="6" w:space="0" w:color="auto"/>
              <w:bottom w:val="single" w:sz="6" w:space="0" w:color="auto"/>
              <w:right w:val="single" w:sz="6" w:space="0" w:color="auto"/>
            </w:tcBorders>
          </w:tcPr>
          <w:p w:rsidR="0018327E" w:rsidRPr="00C06FB8" w:rsidRDefault="0018327E" w:rsidP="0018327E">
            <w:pPr>
              <w:pStyle w:val="StylIwony"/>
              <w:spacing w:before="0" w:after="0"/>
              <w:jc w:val="center"/>
              <w:rPr>
                <w:rFonts w:ascii="Calibri" w:hAnsi="Calibri"/>
                <w:sz w:val="18"/>
                <w:szCs w:val="18"/>
              </w:rPr>
            </w:pPr>
          </w:p>
          <w:p w:rsidR="0018327E" w:rsidRPr="00C06FB8" w:rsidRDefault="0018327E" w:rsidP="0018327E">
            <w:pPr>
              <w:pStyle w:val="StylIwony"/>
              <w:spacing w:before="0" w:after="0"/>
              <w:jc w:val="center"/>
              <w:rPr>
                <w:rFonts w:ascii="Calibri" w:hAnsi="Calibri"/>
                <w:sz w:val="18"/>
                <w:szCs w:val="18"/>
              </w:rPr>
            </w:pPr>
          </w:p>
          <w:p w:rsidR="0018327E" w:rsidRPr="00C06FB8" w:rsidRDefault="0018327E" w:rsidP="0018327E">
            <w:pPr>
              <w:pStyle w:val="StylIwony"/>
              <w:spacing w:after="0"/>
              <w:jc w:val="center"/>
              <w:rPr>
                <w:rFonts w:ascii="Calibri" w:hAnsi="Calibri"/>
                <w:sz w:val="18"/>
                <w:szCs w:val="18"/>
              </w:rPr>
            </w:pPr>
            <w:r w:rsidRPr="00C06FB8">
              <w:rPr>
                <w:rFonts w:ascii="Calibri" w:hAnsi="Calibri"/>
                <w:sz w:val="18"/>
                <w:szCs w:val="18"/>
              </w:rPr>
              <w:sym w:font="Symbol" w:char="F0B1"/>
            </w:r>
            <w:r w:rsidRPr="00C06FB8">
              <w:rPr>
                <w:rFonts w:ascii="Calibri" w:hAnsi="Calibri"/>
                <w:sz w:val="18"/>
                <w:szCs w:val="18"/>
              </w:rPr>
              <w:t xml:space="preserve"> 15</w:t>
            </w:r>
          </w:p>
        </w:tc>
      </w:tr>
    </w:tbl>
    <w:p w:rsidR="0018327E" w:rsidRPr="00C06FB8" w:rsidRDefault="0018327E" w:rsidP="0018327E">
      <w:pPr>
        <w:rPr>
          <w:rFonts w:ascii="Calibri" w:hAnsi="Calibri"/>
        </w:rPr>
      </w:pPr>
    </w:p>
    <w:p w:rsidR="0018327E" w:rsidRPr="00C06FB8" w:rsidRDefault="0018327E" w:rsidP="0018327E">
      <w:pPr>
        <w:ind w:left="709"/>
        <w:rPr>
          <w:rFonts w:ascii="Calibri" w:hAnsi="Calibri"/>
        </w:rPr>
      </w:pPr>
      <w:r w:rsidRPr="00C06FB8">
        <w:rPr>
          <w:rFonts w:asciiTheme="minorHAnsi" w:hAnsiTheme="minorHAnsi"/>
        </w:rPr>
        <w:t>Tablica 3</w:t>
      </w:r>
      <w:r w:rsidRPr="00C06FB8">
        <w:rPr>
          <w:rFonts w:ascii="Calibri" w:hAnsi="Calibri"/>
        </w:rPr>
        <w:t xml:space="preserve">. Kątowniki </w:t>
      </w:r>
      <w:r w:rsidRPr="00C06FB8">
        <w:rPr>
          <w:rFonts w:asciiTheme="minorHAnsi" w:hAnsiTheme="minorHAnsi"/>
        </w:rPr>
        <w:t>równoramienne wg PN-H-93401</w:t>
      </w:r>
    </w:p>
    <w:tbl>
      <w:tblPr>
        <w:tblW w:w="0" w:type="auto"/>
        <w:tblInd w:w="779" w:type="dxa"/>
        <w:tblLayout w:type="fixed"/>
        <w:tblCellMar>
          <w:left w:w="70" w:type="dxa"/>
          <w:right w:w="70" w:type="dxa"/>
        </w:tblCellMar>
        <w:tblLook w:val="0000"/>
      </w:tblPr>
      <w:tblGrid>
        <w:gridCol w:w="1204"/>
        <w:gridCol w:w="1276"/>
        <w:gridCol w:w="1701"/>
        <w:gridCol w:w="1620"/>
        <w:gridCol w:w="1782"/>
      </w:tblGrid>
      <w:tr w:rsidR="0018327E" w:rsidRPr="00C06FB8" w:rsidTr="0018327E">
        <w:tc>
          <w:tcPr>
            <w:tcW w:w="1204" w:type="dxa"/>
            <w:tcBorders>
              <w:top w:val="single" w:sz="6" w:space="0" w:color="auto"/>
              <w:left w:val="single" w:sz="6" w:space="0" w:color="auto"/>
            </w:tcBorders>
          </w:tcPr>
          <w:p w:rsidR="0018327E" w:rsidRPr="00C06FB8" w:rsidRDefault="0018327E" w:rsidP="0018327E">
            <w:pPr>
              <w:pStyle w:val="StylIwony"/>
              <w:spacing w:before="0" w:after="0"/>
              <w:jc w:val="center"/>
              <w:rPr>
                <w:rFonts w:ascii="Calibri" w:hAnsi="Calibri"/>
                <w:sz w:val="18"/>
                <w:szCs w:val="18"/>
              </w:rPr>
            </w:pPr>
            <w:r w:rsidRPr="00C06FB8">
              <w:rPr>
                <w:rFonts w:ascii="Calibri" w:hAnsi="Calibri"/>
                <w:sz w:val="18"/>
                <w:szCs w:val="18"/>
              </w:rPr>
              <w:t>Wymiary</w:t>
            </w:r>
          </w:p>
        </w:tc>
        <w:tc>
          <w:tcPr>
            <w:tcW w:w="1276" w:type="dxa"/>
            <w:tcBorders>
              <w:top w:val="single" w:sz="6" w:space="0" w:color="auto"/>
              <w:left w:val="single" w:sz="6" w:space="0" w:color="auto"/>
            </w:tcBorders>
          </w:tcPr>
          <w:p w:rsidR="0018327E" w:rsidRPr="00C06FB8" w:rsidRDefault="0018327E" w:rsidP="0018327E">
            <w:pPr>
              <w:pStyle w:val="StylIwony"/>
              <w:spacing w:before="0" w:after="0"/>
              <w:jc w:val="center"/>
              <w:rPr>
                <w:rFonts w:ascii="Calibri" w:hAnsi="Calibri"/>
                <w:sz w:val="18"/>
                <w:szCs w:val="18"/>
              </w:rPr>
            </w:pPr>
            <w:r w:rsidRPr="00C06FB8">
              <w:rPr>
                <w:rFonts w:ascii="Calibri" w:hAnsi="Calibri"/>
                <w:sz w:val="18"/>
                <w:szCs w:val="18"/>
              </w:rPr>
              <w:t>Grubość</w:t>
            </w:r>
          </w:p>
        </w:tc>
        <w:tc>
          <w:tcPr>
            <w:tcW w:w="1701" w:type="dxa"/>
            <w:tcBorders>
              <w:top w:val="single" w:sz="6" w:space="0" w:color="auto"/>
              <w:left w:val="single" w:sz="6" w:space="0" w:color="auto"/>
            </w:tcBorders>
          </w:tcPr>
          <w:p w:rsidR="0018327E" w:rsidRPr="00C06FB8" w:rsidRDefault="0018327E" w:rsidP="0018327E">
            <w:pPr>
              <w:pStyle w:val="StylIwony"/>
              <w:spacing w:before="0" w:after="0"/>
              <w:jc w:val="center"/>
              <w:rPr>
                <w:rFonts w:ascii="Calibri" w:hAnsi="Calibri"/>
                <w:sz w:val="18"/>
                <w:szCs w:val="18"/>
              </w:rPr>
            </w:pPr>
            <w:r w:rsidRPr="00C06FB8">
              <w:rPr>
                <w:rFonts w:ascii="Calibri" w:hAnsi="Calibri"/>
                <w:sz w:val="18"/>
                <w:szCs w:val="18"/>
              </w:rPr>
              <w:t>Masa 1 m</w:t>
            </w:r>
          </w:p>
        </w:tc>
        <w:tc>
          <w:tcPr>
            <w:tcW w:w="3402" w:type="dxa"/>
            <w:gridSpan w:val="2"/>
            <w:tcBorders>
              <w:top w:val="single" w:sz="6" w:space="0" w:color="auto"/>
              <w:left w:val="single" w:sz="6" w:space="0" w:color="auto"/>
              <w:bottom w:val="single" w:sz="6" w:space="0" w:color="auto"/>
              <w:right w:val="single" w:sz="6" w:space="0" w:color="auto"/>
            </w:tcBorders>
          </w:tcPr>
          <w:p w:rsidR="0018327E" w:rsidRPr="00C06FB8" w:rsidRDefault="0018327E" w:rsidP="0018327E">
            <w:pPr>
              <w:pStyle w:val="StylIwony"/>
              <w:spacing w:before="0" w:after="0"/>
              <w:jc w:val="center"/>
              <w:rPr>
                <w:rFonts w:ascii="Calibri" w:hAnsi="Calibri"/>
                <w:sz w:val="18"/>
                <w:szCs w:val="18"/>
              </w:rPr>
            </w:pPr>
            <w:r w:rsidRPr="00C06FB8">
              <w:rPr>
                <w:rFonts w:ascii="Calibri" w:hAnsi="Calibri"/>
                <w:sz w:val="18"/>
                <w:szCs w:val="18"/>
              </w:rPr>
              <w:t>Dopuszczalne odchyłki  mm</w:t>
            </w:r>
          </w:p>
        </w:tc>
      </w:tr>
      <w:tr w:rsidR="0018327E" w:rsidRPr="00C06FB8" w:rsidTr="0018327E">
        <w:tc>
          <w:tcPr>
            <w:tcW w:w="1204" w:type="dxa"/>
            <w:tcBorders>
              <w:left w:val="single" w:sz="6" w:space="0" w:color="auto"/>
              <w:bottom w:val="double" w:sz="6" w:space="0" w:color="auto"/>
              <w:right w:val="single" w:sz="6" w:space="0" w:color="auto"/>
            </w:tcBorders>
          </w:tcPr>
          <w:p w:rsidR="0018327E" w:rsidRPr="00C06FB8" w:rsidRDefault="0018327E" w:rsidP="0018327E">
            <w:pPr>
              <w:pStyle w:val="StylIwony"/>
              <w:spacing w:before="0" w:after="0"/>
              <w:jc w:val="center"/>
              <w:rPr>
                <w:rFonts w:ascii="Calibri" w:hAnsi="Calibri"/>
                <w:sz w:val="18"/>
                <w:szCs w:val="18"/>
              </w:rPr>
            </w:pPr>
            <w:r w:rsidRPr="00C06FB8">
              <w:rPr>
                <w:rFonts w:ascii="Calibri" w:hAnsi="Calibri"/>
                <w:sz w:val="18"/>
                <w:szCs w:val="18"/>
              </w:rPr>
              <w:t>ramion</w:t>
            </w:r>
          </w:p>
          <w:p w:rsidR="0018327E" w:rsidRPr="00C06FB8" w:rsidRDefault="0018327E" w:rsidP="0018327E">
            <w:pPr>
              <w:pStyle w:val="StylIwony"/>
              <w:spacing w:before="0" w:after="0"/>
              <w:jc w:val="center"/>
              <w:rPr>
                <w:rFonts w:ascii="Calibri" w:hAnsi="Calibri"/>
                <w:sz w:val="18"/>
                <w:szCs w:val="18"/>
              </w:rPr>
            </w:pPr>
            <w:r w:rsidRPr="00C06FB8">
              <w:rPr>
                <w:rFonts w:ascii="Calibri" w:hAnsi="Calibri"/>
                <w:sz w:val="18"/>
                <w:szCs w:val="18"/>
              </w:rPr>
              <w:t>mm</w:t>
            </w:r>
          </w:p>
        </w:tc>
        <w:tc>
          <w:tcPr>
            <w:tcW w:w="1276" w:type="dxa"/>
            <w:tcBorders>
              <w:left w:val="nil"/>
              <w:bottom w:val="double" w:sz="6" w:space="0" w:color="auto"/>
              <w:right w:val="single" w:sz="6" w:space="0" w:color="auto"/>
            </w:tcBorders>
          </w:tcPr>
          <w:p w:rsidR="0018327E" w:rsidRPr="00C06FB8" w:rsidRDefault="0018327E" w:rsidP="0018327E">
            <w:pPr>
              <w:pStyle w:val="StylIwony"/>
              <w:spacing w:before="0" w:after="0"/>
              <w:jc w:val="center"/>
              <w:rPr>
                <w:rFonts w:ascii="Calibri" w:hAnsi="Calibri"/>
                <w:sz w:val="18"/>
                <w:szCs w:val="18"/>
              </w:rPr>
            </w:pPr>
            <w:r w:rsidRPr="00C06FB8">
              <w:rPr>
                <w:rFonts w:ascii="Calibri" w:hAnsi="Calibri"/>
                <w:sz w:val="18"/>
                <w:szCs w:val="18"/>
              </w:rPr>
              <w:t>ramienia</w:t>
            </w:r>
          </w:p>
          <w:p w:rsidR="0018327E" w:rsidRPr="00C06FB8" w:rsidRDefault="0018327E" w:rsidP="0018327E">
            <w:pPr>
              <w:pStyle w:val="StylIwony"/>
              <w:spacing w:before="0" w:after="0"/>
              <w:jc w:val="center"/>
              <w:rPr>
                <w:rFonts w:ascii="Calibri" w:hAnsi="Calibri"/>
                <w:sz w:val="18"/>
                <w:szCs w:val="18"/>
              </w:rPr>
            </w:pPr>
            <w:r w:rsidRPr="00C06FB8">
              <w:rPr>
                <w:rFonts w:ascii="Calibri" w:hAnsi="Calibri"/>
                <w:sz w:val="18"/>
                <w:szCs w:val="18"/>
              </w:rPr>
              <w:t>mm</w:t>
            </w:r>
          </w:p>
        </w:tc>
        <w:tc>
          <w:tcPr>
            <w:tcW w:w="1701" w:type="dxa"/>
            <w:tcBorders>
              <w:left w:val="nil"/>
              <w:bottom w:val="double" w:sz="6" w:space="0" w:color="auto"/>
            </w:tcBorders>
          </w:tcPr>
          <w:p w:rsidR="0018327E" w:rsidRPr="00C06FB8" w:rsidRDefault="0018327E" w:rsidP="0018327E">
            <w:pPr>
              <w:pStyle w:val="StylIwony"/>
              <w:spacing w:before="0" w:after="0"/>
              <w:jc w:val="center"/>
              <w:rPr>
                <w:rFonts w:ascii="Calibri" w:hAnsi="Calibri"/>
                <w:sz w:val="18"/>
                <w:szCs w:val="18"/>
              </w:rPr>
            </w:pPr>
            <w:r w:rsidRPr="00C06FB8">
              <w:rPr>
                <w:rFonts w:ascii="Calibri" w:hAnsi="Calibri"/>
                <w:sz w:val="18"/>
                <w:szCs w:val="18"/>
              </w:rPr>
              <w:t>kątownika</w:t>
            </w:r>
          </w:p>
          <w:p w:rsidR="0018327E" w:rsidRPr="00C06FB8" w:rsidRDefault="0018327E" w:rsidP="0018327E">
            <w:pPr>
              <w:pStyle w:val="StylIwony"/>
              <w:spacing w:before="0" w:after="0"/>
              <w:jc w:val="center"/>
              <w:rPr>
                <w:rFonts w:ascii="Calibri" w:hAnsi="Calibri"/>
                <w:sz w:val="18"/>
                <w:szCs w:val="18"/>
              </w:rPr>
            </w:pPr>
            <w:r w:rsidRPr="00C06FB8">
              <w:rPr>
                <w:rFonts w:ascii="Calibri" w:hAnsi="Calibri"/>
                <w:sz w:val="18"/>
                <w:szCs w:val="18"/>
              </w:rPr>
              <w:t>kg/m</w:t>
            </w:r>
          </w:p>
        </w:tc>
        <w:tc>
          <w:tcPr>
            <w:tcW w:w="1620" w:type="dxa"/>
            <w:tcBorders>
              <w:top w:val="single" w:sz="6" w:space="0" w:color="auto"/>
              <w:left w:val="single" w:sz="6" w:space="0" w:color="auto"/>
              <w:bottom w:val="double" w:sz="6" w:space="0" w:color="auto"/>
              <w:right w:val="single" w:sz="6" w:space="0" w:color="auto"/>
            </w:tcBorders>
          </w:tcPr>
          <w:p w:rsidR="0018327E" w:rsidRPr="00C06FB8" w:rsidRDefault="0018327E" w:rsidP="0018327E">
            <w:pPr>
              <w:pStyle w:val="StylIwony"/>
              <w:spacing w:after="0"/>
              <w:jc w:val="center"/>
              <w:rPr>
                <w:rFonts w:ascii="Calibri" w:hAnsi="Calibri"/>
                <w:sz w:val="18"/>
                <w:szCs w:val="18"/>
              </w:rPr>
            </w:pPr>
            <w:r w:rsidRPr="00C06FB8">
              <w:rPr>
                <w:rFonts w:ascii="Calibri" w:hAnsi="Calibri"/>
                <w:sz w:val="18"/>
                <w:szCs w:val="18"/>
              </w:rPr>
              <w:t>długości ramienia</w:t>
            </w:r>
          </w:p>
        </w:tc>
        <w:tc>
          <w:tcPr>
            <w:tcW w:w="1782" w:type="dxa"/>
            <w:tcBorders>
              <w:top w:val="single" w:sz="6" w:space="0" w:color="auto"/>
              <w:left w:val="single" w:sz="6" w:space="0" w:color="auto"/>
              <w:bottom w:val="double" w:sz="6" w:space="0" w:color="auto"/>
              <w:right w:val="single" w:sz="6" w:space="0" w:color="auto"/>
            </w:tcBorders>
          </w:tcPr>
          <w:p w:rsidR="0018327E" w:rsidRPr="00C06FB8" w:rsidRDefault="0018327E" w:rsidP="0018327E">
            <w:pPr>
              <w:pStyle w:val="StylIwony"/>
              <w:spacing w:after="0"/>
              <w:jc w:val="center"/>
              <w:rPr>
                <w:rFonts w:ascii="Calibri" w:hAnsi="Calibri"/>
                <w:sz w:val="18"/>
                <w:szCs w:val="18"/>
              </w:rPr>
            </w:pPr>
            <w:r w:rsidRPr="00C06FB8">
              <w:rPr>
                <w:rFonts w:ascii="Calibri" w:hAnsi="Calibri"/>
                <w:sz w:val="18"/>
                <w:szCs w:val="18"/>
              </w:rPr>
              <w:t>grubości ramion</w:t>
            </w:r>
          </w:p>
        </w:tc>
      </w:tr>
      <w:tr w:rsidR="0018327E" w:rsidRPr="00C06FB8" w:rsidTr="0018327E">
        <w:tc>
          <w:tcPr>
            <w:tcW w:w="1204" w:type="dxa"/>
            <w:tcBorders>
              <w:left w:val="single" w:sz="6" w:space="0" w:color="auto"/>
              <w:bottom w:val="single" w:sz="6" w:space="0" w:color="auto"/>
              <w:right w:val="single" w:sz="6" w:space="0" w:color="auto"/>
            </w:tcBorders>
          </w:tcPr>
          <w:p w:rsidR="0018327E" w:rsidRPr="00C06FB8" w:rsidRDefault="0018327E" w:rsidP="0018327E">
            <w:pPr>
              <w:pStyle w:val="StylIwony"/>
              <w:spacing w:before="0" w:after="0"/>
              <w:jc w:val="center"/>
              <w:rPr>
                <w:rFonts w:ascii="Calibri" w:hAnsi="Calibri"/>
                <w:sz w:val="18"/>
                <w:szCs w:val="18"/>
              </w:rPr>
            </w:pPr>
          </w:p>
          <w:p w:rsidR="0018327E" w:rsidRPr="00C06FB8" w:rsidRDefault="0018327E" w:rsidP="0018327E">
            <w:pPr>
              <w:pStyle w:val="StylIwony"/>
              <w:spacing w:before="0" w:after="0"/>
              <w:jc w:val="center"/>
              <w:rPr>
                <w:rFonts w:ascii="Calibri" w:hAnsi="Calibri"/>
                <w:sz w:val="18"/>
                <w:szCs w:val="18"/>
              </w:rPr>
            </w:pPr>
            <w:r w:rsidRPr="00C06FB8">
              <w:rPr>
                <w:rFonts w:ascii="Calibri" w:hAnsi="Calibri"/>
                <w:sz w:val="18"/>
                <w:szCs w:val="18"/>
              </w:rPr>
              <w:t>40 x 40</w:t>
            </w:r>
          </w:p>
          <w:p w:rsidR="0018327E" w:rsidRPr="00C06FB8" w:rsidRDefault="0018327E" w:rsidP="0018327E">
            <w:pPr>
              <w:pStyle w:val="StylIwony"/>
              <w:spacing w:before="0" w:after="0"/>
              <w:jc w:val="center"/>
              <w:rPr>
                <w:rFonts w:ascii="Calibri" w:hAnsi="Calibri"/>
                <w:sz w:val="18"/>
                <w:szCs w:val="18"/>
              </w:rPr>
            </w:pPr>
            <w:r w:rsidRPr="00C06FB8">
              <w:rPr>
                <w:rFonts w:ascii="Calibri" w:hAnsi="Calibri"/>
                <w:sz w:val="18"/>
                <w:szCs w:val="18"/>
              </w:rPr>
              <w:t>45 x 45</w:t>
            </w:r>
          </w:p>
          <w:p w:rsidR="0018327E" w:rsidRPr="00C06FB8" w:rsidRDefault="0018327E" w:rsidP="0018327E">
            <w:pPr>
              <w:pStyle w:val="StylIwony"/>
              <w:spacing w:before="0" w:after="0"/>
              <w:jc w:val="center"/>
              <w:rPr>
                <w:rFonts w:ascii="Calibri" w:hAnsi="Calibri"/>
                <w:sz w:val="18"/>
                <w:szCs w:val="18"/>
              </w:rPr>
            </w:pPr>
            <w:r w:rsidRPr="00C06FB8">
              <w:rPr>
                <w:rFonts w:ascii="Calibri" w:hAnsi="Calibri"/>
                <w:sz w:val="18"/>
                <w:szCs w:val="18"/>
              </w:rPr>
              <w:t>50 x 50</w:t>
            </w:r>
          </w:p>
          <w:p w:rsidR="0018327E" w:rsidRPr="00C06FB8" w:rsidRDefault="0018327E" w:rsidP="0018327E">
            <w:pPr>
              <w:pStyle w:val="StylIwony"/>
              <w:spacing w:before="0" w:after="0"/>
              <w:jc w:val="center"/>
              <w:rPr>
                <w:rFonts w:ascii="Calibri" w:hAnsi="Calibri"/>
                <w:sz w:val="18"/>
                <w:szCs w:val="18"/>
              </w:rPr>
            </w:pPr>
            <w:r w:rsidRPr="00C06FB8">
              <w:rPr>
                <w:rFonts w:ascii="Calibri" w:hAnsi="Calibri"/>
                <w:sz w:val="18"/>
                <w:szCs w:val="18"/>
              </w:rPr>
              <w:t>60 x 60</w:t>
            </w:r>
          </w:p>
          <w:p w:rsidR="0018327E" w:rsidRPr="00C06FB8" w:rsidRDefault="0018327E" w:rsidP="0018327E">
            <w:pPr>
              <w:pStyle w:val="StylIwony"/>
              <w:spacing w:before="0" w:after="0"/>
              <w:jc w:val="center"/>
              <w:rPr>
                <w:rFonts w:ascii="Calibri" w:hAnsi="Calibri"/>
                <w:sz w:val="18"/>
                <w:szCs w:val="18"/>
              </w:rPr>
            </w:pPr>
            <w:r w:rsidRPr="00C06FB8">
              <w:rPr>
                <w:rFonts w:ascii="Calibri" w:hAnsi="Calibri"/>
                <w:sz w:val="18"/>
                <w:szCs w:val="18"/>
              </w:rPr>
              <w:t>65 x 65</w:t>
            </w:r>
          </w:p>
          <w:p w:rsidR="0018327E" w:rsidRPr="00C06FB8" w:rsidRDefault="0018327E" w:rsidP="0018327E">
            <w:pPr>
              <w:pStyle w:val="StylIwony"/>
              <w:spacing w:before="0" w:after="0"/>
              <w:jc w:val="center"/>
              <w:rPr>
                <w:rFonts w:ascii="Calibri" w:hAnsi="Calibri"/>
                <w:sz w:val="18"/>
                <w:szCs w:val="18"/>
              </w:rPr>
            </w:pPr>
            <w:r w:rsidRPr="00C06FB8">
              <w:rPr>
                <w:rFonts w:ascii="Calibri" w:hAnsi="Calibri"/>
                <w:sz w:val="18"/>
                <w:szCs w:val="18"/>
              </w:rPr>
              <w:t>75 x 75</w:t>
            </w:r>
          </w:p>
          <w:p w:rsidR="0018327E" w:rsidRPr="00C06FB8" w:rsidRDefault="0018327E" w:rsidP="0018327E">
            <w:pPr>
              <w:pStyle w:val="StylIwony"/>
              <w:spacing w:before="0" w:after="0"/>
              <w:jc w:val="center"/>
              <w:rPr>
                <w:rFonts w:ascii="Calibri" w:hAnsi="Calibri"/>
                <w:sz w:val="18"/>
                <w:szCs w:val="18"/>
              </w:rPr>
            </w:pPr>
            <w:r w:rsidRPr="00C06FB8">
              <w:rPr>
                <w:rFonts w:ascii="Calibri" w:hAnsi="Calibri"/>
                <w:sz w:val="18"/>
                <w:szCs w:val="18"/>
              </w:rPr>
              <w:t>80 x 80</w:t>
            </w:r>
          </w:p>
          <w:p w:rsidR="0018327E" w:rsidRPr="00C06FB8" w:rsidRDefault="0018327E" w:rsidP="0018327E">
            <w:pPr>
              <w:pStyle w:val="StylIwony"/>
              <w:spacing w:before="0" w:after="0"/>
              <w:jc w:val="center"/>
              <w:rPr>
                <w:rFonts w:ascii="Calibri" w:hAnsi="Calibri"/>
                <w:sz w:val="18"/>
                <w:szCs w:val="18"/>
              </w:rPr>
            </w:pPr>
            <w:r w:rsidRPr="00C06FB8">
              <w:rPr>
                <w:rFonts w:ascii="Calibri" w:hAnsi="Calibri"/>
                <w:sz w:val="18"/>
                <w:szCs w:val="18"/>
              </w:rPr>
              <w:t>90 x 90</w:t>
            </w:r>
          </w:p>
          <w:p w:rsidR="0018327E" w:rsidRPr="00C06FB8" w:rsidRDefault="0018327E" w:rsidP="0018327E">
            <w:pPr>
              <w:pStyle w:val="StylIwony"/>
              <w:spacing w:before="0" w:after="0"/>
              <w:jc w:val="center"/>
              <w:rPr>
                <w:rFonts w:ascii="Calibri" w:hAnsi="Calibri"/>
                <w:sz w:val="18"/>
                <w:szCs w:val="18"/>
              </w:rPr>
            </w:pPr>
            <w:r w:rsidRPr="00C06FB8">
              <w:rPr>
                <w:rFonts w:ascii="Calibri" w:hAnsi="Calibri"/>
                <w:sz w:val="18"/>
                <w:szCs w:val="18"/>
              </w:rPr>
              <w:t>100 x 100</w:t>
            </w:r>
          </w:p>
          <w:p w:rsidR="0018327E" w:rsidRPr="00C06FB8" w:rsidRDefault="0018327E" w:rsidP="0018327E">
            <w:pPr>
              <w:pStyle w:val="StylIwony"/>
              <w:spacing w:before="0" w:after="0"/>
              <w:jc w:val="center"/>
              <w:rPr>
                <w:rFonts w:ascii="Calibri" w:hAnsi="Calibri"/>
                <w:sz w:val="18"/>
                <w:szCs w:val="18"/>
              </w:rPr>
            </w:pPr>
          </w:p>
        </w:tc>
        <w:tc>
          <w:tcPr>
            <w:tcW w:w="1276" w:type="dxa"/>
            <w:tcBorders>
              <w:left w:val="single" w:sz="6" w:space="0" w:color="auto"/>
              <w:bottom w:val="single" w:sz="6" w:space="0" w:color="auto"/>
              <w:right w:val="single" w:sz="6" w:space="0" w:color="auto"/>
            </w:tcBorders>
          </w:tcPr>
          <w:p w:rsidR="0018327E" w:rsidRPr="00C06FB8" w:rsidRDefault="0018327E" w:rsidP="0018327E">
            <w:pPr>
              <w:pStyle w:val="StylIwony"/>
              <w:spacing w:before="0" w:after="0"/>
              <w:jc w:val="center"/>
              <w:rPr>
                <w:rFonts w:ascii="Calibri" w:hAnsi="Calibri"/>
                <w:sz w:val="18"/>
                <w:szCs w:val="18"/>
              </w:rPr>
            </w:pPr>
          </w:p>
          <w:p w:rsidR="0018327E" w:rsidRPr="00C06FB8" w:rsidRDefault="0018327E" w:rsidP="0018327E">
            <w:pPr>
              <w:pStyle w:val="StylIwony"/>
              <w:spacing w:before="0" w:after="0"/>
              <w:jc w:val="center"/>
              <w:rPr>
                <w:rFonts w:ascii="Calibri" w:hAnsi="Calibri"/>
                <w:sz w:val="18"/>
                <w:szCs w:val="18"/>
              </w:rPr>
            </w:pPr>
            <w:r w:rsidRPr="00C06FB8">
              <w:rPr>
                <w:rFonts w:ascii="Calibri" w:hAnsi="Calibri"/>
                <w:sz w:val="18"/>
                <w:szCs w:val="18"/>
              </w:rPr>
              <w:t>od 4 do 5</w:t>
            </w:r>
          </w:p>
          <w:p w:rsidR="0018327E" w:rsidRPr="00C06FB8" w:rsidRDefault="0018327E" w:rsidP="0018327E">
            <w:pPr>
              <w:pStyle w:val="StylIwony"/>
              <w:spacing w:before="0" w:after="0"/>
              <w:jc w:val="center"/>
              <w:rPr>
                <w:rFonts w:ascii="Calibri" w:hAnsi="Calibri"/>
                <w:sz w:val="18"/>
                <w:szCs w:val="18"/>
              </w:rPr>
            </w:pPr>
            <w:r w:rsidRPr="00C06FB8">
              <w:rPr>
                <w:rFonts w:ascii="Calibri" w:hAnsi="Calibri"/>
                <w:sz w:val="18"/>
                <w:szCs w:val="18"/>
              </w:rPr>
              <w:t>od 4 do 5</w:t>
            </w:r>
          </w:p>
          <w:p w:rsidR="0018327E" w:rsidRPr="00C06FB8" w:rsidRDefault="0018327E" w:rsidP="0018327E">
            <w:pPr>
              <w:pStyle w:val="StylIwony"/>
              <w:spacing w:before="0" w:after="0"/>
              <w:jc w:val="center"/>
              <w:rPr>
                <w:rFonts w:ascii="Calibri" w:hAnsi="Calibri"/>
                <w:sz w:val="18"/>
                <w:szCs w:val="18"/>
              </w:rPr>
            </w:pPr>
            <w:r w:rsidRPr="00C06FB8">
              <w:rPr>
                <w:rFonts w:ascii="Calibri" w:hAnsi="Calibri"/>
                <w:sz w:val="18"/>
                <w:szCs w:val="18"/>
              </w:rPr>
              <w:t>od 4 do 6</w:t>
            </w:r>
          </w:p>
          <w:p w:rsidR="0018327E" w:rsidRPr="00C06FB8" w:rsidRDefault="0018327E" w:rsidP="0018327E">
            <w:pPr>
              <w:pStyle w:val="StylIwony"/>
              <w:spacing w:before="0" w:after="0"/>
              <w:jc w:val="center"/>
              <w:rPr>
                <w:rFonts w:ascii="Calibri" w:hAnsi="Calibri"/>
                <w:sz w:val="18"/>
                <w:szCs w:val="18"/>
              </w:rPr>
            </w:pPr>
            <w:r w:rsidRPr="00C06FB8">
              <w:rPr>
                <w:rFonts w:ascii="Calibri" w:hAnsi="Calibri"/>
                <w:sz w:val="18"/>
                <w:szCs w:val="18"/>
              </w:rPr>
              <w:t>od 5 do 8</w:t>
            </w:r>
          </w:p>
          <w:p w:rsidR="0018327E" w:rsidRPr="00C06FB8" w:rsidRDefault="0018327E" w:rsidP="0018327E">
            <w:pPr>
              <w:pStyle w:val="StylIwony"/>
              <w:spacing w:before="0" w:after="0"/>
              <w:jc w:val="center"/>
              <w:rPr>
                <w:rFonts w:ascii="Calibri" w:hAnsi="Calibri"/>
                <w:sz w:val="18"/>
                <w:szCs w:val="18"/>
              </w:rPr>
            </w:pPr>
            <w:r w:rsidRPr="00C06FB8">
              <w:rPr>
                <w:rFonts w:ascii="Calibri" w:hAnsi="Calibri"/>
                <w:sz w:val="18"/>
                <w:szCs w:val="18"/>
              </w:rPr>
              <w:t>od 6 do 9</w:t>
            </w:r>
          </w:p>
          <w:p w:rsidR="0018327E" w:rsidRPr="00C06FB8" w:rsidRDefault="0018327E" w:rsidP="0018327E">
            <w:pPr>
              <w:pStyle w:val="StylIwony"/>
              <w:spacing w:before="0" w:after="0"/>
              <w:jc w:val="center"/>
              <w:rPr>
                <w:rFonts w:ascii="Calibri" w:hAnsi="Calibri"/>
                <w:sz w:val="18"/>
                <w:szCs w:val="18"/>
              </w:rPr>
            </w:pPr>
            <w:r w:rsidRPr="00C06FB8">
              <w:rPr>
                <w:rFonts w:ascii="Calibri" w:hAnsi="Calibri"/>
                <w:sz w:val="18"/>
                <w:szCs w:val="18"/>
              </w:rPr>
              <w:t>od 5 do 9</w:t>
            </w:r>
          </w:p>
          <w:p w:rsidR="0018327E" w:rsidRPr="00C06FB8" w:rsidRDefault="0018327E" w:rsidP="0018327E">
            <w:pPr>
              <w:pStyle w:val="StylIwony"/>
              <w:spacing w:before="0" w:after="0"/>
              <w:jc w:val="center"/>
              <w:rPr>
                <w:rFonts w:ascii="Calibri" w:hAnsi="Calibri"/>
                <w:sz w:val="18"/>
                <w:szCs w:val="18"/>
              </w:rPr>
            </w:pPr>
            <w:r w:rsidRPr="00C06FB8">
              <w:rPr>
                <w:rFonts w:ascii="Calibri" w:hAnsi="Calibri"/>
                <w:sz w:val="18"/>
                <w:szCs w:val="18"/>
              </w:rPr>
              <w:t xml:space="preserve">   od 6 do 10</w:t>
            </w:r>
          </w:p>
          <w:p w:rsidR="0018327E" w:rsidRPr="00C06FB8" w:rsidRDefault="0018327E" w:rsidP="0018327E">
            <w:pPr>
              <w:pStyle w:val="StylIwony"/>
              <w:spacing w:before="0" w:after="0"/>
              <w:jc w:val="center"/>
              <w:rPr>
                <w:rFonts w:ascii="Calibri" w:hAnsi="Calibri"/>
                <w:sz w:val="18"/>
                <w:szCs w:val="18"/>
              </w:rPr>
            </w:pPr>
            <w:r w:rsidRPr="00C06FB8">
              <w:rPr>
                <w:rFonts w:ascii="Calibri" w:hAnsi="Calibri"/>
                <w:sz w:val="18"/>
                <w:szCs w:val="18"/>
              </w:rPr>
              <w:t xml:space="preserve">  od 6 do 11</w:t>
            </w:r>
          </w:p>
          <w:p w:rsidR="0018327E" w:rsidRPr="00C06FB8" w:rsidRDefault="0018327E" w:rsidP="0018327E">
            <w:pPr>
              <w:pStyle w:val="StylIwony"/>
              <w:spacing w:before="0" w:after="0"/>
              <w:jc w:val="center"/>
              <w:rPr>
                <w:rFonts w:ascii="Calibri" w:hAnsi="Calibri"/>
                <w:sz w:val="18"/>
                <w:szCs w:val="18"/>
              </w:rPr>
            </w:pPr>
            <w:r w:rsidRPr="00C06FB8">
              <w:rPr>
                <w:rFonts w:ascii="Calibri" w:hAnsi="Calibri"/>
                <w:sz w:val="18"/>
                <w:szCs w:val="18"/>
              </w:rPr>
              <w:t xml:space="preserve">  od 8 do 12</w:t>
            </w:r>
          </w:p>
        </w:tc>
        <w:tc>
          <w:tcPr>
            <w:tcW w:w="1701" w:type="dxa"/>
            <w:tcBorders>
              <w:left w:val="single" w:sz="6" w:space="0" w:color="auto"/>
              <w:bottom w:val="single" w:sz="6" w:space="0" w:color="auto"/>
              <w:right w:val="single" w:sz="6" w:space="0" w:color="auto"/>
            </w:tcBorders>
          </w:tcPr>
          <w:p w:rsidR="0018327E" w:rsidRPr="00C06FB8" w:rsidRDefault="0018327E" w:rsidP="0018327E">
            <w:pPr>
              <w:pStyle w:val="StylIwony"/>
              <w:spacing w:before="0" w:after="0"/>
              <w:jc w:val="center"/>
              <w:rPr>
                <w:rFonts w:ascii="Calibri" w:hAnsi="Calibri"/>
                <w:sz w:val="18"/>
                <w:szCs w:val="18"/>
              </w:rPr>
            </w:pPr>
          </w:p>
          <w:p w:rsidR="0018327E" w:rsidRPr="00C06FB8" w:rsidRDefault="0018327E" w:rsidP="0018327E">
            <w:pPr>
              <w:pStyle w:val="StylIwony"/>
              <w:spacing w:before="0" w:after="0"/>
              <w:jc w:val="center"/>
              <w:rPr>
                <w:rFonts w:ascii="Calibri" w:hAnsi="Calibri"/>
                <w:sz w:val="18"/>
                <w:szCs w:val="18"/>
              </w:rPr>
            </w:pPr>
            <w:r w:rsidRPr="00C06FB8">
              <w:rPr>
                <w:rFonts w:ascii="Calibri" w:hAnsi="Calibri"/>
                <w:sz w:val="18"/>
                <w:szCs w:val="18"/>
              </w:rPr>
              <w:t>od 2,42 do 2,97</w:t>
            </w:r>
          </w:p>
          <w:p w:rsidR="0018327E" w:rsidRPr="00C06FB8" w:rsidRDefault="0018327E" w:rsidP="0018327E">
            <w:pPr>
              <w:pStyle w:val="StylIwony"/>
              <w:spacing w:before="0" w:after="0"/>
              <w:jc w:val="center"/>
              <w:rPr>
                <w:rFonts w:ascii="Calibri" w:hAnsi="Calibri"/>
                <w:sz w:val="18"/>
                <w:szCs w:val="18"/>
              </w:rPr>
            </w:pPr>
            <w:r w:rsidRPr="00C06FB8">
              <w:rPr>
                <w:rFonts w:ascii="Calibri" w:hAnsi="Calibri"/>
                <w:sz w:val="18"/>
                <w:szCs w:val="18"/>
              </w:rPr>
              <w:t>od 2,74 do 3,38</w:t>
            </w:r>
          </w:p>
          <w:p w:rsidR="0018327E" w:rsidRPr="00C06FB8" w:rsidRDefault="0018327E" w:rsidP="0018327E">
            <w:pPr>
              <w:pStyle w:val="StylIwony"/>
              <w:spacing w:before="0" w:after="0"/>
              <w:jc w:val="center"/>
              <w:rPr>
                <w:rFonts w:ascii="Calibri" w:hAnsi="Calibri"/>
                <w:sz w:val="18"/>
                <w:szCs w:val="18"/>
              </w:rPr>
            </w:pPr>
            <w:r w:rsidRPr="00C06FB8">
              <w:rPr>
                <w:rFonts w:ascii="Calibri" w:hAnsi="Calibri"/>
                <w:sz w:val="18"/>
                <w:szCs w:val="18"/>
              </w:rPr>
              <w:t>od 3,06 do 4,47</w:t>
            </w:r>
          </w:p>
          <w:p w:rsidR="0018327E" w:rsidRPr="00C06FB8" w:rsidRDefault="0018327E" w:rsidP="0018327E">
            <w:pPr>
              <w:pStyle w:val="StylIwony"/>
              <w:spacing w:before="0" w:after="0"/>
              <w:jc w:val="center"/>
              <w:rPr>
                <w:rFonts w:ascii="Calibri" w:hAnsi="Calibri"/>
                <w:sz w:val="18"/>
                <w:szCs w:val="18"/>
              </w:rPr>
            </w:pPr>
            <w:r w:rsidRPr="00C06FB8">
              <w:rPr>
                <w:rFonts w:ascii="Calibri" w:hAnsi="Calibri"/>
                <w:sz w:val="18"/>
                <w:szCs w:val="18"/>
              </w:rPr>
              <w:t>od 4,57 do 7,09</w:t>
            </w:r>
          </w:p>
          <w:p w:rsidR="0018327E" w:rsidRPr="00C06FB8" w:rsidRDefault="0018327E" w:rsidP="0018327E">
            <w:pPr>
              <w:pStyle w:val="StylIwony"/>
              <w:spacing w:before="0" w:after="0"/>
              <w:jc w:val="center"/>
              <w:rPr>
                <w:rFonts w:ascii="Calibri" w:hAnsi="Calibri"/>
                <w:sz w:val="18"/>
                <w:szCs w:val="18"/>
              </w:rPr>
            </w:pPr>
            <w:r w:rsidRPr="00C06FB8">
              <w:rPr>
                <w:rFonts w:ascii="Calibri" w:hAnsi="Calibri"/>
                <w:sz w:val="18"/>
                <w:szCs w:val="18"/>
              </w:rPr>
              <w:t>od 5,91 do 8,62</w:t>
            </w:r>
          </w:p>
          <w:p w:rsidR="0018327E" w:rsidRPr="00C06FB8" w:rsidRDefault="0018327E" w:rsidP="0018327E">
            <w:pPr>
              <w:pStyle w:val="StylIwony"/>
              <w:spacing w:before="0" w:after="0"/>
              <w:jc w:val="center"/>
              <w:rPr>
                <w:rFonts w:ascii="Calibri" w:hAnsi="Calibri"/>
                <w:sz w:val="18"/>
                <w:szCs w:val="18"/>
              </w:rPr>
            </w:pPr>
            <w:r w:rsidRPr="00C06FB8">
              <w:rPr>
                <w:rFonts w:ascii="Calibri" w:hAnsi="Calibri"/>
                <w:sz w:val="18"/>
                <w:szCs w:val="18"/>
              </w:rPr>
              <w:t xml:space="preserve">  od 5,76 do 10,00</w:t>
            </w:r>
          </w:p>
          <w:p w:rsidR="0018327E" w:rsidRPr="00C06FB8" w:rsidRDefault="0018327E" w:rsidP="0018327E">
            <w:pPr>
              <w:pStyle w:val="StylIwony"/>
              <w:spacing w:before="0" w:after="0"/>
              <w:jc w:val="center"/>
              <w:rPr>
                <w:rFonts w:ascii="Calibri" w:hAnsi="Calibri"/>
                <w:sz w:val="18"/>
                <w:szCs w:val="18"/>
              </w:rPr>
            </w:pPr>
            <w:r w:rsidRPr="00C06FB8">
              <w:rPr>
                <w:rFonts w:ascii="Calibri" w:hAnsi="Calibri"/>
                <w:sz w:val="18"/>
                <w:szCs w:val="18"/>
              </w:rPr>
              <w:t xml:space="preserve">  od 7,34 do 11,90</w:t>
            </w:r>
          </w:p>
          <w:p w:rsidR="0018327E" w:rsidRPr="00C06FB8" w:rsidRDefault="0018327E" w:rsidP="0018327E">
            <w:pPr>
              <w:pStyle w:val="StylIwony"/>
              <w:spacing w:before="0" w:after="0"/>
              <w:jc w:val="center"/>
              <w:rPr>
                <w:rFonts w:ascii="Calibri" w:hAnsi="Calibri"/>
                <w:sz w:val="18"/>
                <w:szCs w:val="18"/>
              </w:rPr>
            </w:pPr>
            <w:r w:rsidRPr="00C06FB8">
              <w:rPr>
                <w:rFonts w:ascii="Calibri" w:hAnsi="Calibri"/>
                <w:sz w:val="18"/>
                <w:szCs w:val="18"/>
              </w:rPr>
              <w:t xml:space="preserve">  od 8,30 do 14,70</w:t>
            </w:r>
          </w:p>
          <w:p w:rsidR="0018327E" w:rsidRPr="00C06FB8" w:rsidRDefault="0018327E" w:rsidP="0018327E">
            <w:pPr>
              <w:pStyle w:val="StylIwony"/>
              <w:spacing w:before="0" w:after="0"/>
              <w:jc w:val="center"/>
              <w:rPr>
                <w:rFonts w:ascii="Calibri" w:hAnsi="Calibri"/>
                <w:sz w:val="18"/>
                <w:szCs w:val="18"/>
              </w:rPr>
            </w:pPr>
            <w:r w:rsidRPr="00C06FB8">
              <w:rPr>
                <w:rFonts w:ascii="Calibri" w:hAnsi="Calibri"/>
                <w:sz w:val="18"/>
                <w:szCs w:val="18"/>
              </w:rPr>
              <w:t>od 12,20 do 17,80</w:t>
            </w:r>
          </w:p>
        </w:tc>
        <w:tc>
          <w:tcPr>
            <w:tcW w:w="1620" w:type="dxa"/>
            <w:tcBorders>
              <w:left w:val="single" w:sz="6" w:space="0" w:color="auto"/>
              <w:bottom w:val="single" w:sz="6" w:space="0" w:color="auto"/>
              <w:right w:val="single" w:sz="6" w:space="0" w:color="auto"/>
            </w:tcBorders>
          </w:tcPr>
          <w:p w:rsidR="0018327E" w:rsidRPr="00C06FB8" w:rsidRDefault="0018327E" w:rsidP="0018327E">
            <w:pPr>
              <w:pStyle w:val="StylIwony"/>
              <w:spacing w:before="0" w:after="0"/>
              <w:jc w:val="center"/>
              <w:rPr>
                <w:rFonts w:ascii="Calibri" w:hAnsi="Calibri"/>
                <w:sz w:val="18"/>
                <w:szCs w:val="18"/>
              </w:rPr>
            </w:pPr>
          </w:p>
          <w:p w:rsidR="0018327E" w:rsidRPr="00C06FB8" w:rsidRDefault="0018327E" w:rsidP="0018327E">
            <w:pPr>
              <w:pStyle w:val="StylIwony"/>
              <w:spacing w:before="0" w:after="0"/>
              <w:jc w:val="center"/>
              <w:rPr>
                <w:rFonts w:ascii="Calibri" w:hAnsi="Calibri"/>
                <w:sz w:val="18"/>
                <w:szCs w:val="18"/>
              </w:rPr>
            </w:pPr>
          </w:p>
          <w:p w:rsidR="0018327E" w:rsidRPr="00C06FB8" w:rsidRDefault="0018327E" w:rsidP="0018327E">
            <w:pPr>
              <w:pStyle w:val="StylIwony"/>
              <w:pBdr>
                <w:bottom w:val="single" w:sz="6" w:space="1" w:color="auto"/>
              </w:pBdr>
              <w:spacing w:before="0" w:after="0"/>
              <w:jc w:val="center"/>
              <w:rPr>
                <w:rFonts w:ascii="Calibri" w:hAnsi="Calibri"/>
                <w:sz w:val="18"/>
                <w:szCs w:val="18"/>
              </w:rPr>
            </w:pPr>
            <w:r w:rsidRPr="00C06FB8">
              <w:rPr>
                <w:rFonts w:ascii="Calibri" w:hAnsi="Calibri"/>
                <w:sz w:val="18"/>
                <w:szCs w:val="18"/>
              </w:rPr>
              <w:sym w:font="Symbol" w:char="F0B1"/>
            </w:r>
            <w:r w:rsidRPr="00C06FB8">
              <w:rPr>
                <w:rFonts w:ascii="Calibri" w:hAnsi="Calibri"/>
                <w:sz w:val="18"/>
                <w:szCs w:val="18"/>
              </w:rPr>
              <w:t xml:space="preserve"> 1</w:t>
            </w:r>
          </w:p>
          <w:p w:rsidR="0018327E" w:rsidRPr="00C06FB8" w:rsidRDefault="0018327E" w:rsidP="0018327E">
            <w:pPr>
              <w:pStyle w:val="StylIwony"/>
              <w:spacing w:before="0" w:after="0"/>
              <w:jc w:val="center"/>
              <w:rPr>
                <w:rFonts w:ascii="Calibri" w:hAnsi="Calibri"/>
                <w:sz w:val="18"/>
                <w:szCs w:val="18"/>
              </w:rPr>
            </w:pPr>
          </w:p>
          <w:p w:rsidR="0018327E" w:rsidRPr="00C06FB8" w:rsidRDefault="0018327E" w:rsidP="0018327E">
            <w:pPr>
              <w:pStyle w:val="StylIwony"/>
              <w:spacing w:before="0" w:after="0"/>
              <w:jc w:val="center"/>
              <w:rPr>
                <w:rFonts w:ascii="Calibri" w:hAnsi="Calibri"/>
                <w:sz w:val="18"/>
                <w:szCs w:val="18"/>
              </w:rPr>
            </w:pPr>
          </w:p>
          <w:p w:rsidR="0018327E" w:rsidRPr="00C06FB8" w:rsidRDefault="0018327E" w:rsidP="0018327E">
            <w:pPr>
              <w:pStyle w:val="StylIwony"/>
              <w:spacing w:before="0" w:after="0"/>
              <w:jc w:val="center"/>
              <w:rPr>
                <w:rFonts w:ascii="Calibri" w:hAnsi="Calibri"/>
                <w:sz w:val="18"/>
                <w:szCs w:val="18"/>
              </w:rPr>
            </w:pPr>
          </w:p>
          <w:p w:rsidR="0018327E" w:rsidRPr="00C06FB8" w:rsidRDefault="0018327E" w:rsidP="0018327E">
            <w:pPr>
              <w:pStyle w:val="StylIwony"/>
              <w:spacing w:before="0" w:after="0"/>
              <w:jc w:val="center"/>
              <w:rPr>
                <w:rFonts w:ascii="Calibri" w:hAnsi="Calibri"/>
                <w:sz w:val="18"/>
                <w:szCs w:val="18"/>
              </w:rPr>
            </w:pPr>
            <w:r w:rsidRPr="00C06FB8">
              <w:rPr>
                <w:rFonts w:ascii="Calibri" w:hAnsi="Calibri"/>
                <w:sz w:val="18"/>
                <w:szCs w:val="18"/>
              </w:rPr>
              <w:sym w:font="Symbol" w:char="F0B1"/>
            </w:r>
            <w:r w:rsidRPr="00C06FB8">
              <w:rPr>
                <w:rFonts w:ascii="Calibri" w:hAnsi="Calibri"/>
                <w:sz w:val="18"/>
                <w:szCs w:val="18"/>
              </w:rPr>
              <w:t xml:space="preserve"> 1,5</w:t>
            </w:r>
          </w:p>
          <w:p w:rsidR="0018327E" w:rsidRPr="00C06FB8" w:rsidRDefault="0018327E" w:rsidP="0018327E">
            <w:pPr>
              <w:pStyle w:val="StylIwony"/>
              <w:spacing w:before="0" w:after="0"/>
              <w:jc w:val="center"/>
              <w:rPr>
                <w:rFonts w:ascii="Calibri" w:hAnsi="Calibri"/>
                <w:sz w:val="18"/>
                <w:szCs w:val="18"/>
              </w:rPr>
            </w:pPr>
          </w:p>
          <w:p w:rsidR="0018327E" w:rsidRPr="00C06FB8" w:rsidRDefault="0018327E" w:rsidP="0018327E">
            <w:pPr>
              <w:pStyle w:val="StylIwony"/>
              <w:spacing w:before="0" w:after="0"/>
              <w:jc w:val="center"/>
              <w:rPr>
                <w:rFonts w:ascii="Calibri" w:hAnsi="Calibri"/>
                <w:sz w:val="18"/>
                <w:szCs w:val="18"/>
              </w:rPr>
            </w:pPr>
            <w:r w:rsidRPr="00C06FB8">
              <w:rPr>
                <w:rFonts w:ascii="Calibri" w:hAnsi="Calibri"/>
                <w:sz w:val="18"/>
                <w:szCs w:val="18"/>
              </w:rPr>
              <w:t>_____________</w:t>
            </w:r>
          </w:p>
          <w:p w:rsidR="0018327E" w:rsidRPr="00C06FB8" w:rsidRDefault="0018327E" w:rsidP="0018327E">
            <w:pPr>
              <w:pStyle w:val="StylIwony"/>
              <w:spacing w:before="0" w:after="0"/>
              <w:jc w:val="center"/>
              <w:rPr>
                <w:rFonts w:ascii="Calibri" w:hAnsi="Calibri"/>
                <w:sz w:val="18"/>
                <w:szCs w:val="18"/>
              </w:rPr>
            </w:pPr>
            <w:r w:rsidRPr="00C06FB8">
              <w:rPr>
                <w:rFonts w:ascii="Calibri" w:hAnsi="Calibri"/>
                <w:sz w:val="18"/>
                <w:szCs w:val="18"/>
              </w:rPr>
              <w:sym w:font="Symbol" w:char="F0B1"/>
            </w:r>
            <w:r w:rsidRPr="00C06FB8">
              <w:rPr>
                <w:rFonts w:ascii="Calibri" w:hAnsi="Calibri"/>
                <w:sz w:val="18"/>
                <w:szCs w:val="18"/>
              </w:rPr>
              <w:t xml:space="preserve"> 2</w:t>
            </w:r>
          </w:p>
        </w:tc>
        <w:tc>
          <w:tcPr>
            <w:tcW w:w="1782" w:type="dxa"/>
            <w:tcBorders>
              <w:left w:val="single" w:sz="6" w:space="0" w:color="auto"/>
              <w:bottom w:val="single" w:sz="6" w:space="0" w:color="auto"/>
              <w:right w:val="single" w:sz="6" w:space="0" w:color="auto"/>
            </w:tcBorders>
          </w:tcPr>
          <w:p w:rsidR="0018327E" w:rsidRPr="00C06FB8" w:rsidRDefault="0018327E" w:rsidP="0018327E">
            <w:pPr>
              <w:pStyle w:val="StylIwony"/>
              <w:spacing w:before="0" w:after="0"/>
              <w:jc w:val="center"/>
              <w:rPr>
                <w:rFonts w:ascii="Calibri" w:hAnsi="Calibri"/>
                <w:sz w:val="18"/>
                <w:szCs w:val="18"/>
              </w:rPr>
            </w:pPr>
          </w:p>
          <w:p w:rsidR="0018327E" w:rsidRPr="00C06FB8" w:rsidRDefault="0018327E" w:rsidP="0018327E">
            <w:pPr>
              <w:pStyle w:val="StylIwony"/>
              <w:spacing w:before="0" w:after="0"/>
              <w:jc w:val="center"/>
              <w:rPr>
                <w:rFonts w:ascii="Calibri" w:hAnsi="Calibri"/>
                <w:sz w:val="18"/>
                <w:szCs w:val="18"/>
              </w:rPr>
            </w:pPr>
          </w:p>
          <w:p w:rsidR="0018327E" w:rsidRPr="00C06FB8" w:rsidRDefault="0018327E" w:rsidP="0018327E">
            <w:pPr>
              <w:pStyle w:val="StylIwony"/>
              <w:pBdr>
                <w:bottom w:val="single" w:sz="6" w:space="1" w:color="auto"/>
              </w:pBdr>
              <w:spacing w:before="0" w:after="0"/>
              <w:jc w:val="center"/>
              <w:rPr>
                <w:rFonts w:ascii="Calibri" w:hAnsi="Calibri"/>
                <w:sz w:val="18"/>
                <w:szCs w:val="18"/>
              </w:rPr>
            </w:pPr>
            <w:r w:rsidRPr="00C06FB8">
              <w:rPr>
                <w:rFonts w:ascii="Calibri" w:hAnsi="Calibri"/>
                <w:sz w:val="18"/>
                <w:szCs w:val="18"/>
              </w:rPr>
              <w:sym w:font="Symbol" w:char="F0B1"/>
            </w:r>
            <w:r w:rsidRPr="00C06FB8">
              <w:rPr>
                <w:rFonts w:ascii="Calibri" w:hAnsi="Calibri"/>
                <w:sz w:val="18"/>
                <w:szCs w:val="18"/>
              </w:rPr>
              <w:t xml:space="preserve"> 0,4</w:t>
            </w:r>
          </w:p>
          <w:p w:rsidR="0018327E" w:rsidRPr="00C06FB8" w:rsidRDefault="0018327E" w:rsidP="0018327E">
            <w:pPr>
              <w:pStyle w:val="StylIwony"/>
              <w:spacing w:before="0" w:after="0"/>
              <w:jc w:val="center"/>
              <w:rPr>
                <w:rFonts w:ascii="Calibri" w:hAnsi="Calibri"/>
                <w:sz w:val="18"/>
                <w:szCs w:val="18"/>
              </w:rPr>
            </w:pPr>
          </w:p>
          <w:p w:rsidR="0018327E" w:rsidRPr="00C06FB8" w:rsidRDefault="0018327E" w:rsidP="0018327E">
            <w:pPr>
              <w:pStyle w:val="StylIwony"/>
              <w:spacing w:before="0" w:after="0"/>
              <w:jc w:val="center"/>
              <w:rPr>
                <w:rFonts w:ascii="Calibri" w:hAnsi="Calibri"/>
                <w:sz w:val="18"/>
                <w:szCs w:val="18"/>
              </w:rPr>
            </w:pPr>
          </w:p>
          <w:p w:rsidR="0018327E" w:rsidRPr="00C06FB8" w:rsidRDefault="0018327E" w:rsidP="0018327E">
            <w:pPr>
              <w:pStyle w:val="StylIwony"/>
              <w:spacing w:before="0" w:after="0"/>
              <w:jc w:val="center"/>
              <w:rPr>
                <w:rFonts w:ascii="Calibri" w:hAnsi="Calibri"/>
                <w:sz w:val="18"/>
                <w:szCs w:val="18"/>
              </w:rPr>
            </w:pPr>
          </w:p>
          <w:p w:rsidR="0018327E" w:rsidRPr="00C06FB8" w:rsidRDefault="0018327E" w:rsidP="0018327E">
            <w:pPr>
              <w:pStyle w:val="StylIwony"/>
              <w:spacing w:before="0" w:after="0"/>
              <w:jc w:val="center"/>
              <w:rPr>
                <w:rFonts w:ascii="Calibri" w:hAnsi="Calibri"/>
                <w:sz w:val="18"/>
                <w:szCs w:val="18"/>
              </w:rPr>
            </w:pPr>
            <w:r w:rsidRPr="00C06FB8">
              <w:rPr>
                <w:rFonts w:ascii="Calibri" w:hAnsi="Calibri"/>
                <w:sz w:val="18"/>
                <w:szCs w:val="18"/>
              </w:rPr>
              <w:sym w:font="Symbol" w:char="F0B1"/>
            </w:r>
            <w:r w:rsidRPr="00C06FB8">
              <w:rPr>
                <w:rFonts w:ascii="Calibri" w:hAnsi="Calibri"/>
                <w:sz w:val="18"/>
                <w:szCs w:val="18"/>
              </w:rPr>
              <w:t xml:space="preserve"> 0,5</w:t>
            </w:r>
          </w:p>
          <w:p w:rsidR="0018327E" w:rsidRPr="00C06FB8" w:rsidRDefault="0018327E" w:rsidP="0018327E">
            <w:pPr>
              <w:pStyle w:val="StylIwony"/>
              <w:spacing w:before="0" w:after="0"/>
              <w:jc w:val="center"/>
              <w:rPr>
                <w:rFonts w:ascii="Calibri" w:hAnsi="Calibri"/>
                <w:sz w:val="18"/>
                <w:szCs w:val="18"/>
              </w:rPr>
            </w:pPr>
          </w:p>
          <w:p w:rsidR="0018327E" w:rsidRPr="00C06FB8" w:rsidRDefault="0018327E" w:rsidP="0018327E">
            <w:pPr>
              <w:pStyle w:val="StylIwony"/>
              <w:spacing w:before="0" w:after="0"/>
              <w:jc w:val="center"/>
              <w:rPr>
                <w:rFonts w:ascii="Calibri" w:hAnsi="Calibri"/>
                <w:sz w:val="18"/>
                <w:szCs w:val="18"/>
              </w:rPr>
            </w:pPr>
            <w:r w:rsidRPr="00C06FB8">
              <w:rPr>
                <w:rFonts w:ascii="Calibri" w:hAnsi="Calibri"/>
                <w:sz w:val="18"/>
                <w:szCs w:val="18"/>
              </w:rPr>
              <w:t>____________</w:t>
            </w:r>
          </w:p>
          <w:p w:rsidR="0018327E" w:rsidRPr="00C06FB8" w:rsidRDefault="0018327E" w:rsidP="0018327E">
            <w:pPr>
              <w:pStyle w:val="StylIwony"/>
              <w:spacing w:before="0" w:after="0"/>
              <w:jc w:val="center"/>
              <w:rPr>
                <w:rFonts w:ascii="Calibri" w:hAnsi="Calibri"/>
                <w:sz w:val="18"/>
                <w:szCs w:val="18"/>
              </w:rPr>
            </w:pPr>
            <w:r w:rsidRPr="00C06FB8">
              <w:rPr>
                <w:rFonts w:ascii="Calibri" w:hAnsi="Calibri"/>
                <w:sz w:val="18"/>
                <w:szCs w:val="18"/>
              </w:rPr>
              <w:sym w:font="Symbol" w:char="F0B1"/>
            </w:r>
            <w:r w:rsidRPr="00C06FB8">
              <w:rPr>
                <w:rFonts w:ascii="Calibri" w:hAnsi="Calibri"/>
                <w:sz w:val="18"/>
                <w:szCs w:val="18"/>
              </w:rPr>
              <w:t xml:space="preserve"> 0,6</w:t>
            </w:r>
          </w:p>
        </w:tc>
      </w:tr>
    </w:tbl>
    <w:p w:rsidR="0018327E" w:rsidRDefault="0018327E" w:rsidP="0018327E">
      <w:pPr>
        <w:rPr>
          <w:rFonts w:asciiTheme="minorHAnsi" w:hAnsiTheme="minorHAnsi"/>
        </w:rPr>
      </w:pPr>
    </w:p>
    <w:p w:rsidR="0018327E" w:rsidRPr="00C06FB8" w:rsidRDefault="0018327E" w:rsidP="0018327E">
      <w:pPr>
        <w:ind w:left="709"/>
        <w:rPr>
          <w:rFonts w:ascii="Calibri" w:hAnsi="Calibri"/>
        </w:rPr>
      </w:pPr>
      <w:r>
        <w:rPr>
          <w:rFonts w:asciiTheme="minorHAnsi" w:hAnsiTheme="minorHAnsi"/>
        </w:rPr>
        <w:t>Tablica 4</w:t>
      </w:r>
      <w:r w:rsidRPr="00C06FB8">
        <w:rPr>
          <w:rFonts w:ascii="Calibri" w:hAnsi="Calibri"/>
        </w:rPr>
        <w:t>. Kątowniki nierów</w:t>
      </w:r>
      <w:r>
        <w:rPr>
          <w:rFonts w:asciiTheme="minorHAnsi" w:hAnsiTheme="minorHAnsi"/>
        </w:rPr>
        <w:t>noramienne wg PN-81/H-93402</w:t>
      </w:r>
    </w:p>
    <w:tbl>
      <w:tblPr>
        <w:tblW w:w="0" w:type="auto"/>
        <w:tblInd w:w="779" w:type="dxa"/>
        <w:tblLayout w:type="fixed"/>
        <w:tblCellMar>
          <w:left w:w="70" w:type="dxa"/>
          <w:right w:w="70" w:type="dxa"/>
        </w:tblCellMar>
        <w:tblLook w:val="0000"/>
      </w:tblPr>
      <w:tblGrid>
        <w:gridCol w:w="1204"/>
        <w:gridCol w:w="1276"/>
        <w:gridCol w:w="1985"/>
        <w:gridCol w:w="1559"/>
        <w:gridCol w:w="1559"/>
      </w:tblGrid>
      <w:tr w:rsidR="0018327E" w:rsidRPr="00C06FB8" w:rsidTr="0018327E">
        <w:tc>
          <w:tcPr>
            <w:tcW w:w="1204" w:type="dxa"/>
            <w:tcBorders>
              <w:top w:val="single" w:sz="6" w:space="0" w:color="auto"/>
              <w:left w:val="single" w:sz="6" w:space="0" w:color="auto"/>
            </w:tcBorders>
          </w:tcPr>
          <w:p w:rsidR="0018327E" w:rsidRPr="00C06FB8" w:rsidRDefault="0018327E" w:rsidP="0018327E">
            <w:pPr>
              <w:pStyle w:val="StylIwony"/>
              <w:spacing w:before="0" w:after="0"/>
              <w:jc w:val="center"/>
              <w:rPr>
                <w:rFonts w:ascii="Calibri" w:hAnsi="Calibri"/>
                <w:sz w:val="18"/>
                <w:szCs w:val="18"/>
              </w:rPr>
            </w:pPr>
            <w:r w:rsidRPr="00C06FB8">
              <w:rPr>
                <w:rFonts w:ascii="Calibri" w:hAnsi="Calibri"/>
                <w:sz w:val="18"/>
                <w:szCs w:val="18"/>
              </w:rPr>
              <w:t>Wymiary</w:t>
            </w:r>
          </w:p>
        </w:tc>
        <w:tc>
          <w:tcPr>
            <w:tcW w:w="1276" w:type="dxa"/>
            <w:tcBorders>
              <w:top w:val="single" w:sz="6" w:space="0" w:color="auto"/>
              <w:left w:val="single" w:sz="6" w:space="0" w:color="auto"/>
            </w:tcBorders>
          </w:tcPr>
          <w:p w:rsidR="0018327E" w:rsidRPr="00C06FB8" w:rsidRDefault="0018327E" w:rsidP="0018327E">
            <w:pPr>
              <w:pStyle w:val="StylIwony"/>
              <w:spacing w:before="0" w:after="0"/>
              <w:jc w:val="center"/>
              <w:rPr>
                <w:rFonts w:ascii="Calibri" w:hAnsi="Calibri"/>
                <w:sz w:val="18"/>
                <w:szCs w:val="18"/>
              </w:rPr>
            </w:pPr>
            <w:r w:rsidRPr="00C06FB8">
              <w:rPr>
                <w:rFonts w:ascii="Calibri" w:hAnsi="Calibri"/>
                <w:sz w:val="18"/>
                <w:szCs w:val="18"/>
              </w:rPr>
              <w:t>Grubość</w:t>
            </w:r>
          </w:p>
        </w:tc>
        <w:tc>
          <w:tcPr>
            <w:tcW w:w="1985" w:type="dxa"/>
            <w:tcBorders>
              <w:top w:val="single" w:sz="6" w:space="0" w:color="auto"/>
              <w:left w:val="single" w:sz="6" w:space="0" w:color="auto"/>
            </w:tcBorders>
          </w:tcPr>
          <w:p w:rsidR="0018327E" w:rsidRPr="00C06FB8" w:rsidRDefault="0018327E" w:rsidP="0018327E">
            <w:pPr>
              <w:pStyle w:val="StylIwony"/>
              <w:spacing w:before="0" w:after="0"/>
              <w:jc w:val="center"/>
              <w:rPr>
                <w:rFonts w:ascii="Calibri" w:hAnsi="Calibri"/>
                <w:sz w:val="18"/>
                <w:szCs w:val="18"/>
              </w:rPr>
            </w:pPr>
            <w:r w:rsidRPr="00C06FB8">
              <w:rPr>
                <w:rFonts w:ascii="Calibri" w:hAnsi="Calibri"/>
                <w:sz w:val="18"/>
                <w:szCs w:val="18"/>
              </w:rPr>
              <w:t>Masa 1 m</w:t>
            </w:r>
          </w:p>
        </w:tc>
        <w:tc>
          <w:tcPr>
            <w:tcW w:w="3118" w:type="dxa"/>
            <w:gridSpan w:val="2"/>
            <w:tcBorders>
              <w:top w:val="single" w:sz="6" w:space="0" w:color="auto"/>
              <w:left w:val="single" w:sz="6" w:space="0" w:color="auto"/>
              <w:bottom w:val="single" w:sz="6" w:space="0" w:color="auto"/>
              <w:right w:val="single" w:sz="6" w:space="0" w:color="auto"/>
            </w:tcBorders>
          </w:tcPr>
          <w:p w:rsidR="0018327E" w:rsidRPr="00C06FB8" w:rsidRDefault="0018327E" w:rsidP="0018327E">
            <w:pPr>
              <w:pStyle w:val="StylIwony"/>
              <w:spacing w:before="0" w:after="0"/>
              <w:jc w:val="center"/>
              <w:rPr>
                <w:rFonts w:ascii="Calibri" w:hAnsi="Calibri"/>
                <w:sz w:val="18"/>
                <w:szCs w:val="18"/>
              </w:rPr>
            </w:pPr>
            <w:r w:rsidRPr="00C06FB8">
              <w:rPr>
                <w:rFonts w:ascii="Calibri" w:hAnsi="Calibri"/>
                <w:sz w:val="18"/>
                <w:szCs w:val="18"/>
              </w:rPr>
              <w:t>Dopuszczalne odchyłki mm</w:t>
            </w:r>
          </w:p>
        </w:tc>
      </w:tr>
      <w:tr w:rsidR="0018327E" w:rsidRPr="00C06FB8" w:rsidTr="0018327E">
        <w:tc>
          <w:tcPr>
            <w:tcW w:w="1204" w:type="dxa"/>
            <w:tcBorders>
              <w:left w:val="single" w:sz="6" w:space="0" w:color="auto"/>
              <w:bottom w:val="double" w:sz="6" w:space="0" w:color="auto"/>
              <w:right w:val="single" w:sz="6" w:space="0" w:color="auto"/>
            </w:tcBorders>
          </w:tcPr>
          <w:p w:rsidR="0018327E" w:rsidRPr="00C06FB8" w:rsidRDefault="0018327E" w:rsidP="0018327E">
            <w:pPr>
              <w:pStyle w:val="StylIwony"/>
              <w:spacing w:before="0" w:after="0"/>
              <w:jc w:val="center"/>
              <w:rPr>
                <w:rFonts w:ascii="Calibri" w:hAnsi="Calibri"/>
                <w:sz w:val="18"/>
                <w:szCs w:val="18"/>
              </w:rPr>
            </w:pPr>
            <w:r w:rsidRPr="00C06FB8">
              <w:rPr>
                <w:rFonts w:ascii="Calibri" w:hAnsi="Calibri"/>
                <w:sz w:val="18"/>
                <w:szCs w:val="18"/>
              </w:rPr>
              <w:t>ramion</w:t>
            </w:r>
          </w:p>
          <w:p w:rsidR="0018327E" w:rsidRPr="00C06FB8" w:rsidRDefault="0018327E" w:rsidP="0018327E">
            <w:pPr>
              <w:pStyle w:val="StylIwony"/>
              <w:spacing w:before="0" w:after="0"/>
              <w:jc w:val="center"/>
              <w:rPr>
                <w:rFonts w:ascii="Calibri" w:hAnsi="Calibri"/>
                <w:sz w:val="18"/>
                <w:szCs w:val="18"/>
              </w:rPr>
            </w:pPr>
            <w:r w:rsidRPr="00C06FB8">
              <w:rPr>
                <w:rFonts w:ascii="Calibri" w:hAnsi="Calibri"/>
                <w:sz w:val="18"/>
                <w:szCs w:val="18"/>
              </w:rPr>
              <w:t>mm</w:t>
            </w:r>
          </w:p>
        </w:tc>
        <w:tc>
          <w:tcPr>
            <w:tcW w:w="1276" w:type="dxa"/>
            <w:tcBorders>
              <w:left w:val="nil"/>
              <w:bottom w:val="double" w:sz="6" w:space="0" w:color="auto"/>
              <w:right w:val="single" w:sz="6" w:space="0" w:color="auto"/>
            </w:tcBorders>
          </w:tcPr>
          <w:p w:rsidR="0018327E" w:rsidRPr="00C06FB8" w:rsidRDefault="0018327E" w:rsidP="0018327E">
            <w:pPr>
              <w:pStyle w:val="StylIwony"/>
              <w:spacing w:before="0" w:after="0"/>
              <w:jc w:val="center"/>
              <w:rPr>
                <w:rFonts w:ascii="Calibri" w:hAnsi="Calibri"/>
                <w:sz w:val="18"/>
                <w:szCs w:val="18"/>
              </w:rPr>
            </w:pPr>
            <w:r w:rsidRPr="00C06FB8">
              <w:rPr>
                <w:rFonts w:ascii="Calibri" w:hAnsi="Calibri"/>
                <w:sz w:val="18"/>
                <w:szCs w:val="18"/>
              </w:rPr>
              <w:t>ramienia</w:t>
            </w:r>
          </w:p>
          <w:p w:rsidR="0018327E" w:rsidRPr="00C06FB8" w:rsidRDefault="0018327E" w:rsidP="0018327E">
            <w:pPr>
              <w:pStyle w:val="StylIwony"/>
              <w:spacing w:before="0" w:after="0"/>
              <w:jc w:val="center"/>
              <w:rPr>
                <w:rFonts w:ascii="Calibri" w:hAnsi="Calibri"/>
                <w:sz w:val="18"/>
                <w:szCs w:val="18"/>
              </w:rPr>
            </w:pPr>
            <w:r w:rsidRPr="00C06FB8">
              <w:rPr>
                <w:rFonts w:ascii="Calibri" w:hAnsi="Calibri"/>
                <w:sz w:val="18"/>
                <w:szCs w:val="18"/>
              </w:rPr>
              <w:t>mm</w:t>
            </w:r>
          </w:p>
        </w:tc>
        <w:tc>
          <w:tcPr>
            <w:tcW w:w="1985" w:type="dxa"/>
            <w:tcBorders>
              <w:left w:val="nil"/>
              <w:bottom w:val="double" w:sz="6" w:space="0" w:color="auto"/>
            </w:tcBorders>
          </w:tcPr>
          <w:p w:rsidR="0018327E" w:rsidRPr="00C06FB8" w:rsidRDefault="0018327E" w:rsidP="0018327E">
            <w:pPr>
              <w:pStyle w:val="StylIwony"/>
              <w:spacing w:before="0" w:after="0"/>
              <w:jc w:val="center"/>
              <w:rPr>
                <w:rFonts w:ascii="Calibri" w:hAnsi="Calibri"/>
                <w:sz w:val="18"/>
                <w:szCs w:val="18"/>
              </w:rPr>
            </w:pPr>
            <w:r w:rsidRPr="00C06FB8">
              <w:rPr>
                <w:rFonts w:ascii="Calibri" w:hAnsi="Calibri"/>
                <w:sz w:val="18"/>
                <w:szCs w:val="18"/>
              </w:rPr>
              <w:t>kątownika</w:t>
            </w:r>
          </w:p>
          <w:p w:rsidR="0018327E" w:rsidRPr="00C06FB8" w:rsidRDefault="0018327E" w:rsidP="0018327E">
            <w:pPr>
              <w:pStyle w:val="StylIwony"/>
              <w:spacing w:before="0" w:after="0"/>
              <w:jc w:val="center"/>
              <w:rPr>
                <w:rFonts w:ascii="Calibri" w:hAnsi="Calibri"/>
                <w:sz w:val="18"/>
                <w:szCs w:val="18"/>
              </w:rPr>
            </w:pPr>
            <w:r w:rsidRPr="00C06FB8">
              <w:rPr>
                <w:rFonts w:ascii="Calibri" w:hAnsi="Calibri"/>
                <w:sz w:val="18"/>
                <w:szCs w:val="18"/>
              </w:rPr>
              <w:t>kg/m</w:t>
            </w:r>
          </w:p>
        </w:tc>
        <w:tc>
          <w:tcPr>
            <w:tcW w:w="1559" w:type="dxa"/>
            <w:tcBorders>
              <w:top w:val="single" w:sz="6" w:space="0" w:color="auto"/>
              <w:left w:val="single" w:sz="6" w:space="0" w:color="auto"/>
              <w:bottom w:val="double" w:sz="6" w:space="0" w:color="auto"/>
              <w:right w:val="single" w:sz="6" w:space="0" w:color="auto"/>
            </w:tcBorders>
          </w:tcPr>
          <w:p w:rsidR="0018327E" w:rsidRPr="00C06FB8" w:rsidRDefault="0018327E" w:rsidP="0018327E">
            <w:pPr>
              <w:pStyle w:val="StylIwony"/>
              <w:spacing w:after="0"/>
              <w:jc w:val="center"/>
              <w:rPr>
                <w:rFonts w:ascii="Calibri" w:hAnsi="Calibri"/>
                <w:sz w:val="18"/>
                <w:szCs w:val="18"/>
              </w:rPr>
            </w:pPr>
            <w:r w:rsidRPr="00C06FB8">
              <w:rPr>
                <w:rFonts w:ascii="Calibri" w:hAnsi="Calibri"/>
                <w:sz w:val="18"/>
                <w:szCs w:val="18"/>
              </w:rPr>
              <w:t>długości ramienia</w:t>
            </w:r>
          </w:p>
        </w:tc>
        <w:tc>
          <w:tcPr>
            <w:tcW w:w="1559" w:type="dxa"/>
            <w:tcBorders>
              <w:top w:val="single" w:sz="6" w:space="0" w:color="auto"/>
              <w:left w:val="single" w:sz="6" w:space="0" w:color="auto"/>
              <w:bottom w:val="double" w:sz="6" w:space="0" w:color="auto"/>
              <w:right w:val="single" w:sz="6" w:space="0" w:color="auto"/>
            </w:tcBorders>
          </w:tcPr>
          <w:p w:rsidR="0018327E" w:rsidRPr="00C06FB8" w:rsidRDefault="0018327E" w:rsidP="0018327E">
            <w:pPr>
              <w:pStyle w:val="StylIwony"/>
              <w:spacing w:after="0"/>
              <w:jc w:val="center"/>
              <w:rPr>
                <w:rFonts w:ascii="Calibri" w:hAnsi="Calibri"/>
                <w:sz w:val="18"/>
                <w:szCs w:val="18"/>
              </w:rPr>
            </w:pPr>
            <w:r w:rsidRPr="00C06FB8">
              <w:rPr>
                <w:rFonts w:ascii="Calibri" w:hAnsi="Calibri"/>
                <w:sz w:val="18"/>
                <w:szCs w:val="18"/>
              </w:rPr>
              <w:t>grubości ramion</w:t>
            </w:r>
          </w:p>
        </w:tc>
      </w:tr>
      <w:tr w:rsidR="0018327E" w:rsidRPr="00C06FB8" w:rsidTr="0018327E">
        <w:tc>
          <w:tcPr>
            <w:tcW w:w="1204" w:type="dxa"/>
            <w:tcBorders>
              <w:left w:val="single" w:sz="6" w:space="0" w:color="auto"/>
              <w:bottom w:val="single" w:sz="6" w:space="0" w:color="auto"/>
              <w:right w:val="single" w:sz="6" w:space="0" w:color="auto"/>
            </w:tcBorders>
          </w:tcPr>
          <w:p w:rsidR="0018327E" w:rsidRPr="00C06FB8" w:rsidRDefault="0018327E" w:rsidP="0018327E">
            <w:pPr>
              <w:pStyle w:val="StylIwony"/>
              <w:spacing w:before="0" w:after="0"/>
              <w:jc w:val="center"/>
              <w:rPr>
                <w:rFonts w:ascii="Calibri" w:hAnsi="Calibri"/>
                <w:sz w:val="18"/>
                <w:szCs w:val="18"/>
              </w:rPr>
            </w:pPr>
          </w:p>
          <w:p w:rsidR="0018327E" w:rsidRPr="00C06FB8" w:rsidRDefault="0018327E" w:rsidP="0018327E">
            <w:pPr>
              <w:pStyle w:val="StylIwony"/>
              <w:spacing w:before="0" w:after="0"/>
              <w:jc w:val="center"/>
              <w:rPr>
                <w:rFonts w:ascii="Calibri" w:hAnsi="Calibri"/>
                <w:sz w:val="18"/>
                <w:szCs w:val="18"/>
              </w:rPr>
            </w:pPr>
            <w:r w:rsidRPr="00C06FB8">
              <w:rPr>
                <w:rFonts w:ascii="Calibri" w:hAnsi="Calibri"/>
                <w:sz w:val="18"/>
                <w:szCs w:val="18"/>
              </w:rPr>
              <w:t>45x30</w:t>
            </w:r>
          </w:p>
          <w:p w:rsidR="0018327E" w:rsidRPr="00C06FB8" w:rsidRDefault="0018327E" w:rsidP="0018327E">
            <w:pPr>
              <w:pStyle w:val="StylIwony"/>
              <w:spacing w:before="0" w:after="0"/>
              <w:jc w:val="center"/>
              <w:rPr>
                <w:rFonts w:ascii="Calibri" w:hAnsi="Calibri"/>
                <w:sz w:val="18"/>
                <w:szCs w:val="18"/>
              </w:rPr>
            </w:pPr>
            <w:r w:rsidRPr="00C06FB8">
              <w:rPr>
                <w:rFonts w:ascii="Calibri" w:hAnsi="Calibri"/>
                <w:sz w:val="18"/>
                <w:szCs w:val="18"/>
              </w:rPr>
              <w:t>60x40</w:t>
            </w:r>
          </w:p>
          <w:p w:rsidR="0018327E" w:rsidRPr="00C06FB8" w:rsidRDefault="0018327E" w:rsidP="0018327E">
            <w:pPr>
              <w:pStyle w:val="StylIwony"/>
              <w:spacing w:before="0" w:after="0"/>
              <w:jc w:val="center"/>
              <w:rPr>
                <w:rFonts w:ascii="Calibri" w:hAnsi="Calibri"/>
                <w:sz w:val="18"/>
                <w:szCs w:val="18"/>
              </w:rPr>
            </w:pPr>
            <w:r w:rsidRPr="00C06FB8">
              <w:rPr>
                <w:rFonts w:ascii="Calibri" w:hAnsi="Calibri"/>
                <w:sz w:val="18"/>
                <w:szCs w:val="18"/>
              </w:rPr>
              <w:t>65x50</w:t>
            </w:r>
          </w:p>
          <w:p w:rsidR="0018327E" w:rsidRPr="00C06FB8" w:rsidRDefault="0018327E" w:rsidP="0018327E">
            <w:pPr>
              <w:pStyle w:val="StylIwony"/>
              <w:spacing w:before="0" w:after="0"/>
              <w:jc w:val="center"/>
              <w:rPr>
                <w:rFonts w:ascii="Calibri" w:hAnsi="Calibri"/>
                <w:sz w:val="18"/>
                <w:szCs w:val="18"/>
              </w:rPr>
            </w:pPr>
            <w:r w:rsidRPr="00C06FB8">
              <w:rPr>
                <w:rFonts w:ascii="Calibri" w:hAnsi="Calibri"/>
                <w:sz w:val="18"/>
                <w:szCs w:val="18"/>
              </w:rPr>
              <w:t>70x50</w:t>
            </w:r>
          </w:p>
          <w:p w:rsidR="0018327E" w:rsidRPr="00C06FB8" w:rsidRDefault="0018327E" w:rsidP="0018327E">
            <w:pPr>
              <w:pStyle w:val="StylIwony"/>
              <w:spacing w:before="0" w:after="0"/>
              <w:jc w:val="center"/>
              <w:rPr>
                <w:rFonts w:ascii="Calibri" w:hAnsi="Calibri"/>
                <w:sz w:val="18"/>
                <w:szCs w:val="18"/>
              </w:rPr>
            </w:pPr>
            <w:r w:rsidRPr="00C06FB8">
              <w:rPr>
                <w:rFonts w:ascii="Calibri" w:hAnsi="Calibri"/>
                <w:sz w:val="18"/>
                <w:szCs w:val="18"/>
              </w:rPr>
              <w:t>75x50</w:t>
            </w:r>
          </w:p>
          <w:p w:rsidR="0018327E" w:rsidRPr="00C06FB8" w:rsidRDefault="0018327E" w:rsidP="0018327E">
            <w:pPr>
              <w:pStyle w:val="StylIwony"/>
              <w:spacing w:before="0" w:after="0"/>
              <w:jc w:val="center"/>
              <w:rPr>
                <w:rFonts w:ascii="Calibri" w:hAnsi="Calibri"/>
                <w:sz w:val="18"/>
                <w:szCs w:val="18"/>
              </w:rPr>
            </w:pPr>
            <w:r w:rsidRPr="00C06FB8">
              <w:rPr>
                <w:rFonts w:ascii="Calibri" w:hAnsi="Calibri"/>
                <w:sz w:val="18"/>
                <w:szCs w:val="18"/>
              </w:rPr>
              <w:t>80x40</w:t>
            </w:r>
          </w:p>
          <w:p w:rsidR="0018327E" w:rsidRPr="00C06FB8" w:rsidRDefault="0018327E" w:rsidP="0018327E">
            <w:pPr>
              <w:pStyle w:val="StylIwony"/>
              <w:spacing w:before="0" w:after="0"/>
              <w:jc w:val="center"/>
              <w:rPr>
                <w:rFonts w:ascii="Calibri" w:hAnsi="Calibri"/>
                <w:sz w:val="18"/>
                <w:szCs w:val="18"/>
              </w:rPr>
            </w:pPr>
            <w:r w:rsidRPr="00C06FB8">
              <w:rPr>
                <w:rFonts w:ascii="Calibri" w:hAnsi="Calibri"/>
                <w:sz w:val="18"/>
                <w:szCs w:val="18"/>
              </w:rPr>
              <w:t>80x60</w:t>
            </w:r>
          </w:p>
          <w:p w:rsidR="0018327E" w:rsidRPr="00C06FB8" w:rsidRDefault="0018327E" w:rsidP="0018327E">
            <w:pPr>
              <w:pStyle w:val="StylIwony"/>
              <w:spacing w:before="0" w:after="0"/>
              <w:jc w:val="center"/>
              <w:rPr>
                <w:rFonts w:ascii="Calibri" w:hAnsi="Calibri"/>
                <w:sz w:val="18"/>
                <w:szCs w:val="18"/>
              </w:rPr>
            </w:pPr>
            <w:r w:rsidRPr="00C06FB8">
              <w:rPr>
                <w:rFonts w:ascii="Calibri" w:hAnsi="Calibri"/>
                <w:sz w:val="18"/>
                <w:szCs w:val="18"/>
              </w:rPr>
              <w:t>80x65</w:t>
            </w:r>
          </w:p>
          <w:p w:rsidR="0018327E" w:rsidRPr="00C06FB8" w:rsidRDefault="0018327E" w:rsidP="0018327E">
            <w:pPr>
              <w:pStyle w:val="StylIwony"/>
              <w:spacing w:before="0" w:after="0"/>
              <w:jc w:val="center"/>
              <w:rPr>
                <w:rFonts w:ascii="Calibri" w:hAnsi="Calibri"/>
                <w:sz w:val="18"/>
                <w:szCs w:val="18"/>
              </w:rPr>
            </w:pPr>
            <w:r w:rsidRPr="00C06FB8">
              <w:rPr>
                <w:rFonts w:ascii="Calibri" w:hAnsi="Calibri"/>
                <w:sz w:val="18"/>
                <w:szCs w:val="18"/>
              </w:rPr>
              <w:t>90x60</w:t>
            </w:r>
          </w:p>
          <w:p w:rsidR="0018327E" w:rsidRPr="00C06FB8" w:rsidRDefault="0018327E" w:rsidP="0018327E">
            <w:pPr>
              <w:pStyle w:val="StylIwony"/>
              <w:spacing w:before="0" w:after="0"/>
              <w:jc w:val="center"/>
              <w:rPr>
                <w:rFonts w:ascii="Calibri" w:hAnsi="Calibri"/>
                <w:sz w:val="18"/>
                <w:szCs w:val="18"/>
              </w:rPr>
            </w:pPr>
            <w:r w:rsidRPr="00C06FB8">
              <w:rPr>
                <w:rFonts w:ascii="Calibri" w:hAnsi="Calibri"/>
                <w:sz w:val="18"/>
                <w:szCs w:val="18"/>
              </w:rPr>
              <w:t>100x50</w:t>
            </w:r>
          </w:p>
          <w:p w:rsidR="0018327E" w:rsidRPr="00C06FB8" w:rsidRDefault="0018327E" w:rsidP="0018327E">
            <w:pPr>
              <w:pStyle w:val="StylIwony"/>
              <w:spacing w:before="0" w:after="0"/>
              <w:jc w:val="center"/>
              <w:rPr>
                <w:rFonts w:ascii="Calibri" w:hAnsi="Calibri"/>
                <w:sz w:val="18"/>
                <w:szCs w:val="18"/>
              </w:rPr>
            </w:pPr>
            <w:r w:rsidRPr="00C06FB8">
              <w:rPr>
                <w:rFonts w:ascii="Calibri" w:hAnsi="Calibri"/>
                <w:sz w:val="18"/>
                <w:szCs w:val="18"/>
              </w:rPr>
              <w:t>100x65</w:t>
            </w:r>
          </w:p>
        </w:tc>
        <w:tc>
          <w:tcPr>
            <w:tcW w:w="1276" w:type="dxa"/>
            <w:tcBorders>
              <w:left w:val="single" w:sz="6" w:space="0" w:color="auto"/>
              <w:bottom w:val="single" w:sz="6" w:space="0" w:color="auto"/>
              <w:right w:val="single" w:sz="6" w:space="0" w:color="auto"/>
            </w:tcBorders>
          </w:tcPr>
          <w:p w:rsidR="0018327E" w:rsidRPr="00C06FB8" w:rsidRDefault="0018327E" w:rsidP="0018327E">
            <w:pPr>
              <w:pStyle w:val="StylIwony"/>
              <w:spacing w:before="0" w:after="0"/>
              <w:jc w:val="center"/>
              <w:rPr>
                <w:rFonts w:ascii="Calibri" w:hAnsi="Calibri"/>
                <w:sz w:val="18"/>
                <w:szCs w:val="18"/>
              </w:rPr>
            </w:pPr>
          </w:p>
          <w:p w:rsidR="0018327E" w:rsidRPr="00C06FB8" w:rsidRDefault="0018327E" w:rsidP="0018327E">
            <w:pPr>
              <w:pStyle w:val="StylIwony"/>
              <w:spacing w:before="0" w:after="0"/>
              <w:jc w:val="center"/>
              <w:rPr>
                <w:rFonts w:ascii="Calibri" w:hAnsi="Calibri"/>
                <w:sz w:val="18"/>
                <w:szCs w:val="18"/>
              </w:rPr>
            </w:pPr>
            <w:r w:rsidRPr="00C06FB8">
              <w:rPr>
                <w:rFonts w:ascii="Calibri" w:hAnsi="Calibri"/>
                <w:sz w:val="18"/>
                <w:szCs w:val="18"/>
              </w:rPr>
              <w:t>od 4 do 5</w:t>
            </w:r>
          </w:p>
          <w:p w:rsidR="0018327E" w:rsidRPr="00C06FB8" w:rsidRDefault="0018327E" w:rsidP="0018327E">
            <w:pPr>
              <w:pStyle w:val="StylIwony"/>
              <w:spacing w:before="0" w:after="0"/>
              <w:jc w:val="center"/>
              <w:rPr>
                <w:rFonts w:ascii="Calibri" w:hAnsi="Calibri"/>
                <w:sz w:val="18"/>
                <w:szCs w:val="18"/>
              </w:rPr>
            </w:pPr>
            <w:r w:rsidRPr="00C06FB8">
              <w:rPr>
                <w:rFonts w:ascii="Calibri" w:hAnsi="Calibri"/>
                <w:sz w:val="18"/>
                <w:szCs w:val="18"/>
              </w:rPr>
              <w:t>od 5 do 6</w:t>
            </w:r>
          </w:p>
          <w:p w:rsidR="0018327E" w:rsidRPr="00C06FB8" w:rsidRDefault="0018327E" w:rsidP="0018327E">
            <w:pPr>
              <w:pStyle w:val="StylIwony"/>
              <w:spacing w:before="0" w:after="0"/>
              <w:jc w:val="center"/>
              <w:rPr>
                <w:rFonts w:ascii="Calibri" w:hAnsi="Calibri"/>
                <w:sz w:val="18"/>
                <w:szCs w:val="18"/>
              </w:rPr>
            </w:pPr>
            <w:r w:rsidRPr="00C06FB8">
              <w:rPr>
                <w:rFonts w:ascii="Calibri" w:hAnsi="Calibri"/>
                <w:sz w:val="18"/>
                <w:szCs w:val="18"/>
              </w:rPr>
              <w:t>od 5 do 8</w:t>
            </w:r>
          </w:p>
          <w:p w:rsidR="0018327E" w:rsidRPr="00C06FB8" w:rsidRDefault="0018327E" w:rsidP="0018327E">
            <w:pPr>
              <w:pStyle w:val="StylIwony"/>
              <w:spacing w:before="0" w:after="0"/>
              <w:jc w:val="center"/>
              <w:rPr>
                <w:rFonts w:ascii="Calibri" w:hAnsi="Calibri"/>
                <w:sz w:val="18"/>
                <w:szCs w:val="18"/>
              </w:rPr>
            </w:pPr>
            <w:r w:rsidRPr="00C06FB8">
              <w:rPr>
                <w:rFonts w:ascii="Calibri" w:hAnsi="Calibri"/>
                <w:sz w:val="18"/>
                <w:szCs w:val="18"/>
              </w:rPr>
              <w:t>7</w:t>
            </w:r>
          </w:p>
          <w:p w:rsidR="0018327E" w:rsidRPr="00C06FB8" w:rsidRDefault="0018327E" w:rsidP="0018327E">
            <w:pPr>
              <w:pStyle w:val="StylIwony"/>
              <w:spacing w:before="0" w:after="0"/>
              <w:jc w:val="center"/>
              <w:rPr>
                <w:rFonts w:ascii="Calibri" w:hAnsi="Calibri"/>
                <w:sz w:val="18"/>
                <w:szCs w:val="18"/>
              </w:rPr>
            </w:pPr>
            <w:r w:rsidRPr="00C06FB8">
              <w:rPr>
                <w:rFonts w:ascii="Calibri" w:hAnsi="Calibri"/>
                <w:sz w:val="18"/>
                <w:szCs w:val="18"/>
              </w:rPr>
              <w:t>od 5 do 8</w:t>
            </w:r>
          </w:p>
          <w:p w:rsidR="0018327E" w:rsidRPr="00C06FB8" w:rsidRDefault="0018327E" w:rsidP="0018327E">
            <w:pPr>
              <w:pStyle w:val="StylIwony"/>
              <w:spacing w:before="0" w:after="0"/>
              <w:jc w:val="center"/>
              <w:rPr>
                <w:rFonts w:ascii="Calibri" w:hAnsi="Calibri"/>
                <w:sz w:val="18"/>
                <w:szCs w:val="18"/>
              </w:rPr>
            </w:pPr>
            <w:r w:rsidRPr="00C06FB8">
              <w:rPr>
                <w:rFonts w:ascii="Calibri" w:hAnsi="Calibri"/>
                <w:sz w:val="18"/>
                <w:szCs w:val="18"/>
              </w:rPr>
              <w:t>6</w:t>
            </w:r>
          </w:p>
          <w:p w:rsidR="0018327E" w:rsidRPr="00C06FB8" w:rsidRDefault="0018327E" w:rsidP="0018327E">
            <w:pPr>
              <w:pStyle w:val="StylIwony"/>
              <w:spacing w:before="0" w:after="0"/>
              <w:jc w:val="center"/>
              <w:rPr>
                <w:rFonts w:ascii="Calibri" w:hAnsi="Calibri"/>
                <w:sz w:val="18"/>
                <w:szCs w:val="18"/>
              </w:rPr>
            </w:pPr>
            <w:r w:rsidRPr="00C06FB8">
              <w:rPr>
                <w:rFonts w:ascii="Calibri" w:hAnsi="Calibri"/>
                <w:sz w:val="18"/>
                <w:szCs w:val="18"/>
              </w:rPr>
              <w:t>od 6 do 8</w:t>
            </w:r>
          </w:p>
          <w:p w:rsidR="0018327E" w:rsidRPr="00C06FB8" w:rsidRDefault="0018327E" w:rsidP="0018327E">
            <w:pPr>
              <w:pStyle w:val="StylIwony"/>
              <w:spacing w:before="0" w:after="0"/>
              <w:jc w:val="center"/>
              <w:rPr>
                <w:rFonts w:ascii="Calibri" w:hAnsi="Calibri"/>
                <w:sz w:val="18"/>
                <w:szCs w:val="18"/>
              </w:rPr>
            </w:pPr>
            <w:r w:rsidRPr="00C06FB8">
              <w:rPr>
                <w:rFonts w:ascii="Calibri" w:hAnsi="Calibri"/>
                <w:sz w:val="18"/>
                <w:szCs w:val="18"/>
              </w:rPr>
              <w:t>10</w:t>
            </w:r>
          </w:p>
          <w:p w:rsidR="0018327E" w:rsidRPr="00C06FB8" w:rsidRDefault="0018327E" w:rsidP="0018327E">
            <w:pPr>
              <w:pStyle w:val="StylIwony"/>
              <w:spacing w:before="0" w:after="0"/>
              <w:jc w:val="center"/>
              <w:rPr>
                <w:rFonts w:ascii="Calibri" w:hAnsi="Calibri"/>
                <w:sz w:val="18"/>
                <w:szCs w:val="18"/>
              </w:rPr>
            </w:pPr>
            <w:r w:rsidRPr="00C06FB8">
              <w:rPr>
                <w:rFonts w:ascii="Calibri" w:hAnsi="Calibri"/>
                <w:sz w:val="18"/>
                <w:szCs w:val="18"/>
              </w:rPr>
              <w:t>8</w:t>
            </w:r>
          </w:p>
          <w:p w:rsidR="0018327E" w:rsidRPr="00C06FB8" w:rsidRDefault="0018327E" w:rsidP="0018327E">
            <w:pPr>
              <w:pStyle w:val="StylIwony"/>
              <w:spacing w:before="0" w:after="0"/>
              <w:jc w:val="center"/>
              <w:rPr>
                <w:rFonts w:ascii="Calibri" w:hAnsi="Calibri"/>
                <w:sz w:val="18"/>
                <w:szCs w:val="18"/>
              </w:rPr>
            </w:pPr>
            <w:r w:rsidRPr="00C06FB8">
              <w:rPr>
                <w:rFonts w:ascii="Calibri" w:hAnsi="Calibri"/>
                <w:sz w:val="18"/>
                <w:szCs w:val="18"/>
              </w:rPr>
              <w:t>8</w:t>
            </w:r>
          </w:p>
          <w:p w:rsidR="0018327E" w:rsidRPr="00C06FB8" w:rsidRDefault="0018327E" w:rsidP="0018327E">
            <w:pPr>
              <w:pStyle w:val="StylIwony"/>
              <w:spacing w:before="0" w:after="0"/>
              <w:jc w:val="center"/>
              <w:rPr>
                <w:rFonts w:ascii="Calibri" w:hAnsi="Calibri"/>
                <w:sz w:val="18"/>
                <w:szCs w:val="18"/>
              </w:rPr>
            </w:pPr>
            <w:r w:rsidRPr="00C06FB8">
              <w:rPr>
                <w:rFonts w:ascii="Calibri" w:hAnsi="Calibri"/>
                <w:sz w:val="18"/>
                <w:szCs w:val="18"/>
              </w:rPr>
              <w:t>od 7 do 10</w:t>
            </w:r>
          </w:p>
        </w:tc>
        <w:tc>
          <w:tcPr>
            <w:tcW w:w="1985" w:type="dxa"/>
            <w:tcBorders>
              <w:left w:val="single" w:sz="6" w:space="0" w:color="auto"/>
              <w:bottom w:val="single" w:sz="6" w:space="0" w:color="auto"/>
              <w:right w:val="single" w:sz="6" w:space="0" w:color="auto"/>
            </w:tcBorders>
          </w:tcPr>
          <w:p w:rsidR="0018327E" w:rsidRPr="00C06FB8" w:rsidRDefault="0018327E" w:rsidP="0018327E">
            <w:pPr>
              <w:pStyle w:val="StylIwony"/>
              <w:spacing w:before="0" w:after="0"/>
              <w:jc w:val="center"/>
              <w:rPr>
                <w:rFonts w:ascii="Calibri" w:hAnsi="Calibri"/>
                <w:sz w:val="18"/>
                <w:szCs w:val="18"/>
              </w:rPr>
            </w:pPr>
          </w:p>
          <w:p w:rsidR="0018327E" w:rsidRPr="00C06FB8" w:rsidRDefault="0018327E" w:rsidP="0018327E">
            <w:pPr>
              <w:pStyle w:val="StylIwony"/>
              <w:spacing w:before="0" w:after="0"/>
              <w:jc w:val="center"/>
              <w:rPr>
                <w:rFonts w:ascii="Calibri" w:hAnsi="Calibri"/>
                <w:sz w:val="18"/>
                <w:szCs w:val="18"/>
              </w:rPr>
            </w:pPr>
            <w:r w:rsidRPr="00C06FB8">
              <w:rPr>
                <w:rFonts w:ascii="Calibri" w:hAnsi="Calibri"/>
                <w:sz w:val="18"/>
                <w:szCs w:val="18"/>
              </w:rPr>
              <w:t>od 2,24 do 2,76</w:t>
            </w:r>
          </w:p>
          <w:p w:rsidR="0018327E" w:rsidRPr="00C06FB8" w:rsidRDefault="0018327E" w:rsidP="0018327E">
            <w:pPr>
              <w:pStyle w:val="StylIwony"/>
              <w:spacing w:before="0" w:after="0"/>
              <w:jc w:val="center"/>
              <w:rPr>
                <w:rFonts w:ascii="Calibri" w:hAnsi="Calibri"/>
                <w:sz w:val="18"/>
                <w:szCs w:val="18"/>
              </w:rPr>
            </w:pPr>
            <w:r w:rsidRPr="00C06FB8">
              <w:rPr>
                <w:rFonts w:ascii="Calibri" w:hAnsi="Calibri"/>
                <w:sz w:val="18"/>
                <w:szCs w:val="18"/>
              </w:rPr>
              <w:t>od 3,76 do 4,46</w:t>
            </w:r>
          </w:p>
          <w:p w:rsidR="0018327E" w:rsidRPr="00C06FB8" w:rsidRDefault="0018327E" w:rsidP="0018327E">
            <w:pPr>
              <w:pStyle w:val="StylIwony"/>
              <w:spacing w:before="0" w:after="0"/>
              <w:jc w:val="center"/>
              <w:rPr>
                <w:rFonts w:ascii="Calibri" w:hAnsi="Calibri"/>
                <w:sz w:val="18"/>
                <w:szCs w:val="18"/>
              </w:rPr>
            </w:pPr>
            <w:r w:rsidRPr="00C06FB8">
              <w:rPr>
                <w:rFonts w:ascii="Calibri" w:hAnsi="Calibri"/>
                <w:sz w:val="18"/>
                <w:szCs w:val="18"/>
              </w:rPr>
              <w:t>od 4,35 do 6,75</w:t>
            </w:r>
          </w:p>
          <w:p w:rsidR="0018327E" w:rsidRPr="00C06FB8" w:rsidRDefault="0018327E" w:rsidP="0018327E">
            <w:pPr>
              <w:pStyle w:val="StylIwony"/>
              <w:spacing w:before="0" w:after="0"/>
              <w:jc w:val="center"/>
              <w:rPr>
                <w:rFonts w:ascii="Calibri" w:hAnsi="Calibri"/>
                <w:sz w:val="18"/>
                <w:szCs w:val="18"/>
              </w:rPr>
            </w:pPr>
            <w:r w:rsidRPr="00C06FB8">
              <w:rPr>
                <w:rFonts w:ascii="Calibri" w:hAnsi="Calibri"/>
                <w:sz w:val="18"/>
                <w:szCs w:val="18"/>
              </w:rPr>
              <w:t>6,24</w:t>
            </w:r>
          </w:p>
          <w:p w:rsidR="0018327E" w:rsidRPr="00C06FB8" w:rsidRDefault="0018327E" w:rsidP="0018327E">
            <w:pPr>
              <w:pStyle w:val="StylIwony"/>
              <w:spacing w:before="0" w:after="0"/>
              <w:jc w:val="center"/>
              <w:rPr>
                <w:rFonts w:ascii="Calibri" w:hAnsi="Calibri"/>
                <w:sz w:val="18"/>
                <w:szCs w:val="18"/>
              </w:rPr>
            </w:pPr>
            <w:r w:rsidRPr="00C06FB8">
              <w:rPr>
                <w:rFonts w:ascii="Calibri" w:hAnsi="Calibri"/>
                <w:sz w:val="18"/>
                <w:szCs w:val="18"/>
              </w:rPr>
              <w:t>od 4,75 do 7,39</w:t>
            </w:r>
          </w:p>
          <w:p w:rsidR="0018327E" w:rsidRPr="00C06FB8" w:rsidRDefault="0018327E" w:rsidP="0018327E">
            <w:pPr>
              <w:pStyle w:val="StylIwony"/>
              <w:spacing w:before="0" w:after="0"/>
              <w:jc w:val="center"/>
              <w:rPr>
                <w:rFonts w:ascii="Calibri" w:hAnsi="Calibri"/>
                <w:sz w:val="18"/>
                <w:szCs w:val="18"/>
              </w:rPr>
            </w:pPr>
            <w:r w:rsidRPr="00C06FB8">
              <w:rPr>
                <w:rFonts w:ascii="Calibri" w:hAnsi="Calibri"/>
                <w:sz w:val="18"/>
                <w:szCs w:val="18"/>
              </w:rPr>
              <w:t>5,41</w:t>
            </w:r>
          </w:p>
          <w:p w:rsidR="0018327E" w:rsidRPr="00C06FB8" w:rsidRDefault="0018327E" w:rsidP="0018327E">
            <w:pPr>
              <w:pStyle w:val="StylIwony"/>
              <w:spacing w:before="0" w:after="0"/>
              <w:jc w:val="center"/>
              <w:rPr>
                <w:rFonts w:ascii="Calibri" w:hAnsi="Calibri"/>
                <w:sz w:val="18"/>
                <w:szCs w:val="18"/>
              </w:rPr>
            </w:pPr>
            <w:r w:rsidRPr="00C06FB8">
              <w:rPr>
                <w:rFonts w:ascii="Calibri" w:hAnsi="Calibri"/>
                <w:sz w:val="18"/>
                <w:szCs w:val="18"/>
              </w:rPr>
              <w:t>od 6,37 do 8,34</w:t>
            </w:r>
          </w:p>
          <w:p w:rsidR="0018327E" w:rsidRPr="00C06FB8" w:rsidRDefault="0018327E" w:rsidP="0018327E">
            <w:pPr>
              <w:pStyle w:val="StylIwony"/>
              <w:spacing w:before="0" w:after="0"/>
              <w:jc w:val="center"/>
              <w:rPr>
                <w:rFonts w:ascii="Calibri" w:hAnsi="Calibri"/>
                <w:sz w:val="18"/>
                <w:szCs w:val="18"/>
              </w:rPr>
            </w:pPr>
            <w:r w:rsidRPr="00C06FB8">
              <w:rPr>
                <w:rFonts w:ascii="Calibri" w:hAnsi="Calibri"/>
                <w:sz w:val="18"/>
                <w:szCs w:val="18"/>
              </w:rPr>
              <w:t>10,7</w:t>
            </w:r>
          </w:p>
          <w:p w:rsidR="0018327E" w:rsidRPr="00C06FB8" w:rsidRDefault="0018327E" w:rsidP="0018327E">
            <w:pPr>
              <w:pStyle w:val="StylIwony"/>
              <w:spacing w:before="0" w:after="0"/>
              <w:jc w:val="center"/>
              <w:rPr>
                <w:rFonts w:ascii="Calibri" w:hAnsi="Calibri"/>
                <w:sz w:val="18"/>
                <w:szCs w:val="18"/>
              </w:rPr>
            </w:pPr>
            <w:r w:rsidRPr="00C06FB8">
              <w:rPr>
                <w:rFonts w:ascii="Calibri" w:hAnsi="Calibri"/>
                <w:sz w:val="18"/>
                <w:szCs w:val="18"/>
              </w:rPr>
              <w:t>8,96</w:t>
            </w:r>
          </w:p>
          <w:p w:rsidR="0018327E" w:rsidRPr="00C06FB8" w:rsidRDefault="0018327E" w:rsidP="0018327E">
            <w:pPr>
              <w:pStyle w:val="StylIwony"/>
              <w:spacing w:before="0" w:after="0"/>
              <w:jc w:val="center"/>
              <w:rPr>
                <w:rFonts w:ascii="Calibri" w:hAnsi="Calibri"/>
                <w:sz w:val="18"/>
                <w:szCs w:val="18"/>
              </w:rPr>
            </w:pPr>
            <w:r w:rsidRPr="00C06FB8">
              <w:rPr>
                <w:rFonts w:ascii="Calibri" w:hAnsi="Calibri"/>
                <w:sz w:val="18"/>
                <w:szCs w:val="18"/>
              </w:rPr>
              <w:t>8,99</w:t>
            </w:r>
          </w:p>
          <w:p w:rsidR="0018327E" w:rsidRPr="00C06FB8" w:rsidRDefault="0018327E" w:rsidP="0018327E">
            <w:pPr>
              <w:pStyle w:val="StylIwony"/>
              <w:spacing w:before="0" w:after="0"/>
              <w:jc w:val="center"/>
              <w:rPr>
                <w:rFonts w:ascii="Calibri" w:hAnsi="Calibri"/>
                <w:sz w:val="18"/>
                <w:szCs w:val="18"/>
              </w:rPr>
            </w:pPr>
            <w:r w:rsidRPr="00C06FB8">
              <w:rPr>
                <w:rFonts w:ascii="Calibri" w:hAnsi="Calibri"/>
                <w:sz w:val="18"/>
                <w:szCs w:val="18"/>
              </w:rPr>
              <w:t>od 8,77 do 12,3</w:t>
            </w:r>
          </w:p>
        </w:tc>
        <w:tc>
          <w:tcPr>
            <w:tcW w:w="1559" w:type="dxa"/>
            <w:tcBorders>
              <w:left w:val="single" w:sz="6" w:space="0" w:color="auto"/>
              <w:bottom w:val="single" w:sz="6" w:space="0" w:color="auto"/>
              <w:right w:val="single" w:sz="6" w:space="0" w:color="auto"/>
            </w:tcBorders>
          </w:tcPr>
          <w:p w:rsidR="0018327E" w:rsidRPr="00C06FB8" w:rsidRDefault="0018327E" w:rsidP="0018327E">
            <w:pPr>
              <w:pStyle w:val="StylIwony"/>
              <w:spacing w:before="0" w:after="0"/>
              <w:jc w:val="center"/>
              <w:rPr>
                <w:rFonts w:ascii="Calibri" w:hAnsi="Calibri"/>
                <w:sz w:val="18"/>
                <w:szCs w:val="18"/>
              </w:rPr>
            </w:pPr>
          </w:p>
          <w:p w:rsidR="0018327E" w:rsidRPr="00C06FB8" w:rsidRDefault="0018327E" w:rsidP="0018327E">
            <w:pPr>
              <w:pStyle w:val="StylIwony"/>
              <w:spacing w:before="0" w:after="0"/>
              <w:jc w:val="center"/>
              <w:rPr>
                <w:rFonts w:ascii="Calibri" w:hAnsi="Calibri"/>
                <w:sz w:val="18"/>
                <w:szCs w:val="18"/>
              </w:rPr>
            </w:pPr>
            <w:r w:rsidRPr="00C06FB8">
              <w:rPr>
                <w:rFonts w:ascii="Calibri" w:hAnsi="Calibri"/>
                <w:sz w:val="18"/>
                <w:szCs w:val="18"/>
              </w:rPr>
              <w:sym w:font="Symbol" w:char="F0B1"/>
            </w:r>
            <w:r w:rsidRPr="00C06FB8">
              <w:rPr>
                <w:rFonts w:ascii="Calibri" w:hAnsi="Calibri"/>
                <w:sz w:val="18"/>
                <w:szCs w:val="18"/>
              </w:rPr>
              <w:t xml:space="preserve"> 1</w:t>
            </w:r>
          </w:p>
          <w:p w:rsidR="0018327E" w:rsidRPr="00C06FB8" w:rsidRDefault="0018327E" w:rsidP="0018327E">
            <w:pPr>
              <w:pStyle w:val="StylIwony"/>
              <w:pBdr>
                <w:bottom w:val="single" w:sz="6" w:space="1" w:color="auto"/>
              </w:pBdr>
              <w:spacing w:before="0" w:after="0"/>
              <w:jc w:val="center"/>
              <w:rPr>
                <w:rFonts w:ascii="Calibri" w:hAnsi="Calibri"/>
                <w:sz w:val="18"/>
                <w:szCs w:val="18"/>
              </w:rPr>
            </w:pPr>
            <w:r w:rsidRPr="00C06FB8">
              <w:rPr>
                <w:rFonts w:ascii="Calibri" w:hAnsi="Calibri"/>
                <w:sz w:val="18"/>
                <w:szCs w:val="18"/>
              </w:rPr>
              <w:sym w:font="Symbol" w:char="F0B1"/>
            </w:r>
            <w:r w:rsidRPr="00C06FB8">
              <w:rPr>
                <w:rFonts w:ascii="Calibri" w:hAnsi="Calibri"/>
                <w:sz w:val="18"/>
                <w:szCs w:val="18"/>
              </w:rPr>
              <w:t xml:space="preserve"> 1,5;   </w:t>
            </w:r>
            <w:r w:rsidRPr="00C06FB8">
              <w:rPr>
                <w:rFonts w:ascii="Calibri" w:hAnsi="Calibri"/>
                <w:sz w:val="18"/>
                <w:szCs w:val="18"/>
              </w:rPr>
              <w:sym w:font="Symbol" w:char="F0B1"/>
            </w:r>
            <w:r w:rsidRPr="00C06FB8">
              <w:rPr>
                <w:rFonts w:ascii="Calibri" w:hAnsi="Calibri"/>
                <w:sz w:val="18"/>
                <w:szCs w:val="18"/>
              </w:rPr>
              <w:t xml:space="preserve"> 1,0</w:t>
            </w:r>
          </w:p>
          <w:p w:rsidR="0018327E" w:rsidRPr="00C06FB8" w:rsidRDefault="0018327E" w:rsidP="0018327E">
            <w:pPr>
              <w:pStyle w:val="StylIwony"/>
              <w:spacing w:before="0" w:after="0"/>
              <w:jc w:val="center"/>
              <w:rPr>
                <w:rFonts w:ascii="Calibri" w:hAnsi="Calibri"/>
                <w:sz w:val="18"/>
                <w:szCs w:val="18"/>
              </w:rPr>
            </w:pPr>
          </w:p>
          <w:p w:rsidR="0018327E" w:rsidRPr="00C06FB8" w:rsidRDefault="0018327E" w:rsidP="0018327E">
            <w:pPr>
              <w:pStyle w:val="StylIwony"/>
              <w:spacing w:before="0" w:after="0"/>
              <w:jc w:val="center"/>
              <w:rPr>
                <w:rFonts w:ascii="Calibri" w:hAnsi="Calibri"/>
                <w:sz w:val="18"/>
                <w:szCs w:val="18"/>
              </w:rPr>
            </w:pPr>
            <w:r w:rsidRPr="00C06FB8">
              <w:rPr>
                <w:rFonts w:ascii="Calibri" w:hAnsi="Calibri"/>
                <w:sz w:val="18"/>
                <w:szCs w:val="18"/>
              </w:rPr>
              <w:sym w:font="Symbol" w:char="F0B1"/>
            </w:r>
            <w:r w:rsidRPr="00C06FB8">
              <w:rPr>
                <w:rFonts w:ascii="Calibri" w:hAnsi="Calibri"/>
                <w:sz w:val="18"/>
                <w:szCs w:val="18"/>
              </w:rPr>
              <w:t xml:space="preserve"> 1,5</w:t>
            </w:r>
          </w:p>
          <w:p w:rsidR="0018327E" w:rsidRPr="00C06FB8" w:rsidRDefault="0018327E" w:rsidP="0018327E">
            <w:pPr>
              <w:pStyle w:val="StylIwony"/>
              <w:spacing w:before="0" w:after="0"/>
              <w:jc w:val="center"/>
              <w:rPr>
                <w:rFonts w:ascii="Calibri" w:hAnsi="Calibri"/>
                <w:sz w:val="18"/>
                <w:szCs w:val="18"/>
              </w:rPr>
            </w:pPr>
          </w:p>
          <w:p w:rsidR="0018327E" w:rsidRPr="00C06FB8" w:rsidRDefault="0018327E" w:rsidP="0018327E">
            <w:pPr>
              <w:pStyle w:val="StylIwony"/>
              <w:pBdr>
                <w:top w:val="single" w:sz="6" w:space="1" w:color="auto"/>
                <w:bottom w:val="single" w:sz="6" w:space="1" w:color="auto"/>
              </w:pBdr>
              <w:spacing w:before="0" w:after="0"/>
              <w:jc w:val="center"/>
              <w:rPr>
                <w:rFonts w:ascii="Calibri" w:hAnsi="Calibri"/>
                <w:sz w:val="18"/>
                <w:szCs w:val="18"/>
              </w:rPr>
            </w:pPr>
            <w:r w:rsidRPr="00C06FB8">
              <w:rPr>
                <w:rFonts w:ascii="Calibri" w:hAnsi="Calibri"/>
                <w:sz w:val="18"/>
                <w:szCs w:val="18"/>
              </w:rPr>
              <w:sym w:font="Symbol" w:char="F0B1"/>
            </w:r>
            <w:r w:rsidRPr="00C06FB8">
              <w:rPr>
                <w:rFonts w:ascii="Calibri" w:hAnsi="Calibri"/>
                <w:sz w:val="18"/>
                <w:szCs w:val="18"/>
              </w:rPr>
              <w:t xml:space="preserve"> 1,5;   </w:t>
            </w:r>
            <w:r w:rsidRPr="00C06FB8">
              <w:rPr>
                <w:rFonts w:ascii="Calibri" w:hAnsi="Calibri"/>
                <w:sz w:val="18"/>
                <w:szCs w:val="18"/>
              </w:rPr>
              <w:sym w:font="Symbol" w:char="F0B1"/>
            </w:r>
            <w:r w:rsidRPr="00C06FB8">
              <w:rPr>
                <w:rFonts w:ascii="Calibri" w:hAnsi="Calibri"/>
                <w:sz w:val="18"/>
                <w:szCs w:val="18"/>
              </w:rPr>
              <w:t xml:space="preserve"> 1,0</w:t>
            </w:r>
          </w:p>
          <w:p w:rsidR="0018327E" w:rsidRPr="00C06FB8" w:rsidRDefault="0018327E" w:rsidP="0018327E">
            <w:pPr>
              <w:pStyle w:val="StylIwony"/>
              <w:spacing w:before="0" w:after="0"/>
              <w:jc w:val="center"/>
              <w:rPr>
                <w:rFonts w:ascii="Calibri" w:hAnsi="Calibri"/>
                <w:sz w:val="18"/>
                <w:szCs w:val="18"/>
              </w:rPr>
            </w:pPr>
          </w:p>
          <w:p w:rsidR="0018327E" w:rsidRPr="00C06FB8" w:rsidRDefault="0018327E" w:rsidP="0018327E">
            <w:pPr>
              <w:pStyle w:val="StylIwony"/>
              <w:spacing w:before="0" w:after="0"/>
              <w:jc w:val="center"/>
              <w:rPr>
                <w:rFonts w:ascii="Calibri" w:hAnsi="Calibri"/>
                <w:sz w:val="18"/>
                <w:szCs w:val="18"/>
              </w:rPr>
            </w:pPr>
          </w:p>
          <w:p w:rsidR="0018327E" w:rsidRPr="00C06FB8" w:rsidRDefault="0018327E" w:rsidP="0018327E">
            <w:pPr>
              <w:pStyle w:val="StylIwony"/>
              <w:spacing w:before="0" w:after="0"/>
              <w:jc w:val="center"/>
              <w:rPr>
                <w:rFonts w:ascii="Calibri" w:hAnsi="Calibri"/>
                <w:sz w:val="18"/>
                <w:szCs w:val="18"/>
              </w:rPr>
            </w:pPr>
            <w:r w:rsidRPr="00C06FB8">
              <w:rPr>
                <w:rFonts w:ascii="Calibri" w:hAnsi="Calibri"/>
                <w:sz w:val="18"/>
                <w:szCs w:val="18"/>
              </w:rPr>
              <w:sym w:font="Symbol" w:char="F0B1"/>
            </w:r>
            <w:r w:rsidRPr="00C06FB8">
              <w:rPr>
                <w:rFonts w:ascii="Calibri" w:hAnsi="Calibri"/>
                <w:sz w:val="18"/>
                <w:szCs w:val="18"/>
              </w:rPr>
              <w:t xml:space="preserve"> 1,5</w:t>
            </w:r>
          </w:p>
        </w:tc>
        <w:tc>
          <w:tcPr>
            <w:tcW w:w="1559" w:type="dxa"/>
            <w:tcBorders>
              <w:left w:val="single" w:sz="6" w:space="0" w:color="auto"/>
              <w:bottom w:val="single" w:sz="6" w:space="0" w:color="auto"/>
              <w:right w:val="single" w:sz="6" w:space="0" w:color="auto"/>
            </w:tcBorders>
          </w:tcPr>
          <w:p w:rsidR="0018327E" w:rsidRPr="00C06FB8" w:rsidRDefault="0018327E" w:rsidP="0018327E">
            <w:pPr>
              <w:pStyle w:val="StylIwony"/>
              <w:spacing w:before="0" w:after="0"/>
              <w:jc w:val="center"/>
              <w:rPr>
                <w:rFonts w:ascii="Calibri" w:hAnsi="Calibri"/>
                <w:sz w:val="18"/>
                <w:szCs w:val="18"/>
              </w:rPr>
            </w:pPr>
          </w:p>
          <w:p w:rsidR="0018327E" w:rsidRPr="00C06FB8" w:rsidRDefault="0018327E" w:rsidP="0018327E">
            <w:pPr>
              <w:pStyle w:val="StylIwony"/>
              <w:spacing w:before="0" w:after="0"/>
              <w:jc w:val="center"/>
              <w:rPr>
                <w:rFonts w:ascii="Calibri" w:hAnsi="Calibri"/>
                <w:sz w:val="18"/>
                <w:szCs w:val="18"/>
              </w:rPr>
            </w:pPr>
          </w:p>
          <w:p w:rsidR="0018327E" w:rsidRPr="00C06FB8" w:rsidRDefault="0018327E" w:rsidP="0018327E">
            <w:pPr>
              <w:pStyle w:val="StylIwony"/>
              <w:pBdr>
                <w:bottom w:val="single" w:sz="6" w:space="1" w:color="auto"/>
              </w:pBdr>
              <w:spacing w:before="0" w:after="0"/>
              <w:jc w:val="center"/>
              <w:rPr>
                <w:rFonts w:ascii="Calibri" w:hAnsi="Calibri"/>
                <w:sz w:val="18"/>
                <w:szCs w:val="18"/>
              </w:rPr>
            </w:pPr>
            <w:r w:rsidRPr="00C06FB8">
              <w:rPr>
                <w:rFonts w:ascii="Calibri" w:hAnsi="Calibri"/>
                <w:sz w:val="18"/>
                <w:szCs w:val="18"/>
              </w:rPr>
              <w:t>+ 0,3;   - 0,5</w:t>
            </w:r>
          </w:p>
          <w:p w:rsidR="0018327E" w:rsidRPr="00C06FB8" w:rsidRDefault="0018327E" w:rsidP="0018327E">
            <w:pPr>
              <w:pStyle w:val="StylIwony"/>
              <w:spacing w:before="0" w:after="0"/>
              <w:jc w:val="center"/>
              <w:rPr>
                <w:rFonts w:ascii="Calibri" w:hAnsi="Calibri"/>
                <w:sz w:val="18"/>
                <w:szCs w:val="18"/>
              </w:rPr>
            </w:pPr>
          </w:p>
          <w:p w:rsidR="0018327E" w:rsidRPr="00C06FB8" w:rsidRDefault="0018327E" w:rsidP="0018327E">
            <w:pPr>
              <w:pStyle w:val="StylIwony"/>
              <w:spacing w:before="0" w:after="0"/>
              <w:jc w:val="center"/>
              <w:rPr>
                <w:rFonts w:ascii="Calibri" w:hAnsi="Calibri"/>
                <w:sz w:val="18"/>
                <w:szCs w:val="18"/>
              </w:rPr>
            </w:pPr>
          </w:p>
          <w:p w:rsidR="0018327E" w:rsidRPr="00C06FB8" w:rsidRDefault="0018327E" w:rsidP="0018327E">
            <w:pPr>
              <w:pStyle w:val="StylIwony"/>
              <w:spacing w:before="0" w:after="0"/>
              <w:jc w:val="center"/>
              <w:rPr>
                <w:rFonts w:ascii="Calibri" w:hAnsi="Calibri"/>
                <w:sz w:val="18"/>
                <w:szCs w:val="18"/>
              </w:rPr>
            </w:pPr>
          </w:p>
          <w:p w:rsidR="0018327E" w:rsidRPr="00C06FB8" w:rsidRDefault="0018327E" w:rsidP="0018327E">
            <w:pPr>
              <w:pStyle w:val="StylIwony"/>
              <w:spacing w:before="0" w:after="0"/>
              <w:jc w:val="center"/>
              <w:rPr>
                <w:rFonts w:ascii="Calibri" w:hAnsi="Calibri"/>
                <w:sz w:val="18"/>
                <w:szCs w:val="18"/>
              </w:rPr>
            </w:pPr>
          </w:p>
          <w:p w:rsidR="0018327E" w:rsidRPr="00C06FB8" w:rsidRDefault="0018327E" w:rsidP="0018327E">
            <w:pPr>
              <w:pStyle w:val="StylIwony"/>
              <w:spacing w:before="0" w:after="0"/>
              <w:jc w:val="center"/>
              <w:rPr>
                <w:rFonts w:ascii="Calibri" w:hAnsi="Calibri"/>
                <w:sz w:val="18"/>
                <w:szCs w:val="18"/>
              </w:rPr>
            </w:pPr>
            <w:r w:rsidRPr="00C06FB8">
              <w:rPr>
                <w:rFonts w:ascii="Calibri" w:hAnsi="Calibri"/>
                <w:sz w:val="18"/>
                <w:szCs w:val="18"/>
              </w:rPr>
              <w:t>+ 0,4;   - 0,7</w:t>
            </w:r>
          </w:p>
        </w:tc>
      </w:tr>
    </w:tbl>
    <w:p w:rsidR="0018327E" w:rsidRDefault="0018327E" w:rsidP="0018327E">
      <w:pPr>
        <w:rPr>
          <w:rFonts w:ascii="Calibri" w:hAnsi="Calibri"/>
        </w:rPr>
      </w:pPr>
    </w:p>
    <w:p w:rsidR="000C27BF" w:rsidRDefault="000C27BF" w:rsidP="0018327E">
      <w:pPr>
        <w:rPr>
          <w:rFonts w:ascii="Calibri" w:hAnsi="Calibri"/>
        </w:rPr>
      </w:pPr>
    </w:p>
    <w:p w:rsidR="000C27BF" w:rsidRDefault="000C27BF" w:rsidP="0018327E">
      <w:pPr>
        <w:rPr>
          <w:rFonts w:ascii="Calibri" w:hAnsi="Calibri"/>
        </w:rPr>
      </w:pPr>
    </w:p>
    <w:p w:rsidR="000C27BF" w:rsidRPr="00C06FB8" w:rsidRDefault="000C27BF" w:rsidP="0018327E">
      <w:pPr>
        <w:rPr>
          <w:rFonts w:ascii="Calibri" w:hAnsi="Calibri"/>
        </w:rPr>
      </w:pPr>
    </w:p>
    <w:p w:rsidR="0018327E" w:rsidRDefault="0018327E" w:rsidP="0018327E">
      <w:pPr>
        <w:ind w:left="709"/>
        <w:rPr>
          <w:rFonts w:asciiTheme="minorHAnsi" w:hAnsiTheme="minorHAnsi"/>
        </w:rPr>
      </w:pPr>
    </w:p>
    <w:p w:rsidR="0018327E" w:rsidRPr="00C06FB8" w:rsidRDefault="0018327E" w:rsidP="0018327E">
      <w:pPr>
        <w:ind w:left="709"/>
        <w:rPr>
          <w:rFonts w:ascii="Calibri" w:hAnsi="Calibri"/>
        </w:rPr>
      </w:pPr>
      <w:r>
        <w:rPr>
          <w:rFonts w:asciiTheme="minorHAnsi" w:hAnsiTheme="minorHAnsi"/>
        </w:rPr>
        <w:lastRenderedPageBreak/>
        <w:t>Tablica 5</w:t>
      </w:r>
      <w:r w:rsidRPr="00C06FB8">
        <w:rPr>
          <w:rFonts w:ascii="Calibri" w:hAnsi="Calibri"/>
        </w:rPr>
        <w:t>. Ceown</w:t>
      </w:r>
      <w:r>
        <w:rPr>
          <w:rFonts w:asciiTheme="minorHAnsi" w:hAnsiTheme="minorHAnsi"/>
        </w:rPr>
        <w:t>iki walcowane wg PN-H-93403</w:t>
      </w:r>
    </w:p>
    <w:tbl>
      <w:tblPr>
        <w:tblW w:w="0" w:type="auto"/>
        <w:tblInd w:w="779" w:type="dxa"/>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ayout w:type="fixed"/>
        <w:tblCellMar>
          <w:left w:w="70" w:type="dxa"/>
          <w:right w:w="70" w:type="dxa"/>
        </w:tblCellMar>
        <w:tblLook w:val="0000"/>
      </w:tblPr>
      <w:tblGrid>
        <w:gridCol w:w="779"/>
        <w:gridCol w:w="851"/>
        <w:gridCol w:w="850"/>
        <w:gridCol w:w="992"/>
        <w:gridCol w:w="1134"/>
        <w:gridCol w:w="993"/>
        <w:gridCol w:w="992"/>
        <w:gridCol w:w="992"/>
      </w:tblGrid>
      <w:tr w:rsidR="0018327E" w:rsidRPr="00C06FB8" w:rsidTr="0018327E">
        <w:tc>
          <w:tcPr>
            <w:tcW w:w="779" w:type="dxa"/>
            <w:tcBorders>
              <w:bottom w:val="nil"/>
            </w:tcBorders>
          </w:tcPr>
          <w:p w:rsidR="0018327E" w:rsidRPr="00C06FB8" w:rsidRDefault="0018327E" w:rsidP="0018327E">
            <w:pPr>
              <w:pStyle w:val="StylIwony"/>
              <w:spacing w:before="0" w:after="0"/>
              <w:rPr>
                <w:rFonts w:ascii="Calibri" w:hAnsi="Calibri"/>
                <w:sz w:val="18"/>
                <w:szCs w:val="18"/>
              </w:rPr>
            </w:pPr>
          </w:p>
        </w:tc>
        <w:tc>
          <w:tcPr>
            <w:tcW w:w="2693" w:type="dxa"/>
            <w:gridSpan w:val="3"/>
          </w:tcPr>
          <w:p w:rsidR="0018327E" w:rsidRPr="00C06FB8" w:rsidRDefault="0018327E" w:rsidP="0018327E">
            <w:pPr>
              <w:pStyle w:val="StylIwony"/>
              <w:spacing w:before="0" w:after="0"/>
              <w:jc w:val="center"/>
              <w:rPr>
                <w:rFonts w:ascii="Calibri" w:hAnsi="Calibri"/>
                <w:sz w:val="18"/>
                <w:szCs w:val="18"/>
              </w:rPr>
            </w:pPr>
            <w:r w:rsidRPr="00C06FB8">
              <w:rPr>
                <w:rFonts w:ascii="Calibri" w:hAnsi="Calibri"/>
                <w:sz w:val="18"/>
                <w:szCs w:val="18"/>
              </w:rPr>
              <w:t>Wymiary - mm</w:t>
            </w:r>
          </w:p>
        </w:tc>
        <w:tc>
          <w:tcPr>
            <w:tcW w:w="1134" w:type="dxa"/>
            <w:tcBorders>
              <w:bottom w:val="nil"/>
            </w:tcBorders>
          </w:tcPr>
          <w:p w:rsidR="0018327E" w:rsidRPr="00C06FB8" w:rsidRDefault="0018327E" w:rsidP="0018327E">
            <w:pPr>
              <w:pStyle w:val="StylIwony"/>
              <w:spacing w:before="0" w:after="0"/>
              <w:jc w:val="center"/>
              <w:rPr>
                <w:rFonts w:ascii="Calibri" w:hAnsi="Calibri"/>
                <w:sz w:val="18"/>
                <w:szCs w:val="18"/>
              </w:rPr>
            </w:pPr>
            <w:r w:rsidRPr="00C06FB8">
              <w:rPr>
                <w:rFonts w:ascii="Calibri" w:hAnsi="Calibri"/>
                <w:sz w:val="18"/>
                <w:szCs w:val="18"/>
              </w:rPr>
              <w:t>Masa</w:t>
            </w:r>
          </w:p>
        </w:tc>
        <w:tc>
          <w:tcPr>
            <w:tcW w:w="2977" w:type="dxa"/>
            <w:gridSpan w:val="3"/>
          </w:tcPr>
          <w:p w:rsidR="0018327E" w:rsidRPr="00C06FB8" w:rsidRDefault="0018327E" w:rsidP="0018327E">
            <w:pPr>
              <w:pStyle w:val="StylIwony"/>
              <w:spacing w:before="0" w:after="0"/>
              <w:jc w:val="center"/>
              <w:rPr>
                <w:rFonts w:ascii="Calibri" w:hAnsi="Calibri"/>
                <w:sz w:val="18"/>
                <w:szCs w:val="18"/>
              </w:rPr>
            </w:pPr>
            <w:r w:rsidRPr="00C06FB8">
              <w:rPr>
                <w:rFonts w:ascii="Calibri" w:hAnsi="Calibri"/>
                <w:sz w:val="18"/>
                <w:szCs w:val="18"/>
              </w:rPr>
              <w:t>Dopuszczalne odchyłki mm</w:t>
            </w:r>
          </w:p>
        </w:tc>
      </w:tr>
      <w:tr w:rsidR="0018327E" w:rsidRPr="00C06FB8" w:rsidTr="0018327E">
        <w:tc>
          <w:tcPr>
            <w:tcW w:w="779" w:type="dxa"/>
            <w:tcBorders>
              <w:top w:val="nil"/>
              <w:bottom w:val="double" w:sz="6" w:space="0" w:color="auto"/>
            </w:tcBorders>
          </w:tcPr>
          <w:p w:rsidR="0018327E" w:rsidRPr="00C06FB8" w:rsidRDefault="0018327E" w:rsidP="0018327E">
            <w:pPr>
              <w:pStyle w:val="StylIwony"/>
              <w:spacing w:before="0" w:after="0"/>
              <w:jc w:val="center"/>
              <w:rPr>
                <w:rFonts w:ascii="Calibri" w:hAnsi="Calibri"/>
                <w:sz w:val="18"/>
                <w:szCs w:val="18"/>
              </w:rPr>
            </w:pPr>
            <w:r w:rsidRPr="00C06FB8">
              <w:rPr>
                <w:rFonts w:ascii="Calibri" w:hAnsi="Calibri"/>
                <w:sz w:val="18"/>
                <w:szCs w:val="18"/>
              </w:rPr>
              <w:t>Ozna</w:t>
            </w:r>
            <w:r w:rsidRPr="00C06FB8">
              <w:rPr>
                <w:rFonts w:ascii="Calibri" w:hAnsi="Calibri"/>
                <w:sz w:val="18"/>
                <w:szCs w:val="18"/>
              </w:rPr>
              <w:softHyphen/>
              <w:t>czenie</w:t>
            </w:r>
          </w:p>
        </w:tc>
        <w:tc>
          <w:tcPr>
            <w:tcW w:w="851" w:type="dxa"/>
            <w:tcBorders>
              <w:bottom w:val="double" w:sz="6" w:space="0" w:color="auto"/>
            </w:tcBorders>
          </w:tcPr>
          <w:p w:rsidR="0018327E" w:rsidRPr="00C06FB8" w:rsidRDefault="0018327E" w:rsidP="0018327E">
            <w:pPr>
              <w:pStyle w:val="StylIwony"/>
              <w:spacing w:before="0" w:after="0"/>
              <w:jc w:val="center"/>
              <w:rPr>
                <w:rFonts w:ascii="Calibri" w:hAnsi="Calibri"/>
                <w:sz w:val="18"/>
                <w:szCs w:val="18"/>
              </w:rPr>
            </w:pPr>
            <w:r w:rsidRPr="00C06FB8">
              <w:rPr>
                <w:rFonts w:ascii="Calibri" w:hAnsi="Calibri"/>
                <w:sz w:val="18"/>
                <w:szCs w:val="18"/>
              </w:rPr>
              <w:t>wyso</w:t>
            </w:r>
            <w:r w:rsidRPr="00C06FB8">
              <w:rPr>
                <w:rFonts w:ascii="Calibri" w:hAnsi="Calibri"/>
                <w:sz w:val="18"/>
                <w:szCs w:val="18"/>
              </w:rPr>
              <w:softHyphen/>
              <w:t>kość środ</w:t>
            </w:r>
            <w:r w:rsidRPr="00C06FB8">
              <w:rPr>
                <w:rFonts w:ascii="Calibri" w:hAnsi="Calibri"/>
                <w:sz w:val="18"/>
                <w:szCs w:val="18"/>
              </w:rPr>
              <w:softHyphen/>
              <w:t>nika</w:t>
            </w:r>
          </w:p>
        </w:tc>
        <w:tc>
          <w:tcPr>
            <w:tcW w:w="850" w:type="dxa"/>
            <w:tcBorders>
              <w:bottom w:val="double" w:sz="6" w:space="0" w:color="auto"/>
            </w:tcBorders>
          </w:tcPr>
          <w:p w:rsidR="0018327E" w:rsidRPr="00C06FB8" w:rsidRDefault="0018327E" w:rsidP="0018327E">
            <w:pPr>
              <w:pStyle w:val="StylIwony"/>
              <w:spacing w:before="0" w:after="0"/>
              <w:jc w:val="center"/>
              <w:rPr>
                <w:rFonts w:ascii="Calibri" w:hAnsi="Calibri"/>
                <w:sz w:val="18"/>
                <w:szCs w:val="18"/>
              </w:rPr>
            </w:pPr>
            <w:r w:rsidRPr="00C06FB8">
              <w:rPr>
                <w:rFonts w:ascii="Calibri" w:hAnsi="Calibri"/>
                <w:sz w:val="18"/>
                <w:szCs w:val="18"/>
              </w:rPr>
              <w:t>szero</w:t>
            </w:r>
            <w:r w:rsidRPr="00C06FB8">
              <w:rPr>
                <w:rFonts w:ascii="Calibri" w:hAnsi="Calibri"/>
                <w:sz w:val="18"/>
                <w:szCs w:val="18"/>
              </w:rPr>
              <w:softHyphen/>
              <w:t>kość stopki</w:t>
            </w:r>
          </w:p>
        </w:tc>
        <w:tc>
          <w:tcPr>
            <w:tcW w:w="992" w:type="dxa"/>
            <w:tcBorders>
              <w:bottom w:val="double" w:sz="6" w:space="0" w:color="auto"/>
            </w:tcBorders>
          </w:tcPr>
          <w:p w:rsidR="0018327E" w:rsidRPr="00C06FB8" w:rsidRDefault="0018327E" w:rsidP="0018327E">
            <w:pPr>
              <w:pStyle w:val="StylIwony"/>
              <w:spacing w:before="0" w:after="0"/>
              <w:jc w:val="center"/>
              <w:rPr>
                <w:rFonts w:ascii="Calibri" w:hAnsi="Calibri"/>
                <w:sz w:val="18"/>
                <w:szCs w:val="18"/>
              </w:rPr>
            </w:pPr>
            <w:r w:rsidRPr="00C06FB8">
              <w:rPr>
                <w:rFonts w:ascii="Calibri" w:hAnsi="Calibri"/>
                <w:sz w:val="18"/>
                <w:szCs w:val="18"/>
              </w:rPr>
              <w:t>grubość środ</w:t>
            </w:r>
            <w:r w:rsidRPr="00C06FB8">
              <w:rPr>
                <w:rFonts w:ascii="Calibri" w:hAnsi="Calibri"/>
                <w:sz w:val="18"/>
                <w:szCs w:val="18"/>
              </w:rPr>
              <w:softHyphen/>
              <w:t>nika</w:t>
            </w:r>
          </w:p>
        </w:tc>
        <w:tc>
          <w:tcPr>
            <w:tcW w:w="1134" w:type="dxa"/>
            <w:tcBorders>
              <w:top w:val="nil"/>
              <w:bottom w:val="double" w:sz="6" w:space="0" w:color="auto"/>
            </w:tcBorders>
          </w:tcPr>
          <w:p w:rsidR="0018327E" w:rsidRPr="00C06FB8" w:rsidRDefault="0018327E" w:rsidP="0018327E">
            <w:pPr>
              <w:pStyle w:val="StylIwony"/>
              <w:spacing w:before="0" w:after="0"/>
              <w:jc w:val="center"/>
              <w:rPr>
                <w:rFonts w:ascii="Calibri" w:hAnsi="Calibri"/>
                <w:sz w:val="18"/>
                <w:szCs w:val="18"/>
              </w:rPr>
            </w:pPr>
            <w:r w:rsidRPr="00C06FB8">
              <w:rPr>
                <w:rFonts w:ascii="Calibri" w:hAnsi="Calibri"/>
                <w:sz w:val="18"/>
                <w:szCs w:val="18"/>
              </w:rPr>
              <w:t>1 m ceownika</w:t>
            </w:r>
          </w:p>
          <w:p w:rsidR="0018327E" w:rsidRPr="00C06FB8" w:rsidRDefault="0018327E" w:rsidP="0018327E">
            <w:pPr>
              <w:pStyle w:val="StylIwony"/>
              <w:spacing w:before="0" w:after="0"/>
              <w:jc w:val="center"/>
              <w:rPr>
                <w:rFonts w:ascii="Calibri" w:hAnsi="Calibri"/>
                <w:sz w:val="18"/>
                <w:szCs w:val="18"/>
              </w:rPr>
            </w:pPr>
            <w:r w:rsidRPr="00C06FB8">
              <w:rPr>
                <w:rFonts w:ascii="Calibri" w:hAnsi="Calibri"/>
                <w:sz w:val="18"/>
                <w:szCs w:val="18"/>
              </w:rPr>
              <w:t>kg/m</w:t>
            </w:r>
          </w:p>
        </w:tc>
        <w:tc>
          <w:tcPr>
            <w:tcW w:w="993" w:type="dxa"/>
            <w:tcBorders>
              <w:bottom w:val="double" w:sz="6" w:space="0" w:color="auto"/>
            </w:tcBorders>
          </w:tcPr>
          <w:p w:rsidR="0018327E" w:rsidRPr="00C06FB8" w:rsidRDefault="0018327E" w:rsidP="0018327E">
            <w:pPr>
              <w:pStyle w:val="StylIwony"/>
              <w:spacing w:before="0" w:after="0"/>
              <w:rPr>
                <w:rFonts w:ascii="Calibri" w:hAnsi="Calibri"/>
                <w:sz w:val="18"/>
                <w:szCs w:val="18"/>
              </w:rPr>
            </w:pPr>
          </w:p>
          <w:p w:rsidR="0018327E" w:rsidRPr="00C06FB8" w:rsidRDefault="0018327E" w:rsidP="0018327E">
            <w:pPr>
              <w:pStyle w:val="StylIwony"/>
              <w:spacing w:before="0" w:after="0"/>
              <w:rPr>
                <w:rFonts w:ascii="Calibri" w:hAnsi="Calibri"/>
                <w:sz w:val="18"/>
                <w:szCs w:val="18"/>
              </w:rPr>
            </w:pPr>
            <w:r w:rsidRPr="00C06FB8">
              <w:rPr>
                <w:rFonts w:ascii="Calibri" w:hAnsi="Calibri"/>
                <w:sz w:val="18"/>
                <w:szCs w:val="18"/>
              </w:rPr>
              <w:t>środnika</w:t>
            </w:r>
          </w:p>
        </w:tc>
        <w:tc>
          <w:tcPr>
            <w:tcW w:w="992" w:type="dxa"/>
            <w:tcBorders>
              <w:bottom w:val="double" w:sz="6" w:space="0" w:color="auto"/>
            </w:tcBorders>
          </w:tcPr>
          <w:p w:rsidR="0018327E" w:rsidRPr="00C06FB8" w:rsidRDefault="0018327E" w:rsidP="0018327E">
            <w:pPr>
              <w:pStyle w:val="StylIwony"/>
              <w:spacing w:before="0" w:after="0"/>
              <w:rPr>
                <w:rFonts w:ascii="Calibri" w:hAnsi="Calibri"/>
                <w:sz w:val="18"/>
                <w:szCs w:val="18"/>
              </w:rPr>
            </w:pPr>
          </w:p>
          <w:p w:rsidR="0018327E" w:rsidRPr="00C06FB8" w:rsidRDefault="0018327E" w:rsidP="0018327E">
            <w:pPr>
              <w:pStyle w:val="StylIwony"/>
              <w:spacing w:before="0" w:after="0"/>
              <w:rPr>
                <w:rFonts w:ascii="Calibri" w:hAnsi="Calibri"/>
                <w:sz w:val="18"/>
                <w:szCs w:val="18"/>
              </w:rPr>
            </w:pPr>
            <w:r w:rsidRPr="00C06FB8">
              <w:rPr>
                <w:rFonts w:ascii="Calibri" w:hAnsi="Calibri"/>
                <w:sz w:val="18"/>
                <w:szCs w:val="18"/>
              </w:rPr>
              <w:t>stopki</w:t>
            </w:r>
          </w:p>
        </w:tc>
        <w:tc>
          <w:tcPr>
            <w:tcW w:w="992" w:type="dxa"/>
            <w:tcBorders>
              <w:bottom w:val="double" w:sz="6" w:space="0" w:color="auto"/>
            </w:tcBorders>
          </w:tcPr>
          <w:p w:rsidR="0018327E" w:rsidRPr="00C06FB8" w:rsidRDefault="0018327E" w:rsidP="0018327E">
            <w:pPr>
              <w:pStyle w:val="StylIwony"/>
              <w:spacing w:before="0" w:after="0"/>
              <w:rPr>
                <w:rFonts w:ascii="Calibri" w:hAnsi="Calibri"/>
                <w:sz w:val="18"/>
                <w:szCs w:val="18"/>
              </w:rPr>
            </w:pPr>
          </w:p>
          <w:p w:rsidR="0018327E" w:rsidRPr="00C06FB8" w:rsidRDefault="0018327E" w:rsidP="0018327E">
            <w:pPr>
              <w:pStyle w:val="StylIwony"/>
              <w:spacing w:before="0" w:after="0"/>
              <w:rPr>
                <w:rFonts w:ascii="Calibri" w:hAnsi="Calibri"/>
                <w:sz w:val="18"/>
                <w:szCs w:val="18"/>
              </w:rPr>
            </w:pPr>
            <w:r w:rsidRPr="00C06FB8">
              <w:rPr>
                <w:rFonts w:ascii="Calibri" w:hAnsi="Calibri"/>
                <w:sz w:val="18"/>
                <w:szCs w:val="18"/>
              </w:rPr>
              <w:t>grubości</w:t>
            </w:r>
          </w:p>
        </w:tc>
      </w:tr>
      <w:tr w:rsidR="0018327E" w:rsidRPr="00C06FB8" w:rsidTr="0018327E">
        <w:tc>
          <w:tcPr>
            <w:tcW w:w="779" w:type="dxa"/>
            <w:tcBorders>
              <w:top w:val="nil"/>
            </w:tcBorders>
          </w:tcPr>
          <w:p w:rsidR="0018327E" w:rsidRPr="00C06FB8" w:rsidRDefault="0018327E" w:rsidP="0018327E">
            <w:pPr>
              <w:pStyle w:val="StylIwony"/>
              <w:spacing w:before="0" w:after="0"/>
              <w:jc w:val="center"/>
              <w:rPr>
                <w:rFonts w:ascii="Calibri" w:hAnsi="Calibri"/>
                <w:sz w:val="18"/>
                <w:szCs w:val="18"/>
              </w:rPr>
            </w:pPr>
            <w:r w:rsidRPr="00C06FB8">
              <w:rPr>
                <w:rFonts w:ascii="Calibri" w:hAnsi="Calibri"/>
                <w:sz w:val="18"/>
                <w:szCs w:val="18"/>
              </w:rPr>
              <w:t>[ 40</w:t>
            </w:r>
          </w:p>
          <w:p w:rsidR="0018327E" w:rsidRPr="00C06FB8" w:rsidRDefault="0018327E" w:rsidP="0018327E">
            <w:pPr>
              <w:pStyle w:val="StylIwony"/>
              <w:spacing w:before="0" w:after="0"/>
              <w:jc w:val="center"/>
              <w:rPr>
                <w:rFonts w:ascii="Calibri" w:hAnsi="Calibri"/>
                <w:sz w:val="18"/>
                <w:szCs w:val="18"/>
              </w:rPr>
            </w:pPr>
            <w:r w:rsidRPr="00C06FB8">
              <w:rPr>
                <w:rFonts w:ascii="Calibri" w:hAnsi="Calibri"/>
                <w:sz w:val="18"/>
                <w:szCs w:val="18"/>
              </w:rPr>
              <w:t>[ 45</w:t>
            </w:r>
          </w:p>
          <w:p w:rsidR="0018327E" w:rsidRPr="00C06FB8" w:rsidRDefault="0018327E" w:rsidP="0018327E">
            <w:pPr>
              <w:pStyle w:val="StylIwony"/>
              <w:spacing w:before="0" w:after="0"/>
              <w:jc w:val="center"/>
              <w:rPr>
                <w:rFonts w:ascii="Calibri" w:hAnsi="Calibri"/>
                <w:sz w:val="18"/>
                <w:szCs w:val="18"/>
              </w:rPr>
            </w:pPr>
            <w:r w:rsidRPr="00C06FB8">
              <w:rPr>
                <w:rFonts w:ascii="Calibri" w:hAnsi="Calibri"/>
                <w:sz w:val="18"/>
                <w:szCs w:val="18"/>
              </w:rPr>
              <w:t>[ 50</w:t>
            </w:r>
          </w:p>
          <w:p w:rsidR="0018327E" w:rsidRPr="00C06FB8" w:rsidRDefault="0018327E" w:rsidP="0018327E">
            <w:pPr>
              <w:pStyle w:val="StylIwony"/>
              <w:spacing w:before="0" w:after="0"/>
              <w:jc w:val="center"/>
              <w:rPr>
                <w:rFonts w:ascii="Calibri" w:hAnsi="Calibri"/>
                <w:sz w:val="18"/>
                <w:szCs w:val="18"/>
              </w:rPr>
            </w:pPr>
            <w:r w:rsidRPr="00C06FB8">
              <w:rPr>
                <w:rFonts w:ascii="Calibri" w:hAnsi="Calibri"/>
                <w:sz w:val="18"/>
                <w:szCs w:val="18"/>
              </w:rPr>
              <w:t>[ 65</w:t>
            </w:r>
          </w:p>
          <w:p w:rsidR="0018327E" w:rsidRPr="00C06FB8" w:rsidRDefault="0018327E" w:rsidP="0018327E">
            <w:pPr>
              <w:pStyle w:val="StylIwony"/>
              <w:spacing w:before="0" w:after="0"/>
              <w:jc w:val="center"/>
              <w:rPr>
                <w:rFonts w:ascii="Calibri" w:hAnsi="Calibri"/>
                <w:sz w:val="18"/>
                <w:szCs w:val="18"/>
              </w:rPr>
            </w:pPr>
            <w:r w:rsidRPr="00C06FB8">
              <w:rPr>
                <w:rFonts w:ascii="Calibri" w:hAnsi="Calibri"/>
                <w:sz w:val="18"/>
                <w:szCs w:val="18"/>
              </w:rPr>
              <w:t>[ 80</w:t>
            </w:r>
          </w:p>
          <w:p w:rsidR="0018327E" w:rsidRPr="00C06FB8" w:rsidRDefault="0018327E" w:rsidP="0018327E">
            <w:pPr>
              <w:pStyle w:val="StylIwony"/>
              <w:spacing w:before="0" w:after="0"/>
              <w:jc w:val="center"/>
              <w:rPr>
                <w:rFonts w:ascii="Calibri" w:hAnsi="Calibri"/>
                <w:sz w:val="18"/>
                <w:szCs w:val="18"/>
              </w:rPr>
            </w:pPr>
          </w:p>
          <w:p w:rsidR="0018327E" w:rsidRPr="00C06FB8" w:rsidRDefault="0018327E" w:rsidP="0018327E">
            <w:pPr>
              <w:pStyle w:val="StylIwony"/>
              <w:spacing w:before="0" w:after="0"/>
              <w:jc w:val="center"/>
              <w:rPr>
                <w:rFonts w:ascii="Calibri" w:hAnsi="Calibri"/>
                <w:sz w:val="18"/>
                <w:szCs w:val="18"/>
              </w:rPr>
            </w:pPr>
            <w:r w:rsidRPr="00C06FB8">
              <w:rPr>
                <w:rFonts w:ascii="Calibri" w:hAnsi="Calibri"/>
                <w:sz w:val="18"/>
                <w:szCs w:val="18"/>
              </w:rPr>
              <w:t xml:space="preserve"> [100</w:t>
            </w:r>
          </w:p>
          <w:p w:rsidR="0018327E" w:rsidRPr="00C06FB8" w:rsidRDefault="0018327E" w:rsidP="0018327E">
            <w:pPr>
              <w:pStyle w:val="StylIwony"/>
              <w:spacing w:before="0" w:after="0"/>
              <w:jc w:val="center"/>
              <w:rPr>
                <w:rFonts w:ascii="Calibri" w:hAnsi="Calibri"/>
                <w:sz w:val="18"/>
                <w:szCs w:val="18"/>
              </w:rPr>
            </w:pPr>
            <w:r w:rsidRPr="00C06FB8">
              <w:rPr>
                <w:rFonts w:ascii="Calibri" w:hAnsi="Calibri"/>
                <w:sz w:val="18"/>
                <w:szCs w:val="18"/>
              </w:rPr>
              <w:t xml:space="preserve"> [120</w:t>
            </w:r>
          </w:p>
          <w:p w:rsidR="0018327E" w:rsidRPr="00C06FB8" w:rsidRDefault="0018327E" w:rsidP="0018327E">
            <w:pPr>
              <w:pStyle w:val="StylIwony"/>
              <w:spacing w:before="0" w:after="0"/>
              <w:jc w:val="center"/>
              <w:rPr>
                <w:rFonts w:ascii="Calibri" w:hAnsi="Calibri"/>
                <w:sz w:val="18"/>
                <w:szCs w:val="18"/>
              </w:rPr>
            </w:pPr>
            <w:r w:rsidRPr="00C06FB8">
              <w:rPr>
                <w:rFonts w:ascii="Calibri" w:hAnsi="Calibri"/>
                <w:sz w:val="18"/>
                <w:szCs w:val="18"/>
              </w:rPr>
              <w:t xml:space="preserve"> [140</w:t>
            </w:r>
          </w:p>
        </w:tc>
        <w:tc>
          <w:tcPr>
            <w:tcW w:w="851" w:type="dxa"/>
            <w:tcBorders>
              <w:top w:val="nil"/>
            </w:tcBorders>
          </w:tcPr>
          <w:p w:rsidR="0018327E" w:rsidRPr="00C06FB8" w:rsidRDefault="0018327E" w:rsidP="0018327E">
            <w:pPr>
              <w:pStyle w:val="StylIwony"/>
              <w:spacing w:before="0" w:after="0"/>
              <w:jc w:val="center"/>
              <w:rPr>
                <w:rFonts w:ascii="Calibri" w:hAnsi="Calibri"/>
                <w:sz w:val="18"/>
                <w:szCs w:val="18"/>
              </w:rPr>
            </w:pPr>
            <w:r w:rsidRPr="00C06FB8">
              <w:rPr>
                <w:rFonts w:ascii="Calibri" w:hAnsi="Calibri"/>
                <w:sz w:val="18"/>
                <w:szCs w:val="18"/>
              </w:rPr>
              <w:t>40</w:t>
            </w:r>
          </w:p>
          <w:p w:rsidR="0018327E" w:rsidRPr="00C06FB8" w:rsidRDefault="0018327E" w:rsidP="0018327E">
            <w:pPr>
              <w:pStyle w:val="StylIwony"/>
              <w:spacing w:before="0" w:after="0"/>
              <w:jc w:val="center"/>
              <w:rPr>
                <w:rFonts w:ascii="Calibri" w:hAnsi="Calibri"/>
                <w:sz w:val="18"/>
                <w:szCs w:val="18"/>
              </w:rPr>
            </w:pPr>
            <w:r w:rsidRPr="00C06FB8">
              <w:rPr>
                <w:rFonts w:ascii="Calibri" w:hAnsi="Calibri"/>
                <w:sz w:val="18"/>
                <w:szCs w:val="18"/>
              </w:rPr>
              <w:t>45</w:t>
            </w:r>
          </w:p>
          <w:p w:rsidR="0018327E" w:rsidRPr="00C06FB8" w:rsidRDefault="0018327E" w:rsidP="0018327E">
            <w:pPr>
              <w:pStyle w:val="StylIwony"/>
              <w:spacing w:before="0" w:after="0"/>
              <w:jc w:val="center"/>
              <w:rPr>
                <w:rFonts w:ascii="Calibri" w:hAnsi="Calibri"/>
                <w:sz w:val="18"/>
                <w:szCs w:val="18"/>
              </w:rPr>
            </w:pPr>
            <w:r w:rsidRPr="00C06FB8">
              <w:rPr>
                <w:rFonts w:ascii="Calibri" w:hAnsi="Calibri"/>
                <w:sz w:val="18"/>
                <w:szCs w:val="18"/>
              </w:rPr>
              <w:t>50</w:t>
            </w:r>
          </w:p>
          <w:p w:rsidR="0018327E" w:rsidRPr="00C06FB8" w:rsidRDefault="0018327E" w:rsidP="0018327E">
            <w:pPr>
              <w:pStyle w:val="StylIwony"/>
              <w:spacing w:before="0" w:after="0"/>
              <w:jc w:val="center"/>
              <w:rPr>
                <w:rFonts w:ascii="Calibri" w:hAnsi="Calibri"/>
                <w:sz w:val="18"/>
                <w:szCs w:val="18"/>
              </w:rPr>
            </w:pPr>
            <w:r w:rsidRPr="00C06FB8">
              <w:rPr>
                <w:rFonts w:ascii="Calibri" w:hAnsi="Calibri"/>
                <w:sz w:val="18"/>
                <w:szCs w:val="18"/>
              </w:rPr>
              <w:t>65</w:t>
            </w:r>
          </w:p>
          <w:p w:rsidR="0018327E" w:rsidRPr="00C06FB8" w:rsidRDefault="0018327E" w:rsidP="0018327E">
            <w:pPr>
              <w:pStyle w:val="StylIwony"/>
              <w:spacing w:before="0" w:after="0"/>
              <w:jc w:val="center"/>
              <w:rPr>
                <w:rFonts w:ascii="Calibri" w:hAnsi="Calibri"/>
                <w:sz w:val="18"/>
                <w:szCs w:val="18"/>
              </w:rPr>
            </w:pPr>
            <w:r w:rsidRPr="00C06FB8">
              <w:rPr>
                <w:rFonts w:ascii="Calibri" w:hAnsi="Calibri"/>
                <w:sz w:val="18"/>
                <w:szCs w:val="18"/>
              </w:rPr>
              <w:t>80</w:t>
            </w:r>
          </w:p>
          <w:p w:rsidR="0018327E" w:rsidRPr="00C06FB8" w:rsidRDefault="0018327E" w:rsidP="0018327E">
            <w:pPr>
              <w:pStyle w:val="StylIwony"/>
              <w:spacing w:before="0" w:after="0"/>
              <w:jc w:val="center"/>
              <w:rPr>
                <w:rFonts w:ascii="Calibri" w:hAnsi="Calibri"/>
                <w:sz w:val="18"/>
                <w:szCs w:val="18"/>
              </w:rPr>
            </w:pPr>
          </w:p>
          <w:p w:rsidR="0018327E" w:rsidRPr="00C06FB8" w:rsidRDefault="0018327E" w:rsidP="0018327E">
            <w:pPr>
              <w:pStyle w:val="StylIwony"/>
              <w:spacing w:before="0" w:after="0"/>
              <w:jc w:val="center"/>
              <w:rPr>
                <w:rFonts w:ascii="Calibri" w:hAnsi="Calibri"/>
                <w:sz w:val="18"/>
                <w:szCs w:val="18"/>
              </w:rPr>
            </w:pPr>
            <w:r w:rsidRPr="00C06FB8">
              <w:rPr>
                <w:rFonts w:ascii="Calibri" w:hAnsi="Calibri"/>
                <w:sz w:val="18"/>
                <w:szCs w:val="18"/>
              </w:rPr>
              <w:t>100</w:t>
            </w:r>
          </w:p>
          <w:p w:rsidR="0018327E" w:rsidRPr="00C06FB8" w:rsidRDefault="0018327E" w:rsidP="0018327E">
            <w:pPr>
              <w:pStyle w:val="StylIwony"/>
              <w:spacing w:before="0" w:after="0"/>
              <w:jc w:val="center"/>
              <w:rPr>
                <w:rFonts w:ascii="Calibri" w:hAnsi="Calibri"/>
                <w:sz w:val="18"/>
                <w:szCs w:val="18"/>
              </w:rPr>
            </w:pPr>
            <w:r w:rsidRPr="00C06FB8">
              <w:rPr>
                <w:rFonts w:ascii="Calibri" w:hAnsi="Calibri"/>
                <w:sz w:val="18"/>
                <w:szCs w:val="18"/>
              </w:rPr>
              <w:t>120</w:t>
            </w:r>
          </w:p>
          <w:p w:rsidR="0018327E" w:rsidRPr="00C06FB8" w:rsidRDefault="0018327E" w:rsidP="0018327E">
            <w:pPr>
              <w:pStyle w:val="StylIwony"/>
              <w:spacing w:before="0" w:after="0"/>
              <w:jc w:val="center"/>
              <w:rPr>
                <w:rFonts w:ascii="Calibri" w:hAnsi="Calibri"/>
                <w:sz w:val="18"/>
                <w:szCs w:val="18"/>
              </w:rPr>
            </w:pPr>
            <w:r w:rsidRPr="00C06FB8">
              <w:rPr>
                <w:rFonts w:ascii="Calibri" w:hAnsi="Calibri"/>
                <w:sz w:val="18"/>
                <w:szCs w:val="18"/>
              </w:rPr>
              <w:t>140</w:t>
            </w:r>
          </w:p>
        </w:tc>
        <w:tc>
          <w:tcPr>
            <w:tcW w:w="850" w:type="dxa"/>
            <w:tcBorders>
              <w:top w:val="nil"/>
            </w:tcBorders>
          </w:tcPr>
          <w:p w:rsidR="0018327E" w:rsidRPr="00C06FB8" w:rsidRDefault="0018327E" w:rsidP="0018327E">
            <w:pPr>
              <w:pStyle w:val="StylIwony"/>
              <w:spacing w:before="0" w:after="0"/>
              <w:jc w:val="center"/>
              <w:rPr>
                <w:rFonts w:ascii="Calibri" w:hAnsi="Calibri"/>
                <w:sz w:val="18"/>
                <w:szCs w:val="18"/>
              </w:rPr>
            </w:pPr>
            <w:r w:rsidRPr="00C06FB8">
              <w:rPr>
                <w:rFonts w:ascii="Calibri" w:hAnsi="Calibri"/>
                <w:sz w:val="18"/>
                <w:szCs w:val="18"/>
              </w:rPr>
              <w:t>20</w:t>
            </w:r>
          </w:p>
          <w:p w:rsidR="0018327E" w:rsidRPr="00C06FB8" w:rsidRDefault="0018327E" w:rsidP="0018327E">
            <w:pPr>
              <w:pStyle w:val="StylIwony"/>
              <w:spacing w:before="0" w:after="0"/>
              <w:jc w:val="center"/>
              <w:rPr>
                <w:rFonts w:ascii="Calibri" w:hAnsi="Calibri"/>
                <w:sz w:val="18"/>
                <w:szCs w:val="18"/>
              </w:rPr>
            </w:pPr>
            <w:r w:rsidRPr="00C06FB8">
              <w:rPr>
                <w:rFonts w:ascii="Calibri" w:hAnsi="Calibri"/>
                <w:sz w:val="18"/>
                <w:szCs w:val="18"/>
              </w:rPr>
              <w:t>38</w:t>
            </w:r>
          </w:p>
          <w:p w:rsidR="0018327E" w:rsidRPr="00C06FB8" w:rsidRDefault="0018327E" w:rsidP="0018327E">
            <w:pPr>
              <w:pStyle w:val="StylIwony"/>
              <w:spacing w:before="0" w:after="0"/>
              <w:jc w:val="center"/>
              <w:rPr>
                <w:rFonts w:ascii="Calibri" w:hAnsi="Calibri"/>
                <w:sz w:val="18"/>
                <w:szCs w:val="18"/>
              </w:rPr>
            </w:pPr>
            <w:r w:rsidRPr="00C06FB8">
              <w:rPr>
                <w:rFonts w:ascii="Calibri" w:hAnsi="Calibri"/>
                <w:sz w:val="18"/>
                <w:szCs w:val="18"/>
              </w:rPr>
              <w:t>38</w:t>
            </w:r>
          </w:p>
          <w:p w:rsidR="0018327E" w:rsidRPr="00C06FB8" w:rsidRDefault="0018327E" w:rsidP="0018327E">
            <w:pPr>
              <w:pStyle w:val="StylIwony"/>
              <w:spacing w:before="0" w:after="0"/>
              <w:jc w:val="center"/>
              <w:rPr>
                <w:rFonts w:ascii="Calibri" w:hAnsi="Calibri"/>
                <w:sz w:val="18"/>
                <w:szCs w:val="18"/>
              </w:rPr>
            </w:pPr>
            <w:r w:rsidRPr="00C06FB8">
              <w:rPr>
                <w:rFonts w:ascii="Calibri" w:hAnsi="Calibri"/>
                <w:sz w:val="18"/>
                <w:szCs w:val="18"/>
              </w:rPr>
              <w:t>42</w:t>
            </w:r>
          </w:p>
          <w:p w:rsidR="0018327E" w:rsidRPr="00C06FB8" w:rsidRDefault="0018327E" w:rsidP="0018327E">
            <w:pPr>
              <w:pStyle w:val="StylIwony"/>
              <w:spacing w:before="0" w:after="0"/>
              <w:jc w:val="center"/>
              <w:rPr>
                <w:rFonts w:ascii="Calibri" w:hAnsi="Calibri"/>
                <w:sz w:val="18"/>
                <w:szCs w:val="18"/>
              </w:rPr>
            </w:pPr>
            <w:r w:rsidRPr="00C06FB8">
              <w:rPr>
                <w:rFonts w:ascii="Calibri" w:hAnsi="Calibri"/>
                <w:sz w:val="18"/>
                <w:szCs w:val="18"/>
              </w:rPr>
              <w:t>45</w:t>
            </w:r>
          </w:p>
          <w:p w:rsidR="0018327E" w:rsidRPr="00C06FB8" w:rsidRDefault="0018327E" w:rsidP="0018327E">
            <w:pPr>
              <w:pStyle w:val="StylIwony"/>
              <w:spacing w:before="0" w:after="0"/>
              <w:jc w:val="center"/>
              <w:rPr>
                <w:rFonts w:ascii="Calibri" w:hAnsi="Calibri"/>
                <w:sz w:val="18"/>
                <w:szCs w:val="18"/>
              </w:rPr>
            </w:pPr>
          </w:p>
          <w:p w:rsidR="0018327E" w:rsidRPr="00C06FB8" w:rsidRDefault="0018327E" w:rsidP="0018327E">
            <w:pPr>
              <w:pStyle w:val="StylIwony"/>
              <w:spacing w:before="0" w:after="0"/>
              <w:jc w:val="center"/>
              <w:rPr>
                <w:rFonts w:ascii="Calibri" w:hAnsi="Calibri"/>
                <w:sz w:val="18"/>
                <w:szCs w:val="18"/>
              </w:rPr>
            </w:pPr>
            <w:r w:rsidRPr="00C06FB8">
              <w:rPr>
                <w:rFonts w:ascii="Calibri" w:hAnsi="Calibri"/>
                <w:sz w:val="18"/>
                <w:szCs w:val="18"/>
              </w:rPr>
              <w:t>50</w:t>
            </w:r>
          </w:p>
          <w:p w:rsidR="0018327E" w:rsidRPr="00C06FB8" w:rsidRDefault="0018327E" w:rsidP="0018327E">
            <w:pPr>
              <w:pStyle w:val="StylIwony"/>
              <w:spacing w:before="0" w:after="0"/>
              <w:jc w:val="center"/>
              <w:rPr>
                <w:rFonts w:ascii="Calibri" w:hAnsi="Calibri"/>
                <w:sz w:val="18"/>
                <w:szCs w:val="18"/>
              </w:rPr>
            </w:pPr>
            <w:r w:rsidRPr="00C06FB8">
              <w:rPr>
                <w:rFonts w:ascii="Calibri" w:hAnsi="Calibri"/>
                <w:sz w:val="18"/>
                <w:szCs w:val="18"/>
              </w:rPr>
              <w:t>55</w:t>
            </w:r>
          </w:p>
          <w:p w:rsidR="0018327E" w:rsidRPr="00C06FB8" w:rsidRDefault="0018327E" w:rsidP="0018327E">
            <w:pPr>
              <w:pStyle w:val="StylIwony"/>
              <w:spacing w:before="0" w:after="0"/>
              <w:jc w:val="center"/>
              <w:rPr>
                <w:rFonts w:ascii="Calibri" w:hAnsi="Calibri"/>
                <w:sz w:val="18"/>
                <w:szCs w:val="18"/>
              </w:rPr>
            </w:pPr>
            <w:r w:rsidRPr="00C06FB8">
              <w:rPr>
                <w:rFonts w:ascii="Calibri" w:hAnsi="Calibri"/>
                <w:sz w:val="18"/>
                <w:szCs w:val="18"/>
              </w:rPr>
              <w:t>60</w:t>
            </w:r>
          </w:p>
        </w:tc>
        <w:tc>
          <w:tcPr>
            <w:tcW w:w="992" w:type="dxa"/>
            <w:tcBorders>
              <w:top w:val="nil"/>
            </w:tcBorders>
          </w:tcPr>
          <w:p w:rsidR="0018327E" w:rsidRPr="00C06FB8" w:rsidRDefault="0018327E" w:rsidP="0018327E">
            <w:pPr>
              <w:pStyle w:val="StylIwony"/>
              <w:spacing w:before="0" w:after="0"/>
              <w:jc w:val="center"/>
              <w:rPr>
                <w:rFonts w:ascii="Calibri" w:hAnsi="Calibri"/>
                <w:sz w:val="18"/>
                <w:szCs w:val="18"/>
              </w:rPr>
            </w:pPr>
            <w:r w:rsidRPr="00C06FB8">
              <w:rPr>
                <w:rFonts w:ascii="Calibri" w:hAnsi="Calibri"/>
                <w:sz w:val="18"/>
                <w:szCs w:val="18"/>
              </w:rPr>
              <w:t>5</w:t>
            </w:r>
          </w:p>
          <w:p w:rsidR="0018327E" w:rsidRPr="00C06FB8" w:rsidRDefault="0018327E" w:rsidP="0018327E">
            <w:pPr>
              <w:pStyle w:val="StylIwony"/>
              <w:spacing w:before="0" w:after="0"/>
              <w:jc w:val="center"/>
              <w:rPr>
                <w:rFonts w:ascii="Calibri" w:hAnsi="Calibri"/>
                <w:sz w:val="18"/>
                <w:szCs w:val="18"/>
              </w:rPr>
            </w:pPr>
            <w:r w:rsidRPr="00C06FB8">
              <w:rPr>
                <w:rFonts w:ascii="Calibri" w:hAnsi="Calibri"/>
                <w:sz w:val="18"/>
                <w:szCs w:val="18"/>
              </w:rPr>
              <w:t>5</w:t>
            </w:r>
          </w:p>
          <w:p w:rsidR="0018327E" w:rsidRPr="00C06FB8" w:rsidRDefault="0018327E" w:rsidP="0018327E">
            <w:pPr>
              <w:pStyle w:val="StylIwony"/>
              <w:spacing w:before="0" w:after="0"/>
              <w:jc w:val="center"/>
              <w:rPr>
                <w:rFonts w:ascii="Calibri" w:hAnsi="Calibri"/>
                <w:sz w:val="18"/>
                <w:szCs w:val="18"/>
              </w:rPr>
            </w:pPr>
            <w:r w:rsidRPr="00C06FB8">
              <w:rPr>
                <w:rFonts w:ascii="Calibri" w:hAnsi="Calibri"/>
                <w:sz w:val="18"/>
                <w:szCs w:val="18"/>
              </w:rPr>
              <w:t>5</w:t>
            </w:r>
          </w:p>
          <w:p w:rsidR="0018327E" w:rsidRPr="00C06FB8" w:rsidRDefault="0018327E" w:rsidP="0018327E">
            <w:pPr>
              <w:pStyle w:val="StylIwony"/>
              <w:spacing w:before="0" w:after="0"/>
              <w:jc w:val="center"/>
              <w:rPr>
                <w:rFonts w:ascii="Calibri" w:hAnsi="Calibri"/>
                <w:sz w:val="18"/>
                <w:szCs w:val="18"/>
              </w:rPr>
            </w:pPr>
            <w:r w:rsidRPr="00C06FB8">
              <w:rPr>
                <w:rFonts w:ascii="Calibri" w:hAnsi="Calibri"/>
                <w:sz w:val="18"/>
                <w:szCs w:val="18"/>
              </w:rPr>
              <w:t>5,5</w:t>
            </w:r>
          </w:p>
          <w:p w:rsidR="0018327E" w:rsidRPr="00C06FB8" w:rsidRDefault="0018327E" w:rsidP="0018327E">
            <w:pPr>
              <w:pStyle w:val="StylIwony"/>
              <w:spacing w:before="0" w:after="0"/>
              <w:jc w:val="center"/>
              <w:rPr>
                <w:rFonts w:ascii="Calibri" w:hAnsi="Calibri"/>
                <w:sz w:val="18"/>
                <w:szCs w:val="18"/>
              </w:rPr>
            </w:pPr>
            <w:r w:rsidRPr="00C06FB8">
              <w:rPr>
                <w:rFonts w:ascii="Calibri" w:hAnsi="Calibri"/>
                <w:sz w:val="18"/>
                <w:szCs w:val="18"/>
              </w:rPr>
              <w:t>6</w:t>
            </w:r>
          </w:p>
          <w:p w:rsidR="0018327E" w:rsidRPr="00C06FB8" w:rsidRDefault="0018327E" w:rsidP="0018327E">
            <w:pPr>
              <w:pStyle w:val="StylIwony"/>
              <w:spacing w:before="0" w:after="0"/>
              <w:jc w:val="center"/>
              <w:rPr>
                <w:rFonts w:ascii="Calibri" w:hAnsi="Calibri"/>
                <w:sz w:val="18"/>
                <w:szCs w:val="18"/>
              </w:rPr>
            </w:pPr>
          </w:p>
          <w:p w:rsidR="0018327E" w:rsidRPr="00C06FB8" w:rsidRDefault="0018327E" w:rsidP="0018327E">
            <w:pPr>
              <w:pStyle w:val="StylIwony"/>
              <w:spacing w:before="0" w:after="0"/>
              <w:jc w:val="center"/>
              <w:rPr>
                <w:rFonts w:ascii="Calibri" w:hAnsi="Calibri"/>
                <w:sz w:val="18"/>
                <w:szCs w:val="18"/>
              </w:rPr>
            </w:pPr>
            <w:r w:rsidRPr="00C06FB8">
              <w:rPr>
                <w:rFonts w:ascii="Calibri" w:hAnsi="Calibri"/>
                <w:sz w:val="18"/>
                <w:szCs w:val="18"/>
              </w:rPr>
              <w:t>6</w:t>
            </w:r>
          </w:p>
          <w:p w:rsidR="0018327E" w:rsidRPr="00C06FB8" w:rsidRDefault="0018327E" w:rsidP="0018327E">
            <w:pPr>
              <w:pStyle w:val="StylIwony"/>
              <w:spacing w:before="0" w:after="0"/>
              <w:jc w:val="center"/>
              <w:rPr>
                <w:rFonts w:ascii="Calibri" w:hAnsi="Calibri"/>
                <w:sz w:val="18"/>
                <w:szCs w:val="18"/>
              </w:rPr>
            </w:pPr>
            <w:r w:rsidRPr="00C06FB8">
              <w:rPr>
                <w:rFonts w:ascii="Calibri" w:hAnsi="Calibri"/>
                <w:sz w:val="18"/>
                <w:szCs w:val="18"/>
              </w:rPr>
              <w:t>7</w:t>
            </w:r>
          </w:p>
          <w:p w:rsidR="0018327E" w:rsidRPr="00C06FB8" w:rsidRDefault="0018327E" w:rsidP="0018327E">
            <w:pPr>
              <w:pStyle w:val="StylIwony"/>
              <w:spacing w:before="0" w:after="0"/>
              <w:jc w:val="center"/>
              <w:rPr>
                <w:rFonts w:ascii="Calibri" w:hAnsi="Calibri"/>
                <w:sz w:val="18"/>
                <w:szCs w:val="18"/>
              </w:rPr>
            </w:pPr>
            <w:r w:rsidRPr="00C06FB8">
              <w:rPr>
                <w:rFonts w:ascii="Calibri" w:hAnsi="Calibri"/>
                <w:sz w:val="18"/>
                <w:szCs w:val="18"/>
              </w:rPr>
              <w:t>7</w:t>
            </w:r>
          </w:p>
        </w:tc>
        <w:tc>
          <w:tcPr>
            <w:tcW w:w="1134" w:type="dxa"/>
            <w:tcBorders>
              <w:top w:val="nil"/>
            </w:tcBorders>
          </w:tcPr>
          <w:p w:rsidR="0018327E" w:rsidRPr="00C06FB8" w:rsidRDefault="0018327E" w:rsidP="0018327E">
            <w:pPr>
              <w:pStyle w:val="StylIwony"/>
              <w:spacing w:before="0" w:after="0"/>
              <w:jc w:val="center"/>
              <w:rPr>
                <w:rFonts w:ascii="Calibri" w:hAnsi="Calibri"/>
                <w:sz w:val="18"/>
                <w:szCs w:val="18"/>
              </w:rPr>
            </w:pPr>
            <w:r w:rsidRPr="00C06FB8">
              <w:rPr>
                <w:rFonts w:ascii="Calibri" w:hAnsi="Calibri"/>
                <w:sz w:val="18"/>
                <w:szCs w:val="18"/>
              </w:rPr>
              <w:t>4,75</w:t>
            </w:r>
          </w:p>
          <w:p w:rsidR="0018327E" w:rsidRPr="00C06FB8" w:rsidRDefault="0018327E" w:rsidP="0018327E">
            <w:pPr>
              <w:pStyle w:val="StylIwony"/>
              <w:spacing w:before="0" w:after="0"/>
              <w:jc w:val="center"/>
              <w:rPr>
                <w:rFonts w:ascii="Calibri" w:hAnsi="Calibri"/>
                <w:sz w:val="18"/>
                <w:szCs w:val="18"/>
              </w:rPr>
            </w:pPr>
            <w:r w:rsidRPr="00C06FB8">
              <w:rPr>
                <w:rFonts w:ascii="Calibri" w:hAnsi="Calibri"/>
                <w:sz w:val="18"/>
                <w:szCs w:val="18"/>
              </w:rPr>
              <w:t>5,03</w:t>
            </w:r>
          </w:p>
          <w:p w:rsidR="0018327E" w:rsidRPr="00C06FB8" w:rsidRDefault="0018327E" w:rsidP="0018327E">
            <w:pPr>
              <w:pStyle w:val="StylIwony"/>
              <w:spacing w:before="0" w:after="0"/>
              <w:jc w:val="center"/>
              <w:rPr>
                <w:rFonts w:ascii="Calibri" w:hAnsi="Calibri"/>
                <w:sz w:val="18"/>
                <w:szCs w:val="18"/>
              </w:rPr>
            </w:pPr>
            <w:r w:rsidRPr="00C06FB8">
              <w:rPr>
                <w:rFonts w:ascii="Calibri" w:hAnsi="Calibri"/>
                <w:sz w:val="18"/>
                <w:szCs w:val="18"/>
              </w:rPr>
              <w:t>5,59</w:t>
            </w:r>
          </w:p>
          <w:p w:rsidR="0018327E" w:rsidRPr="00C06FB8" w:rsidRDefault="0018327E" w:rsidP="0018327E">
            <w:pPr>
              <w:pStyle w:val="StylIwony"/>
              <w:spacing w:before="0" w:after="0"/>
              <w:jc w:val="center"/>
              <w:rPr>
                <w:rFonts w:ascii="Calibri" w:hAnsi="Calibri"/>
                <w:sz w:val="18"/>
                <w:szCs w:val="18"/>
              </w:rPr>
            </w:pPr>
            <w:r w:rsidRPr="00C06FB8">
              <w:rPr>
                <w:rFonts w:ascii="Calibri" w:hAnsi="Calibri"/>
                <w:sz w:val="18"/>
                <w:szCs w:val="18"/>
              </w:rPr>
              <w:t>7,09</w:t>
            </w:r>
          </w:p>
          <w:p w:rsidR="0018327E" w:rsidRPr="00C06FB8" w:rsidRDefault="0018327E" w:rsidP="0018327E">
            <w:pPr>
              <w:pStyle w:val="StylIwony"/>
              <w:spacing w:before="0" w:after="0"/>
              <w:jc w:val="center"/>
              <w:rPr>
                <w:rFonts w:ascii="Calibri" w:hAnsi="Calibri"/>
                <w:sz w:val="18"/>
                <w:szCs w:val="18"/>
              </w:rPr>
            </w:pPr>
            <w:r w:rsidRPr="00C06FB8">
              <w:rPr>
                <w:rFonts w:ascii="Calibri" w:hAnsi="Calibri"/>
                <w:sz w:val="18"/>
                <w:szCs w:val="18"/>
              </w:rPr>
              <w:t>8,64</w:t>
            </w:r>
          </w:p>
          <w:p w:rsidR="0018327E" w:rsidRPr="00C06FB8" w:rsidRDefault="0018327E" w:rsidP="0018327E">
            <w:pPr>
              <w:pStyle w:val="StylIwony"/>
              <w:spacing w:before="0" w:after="0"/>
              <w:jc w:val="center"/>
              <w:rPr>
                <w:rFonts w:ascii="Calibri" w:hAnsi="Calibri"/>
                <w:sz w:val="18"/>
                <w:szCs w:val="18"/>
              </w:rPr>
            </w:pPr>
          </w:p>
          <w:p w:rsidR="0018327E" w:rsidRPr="00C06FB8" w:rsidRDefault="0018327E" w:rsidP="0018327E">
            <w:pPr>
              <w:pStyle w:val="StylIwony"/>
              <w:spacing w:before="0" w:after="0"/>
              <w:jc w:val="center"/>
              <w:rPr>
                <w:rFonts w:ascii="Calibri" w:hAnsi="Calibri"/>
                <w:sz w:val="18"/>
                <w:szCs w:val="18"/>
              </w:rPr>
            </w:pPr>
            <w:r w:rsidRPr="00C06FB8">
              <w:rPr>
                <w:rFonts w:ascii="Calibri" w:hAnsi="Calibri"/>
                <w:sz w:val="18"/>
                <w:szCs w:val="18"/>
              </w:rPr>
              <w:t>10,60</w:t>
            </w:r>
          </w:p>
          <w:p w:rsidR="0018327E" w:rsidRPr="00C06FB8" w:rsidRDefault="0018327E" w:rsidP="0018327E">
            <w:pPr>
              <w:pStyle w:val="StylIwony"/>
              <w:spacing w:before="0" w:after="0"/>
              <w:jc w:val="center"/>
              <w:rPr>
                <w:rFonts w:ascii="Calibri" w:hAnsi="Calibri"/>
                <w:sz w:val="18"/>
                <w:szCs w:val="18"/>
              </w:rPr>
            </w:pPr>
            <w:r w:rsidRPr="00C06FB8">
              <w:rPr>
                <w:rFonts w:ascii="Calibri" w:hAnsi="Calibri"/>
                <w:sz w:val="18"/>
                <w:szCs w:val="18"/>
              </w:rPr>
              <w:t>13,40</w:t>
            </w:r>
          </w:p>
          <w:p w:rsidR="0018327E" w:rsidRPr="00C06FB8" w:rsidRDefault="0018327E" w:rsidP="0018327E">
            <w:pPr>
              <w:pStyle w:val="StylIwony"/>
              <w:spacing w:before="0" w:after="0"/>
              <w:jc w:val="center"/>
              <w:rPr>
                <w:rFonts w:ascii="Calibri" w:hAnsi="Calibri"/>
                <w:sz w:val="18"/>
                <w:szCs w:val="18"/>
              </w:rPr>
            </w:pPr>
            <w:r w:rsidRPr="00C06FB8">
              <w:rPr>
                <w:rFonts w:ascii="Calibri" w:hAnsi="Calibri"/>
                <w:sz w:val="18"/>
                <w:szCs w:val="18"/>
              </w:rPr>
              <w:t>16,00</w:t>
            </w:r>
          </w:p>
        </w:tc>
        <w:tc>
          <w:tcPr>
            <w:tcW w:w="993" w:type="dxa"/>
            <w:tcBorders>
              <w:top w:val="nil"/>
              <w:bottom w:val="single" w:sz="6" w:space="0" w:color="auto"/>
            </w:tcBorders>
          </w:tcPr>
          <w:p w:rsidR="0018327E" w:rsidRPr="00C06FB8" w:rsidRDefault="0018327E" w:rsidP="0018327E">
            <w:pPr>
              <w:pStyle w:val="StylIwony"/>
              <w:spacing w:before="0" w:after="0"/>
              <w:jc w:val="center"/>
              <w:rPr>
                <w:rFonts w:ascii="Calibri" w:hAnsi="Calibri"/>
                <w:sz w:val="18"/>
                <w:szCs w:val="18"/>
              </w:rPr>
            </w:pPr>
          </w:p>
          <w:p w:rsidR="0018327E" w:rsidRPr="00C06FB8" w:rsidRDefault="0018327E" w:rsidP="0018327E">
            <w:pPr>
              <w:pStyle w:val="StylIwony"/>
              <w:spacing w:before="0" w:after="0"/>
              <w:jc w:val="center"/>
              <w:rPr>
                <w:rFonts w:ascii="Calibri" w:hAnsi="Calibri"/>
                <w:sz w:val="18"/>
                <w:szCs w:val="18"/>
              </w:rPr>
            </w:pPr>
            <w:r w:rsidRPr="00C06FB8">
              <w:rPr>
                <w:rFonts w:ascii="Calibri" w:hAnsi="Calibri"/>
                <w:sz w:val="18"/>
                <w:szCs w:val="18"/>
              </w:rPr>
              <w:sym w:font="Symbol" w:char="F0B1"/>
            </w:r>
            <w:r w:rsidRPr="00C06FB8">
              <w:rPr>
                <w:rFonts w:ascii="Calibri" w:hAnsi="Calibri"/>
                <w:sz w:val="18"/>
                <w:szCs w:val="18"/>
              </w:rPr>
              <w:t xml:space="preserve"> 1,5</w:t>
            </w:r>
          </w:p>
          <w:p w:rsidR="0018327E" w:rsidRPr="00C06FB8" w:rsidRDefault="0018327E" w:rsidP="0018327E">
            <w:pPr>
              <w:pStyle w:val="StylIwony"/>
              <w:spacing w:before="0" w:after="0"/>
              <w:jc w:val="center"/>
              <w:rPr>
                <w:rFonts w:ascii="Calibri" w:hAnsi="Calibri"/>
                <w:sz w:val="18"/>
                <w:szCs w:val="18"/>
              </w:rPr>
            </w:pPr>
          </w:p>
          <w:p w:rsidR="0018327E" w:rsidRPr="00C06FB8" w:rsidRDefault="0018327E" w:rsidP="0018327E">
            <w:pPr>
              <w:pStyle w:val="StylIwony"/>
              <w:spacing w:before="0" w:after="0"/>
              <w:jc w:val="center"/>
              <w:rPr>
                <w:rFonts w:ascii="Calibri" w:hAnsi="Calibri"/>
                <w:sz w:val="18"/>
                <w:szCs w:val="18"/>
              </w:rPr>
            </w:pPr>
          </w:p>
          <w:p w:rsidR="0018327E" w:rsidRPr="00C06FB8" w:rsidRDefault="0018327E" w:rsidP="0018327E">
            <w:pPr>
              <w:pStyle w:val="StylIwony"/>
              <w:pBdr>
                <w:bottom w:val="single" w:sz="6" w:space="1" w:color="auto"/>
              </w:pBdr>
              <w:spacing w:before="0" w:after="0"/>
              <w:jc w:val="center"/>
              <w:rPr>
                <w:rFonts w:ascii="Calibri" w:hAnsi="Calibri"/>
                <w:sz w:val="18"/>
                <w:szCs w:val="18"/>
              </w:rPr>
            </w:pPr>
          </w:p>
          <w:p w:rsidR="0018327E" w:rsidRPr="00C06FB8" w:rsidRDefault="0018327E" w:rsidP="0018327E">
            <w:pPr>
              <w:pStyle w:val="StylIwony"/>
              <w:spacing w:before="0" w:after="0"/>
              <w:jc w:val="center"/>
              <w:rPr>
                <w:rFonts w:ascii="Calibri" w:hAnsi="Calibri"/>
                <w:sz w:val="18"/>
                <w:szCs w:val="18"/>
              </w:rPr>
            </w:pPr>
          </w:p>
          <w:p w:rsidR="0018327E" w:rsidRPr="00C06FB8" w:rsidRDefault="0018327E" w:rsidP="0018327E">
            <w:pPr>
              <w:pStyle w:val="StylIwony"/>
              <w:spacing w:before="0" w:after="0"/>
              <w:jc w:val="center"/>
              <w:rPr>
                <w:rFonts w:ascii="Calibri" w:hAnsi="Calibri"/>
                <w:sz w:val="18"/>
                <w:szCs w:val="18"/>
              </w:rPr>
            </w:pPr>
          </w:p>
          <w:p w:rsidR="0018327E" w:rsidRPr="00C06FB8" w:rsidRDefault="0018327E" w:rsidP="0018327E">
            <w:pPr>
              <w:pStyle w:val="StylIwony"/>
              <w:spacing w:before="0" w:after="0"/>
              <w:jc w:val="center"/>
              <w:rPr>
                <w:rFonts w:ascii="Calibri" w:hAnsi="Calibri"/>
                <w:sz w:val="18"/>
                <w:szCs w:val="18"/>
              </w:rPr>
            </w:pPr>
            <w:r w:rsidRPr="00C06FB8">
              <w:rPr>
                <w:rFonts w:ascii="Calibri" w:hAnsi="Calibri"/>
                <w:sz w:val="18"/>
                <w:szCs w:val="18"/>
              </w:rPr>
              <w:sym w:font="Symbol" w:char="F0B1"/>
            </w:r>
            <w:r w:rsidRPr="00C06FB8">
              <w:rPr>
                <w:rFonts w:ascii="Calibri" w:hAnsi="Calibri"/>
                <w:sz w:val="18"/>
                <w:szCs w:val="18"/>
              </w:rPr>
              <w:t xml:space="preserve"> 2,0</w:t>
            </w:r>
          </w:p>
        </w:tc>
        <w:tc>
          <w:tcPr>
            <w:tcW w:w="992" w:type="dxa"/>
            <w:tcBorders>
              <w:top w:val="nil"/>
            </w:tcBorders>
          </w:tcPr>
          <w:p w:rsidR="0018327E" w:rsidRPr="00C06FB8" w:rsidRDefault="0018327E" w:rsidP="0018327E">
            <w:pPr>
              <w:pStyle w:val="StylIwony"/>
              <w:spacing w:before="0" w:after="0"/>
              <w:jc w:val="center"/>
              <w:rPr>
                <w:rFonts w:ascii="Calibri" w:hAnsi="Calibri"/>
                <w:sz w:val="18"/>
                <w:szCs w:val="18"/>
              </w:rPr>
            </w:pPr>
          </w:p>
          <w:p w:rsidR="0018327E" w:rsidRPr="00C06FB8" w:rsidRDefault="0018327E" w:rsidP="0018327E">
            <w:pPr>
              <w:pStyle w:val="StylIwony"/>
              <w:spacing w:before="0" w:after="0"/>
              <w:jc w:val="center"/>
              <w:rPr>
                <w:rFonts w:ascii="Calibri" w:hAnsi="Calibri"/>
                <w:sz w:val="18"/>
                <w:szCs w:val="18"/>
              </w:rPr>
            </w:pPr>
            <w:r w:rsidRPr="00C06FB8">
              <w:rPr>
                <w:rFonts w:ascii="Calibri" w:hAnsi="Calibri"/>
                <w:sz w:val="18"/>
                <w:szCs w:val="18"/>
              </w:rPr>
              <w:sym w:font="Symbol" w:char="F0B1"/>
            </w:r>
            <w:r w:rsidRPr="00C06FB8">
              <w:rPr>
                <w:rFonts w:ascii="Calibri" w:hAnsi="Calibri"/>
                <w:sz w:val="18"/>
                <w:szCs w:val="18"/>
              </w:rPr>
              <w:t xml:space="preserve"> 1,5</w:t>
            </w:r>
          </w:p>
          <w:p w:rsidR="0018327E" w:rsidRPr="00C06FB8" w:rsidRDefault="0018327E" w:rsidP="0018327E">
            <w:pPr>
              <w:pStyle w:val="StylIwony"/>
              <w:spacing w:before="0" w:after="0"/>
              <w:jc w:val="center"/>
              <w:rPr>
                <w:rFonts w:ascii="Calibri" w:hAnsi="Calibri"/>
                <w:sz w:val="18"/>
                <w:szCs w:val="18"/>
              </w:rPr>
            </w:pPr>
          </w:p>
          <w:p w:rsidR="0018327E" w:rsidRPr="00C06FB8" w:rsidRDefault="0018327E" w:rsidP="0018327E">
            <w:pPr>
              <w:pStyle w:val="StylIwony"/>
              <w:spacing w:before="0" w:after="0"/>
              <w:jc w:val="center"/>
              <w:rPr>
                <w:rFonts w:ascii="Calibri" w:hAnsi="Calibri"/>
                <w:sz w:val="18"/>
                <w:szCs w:val="18"/>
              </w:rPr>
            </w:pPr>
          </w:p>
          <w:p w:rsidR="0018327E" w:rsidRPr="00C06FB8" w:rsidRDefault="0018327E" w:rsidP="0018327E">
            <w:pPr>
              <w:pStyle w:val="StylIwony"/>
              <w:pBdr>
                <w:bottom w:val="single" w:sz="6" w:space="1" w:color="auto"/>
              </w:pBdr>
              <w:spacing w:before="0" w:after="0"/>
              <w:jc w:val="center"/>
              <w:rPr>
                <w:rFonts w:ascii="Calibri" w:hAnsi="Calibri"/>
                <w:sz w:val="18"/>
                <w:szCs w:val="18"/>
              </w:rPr>
            </w:pPr>
          </w:p>
          <w:p w:rsidR="0018327E" w:rsidRPr="00C06FB8" w:rsidRDefault="0018327E" w:rsidP="0018327E">
            <w:pPr>
              <w:pStyle w:val="StylIwony"/>
              <w:spacing w:before="0" w:after="0"/>
              <w:jc w:val="center"/>
              <w:rPr>
                <w:rFonts w:ascii="Calibri" w:hAnsi="Calibri"/>
                <w:sz w:val="18"/>
                <w:szCs w:val="18"/>
              </w:rPr>
            </w:pPr>
          </w:p>
          <w:p w:rsidR="0018327E" w:rsidRPr="00C06FB8" w:rsidRDefault="0018327E" w:rsidP="0018327E">
            <w:pPr>
              <w:pStyle w:val="StylIwony"/>
              <w:spacing w:before="0" w:after="0"/>
              <w:jc w:val="center"/>
              <w:rPr>
                <w:rFonts w:ascii="Calibri" w:hAnsi="Calibri"/>
                <w:sz w:val="18"/>
                <w:szCs w:val="18"/>
              </w:rPr>
            </w:pPr>
          </w:p>
          <w:p w:rsidR="0018327E" w:rsidRPr="00C06FB8" w:rsidRDefault="0018327E" w:rsidP="0018327E">
            <w:pPr>
              <w:pStyle w:val="StylIwony"/>
              <w:spacing w:before="0" w:after="0"/>
              <w:jc w:val="center"/>
              <w:rPr>
                <w:rFonts w:ascii="Calibri" w:hAnsi="Calibri"/>
                <w:sz w:val="18"/>
                <w:szCs w:val="18"/>
              </w:rPr>
            </w:pPr>
            <w:r w:rsidRPr="00C06FB8">
              <w:rPr>
                <w:rFonts w:ascii="Calibri" w:hAnsi="Calibri"/>
                <w:sz w:val="18"/>
                <w:szCs w:val="18"/>
              </w:rPr>
              <w:sym w:font="Symbol" w:char="F0B1"/>
            </w:r>
            <w:r w:rsidRPr="00C06FB8">
              <w:rPr>
                <w:rFonts w:ascii="Calibri" w:hAnsi="Calibri"/>
                <w:sz w:val="18"/>
                <w:szCs w:val="18"/>
              </w:rPr>
              <w:t xml:space="preserve"> 2,0</w:t>
            </w:r>
          </w:p>
        </w:tc>
        <w:tc>
          <w:tcPr>
            <w:tcW w:w="992" w:type="dxa"/>
            <w:tcBorders>
              <w:top w:val="nil"/>
            </w:tcBorders>
          </w:tcPr>
          <w:p w:rsidR="0018327E" w:rsidRPr="00C06FB8" w:rsidRDefault="0018327E" w:rsidP="0018327E">
            <w:pPr>
              <w:pStyle w:val="StylIwony"/>
              <w:pBdr>
                <w:bottom w:val="single" w:sz="6" w:space="1" w:color="auto"/>
              </w:pBdr>
              <w:spacing w:before="0" w:after="0"/>
              <w:jc w:val="center"/>
              <w:rPr>
                <w:rFonts w:ascii="Calibri" w:hAnsi="Calibri"/>
                <w:sz w:val="18"/>
                <w:szCs w:val="18"/>
              </w:rPr>
            </w:pPr>
          </w:p>
          <w:p w:rsidR="0018327E" w:rsidRPr="00C06FB8" w:rsidRDefault="0018327E" w:rsidP="0018327E">
            <w:pPr>
              <w:pStyle w:val="StylIwony"/>
              <w:pBdr>
                <w:bottom w:val="single" w:sz="6" w:space="1" w:color="auto"/>
              </w:pBdr>
              <w:spacing w:before="0" w:after="0"/>
              <w:jc w:val="center"/>
              <w:rPr>
                <w:rFonts w:ascii="Calibri" w:hAnsi="Calibri"/>
                <w:sz w:val="18"/>
                <w:szCs w:val="18"/>
              </w:rPr>
            </w:pPr>
            <w:r w:rsidRPr="00C06FB8">
              <w:rPr>
                <w:rFonts w:ascii="Calibri" w:hAnsi="Calibri"/>
                <w:sz w:val="18"/>
                <w:szCs w:val="18"/>
              </w:rPr>
              <w:t>+0,3;  -0,5</w:t>
            </w:r>
          </w:p>
          <w:p w:rsidR="0018327E" w:rsidRPr="00C06FB8" w:rsidRDefault="0018327E" w:rsidP="0018327E">
            <w:pPr>
              <w:pStyle w:val="StylIwony"/>
              <w:spacing w:before="0" w:after="0"/>
              <w:jc w:val="center"/>
              <w:rPr>
                <w:rFonts w:ascii="Calibri" w:hAnsi="Calibri"/>
                <w:sz w:val="18"/>
                <w:szCs w:val="18"/>
              </w:rPr>
            </w:pPr>
          </w:p>
          <w:p w:rsidR="0018327E" w:rsidRPr="00C06FB8" w:rsidRDefault="0018327E" w:rsidP="0018327E">
            <w:pPr>
              <w:pStyle w:val="StylIwony"/>
              <w:spacing w:before="0" w:after="0"/>
              <w:jc w:val="center"/>
              <w:rPr>
                <w:rFonts w:ascii="Calibri" w:hAnsi="Calibri"/>
                <w:sz w:val="18"/>
                <w:szCs w:val="18"/>
              </w:rPr>
            </w:pPr>
            <w:r w:rsidRPr="00C06FB8">
              <w:rPr>
                <w:rFonts w:ascii="Calibri" w:hAnsi="Calibri"/>
                <w:sz w:val="18"/>
                <w:szCs w:val="18"/>
              </w:rPr>
              <w:t>+ 0,4</w:t>
            </w:r>
          </w:p>
          <w:p w:rsidR="0018327E" w:rsidRPr="00C06FB8" w:rsidRDefault="0018327E" w:rsidP="0018327E">
            <w:pPr>
              <w:pStyle w:val="StylIwony"/>
              <w:pBdr>
                <w:bottom w:val="single" w:sz="6" w:space="1" w:color="auto"/>
              </w:pBdr>
              <w:spacing w:before="0" w:after="0"/>
              <w:jc w:val="center"/>
              <w:rPr>
                <w:rFonts w:ascii="Calibri" w:hAnsi="Calibri"/>
                <w:sz w:val="18"/>
                <w:szCs w:val="18"/>
              </w:rPr>
            </w:pPr>
            <w:r w:rsidRPr="00C06FB8">
              <w:rPr>
                <w:rFonts w:ascii="Calibri" w:hAnsi="Calibri"/>
                <w:sz w:val="18"/>
                <w:szCs w:val="18"/>
              </w:rPr>
              <w:t>- 0,75</w:t>
            </w:r>
          </w:p>
          <w:p w:rsidR="0018327E" w:rsidRPr="00C06FB8" w:rsidRDefault="0018327E" w:rsidP="0018327E">
            <w:pPr>
              <w:pStyle w:val="StylIwony"/>
              <w:spacing w:before="0" w:after="0"/>
              <w:jc w:val="center"/>
              <w:rPr>
                <w:rFonts w:ascii="Calibri" w:hAnsi="Calibri"/>
                <w:sz w:val="18"/>
                <w:szCs w:val="18"/>
              </w:rPr>
            </w:pPr>
          </w:p>
          <w:p w:rsidR="0018327E" w:rsidRPr="00C06FB8" w:rsidRDefault="0018327E" w:rsidP="0018327E">
            <w:pPr>
              <w:pStyle w:val="StylIwony"/>
              <w:spacing w:before="0" w:after="0"/>
              <w:jc w:val="center"/>
              <w:rPr>
                <w:rFonts w:ascii="Calibri" w:hAnsi="Calibri"/>
                <w:sz w:val="18"/>
                <w:szCs w:val="18"/>
              </w:rPr>
            </w:pPr>
          </w:p>
          <w:p w:rsidR="0018327E" w:rsidRPr="00C06FB8" w:rsidRDefault="0018327E" w:rsidP="0018327E">
            <w:pPr>
              <w:pStyle w:val="StylIwony"/>
              <w:spacing w:before="0" w:after="0"/>
              <w:jc w:val="center"/>
              <w:rPr>
                <w:rFonts w:ascii="Calibri" w:hAnsi="Calibri"/>
                <w:sz w:val="18"/>
                <w:szCs w:val="18"/>
              </w:rPr>
            </w:pPr>
            <w:r w:rsidRPr="00C06FB8">
              <w:rPr>
                <w:rFonts w:ascii="Calibri" w:hAnsi="Calibri"/>
                <w:sz w:val="18"/>
                <w:szCs w:val="18"/>
              </w:rPr>
              <w:t>+0,4;  -1,0</w:t>
            </w:r>
          </w:p>
          <w:p w:rsidR="0018327E" w:rsidRPr="00C06FB8" w:rsidRDefault="0018327E" w:rsidP="0018327E">
            <w:pPr>
              <w:pStyle w:val="StylIwony"/>
              <w:spacing w:before="0" w:after="0"/>
              <w:jc w:val="center"/>
              <w:rPr>
                <w:rFonts w:ascii="Calibri" w:hAnsi="Calibri"/>
                <w:sz w:val="18"/>
                <w:szCs w:val="18"/>
              </w:rPr>
            </w:pPr>
          </w:p>
        </w:tc>
      </w:tr>
    </w:tbl>
    <w:p w:rsidR="0018327E" w:rsidRDefault="0018327E" w:rsidP="0018327E">
      <w:pPr>
        <w:rPr>
          <w:rFonts w:asciiTheme="minorHAnsi" w:hAnsiTheme="minorHAnsi"/>
        </w:rPr>
      </w:pPr>
    </w:p>
    <w:p w:rsidR="0018327E" w:rsidRPr="00C06FB8" w:rsidRDefault="0018327E" w:rsidP="0018327E">
      <w:pPr>
        <w:ind w:left="709"/>
        <w:rPr>
          <w:rFonts w:ascii="Calibri" w:hAnsi="Calibri"/>
        </w:rPr>
      </w:pPr>
      <w:r>
        <w:rPr>
          <w:rFonts w:asciiTheme="minorHAnsi" w:hAnsiTheme="minorHAnsi"/>
        </w:rPr>
        <w:t>Tablica 6</w:t>
      </w:r>
      <w:r w:rsidRPr="00C06FB8">
        <w:rPr>
          <w:rFonts w:ascii="Calibri" w:hAnsi="Calibri"/>
        </w:rPr>
        <w:t>. Teown</w:t>
      </w:r>
      <w:r>
        <w:rPr>
          <w:rFonts w:asciiTheme="minorHAnsi" w:hAnsiTheme="minorHAnsi"/>
        </w:rPr>
        <w:t>iki walcowane wg PN-H-93406</w:t>
      </w:r>
    </w:p>
    <w:tbl>
      <w:tblPr>
        <w:tblW w:w="0" w:type="auto"/>
        <w:tblInd w:w="779" w:type="dxa"/>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ayout w:type="fixed"/>
        <w:tblCellMar>
          <w:left w:w="70" w:type="dxa"/>
          <w:right w:w="70" w:type="dxa"/>
        </w:tblCellMar>
        <w:tblLook w:val="0000"/>
      </w:tblPr>
      <w:tblGrid>
        <w:gridCol w:w="1063"/>
        <w:gridCol w:w="992"/>
        <w:gridCol w:w="992"/>
        <w:gridCol w:w="992"/>
        <w:gridCol w:w="993"/>
        <w:gridCol w:w="850"/>
        <w:gridCol w:w="849"/>
        <w:gridCol w:w="852"/>
      </w:tblGrid>
      <w:tr w:rsidR="0018327E" w:rsidRPr="00C06FB8" w:rsidTr="0018327E">
        <w:tc>
          <w:tcPr>
            <w:tcW w:w="1063" w:type="dxa"/>
            <w:tcBorders>
              <w:bottom w:val="nil"/>
            </w:tcBorders>
          </w:tcPr>
          <w:p w:rsidR="0018327E" w:rsidRPr="00C06FB8" w:rsidRDefault="0018327E" w:rsidP="0018327E">
            <w:pPr>
              <w:pStyle w:val="StylIwony"/>
              <w:spacing w:before="0" w:after="0"/>
              <w:jc w:val="center"/>
              <w:rPr>
                <w:rFonts w:ascii="Calibri" w:hAnsi="Calibri"/>
                <w:sz w:val="18"/>
                <w:szCs w:val="18"/>
              </w:rPr>
            </w:pPr>
            <w:r w:rsidRPr="00C06FB8">
              <w:rPr>
                <w:rFonts w:ascii="Calibri" w:hAnsi="Calibri"/>
                <w:sz w:val="18"/>
                <w:szCs w:val="18"/>
              </w:rPr>
              <w:t>Ozna</w:t>
            </w:r>
            <w:r w:rsidRPr="00C06FB8">
              <w:rPr>
                <w:rFonts w:ascii="Calibri" w:hAnsi="Calibri"/>
                <w:sz w:val="18"/>
                <w:szCs w:val="18"/>
              </w:rPr>
              <w:softHyphen/>
              <w:t>-</w:t>
            </w:r>
          </w:p>
        </w:tc>
        <w:tc>
          <w:tcPr>
            <w:tcW w:w="2976" w:type="dxa"/>
            <w:gridSpan w:val="3"/>
          </w:tcPr>
          <w:p w:rsidR="0018327E" w:rsidRPr="00C06FB8" w:rsidRDefault="0018327E" w:rsidP="0018327E">
            <w:pPr>
              <w:pStyle w:val="StylIwony"/>
              <w:spacing w:before="0" w:after="0"/>
              <w:jc w:val="center"/>
              <w:rPr>
                <w:rFonts w:ascii="Calibri" w:hAnsi="Calibri"/>
                <w:sz w:val="18"/>
                <w:szCs w:val="18"/>
              </w:rPr>
            </w:pPr>
            <w:r w:rsidRPr="00C06FB8">
              <w:rPr>
                <w:rFonts w:ascii="Calibri" w:hAnsi="Calibri"/>
                <w:sz w:val="18"/>
                <w:szCs w:val="18"/>
              </w:rPr>
              <w:t>Wymiary - mm</w:t>
            </w:r>
          </w:p>
        </w:tc>
        <w:tc>
          <w:tcPr>
            <w:tcW w:w="993" w:type="dxa"/>
            <w:tcBorders>
              <w:bottom w:val="nil"/>
            </w:tcBorders>
          </w:tcPr>
          <w:p w:rsidR="0018327E" w:rsidRPr="00C06FB8" w:rsidRDefault="0018327E" w:rsidP="0018327E">
            <w:pPr>
              <w:pStyle w:val="StylIwony"/>
              <w:spacing w:before="0" w:after="0"/>
              <w:jc w:val="center"/>
              <w:rPr>
                <w:rFonts w:ascii="Calibri" w:hAnsi="Calibri"/>
                <w:sz w:val="18"/>
                <w:szCs w:val="18"/>
              </w:rPr>
            </w:pPr>
            <w:r w:rsidRPr="00C06FB8">
              <w:rPr>
                <w:rFonts w:ascii="Calibri" w:hAnsi="Calibri"/>
                <w:sz w:val="18"/>
                <w:szCs w:val="18"/>
              </w:rPr>
              <w:t>Masa 1 m</w:t>
            </w:r>
          </w:p>
        </w:tc>
        <w:tc>
          <w:tcPr>
            <w:tcW w:w="2551" w:type="dxa"/>
            <w:gridSpan w:val="3"/>
          </w:tcPr>
          <w:p w:rsidR="0018327E" w:rsidRPr="00C06FB8" w:rsidRDefault="0018327E" w:rsidP="0018327E">
            <w:pPr>
              <w:pStyle w:val="StylIwony"/>
              <w:spacing w:before="0" w:after="0"/>
              <w:jc w:val="center"/>
              <w:rPr>
                <w:rFonts w:ascii="Calibri" w:hAnsi="Calibri"/>
                <w:sz w:val="18"/>
                <w:szCs w:val="18"/>
              </w:rPr>
            </w:pPr>
            <w:r w:rsidRPr="00C06FB8">
              <w:rPr>
                <w:rFonts w:ascii="Calibri" w:hAnsi="Calibri"/>
                <w:sz w:val="18"/>
                <w:szCs w:val="18"/>
              </w:rPr>
              <w:t>Dopuszczalne odchyłki mm</w:t>
            </w:r>
          </w:p>
        </w:tc>
      </w:tr>
      <w:tr w:rsidR="0018327E" w:rsidRPr="00C06FB8" w:rsidTr="0018327E">
        <w:tc>
          <w:tcPr>
            <w:tcW w:w="1063" w:type="dxa"/>
            <w:tcBorders>
              <w:top w:val="nil"/>
              <w:bottom w:val="double" w:sz="6" w:space="0" w:color="auto"/>
            </w:tcBorders>
          </w:tcPr>
          <w:p w:rsidR="0018327E" w:rsidRPr="00C06FB8" w:rsidRDefault="0018327E" w:rsidP="0018327E">
            <w:pPr>
              <w:pStyle w:val="StylIwony"/>
              <w:spacing w:before="0" w:after="0"/>
              <w:jc w:val="center"/>
              <w:rPr>
                <w:rFonts w:ascii="Calibri" w:hAnsi="Calibri"/>
                <w:sz w:val="18"/>
                <w:szCs w:val="18"/>
              </w:rPr>
            </w:pPr>
            <w:r w:rsidRPr="00C06FB8">
              <w:rPr>
                <w:rFonts w:ascii="Calibri" w:hAnsi="Calibri"/>
                <w:sz w:val="18"/>
                <w:szCs w:val="18"/>
              </w:rPr>
              <w:t>czenie</w:t>
            </w:r>
          </w:p>
        </w:tc>
        <w:tc>
          <w:tcPr>
            <w:tcW w:w="992" w:type="dxa"/>
            <w:tcBorders>
              <w:bottom w:val="double" w:sz="6" w:space="0" w:color="auto"/>
            </w:tcBorders>
          </w:tcPr>
          <w:p w:rsidR="0018327E" w:rsidRPr="00C06FB8" w:rsidRDefault="0018327E" w:rsidP="0018327E">
            <w:pPr>
              <w:pStyle w:val="StylIwony"/>
              <w:spacing w:before="0" w:after="0"/>
              <w:jc w:val="center"/>
              <w:rPr>
                <w:rFonts w:ascii="Calibri" w:hAnsi="Calibri"/>
                <w:sz w:val="18"/>
                <w:szCs w:val="18"/>
              </w:rPr>
            </w:pPr>
            <w:r w:rsidRPr="00C06FB8">
              <w:rPr>
                <w:rFonts w:ascii="Calibri" w:hAnsi="Calibri"/>
                <w:sz w:val="18"/>
                <w:szCs w:val="18"/>
              </w:rPr>
              <w:t>wyso</w:t>
            </w:r>
            <w:r w:rsidRPr="00C06FB8">
              <w:rPr>
                <w:rFonts w:ascii="Calibri" w:hAnsi="Calibri"/>
                <w:sz w:val="18"/>
                <w:szCs w:val="18"/>
              </w:rPr>
              <w:softHyphen/>
              <w:t>kość środ</w:t>
            </w:r>
            <w:r w:rsidRPr="00C06FB8">
              <w:rPr>
                <w:rFonts w:ascii="Calibri" w:hAnsi="Calibri"/>
                <w:sz w:val="18"/>
                <w:szCs w:val="18"/>
              </w:rPr>
              <w:softHyphen/>
              <w:t>nika</w:t>
            </w:r>
          </w:p>
        </w:tc>
        <w:tc>
          <w:tcPr>
            <w:tcW w:w="992" w:type="dxa"/>
            <w:tcBorders>
              <w:bottom w:val="double" w:sz="6" w:space="0" w:color="auto"/>
            </w:tcBorders>
          </w:tcPr>
          <w:p w:rsidR="0018327E" w:rsidRPr="00C06FB8" w:rsidRDefault="0018327E" w:rsidP="0018327E">
            <w:pPr>
              <w:pStyle w:val="StylIwony"/>
              <w:spacing w:before="0" w:after="0"/>
              <w:jc w:val="center"/>
              <w:rPr>
                <w:rFonts w:ascii="Calibri" w:hAnsi="Calibri"/>
                <w:sz w:val="18"/>
                <w:szCs w:val="18"/>
              </w:rPr>
            </w:pPr>
            <w:r w:rsidRPr="00C06FB8">
              <w:rPr>
                <w:rFonts w:ascii="Calibri" w:hAnsi="Calibri"/>
                <w:sz w:val="18"/>
                <w:szCs w:val="18"/>
              </w:rPr>
              <w:t>szero</w:t>
            </w:r>
            <w:r w:rsidRPr="00C06FB8">
              <w:rPr>
                <w:rFonts w:ascii="Calibri" w:hAnsi="Calibri"/>
                <w:sz w:val="18"/>
                <w:szCs w:val="18"/>
              </w:rPr>
              <w:softHyphen/>
              <w:t>kość stopki</w:t>
            </w:r>
          </w:p>
        </w:tc>
        <w:tc>
          <w:tcPr>
            <w:tcW w:w="992" w:type="dxa"/>
            <w:tcBorders>
              <w:bottom w:val="double" w:sz="6" w:space="0" w:color="auto"/>
            </w:tcBorders>
          </w:tcPr>
          <w:p w:rsidR="0018327E" w:rsidRPr="00C06FB8" w:rsidRDefault="0018327E" w:rsidP="0018327E">
            <w:pPr>
              <w:pStyle w:val="StylIwony"/>
              <w:spacing w:before="0" w:after="0"/>
              <w:jc w:val="center"/>
              <w:rPr>
                <w:rFonts w:ascii="Calibri" w:hAnsi="Calibri"/>
                <w:sz w:val="18"/>
                <w:szCs w:val="18"/>
              </w:rPr>
            </w:pPr>
            <w:r w:rsidRPr="00C06FB8">
              <w:rPr>
                <w:rFonts w:ascii="Calibri" w:hAnsi="Calibri"/>
                <w:sz w:val="18"/>
                <w:szCs w:val="18"/>
              </w:rPr>
              <w:t>grubość środ</w:t>
            </w:r>
            <w:r w:rsidRPr="00C06FB8">
              <w:rPr>
                <w:rFonts w:ascii="Calibri" w:hAnsi="Calibri"/>
                <w:sz w:val="18"/>
                <w:szCs w:val="18"/>
              </w:rPr>
              <w:softHyphen/>
              <w:t>nika</w:t>
            </w:r>
          </w:p>
        </w:tc>
        <w:tc>
          <w:tcPr>
            <w:tcW w:w="993" w:type="dxa"/>
            <w:tcBorders>
              <w:top w:val="nil"/>
              <w:bottom w:val="double" w:sz="6" w:space="0" w:color="auto"/>
            </w:tcBorders>
          </w:tcPr>
          <w:p w:rsidR="0018327E" w:rsidRPr="00C06FB8" w:rsidRDefault="0018327E" w:rsidP="0018327E">
            <w:pPr>
              <w:pStyle w:val="StylIwony"/>
              <w:spacing w:before="0" w:after="0"/>
              <w:jc w:val="center"/>
              <w:rPr>
                <w:rFonts w:ascii="Calibri" w:hAnsi="Calibri"/>
                <w:sz w:val="18"/>
                <w:szCs w:val="18"/>
              </w:rPr>
            </w:pPr>
            <w:r w:rsidRPr="00C06FB8">
              <w:rPr>
                <w:rFonts w:ascii="Calibri" w:hAnsi="Calibri"/>
                <w:sz w:val="18"/>
                <w:szCs w:val="18"/>
              </w:rPr>
              <w:t>teownika</w:t>
            </w:r>
          </w:p>
          <w:p w:rsidR="0018327E" w:rsidRPr="00C06FB8" w:rsidRDefault="0018327E" w:rsidP="0018327E">
            <w:pPr>
              <w:pStyle w:val="StylIwony"/>
              <w:spacing w:before="0" w:after="0"/>
              <w:jc w:val="center"/>
              <w:rPr>
                <w:rFonts w:ascii="Calibri" w:hAnsi="Calibri"/>
                <w:sz w:val="18"/>
                <w:szCs w:val="18"/>
              </w:rPr>
            </w:pPr>
            <w:r w:rsidRPr="00C06FB8">
              <w:rPr>
                <w:rFonts w:ascii="Calibri" w:hAnsi="Calibri"/>
                <w:sz w:val="18"/>
                <w:szCs w:val="18"/>
              </w:rPr>
              <w:t>kg/m</w:t>
            </w:r>
          </w:p>
        </w:tc>
        <w:tc>
          <w:tcPr>
            <w:tcW w:w="850" w:type="dxa"/>
            <w:tcBorders>
              <w:bottom w:val="double" w:sz="6" w:space="0" w:color="auto"/>
            </w:tcBorders>
          </w:tcPr>
          <w:p w:rsidR="0018327E" w:rsidRPr="00C06FB8" w:rsidRDefault="0018327E" w:rsidP="0018327E">
            <w:pPr>
              <w:pStyle w:val="StylIwony"/>
              <w:spacing w:after="0"/>
              <w:jc w:val="center"/>
              <w:rPr>
                <w:rFonts w:ascii="Calibri" w:hAnsi="Calibri"/>
                <w:sz w:val="18"/>
                <w:szCs w:val="18"/>
              </w:rPr>
            </w:pPr>
            <w:r w:rsidRPr="00C06FB8">
              <w:rPr>
                <w:rFonts w:ascii="Calibri" w:hAnsi="Calibri"/>
                <w:sz w:val="18"/>
                <w:szCs w:val="18"/>
              </w:rPr>
              <w:t>środnika</w:t>
            </w:r>
          </w:p>
        </w:tc>
        <w:tc>
          <w:tcPr>
            <w:tcW w:w="849" w:type="dxa"/>
            <w:tcBorders>
              <w:bottom w:val="double" w:sz="6" w:space="0" w:color="auto"/>
            </w:tcBorders>
          </w:tcPr>
          <w:p w:rsidR="0018327E" w:rsidRPr="00C06FB8" w:rsidRDefault="0018327E" w:rsidP="0018327E">
            <w:pPr>
              <w:pStyle w:val="StylIwony"/>
              <w:spacing w:after="0"/>
              <w:jc w:val="center"/>
              <w:rPr>
                <w:rFonts w:ascii="Calibri" w:hAnsi="Calibri"/>
                <w:sz w:val="18"/>
                <w:szCs w:val="18"/>
              </w:rPr>
            </w:pPr>
            <w:r w:rsidRPr="00C06FB8">
              <w:rPr>
                <w:rFonts w:ascii="Calibri" w:hAnsi="Calibri"/>
                <w:sz w:val="18"/>
                <w:szCs w:val="18"/>
              </w:rPr>
              <w:t>stopki</w:t>
            </w:r>
          </w:p>
        </w:tc>
        <w:tc>
          <w:tcPr>
            <w:tcW w:w="852" w:type="dxa"/>
            <w:tcBorders>
              <w:bottom w:val="double" w:sz="6" w:space="0" w:color="auto"/>
            </w:tcBorders>
          </w:tcPr>
          <w:p w:rsidR="0018327E" w:rsidRPr="00C06FB8" w:rsidRDefault="0018327E" w:rsidP="0018327E">
            <w:pPr>
              <w:pStyle w:val="StylIwony"/>
              <w:spacing w:after="0"/>
              <w:jc w:val="center"/>
              <w:rPr>
                <w:rFonts w:ascii="Calibri" w:hAnsi="Calibri"/>
                <w:sz w:val="18"/>
                <w:szCs w:val="18"/>
              </w:rPr>
            </w:pPr>
            <w:r w:rsidRPr="00C06FB8">
              <w:rPr>
                <w:rFonts w:ascii="Calibri" w:hAnsi="Calibri"/>
                <w:sz w:val="18"/>
                <w:szCs w:val="18"/>
              </w:rPr>
              <w:t>grubości</w:t>
            </w:r>
          </w:p>
        </w:tc>
      </w:tr>
      <w:tr w:rsidR="0018327E" w:rsidRPr="00C06FB8" w:rsidTr="0018327E">
        <w:tc>
          <w:tcPr>
            <w:tcW w:w="1063" w:type="dxa"/>
            <w:tcBorders>
              <w:top w:val="nil"/>
            </w:tcBorders>
          </w:tcPr>
          <w:p w:rsidR="0018327E" w:rsidRPr="00C06FB8" w:rsidRDefault="0018327E" w:rsidP="0018327E">
            <w:pPr>
              <w:pStyle w:val="StylIwony"/>
              <w:spacing w:before="0" w:after="0"/>
              <w:jc w:val="center"/>
              <w:rPr>
                <w:rFonts w:ascii="Calibri" w:hAnsi="Calibri"/>
                <w:sz w:val="18"/>
                <w:szCs w:val="18"/>
                <w:lang w:val="en-US"/>
              </w:rPr>
            </w:pPr>
            <w:r w:rsidRPr="00C06FB8">
              <w:rPr>
                <w:rFonts w:ascii="Calibri" w:hAnsi="Calibri"/>
                <w:sz w:val="18"/>
                <w:szCs w:val="18"/>
                <w:lang w:val="en-US"/>
              </w:rPr>
              <w:t>T 40x40</w:t>
            </w:r>
          </w:p>
          <w:p w:rsidR="0018327E" w:rsidRPr="00C06FB8" w:rsidRDefault="0018327E" w:rsidP="0018327E">
            <w:pPr>
              <w:pStyle w:val="StylIwony"/>
              <w:spacing w:before="0" w:after="0"/>
              <w:jc w:val="center"/>
              <w:rPr>
                <w:rFonts w:ascii="Calibri" w:hAnsi="Calibri"/>
                <w:sz w:val="18"/>
                <w:szCs w:val="18"/>
                <w:lang w:val="en-US"/>
              </w:rPr>
            </w:pPr>
            <w:r w:rsidRPr="00C06FB8">
              <w:rPr>
                <w:rFonts w:ascii="Calibri" w:hAnsi="Calibri"/>
                <w:sz w:val="18"/>
                <w:szCs w:val="18"/>
                <w:lang w:val="en-US"/>
              </w:rPr>
              <w:t>T 50x50</w:t>
            </w:r>
          </w:p>
          <w:p w:rsidR="0018327E" w:rsidRPr="00C06FB8" w:rsidRDefault="0018327E" w:rsidP="0018327E">
            <w:pPr>
              <w:pStyle w:val="StylIwony"/>
              <w:spacing w:before="0" w:after="0"/>
              <w:jc w:val="center"/>
              <w:rPr>
                <w:rFonts w:ascii="Calibri" w:hAnsi="Calibri"/>
                <w:sz w:val="18"/>
                <w:szCs w:val="18"/>
                <w:lang w:val="en-US"/>
              </w:rPr>
            </w:pPr>
            <w:r w:rsidRPr="00C06FB8">
              <w:rPr>
                <w:rFonts w:ascii="Calibri" w:hAnsi="Calibri"/>
                <w:sz w:val="18"/>
                <w:szCs w:val="18"/>
                <w:lang w:val="en-US"/>
              </w:rPr>
              <w:t>T 60x60</w:t>
            </w:r>
          </w:p>
          <w:p w:rsidR="0018327E" w:rsidRPr="00C06FB8" w:rsidRDefault="0018327E" w:rsidP="0018327E">
            <w:pPr>
              <w:pStyle w:val="StylIwony"/>
              <w:spacing w:before="0" w:after="0"/>
              <w:jc w:val="center"/>
              <w:rPr>
                <w:rFonts w:ascii="Calibri" w:hAnsi="Calibri"/>
                <w:sz w:val="18"/>
                <w:szCs w:val="18"/>
                <w:lang w:val="en-US"/>
              </w:rPr>
            </w:pPr>
            <w:r w:rsidRPr="00C06FB8">
              <w:rPr>
                <w:rFonts w:ascii="Calibri" w:hAnsi="Calibri"/>
                <w:sz w:val="18"/>
                <w:szCs w:val="18"/>
                <w:lang w:val="en-US"/>
              </w:rPr>
              <w:t>T 80x80</w:t>
            </w:r>
          </w:p>
          <w:p w:rsidR="0018327E" w:rsidRPr="00C06FB8" w:rsidRDefault="0018327E" w:rsidP="0018327E">
            <w:pPr>
              <w:pStyle w:val="StylIwony"/>
              <w:spacing w:before="0" w:after="0"/>
              <w:jc w:val="center"/>
              <w:rPr>
                <w:rFonts w:ascii="Calibri" w:hAnsi="Calibri"/>
                <w:sz w:val="18"/>
                <w:szCs w:val="18"/>
                <w:lang w:val="en-US"/>
              </w:rPr>
            </w:pPr>
            <w:r w:rsidRPr="00C06FB8">
              <w:rPr>
                <w:rFonts w:ascii="Calibri" w:hAnsi="Calibri"/>
                <w:sz w:val="18"/>
                <w:szCs w:val="18"/>
                <w:lang w:val="en-US"/>
              </w:rPr>
              <w:t>T100x 100</w:t>
            </w:r>
          </w:p>
        </w:tc>
        <w:tc>
          <w:tcPr>
            <w:tcW w:w="992" w:type="dxa"/>
            <w:tcBorders>
              <w:top w:val="nil"/>
            </w:tcBorders>
          </w:tcPr>
          <w:p w:rsidR="0018327E" w:rsidRPr="00C06FB8" w:rsidRDefault="0018327E" w:rsidP="0018327E">
            <w:pPr>
              <w:pStyle w:val="StylIwony"/>
              <w:spacing w:before="0" w:after="0"/>
              <w:jc w:val="center"/>
              <w:rPr>
                <w:rFonts w:ascii="Calibri" w:hAnsi="Calibri"/>
                <w:sz w:val="18"/>
                <w:szCs w:val="18"/>
              </w:rPr>
            </w:pPr>
            <w:r w:rsidRPr="00C06FB8">
              <w:rPr>
                <w:rFonts w:ascii="Calibri" w:hAnsi="Calibri"/>
                <w:sz w:val="18"/>
                <w:szCs w:val="18"/>
              </w:rPr>
              <w:t>40</w:t>
            </w:r>
          </w:p>
          <w:p w:rsidR="0018327E" w:rsidRPr="00C06FB8" w:rsidRDefault="0018327E" w:rsidP="0018327E">
            <w:pPr>
              <w:pStyle w:val="StylIwony"/>
              <w:spacing w:before="0" w:after="0"/>
              <w:jc w:val="center"/>
              <w:rPr>
                <w:rFonts w:ascii="Calibri" w:hAnsi="Calibri"/>
                <w:sz w:val="18"/>
                <w:szCs w:val="18"/>
              </w:rPr>
            </w:pPr>
            <w:r w:rsidRPr="00C06FB8">
              <w:rPr>
                <w:rFonts w:ascii="Calibri" w:hAnsi="Calibri"/>
                <w:sz w:val="18"/>
                <w:szCs w:val="18"/>
              </w:rPr>
              <w:t>50</w:t>
            </w:r>
          </w:p>
          <w:p w:rsidR="0018327E" w:rsidRPr="00C06FB8" w:rsidRDefault="0018327E" w:rsidP="0018327E">
            <w:pPr>
              <w:pStyle w:val="StylIwony"/>
              <w:spacing w:before="0" w:after="0"/>
              <w:jc w:val="center"/>
              <w:rPr>
                <w:rFonts w:ascii="Calibri" w:hAnsi="Calibri"/>
                <w:sz w:val="18"/>
                <w:szCs w:val="18"/>
              </w:rPr>
            </w:pPr>
            <w:r w:rsidRPr="00C06FB8">
              <w:rPr>
                <w:rFonts w:ascii="Calibri" w:hAnsi="Calibri"/>
                <w:sz w:val="18"/>
                <w:szCs w:val="18"/>
              </w:rPr>
              <w:t>60</w:t>
            </w:r>
          </w:p>
          <w:p w:rsidR="0018327E" w:rsidRPr="00C06FB8" w:rsidRDefault="0018327E" w:rsidP="0018327E">
            <w:pPr>
              <w:pStyle w:val="StylIwony"/>
              <w:spacing w:before="0" w:after="0"/>
              <w:jc w:val="center"/>
              <w:rPr>
                <w:rFonts w:ascii="Calibri" w:hAnsi="Calibri"/>
                <w:sz w:val="18"/>
                <w:szCs w:val="18"/>
              </w:rPr>
            </w:pPr>
            <w:r w:rsidRPr="00C06FB8">
              <w:rPr>
                <w:rFonts w:ascii="Calibri" w:hAnsi="Calibri"/>
                <w:sz w:val="18"/>
                <w:szCs w:val="18"/>
              </w:rPr>
              <w:t>80</w:t>
            </w:r>
          </w:p>
          <w:p w:rsidR="0018327E" w:rsidRPr="00C06FB8" w:rsidRDefault="0018327E" w:rsidP="0018327E">
            <w:pPr>
              <w:pStyle w:val="StylIwony"/>
              <w:spacing w:before="0" w:after="0"/>
              <w:jc w:val="center"/>
              <w:rPr>
                <w:rFonts w:ascii="Calibri" w:hAnsi="Calibri"/>
                <w:sz w:val="18"/>
                <w:szCs w:val="18"/>
              </w:rPr>
            </w:pPr>
            <w:r w:rsidRPr="00C06FB8">
              <w:rPr>
                <w:rFonts w:ascii="Calibri" w:hAnsi="Calibri"/>
                <w:sz w:val="18"/>
                <w:szCs w:val="18"/>
              </w:rPr>
              <w:t>100</w:t>
            </w:r>
          </w:p>
        </w:tc>
        <w:tc>
          <w:tcPr>
            <w:tcW w:w="992" w:type="dxa"/>
            <w:tcBorders>
              <w:top w:val="nil"/>
            </w:tcBorders>
          </w:tcPr>
          <w:p w:rsidR="0018327E" w:rsidRPr="00C06FB8" w:rsidRDefault="0018327E" w:rsidP="0018327E">
            <w:pPr>
              <w:pStyle w:val="StylIwony"/>
              <w:spacing w:before="0" w:after="0"/>
              <w:jc w:val="center"/>
              <w:rPr>
                <w:rFonts w:ascii="Calibri" w:hAnsi="Calibri"/>
                <w:sz w:val="18"/>
                <w:szCs w:val="18"/>
              </w:rPr>
            </w:pPr>
            <w:r w:rsidRPr="00C06FB8">
              <w:rPr>
                <w:rFonts w:ascii="Calibri" w:hAnsi="Calibri"/>
                <w:sz w:val="18"/>
                <w:szCs w:val="18"/>
              </w:rPr>
              <w:t>40</w:t>
            </w:r>
          </w:p>
          <w:p w:rsidR="0018327E" w:rsidRPr="00C06FB8" w:rsidRDefault="0018327E" w:rsidP="0018327E">
            <w:pPr>
              <w:pStyle w:val="StylIwony"/>
              <w:spacing w:before="0" w:after="0"/>
              <w:jc w:val="center"/>
              <w:rPr>
                <w:rFonts w:ascii="Calibri" w:hAnsi="Calibri"/>
                <w:sz w:val="18"/>
                <w:szCs w:val="18"/>
              </w:rPr>
            </w:pPr>
            <w:r w:rsidRPr="00C06FB8">
              <w:rPr>
                <w:rFonts w:ascii="Calibri" w:hAnsi="Calibri"/>
                <w:sz w:val="18"/>
                <w:szCs w:val="18"/>
              </w:rPr>
              <w:t>50</w:t>
            </w:r>
          </w:p>
          <w:p w:rsidR="0018327E" w:rsidRPr="00C06FB8" w:rsidRDefault="0018327E" w:rsidP="0018327E">
            <w:pPr>
              <w:pStyle w:val="StylIwony"/>
              <w:spacing w:before="0" w:after="0"/>
              <w:jc w:val="center"/>
              <w:rPr>
                <w:rFonts w:ascii="Calibri" w:hAnsi="Calibri"/>
                <w:sz w:val="18"/>
                <w:szCs w:val="18"/>
              </w:rPr>
            </w:pPr>
            <w:r w:rsidRPr="00C06FB8">
              <w:rPr>
                <w:rFonts w:ascii="Calibri" w:hAnsi="Calibri"/>
                <w:sz w:val="18"/>
                <w:szCs w:val="18"/>
              </w:rPr>
              <w:t>60</w:t>
            </w:r>
          </w:p>
          <w:p w:rsidR="0018327E" w:rsidRPr="00C06FB8" w:rsidRDefault="0018327E" w:rsidP="0018327E">
            <w:pPr>
              <w:pStyle w:val="StylIwony"/>
              <w:spacing w:before="0" w:after="0"/>
              <w:jc w:val="center"/>
              <w:rPr>
                <w:rFonts w:ascii="Calibri" w:hAnsi="Calibri"/>
                <w:sz w:val="18"/>
                <w:szCs w:val="18"/>
              </w:rPr>
            </w:pPr>
            <w:r w:rsidRPr="00C06FB8">
              <w:rPr>
                <w:rFonts w:ascii="Calibri" w:hAnsi="Calibri"/>
                <w:sz w:val="18"/>
                <w:szCs w:val="18"/>
              </w:rPr>
              <w:t>80</w:t>
            </w:r>
          </w:p>
          <w:p w:rsidR="0018327E" w:rsidRPr="00C06FB8" w:rsidRDefault="0018327E" w:rsidP="0018327E">
            <w:pPr>
              <w:pStyle w:val="StylIwony"/>
              <w:spacing w:before="0" w:after="0"/>
              <w:jc w:val="center"/>
              <w:rPr>
                <w:rFonts w:ascii="Calibri" w:hAnsi="Calibri"/>
                <w:sz w:val="18"/>
                <w:szCs w:val="18"/>
              </w:rPr>
            </w:pPr>
            <w:r w:rsidRPr="00C06FB8">
              <w:rPr>
                <w:rFonts w:ascii="Calibri" w:hAnsi="Calibri"/>
                <w:sz w:val="18"/>
                <w:szCs w:val="18"/>
              </w:rPr>
              <w:t>100</w:t>
            </w:r>
          </w:p>
        </w:tc>
        <w:tc>
          <w:tcPr>
            <w:tcW w:w="992" w:type="dxa"/>
            <w:tcBorders>
              <w:top w:val="nil"/>
            </w:tcBorders>
          </w:tcPr>
          <w:p w:rsidR="0018327E" w:rsidRPr="00C06FB8" w:rsidRDefault="0018327E" w:rsidP="0018327E">
            <w:pPr>
              <w:pStyle w:val="StylIwony"/>
              <w:spacing w:before="0" w:after="0"/>
              <w:jc w:val="center"/>
              <w:rPr>
                <w:rFonts w:ascii="Calibri" w:hAnsi="Calibri"/>
                <w:sz w:val="18"/>
                <w:szCs w:val="18"/>
              </w:rPr>
            </w:pPr>
            <w:r w:rsidRPr="00C06FB8">
              <w:rPr>
                <w:rFonts w:ascii="Calibri" w:hAnsi="Calibri"/>
                <w:sz w:val="18"/>
                <w:szCs w:val="18"/>
              </w:rPr>
              <w:t>5</w:t>
            </w:r>
          </w:p>
          <w:p w:rsidR="0018327E" w:rsidRPr="00C06FB8" w:rsidRDefault="0018327E" w:rsidP="0018327E">
            <w:pPr>
              <w:pStyle w:val="StylIwony"/>
              <w:spacing w:before="0" w:after="0"/>
              <w:jc w:val="center"/>
              <w:rPr>
                <w:rFonts w:ascii="Calibri" w:hAnsi="Calibri"/>
                <w:sz w:val="18"/>
                <w:szCs w:val="18"/>
              </w:rPr>
            </w:pPr>
            <w:r w:rsidRPr="00C06FB8">
              <w:rPr>
                <w:rFonts w:ascii="Calibri" w:hAnsi="Calibri"/>
                <w:sz w:val="18"/>
                <w:szCs w:val="18"/>
              </w:rPr>
              <w:t>6</w:t>
            </w:r>
          </w:p>
          <w:p w:rsidR="0018327E" w:rsidRPr="00C06FB8" w:rsidRDefault="0018327E" w:rsidP="0018327E">
            <w:pPr>
              <w:pStyle w:val="StylIwony"/>
              <w:spacing w:before="0" w:after="0"/>
              <w:jc w:val="center"/>
              <w:rPr>
                <w:rFonts w:ascii="Calibri" w:hAnsi="Calibri"/>
                <w:sz w:val="18"/>
                <w:szCs w:val="18"/>
              </w:rPr>
            </w:pPr>
            <w:r w:rsidRPr="00C06FB8">
              <w:rPr>
                <w:rFonts w:ascii="Calibri" w:hAnsi="Calibri"/>
                <w:sz w:val="18"/>
                <w:szCs w:val="18"/>
              </w:rPr>
              <w:t>7</w:t>
            </w:r>
          </w:p>
          <w:p w:rsidR="0018327E" w:rsidRPr="00C06FB8" w:rsidRDefault="0018327E" w:rsidP="0018327E">
            <w:pPr>
              <w:pStyle w:val="StylIwony"/>
              <w:spacing w:before="0" w:after="0"/>
              <w:jc w:val="center"/>
              <w:rPr>
                <w:rFonts w:ascii="Calibri" w:hAnsi="Calibri"/>
                <w:sz w:val="18"/>
                <w:szCs w:val="18"/>
              </w:rPr>
            </w:pPr>
            <w:r w:rsidRPr="00C06FB8">
              <w:rPr>
                <w:rFonts w:ascii="Calibri" w:hAnsi="Calibri"/>
                <w:sz w:val="18"/>
                <w:szCs w:val="18"/>
              </w:rPr>
              <w:t>9</w:t>
            </w:r>
          </w:p>
          <w:p w:rsidR="0018327E" w:rsidRPr="00C06FB8" w:rsidRDefault="0018327E" w:rsidP="0018327E">
            <w:pPr>
              <w:pStyle w:val="StylIwony"/>
              <w:spacing w:before="0" w:after="0"/>
              <w:jc w:val="center"/>
              <w:rPr>
                <w:rFonts w:ascii="Calibri" w:hAnsi="Calibri"/>
                <w:sz w:val="18"/>
                <w:szCs w:val="18"/>
              </w:rPr>
            </w:pPr>
            <w:r w:rsidRPr="00C06FB8">
              <w:rPr>
                <w:rFonts w:ascii="Calibri" w:hAnsi="Calibri"/>
                <w:sz w:val="18"/>
                <w:szCs w:val="18"/>
              </w:rPr>
              <w:t>11</w:t>
            </w:r>
          </w:p>
        </w:tc>
        <w:tc>
          <w:tcPr>
            <w:tcW w:w="993" w:type="dxa"/>
            <w:tcBorders>
              <w:top w:val="nil"/>
            </w:tcBorders>
          </w:tcPr>
          <w:p w:rsidR="0018327E" w:rsidRPr="00C06FB8" w:rsidRDefault="0018327E" w:rsidP="0018327E">
            <w:pPr>
              <w:pStyle w:val="StylIwony"/>
              <w:spacing w:before="0" w:after="0"/>
              <w:jc w:val="center"/>
              <w:rPr>
                <w:rFonts w:ascii="Calibri" w:hAnsi="Calibri"/>
                <w:sz w:val="18"/>
                <w:szCs w:val="18"/>
              </w:rPr>
            </w:pPr>
            <w:r w:rsidRPr="00C06FB8">
              <w:rPr>
                <w:rFonts w:ascii="Calibri" w:hAnsi="Calibri"/>
                <w:sz w:val="18"/>
                <w:szCs w:val="18"/>
              </w:rPr>
              <w:t>2,96</w:t>
            </w:r>
          </w:p>
          <w:p w:rsidR="0018327E" w:rsidRPr="00C06FB8" w:rsidRDefault="0018327E" w:rsidP="0018327E">
            <w:pPr>
              <w:pStyle w:val="StylIwony"/>
              <w:spacing w:before="0" w:after="0"/>
              <w:jc w:val="center"/>
              <w:rPr>
                <w:rFonts w:ascii="Calibri" w:hAnsi="Calibri"/>
                <w:sz w:val="18"/>
                <w:szCs w:val="18"/>
              </w:rPr>
            </w:pPr>
            <w:r w:rsidRPr="00C06FB8">
              <w:rPr>
                <w:rFonts w:ascii="Calibri" w:hAnsi="Calibri"/>
                <w:sz w:val="18"/>
                <w:szCs w:val="18"/>
              </w:rPr>
              <w:t>4,44</w:t>
            </w:r>
          </w:p>
          <w:p w:rsidR="0018327E" w:rsidRPr="00C06FB8" w:rsidRDefault="0018327E" w:rsidP="0018327E">
            <w:pPr>
              <w:pStyle w:val="StylIwony"/>
              <w:spacing w:before="0" w:after="0"/>
              <w:jc w:val="center"/>
              <w:rPr>
                <w:rFonts w:ascii="Calibri" w:hAnsi="Calibri"/>
                <w:sz w:val="18"/>
                <w:szCs w:val="18"/>
              </w:rPr>
            </w:pPr>
            <w:r w:rsidRPr="00C06FB8">
              <w:rPr>
                <w:rFonts w:ascii="Calibri" w:hAnsi="Calibri"/>
                <w:sz w:val="18"/>
                <w:szCs w:val="18"/>
              </w:rPr>
              <w:t>6,23</w:t>
            </w:r>
          </w:p>
          <w:p w:rsidR="0018327E" w:rsidRPr="00C06FB8" w:rsidRDefault="0018327E" w:rsidP="0018327E">
            <w:pPr>
              <w:pStyle w:val="StylIwony"/>
              <w:spacing w:before="0" w:after="0"/>
              <w:jc w:val="center"/>
              <w:rPr>
                <w:rFonts w:ascii="Calibri" w:hAnsi="Calibri"/>
                <w:sz w:val="18"/>
                <w:szCs w:val="18"/>
              </w:rPr>
            </w:pPr>
            <w:r w:rsidRPr="00C06FB8">
              <w:rPr>
                <w:rFonts w:ascii="Calibri" w:hAnsi="Calibri"/>
                <w:sz w:val="18"/>
                <w:szCs w:val="18"/>
              </w:rPr>
              <w:t>10,70</w:t>
            </w:r>
          </w:p>
          <w:p w:rsidR="0018327E" w:rsidRPr="00C06FB8" w:rsidRDefault="0018327E" w:rsidP="0018327E">
            <w:pPr>
              <w:pStyle w:val="StylIwony"/>
              <w:spacing w:before="0" w:after="0"/>
              <w:jc w:val="center"/>
              <w:rPr>
                <w:rFonts w:ascii="Calibri" w:hAnsi="Calibri"/>
                <w:sz w:val="18"/>
                <w:szCs w:val="18"/>
              </w:rPr>
            </w:pPr>
            <w:r w:rsidRPr="00C06FB8">
              <w:rPr>
                <w:rFonts w:ascii="Calibri" w:hAnsi="Calibri"/>
                <w:sz w:val="18"/>
                <w:szCs w:val="18"/>
              </w:rPr>
              <w:t>16,40</w:t>
            </w:r>
          </w:p>
        </w:tc>
        <w:tc>
          <w:tcPr>
            <w:tcW w:w="850" w:type="dxa"/>
            <w:tcBorders>
              <w:top w:val="nil"/>
            </w:tcBorders>
          </w:tcPr>
          <w:p w:rsidR="0018327E" w:rsidRPr="00C06FB8" w:rsidRDefault="0018327E" w:rsidP="0018327E">
            <w:pPr>
              <w:pStyle w:val="StylIwony"/>
              <w:pBdr>
                <w:bottom w:val="single" w:sz="6" w:space="1" w:color="auto"/>
              </w:pBdr>
              <w:spacing w:before="0" w:after="0"/>
              <w:jc w:val="center"/>
              <w:rPr>
                <w:rFonts w:ascii="Calibri" w:hAnsi="Calibri"/>
                <w:sz w:val="18"/>
                <w:szCs w:val="18"/>
              </w:rPr>
            </w:pPr>
            <w:r w:rsidRPr="00C06FB8">
              <w:rPr>
                <w:rFonts w:ascii="Calibri" w:hAnsi="Calibri"/>
                <w:sz w:val="18"/>
                <w:szCs w:val="18"/>
              </w:rPr>
              <w:sym w:font="Symbol" w:char="F0B1"/>
            </w:r>
            <w:r w:rsidRPr="00C06FB8">
              <w:rPr>
                <w:rFonts w:ascii="Calibri" w:hAnsi="Calibri"/>
                <w:sz w:val="18"/>
                <w:szCs w:val="18"/>
              </w:rPr>
              <w:t xml:space="preserve"> 1</w:t>
            </w:r>
          </w:p>
          <w:p w:rsidR="0018327E" w:rsidRPr="00C06FB8" w:rsidRDefault="0018327E" w:rsidP="0018327E">
            <w:pPr>
              <w:pStyle w:val="StylIwony"/>
              <w:spacing w:before="0" w:after="0"/>
              <w:jc w:val="center"/>
              <w:rPr>
                <w:rFonts w:ascii="Calibri" w:hAnsi="Calibri"/>
                <w:sz w:val="18"/>
                <w:szCs w:val="18"/>
              </w:rPr>
            </w:pPr>
          </w:p>
          <w:p w:rsidR="0018327E" w:rsidRPr="00C06FB8" w:rsidRDefault="0018327E" w:rsidP="0018327E">
            <w:pPr>
              <w:pStyle w:val="StylIwony"/>
              <w:spacing w:before="0" w:after="0"/>
              <w:jc w:val="center"/>
              <w:rPr>
                <w:rFonts w:ascii="Calibri" w:hAnsi="Calibri"/>
                <w:sz w:val="18"/>
                <w:szCs w:val="18"/>
              </w:rPr>
            </w:pPr>
          </w:p>
          <w:p w:rsidR="0018327E" w:rsidRPr="00C06FB8" w:rsidRDefault="0018327E" w:rsidP="0018327E">
            <w:pPr>
              <w:pStyle w:val="StylIwony"/>
              <w:spacing w:before="0" w:after="0"/>
              <w:jc w:val="center"/>
              <w:rPr>
                <w:rFonts w:ascii="Calibri" w:hAnsi="Calibri"/>
                <w:sz w:val="18"/>
                <w:szCs w:val="18"/>
              </w:rPr>
            </w:pPr>
            <w:r w:rsidRPr="00C06FB8">
              <w:rPr>
                <w:rFonts w:ascii="Calibri" w:hAnsi="Calibri"/>
                <w:sz w:val="18"/>
                <w:szCs w:val="18"/>
              </w:rPr>
              <w:sym w:font="Symbol" w:char="F0B1"/>
            </w:r>
            <w:r w:rsidRPr="00C06FB8">
              <w:rPr>
                <w:rFonts w:ascii="Calibri" w:hAnsi="Calibri"/>
                <w:sz w:val="18"/>
                <w:szCs w:val="18"/>
              </w:rPr>
              <w:t xml:space="preserve"> 1,5</w:t>
            </w:r>
          </w:p>
        </w:tc>
        <w:tc>
          <w:tcPr>
            <w:tcW w:w="849" w:type="dxa"/>
            <w:tcBorders>
              <w:top w:val="nil"/>
            </w:tcBorders>
          </w:tcPr>
          <w:p w:rsidR="0018327E" w:rsidRPr="00C06FB8" w:rsidRDefault="0018327E" w:rsidP="0018327E">
            <w:pPr>
              <w:pStyle w:val="StylIwony"/>
              <w:pBdr>
                <w:bottom w:val="single" w:sz="6" w:space="1" w:color="auto"/>
              </w:pBdr>
              <w:spacing w:before="0" w:after="0"/>
              <w:jc w:val="center"/>
              <w:rPr>
                <w:rFonts w:ascii="Calibri" w:hAnsi="Calibri"/>
                <w:sz w:val="18"/>
                <w:szCs w:val="18"/>
              </w:rPr>
            </w:pPr>
            <w:r w:rsidRPr="00C06FB8">
              <w:rPr>
                <w:rFonts w:ascii="Calibri" w:hAnsi="Calibri"/>
                <w:sz w:val="18"/>
                <w:szCs w:val="18"/>
              </w:rPr>
              <w:sym w:font="Symbol" w:char="F0B1"/>
            </w:r>
            <w:r w:rsidRPr="00C06FB8">
              <w:rPr>
                <w:rFonts w:ascii="Calibri" w:hAnsi="Calibri"/>
                <w:sz w:val="18"/>
                <w:szCs w:val="18"/>
              </w:rPr>
              <w:t xml:space="preserve"> 1</w:t>
            </w:r>
          </w:p>
          <w:p w:rsidR="0018327E" w:rsidRPr="00C06FB8" w:rsidRDefault="0018327E" w:rsidP="0018327E">
            <w:pPr>
              <w:pStyle w:val="StylIwony"/>
              <w:spacing w:before="0" w:after="0"/>
              <w:jc w:val="center"/>
              <w:rPr>
                <w:rFonts w:ascii="Calibri" w:hAnsi="Calibri"/>
                <w:sz w:val="18"/>
                <w:szCs w:val="18"/>
              </w:rPr>
            </w:pPr>
          </w:p>
          <w:p w:rsidR="0018327E" w:rsidRPr="00C06FB8" w:rsidRDefault="0018327E" w:rsidP="0018327E">
            <w:pPr>
              <w:pStyle w:val="StylIwony"/>
              <w:spacing w:before="0" w:after="0"/>
              <w:jc w:val="center"/>
              <w:rPr>
                <w:rFonts w:ascii="Calibri" w:hAnsi="Calibri"/>
                <w:sz w:val="18"/>
                <w:szCs w:val="18"/>
              </w:rPr>
            </w:pPr>
          </w:p>
          <w:p w:rsidR="0018327E" w:rsidRPr="00C06FB8" w:rsidRDefault="0018327E" w:rsidP="0018327E">
            <w:pPr>
              <w:pStyle w:val="StylIwony"/>
              <w:spacing w:before="0" w:after="0"/>
              <w:jc w:val="center"/>
              <w:rPr>
                <w:rFonts w:ascii="Calibri" w:hAnsi="Calibri"/>
                <w:sz w:val="18"/>
                <w:szCs w:val="18"/>
              </w:rPr>
            </w:pPr>
            <w:r w:rsidRPr="00C06FB8">
              <w:rPr>
                <w:rFonts w:ascii="Calibri" w:hAnsi="Calibri"/>
                <w:sz w:val="18"/>
                <w:szCs w:val="18"/>
              </w:rPr>
              <w:sym w:font="Symbol" w:char="F0B1"/>
            </w:r>
            <w:r w:rsidRPr="00C06FB8">
              <w:rPr>
                <w:rFonts w:ascii="Calibri" w:hAnsi="Calibri"/>
                <w:sz w:val="18"/>
                <w:szCs w:val="18"/>
              </w:rPr>
              <w:t xml:space="preserve"> 1,5</w:t>
            </w:r>
          </w:p>
        </w:tc>
        <w:tc>
          <w:tcPr>
            <w:tcW w:w="852" w:type="dxa"/>
            <w:tcBorders>
              <w:top w:val="nil"/>
            </w:tcBorders>
          </w:tcPr>
          <w:p w:rsidR="0018327E" w:rsidRPr="00C06FB8" w:rsidRDefault="0018327E" w:rsidP="0018327E">
            <w:pPr>
              <w:pStyle w:val="StylIwony"/>
              <w:pBdr>
                <w:bottom w:val="single" w:sz="6" w:space="1" w:color="auto"/>
              </w:pBdr>
              <w:spacing w:before="0" w:after="0"/>
              <w:jc w:val="center"/>
              <w:rPr>
                <w:rFonts w:ascii="Calibri" w:hAnsi="Calibri"/>
                <w:sz w:val="18"/>
                <w:szCs w:val="18"/>
              </w:rPr>
            </w:pPr>
            <w:r w:rsidRPr="00C06FB8">
              <w:rPr>
                <w:rFonts w:ascii="Calibri" w:hAnsi="Calibri"/>
                <w:sz w:val="18"/>
                <w:szCs w:val="18"/>
              </w:rPr>
              <w:sym w:font="Symbol" w:char="F0B1"/>
            </w:r>
            <w:r w:rsidRPr="00C06FB8">
              <w:rPr>
                <w:rFonts w:ascii="Calibri" w:hAnsi="Calibri"/>
                <w:sz w:val="18"/>
                <w:szCs w:val="18"/>
              </w:rPr>
              <w:t xml:space="preserve"> 0,5</w:t>
            </w:r>
          </w:p>
          <w:p w:rsidR="0018327E" w:rsidRPr="00C06FB8" w:rsidRDefault="0018327E" w:rsidP="0018327E">
            <w:pPr>
              <w:pStyle w:val="StylIwony"/>
              <w:spacing w:before="0" w:after="0"/>
              <w:jc w:val="center"/>
              <w:rPr>
                <w:rFonts w:ascii="Calibri" w:hAnsi="Calibri"/>
                <w:sz w:val="18"/>
                <w:szCs w:val="18"/>
              </w:rPr>
            </w:pPr>
          </w:p>
          <w:p w:rsidR="0018327E" w:rsidRPr="00C06FB8" w:rsidRDefault="0018327E" w:rsidP="0018327E">
            <w:pPr>
              <w:pStyle w:val="StylIwony"/>
              <w:spacing w:before="0" w:after="0"/>
              <w:jc w:val="center"/>
              <w:rPr>
                <w:rFonts w:ascii="Calibri" w:hAnsi="Calibri"/>
                <w:sz w:val="18"/>
                <w:szCs w:val="18"/>
              </w:rPr>
            </w:pPr>
          </w:p>
          <w:p w:rsidR="0018327E" w:rsidRPr="00C06FB8" w:rsidRDefault="0018327E" w:rsidP="0018327E">
            <w:pPr>
              <w:pStyle w:val="StylIwony"/>
              <w:spacing w:before="0" w:after="0"/>
              <w:jc w:val="center"/>
              <w:rPr>
                <w:rFonts w:ascii="Calibri" w:hAnsi="Calibri"/>
                <w:sz w:val="18"/>
                <w:szCs w:val="18"/>
              </w:rPr>
            </w:pPr>
            <w:r w:rsidRPr="00C06FB8">
              <w:rPr>
                <w:rFonts w:ascii="Calibri" w:hAnsi="Calibri"/>
                <w:sz w:val="18"/>
                <w:szCs w:val="18"/>
              </w:rPr>
              <w:sym w:font="Symbol" w:char="F0B1"/>
            </w:r>
            <w:r w:rsidRPr="00C06FB8">
              <w:rPr>
                <w:rFonts w:ascii="Calibri" w:hAnsi="Calibri"/>
                <w:sz w:val="18"/>
                <w:szCs w:val="18"/>
              </w:rPr>
              <w:t xml:space="preserve"> 0,75</w:t>
            </w:r>
          </w:p>
        </w:tc>
      </w:tr>
    </w:tbl>
    <w:p w:rsidR="0018327E" w:rsidRDefault="0018327E" w:rsidP="0018327E">
      <w:pPr>
        <w:rPr>
          <w:rFonts w:asciiTheme="minorHAnsi" w:hAnsiTheme="minorHAnsi"/>
        </w:rPr>
      </w:pPr>
    </w:p>
    <w:p w:rsidR="0018327E" w:rsidRPr="00C06FB8" w:rsidRDefault="0018327E" w:rsidP="0018327E">
      <w:pPr>
        <w:ind w:left="709"/>
        <w:rPr>
          <w:rFonts w:ascii="Calibri" w:hAnsi="Calibri"/>
        </w:rPr>
      </w:pPr>
      <w:r w:rsidRPr="00C06FB8">
        <w:rPr>
          <w:rFonts w:ascii="Calibri" w:hAnsi="Calibri"/>
        </w:rPr>
        <w:t xml:space="preserve">Tablica </w:t>
      </w:r>
      <w:r>
        <w:rPr>
          <w:rFonts w:asciiTheme="minorHAnsi" w:hAnsiTheme="minorHAnsi"/>
        </w:rPr>
        <w:t>7</w:t>
      </w:r>
      <w:r w:rsidRPr="00C06FB8">
        <w:rPr>
          <w:rFonts w:ascii="Calibri" w:hAnsi="Calibri"/>
        </w:rPr>
        <w:t>. Dwuteown</w:t>
      </w:r>
      <w:r>
        <w:rPr>
          <w:rFonts w:asciiTheme="minorHAnsi" w:hAnsiTheme="minorHAnsi"/>
        </w:rPr>
        <w:t>iki walcowane wg PN-H-93407</w:t>
      </w:r>
    </w:p>
    <w:tbl>
      <w:tblPr>
        <w:tblW w:w="0" w:type="auto"/>
        <w:tblInd w:w="779" w:type="dxa"/>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ayout w:type="fixed"/>
        <w:tblCellMar>
          <w:left w:w="70" w:type="dxa"/>
          <w:right w:w="70" w:type="dxa"/>
        </w:tblCellMar>
        <w:tblLook w:val="0000"/>
      </w:tblPr>
      <w:tblGrid>
        <w:gridCol w:w="1063"/>
        <w:gridCol w:w="992"/>
        <w:gridCol w:w="992"/>
        <w:gridCol w:w="992"/>
        <w:gridCol w:w="1013"/>
        <w:gridCol w:w="830"/>
        <w:gridCol w:w="851"/>
        <w:gridCol w:w="853"/>
      </w:tblGrid>
      <w:tr w:rsidR="0018327E" w:rsidRPr="00C06FB8" w:rsidTr="0018327E">
        <w:tc>
          <w:tcPr>
            <w:tcW w:w="1063" w:type="dxa"/>
            <w:tcBorders>
              <w:bottom w:val="nil"/>
            </w:tcBorders>
          </w:tcPr>
          <w:p w:rsidR="0018327E" w:rsidRPr="00C06FB8" w:rsidRDefault="0018327E" w:rsidP="0018327E">
            <w:pPr>
              <w:pStyle w:val="StylIwony"/>
              <w:spacing w:before="0" w:after="0"/>
              <w:jc w:val="center"/>
              <w:rPr>
                <w:rFonts w:ascii="Calibri" w:hAnsi="Calibri"/>
                <w:sz w:val="18"/>
                <w:szCs w:val="18"/>
              </w:rPr>
            </w:pPr>
            <w:r w:rsidRPr="00C06FB8">
              <w:rPr>
                <w:rFonts w:ascii="Calibri" w:hAnsi="Calibri"/>
                <w:sz w:val="18"/>
                <w:szCs w:val="18"/>
              </w:rPr>
              <w:t>Ozna</w:t>
            </w:r>
            <w:r w:rsidRPr="00C06FB8">
              <w:rPr>
                <w:rFonts w:ascii="Calibri" w:hAnsi="Calibri"/>
                <w:sz w:val="18"/>
                <w:szCs w:val="18"/>
              </w:rPr>
              <w:softHyphen/>
              <w:t>-</w:t>
            </w:r>
          </w:p>
        </w:tc>
        <w:tc>
          <w:tcPr>
            <w:tcW w:w="2976" w:type="dxa"/>
            <w:gridSpan w:val="3"/>
          </w:tcPr>
          <w:p w:rsidR="0018327E" w:rsidRPr="00C06FB8" w:rsidRDefault="0018327E" w:rsidP="0018327E">
            <w:pPr>
              <w:pStyle w:val="StylIwony"/>
              <w:spacing w:before="0" w:after="0"/>
              <w:jc w:val="center"/>
              <w:rPr>
                <w:rFonts w:ascii="Calibri" w:hAnsi="Calibri"/>
                <w:sz w:val="18"/>
                <w:szCs w:val="18"/>
              </w:rPr>
            </w:pPr>
            <w:r w:rsidRPr="00C06FB8">
              <w:rPr>
                <w:rFonts w:ascii="Calibri" w:hAnsi="Calibri"/>
                <w:sz w:val="18"/>
                <w:szCs w:val="18"/>
              </w:rPr>
              <w:t>Wymiary - mm</w:t>
            </w:r>
          </w:p>
        </w:tc>
        <w:tc>
          <w:tcPr>
            <w:tcW w:w="1013" w:type="dxa"/>
            <w:tcBorders>
              <w:bottom w:val="nil"/>
            </w:tcBorders>
          </w:tcPr>
          <w:p w:rsidR="0018327E" w:rsidRPr="00C06FB8" w:rsidRDefault="0018327E" w:rsidP="0018327E">
            <w:pPr>
              <w:pStyle w:val="StylIwony"/>
              <w:spacing w:before="0" w:after="0"/>
              <w:jc w:val="center"/>
              <w:rPr>
                <w:rFonts w:ascii="Calibri" w:hAnsi="Calibri"/>
                <w:sz w:val="18"/>
                <w:szCs w:val="18"/>
              </w:rPr>
            </w:pPr>
            <w:r w:rsidRPr="00C06FB8">
              <w:rPr>
                <w:rFonts w:ascii="Calibri" w:hAnsi="Calibri"/>
                <w:sz w:val="18"/>
                <w:szCs w:val="18"/>
              </w:rPr>
              <w:t>Masa 1 m</w:t>
            </w:r>
          </w:p>
        </w:tc>
        <w:tc>
          <w:tcPr>
            <w:tcW w:w="2534" w:type="dxa"/>
            <w:gridSpan w:val="3"/>
          </w:tcPr>
          <w:p w:rsidR="0018327E" w:rsidRPr="00C06FB8" w:rsidRDefault="0018327E" w:rsidP="0018327E">
            <w:pPr>
              <w:pStyle w:val="StylIwony"/>
              <w:spacing w:before="0" w:after="0"/>
              <w:jc w:val="center"/>
              <w:rPr>
                <w:rFonts w:ascii="Calibri" w:hAnsi="Calibri"/>
                <w:sz w:val="18"/>
                <w:szCs w:val="18"/>
              </w:rPr>
            </w:pPr>
            <w:r w:rsidRPr="00C06FB8">
              <w:rPr>
                <w:rFonts w:ascii="Calibri" w:hAnsi="Calibri"/>
                <w:sz w:val="18"/>
                <w:szCs w:val="18"/>
              </w:rPr>
              <w:t>Dopuszczalne odchyłki mm</w:t>
            </w:r>
          </w:p>
        </w:tc>
      </w:tr>
      <w:tr w:rsidR="0018327E" w:rsidRPr="00C06FB8" w:rsidTr="0018327E">
        <w:tc>
          <w:tcPr>
            <w:tcW w:w="1063" w:type="dxa"/>
            <w:tcBorders>
              <w:top w:val="nil"/>
              <w:bottom w:val="double" w:sz="6" w:space="0" w:color="auto"/>
            </w:tcBorders>
          </w:tcPr>
          <w:p w:rsidR="0018327E" w:rsidRPr="00C06FB8" w:rsidRDefault="0018327E" w:rsidP="0018327E">
            <w:pPr>
              <w:pStyle w:val="StylIwony"/>
              <w:spacing w:before="0" w:after="0"/>
              <w:jc w:val="center"/>
              <w:rPr>
                <w:rFonts w:ascii="Calibri" w:hAnsi="Calibri"/>
                <w:sz w:val="18"/>
                <w:szCs w:val="18"/>
              </w:rPr>
            </w:pPr>
            <w:r w:rsidRPr="00C06FB8">
              <w:rPr>
                <w:rFonts w:ascii="Calibri" w:hAnsi="Calibri"/>
                <w:sz w:val="18"/>
                <w:szCs w:val="18"/>
              </w:rPr>
              <w:t>czenie</w:t>
            </w:r>
          </w:p>
        </w:tc>
        <w:tc>
          <w:tcPr>
            <w:tcW w:w="992" w:type="dxa"/>
            <w:tcBorders>
              <w:bottom w:val="double" w:sz="6" w:space="0" w:color="auto"/>
            </w:tcBorders>
          </w:tcPr>
          <w:p w:rsidR="0018327E" w:rsidRPr="00C06FB8" w:rsidRDefault="0018327E" w:rsidP="0018327E">
            <w:pPr>
              <w:pStyle w:val="StylIwony"/>
              <w:spacing w:before="0" w:after="0"/>
              <w:jc w:val="center"/>
              <w:rPr>
                <w:rFonts w:ascii="Calibri" w:hAnsi="Calibri"/>
                <w:sz w:val="18"/>
                <w:szCs w:val="18"/>
              </w:rPr>
            </w:pPr>
            <w:r w:rsidRPr="00C06FB8">
              <w:rPr>
                <w:rFonts w:ascii="Calibri" w:hAnsi="Calibri"/>
                <w:sz w:val="18"/>
                <w:szCs w:val="18"/>
              </w:rPr>
              <w:t>wyso</w:t>
            </w:r>
            <w:r w:rsidRPr="00C06FB8">
              <w:rPr>
                <w:rFonts w:ascii="Calibri" w:hAnsi="Calibri"/>
                <w:sz w:val="18"/>
                <w:szCs w:val="18"/>
              </w:rPr>
              <w:softHyphen/>
              <w:t>kość środ</w:t>
            </w:r>
            <w:r w:rsidRPr="00C06FB8">
              <w:rPr>
                <w:rFonts w:ascii="Calibri" w:hAnsi="Calibri"/>
                <w:sz w:val="18"/>
                <w:szCs w:val="18"/>
              </w:rPr>
              <w:softHyphen/>
              <w:t>nika</w:t>
            </w:r>
          </w:p>
        </w:tc>
        <w:tc>
          <w:tcPr>
            <w:tcW w:w="992" w:type="dxa"/>
            <w:tcBorders>
              <w:bottom w:val="double" w:sz="6" w:space="0" w:color="auto"/>
            </w:tcBorders>
          </w:tcPr>
          <w:p w:rsidR="0018327E" w:rsidRPr="00C06FB8" w:rsidRDefault="0018327E" w:rsidP="0018327E">
            <w:pPr>
              <w:pStyle w:val="StylIwony"/>
              <w:spacing w:before="0" w:after="0"/>
              <w:jc w:val="center"/>
              <w:rPr>
                <w:rFonts w:ascii="Calibri" w:hAnsi="Calibri"/>
                <w:sz w:val="18"/>
                <w:szCs w:val="18"/>
              </w:rPr>
            </w:pPr>
            <w:r w:rsidRPr="00C06FB8">
              <w:rPr>
                <w:rFonts w:ascii="Calibri" w:hAnsi="Calibri"/>
                <w:sz w:val="18"/>
                <w:szCs w:val="18"/>
              </w:rPr>
              <w:t>szero</w:t>
            </w:r>
            <w:r w:rsidRPr="00C06FB8">
              <w:rPr>
                <w:rFonts w:ascii="Calibri" w:hAnsi="Calibri"/>
                <w:sz w:val="18"/>
                <w:szCs w:val="18"/>
              </w:rPr>
              <w:softHyphen/>
              <w:t>kość stopki</w:t>
            </w:r>
          </w:p>
        </w:tc>
        <w:tc>
          <w:tcPr>
            <w:tcW w:w="992" w:type="dxa"/>
            <w:tcBorders>
              <w:bottom w:val="double" w:sz="6" w:space="0" w:color="auto"/>
            </w:tcBorders>
          </w:tcPr>
          <w:p w:rsidR="0018327E" w:rsidRPr="00C06FB8" w:rsidRDefault="0018327E" w:rsidP="0018327E">
            <w:pPr>
              <w:pStyle w:val="StylIwony"/>
              <w:spacing w:before="0" w:after="0"/>
              <w:jc w:val="center"/>
              <w:rPr>
                <w:rFonts w:ascii="Calibri" w:hAnsi="Calibri"/>
                <w:sz w:val="18"/>
                <w:szCs w:val="18"/>
              </w:rPr>
            </w:pPr>
            <w:r w:rsidRPr="00C06FB8">
              <w:rPr>
                <w:rFonts w:ascii="Calibri" w:hAnsi="Calibri"/>
                <w:sz w:val="18"/>
                <w:szCs w:val="18"/>
              </w:rPr>
              <w:t>grubość środ</w:t>
            </w:r>
            <w:r w:rsidRPr="00C06FB8">
              <w:rPr>
                <w:rFonts w:ascii="Calibri" w:hAnsi="Calibri"/>
                <w:sz w:val="18"/>
                <w:szCs w:val="18"/>
              </w:rPr>
              <w:softHyphen/>
              <w:t>nika</w:t>
            </w:r>
          </w:p>
        </w:tc>
        <w:tc>
          <w:tcPr>
            <w:tcW w:w="1013" w:type="dxa"/>
            <w:tcBorders>
              <w:top w:val="nil"/>
              <w:bottom w:val="double" w:sz="6" w:space="0" w:color="auto"/>
            </w:tcBorders>
          </w:tcPr>
          <w:p w:rsidR="0018327E" w:rsidRPr="00C06FB8" w:rsidRDefault="0018327E" w:rsidP="0018327E">
            <w:pPr>
              <w:pStyle w:val="StylIwony"/>
              <w:spacing w:before="0" w:after="0"/>
              <w:jc w:val="center"/>
              <w:rPr>
                <w:rFonts w:ascii="Calibri" w:hAnsi="Calibri"/>
                <w:sz w:val="18"/>
                <w:szCs w:val="18"/>
              </w:rPr>
            </w:pPr>
            <w:r w:rsidRPr="00C06FB8">
              <w:rPr>
                <w:rFonts w:ascii="Calibri" w:hAnsi="Calibri"/>
                <w:sz w:val="18"/>
                <w:szCs w:val="18"/>
              </w:rPr>
              <w:t>dwuteow-nika, kg/m</w:t>
            </w:r>
          </w:p>
        </w:tc>
        <w:tc>
          <w:tcPr>
            <w:tcW w:w="830" w:type="dxa"/>
            <w:tcBorders>
              <w:bottom w:val="double" w:sz="6" w:space="0" w:color="auto"/>
            </w:tcBorders>
          </w:tcPr>
          <w:p w:rsidR="0018327E" w:rsidRPr="00C06FB8" w:rsidRDefault="0018327E" w:rsidP="0018327E">
            <w:pPr>
              <w:pStyle w:val="StylIwony"/>
              <w:spacing w:after="0"/>
              <w:jc w:val="center"/>
              <w:rPr>
                <w:rFonts w:ascii="Calibri" w:hAnsi="Calibri"/>
                <w:sz w:val="18"/>
                <w:szCs w:val="18"/>
              </w:rPr>
            </w:pPr>
            <w:r w:rsidRPr="00C06FB8">
              <w:rPr>
                <w:rFonts w:ascii="Calibri" w:hAnsi="Calibri"/>
                <w:sz w:val="18"/>
                <w:szCs w:val="18"/>
              </w:rPr>
              <w:t>środnika</w:t>
            </w:r>
          </w:p>
        </w:tc>
        <w:tc>
          <w:tcPr>
            <w:tcW w:w="851" w:type="dxa"/>
            <w:tcBorders>
              <w:bottom w:val="double" w:sz="6" w:space="0" w:color="auto"/>
            </w:tcBorders>
          </w:tcPr>
          <w:p w:rsidR="0018327E" w:rsidRPr="00C06FB8" w:rsidRDefault="0018327E" w:rsidP="0018327E">
            <w:pPr>
              <w:pStyle w:val="StylIwony"/>
              <w:spacing w:after="0"/>
              <w:jc w:val="center"/>
              <w:rPr>
                <w:rFonts w:ascii="Calibri" w:hAnsi="Calibri"/>
                <w:sz w:val="18"/>
                <w:szCs w:val="18"/>
              </w:rPr>
            </w:pPr>
            <w:r w:rsidRPr="00C06FB8">
              <w:rPr>
                <w:rFonts w:ascii="Calibri" w:hAnsi="Calibri"/>
                <w:sz w:val="18"/>
                <w:szCs w:val="18"/>
              </w:rPr>
              <w:t>stopki</w:t>
            </w:r>
          </w:p>
        </w:tc>
        <w:tc>
          <w:tcPr>
            <w:tcW w:w="853" w:type="dxa"/>
            <w:tcBorders>
              <w:bottom w:val="double" w:sz="6" w:space="0" w:color="auto"/>
            </w:tcBorders>
          </w:tcPr>
          <w:p w:rsidR="0018327E" w:rsidRPr="00C06FB8" w:rsidRDefault="0018327E" w:rsidP="0018327E">
            <w:pPr>
              <w:pStyle w:val="StylIwony"/>
              <w:spacing w:after="0"/>
              <w:jc w:val="center"/>
              <w:rPr>
                <w:rFonts w:ascii="Calibri" w:hAnsi="Calibri"/>
                <w:sz w:val="18"/>
                <w:szCs w:val="18"/>
              </w:rPr>
            </w:pPr>
            <w:r w:rsidRPr="00C06FB8">
              <w:rPr>
                <w:rFonts w:ascii="Calibri" w:hAnsi="Calibri"/>
                <w:sz w:val="18"/>
                <w:szCs w:val="18"/>
              </w:rPr>
              <w:t>grubości</w:t>
            </w:r>
          </w:p>
        </w:tc>
      </w:tr>
      <w:tr w:rsidR="0018327E" w:rsidRPr="00C06FB8" w:rsidTr="0018327E">
        <w:tc>
          <w:tcPr>
            <w:tcW w:w="1063" w:type="dxa"/>
            <w:tcBorders>
              <w:top w:val="nil"/>
            </w:tcBorders>
          </w:tcPr>
          <w:p w:rsidR="0018327E" w:rsidRPr="00C06FB8" w:rsidRDefault="0018327E" w:rsidP="0018327E">
            <w:pPr>
              <w:pStyle w:val="StylIwony"/>
              <w:spacing w:after="0"/>
              <w:jc w:val="center"/>
              <w:rPr>
                <w:rFonts w:ascii="Calibri" w:hAnsi="Calibri"/>
                <w:sz w:val="18"/>
                <w:szCs w:val="18"/>
              </w:rPr>
            </w:pPr>
            <w:r w:rsidRPr="00C06FB8">
              <w:rPr>
                <w:rFonts w:ascii="Calibri" w:hAnsi="Calibri"/>
                <w:sz w:val="18"/>
                <w:szCs w:val="18"/>
              </w:rPr>
              <w:t>I 80</w:t>
            </w:r>
          </w:p>
          <w:p w:rsidR="0018327E" w:rsidRPr="00C06FB8" w:rsidRDefault="0018327E" w:rsidP="0018327E">
            <w:pPr>
              <w:pStyle w:val="StylIwony"/>
              <w:spacing w:before="0" w:after="0"/>
              <w:jc w:val="center"/>
              <w:rPr>
                <w:rFonts w:ascii="Calibri" w:hAnsi="Calibri"/>
                <w:sz w:val="18"/>
                <w:szCs w:val="18"/>
              </w:rPr>
            </w:pPr>
            <w:r w:rsidRPr="00C06FB8">
              <w:rPr>
                <w:rFonts w:ascii="Calibri" w:hAnsi="Calibri"/>
                <w:sz w:val="18"/>
                <w:szCs w:val="18"/>
              </w:rPr>
              <w:t>I 100</w:t>
            </w:r>
          </w:p>
          <w:p w:rsidR="0018327E" w:rsidRPr="00C06FB8" w:rsidRDefault="0018327E" w:rsidP="0018327E">
            <w:pPr>
              <w:pStyle w:val="StylIwony"/>
              <w:spacing w:before="0" w:after="0"/>
              <w:jc w:val="center"/>
              <w:rPr>
                <w:rFonts w:ascii="Calibri" w:hAnsi="Calibri"/>
                <w:sz w:val="18"/>
                <w:szCs w:val="18"/>
              </w:rPr>
            </w:pPr>
            <w:r w:rsidRPr="00C06FB8">
              <w:rPr>
                <w:rFonts w:ascii="Calibri" w:hAnsi="Calibri"/>
                <w:sz w:val="18"/>
                <w:szCs w:val="18"/>
              </w:rPr>
              <w:t>I 120</w:t>
            </w:r>
          </w:p>
          <w:p w:rsidR="0018327E" w:rsidRPr="00C06FB8" w:rsidRDefault="0018327E" w:rsidP="0018327E">
            <w:pPr>
              <w:pStyle w:val="StylIwony"/>
              <w:spacing w:before="0" w:after="0"/>
              <w:jc w:val="center"/>
              <w:rPr>
                <w:rFonts w:ascii="Calibri" w:hAnsi="Calibri"/>
                <w:sz w:val="18"/>
                <w:szCs w:val="18"/>
              </w:rPr>
            </w:pPr>
            <w:r w:rsidRPr="00C06FB8">
              <w:rPr>
                <w:rFonts w:ascii="Calibri" w:hAnsi="Calibri"/>
                <w:sz w:val="18"/>
                <w:szCs w:val="18"/>
              </w:rPr>
              <w:t>I 140</w:t>
            </w:r>
          </w:p>
        </w:tc>
        <w:tc>
          <w:tcPr>
            <w:tcW w:w="992" w:type="dxa"/>
            <w:tcBorders>
              <w:top w:val="nil"/>
            </w:tcBorders>
          </w:tcPr>
          <w:p w:rsidR="0018327E" w:rsidRPr="00C06FB8" w:rsidRDefault="0018327E" w:rsidP="0018327E">
            <w:pPr>
              <w:pStyle w:val="StylIwony"/>
              <w:spacing w:after="0"/>
              <w:jc w:val="center"/>
              <w:rPr>
                <w:rFonts w:ascii="Calibri" w:hAnsi="Calibri"/>
                <w:sz w:val="18"/>
                <w:szCs w:val="18"/>
              </w:rPr>
            </w:pPr>
            <w:r w:rsidRPr="00C06FB8">
              <w:rPr>
                <w:rFonts w:ascii="Calibri" w:hAnsi="Calibri"/>
                <w:sz w:val="18"/>
                <w:szCs w:val="18"/>
              </w:rPr>
              <w:t>80</w:t>
            </w:r>
          </w:p>
          <w:p w:rsidR="0018327E" w:rsidRPr="00C06FB8" w:rsidRDefault="0018327E" w:rsidP="0018327E">
            <w:pPr>
              <w:pStyle w:val="StylIwony"/>
              <w:spacing w:before="0" w:after="0"/>
              <w:jc w:val="center"/>
              <w:rPr>
                <w:rFonts w:ascii="Calibri" w:hAnsi="Calibri"/>
                <w:sz w:val="18"/>
                <w:szCs w:val="18"/>
              </w:rPr>
            </w:pPr>
            <w:r w:rsidRPr="00C06FB8">
              <w:rPr>
                <w:rFonts w:ascii="Calibri" w:hAnsi="Calibri"/>
                <w:sz w:val="18"/>
                <w:szCs w:val="18"/>
              </w:rPr>
              <w:t>100</w:t>
            </w:r>
          </w:p>
          <w:p w:rsidR="0018327E" w:rsidRPr="00C06FB8" w:rsidRDefault="0018327E" w:rsidP="0018327E">
            <w:pPr>
              <w:pStyle w:val="StylIwony"/>
              <w:spacing w:before="0" w:after="0"/>
              <w:jc w:val="center"/>
              <w:rPr>
                <w:rFonts w:ascii="Calibri" w:hAnsi="Calibri"/>
                <w:sz w:val="18"/>
                <w:szCs w:val="18"/>
              </w:rPr>
            </w:pPr>
            <w:r w:rsidRPr="00C06FB8">
              <w:rPr>
                <w:rFonts w:ascii="Calibri" w:hAnsi="Calibri"/>
                <w:sz w:val="18"/>
                <w:szCs w:val="18"/>
              </w:rPr>
              <w:t>120</w:t>
            </w:r>
          </w:p>
          <w:p w:rsidR="0018327E" w:rsidRPr="00C06FB8" w:rsidRDefault="0018327E" w:rsidP="0018327E">
            <w:pPr>
              <w:pStyle w:val="StylIwony"/>
              <w:spacing w:before="0" w:after="0"/>
              <w:jc w:val="center"/>
              <w:rPr>
                <w:rFonts w:ascii="Calibri" w:hAnsi="Calibri"/>
                <w:sz w:val="18"/>
                <w:szCs w:val="18"/>
              </w:rPr>
            </w:pPr>
            <w:r w:rsidRPr="00C06FB8">
              <w:rPr>
                <w:rFonts w:ascii="Calibri" w:hAnsi="Calibri"/>
                <w:sz w:val="18"/>
                <w:szCs w:val="18"/>
              </w:rPr>
              <w:t>140</w:t>
            </w:r>
          </w:p>
        </w:tc>
        <w:tc>
          <w:tcPr>
            <w:tcW w:w="992" w:type="dxa"/>
            <w:tcBorders>
              <w:top w:val="nil"/>
            </w:tcBorders>
          </w:tcPr>
          <w:p w:rsidR="0018327E" w:rsidRPr="00C06FB8" w:rsidRDefault="0018327E" w:rsidP="0018327E">
            <w:pPr>
              <w:pStyle w:val="StylIwony"/>
              <w:spacing w:after="0"/>
              <w:jc w:val="center"/>
              <w:rPr>
                <w:rFonts w:ascii="Calibri" w:hAnsi="Calibri"/>
                <w:sz w:val="18"/>
                <w:szCs w:val="18"/>
              </w:rPr>
            </w:pPr>
            <w:r w:rsidRPr="00C06FB8">
              <w:rPr>
                <w:rFonts w:ascii="Calibri" w:hAnsi="Calibri"/>
                <w:sz w:val="18"/>
                <w:szCs w:val="18"/>
              </w:rPr>
              <w:t>42</w:t>
            </w:r>
          </w:p>
          <w:p w:rsidR="0018327E" w:rsidRPr="00C06FB8" w:rsidRDefault="0018327E" w:rsidP="0018327E">
            <w:pPr>
              <w:pStyle w:val="StylIwony"/>
              <w:spacing w:before="0" w:after="0"/>
              <w:jc w:val="center"/>
              <w:rPr>
                <w:rFonts w:ascii="Calibri" w:hAnsi="Calibri"/>
                <w:sz w:val="18"/>
                <w:szCs w:val="18"/>
              </w:rPr>
            </w:pPr>
            <w:r w:rsidRPr="00C06FB8">
              <w:rPr>
                <w:rFonts w:ascii="Calibri" w:hAnsi="Calibri"/>
                <w:sz w:val="18"/>
                <w:szCs w:val="18"/>
              </w:rPr>
              <w:t>50</w:t>
            </w:r>
          </w:p>
          <w:p w:rsidR="0018327E" w:rsidRPr="00C06FB8" w:rsidRDefault="0018327E" w:rsidP="0018327E">
            <w:pPr>
              <w:pStyle w:val="StylIwony"/>
              <w:spacing w:before="0" w:after="0"/>
              <w:jc w:val="center"/>
              <w:rPr>
                <w:rFonts w:ascii="Calibri" w:hAnsi="Calibri"/>
                <w:sz w:val="18"/>
                <w:szCs w:val="18"/>
              </w:rPr>
            </w:pPr>
            <w:r w:rsidRPr="00C06FB8">
              <w:rPr>
                <w:rFonts w:ascii="Calibri" w:hAnsi="Calibri"/>
                <w:sz w:val="18"/>
                <w:szCs w:val="18"/>
              </w:rPr>
              <w:t>58</w:t>
            </w:r>
          </w:p>
          <w:p w:rsidR="0018327E" w:rsidRPr="00C06FB8" w:rsidRDefault="0018327E" w:rsidP="0018327E">
            <w:pPr>
              <w:pStyle w:val="StylIwony"/>
              <w:spacing w:before="0" w:after="0"/>
              <w:jc w:val="center"/>
              <w:rPr>
                <w:rFonts w:ascii="Calibri" w:hAnsi="Calibri"/>
                <w:sz w:val="18"/>
                <w:szCs w:val="18"/>
              </w:rPr>
            </w:pPr>
            <w:r w:rsidRPr="00C06FB8">
              <w:rPr>
                <w:rFonts w:ascii="Calibri" w:hAnsi="Calibri"/>
                <w:sz w:val="18"/>
                <w:szCs w:val="18"/>
              </w:rPr>
              <w:t>66</w:t>
            </w:r>
          </w:p>
        </w:tc>
        <w:tc>
          <w:tcPr>
            <w:tcW w:w="992" w:type="dxa"/>
            <w:tcBorders>
              <w:top w:val="nil"/>
            </w:tcBorders>
          </w:tcPr>
          <w:p w:rsidR="0018327E" w:rsidRPr="00C06FB8" w:rsidRDefault="0018327E" w:rsidP="0018327E">
            <w:pPr>
              <w:pStyle w:val="StylIwony"/>
              <w:spacing w:after="0"/>
              <w:jc w:val="center"/>
              <w:rPr>
                <w:rFonts w:ascii="Calibri" w:hAnsi="Calibri"/>
                <w:sz w:val="18"/>
                <w:szCs w:val="18"/>
              </w:rPr>
            </w:pPr>
            <w:r w:rsidRPr="00C06FB8">
              <w:rPr>
                <w:rFonts w:ascii="Calibri" w:hAnsi="Calibri"/>
                <w:sz w:val="18"/>
                <w:szCs w:val="18"/>
              </w:rPr>
              <w:t>3,9</w:t>
            </w:r>
          </w:p>
          <w:p w:rsidR="0018327E" w:rsidRPr="00C06FB8" w:rsidRDefault="0018327E" w:rsidP="0018327E">
            <w:pPr>
              <w:pStyle w:val="StylIwony"/>
              <w:spacing w:before="0" w:after="0"/>
              <w:jc w:val="center"/>
              <w:rPr>
                <w:rFonts w:ascii="Calibri" w:hAnsi="Calibri"/>
                <w:sz w:val="18"/>
                <w:szCs w:val="18"/>
              </w:rPr>
            </w:pPr>
            <w:r w:rsidRPr="00C06FB8">
              <w:rPr>
                <w:rFonts w:ascii="Calibri" w:hAnsi="Calibri"/>
                <w:sz w:val="18"/>
                <w:szCs w:val="18"/>
              </w:rPr>
              <w:t>4,5</w:t>
            </w:r>
          </w:p>
          <w:p w:rsidR="0018327E" w:rsidRPr="00C06FB8" w:rsidRDefault="0018327E" w:rsidP="0018327E">
            <w:pPr>
              <w:pStyle w:val="StylIwony"/>
              <w:spacing w:before="0" w:after="0"/>
              <w:jc w:val="center"/>
              <w:rPr>
                <w:rFonts w:ascii="Calibri" w:hAnsi="Calibri"/>
                <w:sz w:val="18"/>
                <w:szCs w:val="18"/>
              </w:rPr>
            </w:pPr>
            <w:r w:rsidRPr="00C06FB8">
              <w:rPr>
                <w:rFonts w:ascii="Calibri" w:hAnsi="Calibri"/>
                <w:sz w:val="18"/>
                <w:szCs w:val="18"/>
              </w:rPr>
              <w:t>5,1</w:t>
            </w:r>
          </w:p>
          <w:p w:rsidR="0018327E" w:rsidRPr="00C06FB8" w:rsidRDefault="0018327E" w:rsidP="0018327E">
            <w:pPr>
              <w:pStyle w:val="StylIwony"/>
              <w:spacing w:before="0" w:after="0"/>
              <w:jc w:val="center"/>
              <w:rPr>
                <w:rFonts w:ascii="Calibri" w:hAnsi="Calibri"/>
                <w:sz w:val="18"/>
                <w:szCs w:val="18"/>
              </w:rPr>
            </w:pPr>
            <w:r w:rsidRPr="00C06FB8">
              <w:rPr>
                <w:rFonts w:ascii="Calibri" w:hAnsi="Calibri"/>
                <w:sz w:val="18"/>
                <w:szCs w:val="18"/>
              </w:rPr>
              <w:t>5,75</w:t>
            </w:r>
          </w:p>
        </w:tc>
        <w:tc>
          <w:tcPr>
            <w:tcW w:w="1013" w:type="dxa"/>
            <w:tcBorders>
              <w:top w:val="nil"/>
            </w:tcBorders>
          </w:tcPr>
          <w:p w:rsidR="0018327E" w:rsidRPr="00C06FB8" w:rsidRDefault="0018327E" w:rsidP="0018327E">
            <w:pPr>
              <w:pStyle w:val="StylIwony"/>
              <w:spacing w:after="0"/>
              <w:jc w:val="center"/>
              <w:rPr>
                <w:rFonts w:ascii="Calibri" w:hAnsi="Calibri"/>
                <w:sz w:val="18"/>
                <w:szCs w:val="18"/>
              </w:rPr>
            </w:pPr>
            <w:r w:rsidRPr="00C06FB8">
              <w:rPr>
                <w:rFonts w:ascii="Calibri" w:hAnsi="Calibri"/>
                <w:sz w:val="18"/>
                <w:szCs w:val="18"/>
              </w:rPr>
              <w:t>5,94</w:t>
            </w:r>
          </w:p>
          <w:p w:rsidR="0018327E" w:rsidRPr="00C06FB8" w:rsidRDefault="0018327E" w:rsidP="0018327E">
            <w:pPr>
              <w:pStyle w:val="StylIwony"/>
              <w:spacing w:before="0" w:after="0"/>
              <w:jc w:val="center"/>
              <w:rPr>
                <w:rFonts w:ascii="Calibri" w:hAnsi="Calibri"/>
                <w:sz w:val="18"/>
                <w:szCs w:val="18"/>
              </w:rPr>
            </w:pPr>
            <w:r w:rsidRPr="00C06FB8">
              <w:rPr>
                <w:rFonts w:ascii="Calibri" w:hAnsi="Calibri"/>
                <w:sz w:val="18"/>
                <w:szCs w:val="18"/>
              </w:rPr>
              <w:t>8,34</w:t>
            </w:r>
          </w:p>
          <w:p w:rsidR="0018327E" w:rsidRPr="00C06FB8" w:rsidRDefault="0018327E" w:rsidP="0018327E">
            <w:pPr>
              <w:pStyle w:val="StylIwony"/>
              <w:spacing w:before="0" w:after="0"/>
              <w:jc w:val="center"/>
              <w:rPr>
                <w:rFonts w:ascii="Calibri" w:hAnsi="Calibri"/>
                <w:sz w:val="18"/>
                <w:szCs w:val="18"/>
              </w:rPr>
            </w:pPr>
            <w:r w:rsidRPr="00C06FB8">
              <w:rPr>
                <w:rFonts w:ascii="Calibri" w:hAnsi="Calibri"/>
                <w:sz w:val="18"/>
                <w:szCs w:val="18"/>
              </w:rPr>
              <w:t>11,10</w:t>
            </w:r>
          </w:p>
          <w:p w:rsidR="0018327E" w:rsidRPr="00C06FB8" w:rsidRDefault="0018327E" w:rsidP="0018327E">
            <w:pPr>
              <w:pStyle w:val="StylIwony"/>
              <w:spacing w:before="0"/>
              <w:jc w:val="center"/>
              <w:rPr>
                <w:rFonts w:ascii="Calibri" w:hAnsi="Calibri"/>
                <w:sz w:val="18"/>
                <w:szCs w:val="18"/>
              </w:rPr>
            </w:pPr>
            <w:r w:rsidRPr="00C06FB8">
              <w:rPr>
                <w:rFonts w:ascii="Calibri" w:hAnsi="Calibri"/>
                <w:sz w:val="18"/>
                <w:szCs w:val="18"/>
              </w:rPr>
              <w:t>14,30</w:t>
            </w:r>
          </w:p>
        </w:tc>
        <w:tc>
          <w:tcPr>
            <w:tcW w:w="830" w:type="dxa"/>
            <w:tcBorders>
              <w:top w:val="nil"/>
            </w:tcBorders>
          </w:tcPr>
          <w:p w:rsidR="0018327E" w:rsidRPr="00C06FB8" w:rsidRDefault="0018327E" w:rsidP="0018327E">
            <w:pPr>
              <w:pStyle w:val="StylIwony"/>
              <w:spacing w:before="0" w:after="0"/>
              <w:jc w:val="center"/>
              <w:rPr>
                <w:rFonts w:ascii="Calibri" w:hAnsi="Calibri"/>
                <w:sz w:val="18"/>
                <w:szCs w:val="18"/>
              </w:rPr>
            </w:pPr>
          </w:p>
          <w:p w:rsidR="0018327E" w:rsidRPr="00C06FB8" w:rsidRDefault="0018327E" w:rsidP="0018327E">
            <w:pPr>
              <w:pStyle w:val="StylIwony"/>
              <w:spacing w:before="0" w:after="0"/>
              <w:jc w:val="center"/>
              <w:rPr>
                <w:rFonts w:ascii="Calibri" w:hAnsi="Calibri"/>
                <w:sz w:val="18"/>
                <w:szCs w:val="18"/>
              </w:rPr>
            </w:pPr>
          </w:p>
          <w:p w:rsidR="0018327E" w:rsidRPr="00C06FB8" w:rsidRDefault="0018327E" w:rsidP="0018327E">
            <w:pPr>
              <w:pStyle w:val="StylIwony"/>
              <w:spacing w:before="0" w:after="0"/>
              <w:jc w:val="center"/>
              <w:rPr>
                <w:rFonts w:ascii="Calibri" w:hAnsi="Calibri"/>
                <w:sz w:val="18"/>
                <w:szCs w:val="18"/>
              </w:rPr>
            </w:pPr>
            <w:r w:rsidRPr="00C06FB8">
              <w:rPr>
                <w:rFonts w:ascii="Calibri" w:hAnsi="Calibri"/>
                <w:sz w:val="18"/>
                <w:szCs w:val="18"/>
              </w:rPr>
              <w:sym w:font="Symbol" w:char="F0B1"/>
            </w:r>
            <w:r w:rsidRPr="00C06FB8">
              <w:rPr>
                <w:rFonts w:ascii="Calibri" w:hAnsi="Calibri"/>
                <w:sz w:val="18"/>
                <w:szCs w:val="18"/>
              </w:rPr>
              <w:t xml:space="preserve"> 2</w:t>
            </w:r>
          </w:p>
        </w:tc>
        <w:tc>
          <w:tcPr>
            <w:tcW w:w="851" w:type="dxa"/>
            <w:tcBorders>
              <w:top w:val="nil"/>
            </w:tcBorders>
          </w:tcPr>
          <w:p w:rsidR="0018327E" w:rsidRPr="00C06FB8" w:rsidRDefault="0018327E" w:rsidP="0018327E">
            <w:pPr>
              <w:pStyle w:val="StylIwony"/>
              <w:spacing w:before="0" w:after="0"/>
              <w:jc w:val="center"/>
              <w:rPr>
                <w:rFonts w:ascii="Calibri" w:hAnsi="Calibri"/>
                <w:sz w:val="18"/>
                <w:szCs w:val="18"/>
              </w:rPr>
            </w:pPr>
          </w:p>
          <w:p w:rsidR="0018327E" w:rsidRPr="00C06FB8" w:rsidRDefault="0018327E" w:rsidP="0018327E">
            <w:pPr>
              <w:pStyle w:val="StylIwony"/>
              <w:spacing w:before="0" w:after="0"/>
              <w:jc w:val="center"/>
              <w:rPr>
                <w:rFonts w:ascii="Calibri" w:hAnsi="Calibri"/>
                <w:sz w:val="18"/>
                <w:szCs w:val="18"/>
              </w:rPr>
            </w:pPr>
          </w:p>
          <w:p w:rsidR="0018327E" w:rsidRPr="00C06FB8" w:rsidRDefault="0018327E" w:rsidP="0018327E">
            <w:pPr>
              <w:pStyle w:val="StylIwony"/>
              <w:spacing w:before="0" w:after="0"/>
              <w:jc w:val="center"/>
              <w:rPr>
                <w:rFonts w:ascii="Calibri" w:hAnsi="Calibri"/>
                <w:sz w:val="18"/>
                <w:szCs w:val="18"/>
              </w:rPr>
            </w:pPr>
            <w:r w:rsidRPr="00C06FB8">
              <w:rPr>
                <w:rFonts w:ascii="Calibri" w:hAnsi="Calibri"/>
                <w:sz w:val="18"/>
                <w:szCs w:val="18"/>
              </w:rPr>
              <w:sym w:font="Symbol" w:char="F0B1"/>
            </w:r>
            <w:r w:rsidRPr="00C06FB8">
              <w:rPr>
                <w:rFonts w:ascii="Calibri" w:hAnsi="Calibri"/>
                <w:sz w:val="18"/>
                <w:szCs w:val="18"/>
              </w:rPr>
              <w:t xml:space="preserve"> 1,5</w:t>
            </w:r>
          </w:p>
        </w:tc>
        <w:tc>
          <w:tcPr>
            <w:tcW w:w="853" w:type="dxa"/>
            <w:tcBorders>
              <w:top w:val="nil"/>
            </w:tcBorders>
          </w:tcPr>
          <w:p w:rsidR="0018327E" w:rsidRPr="00C06FB8" w:rsidRDefault="0018327E" w:rsidP="0018327E">
            <w:pPr>
              <w:pStyle w:val="StylIwony"/>
              <w:spacing w:before="0" w:after="0"/>
              <w:jc w:val="center"/>
              <w:rPr>
                <w:rFonts w:ascii="Calibri" w:hAnsi="Calibri"/>
                <w:sz w:val="18"/>
                <w:szCs w:val="18"/>
              </w:rPr>
            </w:pPr>
          </w:p>
          <w:p w:rsidR="0018327E" w:rsidRPr="00C06FB8" w:rsidRDefault="0018327E" w:rsidP="0018327E">
            <w:pPr>
              <w:pStyle w:val="StylIwony"/>
              <w:spacing w:before="0" w:after="0"/>
              <w:jc w:val="center"/>
              <w:rPr>
                <w:rFonts w:ascii="Calibri" w:hAnsi="Calibri"/>
                <w:sz w:val="18"/>
                <w:szCs w:val="18"/>
              </w:rPr>
            </w:pPr>
          </w:p>
          <w:p w:rsidR="0018327E" w:rsidRPr="00C06FB8" w:rsidRDefault="0018327E" w:rsidP="0018327E">
            <w:pPr>
              <w:pStyle w:val="StylIwony"/>
              <w:spacing w:before="0" w:after="0"/>
              <w:jc w:val="center"/>
              <w:rPr>
                <w:rFonts w:ascii="Calibri" w:hAnsi="Calibri"/>
                <w:sz w:val="18"/>
                <w:szCs w:val="18"/>
              </w:rPr>
            </w:pPr>
            <w:r w:rsidRPr="00C06FB8">
              <w:rPr>
                <w:rFonts w:ascii="Calibri" w:hAnsi="Calibri"/>
                <w:sz w:val="18"/>
                <w:szCs w:val="18"/>
              </w:rPr>
              <w:sym w:font="Symbol" w:char="F0B1"/>
            </w:r>
            <w:r w:rsidRPr="00C06FB8">
              <w:rPr>
                <w:rFonts w:ascii="Calibri" w:hAnsi="Calibri"/>
                <w:sz w:val="18"/>
                <w:szCs w:val="18"/>
              </w:rPr>
              <w:t xml:space="preserve"> 0,5</w:t>
            </w:r>
          </w:p>
        </w:tc>
      </w:tr>
    </w:tbl>
    <w:p w:rsidR="0018327E" w:rsidRDefault="0018327E" w:rsidP="0018327E">
      <w:pPr>
        <w:pStyle w:val="StylIwony"/>
        <w:spacing w:before="0" w:after="0"/>
        <w:rPr>
          <w:rFonts w:ascii="Times New Roman" w:hAnsi="Times New Roman"/>
          <w:sz w:val="20"/>
        </w:rPr>
      </w:pPr>
    </w:p>
    <w:p w:rsidR="0018327E" w:rsidRPr="00AA1C97" w:rsidRDefault="0018327E" w:rsidP="0018327E">
      <w:pPr>
        <w:rPr>
          <w:rFonts w:ascii="Calibri" w:hAnsi="Calibri"/>
        </w:rPr>
      </w:pPr>
      <w:r w:rsidRPr="00B84C38">
        <w:rPr>
          <w:rFonts w:ascii="Calibri" w:hAnsi="Calibri"/>
          <w:b/>
        </w:rPr>
        <w:t>2.3.2.</w:t>
      </w:r>
      <w:r w:rsidRPr="00AA1C97">
        <w:rPr>
          <w:rFonts w:ascii="Calibri" w:hAnsi="Calibri"/>
        </w:rPr>
        <w:t xml:space="preserve"> Wymagania dla rur</w:t>
      </w:r>
    </w:p>
    <w:p w:rsidR="0018327E" w:rsidRPr="00AA1C97" w:rsidRDefault="0018327E" w:rsidP="0018327E">
      <w:pPr>
        <w:rPr>
          <w:rFonts w:ascii="Calibri" w:hAnsi="Calibri"/>
        </w:rPr>
      </w:pPr>
      <w:r w:rsidRPr="00AA1C97">
        <w:rPr>
          <w:rFonts w:ascii="Calibri" w:hAnsi="Calibri"/>
        </w:rPr>
        <w:tab/>
        <w:t>Rury powinny odpowiadać wymaganiom PN-H-74219, PN-H-74220 lub innej zaakceptowanej przez Inżyniera.</w:t>
      </w:r>
    </w:p>
    <w:p w:rsidR="0018327E" w:rsidRPr="00AA1C97" w:rsidRDefault="0018327E" w:rsidP="0018327E">
      <w:pPr>
        <w:rPr>
          <w:rFonts w:ascii="Calibri" w:hAnsi="Calibri"/>
        </w:rPr>
      </w:pPr>
      <w:r w:rsidRPr="00AA1C97">
        <w:rPr>
          <w:rFonts w:ascii="Calibri" w:hAnsi="Calibri"/>
        </w:rPr>
        <w:tab/>
        <w:t>Powierzchnia zewnętrzna i wewnętrzna rur nie powinna wykazywać wad w postaci łusek, pęknięć, zawalcowań i naderwań. Dopuszczalne są nieznaczne nierówności, pojedyncze rysy wynikające z procesu wytwarzania, mieszczące się w granicach dopuszczalnych odchyłek wymiarowych.</w:t>
      </w:r>
    </w:p>
    <w:p w:rsidR="0018327E" w:rsidRPr="00AA1C97" w:rsidRDefault="0018327E" w:rsidP="0018327E">
      <w:pPr>
        <w:rPr>
          <w:rFonts w:ascii="Calibri" w:hAnsi="Calibri"/>
        </w:rPr>
      </w:pPr>
      <w:r w:rsidRPr="00AA1C97">
        <w:rPr>
          <w:rFonts w:ascii="Calibri" w:hAnsi="Calibri"/>
        </w:rPr>
        <w:tab/>
        <w:t>Końce rur powinny być obcięte równo i prostopadle do osi rury.</w:t>
      </w:r>
    </w:p>
    <w:p w:rsidR="0018327E" w:rsidRPr="00AA1C97" w:rsidRDefault="0018327E" w:rsidP="0018327E">
      <w:pPr>
        <w:rPr>
          <w:rFonts w:ascii="Calibri" w:hAnsi="Calibri"/>
        </w:rPr>
      </w:pPr>
      <w:r w:rsidRPr="00AA1C97">
        <w:rPr>
          <w:rFonts w:ascii="Calibri" w:hAnsi="Calibri"/>
        </w:rPr>
        <w:tab/>
        <w:t>Pożądane jest, aby rury były dostarczane o:</w:t>
      </w:r>
    </w:p>
    <w:p w:rsidR="0018327E" w:rsidRPr="00AA1C97" w:rsidRDefault="0018327E" w:rsidP="0018327E">
      <w:pPr>
        <w:rPr>
          <w:rFonts w:ascii="Calibri" w:hAnsi="Calibri"/>
        </w:rPr>
      </w:pPr>
      <w:r>
        <w:rPr>
          <w:rFonts w:ascii="Calibri" w:hAnsi="Calibri"/>
        </w:rPr>
        <w:t>-</w:t>
      </w:r>
      <w:r w:rsidRPr="00AA1C97">
        <w:rPr>
          <w:rFonts w:ascii="Calibri" w:hAnsi="Calibri"/>
        </w:rPr>
        <w:t>długościach dokładnych, zgodnych z zamówieniami; z dopuszczalną odchyłką + 10 mm,</w:t>
      </w:r>
    </w:p>
    <w:p w:rsidR="0018327E" w:rsidRPr="00AA1C97" w:rsidRDefault="0018327E" w:rsidP="0018327E">
      <w:pPr>
        <w:rPr>
          <w:rFonts w:ascii="Calibri" w:hAnsi="Calibri"/>
        </w:rPr>
      </w:pPr>
      <w:r>
        <w:rPr>
          <w:rFonts w:ascii="Calibri" w:hAnsi="Calibri"/>
        </w:rPr>
        <w:t>-</w:t>
      </w:r>
      <w:r w:rsidRPr="00AA1C97">
        <w:rPr>
          <w:rFonts w:ascii="Calibri" w:hAnsi="Calibri"/>
        </w:rPr>
        <w:t>długościach wielokrotnych w stosunku do zamówionych długości dokładnych poniżej 3 m z naddatkiem 5 mm na każde cięcie i z dopuszczalną odchyłką dla całej długości wielokrotnej, jak dla długości dokładnych.</w:t>
      </w:r>
    </w:p>
    <w:p w:rsidR="0018327E" w:rsidRPr="00AA1C97" w:rsidRDefault="0018327E" w:rsidP="0018327E">
      <w:pPr>
        <w:rPr>
          <w:rFonts w:ascii="Calibri" w:hAnsi="Calibri"/>
        </w:rPr>
      </w:pPr>
      <w:r w:rsidRPr="00AA1C97">
        <w:rPr>
          <w:rFonts w:ascii="Calibri" w:hAnsi="Calibri"/>
        </w:rPr>
        <w:tab/>
        <w:t>Rury powinny być proste. Dopuszczalne miejscowe odchylenia od prostej nie powinny przekraczać 1,5 mm na 1 m długości rury.</w:t>
      </w:r>
    </w:p>
    <w:p w:rsidR="0018327E" w:rsidRPr="00AA1C97" w:rsidRDefault="0018327E" w:rsidP="0018327E">
      <w:pPr>
        <w:rPr>
          <w:rFonts w:ascii="Calibri" w:hAnsi="Calibri"/>
        </w:rPr>
      </w:pPr>
      <w:r w:rsidRPr="00AA1C97">
        <w:rPr>
          <w:rFonts w:ascii="Calibri" w:hAnsi="Calibri"/>
        </w:rPr>
        <w:tab/>
        <w:t>Rury powinny być wykonane ze stali w gatunkach dopuszczonych przez normy (np. R55, R65, 18G2A): PN-H-84023-07, PN-H-84018, PN-H-84019, PN-H-84030-02 lub inne normy.</w:t>
      </w:r>
    </w:p>
    <w:p w:rsidR="0018327E" w:rsidRPr="00AA1C97" w:rsidRDefault="0018327E" w:rsidP="0018327E">
      <w:pPr>
        <w:rPr>
          <w:rFonts w:ascii="Calibri" w:hAnsi="Calibri"/>
        </w:rPr>
      </w:pPr>
      <w:r w:rsidRPr="00AA1C97">
        <w:rPr>
          <w:rFonts w:ascii="Calibri" w:hAnsi="Calibri"/>
        </w:rPr>
        <w:tab/>
        <w:t>Do ocynkowania rur stosuje się gatunek cynku Raf wg PN-H-82200.</w:t>
      </w:r>
    </w:p>
    <w:p w:rsidR="0018327E" w:rsidRPr="00AA1C97" w:rsidRDefault="0018327E" w:rsidP="0018327E">
      <w:pPr>
        <w:rPr>
          <w:rFonts w:ascii="Calibri" w:hAnsi="Calibri"/>
        </w:rPr>
      </w:pPr>
      <w:r w:rsidRPr="000276F9">
        <w:rPr>
          <w:rFonts w:ascii="Calibri" w:hAnsi="Calibri"/>
          <w:b/>
        </w:rPr>
        <w:t>2.3.3.</w:t>
      </w:r>
      <w:r w:rsidRPr="00AA1C97">
        <w:rPr>
          <w:rFonts w:ascii="Calibri" w:hAnsi="Calibri"/>
        </w:rPr>
        <w:t xml:space="preserve"> Wymagania dla kształtowników</w:t>
      </w:r>
    </w:p>
    <w:p w:rsidR="0018327E" w:rsidRPr="00AA1C97" w:rsidRDefault="0018327E" w:rsidP="0018327E">
      <w:pPr>
        <w:rPr>
          <w:rFonts w:ascii="Calibri" w:hAnsi="Calibri"/>
        </w:rPr>
      </w:pPr>
      <w:r w:rsidRPr="00AA1C97">
        <w:rPr>
          <w:rFonts w:ascii="Calibri" w:hAnsi="Calibri"/>
        </w:rPr>
        <w:tab/>
        <w:t>Kształtowniki powinny odpowiadać wymaganiom PN-H-93010. Powierzchnia kształtownika powinna być charakterystyczna dla procesu walcowania i wolna od wad, jak widoczne łuski, pęknięcia, zawalcowania i naderwania. Dopuszczalne są usunięte wady przez szlifowanie lub dłutowanie z tym, że obrobiona powierzchnia powinna mieć łagodne wycięcia i zaokrąglone brzegi, a grubość kształtownika nie może zmniejszyć się poza dopuszczalną dolną odchyłkę wymiarową dla kształtownika.</w:t>
      </w:r>
    </w:p>
    <w:p w:rsidR="0018327E" w:rsidRPr="00AA1C97" w:rsidRDefault="0018327E" w:rsidP="0018327E">
      <w:pPr>
        <w:rPr>
          <w:rFonts w:ascii="Calibri" w:hAnsi="Calibri"/>
        </w:rPr>
      </w:pPr>
      <w:r w:rsidRPr="00AA1C97">
        <w:rPr>
          <w:rFonts w:ascii="Calibri" w:hAnsi="Calibri"/>
        </w:rPr>
        <w:tab/>
        <w:t>Kształtowniki powinny być obcięte prostopadle do osi wzdłużnej kształtownika. Powierzchnia końców kształtownika nie powinna wykazywać rzadzizn, rozwarstwień, pęknięć i śladów jamy skurczowej widocznych nie uzbrojonym okiem.</w:t>
      </w:r>
    </w:p>
    <w:p w:rsidR="0018327E" w:rsidRPr="00AA1C97" w:rsidRDefault="0018327E" w:rsidP="0018327E">
      <w:pPr>
        <w:rPr>
          <w:rFonts w:ascii="Calibri" w:hAnsi="Calibri"/>
        </w:rPr>
      </w:pPr>
      <w:r w:rsidRPr="00AA1C97">
        <w:rPr>
          <w:rFonts w:ascii="Calibri" w:hAnsi="Calibri"/>
        </w:rPr>
        <w:lastRenderedPageBreak/>
        <w:tab/>
        <w:t>Kształtowniki powinny być ze stali St3W lub St4W oraz mieć własności mechaniczne według PN-H-84020 - tablica 8 lub innej uzgodnionej stali i normy pomiędzy zgłaszającym zamówienie i wytwórcą.</w:t>
      </w:r>
    </w:p>
    <w:p w:rsidR="0018327E" w:rsidRDefault="0018327E" w:rsidP="0018327E">
      <w:pPr>
        <w:rPr>
          <w:rFonts w:ascii="Calibri" w:hAnsi="Calibri"/>
        </w:rPr>
      </w:pPr>
    </w:p>
    <w:p w:rsidR="0018327E" w:rsidRDefault="0018327E" w:rsidP="0018327E">
      <w:pPr>
        <w:ind w:left="709"/>
        <w:rPr>
          <w:rFonts w:ascii="Calibri" w:hAnsi="Calibri"/>
        </w:rPr>
      </w:pPr>
      <w:r w:rsidRPr="00AA1C97">
        <w:rPr>
          <w:rFonts w:ascii="Calibri" w:hAnsi="Calibri"/>
        </w:rPr>
        <w:t>Tablica 8. Podstawowe własności kształtowników wg PN-H-84020</w:t>
      </w:r>
      <w:r w:rsidRPr="00AA1C97">
        <w:rPr>
          <w:rFonts w:ascii="Calibri" w:hAnsi="Calibri"/>
        </w:rPr>
        <w:tab/>
      </w:r>
    </w:p>
    <w:tbl>
      <w:tblPr>
        <w:tblW w:w="0" w:type="auto"/>
        <w:tblInd w:w="779" w:type="dxa"/>
        <w:tblLayout w:type="fixed"/>
        <w:tblCellMar>
          <w:left w:w="70" w:type="dxa"/>
          <w:right w:w="70" w:type="dxa"/>
        </w:tblCellMar>
        <w:tblLook w:val="0000"/>
      </w:tblPr>
      <w:tblGrid>
        <w:gridCol w:w="709"/>
        <w:gridCol w:w="709"/>
        <w:gridCol w:w="709"/>
        <w:gridCol w:w="708"/>
        <w:gridCol w:w="709"/>
        <w:gridCol w:w="709"/>
        <w:gridCol w:w="850"/>
        <w:gridCol w:w="1049"/>
        <w:gridCol w:w="1079"/>
      </w:tblGrid>
      <w:tr w:rsidR="0018327E" w:rsidRPr="00E6428A" w:rsidTr="0018327E">
        <w:tc>
          <w:tcPr>
            <w:tcW w:w="709" w:type="dxa"/>
            <w:tcBorders>
              <w:top w:val="single" w:sz="6" w:space="0" w:color="auto"/>
              <w:left w:val="single" w:sz="6" w:space="0" w:color="auto"/>
            </w:tcBorders>
          </w:tcPr>
          <w:p w:rsidR="0018327E" w:rsidRPr="00E6428A" w:rsidRDefault="0018327E" w:rsidP="0018327E">
            <w:pPr>
              <w:pStyle w:val="StylIwony"/>
              <w:spacing w:before="0" w:after="0"/>
              <w:jc w:val="center"/>
              <w:rPr>
                <w:rFonts w:ascii="Calibri" w:hAnsi="Calibri"/>
                <w:sz w:val="18"/>
                <w:szCs w:val="18"/>
              </w:rPr>
            </w:pPr>
          </w:p>
          <w:p w:rsidR="0018327E" w:rsidRPr="00E6428A" w:rsidRDefault="0018327E" w:rsidP="0018327E">
            <w:pPr>
              <w:pStyle w:val="StylIwony"/>
              <w:spacing w:before="0" w:after="0"/>
              <w:jc w:val="center"/>
              <w:rPr>
                <w:rFonts w:ascii="Calibri" w:hAnsi="Calibri"/>
                <w:sz w:val="18"/>
                <w:szCs w:val="18"/>
              </w:rPr>
            </w:pPr>
          </w:p>
          <w:p w:rsidR="0018327E" w:rsidRPr="00E6428A" w:rsidRDefault="0018327E" w:rsidP="0018327E">
            <w:pPr>
              <w:pStyle w:val="StylIwony"/>
              <w:spacing w:before="0" w:after="0"/>
              <w:jc w:val="center"/>
              <w:rPr>
                <w:rFonts w:ascii="Calibri" w:hAnsi="Calibri"/>
                <w:sz w:val="18"/>
                <w:szCs w:val="18"/>
              </w:rPr>
            </w:pPr>
            <w:r w:rsidRPr="00E6428A">
              <w:rPr>
                <w:rFonts w:ascii="Calibri" w:hAnsi="Calibri"/>
                <w:sz w:val="18"/>
                <w:szCs w:val="18"/>
              </w:rPr>
              <w:t>Stal</w:t>
            </w:r>
          </w:p>
        </w:tc>
        <w:tc>
          <w:tcPr>
            <w:tcW w:w="3544" w:type="dxa"/>
            <w:gridSpan w:val="5"/>
            <w:tcBorders>
              <w:top w:val="single" w:sz="6" w:space="0" w:color="auto"/>
              <w:left w:val="single" w:sz="6" w:space="0" w:color="auto"/>
              <w:bottom w:val="single" w:sz="6" w:space="0" w:color="auto"/>
              <w:right w:val="single" w:sz="6" w:space="0" w:color="auto"/>
            </w:tcBorders>
          </w:tcPr>
          <w:p w:rsidR="0018327E" w:rsidRPr="00E6428A" w:rsidRDefault="0018327E" w:rsidP="0018327E">
            <w:pPr>
              <w:pStyle w:val="StylIwony"/>
              <w:spacing w:after="0"/>
              <w:jc w:val="center"/>
              <w:rPr>
                <w:rFonts w:ascii="Calibri" w:hAnsi="Calibri"/>
                <w:sz w:val="18"/>
                <w:szCs w:val="18"/>
              </w:rPr>
            </w:pPr>
            <w:r w:rsidRPr="00E6428A">
              <w:rPr>
                <w:rFonts w:ascii="Calibri" w:hAnsi="Calibri"/>
                <w:sz w:val="18"/>
                <w:szCs w:val="18"/>
              </w:rPr>
              <w:t>Granica plastyczności, MPa, minimum dla wyrobów o grubości lub średnicy</w:t>
            </w:r>
          </w:p>
        </w:tc>
        <w:tc>
          <w:tcPr>
            <w:tcW w:w="2978" w:type="dxa"/>
            <w:gridSpan w:val="3"/>
            <w:tcBorders>
              <w:top w:val="single" w:sz="6" w:space="0" w:color="auto"/>
              <w:left w:val="single" w:sz="6" w:space="0" w:color="auto"/>
              <w:bottom w:val="single" w:sz="6" w:space="0" w:color="auto"/>
              <w:right w:val="single" w:sz="6" w:space="0" w:color="auto"/>
            </w:tcBorders>
          </w:tcPr>
          <w:p w:rsidR="0018327E" w:rsidRPr="00E6428A" w:rsidRDefault="0018327E" w:rsidP="0018327E">
            <w:pPr>
              <w:pStyle w:val="StylIwony"/>
              <w:spacing w:before="0" w:after="0"/>
              <w:jc w:val="center"/>
              <w:rPr>
                <w:rFonts w:ascii="Calibri" w:hAnsi="Calibri"/>
                <w:sz w:val="18"/>
                <w:szCs w:val="18"/>
              </w:rPr>
            </w:pPr>
            <w:r w:rsidRPr="00E6428A">
              <w:rPr>
                <w:rFonts w:ascii="Calibri" w:hAnsi="Calibri"/>
                <w:sz w:val="18"/>
                <w:szCs w:val="18"/>
              </w:rPr>
              <w:t>Wytrzymałość na rozciąganie, MPa, dla wyrobów o grubości lub średnicy</w:t>
            </w:r>
          </w:p>
        </w:tc>
      </w:tr>
      <w:tr w:rsidR="0018327E" w:rsidRPr="00E6428A" w:rsidTr="0018327E">
        <w:tc>
          <w:tcPr>
            <w:tcW w:w="709" w:type="dxa"/>
            <w:tcBorders>
              <w:left w:val="single" w:sz="6" w:space="0" w:color="auto"/>
              <w:bottom w:val="double" w:sz="6" w:space="0" w:color="auto"/>
            </w:tcBorders>
          </w:tcPr>
          <w:p w:rsidR="0018327E" w:rsidRPr="00E6428A" w:rsidRDefault="0018327E" w:rsidP="0018327E">
            <w:pPr>
              <w:pStyle w:val="StylIwony"/>
              <w:spacing w:before="0" w:after="0"/>
              <w:jc w:val="center"/>
              <w:rPr>
                <w:rFonts w:ascii="Calibri" w:hAnsi="Calibri"/>
                <w:sz w:val="18"/>
                <w:szCs w:val="18"/>
              </w:rPr>
            </w:pPr>
          </w:p>
        </w:tc>
        <w:tc>
          <w:tcPr>
            <w:tcW w:w="709" w:type="dxa"/>
            <w:tcBorders>
              <w:top w:val="single" w:sz="6" w:space="0" w:color="auto"/>
              <w:left w:val="single" w:sz="6" w:space="0" w:color="auto"/>
              <w:bottom w:val="double" w:sz="6" w:space="0" w:color="auto"/>
              <w:right w:val="single" w:sz="6" w:space="0" w:color="auto"/>
            </w:tcBorders>
          </w:tcPr>
          <w:p w:rsidR="0018327E" w:rsidRPr="00E6428A" w:rsidRDefault="0018327E" w:rsidP="0018327E">
            <w:pPr>
              <w:pStyle w:val="StylIwony"/>
              <w:spacing w:before="0" w:after="0"/>
              <w:jc w:val="center"/>
              <w:rPr>
                <w:rFonts w:ascii="Calibri" w:hAnsi="Calibri"/>
                <w:sz w:val="18"/>
                <w:szCs w:val="18"/>
              </w:rPr>
            </w:pPr>
            <w:r w:rsidRPr="00E6428A">
              <w:rPr>
                <w:rFonts w:ascii="Calibri" w:hAnsi="Calibri"/>
                <w:sz w:val="18"/>
                <w:szCs w:val="18"/>
              </w:rPr>
              <w:t xml:space="preserve">do </w:t>
            </w:r>
          </w:p>
          <w:p w:rsidR="0018327E" w:rsidRPr="00E6428A" w:rsidRDefault="0018327E" w:rsidP="0018327E">
            <w:pPr>
              <w:pStyle w:val="StylIwony"/>
              <w:spacing w:before="0" w:after="0"/>
              <w:jc w:val="left"/>
              <w:rPr>
                <w:rFonts w:ascii="Calibri" w:hAnsi="Calibri"/>
                <w:sz w:val="18"/>
                <w:szCs w:val="18"/>
              </w:rPr>
            </w:pPr>
            <w:r w:rsidRPr="00E6428A">
              <w:rPr>
                <w:rFonts w:ascii="Calibri" w:hAnsi="Calibri"/>
                <w:sz w:val="18"/>
                <w:szCs w:val="18"/>
              </w:rPr>
              <w:t>40 mm</w:t>
            </w:r>
          </w:p>
        </w:tc>
        <w:tc>
          <w:tcPr>
            <w:tcW w:w="709" w:type="dxa"/>
            <w:tcBorders>
              <w:top w:val="single" w:sz="6" w:space="0" w:color="auto"/>
              <w:left w:val="single" w:sz="6" w:space="0" w:color="auto"/>
              <w:bottom w:val="double" w:sz="6" w:space="0" w:color="auto"/>
              <w:right w:val="single" w:sz="6" w:space="0" w:color="auto"/>
            </w:tcBorders>
          </w:tcPr>
          <w:p w:rsidR="0018327E" w:rsidRPr="00E6428A" w:rsidRDefault="0018327E" w:rsidP="0018327E">
            <w:pPr>
              <w:pStyle w:val="StylIwony"/>
              <w:spacing w:before="0" w:after="0"/>
              <w:jc w:val="center"/>
              <w:rPr>
                <w:rFonts w:ascii="Calibri" w:hAnsi="Calibri"/>
                <w:sz w:val="18"/>
                <w:szCs w:val="18"/>
              </w:rPr>
            </w:pPr>
            <w:r w:rsidRPr="00E6428A">
              <w:rPr>
                <w:rFonts w:ascii="Calibri" w:hAnsi="Calibri"/>
                <w:sz w:val="18"/>
                <w:szCs w:val="18"/>
              </w:rPr>
              <w:t>od 40</w:t>
            </w:r>
          </w:p>
          <w:p w:rsidR="0018327E" w:rsidRPr="00E6428A" w:rsidRDefault="0018327E" w:rsidP="0018327E">
            <w:pPr>
              <w:pStyle w:val="StylIwony"/>
              <w:spacing w:before="0" w:after="0"/>
              <w:jc w:val="center"/>
              <w:rPr>
                <w:rFonts w:ascii="Calibri" w:hAnsi="Calibri"/>
                <w:sz w:val="18"/>
                <w:szCs w:val="18"/>
              </w:rPr>
            </w:pPr>
            <w:r w:rsidRPr="00E6428A">
              <w:rPr>
                <w:rFonts w:ascii="Calibri" w:hAnsi="Calibri"/>
                <w:sz w:val="18"/>
                <w:szCs w:val="18"/>
              </w:rPr>
              <w:t xml:space="preserve"> do 63</w:t>
            </w:r>
          </w:p>
        </w:tc>
        <w:tc>
          <w:tcPr>
            <w:tcW w:w="708" w:type="dxa"/>
            <w:tcBorders>
              <w:top w:val="single" w:sz="6" w:space="0" w:color="auto"/>
              <w:left w:val="single" w:sz="6" w:space="0" w:color="auto"/>
              <w:bottom w:val="double" w:sz="6" w:space="0" w:color="auto"/>
              <w:right w:val="single" w:sz="6" w:space="0" w:color="auto"/>
            </w:tcBorders>
          </w:tcPr>
          <w:p w:rsidR="0018327E" w:rsidRPr="00E6428A" w:rsidRDefault="0018327E" w:rsidP="0018327E">
            <w:pPr>
              <w:pStyle w:val="StylIwony"/>
              <w:spacing w:before="0" w:after="0"/>
              <w:jc w:val="center"/>
              <w:rPr>
                <w:rFonts w:ascii="Calibri" w:hAnsi="Calibri"/>
                <w:sz w:val="18"/>
                <w:szCs w:val="18"/>
              </w:rPr>
            </w:pPr>
            <w:r w:rsidRPr="00E6428A">
              <w:rPr>
                <w:rFonts w:ascii="Calibri" w:hAnsi="Calibri"/>
                <w:sz w:val="18"/>
                <w:szCs w:val="18"/>
              </w:rPr>
              <w:t>od 63</w:t>
            </w:r>
          </w:p>
          <w:p w:rsidR="0018327E" w:rsidRPr="00E6428A" w:rsidRDefault="0018327E" w:rsidP="0018327E">
            <w:pPr>
              <w:pStyle w:val="StylIwony"/>
              <w:spacing w:before="0" w:after="0"/>
              <w:jc w:val="center"/>
              <w:rPr>
                <w:rFonts w:ascii="Calibri" w:hAnsi="Calibri"/>
                <w:sz w:val="18"/>
                <w:szCs w:val="18"/>
              </w:rPr>
            </w:pPr>
            <w:r w:rsidRPr="00E6428A">
              <w:rPr>
                <w:rFonts w:ascii="Calibri" w:hAnsi="Calibri"/>
                <w:sz w:val="18"/>
                <w:szCs w:val="18"/>
              </w:rPr>
              <w:t>do 80</w:t>
            </w:r>
          </w:p>
        </w:tc>
        <w:tc>
          <w:tcPr>
            <w:tcW w:w="709" w:type="dxa"/>
            <w:tcBorders>
              <w:top w:val="single" w:sz="6" w:space="0" w:color="auto"/>
              <w:left w:val="single" w:sz="6" w:space="0" w:color="auto"/>
              <w:bottom w:val="double" w:sz="6" w:space="0" w:color="auto"/>
              <w:right w:val="single" w:sz="6" w:space="0" w:color="auto"/>
            </w:tcBorders>
          </w:tcPr>
          <w:p w:rsidR="0018327E" w:rsidRPr="00E6428A" w:rsidRDefault="0018327E" w:rsidP="0018327E">
            <w:pPr>
              <w:pStyle w:val="StylIwony"/>
              <w:spacing w:before="0" w:after="0"/>
              <w:jc w:val="center"/>
              <w:rPr>
                <w:rFonts w:ascii="Calibri" w:hAnsi="Calibri"/>
                <w:sz w:val="18"/>
                <w:szCs w:val="18"/>
              </w:rPr>
            </w:pPr>
            <w:r w:rsidRPr="00E6428A">
              <w:rPr>
                <w:rFonts w:ascii="Calibri" w:hAnsi="Calibri"/>
                <w:sz w:val="18"/>
                <w:szCs w:val="18"/>
              </w:rPr>
              <w:t xml:space="preserve">od 80 </w:t>
            </w:r>
          </w:p>
          <w:p w:rsidR="0018327E" w:rsidRPr="00E6428A" w:rsidRDefault="0018327E" w:rsidP="0018327E">
            <w:pPr>
              <w:pStyle w:val="StylIwony"/>
              <w:spacing w:before="0" w:after="0"/>
              <w:jc w:val="center"/>
              <w:rPr>
                <w:rFonts w:ascii="Calibri" w:hAnsi="Calibri"/>
                <w:sz w:val="18"/>
                <w:szCs w:val="18"/>
              </w:rPr>
            </w:pPr>
            <w:r w:rsidRPr="00E6428A">
              <w:rPr>
                <w:rFonts w:ascii="Calibri" w:hAnsi="Calibri"/>
                <w:sz w:val="18"/>
                <w:szCs w:val="18"/>
              </w:rPr>
              <w:t>do 100</w:t>
            </w:r>
          </w:p>
        </w:tc>
        <w:tc>
          <w:tcPr>
            <w:tcW w:w="709" w:type="dxa"/>
            <w:tcBorders>
              <w:top w:val="single" w:sz="6" w:space="0" w:color="auto"/>
              <w:left w:val="single" w:sz="6" w:space="0" w:color="auto"/>
              <w:bottom w:val="double" w:sz="6" w:space="0" w:color="auto"/>
              <w:right w:val="single" w:sz="6" w:space="0" w:color="auto"/>
            </w:tcBorders>
          </w:tcPr>
          <w:p w:rsidR="0018327E" w:rsidRPr="00E6428A" w:rsidRDefault="0018327E" w:rsidP="0018327E">
            <w:pPr>
              <w:pStyle w:val="StylIwony"/>
              <w:spacing w:before="0" w:after="0"/>
              <w:jc w:val="center"/>
              <w:rPr>
                <w:rFonts w:ascii="Calibri" w:hAnsi="Calibri"/>
                <w:sz w:val="18"/>
                <w:szCs w:val="18"/>
              </w:rPr>
            </w:pPr>
            <w:r w:rsidRPr="00E6428A">
              <w:rPr>
                <w:rFonts w:ascii="Calibri" w:hAnsi="Calibri"/>
                <w:sz w:val="18"/>
                <w:szCs w:val="18"/>
              </w:rPr>
              <w:t>od 100</w:t>
            </w:r>
          </w:p>
          <w:p w:rsidR="0018327E" w:rsidRPr="00E6428A" w:rsidRDefault="0018327E" w:rsidP="0018327E">
            <w:pPr>
              <w:pStyle w:val="StylIwony"/>
              <w:spacing w:before="0" w:after="0"/>
              <w:jc w:val="center"/>
              <w:rPr>
                <w:rFonts w:ascii="Calibri" w:hAnsi="Calibri"/>
                <w:sz w:val="18"/>
                <w:szCs w:val="18"/>
              </w:rPr>
            </w:pPr>
            <w:r w:rsidRPr="00E6428A">
              <w:rPr>
                <w:rFonts w:ascii="Calibri" w:hAnsi="Calibri"/>
                <w:sz w:val="18"/>
                <w:szCs w:val="18"/>
              </w:rPr>
              <w:t>do 150</w:t>
            </w:r>
          </w:p>
        </w:tc>
        <w:tc>
          <w:tcPr>
            <w:tcW w:w="850" w:type="dxa"/>
            <w:tcBorders>
              <w:top w:val="single" w:sz="6" w:space="0" w:color="auto"/>
              <w:left w:val="single" w:sz="6" w:space="0" w:color="auto"/>
              <w:bottom w:val="double" w:sz="6" w:space="0" w:color="auto"/>
              <w:right w:val="single" w:sz="6" w:space="0" w:color="auto"/>
            </w:tcBorders>
          </w:tcPr>
          <w:p w:rsidR="0018327E" w:rsidRPr="00E6428A" w:rsidRDefault="0018327E" w:rsidP="0018327E">
            <w:pPr>
              <w:pStyle w:val="StylIwony"/>
              <w:spacing w:before="0" w:after="0"/>
              <w:jc w:val="center"/>
              <w:rPr>
                <w:rFonts w:ascii="Calibri" w:hAnsi="Calibri"/>
                <w:sz w:val="18"/>
                <w:szCs w:val="18"/>
              </w:rPr>
            </w:pPr>
            <w:r w:rsidRPr="00E6428A">
              <w:rPr>
                <w:rFonts w:ascii="Calibri" w:hAnsi="Calibri"/>
                <w:sz w:val="18"/>
                <w:szCs w:val="18"/>
              </w:rPr>
              <w:t>od 150</w:t>
            </w:r>
          </w:p>
          <w:p w:rsidR="0018327E" w:rsidRPr="00E6428A" w:rsidRDefault="0018327E" w:rsidP="0018327E">
            <w:pPr>
              <w:pStyle w:val="StylIwony"/>
              <w:spacing w:before="0" w:after="0"/>
              <w:jc w:val="center"/>
              <w:rPr>
                <w:rFonts w:ascii="Calibri" w:hAnsi="Calibri"/>
                <w:sz w:val="18"/>
                <w:szCs w:val="18"/>
              </w:rPr>
            </w:pPr>
            <w:r w:rsidRPr="00E6428A">
              <w:rPr>
                <w:rFonts w:ascii="Calibri" w:hAnsi="Calibri"/>
                <w:sz w:val="18"/>
                <w:szCs w:val="18"/>
              </w:rPr>
              <w:t>do 200</w:t>
            </w:r>
          </w:p>
        </w:tc>
        <w:tc>
          <w:tcPr>
            <w:tcW w:w="1049" w:type="dxa"/>
            <w:tcBorders>
              <w:top w:val="single" w:sz="6" w:space="0" w:color="auto"/>
              <w:left w:val="single" w:sz="6" w:space="0" w:color="auto"/>
              <w:bottom w:val="double" w:sz="6" w:space="0" w:color="auto"/>
              <w:right w:val="single" w:sz="6" w:space="0" w:color="auto"/>
            </w:tcBorders>
          </w:tcPr>
          <w:p w:rsidR="0018327E" w:rsidRPr="00E6428A" w:rsidRDefault="0018327E" w:rsidP="0018327E">
            <w:pPr>
              <w:pStyle w:val="StylIwony"/>
              <w:spacing w:before="0" w:after="0"/>
              <w:jc w:val="center"/>
              <w:rPr>
                <w:rFonts w:ascii="Calibri" w:hAnsi="Calibri"/>
                <w:sz w:val="18"/>
                <w:szCs w:val="18"/>
              </w:rPr>
            </w:pPr>
            <w:r w:rsidRPr="00E6428A">
              <w:rPr>
                <w:rFonts w:ascii="Calibri" w:hAnsi="Calibri"/>
                <w:sz w:val="18"/>
                <w:szCs w:val="18"/>
              </w:rPr>
              <w:t>do</w:t>
            </w:r>
          </w:p>
          <w:p w:rsidR="0018327E" w:rsidRPr="00E6428A" w:rsidRDefault="0018327E" w:rsidP="0018327E">
            <w:pPr>
              <w:pStyle w:val="StylIwony"/>
              <w:spacing w:before="0" w:after="0"/>
              <w:jc w:val="center"/>
              <w:rPr>
                <w:rFonts w:ascii="Calibri" w:hAnsi="Calibri"/>
                <w:sz w:val="18"/>
                <w:szCs w:val="18"/>
              </w:rPr>
            </w:pPr>
            <w:r w:rsidRPr="00E6428A">
              <w:rPr>
                <w:rFonts w:ascii="Calibri" w:hAnsi="Calibri"/>
                <w:sz w:val="18"/>
                <w:szCs w:val="18"/>
              </w:rPr>
              <w:t>100mm</w:t>
            </w:r>
          </w:p>
        </w:tc>
        <w:tc>
          <w:tcPr>
            <w:tcW w:w="1079" w:type="dxa"/>
            <w:tcBorders>
              <w:top w:val="single" w:sz="6" w:space="0" w:color="auto"/>
              <w:left w:val="single" w:sz="6" w:space="0" w:color="auto"/>
              <w:bottom w:val="double" w:sz="6" w:space="0" w:color="auto"/>
              <w:right w:val="single" w:sz="6" w:space="0" w:color="auto"/>
            </w:tcBorders>
          </w:tcPr>
          <w:p w:rsidR="0018327E" w:rsidRPr="00E6428A" w:rsidRDefault="0018327E" w:rsidP="0018327E">
            <w:pPr>
              <w:pStyle w:val="StylIwony"/>
              <w:spacing w:before="0" w:after="0"/>
              <w:jc w:val="center"/>
              <w:rPr>
                <w:rFonts w:ascii="Calibri" w:hAnsi="Calibri"/>
                <w:sz w:val="18"/>
                <w:szCs w:val="18"/>
              </w:rPr>
            </w:pPr>
            <w:r w:rsidRPr="00E6428A">
              <w:rPr>
                <w:rFonts w:ascii="Calibri" w:hAnsi="Calibri"/>
                <w:sz w:val="18"/>
                <w:szCs w:val="18"/>
              </w:rPr>
              <w:t>od 100</w:t>
            </w:r>
          </w:p>
          <w:p w:rsidR="0018327E" w:rsidRPr="00E6428A" w:rsidRDefault="0018327E" w:rsidP="0018327E">
            <w:pPr>
              <w:pStyle w:val="StylIwony"/>
              <w:spacing w:before="0" w:after="0"/>
              <w:jc w:val="center"/>
              <w:rPr>
                <w:rFonts w:ascii="Calibri" w:hAnsi="Calibri"/>
                <w:sz w:val="18"/>
                <w:szCs w:val="18"/>
              </w:rPr>
            </w:pPr>
            <w:r w:rsidRPr="00E6428A">
              <w:rPr>
                <w:rFonts w:ascii="Calibri" w:hAnsi="Calibri"/>
                <w:sz w:val="18"/>
                <w:szCs w:val="18"/>
              </w:rPr>
              <w:t>do 200</w:t>
            </w:r>
          </w:p>
        </w:tc>
      </w:tr>
      <w:tr w:rsidR="0018327E" w:rsidRPr="00E6428A" w:rsidTr="0018327E">
        <w:tc>
          <w:tcPr>
            <w:tcW w:w="709" w:type="dxa"/>
            <w:tcBorders>
              <w:left w:val="single" w:sz="6" w:space="0" w:color="auto"/>
              <w:bottom w:val="single" w:sz="6" w:space="0" w:color="auto"/>
              <w:right w:val="single" w:sz="6" w:space="0" w:color="auto"/>
            </w:tcBorders>
          </w:tcPr>
          <w:p w:rsidR="0018327E" w:rsidRPr="00E6428A" w:rsidRDefault="0018327E" w:rsidP="0018327E">
            <w:pPr>
              <w:pStyle w:val="StylIwony"/>
              <w:spacing w:before="0" w:after="0"/>
              <w:jc w:val="center"/>
              <w:rPr>
                <w:rFonts w:ascii="Calibri" w:hAnsi="Calibri"/>
                <w:sz w:val="18"/>
                <w:szCs w:val="18"/>
              </w:rPr>
            </w:pPr>
            <w:r w:rsidRPr="00E6428A">
              <w:rPr>
                <w:rFonts w:ascii="Calibri" w:hAnsi="Calibri"/>
                <w:sz w:val="18"/>
                <w:szCs w:val="18"/>
              </w:rPr>
              <w:t>St3W</w:t>
            </w:r>
          </w:p>
          <w:p w:rsidR="0018327E" w:rsidRPr="00E6428A" w:rsidRDefault="0018327E" w:rsidP="0018327E">
            <w:pPr>
              <w:pStyle w:val="StylIwony"/>
              <w:spacing w:before="0" w:after="0"/>
              <w:jc w:val="center"/>
              <w:rPr>
                <w:rFonts w:ascii="Calibri" w:hAnsi="Calibri"/>
                <w:sz w:val="18"/>
                <w:szCs w:val="18"/>
              </w:rPr>
            </w:pPr>
          </w:p>
          <w:p w:rsidR="0018327E" w:rsidRPr="00E6428A" w:rsidRDefault="0018327E" w:rsidP="0018327E">
            <w:pPr>
              <w:pStyle w:val="StylIwony"/>
              <w:spacing w:before="0" w:after="0"/>
              <w:jc w:val="center"/>
              <w:rPr>
                <w:rFonts w:ascii="Calibri" w:hAnsi="Calibri"/>
                <w:sz w:val="18"/>
                <w:szCs w:val="18"/>
              </w:rPr>
            </w:pPr>
            <w:r w:rsidRPr="00E6428A">
              <w:rPr>
                <w:rFonts w:ascii="Calibri" w:hAnsi="Calibri"/>
                <w:sz w:val="18"/>
                <w:szCs w:val="18"/>
              </w:rPr>
              <w:t>St4W</w:t>
            </w:r>
          </w:p>
        </w:tc>
        <w:tc>
          <w:tcPr>
            <w:tcW w:w="709" w:type="dxa"/>
            <w:tcBorders>
              <w:left w:val="single" w:sz="6" w:space="0" w:color="auto"/>
              <w:bottom w:val="single" w:sz="6" w:space="0" w:color="auto"/>
              <w:right w:val="single" w:sz="6" w:space="0" w:color="auto"/>
            </w:tcBorders>
          </w:tcPr>
          <w:p w:rsidR="0018327E" w:rsidRPr="00E6428A" w:rsidRDefault="0018327E" w:rsidP="0018327E">
            <w:pPr>
              <w:pStyle w:val="StylIwony"/>
              <w:spacing w:before="0" w:after="0"/>
              <w:jc w:val="center"/>
              <w:rPr>
                <w:rFonts w:ascii="Calibri" w:hAnsi="Calibri"/>
                <w:sz w:val="18"/>
                <w:szCs w:val="18"/>
              </w:rPr>
            </w:pPr>
            <w:r w:rsidRPr="00E6428A">
              <w:rPr>
                <w:rFonts w:ascii="Calibri" w:hAnsi="Calibri"/>
                <w:sz w:val="18"/>
                <w:szCs w:val="18"/>
              </w:rPr>
              <w:t>225</w:t>
            </w:r>
          </w:p>
          <w:p w:rsidR="0018327E" w:rsidRPr="00E6428A" w:rsidRDefault="0018327E" w:rsidP="0018327E">
            <w:pPr>
              <w:pStyle w:val="StylIwony"/>
              <w:spacing w:before="0" w:after="0"/>
              <w:jc w:val="center"/>
              <w:rPr>
                <w:rFonts w:ascii="Calibri" w:hAnsi="Calibri"/>
                <w:sz w:val="18"/>
                <w:szCs w:val="18"/>
              </w:rPr>
            </w:pPr>
          </w:p>
          <w:p w:rsidR="0018327E" w:rsidRPr="00E6428A" w:rsidRDefault="0018327E" w:rsidP="0018327E">
            <w:pPr>
              <w:pStyle w:val="StylIwony"/>
              <w:spacing w:before="0" w:after="0"/>
              <w:jc w:val="center"/>
              <w:rPr>
                <w:rFonts w:ascii="Calibri" w:hAnsi="Calibri"/>
                <w:sz w:val="18"/>
                <w:szCs w:val="18"/>
              </w:rPr>
            </w:pPr>
            <w:r w:rsidRPr="00E6428A">
              <w:rPr>
                <w:rFonts w:ascii="Calibri" w:hAnsi="Calibri"/>
                <w:sz w:val="18"/>
                <w:szCs w:val="18"/>
              </w:rPr>
              <w:t>265</w:t>
            </w:r>
          </w:p>
        </w:tc>
        <w:tc>
          <w:tcPr>
            <w:tcW w:w="709" w:type="dxa"/>
            <w:tcBorders>
              <w:left w:val="single" w:sz="6" w:space="0" w:color="auto"/>
              <w:bottom w:val="single" w:sz="6" w:space="0" w:color="auto"/>
              <w:right w:val="single" w:sz="6" w:space="0" w:color="auto"/>
            </w:tcBorders>
          </w:tcPr>
          <w:p w:rsidR="0018327E" w:rsidRPr="00E6428A" w:rsidRDefault="0018327E" w:rsidP="0018327E">
            <w:pPr>
              <w:pStyle w:val="StylIwony"/>
              <w:spacing w:before="0" w:after="0"/>
              <w:jc w:val="center"/>
              <w:rPr>
                <w:rFonts w:ascii="Calibri" w:hAnsi="Calibri"/>
                <w:sz w:val="18"/>
                <w:szCs w:val="18"/>
              </w:rPr>
            </w:pPr>
            <w:r w:rsidRPr="00E6428A">
              <w:rPr>
                <w:rFonts w:ascii="Calibri" w:hAnsi="Calibri"/>
                <w:sz w:val="18"/>
                <w:szCs w:val="18"/>
              </w:rPr>
              <w:t>215</w:t>
            </w:r>
          </w:p>
          <w:p w:rsidR="0018327E" w:rsidRPr="00E6428A" w:rsidRDefault="0018327E" w:rsidP="0018327E">
            <w:pPr>
              <w:pStyle w:val="StylIwony"/>
              <w:spacing w:before="0" w:after="0"/>
              <w:jc w:val="center"/>
              <w:rPr>
                <w:rFonts w:ascii="Calibri" w:hAnsi="Calibri"/>
                <w:sz w:val="18"/>
                <w:szCs w:val="18"/>
              </w:rPr>
            </w:pPr>
          </w:p>
          <w:p w:rsidR="0018327E" w:rsidRPr="00E6428A" w:rsidRDefault="0018327E" w:rsidP="0018327E">
            <w:pPr>
              <w:pStyle w:val="StylIwony"/>
              <w:spacing w:before="0" w:after="0"/>
              <w:jc w:val="center"/>
              <w:rPr>
                <w:rFonts w:ascii="Calibri" w:hAnsi="Calibri"/>
                <w:sz w:val="18"/>
                <w:szCs w:val="18"/>
              </w:rPr>
            </w:pPr>
            <w:r w:rsidRPr="00E6428A">
              <w:rPr>
                <w:rFonts w:ascii="Calibri" w:hAnsi="Calibri"/>
                <w:sz w:val="18"/>
                <w:szCs w:val="18"/>
              </w:rPr>
              <w:t>255</w:t>
            </w:r>
          </w:p>
        </w:tc>
        <w:tc>
          <w:tcPr>
            <w:tcW w:w="708" w:type="dxa"/>
            <w:tcBorders>
              <w:left w:val="single" w:sz="6" w:space="0" w:color="auto"/>
              <w:bottom w:val="single" w:sz="6" w:space="0" w:color="auto"/>
              <w:right w:val="single" w:sz="6" w:space="0" w:color="auto"/>
            </w:tcBorders>
          </w:tcPr>
          <w:p w:rsidR="0018327E" w:rsidRPr="00E6428A" w:rsidRDefault="0018327E" w:rsidP="0018327E">
            <w:pPr>
              <w:pStyle w:val="StylIwony"/>
              <w:spacing w:before="0" w:after="0"/>
              <w:jc w:val="center"/>
              <w:rPr>
                <w:rFonts w:ascii="Calibri" w:hAnsi="Calibri"/>
                <w:sz w:val="18"/>
                <w:szCs w:val="18"/>
              </w:rPr>
            </w:pPr>
            <w:r w:rsidRPr="00E6428A">
              <w:rPr>
                <w:rFonts w:ascii="Calibri" w:hAnsi="Calibri"/>
                <w:sz w:val="18"/>
                <w:szCs w:val="18"/>
              </w:rPr>
              <w:t>205</w:t>
            </w:r>
          </w:p>
          <w:p w:rsidR="0018327E" w:rsidRPr="00E6428A" w:rsidRDefault="0018327E" w:rsidP="0018327E">
            <w:pPr>
              <w:pStyle w:val="StylIwony"/>
              <w:spacing w:before="0" w:after="0"/>
              <w:jc w:val="center"/>
              <w:rPr>
                <w:rFonts w:ascii="Calibri" w:hAnsi="Calibri"/>
                <w:sz w:val="18"/>
                <w:szCs w:val="18"/>
              </w:rPr>
            </w:pPr>
          </w:p>
          <w:p w:rsidR="0018327E" w:rsidRPr="00E6428A" w:rsidRDefault="0018327E" w:rsidP="0018327E">
            <w:pPr>
              <w:pStyle w:val="StylIwony"/>
              <w:spacing w:before="0" w:after="0"/>
              <w:jc w:val="center"/>
              <w:rPr>
                <w:rFonts w:ascii="Calibri" w:hAnsi="Calibri"/>
                <w:sz w:val="18"/>
                <w:szCs w:val="18"/>
              </w:rPr>
            </w:pPr>
            <w:r w:rsidRPr="00E6428A">
              <w:rPr>
                <w:rFonts w:ascii="Calibri" w:hAnsi="Calibri"/>
                <w:sz w:val="18"/>
                <w:szCs w:val="18"/>
              </w:rPr>
              <w:t>245</w:t>
            </w:r>
          </w:p>
        </w:tc>
        <w:tc>
          <w:tcPr>
            <w:tcW w:w="709" w:type="dxa"/>
            <w:tcBorders>
              <w:left w:val="single" w:sz="6" w:space="0" w:color="auto"/>
              <w:bottom w:val="single" w:sz="6" w:space="0" w:color="auto"/>
              <w:right w:val="single" w:sz="6" w:space="0" w:color="auto"/>
            </w:tcBorders>
          </w:tcPr>
          <w:p w:rsidR="0018327E" w:rsidRPr="00E6428A" w:rsidRDefault="0018327E" w:rsidP="0018327E">
            <w:pPr>
              <w:pStyle w:val="StylIwony"/>
              <w:spacing w:before="0" w:after="0"/>
              <w:jc w:val="center"/>
              <w:rPr>
                <w:rFonts w:ascii="Calibri" w:hAnsi="Calibri"/>
                <w:sz w:val="18"/>
                <w:szCs w:val="18"/>
              </w:rPr>
            </w:pPr>
            <w:r w:rsidRPr="00E6428A">
              <w:rPr>
                <w:rFonts w:ascii="Calibri" w:hAnsi="Calibri"/>
                <w:sz w:val="18"/>
                <w:szCs w:val="18"/>
              </w:rPr>
              <w:t>205</w:t>
            </w:r>
          </w:p>
          <w:p w:rsidR="0018327E" w:rsidRPr="00E6428A" w:rsidRDefault="0018327E" w:rsidP="0018327E">
            <w:pPr>
              <w:pStyle w:val="StylIwony"/>
              <w:spacing w:before="0" w:after="0"/>
              <w:jc w:val="center"/>
              <w:rPr>
                <w:rFonts w:ascii="Calibri" w:hAnsi="Calibri"/>
                <w:sz w:val="18"/>
                <w:szCs w:val="18"/>
              </w:rPr>
            </w:pPr>
          </w:p>
          <w:p w:rsidR="0018327E" w:rsidRPr="00E6428A" w:rsidRDefault="0018327E" w:rsidP="0018327E">
            <w:pPr>
              <w:pStyle w:val="StylIwony"/>
              <w:spacing w:before="0" w:after="0"/>
              <w:jc w:val="center"/>
              <w:rPr>
                <w:rFonts w:ascii="Calibri" w:hAnsi="Calibri"/>
                <w:sz w:val="18"/>
                <w:szCs w:val="18"/>
              </w:rPr>
            </w:pPr>
            <w:r w:rsidRPr="00E6428A">
              <w:rPr>
                <w:rFonts w:ascii="Calibri" w:hAnsi="Calibri"/>
                <w:sz w:val="18"/>
                <w:szCs w:val="18"/>
              </w:rPr>
              <w:t>235</w:t>
            </w:r>
          </w:p>
        </w:tc>
        <w:tc>
          <w:tcPr>
            <w:tcW w:w="709" w:type="dxa"/>
            <w:tcBorders>
              <w:left w:val="single" w:sz="6" w:space="0" w:color="auto"/>
              <w:bottom w:val="single" w:sz="6" w:space="0" w:color="auto"/>
              <w:right w:val="single" w:sz="6" w:space="0" w:color="auto"/>
            </w:tcBorders>
          </w:tcPr>
          <w:p w:rsidR="0018327E" w:rsidRPr="00E6428A" w:rsidRDefault="0018327E" w:rsidP="0018327E">
            <w:pPr>
              <w:pStyle w:val="StylIwony"/>
              <w:spacing w:before="0" w:after="0"/>
              <w:jc w:val="center"/>
              <w:rPr>
                <w:rFonts w:ascii="Calibri" w:hAnsi="Calibri"/>
                <w:sz w:val="18"/>
                <w:szCs w:val="18"/>
              </w:rPr>
            </w:pPr>
            <w:r w:rsidRPr="00E6428A">
              <w:rPr>
                <w:rFonts w:ascii="Calibri" w:hAnsi="Calibri"/>
                <w:sz w:val="18"/>
                <w:szCs w:val="18"/>
              </w:rPr>
              <w:t>195</w:t>
            </w:r>
          </w:p>
          <w:p w:rsidR="0018327E" w:rsidRPr="00E6428A" w:rsidRDefault="0018327E" w:rsidP="0018327E">
            <w:pPr>
              <w:pStyle w:val="StylIwony"/>
              <w:spacing w:before="0" w:after="0"/>
              <w:jc w:val="center"/>
              <w:rPr>
                <w:rFonts w:ascii="Calibri" w:hAnsi="Calibri"/>
                <w:sz w:val="18"/>
                <w:szCs w:val="18"/>
              </w:rPr>
            </w:pPr>
          </w:p>
          <w:p w:rsidR="0018327E" w:rsidRPr="00E6428A" w:rsidRDefault="0018327E" w:rsidP="0018327E">
            <w:pPr>
              <w:pStyle w:val="StylIwony"/>
              <w:spacing w:before="0" w:after="0"/>
              <w:jc w:val="center"/>
              <w:rPr>
                <w:rFonts w:ascii="Calibri" w:hAnsi="Calibri"/>
                <w:sz w:val="18"/>
                <w:szCs w:val="18"/>
              </w:rPr>
            </w:pPr>
            <w:r w:rsidRPr="00E6428A">
              <w:rPr>
                <w:rFonts w:ascii="Calibri" w:hAnsi="Calibri"/>
                <w:sz w:val="18"/>
                <w:szCs w:val="18"/>
              </w:rPr>
              <w:t>225</w:t>
            </w:r>
          </w:p>
        </w:tc>
        <w:tc>
          <w:tcPr>
            <w:tcW w:w="850" w:type="dxa"/>
            <w:tcBorders>
              <w:left w:val="single" w:sz="6" w:space="0" w:color="auto"/>
              <w:bottom w:val="single" w:sz="6" w:space="0" w:color="auto"/>
              <w:right w:val="single" w:sz="6" w:space="0" w:color="auto"/>
            </w:tcBorders>
          </w:tcPr>
          <w:p w:rsidR="0018327E" w:rsidRPr="00E6428A" w:rsidRDefault="0018327E" w:rsidP="0018327E">
            <w:pPr>
              <w:pStyle w:val="StylIwony"/>
              <w:spacing w:before="0" w:after="0"/>
              <w:jc w:val="center"/>
              <w:rPr>
                <w:rFonts w:ascii="Calibri" w:hAnsi="Calibri"/>
                <w:sz w:val="18"/>
                <w:szCs w:val="18"/>
              </w:rPr>
            </w:pPr>
            <w:r w:rsidRPr="00E6428A">
              <w:rPr>
                <w:rFonts w:ascii="Calibri" w:hAnsi="Calibri"/>
                <w:sz w:val="18"/>
                <w:szCs w:val="18"/>
              </w:rPr>
              <w:t>185</w:t>
            </w:r>
          </w:p>
          <w:p w:rsidR="0018327E" w:rsidRPr="00E6428A" w:rsidRDefault="0018327E" w:rsidP="0018327E">
            <w:pPr>
              <w:pStyle w:val="StylIwony"/>
              <w:spacing w:before="0" w:after="0"/>
              <w:jc w:val="center"/>
              <w:rPr>
                <w:rFonts w:ascii="Calibri" w:hAnsi="Calibri"/>
                <w:sz w:val="18"/>
                <w:szCs w:val="18"/>
              </w:rPr>
            </w:pPr>
          </w:p>
          <w:p w:rsidR="0018327E" w:rsidRPr="00E6428A" w:rsidRDefault="0018327E" w:rsidP="0018327E">
            <w:pPr>
              <w:pStyle w:val="StylIwony"/>
              <w:spacing w:before="0" w:after="0"/>
              <w:jc w:val="center"/>
              <w:rPr>
                <w:rFonts w:ascii="Calibri" w:hAnsi="Calibri"/>
                <w:sz w:val="18"/>
                <w:szCs w:val="18"/>
              </w:rPr>
            </w:pPr>
            <w:r w:rsidRPr="00E6428A">
              <w:rPr>
                <w:rFonts w:ascii="Calibri" w:hAnsi="Calibri"/>
                <w:sz w:val="18"/>
                <w:szCs w:val="18"/>
              </w:rPr>
              <w:t>215</w:t>
            </w:r>
          </w:p>
        </w:tc>
        <w:tc>
          <w:tcPr>
            <w:tcW w:w="1049" w:type="dxa"/>
            <w:tcBorders>
              <w:left w:val="single" w:sz="6" w:space="0" w:color="auto"/>
              <w:bottom w:val="single" w:sz="6" w:space="0" w:color="auto"/>
              <w:right w:val="single" w:sz="6" w:space="0" w:color="auto"/>
            </w:tcBorders>
          </w:tcPr>
          <w:p w:rsidR="0018327E" w:rsidRPr="00E6428A" w:rsidRDefault="0018327E" w:rsidP="0018327E">
            <w:pPr>
              <w:pStyle w:val="StylIwony"/>
              <w:spacing w:before="0" w:after="0"/>
              <w:jc w:val="center"/>
              <w:rPr>
                <w:rFonts w:ascii="Calibri" w:hAnsi="Calibri"/>
                <w:sz w:val="18"/>
                <w:szCs w:val="18"/>
              </w:rPr>
            </w:pPr>
            <w:r w:rsidRPr="00E6428A">
              <w:rPr>
                <w:rFonts w:ascii="Calibri" w:hAnsi="Calibri"/>
                <w:sz w:val="18"/>
                <w:szCs w:val="18"/>
              </w:rPr>
              <w:t>od  360</w:t>
            </w:r>
          </w:p>
          <w:p w:rsidR="0018327E" w:rsidRPr="00E6428A" w:rsidRDefault="0018327E" w:rsidP="0018327E">
            <w:pPr>
              <w:pStyle w:val="StylIwony"/>
              <w:spacing w:before="0" w:after="0"/>
              <w:jc w:val="center"/>
              <w:rPr>
                <w:rFonts w:ascii="Calibri" w:hAnsi="Calibri"/>
                <w:sz w:val="18"/>
                <w:szCs w:val="18"/>
              </w:rPr>
            </w:pPr>
            <w:r w:rsidRPr="00E6428A">
              <w:rPr>
                <w:rFonts w:ascii="Calibri" w:hAnsi="Calibri"/>
                <w:sz w:val="18"/>
                <w:szCs w:val="18"/>
              </w:rPr>
              <w:t>do  490</w:t>
            </w:r>
          </w:p>
          <w:p w:rsidR="0018327E" w:rsidRPr="00E6428A" w:rsidRDefault="0018327E" w:rsidP="0018327E">
            <w:pPr>
              <w:pStyle w:val="StylIwony"/>
              <w:spacing w:before="0" w:after="0"/>
              <w:jc w:val="center"/>
              <w:rPr>
                <w:rFonts w:ascii="Calibri" w:hAnsi="Calibri"/>
                <w:sz w:val="18"/>
                <w:szCs w:val="18"/>
              </w:rPr>
            </w:pPr>
            <w:r w:rsidRPr="00E6428A">
              <w:rPr>
                <w:rFonts w:ascii="Calibri" w:hAnsi="Calibri"/>
                <w:sz w:val="18"/>
                <w:szCs w:val="18"/>
              </w:rPr>
              <w:t>od  420</w:t>
            </w:r>
          </w:p>
          <w:p w:rsidR="0018327E" w:rsidRPr="00E6428A" w:rsidRDefault="0018327E" w:rsidP="0018327E">
            <w:pPr>
              <w:pStyle w:val="StylIwony"/>
              <w:spacing w:before="0" w:after="0"/>
              <w:jc w:val="center"/>
              <w:rPr>
                <w:rFonts w:ascii="Calibri" w:hAnsi="Calibri"/>
                <w:sz w:val="18"/>
                <w:szCs w:val="18"/>
              </w:rPr>
            </w:pPr>
            <w:r w:rsidRPr="00E6428A">
              <w:rPr>
                <w:rFonts w:ascii="Calibri" w:hAnsi="Calibri"/>
                <w:sz w:val="18"/>
                <w:szCs w:val="18"/>
              </w:rPr>
              <w:t>do  550</w:t>
            </w:r>
          </w:p>
        </w:tc>
        <w:tc>
          <w:tcPr>
            <w:tcW w:w="1079" w:type="dxa"/>
            <w:tcBorders>
              <w:left w:val="single" w:sz="6" w:space="0" w:color="auto"/>
              <w:bottom w:val="single" w:sz="6" w:space="0" w:color="auto"/>
              <w:right w:val="single" w:sz="6" w:space="0" w:color="auto"/>
            </w:tcBorders>
          </w:tcPr>
          <w:p w:rsidR="0018327E" w:rsidRPr="00E6428A" w:rsidRDefault="0018327E" w:rsidP="0018327E">
            <w:pPr>
              <w:pStyle w:val="StylIwony"/>
              <w:spacing w:before="0" w:after="0"/>
              <w:jc w:val="center"/>
              <w:rPr>
                <w:rFonts w:ascii="Calibri" w:hAnsi="Calibri"/>
                <w:sz w:val="18"/>
                <w:szCs w:val="18"/>
              </w:rPr>
            </w:pPr>
            <w:r w:rsidRPr="00E6428A">
              <w:rPr>
                <w:rFonts w:ascii="Calibri" w:hAnsi="Calibri"/>
                <w:sz w:val="18"/>
                <w:szCs w:val="18"/>
              </w:rPr>
              <w:t>od  340</w:t>
            </w:r>
          </w:p>
          <w:p w:rsidR="0018327E" w:rsidRPr="00E6428A" w:rsidRDefault="0018327E" w:rsidP="0018327E">
            <w:pPr>
              <w:pStyle w:val="StylIwony"/>
              <w:spacing w:before="0" w:after="0"/>
              <w:jc w:val="center"/>
              <w:rPr>
                <w:rFonts w:ascii="Calibri" w:hAnsi="Calibri"/>
                <w:sz w:val="18"/>
                <w:szCs w:val="18"/>
              </w:rPr>
            </w:pPr>
            <w:r w:rsidRPr="00E6428A">
              <w:rPr>
                <w:rFonts w:ascii="Calibri" w:hAnsi="Calibri"/>
                <w:sz w:val="18"/>
                <w:szCs w:val="18"/>
              </w:rPr>
              <w:t>do  490</w:t>
            </w:r>
          </w:p>
          <w:p w:rsidR="0018327E" w:rsidRPr="00E6428A" w:rsidRDefault="0018327E" w:rsidP="0018327E">
            <w:pPr>
              <w:pStyle w:val="StylIwony"/>
              <w:spacing w:before="0" w:after="0"/>
              <w:jc w:val="center"/>
              <w:rPr>
                <w:rFonts w:ascii="Calibri" w:hAnsi="Calibri"/>
                <w:sz w:val="18"/>
                <w:szCs w:val="18"/>
              </w:rPr>
            </w:pPr>
            <w:r w:rsidRPr="00E6428A">
              <w:rPr>
                <w:rFonts w:ascii="Calibri" w:hAnsi="Calibri"/>
                <w:sz w:val="18"/>
                <w:szCs w:val="18"/>
              </w:rPr>
              <w:t>od  400</w:t>
            </w:r>
          </w:p>
          <w:p w:rsidR="0018327E" w:rsidRPr="00E6428A" w:rsidRDefault="0018327E" w:rsidP="0018327E">
            <w:pPr>
              <w:pStyle w:val="StylIwony"/>
              <w:spacing w:before="0" w:after="0"/>
              <w:jc w:val="center"/>
              <w:rPr>
                <w:rFonts w:ascii="Calibri" w:hAnsi="Calibri"/>
                <w:sz w:val="18"/>
                <w:szCs w:val="18"/>
              </w:rPr>
            </w:pPr>
            <w:r w:rsidRPr="00E6428A">
              <w:rPr>
                <w:rFonts w:ascii="Calibri" w:hAnsi="Calibri"/>
                <w:sz w:val="18"/>
                <w:szCs w:val="18"/>
              </w:rPr>
              <w:t>do  550</w:t>
            </w:r>
          </w:p>
        </w:tc>
      </w:tr>
    </w:tbl>
    <w:p w:rsidR="0018327E" w:rsidRDefault="0018327E" w:rsidP="0018327E">
      <w:pPr>
        <w:rPr>
          <w:rFonts w:ascii="Calibri" w:hAnsi="Calibri"/>
        </w:rPr>
      </w:pPr>
    </w:p>
    <w:p w:rsidR="0018327E" w:rsidRPr="00AA1C97" w:rsidRDefault="0018327E" w:rsidP="0018327E">
      <w:pPr>
        <w:rPr>
          <w:rFonts w:ascii="Calibri" w:hAnsi="Calibri"/>
        </w:rPr>
      </w:pPr>
      <w:r>
        <w:rPr>
          <w:rFonts w:ascii="Calibri" w:hAnsi="Calibri"/>
        </w:rPr>
        <w:tab/>
      </w:r>
      <w:r w:rsidRPr="00AA1C97">
        <w:rPr>
          <w:rFonts w:ascii="Calibri" w:hAnsi="Calibri"/>
        </w:rPr>
        <w:t>Kształtowniki mogą być dostarczone luzem lub w wiązkach z tym, że kształtowniki o  masie do 25 kg/m dostarcza się tylko w wiązkach.</w:t>
      </w:r>
    </w:p>
    <w:p w:rsidR="0018327E" w:rsidRPr="00AA1C97" w:rsidRDefault="0018327E" w:rsidP="0018327E">
      <w:pPr>
        <w:rPr>
          <w:rFonts w:ascii="Calibri" w:hAnsi="Calibri"/>
        </w:rPr>
      </w:pPr>
      <w:r w:rsidRPr="000276F9">
        <w:rPr>
          <w:rFonts w:ascii="Calibri" w:hAnsi="Calibri"/>
          <w:b/>
        </w:rPr>
        <w:t>2.3.4.</w:t>
      </w:r>
      <w:r w:rsidRPr="00AA1C97">
        <w:rPr>
          <w:rFonts w:ascii="Calibri" w:hAnsi="Calibri"/>
        </w:rPr>
        <w:t xml:space="preserve"> Wymagania dla elementów połączeniowych do mocowania elementów barier </w:t>
      </w:r>
      <w:r w:rsidRPr="00AA1C97">
        <w:rPr>
          <w:rFonts w:ascii="Calibri" w:hAnsi="Calibri"/>
        </w:rPr>
        <w:tab/>
        <w:t xml:space="preserve">   </w:t>
      </w:r>
    </w:p>
    <w:p w:rsidR="0018327E" w:rsidRPr="00AA1C97" w:rsidRDefault="0018327E" w:rsidP="0018327E">
      <w:pPr>
        <w:rPr>
          <w:rFonts w:ascii="Calibri" w:hAnsi="Calibri"/>
        </w:rPr>
      </w:pPr>
      <w:r w:rsidRPr="00AA1C97">
        <w:rPr>
          <w:rFonts w:ascii="Calibri" w:hAnsi="Calibri"/>
        </w:rPr>
        <w:tab/>
        <w:t>Wszystkie drobne ocynkowane metalowe elementy połączeniowe przewidziane do mocowania między sobą barier i płotków jak: śruby, wkręty, nakrętki itp. powinny być czyste, gładkie, bez pęknięć, naderwań, rozwarstwień i wypukłych karbów.</w:t>
      </w:r>
    </w:p>
    <w:p w:rsidR="0018327E" w:rsidRPr="00AA1C97" w:rsidRDefault="0018327E" w:rsidP="0018327E">
      <w:pPr>
        <w:rPr>
          <w:rFonts w:ascii="Calibri" w:hAnsi="Calibri"/>
        </w:rPr>
      </w:pPr>
      <w:r w:rsidRPr="00AA1C97">
        <w:rPr>
          <w:rFonts w:ascii="Calibri" w:hAnsi="Calibri"/>
        </w:rPr>
        <w:tab/>
        <w:t>Własności mechaniczne elementów połączeniowych powinny odpowiadać wymaganiom PN-M-82054, PN-M-82054-03 lub innej normy uzgodnionej.</w:t>
      </w:r>
    </w:p>
    <w:p w:rsidR="0018327E" w:rsidRPr="00AA1C97" w:rsidRDefault="0018327E" w:rsidP="0018327E">
      <w:pPr>
        <w:rPr>
          <w:rFonts w:ascii="Calibri" w:hAnsi="Calibri"/>
        </w:rPr>
      </w:pPr>
      <w:r w:rsidRPr="00AA1C97">
        <w:rPr>
          <w:rFonts w:ascii="Calibri" w:hAnsi="Calibri"/>
        </w:rPr>
        <w:tab/>
        <w:t>Dostawa może być dostarczona w pudełkach tekturowych, pojemnikach blaszanych lub paletach w zależności od wielkości i masy wyrobów.</w:t>
      </w:r>
    </w:p>
    <w:p w:rsidR="0018327E" w:rsidRPr="00AA1C97" w:rsidRDefault="0018327E" w:rsidP="0018327E">
      <w:pPr>
        <w:rPr>
          <w:rFonts w:ascii="Calibri" w:hAnsi="Calibri"/>
        </w:rPr>
      </w:pPr>
      <w:r w:rsidRPr="00AA1C97">
        <w:rPr>
          <w:rFonts w:ascii="Calibri" w:hAnsi="Calibri"/>
        </w:rPr>
        <w:tab/>
        <w:t>Śruby, wkręty, nakrętki itp. powinny być przechowywane w pomieszczeniach suchych, z dala od materiałów działających korodująco i w warunkach zabezpieczających przed uszkodzeniem.</w:t>
      </w:r>
    </w:p>
    <w:p w:rsidR="0018327E" w:rsidRPr="00AA1C97" w:rsidRDefault="0018327E" w:rsidP="0018327E">
      <w:pPr>
        <w:rPr>
          <w:rFonts w:ascii="Calibri" w:hAnsi="Calibri"/>
        </w:rPr>
      </w:pPr>
      <w:r w:rsidRPr="00AA1C97">
        <w:rPr>
          <w:rFonts w:ascii="Calibri" w:hAnsi="Calibri"/>
        </w:rPr>
        <w:tab/>
        <w:t>Minimalna grubość powłoki cynkowej powinna wynosić w warunkach użytkowania:</w:t>
      </w:r>
    </w:p>
    <w:p w:rsidR="0018327E" w:rsidRPr="00AA1C97" w:rsidRDefault="0018327E" w:rsidP="0018327E">
      <w:pPr>
        <w:rPr>
          <w:rFonts w:ascii="Calibri" w:hAnsi="Calibri"/>
        </w:rPr>
      </w:pPr>
      <w:r w:rsidRPr="00AA1C97">
        <w:rPr>
          <w:rFonts w:ascii="Calibri" w:hAnsi="Calibri"/>
        </w:rPr>
        <w:t xml:space="preserve">a) umiarkowanych - 8 </w:t>
      </w:r>
      <w:r w:rsidRPr="00AA1C97">
        <w:rPr>
          <w:rFonts w:ascii="Calibri" w:hAnsi="Calibri"/>
        </w:rPr>
        <w:sym w:font="Courier New" w:char="00B5"/>
      </w:r>
      <w:r w:rsidRPr="00AA1C97">
        <w:rPr>
          <w:rFonts w:ascii="Calibri" w:hAnsi="Calibri"/>
        </w:rPr>
        <w:t>m,</w:t>
      </w:r>
    </w:p>
    <w:p w:rsidR="0018327E" w:rsidRPr="00AA1C97" w:rsidRDefault="0018327E" w:rsidP="0018327E">
      <w:pPr>
        <w:rPr>
          <w:rFonts w:ascii="Calibri" w:hAnsi="Calibri"/>
        </w:rPr>
      </w:pPr>
      <w:r w:rsidRPr="00AA1C97">
        <w:rPr>
          <w:rFonts w:ascii="Calibri" w:hAnsi="Calibri"/>
        </w:rPr>
        <w:t xml:space="preserve">b) ciężkich             - 12 </w:t>
      </w:r>
      <w:r w:rsidRPr="00AA1C97">
        <w:rPr>
          <w:rFonts w:ascii="Calibri" w:hAnsi="Calibri"/>
        </w:rPr>
        <w:sym w:font="Courier New" w:char="00B5"/>
      </w:r>
      <w:r w:rsidRPr="00AA1C97">
        <w:rPr>
          <w:rFonts w:ascii="Calibri" w:hAnsi="Calibri"/>
        </w:rPr>
        <w:t>m,</w:t>
      </w:r>
    </w:p>
    <w:p w:rsidR="0018327E" w:rsidRPr="00AA1C97" w:rsidRDefault="0018327E" w:rsidP="0018327E">
      <w:pPr>
        <w:rPr>
          <w:rFonts w:ascii="Calibri" w:hAnsi="Calibri"/>
        </w:rPr>
      </w:pPr>
      <w:r w:rsidRPr="00AA1C97">
        <w:rPr>
          <w:rFonts w:ascii="Calibri" w:hAnsi="Calibri"/>
        </w:rPr>
        <w:t>zgodnie z określeniem agresywności korozyjnej</w:t>
      </w:r>
      <w:r>
        <w:rPr>
          <w:rFonts w:ascii="Calibri" w:hAnsi="Calibri"/>
        </w:rPr>
        <w:t xml:space="preserve"> środowisk według PN-H-04651</w:t>
      </w:r>
      <w:r w:rsidRPr="00AA1C97">
        <w:rPr>
          <w:rFonts w:ascii="Calibri" w:hAnsi="Calibri"/>
        </w:rPr>
        <w:t>.</w:t>
      </w:r>
    </w:p>
    <w:p w:rsidR="0018327E" w:rsidRPr="00AA1C97" w:rsidRDefault="0018327E" w:rsidP="0018327E">
      <w:pPr>
        <w:rPr>
          <w:rFonts w:ascii="Calibri" w:hAnsi="Calibri"/>
        </w:rPr>
      </w:pPr>
      <w:r w:rsidRPr="000276F9">
        <w:rPr>
          <w:rFonts w:ascii="Calibri" w:hAnsi="Calibri"/>
          <w:b/>
        </w:rPr>
        <w:t>2.3.5.</w:t>
      </w:r>
      <w:r w:rsidRPr="00AA1C97">
        <w:rPr>
          <w:rFonts w:ascii="Calibri" w:hAnsi="Calibri"/>
        </w:rPr>
        <w:t xml:space="preserve"> Wymagania dla drutu spawalniczego</w:t>
      </w:r>
    </w:p>
    <w:p w:rsidR="0018327E" w:rsidRPr="00AA1C97" w:rsidRDefault="0018327E" w:rsidP="0018327E">
      <w:pPr>
        <w:rPr>
          <w:rFonts w:ascii="Calibri" w:hAnsi="Calibri"/>
        </w:rPr>
      </w:pPr>
      <w:r w:rsidRPr="00AA1C97">
        <w:rPr>
          <w:rFonts w:ascii="Calibri" w:hAnsi="Calibri"/>
        </w:rPr>
        <w:tab/>
        <w:t>Jeśli dokumentacja projektowa lub Inżynier przewidują wykonanie spawanych połączeń elementów ogrodzenia, to drut spawalniczy powinien spełniać wymagania PN-M-69420, odpowiednio dla spawania gazowego acetylenowo-tlenowego lub innego zaakceptowanego przez Inżyniera.</w:t>
      </w:r>
    </w:p>
    <w:p w:rsidR="0018327E" w:rsidRPr="00AA1C97" w:rsidRDefault="0018327E" w:rsidP="0018327E">
      <w:pPr>
        <w:rPr>
          <w:rFonts w:ascii="Calibri" w:hAnsi="Calibri"/>
        </w:rPr>
      </w:pPr>
      <w:r w:rsidRPr="00AA1C97">
        <w:rPr>
          <w:rFonts w:ascii="Calibri" w:hAnsi="Calibri"/>
        </w:rPr>
        <w:tab/>
        <w:t>Średnica drutu powinna wynosić połowę grubości elementów łączonych lub od 6 do 8 mm, gdy elementy łączone są grubsze niż 15 mm.</w:t>
      </w:r>
    </w:p>
    <w:p w:rsidR="0018327E" w:rsidRPr="00AA1C97" w:rsidRDefault="0018327E" w:rsidP="0018327E">
      <w:pPr>
        <w:rPr>
          <w:rFonts w:ascii="Calibri" w:hAnsi="Calibri"/>
        </w:rPr>
      </w:pPr>
      <w:r w:rsidRPr="00AA1C97">
        <w:rPr>
          <w:rFonts w:ascii="Calibri" w:hAnsi="Calibri"/>
        </w:rPr>
        <w:tab/>
        <w:t>Powierzchnia drutu powinna być czysta i gładka, bez rdzy, zgorzeliny, brudu lub smarów.</w:t>
      </w:r>
    </w:p>
    <w:p w:rsidR="0018327E" w:rsidRPr="00AA1C97" w:rsidRDefault="0018327E" w:rsidP="0018327E">
      <w:pPr>
        <w:rPr>
          <w:rFonts w:ascii="Calibri" w:hAnsi="Calibri"/>
        </w:rPr>
      </w:pPr>
      <w:r w:rsidRPr="00AA1C97">
        <w:rPr>
          <w:rFonts w:ascii="Calibri" w:hAnsi="Calibri"/>
        </w:rPr>
        <w:tab/>
        <w:t>Wytrzymałość drutów na rozciąganie powinna wynosić:</w:t>
      </w:r>
    </w:p>
    <w:p w:rsidR="0018327E" w:rsidRPr="00AA1C97" w:rsidRDefault="0018327E" w:rsidP="0018327E">
      <w:pPr>
        <w:rPr>
          <w:rFonts w:ascii="Calibri" w:hAnsi="Calibri"/>
        </w:rPr>
      </w:pPr>
      <w:r w:rsidRPr="00AA1C97">
        <w:rPr>
          <w:rFonts w:ascii="Calibri" w:hAnsi="Calibri"/>
        </w:rPr>
        <w:tab/>
        <w:t>średnica drutu - mm</w:t>
      </w:r>
      <w:r w:rsidRPr="00AA1C97">
        <w:rPr>
          <w:rFonts w:ascii="Calibri" w:hAnsi="Calibri"/>
        </w:rPr>
        <w:tab/>
      </w:r>
      <w:r w:rsidRPr="00AA1C97">
        <w:rPr>
          <w:rFonts w:ascii="Calibri" w:hAnsi="Calibri"/>
        </w:rPr>
        <w:tab/>
        <w:t>wytrzymałość na rozciąganie</w:t>
      </w:r>
    </w:p>
    <w:p w:rsidR="0018327E" w:rsidRPr="00AA1C97" w:rsidRDefault="0018327E" w:rsidP="0018327E">
      <w:pPr>
        <w:rPr>
          <w:rFonts w:ascii="Calibri" w:hAnsi="Calibri"/>
        </w:rPr>
      </w:pPr>
      <w:r w:rsidRPr="00AA1C97">
        <w:rPr>
          <w:rFonts w:ascii="Calibri" w:hAnsi="Calibri"/>
        </w:rPr>
        <w:tab/>
      </w:r>
      <w:r w:rsidRPr="00AA1C97">
        <w:rPr>
          <w:rFonts w:ascii="Calibri" w:hAnsi="Calibri"/>
        </w:rPr>
        <w:tab/>
        <w:t>od 1,2 do 1,6</w:t>
      </w:r>
      <w:r w:rsidRPr="00AA1C97">
        <w:rPr>
          <w:rFonts w:ascii="Calibri" w:hAnsi="Calibri"/>
        </w:rPr>
        <w:tab/>
      </w:r>
      <w:r w:rsidRPr="00AA1C97">
        <w:rPr>
          <w:rFonts w:ascii="Calibri" w:hAnsi="Calibri"/>
        </w:rPr>
        <w:tab/>
        <w:t xml:space="preserve">      od 750 do 1200 MPa</w:t>
      </w:r>
    </w:p>
    <w:p w:rsidR="0018327E" w:rsidRPr="00AA1C97" w:rsidRDefault="0018327E" w:rsidP="0018327E">
      <w:pPr>
        <w:rPr>
          <w:rFonts w:ascii="Calibri" w:hAnsi="Calibri"/>
        </w:rPr>
      </w:pPr>
      <w:r w:rsidRPr="00AA1C97">
        <w:rPr>
          <w:rFonts w:ascii="Calibri" w:hAnsi="Calibri"/>
        </w:rPr>
        <w:tab/>
      </w:r>
      <w:r w:rsidRPr="00AA1C97">
        <w:rPr>
          <w:rFonts w:ascii="Calibri" w:hAnsi="Calibri"/>
        </w:rPr>
        <w:tab/>
        <w:t>od 2,0 do 3,0</w:t>
      </w:r>
      <w:r w:rsidRPr="00AA1C97">
        <w:rPr>
          <w:rFonts w:ascii="Calibri" w:hAnsi="Calibri"/>
        </w:rPr>
        <w:tab/>
      </w:r>
      <w:r w:rsidRPr="00AA1C97">
        <w:rPr>
          <w:rFonts w:ascii="Calibri" w:hAnsi="Calibri"/>
        </w:rPr>
        <w:tab/>
        <w:t xml:space="preserve">      od 550 do 1000 MPa</w:t>
      </w:r>
    </w:p>
    <w:p w:rsidR="0018327E" w:rsidRPr="00AA1C97" w:rsidRDefault="0018327E" w:rsidP="0018327E">
      <w:pPr>
        <w:rPr>
          <w:rFonts w:ascii="Calibri" w:hAnsi="Calibri"/>
        </w:rPr>
      </w:pPr>
      <w:r w:rsidRPr="00AA1C97">
        <w:rPr>
          <w:rFonts w:ascii="Calibri" w:hAnsi="Calibri"/>
        </w:rPr>
        <w:tab/>
      </w:r>
      <w:r w:rsidRPr="00AA1C97">
        <w:rPr>
          <w:rFonts w:ascii="Calibri" w:hAnsi="Calibri"/>
        </w:rPr>
        <w:tab/>
        <w:t>powyżej 3,0</w:t>
      </w:r>
      <w:r w:rsidRPr="00AA1C97">
        <w:rPr>
          <w:rFonts w:ascii="Calibri" w:hAnsi="Calibri"/>
        </w:rPr>
        <w:tab/>
      </w:r>
      <w:r w:rsidRPr="00AA1C97">
        <w:rPr>
          <w:rFonts w:ascii="Calibri" w:hAnsi="Calibri"/>
        </w:rPr>
        <w:tab/>
        <w:t xml:space="preserve">      od 450 do  900  MPa.</w:t>
      </w:r>
    </w:p>
    <w:p w:rsidR="0018327E" w:rsidRPr="00AA1C97" w:rsidRDefault="0018327E" w:rsidP="0018327E">
      <w:pPr>
        <w:rPr>
          <w:rFonts w:ascii="Calibri" w:hAnsi="Calibri"/>
        </w:rPr>
      </w:pPr>
      <w:r w:rsidRPr="00AA1C97">
        <w:rPr>
          <w:rFonts w:ascii="Calibri" w:hAnsi="Calibri"/>
        </w:rPr>
        <w:tab/>
        <w:t xml:space="preserve">Druty mogą być dostarczane w kręgach, na szpulach lub w pakietach. Kręgi drutów powinny składać się z jednego odcinka drutu, a zwoje nie powinny być splątane. Łączna maksymalna masa pakowanych drutów i prętów nie powinna przekraczać 50 kg netto. </w:t>
      </w:r>
    </w:p>
    <w:p w:rsidR="0018327E" w:rsidRPr="00AA1C97" w:rsidRDefault="0018327E" w:rsidP="0018327E">
      <w:pPr>
        <w:rPr>
          <w:rFonts w:ascii="Calibri" w:hAnsi="Calibri"/>
        </w:rPr>
      </w:pPr>
      <w:r w:rsidRPr="00AA1C97">
        <w:rPr>
          <w:rFonts w:ascii="Calibri" w:hAnsi="Calibri"/>
        </w:rPr>
        <w:tab/>
        <w:t>Druty i pręty powinny być przechowywane w suchych pomieszczeniach, wolnych od czynników wywołujących korozję.</w:t>
      </w:r>
    </w:p>
    <w:p w:rsidR="0018327E" w:rsidRPr="00AA1C97" w:rsidRDefault="0018327E" w:rsidP="0018327E">
      <w:pPr>
        <w:rPr>
          <w:rFonts w:ascii="Calibri" w:hAnsi="Calibri"/>
        </w:rPr>
      </w:pPr>
      <w:r w:rsidRPr="000276F9">
        <w:rPr>
          <w:rFonts w:ascii="Calibri" w:hAnsi="Calibri"/>
          <w:b/>
        </w:rPr>
        <w:t>2.3.6.</w:t>
      </w:r>
      <w:r w:rsidRPr="00AA1C97">
        <w:rPr>
          <w:rFonts w:ascii="Calibri" w:hAnsi="Calibri"/>
        </w:rPr>
        <w:t xml:space="preserve"> Wymagania dla powłok metalizacyjnych cynkowych</w:t>
      </w:r>
    </w:p>
    <w:p w:rsidR="0018327E" w:rsidRPr="00AA1C97" w:rsidRDefault="0018327E" w:rsidP="0018327E">
      <w:pPr>
        <w:rPr>
          <w:rFonts w:ascii="Calibri" w:hAnsi="Calibri"/>
        </w:rPr>
      </w:pPr>
      <w:r w:rsidRPr="00AA1C97">
        <w:rPr>
          <w:rFonts w:ascii="Calibri" w:hAnsi="Calibri"/>
        </w:rPr>
        <w:tab/>
        <w:t>W przypadku zastosowania powłoki metalizacyjnej cynkowej na konstrukcjach stalowych, powinna ona być z cynku o czystości nie mniejszej niż 99,5% i odpowiadać wymaganiom BN-89/1076-02. Minimalna grubość powłoki cynkowej powinna być zgodna z wymaganiami tablicy 9.</w:t>
      </w:r>
    </w:p>
    <w:p w:rsidR="0018327E" w:rsidRPr="00AA1C97" w:rsidRDefault="0018327E" w:rsidP="0018327E">
      <w:pPr>
        <w:ind w:left="709"/>
        <w:rPr>
          <w:rFonts w:ascii="Calibri" w:hAnsi="Calibri"/>
        </w:rPr>
      </w:pPr>
      <w:r w:rsidRPr="00AA1C97">
        <w:rPr>
          <w:rFonts w:ascii="Calibri" w:hAnsi="Calibri"/>
        </w:rPr>
        <w:t xml:space="preserve">Tablica 9. Minimalna grubość powłoki metalizacyjnej cynkowej narażonej na działanie </w:t>
      </w:r>
    </w:p>
    <w:p w:rsidR="0018327E" w:rsidRPr="00AA1C97" w:rsidRDefault="0018327E" w:rsidP="0018327E">
      <w:pPr>
        <w:rPr>
          <w:rFonts w:ascii="Calibri" w:hAnsi="Calibri"/>
        </w:rPr>
      </w:pPr>
      <w:r w:rsidRPr="00AA1C97">
        <w:rPr>
          <w:rFonts w:ascii="Calibri" w:hAnsi="Calibri"/>
        </w:rPr>
        <w:t xml:space="preserve">                   korozji atmosferycznej wg BN-89/1076-02</w:t>
      </w:r>
    </w:p>
    <w:tbl>
      <w:tblPr>
        <w:tblW w:w="0" w:type="auto"/>
        <w:tblInd w:w="779" w:type="dxa"/>
        <w:tblLayout w:type="fixed"/>
        <w:tblCellMar>
          <w:left w:w="70" w:type="dxa"/>
          <w:right w:w="70" w:type="dxa"/>
        </w:tblCellMar>
        <w:tblLook w:val="0000"/>
      </w:tblPr>
      <w:tblGrid>
        <w:gridCol w:w="2905"/>
        <w:gridCol w:w="2268"/>
        <w:gridCol w:w="2268"/>
      </w:tblGrid>
      <w:tr w:rsidR="0018327E" w:rsidRPr="005C4089" w:rsidTr="0018327E">
        <w:tc>
          <w:tcPr>
            <w:tcW w:w="2905" w:type="dxa"/>
            <w:tcBorders>
              <w:top w:val="single" w:sz="6" w:space="0" w:color="auto"/>
              <w:left w:val="single" w:sz="6" w:space="0" w:color="auto"/>
            </w:tcBorders>
          </w:tcPr>
          <w:p w:rsidR="0018327E" w:rsidRPr="005C4089" w:rsidRDefault="0018327E" w:rsidP="0018327E">
            <w:pPr>
              <w:pStyle w:val="StylIwony"/>
              <w:spacing w:after="0"/>
              <w:jc w:val="center"/>
              <w:rPr>
                <w:rFonts w:ascii="Calibri" w:hAnsi="Calibri"/>
                <w:sz w:val="18"/>
                <w:szCs w:val="18"/>
              </w:rPr>
            </w:pPr>
            <w:r w:rsidRPr="005C4089">
              <w:rPr>
                <w:rFonts w:asciiTheme="minorHAnsi" w:hAnsiTheme="minorHAnsi"/>
                <w:sz w:val="18"/>
                <w:szCs w:val="18"/>
              </w:rPr>
              <w:tab/>
            </w:r>
            <w:r w:rsidRPr="005C4089">
              <w:rPr>
                <w:rFonts w:ascii="Calibri" w:hAnsi="Calibri"/>
                <w:sz w:val="18"/>
                <w:szCs w:val="18"/>
              </w:rPr>
              <w:t xml:space="preserve">Agresywność korozyjna atmosfery                                      </w:t>
            </w:r>
          </w:p>
        </w:tc>
        <w:tc>
          <w:tcPr>
            <w:tcW w:w="4536" w:type="dxa"/>
            <w:gridSpan w:val="2"/>
            <w:tcBorders>
              <w:top w:val="single" w:sz="6" w:space="0" w:color="auto"/>
              <w:left w:val="single" w:sz="6" w:space="0" w:color="auto"/>
              <w:bottom w:val="single" w:sz="6" w:space="0" w:color="auto"/>
              <w:right w:val="single" w:sz="6" w:space="0" w:color="auto"/>
            </w:tcBorders>
          </w:tcPr>
          <w:p w:rsidR="0018327E" w:rsidRPr="005C4089" w:rsidRDefault="0018327E" w:rsidP="0018327E">
            <w:pPr>
              <w:pStyle w:val="StylIwony"/>
              <w:spacing w:before="0" w:after="0"/>
              <w:jc w:val="center"/>
              <w:rPr>
                <w:rFonts w:ascii="Calibri" w:hAnsi="Calibri"/>
                <w:sz w:val="18"/>
                <w:szCs w:val="18"/>
              </w:rPr>
            </w:pPr>
            <w:r w:rsidRPr="005C4089">
              <w:rPr>
                <w:rFonts w:ascii="Calibri" w:hAnsi="Calibri"/>
                <w:sz w:val="18"/>
                <w:szCs w:val="18"/>
              </w:rPr>
              <w:t xml:space="preserve">Minimalna grubość powłoki,  </w:t>
            </w:r>
            <w:r w:rsidRPr="005C4089">
              <w:rPr>
                <w:rFonts w:ascii="Calibri" w:hAnsi="Calibri"/>
                <w:sz w:val="18"/>
                <w:szCs w:val="18"/>
              </w:rPr>
              <w:sym w:font="Courier New" w:char="00B5"/>
            </w:r>
            <w:r w:rsidRPr="005C4089">
              <w:rPr>
                <w:rFonts w:ascii="Calibri" w:hAnsi="Calibri"/>
                <w:sz w:val="18"/>
                <w:szCs w:val="18"/>
              </w:rPr>
              <w:t>m,</w:t>
            </w:r>
          </w:p>
          <w:p w:rsidR="0018327E" w:rsidRPr="005C4089" w:rsidRDefault="0018327E" w:rsidP="0018327E">
            <w:pPr>
              <w:pStyle w:val="StylIwony"/>
              <w:spacing w:before="0" w:after="0"/>
              <w:jc w:val="center"/>
              <w:rPr>
                <w:rFonts w:ascii="Calibri" w:hAnsi="Calibri"/>
                <w:sz w:val="18"/>
                <w:szCs w:val="18"/>
              </w:rPr>
            </w:pPr>
            <w:r w:rsidRPr="005C4089">
              <w:rPr>
                <w:rFonts w:ascii="Calibri" w:hAnsi="Calibri"/>
                <w:sz w:val="18"/>
                <w:szCs w:val="18"/>
              </w:rPr>
              <w:t>przy wymaganej trwałości w latach</w:t>
            </w:r>
          </w:p>
        </w:tc>
      </w:tr>
      <w:tr w:rsidR="0018327E" w:rsidRPr="005C4089" w:rsidTr="0018327E">
        <w:tc>
          <w:tcPr>
            <w:tcW w:w="2905" w:type="dxa"/>
            <w:tcBorders>
              <w:left w:val="single" w:sz="6" w:space="0" w:color="auto"/>
              <w:bottom w:val="double" w:sz="6" w:space="0" w:color="auto"/>
            </w:tcBorders>
          </w:tcPr>
          <w:p w:rsidR="0018327E" w:rsidRPr="005C4089" w:rsidRDefault="0018327E" w:rsidP="0018327E">
            <w:pPr>
              <w:pStyle w:val="StylIwony"/>
              <w:spacing w:before="0" w:after="0"/>
              <w:jc w:val="center"/>
              <w:rPr>
                <w:rFonts w:ascii="Calibri" w:hAnsi="Calibri"/>
                <w:sz w:val="18"/>
                <w:szCs w:val="18"/>
              </w:rPr>
            </w:pPr>
            <w:r>
              <w:rPr>
                <w:rFonts w:asciiTheme="minorHAnsi" w:hAnsiTheme="minorHAnsi"/>
                <w:sz w:val="18"/>
                <w:szCs w:val="18"/>
              </w:rPr>
              <w:t>wg PN-H-04651</w:t>
            </w:r>
          </w:p>
        </w:tc>
        <w:tc>
          <w:tcPr>
            <w:tcW w:w="2268" w:type="dxa"/>
            <w:tcBorders>
              <w:top w:val="single" w:sz="6" w:space="0" w:color="auto"/>
              <w:left w:val="single" w:sz="6" w:space="0" w:color="auto"/>
              <w:bottom w:val="double" w:sz="6" w:space="0" w:color="auto"/>
              <w:right w:val="single" w:sz="6" w:space="0" w:color="auto"/>
            </w:tcBorders>
          </w:tcPr>
          <w:p w:rsidR="0018327E" w:rsidRPr="005C4089" w:rsidRDefault="0018327E" w:rsidP="0018327E">
            <w:pPr>
              <w:pStyle w:val="StylIwony"/>
              <w:spacing w:before="0" w:after="0"/>
              <w:jc w:val="center"/>
              <w:rPr>
                <w:rFonts w:ascii="Calibri" w:hAnsi="Calibri"/>
                <w:sz w:val="18"/>
                <w:szCs w:val="18"/>
              </w:rPr>
            </w:pPr>
            <w:r w:rsidRPr="005C4089">
              <w:rPr>
                <w:rFonts w:ascii="Calibri" w:hAnsi="Calibri"/>
                <w:sz w:val="18"/>
                <w:szCs w:val="18"/>
              </w:rPr>
              <w:t>10</w:t>
            </w:r>
          </w:p>
        </w:tc>
        <w:tc>
          <w:tcPr>
            <w:tcW w:w="2268" w:type="dxa"/>
            <w:tcBorders>
              <w:top w:val="single" w:sz="6" w:space="0" w:color="auto"/>
              <w:left w:val="single" w:sz="6" w:space="0" w:color="auto"/>
              <w:bottom w:val="double" w:sz="6" w:space="0" w:color="auto"/>
              <w:right w:val="single" w:sz="6" w:space="0" w:color="auto"/>
            </w:tcBorders>
          </w:tcPr>
          <w:p w:rsidR="0018327E" w:rsidRPr="005C4089" w:rsidRDefault="0018327E" w:rsidP="0018327E">
            <w:pPr>
              <w:pStyle w:val="StylIwony"/>
              <w:spacing w:before="0" w:after="0"/>
              <w:jc w:val="center"/>
              <w:rPr>
                <w:rFonts w:ascii="Calibri" w:hAnsi="Calibri"/>
                <w:sz w:val="18"/>
                <w:szCs w:val="18"/>
              </w:rPr>
            </w:pPr>
            <w:r w:rsidRPr="005C4089">
              <w:rPr>
                <w:rFonts w:ascii="Calibri" w:hAnsi="Calibri"/>
                <w:sz w:val="18"/>
                <w:szCs w:val="18"/>
              </w:rPr>
              <w:t>20</w:t>
            </w:r>
          </w:p>
        </w:tc>
      </w:tr>
      <w:tr w:rsidR="0018327E" w:rsidRPr="005C4089" w:rsidTr="0018327E">
        <w:tc>
          <w:tcPr>
            <w:tcW w:w="2905" w:type="dxa"/>
            <w:tcBorders>
              <w:left w:val="single" w:sz="6" w:space="0" w:color="auto"/>
              <w:bottom w:val="single" w:sz="6" w:space="0" w:color="auto"/>
              <w:right w:val="single" w:sz="6" w:space="0" w:color="auto"/>
            </w:tcBorders>
          </w:tcPr>
          <w:p w:rsidR="0018327E" w:rsidRPr="005C4089" w:rsidRDefault="0018327E" w:rsidP="0018327E">
            <w:pPr>
              <w:pStyle w:val="StylIwony"/>
              <w:spacing w:before="60" w:after="0"/>
              <w:rPr>
                <w:rFonts w:ascii="Calibri" w:hAnsi="Calibri"/>
                <w:sz w:val="18"/>
                <w:szCs w:val="18"/>
              </w:rPr>
            </w:pPr>
            <w:r w:rsidRPr="005C4089">
              <w:rPr>
                <w:rFonts w:ascii="Calibri" w:hAnsi="Calibri"/>
                <w:sz w:val="18"/>
                <w:szCs w:val="18"/>
              </w:rPr>
              <w:t xml:space="preserve">     Umiarkowana</w:t>
            </w:r>
          </w:p>
          <w:p w:rsidR="0018327E" w:rsidRPr="005C4089" w:rsidRDefault="0018327E" w:rsidP="0018327E">
            <w:pPr>
              <w:pStyle w:val="StylIwony"/>
              <w:spacing w:before="0" w:after="60"/>
              <w:rPr>
                <w:rFonts w:ascii="Calibri" w:hAnsi="Calibri"/>
                <w:sz w:val="18"/>
                <w:szCs w:val="18"/>
              </w:rPr>
            </w:pPr>
            <w:r w:rsidRPr="005C4089">
              <w:rPr>
                <w:rFonts w:ascii="Calibri" w:hAnsi="Calibri"/>
                <w:sz w:val="18"/>
                <w:szCs w:val="18"/>
              </w:rPr>
              <w:t xml:space="preserve">     Ciężka</w:t>
            </w:r>
          </w:p>
        </w:tc>
        <w:tc>
          <w:tcPr>
            <w:tcW w:w="2268" w:type="dxa"/>
            <w:tcBorders>
              <w:left w:val="single" w:sz="6" w:space="0" w:color="auto"/>
              <w:bottom w:val="single" w:sz="6" w:space="0" w:color="auto"/>
              <w:right w:val="single" w:sz="6" w:space="0" w:color="auto"/>
            </w:tcBorders>
          </w:tcPr>
          <w:p w:rsidR="0018327E" w:rsidRPr="005C4089" w:rsidRDefault="0018327E" w:rsidP="0018327E">
            <w:pPr>
              <w:pStyle w:val="StylIwony"/>
              <w:spacing w:before="60" w:after="0"/>
              <w:jc w:val="center"/>
              <w:rPr>
                <w:rFonts w:ascii="Calibri" w:hAnsi="Calibri"/>
                <w:sz w:val="18"/>
                <w:szCs w:val="18"/>
              </w:rPr>
            </w:pPr>
            <w:r w:rsidRPr="005C4089">
              <w:rPr>
                <w:rFonts w:ascii="Calibri" w:hAnsi="Calibri"/>
                <w:sz w:val="18"/>
                <w:szCs w:val="18"/>
              </w:rPr>
              <w:t>120</w:t>
            </w:r>
          </w:p>
          <w:p w:rsidR="0018327E" w:rsidRPr="005C4089" w:rsidRDefault="0018327E" w:rsidP="0018327E">
            <w:pPr>
              <w:pStyle w:val="StylIwony"/>
              <w:spacing w:before="0" w:after="0"/>
              <w:jc w:val="center"/>
              <w:rPr>
                <w:rFonts w:ascii="Calibri" w:hAnsi="Calibri"/>
                <w:sz w:val="18"/>
                <w:szCs w:val="18"/>
              </w:rPr>
            </w:pPr>
            <w:r w:rsidRPr="005C4089">
              <w:rPr>
                <w:rFonts w:ascii="Calibri" w:hAnsi="Calibri"/>
                <w:sz w:val="18"/>
                <w:szCs w:val="18"/>
              </w:rPr>
              <w:t>160 M</w:t>
            </w:r>
          </w:p>
        </w:tc>
        <w:tc>
          <w:tcPr>
            <w:tcW w:w="2268" w:type="dxa"/>
            <w:tcBorders>
              <w:left w:val="single" w:sz="6" w:space="0" w:color="auto"/>
              <w:bottom w:val="single" w:sz="6" w:space="0" w:color="auto"/>
              <w:right w:val="single" w:sz="6" w:space="0" w:color="auto"/>
            </w:tcBorders>
          </w:tcPr>
          <w:p w:rsidR="0018327E" w:rsidRPr="005C4089" w:rsidRDefault="0018327E" w:rsidP="0018327E">
            <w:pPr>
              <w:pStyle w:val="StylIwony"/>
              <w:spacing w:before="60" w:after="0"/>
              <w:jc w:val="center"/>
              <w:rPr>
                <w:rFonts w:ascii="Calibri" w:hAnsi="Calibri"/>
                <w:sz w:val="18"/>
                <w:szCs w:val="18"/>
              </w:rPr>
            </w:pPr>
            <w:r w:rsidRPr="005C4089">
              <w:rPr>
                <w:rFonts w:ascii="Calibri" w:hAnsi="Calibri"/>
                <w:sz w:val="18"/>
                <w:szCs w:val="18"/>
              </w:rPr>
              <w:t>160</w:t>
            </w:r>
          </w:p>
          <w:p w:rsidR="0018327E" w:rsidRPr="005C4089" w:rsidRDefault="0018327E" w:rsidP="0018327E">
            <w:pPr>
              <w:pStyle w:val="StylIwony"/>
              <w:spacing w:before="0" w:after="0"/>
              <w:jc w:val="center"/>
              <w:rPr>
                <w:rFonts w:ascii="Calibri" w:hAnsi="Calibri"/>
                <w:sz w:val="18"/>
                <w:szCs w:val="18"/>
              </w:rPr>
            </w:pPr>
            <w:r w:rsidRPr="005C4089">
              <w:rPr>
                <w:rFonts w:ascii="Calibri" w:hAnsi="Calibri"/>
                <w:sz w:val="18"/>
                <w:szCs w:val="18"/>
              </w:rPr>
              <w:t>200 M</w:t>
            </w:r>
          </w:p>
        </w:tc>
      </w:tr>
      <w:tr w:rsidR="0018327E" w:rsidRPr="005C4089" w:rsidTr="0018327E">
        <w:tc>
          <w:tcPr>
            <w:tcW w:w="7441" w:type="dxa"/>
            <w:gridSpan w:val="3"/>
            <w:tcBorders>
              <w:top w:val="single" w:sz="6" w:space="0" w:color="auto"/>
              <w:left w:val="single" w:sz="6" w:space="0" w:color="auto"/>
              <w:bottom w:val="single" w:sz="6" w:space="0" w:color="auto"/>
              <w:right w:val="single" w:sz="6" w:space="0" w:color="auto"/>
            </w:tcBorders>
          </w:tcPr>
          <w:p w:rsidR="0018327E" w:rsidRPr="005C4089" w:rsidRDefault="0018327E" w:rsidP="0018327E">
            <w:pPr>
              <w:pStyle w:val="StylIwony"/>
              <w:rPr>
                <w:rFonts w:ascii="Calibri" w:hAnsi="Calibri"/>
                <w:sz w:val="18"/>
                <w:szCs w:val="18"/>
              </w:rPr>
            </w:pPr>
            <w:r w:rsidRPr="005C4089">
              <w:rPr>
                <w:rFonts w:ascii="Calibri" w:hAnsi="Calibri"/>
                <w:sz w:val="18"/>
                <w:szCs w:val="18"/>
              </w:rPr>
              <w:t xml:space="preserve">     M - powłoka pokryta dwoma lub większą liczbą warstw powłoki malarskiej       </w:t>
            </w:r>
          </w:p>
        </w:tc>
      </w:tr>
    </w:tbl>
    <w:p w:rsidR="0018327E" w:rsidRPr="00AA1C97" w:rsidRDefault="0018327E" w:rsidP="0018327E">
      <w:pPr>
        <w:rPr>
          <w:rFonts w:ascii="Calibri" w:hAnsi="Calibri"/>
        </w:rPr>
      </w:pPr>
      <w:r>
        <w:rPr>
          <w:rFonts w:ascii="Calibri" w:hAnsi="Calibri"/>
        </w:rPr>
        <w:lastRenderedPageBreak/>
        <w:tab/>
      </w:r>
      <w:r w:rsidRPr="00AA1C97">
        <w:rPr>
          <w:rFonts w:ascii="Calibri" w:hAnsi="Calibri"/>
        </w:rPr>
        <w:t>Powierzchnia powłoki powinna być jednorodna pod względem ziarnistości. Nie może ona wykazywać widocznych wad jak rysy, pęknięcia, pęcherze lub odstawanie powłoki od podłoża.</w:t>
      </w:r>
    </w:p>
    <w:p w:rsidR="0018327E" w:rsidRPr="00AA1C97" w:rsidRDefault="0018327E" w:rsidP="0018327E">
      <w:pPr>
        <w:rPr>
          <w:rFonts w:ascii="Calibri" w:hAnsi="Calibri"/>
        </w:rPr>
      </w:pPr>
      <w:r w:rsidRPr="000276F9">
        <w:rPr>
          <w:rFonts w:ascii="Calibri" w:hAnsi="Calibri"/>
          <w:b/>
        </w:rPr>
        <w:t>2.4.</w:t>
      </w:r>
      <w:r w:rsidRPr="00AA1C97">
        <w:rPr>
          <w:rFonts w:ascii="Calibri" w:hAnsi="Calibri"/>
        </w:rPr>
        <w:t xml:space="preserve"> Beton i jego składniki</w:t>
      </w:r>
    </w:p>
    <w:p w:rsidR="0018327E" w:rsidRPr="00AA1C97" w:rsidRDefault="0018327E" w:rsidP="0018327E">
      <w:pPr>
        <w:rPr>
          <w:rFonts w:ascii="Calibri" w:hAnsi="Calibri"/>
        </w:rPr>
      </w:pPr>
      <w:r w:rsidRPr="00AA1C97">
        <w:rPr>
          <w:rFonts w:ascii="Calibri" w:hAnsi="Calibri"/>
        </w:rPr>
        <w:tab/>
        <w:t>Deskowanie powinno zapewnić sztywność i niezmienność układu oraz bezpieczeństwo konstrukcji. Deskowanie powinno być skonstruowane w sposób umożliwiający łatwy jego montaż i demontaż. Przed wypełnieniem masą betonową, deskowanie powinno być sprawdzone, aby wykluczało wyciek zaprawy z masy betonowej, możliwość zniekształceń lub odchyleń w betonowanej konstrukcji.</w:t>
      </w:r>
    </w:p>
    <w:p w:rsidR="0018327E" w:rsidRPr="00AA1C97" w:rsidRDefault="0018327E" w:rsidP="0018327E">
      <w:pPr>
        <w:rPr>
          <w:rFonts w:ascii="Calibri" w:hAnsi="Calibri"/>
        </w:rPr>
      </w:pPr>
      <w:r w:rsidRPr="00AA1C97">
        <w:rPr>
          <w:rFonts w:ascii="Calibri" w:hAnsi="Calibri"/>
        </w:rPr>
        <w:tab/>
        <w:t>Klasa betonu - jeśli w dokumentacji projektowej nie określono inaczej, powinna być B 15 lub B 20. Beton powinien odpowiadać wymaganiom PN-B-06250. Składnikami betonu są: cement, kruszywo, woda i domieszki.</w:t>
      </w:r>
    </w:p>
    <w:p w:rsidR="0018327E" w:rsidRPr="00AA1C97" w:rsidRDefault="0018327E" w:rsidP="0018327E">
      <w:pPr>
        <w:rPr>
          <w:rFonts w:ascii="Calibri" w:hAnsi="Calibri"/>
        </w:rPr>
      </w:pPr>
      <w:r w:rsidRPr="00AA1C97">
        <w:rPr>
          <w:rFonts w:ascii="Calibri" w:hAnsi="Calibri"/>
        </w:rPr>
        <w:tab/>
        <w:t>Cement stosowany do betonu powinien być cementem portlandzkim klasy co najmniej „32,5”, odpowiadającym wymaganiom PN-B-19701</w:t>
      </w:r>
      <w:r>
        <w:rPr>
          <w:rFonts w:ascii="Calibri" w:hAnsi="Calibri"/>
        </w:rPr>
        <w:t>. Transport</w:t>
      </w:r>
      <w:r w:rsidRPr="00AA1C97">
        <w:rPr>
          <w:rFonts w:ascii="Calibri" w:hAnsi="Calibri"/>
        </w:rPr>
        <w:t xml:space="preserve"> i przechowywanie cementu powinny być zgodne z postanowieniami BN-88/B-6731-08 .</w:t>
      </w:r>
    </w:p>
    <w:p w:rsidR="0018327E" w:rsidRPr="00AA1C97" w:rsidRDefault="0018327E" w:rsidP="0018327E">
      <w:pPr>
        <w:rPr>
          <w:rFonts w:ascii="Calibri" w:hAnsi="Calibri"/>
        </w:rPr>
      </w:pPr>
      <w:r w:rsidRPr="00AA1C97">
        <w:rPr>
          <w:rFonts w:ascii="Calibri" w:hAnsi="Calibri"/>
        </w:rPr>
        <w:tab/>
        <w:t>Kruszywo do betonu (piasek, żwir, grys, mieszanka z kruszywa naturalnego sortowanego, kruszywa łamanego i otoczaków) powinno odpowiadać wymaganiom PN-B-06712.</w:t>
      </w:r>
    </w:p>
    <w:p w:rsidR="0018327E" w:rsidRPr="00AA1C97" w:rsidRDefault="0018327E" w:rsidP="0018327E">
      <w:pPr>
        <w:rPr>
          <w:rFonts w:ascii="Calibri" w:hAnsi="Calibri"/>
        </w:rPr>
      </w:pPr>
      <w:r w:rsidRPr="00AA1C97">
        <w:rPr>
          <w:rFonts w:ascii="Calibri" w:hAnsi="Calibri"/>
        </w:rPr>
        <w:tab/>
        <w:t>Woda powinna być „odmiany 1”, zgodnie z wymaganiami PN-B-32250. Bez badań laboratoryjnych można stosować wodę pitną.</w:t>
      </w:r>
    </w:p>
    <w:p w:rsidR="0018327E" w:rsidRPr="00AA1C97" w:rsidRDefault="0018327E" w:rsidP="0018327E">
      <w:pPr>
        <w:rPr>
          <w:rFonts w:ascii="Calibri" w:hAnsi="Calibri"/>
        </w:rPr>
      </w:pPr>
      <w:r w:rsidRPr="00AA1C97">
        <w:rPr>
          <w:rFonts w:ascii="Calibri" w:hAnsi="Calibri"/>
        </w:rPr>
        <w:tab/>
        <w:t>Domieszki chemiczne do betonu powinny być stosowane, jeśli przewidują to dokumentacja projektowa lub wskazania Inżyniera, przy czym w przypadku braku danych dotyczących rodzaju domieszek, ich dobór powinien być dokonany zgodnie z zaleceniami PN-B-06250. Domieszki powinny odpowiadać PN-B-23010.</w:t>
      </w:r>
    </w:p>
    <w:p w:rsidR="0018327E" w:rsidRPr="00AA1C97" w:rsidRDefault="0018327E" w:rsidP="0018327E">
      <w:pPr>
        <w:rPr>
          <w:rFonts w:ascii="Calibri" w:hAnsi="Calibri"/>
        </w:rPr>
      </w:pPr>
      <w:r w:rsidRPr="00AA1C97">
        <w:rPr>
          <w:rFonts w:ascii="Calibri" w:hAnsi="Calibri"/>
        </w:rPr>
        <w:tab/>
        <w:t>Pręty zbrojenia mogą być stosowane, jeśli przewiduje to dokumentacja projektowa. Pręty zbrojenia powinny odpowiadać PN-B-06251. Właściwości mechaniczne stali używanej do zbrojenia betonu powinny odpowiadać PN-B-03264.</w:t>
      </w:r>
    </w:p>
    <w:p w:rsidR="0018327E" w:rsidRPr="00AA1C97" w:rsidRDefault="0018327E" w:rsidP="0018327E">
      <w:pPr>
        <w:rPr>
          <w:rFonts w:ascii="Calibri" w:hAnsi="Calibri"/>
        </w:rPr>
      </w:pPr>
      <w:r w:rsidRPr="0018327E">
        <w:rPr>
          <w:rFonts w:ascii="Calibri" w:hAnsi="Calibri"/>
          <w:b/>
        </w:rPr>
        <w:t>2.5.</w:t>
      </w:r>
      <w:r w:rsidRPr="00AA1C97">
        <w:rPr>
          <w:rFonts w:ascii="Calibri" w:hAnsi="Calibri"/>
        </w:rPr>
        <w:t xml:space="preserve"> Materiały do malowania powłok malarskich</w:t>
      </w:r>
    </w:p>
    <w:p w:rsidR="0018327E" w:rsidRPr="00AA1C97" w:rsidRDefault="0018327E" w:rsidP="0018327E">
      <w:pPr>
        <w:rPr>
          <w:rFonts w:ascii="Calibri" w:hAnsi="Calibri"/>
        </w:rPr>
      </w:pPr>
      <w:r w:rsidRPr="00AA1C97">
        <w:rPr>
          <w:rFonts w:ascii="Calibri" w:hAnsi="Calibri"/>
        </w:rPr>
        <w:t>Do malowania urządzeń ze stali, żeliwa lub metali nieżelaznych należy używać materiały zgodne z PN-B-10285 (tab. 10) lub stosownie do wskazań Inżyniera.</w:t>
      </w:r>
    </w:p>
    <w:p w:rsidR="0018327E" w:rsidRPr="00AA1C97" w:rsidRDefault="0018327E" w:rsidP="0018327E">
      <w:pPr>
        <w:rPr>
          <w:rFonts w:ascii="Calibri" w:hAnsi="Calibri"/>
        </w:rPr>
      </w:pPr>
    </w:p>
    <w:p w:rsidR="0018327E" w:rsidRPr="00AA1C97" w:rsidRDefault="0018327E" w:rsidP="0018327E">
      <w:pPr>
        <w:ind w:left="709"/>
        <w:rPr>
          <w:rFonts w:ascii="Calibri" w:hAnsi="Calibri"/>
        </w:rPr>
      </w:pPr>
      <w:r w:rsidRPr="00AA1C97">
        <w:rPr>
          <w:rFonts w:ascii="Calibri" w:hAnsi="Calibri"/>
        </w:rPr>
        <w:t>Tablica 10. Sposoby malowania zewnątrz budynków (wyciąg z tab. 2 PN-B-10285)</w:t>
      </w:r>
    </w:p>
    <w:tbl>
      <w:tblPr>
        <w:tblW w:w="0" w:type="auto"/>
        <w:tblInd w:w="779" w:type="dxa"/>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ayout w:type="fixed"/>
        <w:tblCellMar>
          <w:left w:w="70" w:type="dxa"/>
          <w:right w:w="70" w:type="dxa"/>
        </w:tblCellMar>
        <w:tblLook w:val="0000"/>
      </w:tblPr>
      <w:tblGrid>
        <w:gridCol w:w="496"/>
        <w:gridCol w:w="1275"/>
        <w:gridCol w:w="1560"/>
        <w:gridCol w:w="2126"/>
        <w:gridCol w:w="2126"/>
      </w:tblGrid>
      <w:tr w:rsidR="0018327E" w:rsidRPr="00F84FBE" w:rsidTr="0018327E">
        <w:tc>
          <w:tcPr>
            <w:tcW w:w="496" w:type="dxa"/>
            <w:tcBorders>
              <w:bottom w:val="double" w:sz="6" w:space="0" w:color="auto"/>
            </w:tcBorders>
          </w:tcPr>
          <w:p w:rsidR="0018327E" w:rsidRPr="00F84FBE" w:rsidRDefault="0018327E" w:rsidP="0018327E">
            <w:pPr>
              <w:pStyle w:val="StylIwony"/>
              <w:spacing w:after="0"/>
              <w:jc w:val="center"/>
              <w:rPr>
                <w:rFonts w:ascii="Calibri" w:hAnsi="Calibri"/>
                <w:sz w:val="18"/>
                <w:szCs w:val="18"/>
              </w:rPr>
            </w:pPr>
            <w:r w:rsidRPr="00F84FBE">
              <w:rPr>
                <w:rFonts w:ascii="Calibri" w:hAnsi="Calibri"/>
                <w:sz w:val="18"/>
                <w:szCs w:val="18"/>
              </w:rPr>
              <w:t>Lp.</w:t>
            </w:r>
          </w:p>
        </w:tc>
        <w:tc>
          <w:tcPr>
            <w:tcW w:w="1275" w:type="dxa"/>
            <w:tcBorders>
              <w:bottom w:val="double" w:sz="6" w:space="0" w:color="auto"/>
            </w:tcBorders>
          </w:tcPr>
          <w:p w:rsidR="0018327E" w:rsidRPr="00F84FBE" w:rsidRDefault="0018327E" w:rsidP="0018327E">
            <w:pPr>
              <w:pStyle w:val="StylIwony"/>
              <w:spacing w:before="0" w:after="0"/>
              <w:jc w:val="center"/>
              <w:rPr>
                <w:rFonts w:ascii="Calibri" w:hAnsi="Calibri"/>
                <w:sz w:val="18"/>
                <w:szCs w:val="18"/>
              </w:rPr>
            </w:pPr>
            <w:r w:rsidRPr="00F84FBE">
              <w:rPr>
                <w:rFonts w:ascii="Calibri" w:hAnsi="Calibri"/>
                <w:sz w:val="18"/>
                <w:szCs w:val="18"/>
              </w:rPr>
              <w:t>Rodzaj podłoża</w:t>
            </w:r>
          </w:p>
        </w:tc>
        <w:tc>
          <w:tcPr>
            <w:tcW w:w="1560" w:type="dxa"/>
            <w:tcBorders>
              <w:bottom w:val="double" w:sz="6" w:space="0" w:color="auto"/>
            </w:tcBorders>
          </w:tcPr>
          <w:p w:rsidR="0018327E" w:rsidRPr="00F84FBE" w:rsidRDefault="0018327E" w:rsidP="0018327E">
            <w:pPr>
              <w:pStyle w:val="StylIwony"/>
              <w:spacing w:before="0" w:after="0"/>
              <w:jc w:val="center"/>
              <w:rPr>
                <w:rFonts w:ascii="Calibri" w:hAnsi="Calibri"/>
                <w:sz w:val="18"/>
                <w:szCs w:val="18"/>
              </w:rPr>
            </w:pPr>
            <w:r w:rsidRPr="00F84FBE">
              <w:rPr>
                <w:rFonts w:ascii="Calibri" w:hAnsi="Calibri"/>
                <w:sz w:val="18"/>
                <w:szCs w:val="18"/>
              </w:rPr>
              <w:t>Rodzaj        podkładu</w:t>
            </w:r>
          </w:p>
        </w:tc>
        <w:tc>
          <w:tcPr>
            <w:tcW w:w="2126" w:type="dxa"/>
            <w:tcBorders>
              <w:bottom w:val="double" w:sz="6" w:space="0" w:color="auto"/>
            </w:tcBorders>
          </w:tcPr>
          <w:p w:rsidR="0018327E" w:rsidRPr="00F84FBE" w:rsidRDefault="0018327E" w:rsidP="0018327E">
            <w:pPr>
              <w:pStyle w:val="StylIwony"/>
              <w:spacing w:before="0" w:after="0"/>
              <w:jc w:val="center"/>
              <w:rPr>
                <w:rFonts w:ascii="Calibri" w:hAnsi="Calibri"/>
                <w:sz w:val="18"/>
                <w:szCs w:val="18"/>
              </w:rPr>
            </w:pPr>
            <w:r w:rsidRPr="00F84FBE">
              <w:rPr>
                <w:rFonts w:ascii="Calibri" w:hAnsi="Calibri"/>
                <w:sz w:val="18"/>
                <w:szCs w:val="18"/>
              </w:rPr>
              <w:t>Rodzaj powłoki      malarskiej</w:t>
            </w:r>
          </w:p>
        </w:tc>
        <w:tc>
          <w:tcPr>
            <w:tcW w:w="2126" w:type="dxa"/>
            <w:tcBorders>
              <w:bottom w:val="double" w:sz="6" w:space="0" w:color="auto"/>
            </w:tcBorders>
          </w:tcPr>
          <w:p w:rsidR="0018327E" w:rsidRPr="00F84FBE" w:rsidRDefault="0018327E" w:rsidP="0018327E">
            <w:pPr>
              <w:pStyle w:val="StylIwony"/>
              <w:spacing w:after="0"/>
              <w:jc w:val="center"/>
              <w:rPr>
                <w:rFonts w:ascii="Calibri" w:hAnsi="Calibri"/>
                <w:sz w:val="18"/>
                <w:szCs w:val="18"/>
              </w:rPr>
            </w:pPr>
            <w:r w:rsidRPr="00F84FBE">
              <w:rPr>
                <w:rFonts w:ascii="Calibri" w:hAnsi="Calibri"/>
                <w:sz w:val="18"/>
                <w:szCs w:val="18"/>
              </w:rPr>
              <w:t>Zastosowanie</w:t>
            </w:r>
          </w:p>
        </w:tc>
      </w:tr>
      <w:tr w:rsidR="0018327E" w:rsidRPr="00F84FBE" w:rsidTr="0018327E">
        <w:tc>
          <w:tcPr>
            <w:tcW w:w="496" w:type="dxa"/>
            <w:tcBorders>
              <w:top w:val="nil"/>
            </w:tcBorders>
          </w:tcPr>
          <w:p w:rsidR="0018327E" w:rsidRPr="00F84FBE" w:rsidRDefault="0018327E" w:rsidP="0018327E">
            <w:pPr>
              <w:pStyle w:val="StylIwony"/>
              <w:spacing w:before="0" w:after="0"/>
              <w:jc w:val="center"/>
              <w:rPr>
                <w:rFonts w:ascii="Calibri" w:hAnsi="Calibri"/>
                <w:sz w:val="18"/>
                <w:szCs w:val="18"/>
              </w:rPr>
            </w:pPr>
            <w:r w:rsidRPr="00F84FBE">
              <w:rPr>
                <w:rFonts w:ascii="Calibri" w:hAnsi="Calibri"/>
                <w:sz w:val="18"/>
                <w:szCs w:val="18"/>
              </w:rPr>
              <w:t>4</w:t>
            </w:r>
          </w:p>
        </w:tc>
        <w:tc>
          <w:tcPr>
            <w:tcW w:w="1275" w:type="dxa"/>
            <w:tcBorders>
              <w:top w:val="nil"/>
            </w:tcBorders>
          </w:tcPr>
          <w:p w:rsidR="0018327E" w:rsidRPr="00F84FBE" w:rsidRDefault="0018327E" w:rsidP="0018327E">
            <w:pPr>
              <w:pStyle w:val="StylIwony"/>
              <w:spacing w:before="0" w:after="0"/>
              <w:rPr>
                <w:rFonts w:ascii="Calibri" w:hAnsi="Calibri"/>
                <w:sz w:val="18"/>
                <w:szCs w:val="18"/>
              </w:rPr>
            </w:pPr>
            <w:r w:rsidRPr="00F84FBE">
              <w:rPr>
                <w:rFonts w:ascii="Calibri" w:hAnsi="Calibri"/>
                <w:sz w:val="18"/>
                <w:szCs w:val="18"/>
              </w:rPr>
              <w:t>Stal</w:t>
            </w:r>
          </w:p>
        </w:tc>
        <w:tc>
          <w:tcPr>
            <w:tcW w:w="1560" w:type="dxa"/>
            <w:tcBorders>
              <w:top w:val="nil"/>
            </w:tcBorders>
          </w:tcPr>
          <w:p w:rsidR="0018327E" w:rsidRPr="00F84FBE" w:rsidRDefault="0018327E" w:rsidP="0018327E">
            <w:pPr>
              <w:pStyle w:val="StylIwony"/>
              <w:spacing w:before="0" w:after="0"/>
              <w:rPr>
                <w:rFonts w:ascii="Calibri" w:hAnsi="Calibri"/>
                <w:sz w:val="18"/>
                <w:szCs w:val="18"/>
              </w:rPr>
            </w:pPr>
            <w:r w:rsidRPr="00F84FBE">
              <w:rPr>
                <w:rFonts w:ascii="Calibri" w:hAnsi="Calibri"/>
                <w:sz w:val="18"/>
                <w:szCs w:val="18"/>
              </w:rPr>
              <w:t>farba olejna miniowa 60% lub ftalowa miniowa 60%</w:t>
            </w:r>
          </w:p>
        </w:tc>
        <w:tc>
          <w:tcPr>
            <w:tcW w:w="2126" w:type="dxa"/>
            <w:tcBorders>
              <w:top w:val="nil"/>
            </w:tcBorders>
          </w:tcPr>
          <w:p w:rsidR="0018327E" w:rsidRPr="00F84FBE" w:rsidRDefault="0018327E" w:rsidP="003E64B2">
            <w:pPr>
              <w:pStyle w:val="StylIwony"/>
              <w:numPr>
                <w:ilvl w:val="0"/>
                <w:numId w:val="10"/>
              </w:numPr>
              <w:spacing w:before="0" w:after="0"/>
              <w:ind w:left="0"/>
              <w:rPr>
                <w:rFonts w:ascii="Calibri" w:hAnsi="Calibri"/>
                <w:sz w:val="18"/>
                <w:szCs w:val="18"/>
              </w:rPr>
            </w:pPr>
            <w:r w:rsidRPr="00F84FBE">
              <w:rPr>
                <w:rFonts w:ascii="Calibri" w:hAnsi="Calibri"/>
                <w:sz w:val="18"/>
                <w:szCs w:val="18"/>
              </w:rPr>
              <w:t>dwuwarstwowa z farby albo</w:t>
            </w:r>
          </w:p>
          <w:p w:rsidR="0018327E" w:rsidRPr="00F84FBE" w:rsidRDefault="0018327E" w:rsidP="003E64B2">
            <w:pPr>
              <w:pStyle w:val="StylIwony"/>
              <w:numPr>
                <w:ilvl w:val="0"/>
                <w:numId w:val="10"/>
              </w:numPr>
              <w:spacing w:before="0" w:after="0"/>
              <w:ind w:left="0"/>
              <w:rPr>
                <w:rFonts w:ascii="Calibri" w:hAnsi="Calibri"/>
                <w:sz w:val="18"/>
                <w:szCs w:val="18"/>
              </w:rPr>
            </w:pPr>
            <w:r w:rsidRPr="00F84FBE">
              <w:rPr>
                <w:rFonts w:ascii="Calibri" w:hAnsi="Calibri"/>
                <w:sz w:val="18"/>
                <w:szCs w:val="18"/>
              </w:rPr>
              <w:t>jak w a) i jednowarstwowa z lakieru olejnego schnącego na powietrzu, rodzaju III</w:t>
            </w:r>
          </w:p>
        </w:tc>
        <w:tc>
          <w:tcPr>
            <w:tcW w:w="2126" w:type="dxa"/>
            <w:tcBorders>
              <w:top w:val="nil"/>
            </w:tcBorders>
          </w:tcPr>
          <w:p w:rsidR="0018327E" w:rsidRPr="00F84FBE" w:rsidRDefault="0018327E" w:rsidP="0018327E">
            <w:pPr>
              <w:pStyle w:val="StylIwony"/>
              <w:spacing w:before="0" w:after="0"/>
              <w:rPr>
                <w:rFonts w:ascii="Calibri" w:hAnsi="Calibri"/>
                <w:sz w:val="18"/>
                <w:szCs w:val="18"/>
              </w:rPr>
            </w:pPr>
            <w:r w:rsidRPr="00F84FBE">
              <w:rPr>
                <w:rFonts w:ascii="Calibri" w:hAnsi="Calibri"/>
                <w:sz w:val="18"/>
                <w:szCs w:val="18"/>
              </w:rPr>
              <w:t>elementy ślusarsko-kowalskie pełne i ażurowe (poręcze, kraty, ogrodzenie, bramy itp.)</w:t>
            </w:r>
          </w:p>
        </w:tc>
      </w:tr>
      <w:tr w:rsidR="0018327E" w:rsidRPr="00F84FBE" w:rsidTr="0018327E">
        <w:tc>
          <w:tcPr>
            <w:tcW w:w="496" w:type="dxa"/>
          </w:tcPr>
          <w:p w:rsidR="0018327E" w:rsidRPr="00F84FBE" w:rsidRDefault="0018327E" w:rsidP="0018327E">
            <w:pPr>
              <w:pStyle w:val="StylIwony"/>
              <w:spacing w:before="0" w:after="0"/>
              <w:jc w:val="center"/>
              <w:rPr>
                <w:rFonts w:ascii="Calibri" w:hAnsi="Calibri"/>
                <w:sz w:val="18"/>
                <w:szCs w:val="18"/>
              </w:rPr>
            </w:pPr>
            <w:r w:rsidRPr="00F84FBE">
              <w:rPr>
                <w:rFonts w:ascii="Calibri" w:hAnsi="Calibri"/>
                <w:sz w:val="18"/>
                <w:szCs w:val="18"/>
              </w:rPr>
              <w:t>5</w:t>
            </w:r>
          </w:p>
        </w:tc>
        <w:tc>
          <w:tcPr>
            <w:tcW w:w="1275" w:type="dxa"/>
          </w:tcPr>
          <w:p w:rsidR="0018327E" w:rsidRPr="00F84FBE" w:rsidRDefault="0018327E" w:rsidP="0018327E">
            <w:pPr>
              <w:pStyle w:val="StylIwony"/>
              <w:spacing w:before="0" w:after="0"/>
              <w:jc w:val="left"/>
              <w:rPr>
                <w:rFonts w:ascii="Calibri" w:hAnsi="Calibri"/>
                <w:sz w:val="18"/>
                <w:szCs w:val="18"/>
              </w:rPr>
            </w:pPr>
            <w:r w:rsidRPr="00F84FBE">
              <w:rPr>
                <w:rFonts w:ascii="Calibri" w:hAnsi="Calibri"/>
                <w:sz w:val="18"/>
                <w:szCs w:val="18"/>
              </w:rPr>
              <w:t>Żeliwo                   i metale nieżelazne</w:t>
            </w:r>
          </w:p>
        </w:tc>
        <w:tc>
          <w:tcPr>
            <w:tcW w:w="1560" w:type="dxa"/>
          </w:tcPr>
          <w:p w:rsidR="0018327E" w:rsidRPr="00F84FBE" w:rsidRDefault="0018327E" w:rsidP="0018327E">
            <w:pPr>
              <w:pStyle w:val="StylIwony"/>
              <w:spacing w:before="0" w:after="0"/>
              <w:rPr>
                <w:rFonts w:ascii="Calibri" w:hAnsi="Calibri"/>
                <w:sz w:val="18"/>
                <w:szCs w:val="18"/>
              </w:rPr>
            </w:pPr>
          </w:p>
          <w:p w:rsidR="0018327E" w:rsidRPr="00F84FBE" w:rsidRDefault="0018327E" w:rsidP="0018327E">
            <w:pPr>
              <w:pStyle w:val="StylIwony"/>
              <w:spacing w:before="0" w:after="0"/>
              <w:rPr>
                <w:rFonts w:ascii="Calibri" w:hAnsi="Calibri"/>
                <w:sz w:val="18"/>
                <w:szCs w:val="18"/>
              </w:rPr>
            </w:pPr>
            <w:r w:rsidRPr="00F84FBE">
              <w:rPr>
                <w:rFonts w:ascii="Calibri" w:hAnsi="Calibri"/>
                <w:sz w:val="18"/>
                <w:szCs w:val="18"/>
              </w:rPr>
              <w:t>bez podkładu</w:t>
            </w:r>
          </w:p>
        </w:tc>
        <w:tc>
          <w:tcPr>
            <w:tcW w:w="2126" w:type="dxa"/>
          </w:tcPr>
          <w:p w:rsidR="0018327E" w:rsidRPr="00F84FBE" w:rsidRDefault="0018327E" w:rsidP="0018327E">
            <w:pPr>
              <w:pStyle w:val="StylIwony"/>
              <w:spacing w:before="0" w:after="0"/>
              <w:jc w:val="left"/>
              <w:rPr>
                <w:rFonts w:ascii="Calibri" w:hAnsi="Calibri"/>
                <w:sz w:val="18"/>
                <w:szCs w:val="18"/>
              </w:rPr>
            </w:pPr>
            <w:r w:rsidRPr="00F84FBE">
              <w:rPr>
                <w:rFonts w:ascii="Calibri" w:hAnsi="Calibri"/>
                <w:sz w:val="18"/>
                <w:szCs w:val="18"/>
              </w:rPr>
              <w:t>dwuwarstwowa       z    farby</w:t>
            </w:r>
          </w:p>
        </w:tc>
        <w:tc>
          <w:tcPr>
            <w:tcW w:w="2126" w:type="dxa"/>
          </w:tcPr>
          <w:p w:rsidR="0018327E" w:rsidRPr="00F84FBE" w:rsidRDefault="0018327E" w:rsidP="0018327E">
            <w:pPr>
              <w:pStyle w:val="StylIwony"/>
              <w:spacing w:before="0" w:after="0"/>
              <w:jc w:val="left"/>
              <w:rPr>
                <w:rFonts w:ascii="Calibri" w:hAnsi="Calibri"/>
                <w:sz w:val="18"/>
                <w:szCs w:val="18"/>
              </w:rPr>
            </w:pPr>
            <w:r w:rsidRPr="00F84FBE">
              <w:rPr>
                <w:rFonts w:ascii="Calibri" w:hAnsi="Calibri"/>
                <w:sz w:val="18"/>
                <w:szCs w:val="18"/>
              </w:rPr>
              <w:t>budowa latarni  ulicznych, słupki ogrodzeniowe itp. oraz elementy z metali nieżelaznych</w:t>
            </w:r>
          </w:p>
        </w:tc>
      </w:tr>
    </w:tbl>
    <w:p w:rsidR="0018327E" w:rsidRPr="00AA1C97" w:rsidRDefault="0018327E" w:rsidP="0018327E">
      <w:pPr>
        <w:rPr>
          <w:rFonts w:ascii="Calibri" w:hAnsi="Calibri"/>
        </w:rPr>
      </w:pPr>
    </w:p>
    <w:p w:rsidR="0018327E" w:rsidRPr="00AA1C97" w:rsidRDefault="0018327E" w:rsidP="0018327E">
      <w:pPr>
        <w:rPr>
          <w:rFonts w:ascii="Calibri" w:hAnsi="Calibri"/>
        </w:rPr>
      </w:pPr>
      <w:r w:rsidRPr="00AA1C97">
        <w:rPr>
          <w:rFonts w:ascii="Calibri" w:hAnsi="Calibri"/>
        </w:rPr>
        <w:tab/>
        <w:t xml:space="preserve">Nie dopuszcza się stosowania wyrobów lakierowanych o nieznanym pochodzeniu, nie mających uzgodnionych wymagań oraz nie sprawdzonych zgodnie  z  postanowieniami  norm.  W  przypadku,   gdy    barwa   i    połysk odgrywają istotną rolę, a nie są ujęte w normach, powinny być ustalone odpowiednie wzorce w porozumieniu z dostawcą. </w:t>
      </w:r>
    </w:p>
    <w:p w:rsidR="0018327E" w:rsidRDefault="0018327E" w:rsidP="0018327E">
      <w:pPr>
        <w:rPr>
          <w:rFonts w:ascii="Calibri" w:hAnsi="Calibri"/>
        </w:rPr>
      </w:pPr>
      <w:bookmarkStart w:id="1603" w:name="_Toc425562415"/>
    </w:p>
    <w:p w:rsidR="0018327E" w:rsidRPr="00764DE6" w:rsidRDefault="0018327E" w:rsidP="0018327E">
      <w:pPr>
        <w:rPr>
          <w:rFonts w:ascii="Calibri" w:hAnsi="Calibri"/>
          <w:b/>
        </w:rPr>
      </w:pPr>
      <w:r w:rsidRPr="00764DE6">
        <w:rPr>
          <w:rFonts w:ascii="Calibri" w:hAnsi="Calibri"/>
          <w:b/>
        </w:rPr>
        <w:t>3. SPRZĘT</w:t>
      </w:r>
      <w:bookmarkEnd w:id="1603"/>
    </w:p>
    <w:p w:rsidR="0018327E" w:rsidRPr="00AA1C97" w:rsidRDefault="0018327E" w:rsidP="0018327E">
      <w:pPr>
        <w:rPr>
          <w:rFonts w:ascii="Calibri" w:hAnsi="Calibri"/>
        </w:rPr>
      </w:pPr>
      <w:r w:rsidRPr="00764DE6">
        <w:rPr>
          <w:rFonts w:ascii="Calibri" w:hAnsi="Calibri"/>
          <w:b/>
        </w:rPr>
        <w:t>3.1.</w:t>
      </w:r>
      <w:r w:rsidRPr="00AA1C97">
        <w:rPr>
          <w:rFonts w:ascii="Calibri" w:hAnsi="Calibri"/>
        </w:rPr>
        <w:t xml:space="preserve"> Ogólne wymagania dotyczące sprzętu</w:t>
      </w:r>
    </w:p>
    <w:p w:rsidR="0018327E" w:rsidRPr="00AA1C97" w:rsidRDefault="0018327E" w:rsidP="0018327E">
      <w:pPr>
        <w:rPr>
          <w:rFonts w:ascii="Calibri" w:hAnsi="Calibri"/>
        </w:rPr>
      </w:pPr>
      <w:r w:rsidRPr="00AA1C97">
        <w:rPr>
          <w:rFonts w:ascii="Calibri" w:hAnsi="Calibri"/>
        </w:rPr>
        <w:tab/>
        <w:t>Ogólne wymagania dotyczące sprzętu podano w ST D-M-00.00.00 „Wymagania ogólne” pkt 3.</w:t>
      </w:r>
    </w:p>
    <w:p w:rsidR="0018327E" w:rsidRPr="00AA1C97" w:rsidRDefault="0018327E" w:rsidP="0018327E">
      <w:pPr>
        <w:rPr>
          <w:rFonts w:ascii="Calibri" w:hAnsi="Calibri"/>
        </w:rPr>
      </w:pPr>
      <w:r w:rsidRPr="00764DE6">
        <w:rPr>
          <w:rFonts w:ascii="Calibri" w:hAnsi="Calibri"/>
          <w:b/>
        </w:rPr>
        <w:t>3.2.</w:t>
      </w:r>
      <w:r w:rsidRPr="00AA1C97">
        <w:rPr>
          <w:rFonts w:ascii="Calibri" w:hAnsi="Calibri"/>
        </w:rPr>
        <w:t xml:space="preserve"> Sprzęt do wykonania urządzeń zabezpieczających ruch pieszych</w:t>
      </w:r>
    </w:p>
    <w:p w:rsidR="0018327E" w:rsidRPr="00AA1C97" w:rsidRDefault="0018327E" w:rsidP="0018327E">
      <w:pPr>
        <w:rPr>
          <w:rFonts w:ascii="Calibri" w:hAnsi="Calibri"/>
        </w:rPr>
      </w:pPr>
      <w:r w:rsidRPr="00AA1C97">
        <w:rPr>
          <w:rFonts w:ascii="Calibri" w:hAnsi="Calibri"/>
        </w:rPr>
        <w:t xml:space="preserve">       </w:t>
      </w:r>
      <w:r w:rsidRPr="00AA1C97">
        <w:rPr>
          <w:rFonts w:ascii="Calibri" w:hAnsi="Calibri"/>
        </w:rPr>
        <w:tab/>
        <w:t>Wykonawca przystępujący do wykonania urządzeń zabezpieczających ruch pieszych powinien wykazać się możliwością korzystania z następującego sprzętu:</w:t>
      </w:r>
    </w:p>
    <w:p w:rsidR="0018327E" w:rsidRPr="00AA1C97" w:rsidRDefault="0018327E" w:rsidP="0018327E">
      <w:pPr>
        <w:rPr>
          <w:rFonts w:ascii="Calibri" w:hAnsi="Calibri"/>
        </w:rPr>
      </w:pPr>
      <w:r>
        <w:rPr>
          <w:rFonts w:ascii="Calibri" w:hAnsi="Calibri"/>
        </w:rPr>
        <w:t>-</w:t>
      </w:r>
      <w:r w:rsidRPr="00AA1C97">
        <w:rPr>
          <w:rFonts w:ascii="Calibri" w:hAnsi="Calibri"/>
        </w:rPr>
        <w:t>szpadli, drągów stalowych, młotków, kluczy do montażu elementów panelowych itp.</w:t>
      </w:r>
    </w:p>
    <w:p w:rsidR="0018327E" w:rsidRPr="00AA1C97" w:rsidRDefault="0018327E" w:rsidP="0018327E">
      <w:pPr>
        <w:rPr>
          <w:rFonts w:ascii="Calibri" w:hAnsi="Calibri"/>
        </w:rPr>
      </w:pPr>
      <w:r>
        <w:rPr>
          <w:rFonts w:ascii="Calibri" w:hAnsi="Calibri"/>
        </w:rPr>
        <w:t>-</w:t>
      </w:r>
      <w:r w:rsidRPr="00AA1C97">
        <w:rPr>
          <w:rFonts w:ascii="Calibri" w:hAnsi="Calibri"/>
        </w:rPr>
        <w:t>środków transportu materiałów,</w:t>
      </w:r>
    </w:p>
    <w:p w:rsidR="0018327E" w:rsidRPr="00AA1C97" w:rsidRDefault="0018327E" w:rsidP="0018327E">
      <w:pPr>
        <w:rPr>
          <w:rFonts w:ascii="Calibri" w:hAnsi="Calibri"/>
        </w:rPr>
      </w:pPr>
      <w:r>
        <w:rPr>
          <w:rFonts w:ascii="Calibri" w:hAnsi="Calibri"/>
        </w:rPr>
        <w:t>-</w:t>
      </w:r>
      <w:r w:rsidRPr="00AA1C97">
        <w:rPr>
          <w:rFonts w:ascii="Calibri" w:hAnsi="Calibri"/>
        </w:rPr>
        <w:t>żurawi samochodowych o udźwigu do 4 t,</w:t>
      </w:r>
    </w:p>
    <w:p w:rsidR="0018327E" w:rsidRPr="00AA1C97" w:rsidRDefault="0018327E" w:rsidP="0018327E">
      <w:pPr>
        <w:rPr>
          <w:rFonts w:ascii="Calibri" w:hAnsi="Calibri"/>
        </w:rPr>
      </w:pPr>
      <w:r>
        <w:rPr>
          <w:rFonts w:ascii="Calibri" w:hAnsi="Calibri"/>
        </w:rPr>
        <w:t>-</w:t>
      </w:r>
      <w:r w:rsidRPr="00AA1C97">
        <w:rPr>
          <w:rFonts w:ascii="Calibri" w:hAnsi="Calibri"/>
        </w:rPr>
        <w:t>ewentualnych wiertnic do wykonania dołów pod słupki w gruncie zwięzłym (lecz nie w terenach uzbrojonych w centrach miast),</w:t>
      </w:r>
    </w:p>
    <w:p w:rsidR="0018327E" w:rsidRPr="00AA1C97" w:rsidRDefault="0018327E" w:rsidP="0018327E">
      <w:pPr>
        <w:rPr>
          <w:rFonts w:ascii="Calibri" w:hAnsi="Calibri"/>
        </w:rPr>
      </w:pPr>
      <w:r>
        <w:rPr>
          <w:rFonts w:ascii="Calibri" w:hAnsi="Calibri"/>
        </w:rPr>
        <w:t>-</w:t>
      </w:r>
      <w:r w:rsidRPr="00AA1C97">
        <w:rPr>
          <w:rFonts w:ascii="Calibri" w:hAnsi="Calibri"/>
        </w:rPr>
        <w:t>ewentualnych młotów (bab), wibromłotów do wbijania lub wwibrowania słupków w grunt,</w:t>
      </w:r>
    </w:p>
    <w:p w:rsidR="0018327E" w:rsidRPr="00AA1C97" w:rsidRDefault="0018327E" w:rsidP="0018327E">
      <w:pPr>
        <w:rPr>
          <w:rFonts w:ascii="Calibri" w:hAnsi="Calibri"/>
        </w:rPr>
      </w:pPr>
      <w:r>
        <w:rPr>
          <w:rFonts w:ascii="Calibri" w:hAnsi="Calibri"/>
        </w:rPr>
        <w:t>-</w:t>
      </w:r>
      <w:r w:rsidRPr="00AA1C97">
        <w:rPr>
          <w:rFonts w:ascii="Calibri" w:hAnsi="Calibri"/>
        </w:rPr>
        <w:t>przewoźnych zbiorników do wody,</w:t>
      </w:r>
    </w:p>
    <w:p w:rsidR="0018327E" w:rsidRPr="00AA1C97" w:rsidRDefault="0018327E" w:rsidP="0018327E">
      <w:pPr>
        <w:rPr>
          <w:rFonts w:ascii="Calibri" w:hAnsi="Calibri"/>
        </w:rPr>
      </w:pPr>
      <w:r>
        <w:rPr>
          <w:rFonts w:ascii="Calibri" w:hAnsi="Calibri"/>
        </w:rPr>
        <w:t>-</w:t>
      </w:r>
      <w:r w:rsidRPr="00AA1C97">
        <w:rPr>
          <w:rFonts w:ascii="Calibri" w:hAnsi="Calibri"/>
        </w:rPr>
        <w:t>betoniarek  przewoźnych do wykonywania fundamentów betonowych „na mokro”,</w:t>
      </w:r>
    </w:p>
    <w:p w:rsidR="0018327E" w:rsidRPr="00AA1C97" w:rsidRDefault="0018327E" w:rsidP="0018327E">
      <w:pPr>
        <w:rPr>
          <w:rFonts w:ascii="Calibri" w:hAnsi="Calibri"/>
        </w:rPr>
      </w:pPr>
      <w:r>
        <w:rPr>
          <w:rFonts w:ascii="Calibri" w:hAnsi="Calibri"/>
        </w:rPr>
        <w:lastRenderedPageBreak/>
        <w:t>-</w:t>
      </w:r>
      <w:r w:rsidRPr="00AA1C97">
        <w:rPr>
          <w:rFonts w:ascii="Calibri" w:hAnsi="Calibri"/>
        </w:rPr>
        <w:t>koparek kołowych (np. 0,15 m3) lub koparek gąsiennicowych (np. 0,25 m3),</w:t>
      </w:r>
    </w:p>
    <w:p w:rsidR="0018327E" w:rsidRPr="00AA1C97" w:rsidRDefault="0018327E" w:rsidP="0018327E">
      <w:pPr>
        <w:rPr>
          <w:rFonts w:ascii="Calibri" w:hAnsi="Calibri"/>
        </w:rPr>
      </w:pPr>
      <w:r>
        <w:rPr>
          <w:rFonts w:ascii="Calibri" w:hAnsi="Calibri"/>
        </w:rPr>
        <w:t>-</w:t>
      </w:r>
      <w:r w:rsidRPr="00AA1C97">
        <w:rPr>
          <w:rFonts w:ascii="Calibri" w:hAnsi="Calibri"/>
        </w:rPr>
        <w:t>sprzętu spawalniczego itp.</w:t>
      </w:r>
    </w:p>
    <w:p w:rsidR="0018327E" w:rsidRDefault="0018327E" w:rsidP="0018327E">
      <w:pPr>
        <w:rPr>
          <w:rFonts w:ascii="Calibri" w:hAnsi="Calibri"/>
        </w:rPr>
      </w:pPr>
      <w:bookmarkStart w:id="1604" w:name="_Toc425562416"/>
    </w:p>
    <w:p w:rsidR="0018327E" w:rsidRPr="00C41A79" w:rsidRDefault="0018327E" w:rsidP="0018327E">
      <w:pPr>
        <w:rPr>
          <w:rFonts w:ascii="Calibri" w:hAnsi="Calibri"/>
          <w:b/>
        </w:rPr>
      </w:pPr>
      <w:r w:rsidRPr="00C41A79">
        <w:rPr>
          <w:rFonts w:ascii="Calibri" w:hAnsi="Calibri"/>
          <w:b/>
        </w:rPr>
        <w:t>4. TRANSPORT</w:t>
      </w:r>
      <w:bookmarkEnd w:id="1604"/>
    </w:p>
    <w:p w:rsidR="0018327E" w:rsidRPr="00AA1C97" w:rsidRDefault="0018327E" w:rsidP="0018327E">
      <w:pPr>
        <w:rPr>
          <w:rFonts w:ascii="Calibri" w:hAnsi="Calibri"/>
        </w:rPr>
      </w:pPr>
      <w:r w:rsidRPr="00C41A79">
        <w:rPr>
          <w:rFonts w:ascii="Calibri" w:hAnsi="Calibri"/>
          <w:b/>
        </w:rPr>
        <w:t>4.1.</w:t>
      </w:r>
      <w:r w:rsidRPr="00AA1C97">
        <w:rPr>
          <w:rFonts w:ascii="Calibri" w:hAnsi="Calibri"/>
        </w:rPr>
        <w:t xml:space="preserve"> Ogólne wymagania dotyczące transportu</w:t>
      </w:r>
    </w:p>
    <w:p w:rsidR="0018327E" w:rsidRPr="00AA1C97" w:rsidRDefault="0018327E" w:rsidP="0018327E">
      <w:pPr>
        <w:rPr>
          <w:rFonts w:ascii="Calibri" w:hAnsi="Calibri"/>
        </w:rPr>
      </w:pPr>
      <w:r w:rsidRPr="00AA1C97">
        <w:rPr>
          <w:rFonts w:ascii="Calibri" w:hAnsi="Calibri"/>
        </w:rPr>
        <w:tab/>
        <w:t>Ogólne wymagania dotyczące transportu podano w ST D-M-00.00.00 „Wymagania ogólne” pkt 4.</w:t>
      </w:r>
    </w:p>
    <w:p w:rsidR="0018327E" w:rsidRPr="00AA1C97" w:rsidRDefault="0018327E" w:rsidP="0018327E">
      <w:pPr>
        <w:rPr>
          <w:rFonts w:ascii="Calibri" w:hAnsi="Calibri"/>
        </w:rPr>
      </w:pPr>
      <w:r w:rsidRPr="00C41A79">
        <w:rPr>
          <w:rFonts w:ascii="Calibri" w:hAnsi="Calibri"/>
          <w:b/>
        </w:rPr>
        <w:t>4.2.</w:t>
      </w:r>
      <w:r w:rsidRPr="00AA1C97">
        <w:rPr>
          <w:rFonts w:ascii="Calibri" w:hAnsi="Calibri"/>
        </w:rPr>
        <w:t xml:space="preserve"> Transport materiałów </w:t>
      </w:r>
    </w:p>
    <w:p w:rsidR="0018327E" w:rsidRPr="00AA1C97" w:rsidRDefault="0018327E" w:rsidP="0018327E">
      <w:pPr>
        <w:rPr>
          <w:rFonts w:ascii="Calibri" w:hAnsi="Calibri"/>
        </w:rPr>
      </w:pPr>
      <w:r w:rsidRPr="00AA1C97">
        <w:rPr>
          <w:rFonts w:ascii="Calibri" w:hAnsi="Calibri"/>
        </w:rPr>
        <w:tab/>
        <w:t>Rury stalowe na słupki, przeciągi, pochwyty przewozić można dowolnymi środkami transportu. W przypadku załadowania na środek transportu więcej niż jednej partii rur należy je zabezpieczyć przed pomieszaniem.</w:t>
      </w:r>
    </w:p>
    <w:p w:rsidR="0018327E" w:rsidRPr="00AA1C97" w:rsidRDefault="0018327E" w:rsidP="0018327E">
      <w:pPr>
        <w:rPr>
          <w:rFonts w:ascii="Calibri" w:hAnsi="Calibri"/>
        </w:rPr>
      </w:pPr>
      <w:r w:rsidRPr="00AA1C97">
        <w:rPr>
          <w:rFonts w:ascii="Calibri" w:hAnsi="Calibri"/>
        </w:rPr>
        <w:tab/>
        <w:t>Kształtowniki można przewozić dowolnym środkiem transportu luzem lub w wiązkach.  W przypadku ładowania na środek transportu więcej niż jednej partii wyrobów należy je zabezpieczyć przed pomieszaniem. Przy transporcie przedmiotów metalizowanych zalecana jest ostrożność ze względu na podatność powłok na uszkodzenia mechaniczne, występujące przy uderzeniach.</w:t>
      </w:r>
    </w:p>
    <w:p w:rsidR="0018327E" w:rsidRPr="00AA1C97" w:rsidRDefault="0018327E" w:rsidP="0018327E">
      <w:pPr>
        <w:rPr>
          <w:rFonts w:ascii="Calibri" w:hAnsi="Calibri"/>
        </w:rPr>
      </w:pPr>
      <w:r w:rsidRPr="00AA1C97">
        <w:rPr>
          <w:rFonts w:ascii="Calibri" w:hAnsi="Calibri"/>
        </w:rPr>
        <w:tab/>
        <w:t>Śruby, wkręty, nakrętki itp. powinno się przewozić w warunkach zabezpieczających wyroby przed korozją i uszkodzeniami mechanicznymi. W przypadku stosowania do transportu palet, opakowania powinny być zabezpieczone przed przemieszczaniem się np. za pomocą taśmy stalowej lub folii termokurczliwej.</w:t>
      </w:r>
    </w:p>
    <w:p w:rsidR="0018327E" w:rsidRPr="00AA1C97" w:rsidRDefault="0018327E" w:rsidP="0018327E">
      <w:pPr>
        <w:rPr>
          <w:rFonts w:ascii="Calibri" w:hAnsi="Calibri"/>
        </w:rPr>
      </w:pPr>
      <w:r w:rsidRPr="00AA1C97">
        <w:rPr>
          <w:rFonts w:ascii="Calibri" w:hAnsi="Calibri"/>
        </w:rPr>
        <w:tab/>
        <w:t>Druty i pręty spawalnicze należy przewozić w warunkach zabezpieczających przed korozją, zanieczyszczeniem i uszkodzeniem.</w:t>
      </w:r>
    </w:p>
    <w:p w:rsidR="0018327E" w:rsidRPr="00AA1C97" w:rsidRDefault="0018327E" w:rsidP="0018327E">
      <w:pPr>
        <w:rPr>
          <w:rFonts w:ascii="Calibri" w:hAnsi="Calibri"/>
        </w:rPr>
      </w:pPr>
      <w:r w:rsidRPr="00AA1C97">
        <w:rPr>
          <w:rFonts w:ascii="Calibri" w:hAnsi="Calibri"/>
        </w:rPr>
        <w:tab/>
        <w:t>Cement należy przewozić zgodnie z postanowieniami BN-88/6731-08, zaś mieszankę betonową wg PN-B-06251.</w:t>
      </w:r>
    </w:p>
    <w:p w:rsidR="0018327E" w:rsidRDefault="0018327E" w:rsidP="0018327E">
      <w:pPr>
        <w:rPr>
          <w:rFonts w:ascii="Calibri" w:hAnsi="Calibri"/>
        </w:rPr>
      </w:pPr>
      <w:bookmarkStart w:id="1605" w:name="_Toc425562417"/>
    </w:p>
    <w:p w:rsidR="0018327E" w:rsidRPr="00C41A79" w:rsidRDefault="0018327E" w:rsidP="0018327E">
      <w:pPr>
        <w:rPr>
          <w:rFonts w:ascii="Calibri" w:hAnsi="Calibri"/>
          <w:b/>
        </w:rPr>
      </w:pPr>
      <w:r w:rsidRPr="00C41A79">
        <w:rPr>
          <w:rFonts w:ascii="Calibri" w:hAnsi="Calibri"/>
          <w:b/>
        </w:rPr>
        <w:t>5. WYKONANIE ROBÓT</w:t>
      </w:r>
      <w:bookmarkEnd w:id="1605"/>
    </w:p>
    <w:p w:rsidR="0018327E" w:rsidRPr="00AA1C97" w:rsidRDefault="0018327E" w:rsidP="0018327E">
      <w:pPr>
        <w:rPr>
          <w:rFonts w:ascii="Calibri" w:hAnsi="Calibri"/>
        </w:rPr>
      </w:pPr>
      <w:r w:rsidRPr="00C41A79">
        <w:rPr>
          <w:rFonts w:ascii="Calibri" w:hAnsi="Calibri"/>
          <w:b/>
        </w:rPr>
        <w:t>5.1.</w:t>
      </w:r>
      <w:r w:rsidRPr="00AA1C97">
        <w:rPr>
          <w:rFonts w:ascii="Calibri" w:hAnsi="Calibri"/>
        </w:rPr>
        <w:t xml:space="preserve"> Ogólne zasady wykonania robót</w:t>
      </w:r>
    </w:p>
    <w:p w:rsidR="0018327E" w:rsidRPr="00AA1C97" w:rsidRDefault="0018327E" w:rsidP="0018327E">
      <w:pPr>
        <w:rPr>
          <w:rFonts w:ascii="Calibri" w:hAnsi="Calibri"/>
        </w:rPr>
      </w:pPr>
      <w:r w:rsidRPr="00AA1C97">
        <w:rPr>
          <w:rFonts w:ascii="Calibri" w:hAnsi="Calibri"/>
        </w:rPr>
        <w:tab/>
        <w:t>Ogólne zasady wykonania robót podano w ST D-M-00.00.00 „Wymagania ogólne” pkt 5.</w:t>
      </w:r>
    </w:p>
    <w:p w:rsidR="0018327E" w:rsidRPr="00AA1C97" w:rsidRDefault="0018327E" w:rsidP="0018327E">
      <w:pPr>
        <w:rPr>
          <w:rFonts w:ascii="Calibri" w:hAnsi="Calibri"/>
        </w:rPr>
      </w:pPr>
      <w:r w:rsidRPr="00C41A79">
        <w:rPr>
          <w:rFonts w:ascii="Calibri" w:hAnsi="Calibri"/>
          <w:b/>
        </w:rPr>
        <w:t>5.2.</w:t>
      </w:r>
      <w:r w:rsidRPr="00AA1C97">
        <w:rPr>
          <w:rFonts w:ascii="Calibri" w:hAnsi="Calibri"/>
        </w:rPr>
        <w:t xml:space="preserve"> Zasady wykonania urządzeń zabezpieczających ruch pieszych</w:t>
      </w:r>
    </w:p>
    <w:p w:rsidR="0018327E" w:rsidRPr="00AA1C97" w:rsidRDefault="0018327E" w:rsidP="0018327E">
      <w:pPr>
        <w:rPr>
          <w:rFonts w:ascii="Calibri" w:hAnsi="Calibri"/>
        </w:rPr>
      </w:pPr>
      <w:r w:rsidRPr="00AA1C97">
        <w:rPr>
          <w:rFonts w:ascii="Calibri" w:hAnsi="Calibri"/>
        </w:rPr>
        <w:tab/>
        <w:t>W zależności od wielkości robót Wykonawca przedstawi do akceptacji Inżyniera zakres robót wykonywanych bezpośrednio na placu budowy oraz robót przygotowawczych na zapleczu.</w:t>
      </w:r>
    </w:p>
    <w:p w:rsidR="0018327E" w:rsidRPr="00AA1C97" w:rsidRDefault="0018327E" w:rsidP="0018327E">
      <w:pPr>
        <w:rPr>
          <w:rFonts w:ascii="Calibri" w:hAnsi="Calibri"/>
        </w:rPr>
      </w:pPr>
      <w:r w:rsidRPr="00AA1C97">
        <w:rPr>
          <w:rFonts w:ascii="Calibri" w:hAnsi="Calibri"/>
        </w:rPr>
        <w:tab/>
        <w:t>Przed wykonywaniem robót należy wytyczyć lokalizację barier i innych urządzeń liniowych zabezpieczających ruch pieszych na podstawie dokumentacji projektowej lub zaleceń Inżyniera.</w:t>
      </w:r>
    </w:p>
    <w:p w:rsidR="0018327E" w:rsidRPr="00AA1C97" w:rsidRDefault="0018327E" w:rsidP="0018327E">
      <w:pPr>
        <w:rPr>
          <w:rFonts w:ascii="Calibri" w:hAnsi="Calibri"/>
        </w:rPr>
      </w:pPr>
      <w:r w:rsidRPr="00AA1C97">
        <w:rPr>
          <w:rFonts w:ascii="Calibri" w:hAnsi="Calibri"/>
        </w:rPr>
        <w:tab/>
        <w:t>Do podstawowych czynności objętych niniejszą ST przy wykonywaniu ww. robót należą:</w:t>
      </w:r>
    </w:p>
    <w:p w:rsidR="0018327E" w:rsidRPr="00AA1C97" w:rsidRDefault="0018327E" w:rsidP="0018327E">
      <w:pPr>
        <w:rPr>
          <w:rFonts w:ascii="Calibri" w:hAnsi="Calibri"/>
        </w:rPr>
      </w:pPr>
      <w:r>
        <w:rPr>
          <w:rFonts w:ascii="Calibri" w:hAnsi="Calibri"/>
        </w:rPr>
        <w:t>-</w:t>
      </w:r>
      <w:r w:rsidRPr="00AA1C97">
        <w:rPr>
          <w:rFonts w:ascii="Calibri" w:hAnsi="Calibri"/>
        </w:rPr>
        <w:t>wykonanie dołów pod słupki,</w:t>
      </w:r>
    </w:p>
    <w:p w:rsidR="0018327E" w:rsidRPr="00AA1C97" w:rsidRDefault="0018327E" w:rsidP="0018327E">
      <w:pPr>
        <w:rPr>
          <w:rFonts w:ascii="Calibri" w:hAnsi="Calibri"/>
        </w:rPr>
      </w:pPr>
      <w:r>
        <w:rPr>
          <w:rFonts w:ascii="Calibri" w:hAnsi="Calibri"/>
        </w:rPr>
        <w:t>-</w:t>
      </w:r>
      <w:r w:rsidRPr="00AA1C97">
        <w:rPr>
          <w:rFonts w:ascii="Calibri" w:hAnsi="Calibri"/>
        </w:rPr>
        <w:t>wykonanie fundamentów betonowych pod słupki,</w:t>
      </w:r>
    </w:p>
    <w:p w:rsidR="0018327E" w:rsidRPr="00AA1C97" w:rsidRDefault="0018327E" w:rsidP="0018327E">
      <w:pPr>
        <w:rPr>
          <w:rFonts w:ascii="Calibri" w:hAnsi="Calibri"/>
        </w:rPr>
      </w:pPr>
      <w:r>
        <w:rPr>
          <w:rFonts w:ascii="Calibri" w:hAnsi="Calibri"/>
        </w:rPr>
        <w:t>-</w:t>
      </w:r>
      <w:r w:rsidRPr="00AA1C97">
        <w:rPr>
          <w:rFonts w:ascii="Calibri" w:hAnsi="Calibri"/>
        </w:rPr>
        <w:t>ustawienie słupków,</w:t>
      </w:r>
    </w:p>
    <w:p w:rsidR="0018327E" w:rsidRPr="00AA1C97" w:rsidRDefault="0018327E" w:rsidP="0018327E">
      <w:pPr>
        <w:rPr>
          <w:rFonts w:ascii="Calibri" w:hAnsi="Calibri"/>
        </w:rPr>
      </w:pPr>
      <w:r>
        <w:rPr>
          <w:rFonts w:ascii="Calibri" w:hAnsi="Calibri"/>
        </w:rPr>
        <w:t>-</w:t>
      </w:r>
      <w:r w:rsidRPr="00AA1C97">
        <w:rPr>
          <w:rFonts w:ascii="Calibri" w:hAnsi="Calibri"/>
        </w:rPr>
        <w:t>zamontowanie elementów z kształtowników lub rur.</w:t>
      </w:r>
    </w:p>
    <w:p w:rsidR="0018327E" w:rsidRPr="00AA1C97" w:rsidRDefault="0018327E" w:rsidP="0018327E">
      <w:pPr>
        <w:rPr>
          <w:rFonts w:ascii="Calibri" w:hAnsi="Calibri"/>
        </w:rPr>
      </w:pPr>
      <w:r w:rsidRPr="00C41A79">
        <w:rPr>
          <w:rFonts w:ascii="Calibri" w:hAnsi="Calibri"/>
          <w:b/>
        </w:rPr>
        <w:t>5.3.</w:t>
      </w:r>
      <w:r w:rsidRPr="00AA1C97">
        <w:rPr>
          <w:rFonts w:ascii="Calibri" w:hAnsi="Calibri"/>
        </w:rPr>
        <w:t xml:space="preserve"> Wykonanie dołów pod słupki</w:t>
      </w:r>
    </w:p>
    <w:p w:rsidR="0018327E" w:rsidRPr="00AA1C97" w:rsidRDefault="0018327E" w:rsidP="0018327E">
      <w:pPr>
        <w:rPr>
          <w:rFonts w:ascii="Calibri" w:hAnsi="Calibri"/>
        </w:rPr>
      </w:pPr>
      <w:r w:rsidRPr="00AA1C97">
        <w:rPr>
          <w:rFonts w:ascii="Calibri" w:hAnsi="Calibri"/>
        </w:rPr>
        <w:tab/>
        <w:t>Jeśli dokumentacja projektowa nie podaje inaczej, to doły pod słupki powinny mieć wymiary w planie co najmniej o 20 cm większe od wymiarów słupka, a głębokość od  0,8 do 1,2 m.</w:t>
      </w:r>
    </w:p>
    <w:p w:rsidR="0018327E" w:rsidRPr="00AA1C97" w:rsidRDefault="0018327E" w:rsidP="0018327E">
      <w:pPr>
        <w:rPr>
          <w:rFonts w:ascii="Calibri" w:hAnsi="Calibri"/>
        </w:rPr>
      </w:pPr>
      <w:r w:rsidRPr="00C41A79">
        <w:rPr>
          <w:rFonts w:ascii="Calibri" w:hAnsi="Calibri"/>
          <w:b/>
        </w:rPr>
        <w:t>5.4.</w:t>
      </w:r>
      <w:r w:rsidRPr="00AA1C97">
        <w:rPr>
          <w:rFonts w:ascii="Calibri" w:hAnsi="Calibri"/>
        </w:rPr>
        <w:t xml:space="preserve"> Ustawienie słupków wraz z wykonaniem fundamentów betonowych pod słupki</w:t>
      </w:r>
    </w:p>
    <w:p w:rsidR="0018327E" w:rsidRPr="00AA1C97" w:rsidRDefault="0018327E" w:rsidP="0018327E">
      <w:pPr>
        <w:rPr>
          <w:rFonts w:ascii="Calibri" w:hAnsi="Calibri"/>
        </w:rPr>
      </w:pPr>
      <w:r w:rsidRPr="00AA1C97">
        <w:rPr>
          <w:rFonts w:ascii="Calibri" w:hAnsi="Calibri"/>
        </w:rPr>
        <w:t xml:space="preserve">        </w:t>
      </w:r>
      <w:r w:rsidRPr="00AA1C97">
        <w:rPr>
          <w:rFonts w:ascii="Calibri" w:hAnsi="Calibri"/>
        </w:rPr>
        <w:tab/>
        <w:t>Jeśli dokumentacja projektowa nie podaje inaczej, to słupki mogą być osadzone w betonie ułożonym w dołku albo oprawione w bloczki betonowe formowane na zapleczu i dostarczane do miejsca budowy urządzenia zabezpieczającego ruch pieszych. Po uzyskaniu akceptacji Inżyniera, słupki betonowe mogą być obłożone kamieniami lub gruzem i przysypane ziemią.</w:t>
      </w:r>
    </w:p>
    <w:p w:rsidR="0018327E" w:rsidRPr="00AA1C97" w:rsidRDefault="0018327E" w:rsidP="0018327E">
      <w:pPr>
        <w:rPr>
          <w:rFonts w:ascii="Calibri" w:hAnsi="Calibri"/>
        </w:rPr>
      </w:pPr>
      <w:r w:rsidRPr="00AA1C97">
        <w:rPr>
          <w:rFonts w:ascii="Calibri" w:hAnsi="Calibri"/>
        </w:rPr>
        <w:tab/>
        <w:t>Słupek należy wstawić w gotowy wykop i napełnić otwór mieszanką betonową odpowiadającą wymaganiom punktu 2.4. Do czasu stwardnienia betonu słupek należy podeprzeć.</w:t>
      </w:r>
    </w:p>
    <w:p w:rsidR="0018327E" w:rsidRPr="00AA1C97" w:rsidRDefault="0018327E" w:rsidP="0018327E">
      <w:pPr>
        <w:rPr>
          <w:rFonts w:ascii="Calibri" w:hAnsi="Calibri"/>
        </w:rPr>
      </w:pPr>
      <w:r w:rsidRPr="00AA1C97">
        <w:rPr>
          <w:rFonts w:ascii="Calibri" w:hAnsi="Calibri"/>
        </w:rPr>
        <w:tab/>
        <w:t>Fundament betonowy wykonany „na mokro”, w którym osadzono słupek, można wykorzystywać do dalszych prac (np. napinania siatki) co najmniej po 7 dniach od ustawienia słupka w betonie, a jeśli temperatura w czasie wykonywania fundamentu jest niższa od 10</w:t>
      </w:r>
      <w:r w:rsidRPr="00C41A79">
        <w:rPr>
          <w:rFonts w:ascii="Calibri" w:hAnsi="Calibri"/>
          <w:vertAlign w:val="superscript"/>
        </w:rPr>
        <w:t>o</w:t>
      </w:r>
      <w:r w:rsidRPr="00AA1C97">
        <w:rPr>
          <w:rFonts w:ascii="Calibri" w:hAnsi="Calibri"/>
        </w:rPr>
        <w:t>C - po 14 dniach.</w:t>
      </w:r>
    </w:p>
    <w:p w:rsidR="0018327E" w:rsidRPr="00AA1C97" w:rsidRDefault="0018327E" w:rsidP="0018327E">
      <w:pPr>
        <w:rPr>
          <w:rFonts w:ascii="Calibri" w:hAnsi="Calibri"/>
        </w:rPr>
      </w:pPr>
      <w:r w:rsidRPr="00C41A79">
        <w:rPr>
          <w:rFonts w:ascii="Calibri" w:hAnsi="Calibri"/>
          <w:b/>
        </w:rPr>
        <w:t>5.5.</w:t>
      </w:r>
      <w:r w:rsidRPr="00AA1C97">
        <w:rPr>
          <w:rFonts w:ascii="Calibri" w:hAnsi="Calibri"/>
        </w:rPr>
        <w:t xml:space="preserve"> Ustawienie słupków</w:t>
      </w:r>
    </w:p>
    <w:p w:rsidR="0018327E" w:rsidRPr="00AA1C97" w:rsidRDefault="0018327E" w:rsidP="0018327E">
      <w:pPr>
        <w:rPr>
          <w:rFonts w:ascii="Calibri" w:hAnsi="Calibri"/>
        </w:rPr>
      </w:pPr>
      <w:r w:rsidRPr="00AA1C97">
        <w:rPr>
          <w:rFonts w:ascii="Calibri" w:hAnsi="Calibri"/>
        </w:rPr>
        <w:tab/>
        <w:t>Słupki, bez względu na rodzaj i sposób osadzenia w gruncie, powinny stać pionowo w linii urządzenia zabezpieczającego ruch pieszych, a ich wierzchołki powinny znajdować się na jednakowej wysokości. Słupki z rur powinny mieć zaspawany górny otwór rury.</w:t>
      </w:r>
    </w:p>
    <w:p w:rsidR="0018327E" w:rsidRPr="00AA1C97" w:rsidRDefault="0018327E" w:rsidP="0018327E">
      <w:pPr>
        <w:rPr>
          <w:rFonts w:ascii="Calibri" w:hAnsi="Calibri"/>
        </w:rPr>
      </w:pPr>
      <w:r w:rsidRPr="00AA1C97">
        <w:rPr>
          <w:rFonts w:ascii="Calibri" w:hAnsi="Calibri"/>
        </w:rPr>
        <w:tab/>
        <w:t>Słupki końcowe, narożne oraz stojące na załamaniach wygrodzenia o kącie większym od 15</w:t>
      </w:r>
      <w:r w:rsidRPr="00C41A79">
        <w:rPr>
          <w:rFonts w:ascii="Calibri" w:hAnsi="Calibri"/>
          <w:vertAlign w:val="superscript"/>
        </w:rPr>
        <w:t>o</w:t>
      </w:r>
      <w:r w:rsidRPr="00AA1C97">
        <w:rPr>
          <w:rFonts w:ascii="Calibri" w:hAnsi="Calibri"/>
        </w:rPr>
        <w:t xml:space="preserve"> należy zabezpieczyć przed wychylaniem się ukośnymi słupkami wspierającymi, ustawiając je wzdłuż biegu ogrodzenia pod kątem około 30 do 45</w:t>
      </w:r>
      <w:r w:rsidRPr="00C41A79">
        <w:rPr>
          <w:rFonts w:ascii="Calibri" w:hAnsi="Calibri"/>
          <w:vertAlign w:val="superscript"/>
        </w:rPr>
        <w:t>o</w:t>
      </w:r>
      <w:r w:rsidRPr="00AA1C97">
        <w:rPr>
          <w:rFonts w:ascii="Calibri" w:hAnsi="Calibri"/>
        </w:rPr>
        <w:t>.</w:t>
      </w:r>
    </w:p>
    <w:p w:rsidR="0018327E" w:rsidRPr="00AA1C97" w:rsidRDefault="0018327E" w:rsidP="0018327E">
      <w:pPr>
        <w:rPr>
          <w:rFonts w:ascii="Calibri" w:hAnsi="Calibri"/>
        </w:rPr>
      </w:pPr>
      <w:r w:rsidRPr="00AA1C97">
        <w:rPr>
          <w:rFonts w:ascii="Calibri" w:hAnsi="Calibri"/>
        </w:rPr>
        <w:tab/>
        <w:t xml:space="preserve">Słupki do siatki ogrodzeniowej powinny być przystosowane do umocowania na nich linek usztywniających przez posiadanie odpowiednich uszek lub otworów do zaczepów i haków metalowych. </w:t>
      </w:r>
      <w:r w:rsidRPr="00AA1C97">
        <w:rPr>
          <w:rFonts w:ascii="Calibri" w:hAnsi="Calibri"/>
        </w:rPr>
        <w:lastRenderedPageBreak/>
        <w:t>Słupki końcowe lub narożne powinny być dodatkowo przystosowane do umocowania do nich siatki (np. przez przymocowanie do nich pręta stalowego).</w:t>
      </w:r>
    </w:p>
    <w:p w:rsidR="0018327E" w:rsidRPr="00AA1C97" w:rsidRDefault="0018327E" w:rsidP="0018327E">
      <w:pPr>
        <w:rPr>
          <w:rFonts w:ascii="Calibri" w:hAnsi="Calibri"/>
        </w:rPr>
      </w:pPr>
      <w:r w:rsidRPr="00C41A79">
        <w:rPr>
          <w:rFonts w:ascii="Calibri" w:hAnsi="Calibri"/>
          <w:b/>
        </w:rPr>
        <w:t>5.6.</w:t>
      </w:r>
      <w:r w:rsidRPr="00AA1C97">
        <w:rPr>
          <w:rFonts w:ascii="Calibri" w:hAnsi="Calibri"/>
        </w:rPr>
        <w:t xml:space="preserve"> Słupki wbijane lub wwibrowywane bezpośrednio w grunt</w:t>
      </w:r>
    </w:p>
    <w:p w:rsidR="0018327E" w:rsidRPr="00AA1C97" w:rsidRDefault="0018327E" w:rsidP="0018327E">
      <w:pPr>
        <w:rPr>
          <w:rFonts w:ascii="Calibri" w:hAnsi="Calibri"/>
        </w:rPr>
      </w:pPr>
      <w:r w:rsidRPr="00AA1C97">
        <w:rPr>
          <w:rFonts w:ascii="Calibri" w:hAnsi="Calibri"/>
        </w:rPr>
        <w:tab/>
        <w:t xml:space="preserve">Jeśli </w:t>
      </w:r>
      <w:r>
        <w:rPr>
          <w:rFonts w:ascii="Calibri" w:hAnsi="Calibri"/>
        </w:rPr>
        <w:t xml:space="preserve">dokumentacja projektowa lub </w:t>
      </w:r>
      <w:r w:rsidRPr="00AA1C97">
        <w:rPr>
          <w:rFonts w:ascii="Calibri" w:hAnsi="Calibri"/>
        </w:rPr>
        <w:t>ustali bezpośrednie wbijanie lub wwibrowywanie słupków w grunt, to Wykonawca przedstawi do akceptacji Inżyniera:</w:t>
      </w:r>
    </w:p>
    <w:p w:rsidR="0018327E" w:rsidRPr="00AA1C97" w:rsidRDefault="0018327E" w:rsidP="0018327E">
      <w:pPr>
        <w:rPr>
          <w:rFonts w:ascii="Calibri" w:hAnsi="Calibri"/>
        </w:rPr>
      </w:pPr>
      <w:r>
        <w:rPr>
          <w:rFonts w:ascii="Calibri" w:hAnsi="Calibri"/>
        </w:rPr>
        <w:t>-</w:t>
      </w:r>
      <w:r w:rsidRPr="00AA1C97">
        <w:rPr>
          <w:rFonts w:ascii="Calibri" w:hAnsi="Calibri"/>
        </w:rPr>
        <w:t>sposób wykonania, zapewniający zachowanie osi słupka w pionie i nie powodujący odkształceń lub uszkodzeń słupka,</w:t>
      </w:r>
    </w:p>
    <w:p w:rsidR="0018327E" w:rsidRPr="00AA1C97" w:rsidRDefault="0018327E" w:rsidP="0018327E">
      <w:pPr>
        <w:rPr>
          <w:rFonts w:ascii="Calibri" w:hAnsi="Calibri"/>
        </w:rPr>
      </w:pPr>
      <w:r>
        <w:rPr>
          <w:rFonts w:ascii="Calibri" w:hAnsi="Calibri"/>
        </w:rPr>
        <w:t>-</w:t>
      </w:r>
      <w:r w:rsidRPr="00AA1C97">
        <w:rPr>
          <w:rFonts w:ascii="Calibri" w:hAnsi="Calibri"/>
        </w:rPr>
        <w:t>rodzaj sprzętu (i jego charakterystykę techniczną), dotyczący np. młotów (bab) ręcznych podnoszonych bezpośrednio (lub przy użyciu urządzeń pomocniczych) przez robotników, młotów mechanicznych z wciągarką ręczną lub napędem spalinowym, wibromłotów pogrążających słupki w gruncie poprzez wibrację i działanie udarowe</w:t>
      </w:r>
    </w:p>
    <w:p w:rsidR="0018327E" w:rsidRPr="00AA1C97" w:rsidRDefault="0018327E" w:rsidP="0018327E">
      <w:pPr>
        <w:rPr>
          <w:rFonts w:ascii="Calibri" w:hAnsi="Calibri"/>
        </w:rPr>
      </w:pPr>
      <w:r>
        <w:rPr>
          <w:rFonts w:ascii="Calibri" w:hAnsi="Calibri"/>
        </w:rPr>
        <w:t>-</w:t>
      </w:r>
      <w:r w:rsidRPr="00AA1C97">
        <w:rPr>
          <w:rFonts w:ascii="Calibri" w:hAnsi="Calibri"/>
        </w:rPr>
        <w:t>przy zachowaniu wymagań ustawienia słupków podanych w p. 5.5 z anulowaniem postanowień dotyczących wykonania dołów i fundamentów podanych w punktach 5.3 i 5.4.</w:t>
      </w:r>
    </w:p>
    <w:p w:rsidR="0018327E" w:rsidRPr="00AA1C97" w:rsidRDefault="0018327E" w:rsidP="0018327E">
      <w:pPr>
        <w:rPr>
          <w:rFonts w:ascii="Calibri" w:hAnsi="Calibri"/>
        </w:rPr>
      </w:pPr>
      <w:r w:rsidRPr="00C41A79">
        <w:rPr>
          <w:rFonts w:ascii="Calibri" w:hAnsi="Calibri"/>
          <w:b/>
        </w:rPr>
        <w:t>5.10.</w:t>
      </w:r>
      <w:r w:rsidRPr="00AA1C97">
        <w:rPr>
          <w:rFonts w:ascii="Calibri" w:hAnsi="Calibri"/>
        </w:rPr>
        <w:t xml:space="preserve"> Wykonanie urządzeń zabezpieczających ruch pieszych w formie poręczy</w:t>
      </w:r>
    </w:p>
    <w:p w:rsidR="0018327E" w:rsidRPr="00AA1C97" w:rsidRDefault="0018327E" w:rsidP="0018327E">
      <w:pPr>
        <w:rPr>
          <w:rFonts w:ascii="Calibri" w:hAnsi="Calibri"/>
        </w:rPr>
      </w:pPr>
      <w:r w:rsidRPr="00AA1C97">
        <w:rPr>
          <w:rFonts w:ascii="Calibri" w:hAnsi="Calibri"/>
        </w:rPr>
        <w:tab/>
        <w:t>Poręcze oddzielające ruch pieszy od kołowego winny być wykonane zgodnie z dokumentacją projektową.</w:t>
      </w:r>
    </w:p>
    <w:p w:rsidR="0018327E" w:rsidRPr="00AA1C97" w:rsidRDefault="0018327E" w:rsidP="0018327E">
      <w:pPr>
        <w:rPr>
          <w:rFonts w:ascii="Calibri" w:hAnsi="Calibri"/>
        </w:rPr>
      </w:pPr>
      <w:r w:rsidRPr="00AA1C97">
        <w:rPr>
          <w:rFonts w:ascii="Calibri" w:hAnsi="Calibri"/>
        </w:rPr>
        <w:tab/>
        <w:t xml:space="preserve">W przypadku braku szczegółowych wskazań, za  zgodą Inżyniera można stosować poręcze zgodne z typ P1 z płaskownika 50x10 mm (szczebliny, przeciągi) i 80x12 mm (pochwyt, słupki); typ 2A z pochwytem z ceownika 80E, słupkami z dwuteownika 80 oraz przeciągami z rur </w:t>
      </w:r>
      <w:r w:rsidRPr="00AA1C97">
        <w:rPr>
          <w:rFonts w:ascii="Calibri" w:hAnsi="Calibri"/>
        </w:rPr>
        <w:sym w:font="Courier New" w:char="03C6"/>
      </w:r>
      <w:r w:rsidRPr="00AA1C97">
        <w:rPr>
          <w:rFonts w:ascii="Calibri" w:hAnsi="Calibri"/>
        </w:rPr>
        <w:t xml:space="preserve"> 32x3; typ 2B jak typ 2A lecz z przeciągami z kątownika 45x45x5 mm; typ 3A z pochwytem z ceownika 80E, słupkami z dwuteownika 80 oraz przeciągami z rur </w:t>
      </w:r>
      <w:r w:rsidRPr="00AA1C97">
        <w:rPr>
          <w:rFonts w:ascii="Calibri" w:hAnsi="Calibri"/>
        </w:rPr>
        <w:sym w:font="Courier New" w:char="03C6"/>
      </w:r>
      <w:r w:rsidRPr="00AA1C97">
        <w:rPr>
          <w:rFonts w:ascii="Calibri" w:hAnsi="Calibri"/>
        </w:rPr>
        <w:t xml:space="preserve"> 32x3 oraz typ 3B jak wyżej lecz z przeciągami z kątownika 45x45x5 mm. Długość segmentów: dla poręczy ze szczeblinami 1,0 m dla pozostałych 2,0 m. Wysokość poręczy wynosi 1,0 m.</w:t>
      </w:r>
    </w:p>
    <w:p w:rsidR="0018327E" w:rsidRPr="00AA1C97" w:rsidRDefault="0018327E" w:rsidP="0018327E">
      <w:pPr>
        <w:rPr>
          <w:rFonts w:ascii="Calibri" w:hAnsi="Calibri"/>
        </w:rPr>
      </w:pPr>
      <w:r w:rsidRPr="00AA1C97">
        <w:rPr>
          <w:rFonts w:ascii="Calibri" w:hAnsi="Calibri"/>
        </w:rPr>
        <w:tab/>
        <w:t>Rozstaw dylatacji poręczy powinien być zgodny z dokumentacją projektową.</w:t>
      </w:r>
    </w:p>
    <w:p w:rsidR="0018327E" w:rsidRPr="00AA1C97" w:rsidRDefault="0018327E" w:rsidP="0018327E">
      <w:pPr>
        <w:rPr>
          <w:rFonts w:ascii="Calibri" w:hAnsi="Calibri"/>
        </w:rPr>
      </w:pPr>
      <w:r w:rsidRPr="00AA1C97">
        <w:rPr>
          <w:rFonts w:ascii="Calibri" w:hAnsi="Calibri"/>
        </w:rPr>
        <w:tab/>
        <w:t>Maksymalną długość poręczy nie dylatowanych określa się na 50 m pod warunkiem zgody Inżyniera.</w:t>
      </w:r>
    </w:p>
    <w:p w:rsidR="0018327E" w:rsidRPr="00AA1C97" w:rsidRDefault="0018327E" w:rsidP="0018327E">
      <w:pPr>
        <w:rPr>
          <w:rFonts w:ascii="Calibri" w:hAnsi="Calibri"/>
        </w:rPr>
      </w:pPr>
      <w:r w:rsidRPr="00C41A79">
        <w:rPr>
          <w:rFonts w:ascii="Calibri" w:hAnsi="Calibri"/>
          <w:b/>
        </w:rPr>
        <w:t>5.11.</w:t>
      </w:r>
      <w:r w:rsidRPr="00AA1C97">
        <w:rPr>
          <w:rFonts w:ascii="Calibri" w:hAnsi="Calibri"/>
        </w:rPr>
        <w:t xml:space="preserve"> Wykonanie spawanych złącz elementów urządzeń zabezpieczających ruch</w:t>
      </w:r>
    </w:p>
    <w:p w:rsidR="0018327E" w:rsidRPr="00AA1C97" w:rsidRDefault="0018327E" w:rsidP="0018327E">
      <w:pPr>
        <w:rPr>
          <w:rFonts w:ascii="Calibri" w:hAnsi="Calibri"/>
        </w:rPr>
      </w:pPr>
      <w:r w:rsidRPr="00AA1C97">
        <w:rPr>
          <w:rFonts w:ascii="Calibri" w:hAnsi="Calibri"/>
        </w:rPr>
        <w:t xml:space="preserve">          pieszych</w:t>
      </w:r>
    </w:p>
    <w:p w:rsidR="0018327E" w:rsidRPr="00AA1C97" w:rsidRDefault="0018327E" w:rsidP="0018327E">
      <w:pPr>
        <w:rPr>
          <w:rFonts w:ascii="Calibri" w:hAnsi="Calibri"/>
        </w:rPr>
      </w:pPr>
      <w:r w:rsidRPr="00AA1C97">
        <w:rPr>
          <w:rFonts w:ascii="Calibri" w:hAnsi="Calibri"/>
        </w:rPr>
        <w:tab/>
        <w:t>Złącza spawane elementów urządzeń zabezpieczających ruch pieszych powinny odpowiadać wymaganiom PN-M-69011.</w:t>
      </w:r>
    </w:p>
    <w:p w:rsidR="0018327E" w:rsidRPr="00AA1C97" w:rsidRDefault="0018327E" w:rsidP="0018327E">
      <w:pPr>
        <w:rPr>
          <w:rFonts w:ascii="Calibri" w:hAnsi="Calibri"/>
        </w:rPr>
      </w:pPr>
      <w:r w:rsidRPr="00AA1C97">
        <w:rPr>
          <w:rFonts w:ascii="Calibri" w:hAnsi="Calibri"/>
        </w:rPr>
        <w:tab/>
        <w:t xml:space="preserve">Wytrzymałość zmęczeniowa spoin powinna wynosić od 19 do 32 MPa. Odchyłki wymiarów spoin nie powinny przekraczać </w:t>
      </w:r>
      <w:r w:rsidRPr="00AA1C97">
        <w:rPr>
          <w:rFonts w:ascii="Calibri" w:hAnsi="Calibri"/>
        </w:rPr>
        <w:sym w:font="Symbol" w:char="F0B1"/>
      </w:r>
      <w:r w:rsidRPr="00AA1C97">
        <w:rPr>
          <w:rFonts w:ascii="Calibri" w:hAnsi="Calibri"/>
        </w:rPr>
        <w:t xml:space="preserve"> 0,5 mm dla grubości spoiny do 6 mm i </w:t>
      </w:r>
      <w:r w:rsidRPr="00AA1C97">
        <w:rPr>
          <w:rFonts w:ascii="Calibri" w:hAnsi="Calibri"/>
        </w:rPr>
        <w:sym w:font="Symbol" w:char="F0B1"/>
      </w:r>
      <w:r w:rsidRPr="00AA1C97">
        <w:rPr>
          <w:rFonts w:ascii="Calibri" w:hAnsi="Calibri"/>
        </w:rPr>
        <w:t xml:space="preserve"> 1,0 mm dla spoiny powyżej 6 mm.</w:t>
      </w:r>
    </w:p>
    <w:p w:rsidR="0018327E" w:rsidRPr="00AA1C97" w:rsidRDefault="0018327E" w:rsidP="0018327E">
      <w:pPr>
        <w:rPr>
          <w:rFonts w:ascii="Calibri" w:hAnsi="Calibri"/>
        </w:rPr>
      </w:pPr>
      <w:r w:rsidRPr="00AA1C97">
        <w:rPr>
          <w:rFonts w:ascii="Calibri" w:hAnsi="Calibri"/>
        </w:rPr>
        <w:tab/>
        <w:t>Odstęp, w złączach zakładkowych i nadkładkowych, pomiędzy przylegającymi do siebie płaszczyznami nie powinien być większy niż 1 mm.</w:t>
      </w:r>
    </w:p>
    <w:p w:rsidR="0018327E" w:rsidRPr="00AA1C97" w:rsidRDefault="0018327E" w:rsidP="0018327E">
      <w:pPr>
        <w:rPr>
          <w:rFonts w:ascii="Calibri" w:hAnsi="Calibri"/>
        </w:rPr>
      </w:pPr>
      <w:r w:rsidRPr="00AA1C97">
        <w:rPr>
          <w:rFonts w:ascii="Calibri" w:hAnsi="Calibri"/>
        </w:rPr>
        <w:tab/>
        <w:t>Złącza spawane nie powinny mieć wad większych niż podane w tablicy 11. Inżynier może dopuścić wady większe niż podane w tablicy 11 jeśli uzna, że nie mają one zasadniczego wpływu na cechy eksploatacyjne urządzeń zabezpieczających ruch pieszych.</w:t>
      </w:r>
    </w:p>
    <w:p w:rsidR="0018327E" w:rsidRDefault="0018327E" w:rsidP="0018327E">
      <w:pPr>
        <w:rPr>
          <w:rFonts w:ascii="Calibri" w:hAnsi="Calibri"/>
        </w:rPr>
      </w:pPr>
    </w:p>
    <w:p w:rsidR="0018327E" w:rsidRPr="00AA1C97" w:rsidRDefault="0018327E" w:rsidP="0018327E">
      <w:pPr>
        <w:ind w:left="709"/>
        <w:rPr>
          <w:rFonts w:ascii="Calibri" w:hAnsi="Calibri"/>
        </w:rPr>
      </w:pPr>
      <w:r w:rsidRPr="00AA1C97">
        <w:rPr>
          <w:rFonts w:ascii="Calibri" w:hAnsi="Calibri"/>
        </w:rPr>
        <w:t>Tablica 11. Dopuszczalne wymiary wad w złączach spawanych według PN-M-69775</w:t>
      </w:r>
    </w:p>
    <w:tbl>
      <w:tblPr>
        <w:tblW w:w="0" w:type="auto"/>
        <w:tblInd w:w="779" w:type="dxa"/>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ayout w:type="fixed"/>
        <w:tblCellMar>
          <w:left w:w="70" w:type="dxa"/>
          <w:right w:w="70" w:type="dxa"/>
        </w:tblCellMar>
        <w:tblLook w:val="0000"/>
      </w:tblPr>
      <w:tblGrid>
        <w:gridCol w:w="3756"/>
        <w:gridCol w:w="3685"/>
      </w:tblGrid>
      <w:tr w:rsidR="0018327E" w:rsidRPr="00EF5780" w:rsidTr="0018327E">
        <w:tc>
          <w:tcPr>
            <w:tcW w:w="3756" w:type="dxa"/>
            <w:tcBorders>
              <w:bottom w:val="double" w:sz="6" w:space="0" w:color="auto"/>
            </w:tcBorders>
          </w:tcPr>
          <w:p w:rsidR="0018327E" w:rsidRPr="00EF5780" w:rsidRDefault="0018327E" w:rsidP="0018327E">
            <w:pPr>
              <w:pStyle w:val="StylIwony"/>
              <w:spacing w:before="60" w:after="60"/>
              <w:jc w:val="center"/>
              <w:rPr>
                <w:rFonts w:ascii="Calibri" w:hAnsi="Calibri"/>
                <w:sz w:val="18"/>
                <w:szCs w:val="18"/>
              </w:rPr>
            </w:pPr>
            <w:r w:rsidRPr="00EF5780">
              <w:rPr>
                <w:rFonts w:ascii="Calibri" w:hAnsi="Calibri"/>
                <w:sz w:val="18"/>
                <w:szCs w:val="18"/>
              </w:rPr>
              <w:tab/>
            </w:r>
            <w:r w:rsidRPr="00EF5780">
              <w:rPr>
                <w:rFonts w:ascii="Calibri" w:hAnsi="Calibri"/>
                <w:sz w:val="18"/>
                <w:szCs w:val="18"/>
              </w:rPr>
              <w:tab/>
              <w:t>Rodzaj wady</w:t>
            </w:r>
          </w:p>
        </w:tc>
        <w:tc>
          <w:tcPr>
            <w:tcW w:w="3685" w:type="dxa"/>
            <w:tcBorders>
              <w:bottom w:val="double" w:sz="6" w:space="0" w:color="auto"/>
            </w:tcBorders>
          </w:tcPr>
          <w:p w:rsidR="0018327E" w:rsidRPr="00EF5780" w:rsidRDefault="0018327E" w:rsidP="0018327E">
            <w:pPr>
              <w:pStyle w:val="StylIwony"/>
              <w:spacing w:before="60" w:after="60"/>
              <w:jc w:val="center"/>
              <w:rPr>
                <w:rFonts w:ascii="Calibri" w:hAnsi="Calibri"/>
                <w:sz w:val="18"/>
                <w:szCs w:val="18"/>
              </w:rPr>
            </w:pPr>
            <w:r w:rsidRPr="00EF5780">
              <w:rPr>
                <w:rFonts w:ascii="Calibri" w:hAnsi="Calibri"/>
                <w:sz w:val="18"/>
                <w:szCs w:val="18"/>
              </w:rPr>
              <w:t>Dopuszczalny wymiar wady  w mm</w:t>
            </w:r>
          </w:p>
        </w:tc>
      </w:tr>
      <w:tr w:rsidR="0018327E" w:rsidRPr="00EF5780" w:rsidTr="0018327E">
        <w:tc>
          <w:tcPr>
            <w:tcW w:w="3756" w:type="dxa"/>
            <w:tcBorders>
              <w:top w:val="nil"/>
            </w:tcBorders>
          </w:tcPr>
          <w:p w:rsidR="0018327E" w:rsidRPr="00EF5780" w:rsidRDefault="0018327E" w:rsidP="0018327E">
            <w:pPr>
              <w:pStyle w:val="StylIwony"/>
              <w:spacing w:before="60" w:after="0"/>
              <w:rPr>
                <w:rFonts w:ascii="Calibri" w:hAnsi="Calibri"/>
                <w:sz w:val="18"/>
                <w:szCs w:val="18"/>
              </w:rPr>
            </w:pPr>
            <w:r w:rsidRPr="00EF5780">
              <w:rPr>
                <w:rFonts w:ascii="Calibri" w:hAnsi="Calibri"/>
                <w:sz w:val="18"/>
                <w:szCs w:val="18"/>
              </w:rPr>
              <w:t>Brak przetopu</w:t>
            </w:r>
          </w:p>
          <w:p w:rsidR="0018327E" w:rsidRPr="00EF5780" w:rsidRDefault="0018327E" w:rsidP="0018327E">
            <w:pPr>
              <w:pStyle w:val="StylIwony"/>
              <w:spacing w:before="0" w:after="0"/>
              <w:rPr>
                <w:rFonts w:ascii="Calibri" w:hAnsi="Calibri"/>
                <w:sz w:val="18"/>
                <w:szCs w:val="18"/>
              </w:rPr>
            </w:pPr>
            <w:r w:rsidRPr="00EF5780">
              <w:rPr>
                <w:rFonts w:ascii="Calibri" w:hAnsi="Calibri"/>
                <w:sz w:val="18"/>
                <w:szCs w:val="18"/>
              </w:rPr>
              <w:t>Podtopienie lica</w:t>
            </w:r>
          </w:p>
          <w:p w:rsidR="0018327E" w:rsidRPr="00EF5780" w:rsidRDefault="0018327E" w:rsidP="0018327E">
            <w:pPr>
              <w:pStyle w:val="StylIwony"/>
              <w:spacing w:before="0" w:after="0"/>
              <w:rPr>
                <w:rFonts w:ascii="Calibri" w:hAnsi="Calibri"/>
                <w:sz w:val="18"/>
                <w:szCs w:val="18"/>
              </w:rPr>
            </w:pPr>
            <w:r w:rsidRPr="00EF5780">
              <w:rPr>
                <w:rFonts w:ascii="Calibri" w:hAnsi="Calibri"/>
                <w:sz w:val="18"/>
                <w:szCs w:val="18"/>
              </w:rPr>
              <w:t>Porowatość</w:t>
            </w:r>
          </w:p>
          <w:p w:rsidR="0018327E" w:rsidRPr="00EF5780" w:rsidRDefault="0018327E" w:rsidP="0018327E">
            <w:pPr>
              <w:pStyle w:val="StylIwony"/>
              <w:spacing w:before="0" w:after="0"/>
              <w:rPr>
                <w:rFonts w:ascii="Calibri" w:hAnsi="Calibri"/>
                <w:sz w:val="18"/>
                <w:szCs w:val="18"/>
              </w:rPr>
            </w:pPr>
            <w:r w:rsidRPr="00EF5780">
              <w:rPr>
                <w:rFonts w:ascii="Calibri" w:hAnsi="Calibri"/>
                <w:sz w:val="18"/>
                <w:szCs w:val="18"/>
              </w:rPr>
              <w:t>Krater</w:t>
            </w:r>
          </w:p>
          <w:p w:rsidR="0018327E" w:rsidRPr="00EF5780" w:rsidRDefault="0018327E" w:rsidP="0018327E">
            <w:pPr>
              <w:pStyle w:val="StylIwony"/>
              <w:spacing w:before="0" w:after="0"/>
              <w:rPr>
                <w:rFonts w:ascii="Calibri" w:hAnsi="Calibri"/>
                <w:sz w:val="18"/>
                <w:szCs w:val="18"/>
              </w:rPr>
            </w:pPr>
            <w:r w:rsidRPr="00EF5780">
              <w:rPr>
                <w:rFonts w:ascii="Calibri" w:hAnsi="Calibri"/>
                <w:sz w:val="18"/>
                <w:szCs w:val="18"/>
              </w:rPr>
              <w:t>Wklęśnięcie lica</w:t>
            </w:r>
          </w:p>
          <w:p w:rsidR="0018327E" w:rsidRPr="00EF5780" w:rsidRDefault="0018327E" w:rsidP="0018327E">
            <w:pPr>
              <w:pStyle w:val="StylIwony"/>
              <w:spacing w:before="0" w:after="0"/>
              <w:rPr>
                <w:rFonts w:ascii="Calibri" w:hAnsi="Calibri"/>
                <w:sz w:val="18"/>
                <w:szCs w:val="18"/>
              </w:rPr>
            </w:pPr>
            <w:r w:rsidRPr="00EF5780">
              <w:rPr>
                <w:rFonts w:ascii="Calibri" w:hAnsi="Calibri"/>
                <w:sz w:val="18"/>
                <w:szCs w:val="18"/>
              </w:rPr>
              <w:t>Uszkodzenie mechaniczne</w:t>
            </w:r>
          </w:p>
          <w:p w:rsidR="0018327E" w:rsidRPr="00EF5780" w:rsidRDefault="0018327E" w:rsidP="0018327E">
            <w:pPr>
              <w:pStyle w:val="StylIwony"/>
              <w:spacing w:before="0" w:after="0"/>
              <w:rPr>
                <w:rFonts w:ascii="Calibri" w:hAnsi="Calibri"/>
                <w:sz w:val="18"/>
                <w:szCs w:val="18"/>
              </w:rPr>
            </w:pPr>
            <w:r w:rsidRPr="00EF5780">
              <w:rPr>
                <w:rFonts w:ascii="Calibri" w:hAnsi="Calibri"/>
                <w:sz w:val="18"/>
                <w:szCs w:val="18"/>
              </w:rPr>
              <w:t>Różnica wysokości sąsiednich wgłębień</w:t>
            </w:r>
          </w:p>
          <w:p w:rsidR="0018327E" w:rsidRPr="00EF5780" w:rsidRDefault="0018327E" w:rsidP="0018327E">
            <w:pPr>
              <w:pStyle w:val="StylIwony"/>
              <w:spacing w:before="0" w:after="0"/>
              <w:rPr>
                <w:rFonts w:ascii="Calibri" w:hAnsi="Calibri"/>
                <w:sz w:val="18"/>
                <w:szCs w:val="18"/>
              </w:rPr>
            </w:pPr>
            <w:r w:rsidRPr="00EF5780">
              <w:rPr>
                <w:rFonts w:ascii="Calibri" w:hAnsi="Calibri"/>
                <w:sz w:val="18"/>
                <w:szCs w:val="18"/>
              </w:rPr>
              <w:t>i wypukłości lica</w:t>
            </w:r>
          </w:p>
        </w:tc>
        <w:tc>
          <w:tcPr>
            <w:tcW w:w="3685" w:type="dxa"/>
            <w:tcBorders>
              <w:top w:val="nil"/>
            </w:tcBorders>
          </w:tcPr>
          <w:p w:rsidR="0018327E" w:rsidRPr="00EF5780" w:rsidRDefault="0018327E" w:rsidP="0018327E">
            <w:pPr>
              <w:pStyle w:val="StylIwony"/>
              <w:spacing w:before="60" w:after="0"/>
              <w:jc w:val="center"/>
              <w:rPr>
                <w:rFonts w:ascii="Calibri" w:hAnsi="Calibri"/>
                <w:sz w:val="18"/>
                <w:szCs w:val="18"/>
              </w:rPr>
            </w:pPr>
            <w:r w:rsidRPr="00EF5780">
              <w:rPr>
                <w:rFonts w:ascii="Calibri" w:hAnsi="Calibri"/>
                <w:sz w:val="18"/>
                <w:szCs w:val="18"/>
              </w:rPr>
              <w:t>2,0</w:t>
            </w:r>
          </w:p>
          <w:p w:rsidR="0018327E" w:rsidRPr="00EF5780" w:rsidRDefault="0018327E" w:rsidP="0018327E">
            <w:pPr>
              <w:pStyle w:val="StylIwony"/>
              <w:spacing w:before="0" w:after="0"/>
              <w:jc w:val="center"/>
              <w:rPr>
                <w:rFonts w:ascii="Calibri" w:hAnsi="Calibri"/>
                <w:sz w:val="18"/>
                <w:szCs w:val="18"/>
              </w:rPr>
            </w:pPr>
            <w:r w:rsidRPr="00EF5780">
              <w:rPr>
                <w:rFonts w:ascii="Calibri" w:hAnsi="Calibri"/>
                <w:sz w:val="18"/>
                <w:szCs w:val="18"/>
              </w:rPr>
              <w:t>1,5</w:t>
            </w:r>
          </w:p>
          <w:p w:rsidR="0018327E" w:rsidRPr="00EF5780" w:rsidRDefault="0018327E" w:rsidP="0018327E">
            <w:pPr>
              <w:pStyle w:val="StylIwony"/>
              <w:spacing w:before="0" w:after="0"/>
              <w:jc w:val="center"/>
              <w:rPr>
                <w:rFonts w:ascii="Calibri" w:hAnsi="Calibri"/>
                <w:sz w:val="18"/>
                <w:szCs w:val="18"/>
              </w:rPr>
            </w:pPr>
            <w:r w:rsidRPr="00EF5780">
              <w:rPr>
                <w:rFonts w:ascii="Calibri" w:hAnsi="Calibri"/>
                <w:sz w:val="18"/>
                <w:szCs w:val="18"/>
              </w:rPr>
              <w:t>3,0</w:t>
            </w:r>
          </w:p>
          <w:p w:rsidR="0018327E" w:rsidRPr="00EF5780" w:rsidRDefault="0018327E" w:rsidP="0018327E">
            <w:pPr>
              <w:pStyle w:val="StylIwony"/>
              <w:spacing w:before="0" w:after="0"/>
              <w:jc w:val="center"/>
              <w:rPr>
                <w:rFonts w:ascii="Calibri" w:hAnsi="Calibri"/>
                <w:sz w:val="18"/>
                <w:szCs w:val="18"/>
              </w:rPr>
            </w:pPr>
            <w:r w:rsidRPr="00EF5780">
              <w:rPr>
                <w:rFonts w:ascii="Calibri" w:hAnsi="Calibri"/>
                <w:sz w:val="18"/>
                <w:szCs w:val="18"/>
              </w:rPr>
              <w:t>1,5</w:t>
            </w:r>
          </w:p>
          <w:p w:rsidR="0018327E" w:rsidRPr="00EF5780" w:rsidRDefault="0018327E" w:rsidP="0018327E">
            <w:pPr>
              <w:pStyle w:val="StylIwony"/>
              <w:spacing w:before="0" w:after="0"/>
              <w:jc w:val="center"/>
              <w:rPr>
                <w:rFonts w:ascii="Calibri" w:hAnsi="Calibri"/>
                <w:sz w:val="18"/>
                <w:szCs w:val="18"/>
              </w:rPr>
            </w:pPr>
            <w:r w:rsidRPr="00EF5780">
              <w:rPr>
                <w:rFonts w:ascii="Calibri" w:hAnsi="Calibri"/>
                <w:sz w:val="18"/>
                <w:szCs w:val="18"/>
              </w:rPr>
              <w:t>1,5</w:t>
            </w:r>
          </w:p>
          <w:p w:rsidR="0018327E" w:rsidRPr="00EF5780" w:rsidRDefault="0018327E" w:rsidP="0018327E">
            <w:pPr>
              <w:pStyle w:val="StylIwony"/>
              <w:spacing w:before="0" w:after="0"/>
              <w:jc w:val="center"/>
              <w:rPr>
                <w:rFonts w:ascii="Calibri" w:hAnsi="Calibri"/>
                <w:sz w:val="18"/>
                <w:szCs w:val="18"/>
              </w:rPr>
            </w:pPr>
            <w:r w:rsidRPr="00EF5780">
              <w:rPr>
                <w:rFonts w:ascii="Calibri" w:hAnsi="Calibri"/>
                <w:sz w:val="18"/>
                <w:szCs w:val="18"/>
              </w:rPr>
              <w:t>1,0</w:t>
            </w:r>
          </w:p>
          <w:p w:rsidR="0018327E" w:rsidRPr="00EF5780" w:rsidRDefault="0018327E" w:rsidP="0018327E">
            <w:pPr>
              <w:pStyle w:val="StylIwony"/>
              <w:spacing w:before="0" w:after="0"/>
              <w:jc w:val="center"/>
              <w:rPr>
                <w:rFonts w:ascii="Calibri" w:hAnsi="Calibri"/>
                <w:sz w:val="18"/>
                <w:szCs w:val="18"/>
              </w:rPr>
            </w:pPr>
          </w:p>
          <w:p w:rsidR="0018327E" w:rsidRPr="00EF5780" w:rsidRDefault="0018327E" w:rsidP="0018327E">
            <w:pPr>
              <w:pStyle w:val="StylIwony"/>
              <w:spacing w:before="0" w:after="60"/>
              <w:jc w:val="center"/>
              <w:rPr>
                <w:rFonts w:ascii="Calibri" w:hAnsi="Calibri"/>
                <w:sz w:val="18"/>
                <w:szCs w:val="18"/>
              </w:rPr>
            </w:pPr>
            <w:r w:rsidRPr="00EF5780">
              <w:rPr>
                <w:rFonts w:ascii="Calibri" w:hAnsi="Calibri"/>
                <w:sz w:val="18"/>
                <w:szCs w:val="18"/>
              </w:rPr>
              <w:t>3,0</w:t>
            </w:r>
          </w:p>
        </w:tc>
      </w:tr>
    </w:tbl>
    <w:p w:rsidR="0018327E" w:rsidRDefault="0018327E" w:rsidP="0018327E">
      <w:pPr>
        <w:rPr>
          <w:rFonts w:ascii="Calibri" w:hAnsi="Calibri"/>
          <w:b/>
        </w:rPr>
      </w:pPr>
    </w:p>
    <w:p w:rsidR="0018327E" w:rsidRPr="00AA1C97" w:rsidRDefault="0018327E" w:rsidP="0018327E">
      <w:pPr>
        <w:rPr>
          <w:rFonts w:ascii="Calibri" w:hAnsi="Calibri"/>
        </w:rPr>
      </w:pPr>
      <w:r w:rsidRPr="00C41A79">
        <w:rPr>
          <w:rFonts w:ascii="Calibri" w:hAnsi="Calibri"/>
          <w:b/>
        </w:rPr>
        <w:t>5.12.</w:t>
      </w:r>
      <w:r w:rsidRPr="00AA1C97">
        <w:rPr>
          <w:rFonts w:ascii="Calibri" w:hAnsi="Calibri"/>
        </w:rPr>
        <w:t xml:space="preserve"> Malowanie metalowych urządzeń zabezpieczających ruch pieszych</w:t>
      </w:r>
    </w:p>
    <w:p w:rsidR="0018327E" w:rsidRPr="00AA1C97" w:rsidRDefault="0018327E" w:rsidP="0018327E">
      <w:pPr>
        <w:rPr>
          <w:rFonts w:ascii="Calibri" w:hAnsi="Calibri"/>
        </w:rPr>
      </w:pPr>
      <w:r w:rsidRPr="00AA1C97">
        <w:rPr>
          <w:rFonts w:ascii="Calibri" w:hAnsi="Calibri"/>
        </w:rPr>
        <w:tab/>
        <w:t>Zaleca się przeprowadzać malowanie w okresie od maja do września, wyłącznie w dni pogodne, przy zalecanej temperaturze powietrza od 15 do 20</w:t>
      </w:r>
      <w:r w:rsidRPr="00A4300E">
        <w:rPr>
          <w:rFonts w:ascii="Calibri" w:hAnsi="Calibri"/>
          <w:vertAlign w:val="superscript"/>
        </w:rPr>
        <w:t>o</w:t>
      </w:r>
      <w:r w:rsidRPr="00AA1C97">
        <w:rPr>
          <w:rFonts w:ascii="Calibri" w:hAnsi="Calibri"/>
        </w:rPr>
        <w:t>C; nie należy malować pędzlem lub wałkiem w temperaturze poniżej +5</w:t>
      </w:r>
      <w:r w:rsidRPr="00A4300E">
        <w:rPr>
          <w:rFonts w:ascii="Calibri" w:hAnsi="Calibri"/>
          <w:vertAlign w:val="superscript"/>
        </w:rPr>
        <w:t>o</w:t>
      </w:r>
      <w:r w:rsidRPr="00AA1C97">
        <w:rPr>
          <w:rFonts w:ascii="Calibri" w:hAnsi="Calibri"/>
        </w:rPr>
        <w:t>C, jak również malować metodą natryskową w temperaturze poniżej +15</w:t>
      </w:r>
      <w:r w:rsidRPr="00A4300E">
        <w:rPr>
          <w:rFonts w:ascii="Calibri" w:hAnsi="Calibri"/>
          <w:vertAlign w:val="superscript"/>
        </w:rPr>
        <w:t>o</w:t>
      </w:r>
      <w:r w:rsidRPr="00AA1C97">
        <w:rPr>
          <w:rFonts w:ascii="Calibri" w:hAnsi="Calibri"/>
        </w:rPr>
        <w:t>C oraz podczas występującej mgły i rosy.</w:t>
      </w:r>
    </w:p>
    <w:p w:rsidR="0018327E" w:rsidRPr="00AA1C97" w:rsidRDefault="0018327E" w:rsidP="0018327E">
      <w:pPr>
        <w:rPr>
          <w:rFonts w:ascii="Calibri" w:hAnsi="Calibri"/>
        </w:rPr>
      </w:pPr>
      <w:r w:rsidRPr="00AA1C97">
        <w:rPr>
          <w:rFonts w:ascii="Calibri" w:hAnsi="Calibri"/>
        </w:rPr>
        <w:tab/>
        <w:t>Należy przestrzegać następujących zasad przy malowaniu urządzeń:</w:t>
      </w:r>
    </w:p>
    <w:p w:rsidR="0018327E" w:rsidRPr="00AA1C97" w:rsidRDefault="0018327E" w:rsidP="0018327E">
      <w:pPr>
        <w:rPr>
          <w:rFonts w:ascii="Calibri" w:hAnsi="Calibri"/>
        </w:rPr>
      </w:pPr>
      <w:r>
        <w:rPr>
          <w:rFonts w:ascii="Calibri" w:hAnsi="Calibri"/>
        </w:rPr>
        <w:t>-</w:t>
      </w:r>
      <w:r w:rsidRPr="00AA1C97">
        <w:rPr>
          <w:rFonts w:ascii="Calibri" w:hAnsi="Calibri"/>
        </w:rPr>
        <w:t xml:space="preserve">z powierzchni stali należy usunąć bardzo starannie pył, kurz, pleśnie, tłuszcz, rdzę, zgorzelinę, ewentualnie starą łuszczącą się farbę i inne zabrudzenia zmniejszające przyczepność farby do podłoża; poprzez zmywanie, usuwanie przy użyciu szczotek stalowych, odrdzewiaczy chemicznych, materiałów </w:t>
      </w:r>
      <w:r w:rsidRPr="00AA1C97">
        <w:rPr>
          <w:rFonts w:ascii="Calibri" w:hAnsi="Calibri"/>
        </w:rPr>
        <w:lastRenderedPageBreak/>
        <w:t>ściernych, piaskowania, odpalania, ługowania lub przy zastosowaniu innych środków, zgodnie z wymaganiami PN-ISO-8501-1 i PN-H-97052,</w:t>
      </w:r>
    </w:p>
    <w:p w:rsidR="0018327E" w:rsidRPr="00AA1C97" w:rsidRDefault="0018327E" w:rsidP="0018327E">
      <w:pPr>
        <w:rPr>
          <w:rFonts w:ascii="Calibri" w:hAnsi="Calibri"/>
        </w:rPr>
      </w:pPr>
      <w:r>
        <w:rPr>
          <w:rFonts w:ascii="Calibri" w:hAnsi="Calibri"/>
        </w:rPr>
        <w:t>-</w:t>
      </w:r>
      <w:r w:rsidRPr="00AA1C97">
        <w:rPr>
          <w:rFonts w:ascii="Calibri" w:hAnsi="Calibri"/>
        </w:rPr>
        <w:t>przed malowaniem należy wypełnić wgłębienia i rysy na powierzchniach za pomocą kitów lub szpachlówek ogólnego stosowania, a następnie - wygładzić i zeszlifować podłoże pod farbę,</w:t>
      </w:r>
    </w:p>
    <w:p w:rsidR="0018327E" w:rsidRPr="00AA1C97" w:rsidRDefault="0018327E" w:rsidP="0018327E">
      <w:pPr>
        <w:rPr>
          <w:rFonts w:ascii="Calibri" w:hAnsi="Calibri"/>
        </w:rPr>
      </w:pPr>
      <w:r>
        <w:rPr>
          <w:rFonts w:ascii="Calibri" w:hAnsi="Calibri"/>
        </w:rPr>
        <w:t>-</w:t>
      </w:r>
      <w:r w:rsidRPr="00AA1C97">
        <w:rPr>
          <w:rFonts w:ascii="Calibri" w:hAnsi="Calibri"/>
        </w:rPr>
        <w:t>do malowania można stosować farby ogólnego stosowania przeznaczone do użytku zewnętrznego, dobrej jakości, z nieprzekroczonym okresem gwarancji, jako:</w:t>
      </w:r>
    </w:p>
    <w:p w:rsidR="0018327E" w:rsidRPr="00AA1C97" w:rsidRDefault="0018327E" w:rsidP="0018327E">
      <w:pPr>
        <w:rPr>
          <w:rFonts w:ascii="Calibri" w:hAnsi="Calibri"/>
        </w:rPr>
      </w:pPr>
      <w:r>
        <w:rPr>
          <w:rFonts w:ascii="Calibri" w:hAnsi="Calibri"/>
        </w:rPr>
        <w:t>-</w:t>
      </w:r>
      <w:r w:rsidRPr="00AA1C97">
        <w:rPr>
          <w:rFonts w:ascii="Calibri" w:hAnsi="Calibri"/>
        </w:rPr>
        <w:t>farby do gruntowania przeciwrdzewnego (farby i lakiery przeciwkorozyjne),</w:t>
      </w:r>
    </w:p>
    <w:p w:rsidR="0018327E" w:rsidRPr="00AA1C97" w:rsidRDefault="0018327E" w:rsidP="0018327E">
      <w:pPr>
        <w:rPr>
          <w:rFonts w:ascii="Calibri" w:hAnsi="Calibri"/>
        </w:rPr>
      </w:pPr>
      <w:r>
        <w:rPr>
          <w:rFonts w:ascii="Calibri" w:hAnsi="Calibri"/>
        </w:rPr>
        <w:t>-</w:t>
      </w:r>
      <w:r w:rsidRPr="00AA1C97">
        <w:rPr>
          <w:rFonts w:ascii="Calibri" w:hAnsi="Calibri"/>
        </w:rPr>
        <w:t>farby nawierzchniowe (np. lakiery, emalie, wyroby ftalowe, ftalowo-styrenowe, akrylowe itp.)</w:t>
      </w:r>
    </w:p>
    <w:p w:rsidR="0018327E" w:rsidRPr="00AA1C97" w:rsidRDefault="0018327E" w:rsidP="0018327E">
      <w:pPr>
        <w:rPr>
          <w:rFonts w:ascii="Calibri" w:hAnsi="Calibri"/>
        </w:rPr>
      </w:pPr>
      <w:r w:rsidRPr="00AA1C97">
        <w:rPr>
          <w:rFonts w:ascii="Calibri" w:hAnsi="Calibri"/>
        </w:rPr>
        <w:tab/>
        <w:t xml:space="preserve"> oraz</w:t>
      </w:r>
    </w:p>
    <w:p w:rsidR="0018327E" w:rsidRPr="00AA1C97" w:rsidRDefault="0018327E" w:rsidP="0018327E">
      <w:pPr>
        <w:rPr>
          <w:rFonts w:ascii="Calibri" w:hAnsi="Calibri"/>
        </w:rPr>
      </w:pPr>
      <w:r>
        <w:rPr>
          <w:rFonts w:ascii="Calibri" w:hAnsi="Calibri"/>
        </w:rPr>
        <w:t>-</w:t>
      </w:r>
      <w:r w:rsidRPr="00AA1C97">
        <w:rPr>
          <w:rFonts w:ascii="Calibri" w:hAnsi="Calibri"/>
        </w:rPr>
        <w:t>rozcieńczalniki zalecone przez producenta stosowanej farby,</w:t>
      </w:r>
    </w:p>
    <w:p w:rsidR="0018327E" w:rsidRPr="00AA1C97" w:rsidRDefault="0018327E" w:rsidP="0018327E">
      <w:pPr>
        <w:rPr>
          <w:rFonts w:ascii="Calibri" w:hAnsi="Calibri"/>
        </w:rPr>
      </w:pPr>
      <w:r>
        <w:rPr>
          <w:rFonts w:ascii="Calibri" w:hAnsi="Calibri"/>
        </w:rPr>
        <w:t>-</w:t>
      </w:r>
      <w:r w:rsidRPr="00AA1C97">
        <w:rPr>
          <w:rFonts w:ascii="Calibri" w:hAnsi="Calibri"/>
        </w:rPr>
        <w:t>farbę dłużej przechowywaną należy przygotować do malowania przez usunięcie „kożucha” (zestalonej substancji błonotwórczej na powierzchni farby), dokładne wymieszanie (połączenie lżejszych i cięższych składników farby), rozcieńczenie zbyt zgęstniałej farby, ewentualne przecedzenie (usunięcie nierozmieszanych resztek osadu i innych zanieczyszczeń),</w:t>
      </w:r>
    </w:p>
    <w:p w:rsidR="0018327E" w:rsidRPr="00AA1C97" w:rsidRDefault="0018327E" w:rsidP="0018327E">
      <w:pPr>
        <w:rPr>
          <w:rFonts w:ascii="Calibri" w:hAnsi="Calibri"/>
        </w:rPr>
      </w:pPr>
      <w:r>
        <w:rPr>
          <w:rFonts w:ascii="Calibri" w:hAnsi="Calibri"/>
        </w:rPr>
        <w:t>-</w:t>
      </w:r>
      <w:r w:rsidRPr="00AA1C97">
        <w:rPr>
          <w:rFonts w:ascii="Calibri" w:hAnsi="Calibri"/>
        </w:rPr>
        <w:t>malowanie można przeprowadzać pędzlami, wałkami malarskimi lub ewentualnie metodą natryskową (pistoletami elektrycznymi, urządzeniami kompresorowymi itp.),</w:t>
      </w:r>
    </w:p>
    <w:p w:rsidR="0018327E" w:rsidRPr="00AA1C97" w:rsidRDefault="0018327E" w:rsidP="0018327E">
      <w:pPr>
        <w:rPr>
          <w:rFonts w:ascii="Calibri" w:hAnsi="Calibri"/>
        </w:rPr>
      </w:pPr>
      <w:r>
        <w:rPr>
          <w:rFonts w:ascii="Calibri" w:hAnsi="Calibri"/>
        </w:rPr>
        <w:t>-</w:t>
      </w:r>
      <w:r w:rsidRPr="00AA1C97">
        <w:rPr>
          <w:rFonts w:ascii="Calibri" w:hAnsi="Calibri"/>
        </w:rPr>
        <w:t>z zasady malowanie należy wykonać dwuwarstwowo: farbą do gruntowania i farbą nawierzchniową, przy czym każdą następną warstwę można nałożyć po całkowitym wyschnięciu farby poprzedniej.</w:t>
      </w:r>
    </w:p>
    <w:p w:rsidR="0018327E" w:rsidRPr="00AA1C97" w:rsidRDefault="0018327E" w:rsidP="0018327E">
      <w:pPr>
        <w:rPr>
          <w:rFonts w:ascii="Calibri" w:hAnsi="Calibri"/>
        </w:rPr>
      </w:pPr>
      <w:r w:rsidRPr="00AA1C97">
        <w:rPr>
          <w:rFonts w:ascii="Calibri" w:hAnsi="Calibri"/>
        </w:rPr>
        <w:tab/>
        <w:t>Malowanie powinno odpowiadać wymaganiom PN-H-97053.</w:t>
      </w:r>
    </w:p>
    <w:p w:rsidR="0018327E" w:rsidRPr="00AA1C97" w:rsidRDefault="0018327E" w:rsidP="0018327E">
      <w:pPr>
        <w:rPr>
          <w:rFonts w:ascii="Calibri" w:hAnsi="Calibri"/>
        </w:rPr>
      </w:pPr>
      <w:r w:rsidRPr="00AA1C97">
        <w:rPr>
          <w:rFonts w:ascii="Calibri" w:hAnsi="Calibri"/>
        </w:rPr>
        <w:tab/>
        <w:t>Rodzaj farby oraz liczbę jej warstw zastosowanych przy malowaniu przedstawia Wykonawca do akceptacji Inżyniera.</w:t>
      </w:r>
    </w:p>
    <w:p w:rsidR="0018327E" w:rsidRPr="00AA1C97" w:rsidRDefault="0018327E" w:rsidP="0018327E">
      <w:pPr>
        <w:rPr>
          <w:rFonts w:ascii="Calibri" w:hAnsi="Calibri"/>
        </w:rPr>
      </w:pPr>
      <w:r w:rsidRPr="00AA1C97">
        <w:rPr>
          <w:rFonts w:ascii="Calibri" w:hAnsi="Calibri"/>
        </w:rPr>
        <w:tab/>
        <w:t>Należy zwracać uwagę na dokładne pokrycie farbą miejsc stykania się słupka metalowego z betonem fundamentu, ze względu na najszybsze niszczenie się farby w tych miejscach i pojawianie się rdzawych zacieków sygnalizujących korozje słupka.</w:t>
      </w:r>
    </w:p>
    <w:p w:rsidR="0018327E" w:rsidRPr="00AA1C97" w:rsidRDefault="0018327E" w:rsidP="0018327E">
      <w:pPr>
        <w:rPr>
          <w:rFonts w:ascii="Calibri" w:hAnsi="Calibri"/>
        </w:rPr>
      </w:pPr>
      <w:r w:rsidRPr="00AA1C97">
        <w:rPr>
          <w:rFonts w:ascii="Calibri" w:hAnsi="Calibri"/>
        </w:rPr>
        <w:tab/>
        <w:t>Zaleca się stosowanie farb możliwie jak najmniej szkodliwych dla zdrowia ludzi i środowiska, z niską zawartością m.in. niearomatycznych rozpuszczalników. Przy stosowaniu farb nieznanego pochodzenia Wykonawca przedstawi do akceptacji Inżyniera badania na zawartość szkodliwych składników (np. trującego toluenu jako rozpuszczalnika).</w:t>
      </w:r>
    </w:p>
    <w:p w:rsidR="0018327E" w:rsidRPr="00AA1C97" w:rsidRDefault="0018327E" w:rsidP="0018327E">
      <w:pPr>
        <w:rPr>
          <w:rFonts w:ascii="Calibri" w:hAnsi="Calibri"/>
        </w:rPr>
      </w:pPr>
      <w:r w:rsidRPr="00AA1C97">
        <w:rPr>
          <w:rFonts w:ascii="Calibri" w:hAnsi="Calibri"/>
        </w:rPr>
        <w:tab/>
        <w:t>Wykonawca nie dopuści do skażenia farbami wód powierzchniowych i gruntowych oraz kanalizacji. Zlewki poprodukcyjne, powstające przy myciu urządzeń i pędzli oraz z samej farby, należy usuwać do izolowanych zbiorników, w celu ich naturalnej lub sztucznej neutralizacji i detoksykacji.</w:t>
      </w:r>
    </w:p>
    <w:p w:rsidR="0018327E" w:rsidRDefault="0018327E" w:rsidP="0018327E">
      <w:pPr>
        <w:rPr>
          <w:rFonts w:ascii="Calibri" w:hAnsi="Calibri"/>
        </w:rPr>
      </w:pPr>
      <w:bookmarkStart w:id="1606" w:name="_Toc425562418"/>
    </w:p>
    <w:p w:rsidR="0018327E" w:rsidRPr="00A4300E" w:rsidRDefault="0018327E" w:rsidP="0018327E">
      <w:pPr>
        <w:rPr>
          <w:rFonts w:ascii="Calibri" w:hAnsi="Calibri"/>
          <w:b/>
        </w:rPr>
      </w:pPr>
      <w:r w:rsidRPr="00A4300E">
        <w:rPr>
          <w:rFonts w:ascii="Calibri" w:hAnsi="Calibri"/>
          <w:b/>
        </w:rPr>
        <w:t>6. KONTROLA JAKOŚCI ROBÓT</w:t>
      </w:r>
      <w:bookmarkEnd w:id="1606"/>
    </w:p>
    <w:p w:rsidR="0018327E" w:rsidRPr="00AA1C97" w:rsidRDefault="0018327E" w:rsidP="0018327E">
      <w:pPr>
        <w:rPr>
          <w:rFonts w:ascii="Calibri" w:hAnsi="Calibri"/>
        </w:rPr>
      </w:pPr>
      <w:r w:rsidRPr="00A4300E">
        <w:rPr>
          <w:rFonts w:ascii="Calibri" w:hAnsi="Calibri"/>
          <w:b/>
        </w:rPr>
        <w:t>6.1.</w:t>
      </w:r>
      <w:r w:rsidRPr="00AA1C97">
        <w:rPr>
          <w:rFonts w:ascii="Calibri" w:hAnsi="Calibri"/>
        </w:rPr>
        <w:t xml:space="preserve"> Ogólne zasady kontroli jakości robót</w:t>
      </w:r>
    </w:p>
    <w:p w:rsidR="0018327E" w:rsidRPr="00AA1C97" w:rsidRDefault="0018327E" w:rsidP="0018327E">
      <w:pPr>
        <w:rPr>
          <w:rFonts w:ascii="Calibri" w:hAnsi="Calibri"/>
        </w:rPr>
      </w:pPr>
      <w:r w:rsidRPr="00AA1C97">
        <w:rPr>
          <w:rFonts w:ascii="Calibri" w:hAnsi="Calibri"/>
        </w:rPr>
        <w:tab/>
        <w:t>Ogólne zasady kontroli jakości robót podano w ST D-M-00.00.00 „Wymagania ogólne” pkt 6.</w:t>
      </w:r>
    </w:p>
    <w:p w:rsidR="0018327E" w:rsidRDefault="0018327E" w:rsidP="0018327E">
      <w:pPr>
        <w:rPr>
          <w:rFonts w:ascii="Calibri" w:hAnsi="Calibri"/>
          <w:b/>
        </w:rPr>
      </w:pPr>
    </w:p>
    <w:p w:rsidR="0018327E" w:rsidRPr="00AA1C97" w:rsidRDefault="0018327E" w:rsidP="0018327E">
      <w:pPr>
        <w:rPr>
          <w:rFonts w:ascii="Calibri" w:hAnsi="Calibri"/>
        </w:rPr>
      </w:pPr>
      <w:r w:rsidRPr="00A4300E">
        <w:rPr>
          <w:rFonts w:ascii="Calibri" w:hAnsi="Calibri"/>
          <w:b/>
        </w:rPr>
        <w:t>6.2.</w:t>
      </w:r>
      <w:r w:rsidRPr="00AA1C97">
        <w:rPr>
          <w:rFonts w:ascii="Calibri" w:hAnsi="Calibri"/>
        </w:rPr>
        <w:t xml:space="preserve"> Badania przed przystąpieniem do robót</w:t>
      </w:r>
    </w:p>
    <w:p w:rsidR="0018327E" w:rsidRPr="00AA1C97" w:rsidRDefault="0018327E" w:rsidP="0018327E">
      <w:pPr>
        <w:rPr>
          <w:rFonts w:ascii="Calibri" w:hAnsi="Calibri"/>
        </w:rPr>
      </w:pPr>
      <w:r w:rsidRPr="00AA1C97">
        <w:rPr>
          <w:rFonts w:ascii="Calibri" w:hAnsi="Calibri"/>
        </w:rPr>
        <w:tab/>
        <w:t>Przed przystąpieniem do robót Wykonawca powinien uzyskać od producentów zaświadczenia o jakości (atesty) oraz wykonać badania materiałów przeznaczonych do wykonania robót i przedstawić ich wyniki Inżynierowi w celu akceptacji materiałów, zgodnie z wymaganiami określonymi w pkt 2.3.</w:t>
      </w:r>
    </w:p>
    <w:p w:rsidR="0018327E" w:rsidRPr="00AA1C97" w:rsidRDefault="0018327E" w:rsidP="0018327E">
      <w:pPr>
        <w:rPr>
          <w:rFonts w:ascii="Calibri" w:hAnsi="Calibri"/>
        </w:rPr>
      </w:pPr>
      <w:r w:rsidRPr="00AA1C97">
        <w:rPr>
          <w:rFonts w:ascii="Calibri" w:hAnsi="Calibri"/>
        </w:rPr>
        <w:tab/>
        <w:t>Do materiałów, których producenci są zobowiązani (przez właściwe normy PN i BN) dostarczyć zaświadczenia o jakości (atesty) należą:</w:t>
      </w:r>
    </w:p>
    <w:p w:rsidR="0018327E" w:rsidRPr="00AA1C97" w:rsidRDefault="0018327E" w:rsidP="0018327E">
      <w:pPr>
        <w:rPr>
          <w:rFonts w:ascii="Calibri" w:hAnsi="Calibri"/>
        </w:rPr>
      </w:pPr>
      <w:r>
        <w:rPr>
          <w:rFonts w:ascii="Calibri" w:hAnsi="Calibri"/>
        </w:rPr>
        <w:t>-</w:t>
      </w:r>
      <w:r w:rsidRPr="00AA1C97">
        <w:rPr>
          <w:rFonts w:ascii="Calibri" w:hAnsi="Calibri"/>
        </w:rPr>
        <w:t>rury i kształtowniki,</w:t>
      </w:r>
    </w:p>
    <w:p w:rsidR="0018327E" w:rsidRPr="00AA1C97" w:rsidRDefault="0018327E" w:rsidP="0018327E">
      <w:pPr>
        <w:rPr>
          <w:rFonts w:ascii="Calibri" w:hAnsi="Calibri"/>
        </w:rPr>
      </w:pPr>
      <w:r>
        <w:rPr>
          <w:rFonts w:ascii="Calibri" w:hAnsi="Calibri"/>
        </w:rPr>
        <w:t>-</w:t>
      </w:r>
      <w:r w:rsidRPr="00AA1C97">
        <w:rPr>
          <w:rFonts w:ascii="Calibri" w:hAnsi="Calibri"/>
        </w:rPr>
        <w:t>drut spawalniczy,</w:t>
      </w:r>
    </w:p>
    <w:p w:rsidR="0018327E" w:rsidRPr="00AA1C97" w:rsidRDefault="0018327E" w:rsidP="0018327E">
      <w:pPr>
        <w:rPr>
          <w:rFonts w:ascii="Calibri" w:hAnsi="Calibri"/>
        </w:rPr>
      </w:pPr>
      <w:r>
        <w:rPr>
          <w:rFonts w:ascii="Calibri" w:hAnsi="Calibri"/>
        </w:rPr>
        <w:t>-</w:t>
      </w:r>
      <w:r w:rsidRPr="00AA1C97">
        <w:rPr>
          <w:rFonts w:ascii="Calibri" w:hAnsi="Calibri"/>
        </w:rPr>
        <w:t>pręty zbrojeniowe.</w:t>
      </w:r>
    </w:p>
    <w:p w:rsidR="0018327E" w:rsidRPr="00AA1C97" w:rsidRDefault="0018327E" w:rsidP="0018327E">
      <w:pPr>
        <w:rPr>
          <w:rFonts w:ascii="Calibri" w:hAnsi="Calibri"/>
        </w:rPr>
      </w:pPr>
      <w:r w:rsidRPr="00AA1C97">
        <w:rPr>
          <w:rFonts w:ascii="Calibri" w:hAnsi="Calibri"/>
        </w:rPr>
        <w:tab/>
        <w:t>Do materiałów, których badania powinien przeprowadzić Wykonawca należą materiały do wykonania fundamentów betonowych „na mokro”. Uwzględniając nieskomplikowany charakter robót fundamentowych, na wniosek Wykonawcy, Inżynier może zwolnić go z potrzeby wykonania badań materiałów dla tych robót.</w:t>
      </w:r>
    </w:p>
    <w:p w:rsidR="0018327E" w:rsidRPr="00AA1C97" w:rsidRDefault="0018327E" w:rsidP="0018327E">
      <w:pPr>
        <w:rPr>
          <w:rFonts w:ascii="Calibri" w:hAnsi="Calibri"/>
        </w:rPr>
      </w:pPr>
      <w:r w:rsidRPr="00A4300E">
        <w:rPr>
          <w:rFonts w:ascii="Calibri" w:hAnsi="Calibri"/>
          <w:b/>
        </w:rPr>
        <w:t>6.3.</w:t>
      </w:r>
      <w:r w:rsidRPr="00AA1C97">
        <w:rPr>
          <w:rFonts w:ascii="Calibri" w:hAnsi="Calibri"/>
        </w:rPr>
        <w:t xml:space="preserve"> Badania i kontrola w czasie wykonywania robót</w:t>
      </w:r>
    </w:p>
    <w:p w:rsidR="0018327E" w:rsidRPr="00AA1C97" w:rsidRDefault="0018327E" w:rsidP="0018327E">
      <w:pPr>
        <w:rPr>
          <w:rFonts w:ascii="Calibri" w:hAnsi="Calibri"/>
        </w:rPr>
      </w:pPr>
      <w:r w:rsidRPr="00A4300E">
        <w:rPr>
          <w:rFonts w:ascii="Calibri" w:hAnsi="Calibri"/>
          <w:b/>
        </w:rPr>
        <w:t>6.3.1.</w:t>
      </w:r>
      <w:r w:rsidRPr="00AA1C97">
        <w:rPr>
          <w:rFonts w:ascii="Calibri" w:hAnsi="Calibri"/>
        </w:rPr>
        <w:t xml:space="preserve"> Badania materiałów w czasie wykonywania robót</w:t>
      </w:r>
    </w:p>
    <w:p w:rsidR="0018327E" w:rsidRPr="00AA1C97" w:rsidRDefault="0018327E" w:rsidP="0018327E">
      <w:pPr>
        <w:rPr>
          <w:rFonts w:ascii="Calibri" w:hAnsi="Calibri"/>
        </w:rPr>
      </w:pPr>
      <w:r w:rsidRPr="00AA1C97">
        <w:rPr>
          <w:rFonts w:ascii="Calibri" w:hAnsi="Calibri"/>
        </w:rPr>
        <w:tab/>
        <w:t>Wszystkie materiały dostarczone na budowę z zaświadczeniem o jakości (atestem) producenta powinny być sprawdzone w zakresie powierzchni wyrobu i jego wymiarów.</w:t>
      </w:r>
    </w:p>
    <w:p w:rsidR="0018327E" w:rsidRPr="00AA1C97" w:rsidRDefault="0018327E" w:rsidP="0018327E">
      <w:pPr>
        <w:rPr>
          <w:rFonts w:ascii="Calibri" w:hAnsi="Calibri"/>
        </w:rPr>
      </w:pPr>
      <w:r w:rsidRPr="00AA1C97">
        <w:rPr>
          <w:rFonts w:ascii="Calibri" w:hAnsi="Calibri"/>
        </w:rPr>
        <w:tab/>
        <w:t>Częstotliwość badań i ocena ich wyników powinna być zgodna z zaleceniami tablicy 12.</w:t>
      </w:r>
    </w:p>
    <w:p w:rsidR="0018327E" w:rsidRDefault="0018327E" w:rsidP="0018327E">
      <w:pPr>
        <w:rPr>
          <w:rFonts w:ascii="Calibri" w:hAnsi="Calibri"/>
        </w:rPr>
      </w:pPr>
    </w:p>
    <w:p w:rsidR="000C27BF" w:rsidRDefault="000C27BF" w:rsidP="0018327E">
      <w:pPr>
        <w:ind w:left="709"/>
        <w:rPr>
          <w:rFonts w:ascii="Calibri" w:hAnsi="Calibri"/>
        </w:rPr>
      </w:pPr>
    </w:p>
    <w:p w:rsidR="000C27BF" w:rsidRDefault="000C27BF" w:rsidP="0018327E">
      <w:pPr>
        <w:ind w:left="709"/>
        <w:rPr>
          <w:rFonts w:ascii="Calibri" w:hAnsi="Calibri"/>
        </w:rPr>
      </w:pPr>
    </w:p>
    <w:p w:rsidR="000C27BF" w:rsidRDefault="000C27BF" w:rsidP="0018327E">
      <w:pPr>
        <w:ind w:left="709"/>
        <w:rPr>
          <w:rFonts w:ascii="Calibri" w:hAnsi="Calibri"/>
        </w:rPr>
      </w:pPr>
    </w:p>
    <w:p w:rsidR="000C27BF" w:rsidRDefault="000C27BF" w:rsidP="0018327E">
      <w:pPr>
        <w:ind w:left="709"/>
        <w:rPr>
          <w:rFonts w:ascii="Calibri" w:hAnsi="Calibri"/>
        </w:rPr>
      </w:pPr>
    </w:p>
    <w:p w:rsidR="000C27BF" w:rsidRDefault="000C27BF" w:rsidP="0018327E">
      <w:pPr>
        <w:ind w:left="709"/>
        <w:rPr>
          <w:rFonts w:ascii="Calibri" w:hAnsi="Calibri"/>
        </w:rPr>
      </w:pPr>
    </w:p>
    <w:p w:rsidR="0018327E" w:rsidRPr="00AA1C97" w:rsidRDefault="0018327E" w:rsidP="0018327E">
      <w:pPr>
        <w:ind w:left="709"/>
        <w:rPr>
          <w:rFonts w:ascii="Calibri" w:hAnsi="Calibri"/>
        </w:rPr>
      </w:pPr>
      <w:r w:rsidRPr="00AA1C97">
        <w:rPr>
          <w:rFonts w:ascii="Calibri" w:hAnsi="Calibri"/>
        </w:rPr>
        <w:lastRenderedPageBreak/>
        <w:t>Tablica 12. Częstotliwość badań przy sprawdzeniu powierzchni i wymiarów wyrobów</w:t>
      </w:r>
    </w:p>
    <w:p w:rsidR="0018327E" w:rsidRPr="00AA1C97" w:rsidRDefault="0018327E" w:rsidP="0018327E">
      <w:pPr>
        <w:rPr>
          <w:rFonts w:ascii="Calibri" w:hAnsi="Calibri"/>
        </w:rPr>
      </w:pPr>
      <w:r w:rsidRPr="00AA1C97">
        <w:rPr>
          <w:rFonts w:ascii="Calibri" w:hAnsi="Calibri"/>
        </w:rPr>
        <w:t xml:space="preserve">                   dostarczonych przez producentów</w:t>
      </w:r>
    </w:p>
    <w:tbl>
      <w:tblPr>
        <w:tblW w:w="0" w:type="auto"/>
        <w:tblInd w:w="779" w:type="dxa"/>
        <w:tblBorders>
          <w:top w:val="single" w:sz="6" w:space="0" w:color="auto"/>
          <w:left w:val="single" w:sz="6" w:space="0" w:color="auto"/>
          <w:bottom w:val="single" w:sz="6" w:space="0" w:color="auto"/>
          <w:right w:val="single" w:sz="6" w:space="0" w:color="auto"/>
        </w:tblBorders>
        <w:tblLayout w:type="fixed"/>
        <w:tblCellMar>
          <w:left w:w="70" w:type="dxa"/>
          <w:right w:w="70" w:type="dxa"/>
        </w:tblCellMar>
        <w:tblLook w:val="0000"/>
      </w:tblPr>
      <w:tblGrid>
        <w:gridCol w:w="496"/>
        <w:gridCol w:w="1417"/>
        <w:gridCol w:w="1505"/>
        <w:gridCol w:w="2748"/>
        <w:gridCol w:w="1417"/>
      </w:tblGrid>
      <w:tr w:rsidR="0018327E" w:rsidRPr="005D5F64" w:rsidTr="0018327E">
        <w:tc>
          <w:tcPr>
            <w:tcW w:w="496" w:type="dxa"/>
            <w:tcBorders>
              <w:top w:val="single" w:sz="6" w:space="0" w:color="auto"/>
              <w:bottom w:val="double" w:sz="6" w:space="0" w:color="auto"/>
              <w:right w:val="nil"/>
            </w:tcBorders>
          </w:tcPr>
          <w:p w:rsidR="0018327E" w:rsidRPr="005D5F64" w:rsidRDefault="0018327E" w:rsidP="0018327E">
            <w:pPr>
              <w:pStyle w:val="StylIwony"/>
              <w:spacing w:after="0"/>
              <w:jc w:val="center"/>
              <w:rPr>
                <w:rFonts w:ascii="Calibri" w:hAnsi="Calibri"/>
                <w:sz w:val="18"/>
                <w:szCs w:val="18"/>
              </w:rPr>
            </w:pPr>
            <w:r w:rsidRPr="005D5F64">
              <w:rPr>
                <w:rFonts w:ascii="Calibri" w:hAnsi="Calibri"/>
                <w:sz w:val="18"/>
                <w:szCs w:val="18"/>
              </w:rPr>
              <w:t>Lp.</w:t>
            </w:r>
          </w:p>
        </w:tc>
        <w:tc>
          <w:tcPr>
            <w:tcW w:w="1417" w:type="dxa"/>
            <w:tcBorders>
              <w:top w:val="single" w:sz="6" w:space="0" w:color="auto"/>
              <w:left w:val="single" w:sz="6" w:space="0" w:color="auto"/>
              <w:bottom w:val="double" w:sz="6" w:space="0" w:color="auto"/>
              <w:right w:val="single" w:sz="6" w:space="0" w:color="auto"/>
            </w:tcBorders>
          </w:tcPr>
          <w:p w:rsidR="0018327E" w:rsidRPr="005D5F64" w:rsidRDefault="0018327E" w:rsidP="0018327E">
            <w:pPr>
              <w:pStyle w:val="StylIwony"/>
              <w:spacing w:after="0"/>
              <w:jc w:val="center"/>
              <w:rPr>
                <w:rFonts w:ascii="Calibri" w:hAnsi="Calibri"/>
                <w:sz w:val="18"/>
                <w:szCs w:val="18"/>
              </w:rPr>
            </w:pPr>
            <w:r w:rsidRPr="005D5F64">
              <w:rPr>
                <w:rFonts w:ascii="Calibri" w:hAnsi="Calibri"/>
                <w:sz w:val="18"/>
                <w:szCs w:val="18"/>
              </w:rPr>
              <w:t>Rodzaj badania</w:t>
            </w:r>
          </w:p>
        </w:tc>
        <w:tc>
          <w:tcPr>
            <w:tcW w:w="1505" w:type="dxa"/>
            <w:tcBorders>
              <w:top w:val="single" w:sz="6" w:space="0" w:color="auto"/>
              <w:left w:val="nil"/>
              <w:bottom w:val="double" w:sz="6" w:space="0" w:color="auto"/>
              <w:right w:val="nil"/>
            </w:tcBorders>
          </w:tcPr>
          <w:p w:rsidR="0018327E" w:rsidRPr="005D5F64" w:rsidRDefault="0018327E" w:rsidP="0018327E">
            <w:pPr>
              <w:pStyle w:val="StylIwony"/>
              <w:spacing w:after="0"/>
              <w:jc w:val="center"/>
              <w:rPr>
                <w:rFonts w:ascii="Calibri" w:hAnsi="Calibri"/>
                <w:sz w:val="18"/>
                <w:szCs w:val="18"/>
              </w:rPr>
            </w:pPr>
            <w:r w:rsidRPr="005D5F64">
              <w:rPr>
                <w:rFonts w:ascii="Calibri" w:hAnsi="Calibri"/>
                <w:sz w:val="18"/>
                <w:szCs w:val="18"/>
              </w:rPr>
              <w:t>Liczba badań</w:t>
            </w:r>
          </w:p>
        </w:tc>
        <w:tc>
          <w:tcPr>
            <w:tcW w:w="2748" w:type="dxa"/>
            <w:tcBorders>
              <w:top w:val="single" w:sz="6" w:space="0" w:color="auto"/>
              <w:left w:val="single" w:sz="6" w:space="0" w:color="auto"/>
              <w:bottom w:val="double" w:sz="6" w:space="0" w:color="auto"/>
              <w:right w:val="single" w:sz="6" w:space="0" w:color="auto"/>
            </w:tcBorders>
          </w:tcPr>
          <w:p w:rsidR="0018327E" w:rsidRPr="005D5F64" w:rsidRDefault="0018327E" w:rsidP="0018327E">
            <w:pPr>
              <w:pStyle w:val="StylIwony"/>
              <w:spacing w:after="0"/>
              <w:jc w:val="center"/>
              <w:rPr>
                <w:rFonts w:ascii="Calibri" w:hAnsi="Calibri"/>
                <w:sz w:val="18"/>
                <w:szCs w:val="18"/>
              </w:rPr>
            </w:pPr>
            <w:r w:rsidRPr="005D5F64">
              <w:rPr>
                <w:rFonts w:ascii="Calibri" w:hAnsi="Calibri"/>
                <w:sz w:val="18"/>
                <w:szCs w:val="18"/>
              </w:rPr>
              <w:t>Opis badań</w:t>
            </w:r>
          </w:p>
        </w:tc>
        <w:tc>
          <w:tcPr>
            <w:tcW w:w="1417" w:type="dxa"/>
            <w:tcBorders>
              <w:top w:val="single" w:sz="6" w:space="0" w:color="auto"/>
              <w:left w:val="nil"/>
              <w:bottom w:val="double" w:sz="6" w:space="0" w:color="auto"/>
            </w:tcBorders>
          </w:tcPr>
          <w:p w:rsidR="0018327E" w:rsidRPr="005D5F64" w:rsidRDefault="0018327E" w:rsidP="0018327E">
            <w:pPr>
              <w:pStyle w:val="StylIwony"/>
              <w:spacing w:before="0" w:after="0"/>
              <w:jc w:val="center"/>
              <w:rPr>
                <w:rFonts w:ascii="Calibri" w:hAnsi="Calibri"/>
                <w:sz w:val="18"/>
                <w:szCs w:val="18"/>
              </w:rPr>
            </w:pPr>
            <w:r w:rsidRPr="005D5F64">
              <w:rPr>
                <w:rFonts w:ascii="Calibri" w:hAnsi="Calibri"/>
                <w:sz w:val="18"/>
                <w:szCs w:val="18"/>
              </w:rPr>
              <w:t>Ocena wyników badań</w:t>
            </w:r>
          </w:p>
        </w:tc>
      </w:tr>
      <w:tr w:rsidR="0018327E" w:rsidRPr="005D5F64" w:rsidTr="0018327E">
        <w:tc>
          <w:tcPr>
            <w:tcW w:w="496" w:type="dxa"/>
            <w:tcBorders>
              <w:top w:val="nil"/>
              <w:bottom w:val="single" w:sz="6" w:space="0" w:color="auto"/>
              <w:right w:val="single" w:sz="6" w:space="0" w:color="auto"/>
            </w:tcBorders>
          </w:tcPr>
          <w:p w:rsidR="0018327E" w:rsidRPr="005D5F64" w:rsidRDefault="0018327E" w:rsidP="0018327E">
            <w:pPr>
              <w:pStyle w:val="StylIwony"/>
              <w:spacing w:before="60" w:after="0"/>
              <w:jc w:val="center"/>
              <w:rPr>
                <w:rFonts w:ascii="Calibri" w:hAnsi="Calibri"/>
                <w:sz w:val="18"/>
                <w:szCs w:val="18"/>
              </w:rPr>
            </w:pPr>
            <w:r w:rsidRPr="005D5F64">
              <w:rPr>
                <w:rFonts w:ascii="Calibri" w:hAnsi="Calibri"/>
                <w:sz w:val="18"/>
                <w:szCs w:val="18"/>
              </w:rPr>
              <w:t>1</w:t>
            </w:r>
          </w:p>
        </w:tc>
        <w:tc>
          <w:tcPr>
            <w:tcW w:w="1417" w:type="dxa"/>
            <w:tcBorders>
              <w:top w:val="nil"/>
              <w:left w:val="nil"/>
              <w:bottom w:val="nil"/>
              <w:right w:val="single" w:sz="6" w:space="0" w:color="auto"/>
            </w:tcBorders>
          </w:tcPr>
          <w:p w:rsidR="0018327E" w:rsidRPr="005D5F64" w:rsidRDefault="0018327E" w:rsidP="0018327E">
            <w:pPr>
              <w:pStyle w:val="StylIwony"/>
              <w:spacing w:before="60" w:after="0"/>
              <w:rPr>
                <w:rFonts w:ascii="Calibri" w:hAnsi="Calibri"/>
                <w:sz w:val="18"/>
                <w:szCs w:val="18"/>
              </w:rPr>
            </w:pPr>
            <w:r w:rsidRPr="005D5F64">
              <w:rPr>
                <w:rFonts w:ascii="Calibri" w:hAnsi="Calibri"/>
                <w:sz w:val="18"/>
                <w:szCs w:val="18"/>
              </w:rPr>
              <w:t>Sprawdzenie powierzchni</w:t>
            </w:r>
          </w:p>
        </w:tc>
        <w:tc>
          <w:tcPr>
            <w:tcW w:w="1505" w:type="dxa"/>
            <w:tcBorders>
              <w:top w:val="nil"/>
              <w:left w:val="nil"/>
              <w:bottom w:val="nil"/>
              <w:right w:val="single" w:sz="6" w:space="0" w:color="auto"/>
            </w:tcBorders>
          </w:tcPr>
          <w:p w:rsidR="0018327E" w:rsidRPr="005D5F64" w:rsidRDefault="0018327E" w:rsidP="0018327E">
            <w:pPr>
              <w:pStyle w:val="StylIwony"/>
              <w:spacing w:before="60" w:after="0"/>
              <w:jc w:val="left"/>
              <w:rPr>
                <w:rFonts w:ascii="Calibri" w:hAnsi="Calibri"/>
                <w:sz w:val="18"/>
                <w:szCs w:val="18"/>
              </w:rPr>
            </w:pPr>
            <w:r w:rsidRPr="005D5F64">
              <w:rPr>
                <w:rFonts w:ascii="Calibri" w:hAnsi="Calibri"/>
                <w:sz w:val="18"/>
                <w:szCs w:val="18"/>
              </w:rPr>
              <w:t>od 5 do 10 badań z wybra-  nych losowo elementów w każdej dostar-  czonej partii</w:t>
            </w:r>
          </w:p>
        </w:tc>
        <w:tc>
          <w:tcPr>
            <w:tcW w:w="2748" w:type="dxa"/>
            <w:tcBorders>
              <w:top w:val="nil"/>
              <w:left w:val="nil"/>
              <w:bottom w:val="nil"/>
              <w:right w:val="single" w:sz="6" w:space="0" w:color="auto"/>
            </w:tcBorders>
          </w:tcPr>
          <w:p w:rsidR="0018327E" w:rsidRPr="005D5F64" w:rsidRDefault="0018327E" w:rsidP="0018327E">
            <w:pPr>
              <w:pStyle w:val="StylIwony"/>
              <w:spacing w:before="60" w:after="0"/>
              <w:jc w:val="left"/>
              <w:rPr>
                <w:rFonts w:ascii="Calibri" w:hAnsi="Calibri"/>
                <w:sz w:val="18"/>
                <w:szCs w:val="18"/>
              </w:rPr>
            </w:pPr>
            <w:r w:rsidRPr="005D5F64">
              <w:rPr>
                <w:rFonts w:ascii="Calibri" w:hAnsi="Calibri"/>
                <w:sz w:val="18"/>
                <w:szCs w:val="18"/>
              </w:rPr>
              <w:t>Powierzchnię zbadać nieuzbrojonym okiem. Do ew. sprawdzenia głębokości wad użyć dostępnych narzędzi (np. liniałów z czujnikiem, suwmiarek, mikrometrów itp.</w:t>
            </w:r>
          </w:p>
        </w:tc>
        <w:tc>
          <w:tcPr>
            <w:tcW w:w="1417" w:type="dxa"/>
            <w:tcBorders>
              <w:top w:val="nil"/>
              <w:left w:val="nil"/>
            </w:tcBorders>
          </w:tcPr>
          <w:p w:rsidR="0018327E" w:rsidRPr="005D5F64" w:rsidRDefault="0018327E" w:rsidP="0018327E">
            <w:pPr>
              <w:pStyle w:val="StylIwony"/>
              <w:spacing w:before="0" w:after="0"/>
              <w:rPr>
                <w:rFonts w:ascii="Calibri" w:hAnsi="Calibri"/>
                <w:sz w:val="18"/>
                <w:szCs w:val="18"/>
              </w:rPr>
            </w:pPr>
          </w:p>
          <w:p w:rsidR="0018327E" w:rsidRPr="005D5F64" w:rsidRDefault="0018327E" w:rsidP="0018327E">
            <w:pPr>
              <w:pStyle w:val="StylIwony"/>
              <w:spacing w:before="0" w:after="0"/>
              <w:rPr>
                <w:rFonts w:ascii="Calibri" w:hAnsi="Calibri"/>
                <w:sz w:val="18"/>
                <w:szCs w:val="18"/>
              </w:rPr>
            </w:pPr>
          </w:p>
          <w:p w:rsidR="0018327E" w:rsidRPr="005D5F64" w:rsidRDefault="0018327E" w:rsidP="0018327E">
            <w:pPr>
              <w:pStyle w:val="StylIwony"/>
              <w:spacing w:before="60" w:after="0"/>
              <w:jc w:val="left"/>
              <w:rPr>
                <w:rFonts w:ascii="Calibri" w:hAnsi="Calibri"/>
                <w:sz w:val="18"/>
                <w:szCs w:val="18"/>
              </w:rPr>
            </w:pPr>
            <w:r w:rsidRPr="005D5F64">
              <w:rPr>
                <w:rFonts w:ascii="Calibri" w:hAnsi="Calibri"/>
                <w:sz w:val="18"/>
                <w:szCs w:val="18"/>
              </w:rPr>
              <w:t xml:space="preserve">Wyniki badań powinny być zgodne z wymaganiami </w:t>
            </w:r>
          </w:p>
        </w:tc>
      </w:tr>
      <w:tr w:rsidR="0018327E" w:rsidRPr="005D5F64" w:rsidTr="0018327E">
        <w:tc>
          <w:tcPr>
            <w:tcW w:w="496" w:type="dxa"/>
            <w:tcBorders>
              <w:top w:val="nil"/>
              <w:right w:val="nil"/>
            </w:tcBorders>
          </w:tcPr>
          <w:p w:rsidR="0018327E" w:rsidRPr="005D5F64" w:rsidRDefault="0018327E" w:rsidP="0018327E">
            <w:pPr>
              <w:pStyle w:val="StylIwony"/>
              <w:spacing w:before="0" w:after="0"/>
              <w:jc w:val="center"/>
              <w:rPr>
                <w:rFonts w:ascii="Calibri" w:hAnsi="Calibri"/>
                <w:sz w:val="18"/>
                <w:szCs w:val="18"/>
              </w:rPr>
            </w:pPr>
          </w:p>
          <w:p w:rsidR="0018327E" w:rsidRPr="005D5F64" w:rsidRDefault="0018327E" w:rsidP="0018327E">
            <w:pPr>
              <w:pStyle w:val="StylIwony"/>
              <w:spacing w:before="0" w:after="0"/>
              <w:jc w:val="center"/>
              <w:rPr>
                <w:rFonts w:ascii="Calibri" w:hAnsi="Calibri"/>
                <w:sz w:val="18"/>
                <w:szCs w:val="18"/>
              </w:rPr>
            </w:pPr>
            <w:r w:rsidRPr="005D5F64">
              <w:rPr>
                <w:rFonts w:ascii="Calibri" w:hAnsi="Calibri"/>
                <w:sz w:val="18"/>
                <w:szCs w:val="18"/>
              </w:rPr>
              <w:t>2</w:t>
            </w:r>
          </w:p>
        </w:tc>
        <w:tc>
          <w:tcPr>
            <w:tcW w:w="1417" w:type="dxa"/>
            <w:tcBorders>
              <w:top w:val="single" w:sz="6" w:space="0" w:color="auto"/>
              <w:left w:val="single" w:sz="6" w:space="0" w:color="auto"/>
              <w:bottom w:val="single" w:sz="6" w:space="0" w:color="auto"/>
              <w:right w:val="single" w:sz="6" w:space="0" w:color="auto"/>
            </w:tcBorders>
          </w:tcPr>
          <w:p w:rsidR="0018327E" w:rsidRPr="005D5F64" w:rsidRDefault="0018327E" w:rsidP="0018327E">
            <w:pPr>
              <w:pStyle w:val="StylIwony"/>
              <w:spacing w:before="0" w:after="0"/>
              <w:rPr>
                <w:rFonts w:ascii="Calibri" w:hAnsi="Calibri"/>
                <w:sz w:val="18"/>
                <w:szCs w:val="18"/>
              </w:rPr>
            </w:pPr>
          </w:p>
          <w:p w:rsidR="0018327E" w:rsidRPr="005D5F64" w:rsidRDefault="0018327E" w:rsidP="0018327E">
            <w:pPr>
              <w:pStyle w:val="StylIwony"/>
              <w:spacing w:before="0" w:after="0"/>
              <w:rPr>
                <w:rFonts w:ascii="Calibri" w:hAnsi="Calibri"/>
                <w:sz w:val="18"/>
                <w:szCs w:val="18"/>
              </w:rPr>
            </w:pPr>
            <w:r w:rsidRPr="005D5F64">
              <w:rPr>
                <w:rFonts w:ascii="Calibri" w:hAnsi="Calibri"/>
                <w:sz w:val="18"/>
                <w:szCs w:val="18"/>
              </w:rPr>
              <w:t>Sprawdzenie wymiarów</w:t>
            </w:r>
          </w:p>
        </w:tc>
        <w:tc>
          <w:tcPr>
            <w:tcW w:w="1505" w:type="dxa"/>
            <w:tcBorders>
              <w:top w:val="nil"/>
              <w:left w:val="nil"/>
              <w:right w:val="nil"/>
            </w:tcBorders>
          </w:tcPr>
          <w:p w:rsidR="0018327E" w:rsidRPr="005D5F64" w:rsidRDefault="0018327E" w:rsidP="0018327E">
            <w:pPr>
              <w:pStyle w:val="StylIwony"/>
              <w:spacing w:before="0" w:after="0"/>
              <w:rPr>
                <w:rFonts w:ascii="Calibri" w:hAnsi="Calibri"/>
                <w:sz w:val="18"/>
                <w:szCs w:val="18"/>
              </w:rPr>
            </w:pPr>
            <w:r>
              <w:rPr>
                <w:rFonts w:asciiTheme="minorHAnsi" w:hAnsiTheme="minorHAnsi"/>
                <w:sz w:val="18"/>
                <w:szCs w:val="18"/>
              </w:rPr>
              <w:t xml:space="preserve">wyrobów liczą-cej do </w:t>
            </w:r>
            <w:r w:rsidRPr="005D5F64">
              <w:rPr>
                <w:rFonts w:ascii="Calibri" w:hAnsi="Calibri"/>
                <w:sz w:val="18"/>
                <w:szCs w:val="18"/>
              </w:rPr>
              <w:t>1000 elementów</w:t>
            </w:r>
          </w:p>
        </w:tc>
        <w:tc>
          <w:tcPr>
            <w:tcW w:w="2748" w:type="dxa"/>
            <w:tcBorders>
              <w:top w:val="single" w:sz="6" w:space="0" w:color="auto"/>
              <w:left w:val="single" w:sz="6" w:space="0" w:color="auto"/>
              <w:bottom w:val="single" w:sz="6" w:space="0" w:color="auto"/>
              <w:right w:val="single" w:sz="6" w:space="0" w:color="auto"/>
            </w:tcBorders>
          </w:tcPr>
          <w:p w:rsidR="0018327E" w:rsidRPr="005D5F64" w:rsidRDefault="0018327E" w:rsidP="0018327E">
            <w:pPr>
              <w:pStyle w:val="StylIwony"/>
              <w:spacing w:before="0" w:after="0"/>
              <w:rPr>
                <w:rFonts w:ascii="Calibri" w:hAnsi="Calibri"/>
                <w:sz w:val="18"/>
                <w:szCs w:val="18"/>
              </w:rPr>
            </w:pPr>
          </w:p>
          <w:p w:rsidR="0018327E" w:rsidRPr="005D5F64" w:rsidRDefault="0018327E" w:rsidP="0018327E">
            <w:pPr>
              <w:pStyle w:val="StylIwony"/>
              <w:spacing w:before="0" w:after="60"/>
              <w:rPr>
                <w:rFonts w:ascii="Calibri" w:hAnsi="Calibri"/>
                <w:sz w:val="18"/>
                <w:szCs w:val="18"/>
              </w:rPr>
            </w:pPr>
            <w:r w:rsidRPr="005D5F64">
              <w:rPr>
                <w:rFonts w:ascii="Calibri" w:hAnsi="Calibri"/>
                <w:sz w:val="18"/>
                <w:szCs w:val="18"/>
              </w:rPr>
              <w:t>Przeprowadzić uniwersalnymi przyrządami pomiarowymi lub sprawdzianami</w:t>
            </w:r>
          </w:p>
        </w:tc>
        <w:tc>
          <w:tcPr>
            <w:tcW w:w="1417" w:type="dxa"/>
            <w:tcBorders>
              <w:left w:val="nil"/>
            </w:tcBorders>
          </w:tcPr>
          <w:p w:rsidR="0018327E" w:rsidRPr="005D5F64" w:rsidRDefault="0018327E" w:rsidP="0018327E">
            <w:pPr>
              <w:pStyle w:val="StylIwony"/>
              <w:spacing w:before="0" w:after="0"/>
              <w:rPr>
                <w:rFonts w:ascii="Calibri" w:hAnsi="Calibri"/>
                <w:sz w:val="18"/>
                <w:szCs w:val="18"/>
              </w:rPr>
            </w:pPr>
            <w:r w:rsidRPr="005D5F64">
              <w:rPr>
                <w:rFonts w:ascii="Calibri" w:hAnsi="Calibri"/>
                <w:sz w:val="18"/>
                <w:szCs w:val="18"/>
              </w:rPr>
              <w:t>punktu 2.3.</w:t>
            </w:r>
          </w:p>
        </w:tc>
      </w:tr>
    </w:tbl>
    <w:p w:rsidR="0018327E" w:rsidRPr="00AA1C97" w:rsidRDefault="0018327E" w:rsidP="0018327E">
      <w:pPr>
        <w:rPr>
          <w:rFonts w:ascii="Calibri" w:hAnsi="Calibri"/>
        </w:rPr>
      </w:pPr>
    </w:p>
    <w:p w:rsidR="0018327E" w:rsidRPr="00AA1C97" w:rsidRDefault="0018327E" w:rsidP="0018327E">
      <w:pPr>
        <w:rPr>
          <w:rFonts w:ascii="Calibri" w:hAnsi="Calibri"/>
        </w:rPr>
      </w:pPr>
      <w:r w:rsidRPr="00AA1C97">
        <w:rPr>
          <w:rFonts w:ascii="Calibri" w:hAnsi="Calibri"/>
        </w:rPr>
        <w:tab/>
        <w:t>W przypadkach budzących wątpliwości można zlecić uprawnionej jednostce zbadanie właściwości dostarczonych wyrobów i materiałów w zakresie wymagań podanych w punktach  od 2.3 do 2.5.</w:t>
      </w:r>
    </w:p>
    <w:p w:rsidR="0018327E" w:rsidRPr="00AA1C97" w:rsidRDefault="0018327E" w:rsidP="0018327E">
      <w:pPr>
        <w:rPr>
          <w:rFonts w:ascii="Calibri" w:hAnsi="Calibri"/>
        </w:rPr>
      </w:pPr>
      <w:r w:rsidRPr="00A4300E">
        <w:rPr>
          <w:rFonts w:ascii="Calibri" w:hAnsi="Calibri"/>
          <w:b/>
        </w:rPr>
        <w:t>6.3.2.</w:t>
      </w:r>
      <w:r w:rsidRPr="00AA1C97">
        <w:rPr>
          <w:rFonts w:ascii="Calibri" w:hAnsi="Calibri"/>
        </w:rPr>
        <w:t xml:space="preserve"> Kontrola w czasie wykonywania robót</w:t>
      </w:r>
    </w:p>
    <w:p w:rsidR="0018327E" w:rsidRPr="00AA1C97" w:rsidRDefault="0018327E" w:rsidP="0018327E">
      <w:pPr>
        <w:rPr>
          <w:rFonts w:ascii="Calibri" w:hAnsi="Calibri"/>
        </w:rPr>
      </w:pPr>
      <w:r w:rsidRPr="00AA1C97">
        <w:rPr>
          <w:rFonts w:ascii="Calibri" w:hAnsi="Calibri"/>
        </w:rPr>
        <w:tab/>
        <w:t>W czasie wykonywania urządzeń zabezpieczających ruch pieszych należy zbadać:</w:t>
      </w:r>
    </w:p>
    <w:p w:rsidR="0018327E" w:rsidRPr="00AA1C97" w:rsidRDefault="0018327E" w:rsidP="0018327E">
      <w:pPr>
        <w:rPr>
          <w:rFonts w:ascii="Calibri" w:hAnsi="Calibri"/>
        </w:rPr>
      </w:pPr>
      <w:r>
        <w:rPr>
          <w:rFonts w:ascii="Calibri" w:hAnsi="Calibri"/>
        </w:rPr>
        <w:t>-</w:t>
      </w:r>
      <w:r w:rsidRPr="00AA1C97">
        <w:rPr>
          <w:rFonts w:ascii="Calibri" w:hAnsi="Calibri"/>
        </w:rPr>
        <w:t>zgodność wykonania urządzeń z dokumentacją projektową (lokalizacja, wymiary),</w:t>
      </w:r>
    </w:p>
    <w:p w:rsidR="0018327E" w:rsidRPr="00AA1C97" w:rsidRDefault="0018327E" w:rsidP="0018327E">
      <w:pPr>
        <w:rPr>
          <w:rFonts w:ascii="Calibri" w:hAnsi="Calibri"/>
        </w:rPr>
      </w:pPr>
      <w:r>
        <w:rPr>
          <w:rFonts w:ascii="Calibri" w:hAnsi="Calibri"/>
        </w:rPr>
        <w:t>-</w:t>
      </w:r>
      <w:r w:rsidRPr="00AA1C97">
        <w:rPr>
          <w:rFonts w:ascii="Calibri" w:hAnsi="Calibri"/>
        </w:rPr>
        <w:t>zachowanie dopuszczalnych odchyłek wymiarów, zgodnie z punktami od 2.3 do 2.5,</w:t>
      </w:r>
    </w:p>
    <w:p w:rsidR="0018327E" w:rsidRPr="00AA1C97" w:rsidRDefault="0018327E" w:rsidP="0018327E">
      <w:pPr>
        <w:rPr>
          <w:rFonts w:ascii="Calibri" w:hAnsi="Calibri"/>
        </w:rPr>
      </w:pPr>
      <w:r>
        <w:rPr>
          <w:rFonts w:ascii="Calibri" w:hAnsi="Calibri"/>
        </w:rPr>
        <w:t>-</w:t>
      </w:r>
      <w:r w:rsidRPr="00AA1C97">
        <w:rPr>
          <w:rFonts w:ascii="Calibri" w:hAnsi="Calibri"/>
        </w:rPr>
        <w:t>prawidłowość wykonania dołów pod słupki, zgodnie z punktem 5.3,</w:t>
      </w:r>
    </w:p>
    <w:p w:rsidR="0018327E" w:rsidRPr="00AA1C97" w:rsidRDefault="0018327E" w:rsidP="0018327E">
      <w:pPr>
        <w:rPr>
          <w:rFonts w:ascii="Calibri" w:hAnsi="Calibri"/>
        </w:rPr>
      </w:pPr>
      <w:r>
        <w:rPr>
          <w:rFonts w:ascii="Calibri" w:hAnsi="Calibri"/>
        </w:rPr>
        <w:t>-</w:t>
      </w:r>
      <w:r w:rsidRPr="00AA1C97">
        <w:rPr>
          <w:rFonts w:ascii="Calibri" w:hAnsi="Calibri"/>
        </w:rPr>
        <w:t>poprawność wykonania fundamentów pod słupki zgodnie z punktem 5.4,</w:t>
      </w:r>
    </w:p>
    <w:p w:rsidR="0018327E" w:rsidRPr="00AA1C97" w:rsidRDefault="0018327E" w:rsidP="0018327E">
      <w:pPr>
        <w:rPr>
          <w:rFonts w:ascii="Calibri" w:hAnsi="Calibri"/>
        </w:rPr>
      </w:pPr>
      <w:r>
        <w:rPr>
          <w:rFonts w:ascii="Calibri" w:hAnsi="Calibri"/>
        </w:rPr>
        <w:t>-</w:t>
      </w:r>
      <w:r w:rsidRPr="00AA1C97">
        <w:rPr>
          <w:rFonts w:ascii="Calibri" w:hAnsi="Calibri"/>
        </w:rPr>
        <w:t>poprawność ustawienia słupków, zgodnie z punktem 5.5 i 5.6,</w:t>
      </w:r>
    </w:p>
    <w:p w:rsidR="0018327E" w:rsidRPr="00AA1C97" w:rsidRDefault="0018327E" w:rsidP="0018327E">
      <w:pPr>
        <w:rPr>
          <w:rFonts w:ascii="Calibri" w:hAnsi="Calibri"/>
        </w:rPr>
      </w:pPr>
      <w:r w:rsidRPr="00AA1C97">
        <w:rPr>
          <w:rFonts w:ascii="Calibri" w:hAnsi="Calibri"/>
        </w:rPr>
        <w:tab/>
        <w:t>W przypadku wykonania spawanych złącz elementów urządzeń:</w:t>
      </w:r>
    </w:p>
    <w:p w:rsidR="0018327E" w:rsidRPr="00AA1C97" w:rsidRDefault="0018327E" w:rsidP="0018327E">
      <w:pPr>
        <w:rPr>
          <w:rFonts w:ascii="Calibri" w:hAnsi="Calibri"/>
        </w:rPr>
      </w:pPr>
      <w:r>
        <w:rPr>
          <w:rFonts w:ascii="Calibri" w:hAnsi="Calibri"/>
        </w:rPr>
        <w:t>-</w:t>
      </w:r>
      <w:r w:rsidRPr="00AA1C97">
        <w:rPr>
          <w:rFonts w:ascii="Calibri" w:hAnsi="Calibri"/>
        </w:rPr>
        <w:t>przed oględzinami, spoinę i przylegające do niej elementy łączone  (od 10 do 20 mm z każdej strony) należy dokładnie oczyścić z żużla, zgorzeliny, odprysków, rdzy, farb i innych zanieczyszczeń utrudniających prowadzenie obserwacji i pomiarów,</w:t>
      </w:r>
    </w:p>
    <w:p w:rsidR="0018327E" w:rsidRPr="00AA1C97" w:rsidRDefault="0018327E" w:rsidP="0018327E">
      <w:pPr>
        <w:rPr>
          <w:rFonts w:ascii="Calibri" w:hAnsi="Calibri"/>
        </w:rPr>
      </w:pPr>
      <w:r>
        <w:rPr>
          <w:rFonts w:ascii="Calibri" w:hAnsi="Calibri"/>
        </w:rPr>
        <w:t>-</w:t>
      </w:r>
      <w:r w:rsidRPr="00AA1C97">
        <w:rPr>
          <w:rFonts w:ascii="Calibri" w:hAnsi="Calibri"/>
        </w:rPr>
        <w:t>oględziny złączy należy przeprowadzić wizualnie z ewentualnym użyciem lupy o powiększeniu od 2 do 4 razy; do pomiarów spoin powinny być stosowane wzorniki, przymiary oraz uniwersalne spoinomierze,</w:t>
      </w:r>
    </w:p>
    <w:p w:rsidR="0018327E" w:rsidRPr="00AA1C97" w:rsidRDefault="0018327E" w:rsidP="0018327E">
      <w:pPr>
        <w:rPr>
          <w:rFonts w:ascii="Calibri" w:hAnsi="Calibri"/>
        </w:rPr>
      </w:pPr>
      <w:r>
        <w:rPr>
          <w:rFonts w:ascii="Calibri" w:hAnsi="Calibri"/>
        </w:rPr>
        <w:t>-</w:t>
      </w:r>
      <w:r w:rsidRPr="00AA1C97">
        <w:rPr>
          <w:rFonts w:ascii="Calibri" w:hAnsi="Calibri"/>
        </w:rPr>
        <w:t>w przypadkach wątpliwych można zlecić uprawnionej jednostce zbadanie wytrzymałości zmęczeniowej spoin, zgodnie z PN-M-06515,</w:t>
      </w:r>
    </w:p>
    <w:p w:rsidR="0018327E" w:rsidRPr="00AA1C97" w:rsidRDefault="0018327E" w:rsidP="0018327E">
      <w:pPr>
        <w:rPr>
          <w:rFonts w:ascii="Calibri" w:hAnsi="Calibri"/>
        </w:rPr>
      </w:pPr>
      <w:r>
        <w:rPr>
          <w:rFonts w:ascii="Calibri" w:hAnsi="Calibri"/>
        </w:rPr>
        <w:t>-</w:t>
      </w:r>
      <w:r w:rsidRPr="00AA1C97">
        <w:rPr>
          <w:rFonts w:ascii="Calibri" w:hAnsi="Calibri"/>
        </w:rPr>
        <w:t>złącza o wadach większych niż dopuszczalne powinny być naprawione powtórnym spawaniem.</w:t>
      </w:r>
    </w:p>
    <w:p w:rsidR="0018327E" w:rsidRDefault="0018327E" w:rsidP="0018327E">
      <w:pPr>
        <w:rPr>
          <w:rFonts w:ascii="Calibri" w:hAnsi="Calibri"/>
        </w:rPr>
      </w:pPr>
    </w:p>
    <w:p w:rsidR="0018327E" w:rsidRPr="00A4300E" w:rsidRDefault="0018327E" w:rsidP="0018327E">
      <w:pPr>
        <w:rPr>
          <w:rFonts w:ascii="Calibri" w:hAnsi="Calibri"/>
          <w:b/>
        </w:rPr>
      </w:pPr>
      <w:r w:rsidRPr="00A4300E">
        <w:rPr>
          <w:rFonts w:ascii="Calibri" w:hAnsi="Calibri"/>
          <w:b/>
        </w:rPr>
        <w:t>7. OBMIAR ROBÓT</w:t>
      </w:r>
    </w:p>
    <w:p w:rsidR="0018327E" w:rsidRPr="00AA1C97" w:rsidRDefault="0018327E" w:rsidP="0018327E">
      <w:pPr>
        <w:rPr>
          <w:rFonts w:ascii="Calibri" w:hAnsi="Calibri"/>
        </w:rPr>
      </w:pPr>
      <w:r w:rsidRPr="00A4300E">
        <w:rPr>
          <w:rFonts w:ascii="Calibri" w:hAnsi="Calibri"/>
          <w:b/>
        </w:rPr>
        <w:t>7.1.</w:t>
      </w:r>
      <w:r w:rsidRPr="00AA1C97">
        <w:rPr>
          <w:rFonts w:ascii="Calibri" w:hAnsi="Calibri"/>
        </w:rPr>
        <w:t xml:space="preserve"> Ogólne zasady obmiaru robót</w:t>
      </w:r>
    </w:p>
    <w:p w:rsidR="0018327E" w:rsidRPr="00AA1C97" w:rsidRDefault="0018327E" w:rsidP="0018327E">
      <w:pPr>
        <w:rPr>
          <w:rFonts w:ascii="Calibri" w:hAnsi="Calibri"/>
        </w:rPr>
      </w:pPr>
      <w:r w:rsidRPr="00AA1C97">
        <w:rPr>
          <w:rFonts w:ascii="Calibri" w:hAnsi="Calibri"/>
        </w:rPr>
        <w:tab/>
        <w:t>Ogólne zasady obmiaru robót podano w ST D-M-00.00.00 „Wymagania ogólne” pkt 7.</w:t>
      </w:r>
    </w:p>
    <w:p w:rsidR="000229FB" w:rsidRDefault="000229FB" w:rsidP="0018327E">
      <w:pPr>
        <w:rPr>
          <w:rFonts w:ascii="Calibri" w:hAnsi="Calibri"/>
          <w:b/>
        </w:rPr>
      </w:pPr>
    </w:p>
    <w:p w:rsidR="000229FB" w:rsidRDefault="000229FB" w:rsidP="0018327E">
      <w:pPr>
        <w:rPr>
          <w:rFonts w:ascii="Calibri" w:hAnsi="Calibri"/>
          <w:b/>
        </w:rPr>
      </w:pPr>
    </w:p>
    <w:p w:rsidR="0018327E" w:rsidRPr="00AA1C97" w:rsidRDefault="0018327E" w:rsidP="0018327E">
      <w:pPr>
        <w:rPr>
          <w:rFonts w:ascii="Calibri" w:hAnsi="Calibri"/>
        </w:rPr>
      </w:pPr>
      <w:r w:rsidRPr="00A4300E">
        <w:rPr>
          <w:rFonts w:ascii="Calibri" w:hAnsi="Calibri"/>
          <w:b/>
        </w:rPr>
        <w:t>7.2.</w:t>
      </w:r>
      <w:r w:rsidRPr="00AA1C97">
        <w:rPr>
          <w:rFonts w:ascii="Calibri" w:hAnsi="Calibri"/>
        </w:rPr>
        <w:t xml:space="preserve"> Jednostka obmiarowa</w:t>
      </w:r>
    </w:p>
    <w:p w:rsidR="0018327E" w:rsidRPr="00AA1C97" w:rsidRDefault="0018327E" w:rsidP="0018327E">
      <w:pPr>
        <w:rPr>
          <w:rFonts w:ascii="Calibri" w:hAnsi="Calibri"/>
        </w:rPr>
      </w:pPr>
      <w:r w:rsidRPr="00AA1C97">
        <w:rPr>
          <w:rFonts w:ascii="Calibri" w:hAnsi="Calibri"/>
        </w:rPr>
        <w:tab/>
        <w:t>Jednostką obmiarową urządzenia zabezpieczającego ruch pieszych jest m (metr). Obmiar polega na określeniu rzeczywistej długości urządzenia zabezpieczającego ruch pieszych.</w:t>
      </w:r>
    </w:p>
    <w:p w:rsidR="0018327E" w:rsidRDefault="0018327E" w:rsidP="0018327E">
      <w:pPr>
        <w:rPr>
          <w:rFonts w:ascii="Calibri" w:hAnsi="Calibri"/>
        </w:rPr>
      </w:pPr>
    </w:p>
    <w:p w:rsidR="0018327E" w:rsidRPr="00A4300E" w:rsidRDefault="0018327E" w:rsidP="0018327E">
      <w:pPr>
        <w:rPr>
          <w:rFonts w:ascii="Calibri" w:hAnsi="Calibri"/>
          <w:b/>
        </w:rPr>
      </w:pPr>
      <w:r w:rsidRPr="00A4300E">
        <w:rPr>
          <w:rFonts w:ascii="Calibri" w:hAnsi="Calibri"/>
          <w:b/>
        </w:rPr>
        <w:t>8. ODBIÓR ROBÓT</w:t>
      </w:r>
    </w:p>
    <w:p w:rsidR="0018327E" w:rsidRPr="00AA1C97" w:rsidRDefault="0018327E" w:rsidP="0018327E">
      <w:pPr>
        <w:rPr>
          <w:rFonts w:ascii="Calibri" w:hAnsi="Calibri"/>
        </w:rPr>
      </w:pPr>
      <w:r w:rsidRPr="00AA1C97">
        <w:rPr>
          <w:rFonts w:ascii="Calibri" w:hAnsi="Calibri"/>
        </w:rPr>
        <w:tab/>
        <w:t>Ogólne zasady odbioru robót podano w ST D-M-00.00.00 „Wymagania ogólne” pkt 8.</w:t>
      </w:r>
    </w:p>
    <w:p w:rsidR="0018327E" w:rsidRPr="00AA1C97" w:rsidRDefault="0018327E" w:rsidP="0018327E">
      <w:pPr>
        <w:rPr>
          <w:rFonts w:ascii="Calibri" w:hAnsi="Calibri"/>
        </w:rPr>
      </w:pPr>
      <w:r w:rsidRPr="00AA1C97">
        <w:rPr>
          <w:rFonts w:ascii="Calibri" w:hAnsi="Calibri"/>
        </w:rPr>
        <w:tab/>
        <w:t>Roboty uznaje się za wykonane zgodnie z dokumentacją projektową i wymaganiami Inżyniera, jeżeli wszystkie pomiary i badania z zachowaniem tolerancji wg pkt 6, dały wyniki pozytywne.</w:t>
      </w:r>
    </w:p>
    <w:p w:rsidR="0018327E" w:rsidRDefault="0018327E" w:rsidP="0018327E">
      <w:pPr>
        <w:rPr>
          <w:rFonts w:ascii="Calibri" w:hAnsi="Calibri"/>
        </w:rPr>
      </w:pPr>
      <w:bookmarkStart w:id="1607" w:name="_Toc425562421"/>
    </w:p>
    <w:p w:rsidR="0018327E" w:rsidRPr="00A4300E" w:rsidRDefault="0018327E" w:rsidP="0018327E">
      <w:pPr>
        <w:rPr>
          <w:rFonts w:ascii="Calibri" w:hAnsi="Calibri"/>
          <w:b/>
        </w:rPr>
      </w:pPr>
      <w:r w:rsidRPr="00A4300E">
        <w:rPr>
          <w:rFonts w:ascii="Calibri" w:hAnsi="Calibri"/>
          <w:b/>
        </w:rPr>
        <w:t>9. PODSTAWA PŁATNOŚCI</w:t>
      </w:r>
      <w:bookmarkEnd w:id="1607"/>
    </w:p>
    <w:p w:rsidR="0018327E" w:rsidRPr="00AA1C97" w:rsidRDefault="0018327E" w:rsidP="0018327E">
      <w:pPr>
        <w:rPr>
          <w:rFonts w:ascii="Calibri" w:hAnsi="Calibri"/>
        </w:rPr>
      </w:pPr>
      <w:r w:rsidRPr="00A4300E">
        <w:rPr>
          <w:rFonts w:ascii="Calibri" w:hAnsi="Calibri"/>
          <w:b/>
        </w:rPr>
        <w:t>9.1.</w:t>
      </w:r>
      <w:r w:rsidRPr="00AA1C97">
        <w:rPr>
          <w:rFonts w:ascii="Calibri" w:hAnsi="Calibri"/>
        </w:rPr>
        <w:t xml:space="preserve"> Ogólne ustalenia dotyczące podstawy płatności</w:t>
      </w:r>
    </w:p>
    <w:p w:rsidR="0018327E" w:rsidRPr="00AA1C97" w:rsidRDefault="0018327E" w:rsidP="0018327E">
      <w:pPr>
        <w:rPr>
          <w:rFonts w:ascii="Calibri" w:hAnsi="Calibri"/>
        </w:rPr>
      </w:pPr>
      <w:r w:rsidRPr="00AA1C97">
        <w:rPr>
          <w:rFonts w:ascii="Calibri" w:hAnsi="Calibri"/>
        </w:rPr>
        <w:tab/>
        <w:t>Ogólne ustalenia dotyczące podstawy płatności podano w ST D-M-00.00.00 „Wymagania ogólne” pkt 9.</w:t>
      </w:r>
    </w:p>
    <w:p w:rsidR="0018327E" w:rsidRPr="00AA1C97" w:rsidRDefault="0018327E" w:rsidP="0018327E">
      <w:pPr>
        <w:rPr>
          <w:rFonts w:ascii="Calibri" w:hAnsi="Calibri"/>
        </w:rPr>
      </w:pPr>
      <w:r w:rsidRPr="00A4300E">
        <w:rPr>
          <w:rFonts w:ascii="Calibri" w:hAnsi="Calibri"/>
          <w:b/>
        </w:rPr>
        <w:t>9.2.</w:t>
      </w:r>
      <w:r w:rsidRPr="00AA1C97">
        <w:rPr>
          <w:rFonts w:ascii="Calibri" w:hAnsi="Calibri"/>
        </w:rPr>
        <w:t xml:space="preserve"> Cena jednostek obmiarowych</w:t>
      </w:r>
    </w:p>
    <w:p w:rsidR="0018327E" w:rsidRPr="00AA1C97" w:rsidRDefault="0018327E" w:rsidP="0018327E">
      <w:pPr>
        <w:rPr>
          <w:rFonts w:ascii="Calibri" w:hAnsi="Calibri"/>
        </w:rPr>
      </w:pPr>
      <w:r w:rsidRPr="00AA1C97">
        <w:rPr>
          <w:rFonts w:ascii="Calibri" w:hAnsi="Calibri"/>
        </w:rPr>
        <w:tab/>
        <w:t>Cena 1 m wykonania ogrodzeń ochronnych sztywnych obejmuje:</w:t>
      </w:r>
    </w:p>
    <w:p w:rsidR="0018327E" w:rsidRPr="00AA1C97" w:rsidRDefault="0018327E" w:rsidP="0018327E">
      <w:pPr>
        <w:rPr>
          <w:rFonts w:ascii="Calibri" w:hAnsi="Calibri"/>
        </w:rPr>
      </w:pPr>
      <w:r>
        <w:rPr>
          <w:rFonts w:ascii="Calibri" w:hAnsi="Calibri"/>
        </w:rPr>
        <w:t>-</w:t>
      </w:r>
      <w:r w:rsidRPr="00AA1C97">
        <w:rPr>
          <w:rFonts w:ascii="Calibri" w:hAnsi="Calibri"/>
        </w:rPr>
        <w:t>prace pomiarowe i roboty przygotowawcze,</w:t>
      </w:r>
    </w:p>
    <w:p w:rsidR="0018327E" w:rsidRPr="00AA1C97" w:rsidRDefault="0018327E" w:rsidP="0018327E">
      <w:pPr>
        <w:rPr>
          <w:rFonts w:ascii="Calibri" w:hAnsi="Calibri"/>
        </w:rPr>
      </w:pPr>
      <w:r>
        <w:rPr>
          <w:rFonts w:ascii="Calibri" w:hAnsi="Calibri"/>
        </w:rPr>
        <w:t>-</w:t>
      </w:r>
      <w:r w:rsidRPr="00AA1C97">
        <w:rPr>
          <w:rFonts w:ascii="Calibri" w:hAnsi="Calibri"/>
        </w:rPr>
        <w:t>dostarczenie na miejsce wbudowania elementów konstrukcji barier, płotków, poręczy, paneli lub innych ogrodzeń sztywnych oraz materiałów pomocniczych,</w:t>
      </w:r>
    </w:p>
    <w:p w:rsidR="0018327E" w:rsidRPr="00AA1C97" w:rsidRDefault="0018327E" w:rsidP="0018327E">
      <w:pPr>
        <w:rPr>
          <w:rFonts w:ascii="Calibri" w:hAnsi="Calibri"/>
        </w:rPr>
      </w:pPr>
      <w:r>
        <w:rPr>
          <w:rFonts w:ascii="Calibri" w:hAnsi="Calibri"/>
        </w:rPr>
        <w:t>-</w:t>
      </w:r>
      <w:r w:rsidRPr="00AA1C97">
        <w:rPr>
          <w:rFonts w:ascii="Calibri" w:hAnsi="Calibri"/>
        </w:rPr>
        <w:t>dostarczenie na plac budowy składników oraz przygotowanie masy betonowej w przypadkach jej użycia,</w:t>
      </w:r>
    </w:p>
    <w:p w:rsidR="0018327E" w:rsidRPr="00AA1C97" w:rsidRDefault="0018327E" w:rsidP="0018327E">
      <w:pPr>
        <w:rPr>
          <w:rFonts w:ascii="Calibri" w:hAnsi="Calibri"/>
        </w:rPr>
      </w:pPr>
      <w:r>
        <w:rPr>
          <w:rFonts w:ascii="Calibri" w:hAnsi="Calibri"/>
        </w:rPr>
        <w:lastRenderedPageBreak/>
        <w:t>-</w:t>
      </w:r>
      <w:r w:rsidRPr="00AA1C97">
        <w:rPr>
          <w:rFonts w:ascii="Calibri" w:hAnsi="Calibri"/>
        </w:rPr>
        <w:t>zainstalowanie urządzeń bezpieczeństwa w sposób zapewniający stabilność,</w:t>
      </w:r>
    </w:p>
    <w:p w:rsidR="0018327E" w:rsidRPr="00AA1C97" w:rsidRDefault="0018327E" w:rsidP="0018327E">
      <w:pPr>
        <w:rPr>
          <w:rFonts w:ascii="Calibri" w:hAnsi="Calibri"/>
        </w:rPr>
      </w:pPr>
      <w:r>
        <w:rPr>
          <w:rFonts w:ascii="Calibri" w:hAnsi="Calibri"/>
        </w:rPr>
        <w:t>-</w:t>
      </w:r>
      <w:r w:rsidRPr="00AA1C97">
        <w:rPr>
          <w:rFonts w:ascii="Calibri" w:hAnsi="Calibri"/>
        </w:rPr>
        <w:t>doprowadzenie terenu wokół wykonanych urządzeń do stanu przewidzianego w dokumentacji projektowej lub według zaleceń Inżyniera,</w:t>
      </w:r>
    </w:p>
    <w:p w:rsidR="0018327E" w:rsidRPr="00AA1C97" w:rsidRDefault="0018327E" w:rsidP="0018327E">
      <w:pPr>
        <w:rPr>
          <w:rFonts w:ascii="Calibri" w:hAnsi="Calibri"/>
        </w:rPr>
      </w:pPr>
      <w:r>
        <w:rPr>
          <w:rFonts w:ascii="Calibri" w:hAnsi="Calibri"/>
        </w:rPr>
        <w:t>-</w:t>
      </w:r>
      <w:r w:rsidRPr="00AA1C97">
        <w:rPr>
          <w:rFonts w:ascii="Calibri" w:hAnsi="Calibri"/>
        </w:rPr>
        <w:t>przeprowadzenie badań i pomiarów kontrolnych.</w:t>
      </w:r>
    </w:p>
    <w:p w:rsidR="0018327E" w:rsidRDefault="0018327E" w:rsidP="0018327E">
      <w:pPr>
        <w:rPr>
          <w:rFonts w:ascii="Calibri" w:hAnsi="Calibri"/>
        </w:rPr>
      </w:pPr>
      <w:bookmarkStart w:id="1608" w:name="_Toc425562422"/>
    </w:p>
    <w:p w:rsidR="0018327E" w:rsidRPr="00A4300E" w:rsidRDefault="0018327E" w:rsidP="0018327E">
      <w:pPr>
        <w:rPr>
          <w:rFonts w:ascii="Calibri" w:hAnsi="Calibri"/>
          <w:b/>
        </w:rPr>
      </w:pPr>
      <w:r w:rsidRPr="00A4300E">
        <w:rPr>
          <w:rFonts w:ascii="Calibri" w:hAnsi="Calibri"/>
          <w:b/>
        </w:rPr>
        <w:t>10. PRZEPISY ZWIĄZANE</w:t>
      </w:r>
      <w:bookmarkEnd w:id="1608"/>
    </w:p>
    <w:p w:rsidR="0018327E" w:rsidRDefault="0018327E" w:rsidP="0018327E">
      <w:pPr>
        <w:rPr>
          <w:rFonts w:ascii="Calibri" w:hAnsi="Calibri"/>
        </w:rPr>
      </w:pPr>
      <w:r w:rsidRPr="00A4300E">
        <w:rPr>
          <w:rFonts w:ascii="Calibri" w:hAnsi="Calibri"/>
          <w:b/>
        </w:rPr>
        <w:t>10.1.</w:t>
      </w:r>
      <w:r w:rsidRPr="00AA1C97">
        <w:rPr>
          <w:rFonts w:ascii="Calibri" w:hAnsi="Calibri"/>
        </w:rPr>
        <w:t xml:space="preserve"> Normy</w:t>
      </w:r>
    </w:p>
    <w:tbl>
      <w:tblPr>
        <w:tblW w:w="0" w:type="auto"/>
        <w:tblInd w:w="70" w:type="dxa"/>
        <w:tblLayout w:type="fixed"/>
        <w:tblCellMar>
          <w:left w:w="70" w:type="dxa"/>
          <w:right w:w="70" w:type="dxa"/>
        </w:tblCellMar>
        <w:tblLook w:val="0000"/>
      </w:tblPr>
      <w:tblGrid>
        <w:gridCol w:w="496"/>
        <w:gridCol w:w="1701"/>
        <w:gridCol w:w="5386"/>
      </w:tblGrid>
      <w:tr w:rsidR="0018327E" w:rsidRPr="0053783A" w:rsidTr="0018327E">
        <w:tc>
          <w:tcPr>
            <w:tcW w:w="496" w:type="dxa"/>
          </w:tcPr>
          <w:p w:rsidR="0018327E" w:rsidRPr="0053783A" w:rsidRDefault="0018327E" w:rsidP="0018327E">
            <w:pPr>
              <w:pStyle w:val="StylIwony"/>
              <w:spacing w:before="0" w:after="0"/>
              <w:jc w:val="center"/>
              <w:rPr>
                <w:rFonts w:ascii="Calibri" w:hAnsi="Calibri"/>
                <w:sz w:val="20"/>
              </w:rPr>
            </w:pPr>
            <w:r w:rsidRPr="0053783A">
              <w:rPr>
                <w:rFonts w:ascii="Calibri" w:hAnsi="Calibri"/>
                <w:sz w:val="20"/>
              </w:rPr>
              <w:t xml:space="preserve">  1.</w:t>
            </w:r>
          </w:p>
        </w:tc>
        <w:tc>
          <w:tcPr>
            <w:tcW w:w="1701" w:type="dxa"/>
          </w:tcPr>
          <w:p w:rsidR="0018327E" w:rsidRPr="0053783A" w:rsidRDefault="0018327E" w:rsidP="0018327E">
            <w:pPr>
              <w:pStyle w:val="StylIwony"/>
              <w:spacing w:before="0" w:after="0"/>
              <w:rPr>
                <w:rFonts w:ascii="Calibri" w:hAnsi="Calibri"/>
                <w:sz w:val="20"/>
              </w:rPr>
            </w:pPr>
            <w:r w:rsidRPr="0053783A">
              <w:rPr>
                <w:rFonts w:ascii="Calibri" w:hAnsi="Calibri"/>
                <w:sz w:val="20"/>
              </w:rPr>
              <w:t>PN-B-03264</w:t>
            </w:r>
          </w:p>
        </w:tc>
        <w:tc>
          <w:tcPr>
            <w:tcW w:w="5386" w:type="dxa"/>
          </w:tcPr>
          <w:p w:rsidR="0018327E" w:rsidRPr="0053783A" w:rsidRDefault="0018327E" w:rsidP="0018327E">
            <w:pPr>
              <w:pStyle w:val="StylIwony"/>
              <w:spacing w:before="0" w:after="0"/>
              <w:rPr>
                <w:rFonts w:ascii="Calibri" w:hAnsi="Calibri"/>
                <w:sz w:val="20"/>
              </w:rPr>
            </w:pPr>
            <w:r w:rsidRPr="0053783A">
              <w:rPr>
                <w:rFonts w:ascii="Calibri" w:hAnsi="Calibri"/>
                <w:sz w:val="20"/>
              </w:rPr>
              <w:t xml:space="preserve">Konstrukcje </w:t>
            </w:r>
            <w:r>
              <w:rPr>
                <w:rFonts w:asciiTheme="minorHAnsi" w:hAnsiTheme="minorHAnsi"/>
                <w:sz w:val="20"/>
              </w:rPr>
              <w:t xml:space="preserve">żelbetowe. Obliczenia statyczne </w:t>
            </w:r>
            <w:r w:rsidRPr="0053783A">
              <w:rPr>
                <w:rFonts w:ascii="Calibri" w:hAnsi="Calibri"/>
                <w:sz w:val="20"/>
              </w:rPr>
              <w:t>i projektowanie</w:t>
            </w:r>
          </w:p>
        </w:tc>
      </w:tr>
      <w:tr w:rsidR="0018327E" w:rsidRPr="0053783A" w:rsidTr="0018327E">
        <w:tc>
          <w:tcPr>
            <w:tcW w:w="496" w:type="dxa"/>
          </w:tcPr>
          <w:p w:rsidR="0018327E" w:rsidRPr="0053783A" w:rsidRDefault="0018327E" w:rsidP="0018327E">
            <w:pPr>
              <w:pStyle w:val="StylIwony"/>
              <w:spacing w:before="0" w:after="0"/>
              <w:jc w:val="center"/>
              <w:rPr>
                <w:rFonts w:ascii="Calibri" w:hAnsi="Calibri"/>
                <w:sz w:val="20"/>
              </w:rPr>
            </w:pPr>
            <w:r w:rsidRPr="0053783A">
              <w:rPr>
                <w:rFonts w:ascii="Calibri" w:hAnsi="Calibri"/>
                <w:sz w:val="20"/>
              </w:rPr>
              <w:t xml:space="preserve">  2.</w:t>
            </w:r>
          </w:p>
        </w:tc>
        <w:tc>
          <w:tcPr>
            <w:tcW w:w="1701" w:type="dxa"/>
          </w:tcPr>
          <w:p w:rsidR="0018327E" w:rsidRPr="0053783A" w:rsidRDefault="0018327E" w:rsidP="0018327E">
            <w:pPr>
              <w:pStyle w:val="StylIwony"/>
              <w:spacing w:before="0" w:after="0"/>
              <w:rPr>
                <w:rFonts w:ascii="Calibri" w:hAnsi="Calibri"/>
                <w:sz w:val="20"/>
              </w:rPr>
            </w:pPr>
            <w:r w:rsidRPr="0053783A">
              <w:rPr>
                <w:rFonts w:ascii="Calibri" w:hAnsi="Calibri"/>
                <w:sz w:val="20"/>
              </w:rPr>
              <w:t>PN-H-04651</w:t>
            </w:r>
          </w:p>
        </w:tc>
        <w:tc>
          <w:tcPr>
            <w:tcW w:w="5386" w:type="dxa"/>
          </w:tcPr>
          <w:p w:rsidR="0018327E" w:rsidRPr="0053783A" w:rsidRDefault="0018327E" w:rsidP="0018327E">
            <w:pPr>
              <w:pStyle w:val="StylIwony"/>
              <w:spacing w:before="0" w:after="0"/>
              <w:rPr>
                <w:rFonts w:ascii="Calibri" w:hAnsi="Calibri"/>
                <w:sz w:val="20"/>
              </w:rPr>
            </w:pPr>
            <w:r w:rsidRPr="0053783A">
              <w:rPr>
                <w:rFonts w:ascii="Calibri" w:hAnsi="Calibri"/>
                <w:sz w:val="20"/>
              </w:rPr>
              <w:t>Ochrona przed korozją. Klasyfikacja i określenie agresywności korozyjnej środowisk</w:t>
            </w:r>
          </w:p>
        </w:tc>
      </w:tr>
      <w:tr w:rsidR="0018327E" w:rsidRPr="0053783A" w:rsidTr="0018327E">
        <w:tc>
          <w:tcPr>
            <w:tcW w:w="496" w:type="dxa"/>
          </w:tcPr>
          <w:p w:rsidR="0018327E" w:rsidRPr="0053783A" w:rsidRDefault="0018327E" w:rsidP="0018327E">
            <w:pPr>
              <w:pStyle w:val="StylIwony"/>
              <w:spacing w:before="0" w:after="0"/>
              <w:jc w:val="center"/>
              <w:rPr>
                <w:rFonts w:ascii="Calibri" w:hAnsi="Calibri"/>
                <w:sz w:val="20"/>
              </w:rPr>
            </w:pPr>
            <w:r w:rsidRPr="0053783A">
              <w:rPr>
                <w:rFonts w:ascii="Calibri" w:hAnsi="Calibri"/>
                <w:sz w:val="20"/>
              </w:rPr>
              <w:t xml:space="preserve">  3.</w:t>
            </w:r>
          </w:p>
        </w:tc>
        <w:tc>
          <w:tcPr>
            <w:tcW w:w="1701" w:type="dxa"/>
          </w:tcPr>
          <w:p w:rsidR="0018327E" w:rsidRPr="0053783A" w:rsidRDefault="0018327E" w:rsidP="0018327E">
            <w:pPr>
              <w:pStyle w:val="StylIwony"/>
              <w:spacing w:before="0" w:after="0"/>
              <w:rPr>
                <w:rFonts w:ascii="Calibri" w:hAnsi="Calibri"/>
                <w:sz w:val="20"/>
              </w:rPr>
            </w:pPr>
            <w:r w:rsidRPr="0053783A">
              <w:rPr>
                <w:rFonts w:ascii="Calibri" w:hAnsi="Calibri"/>
                <w:sz w:val="20"/>
              </w:rPr>
              <w:t>PN-B-06250</w:t>
            </w:r>
          </w:p>
        </w:tc>
        <w:tc>
          <w:tcPr>
            <w:tcW w:w="5386" w:type="dxa"/>
          </w:tcPr>
          <w:p w:rsidR="0018327E" w:rsidRPr="0053783A" w:rsidRDefault="0018327E" w:rsidP="0018327E">
            <w:pPr>
              <w:pStyle w:val="StylIwony"/>
              <w:spacing w:before="0" w:after="0"/>
              <w:rPr>
                <w:rFonts w:ascii="Calibri" w:hAnsi="Calibri"/>
                <w:sz w:val="20"/>
              </w:rPr>
            </w:pPr>
            <w:r w:rsidRPr="0053783A">
              <w:rPr>
                <w:rFonts w:ascii="Calibri" w:hAnsi="Calibri"/>
                <w:sz w:val="20"/>
              </w:rPr>
              <w:t>Beton zwykły</w:t>
            </w:r>
          </w:p>
        </w:tc>
      </w:tr>
      <w:tr w:rsidR="0018327E" w:rsidRPr="0053783A" w:rsidTr="0018327E">
        <w:tc>
          <w:tcPr>
            <w:tcW w:w="496" w:type="dxa"/>
          </w:tcPr>
          <w:p w:rsidR="0018327E" w:rsidRPr="0053783A" w:rsidRDefault="0018327E" w:rsidP="0018327E">
            <w:pPr>
              <w:pStyle w:val="StylIwony"/>
              <w:spacing w:before="0" w:after="0"/>
              <w:jc w:val="center"/>
              <w:rPr>
                <w:rFonts w:ascii="Calibri" w:hAnsi="Calibri"/>
                <w:sz w:val="20"/>
              </w:rPr>
            </w:pPr>
            <w:r w:rsidRPr="0053783A">
              <w:rPr>
                <w:rFonts w:ascii="Calibri" w:hAnsi="Calibri"/>
                <w:sz w:val="20"/>
              </w:rPr>
              <w:t xml:space="preserve"> 4.</w:t>
            </w:r>
          </w:p>
        </w:tc>
        <w:tc>
          <w:tcPr>
            <w:tcW w:w="1701" w:type="dxa"/>
          </w:tcPr>
          <w:p w:rsidR="0018327E" w:rsidRPr="0053783A" w:rsidRDefault="0018327E" w:rsidP="0018327E">
            <w:pPr>
              <w:pStyle w:val="StylIwony"/>
              <w:spacing w:before="0" w:after="0"/>
              <w:rPr>
                <w:rFonts w:ascii="Calibri" w:hAnsi="Calibri"/>
                <w:sz w:val="20"/>
              </w:rPr>
            </w:pPr>
            <w:r w:rsidRPr="0053783A">
              <w:rPr>
                <w:rFonts w:ascii="Calibri" w:hAnsi="Calibri"/>
                <w:sz w:val="20"/>
              </w:rPr>
              <w:t>PN-B-06251</w:t>
            </w:r>
          </w:p>
        </w:tc>
        <w:tc>
          <w:tcPr>
            <w:tcW w:w="5386" w:type="dxa"/>
          </w:tcPr>
          <w:p w:rsidR="0018327E" w:rsidRPr="0053783A" w:rsidRDefault="0018327E" w:rsidP="0018327E">
            <w:pPr>
              <w:pStyle w:val="StylIwony"/>
              <w:spacing w:before="0" w:after="0"/>
              <w:rPr>
                <w:rFonts w:ascii="Calibri" w:hAnsi="Calibri"/>
                <w:sz w:val="20"/>
              </w:rPr>
            </w:pPr>
            <w:r w:rsidRPr="0053783A">
              <w:rPr>
                <w:rFonts w:ascii="Calibri" w:hAnsi="Calibri"/>
                <w:sz w:val="20"/>
              </w:rPr>
              <w:t>Roboty betonowe i żelbetowe. Wymagania techniczne</w:t>
            </w:r>
          </w:p>
        </w:tc>
      </w:tr>
      <w:tr w:rsidR="0018327E" w:rsidRPr="0053783A" w:rsidTr="0018327E">
        <w:tc>
          <w:tcPr>
            <w:tcW w:w="496" w:type="dxa"/>
          </w:tcPr>
          <w:p w:rsidR="0018327E" w:rsidRPr="0053783A" w:rsidRDefault="0018327E" w:rsidP="0018327E">
            <w:pPr>
              <w:pStyle w:val="StylIwony"/>
              <w:spacing w:before="0" w:after="0"/>
              <w:jc w:val="center"/>
              <w:rPr>
                <w:rFonts w:ascii="Calibri" w:hAnsi="Calibri"/>
                <w:sz w:val="20"/>
              </w:rPr>
            </w:pPr>
            <w:r w:rsidRPr="0053783A">
              <w:rPr>
                <w:rFonts w:ascii="Calibri" w:hAnsi="Calibri"/>
                <w:sz w:val="20"/>
              </w:rPr>
              <w:t xml:space="preserve">  5.</w:t>
            </w:r>
          </w:p>
        </w:tc>
        <w:tc>
          <w:tcPr>
            <w:tcW w:w="1701" w:type="dxa"/>
          </w:tcPr>
          <w:p w:rsidR="0018327E" w:rsidRPr="0053783A" w:rsidRDefault="0018327E" w:rsidP="0018327E">
            <w:pPr>
              <w:pStyle w:val="StylIwony"/>
              <w:spacing w:before="0" w:after="0"/>
              <w:rPr>
                <w:rFonts w:ascii="Calibri" w:hAnsi="Calibri"/>
                <w:sz w:val="20"/>
              </w:rPr>
            </w:pPr>
            <w:r w:rsidRPr="0053783A">
              <w:rPr>
                <w:rFonts w:ascii="Calibri" w:hAnsi="Calibri"/>
                <w:sz w:val="20"/>
              </w:rPr>
              <w:t>PN-B-06712</w:t>
            </w:r>
          </w:p>
        </w:tc>
        <w:tc>
          <w:tcPr>
            <w:tcW w:w="5386" w:type="dxa"/>
          </w:tcPr>
          <w:p w:rsidR="0018327E" w:rsidRPr="0053783A" w:rsidRDefault="0018327E" w:rsidP="0018327E">
            <w:pPr>
              <w:pStyle w:val="StylIwony"/>
              <w:spacing w:before="0" w:after="0"/>
              <w:rPr>
                <w:rFonts w:ascii="Calibri" w:hAnsi="Calibri"/>
                <w:sz w:val="20"/>
              </w:rPr>
            </w:pPr>
            <w:r w:rsidRPr="0053783A">
              <w:rPr>
                <w:rFonts w:ascii="Calibri" w:hAnsi="Calibri"/>
                <w:sz w:val="20"/>
              </w:rPr>
              <w:t>Kruszywa mineralne do betonu</w:t>
            </w:r>
          </w:p>
        </w:tc>
      </w:tr>
      <w:tr w:rsidR="0018327E" w:rsidRPr="0053783A" w:rsidTr="0018327E">
        <w:tc>
          <w:tcPr>
            <w:tcW w:w="496" w:type="dxa"/>
          </w:tcPr>
          <w:p w:rsidR="0018327E" w:rsidRPr="0053783A" w:rsidRDefault="0018327E" w:rsidP="0018327E">
            <w:pPr>
              <w:pStyle w:val="StylIwony"/>
              <w:spacing w:before="0" w:after="0"/>
              <w:jc w:val="center"/>
              <w:rPr>
                <w:rFonts w:ascii="Calibri" w:hAnsi="Calibri"/>
                <w:sz w:val="20"/>
              </w:rPr>
            </w:pPr>
            <w:r w:rsidRPr="0053783A">
              <w:rPr>
                <w:rFonts w:ascii="Calibri" w:hAnsi="Calibri"/>
                <w:sz w:val="20"/>
              </w:rPr>
              <w:t xml:space="preserve">  6.</w:t>
            </w:r>
          </w:p>
        </w:tc>
        <w:tc>
          <w:tcPr>
            <w:tcW w:w="1701" w:type="dxa"/>
          </w:tcPr>
          <w:p w:rsidR="0018327E" w:rsidRPr="0053783A" w:rsidRDefault="0018327E" w:rsidP="0018327E">
            <w:pPr>
              <w:pStyle w:val="StylIwony"/>
              <w:spacing w:before="0" w:after="0"/>
              <w:rPr>
                <w:rFonts w:ascii="Calibri" w:hAnsi="Calibri"/>
                <w:sz w:val="20"/>
              </w:rPr>
            </w:pPr>
            <w:r w:rsidRPr="0053783A">
              <w:rPr>
                <w:rFonts w:ascii="Calibri" w:hAnsi="Calibri"/>
                <w:sz w:val="20"/>
              </w:rPr>
              <w:t>PN-B-10285</w:t>
            </w:r>
          </w:p>
        </w:tc>
        <w:tc>
          <w:tcPr>
            <w:tcW w:w="5386" w:type="dxa"/>
          </w:tcPr>
          <w:p w:rsidR="0018327E" w:rsidRPr="0053783A" w:rsidRDefault="0018327E" w:rsidP="0018327E">
            <w:pPr>
              <w:pStyle w:val="StylIwony"/>
              <w:spacing w:before="0" w:after="0"/>
              <w:rPr>
                <w:rFonts w:ascii="Calibri" w:hAnsi="Calibri"/>
                <w:sz w:val="20"/>
              </w:rPr>
            </w:pPr>
            <w:r w:rsidRPr="0053783A">
              <w:rPr>
                <w:rFonts w:ascii="Calibri" w:hAnsi="Calibri"/>
                <w:sz w:val="20"/>
              </w:rPr>
              <w:t>Roboty malarskie budowlane farbami, lakierami i emaliami na spoinach bezwodnych</w:t>
            </w:r>
          </w:p>
        </w:tc>
      </w:tr>
      <w:tr w:rsidR="0018327E" w:rsidRPr="0053783A" w:rsidTr="0018327E">
        <w:tc>
          <w:tcPr>
            <w:tcW w:w="496" w:type="dxa"/>
          </w:tcPr>
          <w:p w:rsidR="0018327E" w:rsidRPr="0053783A" w:rsidRDefault="0018327E" w:rsidP="0018327E">
            <w:pPr>
              <w:pStyle w:val="StylIwony"/>
              <w:spacing w:before="0" w:after="0"/>
              <w:jc w:val="center"/>
              <w:rPr>
                <w:rFonts w:ascii="Calibri" w:hAnsi="Calibri"/>
                <w:sz w:val="20"/>
              </w:rPr>
            </w:pPr>
            <w:r w:rsidRPr="0053783A">
              <w:rPr>
                <w:rFonts w:ascii="Calibri" w:hAnsi="Calibri"/>
                <w:sz w:val="20"/>
              </w:rPr>
              <w:t xml:space="preserve">  </w:t>
            </w:r>
            <w:r>
              <w:rPr>
                <w:rFonts w:asciiTheme="minorHAnsi" w:hAnsiTheme="minorHAnsi"/>
                <w:sz w:val="20"/>
              </w:rPr>
              <w:t>7</w:t>
            </w:r>
            <w:r w:rsidRPr="0053783A">
              <w:rPr>
                <w:rFonts w:ascii="Calibri" w:hAnsi="Calibri"/>
                <w:sz w:val="20"/>
              </w:rPr>
              <w:t>.</w:t>
            </w:r>
          </w:p>
        </w:tc>
        <w:tc>
          <w:tcPr>
            <w:tcW w:w="1701" w:type="dxa"/>
          </w:tcPr>
          <w:p w:rsidR="0018327E" w:rsidRPr="0053783A" w:rsidRDefault="0018327E" w:rsidP="0018327E">
            <w:pPr>
              <w:pStyle w:val="StylIwony"/>
              <w:spacing w:before="0" w:after="0"/>
              <w:rPr>
                <w:rFonts w:ascii="Calibri" w:hAnsi="Calibri"/>
                <w:sz w:val="20"/>
              </w:rPr>
            </w:pPr>
            <w:r w:rsidRPr="0053783A">
              <w:rPr>
                <w:rFonts w:ascii="Calibri" w:hAnsi="Calibri"/>
                <w:sz w:val="20"/>
              </w:rPr>
              <w:t>PN-B-19701</w:t>
            </w:r>
          </w:p>
        </w:tc>
        <w:tc>
          <w:tcPr>
            <w:tcW w:w="5386" w:type="dxa"/>
          </w:tcPr>
          <w:p w:rsidR="0018327E" w:rsidRPr="0053783A" w:rsidRDefault="0018327E" w:rsidP="0018327E">
            <w:pPr>
              <w:pStyle w:val="StylIwony"/>
              <w:spacing w:before="0" w:after="0"/>
              <w:rPr>
                <w:rFonts w:ascii="Calibri" w:hAnsi="Calibri"/>
                <w:sz w:val="20"/>
              </w:rPr>
            </w:pPr>
            <w:r w:rsidRPr="0053783A">
              <w:rPr>
                <w:rFonts w:ascii="Calibri" w:hAnsi="Calibri"/>
                <w:sz w:val="20"/>
              </w:rPr>
              <w:t>Cement. Cement powszechnego użytku. Skład, wymagania                   i ocena zgodności</w:t>
            </w:r>
          </w:p>
        </w:tc>
      </w:tr>
      <w:tr w:rsidR="0018327E" w:rsidRPr="0053783A" w:rsidTr="0018327E">
        <w:tc>
          <w:tcPr>
            <w:tcW w:w="496" w:type="dxa"/>
          </w:tcPr>
          <w:p w:rsidR="0018327E" w:rsidRPr="0053783A" w:rsidRDefault="0018327E" w:rsidP="0018327E">
            <w:pPr>
              <w:pStyle w:val="StylIwony"/>
              <w:spacing w:before="0" w:after="0"/>
              <w:jc w:val="center"/>
              <w:rPr>
                <w:rFonts w:ascii="Calibri" w:hAnsi="Calibri"/>
                <w:sz w:val="20"/>
              </w:rPr>
            </w:pPr>
            <w:r>
              <w:rPr>
                <w:rFonts w:asciiTheme="minorHAnsi" w:hAnsiTheme="minorHAnsi"/>
                <w:sz w:val="20"/>
              </w:rPr>
              <w:t>8</w:t>
            </w:r>
            <w:r w:rsidRPr="0053783A">
              <w:rPr>
                <w:rFonts w:ascii="Calibri" w:hAnsi="Calibri"/>
                <w:sz w:val="20"/>
              </w:rPr>
              <w:t>.</w:t>
            </w:r>
          </w:p>
        </w:tc>
        <w:tc>
          <w:tcPr>
            <w:tcW w:w="1701" w:type="dxa"/>
          </w:tcPr>
          <w:p w:rsidR="0018327E" w:rsidRPr="0053783A" w:rsidRDefault="0018327E" w:rsidP="0018327E">
            <w:pPr>
              <w:pStyle w:val="StylIwony"/>
              <w:spacing w:before="0" w:after="0"/>
              <w:rPr>
                <w:rFonts w:ascii="Calibri" w:hAnsi="Calibri"/>
                <w:sz w:val="20"/>
              </w:rPr>
            </w:pPr>
            <w:r w:rsidRPr="0053783A">
              <w:rPr>
                <w:rFonts w:ascii="Calibri" w:hAnsi="Calibri"/>
                <w:sz w:val="20"/>
              </w:rPr>
              <w:t>PN-B-23010</w:t>
            </w:r>
          </w:p>
        </w:tc>
        <w:tc>
          <w:tcPr>
            <w:tcW w:w="5386" w:type="dxa"/>
          </w:tcPr>
          <w:p w:rsidR="0018327E" w:rsidRPr="0053783A" w:rsidRDefault="0018327E" w:rsidP="0018327E">
            <w:pPr>
              <w:pStyle w:val="StylIwony"/>
              <w:spacing w:before="0" w:after="0"/>
              <w:rPr>
                <w:rFonts w:ascii="Calibri" w:hAnsi="Calibri"/>
                <w:sz w:val="20"/>
              </w:rPr>
            </w:pPr>
            <w:r w:rsidRPr="0053783A">
              <w:rPr>
                <w:rFonts w:ascii="Calibri" w:hAnsi="Calibri"/>
                <w:sz w:val="20"/>
              </w:rPr>
              <w:t>Domieszki do betonu. Klasyfikacja i określenia</w:t>
            </w:r>
          </w:p>
        </w:tc>
      </w:tr>
      <w:tr w:rsidR="0018327E" w:rsidRPr="0053783A" w:rsidTr="0018327E">
        <w:tc>
          <w:tcPr>
            <w:tcW w:w="496" w:type="dxa"/>
          </w:tcPr>
          <w:p w:rsidR="0018327E" w:rsidRPr="0053783A" w:rsidRDefault="0018327E" w:rsidP="0018327E">
            <w:pPr>
              <w:pStyle w:val="StylIwony"/>
              <w:spacing w:before="0" w:after="0"/>
              <w:jc w:val="center"/>
              <w:rPr>
                <w:rFonts w:ascii="Calibri" w:hAnsi="Calibri"/>
                <w:sz w:val="20"/>
              </w:rPr>
            </w:pPr>
            <w:r>
              <w:rPr>
                <w:rFonts w:asciiTheme="minorHAnsi" w:hAnsiTheme="minorHAnsi"/>
                <w:sz w:val="20"/>
              </w:rPr>
              <w:t>9</w:t>
            </w:r>
            <w:r w:rsidRPr="0053783A">
              <w:rPr>
                <w:rFonts w:ascii="Calibri" w:hAnsi="Calibri"/>
                <w:sz w:val="20"/>
              </w:rPr>
              <w:t>.</w:t>
            </w:r>
          </w:p>
        </w:tc>
        <w:tc>
          <w:tcPr>
            <w:tcW w:w="1701" w:type="dxa"/>
          </w:tcPr>
          <w:p w:rsidR="0018327E" w:rsidRPr="0053783A" w:rsidRDefault="0018327E" w:rsidP="0018327E">
            <w:pPr>
              <w:pStyle w:val="StylIwony"/>
              <w:spacing w:before="0" w:after="0"/>
              <w:rPr>
                <w:rFonts w:ascii="Calibri" w:hAnsi="Calibri"/>
                <w:sz w:val="20"/>
              </w:rPr>
            </w:pPr>
            <w:r w:rsidRPr="0053783A">
              <w:rPr>
                <w:rFonts w:ascii="Calibri" w:hAnsi="Calibri"/>
                <w:sz w:val="20"/>
              </w:rPr>
              <w:t>PN-B-32250</w:t>
            </w:r>
          </w:p>
        </w:tc>
        <w:tc>
          <w:tcPr>
            <w:tcW w:w="5386" w:type="dxa"/>
          </w:tcPr>
          <w:p w:rsidR="0018327E" w:rsidRPr="0053783A" w:rsidRDefault="0018327E" w:rsidP="0018327E">
            <w:pPr>
              <w:pStyle w:val="StylIwony"/>
              <w:spacing w:before="0" w:after="0"/>
              <w:rPr>
                <w:rFonts w:ascii="Calibri" w:hAnsi="Calibri"/>
                <w:sz w:val="20"/>
              </w:rPr>
            </w:pPr>
            <w:r w:rsidRPr="0053783A">
              <w:rPr>
                <w:rFonts w:ascii="Calibri" w:hAnsi="Calibri"/>
                <w:sz w:val="20"/>
              </w:rPr>
              <w:t>Materiały budowlane. Woda do betonów   i zapraw</w:t>
            </w:r>
          </w:p>
        </w:tc>
      </w:tr>
      <w:tr w:rsidR="0018327E" w:rsidRPr="0053783A" w:rsidTr="0018327E">
        <w:tc>
          <w:tcPr>
            <w:tcW w:w="496" w:type="dxa"/>
          </w:tcPr>
          <w:p w:rsidR="0018327E" w:rsidRPr="0053783A" w:rsidRDefault="0018327E" w:rsidP="0018327E">
            <w:pPr>
              <w:pStyle w:val="StylIwony"/>
              <w:spacing w:before="0" w:after="0"/>
              <w:jc w:val="center"/>
              <w:rPr>
                <w:rFonts w:ascii="Calibri" w:hAnsi="Calibri"/>
                <w:sz w:val="20"/>
              </w:rPr>
            </w:pPr>
            <w:r w:rsidRPr="0053783A">
              <w:rPr>
                <w:rFonts w:ascii="Calibri" w:hAnsi="Calibri"/>
                <w:sz w:val="20"/>
              </w:rPr>
              <w:t>1</w:t>
            </w:r>
            <w:r>
              <w:rPr>
                <w:rFonts w:asciiTheme="minorHAnsi" w:hAnsiTheme="minorHAnsi"/>
                <w:sz w:val="20"/>
              </w:rPr>
              <w:t>0</w:t>
            </w:r>
            <w:r w:rsidRPr="0053783A">
              <w:rPr>
                <w:rFonts w:ascii="Calibri" w:hAnsi="Calibri"/>
                <w:sz w:val="20"/>
              </w:rPr>
              <w:t>.</w:t>
            </w:r>
          </w:p>
        </w:tc>
        <w:tc>
          <w:tcPr>
            <w:tcW w:w="1701" w:type="dxa"/>
          </w:tcPr>
          <w:p w:rsidR="0018327E" w:rsidRPr="0053783A" w:rsidRDefault="0018327E" w:rsidP="0018327E">
            <w:pPr>
              <w:pStyle w:val="StylIwony"/>
              <w:spacing w:before="0" w:after="0"/>
              <w:rPr>
                <w:rFonts w:ascii="Calibri" w:hAnsi="Calibri"/>
                <w:sz w:val="20"/>
              </w:rPr>
            </w:pPr>
            <w:r w:rsidRPr="0053783A">
              <w:rPr>
                <w:rFonts w:ascii="Calibri" w:hAnsi="Calibri"/>
                <w:sz w:val="20"/>
              </w:rPr>
              <w:t>PN-H-74219</w:t>
            </w:r>
          </w:p>
        </w:tc>
        <w:tc>
          <w:tcPr>
            <w:tcW w:w="5386" w:type="dxa"/>
          </w:tcPr>
          <w:p w:rsidR="0018327E" w:rsidRPr="0053783A" w:rsidRDefault="0018327E" w:rsidP="0018327E">
            <w:pPr>
              <w:pStyle w:val="StylIwony"/>
              <w:spacing w:before="0" w:after="0"/>
              <w:rPr>
                <w:rFonts w:ascii="Calibri" w:hAnsi="Calibri"/>
                <w:sz w:val="20"/>
              </w:rPr>
            </w:pPr>
            <w:r w:rsidRPr="0053783A">
              <w:rPr>
                <w:rFonts w:ascii="Calibri" w:hAnsi="Calibri"/>
                <w:sz w:val="20"/>
              </w:rPr>
              <w:t>Rury stalowe bez szwu walcowane na gorąco ogólnego zastosowania</w:t>
            </w:r>
          </w:p>
        </w:tc>
      </w:tr>
      <w:tr w:rsidR="0018327E" w:rsidRPr="0053783A" w:rsidTr="0018327E">
        <w:tc>
          <w:tcPr>
            <w:tcW w:w="496" w:type="dxa"/>
          </w:tcPr>
          <w:p w:rsidR="0018327E" w:rsidRPr="0053783A" w:rsidRDefault="0018327E" w:rsidP="0018327E">
            <w:pPr>
              <w:pStyle w:val="StylIwony"/>
              <w:spacing w:before="0" w:after="0"/>
              <w:jc w:val="center"/>
              <w:rPr>
                <w:rFonts w:ascii="Calibri" w:hAnsi="Calibri"/>
                <w:sz w:val="20"/>
              </w:rPr>
            </w:pPr>
            <w:r w:rsidRPr="0053783A">
              <w:rPr>
                <w:rFonts w:ascii="Calibri" w:hAnsi="Calibri"/>
                <w:sz w:val="20"/>
              </w:rPr>
              <w:t>1</w:t>
            </w:r>
            <w:r>
              <w:rPr>
                <w:rFonts w:asciiTheme="minorHAnsi" w:hAnsiTheme="minorHAnsi"/>
                <w:sz w:val="20"/>
              </w:rPr>
              <w:t>1</w:t>
            </w:r>
            <w:r w:rsidRPr="0053783A">
              <w:rPr>
                <w:rFonts w:ascii="Calibri" w:hAnsi="Calibri"/>
                <w:sz w:val="20"/>
              </w:rPr>
              <w:t>.</w:t>
            </w:r>
          </w:p>
        </w:tc>
        <w:tc>
          <w:tcPr>
            <w:tcW w:w="1701" w:type="dxa"/>
          </w:tcPr>
          <w:p w:rsidR="0018327E" w:rsidRPr="0053783A" w:rsidRDefault="0018327E" w:rsidP="0018327E">
            <w:pPr>
              <w:pStyle w:val="StylIwony"/>
              <w:spacing w:before="0" w:after="0"/>
              <w:rPr>
                <w:rFonts w:ascii="Calibri" w:hAnsi="Calibri"/>
                <w:sz w:val="20"/>
              </w:rPr>
            </w:pPr>
            <w:r w:rsidRPr="0053783A">
              <w:rPr>
                <w:rFonts w:ascii="Calibri" w:hAnsi="Calibri"/>
                <w:sz w:val="20"/>
              </w:rPr>
              <w:t>PN-H-74220</w:t>
            </w:r>
          </w:p>
        </w:tc>
        <w:tc>
          <w:tcPr>
            <w:tcW w:w="5386" w:type="dxa"/>
          </w:tcPr>
          <w:p w:rsidR="0018327E" w:rsidRPr="0053783A" w:rsidRDefault="0018327E" w:rsidP="0018327E">
            <w:pPr>
              <w:pStyle w:val="StylIwony"/>
              <w:spacing w:before="0" w:after="0"/>
              <w:rPr>
                <w:rFonts w:ascii="Calibri" w:hAnsi="Calibri"/>
                <w:sz w:val="20"/>
              </w:rPr>
            </w:pPr>
            <w:r w:rsidRPr="0053783A">
              <w:rPr>
                <w:rFonts w:ascii="Calibri" w:hAnsi="Calibri"/>
                <w:sz w:val="20"/>
              </w:rPr>
              <w:t>Rury stalowe bez szwu ciągnione i walcowane na zimno ogólnego przeznaczenia</w:t>
            </w:r>
          </w:p>
        </w:tc>
      </w:tr>
      <w:tr w:rsidR="0018327E" w:rsidRPr="0053783A" w:rsidTr="0018327E">
        <w:tc>
          <w:tcPr>
            <w:tcW w:w="496" w:type="dxa"/>
          </w:tcPr>
          <w:p w:rsidR="0018327E" w:rsidRPr="0053783A" w:rsidRDefault="0018327E" w:rsidP="0018327E">
            <w:pPr>
              <w:pStyle w:val="StylIwony"/>
              <w:spacing w:before="0" w:after="0"/>
              <w:jc w:val="center"/>
              <w:rPr>
                <w:rFonts w:ascii="Calibri" w:hAnsi="Calibri"/>
                <w:sz w:val="20"/>
              </w:rPr>
            </w:pPr>
            <w:r w:rsidRPr="0053783A">
              <w:rPr>
                <w:rFonts w:ascii="Calibri" w:hAnsi="Calibri"/>
                <w:sz w:val="20"/>
              </w:rPr>
              <w:t>1</w:t>
            </w:r>
            <w:r>
              <w:rPr>
                <w:rFonts w:asciiTheme="minorHAnsi" w:hAnsiTheme="minorHAnsi"/>
                <w:sz w:val="20"/>
              </w:rPr>
              <w:t>2</w:t>
            </w:r>
            <w:r w:rsidRPr="0053783A">
              <w:rPr>
                <w:rFonts w:ascii="Calibri" w:hAnsi="Calibri"/>
                <w:sz w:val="20"/>
              </w:rPr>
              <w:t>.</w:t>
            </w:r>
          </w:p>
        </w:tc>
        <w:tc>
          <w:tcPr>
            <w:tcW w:w="1701" w:type="dxa"/>
          </w:tcPr>
          <w:p w:rsidR="0018327E" w:rsidRPr="0053783A" w:rsidRDefault="0018327E" w:rsidP="0018327E">
            <w:pPr>
              <w:pStyle w:val="StylIwony"/>
              <w:spacing w:before="0" w:after="0"/>
              <w:rPr>
                <w:rFonts w:ascii="Calibri" w:hAnsi="Calibri"/>
                <w:sz w:val="20"/>
              </w:rPr>
            </w:pPr>
            <w:r w:rsidRPr="0053783A">
              <w:rPr>
                <w:rFonts w:ascii="Calibri" w:hAnsi="Calibri"/>
                <w:sz w:val="20"/>
              </w:rPr>
              <w:t>PN-H-82200</w:t>
            </w:r>
          </w:p>
        </w:tc>
        <w:tc>
          <w:tcPr>
            <w:tcW w:w="5386" w:type="dxa"/>
          </w:tcPr>
          <w:p w:rsidR="0018327E" w:rsidRPr="0053783A" w:rsidRDefault="0018327E" w:rsidP="0018327E">
            <w:pPr>
              <w:pStyle w:val="StylIwony"/>
              <w:spacing w:before="0" w:after="0"/>
              <w:rPr>
                <w:rFonts w:ascii="Calibri" w:hAnsi="Calibri"/>
                <w:sz w:val="20"/>
              </w:rPr>
            </w:pPr>
            <w:r w:rsidRPr="0053783A">
              <w:rPr>
                <w:rFonts w:ascii="Calibri" w:hAnsi="Calibri"/>
                <w:sz w:val="20"/>
              </w:rPr>
              <w:t>Cynk</w:t>
            </w:r>
          </w:p>
        </w:tc>
      </w:tr>
      <w:tr w:rsidR="0018327E" w:rsidRPr="0053783A" w:rsidTr="0018327E">
        <w:tc>
          <w:tcPr>
            <w:tcW w:w="496" w:type="dxa"/>
          </w:tcPr>
          <w:p w:rsidR="0018327E" w:rsidRPr="0053783A" w:rsidRDefault="0018327E" w:rsidP="0018327E">
            <w:pPr>
              <w:pStyle w:val="StylIwony"/>
              <w:spacing w:before="0" w:after="0"/>
              <w:jc w:val="center"/>
              <w:rPr>
                <w:rFonts w:ascii="Calibri" w:hAnsi="Calibri"/>
                <w:sz w:val="20"/>
              </w:rPr>
            </w:pPr>
            <w:r w:rsidRPr="0053783A">
              <w:rPr>
                <w:rFonts w:ascii="Calibri" w:hAnsi="Calibri"/>
                <w:sz w:val="20"/>
              </w:rPr>
              <w:t>1</w:t>
            </w:r>
            <w:r>
              <w:rPr>
                <w:rFonts w:asciiTheme="minorHAnsi" w:hAnsiTheme="minorHAnsi"/>
                <w:sz w:val="20"/>
              </w:rPr>
              <w:t>3</w:t>
            </w:r>
            <w:r w:rsidRPr="0053783A">
              <w:rPr>
                <w:rFonts w:ascii="Calibri" w:hAnsi="Calibri"/>
                <w:sz w:val="20"/>
              </w:rPr>
              <w:t>.</w:t>
            </w:r>
          </w:p>
        </w:tc>
        <w:tc>
          <w:tcPr>
            <w:tcW w:w="1701" w:type="dxa"/>
          </w:tcPr>
          <w:p w:rsidR="0018327E" w:rsidRPr="0053783A" w:rsidRDefault="0018327E" w:rsidP="0018327E">
            <w:pPr>
              <w:pStyle w:val="StylIwony"/>
              <w:spacing w:before="0" w:after="0"/>
              <w:rPr>
                <w:rFonts w:ascii="Calibri" w:hAnsi="Calibri"/>
                <w:sz w:val="20"/>
              </w:rPr>
            </w:pPr>
            <w:r w:rsidRPr="0053783A">
              <w:rPr>
                <w:rFonts w:ascii="Calibri" w:hAnsi="Calibri"/>
                <w:sz w:val="20"/>
              </w:rPr>
              <w:t>PN-H-84018</w:t>
            </w:r>
          </w:p>
        </w:tc>
        <w:tc>
          <w:tcPr>
            <w:tcW w:w="5386" w:type="dxa"/>
          </w:tcPr>
          <w:p w:rsidR="0018327E" w:rsidRPr="0053783A" w:rsidRDefault="0018327E" w:rsidP="0018327E">
            <w:pPr>
              <w:pStyle w:val="StylIwony"/>
              <w:spacing w:before="0" w:after="0"/>
              <w:rPr>
                <w:rFonts w:ascii="Calibri" w:hAnsi="Calibri"/>
                <w:sz w:val="20"/>
              </w:rPr>
            </w:pPr>
            <w:r w:rsidRPr="0053783A">
              <w:rPr>
                <w:rFonts w:ascii="Calibri" w:hAnsi="Calibri"/>
                <w:sz w:val="20"/>
              </w:rPr>
              <w:t>Stal niskostopowa o podwyższonej wytrzymałości. Gatunki</w:t>
            </w:r>
          </w:p>
        </w:tc>
      </w:tr>
      <w:tr w:rsidR="0018327E" w:rsidRPr="0053783A" w:rsidTr="0018327E">
        <w:tc>
          <w:tcPr>
            <w:tcW w:w="496" w:type="dxa"/>
          </w:tcPr>
          <w:p w:rsidR="0018327E" w:rsidRPr="0053783A" w:rsidRDefault="0018327E" w:rsidP="0018327E">
            <w:pPr>
              <w:pStyle w:val="StylIwony"/>
              <w:spacing w:before="0" w:after="0"/>
              <w:jc w:val="center"/>
              <w:rPr>
                <w:rFonts w:ascii="Calibri" w:hAnsi="Calibri"/>
                <w:sz w:val="20"/>
              </w:rPr>
            </w:pPr>
            <w:r w:rsidRPr="0053783A">
              <w:rPr>
                <w:rFonts w:ascii="Calibri" w:hAnsi="Calibri"/>
                <w:sz w:val="20"/>
              </w:rPr>
              <w:t>1</w:t>
            </w:r>
            <w:r>
              <w:rPr>
                <w:rFonts w:asciiTheme="minorHAnsi" w:hAnsiTheme="minorHAnsi"/>
                <w:sz w:val="20"/>
              </w:rPr>
              <w:t>4</w:t>
            </w:r>
            <w:r w:rsidRPr="0053783A">
              <w:rPr>
                <w:rFonts w:ascii="Calibri" w:hAnsi="Calibri"/>
                <w:sz w:val="20"/>
              </w:rPr>
              <w:t>.</w:t>
            </w:r>
          </w:p>
        </w:tc>
        <w:tc>
          <w:tcPr>
            <w:tcW w:w="1701" w:type="dxa"/>
          </w:tcPr>
          <w:p w:rsidR="0018327E" w:rsidRPr="0053783A" w:rsidRDefault="0018327E" w:rsidP="0018327E">
            <w:pPr>
              <w:pStyle w:val="StylIwony"/>
              <w:spacing w:before="0" w:after="0"/>
              <w:rPr>
                <w:rFonts w:ascii="Calibri" w:hAnsi="Calibri"/>
                <w:sz w:val="20"/>
              </w:rPr>
            </w:pPr>
            <w:r w:rsidRPr="0053783A">
              <w:rPr>
                <w:rFonts w:ascii="Calibri" w:hAnsi="Calibri"/>
                <w:sz w:val="20"/>
              </w:rPr>
              <w:t>PN-H-84019</w:t>
            </w:r>
          </w:p>
        </w:tc>
        <w:tc>
          <w:tcPr>
            <w:tcW w:w="5386" w:type="dxa"/>
          </w:tcPr>
          <w:p w:rsidR="0018327E" w:rsidRPr="0053783A" w:rsidRDefault="0018327E" w:rsidP="0018327E">
            <w:pPr>
              <w:pStyle w:val="StylIwony"/>
              <w:spacing w:before="0" w:after="0"/>
              <w:rPr>
                <w:rFonts w:ascii="Calibri" w:hAnsi="Calibri"/>
                <w:sz w:val="20"/>
              </w:rPr>
            </w:pPr>
            <w:r w:rsidRPr="0053783A">
              <w:rPr>
                <w:rFonts w:ascii="Calibri" w:hAnsi="Calibri"/>
                <w:sz w:val="20"/>
              </w:rPr>
              <w:t>Stal węglowa konstrukcyjna wyższej jakości ogólnego przeznaczenia. Gatunki</w:t>
            </w:r>
          </w:p>
        </w:tc>
      </w:tr>
      <w:tr w:rsidR="0018327E" w:rsidRPr="0053783A" w:rsidTr="0018327E">
        <w:tc>
          <w:tcPr>
            <w:tcW w:w="496" w:type="dxa"/>
          </w:tcPr>
          <w:p w:rsidR="0018327E" w:rsidRPr="0053783A" w:rsidRDefault="0018327E" w:rsidP="0018327E">
            <w:pPr>
              <w:pStyle w:val="StylIwony"/>
              <w:spacing w:before="0" w:after="0"/>
              <w:jc w:val="center"/>
              <w:rPr>
                <w:rFonts w:ascii="Calibri" w:hAnsi="Calibri"/>
                <w:sz w:val="20"/>
              </w:rPr>
            </w:pPr>
            <w:r w:rsidRPr="0053783A">
              <w:rPr>
                <w:rFonts w:ascii="Calibri" w:hAnsi="Calibri"/>
                <w:sz w:val="20"/>
              </w:rPr>
              <w:t>1</w:t>
            </w:r>
            <w:r>
              <w:rPr>
                <w:rFonts w:asciiTheme="minorHAnsi" w:hAnsiTheme="minorHAnsi"/>
                <w:sz w:val="20"/>
              </w:rPr>
              <w:t>5</w:t>
            </w:r>
            <w:r w:rsidRPr="0053783A">
              <w:rPr>
                <w:rFonts w:ascii="Calibri" w:hAnsi="Calibri"/>
                <w:sz w:val="20"/>
              </w:rPr>
              <w:t>.</w:t>
            </w:r>
          </w:p>
        </w:tc>
        <w:tc>
          <w:tcPr>
            <w:tcW w:w="1701" w:type="dxa"/>
          </w:tcPr>
          <w:p w:rsidR="0018327E" w:rsidRPr="0053783A" w:rsidRDefault="0018327E" w:rsidP="0018327E">
            <w:pPr>
              <w:pStyle w:val="StylIwony"/>
              <w:spacing w:before="0" w:after="0"/>
              <w:rPr>
                <w:rFonts w:ascii="Calibri" w:hAnsi="Calibri"/>
                <w:sz w:val="20"/>
              </w:rPr>
            </w:pPr>
            <w:r w:rsidRPr="0053783A">
              <w:rPr>
                <w:rFonts w:ascii="Calibri" w:hAnsi="Calibri"/>
                <w:sz w:val="20"/>
              </w:rPr>
              <w:t>PN-H-84020</w:t>
            </w:r>
          </w:p>
        </w:tc>
        <w:tc>
          <w:tcPr>
            <w:tcW w:w="5386" w:type="dxa"/>
          </w:tcPr>
          <w:p w:rsidR="0018327E" w:rsidRPr="0053783A" w:rsidRDefault="0018327E" w:rsidP="0018327E">
            <w:pPr>
              <w:pStyle w:val="StylIwony"/>
              <w:spacing w:before="0" w:after="0"/>
              <w:rPr>
                <w:rFonts w:ascii="Calibri" w:hAnsi="Calibri"/>
                <w:sz w:val="20"/>
              </w:rPr>
            </w:pPr>
            <w:r w:rsidRPr="0053783A">
              <w:rPr>
                <w:rFonts w:ascii="Calibri" w:hAnsi="Calibri"/>
                <w:sz w:val="20"/>
              </w:rPr>
              <w:t>Stal niestopowa konstrukcyjna ogólnego przeznaczenia. Gatunki</w:t>
            </w:r>
          </w:p>
        </w:tc>
      </w:tr>
      <w:tr w:rsidR="0018327E" w:rsidRPr="0053783A" w:rsidTr="0018327E">
        <w:tc>
          <w:tcPr>
            <w:tcW w:w="496" w:type="dxa"/>
          </w:tcPr>
          <w:p w:rsidR="0018327E" w:rsidRPr="0053783A" w:rsidRDefault="0018327E" w:rsidP="0018327E">
            <w:pPr>
              <w:pStyle w:val="StylIwony"/>
              <w:spacing w:before="0" w:after="0"/>
              <w:jc w:val="center"/>
              <w:rPr>
                <w:rFonts w:ascii="Calibri" w:hAnsi="Calibri"/>
                <w:sz w:val="20"/>
              </w:rPr>
            </w:pPr>
            <w:r w:rsidRPr="0053783A">
              <w:rPr>
                <w:rFonts w:ascii="Calibri" w:hAnsi="Calibri"/>
                <w:sz w:val="20"/>
              </w:rPr>
              <w:t>1</w:t>
            </w:r>
            <w:r>
              <w:rPr>
                <w:rFonts w:asciiTheme="minorHAnsi" w:hAnsiTheme="minorHAnsi"/>
                <w:sz w:val="20"/>
              </w:rPr>
              <w:t>6</w:t>
            </w:r>
            <w:r w:rsidRPr="0053783A">
              <w:rPr>
                <w:rFonts w:ascii="Calibri" w:hAnsi="Calibri"/>
                <w:sz w:val="20"/>
              </w:rPr>
              <w:t>.</w:t>
            </w:r>
          </w:p>
        </w:tc>
        <w:tc>
          <w:tcPr>
            <w:tcW w:w="1701" w:type="dxa"/>
          </w:tcPr>
          <w:p w:rsidR="0018327E" w:rsidRPr="0053783A" w:rsidRDefault="0018327E" w:rsidP="0018327E">
            <w:pPr>
              <w:pStyle w:val="StylIwony"/>
              <w:spacing w:before="0" w:after="0"/>
              <w:rPr>
                <w:rFonts w:ascii="Calibri" w:hAnsi="Calibri"/>
                <w:sz w:val="20"/>
              </w:rPr>
            </w:pPr>
            <w:r w:rsidRPr="0053783A">
              <w:rPr>
                <w:rFonts w:ascii="Calibri" w:hAnsi="Calibri"/>
                <w:sz w:val="20"/>
              </w:rPr>
              <w:t>PN-H-84023-07</w:t>
            </w:r>
          </w:p>
        </w:tc>
        <w:tc>
          <w:tcPr>
            <w:tcW w:w="5386" w:type="dxa"/>
          </w:tcPr>
          <w:p w:rsidR="0018327E" w:rsidRPr="0053783A" w:rsidRDefault="0018327E" w:rsidP="0018327E">
            <w:pPr>
              <w:pStyle w:val="StylIwony"/>
              <w:spacing w:before="0" w:after="0"/>
              <w:rPr>
                <w:rFonts w:ascii="Calibri" w:hAnsi="Calibri"/>
                <w:sz w:val="20"/>
              </w:rPr>
            </w:pPr>
            <w:r w:rsidRPr="0053783A">
              <w:rPr>
                <w:rFonts w:ascii="Calibri" w:hAnsi="Calibri"/>
                <w:sz w:val="20"/>
              </w:rPr>
              <w:t>Stal określonego zastosowania. Stal na rury</w:t>
            </w:r>
          </w:p>
        </w:tc>
      </w:tr>
      <w:tr w:rsidR="0018327E" w:rsidRPr="0053783A" w:rsidTr="0018327E">
        <w:tc>
          <w:tcPr>
            <w:tcW w:w="496" w:type="dxa"/>
          </w:tcPr>
          <w:p w:rsidR="0018327E" w:rsidRPr="0053783A" w:rsidRDefault="0018327E" w:rsidP="0018327E">
            <w:pPr>
              <w:pStyle w:val="StylIwony"/>
              <w:spacing w:before="0" w:after="0"/>
              <w:jc w:val="center"/>
              <w:rPr>
                <w:rFonts w:ascii="Calibri" w:hAnsi="Calibri"/>
                <w:sz w:val="20"/>
              </w:rPr>
            </w:pPr>
            <w:r w:rsidRPr="0053783A">
              <w:rPr>
                <w:rFonts w:ascii="Calibri" w:hAnsi="Calibri"/>
                <w:sz w:val="20"/>
              </w:rPr>
              <w:t>1</w:t>
            </w:r>
            <w:r>
              <w:rPr>
                <w:rFonts w:asciiTheme="minorHAnsi" w:hAnsiTheme="minorHAnsi"/>
                <w:sz w:val="20"/>
              </w:rPr>
              <w:t>7</w:t>
            </w:r>
            <w:r w:rsidRPr="0053783A">
              <w:rPr>
                <w:rFonts w:ascii="Calibri" w:hAnsi="Calibri"/>
                <w:sz w:val="20"/>
              </w:rPr>
              <w:t>.</w:t>
            </w:r>
          </w:p>
        </w:tc>
        <w:tc>
          <w:tcPr>
            <w:tcW w:w="1701" w:type="dxa"/>
          </w:tcPr>
          <w:p w:rsidR="0018327E" w:rsidRPr="0053783A" w:rsidRDefault="0018327E" w:rsidP="0018327E">
            <w:pPr>
              <w:pStyle w:val="StylIwony"/>
              <w:spacing w:before="0" w:after="0"/>
              <w:rPr>
                <w:rFonts w:ascii="Calibri" w:hAnsi="Calibri"/>
                <w:sz w:val="20"/>
              </w:rPr>
            </w:pPr>
            <w:r w:rsidRPr="0053783A">
              <w:rPr>
                <w:rFonts w:ascii="Calibri" w:hAnsi="Calibri"/>
                <w:sz w:val="20"/>
              </w:rPr>
              <w:t>PN-H-84030-02</w:t>
            </w:r>
          </w:p>
        </w:tc>
        <w:tc>
          <w:tcPr>
            <w:tcW w:w="5386" w:type="dxa"/>
          </w:tcPr>
          <w:p w:rsidR="0018327E" w:rsidRPr="0053783A" w:rsidRDefault="0018327E" w:rsidP="0018327E">
            <w:pPr>
              <w:pStyle w:val="StylIwony"/>
              <w:spacing w:before="0" w:after="0"/>
              <w:rPr>
                <w:rFonts w:ascii="Calibri" w:hAnsi="Calibri"/>
                <w:sz w:val="20"/>
              </w:rPr>
            </w:pPr>
            <w:r w:rsidRPr="0053783A">
              <w:rPr>
                <w:rFonts w:ascii="Calibri" w:hAnsi="Calibri"/>
                <w:sz w:val="20"/>
              </w:rPr>
              <w:t>Stal stopowa konstrukcyjna. Stal do nawęglania. Gatunki</w:t>
            </w:r>
          </w:p>
        </w:tc>
      </w:tr>
      <w:tr w:rsidR="0018327E" w:rsidRPr="0053783A" w:rsidTr="0018327E">
        <w:tc>
          <w:tcPr>
            <w:tcW w:w="496" w:type="dxa"/>
          </w:tcPr>
          <w:p w:rsidR="0018327E" w:rsidRPr="0053783A" w:rsidRDefault="0018327E" w:rsidP="0018327E">
            <w:pPr>
              <w:pStyle w:val="StylIwony"/>
              <w:spacing w:before="0" w:after="0"/>
              <w:jc w:val="center"/>
              <w:rPr>
                <w:rFonts w:ascii="Calibri" w:hAnsi="Calibri"/>
                <w:sz w:val="20"/>
              </w:rPr>
            </w:pPr>
            <w:r w:rsidRPr="0053783A">
              <w:rPr>
                <w:rFonts w:ascii="Calibri" w:hAnsi="Calibri"/>
                <w:sz w:val="20"/>
              </w:rPr>
              <w:t>1</w:t>
            </w:r>
            <w:r>
              <w:rPr>
                <w:rFonts w:asciiTheme="minorHAnsi" w:hAnsiTheme="minorHAnsi"/>
                <w:sz w:val="20"/>
              </w:rPr>
              <w:t>8</w:t>
            </w:r>
            <w:r w:rsidRPr="0053783A">
              <w:rPr>
                <w:rFonts w:ascii="Calibri" w:hAnsi="Calibri"/>
                <w:sz w:val="20"/>
              </w:rPr>
              <w:t>.</w:t>
            </w:r>
          </w:p>
        </w:tc>
        <w:tc>
          <w:tcPr>
            <w:tcW w:w="1701" w:type="dxa"/>
          </w:tcPr>
          <w:p w:rsidR="0018327E" w:rsidRPr="0053783A" w:rsidRDefault="0018327E" w:rsidP="0018327E">
            <w:pPr>
              <w:pStyle w:val="StylIwony"/>
              <w:spacing w:before="0" w:after="0"/>
              <w:rPr>
                <w:rFonts w:ascii="Calibri" w:hAnsi="Calibri"/>
                <w:sz w:val="20"/>
              </w:rPr>
            </w:pPr>
            <w:r w:rsidRPr="0053783A">
              <w:rPr>
                <w:rFonts w:ascii="Calibri" w:hAnsi="Calibri"/>
                <w:sz w:val="20"/>
              </w:rPr>
              <w:t>PN-H-93010</w:t>
            </w:r>
          </w:p>
        </w:tc>
        <w:tc>
          <w:tcPr>
            <w:tcW w:w="5386" w:type="dxa"/>
          </w:tcPr>
          <w:p w:rsidR="0018327E" w:rsidRPr="0053783A" w:rsidRDefault="0018327E" w:rsidP="0018327E">
            <w:pPr>
              <w:pStyle w:val="StylIwony"/>
              <w:spacing w:before="0" w:after="0"/>
              <w:rPr>
                <w:rFonts w:ascii="Calibri" w:hAnsi="Calibri"/>
                <w:sz w:val="20"/>
              </w:rPr>
            </w:pPr>
            <w:r w:rsidRPr="0053783A">
              <w:rPr>
                <w:rFonts w:ascii="Calibri" w:hAnsi="Calibri"/>
                <w:sz w:val="20"/>
              </w:rPr>
              <w:t>Stal. Kształtowniki walcowane na gorąco</w:t>
            </w:r>
          </w:p>
        </w:tc>
      </w:tr>
      <w:tr w:rsidR="0018327E" w:rsidRPr="0053783A" w:rsidTr="0018327E">
        <w:tc>
          <w:tcPr>
            <w:tcW w:w="496" w:type="dxa"/>
          </w:tcPr>
          <w:p w:rsidR="0018327E" w:rsidRPr="0053783A" w:rsidRDefault="0018327E" w:rsidP="0018327E">
            <w:pPr>
              <w:pStyle w:val="StylIwony"/>
              <w:spacing w:before="0" w:after="0"/>
              <w:jc w:val="center"/>
              <w:rPr>
                <w:rFonts w:ascii="Calibri" w:hAnsi="Calibri"/>
                <w:sz w:val="20"/>
              </w:rPr>
            </w:pPr>
            <w:r>
              <w:rPr>
                <w:rFonts w:asciiTheme="minorHAnsi" w:hAnsiTheme="minorHAnsi"/>
                <w:sz w:val="20"/>
              </w:rPr>
              <w:t>19</w:t>
            </w:r>
            <w:r w:rsidRPr="0053783A">
              <w:rPr>
                <w:rFonts w:ascii="Calibri" w:hAnsi="Calibri"/>
                <w:sz w:val="20"/>
              </w:rPr>
              <w:t>.</w:t>
            </w:r>
          </w:p>
        </w:tc>
        <w:tc>
          <w:tcPr>
            <w:tcW w:w="1701" w:type="dxa"/>
          </w:tcPr>
          <w:p w:rsidR="0018327E" w:rsidRPr="0053783A" w:rsidRDefault="0018327E" w:rsidP="0018327E">
            <w:pPr>
              <w:pStyle w:val="StylIwony"/>
              <w:spacing w:before="0" w:after="0"/>
              <w:rPr>
                <w:rFonts w:ascii="Calibri" w:hAnsi="Calibri"/>
                <w:sz w:val="20"/>
              </w:rPr>
            </w:pPr>
            <w:r w:rsidRPr="0053783A">
              <w:rPr>
                <w:rFonts w:ascii="Calibri" w:hAnsi="Calibri"/>
                <w:sz w:val="20"/>
              </w:rPr>
              <w:t>PN-H-93401</w:t>
            </w:r>
          </w:p>
        </w:tc>
        <w:tc>
          <w:tcPr>
            <w:tcW w:w="5386" w:type="dxa"/>
          </w:tcPr>
          <w:p w:rsidR="0018327E" w:rsidRPr="0053783A" w:rsidRDefault="0018327E" w:rsidP="0018327E">
            <w:pPr>
              <w:pStyle w:val="StylIwony"/>
              <w:spacing w:before="0" w:after="0"/>
              <w:rPr>
                <w:rFonts w:ascii="Calibri" w:hAnsi="Calibri"/>
                <w:sz w:val="20"/>
              </w:rPr>
            </w:pPr>
            <w:r w:rsidRPr="0053783A">
              <w:rPr>
                <w:rFonts w:ascii="Calibri" w:hAnsi="Calibri"/>
                <w:sz w:val="20"/>
              </w:rPr>
              <w:t>Stal walcowana. Kątowniki równoramienne</w:t>
            </w:r>
          </w:p>
        </w:tc>
      </w:tr>
      <w:tr w:rsidR="0018327E" w:rsidRPr="0053783A" w:rsidTr="0018327E">
        <w:tc>
          <w:tcPr>
            <w:tcW w:w="496" w:type="dxa"/>
          </w:tcPr>
          <w:p w:rsidR="0018327E" w:rsidRPr="0053783A" w:rsidRDefault="0018327E" w:rsidP="0018327E">
            <w:pPr>
              <w:pStyle w:val="StylIwony"/>
              <w:spacing w:before="0" w:after="0"/>
              <w:jc w:val="center"/>
              <w:rPr>
                <w:rFonts w:ascii="Calibri" w:hAnsi="Calibri"/>
                <w:sz w:val="20"/>
              </w:rPr>
            </w:pPr>
            <w:r w:rsidRPr="0053783A">
              <w:rPr>
                <w:rFonts w:ascii="Calibri" w:hAnsi="Calibri"/>
                <w:sz w:val="20"/>
              </w:rPr>
              <w:t>2</w:t>
            </w:r>
            <w:r>
              <w:rPr>
                <w:rFonts w:asciiTheme="minorHAnsi" w:hAnsiTheme="minorHAnsi"/>
                <w:sz w:val="20"/>
              </w:rPr>
              <w:t>0</w:t>
            </w:r>
            <w:r w:rsidRPr="0053783A">
              <w:rPr>
                <w:rFonts w:ascii="Calibri" w:hAnsi="Calibri"/>
                <w:sz w:val="20"/>
              </w:rPr>
              <w:t>.</w:t>
            </w:r>
          </w:p>
        </w:tc>
        <w:tc>
          <w:tcPr>
            <w:tcW w:w="1701" w:type="dxa"/>
          </w:tcPr>
          <w:p w:rsidR="0018327E" w:rsidRPr="0053783A" w:rsidRDefault="0018327E" w:rsidP="0018327E">
            <w:pPr>
              <w:pStyle w:val="StylIwony"/>
              <w:spacing w:before="0" w:after="0"/>
              <w:rPr>
                <w:rFonts w:ascii="Calibri" w:hAnsi="Calibri"/>
                <w:sz w:val="20"/>
              </w:rPr>
            </w:pPr>
            <w:r w:rsidRPr="0053783A">
              <w:rPr>
                <w:rFonts w:ascii="Calibri" w:hAnsi="Calibri"/>
                <w:sz w:val="20"/>
              </w:rPr>
              <w:t>PN-H-93402</w:t>
            </w:r>
          </w:p>
        </w:tc>
        <w:tc>
          <w:tcPr>
            <w:tcW w:w="5386" w:type="dxa"/>
          </w:tcPr>
          <w:p w:rsidR="0018327E" w:rsidRPr="0053783A" w:rsidRDefault="0018327E" w:rsidP="0018327E">
            <w:pPr>
              <w:pStyle w:val="StylIwony"/>
              <w:spacing w:before="0" w:after="0"/>
              <w:rPr>
                <w:rFonts w:ascii="Calibri" w:hAnsi="Calibri"/>
                <w:sz w:val="20"/>
              </w:rPr>
            </w:pPr>
            <w:r w:rsidRPr="0053783A">
              <w:rPr>
                <w:rFonts w:ascii="Calibri" w:hAnsi="Calibri"/>
                <w:sz w:val="20"/>
              </w:rPr>
              <w:t>Kątowniki nierównoramienne stalowe walcowane na gorąco</w:t>
            </w:r>
          </w:p>
        </w:tc>
      </w:tr>
      <w:tr w:rsidR="0018327E" w:rsidRPr="0053783A" w:rsidTr="0018327E">
        <w:tc>
          <w:tcPr>
            <w:tcW w:w="496" w:type="dxa"/>
          </w:tcPr>
          <w:p w:rsidR="0018327E" w:rsidRPr="0053783A" w:rsidRDefault="0018327E" w:rsidP="0018327E">
            <w:pPr>
              <w:pStyle w:val="StylIwony"/>
              <w:spacing w:before="0" w:after="0"/>
              <w:jc w:val="center"/>
              <w:rPr>
                <w:rFonts w:ascii="Calibri" w:hAnsi="Calibri"/>
                <w:sz w:val="20"/>
              </w:rPr>
            </w:pPr>
            <w:r w:rsidRPr="0053783A">
              <w:rPr>
                <w:rFonts w:ascii="Calibri" w:hAnsi="Calibri"/>
                <w:sz w:val="20"/>
              </w:rPr>
              <w:t>2</w:t>
            </w:r>
            <w:r>
              <w:rPr>
                <w:rFonts w:asciiTheme="minorHAnsi" w:hAnsiTheme="minorHAnsi"/>
                <w:sz w:val="20"/>
              </w:rPr>
              <w:t>1</w:t>
            </w:r>
            <w:r w:rsidRPr="0053783A">
              <w:rPr>
                <w:rFonts w:ascii="Calibri" w:hAnsi="Calibri"/>
                <w:sz w:val="20"/>
              </w:rPr>
              <w:t>.</w:t>
            </w:r>
          </w:p>
        </w:tc>
        <w:tc>
          <w:tcPr>
            <w:tcW w:w="1701" w:type="dxa"/>
          </w:tcPr>
          <w:p w:rsidR="0018327E" w:rsidRPr="0053783A" w:rsidRDefault="0018327E" w:rsidP="0018327E">
            <w:pPr>
              <w:pStyle w:val="StylIwony"/>
              <w:spacing w:before="0" w:after="0"/>
              <w:rPr>
                <w:rFonts w:ascii="Calibri" w:hAnsi="Calibri"/>
                <w:sz w:val="20"/>
              </w:rPr>
            </w:pPr>
            <w:r w:rsidRPr="0053783A">
              <w:rPr>
                <w:rFonts w:ascii="Calibri" w:hAnsi="Calibri"/>
                <w:sz w:val="20"/>
              </w:rPr>
              <w:t>PN-H-93403</w:t>
            </w:r>
          </w:p>
        </w:tc>
        <w:tc>
          <w:tcPr>
            <w:tcW w:w="5386" w:type="dxa"/>
          </w:tcPr>
          <w:p w:rsidR="0018327E" w:rsidRPr="0053783A" w:rsidRDefault="0018327E" w:rsidP="0018327E">
            <w:pPr>
              <w:pStyle w:val="StylIwony"/>
              <w:spacing w:before="0" w:after="0"/>
              <w:rPr>
                <w:rFonts w:ascii="Calibri" w:hAnsi="Calibri"/>
                <w:sz w:val="20"/>
              </w:rPr>
            </w:pPr>
            <w:r w:rsidRPr="0053783A">
              <w:rPr>
                <w:rFonts w:ascii="Calibri" w:hAnsi="Calibri"/>
                <w:sz w:val="20"/>
              </w:rPr>
              <w:t>Stal. Ceowniki walcowane. Wymiary</w:t>
            </w:r>
          </w:p>
        </w:tc>
      </w:tr>
      <w:tr w:rsidR="0018327E" w:rsidRPr="0053783A" w:rsidTr="0018327E">
        <w:tc>
          <w:tcPr>
            <w:tcW w:w="496" w:type="dxa"/>
          </w:tcPr>
          <w:p w:rsidR="0018327E" w:rsidRPr="0053783A" w:rsidRDefault="0018327E" w:rsidP="0018327E">
            <w:pPr>
              <w:pStyle w:val="StylIwony"/>
              <w:spacing w:before="0" w:after="0"/>
              <w:jc w:val="center"/>
              <w:rPr>
                <w:rFonts w:ascii="Calibri" w:hAnsi="Calibri"/>
                <w:sz w:val="20"/>
              </w:rPr>
            </w:pPr>
            <w:r w:rsidRPr="0053783A">
              <w:rPr>
                <w:rFonts w:ascii="Calibri" w:hAnsi="Calibri"/>
                <w:sz w:val="20"/>
              </w:rPr>
              <w:t>2</w:t>
            </w:r>
            <w:r>
              <w:rPr>
                <w:rFonts w:asciiTheme="minorHAnsi" w:hAnsiTheme="minorHAnsi"/>
                <w:sz w:val="20"/>
              </w:rPr>
              <w:t>2</w:t>
            </w:r>
            <w:r w:rsidRPr="0053783A">
              <w:rPr>
                <w:rFonts w:ascii="Calibri" w:hAnsi="Calibri"/>
                <w:sz w:val="20"/>
              </w:rPr>
              <w:t>.</w:t>
            </w:r>
          </w:p>
        </w:tc>
        <w:tc>
          <w:tcPr>
            <w:tcW w:w="1701" w:type="dxa"/>
          </w:tcPr>
          <w:p w:rsidR="0018327E" w:rsidRPr="0053783A" w:rsidRDefault="0018327E" w:rsidP="0018327E">
            <w:pPr>
              <w:pStyle w:val="StylIwony"/>
              <w:spacing w:before="0" w:after="0"/>
              <w:rPr>
                <w:rFonts w:ascii="Calibri" w:hAnsi="Calibri"/>
                <w:sz w:val="20"/>
              </w:rPr>
            </w:pPr>
            <w:r w:rsidRPr="0053783A">
              <w:rPr>
                <w:rFonts w:ascii="Calibri" w:hAnsi="Calibri"/>
                <w:sz w:val="20"/>
              </w:rPr>
              <w:t>PN-H-93406</w:t>
            </w:r>
          </w:p>
        </w:tc>
        <w:tc>
          <w:tcPr>
            <w:tcW w:w="5386" w:type="dxa"/>
          </w:tcPr>
          <w:p w:rsidR="0018327E" w:rsidRPr="0053783A" w:rsidRDefault="0018327E" w:rsidP="0018327E">
            <w:pPr>
              <w:pStyle w:val="StylIwony"/>
              <w:spacing w:before="0" w:after="0"/>
              <w:rPr>
                <w:rFonts w:ascii="Calibri" w:hAnsi="Calibri"/>
                <w:sz w:val="20"/>
              </w:rPr>
            </w:pPr>
            <w:r w:rsidRPr="0053783A">
              <w:rPr>
                <w:rFonts w:ascii="Calibri" w:hAnsi="Calibri"/>
                <w:sz w:val="20"/>
              </w:rPr>
              <w:t>Stal. Teowniki walcowane na gorąco</w:t>
            </w:r>
          </w:p>
        </w:tc>
      </w:tr>
      <w:tr w:rsidR="0018327E" w:rsidRPr="0053783A" w:rsidTr="0018327E">
        <w:tc>
          <w:tcPr>
            <w:tcW w:w="496" w:type="dxa"/>
          </w:tcPr>
          <w:p w:rsidR="0018327E" w:rsidRPr="0053783A" w:rsidRDefault="0018327E" w:rsidP="0018327E">
            <w:pPr>
              <w:pStyle w:val="StylIwony"/>
              <w:spacing w:before="0" w:after="0"/>
              <w:jc w:val="center"/>
              <w:rPr>
                <w:rFonts w:ascii="Calibri" w:hAnsi="Calibri"/>
                <w:sz w:val="20"/>
              </w:rPr>
            </w:pPr>
            <w:r w:rsidRPr="0053783A">
              <w:rPr>
                <w:rFonts w:ascii="Calibri" w:hAnsi="Calibri"/>
                <w:sz w:val="20"/>
              </w:rPr>
              <w:t>2</w:t>
            </w:r>
            <w:r>
              <w:rPr>
                <w:rFonts w:asciiTheme="minorHAnsi" w:hAnsiTheme="minorHAnsi"/>
                <w:sz w:val="20"/>
              </w:rPr>
              <w:t>3</w:t>
            </w:r>
            <w:r w:rsidRPr="0053783A">
              <w:rPr>
                <w:rFonts w:ascii="Calibri" w:hAnsi="Calibri"/>
                <w:sz w:val="20"/>
              </w:rPr>
              <w:t>.</w:t>
            </w:r>
          </w:p>
        </w:tc>
        <w:tc>
          <w:tcPr>
            <w:tcW w:w="1701" w:type="dxa"/>
          </w:tcPr>
          <w:p w:rsidR="0018327E" w:rsidRPr="0053783A" w:rsidRDefault="0018327E" w:rsidP="0018327E">
            <w:pPr>
              <w:pStyle w:val="StylIwony"/>
              <w:spacing w:before="0" w:after="0"/>
              <w:rPr>
                <w:rFonts w:ascii="Calibri" w:hAnsi="Calibri"/>
                <w:sz w:val="20"/>
              </w:rPr>
            </w:pPr>
            <w:r w:rsidRPr="0053783A">
              <w:rPr>
                <w:rFonts w:ascii="Calibri" w:hAnsi="Calibri"/>
                <w:sz w:val="20"/>
              </w:rPr>
              <w:t>PN-H-93407</w:t>
            </w:r>
          </w:p>
        </w:tc>
        <w:tc>
          <w:tcPr>
            <w:tcW w:w="5386" w:type="dxa"/>
          </w:tcPr>
          <w:p w:rsidR="0018327E" w:rsidRPr="0053783A" w:rsidRDefault="0018327E" w:rsidP="0018327E">
            <w:pPr>
              <w:pStyle w:val="StylIwony"/>
              <w:spacing w:before="0" w:after="0"/>
              <w:rPr>
                <w:rFonts w:ascii="Calibri" w:hAnsi="Calibri"/>
                <w:sz w:val="20"/>
              </w:rPr>
            </w:pPr>
            <w:r w:rsidRPr="0053783A">
              <w:rPr>
                <w:rFonts w:ascii="Calibri" w:hAnsi="Calibri"/>
                <w:sz w:val="20"/>
              </w:rPr>
              <w:t>Stal. Dwuteowniki walcowane na gorąco</w:t>
            </w:r>
          </w:p>
        </w:tc>
      </w:tr>
      <w:tr w:rsidR="0018327E" w:rsidRPr="0053783A" w:rsidTr="0018327E">
        <w:tc>
          <w:tcPr>
            <w:tcW w:w="496" w:type="dxa"/>
          </w:tcPr>
          <w:p w:rsidR="0018327E" w:rsidRPr="0053783A" w:rsidRDefault="0018327E" w:rsidP="0018327E">
            <w:pPr>
              <w:pStyle w:val="StylIwony"/>
              <w:spacing w:before="0" w:after="0"/>
              <w:jc w:val="center"/>
              <w:rPr>
                <w:rFonts w:ascii="Calibri" w:hAnsi="Calibri"/>
                <w:sz w:val="20"/>
              </w:rPr>
            </w:pPr>
            <w:r w:rsidRPr="0053783A">
              <w:rPr>
                <w:rFonts w:ascii="Calibri" w:hAnsi="Calibri"/>
                <w:sz w:val="20"/>
              </w:rPr>
              <w:t>2</w:t>
            </w:r>
            <w:r>
              <w:rPr>
                <w:rFonts w:asciiTheme="minorHAnsi" w:hAnsiTheme="minorHAnsi"/>
                <w:sz w:val="20"/>
              </w:rPr>
              <w:t>4</w:t>
            </w:r>
            <w:r w:rsidRPr="0053783A">
              <w:rPr>
                <w:rFonts w:ascii="Calibri" w:hAnsi="Calibri"/>
                <w:sz w:val="20"/>
              </w:rPr>
              <w:t>.</w:t>
            </w:r>
          </w:p>
        </w:tc>
        <w:tc>
          <w:tcPr>
            <w:tcW w:w="1701" w:type="dxa"/>
          </w:tcPr>
          <w:p w:rsidR="0018327E" w:rsidRPr="0053783A" w:rsidRDefault="0018327E" w:rsidP="0018327E">
            <w:pPr>
              <w:pStyle w:val="StylIwony"/>
              <w:spacing w:before="0" w:after="0"/>
              <w:rPr>
                <w:rFonts w:ascii="Calibri" w:hAnsi="Calibri"/>
                <w:sz w:val="20"/>
              </w:rPr>
            </w:pPr>
            <w:r w:rsidRPr="0053783A">
              <w:rPr>
                <w:rFonts w:ascii="Calibri" w:hAnsi="Calibri"/>
                <w:sz w:val="20"/>
              </w:rPr>
              <w:t>PN-H-97051</w:t>
            </w:r>
          </w:p>
        </w:tc>
        <w:tc>
          <w:tcPr>
            <w:tcW w:w="5386" w:type="dxa"/>
          </w:tcPr>
          <w:p w:rsidR="0018327E" w:rsidRPr="0053783A" w:rsidRDefault="0018327E" w:rsidP="0018327E">
            <w:pPr>
              <w:pStyle w:val="StylIwony"/>
              <w:spacing w:before="0" w:after="0"/>
              <w:rPr>
                <w:rFonts w:ascii="Calibri" w:hAnsi="Calibri"/>
                <w:sz w:val="20"/>
              </w:rPr>
            </w:pPr>
            <w:r w:rsidRPr="0053783A">
              <w:rPr>
                <w:rFonts w:ascii="Calibri" w:hAnsi="Calibri"/>
                <w:sz w:val="20"/>
              </w:rPr>
              <w:t>Ochrona przed korozją. Przygotowanie powierzchni stali, staliwa i żeliwa do malowania. Ogólne wytyczne</w:t>
            </w:r>
          </w:p>
        </w:tc>
      </w:tr>
      <w:tr w:rsidR="0018327E" w:rsidRPr="0053783A" w:rsidTr="0018327E">
        <w:tc>
          <w:tcPr>
            <w:tcW w:w="496" w:type="dxa"/>
          </w:tcPr>
          <w:p w:rsidR="0018327E" w:rsidRPr="0053783A" w:rsidRDefault="0018327E" w:rsidP="0018327E">
            <w:pPr>
              <w:pStyle w:val="StylIwony"/>
              <w:spacing w:before="0" w:after="0"/>
              <w:jc w:val="center"/>
              <w:rPr>
                <w:rFonts w:ascii="Calibri" w:hAnsi="Calibri"/>
                <w:sz w:val="20"/>
              </w:rPr>
            </w:pPr>
            <w:r w:rsidRPr="0053783A">
              <w:rPr>
                <w:rFonts w:ascii="Calibri" w:hAnsi="Calibri"/>
                <w:sz w:val="20"/>
              </w:rPr>
              <w:t>2</w:t>
            </w:r>
            <w:r>
              <w:rPr>
                <w:rFonts w:asciiTheme="minorHAnsi" w:hAnsiTheme="minorHAnsi"/>
                <w:sz w:val="20"/>
              </w:rPr>
              <w:t>5</w:t>
            </w:r>
            <w:r w:rsidRPr="0053783A">
              <w:rPr>
                <w:rFonts w:ascii="Calibri" w:hAnsi="Calibri"/>
                <w:sz w:val="20"/>
              </w:rPr>
              <w:t>.</w:t>
            </w:r>
          </w:p>
        </w:tc>
        <w:tc>
          <w:tcPr>
            <w:tcW w:w="1701" w:type="dxa"/>
          </w:tcPr>
          <w:p w:rsidR="0018327E" w:rsidRPr="0053783A" w:rsidRDefault="0018327E" w:rsidP="0018327E">
            <w:pPr>
              <w:pStyle w:val="StylIwony"/>
              <w:spacing w:before="0" w:after="0"/>
              <w:rPr>
                <w:rFonts w:ascii="Calibri" w:hAnsi="Calibri"/>
                <w:sz w:val="20"/>
              </w:rPr>
            </w:pPr>
            <w:r w:rsidRPr="0053783A">
              <w:rPr>
                <w:rFonts w:ascii="Calibri" w:hAnsi="Calibri"/>
                <w:sz w:val="20"/>
              </w:rPr>
              <w:t>PN-H-97052</w:t>
            </w:r>
          </w:p>
        </w:tc>
        <w:tc>
          <w:tcPr>
            <w:tcW w:w="5386" w:type="dxa"/>
          </w:tcPr>
          <w:p w:rsidR="0018327E" w:rsidRPr="0053783A" w:rsidRDefault="0018327E" w:rsidP="0018327E">
            <w:pPr>
              <w:pStyle w:val="StylIwony"/>
              <w:spacing w:before="0" w:after="0"/>
              <w:rPr>
                <w:rFonts w:ascii="Calibri" w:hAnsi="Calibri"/>
                <w:sz w:val="20"/>
              </w:rPr>
            </w:pPr>
            <w:r w:rsidRPr="0053783A">
              <w:rPr>
                <w:rFonts w:ascii="Calibri" w:hAnsi="Calibri"/>
                <w:sz w:val="20"/>
              </w:rPr>
              <w:t>Ochrona przed korozją. Ocena przygotowania powierzchni stali, staliwa i żeliwa do malowania</w:t>
            </w:r>
          </w:p>
        </w:tc>
      </w:tr>
      <w:tr w:rsidR="0018327E" w:rsidRPr="0053783A" w:rsidTr="0018327E">
        <w:tc>
          <w:tcPr>
            <w:tcW w:w="496" w:type="dxa"/>
          </w:tcPr>
          <w:p w:rsidR="0018327E" w:rsidRPr="0053783A" w:rsidRDefault="0018327E" w:rsidP="0018327E">
            <w:pPr>
              <w:pStyle w:val="StylIwony"/>
              <w:spacing w:before="0" w:after="0"/>
              <w:jc w:val="center"/>
              <w:rPr>
                <w:rFonts w:ascii="Calibri" w:hAnsi="Calibri"/>
                <w:sz w:val="20"/>
              </w:rPr>
            </w:pPr>
            <w:r w:rsidRPr="0053783A">
              <w:rPr>
                <w:rFonts w:ascii="Calibri" w:hAnsi="Calibri"/>
                <w:sz w:val="20"/>
              </w:rPr>
              <w:t>2</w:t>
            </w:r>
            <w:r>
              <w:rPr>
                <w:rFonts w:asciiTheme="minorHAnsi" w:hAnsiTheme="minorHAnsi"/>
                <w:sz w:val="20"/>
              </w:rPr>
              <w:t>6</w:t>
            </w:r>
            <w:r w:rsidRPr="0053783A">
              <w:rPr>
                <w:rFonts w:ascii="Calibri" w:hAnsi="Calibri"/>
                <w:sz w:val="20"/>
              </w:rPr>
              <w:t>.</w:t>
            </w:r>
          </w:p>
        </w:tc>
        <w:tc>
          <w:tcPr>
            <w:tcW w:w="1701" w:type="dxa"/>
          </w:tcPr>
          <w:p w:rsidR="0018327E" w:rsidRPr="0053783A" w:rsidRDefault="0018327E" w:rsidP="0018327E">
            <w:pPr>
              <w:pStyle w:val="StylIwony"/>
              <w:spacing w:before="0" w:after="0"/>
              <w:rPr>
                <w:rFonts w:ascii="Calibri" w:hAnsi="Calibri"/>
                <w:sz w:val="20"/>
              </w:rPr>
            </w:pPr>
            <w:r w:rsidRPr="0053783A">
              <w:rPr>
                <w:rFonts w:ascii="Calibri" w:hAnsi="Calibri"/>
                <w:sz w:val="20"/>
              </w:rPr>
              <w:t>PN-H-97053</w:t>
            </w:r>
          </w:p>
        </w:tc>
        <w:tc>
          <w:tcPr>
            <w:tcW w:w="5386" w:type="dxa"/>
          </w:tcPr>
          <w:p w:rsidR="0018327E" w:rsidRPr="0053783A" w:rsidRDefault="0018327E" w:rsidP="0018327E">
            <w:pPr>
              <w:pStyle w:val="StylIwony"/>
              <w:spacing w:before="0" w:after="0"/>
              <w:rPr>
                <w:rFonts w:ascii="Calibri" w:hAnsi="Calibri"/>
                <w:sz w:val="20"/>
              </w:rPr>
            </w:pPr>
            <w:r w:rsidRPr="0053783A">
              <w:rPr>
                <w:rFonts w:ascii="Calibri" w:hAnsi="Calibri"/>
                <w:sz w:val="20"/>
              </w:rPr>
              <w:t>Ochrona przed korozją. Malowanie konstrukcji stalowych. Ogólne wytyczne</w:t>
            </w:r>
          </w:p>
        </w:tc>
      </w:tr>
      <w:tr w:rsidR="0018327E" w:rsidRPr="0053783A" w:rsidTr="0018327E">
        <w:tc>
          <w:tcPr>
            <w:tcW w:w="496" w:type="dxa"/>
          </w:tcPr>
          <w:p w:rsidR="0018327E" w:rsidRPr="0053783A" w:rsidRDefault="0018327E" w:rsidP="0018327E">
            <w:pPr>
              <w:pStyle w:val="StylIwony"/>
              <w:spacing w:before="0" w:after="0"/>
              <w:jc w:val="center"/>
              <w:rPr>
                <w:rFonts w:ascii="Calibri" w:hAnsi="Calibri"/>
                <w:sz w:val="20"/>
              </w:rPr>
            </w:pPr>
            <w:r>
              <w:rPr>
                <w:rFonts w:asciiTheme="minorHAnsi" w:hAnsiTheme="minorHAnsi"/>
                <w:sz w:val="20"/>
              </w:rPr>
              <w:t>27</w:t>
            </w:r>
            <w:r w:rsidRPr="0053783A">
              <w:rPr>
                <w:rFonts w:ascii="Calibri" w:hAnsi="Calibri"/>
                <w:sz w:val="20"/>
              </w:rPr>
              <w:t>.</w:t>
            </w:r>
          </w:p>
        </w:tc>
        <w:tc>
          <w:tcPr>
            <w:tcW w:w="1701" w:type="dxa"/>
          </w:tcPr>
          <w:p w:rsidR="0018327E" w:rsidRPr="0053783A" w:rsidRDefault="0018327E" w:rsidP="0018327E">
            <w:pPr>
              <w:pStyle w:val="StylIwony"/>
              <w:spacing w:before="0" w:after="0"/>
              <w:rPr>
                <w:rFonts w:ascii="Calibri" w:hAnsi="Calibri"/>
                <w:sz w:val="20"/>
              </w:rPr>
            </w:pPr>
            <w:r w:rsidRPr="0053783A">
              <w:rPr>
                <w:rFonts w:ascii="Calibri" w:hAnsi="Calibri"/>
                <w:sz w:val="20"/>
              </w:rPr>
              <w:t>PN-M-69011</w:t>
            </w:r>
          </w:p>
        </w:tc>
        <w:tc>
          <w:tcPr>
            <w:tcW w:w="5386" w:type="dxa"/>
          </w:tcPr>
          <w:p w:rsidR="0018327E" w:rsidRPr="0053783A" w:rsidRDefault="0018327E" w:rsidP="0018327E">
            <w:pPr>
              <w:pStyle w:val="StylIwony"/>
              <w:spacing w:before="0" w:after="0"/>
              <w:rPr>
                <w:rFonts w:ascii="Calibri" w:hAnsi="Calibri"/>
                <w:sz w:val="20"/>
              </w:rPr>
            </w:pPr>
            <w:r w:rsidRPr="0053783A">
              <w:rPr>
                <w:rFonts w:ascii="Calibri" w:hAnsi="Calibri"/>
                <w:sz w:val="20"/>
              </w:rPr>
              <w:t>Spawalnictwo. Złącza spawane w konstrukcjach spawanych. Podział i wymagania</w:t>
            </w:r>
          </w:p>
        </w:tc>
      </w:tr>
      <w:tr w:rsidR="0018327E" w:rsidRPr="0053783A" w:rsidTr="0018327E">
        <w:tc>
          <w:tcPr>
            <w:tcW w:w="496" w:type="dxa"/>
          </w:tcPr>
          <w:p w:rsidR="0018327E" w:rsidRPr="0053783A" w:rsidRDefault="0018327E" w:rsidP="0018327E">
            <w:pPr>
              <w:pStyle w:val="StylIwony"/>
              <w:spacing w:before="0" w:after="0"/>
              <w:jc w:val="center"/>
              <w:rPr>
                <w:rFonts w:ascii="Calibri" w:hAnsi="Calibri"/>
                <w:sz w:val="20"/>
              </w:rPr>
            </w:pPr>
            <w:r>
              <w:rPr>
                <w:rFonts w:asciiTheme="minorHAnsi" w:hAnsiTheme="minorHAnsi"/>
                <w:sz w:val="20"/>
              </w:rPr>
              <w:t>28</w:t>
            </w:r>
            <w:r w:rsidRPr="0053783A">
              <w:rPr>
                <w:rFonts w:ascii="Calibri" w:hAnsi="Calibri"/>
                <w:sz w:val="20"/>
              </w:rPr>
              <w:t>.</w:t>
            </w:r>
          </w:p>
        </w:tc>
        <w:tc>
          <w:tcPr>
            <w:tcW w:w="1701" w:type="dxa"/>
          </w:tcPr>
          <w:p w:rsidR="0018327E" w:rsidRPr="0053783A" w:rsidRDefault="0018327E" w:rsidP="0018327E">
            <w:pPr>
              <w:pStyle w:val="StylIwony"/>
              <w:spacing w:before="0" w:after="0"/>
              <w:rPr>
                <w:rFonts w:ascii="Calibri" w:hAnsi="Calibri"/>
                <w:sz w:val="20"/>
              </w:rPr>
            </w:pPr>
            <w:r w:rsidRPr="0053783A">
              <w:rPr>
                <w:rFonts w:ascii="Calibri" w:hAnsi="Calibri"/>
                <w:sz w:val="20"/>
              </w:rPr>
              <w:t>PN-M-69420</w:t>
            </w:r>
          </w:p>
        </w:tc>
        <w:tc>
          <w:tcPr>
            <w:tcW w:w="5386" w:type="dxa"/>
          </w:tcPr>
          <w:p w:rsidR="0018327E" w:rsidRPr="0053783A" w:rsidRDefault="0018327E" w:rsidP="0018327E">
            <w:pPr>
              <w:pStyle w:val="StylIwony"/>
              <w:spacing w:before="0" w:after="0"/>
              <w:rPr>
                <w:rFonts w:ascii="Calibri" w:hAnsi="Calibri"/>
                <w:sz w:val="20"/>
              </w:rPr>
            </w:pPr>
            <w:r w:rsidRPr="0053783A">
              <w:rPr>
                <w:rFonts w:ascii="Calibri" w:hAnsi="Calibri"/>
                <w:sz w:val="20"/>
              </w:rPr>
              <w:t>Spawalnictwo. Druty lite do spawania i napawania stali</w:t>
            </w:r>
          </w:p>
        </w:tc>
      </w:tr>
      <w:tr w:rsidR="0018327E" w:rsidRPr="0053783A" w:rsidTr="0018327E">
        <w:tc>
          <w:tcPr>
            <w:tcW w:w="496" w:type="dxa"/>
          </w:tcPr>
          <w:p w:rsidR="0018327E" w:rsidRPr="0053783A" w:rsidRDefault="0018327E" w:rsidP="0018327E">
            <w:pPr>
              <w:pStyle w:val="StylIwony"/>
              <w:spacing w:before="0" w:after="0"/>
              <w:jc w:val="center"/>
              <w:rPr>
                <w:rFonts w:ascii="Calibri" w:hAnsi="Calibri"/>
                <w:sz w:val="20"/>
              </w:rPr>
            </w:pPr>
            <w:r>
              <w:rPr>
                <w:rFonts w:asciiTheme="minorHAnsi" w:hAnsiTheme="minorHAnsi"/>
                <w:sz w:val="20"/>
              </w:rPr>
              <w:t>29</w:t>
            </w:r>
            <w:r w:rsidRPr="0053783A">
              <w:rPr>
                <w:rFonts w:ascii="Calibri" w:hAnsi="Calibri"/>
                <w:sz w:val="20"/>
              </w:rPr>
              <w:t>.</w:t>
            </w:r>
          </w:p>
        </w:tc>
        <w:tc>
          <w:tcPr>
            <w:tcW w:w="1701" w:type="dxa"/>
          </w:tcPr>
          <w:p w:rsidR="0018327E" w:rsidRPr="0053783A" w:rsidRDefault="0018327E" w:rsidP="0018327E">
            <w:pPr>
              <w:pStyle w:val="StylIwony"/>
              <w:spacing w:before="0" w:after="0"/>
              <w:rPr>
                <w:rFonts w:ascii="Calibri" w:hAnsi="Calibri"/>
                <w:sz w:val="20"/>
              </w:rPr>
            </w:pPr>
            <w:r w:rsidRPr="0053783A">
              <w:rPr>
                <w:rFonts w:ascii="Calibri" w:hAnsi="Calibri"/>
                <w:sz w:val="20"/>
              </w:rPr>
              <w:t>PN-M-69775</w:t>
            </w:r>
          </w:p>
        </w:tc>
        <w:tc>
          <w:tcPr>
            <w:tcW w:w="5386" w:type="dxa"/>
          </w:tcPr>
          <w:p w:rsidR="0018327E" w:rsidRPr="0053783A" w:rsidRDefault="0018327E" w:rsidP="0018327E">
            <w:pPr>
              <w:pStyle w:val="StylIwony"/>
              <w:spacing w:before="0" w:after="0"/>
              <w:rPr>
                <w:rFonts w:ascii="Calibri" w:hAnsi="Calibri"/>
                <w:sz w:val="20"/>
              </w:rPr>
            </w:pPr>
            <w:r w:rsidRPr="0053783A">
              <w:rPr>
                <w:rFonts w:ascii="Calibri" w:hAnsi="Calibri"/>
                <w:sz w:val="20"/>
              </w:rPr>
              <w:t>Spawalnictwo. Wadliwość złączy spawanych. Oznaczanie klasy wadliwości na podstawie oględzin zewnętrznych</w:t>
            </w:r>
          </w:p>
        </w:tc>
      </w:tr>
      <w:tr w:rsidR="0018327E" w:rsidRPr="0053783A" w:rsidTr="0018327E">
        <w:tc>
          <w:tcPr>
            <w:tcW w:w="496" w:type="dxa"/>
          </w:tcPr>
          <w:p w:rsidR="0018327E" w:rsidRPr="0053783A" w:rsidRDefault="0018327E" w:rsidP="0018327E">
            <w:pPr>
              <w:pStyle w:val="StylIwony"/>
              <w:spacing w:before="0" w:after="0"/>
              <w:jc w:val="center"/>
              <w:rPr>
                <w:rFonts w:ascii="Calibri" w:hAnsi="Calibri"/>
                <w:sz w:val="20"/>
              </w:rPr>
            </w:pPr>
            <w:r w:rsidRPr="0053783A">
              <w:rPr>
                <w:rFonts w:ascii="Calibri" w:hAnsi="Calibri"/>
                <w:sz w:val="20"/>
              </w:rPr>
              <w:t>3</w:t>
            </w:r>
            <w:r>
              <w:rPr>
                <w:rFonts w:asciiTheme="minorHAnsi" w:hAnsiTheme="minorHAnsi"/>
                <w:sz w:val="20"/>
              </w:rPr>
              <w:t>0</w:t>
            </w:r>
            <w:r w:rsidRPr="0053783A">
              <w:rPr>
                <w:rFonts w:ascii="Calibri" w:hAnsi="Calibri"/>
                <w:sz w:val="20"/>
              </w:rPr>
              <w:t>.</w:t>
            </w:r>
          </w:p>
        </w:tc>
        <w:tc>
          <w:tcPr>
            <w:tcW w:w="1701" w:type="dxa"/>
          </w:tcPr>
          <w:p w:rsidR="0018327E" w:rsidRPr="0053783A" w:rsidRDefault="0018327E" w:rsidP="0018327E">
            <w:pPr>
              <w:pStyle w:val="StylIwony"/>
              <w:spacing w:before="0" w:after="0"/>
              <w:rPr>
                <w:rFonts w:ascii="Calibri" w:hAnsi="Calibri"/>
                <w:sz w:val="20"/>
              </w:rPr>
            </w:pPr>
            <w:r w:rsidRPr="0053783A">
              <w:rPr>
                <w:rFonts w:ascii="Calibri" w:hAnsi="Calibri"/>
                <w:sz w:val="20"/>
              </w:rPr>
              <w:t>PN-M-82054</w:t>
            </w:r>
          </w:p>
        </w:tc>
        <w:tc>
          <w:tcPr>
            <w:tcW w:w="5386" w:type="dxa"/>
          </w:tcPr>
          <w:p w:rsidR="0018327E" w:rsidRPr="0053783A" w:rsidRDefault="0018327E" w:rsidP="0018327E">
            <w:pPr>
              <w:pStyle w:val="StylIwony"/>
              <w:spacing w:before="0" w:after="0"/>
              <w:rPr>
                <w:rFonts w:ascii="Calibri" w:hAnsi="Calibri"/>
                <w:sz w:val="20"/>
              </w:rPr>
            </w:pPr>
            <w:r w:rsidRPr="0053783A">
              <w:rPr>
                <w:rFonts w:ascii="Calibri" w:hAnsi="Calibri"/>
                <w:sz w:val="20"/>
              </w:rPr>
              <w:t>Śruby, wkręty i nakrętki stalowe. Ogólne wymagania i badania</w:t>
            </w:r>
          </w:p>
        </w:tc>
      </w:tr>
      <w:tr w:rsidR="0018327E" w:rsidRPr="0053783A" w:rsidTr="0018327E">
        <w:tc>
          <w:tcPr>
            <w:tcW w:w="496" w:type="dxa"/>
          </w:tcPr>
          <w:p w:rsidR="0018327E" w:rsidRPr="0053783A" w:rsidRDefault="0018327E" w:rsidP="0018327E">
            <w:pPr>
              <w:pStyle w:val="StylIwony"/>
              <w:spacing w:before="0" w:after="0"/>
              <w:jc w:val="center"/>
              <w:rPr>
                <w:rFonts w:ascii="Calibri" w:hAnsi="Calibri"/>
                <w:sz w:val="20"/>
              </w:rPr>
            </w:pPr>
            <w:r w:rsidRPr="0053783A">
              <w:rPr>
                <w:rFonts w:ascii="Calibri" w:hAnsi="Calibri"/>
                <w:sz w:val="20"/>
              </w:rPr>
              <w:t>3</w:t>
            </w:r>
            <w:r>
              <w:rPr>
                <w:rFonts w:asciiTheme="minorHAnsi" w:hAnsiTheme="minorHAnsi"/>
                <w:sz w:val="20"/>
              </w:rPr>
              <w:t>1</w:t>
            </w:r>
            <w:r w:rsidRPr="0053783A">
              <w:rPr>
                <w:rFonts w:ascii="Calibri" w:hAnsi="Calibri"/>
                <w:sz w:val="20"/>
              </w:rPr>
              <w:t>.</w:t>
            </w:r>
          </w:p>
        </w:tc>
        <w:tc>
          <w:tcPr>
            <w:tcW w:w="1701" w:type="dxa"/>
          </w:tcPr>
          <w:p w:rsidR="0018327E" w:rsidRPr="0053783A" w:rsidRDefault="0018327E" w:rsidP="0018327E">
            <w:pPr>
              <w:pStyle w:val="StylIwony"/>
              <w:spacing w:before="0" w:after="0"/>
              <w:rPr>
                <w:rFonts w:ascii="Calibri" w:hAnsi="Calibri"/>
                <w:sz w:val="20"/>
              </w:rPr>
            </w:pPr>
            <w:r w:rsidRPr="0053783A">
              <w:rPr>
                <w:rFonts w:ascii="Calibri" w:hAnsi="Calibri"/>
                <w:sz w:val="20"/>
              </w:rPr>
              <w:t>PN-M-82054-03</w:t>
            </w:r>
          </w:p>
        </w:tc>
        <w:tc>
          <w:tcPr>
            <w:tcW w:w="5386" w:type="dxa"/>
          </w:tcPr>
          <w:p w:rsidR="0018327E" w:rsidRPr="0053783A" w:rsidRDefault="0018327E" w:rsidP="0018327E">
            <w:pPr>
              <w:pStyle w:val="StylIwony"/>
              <w:spacing w:before="0" w:after="0"/>
              <w:rPr>
                <w:rFonts w:ascii="Calibri" w:hAnsi="Calibri"/>
                <w:sz w:val="20"/>
              </w:rPr>
            </w:pPr>
            <w:r w:rsidRPr="0053783A">
              <w:rPr>
                <w:rFonts w:ascii="Calibri" w:hAnsi="Calibri"/>
                <w:sz w:val="20"/>
              </w:rPr>
              <w:t>Śruby, wkręty i nakrętki stalowe. Właściwości mechaniczne śrub i wkrętów</w:t>
            </w:r>
          </w:p>
        </w:tc>
      </w:tr>
      <w:tr w:rsidR="0018327E" w:rsidRPr="0053783A" w:rsidTr="0018327E">
        <w:tc>
          <w:tcPr>
            <w:tcW w:w="496" w:type="dxa"/>
          </w:tcPr>
          <w:p w:rsidR="0018327E" w:rsidRPr="0053783A" w:rsidRDefault="0018327E" w:rsidP="0018327E">
            <w:pPr>
              <w:pStyle w:val="StylIwony"/>
              <w:spacing w:before="0" w:after="0"/>
              <w:jc w:val="center"/>
              <w:rPr>
                <w:rFonts w:ascii="Calibri" w:hAnsi="Calibri"/>
                <w:sz w:val="20"/>
              </w:rPr>
            </w:pPr>
            <w:r>
              <w:rPr>
                <w:rFonts w:asciiTheme="minorHAnsi" w:hAnsiTheme="minorHAnsi"/>
                <w:sz w:val="20"/>
              </w:rPr>
              <w:t>3</w:t>
            </w:r>
            <w:r w:rsidRPr="0053783A">
              <w:rPr>
                <w:rFonts w:ascii="Calibri" w:hAnsi="Calibri"/>
                <w:sz w:val="20"/>
              </w:rPr>
              <w:t>2.</w:t>
            </w:r>
          </w:p>
        </w:tc>
        <w:tc>
          <w:tcPr>
            <w:tcW w:w="1701" w:type="dxa"/>
          </w:tcPr>
          <w:p w:rsidR="0018327E" w:rsidRPr="0053783A" w:rsidRDefault="0018327E" w:rsidP="0018327E">
            <w:pPr>
              <w:pStyle w:val="StylIwony"/>
              <w:spacing w:before="0" w:after="0"/>
              <w:rPr>
                <w:rFonts w:ascii="Calibri" w:hAnsi="Calibri"/>
                <w:sz w:val="20"/>
              </w:rPr>
            </w:pPr>
            <w:r w:rsidRPr="0053783A">
              <w:rPr>
                <w:rFonts w:ascii="Calibri" w:hAnsi="Calibri"/>
                <w:sz w:val="20"/>
              </w:rPr>
              <w:t>PN-ISO-8501-1</w:t>
            </w:r>
          </w:p>
        </w:tc>
        <w:tc>
          <w:tcPr>
            <w:tcW w:w="5386" w:type="dxa"/>
          </w:tcPr>
          <w:p w:rsidR="0018327E" w:rsidRPr="0053783A" w:rsidRDefault="0018327E" w:rsidP="0018327E">
            <w:pPr>
              <w:pStyle w:val="StylIwony"/>
              <w:spacing w:before="0" w:after="0"/>
              <w:rPr>
                <w:rFonts w:ascii="Calibri" w:hAnsi="Calibri"/>
                <w:sz w:val="20"/>
              </w:rPr>
            </w:pPr>
            <w:r w:rsidRPr="0053783A">
              <w:rPr>
                <w:rFonts w:ascii="Calibri" w:hAnsi="Calibri"/>
                <w:sz w:val="20"/>
              </w:rPr>
              <w:t>Przygotowanie podłoży stalowych przed nakładaniem farb i podobnych produktów. Stopnie skorodowania i stopnie przygotowania niezabezpieczonych podłoży stalowych oraz podłoży stalowych po całkowitym usunięciu wcześniej nałożonych powłok</w:t>
            </w:r>
          </w:p>
        </w:tc>
      </w:tr>
      <w:tr w:rsidR="0018327E" w:rsidRPr="0053783A" w:rsidTr="0018327E">
        <w:tc>
          <w:tcPr>
            <w:tcW w:w="496" w:type="dxa"/>
          </w:tcPr>
          <w:p w:rsidR="0018327E" w:rsidRPr="0053783A" w:rsidRDefault="0018327E" w:rsidP="0018327E">
            <w:pPr>
              <w:pStyle w:val="StylIwony"/>
              <w:spacing w:before="0" w:after="0"/>
              <w:jc w:val="center"/>
              <w:rPr>
                <w:rFonts w:ascii="Calibri" w:hAnsi="Calibri"/>
                <w:sz w:val="20"/>
              </w:rPr>
            </w:pPr>
            <w:r>
              <w:rPr>
                <w:rFonts w:asciiTheme="minorHAnsi" w:hAnsiTheme="minorHAnsi"/>
                <w:sz w:val="20"/>
              </w:rPr>
              <w:t>3</w:t>
            </w:r>
            <w:r w:rsidRPr="0053783A">
              <w:rPr>
                <w:rFonts w:ascii="Calibri" w:hAnsi="Calibri"/>
                <w:sz w:val="20"/>
              </w:rPr>
              <w:t>3.</w:t>
            </w:r>
          </w:p>
        </w:tc>
        <w:tc>
          <w:tcPr>
            <w:tcW w:w="1701" w:type="dxa"/>
          </w:tcPr>
          <w:p w:rsidR="0018327E" w:rsidRPr="0053783A" w:rsidRDefault="0018327E" w:rsidP="0018327E">
            <w:pPr>
              <w:pStyle w:val="StylIwony"/>
              <w:spacing w:before="0" w:after="0"/>
              <w:rPr>
                <w:rFonts w:ascii="Calibri" w:hAnsi="Calibri"/>
                <w:sz w:val="20"/>
              </w:rPr>
            </w:pPr>
            <w:r w:rsidRPr="0053783A">
              <w:rPr>
                <w:rFonts w:ascii="Calibri" w:hAnsi="Calibri"/>
                <w:sz w:val="20"/>
              </w:rPr>
              <w:t>BN-73/0658-01</w:t>
            </w:r>
          </w:p>
        </w:tc>
        <w:tc>
          <w:tcPr>
            <w:tcW w:w="5386" w:type="dxa"/>
          </w:tcPr>
          <w:p w:rsidR="0018327E" w:rsidRPr="0053783A" w:rsidRDefault="0018327E" w:rsidP="0018327E">
            <w:pPr>
              <w:pStyle w:val="StylIwony"/>
              <w:spacing w:before="0" w:after="0"/>
              <w:rPr>
                <w:rFonts w:ascii="Calibri" w:hAnsi="Calibri"/>
                <w:sz w:val="20"/>
              </w:rPr>
            </w:pPr>
            <w:r w:rsidRPr="0053783A">
              <w:rPr>
                <w:rFonts w:ascii="Calibri" w:hAnsi="Calibri"/>
                <w:sz w:val="20"/>
              </w:rPr>
              <w:t>Rury stalowe profilowe ciągnione na zimno. Wymiary</w:t>
            </w:r>
          </w:p>
        </w:tc>
      </w:tr>
      <w:tr w:rsidR="0018327E" w:rsidRPr="0053783A" w:rsidTr="0018327E">
        <w:tc>
          <w:tcPr>
            <w:tcW w:w="496" w:type="dxa"/>
          </w:tcPr>
          <w:p w:rsidR="0018327E" w:rsidRPr="0053783A" w:rsidRDefault="0018327E" w:rsidP="0018327E">
            <w:pPr>
              <w:pStyle w:val="StylIwony"/>
              <w:spacing w:before="0" w:after="0"/>
              <w:jc w:val="center"/>
              <w:rPr>
                <w:rFonts w:ascii="Calibri" w:hAnsi="Calibri"/>
                <w:sz w:val="20"/>
              </w:rPr>
            </w:pPr>
            <w:r>
              <w:rPr>
                <w:rFonts w:asciiTheme="minorHAnsi" w:hAnsiTheme="minorHAnsi"/>
                <w:sz w:val="20"/>
              </w:rPr>
              <w:t>3</w:t>
            </w:r>
            <w:r w:rsidRPr="0053783A">
              <w:rPr>
                <w:rFonts w:ascii="Calibri" w:hAnsi="Calibri"/>
                <w:sz w:val="20"/>
              </w:rPr>
              <w:t>4.</w:t>
            </w:r>
          </w:p>
        </w:tc>
        <w:tc>
          <w:tcPr>
            <w:tcW w:w="1701" w:type="dxa"/>
          </w:tcPr>
          <w:p w:rsidR="0018327E" w:rsidRPr="0053783A" w:rsidRDefault="0018327E" w:rsidP="0018327E">
            <w:pPr>
              <w:pStyle w:val="StylIwony"/>
              <w:spacing w:before="0" w:after="0"/>
              <w:rPr>
                <w:rFonts w:ascii="Calibri" w:hAnsi="Calibri"/>
                <w:sz w:val="20"/>
              </w:rPr>
            </w:pPr>
            <w:r w:rsidRPr="0053783A">
              <w:rPr>
                <w:rFonts w:ascii="Calibri" w:hAnsi="Calibri"/>
                <w:sz w:val="20"/>
              </w:rPr>
              <w:t>BN-89/1076-02</w:t>
            </w:r>
          </w:p>
        </w:tc>
        <w:tc>
          <w:tcPr>
            <w:tcW w:w="5386" w:type="dxa"/>
          </w:tcPr>
          <w:p w:rsidR="0018327E" w:rsidRPr="0053783A" w:rsidRDefault="0018327E" w:rsidP="0018327E">
            <w:pPr>
              <w:pStyle w:val="StylIwony"/>
              <w:spacing w:before="0" w:after="0"/>
              <w:rPr>
                <w:rFonts w:ascii="Calibri" w:hAnsi="Calibri"/>
                <w:sz w:val="20"/>
              </w:rPr>
            </w:pPr>
            <w:r w:rsidRPr="0053783A">
              <w:rPr>
                <w:rFonts w:ascii="Calibri" w:hAnsi="Calibri"/>
                <w:sz w:val="20"/>
              </w:rPr>
              <w:t>Ochrona przed korozją. Powłoki metalizacyjne cynkowe i aluminiowe na konstrukcjach stalowych, staliwnych i żeliwnych. Wymagania i badania</w:t>
            </w:r>
          </w:p>
        </w:tc>
      </w:tr>
      <w:tr w:rsidR="0018327E" w:rsidRPr="0053783A" w:rsidTr="0018327E">
        <w:tc>
          <w:tcPr>
            <w:tcW w:w="496" w:type="dxa"/>
          </w:tcPr>
          <w:p w:rsidR="0018327E" w:rsidRPr="0053783A" w:rsidRDefault="0018327E" w:rsidP="0018327E">
            <w:pPr>
              <w:pStyle w:val="StylIwony"/>
              <w:spacing w:before="0" w:after="0"/>
              <w:jc w:val="center"/>
              <w:rPr>
                <w:rFonts w:ascii="Calibri" w:hAnsi="Calibri"/>
                <w:sz w:val="20"/>
              </w:rPr>
            </w:pPr>
            <w:r>
              <w:rPr>
                <w:rFonts w:asciiTheme="minorHAnsi" w:hAnsiTheme="minorHAnsi"/>
                <w:sz w:val="20"/>
              </w:rPr>
              <w:t>35.</w:t>
            </w:r>
          </w:p>
        </w:tc>
        <w:tc>
          <w:tcPr>
            <w:tcW w:w="1701" w:type="dxa"/>
          </w:tcPr>
          <w:p w:rsidR="0018327E" w:rsidRPr="0053783A" w:rsidRDefault="0018327E" w:rsidP="0018327E">
            <w:pPr>
              <w:pStyle w:val="StylIwony"/>
              <w:spacing w:before="0" w:after="0"/>
              <w:rPr>
                <w:rFonts w:ascii="Calibri" w:hAnsi="Calibri"/>
                <w:sz w:val="20"/>
              </w:rPr>
            </w:pPr>
            <w:r w:rsidRPr="0053783A">
              <w:rPr>
                <w:rFonts w:ascii="Calibri" w:hAnsi="Calibri"/>
                <w:sz w:val="20"/>
              </w:rPr>
              <w:t>BN-88/6731-08</w:t>
            </w:r>
          </w:p>
        </w:tc>
        <w:tc>
          <w:tcPr>
            <w:tcW w:w="5386" w:type="dxa"/>
          </w:tcPr>
          <w:p w:rsidR="0018327E" w:rsidRPr="0053783A" w:rsidRDefault="0018327E" w:rsidP="0018327E">
            <w:pPr>
              <w:pStyle w:val="StylIwony"/>
              <w:spacing w:before="0" w:after="0"/>
              <w:rPr>
                <w:rFonts w:ascii="Calibri" w:hAnsi="Calibri"/>
                <w:sz w:val="20"/>
              </w:rPr>
            </w:pPr>
            <w:r w:rsidRPr="0053783A">
              <w:rPr>
                <w:rFonts w:ascii="Calibri" w:hAnsi="Calibri"/>
                <w:sz w:val="20"/>
              </w:rPr>
              <w:t>Cement. Transport i przechowywanie.</w:t>
            </w:r>
          </w:p>
        </w:tc>
      </w:tr>
    </w:tbl>
    <w:p w:rsidR="0018327E" w:rsidRPr="00AA1C97" w:rsidRDefault="0018327E" w:rsidP="0018327E">
      <w:pPr>
        <w:rPr>
          <w:rFonts w:ascii="Calibri" w:hAnsi="Calibri"/>
        </w:rPr>
      </w:pPr>
      <w:r w:rsidRPr="00A4300E">
        <w:rPr>
          <w:rFonts w:ascii="Calibri" w:hAnsi="Calibri"/>
          <w:b/>
        </w:rPr>
        <w:lastRenderedPageBreak/>
        <w:t>10.2.</w:t>
      </w:r>
      <w:r w:rsidRPr="00AA1C97">
        <w:rPr>
          <w:rFonts w:ascii="Calibri" w:hAnsi="Calibri"/>
        </w:rPr>
        <w:t xml:space="preserve"> Inne dokumenty</w:t>
      </w:r>
    </w:p>
    <w:tbl>
      <w:tblPr>
        <w:tblW w:w="0" w:type="auto"/>
        <w:tblInd w:w="70" w:type="dxa"/>
        <w:tblLayout w:type="fixed"/>
        <w:tblCellMar>
          <w:left w:w="70" w:type="dxa"/>
          <w:right w:w="70" w:type="dxa"/>
        </w:tblCellMar>
        <w:tblLook w:val="0000"/>
      </w:tblPr>
      <w:tblGrid>
        <w:gridCol w:w="496"/>
        <w:gridCol w:w="7087"/>
      </w:tblGrid>
      <w:tr w:rsidR="0018327E" w:rsidRPr="001F7692" w:rsidTr="0018327E">
        <w:tc>
          <w:tcPr>
            <w:tcW w:w="496" w:type="dxa"/>
          </w:tcPr>
          <w:p w:rsidR="0018327E" w:rsidRPr="001F7692" w:rsidRDefault="0018327E" w:rsidP="0018327E">
            <w:pPr>
              <w:pStyle w:val="StylIwony"/>
              <w:spacing w:before="0" w:after="0"/>
              <w:jc w:val="center"/>
              <w:rPr>
                <w:rFonts w:ascii="Calibri" w:hAnsi="Calibri"/>
                <w:sz w:val="20"/>
              </w:rPr>
            </w:pPr>
            <w:r>
              <w:rPr>
                <w:rFonts w:asciiTheme="minorHAnsi" w:hAnsiTheme="minorHAnsi"/>
                <w:sz w:val="20"/>
              </w:rPr>
              <w:t>36</w:t>
            </w:r>
            <w:r w:rsidRPr="001F7692">
              <w:rPr>
                <w:rFonts w:ascii="Calibri" w:hAnsi="Calibri"/>
                <w:sz w:val="20"/>
              </w:rPr>
              <w:t>.</w:t>
            </w:r>
          </w:p>
        </w:tc>
        <w:tc>
          <w:tcPr>
            <w:tcW w:w="7087" w:type="dxa"/>
          </w:tcPr>
          <w:p w:rsidR="0018327E" w:rsidRPr="001F7692" w:rsidRDefault="0018327E" w:rsidP="0018327E">
            <w:pPr>
              <w:pStyle w:val="StylIwony"/>
              <w:spacing w:before="0" w:after="0"/>
              <w:rPr>
                <w:rFonts w:ascii="Calibri" w:hAnsi="Calibri"/>
                <w:sz w:val="20"/>
              </w:rPr>
            </w:pPr>
            <w:r w:rsidRPr="001F7692">
              <w:rPr>
                <w:rFonts w:ascii="Calibri" w:hAnsi="Calibri"/>
                <w:sz w:val="20"/>
              </w:rPr>
              <w:t>Katalog budownictwa, Karta KB 8-3.3 (5), listopad 1965.</w:t>
            </w:r>
          </w:p>
        </w:tc>
      </w:tr>
      <w:tr w:rsidR="0018327E" w:rsidRPr="001F7692" w:rsidTr="0018327E">
        <w:tc>
          <w:tcPr>
            <w:tcW w:w="496" w:type="dxa"/>
          </w:tcPr>
          <w:p w:rsidR="0018327E" w:rsidRPr="001F7692" w:rsidRDefault="0018327E" w:rsidP="0018327E">
            <w:pPr>
              <w:pStyle w:val="StylIwony"/>
              <w:spacing w:before="0" w:after="0"/>
              <w:jc w:val="center"/>
              <w:rPr>
                <w:rFonts w:ascii="Calibri" w:hAnsi="Calibri"/>
                <w:sz w:val="20"/>
              </w:rPr>
            </w:pPr>
            <w:r>
              <w:rPr>
                <w:rFonts w:asciiTheme="minorHAnsi" w:hAnsiTheme="minorHAnsi"/>
                <w:sz w:val="20"/>
              </w:rPr>
              <w:t>37</w:t>
            </w:r>
            <w:r w:rsidRPr="001F7692">
              <w:rPr>
                <w:rFonts w:ascii="Calibri" w:hAnsi="Calibri"/>
                <w:sz w:val="20"/>
              </w:rPr>
              <w:t>.</w:t>
            </w:r>
          </w:p>
        </w:tc>
        <w:tc>
          <w:tcPr>
            <w:tcW w:w="7087" w:type="dxa"/>
          </w:tcPr>
          <w:p w:rsidR="0018327E" w:rsidRPr="001F7692" w:rsidRDefault="0018327E" w:rsidP="0018327E">
            <w:pPr>
              <w:pStyle w:val="StylIwony"/>
              <w:spacing w:before="0" w:after="0"/>
              <w:rPr>
                <w:rFonts w:ascii="Calibri" w:hAnsi="Calibri"/>
                <w:sz w:val="20"/>
              </w:rPr>
            </w:pPr>
            <w:r w:rsidRPr="001F7692">
              <w:rPr>
                <w:rFonts w:ascii="Calibri" w:hAnsi="Calibri"/>
                <w:sz w:val="20"/>
              </w:rPr>
              <w:t>Leszek Mikołajków, „Urządzenia bezpieczeństwa ruchu na obiektach mostowych”. Wydawnictwa Komunikacji i Łączności, Warszawa 1988.</w:t>
            </w:r>
          </w:p>
        </w:tc>
      </w:tr>
      <w:tr w:rsidR="0018327E" w:rsidRPr="001F7692" w:rsidTr="0018327E">
        <w:tc>
          <w:tcPr>
            <w:tcW w:w="496" w:type="dxa"/>
          </w:tcPr>
          <w:p w:rsidR="0018327E" w:rsidRPr="001F7692" w:rsidRDefault="0018327E" w:rsidP="0018327E">
            <w:pPr>
              <w:pStyle w:val="StylIwony"/>
              <w:spacing w:before="0" w:after="0"/>
              <w:jc w:val="center"/>
              <w:rPr>
                <w:rFonts w:ascii="Calibri" w:hAnsi="Calibri"/>
                <w:sz w:val="20"/>
              </w:rPr>
            </w:pPr>
            <w:r>
              <w:rPr>
                <w:rFonts w:asciiTheme="minorHAnsi" w:hAnsiTheme="minorHAnsi"/>
                <w:sz w:val="20"/>
              </w:rPr>
              <w:t>38</w:t>
            </w:r>
            <w:r w:rsidRPr="001F7692">
              <w:rPr>
                <w:rFonts w:ascii="Calibri" w:hAnsi="Calibri"/>
                <w:sz w:val="20"/>
              </w:rPr>
              <w:t>.</w:t>
            </w:r>
          </w:p>
        </w:tc>
        <w:tc>
          <w:tcPr>
            <w:tcW w:w="7087" w:type="dxa"/>
          </w:tcPr>
          <w:p w:rsidR="0018327E" w:rsidRPr="001F7692" w:rsidRDefault="0018327E" w:rsidP="0018327E">
            <w:pPr>
              <w:pStyle w:val="StylIwony"/>
              <w:spacing w:before="0" w:after="0"/>
              <w:rPr>
                <w:rFonts w:ascii="Calibri" w:hAnsi="Calibri"/>
                <w:sz w:val="20"/>
              </w:rPr>
            </w:pPr>
            <w:r w:rsidRPr="001F7692">
              <w:rPr>
                <w:rFonts w:ascii="Calibri" w:hAnsi="Calibri"/>
                <w:sz w:val="20"/>
              </w:rPr>
              <w:t>Instrukcja o znakach drogowych pionowych. Tom I - Zasady stosowania znaków                    i urządzeń bezpieczeństwa ruchu. Zał. nr 1 do zarządzenia Ministra Transportu i Gospodarki Morskiej z dnia 3 marca 1994 r. (Monitor Polski Nr 16, poz. 120).</w:t>
            </w:r>
          </w:p>
        </w:tc>
      </w:tr>
    </w:tbl>
    <w:p w:rsidR="0018327E" w:rsidRDefault="0018327E" w:rsidP="0018327E"/>
    <w:p w:rsidR="00BB1234" w:rsidRPr="00205FD4" w:rsidRDefault="00BB1234" w:rsidP="00BB1234">
      <w:pPr>
        <w:rPr>
          <w:rFonts w:asciiTheme="minorHAnsi" w:hAnsiTheme="minorHAnsi"/>
        </w:rPr>
      </w:pPr>
    </w:p>
    <w:p w:rsidR="001C1829" w:rsidRDefault="001C1829" w:rsidP="00BB1234">
      <w:pPr>
        <w:spacing w:after="120"/>
      </w:pPr>
    </w:p>
    <w:p w:rsidR="001F3A98" w:rsidRDefault="001F3A98" w:rsidP="00BB1234">
      <w:pPr>
        <w:spacing w:after="120"/>
      </w:pPr>
    </w:p>
    <w:p w:rsidR="001F3A98" w:rsidRDefault="001F3A98" w:rsidP="00BB1234">
      <w:pPr>
        <w:spacing w:after="120"/>
      </w:pPr>
    </w:p>
    <w:p w:rsidR="001F3A98" w:rsidRDefault="001F3A98" w:rsidP="00BB1234">
      <w:pPr>
        <w:spacing w:after="120"/>
      </w:pPr>
    </w:p>
    <w:p w:rsidR="001F3A98" w:rsidRDefault="001F3A98" w:rsidP="00BB1234">
      <w:pPr>
        <w:spacing w:after="120"/>
      </w:pPr>
    </w:p>
    <w:p w:rsidR="001F3A98" w:rsidRDefault="001F3A98" w:rsidP="00BB1234">
      <w:pPr>
        <w:spacing w:after="120"/>
      </w:pPr>
    </w:p>
    <w:p w:rsidR="001F3A98" w:rsidRDefault="001F3A98" w:rsidP="00BB1234">
      <w:pPr>
        <w:spacing w:after="120"/>
      </w:pPr>
    </w:p>
    <w:p w:rsidR="001F3A98" w:rsidRDefault="001F3A98" w:rsidP="00BB1234">
      <w:pPr>
        <w:spacing w:after="120"/>
      </w:pPr>
    </w:p>
    <w:p w:rsidR="006456E2" w:rsidRDefault="006456E2" w:rsidP="001C1829">
      <w:pPr>
        <w:spacing w:after="120"/>
      </w:pPr>
    </w:p>
    <w:p w:rsidR="006456E2" w:rsidRDefault="006456E2" w:rsidP="001C1829">
      <w:pPr>
        <w:spacing w:after="120"/>
      </w:pPr>
    </w:p>
    <w:p w:rsidR="000C41EC" w:rsidRDefault="000C41EC" w:rsidP="001C1829">
      <w:pPr>
        <w:spacing w:after="120"/>
      </w:pPr>
    </w:p>
    <w:p w:rsidR="000C41EC" w:rsidRDefault="000C41EC" w:rsidP="001C1829">
      <w:pPr>
        <w:spacing w:after="120"/>
      </w:pPr>
    </w:p>
    <w:p w:rsidR="000C41EC" w:rsidRDefault="000C41EC" w:rsidP="001C1829">
      <w:pPr>
        <w:spacing w:after="120"/>
      </w:pPr>
    </w:p>
    <w:p w:rsidR="000C41EC" w:rsidRDefault="000C41EC" w:rsidP="001C1829">
      <w:pPr>
        <w:spacing w:after="120"/>
      </w:pPr>
    </w:p>
    <w:p w:rsidR="000C41EC" w:rsidRDefault="000C41EC" w:rsidP="001C1829">
      <w:pPr>
        <w:spacing w:after="120"/>
      </w:pPr>
    </w:p>
    <w:p w:rsidR="000C41EC" w:rsidRDefault="000C41EC" w:rsidP="001C1829">
      <w:pPr>
        <w:spacing w:after="120"/>
      </w:pPr>
    </w:p>
    <w:p w:rsidR="000C41EC" w:rsidRDefault="000C41EC" w:rsidP="001C1829">
      <w:pPr>
        <w:spacing w:after="120"/>
      </w:pPr>
    </w:p>
    <w:p w:rsidR="000C27BF" w:rsidRDefault="000C27BF" w:rsidP="001C1829">
      <w:pPr>
        <w:spacing w:after="120"/>
      </w:pPr>
    </w:p>
    <w:p w:rsidR="000C27BF" w:rsidRDefault="000C27BF" w:rsidP="001C1829">
      <w:pPr>
        <w:spacing w:after="120"/>
      </w:pPr>
    </w:p>
    <w:p w:rsidR="000C27BF" w:rsidRDefault="000C27BF" w:rsidP="001C1829">
      <w:pPr>
        <w:spacing w:after="120"/>
      </w:pPr>
    </w:p>
    <w:p w:rsidR="000C27BF" w:rsidRDefault="000C27BF" w:rsidP="001C1829">
      <w:pPr>
        <w:spacing w:after="120"/>
      </w:pPr>
    </w:p>
    <w:p w:rsidR="000C27BF" w:rsidRDefault="000C27BF" w:rsidP="001C1829">
      <w:pPr>
        <w:spacing w:after="120"/>
      </w:pPr>
    </w:p>
    <w:p w:rsidR="000C27BF" w:rsidRDefault="000C27BF" w:rsidP="001C1829">
      <w:pPr>
        <w:spacing w:after="120"/>
      </w:pPr>
    </w:p>
    <w:p w:rsidR="000C27BF" w:rsidRDefault="000C27BF" w:rsidP="001C1829">
      <w:pPr>
        <w:spacing w:after="120"/>
      </w:pPr>
    </w:p>
    <w:p w:rsidR="000C27BF" w:rsidRDefault="000C27BF" w:rsidP="001C1829">
      <w:pPr>
        <w:spacing w:after="120"/>
      </w:pPr>
    </w:p>
    <w:p w:rsidR="000C27BF" w:rsidRDefault="000C27BF" w:rsidP="001C1829">
      <w:pPr>
        <w:spacing w:after="120"/>
      </w:pPr>
    </w:p>
    <w:p w:rsidR="000C27BF" w:rsidRDefault="000C27BF" w:rsidP="001C1829">
      <w:pPr>
        <w:spacing w:after="120"/>
      </w:pPr>
    </w:p>
    <w:p w:rsidR="000C27BF" w:rsidRDefault="000C27BF" w:rsidP="001C1829">
      <w:pPr>
        <w:spacing w:after="120"/>
      </w:pPr>
    </w:p>
    <w:p w:rsidR="000C27BF" w:rsidRDefault="000C27BF" w:rsidP="001C1829">
      <w:pPr>
        <w:spacing w:after="120"/>
      </w:pPr>
    </w:p>
    <w:p w:rsidR="000C27BF" w:rsidRDefault="000C27BF" w:rsidP="001C1829">
      <w:pPr>
        <w:spacing w:after="120"/>
      </w:pPr>
    </w:p>
    <w:p w:rsidR="000C27BF" w:rsidRDefault="000C27BF" w:rsidP="001C1829">
      <w:pPr>
        <w:spacing w:after="120"/>
      </w:pPr>
    </w:p>
    <w:p w:rsidR="000C27BF" w:rsidRDefault="000C27BF" w:rsidP="001C1829">
      <w:pPr>
        <w:spacing w:after="120"/>
      </w:pPr>
    </w:p>
    <w:p w:rsidR="000C27BF" w:rsidRDefault="000C27BF" w:rsidP="001C1829">
      <w:pPr>
        <w:spacing w:after="120"/>
      </w:pPr>
    </w:p>
    <w:p w:rsidR="000C27BF" w:rsidRDefault="000C27BF" w:rsidP="001C1829">
      <w:pPr>
        <w:spacing w:after="120"/>
      </w:pPr>
    </w:p>
    <w:p w:rsidR="000C27BF" w:rsidRDefault="000C27BF" w:rsidP="001C1829">
      <w:pPr>
        <w:spacing w:after="120"/>
      </w:pPr>
    </w:p>
    <w:p w:rsidR="000C27BF" w:rsidRDefault="000C27BF" w:rsidP="001C1829">
      <w:pPr>
        <w:spacing w:after="120"/>
      </w:pPr>
    </w:p>
    <w:p w:rsidR="000C27BF" w:rsidRDefault="000C27BF" w:rsidP="001C1829">
      <w:pPr>
        <w:spacing w:after="120"/>
      </w:pPr>
    </w:p>
    <w:p w:rsidR="000C41EC" w:rsidRDefault="000C41EC" w:rsidP="001C1829">
      <w:pPr>
        <w:spacing w:after="120"/>
      </w:pPr>
    </w:p>
    <w:p w:rsidR="000C41EC" w:rsidRDefault="000C41EC" w:rsidP="001C1829">
      <w:pPr>
        <w:spacing w:after="120"/>
      </w:pPr>
    </w:p>
    <w:p w:rsidR="000C41EC" w:rsidRDefault="000C41EC" w:rsidP="001C1829">
      <w:pPr>
        <w:spacing w:after="120"/>
      </w:pPr>
    </w:p>
    <w:p w:rsidR="000C41EC" w:rsidRDefault="000C41EC" w:rsidP="001C1829">
      <w:pPr>
        <w:spacing w:after="120"/>
      </w:pPr>
    </w:p>
    <w:p w:rsidR="000C41EC" w:rsidRDefault="000C41EC" w:rsidP="001C1829">
      <w:pPr>
        <w:spacing w:after="120"/>
      </w:pPr>
    </w:p>
    <w:p w:rsidR="000C41EC" w:rsidRDefault="000C41EC" w:rsidP="001C1829">
      <w:pPr>
        <w:spacing w:after="120"/>
      </w:pPr>
    </w:p>
    <w:p w:rsidR="000C41EC" w:rsidRDefault="000C41EC" w:rsidP="001C1829">
      <w:pPr>
        <w:spacing w:after="120"/>
      </w:pPr>
    </w:p>
    <w:p w:rsidR="000C41EC" w:rsidRDefault="000C41EC" w:rsidP="001C1829">
      <w:pPr>
        <w:spacing w:after="120"/>
      </w:pPr>
    </w:p>
    <w:p w:rsidR="006456E2" w:rsidRDefault="006456E2" w:rsidP="001C1829">
      <w:pPr>
        <w:spacing w:after="120"/>
      </w:pPr>
    </w:p>
    <w:p w:rsidR="001F3A98" w:rsidRDefault="001F3A98" w:rsidP="001C1829">
      <w:pPr>
        <w:spacing w:after="120"/>
      </w:pPr>
    </w:p>
    <w:p w:rsidR="001F3A98" w:rsidRDefault="001F3A98" w:rsidP="001C1829">
      <w:pPr>
        <w:spacing w:after="120"/>
      </w:pPr>
    </w:p>
    <w:p w:rsidR="00C56AA0" w:rsidRPr="00315DFA" w:rsidRDefault="00C56AA0" w:rsidP="00BB2441">
      <w:pPr>
        <w:pStyle w:val="Nagwek1"/>
        <w:jc w:val="center"/>
      </w:pPr>
      <w:bookmarkStart w:id="1609" w:name="_Toc404342045"/>
      <w:bookmarkStart w:id="1610" w:name="_Toc428759421"/>
      <w:bookmarkStart w:id="1611" w:name="_Toc438237738"/>
      <w:r w:rsidRPr="00315DFA">
        <w:t>D-</w:t>
      </w:r>
      <w:r w:rsidR="002075C4">
        <w:t>08.01.01</w:t>
      </w:r>
      <w:r w:rsidR="006456E2">
        <w:t xml:space="preserve"> </w:t>
      </w:r>
      <w:r w:rsidR="002075C4">
        <w:t xml:space="preserve"> KRAWĘŻNIKI </w:t>
      </w:r>
      <w:r w:rsidRPr="00315DFA">
        <w:t>BETONOWE</w:t>
      </w:r>
      <w:bookmarkEnd w:id="1609"/>
      <w:bookmarkEnd w:id="1611"/>
    </w:p>
    <w:p w:rsidR="00C56AA0" w:rsidRPr="00315DFA" w:rsidRDefault="00C56AA0" w:rsidP="00C56AA0">
      <w:pPr>
        <w:rPr>
          <w:rFonts w:ascii="Calibri" w:hAnsi="Calibri"/>
        </w:rPr>
      </w:pPr>
    </w:p>
    <w:p w:rsidR="00C56AA0" w:rsidRPr="00315DFA" w:rsidRDefault="00C56AA0" w:rsidP="00C56AA0">
      <w:pPr>
        <w:rPr>
          <w:rFonts w:ascii="Calibri" w:hAnsi="Calibri"/>
        </w:rPr>
      </w:pPr>
    </w:p>
    <w:p w:rsidR="006456E2" w:rsidRDefault="006456E2" w:rsidP="00C56AA0">
      <w:pPr>
        <w:rPr>
          <w:rFonts w:ascii="Calibri" w:hAnsi="Calibri"/>
          <w:b/>
        </w:rPr>
      </w:pPr>
    </w:p>
    <w:p w:rsidR="006456E2" w:rsidRDefault="006456E2" w:rsidP="00C56AA0">
      <w:pPr>
        <w:rPr>
          <w:rFonts w:ascii="Calibri" w:hAnsi="Calibri"/>
          <w:b/>
        </w:rPr>
      </w:pPr>
    </w:p>
    <w:p w:rsidR="006456E2" w:rsidRDefault="006456E2" w:rsidP="00C56AA0">
      <w:pPr>
        <w:rPr>
          <w:rFonts w:ascii="Calibri" w:hAnsi="Calibri"/>
          <w:b/>
        </w:rPr>
      </w:pPr>
    </w:p>
    <w:p w:rsidR="006456E2" w:rsidRDefault="006456E2" w:rsidP="00C56AA0">
      <w:pPr>
        <w:rPr>
          <w:rFonts w:ascii="Calibri" w:hAnsi="Calibri"/>
          <w:b/>
        </w:rPr>
      </w:pPr>
    </w:p>
    <w:p w:rsidR="006456E2" w:rsidRDefault="006456E2" w:rsidP="00C56AA0">
      <w:pPr>
        <w:rPr>
          <w:rFonts w:ascii="Calibri" w:hAnsi="Calibri"/>
          <w:b/>
        </w:rPr>
      </w:pPr>
    </w:p>
    <w:p w:rsidR="006456E2" w:rsidRDefault="006456E2" w:rsidP="00C56AA0">
      <w:pPr>
        <w:rPr>
          <w:rFonts w:ascii="Calibri" w:hAnsi="Calibri"/>
          <w:b/>
        </w:rPr>
      </w:pPr>
    </w:p>
    <w:p w:rsidR="006456E2" w:rsidRDefault="006456E2" w:rsidP="00C56AA0">
      <w:pPr>
        <w:rPr>
          <w:rFonts w:ascii="Calibri" w:hAnsi="Calibri"/>
          <w:b/>
        </w:rPr>
      </w:pPr>
    </w:p>
    <w:p w:rsidR="006456E2" w:rsidRDefault="006456E2" w:rsidP="00C56AA0">
      <w:pPr>
        <w:rPr>
          <w:rFonts w:ascii="Calibri" w:hAnsi="Calibri"/>
          <w:b/>
        </w:rPr>
      </w:pPr>
    </w:p>
    <w:p w:rsidR="006456E2" w:rsidRDefault="006456E2" w:rsidP="00C56AA0">
      <w:pPr>
        <w:rPr>
          <w:rFonts w:ascii="Calibri" w:hAnsi="Calibri"/>
          <w:b/>
        </w:rPr>
      </w:pPr>
    </w:p>
    <w:p w:rsidR="006456E2" w:rsidRDefault="006456E2" w:rsidP="00C56AA0">
      <w:pPr>
        <w:rPr>
          <w:rFonts w:ascii="Calibri" w:hAnsi="Calibri"/>
          <w:b/>
        </w:rPr>
      </w:pPr>
    </w:p>
    <w:p w:rsidR="006456E2" w:rsidRDefault="006456E2" w:rsidP="00C56AA0">
      <w:pPr>
        <w:rPr>
          <w:rFonts w:ascii="Calibri" w:hAnsi="Calibri"/>
          <w:b/>
        </w:rPr>
      </w:pPr>
    </w:p>
    <w:p w:rsidR="006456E2" w:rsidRDefault="006456E2" w:rsidP="00C56AA0">
      <w:pPr>
        <w:rPr>
          <w:rFonts w:ascii="Calibri" w:hAnsi="Calibri"/>
          <w:b/>
        </w:rPr>
      </w:pPr>
    </w:p>
    <w:p w:rsidR="006456E2" w:rsidRDefault="006456E2" w:rsidP="00C56AA0">
      <w:pPr>
        <w:rPr>
          <w:rFonts w:ascii="Calibri" w:hAnsi="Calibri"/>
          <w:b/>
        </w:rPr>
      </w:pPr>
    </w:p>
    <w:p w:rsidR="006456E2" w:rsidRDefault="006456E2" w:rsidP="00C56AA0">
      <w:pPr>
        <w:rPr>
          <w:rFonts w:ascii="Calibri" w:hAnsi="Calibri"/>
          <w:b/>
        </w:rPr>
      </w:pPr>
    </w:p>
    <w:p w:rsidR="006456E2" w:rsidRDefault="006456E2" w:rsidP="00C56AA0">
      <w:pPr>
        <w:rPr>
          <w:rFonts w:ascii="Calibri" w:hAnsi="Calibri"/>
          <w:b/>
        </w:rPr>
      </w:pPr>
    </w:p>
    <w:p w:rsidR="006456E2" w:rsidRDefault="006456E2" w:rsidP="00C56AA0">
      <w:pPr>
        <w:rPr>
          <w:rFonts w:ascii="Calibri" w:hAnsi="Calibri"/>
          <w:b/>
        </w:rPr>
      </w:pPr>
    </w:p>
    <w:p w:rsidR="006456E2" w:rsidRDefault="006456E2" w:rsidP="00C56AA0">
      <w:pPr>
        <w:rPr>
          <w:rFonts w:ascii="Calibri" w:hAnsi="Calibri"/>
          <w:b/>
        </w:rPr>
      </w:pPr>
    </w:p>
    <w:p w:rsidR="006456E2" w:rsidRDefault="006456E2" w:rsidP="00C56AA0">
      <w:pPr>
        <w:rPr>
          <w:rFonts w:ascii="Calibri" w:hAnsi="Calibri"/>
          <w:b/>
        </w:rPr>
      </w:pPr>
    </w:p>
    <w:p w:rsidR="006456E2" w:rsidRDefault="006456E2" w:rsidP="00C56AA0">
      <w:pPr>
        <w:rPr>
          <w:rFonts w:ascii="Calibri" w:hAnsi="Calibri"/>
          <w:b/>
        </w:rPr>
      </w:pPr>
    </w:p>
    <w:p w:rsidR="006456E2" w:rsidRDefault="006456E2" w:rsidP="00C56AA0">
      <w:pPr>
        <w:rPr>
          <w:rFonts w:ascii="Calibri" w:hAnsi="Calibri"/>
          <w:b/>
        </w:rPr>
      </w:pPr>
    </w:p>
    <w:p w:rsidR="006456E2" w:rsidRDefault="006456E2" w:rsidP="00C56AA0">
      <w:pPr>
        <w:rPr>
          <w:rFonts w:ascii="Calibri" w:hAnsi="Calibri"/>
          <w:b/>
        </w:rPr>
      </w:pPr>
    </w:p>
    <w:p w:rsidR="006456E2" w:rsidRDefault="006456E2" w:rsidP="00C56AA0">
      <w:pPr>
        <w:rPr>
          <w:rFonts w:ascii="Calibri" w:hAnsi="Calibri"/>
          <w:b/>
        </w:rPr>
      </w:pPr>
    </w:p>
    <w:p w:rsidR="006456E2" w:rsidRDefault="006456E2" w:rsidP="00C56AA0">
      <w:pPr>
        <w:rPr>
          <w:rFonts w:ascii="Calibri" w:hAnsi="Calibri"/>
          <w:b/>
        </w:rPr>
      </w:pPr>
    </w:p>
    <w:p w:rsidR="006456E2" w:rsidRDefault="006456E2" w:rsidP="00C56AA0">
      <w:pPr>
        <w:rPr>
          <w:rFonts w:ascii="Calibri" w:hAnsi="Calibri"/>
          <w:b/>
        </w:rPr>
      </w:pPr>
    </w:p>
    <w:p w:rsidR="006456E2" w:rsidRDefault="006456E2" w:rsidP="00C56AA0">
      <w:pPr>
        <w:rPr>
          <w:rFonts w:ascii="Calibri" w:hAnsi="Calibri"/>
          <w:b/>
        </w:rPr>
      </w:pPr>
    </w:p>
    <w:p w:rsidR="006456E2" w:rsidRDefault="006456E2" w:rsidP="00C56AA0">
      <w:pPr>
        <w:rPr>
          <w:rFonts w:ascii="Calibri" w:hAnsi="Calibri"/>
          <w:b/>
        </w:rPr>
      </w:pPr>
    </w:p>
    <w:p w:rsidR="006456E2" w:rsidRDefault="006456E2" w:rsidP="00C56AA0">
      <w:pPr>
        <w:rPr>
          <w:rFonts w:ascii="Calibri" w:hAnsi="Calibri"/>
          <w:b/>
        </w:rPr>
      </w:pPr>
    </w:p>
    <w:p w:rsidR="006456E2" w:rsidRDefault="006456E2" w:rsidP="00C56AA0">
      <w:pPr>
        <w:rPr>
          <w:rFonts w:ascii="Calibri" w:hAnsi="Calibri"/>
          <w:b/>
        </w:rPr>
      </w:pPr>
    </w:p>
    <w:p w:rsidR="006456E2" w:rsidRDefault="006456E2" w:rsidP="00C56AA0">
      <w:pPr>
        <w:rPr>
          <w:rFonts w:ascii="Calibri" w:hAnsi="Calibri"/>
          <w:b/>
        </w:rPr>
      </w:pPr>
    </w:p>
    <w:p w:rsidR="006456E2" w:rsidRDefault="006456E2" w:rsidP="00C56AA0">
      <w:pPr>
        <w:rPr>
          <w:rFonts w:ascii="Calibri" w:hAnsi="Calibri"/>
          <w:b/>
        </w:rPr>
      </w:pPr>
    </w:p>
    <w:p w:rsidR="006456E2" w:rsidRDefault="006456E2" w:rsidP="00C56AA0">
      <w:pPr>
        <w:rPr>
          <w:rFonts w:ascii="Calibri" w:hAnsi="Calibri"/>
          <w:b/>
        </w:rPr>
      </w:pPr>
    </w:p>
    <w:p w:rsidR="006456E2" w:rsidRDefault="006456E2" w:rsidP="00C56AA0">
      <w:pPr>
        <w:rPr>
          <w:rFonts w:ascii="Calibri" w:hAnsi="Calibri"/>
          <w:b/>
        </w:rPr>
      </w:pPr>
    </w:p>
    <w:p w:rsidR="006456E2" w:rsidRDefault="006456E2" w:rsidP="00C56AA0">
      <w:pPr>
        <w:rPr>
          <w:rFonts w:ascii="Calibri" w:hAnsi="Calibri"/>
          <w:b/>
        </w:rPr>
      </w:pPr>
    </w:p>
    <w:p w:rsidR="006456E2" w:rsidRDefault="006456E2" w:rsidP="00C56AA0">
      <w:pPr>
        <w:rPr>
          <w:rFonts w:ascii="Calibri" w:hAnsi="Calibri"/>
          <w:b/>
        </w:rPr>
      </w:pPr>
    </w:p>
    <w:p w:rsidR="006456E2" w:rsidRDefault="006456E2" w:rsidP="00C56AA0">
      <w:pPr>
        <w:rPr>
          <w:rFonts w:ascii="Calibri" w:hAnsi="Calibri"/>
          <w:b/>
        </w:rPr>
      </w:pPr>
    </w:p>
    <w:p w:rsidR="006456E2" w:rsidRDefault="006456E2" w:rsidP="00C56AA0">
      <w:pPr>
        <w:rPr>
          <w:rFonts w:ascii="Calibri" w:hAnsi="Calibri"/>
          <w:b/>
        </w:rPr>
      </w:pPr>
    </w:p>
    <w:p w:rsidR="006456E2" w:rsidRDefault="006456E2" w:rsidP="00C56AA0">
      <w:pPr>
        <w:rPr>
          <w:rFonts w:ascii="Calibri" w:hAnsi="Calibri"/>
          <w:b/>
        </w:rPr>
      </w:pPr>
    </w:p>
    <w:p w:rsidR="000C41EC" w:rsidRDefault="000C41EC" w:rsidP="00C56AA0">
      <w:pPr>
        <w:rPr>
          <w:rFonts w:ascii="Calibri" w:hAnsi="Calibri"/>
          <w:b/>
        </w:rPr>
      </w:pPr>
    </w:p>
    <w:p w:rsidR="006456E2" w:rsidRDefault="006456E2" w:rsidP="00C56AA0">
      <w:pPr>
        <w:rPr>
          <w:rFonts w:ascii="Calibri" w:hAnsi="Calibri"/>
          <w:b/>
        </w:rPr>
      </w:pPr>
    </w:p>
    <w:p w:rsidR="00C56AA0" w:rsidRPr="00315DFA" w:rsidRDefault="00C56AA0" w:rsidP="00C56AA0">
      <w:pPr>
        <w:rPr>
          <w:rFonts w:ascii="Calibri" w:hAnsi="Calibri"/>
          <w:b/>
        </w:rPr>
      </w:pPr>
      <w:r w:rsidRPr="00315DFA">
        <w:rPr>
          <w:rFonts w:ascii="Calibri" w:hAnsi="Calibri"/>
          <w:b/>
        </w:rPr>
        <w:lastRenderedPageBreak/>
        <w:t>1. WSTĘP</w:t>
      </w:r>
      <w:bookmarkEnd w:id="1610"/>
    </w:p>
    <w:p w:rsidR="00C56AA0" w:rsidRPr="00315DFA" w:rsidRDefault="00C56AA0" w:rsidP="00C56AA0">
      <w:pPr>
        <w:rPr>
          <w:rFonts w:ascii="Calibri" w:hAnsi="Calibri"/>
        </w:rPr>
      </w:pPr>
      <w:r w:rsidRPr="00315DFA">
        <w:rPr>
          <w:rFonts w:ascii="Calibri" w:hAnsi="Calibri"/>
          <w:b/>
        </w:rPr>
        <w:t>1.1.</w:t>
      </w:r>
      <w:r w:rsidRPr="00315DFA">
        <w:rPr>
          <w:rFonts w:ascii="Calibri" w:hAnsi="Calibri"/>
        </w:rPr>
        <w:t xml:space="preserve"> Przedmiot ST</w:t>
      </w:r>
    </w:p>
    <w:p w:rsidR="00C56AA0" w:rsidRPr="00315DFA" w:rsidRDefault="00C56AA0" w:rsidP="00C56AA0">
      <w:pPr>
        <w:rPr>
          <w:rFonts w:ascii="Calibri" w:hAnsi="Calibri"/>
        </w:rPr>
      </w:pPr>
      <w:r w:rsidRPr="00315DFA">
        <w:rPr>
          <w:rFonts w:ascii="Calibri" w:hAnsi="Calibri"/>
        </w:rPr>
        <w:tab/>
        <w:t>Przedmiotem niniejszej specyfikacji technicznej (ST) są wymagania dotyczące wykonania i odbioru robót związanych z ustawieniem krawężników betonowych.</w:t>
      </w:r>
    </w:p>
    <w:p w:rsidR="00C56AA0" w:rsidRPr="00315DFA" w:rsidRDefault="00C56AA0" w:rsidP="00C56AA0">
      <w:pPr>
        <w:rPr>
          <w:rFonts w:ascii="Calibri" w:hAnsi="Calibri"/>
        </w:rPr>
      </w:pPr>
      <w:r w:rsidRPr="00315DFA">
        <w:rPr>
          <w:rFonts w:ascii="Calibri" w:hAnsi="Calibri"/>
          <w:b/>
        </w:rPr>
        <w:t>1.2.</w:t>
      </w:r>
      <w:r w:rsidRPr="00315DFA">
        <w:rPr>
          <w:rFonts w:ascii="Calibri" w:hAnsi="Calibri"/>
        </w:rPr>
        <w:t xml:space="preserve"> Zakres stosowania ST</w:t>
      </w:r>
    </w:p>
    <w:p w:rsidR="00C56AA0" w:rsidRPr="00315DFA" w:rsidRDefault="00C56AA0" w:rsidP="00C56AA0">
      <w:pPr>
        <w:rPr>
          <w:rFonts w:ascii="Calibri" w:hAnsi="Calibri"/>
        </w:rPr>
      </w:pPr>
      <w:r w:rsidRPr="00315DFA">
        <w:rPr>
          <w:rFonts w:ascii="Calibri" w:hAnsi="Calibri"/>
        </w:rPr>
        <w:tab/>
        <w:t>Specyfikacja techniczna określa wymagania dla wykonania i odbioru robót budowlanych przewidzianych do wykonania w ramach umowy a zawarte w niej zapisy w zakresie standardu materiałów, wykonania robót i wymaganej ich jakości oraz kontroli jakości robót należy traktować jako minimalne.</w:t>
      </w:r>
    </w:p>
    <w:p w:rsidR="00C56AA0" w:rsidRPr="00315DFA" w:rsidRDefault="00C56AA0" w:rsidP="00C56AA0">
      <w:pPr>
        <w:rPr>
          <w:rFonts w:ascii="Calibri" w:hAnsi="Calibri"/>
        </w:rPr>
      </w:pPr>
      <w:r w:rsidRPr="00315DFA">
        <w:rPr>
          <w:rFonts w:ascii="Calibri" w:hAnsi="Calibri"/>
          <w:b/>
        </w:rPr>
        <w:t>1.3.</w:t>
      </w:r>
      <w:r w:rsidRPr="00315DFA">
        <w:rPr>
          <w:rFonts w:ascii="Calibri" w:hAnsi="Calibri"/>
        </w:rPr>
        <w:t xml:space="preserve"> Zakres robót objętych ST</w:t>
      </w:r>
    </w:p>
    <w:p w:rsidR="007E21DD" w:rsidRPr="00C3299C" w:rsidRDefault="00C56AA0" w:rsidP="007E21DD">
      <w:pPr>
        <w:rPr>
          <w:rFonts w:asciiTheme="minorHAnsi" w:hAnsiTheme="minorHAnsi" w:cs="Calibri"/>
        </w:rPr>
      </w:pPr>
      <w:r w:rsidRPr="00315DFA">
        <w:rPr>
          <w:rFonts w:ascii="Calibri" w:hAnsi="Calibri"/>
        </w:rPr>
        <w:tab/>
        <w:t>Ustalenia zawarte w niniejszej specyfikacji dotyczą zasad prowadzenia robót związanych z ustawieniem krawężników betonowych na ławie betonowej z opor</w:t>
      </w:r>
      <w:r w:rsidR="000C41EC">
        <w:rPr>
          <w:rFonts w:ascii="Calibri" w:hAnsi="Calibri"/>
        </w:rPr>
        <w:t xml:space="preserve">em </w:t>
      </w:r>
      <w:r w:rsidR="007E21DD" w:rsidRPr="00C3299C">
        <w:rPr>
          <w:rFonts w:ascii="Calibri" w:hAnsi="Calibri" w:cs="Calibri"/>
        </w:rPr>
        <w:t>w związku z „</w:t>
      </w:r>
      <w:r w:rsidR="007E21DD" w:rsidRPr="00C3299C">
        <w:rPr>
          <w:rFonts w:asciiTheme="minorHAnsi" w:hAnsiTheme="minorHAnsi"/>
        </w:rPr>
        <w:t>Przebudową ul.55 Pułku Piechoty w Lesznie wraz z przebudową oświetlenia”</w:t>
      </w:r>
      <w:r w:rsidR="007E21DD" w:rsidRPr="00C3299C">
        <w:rPr>
          <w:rFonts w:asciiTheme="minorHAnsi" w:hAnsiTheme="minorHAnsi" w:cs="Calibri"/>
        </w:rPr>
        <w:t>.</w:t>
      </w:r>
    </w:p>
    <w:p w:rsidR="00C56AA0" w:rsidRPr="00315DFA" w:rsidRDefault="00C56AA0" w:rsidP="00C56AA0">
      <w:pPr>
        <w:rPr>
          <w:rFonts w:ascii="Calibri" w:hAnsi="Calibri"/>
        </w:rPr>
      </w:pPr>
      <w:r w:rsidRPr="00315DFA">
        <w:rPr>
          <w:rFonts w:ascii="Calibri" w:hAnsi="Calibri"/>
          <w:b/>
        </w:rPr>
        <w:t>1.4.</w:t>
      </w:r>
      <w:r w:rsidRPr="00315DFA">
        <w:rPr>
          <w:rFonts w:ascii="Calibri" w:hAnsi="Calibri"/>
        </w:rPr>
        <w:t xml:space="preserve"> Określenia podstawowe</w:t>
      </w:r>
    </w:p>
    <w:p w:rsidR="00C56AA0" w:rsidRPr="00315DFA" w:rsidRDefault="00C56AA0" w:rsidP="00C56AA0">
      <w:pPr>
        <w:rPr>
          <w:rFonts w:ascii="Calibri" w:hAnsi="Calibri"/>
        </w:rPr>
      </w:pPr>
      <w:r w:rsidRPr="00315DFA">
        <w:rPr>
          <w:rFonts w:ascii="Calibri" w:hAnsi="Calibri"/>
          <w:b/>
        </w:rPr>
        <w:t>1.4.1.</w:t>
      </w:r>
      <w:r w:rsidRPr="00315DFA">
        <w:rPr>
          <w:rFonts w:ascii="Calibri" w:hAnsi="Calibri"/>
        </w:rPr>
        <w:t xml:space="preserve"> Krawężniki betonowe -prefabrykowane belki betonowe ograniczające chodniki dla pieszych, pasy dzielące, wyspy kierujące oraz nawierzchnie drogowe.</w:t>
      </w:r>
    </w:p>
    <w:p w:rsidR="00C56AA0" w:rsidRPr="00315DFA" w:rsidRDefault="00C56AA0" w:rsidP="00C56AA0">
      <w:pPr>
        <w:rPr>
          <w:rFonts w:ascii="Calibri" w:hAnsi="Calibri"/>
        </w:rPr>
      </w:pPr>
      <w:r w:rsidRPr="00315DFA">
        <w:rPr>
          <w:rFonts w:ascii="Calibri" w:hAnsi="Calibri"/>
          <w:b/>
        </w:rPr>
        <w:t>1.4.2.</w:t>
      </w:r>
      <w:r w:rsidRPr="00315DFA">
        <w:rPr>
          <w:rFonts w:ascii="Calibri" w:hAnsi="Calibri"/>
        </w:rPr>
        <w:t xml:space="preserve"> Pozostałe określenia podstawowe są zgodne z obowiązującymi, odpowiednimi polskimi normami i z definicjami podanymi w ST D-M-00.00.00 „Wymagania ogólne” pkt 1.4.</w:t>
      </w:r>
    </w:p>
    <w:p w:rsidR="00C56AA0" w:rsidRPr="00315DFA" w:rsidRDefault="00C56AA0" w:rsidP="00C56AA0">
      <w:pPr>
        <w:rPr>
          <w:rFonts w:ascii="Calibri" w:hAnsi="Calibri"/>
        </w:rPr>
      </w:pPr>
      <w:r w:rsidRPr="00315DFA">
        <w:rPr>
          <w:rFonts w:ascii="Calibri" w:hAnsi="Calibri"/>
          <w:b/>
        </w:rPr>
        <w:t>1.5.</w:t>
      </w:r>
      <w:r w:rsidRPr="00315DFA">
        <w:rPr>
          <w:rFonts w:ascii="Calibri" w:hAnsi="Calibri"/>
        </w:rPr>
        <w:t xml:space="preserve"> Ogólne wymagania dotyczące robót</w:t>
      </w:r>
    </w:p>
    <w:p w:rsidR="00C56AA0" w:rsidRPr="00315DFA" w:rsidRDefault="00C56AA0" w:rsidP="00C56AA0">
      <w:pPr>
        <w:rPr>
          <w:rFonts w:ascii="Calibri" w:hAnsi="Calibri"/>
        </w:rPr>
      </w:pPr>
      <w:r w:rsidRPr="00315DFA">
        <w:rPr>
          <w:rFonts w:ascii="Calibri" w:hAnsi="Calibri"/>
        </w:rPr>
        <w:tab/>
        <w:t>Ogólne wymagania dotyczące robót podano w ST D-M-00.00.00 „Wymagania ogólne” pkt 1.5.</w:t>
      </w:r>
    </w:p>
    <w:p w:rsidR="00C56AA0" w:rsidRPr="00315DFA" w:rsidRDefault="00C56AA0" w:rsidP="00C56AA0">
      <w:pPr>
        <w:rPr>
          <w:rFonts w:ascii="Calibri" w:hAnsi="Calibri"/>
        </w:rPr>
      </w:pPr>
    </w:p>
    <w:p w:rsidR="00C56AA0" w:rsidRPr="00315DFA" w:rsidRDefault="00C56AA0" w:rsidP="00C56AA0">
      <w:pPr>
        <w:rPr>
          <w:rFonts w:ascii="Calibri" w:hAnsi="Calibri"/>
          <w:b/>
        </w:rPr>
      </w:pPr>
      <w:bookmarkStart w:id="1612" w:name="_Toc428243643"/>
      <w:bookmarkStart w:id="1613" w:name="_Toc428323648"/>
      <w:bookmarkStart w:id="1614" w:name="_Toc428759422"/>
      <w:r w:rsidRPr="00315DFA">
        <w:rPr>
          <w:rFonts w:ascii="Calibri" w:hAnsi="Calibri"/>
          <w:b/>
        </w:rPr>
        <w:t>2. MATERIAŁY</w:t>
      </w:r>
      <w:bookmarkEnd w:id="1612"/>
      <w:bookmarkEnd w:id="1613"/>
      <w:bookmarkEnd w:id="1614"/>
    </w:p>
    <w:p w:rsidR="00C56AA0" w:rsidRPr="00315DFA" w:rsidRDefault="00C56AA0" w:rsidP="00C56AA0">
      <w:pPr>
        <w:rPr>
          <w:rFonts w:ascii="Calibri" w:hAnsi="Calibri"/>
        </w:rPr>
      </w:pPr>
      <w:r w:rsidRPr="00315DFA">
        <w:rPr>
          <w:rFonts w:ascii="Calibri" w:hAnsi="Calibri"/>
          <w:b/>
        </w:rPr>
        <w:t>2.1.</w:t>
      </w:r>
      <w:r w:rsidRPr="00315DFA">
        <w:rPr>
          <w:rFonts w:ascii="Calibri" w:hAnsi="Calibri"/>
        </w:rPr>
        <w:t xml:space="preserve"> Ogólne wymagania dotyczące materiałów</w:t>
      </w:r>
    </w:p>
    <w:p w:rsidR="00C56AA0" w:rsidRPr="00315DFA" w:rsidRDefault="00C56AA0" w:rsidP="00C56AA0">
      <w:pPr>
        <w:rPr>
          <w:rFonts w:ascii="Calibri" w:hAnsi="Calibri"/>
        </w:rPr>
      </w:pPr>
      <w:r w:rsidRPr="00315DFA">
        <w:rPr>
          <w:rFonts w:ascii="Calibri" w:hAnsi="Calibri"/>
        </w:rPr>
        <w:tab/>
        <w:t>Ogólne wymagania dotyczące materiałów, ich pozyskiwania i składowania, podano w  ST D-M-00.00.00 „Wymagania ogólne” pkt 2.</w:t>
      </w:r>
    </w:p>
    <w:p w:rsidR="00C56AA0" w:rsidRPr="00315DFA" w:rsidRDefault="00C56AA0" w:rsidP="00C56AA0">
      <w:pPr>
        <w:rPr>
          <w:rFonts w:ascii="Calibri" w:hAnsi="Calibri"/>
        </w:rPr>
      </w:pPr>
      <w:r w:rsidRPr="00315DFA">
        <w:rPr>
          <w:rFonts w:ascii="Calibri" w:hAnsi="Calibri"/>
          <w:b/>
        </w:rPr>
        <w:t>2.2.</w:t>
      </w:r>
      <w:r w:rsidRPr="00315DFA">
        <w:rPr>
          <w:rFonts w:ascii="Calibri" w:hAnsi="Calibri"/>
        </w:rPr>
        <w:t xml:space="preserve"> Stosowane materiały</w:t>
      </w:r>
    </w:p>
    <w:p w:rsidR="00C56AA0" w:rsidRPr="00315DFA" w:rsidRDefault="00C56AA0" w:rsidP="00C56AA0">
      <w:pPr>
        <w:rPr>
          <w:rFonts w:ascii="Calibri" w:hAnsi="Calibri"/>
        </w:rPr>
      </w:pPr>
      <w:r w:rsidRPr="00315DFA">
        <w:rPr>
          <w:rFonts w:ascii="Calibri" w:hAnsi="Calibri"/>
        </w:rPr>
        <w:tab/>
        <w:t>Materiałami stosowanymi są:</w:t>
      </w:r>
    </w:p>
    <w:p w:rsidR="00C56AA0" w:rsidRPr="00315DFA" w:rsidRDefault="00C56AA0" w:rsidP="00C56AA0">
      <w:pPr>
        <w:rPr>
          <w:rFonts w:ascii="Calibri" w:hAnsi="Calibri"/>
        </w:rPr>
      </w:pPr>
      <w:r>
        <w:rPr>
          <w:rFonts w:ascii="Calibri" w:hAnsi="Calibri"/>
        </w:rPr>
        <w:t>-</w:t>
      </w:r>
      <w:r w:rsidRPr="00315DFA">
        <w:rPr>
          <w:rFonts w:ascii="Calibri" w:hAnsi="Calibri"/>
        </w:rPr>
        <w:t>krawężniki betonowe,</w:t>
      </w:r>
    </w:p>
    <w:p w:rsidR="00C56AA0" w:rsidRPr="00315DFA" w:rsidRDefault="00C56AA0" w:rsidP="00C56AA0">
      <w:pPr>
        <w:rPr>
          <w:rFonts w:ascii="Calibri" w:hAnsi="Calibri"/>
        </w:rPr>
      </w:pPr>
      <w:r>
        <w:rPr>
          <w:rFonts w:ascii="Calibri" w:hAnsi="Calibri"/>
        </w:rPr>
        <w:t>-</w:t>
      </w:r>
      <w:r w:rsidRPr="00315DFA">
        <w:rPr>
          <w:rFonts w:ascii="Calibri" w:hAnsi="Calibri"/>
        </w:rPr>
        <w:t>piasek na podsypkę i do zapraw,</w:t>
      </w:r>
    </w:p>
    <w:p w:rsidR="00C56AA0" w:rsidRPr="00315DFA" w:rsidRDefault="00C56AA0" w:rsidP="00C56AA0">
      <w:pPr>
        <w:rPr>
          <w:rFonts w:ascii="Calibri" w:hAnsi="Calibri"/>
        </w:rPr>
      </w:pPr>
      <w:r>
        <w:rPr>
          <w:rFonts w:ascii="Calibri" w:hAnsi="Calibri"/>
        </w:rPr>
        <w:t>-</w:t>
      </w:r>
      <w:r w:rsidRPr="00315DFA">
        <w:rPr>
          <w:rFonts w:ascii="Calibri" w:hAnsi="Calibri"/>
        </w:rPr>
        <w:t>cement do podsypki i zapraw,</w:t>
      </w:r>
    </w:p>
    <w:p w:rsidR="00C56AA0" w:rsidRPr="00315DFA" w:rsidRDefault="00C56AA0" w:rsidP="00C56AA0">
      <w:pPr>
        <w:rPr>
          <w:rFonts w:ascii="Calibri" w:hAnsi="Calibri"/>
        </w:rPr>
      </w:pPr>
      <w:r>
        <w:rPr>
          <w:rFonts w:ascii="Calibri" w:hAnsi="Calibri"/>
        </w:rPr>
        <w:t>-</w:t>
      </w:r>
      <w:r w:rsidRPr="00315DFA">
        <w:rPr>
          <w:rFonts w:ascii="Calibri" w:hAnsi="Calibri"/>
        </w:rPr>
        <w:t>woda,</w:t>
      </w:r>
    </w:p>
    <w:p w:rsidR="00C56AA0" w:rsidRPr="00315DFA" w:rsidRDefault="00C56AA0" w:rsidP="00C56AA0">
      <w:pPr>
        <w:rPr>
          <w:rFonts w:ascii="Calibri" w:hAnsi="Calibri"/>
        </w:rPr>
      </w:pPr>
      <w:r>
        <w:rPr>
          <w:rFonts w:ascii="Calibri" w:hAnsi="Calibri"/>
        </w:rPr>
        <w:t>-</w:t>
      </w:r>
      <w:r w:rsidRPr="00315DFA">
        <w:rPr>
          <w:rFonts w:ascii="Calibri" w:hAnsi="Calibri"/>
        </w:rPr>
        <w:t>materiały do wykonania ławy pod krawężniki.</w:t>
      </w:r>
    </w:p>
    <w:p w:rsidR="00C56AA0" w:rsidRPr="00315DFA" w:rsidRDefault="00C56AA0" w:rsidP="00C56AA0">
      <w:pPr>
        <w:rPr>
          <w:rFonts w:ascii="Calibri" w:hAnsi="Calibri"/>
        </w:rPr>
      </w:pPr>
      <w:r w:rsidRPr="00315DFA">
        <w:rPr>
          <w:rFonts w:ascii="Calibri" w:hAnsi="Calibri"/>
          <w:b/>
        </w:rPr>
        <w:t>2.3.</w:t>
      </w:r>
      <w:r w:rsidRPr="00315DFA">
        <w:rPr>
          <w:rFonts w:ascii="Calibri" w:hAnsi="Calibri"/>
        </w:rPr>
        <w:t xml:space="preserve"> Krawężniki betonowe - klasyfikacja</w:t>
      </w:r>
    </w:p>
    <w:p w:rsidR="00C56AA0" w:rsidRPr="00315DFA" w:rsidRDefault="00C56AA0" w:rsidP="00C56AA0">
      <w:pPr>
        <w:rPr>
          <w:rFonts w:ascii="Calibri" w:hAnsi="Calibri"/>
        </w:rPr>
      </w:pPr>
      <w:r w:rsidRPr="00315DFA">
        <w:rPr>
          <w:rFonts w:ascii="Calibri" w:hAnsi="Calibri"/>
        </w:rPr>
        <w:tab/>
        <w:t>Klasyfikacja jest zgodna z BN-80/6775-03/01.</w:t>
      </w:r>
    </w:p>
    <w:p w:rsidR="00C56AA0" w:rsidRPr="00315DFA" w:rsidRDefault="00C56AA0" w:rsidP="00C56AA0">
      <w:pPr>
        <w:rPr>
          <w:rFonts w:ascii="Calibri" w:hAnsi="Calibri"/>
        </w:rPr>
      </w:pPr>
      <w:r w:rsidRPr="00315DFA">
        <w:rPr>
          <w:rFonts w:ascii="Calibri" w:hAnsi="Calibri"/>
          <w:b/>
        </w:rPr>
        <w:t>2.3.1.</w:t>
      </w:r>
      <w:r w:rsidRPr="00315DFA">
        <w:rPr>
          <w:rFonts w:ascii="Calibri" w:hAnsi="Calibri"/>
        </w:rPr>
        <w:t xml:space="preserve"> Typy</w:t>
      </w:r>
    </w:p>
    <w:p w:rsidR="00C56AA0" w:rsidRPr="00315DFA" w:rsidRDefault="00C56AA0" w:rsidP="00C56AA0">
      <w:pPr>
        <w:rPr>
          <w:rFonts w:ascii="Calibri" w:hAnsi="Calibri"/>
        </w:rPr>
      </w:pPr>
      <w:r w:rsidRPr="00315DFA">
        <w:rPr>
          <w:rFonts w:ascii="Calibri" w:hAnsi="Calibri"/>
        </w:rPr>
        <w:tab/>
        <w:t>W zależności od przeznaczenia rozróżnia się następujące typy krawężników betonowych:</w:t>
      </w:r>
    </w:p>
    <w:p w:rsidR="00C56AA0" w:rsidRPr="00315DFA" w:rsidRDefault="00C56AA0" w:rsidP="00C56AA0">
      <w:pPr>
        <w:rPr>
          <w:rFonts w:ascii="Calibri" w:hAnsi="Calibri"/>
        </w:rPr>
      </w:pPr>
      <w:r w:rsidRPr="00315DFA">
        <w:rPr>
          <w:rFonts w:ascii="Calibri" w:hAnsi="Calibri"/>
        </w:rPr>
        <w:t>U   -   uliczne,</w:t>
      </w:r>
    </w:p>
    <w:p w:rsidR="00C56AA0" w:rsidRPr="00315DFA" w:rsidRDefault="00C56AA0" w:rsidP="00C56AA0">
      <w:pPr>
        <w:rPr>
          <w:rFonts w:ascii="Calibri" w:hAnsi="Calibri"/>
        </w:rPr>
      </w:pPr>
      <w:r w:rsidRPr="00315DFA">
        <w:rPr>
          <w:rFonts w:ascii="Calibri" w:hAnsi="Calibri"/>
        </w:rPr>
        <w:t>D   -   drogowe.</w:t>
      </w:r>
    </w:p>
    <w:p w:rsidR="00C56AA0" w:rsidRPr="00315DFA" w:rsidRDefault="00C56AA0" w:rsidP="00C56AA0">
      <w:pPr>
        <w:rPr>
          <w:rFonts w:ascii="Calibri" w:hAnsi="Calibri"/>
        </w:rPr>
      </w:pPr>
      <w:r w:rsidRPr="00315DFA">
        <w:rPr>
          <w:rFonts w:ascii="Calibri" w:hAnsi="Calibri"/>
          <w:b/>
        </w:rPr>
        <w:t>2.3.2.</w:t>
      </w:r>
      <w:r w:rsidRPr="00315DFA">
        <w:rPr>
          <w:rFonts w:ascii="Calibri" w:hAnsi="Calibri"/>
        </w:rPr>
        <w:t xml:space="preserve"> Rodzaje</w:t>
      </w:r>
    </w:p>
    <w:p w:rsidR="00C56AA0" w:rsidRPr="00315DFA" w:rsidRDefault="00C56AA0" w:rsidP="00C56AA0">
      <w:pPr>
        <w:rPr>
          <w:rFonts w:ascii="Calibri" w:hAnsi="Calibri"/>
        </w:rPr>
      </w:pPr>
      <w:r w:rsidRPr="00315DFA">
        <w:rPr>
          <w:rFonts w:ascii="Calibri" w:hAnsi="Calibri"/>
        </w:rPr>
        <w:tab/>
        <w:t>W zależności od kształtu przekroju poprzecznego rozróżnia się następujące rodzaje krawężników betonowych:</w:t>
      </w:r>
    </w:p>
    <w:p w:rsidR="00C56AA0" w:rsidRPr="00315DFA" w:rsidRDefault="00C56AA0" w:rsidP="00C56AA0">
      <w:pPr>
        <w:rPr>
          <w:rFonts w:ascii="Calibri" w:hAnsi="Calibri"/>
        </w:rPr>
      </w:pPr>
      <w:r>
        <w:rPr>
          <w:rFonts w:ascii="Calibri" w:hAnsi="Calibri"/>
        </w:rPr>
        <w:t>-</w:t>
      </w:r>
      <w:r w:rsidRPr="00315DFA">
        <w:rPr>
          <w:rFonts w:ascii="Calibri" w:hAnsi="Calibri"/>
        </w:rPr>
        <w:t>prostokątne ścięte  - rodzaj „a”,</w:t>
      </w:r>
    </w:p>
    <w:p w:rsidR="00C56AA0" w:rsidRPr="00315DFA" w:rsidRDefault="00C56AA0" w:rsidP="00C56AA0">
      <w:pPr>
        <w:rPr>
          <w:rFonts w:ascii="Calibri" w:hAnsi="Calibri"/>
        </w:rPr>
      </w:pPr>
      <w:r>
        <w:rPr>
          <w:rFonts w:ascii="Calibri" w:hAnsi="Calibri"/>
        </w:rPr>
        <w:t>-</w:t>
      </w:r>
      <w:r w:rsidR="00BB2441">
        <w:rPr>
          <w:rFonts w:ascii="Calibri" w:hAnsi="Calibri"/>
        </w:rPr>
        <w:t xml:space="preserve">prostokątne  </w:t>
      </w:r>
      <w:r w:rsidRPr="00315DFA">
        <w:rPr>
          <w:rFonts w:ascii="Calibri" w:hAnsi="Calibri"/>
        </w:rPr>
        <w:t>- rodzaj „b”.</w:t>
      </w:r>
    </w:p>
    <w:p w:rsidR="00C56AA0" w:rsidRPr="00315DFA" w:rsidRDefault="00C56AA0" w:rsidP="00C56AA0">
      <w:pPr>
        <w:rPr>
          <w:rFonts w:ascii="Calibri" w:hAnsi="Calibri"/>
        </w:rPr>
      </w:pPr>
      <w:r w:rsidRPr="00315DFA">
        <w:rPr>
          <w:rFonts w:ascii="Calibri" w:hAnsi="Calibri"/>
          <w:b/>
        </w:rPr>
        <w:t>2.3.3.</w:t>
      </w:r>
      <w:r w:rsidRPr="00315DFA">
        <w:rPr>
          <w:rFonts w:ascii="Calibri" w:hAnsi="Calibri"/>
        </w:rPr>
        <w:t xml:space="preserve"> Odmiany</w:t>
      </w:r>
    </w:p>
    <w:p w:rsidR="00C56AA0" w:rsidRPr="00315DFA" w:rsidRDefault="00C56AA0" w:rsidP="00C56AA0">
      <w:pPr>
        <w:rPr>
          <w:rFonts w:ascii="Calibri" w:hAnsi="Calibri"/>
        </w:rPr>
      </w:pPr>
      <w:r w:rsidRPr="00315DFA">
        <w:rPr>
          <w:rFonts w:ascii="Calibri" w:hAnsi="Calibri"/>
        </w:rPr>
        <w:tab/>
        <w:t>W zależności od technologii i produkcji krawężników betonowych, rozróżnia się odmiany:</w:t>
      </w:r>
    </w:p>
    <w:p w:rsidR="00C56AA0" w:rsidRPr="00315DFA" w:rsidRDefault="00C56AA0" w:rsidP="00C56AA0">
      <w:pPr>
        <w:rPr>
          <w:rFonts w:ascii="Calibri" w:hAnsi="Calibri"/>
        </w:rPr>
      </w:pPr>
      <w:r>
        <w:rPr>
          <w:rFonts w:ascii="Calibri" w:hAnsi="Calibri"/>
        </w:rPr>
        <w:t>-</w:t>
      </w:r>
      <w:r w:rsidRPr="00315DFA">
        <w:rPr>
          <w:rFonts w:ascii="Calibri" w:hAnsi="Calibri"/>
        </w:rPr>
        <w:t>1 - krawężnik betonowy jednowarstwowy,</w:t>
      </w:r>
    </w:p>
    <w:p w:rsidR="00C56AA0" w:rsidRPr="00315DFA" w:rsidRDefault="00C56AA0" w:rsidP="00C56AA0">
      <w:pPr>
        <w:rPr>
          <w:rFonts w:ascii="Calibri" w:hAnsi="Calibri"/>
        </w:rPr>
      </w:pPr>
      <w:r>
        <w:rPr>
          <w:rFonts w:ascii="Calibri" w:hAnsi="Calibri"/>
        </w:rPr>
        <w:t>-</w:t>
      </w:r>
      <w:r w:rsidRPr="00315DFA">
        <w:rPr>
          <w:rFonts w:ascii="Calibri" w:hAnsi="Calibri"/>
        </w:rPr>
        <w:t>2 - krawężnik betonowy dwuwarstwowy.</w:t>
      </w:r>
    </w:p>
    <w:p w:rsidR="00C56AA0" w:rsidRPr="00315DFA" w:rsidRDefault="00C56AA0" w:rsidP="00C56AA0">
      <w:pPr>
        <w:rPr>
          <w:rFonts w:ascii="Calibri" w:hAnsi="Calibri"/>
        </w:rPr>
      </w:pPr>
      <w:r w:rsidRPr="00315DFA">
        <w:rPr>
          <w:rFonts w:ascii="Calibri" w:hAnsi="Calibri"/>
          <w:b/>
        </w:rPr>
        <w:t>2.3.4.</w:t>
      </w:r>
      <w:r w:rsidRPr="00315DFA">
        <w:rPr>
          <w:rFonts w:ascii="Calibri" w:hAnsi="Calibri"/>
        </w:rPr>
        <w:t xml:space="preserve"> Gatunki</w:t>
      </w:r>
    </w:p>
    <w:p w:rsidR="00C56AA0" w:rsidRPr="00315DFA" w:rsidRDefault="00C56AA0" w:rsidP="00C56AA0">
      <w:pPr>
        <w:rPr>
          <w:rFonts w:ascii="Calibri" w:hAnsi="Calibri"/>
        </w:rPr>
      </w:pPr>
      <w:r w:rsidRPr="00315DFA">
        <w:rPr>
          <w:rFonts w:ascii="Calibri" w:hAnsi="Calibri"/>
        </w:rPr>
        <w:tab/>
        <w:t>W zależności od dopuszczalnych wad, uszkodzeń krawężniki betonowe dzieli się na:</w:t>
      </w:r>
    </w:p>
    <w:p w:rsidR="00C56AA0" w:rsidRPr="00315DFA" w:rsidRDefault="00C56AA0" w:rsidP="00C56AA0">
      <w:pPr>
        <w:rPr>
          <w:rFonts w:ascii="Calibri" w:hAnsi="Calibri"/>
        </w:rPr>
      </w:pPr>
      <w:r>
        <w:rPr>
          <w:rFonts w:ascii="Calibri" w:hAnsi="Calibri"/>
        </w:rPr>
        <w:t>-</w:t>
      </w:r>
      <w:r w:rsidRPr="00315DFA">
        <w:rPr>
          <w:rFonts w:ascii="Calibri" w:hAnsi="Calibri"/>
        </w:rPr>
        <w:t>gatunek 1 - G1,</w:t>
      </w:r>
    </w:p>
    <w:p w:rsidR="00C56AA0" w:rsidRPr="00315DFA" w:rsidRDefault="00C56AA0" w:rsidP="00C56AA0">
      <w:pPr>
        <w:rPr>
          <w:rFonts w:ascii="Calibri" w:hAnsi="Calibri"/>
        </w:rPr>
      </w:pPr>
      <w:r>
        <w:rPr>
          <w:rFonts w:ascii="Calibri" w:hAnsi="Calibri"/>
        </w:rPr>
        <w:t>-</w:t>
      </w:r>
      <w:r w:rsidRPr="00315DFA">
        <w:rPr>
          <w:rFonts w:ascii="Calibri" w:hAnsi="Calibri"/>
        </w:rPr>
        <w:t>gatunek 2 - G2.</w:t>
      </w:r>
    </w:p>
    <w:p w:rsidR="00C56AA0" w:rsidRPr="00315DFA" w:rsidRDefault="00C56AA0" w:rsidP="00C56AA0">
      <w:pPr>
        <w:rPr>
          <w:rFonts w:ascii="Calibri" w:hAnsi="Calibri"/>
        </w:rPr>
      </w:pPr>
      <w:r w:rsidRPr="00315DFA">
        <w:rPr>
          <w:rFonts w:ascii="Calibri" w:hAnsi="Calibri"/>
        </w:rPr>
        <w:tab/>
        <w:t xml:space="preserve">Przykład oznaczenia krawężnika betonowego ulicznego (U), prostokątnego (b), jednowarstwowego (1) o wymiarach 12 x 15 x </w:t>
      </w:r>
      <w:smartTag w:uri="urn:schemas-microsoft-com:office:smarttags" w:element="metricconverter">
        <w:smartTagPr>
          <w:attr w:name="ProductID" w:val="100 cm"/>
        </w:smartTagPr>
        <w:r w:rsidRPr="00315DFA">
          <w:rPr>
            <w:rFonts w:ascii="Calibri" w:hAnsi="Calibri"/>
          </w:rPr>
          <w:t>100 cm</w:t>
        </w:r>
      </w:smartTag>
      <w:r w:rsidRPr="00315DFA">
        <w:rPr>
          <w:rFonts w:ascii="Calibri" w:hAnsi="Calibri"/>
        </w:rPr>
        <w:t>, gat. 1: Ub-1/12/15/100  BN-80/6775-03/04.</w:t>
      </w:r>
    </w:p>
    <w:p w:rsidR="00C56AA0" w:rsidRPr="00315DFA" w:rsidRDefault="00C56AA0" w:rsidP="00C56AA0">
      <w:pPr>
        <w:rPr>
          <w:rFonts w:ascii="Calibri" w:hAnsi="Calibri"/>
        </w:rPr>
      </w:pPr>
      <w:r w:rsidRPr="00315DFA">
        <w:rPr>
          <w:rFonts w:ascii="Calibri" w:hAnsi="Calibri"/>
          <w:b/>
        </w:rPr>
        <w:t>2.4.</w:t>
      </w:r>
      <w:r w:rsidRPr="00315DFA">
        <w:rPr>
          <w:rFonts w:ascii="Calibri" w:hAnsi="Calibri"/>
        </w:rPr>
        <w:t xml:space="preserve"> Krawężniki betonowe</w:t>
      </w:r>
    </w:p>
    <w:p w:rsidR="00C56AA0" w:rsidRPr="00315DFA" w:rsidRDefault="00C56AA0" w:rsidP="00C56AA0">
      <w:pPr>
        <w:rPr>
          <w:rFonts w:ascii="Calibri" w:hAnsi="Calibri"/>
        </w:rPr>
      </w:pPr>
      <w:r w:rsidRPr="00315DFA">
        <w:rPr>
          <w:rFonts w:ascii="Calibri" w:hAnsi="Calibri"/>
          <w:b/>
        </w:rPr>
        <w:t>2.4.1.</w:t>
      </w:r>
      <w:r w:rsidRPr="00315DFA">
        <w:rPr>
          <w:rFonts w:ascii="Calibri" w:hAnsi="Calibri"/>
        </w:rPr>
        <w:t xml:space="preserve"> Kształt i wymiary</w:t>
      </w:r>
    </w:p>
    <w:p w:rsidR="00C56AA0" w:rsidRPr="00315DFA" w:rsidRDefault="00C56AA0" w:rsidP="00C56AA0">
      <w:pPr>
        <w:rPr>
          <w:rFonts w:ascii="Calibri" w:hAnsi="Calibri"/>
        </w:rPr>
      </w:pPr>
      <w:r w:rsidRPr="00315DFA">
        <w:rPr>
          <w:rFonts w:ascii="Calibri" w:hAnsi="Calibri"/>
        </w:rPr>
        <w:tab/>
        <w:t xml:space="preserve">Kształt krawężników betonowych przedstawiono na rysunku </w:t>
      </w:r>
      <w:smartTag w:uri="urn:schemas-microsoft-com:office:smarttags" w:element="metricconverter">
        <w:smartTagPr>
          <w:attr w:name="ProductID" w:val="1, a"/>
        </w:smartTagPr>
        <w:r w:rsidRPr="00315DFA">
          <w:rPr>
            <w:rFonts w:ascii="Calibri" w:hAnsi="Calibri"/>
          </w:rPr>
          <w:t>1, a</w:t>
        </w:r>
      </w:smartTag>
      <w:r w:rsidRPr="00315DFA">
        <w:rPr>
          <w:rFonts w:ascii="Calibri" w:hAnsi="Calibri"/>
        </w:rPr>
        <w:t xml:space="preserve"> wymiary podano w tablicy 1.</w:t>
      </w:r>
    </w:p>
    <w:p w:rsidR="00C56AA0" w:rsidRPr="00315DFA" w:rsidRDefault="00C56AA0" w:rsidP="00C56AA0">
      <w:pPr>
        <w:rPr>
          <w:rFonts w:ascii="Calibri" w:hAnsi="Calibri"/>
        </w:rPr>
      </w:pPr>
      <w:r w:rsidRPr="00315DFA">
        <w:rPr>
          <w:rFonts w:ascii="Calibri" w:hAnsi="Calibri"/>
        </w:rPr>
        <w:t>Wymiary krawężników betonowych podano w tablicy 1.</w:t>
      </w:r>
    </w:p>
    <w:p w:rsidR="00C56AA0" w:rsidRPr="00315DFA" w:rsidRDefault="00C56AA0" w:rsidP="00C56AA0">
      <w:pPr>
        <w:rPr>
          <w:rFonts w:ascii="Calibri" w:hAnsi="Calibri"/>
        </w:rPr>
      </w:pPr>
      <w:r w:rsidRPr="00315DFA">
        <w:rPr>
          <w:rFonts w:ascii="Calibri" w:hAnsi="Calibri"/>
        </w:rPr>
        <w:t>Dopuszczalne odchyłki wymiarów krawężników betonowych podano w tablicy 2.</w:t>
      </w:r>
    </w:p>
    <w:p w:rsidR="00C56AA0" w:rsidRDefault="00C56AA0" w:rsidP="00C56AA0"/>
    <w:p w:rsidR="00582D07" w:rsidRPr="003D0B2F" w:rsidRDefault="00582D07" w:rsidP="00C56AA0"/>
    <w:p w:rsidR="00C56AA0" w:rsidRPr="00315DFA" w:rsidRDefault="00C56AA0" w:rsidP="006456E2">
      <w:pPr>
        <w:ind w:left="709"/>
        <w:rPr>
          <w:rFonts w:ascii="Calibri" w:hAnsi="Calibri"/>
        </w:rPr>
      </w:pPr>
      <w:r w:rsidRPr="00315DFA">
        <w:rPr>
          <w:rFonts w:ascii="Calibri" w:hAnsi="Calibri"/>
        </w:rPr>
        <w:lastRenderedPageBreak/>
        <w:t>a) krawężnik rodzaju „a”</w:t>
      </w:r>
    </w:p>
    <w:p w:rsidR="00C56AA0" w:rsidRPr="003D0B2F" w:rsidRDefault="00C56AA0" w:rsidP="00AE2508">
      <w:pPr>
        <w:ind w:left="709"/>
      </w:pPr>
      <w:r>
        <w:rPr>
          <w:noProof/>
        </w:rPr>
        <w:drawing>
          <wp:inline distT="0" distB="0" distL="0" distR="0">
            <wp:extent cx="2552700" cy="1123950"/>
            <wp:effectExtent l="19050" t="0" r="0" b="0"/>
            <wp:docPr id="243" name="Obraz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az 1"/>
                    <pic:cNvPicPr>
                      <a:picLocks noChangeAspect="1" noChangeArrowheads="1"/>
                    </pic:cNvPicPr>
                  </pic:nvPicPr>
                  <pic:blipFill>
                    <a:blip r:embed="rId99" cstate="print"/>
                    <a:srcRect/>
                    <a:stretch>
                      <a:fillRect/>
                    </a:stretch>
                  </pic:blipFill>
                  <pic:spPr bwMode="auto">
                    <a:xfrm>
                      <a:off x="0" y="0"/>
                      <a:ext cx="2552700" cy="1123950"/>
                    </a:xfrm>
                    <a:prstGeom prst="rect">
                      <a:avLst/>
                    </a:prstGeom>
                    <a:noFill/>
                    <a:ln w="9525">
                      <a:noFill/>
                      <a:miter lim="800000"/>
                      <a:headEnd/>
                      <a:tailEnd/>
                    </a:ln>
                  </pic:spPr>
                </pic:pic>
              </a:graphicData>
            </a:graphic>
          </wp:inline>
        </w:drawing>
      </w:r>
    </w:p>
    <w:p w:rsidR="00C56AA0" w:rsidRDefault="00C56AA0" w:rsidP="00C56AA0"/>
    <w:p w:rsidR="006456E2" w:rsidRPr="003D0B2F" w:rsidRDefault="006456E2" w:rsidP="00C56AA0"/>
    <w:p w:rsidR="00C56AA0" w:rsidRPr="00315DFA" w:rsidRDefault="00C56AA0" w:rsidP="006456E2">
      <w:pPr>
        <w:ind w:left="709"/>
        <w:rPr>
          <w:rFonts w:ascii="Calibri" w:hAnsi="Calibri"/>
        </w:rPr>
      </w:pPr>
      <w:r w:rsidRPr="00315DFA">
        <w:rPr>
          <w:rFonts w:ascii="Calibri" w:hAnsi="Calibri"/>
        </w:rPr>
        <w:t>b) krawężnik rodzaju „b”</w:t>
      </w:r>
    </w:p>
    <w:p w:rsidR="00C56AA0" w:rsidRPr="003D0B2F" w:rsidRDefault="00C56AA0" w:rsidP="00AE2508">
      <w:pPr>
        <w:ind w:left="851"/>
      </w:pPr>
      <w:r>
        <w:rPr>
          <w:noProof/>
        </w:rPr>
        <w:drawing>
          <wp:inline distT="0" distB="0" distL="0" distR="0">
            <wp:extent cx="2362200" cy="1123950"/>
            <wp:effectExtent l="19050" t="0" r="0" b="0"/>
            <wp:docPr id="244" name="Obraz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az 2"/>
                    <pic:cNvPicPr>
                      <a:picLocks noChangeAspect="1" noChangeArrowheads="1"/>
                    </pic:cNvPicPr>
                  </pic:nvPicPr>
                  <pic:blipFill>
                    <a:blip r:embed="rId100" cstate="print"/>
                    <a:srcRect/>
                    <a:stretch>
                      <a:fillRect/>
                    </a:stretch>
                  </pic:blipFill>
                  <pic:spPr bwMode="auto">
                    <a:xfrm>
                      <a:off x="0" y="0"/>
                      <a:ext cx="2362200" cy="1123950"/>
                    </a:xfrm>
                    <a:prstGeom prst="rect">
                      <a:avLst/>
                    </a:prstGeom>
                    <a:noFill/>
                    <a:ln w="9525">
                      <a:noFill/>
                      <a:miter lim="800000"/>
                      <a:headEnd/>
                      <a:tailEnd/>
                    </a:ln>
                  </pic:spPr>
                </pic:pic>
              </a:graphicData>
            </a:graphic>
          </wp:inline>
        </w:drawing>
      </w:r>
    </w:p>
    <w:p w:rsidR="00C56AA0" w:rsidRDefault="00C56AA0" w:rsidP="00C56AA0"/>
    <w:p w:rsidR="006456E2" w:rsidRPr="003D0B2F" w:rsidRDefault="006456E2" w:rsidP="00C56AA0"/>
    <w:p w:rsidR="00C56AA0" w:rsidRPr="00315DFA" w:rsidRDefault="00C56AA0" w:rsidP="006456E2">
      <w:pPr>
        <w:ind w:left="709"/>
        <w:rPr>
          <w:rFonts w:ascii="Calibri" w:hAnsi="Calibri"/>
        </w:rPr>
      </w:pPr>
      <w:r w:rsidRPr="00315DFA">
        <w:rPr>
          <w:rFonts w:ascii="Calibri" w:hAnsi="Calibri"/>
        </w:rPr>
        <w:t>c) wpusty na powierzchniach stykowych krawężników</w:t>
      </w:r>
    </w:p>
    <w:p w:rsidR="006456E2" w:rsidRDefault="006456E2" w:rsidP="00AE2508">
      <w:pPr>
        <w:ind w:left="851"/>
      </w:pPr>
    </w:p>
    <w:p w:rsidR="00C56AA0" w:rsidRPr="003D0B2F" w:rsidRDefault="00C56AA0" w:rsidP="00AE2508">
      <w:pPr>
        <w:ind w:left="851"/>
      </w:pPr>
      <w:r>
        <w:rPr>
          <w:noProof/>
        </w:rPr>
        <w:drawing>
          <wp:inline distT="0" distB="0" distL="0" distR="0">
            <wp:extent cx="2057400" cy="914400"/>
            <wp:effectExtent l="19050" t="0" r="0" b="0"/>
            <wp:docPr id="245" name="Obraz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az 3"/>
                    <pic:cNvPicPr>
                      <a:picLocks noChangeAspect="1" noChangeArrowheads="1"/>
                    </pic:cNvPicPr>
                  </pic:nvPicPr>
                  <pic:blipFill>
                    <a:blip r:embed="rId101" cstate="print"/>
                    <a:srcRect/>
                    <a:stretch>
                      <a:fillRect/>
                    </a:stretch>
                  </pic:blipFill>
                  <pic:spPr bwMode="auto">
                    <a:xfrm>
                      <a:off x="0" y="0"/>
                      <a:ext cx="2057400" cy="914400"/>
                    </a:xfrm>
                    <a:prstGeom prst="rect">
                      <a:avLst/>
                    </a:prstGeom>
                    <a:noFill/>
                    <a:ln w="9525">
                      <a:noFill/>
                      <a:miter lim="800000"/>
                      <a:headEnd/>
                      <a:tailEnd/>
                    </a:ln>
                  </pic:spPr>
                </pic:pic>
              </a:graphicData>
            </a:graphic>
          </wp:inline>
        </w:drawing>
      </w:r>
    </w:p>
    <w:p w:rsidR="00C56AA0" w:rsidRPr="00315DFA" w:rsidRDefault="00C56AA0" w:rsidP="00C56AA0">
      <w:pPr>
        <w:rPr>
          <w:rFonts w:ascii="Calibri" w:hAnsi="Calibri"/>
        </w:rPr>
      </w:pPr>
      <w:r w:rsidRPr="00315DFA">
        <w:rPr>
          <w:rFonts w:ascii="Calibri" w:hAnsi="Calibri"/>
        </w:rPr>
        <w:t>Rys. 1. Wymiarowanie krawężników</w:t>
      </w:r>
    </w:p>
    <w:p w:rsidR="006456E2" w:rsidRPr="00315DFA" w:rsidRDefault="006456E2" w:rsidP="00C56AA0">
      <w:pPr>
        <w:rPr>
          <w:rFonts w:ascii="Calibri" w:hAnsi="Calibri"/>
        </w:rPr>
      </w:pPr>
    </w:p>
    <w:p w:rsidR="00C56AA0" w:rsidRPr="00315DFA" w:rsidRDefault="00C56AA0" w:rsidP="00AE2508">
      <w:pPr>
        <w:ind w:left="709"/>
        <w:rPr>
          <w:rFonts w:ascii="Calibri" w:hAnsi="Calibri"/>
        </w:rPr>
      </w:pPr>
      <w:r w:rsidRPr="00315DFA">
        <w:rPr>
          <w:rFonts w:ascii="Calibri" w:hAnsi="Calibri"/>
        </w:rPr>
        <w:t>Tablica 1. Wymiary krawężników betonowych</w:t>
      </w:r>
    </w:p>
    <w:tbl>
      <w:tblPr>
        <w:tblW w:w="7865" w:type="dxa"/>
        <w:tblInd w:w="779" w:type="dxa"/>
        <w:tblLayout w:type="fixed"/>
        <w:tblCellMar>
          <w:left w:w="70" w:type="dxa"/>
          <w:right w:w="70" w:type="dxa"/>
        </w:tblCellMar>
        <w:tblLook w:val="0000"/>
      </w:tblPr>
      <w:tblGrid>
        <w:gridCol w:w="1277"/>
        <w:gridCol w:w="1276"/>
        <w:gridCol w:w="704"/>
        <w:gridCol w:w="669"/>
        <w:gridCol w:w="668"/>
        <w:gridCol w:w="1088"/>
        <w:gridCol w:w="1088"/>
        <w:gridCol w:w="1088"/>
        <w:gridCol w:w="7"/>
      </w:tblGrid>
      <w:tr w:rsidR="00C56AA0" w:rsidRPr="003F3018" w:rsidTr="00AE2508">
        <w:tc>
          <w:tcPr>
            <w:tcW w:w="1277" w:type="dxa"/>
            <w:tcBorders>
              <w:top w:val="single" w:sz="6" w:space="0" w:color="auto"/>
              <w:left w:val="single" w:sz="6" w:space="0" w:color="auto"/>
            </w:tcBorders>
          </w:tcPr>
          <w:p w:rsidR="00C56AA0" w:rsidRPr="003F3018" w:rsidRDefault="00C56AA0" w:rsidP="00C56AA0">
            <w:pPr>
              <w:jc w:val="center"/>
              <w:rPr>
                <w:rFonts w:ascii="Calibri" w:hAnsi="Calibri"/>
                <w:b/>
                <w:sz w:val="18"/>
                <w:szCs w:val="18"/>
              </w:rPr>
            </w:pPr>
            <w:r w:rsidRPr="003F3018">
              <w:rPr>
                <w:rFonts w:ascii="Calibri" w:hAnsi="Calibri"/>
                <w:b/>
                <w:sz w:val="18"/>
                <w:szCs w:val="18"/>
              </w:rPr>
              <w:t>Typ</w:t>
            </w:r>
          </w:p>
        </w:tc>
        <w:tc>
          <w:tcPr>
            <w:tcW w:w="1276" w:type="dxa"/>
            <w:tcBorders>
              <w:top w:val="single" w:sz="6" w:space="0" w:color="auto"/>
              <w:left w:val="single" w:sz="6" w:space="0" w:color="auto"/>
            </w:tcBorders>
          </w:tcPr>
          <w:p w:rsidR="00C56AA0" w:rsidRPr="003F3018" w:rsidRDefault="00C56AA0" w:rsidP="00C56AA0">
            <w:pPr>
              <w:jc w:val="center"/>
              <w:rPr>
                <w:rFonts w:ascii="Calibri" w:hAnsi="Calibri"/>
                <w:b/>
                <w:sz w:val="18"/>
                <w:szCs w:val="18"/>
              </w:rPr>
            </w:pPr>
            <w:r w:rsidRPr="003F3018">
              <w:rPr>
                <w:rFonts w:ascii="Calibri" w:hAnsi="Calibri"/>
                <w:b/>
                <w:sz w:val="18"/>
                <w:szCs w:val="18"/>
              </w:rPr>
              <w:t>Rodzaj</w:t>
            </w:r>
          </w:p>
        </w:tc>
        <w:tc>
          <w:tcPr>
            <w:tcW w:w="5312" w:type="dxa"/>
            <w:gridSpan w:val="7"/>
            <w:tcBorders>
              <w:top w:val="single" w:sz="6" w:space="0" w:color="auto"/>
              <w:left w:val="single" w:sz="6" w:space="0" w:color="auto"/>
              <w:bottom w:val="single" w:sz="6" w:space="0" w:color="auto"/>
              <w:right w:val="single" w:sz="6" w:space="0" w:color="auto"/>
            </w:tcBorders>
          </w:tcPr>
          <w:p w:rsidR="00C56AA0" w:rsidRPr="003F3018" w:rsidRDefault="00C56AA0" w:rsidP="00C56AA0">
            <w:pPr>
              <w:jc w:val="center"/>
              <w:rPr>
                <w:rFonts w:ascii="Calibri" w:hAnsi="Calibri"/>
                <w:b/>
                <w:sz w:val="18"/>
                <w:szCs w:val="18"/>
              </w:rPr>
            </w:pPr>
            <w:r w:rsidRPr="003F3018">
              <w:rPr>
                <w:rFonts w:ascii="Calibri" w:hAnsi="Calibri"/>
                <w:b/>
                <w:sz w:val="18"/>
                <w:szCs w:val="18"/>
              </w:rPr>
              <w:t>Wymiary krawężników,   cm</w:t>
            </w:r>
          </w:p>
        </w:tc>
      </w:tr>
      <w:tr w:rsidR="00C56AA0" w:rsidRPr="003F3018" w:rsidTr="00AE2508">
        <w:trPr>
          <w:gridAfter w:val="1"/>
          <w:wAfter w:w="7" w:type="dxa"/>
        </w:trPr>
        <w:tc>
          <w:tcPr>
            <w:tcW w:w="1277" w:type="dxa"/>
            <w:tcBorders>
              <w:left w:val="single" w:sz="6" w:space="0" w:color="auto"/>
              <w:bottom w:val="double" w:sz="6" w:space="0" w:color="auto"/>
              <w:right w:val="single" w:sz="6" w:space="0" w:color="auto"/>
            </w:tcBorders>
          </w:tcPr>
          <w:p w:rsidR="00C56AA0" w:rsidRPr="003F3018" w:rsidRDefault="00C56AA0" w:rsidP="00C56AA0">
            <w:pPr>
              <w:jc w:val="center"/>
              <w:rPr>
                <w:rFonts w:ascii="Calibri" w:hAnsi="Calibri"/>
                <w:b/>
                <w:sz w:val="18"/>
                <w:szCs w:val="18"/>
              </w:rPr>
            </w:pPr>
            <w:r w:rsidRPr="003F3018">
              <w:rPr>
                <w:rFonts w:ascii="Calibri" w:hAnsi="Calibri"/>
                <w:b/>
                <w:sz w:val="18"/>
                <w:szCs w:val="18"/>
              </w:rPr>
              <w:t>krawężnika</w:t>
            </w:r>
          </w:p>
        </w:tc>
        <w:tc>
          <w:tcPr>
            <w:tcW w:w="1276" w:type="dxa"/>
            <w:tcBorders>
              <w:bottom w:val="double" w:sz="6" w:space="0" w:color="auto"/>
            </w:tcBorders>
          </w:tcPr>
          <w:p w:rsidR="00C56AA0" w:rsidRPr="003F3018" w:rsidRDefault="00C56AA0" w:rsidP="00C56AA0">
            <w:pPr>
              <w:jc w:val="center"/>
              <w:rPr>
                <w:rFonts w:ascii="Calibri" w:hAnsi="Calibri"/>
                <w:b/>
                <w:sz w:val="18"/>
                <w:szCs w:val="18"/>
              </w:rPr>
            </w:pPr>
            <w:r w:rsidRPr="003F3018">
              <w:rPr>
                <w:rFonts w:ascii="Calibri" w:hAnsi="Calibri"/>
                <w:b/>
                <w:sz w:val="18"/>
                <w:szCs w:val="18"/>
              </w:rPr>
              <w:t>krawężnika</w:t>
            </w:r>
          </w:p>
        </w:tc>
        <w:tc>
          <w:tcPr>
            <w:tcW w:w="704" w:type="dxa"/>
            <w:tcBorders>
              <w:top w:val="single" w:sz="6" w:space="0" w:color="auto"/>
              <w:left w:val="single" w:sz="6" w:space="0" w:color="auto"/>
              <w:bottom w:val="double" w:sz="6" w:space="0" w:color="auto"/>
              <w:right w:val="single" w:sz="6" w:space="0" w:color="auto"/>
            </w:tcBorders>
          </w:tcPr>
          <w:p w:rsidR="00C56AA0" w:rsidRPr="003F3018" w:rsidRDefault="00C56AA0" w:rsidP="00C56AA0">
            <w:pPr>
              <w:jc w:val="center"/>
              <w:rPr>
                <w:rFonts w:ascii="Calibri" w:hAnsi="Calibri"/>
                <w:b/>
                <w:sz w:val="18"/>
                <w:szCs w:val="18"/>
              </w:rPr>
            </w:pPr>
            <w:r w:rsidRPr="003F3018">
              <w:rPr>
                <w:rFonts w:ascii="Calibri" w:hAnsi="Calibri"/>
                <w:b/>
                <w:sz w:val="18"/>
                <w:szCs w:val="18"/>
              </w:rPr>
              <w:t>l</w:t>
            </w:r>
          </w:p>
        </w:tc>
        <w:tc>
          <w:tcPr>
            <w:tcW w:w="669" w:type="dxa"/>
            <w:tcBorders>
              <w:top w:val="single" w:sz="6" w:space="0" w:color="auto"/>
              <w:left w:val="single" w:sz="6" w:space="0" w:color="auto"/>
              <w:bottom w:val="double" w:sz="6" w:space="0" w:color="auto"/>
              <w:right w:val="single" w:sz="6" w:space="0" w:color="auto"/>
            </w:tcBorders>
          </w:tcPr>
          <w:p w:rsidR="00C56AA0" w:rsidRPr="003F3018" w:rsidRDefault="00C56AA0" w:rsidP="00C56AA0">
            <w:pPr>
              <w:jc w:val="center"/>
              <w:rPr>
                <w:rFonts w:ascii="Calibri" w:hAnsi="Calibri"/>
                <w:b/>
                <w:sz w:val="18"/>
                <w:szCs w:val="18"/>
              </w:rPr>
            </w:pPr>
            <w:r w:rsidRPr="003F3018">
              <w:rPr>
                <w:rFonts w:ascii="Calibri" w:hAnsi="Calibri"/>
                <w:b/>
                <w:sz w:val="18"/>
                <w:szCs w:val="18"/>
              </w:rPr>
              <w:t>b</w:t>
            </w:r>
          </w:p>
        </w:tc>
        <w:tc>
          <w:tcPr>
            <w:tcW w:w="668" w:type="dxa"/>
            <w:tcBorders>
              <w:top w:val="single" w:sz="6" w:space="0" w:color="auto"/>
              <w:left w:val="single" w:sz="6" w:space="0" w:color="auto"/>
              <w:bottom w:val="double" w:sz="6" w:space="0" w:color="auto"/>
              <w:right w:val="single" w:sz="6" w:space="0" w:color="auto"/>
            </w:tcBorders>
          </w:tcPr>
          <w:p w:rsidR="00C56AA0" w:rsidRPr="003F3018" w:rsidRDefault="00C56AA0" w:rsidP="00C56AA0">
            <w:pPr>
              <w:jc w:val="center"/>
              <w:rPr>
                <w:rFonts w:ascii="Calibri" w:hAnsi="Calibri"/>
                <w:b/>
                <w:sz w:val="18"/>
                <w:szCs w:val="18"/>
              </w:rPr>
            </w:pPr>
            <w:r w:rsidRPr="003F3018">
              <w:rPr>
                <w:rFonts w:ascii="Calibri" w:hAnsi="Calibri"/>
                <w:b/>
                <w:sz w:val="18"/>
                <w:szCs w:val="18"/>
              </w:rPr>
              <w:t>h</w:t>
            </w:r>
          </w:p>
        </w:tc>
        <w:tc>
          <w:tcPr>
            <w:tcW w:w="1088" w:type="dxa"/>
            <w:tcBorders>
              <w:top w:val="single" w:sz="6" w:space="0" w:color="auto"/>
              <w:left w:val="single" w:sz="6" w:space="0" w:color="auto"/>
              <w:bottom w:val="double" w:sz="6" w:space="0" w:color="auto"/>
              <w:right w:val="single" w:sz="6" w:space="0" w:color="auto"/>
            </w:tcBorders>
          </w:tcPr>
          <w:p w:rsidR="00C56AA0" w:rsidRPr="003F3018" w:rsidRDefault="00C56AA0" w:rsidP="00C56AA0">
            <w:pPr>
              <w:jc w:val="center"/>
              <w:rPr>
                <w:rFonts w:ascii="Calibri" w:hAnsi="Calibri"/>
                <w:b/>
                <w:sz w:val="18"/>
                <w:szCs w:val="18"/>
              </w:rPr>
            </w:pPr>
            <w:r w:rsidRPr="003F3018">
              <w:rPr>
                <w:rFonts w:ascii="Calibri" w:hAnsi="Calibri"/>
                <w:b/>
                <w:sz w:val="18"/>
                <w:szCs w:val="18"/>
              </w:rPr>
              <w:t>c</w:t>
            </w:r>
          </w:p>
        </w:tc>
        <w:tc>
          <w:tcPr>
            <w:tcW w:w="1088" w:type="dxa"/>
            <w:tcBorders>
              <w:top w:val="single" w:sz="6" w:space="0" w:color="auto"/>
              <w:left w:val="single" w:sz="6" w:space="0" w:color="auto"/>
              <w:bottom w:val="double" w:sz="6" w:space="0" w:color="auto"/>
              <w:right w:val="single" w:sz="6" w:space="0" w:color="auto"/>
            </w:tcBorders>
          </w:tcPr>
          <w:p w:rsidR="00C56AA0" w:rsidRPr="003F3018" w:rsidRDefault="00C56AA0" w:rsidP="00C56AA0">
            <w:pPr>
              <w:jc w:val="center"/>
              <w:rPr>
                <w:rFonts w:ascii="Calibri" w:hAnsi="Calibri"/>
                <w:b/>
                <w:sz w:val="18"/>
                <w:szCs w:val="18"/>
              </w:rPr>
            </w:pPr>
            <w:r w:rsidRPr="003F3018">
              <w:rPr>
                <w:rFonts w:ascii="Calibri" w:hAnsi="Calibri"/>
                <w:b/>
                <w:sz w:val="18"/>
                <w:szCs w:val="18"/>
              </w:rPr>
              <w:t>d</w:t>
            </w:r>
          </w:p>
        </w:tc>
        <w:tc>
          <w:tcPr>
            <w:tcW w:w="1088" w:type="dxa"/>
            <w:tcBorders>
              <w:top w:val="single" w:sz="6" w:space="0" w:color="auto"/>
              <w:left w:val="single" w:sz="6" w:space="0" w:color="auto"/>
              <w:bottom w:val="double" w:sz="6" w:space="0" w:color="auto"/>
              <w:right w:val="single" w:sz="6" w:space="0" w:color="auto"/>
            </w:tcBorders>
          </w:tcPr>
          <w:p w:rsidR="00C56AA0" w:rsidRPr="003F3018" w:rsidRDefault="00C56AA0" w:rsidP="00C56AA0">
            <w:pPr>
              <w:jc w:val="center"/>
              <w:rPr>
                <w:rFonts w:ascii="Calibri" w:hAnsi="Calibri"/>
                <w:b/>
                <w:sz w:val="18"/>
                <w:szCs w:val="18"/>
              </w:rPr>
            </w:pPr>
            <w:r w:rsidRPr="003F3018">
              <w:rPr>
                <w:rFonts w:ascii="Calibri" w:hAnsi="Calibri"/>
                <w:b/>
                <w:sz w:val="18"/>
                <w:szCs w:val="18"/>
              </w:rPr>
              <w:t>r</w:t>
            </w:r>
          </w:p>
        </w:tc>
      </w:tr>
      <w:tr w:rsidR="00C56AA0" w:rsidRPr="003F3018" w:rsidTr="00AE2508">
        <w:trPr>
          <w:gridAfter w:val="1"/>
          <w:wAfter w:w="7" w:type="dxa"/>
        </w:trPr>
        <w:tc>
          <w:tcPr>
            <w:tcW w:w="1277" w:type="dxa"/>
            <w:tcBorders>
              <w:left w:val="single" w:sz="6" w:space="0" w:color="auto"/>
              <w:bottom w:val="single" w:sz="6" w:space="0" w:color="auto"/>
              <w:right w:val="single" w:sz="6" w:space="0" w:color="auto"/>
            </w:tcBorders>
          </w:tcPr>
          <w:p w:rsidR="00C56AA0" w:rsidRPr="003F3018" w:rsidRDefault="00C56AA0" w:rsidP="00C56AA0">
            <w:pPr>
              <w:jc w:val="center"/>
              <w:rPr>
                <w:rFonts w:ascii="Calibri" w:hAnsi="Calibri"/>
                <w:sz w:val="18"/>
                <w:szCs w:val="18"/>
              </w:rPr>
            </w:pPr>
            <w:r w:rsidRPr="003F3018">
              <w:rPr>
                <w:rFonts w:ascii="Calibri" w:hAnsi="Calibri"/>
                <w:sz w:val="18"/>
                <w:szCs w:val="18"/>
              </w:rPr>
              <w:t>U</w:t>
            </w:r>
          </w:p>
        </w:tc>
        <w:tc>
          <w:tcPr>
            <w:tcW w:w="1276" w:type="dxa"/>
            <w:tcBorders>
              <w:left w:val="single" w:sz="6" w:space="0" w:color="auto"/>
              <w:bottom w:val="single" w:sz="6" w:space="0" w:color="auto"/>
            </w:tcBorders>
          </w:tcPr>
          <w:p w:rsidR="00C56AA0" w:rsidRPr="003F3018" w:rsidRDefault="00C56AA0" w:rsidP="00C56AA0">
            <w:pPr>
              <w:jc w:val="center"/>
              <w:rPr>
                <w:rFonts w:ascii="Calibri" w:hAnsi="Calibri"/>
                <w:sz w:val="18"/>
                <w:szCs w:val="18"/>
              </w:rPr>
            </w:pPr>
            <w:r w:rsidRPr="003F3018">
              <w:rPr>
                <w:rFonts w:ascii="Calibri" w:hAnsi="Calibri"/>
                <w:sz w:val="18"/>
                <w:szCs w:val="18"/>
              </w:rPr>
              <w:t>a</w:t>
            </w:r>
          </w:p>
        </w:tc>
        <w:tc>
          <w:tcPr>
            <w:tcW w:w="704" w:type="dxa"/>
            <w:tcBorders>
              <w:left w:val="single" w:sz="6" w:space="0" w:color="auto"/>
              <w:bottom w:val="single" w:sz="6" w:space="0" w:color="auto"/>
              <w:right w:val="single" w:sz="6" w:space="0" w:color="auto"/>
            </w:tcBorders>
          </w:tcPr>
          <w:p w:rsidR="00C56AA0" w:rsidRPr="003F3018" w:rsidRDefault="00C56AA0" w:rsidP="00C56AA0">
            <w:pPr>
              <w:jc w:val="center"/>
              <w:rPr>
                <w:rFonts w:ascii="Calibri" w:hAnsi="Calibri"/>
                <w:sz w:val="18"/>
                <w:szCs w:val="18"/>
              </w:rPr>
            </w:pPr>
            <w:r w:rsidRPr="003F3018">
              <w:rPr>
                <w:rFonts w:ascii="Calibri" w:hAnsi="Calibri"/>
                <w:sz w:val="18"/>
                <w:szCs w:val="18"/>
              </w:rPr>
              <w:t>100</w:t>
            </w:r>
          </w:p>
        </w:tc>
        <w:tc>
          <w:tcPr>
            <w:tcW w:w="669" w:type="dxa"/>
            <w:tcBorders>
              <w:left w:val="single" w:sz="6" w:space="0" w:color="auto"/>
              <w:bottom w:val="single" w:sz="6" w:space="0" w:color="auto"/>
              <w:right w:val="single" w:sz="6" w:space="0" w:color="auto"/>
            </w:tcBorders>
          </w:tcPr>
          <w:p w:rsidR="00C56AA0" w:rsidRPr="003F3018" w:rsidRDefault="00C56AA0" w:rsidP="00C56AA0">
            <w:pPr>
              <w:jc w:val="center"/>
              <w:rPr>
                <w:rFonts w:ascii="Calibri" w:hAnsi="Calibri"/>
                <w:sz w:val="18"/>
                <w:szCs w:val="18"/>
              </w:rPr>
            </w:pPr>
            <w:r w:rsidRPr="003F3018">
              <w:rPr>
                <w:rFonts w:ascii="Calibri" w:hAnsi="Calibri"/>
                <w:sz w:val="18"/>
                <w:szCs w:val="18"/>
              </w:rPr>
              <w:t>20</w:t>
            </w:r>
          </w:p>
          <w:p w:rsidR="00C56AA0" w:rsidRPr="003F3018" w:rsidRDefault="00C56AA0" w:rsidP="00C56AA0">
            <w:pPr>
              <w:jc w:val="center"/>
              <w:rPr>
                <w:rFonts w:ascii="Calibri" w:hAnsi="Calibri"/>
                <w:sz w:val="18"/>
                <w:szCs w:val="18"/>
              </w:rPr>
            </w:pPr>
            <w:r w:rsidRPr="003F3018">
              <w:rPr>
                <w:rFonts w:ascii="Calibri" w:hAnsi="Calibri"/>
                <w:sz w:val="18"/>
                <w:szCs w:val="18"/>
              </w:rPr>
              <w:t>15</w:t>
            </w:r>
          </w:p>
        </w:tc>
        <w:tc>
          <w:tcPr>
            <w:tcW w:w="668" w:type="dxa"/>
            <w:tcBorders>
              <w:left w:val="single" w:sz="6" w:space="0" w:color="auto"/>
              <w:bottom w:val="single" w:sz="6" w:space="0" w:color="auto"/>
              <w:right w:val="single" w:sz="6" w:space="0" w:color="auto"/>
            </w:tcBorders>
          </w:tcPr>
          <w:p w:rsidR="00C56AA0" w:rsidRPr="003F3018" w:rsidRDefault="00C56AA0" w:rsidP="00C56AA0">
            <w:pPr>
              <w:jc w:val="center"/>
              <w:rPr>
                <w:rFonts w:ascii="Calibri" w:hAnsi="Calibri"/>
                <w:sz w:val="18"/>
                <w:szCs w:val="18"/>
              </w:rPr>
            </w:pPr>
            <w:r w:rsidRPr="003F3018">
              <w:rPr>
                <w:rFonts w:ascii="Calibri" w:hAnsi="Calibri"/>
                <w:sz w:val="18"/>
                <w:szCs w:val="18"/>
              </w:rPr>
              <w:t>30</w:t>
            </w:r>
          </w:p>
        </w:tc>
        <w:tc>
          <w:tcPr>
            <w:tcW w:w="1088" w:type="dxa"/>
            <w:tcBorders>
              <w:left w:val="single" w:sz="6" w:space="0" w:color="auto"/>
              <w:bottom w:val="single" w:sz="6" w:space="0" w:color="auto"/>
              <w:right w:val="single" w:sz="6" w:space="0" w:color="auto"/>
            </w:tcBorders>
          </w:tcPr>
          <w:p w:rsidR="00C56AA0" w:rsidRPr="003F3018" w:rsidRDefault="00C56AA0" w:rsidP="00C56AA0">
            <w:pPr>
              <w:jc w:val="center"/>
              <w:rPr>
                <w:rFonts w:ascii="Calibri" w:hAnsi="Calibri"/>
                <w:sz w:val="18"/>
                <w:szCs w:val="18"/>
              </w:rPr>
            </w:pPr>
            <w:r w:rsidRPr="003F3018">
              <w:rPr>
                <w:rFonts w:ascii="Calibri" w:hAnsi="Calibri"/>
                <w:sz w:val="18"/>
                <w:szCs w:val="18"/>
              </w:rPr>
              <w:t>min. 3</w:t>
            </w:r>
          </w:p>
          <w:p w:rsidR="00C56AA0" w:rsidRPr="003F3018" w:rsidRDefault="00C56AA0" w:rsidP="00C56AA0">
            <w:pPr>
              <w:jc w:val="center"/>
              <w:rPr>
                <w:rFonts w:ascii="Calibri" w:hAnsi="Calibri"/>
                <w:sz w:val="18"/>
                <w:szCs w:val="18"/>
              </w:rPr>
            </w:pPr>
            <w:r w:rsidRPr="003F3018">
              <w:rPr>
                <w:rFonts w:ascii="Calibri" w:hAnsi="Calibri"/>
                <w:sz w:val="18"/>
                <w:szCs w:val="18"/>
              </w:rPr>
              <w:t>max. 7</w:t>
            </w:r>
          </w:p>
        </w:tc>
        <w:tc>
          <w:tcPr>
            <w:tcW w:w="1088" w:type="dxa"/>
            <w:tcBorders>
              <w:left w:val="single" w:sz="6" w:space="0" w:color="auto"/>
              <w:bottom w:val="single" w:sz="6" w:space="0" w:color="auto"/>
              <w:right w:val="single" w:sz="6" w:space="0" w:color="auto"/>
            </w:tcBorders>
          </w:tcPr>
          <w:p w:rsidR="00C56AA0" w:rsidRPr="003F3018" w:rsidRDefault="00C56AA0" w:rsidP="00C56AA0">
            <w:pPr>
              <w:jc w:val="center"/>
              <w:rPr>
                <w:rFonts w:ascii="Calibri" w:hAnsi="Calibri"/>
                <w:sz w:val="18"/>
                <w:szCs w:val="18"/>
              </w:rPr>
            </w:pPr>
            <w:r w:rsidRPr="003F3018">
              <w:rPr>
                <w:rFonts w:ascii="Calibri" w:hAnsi="Calibri"/>
                <w:sz w:val="18"/>
                <w:szCs w:val="18"/>
              </w:rPr>
              <w:t>min. 12</w:t>
            </w:r>
          </w:p>
          <w:p w:rsidR="00C56AA0" w:rsidRPr="003F3018" w:rsidRDefault="00C56AA0" w:rsidP="00C56AA0">
            <w:pPr>
              <w:jc w:val="center"/>
              <w:rPr>
                <w:rFonts w:ascii="Calibri" w:hAnsi="Calibri"/>
                <w:sz w:val="18"/>
                <w:szCs w:val="18"/>
              </w:rPr>
            </w:pPr>
            <w:r w:rsidRPr="003F3018">
              <w:rPr>
                <w:rFonts w:ascii="Calibri" w:hAnsi="Calibri"/>
                <w:sz w:val="18"/>
                <w:szCs w:val="18"/>
              </w:rPr>
              <w:t>max. 15</w:t>
            </w:r>
          </w:p>
        </w:tc>
        <w:tc>
          <w:tcPr>
            <w:tcW w:w="1088" w:type="dxa"/>
            <w:tcBorders>
              <w:left w:val="single" w:sz="6" w:space="0" w:color="auto"/>
              <w:bottom w:val="single" w:sz="6" w:space="0" w:color="auto"/>
              <w:right w:val="single" w:sz="6" w:space="0" w:color="auto"/>
            </w:tcBorders>
          </w:tcPr>
          <w:p w:rsidR="00C56AA0" w:rsidRPr="003F3018" w:rsidRDefault="00C56AA0" w:rsidP="00C56AA0">
            <w:pPr>
              <w:jc w:val="center"/>
              <w:rPr>
                <w:rFonts w:ascii="Calibri" w:hAnsi="Calibri"/>
                <w:sz w:val="18"/>
                <w:szCs w:val="18"/>
              </w:rPr>
            </w:pPr>
            <w:r w:rsidRPr="003F3018">
              <w:rPr>
                <w:rFonts w:ascii="Calibri" w:hAnsi="Calibri"/>
                <w:sz w:val="18"/>
                <w:szCs w:val="18"/>
              </w:rPr>
              <w:t>1,0</w:t>
            </w:r>
          </w:p>
        </w:tc>
      </w:tr>
      <w:tr w:rsidR="00C56AA0" w:rsidRPr="003F3018" w:rsidTr="00AE2508">
        <w:trPr>
          <w:gridAfter w:val="1"/>
          <w:wAfter w:w="7" w:type="dxa"/>
        </w:trPr>
        <w:tc>
          <w:tcPr>
            <w:tcW w:w="1277" w:type="dxa"/>
            <w:tcBorders>
              <w:top w:val="single" w:sz="6" w:space="0" w:color="auto"/>
              <w:left w:val="single" w:sz="6" w:space="0" w:color="auto"/>
              <w:bottom w:val="single" w:sz="6" w:space="0" w:color="auto"/>
              <w:right w:val="single" w:sz="6" w:space="0" w:color="auto"/>
            </w:tcBorders>
          </w:tcPr>
          <w:p w:rsidR="00C56AA0" w:rsidRPr="003F3018" w:rsidRDefault="00C56AA0" w:rsidP="00C56AA0">
            <w:pPr>
              <w:jc w:val="center"/>
              <w:rPr>
                <w:rFonts w:ascii="Calibri" w:hAnsi="Calibri"/>
                <w:sz w:val="18"/>
                <w:szCs w:val="18"/>
              </w:rPr>
            </w:pPr>
          </w:p>
          <w:p w:rsidR="00C56AA0" w:rsidRPr="003F3018" w:rsidRDefault="00C56AA0" w:rsidP="00C56AA0">
            <w:pPr>
              <w:jc w:val="center"/>
              <w:rPr>
                <w:rFonts w:ascii="Calibri" w:hAnsi="Calibri"/>
                <w:sz w:val="18"/>
                <w:szCs w:val="18"/>
              </w:rPr>
            </w:pPr>
            <w:r w:rsidRPr="003F3018">
              <w:rPr>
                <w:rFonts w:ascii="Calibri" w:hAnsi="Calibri"/>
                <w:sz w:val="18"/>
                <w:szCs w:val="18"/>
              </w:rPr>
              <w:t>D</w:t>
            </w:r>
          </w:p>
        </w:tc>
        <w:tc>
          <w:tcPr>
            <w:tcW w:w="1276" w:type="dxa"/>
            <w:tcBorders>
              <w:top w:val="single" w:sz="6" w:space="0" w:color="auto"/>
              <w:left w:val="single" w:sz="6" w:space="0" w:color="auto"/>
              <w:bottom w:val="single" w:sz="6" w:space="0" w:color="auto"/>
            </w:tcBorders>
          </w:tcPr>
          <w:p w:rsidR="00C56AA0" w:rsidRPr="003F3018" w:rsidRDefault="00C56AA0" w:rsidP="00C56AA0">
            <w:pPr>
              <w:jc w:val="center"/>
              <w:rPr>
                <w:rFonts w:ascii="Calibri" w:hAnsi="Calibri"/>
                <w:sz w:val="18"/>
                <w:szCs w:val="18"/>
              </w:rPr>
            </w:pPr>
          </w:p>
          <w:p w:rsidR="00C56AA0" w:rsidRPr="003F3018" w:rsidRDefault="00C56AA0" w:rsidP="00C56AA0">
            <w:pPr>
              <w:jc w:val="center"/>
              <w:rPr>
                <w:rFonts w:ascii="Calibri" w:hAnsi="Calibri"/>
                <w:sz w:val="18"/>
                <w:szCs w:val="18"/>
              </w:rPr>
            </w:pPr>
            <w:r w:rsidRPr="003F3018">
              <w:rPr>
                <w:rFonts w:ascii="Calibri" w:hAnsi="Calibri"/>
                <w:sz w:val="18"/>
                <w:szCs w:val="18"/>
              </w:rPr>
              <w:t>b</w:t>
            </w:r>
          </w:p>
        </w:tc>
        <w:tc>
          <w:tcPr>
            <w:tcW w:w="704" w:type="dxa"/>
            <w:tcBorders>
              <w:top w:val="single" w:sz="6" w:space="0" w:color="auto"/>
              <w:left w:val="single" w:sz="6" w:space="0" w:color="auto"/>
              <w:bottom w:val="single" w:sz="6" w:space="0" w:color="auto"/>
              <w:right w:val="single" w:sz="6" w:space="0" w:color="auto"/>
            </w:tcBorders>
          </w:tcPr>
          <w:p w:rsidR="00C56AA0" w:rsidRPr="003F3018" w:rsidRDefault="00C56AA0" w:rsidP="00C56AA0">
            <w:pPr>
              <w:jc w:val="center"/>
              <w:rPr>
                <w:rFonts w:ascii="Calibri" w:hAnsi="Calibri"/>
                <w:sz w:val="18"/>
                <w:szCs w:val="18"/>
              </w:rPr>
            </w:pPr>
          </w:p>
          <w:p w:rsidR="00C56AA0" w:rsidRPr="003F3018" w:rsidRDefault="00C56AA0" w:rsidP="00C56AA0">
            <w:pPr>
              <w:jc w:val="center"/>
              <w:rPr>
                <w:rFonts w:ascii="Calibri" w:hAnsi="Calibri"/>
                <w:sz w:val="18"/>
                <w:szCs w:val="18"/>
              </w:rPr>
            </w:pPr>
            <w:r w:rsidRPr="003F3018">
              <w:rPr>
                <w:rFonts w:ascii="Calibri" w:hAnsi="Calibri"/>
                <w:sz w:val="18"/>
                <w:szCs w:val="18"/>
              </w:rPr>
              <w:t>100</w:t>
            </w:r>
          </w:p>
        </w:tc>
        <w:tc>
          <w:tcPr>
            <w:tcW w:w="669" w:type="dxa"/>
            <w:tcBorders>
              <w:top w:val="single" w:sz="6" w:space="0" w:color="auto"/>
              <w:left w:val="single" w:sz="6" w:space="0" w:color="auto"/>
              <w:bottom w:val="single" w:sz="6" w:space="0" w:color="auto"/>
              <w:right w:val="single" w:sz="6" w:space="0" w:color="auto"/>
            </w:tcBorders>
          </w:tcPr>
          <w:p w:rsidR="00C56AA0" w:rsidRPr="003F3018" w:rsidRDefault="00C56AA0" w:rsidP="00C56AA0">
            <w:pPr>
              <w:jc w:val="center"/>
              <w:rPr>
                <w:rFonts w:ascii="Calibri" w:hAnsi="Calibri"/>
                <w:sz w:val="18"/>
                <w:szCs w:val="18"/>
              </w:rPr>
            </w:pPr>
            <w:r w:rsidRPr="003F3018">
              <w:rPr>
                <w:rFonts w:ascii="Calibri" w:hAnsi="Calibri"/>
                <w:sz w:val="18"/>
                <w:szCs w:val="18"/>
              </w:rPr>
              <w:t>15</w:t>
            </w:r>
          </w:p>
          <w:p w:rsidR="00C56AA0" w:rsidRPr="003F3018" w:rsidRDefault="00C56AA0" w:rsidP="00C56AA0">
            <w:pPr>
              <w:jc w:val="center"/>
              <w:rPr>
                <w:rFonts w:ascii="Calibri" w:hAnsi="Calibri"/>
                <w:sz w:val="18"/>
                <w:szCs w:val="18"/>
              </w:rPr>
            </w:pPr>
            <w:r w:rsidRPr="003F3018">
              <w:rPr>
                <w:rFonts w:ascii="Calibri" w:hAnsi="Calibri"/>
                <w:sz w:val="18"/>
                <w:szCs w:val="18"/>
              </w:rPr>
              <w:t>12</w:t>
            </w:r>
          </w:p>
          <w:p w:rsidR="00C56AA0" w:rsidRPr="003F3018" w:rsidRDefault="00C56AA0" w:rsidP="00C56AA0">
            <w:pPr>
              <w:jc w:val="center"/>
              <w:rPr>
                <w:rFonts w:ascii="Calibri" w:hAnsi="Calibri"/>
                <w:sz w:val="18"/>
                <w:szCs w:val="18"/>
              </w:rPr>
            </w:pPr>
            <w:r w:rsidRPr="003F3018">
              <w:rPr>
                <w:rFonts w:ascii="Calibri" w:hAnsi="Calibri"/>
                <w:sz w:val="18"/>
                <w:szCs w:val="18"/>
              </w:rPr>
              <w:t>10</w:t>
            </w:r>
          </w:p>
        </w:tc>
        <w:tc>
          <w:tcPr>
            <w:tcW w:w="668" w:type="dxa"/>
            <w:tcBorders>
              <w:top w:val="single" w:sz="6" w:space="0" w:color="auto"/>
              <w:left w:val="single" w:sz="6" w:space="0" w:color="auto"/>
              <w:bottom w:val="single" w:sz="6" w:space="0" w:color="auto"/>
              <w:right w:val="single" w:sz="6" w:space="0" w:color="auto"/>
            </w:tcBorders>
          </w:tcPr>
          <w:p w:rsidR="00C56AA0" w:rsidRPr="003F3018" w:rsidRDefault="00C56AA0" w:rsidP="00C56AA0">
            <w:pPr>
              <w:jc w:val="center"/>
              <w:rPr>
                <w:rFonts w:ascii="Calibri" w:hAnsi="Calibri"/>
                <w:sz w:val="18"/>
                <w:szCs w:val="18"/>
              </w:rPr>
            </w:pPr>
            <w:r w:rsidRPr="003F3018">
              <w:rPr>
                <w:rFonts w:ascii="Calibri" w:hAnsi="Calibri"/>
                <w:sz w:val="18"/>
                <w:szCs w:val="18"/>
              </w:rPr>
              <w:t>20</w:t>
            </w:r>
          </w:p>
          <w:p w:rsidR="00C56AA0" w:rsidRPr="003F3018" w:rsidRDefault="00C56AA0" w:rsidP="00C56AA0">
            <w:pPr>
              <w:jc w:val="center"/>
              <w:rPr>
                <w:rFonts w:ascii="Calibri" w:hAnsi="Calibri"/>
                <w:sz w:val="18"/>
                <w:szCs w:val="18"/>
              </w:rPr>
            </w:pPr>
            <w:r w:rsidRPr="003F3018">
              <w:rPr>
                <w:rFonts w:ascii="Calibri" w:hAnsi="Calibri"/>
                <w:sz w:val="18"/>
                <w:szCs w:val="18"/>
              </w:rPr>
              <w:t>25</w:t>
            </w:r>
          </w:p>
          <w:p w:rsidR="00C56AA0" w:rsidRPr="003F3018" w:rsidRDefault="00C56AA0" w:rsidP="00C56AA0">
            <w:pPr>
              <w:jc w:val="center"/>
              <w:rPr>
                <w:rFonts w:ascii="Calibri" w:hAnsi="Calibri"/>
                <w:sz w:val="18"/>
                <w:szCs w:val="18"/>
              </w:rPr>
            </w:pPr>
            <w:r w:rsidRPr="003F3018">
              <w:rPr>
                <w:rFonts w:ascii="Calibri" w:hAnsi="Calibri"/>
                <w:sz w:val="18"/>
                <w:szCs w:val="18"/>
              </w:rPr>
              <w:t>25</w:t>
            </w:r>
          </w:p>
        </w:tc>
        <w:tc>
          <w:tcPr>
            <w:tcW w:w="1088" w:type="dxa"/>
            <w:tcBorders>
              <w:top w:val="single" w:sz="6" w:space="0" w:color="auto"/>
              <w:left w:val="single" w:sz="6" w:space="0" w:color="auto"/>
              <w:bottom w:val="single" w:sz="6" w:space="0" w:color="auto"/>
              <w:right w:val="single" w:sz="6" w:space="0" w:color="auto"/>
            </w:tcBorders>
          </w:tcPr>
          <w:p w:rsidR="00C56AA0" w:rsidRPr="003F3018" w:rsidRDefault="00C56AA0" w:rsidP="00C56AA0">
            <w:pPr>
              <w:jc w:val="center"/>
              <w:rPr>
                <w:rFonts w:ascii="Calibri" w:hAnsi="Calibri"/>
                <w:sz w:val="18"/>
                <w:szCs w:val="18"/>
              </w:rPr>
            </w:pPr>
          </w:p>
          <w:p w:rsidR="00C56AA0" w:rsidRPr="003F3018" w:rsidRDefault="00C56AA0" w:rsidP="00C56AA0">
            <w:pPr>
              <w:jc w:val="center"/>
              <w:rPr>
                <w:rFonts w:ascii="Calibri" w:hAnsi="Calibri"/>
                <w:sz w:val="18"/>
                <w:szCs w:val="18"/>
              </w:rPr>
            </w:pPr>
            <w:r w:rsidRPr="003F3018">
              <w:rPr>
                <w:rFonts w:ascii="Calibri" w:hAnsi="Calibri"/>
                <w:sz w:val="18"/>
                <w:szCs w:val="18"/>
              </w:rPr>
              <w:t>-</w:t>
            </w:r>
          </w:p>
        </w:tc>
        <w:tc>
          <w:tcPr>
            <w:tcW w:w="1088" w:type="dxa"/>
            <w:tcBorders>
              <w:top w:val="single" w:sz="6" w:space="0" w:color="auto"/>
              <w:left w:val="single" w:sz="6" w:space="0" w:color="auto"/>
              <w:bottom w:val="single" w:sz="6" w:space="0" w:color="auto"/>
              <w:right w:val="single" w:sz="6" w:space="0" w:color="auto"/>
            </w:tcBorders>
          </w:tcPr>
          <w:p w:rsidR="00C56AA0" w:rsidRPr="003F3018" w:rsidRDefault="00C56AA0" w:rsidP="00C56AA0">
            <w:pPr>
              <w:jc w:val="center"/>
              <w:rPr>
                <w:rFonts w:ascii="Calibri" w:hAnsi="Calibri"/>
                <w:sz w:val="18"/>
                <w:szCs w:val="18"/>
              </w:rPr>
            </w:pPr>
          </w:p>
          <w:p w:rsidR="00C56AA0" w:rsidRPr="003F3018" w:rsidRDefault="00C56AA0" w:rsidP="00C56AA0">
            <w:pPr>
              <w:jc w:val="center"/>
              <w:rPr>
                <w:rFonts w:ascii="Calibri" w:hAnsi="Calibri"/>
                <w:sz w:val="18"/>
                <w:szCs w:val="18"/>
              </w:rPr>
            </w:pPr>
            <w:r w:rsidRPr="003F3018">
              <w:rPr>
                <w:rFonts w:ascii="Calibri" w:hAnsi="Calibri"/>
                <w:sz w:val="18"/>
                <w:szCs w:val="18"/>
              </w:rPr>
              <w:t>-</w:t>
            </w:r>
          </w:p>
        </w:tc>
        <w:tc>
          <w:tcPr>
            <w:tcW w:w="1088" w:type="dxa"/>
            <w:tcBorders>
              <w:top w:val="single" w:sz="6" w:space="0" w:color="auto"/>
              <w:left w:val="single" w:sz="6" w:space="0" w:color="auto"/>
              <w:bottom w:val="single" w:sz="6" w:space="0" w:color="auto"/>
              <w:right w:val="single" w:sz="6" w:space="0" w:color="auto"/>
            </w:tcBorders>
          </w:tcPr>
          <w:p w:rsidR="00C56AA0" w:rsidRPr="003F3018" w:rsidRDefault="00C56AA0" w:rsidP="00C56AA0">
            <w:pPr>
              <w:jc w:val="center"/>
              <w:rPr>
                <w:rFonts w:ascii="Calibri" w:hAnsi="Calibri"/>
                <w:sz w:val="18"/>
                <w:szCs w:val="18"/>
              </w:rPr>
            </w:pPr>
          </w:p>
          <w:p w:rsidR="00C56AA0" w:rsidRPr="003F3018" w:rsidRDefault="00C56AA0" w:rsidP="00C56AA0">
            <w:pPr>
              <w:jc w:val="center"/>
              <w:rPr>
                <w:rFonts w:ascii="Calibri" w:hAnsi="Calibri"/>
                <w:sz w:val="18"/>
                <w:szCs w:val="18"/>
              </w:rPr>
            </w:pPr>
            <w:r w:rsidRPr="003F3018">
              <w:rPr>
                <w:rFonts w:ascii="Calibri" w:hAnsi="Calibri"/>
                <w:sz w:val="18"/>
                <w:szCs w:val="18"/>
              </w:rPr>
              <w:t>1,0</w:t>
            </w:r>
          </w:p>
        </w:tc>
      </w:tr>
    </w:tbl>
    <w:p w:rsidR="00C77850" w:rsidRPr="003F3018" w:rsidRDefault="00C77850" w:rsidP="00C56AA0">
      <w:pPr>
        <w:rPr>
          <w:rFonts w:ascii="Calibri" w:hAnsi="Calibri"/>
        </w:rPr>
      </w:pPr>
    </w:p>
    <w:p w:rsidR="00C56AA0" w:rsidRPr="003F3018" w:rsidRDefault="00C56AA0" w:rsidP="00AE2508">
      <w:pPr>
        <w:ind w:left="709"/>
        <w:rPr>
          <w:rFonts w:ascii="Calibri" w:hAnsi="Calibri"/>
        </w:rPr>
      </w:pPr>
      <w:r w:rsidRPr="003F3018">
        <w:rPr>
          <w:rFonts w:ascii="Calibri" w:hAnsi="Calibri"/>
        </w:rPr>
        <w:t>Tablica 2. Dopuszczalne odchyłki wymiarów krawężników betonowych</w:t>
      </w:r>
    </w:p>
    <w:tbl>
      <w:tblPr>
        <w:tblW w:w="0" w:type="auto"/>
        <w:tblInd w:w="779" w:type="dxa"/>
        <w:tblLayout w:type="fixed"/>
        <w:tblCellMar>
          <w:left w:w="70" w:type="dxa"/>
          <w:right w:w="70" w:type="dxa"/>
        </w:tblCellMar>
        <w:tblLook w:val="0000"/>
      </w:tblPr>
      <w:tblGrid>
        <w:gridCol w:w="1701"/>
        <w:gridCol w:w="2190"/>
        <w:gridCol w:w="1921"/>
      </w:tblGrid>
      <w:tr w:rsidR="00C56AA0" w:rsidRPr="003F3018" w:rsidTr="00AE2508">
        <w:tc>
          <w:tcPr>
            <w:tcW w:w="1701" w:type="dxa"/>
            <w:tcBorders>
              <w:top w:val="single" w:sz="6" w:space="0" w:color="auto"/>
              <w:left w:val="single" w:sz="6" w:space="0" w:color="auto"/>
            </w:tcBorders>
          </w:tcPr>
          <w:p w:rsidR="00C56AA0" w:rsidRPr="003F3018" w:rsidRDefault="00C56AA0" w:rsidP="00C56AA0">
            <w:pPr>
              <w:jc w:val="center"/>
              <w:rPr>
                <w:rFonts w:ascii="Calibri" w:hAnsi="Calibri"/>
                <w:b/>
                <w:sz w:val="18"/>
                <w:szCs w:val="18"/>
              </w:rPr>
            </w:pPr>
            <w:r w:rsidRPr="003F3018">
              <w:rPr>
                <w:rFonts w:ascii="Calibri" w:hAnsi="Calibri"/>
                <w:b/>
                <w:sz w:val="18"/>
                <w:szCs w:val="18"/>
              </w:rPr>
              <w:t>Rodzaj</w:t>
            </w:r>
          </w:p>
        </w:tc>
        <w:tc>
          <w:tcPr>
            <w:tcW w:w="4111" w:type="dxa"/>
            <w:gridSpan w:val="2"/>
            <w:tcBorders>
              <w:top w:val="single" w:sz="6" w:space="0" w:color="auto"/>
              <w:left w:val="single" w:sz="6" w:space="0" w:color="auto"/>
              <w:bottom w:val="single" w:sz="6" w:space="0" w:color="auto"/>
              <w:right w:val="single" w:sz="6" w:space="0" w:color="auto"/>
            </w:tcBorders>
          </w:tcPr>
          <w:p w:rsidR="00C56AA0" w:rsidRPr="003F3018" w:rsidRDefault="00C56AA0" w:rsidP="00C56AA0">
            <w:pPr>
              <w:jc w:val="center"/>
              <w:rPr>
                <w:rFonts w:ascii="Calibri" w:hAnsi="Calibri"/>
                <w:b/>
                <w:sz w:val="18"/>
                <w:szCs w:val="18"/>
              </w:rPr>
            </w:pPr>
            <w:r w:rsidRPr="003F3018">
              <w:rPr>
                <w:rFonts w:ascii="Calibri" w:hAnsi="Calibri"/>
                <w:b/>
                <w:sz w:val="18"/>
                <w:szCs w:val="18"/>
              </w:rPr>
              <w:t>Dopuszczalna odchyłka, mm</w:t>
            </w:r>
          </w:p>
        </w:tc>
      </w:tr>
      <w:tr w:rsidR="00C56AA0" w:rsidRPr="003F3018" w:rsidTr="00AE2508">
        <w:tc>
          <w:tcPr>
            <w:tcW w:w="1701" w:type="dxa"/>
            <w:tcBorders>
              <w:left w:val="single" w:sz="6" w:space="0" w:color="auto"/>
              <w:bottom w:val="double" w:sz="6" w:space="0" w:color="auto"/>
            </w:tcBorders>
          </w:tcPr>
          <w:p w:rsidR="00C56AA0" w:rsidRPr="003F3018" w:rsidRDefault="00C56AA0" w:rsidP="00C56AA0">
            <w:pPr>
              <w:jc w:val="center"/>
              <w:rPr>
                <w:rFonts w:ascii="Calibri" w:hAnsi="Calibri"/>
                <w:b/>
                <w:sz w:val="18"/>
                <w:szCs w:val="18"/>
              </w:rPr>
            </w:pPr>
            <w:r w:rsidRPr="003F3018">
              <w:rPr>
                <w:rFonts w:ascii="Calibri" w:hAnsi="Calibri"/>
                <w:b/>
                <w:sz w:val="18"/>
                <w:szCs w:val="18"/>
              </w:rPr>
              <w:t>wymiaru</w:t>
            </w:r>
          </w:p>
        </w:tc>
        <w:tc>
          <w:tcPr>
            <w:tcW w:w="2190" w:type="dxa"/>
            <w:tcBorders>
              <w:top w:val="single" w:sz="6" w:space="0" w:color="auto"/>
              <w:left w:val="single" w:sz="6" w:space="0" w:color="auto"/>
              <w:bottom w:val="double" w:sz="6" w:space="0" w:color="auto"/>
              <w:right w:val="single" w:sz="6" w:space="0" w:color="auto"/>
            </w:tcBorders>
          </w:tcPr>
          <w:p w:rsidR="00C56AA0" w:rsidRPr="003F3018" w:rsidRDefault="00C56AA0" w:rsidP="00C56AA0">
            <w:pPr>
              <w:jc w:val="center"/>
              <w:rPr>
                <w:rFonts w:ascii="Calibri" w:hAnsi="Calibri"/>
                <w:b/>
                <w:sz w:val="18"/>
                <w:szCs w:val="18"/>
              </w:rPr>
            </w:pPr>
            <w:r w:rsidRPr="003F3018">
              <w:rPr>
                <w:rFonts w:ascii="Calibri" w:hAnsi="Calibri"/>
                <w:b/>
                <w:sz w:val="18"/>
                <w:szCs w:val="18"/>
              </w:rPr>
              <w:t>Gatunek 1</w:t>
            </w:r>
          </w:p>
        </w:tc>
        <w:tc>
          <w:tcPr>
            <w:tcW w:w="1921" w:type="dxa"/>
            <w:tcBorders>
              <w:top w:val="single" w:sz="6" w:space="0" w:color="auto"/>
              <w:left w:val="single" w:sz="6" w:space="0" w:color="auto"/>
              <w:bottom w:val="double" w:sz="6" w:space="0" w:color="auto"/>
              <w:right w:val="single" w:sz="6" w:space="0" w:color="auto"/>
            </w:tcBorders>
          </w:tcPr>
          <w:p w:rsidR="00C56AA0" w:rsidRPr="003F3018" w:rsidRDefault="00C56AA0" w:rsidP="00C56AA0">
            <w:pPr>
              <w:jc w:val="center"/>
              <w:rPr>
                <w:rFonts w:ascii="Calibri" w:hAnsi="Calibri"/>
                <w:b/>
                <w:sz w:val="18"/>
                <w:szCs w:val="18"/>
              </w:rPr>
            </w:pPr>
            <w:r w:rsidRPr="003F3018">
              <w:rPr>
                <w:rFonts w:ascii="Calibri" w:hAnsi="Calibri"/>
                <w:b/>
                <w:sz w:val="18"/>
                <w:szCs w:val="18"/>
              </w:rPr>
              <w:t>Gatunek 2</w:t>
            </w:r>
          </w:p>
        </w:tc>
      </w:tr>
      <w:tr w:rsidR="00C56AA0" w:rsidRPr="003F3018" w:rsidTr="00AE2508">
        <w:tc>
          <w:tcPr>
            <w:tcW w:w="1701" w:type="dxa"/>
            <w:tcBorders>
              <w:left w:val="single" w:sz="6" w:space="0" w:color="auto"/>
              <w:bottom w:val="single" w:sz="6" w:space="0" w:color="auto"/>
              <w:right w:val="single" w:sz="6" w:space="0" w:color="auto"/>
            </w:tcBorders>
          </w:tcPr>
          <w:p w:rsidR="00C56AA0" w:rsidRPr="003F3018" w:rsidRDefault="00C56AA0" w:rsidP="00C56AA0">
            <w:pPr>
              <w:jc w:val="center"/>
              <w:rPr>
                <w:rFonts w:ascii="Calibri" w:hAnsi="Calibri"/>
                <w:sz w:val="18"/>
                <w:szCs w:val="18"/>
              </w:rPr>
            </w:pPr>
            <w:r w:rsidRPr="003F3018">
              <w:rPr>
                <w:rFonts w:ascii="Calibri" w:hAnsi="Calibri"/>
                <w:sz w:val="18"/>
                <w:szCs w:val="18"/>
              </w:rPr>
              <w:t>l</w:t>
            </w:r>
          </w:p>
        </w:tc>
        <w:tc>
          <w:tcPr>
            <w:tcW w:w="2190" w:type="dxa"/>
            <w:tcBorders>
              <w:left w:val="single" w:sz="6" w:space="0" w:color="auto"/>
              <w:bottom w:val="single" w:sz="6" w:space="0" w:color="auto"/>
              <w:right w:val="single" w:sz="6" w:space="0" w:color="auto"/>
            </w:tcBorders>
          </w:tcPr>
          <w:p w:rsidR="00C56AA0" w:rsidRPr="003F3018" w:rsidRDefault="00C56AA0" w:rsidP="00C56AA0">
            <w:pPr>
              <w:jc w:val="center"/>
              <w:rPr>
                <w:rFonts w:ascii="Calibri" w:hAnsi="Calibri"/>
                <w:sz w:val="18"/>
                <w:szCs w:val="18"/>
              </w:rPr>
            </w:pPr>
            <w:r w:rsidRPr="003F3018">
              <w:rPr>
                <w:rFonts w:ascii="Calibri" w:hAnsi="Calibri"/>
                <w:sz w:val="18"/>
                <w:szCs w:val="18"/>
              </w:rPr>
              <w:sym w:font="Symbol" w:char="F0B1"/>
            </w:r>
            <w:r w:rsidRPr="003F3018">
              <w:rPr>
                <w:rFonts w:ascii="Calibri" w:hAnsi="Calibri"/>
                <w:sz w:val="18"/>
                <w:szCs w:val="18"/>
              </w:rPr>
              <w:t xml:space="preserve"> 8</w:t>
            </w:r>
          </w:p>
        </w:tc>
        <w:tc>
          <w:tcPr>
            <w:tcW w:w="1921" w:type="dxa"/>
            <w:tcBorders>
              <w:left w:val="single" w:sz="6" w:space="0" w:color="auto"/>
              <w:bottom w:val="single" w:sz="6" w:space="0" w:color="auto"/>
              <w:right w:val="single" w:sz="6" w:space="0" w:color="auto"/>
            </w:tcBorders>
          </w:tcPr>
          <w:p w:rsidR="00C56AA0" w:rsidRPr="003F3018" w:rsidRDefault="00C56AA0" w:rsidP="00C56AA0">
            <w:pPr>
              <w:jc w:val="center"/>
              <w:rPr>
                <w:rFonts w:ascii="Calibri" w:hAnsi="Calibri"/>
                <w:sz w:val="18"/>
                <w:szCs w:val="18"/>
              </w:rPr>
            </w:pPr>
            <w:r w:rsidRPr="003F3018">
              <w:rPr>
                <w:rFonts w:ascii="Calibri" w:hAnsi="Calibri"/>
                <w:sz w:val="18"/>
                <w:szCs w:val="18"/>
              </w:rPr>
              <w:sym w:font="Symbol" w:char="F0B1"/>
            </w:r>
            <w:r w:rsidRPr="003F3018">
              <w:rPr>
                <w:rFonts w:ascii="Calibri" w:hAnsi="Calibri"/>
                <w:sz w:val="18"/>
                <w:szCs w:val="18"/>
              </w:rPr>
              <w:t xml:space="preserve"> 12</w:t>
            </w:r>
          </w:p>
        </w:tc>
      </w:tr>
      <w:tr w:rsidR="00C56AA0" w:rsidRPr="003F3018" w:rsidTr="00AE2508">
        <w:tc>
          <w:tcPr>
            <w:tcW w:w="1701" w:type="dxa"/>
            <w:tcBorders>
              <w:top w:val="single" w:sz="6" w:space="0" w:color="auto"/>
              <w:left w:val="single" w:sz="6" w:space="0" w:color="auto"/>
              <w:bottom w:val="single" w:sz="6" w:space="0" w:color="auto"/>
              <w:right w:val="single" w:sz="6" w:space="0" w:color="auto"/>
            </w:tcBorders>
          </w:tcPr>
          <w:p w:rsidR="00C56AA0" w:rsidRPr="003F3018" w:rsidRDefault="00C56AA0" w:rsidP="00C56AA0">
            <w:pPr>
              <w:jc w:val="center"/>
              <w:rPr>
                <w:rFonts w:ascii="Calibri" w:hAnsi="Calibri"/>
                <w:sz w:val="18"/>
                <w:szCs w:val="18"/>
              </w:rPr>
            </w:pPr>
            <w:r w:rsidRPr="003F3018">
              <w:rPr>
                <w:rFonts w:ascii="Calibri" w:hAnsi="Calibri"/>
                <w:sz w:val="18"/>
                <w:szCs w:val="18"/>
              </w:rPr>
              <w:t>b,   h</w:t>
            </w:r>
          </w:p>
        </w:tc>
        <w:tc>
          <w:tcPr>
            <w:tcW w:w="2190" w:type="dxa"/>
            <w:tcBorders>
              <w:top w:val="single" w:sz="6" w:space="0" w:color="auto"/>
              <w:left w:val="single" w:sz="6" w:space="0" w:color="auto"/>
              <w:bottom w:val="single" w:sz="6" w:space="0" w:color="auto"/>
              <w:right w:val="single" w:sz="6" w:space="0" w:color="auto"/>
            </w:tcBorders>
          </w:tcPr>
          <w:p w:rsidR="00C56AA0" w:rsidRPr="003F3018" w:rsidRDefault="00C56AA0" w:rsidP="00C56AA0">
            <w:pPr>
              <w:jc w:val="center"/>
              <w:rPr>
                <w:rFonts w:ascii="Calibri" w:hAnsi="Calibri"/>
                <w:sz w:val="18"/>
                <w:szCs w:val="18"/>
              </w:rPr>
            </w:pPr>
            <w:r w:rsidRPr="003F3018">
              <w:rPr>
                <w:rFonts w:ascii="Calibri" w:hAnsi="Calibri"/>
                <w:sz w:val="18"/>
                <w:szCs w:val="18"/>
              </w:rPr>
              <w:sym w:font="Symbol" w:char="F0B1"/>
            </w:r>
            <w:r w:rsidRPr="003F3018">
              <w:rPr>
                <w:rFonts w:ascii="Calibri" w:hAnsi="Calibri"/>
                <w:sz w:val="18"/>
                <w:szCs w:val="18"/>
              </w:rPr>
              <w:t xml:space="preserve"> 3</w:t>
            </w:r>
          </w:p>
        </w:tc>
        <w:tc>
          <w:tcPr>
            <w:tcW w:w="1921" w:type="dxa"/>
            <w:tcBorders>
              <w:top w:val="single" w:sz="6" w:space="0" w:color="auto"/>
              <w:left w:val="single" w:sz="6" w:space="0" w:color="auto"/>
              <w:bottom w:val="single" w:sz="6" w:space="0" w:color="auto"/>
              <w:right w:val="single" w:sz="6" w:space="0" w:color="auto"/>
            </w:tcBorders>
          </w:tcPr>
          <w:p w:rsidR="00C56AA0" w:rsidRPr="003F3018" w:rsidRDefault="00C56AA0" w:rsidP="00C56AA0">
            <w:pPr>
              <w:jc w:val="center"/>
              <w:rPr>
                <w:rFonts w:ascii="Calibri" w:hAnsi="Calibri"/>
                <w:sz w:val="18"/>
                <w:szCs w:val="18"/>
              </w:rPr>
            </w:pPr>
            <w:r w:rsidRPr="003F3018">
              <w:rPr>
                <w:rFonts w:ascii="Calibri" w:hAnsi="Calibri"/>
                <w:sz w:val="18"/>
                <w:szCs w:val="18"/>
              </w:rPr>
              <w:sym w:font="Symbol" w:char="F0B1"/>
            </w:r>
            <w:r w:rsidRPr="003F3018">
              <w:rPr>
                <w:rFonts w:ascii="Calibri" w:hAnsi="Calibri"/>
                <w:sz w:val="18"/>
                <w:szCs w:val="18"/>
              </w:rPr>
              <w:t xml:space="preserve"> 3</w:t>
            </w:r>
          </w:p>
        </w:tc>
      </w:tr>
    </w:tbl>
    <w:p w:rsidR="00C56AA0" w:rsidRPr="003F3018" w:rsidRDefault="00C56AA0" w:rsidP="00C56AA0">
      <w:pPr>
        <w:rPr>
          <w:rFonts w:ascii="Calibri" w:hAnsi="Calibri"/>
          <w:b/>
        </w:rPr>
      </w:pPr>
    </w:p>
    <w:p w:rsidR="00C56AA0" w:rsidRPr="003F3018" w:rsidRDefault="00C56AA0" w:rsidP="00C56AA0">
      <w:pPr>
        <w:rPr>
          <w:rFonts w:ascii="Calibri" w:hAnsi="Calibri"/>
        </w:rPr>
      </w:pPr>
      <w:r w:rsidRPr="003F3018">
        <w:rPr>
          <w:rFonts w:ascii="Calibri" w:hAnsi="Calibri"/>
          <w:b/>
        </w:rPr>
        <w:t>2.4.2.</w:t>
      </w:r>
      <w:r w:rsidRPr="003F3018">
        <w:rPr>
          <w:rFonts w:ascii="Calibri" w:hAnsi="Calibri"/>
        </w:rPr>
        <w:t xml:space="preserve"> Dopuszczalne wady i uszkodzenia</w:t>
      </w:r>
    </w:p>
    <w:p w:rsidR="00C56AA0" w:rsidRPr="003F3018" w:rsidRDefault="00C56AA0" w:rsidP="00C56AA0">
      <w:pPr>
        <w:rPr>
          <w:rFonts w:ascii="Calibri" w:hAnsi="Calibri"/>
        </w:rPr>
      </w:pPr>
      <w:r w:rsidRPr="003F3018">
        <w:rPr>
          <w:rFonts w:ascii="Calibri" w:hAnsi="Calibri"/>
        </w:rPr>
        <w:tab/>
        <w:t>Powierzchnie krawężników betonowych powinny być bez rys, pęknięć i ubytków betonu, o fakturze z formy lub zatartej. Krawędzie elementów powinny być równe i proste.</w:t>
      </w:r>
    </w:p>
    <w:p w:rsidR="00C56AA0" w:rsidRPr="003F3018" w:rsidRDefault="00C56AA0" w:rsidP="00C56AA0">
      <w:pPr>
        <w:rPr>
          <w:rFonts w:ascii="Calibri" w:hAnsi="Calibri"/>
        </w:rPr>
      </w:pPr>
      <w:r w:rsidRPr="003F3018">
        <w:rPr>
          <w:rFonts w:ascii="Calibri" w:hAnsi="Calibri"/>
        </w:rPr>
        <w:tab/>
        <w:t>Dopuszczalne wady oraz uszkodzenia powierzchni i krawędzi elementów, zgodnie z BN-80/6775-03/01, nie powinny przekraczać wartości podanych w tablicy 3.</w:t>
      </w:r>
    </w:p>
    <w:p w:rsidR="000C27BF" w:rsidRDefault="000C27BF" w:rsidP="00AE2508">
      <w:pPr>
        <w:ind w:left="709"/>
        <w:rPr>
          <w:rFonts w:ascii="Calibri" w:hAnsi="Calibri"/>
        </w:rPr>
      </w:pPr>
    </w:p>
    <w:p w:rsidR="00C56AA0" w:rsidRPr="003F3018" w:rsidRDefault="00C56AA0" w:rsidP="00AE2508">
      <w:pPr>
        <w:ind w:left="709"/>
        <w:rPr>
          <w:rFonts w:ascii="Calibri" w:hAnsi="Calibri"/>
        </w:rPr>
      </w:pPr>
      <w:r w:rsidRPr="003F3018">
        <w:rPr>
          <w:rFonts w:ascii="Calibri" w:hAnsi="Calibri"/>
        </w:rPr>
        <w:t>Tablica 3. Dopuszczalne wady i uszkodzenia krawężników betonowych</w:t>
      </w:r>
    </w:p>
    <w:tbl>
      <w:tblPr>
        <w:tblW w:w="7511" w:type="dxa"/>
        <w:jc w:val="center"/>
        <w:tblInd w:w="70" w:type="dxa"/>
        <w:tblLayout w:type="fixed"/>
        <w:tblCellMar>
          <w:left w:w="70" w:type="dxa"/>
          <w:right w:w="70" w:type="dxa"/>
        </w:tblCellMar>
        <w:tblLook w:val="0000"/>
      </w:tblPr>
      <w:tblGrid>
        <w:gridCol w:w="2055"/>
        <w:gridCol w:w="3260"/>
        <w:gridCol w:w="1098"/>
        <w:gridCol w:w="1098"/>
      </w:tblGrid>
      <w:tr w:rsidR="00C56AA0" w:rsidRPr="003F3018" w:rsidTr="00FD47C7">
        <w:trPr>
          <w:jc w:val="center"/>
        </w:trPr>
        <w:tc>
          <w:tcPr>
            <w:tcW w:w="5315" w:type="dxa"/>
            <w:gridSpan w:val="2"/>
            <w:tcBorders>
              <w:top w:val="single" w:sz="6" w:space="0" w:color="auto"/>
              <w:left w:val="single" w:sz="6" w:space="0" w:color="auto"/>
            </w:tcBorders>
          </w:tcPr>
          <w:p w:rsidR="00C56AA0" w:rsidRPr="003F3018" w:rsidRDefault="00C56AA0" w:rsidP="00C56AA0">
            <w:pPr>
              <w:jc w:val="center"/>
              <w:rPr>
                <w:rFonts w:ascii="Calibri" w:hAnsi="Calibri"/>
                <w:b/>
                <w:sz w:val="18"/>
                <w:szCs w:val="18"/>
              </w:rPr>
            </w:pPr>
          </w:p>
          <w:p w:rsidR="00C56AA0" w:rsidRPr="003F3018" w:rsidRDefault="00C56AA0" w:rsidP="00C56AA0">
            <w:pPr>
              <w:jc w:val="center"/>
              <w:rPr>
                <w:rFonts w:ascii="Calibri" w:hAnsi="Calibri"/>
                <w:b/>
                <w:sz w:val="18"/>
                <w:szCs w:val="18"/>
              </w:rPr>
            </w:pPr>
            <w:r w:rsidRPr="003F3018">
              <w:rPr>
                <w:rFonts w:ascii="Calibri" w:hAnsi="Calibri"/>
                <w:b/>
                <w:sz w:val="18"/>
                <w:szCs w:val="18"/>
              </w:rPr>
              <w:t>Rodzaj wad i uszkodzeń</w:t>
            </w:r>
          </w:p>
        </w:tc>
        <w:tc>
          <w:tcPr>
            <w:tcW w:w="2196" w:type="dxa"/>
            <w:gridSpan w:val="2"/>
            <w:tcBorders>
              <w:top w:val="single" w:sz="6" w:space="0" w:color="auto"/>
              <w:left w:val="single" w:sz="6" w:space="0" w:color="auto"/>
              <w:bottom w:val="single" w:sz="6" w:space="0" w:color="auto"/>
              <w:right w:val="single" w:sz="6" w:space="0" w:color="auto"/>
            </w:tcBorders>
          </w:tcPr>
          <w:p w:rsidR="00C56AA0" w:rsidRPr="003F3018" w:rsidRDefault="00C56AA0" w:rsidP="00C56AA0">
            <w:pPr>
              <w:jc w:val="center"/>
              <w:rPr>
                <w:rFonts w:ascii="Calibri" w:hAnsi="Calibri"/>
                <w:b/>
                <w:sz w:val="18"/>
                <w:szCs w:val="18"/>
              </w:rPr>
            </w:pPr>
            <w:r w:rsidRPr="003F3018">
              <w:rPr>
                <w:rFonts w:ascii="Calibri" w:hAnsi="Calibri"/>
                <w:b/>
                <w:sz w:val="18"/>
                <w:szCs w:val="18"/>
              </w:rPr>
              <w:t>Dopuszczalna wielkość wad i uszkodzeń</w:t>
            </w:r>
          </w:p>
        </w:tc>
      </w:tr>
      <w:tr w:rsidR="00C56AA0" w:rsidRPr="003F3018" w:rsidTr="00FD47C7">
        <w:trPr>
          <w:jc w:val="center"/>
        </w:trPr>
        <w:tc>
          <w:tcPr>
            <w:tcW w:w="5315" w:type="dxa"/>
            <w:gridSpan w:val="2"/>
            <w:tcBorders>
              <w:left w:val="single" w:sz="6" w:space="0" w:color="auto"/>
              <w:bottom w:val="double" w:sz="6" w:space="0" w:color="auto"/>
            </w:tcBorders>
          </w:tcPr>
          <w:p w:rsidR="00C56AA0" w:rsidRPr="003F3018" w:rsidRDefault="00C56AA0" w:rsidP="00C56AA0">
            <w:pPr>
              <w:jc w:val="center"/>
              <w:rPr>
                <w:rFonts w:ascii="Calibri" w:hAnsi="Calibri"/>
                <w:b/>
                <w:sz w:val="18"/>
                <w:szCs w:val="18"/>
              </w:rPr>
            </w:pPr>
          </w:p>
        </w:tc>
        <w:tc>
          <w:tcPr>
            <w:tcW w:w="1098" w:type="dxa"/>
            <w:tcBorders>
              <w:top w:val="single" w:sz="6" w:space="0" w:color="auto"/>
              <w:left w:val="single" w:sz="6" w:space="0" w:color="auto"/>
              <w:bottom w:val="double" w:sz="6" w:space="0" w:color="auto"/>
              <w:right w:val="single" w:sz="6" w:space="0" w:color="auto"/>
            </w:tcBorders>
          </w:tcPr>
          <w:p w:rsidR="00C56AA0" w:rsidRPr="003F3018" w:rsidRDefault="00C56AA0" w:rsidP="00C56AA0">
            <w:pPr>
              <w:jc w:val="center"/>
              <w:rPr>
                <w:rFonts w:ascii="Calibri" w:hAnsi="Calibri"/>
                <w:b/>
                <w:sz w:val="18"/>
                <w:szCs w:val="18"/>
              </w:rPr>
            </w:pPr>
            <w:r w:rsidRPr="003F3018">
              <w:rPr>
                <w:rFonts w:ascii="Calibri" w:hAnsi="Calibri"/>
                <w:b/>
                <w:sz w:val="18"/>
                <w:szCs w:val="18"/>
              </w:rPr>
              <w:t>Gatunek 1</w:t>
            </w:r>
          </w:p>
          <w:p w:rsidR="00C56AA0" w:rsidRPr="003F3018" w:rsidRDefault="00C56AA0" w:rsidP="00C56AA0">
            <w:pPr>
              <w:jc w:val="center"/>
              <w:rPr>
                <w:rFonts w:ascii="Calibri" w:hAnsi="Calibri"/>
                <w:b/>
                <w:sz w:val="18"/>
                <w:szCs w:val="18"/>
              </w:rPr>
            </w:pPr>
          </w:p>
        </w:tc>
        <w:tc>
          <w:tcPr>
            <w:tcW w:w="1098" w:type="dxa"/>
            <w:tcBorders>
              <w:top w:val="single" w:sz="6" w:space="0" w:color="auto"/>
              <w:left w:val="single" w:sz="6" w:space="0" w:color="auto"/>
              <w:bottom w:val="double" w:sz="6" w:space="0" w:color="auto"/>
              <w:right w:val="single" w:sz="6" w:space="0" w:color="auto"/>
            </w:tcBorders>
          </w:tcPr>
          <w:p w:rsidR="00C56AA0" w:rsidRPr="003F3018" w:rsidRDefault="00C56AA0" w:rsidP="00C56AA0">
            <w:pPr>
              <w:jc w:val="center"/>
              <w:rPr>
                <w:rFonts w:ascii="Calibri" w:hAnsi="Calibri"/>
                <w:b/>
                <w:sz w:val="18"/>
                <w:szCs w:val="18"/>
              </w:rPr>
            </w:pPr>
            <w:r w:rsidRPr="003F3018">
              <w:rPr>
                <w:rFonts w:ascii="Calibri" w:hAnsi="Calibri"/>
                <w:b/>
                <w:sz w:val="18"/>
                <w:szCs w:val="18"/>
              </w:rPr>
              <w:t>Gatunek 2</w:t>
            </w:r>
          </w:p>
        </w:tc>
      </w:tr>
      <w:tr w:rsidR="00C56AA0" w:rsidRPr="003F3018" w:rsidTr="00FD47C7">
        <w:trPr>
          <w:jc w:val="center"/>
        </w:trPr>
        <w:tc>
          <w:tcPr>
            <w:tcW w:w="5315" w:type="dxa"/>
            <w:gridSpan w:val="2"/>
            <w:tcBorders>
              <w:left w:val="single" w:sz="6" w:space="0" w:color="auto"/>
            </w:tcBorders>
          </w:tcPr>
          <w:p w:rsidR="00C56AA0" w:rsidRPr="003F3018" w:rsidRDefault="00C56AA0" w:rsidP="00C56AA0">
            <w:pPr>
              <w:jc w:val="center"/>
              <w:rPr>
                <w:rFonts w:ascii="Calibri" w:hAnsi="Calibri"/>
                <w:sz w:val="18"/>
                <w:szCs w:val="18"/>
              </w:rPr>
            </w:pPr>
            <w:r w:rsidRPr="003F3018">
              <w:rPr>
                <w:rFonts w:ascii="Calibri" w:hAnsi="Calibri"/>
                <w:sz w:val="18"/>
                <w:szCs w:val="18"/>
              </w:rPr>
              <w:t>Wklęsłość lub wypukłość powierzchni krawężników w mm</w:t>
            </w:r>
          </w:p>
          <w:p w:rsidR="00C56AA0" w:rsidRPr="003F3018" w:rsidRDefault="00C56AA0" w:rsidP="00C56AA0">
            <w:pPr>
              <w:jc w:val="center"/>
              <w:rPr>
                <w:rFonts w:ascii="Calibri" w:hAnsi="Calibri"/>
                <w:sz w:val="18"/>
                <w:szCs w:val="18"/>
              </w:rPr>
            </w:pPr>
          </w:p>
        </w:tc>
        <w:tc>
          <w:tcPr>
            <w:tcW w:w="1098" w:type="dxa"/>
            <w:tcBorders>
              <w:left w:val="single" w:sz="6" w:space="0" w:color="auto"/>
              <w:bottom w:val="single" w:sz="6" w:space="0" w:color="auto"/>
              <w:right w:val="single" w:sz="6" w:space="0" w:color="auto"/>
            </w:tcBorders>
          </w:tcPr>
          <w:p w:rsidR="00C56AA0" w:rsidRPr="003F3018" w:rsidRDefault="00C56AA0" w:rsidP="00C56AA0">
            <w:pPr>
              <w:jc w:val="center"/>
              <w:rPr>
                <w:rFonts w:ascii="Calibri" w:hAnsi="Calibri"/>
                <w:sz w:val="18"/>
                <w:szCs w:val="18"/>
              </w:rPr>
            </w:pPr>
            <w:r w:rsidRPr="003F3018">
              <w:rPr>
                <w:rFonts w:ascii="Calibri" w:hAnsi="Calibri"/>
                <w:sz w:val="18"/>
                <w:szCs w:val="18"/>
              </w:rPr>
              <w:t>2</w:t>
            </w:r>
          </w:p>
        </w:tc>
        <w:tc>
          <w:tcPr>
            <w:tcW w:w="1098" w:type="dxa"/>
            <w:tcBorders>
              <w:left w:val="single" w:sz="6" w:space="0" w:color="auto"/>
              <w:bottom w:val="single" w:sz="6" w:space="0" w:color="auto"/>
              <w:right w:val="single" w:sz="6" w:space="0" w:color="auto"/>
            </w:tcBorders>
          </w:tcPr>
          <w:p w:rsidR="00C56AA0" w:rsidRPr="003F3018" w:rsidRDefault="00C56AA0" w:rsidP="00C56AA0">
            <w:pPr>
              <w:jc w:val="center"/>
              <w:rPr>
                <w:rFonts w:ascii="Calibri" w:hAnsi="Calibri"/>
                <w:sz w:val="18"/>
                <w:szCs w:val="18"/>
              </w:rPr>
            </w:pPr>
            <w:r w:rsidRPr="003F3018">
              <w:rPr>
                <w:rFonts w:ascii="Calibri" w:hAnsi="Calibri"/>
                <w:sz w:val="18"/>
                <w:szCs w:val="18"/>
              </w:rPr>
              <w:t>3</w:t>
            </w:r>
          </w:p>
        </w:tc>
      </w:tr>
      <w:tr w:rsidR="00C56AA0" w:rsidRPr="003F3018" w:rsidTr="00FD47C7">
        <w:trPr>
          <w:jc w:val="center"/>
        </w:trPr>
        <w:tc>
          <w:tcPr>
            <w:tcW w:w="2055" w:type="dxa"/>
            <w:tcBorders>
              <w:top w:val="single" w:sz="6" w:space="0" w:color="auto"/>
              <w:left w:val="single" w:sz="6" w:space="0" w:color="auto"/>
            </w:tcBorders>
          </w:tcPr>
          <w:p w:rsidR="00C56AA0" w:rsidRPr="003F3018" w:rsidRDefault="00C56AA0" w:rsidP="00C56AA0">
            <w:pPr>
              <w:jc w:val="center"/>
              <w:rPr>
                <w:rFonts w:ascii="Calibri" w:hAnsi="Calibri"/>
                <w:sz w:val="18"/>
                <w:szCs w:val="18"/>
              </w:rPr>
            </w:pPr>
            <w:r w:rsidRPr="003F3018">
              <w:rPr>
                <w:rFonts w:ascii="Calibri" w:hAnsi="Calibri"/>
                <w:sz w:val="18"/>
                <w:szCs w:val="18"/>
              </w:rPr>
              <w:t>Szczerby i uszkodzenia</w:t>
            </w:r>
          </w:p>
          <w:p w:rsidR="00C56AA0" w:rsidRPr="003F3018" w:rsidRDefault="00C56AA0" w:rsidP="00C56AA0">
            <w:pPr>
              <w:jc w:val="center"/>
              <w:rPr>
                <w:rFonts w:ascii="Calibri" w:hAnsi="Calibri"/>
                <w:sz w:val="18"/>
                <w:szCs w:val="18"/>
              </w:rPr>
            </w:pPr>
            <w:r w:rsidRPr="003F3018">
              <w:rPr>
                <w:rFonts w:ascii="Calibri" w:hAnsi="Calibri"/>
                <w:sz w:val="18"/>
                <w:szCs w:val="18"/>
              </w:rPr>
              <w:t>krawędzi i naroży</w:t>
            </w:r>
          </w:p>
        </w:tc>
        <w:tc>
          <w:tcPr>
            <w:tcW w:w="3260" w:type="dxa"/>
            <w:tcBorders>
              <w:top w:val="single" w:sz="6" w:space="0" w:color="auto"/>
              <w:left w:val="single" w:sz="6" w:space="0" w:color="auto"/>
              <w:bottom w:val="single" w:sz="6" w:space="0" w:color="auto"/>
              <w:right w:val="single" w:sz="6" w:space="0" w:color="auto"/>
            </w:tcBorders>
          </w:tcPr>
          <w:p w:rsidR="00C56AA0" w:rsidRPr="003F3018" w:rsidRDefault="00C56AA0" w:rsidP="00C56AA0">
            <w:pPr>
              <w:jc w:val="center"/>
              <w:rPr>
                <w:rFonts w:ascii="Calibri" w:hAnsi="Calibri"/>
                <w:sz w:val="18"/>
                <w:szCs w:val="18"/>
              </w:rPr>
            </w:pPr>
            <w:r w:rsidRPr="003F3018">
              <w:rPr>
                <w:rFonts w:ascii="Calibri" w:hAnsi="Calibri"/>
                <w:sz w:val="18"/>
                <w:szCs w:val="18"/>
              </w:rPr>
              <w:t>ograniczających powierzchnie górne (ścieralne),   mm</w:t>
            </w:r>
          </w:p>
        </w:tc>
        <w:tc>
          <w:tcPr>
            <w:tcW w:w="2196" w:type="dxa"/>
            <w:gridSpan w:val="2"/>
            <w:tcBorders>
              <w:top w:val="single" w:sz="6" w:space="0" w:color="auto"/>
              <w:left w:val="single" w:sz="6" w:space="0" w:color="auto"/>
              <w:bottom w:val="single" w:sz="6" w:space="0" w:color="auto"/>
              <w:right w:val="single" w:sz="6" w:space="0" w:color="auto"/>
            </w:tcBorders>
          </w:tcPr>
          <w:p w:rsidR="00C56AA0" w:rsidRPr="003F3018" w:rsidRDefault="00C56AA0" w:rsidP="00C56AA0">
            <w:pPr>
              <w:jc w:val="center"/>
              <w:rPr>
                <w:rFonts w:ascii="Calibri" w:hAnsi="Calibri"/>
                <w:sz w:val="18"/>
                <w:szCs w:val="18"/>
              </w:rPr>
            </w:pPr>
            <w:r w:rsidRPr="003F3018">
              <w:rPr>
                <w:rFonts w:ascii="Calibri" w:hAnsi="Calibri"/>
                <w:sz w:val="18"/>
                <w:szCs w:val="18"/>
              </w:rPr>
              <w:t>niedopuszczalne</w:t>
            </w:r>
          </w:p>
        </w:tc>
      </w:tr>
      <w:tr w:rsidR="00C56AA0" w:rsidRPr="003F3018" w:rsidTr="00FD47C7">
        <w:trPr>
          <w:jc w:val="center"/>
        </w:trPr>
        <w:tc>
          <w:tcPr>
            <w:tcW w:w="2055" w:type="dxa"/>
            <w:tcBorders>
              <w:left w:val="single" w:sz="6" w:space="0" w:color="auto"/>
            </w:tcBorders>
          </w:tcPr>
          <w:p w:rsidR="00C56AA0" w:rsidRPr="003F3018" w:rsidRDefault="00C56AA0" w:rsidP="00C56AA0">
            <w:pPr>
              <w:jc w:val="center"/>
              <w:rPr>
                <w:rFonts w:ascii="Calibri" w:hAnsi="Calibri"/>
                <w:sz w:val="18"/>
                <w:szCs w:val="18"/>
              </w:rPr>
            </w:pPr>
          </w:p>
        </w:tc>
        <w:tc>
          <w:tcPr>
            <w:tcW w:w="3260" w:type="dxa"/>
            <w:tcBorders>
              <w:top w:val="single" w:sz="6" w:space="0" w:color="auto"/>
              <w:left w:val="single" w:sz="6" w:space="0" w:color="auto"/>
              <w:right w:val="single" w:sz="6" w:space="0" w:color="auto"/>
            </w:tcBorders>
          </w:tcPr>
          <w:p w:rsidR="00C56AA0" w:rsidRPr="003F3018" w:rsidRDefault="00C56AA0" w:rsidP="00C56AA0">
            <w:pPr>
              <w:jc w:val="center"/>
              <w:rPr>
                <w:rFonts w:ascii="Calibri" w:hAnsi="Calibri"/>
                <w:sz w:val="18"/>
                <w:szCs w:val="18"/>
              </w:rPr>
            </w:pPr>
            <w:r w:rsidRPr="003F3018">
              <w:rPr>
                <w:rFonts w:ascii="Calibri" w:hAnsi="Calibri"/>
                <w:sz w:val="18"/>
                <w:szCs w:val="18"/>
              </w:rPr>
              <w:t>ograniczających pozostałe</w:t>
            </w:r>
          </w:p>
          <w:p w:rsidR="00C56AA0" w:rsidRPr="003F3018" w:rsidRDefault="00C56AA0" w:rsidP="00C56AA0">
            <w:pPr>
              <w:jc w:val="center"/>
              <w:rPr>
                <w:rFonts w:ascii="Calibri" w:hAnsi="Calibri"/>
                <w:sz w:val="18"/>
                <w:szCs w:val="18"/>
              </w:rPr>
            </w:pPr>
            <w:r w:rsidRPr="003F3018">
              <w:rPr>
                <w:rFonts w:ascii="Calibri" w:hAnsi="Calibri"/>
                <w:sz w:val="18"/>
                <w:szCs w:val="18"/>
              </w:rPr>
              <w:t>powierzchnie:</w:t>
            </w:r>
          </w:p>
        </w:tc>
        <w:tc>
          <w:tcPr>
            <w:tcW w:w="1098" w:type="dxa"/>
            <w:tcBorders>
              <w:top w:val="single" w:sz="6" w:space="0" w:color="auto"/>
              <w:left w:val="single" w:sz="6" w:space="0" w:color="auto"/>
              <w:right w:val="single" w:sz="6" w:space="0" w:color="auto"/>
            </w:tcBorders>
          </w:tcPr>
          <w:p w:rsidR="00C56AA0" w:rsidRPr="003F3018" w:rsidRDefault="00C56AA0" w:rsidP="00C56AA0">
            <w:pPr>
              <w:jc w:val="center"/>
              <w:rPr>
                <w:rFonts w:ascii="Calibri" w:hAnsi="Calibri"/>
                <w:sz w:val="18"/>
                <w:szCs w:val="18"/>
              </w:rPr>
            </w:pPr>
          </w:p>
        </w:tc>
        <w:tc>
          <w:tcPr>
            <w:tcW w:w="1098" w:type="dxa"/>
            <w:tcBorders>
              <w:top w:val="single" w:sz="6" w:space="0" w:color="auto"/>
              <w:left w:val="single" w:sz="6" w:space="0" w:color="auto"/>
              <w:right w:val="single" w:sz="6" w:space="0" w:color="auto"/>
            </w:tcBorders>
          </w:tcPr>
          <w:p w:rsidR="00C56AA0" w:rsidRPr="003F3018" w:rsidRDefault="00C56AA0" w:rsidP="00C56AA0">
            <w:pPr>
              <w:jc w:val="center"/>
              <w:rPr>
                <w:rFonts w:ascii="Calibri" w:hAnsi="Calibri"/>
                <w:sz w:val="18"/>
                <w:szCs w:val="18"/>
              </w:rPr>
            </w:pPr>
          </w:p>
        </w:tc>
      </w:tr>
      <w:tr w:rsidR="00C56AA0" w:rsidRPr="003F3018" w:rsidTr="00FD47C7">
        <w:trPr>
          <w:jc w:val="center"/>
        </w:trPr>
        <w:tc>
          <w:tcPr>
            <w:tcW w:w="2055" w:type="dxa"/>
            <w:tcBorders>
              <w:left w:val="single" w:sz="6" w:space="0" w:color="auto"/>
            </w:tcBorders>
          </w:tcPr>
          <w:p w:rsidR="00C56AA0" w:rsidRPr="003F3018" w:rsidRDefault="00C56AA0" w:rsidP="00C56AA0">
            <w:pPr>
              <w:jc w:val="center"/>
              <w:rPr>
                <w:rFonts w:ascii="Calibri" w:hAnsi="Calibri"/>
                <w:sz w:val="18"/>
                <w:szCs w:val="18"/>
              </w:rPr>
            </w:pPr>
          </w:p>
        </w:tc>
        <w:tc>
          <w:tcPr>
            <w:tcW w:w="3260" w:type="dxa"/>
            <w:tcBorders>
              <w:left w:val="single" w:sz="6" w:space="0" w:color="auto"/>
              <w:bottom w:val="single" w:sz="6" w:space="0" w:color="auto"/>
              <w:right w:val="single" w:sz="6" w:space="0" w:color="auto"/>
            </w:tcBorders>
          </w:tcPr>
          <w:p w:rsidR="00C56AA0" w:rsidRPr="003F3018" w:rsidRDefault="00C56AA0" w:rsidP="00C56AA0">
            <w:pPr>
              <w:jc w:val="center"/>
              <w:rPr>
                <w:rFonts w:ascii="Calibri" w:hAnsi="Calibri"/>
                <w:sz w:val="18"/>
                <w:szCs w:val="18"/>
              </w:rPr>
            </w:pPr>
            <w:r w:rsidRPr="003F3018">
              <w:rPr>
                <w:rFonts w:ascii="Calibri" w:hAnsi="Calibri"/>
                <w:sz w:val="18"/>
                <w:szCs w:val="18"/>
              </w:rPr>
              <w:t>- liczba max</w:t>
            </w:r>
          </w:p>
        </w:tc>
        <w:tc>
          <w:tcPr>
            <w:tcW w:w="1098" w:type="dxa"/>
            <w:tcBorders>
              <w:left w:val="single" w:sz="6" w:space="0" w:color="auto"/>
              <w:bottom w:val="single" w:sz="6" w:space="0" w:color="auto"/>
              <w:right w:val="single" w:sz="6" w:space="0" w:color="auto"/>
            </w:tcBorders>
          </w:tcPr>
          <w:p w:rsidR="00C56AA0" w:rsidRPr="003F3018" w:rsidRDefault="00C56AA0" w:rsidP="00C56AA0">
            <w:pPr>
              <w:jc w:val="center"/>
              <w:rPr>
                <w:rFonts w:ascii="Calibri" w:hAnsi="Calibri"/>
                <w:sz w:val="18"/>
                <w:szCs w:val="18"/>
              </w:rPr>
            </w:pPr>
            <w:r w:rsidRPr="003F3018">
              <w:rPr>
                <w:rFonts w:ascii="Calibri" w:hAnsi="Calibri"/>
                <w:sz w:val="18"/>
                <w:szCs w:val="18"/>
              </w:rPr>
              <w:t>2</w:t>
            </w:r>
          </w:p>
        </w:tc>
        <w:tc>
          <w:tcPr>
            <w:tcW w:w="1098" w:type="dxa"/>
            <w:tcBorders>
              <w:left w:val="single" w:sz="6" w:space="0" w:color="auto"/>
              <w:bottom w:val="single" w:sz="6" w:space="0" w:color="auto"/>
              <w:right w:val="single" w:sz="6" w:space="0" w:color="auto"/>
            </w:tcBorders>
          </w:tcPr>
          <w:p w:rsidR="00C56AA0" w:rsidRPr="003F3018" w:rsidRDefault="00C56AA0" w:rsidP="00C56AA0">
            <w:pPr>
              <w:jc w:val="center"/>
              <w:rPr>
                <w:rFonts w:ascii="Calibri" w:hAnsi="Calibri"/>
                <w:sz w:val="18"/>
                <w:szCs w:val="18"/>
              </w:rPr>
            </w:pPr>
            <w:r w:rsidRPr="003F3018">
              <w:rPr>
                <w:rFonts w:ascii="Calibri" w:hAnsi="Calibri"/>
                <w:sz w:val="18"/>
                <w:szCs w:val="18"/>
              </w:rPr>
              <w:t>2</w:t>
            </w:r>
          </w:p>
        </w:tc>
      </w:tr>
      <w:tr w:rsidR="00C56AA0" w:rsidRPr="003F3018" w:rsidTr="00FD47C7">
        <w:trPr>
          <w:jc w:val="center"/>
        </w:trPr>
        <w:tc>
          <w:tcPr>
            <w:tcW w:w="2055" w:type="dxa"/>
            <w:tcBorders>
              <w:left w:val="single" w:sz="6" w:space="0" w:color="auto"/>
            </w:tcBorders>
          </w:tcPr>
          <w:p w:rsidR="00C56AA0" w:rsidRPr="003F3018" w:rsidRDefault="00C56AA0" w:rsidP="00C56AA0">
            <w:pPr>
              <w:jc w:val="center"/>
              <w:rPr>
                <w:rFonts w:ascii="Calibri" w:hAnsi="Calibri"/>
                <w:sz w:val="18"/>
                <w:szCs w:val="18"/>
              </w:rPr>
            </w:pPr>
          </w:p>
        </w:tc>
        <w:tc>
          <w:tcPr>
            <w:tcW w:w="3260" w:type="dxa"/>
            <w:tcBorders>
              <w:top w:val="single" w:sz="6" w:space="0" w:color="auto"/>
              <w:left w:val="single" w:sz="6" w:space="0" w:color="auto"/>
              <w:bottom w:val="single" w:sz="6" w:space="0" w:color="auto"/>
              <w:right w:val="single" w:sz="6" w:space="0" w:color="auto"/>
            </w:tcBorders>
          </w:tcPr>
          <w:p w:rsidR="00C56AA0" w:rsidRPr="003F3018" w:rsidRDefault="00C56AA0" w:rsidP="00C56AA0">
            <w:pPr>
              <w:jc w:val="center"/>
              <w:rPr>
                <w:rFonts w:ascii="Calibri" w:hAnsi="Calibri"/>
                <w:sz w:val="18"/>
                <w:szCs w:val="18"/>
              </w:rPr>
            </w:pPr>
            <w:r w:rsidRPr="003F3018">
              <w:rPr>
                <w:rFonts w:ascii="Calibri" w:hAnsi="Calibri"/>
                <w:sz w:val="18"/>
                <w:szCs w:val="18"/>
              </w:rPr>
              <w:t>- długość, mm, max</w:t>
            </w:r>
          </w:p>
          <w:p w:rsidR="00C56AA0" w:rsidRPr="003F3018" w:rsidRDefault="00C56AA0" w:rsidP="00C56AA0">
            <w:pPr>
              <w:jc w:val="center"/>
              <w:rPr>
                <w:rFonts w:ascii="Calibri" w:hAnsi="Calibri"/>
                <w:sz w:val="18"/>
                <w:szCs w:val="18"/>
              </w:rPr>
            </w:pPr>
          </w:p>
        </w:tc>
        <w:tc>
          <w:tcPr>
            <w:tcW w:w="1098" w:type="dxa"/>
            <w:tcBorders>
              <w:top w:val="single" w:sz="6" w:space="0" w:color="auto"/>
              <w:left w:val="single" w:sz="6" w:space="0" w:color="auto"/>
              <w:bottom w:val="single" w:sz="6" w:space="0" w:color="auto"/>
              <w:right w:val="single" w:sz="6" w:space="0" w:color="auto"/>
            </w:tcBorders>
          </w:tcPr>
          <w:p w:rsidR="00C56AA0" w:rsidRPr="003F3018" w:rsidRDefault="00C56AA0" w:rsidP="00C56AA0">
            <w:pPr>
              <w:jc w:val="center"/>
              <w:rPr>
                <w:rFonts w:ascii="Calibri" w:hAnsi="Calibri"/>
                <w:sz w:val="18"/>
                <w:szCs w:val="18"/>
              </w:rPr>
            </w:pPr>
            <w:r w:rsidRPr="003F3018">
              <w:rPr>
                <w:rFonts w:ascii="Calibri" w:hAnsi="Calibri"/>
                <w:sz w:val="18"/>
                <w:szCs w:val="18"/>
              </w:rPr>
              <w:t>20</w:t>
            </w:r>
          </w:p>
        </w:tc>
        <w:tc>
          <w:tcPr>
            <w:tcW w:w="1098" w:type="dxa"/>
            <w:tcBorders>
              <w:top w:val="single" w:sz="6" w:space="0" w:color="auto"/>
              <w:left w:val="single" w:sz="6" w:space="0" w:color="auto"/>
              <w:bottom w:val="single" w:sz="6" w:space="0" w:color="auto"/>
              <w:right w:val="single" w:sz="6" w:space="0" w:color="auto"/>
            </w:tcBorders>
          </w:tcPr>
          <w:p w:rsidR="00C56AA0" w:rsidRPr="003F3018" w:rsidRDefault="00C56AA0" w:rsidP="00C56AA0">
            <w:pPr>
              <w:jc w:val="center"/>
              <w:rPr>
                <w:rFonts w:ascii="Calibri" w:hAnsi="Calibri"/>
                <w:sz w:val="18"/>
                <w:szCs w:val="18"/>
              </w:rPr>
            </w:pPr>
            <w:r w:rsidRPr="003F3018">
              <w:rPr>
                <w:rFonts w:ascii="Calibri" w:hAnsi="Calibri"/>
                <w:sz w:val="18"/>
                <w:szCs w:val="18"/>
              </w:rPr>
              <w:t>40</w:t>
            </w:r>
          </w:p>
        </w:tc>
      </w:tr>
      <w:tr w:rsidR="00C56AA0" w:rsidRPr="003F3018" w:rsidTr="00FD47C7">
        <w:trPr>
          <w:jc w:val="center"/>
        </w:trPr>
        <w:tc>
          <w:tcPr>
            <w:tcW w:w="2055" w:type="dxa"/>
            <w:tcBorders>
              <w:left w:val="single" w:sz="6" w:space="0" w:color="auto"/>
              <w:bottom w:val="single" w:sz="6" w:space="0" w:color="auto"/>
            </w:tcBorders>
          </w:tcPr>
          <w:p w:rsidR="00C56AA0" w:rsidRPr="003F3018" w:rsidRDefault="00C56AA0" w:rsidP="00C56AA0">
            <w:pPr>
              <w:jc w:val="center"/>
              <w:rPr>
                <w:rFonts w:ascii="Calibri" w:hAnsi="Calibri"/>
                <w:sz w:val="18"/>
                <w:szCs w:val="18"/>
              </w:rPr>
            </w:pPr>
          </w:p>
        </w:tc>
        <w:tc>
          <w:tcPr>
            <w:tcW w:w="3260" w:type="dxa"/>
            <w:tcBorders>
              <w:top w:val="single" w:sz="6" w:space="0" w:color="auto"/>
              <w:left w:val="single" w:sz="6" w:space="0" w:color="auto"/>
              <w:bottom w:val="single" w:sz="6" w:space="0" w:color="auto"/>
              <w:right w:val="single" w:sz="6" w:space="0" w:color="auto"/>
            </w:tcBorders>
          </w:tcPr>
          <w:p w:rsidR="00C56AA0" w:rsidRPr="003F3018" w:rsidRDefault="00C56AA0" w:rsidP="00C56AA0">
            <w:pPr>
              <w:jc w:val="center"/>
              <w:rPr>
                <w:rFonts w:ascii="Calibri" w:hAnsi="Calibri"/>
                <w:sz w:val="18"/>
                <w:szCs w:val="18"/>
              </w:rPr>
            </w:pPr>
            <w:r w:rsidRPr="003F3018">
              <w:rPr>
                <w:rFonts w:ascii="Calibri" w:hAnsi="Calibri"/>
                <w:sz w:val="18"/>
                <w:szCs w:val="18"/>
              </w:rPr>
              <w:t>- głębokość, mm, max</w:t>
            </w:r>
          </w:p>
          <w:p w:rsidR="00C56AA0" w:rsidRPr="003F3018" w:rsidRDefault="00C56AA0" w:rsidP="00C56AA0">
            <w:pPr>
              <w:jc w:val="center"/>
              <w:rPr>
                <w:rFonts w:ascii="Calibri" w:hAnsi="Calibri"/>
                <w:sz w:val="18"/>
                <w:szCs w:val="18"/>
              </w:rPr>
            </w:pPr>
          </w:p>
        </w:tc>
        <w:tc>
          <w:tcPr>
            <w:tcW w:w="1098" w:type="dxa"/>
            <w:tcBorders>
              <w:top w:val="single" w:sz="6" w:space="0" w:color="auto"/>
              <w:left w:val="single" w:sz="6" w:space="0" w:color="auto"/>
              <w:bottom w:val="single" w:sz="6" w:space="0" w:color="auto"/>
              <w:right w:val="single" w:sz="6" w:space="0" w:color="auto"/>
            </w:tcBorders>
          </w:tcPr>
          <w:p w:rsidR="00C56AA0" w:rsidRPr="003F3018" w:rsidRDefault="00C56AA0" w:rsidP="00C56AA0">
            <w:pPr>
              <w:jc w:val="center"/>
              <w:rPr>
                <w:rFonts w:ascii="Calibri" w:hAnsi="Calibri"/>
                <w:sz w:val="18"/>
                <w:szCs w:val="18"/>
              </w:rPr>
            </w:pPr>
            <w:r w:rsidRPr="003F3018">
              <w:rPr>
                <w:rFonts w:ascii="Calibri" w:hAnsi="Calibri"/>
                <w:sz w:val="18"/>
                <w:szCs w:val="18"/>
              </w:rPr>
              <w:t>6</w:t>
            </w:r>
          </w:p>
        </w:tc>
        <w:tc>
          <w:tcPr>
            <w:tcW w:w="1098" w:type="dxa"/>
            <w:tcBorders>
              <w:top w:val="single" w:sz="6" w:space="0" w:color="auto"/>
              <w:left w:val="single" w:sz="6" w:space="0" w:color="auto"/>
              <w:bottom w:val="single" w:sz="6" w:space="0" w:color="auto"/>
              <w:right w:val="single" w:sz="6" w:space="0" w:color="auto"/>
            </w:tcBorders>
          </w:tcPr>
          <w:p w:rsidR="00C56AA0" w:rsidRPr="003F3018" w:rsidRDefault="00C56AA0" w:rsidP="00C56AA0">
            <w:pPr>
              <w:jc w:val="center"/>
              <w:rPr>
                <w:rFonts w:ascii="Calibri" w:hAnsi="Calibri"/>
                <w:sz w:val="18"/>
                <w:szCs w:val="18"/>
              </w:rPr>
            </w:pPr>
            <w:r w:rsidRPr="003F3018">
              <w:rPr>
                <w:rFonts w:ascii="Calibri" w:hAnsi="Calibri"/>
                <w:sz w:val="18"/>
                <w:szCs w:val="18"/>
              </w:rPr>
              <w:t>10</w:t>
            </w:r>
          </w:p>
        </w:tc>
      </w:tr>
    </w:tbl>
    <w:p w:rsidR="00C56AA0" w:rsidRPr="003F3018" w:rsidRDefault="00C56AA0" w:rsidP="00C56AA0">
      <w:pPr>
        <w:rPr>
          <w:rFonts w:ascii="Calibri" w:hAnsi="Calibri"/>
          <w:b/>
        </w:rPr>
      </w:pPr>
    </w:p>
    <w:p w:rsidR="00C56AA0" w:rsidRPr="003F3018" w:rsidRDefault="00C56AA0" w:rsidP="00C56AA0">
      <w:pPr>
        <w:rPr>
          <w:rFonts w:ascii="Calibri" w:hAnsi="Calibri"/>
        </w:rPr>
      </w:pPr>
      <w:r w:rsidRPr="003F3018">
        <w:rPr>
          <w:rFonts w:ascii="Calibri" w:hAnsi="Calibri"/>
          <w:b/>
        </w:rPr>
        <w:t xml:space="preserve">2.4.3. </w:t>
      </w:r>
      <w:r w:rsidRPr="003F3018">
        <w:rPr>
          <w:rFonts w:ascii="Calibri" w:hAnsi="Calibri"/>
        </w:rPr>
        <w:t>Wymagania techniczne wobec krawężników</w:t>
      </w:r>
    </w:p>
    <w:p w:rsidR="00C56AA0" w:rsidRPr="003F3018" w:rsidRDefault="00C56AA0" w:rsidP="00C56AA0">
      <w:pPr>
        <w:rPr>
          <w:rFonts w:ascii="Calibri" w:hAnsi="Calibri"/>
        </w:rPr>
      </w:pPr>
      <w:r w:rsidRPr="003F3018">
        <w:rPr>
          <w:rFonts w:ascii="Calibri" w:hAnsi="Calibri"/>
        </w:rPr>
        <w:tab/>
        <w:t>Wymagania techniczne stawiane krawężnikom betonowym określa PN-EN 1340 w sposób przedstawiony w tablicy 4.</w:t>
      </w:r>
    </w:p>
    <w:p w:rsidR="00C56AA0" w:rsidRPr="003F3018" w:rsidRDefault="00C56AA0" w:rsidP="00C56AA0">
      <w:pPr>
        <w:rPr>
          <w:rFonts w:ascii="Calibri" w:hAnsi="Calibri"/>
        </w:rPr>
      </w:pPr>
    </w:p>
    <w:p w:rsidR="00C56AA0" w:rsidRPr="003F3018" w:rsidRDefault="00C56AA0" w:rsidP="00AE2508">
      <w:pPr>
        <w:ind w:left="709"/>
        <w:rPr>
          <w:rFonts w:ascii="Calibri" w:hAnsi="Calibri"/>
        </w:rPr>
      </w:pPr>
      <w:r w:rsidRPr="003F3018">
        <w:rPr>
          <w:rFonts w:ascii="Calibri" w:hAnsi="Calibri"/>
        </w:rPr>
        <w:t>Tablica 4. Wymagania wobec krawężnika betonowego, ustalone w PN-EN 1340 do stosowania w warunkach kontaktu z solą odladzającą w warunkach mrozu</w:t>
      </w:r>
    </w:p>
    <w:tbl>
      <w:tblPr>
        <w:tblW w:w="8046" w:type="dxa"/>
        <w:tblInd w:w="81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tblPr>
      <w:tblGrid>
        <w:gridCol w:w="534"/>
        <w:gridCol w:w="2126"/>
        <w:gridCol w:w="1134"/>
        <w:gridCol w:w="850"/>
        <w:gridCol w:w="1276"/>
        <w:gridCol w:w="2126"/>
      </w:tblGrid>
      <w:tr w:rsidR="00C56AA0" w:rsidRPr="003F3018" w:rsidTr="00AE2508">
        <w:tc>
          <w:tcPr>
            <w:tcW w:w="534" w:type="dxa"/>
            <w:tcBorders>
              <w:bottom w:val="double" w:sz="4" w:space="0" w:color="auto"/>
            </w:tcBorders>
          </w:tcPr>
          <w:p w:rsidR="00C56AA0" w:rsidRDefault="00C56AA0" w:rsidP="00C77850">
            <w:pPr>
              <w:spacing w:before="60" w:after="60"/>
              <w:jc w:val="center"/>
              <w:rPr>
                <w:rFonts w:ascii="Calibri" w:hAnsi="Calibri"/>
                <w:b/>
                <w:sz w:val="18"/>
                <w:szCs w:val="18"/>
              </w:rPr>
            </w:pPr>
            <w:r w:rsidRPr="003F3018">
              <w:rPr>
                <w:rFonts w:ascii="Calibri" w:hAnsi="Calibri"/>
                <w:b/>
                <w:sz w:val="18"/>
                <w:szCs w:val="18"/>
              </w:rPr>
              <w:t>Lp.</w:t>
            </w:r>
          </w:p>
          <w:p w:rsidR="00C77850" w:rsidRPr="003F3018" w:rsidRDefault="00C77850" w:rsidP="00C77850">
            <w:pPr>
              <w:spacing w:before="60" w:after="60"/>
              <w:jc w:val="center"/>
              <w:rPr>
                <w:rFonts w:ascii="Calibri" w:hAnsi="Calibri"/>
                <w:b/>
                <w:sz w:val="18"/>
                <w:szCs w:val="18"/>
              </w:rPr>
            </w:pPr>
          </w:p>
        </w:tc>
        <w:tc>
          <w:tcPr>
            <w:tcW w:w="2126" w:type="dxa"/>
            <w:tcBorders>
              <w:bottom w:val="double" w:sz="4" w:space="0" w:color="auto"/>
            </w:tcBorders>
          </w:tcPr>
          <w:p w:rsidR="00C56AA0" w:rsidRPr="003F3018" w:rsidRDefault="00C56AA0" w:rsidP="00C77850">
            <w:pPr>
              <w:spacing w:before="60" w:after="60"/>
              <w:jc w:val="center"/>
              <w:rPr>
                <w:rFonts w:ascii="Calibri" w:hAnsi="Calibri"/>
                <w:b/>
                <w:sz w:val="18"/>
                <w:szCs w:val="18"/>
              </w:rPr>
            </w:pPr>
            <w:r w:rsidRPr="003F3018">
              <w:rPr>
                <w:rFonts w:ascii="Calibri" w:hAnsi="Calibri"/>
                <w:b/>
                <w:sz w:val="18"/>
                <w:szCs w:val="18"/>
              </w:rPr>
              <w:t>Cecha</w:t>
            </w:r>
          </w:p>
        </w:tc>
        <w:tc>
          <w:tcPr>
            <w:tcW w:w="1134" w:type="dxa"/>
            <w:tcBorders>
              <w:bottom w:val="double" w:sz="4" w:space="0" w:color="auto"/>
            </w:tcBorders>
          </w:tcPr>
          <w:p w:rsidR="00C56AA0" w:rsidRPr="003F3018" w:rsidRDefault="00C56AA0" w:rsidP="00C77850">
            <w:pPr>
              <w:spacing w:before="60" w:after="60"/>
              <w:jc w:val="center"/>
              <w:rPr>
                <w:rFonts w:ascii="Calibri" w:hAnsi="Calibri"/>
                <w:b/>
                <w:sz w:val="18"/>
                <w:szCs w:val="18"/>
              </w:rPr>
            </w:pPr>
            <w:r w:rsidRPr="003F3018">
              <w:rPr>
                <w:rFonts w:ascii="Calibri" w:hAnsi="Calibri"/>
                <w:b/>
                <w:sz w:val="18"/>
                <w:szCs w:val="18"/>
              </w:rPr>
              <w:t>Załącznik</w:t>
            </w:r>
          </w:p>
        </w:tc>
        <w:tc>
          <w:tcPr>
            <w:tcW w:w="4252" w:type="dxa"/>
            <w:gridSpan w:val="3"/>
            <w:tcBorders>
              <w:bottom w:val="double" w:sz="4" w:space="0" w:color="auto"/>
            </w:tcBorders>
          </w:tcPr>
          <w:p w:rsidR="00C56AA0" w:rsidRPr="003F3018" w:rsidRDefault="00C56AA0" w:rsidP="00C77850">
            <w:pPr>
              <w:spacing w:before="60" w:after="60"/>
              <w:jc w:val="center"/>
              <w:rPr>
                <w:rFonts w:ascii="Calibri" w:hAnsi="Calibri"/>
                <w:b/>
                <w:sz w:val="18"/>
                <w:szCs w:val="18"/>
              </w:rPr>
            </w:pPr>
            <w:r w:rsidRPr="003F3018">
              <w:rPr>
                <w:rFonts w:ascii="Calibri" w:hAnsi="Calibri"/>
                <w:b/>
                <w:sz w:val="18"/>
                <w:szCs w:val="18"/>
              </w:rPr>
              <w:t>Wymagania</w:t>
            </w:r>
          </w:p>
        </w:tc>
      </w:tr>
      <w:tr w:rsidR="00C56AA0" w:rsidRPr="003F3018" w:rsidTr="00AE2508">
        <w:tc>
          <w:tcPr>
            <w:tcW w:w="534" w:type="dxa"/>
          </w:tcPr>
          <w:p w:rsidR="00C77850" w:rsidRDefault="00C77850" w:rsidP="00C77850">
            <w:pPr>
              <w:jc w:val="left"/>
              <w:rPr>
                <w:rFonts w:ascii="Calibri" w:hAnsi="Calibri"/>
                <w:sz w:val="18"/>
                <w:szCs w:val="18"/>
              </w:rPr>
            </w:pPr>
          </w:p>
          <w:p w:rsidR="00C56AA0" w:rsidRPr="003F3018" w:rsidRDefault="00C56AA0" w:rsidP="00C77850">
            <w:pPr>
              <w:jc w:val="left"/>
              <w:rPr>
                <w:rFonts w:ascii="Calibri" w:hAnsi="Calibri"/>
                <w:sz w:val="18"/>
                <w:szCs w:val="18"/>
              </w:rPr>
            </w:pPr>
            <w:r w:rsidRPr="003F3018">
              <w:rPr>
                <w:rFonts w:ascii="Calibri" w:hAnsi="Calibri"/>
                <w:sz w:val="18"/>
                <w:szCs w:val="18"/>
              </w:rPr>
              <w:t>1</w:t>
            </w:r>
          </w:p>
        </w:tc>
        <w:tc>
          <w:tcPr>
            <w:tcW w:w="7512" w:type="dxa"/>
            <w:gridSpan w:val="5"/>
          </w:tcPr>
          <w:p w:rsidR="00C77850" w:rsidRDefault="00C77850" w:rsidP="00C77850">
            <w:pPr>
              <w:jc w:val="left"/>
              <w:rPr>
                <w:rFonts w:ascii="Calibri" w:hAnsi="Calibri"/>
                <w:sz w:val="18"/>
                <w:szCs w:val="18"/>
              </w:rPr>
            </w:pPr>
          </w:p>
          <w:p w:rsidR="00C56AA0" w:rsidRPr="003F3018" w:rsidRDefault="00C56AA0" w:rsidP="00C77850">
            <w:pPr>
              <w:jc w:val="left"/>
              <w:rPr>
                <w:rFonts w:ascii="Calibri" w:hAnsi="Calibri"/>
                <w:sz w:val="18"/>
                <w:szCs w:val="18"/>
              </w:rPr>
            </w:pPr>
            <w:r w:rsidRPr="003F3018">
              <w:rPr>
                <w:rFonts w:ascii="Calibri" w:hAnsi="Calibri"/>
                <w:sz w:val="18"/>
                <w:szCs w:val="18"/>
              </w:rPr>
              <w:t>Kształt i wymiary</w:t>
            </w:r>
          </w:p>
          <w:p w:rsidR="00C56AA0" w:rsidRPr="003F3018" w:rsidRDefault="00C56AA0" w:rsidP="00C77850">
            <w:pPr>
              <w:jc w:val="left"/>
              <w:rPr>
                <w:rFonts w:ascii="Calibri" w:hAnsi="Calibri"/>
                <w:sz w:val="18"/>
                <w:szCs w:val="18"/>
              </w:rPr>
            </w:pPr>
          </w:p>
        </w:tc>
      </w:tr>
      <w:tr w:rsidR="00C56AA0" w:rsidRPr="003F3018" w:rsidTr="00AE2508">
        <w:tc>
          <w:tcPr>
            <w:tcW w:w="534" w:type="dxa"/>
          </w:tcPr>
          <w:p w:rsidR="00C56AA0" w:rsidRPr="003F3018" w:rsidRDefault="00C56AA0" w:rsidP="00C77850">
            <w:pPr>
              <w:jc w:val="left"/>
              <w:rPr>
                <w:rFonts w:ascii="Calibri" w:hAnsi="Calibri"/>
                <w:sz w:val="18"/>
                <w:szCs w:val="18"/>
              </w:rPr>
            </w:pPr>
            <w:r w:rsidRPr="003F3018">
              <w:rPr>
                <w:rFonts w:ascii="Calibri" w:hAnsi="Calibri"/>
                <w:sz w:val="18"/>
                <w:szCs w:val="18"/>
              </w:rPr>
              <w:t>1.1</w:t>
            </w:r>
          </w:p>
        </w:tc>
        <w:tc>
          <w:tcPr>
            <w:tcW w:w="2126" w:type="dxa"/>
          </w:tcPr>
          <w:p w:rsidR="00C56AA0" w:rsidRDefault="00C56AA0" w:rsidP="00C77850">
            <w:pPr>
              <w:jc w:val="left"/>
              <w:rPr>
                <w:rFonts w:ascii="Calibri" w:hAnsi="Calibri"/>
                <w:sz w:val="18"/>
                <w:szCs w:val="18"/>
              </w:rPr>
            </w:pPr>
            <w:r>
              <w:rPr>
                <w:rFonts w:ascii="Calibri" w:hAnsi="Calibri"/>
                <w:sz w:val="18"/>
                <w:szCs w:val="18"/>
              </w:rPr>
              <w:t>Wartości dopuszczalnych odchyłek od wymiarów nomi</w:t>
            </w:r>
            <w:r w:rsidRPr="003F3018">
              <w:rPr>
                <w:rFonts w:ascii="Calibri" w:hAnsi="Calibri"/>
                <w:sz w:val="18"/>
                <w:szCs w:val="18"/>
              </w:rPr>
              <w:t>nalnych, z dokładnością do milimetra</w:t>
            </w:r>
          </w:p>
          <w:p w:rsidR="00C77850" w:rsidRPr="003F3018" w:rsidRDefault="00C77850" w:rsidP="00C77850">
            <w:pPr>
              <w:jc w:val="left"/>
              <w:rPr>
                <w:rFonts w:ascii="Calibri" w:hAnsi="Calibri"/>
                <w:sz w:val="18"/>
                <w:szCs w:val="18"/>
              </w:rPr>
            </w:pPr>
          </w:p>
        </w:tc>
        <w:tc>
          <w:tcPr>
            <w:tcW w:w="1134" w:type="dxa"/>
          </w:tcPr>
          <w:p w:rsidR="00C56AA0" w:rsidRPr="003F3018" w:rsidRDefault="00C56AA0" w:rsidP="00C77850">
            <w:pPr>
              <w:jc w:val="left"/>
              <w:rPr>
                <w:rFonts w:ascii="Calibri" w:hAnsi="Calibri"/>
                <w:sz w:val="18"/>
                <w:szCs w:val="18"/>
              </w:rPr>
            </w:pPr>
            <w:r w:rsidRPr="003F3018">
              <w:rPr>
                <w:rFonts w:ascii="Calibri" w:hAnsi="Calibri"/>
                <w:sz w:val="18"/>
                <w:szCs w:val="18"/>
              </w:rPr>
              <w:t>C</w:t>
            </w:r>
          </w:p>
        </w:tc>
        <w:tc>
          <w:tcPr>
            <w:tcW w:w="4252" w:type="dxa"/>
            <w:gridSpan w:val="3"/>
          </w:tcPr>
          <w:p w:rsidR="00C56AA0" w:rsidRPr="003F3018" w:rsidRDefault="00C56AA0" w:rsidP="00C77850">
            <w:pPr>
              <w:jc w:val="left"/>
              <w:rPr>
                <w:rFonts w:ascii="Calibri" w:hAnsi="Calibri"/>
                <w:sz w:val="18"/>
                <w:szCs w:val="18"/>
              </w:rPr>
            </w:pPr>
            <w:r w:rsidRPr="003F3018">
              <w:rPr>
                <w:rFonts w:ascii="Calibri" w:hAnsi="Calibri"/>
                <w:sz w:val="18"/>
                <w:szCs w:val="18"/>
              </w:rPr>
              <w:t xml:space="preserve">Długość: ± 1%, ≥ </w:t>
            </w:r>
            <w:smartTag w:uri="urn:schemas-microsoft-com:office:smarttags" w:element="metricconverter">
              <w:smartTagPr>
                <w:attr w:name="ProductID" w:val="4 mm"/>
              </w:smartTagPr>
              <w:r w:rsidRPr="003F3018">
                <w:rPr>
                  <w:rFonts w:ascii="Calibri" w:hAnsi="Calibri"/>
                  <w:sz w:val="18"/>
                  <w:szCs w:val="18"/>
                </w:rPr>
                <w:t>4 mm</w:t>
              </w:r>
            </w:smartTag>
            <w:r w:rsidRPr="003F3018">
              <w:rPr>
                <w:rFonts w:ascii="Calibri" w:hAnsi="Calibri"/>
                <w:sz w:val="18"/>
                <w:szCs w:val="18"/>
              </w:rPr>
              <w:t xml:space="preserve"> i ≤ </w:t>
            </w:r>
            <w:smartTag w:uri="urn:schemas-microsoft-com:office:smarttags" w:element="metricconverter">
              <w:smartTagPr>
                <w:attr w:name="ProductID" w:val="10 mm"/>
              </w:smartTagPr>
              <w:r w:rsidRPr="003F3018">
                <w:rPr>
                  <w:rFonts w:ascii="Calibri" w:hAnsi="Calibri"/>
                  <w:sz w:val="18"/>
                  <w:szCs w:val="18"/>
                </w:rPr>
                <w:t>10 mm</w:t>
              </w:r>
            </w:smartTag>
          </w:p>
          <w:p w:rsidR="00C56AA0" w:rsidRPr="003F3018" w:rsidRDefault="00C56AA0" w:rsidP="00C77850">
            <w:pPr>
              <w:jc w:val="left"/>
              <w:rPr>
                <w:rFonts w:ascii="Calibri" w:hAnsi="Calibri"/>
                <w:sz w:val="18"/>
                <w:szCs w:val="18"/>
              </w:rPr>
            </w:pPr>
            <w:r w:rsidRPr="003F3018">
              <w:rPr>
                <w:rFonts w:ascii="Calibri" w:hAnsi="Calibri"/>
                <w:sz w:val="18"/>
                <w:szCs w:val="18"/>
              </w:rPr>
              <w:t>Inne wymiary z wyjątkiem promienia:</w:t>
            </w:r>
          </w:p>
          <w:p w:rsidR="00C56AA0" w:rsidRPr="003F3018" w:rsidRDefault="00C56AA0" w:rsidP="00C77850">
            <w:pPr>
              <w:jc w:val="left"/>
              <w:rPr>
                <w:rFonts w:ascii="Calibri" w:hAnsi="Calibri"/>
                <w:sz w:val="18"/>
                <w:szCs w:val="18"/>
              </w:rPr>
            </w:pPr>
            <w:r w:rsidRPr="003F3018">
              <w:rPr>
                <w:rFonts w:ascii="Calibri" w:hAnsi="Calibri"/>
                <w:sz w:val="18"/>
                <w:szCs w:val="18"/>
              </w:rPr>
              <w:t xml:space="preserve">- dla powierzchni: ± 3%, ≥ </w:t>
            </w:r>
            <w:smartTag w:uri="urn:schemas-microsoft-com:office:smarttags" w:element="metricconverter">
              <w:smartTagPr>
                <w:attr w:name="ProductID" w:val="3 mm"/>
              </w:smartTagPr>
              <w:r w:rsidRPr="003F3018">
                <w:rPr>
                  <w:rFonts w:ascii="Calibri" w:hAnsi="Calibri"/>
                  <w:sz w:val="18"/>
                  <w:szCs w:val="18"/>
                </w:rPr>
                <w:t>3 mm</w:t>
              </w:r>
            </w:smartTag>
            <w:r w:rsidRPr="003F3018">
              <w:rPr>
                <w:rFonts w:ascii="Calibri" w:hAnsi="Calibri"/>
                <w:sz w:val="18"/>
                <w:szCs w:val="18"/>
              </w:rPr>
              <w:t xml:space="preserve">, ≤ </w:t>
            </w:r>
            <w:smartTag w:uri="urn:schemas-microsoft-com:office:smarttags" w:element="metricconverter">
              <w:smartTagPr>
                <w:attr w:name="ProductID" w:val="5 mm"/>
              </w:smartTagPr>
              <w:r w:rsidRPr="003F3018">
                <w:rPr>
                  <w:rFonts w:ascii="Calibri" w:hAnsi="Calibri"/>
                  <w:sz w:val="18"/>
                  <w:szCs w:val="18"/>
                </w:rPr>
                <w:t>5 mm</w:t>
              </w:r>
            </w:smartTag>
            <w:r w:rsidRPr="003F3018">
              <w:rPr>
                <w:rFonts w:ascii="Calibri" w:hAnsi="Calibri"/>
                <w:sz w:val="18"/>
                <w:szCs w:val="18"/>
              </w:rPr>
              <w:t>,</w:t>
            </w:r>
          </w:p>
          <w:p w:rsidR="00C56AA0" w:rsidRPr="003F3018" w:rsidRDefault="00C56AA0" w:rsidP="00C77850">
            <w:pPr>
              <w:jc w:val="left"/>
              <w:rPr>
                <w:rFonts w:ascii="Calibri" w:hAnsi="Calibri"/>
                <w:sz w:val="18"/>
                <w:szCs w:val="18"/>
              </w:rPr>
            </w:pPr>
            <w:r w:rsidRPr="003F3018">
              <w:rPr>
                <w:rFonts w:ascii="Calibri" w:hAnsi="Calibri"/>
                <w:sz w:val="18"/>
                <w:szCs w:val="18"/>
              </w:rPr>
              <w:t xml:space="preserve">- dla innych części: ± 5%, ≥ </w:t>
            </w:r>
            <w:smartTag w:uri="urn:schemas-microsoft-com:office:smarttags" w:element="metricconverter">
              <w:smartTagPr>
                <w:attr w:name="ProductID" w:val="3 mm"/>
              </w:smartTagPr>
              <w:r w:rsidRPr="003F3018">
                <w:rPr>
                  <w:rFonts w:ascii="Calibri" w:hAnsi="Calibri"/>
                  <w:sz w:val="18"/>
                  <w:szCs w:val="18"/>
                </w:rPr>
                <w:t>3 mm</w:t>
              </w:r>
            </w:smartTag>
            <w:r w:rsidRPr="003F3018">
              <w:rPr>
                <w:rFonts w:ascii="Calibri" w:hAnsi="Calibri"/>
                <w:sz w:val="18"/>
                <w:szCs w:val="18"/>
              </w:rPr>
              <w:t xml:space="preserve">,  ≤ </w:t>
            </w:r>
            <w:smartTag w:uri="urn:schemas-microsoft-com:office:smarttags" w:element="metricconverter">
              <w:smartTagPr>
                <w:attr w:name="ProductID" w:val="10 mm"/>
              </w:smartTagPr>
              <w:r w:rsidRPr="003F3018">
                <w:rPr>
                  <w:rFonts w:ascii="Calibri" w:hAnsi="Calibri"/>
                  <w:sz w:val="18"/>
                  <w:szCs w:val="18"/>
                </w:rPr>
                <w:t>10 mm</w:t>
              </w:r>
            </w:smartTag>
          </w:p>
        </w:tc>
      </w:tr>
      <w:tr w:rsidR="00C56AA0" w:rsidRPr="003F3018" w:rsidTr="00AE2508">
        <w:tc>
          <w:tcPr>
            <w:tcW w:w="534" w:type="dxa"/>
          </w:tcPr>
          <w:p w:rsidR="00C56AA0" w:rsidRPr="003F3018" w:rsidRDefault="00C56AA0" w:rsidP="00C77850">
            <w:pPr>
              <w:jc w:val="left"/>
              <w:rPr>
                <w:rFonts w:ascii="Calibri" w:hAnsi="Calibri"/>
                <w:sz w:val="18"/>
                <w:szCs w:val="18"/>
              </w:rPr>
            </w:pPr>
            <w:r w:rsidRPr="003F3018">
              <w:rPr>
                <w:rFonts w:ascii="Calibri" w:hAnsi="Calibri"/>
                <w:sz w:val="18"/>
                <w:szCs w:val="18"/>
              </w:rPr>
              <w:t>1.2</w:t>
            </w:r>
          </w:p>
        </w:tc>
        <w:tc>
          <w:tcPr>
            <w:tcW w:w="2126" w:type="dxa"/>
          </w:tcPr>
          <w:p w:rsidR="00C56AA0" w:rsidRPr="003F3018" w:rsidRDefault="00C56AA0" w:rsidP="00C77850">
            <w:pPr>
              <w:jc w:val="left"/>
              <w:rPr>
                <w:rFonts w:ascii="Calibri" w:hAnsi="Calibri"/>
                <w:sz w:val="18"/>
                <w:szCs w:val="18"/>
              </w:rPr>
            </w:pPr>
            <w:r w:rsidRPr="003F3018">
              <w:rPr>
                <w:rFonts w:ascii="Calibri" w:hAnsi="Calibri"/>
                <w:sz w:val="18"/>
                <w:szCs w:val="18"/>
              </w:rPr>
              <w:t>Dopuszczalne odchyłki od płaskości i prostoliniowości, dla długości pomiarowej</w:t>
            </w:r>
          </w:p>
          <w:p w:rsidR="00C56AA0" w:rsidRPr="003F3018" w:rsidRDefault="00C56AA0" w:rsidP="00C77850">
            <w:pPr>
              <w:jc w:val="left"/>
              <w:rPr>
                <w:rFonts w:ascii="Calibri" w:hAnsi="Calibri"/>
                <w:sz w:val="18"/>
                <w:szCs w:val="18"/>
              </w:rPr>
            </w:pPr>
            <w:smartTag w:uri="urn:schemas-microsoft-com:office:smarttags" w:element="metricconverter">
              <w:smartTagPr>
                <w:attr w:name="ProductID" w:val="300 mm"/>
              </w:smartTagPr>
              <w:r w:rsidRPr="003F3018">
                <w:rPr>
                  <w:rFonts w:ascii="Calibri" w:hAnsi="Calibri"/>
                  <w:sz w:val="18"/>
                  <w:szCs w:val="18"/>
                </w:rPr>
                <w:t>300 mm</w:t>
              </w:r>
            </w:smartTag>
          </w:p>
          <w:p w:rsidR="00C56AA0" w:rsidRPr="003F3018" w:rsidRDefault="00C56AA0" w:rsidP="00C77850">
            <w:pPr>
              <w:jc w:val="left"/>
              <w:rPr>
                <w:rFonts w:ascii="Calibri" w:hAnsi="Calibri"/>
                <w:sz w:val="18"/>
                <w:szCs w:val="18"/>
              </w:rPr>
            </w:pPr>
            <w:smartTag w:uri="urn:schemas-microsoft-com:office:smarttags" w:element="metricconverter">
              <w:smartTagPr>
                <w:attr w:name="ProductID" w:val="400 mm"/>
              </w:smartTagPr>
              <w:r w:rsidRPr="003F3018">
                <w:rPr>
                  <w:rFonts w:ascii="Calibri" w:hAnsi="Calibri"/>
                  <w:sz w:val="18"/>
                  <w:szCs w:val="18"/>
                </w:rPr>
                <w:t>400 mm</w:t>
              </w:r>
            </w:smartTag>
          </w:p>
          <w:p w:rsidR="00C56AA0" w:rsidRPr="003F3018" w:rsidRDefault="00C56AA0" w:rsidP="00C77850">
            <w:pPr>
              <w:jc w:val="left"/>
              <w:rPr>
                <w:rFonts w:ascii="Calibri" w:hAnsi="Calibri"/>
                <w:sz w:val="18"/>
                <w:szCs w:val="18"/>
              </w:rPr>
            </w:pPr>
            <w:smartTag w:uri="urn:schemas-microsoft-com:office:smarttags" w:element="metricconverter">
              <w:smartTagPr>
                <w:attr w:name="ProductID" w:val="500 mm"/>
              </w:smartTagPr>
              <w:r w:rsidRPr="003F3018">
                <w:rPr>
                  <w:rFonts w:ascii="Calibri" w:hAnsi="Calibri"/>
                  <w:sz w:val="18"/>
                  <w:szCs w:val="18"/>
                </w:rPr>
                <w:t>500 mm</w:t>
              </w:r>
            </w:smartTag>
          </w:p>
          <w:p w:rsidR="00C56AA0" w:rsidRDefault="00C56AA0" w:rsidP="00C77850">
            <w:pPr>
              <w:jc w:val="left"/>
              <w:rPr>
                <w:rFonts w:ascii="Calibri" w:hAnsi="Calibri"/>
                <w:sz w:val="18"/>
                <w:szCs w:val="18"/>
              </w:rPr>
            </w:pPr>
            <w:smartTag w:uri="urn:schemas-microsoft-com:office:smarttags" w:element="metricconverter">
              <w:smartTagPr>
                <w:attr w:name="ProductID" w:val="800 mm"/>
              </w:smartTagPr>
              <w:r w:rsidRPr="003F3018">
                <w:rPr>
                  <w:rFonts w:ascii="Calibri" w:hAnsi="Calibri"/>
                  <w:sz w:val="18"/>
                  <w:szCs w:val="18"/>
                </w:rPr>
                <w:t>800 mm</w:t>
              </w:r>
            </w:smartTag>
          </w:p>
          <w:p w:rsidR="00C77850" w:rsidRPr="003F3018" w:rsidRDefault="00C77850" w:rsidP="00C77850">
            <w:pPr>
              <w:jc w:val="left"/>
              <w:rPr>
                <w:rFonts w:ascii="Calibri" w:hAnsi="Calibri"/>
                <w:sz w:val="18"/>
                <w:szCs w:val="18"/>
              </w:rPr>
            </w:pPr>
          </w:p>
        </w:tc>
        <w:tc>
          <w:tcPr>
            <w:tcW w:w="1134" w:type="dxa"/>
          </w:tcPr>
          <w:p w:rsidR="00C56AA0" w:rsidRPr="003F3018" w:rsidRDefault="00C56AA0" w:rsidP="00C77850">
            <w:pPr>
              <w:jc w:val="left"/>
              <w:rPr>
                <w:rFonts w:ascii="Calibri" w:hAnsi="Calibri"/>
                <w:sz w:val="18"/>
                <w:szCs w:val="18"/>
              </w:rPr>
            </w:pPr>
            <w:r w:rsidRPr="003F3018">
              <w:rPr>
                <w:rFonts w:ascii="Calibri" w:hAnsi="Calibri"/>
                <w:sz w:val="18"/>
                <w:szCs w:val="18"/>
              </w:rPr>
              <w:t>C</w:t>
            </w:r>
          </w:p>
        </w:tc>
        <w:tc>
          <w:tcPr>
            <w:tcW w:w="4252" w:type="dxa"/>
            <w:gridSpan w:val="3"/>
          </w:tcPr>
          <w:p w:rsidR="00C56AA0" w:rsidRPr="003F3018" w:rsidRDefault="00C56AA0" w:rsidP="00C77850">
            <w:pPr>
              <w:jc w:val="left"/>
              <w:rPr>
                <w:rFonts w:ascii="Calibri" w:hAnsi="Calibri"/>
                <w:sz w:val="18"/>
                <w:szCs w:val="18"/>
              </w:rPr>
            </w:pPr>
          </w:p>
          <w:p w:rsidR="00C56AA0" w:rsidRPr="003F3018" w:rsidRDefault="00C56AA0" w:rsidP="00C77850">
            <w:pPr>
              <w:jc w:val="left"/>
              <w:rPr>
                <w:rFonts w:ascii="Calibri" w:hAnsi="Calibri"/>
                <w:sz w:val="18"/>
                <w:szCs w:val="18"/>
              </w:rPr>
            </w:pPr>
          </w:p>
          <w:p w:rsidR="00C56AA0" w:rsidRDefault="00C56AA0" w:rsidP="00C77850">
            <w:pPr>
              <w:jc w:val="left"/>
              <w:rPr>
                <w:rFonts w:ascii="Calibri" w:hAnsi="Calibri"/>
                <w:sz w:val="18"/>
                <w:szCs w:val="18"/>
              </w:rPr>
            </w:pPr>
          </w:p>
          <w:p w:rsidR="00C56AA0" w:rsidRPr="003F3018" w:rsidRDefault="00C56AA0" w:rsidP="00C77850">
            <w:pPr>
              <w:jc w:val="left"/>
              <w:rPr>
                <w:rFonts w:ascii="Calibri" w:hAnsi="Calibri"/>
                <w:sz w:val="18"/>
                <w:szCs w:val="18"/>
              </w:rPr>
            </w:pPr>
          </w:p>
          <w:p w:rsidR="00C56AA0" w:rsidRPr="003F3018" w:rsidRDefault="00C56AA0" w:rsidP="00C77850">
            <w:pPr>
              <w:jc w:val="left"/>
              <w:rPr>
                <w:rFonts w:ascii="Calibri" w:hAnsi="Calibri"/>
                <w:sz w:val="18"/>
                <w:szCs w:val="18"/>
              </w:rPr>
            </w:pPr>
            <w:r w:rsidRPr="003F3018">
              <w:rPr>
                <w:rFonts w:ascii="Calibri" w:hAnsi="Calibri"/>
                <w:sz w:val="18"/>
                <w:szCs w:val="18"/>
              </w:rPr>
              <w:t xml:space="preserve">± </w:t>
            </w:r>
            <w:smartTag w:uri="urn:schemas-microsoft-com:office:smarttags" w:element="metricconverter">
              <w:smartTagPr>
                <w:attr w:name="ProductID" w:val="1,5 mm"/>
              </w:smartTagPr>
              <w:r w:rsidRPr="003F3018">
                <w:rPr>
                  <w:rFonts w:ascii="Calibri" w:hAnsi="Calibri"/>
                  <w:sz w:val="18"/>
                  <w:szCs w:val="18"/>
                </w:rPr>
                <w:t>1,5 mm</w:t>
              </w:r>
            </w:smartTag>
          </w:p>
          <w:p w:rsidR="00C56AA0" w:rsidRPr="003F3018" w:rsidRDefault="00C56AA0" w:rsidP="00C77850">
            <w:pPr>
              <w:jc w:val="left"/>
              <w:rPr>
                <w:rFonts w:ascii="Calibri" w:hAnsi="Calibri"/>
                <w:sz w:val="18"/>
                <w:szCs w:val="18"/>
              </w:rPr>
            </w:pPr>
            <w:r w:rsidRPr="003F3018">
              <w:rPr>
                <w:rFonts w:ascii="Calibri" w:hAnsi="Calibri"/>
                <w:sz w:val="18"/>
                <w:szCs w:val="18"/>
              </w:rPr>
              <w:t xml:space="preserve">± </w:t>
            </w:r>
            <w:smartTag w:uri="urn:schemas-microsoft-com:office:smarttags" w:element="metricconverter">
              <w:smartTagPr>
                <w:attr w:name="ProductID" w:val="2,0 mm"/>
              </w:smartTagPr>
              <w:r w:rsidRPr="003F3018">
                <w:rPr>
                  <w:rFonts w:ascii="Calibri" w:hAnsi="Calibri"/>
                  <w:sz w:val="18"/>
                  <w:szCs w:val="18"/>
                </w:rPr>
                <w:t>2,0 mm</w:t>
              </w:r>
            </w:smartTag>
          </w:p>
          <w:p w:rsidR="00C56AA0" w:rsidRPr="003F3018" w:rsidRDefault="00C56AA0" w:rsidP="00C77850">
            <w:pPr>
              <w:jc w:val="left"/>
              <w:rPr>
                <w:rFonts w:ascii="Calibri" w:hAnsi="Calibri"/>
                <w:sz w:val="18"/>
                <w:szCs w:val="18"/>
              </w:rPr>
            </w:pPr>
            <w:r w:rsidRPr="003F3018">
              <w:rPr>
                <w:rFonts w:ascii="Calibri" w:hAnsi="Calibri"/>
                <w:sz w:val="18"/>
                <w:szCs w:val="18"/>
              </w:rPr>
              <w:t xml:space="preserve">± </w:t>
            </w:r>
            <w:smartTag w:uri="urn:schemas-microsoft-com:office:smarttags" w:element="metricconverter">
              <w:smartTagPr>
                <w:attr w:name="ProductID" w:val="2,5 mm"/>
              </w:smartTagPr>
              <w:r w:rsidRPr="003F3018">
                <w:rPr>
                  <w:rFonts w:ascii="Calibri" w:hAnsi="Calibri"/>
                  <w:sz w:val="18"/>
                  <w:szCs w:val="18"/>
                </w:rPr>
                <w:t>2,5 mm</w:t>
              </w:r>
            </w:smartTag>
          </w:p>
          <w:p w:rsidR="00C56AA0" w:rsidRPr="003F3018" w:rsidRDefault="00C56AA0" w:rsidP="00C77850">
            <w:pPr>
              <w:jc w:val="left"/>
              <w:rPr>
                <w:rFonts w:ascii="Calibri" w:hAnsi="Calibri"/>
                <w:sz w:val="18"/>
                <w:szCs w:val="18"/>
              </w:rPr>
            </w:pPr>
            <w:r w:rsidRPr="003F3018">
              <w:rPr>
                <w:rFonts w:ascii="Calibri" w:hAnsi="Calibri"/>
                <w:sz w:val="18"/>
                <w:szCs w:val="18"/>
              </w:rPr>
              <w:t xml:space="preserve">± </w:t>
            </w:r>
            <w:smartTag w:uri="urn:schemas-microsoft-com:office:smarttags" w:element="metricconverter">
              <w:smartTagPr>
                <w:attr w:name="ProductID" w:val="4,0 mm"/>
              </w:smartTagPr>
              <w:r w:rsidRPr="003F3018">
                <w:rPr>
                  <w:rFonts w:ascii="Calibri" w:hAnsi="Calibri"/>
                  <w:sz w:val="18"/>
                  <w:szCs w:val="18"/>
                </w:rPr>
                <w:t>4,0 mm</w:t>
              </w:r>
            </w:smartTag>
          </w:p>
        </w:tc>
      </w:tr>
      <w:tr w:rsidR="00C56AA0" w:rsidRPr="003F3018" w:rsidTr="00AE2508">
        <w:tc>
          <w:tcPr>
            <w:tcW w:w="534" w:type="dxa"/>
          </w:tcPr>
          <w:p w:rsidR="00C77850" w:rsidRDefault="00C77850" w:rsidP="00C77850">
            <w:pPr>
              <w:jc w:val="left"/>
              <w:rPr>
                <w:rFonts w:ascii="Calibri" w:hAnsi="Calibri"/>
                <w:sz w:val="18"/>
                <w:szCs w:val="18"/>
              </w:rPr>
            </w:pPr>
          </w:p>
          <w:p w:rsidR="00C56AA0" w:rsidRPr="003F3018" w:rsidRDefault="00C56AA0" w:rsidP="00C77850">
            <w:pPr>
              <w:jc w:val="left"/>
              <w:rPr>
                <w:rFonts w:ascii="Calibri" w:hAnsi="Calibri"/>
                <w:sz w:val="18"/>
                <w:szCs w:val="18"/>
              </w:rPr>
            </w:pPr>
            <w:r w:rsidRPr="003F3018">
              <w:rPr>
                <w:rFonts w:ascii="Calibri" w:hAnsi="Calibri"/>
                <w:sz w:val="18"/>
                <w:szCs w:val="18"/>
              </w:rPr>
              <w:t>2</w:t>
            </w:r>
          </w:p>
        </w:tc>
        <w:tc>
          <w:tcPr>
            <w:tcW w:w="7512" w:type="dxa"/>
            <w:gridSpan w:val="5"/>
          </w:tcPr>
          <w:p w:rsidR="00C77850" w:rsidRDefault="00C77850" w:rsidP="00C77850">
            <w:pPr>
              <w:jc w:val="left"/>
              <w:rPr>
                <w:rFonts w:ascii="Calibri" w:hAnsi="Calibri"/>
                <w:sz w:val="18"/>
                <w:szCs w:val="18"/>
              </w:rPr>
            </w:pPr>
          </w:p>
          <w:p w:rsidR="00C56AA0" w:rsidRPr="003F3018" w:rsidRDefault="00C56AA0" w:rsidP="00C77850">
            <w:pPr>
              <w:jc w:val="left"/>
              <w:rPr>
                <w:rFonts w:ascii="Calibri" w:hAnsi="Calibri"/>
                <w:sz w:val="18"/>
                <w:szCs w:val="18"/>
              </w:rPr>
            </w:pPr>
            <w:r w:rsidRPr="003F3018">
              <w:rPr>
                <w:rFonts w:ascii="Calibri" w:hAnsi="Calibri"/>
                <w:sz w:val="18"/>
                <w:szCs w:val="18"/>
              </w:rPr>
              <w:t>Właściwości fizyczne i mechaniczne</w:t>
            </w:r>
          </w:p>
          <w:p w:rsidR="00C56AA0" w:rsidRPr="003F3018" w:rsidRDefault="00C56AA0" w:rsidP="00C77850">
            <w:pPr>
              <w:jc w:val="left"/>
              <w:rPr>
                <w:rFonts w:ascii="Calibri" w:hAnsi="Calibri"/>
                <w:sz w:val="18"/>
                <w:szCs w:val="18"/>
              </w:rPr>
            </w:pPr>
          </w:p>
        </w:tc>
      </w:tr>
      <w:tr w:rsidR="00C56AA0" w:rsidRPr="003F3018" w:rsidTr="00AE2508">
        <w:tc>
          <w:tcPr>
            <w:tcW w:w="534" w:type="dxa"/>
          </w:tcPr>
          <w:p w:rsidR="00C56AA0" w:rsidRPr="003F3018" w:rsidRDefault="00C56AA0" w:rsidP="00C77850">
            <w:pPr>
              <w:jc w:val="left"/>
              <w:rPr>
                <w:rFonts w:ascii="Calibri" w:hAnsi="Calibri"/>
                <w:sz w:val="18"/>
                <w:szCs w:val="18"/>
              </w:rPr>
            </w:pPr>
            <w:r w:rsidRPr="003F3018">
              <w:rPr>
                <w:rFonts w:ascii="Calibri" w:hAnsi="Calibri"/>
                <w:sz w:val="18"/>
                <w:szCs w:val="18"/>
              </w:rPr>
              <w:t>2.1</w:t>
            </w:r>
          </w:p>
        </w:tc>
        <w:tc>
          <w:tcPr>
            <w:tcW w:w="2126" w:type="dxa"/>
          </w:tcPr>
          <w:p w:rsidR="00C56AA0" w:rsidRPr="003F3018" w:rsidRDefault="00C56AA0" w:rsidP="00C77850">
            <w:pPr>
              <w:jc w:val="left"/>
              <w:rPr>
                <w:rFonts w:ascii="Calibri" w:hAnsi="Calibri"/>
                <w:sz w:val="18"/>
                <w:szCs w:val="18"/>
              </w:rPr>
            </w:pPr>
            <w:r w:rsidRPr="003F3018">
              <w:rPr>
                <w:rFonts w:ascii="Calibri" w:hAnsi="Calibri"/>
                <w:sz w:val="18"/>
                <w:szCs w:val="18"/>
              </w:rPr>
              <w:t>Odporność na zamrażanie/</w:t>
            </w:r>
          </w:p>
          <w:p w:rsidR="00C56AA0" w:rsidRPr="003F3018" w:rsidRDefault="00C56AA0" w:rsidP="00C77850">
            <w:pPr>
              <w:jc w:val="left"/>
              <w:rPr>
                <w:rFonts w:ascii="Calibri" w:hAnsi="Calibri"/>
                <w:sz w:val="18"/>
                <w:szCs w:val="18"/>
              </w:rPr>
            </w:pPr>
            <w:r w:rsidRPr="003F3018">
              <w:rPr>
                <w:rFonts w:ascii="Calibri" w:hAnsi="Calibri"/>
                <w:sz w:val="18"/>
                <w:szCs w:val="18"/>
              </w:rPr>
              <w:t>rozmrażanie z udziałem soli odladzających</w:t>
            </w:r>
          </w:p>
          <w:p w:rsidR="00C56AA0" w:rsidRPr="003F3018" w:rsidRDefault="00C56AA0" w:rsidP="00C77850">
            <w:pPr>
              <w:jc w:val="left"/>
              <w:rPr>
                <w:rFonts w:ascii="Calibri" w:hAnsi="Calibri"/>
                <w:sz w:val="18"/>
                <w:szCs w:val="18"/>
              </w:rPr>
            </w:pPr>
          </w:p>
        </w:tc>
        <w:tc>
          <w:tcPr>
            <w:tcW w:w="1134" w:type="dxa"/>
          </w:tcPr>
          <w:p w:rsidR="00C56AA0" w:rsidRPr="003F3018" w:rsidRDefault="00C56AA0" w:rsidP="00C77850">
            <w:pPr>
              <w:jc w:val="left"/>
              <w:rPr>
                <w:rFonts w:ascii="Calibri" w:hAnsi="Calibri"/>
                <w:sz w:val="18"/>
                <w:szCs w:val="18"/>
              </w:rPr>
            </w:pPr>
            <w:r w:rsidRPr="003F3018">
              <w:rPr>
                <w:rFonts w:ascii="Calibri" w:hAnsi="Calibri"/>
                <w:sz w:val="18"/>
                <w:szCs w:val="18"/>
              </w:rPr>
              <w:t>D</w:t>
            </w:r>
          </w:p>
        </w:tc>
        <w:tc>
          <w:tcPr>
            <w:tcW w:w="4252" w:type="dxa"/>
            <w:gridSpan w:val="3"/>
          </w:tcPr>
          <w:p w:rsidR="00C56AA0" w:rsidRPr="003F3018" w:rsidRDefault="00C56AA0" w:rsidP="00C77850">
            <w:pPr>
              <w:jc w:val="left"/>
              <w:rPr>
                <w:rFonts w:ascii="Calibri" w:hAnsi="Calibri"/>
                <w:sz w:val="18"/>
                <w:szCs w:val="18"/>
              </w:rPr>
            </w:pPr>
            <w:r w:rsidRPr="003F3018">
              <w:rPr>
                <w:rFonts w:ascii="Calibri" w:hAnsi="Calibri"/>
                <w:sz w:val="18"/>
                <w:szCs w:val="18"/>
              </w:rPr>
              <w:t>Ubytek masy po badaniu: wartość średnia ≤ 1,0 kg/m</w:t>
            </w:r>
            <w:r w:rsidRPr="003F3018">
              <w:rPr>
                <w:rFonts w:ascii="Calibri" w:hAnsi="Calibri"/>
                <w:sz w:val="18"/>
                <w:szCs w:val="18"/>
                <w:vertAlign w:val="superscript"/>
              </w:rPr>
              <w:t>2</w:t>
            </w:r>
            <w:r w:rsidRPr="003F3018">
              <w:rPr>
                <w:rFonts w:ascii="Calibri" w:hAnsi="Calibri"/>
                <w:sz w:val="18"/>
                <w:szCs w:val="18"/>
              </w:rPr>
              <w:t>, przy czym każdy pojedynczy wynik &lt; 1,5 kg/m</w:t>
            </w:r>
            <w:r w:rsidRPr="003F3018">
              <w:rPr>
                <w:rFonts w:ascii="Calibri" w:hAnsi="Calibri"/>
                <w:sz w:val="18"/>
                <w:szCs w:val="18"/>
                <w:vertAlign w:val="superscript"/>
              </w:rPr>
              <w:t>2</w:t>
            </w:r>
          </w:p>
          <w:p w:rsidR="00C56AA0" w:rsidRPr="003F3018" w:rsidRDefault="00C56AA0" w:rsidP="00C77850">
            <w:pPr>
              <w:jc w:val="left"/>
              <w:rPr>
                <w:rFonts w:ascii="Calibri" w:hAnsi="Calibri"/>
                <w:sz w:val="18"/>
                <w:szCs w:val="18"/>
              </w:rPr>
            </w:pPr>
          </w:p>
        </w:tc>
      </w:tr>
      <w:tr w:rsidR="00C56AA0" w:rsidRPr="003F3018" w:rsidTr="00AE2508">
        <w:tc>
          <w:tcPr>
            <w:tcW w:w="534" w:type="dxa"/>
          </w:tcPr>
          <w:p w:rsidR="00C56AA0" w:rsidRPr="003F3018" w:rsidRDefault="00C56AA0" w:rsidP="00C77850">
            <w:pPr>
              <w:jc w:val="left"/>
              <w:rPr>
                <w:rFonts w:ascii="Calibri" w:hAnsi="Calibri"/>
                <w:sz w:val="18"/>
                <w:szCs w:val="18"/>
              </w:rPr>
            </w:pPr>
            <w:r w:rsidRPr="003F3018">
              <w:rPr>
                <w:rFonts w:ascii="Calibri" w:hAnsi="Calibri"/>
                <w:sz w:val="18"/>
                <w:szCs w:val="18"/>
              </w:rPr>
              <w:t>2.2</w:t>
            </w:r>
          </w:p>
        </w:tc>
        <w:tc>
          <w:tcPr>
            <w:tcW w:w="2126" w:type="dxa"/>
          </w:tcPr>
          <w:p w:rsidR="00C77850" w:rsidRPr="003F3018" w:rsidRDefault="00C56AA0" w:rsidP="00C77850">
            <w:pPr>
              <w:jc w:val="left"/>
              <w:rPr>
                <w:rFonts w:ascii="Calibri" w:hAnsi="Calibri"/>
                <w:sz w:val="18"/>
                <w:szCs w:val="18"/>
              </w:rPr>
            </w:pPr>
            <w:r w:rsidRPr="003F3018">
              <w:rPr>
                <w:rFonts w:ascii="Calibri" w:hAnsi="Calibri"/>
                <w:sz w:val="18"/>
                <w:szCs w:val="18"/>
              </w:rPr>
              <w:t>Wytrzymałość na zginanie (Klasa wytrzymałości ustalona w dokumentacji projektowej lub przez Inżyniera)</w:t>
            </w:r>
          </w:p>
        </w:tc>
        <w:tc>
          <w:tcPr>
            <w:tcW w:w="1134" w:type="dxa"/>
          </w:tcPr>
          <w:p w:rsidR="00C56AA0" w:rsidRPr="003F3018" w:rsidRDefault="00C56AA0" w:rsidP="00C77850">
            <w:pPr>
              <w:jc w:val="left"/>
              <w:rPr>
                <w:rFonts w:ascii="Calibri" w:hAnsi="Calibri"/>
                <w:sz w:val="18"/>
                <w:szCs w:val="18"/>
              </w:rPr>
            </w:pPr>
            <w:r w:rsidRPr="003F3018">
              <w:rPr>
                <w:rFonts w:ascii="Calibri" w:hAnsi="Calibri"/>
                <w:sz w:val="18"/>
                <w:szCs w:val="18"/>
              </w:rPr>
              <w:t>F</w:t>
            </w:r>
          </w:p>
        </w:tc>
        <w:tc>
          <w:tcPr>
            <w:tcW w:w="4252" w:type="dxa"/>
            <w:gridSpan w:val="3"/>
          </w:tcPr>
          <w:p w:rsidR="00C56AA0" w:rsidRPr="003F3018" w:rsidRDefault="00C56AA0" w:rsidP="00C77850">
            <w:pPr>
              <w:jc w:val="left"/>
              <w:rPr>
                <w:rFonts w:ascii="Calibri" w:hAnsi="Calibri"/>
                <w:sz w:val="18"/>
                <w:szCs w:val="18"/>
              </w:rPr>
            </w:pPr>
            <w:r w:rsidRPr="003F3018">
              <w:rPr>
                <w:rFonts w:ascii="Calibri" w:hAnsi="Calibri"/>
                <w:sz w:val="18"/>
                <w:szCs w:val="18"/>
              </w:rPr>
              <w:t xml:space="preserve">Klasa    </w:t>
            </w:r>
            <w:r>
              <w:rPr>
                <w:rFonts w:ascii="Calibri" w:hAnsi="Calibri"/>
                <w:sz w:val="18"/>
                <w:szCs w:val="18"/>
              </w:rPr>
              <w:t xml:space="preserve">        Charakterystyczna           </w:t>
            </w:r>
            <w:r w:rsidRPr="003F3018">
              <w:rPr>
                <w:rFonts w:ascii="Calibri" w:hAnsi="Calibri"/>
                <w:sz w:val="18"/>
                <w:szCs w:val="18"/>
              </w:rPr>
              <w:t xml:space="preserve"> Każdy</w:t>
            </w:r>
            <w:r>
              <w:rPr>
                <w:rFonts w:ascii="Calibri" w:hAnsi="Calibri"/>
                <w:sz w:val="18"/>
                <w:szCs w:val="18"/>
              </w:rPr>
              <w:t xml:space="preserve"> p</w:t>
            </w:r>
            <w:r w:rsidRPr="003F3018">
              <w:rPr>
                <w:rFonts w:ascii="Calibri" w:hAnsi="Calibri"/>
                <w:sz w:val="18"/>
                <w:szCs w:val="18"/>
              </w:rPr>
              <w:t>ojedynczy</w:t>
            </w:r>
          </w:p>
          <w:p w:rsidR="00C56AA0" w:rsidRPr="003F3018" w:rsidRDefault="00C56AA0" w:rsidP="00C77850">
            <w:pPr>
              <w:jc w:val="left"/>
              <w:rPr>
                <w:rFonts w:ascii="Calibri" w:hAnsi="Calibri"/>
                <w:sz w:val="18"/>
                <w:szCs w:val="18"/>
              </w:rPr>
            </w:pPr>
            <w:r w:rsidRPr="003F3018">
              <w:rPr>
                <w:rFonts w:ascii="Calibri" w:hAnsi="Calibri"/>
                <w:sz w:val="18"/>
                <w:szCs w:val="18"/>
              </w:rPr>
              <w:t>wytrz.         wytrzymałość, MPa         wynik, MPa</w:t>
            </w:r>
          </w:p>
          <w:p w:rsidR="00C56AA0" w:rsidRPr="003F3018" w:rsidRDefault="00C56AA0" w:rsidP="00C77850">
            <w:pPr>
              <w:jc w:val="left"/>
              <w:rPr>
                <w:rFonts w:ascii="Calibri" w:hAnsi="Calibri"/>
                <w:sz w:val="18"/>
                <w:szCs w:val="18"/>
              </w:rPr>
            </w:pPr>
            <w:r w:rsidRPr="003F3018">
              <w:rPr>
                <w:rFonts w:ascii="Calibri" w:hAnsi="Calibri"/>
                <w:sz w:val="18"/>
                <w:szCs w:val="18"/>
              </w:rPr>
              <w:t xml:space="preserve">   1                          3,5                                &gt; 2,8</w:t>
            </w:r>
          </w:p>
          <w:p w:rsidR="00C56AA0" w:rsidRPr="003F3018" w:rsidRDefault="00C56AA0" w:rsidP="00C77850">
            <w:pPr>
              <w:jc w:val="left"/>
              <w:rPr>
                <w:rFonts w:ascii="Calibri" w:hAnsi="Calibri"/>
                <w:sz w:val="18"/>
                <w:szCs w:val="18"/>
              </w:rPr>
            </w:pPr>
            <w:r w:rsidRPr="003F3018">
              <w:rPr>
                <w:rFonts w:ascii="Calibri" w:hAnsi="Calibri"/>
                <w:sz w:val="18"/>
                <w:szCs w:val="18"/>
              </w:rPr>
              <w:t xml:space="preserve">   2                          5,0                                &gt; 4,0</w:t>
            </w:r>
          </w:p>
          <w:p w:rsidR="00C56AA0" w:rsidRPr="003F3018" w:rsidRDefault="00C56AA0" w:rsidP="00C77850">
            <w:pPr>
              <w:jc w:val="left"/>
              <w:rPr>
                <w:rFonts w:ascii="Calibri" w:hAnsi="Calibri"/>
                <w:sz w:val="18"/>
                <w:szCs w:val="18"/>
              </w:rPr>
            </w:pPr>
            <w:r w:rsidRPr="003F3018">
              <w:rPr>
                <w:rFonts w:ascii="Calibri" w:hAnsi="Calibri"/>
                <w:sz w:val="18"/>
                <w:szCs w:val="18"/>
              </w:rPr>
              <w:t xml:space="preserve">   3                          6,0                                &gt; 4,8</w:t>
            </w:r>
          </w:p>
        </w:tc>
      </w:tr>
      <w:tr w:rsidR="00C56AA0" w:rsidRPr="003F3018" w:rsidTr="00AE2508">
        <w:tc>
          <w:tcPr>
            <w:tcW w:w="534" w:type="dxa"/>
            <w:tcBorders>
              <w:bottom w:val="single" w:sz="4" w:space="0" w:color="auto"/>
            </w:tcBorders>
          </w:tcPr>
          <w:p w:rsidR="00C56AA0" w:rsidRPr="003F3018" w:rsidRDefault="00C56AA0" w:rsidP="00C77850">
            <w:pPr>
              <w:jc w:val="left"/>
              <w:rPr>
                <w:rFonts w:ascii="Calibri" w:hAnsi="Calibri"/>
                <w:sz w:val="18"/>
                <w:szCs w:val="18"/>
              </w:rPr>
            </w:pPr>
            <w:r w:rsidRPr="003F3018">
              <w:rPr>
                <w:rFonts w:ascii="Calibri" w:hAnsi="Calibri"/>
                <w:sz w:val="18"/>
                <w:szCs w:val="18"/>
              </w:rPr>
              <w:t>2.3</w:t>
            </w:r>
          </w:p>
        </w:tc>
        <w:tc>
          <w:tcPr>
            <w:tcW w:w="2126" w:type="dxa"/>
            <w:tcBorders>
              <w:bottom w:val="single" w:sz="4" w:space="0" w:color="auto"/>
            </w:tcBorders>
          </w:tcPr>
          <w:p w:rsidR="00C56AA0" w:rsidRPr="003F3018" w:rsidRDefault="00C56AA0" w:rsidP="00C77850">
            <w:pPr>
              <w:jc w:val="left"/>
              <w:rPr>
                <w:rFonts w:ascii="Calibri" w:hAnsi="Calibri"/>
                <w:sz w:val="18"/>
                <w:szCs w:val="18"/>
              </w:rPr>
            </w:pPr>
            <w:r w:rsidRPr="003F3018">
              <w:rPr>
                <w:rFonts w:ascii="Calibri" w:hAnsi="Calibri"/>
                <w:sz w:val="18"/>
                <w:szCs w:val="18"/>
              </w:rPr>
              <w:t>Trwałość ze względu na wytrzymałość</w:t>
            </w:r>
          </w:p>
        </w:tc>
        <w:tc>
          <w:tcPr>
            <w:tcW w:w="1134" w:type="dxa"/>
            <w:tcBorders>
              <w:bottom w:val="single" w:sz="4" w:space="0" w:color="auto"/>
            </w:tcBorders>
          </w:tcPr>
          <w:p w:rsidR="00C56AA0" w:rsidRPr="003F3018" w:rsidRDefault="00C56AA0" w:rsidP="00C77850">
            <w:pPr>
              <w:jc w:val="left"/>
              <w:rPr>
                <w:rFonts w:ascii="Calibri" w:hAnsi="Calibri"/>
                <w:sz w:val="18"/>
                <w:szCs w:val="18"/>
              </w:rPr>
            </w:pPr>
            <w:r w:rsidRPr="003F3018">
              <w:rPr>
                <w:rFonts w:ascii="Calibri" w:hAnsi="Calibri"/>
                <w:sz w:val="18"/>
                <w:szCs w:val="18"/>
              </w:rPr>
              <w:t>F</w:t>
            </w:r>
          </w:p>
        </w:tc>
        <w:tc>
          <w:tcPr>
            <w:tcW w:w="4252" w:type="dxa"/>
            <w:gridSpan w:val="3"/>
          </w:tcPr>
          <w:p w:rsidR="00C56AA0" w:rsidRDefault="00C56AA0" w:rsidP="00C77850">
            <w:pPr>
              <w:jc w:val="left"/>
              <w:rPr>
                <w:rFonts w:ascii="Calibri" w:hAnsi="Calibri"/>
                <w:sz w:val="18"/>
                <w:szCs w:val="18"/>
              </w:rPr>
            </w:pPr>
            <w:r>
              <w:rPr>
                <w:rFonts w:ascii="Calibri" w:hAnsi="Calibri"/>
                <w:sz w:val="18"/>
                <w:szCs w:val="18"/>
              </w:rPr>
              <w:t>Krawężniki mają zadawalającą</w:t>
            </w:r>
            <w:r w:rsidRPr="003F3018">
              <w:rPr>
                <w:rFonts w:ascii="Calibri" w:hAnsi="Calibri"/>
                <w:sz w:val="18"/>
                <w:szCs w:val="18"/>
              </w:rPr>
              <w:t xml:space="preserve"> trwałość (wytrzymałość) jeśli spełnione są wymagania pktu 2.2 oraz poddawane są normalnej konserwacji</w:t>
            </w:r>
          </w:p>
          <w:p w:rsidR="00C77850" w:rsidRPr="003F3018" w:rsidRDefault="00C77850" w:rsidP="00C77850">
            <w:pPr>
              <w:jc w:val="left"/>
              <w:rPr>
                <w:rFonts w:ascii="Calibri" w:hAnsi="Calibri"/>
                <w:sz w:val="18"/>
                <w:szCs w:val="18"/>
              </w:rPr>
            </w:pPr>
          </w:p>
        </w:tc>
      </w:tr>
      <w:tr w:rsidR="00C56AA0" w:rsidRPr="003F3018" w:rsidTr="00AE2508">
        <w:tc>
          <w:tcPr>
            <w:tcW w:w="534" w:type="dxa"/>
            <w:tcBorders>
              <w:bottom w:val="nil"/>
            </w:tcBorders>
          </w:tcPr>
          <w:p w:rsidR="00C56AA0" w:rsidRPr="003F3018" w:rsidRDefault="00C56AA0" w:rsidP="00C77850">
            <w:pPr>
              <w:jc w:val="left"/>
              <w:rPr>
                <w:rFonts w:ascii="Calibri" w:hAnsi="Calibri"/>
                <w:sz w:val="18"/>
                <w:szCs w:val="18"/>
              </w:rPr>
            </w:pPr>
            <w:r w:rsidRPr="003F3018">
              <w:rPr>
                <w:rFonts w:ascii="Calibri" w:hAnsi="Calibri"/>
                <w:sz w:val="18"/>
                <w:szCs w:val="18"/>
              </w:rPr>
              <w:t>2.4</w:t>
            </w:r>
          </w:p>
        </w:tc>
        <w:tc>
          <w:tcPr>
            <w:tcW w:w="2126" w:type="dxa"/>
            <w:tcBorders>
              <w:bottom w:val="nil"/>
            </w:tcBorders>
          </w:tcPr>
          <w:p w:rsidR="00C56AA0" w:rsidRPr="003F3018" w:rsidRDefault="00C56AA0" w:rsidP="00C77850">
            <w:pPr>
              <w:jc w:val="left"/>
              <w:rPr>
                <w:rFonts w:ascii="Calibri" w:hAnsi="Calibri"/>
                <w:sz w:val="18"/>
                <w:szCs w:val="18"/>
              </w:rPr>
            </w:pPr>
            <w:r w:rsidRPr="003F3018">
              <w:rPr>
                <w:rFonts w:ascii="Calibri" w:hAnsi="Calibri"/>
                <w:sz w:val="18"/>
                <w:szCs w:val="18"/>
              </w:rPr>
              <w:t>Odporność na ścieranie</w:t>
            </w:r>
          </w:p>
        </w:tc>
        <w:tc>
          <w:tcPr>
            <w:tcW w:w="1134" w:type="dxa"/>
            <w:tcBorders>
              <w:bottom w:val="nil"/>
            </w:tcBorders>
          </w:tcPr>
          <w:p w:rsidR="00C56AA0" w:rsidRPr="003F3018" w:rsidRDefault="00C56AA0" w:rsidP="00C77850">
            <w:pPr>
              <w:jc w:val="left"/>
              <w:rPr>
                <w:rFonts w:ascii="Calibri" w:hAnsi="Calibri"/>
                <w:sz w:val="18"/>
                <w:szCs w:val="18"/>
              </w:rPr>
            </w:pPr>
            <w:r w:rsidRPr="003F3018">
              <w:rPr>
                <w:rFonts w:ascii="Calibri" w:hAnsi="Calibri"/>
                <w:sz w:val="18"/>
                <w:szCs w:val="18"/>
              </w:rPr>
              <w:t>G i H</w:t>
            </w:r>
          </w:p>
        </w:tc>
        <w:tc>
          <w:tcPr>
            <w:tcW w:w="850" w:type="dxa"/>
            <w:tcBorders>
              <w:bottom w:val="nil"/>
            </w:tcBorders>
          </w:tcPr>
          <w:p w:rsidR="00C56AA0" w:rsidRPr="003F3018" w:rsidRDefault="00C56AA0" w:rsidP="00C77850">
            <w:pPr>
              <w:jc w:val="left"/>
              <w:rPr>
                <w:rFonts w:ascii="Calibri" w:hAnsi="Calibri"/>
                <w:sz w:val="18"/>
                <w:szCs w:val="18"/>
              </w:rPr>
            </w:pPr>
          </w:p>
        </w:tc>
        <w:tc>
          <w:tcPr>
            <w:tcW w:w="3402" w:type="dxa"/>
            <w:gridSpan w:val="2"/>
          </w:tcPr>
          <w:p w:rsidR="00C56AA0" w:rsidRPr="003F3018" w:rsidRDefault="00C56AA0" w:rsidP="00C77850">
            <w:pPr>
              <w:jc w:val="left"/>
              <w:rPr>
                <w:rFonts w:ascii="Calibri" w:hAnsi="Calibri"/>
                <w:sz w:val="18"/>
                <w:szCs w:val="18"/>
              </w:rPr>
            </w:pPr>
            <w:r w:rsidRPr="003F3018">
              <w:rPr>
                <w:rFonts w:ascii="Calibri" w:hAnsi="Calibri"/>
                <w:sz w:val="18"/>
                <w:szCs w:val="18"/>
              </w:rPr>
              <w:t>Odporność przy pomiarze na tarczy</w:t>
            </w:r>
          </w:p>
        </w:tc>
      </w:tr>
      <w:tr w:rsidR="00C56AA0" w:rsidRPr="003F3018" w:rsidTr="00AE2508">
        <w:tc>
          <w:tcPr>
            <w:tcW w:w="534" w:type="dxa"/>
            <w:tcBorders>
              <w:top w:val="nil"/>
              <w:bottom w:val="nil"/>
            </w:tcBorders>
          </w:tcPr>
          <w:p w:rsidR="00C56AA0" w:rsidRPr="003F3018" w:rsidRDefault="00C56AA0" w:rsidP="00C77850">
            <w:pPr>
              <w:jc w:val="left"/>
              <w:rPr>
                <w:rFonts w:ascii="Calibri" w:hAnsi="Calibri"/>
                <w:sz w:val="18"/>
                <w:szCs w:val="18"/>
              </w:rPr>
            </w:pPr>
          </w:p>
        </w:tc>
        <w:tc>
          <w:tcPr>
            <w:tcW w:w="2126" w:type="dxa"/>
            <w:tcBorders>
              <w:top w:val="nil"/>
              <w:bottom w:val="nil"/>
            </w:tcBorders>
          </w:tcPr>
          <w:p w:rsidR="00C56AA0" w:rsidRPr="003F3018" w:rsidRDefault="00C56AA0" w:rsidP="00C77850">
            <w:pPr>
              <w:jc w:val="left"/>
              <w:rPr>
                <w:rFonts w:ascii="Calibri" w:hAnsi="Calibri"/>
                <w:sz w:val="18"/>
                <w:szCs w:val="18"/>
              </w:rPr>
            </w:pPr>
            <w:r w:rsidRPr="003F3018">
              <w:rPr>
                <w:rFonts w:ascii="Calibri" w:hAnsi="Calibri"/>
                <w:sz w:val="18"/>
                <w:szCs w:val="18"/>
              </w:rPr>
              <w:t>(Klasa odporności ustalona w dokumentacji projektowej lub przez Inżyniera)</w:t>
            </w:r>
          </w:p>
        </w:tc>
        <w:tc>
          <w:tcPr>
            <w:tcW w:w="1134" w:type="dxa"/>
            <w:tcBorders>
              <w:top w:val="nil"/>
              <w:bottom w:val="nil"/>
            </w:tcBorders>
          </w:tcPr>
          <w:p w:rsidR="00C56AA0" w:rsidRPr="003F3018" w:rsidRDefault="00C56AA0" w:rsidP="00C77850">
            <w:pPr>
              <w:jc w:val="left"/>
              <w:rPr>
                <w:rFonts w:ascii="Calibri" w:hAnsi="Calibri"/>
                <w:sz w:val="18"/>
                <w:szCs w:val="18"/>
              </w:rPr>
            </w:pPr>
          </w:p>
        </w:tc>
        <w:tc>
          <w:tcPr>
            <w:tcW w:w="850" w:type="dxa"/>
            <w:tcBorders>
              <w:top w:val="nil"/>
            </w:tcBorders>
          </w:tcPr>
          <w:p w:rsidR="00C56AA0" w:rsidRPr="003F3018" w:rsidRDefault="00C56AA0" w:rsidP="00C77850">
            <w:pPr>
              <w:jc w:val="left"/>
              <w:rPr>
                <w:rFonts w:ascii="Calibri" w:hAnsi="Calibri"/>
                <w:sz w:val="18"/>
                <w:szCs w:val="18"/>
              </w:rPr>
            </w:pPr>
            <w:r w:rsidRPr="003F3018">
              <w:rPr>
                <w:rFonts w:ascii="Calibri" w:hAnsi="Calibri"/>
                <w:sz w:val="18"/>
                <w:szCs w:val="18"/>
              </w:rPr>
              <w:t>Klasa</w:t>
            </w:r>
          </w:p>
          <w:p w:rsidR="00C56AA0" w:rsidRPr="003F3018" w:rsidRDefault="00C56AA0" w:rsidP="00C77850">
            <w:pPr>
              <w:jc w:val="left"/>
              <w:rPr>
                <w:rFonts w:ascii="Calibri" w:hAnsi="Calibri"/>
                <w:sz w:val="18"/>
                <w:szCs w:val="18"/>
              </w:rPr>
            </w:pPr>
            <w:r w:rsidRPr="003F3018">
              <w:rPr>
                <w:rFonts w:ascii="Calibri" w:hAnsi="Calibri"/>
                <w:sz w:val="18"/>
                <w:szCs w:val="18"/>
              </w:rPr>
              <w:t>odpor-</w:t>
            </w:r>
          </w:p>
          <w:p w:rsidR="00C56AA0" w:rsidRPr="003F3018" w:rsidRDefault="00C56AA0" w:rsidP="00C77850">
            <w:pPr>
              <w:jc w:val="left"/>
              <w:rPr>
                <w:rFonts w:ascii="Calibri" w:hAnsi="Calibri"/>
                <w:sz w:val="18"/>
                <w:szCs w:val="18"/>
              </w:rPr>
            </w:pPr>
            <w:r w:rsidRPr="003F3018">
              <w:rPr>
                <w:rFonts w:ascii="Calibri" w:hAnsi="Calibri"/>
                <w:sz w:val="18"/>
                <w:szCs w:val="18"/>
              </w:rPr>
              <w:t>ności</w:t>
            </w:r>
          </w:p>
        </w:tc>
        <w:tc>
          <w:tcPr>
            <w:tcW w:w="1276" w:type="dxa"/>
          </w:tcPr>
          <w:p w:rsidR="00C56AA0" w:rsidRPr="003F3018" w:rsidRDefault="00C56AA0" w:rsidP="00C77850">
            <w:pPr>
              <w:jc w:val="left"/>
              <w:rPr>
                <w:rFonts w:ascii="Calibri" w:hAnsi="Calibri"/>
                <w:sz w:val="18"/>
                <w:szCs w:val="18"/>
              </w:rPr>
            </w:pPr>
            <w:r w:rsidRPr="003F3018">
              <w:rPr>
                <w:rFonts w:ascii="Calibri" w:hAnsi="Calibri"/>
                <w:sz w:val="18"/>
                <w:szCs w:val="18"/>
              </w:rPr>
              <w:t>szerokiej ściernej, wg zał. G normy – badanie podstawowe</w:t>
            </w:r>
          </w:p>
        </w:tc>
        <w:tc>
          <w:tcPr>
            <w:tcW w:w="2126" w:type="dxa"/>
          </w:tcPr>
          <w:p w:rsidR="00C56AA0" w:rsidRPr="003F3018" w:rsidRDefault="00C56AA0" w:rsidP="00C77850">
            <w:pPr>
              <w:jc w:val="left"/>
              <w:rPr>
                <w:rFonts w:ascii="Calibri" w:hAnsi="Calibri"/>
                <w:sz w:val="18"/>
                <w:szCs w:val="18"/>
              </w:rPr>
            </w:pPr>
            <w:r w:rsidRPr="003F3018">
              <w:rPr>
                <w:rFonts w:ascii="Calibri" w:hAnsi="Calibri"/>
                <w:sz w:val="18"/>
                <w:szCs w:val="18"/>
              </w:rPr>
              <w:t>Böhmego,</w:t>
            </w:r>
          </w:p>
          <w:p w:rsidR="00C56AA0" w:rsidRPr="003F3018" w:rsidRDefault="00C56AA0" w:rsidP="00C77850">
            <w:pPr>
              <w:jc w:val="left"/>
              <w:rPr>
                <w:rFonts w:ascii="Calibri" w:hAnsi="Calibri"/>
                <w:sz w:val="18"/>
                <w:szCs w:val="18"/>
              </w:rPr>
            </w:pPr>
            <w:r w:rsidRPr="003F3018">
              <w:rPr>
                <w:rFonts w:ascii="Calibri" w:hAnsi="Calibri"/>
                <w:sz w:val="18"/>
                <w:szCs w:val="18"/>
              </w:rPr>
              <w:t>wg zał. H normy – badanie alternatywne</w:t>
            </w:r>
          </w:p>
        </w:tc>
      </w:tr>
      <w:tr w:rsidR="00C56AA0" w:rsidRPr="003F3018" w:rsidTr="00582D07">
        <w:trPr>
          <w:trHeight w:val="830"/>
        </w:trPr>
        <w:tc>
          <w:tcPr>
            <w:tcW w:w="534" w:type="dxa"/>
            <w:tcBorders>
              <w:top w:val="nil"/>
            </w:tcBorders>
          </w:tcPr>
          <w:p w:rsidR="00C56AA0" w:rsidRPr="003F3018" w:rsidRDefault="00C56AA0" w:rsidP="00C77850">
            <w:pPr>
              <w:jc w:val="left"/>
              <w:rPr>
                <w:rFonts w:ascii="Calibri" w:hAnsi="Calibri"/>
                <w:sz w:val="18"/>
                <w:szCs w:val="18"/>
              </w:rPr>
            </w:pPr>
          </w:p>
        </w:tc>
        <w:tc>
          <w:tcPr>
            <w:tcW w:w="2126" w:type="dxa"/>
            <w:tcBorders>
              <w:top w:val="nil"/>
            </w:tcBorders>
          </w:tcPr>
          <w:p w:rsidR="00C56AA0" w:rsidRPr="003F3018" w:rsidRDefault="00C56AA0" w:rsidP="00C77850">
            <w:pPr>
              <w:jc w:val="left"/>
              <w:rPr>
                <w:rFonts w:ascii="Calibri" w:hAnsi="Calibri"/>
                <w:sz w:val="18"/>
                <w:szCs w:val="18"/>
              </w:rPr>
            </w:pPr>
          </w:p>
        </w:tc>
        <w:tc>
          <w:tcPr>
            <w:tcW w:w="1134" w:type="dxa"/>
            <w:tcBorders>
              <w:top w:val="nil"/>
            </w:tcBorders>
          </w:tcPr>
          <w:p w:rsidR="00C56AA0" w:rsidRPr="003F3018" w:rsidRDefault="00C56AA0" w:rsidP="00C77850">
            <w:pPr>
              <w:jc w:val="left"/>
              <w:rPr>
                <w:rFonts w:ascii="Calibri" w:hAnsi="Calibri"/>
                <w:sz w:val="18"/>
                <w:szCs w:val="18"/>
              </w:rPr>
            </w:pPr>
          </w:p>
        </w:tc>
        <w:tc>
          <w:tcPr>
            <w:tcW w:w="850" w:type="dxa"/>
          </w:tcPr>
          <w:p w:rsidR="00C56AA0" w:rsidRPr="003F3018" w:rsidRDefault="00C56AA0" w:rsidP="00C77850">
            <w:pPr>
              <w:jc w:val="left"/>
              <w:rPr>
                <w:rFonts w:ascii="Calibri" w:hAnsi="Calibri"/>
                <w:sz w:val="18"/>
                <w:szCs w:val="18"/>
              </w:rPr>
            </w:pPr>
            <w:r w:rsidRPr="003F3018">
              <w:rPr>
                <w:rFonts w:ascii="Calibri" w:hAnsi="Calibri"/>
                <w:sz w:val="18"/>
                <w:szCs w:val="18"/>
              </w:rPr>
              <w:t>1</w:t>
            </w:r>
          </w:p>
          <w:p w:rsidR="00C56AA0" w:rsidRPr="003F3018" w:rsidRDefault="00C56AA0" w:rsidP="00C77850">
            <w:pPr>
              <w:jc w:val="left"/>
              <w:rPr>
                <w:rFonts w:ascii="Calibri" w:hAnsi="Calibri"/>
                <w:sz w:val="18"/>
                <w:szCs w:val="18"/>
              </w:rPr>
            </w:pPr>
            <w:r w:rsidRPr="003F3018">
              <w:rPr>
                <w:rFonts w:ascii="Calibri" w:hAnsi="Calibri"/>
                <w:sz w:val="18"/>
                <w:szCs w:val="18"/>
              </w:rPr>
              <w:t>3</w:t>
            </w:r>
          </w:p>
          <w:p w:rsidR="00C56AA0" w:rsidRPr="003F3018" w:rsidRDefault="00C56AA0" w:rsidP="00C77850">
            <w:pPr>
              <w:jc w:val="left"/>
              <w:rPr>
                <w:rFonts w:ascii="Calibri" w:hAnsi="Calibri"/>
                <w:sz w:val="18"/>
                <w:szCs w:val="18"/>
              </w:rPr>
            </w:pPr>
            <w:r w:rsidRPr="003F3018">
              <w:rPr>
                <w:rFonts w:ascii="Calibri" w:hAnsi="Calibri"/>
                <w:sz w:val="18"/>
                <w:szCs w:val="18"/>
              </w:rPr>
              <w:t>4</w:t>
            </w:r>
          </w:p>
        </w:tc>
        <w:tc>
          <w:tcPr>
            <w:tcW w:w="1276" w:type="dxa"/>
          </w:tcPr>
          <w:p w:rsidR="00C56AA0" w:rsidRPr="003F3018" w:rsidRDefault="00C56AA0" w:rsidP="00C77850">
            <w:pPr>
              <w:jc w:val="left"/>
              <w:rPr>
                <w:rFonts w:ascii="Calibri" w:hAnsi="Calibri"/>
                <w:sz w:val="18"/>
                <w:szCs w:val="18"/>
              </w:rPr>
            </w:pPr>
            <w:r w:rsidRPr="003F3018">
              <w:rPr>
                <w:rFonts w:ascii="Calibri" w:hAnsi="Calibri"/>
                <w:sz w:val="18"/>
                <w:szCs w:val="18"/>
              </w:rPr>
              <w:t>Nie określa się</w:t>
            </w:r>
          </w:p>
          <w:p w:rsidR="00C56AA0" w:rsidRPr="003F3018" w:rsidRDefault="00C56AA0" w:rsidP="00C77850">
            <w:pPr>
              <w:jc w:val="left"/>
              <w:rPr>
                <w:rFonts w:ascii="Calibri" w:hAnsi="Calibri"/>
                <w:sz w:val="18"/>
                <w:szCs w:val="18"/>
              </w:rPr>
            </w:pPr>
            <w:r w:rsidRPr="003F3018">
              <w:rPr>
                <w:rFonts w:ascii="Calibri" w:hAnsi="Calibri"/>
                <w:sz w:val="18"/>
                <w:szCs w:val="18"/>
              </w:rPr>
              <w:t xml:space="preserve">≤ </w:t>
            </w:r>
            <w:smartTag w:uri="urn:schemas-microsoft-com:office:smarttags" w:element="metricconverter">
              <w:smartTagPr>
                <w:attr w:name="ProductID" w:val="23 mm"/>
              </w:smartTagPr>
              <w:r w:rsidRPr="003F3018">
                <w:rPr>
                  <w:rFonts w:ascii="Calibri" w:hAnsi="Calibri"/>
                  <w:sz w:val="18"/>
                  <w:szCs w:val="18"/>
                </w:rPr>
                <w:t>23 mm</w:t>
              </w:r>
            </w:smartTag>
          </w:p>
          <w:p w:rsidR="00C56AA0" w:rsidRPr="003F3018" w:rsidRDefault="00C56AA0" w:rsidP="00C77850">
            <w:pPr>
              <w:jc w:val="left"/>
              <w:rPr>
                <w:rFonts w:ascii="Calibri" w:hAnsi="Calibri"/>
                <w:sz w:val="18"/>
                <w:szCs w:val="18"/>
              </w:rPr>
            </w:pPr>
            <w:r w:rsidRPr="003F3018">
              <w:rPr>
                <w:rFonts w:ascii="Calibri" w:hAnsi="Calibri"/>
                <w:sz w:val="18"/>
                <w:szCs w:val="18"/>
              </w:rPr>
              <w:t xml:space="preserve">≤ </w:t>
            </w:r>
            <w:smartTag w:uri="urn:schemas-microsoft-com:office:smarttags" w:element="metricconverter">
              <w:smartTagPr>
                <w:attr w:name="ProductID" w:val="20 mm"/>
              </w:smartTagPr>
              <w:r w:rsidRPr="003F3018">
                <w:rPr>
                  <w:rFonts w:ascii="Calibri" w:hAnsi="Calibri"/>
                  <w:sz w:val="18"/>
                  <w:szCs w:val="18"/>
                </w:rPr>
                <w:t>20 mm</w:t>
              </w:r>
            </w:smartTag>
          </w:p>
        </w:tc>
        <w:tc>
          <w:tcPr>
            <w:tcW w:w="2126" w:type="dxa"/>
          </w:tcPr>
          <w:p w:rsidR="00C56AA0" w:rsidRPr="003F3018" w:rsidRDefault="00C56AA0" w:rsidP="00C77850">
            <w:pPr>
              <w:jc w:val="left"/>
              <w:rPr>
                <w:rFonts w:ascii="Calibri" w:hAnsi="Calibri"/>
                <w:sz w:val="18"/>
                <w:szCs w:val="18"/>
              </w:rPr>
            </w:pPr>
            <w:r w:rsidRPr="003F3018">
              <w:rPr>
                <w:rFonts w:ascii="Calibri" w:hAnsi="Calibri"/>
                <w:sz w:val="18"/>
                <w:szCs w:val="18"/>
              </w:rPr>
              <w:t>Nie określa się</w:t>
            </w:r>
          </w:p>
          <w:p w:rsidR="00C56AA0" w:rsidRPr="003F3018" w:rsidRDefault="00C56AA0" w:rsidP="00C77850">
            <w:pPr>
              <w:jc w:val="left"/>
              <w:rPr>
                <w:rFonts w:ascii="Calibri" w:hAnsi="Calibri"/>
                <w:sz w:val="18"/>
                <w:szCs w:val="18"/>
                <w:vertAlign w:val="superscript"/>
              </w:rPr>
            </w:pPr>
            <w:r w:rsidRPr="003F3018">
              <w:rPr>
                <w:rFonts w:ascii="Calibri" w:hAnsi="Calibri"/>
                <w:sz w:val="18"/>
                <w:szCs w:val="18"/>
              </w:rPr>
              <w:t>≤ 20000 mm</w:t>
            </w:r>
            <w:r w:rsidRPr="003F3018">
              <w:rPr>
                <w:rFonts w:ascii="Calibri" w:hAnsi="Calibri"/>
                <w:sz w:val="18"/>
                <w:szCs w:val="18"/>
                <w:vertAlign w:val="superscript"/>
              </w:rPr>
              <w:t>3</w:t>
            </w:r>
            <w:r w:rsidRPr="003F3018">
              <w:rPr>
                <w:rFonts w:ascii="Calibri" w:hAnsi="Calibri"/>
                <w:sz w:val="18"/>
                <w:szCs w:val="18"/>
              </w:rPr>
              <w:t>/5000 mm</w:t>
            </w:r>
            <w:r w:rsidRPr="003F3018">
              <w:rPr>
                <w:rFonts w:ascii="Calibri" w:hAnsi="Calibri"/>
                <w:sz w:val="18"/>
                <w:szCs w:val="18"/>
                <w:vertAlign w:val="superscript"/>
              </w:rPr>
              <w:t>2</w:t>
            </w:r>
          </w:p>
          <w:p w:rsidR="00C56AA0" w:rsidRPr="003F3018" w:rsidRDefault="00C56AA0" w:rsidP="00C77850">
            <w:pPr>
              <w:jc w:val="left"/>
              <w:rPr>
                <w:rFonts w:ascii="Calibri" w:hAnsi="Calibri"/>
                <w:sz w:val="18"/>
                <w:szCs w:val="18"/>
              </w:rPr>
            </w:pPr>
            <w:r w:rsidRPr="003F3018">
              <w:rPr>
                <w:rFonts w:ascii="Calibri" w:hAnsi="Calibri"/>
                <w:sz w:val="18"/>
                <w:szCs w:val="18"/>
              </w:rPr>
              <w:t>≤ 18000 mm</w:t>
            </w:r>
            <w:r w:rsidRPr="003F3018">
              <w:rPr>
                <w:rFonts w:ascii="Calibri" w:hAnsi="Calibri"/>
                <w:sz w:val="18"/>
                <w:szCs w:val="18"/>
                <w:vertAlign w:val="superscript"/>
              </w:rPr>
              <w:t>3</w:t>
            </w:r>
            <w:r w:rsidRPr="003F3018">
              <w:rPr>
                <w:rFonts w:ascii="Calibri" w:hAnsi="Calibri"/>
                <w:sz w:val="18"/>
                <w:szCs w:val="18"/>
              </w:rPr>
              <w:t>/5000 mm</w:t>
            </w:r>
            <w:r w:rsidRPr="003F3018">
              <w:rPr>
                <w:rFonts w:ascii="Calibri" w:hAnsi="Calibri"/>
                <w:sz w:val="18"/>
                <w:szCs w:val="18"/>
                <w:vertAlign w:val="superscript"/>
              </w:rPr>
              <w:t>2</w:t>
            </w:r>
          </w:p>
        </w:tc>
      </w:tr>
      <w:tr w:rsidR="00C56AA0" w:rsidRPr="003F3018" w:rsidTr="00AE2508">
        <w:tc>
          <w:tcPr>
            <w:tcW w:w="534" w:type="dxa"/>
          </w:tcPr>
          <w:p w:rsidR="00C56AA0" w:rsidRPr="003F3018" w:rsidRDefault="00C56AA0" w:rsidP="00C77850">
            <w:pPr>
              <w:jc w:val="left"/>
              <w:rPr>
                <w:rFonts w:ascii="Calibri" w:hAnsi="Calibri"/>
                <w:sz w:val="18"/>
                <w:szCs w:val="18"/>
              </w:rPr>
            </w:pPr>
            <w:r w:rsidRPr="003F3018">
              <w:rPr>
                <w:rFonts w:ascii="Calibri" w:hAnsi="Calibri"/>
                <w:sz w:val="18"/>
                <w:szCs w:val="18"/>
              </w:rPr>
              <w:t>2.5</w:t>
            </w:r>
          </w:p>
        </w:tc>
        <w:tc>
          <w:tcPr>
            <w:tcW w:w="2126" w:type="dxa"/>
          </w:tcPr>
          <w:p w:rsidR="00C56AA0" w:rsidRPr="003F3018" w:rsidRDefault="00C56AA0" w:rsidP="00C77850">
            <w:pPr>
              <w:jc w:val="left"/>
              <w:rPr>
                <w:rFonts w:ascii="Calibri" w:hAnsi="Calibri"/>
                <w:sz w:val="18"/>
                <w:szCs w:val="18"/>
              </w:rPr>
            </w:pPr>
            <w:r w:rsidRPr="003F3018">
              <w:rPr>
                <w:rFonts w:ascii="Calibri" w:hAnsi="Calibri"/>
                <w:sz w:val="18"/>
                <w:szCs w:val="18"/>
              </w:rPr>
              <w:t>Odporność na poślizg/</w:t>
            </w:r>
          </w:p>
          <w:p w:rsidR="00C56AA0" w:rsidRPr="003F3018" w:rsidRDefault="00C56AA0" w:rsidP="00C77850">
            <w:pPr>
              <w:jc w:val="left"/>
              <w:rPr>
                <w:rFonts w:ascii="Calibri" w:hAnsi="Calibri"/>
                <w:sz w:val="18"/>
                <w:szCs w:val="18"/>
              </w:rPr>
            </w:pPr>
            <w:r w:rsidRPr="003F3018">
              <w:rPr>
                <w:rFonts w:ascii="Calibri" w:hAnsi="Calibri"/>
                <w:sz w:val="18"/>
                <w:szCs w:val="18"/>
              </w:rPr>
              <w:t>poślizgnięcie</w:t>
            </w:r>
          </w:p>
        </w:tc>
        <w:tc>
          <w:tcPr>
            <w:tcW w:w="1134" w:type="dxa"/>
          </w:tcPr>
          <w:p w:rsidR="00C56AA0" w:rsidRPr="003F3018" w:rsidRDefault="00C56AA0" w:rsidP="00C77850">
            <w:pPr>
              <w:jc w:val="left"/>
              <w:rPr>
                <w:rFonts w:ascii="Calibri" w:hAnsi="Calibri"/>
                <w:sz w:val="18"/>
                <w:szCs w:val="18"/>
              </w:rPr>
            </w:pPr>
            <w:r w:rsidRPr="003F3018">
              <w:rPr>
                <w:rFonts w:ascii="Calibri" w:hAnsi="Calibri"/>
                <w:sz w:val="18"/>
                <w:szCs w:val="18"/>
              </w:rPr>
              <w:t>I</w:t>
            </w:r>
          </w:p>
        </w:tc>
        <w:tc>
          <w:tcPr>
            <w:tcW w:w="4252" w:type="dxa"/>
            <w:gridSpan w:val="3"/>
          </w:tcPr>
          <w:p w:rsidR="00C56AA0" w:rsidRPr="003F3018" w:rsidRDefault="00C77850" w:rsidP="00C77850">
            <w:pPr>
              <w:jc w:val="left"/>
              <w:rPr>
                <w:rFonts w:ascii="Calibri" w:hAnsi="Calibri"/>
                <w:sz w:val="18"/>
                <w:szCs w:val="18"/>
              </w:rPr>
            </w:pPr>
            <w:r>
              <w:rPr>
                <w:rFonts w:ascii="Calibri" w:hAnsi="Calibri"/>
                <w:sz w:val="18"/>
                <w:szCs w:val="18"/>
              </w:rPr>
              <w:t xml:space="preserve"> a) </w:t>
            </w:r>
            <w:r w:rsidR="00C56AA0" w:rsidRPr="003F3018">
              <w:rPr>
                <w:rFonts w:ascii="Calibri" w:hAnsi="Calibri"/>
                <w:sz w:val="18"/>
                <w:szCs w:val="18"/>
              </w:rPr>
              <w:t>jeśli górna powierzchnia krawężnika nie była szlifowana i/lub polerowana – zadawalająca odporność,</w:t>
            </w:r>
          </w:p>
          <w:p w:rsidR="00C56AA0" w:rsidRPr="003F3018" w:rsidRDefault="00C77850" w:rsidP="00C77850">
            <w:pPr>
              <w:jc w:val="left"/>
              <w:rPr>
                <w:rFonts w:ascii="Calibri" w:hAnsi="Calibri"/>
                <w:sz w:val="18"/>
                <w:szCs w:val="18"/>
              </w:rPr>
            </w:pPr>
            <w:r>
              <w:rPr>
                <w:rFonts w:ascii="Calibri" w:hAnsi="Calibri"/>
                <w:sz w:val="18"/>
                <w:szCs w:val="18"/>
              </w:rPr>
              <w:lastRenderedPageBreak/>
              <w:t xml:space="preserve"> b) </w:t>
            </w:r>
            <w:r w:rsidR="00C56AA0" w:rsidRPr="003F3018">
              <w:rPr>
                <w:rFonts w:ascii="Calibri" w:hAnsi="Calibri"/>
                <w:sz w:val="18"/>
                <w:szCs w:val="18"/>
              </w:rPr>
              <w:t>jeśli wyjątkowo wymaga się podania wartości odporności na poślizg/poślizgnięcie – należy zadeklarować minimalną jej wartość pomierzoną wg zał. I normy (wahadłowym przyrządem do badania tarcia),</w:t>
            </w:r>
          </w:p>
          <w:p w:rsidR="00C56AA0" w:rsidRPr="003F3018" w:rsidRDefault="00C77850" w:rsidP="00C77850">
            <w:pPr>
              <w:jc w:val="left"/>
              <w:rPr>
                <w:rFonts w:ascii="Calibri" w:hAnsi="Calibri"/>
                <w:sz w:val="18"/>
                <w:szCs w:val="18"/>
              </w:rPr>
            </w:pPr>
            <w:r>
              <w:rPr>
                <w:rFonts w:ascii="Calibri" w:hAnsi="Calibri"/>
                <w:sz w:val="18"/>
                <w:szCs w:val="18"/>
              </w:rPr>
              <w:t xml:space="preserve"> c) </w:t>
            </w:r>
            <w:r w:rsidR="00C56AA0" w:rsidRPr="003F3018">
              <w:rPr>
                <w:rFonts w:ascii="Calibri" w:hAnsi="Calibri"/>
                <w:sz w:val="18"/>
                <w:szCs w:val="18"/>
              </w:rPr>
              <w:t>trwałość odporności na poślizg/poślizgnięcie w nor-malnych warunkach użytkowania krawężnika jest zada-walająca przez cały okres użytkowania, pod warunkiem właściwego utrzymywania i gdy na znacznej części nie zostało odsłonięte kruszywo podlegające intensywnemu polerowaniu.</w:t>
            </w:r>
          </w:p>
        </w:tc>
      </w:tr>
      <w:tr w:rsidR="00C56AA0" w:rsidRPr="003F3018" w:rsidTr="00AE2508">
        <w:tc>
          <w:tcPr>
            <w:tcW w:w="534" w:type="dxa"/>
          </w:tcPr>
          <w:p w:rsidR="00C77850" w:rsidRDefault="00C77850" w:rsidP="00C77850">
            <w:pPr>
              <w:jc w:val="left"/>
              <w:rPr>
                <w:rFonts w:ascii="Calibri" w:hAnsi="Calibri"/>
                <w:sz w:val="18"/>
                <w:szCs w:val="18"/>
              </w:rPr>
            </w:pPr>
          </w:p>
          <w:p w:rsidR="00C56AA0" w:rsidRPr="003F3018" w:rsidRDefault="00C56AA0" w:rsidP="00C77850">
            <w:pPr>
              <w:jc w:val="left"/>
              <w:rPr>
                <w:rFonts w:ascii="Calibri" w:hAnsi="Calibri"/>
                <w:sz w:val="18"/>
                <w:szCs w:val="18"/>
              </w:rPr>
            </w:pPr>
            <w:r w:rsidRPr="003F3018">
              <w:rPr>
                <w:rFonts w:ascii="Calibri" w:hAnsi="Calibri"/>
                <w:sz w:val="18"/>
                <w:szCs w:val="18"/>
              </w:rPr>
              <w:t>3</w:t>
            </w:r>
          </w:p>
        </w:tc>
        <w:tc>
          <w:tcPr>
            <w:tcW w:w="7512" w:type="dxa"/>
            <w:gridSpan w:val="5"/>
          </w:tcPr>
          <w:p w:rsidR="00C77850" w:rsidRDefault="00C77850" w:rsidP="00C77850">
            <w:pPr>
              <w:jc w:val="left"/>
              <w:rPr>
                <w:rFonts w:ascii="Calibri" w:hAnsi="Calibri"/>
                <w:sz w:val="18"/>
                <w:szCs w:val="18"/>
              </w:rPr>
            </w:pPr>
          </w:p>
          <w:p w:rsidR="00C56AA0" w:rsidRDefault="00C56AA0" w:rsidP="00C77850">
            <w:pPr>
              <w:jc w:val="left"/>
              <w:rPr>
                <w:rFonts w:ascii="Calibri" w:hAnsi="Calibri"/>
                <w:sz w:val="18"/>
                <w:szCs w:val="18"/>
              </w:rPr>
            </w:pPr>
            <w:r w:rsidRPr="003F3018">
              <w:rPr>
                <w:rFonts w:ascii="Calibri" w:hAnsi="Calibri"/>
                <w:sz w:val="18"/>
                <w:szCs w:val="18"/>
              </w:rPr>
              <w:t>Aspekty wizualne</w:t>
            </w:r>
          </w:p>
          <w:p w:rsidR="00C77850" w:rsidRPr="003F3018" w:rsidRDefault="00C77850" w:rsidP="00C77850">
            <w:pPr>
              <w:jc w:val="left"/>
              <w:rPr>
                <w:rFonts w:ascii="Calibri" w:hAnsi="Calibri"/>
                <w:sz w:val="18"/>
                <w:szCs w:val="18"/>
              </w:rPr>
            </w:pPr>
          </w:p>
        </w:tc>
      </w:tr>
      <w:tr w:rsidR="00C56AA0" w:rsidRPr="003F3018" w:rsidTr="00AE2508">
        <w:trPr>
          <w:trHeight w:val="1474"/>
        </w:trPr>
        <w:tc>
          <w:tcPr>
            <w:tcW w:w="534" w:type="dxa"/>
          </w:tcPr>
          <w:p w:rsidR="00C56AA0" w:rsidRPr="003F3018" w:rsidRDefault="00C56AA0" w:rsidP="00C77850">
            <w:pPr>
              <w:jc w:val="left"/>
              <w:rPr>
                <w:rFonts w:ascii="Calibri" w:hAnsi="Calibri"/>
                <w:sz w:val="18"/>
                <w:szCs w:val="18"/>
              </w:rPr>
            </w:pPr>
            <w:r w:rsidRPr="003F3018">
              <w:rPr>
                <w:rFonts w:ascii="Calibri" w:hAnsi="Calibri"/>
                <w:sz w:val="18"/>
                <w:szCs w:val="18"/>
              </w:rPr>
              <w:t>3.1</w:t>
            </w:r>
          </w:p>
        </w:tc>
        <w:tc>
          <w:tcPr>
            <w:tcW w:w="2126" w:type="dxa"/>
          </w:tcPr>
          <w:p w:rsidR="00C56AA0" w:rsidRPr="003F3018" w:rsidRDefault="00C56AA0" w:rsidP="00C77850">
            <w:pPr>
              <w:jc w:val="left"/>
              <w:rPr>
                <w:rFonts w:ascii="Calibri" w:hAnsi="Calibri"/>
                <w:sz w:val="18"/>
                <w:szCs w:val="18"/>
              </w:rPr>
            </w:pPr>
            <w:r w:rsidRPr="003F3018">
              <w:rPr>
                <w:rFonts w:ascii="Calibri" w:hAnsi="Calibri"/>
                <w:sz w:val="18"/>
                <w:szCs w:val="18"/>
              </w:rPr>
              <w:t>Wygląd</w:t>
            </w:r>
          </w:p>
        </w:tc>
        <w:tc>
          <w:tcPr>
            <w:tcW w:w="1134" w:type="dxa"/>
          </w:tcPr>
          <w:p w:rsidR="00C56AA0" w:rsidRPr="003F3018" w:rsidRDefault="00C56AA0" w:rsidP="00C77850">
            <w:pPr>
              <w:jc w:val="left"/>
              <w:rPr>
                <w:rFonts w:ascii="Calibri" w:hAnsi="Calibri"/>
                <w:sz w:val="18"/>
                <w:szCs w:val="18"/>
              </w:rPr>
            </w:pPr>
            <w:r w:rsidRPr="003F3018">
              <w:rPr>
                <w:rFonts w:ascii="Calibri" w:hAnsi="Calibri"/>
                <w:sz w:val="18"/>
                <w:szCs w:val="18"/>
              </w:rPr>
              <w:t>J</w:t>
            </w:r>
          </w:p>
        </w:tc>
        <w:tc>
          <w:tcPr>
            <w:tcW w:w="4252" w:type="dxa"/>
            <w:gridSpan w:val="3"/>
          </w:tcPr>
          <w:p w:rsidR="00C56AA0" w:rsidRPr="003F3018" w:rsidRDefault="00C77850" w:rsidP="00C77850">
            <w:pPr>
              <w:jc w:val="left"/>
              <w:rPr>
                <w:rFonts w:ascii="Calibri" w:hAnsi="Calibri"/>
                <w:sz w:val="18"/>
                <w:szCs w:val="18"/>
              </w:rPr>
            </w:pPr>
            <w:r>
              <w:rPr>
                <w:rFonts w:ascii="Calibri" w:hAnsi="Calibri"/>
                <w:sz w:val="18"/>
                <w:szCs w:val="18"/>
              </w:rPr>
              <w:t xml:space="preserve">a) </w:t>
            </w:r>
            <w:r w:rsidR="00C56AA0" w:rsidRPr="003F3018">
              <w:rPr>
                <w:rFonts w:ascii="Calibri" w:hAnsi="Calibri"/>
                <w:sz w:val="18"/>
                <w:szCs w:val="18"/>
              </w:rPr>
              <w:t>powierzchnia krawężnika nie powinna mieć rys i odprysków,</w:t>
            </w:r>
          </w:p>
          <w:p w:rsidR="00C56AA0" w:rsidRPr="003F3018" w:rsidRDefault="00C77850" w:rsidP="00C77850">
            <w:pPr>
              <w:jc w:val="left"/>
              <w:rPr>
                <w:rFonts w:ascii="Calibri" w:hAnsi="Calibri"/>
                <w:sz w:val="18"/>
                <w:szCs w:val="18"/>
              </w:rPr>
            </w:pPr>
            <w:r>
              <w:rPr>
                <w:rFonts w:ascii="Calibri" w:hAnsi="Calibri"/>
                <w:sz w:val="18"/>
                <w:szCs w:val="18"/>
              </w:rPr>
              <w:t>b)</w:t>
            </w:r>
            <w:r w:rsidR="00C56AA0" w:rsidRPr="003F3018">
              <w:rPr>
                <w:rFonts w:ascii="Calibri" w:hAnsi="Calibri"/>
                <w:sz w:val="18"/>
                <w:szCs w:val="18"/>
              </w:rPr>
              <w:t>nie dopuszcza się rozwarstwień w krawężnikach dwuwarstwowych</w:t>
            </w:r>
          </w:p>
          <w:p w:rsidR="00C56AA0" w:rsidRPr="003F3018" w:rsidRDefault="00C77850" w:rsidP="00C77850">
            <w:pPr>
              <w:jc w:val="left"/>
              <w:rPr>
                <w:rFonts w:ascii="Calibri" w:hAnsi="Calibri"/>
                <w:sz w:val="18"/>
                <w:szCs w:val="18"/>
              </w:rPr>
            </w:pPr>
            <w:r>
              <w:rPr>
                <w:rFonts w:ascii="Calibri" w:hAnsi="Calibri"/>
                <w:sz w:val="18"/>
                <w:szCs w:val="18"/>
              </w:rPr>
              <w:t xml:space="preserve">c) </w:t>
            </w:r>
            <w:r w:rsidR="00C56AA0" w:rsidRPr="003F3018">
              <w:rPr>
                <w:rFonts w:ascii="Calibri" w:hAnsi="Calibri"/>
                <w:sz w:val="18"/>
                <w:szCs w:val="18"/>
              </w:rPr>
              <w:t>ewentualne wykwity nie są uważane za istotne</w:t>
            </w:r>
          </w:p>
        </w:tc>
      </w:tr>
      <w:tr w:rsidR="00C56AA0" w:rsidRPr="003F3018" w:rsidTr="00AE2508">
        <w:tc>
          <w:tcPr>
            <w:tcW w:w="534" w:type="dxa"/>
          </w:tcPr>
          <w:p w:rsidR="00C56AA0" w:rsidRPr="003F3018" w:rsidRDefault="00C56AA0" w:rsidP="00C77850">
            <w:pPr>
              <w:jc w:val="left"/>
              <w:rPr>
                <w:rFonts w:ascii="Calibri" w:hAnsi="Calibri"/>
                <w:sz w:val="18"/>
                <w:szCs w:val="18"/>
              </w:rPr>
            </w:pPr>
            <w:r w:rsidRPr="003F3018">
              <w:rPr>
                <w:rFonts w:ascii="Calibri" w:hAnsi="Calibri"/>
                <w:sz w:val="18"/>
                <w:szCs w:val="18"/>
              </w:rPr>
              <w:t>3.2</w:t>
            </w:r>
          </w:p>
        </w:tc>
        <w:tc>
          <w:tcPr>
            <w:tcW w:w="2126" w:type="dxa"/>
          </w:tcPr>
          <w:p w:rsidR="00C56AA0" w:rsidRPr="003F3018" w:rsidRDefault="00C56AA0" w:rsidP="00C77850">
            <w:pPr>
              <w:jc w:val="left"/>
              <w:rPr>
                <w:rFonts w:ascii="Calibri" w:hAnsi="Calibri"/>
                <w:sz w:val="18"/>
                <w:szCs w:val="18"/>
              </w:rPr>
            </w:pPr>
            <w:r w:rsidRPr="003F3018">
              <w:rPr>
                <w:rFonts w:ascii="Calibri" w:hAnsi="Calibri"/>
                <w:sz w:val="18"/>
                <w:szCs w:val="18"/>
              </w:rPr>
              <w:t>Tekstura</w:t>
            </w:r>
          </w:p>
        </w:tc>
        <w:tc>
          <w:tcPr>
            <w:tcW w:w="1134" w:type="dxa"/>
          </w:tcPr>
          <w:p w:rsidR="00C56AA0" w:rsidRPr="003F3018" w:rsidRDefault="00C56AA0" w:rsidP="00C77850">
            <w:pPr>
              <w:jc w:val="left"/>
              <w:rPr>
                <w:rFonts w:ascii="Calibri" w:hAnsi="Calibri"/>
                <w:sz w:val="18"/>
                <w:szCs w:val="18"/>
              </w:rPr>
            </w:pPr>
            <w:r w:rsidRPr="003F3018">
              <w:rPr>
                <w:rFonts w:ascii="Calibri" w:hAnsi="Calibri"/>
                <w:sz w:val="18"/>
                <w:szCs w:val="18"/>
              </w:rPr>
              <w:t>J</w:t>
            </w:r>
          </w:p>
        </w:tc>
        <w:tc>
          <w:tcPr>
            <w:tcW w:w="4252" w:type="dxa"/>
            <w:gridSpan w:val="3"/>
          </w:tcPr>
          <w:p w:rsidR="00C56AA0" w:rsidRPr="003F3018" w:rsidRDefault="00C77850" w:rsidP="00C77850">
            <w:pPr>
              <w:jc w:val="left"/>
              <w:rPr>
                <w:rFonts w:ascii="Calibri" w:hAnsi="Calibri"/>
                <w:sz w:val="18"/>
                <w:szCs w:val="18"/>
              </w:rPr>
            </w:pPr>
            <w:r>
              <w:rPr>
                <w:rFonts w:ascii="Calibri" w:hAnsi="Calibri"/>
                <w:sz w:val="18"/>
                <w:szCs w:val="18"/>
              </w:rPr>
              <w:t xml:space="preserve">a) </w:t>
            </w:r>
            <w:r w:rsidR="00C56AA0" w:rsidRPr="003F3018">
              <w:rPr>
                <w:rFonts w:ascii="Calibri" w:hAnsi="Calibri"/>
                <w:sz w:val="18"/>
                <w:szCs w:val="18"/>
              </w:rPr>
              <w:t>krawężniki z powierzchnią o specjalnej teksturze – producent powinien określić rodzaj tekstury,</w:t>
            </w:r>
          </w:p>
          <w:p w:rsidR="00C56AA0" w:rsidRPr="003F3018" w:rsidRDefault="00C77850" w:rsidP="00C77850">
            <w:pPr>
              <w:jc w:val="left"/>
              <w:rPr>
                <w:rFonts w:ascii="Calibri" w:hAnsi="Calibri"/>
                <w:sz w:val="18"/>
                <w:szCs w:val="18"/>
              </w:rPr>
            </w:pPr>
            <w:r>
              <w:rPr>
                <w:rFonts w:ascii="Calibri" w:hAnsi="Calibri"/>
                <w:sz w:val="18"/>
                <w:szCs w:val="18"/>
              </w:rPr>
              <w:t xml:space="preserve">b) </w:t>
            </w:r>
            <w:r w:rsidR="00C56AA0" w:rsidRPr="003F3018">
              <w:rPr>
                <w:rFonts w:ascii="Calibri" w:hAnsi="Calibri"/>
                <w:sz w:val="18"/>
                <w:szCs w:val="18"/>
              </w:rPr>
              <w:t>tekstura powinna być porównana z próbkami dostarczonymi przez producenta, zatwierdzonymi przez odbiorcę,</w:t>
            </w:r>
          </w:p>
          <w:p w:rsidR="00C56AA0" w:rsidRPr="003F3018" w:rsidRDefault="00C77850" w:rsidP="00C77850">
            <w:pPr>
              <w:jc w:val="left"/>
              <w:rPr>
                <w:rFonts w:ascii="Calibri" w:hAnsi="Calibri"/>
                <w:sz w:val="18"/>
                <w:szCs w:val="18"/>
              </w:rPr>
            </w:pPr>
            <w:r>
              <w:rPr>
                <w:rFonts w:ascii="Calibri" w:hAnsi="Calibri"/>
                <w:sz w:val="18"/>
                <w:szCs w:val="18"/>
              </w:rPr>
              <w:t xml:space="preserve">c) </w:t>
            </w:r>
            <w:r w:rsidR="00C56AA0" w:rsidRPr="003F3018">
              <w:rPr>
                <w:rFonts w:ascii="Calibri" w:hAnsi="Calibri"/>
                <w:sz w:val="18"/>
                <w:szCs w:val="18"/>
              </w:rPr>
              <w:t>różnice w jednolitości tekstury, spowodowane nieuniknionymi zmianami we właściwości surowców i warunków twardnienia, nie są uważane za istotne</w:t>
            </w:r>
          </w:p>
        </w:tc>
      </w:tr>
      <w:tr w:rsidR="00C56AA0" w:rsidRPr="003F3018" w:rsidTr="00AE2508">
        <w:trPr>
          <w:trHeight w:val="821"/>
        </w:trPr>
        <w:tc>
          <w:tcPr>
            <w:tcW w:w="534" w:type="dxa"/>
          </w:tcPr>
          <w:p w:rsidR="00C56AA0" w:rsidRPr="003F3018" w:rsidRDefault="00C56AA0" w:rsidP="00C77850">
            <w:pPr>
              <w:jc w:val="left"/>
              <w:rPr>
                <w:rFonts w:ascii="Calibri" w:hAnsi="Calibri"/>
                <w:sz w:val="18"/>
                <w:szCs w:val="18"/>
              </w:rPr>
            </w:pPr>
            <w:r w:rsidRPr="003F3018">
              <w:rPr>
                <w:rFonts w:ascii="Calibri" w:hAnsi="Calibri"/>
                <w:sz w:val="18"/>
                <w:szCs w:val="18"/>
              </w:rPr>
              <w:t>3.3</w:t>
            </w:r>
          </w:p>
        </w:tc>
        <w:tc>
          <w:tcPr>
            <w:tcW w:w="2126" w:type="dxa"/>
          </w:tcPr>
          <w:p w:rsidR="00C56AA0" w:rsidRPr="003F3018" w:rsidRDefault="00C56AA0" w:rsidP="00C77850">
            <w:pPr>
              <w:jc w:val="left"/>
              <w:rPr>
                <w:rFonts w:ascii="Calibri" w:hAnsi="Calibri"/>
                <w:sz w:val="18"/>
                <w:szCs w:val="18"/>
              </w:rPr>
            </w:pPr>
            <w:r w:rsidRPr="003F3018">
              <w:rPr>
                <w:rFonts w:ascii="Calibri" w:hAnsi="Calibri"/>
                <w:sz w:val="18"/>
                <w:szCs w:val="18"/>
              </w:rPr>
              <w:t>Zabarwienie</w:t>
            </w:r>
          </w:p>
        </w:tc>
        <w:tc>
          <w:tcPr>
            <w:tcW w:w="1134" w:type="dxa"/>
          </w:tcPr>
          <w:p w:rsidR="00C56AA0" w:rsidRPr="003F3018" w:rsidRDefault="00C56AA0" w:rsidP="00C77850">
            <w:pPr>
              <w:jc w:val="left"/>
              <w:rPr>
                <w:rFonts w:ascii="Calibri" w:hAnsi="Calibri"/>
                <w:sz w:val="18"/>
                <w:szCs w:val="18"/>
              </w:rPr>
            </w:pPr>
            <w:r w:rsidRPr="003F3018">
              <w:rPr>
                <w:rFonts w:ascii="Calibri" w:hAnsi="Calibri"/>
                <w:sz w:val="18"/>
                <w:szCs w:val="18"/>
              </w:rPr>
              <w:t>J</w:t>
            </w:r>
          </w:p>
        </w:tc>
        <w:tc>
          <w:tcPr>
            <w:tcW w:w="4252" w:type="dxa"/>
            <w:gridSpan w:val="3"/>
          </w:tcPr>
          <w:p w:rsidR="00C56AA0" w:rsidRPr="003F3018" w:rsidRDefault="00C77850" w:rsidP="00C77850">
            <w:pPr>
              <w:jc w:val="left"/>
              <w:rPr>
                <w:rFonts w:ascii="Calibri" w:hAnsi="Calibri"/>
                <w:sz w:val="18"/>
                <w:szCs w:val="18"/>
              </w:rPr>
            </w:pPr>
            <w:r>
              <w:rPr>
                <w:rFonts w:ascii="Calibri" w:hAnsi="Calibri"/>
                <w:sz w:val="18"/>
                <w:szCs w:val="18"/>
              </w:rPr>
              <w:t xml:space="preserve">a) </w:t>
            </w:r>
            <w:r w:rsidR="00C56AA0" w:rsidRPr="003F3018">
              <w:rPr>
                <w:rFonts w:ascii="Calibri" w:hAnsi="Calibri"/>
                <w:sz w:val="18"/>
                <w:szCs w:val="18"/>
              </w:rPr>
              <w:t>barwiona może być warstwa ścieralna lub cały element,</w:t>
            </w:r>
          </w:p>
          <w:p w:rsidR="00C56AA0" w:rsidRPr="003F3018" w:rsidRDefault="00C77850" w:rsidP="00C77850">
            <w:pPr>
              <w:jc w:val="left"/>
              <w:rPr>
                <w:rFonts w:ascii="Calibri" w:hAnsi="Calibri"/>
                <w:sz w:val="18"/>
                <w:szCs w:val="18"/>
              </w:rPr>
            </w:pPr>
            <w:r>
              <w:rPr>
                <w:rFonts w:ascii="Calibri" w:hAnsi="Calibri"/>
                <w:sz w:val="18"/>
                <w:szCs w:val="18"/>
              </w:rPr>
              <w:t xml:space="preserve">b) </w:t>
            </w:r>
            <w:r w:rsidR="00C56AA0" w:rsidRPr="003F3018">
              <w:rPr>
                <w:rFonts w:ascii="Calibri" w:hAnsi="Calibri"/>
                <w:sz w:val="18"/>
                <w:szCs w:val="18"/>
              </w:rPr>
              <w:t>zabarwienie powinno być porównane z próbkami dostarczonymi przez producenta, zatwierdzonymi przez odbiorcę,</w:t>
            </w:r>
          </w:p>
          <w:p w:rsidR="00C56AA0" w:rsidRPr="003F3018" w:rsidRDefault="00C77850" w:rsidP="00C77850">
            <w:pPr>
              <w:jc w:val="left"/>
              <w:rPr>
                <w:rFonts w:ascii="Calibri" w:hAnsi="Calibri"/>
                <w:sz w:val="18"/>
                <w:szCs w:val="18"/>
              </w:rPr>
            </w:pPr>
            <w:r>
              <w:rPr>
                <w:rFonts w:ascii="Calibri" w:hAnsi="Calibri"/>
                <w:sz w:val="18"/>
                <w:szCs w:val="18"/>
              </w:rPr>
              <w:t xml:space="preserve">c) </w:t>
            </w:r>
            <w:r w:rsidR="00C56AA0" w:rsidRPr="003F3018">
              <w:rPr>
                <w:rFonts w:ascii="Calibri" w:hAnsi="Calibri"/>
                <w:sz w:val="18"/>
                <w:szCs w:val="18"/>
              </w:rPr>
              <w:t>różnice w jednolitości zabarwienia, spowodowane nieuniknionymi zmianami właściwości surowców lub warunków dojrzewania betonu, nie są uważane za istotne</w:t>
            </w:r>
          </w:p>
        </w:tc>
      </w:tr>
    </w:tbl>
    <w:p w:rsidR="00C56AA0" w:rsidRPr="003F3018" w:rsidRDefault="00C56AA0" w:rsidP="00C56AA0">
      <w:pPr>
        <w:rPr>
          <w:rFonts w:ascii="Calibri" w:hAnsi="Calibri"/>
        </w:rPr>
      </w:pPr>
    </w:p>
    <w:p w:rsidR="00C56AA0" w:rsidRPr="003F3018" w:rsidRDefault="00C56AA0" w:rsidP="00C56AA0">
      <w:pPr>
        <w:rPr>
          <w:rFonts w:ascii="Calibri" w:hAnsi="Calibri"/>
        </w:rPr>
      </w:pPr>
      <w:r w:rsidRPr="003F3018">
        <w:rPr>
          <w:rFonts w:ascii="Calibri" w:hAnsi="Calibri"/>
          <w:b/>
        </w:rPr>
        <w:t>2.4.4.</w:t>
      </w:r>
      <w:r w:rsidRPr="003F3018">
        <w:rPr>
          <w:rFonts w:ascii="Calibri" w:hAnsi="Calibri"/>
        </w:rPr>
        <w:t xml:space="preserve"> Składowanie</w:t>
      </w:r>
    </w:p>
    <w:p w:rsidR="00C56AA0" w:rsidRPr="003F3018" w:rsidRDefault="00C56AA0" w:rsidP="00C56AA0">
      <w:pPr>
        <w:rPr>
          <w:rFonts w:ascii="Calibri" w:hAnsi="Calibri"/>
        </w:rPr>
      </w:pPr>
      <w:r w:rsidRPr="003F3018">
        <w:rPr>
          <w:rFonts w:ascii="Calibri" w:hAnsi="Calibri"/>
        </w:rPr>
        <w:tab/>
        <w:t>Krawężniki betonowe mogą być przechowywane na składowiskach otwartych, posegregowane według typów, rodzajów, odmian, gatunków i wielkości.</w:t>
      </w:r>
    </w:p>
    <w:p w:rsidR="00C56AA0" w:rsidRPr="003F3018" w:rsidRDefault="00C56AA0" w:rsidP="00C56AA0">
      <w:pPr>
        <w:rPr>
          <w:rFonts w:ascii="Calibri" w:hAnsi="Calibri"/>
        </w:rPr>
      </w:pPr>
      <w:r w:rsidRPr="003F3018">
        <w:rPr>
          <w:rFonts w:ascii="Calibri" w:hAnsi="Calibri"/>
        </w:rPr>
        <w:tab/>
        <w:t xml:space="preserve">Krawężniki betonowe należy układać z zastosowaniem podkładek i przekładek drewnianych o wymiarach: grubość </w:t>
      </w:r>
      <w:smartTag w:uri="urn:schemas-microsoft-com:office:smarttags" w:element="metricconverter">
        <w:smartTagPr>
          <w:attr w:name="ProductID" w:val="2,5 cm"/>
        </w:smartTagPr>
        <w:r w:rsidRPr="003F3018">
          <w:rPr>
            <w:rFonts w:ascii="Calibri" w:hAnsi="Calibri"/>
          </w:rPr>
          <w:t>2,5 cm</w:t>
        </w:r>
      </w:smartTag>
      <w:r w:rsidRPr="003F3018">
        <w:rPr>
          <w:rFonts w:ascii="Calibri" w:hAnsi="Calibri"/>
        </w:rPr>
        <w:t xml:space="preserve">, szerokość </w:t>
      </w:r>
      <w:smartTag w:uri="urn:schemas-microsoft-com:office:smarttags" w:element="metricconverter">
        <w:smartTagPr>
          <w:attr w:name="ProductID" w:val="5 cm"/>
        </w:smartTagPr>
        <w:r w:rsidRPr="003F3018">
          <w:rPr>
            <w:rFonts w:ascii="Calibri" w:hAnsi="Calibri"/>
          </w:rPr>
          <w:t>5 cm</w:t>
        </w:r>
      </w:smartTag>
      <w:r w:rsidRPr="003F3018">
        <w:rPr>
          <w:rFonts w:ascii="Calibri" w:hAnsi="Calibri"/>
        </w:rPr>
        <w:t xml:space="preserve">, długość min. </w:t>
      </w:r>
      <w:smartTag w:uri="urn:schemas-microsoft-com:office:smarttags" w:element="metricconverter">
        <w:smartTagPr>
          <w:attr w:name="ProductID" w:val="5 cm"/>
        </w:smartTagPr>
        <w:r w:rsidRPr="003F3018">
          <w:rPr>
            <w:rFonts w:ascii="Calibri" w:hAnsi="Calibri"/>
          </w:rPr>
          <w:t>5 cm</w:t>
        </w:r>
      </w:smartTag>
      <w:r w:rsidRPr="003F3018">
        <w:rPr>
          <w:rFonts w:ascii="Calibri" w:hAnsi="Calibri"/>
        </w:rPr>
        <w:t xml:space="preserve"> większa niż szerokość krawężnika.</w:t>
      </w:r>
    </w:p>
    <w:p w:rsidR="00C56AA0" w:rsidRPr="003F3018" w:rsidRDefault="00C56AA0" w:rsidP="00C56AA0">
      <w:pPr>
        <w:rPr>
          <w:rFonts w:ascii="Calibri" w:hAnsi="Calibri"/>
        </w:rPr>
      </w:pPr>
      <w:r w:rsidRPr="003F3018">
        <w:rPr>
          <w:rFonts w:ascii="Calibri" w:hAnsi="Calibri"/>
          <w:b/>
        </w:rPr>
        <w:t>2.4.5.</w:t>
      </w:r>
      <w:r w:rsidRPr="003F3018">
        <w:rPr>
          <w:rFonts w:ascii="Calibri" w:hAnsi="Calibri"/>
        </w:rPr>
        <w:t xml:space="preserve"> Beton i jego składniki</w:t>
      </w:r>
    </w:p>
    <w:p w:rsidR="00C56AA0" w:rsidRPr="003F3018" w:rsidRDefault="00C56AA0" w:rsidP="00C56AA0">
      <w:pPr>
        <w:rPr>
          <w:rFonts w:ascii="Calibri" w:hAnsi="Calibri"/>
        </w:rPr>
      </w:pPr>
      <w:r w:rsidRPr="003F3018">
        <w:rPr>
          <w:rFonts w:ascii="Calibri" w:hAnsi="Calibri"/>
          <w:b/>
        </w:rPr>
        <w:t>2.4.5.1.</w:t>
      </w:r>
      <w:r w:rsidRPr="003F3018">
        <w:rPr>
          <w:rFonts w:ascii="Calibri" w:hAnsi="Calibri"/>
        </w:rPr>
        <w:t xml:space="preserve"> Beton do produkcji krawężników</w:t>
      </w:r>
    </w:p>
    <w:p w:rsidR="00C56AA0" w:rsidRPr="003F3018" w:rsidRDefault="00C56AA0" w:rsidP="00C56AA0">
      <w:pPr>
        <w:rPr>
          <w:rFonts w:ascii="Calibri" w:hAnsi="Calibri"/>
        </w:rPr>
      </w:pPr>
      <w:r w:rsidRPr="003F3018">
        <w:rPr>
          <w:rFonts w:ascii="Calibri" w:hAnsi="Calibri"/>
        </w:rPr>
        <w:tab/>
        <w:t>Do produkcji krawężników należy stosować beton wg PN-B-06250, klasy B25 i B30. W przypadku wykonywania krawężników dwuwarstwowych, górna (licowa) warstwa krawężników powinna być wykonana z betonu klasy B30.</w:t>
      </w:r>
    </w:p>
    <w:p w:rsidR="00C56AA0" w:rsidRPr="003F3018" w:rsidRDefault="00C56AA0" w:rsidP="00C56AA0">
      <w:pPr>
        <w:rPr>
          <w:rFonts w:ascii="Calibri" w:hAnsi="Calibri"/>
        </w:rPr>
      </w:pPr>
      <w:r w:rsidRPr="003F3018">
        <w:rPr>
          <w:rFonts w:ascii="Calibri" w:hAnsi="Calibri"/>
        </w:rPr>
        <w:t>Beton użyty do produkcji krawężników powinien charakteryzować się:</w:t>
      </w:r>
    </w:p>
    <w:p w:rsidR="00C56AA0" w:rsidRPr="003F3018" w:rsidRDefault="00C56AA0" w:rsidP="00C56AA0">
      <w:pPr>
        <w:rPr>
          <w:rFonts w:ascii="Calibri" w:hAnsi="Calibri"/>
        </w:rPr>
      </w:pPr>
      <w:r>
        <w:rPr>
          <w:rFonts w:ascii="Calibri" w:hAnsi="Calibri"/>
        </w:rPr>
        <w:t>-</w:t>
      </w:r>
      <w:r w:rsidRPr="003F3018">
        <w:rPr>
          <w:rFonts w:ascii="Calibri" w:hAnsi="Calibri"/>
        </w:rPr>
        <w:t>nasiąkliwością, poniżej 4%,</w:t>
      </w:r>
    </w:p>
    <w:p w:rsidR="00C56AA0" w:rsidRPr="003F3018" w:rsidRDefault="00C56AA0" w:rsidP="00C56AA0">
      <w:pPr>
        <w:rPr>
          <w:rFonts w:ascii="Calibri" w:hAnsi="Calibri"/>
        </w:rPr>
      </w:pPr>
      <w:r>
        <w:rPr>
          <w:rFonts w:ascii="Calibri" w:hAnsi="Calibri"/>
        </w:rPr>
        <w:t>-</w:t>
      </w:r>
      <w:r w:rsidRPr="003F3018">
        <w:rPr>
          <w:rFonts w:ascii="Calibri" w:hAnsi="Calibri"/>
        </w:rPr>
        <w:t xml:space="preserve">ścieralnością na tarczy Boehmego, dla gatunku 1: </w:t>
      </w:r>
      <w:smartTag w:uri="urn:schemas-microsoft-com:office:smarttags" w:element="metricconverter">
        <w:smartTagPr>
          <w:attr w:name="ProductID" w:val="3 mm"/>
        </w:smartTagPr>
        <w:r w:rsidRPr="003F3018">
          <w:rPr>
            <w:rFonts w:ascii="Calibri" w:hAnsi="Calibri"/>
          </w:rPr>
          <w:t>3 mm</w:t>
        </w:r>
      </w:smartTag>
      <w:r w:rsidRPr="003F3018">
        <w:rPr>
          <w:rFonts w:ascii="Calibri" w:hAnsi="Calibri"/>
        </w:rPr>
        <w:t xml:space="preserve">, dla gatunku 2: </w:t>
      </w:r>
      <w:smartTag w:uri="urn:schemas-microsoft-com:office:smarttags" w:element="metricconverter">
        <w:smartTagPr>
          <w:attr w:name="ProductID" w:val="4 mm"/>
        </w:smartTagPr>
        <w:r w:rsidRPr="003F3018">
          <w:rPr>
            <w:rFonts w:ascii="Calibri" w:hAnsi="Calibri"/>
          </w:rPr>
          <w:t>4 mm</w:t>
        </w:r>
      </w:smartTag>
      <w:r w:rsidRPr="003F3018">
        <w:rPr>
          <w:rFonts w:ascii="Calibri" w:hAnsi="Calibri"/>
        </w:rPr>
        <w:t>,</w:t>
      </w:r>
    </w:p>
    <w:p w:rsidR="00C56AA0" w:rsidRPr="003F3018" w:rsidRDefault="00C56AA0" w:rsidP="00C56AA0">
      <w:pPr>
        <w:rPr>
          <w:rFonts w:ascii="Calibri" w:hAnsi="Calibri"/>
        </w:rPr>
      </w:pPr>
      <w:r>
        <w:rPr>
          <w:rFonts w:ascii="Calibri" w:hAnsi="Calibri"/>
        </w:rPr>
        <w:t>-</w:t>
      </w:r>
      <w:r w:rsidRPr="003F3018">
        <w:rPr>
          <w:rFonts w:ascii="Calibri" w:hAnsi="Calibri"/>
        </w:rPr>
        <w:t>mrozoodpornością i wodoszczelnością, zgodnie z normą PN-B-06250.</w:t>
      </w:r>
    </w:p>
    <w:p w:rsidR="00C56AA0" w:rsidRPr="003F3018" w:rsidRDefault="00C56AA0" w:rsidP="00C56AA0">
      <w:pPr>
        <w:rPr>
          <w:rFonts w:ascii="Calibri" w:hAnsi="Calibri"/>
        </w:rPr>
      </w:pPr>
      <w:r w:rsidRPr="003F3018">
        <w:rPr>
          <w:rFonts w:ascii="Calibri" w:hAnsi="Calibri"/>
          <w:b/>
        </w:rPr>
        <w:t>2.4.5.2.</w:t>
      </w:r>
      <w:r w:rsidRPr="003F3018">
        <w:rPr>
          <w:rFonts w:ascii="Calibri" w:hAnsi="Calibri"/>
        </w:rPr>
        <w:t xml:space="preserve">  Cement</w:t>
      </w:r>
    </w:p>
    <w:p w:rsidR="00C56AA0" w:rsidRPr="003F3018" w:rsidRDefault="00C56AA0" w:rsidP="00C56AA0">
      <w:pPr>
        <w:rPr>
          <w:rFonts w:ascii="Calibri" w:hAnsi="Calibri"/>
        </w:rPr>
      </w:pPr>
      <w:r w:rsidRPr="003F3018">
        <w:rPr>
          <w:rFonts w:ascii="Calibri" w:hAnsi="Calibri"/>
        </w:rPr>
        <w:tab/>
        <w:t>Cement stosowany do betonu powinien być cementem portlandzkim klasy nie niższej niż „32,5” wg PN-B-19701.</w:t>
      </w:r>
    </w:p>
    <w:p w:rsidR="00C56AA0" w:rsidRPr="003F3018" w:rsidRDefault="00C56AA0" w:rsidP="00C56AA0">
      <w:pPr>
        <w:rPr>
          <w:rFonts w:ascii="Calibri" w:hAnsi="Calibri"/>
        </w:rPr>
      </w:pPr>
      <w:r w:rsidRPr="003F3018">
        <w:rPr>
          <w:rFonts w:ascii="Calibri" w:hAnsi="Calibri"/>
        </w:rPr>
        <w:tab/>
        <w:t>Przechowywanie cementu powinno być zgodne z BN-88/6731-08.</w:t>
      </w:r>
    </w:p>
    <w:p w:rsidR="00C56AA0" w:rsidRPr="003F3018" w:rsidRDefault="00C56AA0" w:rsidP="00C56AA0">
      <w:pPr>
        <w:rPr>
          <w:rFonts w:ascii="Calibri" w:hAnsi="Calibri"/>
        </w:rPr>
      </w:pPr>
      <w:r w:rsidRPr="003F3018">
        <w:rPr>
          <w:rFonts w:ascii="Calibri" w:hAnsi="Calibri"/>
          <w:b/>
        </w:rPr>
        <w:t>2.4.5.3.</w:t>
      </w:r>
      <w:r w:rsidRPr="003F3018">
        <w:rPr>
          <w:rFonts w:ascii="Calibri" w:hAnsi="Calibri"/>
        </w:rPr>
        <w:t xml:space="preserve"> Kruszywo</w:t>
      </w:r>
    </w:p>
    <w:p w:rsidR="00C56AA0" w:rsidRPr="003F3018" w:rsidRDefault="00C56AA0" w:rsidP="00C56AA0">
      <w:pPr>
        <w:rPr>
          <w:rFonts w:ascii="Calibri" w:hAnsi="Calibri"/>
        </w:rPr>
      </w:pPr>
      <w:r w:rsidRPr="003F3018">
        <w:rPr>
          <w:rFonts w:ascii="Calibri" w:hAnsi="Calibri"/>
        </w:rPr>
        <w:tab/>
        <w:t>Kruszywo powinno odpowiadać wymaganiom PN-B-06712.</w:t>
      </w:r>
    </w:p>
    <w:p w:rsidR="00C56AA0" w:rsidRPr="003F3018" w:rsidRDefault="00C56AA0" w:rsidP="00C56AA0">
      <w:pPr>
        <w:rPr>
          <w:rFonts w:ascii="Calibri" w:hAnsi="Calibri"/>
        </w:rPr>
      </w:pPr>
      <w:r w:rsidRPr="003F3018">
        <w:rPr>
          <w:rFonts w:ascii="Calibri" w:hAnsi="Calibri"/>
        </w:rPr>
        <w:tab/>
        <w:t>Kruszywo należy przechowywać w warunkach zabezpieczających je przed zanieczyszczeniem, zmieszaniem z kruszywami innych asortymentów, gatunków i marek.</w:t>
      </w:r>
    </w:p>
    <w:p w:rsidR="00C56AA0" w:rsidRPr="003F3018" w:rsidRDefault="00C56AA0" w:rsidP="00C56AA0">
      <w:pPr>
        <w:rPr>
          <w:rFonts w:ascii="Calibri" w:hAnsi="Calibri"/>
        </w:rPr>
      </w:pPr>
      <w:r w:rsidRPr="003F3018">
        <w:rPr>
          <w:rFonts w:ascii="Calibri" w:hAnsi="Calibri"/>
          <w:b/>
        </w:rPr>
        <w:t>2.4.5.4.</w:t>
      </w:r>
      <w:r w:rsidRPr="003F3018">
        <w:rPr>
          <w:rFonts w:ascii="Calibri" w:hAnsi="Calibri"/>
        </w:rPr>
        <w:t xml:space="preserve"> Woda</w:t>
      </w:r>
    </w:p>
    <w:p w:rsidR="00C56AA0" w:rsidRPr="003F3018" w:rsidRDefault="00C56AA0" w:rsidP="00C56AA0">
      <w:pPr>
        <w:rPr>
          <w:rFonts w:ascii="Calibri" w:hAnsi="Calibri"/>
        </w:rPr>
      </w:pPr>
      <w:r w:rsidRPr="003F3018">
        <w:rPr>
          <w:rFonts w:ascii="Calibri" w:hAnsi="Calibri"/>
        </w:rPr>
        <w:tab/>
        <w:t>Woda powinna być odmiany „1” i odpowiadać wymaganiom PN-B-32250.</w:t>
      </w:r>
    </w:p>
    <w:p w:rsidR="00582D07" w:rsidRDefault="00582D07" w:rsidP="00C56AA0">
      <w:pPr>
        <w:rPr>
          <w:rFonts w:ascii="Calibri" w:hAnsi="Calibri"/>
          <w:b/>
        </w:rPr>
      </w:pPr>
    </w:p>
    <w:p w:rsidR="00C56AA0" w:rsidRPr="003F3018" w:rsidRDefault="00C56AA0" w:rsidP="00C56AA0">
      <w:pPr>
        <w:rPr>
          <w:rFonts w:ascii="Calibri" w:hAnsi="Calibri"/>
        </w:rPr>
      </w:pPr>
      <w:r w:rsidRPr="003F3018">
        <w:rPr>
          <w:rFonts w:ascii="Calibri" w:hAnsi="Calibri"/>
          <w:b/>
        </w:rPr>
        <w:lastRenderedPageBreak/>
        <w:t>2.5.</w:t>
      </w:r>
      <w:r w:rsidRPr="003F3018">
        <w:rPr>
          <w:rFonts w:ascii="Calibri" w:hAnsi="Calibri"/>
        </w:rPr>
        <w:t xml:space="preserve"> Materiały na podsypkę i do zapraw</w:t>
      </w:r>
    </w:p>
    <w:p w:rsidR="00C56AA0" w:rsidRPr="003F3018" w:rsidRDefault="00C56AA0" w:rsidP="00C56AA0">
      <w:pPr>
        <w:rPr>
          <w:rFonts w:ascii="Calibri" w:hAnsi="Calibri"/>
        </w:rPr>
      </w:pPr>
      <w:r w:rsidRPr="003F3018">
        <w:rPr>
          <w:rFonts w:ascii="Calibri" w:hAnsi="Calibri"/>
        </w:rPr>
        <w:tab/>
        <w:t>Piasek na podsypkę cementowo-piaskową powinien odpowiadać wymaganiom PN-B-06712, a do zaprawy cementowo-piaskowej PN-B-06711.</w:t>
      </w:r>
    </w:p>
    <w:p w:rsidR="00C56AA0" w:rsidRPr="003F3018" w:rsidRDefault="00C56AA0" w:rsidP="00C56AA0">
      <w:pPr>
        <w:rPr>
          <w:rFonts w:ascii="Calibri" w:hAnsi="Calibri"/>
        </w:rPr>
      </w:pPr>
      <w:r w:rsidRPr="003F3018">
        <w:rPr>
          <w:rFonts w:ascii="Calibri" w:hAnsi="Calibri"/>
        </w:rPr>
        <w:tab/>
        <w:t>Cement na podsypkę i do zaprawy cementowo-piaskowej powinien być cementem portlandzkim klasy nie mniejszej niż „32,5”, odpowiadający wymaganiom PN-B-19701.</w:t>
      </w:r>
    </w:p>
    <w:p w:rsidR="00C56AA0" w:rsidRPr="003F3018" w:rsidRDefault="00C56AA0" w:rsidP="00C56AA0">
      <w:pPr>
        <w:rPr>
          <w:rFonts w:ascii="Calibri" w:hAnsi="Calibri"/>
        </w:rPr>
      </w:pPr>
      <w:r w:rsidRPr="003F3018">
        <w:rPr>
          <w:rFonts w:ascii="Calibri" w:hAnsi="Calibri"/>
        </w:rPr>
        <w:tab/>
        <w:t>Woda powinna być odmiany „1” i odpowiadać wymaganiom PN-B-32250.</w:t>
      </w:r>
    </w:p>
    <w:p w:rsidR="00C56AA0" w:rsidRPr="003F3018" w:rsidRDefault="00C56AA0" w:rsidP="00C56AA0">
      <w:pPr>
        <w:rPr>
          <w:rFonts w:ascii="Calibri" w:hAnsi="Calibri"/>
        </w:rPr>
      </w:pPr>
      <w:r w:rsidRPr="003F3018">
        <w:rPr>
          <w:rFonts w:ascii="Calibri" w:hAnsi="Calibri"/>
          <w:b/>
        </w:rPr>
        <w:t>2.6.</w:t>
      </w:r>
      <w:r w:rsidRPr="003F3018">
        <w:rPr>
          <w:rFonts w:ascii="Calibri" w:hAnsi="Calibri"/>
        </w:rPr>
        <w:t xml:space="preserve"> Materiały na ławy</w:t>
      </w:r>
    </w:p>
    <w:p w:rsidR="00C56AA0" w:rsidRPr="003F3018" w:rsidRDefault="00C56AA0" w:rsidP="00C56AA0">
      <w:pPr>
        <w:rPr>
          <w:rFonts w:ascii="Calibri" w:hAnsi="Calibri"/>
        </w:rPr>
      </w:pPr>
      <w:r w:rsidRPr="003F3018">
        <w:rPr>
          <w:rFonts w:ascii="Calibri" w:hAnsi="Calibri"/>
        </w:rPr>
        <w:tab/>
        <w:t>Do wykonania ław pod krawężniki należy stosować, dla:</w:t>
      </w:r>
    </w:p>
    <w:p w:rsidR="00C56AA0" w:rsidRPr="003F3018" w:rsidRDefault="00C56AA0" w:rsidP="00C56AA0">
      <w:pPr>
        <w:rPr>
          <w:rFonts w:ascii="Calibri" w:hAnsi="Calibri"/>
        </w:rPr>
      </w:pPr>
      <w:r w:rsidRPr="003F3018">
        <w:rPr>
          <w:rFonts w:ascii="Calibri" w:hAnsi="Calibri"/>
        </w:rPr>
        <w:t>ławy betonowej - beton klasy B 15 lub B 10, wg PN-B-06250, którego składniki powinny odpowiadać wymaganiom punktu 2.4.4.</w:t>
      </w:r>
    </w:p>
    <w:p w:rsidR="00C56AA0" w:rsidRPr="003F3018" w:rsidRDefault="00C56AA0" w:rsidP="00C56AA0">
      <w:pPr>
        <w:rPr>
          <w:rFonts w:ascii="Calibri" w:hAnsi="Calibri"/>
        </w:rPr>
      </w:pPr>
      <w:r w:rsidRPr="003F3018">
        <w:rPr>
          <w:rFonts w:ascii="Calibri" w:hAnsi="Calibri"/>
          <w:b/>
        </w:rPr>
        <w:t>2.7.</w:t>
      </w:r>
      <w:r w:rsidRPr="003F3018">
        <w:rPr>
          <w:rFonts w:ascii="Calibri" w:hAnsi="Calibri"/>
        </w:rPr>
        <w:t xml:space="preserve"> Masa zalewowa</w:t>
      </w:r>
    </w:p>
    <w:p w:rsidR="00C56AA0" w:rsidRPr="003F3018" w:rsidRDefault="00C56AA0" w:rsidP="00C56AA0">
      <w:pPr>
        <w:rPr>
          <w:rFonts w:ascii="Calibri" w:hAnsi="Calibri"/>
        </w:rPr>
      </w:pPr>
      <w:r w:rsidRPr="003F3018">
        <w:rPr>
          <w:rFonts w:ascii="Calibri" w:hAnsi="Calibri"/>
        </w:rPr>
        <w:tab/>
        <w:t>Masa zalewowa, do wypełnienia szczelin dylatacyjnych na gorąco, powinna odpowiadać wymaganiom BN-74/6771-04 lub aprobaty technicznej.</w:t>
      </w:r>
    </w:p>
    <w:p w:rsidR="00C56AA0" w:rsidRPr="003F3018" w:rsidRDefault="00C56AA0" w:rsidP="00C56AA0">
      <w:pPr>
        <w:rPr>
          <w:rFonts w:ascii="Calibri" w:hAnsi="Calibri"/>
        </w:rPr>
      </w:pPr>
    </w:p>
    <w:p w:rsidR="00C56AA0" w:rsidRPr="003F3018" w:rsidRDefault="00C56AA0" w:rsidP="00C56AA0">
      <w:pPr>
        <w:rPr>
          <w:rFonts w:ascii="Calibri" w:hAnsi="Calibri"/>
          <w:b/>
        </w:rPr>
      </w:pPr>
      <w:bookmarkStart w:id="1615" w:name="_Toc428239274"/>
      <w:bookmarkStart w:id="1616" w:name="_Toc428759423"/>
      <w:r w:rsidRPr="003F3018">
        <w:rPr>
          <w:rFonts w:ascii="Calibri" w:hAnsi="Calibri"/>
          <w:b/>
        </w:rPr>
        <w:t>3. SPRZĘT</w:t>
      </w:r>
      <w:bookmarkEnd w:id="1615"/>
      <w:bookmarkEnd w:id="1616"/>
    </w:p>
    <w:p w:rsidR="00C56AA0" w:rsidRPr="003F3018" w:rsidRDefault="00C56AA0" w:rsidP="00C56AA0">
      <w:pPr>
        <w:rPr>
          <w:rFonts w:ascii="Calibri" w:hAnsi="Calibri"/>
        </w:rPr>
      </w:pPr>
      <w:r w:rsidRPr="003F3018">
        <w:rPr>
          <w:rFonts w:ascii="Calibri" w:hAnsi="Calibri"/>
          <w:b/>
        </w:rPr>
        <w:t>3.1.</w:t>
      </w:r>
      <w:r w:rsidRPr="003F3018">
        <w:rPr>
          <w:rFonts w:ascii="Calibri" w:hAnsi="Calibri"/>
        </w:rPr>
        <w:t xml:space="preserve"> Ogólne wymagania dotyczące sprzętu</w:t>
      </w:r>
    </w:p>
    <w:p w:rsidR="00C56AA0" w:rsidRPr="003F3018" w:rsidRDefault="00C56AA0" w:rsidP="00C56AA0">
      <w:pPr>
        <w:rPr>
          <w:rFonts w:ascii="Calibri" w:hAnsi="Calibri"/>
        </w:rPr>
      </w:pPr>
      <w:r w:rsidRPr="003F3018">
        <w:rPr>
          <w:rFonts w:ascii="Calibri" w:hAnsi="Calibri"/>
        </w:rPr>
        <w:tab/>
        <w:t>Ogólne wymagania dotyczące sprzętu podano w ST D-M-00.00.00 „Wymagania ogólne” pkt 3.</w:t>
      </w:r>
    </w:p>
    <w:p w:rsidR="00C56AA0" w:rsidRPr="003935A4" w:rsidRDefault="00C56AA0" w:rsidP="00C56AA0">
      <w:pPr>
        <w:rPr>
          <w:rFonts w:ascii="Calibri" w:hAnsi="Calibri"/>
        </w:rPr>
      </w:pPr>
      <w:r w:rsidRPr="003935A4">
        <w:rPr>
          <w:rFonts w:ascii="Calibri" w:hAnsi="Calibri"/>
          <w:b/>
        </w:rPr>
        <w:t>3.2.</w:t>
      </w:r>
      <w:r w:rsidRPr="003935A4">
        <w:rPr>
          <w:rFonts w:ascii="Calibri" w:hAnsi="Calibri"/>
        </w:rPr>
        <w:t xml:space="preserve"> Sprzęt </w:t>
      </w:r>
    </w:p>
    <w:p w:rsidR="00C56AA0" w:rsidRPr="003935A4" w:rsidRDefault="00C56AA0" w:rsidP="00C56AA0">
      <w:pPr>
        <w:rPr>
          <w:rFonts w:ascii="Calibri" w:hAnsi="Calibri"/>
        </w:rPr>
      </w:pPr>
      <w:r w:rsidRPr="003935A4">
        <w:rPr>
          <w:rFonts w:ascii="Calibri" w:hAnsi="Calibri"/>
        </w:rPr>
        <w:tab/>
        <w:t>Roboty wykonuje się ręcznie przy zastosowaniu:</w:t>
      </w:r>
    </w:p>
    <w:p w:rsidR="00C56AA0" w:rsidRPr="003935A4" w:rsidRDefault="00C56AA0" w:rsidP="00C56AA0">
      <w:pPr>
        <w:rPr>
          <w:rFonts w:ascii="Calibri" w:hAnsi="Calibri"/>
        </w:rPr>
      </w:pPr>
      <w:r w:rsidRPr="003935A4">
        <w:rPr>
          <w:rFonts w:ascii="Calibri" w:hAnsi="Calibri"/>
        </w:rPr>
        <w:t>-betoniarek do wytwarzania betonu i zapraw oraz przygotowania podsypki cementowo-piaskowej,</w:t>
      </w:r>
    </w:p>
    <w:p w:rsidR="00C56AA0" w:rsidRPr="003935A4" w:rsidRDefault="00C56AA0" w:rsidP="00C56AA0">
      <w:pPr>
        <w:rPr>
          <w:rFonts w:ascii="Calibri" w:hAnsi="Calibri"/>
        </w:rPr>
      </w:pPr>
      <w:r w:rsidRPr="003935A4">
        <w:rPr>
          <w:rFonts w:ascii="Calibri" w:hAnsi="Calibri"/>
        </w:rPr>
        <w:t>-wibratorów płytowych, ubijaków ręcznych lub mechanicznych.</w:t>
      </w:r>
    </w:p>
    <w:p w:rsidR="00C56AA0" w:rsidRPr="003935A4" w:rsidRDefault="00C56AA0" w:rsidP="00C56AA0">
      <w:pPr>
        <w:rPr>
          <w:rFonts w:ascii="Calibri" w:hAnsi="Calibri"/>
        </w:rPr>
      </w:pPr>
    </w:p>
    <w:p w:rsidR="00C56AA0" w:rsidRPr="003935A4" w:rsidRDefault="00C56AA0" w:rsidP="00C56AA0">
      <w:pPr>
        <w:rPr>
          <w:rFonts w:ascii="Calibri" w:hAnsi="Calibri"/>
          <w:b/>
        </w:rPr>
      </w:pPr>
      <w:bookmarkStart w:id="1617" w:name="_Toc428239275"/>
      <w:bookmarkStart w:id="1618" w:name="_Toc428759424"/>
      <w:r w:rsidRPr="003935A4">
        <w:rPr>
          <w:rFonts w:ascii="Calibri" w:hAnsi="Calibri"/>
          <w:b/>
        </w:rPr>
        <w:t>4. TRANSPORT</w:t>
      </w:r>
      <w:bookmarkEnd w:id="1617"/>
      <w:bookmarkEnd w:id="1618"/>
    </w:p>
    <w:p w:rsidR="00C56AA0" w:rsidRPr="003935A4" w:rsidRDefault="00C56AA0" w:rsidP="00C56AA0">
      <w:pPr>
        <w:rPr>
          <w:rFonts w:ascii="Calibri" w:hAnsi="Calibri"/>
        </w:rPr>
      </w:pPr>
      <w:r w:rsidRPr="003935A4">
        <w:rPr>
          <w:rFonts w:ascii="Calibri" w:hAnsi="Calibri"/>
          <w:b/>
        </w:rPr>
        <w:t>4.1.</w:t>
      </w:r>
      <w:r w:rsidRPr="003935A4">
        <w:rPr>
          <w:rFonts w:ascii="Calibri" w:hAnsi="Calibri"/>
        </w:rPr>
        <w:t xml:space="preserve"> Ogólne wymagania dotyczące transportu</w:t>
      </w:r>
    </w:p>
    <w:p w:rsidR="00C56AA0" w:rsidRPr="003935A4" w:rsidRDefault="00C56AA0" w:rsidP="00C56AA0">
      <w:pPr>
        <w:rPr>
          <w:rFonts w:ascii="Calibri" w:hAnsi="Calibri"/>
        </w:rPr>
      </w:pPr>
      <w:r w:rsidRPr="003935A4">
        <w:rPr>
          <w:rFonts w:ascii="Calibri" w:hAnsi="Calibri"/>
        </w:rPr>
        <w:tab/>
        <w:t>Ogólne wymagania dotyczące transportu podano w ST D-M-00.00.00 „Wymagania ogólne” pkt 4.</w:t>
      </w:r>
    </w:p>
    <w:p w:rsidR="00C56AA0" w:rsidRPr="003935A4" w:rsidRDefault="00C56AA0" w:rsidP="00C56AA0">
      <w:pPr>
        <w:rPr>
          <w:rFonts w:ascii="Calibri" w:hAnsi="Calibri"/>
        </w:rPr>
      </w:pPr>
      <w:r w:rsidRPr="003935A4">
        <w:rPr>
          <w:rFonts w:ascii="Calibri" w:hAnsi="Calibri"/>
          <w:b/>
        </w:rPr>
        <w:t>4.2.</w:t>
      </w:r>
      <w:r w:rsidRPr="003935A4">
        <w:rPr>
          <w:rFonts w:ascii="Calibri" w:hAnsi="Calibri"/>
        </w:rPr>
        <w:t xml:space="preserve"> Transport krawężników</w:t>
      </w:r>
    </w:p>
    <w:p w:rsidR="00C56AA0" w:rsidRPr="003935A4" w:rsidRDefault="00C56AA0" w:rsidP="00C56AA0">
      <w:pPr>
        <w:rPr>
          <w:rFonts w:ascii="Calibri" w:hAnsi="Calibri"/>
        </w:rPr>
      </w:pPr>
      <w:r w:rsidRPr="003935A4">
        <w:rPr>
          <w:rFonts w:ascii="Calibri" w:hAnsi="Calibri"/>
        </w:rPr>
        <w:tab/>
        <w:t>Krawężniki betonowe mogą być przewożone dowolnymi środkami transportowymi.</w:t>
      </w:r>
    </w:p>
    <w:p w:rsidR="00C56AA0" w:rsidRPr="003935A4" w:rsidRDefault="00C56AA0" w:rsidP="00C56AA0">
      <w:pPr>
        <w:rPr>
          <w:rFonts w:ascii="Calibri" w:hAnsi="Calibri"/>
        </w:rPr>
      </w:pPr>
      <w:r w:rsidRPr="003935A4">
        <w:rPr>
          <w:rFonts w:ascii="Calibri" w:hAnsi="Calibri"/>
        </w:rPr>
        <w:tab/>
        <w:t>Krawężniki betonowe układać należy na środkach transportowych w pozycji pionowej z nachyleniem w kierunku jazdy.</w:t>
      </w:r>
    </w:p>
    <w:p w:rsidR="00C56AA0" w:rsidRPr="003935A4" w:rsidRDefault="00C56AA0" w:rsidP="00C56AA0">
      <w:pPr>
        <w:rPr>
          <w:rFonts w:ascii="Calibri" w:hAnsi="Calibri"/>
        </w:rPr>
      </w:pPr>
      <w:r w:rsidRPr="003935A4">
        <w:rPr>
          <w:rFonts w:ascii="Calibri" w:hAnsi="Calibri"/>
        </w:rPr>
        <w:tab/>
        <w:t>Krawężniki powinny być zabezpieczone przed przemieszczeniem się i uszkodzeniami w czasie transportu, a górna warstwa nie powinna wystawać poza ściany środka transportowego więcej niż 1/3 wysokości tej warstwy.</w:t>
      </w:r>
    </w:p>
    <w:p w:rsidR="00C56AA0" w:rsidRPr="003935A4" w:rsidRDefault="00C56AA0" w:rsidP="00C56AA0">
      <w:pPr>
        <w:rPr>
          <w:rFonts w:ascii="Calibri" w:hAnsi="Calibri"/>
        </w:rPr>
      </w:pPr>
      <w:r w:rsidRPr="003935A4">
        <w:rPr>
          <w:rFonts w:ascii="Calibri" w:hAnsi="Calibri"/>
          <w:b/>
        </w:rPr>
        <w:t>4.3.</w:t>
      </w:r>
      <w:r w:rsidRPr="003935A4">
        <w:rPr>
          <w:rFonts w:ascii="Calibri" w:hAnsi="Calibri"/>
        </w:rPr>
        <w:t xml:space="preserve"> Transport pozostałych materiałów</w:t>
      </w:r>
    </w:p>
    <w:p w:rsidR="00C56AA0" w:rsidRPr="003935A4" w:rsidRDefault="00C56AA0" w:rsidP="00C56AA0">
      <w:pPr>
        <w:rPr>
          <w:rFonts w:ascii="Calibri" w:hAnsi="Calibri"/>
        </w:rPr>
      </w:pPr>
      <w:r w:rsidRPr="003935A4">
        <w:rPr>
          <w:rFonts w:ascii="Calibri" w:hAnsi="Calibri"/>
        </w:rPr>
        <w:tab/>
        <w:t>Transport cementu powinien się odbywać w warunkach zgodnych z BN-88/6731-08.</w:t>
      </w:r>
    </w:p>
    <w:p w:rsidR="00C56AA0" w:rsidRPr="003935A4" w:rsidRDefault="00C56AA0" w:rsidP="00C56AA0">
      <w:pPr>
        <w:rPr>
          <w:rFonts w:ascii="Calibri" w:hAnsi="Calibri"/>
        </w:rPr>
      </w:pPr>
      <w:r w:rsidRPr="003935A4">
        <w:rPr>
          <w:rFonts w:ascii="Calibri" w:hAnsi="Calibri"/>
        </w:rPr>
        <w:tab/>
        <w:t>Kruszywa można przewozić dowolnym środkiem transportu, w warunkach zabezpieczających je przed zanieczyszczeniem i zmieszaniem z innymi materiałami. Podczas transportu kruszywa powinny być zabezpieczone przed wysypaniem, a kruszywo drobne - przed rozpyleniem.</w:t>
      </w:r>
    </w:p>
    <w:p w:rsidR="00C56AA0" w:rsidRPr="003935A4" w:rsidRDefault="00C56AA0" w:rsidP="00C56AA0">
      <w:pPr>
        <w:rPr>
          <w:rFonts w:ascii="Calibri" w:hAnsi="Calibri"/>
        </w:rPr>
      </w:pPr>
      <w:r w:rsidRPr="003935A4">
        <w:rPr>
          <w:rFonts w:ascii="Calibri" w:hAnsi="Calibri"/>
        </w:rPr>
        <w:tab/>
        <w:t>Masę zalewową należy pakować w bębny blaszane lub beczki drewniane. Transport powinien odbywać się w warunkach zabezpieczających przed uszkodzeniem bębnów i beczek.</w:t>
      </w:r>
    </w:p>
    <w:p w:rsidR="00C56AA0" w:rsidRPr="003935A4" w:rsidRDefault="00C56AA0" w:rsidP="00C56AA0">
      <w:pPr>
        <w:rPr>
          <w:rFonts w:ascii="Calibri" w:hAnsi="Calibri"/>
        </w:rPr>
      </w:pPr>
    </w:p>
    <w:p w:rsidR="00C56AA0" w:rsidRPr="003935A4" w:rsidRDefault="00C56AA0" w:rsidP="00C56AA0">
      <w:pPr>
        <w:rPr>
          <w:rFonts w:ascii="Calibri" w:hAnsi="Calibri"/>
          <w:b/>
        </w:rPr>
      </w:pPr>
      <w:bookmarkStart w:id="1619" w:name="_Toc428239276"/>
      <w:bookmarkStart w:id="1620" w:name="_Toc428759425"/>
      <w:r w:rsidRPr="003935A4">
        <w:rPr>
          <w:rFonts w:ascii="Calibri" w:hAnsi="Calibri"/>
          <w:b/>
        </w:rPr>
        <w:t>5. WYKONANIE ROBÓT</w:t>
      </w:r>
      <w:bookmarkEnd w:id="1619"/>
      <w:bookmarkEnd w:id="1620"/>
    </w:p>
    <w:p w:rsidR="00C56AA0" w:rsidRPr="003935A4" w:rsidRDefault="00C56AA0" w:rsidP="00C56AA0">
      <w:pPr>
        <w:rPr>
          <w:rFonts w:ascii="Calibri" w:hAnsi="Calibri"/>
        </w:rPr>
      </w:pPr>
      <w:r w:rsidRPr="003935A4">
        <w:rPr>
          <w:rFonts w:ascii="Calibri" w:hAnsi="Calibri"/>
          <w:b/>
        </w:rPr>
        <w:t>5.1.</w:t>
      </w:r>
      <w:r w:rsidRPr="003935A4">
        <w:rPr>
          <w:rFonts w:ascii="Calibri" w:hAnsi="Calibri"/>
        </w:rPr>
        <w:t xml:space="preserve"> Ogólne zasady wykonania robót</w:t>
      </w:r>
    </w:p>
    <w:p w:rsidR="00C56AA0" w:rsidRPr="003935A4" w:rsidRDefault="00C56AA0" w:rsidP="00C56AA0">
      <w:pPr>
        <w:rPr>
          <w:rFonts w:ascii="Calibri" w:hAnsi="Calibri"/>
        </w:rPr>
      </w:pPr>
      <w:r w:rsidRPr="003935A4">
        <w:rPr>
          <w:rFonts w:ascii="Calibri" w:hAnsi="Calibri"/>
        </w:rPr>
        <w:tab/>
        <w:t>Ogólne zasady wykonania robót podano w ST D-M-00.00.00 „Wymagania ogólne” pkt 5.</w:t>
      </w:r>
    </w:p>
    <w:p w:rsidR="00C56AA0" w:rsidRPr="003935A4" w:rsidRDefault="00C56AA0" w:rsidP="00C56AA0">
      <w:pPr>
        <w:rPr>
          <w:rFonts w:ascii="Calibri" w:hAnsi="Calibri"/>
        </w:rPr>
      </w:pPr>
      <w:r w:rsidRPr="003935A4">
        <w:rPr>
          <w:rFonts w:ascii="Calibri" w:hAnsi="Calibri"/>
          <w:b/>
        </w:rPr>
        <w:t>5.2.</w:t>
      </w:r>
      <w:r w:rsidRPr="003935A4">
        <w:rPr>
          <w:rFonts w:ascii="Calibri" w:hAnsi="Calibri"/>
        </w:rPr>
        <w:t xml:space="preserve"> Wykonanie koryta pod ławy</w:t>
      </w:r>
    </w:p>
    <w:p w:rsidR="00C56AA0" w:rsidRPr="003935A4" w:rsidRDefault="00C56AA0" w:rsidP="00C56AA0">
      <w:pPr>
        <w:rPr>
          <w:rFonts w:ascii="Calibri" w:hAnsi="Calibri"/>
        </w:rPr>
      </w:pPr>
      <w:r w:rsidRPr="003935A4">
        <w:rPr>
          <w:rFonts w:ascii="Calibri" w:hAnsi="Calibri"/>
        </w:rPr>
        <w:tab/>
        <w:t>Koryto pod ławy należy wykonywać zgodnie z PN-B-06050.</w:t>
      </w:r>
    </w:p>
    <w:p w:rsidR="00C56AA0" w:rsidRPr="003F3018" w:rsidRDefault="00C56AA0" w:rsidP="00C56AA0">
      <w:pPr>
        <w:rPr>
          <w:rFonts w:ascii="Calibri" w:hAnsi="Calibri"/>
        </w:rPr>
      </w:pPr>
      <w:r w:rsidRPr="003F3018">
        <w:rPr>
          <w:rFonts w:ascii="Calibri" w:hAnsi="Calibri"/>
        </w:rPr>
        <w:tab/>
        <w:t>Wymiary wykopu powinny odpowiadać wymiarom ławy w planie z uwzględnieniem w szerokości dna wykopu ew. konstrukcji szalunku.</w:t>
      </w:r>
    </w:p>
    <w:p w:rsidR="00C56AA0" w:rsidRPr="003F3018" w:rsidRDefault="00C56AA0" w:rsidP="00C56AA0">
      <w:pPr>
        <w:rPr>
          <w:rFonts w:ascii="Calibri" w:hAnsi="Calibri"/>
        </w:rPr>
      </w:pPr>
      <w:r w:rsidRPr="003F3018">
        <w:rPr>
          <w:rFonts w:ascii="Calibri" w:hAnsi="Calibri"/>
        </w:rPr>
        <w:tab/>
        <w:t>Wskaźnik zagęszczenia dna wykonanego koryta pod ławę powinien wynosić co najmniej 0,97 według normalnej metody Proctora.</w:t>
      </w:r>
    </w:p>
    <w:p w:rsidR="00C56AA0" w:rsidRPr="003F3018" w:rsidRDefault="00C56AA0" w:rsidP="00C56AA0">
      <w:pPr>
        <w:rPr>
          <w:rFonts w:ascii="Calibri" w:hAnsi="Calibri"/>
        </w:rPr>
      </w:pPr>
      <w:r w:rsidRPr="003F3018">
        <w:rPr>
          <w:rFonts w:ascii="Calibri" w:hAnsi="Calibri"/>
          <w:b/>
        </w:rPr>
        <w:t>5.3.</w:t>
      </w:r>
      <w:r w:rsidRPr="003F3018">
        <w:rPr>
          <w:rFonts w:ascii="Calibri" w:hAnsi="Calibri"/>
        </w:rPr>
        <w:t xml:space="preserve"> Wykonanie ław</w:t>
      </w:r>
    </w:p>
    <w:p w:rsidR="00C56AA0" w:rsidRPr="003F3018" w:rsidRDefault="00C56AA0" w:rsidP="00C56AA0">
      <w:pPr>
        <w:rPr>
          <w:rFonts w:ascii="Calibri" w:hAnsi="Calibri"/>
        </w:rPr>
      </w:pPr>
      <w:r w:rsidRPr="003F3018">
        <w:rPr>
          <w:rFonts w:ascii="Calibri" w:hAnsi="Calibri"/>
        </w:rPr>
        <w:tab/>
        <w:t>Wykonanie ław powinno być zgodne z BN-64/8845-02.</w:t>
      </w:r>
    </w:p>
    <w:p w:rsidR="00C56AA0" w:rsidRPr="003F3018" w:rsidRDefault="00C56AA0" w:rsidP="00C56AA0">
      <w:pPr>
        <w:rPr>
          <w:rFonts w:ascii="Calibri" w:hAnsi="Calibri"/>
        </w:rPr>
      </w:pPr>
      <w:r w:rsidRPr="003F3018">
        <w:rPr>
          <w:rFonts w:ascii="Calibri" w:hAnsi="Calibri"/>
          <w:b/>
        </w:rPr>
        <w:t>5.3.1.</w:t>
      </w:r>
      <w:r w:rsidRPr="003F3018">
        <w:rPr>
          <w:rFonts w:ascii="Calibri" w:hAnsi="Calibri"/>
        </w:rPr>
        <w:t xml:space="preserve"> Ława betonowa</w:t>
      </w:r>
    </w:p>
    <w:p w:rsidR="00C56AA0" w:rsidRPr="003F3018" w:rsidRDefault="00C56AA0" w:rsidP="00C56AA0">
      <w:pPr>
        <w:rPr>
          <w:rFonts w:ascii="Calibri" w:hAnsi="Calibri"/>
        </w:rPr>
      </w:pPr>
      <w:r w:rsidRPr="003F3018">
        <w:rPr>
          <w:rFonts w:ascii="Calibri" w:hAnsi="Calibri"/>
        </w:rPr>
        <w:tab/>
        <w:t xml:space="preserve">Ławy betonowe z oporem wykonuje się w szalowaniu. Beton rozścielony w szalowaniu lub bezpośrednio w korycie powinien być wyrównywany warstwami. Betonowanie ław należy wykonywać zgodnie z wymaganiami PN-B-06251, przy czym należy stosować co </w:t>
      </w:r>
      <w:smartTag w:uri="urn:schemas-microsoft-com:office:smarttags" w:element="metricconverter">
        <w:smartTagPr>
          <w:attr w:name="ProductID" w:val="50 m"/>
        </w:smartTagPr>
        <w:r w:rsidRPr="003F3018">
          <w:rPr>
            <w:rFonts w:ascii="Calibri" w:hAnsi="Calibri"/>
          </w:rPr>
          <w:t>50 m</w:t>
        </w:r>
      </w:smartTag>
      <w:r w:rsidRPr="003F3018">
        <w:rPr>
          <w:rFonts w:ascii="Calibri" w:hAnsi="Calibri"/>
        </w:rPr>
        <w:t xml:space="preserve"> szczeliny dylatacyjne wypełnione bitumiczną masą zalewową.</w:t>
      </w:r>
    </w:p>
    <w:p w:rsidR="00582D07" w:rsidRDefault="00582D07" w:rsidP="00C56AA0">
      <w:pPr>
        <w:rPr>
          <w:rFonts w:ascii="Calibri" w:hAnsi="Calibri"/>
          <w:b/>
        </w:rPr>
      </w:pPr>
    </w:p>
    <w:p w:rsidR="00582D07" w:rsidRDefault="00582D07" w:rsidP="00C56AA0">
      <w:pPr>
        <w:rPr>
          <w:rFonts w:ascii="Calibri" w:hAnsi="Calibri"/>
          <w:b/>
        </w:rPr>
      </w:pPr>
    </w:p>
    <w:p w:rsidR="00582D07" w:rsidRDefault="00582D07" w:rsidP="00C56AA0">
      <w:pPr>
        <w:rPr>
          <w:rFonts w:ascii="Calibri" w:hAnsi="Calibri"/>
          <w:b/>
        </w:rPr>
      </w:pPr>
    </w:p>
    <w:p w:rsidR="00C56AA0" w:rsidRPr="003F3018" w:rsidRDefault="00C56AA0" w:rsidP="00C56AA0">
      <w:pPr>
        <w:rPr>
          <w:rFonts w:ascii="Calibri" w:hAnsi="Calibri"/>
        </w:rPr>
      </w:pPr>
      <w:r w:rsidRPr="003F3018">
        <w:rPr>
          <w:rFonts w:ascii="Calibri" w:hAnsi="Calibri"/>
          <w:b/>
        </w:rPr>
        <w:lastRenderedPageBreak/>
        <w:t>5.4.</w:t>
      </w:r>
      <w:r w:rsidRPr="003F3018">
        <w:rPr>
          <w:rFonts w:ascii="Calibri" w:hAnsi="Calibri"/>
        </w:rPr>
        <w:t xml:space="preserve"> Ustawienie krawężników betonowych</w:t>
      </w:r>
    </w:p>
    <w:p w:rsidR="00C56AA0" w:rsidRPr="003F3018" w:rsidRDefault="00C56AA0" w:rsidP="00C56AA0">
      <w:pPr>
        <w:rPr>
          <w:rFonts w:ascii="Calibri" w:hAnsi="Calibri"/>
        </w:rPr>
      </w:pPr>
      <w:r w:rsidRPr="003F3018">
        <w:rPr>
          <w:rFonts w:ascii="Calibri" w:hAnsi="Calibri"/>
          <w:b/>
        </w:rPr>
        <w:t>5.4.1.</w:t>
      </w:r>
      <w:r w:rsidRPr="003F3018">
        <w:rPr>
          <w:rFonts w:ascii="Calibri" w:hAnsi="Calibri"/>
        </w:rPr>
        <w:t xml:space="preserve"> Zasady ustawiania krawężników</w:t>
      </w:r>
    </w:p>
    <w:p w:rsidR="00C56AA0" w:rsidRPr="003F3018" w:rsidRDefault="00C56AA0" w:rsidP="00C56AA0">
      <w:pPr>
        <w:rPr>
          <w:rFonts w:ascii="Calibri" w:hAnsi="Calibri"/>
        </w:rPr>
      </w:pPr>
      <w:r w:rsidRPr="003F3018">
        <w:rPr>
          <w:rFonts w:ascii="Calibri" w:hAnsi="Calibri"/>
        </w:rPr>
        <w:tab/>
        <w:t xml:space="preserve">Światło (odległość górnej powierzchni krawężnika od jezdni) powinno być zgodne z ustaleniami dokumentacji projektowej, a w przypadku braku takich ustaleń powinno wynosić od 10 do </w:t>
      </w:r>
      <w:smartTag w:uri="urn:schemas-microsoft-com:office:smarttags" w:element="metricconverter">
        <w:smartTagPr>
          <w:attr w:name="ProductID" w:val="12 cm"/>
        </w:smartTagPr>
        <w:r w:rsidRPr="003F3018">
          <w:rPr>
            <w:rFonts w:ascii="Calibri" w:hAnsi="Calibri"/>
          </w:rPr>
          <w:t>12 cm</w:t>
        </w:r>
      </w:smartTag>
      <w:r w:rsidRPr="003F3018">
        <w:rPr>
          <w:rFonts w:ascii="Calibri" w:hAnsi="Calibri"/>
        </w:rPr>
        <w:t xml:space="preserve">, a w przypadkach wyjątkowych (np. ze względu na „wyrobienie” ścieku)  może być zmniejszone do </w:t>
      </w:r>
      <w:smartTag w:uri="urn:schemas-microsoft-com:office:smarttags" w:element="metricconverter">
        <w:smartTagPr>
          <w:attr w:name="ProductID" w:val="6 cm"/>
        </w:smartTagPr>
        <w:r w:rsidRPr="003F3018">
          <w:rPr>
            <w:rFonts w:ascii="Calibri" w:hAnsi="Calibri"/>
          </w:rPr>
          <w:t>6 cm</w:t>
        </w:r>
      </w:smartTag>
      <w:r w:rsidRPr="003F3018">
        <w:rPr>
          <w:rFonts w:ascii="Calibri" w:hAnsi="Calibri"/>
        </w:rPr>
        <w:t xml:space="preserve"> lub zwiększone do </w:t>
      </w:r>
      <w:smartTag w:uri="urn:schemas-microsoft-com:office:smarttags" w:element="metricconverter">
        <w:smartTagPr>
          <w:attr w:name="ProductID" w:val="16 cm"/>
        </w:smartTagPr>
        <w:r w:rsidRPr="003F3018">
          <w:rPr>
            <w:rFonts w:ascii="Calibri" w:hAnsi="Calibri"/>
          </w:rPr>
          <w:t>16 cm</w:t>
        </w:r>
      </w:smartTag>
      <w:r w:rsidRPr="003F3018">
        <w:rPr>
          <w:rFonts w:ascii="Calibri" w:hAnsi="Calibri"/>
        </w:rPr>
        <w:t>.</w:t>
      </w:r>
    </w:p>
    <w:p w:rsidR="00C56AA0" w:rsidRPr="003F3018" w:rsidRDefault="00C56AA0" w:rsidP="00C56AA0">
      <w:pPr>
        <w:rPr>
          <w:rFonts w:ascii="Calibri" w:hAnsi="Calibri"/>
        </w:rPr>
      </w:pPr>
      <w:r w:rsidRPr="003F3018">
        <w:rPr>
          <w:rFonts w:ascii="Calibri" w:hAnsi="Calibri"/>
        </w:rPr>
        <w:tab/>
        <w:t>Zewnętrzna ściana krawężnika od strony chodnika powinna być po ustawieniu krawężnika obsypana piaskiem, żwirem, tłuczniem lub miejscowym gruntem przepuszczalnym, starannie ubitym.</w:t>
      </w:r>
    </w:p>
    <w:p w:rsidR="00C56AA0" w:rsidRPr="003F3018" w:rsidRDefault="00C56AA0" w:rsidP="00C56AA0">
      <w:pPr>
        <w:rPr>
          <w:rFonts w:ascii="Calibri" w:hAnsi="Calibri"/>
        </w:rPr>
      </w:pPr>
      <w:r w:rsidRPr="003F3018">
        <w:rPr>
          <w:rFonts w:ascii="Calibri" w:hAnsi="Calibri"/>
        </w:rPr>
        <w:tab/>
        <w:t>Ustawienie krawężników powinno być zgodne z BN-64/8845-02.</w:t>
      </w:r>
    </w:p>
    <w:p w:rsidR="00C56AA0" w:rsidRPr="003F3018" w:rsidRDefault="00C56AA0" w:rsidP="00C56AA0">
      <w:pPr>
        <w:rPr>
          <w:rFonts w:ascii="Calibri" w:hAnsi="Calibri"/>
        </w:rPr>
      </w:pPr>
      <w:r w:rsidRPr="003F3018">
        <w:rPr>
          <w:rFonts w:ascii="Calibri" w:hAnsi="Calibri"/>
          <w:b/>
        </w:rPr>
        <w:t>5.4.2.</w:t>
      </w:r>
      <w:r w:rsidRPr="003F3018">
        <w:rPr>
          <w:rFonts w:ascii="Calibri" w:hAnsi="Calibri"/>
        </w:rPr>
        <w:t xml:space="preserve"> Ustawienie krawężników na ławie betonowej</w:t>
      </w:r>
    </w:p>
    <w:p w:rsidR="00C56AA0" w:rsidRPr="003F3018" w:rsidRDefault="00C56AA0" w:rsidP="00C56AA0">
      <w:pPr>
        <w:rPr>
          <w:rFonts w:ascii="Calibri" w:hAnsi="Calibri"/>
        </w:rPr>
      </w:pPr>
      <w:r w:rsidRPr="003F3018">
        <w:rPr>
          <w:rFonts w:ascii="Calibri" w:hAnsi="Calibri"/>
        </w:rPr>
        <w:tab/>
        <w:t xml:space="preserve">Ustawianie krawężników na ławie betonowej wykonuje się  na podsypce cementowo-piaskowej o grubości 3 do </w:t>
      </w:r>
      <w:smartTag w:uri="urn:schemas-microsoft-com:office:smarttags" w:element="metricconverter">
        <w:smartTagPr>
          <w:attr w:name="ProductID" w:val="5 cm"/>
        </w:smartTagPr>
        <w:r w:rsidRPr="003F3018">
          <w:rPr>
            <w:rFonts w:ascii="Calibri" w:hAnsi="Calibri"/>
          </w:rPr>
          <w:t>5 cm</w:t>
        </w:r>
      </w:smartTag>
      <w:r w:rsidRPr="003F3018">
        <w:rPr>
          <w:rFonts w:ascii="Calibri" w:hAnsi="Calibri"/>
        </w:rPr>
        <w:t xml:space="preserve"> po zagęszczeniu.</w:t>
      </w:r>
    </w:p>
    <w:p w:rsidR="00C56AA0" w:rsidRPr="003F3018" w:rsidRDefault="00C56AA0" w:rsidP="00C56AA0">
      <w:pPr>
        <w:rPr>
          <w:rFonts w:ascii="Calibri" w:hAnsi="Calibri"/>
        </w:rPr>
      </w:pPr>
      <w:r w:rsidRPr="003F3018">
        <w:rPr>
          <w:rFonts w:ascii="Calibri" w:hAnsi="Calibri"/>
          <w:b/>
        </w:rPr>
        <w:t>5.4.3.</w:t>
      </w:r>
      <w:r w:rsidRPr="003F3018">
        <w:rPr>
          <w:rFonts w:ascii="Calibri" w:hAnsi="Calibri"/>
        </w:rPr>
        <w:t xml:space="preserve"> Wypełnianie spoin</w:t>
      </w:r>
    </w:p>
    <w:p w:rsidR="00C56AA0" w:rsidRPr="003F3018" w:rsidRDefault="00C56AA0" w:rsidP="00C56AA0">
      <w:pPr>
        <w:rPr>
          <w:rFonts w:ascii="Calibri" w:hAnsi="Calibri"/>
        </w:rPr>
      </w:pPr>
      <w:r w:rsidRPr="003F3018">
        <w:rPr>
          <w:rFonts w:ascii="Calibri" w:hAnsi="Calibri"/>
        </w:rPr>
        <w:tab/>
        <w:t xml:space="preserve">Spoiny krawężników nie powinny przekraczać szerokości </w:t>
      </w:r>
      <w:smartTag w:uri="urn:schemas-microsoft-com:office:smarttags" w:element="metricconverter">
        <w:smartTagPr>
          <w:attr w:name="ProductID" w:val="1 cm"/>
        </w:smartTagPr>
        <w:r w:rsidRPr="003F3018">
          <w:rPr>
            <w:rFonts w:ascii="Calibri" w:hAnsi="Calibri"/>
          </w:rPr>
          <w:t>1 cm</w:t>
        </w:r>
      </w:smartTag>
      <w:r w:rsidRPr="003F3018">
        <w:rPr>
          <w:rFonts w:ascii="Calibri" w:hAnsi="Calibri"/>
        </w:rPr>
        <w:t>. Spoiny należy wypełnić żwirem, piaskiem lub zaprawą cementowo-piaskową, przygotowaną w stosunku 1:2.</w:t>
      </w:r>
    </w:p>
    <w:p w:rsidR="00C56AA0" w:rsidRPr="003F3018" w:rsidRDefault="00C56AA0" w:rsidP="00C56AA0">
      <w:pPr>
        <w:rPr>
          <w:rFonts w:ascii="Calibri" w:hAnsi="Calibri"/>
        </w:rPr>
      </w:pPr>
      <w:r w:rsidRPr="003F3018">
        <w:rPr>
          <w:rFonts w:ascii="Calibri" w:hAnsi="Calibri"/>
        </w:rPr>
        <w:tab/>
        <w:t xml:space="preserve">Spoiny krawężników przed zalaniem zaprawą należy oczyścić i zmyć wodą. Dla zabezpieczenia przed wpływami temperatury krawężniki ustawione na podsypce cementowo-piaskowej i o spoinach zalanych zaprawą należy zalewać co </w:t>
      </w:r>
      <w:smartTag w:uri="urn:schemas-microsoft-com:office:smarttags" w:element="metricconverter">
        <w:smartTagPr>
          <w:attr w:name="ProductID" w:val="50 m"/>
        </w:smartTagPr>
        <w:r w:rsidRPr="003F3018">
          <w:rPr>
            <w:rFonts w:ascii="Calibri" w:hAnsi="Calibri"/>
          </w:rPr>
          <w:t>50 m</w:t>
        </w:r>
      </w:smartTag>
      <w:r w:rsidRPr="003F3018">
        <w:rPr>
          <w:rFonts w:ascii="Calibri" w:hAnsi="Calibri"/>
        </w:rPr>
        <w:t xml:space="preserve"> bitumiczną masą zalewową nad szczeliną dylatacyjną ławy.</w:t>
      </w:r>
    </w:p>
    <w:p w:rsidR="00C56AA0" w:rsidRPr="003F3018" w:rsidRDefault="00C56AA0" w:rsidP="00C56AA0">
      <w:pPr>
        <w:rPr>
          <w:rFonts w:ascii="Calibri" w:hAnsi="Calibri"/>
        </w:rPr>
      </w:pPr>
    </w:p>
    <w:p w:rsidR="00C56AA0" w:rsidRPr="003F3018" w:rsidRDefault="00C56AA0" w:rsidP="00C56AA0">
      <w:pPr>
        <w:rPr>
          <w:rFonts w:ascii="Calibri" w:hAnsi="Calibri"/>
          <w:b/>
        </w:rPr>
      </w:pPr>
      <w:bookmarkStart w:id="1621" w:name="_Toc428759426"/>
      <w:r w:rsidRPr="003F3018">
        <w:rPr>
          <w:rFonts w:ascii="Calibri" w:hAnsi="Calibri"/>
          <w:b/>
        </w:rPr>
        <w:t xml:space="preserve">6. </w:t>
      </w:r>
      <w:bookmarkEnd w:id="1621"/>
      <w:r w:rsidRPr="003F3018">
        <w:rPr>
          <w:rFonts w:ascii="Calibri" w:hAnsi="Calibri"/>
          <w:b/>
        </w:rPr>
        <w:t>KONTROLA JAKOŚCI ROBÓT</w:t>
      </w:r>
    </w:p>
    <w:p w:rsidR="00C56AA0" w:rsidRPr="003F3018" w:rsidRDefault="00C56AA0" w:rsidP="00C56AA0">
      <w:pPr>
        <w:rPr>
          <w:rFonts w:ascii="Calibri" w:hAnsi="Calibri"/>
        </w:rPr>
      </w:pPr>
      <w:r w:rsidRPr="003F3018">
        <w:rPr>
          <w:rFonts w:ascii="Calibri" w:hAnsi="Calibri"/>
          <w:b/>
        </w:rPr>
        <w:t>6.1.</w:t>
      </w:r>
      <w:r w:rsidRPr="003F3018">
        <w:rPr>
          <w:rFonts w:ascii="Calibri" w:hAnsi="Calibri"/>
        </w:rPr>
        <w:t xml:space="preserve"> Ogólne zasady kontroli jakości robót</w:t>
      </w:r>
    </w:p>
    <w:p w:rsidR="00C56AA0" w:rsidRPr="003F3018" w:rsidRDefault="00C56AA0" w:rsidP="00C56AA0">
      <w:pPr>
        <w:rPr>
          <w:rFonts w:ascii="Calibri" w:hAnsi="Calibri"/>
        </w:rPr>
      </w:pPr>
      <w:r w:rsidRPr="003F3018">
        <w:rPr>
          <w:rFonts w:ascii="Calibri" w:hAnsi="Calibri"/>
        </w:rPr>
        <w:tab/>
        <w:t>Ogólne zasady kontroli jakości robót podano w ST D-M-00.00.00 „Wymagania ogólne” pkt 6.</w:t>
      </w:r>
    </w:p>
    <w:p w:rsidR="00C56AA0" w:rsidRPr="003F3018" w:rsidRDefault="00C56AA0" w:rsidP="00C56AA0">
      <w:pPr>
        <w:rPr>
          <w:rFonts w:ascii="Calibri" w:hAnsi="Calibri"/>
        </w:rPr>
      </w:pPr>
      <w:r w:rsidRPr="003F3018">
        <w:rPr>
          <w:rFonts w:ascii="Calibri" w:hAnsi="Calibri"/>
          <w:b/>
        </w:rPr>
        <w:t>6.2.</w:t>
      </w:r>
      <w:r w:rsidRPr="003F3018">
        <w:rPr>
          <w:rFonts w:ascii="Calibri" w:hAnsi="Calibri"/>
        </w:rPr>
        <w:t xml:space="preserve"> Badania przed przystąpieniem do robót</w:t>
      </w:r>
    </w:p>
    <w:p w:rsidR="00C56AA0" w:rsidRPr="003F3018" w:rsidRDefault="00C56AA0" w:rsidP="00C56AA0">
      <w:pPr>
        <w:rPr>
          <w:rFonts w:ascii="Calibri" w:hAnsi="Calibri"/>
        </w:rPr>
      </w:pPr>
      <w:r w:rsidRPr="003F3018">
        <w:rPr>
          <w:rFonts w:ascii="Calibri" w:hAnsi="Calibri"/>
          <w:b/>
        </w:rPr>
        <w:t>6.2.1.</w:t>
      </w:r>
      <w:r w:rsidRPr="003F3018">
        <w:rPr>
          <w:rFonts w:ascii="Calibri" w:hAnsi="Calibri"/>
        </w:rPr>
        <w:t xml:space="preserve"> Badania krawężników</w:t>
      </w:r>
    </w:p>
    <w:p w:rsidR="00C56AA0" w:rsidRPr="003F3018" w:rsidRDefault="00C56AA0" w:rsidP="00C56AA0">
      <w:pPr>
        <w:rPr>
          <w:rFonts w:ascii="Calibri" w:hAnsi="Calibri"/>
        </w:rPr>
      </w:pPr>
      <w:r w:rsidRPr="003F3018">
        <w:rPr>
          <w:rFonts w:ascii="Calibri" w:hAnsi="Calibri"/>
        </w:rPr>
        <w:tab/>
        <w:t>Przed przystąpieniem do robót Wykonawca powinien wykonać badania materiałów przeznaczonych do ustawienia krawężników betonowych i przedstawić wyniki tych badań Inżynierowi  do akceptacji.</w:t>
      </w:r>
    </w:p>
    <w:p w:rsidR="00C56AA0" w:rsidRPr="003F3018" w:rsidRDefault="00C56AA0" w:rsidP="00C56AA0">
      <w:pPr>
        <w:rPr>
          <w:rFonts w:ascii="Calibri" w:hAnsi="Calibri"/>
        </w:rPr>
      </w:pPr>
      <w:r w:rsidRPr="003F3018">
        <w:rPr>
          <w:rFonts w:ascii="Calibri" w:hAnsi="Calibri"/>
        </w:rPr>
        <w:tab/>
        <w:t xml:space="preserve">Sprawdzenie wyglądu zewnętrznego należy przeprowadzić na podstawie oględzin elementu przez pomiar i policzenie uszkodzeń występujących na powierzchniach i krawędziach elementu zgodnie z wymaganiami tablicy 3. Pomiary długości i głębokości uszkodzeń należy wykonać za pomocą przymiaru stalowego lub suwmiarki z dokładnością do </w:t>
      </w:r>
      <w:smartTag w:uri="urn:schemas-microsoft-com:office:smarttags" w:element="metricconverter">
        <w:smartTagPr>
          <w:attr w:name="ProductID" w:val="1 mm"/>
        </w:smartTagPr>
        <w:r w:rsidRPr="003F3018">
          <w:rPr>
            <w:rFonts w:ascii="Calibri" w:hAnsi="Calibri"/>
          </w:rPr>
          <w:t>1 mm</w:t>
        </w:r>
      </w:smartTag>
      <w:r w:rsidRPr="003F3018">
        <w:rPr>
          <w:rFonts w:ascii="Calibri" w:hAnsi="Calibri"/>
        </w:rPr>
        <w:t>, zgodnie z ustaleniami PN-B-10021.</w:t>
      </w:r>
    </w:p>
    <w:p w:rsidR="00C56AA0" w:rsidRPr="003F3018" w:rsidRDefault="00C56AA0" w:rsidP="00C56AA0">
      <w:pPr>
        <w:rPr>
          <w:rFonts w:ascii="Calibri" w:hAnsi="Calibri"/>
        </w:rPr>
      </w:pPr>
      <w:r w:rsidRPr="003F3018">
        <w:rPr>
          <w:rFonts w:ascii="Calibri" w:hAnsi="Calibri"/>
        </w:rPr>
        <w:tab/>
        <w:t xml:space="preserve">Sprawdzenie kształtu i wymiarów elementów należy przeprowadzić z dokładnością do </w:t>
      </w:r>
      <w:smartTag w:uri="urn:schemas-microsoft-com:office:smarttags" w:element="metricconverter">
        <w:smartTagPr>
          <w:attr w:name="ProductID" w:val="1 mm"/>
        </w:smartTagPr>
        <w:r w:rsidRPr="003F3018">
          <w:rPr>
            <w:rFonts w:ascii="Calibri" w:hAnsi="Calibri"/>
          </w:rPr>
          <w:t>1 mm</w:t>
        </w:r>
      </w:smartTag>
      <w:r w:rsidRPr="003F3018">
        <w:rPr>
          <w:rFonts w:ascii="Calibri" w:hAnsi="Calibri"/>
        </w:rPr>
        <w:t xml:space="preserve"> przy użyciu suwmiarki oraz przymiaru stalowego lub taśmy zgodnie z wymaganiami tablicy 1 i 2. Sprawdzenie kątów prostych w narożach elementów wykonuje się przez przyłożenie kątownika do badanego naroża i zmierzenia odchyłek z dokładnością do </w:t>
      </w:r>
      <w:smartTag w:uri="urn:schemas-microsoft-com:office:smarttags" w:element="metricconverter">
        <w:smartTagPr>
          <w:attr w:name="ProductID" w:val="1 mm"/>
        </w:smartTagPr>
        <w:r w:rsidRPr="003F3018">
          <w:rPr>
            <w:rFonts w:ascii="Calibri" w:hAnsi="Calibri"/>
          </w:rPr>
          <w:t>1 mm</w:t>
        </w:r>
      </w:smartTag>
      <w:r w:rsidRPr="003F3018">
        <w:rPr>
          <w:rFonts w:ascii="Calibri" w:hAnsi="Calibri"/>
        </w:rPr>
        <w:t>.</w:t>
      </w:r>
    </w:p>
    <w:p w:rsidR="00C56AA0" w:rsidRPr="003F3018" w:rsidRDefault="00C56AA0" w:rsidP="00C56AA0">
      <w:pPr>
        <w:rPr>
          <w:rFonts w:ascii="Calibri" w:hAnsi="Calibri"/>
        </w:rPr>
      </w:pPr>
      <w:r w:rsidRPr="003F3018">
        <w:rPr>
          <w:rFonts w:ascii="Calibri" w:hAnsi="Calibri"/>
          <w:b/>
        </w:rPr>
        <w:t>6.2.2.</w:t>
      </w:r>
      <w:r w:rsidRPr="003F3018">
        <w:rPr>
          <w:rFonts w:ascii="Calibri" w:hAnsi="Calibri"/>
        </w:rPr>
        <w:t xml:space="preserve"> Badania pozostałych materiałów</w:t>
      </w:r>
    </w:p>
    <w:p w:rsidR="00C56AA0" w:rsidRPr="003F3018" w:rsidRDefault="00C56AA0" w:rsidP="00C56AA0">
      <w:pPr>
        <w:rPr>
          <w:rFonts w:ascii="Calibri" w:hAnsi="Calibri"/>
        </w:rPr>
      </w:pPr>
      <w:r w:rsidRPr="003F3018">
        <w:rPr>
          <w:rFonts w:ascii="Calibri" w:hAnsi="Calibri"/>
        </w:rPr>
        <w:tab/>
        <w:t>Badania pozostałych materiałów stosowanych przy ustawianiu krawężników betonowych powinny obejmować wszystkie właściwości, określone w normach podanych dla odpowiednich materiałów w pkt 2.</w:t>
      </w:r>
    </w:p>
    <w:p w:rsidR="00C56AA0" w:rsidRPr="003F3018" w:rsidRDefault="00C56AA0" w:rsidP="00C56AA0">
      <w:pPr>
        <w:rPr>
          <w:rFonts w:ascii="Calibri" w:hAnsi="Calibri"/>
        </w:rPr>
      </w:pPr>
      <w:r w:rsidRPr="003F3018">
        <w:rPr>
          <w:rFonts w:ascii="Calibri" w:hAnsi="Calibri"/>
          <w:b/>
        </w:rPr>
        <w:t>6.3.</w:t>
      </w:r>
      <w:r w:rsidRPr="003F3018">
        <w:rPr>
          <w:rFonts w:ascii="Calibri" w:hAnsi="Calibri"/>
        </w:rPr>
        <w:t xml:space="preserve"> Badania w czasie robót</w:t>
      </w:r>
    </w:p>
    <w:p w:rsidR="00C56AA0" w:rsidRPr="003F3018" w:rsidRDefault="00C56AA0" w:rsidP="00C56AA0">
      <w:pPr>
        <w:rPr>
          <w:rFonts w:ascii="Calibri" w:hAnsi="Calibri"/>
        </w:rPr>
      </w:pPr>
      <w:r w:rsidRPr="003F3018">
        <w:rPr>
          <w:rFonts w:ascii="Calibri" w:hAnsi="Calibri"/>
          <w:b/>
        </w:rPr>
        <w:t>6.3.1.</w:t>
      </w:r>
      <w:r w:rsidRPr="003F3018">
        <w:rPr>
          <w:rFonts w:ascii="Calibri" w:hAnsi="Calibri"/>
        </w:rPr>
        <w:t xml:space="preserve"> Sprawdzenie koryta pod ławę</w:t>
      </w:r>
    </w:p>
    <w:p w:rsidR="00C56AA0" w:rsidRPr="003F3018" w:rsidRDefault="00C56AA0" w:rsidP="00C56AA0">
      <w:pPr>
        <w:rPr>
          <w:rFonts w:ascii="Calibri" w:hAnsi="Calibri"/>
        </w:rPr>
      </w:pPr>
      <w:r w:rsidRPr="003F3018">
        <w:rPr>
          <w:rFonts w:ascii="Calibri" w:hAnsi="Calibri"/>
        </w:rPr>
        <w:tab/>
        <w:t>Należy sprawdzać wymiary koryta oraz zagęszczenie podłoża na dnie wykopu.</w:t>
      </w:r>
    </w:p>
    <w:p w:rsidR="00C56AA0" w:rsidRPr="003F3018" w:rsidRDefault="00C56AA0" w:rsidP="00C56AA0">
      <w:pPr>
        <w:rPr>
          <w:rFonts w:ascii="Calibri" w:hAnsi="Calibri"/>
        </w:rPr>
      </w:pPr>
      <w:r w:rsidRPr="003F3018">
        <w:rPr>
          <w:rFonts w:ascii="Calibri" w:hAnsi="Calibri"/>
        </w:rPr>
        <w:tab/>
        <w:t xml:space="preserve">Tolerancja dla szerokości wykopu wynosi </w:t>
      </w:r>
      <w:r w:rsidRPr="003F3018">
        <w:rPr>
          <w:rFonts w:ascii="Calibri" w:hAnsi="Calibri"/>
        </w:rPr>
        <w:sym w:font="Symbol" w:char="F0B1"/>
      </w:r>
      <w:r w:rsidRPr="003F3018">
        <w:rPr>
          <w:rFonts w:ascii="Calibri" w:hAnsi="Calibri"/>
        </w:rPr>
        <w:t xml:space="preserve"> </w:t>
      </w:r>
      <w:smartTag w:uri="urn:schemas-microsoft-com:office:smarttags" w:element="metricconverter">
        <w:smartTagPr>
          <w:attr w:name="ProductID" w:val="2 cm"/>
        </w:smartTagPr>
        <w:r w:rsidRPr="003F3018">
          <w:rPr>
            <w:rFonts w:ascii="Calibri" w:hAnsi="Calibri"/>
          </w:rPr>
          <w:t>2 cm</w:t>
        </w:r>
      </w:smartTag>
      <w:r w:rsidRPr="003F3018">
        <w:rPr>
          <w:rFonts w:ascii="Calibri" w:hAnsi="Calibri"/>
        </w:rPr>
        <w:t>. Zagęszczenie podłoża powinno być zgodne z pkt 5.2.</w:t>
      </w:r>
    </w:p>
    <w:p w:rsidR="00C56AA0" w:rsidRPr="003F3018" w:rsidRDefault="00C56AA0" w:rsidP="00C56AA0">
      <w:pPr>
        <w:rPr>
          <w:rFonts w:ascii="Calibri" w:hAnsi="Calibri"/>
        </w:rPr>
      </w:pPr>
      <w:r w:rsidRPr="003F3018">
        <w:rPr>
          <w:rFonts w:ascii="Calibri" w:hAnsi="Calibri"/>
          <w:b/>
        </w:rPr>
        <w:t>6.3.2.</w:t>
      </w:r>
      <w:r w:rsidRPr="003F3018">
        <w:rPr>
          <w:rFonts w:ascii="Calibri" w:hAnsi="Calibri"/>
        </w:rPr>
        <w:t xml:space="preserve"> Sprawdzenie ław</w:t>
      </w:r>
    </w:p>
    <w:p w:rsidR="00C56AA0" w:rsidRPr="003F3018" w:rsidRDefault="00C56AA0" w:rsidP="00C56AA0">
      <w:pPr>
        <w:rPr>
          <w:rFonts w:ascii="Calibri" w:hAnsi="Calibri"/>
        </w:rPr>
      </w:pPr>
      <w:r w:rsidRPr="003F3018">
        <w:rPr>
          <w:rFonts w:ascii="Calibri" w:hAnsi="Calibri"/>
        </w:rPr>
        <w:tab/>
        <w:t>Przy wykonywaniu ław badaniu podlegają:</w:t>
      </w:r>
    </w:p>
    <w:p w:rsidR="00C56AA0" w:rsidRPr="003F3018" w:rsidRDefault="00C56AA0" w:rsidP="00C56AA0">
      <w:pPr>
        <w:rPr>
          <w:rFonts w:ascii="Calibri" w:hAnsi="Calibri"/>
        </w:rPr>
      </w:pPr>
      <w:r w:rsidRPr="003F3018">
        <w:rPr>
          <w:rFonts w:ascii="Calibri" w:hAnsi="Calibri"/>
        </w:rPr>
        <w:t>a)Zgodność profilu podłużnego górnej powierzchni ław z dokumentacją projektową.</w:t>
      </w:r>
    </w:p>
    <w:p w:rsidR="00C56AA0" w:rsidRPr="003F3018" w:rsidRDefault="00C56AA0" w:rsidP="00C56AA0">
      <w:pPr>
        <w:rPr>
          <w:rFonts w:ascii="Calibri" w:hAnsi="Calibri"/>
        </w:rPr>
      </w:pPr>
      <w:r w:rsidRPr="003F3018">
        <w:rPr>
          <w:rFonts w:ascii="Calibri" w:hAnsi="Calibri"/>
        </w:rPr>
        <w:tab/>
        <w:t xml:space="preserve">Profil podłużny górnej powierzchni ławy powinien być zgodny z projektowaną niweletą. Dopuszczalne odchylenia mogą wynosić </w:t>
      </w:r>
      <w:r w:rsidRPr="003F3018">
        <w:rPr>
          <w:rFonts w:ascii="Calibri" w:hAnsi="Calibri"/>
        </w:rPr>
        <w:sym w:font="Symbol" w:char="F0B1"/>
      </w:r>
      <w:r w:rsidRPr="003F3018">
        <w:rPr>
          <w:rFonts w:ascii="Calibri" w:hAnsi="Calibri"/>
        </w:rPr>
        <w:t xml:space="preserve"> </w:t>
      </w:r>
      <w:smartTag w:uri="urn:schemas-microsoft-com:office:smarttags" w:element="metricconverter">
        <w:smartTagPr>
          <w:attr w:name="ProductID" w:val="1 cm"/>
        </w:smartTagPr>
        <w:r w:rsidRPr="003F3018">
          <w:rPr>
            <w:rFonts w:ascii="Calibri" w:hAnsi="Calibri"/>
          </w:rPr>
          <w:t>1 cm</w:t>
        </w:r>
      </w:smartTag>
      <w:r w:rsidRPr="003F3018">
        <w:rPr>
          <w:rFonts w:ascii="Calibri" w:hAnsi="Calibri"/>
        </w:rPr>
        <w:t xml:space="preserve"> na każde </w:t>
      </w:r>
      <w:smartTag w:uri="urn:schemas-microsoft-com:office:smarttags" w:element="metricconverter">
        <w:smartTagPr>
          <w:attr w:name="ProductID" w:val="100 m"/>
        </w:smartTagPr>
        <w:r w:rsidRPr="003F3018">
          <w:rPr>
            <w:rFonts w:ascii="Calibri" w:hAnsi="Calibri"/>
          </w:rPr>
          <w:t>100 m</w:t>
        </w:r>
      </w:smartTag>
      <w:r w:rsidRPr="003F3018">
        <w:rPr>
          <w:rFonts w:ascii="Calibri" w:hAnsi="Calibri"/>
        </w:rPr>
        <w:t xml:space="preserve"> ławy.</w:t>
      </w:r>
    </w:p>
    <w:p w:rsidR="00C56AA0" w:rsidRPr="003F3018" w:rsidRDefault="00C56AA0" w:rsidP="00C56AA0">
      <w:pPr>
        <w:rPr>
          <w:rFonts w:ascii="Calibri" w:hAnsi="Calibri"/>
        </w:rPr>
      </w:pPr>
      <w:r w:rsidRPr="003F3018">
        <w:rPr>
          <w:rFonts w:ascii="Calibri" w:hAnsi="Calibri"/>
        </w:rPr>
        <w:t>b)Wymiary ław.</w:t>
      </w:r>
    </w:p>
    <w:p w:rsidR="00C56AA0" w:rsidRPr="003F3018" w:rsidRDefault="00C56AA0" w:rsidP="00C56AA0">
      <w:pPr>
        <w:rPr>
          <w:rFonts w:ascii="Calibri" w:hAnsi="Calibri"/>
        </w:rPr>
      </w:pPr>
      <w:r w:rsidRPr="003F3018">
        <w:rPr>
          <w:rFonts w:ascii="Calibri" w:hAnsi="Calibri"/>
        </w:rPr>
        <w:tab/>
        <w:t xml:space="preserve">Wymiary ław należy sprawdzić w dwóch dowolnie wybranych punktach na każde </w:t>
      </w:r>
      <w:smartTag w:uri="urn:schemas-microsoft-com:office:smarttags" w:element="metricconverter">
        <w:smartTagPr>
          <w:attr w:name="ProductID" w:val="100 m"/>
        </w:smartTagPr>
        <w:r w:rsidRPr="003F3018">
          <w:rPr>
            <w:rFonts w:ascii="Calibri" w:hAnsi="Calibri"/>
          </w:rPr>
          <w:t>100 m</w:t>
        </w:r>
      </w:smartTag>
      <w:r w:rsidRPr="003F3018">
        <w:rPr>
          <w:rFonts w:ascii="Calibri" w:hAnsi="Calibri"/>
        </w:rPr>
        <w:t xml:space="preserve"> ławy. Tolerancje wymiarów wynoszą:</w:t>
      </w:r>
    </w:p>
    <w:p w:rsidR="00C56AA0" w:rsidRPr="003F3018" w:rsidRDefault="00C56AA0" w:rsidP="00C56AA0">
      <w:pPr>
        <w:rPr>
          <w:rFonts w:ascii="Calibri" w:hAnsi="Calibri"/>
        </w:rPr>
      </w:pPr>
      <w:r w:rsidRPr="003F3018">
        <w:rPr>
          <w:rFonts w:ascii="Calibri" w:hAnsi="Calibri"/>
        </w:rPr>
        <w:tab/>
        <w:t xml:space="preserve">- dla wysokości  </w:t>
      </w:r>
      <w:r w:rsidRPr="003F3018">
        <w:rPr>
          <w:rFonts w:ascii="Calibri" w:hAnsi="Calibri"/>
        </w:rPr>
        <w:sym w:font="Symbol" w:char="F0B1"/>
      </w:r>
      <w:r w:rsidRPr="003F3018">
        <w:rPr>
          <w:rFonts w:ascii="Calibri" w:hAnsi="Calibri"/>
        </w:rPr>
        <w:t xml:space="preserve"> 10% wysokości projektowanej,</w:t>
      </w:r>
    </w:p>
    <w:p w:rsidR="00C56AA0" w:rsidRPr="003F3018" w:rsidRDefault="00C56AA0" w:rsidP="00C56AA0">
      <w:pPr>
        <w:rPr>
          <w:rFonts w:ascii="Calibri" w:hAnsi="Calibri"/>
        </w:rPr>
      </w:pPr>
      <w:r w:rsidRPr="003F3018">
        <w:rPr>
          <w:rFonts w:ascii="Calibri" w:hAnsi="Calibri"/>
        </w:rPr>
        <w:tab/>
        <w:t xml:space="preserve">- dla szerokości  </w:t>
      </w:r>
      <w:r w:rsidRPr="003F3018">
        <w:rPr>
          <w:rFonts w:ascii="Calibri" w:hAnsi="Calibri"/>
        </w:rPr>
        <w:sym w:font="Symbol" w:char="F0B1"/>
      </w:r>
      <w:r w:rsidRPr="003F3018">
        <w:rPr>
          <w:rFonts w:ascii="Calibri" w:hAnsi="Calibri"/>
        </w:rPr>
        <w:t xml:space="preserve"> 10% szerokości projektowanej.</w:t>
      </w:r>
    </w:p>
    <w:p w:rsidR="00C56AA0" w:rsidRPr="003F3018" w:rsidRDefault="00C56AA0" w:rsidP="00C56AA0">
      <w:pPr>
        <w:rPr>
          <w:rFonts w:ascii="Calibri" w:hAnsi="Calibri"/>
        </w:rPr>
      </w:pPr>
      <w:r w:rsidRPr="003F3018">
        <w:rPr>
          <w:rFonts w:ascii="Calibri" w:hAnsi="Calibri"/>
        </w:rPr>
        <w:t>c)Równość górnej powierzchni ław.</w:t>
      </w:r>
    </w:p>
    <w:p w:rsidR="00C56AA0" w:rsidRPr="003F3018" w:rsidRDefault="00C56AA0" w:rsidP="00C56AA0">
      <w:pPr>
        <w:rPr>
          <w:rFonts w:ascii="Calibri" w:hAnsi="Calibri"/>
        </w:rPr>
      </w:pPr>
      <w:r w:rsidRPr="003F3018">
        <w:rPr>
          <w:rFonts w:ascii="Calibri" w:hAnsi="Calibri"/>
        </w:rPr>
        <w:tab/>
        <w:t xml:space="preserve">Równość górnej powierzchni ławy sprawdza się przez przyłożenie w dwóch punktach, na każde </w:t>
      </w:r>
      <w:smartTag w:uri="urn:schemas-microsoft-com:office:smarttags" w:element="metricconverter">
        <w:smartTagPr>
          <w:attr w:name="ProductID" w:val="100 m"/>
        </w:smartTagPr>
        <w:r w:rsidRPr="003F3018">
          <w:rPr>
            <w:rFonts w:ascii="Calibri" w:hAnsi="Calibri"/>
          </w:rPr>
          <w:t>100 m</w:t>
        </w:r>
      </w:smartTag>
      <w:r w:rsidRPr="003F3018">
        <w:rPr>
          <w:rFonts w:ascii="Calibri" w:hAnsi="Calibri"/>
        </w:rPr>
        <w:t xml:space="preserve"> ławy, trzymetrowej łaty.</w:t>
      </w:r>
    </w:p>
    <w:p w:rsidR="00C56AA0" w:rsidRPr="003F3018" w:rsidRDefault="00C56AA0" w:rsidP="00C56AA0">
      <w:pPr>
        <w:rPr>
          <w:rFonts w:ascii="Calibri" w:hAnsi="Calibri"/>
        </w:rPr>
      </w:pPr>
      <w:r w:rsidRPr="003F3018">
        <w:rPr>
          <w:rFonts w:ascii="Calibri" w:hAnsi="Calibri"/>
        </w:rPr>
        <w:tab/>
        <w:t>Prześwit pomiędzy górną powierzchnią ławy i przyłożoną łatą nie może przekraczać 1 cm.</w:t>
      </w:r>
    </w:p>
    <w:p w:rsidR="00C56AA0" w:rsidRPr="003F3018" w:rsidRDefault="00C56AA0" w:rsidP="00C56AA0">
      <w:pPr>
        <w:rPr>
          <w:rFonts w:ascii="Calibri" w:hAnsi="Calibri"/>
        </w:rPr>
      </w:pPr>
      <w:r w:rsidRPr="003F3018">
        <w:rPr>
          <w:rFonts w:ascii="Calibri" w:hAnsi="Calibri"/>
        </w:rPr>
        <w:t>d)Zagęszczenie ław.</w:t>
      </w:r>
    </w:p>
    <w:p w:rsidR="00C56AA0" w:rsidRPr="003F3018" w:rsidRDefault="00C56AA0" w:rsidP="00C56AA0">
      <w:pPr>
        <w:rPr>
          <w:rFonts w:ascii="Calibri" w:hAnsi="Calibri"/>
        </w:rPr>
      </w:pPr>
      <w:r w:rsidRPr="003F3018">
        <w:rPr>
          <w:rFonts w:ascii="Calibri" w:hAnsi="Calibri"/>
        </w:rPr>
        <w:tab/>
        <w:t xml:space="preserve">Zagęszczenie ław bada się w dwóch przekrojach na każde </w:t>
      </w:r>
      <w:smartTag w:uri="urn:schemas-microsoft-com:office:smarttags" w:element="metricconverter">
        <w:smartTagPr>
          <w:attr w:name="ProductID" w:val="100 m"/>
        </w:smartTagPr>
        <w:r w:rsidRPr="003F3018">
          <w:rPr>
            <w:rFonts w:ascii="Calibri" w:hAnsi="Calibri"/>
          </w:rPr>
          <w:t>100 m</w:t>
        </w:r>
      </w:smartTag>
      <w:r w:rsidRPr="003F3018">
        <w:rPr>
          <w:rFonts w:ascii="Calibri" w:hAnsi="Calibri"/>
        </w:rPr>
        <w:t xml:space="preserve">. </w:t>
      </w:r>
    </w:p>
    <w:p w:rsidR="00C56AA0" w:rsidRPr="003F3018" w:rsidRDefault="00C56AA0" w:rsidP="00C56AA0">
      <w:pPr>
        <w:rPr>
          <w:rFonts w:ascii="Calibri" w:hAnsi="Calibri"/>
        </w:rPr>
      </w:pPr>
      <w:r w:rsidRPr="003F3018">
        <w:rPr>
          <w:rFonts w:ascii="Calibri" w:hAnsi="Calibri"/>
        </w:rPr>
        <w:lastRenderedPageBreak/>
        <w:t>e)Odchylenie linii ław od projektowanego kierunku.</w:t>
      </w:r>
    </w:p>
    <w:p w:rsidR="00C56AA0" w:rsidRPr="003F3018" w:rsidRDefault="00C56AA0" w:rsidP="00C56AA0">
      <w:pPr>
        <w:rPr>
          <w:rFonts w:ascii="Calibri" w:hAnsi="Calibri"/>
        </w:rPr>
      </w:pPr>
      <w:r w:rsidRPr="003F3018">
        <w:rPr>
          <w:rFonts w:ascii="Calibri" w:hAnsi="Calibri"/>
        </w:rPr>
        <w:tab/>
        <w:t xml:space="preserve">Dopuszczalne odchylenie linii ław od projektowanego kierunku nie może przekraczać </w:t>
      </w:r>
      <w:r w:rsidRPr="003F3018">
        <w:rPr>
          <w:rFonts w:ascii="Calibri" w:hAnsi="Calibri"/>
        </w:rPr>
        <w:sym w:font="Symbol" w:char="F0B1"/>
      </w:r>
      <w:r w:rsidRPr="003F3018">
        <w:rPr>
          <w:rFonts w:ascii="Calibri" w:hAnsi="Calibri"/>
        </w:rPr>
        <w:t xml:space="preserve"> </w:t>
      </w:r>
      <w:smartTag w:uri="urn:schemas-microsoft-com:office:smarttags" w:element="metricconverter">
        <w:smartTagPr>
          <w:attr w:name="ProductID" w:val="2 cm"/>
        </w:smartTagPr>
        <w:r w:rsidRPr="003F3018">
          <w:rPr>
            <w:rFonts w:ascii="Calibri" w:hAnsi="Calibri"/>
          </w:rPr>
          <w:t>2 cm</w:t>
        </w:r>
      </w:smartTag>
      <w:r w:rsidRPr="003F3018">
        <w:rPr>
          <w:rFonts w:ascii="Calibri" w:hAnsi="Calibri"/>
        </w:rPr>
        <w:t xml:space="preserve"> na każde </w:t>
      </w:r>
      <w:smartTag w:uri="urn:schemas-microsoft-com:office:smarttags" w:element="metricconverter">
        <w:smartTagPr>
          <w:attr w:name="ProductID" w:val="100 m"/>
        </w:smartTagPr>
        <w:r w:rsidRPr="003F3018">
          <w:rPr>
            <w:rFonts w:ascii="Calibri" w:hAnsi="Calibri"/>
          </w:rPr>
          <w:t>100 m</w:t>
        </w:r>
      </w:smartTag>
      <w:r w:rsidRPr="003F3018">
        <w:rPr>
          <w:rFonts w:ascii="Calibri" w:hAnsi="Calibri"/>
        </w:rPr>
        <w:t xml:space="preserve"> wykonanej ławy.</w:t>
      </w:r>
    </w:p>
    <w:p w:rsidR="00C56AA0" w:rsidRPr="003F3018" w:rsidRDefault="00C56AA0" w:rsidP="00C56AA0">
      <w:pPr>
        <w:rPr>
          <w:rFonts w:ascii="Calibri" w:hAnsi="Calibri"/>
        </w:rPr>
      </w:pPr>
      <w:r w:rsidRPr="003F3018">
        <w:rPr>
          <w:rFonts w:ascii="Calibri" w:hAnsi="Calibri"/>
          <w:b/>
        </w:rPr>
        <w:t>6.3.3.</w:t>
      </w:r>
      <w:r w:rsidRPr="003F3018">
        <w:rPr>
          <w:rFonts w:ascii="Calibri" w:hAnsi="Calibri"/>
        </w:rPr>
        <w:t xml:space="preserve"> Sprawdzenie ustawienia krawężników</w:t>
      </w:r>
    </w:p>
    <w:p w:rsidR="00C56AA0" w:rsidRPr="003F3018" w:rsidRDefault="00C56AA0" w:rsidP="00C56AA0">
      <w:pPr>
        <w:rPr>
          <w:rFonts w:ascii="Calibri" w:hAnsi="Calibri"/>
        </w:rPr>
      </w:pPr>
      <w:r w:rsidRPr="003F3018">
        <w:rPr>
          <w:rFonts w:ascii="Calibri" w:hAnsi="Calibri"/>
        </w:rPr>
        <w:tab/>
        <w:t>Przy ustawianiu krawężników należy sprawdzać:</w:t>
      </w:r>
    </w:p>
    <w:p w:rsidR="00C56AA0" w:rsidRPr="003F3018" w:rsidRDefault="00C56AA0" w:rsidP="00C56AA0">
      <w:pPr>
        <w:rPr>
          <w:rFonts w:ascii="Calibri" w:hAnsi="Calibri"/>
        </w:rPr>
      </w:pPr>
      <w:r>
        <w:rPr>
          <w:rFonts w:ascii="Calibri" w:hAnsi="Calibri"/>
        </w:rPr>
        <w:t>-</w:t>
      </w:r>
      <w:r w:rsidRPr="003F3018">
        <w:rPr>
          <w:rFonts w:ascii="Calibri" w:hAnsi="Calibri"/>
        </w:rPr>
        <w:t xml:space="preserve">dopuszczalne odchylenia linii krawężników w poziomie od linii projektowanej, które wynosi </w:t>
      </w:r>
      <w:r w:rsidRPr="003F3018">
        <w:rPr>
          <w:rFonts w:ascii="Calibri" w:hAnsi="Calibri"/>
        </w:rPr>
        <w:sym w:font="Symbol" w:char="F0B1"/>
      </w:r>
      <w:r w:rsidRPr="003F3018">
        <w:rPr>
          <w:rFonts w:ascii="Calibri" w:hAnsi="Calibri"/>
        </w:rPr>
        <w:t xml:space="preserve"> </w:t>
      </w:r>
      <w:smartTag w:uri="urn:schemas-microsoft-com:office:smarttags" w:element="metricconverter">
        <w:smartTagPr>
          <w:attr w:name="ProductID" w:val="1 cm"/>
        </w:smartTagPr>
        <w:r w:rsidRPr="003F3018">
          <w:rPr>
            <w:rFonts w:ascii="Calibri" w:hAnsi="Calibri"/>
          </w:rPr>
          <w:t>1 cm</w:t>
        </w:r>
      </w:smartTag>
      <w:r w:rsidRPr="003F3018">
        <w:rPr>
          <w:rFonts w:ascii="Calibri" w:hAnsi="Calibri"/>
        </w:rPr>
        <w:t xml:space="preserve"> na każde </w:t>
      </w:r>
      <w:smartTag w:uri="urn:schemas-microsoft-com:office:smarttags" w:element="metricconverter">
        <w:smartTagPr>
          <w:attr w:name="ProductID" w:val="100 m"/>
        </w:smartTagPr>
        <w:r w:rsidRPr="003F3018">
          <w:rPr>
            <w:rFonts w:ascii="Calibri" w:hAnsi="Calibri"/>
          </w:rPr>
          <w:t>100 m</w:t>
        </w:r>
      </w:smartTag>
      <w:r w:rsidRPr="003F3018">
        <w:rPr>
          <w:rFonts w:ascii="Calibri" w:hAnsi="Calibri"/>
        </w:rPr>
        <w:t xml:space="preserve"> ustawionego krawężnika,</w:t>
      </w:r>
    </w:p>
    <w:p w:rsidR="00C56AA0" w:rsidRPr="003F3018" w:rsidRDefault="00C56AA0" w:rsidP="00C56AA0">
      <w:pPr>
        <w:rPr>
          <w:rFonts w:ascii="Calibri" w:hAnsi="Calibri"/>
        </w:rPr>
      </w:pPr>
      <w:r>
        <w:rPr>
          <w:rFonts w:ascii="Calibri" w:hAnsi="Calibri"/>
        </w:rPr>
        <w:t>-</w:t>
      </w:r>
      <w:r w:rsidRPr="003F3018">
        <w:rPr>
          <w:rFonts w:ascii="Calibri" w:hAnsi="Calibri"/>
        </w:rPr>
        <w:t xml:space="preserve">dopuszczalne odchylenie niwelety górnej płaszczyzny krawężnika od niwelety projektowanej, które wynosi </w:t>
      </w:r>
      <w:r w:rsidRPr="003F3018">
        <w:rPr>
          <w:rFonts w:ascii="Calibri" w:hAnsi="Calibri"/>
        </w:rPr>
        <w:sym w:font="Symbol" w:char="F0B1"/>
      </w:r>
      <w:r w:rsidRPr="003F3018">
        <w:rPr>
          <w:rFonts w:ascii="Calibri" w:hAnsi="Calibri"/>
        </w:rPr>
        <w:t xml:space="preserve"> </w:t>
      </w:r>
      <w:smartTag w:uri="urn:schemas-microsoft-com:office:smarttags" w:element="metricconverter">
        <w:smartTagPr>
          <w:attr w:name="ProductID" w:val="1 cm"/>
        </w:smartTagPr>
        <w:r w:rsidRPr="003F3018">
          <w:rPr>
            <w:rFonts w:ascii="Calibri" w:hAnsi="Calibri"/>
          </w:rPr>
          <w:t>1 cm</w:t>
        </w:r>
      </w:smartTag>
      <w:r w:rsidRPr="003F3018">
        <w:rPr>
          <w:rFonts w:ascii="Calibri" w:hAnsi="Calibri"/>
        </w:rPr>
        <w:t xml:space="preserve"> na każde </w:t>
      </w:r>
      <w:smartTag w:uri="urn:schemas-microsoft-com:office:smarttags" w:element="metricconverter">
        <w:smartTagPr>
          <w:attr w:name="ProductID" w:val="100 m"/>
        </w:smartTagPr>
        <w:r w:rsidRPr="003F3018">
          <w:rPr>
            <w:rFonts w:ascii="Calibri" w:hAnsi="Calibri"/>
          </w:rPr>
          <w:t>100 m</w:t>
        </w:r>
      </w:smartTag>
      <w:r w:rsidRPr="003F3018">
        <w:rPr>
          <w:rFonts w:ascii="Calibri" w:hAnsi="Calibri"/>
        </w:rPr>
        <w:t xml:space="preserve"> ustawionego krawężnika,</w:t>
      </w:r>
    </w:p>
    <w:p w:rsidR="00C56AA0" w:rsidRPr="003F3018" w:rsidRDefault="00C56AA0" w:rsidP="00C56AA0">
      <w:pPr>
        <w:rPr>
          <w:rFonts w:ascii="Calibri" w:hAnsi="Calibri"/>
        </w:rPr>
      </w:pPr>
      <w:r>
        <w:rPr>
          <w:rFonts w:ascii="Calibri" w:hAnsi="Calibri"/>
        </w:rPr>
        <w:t>-</w:t>
      </w:r>
      <w:r w:rsidRPr="003F3018">
        <w:rPr>
          <w:rFonts w:ascii="Calibri" w:hAnsi="Calibri"/>
        </w:rPr>
        <w:t xml:space="preserve">równość górnej powierzchni krawężników, sprawdzane przez przyłożenie w dwóch punktach na każde </w:t>
      </w:r>
      <w:smartTag w:uri="urn:schemas-microsoft-com:office:smarttags" w:element="metricconverter">
        <w:smartTagPr>
          <w:attr w:name="ProductID" w:val="100 m"/>
        </w:smartTagPr>
        <w:r w:rsidRPr="003F3018">
          <w:rPr>
            <w:rFonts w:ascii="Calibri" w:hAnsi="Calibri"/>
          </w:rPr>
          <w:t>100 m</w:t>
        </w:r>
      </w:smartTag>
      <w:r w:rsidRPr="003F3018">
        <w:rPr>
          <w:rFonts w:ascii="Calibri" w:hAnsi="Calibri"/>
        </w:rPr>
        <w:t xml:space="preserve"> krawężnika, trzymetrowej łaty, przy czym prześwit pomiędzy górną powierzchnią krawężnika i przyłożoną łatą nie może przekraczać </w:t>
      </w:r>
      <w:smartTag w:uri="urn:schemas-microsoft-com:office:smarttags" w:element="metricconverter">
        <w:smartTagPr>
          <w:attr w:name="ProductID" w:val="1 cm"/>
        </w:smartTagPr>
        <w:r w:rsidRPr="003F3018">
          <w:rPr>
            <w:rFonts w:ascii="Calibri" w:hAnsi="Calibri"/>
          </w:rPr>
          <w:t>1 cm</w:t>
        </w:r>
      </w:smartTag>
      <w:r w:rsidRPr="003F3018">
        <w:rPr>
          <w:rFonts w:ascii="Calibri" w:hAnsi="Calibri"/>
        </w:rPr>
        <w:t>,</w:t>
      </w:r>
    </w:p>
    <w:p w:rsidR="00C56AA0" w:rsidRPr="003F3018" w:rsidRDefault="00C56AA0" w:rsidP="00C56AA0">
      <w:pPr>
        <w:rPr>
          <w:rFonts w:ascii="Calibri" w:hAnsi="Calibri"/>
        </w:rPr>
      </w:pPr>
      <w:r>
        <w:rPr>
          <w:rFonts w:ascii="Calibri" w:hAnsi="Calibri"/>
        </w:rPr>
        <w:t>-</w:t>
      </w:r>
      <w:r w:rsidRPr="003F3018">
        <w:rPr>
          <w:rFonts w:ascii="Calibri" w:hAnsi="Calibri"/>
        </w:rPr>
        <w:t xml:space="preserve">dokładność wypełnienia spoin bada się co </w:t>
      </w:r>
      <w:smartTag w:uri="urn:schemas-microsoft-com:office:smarttags" w:element="metricconverter">
        <w:smartTagPr>
          <w:attr w:name="ProductID" w:val="10 metr￳w"/>
        </w:smartTagPr>
        <w:r w:rsidRPr="003F3018">
          <w:rPr>
            <w:rFonts w:ascii="Calibri" w:hAnsi="Calibri"/>
          </w:rPr>
          <w:t>10 metrów</w:t>
        </w:r>
      </w:smartTag>
      <w:r w:rsidRPr="003F3018">
        <w:rPr>
          <w:rFonts w:ascii="Calibri" w:hAnsi="Calibri"/>
        </w:rPr>
        <w:t>. Spoiny muszą być wypełnione całkowicie na pełną głębokość.</w:t>
      </w:r>
    </w:p>
    <w:p w:rsidR="00C56AA0" w:rsidRPr="003F3018" w:rsidRDefault="00C56AA0" w:rsidP="00C56AA0">
      <w:pPr>
        <w:rPr>
          <w:rFonts w:ascii="Calibri" w:hAnsi="Calibri"/>
        </w:rPr>
      </w:pPr>
    </w:p>
    <w:p w:rsidR="00C56AA0" w:rsidRPr="003F3018" w:rsidRDefault="00C56AA0" w:rsidP="00C56AA0">
      <w:pPr>
        <w:rPr>
          <w:rFonts w:ascii="Calibri" w:hAnsi="Calibri"/>
          <w:b/>
        </w:rPr>
      </w:pPr>
      <w:r w:rsidRPr="003F3018">
        <w:rPr>
          <w:rFonts w:ascii="Calibri" w:hAnsi="Calibri"/>
          <w:b/>
        </w:rPr>
        <w:t>7. OBMIAR ROBÓT</w:t>
      </w:r>
    </w:p>
    <w:p w:rsidR="00C56AA0" w:rsidRPr="003F3018" w:rsidRDefault="00C56AA0" w:rsidP="00C56AA0">
      <w:pPr>
        <w:rPr>
          <w:rFonts w:ascii="Calibri" w:hAnsi="Calibri"/>
        </w:rPr>
      </w:pPr>
      <w:r w:rsidRPr="003F3018">
        <w:rPr>
          <w:rFonts w:ascii="Calibri" w:hAnsi="Calibri"/>
          <w:b/>
        </w:rPr>
        <w:t>7.1.</w:t>
      </w:r>
      <w:r w:rsidRPr="003F3018">
        <w:rPr>
          <w:rFonts w:ascii="Calibri" w:hAnsi="Calibri"/>
        </w:rPr>
        <w:t xml:space="preserve"> Ogólne zasady obmiaru robót</w:t>
      </w:r>
    </w:p>
    <w:p w:rsidR="00C56AA0" w:rsidRPr="003F3018" w:rsidRDefault="00C56AA0" w:rsidP="00C56AA0">
      <w:pPr>
        <w:rPr>
          <w:rFonts w:ascii="Calibri" w:hAnsi="Calibri"/>
        </w:rPr>
      </w:pPr>
      <w:r w:rsidRPr="003F3018">
        <w:rPr>
          <w:rFonts w:ascii="Calibri" w:hAnsi="Calibri"/>
        </w:rPr>
        <w:tab/>
        <w:t>Ogólne zasady obmiaru robót podano w ST D-M-00.00.00 „Wymagania ogólne” pkt 7.</w:t>
      </w:r>
    </w:p>
    <w:p w:rsidR="00C56AA0" w:rsidRPr="003F3018" w:rsidRDefault="00C56AA0" w:rsidP="00C56AA0">
      <w:pPr>
        <w:rPr>
          <w:rFonts w:ascii="Calibri" w:hAnsi="Calibri"/>
        </w:rPr>
      </w:pPr>
      <w:r w:rsidRPr="003F3018">
        <w:rPr>
          <w:rFonts w:ascii="Calibri" w:hAnsi="Calibri"/>
          <w:b/>
        </w:rPr>
        <w:t>7.2.</w:t>
      </w:r>
      <w:r w:rsidRPr="003F3018">
        <w:rPr>
          <w:rFonts w:ascii="Calibri" w:hAnsi="Calibri"/>
        </w:rPr>
        <w:t xml:space="preserve"> Jednostka obmiarowa</w:t>
      </w:r>
    </w:p>
    <w:p w:rsidR="00C56AA0" w:rsidRPr="003F3018" w:rsidRDefault="00C56AA0" w:rsidP="00C56AA0">
      <w:pPr>
        <w:rPr>
          <w:rFonts w:ascii="Calibri" w:hAnsi="Calibri"/>
        </w:rPr>
      </w:pPr>
      <w:r w:rsidRPr="003F3018">
        <w:rPr>
          <w:rFonts w:ascii="Calibri" w:hAnsi="Calibri"/>
        </w:rPr>
        <w:tab/>
        <w:t>Jednostką obmiarową jest 1 m (metr) ustawionego krawężnika betonowego.</w:t>
      </w:r>
    </w:p>
    <w:p w:rsidR="00C56AA0" w:rsidRPr="003F3018" w:rsidRDefault="00C56AA0" w:rsidP="00C56AA0">
      <w:pPr>
        <w:rPr>
          <w:rFonts w:ascii="Calibri" w:hAnsi="Calibri"/>
        </w:rPr>
      </w:pPr>
    </w:p>
    <w:p w:rsidR="00C56AA0" w:rsidRPr="003F3018" w:rsidRDefault="00C56AA0" w:rsidP="00C56AA0">
      <w:pPr>
        <w:rPr>
          <w:rFonts w:ascii="Calibri" w:hAnsi="Calibri"/>
          <w:b/>
        </w:rPr>
      </w:pPr>
      <w:r w:rsidRPr="003F3018">
        <w:rPr>
          <w:rFonts w:ascii="Calibri" w:hAnsi="Calibri"/>
          <w:b/>
        </w:rPr>
        <w:t>8. ODBIÓR ROBÓT</w:t>
      </w:r>
    </w:p>
    <w:p w:rsidR="00C56AA0" w:rsidRPr="003F3018" w:rsidRDefault="00C56AA0" w:rsidP="00C56AA0">
      <w:pPr>
        <w:rPr>
          <w:rFonts w:ascii="Calibri" w:hAnsi="Calibri"/>
        </w:rPr>
      </w:pPr>
      <w:r w:rsidRPr="003F3018">
        <w:rPr>
          <w:rFonts w:ascii="Calibri" w:hAnsi="Calibri"/>
          <w:b/>
        </w:rPr>
        <w:t>8.1.</w:t>
      </w:r>
      <w:r w:rsidRPr="003F3018">
        <w:rPr>
          <w:rFonts w:ascii="Calibri" w:hAnsi="Calibri"/>
        </w:rPr>
        <w:t xml:space="preserve"> Ogólne zasady odbioru robót</w:t>
      </w:r>
    </w:p>
    <w:p w:rsidR="00C56AA0" w:rsidRPr="003F3018" w:rsidRDefault="00C56AA0" w:rsidP="00C56AA0">
      <w:pPr>
        <w:rPr>
          <w:rFonts w:ascii="Calibri" w:hAnsi="Calibri"/>
        </w:rPr>
      </w:pPr>
      <w:r w:rsidRPr="003F3018">
        <w:rPr>
          <w:rFonts w:ascii="Calibri" w:hAnsi="Calibri"/>
        </w:rPr>
        <w:tab/>
        <w:t>Ogólne zasady odbioru robót podano w ST D-M-00.00.00 „Wymagania ogólne” pkt 8.</w:t>
      </w:r>
    </w:p>
    <w:p w:rsidR="00C56AA0" w:rsidRPr="003F3018" w:rsidRDefault="00C56AA0" w:rsidP="00C56AA0">
      <w:pPr>
        <w:rPr>
          <w:rFonts w:ascii="Calibri" w:hAnsi="Calibri"/>
        </w:rPr>
      </w:pPr>
      <w:r w:rsidRPr="003F3018">
        <w:rPr>
          <w:rFonts w:ascii="Calibri" w:hAnsi="Calibri"/>
        </w:rPr>
        <w:tab/>
        <w:t>Roboty uznaje się za wykonane zgodnie z dokumentacją projektową, ST i wymaganiami Inżyniera, jeżeli wszystkie pomiary i badania z zachowaniem tolerancji wg pkt 6 dały wyniki pozytywne.</w:t>
      </w:r>
    </w:p>
    <w:p w:rsidR="00C56AA0" w:rsidRPr="003F3018" w:rsidRDefault="00C56AA0" w:rsidP="00C56AA0">
      <w:pPr>
        <w:rPr>
          <w:rFonts w:ascii="Calibri" w:hAnsi="Calibri"/>
        </w:rPr>
      </w:pPr>
      <w:r w:rsidRPr="003F3018">
        <w:rPr>
          <w:rFonts w:ascii="Calibri" w:hAnsi="Calibri"/>
          <w:b/>
        </w:rPr>
        <w:t>8.2.</w:t>
      </w:r>
      <w:r w:rsidRPr="003F3018">
        <w:rPr>
          <w:rFonts w:ascii="Calibri" w:hAnsi="Calibri"/>
        </w:rPr>
        <w:t xml:space="preserve"> Odbiór robót zanikających i ulegających zakryciu</w:t>
      </w:r>
    </w:p>
    <w:p w:rsidR="00C56AA0" w:rsidRPr="003F3018" w:rsidRDefault="00C56AA0" w:rsidP="00C56AA0">
      <w:pPr>
        <w:rPr>
          <w:rFonts w:ascii="Calibri" w:hAnsi="Calibri"/>
        </w:rPr>
      </w:pPr>
      <w:r w:rsidRPr="003F3018">
        <w:rPr>
          <w:rFonts w:ascii="Calibri" w:hAnsi="Calibri"/>
        </w:rPr>
        <w:tab/>
        <w:t>Odbiorowi robót zanikających i ulegających zakryciu podlegają:</w:t>
      </w:r>
    </w:p>
    <w:p w:rsidR="00C56AA0" w:rsidRPr="003F3018" w:rsidRDefault="00C56AA0" w:rsidP="00C56AA0">
      <w:pPr>
        <w:rPr>
          <w:rFonts w:ascii="Calibri" w:hAnsi="Calibri"/>
        </w:rPr>
      </w:pPr>
      <w:r>
        <w:rPr>
          <w:rFonts w:ascii="Calibri" w:hAnsi="Calibri"/>
        </w:rPr>
        <w:t>-</w:t>
      </w:r>
      <w:r w:rsidRPr="003F3018">
        <w:rPr>
          <w:rFonts w:ascii="Calibri" w:hAnsi="Calibri"/>
        </w:rPr>
        <w:t>wykonanie koryta pod ławę,</w:t>
      </w:r>
    </w:p>
    <w:p w:rsidR="00C56AA0" w:rsidRPr="003F3018" w:rsidRDefault="00C56AA0" w:rsidP="00C56AA0">
      <w:pPr>
        <w:rPr>
          <w:rFonts w:ascii="Calibri" w:hAnsi="Calibri"/>
        </w:rPr>
      </w:pPr>
      <w:r>
        <w:rPr>
          <w:rFonts w:ascii="Calibri" w:hAnsi="Calibri"/>
        </w:rPr>
        <w:t>-</w:t>
      </w:r>
      <w:r w:rsidRPr="003F3018">
        <w:rPr>
          <w:rFonts w:ascii="Calibri" w:hAnsi="Calibri"/>
        </w:rPr>
        <w:t>wykonanie ławy,</w:t>
      </w:r>
    </w:p>
    <w:p w:rsidR="00C56AA0" w:rsidRPr="003F3018" w:rsidRDefault="00C56AA0" w:rsidP="00C56AA0">
      <w:pPr>
        <w:rPr>
          <w:rFonts w:ascii="Calibri" w:hAnsi="Calibri"/>
        </w:rPr>
      </w:pPr>
      <w:r>
        <w:rPr>
          <w:rFonts w:ascii="Calibri" w:hAnsi="Calibri"/>
        </w:rPr>
        <w:t>-</w:t>
      </w:r>
      <w:r w:rsidRPr="003F3018">
        <w:rPr>
          <w:rFonts w:ascii="Calibri" w:hAnsi="Calibri"/>
        </w:rPr>
        <w:t>wykonanie podsypki.</w:t>
      </w:r>
    </w:p>
    <w:p w:rsidR="00C56AA0" w:rsidRPr="003F3018" w:rsidRDefault="00C56AA0" w:rsidP="00C56AA0">
      <w:pPr>
        <w:rPr>
          <w:rFonts w:ascii="Calibri" w:hAnsi="Calibri"/>
        </w:rPr>
      </w:pPr>
    </w:p>
    <w:p w:rsidR="00C56AA0" w:rsidRPr="003F3018" w:rsidRDefault="00C56AA0" w:rsidP="00C56AA0">
      <w:pPr>
        <w:rPr>
          <w:rFonts w:ascii="Calibri" w:hAnsi="Calibri"/>
          <w:b/>
        </w:rPr>
      </w:pPr>
      <w:r w:rsidRPr="003F3018">
        <w:rPr>
          <w:rFonts w:ascii="Calibri" w:hAnsi="Calibri"/>
          <w:b/>
        </w:rPr>
        <w:t>9. PODSTAWA PŁATNOŚCI</w:t>
      </w:r>
    </w:p>
    <w:p w:rsidR="00C56AA0" w:rsidRPr="003F3018" w:rsidRDefault="00C56AA0" w:rsidP="00C56AA0">
      <w:pPr>
        <w:rPr>
          <w:rFonts w:ascii="Calibri" w:hAnsi="Calibri"/>
        </w:rPr>
      </w:pPr>
      <w:r w:rsidRPr="003F3018">
        <w:rPr>
          <w:rFonts w:ascii="Calibri" w:hAnsi="Calibri"/>
          <w:b/>
        </w:rPr>
        <w:t>9.1.</w:t>
      </w:r>
      <w:r w:rsidRPr="003F3018">
        <w:rPr>
          <w:rFonts w:ascii="Calibri" w:hAnsi="Calibri"/>
        </w:rPr>
        <w:t xml:space="preserve"> Ogólne ustalenia dotyczące podstawy płatności</w:t>
      </w:r>
    </w:p>
    <w:p w:rsidR="00C56AA0" w:rsidRPr="003F3018" w:rsidRDefault="00C56AA0" w:rsidP="00C56AA0">
      <w:pPr>
        <w:rPr>
          <w:rFonts w:ascii="Calibri" w:hAnsi="Calibri"/>
        </w:rPr>
      </w:pPr>
      <w:r w:rsidRPr="003F3018">
        <w:rPr>
          <w:rFonts w:ascii="Calibri" w:hAnsi="Calibri"/>
        </w:rPr>
        <w:tab/>
        <w:t>Ogólne ustalenia dotyczące podstawy płatności podano w ST D-M-00.00.00 „Wymagania ogólne” pkt 9.</w:t>
      </w:r>
    </w:p>
    <w:p w:rsidR="00C56AA0" w:rsidRPr="003F3018" w:rsidRDefault="00C56AA0" w:rsidP="00C56AA0">
      <w:pPr>
        <w:rPr>
          <w:rFonts w:ascii="Calibri" w:hAnsi="Calibri"/>
        </w:rPr>
      </w:pPr>
      <w:r w:rsidRPr="003F3018">
        <w:rPr>
          <w:rFonts w:ascii="Calibri" w:hAnsi="Calibri"/>
          <w:b/>
        </w:rPr>
        <w:t>9.2.</w:t>
      </w:r>
      <w:r w:rsidRPr="003F3018">
        <w:rPr>
          <w:rFonts w:ascii="Calibri" w:hAnsi="Calibri"/>
        </w:rPr>
        <w:t xml:space="preserve"> Cena jednostki obmiarowej</w:t>
      </w:r>
    </w:p>
    <w:p w:rsidR="00C56AA0" w:rsidRPr="003F3018" w:rsidRDefault="00C56AA0" w:rsidP="00C56AA0">
      <w:pPr>
        <w:rPr>
          <w:rFonts w:ascii="Calibri" w:hAnsi="Calibri"/>
        </w:rPr>
      </w:pPr>
      <w:r w:rsidRPr="003F3018">
        <w:rPr>
          <w:rFonts w:ascii="Calibri" w:hAnsi="Calibri"/>
        </w:rPr>
        <w:tab/>
        <w:t xml:space="preserve">Cena wykonania </w:t>
      </w:r>
      <w:smartTag w:uri="urn:schemas-microsoft-com:office:smarttags" w:element="metricconverter">
        <w:smartTagPr>
          <w:attr w:name="ProductID" w:val="1 m"/>
        </w:smartTagPr>
        <w:r w:rsidRPr="003F3018">
          <w:rPr>
            <w:rFonts w:ascii="Calibri" w:hAnsi="Calibri"/>
          </w:rPr>
          <w:t>1 m</w:t>
        </w:r>
      </w:smartTag>
      <w:r w:rsidRPr="003F3018">
        <w:rPr>
          <w:rFonts w:ascii="Calibri" w:hAnsi="Calibri"/>
        </w:rPr>
        <w:t xml:space="preserve"> krawężnika betonowego obejmuje:</w:t>
      </w:r>
    </w:p>
    <w:p w:rsidR="00C56AA0" w:rsidRPr="003F3018" w:rsidRDefault="00C56AA0" w:rsidP="00C56AA0">
      <w:pPr>
        <w:rPr>
          <w:rFonts w:ascii="Calibri" w:hAnsi="Calibri"/>
        </w:rPr>
      </w:pPr>
      <w:r>
        <w:rPr>
          <w:rFonts w:ascii="Calibri" w:hAnsi="Calibri"/>
        </w:rPr>
        <w:t>-</w:t>
      </w:r>
      <w:r w:rsidRPr="003F3018">
        <w:rPr>
          <w:rFonts w:ascii="Calibri" w:hAnsi="Calibri"/>
        </w:rPr>
        <w:t>prace pomiarowe i roboty przygotowawcze,</w:t>
      </w:r>
    </w:p>
    <w:p w:rsidR="00C56AA0" w:rsidRPr="003F3018" w:rsidRDefault="00C56AA0" w:rsidP="00C56AA0">
      <w:pPr>
        <w:rPr>
          <w:rFonts w:ascii="Calibri" w:hAnsi="Calibri"/>
        </w:rPr>
      </w:pPr>
      <w:r>
        <w:rPr>
          <w:rFonts w:ascii="Calibri" w:hAnsi="Calibri"/>
        </w:rPr>
        <w:t>-</w:t>
      </w:r>
      <w:r w:rsidRPr="003F3018">
        <w:rPr>
          <w:rFonts w:ascii="Calibri" w:hAnsi="Calibri"/>
        </w:rPr>
        <w:t>dostarczenie materiałów na miejsce wbudowania,</w:t>
      </w:r>
    </w:p>
    <w:p w:rsidR="00C56AA0" w:rsidRPr="003F3018" w:rsidRDefault="00C56AA0" w:rsidP="00C56AA0">
      <w:pPr>
        <w:rPr>
          <w:rFonts w:ascii="Calibri" w:hAnsi="Calibri"/>
        </w:rPr>
      </w:pPr>
      <w:r>
        <w:rPr>
          <w:rFonts w:ascii="Calibri" w:hAnsi="Calibri"/>
        </w:rPr>
        <w:t>-</w:t>
      </w:r>
      <w:r w:rsidRPr="003F3018">
        <w:rPr>
          <w:rFonts w:ascii="Calibri" w:hAnsi="Calibri"/>
        </w:rPr>
        <w:t>wykonanie koryta pod ławę,</w:t>
      </w:r>
    </w:p>
    <w:p w:rsidR="00C56AA0" w:rsidRPr="003F3018" w:rsidRDefault="00C56AA0" w:rsidP="00C56AA0">
      <w:pPr>
        <w:rPr>
          <w:rFonts w:ascii="Calibri" w:hAnsi="Calibri"/>
        </w:rPr>
      </w:pPr>
      <w:r>
        <w:rPr>
          <w:rFonts w:ascii="Calibri" w:hAnsi="Calibri"/>
        </w:rPr>
        <w:t>-</w:t>
      </w:r>
      <w:r w:rsidRPr="003F3018">
        <w:rPr>
          <w:rFonts w:ascii="Calibri" w:hAnsi="Calibri"/>
        </w:rPr>
        <w:t>ew. wykonanie szalunku,</w:t>
      </w:r>
    </w:p>
    <w:p w:rsidR="00C56AA0" w:rsidRPr="003F3018" w:rsidRDefault="00C56AA0" w:rsidP="00C56AA0">
      <w:pPr>
        <w:rPr>
          <w:rFonts w:ascii="Calibri" w:hAnsi="Calibri"/>
        </w:rPr>
      </w:pPr>
      <w:r>
        <w:rPr>
          <w:rFonts w:ascii="Calibri" w:hAnsi="Calibri"/>
        </w:rPr>
        <w:t>-</w:t>
      </w:r>
      <w:r w:rsidRPr="003F3018">
        <w:rPr>
          <w:rFonts w:ascii="Calibri" w:hAnsi="Calibri"/>
        </w:rPr>
        <w:t>wykonanie ławy,</w:t>
      </w:r>
    </w:p>
    <w:p w:rsidR="00C56AA0" w:rsidRPr="003F3018" w:rsidRDefault="00C56AA0" w:rsidP="00C56AA0">
      <w:pPr>
        <w:rPr>
          <w:rFonts w:ascii="Calibri" w:hAnsi="Calibri"/>
        </w:rPr>
      </w:pPr>
      <w:r>
        <w:rPr>
          <w:rFonts w:ascii="Calibri" w:hAnsi="Calibri"/>
        </w:rPr>
        <w:t>-</w:t>
      </w:r>
      <w:r w:rsidRPr="003F3018">
        <w:rPr>
          <w:rFonts w:ascii="Calibri" w:hAnsi="Calibri"/>
        </w:rPr>
        <w:t>wykonanie podsypki,</w:t>
      </w:r>
    </w:p>
    <w:p w:rsidR="00C56AA0" w:rsidRPr="003F3018" w:rsidRDefault="00C56AA0" w:rsidP="00C56AA0">
      <w:pPr>
        <w:rPr>
          <w:rFonts w:ascii="Calibri" w:hAnsi="Calibri"/>
        </w:rPr>
      </w:pPr>
      <w:r>
        <w:rPr>
          <w:rFonts w:ascii="Calibri" w:hAnsi="Calibri"/>
        </w:rPr>
        <w:t>-</w:t>
      </w:r>
      <w:r w:rsidRPr="003F3018">
        <w:rPr>
          <w:rFonts w:ascii="Calibri" w:hAnsi="Calibri"/>
        </w:rPr>
        <w:t>ustawienie krawężników na podsypce cementowo-piaskowej,</w:t>
      </w:r>
    </w:p>
    <w:p w:rsidR="00C56AA0" w:rsidRPr="003F3018" w:rsidRDefault="00C56AA0" w:rsidP="00C56AA0">
      <w:pPr>
        <w:rPr>
          <w:rFonts w:ascii="Calibri" w:hAnsi="Calibri"/>
        </w:rPr>
      </w:pPr>
      <w:r>
        <w:rPr>
          <w:rFonts w:ascii="Calibri" w:hAnsi="Calibri"/>
        </w:rPr>
        <w:t>-</w:t>
      </w:r>
      <w:r w:rsidRPr="003F3018">
        <w:rPr>
          <w:rFonts w:ascii="Calibri" w:hAnsi="Calibri"/>
        </w:rPr>
        <w:t>wypełnienie spoin krawężników zaprawą,</w:t>
      </w:r>
    </w:p>
    <w:p w:rsidR="00C56AA0" w:rsidRPr="003F3018" w:rsidRDefault="00C56AA0" w:rsidP="00C56AA0">
      <w:pPr>
        <w:rPr>
          <w:rFonts w:ascii="Calibri" w:hAnsi="Calibri"/>
        </w:rPr>
      </w:pPr>
      <w:r>
        <w:rPr>
          <w:rFonts w:ascii="Calibri" w:hAnsi="Calibri"/>
        </w:rPr>
        <w:t>-</w:t>
      </w:r>
      <w:r w:rsidRPr="003F3018">
        <w:rPr>
          <w:rFonts w:ascii="Calibri" w:hAnsi="Calibri"/>
        </w:rPr>
        <w:t>ew. zalanie spoin masą zalewową,</w:t>
      </w:r>
    </w:p>
    <w:p w:rsidR="00C56AA0" w:rsidRPr="003F3018" w:rsidRDefault="00C56AA0" w:rsidP="00C56AA0">
      <w:pPr>
        <w:rPr>
          <w:rFonts w:ascii="Calibri" w:hAnsi="Calibri"/>
        </w:rPr>
      </w:pPr>
      <w:r>
        <w:rPr>
          <w:rFonts w:ascii="Calibri" w:hAnsi="Calibri"/>
        </w:rPr>
        <w:t>-</w:t>
      </w:r>
      <w:r w:rsidRPr="003F3018">
        <w:rPr>
          <w:rFonts w:ascii="Calibri" w:hAnsi="Calibri"/>
        </w:rPr>
        <w:t>zasypanie zewnętrznej ściany krawężnika gruntem i ubicie,</w:t>
      </w:r>
    </w:p>
    <w:p w:rsidR="00C56AA0" w:rsidRPr="003F3018" w:rsidRDefault="00C56AA0" w:rsidP="00C56AA0">
      <w:pPr>
        <w:rPr>
          <w:rFonts w:ascii="Calibri" w:hAnsi="Calibri"/>
        </w:rPr>
      </w:pPr>
      <w:r>
        <w:rPr>
          <w:rFonts w:ascii="Calibri" w:hAnsi="Calibri"/>
        </w:rPr>
        <w:t>-</w:t>
      </w:r>
      <w:r w:rsidRPr="003F3018">
        <w:rPr>
          <w:rFonts w:ascii="Calibri" w:hAnsi="Calibri"/>
        </w:rPr>
        <w:t>przeprowadzenie badań i pomiarów wymaganych w specyfikacji technicznej.</w:t>
      </w:r>
    </w:p>
    <w:p w:rsidR="00C56AA0" w:rsidRDefault="00C56AA0" w:rsidP="00C56AA0">
      <w:pPr>
        <w:rPr>
          <w:rFonts w:ascii="Calibri" w:hAnsi="Calibri"/>
          <w:b/>
        </w:rPr>
      </w:pPr>
      <w:bookmarkStart w:id="1622" w:name="_Toc428759430"/>
    </w:p>
    <w:p w:rsidR="00C56AA0" w:rsidRPr="003F3018" w:rsidRDefault="00C56AA0" w:rsidP="00C56AA0">
      <w:pPr>
        <w:rPr>
          <w:rFonts w:ascii="Calibri" w:hAnsi="Calibri"/>
          <w:b/>
        </w:rPr>
      </w:pPr>
      <w:r w:rsidRPr="003F3018">
        <w:rPr>
          <w:rFonts w:ascii="Calibri" w:hAnsi="Calibri"/>
          <w:b/>
        </w:rPr>
        <w:t xml:space="preserve">10. </w:t>
      </w:r>
      <w:bookmarkEnd w:id="1622"/>
      <w:r w:rsidRPr="003F3018">
        <w:rPr>
          <w:rFonts w:ascii="Calibri" w:hAnsi="Calibri"/>
          <w:b/>
        </w:rPr>
        <w:t>PRZEPISY ZWIĄZANE</w:t>
      </w:r>
    </w:p>
    <w:p w:rsidR="00C56AA0" w:rsidRPr="003F3018" w:rsidRDefault="00C56AA0" w:rsidP="00C56AA0">
      <w:pPr>
        <w:rPr>
          <w:rFonts w:ascii="Calibri" w:hAnsi="Calibri"/>
        </w:rPr>
      </w:pPr>
      <w:r w:rsidRPr="003F3018">
        <w:rPr>
          <w:rFonts w:ascii="Calibri" w:hAnsi="Calibri"/>
          <w:b/>
        </w:rPr>
        <w:t>10.1.</w:t>
      </w:r>
      <w:r w:rsidRPr="003F3018">
        <w:rPr>
          <w:rFonts w:ascii="Calibri" w:hAnsi="Calibri"/>
        </w:rPr>
        <w:t xml:space="preserve"> Normy</w:t>
      </w:r>
    </w:p>
    <w:tbl>
      <w:tblPr>
        <w:tblW w:w="0" w:type="auto"/>
        <w:tblInd w:w="70" w:type="dxa"/>
        <w:tblLayout w:type="fixed"/>
        <w:tblCellMar>
          <w:left w:w="70" w:type="dxa"/>
          <w:right w:w="70" w:type="dxa"/>
        </w:tblCellMar>
        <w:tblLook w:val="0000"/>
      </w:tblPr>
      <w:tblGrid>
        <w:gridCol w:w="637"/>
        <w:gridCol w:w="1701"/>
        <w:gridCol w:w="5171"/>
      </w:tblGrid>
      <w:tr w:rsidR="00C56AA0" w:rsidRPr="003F3018" w:rsidTr="00AE2508">
        <w:tc>
          <w:tcPr>
            <w:tcW w:w="637" w:type="dxa"/>
          </w:tcPr>
          <w:p w:rsidR="00C56AA0" w:rsidRPr="003F3018" w:rsidRDefault="00C56AA0" w:rsidP="00C56AA0">
            <w:pPr>
              <w:rPr>
                <w:rFonts w:ascii="Calibri" w:hAnsi="Calibri"/>
              </w:rPr>
            </w:pPr>
            <w:r w:rsidRPr="003F3018">
              <w:rPr>
                <w:rFonts w:ascii="Calibri" w:hAnsi="Calibri"/>
              </w:rPr>
              <w:t xml:space="preserve">  1.</w:t>
            </w:r>
          </w:p>
        </w:tc>
        <w:tc>
          <w:tcPr>
            <w:tcW w:w="1701" w:type="dxa"/>
          </w:tcPr>
          <w:p w:rsidR="00C56AA0" w:rsidRPr="003F3018" w:rsidRDefault="00C56AA0" w:rsidP="00C56AA0">
            <w:pPr>
              <w:rPr>
                <w:rFonts w:ascii="Calibri" w:hAnsi="Calibri"/>
              </w:rPr>
            </w:pPr>
            <w:r w:rsidRPr="003F3018">
              <w:rPr>
                <w:rFonts w:ascii="Calibri" w:hAnsi="Calibri"/>
              </w:rPr>
              <w:t>PN-B-06050</w:t>
            </w:r>
          </w:p>
        </w:tc>
        <w:tc>
          <w:tcPr>
            <w:tcW w:w="5171" w:type="dxa"/>
          </w:tcPr>
          <w:p w:rsidR="00C56AA0" w:rsidRPr="003F3018" w:rsidRDefault="00C56AA0" w:rsidP="00C56AA0">
            <w:pPr>
              <w:rPr>
                <w:rFonts w:ascii="Calibri" w:hAnsi="Calibri"/>
              </w:rPr>
            </w:pPr>
            <w:r w:rsidRPr="003F3018">
              <w:rPr>
                <w:rFonts w:ascii="Calibri" w:hAnsi="Calibri"/>
              </w:rPr>
              <w:t>Roboty ziemne budowlane</w:t>
            </w:r>
          </w:p>
        </w:tc>
      </w:tr>
      <w:tr w:rsidR="00C56AA0" w:rsidRPr="003F3018" w:rsidTr="00AE2508">
        <w:tc>
          <w:tcPr>
            <w:tcW w:w="637" w:type="dxa"/>
          </w:tcPr>
          <w:p w:rsidR="00C56AA0" w:rsidRPr="003F3018" w:rsidRDefault="00C56AA0" w:rsidP="00C56AA0">
            <w:pPr>
              <w:rPr>
                <w:rFonts w:ascii="Calibri" w:hAnsi="Calibri"/>
              </w:rPr>
            </w:pPr>
            <w:r w:rsidRPr="003F3018">
              <w:rPr>
                <w:rFonts w:ascii="Calibri" w:hAnsi="Calibri"/>
              </w:rPr>
              <w:t xml:space="preserve">  2.</w:t>
            </w:r>
          </w:p>
        </w:tc>
        <w:tc>
          <w:tcPr>
            <w:tcW w:w="1701" w:type="dxa"/>
          </w:tcPr>
          <w:p w:rsidR="00C56AA0" w:rsidRPr="003F3018" w:rsidRDefault="00C56AA0" w:rsidP="00C56AA0">
            <w:pPr>
              <w:rPr>
                <w:rFonts w:ascii="Calibri" w:hAnsi="Calibri"/>
              </w:rPr>
            </w:pPr>
            <w:r w:rsidRPr="003F3018">
              <w:rPr>
                <w:rFonts w:ascii="Calibri" w:hAnsi="Calibri"/>
              </w:rPr>
              <w:t>PN-B-06250</w:t>
            </w:r>
          </w:p>
        </w:tc>
        <w:tc>
          <w:tcPr>
            <w:tcW w:w="5171" w:type="dxa"/>
          </w:tcPr>
          <w:p w:rsidR="00C56AA0" w:rsidRPr="003F3018" w:rsidRDefault="00C56AA0" w:rsidP="00C56AA0">
            <w:pPr>
              <w:rPr>
                <w:rFonts w:ascii="Calibri" w:hAnsi="Calibri"/>
              </w:rPr>
            </w:pPr>
            <w:r w:rsidRPr="003F3018">
              <w:rPr>
                <w:rFonts w:ascii="Calibri" w:hAnsi="Calibri"/>
              </w:rPr>
              <w:t>Beton zwykły</w:t>
            </w:r>
          </w:p>
        </w:tc>
      </w:tr>
      <w:tr w:rsidR="00C56AA0" w:rsidRPr="003F3018" w:rsidTr="00AE2508">
        <w:tc>
          <w:tcPr>
            <w:tcW w:w="637" w:type="dxa"/>
          </w:tcPr>
          <w:p w:rsidR="00C56AA0" w:rsidRPr="003F3018" w:rsidRDefault="00C56AA0" w:rsidP="00C56AA0">
            <w:pPr>
              <w:rPr>
                <w:rFonts w:ascii="Calibri" w:hAnsi="Calibri"/>
              </w:rPr>
            </w:pPr>
            <w:r w:rsidRPr="003F3018">
              <w:rPr>
                <w:rFonts w:ascii="Calibri" w:hAnsi="Calibri"/>
              </w:rPr>
              <w:t xml:space="preserve">  3.</w:t>
            </w:r>
          </w:p>
        </w:tc>
        <w:tc>
          <w:tcPr>
            <w:tcW w:w="1701" w:type="dxa"/>
          </w:tcPr>
          <w:p w:rsidR="00C56AA0" w:rsidRPr="003F3018" w:rsidRDefault="00C56AA0" w:rsidP="00C56AA0">
            <w:pPr>
              <w:rPr>
                <w:rFonts w:ascii="Calibri" w:hAnsi="Calibri"/>
              </w:rPr>
            </w:pPr>
            <w:r w:rsidRPr="003F3018">
              <w:rPr>
                <w:rFonts w:ascii="Calibri" w:hAnsi="Calibri"/>
              </w:rPr>
              <w:t>PN-B-06251</w:t>
            </w:r>
          </w:p>
        </w:tc>
        <w:tc>
          <w:tcPr>
            <w:tcW w:w="5171" w:type="dxa"/>
          </w:tcPr>
          <w:p w:rsidR="00C56AA0" w:rsidRPr="003F3018" w:rsidRDefault="00C56AA0" w:rsidP="00C56AA0">
            <w:pPr>
              <w:rPr>
                <w:rFonts w:ascii="Calibri" w:hAnsi="Calibri"/>
              </w:rPr>
            </w:pPr>
            <w:r w:rsidRPr="003F3018">
              <w:rPr>
                <w:rFonts w:ascii="Calibri" w:hAnsi="Calibri"/>
              </w:rPr>
              <w:t>Roboty betonowe i żelbetowe</w:t>
            </w:r>
          </w:p>
        </w:tc>
      </w:tr>
      <w:tr w:rsidR="00C56AA0" w:rsidRPr="003F3018" w:rsidTr="00AE2508">
        <w:tc>
          <w:tcPr>
            <w:tcW w:w="637" w:type="dxa"/>
          </w:tcPr>
          <w:p w:rsidR="00C56AA0" w:rsidRPr="003F3018" w:rsidRDefault="00C56AA0" w:rsidP="00C56AA0">
            <w:pPr>
              <w:rPr>
                <w:rFonts w:ascii="Calibri" w:hAnsi="Calibri"/>
              </w:rPr>
            </w:pPr>
            <w:r w:rsidRPr="003F3018">
              <w:rPr>
                <w:rFonts w:ascii="Calibri" w:hAnsi="Calibri"/>
              </w:rPr>
              <w:t xml:space="preserve">  4.</w:t>
            </w:r>
          </w:p>
        </w:tc>
        <w:tc>
          <w:tcPr>
            <w:tcW w:w="1701" w:type="dxa"/>
          </w:tcPr>
          <w:p w:rsidR="00C56AA0" w:rsidRPr="003F3018" w:rsidRDefault="00C56AA0" w:rsidP="00C56AA0">
            <w:pPr>
              <w:rPr>
                <w:rFonts w:ascii="Calibri" w:hAnsi="Calibri"/>
              </w:rPr>
            </w:pPr>
            <w:r w:rsidRPr="003F3018">
              <w:rPr>
                <w:rFonts w:ascii="Calibri" w:hAnsi="Calibri"/>
              </w:rPr>
              <w:t>PN-B-06711</w:t>
            </w:r>
          </w:p>
        </w:tc>
        <w:tc>
          <w:tcPr>
            <w:tcW w:w="5171" w:type="dxa"/>
          </w:tcPr>
          <w:p w:rsidR="00C56AA0" w:rsidRPr="003F3018" w:rsidRDefault="00C56AA0" w:rsidP="00C56AA0">
            <w:pPr>
              <w:rPr>
                <w:rFonts w:ascii="Calibri" w:hAnsi="Calibri"/>
              </w:rPr>
            </w:pPr>
            <w:r w:rsidRPr="003F3018">
              <w:rPr>
                <w:rFonts w:ascii="Calibri" w:hAnsi="Calibri"/>
              </w:rPr>
              <w:t>Kruszywo mineralne. Piasek do betonów i zapraw</w:t>
            </w:r>
          </w:p>
        </w:tc>
      </w:tr>
      <w:tr w:rsidR="00C56AA0" w:rsidRPr="003F3018" w:rsidTr="00AE2508">
        <w:tc>
          <w:tcPr>
            <w:tcW w:w="637" w:type="dxa"/>
          </w:tcPr>
          <w:p w:rsidR="00C56AA0" w:rsidRPr="003F3018" w:rsidRDefault="00C56AA0" w:rsidP="00C56AA0">
            <w:pPr>
              <w:rPr>
                <w:rFonts w:ascii="Calibri" w:hAnsi="Calibri"/>
              </w:rPr>
            </w:pPr>
            <w:r w:rsidRPr="003F3018">
              <w:rPr>
                <w:rFonts w:ascii="Calibri" w:hAnsi="Calibri"/>
              </w:rPr>
              <w:t xml:space="preserve">  5.</w:t>
            </w:r>
          </w:p>
        </w:tc>
        <w:tc>
          <w:tcPr>
            <w:tcW w:w="1701" w:type="dxa"/>
          </w:tcPr>
          <w:p w:rsidR="00C56AA0" w:rsidRPr="003F3018" w:rsidRDefault="00C56AA0" w:rsidP="00C56AA0">
            <w:pPr>
              <w:rPr>
                <w:rFonts w:ascii="Calibri" w:hAnsi="Calibri"/>
              </w:rPr>
            </w:pPr>
            <w:r w:rsidRPr="003F3018">
              <w:rPr>
                <w:rFonts w:ascii="Calibri" w:hAnsi="Calibri"/>
              </w:rPr>
              <w:t>PN-B-06712</w:t>
            </w:r>
          </w:p>
        </w:tc>
        <w:tc>
          <w:tcPr>
            <w:tcW w:w="5171" w:type="dxa"/>
          </w:tcPr>
          <w:p w:rsidR="00C56AA0" w:rsidRPr="003F3018" w:rsidRDefault="00C56AA0" w:rsidP="00C56AA0">
            <w:pPr>
              <w:rPr>
                <w:rFonts w:ascii="Calibri" w:hAnsi="Calibri"/>
              </w:rPr>
            </w:pPr>
            <w:r w:rsidRPr="003F3018">
              <w:rPr>
                <w:rFonts w:ascii="Calibri" w:hAnsi="Calibri"/>
              </w:rPr>
              <w:t>Kruszywa mineralne do betonu zwykłego</w:t>
            </w:r>
          </w:p>
        </w:tc>
      </w:tr>
      <w:tr w:rsidR="00C56AA0" w:rsidRPr="003F3018" w:rsidTr="00AE2508">
        <w:tc>
          <w:tcPr>
            <w:tcW w:w="637" w:type="dxa"/>
          </w:tcPr>
          <w:p w:rsidR="00C56AA0" w:rsidRPr="003F3018" w:rsidRDefault="00C56AA0" w:rsidP="00C56AA0">
            <w:pPr>
              <w:rPr>
                <w:rFonts w:ascii="Calibri" w:hAnsi="Calibri"/>
              </w:rPr>
            </w:pPr>
            <w:r w:rsidRPr="003F3018">
              <w:rPr>
                <w:rFonts w:ascii="Calibri" w:hAnsi="Calibri"/>
              </w:rPr>
              <w:t xml:space="preserve">  6.</w:t>
            </w:r>
          </w:p>
        </w:tc>
        <w:tc>
          <w:tcPr>
            <w:tcW w:w="1701" w:type="dxa"/>
          </w:tcPr>
          <w:p w:rsidR="00C56AA0" w:rsidRPr="003F3018" w:rsidRDefault="00C56AA0" w:rsidP="00C56AA0">
            <w:pPr>
              <w:rPr>
                <w:rFonts w:ascii="Calibri" w:hAnsi="Calibri"/>
              </w:rPr>
            </w:pPr>
            <w:r w:rsidRPr="003F3018">
              <w:rPr>
                <w:rFonts w:ascii="Calibri" w:hAnsi="Calibri"/>
              </w:rPr>
              <w:t>PN-B-10021</w:t>
            </w:r>
          </w:p>
        </w:tc>
        <w:tc>
          <w:tcPr>
            <w:tcW w:w="5171" w:type="dxa"/>
          </w:tcPr>
          <w:p w:rsidR="00C56AA0" w:rsidRPr="003F3018" w:rsidRDefault="00C56AA0" w:rsidP="00C56AA0">
            <w:pPr>
              <w:rPr>
                <w:rFonts w:ascii="Calibri" w:hAnsi="Calibri"/>
              </w:rPr>
            </w:pPr>
            <w:r w:rsidRPr="003F3018">
              <w:rPr>
                <w:rFonts w:ascii="Calibri" w:hAnsi="Calibri"/>
              </w:rPr>
              <w:t>Prefabrykaty budowlane z betonu. Metody pomiaru cech geometrycznych</w:t>
            </w:r>
          </w:p>
        </w:tc>
      </w:tr>
      <w:tr w:rsidR="00C56AA0" w:rsidRPr="003F3018" w:rsidTr="00AE2508">
        <w:tc>
          <w:tcPr>
            <w:tcW w:w="637" w:type="dxa"/>
          </w:tcPr>
          <w:p w:rsidR="00C56AA0" w:rsidRPr="003F3018" w:rsidRDefault="00C56AA0" w:rsidP="00C56AA0">
            <w:pPr>
              <w:rPr>
                <w:rFonts w:ascii="Calibri" w:hAnsi="Calibri"/>
              </w:rPr>
            </w:pPr>
            <w:r w:rsidRPr="003F3018">
              <w:rPr>
                <w:rFonts w:ascii="Calibri" w:hAnsi="Calibri"/>
              </w:rPr>
              <w:t xml:space="preserve">  7.</w:t>
            </w:r>
          </w:p>
        </w:tc>
        <w:tc>
          <w:tcPr>
            <w:tcW w:w="1701" w:type="dxa"/>
          </w:tcPr>
          <w:p w:rsidR="00C56AA0" w:rsidRPr="003F3018" w:rsidRDefault="00C56AA0" w:rsidP="00C56AA0">
            <w:pPr>
              <w:rPr>
                <w:rFonts w:ascii="Calibri" w:hAnsi="Calibri"/>
              </w:rPr>
            </w:pPr>
            <w:r w:rsidRPr="003F3018">
              <w:rPr>
                <w:rFonts w:ascii="Calibri" w:hAnsi="Calibri"/>
              </w:rPr>
              <w:t>PN-B-11111</w:t>
            </w:r>
          </w:p>
        </w:tc>
        <w:tc>
          <w:tcPr>
            <w:tcW w:w="5171" w:type="dxa"/>
          </w:tcPr>
          <w:p w:rsidR="00C56AA0" w:rsidRPr="003F3018" w:rsidRDefault="00C56AA0" w:rsidP="00C56AA0">
            <w:pPr>
              <w:rPr>
                <w:rFonts w:ascii="Calibri" w:hAnsi="Calibri"/>
              </w:rPr>
            </w:pPr>
            <w:r w:rsidRPr="003F3018">
              <w:rPr>
                <w:rFonts w:ascii="Calibri" w:hAnsi="Calibri"/>
              </w:rPr>
              <w:t xml:space="preserve">Kruszywa mineralne. Kruszywa naturalne do nawierzchni </w:t>
            </w:r>
            <w:r w:rsidRPr="003F3018">
              <w:rPr>
                <w:rFonts w:ascii="Calibri" w:hAnsi="Calibri"/>
              </w:rPr>
              <w:lastRenderedPageBreak/>
              <w:t>drogowych. Żwir i mieszanka</w:t>
            </w:r>
          </w:p>
        </w:tc>
      </w:tr>
      <w:tr w:rsidR="00C56AA0" w:rsidRPr="003F3018" w:rsidTr="00AE2508">
        <w:tc>
          <w:tcPr>
            <w:tcW w:w="637" w:type="dxa"/>
          </w:tcPr>
          <w:p w:rsidR="00C56AA0" w:rsidRPr="003F3018" w:rsidRDefault="00C56AA0" w:rsidP="00C56AA0">
            <w:pPr>
              <w:rPr>
                <w:rFonts w:ascii="Calibri" w:hAnsi="Calibri"/>
              </w:rPr>
            </w:pPr>
            <w:r w:rsidRPr="003F3018">
              <w:rPr>
                <w:rFonts w:ascii="Calibri" w:hAnsi="Calibri"/>
              </w:rPr>
              <w:lastRenderedPageBreak/>
              <w:t xml:space="preserve">  8.</w:t>
            </w:r>
          </w:p>
        </w:tc>
        <w:tc>
          <w:tcPr>
            <w:tcW w:w="1701" w:type="dxa"/>
          </w:tcPr>
          <w:p w:rsidR="00C56AA0" w:rsidRPr="003F3018" w:rsidRDefault="00C56AA0" w:rsidP="00C56AA0">
            <w:pPr>
              <w:rPr>
                <w:rFonts w:ascii="Calibri" w:hAnsi="Calibri"/>
              </w:rPr>
            </w:pPr>
            <w:r w:rsidRPr="003F3018">
              <w:rPr>
                <w:rFonts w:ascii="Calibri" w:hAnsi="Calibri"/>
              </w:rPr>
              <w:t>PN-B-11112</w:t>
            </w:r>
          </w:p>
        </w:tc>
        <w:tc>
          <w:tcPr>
            <w:tcW w:w="5171" w:type="dxa"/>
          </w:tcPr>
          <w:p w:rsidR="00C56AA0" w:rsidRPr="003F3018" w:rsidRDefault="00C56AA0" w:rsidP="00C56AA0">
            <w:pPr>
              <w:rPr>
                <w:rFonts w:ascii="Calibri" w:hAnsi="Calibri"/>
              </w:rPr>
            </w:pPr>
            <w:r w:rsidRPr="003F3018">
              <w:rPr>
                <w:rFonts w:ascii="Calibri" w:hAnsi="Calibri"/>
              </w:rPr>
              <w:t>Kruszywa mineralne. Kruszywo łamane do nawierzchni drogowych</w:t>
            </w:r>
          </w:p>
        </w:tc>
      </w:tr>
      <w:tr w:rsidR="00C56AA0" w:rsidRPr="003F3018" w:rsidTr="00AE2508">
        <w:tc>
          <w:tcPr>
            <w:tcW w:w="637" w:type="dxa"/>
          </w:tcPr>
          <w:p w:rsidR="00C56AA0" w:rsidRPr="003F3018" w:rsidRDefault="00C56AA0" w:rsidP="00C56AA0">
            <w:pPr>
              <w:rPr>
                <w:rFonts w:ascii="Calibri" w:hAnsi="Calibri"/>
              </w:rPr>
            </w:pPr>
            <w:r w:rsidRPr="003F3018">
              <w:rPr>
                <w:rFonts w:ascii="Calibri" w:hAnsi="Calibri"/>
              </w:rPr>
              <w:t xml:space="preserve">  9.</w:t>
            </w:r>
          </w:p>
        </w:tc>
        <w:tc>
          <w:tcPr>
            <w:tcW w:w="1701" w:type="dxa"/>
          </w:tcPr>
          <w:p w:rsidR="00C56AA0" w:rsidRPr="003F3018" w:rsidRDefault="00C56AA0" w:rsidP="00C56AA0">
            <w:pPr>
              <w:rPr>
                <w:rFonts w:ascii="Calibri" w:hAnsi="Calibri"/>
              </w:rPr>
            </w:pPr>
            <w:r w:rsidRPr="003F3018">
              <w:rPr>
                <w:rFonts w:ascii="Calibri" w:hAnsi="Calibri"/>
              </w:rPr>
              <w:t>PN-B-11113</w:t>
            </w:r>
          </w:p>
        </w:tc>
        <w:tc>
          <w:tcPr>
            <w:tcW w:w="5171" w:type="dxa"/>
          </w:tcPr>
          <w:p w:rsidR="00C56AA0" w:rsidRPr="003F3018" w:rsidRDefault="00C56AA0" w:rsidP="00C56AA0">
            <w:pPr>
              <w:rPr>
                <w:rFonts w:ascii="Calibri" w:hAnsi="Calibri"/>
              </w:rPr>
            </w:pPr>
            <w:r w:rsidRPr="003F3018">
              <w:rPr>
                <w:rFonts w:ascii="Calibri" w:hAnsi="Calibri"/>
              </w:rPr>
              <w:t>Kruszywa mineralne. Kruszywa naturalne do nawierzchni drogowych. Piasek</w:t>
            </w:r>
          </w:p>
        </w:tc>
      </w:tr>
      <w:tr w:rsidR="00C56AA0" w:rsidRPr="003F3018" w:rsidTr="00AE2508">
        <w:tc>
          <w:tcPr>
            <w:tcW w:w="637" w:type="dxa"/>
          </w:tcPr>
          <w:p w:rsidR="00C56AA0" w:rsidRPr="003F3018" w:rsidRDefault="00C56AA0" w:rsidP="00C56AA0">
            <w:pPr>
              <w:rPr>
                <w:rFonts w:ascii="Calibri" w:hAnsi="Calibri"/>
              </w:rPr>
            </w:pPr>
            <w:r w:rsidRPr="003F3018">
              <w:rPr>
                <w:rFonts w:ascii="Calibri" w:hAnsi="Calibri"/>
              </w:rPr>
              <w:t>10.</w:t>
            </w:r>
          </w:p>
        </w:tc>
        <w:tc>
          <w:tcPr>
            <w:tcW w:w="1701" w:type="dxa"/>
          </w:tcPr>
          <w:p w:rsidR="00C56AA0" w:rsidRPr="003F3018" w:rsidRDefault="00C56AA0" w:rsidP="00C56AA0">
            <w:pPr>
              <w:rPr>
                <w:rFonts w:ascii="Calibri" w:hAnsi="Calibri"/>
              </w:rPr>
            </w:pPr>
            <w:r w:rsidRPr="003F3018">
              <w:rPr>
                <w:rFonts w:ascii="Calibri" w:hAnsi="Calibri"/>
              </w:rPr>
              <w:t>PN-B-19701</w:t>
            </w:r>
          </w:p>
        </w:tc>
        <w:tc>
          <w:tcPr>
            <w:tcW w:w="5171" w:type="dxa"/>
          </w:tcPr>
          <w:p w:rsidR="00C56AA0" w:rsidRPr="003F3018" w:rsidRDefault="00C56AA0" w:rsidP="00C56AA0">
            <w:pPr>
              <w:rPr>
                <w:rFonts w:ascii="Calibri" w:hAnsi="Calibri"/>
              </w:rPr>
            </w:pPr>
            <w:r w:rsidRPr="003F3018">
              <w:rPr>
                <w:rFonts w:ascii="Calibri" w:hAnsi="Calibri"/>
              </w:rPr>
              <w:t>Cement. Cement powszechnego użytku. Skład, wymagania i ocena zgodności</w:t>
            </w:r>
          </w:p>
        </w:tc>
      </w:tr>
      <w:tr w:rsidR="00C56AA0" w:rsidRPr="003F3018" w:rsidTr="00AE2508">
        <w:tc>
          <w:tcPr>
            <w:tcW w:w="637" w:type="dxa"/>
          </w:tcPr>
          <w:p w:rsidR="00C56AA0" w:rsidRPr="003F3018" w:rsidRDefault="00C56AA0" w:rsidP="00C56AA0">
            <w:pPr>
              <w:rPr>
                <w:rFonts w:ascii="Calibri" w:hAnsi="Calibri"/>
              </w:rPr>
            </w:pPr>
            <w:r w:rsidRPr="003F3018">
              <w:rPr>
                <w:rFonts w:ascii="Calibri" w:hAnsi="Calibri"/>
              </w:rPr>
              <w:t>11.</w:t>
            </w:r>
          </w:p>
        </w:tc>
        <w:tc>
          <w:tcPr>
            <w:tcW w:w="1701" w:type="dxa"/>
          </w:tcPr>
          <w:p w:rsidR="00C56AA0" w:rsidRPr="003F3018" w:rsidRDefault="00C56AA0" w:rsidP="00C56AA0">
            <w:pPr>
              <w:rPr>
                <w:rFonts w:ascii="Calibri" w:hAnsi="Calibri"/>
              </w:rPr>
            </w:pPr>
            <w:r w:rsidRPr="003F3018">
              <w:rPr>
                <w:rFonts w:ascii="Calibri" w:hAnsi="Calibri"/>
              </w:rPr>
              <w:t>PN-B32250</w:t>
            </w:r>
          </w:p>
        </w:tc>
        <w:tc>
          <w:tcPr>
            <w:tcW w:w="5171" w:type="dxa"/>
          </w:tcPr>
          <w:p w:rsidR="00C56AA0" w:rsidRPr="003F3018" w:rsidRDefault="00C56AA0" w:rsidP="00C56AA0">
            <w:pPr>
              <w:rPr>
                <w:rFonts w:ascii="Calibri" w:hAnsi="Calibri"/>
              </w:rPr>
            </w:pPr>
            <w:r w:rsidRPr="003F3018">
              <w:rPr>
                <w:rFonts w:ascii="Calibri" w:hAnsi="Calibri"/>
              </w:rPr>
              <w:t>Materiały budowlane. Woda do betonów i zapraw</w:t>
            </w:r>
          </w:p>
        </w:tc>
      </w:tr>
      <w:tr w:rsidR="00C56AA0" w:rsidRPr="003F3018" w:rsidTr="00AE2508">
        <w:tc>
          <w:tcPr>
            <w:tcW w:w="637" w:type="dxa"/>
          </w:tcPr>
          <w:p w:rsidR="00C56AA0" w:rsidRPr="003F3018" w:rsidRDefault="00C56AA0" w:rsidP="00C56AA0">
            <w:pPr>
              <w:rPr>
                <w:rFonts w:ascii="Calibri" w:hAnsi="Calibri"/>
              </w:rPr>
            </w:pPr>
            <w:r w:rsidRPr="003F3018">
              <w:rPr>
                <w:rFonts w:ascii="Calibri" w:hAnsi="Calibri"/>
              </w:rPr>
              <w:t>12.</w:t>
            </w:r>
          </w:p>
        </w:tc>
        <w:tc>
          <w:tcPr>
            <w:tcW w:w="1701" w:type="dxa"/>
          </w:tcPr>
          <w:p w:rsidR="00C56AA0" w:rsidRPr="003F3018" w:rsidRDefault="00C56AA0" w:rsidP="00C56AA0">
            <w:pPr>
              <w:rPr>
                <w:rFonts w:ascii="Calibri" w:hAnsi="Calibri"/>
              </w:rPr>
            </w:pPr>
            <w:r w:rsidRPr="003F3018">
              <w:rPr>
                <w:rFonts w:ascii="Calibri" w:hAnsi="Calibri"/>
              </w:rPr>
              <w:t>BN-88/6731-08</w:t>
            </w:r>
          </w:p>
        </w:tc>
        <w:tc>
          <w:tcPr>
            <w:tcW w:w="5171" w:type="dxa"/>
          </w:tcPr>
          <w:p w:rsidR="00C56AA0" w:rsidRPr="003F3018" w:rsidRDefault="00C56AA0" w:rsidP="00C56AA0">
            <w:pPr>
              <w:rPr>
                <w:rFonts w:ascii="Calibri" w:hAnsi="Calibri"/>
              </w:rPr>
            </w:pPr>
            <w:r w:rsidRPr="003F3018">
              <w:rPr>
                <w:rFonts w:ascii="Calibri" w:hAnsi="Calibri"/>
              </w:rPr>
              <w:t>Cement. Transport i przechowywanie</w:t>
            </w:r>
          </w:p>
        </w:tc>
      </w:tr>
      <w:tr w:rsidR="00C56AA0" w:rsidRPr="003F3018" w:rsidTr="00AE2508">
        <w:tc>
          <w:tcPr>
            <w:tcW w:w="637" w:type="dxa"/>
          </w:tcPr>
          <w:p w:rsidR="00C56AA0" w:rsidRPr="003F3018" w:rsidRDefault="00C56AA0" w:rsidP="00C56AA0">
            <w:pPr>
              <w:rPr>
                <w:rFonts w:ascii="Calibri" w:hAnsi="Calibri"/>
              </w:rPr>
            </w:pPr>
            <w:r w:rsidRPr="003F3018">
              <w:rPr>
                <w:rFonts w:ascii="Calibri" w:hAnsi="Calibri"/>
              </w:rPr>
              <w:t>13.</w:t>
            </w:r>
          </w:p>
        </w:tc>
        <w:tc>
          <w:tcPr>
            <w:tcW w:w="1701" w:type="dxa"/>
          </w:tcPr>
          <w:p w:rsidR="00C56AA0" w:rsidRPr="003F3018" w:rsidRDefault="00C56AA0" w:rsidP="00C56AA0">
            <w:pPr>
              <w:rPr>
                <w:rFonts w:ascii="Calibri" w:hAnsi="Calibri"/>
              </w:rPr>
            </w:pPr>
            <w:r w:rsidRPr="003F3018">
              <w:rPr>
                <w:rFonts w:ascii="Calibri" w:hAnsi="Calibri"/>
              </w:rPr>
              <w:t>BN-74/6771-04</w:t>
            </w:r>
          </w:p>
        </w:tc>
        <w:tc>
          <w:tcPr>
            <w:tcW w:w="5171" w:type="dxa"/>
          </w:tcPr>
          <w:p w:rsidR="00C56AA0" w:rsidRPr="003F3018" w:rsidRDefault="00C56AA0" w:rsidP="00C56AA0">
            <w:pPr>
              <w:rPr>
                <w:rFonts w:ascii="Calibri" w:hAnsi="Calibri"/>
              </w:rPr>
            </w:pPr>
            <w:r w:rsidRPr="003F3018">
              <w:rPr>
                <w:rFonts w:ascii="Calibri" w:hAnsi="Calibri"/>
              </w:rPr>
              <w:t>Drogi samochodowe. Masa zalewowa</w:t>
            </w:r>
          </w:p>
        </w:tc>
      </w:tr>
      <w:tr w:rsidR="00C56AA0" w:rsidRPr="003F3018" w:rsidTr="00AE2508">
        <w:tc>
          <w:tcPr>
            <w:tcW w:w="637" w:type="dxa"/>
          </w:tcPr>
          <w:p w:rsidR="00C56AA0" w:rsidRPr="003F3018" w:rsidRDefault="00C56AA0" w:rsidP="00C56AA0">
            <w:pPr>
              <w:rPr>
                <w:rFonts w:ascii="Calibri" w:hAnsi="Calibri"/>
              </w:rPr>
            </w:pPr>
            <w:r w:rsidRPr="003F3018">
              <w:rPr>
                <w:rFonts w:ascii="Calibri" w:hAnsi="Calibri"/>
              </w:rPr>
              <w:t>14.</w:t>
            </w:r>
          </w:p>
        </w:tc>
        <w:tc>
          <w:tcPr>
            <w:tcW w:w="1701" w:type="dxa"/>
          </w:tcPr>
          <w:p w:rsidR="00C56AA0" w:rsidRPr="003F3018" w:rsidRDefault="00C56AA0" w:rsidP="00C56AA0">
            <w:pPr>
              <w:rPr>
                <w:rFonts w:ascii="Calibri" w:hAnsi="Calibri"/>
              </w:rPr>
            </w:pPr>
            <w:r w:rsidRPr="003F3018">
              <w:rPr>
                <w:rFonts w:ascii="Calibri" w:hAnsi="Calibri"/>
              </w:rPr>
              <w:t>BN-80/6775-03/01</w:t>
            </w:r>
          </w:p>
        </w:tc>
        <w:tc>
          <w:tcPr>
            <w:tcW w:w="5171" w:type="dxa"/>
          </w:tcPr>
          <w:p w:rsidR="00C56AA0" w:rsidRPr="003F3018" w:rsidRDefault="00C56AA0" w:rsidP="00C56AA0">
            <w:pPr>
              <w:rPr>
                <w:rFonts w:ascii="Calibri" w:hAnsi="Calibri"/>
              </w:rPr>
            </w:pPr>
            <w:r w:rsidRPr="003F3018">
              <w:rPr>
                <w:rFonts w:ascii="Calibri" w:hAnsi="Calibri"/>
              </w:rPr>
              <w:t>Prefabrykaty budowlane z betonu. Elementy nawierzchni dróg, ulic, parkingów i torowisk tramwajowych. Wspólne wymagania i badania</w:t>
            </w:r>
          </w:p>
        </w:tc>
      </w:tr>
      <w:tr w:rsidR="00C56AA0" w:rsidRPr="003F3018" w:rsidTr="00AE2508">
        <w:tc>
          <w:tcPr>
            <w:tcW w:w="637" w:type="dxa"/>
          </w:tcPr>
          <w:p w:rsidR="00C56AA0" w:rsidRPr="003F3018" w:rsidRDefault="00C56AA0" w:rsidP="00C56AA0">
            <w:pPr>
              <w:rPr>
                <w:rFonts w:ascii="Calibri" w:hAnsi="Calibri"/>
              </w:rPr>
            </w:pPr>
            <w:r w:rsidRPr="003F3018">
              <w:rPr>
                <w:rFonts w:ascii="Calibri" w:hAnsi="Calibri"/>
              </w:rPr>
              <w:t>15.</w:t>
            </w:r>
          </w:p>
        </w:tc>
        <w:tc>
          <w:tcPr>
            <w:tcW w:w="1701" w:type="dxa"/>
          </w:tcPr>
          <w:p w:rsidR="00C56AA0" w:rsidRPr="003F3018" w:rsidRDefault="00C56AA0" w:rsidP="00C56AA0">
            <w:pPr>
              <w:rPr>
                <w:rFonts w:ascii="Calibri" w:hAnsi="Calibri"/>
              </w:rPr>
            </w:pPr>
            <w:r w:rsidRPr="003F3018">
              <w:rPr>
                <w:rFonts w:ascii="Calibri" w:hAnsi="Calibri"/>
              </w:rPr>
              <w:t>BN-80/6775-03/04</w:t>
            </w:r>
          </w:p>
        </w:tc>
        <w:tc>
          <w:tcPr>
            <w:tcW w:w="5171" w:type="dxa"/>
          </w:tcPr>
          <w:p w:rsidR="00C56AA0" w:rsidRPr="003F3018" w:rsidRDefault="00C56AA0" w:rsidP="00C56AA0">
            <w:pPr>
              <w:rPr>
                <w:rFonts w:ascii="Calibri" w:hAnsi="Calibri"/>
              </w:rPr>
            </w:pPr>
            <w:r w:rsidRPr="003F3018">
              <w:rPr>
                <w:rFonts w:ascii="Calibri" w:hAnsi="Calibri"/>
              </w:rPr>
              <w:t>Prefabrykaty budowlane z betonu. Elementy nawierzchni dróg, ulic, parkingów i torowisk tramwajowych. Krawężniki i obrzeża chodnikowe</w:t>
            </w:r>
          </w:p>
        </w:tc>
      </w:tr>
      <w:tr w:rsidR="00C56AA0" w:rsidRPr="003F3018" w:rsidTr="00AE2508">
        <w:tc>
          <w:tcPr>
            <w:tcW w:w="637" w:type="dxa"/>
          </w:tcPr>
          <w:p w:rsidR="00C56AA0" w:rsidRPr="003F3018" w:rsidRDefault="00C56AA0" w:rsidP="00C56AA0">
            <w:pPr>
              <w:rPr>
                <w:rFonts w:ascii="Calibri" w:hAnsi="Calibri"/>
              </w:rPr>
            </w:pPr>
            <w:r w:rsidRPr="003F3018">
              <w:rPr>
                <w:rFonts w:ascii="Calibri" w:hAnsi="Calibri"/>
              </w:rPr>
              <w:t>16.</w:t>
            </w:r>
          </w:p>
        </w:tc>
        <w:tc>
          <w:tcPr>
            <w:tcW w:w="1701" w:type="dxa"/>
          </w:tcPr>
          <w:p w:rsidR="00C56AA0" w:rsidRPr="003F3018" w:rsidRDefault="00C56AA0" w:rsidP="00C56AA0">
            <w:pPr>
              <w:rPr>
                <w:rFonts w:ascii="Calibri" w:hAnsi="Calibri"/>
              </w:rPr>
            </w:pPr>
            <w:r w:rsidRPr="003F3018">
              <w:rPr>
                <w:rFonts w:ascii="Calibri" w:hAnsi="Calibri"/>
              </w:rPr>
              <w:t>BN-64/8845-02</w:t>
            </w:r>
          </w:p>
        </w:tc>
        <w:tc>
          <w:tcPr>
            <w:tcW w:w="5171" w:type="dxa"/>
          </w:tcPr>
          <w:p w:rsidR="00C56AA0" w:rsidRPr="003F3018" w:rsidRDefault="00C56AA0" w:rsidP="00C56AA0">
            <w:pPr>
              <w:rPr>
                <w:rFonts w:ascii="Calibri" w:hAnsi="Calibri"/>
              </w:rPr>
            </w:pPr>
            <w:r w:rsidRPr="003F3018">
              <w:rPr>
                <w:rFonts w:ascii="Calibri" w:hAnsi="Calibri"/>
              </w:rPr>
              <w:t>Krawężniki uliczne. Warunki techniczne ustawiania i odbioru.</w:t>
            </w:r>
          </w:p>
        </w:tc>
      </w:tr>
    </w:tbl>
    <w:p w:rsidR="00C56AA0" w:rsidRPr="003F3018" w:rsidRDefault="00C56AA0" w:rsidP="00C56AA0">
      <w:pPr>
        <w:rPr>
          <w:rFonts w:ascii="Calibri" w:hAnsi="Calibri"/>
        </w:rPr>
      </w:pPr>
      <w:r w:rsidRPr="003F3018">
        <w:rPr>
          <w:rFonts w:ascii="Calibri" w:hAnsi="Calibri"/>
          <w:b/>
        </w:rPr>
        <w:t>10.2.</w:t>
      </w:r>
      <w:r w:rsidRPr="003F3018">
        <w:rPr>
          <w:rFonts w:ascii="Calibri" w:hAnsi="Calibri"/>
        </w:rPr>
        <w:t xml:space="preserve"> Inne dokumenty</w:t>
      </w:r>
    </w:p>
    <w:p w:rsidR="00C56AA0" w:rsidRPr="003F3018" w:rsidRDefault="00C56AA0" w:rsidP="00C56AA0">
      <w:pPr>
        <w:rPr>
          <w:rFonts w:ascii="Calibri" w:hAnsi="Calibri"/>
        </w:rPr>
      </w:pPr>
      <w:r w:rsidRPr="003F3018">
        <w:rPr>
          <w:rFonts w:ascii="Calibri" w:hAnsi="Calibri"/>
        </w:rPr>
        <w:t>17. Katalog powtarzalnych elementów drogowych (KPED), Transprojekt - Warszawa, 1979 i 1982 r.</w:t>
      </w:r>
    </w:p>
    <w:p w:rsidR="00C56AA0" w:rsidRPr="003F3018" w:rsidRDefault="00C56AA0" w:rsidP="00C56AA0">
      <w:pPr>
        <w:rPr>
          <w:rFonts w:ascii="Calibri" w:hAnsi="Calibri"/>
        </w:rPr>
      </w:pPr>
      <w:r w:rsidRPr="003F3018">
        <w:rPr>
          <w:rFonts w:ascii="Calibri" w:hAnsi="Calibri"/>
        </w:rPr>
        <w:t xml:space="preserve"> </w:t>
      </w:r>
    </w:p>
    <w:p w:rsidR="00C56AA0" w:rsidRPr="003F3018" w:rsidRDefault="00C56AA0" w:rsidP="00C56AA0">
      <w:pPr>
        <w:rPr>
          <w:rFonts w:ascii="Calibri" w:hAnsi="Calibri"/>
          <w:b/>
        </w:rPr>
      </w:pPr>
      <w:r w:rsidRPr="003F3018">
        <w:rPr>
          <w:rFonts w:ascii="Calibri" w:hAnsi="Calibri"/>
          <w:b/>
        </w:rPr>
        <w:t>11. ZAŁĄCZNIKI</w:t>
      </w:r>
    </w:p>
    <w:p w:rsidR="00C56AA0" w:rsidRPr="003F3018" w:rsidRDefault="00C56AA0" w:rsidP="00C56AA0">
      <w:pPr>
        <w:rPr>
          <w:rFonts w:ascii="Calibri" w:hAnsi="Calibri"/>
        </w:rPr>
      </w:pPr>
      <w:r w:rsidRPr="003F3018">
        <w:rPr>
          <w:rFonts w:ascii="Calibri" w:hAnsi="Calibri"/>
        </w:rPr>
        <w:t>ZAŁĄCZNIK 1</w:t>
      </w:r>
    </w:p>
    <w:p w:rsidR="00C56AA0" w:rsidRPr="003F3018" w:rsidRDefault="00C56AA0" w:rsidP="00C56AA0">
      <w:pPr>
        <w:rPr>
          <w:rFonts w:ascii="Calibri" w:hAnsi="Calibri"/>
        </w:rPr>
      </w:pPr>
      <w:r w:rsidRPr="003F3018">
        <w:rPr>
          <w:rFonts w:ascii="Calibri" w:hAnsi="Calibri"/>
        </w:rPr>
        <w:t>PRZYKŁADY  KRAWĘŻNIKÓW  ŁUKOWYCH</w:t>
      </w:r>
    </w:p>
    <w:p w:rsidR="00C56AA0" w:rsidRPr="003F3018" w:rsidRDefault="00C56AA0" w:rsidP="00C56AA0">
      <w:pPr>
        <w:rPr>
          <w:rFonts w:ascii="Calibri" w:hAnsi="Calibri"/>
        </w:rPr>
      </w:pPr>
    </w:p>
    <w:p w:rsidR="00C56AA0" w:rsidRPr="003F3018" w:rsidRDefault="00C56AA0" w:rsidP="00AE2508">
      <w:pPr>
        <w:ind w:left="1985"/>
        <w:rPr>
          <w:rFonts w:ascii="Calibri" w:hAnsi="Calibri"/>
        </w:rPr>
      </w:pPr>
      <w:r w:rsidRPr="003F3018">
        <w:rPr>
          <w:rFonts w:ascii="Calibri" w:hAnsi="Calibri"/>
        </w:rPr>
        <w:t>a) wklęsłego</w:t>
      </w:r>
      <w:r w:rsidRPr="003F3018">
        <w:rPr>
          <w:rFonts w:ascii="Calibri" w:hAnsi="Calibri"/>
        </w:rPr>
        <w:tab/>
      </w:r>
      <w:r w:rsidRPr="003F3018">
        <w:rPr>
          <w:rFonts w:ascii="Calibri" w:hAnsi="Calibri"/>
        </w:rPr>
        <w:tab/>
      </w:r>
      <w:r w:rsidRPr="003F3018">
        <w:rPr>
          <w:rFonts w:ascii="Calibri" w:hAnsi="Calibri"/>
        </w:rPr>
        <w:tab/>
      </w:r>
      <w:r w:rsidRPr="003F3018">
        <w:rPr>
          <w:rFonts w:ascii="Calibri" w:hAnsi="Calibri"/>
        </w:rPr>
        <w:tab/>
        <w:t>b) wypukłego</w:t>
      </w:r>
    </w:p>
    <w:p w:rsidR="00C56AA0" w:rsidRPr="003D0B2F" w:rsidRDefault="00C56AA0" w:rsidP="00C56AA0"/>
    <w:p w:rsidR="00C56AA0" w:rsidRPr="003D0B2F" w:rsidRDefault="00C56AA0" w:rsidP="00AE2508">
      <w:pPr>
        <w:ind w:left="993"/>
      </w:pPr>
      <w:r>
        <w:rPr>
          <w:noProof/>
        </w:rPr>
        <w:drawing>
          <wp:inline distT="0" distB="0" distL="0" distR="0">
            <wp:extent cx="4600575" cy="1790700"/>
            <wp:effectExtent l="19050" t="0" r="9525" b="0"/>
            <wp:docPr id="246" name="Obraz 4" descr="bz2_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az 4" descr="bz2_1"/>
                    <pic:cNvPicPr>
                      <a:picLocks noChangeAspect="1" noChangeArrowheads="1"/>
                    </pic:cNvPicPr>
                  </pic:nvPicPr>
                  <pic:blipFill>
                    <a:blip r:embed="rId102" cstate="print"/>
                    <a:srcRect/>
                    <a:stretch>
                      <a:fillRect/>
                    </a:stretch>
                  </pic:blipFill>
                  <pic:spPr bwMode="auto">
                    <a:xfrm>
                      <a:off x="0" y="0"/>
                      <a:ext cx="4600575" cy="1790700"/>
                    </a:xfrm>
                    <a:prstGeom prst="rect">
                      <a:avLst/>
                    </a:prstGeom>
                    <a:noFill/>
                    <a:ln w="9525">
                      <a:noFill/>
                      <a:miter lim="800000"/>
                      <a:headEnd/>
                      <a:tailEnd/>
                    </a:ln>
                  </pic:spPr>
                </pic:pic>
              </a:graphicData>
            </a:graphic>
          </wp:inline>
        </w:drawing>
      </w:r>
    </w:p>
    <w:p w:rsidR="00C56AA0" w:rsidRPr="003F3018" w:rsidRDefault="00C56AA0" w:rsidP="00C56AA0">
      <w:pPr>
        <w:rPr>
          <w:rFonts w:ascii="Calibri" w:hAnsi="Calibri"/>
        </w:rPr>
      </w:pPr>
      <w:r w:rsidRPr="003F3018">
        <w:rPr>
          <w:rFonts w:ascii="Calibri" w:hAnsi="Calibri"/>
        </w:rPr>
        <w:t xml:space="preserve">Oznaczenia: 1 – Krawężnik, </w:t>
      </w:r>
    </w:p>
    <w:p w:rsidR="00C56AA0" w:rsidRPr="003F3018" w:rsidRDefault="00C56AA0" w:rsidP="00C56AA0">
      <w:pPr>
        <w:rPr>
          <w:rFonts w:ascii="Calibri" w:hAnsi="Calibri"/>
        </w:rPr>
      </w:pPr>
      <w:r w:rsidRPr="003F3018">
        <w:rPr>
          <w:rFonts w:ascii="Calibri" w:hAnsi="Calibri"/>
        </w:rPr>
        <w:t xml:space="preserve">2 – Jezdnia, </w:t>
      </w:r>
    </w:p>
    <w:p w:rsidR="00C56AA0" w:rsidRPr="003F3018" w:rsidRDefault="00C56AA0" w:rsidP="00C56AA0">
      <w:pPr>
        <w:rPr>
          <w:rFonts w:ascii="Calibri" w:hAnsi="Calibri"/>
        </w:rPr>
      </w:pPr>
      <w:r w:rsidRPr="003F3018">
        <w:rPr>
          <w:rFonts w:ascii="Calibri" w:hAnsi="Calibri"/>
        </w:rPr>
        <w:t xml:space="preserve">3 – Długość, </w:t>
      </w:r>
    </w:p>
    <w:p w:rsidR="00C56AA0" w:rsidRPr="003F3018" w:rsidRDefault="00C56AA0" w:rsidP="00C56AA0">
      <w:pPr>
        <w:rPr>
          <w:rFonts w:ascii="Calibri" w:hAnsi="Calibri"/>
        </w:rPr>
      </w:pPr>
      <w:r w:rsidRPr="003F3018">
        <w:rPr>
          <w:rFonts w:ascii="Calibri" w:hAnsi="Calibri"/>
        </w:rPr>
        <w:t xml:space="preserve">4 – Promień, </w:t>
      </w:r>
    </w:p>
    <w:p w:rsidR="00C56AA0" w:rsidRPr="003F3018" w:rsidRDefault="00C56AA0" w:rsidP="00C56AA0">
      <w:pPr>
        <w:rPr>
          <w:rFonts w:ascii="Calibri" w:hAnsi="Calibri"/>
        </w:rPr>
      </w:pPr>
      <w:r w:rsidRPr="003F3018">
        <w:rPr>
          <w:rFonts w:ascii="Calibri" w:hAnsi="Calibri"/>
        </w:rPr>
        <w:t>5 – Kanał odpływowy</w:t>
      </w:r>
    </w:p>
    <w:p w:rsidR="00C56AA0" w:rsidRPr="003F3018" w:rsidRDefault="00C56AA0" w:rsidP="00C56AA0">
      <w:pPr>
        <w:rPr>
          <w:rFonts w:ascii="Calibri" w:hAnsi="Calibri"/>
        </w:rPr>
      </w:pPr>
    </w:p>
    <w:p w:rsidR="00C56AA0" w:rsidRPr="003F3018" w:rsidRDefault="00C56AA0" w:rsidP="00C56AA0">
      <w:pPr>
        <w:rPr>
          <w:rFonts w:ascii="Calibri" w:hAnsi="Calibri"/>
        </w:rPr>
      </w:pPr>
    </w:p>
    <w:p w:rsidR="00C56AA0" w:rsidRPr="003F3018" w:rsidRDefault="00C56AA0" w:rsidP="00C56AA0">
      <w:pPr>
        <w:rPr>
          <w:rFonts w:ascii="Calibri" w:hAnsi="Calibri"/>
        </w:rPr>
      </w:pPr>
      <w:r w:rsidRPr="003F3018">
        <w:rPr>
          <w:rFonts w:ascii="Calibri" w:hAnsi="Calibri"/>
        </w:rPr>
        <w:t>ZAŁĄCZNIK 2</w:t>
      </w:r>
    </w:p>
    <w:p w:rsidR="00C56AA0" w:rsidRPr="003F3018" w:rsidRDefault="00C56AA0" w:rsidP="00C56AA0">
      <w:pPr>
        <w:rPr>
          <w:rFonts w:ascii="Calibri" w:hAnsi="Calibri"/>
        </w:rPr>
      </w:pPr>
      <w:r w:rsidRPr="003F3018">
        <w:rPr>
          <w:rFonts w:ascii="Calibri" w:hAnsi="Calibri"/>
        </w:rPr>
        <w:t>PRZYKŁADY  USTAWIENIA  KRAWĘŻNIKÓW  BETONOWYCH  NA  ŁAWACH</w:t>
      </w:r>
    </w:p>
    <w:p w:rsidR="00C56AA0" w:rsidRPr="003D0B2F" w:rsidRDefault="00C56AA0" w:rsidP="00C56AA0"/>
    <w:tbl>
      <w:tblPr>
        <w:tblW w:w="0" w:type="auto"/>
        <w:tblLook w:val="01E0"/>
      </w:tblPr>
      <w:tblGrid>
        <w:gridCol w:w="3876"/>
        <w:gridCol w:w="3756"/>
      </w:tblGrid>
      <w:tr w:rsidR="00C56AA0" w:rsidRPr="003D0B2F" w:rsidTr="00FD47C7">
        <w:trPr>
          <w:trHeight w:val="4776"/>
        </w:trPr>
        <w:tc>
          <w:tcPr>
            <w:tcW w:w="3755" w:type="dxa"/>
          </w:tcPr>
          <w:p w:rsidR="00C56AA0" w:rsidRPr="003F3018" w:rsidRDefault="00C56AA0" w:rsidP="00C56AA0">
            <w:pPr>
              <w:rPr>
                <w:rFonts w:ascii="Calibri" w:hAnsi="Calibri"/>
              </w:rPr>
            </w:pPr>
            <w:r w:rsidRPr="003F3018">
              <w:rPr>
                <w:rFonts w:ascii="Calibri" w:hAnsi="Calibri"/>
              </w:rPr>
              <w:lastRenderedPageBreak/>
              <w:t xml:space="preserve">a) Krawężnik typu ulicznego 20 x </w:t>
            </w:r>
            <w:smartTag w:uri="urn:schemas-microsoft-com:office:smarttags" w:element="metricconverter">
              <w:smartTagPr>
                <w:attr w:name="ProductID" w:val="30 cm"/>
              </w:smartTagPr>
              <w:r w:rsidRPr="003F3018">
                <w:rPr>
                  <w:rFonts w:ascii="Calibri" w:hAnsi="Calibri"/>
                </w:rPr>
                <w:t>30 cm</w:t>
              </w:r>
            </w:smartTag>
          </w:p>
          <w:p w:rsidR="00C56AA0" w:rsidRPr="003F3018" w:rsidRDefault="00C56AA0" w:rsidP="00C56AA0">
            <w:pPr>
              <w:rPr>
                <w:rFonts w:ascii="Calibri" w:hAnsi="Calibri"/>
              </w:rPr>
            </w:pPr>
            <w:r w:rsidRPr="003F3018">
              <w:rPr>
                <w:rFonts w:ascii="Calibri" w:hAnsi="Calibri"/>
              </w:rPr>
              <w:t xml:space="preserve">     na ławie betonowej z oporem</w:t>
            </w:r>
          </w:p>
          <w:p w:rsidR="00C56AA0" w:rsidRPr="003F3018" w:rsidRDefault="00C56AA0" w:rsidP="00C56AA0">
            <w:pPr>
              <w:rPr>
                <w:rFonts w:ascii="Calibri" w:hAnsi="Calibri"/>
              </w:rPr>
            </w:pPr>
            <w:r>
              <w:rPr>
                <w:rFonts w:ascii="Calibri" w:hAnsi="Calibri"/>
                <w:noProof/>
              </w:rPr>
              <w:drawing>
                <wp:inline distT="0" distB="0" distL="0" distR="0">
                  <wp:extent cx="1981200" cy="2295525"/>
                  <wp:effectExtent l="19050" t="0" r="0" b="0"/>
                  <wp:docPr id="247" name="Obraz 5" descr="bz4_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az 5" descr="bz4_1"/>
                          <pic:cNvPicPr>
                            <a:picLocks noChangeAspect="1" noChangeArrowheads="1"/>
                          </pic:cNvPicPr>
                        </pic:nvPicPr>
                        <pic:blipFill>
                          <a:blip r:embed="rId103" cstate="print"/>
                          <a:srcRect/>
                          <a:stretch>
                            <a:fillRect/>
                          </a:stretch>
                        </pic:blipFill>
                        <pic:spPr bwMode="auto">
                          <a:xfrm>
                            <a:off x="0" y="0"/>
                            <a:ext cx="1981200" cy="2295525"/>
                          </a:xfrm>
                          <a:prstGeom prst="rect">
                            <a:avLst/>
                          </a:prstGeom>
                          <a:noFill/>
                          <a:ln w="9525">
                            <a:noFill/>
                            <a:miter lim="800000"/>
                            <a:headEnd/>
                            <a:tailEnd/>
                          </a:ln>
                        </pic:spPr>
                      </pic:pic>
                    </a:graphicData>
                  </a:graphic>
                </wp:inline>
              </w:drawing>
            </w:r>
          </w:p>
          <w:p w:rsidR="00C56AA0" w:rsidRPr="003F3018" w:rsidRDefault="00C56AA0" w:rsidP="00C56AA0">
            <w:pPr>
              <w:rPr>
                <w:rFonts w:ascii="Calibri" w:hAnsi="Calibri"/>
              </w:rPr>
            </w:pPr>
            <w:r w:rsidRPr="003F3018">
              <w:rPr>
                <w:rFonts w:ascii="Calibri" w:hAnsi="Calibri"/>
              </w:rPr>
              <w:t>1. krawężnik, typ ciężki 20x30x100 cm</w:t>
            </w:r>
          </w:p>
          <w:p w:rsidR="00C56AA0" w:rsidRPr="003F3018" w:rsidRDefault="00C56AA0" w:rsidP="00C56AA0">
            <w:pPr>
              <w:rPr>
                <w:rFonts w:ascii="Calibri" w:hAnsi="Calibri"/>
              </w:rPr>
            </w:pPr>
            <w:r w:rsidRPr="003F3018">
              <w:rPr>
                <w:rFonts w:ascii="Calibri" w:hAnsi="Calibri"/>
              </w:rPr>
              <w:t>2. podsypka cem.-piaskowa 1:4</w:t>
            </w:r>
          </w:p>
          <w:p w:rsidR="00C56AA0" w:rsidRPr="003F3018" w:rsidRDefault="00C56AA0" w:rsidP="00C56AA0">
            <w:pPr>
              <w:rPr>
                <w:rFonts w:ascii="Calibri" w:hAnsi="Calibri"/>
              </w:rPr>
            </w:pPr>
            <w:r w:rsidRPr="003F3018">
              <w:rPr>
                <w:rFonts w:ascii="Calibri" w:hAnsi="Calibri"/>
              </w:rPr>
              <w:t>3. ława z betonu</w:t>
            </w:r>
          </w:p>
          <w:p w:rsidR="00C56AA0" w:rsidRPr="003F3018" w:rsidRDefault="00C56AA0" w:rsidP="00C56AA0">
            <w:pPr>
              <w:rPr>
                <w:rFonts w:ascii="Calibri" w:hAnsi="Calibri"/>
              </w:rPr>
            </w:pPr>
          </w:p>
          <w:p w:rsidR="00C56AA0" w:rsidRPr="003F3018" w:rsidRDefault="00C56AA0" w:rsidP="00C56AA0">
            <w:pPr>
              <w:rPr>
                <w:rFonts w:ascii="Calibri" w:hAnsi="Calibri"/>
              </w:rPr>
            </w:pPr>
          </w:p>
        </w:tc>
        <w:tc>
          <w:tcPr>
            <w:tcW w:w="3756" w:type="dxa"/>
          </w:tcPr>
          <w:p w:rsidR="00C56AA0" w:rsidRPr="003F3018" w:rsidRDefault="00C56AA0" w:rsidP="00C56AA0">
            <w:pPr>
              <w:rPr>
                <w:rFonts w:ascii="Calibri" w:hAnsi="Calibri"/>
              </w:rPr>
            </w:pPr>
            <w:r w:rsidRPr="003F3018">
              <w:rPr>
                <w:rFonts w:ascii="Calibri" w:hAnsi="Calibri"/>
              </w:rPr>
              <w:t xml:space="preserve">b)  Krawężnik typu ulicznego 20 x </w:t>
            </w:r>
            <w:smartTag w:uri="urn:schemas-microsoft-com:office:smarttags" w:element="metricconverter">
              <w:smartTagPr>
                <w:attr w:name="ProductID" w:val="30 cm"/>
              </w:smartTagPr>
              <w:r w:rsidRPr="003F3018">
                <w:rPr>
                  <w:rFonts w:ascii="Calibri" w:hAnsi="Calibri"/>
                </w:rPr>
                <w:t>30 cm</w:t>
              </w:r>
            </w:smartTag>
            <w:r w:rsidRPr="003F3018">
              <w:rPr>
                <w:rFonts w:ascii="Calibri" w:hAnsi="Calibri"/>
              </w:rPr>
              <w:t xml:space="preserve"> ułożony na płask (np. przy wjeździe na chodnik, do bramy)</w:t>
            </w:r>
          </w:p>
          <w:p w:rsidR="00C56AA0" w:rsidRPr="003D0B2F" w:rsidRDefault="00C56AA0" w:rsidP="00C56AA0">
            <w:r>
              <w:rPr>
                <w:noProof/>
              </w:rPr>
              <w:drawing>
                <wp:inline distT="0" distB="0" distL="0" distR="0">
                  <wp:extent cx="1933575" cy="1743075"/>
                  <wp:effectExtent l="19050" t="0" r="9525" b="0"/>
                  <wp:docPr id="248" name="Obraz 6" descr="bz4_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az 6" descr="bz4_7"/>
                          <pic:cNvPicPr>
                            <a:picLocks noChangeAspect="1" noChangeArrowheads="1"/>
                          </pic:cNvPicPr>
                        </pic:nvPicPr>
                        <pic:blipFill>
                          <a:blip r:embed="rId104" cstate="print"/>
                          <a:srcRect/>
                          <a:stretch>
                            <a:fillRect/>
                          </a:stretch>
                        </pic:blipFill>
                        <pic:spPr bwMode="auto">
                          <a:xfrm>
                            <a:off x="0" y="0"/>
                            <a:ext cx="1933575" cy="1743075"/>
                          </a:xfrm>
                          <a:prstGeom prst="rect">
                            <a:avLst/>
                          </a:prstGeom>
                          <a:noFill/>
                          <a:ln w="9525">
                            <a:noFill/>
                            <a:miter lim="800000"/>
                            <a:headEnd/>
                            <a:tailEnd/>
                          </a:ln>
                        </pic:spPr>
                      </pic:pic>
                    </a:graphicData>
                  </a:graphic>
                </wp:inline>
              </w:drawing>
            </w:r>
          </w:p>
          <w:p w:rsidR="00C56AA0" w:rsidRPr="003F3018" w:rsidRDefault="00C56AA0" w:rsidP="00C56AA0">
            <w:pPr>
              <w:rPr>
                <w:rFonts w:ascii="Calibri" w:hAnsi="Calibri"/>
              </w:rPr>
            </w:pPr>
            <w:r w:rsidRPr="003F3018">
              <w:rPr>
                <w:rFonts w:ascii="Calibri" w:hAnsi="Calibri"/>
              </w:rPr>
              <w:t>1. krawężnik  20x30x100 cm</w:t>
            </w:r>
          </w:p>
          <w:p w:rsidR="00C56AA0" w:rsidRPr="003F3018" w:rsidRDefault="00C56AA0" w:rsidP="00C56AA0">
            <w:pPr>
              <w:rPr>
                <w:rFonts w:ascii="Calibri" w:hAnsi="Calibri"/>
              </w:rPr>
            </w:pPr>
            <w:r w:rsidRPr="003F3018">
              <w:rPr>
                <w:rFonts w:ascii="Calibri" w:hAnsi="Calibri"/>
              </w:rPr>
              <w:t>2. podsypka cem.-piaskowa 1:4</w:t>
            </w:r>
          </w:p>
          <w:p w:rsidR="00C56AA0" w:rsidRPr="003D0B2F" w:rsidRDefault="00C56AA0" w:rsidP="00C56AA0">
            <w:r w:rsidRPr="003F3018">
              <w:rPr>
                <w:rFonts w:ascii="Calibri" w:hAnsi="Calibri"/>
              </w:rPr>
              <w:t>3. ława z betonu</w:t>
            </w:r>
          </w:p>
        </w:tc>
      </w:tr>
      <w:tr w:rsidR="00C56AA0" w:rsidRPr="003D0B2F" w:rsidTr="00FD47C7">
        <w:tc>
          <w:tcPr>
            <w:tcW w:w="3755" w:type="dxa"/>
          </w:tcPr>
          <w:p w:rsidR="00C56AA0" w:rsidRPr="003F3018" w:rsidRDefault="00C56AA0" w:rsidP="00C56AA0">
            <w:pPr>
              <w:rPr>
                <w:rFonts w:ascii="Calibri" w:hAnsi="Calibri"/>
              </w:rPr>
            </w:pPr>
          </w:p>
        </w:tc>
        <w:tc>
          <w:tcPr>
            <w:tcW w:w="3756" w:type="dxa"/>
          </w:tcPr>
          <w:p w:rsidR="00C56AA0" w:rsidRPr="003D0B2F" w:rsidRDefault="00C56AA0" w:rsidP="00C56AA0"/>
        </w:tc>
      </w:tr>
      <w:tr w:rsidR="00C56AA0" w:rsidRPr="003D0B2F" w:rsidTr="00FD47C7">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c>
          <w:tcPr>
            <w:tcW w:w="3755" w:type="dxa"/>
            <w:tcBorders>
              <w:top w:val="nil"/>
              <w:left w:val="nil"/>
              <w:bottom w:val="nil"/>
              <w:right w:val="nil"/>
            </w:tcBorders>
          </w:tcPr>
          <w:p w:rsidR="00C56AA0" w:rsidRPr="003F3018" w:rsidRDefault="00C56AA0" w:rsidP="00C56AA0">
            <w:pPr>
              <w:rPr>
                <w:rFonts w:ascii="Calibri" w:hAnsi="Calibri"/>
              </w:rPr>
            </w:pPr>
            <w:r w:rsidRPr="003F3018">
              <w:rPr>
                <w:rFonts w:ascii="Calibri" w:hAnsi="Calibri"/>
              </w:rPr>
              <w:t>c) Krawężnik typu ulicznego, ze ściekiem betonowym, na ławie betonowej</w:t>
            </w:r>
          </w:p>
          <w:p w:rsidR="00C56AA0" w:rsidRPr="003F3018" w:rsidRDefault="00C56AA0" w:rsidP="00C56AA0">
            <w:pPr>
              <w:rPr>
                <w:rFonts w:ascii="Calibri" w:hAnsi="Calibri"/>
              </w:rPr>
            </w:pPr>
          </w:p>
          <w:p w:rsidR="00C56AA0" w:rsidRPr="003F3018" w:rsidRDefault="00C56AA0" w:rsidP="00C56AA0">
            <w:pPr>
              <w:rPr>
                <w:rFonts w:ascii="Calibri" w:hAnsi="Calibri"/>
              </w:rPr>
            </w:pPr>
            <w:r>
              <w:rPr>
                <w:rFonts w:ascii="Calibri" w:hAnsi="Calibri"/>
                <w:noProof/>
              </w:rPr>
              <w:drawing>
                <wp:inline distT="0" distB="0" distL="0" distR="0">
                  <wp:extent cx="2295525" cy="1695450"/>
                  <wp:effectExtent l="19050" t="0" r="9525" b="0"/>
                  <wp:docPr id="249" name="Obraz 7" descr="bz4_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az 7" descr="bz4_8"/>
                          <pic:cNvPicPr>
                            <a:picLocks noChangeAspect="1" noChangeArrowheads="1"/>
                          </pic:cNvPicPr>
                        </pic:nvPicPr>
                        <pic:blipFill>
                          <a:blip r:embed="rId105" cstate="print"/>
                          <a:srcRect/>
                          <a:stretch>
                            <a:fillRect/>
                          </a:stretch>
                        </pic:blipFill>
                        <pic:spPr bwMode="auto">
                          <a:xfrm>
                            <a:off x="0" y="0"/>
                            <a:ext cx="2295525" cy="1695450"/>
                          </a:xfrm>
                          <a:prstGeom prst="rect">
                            <a:avLst/>
                          </a:prstGeom>
                          <a:noFill/>
                          <a:ln w="9525">
                            <a:noFill/>
                            <a:miter lim="800000"/>
                            <a:headEnd/>
                            <a:tailEnd/>
                          </a:ln>
                        </pic:spPr>
                      </pic:pic>
                    </a:graphicData>
                  </a:graphic>
                </wp:inline>
              </w:drawing>
            </w:r>
          </w:p>
          <w:p w:rsidR="00C56AA0" w:rsidRPr="003F3018" w:rsidRDefault="00C56AA0" w:rsidP="00C56AA0">
            <w:pPr>
              <w:rPr>
                <w:rFonts w:ascii="Calibri" w:hAnsi="Calibri"/>
              </w:rPr>
            </w:pPr>
            <w:r w:rsidRPr="003F3018">
              <w:rPr>
                <w:rFonts w:ascii="Calibri" w:hAnsi="Calibri"/>
              </w:rPr>
              <w:t>1. krawężnik, typ uliczny 15(20)x30x100 cm</w:t>
            </w:r>
          </w:p>
          <w:p w:rsidR="00C56AA0" w:rsidRPr="003F3018" w:rsidRDefault="00C56AA0" w:rsidP="00C56AA0">
            <w:pPr>
              <w:rPr>
                <w:rFonts w:ascii="Calibri" w:hAnsi="Calibri"/>
              </w:rPr>
            </w:pPr>
            <w:r w:rsidRPr="003F3018">
              <w:rPr>
                <w:rFonts w:ascii="Calibri" w:hAnsi="Calibri"/>
              </w:rPr>
              <w:t>2. ściek betonowy</w:t>
            </w:r>
          </w:p>
          <w:p w:rsidR="00C56AA0" w:rsidRPr="003F3018" w:rsidRDefault="00C56AA0" w:rsidP="00C56AA0">
            <w:pPr>
              <w:rPr>
                <w:rFonts w:ascii="Calibri" w:hAnsi="Calibri"/>
              </w:rPr>
            </w:pPr>
            <w:r w:rsidRPr="003F3018">
              <w:rPr>
                <w:rFonts w:ascii="Calibri" w:hAnsi="Calibri"/>
              </w:rPr>
              <w:t>3. podsypka cem.-piaskowa 1:4</w:t>
            </w:r>
          </w:p>
          <w:p w:rsidR="00C56AA0" w:rsidRPr="003F3018" w:rsidRDefault="00C56AA0" w:rsidP="00C56AA0">
            <w:pPr>
              <w:rPr>
                <w:rFonts w:ascii="Calibri" w:hAnsi="Calibri"/>
              </w:rPr>
            </w:pPr>
            <w:r w:rsidRPr="003F3018">
              <w:rPr>
                <w:rFonts w:ascii="Calibri" w:hAnsi="Calibri"/>
              </w:rPr>
              <w:t>4. ława z betonu</w:t>
            </w:r>
          </w:p>
        </w:tc>
        <w:tc>
          <w:tcPr>
            <w:tcW w:w="3756" w:type="dxa"/>
            <w:tcBorders>
              <w:top w:val="nil"/>
              <w:left w:val="nil"/>
              <w:bottom w:val="nil"/>
              <w:right w:val="nil"/>
            </w:tcBorders>
          </w:tcPr>
          <w:p w:rsidR="00C56AA0" w:rsidRPr="003D0B2F" w:rsidRDefault="00C56AA0" w:rsidP="00C56AA0"/>
        </w:tc>
      </w:tr>
      <w:tr w:rsidR="00C56AA0" w:rsidRPr="003F3018" w:rsidTr="00FD47C7">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c>
          <w:tcPr>
            <w:tcW w:w="3755" w:type="dxa"/>
            <w:tcBorders>
              <w:top w:val="nil"/>
              <w:left w:val="nil"/>
              <w:bottom w:val="nil"/>
              <w:right w:val="nil"/>
            </w:tcBorders>
          </w:tcPr>
          <w:p w:rsidR="00C56AA0" w:rsidRPr="003F3018" w:rsidRDefault="00C56AA0" w:rsidP="00C56AA0">
            <w:pPr>
              <w:rPr>
                <w:rFonts w:ascii="Calibri" w:hAnsi="Calibri"/>
              </w:rPr>
            </w:pPr>
          </w:p>
        </w:tc>
        <w:tc>
          <w:tcPr>
            <w:tcW w:w="3756" w:type="dxa"/>
            <w:tcBorders>
              <w:top w:val="nil"/>
              <w:left w:val="nil"/>
              <w:bottom w:val="nil"/>
              <w:right w:val="nil"/>
            </w:tcBorders>
          </w:tcPr>
          <w:p w:rsidR="00C56AA0" w:rsidRPr="003F3018" w:rsidRDefault="00C56AA0" w:rsidP="00C56AA0">
            <w:pPr>
              <w:rPr>
                <w:rFonts w:ascii="Calibri" w:hAnsi="Calibri"/>
              </w:rPr>
            </w:pPr>
          </w:p>
        </w:tc>
      </w:tr>
    </w:tbl>
    <w:p w:rsidR="00C56AA0" w:rsidRPr="003F3018" w:rsidRDefault="00C56AA0" w:rsidP="00C56AA0">
      <w:pPr>
        <w:rPr>
          <w:rFonts w:ascii="Calibri" w:hAnsi="Calibri"/>
        </w:rPr>
      </w:pPr>
    </w:p>
    <w:tbl>
      <w:tblPr>
        <w:tblpPr w:leftFromText="141" w:rightFromText="141" w:vertAnchor="text" w:horzAnchor="margin" w:tblpXSpec="center" w:tblpY="805"/>
        <w:tblOverlap w:val="never"/>
        <w:tblW w:w="450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tblPr>
      <w:tblGrid>
        <w:gridCol w:w="1384"/>
        <w:gridCol w:w="992"/>
        <w:gridCol w:w="709"/>
        <w:gridCol w:w="709"/>
        <w:gridCol w:w="709"/>
      </w:tblGrid>
      <w:tr w:rsidR="00C56AA0" w:rsidRPr="003F3018" w:rsidTr="00FD47C7">
        <w:tc>
          <w:tcPr>
            <w:tcW w:w="2376" w:type="dxa"/>
            <w:gridSpan w:val="2"/>
          </w:tcPr>
          <w:p w:rsidR="00C56AA0" w:rsidRPr="003F3018" w:rsidRDefault="00C56AA0" w:rsidP="00C56AA0">
            <w:pPr>
              <w:rPr>
                <w:rFonts w:ascii="Calibri" w:hAnsi="Calibri"/>
              </w:rPr>
            </w:pPr>
            <w:r w:rsidRPr="003F3018">
              <w:rPr>
                <w:rFonts w:ascii="Calibri" w:hAnsi="Calibri"/>
              </w:rPr>
              <w:t>krawężnik</w:t>
            </w:r>
          </w:p>
        </w:tc>
        <w:tc>
          <w:tcPr>
            <w:tcW w:w="709" w:type="dxa"/>
          </w:tcPr>
          <w:p w:rsidR="00C56AA0" w:rsidRPr="003F3018" w:rsidRDefault="00C56AA0" w:rsidP="00C56AA0">
            <w:pPr>
              <w:rPr>
                <w:rFonts w:ascii="Calibri" w:hAnsi="Calibri"/>
              </w:rPr>
            </w:pPr>
            <w:r w:rsidRPr="003F3018">
              <w:rPr>
                <w:rFonts w:ascii="Calibri" w:hAnsi="Calibri"/>
              </w:rPr>
              <w:t>a</w:t>
            </w:r>
          </w:p>
        </w:tc>
        <w:tc>
          <w:tcPr>
            <w:tcW w:w="709" w:type="dxa"/>
          </w:tcPr>
          <w:p w:rsidR="00C56AA0" w:rsidRPr="003F3018" w:rsidRDefault="00C56AA0" w:rsidP="00C56AA0">
            <w:pPr>
              <w:rPr>
                <w:rFonts w:ascii="Calibri" w:hAnsi="Calibri"/>
              </w:rPr>
            </w:pPr>
            <w:r w:rsidRPr="003F3018">
              <w:rPr>
                <w:rFonts w:ascii="Calibri" w:hAnsi="Calibri"/>
              </w:rPr>
              <w:t>b</w:t>
            </w:r>
          </w:p>
        </w:tc>
        <w:tc>
          <w:tcPr>
            <w:tcW w:w="709" w:type="dxa"/>
          </w:tcPr>
          <w:p w:rsidR="00C56AA0" w:rsidRPr="003F3018" w:rsidRDefault="00C56AA0" w:rsidP="00C56AA0">
            <w:pPr>
              <w:rPr>
                <w:rFonts w:ascii="Calibri" w:hAnsi="Calibri"/>
              </w:rPr>
            </w:pPr>
            <w:r w:rsidRPr="003F3018">
              <w:rPr>
                <w:rFonts w:ascii="Calibri" w:hAnsi="Calibri"/>
              </w:rPr>
              <w:t>c</w:t>
            </w:r>
          </w:p>
        </w:tc>
      </w:tr>
      <w:tr w:rsidR="00C56AA0" w:rsidRPr="003F3018" w:rsidTr="00FD47C7">
        <w:tc>
          <w:tcPr>
            <w:tcW w:w="1384" w:type="dxa"/>
            <w:tcBorders>
              <w:bottom w:val="nil"/>
            </w:tcBorders>
          </w:tcPr>
          <w:p w:rsidR="00C56AA0" w:rsidRPr="003F3018" w:rsidRDefault="00C56AA0" w:rsidP="00C56AA0">
            <w:pPr>
              <w:rPr>
                <w:rFonts w:ascii="Calibri" w:hAnsi="Calibri"/>
              </w:rPr>
            </w:pPr>
            <w:r w:rsidRPr="003F3018">
              <w:rPr>
                <w:rFonts w:ascii="Calibri" w:hAnsi="Calibri"/>
              </w:rPr>
              <w:t>betonowy</w:t>
            </w:r>
          </w:p>
        </w:tc>
        <w:tc>
          <w:tcPr>
            <w:tcW w:w="992" w:type="dxa"/>
          </w:tcPr>
          <w:p w:rsidR="00C56AA0" w:rsidRPr="003F3018" w:rsidRDefault="00C56AA0" w:rsidP="00C56AA0">
            <w:pPr>
              <w:rPr>
                <w:rFonts w:ascii="Calibri" w:hAnsi="Calibri"/>
              </w:rPr>
            </w:pPr>
            <w:r w:rsidRPr="003F3018">
              <w:rPr>
                <w:rFonts w:ascii="Calibri" w:hAnsi="Calibri"/>
              </w:rPr>
              <w:t>20 x 30</w:t>
            </w:r>
          </w:p>
        </w:tc>
        <w:tc>
          <w:tcPr>
            <w:tcW w:w="709" w:type="dxa"/>
          </w:tcPr>
          <w:p w:rsidR="00C56AA0" w:rsidRPr="003F3018" w:rsidRDefault="00C56AA0" w:rsidP="00C56AA0">
            <w:pPr>
              <w:rPr>
                <w:rFonts w:ascii="Calibri" w:hAnsi="Calibri"/>
              </w:rPr>
            </w:pPr>
            <w:r w:rsidRPr="003F3018">
              <w:rPr>
                <w:rFonts w:ascii="Calibri" w:hAnsi="Calibri"/>
              </w:rPr>
              <w:t>25</w:t>
            </w:r>
          </w:p>
        </w:tc>
        <w:tc>
          <w:tcPr>
            <w:tcW w:w="709" w:type="dxa"/>
          </w:tcPr>
          <w:p w:rsidR="00C56AA0" w:rsidRPr="003F3018" w:rsidRDefault="00C56AA0" w:rsidP="00C56AA0">
            <w:pPr>
              <w:rPr>
                <w:rFonts w:ascii="Calibri" w:hAnsi="Calibri"/>
              </w:rPr>
            </w:pPr>
            <w:r w:rsidRPr="003F3018">
              <w:rPr>
                <w:rFonts w:ascii="Calibri" w:hAnsi="Calibri"/>
              </w:rPr>
              <w:t>20</w:t>
            </w:r>
          </w:p>
        </w:tc>
        <w:tc>
          <w:tcPr>
            <w:tcW w:w="709" w:type="dxa"/>
          </w:tcPr>
          <w:p w:rsidR="00C56AA0" w:rsidRPr="003F3018" w:rsidRDefault="00C56AA0" w:rsidP="00C56AA0">
            <w:pPr>
              <w:rPr>
                <w:rFonts w:ascii="Calibri" w:hAnsi="Calibri"/>
              </w:rPr>
            </w:pPr>
            <w:r w:rsidRPr="003F3018">
              <w:rPr>
                <w:rFonts w:ascii="Calibri" w:hAnsi="Calibri"/>
              </w:rPr>
              <w:t>15</w:t>
            </w:r>
          </w:p>
        </w:tc>
      </w:tr>
      <w:tr w:rsidR="00C56AA0" w:rsidRPr="003F3018" w:rsidTr="00FD47C7">
        <w:tc>
          <w:tcPr>
            <w:tcW w:w="1384" w:type="dxa"/>
            <w:tcBorders>
              <w:top w:val="nil"/>
            </w:tcBorders>
          </w:tcPr>
          <w:p w:rsidR="00C56AA0" w:rsidRPr="003F3018" w:rsidRDefault="00C56AA0" w:rsidP="00C56AA0">
            <w:pPr>
              <w:rPr>
                <w:rFonts w:ascii="Calibri" w:hAnsi="Calibri"/>
              </w:rPr>
            </w:pPr>
          </w:p>
        </w:tc>
        <w:tc>
          <w:tcPr>
            <w:tcW w:w="992" w:type="dxa"/>
          </w:tcPr>
          <w:p w:rsidR="00C56AA0" w:rsidRPr="003F3018" w:rsidRDefault="00C56AA0" w:rsidP="00C56AA0">
            <w:pPr>
              <w:rPr>
                <w:rFonts w:ascii="Calibri" w:hAnsi="Calibri"/>
              </w:rPr>
            </w:pPr>
            <w:r w:rsidRPr="003F3018">
              <w:rPr>
                <w:rFonts w:ascii="Calibri" w:hAnsi="Calibri"/>
              </w:rPr>
              <w:t>15 x 30</w:t>
            </w:r>
          </w:p>
        </w:tc>
        <w:tc>
          <w:tcPr>
            <w:tcW w:w="709" w:type="dxa"/>
          </w:tcPr>
          <w:p w:rsidR="00C56AA0" w:rsidRPr="003F3018" w:rsidRDefault="00C56AA0" w:rsidP="00C56AA0">
            <w:pPr>
              <w:rPr>
                <w:rFonts w:ascii="Calibri" w:hAnsi="Calibri"/>
              </w:rPr>
            </w:pPr>
            <w:r w:rsidRPr="003F3018">
              <w:rPr>
                <w:rFonts w:ascii="Calibri" w:hAnsi="Calibri"/>
              </w:rPr>
              <w:t>20</w:t>
            </w:r>
          </w:p>
        </w:tc>
        <w:tc>
          <w:tcPr>
            <w:tcW w:w="709" w:type="dxa"/>
          </w:tcPr>
          <w:p w:rsidR="00C56AA0" w:rsidRPr="003F3018" w:rsidRDefault="00C56AA0" w:rsidP="00C56AA0">
            <w:pPr>
              <w:rPr>
                <w:rFonts w:ascii="Calibri" w:hAnsi="Calibri"/>
              </w:rPr>
            </w:pPr>
            <w:r w:rsidRPr="003F3018">
              <w:rPr>
                <w:rFonts w:ascii="Calibri" w:hAnsi="Calibri"/>
              </w:rPr>
              <w:t>15</w:t>
            </w:r>
          </w:p>
        </w:tc>
        <w:tc>
          <w:tcPr>
            <w:tcW w:w="709" w:type="dxa"/>
          </w:tcPr>
          <w:p w:rsidR="00C56AA0" w:rsidRPr="003F3018" w:rsidRDefault="00C56AA0" w:rsidP="00C56AA0">
            <w:pPr>
              <w:rPr>
                <w:rFonts w:ascii="Calibri" w:hAnsi="Calibri"/>
              </w:rPr>
            </w:pPr>
            <w:r w:rsidRPr="003F3018">
              <w:rPr>
                <w:rFonts w:ascii="Calibri" w:hAnsi="Calibri"/>
              </w:rPr>
              <w:t>10</w:t>
            </w:r>
          </w:p>
        </w:tc>
      </w:tr>
    </w:tbl>
    <w:p w:rsidR="00C56AA0" w:rsidRPr="003F3018" w:rsidRDefault="00C56AA0" w:rsidP="00C56AA0">
      <w:pPr>
        <w:rPr>
          <w:rFonts w:ascii="Calibri" w:hAnsi="Calibri"/>
        </w:rPr>
      </w:pPr>
      <w:r w:rsidRPr="003F3018">
        <w:rPr>
          <w:rFonts w:ascii="Calibri" w:hAnsi="Calibri"/>
        </w:rPr>
        <w:t>WYMIARY  UZUPEŁNIAJĄCE (alternatywne)</w:t>
      </w:r>
    </w:p>
    <w:p w:rsidR="00C56AA0" w:rsidRPr="003F3018" w:rsidRDefault="00C56AA0" w:rsidP="00C56AA0">
      <w:pPr>
        <w:rPr>
          <w:rFonts w:ascii="Calibri" w:hAnsi="Calibri"/>
        </w:rPr>
      </w:pPr>
    </w:p>
    <w:p w:rsidR="00C56AA0" w:rsidRPr="003F3018" w:rsidRDefault="00C56AA0" w:rsidP="00C56AA0">
      <w:pPr>
        <w:rPr>
          <w:rFonts w:ascii="Calibri" w:hAnsi="Calibri"/>
        </w:rPr>
      </w:pPr>
    </w:p>
    <w:p w:rsidR="00C56AA0" w:rsidRPr="003F3018" w:rsidRDefault="00C56AA0" w:rsidP="00C56AA0">
      <w:pPr>
        <w:rPr>
          <w:rFonts w:ascii="Calibri" w:hAnsi="Calibri"/>
        </w:rPr>
      </w:pPr>
    </w:p>
    <w:p w:rsidR="00C56AA0" w:rsidRPr="003F3018" w:rsidRDefault="00C56AA0" w:rsidP="00C56AA0">
      <w:pPr>
        <w:rPr>
          <w:rFonts w:ascii="Calibri" w:hAnsi="Calibri"/>
        </w:rPr>
      </w:pPr>
    </w:p>
    <w:p w:rsidR="00C56AA0" w:rsidRPr="003F3018" w:rsidRDefault="00C56AA0" w:rsidP="00C56AA0">
      <w:pPr>
        <w:rPr>
          <w:rFonts w:ascii="Calibri" w:hAnsi="Calibri"/>
        </w:rPr>
      </w:pPr>
    </w:p>
    <w:p w:rsidR="001F3A98" w:rsidRDefault="001F3A98" w:rsidP="00C56AA0">
      <w:pPr>
        <w:spacing w:after="120"/>
      </w:pPr>
    </w:p>
    <w:p w:rsidR="00C56AA0" w:rsidRDefault="00C56AA0" w:rsidP="00C56AA0">
      <w:pPr>
        <w:spacing w:after="120"/>
      </w:pPr>
    </w:p>
    <w:p w:rsidR="00C56AA0" w:rsidRDefault="00C56AA0" w:rsidP="00C56AA0">
      <w:pPr>
        <w:spacing w:after="120"/>
      </w:pPr>
    </w:p>
    <w:p w:rsidR="00C56AA0" w:rsidRDefault="00C56AA0" w:rsidP="00C56AA0">
      <w:pPr>
        <w:spacing w:after="120"/>
      </w:pPr>
    </w:p>
    <w:p w:rsidR="00C56AA0" w:rsidRDefault="00C56AA0" w:rsidP="00C56AA0">
      <w:pPr>
        <w:spacing w:after="120"/>
      </w:pPr>
    </w:p>
    <w:p w:rsidR="00C56AA0" w:rsidRDefault="00C56AA0" w:rsidP="00C56AA0">
      <w:pPr>
        <w:spacing w:after="120"/>
      </w:pPr>
    </w:p>
    <w:p w:rsidR="00C56AA0" w:rsidRDefault="00C56AA0" w:rsidP="00C56AA0">
      <w:pPr>
        <w:spacing w:after="120"/>
      </w:pPr>
    </w:p>
    <w:p w:rsidR="00C56AA0" w:rsidRDefault="00C56AA0" w:rsidP="00C56AA0">
      <w:pPr>
        <w:spacing w:after="120"/>
      </w:pPr>
    </w:p>
    <w:p w:rsidR="00C56AA0" w:rsidRDefault="00C56AA0" w:rsidP="00C56AA0">
      <w:pPr>
        <w:spacing w:after="120"/>
      </w:pPr>
    </w:p>
    <w:p w:rsidR="00C56AA0" w:rsidRDefault="00C56AA0" w:rsidP="00C56AA0">
      <w:pPr>
        <w:spacing w:after="120"/>
      </w:pPr>
    </w:p>
    <w:p w:rsidR="000C27BF" w:rsidRDefault="000C27BF" w:rsidP="00C56AA0">
      <w:pPr>
        <w:spacing w:after="120"/>
      </w:pPr>
    </w:p>
    <w:p w:rsidR="00B97A47" w:rsidRDefault="00B97A47" w:rsidP="00C56AA0">
      <w:pPr>
        <w:spacing w:after="120"/>
      </w:pPr>
    </w:p>
    <w:p w:rsidR="00B97A47" w:rsidRDefault="00B97A47" w:rsidP="00C56AA0">
      <w:pPr>
        <w:spacing w:after="120"/>
      </w:pPr>
    </w:p>
    <w:p w:rsidR="00B97A47" w:rsidRDefault="00B97A47" w:rsidP="00C56AA0">
      <w:pPr>
        <w:spacing w:after="120"/>
      </w:pPr>
    </w:p>
    <w:p w:rsidR="00B97A47" w:rsidRDefault="00B97A47" w:rsidP="00C56AA0">
      <w:pPr>
        <w:spacing w:after="120"/>
      </w:pPr>
    </w:p>
    <w:p w:rsidR="00B97A47" w:rsidRDefault="00B97A47" w:rsidP="00C56AA0">
      <w:pPr>
        <w:spacing w:after="120"/>
      </w:pPr>
    </w:p>
    <w:p w:rsidR="00B97A47" w:rsidRDefault="00B97A47" w:rsidP="00C56AA0">
      <w:pPr>
        <w:spacing w:after="120"/>
      </w:pPr>
    </w:p>
    <w:p w:rsidR="00B97A47" w:rsidRDefault="00B97A47" w:rsidP="00C56AA0">
      <w:pPr>
        <w:spacing w:after="120"/>
      </w:pPr>
    </w:p>
    <w:p w:rsidR="00B97A47" w:rsidRDefault="00B97A47" w:rsidP="00C56AA0">
      <w:pPr>
        <w:spacing w:after="120"/>
      </w:pPr>
    </w:p>
    <w:p w:rsidR="00B97A47" w:rsidRPr="003511F4" w:rsidRDefault="00B97A47" w:rsidP="00B97A47">
      <w:pPr>
        <w:rPr>
          <w:rFonts w:asciiTheme="minorHAnsi" w:hAnsiTheme="minorHAnsi"/>
        </w:rPr>
      </w:pPr>
    </w:p>
    <w:p w:rsidR="00B97A47" w:rsidRPr="003511F4" w:rsidRDefault="00B97A47" w:rsidP="00B97A47">
      <w:pPr>
        <w:pStyle w:val="Nagwek1"/>
        <w:jc w:val="center"/>
      </w:pPr>
      <w:bookmarkStart w:id="1623" w:name="_Toc438237739"/>
      <w:r w:rsidRPr="003511F4">
        <w:t>D - 08.01.02 KRAWĘŻNIKI  KAMIENNE</w:t>
      </w:r>
      <w:bookmarkEnd w:id="1623"/>
    </w:p>
    <w:p w:rsidR="00B97A47" w:rsidRDefault="00B97A47" w:rsidP="00B97A47">
      <w:pPr>
        <w:rPr>
          <w:rFonts w:asciiTheme="minorHAnsi" w:hAnsiTheme="minorHAnsi"/>
        </w:rPr>
      </w:pPr>
    </w:p>
    <w:p w:rsidR="00B97A47" w:rsidRDefault="00B97A47" w:rsidP="00B97A47">
      <w:pPr>
        <w:rPr>
          <w:rFonts w:asciiTheme="minorHAnsi" w:hAnsiTheme="minorHAnsi"/>
        </w:rPr>
      </w:pPr>
    </w:p>
    <w:p w:rsidR="00B97A47" w:rsidRDefault="00B97A47" w:rsidP="00B97A47">
      <w:pPr>
        <w:rPr>
          <w:rFonts w:asciiTheme="minorHAnsi" w:hAnsiTheme="minorHAnsi"/>
        </w:rPr>
      </w:pPr>
    </w:p>
    <w:p w:rsidR="00B97A47" w:rsidRDefault="00B97A47" w:rsidP="00B97A47">
      <w:pPr>
        <w:rPr>
          <w:rFonts w:asciiTheme="minorHAnsi" w:hAnsiTheme="minorHAnsi"/>
        </w:rPr>
      </w:pPr>
    </w:p>
    <w:p w:rsidR="00B97A47" w:rsidRDefault="00B97A47" w:rsidP="00B97A47">
      <w:pPr>
        <w:rPr>
          <w:rFonts w:asciiTheme="minorHAnsi" w:hAnsiTheme="minorHAnsi"/>
        </w:rPr>
      </w:pPr>
    </w:p>
    <w:p w:rsidR="00B97A47" w:rsidRDefault="00B97A47" w:rsidP="00B97A47">
      <w:pPr>
        <w:rPr>
          <w:rFonts w:asciiTheme="minorHAnsi" w:hAnsiTheme="minorHAnsi"/>
        </w:rPr>
      </w:pPr>
    </w:p>
    <w:p w:rsidR="00B97A47" w:rsidRDefault="00B97A47" w:rsidP="00B97A47">
      <w:pPr>
        <w:rPr>
          <w:rFonts w:asciiTheme="minorHAnsi" w:hAnsiTheme="minorHAnsi"/>
        </w:rPr>
      </w:pPr>
    </w:p>
    <w:p w:rsidR="00B97A47" w:rsidRDefault="00B97A47" w:rsidP="00B97A47">
      <w:pPr>
        <w:rPr>
          <w:rFonts w:asciiTheme="minorHAnsi" w:hAnsiTheme="minorHAnsi"/>
        </w:rPr>
      </w:pPr>
    </w:p>
    <w:p w:rsidR="00B97A47" w:rsidRDefault="00B97A47" w:rsidP="00B97A47">
      <w:pPr>
        <w:rPr>
          <w:rFonts w:asciiTheme="minorHAnsi" w:hAnsiTheme="minorHAnsi"/>
        </w:rPr>
      </w:pPr>
    </w:p>
    <w:p w:rsidR="00B97A47" w:rsidRDefault="00B97A47" w:rsidP="00B97A47">
      <w:pPr>
        <w:rPr>
          <w:rFonts w:asciiTheme="minorHAnsi" w:hAnsiTheme="minorHAnsi"/>
        </w:rPr>
      </w:pPr>
    </w:p>
    <w:p w:rsidR="00B97A47" w:rsidRDefault="00B97A47" w:rsidP="00B97A47">
      <w:pPr>
        <w:rPr>
          <w:rFonts w:asciiTheme="minorHAnsi" w:hAnsiTheme="minorHAnsi"/>
        </w:rPr>
      </w:pPr>
    </w:p>
    <w:p w:rsidR="00B97A47" w:rsidRDefault="00B97A47" w:rsidP="00B97A47">
      <w:pPr>
        <w:rPr>
          <w:rFonts w:asciiTheme="minorHAnsi" w:hAnsiTheme="minorHAnsi"/>
        </w:rPr>
      </w:pPr>
    </w:p>
    <w:p w:rsidR="00B97A47" w:rsidRDefault="00B97A47" w:rsidP="00B97A47">
      <w:pPr>
        <w:rPr>
          <w:rFonts w:asciiTheme="minorHAnsi" w:hAnsiTheme="minorHAnsi"/>
        </w:rPr>
      </w:pPr>
    </w:p>
    <w:p w:rsidR="00B97A47" w:rsidRDefault="00B97A47" w:rsidP="00B97A47">
      <w:pPr>
        <w:rPr>
          <w:rFonts w:asciiTheme="minorHAnsi" w:hAnsiTheme="minorHAnsi"/>
        </w:rPr>
      </w:pPr>
    </w:p>
    <w:p w:rsidR="00B97A47" w:rsidRDefault="00B97A47" w:rsidP="00B97A47">
      <w:pPr>
        <w:rPr>
          <w:rFonts w:asciiTheme="minorHAnsi" w:hAnsiTheme="minorHAnsi"/>
        </w:rPr>
      </w:pPr>
    </w:p>
    <w:p w:rsidR="00B97A47" w:rsidRDefault="00B97A47" w:rsidP="00B97A47">
      <w:pPr>
        <w:rPr>
          <w:rFonts w:asciiTheme="minorHAnsi" w:hAnsiTheme="minorHAnsi"/>
        </w:rPr>
      </w:pPr>
    </w:p>
    <w:p w:rsidR="00B97A47" w:rsidRDefault="00B97A47" w:rsidP="00B97A47">
      <w:pPr>
        <w:rPr>
          <w:rFonts w:asciiTheme="minorHAnsi" w:hAnsiTheme="minorHAnsi"/>
        </w:rPr>
      </w:pPr>
    </w:p>
    <w:p w:rsidR="00B97A47" w:rsidRDefault="00B97A47" w:rsidP="00B97A47">
      <w:pPr>
        <w:rPr>
          <w:rFonts w:asciiTheme="minorHAnsi" w:hAnsiTheme="minorHAnsi"/>
        </w:rPr>
      </w:pPr>
    </w:p>
    <w:p w:rsidR="00B97A47" w:rsidRDefault="00B97A47" w:rsidP="00B97A47">
      <w:pPr>
        <w:rPr>
          <w:rFonts w:asciiTheme="minorHAnsi" w:hAnsiTheme="minorHAnsi"/>
        </w:rPr>
      </w:pPr>
    </w:p>
    <w:p w:rsidR="00B97A47" w:rsidRDefault="00B97A47" w:rsidP="00B97A47">
      <w:pPr>
        <w:rPr>
          <w:rFonts w:asciiTheme="minorHAnsi" w:hAnsiTheme="minorHAnsi"/>
        </w:rPr>
      </w:pPr>
    </w:p>
    <w:p w:rsidR="00B97A47" w:rsidRDefault="00B97A47" w:rsidP="00B97A47">
      <w:pPr>
        <w:rPr>
          <w:rFonts w:asciiTheme="minorHAnsi" w:hAnsiTheme="minorHAnsi"/>
        </w:rPr>
      </w:pPr>
    </w:p>
    <w:p w:rsidR="00B97A47" w:rsidRDefault="00B97A47" w:rsidP="00B97A47">
      <w:pPr>
        <w:rPr>
          <w:rFonts w:asciiTheme="minorHAnsi" w:hAnsiTheme="minorHAnsi"/>
        </w:rPr>
      </w:pPr>
    </w:p>
    <w:p w:rsidR="00B97A47" w:rsidRDefault="00B97A47" w:rsidP="00B97A47">
      <w:pPr>
        <w:rPr>
          <w:rFonts w:asciiTheme="minorHAnsi" w:hAnsiTheme="minorHAnsi"/>
        </w:rPr>
      </w:pPr>
    </w:p>
    <w:p w:rsidR="00B97A47" w:rsidRDefault="00B97A47" w:rsidP="00B97A47">
      <w:pPr>
        <w:rPr>
          <w:rFonts w:asciiTheme="minorHAnsi" w:hAnsiTheme="minorHAnsi"/>
        </w:rPr>
      </w:pPr>
    </w:p>
    <w:p w:rsidR="00B97A47" w:rsidRDefault="00B97A47" w:rsidP="00B97A47">
      <w:pPr>
        <w:rPr>
          <w:rFonts w:asciiTheme="minorHAnsi" w:hAnsiTheme="minorHAnsi"/>
        </w:rPr>
      </w:pPr>
    </w:p>
    <w:p w:rsidR="00B97A47" w:rsidRDefault="00B97A47" w:rsidP="00B97A47">
      <w:pPr>
        <w:rPr>
          <w:rFonts w:asciiTheme="minorHAnsi" w:hAnsiTheme="minorHAnsi"/>
        </w:rPr>
      </w:pPr>
    </w:p>
    <w:p w:rsidR="00B97A47" w:rsidRDefault="00B97A47" w:rsidP="00B97A47">
      <w:pPr>
        <w:rPr>
          <w:rFonts w:asciiTheme="minorHAnsi" w:hAnsiTheme="minorHAnsi"/>
        </w:rPr>
      </w:pPr>
    </w:p>
    <w:p w:rsidR="00B97A47" w:rsidRDefault="00B97A47" w:rsidP="00B97A47">
      <w:pPr>
        <w:rPr>
          <w:rFonts w:asciiTheme="minorHAnsi" w:hAnsiTheme="minorHAnsi"/>
        </w:rPr>
      </w:pPr>
    </w:p>
    <w:p w:rsidR="00B97A47" w:rsidRDefault="00B97A47" w:rsidP="00B97A47">
      <w:pPr>
        <w:rPr>
          <w:rFonts w:asciiTheme="minorHAnsi" w:hAnsiTheme="minorHAnsi"/>
        </w:rPr>
      </w:pPr>
    </w:p>
    <w:p w:rsidR="00B97A47" w:rsidRDefault="00B97A47" w:rsidP="00B97A47">
      <w:pPr>
        <w:rPr>
          <w:rFonts w:asciiTheme="minorHAnsi" w:hAnsiTheme="minorHAnsi"/>
        </w:rPr>
      </w:pPr>
    </w:p>
    <w:p w:rsidR="00B97A47" w:rsidRDefault="00B97A47" w:rsidP="00B97A47">
      <w:pPr>
        <w:rPr>
          <w:rFonts w:asciiTheme="minorHAnsi" w:hAnsiTheme="minorHAnsi"/>
        </w:rPr>
      </w:pPr>
    </w:p>
    <w:p w:rsidR="00B97A47" w:rsidRDefault="00B97A47" w:rsidP="00B97A47">
      <w:pPr>
        <w:rPr>
          <w:rFonts w:asciiTheme="minorHAnsi" w:hAnsiTheme="minorHAnsi"/>
        </w:rPr>
      </w:pPr>
    </w:p>
    <w:p w:rsidR="00B97A47" w:rsidRDefault="00B97A47" w:rsidP="00B97A47">
      <w:pPr>
        <w:rPr>
          <w:rFonts w:asciiTheme="minorHAnsi" w:hAnsiTheme="minorHAnsi"/>
        </w:rPr>
      </w:pPr>
    </w:p>
    <w:p w:rsidR="00B97A47" w:rsidRDefault="00B97A47" w:rsidP="00B97A47">
      <w:pPr>
        <w:rPr>
          <w:rFonts w:asciiTheme="minorHAnsi" w:hAnsiTheme="minorHAnsi"/>
        </w:rPr>
      </w:pPr>
    </w:p>
    <w:p w:rsidR="00B97A47" w:rsidRDefault="00B97A47" w:rsidP="00B97A47">
      <w:pPr>
        <w:rPr>
          <w:rFonts w:asciiTheme="minorHAnsi" w:hAnsiTheme="minorHAnsi"/>
        </w:rPr>
      </w:pPr>
    </w:p>
    <w:p w:rsidR="00B97A47" w:rsidRDefault="00B97A47" w:rsidP="00B97A47">
      <w:pPr>
        <w:rPr>
          <w:rFonts w:asciiTheme="minorHAnsi" w:hAnsiTheme="minorHAnsi"/>
        </w:rPr>
      </w:pPr>
    </w:p>
    <w:p w:rsidR="00B97A47" w:rsidRDefault="00B97A47" w:rsidP="00B97A47">
      <w:pPr>
        <w:rPr>
          <w:rFonts w:asciiTheme="minorHAnsi" w:hAnsiTheme="minorHAnsi"/>
        </w:rPr>
      </w:pPr>
    </w:p>
    <w:p w:rsidR="00B97A47" w:rsidRDefault="00B97A47" w:rsidP="00B97A47">
      <w:pPr>
        <w:rPr>
          <w:rFonts w:asciiTheme="minorHAnsi" w:hAnsiTheme="minorHAnsi"/>
        </w:rPr>
      </w:pPr>
    </w:p>
    <w:p w:rsidR="00B97A47" w:rsidRDefault="00B97A47" w:rsidP="00B97A47">
      <w:pPr>
        <w:rPr>
          <w:rFonts w:asciiTheme="minorHAnsi" w:hAnsiTheme="minorHAnsi"/>
        </w:rPr>
      </w:pPr>
    </w:p>
    <w:p w:rsidR="00B97A47" w:rsidRPr="003511F4" w:rsidRDefault="00B97A47" w:rsidP="00B97A47">
      <w:pPr>
        <w:rPr>
          <w:rFonts w:asciiTheme="minorHAnsi" w:hAnsiTheme="minorHAnsi"/>
        </w:rPr>
      </w:pPr>
    </w:p>
    <w:p w:rsidR="00B97A47" w:rsidRPr="003511F4" w:rsidRDefault="00B97A47" w:rsidP="00B97A47">
      <w:pPr>
        <w:rPr>
          <w:rFonts w:asciiTheme="minorHAnsi" w:hAnsiTheme="minorHAnsi"/>
        </w:rPr>
      </w:pPr>
    </w:p>
    <w:p w:rsidR="00B97A47" w:rsidRPr="003511F4" w:rsidRDefault="00B97A47" w:rsidP="00B97A47">
      <w:pPr>
        <w:rPr>
          <w:rFonts w:asciiTheme="minorHAnsi" w:hAnsiTheme="minorHAnsi"/>
          <w:b/>
        </w:rPr>
      </w:pPr>
      <w:r w:rsidRPr="003511F4">
        <w:rPr>
          <w:rFonts w:asciiTheme="minorHAnsi" w:hAnsiTheme="minorHAnsi"/>
          <w:b/>
        </w:rPr>
        <w:lastRenderedPageBreak/>
        <w:t>1. WSTĘP</w:t>
      </w:r>
    </w:p>
    <w:p w:rsidR="00B97A47" w:rsidRPr="003511F4" w:rsidRDefault="00B97A47" w:rsidP="00B97A47">
      <w:pPr>
        <w:rPr>
          <w:rFonts w:asciiTheme="minorHAnsi" w:hAnsiTheme="minorHAnsi"/>
        </w:rPr>
      </w:pPr>
      <w:r w:rsidRPr="003511F4">
        <w:rPr>
          <w:rFonts w:asciiTheme="minorHAnsi" w:hAnsiTheme="minorHAnsi"/>
          <w:b/>
        </w:rPr>
        <w:t>1.1.</w:t>
      </w:r>
      <w:r w:rsidRPr="003511F4">
        <w:rPr>
          <w:rFonts w:asciiTheme="minorHAnsi" w:hAnsiTheme="minorHAnsi"/>
        </w:rPr>
        <w:t xml:space="preserve"> Przedmiot ST</w:t>
      </w:r>
    </w:p>
    <w:p w:rsidR="00B97A47" w:rsidRPr="003511F4" w:rsidRDefault="00B97A47" w:rsidP="00B97A47">
      <w:pPr>
        <w:rPr>
          <w:rFonts w:asciiTheme="minorHAnsi" w:hAnsiTheme="minorHAnsi"/>
        </w:rPr>
      </w:pPr>
      <w:r w:rsidRPr="003511F4">
        <w:rPr>
          <w:rFonts w:asciiTheme="minorHAnsi" w:hAnsiTheme="minorHAnsi"/>
        </w:rPr>
        <w:tab/>
        <w:t>Przedmiotem niniejszej specyfikacji technicznej (ST) są wymagania dotyczące wykonania i odbioru robót związanych z ustawieniem krawężników kamiennych.</w:t>
      </w:r>
    </w:p>
    <w:p w:rsidR="00B97A47" w:rsidRPr="003511F4" w:rsidRDefault="00B97A47" w:rsidP="00B97A47">
      <w:pPr>
        <w:rPr>
          <w:rFonts w:asciiTheme="minorHAnsi" w:hAnsiTheme="minorHAnsi"/>
        </w:rPr>
      </w:pPr>
      <w:r w:rsidRPr="003511F4">
        <w:rPr>
          <w:rFonts w:asciiTheme="minorHAnsi" w:hAnsiTheme="minorHAnsi"/>
          <w:b/>
        </w:rPr>
        <w:t>1.2.</w:t>
      </w:r>
      <w:r w:rsidRPr="003511F4">
        <w:rPr>
          <w:rFonts w:asciiTheme="minorHAnsi" w:hAnsiTheme="minorHAnsi"/>
        </w:rPr>
        <w:t xml:space="preserve"> Zakres stosowania ST</w:t>
      </w:r>
    </w:p>
    <w:p w:rsidR="00B97A47" w:rsidRPr="007621DF" w:rsidRDefault="00B97A47" w:rsidP="00B97A47">
      <w:pPr>
        <w:rPr>
          <w:rFonts w:ascii="Calibri" w:hAnsi="Calibri" w:cs="Calibri"/>
        </w:rPr>
      </w:pPr>
      <w:r>
        <w:rPr>
          <w:rFonts w:ascii="Calibri" w:hAnsi="Calibri" w:cs="Calibri"/>
        </w:rPr>
        <w:tab/>
      </w:r>
      <w:r w:rsidRPr="007621DF">
        <w:rPr>
          <w:rFonts w:ascii="Calibri" w:hAnsi="Calibri" w:cs="Calibri"/>
        </w:rPr>
        <w:t>Specyfikacja techniczna określa wymagania dla wykonania i odbioru robót budowlanych przewidzianych do wykonania w ramach umowy a zawarte w niej zapisy w zakresie standardu materiałów, wykonania robót i wymaganej ich jakości oraz kontroli jakości robót należy traktować jako minimalne.</w:t>
      </w:r>
    </w:p>
    <w:p w:rsidR="00B97A47" w:rsidRPr="003511F4" w:rsidRDefault="00B97A47" w:rsidP="00B97A47">
      <w:pPr>
        <w:rPr>
          <w:rFonts w:asciiTheme="minorHAnsi" w:hAnsiTheme="minorHAnsi"/>
        </w:rPr>
      </w:pPr>
      <w:r w:rsidRPr="003511F4">
        <w:rPr>
          <w:rFonts w:asciiTheme="minorHAnsi" w:hAnsiTheme="minorHAnsi"/>
          <w:b/>
        </w:rPr>
        <w:t>1.3.</w:t>
      </w:r>
      <w:r w:rsidRPr="003511F4">
        <w:rPr>
          <w:rFonts w:asciiTheme="minorHAnsi" w:hAnsiTheme="minorHAnsi"/>
        </w:rPr>
        <w:t xml:space="preserve"> Zakres robót objętych ST</w:t>
      </w:r>
    </w:p>
    <w:p w:rsidR="00582D07" w:rsidRPr="00C3299C" w:rsidRDefault="00B97A47" w:rsidP="00582D07">
      <w:pPr>
        <w:rPr>
          <w:rFonts w:asciiTheme="minorHAnsi" w:hAnsiTheme="minorHAnsi" w:cs="Calibri"/>
        </w:rPr>
      </w:pPr>
      <w:r w:rsidRPr="003511F4">
        <w:rPr>
          <w:rFonts w:asciiTheme="minorHAnsi" w:hAnsiTheme="minorHAnsi"/>
        </w:rPr>
        <w:tab/>
        <w:t>Ustalenia zawarte w niniejszej specyfikacji dotyczą zasad prowadzenia robót związanych z ustawieniem krawężników kamiennych ulicznych na ławie z betonu</w:t>
      </w:r>
      <w:r w:rsidR="00582D07">
        <w:rPr>
          <w:rFonts w:asciiTheme="minorHAnsi" w:hAnsiTheme="minorHAnsi"/>
        </w:rPr>
        <w:t xml:space="preserve"> </w:t>
      </w:r>
      <w:r w:rsidR="00582D07" w:rsidRPr="00C3299C">
        <w:rPr>
          <w:rFonts w:ascii="Calibri" w:hAnsi="Calibri" w:cs="Calibri"/>
        </w:rPr>
        <w:t>w związku z „</w:t>
      </w:r>
      <w:r w:rsidR="00582D07" w:rsidRPr="00C3299C">
        <w:rPr>
          <w:rFonts w:asciiTheme="minorHAnsi" w:hAnsiTheme="minorHAnsi"/>
        </w:rPr>
        <w:t>Przebudową ul.55 Pułku Piechoty w Lesznie wraz z przebudową oświetlenia”</w:t>
      </w:r>
      <w:r w:rsidR="00582D07" w:rsidRPr="00C3299C">
        <w:rPr>
          <w:rFonts w:asciiTheme="minorHAnsi" w:hAnsiTheme="minorHAnsi" w:cs="Calibri"/>
        </w:rPr>
        <w:t>.</w:t>
      </w:r>
    </w:p>
    <w:p w:rsidR="00B97A47" w:rsidRPr="003511F4" w:rsidRDefault="00B97A47" w:rsidP="00B97A47">
      <w:pPr>
        <w:rPr>
          <w:rFonts w:asciiTheme="minorHAnsi" w:hAnsiTheme="minorHAnsi"/>
        </w:rPr>
      </w:pPr>
      <w:r w:rsidRPr="003511F4">
        <w:rPr>
          <w:rFonts w:asciiTheme="minorHAnsi" w:hAnsiTheme="minorHAnsi"/>
          <w:b/>
        </w:rPr>
        <w:t>1.4.</w:t>
      </w:r>
      <w:r w:rsidRPr="003511F4">
        <w:rPr>
          <w:rFonts w:asciiTheme="minorHAnsi" w:hAnsiTheme="minorHAnsi"/>
        </w:rPr>
        <w:t xml:space="preserve"> Określenia podstawowe</w:t>
      </w:r>
    </w:p>
    <w:p w:rsidR="00B97A47" w:rsidRPr="003511F4" w:rsidRDefault="00B97A47" w:rsidP="00B97A47">
      <w:pPr>
        <w:rPr>
          <w:rFonts w:asciiTheme="minorHAnsi" w:hAnsiTheme="minorHAnsi"/>
        </w:rPr>
      </w:pPr>
      <w:r w:rsidRPr="003511F4">
        <w:rPr>
          <w:rFonts w:asciiTheme="minorHAnsi" w:hAnsiTheme="minorHAnsi"/>
          <w:b/>
        </w:rPr>
        <w:t>1.4.1.</w:t>
      </w:r>
      <w:r w:rsidRPr="003511F4">
        <w:rPr>
          <w:rFonts w:asciiTheme="minorHAnsi" w:hAnsiTheme="minorHAnsi"/>
        </w:rPr>
        <w:t xml:space="preserve"> Krawężniki kamienne - belki kamienne ograniczające chodniki dla pieszych, pasy dzielące, wyspy kierujące oraz nawierzchnie drogowe.</w:t>
      </w:r>
    </w:p>
    <w:p w:rsidR="00B97A47" w:rsidRPr="003511F4" w:rsidRDefault="00B97A47" w:rsidP="00B97A47">
      <w:pPr>
        <w:rPr>
          <w:rFonts w:asciiTheme="minorHAnsi" w:hAnsiTheme="minorHAnsi"/>
        </w:rPr>
      </w:pPr>
      <w:r w:rsidRPr="003511F4">
        <w:rPr>
          <w:rFonts w:asciiTheme="minorHAnsi" w:hAnsiTheme="minorHAnsi"/>
          <w:b/>
        </w:rPr>
        <w:t>1.4.2.</w:t>
      </w:r>
      <w:r w:rsidRPr="003511F4">
        <w:rPr>
          <w:rFonts w:asciiTheme="minorHAnsi" w:hAnsiTheme="minorHAnsi"/>
        </w:rPr>
        <w:t xml:space="preserve"> Pozostałe określenia podstawowe są zgodne z obowiązującymi, odpowiednimi polskimi normami i z definicjami podanymi w ST D-M-00.00.00 „Wymagania ogólne” pkt 1.4.</w:t>
      </w:r>
    </w:p>
    <w:p w:rsidR="00B97A47" w:rsidRPr="003511F4" w:rsidRDefault="00B97A47" w:rsidP="00B97A47">
      <w:pPr>
        <w:rPr>
          <w:rFonts w:asciiTheme="minorHAnsi" w:hAnsiTheme="minorHAnsi"/>
        </w:rPr>
      </w:pPr>
      <w:r w:rsidRPr="003511F4">
        <w:rPr>
          <w:rFonts w:asciiTheme="minorHAnsi" w:hAnsiTheme="minorHAnsi"/>
          <w:b/>
        </w:rPr>
        <w:t>1.5.</w:t>
      </w:r>
      <w:r w:rsidRPr="003511F4">
        <w:rPr>
          <w:rFonts w:asciiTheme="minorHAnsi" w:hAnsiTheme="minorHAnsi"/>
        </w:rPr>
        <w:t xml:space="preserve"> Ogólne wymagania dotyczące robót</w:t>
      </w:r>
    </w:p>
    <w:p w:rsidR="00B97A47" w:rsidRPr="003511F4" w:rsidRDefault="00B97A47" w:rsidP="00B97A47">
      <w:pPr>
        <w:rPr>
          <w:rFonts w:asciiTheme="minorHAnsi" w:hAnsiTheme="minorHAnsi"/>
        </w:rPr>
      </w:pPr>
      <w:r w:rsidRPr="003511F4">
        <w:rPr>
          <w:rFonts w:asciiTheme="minorHAnsi" w:hAnsiTheme="minorHAnsi"/>
        </w:rPr>
        <w:tab/>
        <w:t>Ogólne wymagania dotyczące robót podano w ST D-M-00.00.00 „Wymagania ogólne” pkt 1.5.</w:t>
      </w:r>
    </w:p>
    <w:p w:rsidR="00B97A47" w:rsidRPr="003511F4" w:rsidRDefault="00B97A47" w:rsidP="00B97A47">
      <w:pPr>
        <w:rPr>
          <w:rFonts w:asciiTheme="minorHAnsi" w:hAnsiTheme="minorHAnsi"/>
          <w:b/>
        </w:rPr>
      </w:pPr>
      <w:r w:rsidRPr="003511F4">
        <w:rPr>
          <w:rFonts w:asciiTheme="minorHAnsi" w:hAnsiTheme="minorHAnsi"/>
          <w:b/>
        </w:rPr>
        <w:t>2. MATERIAŁY</w:t>
      </w:r>
    </w:p>
    <w:p w:rsidR="00B97A47" w:rsidRPr="003511F4" w:rsidRDefault="00B97A47" w:rsidP="00B97A47">
      <w:pPr>
        <w:rPr>
          <w:rFonts w:asciiTheme="minorHAnsi" w:hAnsiTheme="minorHAnsi"/>
        </w:rPr>
      </w:pPr>
      <w:r w:rsidRPr="003511F4">
        <w:rPr>
          <w:rFonts w:asciiTheme="minorHAnsi" w:hAnsiTheme="minorHAnsi"/>
          <w:b/>
        </w:rPr>
        <w:t>2.1.</w:t>
      </w:r>
      <w:r w:rsidRPr="003511F4">
        <w:rPr>
          <w:rFonts w:asciiTheme="minorHAnsi" w:hAnsiTheme="minorHAnsi"/>
        </w:rPr>
        <w:t xml:space="preserve"> Ogólne wymagania dotyczące materiałów</w:t>
      </w:r>
    </w:p>
    <w:p w:rsidR="00B97A47" w:rsidRPr="003511F4" w:rsidRDefault="00B97A47" w:rsidP="00B97A47">
      <w:pPr>
        <w:rPr>
          <w:rFonts w:asciiTheme="minorHAnsi" w:hAnsiTheme="minorHAnsi"/>
        </w:rPr>
      </w:pPr>
      <w:r w:rsidRPr="003511F4">
        <w:rPr>
          <w:rFonts w:asciiTheme="minorHAnsi" w:hAnsiTheme="minorHAnsi"/>
        </w:rPr>
        <w:tab/>
        <w:t>Ogólne wymagania dotyczące materiałów, ich pozyskiwania i składowania, podano w  ST D-M-00.00.00 „Wymagania ogólne” pkt 2.</w:t>
      </w:r>
    </w:p>
    <w:p w:rsidR="00B97A47" w:rsidRPr="003511F4" w:rsidRDefault="00B97A47" w:rsidP="00B97A47">
      <w:pPr>
        <w:rPr>
          <w:rFonts w:asciiTheme="minorHAnsi" w:hAnsiTheme="minorHAnsi"/>
        </w:rPr>
      </w:pPr>
      <w:r w:rsidRPr="003511F4">
        <w:rPr>
          <w:rFonts w:asciiTheme="minorHAnsi" w:hAnsiTheme="minorHAnsi"/>
          <w:b/>
        </w:rPr>
        <w:t>2.2.</w:t>
      </w:r>
      <w:r w:rsidRPr="003511F4">
        <w:rPr>
          <w:rFonts w:asciiTheme="minorHAnsi" w:hAnsiTheme="minorHAnsi"/>
        </w:rPr>
        <w:t xml:space="preserve"> Stosowane materiały</w:t>
      </w:r>
    </w:p>
    <w:p w:rsidR="00B97A47" w:rsidRPr="003511F4" w:rsidRDefault="00B97A47" w:rsidP="00B97A47">
      <w:pPr>
        <w:rPr>
          <w:rFonts w:asciiTheme="minorHAnsi" w:hAnsiTheme="minorHAnsi"/>
        </w:rPr>
      </w:pPr>
      <w:r w:rsidRPr="003511F4">
        <w:rPr>
          <w:rFonts w:asciiTheme="minorHAnsi" w:hAnsiTheme="minorHAnsi"/>
        </w:rPr>
        <w:tab/>
        <w:t>Materiałami stosowanymi do wykonania krawężników kamiennych  są:</w:t>
      </w:r>
    </w:p>
    <w:p w:rsidR="00B97A47" w:rsidRPr="003511F4" w:rsidRDefault="00B97A47" w:rsidP="00B97A47">
      <w:pPr>
        <w:rPr>
          <w:rFonts w:asciiTheme="minorHAnsi" w:hAnsiTheme="minorHAnsi"/>
        </w:rPr>
      </w:pPr>
      <w:r>
        <w:rPr>
          <w:rFonts w:asciiTheme="minorHAnsi" w:hAnsiTheme="minorHAnsi"/>
        </w:rPr>
        <w:t>-</w:t>
      </w:r>
      <w:r w:rsidRPr="003511F4">
        <w:rPr>
          <w:rFonts w:asciiTheme="minorHAnsi" w:hAnsiTheme="minorHAnsi"/>
        </w:rPr>
        <w:t>krawężniki odpowiadające wymaganiom BN-66/6775-01,</w:t>
      </w:r>
    </w:p>
    <w:p w:rsidR="00B97A47" w:rsidRPr="003511F4" w:rsidRDefault="00B97A47" w:rsidP="00B97A47">
      <w:pPr>
        <w:rPr>
          <w:rFonts w:asciiTheme="minorHAnsi" w:hAnsiTheme="minorHAnsi"/>
        </w:rPr>
      </w:pPr>
      <w:r>
        <w:rPr>
          <w:rFonts w:asciiTheme="minorHAnsi" w:hAnsiTheme="minorHAnsi"/>
        </w:rPr>
        <w:t>-</w:t>
      </w:r>
      <w:r w:rsidRPr="003511F4">
        <w:rPr>
          <w:rFonts w:asciiTheme="minorHAnsi" w:hAnsiTheme="minorHAnsi"/>
        </w:rPr>
        <w:t>piasek na podsypkę,</w:t>
      </w:r>
    </w:p>
    <w:p w:rsidR="00B97A47" w:rsidRPr="003511F4" w:rsidRDefault="00B97A47" w:rsidP="00B97A47">
      <w:pPr>
        <w:rPr>
          <w:rFonts w:asciiTheme="minorHAnsi" w:hAnsiTheme="minorHAnsi"/>
        </w:rPr>
      </w:pPr>
      <w:r>
        <w:rPr>
          <w:rFonts w:asciiTheme="minorHAnsi" w:hAnsiTheme="minorHAnsi"/>
        </w:rPr>
        <w:t>-</w:t>
      </w:r>
      <w:r w:rsidRPr="003511F4">
        <w:rPr>
          <w:rFonts w:asciiTheme="minorHAnsi" w:hAnsiTheme="minorHAnsi"/>
        </w:rPr>
        <w:t>cement do podsypki cementowo-piaskowej i zaprawy,</w:t>
      </w:r>
    </w:p>
    <w:p w:rsidR="00B97A47" w:rsidRPr="003511F4" w:rsidRDefault="00B97A47" w:rsidP="00B97A47">
      <w:pPr>
        <w:rPr>
          <w:rFonts w:asciiTheme="minorHAnsi" w:hAnsiTheme="minorHAnsi"/>
        </w:rPr>
      </w:pPr>
      <w:r>
        <w:rPr>
          <w:rFonts w:asciiTheme="minorHAnsi" w:hAnsiTheme="minorHAnsi"/>
        </w:rPr>
        <w:t>-</w:t>
      </w:r>
      <w:r w:rsidRPr="003511F4">
        <w:rPr>
          <w:rFonts w:asciiTheme="minorHAnsi" w:hAnsiTheme="minorHAnsi"/>
        </w:rPr>
        <w:t>woda,</w:t>
      </w:r>
    </w:p>
    <w:p w:rsidR="00B97A47" w:rsidRPr="003511F4" w:rsidRDefault="00B97A47" w:rsidP="00B97A47">
      <w:pPr>
        <w:rPr>
          <w:rFonts w:asciiTheme="minorHAnsi" w:hAnsiTheme="minorHAnsi"/>
        </w:rPr>
      </w:pPr>
      <w:r>
        <w:rPr>
          <w:rFonts w:asciiTheme="minorHAnsi" w:hAnsiTheme="minorHAnsi"/>
        </w:rPr>
        <w:t>-</w:t>
      </w:r>
      <w:r w:rsidRPr="003511F4">
        <w:rPr>
          <w:rFonts w:asciiTheme="minorHAnsi" w:hAnsiTheme="minorHAnsi"/>
        </w:rPr>
        <w:t>oraz materiały do wykonania ław pod ustawienie krawężników, zgodnie z ST D-08.01.01 „Krawężniki betonowe”.</w:t>
      </w:r>
    </w:p>
    <w:p w:rsidR="00B97A47" w:rsidRPr="003511F4" w:rsidRDefault="00B97A47" w:rsidP="00B97A47">
      <w:pPr>
        <w:rPr>
          <w:rFonts w:asciiTheme="minorHAnsi" w:hAnsiTheme="minorHAnsi"/>
        </w:rPr>
      </w:pPr>
      <w:r w:rsidRPr="003511F4">
        <w:rPr>
          <w:rFonts w:asciiTheme="minorHAnsi" w:hAnsiTheme="minorHAnsi"/>
          <w:b/>
        </w:rPr>
        <w:t>2.3.</w:t>
      </w:r>
      <w:r w:rsidRPr="003511F4">
        <w:rPr>
          <w:rFonts w:asciiTheme="minorHAnsi" w:hAnsiTheme="minorHAnsi"/>
        </w:rPr>
        <w:t xml:space="preserve"> Krawężniki kamienne - klasyfikacja</w:t>
      </w:r>
    </w:p>
    <w:p w:rsidR="00B97A47" w:rsidRPr="003511F4" w:rsidRDefault="00B97A47" w:rsidP="00B97A47">
      <w:pPr>
        <w:rPr>
          <w:rFonts w:asciiTheme="minorHAnsi" w:hAnsiTheme="minorHAnsi"/>
        </w:rPr>
      </w:pPr>
      <w:r w:rsidRPr="00A15B5F">
        <w:rPr>
          <w:rFonts w:asciiTheme="minorHAnsi" w:hAnsiTheme="minorHAnsi"/>
          <w:b/>
        </w:rPr>
        <w:t>2.3.1.</w:t>
      </w:r>
      <w:r w:rsidRPr="003511F4">
        <w:rPr>
          <w:rFonts w:asciiTheme="minorHAnsi" w:hAnsiTheme="minorHAnsi"/>
        </w:rPr>
        <w:t xml:space="preserve"> Rodzaje</w:t>
      </w:r>
    </w:p>
    <w:p w:rsidR="00B97A47" w:rsidRPr="003511F4" w:rsidRDefault="00B97A47" w:rsidP="00B97A47">
      <w:pPr>
        <w:rPr>
          <w:rFonts w:asciiTheme="minorHAnsi" w:hAnsiTheme="minorHAnsi"/>
        </w:rPr>
      </w:pPr>
      <w:r w:rsidRPr="003511F4">
        <w:rPr>
          <w:rFonts w:asciiTheme="minorHAnsi" w:hAnsiTheme="minorHAnsi"/>
        </w:rPr>
        <w:tab/>
        <w:t>W zależności od kształtu przekroju poprzecznego, względnie od faktury obróbki powierzchni widocznych,  rozróżnia się w każdym z typów dwa rodzaje krawężników:            A i B.</w:t>
      </w:r>
    </w:p>
    <w:p w:rsidR="00B97A47" w:rsidRPr="003511F4" w:rsidRDefault="00B97A47" w:rsidP="00B97A47">
      <w:pPr>
        <w:rPr>
          <w:rFonts w:asciiTheme="minorHAnsi" w:hAnsiTheme="minorHAnsi"/>
        </w:rPr>
      </w:pPr>
      <w:r w:rsidRPr="00A15B5F">
        <w:rPr>
          <w:rFonts w:asciiTheme="minorHAnsi" w:hAnsiTheme="minorHAnsi"/>
          <w:b/>
        </w:rPr>
        <w:t>2.3.2.</w:t>
      </w:r>
      <w:r w:rsidRPr="003511F4">
        <w:rPr>
          <w:rFonts w:asciiTheme="minorHAnsi" w:hAnsiTheme="minorHAnsi"/>
        </w:rPr>
        <w:t xml:space="preserve"> Wielkości</w:t>
      </w:r>
    </w:p>
    <w:p w:rsidR="00B97A47" w:rsidRPr="003511F4" w:rsidRDefault="00B97A47" w:rsidP="00B97A47">
      <w:pPr>
        <w:rPr>
          <w:rFonts w:asciiTheme="minorHAnsi" w:hAnsiTheme="minorHAnsi"/>
        </w:rPr>
      </w:pPr>
      <w:r w:rsidRPr="003511F4">
        <w:rPr>
          <w:rFonts w:asciiTheme="minorHAnsi" w:hAnsiTheme="minorHAnsi"/>
        </w:rPr>
        <w:tab/>
        <w:t>W zależności od wymiaru wysokości krawężnika rozróżnia się dwa rodzaje krawężnika ulicznego: o wysokości 35 i 25 cm.</w:t>
      </w:r>
    </w:p>
    <w:p w:rsidR="00B97A47" w:rsidRPr="003511F4" w:rsidRDefault="00B97A47" w:rsidP="00B97A47">
      <w:pPr>
        <w:rPr>
          <w:rFonts w:asciiTheme="minorHAnsi" w:hAnsiTheme="minorHAnsi"/>
        </w:rPr>
      </w:pPr>
      <w:r w:rsidRPr="00A15B5F">
        <w:rPr>
          <w:rFonts w:asciiTheme="minorHAnsi" w:hAnsiTheme="minorHAnsi"/>
          <w:b/>
        </w:rPr>
        <w:t>2.3.3.</w:t>
      </w:r>
      <w:r w:rsidRPr="003511F4">
        <w:rPr>
          <w:rFonts w:asciiTheme="minorHAnsi" w:hAnsiTheme="minorHAnsi"/>
        </w:rPr>
        <w:t xml:space="preserve"> Klasy</w:t>
      </w:r>
    </w:p>
    <w:p w:rsidR="00B97A47" w:rsidRPr="003511F4" w:rsidRDefault="00B97A47" w:rsidP="00B97A47">
      <w:pPr>
        <w:rPr>
          <w:rFonts w:asciiTheme="minorHAnsi" w:hAnsiTheme="minorHAnsi"/>
        </w:rPr>
      </w:pPr>
      <w:r w:rsidRPr="003511F4">
        <w:rPr>
          <w:rFonts w:asciiTheme="minorHAnsi" w:hAnsiTheme="minorHAnsi"/>
        </w:rPr>
        <w:tab/>
        <w:t>W zależności od cech fizycznych i wytrzymałościowych materiału kamiennego, użytego do wyrobu krawężników, rozróżnia się trzy klasy:</w:t>
      </w:r>
    </w:p>
    <w:p w:rsidR="00B97A47" w:rsidRPr="003511F4" w:rsidRDefault="00B97A47" w:rsidP="00B97A47">
      <w:pPr>
        <w:rPr>
          <w:rFonts w:asciiTheme="minorHAnsi" w:hAnsiTheme="minorHAnsi"/>
        </w:rPr>
      </w:pPr>
      <w:r>
        <w:rPr>
          <w:rFonts w:asciiTheme="minorHAnsi" w:hAnsiTheme="minorHAnsi"/>
        </w:rPr>
        <w:t>-</w:t>
      </w:r>
      <w:r w:rsidRPr="003511F4">
        <w:rPr>
          <w:rFonts w:asciiTheme="minorHAnsi" w:hAnsiTheme="minorHAnsi"/>
        </w:rPr>
        <w:t>klasa I,</w:t>
      </w:r>
    </w:p>
    <w:p w:rsidR="00B97A47" w:rsidRPr="003511F4" w:rsidRDefault="00B97A47" w:rsidP="00B97A47">
      <w:pPr>
        <w:rPr>
          <w:rFonts w:asciiTheme="minorHAnsi" w:hAnsiTheme="minorHAnsi"/>
        </w:rPr>
      </w:pPr>
      <w:r>
        <w:rPr>
          <w:rFonts w:asciiTheme="minorHAnsi" w:hAnsiTheme="minorHAnsi"/>
        </w:rPr>
        <w:t>-</w:t>
      </w:r>
      <w:r w:rsidRPr="003511F4">
        <w:rPr>
          <w:rFonts w:asciiTheme="minorHAnsi" w:hAnsiTheme="minorHAnsi"/>
        </w:rPr>
        <w:t>klasa II,</w:t>
      </w:r>
    </w:p>
    <w:p w:rsidR="00B97A47" w:rsidRPr="003511F4" w:rsidRDefault="00B97A47" w:rsidP="00B97A47">
      <w:pPr>
        <w:rPr>
          <w:rFonts w:asciiTheme="minorHAnsi" w:hAnsiTheme="minorHAnsi"/>
        </w:rPr>
      </w:pPr>
      <w:r>
        <w:rPr>
          <w:rFonts w:asciiTheme="minorHAnsi" w:hAnsiTheme="minorHAnsi"/>
        </w:rPr>
        <w:t>-</w:t>
      </w:r>
      <w:r w:rsidRPr="003511F4">
        <w:rPr>
          <w:rFonts w:asciiTheme="minorHAnsi" w:hAnsiTheme="minorHAnsi"/>
        </w:rPr>
        <w:t>klasa III.</w:t>
      </w:r>
    </w:p>
    <w:p w:rsidR="00B97A47" w:rsidRPr="003511F4" w:rsidRDefault="00B97A47" w:rsidP="00B97A47">
      <w:pPr>
        <w:rPr>
          <w:rFonts w:asciiTheme="minorHAnsi" w:hAnsiTheme="minorHAnsi"/>
        </w:rPr>
      </w:pPr>
      <w:r w:rsidRPr="003511F4">
        <w:rPr>
          <w:rFonts w:asciiTheme="minorHAnsi" w:hAnsiTheme="minorHAnsi"/>
        </w:rPr>
        <w:tab/>
        <w:t>Przykład oznaczenia krawężnika kamiennego ulicznego prostego (UP) rodzaju B, wielkości 35, klasy II:   krawężnik UPB35II   BN-66/6775-01.</w:t>
      </w:r>
    </w:p>
    <w:p w:rsidR="00B97A47" w:rsidRPr="003511F4" w:rsidRDefault="00B97A47" w:rsidP="00B97A47">
      <w:pPr>
        <w:rPr>
          <w:rFonts w:asciiTheme="minorHAnsi" w:hAnsiTheme="minorHAnsi"/>
        </w:rPr>
      </w:pPr>
      <w:r w:rsidRPr="00A15B5F">
        <w:rPr>
          <w:rFonts w:asciiTheme="minorHAnsi" w:hAnsiTheme="minorHAnsi"/>
          <w:b/>
        </w:rPr>
        <w:t>2.4.</w:t>
      </w:r>
      <w:r w:rsidRPr="003511F4">
        <w:rPr>
          <w:rFonts w:asciiTheme="minorHAnsi" w:hAnsiTheme="minorHAnsi"/>
        </w:rPr>
        <w:t xml:space="preserve"> Krawężniki kamienne - wymagania techniczne</w:t>
      </w:r>
    </w:p>
    <w:p w:rsidR="00B97A47" w:rsidRPr="003511F4" w:rsidRDefault="00B97A47" w:rsidP="00B97A47">
      <w:pPr>
        <w:rPr>
          <w:rFonts w:asciiTheme="minorHAnsi" w:hAnsiTheme="minorHAnsi"/>
        </w:rPr>
      </w:pPr>
      <w:r w:rsidRPr="00A15B5F">
        <w:rPr>
          <w:rFonts w:asciiTheme="minorHAnsi" w:hAnsiTheme="minorHAnsi"/>
          <w:b/>
        </w:rPr>
        <w:t>2.4.1.</w:t>
      </w:r>
      <w:r w:rsidRPr="003511F4">
        <w:rPr>
          <w:rFonts w:asciiTheme="minorHAnsi" w:hAnsiTheme="minorHAnsi"/>
        </w:rPr>
        <w:t xml:space="preserve"> Cechy fizyczne i wytrzymałościowe</w:t>
      </w:r>
    </w:p>
    <w:p w:rsidR="00B97A47" w:rsidRDefault="00B97A47" w:rsidP="00B97A47">
      <w:pPr>
        <w:rPr>
          <w:rFonts w:asciiTheme="minorHAnsi" w:hAnsiTheme="minorHAnsi"/>
        </w:rPr>
      </w:pPr>
      <w:r w:rsidRPr="003511F4">
        <w:rPr>
          <w:rFonts w:asciiTheme="minorHAnsi" w:hAnsiTheme="minorHAnsi"/>
        </w:rPr>
        <w:tab/>
        <w:t>Materiałem do wyrobu krawężników są bloki kamienne ze skał magmowych, osadowych lub metamorficznych, k</w:t>
      </w:r>
      <w:r>
        <w:rPr>
          <w:rFonts w:asciiTheme="minorHAnsi" w:hAnsiTheme="minorHAnsi"/>
        </w:rPr>
        <w:t>lasy I i II wg BN-62/6716-04</w:t>
      </w:r>
      <w:r w:rsidRPr="003511F4">
        <w:rPr>
          <w:rFonts w:asciiTheme="minorHAnsi" w:hAnsiTheme="minorHAnsi"/>
        </w:rPr>
        <w:t xml:space="preserve"> o cechach fizycznych i wytrzymałościowych określonych w tablicy 1.</w:t>
      </w:r>
    </w:p>
    <w:p w:rsidR="00B97A47" w:rsidRPr="003511F4" w:rsidRDefault="00B97A47" w:rsidP="00B97A47">
      <w:pPr>
        <w:rPr>
          <w:rFonts w:asciiTheme="minorHAnsi" w:hAnsiTheme="minorHAnsi"/>
        </w:rPr>
      </w:pPr>
    </w:p>
    <w:p w:rsidR="00B97A47" w:rsidRPr="003511F4" w:rsidRDefault="00B97A47" w:rsidP="00B97A47">
      <w:pPr>
        <w:ind w:left="709"/>
        <w:rPr>
          <w:rFonts w:asciiTheme="minorHAnsi" w:hAnsiTheme="minorHAnsi"/>
        </w:rPr>
      </w:pPr>
      <w:r w:rsidRPr="003511F4">
        <w:rPr>
          <w:rFonts w:asciiTheme="minorHAnsi" w:hAnsiTheme="minorHAnsi"/>
        </w:rPr>
        <w:t>Tablica 1. Cechy fizyczne i wytrzymałościowe krawężników kamiennych</w:t>
      </w:r>
    </w:p>
    <w:tbl>
      <w:tblPr>
        <w:tblW w:w="7513" w:type="dxa"/>
        <w:tblInd w:w="779" w:type="dxa"/>
        <w:tblLayout w:type="fixed"/>
        <w:tblCellMar>
          <w:left w:w="70" w:type="dxa"/>
          <w:right w:w="70" w:type="dxa"/>
        </w:tblCellMar>
        <w:tblLook w:val="0000"/>
      </w:tblPr>
      <w:tblGrid>
        <w:gridCol w:w="496"/>
        <w:gridCol w:w="3402"/>
        <w:gridCol w:w="1205"/>
        <w:gridCol w:w="1205"/>
        <w:gridCol w:w="1205"/>
      </w:tblGrid>
      <w:tr w:rsidR="00B97A47" w:rsidRPr="003511F4" w:rsidTr="00C26550">
        <w:tc>
          <w:tcPr>
            <w:tcW w:w="496" w:type="dxa"/>
            <w:tcBorders>
              <w:top w:val="single" w:sz="6" w:space="0" w:color="auto"/>
              <w:left w:val="single" w:sz="6" w:space="0" w:color="auto"/>
            </w:tcBorders>
          </w:tcPr>
          <w:p w:rsidR="00B97A47" w:rsidRPr="003511F4" w:rsidRDefault="00B97A47" w:rsidP="00C26550">
            <w:pPr>
              <w:numPr>
                <w:ilvl w:val="12"/>
                <w:numId w:val="0"/>
              </w:numPr>
              <w:spacing w:before="60"/>
              <w:jc w:val="center"/>
              <w:rPr>
                <w:rFonts w:asciiTheme="minorHAnsi" w:hAnsiTheme="minorHAnsi"/>
                <w:sz w:val="18"/>
                <w:szCs w:val="18"/>
              </w:rPr>
            </w:pPr>
            <w:r w:rsidRPr="003511F4">
              <w:rPr>
                <w:rFonts w:asciiTheme="minorHAnsi" w:hAnsiTheme="minorHAnsi"/>
                <w:sz w:val="18"/>
                <w:szCs w:val="18"/>
              </w:rPr>
              <w:t>Lp.</w:t>
            </w:r>
          </w:p>
        </w:tc>
        <w:tc>
          <w:tcPr>
            <w:tcW w:w="3402" w:type="dxa"/>
            <w:tcBorders>
              <w:top w:val="single" w:sz="6" w:space="0" w:color="auto"/>
              <w:left w:val="single" w:sz="6" w:space="0" w:color="auto"/>
            </w:tcBorders>
          </w:tcPr>
          <w:p w:rsidR="00B97A47" w:rsidRPr="003511F4" w:rsidRDefault="00B97A47" w:rsidP="00C26550">
            <w:pPr>
              <w:numPr>
                <w:ilvl w:val="12"/>
                <w:numId w:val="0"/>
              </w:numPr>
              <w:spacing w:before="60"/>
              <w:jc w:val="center"/>
              <w:rPr>
                <w:rFonts w:asciiTheme="minorHAnsi" w:hAnsiTheme="minorHAnsi"/>
                <w:sz w:val="18"/>
                <w:szCs w:val="18"/>
              </w:rPr>
            </w:pPr>
            <w:r w:rsidRPr="003511F4">
              <w:rPr>
                <w:rFonts w:asciiTheme="minorHAnsi" w:hAnsiTheme="minorHAnsi"/>
                <w:sz w:val="18"/>
                <w:szCs w:val="18"/>
              </w:rPr>
              <w:t>Cechy fizyczne</w:t>
            </w:r>
          </w:p>
        </w:tc>
        <w:tc>
          <w:tcPr>
            <w:tcW w:w="3615" w:type="dxa"/>
            <w:gridSpan w:val="3"/>
            <w:tcBorders>
              <w:top w:val="single" w:sz="6" w:space="0" w:color="auto"/>
              <w:left w:val="single" w:sz="6" w:space="0" w:color="auto"/>
              <w:bottom w:val="single" w:sz="6" w:space="0" w:color="auto"/>
              <w:right w:val="single" w:sz="6" w:space="0" w:color="auto"/>
            </w:tcBorders>
          </w:tcPr>
          <w:p w:rsidR="00B97A47" w:rsidRPr="003511F4" w:rsidRDefault="00B97A47" w:rsidP="00C26550">
            <w:pPr>
              <w:numPr>
                <w:ilvl w:val="12"/>
                <w:numId w:val="0"/>
              </w:numPr>
              <w:spacing w:before="60"/>
              <w:jc w:val="center"/>
              <w:rPr>
                <w:rFonts w:asciiTheme="minorHAnsi" w:hAnsiTheme="minorHAnsi"/>
                <w:sz w:val="18"/>
                <w:szCs w:val="18"/>
              </w:rPr>
            </w:pPr>
            <w:r w:rsidRPr="003511F4">
              <w:rPr>
                <w:rFonts w:asciiTheme="minorHAnsi" w:hAnsiTheme="minorHAnsi"/>
                <w:sz w:val="18"/>
                <w:szCs w:val="18"/>
              </w:rPr>
              <w:t>Klasa</w:t>
            </w:r>
          </w:p>
        </w:tc>
      </w:tr>
      <w:tr w:rsidR="00B97A47" w:rsidRPr="003511F4" w:rsidTr="00C26550">
        <w:tc>
          <w:tcPr>
            <w:tcW w:w="496" w:type="dxa"/>
            <w:tcBorders>
              <w:left w:val="single" w:sz="6" w:space="0" w:color="auto"/>
              <w:bottom w:val="double" w:sz="6" w:space="0" w:color="auto"/>
              <w:right w:val="single" w:sz="6" w:space="0" w:color="auto"/>
            </w:tcBorders>
          </w:tcPr>
          <w:p w:rsidR="00B97A47" w:rsidRPr="003511F4" w:rsidRDefault="00B97A47" w:rsidP="00C26550">
            <w:pPr>
              <w:numPr>
                <w:ilvl w:val="12"/>
                <w:numId w:val="0"/>
              </w:numPr>
              <w:spacing w:after="60"/>
              <w:jc w:val="center"/>
              <w:rPr>
                <w:rFonts w:asciiTheme="minorHAnsi" w:hAnsiTheme="minorHAnsi"/>
                <w:sz w:val="18"/>
                <w:szCs w:val="18"/>
              </w:rPr>
            </w:pPr>
          </w:p>
        </w:tc>
        <w:tc>
          <w:tcPr>
            <w:tcW w:w="3402" w:type="dxa"/>
            <w:tcBorders>
              <w:bottom w:val="double" w:sz="6" w:space="0" w:color="auto"/>
            </w:tcBorders>
          </w:tcPr>
          <w:p w:rsidR="00B97A47" w:rsidRPr="003511F4" w:rsidRDefault="00B97A47" w:rsidP="00C26550">
            <w:pPr>
              <w:numPr>
                <w:ilvl w:val="12"/>
                <w:numId w:val="0"/>
              </w:numPr>
              <w:spacing w:after="60"/>
              <w:jc w:val="center"/>
              <w:rPr>
                <w:rFonts w:asciiTheme="minorHAnsi" w:hAnsiTheme="minorHAnsi"/>
                <w:sz w:val="18"/>
                <w:szCs w:val="18"/>
              </w:rPr>
            </w:pPr>
            <w:r w:rsidRPr="003511F4">
              <w:rPr>
                <w:rFonts w:asciiTheme="minorHAnsi" w:hAnsiTheme="minorHAnsi"/>
                <w:sz w:val="18"/>
                <w:szCs w:val="18"/>
              </w:rPr>
              <w:t>i wytrzymałościowe</w:t>
            </w:r>
          </w:p>
        </w:tc>
        <w:tc>
          <w:tcPr>
            <w:tcW w:w="1205" w:type="dxa"/>
            <w:tcBorders>
              <w:top w:val="single" w:sz="6" w:space="0" w:color="auto"/>
              <w:left w:val="single" w:sz="6" w:space="0" w:color="auto"/>
              <w:bottom w:val="double" w:sz="6" w:space="0" w:color="auto"/>
              <w:right w:val="single" w:sz="6" w:space="0" w:color="auto"/>
            </w:tcBorders>
          </w:tcPr>
          <w:p w:rsidR="00B97A47" w:rsidRPr="003511F4" w:rsidRDefault="00B97A47" w:rsidP="00C26550">
            <w:pPr>
              <w:numPr>
                <w:ilvl w:val="12"/>
                <w:numId w:val="0"/>
              </w:numPr>
              <w:spacing w:after="60"/>
              <w:jc w:val="center"/>
              <w:rPr>
                <w:rFonts w:asciiTheme="minorHAnsi" w:hAnsiTheme="minorHAnsi"/>
                <w:sz w:val="18"/>
                <w:szCs w:val="18"/>
              </w:rPr>
            </w:pPr>
            <w:r w:rsidRPr="003511F4">
              <w:rPr>
                <w:rFonts w:asciiTheme="minorHAnsi" w:hAnsiTheme="minorHAnsi"/>
                <w:sz w:val="18"/>
                <w:szCs w:val="18"/>
              </w:rPr>
              <w:t>I</w:t>
            </w:r>
          </w:p>
        </w:tc>
        <w:tc>
          <w:tcPr>
            <w:tcW w:w="1205" w:type="dxa"/>
            <w:tcBorders>
              <w:top w:val="single" w:sz="6" w:space="0" w:color="auto"/>
              <w:left w:val="single" w:sz="6" w:space="0" w:color="auto"/>
              <w:bottom w:val="double" w:sz="6" w:space="0" w:color="auto"/>
              <w:right w:val="single" w:sz="6" w:space="0" w:color="auto"/>
            </w:tcBorders>
          </w:tcPr>
          <w:p w:rsidR="00B97A47" w:rsidRPr="003511F4" w:rsidRDefault="00B97A47" w:rsidP="00C26550">
            <w:pPr>
              <w:numPr>
                <w:ilvl w:val="12"/>
                <w:numId w:val="0"/>
              </w:numPr>
              <w:spacing w:after="60"/>
              <w:jc w:val="center"/>
              <w:rPr>
                <w:rFonts w:asciiTheme="minorHAnsi" w:hAnsiTheme="minorHAnsi"/>
                <w:sz w:val="18"/>
                <w:szCs w:val="18"/>
              </w:rPr>
            </w:pPr>
            <w:r w:rsidRPr="003511F4">
              <w:rPr>
                <w:rFonts w:asciiTheme="minorHAnsi" w:hAnsiTheme="minorHAnsi"/>
                <w:sz w:val="18"/>
                <w:szCs w:val="18"/>
              </w:rPr>
              <w:t>II</w:t>
            </w:r>
          </w:p>
        </w:tc>
        <w:tc>
          <w:tcPr>
            <w:tcW w:w="1205" w:type="dxa"/>
            <w:tcBorders>
              <w:top w:val="single" w:sz="6" w:space="0" w:color="auto"/>
              <w:left w:val="single" w:sz="6" w:space="0" w:color="auto"/>
              <w:bottom w:val="double" w:sz="6" w:space="0" w:color="auto"/>
              <w:right w:val="single" w:sz="6" w:space="0" w:color="auto"/>
            </w:tcBorders>
          </w:tcPr>
          <w:p w:rsidR="00B97A47" w:rsidRPr="003511F4" w:rsidRDefault="00B97A47" w:rsidP="00C26550">
            <w:pPr>
              <w:numPr>
                <w:ilvl w:val="12"/>
                <w:numId w:val="0"/>
              </w:numPr>
              <w:spacing w:after="60"/>
              <w:jc w:val="center"/>
              <w:rPr>
                <w:rFonts w:asciiTheme="minorHAnsi" w:hAnsiTheme="minorHAnsi"/>
                <w:sz w:val="18"/>
                <w:szCs w:val="18"/>
              </w:rPr>
            </w:pPr>
            <w:r w:rsidRPr="003511F4">
              <w:rPr>
                <w:rFonts w:asciiTheme="minorHAnsi" w:hAnsiTheme="minorHAnsi"/>
                <w:sz w:val="18"/>
                <w:szCs w:val="18"/>
              </w:rPr>
              <w:t>III</w:t>
            </w:r>
          </w:p>
        </w:tc>
      </w:tr>
      <w:tr w:rsidR="00B97A47" w:rsidRPr="003511F4" w:rsidTr="00C26550">
        <w:tc>
          <w:tcPr>
            <w:tcW w:w="496" w:type="dxa"/>
            <w:tcBorders>
              <w:left w:val="single" w:sz="6" w:space="0" w:color="auto"/>
              <w:bottom w:val="single" w:sz="6" w:space="0" w:color="auto"/>
              <w:right w:val="single" w:sz="6" w:space="0" w:color="auto"/>
            </w:tcBorders>
          </w:tcPr>
          <w:p w:rsidR="00B97A47" w:rsidRPr="003511F4" w:rsidRDefault="00B97A47" w:rsidP="00C26550">
            <w:pPr>
              <w:numPr>
                <w:ilvl w:val="12"/>
                <w:numId w:val="0"/>
              </w:numPr>
              <w:spacing w:before="60"/>
              <w:jc w:val="center"/>
              <w:rPr>
                <w:rFonts w:asciiTheme="minorHAnsi" w:hAnsiTheme="minorHAnsi"/>
                <w:sz w:val="18"/>
                <w:szCs w:val="18"/>
              </w:rPr>
            </w:pPr>
            <w:r w:rsidRPr="003511F4">
              <w:rPr>
                <w:rFonts w:asciiTheme="minorHAnsi" w:hAnsiTheme="minorHAnsi"/>
                <w:sz w:val="18"/>
                <w:szCs w:val="18"/>
              </w:rPr>
              <w:t>1</w:t>
            </w:r>
          </w:p>
        </w:tc>
        <w:tc>
          <w:tcPr>
            <w:tcW w:w="3402" w:type="dxa"/>
            <w:tcBorders>
              <w:left w:val="single" w:sz="6" w:space="0" w:color="auto"/>
              <w:bottom w:val="single" w:sz="6" w:space="0" w:color="auto"/>
              <w:right w:val="single" w:sz="6" w:space="0" w:color="auto"/>
            </w:tcBorders>
          </w:tcPr>
          <w:p w:rsidR="00B97A47" w:rsidRPr="003511F4" w:rsidRDefault="00B97A47" w:rsidP="00C26550">
            <w:pPr>
              <w:numPr>
                <w:ilvl w:val="12"/>
                <w:numId w:val="0"/>
              </w:numPr>
              <w:spacing w:before="60" w:after="60"/>
              <w:rPr>
                <w:rFonts w:asciiTheme="minorHAnsi" w:hAnsiTheme="minorHAnsi"/>
                <w:sz w:val="18"/>
                <w:szCs w:val="18"/>
              </w:rPr>
            </w:pPr>
            <w:r w:rsidRPr="003511F4">
              <w:rPr>
                <w:rFonts w:asciiTheme="minorHAnsi" w:hAnsiTheme="minorHAnsi"/>
                <w:sz w:val="18"/>
                <w:szCs w:val="18"/>
              </w:rPr>
              <w:t>Wytrzymałość na ściskanie w stanie powietrzno-suchym, w kG/cm</w:t>
            </w:r>
            <w:r w:rsidRPr="003511F4">
              <w:rPr>
                <w:rFonts w:asciiTheme="minorHAnsi" w:hAnsiTheme="minorHAnsi"/>
                <w:sz w:val="18"/>
                <w:szCs w:val="18"/>
                <w:vertAlign w:val="superscript"/>
              </w:rPr>
              <w:t>2</w:t>
            </w:r>
            <w:r w:rsidRPr="003511F4">
              <w:rPr>
                <w:rFonts w:asciiTheme="minorHAnsi" w:hAnsiTheme="minorHAnsi"/>
                <w:sz w:val="18"/>
                <w:szCs w:val="18"/>
              </w:rPr>
              <w:t>, co najmniej</w:t>
            </w:r>
          </w:p>
        </w:tc>
        <w:tc>
          <w:tcPr>
            <w:tcW w:w="1205" w:type="dxa"/>
            <w:tcBorders>
              <w:left w:val="single" w:sz="6" w:space="0" w:color="auto"/>
              <w:bottom w:val="single" w:sz="6" w:space="0" w:color="auto"/>
              <w:right w:val="single" w:sz="6" w:space="0" w:color="auto"/>
            </w:tcBorders>
          </w:tcPr>
          <w:p w:rsidR="00B97A47" w:rsidRPr="003511F4" w:rsidRDefault="00B97A47" w:rsidP="00C26550">
            <w:pPr>
              <w:numPr>
                <w:ilvl w:val="12"/>
                <w:numId w:val="0"/>
              </w:numPr>
              <w:jc w:val="center"/>
              <w:rPr>
                <w:rFonts w:asciiTheme="minorHAnsi" w:hAnsiTheme="minorHAnsi"/>
                <w:sz w:val="18"/>
                <w:szCs w:val="18"/>
              </w:rPr>
            </w:pPr>
          </w:p>
          <w:p w:rsidR="00B97A47" w:rsidRPr="003511F4" w:rsidRDefault="00B97A47" w:rsidP="00C26550">
            <w:pPr>
              <w:numPr>
                <w:ilvl w:val="12"/>
                <w:numId w:val="0"/>
              </w:numPr>
              <w:spacing w:before="120"/>
              <w:jc w:val="center"/>
              <w:rPr>
                <w:rFonts w:asciiTheme="minorHAnsi" w:hAnsiTheme="minorHAnsi"/>
                <w:sz w:val="18"/>
                <w:szCs w:val="18"/>
              </w:rPr>
            </w:pPr>
            <w:r w:rsidRPr="003511F4">
              <w:rPr>
                <w:rFonts w:asciiTheme="minorHAnsi" w:hAnsiTheme="minorHAnsi"/>
                <w:sz w:val="18"/>
                <w:szCs w:val="18"/>
              </w:rPr>
              <w:t>1200</w:t>
            </w:r>
          </w:p>
        </w:tc>
        <w:tc>
          <w:tcPr>
            <w:tcW w:w="1205" w:type="dxa"/>
            <w:tcBorders>
              <w:left w:val="single" w:sz="6" w:space="0" w:color="auto"/>
              <w:bottom w:val="single" w:sz="6" w:space="0" w:color="auto"/>
              <w:right w:val="single" w:sz="6" w:space="0" w:color="auto"/>
            </w:tcBorders>
          </w:tcPr>
          <w:p w:rsidR="00B97A47" w:rsidRPr="003511F4" w:rsidRDefault="00B97A47" w:rsidP="00C26550">
            <w:pPr>
              <w:numPr>
                <w:ilvl w:val="12"/>
                <w:numId w:val="0"/>
              </w:numPr>
              <w:jc w:val="center"/>
              <w:rPr>
                <w:rFonts w:asciiTheme="minorHAnsi" w:hAnsiTheme="minorHAnsi"/>
                <w:sz w:val="18"/>
                <w:szCs w:val="18"/>
              </w:rPr>
            </w:pPr>
          </w:p>
          <w:p w:rsidR="00B97A47" w:rsidRPr="003511F4" w:rsidRDefault="00B97A47" w:rsidP="00C26550">
            <w:pPr>
              <w:numPr>
                <w:ilvl w:val="12"/>
                <w:numId w:val="0"/>
              </w:numPr>
              <w:spacing w:before="120"/>
              <w:jc w:val="center"/>
              <w:rPr>
                <w:rFonts w:asciiTheme="minorHAnsi" w:hAnsiTheme="minorHAnsi"/>
                <w:sz w:val="18"/>
                <w:szCs w:val="18"/>
              </w:rPr>
            </w:pPr>
            <w:r w:rsidRPr="003511F4">
              <w:rPr>
                <w:rFonts w:asciiTheme="minorHAnsi" w:hAnsiTheme="minorHAnsi"/>
                <w:sz w:val="18"/>
                <w:szCs w:val="18"/>
              </w:rPr>
              <w:t>1000</w:t>
            </w:r>
          </w:p>
        </w:tc>
        <w:tc>
          <w:tcPr>
            <w:tcW w:w="1205" w:type="dxa"/>
            <w:tcBorders>
              <w:left w:val="single" w:sz="6" w:space="0" w:color="auto"/>
              <w:bottom w:val="single" w:sz="6" w:space="0" w:color="auto"/>
              <w:right w:val="single" w:sz="6" w:space="0" w:color="auto"/>
            </w:tcBorders>
          </w:tcPr>
          <w:p w:rsidR="00B97A47" w:rsidRPr="003511F4" w:rsidRDefault="00B97A47" w:rsidP="00C26550">
            <w:pPr>
              <w:numPr>
                <w:ilvl w:val="12"/>
                <w:numId w:val="0"/>
              </w:numPr>
              <w:jc w:val="center"/>
              <w:rPr>
                <w:rFonts w:asciiTheme="minorHAnsi" w:hAnsiTheme="minorHAnsi"/>
                <w:sz w:val="18"/>
                <w:szCs w:val="18"/>
              </w:rPr>
            </w:pPr>
          </w:p>
          <w:p w:rsidR="00B97A47" w:rsidRPr="003511F4" w:rsidRDefault="00B97A47" w:rsidP="00C26550">
            <w:pPr>
              <w:numPr>
                <w:ilvl w:val="12"/>
                <w:numId w:val="0"/>
              </w:numPr>
              <w:spacing w:before="120"/>
              <w:jc w:val="center"/>
              <w:rPr>
                <w:rFonts w:asciiTheme="minorHAnsi" w:hAnsiTheme="minorHAnsi"/>
                <w:sz w:val="18"/>
                <w:szCs w:val="18"/>
              </w:rPr>
            </w:pPr>
            <w:r w:rsidRPr="003511F4">
              <w:rPr>
                <w:rFonts w:asciiTheme="minorHAnsi" w:hAnsiTheme="minorHAnsi"/>
                <w:sz w:val="18"/>
                <w:szCs w:val="18"/>
              </w:rPr>
              <w:t>600</w:t>
            </w:r>
          </w:p>
        </w:tc>
      </w:tr>
      <w:tr w:rsidR="00B97A47" w:rsidRPr="003511F4" w:rsidTr="00C26550">
        <w:tc>
          <w:tcPr>
            <w:tcW w:w="496" w:type="dxa"/>
            <w:tcBorders>
              <w:top w:val="single" w:sz="6" w:space="0" w:color="auto"/>
              <w:left w:val="single" w:sz="6" w:space="0" w:color="auto"/>
              <w:bottom w:val="single" w:sz="6" w:space="0" w:color="auto"/>
              <w:right w:val="single" w:sz="6" w:space="0" w:color="auto"/>
            </w:tcBorders>
          </w:tcPr>
          <w:p w:rsidR="00B97A47" w:rsidRPr="003511F4" w:rsidRDefault="00B97A47" w:rsidP="00C26550">
            <w:pPr>
              <w:numPr>
                <w:ilvl w:val="12"/>
                <w:numId w:val="0"/>
              </w:numPr>
              <w:spacing w:before="60" w:after="60"/>
              <w:jc w:val="center"/>
              <w:rPr>
                <w:rFonts w:asciiTheme="minorHAnsi" w:hAnsiTheme="minorHAnsi"/>
                <w:sz w:val="18"/>
                <w:szCs w:val="18"/>
              </w:rPr>
            </w:pPr>
            <w:r w:rsidRPr="003511F4">
              <w:rPr>
                <w:rFonts w:asciiTheme="minorHAnsi" w:hAnsiTheme="minorHAnsi"/>
                <w:sz w:val="18"/>
                <w:szCs w:val="18"/>
              </w:rPr>
              <w:lastRenderedPageBreak/>
              <w:t>2</w:t>
            </w:r>
          </w:p>
        </w:tc>
        <w:tc>
          <w:tcPr>
            <w:tcW w:w="3402" w:type="dxa"/>
            <w:tcBorders>
              <w:top w:val="single" w:sz="6" w:space="0" w:color="auto"/>
              <w:left w:val="single" w:sz="6" w:space="0" w:color="auto"/>
              <w:bottom w:val="single" w:sz="6" w:space="0" w:color="auto"/>
              <w:right w:val="single" w:sz="6" w:space="0" w:color="auto"/>
            </w:tcBorders>
          </w:tcPr>
          <w:p w:rsidR="00B97A47" w:rsidRPr="003511F4" w:rsidRDefault="00B97A47" w:rsidP="00C26550">
            <w:pPr>
              <w:numPr>
                <w:ilvl w:val="12"/>
                <w:numId w:val="0"/>
              </w:numPr>
              <w:spacing w:before="60" w:after="60"/>
              <w:rPr>
                <w:rFonts w:asciiTheme="minorHAnsi" w:hAnsiTheme="minorHAnsi"/>
                <w:sz w:val="18"/>
                <w:szCs w:val="18"/>
              </w:rPr>
            </w:pPr>
            <w:r w:rsidRPr="003511F4">
              <w:rPr>
                <w:rFonts w:asciiTheme="minorHAnsi" w:hAnsiTheme="minorHAnsi"/>
                <w:sz w:val="18"/>
                <w:szCs w:val="18"/>
              </w:rPr>
              <w:t>Ścieralność na tarczy Boehmego, w cm, nie więcej niż</w:t>
            </w:r>
          </w:p>
        </w:tc>
        <w:tc>
          <w:tcPr>
            <w:tcW w:w="1205" w:type="dxa"/>
            <w:tcBorders>
              <w:top w:val="single" w:sz="6" w:space="0" w:color="auto"/>
              <w:left w:val="single" w:sz="6" w:space="0" w:color="auto"/>
              <w:bottom w:val="single" w:sz="6" w:space="0" w:color="auto"/>
              <w:right w:val="single" w:sz="6" w:space="0" w:color="auto"/>
            </w:tcBorders>
          </w:tcPr>
          <w:p w:rsidR="00B97A47" w:rsidRPr="003511F4" w:rsidRDefault="00B97A47" w:rsidP="00C26550">
            <w:pPr>
              <w:numPr>
                <w:ilvl w:val="12"/>
                <w:numId w:val="0"/>
              </w:numPr>
              <w:spacing w:before="180"/>
              <w:jc w:val="center"/>
              <w:rPr>
                <w:rFonts w:asciiTheme="minorHAnsi" w:hAnsiTheme="minorHAnsi"/>
                <w:sz w:val="18"/>
                <w:szCs w:val="18"/>
              </w:rPr>
            </w:pPr>
            <w:r w:rsidRPr="003511F4">
              <w:rPr>
                <w:rFonts w:asciiTheme="minorHAnsi" w:hAnsiTheme="minorHAnsi"/>
                <w:sz w:val="18"/>
                <w:szCs w:val="18"/>
              </w:rPr>
              <w:t>0,25</w:t>
            </w:r>
          </w:p>
        </w:tc>
        <w:tc>
          <w:tcPr>
            <w:tcW w:w="1205" w:type="dxa"/>
            <w:tcBorders>
              <w:top w:val="single" w:sz="6" w:space="0" w:color="auto"/>
              <w:left w:val="single" w:sz="6" w:space="0" w:color="auto"/>
              <w:bottom w:val="single" w:sz="6" w:space="0" w:color="auto"/>
              <w:right w:val="single" w:sz="6" w:space="0" w:color="auto"/>
            </w:tcBorders>
          </w:tcPr>
          <w:p w:rsidR="00B97A47" w:rsidRPr="003511F4" w:rsidRDefault="00B97A47" w:rsidP="00C26550">
            <w:pPr>
              <w:numPr>
                <w:ilvl w:val="12"/>
                <w:numId w:val="0"/>
              </w:numPr>
              <w:spacing w:before="180"/>
              <w:jc w:val="center"/>
              <w:rPr>
                <w:rFonts w:asciiTheme="minorHAnsi" w:hAnsiTheme="minorHAnsi"/>
                <w:sz w:val="18"/>
                <w:szCs w:val="18"/>
              </w:rPr>
            </w:pPr>
            <w:r w:rsidRPr="003511F4">
              <w:rPr>
                <w:rFonts w:asciiTheme="minorHAnsi" w:hAnsiTheme="minorHAnsi"/>
                <w:sz w:val="18"/>
                <w:szCs w:val="18"/>
              </w:rPr>
              <w:t>0,5</w:t>
            </w:r>
          </w:p>
        </w:tc>
        <w:tc>
          <w:tcPr>
            <w:tcW w:w="1205" w:type="dxa"/>
            <w:tcBorders>
              <w:top w:val="single" w:sz="6" w:space="0" w:color="auto"/>
              <w:left w:val="single" w:sz="6" w:space="0" w:color="auto"/>
              <w:bottom w:val="single" w:sz="6" w:space="0" w:color="auto"/>
              <w:right w:val="single" w:sz="6" w:space="0" w:color="auto"/>
            </w:tcBorders>
          </w:tcPr>
          <w:p w:rsidR="00B97A47" w:rsidRPr="003511F4" w:rsidRDefault="00B97A47" w:rsidP="00C26550">
            <w:pPr>
              <w:numPr>
                <w:ilvl w:val="12"/>
                <w:numId w:val="0"/>
              </w:numPr>
              <w:spacing w:before="180"/>
              <w:jc w:val="center"/>
              <w:rPr>
                <w:rFonts w:asciiTheme="minorHAnsi" w:hAnsiTheme="minorHAnsi"/>
                <w:sz w:val="18"/>
                <w:szCs w:val="18"/>
              </w:rPr>
            </w:pPr>
            <w:r w:rsidRPr="003511F4">
              <w:rPr>
                <w:rFonts w:asciiTheme="minorHAnsi" w:hAnsiTheme="minorHAnsi"/>
                <w:sz w:val="18"/>
                <w:szCs w:val="18"/>
              </w:rPr>
              <w:t>0,75</w:t>
            </w:r>
          </w:p>
        </w:tc>
      </w:tr>
      <w:tr w:rsidR="00B97A47" w:rsidRPr="003511F4" w:rsidTr="00C26550">
        <w:tc>
          <w:tcPr>
            <w:tcW w:w="496" w:type="dxa"/>
            <w:tcBorders>
              <w:top w:val="single" w:sz="6" w:space="0" w:color="auto"/>
              <w:left w:val="single" w:sz="6" w:space="0" w:color="auto"/>
              <w:bottom w:val="single" w:sz="6" w:space="0" w:color="auto"/>
              <w:right w:val="single" w:sz="6" w:space="0" w:color="auto"/>
            </w:tcBorders>
          </w:tcPr>
          <w:p w:rsidR="00B97A47" w:rsidRPr="003511F4" w:rsidRDefault="00B97A47" w:rsidP="00C26550">
            <w:pPr>
              <w:numPr>
                <w:ilvl w:val="12"/>
                <w:numId w:val="0"/>
              </w:numPr>
              <w:spacing w:before="60" w:after="60"/>
              <w:jc w:val="center"/>
              <w:rPr>
                <w:rFonts w:asciiTheme="minorHAnsi" w:hAnsiTheme="minorHAnsi"/>
                <w:sz w:val="18"/>
                <w:szCs w:val="18"/>
              </w:rPr>
            </w:pPr>
            <w:r w:rsidRPr="003511F4">
              <w:rPr>
                <w:rFonts w:asciiTheme="minorHAnsi" w:hAnsiTheme="minorHAnsi"/>
                <w:sz w:val="18"/>
                <w:szCs w:val="18"/>
              </w:rPr>
              <w:t>3</w:t>
            </w:r>
          </w:p>
        </w:tc>
        <w:tc>
          <w:tcPr>
            <w:tcW w:w="3402" w:type="dxa"/>
            <w:tcBorders>
              <w:top w:val="single" w:sz="6" w:space="0" w:color="auto"/>
              <w:left w:val="single" w:sz="6" w:space="0" w:color="auto"/>
              <w:bottom w:val="single" w:sz="6" w:space="0" w:color="auto"/>
              <w:right w:val="single" w:sz="6" w:space="0" w:color="auto"/>
            </w:tcBorders>
          </w:tcPr>
          <w:p w:rsidR="00B97A47" w:rsidRPr="003511F4" w:rsidRDefault="00B97A47" w:rsidP="00C26550">
            <w:pPr>
              <w:numPr>
                <w:ilvl w:val="12"/>
                <w:numId w:val="0"/>
              </w:numPr>
              <w:spacing w:before="60" w:after="60"/>
              <w:rPr>
                <w:rFonts w:asciiTheme="minorHAnsi" w:hAnsiTheme="minorHAnsi"/>
                <w:sz w:val="18"/>
                <w:szCs w:val="18"/>
              </w:rPr>
            </w:pPr>
            <w:r w:rsidRPr="003511F4">
              <w:rPr>
                <w:rFonts w:asciiTheme="minorHAnsi" w:hAnsiTheme="minorHAnsi"/>
                <w:sz w:val="18"/>
                <w:szCs w:val="18"/>
              </w:rPr>
              <w:t>Wytrzymałość na uderzenia, ilość uderzeń, nie mniej niż</w:t>
            </w:r>
          </w:p>
        </w:tc>
        <w:tc>
          <w:tcPr>
            <w:tcW w:w="1205" w:type="dxa"/>
            <w:tcBorders>
              <w:top w:val="single" w:sz="6" w:space="0" w:color="auto"/>
              <w:left w:val="single" w:sz="6" w:space="0" w:color="auto"/>
              <w:bottom w:val="single" w:sz="6" w:space="0" w:color="auto"/>
              <w:right w:val="single" w:sz="6" w:space="0" w:color="auto"/>
            </w:tcBorders>
          </w:tcPr>
          <w:p w:rsidR="00B97A47" w:rsidRPr="003511F4" w:rsidRDefault="00B97A47" w:rsidP="00C26550">
            <w:pPr>
              <w:numPr>
                <w:ilvl w:val="12"/>
                <w:numId w:val="0"/>
              </w:numPr>
              <w:spacing w:before="180"/>
              <w:jc w:val="center"/>
              <w:rPr>
                <w:rFonts w:asciiTheme="minorHAnsi" w:hAnsiTheme="minorHAnsi"/>
                <w:sz w:val="18"/>
                <w:szCs w:val="18"/>
              </w:rPr>
            </w:pPr>
            <w:r w:rsidRPr="003511F4">
              <w:rPr>
                <w:rFonts w:asciiTheme="minorHAnsi" w:hAnsiTheme="minorHAnsi"/>
                <w:sz w:val="18"/>
                <w:szCs w:val="18"/>
              </w:rPr>
              <w:t>13</w:t>
            </w:r>
          </w:p>
        </w:tc>
        <w:tc>
          <w:tcPr>
            <w:tcW w:w="1205" w:type="dxa"/>
            <w:tcBorders>
              <w:top w:val="single" w:sz="6" w:space="0" w:color="auto"/>
              <w:left w:val="single" w:sz="6" w:space="0" w:color="auto"/>
              <w:bottom w:val="single" w:sz="6" w:space="0" w:color="auto"/>
              <w:right w:val="single" w:sz="6" w:space="0" w:color="auto"/>
            </w:tcBorders>
          </w:tcPr>
          <w:p w:rsidR="00B97A47" w:rsidRPr="003511F4" w:rsidRDefault="00B97A47" w:rsidP="00C26550">
            <w:pPr>
              <w:numPr>
                <w:ilvl w:val="12"/>
                <w:numId w:val="0"/>
              </w:numPr>
              <w:spacing w:before="180"/>
              <w:jc w:val="center"/>
              <w:rPr>
                <w:rFonts w:asciiTheme="minorHAnsi" w:hAnsiTheme="minorHAnsi"/>
                <w:sz w:val="18"/>
                <w:szCs w:val="18"/>
              </w:rPr>
            </w:pPr>
            <w:r w:rsidRPr="003511F4">
              <w:rPr>
                <w:rFonts w:asciiTheme="minorHAnsi" w:hAnsiTheme="minorHAnsi"/>
                <w:sz w:val="18"/>
                <w:szCs w:val="18"/>
              </w:rPr>
              <w:t>9</w:t>
            </w:r>
          </w:p>
        </w:tc>
        <w:tc>
          <w:tcPr>
            <w:tcW w:w="1205" w:type="dxa"/>
            <w:tcBorders>
              <w:top w:val="single" w:sz="6" w:space="0" w:color="auto"/>
              <w:left w:val="single" w:sz="6" w:space="0" w:color="auto"/>
              <w:bottom w:val="single" w:sz="6" w:space="0" w:color="auto"/>
              <w:right w:val="single" w:sz="6" w:space="0" w:color="auto"/>
            </w:tcBorders>
          </w:tcPr>
          <w:p w:rsidR="00B97A47" w:rsidRPr="003511F4" w:rsidRDefault="00B97A47" w:rsidP="00C26550">
            <w:pPr>
              <w:numPr>
                <w:ilvl w:val="12"/>
                <w:numId w:val="0"/>
              </w:numPr>
              <w:spacing w:before="180"/>
              <w:jc w:val="center"/>
              <w:rPr>
                <w:rFonts w:asciiTheme="minorHAnsi" w:hAnsiTheme="minorHAnsi"/>
                <w:sz w:val="18"/>
                <w:szCs w:val="18"/>
              </w:rPr>
            </w:pPr>
            <w:r w:rsidRPr="003511F4">
              <w:rPr>
                <w:rFonts w:asciiTheme="minorHAnsi" w:hAnsiTheme="minorHAnsi"/>
                <w:sz w:val="18"/>
                <w:szCs w:val="18"/>
              </w:rPr>
              <w:t>6</w:t>
            </w:r>
          </w:p>
        </w:tc>
      </w:tr>
      <w:tr w:rsidR="00B97A47" w:rsidRPr="003511F4" w:rsidTr="00C26550">
        <w:tc>
          <w:tcPr>
            <w:tcW w:w="496" w:type="dxa"/>
            <w:tcBorders>
              <w:top w:val="single" w:sz="6" w:space="0" w:color="auto"/>
              <w:left w:val="single" w:sz="6" w:space="0" w:color="auto"/>
              <w:bottom w:val="single" w:sz="6" w:space="0" w:color="auto"/>
              <w:right w:val="single" w:sz="6" w:space="0" w:color="auto"/>
            </w:tcBorders>
          </w:tcPr>
          <w:p w:rsidR="00B97A47" w:rsidRPr="003511F4" w:rsidRDefault="00B97A47" w:rsidP="00C26550">
            <w:pPr>
              <w:numPr>
                <w:ilvl w:val="12"/>
                <w:numId w:val="0"/>
              </w:numPr>
              <w:spacing w:before="60" w:after="60"/>
              <w:jc w:val="center"/>
              <w:rPr>
                <w:rFonts w:asciiTheme="minorHAnsi" w:hAnsiTheme="minorHAnsi"/>
                <w:sz w:val="18"/>
                <w:szCs w:val="18"/>
              </w:rPr>
            </w:pPr>
            <w:r w:rsidRPr="003511F4">
              <w:rPr>
                <w:rFonts w:asciiTheme="minorHAnsi" w:hAnsiTheme="minorHAnsi"/>
                <w:sz w:val="18"/>
                <w:szCs w:val="18"/>
              </w:rPr>
              <w:t>4</w:t>
            </w:r>
          </w:p>
        </w:tc>
        <w:tc>
          <w:tcPr>
            <w:tcW w:w="3402" w:type="dxa"/>
            <w:tcBorders>
              <w:top w:val="single" w:sz="6" w:space="0" w:color="auto"/>
              <w:left w:val="single" w:sz="6" w:space="0" w:color="auto"/>
              <w:bottom w:val="single" w:sz="6" w:space="0" w:color="auto"/>
              <w:right w:val="single" w:sz="6" w:space="0" w:color="auto"/>
            </w:tcBorders>
          </w:tcPr>
          <w:p w:rsidR="00B97A47" w:rsidRPr="003511F4" w:rsidRDefault="00B97A47" w:rsidP="00C26550">
            <w:pPr>
              <w:numPr>
                <w:ilvl w:val="12"/>
                <w:numId w:val="0"/>
              </w:numPr>
              <w:spacing w:before="60" w:after="60"/>
              <w:rPr>
                <w:rFonts w:asciiTheme="minorHAnsi" w:hAnsiTheme="minorHAnsi"/>
                <w:sz w:val="18"/>
                <w:szCs w:val="18"/>
              </w:rPr>
            </w:pPr>
            <w:r w:rsidRPr="003511F4">
              <w:rPr>
                <w:rFonts w:asciiTheme="minorHAnsi" w:hAnsiTheme="minorHAnsi"/>
                <w:sz w:val="18"/>
                <w:szCs w:val="18"/>
              </w:rPr>
              <w:t>Nasiąkliwość wodą, w %, nie więcej niż</w:t>
            </w:r>
          </w:p>
        </w:tc>
        <w:tc>
          <w:tcPr>
            <w:tcW w:w="1205" w:type="dxa"/>
            <w:tcBorders>
              <w:top w:val="single" w:sz="6" w:space="0" w:color="auto"/>
              <w:left w:val="single" w:sz="6" w:space="0" w:color="auto"/>
              <w:bottom w:val="single" w:sz="6" w:space="0" w:color="auto"/>
              <w:right w:val="single" w:sz="6" w:space="0" w:color="auto"/>
            </w:tcBorders>
          </w:tcPr>
          <w:p w:rsidR="00B97A47" w:rsidRPr="003511F4" w:rsidRDefault="00B97A47" w:rsidP="00C26550">
            <w:pPr>
              <w:numPr>
                <w:ilvl w:val="12"/>
                <w:numId w:val="0"/>
              </w:numPr>
              <w:spacing w:before="60" w:after="60"/>
              <w:jc w:val="center"/>
              <w:rPr>
                <w:rFonts w:asciiTheme="minorHAnsi" w:hAnsiTheme="minorHAnsi"/>
                <w:sz w:val="18"/>
                <w:szCs w:val="18"/>
              </w:rPr>
            </w:pPr>
            <w:r w:rsidRPr="003511F4">
              <w:rPr>
                <w:rFonts w:asciiTheme="minorHAnsi" w:hAnsiTheme="minorHAnsi"/>
                <w:sz w:val="18"/>
                <w:szCs w:val="18"/>
              </w:rPr>
              <w:t>0,5</w:t>
            </w:r>
          </w:p>
        </w:tc>
        <w:tc>
          <w:tcPr>
            <w:tcW w:w="1205" w:type="dxa"/>
            <w:tcBorders>
              <w:top w:val="single" w:sz="6" w:space="0" w:color="auto"/>
              <w:left w:val="single" w:sz="6" w:space="0" w:color="auto"/>
              <w:bottom w:val="single" w:sz="6" w:space="0" w:color="auto"/>
              <w:right w:val="single" w:sz="6" w:space="0" w:color="auto"/>
            </w:tcBorders>
          </w:tcPr>
          <w:p w:rsidR="00B97A47" w:rsidRPr="003511F4" w:rsidRDefault="00B97A47" w:rsidP="00C26550">
            <w:pPr>
              <w:numPr>
                <w:ilvl w:val="12"/>
                <w:numId w:val="0"/>
              </w:numPr>
              <w:spacing w:before="60" w:after="60"/>
              <w:jc w:val="center"/>
              <w:rPr>
                <w:rFonts w:asciiTheme="minorHAnsi" w:hAnsiTheme="minorHAnsi"/>
                <w:sz w:val="18"/>
                <w:szCs w:val="18"/>
              </w:rPr>
            </w:pPr>
            <w:r w:rsidRPr="003511F4">
              <w:rPr>
                <w:rFonts w:asciiTheme="minorHAnsi" w:hAnsiTheme="minorHAnsi"/>
                <w:sz w:val="18"/>
                <w:szCs w:val="18"/>
              </w:rPr>
              <w:t>1,5</w:t>
            </w:r>
          </w:p>
        </w:tc>
        <w:tc>
          <w:tcPr>
            <w:tcW w:w="1205" w:type="dxa"/>
            <w:tcBorders>
              <w:top w:val="single" w:sz="6" w:space="0" w:color="auto"/>
              <w:left w:val="single" w:sz="6" w:space="0" w:color="auto"/>
              <w:bottom w:val="single" w:sz="6" w:space="0" w:color="auto"/>
              <w:right w:val="single" w:sz="6" w:space="0" w:color="auto"/>
            </w:tcBorders>
          </w:tcPr>
          <w:p w:rsidR="00B97A47" w:rsidRPr="003511F4" w:rsidRDefault="00B97A47" w:rsidP="00C26550">
            <w:pPr>
              <w:numPr>
                <w:ilvl w:val="12"/>
                <w:numId w:val="0"/>
              </w:numPr>
              <w:spacing w:before="60" w:after="60"/>
              <w:jc w:val="center"/>
              <w:rPr>
                <w:rFonts w:asciiTheme="minorHAnsi" w:hAnsiTheme="minorHAnsi"/>
                <w:sz w:val="18"/>
                <w:szCs w:val="18"/>
              </w:rPr>
            </w:pPr>
            <w:r w:rsidRPr="003511F4">
              <w:rPr>
                <w:rFonts w:asciiTheme="minorHAnsi" w:hAnsiTheme="minorHAnsi"/>
                <w:sz w:val="18"/>
                <w:szCs w:val="18"/>
              </w:rPr>
              <w:t>3,0</w:t>
            </w:r>
          </w:p>
        </w:tc>
      </w:tr>
      <w:tr w:rsidR="00B97A47" w:rsidRPr="003511F4" w:rsidTr="00C26550">
        <w:tc>
          <w:tcPr>
            <w:tcW w:w="496" w:type="dxa"/>
            <w:tcBorders>
              <w:top w:val="single" w:sz="6" w:space="0" w:color="auto"/>
              <w:left w:val="single" w:sz="6" w:space="0" w:color="auto"/>
              <w:bottom w:val="single" w:sz="6" w:space="0" w:color="auto"/>
              <w:right w:val="single" w:sz="6" w:space="0" w:color="auto"/>
            </w:tcBorders>
          </w:tcPr>
          <w:p w:rsidR="00B97A47" w:rsidRPr="003511F4" w:rsidRDefault="00B97A47" w:rsidP="00C26550">
            <w:pPr>
              <w:numPr>
                <w:ilvl w:val="12"/>
                <w:numId w:val="0"/>
              </w:numPr>
              <w:jc w:val="center"/>
              <w:rPr>
                <w:rFonts w:asciiTheme="minorHAnsi" w:hAnsiTheme="minorHAnsi"/>
                <w:sz w:val="18"/>
                <w:szCs w:val="18"/>
              </w:rPr>
            </w:pPr>
          </w:p>
          <w:p w:rsidR="00B97A47" w:rsidRPr="003511F4" w:rsidRDefault="00B97A47" w:rsidP="00C26550">
            <w:pPr>
              <w:numPr>
                <w:ilvl w:val="12"/>
                <w:numId w:val="0"/>
              </w:numPr>
              <w:spacing w:before="60"/>
              <w:jc w:val="center"/>
              <w:rPr>
                <w:rFonts w:asciiTheme="minorHAnsi" w:hAnsiTheme="minorHAnsi"/>
                <w:sz w:val="18"/>
                <w:szCs w:val="18"/>
              </w:rPr>
            </w:pPr>
            <w:r w:rsidRPr="003511F4">
              <w:rPr>
                <w:rFonts w:asciiTheme="minorHAnsi" w:hAnsiTheme="minorHAnsi"/>
                <w:sz w:val="18"/>
                <w:szCs w:val="18"/>
              </w:rPr>
              <w:t>5</w:t>
            </w:r>
          </w:p>
        </w:tc>
        <w:tc>
          <w:tcPr>
            <w:tcW w:w="3402" w:type="dxa"/>
            <w:tcBorders>
              <w:top w:val="single" w:sz="6" w:space="0" w:color="auto"/>
              <w:left w:val="single" w:sz="6" w:space="0" w:color="auto"/>
              <w:bottom w:val="single" w:sz="6" w:space="0" w:color="auto"/>
              <w:right w:val="single" w:sz="6" w:space="0" w:color="auto"/>
            </w:tcBorders>
          </w:tcPr>
          <w:p w:rsidR="00B97A47" w:rsidRPr="003511F4" w:rsidRDefault="00B97A47" w:rsidP="00C26550">
            <w:pPr>
              <w:numPr>
                <w:ilvl w:val="12"/>
                <w:numId w:val="0"/>
              </w:numPr>
              <w:rPr>
                <w:rFonts w:asciiTheme="minorHAnsi" w:hAnsiTheme="minorHAnsi"/>
                <w:sz w:val="18"/>
                <w:szCs w:val="18"/>
              </w:rPr>
            </w:pPr>
          </w:p>
          <w:p w:rsidR="00B97A47" w:rsidRPr="003511F4" w:rsidRDefault="00B97A47" w:rsidP="00C26550">
            <w:pPr>
              <w:numPr>
                <w:ilvl w:val="12"/>
                <w:numId w:val="0"/>
              </w:numPr>
              <w:spacing w:before="60"/>
              <w:rPr>
                <w:rFonts w:asciiTheme="minorHAnsi" w:hAnsiTheme="minorHAnsi"/>
                <w:sz w:val="18"/>
                <w:szCs w:val="18"/>
              </w:rPr>
            </w:pPr>
            <w:r w:rsidRPr="003511F4">
              <w:rPr>
                <w:rFonts w:asciiTheme="minorHAnsi" w:hAnsiTheme="minorHAnsi"/>
                <w:sz w:val="18"/>
                <w:szCs w:val="18"/>
              </w:rPr>
              <w:t>Odporność na zamrażanie, w cyklach</w:t>
            </w:r>
          </w:p>
        </w:tc>
        <w:tc>
          <w:tcPr>
            <w:tcW w:w="1205" w:type="dxa"/>
            <w:tcBorders>
              <w:top w:val="single" w:sz="6" w:space="0" w:color="auto"/>
              <w:left w:val="single" w:sz="6" w:space="0" w:color="auto"/>
              <w:bottom w:val="single" w:sz="6" w:space="0" w:color="auto"/>
              <w:right w:val="single" w:sz="6" w:space="0" w:color="auto"/>
            </w:tcBorders>
          </w:tcPr>
          <w:p w:rsidR="00B97A47" w:rsidRPr="003511F4" w:rsidRDefault="00B97A47" w:rsidP="00C26550">
            <w:pPr>
              <w:numPr>
                <w:ilvl w:val="12"/>
                <w:numId w:val="0"/>
              </w:numPr>
              <w:jc w:val="center"/>
              <w:rPr>
                <w:rFonts w:asciiTheme="minorHAnsi" w:hAnsiTheme="minorHAnsi"/>
                <w:sz w:val="18"/>
                <w:szCs w:val="18"/>
              </w:rPr>
            </w:pPr>
          </w:p>
          <w:p w:rsidR="00B97A47" w:rsidRPr="003511F4" w:rsidRDefault="00B97A47" w:rsidP="00C26550">
            <w:pPr>
              <w:numPr>
                <w:ilvl w:val="12"/>
                <w:numId w:val="0"/>
              </w:numPr>
              <w:spacing w:before="60"/>
              <w:jc w:val="center"/>
              <w:rPr>
                <w:rFonts w:asciiTheme="minorHAnsi" w:hAnsiTheme="minorHAnsi"/>
                <w:sz w:val="18"/>
                <w:szCs w:val="18"/>
              </w:rPr>
            </w:pPr>
            <w:r w:rsidRPr="003511F4">
              <w:rPr>
                <w:rFonts w:asciiTheme="minorHAnsi" w:hAnsiTheme="minorHAnsi"/>
                <w:sz w:val="18"/>
                <w:szCs w:val="18"/>
              </w:rPr>
              <w:t>nie bada się</w:t>
            </w:r>
          </w:p>
        </w:tc>
        <w:tc>
          <w:tcPr>
            <w:tcW w:w="1205" w:type="dxa"/>
            <w:tcBorders>
              <w:top w:val="single" w:sz="6" w:space="0" w:color="auto"/>
              <w:left w:val="single" w:sz="6" w:space="0" w:color="auto"/>
              <w:bottom w:val="single" w:sz="6" w:space="0" w:color="auto"/>
              <w:right w:val="single" w:sz="6" w:space="0" w:color="auto"/>
            </w:tcBorders>
          </w:tcPr>
          <w:p w:rsidR="00B97A47" w:rsidRPr="003511F4" w:rsidRDefault="00B97A47" w:rsidP="00C26550">
            <w:pPr>
              <w:numPr>
                <w:ilvl w:val="12"/>
                <w:numId w:val="0"/>
              </w:numPr>
              <w:spacing w:before="60" w:after="60"/>
              <w:jc w:val="center"/>
              <w:rPr>
                <w:rFonts w:asciiTheme="minorHAnsi" w:hAnsiTheme="minorHAnsi"/>
                <w:sz w:val="18"/>
                <w:szCs w:val="18"/>
              </w:rPr>
            </w:pPr>
            <w:r w:rsidRPr="003511F4">
              <w:rPr>
                <w:rFonts w:asciiTheme="minorHAnsi" w:hAnsiTheme="minorHAnsi"/>
                <w:sz w:val="18"/>
                <w:szCs w:val="18"/>
              </w:rPr>
              <w:t xml:space="preserve">całkowita wg PN-B-01080 </w:t>
            </w:r>
          </w:p>
        </w:tc>
        <w:tc>
          <w:tcPr>
            <w:tcW w:w="1205" w:type="dxa"/>
            <w:tcBorders>
              <w:top w:val="single" w:sz="6" w:space="0" w:color="auto"/>
              <w:left w:val="single" w:sz="6" w:space="0" w:color="auto"/>
              <w:bottom w:val="single" w:sz="6" w:space="0" w:color="auto"/>
              <w:right w:val="single" w:sz="6" w:space="0" w:color="auto"/>
            </w:tcBorders>
          </w:tcPr>
          <w:p w:rsidR="00B97A47" w:rsidRPr="003511F4" w:rsidRDefault="00B97A47" w:rsidP="00C26550">
            <w:pPr>
              <w:numPr>
                <w:ilvl w:val="12"/>
                <w:numId w:val="0"/>
              </w:numPr>
              <w:spacing w:before="60" w:after="60"/>
              <w:jc w:val="center"/>
              <w:rPr>
                <w:rFonts w:asciiTheme="minorHAnsi" w:hAnsiTheme="minorHAnsi"/>
                <w:sz w:val="18"/>
                <w:szCs w:val="18"/>
              </w:rPr>
            </w:pPr>
            <w:r w:rsidRPr="003511F4">
              <w:rPr>
                <w:rFonts w:asciiTheme="minorHAnsi" w:hAnsiTheme="minorHAnsi"/>
                <w:sz w:val="18"/>
                <w:szCs w:val="18"/>
              </w:rPr>
              <w:t xml:space="preserve">dobra wg PN-B-01080 </w:t>
            </w:r>
          </w:p>
        </w:tc>
      </w:tr>
    </w:tbl>
    <w:p w:rsidR="00B97A47" w:rsidRPr="003511F4" w:rsidRDefault="00B97A47" w:rsidP="00B97A47">
      <w:pPr>
        <w:rPr>
          <w:rFonts w:asciiTheme="minorHAnsi" w:hAnsiTheme="minorHAnsi"/>
        </w:rPr>
      </w:pPr>
    </w:p>
    <w:p w:rsidR="00B97A47" w:rsidRPr="003511F4" w:rsidRDefault="00B97A47" w:rsidP="00B97A47">
      <w:pPr>
        <w:rPr>
          <w:rFonts w:asciiTheme="minorHAnsi" w:hAnsiTheme="minorHAnsi"/>
        </w:rPr>
      </w:pPr>
      <w:r w:rsidRPr="00A15B5F">
        <w:rPr>
          <w:rFonts w:asciiTheme="minorHAnsi" w:hAnsiTheme="minorHAnsi"/>
          <w:b/>
        </w:rPr>
        <w:t>2.4.2.</w:t>
      </w:r>
      <w:r w:rsidRPr="003511F4">
        <w:rPr>
          <w:rFonts w:asciiTheme="minorHAnsi" w:hAnsiTheme="minorHAnsi"/>
        </w:rPr>
        <w:t xml:space="preserve"> Kształt i wymiary</w:t>
      </w:r>
    </w:p>
    <w:p w:rsidR="00B97A47" w:rsidRPr="003511F4" w:rsidRDefault="00B97A47" w:rsidP="00B97A47">
      <w:pPr>
        <w:rPr>
          <w:rFonts w:asciiTheme="minorHAnsi" w:hAnsiTheme="minorHAnsi"/>
        </w:rPr>
      </w:pPr>
      <w:r w:rsidRPr="003511F4">
        <w:rPr>
          <w:rFonts w:asciiTheme="minorHAnsi" w:hAnsiTheme="minorHAnsi"/>
        </w:rPr>
        <w:tab/>
        <w:t>Kształt krawężników ulicznych przedstawiono na rysunkach 1 i 2, wymiary podano w tablicy 2.</w:t>
      </w:r>
    </w:p>
    <w:p w:rsidR="00B97A47" w:rsidRPr="003511F4" w:rsidRDefault="00B97A47" w:rsidP="00B97A47">
      <w:pPr>
        <w:numPr>
          <w:ilvl w:val="12"/>
          <w:numId w:val="0"/>
        </w:numPr>
        <w:rPr>
          <w:rFonts w:asciiTheme="minorHAnsi" w:hAnsiTheme="minorHAnsi"/>
        </w:rPr>
      </w:pPr>
    </w:p>
    <w:p w:rsidR="00B97A47" w:rsidRPr="003511F4" w:rsidRDefault="00B97A47" w:rsidP="00B97A47">
      <w:pPr>
        <w:numPr>
          <w:ilvl w:val="12"/>
          <w:numId w:val="0"/>
        </w:numPr>
        <w:rPr>
          <w:rFonts w:asciiTheme="minorHAnsi" w:hAnsiTheme="minorHAnsi"/>
          <w:b/>
        </w:rPr>
      </w:pPr>
    </w:p>
    <w:p w:rsidR="00B97A47" w:rsidRPr="003511F4" w:rsidRDefault="00B97A47" w:rsidP="00B97A47">
      <w:pPr>
        <w:framePr w:hSpace="141" w:wrap="auto" w:vAnchor="text" w:hAnchor="page" w:x="3098" w:y="333"/>
        <w:numPr>
          <w:ilvl w:val="12"/>
          <w:numId w:val="0"/>
        </w:numPr>
        <w:jc w:val="center"/>
        <w:rPr>
          <w:rFonts w:asciiTheme="minorHAnsi" w:hAnsiTheme="minorHAnsi"/>
        </w:rPr>
      </w:pPr>
      <w:r>
        <w:rPr>
          <w:rFonts w:asciiTheme="minorHAnsi" w:hAnsiTheme="minorHAnsi"/>
          <w:noProof/>
        </w:rPr>
        <w:drawing>
          <wp:inline distT="0" distB="0" distL="0" distR="0">
            <wp:extent cx="3616960" cy="2456815"/>
            <wp:effectExtent l="19050" t="0" r="2540" b="0"/>
            <wp:docPr id="226" name="Obraz 2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6"/>
                    <pic:cNvPicPr>
                      <a:picLocks noChangeAspect="1" noChangeArrowheads="1"/>
                    </pic:cNvPicPr>
                  </pic:nvPicPr>
                  <pic:blipFill>
                    <a:blip r:embed="rId106" cstate="print"/>
                    <a:srcRect/>
                    <a:stretch>
                      <a:fillRect/>
                    </a:stretch>
                  </pic:blipFill>
                  <pic:spPr bwMode="auto">
                    <a:xfrm>
                      <a:off x="0" y="0"/>
                      <a:ext cx="3616960" cy="2456815"/>
                    </a:xfrm>
                    <a:prstGeom prst="rect">
                      <a:avLst/>
                    </a:prstGeom>
                    <a:noFill/>
                    <a:ln w="9525">
                      <a:noFill/>
                      <a:miter lim="800000"/>
                      <a:headEnd/>
                      <a:tailEnd/>
                    </a:ln>
                  </pic:spPr>
                </pic:pic>
              </a:graphicData>
            </a:graphic>
          </wp:inline>
        </w:drawing>
      </w:r>
    </w:p>
    <w:p w:rsidR="00B97A47" w:rsidRPr="003511F4" w:rsidRDefault="00B97A47" w:rsidP="00B97A47">
      <w:pPr>
        <w:numPr>
          <w:ilvl w:val="12"/>
          <w:numId w:val="0"/>
        </w:numPr>
        <w:spacing w:before="120"/>
        <w:jc w:val="center"/>
        <w:rPr>
          <w:rFonts w:asciiTheme="minorHAnsi" w:hAnsiTheme="minorHAnsi"/>
        </w:rPr>
      </w:pPr>
      <w:r w:rsidRPr="003511F4">
        <w:rPr>
          <w:rFonts w:asciiTheme="minorHAnsi" w:hAnsiTheme="minorHAnsi"/>
        </w:rPr>
        <w:t>Rys. 1. Krawężnik uliczny odmiany UP, rodzaju A</w:t>
      </w:r>
    </w:p>
    <w:p w:rsidR="00B97A47" w:rsidRPr="003511F4" w:rsidRDefault="00B97A47" w:rsidP="00B97A47">
      <w:pPr>
        <w:numPr>
          <w:ilvl w:val="12"/>
          <w:numId w:val="0"/>
        </w:numPr>
        <w:spacing w:before="120"/>
        <w:jc w:val="center"/>
        <w:rPr>
          <w:rFonts w:asciiTheme="minorHAnsi" w:hAnsiTheme="minorHAnsi"/>
        </w:rPr>
      </w:pPr>
    </w:p>
    <w:p w:rsidR="00B97A47" w:rsidRPr="003511F4" w:rsidRDefault="00B97A47" w:rsidP="00B97A47">
      <w:pPr>
        <w:framePr w:hSpace="141" w:wrap="auto" w:vAnchor="text" w:hAnchor="page" w:x="3046" w:y="493"/>
        <w:numPr>
          <w:ilvl w:val="12"/>
          <w:numId w:val="0"/>
        </w:numPr>
        <w:jc w:val="center"/>
        <w:rPr>
          <w:rFonts w:asciiTheme="minorHAnsi" w:hAnsiTheme="minorHAnsi"/>
        </w:rPr>
      </w:pPr>
      <w:r>
        <w:rPr>
          <w:rFonts w:asciiTheme="minorHAnsi" w:hAnsiTheme="minorHAnsi"/>
          <w:noProof/>
        </w:rPr>
        <w:drawing>
          <wp:inline distT="0" distB="0" distL="0" distR="0">
            <wp:extent cx="3357245" cy="2402205"/>
            <wp:effectExtent l="19050" t="0" r="0" b="0"/>
            <wp:docPr id="227" name="Obraz 2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7"/>
                    <pic:cNvPicPr>
                      <a:picLocks noChangeAspect="1" noChangeArrowheads="1"/>
                    </pic:cNvPicPr>
                  </pic:nvPicPr>
                  <pic:blipFill>
                    <a:blip r:embed="rId107" cstate="print"/>
                    <a:srcRect/>
                    <a:stretch>
                      <a:fillRect/>
                    </a:stretch>
                  </pic:blipFill>
                  <pic:spPr bwMode="auto">
                    <a:xfrm>
                      <a:off x="0" y="0"/>
                      <a:ext cx="3357245" cy="2402205"/>
                    </a:xfrm>
                    <a:prstGeom prst="rect">
                      <a:avLst/>
                    </a:prstGeom>
                    <a:noFill/>
                    <a:ln w="9525">
                      <a:noFill/>
                      <a:miter lim="800000"/>
                      <a:headEnd/>
                      <a:tailEnd/>
                    </a:ln>
                  </pic:spPr>
                </pic:pic>
              </a:graphicData>
            </a:graphic>
          </wp:inline>
        </w:drawing>
      </w:r>
    </w:p>
    <w:p w:rsidR="00B97A47" w:rsidRPr="003511F4" w:rsidRDefault="00B97A47" w:rsidP="00B97A47">
      <w:pPr>
        <w:numPr>
          <w:ilvl w:val="12"/>
          <w:numId w:val="0"/>
        </w:numPr>
        <w:spacing w:before="120"/>
        <w:jc w:val="center"/>
        <w:rPr>
          <w:rFonts w:asciiTheme="minorHAnsi" w:hAnsiTheme="minorHAnsi"/>
        </w:rPr>
      </w:pPr>
    </w:p>
    <w:p w:rsidR="00582D07" w:rsidRDefault="00582D07" w:rsidP="00B97A47">
      <w:pPr>
        <w:numPr>
          <w:ilvl w:val="12"/>
          <w:numId w:val="0"/>
        </w:numPr>
        <w:spacing w:before="180"/>
        <w:jc w:val="center"/>
        <w:rPr>
          <w:rFonts w:asciiTheme="minorHAnsi" w:hAnsiTheme="minorHAnsi"/>
        </w:rPr>
      </w:pPr>
    </w:p>
    <w:p w:rsidR="00582D07" w:rsidRDefault="00582D07" w:rsidP="00B97A47">
      <w:pPr>
        <w:numPr>
          <w:ilvl w:val="12"/>
          <w:numId w:val="0"/>
        </w:numPr>
        <w:spacing w:before="180"/>
        <w:jc w:val="center"/>
        <w:rPr>
          <w:rFonts w:asciiTheme="minorHAnsi" w:hAnsiTheme="minorHAnsi"/>
        </w:rPr>
      </w:pPr>
    </w:p>
    <w:p w:rsidR="00582D07" w:rsidRDefault="00582D07" w:rsidP="00B97A47">
      <w:pPr>
        <w:numPr>
          <w:ilvl w:val="12"/>
          <w:numId w:val="0"/>
        </w:numPr>
        <w:spacing w:before="180"/>
        <w:jc w:val="center"/>
        <w:rPr>
          <w:rFonts w:asciiTheme="minorHAnsi" w:hAnsiTheme="minorHAnsi"/>
        </w:rPr>
      </w:pPr>
    </w:p>
    <w:p w:rsidR="00582D07" w:rsidRDefault="00582D07" w:rsidP="00B97A47">
      <w:pPr>
        <w:numPr>
          <w:ilvl w:val="12"/>
          <w:numId w:val="0"/>
        </w:numPr>
        <w:spacing w:before="180"/>
        <w:jc w:val="center"/>
        <w:rPr>
          <w:rFonts w:asciiTheme="minorHAnsi" w:hAnsiTheme="minorHAnsi"/>
        </w:rPr>
      </w:pPr>
    </w:p>
    <w:p w:rsidR="00582D07" w:rsidRDefault="00582D07" w:rsidP="00B97A47">
      <w:pPr>
        <w:numPr>
          <w:ilvl w:val="12"/>
          <w:numId w:val="0"/>
        </w:numPr>
        <w:spacing w:before="180"/>
        <w:jc w:val="center"/>
        <w:rPr>
          <w:rFonts w:asciiTheme="minorHAnsi" w:hAnsiTheme="minorHAnsi"/>
        </w:rPr>
      </w:pPr>
    </w:p>
    <w:p w:rsidR="00582D07" w:rsidRDefault="00582D07" w:rsidP="00B97A47">
      <w:pPr>
        <w:numPr>
          <w:ilvl w:val="12"/>
          <w:numId w:val="0"/>
        </w:numPr>
        <w:spacing w:before="180"/>
        <w:jc w:val="center"/>
        <w:rPr>
          <w:rFonts w:asciiTheme="minorHAnsi" w:hAnsiTheme="minorHAnsi"/>
        </w:rPr>
      </w:pPr>
    </w:p>
    <w:p w:rsidR="00582D07" w:rsidRDefault="00582D07" w:rsidP="00B97A47">
      <w:pPr>
        <w:numPr>
          <w:ilvl w:val="12"/>
          <w:numId w:val="0"/>
        </w:numPr>
        <w:spacing w:before="180"/>
        <w:jc w:val="center"/>
        <w:rPr>
          <w:rFonts w:asciiTheme="minorHAnsi" w:hAnsiTheme="minorHAnsi"/>
        </w:rPr>
      </w:pPr>
    </w:p>
    <w:p w:rsidR="00582D07" w:rsidRDefault="00582D07" w:rsidP="00B97A47">
      <w:pPr>
        <w:numPr>
          <w:ilvl w:val="12"/>
          <w:numId w:val="0"/>
        </w:numPr>
        <w:spacing w:before="180"/>
        <w:jc w:val="center"/>
        <w:rPr>
          <w:rFonts w:asciiTheme="minorHAnsi" w:hAnsiTheme="minorHAnsi"/>
        </w:rPr>
      </w:pPr>
    </w:p>
    <w:p w:rsidR="00582D07" w:rsidRDefault="00582D07" w:rsidP="00B97A47">
      <w:pPr>
        <w:numPr>
          <w:ilvl w:val="12"/>
          <w:numId w:val="0"/>
        </w:numPr>
        <w:spacing w:before="180"/>
        <w:jc w:val="center"/>
        <w:rPr>
          <w:rFonts w:asciiTheme="minorHAnsi" w:hAnsiTheme="minorHAnsi"/>
        </w:rPr>
      </w:pPr>
    </w:p>
    <w:p w:rsidR="00582D07" w:rsidRDefault="00582D07" w:rsidP="00B97A47">
      <w:pPr>
        <w:numPr>
          <w:ilvl w:val="12"/>
          <w:numId w:val="0"/>
        </w:numPr>
        <w:spacing w:before="180"/>
        <w:jc w:val="center"/>
        <w:rPr>
          <w:rFonts w:asciiTheme="minorHAnsi" w:hAnsiTheme="minorHAnsi"/>
        </w:rPr>
      </w:pPr>
    </w:p>
    <w:p w:rsidR="00B97A47" w:rsidRPr="003511F4" w:rsidRDefault="00B97A47" w:rsidP="00B97A47">
      <w:pPr>
        <w:numPr>
          <w:ilvl w:val="12"/>
          <w:numId w:val="0"/>
        </w:numPr>
        <w:spacing w:before="180"/>
        <w:jc w:val="center"/>
        <w:rPr>
          <w:rFonts w:asciiTheme="minorHAnsi" w:hAnsiTheme="minorHAnsi"/>
        </w:rPr>
      </w:pPr>
      <w:r w:rsidRPr="003511F4">
        <w:rPr>
          <w:rFonts w:asciiTheme="minorHAnsi" w:hAnsiTheme="minorHAnsi"/>
        </w:rPr>
        <w:t>Rys. 2. Krawężnik uliczny odmiany UP, rodzaju B</w:t>
      </w:r>
    </w:p>
    <w:p w:rsidR="00B97A47" w:rsidRPr="003511F4" w:rsidRDefault="00B97A47" w:rsidP="00B97A47">
      <w:pPr>
        <w:numPr>
          <w:ilvl w:val="12"/>
          <w:numId w:val="0"/>
        </w:numPr>
        <w:spacing w:before="120" w:after="120"/>
        <w:rPr>
          <w:rFonts w:asciiTheme="minorHAnsi" w:hAnsiTheme="minorHAnsi"/>
        </w:rPr>
      </w:pPr>
    </w:p>
    <w:p w:rsidR="00582D07" w:rsidRDefault="00582D07" w:rsidP="00B97A47">
      <w:pPr>
        <w:ind w:left="709"/>
        <w:rPr>
          <w:rFonts w:asciiTheme="minorHAnsi" w:hAnsiTheme="minorHAnsi"/>
        </w:rPr>
      </w:pPr>
    </w:p>
    <w:p w:rsidR="00582D07" w:rsidRDefault="00582D07" w:rsidP="00B97A47">
      <w:pPr>
        <w:ind w:left="709"/>
        <w:rPr>
          <w:rFonts w:asciiTheme="minorHAnsi" w:hAnsiTheme="minorHAnsi"/>
        </w:rPr>
      </w:pPr>
    </w:p>
    <w:p w:rsidR="00582D07" w:rsidRDefault="00582D07" w:rsidP="00B97A47">
      <w:pPr>
        <w:ind w:left="709"/>
        <w:rPr>
          <w:rFonts w:asciiTheme="minorHAnsi" w:hAnsiTheme="minorHAnsi"/>
        </w:rPr>
      </w:pPr>
    </w:p>
    <w:p w:rsidR="00582D07" w:rsidRDefault="00582D07" w:rsidP="00B97A47">
      <w:pPr>
        <w:ind w:left="709"/>
        <w:rPr>
          <w:rFonts w:asciiTheme="minorHAnsi" w:hAnsiTheme="minorHAnsi"/>
        </w:rPr>
      </w:pPr>
    </w:p>
    <w:p w:rsidR="00B97A47" w:rsidRPr="003511F4" w:rsidRDefault="00B97A47" w:rsidP="00B97A47">
      <w:pPr>
        <w:ind w:left="709"/>
        <w:rPr>
          <w:rFonts w:asciiTheme="minorHAnsi" w:hAnsiTheme="minorHAnsi"/>
        </w:rPr>
      </w:pPr>
      <w:r w:rsidRPr="003511F4">
        <w:rPr>
          <w:rFonts w:asciiTheme="minorHAnsi" w:hAnsiTheme="minorHAnsi"/>
        </w:rPr>
        <w:lastRenderedPageBreak/>
        <w:t>Tablica 2. Wymiary krawężników ulicznych</w:t>
      </w:r>
    </w:p>
    <w:tbl>
      <w:tblPr>
        <w:tblW w:w="7509" w:type="dxa"/>
        <w:tblInd w:w="779" w:type="dxa"/>
        <w:tblLayout w:type="fixed"/>
        <w:tblCellMar>
          <w:left w:w="70" w:type="dxa"/>
          <w:right w:w="70" w:type="dxa"/>
        </w:tblCellMar>
        <w:tblLook w:val="0000"/>
      </w:tblPr>
      <w:tblGrid>
        <w:gridCol w:w="921"/>
        <w:gridCol w:w="992"/>
        <w:gridCol w:w="992"/>
        <w:gridCol w:w="993"/>
        <w:gridCol w:w="992"/>
        <w:gridCol w:w="2619"/>
      </w:tblGrid>
      <w:tr w:rsidR="00B97A47" w:rsidRPr="003511F4" w:rsidTr="00C26550">
        <w:tc>
          <w:tcPr>
            <w:tcW w:w="921" w:type="dxa"/>
            <w:tcBorders>
              <w:top w:val="single" w:sz="6" w:space="0" w:color="auto"/>
              <w:left w:val="single" w:sz="6" w:space="0" w:color="auto"/>
              <w:right w:val="single" w:sz="6" w:space="0" w:color="auto"/>
            </w:tcBorders>
          </w:tcPr>
          <w:p w:rsidR="00B97A47" w:rsidRPr="003511F4" w:rsidRDefault="00B97A47" w:rsidP="00C26550">
            <w:pPr>
              <w:numPr>
                <w:ilvl w:val="12"/>
                <w:numId w:val="0"/>
              </w:numPr>
              <w:spacing w:before="60"/>
              <w:jc w:val="center"/>
              <w:rPr>
                <w:rFonts w:asciiTheme="minorHAnsi" w:hAnsiTheme="minorHAnsi"/>
                <w:sz w:val="18"/>
                <w:szCs w:val="18"/>
              </w:rPr>
            </w:pPr>
            <w:r w:rsidRPr="003511F4">
              <w:rPr>
                <w:rFonts w:asciiTheme="minorHAnsi" w:hAnsiTheme="minorHAnsi"/>
                <w:sz w:val="18"/>
                <w:szCs w:val="18"/>
              </w:rPr>
              <w:t>Wymiar</w:t>
            </w:r>
          </w:p>
        </w:tc>
        <w:tc>
          <w:tcPr>
            <w:tcW w:w="3969" w:type="dxa"/>
            <w:gridSpan w:val="4"/>
            <w:tcBorders>
              <w:top w:val="single" w:sz="6" w:space="0" w:color="auto"/>
              <w:bottom w:val="single" w:sz="6" w:space="0" w:color="auto"/>
            </w:tcBorders>
          </w:tcPr>
          <w:p w:rsidR="00B97A47" w:rsidRPr="003511F4" w:rsidRDefault="00B97A47" w:rsidP="00C26550">
            <w:pPr>
              <w:numPr>
                <w:ilvl w:val="12"/>
                <w:numId w:val="0"/>
              </w:numPr>
              <w:spacing w:before="60"/>
              <w:jc w:val="center"/>
              <w:rPr>
                <w:rFonts w:asciiTheme="minorHAnsi" w:hAnsiTheme="minorHAnsi"/>
                <w:sz w:val="18"/>
                <w:szCs w:val="18"/>
              </w:rPr>
            </w:pPr>
            <w:r w:rsidRPr="003511F4">
              <w:rPr>
                <w:rFonts w:asciiTheme="minorHAnsi" w:hAnsiTheme="minorHAnsi"/>
                <w:sz w:val="18"/>
                <w:szCs w:val="18"/>
              </w:rPr>
              <w:t>Rodzaj</w:t>
            </w:r>
          </w:p>
        </w:tc>
        <w:tc>
          <w:tcPr>
            <w:tcW w:w="2619" w:type="dxa"/>
            <w:tcBorders>
              <w:top w:val="single" w:sz="6" w:space="0" w:color="auto"/>
              <w:left w:val="single" w:sz="6" w:space="0" w:color="auto"/>
              <w:right w:val="single" w:sz="6" w:space="0" w:color="auto"/>
            </w:tcBorders>
          </w:tcPr>
          <w:p w:rsidR="00B97A47" w:rsidRPr="003511F4" w:rsidRDefault="00B97A47" w:rsidP="00C26550">
            <w:pPr>
              <w:numPr>
                <w:ilvl w:val="12"/>
                <w:numId w:val="0"/>
              </w:numPr>
              <w:spacing w:before="60"/>
              <w:jc w:val="center"/>
              <w:rPr>
                <w:rFonts w:asciiTheme="minorHAnsi" w:hAnsiTheme="minorHAnsi"/>
                <w:sz w:val="18"/>
                <w:szCs w:val="18"/>
              </w:rPr>
            </w:pPr>
            <w:r w:rsidRPr="003511F4">
              <w:rPr>
                <w:rFonts w:asciiTheme="minorHAnsi" w:hAnsiTheme="minorHAnsi"/>
                <w:sz w:val="18"/>
                <w:szCs w:val="18"/>
              </w:rPr>
              <w:t>Dopuszczalne odchyłki,</w:t>
            </w:r>
          </w:p>
        </w:tc>
      </w:tr>
      <w:tr w:rsidR="00B97A47" w:rsidRPr="003511F4" w:rsidTr="00C26550">
        <w:tc>
          <w:tcPr>
            <w:tcW w:w="921" w:type="dxa"/>
            <w:tcBorders>
              <w:left w:val="single" w:sz="6" w:space="0" w:color="auto"/>
              <w:bottom w:val="double" w:sz="6" w:space="0" w:color="auto"/>
            </w:tcBorders>
          </w:tcPr>
          <w:p w:rsidR="00B97A47" w:rsidRPr="003511F4" w:rsidRDefault="00B97A47" w:rsidP="00C26550">
            <w:pPr>
              <w:numPr>
                <w:ilvl w:val="12"/>
                <w:numId w:val="0"/>
              </w:numPr>
              <w:spacing w:after="60"/>
              <w:jc w:val="center"/>
              <w:rPr>
                <w:rFonts w:asciiTheme="minorHAnsi" w:hAnsiTheme="minorHAnsi"/>
                <w:sz w:val="18"/>
                <w:szCs w:val="18"/>
              </w:rPr>
            </w:pPr>
            <w:r w:rsidRPr="003511F4">
              <w:rPr>
                <w:rFonts w:asciiTheme="minorHAnsi" w:hAnsiTheme="minorHAnsi"/>
                <w:sz w:val="18"/>
                <w:szCs w:val="18"/>
              </w:rPr>
              <w:t>(w cm)</w:t>
            </w:r>
          </w:p>
        </w:tc>
        <w:tc>
          <w:tcPr>
            <w:tcW w:w="1984" w:type="dxa"/>
            <w:gridSpan w:val="2"/>
            <w:tcBorders>
              <w:left w:val="single" w:sz="6" w:space="0" w:color="auto"/>
              <w:bottom w:val="double" w:sz="6" w:space="0" w:color="auto"/>
              <w:right w:val="single" w:sz="6" w:space="0" w:color="auto"/>
            </w:tcBorders>
          </w:tcPr>
          <w:p w:rsidR="00B97A47" w:rsidRPr="003511F4" w:rsidRDefault="00B97A47" w:rsidP="00C26550">
            <w:pPr>
              <w:numPr>
                <w:ilvl w:val="12"/>
                <w:numId w:val="0"/>
              </w:numPr>
              <w:spacing w:after="60"/>
              <w:jc w:val="center"/>
              <w:rPr>
                <w:rFonts w:asciiTheme="minorHAnsi" w:hAnsiTheme="minorHAnsi"/>
                <w:sz w:val="18"/>
                <w:szCs w:val="18"/>
              </w:rPr>
            </w:pPr>
            <w:r w:rsidRPr="003511F4">
              <w:rPr>
                <w:rFonts w:asciiTheme="minorHAnsi" w:hAnsiTheme="minorHAnsi"/>
                <w:sz w:val="18"/>
                <w:szCs w:val="18"/>
              </w:rPr>
              <w:t>A</w:t>
            </w:r>
          </w:p>
        </w:tc>
        <w:tc>
          <w:tcPr>
            <w:tcW w:w="1985" w:type="dxa"/>
            <w:gridSpan w:val="2"/>
            <w:tcBorders>
              <w:bottom w:val="double" w:sz="6" w:space="0" w:color="auto"/>
            </w:tcBorders>
          </w:tcPr>
          <w:p w:rsidR="00B97A47" w:rsidRPr="003511F4" w:rsidRDefault="00B97A47" w:rsidP="00C26550">
            <w:pPr>
              <w:numPr>
                <w:ilvl w:val="12"/>
                <w:numId w:val="0"/>
              </w:numPr>
              <w:spacing w:after="60"/>
              <w:jc w:val="center"/>
              <w:rPr>
                <w:rFonts w:asciiTheme="minorHAnsi" w:hAnsiTheme="minorHAnsi"/>
                <w:sz w:val="18"/>
                <w:szCs w:val="18"/>
              </w:rPr>
            </w:pPr>
            <w:r w:rsidRPr="003511F4">
              <w:rPr>
                <w:rFonts w:asciiTheme="minorHAnsi" w:hAnsiTheme="minorHAnsi"/>
                <w:sz w:val="18"/>
                <w:szCs w:val="18"/>
              </w:rPr>
              <w:t>B</w:t>
            </w:r>
          </w:p>
        </w:tc>
        <w:tc>
          <w:tcPr>
            <w:tcW w:w="2619" w:type="dxa"/>
            <w:tcBorders>
              <w:left w:val="single" w:sz="6" w:space="0" w:color="auto"/>
              <w:bottom w:val="double" w:sz="6" w:space="0" w:color="auto"/>
              <w:right w:val="single" w:sz="6" w:space="0" w:color="auto"/>
            </w:tcBorders>
          </w:tcPr>
          <w:p w:rsidR="00B97A47" w:rsidRPr="003511F4" w:rsidRDefault="00B97A47" w:rsidP="00C26550">
            <w:pPr>
              <w:numPr>
                <w:ilvl w:val="12"/>
                <w:numId w:val="0"/>
              </w:numPr>
              <w:spacing w:after="60"/>
              <w:jc w:val="center"/>
              <w:rPr>
                <w:rFonts w:asciiTheme="minorHAnsi" w:hAnsiTheme="minorHAnsi"/>
                <w:sz w:val="18"/>
                <w:szCs w:val="18"/>
              </w:rPr>
            </w:pPr>
            <w:r w:rsidRPr="003511F4">
              <w:rPr>
                <w:rFonts w:asciiTheme="minorHAnsi" w:hAnsiTheme="minorHAnsi"/>
                <w:sz w:val="18"/>
                <w:szCs w:val="18"/>
              </w:rPr>
              <w:t>cm</w:t>
            </w:r>
          </w:p>
        </w:tc>
      </w:tr>
      <w:tr w:rsidR="00B97A47" w:rsidRPr="003511F4" w:rsidTr="00C26550">
        <w:tc>
          <w:tcPr>
            <w:tcW w:w="921" w:type="dxa"/>
            <w:tcBorders>
              <w:top w:val="single" w:sz="6" w:space="0" w:color="auto"/>
              <w:left w:val="single" w:sz="6" w:space="0" w:color="auto"/>
              <w:bottom w:val="single" w:sz="6" w:space="0" w:color="auto"/>
              <w:right w:val="single" w:sz="6" w:space="0" w:color="auto"/>
            </w:tcBorders>
          </w:tcPr>
          <w:p w:rsidR="00B97A47" w:rsidRPr="003511F4" w:rsidRDefault="00B97A47" w:rsidP="00C26550">
            <w:pPr>
              <w:numPr>
                <w:ilvl w:val="12"/>
                <w:numId w:val="0"/>
              </w:numPr>
              <w:spacing w:before="60" w:after="60"/>
              <w:jc w:val="center"/>
              <w:rPr>
                <w:rFonts w:asciiTheme="minorHAnsi" w:hAnsiTheme="minorHAnsi"/>
                <w:sz w:val="18"/>
                <w:szCs w:val="18"/>
              </w:rPr>
            </w:pPr>
            <w:r w:rsidRPr="003511F4">
              <w:rPr>
                <w:rFonts w:asciiTheme="minorHAnsi" w:hAnsiTheme="minorHAnsi"/>
                <w:sz w:val="18"/>
                <w:szCs w:val="18"/>
              </w:rPr>
              <w:t>h</w:t>
            </w:r>
          </w:p>
        </w:tc>
        <w:tc>
          <w:tcPr>
            <w:tcW w:w="992" w:type="dxa"/>
            <w:tcBorders>
              <w:top w:val="single" w:sz="6" w:space="0" w:color="auto"/>
              <w:left w:val="single" w:sz="6" w:space="0" w:color="auto"/>
              <w:bottom w:val="single" w:sz="6" w:space="0" w:color="auto"/>
              <w:right w:val="single" w:sz="6" w:space="0" w:color="auto"/>
            </w:tcBorders>
          </w:tcPr>
          <w:p w:rsidR="00B97A47" w:rsidRPr="003511F4" w:rsidRDefault="00B97A47" w:rsidP="00C26550">
            <w:pPr>
              <w:numPr>
                <w:ilvl w:val="12"/>
                <w:numId w:val="0"/>
              </w:numPr>
              <w:spacing w:before="60" w:after="60"/>
              <w:jc w:val="center"/>
              <w:rPr>
                <w:rFonts w:asciiTheme="minorHAnsi" w:hAnsiTheme="minorHAnsi"/>
                <w:sz w:val="18"/>
                <w:szCs w:val="18"/>
              </w:rPr>
            </w:pPr>
            <w:r w:rsidRPr="003511F4">
              <w:rPr>
                <w:rFonts w:asciiTheme="minorHAnsi" w:hAnsiTheme="minorHAnsi"/>
                <w:sz w:val="18"/>
                <w:szCs w:val="18"/>
              </w:rPr>
              <w:t>35</w:t>
            </w:r>
          </w:p>
        </w:tc>
        <w:tc>
          <w:tcPr>
            <w:tcW w:w="992" w:type="dxa"/>
            <w:tcBorders>
              <w:top w:val="single" w:sz="6" w:space="0" w:color="auto"/>
              <w:left w:val="single" w:sz="6" w:space="0" w:color="auto"/>
              <w:bottom w:val="single" w:sz="6" w:space="0" w:color="auto"/>
              <w:right w:val="single" w:sz="6" w:space="0" w:color="auto"/>
            </w:tcBorders>
          </w:tcPr>
          <w:p w:rsidR="00B97A47" w:rsidRPr="003511F4" w:rsidRDefault="00B97A47" w:rsidP="00C26550">
            <w:pPr>
              <w:numPr>
                <w:ilvl w:val="12"/>
                <w:numId w:val="0"/>
              </w:numPr>
              <w:spacing w:before="60" w:after="60"/>
              <w:jc w:val="center"/>
              <w:rPr>
                <w:rFonts w:asciiTheme="minorHAnsi" w:hAnsiTheme="minorHAnsi"/>
                <w:sz w:val="18"/>
                <w:szCs w:val="18"/>
              </w:rPr>
            </w:pPr>
            <w:r w:rsidRPr="003511F4">
              <w:rPr>
                <w:rFonts w:asciiTheme="minorHAnsi" w:hAnsiTheme="minorHAnsi"/>
                <w:sz w:val="18"/>
                <w:szCs w:val="18"/>
              </w:rPr>
              <w:t>25</w:t>
            </w:r>
          </w:p>
        </w:tc>
        <w:tc>
          <w:tcPr>
            <w:tcW w:w="993" w:type="dxa"/>
            <w:tcBorders>
              <w:top w:val="single" w:sz="6" w:space="0" w:color="auto"/>
              <w:left w:val="single" w:sz="6" w:space="0" w:color="auto"/>
              <w:bottom w:val="single" w:sz="6" w:space="0" w:color="auto"/>
              <w:right w:val="single" w:sz="6" w:space="0" w:color="auto"/>
            </w:tcBorders>
          </w:tcPr>
          <w:p w:rsidR="00B97A47" w:rsidRPr="003511F4" w:rsidRDefault="00B97A47" w:rsidP="00C26550">
            <w:pPr>
              <w:numPr>
                <w:ilvl w:val="12"/>
                <w:numId w:val="0"/>
              </w:numPr>
              <w:spacing w:before="60" w:after="60"/>
              <w:jc w:val="center"/>
              <w:rPr>
                <w:rFonts w:asciiTheme="minorHAnsi" w:hAnsiTheme="minorHAnsi"/>
                <w:sz w:val="18"/>
                <w:szCs w:val="18"/>
              </w:rPr>
            </w:pPr>
            <w:r w:rsidRPr="003511F4">
              <w:rPr>
                <w:rFonts w:asciiTheme="minorHAnsi" w:hAnsiTheme="minorHAnsi"/>
                <w:sz w:val="18"/>
                <w:szCs w:val="18"/>
              </w:rPr>
              <w:t>35</w:t>
            </w:r>
          </w:p>
        </w:tc>
        <w:tc>
          <w:tcPr>
            <w:tcW w:w="992" w:type="dxa"/>
            <w:tcBorders>
              <w:top w:val="single" w:sz="6" w:space="0" w:color="auto"/>
              <w:bottom w:val="single" w:sz="6" w:space="0" w:color="auto"/>
              <w:right w:val="single" w:sz="6" w:space="0" w:color="auto"/>
            </w:tcBorders>
          </w:tcPr>
          <w:p w:rsidR="00B97A47" w:rsidRPr="003511F4" w:rsidRDefault="00B97A47" w:rsidP="00C26550">
            <w:pPr>
              <w:numPr>
                <w:ilvl w:val="12"/>
                <w:numId w:val="0"/>
              </w:numPr>
              <w:spacing w:before="60" w:after="60"/>
              <w:jc w:val="center"/>
              <w:rPr>
                <w:rFonts w:asciiTheme="minorHAnsi" w:hAnsiTheme="minorHAnsi"/>
                <w:sz w:val="18"/>
                <w:szCs w:val="18"/>
              </w:rPr>
            </w:pPr>
            <w:r w:rsidRPr="003511F4">
              <w:rPr>
                <w:rFonts w:asciiTheme="minorHAnsi" w:hAnsiTheme="minorHAnsi"/>
                <w:sz w:val="18"/>
                <w:szCs w:val="18"/>
              </w:rPr>
              <w:t>25</w:t>
            </w:r>
          </w:p>
        </w:tc>
        <w:tc>
          <w:tcPr>
            <w:tcW w:w="2619" w:type="dxa"/>
            <w:tcBorders>
              <w:top w:val="single" w:sz="6" w:space="0" w:color="auto"/>
              <w:left w:val="single" w:sz="6" w:space="0" w:color="auto"/>
              <w:bottom w:val="single" w:sz="6" w:space="0" w:color="auto"/>
              <w:right w:val="single" w:sz="6" w:space="0" w:color="auto"/>
            </w:tcBorders>
          </w:tcPr>
          <w:p w:rsidR="00B97A47" w:rsidRPr="003511F4" w:rsidRDefault="00B97A47" w:rsidP="00C26550">
            <w:pPr>
              <w:numPr>
                <w:ilvl w:val="12"/>
                <w:numId w:val="0"/>
              </w:numPr>
              <w:spacing w:before="60" w:after="60"/>
              <w:jc w:val="center"/>
              <w:rPr>
                <w:rFonts w:asciiTheme="minorHAnsi" w:hAnsiTheme="minorHAnsi"/>
                <w:sz w:val="18"/>
                <w:szCs w:val="18"/>
              </w:rPr>
            </w:pPr>
            <w:r w:rsidRPr="003511F4">
              <w:rPr>
                <w:rFonts w:asciiTheme="minorHAnsi" w:hAnsiTheme="minorHAnsi"/>
                <w:sz w:val="18"/>
                <w:szCs w:val="18"/>
              </w:rPr>
              <w:sym w:font="Symbol" w:char="F0B1"/>
            </w:r>
            <w:r w:rsidRPr="003511F4">
              <w:rPr>
                <w:rFonts w:asciiTheme="minorHAnsi" w:hAnsiTheme="minorHAnsi"/>
                <w:sz w:val="18"/>
                <w:szCs w:val="18"/>
              </w:rPr>
              <w:t xml:space="preserve"> 2</w:t>
            </w:r>
          </w:p>
        </w:tc>
      </w:tr>
      <w:tr w:rsidR="00B97A47" w:rsidRPr="003511F4" w:rsidTr="00C26550">
        <w:tc>
          <w:tcPr>
            <w:tcW w:w="921" w:type="dxa"/>
            <w:tcBorders>
              <w:top w:val="single" w:sz="6" w:space="0" w:color="auto"/>
              <w:left w:val="single" w:sz="6" w:space="0" w:color="auto"/>
              <w:bottom w:val="single" w:sz="6" w:space="0" w:color="auto"/>
              <w:right w:val="single" w:sz="6" w:space="0" w:color="auto"/>
            </w:tcBorders>
          </w:tcPr>
          <w:p w:rsidR="00B97A47" w:rsidRPr="003511F4" w:rsidRDefault="00B97A47" w:rsidP="00C26550">
            <w:pPr>
              <w:numPr>
                <w:ilvl w:val="12"/>
                <w:numId w:val="0"/>
              </w:numPr>
              <w:spacing w:before="60" w:after="60"/>
              <w:jc w:val="center"/>
              <w:rPr>
                <w:rFonts w:asciiTheme="minorHAnsi" w:hAnsiTheme="minorHAnsi"/>
                <w:sz w:val="18"/>
                <w:szCs w:val="18"/>
              </w:rPr>
            </w:pPr>
            <w:r w:rsidRPr="003511F4">
              <w:rPr>
                <w:rFonts w:asciiTheme="minorHAnsi" w:hAnsiTheme="minorHAnsi"/>
                <w:sz w:val="18"/>
                <w:szCs w:val="18"/>
              </w:rPr>
              <w:t>b</w:t>
            </w:r>
          </w:p>
        </w:tc>
        <w:tc>
          <w:tcPr>
            <w:tcW w:w="992" w:type="dxa"/>
            <w:tcBorders>
              <w:top w:val="single" w:sz="6" w:space="0" w:color="auto"/>
              <w:left w:val="single" w:sz="6" w:space="0" w:color="auto"/>
              <w:bottom w:val="single" w:sz="6" w:space="0" w:color="auto"/>
              <w:right w:val="single" w:sz="6" w:space="0" w:color="auto"/>
            </w:tcBorders>
          </w:tcPr>
          <w:p w:rsidR="00B97A47" w:rsidRPr="003511F4" w:rsidRDefault="00B97A47" w:rsidP="00C26550">
            <w:pPr>
              <w:numPr>
                <w:ilvl w:val="12"/>
                <w:numId w:val="0"/>
              </w:numPr>
              <w:spacing w:before="60" w:after="60"/>
              <w:jc w:val="center"/>
              <w:rPr>
                <w:rFonts w:asciiTheme="minorHAnsi" w:hAnsiTheme="minorHAnsi"/>
                <w:sz w:val="18"/>
                <w:szCs w:val="18"/>
              </w:rPr>
            </w:pPr>
            <w:r w:rsidRPr="003511F4">
              <w:rPr>
                <w:rFonts w:asciiTheme="minorHAnsi" w:hAnsiTheme="minorHAnsi"/>
                <w:sz w:val="18"/>
                <w:szCs w:val="18"/>
              </w:rPr>
              <w:t>20</w:t>
            </w:r>
          </w:p>
        </w:tc>
        <w:tc>
          <w:tcPr>
            <w:tcW w:w="992" w:type="dxa"/>
            <w:tcBorders>
              <w:top w:val="single" w:sz="6" w:space="0" w:color="auto"/>
              <w:left w:val="single" w:sz="6" w:space="0" w:color="auto"/>
              <w:bottom w:val="single" w:sz="6" w:space="0" w:color="auto"/>
              <w:right w:val="single" w:sz="6" w:space="0" w:color="auto"/>
            </w:tcBorders>
          </w:tcPr>
          <w:p w:rsidR="00B97A47" w:rsidRPr="003511F4" w:rsidRDefault="00B97A47" w:rsidP="00C26550">
            <w:pPr>
              <w:numPr>
                <w:ilvl w:val="12"/>
                <w:numId w:val="0"/>
              </w:numPr>
              <w:spacing w:before="60" w:after="60"/>
              <w:jc w:val="center"/>
              <w:rPr>
                <w:rFonts w:asciiTheme="minorHAnsi" w:hAnsiTheme="minorHAnsi"/>
                <w:sz w:val="18"/>
                <w:szCs w:val="18"/>
              </w:rPr>
            </w:pPr>
            <w:r w:rsidRPr="003511F4">
              <w:rPr>
                <w:rFonts w:asciiTheme="minorHAnsi" w:hAnsiTheme="minorHAnsi"/>
                <w:sz w:val="18"/>
                <w:szCs w:val="18"/>
              </w:rPr>
              <w:t>20</w:t>
            </w:r>
          </w:p>
        </w:tc>
        <w:tc>
          <w:tcPr>
            <w:tcW w:w="993" w:type="dxa"/>
            <w:tcBorders>
              <w:top w:val="single" w:sz="6" w:space="0" w:color="auto"/>
              <w:left w:val="single" w:sz="6" w:space="0" w:color="auto"/>
              <w:bottom w:val="single" w:sz="6" w:space="0" w:color="auto"/>
              <w:right w:val="single" w:sz="6" w:space="0" w:color="auto"/>
            </w:tcBorders>
          </w:tcPr>
          <w:p w:rsidR="00B97A47" w:rsidRPr="003511F4" w:rsidRDefault="00B97A47" w:rsidP="00C26550">
            <w:pPr>
              <w:numPr>
                <w:ilvl w:val="12"/>
                <w:numId w:val="0"/>
              </w:numPr>
              <w:spacing w:before="60" w:after="60"/>
              <w:jc w:val="center"/>
              <w:rPr>
                <w:rFonts w:asciiTheme="minorHAnsi" w:hAnsiTheme="minorHAnsi"/>
                <w:sz w:val="18"/>
                <w:szCs w:val="18"/>
              </w:rPr>
            </w:pPr>
            <w:r w:rsidRPr="003511F4">
              <w:rPr>
                <w:rFonts w:asciiTheme="minorHAnsi" w:hAnsiTheme="minorHAnsi"/>
                <w:sz w:val="18"/>
                <w:szCs w:val="18"/>
              </w:rPr>
              <w:t>15</w:t>
            </w:r>
          </w:p>
        </w:tc>
        <w:tc>
          <w:tcPr>
            <w:tcW w:w="992" w:type="dxa"/>
            <w:tcBorders>
              <w:top w:val="single" w:sz="6" w:space="0" w:color="auto"/>
              <w:bottom w:val="single" w:sz="6" w:space="0" w:color="auto"/>
              <w:right w:val="single" w:sz="6" w:space="0" w:color="auto"/>
            </w:tcBorders>
          </w:tcPr>
          <w:p w:rsidR="00B97A47" w:rsidRPr="003511F4" w:rsidRDefault="00B97A47" w:rsidP="00C26550">
            <w:pPr>
              <w:numPr>
                <w:ilvl w:val="12"/>
                <w:numId w:val="0"/>
              </w:numPr>
              <w:spacing w:before="60" w:after="60"/>
              <w:jc w:val="center"/>
              <w:rPr>
                <w:rFonts w:asciiTheme="minorHAnsi" w:hAnsiTheme="minorHAnsi"/>
                <w:sz w:val="18"/>
                <w:szCs w:val="18"/>
              </w:rPr>
            </w:pPr>
            <w:r w:rsidRPr="003511F4">
              <w:rPr>
                <w:rFonts w:asciiTheme="minorHAnsi" w:hAnsiTheme="minorHAnsi"/>
                <w:sz w:val="18"/>
                <w:szCs w:val="18"/>
              </w:rPr>
              <w:t>15</w:t>
            </w:r>
          </w:p>
        </w:tc>
        <w:tc>
          <w:tcPr>
            <w:tcW w:w="2619" w:type="dxa"/>
            <w:tcBorders>
              <w:top w:val="single" w:sz="6" w:space="0" w:color="auto"/>
              <w:left w:val="single" w:sz="6" w:space="0" w:color="auto"/>
              <w:bottom w:val="single" w:sz="6" w:space="0" w:color="auto"/>
              <w:right w:val="single" w:sz="6" w:space="0" w:color="auto"/>
            </w:tcBorders>
          </w:tcPr>
          <w:p w:rsidR="00B97A47" w:rsidRPr="003511F4" w:rsidRDefault="00B97A47" w:rsidP="00C26550">
            <w:pPr>
              <w:numPr>
                <w:ilvl w:val="12"/>
                <w:numId w:val="0"/>
              </w:numPr>
              <w:spacing w:before="60" w:after="60"/>
              <w:jc w:val="center"/>
              <w:rPr>
                <w:rFonts w:asciiTheme="minorHAnsi" w:hAnsiTheme="minorHAnsi"/>
                <w:sz w:val="18"/>
                <w:szCs w:val="18"/>
              </w:rPr>
            </w:pPr>
            <w:r w:rsidRPr="003511F4">
              <w:rPr>
                <w:rFonts w:asciiTheme="minorHAnsi" w:hAnsiTheme="minorHAnsi"/>
                <w:sz w:val="18"/>
                <w:szCs w:val="18"/>
              </w:rPr>
              <w:sym w:font="Symbol" w:char="F0B1"/>
            </w:r>
            <w:r w:rsidRPr="003511F4">
              <w:rPr>
                <w:rFonts w:asciiTheme="minorHAnsi" w:hAnsiTheme="minorHAnsi"/>
                <w:sz w:val="18"/>
                <w:szCs w:val="18"/>
              </w:rPr>
              <w:t xml:space="preserve"> 0,3</w:t>
            </w:r>
          </w:p>
        </w:tc>
      </w:tr>
      <w:tr w:rsidR="00B97A47" w:rsidRPr="003511F4" w:rsidTr="00C26550">
        <w:tc>
          <w:tcPr>
            <w:tcW w:w="921" w:type="dxa"/>
            <w:tcBorders>
              <w:top w:val="single" w:sz="6" w:space="0" w:color="auto"/>
              <w:left w:val="single" w:sz="6" w:space="0" w:color="auto"/>
              <w:bottom w:val="single" w:sz="6" w:space="0" w:color="auto"/>
              <w:right w:val="single" w:sz="6" w:space="0" w:color="auto"/>
            </w:tcBorders>
          </w:tcPr>
          <w:p w:rsidR="00B97A47" w:rsidRPr="003511F4" w:rsidRDefault="00B97A47" w:rsidP="00C26550">
            <w:pPr>
              <w:numPr>
                <w:ilvl w:val="12"/>
                <w:numId w:val="0"/>
              </w:numPr>
              <w:spacing w:before="60" w:after="60"/>
              <w:jc w:val="center"/>
              <w:rPr>
                <w:rFonts w:asciiTheme="minorHAnsi" w:hAnsiTheme="minorHAnsi"/>
                <w:sz w:val="18"/>
                <w:szCs w:val="18"/>
              </w:rPr>
            </w:pPr>
            <w:r w:rsidRPr="003511F4">
              <w:rPr>
                <w:rFonts w:asciiTheme="minorHAnsi" w:hAnsiTheme="minorHAnsi"/>
                <w:sz w:val="18"/>
                <w:szCs w:val="18"/>
              </w:rPr>
              <w:t>c</w:t>
            </w:r>
          </w:p>
        </w:tc>
        <w:tc>
          <w:tcPr>
            <w:tcW w:w="992" w:type="dxa"/>
            <w:tcBorders>
              <w:top w:val="single" w:sz="6" w:space="0" w:color="auto"/>
              <w:left w:val="single" w:sz="6" w:space="0" w:color="auto"/>
              <w:bottom w:val="single" w:sz="6" w:space="0" w:color="auto"/>
              <w:right w:val="single" w:sz="6" w:space="0" w:color="auto"/>
            </w:tcBorders>
          </w:tcPr>
          <w:p w:rsidR="00B97A47" w:rsidRPr="003511F4" w:rsidRDefault="00B97A47" w:rsidP="00C26550">
            <w:pPr>
              <w:numPr>
                <w:ilvl w:val="12"/>
                <w:numId w:val="0"/>
              </w:numPr>
              <w:spacing w:before="60" w:after="60"/>
              <w:jc w:val="center"/>
              <w:rPr>
                <w:rFonts w:asciiTheme="minorHAnsi" w:hAnsiTheme="minorHAnsi"/>
                <w:sz w:val="18"/>
                <w:szCs w:val="18"/>
              </w:rPr>
            </w:pPr>
            <w:r w:rsidRPr="003511F4">
              <w:rPr>
                <w:rFonts w:asciiTheme="minorHAnsi" w:hAnsiTheme="minorHAnsi"/>
                <w:sz w:val="18"/>
                <w:szCs w:val="18"/>
              </w:rPr>
              <w:t>4</w:t>
            </w:r>
          </w:p>
        </w:tc>
        <w:tc>
          <w:tcPr>
            <w:tcW w:w="992" w:type="dxa"/>
            <w:tcBorders>
              <w:top w:val="single" w:sz="6" w:space="0" w:color="auto"/>
              <w:left w:val="single" w:sz="6" w:space="0" w:color="auto"/>
              <w:bottom w:val="single" w:sz="6" w:space="0" w:color="auto"/>
              <w:right w:val="single" w:sz="6" w:space="0" w:color="auto"/>
            </w:tcBorders>
          </w:tcPr>
          <w:p w:rsidR="00B97A47" w:rsidRPr="003511F4" w:rsidRDefault="00B97A47" w:rsidP="00C26550">
            <w:pPr>
              <w:numPr>
                <w:ilvl w:val="12"/>
                <w:numId w:val="0"/>
              </w:numPr>
              <w:spacing w:before="60" w:after="60"/>
              <w:jc w:val="center"/>
              <w:rPr>
                <w:rFonts w:asciiTheme="minorHAnsi" w:hAnsiTheme="minorHAnsi"/>
                <w:sz w:val="18"/>
                <w:szCs w:val="18"/>
              </w:rPr>
            </w:pPr>
            <w:r w:rsidRPr="003511F4">
              <w:rPr>
                <w:rFonts w:asciiTheme="minorHAnsi" w:hAnsiTheme="minorHAnsi"/>
                <w:sz w:val="18"/>
                <w:szCs w:val="18"/>
              </w:rPr>
              <w:t>4</w:t>
            </w:r>
          </w:p>
        </w:tc>
        <w:tc>
          <w:tcPr>
            <w:tcW w:w="993" w:type="dxa"/>
            <w:tcBorders>
              <w:top w:val="single" w:sz="6" w:space="0" w:color="auto"/>
              <w:left w:val="single" w:sz="6" w:space="0" w:color="auto"/>
              <w:bottom w:val="single" w:sz="6" w:space="0" w:color="auto"/>
              <w:right w:val="single" w:sz="6" w:space="0" w:color="auto"/>
            </w:tcBorders>
          </w:tcPr>
          <w:p w:rsidR="00B97A47" w:rsidRPr="003511F4" w:rsidRDefault="00B97A47" w:rsidP="00C26550">
            <w:pPr>
              <w:numPr>
                <w:ilvl w:val="12"/>
                <w:numId w:val="0"/>
              </w:numPr>
              <w:spacing w:before="60" w:after="60"/>
              <w:jc w:val="center"/>
              <w:rPr>
                <w:rFonts w:asciiTheme="minorHAnsi" w:hAnsiTheme="minorHAnsi"/>
                <w:sz w:val="18"/>
                <w:szCs w:val="18"/>
              </w:rPr>
            </w:pPr>
            <w:r w:rsidRPr="003511F4">
              <w:rPr>
                <w:rFonts w:asciiTheme="minorHAnsi" w:hAnsiTheme="minorHAnsi"/>
                <w:sz w:val="18"/>
                <w:szCs w:val="18"/>
              </w:rPr>
              <w:t>-</w:t>
            </w:r>
          </w:p>
        </w:tc>
        <w:tc>
          <w:tcPr>
            <w:tcW w:w="992" w:type="dxa"/>
            <w:tcBorders>
              <w:top w:val="single" w:sz="6" w:space="0" w:color="auto"/>
              <w:bottom w:val="single" w:sz="6" w:space="0" w:color="auto"/>
              <w:right w:val="single" w:sz="6" w:space="0" w:color="auto"/>
            </w:tcBorders>
          </w:tcPr>
          <w:p w:rsidR="00B97A47" w:rsidRPr="003511F4" w:rsidRDefault="00B97A47" w:rsidP="00C26550">
            <w:pPr>
              <w:numPr>
                <w:ilvl w:val="12"/>
                <w:numId w:val="0"/>
              </w:numPr>
              <w:spacing w:before="60" w:after="60"/>
              <w:jc w:val="center"/>
              <w:rPr>
                <w:rFonts w:asciiTheme="minorHAnsi" w:hAnsiTheme="minorHAnsi"/>
                <w:sz w:val="18"/>
                <w:szCs w:val="18"/>
              </w:rPr>
            </w:pPr>
            <w:r w:rsidRPr="003511F4">
              <w:rPr>
                <w:rFonts w:asciiTheme="minorHAnsi" w:hAnsiTheme="minorHAnsi"/>
                <w:sz w:val="18"/>
                <w:szCs w:val="18"/>
              </w:rPr>
              <w:t>-</w:t>
            </w:r>
          </w:p>
        </w:tc>
        <w:tc>
          <w:tcPr>
            <w:tcW w:w="2619" w:type="dxa"/>
            <w:tcBorders>
              <w:top w:val="single" w:sz="6" w:space="0" w:color="auto"/>
              <w:left w:val="single" w:sz="6" w:space="0" w:color="auto"/>
              <w:bottom w:val="single" w:sz="6" w:space="0" w:color="auto"/>
              <w:right w:val="single" w:sz="6" w:space="0" w:color="auto"/>
            </w:tcBorders>
          </w:tcPr>
          <w:p w:rsidR="00B97A47" w:rsidRPr="003511F4" w:rsidRDefault="00B97A47" w:rsidP="00C26550">
            <w:pPr>
              <w:numPr>
                <w:ilvl w:val="12"/>
                <w:numId w:val="0"/>
              </w:numPr>
              <w:spacing w:before="60" w:after="60"/>
              <w:jc w:val="center"/>
              <w:rPr>
                <w:rFonts w:asciiTheme="minorHAnsi" w:hAnsiTheme="minorHAnsi"/>
                <w:sz w:val="18"/>
                <w:szCs w:val="18"/>
              </w:rPr>
            </w:pPr>
            <w:r w:rsidRPr="003511F4">
              <w:rPr>
                <w:rFonts w:asciiTheme="minorHAnsi" w:hAnsiTheme="minorHAnsi"/>
                <w:sz w:val="18"/>
                <w:szCs w:val="18"/>
              </w:rPr>
              <w:sym w:font="Symbol" w:char="F0B1"/>
            </w:r>
            <w:r w:rsidRPr="003511F4">
              <w:rPr>
                <w:rFonts w:asciiTheme="minorHAnsi" w:hAnsiTheme="minorHAnsi"/>
                <w:sz w:val="18"/>
                <w:szCs w:val="18"/>
              </w:rPr>
              <w:t xml:space="preserve"> 0,3</w:t>
            </w:r>
          </w:p>
        </w:tc>
      </w:tr>
      <w:tr w:rsidR="00B97A47" w:rsidRPr="003511F4" w:rsidTr="00C26550">
        <w:tc>
          <w:tcPr>
            <w:tcW w:w="921" w:type="dxa"/>
            <w:tcBorders>
              <w:top w:val="single" w:sz="6" w:space="0" w:color="auto"/>
              <w:left w:val="single" w:sz="6" w:space="0" w:color="auto"/>
              <w:bottom w:val="single" w:sz="6" w:space="0" w:color="auto"/>
              <w:right w:val="single" w:sz="6" w:space="0" w:color="auto"/>
            </w:tcBorders>
          </w:tcPr>
          <w:p w:rsidR="00B97A47" w:rsidRPr="003511F4" w:rsidRDefault="00B97A47" w:rsidP="00C26550">
            <w:pPr>
              <w:numPr>
                <w:ilvl w:val="12"/>
                <w:numId w:val="0"/>
              </w:numPr>
              <w:spacing w:before="120" w:after="60"/>
              <w:jc w:val="center"/>
              <w:rPr>
                <w:rFonts w:asciiTheme="minorHAnsi" w:hAnsiTheme="minorHAnsi"/>
                <w:sz w:val="18"/>
                <w:szCs w:val="18"/>
              </w:rPr>
            </w:pPr>
            <w:r w:rsidRPr="003511F4">
              <w:rPr>
                <w:rFonts w:asciiTheme="minorHAnsi" w:hAnsiTheme="minorHAnsi"/>
                <w:sz w:val="18"/>
                <w:szCs w:val="18"/>
              </w:rPr>
              <w:t>d</w:t>
            </w:r>
          </w:p>
        </w:tc>
        <w:tc>
          <w:tcPr>
            <w:tcW w:w="992" w:type="dxa"/>
            <w:tcBorders>
              <w:top w:val="single" w:sz="6" w:space="0" w:color="auto"/>
              <w:left w:val="single" w:sz="6" w:space="0" w:color="auto"/>
              <w:bottom w:val="single" w:sz="6" w:space="0" w:color="auto"/>
              <w:right w:val="single" w:sz="6" w:space="0" w:color="auto"/>
            </w:tcBorders>
          </w:tcPr>
          <w:p w:rsidR="00B97A47" w:rsidRPr="003511F4" w:rsidRDefault="00B97A47" w:rsidP="00C26550">
            <w:pPr>
              <w:numPr>
                <w:ilvl w:val="12"/>
                <w:numId w:val="0"/>
              </w:numPr>
              <w:spacing w:before="120" w:after="60"/>
              <w:jc w:val="center"/>
              <w:rPr>
                <w:rFonts w:asciiTheme="minorHAnsi" w:hAnsiTheme="minorHAnsi"/>
                <w:sz w:val="18"/>
                <w:szCs w:val="18"/>
              </w:rPr>
            </w:pPr>
            <w:r w:rsidRPr="003511F4">
              <w:rPr>
                <w:rFonts w:asciiTheme="minorHAnsi" w:hAnsiTheme="minorHAnsi"/>
                <w:sz w:val="18"/>
                <w:szCs w:val="18"/>
              </w:rPr>
              <w:t>15</w:t>
            </w:r>
          </w:p>
        </w:tc>
        <w:tc>
          <w:tcPr>
            <w:tcW w:w="992" w:type="dxa"/>
            <w:tcBorders>
              <w:top w:val="single" w:sz="6" w:space="0" w:color="auto"/>
              <w:left w:val="single" w:sz="6" w:space="0" w:color="auto"/>
              <w:bottom w:val="single" w:sz="6" w:space="0" w:color="auto"/>
              <w:right w:val="single" w:sz="6" w:space="0" w:color="auto"/>
            </w:tcBorders>
          </w:tcPr>
          <w:p w:rsidR="00B97A47" w:rsidRPr="003511F4" w:rsidRDefault="00B97A47" w:rsidP="00C26550">
            <w:pPr>
              <w:numPr>
                <w:ilvl w:val="12"/>
                <w:numId w:val="0"/>
              </w:numPr>
              <w:spacing w:before="120" w:after="60"/>
              <w:jc w:val="center"/>
              <w:rPr>
                <w:rFonts w:asciiTheme="minorHAnsi" w:hAnsiTheme="minorHAnsi"/>
                <w:sz w:val="18"/>
                <w:szCs w:val="18"/>
              </w:rPr>
            </w:pPr>
            <w:r w:rsidRPr="003511F4">
              <w:rPr>
                <w:rFonts w:asciiTheme="minorHAnsi" w:hAnsiTheme="minorHAnsi"/>
                <w:sz w:val="18"/>
                <w:szCs w:val="18"/>
              </w:rPr>
              <w:t>15</w:t>
            </w:r>
          </w:p>
        </w:tc>
        <w:tc>
          <w:tcPr>
            <w:tcW w:w="993" w:type="dxa"/>
            <w:tcBorders>
              <w:top w:val="single" w:sz="6" w:space="0" w:color="auto"/>
              <w:left w:val="single" w:sz="6" w:space="0" w:color="auto"/>
              <w:bottom w:val="single" w:sz="6" w:space="0" w:color="auto"/>
              <w:right w:val="single" w:sz="6" w:space="0" w:color="auto"/>
            </w:tcBorders>
          </w:tcPr>
          <w:p w:rsidR="00B97A47" w:rsidRPr="003511F4" w:rsidRDefault="00B97A47" w:rsidP="00C26550">
            <w:pPr>
              <w:numPr>
                <w:ilvl w:val="12"/>
                <w:numId w:val="0"/>
              </w:numPr>
              <w:spacing w:before="120" w:after="60"/>
              <w:jc w:val="center"/>
              <w:rPr>
                <w:rFonts w:asciiTheme="minorHAnsi" w:hAnsiTheme="minorHAnsi"/>
                <w:sz w:val="18"/>
                <w:szCs w:val="18"/>
              </w:rPr>
            </w:pPr>
            <w:r w:rsidRPr="003511F4">
              <w:rPr>
                <w:rFonts w:asciiTheme="minorHAnsi" w:hAnsiTheme="minorHAnsi"/>
                <w:sz w:val="18"/>
                <w:szCs w:val="18"/>
              </w:rPr>
              <w:t>15</w:t>
            </w:r>
          </w:p>
        </w:tc>
        <w:tc>
          <w:tcPr>
            <w:tcW w:w="992" w:type="dxa"/>
            <w:tcBorders>
              <w:top w:val="single" w:sz="6" w:space="0" w:color="auto"/>
              <w:bottom w:val="single" w:sz="6" w:space="0" w:color="auto"/>
              <w:right w:val="single" w:sz="6" w:space="0" w:color="auto"/>
            </w:tcBorders>
          </w:tcPr>
          <w:p w:rsidR="00B97A47" w:rsidRPr="003511F4" w:rsidRDefault="00B97A47" w:rsidP="00C26550">
            <w:pPr>
              <w:numPr>
                <w:ilvl w:val="12"/>
                <w:numId w:val="0"/>
              </w:numPr>
              <w:spacing w:before="120"/>
              <w:jc w:val="center"/>
              <w:rPr>
                <w:rFonts w:asciiTheme="minorHAnsi" w:hAnsiTheme="minorHAnsi"/>
                <w:sz w:val="18"/>
                <w:szCs w:val="18"/>
              </w:rPr>
            </w:pPr>
            <w:r w:rsidRPr="003511F4">
              <w:rPr>
                <w:rFonts w:asciiTheme="minorHAnsi" w:hAnsiTheme="minorHAnsi"/>
                <w:sz w:val="18"/>
                <w:szCs w:val="18"/>
              </w:rPr>
              <w:t>15</w:t>
            </w:r>
          </w:p>
        </w:tc>
        <w:tc>
          <w:tcPr>
            <w:tcW w:w="2619" w:type="dxa"/>
            <w:tcBorders>
              <w:top w:val="single" w:sz="6" w:space="0" w:color="auto"/>
              <w:left w:val="single" w:sz="6" w:space="0" w:color="auto"/>
              <w:bottom w:val="single" w:sz="6" w:space="0" w:color="auto"/>
              <w:right w:val="single" w:sz="6" w:space="0" w:color="auto"/>
            </w:tcBorders>
          </w:tcPr>
          <w:p w:rsidR="00B97A47" w:rsidRPr="003511F4" w:rsidRDefault="00B97A47" w:rsidP="00C26550">
            <w:pPr>
              <w:numPr>
                <w:ilvl w:val="12"/>
                <w:numId w:val="0"/>
              </w:numPr>
              <w:rPr>
                <w:rFonts w:asciiTheme="minorHAnsi" w:hAnsiTheme="minorHAnsi"/>
                <w:sz w:val="18"/>
                <w:szCs w:val="18"/>
              </w:rPr>
            </w:pPr>
            <w:r w:rsidRPr="003511F4">
              <w:rPr>
                <w:rFonts w:asciiTheme="minorHAnsi" w:hAnsiTheme="minorHAnsi"/>
                <w:sz w:val="18"/>
                <w:szCs w:val="18"/>
              </w:rPr>
              <w:t xml:space="preserve">        dla  A:              dla  B:</w:t>
            </w:r>
          </w:p>
          <w:p w:rsidR="00B97A47" w:rsidRPr="003511F4" w:rsidRDefault="00B97A47" w:rsidP="00C26550">
            <w:pPr>
              <w:numPr>
                <w:ilvl w:val="12"/>
                <w:numId w:val="0"/>
              </w:numPr>
              <w:rPr>
                <w:rFonts w:asciiTheme="minorHAnsi" w:hAnsiTheme="minorHAnsi"/>
                <w:sz w:val="18"/>
                <w:szCs w:val="18"/>
              </w:rPr>
            </w:pPr>
            <w:r w:rsidRPr="003511F4">
              <w:rPr>
                <w:rFonts w:asciiTheme="minorHAnsi" w:hAnsiTheme="minorHAnsi"/>
                <w:sz w:val="18"/>
                <w:szCs w:val="18"/>
              </w:rPr>
              <w:t xml:space="preserve">         </w:t>
            </w:r>
            <w:r w:rsidRPr="003511F4">
              <w:rPr>
                <w:rFonts w:asciiTheme="minorHAnsi" w:hAnsiTheme="minorHAnsi"/>
                <w:sz w:val="18"/>
                <w:szCs w:val="18"/>
              </w:rPr>
              <w:sym w:font="Symbol" w:char="F0B1"/>
            </w:r>
            <w:r w:rsidRPr="003511F4">
              <w:rPr>
                <w:rFonts w:asciiTheme="minorHAnsi" w:hAnsiTheme="minorHAnsi"/>
                <w:sz w:val="18"/>
                <w:szCs w:val="18"/>
              </w:rPr>
              <w:t xml:space="preserve"> 0,2                 </w:t>
            </w:r>
            <w:r w:rsidRPr="003511F4">
              <w:rPr>
                <w:rFonts w:asciiTheme="minorHAnsi" w:hAnsiTheme="minorHAnsi"/>
                <w:sz w:val="18"/>
                <w:szCs w:val="18"/>
              </w:rPr>
              <w:sym w:font="Symbol" w:char="F0B1"/>
            </w:r>
            <w:r w:rsidRPr="003511F4">
              <w:rPr>
                <w:rFonts w:asciiTheme="minorHAnsi" w:hAnsiTheme="minorHAnsi"/>
                <w:sz w:val="18"/>
                <w:szCs w:val="18"/>
              </w:rPr>
              <w:t xml:space="preserve"> 2,0</w:t>
            </w:r>
          </w:p>
        </w:tc>
      </w:tr>
      <w:tr w:rsidR="00B97A47" w:rsidRPr="003511F4" w:rsidTr="00C26550">
        <w:tc>
          <w:tcPr>
            <w:tcW w:w="921" w:type="dxa"/>
            <w:tcBorders>
              <w:top w:val="single" w:sz="6" w:space="0" w:color="auto"/>
              <w:left w:val="single" w:sz="6" w:space="0" w:color="auto"/>
              <w:bottom w:val="single" w:sz="6" w:space="0" w:color="auto"/>
              <w:right w:val="single" w:sz="6" w:space="0" w:color="auto"/>
            </w:tcBorders>
          </w:tcPr>
          <w:p w:rsidR="00B97A47" w:rsidRPr="003511F4" w:rsidRDefault="00B97A47" w:rsidP="00C26550">
            <w:pPr>
              <w:numPr>
                <w:ilvl w:val="12"/>
                <w:numId w:val="0"/>
              </w:numPr>
              <w:spacing w:before="60" w:after="60"/>
              <w:jc w:val="center"/>
              <w:rPr>
                <w:rFonts w:asciiTheme="minorHAnsi" w:hAnsiTheme="minorHAnsi"/>
                <w:sz w:val="18"/>
                <w:szCs w:val="18"/>
              </w:rPr>
            </w:pPr>
            <w:r w:rsidRPr="003511F4">
              <w:rPr>
                <w:rFonts w:asciiTheme="minorHAnsi" w:hAnsiTheme="minorHAnsi"/>
                <w:sz w:val="18"/>
                <w:szCs w:val="18"/>
              </w:rPr>
              <w:t>l</w:t>
            </w:r>
          </w:p>
        </w:tc>
        <w:tc>
          <w:tcPr>
            <w:tcW w:w="1984" w:type="dxa"/>
            <w:gridSpan w:val="2"/>
            <w:tcBorders>
              <w:top w:val="single" w:sz="6" w:space="0" w:color="auto"/>
              <w:left w:val="single" w:sz="6" w:space="0" w:color="auto"/>
              <w:bottom w:val="single" w:sz="6" w:space="0" w:color="auto"/>
              <w:right w:val="single" w:sz="6" w:space="0" w:color="auto"/>
            </w:tcBorders>
          </w:tcPr>
          <w:p w:rsidR="00B97A47" w:rsidRPr="003511F4" w:rsidRDefault="00B97A47" w:rsidP="00C26550">
            <w:pPr>
              <w:numPr>
                <w:ilvl w:val="12"/>
                <w:numId w:val="0"/>
              </w:numPr>
              <w:spacing w:before="60" w:after="60"/>
              <w:jc w:val="center"/>
              <w:rPr>
                <w:rFonts w:asciiTheme="minorHAnsi" w:hAnsiTheme="minorHAnsi"/>
                <w:sz w:val="18"/>
                <w:szCs w:val="18"/>
              </w:rPr>
            </w:pPr>
            <w:r w:rsidRPr="003511F4">
              <w:rPr>
                <w:rFonts w:asciiTheme="minorHAnsi" w:hAnsiTheme="minorHAnsi"/>
                <w:sz w:val="18"/>
                <w:szCs w:val="18"/>
              </w:rPr>
              <w:t>50</w:t>
            </w:r>
          </w:p>
        </w:tc>
        <w:tc>
          <w:tcPr>
            <w:tcW w:w="1985" w:type="dxa"/>
            <w:gridSpan w:val="2"/>
            <w:tcBorders>
              <w:top w:val="single" w:sz="6" w:space="0" w:color="auto"/>
              <w:left w:val="single" w:sz="6" w:space="0" w:color="auto"/>
              <w:bottom w:val="single" w:sz="6" w:space="0" w:color="auto"/>
              <w:right w:val="single" w:sz="6" w:space="0" w:color="auto"/>
            </w:tcBorders>
          </w:tcPr>
          <w:p w:rsidR="00B97A47" w:rsidRPr="003511F4" w:rsidRDefault="00B97A47" w:rsidP="00C26550">
            <w:pPr>
              <w:numPr>
                <w:ilvl w:val="12"/>
                <w:numId w:val="0"/>
              </w:numPr>
              <w:spacing w:before="60" w:after="60"/>
              <w:jc w:val="center"/>
              <w:rPr>
                <w:rFonts w:asciiTheme="minorHAnsi" w:hAnsiTheme="minorHAnsi"/>
                <w:sz w:val="18"/>
                <w:szCs w:val="18"/>
              </w:rPr>
            </w:pPr>
            <w:r w:rsidRPr="003511F4">
              <w:rPr>
                <w:rFonts w:asciiTheme="minorHAnsi" w:hAnsiTheme="minorHAnsi"/>
                <w:sz w:val="18"/>
                <w:szCs w:val="18"/>
              </w:rPr>
              <w:t>od 50 do 200</w:t>
            </w:r>
          </w:p>
        </w:tc>
        <w:tc>
          <w:tcPr>
            <w:tcW w:w="2619" w:type="dxa"/>
            <w:tcBorders>
              <w:top w:val="single" w:sz="6" w:space="0" w:color="auto"/>
              <w:left w:val="single" w:sz="6" w:space="0" w:color="auto"/>
              <w:bottom w:val="single" w:sz="6" w:space="0" w:color="auto"/>
              <w:right w:val="single" w:sz="6" w:space="0" w:color="auto"/>
            </w:tcBorders>
          </w:tcPr>
          <w:p w:rsidR="00B97A47" w:rsidRPr="003511F4" w:rsidRDefault="00B97A47" w:rsidP="00C26550">
            <w:pPr>
              <w:numPr>
                <w:ilvl w:val="12"/>
                <w:numId w:val="0"/>
              </w:numPr>
              <w:spacing w:before="60" w:after="60"/>
              <w:jc w:val="center"/>
              <w:rPr>
                <w:rFonts w:asciiTheme="minorHAnsi" w:hAnsiTheme="minorHAnsi"/>
                <w:sz w:val="18"/>
                <w:szCs w:val="18"/>
              </w:rPr>
            </w:pPr>
            <w:r w:rsidRPr="003511F4">
              <w:rPr>
                <w:rFonts w:asciiTheme="minorHAnsi" w:hAnsiTheme="minorHAnsi"/>
                <w:sz w:val="18"/>
                <w:szCs w:val="18"/>
              </w:rPr>
              <w:t>-</w:t>
            </w:r>
          </w:p>
        </w:tc>
      </w:tr>
    </w:tbl>
    <w:p w:rsidR="00B97A47" w:rsidRPr="003511F4" w:rsidRDefault="00B97A47" w:rsidP="00B97A47">
      <w:pPr>
        <w:rPr>
          <w:rFonts w:asciiTheme="minorHAnsi" w:hAnsiTheme="minorHAnsi"/>
        </w:rPr>
      </w:pPr>
    </w:p>
    <w:p w:rsidR="00B97A47" w:rsidRPr="003511F4" w:rsidRDefault="00B97A47" w:rsidP="00B97A47">
      <w:pPr>
        <w:rPr>
          <w:rFonts w:asciiTheme="minorHAnsi" w:hAnsiTheme="minorHAnsi"/>
        </w:rPr>
      </w:pPr>
      <w:r w:rsidRPr="00A15B5F">
        <w:rPr>
          <w:rFonts w:asciiTheme="minorHAnsi" w:hAnsiTheme="minorHAnsi"/>
          <w:b/>
        </w:rPr>
        <w:t>2.4.3.</w:t>
      </w:r>
      <w:r w:rsidRPr="003511F4">
        <w:rPr>
          <w:rFonts w:asciiTheme="minorHAnsi" w:hAnsiTheme="minorHAnsi"/>
        </w:rPr>
        <w:t xml:space="preserve"> Wygląd zewnętrzny</w:t>
      </w:r>
    </w:p>
    <w:p w:rsidR="00B97A47" w:rsidRPr="003511F4" w:rsidRDefault="00B97A47" w:rsidP="00B97A47">
      <w:pPr>
        <w:rPr>
          <w:rFonts w:asciiTheme="minorHAnsi" w:hAnsiTheme="minorHAnsi"/>
        </w:rPr>
      </w:pPr>
      <w:r w:rsidRPr="003511F4">
        <w:rPr>
          <w:rFonts w:asciiTheme="minorHAnsi" w:hAnsiTheme="minorHAnsi"/>
        </w:rPr>
        <w:tab/>
        <w:t>W ocenie wyglądu zewnętrznego krawężników kamiennych należy brać pod uwagę ustalenia normy BN-66/6775-01.</w:t>
      </w:r>
    </w:p>
    <w:p w:rsidR="00B97A47" w:rsidRPr="003511F4" w:rsidRDefault="00B97A47" w:rsidP="00B97A47">
      <w:pPr>
        <w:rPr>
          <w:rFonts w:asciiTheme="minorHAnsi" w:hAnsiTheme="minorHAnsi"/>
        </w:rPr>
      </w:pPr>
      <w:r w:rsidRPr="00A15B5F">
        <w:rPr>
          <w:rFonts w:asciiTheme="minorHAnsi" w:hAnsiTheme="minorHAnsi"/>
          <w:b/>
        </w:rPr>
        <w:t>2.5.</w:t>
      </w:r>
      <w:r w:rsidRPr="003511F4">
        <w:rPr>
          <w:rFonts w:asciiTheme="minorHAnsi" w:hAnsiTheme="minorHAnsi"/>
        </w:rPr>
        <w:t xml:space="preserve"> Dopuszczalne wady i uszkodzenia</w:t>
      </w:r>
    </w:p>
    <w:p w:rsidR="00B97A47" w:rsidRPr="003511F4" w:rsidRDefault="00B97A47" w:rsidP="00B97A47">
      <w:pPr>
        <w:rPr>
          <w:rFonts w:asciiTheme="minorHAnsi" w:hAnsiTheme="minorHAnsi"/>
        </w:rPr>
      </w:pPr>
      <w:r w:rsidRPr="003511F4">
        <w:rPr>
          <w:rFonts w:asciiTheme="minorHAnsi" w:hAnsiTheme="minorHAnsi"/>
        </w:rPr>
        <w:tab/>
        <w:t>Dopuszczalne wady i uszkodzenia dla krawężników kamiennych ulicznych podaje tablica 3.</w:t>
      </w:r>
    </w:p>
    <w:p w:rsidR="00B97A47" w:rsidRPr="003511F4" w:rsidRDefault="00B97A47" w:rsidP="00B97A47">
      <w:pPr>
        <w:rPr>
          <w:rFonts w:asciiTheme="minorHAnsi" w:hAnsiTheme="minorHAnsi"/>
        </w:rPr>
      </w:pPr>
    </w:p>
    <w:p w:rsidR="00B97A47" w:rsidRPr="003511F4" w:rsidRDefault="00B97A47" w:rsidP="00B97A47">
      <w:pPr>
        <w:ind w:left="709"/>
        <w:rPr>
          <w:rFonts w:asciiTheme="minorHAnsi" w:hAnsiTheme="minorHAnsi"/>
        </w:rPr>
      </w:pPr>
      <w:r w:rsidRPr="003511F4">
        <w:rPr>
          <w:rFonts w:asciiTheme="minorHAnsi" w:hAnsiTheme="minorHAnsi"/>
        </w:rPr>
        <w:t>Tablica 3. Dopuszczalne wady i uszkodzenia</w:t>
      </w:r>
    </w:p>
    <w:tbl>
      <w:tblPr>
        <w:tblW w:w="0" w:type="auto"/>
        <w:tblInd w:w="779" w:type="dxa"/>
        <w:tblLayout w:type="fixed"/>
        <w:tblCellMar>
          <w:left w:w="70" w:type="dxa"/>
          <w:right w:w="70" w:type="dxa"/>
        </w:tblCellMar>
        <w:tblLook w:val="0000"/>
      </w:tblPr>
      <w:tblGrid>
        <w:gridCol w:w="1346"/>
        <w:gridCol w:w="1211"/>
        <w:gridCol w:w="8"/>
        <w:gridCol w:w="766"/>
        <w:gridCol w:w="850"/>
        <w:gridCol w:w="2412"/>
      </w:tblGrid>
      <w:tr w:rsidR="00B97A47" w:rsidRPr="003511F4" w:rsidTr="00C26550">
        <w:trPr>
          <w:gridAfter w:val="3"/>
          <w:wAfter w:w="4028" w:type="dxa"/>
          <w:trHeight w:val="244"/>
        </w:trPr>
        <w:tc>
          <w:tcPr>
            <w:tcW w:w="2565" w:type="dxa"/>
            <w:gridSpan w:val="3"/>
            <w:vMerge w:val="restart"/>
            <w:tcBorders>
              <w:top w:val="single" w:sz="6" w:space="0" w:color="auto"/>
              <w:left w:val="single" w:sz="6" w:space="0" w:color="auto"/>
              <w:right w:val="single" w:sz="6" w:space="0" w:color="auto"/>
            </w:tcBorders>
          </w:tcPr>
          <w:p w:rsidR="00B97A47" w:rsidRPr="003511F4" w:rsidRDefault="00B97A47" w:rsidP="00C26550">
            <w:pPr>
              <w:numPr>
                <w:ilvl w:val="12"/>
                <w:numId w:val="0"/>
              </w:numPr>
              <w:jc w:val="center"/>
              <w:rPr>
                <w:rFonts w:asciiTheme="minorHAnsi" w:hAnsiTheme="minorHAnsi"/>
                <w:sz w:val="18"/>
                <w:szCs w:val="18"/>
              </w:rPr>
            </w:pPr>
            <w:r w:rsidRPr="003511F4">
              <w:rPr>
                <w:rFonts w:asciiTheme="minorHAnsi" w:hAnsiTheme="minorHAnsi"/>
                <w:sz w:val="18"/>
                <w:szCs w:val="18"/>
              </w:rPr>
              <w:t>Rodzaj uszkodzeń</w:t>
            </w:r>
          </w:p>
        </w:tc>
      </w:tr>
      <w:tr w:rsidR="00B97A47" w:rsidRPr="003511F4" w:rsidTr="00C26550">
        <w:tc>
          <w:tcPr>
            <w:tcW w:w="2565" w:type="dxa"/>
            <w:gridSpan w:val="3"/>
            <w:vMerge/>
            <w:tcBorders>
              <w:left w:val="single" w:sz="6" w:space="0" w:color="auto"/>
              <w:right w:val="single" w:sz="6" w:space="0" w:color="auto"/>
            </w:tcBorders>
          </w:tcPr>
          <w:p w:rsidR="00B97A47" w:rsidRPr="003511F4" w:rsidRDefault="00B97A47" w:rsidP="00C26550">
            <w:pPr>
              <w:numPr>
                <w:ilvl w:val="12"/>
                <w:numId w:val="0"/>
              </w:numPr>
              <w:jc w:val="center"/>
              <w:rPr>
                <w:rFonts w:asciiTheme="minorHAnsi" w:hAnsiTheme="minorHAnsi"/>
                <w:sz w:val="18"/>
                <w:szCs w:val="18"/>
              </w:rPr>
            </w:pPr>
          </w:p>
        </w:tc>
        <w:tc>
          <w:tcPr>
            <w:tcW w:w="4028" w:type="dxa"/>
            <w:gridSpan w:val="3"/>
            <w:tcBorders>
              <w:top w:val="single" w:sz="6" w:space="0" w:color="auto"/>
              <w:left w:val="single" w:sz="6" w:space="0" w:color="auto"/>
              <w:bottom w:val="single" w:sz="6" w:space="0" w:color="auto"/>
              <w:right w:val="single" w:sz="6" w:space="0" w:color="auto"/>
            </w:tcBorders>
          </w:tcPr>
          <w:p w:rsidR="00B97A47" w:rsidRPr="003511F4" w:rsidRDefault="00B97A47" w:rsidP="00C26550">
            <w:pPr>
              <w:numPr>
                <w:ilvl w:val="12"/>
                <w:numId w:val="0"/>
              </w:numPr>
              <w:jc w:val="center"/>
              <w:rPr>
                <w:rFonts w:asciiTheme="minorHAnsi" w:hAnsiTheme="minorHAnsi"/>
                <w:sz w:val="18"/>
                <w:szCs w:val="18"/>
              </w:rPr>
            </w:pPr>
            <w:r w:rsidRPr="003511F4">
              <w:rPr>
                <w:rFonts w:asciiTheme="minorHAnsi" w:hAnsiTheme="minorHAnsi"/>
                <w:sz w:val="18"/>
                <w:szCs w:val="18"/>
              </w:rPr>
              <w:t>Uliczne</w:t>
            </w:r>
          </w:p>
        </w:tc>
      </w:tr>
      <w:tr w:rsidR="00B97A47" w:rsidRPr="003511F4" w:rsidTr="00C26550">
        <w:tc>
          <w:tcPr>
            <w:tcW w:w="2565" w:type="dxa"/>
            <w:gridSpan w:val="3"/>
            <w:vMerge/>
            <w:tcBorders>
              <w:left w:val="single" w:sz="6" w:space="0" w:color="auto"/>
              <w:bottom w:val="double" w:sz="6" w:space="0" w:color="auto"/>
              <w:right w:val="single" w:sz="6" w:space="0" w:color="auto"/>
            </w:tcBorders>
          </w:tcPr>
          <w:p w:rsidR="00B97A47" w:rsidRPr="003511F4" w:rsidRDefault="00B97A47" w:rsidP="00C26550">
            <w:pPr>
              <w:numPr>
                <w:ilvl w:val="12"/>
                <w:numId w:val="0"/>
              </w:numPr>
              <w:jc w:val="center"/>
              <w:rPr>
                <w:rFonts w:asciiTheme="minorHAnsi" w:hAnsiTheme="minorHAnsi"/>
                <w:sz w:val="18"/>
                <w:szCs w:val="18"/>
              </w:rPr>
            </w:pPr>
          </w:p>
        </w:tc>
        <w:tc>
          <w:tcPr>
            <w:tcW w:w="1616" w:type="dxa"/>
            <w:gridSpan w:val="2"/>
            <w:tcBorders>
              <w:top w:val="single" w:sz="6" w:space="0" w:color="auto"/>
              <w:left w:val="single" w:sz="6" w:space="0" w:color="auto"/>
              <w:bottom w:val="double" w:sz="6" w:space="0" w:color="auto"/>
              <w:right w:val="single" w:sz="6" w:space="0" w:color="auto"/>
            </w:tcBorders>
          </w:tcPr>
          <w:p w:rsidR="00B97A47" w:rsidRPr="003511F4" w:rsidRDefault="00B97A47" w:rsidP="00C26550">
            <w:pPr>
              <w:numPr>
                <w:ilvl w:val="12"/>
                <w:numId w:val="0"/>
              </w:numPr>
              <w:spacing w:before="120"/>
              <w:jc w:val="center"/>
              <w:rPr>
                <w:rFonts w:asciiTheme="minorHAnsi" w:hAnsiTheme="minorHAnsi"/>
                <w:sz w:val="18"/>
                <w:szCs w:val="18"/>
              </w:rPr>
            </w:pPr>
            <w:r w:rsidRPr="003511F4">
              <w:rPr>
                <w:rFonts w:asciiTheme="minorHAnsi" w:hAnsiTheme="minorHAnsi"/>
                <w:sz w:val="18"/>
                <w:szCs w:val="18"/>
              </w:rPr>
              <w:t>proste</w:t>
            </w:r>
          </w:p>
        </w:tc>
        <w:tc>
          <w:tcPr>
            <w:tcW w:w="2412" w:type="dxa"/>
            <w:tcBorders>
              <w:top w:val="single" w:sz="6" w:space="0" w:color="auto"/>
              <w:left w:val="single" w:sz="6" w:space="0" w:color="auto"/>
              <w:bottom w:val="double" w:sz="6" w:space="0" w:color="auto"/>
              <w:right w:val="single" w:sz="6" w:space="0" w:color="auto"/>
            </w:tcBorders>
          </w:tcPr>
          <w:p w:rsidR="00B97A47" w:rsidRPr="003511F4" w:rsidRDefault="00B97A47" w:rsidP="00C26550">
            <w:pPr>
              <w:numPr>
                <w:ilvl w:val="12"/>
                <w:numId w:val="0"/>
              </w:numPr>
              <w:jc w:val="center"/>
              <w:rPr>
                <w:rFonts w:asciiTheme="minorHAnsi" w:hAnsiTheme="minorHAnsi"/>
                <w:sz w:val="18"/>
                <w:szCs w:val="18"/>
              </w:rPr>
            </w:pPr>
            <w:r w:rsidRPr="003511F4">
              <w:rPr>
                <w:rFonts w:asciiTheme="minorHAnsi" w:hAnsiTheme="minorHAnsi"/>
                <w:sz w:val="18"/>
                <w:szCs w:val="18"/>
              </w:rPr>
              <w:t>łukowe</w:t>
            </w:r>
          </w:p>
        </w:tc>
      </w:tr>
      <w:tr w:rsidR="00B97A47" w:rsidRPr="003511F4" w:rsidTr="00C26550">
        <w:tc>
          <w:tcPr>
            <w:tcW w:w="1346" w:type="dxa"/>
            <w:tcBorders>
              <w:left w:val="single" w:sz="6" w:space="0" w:color="auto"/>
            </w:tcBorders>
          </w:tcPr>
          <w:p w:rsidR="00B97A47" w:rsidRPr="003511F4" w:rsidRDefault="00B97A47" w:rsidP="00C26550">
            <w:pPr>
              <w:numPr>
                <w:ilvl w:val="12"/>
                <w:numId w:val="0"/>
              </w:numPr>
              <w:rPr>
                <w:rFonts w:asciiTheme="minorHAnsi" w:hAnsiTheme="minorHAnsi"/>
                <w:sz w:val="18"/>
                <w:szCs w:val="18"/>
              </w:rPr>
            </w:pPr>
            <w:r w:rsidRPr="003511F4">
              <w:rPr>
                <w:rFonts w:asciiTheme="minorHAnsi" w:hAnsiTheme="minorHAnsi"/>
                <w:sz w:val="18"/>
                <w:szCs w:val="18"/>
              </w:rPr>
              <w:t>skrzywienie</w:t>
            </w:r>
          </w:p>
        </w:tc>
        <w:tc>
          <w:tcPr>
            <w:tcW w:w="1219" w:type="dxa"/>
            <w:gridSpan w:val="2"/>
            <w:tcBorders>
              <w:top w:val="single" w:sz="6" w:space="0" w:color="auto"/>
              <w:left w:val="single" w:sz="6" w:space="0" w:color="auto"/>
              <w:bottom w:val="single" w:sz="6" w:space="0" w:color="auto"/>
              <w:right w:val="single" w:sz="6" w:space="0" w:color="auto"/>
            </w:tcBorders>
          </w:tcPr>
          <w:p w:rsidR="00B97A47" w:rsidRPr="003511F4" w:rsidRDefault="00B97A47" w:rsidP="00C26550">
            <w:pPr>
              <w:numPr>
                <w:ilvl w:val="12"/>
                <w:numId w:val="0"/>
              </w:numPr>
              <w:rPr>
                <w:rFonts w:asciiTheme="minorHAnsi" w:hAnsiTheme="minorHAnsi"/>
                <w:sz w:val="18"/>
                <w:szCs w:val="18"/>
              </w:rPr>
            </w:pPr>
            <w:r w:rsidRPr="003511F4">
              <w:rPr>
                <w:rFonts w:asciiTheme="minorHAnsi" w:hAnsiTheme="minorHAnsi"/>
                <w:sz w:val="18"/>
                <w:szCs w:val="18"/>
              </w:rPr>
              <w:t>licowych</w:t>
            </w:r>
          </w:p>
        </w:tc>
        <w:tc>
          <w:tcPr>
            <w:tcW w:w="4028" w:type="dxa"/>
            <w:gridSpan w:val="3"/>
            <w:tcBorders>
              <w:top w:val="single" w:sz="6" w:space="0" w:color="auto"/>
              <w:left w:val="single" w:sz="6" w:space="0" w:color="auto"/>
              <w:bottom w:val="single" w:sz="6" w:space="0" w:color="auto"/>
              <w:right w:val="single" w:sz="6" w:space="0" w:color="auto"/>
            </w:tcBorders>
          </w:tcPr>
          <w:p w:rsidR="00B97A47" w:rsidRPr="003511F4" w:rsidRDefault="00B97A47" w:rsidP="00C26550">
            <w:pPr>
              <w:numPr>
                <w:ilvl w:val="12"/>
                <w:numId w:val="0"/>
              </w:numPr>
              <w:jc w:val="center"/>
              <w:rPr>
                <w:rFonts w:asciiTheme="minorHAnsi" w:hAnsiTheme="minorHAnsi"/>
                <w:sz w:val="18"/>
                <w:szCs w:val="18"/>
              </w:rPr>
            </w:pPr>
            <w:smartTag w:uri="urn:schemas-microsoft-com:office:smarttags" w:element="metricconverter">
              <w:smartTagPr>
                <w:attr w:name="ProductID" w:val="0,3 cm"/>
              </w:smartTagPr>
              <w:r w:rsidRPr="003511F4">
                <w:rPr>
                  <w:rFonts w:asciiTheme="minorHAnsi" w:hAnsiTheme="minorHAnsi"/>
                  <w:sz w:val="18"/>
                  <w:szCs w:val="18"/>
                </w:rPr>
                <w:t>0,3 cm</w:t>
              </w:r>
            </w:smartTag>
          </w:p>
        </w:tc>
      </w:tr>
      <w:tr w:rsidR="00B97A47" w:rsidRPr="003511F4" w:rsidTr="00C26550">
        <w:tc>
          <w:tcPr>
            <w:tcW w:w="1346" w:type="dxa"/>
            <w:tcBorders>
              <w:left w:val="single" w:sz="6" w:space="0" w:color="auto"/>
            </w:tcBorders>
          </w:tcPr>
          <w:p w:rsidR="00B97A47" w:rsidRPr="003511F4" w:rsidRDefault="00B97A47" w:rsidP="00C26550">
            <w:pPr>
              <w:numPr>
                <w:ilvl w:val="12"/>
                <w:numId w:val="0"/>
              </w:numPr>
              <w:rPr>
                <w:rFonts w:asciiTheme="minorHAnsi" w:hAnsiTheme="minorHAnsi"/>
                <w:sz w:val="18"/>
                <w:szCs w:val="18"/>
              </w:rPr>
            </w:pPr>
            <w:r w:rsidRPr="003511F4">
              <w:rPr>
                <w:rFonts w:asciiTheme="minorHAnsi" w:hAnsiTheme="minorHAnsi"/>
                <w:sz w:val="18"/>
                <w:szCs w:val="18"/>
              </w:rPr>
              <w:t>(wichrowa-</w:t>
            </w:r>
          </w:p>
        </w:tc>
        <w:tc>
          <w:tcPr>
            <w:tcW w:w="1219" w:type="dxa"/>
            <w:gridSpan w:val="2"/>
            <w:tcBorders>
              <w:top w:val="single" w:sz="6" w:space="0" w:color="auto"/>
              <w:left w:val="single" w:sz="6" w:space="0" w:color="auto"/>
              <w:bottom w:val="single" w:sz="6" w:space="0" w:color="auto"/>
              <w:right w:val="single" w:sz="6" w:space="0" w:color="auto"/>
            </w:tcBorders>
          </w:tcPr>
          <w:p w:rsidR="00B97A47" w:rsidRPr="003511F4" w:rsidRDefault="00B97A47" w:rsidP="00C26550">
            <w:pPr>
              <w:numPr>
                <w:ilvl w:val="12"/>
                <w:numId w:val="0"/>
              </w:numPr>
              <w:rPr>
                <w:rFonts w:asciiTheme="minorHAnsi" w:hAnsiTheme="minorHAnsi"/>
                <w:sz w:val="18"/>
                <w:szCs w:val="18"/>
              </w:rPr>
            </w:pPr>
            <w:r w:rsidRPr="003511F4">
              <w:rPr>
                <w:rFonts w:asciiTheme="minorHAnsi" w:hAnsiTheme="minorHAnsi"/>
                <w:sz w:val="18"/>
                <w:szCs w:val="18"/>
              </w:rPr>
              <w:t>bocznych</w:t>
            </w:r>
          </w:p>
        </w:tc>
        <w:tc>
          <w:tcPr>
            <w:tcW w:w="766" w:type="dxa"/>
            <w:tcBorders>
              <w:top w:val="single" w:sz="6" w:space="0" w:color="auto"/>
              <w:left w:val="single" w:sz="6" w:space="0" w:color="auto"/>
              <w:bottom w:val="single" w:sz="6" w:space="0" w:color="auto"/>
            </w:tcBorders>
          </w:tcPr>
          <w:p w:rsidR="00B97A47" w:rsidRPr="003511F4" w:rsidRDefault="00B97A47" w:rsidP="00C26550">
            <w:pPr>
              <w:numPr>
                <w:ilvl w:val="12"/>
                <w:numId w:val="0"/>
              </w:numPr>
              <w:jc w:val="center"/>
              <w:rPr>
                <w:rFonts w:asciiTheme="minorHAnsi" w:hAnsiTheme="minorHAnsi"/>
                <w:sz w:val="18"/>
                <w:szCs w:val="18"/>
              </w:rPr>
            </w:pPr>
          </w:p>
        </w:tc>
        <w:tc>
          <w:tcPr>
            <w:tcW w:w="3262" w:type="dxa"/>
            <w:gridSpan w:val="2"/>
            <w:tcBorders>
              <w:top w:val="single" w:sz="6" w:space="0" w:color="auto"/>
              <w:bottom w:val="single" w:sz="6" w:space="0" w:color="auto"/>
              <w:right w:val="single" w:sz="6" w:space="0" w:color="auto"/>
            </w:tcBorders>
          </w:tcPr>
          <w:p w:rsidR="00B97A47" w:rsidRPr="003511F4" w:rsidRDefault="00B97A47" w:rsidP="00C26550">
            <w:pPr>
              <w:numPr>
                <w:ilvl w:val="12"/>
                <w:numId w:val="0"/>
              </w:numPr>
              <w:jc w:val="center"/>
              <w:rPr>
                <w:rFonts w:asciiTheme="minorHAnsi" w:hAnsiTheme="minorHAnsi"/>
                <w:sz w:val="18"/>
                <w:szCs w:val="18"/>
              </w:rPr>
            </w:pPr>
            <w:r w:rsidRPr="003511F4">
              <w:rPr>
                <w:rFonts w:asciiTheme="minorHAnsi" w:hAnsiTheme="minorHAnsi"/>
                <w:sz w:val="18"/>
                <w:szCs w:val="18"/>
              </w:rPr>
              <w:t>nie sprawdza się</w:t>
            </w:r>
          </w:p>
        </w:tc>
      </w:tr>
      <w:tr w:rsidR="00B97A47" w:rsidRPr="003511F4" w:rsidTr="00C26550">
        <w:tc>
          <w:tcPr>
            <w:tcW w:w="1346" w:type="dxa"/>
            <w:tcBorders>
              <w:left w:val="single" w:sz="6" w:space="0" w:color="auto"/>
            </w:tcBorders>
          </w:tcPr>
          <w:p w:rsidR="00B97A47" w:rsidRPr="003511F4" w:rsidRDefault="00B97A47" w:rsidP="00C26550">
            <w:pPr>
              <w:numPr>
                <w:ilvl w:val="12"/>
                <w:numId w:val="0"/>
              </w:numPr>
              <w:rPr>
                <w:rFonts w:asciiTheme="minorHAnsi" w:hAnsiTheme="minorHAnsi"/>
                <w:sz w:val="18"/>
                <w:szCs w:val="18"/>
              </w:rPr>
            </w:pPr>
            <w:r w:rsidRPr="003511F4">
              <w:rPr>
                <w:rFonts w:asciiTheme="minorHAnsi" w:hAnsiTheme="minorHAnsi"/>
                <w:sz w:val="18"/>
                <w:szCs w:val="18"/>
              </w:rPr>
              <w:t>tość powierz-</w:t>
            </w:r>
          </w:p>
        </w:tc>
        <w:tc>
          <w:tcPr>
            <w:tcW w:w="1211" w:type="dxa"/>
            <w:tcBorders>
              <w:top w:val="single" w:sz="6" w:space="0" w:color="auto"/>
              <w:left w:val="single" w:sz="6" w:space="0" w:color="auto"/>
              <w:bottom w:val="single" w:sz="6" w:space="0" w:color="auto"/>
              <w:right w:val="single" w:sz="6" w:space="0" w:color="auto"/>
            </w:tcBorders>
          </w:tcPr>
          <w:p w:rsidR="00B97A47" w:rsidRPr="003511F4" w:rsidRDefault="00B97A47" w:rsidP="00C26550">
            <w:pPr>
              <w:numPr>
                <w:ilvl w:val="12"/>
                <w:numId w:val="0"/>
              </w:numPr>
              <w:rPr>
                <w:rFonts w:asciiTheme="minorHAnsi" w:hAnsiTheme="minorHAnsi"/>
                <w:sz w:val="18"/>
                <w:szCs w:val="18"/>
              </w:rPr>
            </w:pPr>
            <w:r w:rsidRPr="003511F4">
              <w:rPr>
                <w:rFonts w:asciiTheme="minorHAnsi" w:hAnsiTheme="minorHAnsi"/>
                <w:sz w:val="18"/>
                <w:szCs w:val="18"/>
              </w:rPr>
              <w:t>stykowych</w:t>
            </w:r>
          </w:p>
        </w:tc>
        <w:tc>
          <w:tcPr>
            <w:tcW w:w="1624" w:type="dxa"/>
            <w:gridSpan w:val="3"/>
            <w:tcBorders>
              <w:top w:val="single" w:sz="6" w:space="0" w:color="auto"/>
              <w:left w:val="single" w:sz="6" w:space="0" w:color="auto"/>
              <w:bottom w:val="single" w:sz="6" w:space="0" w:color="auto"/>
              <w:right w:val="single" w:sz="6" w:space="0" w:color="auto"/>
            </w:tcBorders>
          </w:tcPr>
          <w:p w:rsidR="00B97A47" w:rsidRPr="003511F4" w:rsidRDefault="00B97A47" w:rsidP="00C26550">
            <w:pPr>
              <w:numPr>
                <w:ilvl w:val="12"/>
                <w:numId w:val="0"/>
              </w:numPr>
              <w:jc w:val="center"/>
              <w:rPr>
                <w:rFonts w:asciiTheme="minorHAnsi" w:hAnsiTheme="minorHAnsi"/>
                <w:sz w:val="18"/>
                <w:szCs w:val="18"/>
              </w:rPr>
            </w:pPr>
          </w:p>
        </w:tc>
        <w:tc>
          <w:tcPr>
            <w:tcW w:w="2412" w:type="dxa"/>
            <w:tcBorders>
              <w:top w:val="single" w:sz="6" w:space="0" w:color="auto"/>
              <w:left w:val="single" w:sz="6" w:space="0" w:color="auto"/>
              <w:bottom w:val="single" w:sz="6" w:space="0" w:color="auto"/>
              <w:right w:val="single" w:sz="6" w:space="0" w:color="auto"/>
            </w:tcBorders>
          </w:tcPr>
          <w:p w:rsidR="00B97A47" w:rsidRPr="003511F4" w:rsidRDefault="00B97A47" w:rsidP="00C26550">
            <w:pPr>
              <w:numPr>
                <w:ilvl w:val="12"/>
                <w:numId w:val="0"/>
              </w:numPr>
              <w:jc w:val="center"/>
              <w:rPr>
                <w:rFonts w:asciiTheme="minorHAnsi" w:hAnsiTheme="minorHAnsi"/>
                <w:sz w:val="18"/>
                <w:szCs w:val="18"/>
              </w:rPr>
            </w:pPr>
            <w:r w:rsidRPr="003511F4">
              <w:rPr>
                <w:rFonts w:asciiTheme="minorHAnsi" w:hAnsiTheme="minorHAnsi"/>
                <w:sz w:val="18"/>
                <w:szCs w:val="18"/>
              </w:rPr>
              <w:t>0,2 cm</w:t>
            </w:r>
          </w:p>
        </w:tc>
      </w:tr>
      <w:tr w:rsidR="00B97A47" w:rsidRPr="003511F4" w:rsidTr="00C26550">
        <w:tc>
          <w:tcPr>
            <w:tcW w:w="1346" w:type="dxa"/>
            <w:tcBorders>
              <w:left w:val="single" w:sz="6" w:space="0" w:color="auto"/>
              <w:bottom w:val="single" w:sz="6" w:space="0" w:color="auto"/>
            </w:tcBorders>
          </w:tcPr>
          <w:p w:rsidR="00B97A47" w:rsidRPr="003511F4" w:rsidRDefault="00B97A47" w:rsidP="00C26550">
            <w:pPr>
              <w:numPr>
                <w:ilvl w:val="12"/>
                <w:numId w:val="0"/>
              </w:numPr>
              <w:rPr>
                <w:rFonts w:asciiTheme="minorHAnsi" w:hAnsiTheme="minorHAnsi"/>
                <w:sz w:val="18"/>
                <w:szCs w:val="18"/>
              </w:rPr>
            </w:pPr>
            <w:r w:rsidRPr="003511F4">
              <w:rPr>
                <w:rFonts w:asciiTheme="minorHAnsi" w:hAnsiTheme="minorHAnsi"/>
                <w:sz w:val="18"/>
                <w:szCs w:val="18"/>
              </w:rPr>
              <w:t>chni)</w:t>
            </w:r>
          </w:p>
        </w:tc>
        <w:tc>
          <w:tcPr>
            <w:tcW w:w="1219" w:type="dxa"/>
            <w:gridSpan w:val="2"/>
            <w:tcBorders>
              <w:top w:val="single" w:sz="6" w:space="0" w:color="auto"/>
              <w:left w:val="single" w:sz="6" w:space="0" w:color="auto"/>
              <w:bottom w:val="single" w:sz="6" w:space="0" w:color="auto"/>
              <w:right w:val="single" w:sz="6" w:space="0" w:color="auto"/>
            </w:tcBorders>
          </w:tcPr>
          <w:p w:rsidR="00B97A47" w:rsidRPr="003511F4" w:rsidRDefault="00B97A47" w:rsidP="00C26550">
            <w:pPr>
              <w:numPr>
                <w:ilvl w:val="12"/>
                <w:numId w:val="0"/>
              </w:numPr>
              <w:rPr>
                <w:rFonts w:asciiTheme="minorHAnsi" w:hAnsiTheme="minorHAnsi"/>
                <w:sz w:val="18"/>
                <w:szCs w:val="18"/>
              </w:rPr>
            </w:pPr>
            <w:r w:rsidRPr="003511F4">
              <w:rPr>
                <w:rFonts w:asciiTheme="minorHAnsi" w:hAnsiTheme="minorHAnsi"/>
                <w:sz w:val="18"/>
                <w:szCs w:val="18"/>
              </w:rPr>
              <w:t>spodu</w:t>
            </w:r>
          </w:p>
        </w:tc>
        <w:tc>
          <w:tcPr>
            <w:tcW w:w="766" w:type="dxa"/>
            <w:tcBorders>
              <w:top w:val="single" w:sz="6" w:space="0" w:color="auto"/>
              <w:left w:val="single" w:sz="6" w:space="0" w:color="auto"/>
              <w:bottom w:val="single" w:sz="6" w:space="0" w:color="auto"/>
            </w:tcBorders>
          </w:tcPr>
          <w:p w:rsidR="00B97A47" w:rsidRPr="003511F4" w:rsidRDefault="00B97A47" w:rsidP="00C26550">
            <w:pPr>
              <w:numPr>
                <w:ilvl w:val="12"/>
                <w:numId w:val="0"/>
              </w:numPr>
              <w:jc w:val="center"/>
              <w:rPr>
                <w:rFonts w:asciiTheme="minorHAnsi" w:hAnsiTheme="minorHAnsi"/>
                <w:sz w:val="18"/>
                <w:szCs w:val="18"/>
              </w:rPr>
            </w:pPr>
          </w:p>
        </w:tc>
        <w:tc>
          <w:tcPr>
            <w:tcW w:w="3262" w:type="dxa"/>
            <w:gridSpan w:val="2"/>
            <w:tcBorders>
              <w:top w:val="single" w:sz="6" w:space="0" w:color="auto"/>
              <w:bottom w:val="single" w:sz="6" w:space="0" w:color="auto"/>
              <w:right w:val="single" w:sz="6" w:space="0" w:color="auto"/>
            </w:tcBorders>
          </w:tcPr>
          <w:p w:rsidR="00B97A47" w:rsidRPr="003511F4" w:rsidRDefault="00B97A47" w:rsidP="00C26550">
            <w:pPr>
              <w:numPr>
                <w:ilvl w:val="12"/>
                <w:numId w:val="0"/>
              </w:numPr>
              <w:jc w:val="center"/>
              <w:rPr>
                <w:rFonts w:asciiTheme="minorHAnsi" w:hAnsiTheme="minorHAnsi"/>
                <w:sz w:val="18"/>
                <w:szCs w:val="18"/>
              </w:rPr>
            </w:pPr>
            <w:r w:rsidRPr="003511F4">
              <w:rPr>
                <w:rFonts w:asciiTheme="minorHAnsi" w:hAnsiTheme="minorHAnsi"/>
                <w:sz w:val="18"/>
                <w:szCs w:val="18"/>
              </w:rPr>
              <w:t>nie sprawdza się</w:t>
            </w:r>
          </w:p>
        </w:tc>
      </w:tr>
      <w:tr w:rsidR="00B97A47" w:rsidRPr="003511F4" w:rsidTr="00C26550">
        <w:tc>
          <w:tcPr>
            <w:tcW w:w="1346" w:type="dxa"/>
            <w:tcBorders>
              <w:top w:val="single" w:sz="6" w:space="0" w:color="auto"/>
              <w:left w:val="single" w:sz="6" w:space="0" w:color="auto"/>
              <w:right w:val="single" w:sz="6" w:space="0" w:color="auto"/>
            </w:tcBorders>
          </w:tcPr>
          <w:p w:rsidR="00B97A47" w:rsidRPr="003511F4" w:rsidRDefault="00B97A47" w:rsidP="00C26550">
            <w:pPr>
              <w:numPr>
                <w:ilvl w:val="12"/>
                <w:numId w:val="0"/>
              </w:numPr>
              <w:rPr>
                <w:rFonts w:asciiTheme="minorHAnsi" w:hAnsiTheme="minorHAnsi"/>
                <w:sz w:val="18"/>
                <w:szCs w:val="18"/>
              </w:rPr>
            </w:pPr>
          </w:p>
        </w:tc>
        <w:tc>
          <w:tcPr>
            <w:tcW w:w="1219" w:type="dxa"/>
            <w:gridSpan w:val="2"/>
            <w:tcBorders>
              <w:top w:val="single" w:sz="6" w:space="0" w:color="auto"/>
            </w:tcBorders>
          </w:tcPr>
          <w:p w:rsidR="00B97A47" w:rsidRPr="003511F4" w:rsidRDefault="00B97A47" w:rsidP="00C26550">
            <w:pPr>
              <w:numPr>
                <w:ilvl w:val="12"/>
                <w:numId w:val="0"/>
              </w:numPr>
              <w:rPr>
                <w:rFonts w:asciiTheme="minorHAnsi" w:hAnsiTheme="minorHAnsi"/>
                <w:sz w:val="18"/>
                <w:szCs w:val="18"/>
              </w:rPr>
            </w:pPr>
            <w:r w:rsidRPr="003511F4">
              <w:rPr>
                <w:rFonts w:asciiTheme="minorHAnsi" w:hAnsiTheme="minorHAnsi"/>
                <w:sz w:val="18"/>
                <w:szCs w:val="18"/>
              </w:rPr>
              <w:t>licowych</w:t>
            </w:r>
          </w:p>
        </w:tc>
        <w:tc>
          <w:tcPr>
            <w:tcW w:w="4028" w:type="dxa"/>
            <w:gridSpan w:val="3"/>
            <w:tcBorders>
              <w:left w:val="single" w:sz="6" w:space="0" w:color="auto"/>
              <w:bottom w:val="single" w:sz="6" w:space="0" w:color="auto"/>
              <w:right w:val="single" w:sz="6" w:space="0" w:color="auto"/>
            </w:tcBorders>
          </w:tcPr>
          <w:p w:rsidR="00B97A47" w:rsidRPr="003511F4" w:rsidRDefault="00B97A47" w:rsidP="00C26550">
            <w:pPr>
              <w:numPr>
                <w:ilvl w:val="12"/>
                <w:numId w:val="0"/>
              </w:numPr>
              <w:rPr>
                <w:rFonts w:asciiTheme="minorHAnsi" w:hAnsiTheme="minorHAnsi"/>
                <w:sz w:val="18"/>
                <w:szCs w:val="18"/>
              </w:rPr>
            </w:pPr>
            <w:r w:rsidRPr="003511F4">
              <w:rPr>
                <w:rFonts w:asciiTheme="minorHAnsi" w:hAnsiTheme="minorHAnsi"/>
                <w:sz w:val="18"/>
                <w:szCs w:val="18"/>
              </w:rPr>
              <w:t xml:space="preserve">dopuszcza się na długości </w:t>
            </w:r>
            <w:smartTag w:uri="urn:schemas-microsoft-com:office:smarttags" w:element="metricconverter">
              <w:smartTagPr>
                <w:attr w:name="ProductID" w:val="1 m"/>
              </w:smartTagPr>
              <w:r w:rsidRPr="003511F4">
                <w:rPr>
                  <w:rFonts w:asciiTheme="minorHAnsi" w:hAnsiTheme="minorHAnsi"/>
                  <w:sz w:val="18"/>
                  <w:szCs w:val="18"/>
                </w:rPr>
                <w:t>1 m</w:t>
              </w:r>
            </w:smartTag>
            <w:r w:rsidRPr="003511F4">
              <w:rPr>
                <w:rFonts w:asciiTheme="minorHAnsi" w:hAnsiTheme="minorHAnsi"/>
                <w:sz w:val="18"/>
                <w:szCs w:val="18"/>
              </w:rPr>
              <w:t xml:space="preserve"> danej powierzch-ni jedno wgłębienie wielkości do 5 cm</w:t>
            </w:r>
            <w:r w:rsidRPr="003511F4">
              <w:rPr>
                <w:rFonts w:asciiTheme="minorHAnsi" w:hAnsiTheme="minorHAnsi"/>
                <w:sz w:val="18"/>
                <w:szCs w:val="18"/>
                <w:vertAlign w:val="superscript"/>
              </w:rPr>
              <w:t>2</w:t>
            </w:r>
            <w:r w:rsidRPr="003511F4">
              <w:rPr>
                <w:rFonts w:asciiTheme="minorHAnsi" w:hAnsiTheme="minorHAnsi"/>
                <w:sz w:val="18"/>
                <w:szCs w:val="18"/>
              </w:rPr>
              <w:t xml:space="preserve">, nie głę-bsze niż </w:t>
            </w:r>
            <w:smartTag w:uri="urn:schemas-microsoft-com:office:smarttags" w:element="metricconverter">
              <w:smartTagPr>
                <w:attr w:name="ProductID" w:val="0,5 cm"/>
              </w:smartTagPr>
              <w:r w:rsidRPr="003511F4">
                <w:rPr>
                  <w:rFonts w:asciiTheme="minorHAnsi" w:hAnsiTheme="minorHAnsi"/>
                  <w:sz w:val="18"/>
                  <w:szCs w:val="18"/>
                </w:rPr>
                <w:t>0,5 cm</w:t>
              </w:r>
            </w:smartTag>
            <w:r w:rsidRPr="003511F4">
              <w:rPr>
                <w:rFonts w:asciiTheme="minorHAnsi" w:hAnsiTheme="minorHAnsi"/>
                <w:sz w:val="18"/>
                <w:szCs w:val="18"/>
              </w:rPr>
              <w:t>, nie wynikające z techniki wy-  konania faktury</w:t>
            </w:r>
          </w:p>
        </w:tc>
      </w:tr>
      <w:tr w:rsidR="00B97A47" w:rsidRPr="003511F4" w:rsidTr="00C26550">
        <w:tc>
          <w:tcPr>
            <w:tcW w:w="1346" w:type="dxa"/>
            <w:tcBorders>
              <w:left w:val="single" w:sz="6" w:space="0" w:color="auto"/>
              <w:right w:val="single" w:sz="6" w:space="0" w:color="auto"/>
            </w:tcBorders>
          </w:tcPr>
          <w:p w:rsidR="00B97A47" w:rsidRPr="003511F4" w:rsidRDefault="00B97A47" w:rsidP="00C26550">
            <w:pPr>
              <w:numPr>
                <w:ilvl w:val="12"/>
                <w:numId w:val="0"/>
              </w:numPr>
              <w:rPr>
                <w:rFonts w:asciiTheme="minorHAnsi" w:hAnsiTheme="minorHAnsi"/>
                <w:sz w:val="18"/>
                <w:szCs w:val="18"/>
              </w:rPr>
            </w:pPr>
            <w:r w:rsidRPr="003511F4">
              <w:rPr>
                <w:rFonts w:asciiTheme="minorHAnsi" w:hAnsiTheme="minorHAnsi"/>
                <w:sz w:val="18"/>
                <w:szCs w:val="18"/>
              </w:rPr>
              <w:t>wady obróbki powierzchni (wgłębienia          i wypukłości)</w:t>
            </w:r>
          </w:p>
        </w:tc>
        <w:tc>
          <w:tcPr>
            <w:tcW w:w="1219" w:type="dxa"/>
            <w:gridSpan w:val="2"/>
            <w:tcBorders>
              <w:top w:val="single" w:sz="6" w:space="0" w:color="auto"/>
              <w:right w:val="single" w:sz="6" w:space="0" w:color="auto"/>
            </w:tcBorders>
          </w:tcPr>
          <w:p w:rsidR="00B97A47" w:rsidRPr="003511F4" w:rsidRDefault="00B97A47" w:rsidP="00C26550">
            <w:pPr>
              <w:numPr>
                <w:ilvl w:val="12"/>
                <w:numId w:val="0"/>
              </w:numPr>
              <w:rPr>
                <w:rFonts w:asciiTheme="minorHAnsi" w:hAnsiTheme="minorHAnsi"/>
                <w:sz w:val="18"/>
                <w:szCs w:val="18"/>
              </w:rPr>
            </w:pPr>
            <w:r w:rsidRPr="003511F4">
              <w:rPr>
                <w:rFonts w:asciiTheme="minorHAnsi" w:hAnsiTheme="minorHAnsi"/>
                <w:sz w:val="18"/>
                <w:szCs w:val="18"/>
              </w:rPr>
              <w:t>bocznych</w:t>
            </w:r>
          </w:p>
        </w:tc>
        <w:tc>
          <w:tcPr>
            <w:tcW w:w="4028" w:type="dxa"/>
            <w:gridSpan w:val="3"/>
            <w:tcBorders>
              <w:right w:val="single" w:sz="6" w:space="0" w:color="auto"/>
            </w:tcBorders>
          </w:tcPr>
          <w:p w:rsidR="00B97A47" w:rsidRPr="003511F4" w:rsidRDefault="00B97A47" w:rsidP="00C26550">
            <w:pPr>
              <w:numPr>
                <w:ilvl w:val="12"/>
                <w:numId w:val="0"/>
              </w:numPr>
              <w:rPr>
                <w:rFonts w:asciiTheme="minorHAnsi" w:hAnsiTheme="minorHAnsi"/>
                <w:sz w:val="18"/>
                <w:szCs w:val="18"/>
              </w:rPr>
            </w:pPr>
            <w:r w:rsidRPr="003511F4">
              <w:rPr>
                <w:rFonts w:asciiTheme="minorHAnsi" w:hAnsiTheme="minorHAnsi"/>
                <w:sz w:val="18"/>
                <w:szCs w:val="18"/>
              </w:rPr>
              <w:t xml:space="preserve">wgłębienie do </w:t>
            </w:r>
            <w:smartTag w:uri="urn:schemas-microsoft-com:office:smarttags" w:element="metricconverter">
              <w:smartTagPr>
                <w:attr w:name="ProductID" w:val="1,5 cm"/>
              </w:smartTagPr>
              <w:r w:rsidRPr="003511F4">
                <w:rPr>
                  <w:rFonts w:asciiTheme="minorHAnsi" w:hAnsiTheme="minorHAnsi"/>
                  <w:sz w:val="18"/>
                  <w:szCs w:val="18"/>
                </w:rPr>
                <w:t>1,5 cm</w:t>
              </w:r>
            </w:smartTag>
            <w:r w:rsidRPr="003511F4">
              <w:rPr>
                <w:rFonts w:asciiTheme="minorHAnsi" w:hAnsiTheme="minorHAnsi"/>
                <w:sz w:val="18"/>
                <w:szCs w:val="18"/>
              </w:rPr>
              <w:t xml:space="preserve"> dopuszcza się bez ograni-czeń. Wypukłość poza lico pasa obrobionego na powierzchni przedniej (od strony jezdni) niedo- puszczalne. Na powierzchni tylnej (od strony   chodnika) dopuszcza się wypukłości poza lico pasa obrobionego do </w:t>
            </w:r>
            <w:smartTag w:uri="urn:schemas-microsoft-com:office:smarttags" w:element="metricconverter">
              <w:smartTagPr>
                <w:attr w:name="ProductID" w:val="3 cm"/>
              </w:smartTagPr>
              <w:r w:rsidRPr="003511F4">
                <w:rPr>
                  <w:rFonts w:asciiTheme="minorHAnsi" w:hAnsiTheme="minorHAnsi"/>
                  <w:sz w:val="18"/>
                  <w:szCs w:val="18"/>
                </w:rPr>
                <w:t>3 cm</w:t>
              </w:r>
            </w:smartTag>
          </w:p>
        </w:tc>
      </w:tr>
      <w:tr w:rsidR="00B97A47" w:rsidRPr="003511F4" w:rsidTr="00C26550">
        <w:tc>
          <w:tcPr>
            <w:tcW w:w="1346" w:type="dxa"/>
            <w:tcBorders>
              <w:left w:val="single" w:sz="6" w:space="0" w:color="auto"/>
            </w:tcBorders>
          </w:tcPr>
          <w:p w:rsidR="00B97A47" w:rsidRPr="003511F4" w:rsidRDefault="00B97A47" w:rsidP="00C26550">
            <w:pPr>
              <w:numPr>
                <w:ilvl w:val="12"/>
                <w:numId w:val="0"/>
              </w:numPr>
              <w:rPr>
                <w:rFonts w:asciiTheme="minorHAnsi" w:hAnsiTheme="minorHAnsi"/>
                <w:sz w:val="18"/>
                <w:szCs w:val="18"/>
              </w:rPr>
            </w:pPr>
          </w:p>
        </w:tc>
        <w:tc>
          <w:tcPr>
            <w:tcW w:w="1219" w:type="dxa"/>
            <w:gridSpan w:val="2"/>
            <w:tcBorders>
              <w:top w:val="single" w:sz="6" w:space="0" w:color="auto"/>
              <w:left w:val="single" w:sz="6" w:space="0" w:color="auto"/>
              <w:bottom w:val="single" w:sz="6" w:space="0" w:color="auto"/>
              <w:right w:val="single" w:sz="6" w:space="0" w:color="auto"/>
            </w:tcBorders>
          </w:tcPr>
          <w:p w:rsidR="00B97A47" w:rsidRPr="003511F4" w:rsidRDefault="00B97A47" w:rsidP="00C26550">
            <w:pPr>
              <w:numPr>
                <w:ilvl w:val="12"/>
                <w:numId w:val="0"/>
              </w:numPr>
              <w:rPr>
                <w:rFonts w:asciiTheme="minorHAnsi" w:hAnsiTheme="minorHAnsi"/>
                <w:sz w:val="18"/>
                <w:szCs w:val="18"/>
              </w:rPr>
            </w:pPr>
            <w:r w:rsidRPr="003511F4">
              <w:rPr>
                <w:rFonts w:asciiTheme="minorHAnsi" w:hAnsiTheme="minorHAnsi"/>
                <w:sz w:val="18"/>
                <w:szCs w:val="18"/>
              </w:rPr>
              <w:t>stykowych</w:t>
            </w:r>
          </w:p>
        </w:tc>
        <w:tc>
          <w:tcPr>
            <w:tcW w:w="4028" w:type="dxa"/>
            <w:gridSpan w:val="3"/>
            <w:tcBorders>
              <w:top w:val="single" w:sz="6" w:space="0" w:color="auto"/>
              <w:right w:val="single" w:sz="6" w:space="0" w:color="auto"/>
            </w:tcBorders>
          </w:tcPr>
          <w:p w:rsidR="00B97A47" w:rsidRPr="003511F4" w:rsidRDefault="00B97A47" w:rsidP="00C26550">
            <w:pPr>
              <w:numPr>
                <w:ilvl w:val="12"/>
                <w:numId w:val="0"/>
              </w:numPr>
              <w:rPr>
                <w:rFonts w:asciiTheme="minorHAnsi" w:hAnsiTheme="minorHAnsi"/>
                <w:sz w:val="18"/>
                <w:szCs w:val="18"/>
              </w:rPr>
            </w:pPr>
            <w:r w:rsidRPr="003511F4">
              <w:rPr>
                <w:rFonts w:asciiTheme="minorHAnsi" w:hAnsiTheme="minorHAnsi"/>
                <w:sz w:val="18"/>
                <w:szCs w:val="18"/>
              </w:rPr>
              <w:t>w obrębie pasa dłutowanego wgłębienia niedo- puszczalne, pozostała część powierzchni nie podlega sprawdzeniu</w:t>
            </w:r>
          </w:p>
        </w:tc>
      </w:tr>
      <w:tr w:rsidR="00B97A47" w:rsidRPr="003511F4" w:rsidTr="00C26550">
        <w:tc>
          <w:tcPr>
            <w:tcW w:w="1346" w:type="dxa"/>
            <w:tcBorders>
              <w:left w:val="single" w:sz="6" w:space="0" w:color="auto"/>
              <w:bottom w:val="single" w:sz="6" w:space="0" w:color="auto"/>
            </w:tcBorders>
          </w:tcPr>
          <w:p w:rsidR="00B97A47" w:rsidRPr="003511F4" w:rsidRDefault="00B97A47" w:rsidP="00C26550">
            <w:pPr>
              <w:numPr>
                <w:ilvl w:val="12"/>
                <w:numId w:val="0"/>
              </w:numPr>
              <w:rPr>
                <w:rFonts w:asciiTheme="minorHAnsi" w:hAnsiTheme="minorHAnsi"/>
                <w:sz w:val="18"/>
                <w:szCs w:val="18"/>
              </w:rPr>
            </w:pPr>
          </w:p>
        </w:tc>
        <w:tc>
          <w:tcPr>
            <w:tcW w:w="1219" w:type="dxa"/>
            <w:gridSpan w:val="2"/>
            <w:tcBorders>
              <w:top w:val="single" w:sz="6" w:space="0" w:color="auto"/>
              <w:left w:val="single" w:sz="6" w:space="0" w:color="auto"/>
              <w:bottom w:val="single" w:sz="6" w:space="0" w:color="auto"/>
              <w:right w:val="single" w:sz="6" w:space="0" w:color="auto"/>
            </w:tcBorders>
          </w:tcPr>
          <w:p w:rsidR="00B97A47" w:rsidRPr="003511F4" w:rsidRDefault="00B97A47" w:rsidP="00C26550">
            <w:pPr>
              <w:numPr>
                <w:ilvl w:val="12"/>
                <w:numId w:val="0"/>
              </w:numPr>
              <w:rPr>
                <w:rFonts w:asciiTheme="minorHAnsi" w:hAnsiTheme="minorHAnsi"/>
                <w:sz w:val="18"/>
                <w:szCs w:val="18"/>
              </w:rPr>
            </w:pPr>
            <w:r w:rsidRPr="003511F4">
              <w:rPr>
                <w:rFonts w:asciiTheme="minorHAnsi" w:hAnsiTheme="minorHAnsi"/>
                <w:sz w:val="18"/>
                <w:szCs w:val="18"/>
              </w:rPr>
              <w:t>spodu</w:t>
            </w:r>
          </w:p>
        </w:tc>
        <w:tc>
          <w:tcPr>
            <w:tcW w:w="4028" w:type="dxa"/>
            <w:gridSpan w:val="3"/>
            <w:tcBorders>
              <w:top w:val="single" w:sz="6" w:space="0" w:color="auto"/>
              <w:bottom w:val="single" w:sz="6" w:space="0" w:color="auto"/>
              <w:right w:val="single" w:sz="6" w:space="0" w:color="auto"/>
            </w:tcBorders>
          </w:tcPr>
          <w:p w:rsidR="00B97A47" w:rsidRPr="003511F4" w:rsidRDefault="00B97A47" w:rsidP="00C26550">
            <w:pPr>
              <w:numPr>
                <w:ilvl w:val="12"/>
                <w:numId w:val="0"/>
              </w:numPr>
              <w:jc w:val="center"/>
              <w:rPr>
                <w:rFonts w:asciiTheme="minorHAnsi" w:hAnsiTheme="minorHAnsi"/>
                <w:sz w:val="18"/>
                <w:szCs w:val="18"/>
              </w:rPr>
            </w:pPr>
            <w:r w:rsidRPr="003511F4">
              <w:rPr>
                <w:rFonts w:asciiTheme="minorHAnsi" w:hAnsiTheme="minorHAnsi"/>
                <w:sz w:val="18"/>
                <w:szCs w:val="18"/>
              </w:rPr>
              <w:t>nie sprawdza się</w:t>
            </w:r>
          </w:p>
        </w:tc>
      </w:tr>
      <w:tr w:rsidR="00B97A47" w:rsidRPr="003511F4" w:rsidTr="00C26550">
        <w:tc>
          <w:tcPr>
            <w:tcW w:w="1346" w:type="dxa"/>
            <w:tcBorders>
              <w:top w:val="single" w:sz="6" w:space="0" w:color="auto"/>
              <w:left w:val="single" w:sz="6" w:space="0" w:color="auto"/>
              <w:right w:val="single" w:sz="6" w:space="0" w:color="auto"/>
            </w:tcBorders>
          </w:tcPr>
          <w:p w:rsidR="00B97A47" w:rsidRPr="003511F4" w:rsidRDefault="00B97A47" w:rsidP="00C26550">
            <w:pPr>
              <w:numPr>
                <w:ilvl w:val="12"/>
                <w:numId w:val="0"/>
              </w:numPr>
              <w:rPr>
                <w:rFonts w:asciiTheme="minorHAnsi" w:hAnsiTheme="minorHAnsi"/>
                <w:sz w:val="18"/>
                <w:szCs w:val="18"/>
              </w:rPr>
            </w:pPr>
            <w:r w:rsidRPr="003511F4">
              <w:rPr>
                <w:rFonts w:asciiTheme="minorHAnsi" w:hAnsiTheme="minorHAnsi"/>
                <w:sz w:val="18"/>
                <w:szCs w:val="18"/>
              </w:rPr>
              <w:t>szczerby i usz-kodzenia kra-  wędzi i naroży</w:t>
            </w:r>
          </w:p>
        </w:tc>
        <w:tc>
          <w:tcPr>
            <w:tcW w:w="1219" w:type="dxa"/>
            <w:gridSpan w:val="2"/>
            <w:tcBorders>
              <w:top w:val="single" w:sz="6" w:space="0" w:color="auto"/>
              <w:bottom w:val="single" w:sz="6" w:space="0" w:color="auto"/>
              <w:right w:val="single" w:sz="6" w:space="0" w:color="auto"/>
            </w:tcBorders>
          </w:tcPr>
          <w:p w:rsidR="00B97A47" w:rsidRPr="003511F4" w:rsidRDefault="00B97A47" w:rsidP="00C26550">
            <w:pPr>
              <w:numPr>
                <w:ilvl w:val="12"/>
                <w:numId w:val="0"/>
              </w:numPr>
              <w:jc w:val="left"/>
              <w:rPr>
                <w:rFonts w:asciiTheme="minorHAnsi" w:hAnsiTheme="minorHAnsi"/>
                <w:sz w:val="18"/>
                <w:szCs w:val="18"/>
              </w:rPr>
            </w:pPr>
            <w:r w:rsidRPr="003511F4">
              <w:rPr>
                <w:rFonts w:asciiTheme="minorHAnsi" w:hAnsiTheme="minorHAnsi"/>
                <w:sz w:val="18"/>
                <w:szCs w:val="18"/>
              </w:rPr>
              <w:t xml:space="preserve">ilość w prze-liczeniu  na        </w:t>
            </w:r>
            <w:smartTag w:uri="urn:schemas-microsoft-com:office:smarttags" w:element="metricconverter">
              <w:smartTagPr>
                <w:attr w:name="ProductID" w:val="1 m"/>
              </w:smartTagPr>
              <w:r w:rsidRPr="003511F4">
                <w:rPr>
                  <w:rFonts w:asciiTheme="minorHAnsi" w:hAnsiTheme="minorHAnsi"/>
                  <w:sz w:val="18"/>
                  <w:szCs w:val="18"/>
                </w:rPr>
                <w:t>1 m</w:t>
              </w:r>
            </w:smartTag>
          </w:p>
        </w:tc>
        <w:tc>
          <w:tcPr>
            <w:tcW w:w="4028" w:type="dxa"/>
            <w:gridSpan w:val="3"/>
            <w:tcBorders>
              <w:top w:val="single" w:sz="6" w:space="0" w:color="auto"/>
              <w:bottom w:val="single" w:sz="6" w:space="0" w:color="auto"/>
              <w:right w:val="single" w:sz="6" w:space="0" w:color="auto"/>
            </w:tcBorders>
          </w:tcPr>
          <w:p w:rsidR="00B97A47" w:rsidRPr="003511F4" w:rsidRDefault="00B97A47" w:rsidP="00C26550">
            <w:pPr>
              <w:numPr>
                <w:ilvl w:val="12"/>
                <w:numId w:val="0"/>
              </w:numPr>
              <w:rPr>
                <w:rFonts w:asciiTheme="minorHAnsi" w:hAnsiTheme="minorHAnsi"/>
                <w:sz w:val="18"/>
                <w:szCs w:val="18"/>
              </w:rPr>
            </w:pPr>
          </w:p>
          <w:p w:rsidR="00B97A47" w:rsidRPr="003511F4" w:rsidRDefault="00B97A47" w:rsidP="00C26550">
            <w:pPr>
              <w:numPr>
                <w:ilvl w:val="12"/>
                <w:numId w:val="0"/>
              </w:numPr>
              <w:jc w:val="center"/>
              <w:rPr>
                <w:rFonts w:asciiTheme="minorHAnsi" w:hAnsiTheme="minorHAnsi"/>
                <w:sz w:val="18"/>
                <w:szCs w:val="18"/>
              </w:rPr>
            </w:pPr>
            <w:r w:rsidRPr="003511F4">
              <w:rPr>
                <w:rFonts w:asciiTheme="minorHAnsi" w:hAnsiTheme="minorHAnsi"/>
                <w:sz w:val="18"/>
                <w:szCs w:val="18"/>
              </w:rPr>
              <w:t>3</w:t>
            </w:r>
          </w:p>
        </w:tc>
      </w:tr>
      <w:tr w:rsidR="00B97A47" w:rsidRPr="003511F4" w:rsidTr="00C26550">
        <w:tc>
          <w:tcPr>
            <w:tcW w:w="1346" w:type="dxa"/>
            <w:tcBorders>
              <w:left w:val="single" w:sz="6" w:space="0" w:color="auto"/>
              <w:right w:val="single" w:sz="6" w:space="0" w:color="auto"/>
            </w:tcBorders>
          </w:tcPr>
          <w:p w:rsidR="00B97A47" w:rsidRPr="003511F4" w:rsidRDefault="00B97A47" w:rsidP="00C26550">
            <w:pPr>
              <w:numPr>
                <w:ilvl w:val="12"/>
                <w:numId w:val="0"/>
              </w:numPr>
              <w:rPr>
                <w:rFonts w:asciiTheme="minorHAnsi" w:hAnsiTheme="minorHAnsi"/>
                <w:sz w:val="18"/>
                <w:szCs w:val="18"/>
              </w:rPr>
            </w:pPr>
          </w:p>
        </w:tc>
        <w:tc>
          <w:tcPr>
            <w:tcW w:w="1219" w:type="dxa"/>
            <w:gridSpan w:val="2"/>
            <w:tcBorders>
              <w:top w:val="single" w:sz="6" w:space="0" w:color="auto"/>
              <w:bottom w:val="single" w:sz="6" w:space="0" w:color="auto"/>
              <w:right w:val="single" w:sz="6" w:space="0" w:color="auto"/>
            </w:tcBorders>
          </w:tcPr>
          <w:p w:rsidR="00B97A47" w:rsidRPr="003511F4" w:rsidRDefault="00B97A47" w:rsidP="00C26550">
            <w:pPr>
              <w:numPr>
                <w:ilvl w:val="12"/>
                <w:numId w:val="0"/>
              </w:numPr>
              <w:rPr>
                <w:rFonts w:asciiTheme="minorHAnsi" w:hAnsiTheme="minorHAnsi"/>
                <w:sz w:val="18"/>
                <w:szCs w:val="18"/>
              </w:rPr>
            </w:pPr>
            <w:r w:rsidRPr="003511F4">
              <w:rPr>
                <w:rFonts w:asciiTheme="minorHAnsi" w:hAnsiTheme="minorHAnsi"/>
                <w:sz w:val="18"/>
                <w:szCs w:val="18"/>
              </w:rPr>
              <w:t>długość</w:t>
            </w:r>
          </w:p>
        </w:tc>
        <w:tc>
          <w:tcPr>
            <w:tcW w:w="4028" w:type="dxa"/>
            <w:gridSpan w:val="3"/>
            <w:tcBorders>
              <w:top w:val="single" w:sz="6" w:space="0" w:color="auto"/>
              <w:bottom w:val="single" w:sz="6" w:space="0" w:color="auto"/>
              <w:right w:val="single" w:sz="6" w:space="0" w:color="auto"/>
            </w:tcBorders>
          </w:tcPr>
          <w:p w:rsidR="00B97A47" w:rsidRPr="003511F4" w:rsidRDefault="00B97A47" w:rsidP="00C26550">
            <w:pPr>
              <w:numPr>
                <w:ilvl w:val="12"/>
                <w:numId w:val="0"/>
              </w:numPr>
              <w:jc w:val="center"/>
              <w:rPr>
                <w:rFonts w:asciiTheme="minorHAnsi" w:hAnsiTheme="minorHAnsi"/>
                <w:sz w:val="18"/>
                <w:szCs w:val="18"/>
              </w:rPr>
            </w:pPr>
            <w:r w:rsidRPr="003511F4">
              <w:rPr>
                <w:rFonts w:asciiTheme="minorHAnsi" w:hAnsiTheme="minorHAnsi"/>
                <w:sz w:val="18"/>
                <w:szCs w:val="18"/>
              </w:rPr>
              <w:t>0,5 cm</w:t>
            </w:r>
          </w:p>
        </w:tc>
      </w:tr>
      <w:tr w:rsidR="00B97A47" w:rsidRPr="003511F4" w:rsidTr="00C26550">
        <w:tc>
          <w:tcPr>
            <w:tcW w:w="1346" w:type="dxa"/>
            <w:tcBorders>
              <w:left w:val="single" w:sz="6" w:space="0" w:color="auto"/>
              <w:right w:val="single" w:sz="6" w:space="0" w:color="auto"/>
            </w:tcBorders>
          </w:tcPr>
          <w:p w:rsidR="00B97A47" w:rsidRPr="003511F4" w:rsidRDefault="00B97A47" w:rsidP="00C26550">
            <w:pPr>
              <w:numPr>
                <w:ilvl w:val="12"/>
                <w:numId w:val="0"/>
              </w:numPr>
              <w:rPr>
                <w:rFonts w:asciiTheme="minorHAnsi" w:hAnsiTheme="minorHAnsi"/>
                <w:sz w:val="18"/>
                <w:szCs w:val="18"/>
              </w:rPr>
            </w:pPr>
          </w:p>
        </w:tc>
        <w:tc>
          <w:tcPr>
            <w:tcW w:w="1219" w:type="dxa"/>
            <w:gridSpan w:val="2"/>
            <w:tcBorders>
              <w:top w:val="single" w:sz="6" w:space="0" w:color="auto"/>
              <w:bottom w:val="single" w:sz="6" w:space="0" w:color="auto"/>
              <w:right w:val="single" w:sz="6" w:space="0" w:color="auto"/>
            </w:tcBorders>
          </w:tcPr>
          <w:p w:rsidR="00B97A47" w:rsidRPr="003511F4" w:rsidRDefault="00B97A47" w:rsidP="00C26550">
            <w:pPr>
              <w:numPr>
                <w:ilvl w:val="12"/>
                <w:numId w:val="0"/>
              </w:numPr>
              <w:rPr>
                <w:rFonts w:asciiTheme="minorHAnsi" w:hAnsiTheme="minorHAnsi"/>
                <w:sz w:val="18"/>
                <w:szCs w:val="18"/>
              </w:rPr>
            </w:pPr>
            <w:r w:rsidRPr="003511F4">
              <w:rPr>
                <w:rFonts w:asciiTheme="minorHAnsi" w:hAnsiTheme="minorHAnsi"/>
                <w:sz w:val="18"/>
                <w:szCs w:val="18"/>
              </w:rPr>
              <w:t>głębokość</w:t>
            </w:r>
          </w:p>
        </w:tc>
        <w:tc>
          <w:tcPr>
            <w:tcW w:w="4028" w:type="dxa"/>
            <w:gridSpan w:val="3"/>
            <w:tcBorders>
              <w:top w:val="single" w:sz="6" w:space="0" w:color="auto"/>
              <w:bottom w:val="single" w:sz="6" w:space="0" w:color="auto"/>
              <w:right w:val="single" w:sz="6" w:space="0" w:color="auto"/>
            </w:tcBorders>
          </w:tcPr>
          <w:p w:rsidR="00B97A47" w:rsidRPr="003511F4" w:rsidRDefault="00B97A47" w:rsidP="00C26550">
            <w:pPr>
              <w:numPr>
                <w:ilvl w:val="12"/>
                <w:numId w:val="0"/>
              </w:numPr>
              <w:jc w:val="center"/>
              <w:rPr>
                <w:rFonts w:asciiTheme="minorHAnsi" w:hAnsiTheme="minorHAnsi"/>
                <w:sz w:val="18"/>
                <w:szCs w:val="18"/>
              </w:rPr>
            </w:pPr>
            <w:r w:rsidRPr="003511F4">
              <w:rPr>
                <w:rFonts w:asciiTheme="minorHAnsi" w:hAnsiTheme="minorHAnsi"/>
                <w:sz w:val="18"/>
                <w:szCs w:val="18"/>
              </w:rPr>
              <w:t>0,3 cm</w:t>
            </w:r>
          </w:p>
        </w:tc>
      </w:tr>
      <w:tr w:rsidR="00B97A47" w:rsidRPr="003511F4" w:rsidTr="00C26550">
        <w:tc>
          <w:tcPr>
            <w:tcW w:w="2565" w:type="dxa"/>
            <w:gridSpan w:val="3"/>
            <w:tcBorders>
              <w:top w:val="single" w:sz="6" w:space="0" w:color="auto"/>
              <w:left w:val="single" w:sz="6" w:space="0" w:color="auto"/>
              <w:bottom w:val="single" w:sz="6" w:space="0" w:color="auto"/>
              <w:right w:val="single" w:sz="6" w:space="0" w:color="auto"/>
            </w:tcBorders>
          </w:tcPr>
          <w:p w:rsidR="00B97A47" w:rsidRPr="003511F4" w:rsidRDefault="00B97A47" w:rsidP="00C26550">
            <w:pPr>
              <w:numPr>
                <w:ilvl w:val="12"/>
                <w:numId w:val="0"/>
              </w:numPr>
              <w:spacing w:before="180"/>
              <w:jc w:val="center"/>
              <w:rPr>
                <w:rFonts w:asciiTheme="minorHAnsi" w:hAnsiTheme="minorHAnsi"/>
                <w:sz w:val="18"/>
                <w:szCs w:val="18"/>
              </w:rPr>
            </w:pPr>
            <w:r w:rsidRPr="003511F4">
              <w:rPr>
                <w:rFonts w:asciiTheme="minorHAnsi" w:hAnsiTheme="minorHAnsi"/>
                <w:sz w:val="18"/>
                <w:szCs w:val="18"/>
              </w:rPr>
              <w:t>odchyłki od kąta prostego</w:t>
            </w:r>
          </w:p>
        </w:tc>
        <w:tc>
          <w:tcPr>
            <w:tcW w:w="4028" w:type="dxa"/>
            <w:gridSpan w:val="3"/>
            <w:tcBorders>
              <w:top w:val="single" w:sz="6" w:space="0" w:color="auto"/>
              <w:left w:val="single" w:sz="6" w:space="0" w:color="auto"/>
              <w:bottom w:val="single" w:sz="6" w:space="0" w:color="auto"/>
              <w:right w:val="single" w:sz="6" w:space="0" w:color="auto"/>
            </w:tcBorders>
          </w:tcPr>
          <w:p w:rsidR="00B97A47" w:rsidRPr="003511F4" w:rsidRDefault="00B97A47" w:rsidP="00C26550">
            <w:pPr>
              <w:numPr>
                <w:ilvl w:val="12"/>
                <w:numId w:val="0"/>
              </w:numPr>
              <w:rPr>
                <w:rFonts w:asciiTheme="minorHAnsi" w:hAnsiTheme="minorHAnsi"/>
                <w:sz w:val="18"/>
                <w:szCs w:val="18"/>
              </w:rPr>
            </w:pPr>
            <w:smartTag w:uri="urn:schemas-microsoft-com:office:smarttags" w:element="metricconverter">
              <w:smartTagPr>
                <w:attr w:name="ProductID" w:val="0,2 cm"/>
              </w:smartTagPr>
              <w:r w:rsidRPr="003511F4">
                <w:rPr>
                  <w:rFonts w:asciiTheme="minorHAnsi" w:hAnsiTheme="minorHAnsi"/>
                  <w:sz w:val="18"/>
                  <w:szCs w:val="18"/>
                </w:rPr>
                <w:t>0,2 cm</w:t>
              </w:r>
            </w:smartTag>
            <w:r w:rsidRPr="003511F4">
              <w:rPr>
                <w:rFonts w:asciiTheme="minorHAnsi" w:hAnsiTheme="minorHAnsi"/>
                <w:sz w:val="18"/>
                <w:szCs w:val="18"/>
              </w:rPr>
              <w:t xml:space="preserve"> na długości powierzchni</w:t>
            </w:r>
          </w:p>
        </w:tc>
      </w:tr>
      <w:tr w:rsidR="00B97A47" w:rsidRPr="003511F4" w:rsidTr="00C26550">
        <w:tc>
          <w:tcPr>
            <w:tcW w:w="2565" w:type="dxa"/>
            <w:gridSpan w:val="3"/>
            <w:tcBorders>
              <w:top w:val="single" w:sz="6" w:space="0" w:color="auto"/>
              <w:left w:val="single" w:sz="6" w:space="0" w:color="auto"/>
              <w:bottom w:val="single" w:sz="6" w:space="0" w:color="auto"/>
              <w:right w:val="single" w:sz="6" w:space="0" w:color="auto"/>
            </w:tcBorders>
          </w:tcPr>
          <w:p w:rsidR="00B97A47" w:rsidRPr="00A15B5F" w:rsidRDefault="00B97A47" w:rsidP="00C26550">
            <w:pPr>
              <w:rPr>
                <w:rFonts w:asciiTheme="minorHAnsi" w:hAnsiTheme="minorHAnsi"/>
                <w:sz w:val="18"/>
                <w:szCs w:val="18"/>
              </w:rPr>
            </w:pPr>
            <w:r w:rsidRPr="00A15B5F">
              <w:rPr>
                <w:rFonts w:asciiTheme="minorHAnsi" w:hAnsiTheme="minorHAnsi"/>
                <w:sz w:val="18"/>
                <w:szCs w:val="18"/>
              </w:rPr>
              <w:t>odchyłki w krzywiźnie łuku</w:t>
            </w:r>
          </w:p>
        </w:tc>
        <w:tc>
          <w:tcPr>
            <w:tcW w:w="1616" w:type="dxa"/>
            <w:gridSpan w:val="2"/>
            <w:tcBorders>
              <w:top w:val="single" w:sz="6" w:space="0" w:color="auto"/>
              <w:left w:val="single" w:sz="6" w:space="0" w:color="auto"/>
              <w:bottom w:val="single" w:sz="6" w:space="0" w:color="auto"/>
              <w:right w:val="single" w:sz="6" w:space="0" w:color="auto"/>
            </w:tcBorders>
          </w:tcPr>
          <w:p w:rsidR="00B97A47" w:rsidRPr="00A15B5F" w:rsidRDefault="00B97A47" w:rsidP="00C26550">
            <w:pPr>
              <w:rPr>
                <w:rFonts w:asciiTheme="minorHAnsi" w:hAnsiTheme="minorHAnsi"/>
                <w:sz w:val="18"/>
                <w:szCs w:val="18"/>
              </w:rPr>
            </w:pPr>
            <w:r w:rsidRPr="00A15B5F">
              <w:rPr>
                <w:rFonts w:asciiTheme="minorHAnsi" w:hAnsiTheme="minorHAnsi"/>
                <w:sz w:val="18"/>
                <w:szCs w:val="18"/>
              </w:rPr>
              <w:t>-</w:t>
            </w:r>
          </w:p>
        </w:tc>
        <w:tc>
          <w:tcPr>
            <w:tcW w:w="2412" w:type="dxa"/>
            <w:tcBorders>
              <w:top w:val="single" w:sz="6" w:space="0" w:color="auto"/>
              <w:left w:val="single" w:sz="6" w:space="0" w:color="auto"/>
              <w:bottom w:val="single" w:sz="6" w:space="0" w:color="auto"/>
              <w:right w:val="single" w:sz="6" w:space="0" w:color="auto"/>
            </w:tcBorders>
          </w:tcPr>
          <w:p w:rsidR="00B97A47" w:rsidRPr="00A15B5F" w:rsidRDefault="00B97A47" w:rsidP="00C26550">
            <w:pPr>
              <w:rPr>
                <w:rFonts w:asciiTheme="minorHAnsi" w:hAnsiTheme="minorHAnsi"/>
                <w:sz w:val="18"/>
                <w:szCs w:val="18"/>
              </w:rPr>
            </w:pPr>
            <w:r w:rsidRPr="00A15B5F">
              <w:rPr>
                <w:rFonts w:asciiTheme="minorHAnsi" w:hAnsiTheme="minorHAnsi"/>
                <w:sz w:val="18"/>
                <w:szCs w:val="18"/>
              </w:rPr>
              <w:t>1,0 cm</w:t>
            </w:r>
          </w:p>
        </w:tc>
      </w:tr>
    </w:tbl>
    <w:p w:rsidR="00B97A47" w:rsidRDefault="00B97A47" w:rsidP="00B97A47">
      <w:pPr>
        <w:rPr>
          <w:rFonts w:asciiTheme="minorHAnsi" w:hAnsiTheme="minorHAnsi"/>
        </w:rPr>
      </w:pPr>
    </w:p>
    <w:p w:rsidR="00B97A47" w:rsidRPr="003511F4" w:rsidRDefault="00B97A47" w:rsidP="00B97A47">
      <w:pPr>
        <w:rPr>
          <w:rFonts w:asciiTheme="minorHAnsi" w:hAnsiTheme="minorHAnsi"/>
        </w:rPr>
      </w:pPr>
      <w:r w:rsidRPr="00A15B5F">
        <w:rPr>
          <w:rFonts w:asciiTheme="minorHAnsi" w:hAnsiTheme="minorHAnsi"/>
          <w:b/>
        </w:rPr>
        <w:t>2.6.</w:t>
      </w:r>
      <w:r w:rsidRPr="003511F4">
        <w:rPr>
          <w:rFonts w:asciiTheme="minorHAnsi" w:hAnsiTheme="minorHAnsi"/>
        </w:rPr>
        <w:t xml:space="preserve"> Przechowywanie krawężników</w:t>
      </w:r>
    </w:p>
    <w:p w:rsidR="00B97A47" w:rsidRPr="003511F4" w:rsidRDefault="00B97A47" w:rsidP="00B97A47">
      <w:pPr>
        <w:rPr>
          <w:rFonts w:asciiTheme="minorHAnsi" w:hAnsiTheme="minorHAnsi"/>
        </w:rPr>
      </w:pPr>
      <w:r w:rsidRPr="003511F4">
        <w:rPr>
          <w:rFonts w:asciiTheme="minorHAnsi" w:hAnsiTheme="minorHAnsi"/>
        </w:rPr>
        <w:tab/>
        <w:t>Krawężniki mogą być przechowywane na składowiskach otwartych, posegregowane wg typów, rodzajów, odmian i wielkości.</w:t>
      </w:r>
    </w:p>
    <w:p w:rsidR="00B97A47" w:rsidRPr="003511F4" w:rsidRDefault="00B97A47" w:rsidP="00B97A47">
      <w:pPr>
        <w:rPr>
          <w:rFonts w:asciiTheme="minorHAnsi" w:hAnsiTheme="minorHAnsi"/>
        </w:rPr>
      </w:pPr>
      <w:r w:rsidRPr="003511F4">
        <w:rPr>
          <w:rFonts w:asciiTheme="minorHAnsi" w:hAnsiTheme="minorHAnsi"/>
        </w:rPr>
        <w:tab/>
        <w:t>Krawężniki uliczne typu „A” należy układać na powierzchniach spodu, w szeregu na podkładkach drewnianych.</w:t>
      </w:r>
    </w:p>
    <w:p w:rsidR="00B97A47" w:rsidRPr="003511F4" w:rsidRDefault="00B97A47" w:rsidP="00B97A47">
      <w:pPr>
        <w:rPr>
          <w:rFonts w:asciiTheme="minorHAnsi" w:hAnsiTheme="minorHAnsi"/>
        </w:rPr>
      </w:pPr>
      <w:r w:rsidRPr="003511F4">
        <w:rPr>
          <w:rFonts w:asciiTheme="minorHAnsi" w:hAnsiTheme="minorHAnsi"/>
        </w:rPr>
        <w:tab/>
        <w:t xml:space="preserve">Dopuszcza się składowanie krawężników prostych w kilku warstwach, przy zastosowaniu drewnianych podkładek pomiędzy poszczególnymi warstwami, przy czym suma wysokości warstw nie powinna przekraczać </w:t>
      </w:r>
      <w:smartTag w:uri="urn:schemas-microsoft-com:office:smarttags" w:element="metricconverter">
        <w:smartTagPr>
          <w:attr w:name="ProductID" w:val="1,2 m"/>
        </w:smartTagPr>
        <w:r w:rsidRPr="003511F4">
          <w:rPr>
            <w:rFonts w:asciiTheme="minorHAnsi" w:hAnsiTheme="minorHAnsi"/>
          </w:rPr>
          <w:t>1,2 m</w:t>
        </w:r>
      </w:smartTag>
      <w:r w:rsidRPr="003511F4">
        <w:rPr>
          <w:rFonts w:asciiTheme="minorHAnsi" w:hAnsiTheme="minorHAnsi"/>
        </w:rPr>
        <w:t>.</w:t>
      </w:r>
    </w:p>
    <w:p w:rsidR="00B97A47" w:rsidRPr="003511F4" w:rsidRDefault="00B97A47" w:rsidP="00B97A47">
      <w:pPr>
        <w:rPr>
          <w:rFonts w:asciiTheme="minorHAnsi" w:hAnsiTheme="minorHAnsi"/>
        </w:rPr>
      </w:pPr>
      <w:r w:rsidRPr="00A15B5F">
        <w:rPr>
          <w:rFonts w:asciiTheme="minorHAnsi" w:hAnsiTheme="minorHAnsi"/>
          <w:b/>
        </w:rPr>
        <w:t>2.7.</w:t>
      </w:r>
      <w:r w:rsidRPr="003511F4">
        <w:rPr>
          <w:rFonts w:asciiTheme="minorHAnsi" w:hAnsiTheme="minorHAnsi"/>
        </w:rPr>
        <w:t xml:space="preserve"> Materiały na podsypkę i do zapraw</w:t>
      </w:r>
    </w:p>
    <w:p w:rsidR="00B97A47" w:rsidRPr="003511F4" w:rsidRDefault="00B97A47" w:rsidP="00B97A47">
      <w:pPr>
        <w:rPr>
          <w:rFonts w:asciiTheme="minorHAnsi" w:hAnsiTheme="minorHAnsi"/>
        </w:rPr>
      </w:pPr>
      <w:r w:rsidRPr="00A15B5F">
        <w:rPr>
          <w:rFonts w:asciiTheme="minorHAnsi" w:hAnsiTheme="minorHAnsi"/>
          <w:b/>
        </w:rPr>
        <w:t>2.7.1.</w:t>
      </w:r>
      <w:r w:rsidRPr="003511F4">
        <w:rPr>
          <w:rFonts w:asciiTheme="minorHAnsi" w:hAnsiTheme="minorHAnsi"/>
        </w:rPr>
        <w:t xml:space="preserve"> Piasek</w:t>
      </w:r>
    </w:p>
    <w:p w:rsidR="00B97A47" w:rsidRPr="003511F4" w:rsidRDefault="00B97A47" w:rsidP="00B97A47">
      <w:pPr>
        <w:rPr>
          <w:rFonts w:asciiTheme="minorHAnsi" w:hAnsiTheme="minorHAnsi"/>
        </w:rPr>
      </w:pPr>
      <w:r w:rsidRPr="003511F4">
        <w:rPr>
          <w:rFonts w:asciiTheme="minorHAnsi" w:hAnsiTheme="minorHAnsi"/>
        </w:rPr>
        <w:tab/>
        <w:t>Piasek na podsypkę cementowo-piaskową powinien odpowiadać wymaganiom PN-B-06712, a do zaprawy cementowo-piaskowej PN-B-06711.</w:t>
      </w:r>
    </w:p>
    <w:p w:rsidR="00B97A47" w:rsidRPr="003511F4" w:rsidRDefault="00B97A47" w:rsidP="00B97A47">
      <w:pPr>
        <w:rPr>
          <w:rFonts w:asciiTheme="minorHAnsi" w:hAnsiTheme="minorHAnsi"/>
        </w:rPr>
      </w:pPr>
      <w:r w:rsidRPr="00A15B5F">
        <w:rPr>
          <w:rFonts w:asciiTheme="minorHAnsi" w:hAnsiTheme="minorHAnsi"/>
          <w:b/>
        </w:rPr>
        <w:lastRenderedPageBreak/>
        <w:t>2.7.2.</w:t>
      </w:r>
      <w:r w:rsidRPr="003511F4">
        <w:rPr>
          <w:rFonts w:asciiTheme="minorHAnsi" w:hAnsiTheme="minorHAnsi"/>
        </w:rPr>
        <w:t xml:space="preserve">  Cement</w:t>
      </w:r>
    </w:p>
    <w:p w:rsidR="00B97A47" w:rsidRPr="003511F4" w:rsidRDefault="00B97A47" w:rsidP="00B97A47">
      <w:pPr>
        <w:rPr>
          <w:rFonts w:asciiTheme="minorHAnsi" w:hAnsiTheme="minorHAnsi"/>
        </w:rPr>
      </w:pPr>
      <w:r w:rsidRPr="003511F4">
        <w:rPr>
          <w:rFonts w:asciiTheme="minorHAnsi" w:hAnsiTheme="minorHAnsi"/>
        </w:rPr>
        <w:tab/>
        <w:t>Cement stosowany do zaprawy cementowej i do podsypki cementowo-piaskowej powinien być cementem portlandzkim klasy nie niższej niż „32,5” odpowiadający wymaganiom  PN-B-19701.</w:t>
      </w:r>
    </w:p>
    <w:p w:rsidR="00B97A47" w:rsidRPr="003511F4" w:rsidRDefault="00B97A47" w:rsidP="00B97A47">
      <w:pPr>
        <w:rPr>
          <w:rFonts w:asciiTheme="minorHAnsi" w:hAnsiTheme="minorHAnsi"/>
        </w:rPr>
      </w:pPr>
      <w:r w:rsidRPr="00A15B5F">
        <w:rPr>
          <w:rFonts w:asciiTheme="minorHAnsi" w:hAnsiTheme="minorHAnsi"/>
          <w:b/>
        </w:rPr>
        <w:t>2.7.3.</w:t>
      </w:r>
      <w:r w:rsidRPr="003511F4">
        <w:rPr>
          <w:rFonts w:asciiTheme="minorHAnsi" w:hAnsiTheme="minorHAnsi"/>
        </w:rPr>
        <w:t xml:space="preserve">  Woda</w:t>
      </w:r>
    </w:p>
    <w:p w:rsidR="00B97A47" w:rsidRPr="003511F4" w:rsidRDefault="00B97A47" w:rsidP="00B97A47">
      <w:pPr>
        <w:rPr>
          <w:rFonts w:asciiTheme="minorHAnsi" w:hAnsiTheme="minorHAnsi"/>
        </w:rPr>
      </w:pPr>
      <w:r w:rsidRPr="003511F4">
        <w:rPr>
          <w:rFonts w:asciiTheme="minorHAnsi" w:hAnsiTheme="minorHAnsi"/>
        </w:rPr>
        <w:tab/>
        <w:t>Woda powinna być odmiany „1” i odpowiadać wymaganiom PN-B-32250.</w:t>
      </w:r>
    </w:p>
    <w:p w:rsidR="00B97A47" w:rsidRPr="003511F4" w:rsidRDefault="00B97A47" w:rsidP="00B97A47">
      <w:pPr>
        <w:rPr>
          <w:rFonts w:asciiTheme="minorHAnsi" w:hAnsiTheme="minorHAnsi"/>
        </w:rPr>
      </w:pPr>
      <w:r w:rsidRPr="00A15B5F">
        <w:rPr>
          <w:rFonts w:asciiTheme="minorHAnsi" w:hAnsiTheme="minorHAnsi"/>
          <w:b/>
        </w:rPr>
        <w:t>2.8.</w:t>
      </w:r>
      <w:r w:rsidRPr="003511F4">
        <w:rPr>
          <w:rFonts w:asciiTheme="minorHAnsi" w:hAnsiTheme="minorHAnsi"/>
        </w:rPr>
        <w:t xml:space="preserve"> Materiały na ławy i masa zalewowa</w:t>
      </w:r>
    </w:p>
    <w:p w:rsidR="00B97A47" w:rsidRPr="003511F4" w:rsidRDefault="00B97A47" w:rsidP="00B97A47">
      <w:pPr>
        <w:rPr>
          <w:rFonts w:asciiTheme="minorHAnsi" w:hAnsiTheme="minorHAnsi"/>
        </w:rPr>
      </w:pPr>
      <w:r w:rsidRPr="003511F4">
        <w:rPr>
          <w:rFonts w:asciiTheme="minorHAnsi" w:hAnsiTheme="minorHAnsi"/>
        </w:rPr>
        <w:tab/>
        <w:t>Materiały na ławy i masa zalewowa powinny odpowiadać wymaganiom podanym w ST D-08.01.01 „Krawężniki betonowe” pkt 2.</w:t>
      </w:r>
    </w:p>
    <w:p w:rsidR="00B97A47" w:rsidRDefault="00B97A47" w:rsidP="00B97A47">
      <w:pPr>
        <w:rPr>
          <w:rFonts w:asciiTheme="minorHAnsi" w:hAnsiTheme="minorHAnsi"/>
          <w:b/>
        </w:rPr>
      </w:pPr>
    </w:p>
    <w:p w:rsidR="00B97A47" w:rsidRPr="00A15B5F" w:rsidRDefault="00B97A47" w:rsidP="00B97A47">
      <w:pPr>
        <w:rPr>
          <w:rFonts w:asciiTheme="minorHAnsi" w:hAnsiTheme="minorHAnsi"/>
          <w:b/>
        </w:rPr>
      </w:pPr>
      <w:r w:rsidRPr="00A15B5F">
        <w:rPr>
          <w:rFonts w:asciiTheme="minorHAnsi" w:hAnsiTheme="minorHAnsi"/>
          <w:b/>
        </w:rPr>
        <w:t>3. SPRZĘT</w:t>
      </w:r>
    </w:p>
    <w:p w:rsidR="00B97A47" w:rsidRPr="003511F4" w:rsidRDefault="00B97A47" w:rsidP="00B97A47">
      <w:pPr>
        <w:rPr>
          <w:rFonts w:asciiTheme="minorHAnsi" w:hAnsiTheme="minorHAnsi"/>
        </w:rPr>
      </w:pPr>
      <w:r w:rsidRPr="00A15B5F">
        <w:rPr>
          <w:rFonts w:asciiTheme="minorHAnsi" w:hAnsiTheme="minorHAnsi"/>
          <w:b/>
        </w:rPr>
        <w:t>3.1.</w:t>
      </w:r>
      <w:r w:rsidRPr="003511F4">
        <w:rPr>
          <w:rFonts w:asciiTheme="minorHAnsi" w:hAnsiTheme="minorHAnsi"/>
        </w:rPr>
        <w:t xml:space="preserve"> Ogólne wymagania dotyczące sprzętu</w:t>
      </w:r>
    </w:p>
    <w:p w:rsidR="00B97A47" w:rsidRPr="003511F4" w:rsidRDefault="00B97A47" w:rsidP="00B97A47">
      <w:pPr>
        <w:rPr>
          <w:rFonts w:asciiTheme="minorHAnsi" w:hAnsiTheme="minorHAnsi"/>
        </w:rPr>
      </w:pPr>
      <w:r>
        <w:rPr>
          <w:rFonts w:asciiTheme="minorHAnsi" w:hAnsiTheme="minorHAnsi"/>
        </w:rPr>
        <w:tab/>
      </w:r>
      <w:r w:rsidRPr="003511F4">
        <w:rPr>
          <w:rFonts w:asciiTheme="minorHAnsi" w:hAnsiTheme="minorHAnsi"/>
        </w:rPr>
        <w:t>Ogólne wymagania dotyczące sprzętu podano w ST D-M-00.00.00 „Wymagania ogólne” pkt 3.</w:t>
      </w:r>
    </w:p>
    <w:p w:rsidR="00B97A47" w:rsidRPr="003511F4" w:rsidRDefault="00B97A47" w:rsidP="00B97A47">
      <w:pPr>
        <w:rPr>
          <w:rFonts w:asciiTheme="minorHAnsi" w:hAnsiTheme="minorHAnsi"/>
        </w:rPr>
      </w:pPr>
      <w:r w:rsidRPr="00A15B5F">
        <w:rPr>
          <w:rFonts w:asciiTheme="minorHAnsi" w:hAnsiTheme="minorHAnsi"/>
          <w:b/>
        </w:rPr>
        <w:t>3.2.</w:t>
      </w:r>
      <w:r w:rsidRPr="003511F4">
        <w:rPr>
          <w:rFonts w:asciiTheme="minorHAnsi" w:hAnsiTheme="minorHAnsi"/>
        </w:rPr>
        <w:t xml:space="preserve"> Sprzęt do ustawiania krawężników</w:t>
      </w:r>
    </w:p>
    <w:p w:rsidR="00B97A47" w:rsidRPr="003511F4" w:rsidRDefault="00B97A47" w:rsidP="00B97A47">
      <w:pPr>
        <w:rPr>
          <w:rFonts w:asciiTheme="minorHAnsi" w:hAnsiTheme="minorHAnsi"/>
        </w:rPr>
      </w:pPr>
      <w:r>
        <w:rPr>
          <w:rFonts w:asciiTheme="minorHAnsi" w:hAnsiTheme="minorHAnsi"/>
        </w:rPr>
        <w:tab/>
      </w:r>
      <w:r w:rsidRPr="003511F4">
        <w:rPr>
          <w:rFonts w:asciiTheme="minorHAnsi" w:hAnsiTheme="minorHAnsi"/>
        </w:rPr>
        <w:t>Roboty wykonuje się ręcznie przy zastosowaniu:</w:t>
      </w:r>
    </w:p>
    <w:p w:rsidR="00B97A47" w:rsidRPr="003511F4" w:rsidRDefault="00B97A47" w:rsidP="00B97A47">
      <w:pPr>
        <w:rPr>
          <w:rFonts w:asciiTheme="minorHAnsi" w:hAnsiTheme="minorHAnsi"/>
        </w:rPr>
      </w:pPr>
      <w:r>
        <w:rPr>
          <w:rFonts w:asciiTheme="minorHAnsi" w:hAnsiTheme="minorHAnsi"/>
        </w:rPr>
        <w:t>-</w:t>
      </w:r>
      <w:r w:rsidRPr="003511F4">
        <w:rPr>
          <w:rFonts w:asciiTheme="minorHAnsi" w:hAnsiTheme="minorHAnsi"/>
        </w:rPr>
        <w:t>betoniarek do wytwarzania zapraw oraz przygotowania podsypki cementowo-piaskowej,</w:t>
      </w:r>
    </w:p>
    <w:p w:rsidR="00B97A47" w:rsidRPr="003511F4" w:rsidRDefault="00B97A47" w:rsidP="00B97A47">
      <w:pPr>
        <w:rPr>
          <w:rFonts w:asciiTheme="minorHAnsi" w:hAnsiTheme="minorHAnsi"/>
        </w:rPr>
      </w:pPr>
      <w:r>
        <w:rPr>
          <w:rFonts w:asciiTheme="minorHAnsi" w:hAnsiTheme="minorHAnsi"/>
        </w:rPr>
        <w:t>-</w:t>
      </w:r>
      <w:r w:rsidRPr="003511F4">
        <w:rPr>
          <w:rFonts w:asciiTheme="minorHAnsi" w:hAnsiTheme="minorHAnsi"/>
        </w:rPr>
        <w:t>wibratorów płytowych do zagęszczania podsypki.</w:t>
      </w:r>
    </w:p>
    <w:p w:rsidR="00B97A47" w:rsidRDefault="00B97A47" w:rsidP="00B97A47">
      <w:pPr>
        <w:rPr>
          <w:rFonts w:asciiTheme="minorHAnsi" w:hAnsiTheme="minorHAnsi"/>
        </w:rPr>
      </w:pPr>
    </w:p>
    <w:p w:rsidR="00B97A47" w:rsidRPr="00A15B5F" w:rsidRDefault="00B97A47" w:rsidP="00B97A47">
      <w:pPr>
        <w:rPr>
          <w:rFonts w:asciiTheme="minorHAnsi" w:hAnsiTheme="minorHAnsi"/>
          <w:b/>
        </w:rPr>
      </w:pPr>
      <w:r w:rsidRPr="00A15B5F">
        <w:rPr>
          <w:rFonts w:asciiTheme="minorHAnsi" w:hAnsiTheme="minorHAnsi"/>
          <w:b/>
        </w:rPr>
        <w:t>4. TRANSPORT</w:t>
      </w:r>
    </w:p>
    <w:p w:rsidR="00B97A47" w:rsidRPr="003511F4" w:rsidRDefault="00B97A47" w:rsidP="00B97A47">
      <w:pPr>
        <w:rPr>
          <w:rFonts w:asciiTheme="minorHAnsi" w:hAnsiTheme="minorHAnsi"/>
        </w:rPr>
      </w:pPr>
      <w:r w:rsidRPr="00A15B5F">
        <w:rPr>
          <w:rFonts w:asciiTheme="minorHAnsi" w:hAnsiTheme="minorHAnsi"/>
          <w:b/>
        </w:rPr>
        <w:t>4.1.</w:t>
      </w:r>
      <w:r w:rsidRPr="003511F4">
        <w:rPr>
          <w:rFonts w:asciiTheme="minorHAnsi" w:hAnsiTheme="minorHAnsi"/>
        </w:rPr>
        <w:t xml:space="preserve"> Ogólne wymagania dotyczące transportu</w:t>
      </w:r>
    </w:p>
    <w:p w:rsidR="00B97A47" w:rsidRPr="003511F4" w:rsidRDefault="00B97A47" w:rsidP="00B97A47">
      <w:pPr>
        <w:rPr>
          <w:rFonts w:asciiTheme="minorHAnsi" w:hAnsiTheme="minorHAnsi"/>
        </w:rPr>
      </w:pPr>
      <w:r>
        <w:rPr>
          <w:rFonts w:asciiTheme="minorHAnsi" w:hAnsiTheme="minorHAnsi"/>
        </w:rPr>
        <w:tab/>
      </w:r>
      <w:r w:rsidRPr="003511F4">
        <w:rPr>
          <w:rFonts w:asciiTheme="minorHAnsi" w:hAnsiTheme="minorHAnsi"/>
        </w:rPr>
        <w:t>Ogólne wymagania dotyczące transportu podano w ST D-M-00.00.00 „Wymagania ogólne” pkt 4.</w:t>
      </w:r>
    </w:p>
    <w:p w:rsidR="00B97A47" w:rsidRPr="003511F4" w:rsidRDefault="00B97A47" w:rsidP="00B97A47">
      <w:pPr>
        <w:rPr>
          <w:rFonts w:asciiTheme="minorHAnsi" w:hAnsiTheme="minorHAnsi"/>
        </w:rPr>
      </w:pPr>
      <w:r w:rsidRPr="00A15B5F">
        <w:rPr>
          <w:rFonts w:asciiTheme="minorHAnsi" w:hAnsiTheme="minorHAnsi"/>
          <w:b/>
        </w:rPr>
        <w:t>4.2.</w:t>
      </w:r>
      <w:r w:rsidRPr="003511F4">
        <w:rPr>
          <w:rFonts w:asciiTheme="minorHAnsi" w:hAnsiTheme="minorHAnsi"/>
        </w:rPr>
        <w:t xml:space="preserve"> Transport krawężników</w:t>
      </w:r>
    </w:p>
    <w:p w:rsidR="00B97A47" w:rsidRPr="003511F4" w:rsidRDefault="00B97A47" w:rsidP="00B97A47">
      <w:pPr>
        <w:rPr>
          <w:rFonts w:asciiTheme="minorHAnsi" w:hAnsiTheme="minorHAnsi"/>
        </w:rPr>
      </w:pPr>
      <w:r>
        <w:rPr>
          <w:rFonts w:asciiTheme="minorHAnsi" w:hAnsiTheme="minorHAnsi"/>
        </w:rPr>
        <w:tab/>
      </w:r>
      <w:r w:rsidRPr="003511F4">
        <w:rPr>
          <w:rFonts w:asciiTheme="minorHAnsi" w:hAnsiTheme="minorHAnsi"/>
        </w:rPr>
        <w:t>Krawężniki kamienne mogą być przewożone dowolnymi środkami transportowymi.</w:t>
      </w:r>
    </w:p>
    <w:p w:rsidR="00B97A47" w:rsidRPr="003511F4" w:rsidRDefault="00B97A47" w:rsidP="00B97A47">
      <w:pPr>
        <w:rPr>
          <w:rFonts w:asciiTheme="minorHAnsi" w:hAnsiTheme="minorHAnsi"/>
        </w:rPr>
      </w:pPr>
      <w:r>
        <w:rPr>
          <w:rFonts w:asciiTheme="minorHAnsi" w:hAnsiTheme="minorHAnsi"/>
        </w:rPr>
        <w:tab/>
      </w:r>
      <w:r w:rsidRPr="003511F4">
        <w:rPr>
          <w:rFonts w:asciiTheme="minorHAnsi" w:hAnsiTheme="minorHAnsi"/>
        </w:rPr>
        <w:t>Krawężniki należy układać na podkładach drewnianych, rzędami, długością w kierunku jazdy środka transportowego.</w:t>
      </w:r>
    </w:p>
    <w:p w:rsidR="00B97A47" w:rsidRPr="003511F4" w:rsidRDefault="00B97A47" w:rsidP="00B97A47">
      <w:pPr>
        <w:rPr>
          <w:rFonts w:asciiTheme="minorHAnsi" w:hAnsiTheme="minorHAnsi"/>
        </w:rPr>
      </w:pPr>
      <w:r>
        <w:rPr>
          <w:rFonts w:asciiTheme="minorHAnsi" w:hAnsiTheme="minorHAnsi"/>
        </w:rPr>
        <w:tab/>
      </w:r>
      <w:r w:rsidRPr="003511F4">
        <w:rPr>
          <w:rFonts w:asciiTheme="minorHAnsi" w:hAnsiTheme="minorHAnsi"/>
        </w:rPr>
        <w:t>Krawężnik uliczny rodzaju „A” może być przewożony tylko w jednej warstwie.</w:t>
      </w:r>
    </w:p>
    <w:p w:rsidR="00B97A47" w:rsidRPr="003511F4" w:rsidRDefault="00B97A47" w:rsidP="00B97A47">
      <w:pPr>
        <w:rPr>
          <w:rFonts w:asciiTheme="minorHAnsi" w:hAnsiTheme="minorHAnsi"/>
        </w:rPr>
      </w:pPr>
      <w:r>
        <w:rPr>
          <w:rFonts w:asciiTheme="minorHAnsi" w:hAnsiTheme="minorHAnsi"/>
        </w:rPr>
        <w:tab/>
      </w:r>
      <w:r w:rsidRPr="003511F4">
        <w:rPr>
          <w:rFonts w:asciiTheme="minorHAnsi" w:hAnsiTheme="minorHAnsi"/>
        </w:rPr>
        <w:t xml:space="preserve">W celu zabezpieczenia powierzchni obrobionych przed bezpośrednim stykiem, należy je do transportu zabezpieczyć przekładkami splecionymi ze słomy lub wełny drzewnej, przy czym grubość tych przekładek nie powinna być mniejsza niż </w:t>
      </w:r>
      <w:smartTag w:uri="urn:schemas-microsoft-com:office:smarttags" w:element="metricconverter">
        <w:smartTagPr>
          <w:attr w:name="ProductID" w:val="5 cm"/>
        </w:smartTagPr>
        <w:r w:rsidRPr="003511F4">
          <w:rPr>
            <w:rFonts w:asciiTheme="minorHAnsi" w:hAnsiTheme="minorHAnsi"/>
          </w:rPr>
          <w:t>5 cm</w:t>
        </w:r>
      </w:smartTag>
      <w:r w:rsidRPr="003511F4">
        <w:rPr>
          <w:rFonts w:asciiTheme="minorHAnsi" w:hAnsiTheme="minorHAnsi"/>
        </w:rPr>
        <w:t>.</w:t>
      </w:r>
    </w:p>
    <w:p w:rsidR="00B97A47" w:rsidRPr="003511F4" w:rsidRDefault="00B97A47" w:rsidP="00B97A47">
      <w:pPr>
        <w:rPr>
          <w:rFonts w:asciiTheme="minorHAnsi" w:hAnsiTheme="minorHAnsi"/>
        </w:rPr>
      </w:pPr>
      <w:r w:rsidRPr="00A15B5F">
        <w:rPr>
          <w:rFonts w:asciiTheme="minorHAnsi" w:hAnsiTheme="minorHAnsi"/>
          <w:b/>
        </w:rPr>
        <w:t>4.3.</w:t>
      </w:r>
      <w:r w:rsidRPr="003511F4">
        <w:rPr>
          <w:rFonts w:asciiTheme="minorHAnsi" w:hAnsiTheme="minorHAnsi"/>
        </w:rPr>
        <w:t xml:space="preserve"> Transport pozostałych materiałów</w:t>
      </w:r>
    </w:p>
    <w:p w:rsidR="00B97A47" w:rsidRPr="003511F4" w:rsidRDefault="00B97A47" w:rsidP="00B97A47">
      <w:pPr>
        <w:rPr>
          <w:rFonts w:asciiTheme="minorHAnsi" w:hAnsiTheme="minorHAnsi"/>
        </w:rPr>
      </w:pPr>
      <w:r w:rsidRPr="003511F4">
        <w:rPr>
          <w:rFonts w:asciiTheme="minorHAnsi" w:hAnsiTheme="minorHAnsi"/>
        </w:rPr>
        <w:tab/>
        <w:t>Transport cementu i kruszyw do wykonania ław i na podsypkę powinien odpowiadać wymaganiom wg ST D-08.01.01 „Krawężniki betonowe”.</w:t>
      </w:r>
    </w:p>
    <w:p w:rsidR="00B97A47" w:rsidRDefault="00B97A47" w:rsidP="00B97A47">
      <w:pPr>
        <w:rPr>
          <w:rFonts w:asciiTheme="minorHAnsi" w:hAnsiTheme="minorHAnsi"/>
        </w:rPr>
      </w:pPr>
    </w:p>
    <w:p w:rsidR="00B97A47" w:rsidRPr="00A15B5F" w:rsidRDefault="00B97A47" w:rsidP="00B97A47">
      <w:pPr>
        <w:rPr>
          <w:rFonts w:asciiTheme="minorHAnsi" w:hAnsiTheme="minorHAnsi"/>
          <w:b/>
        </w:rPr>
      </w:pPr>
      <w:r w:rsidRPr="00A15B5F">
        <w:rPr>
          <w:rFonts w:asciiTheme="minorHAnsi" w:hAnsiTheme="minorHAnsi"/>
          <w:b/>
        </w:rPr>
        <w:t>5. WYKONANIE ROBÓT</w:t>
      </w:r>
    </w:p>
    <w:p w:rsidR="00B97A47" w:rsidRPr="003511F4" w:rsidRDefault="00B97A47" w:rsidP="00B97A47">
      <w:pPr>
        <w:rPr>
          <w:rFonts w:asciiTheme="minorHAnsi" w:hAnsiTheme="minorHAnsi"/>
        </w:rPr>
      </w:pPr>
      <w:r w:rsidRPr="00A15B5F">
        <w:rPr>
          <w:rFonts w:asciiTheme="minorHAnsi" w:hAnsiTheme="minorHAnsi"/>
          <w:b/>
        </w:rPr>
        <w:t>5.1.</w:t>
      </w:r>
      <w:r w:rsidRPr="003511F4">
        <w:rPr>
          <w:rFonts w:asciiTheme="minorHAnsi" w:hAnsiTheme="minorHAnsi"/>
        </w:rPr>
        <w:t xml:space="preserve"> Ogólne zasady wykonania robót</w:t>
      </w:r>
    </w:p>
    <w:p w:rsidR="00B97A47" w:rsidRPr="003511F4" w:rsidRDefault="00B97A47" w:rsidP="00B97A47">
      <w:pPr>
        <w:rPr>
          <w:rFonts w:asciiTheme="minorHAnsi" w:hAnsiTheme="minorHAnsi"/>
        </w:rPr>
      </w:pPr>
      <w:r w:rsidRPr="003511F4">
        <w:rPr>
          <w:rFonts w:asciiTheme="minorHAnsi" w:hAnsiTheme="minorHAnsi"/>
        </w:rPr>
        <w:tab/>
        <w:t>Ogólne zasady wykonania robót podano w ST D-M-00.00.00 „Wymagania ogólne” pkt 5.</w:t>
      </w:r>
    </w:p>
    <w:p w:rsidR="00B97A47" w:rsidRPr="003511F4" w:rsidRDefault="00B97A47" w:rsidP="00B97A47">
      <w:pPr>
        <w:rPr>
          <w:rFonts w:asciiTheme="minorHAnsi" w:hAnsiTheme="minorHAnsi"/>
        </w:rPr>
      </w:pPr>
      <w:r w:rsidRPr="00A15B5F">
        <w:rPr>
          <w:rFonts w:asciiTheme="minorHAnsi" w:hAnsiTheme="minorHAnsi"/>
          <w:b/>
        </w:rPr>
        <w:t>5.2.</w:t>
      </w:r>
      <w:r w:rsidRPr="003511F4">
        <w:rPr>
          <w:rFonts w:asciiTheme="minorHAnsi" w:hAnsiTheme="minorHAnsi"/>
        </w:rPr>
        <w:t xml:space="preserve"> Wykonanie koryta pod ławy</w:t>
      </w:r>
    </w:p>
    <w:p w:rsidR="00B97A47" w:rsidRPr="003511F4" w:rsidRDefault="00B97A47" w:rsidP="00B97A47">
      <w:pPr>
        <w:rPr>
          <w:rFonts w:asciiTheme="minorHAnsi" w:hAnsiTheme="minorHAnsi"/>
        </w:rPr>
      </w:pPr>
      <w:r w:rsidRPr="003511F4">
        <w:rPr>
          <w:rFonts w:asciiTheme="minorHAnsi" w:hAnsiTheme="minorHAnsi"/>
        </w:rPr>
        <w:tab/>
        <w:t>Koryto pod ławy należy wykonywać zgodnie z PN-B-06050.</w:t>
      </w:r>
    </w:p>
    <w:p w:rsidR="00B97A47" w:rsidRPr="003511F4" w:rsidRDefault="00B97A47" w:rsidP="00B97A47">
      <w:pPr>
        <w:rPr>
          <w:rFonts w:asciiTheme="minorHAnsi" w:hAnsiTheme="minorHAnsi"/>
        </w:rPr>
      </w:pPr>
      <w:r w:rsidRPr="003511F4">
        <w:rPr>
          <w:rFonts w:asciiTheme="minorHAnsi" w:hAnsiTheme="minorHAnsi"/>
        </w:rPr>
        <w:tab/>
        <w:t>Wymiary wykopu powinny odpowiadać wymiarom ławy w planie z uwzględnieniem w szerokości dna wykopu konstrukcji szalunku.</w:t>
      </w:r>
    </w:p>
    <w:p w:rsidR="00B97A47" w:rsidRPr="003511F4" w:rsidRDefault="00B97A47" w:rsidP="00B97A47">
      <w:pPr>
        <w:rPr>
          <w:rFonts w:asciiTheme="minorHAnsi" w:hAnsiTheme="minorHAnsi"/>
        </w:rPr>
      </w:pPr>
      <w:r w:rsidRPr="003511F4">
        <w:rPr>
          <w:rFonts w:asciiTheme="minorHAnsi" w:hAnsiTheme="minorHAnsi"/>
        </w:rPr>
        <w:tab/>
        <w:t>Wskaźnik zagęszczenia dna wykonanego koryta pod ławę powinien wynosić co najmniej 0,97 według normalnej metody Proctora.</w:t>
      </w:r>
    </w:p>
    <w:p w:rsidR="00B97A47" w:rsidRPr="003511F4" w:rsidRDefault="00B97A47" w:rsidP="00B97A47">
      <w:pPr>
        <w:rPr>
          <w:rFonts w:asciiTheme="minorHAnsi" w:hAnsiTheme="minorHAnsi"/>
        </w:rPr>
      </w:pPr>
      <w:r w:rsidRPr="00A15B5F">
        <w:rPr>
          <w:rFonts w:asciiTheme="minorHAnsi" w:hAnsiTheme="minorHAnsi"/>
          <w:b/>
        </w:rPr>
        <w:t>5.3.</w:t>
      </w:r>
      <w:r w:rsidRPr="003511F4">
        <w:rPr>
          <w:rFonts w:asciiTheme="minorHAnsi" w:hAnsiTheme="minorHAnsi"/>
        </w:rPr>
        <w:t xml:space="preserve"> Wykonanie ław</w:t>
      </w:r>
    </w:p>
    <w:p w:rsidR="00B97A47" w:rsidRPr="003511F4" w:rsidRDefault="00B97A47" w:rsidP="00B97A47">
      <w:pPr>
        <w:rPr>
          <w:rFonts w:asciiTheme="minorHAnsi" w:hAnsiTheme="minorHAnsi"/>
        </w:rPr>
      </w:pPr>
      <w:r w:rsidRPr="003511F4">
        <w:rPr>
          <w:rFonts w:asciiTheme="minorHAnsi" w:hAnsiTheme="minorHAnsi"/>
        </w:rPr>
        <w:tab/>
        <w:t>Wykonanie ław powinno być zgodne z warunkami podanymi w ST D-08.01.01 „Krawężniki betonowe” pkt 5.</w:t>
      </w:r>
    </w:p>
    <w:p w:rsidR="00B97A47" w:rsidRPr="003511F4" w:rsidRDefault="00B97A47" w:rsidP="00B97A47">
      <w:pPr>
        <w:rPr>
          <w:rFonts w:asciiTheme="minorHAnsi" w:hAnsiTheme="minorHAnsi"/>
        </w:rPr>
      </w:pPr>
      <w:r w:rsidRPr="00A15B5F">
        <w:rPr>
          <w:rFonts w:asciiTheme="minorHAnsi" w:hAnsiTheme="minorHAnsi"/>
          <w:b/>
        </w:rPr>
        <w:t>5.4.</w:t>
      </w:r>
      <w:r w:rsidRPr="003511F4">
        <w:rPr>
          <w:rFonts w:asciiTheme="minorHAnsi" w:hAnsiTheme="minorHAnsi"/>
        </w:rPr>
        <w:t xml:space="preserve"> Ustawienie krawężników kamiennych</w:t>
      </w:r>
    </w:p>
    <w:p w:rsidR="00B97A47" w:rsidRPr="003511F4" w:rsidRDefault="00B97A47" w:rsidP="00B97A47">
      <w:pPr>
        <w:rPr>
          <w:rFonts w:asciiTheme="minorHAnsi" w:hAnsiTheme="minorHAnsi"/>
        </w:rPr>
      </w:pPr>
      <w:r w:rsidRPr="003511F4">
        <w:rPr>
          <w:rFonts w:asciiTheme="minorHAnsi" w:hAnsiTheme="minorHAnsi"/>
        </w:rPr>
        <w:tab/>
        <w:t>Ustawianie krawężników kamiennych i wypełnianie spoin powinno być zgodne z warunkami podanymi w ST D-08.01.01 „Krawężniki betonowe” pkt 5.</w:t>
      </w:r>
    </w:p>
    <w:p w:rsidR="00B97A47" w:rsidRDefault="00B97A47" w:rsidP="00B97A47">
      <w:pPr>
        <w:rPr>
          <w:rFonts w:asciiTheme="minorHAnsi" w:hAnsiTheme="minorHAnsi"/>
        </w:rPr>
      </w:pPr>
    </w:p>
    <w:p w:rsidR="00B97A47" w:rsidRPr="00A15B5F" w:rsidRDefault="00B97A47" w:rsidP="00B97A47">
      <w:pPr>
        <w:rPr>
          <w:rFonts w:asciiTheme="minorHAnsi" w:hAnsiTheme="minorHAnsi"/>
          <w:b/>
        </w:rPr>
      </w:pPr>
      <w:r w:rsidRPr="00A15B5F">
        <w:rPr>
          <w:rFonts w:asciiTheme="minorHAnsi" w:hAnsiTheme="minorHAnsi"/>
          <w:b/>
        </w:rPr>
        <w:t>6. KONTROLA JAKOŚCI ROBÓT</w:t>
      </w:r>
    </w:p>
    <w:p w:rsidR="00B97A47" w:rsidRPr="003511F4" w:rsidRDefault="00B97A47" w:rsidP="00B97A47">
      <w:pPr>
        <w:rPr>
          <w:rFonts w:asciiTheme="minorHAnsi" w:hAnsiTheme="minorHAnsi"/>
        </w:rPr>
      </w:pPr>
      <w:r w:rsidRPr="00A15B5F">
        <w:rPr>
          <w:rFonts w:asciiTheme="minorHAnsi" w:hAnsiTheme="minorHAnsi"/>
          <w:b/>
        </w:rPr>
        <w:t>6.1.</w:t>
      </w:r>
      <w:r w:rsidRPr="003511F4">
        <w:rPr>
          <w:rFonts w:asciiTheme="minorHAnsi" w:hAnsiTheme="minorHAnsi"/>
        </w:rPr>
        <w:t xml:space="preserve"> Ogólne zasady kontroli jakości robót</w:t>
      </w:r>
    </w:p>
    <w:p w:rsidR="00B97A47" w:rsidRPr="003511F4" w:rsidRDefault="00B97A47" w:rsidP="00B97A47">
      <w:pPr>
        <w:rPr>
          <w:rFonts w:asciiTheme="minorHAnsi" w:hAnsiTheme="minorHAnsi"/>
        </w:rPr>
      </w:pPr>
      <w:r w:rsidRPr="003511F4">
        <w:rPr>
          <w:rFonts w:asciiTheme="minorHAnsi" w:hAnsiTheme="minorHAnsi"/>
        </w:rPr>
        <w:tab/>
        <w:t>Ogólne zasady kontroli jakości robót podano w ST D-M-00.00.00 „Wymagania ogólne” pkt 6.</w:t>
      </w:r>
    </w:p>
    <w:p w:rsidR="00B97A47" w:rsidRPr="003511F4" w:rsidRDefault="00B97A47" w:rsidP="00B97A47">
      <w:pPr>
        <w:rPr>
          <w:rFonts w:asciiTheme="minorHAnsi" w:hAnsiTheme="minorHAnsi"/>
        </w:rPr>
      </w:pPr>
      <w:r w:rsidRPr="00A15B5F">
        <w:rPr>
          <w:rFonts w:asciiTheme="minorHAnsi" w:hAnsiTheme="minorHAnsi"/>
          <w:b/>
        </w:rPr>
        <w:t>6.2.</w:t>
      </w:r>
      <w:r w:rsidRPr="003511F4">
        <w:rPr>
          <w:rFonts w:asciiTheme="minorHAnsi" w:hAnsiTheme="minorHAnsi"/>
        </w:rPr>
        <w:t xml:space="preserve"> Badania przed przystąpieniem do robót</w:t>
      </w:r>
    </w:p>
    <w:p w:rsidR="00B97A47" w:rsidRPr="003511F4" w:rsidRDefault="00B97A47" w:rsidP="00B97A47">
      <w:pPr>
        <w:rPr>
          <w:rFonts w:asciiTheme="minorHAnsi" w:hAnsiTheme="minorHAnsi"/>
        </w:rPr>
      </w:pPr>
      <w:r w:rsidRPr="00A15B5F">
        <w:rPr>
          <w:rFonts w:asciiTheme="minorHAnsi" w:hAnsiTheme="minorHAnsi"/>
          <w:b/>
        </w:rPr>
        <w:t>6.2.1.</w:t>
      </w:r>
      <w:r w:rsidRPr="003511F4">
        <w:rPr>
          <w:rFonts w:asciiTheme="minorHAnsi" w:hAnsiTheme="minorHAnsi"/>
        </w:rPr>
        <w:t xml:space="preserve"> Badania krawężników</w:t>
      </w:r>
    </w:p>
    <w:p w:rsidR="00B97A47" w:rsidRPr="003511F4" w:rsidRDefault="00B97A47" w:rsidP="00B97A47">
      <w:pPr>
        <w:rPr>
          <w:rFonts w:asciiTheme="minorHAnsi" w:hAnsiTheme="minorHAnsi"/>
        </w:rPr>
      </w:pPr>
      <w:r w:rsidRPr="003511F4">
        <w:rPr>
          <w:rFonts w:asciiTheme="minorHAnsi" w:hAnsiTheme="minorHAnsi"/>
        </w:rPr>
        <w:tab/>
        <w:t>Przed przystąpieniem do robót Wykonawca powinien wykonać badania materiałów przeznaczonych do ustawienia krawężników kamiennych i przedstawić wyniki tych badań Inżynierowi  do akceptacji.</w:t>
      </w:r>
    </w:p>
    <w:p w:rsidR="00B97A47" w:rsidRPr="003511F4" w:rsidRDefault="00B97A47" w:rsidP="00B97A47">
      <w:pPr>
        <w:rPr>
          <w:rFonts w:asciiTheme="minorHAnsi" w:hAnsiTheme="minorHAnsi"/>
        </w:rPr>
      </w:pPr>
      <w:r w:rsidRPr="00A15B5F">
        <w:rPr>
          <w:rFonts w:asciiTheme="minorHAnsi" w:hAnsiTheme="minorHAnsi"/>
          <w:b/>
        </w:rPr>
        <w:t>6.2.1.</w:t>
      </w:r>
      <w:r w:rsidRPr="003511F4">
        <w:rPr>
          <w:rFonts w:asciiTheme="minorHAnsi" w:hAnsiTheme="minorHAnsi"/>
        </w:rPr>
        <w:t xml:space="preserve"> Badania krawężników</w:t>
      </w:r>
    </w:p>
    <w:p w:rsidR="00B97A47" w:rsidRPr="003511F4" w:rsidRDefault="00B97A47" w:rsidP="00B97A47">
      <w:pPr>
        <w:rPr>
          <w:rFonts w:asciiTheme="minorHAnsi" w:hAnsiTheme="minorHAnsi"/>
        </w:rPr>
      </w:pPr>
      <w:r w:rsidRPr="003511F4">
        <w:rPr>
          <w:rFonts w:asciiTheme="minorHAnsi" w:hAnsiTheme="minorHAnsi"/>
        </w:rPr>
        <w:tab/>
        <w:t>Badania krawężników kamiennych obejmują:</w:t>
      </w:r>
    </w:p>
    <w:p w:rsidR="00B97A47" w:rsidRPr="003511F4" w:rsidRDefault="00B97A47" w:rsidP="00B97A47">
      <w:pPr>
        <w:rPr>
          <w:rFonts w:asciiTheme="minorHAnsi" w:hAnsiTheme="minorHAnsi"/>
        </w:rPr>
      </w:pPr>
      <w:r>
        <w:rPr>
          <w:rFonts w:asciiTheme="minorHAnsi" w:hAnsiTheme="minorHAnsi"/>
        </w:rPr>
        <w:t>-</w:t>
      </w:r>
      <w:r w:rsidRPr="003511F4">
        <w:rPr>
          <w:rFonts w:asciiTheme="minorHAnsi" w:hAnsiTheme="minorHAnsi"/>
        </w:rPr>
        <w:t>sprawdzenie cech zewnętrznych,</w:t>
      </w:r>
    </w:p>
    <w:p w:rsidR="00B97A47" w:rsidRPr="003511F4" w:rsidRDefault="00B97A47" w:rsidP="00B97A47">
      <w:pPr>
        <w:rPr>
          <w:rFonts w:asciiTheme="minorHAnsi" w:hAnsiTheme="minorHAnsi"/>
        </w:rPr>
      </w:pPr>
      <w:r>
        <w:rPr>
          <w:rFonts w:asciiTheme="minorHAnsi" w:hAnsiTheme="minorHAnsi"/>
        </w:rPr>
        <w:lastRenderedPageBreak/>
        <w:t>-</w:t>
      </w:r>
      <w:r w:rsidRPr="003511F4">
        <w:rPr>
          <w:rFonts w:asciiTheme="minorHAnsi" w:hAnsiTheme="minorHAnsi"/>
        </w:rPr>
        <w:t>badania laboratoryjne.</w:t>
      </w:r>
    </w:p>
    <w:p w:rsidR="00B97A47" w:rsidRPr="003511F4" w:rsidRDefault="00B97A47" w:rsidP="00B97A47">
      <w:pPr>
        <w:rPr>
          <w:rFonts w:asciiTheme="minorHAnsi" w:hAnsiTheme="minorHAnsi"/>
        </w:rPr>
      </w:pPr>
      <w:r w:rsidRPr="003511F4">
        <w:rPr>
          <w:rFonts w:asciiTheme="minorHAnsi" w:hAnsiTheme="minorHAnsi"/>
        </w:rPr>
        <w:tab/>
        <w:t>Sprawdzenie cech zewnętrznych obejmuje:</w:t>
      </w:r>
    </w:p>
    <w:p w:rsidR="00B97A47" w:rsidRPr="003511F4" w:rsidRDefault="00B97A47" w:rsidP="00B97A47">
      <w:pPr>
        <w:rPr>
          <w:rFonts w:asciiTheme="minorHAnsi" w:hAnsiTheme="minorHAnsi"/>
        </w:rPr>
      </w:pPr>
      <w:r>
        <w:rPr>
          <w:rFonts w:asciiTheme="minorHAnsi" w:hAnsiTheme="minorHAnsi"/>
        </w:rPr>
        <w:t>-</w:t>
      </w:r>
      <w:r w:rsidRPr="003511F4">
        <w:rPr>
          <w:rFonts w:asciiTheme="minorHAnsi" w:hAnsiTheme="minorHAnsi"/>
        </w:rPr>
        <w:t>sprawdzenie kształtu, wymiarów i wyglądu zewnętrznego,</w:t>
      </w:r>
    </w:p>
    <w:p w:rsidR="00B97A47" w:rsidRPr="003511F4" w:rsidRDefault="00B97A47" w:rsidP="00B97A47">
      <w:pPr>
        <w:rPr>
          <w:rFonts w:asciiTheme="minorHAnsi" w:hAnsiTheme="minorHAnsi"/>
        </w:rPr>
      </w:pPr>
      <w:r>
        <w:rPr>
          <w:rFonts w:asciiTheme="minorHAnsi" w:hAnsiTheme="minorHAnsi"/>
        </w:rPr>
        <w:t>-</w:t>
      </w:r>
      <w:r w:rsidRPr="003511F4">
        <w:rPr>
          <w:rFonts w:asciiTheme="minorHAnsi" w:hAnsiTheme="minorHAnsi"/>
        </w:rPr>
        <w:t>sprawdzenie wad i uszkodzeń.</w:t>
      </w:r>
    </w:p>
    <w:p w:rsidR="00B97A47" w:rsidRPr="003511F4" w:rsidRDefault="00B97A47" w:rsidP="00B97A47">
      <w:pPr>
        <w:rPr>
          <w:rFonts w:asciiTheme="minorHAnsi" w:hAnsiTheme="minorHAnsi"/>
        </w:rPr>
      </w:pPr>
      <w:r w:rsidRPr="003511F4">
        <w:rPr>
          <w:rFonts w:asciiTheme="minorHAnsi" w:hAnsiTheme="minorHAnsi"/>
        </w:rPr>
        <w:tab/>
        <w:t>Badanie laboratoryjne obejmuje:</w:t>
      </w:r>
    </w:p>
    <w:p w:rsidR="00B97A47" w:rsidRPr="003511F4" w:rsidRDefault="00B97A47" w:rsidP="00B97A47">
      <w:pPr>
        <w:rPr>
          <w:rFonts w:asciiTheme="minorHAnsi" w:hAnsiTheme="minorHAnsi"/>
        </w:rPr>
      </w:pPr>
      <w:r>
        <w:rPr>
          <w:rFonts w:asciiTheme="minorHAnsi" w:hAnsiTheme="minorHAnsi"/>
        </w:rPr>
        <w:t>-</w:t>
      </w:r>
      <w:r w:rsidRPr="003511F4">
        <w:rPr>
          <w:rFonts w:asciiTheme="minorHAnsi" w:hAnsiTheme="minorHAnsi"/>
        </w:rPr>
        <w:t>badanie nasiąkliwości wodą,</w:t>
      </w:r>
    </w:p>
    <w:p w:rsidR="00B97A47" w:rsidRPr="003511F4" w:rsidRDefault="00B97A47" w:rsidP="00B97A47">
      <w:pPr>
        <w:rPr>
          <w:rFonts w:asciiTheme="minorHAnsi" w:hAnsiTheme="minorHAnsi"/>
        </w:rPr>
      </w:pPr>
      <w:r>
        <w:rPr>
          <w:rFonts w:asciiTheme="minorHAnsi" w:hAnsiTheme="minorHAnsi"/>
        </w:rPr>
        <w:t>-</w:t>
      </w:r>
      <w:r w:rsidRPr="003511F4">
        <w:rPr>
          <w:rFonts w:asciiTheme="minorHAnsi" w:hAnsiTheme="minorHAnsi"/>
        </w:rPr>
        <w:t>badanie odporności na zamrażanie,</w:t>
      </w:r>
    </w:p>
    <w:p w:rsidR="00B97A47" w:rsidRPr="003511F4" w:rsidRDefault="00B97A47" w:rsidP="00B97A47">
      <w:pPr>
        <w:rPr>
          <w:rFonts w:asciiTheme="minorHAnsi" w:hAnsiTheme="minorHAnsi"/>
        </w:rPr>
      </w:pPr>
      <w:r>
        <w:rPr>
          <w:rFonts w:asciiTheme="minorHAnsi" w:hAnsiTheme="minorHAnsi"/>
        </w:rPr>
        <w:t>-</w:t>
      </w:r>
      <w:r w:rsidRPr="003511F4">
        <w:rPr>
          <w:rFonts w:asciiTheme="minorHAnsi" w:hAnsiTheme="minorHAnsi"/>
        </w:rPr>
        <w:t>badanie wytrzymałości na ściskanie,</w:t>
      </w:r>
    </w:p>
    <w:p w:rsidR="00B97A47" w:rsidRPr="003511F4" w:rsidRDefault="00B97A47" w:rsidP="00B97A47">
      <w:pPr>
        <w:rPr>
          <w:rFonts w:asciiTheme="minorHAnsi" w:hAnsiTheme="minorHAnsi"/>
        </w:rPr>
      </w:pPr>
      <w:r>
        <w:rPr>
          <w:rFonts w:asciiTheme="minorHAnsi" w:hAnsiTheme="minorHAnsi"/>
        </w:rPr>
        <w:t>-</w:t>
      </w:r>
      <w:r w:rsidRPr="003511F4">
        <w:rPr>
          <w:rFonts w:asciiTheme="minorHAnsi" w:hAnsiTheme="minorHAnsi"/>
        </w:rPr>
        <w:t>badanie ścieralności na tarczy Boehmego,</w:t>
      </w:r>
    </w:p>
    <w:p w:rsidR="00B97A47" w:rsidRPr="003511F4" w:rsidRDefault="00B97A47" w:rsidP="00B97A47">
      <w:pPr>
        <w:rPr>
          <w:rFonts w:asciiTheme="minorHAnsi" w:hAnsiTheme="minorHAnsi"/>
        </w:rPr>
      </w:pPr>
      <w:r>
        <w:rPr>
          <w:rFonts w:asciiTheme="minorHAnsi" w:hAnsiTheme="minorHAnsi"/>
        </w:rPr>
        <w:t>-</w:t>
      </w:r>
      <w:r w:rsidRPr="003511F4">
        <w:rPr>
          <w:rFonts w:asciiTheme="minorHAnsi" w:hAnsiTheme="minorHAnsi"/>
        </w:rPr>
        <w:t>badanie wytrzymałości na uderzenie.</w:t>
      </w:r>
    </w:p>
    <w:p w:rsidR="00B97A47" w:rsidRPr="003511F4" w:rsidRDefault="00B97A47" w:rsidP="00B97A47">
      <w:pPr>
        <w:rPr>
          <w:rFonts w:asciiTheme="minorHAnsi" w:hAnsiTheme="minorHAnsi"/>
        </w:rPr>
      </w:pPr>
      <w:r w:rsidRPr="003511F4">
        <w:rPr>
          <w:rFonts w:asciiTheme="minorHAnsi" w:hAnsiTheme="minorHAnsi"/>
        </w:rPr>
        <w:tab/>
        <w:t>Sprawdzenie cech zewnętrznych należy przeprowadzać przy każdorazowym odbiorze partii krawężników. Badanie laboratoryjne należy przeprowadzać na polecenie Inżyniera na próbkach materiału kamiennego, z którego wykonano krawężniki, a w przypadkach spornych - na próbkach wyciętych z zakwestionowanych krawężników, zgodnie z wymaganiami tablicy 1.</w:t>
      </w:r>
    </w:p>
    <w:p w:rsidR="00B97A47" w:rsidRPr="003511F4" w:rsidRDefault="00B97A47" w:rsidP="00B97A47">
      <w:pPr>
        <w:rPr>
          <w:rFonts w:asciiTheme="minorHAnsi" w:hAnsiTheme="minorHAnsi"/>
        </w:rPr>
      </w:pPr>
      <w:r w:rsidRPr="003511F4">
        <w:rPr>
          <w:rFonts w:asciiTheme="minorHAnsi" w:hAnsiTheme="minorHAnsi"/>
        </w:rPr>
        <w:tab/>
        <w:t>W skład partii przeznaczonej do badań powinny wchodzić krawężniki jednakowego typu, klasy, rodzaju, odmiany i wielkości. Wielkość partii nie powinna przekraczać 400 sztuk.</w:t>
      </w:r>
    </w:p>
    <w:p w:rsidR="00B97A47" w:rsidRPr="003511F4" w:rsidRDefault="00B97A47" w:rsidP="00B97A47">
      <w:pPr>
        <w:rPr>
          <w:rFonts w:asciiTheme="minorHAnsi" w:hAnsiTheme="minorHAnsi"/>
        </w:rPr>
      </w:pPr>
      <w:r w:rsidRPr="003511F4">
        <w:rPr>
          <w:rFonts w:asciiTheme="minorHAnsi" w:hAnsiTheme="minorHAnsi"/>
        </w:rPr>
        <w:tab/>
        <w:t>W przypadku przedstawienia większej ilości krawężników, należy dostawę podzielić na partie składające się co najwyżej z 400 sztuk.</w:t>
      </w:r>
    </w:p>
    <w:p w:rsidR="00B97A47" w:rsidRPr="003511F4" w:rsidRDefault="00B97A47" w:rsidP="00B97A47">
      <w:pPr>
        <w:rPr>
          <w:rFonts w:asciiTheme="minorHAnsi" w:hAnsiTheme="minorHAnsi"/>
        </w:rPr>
      </w:pPr>
      <w:r w:rsidRPr="003511F4">
        <w:rPr>
          <w:rFonts w:asciiTheme="minorHAnsi" w:hAnsiTheme="minorHAnsi"/>
        </w:rPr>
        <w:tab/>
        <w:t>Pobieranie próbek materiału kamiennego należy przeprowadzać wg PN-B-06720.</w:t>
      </w:r>
    </w:p>
    <w:p w:rsidR="00B97A47" w:rsidRPr="003511F4" w:rsidRDefault="00B97A47" w:rsidP="00B97A47">
      <w:pPr>
        <w:rPr>
          <w:rFonts w:asciiTheme="minorHAnsi" w:hAnsiTheme="minorHAnsi"/>
        </w:rPr>
      </w:pPr>
      <w:r w:rsidRPr="003511F4">
        <w:rPr>
          <w:rFonts w:asciiTheme="minorHAnsi" w:hAnsiTheme="minorHAnsi"/>
        </w:rPr>
        <w:tab/>
        <w:t xml:space="preserve">Sprawdzenie kształtu i wymiarów należy przeprowadzać poprzez oględziny zewnętrzne zgodnie z wymaganiami tablicy 2 oraz pomiar przy pomocy linii z podziałką milimetrową z dokładnością do </w:t>
      </w:r>
      <w:smartTag w:uri="urn:schemas-microsoft-com:office:smarttags" w:element="metricconverter">
        <w:smartTagPr>
          <w:attr w:name="ProductID" w:val="0,1 cm"/>
        </w:smartTagPr>
        <w:r w:rsidRPr="003511F4">
          <w:rPr>
            <w:rFonts w:asciiTheme="minorHAnsi" w:hAnsiTheme="minorHAnsi"/>
          </w:rPr>
          <w:t>0,1 cm</w:t>
        </w:r>
      </w:smartTag>
      <w:r w:rsidRPr="003511F4">
        <w:rPr>
          <w:rFonts w:asciiTheme="minorHAnsi" w:hAnsiTheme="minorHAnsi"/>
        </w:rPr>
        <w:t>.</w:t>
      </w:r>
    </w:p>
    <w:p w:rsidR="00B97A47" w:rsidRPr="003511F4" w:rsidRDefault="00B97A47" w:rsidP="00B97A47">
      <w:pPr>
        <w:rPr>
          <w:rFonts w:asciiTheme="minorHAnsi" w:hAnsiTheme="minorHAnsi"/>
        </w:rPr>
      </w:pPr>
      <w:r w:rsidRPr="003511F4">
        <w:rPr>
          <w:rFonts w:asciiTheme="minorHAnsi" w:hAnsiTheme="minorHAnsi"/>
        </w:rPr>
        <w:tab/>
        <w:t xml:space="preserve">Sprawdzenie równości powierzchni obrobionych przeprowadzać należy przy pomocy linii metalowej, ustawionej wzdłuż krawędzi i po przekątnych sprawdzanej powierzchni oraz pomiar odchyleń z dokładnością do </w:t>
      </w:r>
      <w:smartTag w:uri="urn:schemas-microsoft-com:office:smarttags" w:element="metricconverter">
        <w:smartTagPr>
          <w:attr w:name="ProductID" w:val="0,1 cm"/>
        </w:smartTagPr>
        <w:r w:rsidRPr="003511F4">
          <w:rPr>
            <w:rFonts w:asciiTheme="minorHAnsi" w:hAnsiTheme="minorHAnsi"/>
          </w:rPr>
          <w:t>0,1 cm</w:t>
        </w:r>
      </w:smartTag>
      <w:r w:rsidRPr="003511F4">
        <w:rPr>
          <w:rFonts w:asciiTheme="minorHAnsi" w:hAnsiTheme="minorHAnsi"/>
        </w:rPr>
        <w:t>, zgodnie z wymaganiami tablicy 2.</w:t>
      </w:r>
    </w:p>
    <w:p w:rsidR="00B97A47" w:rsidRPr="003511F4" w:rsidRDefault="00B97A47" w:rsidP="00B97A47">
      <w:pPr>
        <w:rPr>
          <w:rFonts w:asciiTheme="minorHAnsi" w:hAnsiTheme="minorHAnsi"/>
        </w:rPr>
      </w:pPr>
      <w:r w:rsidRPr="003511F4">
        <w:rPr>
          <w:rFonts w:asciiTheme="minorHAnsi" w:hAnsiTheme="minorHAnsi"/>
        </w:rPr>
        <w:tab/>
        <w:t>Sprawdzenie krawędzi prostych przeprowadzać należy przy pomocy linii metalowej.</w:t>
      </w:r>
    </w:p>
    <w:p w:rsidR="00B97A47" w:rsidRPr="003511F4" w:rsidRDefault="00B97A47" w:rsidP="00B97A47">
      <w:pPr>
        <w:rPr>
          <w:rFonts w:asciiTheme="minorHAnsi" w:hAnsiTheme="minorHAnsi"/>
        </w:rPr>
      </w:pPr>
      <w:r w:rsidRPr="003511F4">
        <w:rPr>
          <w:rFonts w:asciiTheme="minorHAnsi" w:hAnsiTheme="minorHAnsi"/>
        </w:rPr>
        <w:tab/>
        <w:t xml:space="preserve">Sprawdzenie szczerb i uszkodzeń przeprowadzać należy poprzez oględziny zewnętrzne, policzenie ilości szczerb i uszkodzeń oraz pomiar ich wielkości z dokładnością do </w:t>
      </w:r>
      <w:smartTag w:uri="urn:schemas-microsoft-com:office:smarttags" w:element="metricconverter">
        <w:smartTagPr>
          <w:attr w:name="ProductID" w:val="0,1 cm"/>
        </w:smartTagPr>
        <w:r w:rsidRPr="003511F4">
          <w:rPr>
            <w:rFonts w:asciiTheme="minorHAnsi" w:hAnsiTheme="minorHAnsi"/>
          </w:rPr>
          <w:t>0,1 cm</w:t>
        </w:r>
      </w:smartTag>
      <w:r w:rsidRPr="003511F4">
        <w:rPr>
          <w:rFonts w:asciiTheme="minorHAnsi" w:hAnsiTheme="minorHAnsi"/>
        </w:rPr>
        <w:t>, zgodnie z wymaganiami tablicy 3.</w:t>
      </w:r>
    </w:p>
    <w:p w:rsidR="00B97A47" w:rsidRPr="003511F4" w:rsidRDefault="00B97A47" w:rsidP="00B97A47">
      <w:pPr>
        <w:rPr>
          <w:rFonts w:asciiTheme="minorHAnsi" w:hAnsiTheme="minorHAnsi"/>
        </w:rPr>
      </w:pPr>
      <w:r w:rsidRPr="003511F4">
        <w:rPr>
          <w:rFonts w:asciiTheme="minorHAnsi" w:hAnsiTheme="minorHAnsi"/>
        </w:rPr>
        <w:tab/>
        <w:t>Sprawdzenie faktury powierzchni przeprowadza się wizualnie przez porównanie z wzorem.</w:t>
      </w:r>
    </w:p>
    <w:p w:rsidR="00B97A47" w:rsidRPr="003511F4" w:rsidRDefault="00B97A47" w:rsidP="00B97A47">
      <w:pPr>
        <w:rPr>
          <w:rFonts w:asciiTheme="minorHAnsi" w:hAnsiTheme="minorHAnsi"/>
        </w:rPr>
      </w:pPr>
      <w:r w:rsidRPr="003511F4">
        <w:rPr>
          <w:rFonts w:asciiTheme="minorHAnsi" w:hAnsiTheme="minorHAnsi"/>
        </w:rPr>
        <w:tab/>
        <w:t>Ocenę wyników sprawdzenia cech zewnętrznych oraz ocenę wyników badań laboratoryjnych należy przeprowadzić wg BN-66/6775-01.</w:t>
      </w:r>
    </w:p>
    <w:p w:rsidR="00B97A47" w:rsidRPr="003511F4" w:rsidRDefault="00B97A47" w:rsidP="00B97A47">
      <w:pPr>
        <w:rPr>
          <w:rFonts w:asciiTheme="minorHAnsi" w:hAnsiTheme="minorHAnsi"/>
        </w:rPr>
      </w:pPr>
      <w:r w:rsidRPr="00A15B5F">
        <w:rPr>
          <w:rFonts w:asciiTheme="minorHAnsi" w:hAnsiTheme="minorHAnsi"/>
          <w:b/>
        </w:rPr>
        <w:t>6.2.2.</w:t>
      </w:r>
      <w:r w:rsidRPr="003511F4">
        <w:rPr>
          <w:rFonts w:asciiTheme="minorHAnsi" w:hAnsiTheme="minorHAnsi"/>
        </w:rPr>
        <w:t xml:space="preserve"> Badania pozostałych materiałów</w:t>
      </w:r>
    </w:p>
    <w:p w:rsidR="00B97A47" w:rsidRPr="003511F4" w:rsidRDefault="00B97A47" w:rsidP="00B97A47">
      <w:pPr>
        <w:rPr>
          <w:rFonts w:asciiTheme="minorHAnsi" w:hAnsiTheme="minorHAnsi"/>
        </w:rPr>
      </w:pPr>
      <w:r w:rsidRPr="003511F4">
        <w:rPr>
          <w:rFonts w:asciiTheme="minorHAnsi" w:hAnsiTheme="minorHAnsi"/>
        </w:rPr>
        <w:tab/>
        <w:t>Badania pozostałych materiałów stosowanych przy ustawieniu krawężników kamiennych powinny obejmować wszystkie właściwości, które zostały określone w normach podanych dla odpowiednich materiałów wg pkt 2.</w:t>
      </w:r>
    </w:p>
    <w:p w:rsidR="00B97A47" w:rsidRPr="003511F4" w:rsidRDefault="00B97A47" w:rsidP="00B97A47">
      <w:pPr>
        <w:rPr>
          <w:rFonts w:asciiTheme="minorHAnsi" w:hAnsiTheme="minorHAnsi"/>
        </w:rPr>
      </w:pPr>
      <w:r w:rsidRPr="00A15B5F">
        <w:rPr>
          <w:rFonts w:asciiTheme="minorHAnsi" w:hAnsiTheme="minorHAnsi"/>
          <w:b/>
        </w:rPr>
        <w:t>6.3.</w:t>
      </w:r>
      <w:r w:rsidRPr="003511F4">
        <w:rPr>
          <w:rFonts w:asciiTheme="minorHAnsi" w:hAnsiTheme="minorHAnsi"/>
        </w:rPr>
        <w:t xml:space="preserve"> Badania w czasie robót</w:t>
      </w:r>
    </w:p>
    <w:p w:rsidR="00B97A47" w:rsidRPr="003511F4" w:rsidRDefault="00B97A47" w:rsidP="00B97A47">
      <w:pPr>
        <w:rPr>
          <w:rFonts w:asciiTheme="minorHAnsi" w:hAnsiTheme="minorHAnsi"/>
        </w:rPr>
      </w:pPr>
      <w:r w:rsidRPr="003511F4">
        <w:rPr>
          <w:rFonts w:asciiTheme="minorHAnsi" w:hAnsiTheme="minorHAnsi"/>
        </w:rPr>
        <w:tab/>
        <w:t>W czasie robót należy sprawdzać:</w:t>
      </w:r>
    </w:p>
    <w:p w:rsidR="00B97A47" w:rsidRPr="003511F4" w:rsidRDefault="00B97A47" w:rsidP="00B97A47">
      <w:pPr>
        <w:rPr>
          <w:rFonts w:asciiTheme="minorHAnsi" w:hAnsiTheme="minorHAnsi"/>
        </w:rPr>
      </w:pPr>
      <w:r>
        <w:rPr>
          <w:rFonts w:asciiTheme="minorHAnsi" w:hAnsiTheme="minorHAnsi"/>
        </w:rPr>
        <w:t>-</w:t>
      </w:r>
      <w:r w:rsidRPr="003511F4">
        <w:rPr>
          <w:rFonts w:asciiTheme="minorHAnsi" w:hAnsiTheme="minorHAnsi"/>
        </w:rPr>
        <w:t>wykonanie koryta pod ławę,</w:t>
      </w:r>
    </w:p>
    <w:p w:rsidR="00B97A47" w:rsidRPr="003511F4" w:rsidRDefault="00B97A47" w:rsidP="00B97A47">
      <w:pPr>
        <w:rPr>
          <w:rFonts w:asciiTheme="minorHAnsi" w:hAnsiTheme="minorHAnsi"/>
        </w:rPr>
      </w:pPr>
      <w:r>
        <w:rPr>
          <w:rFonts w:asciiTheme="minorHAnsi" w:hAnsiTheme="minorHAnsi"/>
        </w:rPr>
        <w:t>-</w:t>
      </w:r>
      <w:r w:rsidRPr="003511F4">
        <w:rPr>
          <w:rFonts w:asciiTheme="minorHAnsi" w:hAnsiTheme="minorHAnsi"/>
        </w:rPr>
        <w:t>wykonanie ław,</w:t>
      </w:r>
    </w:p>
    <w:p w:rsidR="00B97A47" w:rsidRPr="003511F4" w:rsidRDefault="00B97A47" w:rsidP="00B97A47">
      <w:pPr>
        <w:rPr>
          <w:rFonts w:asciiTheme="minorHAnsi" w:hAnsiTheme="minorHAnsi"/>
        </w:rPr>
      </w:pPr>
      <w:r>
        <w:rPr>
          <w:rFonts w:asciiTheme="minorHAnsi" w:hAnsiTheme="minorHAnsi"/>
        </w:rPr>
        <w:t>-</w:t>
      </w:r>
      <w:r w:rsidRPr="003511F4">
        <w:rPr>
          <w:rFonts w:asciiTheme="minorHAnsi" w:hAnsiTheme="minorHAnsi"/>
        </w:rPr>
        <w:t>ustawienie krawężników i wypełnienie spoin,</w:t>
      </w:r>
    </w:p>
    <w:p w:rsidR="00B97A47" w:rsidRPr="003511F4" w:rsidRDefault="00B97A47" w:rsidP="00B97A47">
      <w:pPr>
        <w:rPr>
          <w:rFonts w:asciiTheme="minorHAnsi" w:hAnsiTheme="minorHAnsi"/>
        </w:rPr>
      </w:pPr>
      <w:r w:rsidRPr="003511F4">
        <w:rPr>
          <w:rFonts w:asciiTheme="minorHAnsi" w:hAnsiTheme="minorHAnsi"/>
        </w:rPr>
        <w:t>zgodnie z warunkami określonymi w ST D-08.01.01 „Krawężniki betonowe”.</w:t>
      </w:r>
    </w:p>
    <w:p w:rsidR="00B97A47" w:rsidRPr="00A15B5F" w:rsidRDefault="00B97A47" w:rsidP="00B97A47">
      <w:pPr>
        <w:rPr>
          <w:rFonts w:asciiTheme="minorHAnsi" w:hAnsiTheme="minorHAnsi"/>
          <w:b/>
        </w:rPr>
      </w:pPr>
      <w:r w:rsidRPr="00A15B5F">
        <w:rPr>
          <w:rFonts w:asciiTheme="minorHAnsi" w:hAnsiTheme="minorHAnsi"/>
          <w:b/>
        </w:rPr>
        <w:t>7. OBMIAR ROBÓT</w:t>
      </w:r>
    </w:p>
    <w:p w:rsidR="00B97A47" w:rsidRPr="003511F4" w:rsidRDefault="00B97A47" w:rsidP="00B97A47">
      <w:pPr>
        <w:rPr>
          <w:rFonts w:asciiTheme="minorHAnsi" w:hAnsiTheme="minorHAnsi"/>
        </w:rPr>
      </w:pPr>
      <w:r w:rsidRPr="00A15B5F">
        <w:rPr>
          <w:rFonts w:asciiTheme="minorHAnsi" w:hAnsiTheme="minorHAnsi"/>
          <w:b/>
        </w:rPr>
        <w:t>7.1.</w:t>
      </w:r>
      <w:r w:rsidRPr="003511F4">
        <w:rPr>
          <w:rFonts w:asciiTheme="minorHAnsi" w:hAnsiTheme="minorHAnsi"/>
        </w:rPr>
        <w:t xml:space="preserve"> Ogólne zasady obmiaru robót</w:t>
      </w:r>
    </w:p>
    <w:p w:rsidR="00B97A47" w:rsidRPr="003511F4" w:rsidRDefault="00B97A47" w:rsidP="00B97A47">
      <w:pPr>
        <w:rPr>
          <w:rFonts w:asciiTheme="minorHAnsi" w:hAnsiTheme="minorHAnsi"/>
        </w:rPr>
      </w:pPr>
      <w:r w:rsidRPr="003511F4">
        <w:rPr>
          <w:rFonts w:asciiTheme="minorHAnsi" w:hAnsiTheme="minorHAnsi"/>
        </w:rPr>
        <w:tab/>
        <w:t>Ogólne zasady obmiaru robót podano w ST D-M-00.00.00 „Wymagania ogólne” pkt 7.</w:t>
      </w:r>
    </w:p>
    <w:p w:rsidR="00B97A47" w:rsidRPr="003511F4" w:rsidRDefault="00B97A47" w:rsidP="00B97A47">
      <w:pPr>
        <w:rPr>
          <w:rFonts w:asciiTheme="minorHAnsi" w:hAnsiTheme="minorHAnsi"/>
        </w:rPr>
      </w:pPr>
      <w:r w:rsidRPr="00A15B5F">
        <w:rPr>
          <w:rFonts w:asciiTheme="minorHAnsi" w:hAnsiTheme="minorHAnsi"/>
          <w:b/>
        </w:rPr>
        <w:t>7.2.</w:t>
      </w:r>
      <w:r w:rsidRPr="003511F4">
        <w:rPr>
          <w:rFonts w:asciiTheme="minorHAnsi" w:hAnsiTheme="minorHAnsi"/>
        </w:rPr>
        <w:t xml:space="preserve"> Jednostka obmiarowa</w:t>
      </w:r>
    </w:p>
    <w:p w:rsidR="00B97A47" w:rsidRPr="003511F4" w:rsidRDefault="00B97A47" w:rsidP="00B97A47">
      <w:pPr>
        <w:rPr>
          <w:rFonts w:asciiTheme="minorHAnsi" w:hAnsiTheme="minorHAnsi"/>
        </w:rPr>
      </w:pPr>
      <w:r w:rsidRPr="003511F4">
        <w:rPr>
          <w:rFonts w:asciiTheme="minorHAnsi" w:hAnsiTheme="minorHAnsi"/>
        </w:rPr>
        <w:tab/>
        <w:t>Jednostką obmiarową jest m (metr) wykonanego krawężnika kamiennego.</w:t>
      </w:r>
    </w:p>
    <w:p w:rsidR="00B97A47" w:rsidRDefault="00B97A47" w:rsidP="00B97A47">
      <w:pPr>
        <w:rPr>
          <w:rFonts w:asciiTheme="minorHAnsi" w:hAnsiTheme="minorHAnsi"/>
        </w:rPr>
      </w:pPr>
    </w:p>
    <w:p w:rsidR="00B97A47" w:rsidRPr="00A15B5F" w:rsidRDefault="00B97A47" w:rsidP="00B97A47">
      <w:pPr>
        <w:rPr>
          <w:rFonts w:asciiTheme="minorHAnsi" w:hAnsiTheme="minorHAnsi"/>
          <w:b/>
        </w:rPr>
      </w:pPr>
      <w:r w:rsidRPr="00A15B5F">
        <w:rPr>
          <w:rFonts w:asciiTheme="minorHAnsi" w:hAnsiTheme="minorHAnsi"/>
          <w:b/>
        </w:rPr>
        <w:t>8. ODBIÓR ROBÓT</w:t>
      </w:r>
    </w:p>
    <w:p w:rsidR="00B97A47" w:rsidRPr="003511F4" w:rsidRDefault="00B97A47" w:rsidP="00B97A47">
      <w:pPr>
        <w:rPr>
          <w:rFonts w:asciiTheme="minorHAnsi" w:hAnsiTheme="minorHAnsi"/>
        </w:rPr>
      </w:pPr>
      <w:r w:rsidRPr="00A15B5F">
        <w:rPr>
          <w:rFonts w:asciiTheme="minorHAnsi" w:hAnsiTheme="minorHAnsi"/>
          <w:b/>
        </w:rPr>
        <w:t>8.1.</w:t>
      </w:r>
      <w:r w:rsidRPr="003511F4">
        <w:rPr>
          <w:rFonts w:asciiTheme="minorHAnsi" w:hAnsiTheme="minorHAnsi"/>
        </w:rPr>
        <w:t xml:space="preserve"> Ogólne zasady odbioru robót</w:t>
      </w:r>
    </w:p>
    <w:p w:rsidR="00B97A47" w:rsidRPr="003511F4" w:rsidRDefault="00B97A47" w:rsidP="00B97A47">
      <w:pPr>
        <w:rPr>
          <w:rFonts w:asciiTheme="minorHAnsi" w:hAnsiTheme="minorHAnsi"/>
        </w:rPr>
      </w:pPr>
      <w:r w:rsidRPr="003511F4">
        <w:rPr>
          <w:rFonts w:asciiTheme="minorHAnsi" w:hAnsiTheme="minorHAnsi"/>
        </w:rPr>
        <w:tab/>
        <w:t>Ogólne zasady odbioru robót podano w ST D-M-00.00.00 „Wymagania ogólne” pkt 8.</w:t>
      </w:r>
    </w:p>
    <w:p w:rsidR="00B97A47" w:rsidRPr="003511F4" w:rsidRDefault="00B97A47" w:rsidP="00B97A47">
      <w:pPr>
        <w:rPr>
          <w:rFonts w:asciiTheme="minorHAnsi" w:hAnsiTheme="minorHAnsi"/>
        </w:rPr>
      </w:pPr>
      <w:r w:rsidRPr="003511F4">
        <w:rPr>
          <w:rFonts w:asciiTheme="minorHAnsi" w:hAnsiTheme="minorHAnsi"/>
        </w:rPr>
        <w:tab/>
        <w:t>Roboty uznaje się za wykonane zgodnie z dokumentacją projektową i wymaganiami Inżyniera, jeżeli wszystkie pomiary i badania z zachowaniem tolerancji wg pkt 6 dały wyniki pozytywne.</w:t>
      </w:r>
    </w:p>
    <w:p w:rsidR="00B97A47" w:rsidRPr="003511F4" w:rsidRDefault="00B97A47" w:rsidP="00B97A47">
      <w:pPr>
        <w:rPr>
          <w:rFonts w:asciiTheme="minorHAnsi" w:hAnsiTheme="minorHAnsi"/>
        </w:rPr>
      </w:pPr>
      <w:r w:rsidRPr="00A15B5F">
        <w:rPr>
          <w:rFonts w:asciiTheme="minorHAnsi" w:hAnsiTheme="minorHAnsi"/>
          <w:b/>
        </w:rPr>
        <w:t>8.2.</w:t>
      </w:r>
      <w:r w:rsidRPr="003511F4">
        <w:rPr>
          <w:rFonts w:asciiTheme="minorHAnsi" w:hAnsiTheme="minorHAnsi"/>
        </w:rPr>
        <w:t xml:space="preserve"> Odbiór robót zanikających i ulegających zakryciu</w:t>
      </w:r>
    </w:p>
    <w:p w:rsidR="00B97A47" w:rsidRPr="003511F4" w:rsidRDefault="00B97A47" w:rsidP="00B97A47">
      <w:pPr>
        <w:rPr>
          <w:rFonts w:asciiTheme="minorHAnsi" w:hAnsiTheme="minorHAnsi"/>
        </w:rPr>
      </w:pPr>
      <w:r w:rsidRPr="003511F4">
        <w:rPr>
          <w:rFonts w:asciiTheme="minorHAnsi" w:hAnsiTheme="minorHAnsi"/>
        </w:rPr>
        <w:tab/>
        <w:t>Odbiorowi robót zanikających i ulegających zakryciu podlegają:</w:t>
      </w:r>
    </w:p>
    <w:p w:rsidR="00B97A47" w:rsidRPr="003511F4" w:rsidRDefault="00B97A47" w:rsidP="00B97A47">
      <w:pPr>
        <w:rPr>
          <w:rFonts w:asciiTheme="minorHAnsi" w:hAnsiTheme="minorHAnsi"/>
        </w:rPr>
      </w:pPr>
      <w:r>
        <w:rPr>
          <w:rFonts w:asciiTheme="minorHAnsi" w:hAnsiTheme="minorHAnsi"/>
        </w:rPr>
        <w:t>-</w:t>
      </w:r>
      <w:r w:rsidRPr="003511F4">
        <w:rPr>
          <w:rFonts w:asciiTheme="minorHAnsi" w:hAnsiTheme="minorHAnsi"/>
        </w:rPr>
        <w:t>wykonanie koryta pod ławę,</w:t>
      </w:r>
    </w:p>
    <w:p w:rsidR="00B97A47" w:rsidRPr="003511F4" w:rsidRDefault="00B97A47" w:rsidP="00B97A47">
      <w:pPr>
        <w:rPr>
          <w:rFonts w:asciiTheme="minorHAnsi" w:hAnsiTheme="minorHAnsi"/>
        </w:rPr>
      </w:pPr>
      <w:r>
        <w:rPr>
          <w:rFonts w:asciiTheme="minorHAnsi" w:hAnsiTheme="minorHAnsi"/>
        </w:rPr>
        <w:t>-</w:t>
      </w:r>
      <w:r w:rsidRPr="003511F4">
        <w:rPr>
          <w:rFonts w:asciiTheme="minorHAnsi" w:hAnsiTheme="minorHAnsi"/>
        </w:rPr>
        <w:t>wykonanie ławy,</w:t>
      </w:r>
    </w:p>
    <w:p w:rsidR="00B97A47" w:rsidRPr="003511F4" w:rsidRDefault="00B97A47" w:rsidP="00B97A47">
      <w:pPr>
        <w:rPr>
          <w:rFonts w:asciiTheme="minorHAnsi" w:hAnsiTheme="minorHAnsi"/>
        </w:rPr>
      </w:pPr>
      <w:r>
        <w:rPr>
          <w:rFonts w:asciiTheme="minorHAnsi" w:hAnsiTheme="minorHAnsi"/>
        </w:rPr>
        <w:t>-</w:t>
      </w:r>
      <w:r w:rsidRPr="003511F4">
        <w:rPr>
          <w:rFonts w:asciiTheme="minorHAnsi" w:hAnsiTheme="minorHAnsi"/>
        </w:rPr>
        <w:t>wykonanie podsypki.</w:t>
      </w:r>
    </w:p>
    <w:p w:rsidR="00B97A47" w:rsidRDefault="00B97A47" w:rsidP="00B97A47">
      <w:pPr>
        <w:rPr>
          <w:rFonts w:asciiTheme="minorHAnsi" w:hAnsiTheme="minorHAnsi"/>
        </w:rPr>
      </w:pPr>
    </w:p>
    <w:p w:rsidR="00582D07" w:rsidRDefault="00582D07" w:rsidP="00B97A47">
      <w:pPr>
        <w:rPr>
          <w:rFonts w:asciiTheme="minorHAnsi" w:hAnsiTheme="minorHAnsi"/>
        </w:rPr>
      </w:pPr>
    </w:p>
    <w:p w:rsidR="00B97A47" w:rsidRPr="00A15B5F" w:rsidRDefault="00B97A47" w:rsidP="00B97A47">
      <w:pPr>
        <w:rPr>
          <w:rFonts w:asciiTheme="minorHAnsi" w:hAnsiTheme="minorHAnsi"/>
          <w:b/>
        </w:rPr>
      </w:pPr>
      <w:r w:rsidRPr="00A15B5F">
        <w:rPr>
          <w:rFonts w:asciiTheme="minorHAnsi" w:hAnsiTheme="minorHAnsi"/>
          <w:b/>
        </w:rPr>
        <w:lastRenderedPageBreak/>
        <w:t>9. PODSTAWA PŁATNOŚCI</w:t>
      </w:r>
    </w:p>
    <w:p w:rsidR="00B97A47" w:rsidRPr="003511F4" w:rsidRDefault="00B97A47" w:rsidP="00B97A47">
      <w:pPr>
        <w:rPr>
          <w:rFonts w:asciiTheme="minorHAnsi" w:hAnsiTheme="minorHAnsi"/>
        </w:rPr>
      </w:pPr>
      <w:r w:rsidRPr="00A15B5F">
        <w:rPr>
          <w:rFonts w:asciiTheme="minorHAnsi" w:hAnsiTheme="minorHAnsi"/>
          <w:b/>
        </w:rPr>
        <w:t>9.1.</w:t>
      </w:r>
      <w:r w:rsidRPr="003511F4">
        <w:rPr>
          <w:rFonts w:asciiTheme="minorHAnsi" w:hAnsiTheme="minorHAnsi"/>
        </w:rPr>
        <w:t xml:space="preserve"> Ogólne ustalenia dotyczące podstawy płatności</w:t>
      </w:r>
    </w:p>
    <w:p w:rsidR="00B97A47" w:rsidRPr="003511F4" w:rsidRDefault="00B97A47" w:rsidP="00B97A47">
      <w:pPr>
        <w:rPr>
          <w:rFonts w:asciiTheme="minorHAnsi" w:hAnsiTheme="minorHAnsi"/>
        </w:rPr>
      </w:pPr>
      <w:r w:rsidRPr="003511F4">
        <w:rPr>
          <w:rFonts w:asciiTheme="minorHAnsi" w:hAnsiTheme="minorHAnsi"/>
        </w:rPr>
        <w:tab/>
        <w:t>Ogólne ustalenia dotyczące podstawy płatności podano w ST D-M-00.00.00 „Wymagania ogólne” pkt 9.</w:t>
      </w:r>
    </w:p>
    <w:p w:rsidR="00B97A47" w:rsidRPr="003511F4" w:rsidRDefault="00B97A47" w:rsidP="00B97A47">
      <w:pPr>
        <w:rPr>
          <w:rFonts w:asciiTheme="minorHAnsi" w:hAnsiTheme="minorHAnsi"/>
        </w:rPr>
      </w:pPr>
      <w:r w:rsidRPr="00A15B5F">
        <w:rPr>
          <w:rFonts w:asciiTheme="minorHAnsi" w:hAnsiTheme="minorHAnsi"/>
          <w:b/>
        </w:rPr>
        <w:t>9.2.</w:t>
      </w:r>
      <w:r w:rsidRPr="003511F4">
        <w:rPr>
          <w:rFonts w:asciiTheme="minorHAnsi" w:hAnsiTheme="minorHAnsi"/>
        </w:rPr>
        <w:t xml:space="preserve"> Cena jednostki obmiarowej</w:t>
      </w:r>
    </w:p>
    <w:p w:rsidR="00B97A47" w:rsidRPr="003511F4" w:rsidRDefault="00B97A47" w:rsidP="00B97A47">
      <w:pPr>
        <w:rPr>
          <w:rFonts w:asciiTheme="minorHAnsi" w:hAnsiTheme="minorHAnsi"/>
        </w:rPr>
      </w:pPr>
      <w:r w:rsidRPr="003511F4">
        <w:rPr>
          <w:rFonts w:asciiTheme="minorHAnsi" w:hAnsiTheme="minorHAnsi"/>
        </w:rPr>
        <w:tab/>
        <w:t xml:space="preserve">Cena wykonania </w:t>
      </w:r>
      <w:smartTag w:uri="urn:schemas-microsoft-com:office:smarttags" w:element="metricconverter">
        <w:smartTagPr>
          <w:attr w:name="ProductID" w:val="1 m"/>
        </w:smartTagPr>
        <w:r w:rsidRPr="003511F4">
          <w:rPr>
            <w:rFonts w:asciiTheme="minorHAnsi" w:hAnsiTheme="minorHAnsi"/>
          </w:rPr>
          <w:t>1 m</w:t>
        </w:r>
      </w:smartTag>
      <w:r w:rsidRPr="003511F4">
        <w:rPr>
          <w:rFonts w:asciiTheme="minorHAnsi" w:hAnsiTheme="minorHAnsi"/>
        </w:rPr>
        <w:t xml:space="preserve"> krawężnika kamiennego obejmuje:</w:t>
      </w:r>
    </w:p>
    <w:p w:rsidR="00B97A47" w:rsidRPr="003511F4" w:rsidRDefault="00B97A47" w:rsidP="00B97A47">
      <w:pPr>
        <w:rPr>
          <w:rFonts w:asciiTheme="minorHAnsi" w:hAnsiTheme="minorHAnsi"/>
        </w:rPr>
      </w:pPr>
      <w:r>
        <w:rPr>
          <w:rFonts w:asciiTheme="minorHAnsi" w:hAnsiTheme="minorHAnsi"/>
        </w:rPr>
        <w:t>-</w:t>
      </w:r>
      <w:r w:rsidRPr="003511F4">
        <w:rPr>
          <w:rFonts w:asciiTheme="minorHAnsi" w:hAnsiTheme="minorHAnsi"/>
        </w:rPr>
        <w:t>prace pomiarowe i roboty przygotowawcze,</w:t>
      </w:r>
    </w:p>
    <w:p w:rsidR="00B97A47" w:rsidRPr="003511F4" w:rsidRDefault="00B97A47" w:rsidP="00B97A47">
      <w:pPr>
        <w:rPr>
          <w:rFonts w:asciiTheme="minorHAnsi" w:hAnsiTheme="minorHAnsi"/>
        </w:rPr>
      </w:pPr>
      <w:r>
        <w:rPr>
          <w:rFonts w:asciiTheme="minorHAnsi" w:hAnsiTheme="minorHAnsi"/>
        </w:rPr>
        <w:t>-</w:t>
      </w:r>
      <w:r w:rsidRPr="003511F4">
        <w:rPr>
          <w:rFonts w:asciiTheme="minorHAnsi" w:hAnsiTheme="minorHAnsi"/>
        </w:rPr>
        <w:t>dostarczenie materiałów na miejsce wbudowania,</w:t>
      </w:r>
    </w:p>
    <w:p w:rsidR="00B97A47" w:rsidRPr="003511F4" w:rsidRDefault="00B97A47" w:rsidP="00B97A47">
      <w:pPr>
        <w:rPr>
          <w:rFonts w:asciiTheme="minorHAnsi" w:hAnsiTheme="minorHAnsi"/>
        </w:rPr>
      </w:pPr>
      <w:r>
        <w:rPr>
          <w:rFonts w:asciiTheme="minorHAnsi" w:hAnsiTheme="minorHAnsi"/>
        </w:rPr>
        <w:t>-</w:t>
      </w:r>
      <w:r w:rsidRPr="003511F4">
        <w:rPr>
          <w:rFonts w:asciiTheme="minorHAnsi" w:hAnsiTheme="minorHAnsi"/>
        </w:rPr>
        <w:t>wykonanie wykopu pod ławę,</w:t>
      </w:r>
    </w:p>
    <w:p w:rsidR="00B97A47" w:rsidRPr="003511F4" w:rsidRDefault="00B97A47" w:rsidP="00B97A47">
      <w:pPr>
        <w:rPr>
          <w:rFonts w:asciiTheme="minorHAnsi" w:hAnsiTheme="minorHAnsi"/>
        </w:rPr>
      </w:pPr>
      <w:r>
        <w:rPr>
          <w:rFonts w:asciiTheme="minorHAnsi" w:hAnsiTheme="minorHAnsi"/>
        </w:rPr>
        <w:t>-</w:t>
      </w:r>
      <w:r w:rsidRPr="003511F4">
        <w:rPr>
          <w:rFonts w:asciiTheme="minorHAnsi" w:hAnsiTheme="minorHAnsi"/>
        </w:rPr>
        <w:t>ew, wykonanie szalunku,</w:t>
      </w:r>
    </w:p>
    <w:p w:rsidR="00B97A47" w:rsidRPr="003511F4" w:rsidRDefault="00B97A47" w:rsidP="00B97A47">
      <w:pPr>
        <w:rPr>
          <w:rFonts w:asciiTheme="minorHAnsi" w:hAnsiTheme="minorHAnsi"/>
        </w:rPr>
      </w:pPr>
      <w:r>
        <w:rPr>
          <w:rFonts w:asciiTheme="minorHAnsi" w:hAnsiTheme="minorHAnsi"/>
        </w:rPr>
        <w:t>-</w:t>
      </w:r>
      <w:r w:rsidRPr="003511F4">
        <w:rPr>
          <w:rFonts w:asciiTheme="minorHAnsi" w:hAnsiTheme="minorHAnsi"/>
        </w:rPr>
        <w:t>wykonanie ławy,</w:t>
      </w:r>
    </w:p>
    <w:p w:rsidR="00B97A47" w:rsidRPr="003511F4" w:rsidRDefault="00B97A47" w:rsidP="00B97A47">
      <w:pPr>
        <w:rPr>
          <w:rFonts w:asciiTheme="minorHAnsi" w:hAnsiTheme="minorHAnsi"/>
        </w:rPr>
      </w:pPr>
      <w:r>
        <w:rPr>
          <w:rFonts w:asciiTheme="minorHAnsi" w:hAnsiTheme="minorHAnsi"/>
        </w:rPr>
        <w:t>-</w:t>
      </w:r>
      <w:r w:rsidRPr="003511F4">
        <w:rPr>
          <w:rFonts w:asciiTheme="minorHAnsi" w:hAnsiTheme="minorHAnsi"/>
        </w:rPr>
        <w:t>ustawienie krawężników na podsypce,</w:t>
      </w:r>
    </w:p>
    <w:p w:rsidR="00B97A47" w:rsidRPr="003511F4" w:rsidRDefault="00B97A47" w:rsidP="00B97A47">
      <w:pPr>
        <w:rPr>
          <w:rFonts w:asciiTheme="minorHAnsi" w:hAnsiTheme="minorHAnsi"/>
        </w:rPr>
      </w:pPr>
      <w:r>
        <w:rPr>
          <w:rFonts w:asciiTheme="minorHAnsi" w:hAnsiTheme="minorHAnsi"/>
        </w:rPr>
        <w:t>-</w:t>
      </w:r>
      <w:r w:rsidRPr="003511F4">
        <w:rPr>
          <w:rFonts w:asciiTheme="minorHAnsi" w:hAnsiTheme="minorHAnsi"/>
        </w:rPr>
        <w:t>wypełnienie spoin,</w:t>
      </w:r>
    </w:p>
    <w:p w:rsidR="00B97A47" w:rsidRPr="003511F4" w:rsidRDefault="00B97A47" w:rsidP="00B97A47">
      <w:pPr>
        <w:rPr>
          <w:rFonts w:asciiTheme="minorHAnsi" w:hAnsiTheme="minorHAnsi"/>
        </w:rPr>
      </w:pPr>
      <w:r>
        <w:rPr>
          <w:rFonts w:asciiTheme="minorHAnsi" w:hAnsiTheme="minorHAnsi"/>
        </w:rPr>
        <w:t>-</w:t>
      </w:r>
      <w:r w:rsidRPr="003511F4">
        <w:rPr>
          <w:rFonts w:asciiTheme="minorHAnsi" w:hAnsiTheme="minorHAnsi"/>
        </w:rPr>
        <w:t>zasypanie zewnętrznej ściany krawężnika gruntem i ubicie,</w:t>
      </w:r>
    </w:p>
    <w:p w:rsidR="00B97A47" w:rsidRPr="003511F4" w:rsidRDefault="00B97A47" w:rsidP="00B97A47">
      <w:pPr>
        <w:rPr>
          <w:rFonts w:asciiTheme="minorHAnsi" w:hAnsiTheme="minorHAnsi"/>
        </w:rPr>
      </w:pPr>
      <w:r>
        <w:rPr>
          <w:rFonts w:asciiTheme="minorHAnsi" w:hAnsiTheme="minorHAnsi"/>
        </w:rPr>
        <w:t>-</w:t>
      </w:r>
      <w:r w:rsidRPr="003511F4">
        <w:rPr>
          <w:rFonts w:asciiTheme="minorHAnsi" w:hAnsiTheme="minorHAnsi"/>
        </w:rPr>
        <w:t>przeprowadzenie badań i pomiarów wymaganych w specyfikacji technicznej.</w:t>
      </w:r>
    </w:p>
    <w:p w:rsidR="00B97A47" w:rsidRDefault="00B97A47" w:rsidP="00B97A47">
      <w:pPr>
        <w:rPr>
          <w:rFonts w:asciiTheme="minorHAnsi" w:hAnsiTheme="minorHAnsi"/>
        </w:rPr>
      </w:pPr>
    </w:p>
    <w:p w:rsidR="00B97A47" w:rsidRPr="00A15B5F" w:rsidRDefault="00B97A47" w:rsidP="00B97A47">
      <w:pPr>
        <w:rPr>
          <w:rFonts w:asciiTheme="minorHAnsi" w:hAnsiTheme="minorHAnsi"/>
          <w:b/>
        </w:rPr>
      </w:pPr>
      <w:r w:rsidRPr="00A15B5F">
        <w:rPr>
          <w:rFonts w:asciiTheme="minorHAnsi" w:hAnsiTheme="minorHAnsi"/>
          <w:b/>
        </w:rPr>
        <w:t>10. PRZEPISY ZWIĄZANE</w:t>
      </w:r>
    </w:p>
    <w:p w:rsidR="00B97A47" w:rsidRPr="003511F4" w:rsidRDefault="00B97A47" w:rsidP="00B97A47">
      <w:pPr>
        <w:rPr>
          <w:rFonts w:asciiTheme="minorHAnsi" w:hAnsiTheme="minorHAnsi"/>
        </w:rPr>
      </w:pPr>
      <w:r w:rsidRPr="00A15B5F">
        <w:rPr>
          <w:rFonts w:asciiTheme="minorHAnsi" w:hAnsiTheme="minorHAnsi"/>
          <w:b/>
        </w:rPr>
        <w:t>10.1.</w:t>
      </w:r>
      <w:r>
        <w:rPr>
          <w:rFonts w:asciiTheme="minorHAnsi" w:hAnsiTheme="minorHAnsi"/>
        </w:rPr>
        <w:t xml:space="preserve"> </w:t>
      </w:r>
      <w:r w:rsidRPr="003511F4">
        <w:rPr>
          <w:rFonts w:asciiTheme="minorHAnsi" w:hAnsiTheme="minorHAnsi"/>
        </w:rPr>
        <w:t>Normy</w:t>
      </w:r>
    </w:p>
    <w:tbl>
      <w:tblPr>
        <w:tblW w:w="0" w:type="auto"/>
        <w:tblLayout w:type="fixed"/>
        <w:tblCellMar>
          <w:left w:w="70" w:type="dxa"/>
          <w:right w:w="70" w:type="dxa"/>
        </w:tblCellMar>
        <w:tblLook w:val="0000"/>
      </w:tblPr>
      <w:tblGrid>
        <w:gridCol w:w="637"/>
        <w:gridCol w:w="1985"/>
        <w:gridCol w:w="4887"/>
      </w:tblGrid>
      <w:tr w:rsidR="00B97A47" w:rsidRPr="003511F4" w:rsidTr="00C26550">
        <w:tc>
          <w:tcPr>
            <w:tcW w:w="637" w:type="dxa"/>
          </w:tcPr>
          <w:p w:rsidR="00B97A47" w:rsidRPr="003511F4" w:rsidRDefault="00B97A47" w:rsidP="00C26550">
            <w:pPr>
              <w:jc w:val="center"/>
              <w:rPr>
                <w:rFonts w:asciiTheme="minorHAnsi" w:hAnsiTheme="minorHAnsi"/>
              </w:rPr>
            </w:pPr>
            <w:r w:rsidRPr="003511F4">
              <w:rPr>
                <w:rFonts w:asciiTheme="minorHAnsi" w:hAnsiTheme="minorHAnsi"/>
              </w:rPr>
              <w:t>1.</w:t>
            </w:r>
          </w:p>
        </w:tc>
        <w:tc>
          <w:tcPr>
            <w:tcW w:w="1985" w:type="dxa"/>
          </w:tcPr>
          <w:p w:rsidR="00B97A47" w:rsidRPr="003511F4" w:rsidRDefault="00B97A47" w:rsidP="00C26550">
            <w:pPr>
              <w:rPr>
                <w:rFonts w:asciiTheme="minorHAnsi" w:hAnsiTheme="minorHAnsi"/>
              </w:rPr>
            </w:pPr>
            <w:r w:rsidRPr="003511F4">
              <w:rPr>
                <w:rFonts w:asciiTheme="minorHAnsi" w:hAnsiTheme="minorHAnsi"/>
              </w:rPr>
              <w:t>PN-B-01080</w:t>
            </w:r>
          </w:p>
        </w:tc>
        <w:tc>
          <w:tcPr>
            <w:tcW w:w="4887" w:type="dxa"/>
          </w:tcPr>
          <w:p w:rsidR="00B97A47" w:rsidRPr="003511F4" w:rsidRDefault="00B97A47" w:rsidP="00C26550">
            <w:pPr>
              <w:rPr>
                <w:rFonts w:asciiTheme="minorHAnsi" w:hAnsiTheme="minorHAnsi"/>
              </w:rPr>
            </w:pPr>
            <w:r w:rsidRPr="003511F4">
              <w:rPr>
                <w:rFonts w:asciiTheme="minorHAnsi" w:hAnsiTheme="minorHAnsi"/>
              </w:rPr>
              <w:t>Kamień dla budownictwa i drogownictwa. Klasyfikacja i zastosowanie</w:t>
            </w:r>
          </w:p>
        </w:tc>
      </w:tr>
      <w:tr w:rsidR="00B97A47" w:rsidRPr="003511F4" w:rsidTr="00C26550">
        <w:tc>
          <w:tcPr>
            <w:tcW w:w="637" w:type="dxa"/>
          </w:tcPr>
          <w:p w:rsidR="00B97A47" w:rsidRPr="003511F4" w:rsidRDefault="00B97A47" w:rsidP="00C26550">
            <w:pPr>
              <w:jc w:val="center"/>
              <w:rPr>
                <w:rFonts w:asciiTheme="minorHAnsi" w:hAnsiTheme="minorHAnsi"/>
              </w:rPr>
            </w:pPr>
            <w:r w:rsidRPr="003511F4">
              <w:rPr>
                <w:rFonts w:asciiTheme="minorHAnsi" w:hAnsiTheme="minorHAnsi"/>
              </w:rPr>
              <w:t>2.</w:t>
            </w:r>
          </w:p>
        </w:tc>
        <w:tc>
          <w:tcPr>
            <w:tcW w:w="1985" w:type="dxa"/>
          </w:tcPr>
          <w:p w:rsidR="00B97A47" w:rsidRPr="003511F4" w:rsidRDefault="00B97A47" w:rsidP="00C26550">
            <w:pPr>
              <w:rPr>
                <w:rFonts w:asciiTheme="minorHAnsi" w:hAnsiTheme="minorHAnsi"/>
              </w:rPr>
            </w:pPr>
            <w:r w:rsidRPr="003511F4">
              <w:rPr>
                <w:rFonts w:asciiTheme="minorHAnsi" w:hAnsiTheme="minorHAnsi"/>
              </w:rPr>
              <w:t>PN-B-06050</w:t>
            </w:r>
          </w:p>
        </w:tc>
        <w:tc>
          <w:tcPr>
            <w:tcW w:w="4887" w:type="dxa"/>
          </w:tcPr>
          <w:p w:rsidR="00B97A47" w:rsidRPr="003511F4" w:rsidRDefault="00B97A47" w:rsidP="00C26550">
            <w:pPr>
              <w:rPr>
                <w:rFonts w:asciiTheme="minorHAnsi" w:hAnsiTheme="minorHAnsi"/>
              </w:rPr>
            </w:pPr>
            <w:r w:rsidRPr="003511F4">
              <w:rPr>
                <w:rFonts w:asciiTheme="minorHAnsi" w:hAnsiTheme="minorHAnsi"/>
              </w:rPr>
              <w:t>Roboty ziemne budowlane</w:t>
            </w:r>
          </w:p>
        </w:tc>
      </w:tr>
      <w:tr w:rsidR="00B97A47" w:rsidRPr="003511F4" w:rsidTr="00C26550">
        <w:tc>
          <w:tcPr>
            <w:tcW w:w="637" w:type="dxa"/>
          </w:tcPr>
          <w:p w:rsidR="00B97A47" w:rsidRPr="003511F4" w:rsidRDefault="00B97A47" w:rsidP="00C26550">
            <w:pPr>
              <w:jc w:val="center"/>
              <w:rPr>
                <w:rFonts w:asciiTheme="minorHAnsi" w:hAnsiTheme="minorHAnsi"/>
              </w:rPr>
            </w:pPr>
            <w:r w:rsidRPr="003511F4">
              <w:rPr>
                <w:rFonts w:asciiTheme="minorHAnsi" w:hAnsiTheme="minorHAnsi"/>
              </w:rPr>
              <w:t>3.</w:t>
            </w:r>
          </w:p>
        </w:tc>
        <w:tc>
          <w:tcPr>
            <w:tcW w:w="1985" w:type="dxa"/>
          </w:tcPr>
          <w:p w:rsidR="00B97A47" w:rsidRPr="003511F4" w:rsidRDefault="00B97A47" w:rsidP="00C26550">
            <w:pPr>
              <w:rPr>
                <w:rFonts w:asciiTheme="minorHAnsi" w:hAnsiTheme="minorHAnsi"/>
              </w:rPr>
            </w:pPr>
            <w:r w:rsidRPr="003511F4">
              <w:rPr>
                <w:rFonts w:asciiTheme="minorHAnsi" w:hAnsiTheme="minorHAnsi"/>
              </w:rPr>
              <w:t>PN-B-06711</w:t>
            </w:r>
          </w:p>
        </w:tc>
        <w:tc>
          <w:tcPr>
            <w:tcW w:w="4887" w:type="dxa"/>
          </w:tcPr>
          <w:p w:rsidR="00B97A47" w:rsidRPr="003511F4" w:rsidRDefault="00B97A47" w:rsidP="00C26550">
            <w:pPr>
              <w:rPr>
                <w:rFonts w:asciiTheme="minorHAnsi" w:hAnsiTheme="minorHAnsi"/>
              </w:rPr>
            </w:pPr>
            <w:r w:rsidRPr="003511F4">
              <w:rPr>
                <w:rFonts w:asciiTheme="minorHAnsi" w:hAnsiTheme="minorHAnsi"/>
              </w:rPr>
              <w:t>Kruszywa mineralne. Piasek do zapraw budowlanych</w:t>
            </w:r>
          </w:p>
        </w:tc>
      </w:tr>
      <w:tr w:rsidR="00B97A47" w:rsidRPr="003511F4" w:rsidTr="00C26550">
        <w:tc>
          <w:tcPr>
            <w:tcW w:w="637" w:type="dxa"/>
          </w:tcPr>
          <w:p w:rsidR="00B97A47" w:rsidRPr="003511F4" w:rsidRDefault="00B97A47" w:rsidP="00C26550">
            <w:pPr>
              <w:jc w:val="center"/>
              <w:rPr>
                <w:rFonts w:asciiTheme="minorHAnsi" w:hAnsiTheme="minorHAnsi"/>
              </w:rPr>
            </w:pPr>
            <w:r w:rsidRPr="003511F4">
              <w:rPr>
                <w:rFonts w:asciiTheme="minorHAnsi" w:hAnsiTheme="minorHAnsi"/>
              </w:rPr>
              <w:t>4.</w:t>
            </w:r>
          </w:p>
        </w:tc>
        <w:tc>
          <w:tcPr>
            <w:tcW w:w="1985" w:type="dxa"/>
          </w:tcPr>
          <w:p w:rsidR="00B97A47" w:rsidRPr="003511F4" w:rsidRDefault="00B97A47" w:rsidP="00C26550">
            <w:pPr>
              <w:rPr>
                <w:rFonts w:asciiTheme="minorHAnsi" w:hAnsiTheme="minorHAnsi"/>
              </w:rPr>
            </w:pPr>
            <w:r w:rsidRPr="003511F4">
              <w:rPr>
                <w:rFonts w:asciiTheme="minorHAnsi" w:hAnsiTheme="minorHAnsi"/>
              </w:rPr>
              <w:t>PN-B-06712</w:t>
            </w:r>
          </w:p>
        </w:tc>
        <w:tc>
          <w:tcPr>
            <w:tcW w:w="4887" w:type="dxa"/>
          </w:tcPr>
          <w:p w:rsidR="00B97A47" w:rsidRPr="003511F4" w:rsidRDefault="00B97A47" w:rsidP="00C26550">
            <w:pPr>
              <w:rPr>
                <w:rFonts w:asciiTheme="minorHAnsi" w:hAnsiTheme="minorHAnsi"/>
              </w:rPr>
            </w:pPr>
            <w:r w:rsidRPr="003511F4">
              <w:rPr>
                <w:rFonts w:asciiTheme="minorHAnsi" w:hAnsiTheme="minorHAnsi"/>
              </w:rPr>
              <w:t>Kruszywa mineralne do betonu zwykłego</w:t>
            </w:r>
          </w:p>
        </w:tc>
      </w:tr>
      <w:tr w:rsidR="00B97A47" w:rsidRPr="003511F4" w:rsidTr="00C26550">
        <w:tc>
          <w:tcPr>
            <w:tcW w:w="637" w:type="dxa"/>
          </w:tcPr>
          <w:p w:rsidR="00B97A47" w:rsidRPr="003511F4" w:rsidRDefault="00B97A47" w:rsidP="00C26550">
            <w:pPr>
              <w:jc w:val="center"/>
              <w:rPr>
                <w:rFonts w:asciiTheme="minorHAnsi" w:hAnsiTheme="minorHAnsi"/>
              </w:rPr>
            </w:pPr>
            <w:r w:rsidRPr="003511F4">
              <w:rPr>
                <w:rFonts w:asciiTheme="minorHAnsi" w:hAnsiTheme="minorHAnsi"/>
              </w:rPr>
              <w:t>5.</w:t>
            </w:r>
          </w:p>
        </w:tc>
        <w:tc>
          <w:tcPr>
            <w:tcW w:w="1985" w:type="dxa"/>
          </w:tcPr>
          <w:p w:rsidR="00B97A47" w:rsidRPr="003511F4" w:rsidRDefault="00B97A47" w:rsidP="00C26550">
            <w:pPr>
              <w:rPr>
                <w:rFonts w:asciiTheme="minorHAnsi" w:hAnsiTheme="minorHAnsi"/>
              </w:rPr>
            </w:pPr>
            <w:r w:rsidRPr="003511F4">
              <w:rPr>
                <w:rFonts w:asciiTheme="minorHAnsi" w:hAnsiTheme="minorHAnsi"/>
              </w:rPr>
              <w:t>PN-B-06720</w:t>
            </w:r>
          </w:p>
        </w:tc>
        <w:tc>
          <w:tcPr>
            <w:tcW w:w="4887" w:type="dxa"/>
          </w:tcPr>
          <w:p w:rsidR="00B97A47" w:rsidRPr="003511F4" w:rsidRDefault="00B97A47" w:rsidP="00C26550">
            <w:pPr>
              <w:rPr>
                <w:rFonts w:asciiTheme="minorHAnsi" w:hAnsiTheme="minorHAnsi"/>
              </w:rPr>
            </w:pPr>
            <w:r w:rsidRPr="003511F4">
              <w:rPr>
                <w:rFonts w:asciiTheme="minorHAnsi" w:hAnsiTheme="minorHAnsi"/>
              </w:rPr>
              <w:t>Pobieranie próbek materiałów kamiennych</w:t>
            </w:r>
          </w:p>
        </w:tc>
      </w:tr>
      <w:tr w:rsidR="00B97A47" w:rsidRPr="003511F4" w:rsidTr="00C26550">
        <w:tc>
          <w:tcPr>
            <w:tcW w:w="637" w:type="dxa"/>
          </w:tcPr>
          <w:p w:rsidR="00B97A47" w:rsidRPr="003511F4" w:rsidRDefault="00B97A47" w:rsidP="00C26550">
            <w:pPr>
              <w:jc w:val="center"/>
              <w:rPr>
                <w:rFonts w:asciiTheme="minorHAnsi" w:hAnsiTheme="minorHAnsi"/>
                <w:lang w:val="en-US"/>
              </w:rPr>
            </w:pPr>
            <w:r w:rsidRPr="003511F4">
              <w:rPr>
                <w:rFonts w:asciiTheme="minorHAnsi" w:hAnsiTheme="minorHAnsi"/>
                <w:lang w:val="en-US"/>
              </w:rPr>
              <w:t>6.</w:t>
            </w:r>
          </w:p>
        </w:tc>
        <w:tc>
          <w:tcPr>
            <w:tcW w:w="1985" w:type="dxa"/>
          </w:tcPr>
          <w:p w:rsidR="00B97A47" w:rsidRPr="003511F4" w:rsidRDefault="00B97A47" w:rsidP="00C26550">
            <w:pPr>
              <w:rPr>
                <w:rFonts w:asciiTheme="minorHAnsi" w:hAnsiTheme="minorHAnsi"/>
                <w:lang w:val="en-US"/>
              </w:rPr>
            </w:pPr>
            <w:r w:rsidRPr="003511F4">
              <w:rPr>
                <w:rFonts w:asciiTheme="minorHAnsi" w:hAnsiTheme="minorHAnsi"/>
                <w:lang w:val="en-US"/>
              </w:rPr>
              <w:t>PN-B-19701</w:t>
            </w:r>
          </w:p>
        </w:tc>
        <w:tc>
          <w:tcPr>
            <w:tcW w:w="4887" w:type="dxa"/>
          </w:tcPr>
          <w:p w:rsidR="00B97A47" w:rsidRPr="003511F4" w:rsidRDefault="00B97A47" w:rsidP="00C26550">
            <w:pPr>
              <w:rPr>
                <w:rFonts w:asciiTheme="minorHAnsi" w:hAnsiTheme="minorHAnsi"/>
              </w:rPr>
            </w:pPr>
            <w:r w:rsidRPr="003511F4">
              <w:rPr>
                <w:rFonts w:asciiTheme="minorHAnsi" w:hAnsiTheme="minorHAnsi"/>
              </w:rPr>
              <w:t>Cement. Cement powszechnego użytku. Skład, wymagania i ocena zgodności</w:t>
            </w:r>
          </w:p>
        </w:tc>
      </w:tr>
      <w:tr w:rsidR="00B97A47" w:rsidRPr="003511F4" w:rsidTr="00C26550">
        <w:tc>
          <w:tcPr>
            <w:tcW w:w="637" w:type="dxa"/>
          </w:tcPr>
          <w:p w:rsidR="00B97A47" w:rsidRPr="003511F4" w:rsidRDefault="00B97A47" w:rsidP="00C26550">
            <w:pPr>
              <w:jc w:val="center"/>
              <w:rPr>
                <w:rFonts w:asciiTheme="minorHAnsi" w:hAnsiTheme="minorHAnsi"/>
              </w:rPr>
            </w:pPr>
            <w:r w:rsidRPr="003511F4">
              <w:rPr>
                <w:rFonts w:asciiTheme="minorHAnsi" w:hAnsiTheme="minorHAnsi"/>
              </w:rPr>
              <w:t>7.</w:t>
            </w:r>
          </w:p>
        </w:tc>
        <w:tc>
          <w:tcPr>
            <w:tcW w:w="1985" w:type="dxa"/>
          </w:tcPr>
          <w:p w:rsidR="00B97A47" w:rsidRPr="003511F4" w:rsidRDefault="00B97A47" w:rsidP="00C26550">
            <w:pPr>
              <w:rPr>
                <w:rFonts w:asciiTheme="minorHAnsi" w:hAnsiTheme="minorHAnsi"/>
              </w:rPr>
            </w:pPr>
            <w:r w:rsidRPr="003511F4">
              <w:rPr>
                <w:rFonts w:asciiTheme="minorHAnsi" w:hAnsiTheme="minorHAnsi"/>
              </w:rPr>
              <w:t>PN-B-32250</w:t>
            </w:r>
          </w:p>
        </w:tc>
        <w:tc>
          <w:tcPr>
            <w:tcW w:w="4887" w:type="dxa"/>
          </w:tcPr>
          <w:p w:rsidR="00B97A47" w:rsidRPr="003511F4" w:rsidRDefault="00B97A47" w:rsidP="00C26550">
            <w:pPr>
              <w:rPr>
                <w:rFonts w:asciiTheme="minorHAnsi" w:hAnsiTheme="minorHAnsi"/>
              </w:rPr>
            </w:pPr>
            <w:r w:rsidRPr="003511F4">
              <w:rPr>
                <w:rFonts w:asciiTheme="minorHAnsi" w:hAnsiTheme="minorHAnsi"/>
              </w:rPr>
              <w:t>Materiały budowlane. Woda do betonów i zapraw</w:t>
            </w:r>
          </w:p>
        </w:tc>
      </w:tr>
      <w:tr w:rsidR="00B97A47" w:rsidRPr="003511F4" w:rsidTr="00C26550">
        <w:tc>
          <w:tcPr>
            <w:tcW w:w="637" w:type="dxa"/>
          </w:tcPr>
          <w:p w:rsidR="00B97A47" w:rsidRPr="003511F4" w:rsidRDefault="00B97A47" w:rsidP="00C26550">
            <w:pPr>
              <w:jc w:val="center"/>
              <w:rPr>
                <w:rFonts w:asciiTheme="minorHAnsi" w:hAnsiTheme="minorHAnsi"/>
              </w:rPr>
            </w:pPr>
            <w:r w:rsidRPr="003511F4">
              <w:rPr>
                <w:rFonts w:asciiTheme="minorHAnsi" w:hAnsiTheme="minorHAnsi"/>
              </w:rPr>
              <w:t>8.</w:t>
            </w:r>
          </w:p>
        </w:tc>
        <w:tc>
          <w:tcPr>
            <w:tcW w:w="1985" w:type="dxa"/>
          </w:tcPr>
          <w:p w:rsidR="00B97A47" w:rsidRPr="003511F4" w:rsidRDefault="00B97A47" w:rsidP="00C26550">
            <w:pPr>
              <w:rPr>
                <w:rFonts w:asciiTheme="minorHAnsi" w:hAnsiTheme="minorHAnsi"/>
              </w:rPr>
            </w:pPr>
            <w:r w:rsidRPr="003511F4">
              <w:rPr>
                <w:rFonts w:asciiTheme="minorHAnsi" w:hAnsiTheme="minorHAnsi"/>
              </w:rPr>
              <w:t>BN-62/6716-04</w:t>
            </w:r>
          </w:p>
        </w:tc>
        <w:tc>
          <w:tcPr>
            <w:tcW w:w="4887" w:type="dxa"/>
          </w:tcPr>
          <w:p w:rsidR="00B97A47" w:rsidRPr="003511F4" w:rsidRDefault="00B97A47" w:rsidP="00C26550">
            <w:pPr>
              <w:rPr>
                <w:rFonts w:asciiTheme="minorHAnsi" w:hAnsiTheme="minorHAnsi"/>
              </w:rPr>
            </w:pPr>
            <w:r w:rsidRPr="003511F4">
              <w:rPr>
                <w:rFonts w:asciiTheme="minorHAnsi" w:hAnsiTheme="minorHAnsi"/>
              </w:rPr>
              <w:t>Kamień dla budownictwa i drogownictwa. Bloki surowe</w:t>
            </w:r>
          </w:p>
        </w:tc>
      </w:tr>
      <w:tr w:rsidR="00B97A47" w:rsidRPr="003511F4" w:rsidTr="00C26550">
        <w:tc>
          <w:tcPr>
            <w:tcW w:w="637" w:type="dxa"/>
          </w:tcPr>
          <w:p w:rsidR="00B97A47" w:rsidRPr="003511F4" w:rsidRDefault="00B97A47" w:rsidP="00C26550">
            <w:pPr>
              <w:jc w:val="center"/>
              <w:rPr>
                <w:rFonts w:asciiTheme="minorHAnsi" w:hAnsiTheme="minorHAnsi"/>
              </w:rPr>
            </w:pPr>
            <w:r w:rsidRPr="003511F4">
              <w:rPr>
                <w:rFonts w:asciiTheme="minorHAnsi" w:hAnsiTheme="minorHAnsi"/>
              </w:rPr>
              <w:t>9.</w:t>
            </w:r>
          </w:p>
        </w:tc>
        <w:tc>
          <w:tcPr>
            <w:tcW w:w="1985" w:type="dxa"/>
          </w:tcPr>
          <w:p w:rsidR="00B97A47" w:rsidRPr="003511F4" w:rsidRDefault="00B97A47" w:rsidP="00C26550">
            <w:pPr>
              <w:rPr>
                <w:rFonts w:asciiTheme="minorHAnsi" w:hAnsiTheme="minorHAnsi"/>
              </w:rPr>
            </w:pPr>
            <w:r w:rsidRPr="003511F4">
              <w:rPr>
                <w:rFonts w:asciiTheme="minorHAnsi" w:hAnsiTheme="minorHAnsi"/>
              </w:rPr>
              <w:t>BN-66/6775-01</w:t>
            </w:r>
          </w:p>
        </w:tc>
        <w:tc>
          <w:tcPr>
            <w:tcW w:w="4887" w:type="dxa"/>
          </w:tcPr>
          <w:p w:rsidR="00B97A47" w:rsidRPr="003511F4" w:rsidRDefault="00B97A47" w:rsidP="00C26550">
            <w:pPr>
              <w:rPr>
                <w:rFonts w:asciiTheme="minorHAnsi" w:hAnsiTheme="minorHAnsi"/>
              </w:rPr>
            </w:pPr>
            <w:r w:rsidRPr="003511F4">
              <w:rPr>
                <w:rFonts w:asciiTheme="minorHAnsi" w:hAnsiTheme="minorHAnsi"/>
              </w:rPr>
              <w:t>Elementy kamienne. Krawężniki uliczne, mostowe i drogowe.</w:t>
            </w:r>
          </w:p>
        </w:tc>
      </w:tr>
    </w:tbl>
    <w:p w:rsidR="00B97A47" w:rsidRDefault="00B97A47" w:rsidP="00B97A47"/>
    <w:p w:rsidR="000C27BF" w:rsidRDefault="000C27BF" w:rsidP="00C56AA0">
      <w:pPr>
        <w:spacing w:after="120"/>
      </w:pPr>
    </w:p>
    <w:p w:rsidR="000C27BF" w:rsidRDefault="000C27BF" w:rsidP="00C56AA0">
      <w:pPr>
        <w:spacing w:after="120"/>
      </w:pPr>
    </w:p>
    <w:p w:rsidR="000C27BF" w:rsidRDefault="000C27BF" w:rsidP="00C56AA0">
      <w:pPr>
        <w:spacing w:after="120"/>
      </w:pPr>
    </w:p>
    <w:p w:rsidR="000C27BF" w:rsidRDefault="000C27BF" w:rsidP="00C56AA0">
      <w:pPr>
        <w:spacing w:after="120"/>
      </w:pPr>
    </w:p>
    <w:p w:rsidR="000C27BF" w:rsidRDefault="000C27BF" w:rsidP="00C56AA0">
      <w:pPr>
        <w:spacing w:after="120"/>
      </w:pPr>
    </w:p>
    <w:p w:rsidR="000C27BF" w:rsidRDefault="000C27BF" w:rsidP="00C56AA0">
      <w:pPr>
        <w:spacing w:after="120"/>
      </w:pPr>
    </w:p>
    <w:p w:rsidR="000C27BF" w:rsidRDefault="000C27BF" w:rsidP="00C56AA0">
      <w:pPr>
        <w:spacing w:after="120"/>
      </w:pPr>
    </w:p>
    <w:p w:rsidR="00B97A47" w:rsidRDefault="00B97A47" w:rsidP="00C56AA0">
      <w:pPr>
        <w:spacing w:after="120"/>
      </w:pPr>
    </w:p>
    <w:p w:rsidR="00B97A47" w:rsidRDefault="00B97A47" w:rsidP="00C56AA0">
      <w:pPr>
        <w:spacing w:after="120"/>
      </w:pPr>
    </w:p>
    <w:p w:rsidR="00B97A47" w:rsidRDefault="00B97A47" w:rsidP="00C56AA0">
      <w:pPr>
        <w:spacing w:after="120"/>
      </w:pPr>
    </w:p>
    <w:p w:rsidR="00B97A47" w:rsidRDefault="00B97A47" w:rsidP="00C56AA0">
      <w:pPr>
        <w:spacing w:after="120"/>
      </w:pPr>
    </w:p>
    <w:p w:rsidR="00B97A47" w:rsidRDefault="00B97A47" w:rsidP="00C56AA0">
      <w:pPr>
        <w:spacing w:after="120"/>
      </w:pPr>
    </w:p>
    <w:p w:rsidR="00B97A47" w:rsidRDefault="00B97A47" w:rsidP="00C56AA0">
      <w:pPr>
        <w:spacing w:after="120"/>
      </w:pPr>
    </w:p>
    <w:p w:rsidR="00B97A47" w:rsidRDefault="00B97A47" w:rsidP="00C56AA0">
      <w:pPr>
        <w:spacing w:after="120"/>
      </w:pPr>
    </w:p>
    <w:p w:rsidR="00B97A47" w:rsidRDefault="00B97A47" w:rsidP="00C56AA0">
      <w:pPr>
        <w:spacing w:after="120"/>
      </w:pPr>
    </w:p>
    <w:p w:rsidR="00B97A47" w:rsidRDefault="00B97A47" w:rsidP="00C56AA0">
      <w:pPr>
        <w:spacing w:after="120"/>
      </w:pPr>
    </w:p>
    <w:p w:rsidR="00B97A47" w:rsidRDefault="00B97A47" w:rsidP="00C56AA0">
      <w:pPr>
        <w:spacing w:after="120"/>
      </w:pPr>
    </w:p>
    <w:p w:rsidR="00B97A47" w:rsidRDefault="00B97A47" w:rsidP="00C56AA0">
      <w:pPr>
        <w:spacing w:after="120"/>
      </w:pPr>
    </w:p>
    <w:p w:rsidR="00B97A47" w:rsidRDefault="00B97A47" w:rsidP="00C56AA0">
      <w:pPr>
        <w:spacing w:after="120"/>
      </w:pPr>
    </w:p>
    <w:p w:rsidR="00B97A47" w:rsidRDefault="00B97A47" w:rsidP="00C56AA0">
      <w:pPr>
        <w:spacing w:after="120"/>
      </w:pPr>
    </w:p>
    <w:p w:rsidR="00B97A47" w:rsidRDefault="00B97A47" w:rsidP="00C56AA0">
      <w:pPr>
        <w:spacing w:after="120"/>
      </w:pPr>
    </w:p>
    <w:p w:rsidR="00B97A47" w:rsidRDefault="00B97A47" w:rsidP="00C56AA0">
      <w:pPr>
        <w:spacing w:after="120"/>
      </w:pPr>
    </w:p>
    <w:p w:rsidR="00B97A47" w:rsidRDefault="00B97A47" w:rsidP="00C56AA0">
      <w:pPr>
        <w:spacing w:after="120"/>
      </w:pPr>
    </w:p>
    <w:p w:rsidR="00B97A47" w:rsidRDefault="00B97A47" w:rsidP="00C56AA0">
      <w:pPr>
        <w:spacing w:after="120"/>
      </w:pPr>
    </w:p>
    <w:p w:rsidR="00B97A47" w:rsidRDefault="00B97A47" w:rsidP="00C56AA0">
      <w:pPr>
        <w:spacing w:after="120"/>
      </w:pPr>
    </w:p>
    <w:p w:rsidR="00B97A47" w:rsidRDefault="00B97A47" w:rsidP="00C56AA0">
      <w:pPr>
        <w:spacing w:after="120"/>
      </w:pPr>
    </w:p>
    <w:p w:rsidR="00B97A47" w:rsidRDefault="00B97A47" w:rsidP="00C56AA0">
      <w:pPr>
        <w:spacing w:after="120"/>
      </w:pPr>
    </w:p>
    <w:p w:rsidR="00B97A47" w:rsidRDefault="00B97A47" w:rsidP="00C56AA0">
      <w:pPr>
        <w:spacing w:after="120"/>
      </w:pPr>
    </w:p>
    <w:p w:rsidR="00B97A47" w:rsidRDefault="00B97A47" w:rsidP="00C56AA0">
      <w:pPr>
        <w:spacing w:after="120"/>
      </w:pPr>
    </w:p>
    <w:p w:rsidR="00B97A47" w:rsidRDefault="00B97A47" w:rsidP="00C56AA0">
      <w:pPr>
        <w:spacing w:after="120"/>
      </w:pPr>
    </w:p>
    <w:p w:rsidR="000C27BF" w:rsidRDefault="000C27BF" w:rsidP="00C56AA0">
      <w:pPr>
        <w:spacing w:after="120"/>
      </w:pPr>
    </w:p>
    <w:p w:rsidR="00C56AA0" w:rsidRDefault="00C56AA0" w:rsidP="00C56AA0">
      <w:pPr>
        <w:spacing w:after="120"/>
      </w:pPr>
    </w:p>
    <w:p w:rsidR="00F0343D" w:rsidRPr="009C59E9" w:rsidRDefault="00AE2508" w:rsidP="00BB2441">
      <w:pPr>
        <w:pStyle w:val="Nagwek1"/>
        <w:jc w:val="center"/>
      </w:pPr>
      <w:bookmarkStart w:id="1624" w:name="_Toc438237740"/>
      <w:r>
        <w:t xml:space="preserve">D-08.02.02 </w:t>
      </w:r>
      <w:r w:rsidR="00C77850">
        <w:t xml:space="preserve"> </w:t>
      </w:r>
      <w:r>
        <w:t xml:space="preserve">CHODNIK Z </w:t>
      </w:r>
      <w:r w:rsidR="00F0343D" w:rsidRPr="009C59E9">
        <w:t>B</w:t>
      </w:r>
      <w:r>
        <w:t xml:space="preserve">RUKOWEJ KOSTKI </w:t>
      </w:r>
      <w:r w:rsidR="00F0343D" w:rsidRPr="009C59E9">
        <w:t>BETONOWEJ</w:t>
      </w:r>
      <w:bookmarkEnd w:id="1624"/>
    </w:p>
    <w:p w:rsidR="00F0343D" w:rsidRPr="009C59E9" w:rsidRDefault="00F0343D" w:rsidP="00F0343D">
      <w:pPr>
        <w:rPr>
          <w:rFonts w:ascii="Calibri" w:hAnsi="Calibri"/>
        </w:rPr>
      </w:pPr>
    </w:p>
    <w:p w:rsidR="00F0343D" w:rsidRPr="009C59E9" w:rsidRDefault="00F0343D" w:rsidP="00F0343D">
      <w:pPr>
        <w:rPr>
          <w:rFonts w:ascii="Calibri" w:hAnsi="Calibri"/>
        </w:rPr>
      </w:pPr>
    </w:p>
    <w:p w:rsidR="00F0343D" w:rsidRPr="009C59E9" w:rsidRDefault="00F0343D" w:rsidP="00F0343D">
      <w:pPr>
        <w:rPr>
          <w:rFonts w:ascii="Calibri" w:hAnsi="Calibri"/>
        </w:rPr>
      </w:pPr>
    </w:p>
    <w:p w:rsidR="00F0343D" w:rsidRPr="009C59E9" w:rsidRDefault="00F0343D" w:rsidP="00F0343D">
      <w:pPr>
        <w:rPr>
          <w:rFonts w:ascii="Calibri" w:hAnsi="Calibri"/>
        </w:rPr>
      </w:pPr>
    </w:p>
    <w:p w:rsidR="00671D68" w:rsidRDefault="00671D68" w:rsidP="00F0343D">
      <w:pPr>
        <w:rPr>
          <w:rFonts w:ascii="Calibri" w:hAnsi="Calibri"/>
          <w:b/>
        </w:rPr>
      </w:pPr>
    </w:p>
    <w:p w:rsidR="00671D68" w:rsidRDefault="00671D68" w:rsidP="00F0343D">
      <w:pPr>
        <w:rPr>
          <w:rFonts w:ascii="Calibri" w:hAnsi="Calibri"/>
          <w:b/>
        </w:rPr>
      </w:pPr>
    </w:p>
    <w:p w:rsidR="00671D68" w:rsidRDefault="00671D68" w:rsidP="00F0343D">
      <w:pPr>
        <w:rPr>
          <w:rFonts w:ascii="Calibri" w:hAnsi="Calibri"/>
          <w:b/>
        </w:rPr>
      </w:pPr>
    </w:p>
    <w:p w:rsidR="00671D68" w:rsidRDefault="00671D68" w:rsidP="00F0343D">
      <w:pPr>
        <w:rPr>
          <w:rFonts w:ascii="Calibri" w:hAnsi="Calibri"/>
          <w:b/>
        </w:rPr>
      </w:pPr>
    </w:p>
    <w:p w:rsidR="00671D68" w:rsidRDefault="00671D68" w:rsidP="00F0343D">
      <w:pPr>
        <w:rPr>
          <w:rFonts w:ascii="Calibri" w:hAnsi="Calibri"/>
          <w:b/>
        </w:rPr>
      </w:pPr>
    </w:p>
    <w:p w:rsidR="00671D68" w:rsidRDefault="00671D68" w:rsidP="00F0343D">
      <w:pPr>
        <w:rPr>
          <w:rFonts w:ascii="Calibri" w:hAnsi="Calibri"/>
          <w:b/>
        </w:rPr>
      </w:pPr>
    </w:p>
    <w:p w:rsidR="00671D68" w:rsidRDefault="00671D68" w:rsidP="00F0343D">
      <w:pPr>
        <w:rPr>
          <w:rFonts w:ascii="Calibri" w:hAnsi="Calibri"/>
          <w:b/>
        </w:rPr>
      </w:pPr>
    </w:p>
    <w:p w:rsidR="00671D68" w:rsidRDefault="00671D68" w:rsidP="00F0343D">
      <w:pPr>
        <w:rPr>
          <w:rFonts w:ascii="Calibri" w:hAnsi="Calibri"/>
          <w:b/>
        </w:rPr>
      </w:pPr>
    </w:p>
    <w:p w:rsidR="00671D68" w:rsidRDefault="00671D68" w:rsidP="00F0343D">
      <w:pPr>
        <w:rPr>
          <w:rFonts w:ascii="Calibri" w:hAnsi="Calibri"/>
          <w:b/>
        </w:rPr>
      </w:pPr>
    </w:p>
    <w:p w:rsidR="00671D68" w:rsidRDefault="00671D68" w:rsidP="00F0343D">
      <w:pPr>
        <w:rPr>
          <w:rFonts w:ascii="Calibri" w:hAnsi="Calibri"/>
          <w:b/>
        </w:rPr>
      </w:pPr>
    </w:p>
    <w:p w:rsidR="00671D68" w:rsidRDefault="00671D68" w:rsidP="00F0343D">
      <w:pPr>
        <w:rPr>
          <w:rFonts w:ascii="Calibri" w:hAnsi="Calibri"/>
          <w:b/>
        </w:rPr>
      </w:pPr>
    </w:p>
    <w:p w:rsidR="00671D68" w:rsidRDefault="00671D68" w:rsidP="00F0343D">
      <w:pPr>
        <w:rPr>
          <w:rFonts w:ascii="Calibri" w:hAnsi="Calibri"/>
          <w:b/>
        </w:rPr>
      </w:pPr>
    </w:p>
    <w:p w:rsidR="00671D68" w:rsidRDefault="00671D68" w:rsidP="00F0343D">
      <w:pPr>
        <w:rPr>
          <w:rFonts w:ascii="Calibri" w:hAnsi="Calibri"/>
          <w:b/>
        </w:rPr>
      </w:pPr>
    </w:p>
    <w:p w:rsidR="00671D68" w:rsidRDefault="00671D68" w:rsidP="00F0343D">
      <w:pPr>
        <w:rPr>
          <w:rFonts w:ascii="Calibri" w:hAnsi="Calibri"/>
          <w:b/>
        </w:rPr>
      </w:pPr>
    </w:p>
    <w:p w:rsidR="00671D68" w:rsidRDefault="00671D68" w:rsidP="00F0343D">
      <w:pPr>
        <w:rPr>
          <w:rFonts w:ascii="Calibri" w:hAnsi="Calibri"/>
          <w:b/>
        </w:rPr>
      </w:pPr>
    </w:p>
    <w:p w:rsidR="00671D68" w:rsidRDefault="00671D68" w:rsidP="00F0343D">
      <w:pPr>
        <w:rPr>
          <w:rFonts w:ascii="Calibri" w:hAnsi="Calibri"/>
          <w:b/>
        </w:rPr>
      </w:pPr>
    </w:p>
    <w:p w:rsidR="00671D68" w:rsidRDefault="00671D68" w:rsidP="00F0343D">
      <w:pPr>
        <w:rPr>
          <w:rFonts w:ascii="Calibri" w:hAnsi="Calibri"/>
          <w:b/>
        </w:rPr>
      </w:pPr>
    </w:p>
    <w:p w:rsidR="00671D68" w:rsidRDefault="00671D68" w:rsidP="00F0343D">
      <w:pPr>
        <w:rPr>
          <w:rFonts w:ascii="Calibri" w:hAnsi="Calibri"/>
          <w:b/>
        </w:rPr>
      </w:pPr>
    </w:p>
    <w:p w:rsidR="00671D68" w:rsidRDefault="00671D68" w:rsidP="00F0343D">
      <w:pPr>
        <w:rPr>
          <w:rFonts w:ascii="Calibri" w:hAnsi="Calibri"/>
          <w:b/>
        </w:rPr>
      </w:pPr>
    </w:p>
    <w:p w:rsidR="00671D68" w:rsidRDefault="00671D68" w:rsidP="00F0343D">
      <w:pPr>
        <w:rPr>
          <w:rFonts w:ascii="Calibri" w:hAnsi="Calibri"/>
          <w:b/>
        </w:rPr>
      </w:pPr>
    </w:p>
    <w:p w:rsidR="00671D68" w:rsidRDefault="00671D68" w:rsidP="00F0343D">
      <w:pPr>
        <w:rPr>
          <w:rFonts w:ascii="Calibri" w:hAnsi="Calibri"/>
          <w:b/>
        </w:rPr>
      </w:pPr>
    </w:p>
    <w:p w:rsidR="00671D68" w:rsidRDefault="00671D68" w:rsidP="00F0343D">
      <w:pPr>
        <w:rPr>
          <w:rFonts w:ascii="Calibri" w:hAnsi="Calibri"/>
          <w:b/>
        </w:rPr>
      </w:pPr>
    </w:p>
    <w:p w:rsidR="00671D68" w:rsidRDefault="00671D68" w:rsidP="00F0343D">
      <w:pPr>
        <w:rPr>
          <w:rFonts w:ascii="Calibri" w:hAnsi="Calibri"/>
          <w:b/>
        </w:rPr>
      </w:pPr>
    </w:p>
    <w:p w:rsidR="00671D68" w:rsidRDefault="00671D68" w:rsidP="00F0343D">
      <w:pPr>
        <w:rPr>
          <w:rFonts w:ascii="Calibri" w:hAnsi="Calibri"/>
          <w:b/>
        </w:rPr>
      </w:pPr>
    </w:p>
    <w:p w:rsidR="00671D68" w:rsidRDefault="00671D68" w:rsidP="00F0343D">
      <w:pPr>
        <w:rPr>
          <w:rFonts w:ascii="Calibri" w:hAnsi="Calibri"/>
          <w:b/>
        </w:rPr>
      </w:pPr>
    </w:p>
    <w:p w:rsidR="00671D68" w:rsidRDefault="00671D68" w:rsidP="00F0343D">
      <w:pPr>
        <w:rPr>
          <w:rFonts w:ascii="Calibri" w:hAnsi="Calibri"/>
          <w:b/>
        </w:rPr>
      </w:pPr>
    </w:p>
    <w:p w:rsidR="00671D68" w:rsidRDefault="00671D68" w:rsidP="00F0343D">
      <w:pPr>
        <w:rPr>
          <w:rFonts w:ascii="Calibri" w:hAnsi="Calibri"/>
          <w:b/>
        </w:rPr>
      </w:pPr>
    </w:p>
    <w:p w:rsidR="00671D68" w:rsidRDefault="00671D68" w:rsidP="00F0343D">
      <w:pPr>
        <w:rPr>
          <w:rFonts w:ascii="Calibri" w:hAnsi="Calibri"/>
          <w:b/>
        </w:rPr>
      </w:pPr>
    </w:p>
    <w:p w:rsidR="00671D68" w:rsidRDefault="00671D68" w:rsidP="00F0343D">
      <w:pPr>
        <w:rPr>
          <w:rFonts w:ascii="Calibri" w:hAnsi="Calibri"/>
          <w:b/>
        </w:rPr>
      </w:pPr>
    </w:p>
    <w:p w:rsidR="00671D68" w:rsidRDefault="00671D68" w:rsidP="00F0343D">
      <w:pPr>
        <w:rPr>
          <w:rFonts w:ascii="Calibri" w:hAnsi="Calibri"/>
          <w:b/>
        </w:rPr>
      </w:pPr>
    </w:p>
    <w:p w:rsidR="00671D68" w:rsidRDefault="00671D68" w:rsidP="00F0343D">
      <w:pPr>
        <w:rPr>
          <w:rFonts w:ascii="Calibri" w:hAnsi="Calibri"/>
          <w:b/>
        </w:rPr>
      </w:pPr>
    </w:p>
    <w:p w:rsidR="00671D68" w:rsidRDefault="00671D68" w:rsidP="00F0343D">
      <w:pPr>
        <w:rPr>
          <w:rFonts w:ascii="Calibri" w:hAnsi="Calibri"/>
          <w:b/>
        </w:rPr>
      </w:pPr>
    </w:p>
    <w:p w:rsidR="00671D68" w:rsidRDefault="00671D68" w:rsidP="00F0343D">
      <w:pPr>
        <w:rPr>
          <w:rFonts w:ascii="Calibri" w:hAnsi="Calibri"/>
          <w:b/>
        </w:rPr>
      </w:pPr>
    </w:p>
    <w:p w:rsidR="00671D68" w:rsidRDefault="00671D68" w:rsidP="00F0343D">
      <w:pPr>
        <w:rPr>
          <w:rFonts w:ascii="Calibri" w:hAnsi="Calibri"/>
          <w:b/>
        </w:rPr>
      </w:pPr>
    </w:p>
    <w:p w:rsidR="00671D68" w:rsidRDefault="00671D68" w:rsidP="00F0343D">
      <w:pPr>
        <w:rPr>
          <w:rFonts w:ascii="Calibri" w:hAnsi="Calibri"/>
          <w:b/>
        </w:rPr>
      </w:pPr>
    </w:p>
    <w:p w:rsidR="00671D68" w:rsidRDefault="00671D68" w:rsidP="00F0343D">
      <w:pPr>
        <w:rPr>
          <w:rFonts w:ascii="Calibri" w:hAnsi="Calibri"/>
          <w:b/>
        </w:rPr>
      </w:pPr>
    </w:p>
    <w:p w:rsidR="00BB2441" w:rsidRDefault="00BB2441" w:rsidP="00F0343D">
      <w:pPr>
        <w:rPr>
          <w:rFonts w:ascii="Calibri" w:hAnsi="Calibri"/>
          <w:b/>
        </w:rPr>
      </w:pPr>
    </w:p>
    <w:p w:rsidR="00F0343D" w:rsidRPr="009C59E9" w:rsidRDefault="00F0343D" w:rsidP="00F0343D">
      <w:pPr>
        <w:rPr>
          <w:rFonts w:ascii="Calibri" w:hAnsi="Calibri"/>
          <w:b/>
        </w:rPr>
      </w:pPr>
      <w:r w:rsidRPr="009C59E9">
        <w:rPr>
          <w:rFonts w:ascii="Calibri" w:hAnsi="Calibri"/>
          <w:b/>
        </w:rPr>
        <w:lastRenderedPageBreak/>
        <w:t>1. WSTĘP</w:t>
      </w:r>
    </w:p>
    <w:p w:rsidR="00F0343D" w:rsidRPr="009C59E9" w:rsidRDefault="00F0343D" w:rsidP="00F0343D">
      <w:pPr>
        <w:rPr>
          <w:rFonts w:ascii="Calibri" w:hAnsi="Calibri"/>
        </w:rPr>
      </w:pPr>
      <w:r w:rsidRPr="009C59E9">
        <w:rPr>
          <w:rFonts w:ascii="Calibri" w:hAnsi="Calibri"/>
          <w:b/>
        </w:rPr>
        <w:t>1.1.</w:t>
      </w:r>
      <w:r w:rsidRPr="009C59E9">
        <w:rPr>
          <w:rFonts w:ascii="Calibri" w:hAnsi="Calibri"/>
        </w:rPr>
        <w:t xml:space="preserve"> Przedmiot ST</w:t>
      </w:r>
    </w:p>
    <w:p w:rsidR="00F0343D" w:rsidRPr="009C59E9" w:rsidRDefault="00F0343D" w:rsidP="00F0343D">
      <w:pPr>
        <w:rPr>
          <w:rFonts w:ascii="Calibri" w:hAnsi="Calibri"/>
        </w:rPr>
      </w:pPr>
      <w:r w:rsidRPr="009C59E9">
        <w:rPr>
          <w:rFonts w:ascii="Calibri" w:hAnsi="Calibri"/>
        </w:rPr>
        <w:tab/>
        <w:t>Przedmiotem niniejszej specyfikacji technicznej (ST) są wymagania dotyczące wykonania i odbioru robót związanych z wykonaniem chodnika z brukowej kostki betonowej.</w:t>
      </w:r>
    </w:p>
    <w:p w:rsidR="00F0343D" w:rsidRPr="009C59E9" w:rsidRDefault="00F0343D" w:rsidP="00F0343D">
      <w:pPr>
        <w:rPr>
          <w:rFonts w:ascii="Calibri" w:hAnsi="Calibri"/>
        </w:rPr>
      </w:pPr>
      <w:r w:rsidRPr="009C59E9">
        <w:rPr>
          <w:rFonts w:ascii="Calibri" w:hAnsi="Calibri"/>
          <w:b/>
        </w:rPr>
        <w:t>1.2.</w:t>
      </w:r>
      <w:r w:rsidRPr="009C59E9">
        <w:rPr>
          <w:rFonts w:ascii="Calibri" w:hAnsi="Calibri"/>
        </w:rPr>
        <w:t xml:space="preserve"> Zakres stosowania ST</w:t>
      </w:r>
    </w:p>
    <w:p w:rsidR="00F0343D" w:rsidRPr="009C59E9" w:rsidRDefault="00F0343D" w:rsidP="00F0343D">
      <w:pPr>
        <w:rPr>
          <w:rFonts w:ascii="Calibri" w:hAnsi="Calibri"/>
        </w:rPr>
      </w:pPr>
      <w:r w:rsidRPr="009C59E9">
        <w:rPr>
          <w:rFonts w:ascii="Calibri" w:hAnsi="Calibri"/>
        </w:rPr>
        <w:tab/>
        <w:t>Specyfikacja techniczna określa wymagania dla wykonania i odbioru robót budowlanych przewidzianych do wykonania w ramach umowy a zawarte w niej zapisy w zakresie standardu materiałów, wykonania robót i wymaganej ich jakości oraz kontroli jakości robót należy traktować jako minimalne.</w:t>
      </w:r>
    </w:p>
    <w:p w:rsidR="00F0343D" w:rsidRPr="009C59E9" w:rsidRDefault="00F0343D" w:rsidP="00F0343D">
      <w:pPr>
        <w:rPr>
          <w:rFonts w:ascii="Calibri" w:hAnsi="Calibri"/>
        </w:rPr>
      </w:pPr>
      <w:r w:rsidRPr="009C59E9">
        <w:rPr>
          <w:rFonts w:ascii="Calibri" w:hAnsi="Calibri"/>
          <w:b/>
        </w:rPr>
        <w:t>1.3.</w:t>
      </w:r>
      <w:r w:rsidRPr="009C59E9">
        <w:rPr>
          <w:rFonts w:ascii="Calibri" w:hAnsi="Calibri"/>
        </w:rPr>
        <w:t xml:space="preserve"> Zakres robót objętych ST</w:t>
      </w:r>
    </w:p>
    <w:p w:rsidR="00582D07" w:rsidRPr="00C3299C" w:rsidRDefault="00F0343D" w:rsidP="00582D07">
      <w:pPr>
        <w:rPr>
          <w:rFonts w:asciiTheme="minorHAnsi" w:hAnsiTheme="minorHAnsi" w:cs="Calibri"/>
        </w:rPr>
      </w:pPr>
      <w:r w:rsidRPr="009C59E9">
        <w:rPr>
          <w:rFonts w:ascii="Calibri" w:hAnsi="Calibri"/>
        </w:rPr>
        <w:tab/>
        <w:t>Ustalenia zawarte w niniejszej specyfikacji dotyczą zasad prowadzenia robót związanych z wykonaniem chodn</w:t>
      </w:r>
      <w:r w:rsidR="000C41EC">
        <w:rPr>
          <w:rFonts w:ascii="Calibri" w:hAnsi="Calibri"/>
        </w:rPr>
        <w:t xml:space="preserve">ika z brukowej kostki betonowej </w:t>
      </w:r>
      <w:r w:rsidR="00582D07" w:rsidRPr="00C3299C">
        <w:rPr>
          <w:rFonts w:ascii="Calibri" w:hAnsi="Calibri" w:cs="Calibri"/>
        </w:rPr>
        <w:t>w związku z „</w:t>
      </w:r>
      <w:r w:rsidR="00582D07" w:rsidRPr="00C3299C">
        <w:rPr>
          <w:rFonts w:asciiTheme="minorHAnsi" w:hAnsiTheme="minorHAnsi"/>
        </w:rPr>
        <w:t>Przebudową ul.55 Pułku Piechoty w Lesznie wraz z przebudową oświetlenia”</w:t>
      </w:r>
      <w:r w:rsidR="00582D07" w:rsidRPr="00C3299C">
        <w:rPr>
          <w:rFonts w:asciiTheme="minorHAnsi" w:hAnsiTheme="minorHAnsi" w:cs="Calibri"/>
        </w:rPr>
        <w:t>.</w:t>
      </w:r>
    </w:p>
    <w:p w:rsidR="00F0343D" w:rsidRPr="009C59E9" w:rsidRDefault="00F0343D" w:rsidP="00F0343D">
      <w:pPr>
        <w:rPr>
          <w:rFonts w:ascii="Calibri" w:hAnsi="Calibri"/>
        </w:rPr>
      </w:pPr>
      <w:r w:rsidRPr="009C59E9">
        <w:rPr>
          <w:rFonts w:ascii="Calibri" w:hAnsi="Calibri"/>
          <w:b/>
        </w:rPr>
        <w:t>1.4.</w:t>
      </w:r>
      <w:r w:rsidRPr="009C59E9">
        <w:rPr>
          <w:rFonts w:ascii="Calibri" w:hAnsi="Calibri"/>
        </w:rPr>
        <w:t xml:space="preserve"> Określenia podstawowe</w:t>
      </w:r>
    </w:p>
    <w:p w:rsidR="00F0343D" w:rsidRPr="009C59E9" w:rsidRDefault="00F0343D" w:rsidP="00F0343D">
      <w:pPr>
        <w:rPr>
          <w:rFonts w:ascii="Calibri" w:hAnsi="Calibri"/>
        </w:rPr>
      </w:pPr>
      <w:r w:rsidRPr="009C59E9">
        <w:rPr>
          <w:rFonts w:ascii="Calibri" w:hAnsi="Calibri"/>
          <w:b/>
        </w:rPr>
        <w:t>1.4.1.</w:t>
      </w:r>
      <w:r w:rsidRPr="009C59E9">
        <w:rPr>
          <w:rFonts w:ascii="Calibri" w:hAnsi="Calibri"/>
        </w:rPr>
        <w:t xml:space="preserve"> Betonowa kostka brukowa - kształtka wytwarzana z betonu metodą wibroprasowania. Produkowana jest jako kształtka jednowarstwowa lub w dwóch warstwach połączonych ze sobą trwale w fazie produkcji.</w:t>
      </w:r>
    </w:p>
    <w:p w:rsidR="00F0343D" w:rsidRPr="009C59E9" w:rsidRDefault="00F0343D" w:rsidP="00F0343D">
      <w:pPr>
        <w:rPr>
          <w:rFonts w:ascii="Calibri" w:hAnsi="Calibri"/>
        </w:rPr>
      </w:pPr>
      <w:r w:rsidRPr="009C59E9">
        <w:rPr>
          <w:rFonts w:ascii="Calibri" w:hAnsi="Calibri"/>
          <w:b/>
        </w:rPr>
        <w:t>1.4.2.</w:t>
      </w:r>
      <w:r w:rsidRPr="009C59E9">
        <w:rPr>
          <w:rFonts w:ascii="Calibri" w:hAnsi="Calibri"/>
        </w:rPr>
        <w:t xml:space="preserve"> Pozostałe określenia podstawowe są zgodne z obowiązującymi, odpowiednimi polskimi normami i z definicjami i z definicjami podanymi w ST D-M-00.00.00 „Wymagania ogólne” pkt 1.4.</w:t>
      </w:r>
    </w:p>
    <w:p w:rsidR="00F0343D" w:rsidRPr="009C59E9" w:rsidRDefault="00F0343D" w:rsidP="00F0343D">
      <w:pPr>
        <w:rPr>
          <w:rFonts w:ascii="Calibri" w:hAnsi="Calibri"/>
        </w:rPr>
      </w:pPr>
      <w:r w:rsidRPr="009C59E9">
        <w:rPr>
          <w:rFonts w:ascii="Calibri" w:hAnsi="Calibri"/>
          <w:b/>
        </w:rPr>
        <w:t>1.5.</w:t>
      </w:r>
      <w:r w:rsidRPr="009C59E9">
        <w:rPr>
          <w:rFonts w:ascii="Calibri" w:hAnsi="Calibri"/>
        </w:rPr>
        <w:t xml:space="preserve"> Ogólne wymagania dotyczące robót</w:t>
      </w:r>
    </w:p>
    <w:p w:rsidR="00F0343D" w:rsidRPr="009C59E9" w:rsidRDefault="00F0343D" w:rsidP="00F0343D">
      <w:pPr>
        <w:rPr>
          <w:rFonts w:ascii="Calibri" w:hAnsi="Calibri"/>
        </w:rPr>
      </w:pPr>
      <w:r w:rsidRPr="009C59E9">
        <w:rPr>
          <w:rFonts w:ascii="Calibri" w:hAnsi="Calibri"/>
        </w:rPr>
        <w:tab/>
        <w:t>Ogólne wymagania dotyczące robót podano w ST D-M-00.00.00 „Wymagania ogólne” pkt 1.5.</w:t>
      </w:r>
    </w:p>
    <w:p w:rsidR="00F0343D" w:rsidRPr="009C59E9" w:rsidRDefault="00F0343D" w:rsidP="00F0343D">
      <w:pPr>
        <w:rPr>
          <w:rFonts w:ascii="Calibri" w:hAnsi="Calibri"/>
        </w:rPr>
      </w:pPr>
    </w:p>
    <w:p w:rsidR="00F0343D" w:rsidRPr="009C59E9" w:rsidRDefault="00F0343D" w:rsidP="00F0343D">
      <w:pPr>
        <w:rPr>
          <w:rFonts w:ascii="Calibri" w:hAnsi="Calibri"/>
          <w:b/>
        </w:rPr>
      </w:pPr>
      <w:r w:rsidRPr="009C59E9">
        <w:rPr>
          <w:rFonts w:ascii="Calibri" w:hAnsi="Calibri"/>
          <w:b/>
        </w:rPr>
        <w:t>2. MATERIAŁY</w:t>
      </w:r>
    </w:p>
    <w:p w:rsidR="00F0343D" w:rsidRPr="009C59E9" w:rsidRDefault="00F0343D" w:rsidP="00F0343D">
      <w:pPr>
        <w:rPr>
          <w:rFonts w:ascii="Calibri" w:hAnsi="Calibri"/>
        </w:rPr>
      </w:pPr>
      <w:r w:rsidRPr="009C59E9">
        <w:rPr>
          <w:rFonts w:ascii="Calibri" w:hAnsi="Calibri"/>
          <w:b/>
        </w:rPr>
        <w:t>2.1.</w:t>
      </w:r>
      <w:r w:rsidRPr="009C59E9">
        <w:rPr>
          <w:rFonts w:ascii="Calibri" w:hAnsi="Calibri"/>
        </w:rPr>
        <w:t xml:space="preserve"> Ogólne wymagania dotyczące materiałów</w:t>
      </w:r>
    </w:p>
    <w:p w:rsidR="00F0343D" w:rsidRPr="009C59E9" w:rsidRDefault="00F0343D" w:rsidP="00F0343D">
      <w:pPr>
        <w:rPr>
          <w:rFonts w:ascii="Calibri" w:hAnsi="Calibri"/>
        </w:rPr>
      </w:pPr>
      <w:r w:rsidRPr="009C59E9">
        <w:rPr>
          <w:rFonts w:ascii="Calibri" w:hAnsi="Calibri"/>
        </w:rPr>
        <w:tab/>
        <w:t>Ogólne wymagania dotyczące materiałów, ich pozyskiwania i składowania, podano w  ST D-M-00.00.00 „Wymagania ogólne” pkt 2.</w:t>
      </w:r>
    </w:p>
    <w:p w:rsidR="00F0343D" w:rsidRPr="009C59E9" w:rsidRDefault="00F0343D" w:rsidP="00F0343D">
      <w:pPr>
        <w:rPr>
          <w:rFonts w:ascii="Calibri" w:hAnsi="Calibri"/>
        </w:rPr>
      </w:pPr>
      <w:r w:rsidRPr="009C59E9">
        <w:rPr>
          <w:rFonts w:ascii="Calibri" w:hAnsi="Calibri"/>
          <w:b/>
        </w:rPr>
        <w:t>2.2.</w:t>
      </w:r>
      <w:r w:rsidRPr="009C59E9">
        <w:rPr>
          <w:rFonts w:ascii="Calibri" w:hAnsi="Calibri"/>
        </w:rPr>
        <w:t xml:space="preserve"> Betonowa kostka brukowa - wymagania</w:t>
      </w:r>
    </w:p>
    <w:p w:rsidR="00F0343D" w:rsidRPr="009C59E9" w:rsidRDefault="00F0343D" w:rsidP="00F0343D">
      <w:pPr>
        <w:rPr>
          <w:rFonts w:ascii="Calibri" w:hAnsi="Calibri"/>
        </w:rPr>
      </w:pPr>
      <w:r w:rsidRPr="009C59E9">
        <w:rPr>
          <w:rFonts w:ascii="Calibri" w:hAnsi="Calibri"/>
          <w:b/>
        </w:rPr>
        <w:t>2.2.1.</w:t>
      </w:r>
      <w:r w:rsidRPr="009C59E9">
        <w:rPr>
          <w:rFonts w:ascii="Calibri" w:hAnsi="Calibri"/>
        </w:rPr>
        <w:t xml:space="preserve"> Aprobata techniczna</w:t>
      </w:r>
    </w:p>
    <w:p w:rsidR="00F0343D" w:rsidRPr="009C59E9" w:rsidRDefault="00F0343D" w:rsidP="00F0343D">
      <w:pPr>
        <w:rPr>
          <w:rFonts w:ascii="Calibri" w:hAnsi="Calibri"/>
        </w:rPr>
      </w:pPr>
      <w:r w:rsidRPr="009C59E9">
        <w:rPr>
          <w:rFonts w:ascii="Calibri" w:hAnsi="Calibri"/>
        </w:rPr>
        <w:tab/>
        <w:t>Warunkiem dopuszczenia do stosowania betonowej kostki brukowej w budownictwie drogowym jest posiadanie aprobaty technicznej, wydanej przez uprawnioną jednostkę.</w:t>
      </w:r>
    </w:p>
    <w:p w:rsidR="00F0343D" w:rsidRPr="009C59E9" w:rsidRDefault="00F0343D" w:rsidP="00F0343D">
      <w:pPr>
        <w:rPr>
          <w:rFonts w:ascii="Calibri" w:hAnsi="Calibri"/>
        </w:rPr>
      </w:pPr>
      <w:r w:rsidRPr="009C59E9">
        <w:rPr>
          <w:rFonts w:ascii="Calibri" w:hAnsi="Calibri"/>
          <w:b/>
        </w:rPr>
        <w:t>2.2.2.</w:t>
      </w:r>
      <w:r w:rsidRPr="009C59E9">
        <w:rPr>
          <w:rFonts w:ascii="Calibri" w:hAnsi="Calibri"/>
        </w:rPr>
        <w:t xml:space="preserve">  Wygląd zewnętrzny</w:t>
      </w:r>
    </w:p>
    <w:p w:rsidR="00F0343D" w:rsidRPr="009C59E9" w:rsidRDefault="00F0343D" w:rsidP="00F0343D">
      <w:pPr>
        <w:rPr>
          <w:rFonts w:ascii="Calibri" w:hAnsi="Calibri"/>
        </w:rPr>
      </w:pPr>
      <w:r w:rsidRPr="009C59E9">
        <w:rPr>
          <w:rFonts w:ascii="Calibri" w:hAnsi="Calibri"/>
        </w:rPr>
        <w:tab/>
        <w:t>Struktura wyrobu powinna być zwarta, bez rys, pęknięć, plam i ubytków.</w:t>
      </w:r>
    </w:p>
    <w:p w:rsidR="00F0343D" w:rsidRPr="009C59E9" w:rsidRDefault="00F0343D" w:rsidP="00F0343D">
      <w:pPr>
        <w:rPr>
          <w:rFonts w:ascii="Calibri" w:hAnsi="Calibri"/>
        </w:rPr>
      </w:pPr>
      <w:r w:rsidRPr="009C59E9">
        <w:rPr>
          <w:rFonts w:ascii="Calibri" w:hAnsi="Calibri"/>
        </w:rPr>
        <w:tab/>
        <w:t xml:space="preserve">Powierzchnia górna kostek powinna być równa i szorstka, a krawędzie kostek równe i proste, wklęśnięcia nie powinny przekraczać 2 mm dla kostek o grubości </w:t>
      </w:r>
      <w:r w:rsidRPr="009C59E9">
        <w:rPr>
          <w:rFonts w:ascii="Calibri" w:hAnsi="Calibri"/>
        </w:rPr>
        <w:sym w:font="Symbol" w:char="F0A3"/>
      </w:r>
      <w:r w:rsidRPr="009C59E9">
        <w:rPr>
          <w:rFonts w:ascii="Calibri" w:hAnsi="Calibri"/>
        </w:rPr>
        <w:t xml:space="preserve"> 80 mm.</w:t>
      </w:r>
    </w:p>
    <w:p w:rsidR="00F0343D" w:rsidRPr="009C59E9" w:rsidRDefault="00F0343D" w:rsidP="00F0343D">
      <w:pPr>
        <w:rPr>
          <w:rFonts w:ascii="Calibri" w:hAnsi="Calibri"/>
        </w:rPr>
      </w:pPr>
      <w:r w:rsidRPr="009C59E9">
        <w:rPr>
          <w:rFonts w:ascii="Calibri" w:hAnsi="Calibri"/>
          <w:b/>
        </w:rPr>
        <w:t>2.2.3.</w:t>
      </w:r>
      <w:r w:rsidRPr="009C59E9">
        <w:rPr>
          <w:rFonts w:ascii="Calibri" w:hAnsi="Calibri"/>
        </w:rPr>
        <w:t xml:space="preserve"> Kształt, wymiary i kolor kostki brukowej</w:t>
      </w:r>
    </w:p>
    <w:p w:rsidR="00F0343D" w:rsidRPr="009C59E9" w:rsidRDefault="00F0343D" w:rsidP="00F0343D">
      <w:pPr>
        <w:rPr>
          <w:rFonts w:ascii="Calibri" w:hAnsi="Calibri"/>
        </w:rPr>
      </w:pPr>
      <w:r w:rsidRPr="009C59E9">
        <w:rPr>
          <w:rFonts w:ascii="Calibri" w:hAnsi="Calibri"/>
        </w:rPr>
        <w:tab/>
        <w:t>Do wykonania nawierzchni chodnika stosuje się betonową kostkę brukową o grubości 60 mm. Kostki o takiej grubości są produkowane w kraju.</w:t>
      </w:r>
    </w:p>
    <w:p w:rsidR="00F0343D" w:rsidRPr="009C59E9" w:rsidRDefault="00F0343D" w:rsidP="00F0343D">
      <w:pPr>
        <w:rPr>
          <w:rFonts w:ascii="Calibri" w:hAnsi="Calibri"/>
        </w:rPr>
      </w:pPr>
      <w:r w:rsidRPr="009C59E9">
        <w:rPr>
          <w:rFonts w:ascii="Calibri" w:hAnsi="Calibri"/>
        </w:rPr>
        <w:tab/>
        <w:t>Tolerancje wymiarowe wynoszą:</w:t>
      </w:r>
    </w:p>
    <w:p w:rsidR="00F0343D" w:rsidRPr="009C59E9" w:rsidRDefault="00671D68" w:rsidP="00F0343D">
      <w:pPr>
        <w:rPr>
          <w:rFonts w:ascii="Calibri" w:hAnsi="Calibri"/>
        </w:rPr>
      </w:pPr>
      <w:r>
        <w:rPr>
          <w:rFonts w:ascii="Calibri" w:hAnsi="Calibri"/>
        </w:rPr>
        <w:t xml:space="preserve">-na długości </w:t>
      </w:r>
      <w:r w:rsidR="00F0343D" w:rsidRPr="009C59E9">
        <w:rPr>
          <w:rFonts w:ascii="Calibri" w:hAnsi="Calibri"/>
        </w:rPr>
        <w:sym w:font="Symbol" w:char="F0B1"/>
      </w:r>
      <w:r w:rsidR="00F0343D" w:rsidRPr="009C59E9">
        <w:rPr>
          <w:rFonts w:ascii="Calibri" w:hAnsi="Calibri"/>
        </w:rPr>
        <w:t xml:space="preserve"> 3 mm,</w:t>
      </w:r>
    </w:p>
    <w:p w:rsidR="00F0343D" w:rsidRPr="009C59E9" w:rsidRDefault="00671D68" w:rsidP="00F0343D">
      <w:pPr>
        <w:rPr>
          <w:rFonts w:ascii="Calibri" w:hAnsi="Calibri"/>
        </w:rPr>
      </w:pPr>
      <w:r>
        <w:rPr>
          <w:rFonts w:ascii="Calibri" w:hAnsi="Calibri"/>
        </w:rPr>
        <w:t>-</w:t>
      </w:r>
      <w:r w:rsidR="00F0343D" w:rsidRPr="009C59E9">
        <w:rPr>
          <w:rFonts w:ascii="Calibri" w:hAnsi="Calibri"/>
        </w:rPr>
        <w:t>na szerokości</w:t>
      </w:r>
      <w:r>
        <w:rPr>
          <w:rFonts w:ascii="Calibri" w:hAnsi="Calibri"/>
        </w:rPr>
        <w:t xml:space="preserve"> </w:t>
      </w:r>
      <w:r w:rsidR="00F0343D" w:rsidRPr="009C59E9">
        <w:rPr>
          <w:rFonts w:ascii="Calibri" w:hAnsi="Calibri"/>
        </w:rPr>
        <w:sym w:font="Symbol" w:char="F0B1"/>
      </w:r>
      <w:r w:rsidR="00F0343D" w:rsidRPr="009C59E9">
        <w:rPr>
          <w:rFonts w:ascii="Calibri" w:hAnsi="Calibri"/>
        </w:rPr>
        <w:t xml:space="preserve"> 3 mm,</w:t>
      </w:r>
    </w:p>
    <w:p w:rsidR="00F0343D" w:rsidRPr="009C59E9" w:rsidRDefault="00671D68" w:rsidP="00F0343D">
      <w:pPr>
        <w:rPr>
          <w:rFonts w:ascii="Calibri" w:hAnsi="Calibri"/>
        </w:rPr>
      </w:pPr>
      <w:r>
        <w:rPr>
          <w:rFonts w:ascii="Calibri" w:hAnsi="Calibri"/>
        </w:rPr>
        <w:t>-</w:t>
      </w:r>
      <w:r w:rsidR="00F0343D" w:rsidRPr="009C59E9">
        <w:rPr>
          <w:rFonts w:ascii="Calibri" w:hAnsi="Calibri"/>
        </w:rPr>
        <w:t>na grubości</w:t>
      </w:r>
      <w:r>
        <w:rPr>
          <w:rFonts w:ascii="Calibri" w:hAnsi="Calibri"/>
        </w:rPr>
        <w:t xml:space="preserve"> </w:t>
      </w:r>
      <w:r w:rsidR="00F0343D" w:rsidRPr="009C59E9">
        <w:rPr>
          <w:rFonts w:ascii="Calibri" w:hAnsi="Calibri"/>
        </w:rPr>
        <w:sym w:font="Symbol" w:char="F0B1"/>
      </w:r>
      <w:r w:rsidR="00F0343D" w:rsidRPr="009C59E9">
        <w:rPr>
          <w:rFonts w:ascii="Calibri" w:hAnsi="Calibri"/>
        </w:rPr>
        <w:t xml:space="preserve"> 5 mm.</w:t>
      </w:r>
    </w:p>
    <w:p w:rsidR="00F0343D" w:rsidRPr="009C59E9" w:rsidRDefault="00F0343D" w:rsidP="00F0343D">
      <w:pPr>
        <w:rPr>
          <w:rFonts w:ascii="Calibri" w:hAnsi="Calibri"/>
        </w:rPr>
      </w:pPr>
      <w:r w:rsidRPr="009C59E9">
        <w:rPr>
          <w:rFonts w:ascii="Calibri" w:hAnsi="Calibri"/>
        </w:rPr>
        <w:tab/>
        <w:t>Kolory kostek produkowanych aktualnie w kraju to: szary, ceglany, klinkierowy, grafitowy i brązowy.</w:t>
      </w:r>
    </w:p>
    <w:p w:rsidR="00F0343D" w:rsidRPr="009C59E9" w:rsidRDefault="00F0343D" w:rsidP="00F0343D">
      <w:pPr>
        <w:rPr>
          <w:rFonts w:ascii="Calibri" w:hAnsi="Calibri"/>
        </w:rPr>
      </w:pPr>
      <w:r w:rsidRPr="009C59E9">
        <w:rPr>
          <w:rFonts w:ascii="Calibri" w:hAnsi="Calibri"/>
          <w:b/>
        </w:rPr>
        <w:t>2.2.4.</w:t>
      </w:r>
      <w:r w:rsidRPr="009C59E9">
        <w:rPr>
          <w:rFonts w:ascii="Calibri" w:hAnsi="Calibri"/>
        </w:rPr>
        <w:t xml:space="preserve"> Cechy fizykomechaniczne betonowych kostek brukowych</w:t>
      </w:r>
    </w:p>
    <w:p w:rsidR="00F0343D" w:rsidRPr="009C59E9" w:rsidRDefault="00F0343D" w:rsidP="00F0343D">
      <w:pPr>
        <w:rPr>
          <w:rFonts w:ascii="Calibri" w:hAnsi="Calibri"/>
        </w:rPr>
      </w:pPr>
      <w:r w:rsidRPr="009C59E9">
        <w:rPr>
          <w:rFonts w:ascii="Calibri" w:hAnsi="Calibri"/>
        </w:rPr>
        <w:tab/>
        <w:t>Betonowe kostki brukowe powinny mieć cechy fizykomechaniczne określone w tablicy 1.</w:t>
      </w:r>
    </w:p>
    <w:p w:rsidR="00F0343D" w:rsidRPr="009C59E9" w:rsidRDefault="00F0343D" w:rsidP="00F0343D">
      <w:pPr>
        <w:rPr>
          <w:rFonts w:ascii="Calibri" w:hAnsi="Calibri"/>
        </w:rPr>
      </w:pPr>
    </w:p>
    <w:p w:rsidR="00F0343D" w:rsidRPr="009C59E9" w:rsidRDefault="00F0343D" w:rsidP="00AE2508">
      <w:pPr>
        <w:ind w:left="709"/>
        <w:rPr>
          <w:rFonts w:ascii="Calibri" w:hAnsi="Calibri"/>
        </w:rPr>
      </w:pPr>
      <w:r w:rsidRPr="009C59E9">
        <w:rPr>
          <w:rFonts w:ascii="Calibri" w:hAnsi="Calibri"/>
        </w:rPr>
        <w:t>Tablica 1. Cechy fizykomechaniczne betonowych kostek brukowych</w:t>
      </w:r>
    </w:p>
    <w:tbl>
      <w:tblPr>
        <w:tblW w:w="7510" w:type="dxa"/>
        <w:tblInd w:w="779" w:type="dxa"/>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ayout w:type="fixed"/>
        <w:tblCellMar>
          <w:left w:w="70" w:type="dxa"/>
          <w:right w:w="70" w:type="dxa"/>
        </w:tblCellMar>
        <w:tblLook w:val="0000"/>
      </w:tblPr>
      <w:tblGrid>
        <w:gridCol w:w="496"/>
        <w:gridCol w:w="5811"/>
        <w:gridCol w:w="1203"/>
      </w:tblGrid>
      <w:tr w:rsidR="00F0343D" w:rsidRPr="009C59E9" w:rsidTr="00AE2508">
        <w:tc>
          <w:tcPr>
            <w:tcW w:w="496" w:type="dxa"/>
            <w:tcBorders>
              <w:bottom w:val="double" w:sz="6" w:space="0" w:color="auto"/>
            </w:tcBorders>
          </w:tcPr>
          <w:p w:rsidR="00F0343D" w:rsidRPr="009C59E9" w:rsidRDefault="00F0343D" w:rsidP="00F0343D">
            <w:pPr>
              <w:jc w:val="center"/>
              <w:rPr>
                <w:rFonts w:ascii="Calibri" w:hAnsi="Calibri"/>
                <w:b/>
                <w:sz w:val="18"/>
                <w:szCs w:val="18"/>
              </w:rPr>
            </w:pPr>
            <w:r w:rsidRPr="009C59E9">
              <w:rPr>
                <w:rFonts w:ascii="Calibri" w:hAnsi="Calibri"/>
                <w:b/>
                <w:sz w:val="18"/>
                <w:szCs w:val="18"/>
              </w:rPr>
              <w:t>Lp.</w:t>
            </w:r>
          </w:p>
        </w:tc>
        <w:tc>
          <w:tcPr>
            <w:tcW w:w="5811" w:type="dxa"/>
            <w:tcBorders>
              <w:bottom w:val="double" w:sz="6" w:space="0" w:color="auto"/>
            </w:tcBorders>
          </w:tcPr>
          <w:p w:rsidR="00F0343D" w:rsidRPr="009C59E9" w:rsidRDefault="00F0343D" w:rsidP="00F0343D">
            <w:pPr>
              <w:jc w:val="center"/>
              <w:rPr>
                <w:rFonts w:ascii="Calibri" w:hAnsi="Calibri"/>
                <w:b/>
                <w:sz w:val="18"/>
                <w:szCs w:val="18"/>
              </w:rPr>
            </w:pPr>
            <w:r w:rsidRPr="009C59E9">
              <w:rPr>
                <w:rFonts w:ascii="Calibri" w:hAnsi="Calibri"/>
                <w:b/>
                <w:sz w:val="18"/>
                <w:szCs w:val="18"/>
              </w:rPr>
              <w:t>Cechy</w:t>
            </w:r>
          </w:p>
        </w:tc>
        <w:tc>
          <w:tcPr>
            <w:tcW w:w="1203" w:type="dxa"/>
            <w:tcBorders>
              <w:bottom w:val="double" w:sz="6" w:space="0" w:color="auto"/>
            </w:tcBorders>
          </w:tcPr>
          <w:p w:rsidR="00F0343D" w:rsidRPr="009C59E9" w:rsidRDefault="00F0343D" w:rsidP="00F0343D">
            <w:pPr>
              <w:jc w:val="center"/>
              <w:rPr>
                <w:rFonts w:ascii="Calibri" w:hAnsi="Calibri"/>
                <w:b/>
                <w:sz w:val="18"/>
                <w:szCs w:val="18"/>
              </w:rPr>
            </w:pPr>
            <w:r w:rsidRPr="009C59E9">
              <w:rPr>
                <w:rFonts w:ascii="Calibri" w:hAnsi="Calibri"/>
                <w:b/>
                <w:sz w:val="18"/>
                <w:szCs w:val="18"/>
              </w:rPr>
              <w:t>Wartość</w:t>
            </w:r>
          </w:p>
        </w:tc>
      </w:tr>
      <w:tr w:rsidR="00F0343D" w:rsidRPr="009C59E9" w:rsidTr="00AE2508">
        <w:tc>
          <w:tcPr>
            <w:tcW w:w="496" w:type="dxa"/>
            <w:tcBorders>
              <w:top w:val="nil"/>
            </w:tcBorders>
          </w:tcPr>
          <w:p w:rsidR="00F0343D" w:rsidRPr="009C59E9" w:rsidRDefault="00F0343D" w:rsidP="00F0343D">
            <w:pPr>
              <w:jc w:val="center"/>
              <w:rPr>
                <w:rFonts w:ascii="Calibri" w:hAnsi="Calibri"/>
                <w:sz w:val="18"/>
                <w:szCs w:val="18"/>
              </w:rPr>
            </w:pPr>
            <w:r w:rsidRPr="009C59E9">
              <w:rPr>
                <w:rFonts w:ascii="Calibri" w:hAnsi="Calibri"/>
                <w:sz w:val="18"/>
                <w:szCs w:val="18"/>
              </w:rPr>
              <w:t>1</w:t>
            </w:r>
          </w:p>
        </w:tc>
        <w:tc>
          <w:tcPr>
            <w:tcW w:w="5811" w:type="dxa"/>
            <w:tcBorders>
              <w:top w:val="nil"/>
            </w:tcBorders>
          </w:tcPr>
          <w:p w:rsidR="00F0343D" w:rsidRPr="009C59E9" w:rsidRDefault="00F0343D" w:rsidP="00F0343D">
            <w:pPr>
              <w:rPr>
                <w:rFonts w:ascii="Calibri" w:hAnsi="Calibri"/>
                <w:sz w:val="18"/>
                <w:szCs w:val="18"/>
              </w:rPr>
            </w:pPr>
            <w:r w:rsidRPr="009C59E9">
              <w:rPr>
                <w:rFonts w:ascii="Calibri" w:hAnsi="Calibri"/>
                <w:sz w:val="18"/>
                <w:szCs w:val="18"/>
              </w:rPr>
              <w:t>Wytrzymałość na ściskanie po 28 dniach, MPa, co najmniej</w:t>
            </w:r>
          </w:p>
          <w:p w:rsidR="00F0343D" w:rsidRPr="009C59E9" w:rsidRDefault="00F0343D" w:rsidP="00F0343D">
            <w:pPr>
              <w:rPr>
                <w:rFonts w:ascii="Calibri" w:hAnsi="Calibri"/>
                <w:sz w:val="18"/>
                <w:szCs w:val="18"/>
              </w:rPr>
            </w:pPr>
            <w:r w:rsidRPr="009C59E9">
              <w:rPr>
                <w:rFonts w:ascii="Calibri" w:hAnsi="Calibri"/>
                <w:sz w:val="18"/>
                <w:szCs w:val="18"/>
              </w:rPr>
              <w:t>a) średnia z sześciu kostek</w:t>
            </w:r>
          </w:p>
          <w:p w:rsidR="00F0343D" w:rsidRPr="009C59E9" w:rsidRDefault="00F0343D" w:rsidP="00F0343D">
            <w:pPr>
              <w:rPr>
                <w:rFonts w:ascii="Calibri" w:hAnsi="Calibri"/>
                <w:sz w:val="18"/>
                <w:szCs w:val="18"/>
              </w:rPr>
            </w:pPr>
            <w:r w:rsidRPr="009C59E9">
              <w:rPr>
                <w:rFonts w:ascii="Calibri" w:hAnsi="Calibri"/>
                <w:sz w:val="18"/>
                <w:szCs w:val="18"/>
              </w:rPr>
              <w:t>b) najmniejsza pojedynczej kostki</w:t>
            </w:r>
          </w:p>
        </w:tc>
        <w:tc>
          <w:tcPr>
            <w:tcW w:w="1203" w:type="dxa"/>
            <w:tcBorders>
              <w:top w:val="nil"/>
            </w:tcBorders>
          </w:tcPr>
          <w:p w:rsidR="00F0343D" w:rsidRPr="009C59E9" w:rsidRDefault="00F0343D" w:rsidP="00F0343D">
            <w:pPr>
              <w:rPr>
                <w:rFonts w:ascii="Calibri" w:hAnsi="Calibri"/>
                <w:sz w:val="18"/>
                <w:szCs w:val="18"/>
              </w:rPr>
            </w:pPr>
          </w:p>
          <w:p w:rsidR="00F0343D" w:rsidRPr="009C59E9" w:rsidRDefault="00F0343D" w:rsidP="00F0343D">
            <w:pPr>
              <w:rPr>
                <w:rFonts w:ascii="Calibri" w:hAnsi="Calibri"/>
                <w:sz w:val="18"/>
                <w:szCs w:val="18"/>
              </w:rPr>
            </w:pPr>
            <w:r w:rsidRPr="009C59E9">
              <w:rPr>
                <w:rFonts w:ascii="Calibri" w:hAnsi="Calibri"/>
                <w:sz w:val="18"/>
                <w:szCs w:val="18"/>
              </w:rPr>
              <w:t>60</w:t>
            </w:r>
          </w:p>
          <w:p w:rsidR="00F0343D" w:rsidRPr="009C59E9" w:rsidRDefault="00F0343D" w:rsidP="00F0343D">
            <w:pPr>
              <w:rPr>
                <w:rFonts w:ascii="Calibri" w:hAnsi="Calibri"/>
                <w:sz w:val="18"/>
                <w:szCs w:val="18"/>
              </w:rPr>
            </w:pPr>
            <w:r w:rsidRPr="009C59E9">
              <w:rPr>
                <w:rFonts w:ascii="Calibri" w:hAnsi="Calibri"/>
                <w:sz w:val="18"/>
                <w:szCs w:val="18"/>
              </w:rPr>
              <w:t>50</w:t>
            </w:r>
          </w:p>
        </w:tc>
      </w:tr>
      <w:tr w:rsidR="00F0343D" w:rsidRPr="009C59E9" w:rsidTr="00AE2508">
        <w:tc>
          <w:tcPr>
            <w:tcW w:w="496" w:type="dxa"/>
          </w:tcPr>
          <w:p w:rsidR="00F0343D" w:rsidRPr="009C59E9" w:rsidRDefault="00F0343D" w:rsidP="00F0343D">
            <w:pPr>
              <w:jc w:val="center"/>
              <w:rPr>
                <w:rFonts w:ascii="Calibri" w:hAnsi="Calibri"/>
                <w:sz w:val="18"/>
                <w:szCs w:val="18"/>
              </w:rPr>
            </w:pPr>
            <w:r w:rsidRPr="009C59E9">
              <w:rPr>
                <w:rFonts w:ascii="Calibri" w:hAnsi="Calibri"/>
                <w:sz w:val="18"/>
                <w:szCs w:val="18"/>
              </w:rPr>
              <w:t>2</w:t>
            </w:r>
          </w:p>
        </w:tc>
        <w:tc>
          <w:tcPr>
            <w:tcW w:w="5811" w:type="dxa"/>
          </w:tcPr>
          <w:p w:rsidR="00F0343D" w:rsidRPr="009C59E9" w:rsidRDefault="00F0343D" w:rsidP="00F0343D">
            <w:pPr>
              <w:rPr>
                <w:rFonts w:ascii="Calibri" w:hAnsi="Calibri"/>
                <w:sz w:val="18"/>
                <w:szCs w:val="18"/>
              </w:rPr>
            </w:pPr>
            <w:r w:rsidRPr="009C59E9">
              <w:rPr>
                <w:rFonts w:ascii="Calibri" w:hAnsi="Calibri"/>
                <w:sz w:val="18"/>
                <w:szCs w:val="18"/>
              </w:rPr>
              <w:t>Nasiąkliwość wodą wg PN-B-06250 , %, nie więcej niż</w:t>
            </w:r>
          </w:p>
        </w:tc>
        <w:tc>
          <w:tcPr>
            <w:tcW w:w="1203" w:type="dxa"/>
          </w:tcPr>
          <w:p w:rsidR="00F0343D" w:rsidRPr="009C59E9" w:rsidRDefault="00F0343D" w:rsidP="00F0343D">
            <w:pPr>
              <w:rPr>
                <w:rFonts w:ascii="Calibri" w:hAnsi="Calibri"/>
                <w:sz w:val="18"/>
                <w:szCs w:val="18"/>
              </w:rPr>
            </w:pPr>
            <w:r w:rsidRPr="009C59E9">
              <w:rPr>
                <w:rFonts w:ascii="Calibri" w:hAnsi="Calibri"/>
                <w:sz w:val="18"/>
                <w:szCs w:val="18"/>
              </w:rPr>
              <w:t>5</w:t>
            </w:r>
          </w:p>
        </w:tc>
      </w:tr>
      <w:tr w:rsidR="00F0343D" w:rsidRPr="009C59E9" w:rsidTr="00AE2508">
        <w:tc>
          <w:tcPr>
            <w:tcW w:w="496" w:type="dxa"/>
          </w:tcPr>
          <w:p w:rsidR="00F0343D" w:rsidRPr="009C59E9" w:rsidRDefault="00F0343D" w:rsidP="00F0343D">
            <w:pPr>
              <w:jc w:val="center"/>
              <w:rPr>
                <w:rFonts w:ascii="Calibri" w:hAnsi="Calibri"/>
                <w:sz w:val="18"/>
                <w:szCs w:val="18"/>
              </w:rPr>
            </w:pPr>
            <w:r w:rsidRPr="009C59E9">
              <w:rPr>
                <w:rFonts w:ascii="Calibri" w:hAnsi="Calibri"/>
                <w:sz w:val="18"/>
                <w:szCs w:val="18"/>
              </w:rPr>
              <w:t>3</w:t>
            </w:r>
          </w:p>
        </w:tc>
        <w:tc>
          <w:tcPr>
            <w:tcW w:w="5811" w:type="dxa"/>
          </w:tcPr>
          <w:p w:rsidR="00F0343D" w:rsidRPr="009C59E9" w:rsidRDefault="00F0343D" w:rsidP="00F0343D">
            <w:pPr>
              <w:rPr>
                <w:rFonts w:ascii="Calibri" w:hAnsi="Calibri"/>
                <w:sz w:val="18"/>
                <w:szCs w:val="18"/>
              </w:rPr>
            </w:pPr>
            <w:r w:rsidRPr="009C59E9">
              <w:rPr>
                <w:rFonts w:ascii="Calibri" w:hAnsi="Calibri"/>
                <w:sz w:val="18"/>
                <w:szCs w:val="18"/>
              </w:rPr>
              <w:t>Odporność na zamrażanie, po 50 cyklach zamrażania, wg PN-B-06250:</w:t>
            </w:r>
          </w:p>
          <w:p w:rsidR="00F0343D" w:rsidRPr="009C59E9" w:rsidRDefault="00F0343D" w:rsidP="00F0343D">
            <w:pPr>
              <w:rPr>
                <w:rFonts w:ascii="Calibri" w:hAnsi="Calibri"/>
                <w:sz w:val="18"/>
                <w:szCs w:val="18"/>
              </w:rPr>
            </w:pPr>
            <w:r w:rsidRPr="009C59E9">
              <w:rPr>
                <w:rFonts w:ascii="Calibri" w:hAnsi="Calibri"/>
                <w:sz w:val="18"/>
                <w:szCs w:val="18"/>
              </w:rPr>
              <w:t>a) pęknięcia próbki</w:t>
            </w:r>
          </w:p>
          <w:p w:rsidR="00F0343D" w:rsidRPr="009C59E9" w:rsidRDefault="00F0343D" w:rsidP="00F0343D">
            <w:pPr>
              <w:rPr>
                <w:rFonts w:ascii="Calibri" w:hAnsi="Calibri"/>
                <w:sz w:val="18"/>
                <w:szCs w:val="18"/>
              </w:rPr>
            </w:pPr>
            <w:r w:rsidRPr="009C59E9">
              <w:rPr>
                <w:rFonts w:ascii="Calibri" w:hAnsi="Calibri"/>
                <w:sz w:val="18"/>
                <w:szCs w:val="18"/>
              </w:rPr>
              <w:t>b) strata masy, %, nie więcej niż</w:t>
            </w:r>
          </w:p>
          <w:p w:rsidR="00F0343D" w:rsidRPr="009C59E9" w:rsidRDefault="00F0343D" w:rsidP="00F0343D">
            <w:pPr>
              <w:rPr>
                <w:rFonts w:ascii="Calibri" w:hAnsi="Calibri"/>
                <w:sz w:val="18"/>
                <w:szCs w:val="18"/>
              </w:rPr>
            </w:pPr>
            <w:r w:rsidRPr="009C59E9">
              <w:rPr>
                <w:rFonts w:ascii="Calibri" w:hAnsi="Calibri"/>
                <w:sz w:val="18"/>
                <w:szCs w:val="18"/>
              </w:rPr>
              <w:t>c) obniżenie wytrzymałości na ściskanie w stosunku do wytrzymałości próbek nie zamrażanych, %, nie więcej niż</w:t>
            </w:r>
          </w:p>
        </w:tc>
        <w:tc>
          <w:tcPr>
            <w:tcW w:w="1203" w:type="dxa"/>
          </w:tcPr>
          <w:p w:rsidR="00F0343D" w:rsidRPr="009C59E9" w:rsidRDefault="00F0343D" w:rsidP="00F0343D">
            <w:pPr>
              <w:rPr>
                <w:rFonts w:ascii="Calibri" w:hAnsi="Calibri"/>
                <w:sz w:val="18"/>
                <w:szCs w:val="18"/>
              </w:rPr>
            </w:pPr>
          </w:p>
          <w:p w:rsidR="00F0343D" w:rsidRPr="009C59E9" w:rsidRDefault="00F0343D" w:rsidP="00F0343D">
            <w:pPr>
              <w:rPr>
                <w:rFonts w:ascii="Calibri" w:hAnsi="Calibri"/>
                <w:sz w:val="18"/>
                <w:szCs w:val="18"/>
              </w:rPr>
            </w:pPr>
            <w:r w:rsidRPr="009C59E9">
              <w:rPr>
                <w:rFonts w:ascii="Calibri" w:hAnsi="Calibri"/>
                <w:sz w:val="18"/>
                <w:szCs w:val="18"/>
              </w:rPr>
              <w:t>brak</w:t>
            </w:r>
          </w:p>
          <w:p w:rsidR="00F0343D" w:rsidRPr="009C59E9" w:rsidRDefault="00F0343D" w:rsidP="00F0343D">
            <w:pPr>
              <w:rPr>
                <w:rFonts w:ascii="Calibri" w:hAnsi="Calibri"/>
                <w:sz w:val="18"/>
                <w:szCs w:val="18"/>
              </w:rPr>
            </w:pPr>
            <w:r w:rsidRPr="009C59E9">
              <w:rPr>
                <w:rFonts w:ascii="Calibri" w:hAnsi="Calibri"/>
                <w:sz w:val="18"/>
                <w:szCs w:val="18"/>
              </w:rPr>
              <w:t>5</w:t>
            </w:r>
          </w:p>
          <w:p w:rsidR="00F0343D" w:rsidRPr="009C59E9" w:rsidRDefault="00F0343D" w:rsidP="00F0343D">
            <w:pPr>
              <w:rPr>
                <w:rFonts w:ascii="Calibri" w:hAnsi="Calibri"/>
                <w:sz w:val="18"/>
                <w:szCs w:val="18"/>
              </w:rPr>
            </w:pPr>
          </w:p>
          <w:p w:rsidR="00F0343D" w:rsidRPr="009C59E9" w:rsidRDefault="00F0343D" w:rsidP="00F0343D">
            <w:pPr>
              <w:rPr>
                <w:rFonts w:ascii="Calibri" w:hAnsi="Calibri"/>
                <w:sz w:val="18"/>
                <w:szCs w:val="18"/>
              </w:rPr>
            </w:pPr>
            <w:r w:rsidRPr="009C59E9">
              <w:rPr>
                <w:rFonts w:ascii="Calibri" w:hAnsi="Calibri"/>
                <w:sz w:val="18"/>
                <w:szCs w:val="18"/>
              </w:rPr>
              <w:t>20</w:t>
            </w:r>
          </w:p>
        </w:tc>
      </w:tr>
      <w:tr w:rsidR="00F0343D" w:rsidRPr="009C59E9" w:rsidTr="00AE2508">
        <w:tc>
          <w:tcPr>
            <w:tcW w:w="496" w:type="dxa"/>
          </w:tcPr>
          <w:p w:rsidR="00F0343D" w:rsidRPr="009C59E9" w:rsidRDefault="00F0343D" w:rsidP="00F0343D">
            <w:pPr>
              <w:jc w:val="center"/>
              <w:rPr>
                <w:rFonts w:ascii="Calibri" w:hAnsi="Calibri"/>
                <w:sz w:val="18"/>
                <w:szCs w:val="18"/>
              </w:rPr>
            </w:pPr>
            <w:r w:rsidRPr="009C59E9">
              <w:rPr>
                <w:rFonts w:ascii="Calibri" w:hAnsi="Calibri"/>
                <w:sz w:val="18"/>
                <w:szCs w:val="18"/>
              </w:rPr>
              <w:t>4</w:t>
            </w:r>
          </w:p>
        </w:tc>
        <w:tc>
          <w:tcPr>
            <w:tcW w:w="5811" w:type="dxa"/>
          </w:tcPr>
          <w:p w:rsidR="00F0343D" w:rsidRPr="009C59E9" w:rsidRDefault="00F0343D" w:rsidP="00F0343D">
            <w:pPr>
              <w:rPr>
                <w:rFonts w:ascii="Calibri" w:hAnsi="Calibri"/>
                <w:sz w:val="18"/>
                <w:szCs w:val="18"/>
              </w:rPr>
            </w:pPr>
            <w:r w:rsidRPr="009C59E9">
              <w:rPr>
                <w:rFonts w:ascii="Calibri" w:hAnsi="Calibri"/>
                <w:sz w:val="18"/>
                <w:szCs w:val="18"/>
              </w:rPr>
              <w:t>Ścieralność na tarczy Boehmego wg PN-B-04111, mm, nie więcej niż</w:t>
            </w:r>
          </w:p>
        </w:tc>
        <w:tc>
          <w:tcPr>
            <w:tcW w:w="1203" w:type="dxa"/>
          </w:tcPr>
          <w:p w:rsidR="00F0343D" w:rsidRPr="009C59E9" w:rsidRDefault="00F0343D" w:rsidP="00F0343D">
            <w:pPr>
              <w:rPr>
                <w:rFonts w:ascii="Calibri" w:hAnsi="Calibri"/>
                <w:sz w:val="18"/>
                <w:szCs w:val="18"/>
              </w:rPr>
            </w:pPr>
            <w:r w:rsidRPr="009C59E9">
              <w:rPr>
                <w:rFonts w:ascii="Calibri" w:hAnsi="Calibri"/>
                <w:sz w:val="18"/>
                <w:szCs w:val="18"/>
              </w:rPr>
              <w:t>4</w:t>
            </w:r>
          </w:p>
        </w:tc>
      </w:tr>
    </w:tbl>
    <w:p w:rsidR="00F0343D" w:rsidRPr="009C59E9" w:rsidRDefault="00F0343D" w:rsidP="00F0343D">
      <w:pPr>
        <w:rPr>
          <w:rFonts w:ascii="Calibri" w:hAnsi="Calibri"/>
        </w:rPr>
      </w:pPr>
    </w:p>
    <w:p w:rsidR="00671D68" w:rsidRDefault="00671D68" w:rsidP="00F0343D">
      <w:pPr>
        <w:rPr>
          <w:rFonts w:ascii="Calibri" w:hAnsi="Calibri"/>
          <w:b/>
        </w:rPr>
      </w:pPr>
    </w:p>
    <w:p w:rsidR="00F0343D" w:rsidRPr="009C59E9" w:rsidRDefault="00F0343D" w:rsidP="00F0343D">
      <w:pPr>
        <w:rPr>
          <w:rFonts w:ascii="Calibri" w:hAnsi="Calibri"/>
        </w:rPr>
      </w:pPr>
      <w:r w:rsidRPr="009C59E9">
        <w:rPr>
          <w:rFonts w:ascii="Calibri" w:hAnsi="Calibri"/>
          <w:b/>
        </w:rPr>
        <w:lastRenderedPageBreak/>
        <w:t>2.3.</w:t>
      </w:r>
      <w:r w:rsidRPr="009C59E9">
        <w:rPr>
          <w:rFonts w:ascii="Calibri" w:hAnsi="Calibri"/>
        </w:rPr>
        <w:t xml:space="preserve"> Materiały do produkcji betonowych kostek brukowych</w:t>
      </w:r>
    </w:p>
    <w:p w:rsidR="00F0343D" w:rsidRPr="009C59E9" w:rsidRDefault="00F0343D" w:rsidP="00F0343D">
      <w:pPr>
        <w:rPr>
          <w:rFonts w:ascii="Calibri" w:hAnsi="Calibri"/>
        </w:rPr>
      </w:pPr>
      <w:r w:rsidRPr="009C59E9">
        <w:rPr>
          <w:rFonts w:ascii="Calibri" w:hAnsi="Calibri"/>
          <w:b/>
        </w:rPr>
        <w:t>2.3.1.</w:t>
      </w:r>
      <w:r w:rsidRPr="009C59E9">
        <w:rPr>
          <w:rFonts w:ascii="Calibri" w:hAnsi="Calibri"/>
        </w:rPr>
        <w:t xml:space="preserve"> Cement</w:t>
      </w:r>
    </w:p>
    <w:p w:rsidR="00F0343D" w:rsidRPr="009C59E9" w:rsidRDefault="00F0343D" w:rsidP="00F0343D">
      <w:pPr>
        <w:rPr>
          <w:rFonts w:ascii="Calibri" w:hAnsi="Calibri"/>
        </w:rPr>
      </w:pPr>
      <w:r w:rsidRPr="009C59E9">
        <w:rPr>
          <w:rFonts w:ascii="Calibri" w:hAnsi="Calibri"/>
        </w:rPr>
        <w:tab/>
        <w:t>Do produkcji kostki brukowej należy stosować cement portlandzki, bez dodatków,   klasy nie niższej niż „32,5”. Zaleca się stosowanie cementu o jasnym kolorze. Cement powinien odpowiadać wymaganiom PN-B-19701.</w:t>
      </w:r>
    </w:p>
    <w:p w:rsidR="00F0343D" w:rsidRPr="009C59E9" w:rsidRDefault="00F0343D" w:rsidP="00F0343D">
      <w:pPr>
        <w:rPr>
          <w:rFonts w:ascii="Calibri" w:hAnsi="Calibri"/>
        </w:rPr>
      </w:pPr>
      <w:r w:rsidRPr="009C59E9">
        <w:rPr>
          <w:rFonts w:ascii="Calibri" w:hAnsi="Calibri"/>
          <w:b/>
        </w:rPr>
        <w:t>2.3.2.</w:t>
      </w:r>
      <w:r w:rsidRPr="009C59E9">
        <w:rPr>
          <w:rFonts w:ascii="Calibri" w:hAnsi="Calibri"/>
        </w:rPr>
        <w:t xml:space="preserve">  Kruszywo do betonu</w:t>
      </w:r>
    </w:p>
    <w:p w:rsidR="00F0343D" w:rsidRPr="009C59E9" w:rsidRDefault="00F0343D" w:rsidP="00F0343D">
      <w:pPr>
        <w:rPr>
          <w:rFonts w:ascii="Calibri" w:hAnsi="Calibri"/>
        </w:rPr>
      </w:pPr>
      <w:r w:rsidRPr="009C59E9">
        <w:rPr>
          <w:rFonts w:ascii="Calibri" w:hAnsi="Calibri"/>
        </w:rPr>
        <w:tab/>
        <w:t>Należy stosować kruszywa mineralne  odpowiadające wymaganiom PN-B-06712.</w:t>
      </w:r>
    </w:p>
    <w:p w:rsidR="00F0343D" w:rsidRPr="009C59E9" w:rsidRDefault="00F0343D" w:rsidP="00F0343D">
      <w:pPr>
        <w:rPr>
          <w:rFonts w:ascii="Calibri" w:hAnsi="Calibri"/>
        </w:rPr>
      </w:pPr>
      <w:r w:rsidRPr="009C59E9">
        <w:rPr>
          <w:rFonts w:ascii="Calibri" w:hAnsi="Calibri"/>
        </w:rPr>
        <w:tab/>
        <w:t>Uziarnienie kruszywa powinno być ustalone w recepcie laboratoryjnej mieszanki betonowej, przy założonych parametrach wymaganych dla produkowanego wyrobu.</w:t>
      </w:r>
    </w:p>
    <w:p w:rsidR="00F0343D" w:rsidRPr="009C59E9" w:rsidRDefault="00F0343D" w:rsidP="00F0343D">
      <w:pPr>
        <w:rPr>
          <w:rFonts w:ascii="Calibri" w:hAnsi="Calibri"/>
        </w:rPr>
      </w:pPr>
      <w:r w:rsidRPr="009C59E9">
        <w:rPr>
          <w:rFonts w:ascii="Calibri" w:hAnsi="Calibri"/>
          <w:b/>
        </w:rPr>
        <w:t>2.3.3.</w:t>
      </w:r>
      <w:r w:rsidRPr="009C59E9">
        <w:rPr>
          <w:rFonts w:ascii="Calibri" w:hAnsi="Calibri"/>
        </w:rPr>
        <w:t xml:space="preserve"> Woda</w:t>
      </w:r>
    </w:p>
    <w:p w:rsidR="00F0343D" w:rsidRPr="009C59E9" w:rsidRDefault="00F0343D" w:rsidP="00F0343D">
      <w:pPr>
        <w:rPr>
          <w:rFonts w:ascii="Calibri" w:hAnsi="Calibri"/>
        </w:rPr>
      </w:pPr>
      <w:r w:rsidRPr="009C59E9">
        <w:rPr>
          <w:rFonts w:ascii="Calibri" w:hAnsi="Calibri"/>
        </w:rPr>
        <w:tab/>
        <w:t>Woda powinna być odmiany „1” i odpowiadać wymaganiom PN-B-32250.</w:t>
      </w:r>
    </w:p>
    <w:p w:rsidR="00F0343D" w:rsidRPr="009C59E9" w:rsidRDefault="00F0343D" w:rsidP="00F0343D">
      <w:pPr>
        <w:rPr>
          <w:rFonts w:ascii="Calibri" w:hAnsi="Calibri"/>
        </w:rPr>
      </w:pPr>
      <w:r w:rsidRPr="009C59E9">
        <w:rPr>
          <w:rFonts w:ascii="Calibri" w:hAnsi="Calibri"/>
          <w:b/>
        </w:rPr>
        <w:t>2.3.4.</w:t>
      </w:r>
      <w:r w:rsidRPr="009C59E9">
        <w:rPr>
          <w:rFonts w:ascii="Calibri" w:hAnsi="Calibri"/>
        </w:rPr>
        <w:t xml:space="preserve"> Dodatki</w:t>
      </w:r>
    </w:p>
    <w:p w:rsidR="00F0343D" w:rsidRPr="009C59E9" w:rsidRDefault="00F0343D" w:rsidP="00F0343D">
      <w:pPr>
        <w:rPr>
          <w:rFonts w:ascii="Calibri" w:hAnsi="Calibri"/>
        </w:rPr>
      </w:pPr>
      <w:r w:rsidRPr="009C59E9">
        <w:rPr>
          <w:rFonts w:ascii="Calibri" w:hAnsi="Calibri"/>
        </w:rPr>
        <w:tab/>
        <w:t>Do produkcji kostek brukowych stosuje się dodatki w postaci plastyfikatorów i barwników, zgodnie z receptą laboratoryjną.</w:t>
      </w:r>
    </w:p>
    <w:p w:rsidR="00F0343D" w:rsidRPr="009C59E9" w:rsidRDefault="00F0343D" w:rsidP="00F0343D">
      <w:pPr>
        <w:rPr>
          <w:rFonts w:ascii="Calibri" w:hAnsi="Calibri"/>
        </w:rPr>
      </w:pPr>
      <w:r w:rsidRPr="009C59E9">
        <w:rPr>
          <w:rFonts w:ascii="Calibri" w:hAnsi="Calibri"/>
        </w:rPr>
        <w:tab/>
        <w:t>Plastyfikatory zapewniają gotowym wyrobom większą wytrzymałość, mniejszą nasiąkliwość i większą odporność na niskie temperatury i działanie soli.</w:t>
      </w:r>
    </w:p>
    <w:p w:rsidR="00F0343D" w:rsidRPr="009C59E9" w:rsidRDefault="00F0343D" w:rsidP="00F0343D">
      <w:pPr>
        <w:rPr>
          <w:rFonts w:ascii="Calibri" w:hAnsi="Calibri"/>
        </w:rPr>
      </w:pPr>
      <w:r w:rsidRPr="009C59E9">
        <w:rPr>
          <w:rFonts w:ascii="Calibri" w:hAnsi="Calibri"/>
        </w:rPr>
        <w:tab/>
        <w:t>Stosowane barwniki powinny zapewnić kostce trwałe wybarwienie. Powinny to być barwniki nieorganiczne.</w:t>
      </w:r>
    </w:p>
    <w:p w:rsidR="00F0343D" w:rsidRPr="009C59E9" w:rsidRDefault="00F0343D" w:rsidP="00F0343D">
      <w:pPr>
        <w:rPr>
          <w:rFonts w:ascii="Calibri" w:hAnsi="Calibri"/>
        </w:rPr>
      </w:pPr>
    </w:p>
    <w:p w:rsidR="00F0343D" w:rsidRPr="009C59E9" w:rsidRDefault="00F0343D" w:rsidP="00F0343D">
      <w:pPr>
        <w:rPr>
          <w:rFonts w:ascii="Calibri" w:hAnsi="Calibri"/>
          <w:b/>
        </w:rPr>
      </w:pPr>
      <w:r w:rsidRPr="009C59E9">
        <w:rPr>
          <w:rFonts w:ascii="Calibri" w:hAnsi="Calibri"/>
          <w:b/>
        </w:rPr>
        <w:t>3. SPRZĘT</w:t>
      </w:r>
    </w:p>
    <w:p w:rsidR="00F0343D" w:rsidRPr="009C59E9" w:rsidRDefault="00F0343D" w:rsidP="00F0343D">
      <w:pPr>
        <w:rPr>
          <w:rFonts w:ascii="Calibri" w:hAnsi="Calibri"/>
        </w:rPr>
      </w:pPr>
      <w:r w:rsidRPr="009C59E9">
        <w:rPr>
          <w:rFonts w:ascii="Calibri" w:hAnsi="Calibri"/>
          <w:b/>
        </w:rPr>
        <w:t>3.1.</w:t>
      </w:r>
      <w:r w:rsidRPr="009C59E9">
        <w:rPr>
          <w:rFonts w:ascii="Calibri" w:hAnsi="Calibri"/>
        </w:rPr>
        <w:t xml:space="preserve"> Ogólne wymagania dotyczące sprzętu</w:t>
      </w:r>
    </w:p>
    <w:p w:rsidR="00F0343D" w:rsidRPr="009C59E9" w:rsidRDefault="00F0343D" w:rsidP="00F0343D">
      <w:pPr>
        <w:rPr>
          <w:rFonts w:ascii="Calibri" w:hAnsi="Calibri"/>
        </w:rPr>
      </w:pPr>
      <w:r w:rsidRPr="009C59E9">
        <w:rPr>
          <w:rFonts w:ascii="Calibri" w:hAnsi="Calibri"/>
        </w:rPr>
        <w:tab/>
        <w:t>Ogólne wymagania dotyczące sprzętu podano w ST D-M-00.00.00 „Wymagania ogólne” pkt 3.</w:t>
      </w:r>
    </w:p>
    <w:p w:rsidR="00F0343D" w:rsidRPr="009C59E9" w:rsidRDefault="00F0343D" w:rsidP="00F0343D">
      <w:pPr>
        <w:rPr>
          <w:rFonts w:ascii="Calibri" w:hAnsi="Calibri"/>
        </w:rPr>
      </w:pPr>
      <w:r w:rsidRPr="009C59E9">
        <w:rPr>
          <w:rFonts w:ascii="Calibri" w:hAnsi="Calibri"/>
          <w:b/>
        </w:rPr>
        <w:t>3.2.</w:t>
      </w:r>
      <w:r w:rsidRPr="009C59E9">
        <w:rPr>
          <w:rFonts w:ascii="Calibri" w:hAnsi="Calibri"/>
        </w:rPr>
        <w:t xml:space="preserve"> Sprzęt do wykonania chodnika z kostki brukowej</w:t>
      </w:r>
    </w:p>
    <w:p w:rsidR="00F0343D" w:rsidRPr="009C59E9" w:rsidRDefault="00F0343D" w:rsidP="00F0343D">
      <w:pPr>
        <w:rPr>
          <w:rFonts w:ascii="Calibri" w:hAnsi="Calibri"/>
        </w:rPr>
      </w:pPr>
      <w:r w:rsidRPr="009C59E9">
        <w:rPr>
          <w:rFonts w:ascii="Calibri" w:hAnsi="Calibri"/>
        </w:rPr>
        <w:tab/>
        <w:t>Małe powierzchnie chodnika z kostki brukowej wykonuje się ręcznie.</w:t>
      </w:r>
    </w:p>
    <w:p w:rsidR="00F0343D" w:rsidRPr="009C59E9" w:rsidRDefault="00F0343D" w:rsidP="00F0343D">
      <w:pPr>
        <w:rPr>
          <w:rFonts w:ascii="Calibri" w:hAnsi="Calibri"/>
        </w:rPr>
      </w:pPr>
      <w:r w:rsidRPr="009C59E9">
        <w:rPr>
          <w:rFonts w:ascii="Calibri" w:hAnsi="Calibri"/>
        </w:rPr>
        <w:tab/>
        <w:t xml:space="preserve">Jeśli powierzchnie są duże, a kostki brukowe mają jednolity kształt i kolor, można stosować mechaniczne urządzenia układające. Urządzenie składa się z wózka i chwytaka sterowanego hydraulicznie, służącego do przenoszenia z palety warstwy kostek na miejsce ich ułożenia. </w:t>
      </w:r>
    </w:p>
    <w:p w:rsidR="00F0343D" w:rsidRPr="009C59E9" w:rsidRDefault="00F0343D" w:rsidP="00F0343D">
      <w:pPr>
        <w:rPr>
          <w:rFonts w:ascii="Calibri" w:hAnsi="Calibri"/>
        </w:rPr>
      </w:pPr>
      <w:r w:rsidRPr="009C59E9">
        <w:rPr>
          <w:rFonts w:ascii="Calibri" w:hAnsi="Calibri"/>
        </w:rPr>
        <w:tab/>
        <w:t>Do zagęszczenia nawierzchni stosuje się wibratory płytowe z osłoną z tworzywa sztucznego.</w:t>
      </w:r>
    </w:p>
    <w:p w:rsidR="00F0343D" w:rsidRPr="009C59E9" w:rsidRDefault="00F0343D" w:rsidP="00F0343D">
      <w:pPr>
        <w:rPr>
          <w:rFonts w:ascii="Calibri" w:hAnsi="Calibri"/>
        </w:rPr>
      </w:pPr>
    </w:p>
    <w:p w:rsidR="00F0343D" w:rsidRPr="009C59E9" w:rsidRDefault="00F0343D" w:rsidP="00F0343D">
      <w:pPr>
        <w:rPr>
          <w:rFonts w:ascii="Calibri" w:hAnsi="Calibri"/>
          <w:b/>
        </w:rPr>
      </w:pPr>
      <w:r w:rsidRPr="009C59E9">
        <w:rPr>
          <w:rFonts w:ascii="Calibri" w:hAnsi="Calibri"/>
          <w:b/>
        </w:rPr>
        <w:t>4. TRANSPORT</w:t>
      </w:r>
    </w:p>
    <w:p w:rsidR="00F0343D" w:rsidRPr="009C59E9" w:rsidRDefault="00F0343D" w:rsidP="00F0343D">
      <w:pPr>
        <w:rPr>
          <w:rFonts w:ascii="Calibri" w:hAnsi="Calibri"/>
        </w:rPr>
      </w:pPr>
      <w:r w:rsidRPr="009C59E9">
        <w:rPr>
          <w:rFonts w:ascii="Calibri" w:hAnsi="Calibri"/>
          <w:b/>
        </w:rPr>
        <w:t>4.1.</w:t>
      </w:r>
      <w:r w:rsidRPr="009C59E9">
        <w:rPr>
          <w:rFonts w:ascii="Calibri" w:hAnsi="Calibri"/>
        </w:rPr>
        <w:t xml:space="preserve"> Ogólne wymagania dotyczące transportu</w:t>
      </w:r>
    </w:p>
    <w:p w:rsidR="00F0343D" w:rsidRPr="009C59E9" w:rsidRDefault="00F0343D" w:rsidP="00F0343D">
      <w:pPr>
        <w:rPr>
          <w:rFonts w:ascii="Calibri" w:hAnsi="Calibri"/>
        </w:rPr>
      </w:pPr>
      <w:r w:rsidRPr="009C59E9">
        <w:rPr>
          <w:rFonts w:ascii="Calibri" w:hAnsi="Calibri"/>
        </w:rPr>
        <w:tab/>
        <w:t>Ogólne wymagania dotyczące transportu podano w ST D-M-00.00.00 „Wymagania ogólne” pkt 4.</w:t>
      </w:r>
    </w:p>
    <w:p w:rsidR="00F0343D" w:rsidRPr="009C59E9" w:rsidRDefault="00F0343D" w:rsidP="00F0343D">
      <w:pPr>
        <w:rPr>
          <w:rFonts w:ascii="Calibri" w:hAnsi="Calibri"/>
        </w:rPr>
      </w:pPr>
      <w:r w:rsidRPr="009C59E9">
        <w:rPr>
          <w:rFonts w:ascii="Calibri" w:hAnsi="Calibri"/>
          <w:b/>
        </w:rPr>
        <w:t>4.2.</w:t>
      </w:r>
      <w:r w:rsidRPr="009C59E9">
        <w:rPr>
          <w:rFonts w:ascii="Calibri" w:hAnsi="Calibri"/>
        </w:rPr>
        <w:t xml:space="preserve"> Transport betonowych kostek brukowych</w:t>
      </w:r>
    </w:p>
    <w:p w:rsidR="00F0343D" w:rsidRPr="009C59E9" w:rsidRDefault="00F0343D" w:rsidP="00F0343D">
      <w:pPr>
        <w:rPr>
          <w:rFonts w:ascii="Calibri" w:hAnsi="Calibri"/>
        </w:rPr>
      </w:pPr>
      <w:r w:rsidRPr="009C59E9">
        <w:rPr>
          <w:rFonts w:ascii="Calibri" w:hAnsi="Calibri"/>
        </w:rPr>
        <w:tab/>
        <w:t>Uformowane w czasie produkcji kostki betonowe układane są warstwowo na palecie. Po uzyskaniu wytrzymałości betonu min. 0,7 wytrzymałości projektowanej, kostki przewożone są na stanowisko, gdzie specjalne urządzenie pakuje je w folię i spina taśmą stalową, co gwarantuje transport samochodami w nienaruszonym stanie.</w:t>
      </w:r>
    </w:p>
    <w:p w:rsidR="00F0343D" w:rsidRPr="009C59E9" w:rsidRDefault="00F0343D" w:rsidP="00F0343D">
      <w:pPr>
        <w:rPr>
          <w:rFonts w:ascii="Calibri" w:hAnsi="Calibri"/>
        </w:rPr>
      </w:pPr>
      <w:r w:rsidRPr="009C59E9">
        <w:rPr>
          <w:rFonts w:ascii="Calibri" w:hAnsi="Calibri"/>
        </w:rPr>
        <w:tab/>
        <w:t>Kostki betonowe można również przewozić samochodami na paletach transportowych producenta.</w:t>
      </w:r>
    </w:p>
    <w:p w:rsidR="00F0343D" w:rsidRPr="009C59E9" w:rsidRDefault="00F0343D" w:rsidP="00F0343D">
      <w:pPr>
        <w:rPr>
          <w:rFonts w:ascii="Calibri" w:hAnsi="Calibri"/>
        </w:rPr>
      </w:pPr>
    </w:p>
    <w:p w:rsidR="00F0343D" w:rsidRPr="009C59E9" w:rsidRDefault="00F0343D" w:rsidP="00F0343D">
      <w:pPr>
        <w:rPr>
          <w:rFonts w:ascii="Calibri" w:hAnsi="Calibri"/>
          <w:b/>
        </w:rPr>
      </w:pPr>
      <w:r w:rsidRPr="009C59E9">
        <w:rPr>
          <w:rFonts w:ascii="Calibri" w:hAnsi="Calibri"/>
          <w:b/>
        </w:rPr>
        <w:t>5. WYKONANIE ROBÓT</w:t>
      </w:r>
    </w:p>
    <w:p w:rsidR="00F0343D" w:rsidRPr="009C59E9" w:rsidRDefault="00F0343D" w:rsidP="00F0343D">
      <w:pPr>
        <w:rPr>
          <w:rFonts w:ascii="Calibri" w:hAnsi="Calibri"/>
        </w:rPr>
      </w:pPr>
      <w:r w:rsidRPr="009C59E9">
        <w:rPr>
          <w:rFonts w:ascii="Calibri" w:hAnsi="Calibri"/>
          <w:b/>
        </w:rPr>
        <w:t>5.1.</w:t>
      </w:r>
      <w:r w:rsidRPr="009C59E9">
        <w:rPr>
          <w:rFonts w:ascii="Calibri" w:hAnsi="Calibri"/>
        </w:rPr>
        <w:t xml:space="preserve"> Ogólne zasady wykonania robót</w:t>
      </w:r>
    </w:p>
    <w:p w:rsidR="00F0343D" w:rsidRPr="009C59E9" w:rsidRDefault="00F0343D" w:rsidP="00F0343D">
      <w:pPr>
        <w:rPr>
          <w:rFonts w:ascii="Calibri" w:hAnsi="Calibri"/>
        </w:rPr>
      </w:pPr>
      <w:r w:rsidRPr="009C59E9">
        <w:rPr>
          <w:rFonts w:ascii="Calibri" w:hAnsi="Calibri"/>
        </w:rPr>
        <w:tab/>
        <w:t>Ogólne zasady wykonania robót podano w ST D-M-00.00.00 „Wymagania ogólne” pkt 5.</w:t>
      </w:r>
    </w:p>
    <w:p w:rsidR="00F0343D" w:rsidRPr="009C59E9" w:rsidRDefault="00F0343D" w:rsidP="00F0343D">
      <w:pPr>
        <w:rPr>
          <w:rFonts w:ascii="Calibri" w:hAnsi="Calibri"/>
        </w:rPr>
      </w:pPr>
      <w:r w:rsidRPr="009C59E9">
        <w:rPr>
          <w:rFonts w:ascii="Calibri" w:hAnsi="Calibri"/>
          <w:b/>
        </w:rPr>
        <w:t>5.2.</w:t>
      </w:r>
      <w:r w:rsidRPr="009C59E9">
        <w:rPr>
          <w:rFonts w:ascii="Calibri" w:hAnsi="Calibri"/>
        </w:rPr>
        <w:t xml:space="preserve"> Koryto pod chodnik</w:t>
      </w:r>
    </w:p>
    <w:p w:rsidR="00F0343D" w:rsidRPr="009C59E9" w:rsidRDefault="00F0343D" w:rsidP="00F0343D">
      <w:pPr>
        <w:rPr>
          <w:rFonts w:ascii="Calibri" w:hAnsi="Calibri"/>
        </w:rPr>
      </w:pPr>
      <w:r w:rsidRPr="009C59E9">
        <w:rPr>
          <w:rFonts w:ascii="Calibri" w:hAnsi="Calibri"/>
        </w:rPr>
        <w:tab/>
        <w:t>Koryto wykonane w podłożu powinno być wyprofilowane zgodnie z projektowanymi spadkami podłużnymi i poprzecznymi oraz zgodnie z wymaganiami podanymi w ST D-04.01.01 „Koryto wraz z profilowaniem i zagęszczeniem podłoża”. Wskaźnik zagęszczenia koryta nie powinien być mniejszy niż 0,97 według normalnej metody Proctora.</w:t>
      </w:r>
    </w:p>
    <w:p w:rsidR="00F0343D" w:rsidRPr="009C59E9" w:rsidRDefault="00F0343D" w:rsidP="00F0343D">
      <w:pPr>
        <w:rPr>
          <w:rFonts w:ascii="Calibri" w:hAnsi="Calibri"/>
        </w:rPr>
      </w:pPr>
      <w:r w:rsidRPr="009C59E9">
        <w:rPr>
          <w:rFonts w:ascii="Calibri" w:hAnsi="Calibri"/>
        </w:rPr>
        <w:tab/>
        <w:t xml:space="preserve">Jeżeli dokumentacja projektowa nie określa inaczej, to nawierzchnię chodnika z kostki brukowej można wykonywać bezpośrednio na podłożu z gruntu piaszczystego o WP </w:t>
      </w:r>
      <w:r w:rsidRPr="009C59E9">
        <w:rPr>
          <w:rFonts w:ascii="Calibri" w:hAnsi="Calibri"/>
        </w:rPr>
        <w:sym w:font="Symbol" w:char="F0B3"/>
      </w:r>
      <w:r w:rsidRPr="009C59E9">
        <w:rPr>
          <w:rFonts w:ascii="Calibri" w:hAnsi="Calibri"/>
        </w:rPr>
        <w:t xml:space="preserve"> 35 w uprzednio wykonanym korycie.</w:t>
      </w:r>
    </w:p>
    <w:p w:rsidR="00F0343D" w:rsidRPr="009C59E9" w:rsidRDefault="00F0343D" w:rsidP="00F0343D">
      <w:pPr>
        <w:rPr>
          <w:rFonts w:ascii="Calibri" w:hAnsi="Calibri"/>
        </w:rPr>
      </w:pPr>
      <w:r w:rsidRPr="009C59E9">
        <w:rPr>
          <w:rFonts w:ascii="Calibri" w:hAnsi="Calibri"/>
          <w:b/>
        </w:rPr>
        <w:t>5.3.</w:t>
      </w:r>
      <w:r w:rsidRPr="009C59E9">
        <w:rPr>
          <w:rFonts w:ascii="Calibri" w:hAnsi="Calibri"/>
        </w:rPr>
        <w:t xml:space="preserve"> Podsypka</w:t>
      </w:r>
    </w:p>
    <w:p w:rsidR="00F0343D" w:rsidRPr="009C59E9" w:rsidRDefault="00F0343D" w:rsidP="00F0343D">
      <w:pPr>
        <w:rPr>
          <w:rFonts w:ascii="Calibri" w:hAnsi="Calibri"/>
        </w:rPr>
      </w:pPr>
      <w:r w:rsidRPr="009C59E9">
        <w:rPr>
          <w:rFonts w:ascii="Calibri" w:hAnsi="Calibri"/>
        </w:rPr>
        <w:tab/>
        <w:t>Na podsypkę należy stosować piasek odpowiadający wymaganiom PN-B-06712.</w:t>
      </w:r>
    </w:p>
    <w:p w:rsidR="00F0343D" w:rsidRPr="009C59E9" w:rsidRDefault="00F0343D" w:rsidP="00F0343D">
      <w:pPr>
        <w:rPr>
          <w:rFonts w:ascii="Calibri" w:hAnsi="Calibri"/>
        </w:rPr>
      </w:pPr>
      <w:r w:rsidRPr="009C59E9">
        <w:rPr>
          <w:rFonts w:ascii="Calibri" w:hAnsi="Calibri"/>
        </w:rPr>
        <w:tab/>
        <w:t>Grubość podsypki po zagęszczeniu powinna zawierać się w granicach od 3 do 5 cm. Podsypka powinna być zwilżona wodą, zagęszczona i wyprofilowana.</w:t>
      </w:r>
    </w:p>
    <w:p w:rsidR="00F0343D" w:rsidRPr="009C59E9" w:rsidRDefault="00F0343D" w:rsidP="00F0343D">
      <w:pPr>
        <w:rPr>
          <w:rFonts w:ascii="Calibri" w:hAnsi="Calibri"/>
        </w:rPr>
      </w:pPr>
      <w:r w:rsidRPr="009C59E9">
        <w:rPr>
          <w:rFonts w:ascii="Calibri" w:hAnsi="Calibri"/>
          <w:b/>
        </w:rPr>
        <w:t>5.4.</w:t>
      </w:r>
      <w:r w:rsidRPr="009C59E9">
        <w:rPr>
          <w:rFonts w:ascii="Calibri" w:hAnsi="Calibri"/>
        </w:rPr>
        <w:t xml:space="preserve"> Układanie chodnika z betonowych kostek brukowych</w:t>
      </w:r>
    </w:p>
    <w:p w:rsidR="00F0343D" w:rsidRPr="009C59E9" w:rsidRDefault="00F0343D" w:rsidP="00F0343D">
      <w:pPr>
        <w:rPr>
          <w:rFonts w:ascii="Calibri" w:hAnsi="Calibri"/>
        </w:rPr>
      </w:pPr>
      <w:r w:rsidRPr="009C59E9">
        <w:rPr>
          <w:rFonts w:ascii="Calibri" w:hAnsi="Calibri"/>
        </w:rPr>
        <w:tab/>
        <w:t>Z uwagi na różnorodność kształtów i kolorów produkowanych kostek, możliwe jest ułożenie dowolnego wzoru - wcześniej ustalonego w dokumentacji projektowej lub zaakceptowanego przez Inżyniera.</w:t>
      </w:r>
    </w:p>
    <w:p w:rsidR="00F0343D" w:rsidRPr="009C59E9" w:rsidRDefault="00F0343D" w:rsidP="00F0343D">
      <w:pPr>
        <w:rPr>
          <w:rFonts w:ascii="Calibri" w:hAnsi="Calibri"/>
        </w:rPr>
      </w:pPr>
      <w:r w:rsidRPr="009C59E9">
        <w:rPr>
          <w:rFonts w:ascii="Calibri" w:hAnsi="Calibri"/>
        </w:rPr>
        <w:lastRenderedPageBreak/>
        <w:tab/>
        <w:t>Kostkę układa się na podsypce lub podłożu piaszczystym w taki sposób, aby szczeliny między kostkami wynosiły od 2 do 3 mm. Kostkę należy układać ok. 1,5 cm wyżej od projektowanej niwelety chodnika, gdyż w czasie wibrowania (ubijania) podsypka ulega zagęszczeniu.</w:t>
      </w:r>
    </w:p>
    <w:p w:rsidR="00F0343D" w:rsidRPr="009C59E9" w:rsidRDefault="00F0343D" w:rsidP="00F0343D">
      <w:pPr>
        <w:rPr>
          <w:rFonts w:ascii="Calibri" w:hAnsi="Calibri"/>
        </w:rPr>
      </w:pPr>
      <w:r w:rsidRPr="009C59E9">
        <w:rPr>
          <w:rFonts w:ascii="Calibri" w:hAnsi="Calibri"/>
        </w:rPr>
        <w:tab/>
        <w:t>Po ułożeniu kostki, szczeliny należy wypełnić piaskiem, a następnie zamieść powierzchnię ułożonych kostek przy użyciu szczotek ręcznych lub mechanicznych i przystąpić do ubijania nawierzchni chodnika.</w:t>
      </w:r>
    </w:p>
    <w:p w:rsidR="00F0343D" w:rsidRPr="009C59E9" w:rsidRDefault="00F0343D" w:rsidP="00F0343D">
      <w:pPr>
        <w:rPr>
          <w:rFonts w:ascii="Calibri" w:hAnsi="Calibri"/>
        </w:rPr>
      </w:pPr>
      <w:r w:rsidRPr="009C59E9">
        <w:rPr>
          <w:rFonts w:ascii="Calibri" w:hAnsi="Calibri"/>
        </w:rPr>
        <w:tab/>
        <w:t>Do ubijania ułożonego chodnika z kostek brukowych, stosuje się wibratory płytowe z osłoną z tworzywa sztucznego dla ochrony kostek przed uszkodzeniem i zabrudzeniem. Wibrowanie należy prowadzić od krawędzi powierzchni ubijanej w kierunku środka i jednocześnie w kierunku poprzecznym kształtek.</w:t>
      </w:r>
    </w:p>
    <w:p w:rsidR="00F0343D" w:rsidRPr="009C59E9" w:rsidRDefault="00F0343D" w:rsidP="00F0343D">
      <w:pPr>
        <w:rPr>
          <w:rFonts w:ascii="Calibri" w:hAnsi="Calibri"/>
        </w:rPr>
      </w:pPr>
      <w:r w:rsidRPr="009C59E9">
        <w:rPr>
          <w:rFonts w:ascii="Calibri" w:hAnsi="Calibri"/>
        </w:rPr>
        <w:tab/>
        <w:t>Do zagęszczania nawierzchni z betonowych kostek brukowych nie wolno używać walca.</w:t>
      </w:r>
    </w:p>
    <w:p w:rsidR="00F0343D" w:rsidRPr="009C59E9" w:rsidRDefault="00F0343D" w:rsidP="00F0343D">
      <w:pPr>
        <w:rPr>
          <w:rFonts w:ascii="Calibri" w:hAnsi="Calibri"/>
        </w:rPr>
      </w:pPr>
      <w:r w:rsidRPr="009C59E9">
        <w:rPr>
          <w:rFonts w:ascii="Calibri" w:hAnsi="Calibri"/>
        </w:rPr>
        <w:tab/>
        <w:t>Po ubiciu nawierzchni należy uzupełnić szczeliny materiałem do wypełnienia i zamieść nawierzchnię. Chodnik z wypełnieniem spoin piaskiem nie wymaga pielęgnacji - może być zaraz oddany do użytkowania.</w:t>
      </w:r>
    </w:p>
    <w:p w:rsidR="00F0343D" w:rsidRPr="009C59E9" w:rsidRDefault="00F0343D" w:rsidP="00F0343D">
      <w:pPr>
        <w:rPr>
          <w:rFonts w:ascii="Calibri" w:hAnsi="Calibri"/>
        </w:rPr>
      </w:pPr>
    </w:p>
    <w:p w:rsidR="00F0343D" w:rsidRPr="009C59E9" w:rsidRDefault="00F0343D" w:rsidP="00F0343D">
      <w:pPr>
        <w:rPr>
          <w:rFonts w:ascii="Calibri" w:hAnsi="Calibri"/>
          <w:b/>
        </w:rPr>
      </w:pPr>
      <w:r w:rsidRPr="009C59E9">
        <w:rPr>
          <w:rFonts w:ascii="Calibri" w:hAnsi="Calibri"/>
          <w:b/>
        </w:rPr>
        <w:t>6. KONTROLA JAKOŚCI ROBÓT</w:t>
      </w:r>
    </w:p>
    <w:p w:rsidR="00F0343D" w:rsidRPr="009C59E9" w:rsidRDefault="00F0343D" w:rsidP="00F0343D">
      <w:pPr>
        <w:rPr>
          <w:rFonts w:ascii="Calibri" w:hAnsi="Calibri"/>
        </w:rPr>
      </w:pPr>
      <w:r w:rsidRPr="009C59E9">
        <w:rPr>
          <w:rFonts w:ascii="Calibri" w:hAnsi="Calibri"/>
          <w:b/>
        </w:rPr>
        <w:t>6.1.</w:t>
      </w:r>
      <w:r w:rsidRPr="009C59E9">
        <w:rPr>
          <w:rFonts w:ascii="Calibri" w:hAnsi="Calibri"/>
        </w:rPr>
        <w:t xml:space="preserve"> Ogólne zasady kontroli jakości robót</w:t>
      </w:r>
    </w:p>
    <w:p w:rsidR="00F0343D" w:rsidRPr="009C59E9" w:rsidRDefault="00F0343D" w:rsidP="00F0343D">
      <w:pPr>
        <w:rPr>
          <w:rFonts w:ascii="Calibri" w:hAnsi="Calibri"/>
        </w:rPr>
      </w:pPr>
      <w:r w:rsidRPr="009C59E9">
        <w:rPr>
          <w:rFonts w:ascii="Calibri" w:hAnsi="Calibri"/>
        </w:rPr>
        <w:tab/>
        <w:t>Ogólne zasady kontroli jakości robót podano w ST D-M-00.00.00 „Wymagania ogólne” pkt 6.</w:t>
      </w:r>
    </w:p>
    <w:p w:rsidR="00F0343D" w:rsidRPr="009C59E9" w:rsidRDefault="00F0343D" w:rsidP="00F0343D">
      <w:pPr>
        <w:rPr>
          <w:rFonts w:ascii="Calibri" w:hAnsi="Calibri"/>
        </w:rPr>
      </w:pPr>
      <w:r w:rsidRPr="009C59E9">
        <w:rPr>
          <w:rFonts w:ascii="Calibri" w:hAnsi="Calibri"/>
          <w:b/>
        </w:rPr>
        <w:t>6.2.</w:t>
      </w:r>
      <w:r w:rsidRPr="009C59E9">
        <w:rPr>
          <w:rFonts w:ascii="Calibri" w:hAnsi="Calibri"/>
        </w:rPr>
        <w:t xml:space="preserve"> Badania przed przystąpieniem do robót</w:t>
      </w:r>
    </w:p>
    <w:p w:rsidR="00F0343D" w:rsidRPr="009C59E9" w:rsidRDefault="00F0343D" w:rsidP="00F0343D">
      <w:pPr>
        <w:rPr>
          <w:rFonts w:ascii="Calibri" w:hAnsi="Calibri"/>
        </w:rPr>
      </w:pPr>
      <w:r w:rsidRPr="009C59E9">
        <w:rPr>
          <w:rFonts w:ascii="Calibri" w:hAnsi="Calibri"/>
        </w:rPr>
        <w:tab/>
        <w:t>Przed przystąpieniem do robót Wykonawca powinien sprawdzić, czy producent kostek brukowych posiada aprobatę techniczną.</w:t>
      </w:r>
    </w:p>
    <w:p w:rsidR="00F0343D" w:rsidRPr="00E0645E" w:rsidRDefault="00F0343D" w:rsidP="00F0343D">
      <w:pPr>
        <w:rPr>
          <w:rFonts w:ascii="Calibri" w:hAnsi="Calibri"/>
        </w:rPr>
      </w:pPr>
      <w:r w:rsidRPr="009C59E9">
        <w:rPr>
          <w:rFonts w:ascii="Calibri" w:hAnsi="Calibri"/>
        </w:rPr>
        <w:tab/>
        <w:t>Pozostałe wymagania określono w ST</w:t>
      </w:r>
      <w:r w:rsidRPr="00E0645E">
        <w:rPr>
          <w:rFonts w:ascii="Calibri" w:hAnsi="Calibri"/>
          <w:b/>
        </w:rPr>
        <w:t xml:space="preserve"> </w:t>
      </w:r>
      <w:r w:rsidRPr="00E0645E">
        <w:rPr>
          <w:rFonts w:ascii="Calibri" w:hAnsi="Calibri"/>
        </w:rPr>
        <w:t xml:space="preserve">D-05.03.23a </w:t>
      </w:r>
      <w:r>
        <w:rPr>
          <w:rFonts w:ascii="Calibri" w:hAnsi="Calibri"/>
        </w:rPr>
        <w:t>„Nawierzchnia z betonowej kostki brukowej dla dróg i ulic oraz placów i chodników”.</w:t>
      </w:r>
    </w:p>
    <w:p w:rsidR="00F0343D" w:rsidRPr="009C59E9" w:rsidRDefault="00F0343D" w:rsidP="00F0343D">
      <w:pPr>
        <w:rPr>
          <w:rFonts w:ascii="Calibri" w:hAnsi="Calibri"/>
        </w:rPr>
      </w:pPr>
      <w:r w:rsidRPr="009C59E9">
        <w:rPr>
          <w:rFonts w:ascii="Calibri" w:hAnsi="Calibri"/>
          <w:b/>
        </w:rPr>
        <w:t>6.3.</w:t>
      </w:r>
      <w:r w:rsidRPr="009C59E9">
        <w:rPr>
          <w:rFonts w:ascii="Calibri" w:hAnsi="Calibri"/>
        </w:rPr>
        <w:t xml:space="preserve"> Badania w czasie robót</w:t>
      </w:r>
    </w:p>
    <w:p w:rsidR="00F0343D" w:rsidRPr="009C59E9" w:rsidRDefault="00F0343D" w:rsidP="00F0343D">
      <w:pPr>
        <w:rPr>
          <w:rFonts w:ascii="Calibri" w:hAnsi="Calibri"/>
        </w:rPr>
      </w:pPr>
      <w:r w:rsidRPr="009C59E9">
        <w:rPr>
          <w:rFonts w:ascii="Calibri" w:hAnsi="Calibri"/>
          <w:b/>
        </w:rPr>
        <w:t>6.3.1.</w:t>
      </w:r>
      <w:r w:rsidRPr="009C59E9">
        <w:rPr>
          <w:rFonts w:ascii="Calibri" w:hAnsi="Calibri"/>
        </w:rPr>
        <w:t xml:space="preserve"> Sprawdzenie podłoża</w:t>
      </w:r>
    </w:p>
    <w:p w:rsidR="00F0343D" w:rsidRPr="009C59E9" w:rsidRDefault="00F0343D" w:rsidP="00F0343D">
      <w:pPr>
        <w:rPr>
          <w:rFonts w:ascii="Calibri" w:hAnsi="Calibri"/>
        </w:rPr>
      </w:pPr>
      <w:r w:rsidRPr="009C59E9">
        <w:rPr>
          <w:rFonts w:ascii="Calibri" w:hAnsi="Calibri"/>
        </w:rPr>
        <w:tab/>
        <w:t>Sprawdzenie podłoża polega na stwierdzeniu zgodności z dokumentacją projektową i odpowiednimi ST.</w:t>
      </w:r>
    </w:p>
    <w:p w:rsidR="00F0343D" w:rsidRPr="009C59E9" w:rsidRDefault="00F0343D" w:rsidP="00F0343D">
      <w:pPr>
        <w:rPr>
          <w:rFonts w:ascii="Calibri" w:hAnsi="Calibri"/>
        </w:rPr>
      </w:pPr>
      <w:r w:rsidRPr="009C59E9">
        <w:rPr>
          <w:rFonts w:ascii="Calibri" w:hAnsi="Calibri"/>
        </w:rPr>
        <w:tab/>
        <w:t>Dopuszczalne tolerancje wynoszą dla:</w:t>
      </w:r>
    </w:p>
    <w:p w:rsidR="00F0343D" w:rsidRPr="009C59E9" w:rsidRDefault="00F0343D" w:rsidP="00F0343D">
      <w:pPr>
        <w:rPr>
          <w:rFonts w:ascii="Calibri" w:hAnsi="Calibri"/>
        </w:rPr>
      </w:pPr>
      <w:r w:rsidRPr="009C59E9">
        <w:rPr>
          <w:rFonts w:ascii="Calibri" w:hAnsi="Calibri"/>
        </w:rPr>
        <w:t xml:space="preserve">głębokości koryta: </w:t>
      </w:r>
    </w:p>
    <w:p w:rsidR="00F0343D" w:rsidRPr="009C59E9" w:rsidRDefault="00F0343D" w:rsidP="00F0343D">
      <w:pPr>
        <w:rPr>
          <w:rFonts w:ascii="Calibri" w:hAnsi="Calibri"/>
        </w:rPr>
      </w:pPr>
      <w:r>
        <w:rPr>
          <w:rFonts w:ascii="Calibri" w:hAnsi="Calibri"/>
        </w:rPr>
        <w:t>-</w:t>
      </w:r>
      <w:r w:rsidR="00671D68">
        <w:rPr>
          <w:rFonts w:ascii="Calibri" w:hAnsi="Calibri"/>
        </w:rPr>
        <w:t xml:space="preserve">o szerokości do 3 m: </w:t>
      </w:r>
      <w:r w:rsidRPr="009C59E9">
        <w:rPr>
          <w:rFonts w:ascii="Calibri" w:hAnsi="Calibri"/>
        </w:rPr>
        <w:sym w:font="Symbol" w:char="F0B1"/>
      </w:r>
      <w:r w:rsidRPr="009C59E9">
        <w:rPr>
          <w:rFonts w:ascii="Calibri" w:hAnsi="Calibri"/>
        </w:rPr>
        <w:t xml:space="preserve"> 1 cm, </w:t>
      </w:r>
    </w:p>
    <w:p w:rsidR="00F0343D" w:rsidRPr="009C59E9" w:rsidRDefault="00F0343D" w:rsidP="00F0343D">
      <w:pPr>
        <w:rPr>
          <w:rFonts w:ascii="Calibri" w:hAnsi="Calibri"/>
        </w:rPr>
      </w:pPr>
      <w:r>
        <w:rPr>
          <w:rFonts w:ascii="Calibri" w:hAnsi="Calibri"/>
        </w:rPr>
        <w:t>-</w:t>
      </w:r>
      <w:r w:rsidRPr="009C59E9">
        <w:rPr>
          <w:rFonts w:ascii="Calibri" w:hAnsi="Calibri"/>
        </w:rPr>
        <w:t>o szerokości powyżej 3 m:</w:t>
      </w:r>
      <w:r w:rsidR="00671D68">
        <w:rPr>
          <w:rFonts w:ascii="Calibri" w:hAnsi="Calibri"/>
        </w:rPr>
        <w:t xml:space="preserve"> </w:t>
      </w:r>
      <w:r w:rsidRPr="009C59E9">
        <w:rPr>
          <w:rFonts w:ascii="Calibri" w:hAnsi="Calibri"/>
        </w:rPr>
        <w:sym w:font="Symbol" w:char="F0B1"/>
      </w:r>
      <w:r w:rsidRPr="009C59E9">
        <w:rPr>
          <w:rFonts w:ascii="Calibri" w:hAnsi="Calibri"/>
        </w:rPr>
        <w:t xml:space="preserve"> 2 cm,</w:t>
      </w:r>
    </w:p>
    <w:p w:rsidR="00F0343D" w:rsidRPr="009C59E9" w:rsidRDefault="00F0343D" w:rsidP="00F0343D">
      <w:pPr>
        <w:rPr>
          <w:rFonts w:ascii="Calibri" w:hAnsi="Calibri"/>
        </w:rPr>
      </w:pPr>
      <w:r>
        <w:rPr>
          <w:rFonts w:ascii="Calibri" w:hAnsi="Calibri"/>
        </w:rPr>
        <w:t>-</w:t>
      </w:r>
      <w:r w:rsidRPr="009C59E9">
        <w:rPr>
          <w:rFonts w:ascii="Calibri" w:hAnsi="Calibri"/>
        </w:rPr>
        <w:t xml:space="preserve">szerokości koryta: </w:t>
      </w:r>
      <w:r w:rsidRPr="009C59E9">
        <w:rPr>
          <w:rFonts w:ascii="Calibri" w:hAnsi="Calibri"/>
        </w:rPr>
        <w:sym w:font="Symbol" w:char="F0B1"/>
      </w:r>
      <w:r w:rsidRPr="009C59E9">
        <w:rPr>
          <w:rFonts w:ascii="Calibri" w:hAnsi="Calibri"/>
        </w:rPr>
        <w:t xml:space="preserve"> 5 cm.</w:t>
      </w:r>
    </w:p>
    <w:p w:rsidR="00F0343D" w:rsidRPr="009C59E9" w:rsidRDefault="00F0343D" w:rsidP="00F0343D">
      <w:pPr>
        <w:rPr>
          <w:rFonts w:ascii="Calibri" w:hAnsi="Calibri"/>
        </w:rPr>
      </w:pPr>
      <w:r w:rsidRPr="009C59E9">
        <w:rPr>
          <w:rFonts w:ascii="Calibri" w:hAnsi="Calibri"/>
          <w:b/>
        </w:rPr>
        <w:t>6.3.2.</w:t>
      </w:r>
      <w:r w:rsidRPr="009C59E9">
        <w:rPr>
          <w:rFonts w:ascii="Calibri" w:hAnsi="Calibri"/>
        </w:rPr>
        <w:t xml:space="preserve"> Sprawdzenie podsypki</w:t>
      </w:r>
    </w:p>
    <w:p w:rsidR="00F0343D" w:rsidRPr="009C59E9" w:rsidRDefault="00F0343D" w:rsidP="00F0343D">
      <w:pPr>
        <w:rPr>
          <w:rFonts w:ascii="Calibri" w:hAnsi="Calibri"/>
        </w:rPr>
      </w:pPr>
      <w:r w:rsidRPr="009C59E9">
        <w:rPr>
          <w:rFonts w:ascii="Calibri" w:hAnsi="Calibri"/>
        </w:rPr>
        <w:tab/>
        <w:t xml:space="preserve">Sprawdzenie podsypki w zakresie grubości i wymaganych spadków poprzecznych i podłużnych polega na stwierdzeniu zgodności z dokumentacją projektową oraz pkt 5.3 niniejszej ST. </w:t>
      </w:r>
    </w:p>
    <w:p w:rsidR="00F0343D" w:rsidRPr="009C59E9" w:rsidRDefault="00F0343D" w:rsidP="00F0343D">
      <w:pPr>
        <w:rPr>
          <w:rFonts w:ascii="Calibri" w:hAnsi="Calibri"/>
        </w:rPr>
      </w:pPr>
      <w:r w:rsidRPr="009C59E9">
        <w:rPr>
          <w:rFonts w:ascii="Calibri" w:hAnsi="Calibri"/>
          <w:b/>
        </w:rPr>
        <w:t>6.3.3.</w:t>
      </w:r>
      <w:r w:rsidRPr="009C59E9">
        <w:rPr>
          <w:rFonts w:ascii="Calibri" w:hAnsi="Calibri"/>
        </w:rPr>
        <w:t xml:space="preserve"> Sprawdzenie wykonania chodnika</w:t>
      </w:r>
    </w:p>
    <w:p w:rsidR="00F0343D" w:rsidRPr="009C59E9" w:rsidRDefault="00F0343D" w:rsidP="00F0343D">
      <w:pPr>
        <w:rPr>
          <w:rFonts w:ascii="Calibri" w:hAnsi="Calibri"/>
        </w:rPr>
      </w:pPr>
      <w:r w:rsidRPr="009C59E9">
        <w:rPr>
          <w:rFonts w:ascii="Calibri" w:hAnsi="Calibri"/>
        </w:rPr>
        <w:tab/>
        <w:t>Sprawdzenie prawidłowości wykonania chodnika z betonowych kostek brukowych  polega na stwierdzeniu zgodności wykonania z dokumentacją projektową oraz wymaganiami pkt 5.5 niniejszej ST:</w:t>
      </w:r>
    </w:p>
    <w:p w:rsidR="00F0343D" w:rsidRPr="009C59E9" w:rsidRDefault="00F0343D" w:rsidP="00F0343D">
      <w:pPr>
        <w:rPr>
          <w:rFonts w:ascii="Calibri" w:hAnsi="Calibri"/>
        </w:rPr>
      </w:pPr>
      <w:r>
        <w:rPr>
          <w:rFonts w:ascii="Calibri" w:hAnsi="Calibri"/>
        </w:rPr>
        <w:t>-</w:t>
      </w:r>
      <w:r w:rsidRPr="009C59E9">
        <w:rPr>
          <w:rFonts w:ascii="Calibri" w:hAnsi="Calibri"/>
        </w:rPr>
        <w:t>pomierzenie szerokości spoin,</w:t>
      </w:r>
    </w:p>
    <w:p w:rsidR="00F0343D" w:rsidRPr="009C59E9" w:rsidRDefault="00F0343D" w:rsidP="00F0343D">
      <w:pPr>
        <w:rPr>
          <w:rFonts w:ascii="Calibri" w:hAnsi="Calibri"/>
        </w:rPr>
      </w:pPr>
      <w:r>
        <w:rPr>
          <w:rFonts w:ascii="Calibri" w:hAnsi="Calibri"/>
        </w:rPr>
        <w:t>-</w:t>
      </w:r>
      <w:r w:rsidRPr="009C59E9">
        <w:rPr>
          <w:rFonts w:ascii="Calibri" w:hAnsi="Calibri"/>
        </w:rPr>
        <w:t>sprawdzenie prawidłowości ubijania (wibrowania),</w:t>
      </w:r>
    </w:p>
    <w:p w:rsidR="00F0343D" w:rsidRPr="009C59E9" w:rsidRDefault="00F0343D" w:rsidP="00F0343D">
      <w:pPr>
        <w:rPr>
          <w:rFonts w:ascii="Calibri" w:hAnsi="Calibri"/>
        </w:rPr>
      </w:pPr>
      <w:r>
        <w:rPr>
          <w:rFonts w:ascii="Calibri" w:hAnsi="Calibri"/>
        </w:rPr>
        <w:t>-</w:t>
      </w:r>
      <w:r w:rsidRPr="009C59E9">
        <w:rPr>
          <w:rFonts w:ascii="Calibri" w:hAnsi="Calibri"/>
        </w:rPr>
        <w:t>sprawdzenie prawidłowości wypełnienia spoin,</w:t>
      </w:r>
    </w:p>
    <w:p w:rsidR="00F0343D" w:rsidRPr="009C59E9" w:rsidRDefault="00F0343D" w:rsidP="00F0343D">
      <w:pPr>
        <w:rPr>
          <w:rFonts w:ascii="Calibri" w:hAnsi="Calibri"/>
        </w:rPr>
      </w:pPr>
      <w:r>
        <w:rPr>
          <w:rFonts w:ascii="Calibri" w:hAnsi="Calibri"/>
        </w:rPr>
        <w:t>-</w:t>
      </w:r>
      <w:r w:rsidRPr="009C59E9">
        <w:rPr>
          <w:rFonts w:ascii="Calibri" w:hAnsi="Calibri"/>
        </w:rPr>
        <w:t>sprawdzenie, czy przyjęty deseń (wzór) i kolor nawierzchni jest zachowany.</w:t>
      </w:r>
    </w:p>
    <w:p w:rsidR="00F0343D" w:rsidRPr="009C59E9" w:rsidRDefault="00F0343D" w:rsidP="00F0343D">
      <w:pPr>
        <w:rPr>
          <w:rFonts w:ascii="Calibri" w:hAnsi="Calibri"/>
        </w:rPr>
      </w:pPr>
      <w:r w:rsidRPr="009C59E9">
        <w:rPr>
          <w:rFonts w:ascii="Calibri" w:hAnsi="Calibri"/>
          <w:b/>
        </w:rPr>
        <w:t>6.4.</w:t>
      </w:r>
      <w:r w:rsidRPr="009C59E9">
        <w:rPr>
          <w:rFonts w:ascii="Calibri" w:hAnsi="Calibri"/>
        </w:rPr>
        <w:t xml:space="preserve"> Sprawdzenie cech geometrycznych chodnika</w:t>
      </w:r>
    </w:p>
    <w:p w:rsidR="00F0343D" w:rsidRPr="009C59E9" w:rsidRDefault="00F0343D" w:rsidP="00F0343D">
      <w:pPr>
        <w:rPr>
          <w:rFonts w:ascii="Calibri" w:hAnsi="Calibri"/>
        </w:rPr>
      </w:pPr>
      <w:r w:rsidRPr="009C59E9">
        <w:rPr>
          <w:rFonts w:ascii="Calibri" w:hAnsi="Calibri"/>
          <w:b/>
        </w:rPr>
        <w:t>6.4.1.</w:t>
      </w:r>
      <w:r w:rsidRPr="009C59E9">
        <w:rPr>
          <w:rFonts w:ascii="Calibri" w:hAnsi="Calibri"/>
        </w:rPr>
        <w:t xml:space="preserve">  Sprawdzenie równości chodnika</w:t>
      </w:r>
    </w:p>
    <w:p w:rsidR="00F0343D" w:rsidRPr="009C59E9" w:rsidRDefault="00F0343D" w:rsidP="00F0343D">
      <w:pPr>
        <w:rPr>
          <w:rFonts w:ascii="Calibri" w:hAnsi="Calibri"/>
        </w:rPr>
      </w:pPr>
      <w:r w:rsidRPr="009C59E9">
        <w:rPr>
          <w:rFonts w:ascii="Calibri" w:hAnsi="Calibri"/>
        </w:rPr>
        <w:tab/>
        <w:t>Sprawdzenie równości nawierzchni przeprowadzać należy łatą co najmniej raz na każde 150 do 300 m2 ułożonego chodnika i w miejscach wątpliwych, jednak nie rzadziej niż raz na 50 m chodnika. Dopuszczalny prześwit pod łatą 4 m nie powinien przekraczać 1,0 cm.</w:t>
      </w:r>
    </w:p>
    <w:p w:rsidR="00F0343D" w:rsidRPr="009C59E9" w:rsidRDefault="00F0343D" w:rsidP="00F0343D">
      <w:pPr>
        <w:rPr>
          <w:rFonts w:ascii="Calibri" w:hAnsi="Calibri"/>
        </w:rPr>
      </w:pPr>
      <w:r w:rsidRPr="009C59E9">
        <w:rPr>
          <w:rFonts w:ascii="Calibri" w:hAnsi="Calibri"/>
          <w:b/>
        </w:rPr>
        <w:t>6.4.2.</w:t>
      </w:r>
      <w:r w:rsidRPr="009C59E9">
        <w:rPr>
          <w:rFonts w:ascii="Calibri" w:hAnsi="Calibri"/>
        </w:rPr>
        <w:t xml:space="preserve"> Sprawdzenie profilu podłużnego</w:t>
      </w:r>
    </w:p>
    <w:p w:rsidR="00F0343D" w:rsidRPr="009C59E9" w:rsidRDefault="00F0343D" w:rsidP="00F0343D">
      <w:pPr>
        <w:rPr>
          <w:rFonts w:ascii="Calibri" w:hAnsi="Calibri"/>
        </w:rPr>
      </w:pPr>
      <w:r w:rsidRPr="009C59E9">
        <w:rPr>
          <w:rFonts w:ascii="Calibri" w:hAnsi="Calibri"/>
        </w:rPr>
        <w:tab/>
        <w:t>Sprawdzenie profilu podłużnego przeprowadzać należy za pomocą niwelacji, biorąc pod uwagę punkty charakterystyczne, jednak nie rzadziej niż co 100 m.</w:t>
      </w:r>
    </w:p>
    <w:p w:rsidR="00F0343D" w:rsidRPr="009C59E9" w:rsidRDefault="00F0343D" w:rsidP="00F0343D">
      <w:pPr>
        <w:rPr>
          <w:rFonts w:ascii="Calibri" w:hAnsi="Calibri"/>
        </w:rPr>
      </w:pPr>
      <w:r w:rsidRPr="009C59E9">
        <w:rPr>
          <w:rFonts w:ascii="Calibri" w:hAnsi="Calibri"/>
        </w:rPr>
        <w:tab/>
        <w:t xml:space="preserve">Odchylenia od projektowanej niwelety chodnika w punktach załamania niwelety nie mogą przekraczać </w:t>
      </w:r>
      <w:r w:rsidRPr="009C59E9">
        <w:rPr>
          <w:rFonts w:ascii="Calibri" w:hAnsi="Calibri"/>
        </w:rPr>
        <w:sym w:font="Symbol" w:char="F0B1"/>
      </w:r>
      <w:r w:rsidRPr="009C59E9">
        <w:rPr>
          <w:rFonts w:ascii="Calibri" w:hAnsi="Calibri"/>
        </w:rPr>
        <w:t xml:space="preserve"> 3 cm.</w:t>
      </w:r>
    </w:p>
    <w:p w:rsidR="00F0343D" w:rsidRPr="009C59E9" w:rsidRDefault="00F0343D" w:rsidP="00F0343D">
      <w:pPr>
        <w:rPr>
          <w:rFonts w:ascii="Calibri" w:hAnsi="Calibri"/>
        </w:rPr>
      </w:pPr>
      <w:r w:rsidRPr="009C59E9">
        <w:rPr>
          <w:rFonts w:ascii="Calibri" w:hAnsi="Calibri"/>
          <w:b/>
        </w:rPr>
        <w:t>6.4.3.</w:t>
      </w:r>
      <w:r w:rsidRPr="009C59E9">
        <w:rPr>
          <w:rFonts w:ascii="Calibri" w:hAnsi="Calibri"/>
        </w:rPr>
        <w:t xml:space="preserve"> Sprawdzenie przekroju poprzecznego</w:t>
      </w:r>
    </w:p>
    <w:p w:rsidR="00F0343D" w:rsidRPr="009C59E9" w:rsidRDefault="00F0343D" w:rsidP="00F0343D">
      <w:pPr>
        <w:rPr>
          <w:rFonts w:ascii="Calibri" w:hAnsi="Calibri"/>
        </w:rPr>
      </w:pPr>
      <w:r w:rsidRPr="009C59E9">
        <w:rPr>
          <w:rFonts w:ascii="Calibri" w:hAnsi="Calibri"/>
        </w:rPr>
        <w:tab/>
        <w:t xml:space="preserve">Sprawdzenie przekroju poprzecznego dokonywać należy szablonem z poziomicą, co najmniej raz na każde 150 do 300 m2 chodnika i w miejscach wątpliwych, jednak nie rzadziej niż co 50 m. Dopuszczalne odchylenia od projektowanego profilu wynoszą </w:t>
      </w:r>
      <w:r w:rsidRPr="009C59E9">
        <w:rPr>
          <w:rFonts w:ascii="Calibri" w:hAnsi="Calibri"/>
        </w:rPr>
        <w:sym w:font="Symbol" w:char="F0B1"/>
      </w:r>
      <w:r w:rsidRPr="009C59E9">
        <w:rPr>
          <w:rFonts w:ascii="Calibri" w:hAnsi="Calibri"/>
        </w:rPr>
        <w:t xml:space="preserve"> 0,3%.</w:t>
      </w:r>
    </w:p>
    <w:p w:rsidR="00F0343D" w:rsidRPr="009C59E9" w:rsidRDefault="00F0343D" w:rsidP="00F0343D">
      <w:pPr>
        <w:rPr>
          <w:rFonts w:ascii="Calibri" w:hAnsi="Calibri"/>
        </w:rPr>
      </w:pPr>
    </w:p>
    <w:p w:rsidR="00F0343D" w:rsidRPr="009C59E9" w:rsidRDefault="00F0343D" w:rsidP="00F0343D">
      <w:pPr>
        <w:rPr>
          <w:rFonts w:ascii="Calibri" w:hAnsi="Calibri"/>
          <w:b/>
        </w:rPr>
      </w:pPr>
      <w:r w:rsidRPr="009C59E9">
        <w:rPr>
          <w:rFonts w:ascii="Calibri" w:hAnsi="Calibri"/>
          <w:b/>
        </w:rPr>
        <w:t>7. OBMIAR ROBÓT</w:t>
      </w:r>
    </w:p>
    <w:p w:rsidR="00F0343D" w:rsidRPr="009C59E9" w:rsidRDefault="00F0343D" w:rsidP="00F0343D">
      <w:pPr>
        <w:rPr>
          <w:rFonts w:ascii="Calibri" w:hAnsi="Calibri"/>
        </w:rPr>
      </w:pPr>
      <w:r w:rsidRPr="009C59E9">
        <w:rPr>
          <w:rFonts w:ascii="Calibri" w:hAnsi="Calibri"/>
          <w:b/>
        </w:rPr>
        <w:t>7.1.</w:t>
      </w:r>
      <w:r w:rsidRPr="009C59E9">
        <w:rPr>
          <w:rFonts w:ascii="Calibri" w:hAnsi="Calibri"/>
        </w:rPr>
        <w:t xml:space="preserve"> Ogólne zasady obmiaru robót</w:t>
      </w:r>
    </w:p>
    <w:p w:rsidR="00F0343D" w:rsidRPr="009C59E9" w:rsidRDefault="00F0343D" w:rsidP="00F0343D">
      <w:pPr>
        <w:rPr>
          <w:rFonts w:ascii="Calibri" w:hAnsi="Calibri"/>
        </w:rPr>
      </w:pPr>
      <w:r w:rsidRPr="009C59E9">
        <w:rPr>
          <w:rFonts w:ascii="Calibri" w:hAnsi="Calibri"/>
        </w:rPr>
        <w:tab/>
        <w:t>Ogólne zasady obmiaru robót podano w ST D-M-00.00.00 „Wymagania ogólne” pkt 7.</w:t>
      </w:r>
    </w:p>
    <w:p w:rsidR="00F0343D" w:rsidRPr="009C59E9" w:rsidRDefault="00F0343D" w:rsidP="00F0343D">
      <w:pPr>
        <w:rPr>
          <w:rFonts w:ascii="Calibri" w:hAnsi="Calibri"/>
        </w:rPr>
      </w:pPr>
      <w:r w:rsidRPr="009C59E9">
        <w:rPr>
          <w:rFonts w:ascii="Calibri" w:hAnsi="Calibri"/>
          <w:b/>
        </w:rPr>
        <w:lastRenderedPageBreak/>
        <w:t>7.2.</w:t>
      </w:r>
      <w:r w:rsidRPr="009C59E9">
        <w:rPr>
          <w:rFonts w:ascii="Calibri" w:hAnsi="Calibri"/>
        </w:rPr>
        <w:t xml:space="preserve"> Jednostka obmiarowa</w:t>
      </w:r>
    </w:p>
    <w:p w:rsidR="00F0343D" w:rsidRPr="009C59E9" w:rsidRDefault="00F0343D" w:rsidP="00F0343D">
      <w:pPr>
        <w:rPr>
          <w:rFonts w:ascii="Calibri" w:hAnsi="Calibri"/>
        </w:rPr>
      </w:pPr>
      <w:r w:rsidRPr="009C59E9">
        <w:rPr>
          <w:rFonts w:ascii="Calibri" w:hAnsi="Calibri"/>
        </w:rPr>
        <w:tab/>
        <w:t>Jednostką obmiarową jest 1 m2 (metr kwadratowy) wykonanego chodnika z brukowej kostki betonowej.</w:t>
      </w:r>
    </w:p>
    <w:p w:rsidR="00F0343D" w:rsidRPr="009C59E9" w:rsidRDefault="00F0343D" w:rsidP="00F0343D">
      <w:pPr>
        <w:rPr>
          <w:rFonts w:ascii="Calibri" w:hAnsi="Calibri"/>
        </w:rPr>
      </w:pPr>
    </w:p>
    <w:p w:rsidR="00F0343D" w:rsidRPr="009C59E9" w:rsidRDefault="00F0343D" w:rsidP="00F0343D">
      <w:pPr>
        <w:rPr>
          <w:rFonts w:ascii="Calibri" w:hAnsi="Calibri"/>
          <w:b/>
        </w:rPr>
      </w:pPr>
      <w:r w:rsidRPr="009C59E9">
        <w:rPr>
          <w:rFonts w:ascii="Calibri" w:hAnsi="Calibri"/>
          <w:b/>
        </w:rPr>
        <w:t>8. ODBIÓR ROBÓT</w:t>
      </w:r>
    </w:p>
    <w:p w:rsidR="00F0343D" w:rsidRPr="009C59E9" w:rsidRDefault="00F0343D" w:rsidP="00F0343D">
      <w:pPr>
        <w:rPr>
          <w:rFonts w:ascii="Calibri" w:hAnsi="Calibri"/>
        </w:rPr>
      </w:pPr>
      <w:r w:rsidRPr="009C59E9">
        <w:rPr>
          <w:rFonts w:ascii="Calibri" w:hAnsi="Calibri"/>
        </w:rPr>
        <w:tab/>
        <w:t>Ogólne zasady odbioru robót podano w ST D-M-00.00.00 „Wymagania ogólne” pkt 8.</w:t>
      </w:r>
    </w:p>
    <w:p w:rsidR="00F0343D" w:rsidRPr="009C59E9" w:rsidRDefault="00F0343D" w:rsidP="00F0343D">
      <w:pPr>
        <w:rPr>
          <w:rFonts w:ascii="Calibri" w:hAnsi="Calibri"/>
        </w:rPr>
      </w:pPr>
      <w:r w:rsidRPr="009C59E9">
        <w:rPr>
          <w:rFonts w:ascii="Calibri" w:hAnsi="Calibri"/>
        </w:rPr>
        <w:tab/>
        <w:t>Roboty uznaje się za wykonane zgodnie z dokumentacją projektową, ST i wymaganiami Inżyniera, jeżeli wszystkie pomiary i badania z zachowaniem tolerancji wg pkt 6 dały wyniki pozytywne.</w:t>
      </w:r>
    </w:p>
    <w:p w:rsidR="00F0343D" w:rsidRPr="009C59E9" w:rsidRDefault="00F0343D" w:rsidP="00F0343D">
      <w:pPr>
        <w:rPr>
          <w:rFonts w:ascii="Calibri" w:hAnsi="Calibri"/>
        </w:rPr>
      </w:pPr>
    </w:p>
    <w:p w:rsidR="00F0343D" w:rsidRPr="009C59E9" w:rsidRDefault="00F0343D" w:rsidP="00F0343D">
      <w:pPr>
        <w:rPr>
          <w:rFonts w:ascii="Calibri" w:hAnsi="Calibri"/>
          <w:b/>
        </w:rPr>
      </w:pPr>
      <w:r w:rsidRPr="009C59E9">
        <w:rPr>
          <w:rFonts w:ascii="Calibri" w:hAnsi="Calibri"/>
          <w:b/>
        </w:rPr>
        <w:t>9. PODSTAWA PŁATNOŚCI</w:t>
      </w:r>
    </w:p>
    <w:p w:rsidR="00F0343D" w:rsidRPr="009C59E9" w:rsidRDefault="00F0343D" w:rsidP="00F0343D">
      <w:pPr>
        <w:rPr>
          <w:rFonts w:ascii="Calibri" w:hAnsi="Calibri"/>
        </w:rPr>
      </w:pPr>
      <w:r w:rsidRPr="009C59E9">
        <w:rPr>
          <w:rFonts w:ascii="Calibri" w:hAnsi="Calibri"/>
          <w:b/>
        </w:rPr>
        <w:t>9.1.</w:t>
      </w:r>
      <w:r w:rsidRPr="009C59E9">
        <w:rPr>
          <w:rFonts w:ascii="Calibri" w:hAnsi="Calibri"/>
        </w:rPr>
        <w:t xml:space="preserve"> Ogólne ustalenia dotyczące podstawy płatności</w:t>
      </w:r>
    </w:p>
    <w:p w:rsidR="00F0343D" w:rsidRPr="009C59E9" w:rsidRDefault="00F0343D" w:rsidP="00F0343D">
      <w:pPr>
        <w:rPr>
          <w:rFonts w:ascii="Calibri" w:hAnsi="Calibri"/>
        </w:rPr>
      </w:pPr>
      <w:r w:rsidRPr="009C59E9">
        <w:rPr>
          <w:rFonts w:ascii="Calibri" w:hAnsi="Calibri"/>
        </w:rPr>
        <w:tab/>
        <w:t>Ogólne ustalenia dotyczące podstawy płatności podano w ST D-M-00.00.00 „Wymagania ogólne” pkt 9.</w:t>
      </w:r>
    </w:p>
    <w:p w:rsidR="00F0343D" w:rsidRPr="009C59E9" w:rsidRDefault="00F0343D" w:rsidP="00F0343D">
      <w:pPr>
        <w:rPr>
          <w:rFonts w:ascii="Calibri" w:hAnsi="Calibri"/>
        </w:rPr>
      </w:pPr>
      <w:r w:rsidRPr="009C59E9">
        <w:rPr>
          <w:rFonts w:ascii="Calibri" w:hAnsi="Calibri"/>
          <w:b/>
        </w:rPr>
        <w:t>9.2.</w:t>
      </w:r>
      <w:r w:rsidRPr="009C59E9">
        <w:rPr>
          <w:rFonts w:ascii="Calibri" w:hAnsi="Calibri"/>
        </w:rPr>
        <w:t xml:space="preserve"> Cena jednostki obmiarowej</w:t>
      </w:r>
    </w:p>
    <w:p w:rsidR="00F0343D" w:rsidRPr="009C59E9" w:rsidRDefault="00F0343D" w:rsidP="00F0343D">
      <w:pPr>
        <w:rPr>
          <w:rFonts w:ascii="Calibri" w:hAnsi="Calibri"/>
        </w:rPr>
      </w:pPr>
      <w:r w:rsidRPr="009C59E9">
        <w:rPr>
          <w:rFonts w:ascii="Calibri" w:hAnsi="Calibri"/>
        </w:rPr>
        <w:tab/>
        <w:t>Cena wykonania 1 m2 chodnika z brukowej kostki betonowej obejmuje:</w:t>
      </w:r>
    </w:p>
    <w:p w:rsidR="00F0343D" w:rsidRPr="009C59E9" w:rsidRDefault="00F0343D" w:rsidP="00F0343D">
      <w:pPr>
        <w:rPr>
          <w:rFonts w:ascii="Calibri" w:hAnsi="Calibri"/>
        </w:rPr>
      </w:pPr>
      <w:r w:rsidRPr="009C59E9">
        <w:rPr>
          <w:rFonts w:ascii="Calibri" w:hAnsi="Calibri"/>
        </w:rPr>
        <w:t>- prace pomiarowe i roboty przygotowawcze,</w:t>
      </w:r>
    </w:p>
    <w:p w:rsidR="00F0343D" w:rsidRPr="009C59E9" w:rsidRDefault="00F0343D" w:rsidP="00F0343D">
      <w:pPr>
        <w:rPr>
          <w:rFonts w:ascii="Calibri" w:hAnsi="Calibri"/>
        </w:rPr>
      </w:pPr>
      <w:r w:rsidRPr="009C59E9">
        <w:rPr>
          <w:rFonts w:ascii="Calibri" w:hAnsi="Calibri"/>
        </w:rPr>
        <w:t>- dostarczenie materiałów na miejsce wbudowania,</w:t>
      </w:r>
    </w:p>
    <w:p w:rsidR="00F0343D" w:rsidRPr="009C59E9" w:rsidRDefault="00F0343D" w:rsidP="00F0343D">
      <w:pPr>
        <w:rPr>
          <w:rFonts w:ascii="Calibri" w:hAnsi="Calibri"/>
        </w:rPr>
      </w:pPr>
      <w:r w:rsidRPr="009C59E9">
        <w:rPr>
          <w:rFonts w:ascii="Calibri" w:hAnsi="Calibri"/>
        </w:rPr>
        <w:t>- wykonanie koryta,</w:t>
      </w:r>
    </w:p>
    <w:p w:rsidR="00F0343D" w:rsidRPr="009C59E9" w:rsidRDefault="00F0343D" w:rsidP="00F0343D">
      <w:pPr>
        <w:rPr>
          <w:rFonts w:ascii="Calibri" w:hAnsi="Calibri"/>
        </w:rPr>
      </w:pPr>
      <w:r w:rsidRPr="009C59E9">
        <w:rPr>
          <w:rFonts w:ascii="Calibri" w:hAnsi="Calibri"/>
        </w:rPr>
        <w:t>- ew. wykonanie warstwy odsączającej,</w:t>
      </w:r>
    </w:p>
    <w:p w:rsidR="00F0343D" w:rsidRPr="009C59E9" w:rsidRDefault="00F0343D" w:rsidP="00F0343D">
      <w:pPr>
        <w:rPr>
          <w:rFonts w:ascii="Calibri" w:hAnsi="Calibri"/>
        </w:rPr>
      </w:pPr>
      <w:r w:rsidRPr="009C59E9">
        <w:rPr>
          <w:rFonts w:ascii="Calibri" w:hAnsi="Calibri"/>
        </w:rPr>
        <w:t>- wykonanie podsypki,</w:t>
      </w:r>
    </w:p>
    <w:p w:rsidR="00F0343D" w:rsidRPr="009C59E9" w:rsidRDefault="00F0343D" w:rsidP="00F0343D">
      <w:pPr>
        <w:rPr>
          <w:rFonts w:ascii="Calibri" w:hAnsi="Calibri"/>
        </w:rPr>
      </w:pPr>
      <w:r w:rsidRPr="009C59E9">
        <w:rPr>
          <w:rFonts w:ascii="Calibri" w:hAnsi="Calibri"/>
        </w:rPr>
        <w:t>- ułożenie kostki brukowej wraz z zagęszczeniem i wypełnieniem szczelin,</w:t>
      </w:r>
    </w:p>
    <w:p w:rsidR="00F0343D" w:rsidRPr="009C59E9" w:rsidRDefault="00F0343D" w:rsidP="00F0343D">
      <w:pPr>
        <w:rPr>
          <w:rFonts w:ascii="Calibri" w:hAnsi="Calibri"/>
        </w:rPr>
      </w:pPr>
      <w:r w:rsidRPr="009C59E9">
        <w:rPr>
          <w:rFonts w:ascii="Calibri" w:hAnsi="Calibri"/>
        </w:rPr>
        <w:t>- przeprowadzenie badań i pomiarów wymaganych w specyfikacji technicznej.</w:t>
      </w:r>
    </w:p>
    <w:p w:rsidR="00F0343D" w:rsidRPr="009C59E9" w:rsidRDefault="00F0343D" w:rsidP="00F0343D">
      <w:pPr>
        <w:rPr>
          <w:rFonts w:ascii="Calibri" w:hAnsi="Calibri"/>
        </w:rPr>
      </w:pPr>
    </w:p>
    <w:p w:rsidR="00F0343D" w:rsidRPr="009C59E9" w:rsidRDefault="00F0343D" w:rsidP="00F0343D">
      <w:pPr>
        <w:rPr>
          <w:rFonts w:ascii="Calibri" w:hAnsi="Calibri"/>
          <w:b/>
        </w:rPr>
      </w:pPr>
      <w:r w:rsidRPr="009C59E9">
        <w:rPr>
          <w:rFonts w:ascii="Calibri" w:hAnsi="Calibri"/>
          <w:b/>
        </w:rPr>
        <w:t>10. PRZEPISY ZWIĄZANE</w:t>
      </w:r>
    </w:p>
    <w:p w:rsidR="00F0343D" w:rsidRPr="009C59E9" w:rsidRDefault="00F0343D" w:rsidP="00F0343D">
      <w:pPr>
        <w:rPr>
          <w:rFonts w:ascii="Calibri" w:hAnsi="Calibri"/>
        </w:rPr>
      </w:pPr>
      <w:r w:rsidRPr="009C59E9">
        <w:rPr>
          <w:rFonts w:ascii="Calibri" w:hAnsi="Calibri"/>
          <w:b/>
        </w:rPr>
        <w:t>10.1.</w:t>
      </w:r>
      <w:r w:rsidRPr="009C59E9">
        <w:rPr>
          <w:rFonts w:ascii="Calibri" w:hAnsi="Calibri"/>
        </w:rPr>
        <w:t xml:space="preserve"> Normy</w:t>
      </w:r>
    </w:p>
    <w:tbl>
      <w:tblPr>
        <w:tblW w:w="0" w:type="auto"/>
        <w:tblInd w:w="70" w:type="dxa"/>
        <w:tblLayout w:type="fixed"/>
        <w:tblCellMar>
          <w:left w:w="70" w:type="dxa"/>
          <w:right w:w="70" w:type="dxa"/>
        </w:tblCellMar>
        <w:tblLook w:val="0000"/>
      </w:tblPr>
      <w:tblGrid>
        <w:gridCol w:w="496"/>
        <w:gridCol w:w="1559"/>
        <w:gridCol w:w="5455"/>
      </w:tblGrid>
      <w:tr w:rsidR="00F0343D" w:rsidRPr="00D82290" w:rsidTr="00AE2508">
        <w:tc>
          <w:tcPr>
            <w:tcW w:w="496" w:type="dxa"/>
          </w:tcPr>
          <w:p w:rsidR="00F0343D" w:rsidRPr="00D82290" w:rsidRDefault="00F0343D" w:rsidP="00F0343D">
            <w:pPr>
              <w:rPr>
                <w:rFonts w:ascii="Calibri" w:hAnsi="Calibri"/>
              </w:rPr>
            </w:pPr>
            <w:r w:rsidRPr="00D82290">
              <w:rPr>
                <w:rFonts w:ascii="Calibri" w:hAnsi="Calibri"/>
              </w:rPr>
              <w:t>1.</w:t>
            </w:r>
          </w:p>
        </w:tc>
        <w:tc>
          <w:tcPr>
            <w:tcW w:w="1559" w:type="dxa"/>
          </w:tcPr>
          <w:p w:rsidR="00F0343D" w:rsidRPr="00D82290" w:rsidRDefault="00F0343D" w:rsidP="00F0343D">
            <w:pPr>
              <w:rPr>
                <w:rFonts w:ascii="Calibri" w:hAnsi="Calibri"/>
              </w:rPr>
            </w:pPr>
            <w:r w:rsidRPr="00D82290">
              <w:rPr>
                <w:rFonts w:ascii="Calibri" w:hAnsi="Calibri"/>
              </w:rPr>
              <w:t>PN-B-04111</w:t>
            </w:r>
          </w:p>
        </w:tc>
        <w:tc>
          <w:tcPr>
            <w:tcW w:w="5455" w:type="dxa"/>
          </w:tcPr>
          <w:p w:rsidR="00F0343D" w:rsidRPr="00D82290" w:rsidRDefault="00F0343D" w:rsidP="00F0343D">
            <w:pPr>
              <w:rPr>
                <w:rFonts w:ascii="Calibri" w:hAnsi="Calibri"/>
              </w:rPr>
            </w:pPr>
            <w:r w:rsidRPr="00D82290">
              <w:rPr>
                <w:rFonts w:ascii="Calibri" w:hAnsi="Calibri"/>
              </w:rPr>
              <w:t>Materiały kamienne. Oznaczanie ścieralności na tarczy Boehmego</w:t>
            </w:r>
          </w:p>
        </w:tc>
      </w:tr>
      <w:tr w:rsidR="00F0343D" w:rsidRPr="00D82290" w:rsidTr="00AE2508">
        <w:tc>
          <w:tcPr>
            <w:tcW w:w="496" w:type="dxa"/>
          </w:tcPr>
          <w:p w:rsidR="00F0343D" w:rsidRPr="00D82290" w:rsidRDefault="00F0343D" w:rsidP="00F0343D">
            <w:pPr>
              <w:rPr>
                <w:rFonts w:ascii="Calibri" w:hAnsi="Calibri"/>
              </w:rPr>
            </w:pPr>
            <w:r w:rsidRPr="00D82290">
              <w:rPr>
                <w:rFonts w:ascii="Calibri" w:hAnsi="Calibri"/>
              </w:rPr>
              <w:t>2.</w:t>
            </w:r>
          </w:p>
        </w:tc>
        <w:tc>
          <w:tcPr>
            <w:tcW w:w="1559" w:type="dxa"/>
          </w:tcPr>
          <w:p w:rsidR="00F0343D" w:rsidRPr="00D82290" w:rsidRDefault="00F0343D" w:rsidP="00F0343D">
            <w:pPr>
              <w:rPr>
                <w:rFonts w:ascii="Calibri" w:hAnsi="Calibri"/>
              </w:rPr>
            </w:pPr>
            <w:r w:rsidRPr="00D82290">
              <w:rPr>
                <w:rFonts w:ascii="Calibri" w:hAnsi="Calibri"/>
              </w:rPr>
              <w:t>PN-B-06250</w:t>
            </w:r>
          </w:p>
        </w:tc>
        <w:tc>
          <w:tcPr>
            <w:tcW w:w="5455" w:type="dxa"/>
          </w:tcPr>
          <w:p w:rsidR="00F0343D" w:rsidRPr="00D82290" w:rsidRDefault="00F0343D" w:rsidP="00F0343D">
            <w:pPr>
              <w:rPr>
                <w:rFonts w:ascii="Calibri" w:hAnsi="Calibri"/>
              </w:rPr>
            </w:pPr>
            <w:r w:rsidRPr="00D82290">
              <w:rPr>
                <w:rFonts w:ascii="Calibri" w:hAnsi="Calibri"/>
              </w:rPr>
              <w:t>Beton zwykły</w:t>
            </w:r>
          </w:p>
        </w:tc>
      </w:tr>
      <w:tr w:rsidR="00F0343D" w:rsidRPr="00D82290" w:rsidTr="00AE2508">
        <w:tc>
          <w:tcPr>
            <w:tcW w:w="496" w:type="dxa"/>
          </w:tcPr>
          <w:p w:rsidR="00F0343D" w:rsidRPr="00D82290" w:rsidRDefault="00F0343D" w:rsidP="00F0343D">
            <w:pPr>
              <w:rPr>
                <w:rFonts w:ascii="Calibri" w:hAnsi="Calibri"/>
              </w:rPr>
            </w:pPr>
            <w:r w:rsidRPr="00D82290">
              <w:rPr>
                <w:rFonts w:ascii="Calibri" w:hAnsi="Calibri"/>
              </w:rPr>
              <w:t>3.</w:t>
            </w:r>
          </w:p>
        </w:tc>
        <w:tc>
          <w:tcPr>
            <w:tcW w:w="1559" w:type="dxa"/>
          </w:tcPr>
          <w:p w:rsidR="00F0343D" w:rsidRPr="00D82290" w:rsidRDefault="00F0343D" w:rsidP="00F0343D">
            <w:pPr>
              <w:rPr>
                <w:rFonts w:ascii="Calibri" w:hAnsi="Calibri"/>
              </w:rPr>
            </w:pPr>
            <w:r w:rsidRPr="00D82290">
              <w:rPr>
                <w:rFonts w:ascii="Calibri" w:hAnsi="Calibri"/>
              </w:rPr>
              <w:t>PN-B-06712</w:t>
            </w:r>
          </w:p>
        </w:tc>
        <w:tc>
          <w:tcPr>
            <w:tcW w:w="5455" w:type="dxa"/>
          </w:tcPr>
          <w:p w:rsidR="00F0343D" w:rsidRPr="00D82290" w:rsidRDefault="00F0343D" w:rsidP="00F0343D">
            <w:pPr>
              <w:rPr>
                <w:rFonts w:ascii="Calibri" w:hAnsi="Calibri"/>
              </w:rPr>
            </w:pPr>
            <w:r w:rsidRPr="00D82290">
              <w:rPr>
                <w:rFonts w:ascii="Calibri" w:hAnsi="Calibri"/>
              </w:rPr>
              <w:t>Kruszywa mineralne do betonu zwykłego</w:t>
            </w:r>
          </w:p>
        </w:tc>
      </w:tr>
      <w:tr w:rsidR="00F0343D" w:rsidRPr="00D82290" w:rsidTr="00AE2508">
        <w:tc>
          <w:tcPr>
            <w:tcW w:w="496" w:type="dxa"/>
          </w:tcPr>
          <w:p w:rsidR="00F0343D" w:rsidRPr="00D82290" w:rsidRDefault="00F0343D" w:rsidP="00F0343D">
            <w:pPr>
              <w:rPr>
                <w:rFonts w:ascii="Calibri" w:hAnsi="Calibri"/>
              </w:rPr>
            </w:pPr>
            <w:r w:rsidRPr="00D82290">
              <w:rPr>
                <w:rFonts w:ascii="Calibri" w:hAnsi="Calibri"/>
              </w:rPr>
              <w:t>4.</w:t>
            </w:r>
          </w:p>
        </w:tc>
        <w:tc>
          <w:tcPr>
            <w:tcW w:w="1559" w:type="dxa"/>
          </w:tcPr>
          <w:p w:rsidR="00F0343D" w:rsidRPr="00D82290" w:rsidRDefault="00F0343D" w:rsidP="00F0343D">
            <w:pPr>
              <w:rPr>
                <w:rFonts w:ascii="Calibri" w:hAnsi="Calibri"/>
              </w:rPr>
            </w:pPr>
            <w:r w:rsidRPr="00D82290">
              <w:rPr>
                <w:rFonts w:ascii="Calibri" w:hAnsi="Calibri"/>
              </w:rPr>
              <w:t>PN-B-19701</w:t>
            </w:r>
          </w:p>
        </w:tc>
        <w:tc>
          <w:tcPr>
            <w:tcW w:w="5455" w:type="dxa"/>
          </w:tcPr>
          <w:p w:rsidR="00F0343D" w:rsidRPr="00D82290" w:rsidRDefault="00F0343D" w:rsidP="00F0343D">
            <w:pPr>
              <w:rPr>
                <w:rFonts w:ascii="Calibri" w:hAnsi="Calibri"/>
              </w:rPr>
            </w:pPr>
            <w:r w:rsidRPr="00D82290">
              <w:rPr>
                <w:rFonts w:ascii="Calibri" w:hAnsi="Calibri"/>
              </w:rPr>
              <w:t>Cement. Cement powszechnego użytku. Skład, wymagania i ocena zgodności</w:t>
            </w:r>
          </w:p>
        </w:tc>
      </w:tr>
      <w:tr w:rsidR="00F0343D" w:rsidRPr="00D82290" w:rsidTr="00AE2508">
        <w:tc>
          <w:tcPr>
            <w:tcW w:w="496" w:type="dxa"/>
          </w:tcPr>
          <w:p w:rsidR="00F0343D" w:rsidRPr="00D82290" w:rsidRDefault="00F0343D" w:rsidP="00F0343D">
            <w:pPr>
              <w:rPr>
                <w:rFonts w:ascii="Calibri" w:hAnsi="Calibri"/>
              </w:rPr>
            </w:pPr>
            <w:r w:rsidRPr="00D82290">
              <w:rPr>
                <w:rFonts w:ascii="Calibri" w:hAnsi="Calibri"/>
              </w:rPr>
              <w:t>5.</w:t>
            </w:r>
          </w:p>
        </w:tc>
        <w:tc>
          <w:tcPr>
            <w:tcW w:w="1559" w:type="dxa"/>
          </w:tcPr>
          <w:p w:rsidR="00F0343D" w:rsidRPr="00D82290" w:rsidRDefault="00F0343D" w:rsidP="00F0343D">
            <w:pPr>
              <w:rPr>
                <w:rFonts w:ascii="Calibri" w:hAnsi="Calibri"/>
              </w:rPr>
            </w:pPr>
            <w:r w:rsidRPr="00D82290">
              <w:rPr>
                <w:rFonts w:ascii="Calibri" w:hAnsi="Calibri"/>
              </w:rPr>
              <w:t>PN-B-32250</w:t>
            </w:r>
          </w:p>
        </w:tc>
        <w:tc>
          <w:tcPr>
            <w:tcW w:w="5455" w:type="dxa"/>
          </w:tcPr>
          <w:p w:rsidR="00F0343D" w:rsidRPr="00D82290" w:rsidRDefault="00F0343D" w:rsidP="00F0343D">
            <w:pPr>
              <w:rPr>
                <w:rFonts w:ascii="Calibri" w:hAnsi="Calibri"/>
              </w:rPr>
            </w:pPr>
            <w:r w:rsidRPr="00D82290">
              <w:rPr>
                <w:rFonts w:ascii="Calibri" w:hAnsi="Calibri"/>
              </w:rPr>
              <w:t>Materiały budowlane. Woda do betonów i zapraw</w:t>
            </w:r>
          </w:p>
        </w:tc>
      </w:tr>
      <w:tr w:rsidR="00F0343D" w:rsidRPr="00D82290" w:rsidTr="00AE2508">
        <w:tc>
          <w:tcPr>
            <w:tcW w:w="496" w:type="dxa"/>
          </w:tcPr>
          <w:p w:rsidR="00F0343D" w:rsidRPr="00D82290" w:rsidRDefault="00F0343D" w:rsidP="00F0343D">
            <w:pPr>
              <w:rPr>
                <w:rFonts w:ascii="Calibri" w:hAnsi="Calibri"/>
              </w:rPr>
            </w:pPr>
            <w:r w:rsidRPr="00D82290">
              <w:rPr>
                <w:rFonts w:ascii="Calibri" w:hAnsi="Calibri"/>
              </w:rPr>
              <w:t>6.</w:t>
            </w:r>
          </w:p>
        </w:tc>
        <w:tc>
          <w:tcPr>
            <w:tcW w:w="1559" w:type="dxa"/>
          </w:tcPr>
          <w:p w:rsidR="00F0343D" w:rsidRPr="00D82290" w:rsidRDefault="00F0343D" w:rsidP="00F0343D">
            <w:pPr>
              <w:rPr>
                <w:rFonts w:ascii="Calibri" w:hAnsi="Calibri"/>
              </w:rPr>
            </w:pPr>
            <w:r w:rsidRPr="00D82290">
              <w:rPr>
                <w:rFonts w:ascii="Calibri" w:hAnsi="Calibri"/>
              </w:rPr>
              <w:t>BN-68/8931-01</w:t>
            </w:r>
          </w:p>
        </w:tc>
        <w:tc>
          <w:tcPr>
            <w:tcW w:w="5455" w:type="dxa"/>
          </w:tcPr>
          <w:p w:rsidR="00F0343D" w:rsidRPr="00D82290" w:rsidRDefault="00F0343D" w:rsidP="00F0343D">
            <w:pPr>
              <w:rPr>
                <w:rFonts w:ascii="Calibri" w:hAnsi="Calibri"/>
              </w:rPr>
            </w:pPr>
            <w:r w:rsidRPr="00D82290">
              <w:rPr>
                <w:rFonts w:ascii="Calibri" w:hAnsi="Calibri"/>
              </w:rPr>
              <w:t>Drogi samochodowe. Oznaczenie wskaźnika piaskowego.</w:t>
            </w:r>
          </w:p>
        </w:tc>
      </w:tr>
    </w:tbl>
    <w:p w:rsidR="00F0343D" w:rsidRPr="00D82290" w:rsidRDefault="00F0343D" w:rsidP="00F0343D">
      <w:pPr>
        <w:rPr>
          <w:rFonts w:ascii="Calibri" w:hAnsi="Calibri"/>
        </w:rPr>
      </w:pPr>
      <w:r w:rsidRPr="00D82290">
        <w:rPr>
          <w:rFonts w:ascii="Calibri" w:hAnsi="Calibri"/>
          <w:b/>
        </w:rPr>
        <w:t>10.2.</w:t>
      </w:r>
      <w:r w:rsidRPr="00D82290">
        <w:rPr>
          <w:rFonts w:ascii="Calibri" w:hAnsi="Calibri"/>
        </w:rPr>
        <w:t xml:space="preserve"> Inne dokumenty</w:t>
      </w:r>
    </w:p>
    <w:p w:rsidR="00F0343D" w:rsidRPr="00D82290" w:rsidRDefault="00F0343D" w:rsidP="00F0343D">
      <w:pPr>
        <w:rPr>
          <w:rFonts w:ascii="Calibri" w:hAnsi="Calibri"/>
        </w:rPr>
      </w:pPr>
      <w:r w:rsidRPr="00D82290">
        <w:rPr>
          <w:rFonts w:ascii="Calibri" w:hAnsi="Calibri"/>
        </w:rPr>
        <w:tab/>
        <w:t>Nie występują.</w:t>
      </w:r>
    </w:p>
    <w:p w:rsidR="00C56AA0" w:rsidRDefault="00C56AA0" w:rsidP="00F0343D">
      <w:pPr>
        <w:spacing w:after="120"/>
      </w:pPr>
    </w:p>
    <w:p w:rsidR="00F0343D" w:rsidRDefault="00F0343D" w:rsidP="00F0343D">
      <w:pPr>
        <w:spacing w:after="120"/>
      </w:pPr>
    </w:p>
    <w:p w:rsidR="00F0343D" w:rsidRDefault="00F0343D" w:rsidP="00F0343D">
      <w:pPr>
        <w:spacing w:after="120"/>
      </w:pPr>
    </w:p>
    <w:p w:rsidR="00F0343D" w:rsidRDefault="00F0343D" w:rsidP="00F0343D">
      <w:pPr>
        <w:spacing w:after="120"/>
      </w:pPr>
    </w:p>
    <w:p w:rsidR="00F0343D" w:rsidRDefault="00F0343D" w:rsidP="00F0343D">
      <w:pPr>
        <w:spacing w:after="120"/>
      </w:pPr>
    </w:p>
    <w:p w:rsidR="00F0343D" w:rsidRDefault="00F0343D" w:rsidP="00F0343D">
      <w:pPr>
        <w:spacing w:after="120"/>
      </w:pPr>
    </w:p>
    <w:p w:rsidR="00F0343D" w:rsidRDefault="00F0343D" w:rsidP="00F0343D">
      <w:pPr>
        <w:spacing w:after="120"/>
      </w:pPr>
    </w:p>
    <w:p w:rsidR="00F0343D" w:rsidRDefault="00F0343D" w:rsidP="00F0343D">
      <w:pPr>
        <w:spacing w:after="120"/>
      </w:pPr>
    </w:p>
    <w:p w:rsidR="00F0343D" w:rsidRDefault="00F0343D" w:rsidP="00F0343D">
      <w:pPr>
        <w:spacing w:after="120"/>
      </w:pPr>
    </w:p>
    <w:p w:rsidR="00F0343D" w:rsidRDefault="00F0343D" w:rsidP="00F0343D">
      <w:pPr>
        <w:spacing w:after="120"/>
      </w:pPr>
    </w:p>
    <w:p w:rsidR="00F0343D" w:rsidRDefault="00F0343D" w:rsidP="00F0343D">
      <w:pPr>
        <w:spacing w:after="120"/>
      </w:pPr>
    </w:p>
    <w:p w:rsidR="00F0343D" w:rsidRDefault="00F0343D" w:rsidP="00F0343D">
      <w:pPr>
        <w:spacing w:after="120"/>
      </w:pPr>
    </w:p>
    <w:p w:rsidR="00F0343D" w:rsidRDefault="00F0343D" w:rsidP="00F0343D">
      <w:pPr>
        <w:spacing w:after="120"/>
      </w:pPr>
    </w:p>
    <w:p w:rsidR="00F0343D" w:rsidRDefault="00F0343D" w:rsidP="00F0343D">
      <w:pPr>
        <w:spacing w:after="120"/>
      </w:pPr>
    </w:p>
    <w:p w:rsidR="00671D68" w:rsidRDefault="00671D68" w:rsidP="00F0343D">
      <w:pPr>
        <w:spacing w:after="120"/>
      </w:pPr>
    </w:p>
    <w:p w:rsidR="00671D68" w:rsidRDefault="00671D68" w:rsidP="00F0343D">
      <w:pPr>
        <w:spacing w:after="120"/>
      </w:pPr>
    </w:p>
    <w:p w:rsidR="00671D68" w:rsidRDefault="00671D68" w:rsidP="00F0343D">
      <w:pPr>
        <w:spacing w:after="120"/>
      </w:pPr>
    </w:p>
    <w:p w:rsidR="00671D68" w:rsidRDefault="00671D68" w:rsidP="00F0343D">
      <w:pPr>
        <w:spacing w:after="120"/>
      </w:pPr>
    </w:p>
    <w:p w:rsidR="00671D68" w:rsidRDefault="00671D68" w:rsidP="00F0343D">
      <w:pPr>
        <w:spacing w:after="120"/>
      </w:pPr>
    </w:p>
    <w:p w:rsidR="000C27BF" w:rsidRDefault="000C27BF" w:rsidP="00F0343D">
      <w:pPr>
        <w:spacing w:after="120"/>
      </w:pPr>
    </w:p>
    <w:p w:rsidR="000C27BF" w:rsidRDefault="000C27BF" w:rsidP="00F0343D">
      <w:pPr>
        <w:spacing w:after="120"/>
      </w:pPr>
    </w:p>
    <w:p w:rsidR="00671D68" w:rsidRDefault="00671D68" w:rsidP="00F0343D">
      <w:pPr>
        <w:spacing w:after="120"/>
      </w:pPr>
    </w:p>
    <w:p w:rsidR="00582D07" w:rsidRDefault="00582D07" w:rsidP="00F0343D">
      <w:pPr>
        <w:spacing w:after="120"/>
      </w:pPr>
    </w:p>
    <w:p w:rsidR="00582D07" w:rsidRDefault="00582D07" w:rsidP="00F0343D">
      <w:pPr>
        <w:spacing w:after="120"/>
      </w:pPr>
    </w:p>
    <w:p w:rsidR="00582D07" w:rsidRDefault="00582D07" w:rsidP="00F0343D">
      <w:pPr>
        <w:spacing w:after="120"/>
      </w:pPr>
    </w:p>
    <w:p w:rsidR="00671D68" w:rsidRDefault="00671D68" w:rsidP="00F0343D">
      <w:pPr>
        <w:spacing w:after="120"/>
      </w:pPr>
    </w:p>
    <w:p w:rsidR="00671D68" w:rsidRDefault="00671D68" w:rsidP="00F0343D">
      <w:pPr>
        <w:spacing w:after="120"/>
      </w:pPr>
    </w:p>
    <w:p w:rsidR="00671D68" w:rsidRDefault="00671D68" w:rsidP="00F0343D">
      <w:pPr>
        <w:spacing w:after="120"/>
      </w:pPr>
    </w:p>
    <w:p w:rsidR="00671D68" w:rsidRDefault="00671D68" w:rsidP="00F0343D">
      <w:pPr>
        <w:spacing w:after="120"/>
      </w:pPr>
    </w:p>
    <w:p w:rsidR="001E3470" w:rsidRPr="00D82290" w:rsidRDefault="001E3470" w:rsidP="0017784A">
      <w:pPr>
        <w:pStyle w:val="Nagwek1"/>
        <w:jc w:val="center"/>
      </w:pPr>
      <w:bookmarkStart w:id="1625" w:name="_Toc438237741"/>
      <w:r w:rsidRPr="00D82290">
        <w:t xml:space="preserve">D-08.03.01 </w:t>
      </w:r>
      <w:r w:rsidR="00671D68">
        <w:t xml:space="preserve"> </w:t>
      </w:r>
      <w:r w:rsidRPr="00D82290">
        <w:t>BETONOWE OBRZEŻA CHODNIKOWE</w:t>
      </w:r>
      <w:bookmarkEnd w:id="1625"/>
    </w:p>
    <w:p w:rsidR="001E3470" w:rsidRPr="00D82290" w:rsidRDefault="001E3470" w:rsidP="001E3470">
      <w:pPr>
        <w:rPr>
          <w:rFonts w:ascii="Calibri" w:hAnsi="Calibri"/>
          <w:b/>
        </w:rPr>
      </w:pPr>
    </w:p>
    <w:p w:rsidR="001E3470" w:rsidRPr="00D82290" w:rsidRDefault="001E3470" w:rsidP="001E3470">
      <w:pPr>
        <w:rPr>
          <w:rFonts w:ascii="Calibri" w:hAnsi="Calibri"/>
          <w:b/>
        </w:rPr>
      </w:pPr>
    </w:p>
    <w:p w:rsidR="001E3470" w:rsidRPr="00D82290" w:rsidRDefault="001E3470" w:rsidP="001E3470">
      <w:pPr>
        <w:rPr>
          <w:rFonts w:ascii="Calibri" w:hAnsi="Calibri"/>
          <w:b/>
        </w:rPr>
      </w:pPr>
    </w:p>
    <w:p w:rsidR="001E3470" w:rsidRPr="00D82290" w:rsidRDefault="001E3470" w:rsidP="001E3470">
      <w:pPr>
        <w:rPr>
          <w:rFonts w:ascii="Calibri" w:hAnsi="Calibri"/>
          <w:b/>
        </w:rPr>
      </w:pPr>
    </w:p>
    <w:p w:rsidR="001E3470" w:rsidRPr="00D82290" w:rsidRDefault="001E3470" w:rsidP="001E3470">
      <w:pPr>
        <w:rPr>
          <w:rFonts w:ascii="Calibri" w:hAnsi="Calibri"/>
          <w:b/>
        </w:rPr>
      </w:pPr>
    </w:p>
    <w:p w:rsidR="001E3470" w:rsidRPr="00D82290" w:rsidRDefault="001E3470" w:rsidP="001E3470">
      <w:pPr>
        <w:rPr>
          <w:rFonts w:ascii="Calibri" w:hAnsi="Calibri"/>
          <w:b/>
        </w:rPr>
      </w:pPr>
    </w:p>
    <w:p w:rsidR="00671D68" w:rsidRDefault="00671D68" w:rsidP="001E3470">
      <w:pPr>
        <w:rPr>
          <w:rFonts w:ascii="Calibri" w:hAnsi="Calibri"/>
          <w:b/>
        </w:rPr>
      </w:pPr>
    </w:p>
    <w:p w:rsidR="00671D68" w:rsidRDefault="00671D68" w:rsidP="001E3470">
      <w:pPr>
        <w:rPr>
          <w:rFonts w:ascii="Calibri" w:hAnsi="Calibri"/>
          <w:b/>
        </w:rPr>
      </w:pPr>
    </w:p>
    <w:p w:rsidR="00671D68" w:rsidRDefault="00671D68" w:rsidP="001E3470">
      <w:pPr>
        <w:rPr>
          <w:rFonts w:ascii="Calibri" w:hAnsi="Calibri"/>
          <w:b/>
        </w:rPr>
      </w:pPr>
    </w:p>
    <w:p w:rsidR="00671D68" w:rsidRDefault="00671D68" w:rsidP="001E3470">
      <w:pPr>
        <w:rPr>
          <w:rFonts w:ascii="Calibri" w:hAnsi="Calibri"/>
          <w:b/>
        </w:rPr>
      </w:pPr>
    </w:p>
    <w:p w:rsidR="00671D68" w:rsidRDefault="00671D68" w:rsidP="001E3470">
      <w:pPr>
        <w:rPr>
          <w:rFonts w:ascii="Calibri" w:hAnsi="Calibri"/>
          <w:b/>
        </w:rPr>
      </w:pPr>
    </w:p>
    <w:p w:rsidR="00671D68" w:rsidRDefault="00671D68" w:rsidP="001E3470">
      <w:pPr>
        <w:rPr>
          <w:rFonts w:ascii="Calibri" w:hAnsi="Calibri"/>
          <w:b/>
        </w:rPr>
      </w:pPr>
    </w:p>
    <w:p w:rsidR="00671D68" w:rsidRDefault="00671D68" w:rsidP="001E3470">
      <w:pPr>
        <w:rPr>
          <w:rFonts w:ascii="Calibri" w:hAnsi="Calibri"/>
          <w:b/>
        </w:rPr>
      </w:pPr>
    </w:p>
    <w:p w:rsidR="00671D68" w:rsidRDefault="00671D68" w:rsidP="001E3470">
      <w:pPr>
        <w:rPr>
          <w:rFonts w:ascii="Calibri" w:hAnsi="Calibri"/>
          <w:b/>
        </w:rPr>
      </w:pPr>
    </w:p>
    <w:p w:rsidR="00671D68" w:rsidRDefault="00671D68" w:rsidP="001E3470">
      <w:pPr>
        <w:rPr>
          <w:rFonts w:ascii="Calibri" w:hAnsi="Calibri"/>
          <w:b/>
        </w:rPr>
      </w:pPr>
    </w:p>
    <w:p w:rsidR="00671D68" w:rsidRDefault="00671D68" w:rsidP="001E3470">
      <w:pPr>
        <w:rPr>
          <w:rFonts w:ascii="Calibri" w:hAnsi="Calibri"/>
          <w:b/>
        </w:rPr>
      </w:pPr>
    </w:p>
    <w:p w:rsidR="00671D68" w:rsidRDefault="00671D68" w:rsidP="001E3470">
      <w:pPr>
        <w:rPr>
          <w:rFonts w:ascii="Calibri" w:hAnsi="Calibri"/>
          <w:b/>
        </w:rPr>
      </w:pPr>
    </w:p>
    <w:p w:rsidR="00671D68" w:rsidRDefault="00671D68" w:rsidP="001E3470">
      <w:pPr>
        <w:rPr>
          <w:rFonts w:ascii="Calibri" w:hAnsi="Calibri"/>
          <w:b/>
        </w:rPr>
      </w:pPr>
    </w:p>
    <w:p w:rsidR="00671D68" w:rsidRDefault="00671D68" w:rsidP="001E3470">
      <w:pPr>
        <w:rPr>
          <w:rFonts w:ascii="Calibri" w:hAnsi="Calibri"/>
          <w:b/>
        </w:rPr>
      </w:pPr>
    </w:p>
    <w:p w:rsidR="00671D68" w:rsidRDefault="00671D68" w:rsidP="001E3470">
      <w:pPr>
        <w:rPr>
          <w:rFonts w:ascii="Calibri" w:hAnsi="Calibri"/>
          <w:b/>
        </w:rPr>
      </w:pPr>
    </w:p>
    <w:p w:rsidR="00671D68" w:rsidRDefault="00671D68" w:rsidP="001E3470">
      <w:pPr>
        <w:rPr>
          <w:rFonts w:ascii="Calibri" w:hAnsi="Calibri"/>
          <w:b/>
        </w:rPr>
      </w:pPr>
    </w:p>
    <w:p w:rsidR="00671D68" w:rsidRDefault="00671D68" w:rsidP="001E3470">
      <w:pPr>
        <w:rPr>
          <w:rFonts w:ascii="Calibri" w:hAnsi="Calibri"/>
          <w:b/>
        </w:rPr>
      </w:pPr>
    </w:p>
    <w:p w:rsidR="00671D68" w:rsidRDefault="00671D68" w:rsidP="001E3470">
      <w:pPr>
        <w:rPr>
          <w:rFonts w:ascii="Calibri" w:hAnsi="Calibri"/>
          <w:b/>
        </w:rPr>
      </w:pPr>
    </w:p>
    <w:p w:rsidR="00671D68" w:rsidRDefault="00671D68" w:rsidP="001E3470">
      <w:pPr>
        <w:rPr>
          <w:rFonts w:ascii="Calibri" w:hAnsi="Calibri"/>
          <w:b/>
        </w:rPr>
      </w:pPr>
    </w:p>
    <w:p w:rsidR="00671D68" w:rsidRDefault="00671D68" w:rsidP="001E3470">
      <w:pPr>
        <w:rPr>
          <w:rFonts w:ascii="Calibri" w:hAnsi="Calibri"/>
          <w:b/>
        </w:rPr>
      </w:pPr>
    </w:p>
    <w:p w:rsidR="00671D68" w:rsidRDefault="00671D68" w:rsidP="001E3470">
      <w:pPr>
        <w:rPr>
          <w:rFonts w:ascii="Calibri" w:hAnsi="Calibri"/>
          <w:b/>
        </w:rPr>
      </w:pPr>
    </w:p>
    <w:p w:rsidR="00671D68" w:rsidRDefault="00671D68" w:rsidP="001E3470">
      <w:pPr>
        <w:rPr>
          <w:rFonts w:ascii="Calibri" w:hAnsi="Calibri"/>
          <w:b/>
        </w:rPr>
      </w:pPr>
    </w:p>
    <w:p w:rsidR="00671D68" w:rsidRDefault="00671D68" w:rsidP="001E3470">
      <w:pPr>
        <w:rPr>
          <w:rFonts w:ascii="Calibri" w:hAnsi="Calibri"/>
          <w:b/>
        </w:rPr>
      </w:pPr>
    </w:p>
    <w:p w:rsidR="00671D68" w:rsidRDefault="00671D68" w:rsidP="001E3470">
      <w:pPr>
        <w:rPr>
          <w:rFonts w:ascii="Calibri" w:hAnsi="Calibri"/>
          <w:b/>
        </w:rPr>
      </w:pPr>
    </w:p>
    <w:p w:rsidR="00671D68" w:rsidRDefault="00671D68" w:rsidP="001E3470">
      <w:pPr>
        <w:rPr>
          <w:rFonts w:ascii="Calibri" w:hAnsi="Calibri"/>
          <w:b/>
        </w:rPr>
      </w:pPr>
    </w:p>
    <w:p w:rsidR="00671D68" w:rsidRDefault="00671D68" w:rsidP="001E3470">
      <w:pPr>
        <w:rPr>
          <w:rFonts w:ascii="Calibri" w:hAnsi="Calibri"/>
          <w:b/>
        </w:rPr>
      </w:pPr>
    </w:p>
    <w:p w:rsidR="00671D68" w:rsidRDefault="00671D68" w:rsidP="001E3470">
      <w:pPr>
        <w:rPr>
          <w:rFonts w:ascii="Calibri" w:hAnsi="Calibri"/>
          <w:b/>
        </w:rPr>
      </w:pPr>
    </w:p>
    <w:p w:rsidR="00671D68" w:rsidRDefault="00671D68" w:rsidP="001E3470">
      <w:pPr>
        <w:rPr>
          <w:rFonts w:ascii="Calibri" w:hAnsi="Calibri"/>
          <w:b/>
        </w:rPr>
      </w:pPr>
    </w:p>
    <w:p w:rsidR="00671D68" w:rsidRDefault="00671D68" w:rsidP="001E3470">
      <w:pPr>
        <w:rPr>
          <w:rFonts w:ascii="Calibri" w:hAnsi="Calibri"/>
          <w:b/>
        </w:rPr>
      </w:pPr>
    </w:p>
    <w:p w:rsidR="00671D68" w:rsidRDefault="00671D68" w:rsidP="001E3470">
      <w:pPr>
        <w:rPr>
          <w:rFonts w:ascii="Calibri" w:hAnsi="Calibri"/>
          <w:b/>
        </w:rPr>
      </w:pPr>
    </w:p>
    <w:p w:rsidR="000C41EC" w:rsidRDefault="000C41EC" w:rsidP="001E3470">
      <w:pPr>
        <w:rPr>
          <w:rFonts w:ascii="Calibri" w:hAnsi="Calibri"/>
          <w:b/>
        </w:rPr>
      </w:pPr>
    </w:p>
    <w:p w:rsidR="000C41EC" w:rsidRDefault="000C41EC" w:rsidP="001E3470">
      <w:pPr>
        <w:rPr>
          <w:rFonts w:ascii="Calibri" w:hAnsi="Calibri"/>
          <w:b/>
        </w:rPr>
      </w:pPr>
    </w:p>
    <w:p w:rsidR="000C41EC" w:rsidRDefault="000C41EC" w:rsidP="001E3470">
      <w:pPr>
        <w:rPr>
          <w:rFonts w:ascii="Calibri" w:hAnsi="Calibri"/>
          <w:b/>
        </w:rPr>
      </w:pPr>
    </w:p>
    <w:p w:rsidR="00671D68" w:rsidRDefault="00671D68" w:rsidP="001E3470">
      <w:pPr>
        <w:rPr>
          <w:rFonts w:ascii="Calibri" w:hAnsi="Calibri"/>
          <w:b/>
        </w:rPr>
      </w:pPr>
    </w:p>
    <w:p w:rsidR="00671D68" w:rsidRDefault="00671D68" w:rsidP="001E3470">
      <w:pPr>
        <w:rPr>
          <w:rFonts w:ascii="Calibri" w:hAnsi="Calibri"/>
          <w:b/>
        </w:rPr>
      </w:pPr>
    </w:p>
    <w:p w:rsidR="00671D68" w:rsidRDefault="00671D68" w:rsidP="001E3470">
      <w:pPr>
        <w:rPr>
          <w:rFonts w:ascii="Calibri" w:hAnsi="Calibri"/>
          <w:b/>
        </w:rPr>
      </w:pPr>
    </w:p>
    <w:p w:rsidR="00671D68" w:rsidRDefault="00671D68" w:rsidP="001E3470">
      <w:pPr>
        <w:rPr>
          <w:rFonts w:ascii="Calibri" w:hAnsi="Calibri"/>
          <w:b/>
        </w:rPr>
      </w:pPr>
    </w:p>
    <w:p w:rsidR="001E3470" w:rsidRPr="00D82290" w:rsidRDefault="001E3470" w:rsidP="001E3470">
      <w:pPr>
        <w:rPr>
          <w:rFonts w:ascii="Calibri" w:hAnsi="Calibri"/>
          <w:b/>
        </w:rPr>
      </w:pPr>
      <w:r w:rsidRPr="00D82290">
        <w:rPr>
          <w:rFonts w:ascii="Calibri" w:hAnsi="Calibri"/>
          <w:b/>
        </w:rPr>
        <w:lastRenderedPageBreak/>
        <w:t>1. WSTĘP</w:t>
      </w:r>
    </w:p>
    <w:p w:rsidR="001E3470" w:rsidRPr="00D82290" w:rsidRDefault="001E3470" w:rsidP="001E3470">
      <w:pPr>
        <w:rPr>
          <w:rFonts w:ascii="Calibri" w:hAnsi="Calibri"/>
        </w:rPr>
      </w:pPr>
      <w:r w:rsidRPr="00D82290">
        <w:rPr>
          <w:rFonts w:ascii="Calibri" w:hAnsi="Calibri"/>
          <w:b/>
        </w:rPr>
        <w:t>1.1.</w:t>
      </w:r>
      <w:r w:rsidRPr="00D82290">
        <w:rPr>
          <w:rFonts w:ascii="Calibri" w:hAnsi="Calibri"/>
        </w:rPr>
        <w:t xml:space="preserve"> Przedmiot ST</w:t>
      </w:r>
    </w:p>
    <w:p w:rsidR="001E3470" w:rsidRPr="00D82290" w:rsidRDefault="001E3470" w:rsidP="001E3470">
      <w:pPr>
        <w:rPr>
          <w:rFonts w:ascii="Calibri" w:hAnsi="Calibri"/>
        </w:rPr>
      </w:pPr>
      <w:r w:rsidRPr="00D82290">
        <w:rPr>
          <w:rFonts w:ascii="Calibri" w:hAnsi="Calibri"/>
        </w:rPr>
        <w:tab/>
        <w:t>Przedmiotem niniejszej specyfikacji technicznej (ST) są wymagania dotyczące wykonania i odbioru robót związanych z ustawieniem betonowego obrzeża chodnikowego.</w:t>
      </w:r>
    </w:p>
    <w:p w:rsidR="001E3470" w:rsidRPr="00D82290" w:rsidRDefault="001E3470" w:rsidP="001E3470">
      <w:pPr>
        <w:rPr>
          <w:rFonts w:ascii="Calibri" w:hAnsi="Calibri"/>
        </w:rPr>
      </w:pPr>
      <w:r w:rsidRPr="00D82290">
        <w:rPr>
          <w:rFonts w:ascii="Calibri" w:hAnsi="Calibri"/>
          <w:b/>
        </w:rPr>
        <w:t>1.2.</w:t>
      </w:r>
      <w:r w:rsidRPr="00D82290">
        <w:rPr>
          <w:rFonts w:ascii="Calibri" w:hAnsi="Calibri"/>
        </w:rPr>
        <w:t xml:space="preserve"> Zakres stosowania ST</w:t>
      </w:r>
    </w:p>
    <w:p w:rsidR="001E3470" w:rsidRPr="00D82290" w:rsidRDefault="001E3470" w:rsidP="001E3470">
      <w:pPr>
        <w:rPr>
          <w:rFonts w:ascii="Calibri" w:hAnsi="Calibri"/>
        </w:rPr>
      </w:pPr>
      <w:r w:rsidRPr="00D82290">
        <w:rPr>
          <w:rFonts w:ascii="Calibri" w:hAnsi="Calibri"/>
        </w:rPr>
        <w:tab/>
        <w:t>Specyfikacja techniczna określa wymagania dla wykonania i odbioru robót budowlanych przewidzianych do wykonania w ramach umowy a zawarte w niej zapisy w zakresie standardu materiałów, wykonania robót i wymaganej ich jakości oraz kontroli jakości robót należy traktować jako minimalne.</w:t>
      </w:r>
    </w:p>
    <w:p w:rsidR="001E3470" w:rsidRPr="00D82290" w:rsidRDefault="001E3470" w:rsidP="001E3470">
      <w:pPr>
        <w:rPr>
          <w:rFonts w:ascii="Calibri" w:hAnsi="Calibri"/>
        </w:rPr>
      </w:pPr>
      <w:r w:rsidRPr="00D82290">
        <w:rPr>
          <w:rFonts w:ascii="Calibri" w:hAnsi="Calibri"/>
          <w:b/>
        </w:rPr>
        <w:t>1.3.</w:t>
      </w:r>
      <w:r w:rsidRPr="00D82290">
        <w:rPr>
          <w:rFonts w:ascii="Calibri" w:hAnsi="Calibri"/>
        </w:rPr>
        <w:t xml:space="preserve"> Zakres robót objętych ST</w:t>
      </w:r>
    </w:p>
    <w:p w:rsidR="00582D07" w:rsidRPr="00C3299C" w:rsidRDefault="001E3470" w:rsidP="00582D07">
      <w:pPr>
        <w:rPr>
          <w:rFonts w:asciiTheme="minorHAnsi" w:hAnsiTheme="minorHAnsi" w:cs="Calibri"/>
        </w:rPr>
      </w:pPr>
      <w:r w:rsidRPr="00D82290">
        <w:rPr>
          <w:rFonts w:ascii="Calibri" w:hAnsi="Calibri"/>
        </w:rPr>
        <w:tab/>
        <w:t xml:space="preserve">Ustalenia zawarte w niniejszej specyfikacji dotyczą zasad prowadzenia robót związanych z ustawieniem </w:t>
      </w:r>
      <w:r w:rsidR="000C41EC">
        <w:rPr>
          <w:rFonts w:ascii="Calibri" w:hAnsi="Calibri"/>
        </w:rPr>
        <w:t xml:space="preserve">betonowego obrzeża chodnikowego </w:t>
      </w:r>
      <w:r w:rsidR="00582D07" w:rsidRPr="00C3299C">
        <w:rPr>
          <w:rFonts w:ascii="Calibri" w:hAnsi="Calibri" w:cs="Calibri"/>
        </w:rPr>
        <w:t>w związku z „</w:t>
      </w:r>
      <w:r w:rsidR="00582D07" w:rsidRPr="00C3299C">
        <w:rPr>
          <w:rFonts w:asciiTheme="minorHAnsi" w:hAnsiTheme="minorHAnsi"/>
        </w:rPr>
        <w:t>Przebudową ul.55 Pułku Piechoty w Lesznie wraz z przebudową oświetlenia”</w:t>
      </w:r>
      <w:r w:rsidR="00582D07" w:rsidRPr="00C3299C">
        <w:rPr>
          <w:rFonts w:asciiTheme="minorHAnsi" w:hAnsiTheme="minorHAnsi" w:cs="Calibri"/>
        </w:rPr>
        <w:t>.</w:t>
      </w:r>
    </w:p>
    <w:p w:rsidR="001E3470" w:rsidRPr="00D82290" w:rsidRDefault="001E3470" w:rsidP="001E3470">
      <w:pPr>
        <w:rPr>
          <w:rFonts w:ascii="Calibri" w:hAnsi="Calibri"/>
        </w:rPr>
      </w:pPr>
      <w:r w:rsidRPr="00D82290">
        <w:rPr>
          <w:rFonts w:ascii="Calibri" w:hAnsi="Calibri"/>
          <w:b/>
        </w:rPr>
        <w:t>1.4.</w:t>
      </w:r>
      <w:r w:rsidRPr="00D82290">
        <w:rPr>
          <w:rFonts w:ascii="Calibri" w:hAnsi="Calibri"/>
        </w:rPr>
        <w:t xml:space="preserve"> Określenia podstawowe</w:t>
      </w:r>
    </w:p>
    <w:p w:rsidR="001E3470" w:rsidRPr="00D82290" w:rsidRDefault="001E3470" w:rsidP="001E3470">
      <w:pPr>
        <w:rPr>
          <w:rFonts w:ascii="Calibri" w:hAnsi="Calibri"/>
        </w:rPr>
      </w:pPr>
      <w:r w:rsidRPr="00D82290">
        <w:rPr>
          <w:rFonts w:ascii="Calibri" w:hAnsi="Calibri"/>
          <w:b/>
        </w:rPr>
        <w:t>1.4.1.</w:t>
      </w:r>
      <w:r w:rsidRPr="00D82290">
        <w:rPr>
          <w:rFonts w:ascii="Calibri" w:hAnsi="Calibri"/>
        </w:rPr>
        <w:t xml:space="preserve"> Obrzeża chodnikowe -prefabrykowane belki betonowe rozgraniczające jednostronnie lub dwustronnie ciągi komunikacyjne od terenów nie przeznaczonych do komunikacji.</w:t>
      </w:r>
    </w:p>
    <w:p w:rsidR="001E3470" w:rsidRPr="00D82290" w:rsidRDefault="001E3470" w:rsidP="001E3470">
      <w:pPr>
        <w:rPr>
          <w:rFonts w:ascii="Calibri" w:hAnsi="Calibri"/>
        </w:rPr>
      </w:pPr>
      <w:r w:rsidRPr="00D82290">
        <w:rPr>
          <w:rFonts w:ascii="Calibri" w:hAnsi="Calibri"/>
          <w:b/>
        </w:rPr>
        <w:t>1.4.2.</w:t>
      </w:r>
      <w:r w:rsidRPr="00D82290">
        <w:rPr>
          <w:rFonts w:ascii="Calibri" w:hAnsi="Calibri"/>
        </w:rPr>
        <w:t xml:space="preserve"> Pozostałe określenia podstawowe są zgodne z obowiązującymi, odpowiednimi polskimi normami  i definicjami podanymi w ST D-M-00.00.00 „Wymagania ogólne”   pkt 1.4.</w:t>
      </w:r>
    </w:p>
    <w:p w:rsidR="001E3470" w:rsidRPr="00D82290" w:rsidRDefault="001E3470" w:rsidP="001E3470">
      <w:pPr>
        <w:rPr>
          <w:rFonts w:ascii="Calibri" w:hAnsi="Calibri"/>
        </w:rPr>
      </w:pPr>
      <w:r w:rsidRPr="00D82290">
        <w:rPr>
          <w:rFonts w:ascii="Calibri" w:hAnsi="Calibri"/>
          <w:b/>
        </w:rPr>
        <w:t>1.5.</w:t>
      </w:r>
      <w:r w:rsidRPr="00D82290">
        <w:rPr>
          <w:rFonts w:ascii="Calibri" w:hAnsi="Calibri"/>
        </w:rPr>
        <w:t xml:space="preserve"> Ogólne wymagania dotyczące robót</w:t>
      </w:r>
    </w:p>
    <w:p w:rsidR="001E3470" w:rsidRPr="00D82290" w:rsidRDefault="001E3470" w:rsidP="001E3470">
      <w:pPr>
        <w:rPr>
          <w:rFonts w:ascii="Calibri" w:hAnsi="Calibri"/>
        </w:rPr>
      </w:pPr>
      <w:r w:rsidRPr="00D82290">
        <w:rPr>
          <w:rFonts w:ascii="Calibri" w:hAnsi="Calibri"/>
        </w:rPr>
        <w:tab/>
        <w:t>Ogólne wymagania dotyczące robót podano w ST D-M-00.00.00 „Wymagania ogólne” pkt 1.5.</w:t>
      </w:r>
    </w:p>
    <w:p w:rsidR="001E3470" w:rsidRPr="00D82290" w:rsidRDefault="001E3470" w:rsidP="001E3470">
      <w:pPr>
        <w:rPr>
          <w:rFonts w:ascii="Calibri" w:hAnsi="Calibri"/>
        </w:rPr>
      </w:pPr>
    </w:p>
    <w:p w:rsidR="001E3470" w:rsidRPr="00D82290" w:rsidRDefault="001E3470" w:rsidP="001E3470">
      <w:pPr>
        <w:rPr>
          <w:rFonts w:ascii="Calibri" w:hAnsi="Calibri"/>
          <w:b/>
        </w:rPr>
      </w:pPr>
      <w:bookmarkStart w:id="1626" w:name="_Toc426531383"/>
      <w:r w:rsidRPr="00D82290">
        <w:rPr>
          <w:rFonts w:ascii="Calibri" w:hAnsi="Calibri"/>
          <w:b/>
        </w:rPr>
        <w:t>2. MATERIAŁY</w:t>
      </w:r>
      <w:bookmarkEnd w:id="1626"/>
    </w:p>
    <w:p w:rsidR="001E3470" w:rsidRPr="00D82290" w:rsidRDefault="001E3470" w:rsidP="001E3470">
      <w:pPr>
        <w:rPr>
          <w:rFonts w:ascii="Calibri" w:hAnsi="Calibri"/>
        </w:rPr>
      </w:pPr>
      <w:r w:rsidRPr="00D82290">
        <w:rPr>
          <w:rFonts w:ascii="Calibri" w:hAnsi="Calibri"/>
          <w:b/>
        </w:rPr>
        <w:t>2.1.</w:t>
      </w:r>
      <w:r w:rsidRPr="00D82290">
        <w:rPr>
          <w:rFonts w:ascii="Calibri" w:hAnsi="Calibri"/>
        </w:rPr>
        <w:t xml:space="preserve"> Ogólne wymagania dotyczące materiałów</w:t>
      </w:r>
    </w:p>
    <w:p w:rsidR="001E3470" w:rsidRPr="00D82290" w:rsidRDefault="001E3470" w:rsidP="001E3470">
      <w:pPr>
        <w:rPr>
          <w:rFonts w:ascii="Calibri" w:hAnsi="Calibri"/>
        </w:rPr>
      </w:pPr>
      <w:r w:rsidRPr="00D82290">
        <w:rPr>
          <w:rFonts w:ascii="Calibri" w:hAnsi="Calibri"/>
        </w:rPr>
        <w:tab/>
        <w:t>Ogólne wymagania dotyczące materiałów, ich pozyskiwania i składowania podano w ST D-M-00.00.00 „Wymagania ogólne” pkt 2.</w:t>
      </w:r>
    </w:p>
    <w:p w:rsidR="001E3470" w:rsidRPr="00D82290" w:rsidRDefault="001E3470" w:rsidP="001E3470">
      <w:pPr>
        <w:rPr>
          <w:rFonts w:ascii="Calibri" w:hAnsi="Calibri"/>
        </w:rPr>
      </w:pPr>
      <w:r w:rsidRPr="00D82290">
        <w:rPr>
          <w:rFonts w:ascii="Calibri" w:hAnsi="Calibri"/>
          <w:b/>
        </w:rPr>
        <w:t>2.2.</w:t>
      </w:r>
      <w:r w:rsidRPr="00D82290">
        <w:rPr>
          <w:rFonts w:ascii="Calibri" w:hAnsi="Calibri"/>
        </w:rPr>
        <w:t xml:space="preserve"> Stosowane materiały</w:t>
      </w:r>
    </w:p>
    <w:p w:rsidR="001E3470" w:rsidRPr="00D82290" w:rsidRDefault="001E3470" w:rsidP="001E3470">
      <w:pPr>
        <w:rPr>
          <w:rFonts w:ascii="Calibri" w:hAnsi="Calibri"/>
        </w:rPr>
      </w:pPr>
      <w:r w:rsidRPr="00D82290">
        <w:rPr>
          <w:rFonts w:ascii="Calibri" w:hAnsi="Calibri"/>
        </w:rPr>
        <w:tab/>
        <w:t>Materiałami stosowanymi są:</w:t>
      </w:r>
    </w:p>
    <w:p w:rsidR="001E3470" w:rsidRPr="00D82290" w:rsidRDefault="001E3470" w:rsidP="001E3470">
      <w:pPr>
        <w:rPr>
          <w:rFonts w:ascii="Calibri" w:hAnsi="Calibri"/>
        </w:rPr>
      </w:pPr>
      <w:r>
        <w:rPr>
          <w:rFonts w:ascii="Calibri" w:hAnsi="Calibri"/>
        </w:rPr>
        <w:t>-</w:t>
      </w:r>
      <w:r w:rsidRPr="00D82290">
        <w:rPr>
          <w:rFonts w:ascii="Calibri" w:hAnsi="Calibri"/>
        </w:rPr>
        <w:t>obrzeża odpowiadające wymaganiom BN-80/6775-04/04 i BN-80/6775-03/01,</w:t>
      </w:r>
    </w:p>
    <w:p w:rsidR="001E3470" w:rsidRPr="00D82290" w:rsidRDefault="001E3470" w:rsidP="001E3470">
      <w:pPr>
        <w:rPr>
          <w:rFonts w:ascii="Calibri" w:hAnsi="Calibri"/>
        </w:rPr>
      </w:pPr>
      <w:r>
        <w:rPr>
          <w:rFonts w:ascii="Calibri" w:hAnsi="Calibri"/>
        </w:rPr>
        <w:t>-</w:t>
      </w:r>
      <w:r w:rsidRPr="00D82290">
        <w:rPr>
          <w:rFonts w:ascii="Calibri" w:hAnsi="Calibri"/>
        </w:rPr>
        <w:t>żwir lub piasek do wykonania ław,</w:t>
      </w:r>
    </w:p>
    <w:p w:rsidR="001E3470" w:rsidRPr="00D82290" w:rsidRDefault="001E3470" w:rsidP="001E3470">
      <w:pPr>
        <w:rPr>
          <w:rFonts w:ascii="Calibri" w:hAnsi="Calibri"/>
        </w:rPr>
      </w:pPr>
      <w:r>
        <w:rPr>
          <w:rFonts w:ascii="Calibri" w:hAnsi="Calibri"/>
        </w:rPr>
        <w:t>-</w:t>
      </w:r>
      <w:r w:rsidRPr="00D82290">
        <w:rPr>
          <w:rFonts w:ascii="Calibri" w:hAnsi="Calibri"/>
        </w:rPr>
        <w:t>cement wg PN-B-19701,</w:t>
      </w:r>
    </w:p>
    <w:p w:rsidR="001E3470" w:rsidRPr="00D82290" w:rsidRDefault="001E3470" w:rsidP="001E3470">
      <w:pPr>
        <w:rPr>
          <w:rFonts w:ascii="Calibri" w:hAnsi="Calibri"/>
        </w:rPr>
      </w:pPr>
      <w:r>
        <w:rPr>
          <w:rFonts w:ascii="Calibri" w:hAnsi="Calibri"/>
        </w:rPr>
        <w:t>-</w:t>
      </w:r>
      <w:r w:rsidRPr="00D82290">
        <w:rPr>
          <w:rFonts w:ascii="Calibri" w:hAnsi="Calibri"/>
        </w:rPr>
        <w:t>piasek do zapraw wg PN-B-06711.</w:t>
      </w:r>
    </w:p>
    <w:p w:rsidR="001E3470" w:rsidRPr="00D82290" w:rsidRDefault="001E3470" w:rsidP="001E3470">
      <w:pPr>
        <w:rPr>
          <w:rFonts w:ascii="Calibri" w:hAnsi="Calibri"/>
        </w:rPr>
      </w:pPr>
      <w:r w:rsidRPr="00D82290">
        <w:rPr>
          <w:rFonts w:ascii="Calibri" w:hAnsi="Calibri"/>
          <w:b/>
        </w:rPr>
        <w:t>2.3.</w:t>
      </w:r>
      <w:r w:rsidRPr="00D82290">
        <w:rPr>
          <w:rFonts w:ascii="Calibri" w:hAnsi="Calibri"/>
        </w:rPr>
        <w:t xml:space="preserve"> Betonowe obrzeża chodnikowe - klasyfikacja</w:t>
      </w:r>
    </w:p>
    <w:p w:rsidR="001E3470" w:rsidRPr="00D82290" w:rsidRDefault="001E3470" w:rsidP="001E3470">
      <w:pPr>
        <w:rPr>
          <w:rFonts w:ascii="Calibri" w:hAnsi="Calibri"/>
        </w:rPr>
      </w:pPr>
      <w:r w:rsidRPr="00D82290">
        <w:rPr>
          <w:rFonts w:ascii="Calibri" w:hAnsi="Calibri"/>
        </w:rPr>
        <w:tab/>
        <w:t>W zależności od przekroju poprzecznego rozróżnia się dwa rodzaje obrzeży:</w:t>
      </w:r>
    </w:p>
    <w:p w:rsidR="001E3470" w:rsidRPr="00D82290" w:rsidRDefault="001E3470" w:rsidP="001E3470">
      <w:pPr>
        <w:rPr>
          <w:rFonts w:ascii="Calibri" w:hAnsi="Calibri"/>
        </w:rPr>
      </w:pPr>
      <w:r w:rsidRPr="00D82290">
        <w:rPr>
          <w:rFonts w:ascii="Calibri" w:hAnsi="Calibri"/>
        </w:rPr>
        <w:t>- obrzeże niskie</w:t>
      </w:r>
      <w:r w:rsidRPr="00D82290">
        <w:rPr>
          <w:rFonts w:ascii="Calibri" w:hAnsi="Calibri"/>
        </w:rPr>
        <w:tab/>
        <w:t>- On,</w:t>
      </w:r>
    </w:p>
    <w:p w:rsidR="001E3470" w:rsidRPr="00D82290" w:rsidRDefault="00671D68" w:rsidP="001E3470">
      <w:pPr>
        <w:rPr>
          <w:rFonts w:ascii="Calibri" w:hAnsi="Calibri"/>
        </w:rPr>
      </w:pPr>
      <w:r>
        <w:rPr>
          <w:rFonts w:ascii="Calibri" w:hAnsi="Calibri"/>
        </w:rPr>
        <w:t xml:space="preserve">- obrzeże wysokie   </w:t>
      </w:r>
      <w:r w:rsidR="001E3470" w:rsidRPr="00D82290">
        <w:rPr>
          <w:rFonts w:ascii="Calibri" w:hAnsi="Calibri"/>
        </w:rPr>
        <w:t>- Ow.</w:t>
      </w:r>
    </w:p>
    <w:p w:rsidR="001E3470" w:rsidRPr="00D82290" w:rsidRDefault="001E3470" w:rsidP="001E3470">
      <w:pPr>
        <w:rPr>
          <w:rFonts w:ascii="Calibri" w:hAnsi="Calibri"/>
        </w:rPr>
      </w:pPr>
      <w:r w:rsidRPr="00D82290">
        <w:rPr>
          <w:rFonts w:ascii="Calibri" w:hAnsi="Calibri"/>
        </w:rPr>
        <w:tab/>
        <w:t>W zależności od dopuszczalnych wielkości i liczby uszkodzeń oraz odchyłek wymiarowych obrzeża dzieli się na:</w:t>
      </w:r>
    </w:p>
    <w:p w:rsidR="001E3470" w:rsidRPr="00D82290" w:rsidRDefault="00671D68" w:rsidP="001E3470">
      <w:pPr>
        <w:rPr>
          <w:rFonts w:ascii="Calibri" w:hAnsi="Calibri"/>
        </w:rPr>
      </w:pPr>
      <w:r>
        <w:rPr>
          <w:rFonts w:ascii="Calibri" w:hAnsi="Calibri"/>
        </w:rPr>
        <w:t xml:space="preserve">- gatunek 1  </w:t>
      </w:r>
      <w:r w:rsidR="001E3470" w:rsidRPr="00D82290">
        <w:rPr>
          <w:rFonts w:ascii="Calibri" w:hAnsi="Calibri"/>
        </w:rPr>
        <w:t>- G1,</w:t>
      </w:r>
    </w:p>
    <w:p w:rsidR="001E3470" w:rsidRPr="00D82290" w:rsidRDefault="001E3470" w:rsidP="001E3470">
      <w:pPr>
        <w:rPr>
          <w:rFonts w:ascii="Calibri" w:hAnsi="Calibri"/>
        </w:rPr>
      </w:pPr>
      <w:r w:rsidRPr="00D82290">
        <w:rPr>
          <w:rFonts w:ascii="Calibri" w:hAnsi="Calibri"/>
        </w:rPr>
        <w:t>- gatunek 2</w:t>
      </w:r>
      <w:r w:rsidR="00671D68">
        <w:rPr>
          <w:rFonts w:ascii="Calibri" w:hAnsi="Calibri"/>
        </w:rPr>
        <w:t xml:space="preserve">  </w:t>
      </w:r>
      <w:r w:rsidRPr="00D82290">
        <w:rPr>
          <w:rFonts w:ascii="Calibri" w:hAnsi="Calibri"/>
        </w:rPr>
        <w:t>- G2.</w:t>
      </w:r>
    </w:p>
    <w:p w:rsidR="001E3470" w:rsidRPr="00D82290" w:rsidRDefault="001E3470" w:rsidP="001E3470">
      <w:pPr>
        <w:rPr>
          <w:rFonts w:ascii="Calibri" w:hAnsi="Calibri"/>
        </w:rPr>
      </w:pPr>
      <w:r w:rsidRPr="00D82290">
        <w:rPr>
          <w:rFonts w:ascii="Calibri" w:hAnsi="Calibri"/>
        </w:rPr>
        <w:tab/>
        <w:t>Przykład oznaczenia betonowego obrzeża chodnikowego niskiego (On) o wymiarach 6 x 20 x 75 cm gat. 1:</w:t>
      </w:r>
    </w:p>
    <w:p w:rsidR="001E3470" w:rsidRPr="00D82290" w:rsidRDefault="001E3470" w:rsidP="001E3470">
      <w:pPr>
        <w:rPr>
          <w:rFonts w:ascii="Calibri" w:hAnsi="Calibri"/>
        </w:rPr>
      </w:pPr>
      <w:r w:rsidRPr="00D82290">
        <w:rPr>
          <w:rFonts w:ascii="Calibri" w:hAnsi="Calibri"/>
        </w:rPr>
        <w:tab/>
        <w:t>obrzeże On - I/6/20/75 BN-80/6775-03/04.</w:t>
      </w:r>
    </w:p>
    <w:p w:rsidR="001E3470" w:rsidRPr="00D82290" w:rsidRDefault="001E3470" w:rsidP="001E3470">
      <w:pPr>
        <w:rPr>
          <w:rFonts w:ascii="Calibri" w:hAnsi="Calibri"/>
        </w:rPr>
      </w:pPr>
      <w:r w:rsidRPr="00D82290">
        <w:rPr>
          <w:rFonts w:ascii="Calibri" w:hAnsi="Calibri"/>
          <w:b/>
        </w:rPr>
        <w:t>2.4.</w:t>
      </w:r>
      <w:r w:rsidRPr="00D82290">
        <w:rPr>
          <w:rFonts w:ascii="Calibri" w:hAnsi="Calibri"/>
        </w:rPr>
        <w:t xml:space="preserve"> Betonowe obrzeża chodnikowe - wymagania techniczne</w:t>
      </w:r>
    </w:p>
    <w:p w:rsidR="001E3470" w:rsidRPr="00D82290" w:rsidRDefault="001E3470" w:rsidP="001E3470">
      <w:pPr>
        <w:rPr>
          <w:rFonts w:ascii="Calibri" w:hAnsi="Calibri"/>
        </w:rPr>
      </w:pPr>
      <w:r w:rsidRPr="00D82290">
        <w:rPr>
          <w:rFonts w:ascii="Calibri" w:hAnsi="Calibri"/>
          <w:b/>
        </w:rPr>
        <w:t>2.4.1.</w:t>
      </w:r>
      <w:r w:rsidRPr="00D82290">
        <w:rPr>
          <w:rFonts w:ascii="Calibri" w:hAnsi="Calibri"/>
        </w:rPr>
        <w:t xml:space="preserve"> Wymiary betonowych obrzeży chodnikowych</w:t>
      </w:r>
    </w:p>
    <w:p w:rsidR="001E3470" w:rsidRPr="00D82290" w:rsidRDefault="001E3470" w:rsidP="001E3470">
      <w:pPr>
        <w:rPr>
          <w:rFonts w:ascii="Calibri" w:hAnsi="Calibri"/>
        </w:rPr>
      </w:pPr>
      <w:r w:rsidRPr="00D82290">
        <w:rPr>
          <w:rFonts w:ascii="Calibri" w:hAnsi="Calibri"/>
        </w:rPr>
        <w:tab/>
        <w:t>Kształt obrzeży betonowych przedstawiono na rysunku 1, a wymiary podano w tablicy 1.</w:t>
      </w:r>
    </w:p>
    <w:p w:rsidR="001E3470" w:rsidRPr="00D82290" w:rsidRDefault="001E3470" w:rsidP="001E3470">
      <w:pPr>
        <w:rPr>
          <w:rFonts w:ascii="Calibri" w:hAnsi="Calibri"/>
        </w:rPr>
      </w:pPr>
    </w:p>
    <w:p w:rsidR="001E3470" w:rsidRPr="0039110B" w:rsidRDefault="001E3470" w:rsidP="00671D68">
      <w:pPr>
        <w:ind w:left="709"/>
      </w:pPr>
      <w:r>
        <w:rPr>
          <w:noProof/>
        </w:rPr>
        <w:drawing>
          <wp:inline distT="0" distB="0" distL="0" distR="0">
            <wp:extent cx="2343150" cy="1076325"/>
            <wp:effectExtent l="19050" t="0" r="0" b="0"/>
            <wp:docPr id="326" name="Obraz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az 8"/>
                    <pic:cNvPicPr>
                      <a:picLocks noChangeAspect="1" noChangeArrowheads="1"/>
                    </pic:cNvPicPr>
                  </pic:nvPicPr>
                  <pic:blipFill>
                    <a:blip r:embed="rId108" cstate="print"/>
                    <a:srcRect/>
                    <a:stretch>
                      <a:fillRect/>
                    </a:stretch>
                  </pic:blipFill>
                  <pic:spPr bwMode="auto">
                    <a:xfrm>
                      <a:off x="0" y="0"/>
                      <a:ext cx="2343150" cy="1076325"/>
                    </a:xfrm>
                    <a:prstGeom prst="rect">
                      <a:avLst/>
                    </a:prstGeom>
                    <a:noFill/>
                    <a:ln w="9525">
                      <a:noFill/>
                      <a:miter lim="800000"/>
                      <a:headEnd/>
                      <a:tailEnd/>
                    </a:ln>
                  </pic:spPr>
                </pic:pic>
              </a:graphicData>
            </a:graphic>
          </wp:inline>
        </w:drawing>
      </w:r>
    </w:p>
    <w:p w:rsidR="001E3470" w:rsidRPr="00D82290" w:rsidRDefault="001E3470" w:rsidP="001E3470">
      <w:pPr>
        <w:rPr>
          <w:rFonts w:ascii="Calibri" w:hAnsi="Calibri"/>
        </w:rPr>
      </w:pPr>
    </w:p>
    <w:p w:rsidR="001E3470" w:rsidRPr="00D82290" w:rsidRDefault="001E3470" w:rsidP="000C41EC">
      <w:pPr>
        <w:ind w:left="709"/>
        <w:rPr>
          <w:rFonts w:ascii="Calibri" w:hAnsi="Calibri"/>
        </w:rPr>
      </w:pPr>
      <w:r w:rsidRPr="00D82290">
        <w:rPr>
          <w:rFonts w:ascii="Calibri" w:hAnsi="Calibri"/>
        </w:rPr>
        <w:t>Rysunek 1. Kształt betonowego obrzeża chodnikowego</w:t>
      </w:r>
    </w:p>
    <w:p w:rsidR="001E3470" w:rsidRDefault="001E3470" w:rsidP="001E3470">
      <w:pPr>
        <w:rPr>
          <w:rFonts w:ascii="Calibri" w:hAnsi="Calibri"/>
        </w:rPr>
      </w:pPr>
    </w:p>
    <w:p w:rsidR="00671D68" w:rsidRDefault="00671D68" w:rsidP="001E3470">
      <w:pPr>
        <w:rPr>
          <w:rFonts w:ascii="Calibri" w:hAnsi="Calibri"/>
        </w:rPr>
      </w:pPr>
    </w:p>
    <w:p w:rsidR="00671D68" w:rsidRDefault="00671D68" w:rsidP="001E3470">
      <w:pPr>
        <w:rPr>
          <w:rFonts w:ascii="Calibri" w:hAnsi="Calibri"/>
        </w:rPr>
      </w:pPr>
    </w:p>
    <w:p w:rsidR="00B14396" w:rsidRDefault="00B14396" w:rsidP="001E3470">
      <w:pPr>
        <w:rPr>
          <w:rFonts w:ascii="Calibri" w:hAnsi="Calibri"/>
        </w:rPr>
      </w:pPr>
    </w:p>
    <w:p w:rsidR="00B14396" w:rsidRDefault="00B14396" w:rsidP="001E3470">
      <w:pPr>
        <w:rPr>
          <w:rFonts w:ascii="Calibri" w:hAnsi="Calibri"/>
        </w:rPr>
      </w:pPr>
    </w:p>
    <w:p w:rsidR="001E3470" w:rsidRPr="00D82290" w:rsidRDefault="001E3470" w:rsidP="00671D68">
      <w:pPr>
        <w:ind w:left="709"/>
        <w:rPr>
          <w:rFonts w:ascii="Calibri" w:hAnsi="Calibri"/>
        </w:rPr>
      </w:pPr>
      <w:r w:rsidRPr="00D82290">
        <w:rPr>
          <w:rFonts w:ascii="Calibri" w:hAnsi="Calibri"/>
        </w:rPr>
        <w:lastRenderedPageBreak/>
        <w:t>Tablica 1. Wymiary obrzeży</w:t>
      </w:r>
    </w:p>
    <w:tbl>
      <w:tblPr>
        <w:tblW w:w="0" w:type="auto"/>
        <w:tblInd w:w="779" w:type="dxa"/>
        <w:tblLayout w:type="fixed"/>
        <w:tblCellMar>
          <w:left w:w="70" w:type="dxa"/>
          <w:right w:w="70" w:type="dxa"/>
        </w:tblCellMar>
        <w:tblLook w:val="0000"/>
      </w:tblPr>
      <w:tblGrid>
        <w:gridCol w:w="1346"/>
        <w:gridCol w:w="1232"/>
        <w:gridCol w:w="1232"/>
        <w:gridCol w:w="1232"/>
        <w:gridCol w:w="1265"/>
      </w:tblGrid>
      <w:tr w:rsidR="001E3470" w:rsidRPr="00D82290" w:rsidTr="00671D68">
        <w:tc>
          <w:tcPr>
            <w:tcW w:w="1346" w:type="dxa"/>
            <w:tcBorders>
              <w:top w:val="single" w:sz="6" w:space="0" w:color="auto"/>
              <w:left w:val="single" w:sz="6" w:space="0" w:color="auto"/>
            </w:tcBorders>
          </w:tcPr>
          <w:p w:rsidR="001E3470" w:rsidRPr="00D82290" w:rsidRDefault="001E3470" w:rsidP="001E3470">
            <w:pPr>
              <w:jc w:val="center"/>
              <w:rPr>
                <w:rFonts w:ascii="Calibri" w:hAnsi="Calibri"/>
                <w:b/>
                <w:sz w:val="18"/>
                <w:szCs w:val="18"/>
              </w:rPr>
            </w:pPr>
            <w:r w:rsidRPr="00D82290">
              <w:rPr>
                <w:rFonts w:ascii="Calibri" w:hAnsi="Calibri"/>
                <w:b/>
                <w:sz w:val="18"/>
                <w:szCs w:val="18"/>
              </w:rPr>
              <w:t>Rodzaj</w:t>
            </w:r>
          </w:p>
        </w:tc>
        <w:tc>
          <w:tcPr>
            <w:tcW w:w="4961" w:type="dxa"/>
            <w:gridSpan w:val="4"/>
            <w:tcBorders>
              <w:top w:val="single" w:sz="6" w:space="0" w:color="auto"/>
              <w:left w:val="single" w:sz="6" w:space="0" w:color="auto"/>
              <w:bottom w:val="single" w:sz="6" w:space="0" w:color="auto"/>
              <w:right w:val="single" w:sz="6" w:space="0" w:color="auto"/>
            </w:tcBorders>
          </w:tcPr>
          <w:p w:rsidR="001E3470" w:rsidRPr="00D82290" w:rsidRDefault="001E3470" w:rsidP="001E3470">
            <w:pPr>
              <w:jc w:val="center"/>
              <w:rPr>
                <w:rFonts w:ascii="Calibri" w:hAnsi="Calibri"/>
                <w:b/>
                <w:sz w:val="18"/>
                <w:szCs w:val="18"/>
              </w:rPr>
            </w:pPr>
            <w:r w:rsidRPr="00D82290">
              <w:rPr>
                <w:rFonts w:ascii="Calibri" w:hAnsi="Calibri"/>
                <w:b/>
                <w:sz w:val="18"/>
                <w:szCs w:val="18"/>
              </w:rPr>
              <w:t>Wymiary obrzeży,   cm</w:t>
            </w:r>
          </w:p>
        </w:tc>
      </w:tr>
      <w:tr w:rsidR="001E3470" w:rsidRPr="00D82290" w:rsidTr="00671D68">
        <w:tc>
          <w:tcPr>
            <w:tcW w:w="1346" w:type="dxa"/>
            <w:tcBorders>
              <w:left w:val="single" w:sz="6" w:space="0" w:color="auto"/>
              <w:bottom w:val="double" w:sz="6" w:space="0" w:color="auto"/>
            </w:tcBorders>
          </w:tcPr>
          <w:p w:rsidR="001E3470" w:rsidRPr="00D82290" w:rsidRDefault="001E3470" w:rsidP="001E3470">
            <w:pPr>
              <w:jc w:val="center"/>
              <w:rPr>
                <w:rFonts w:ascii="Calibri" w:hAnsi="Calibri"/>
                <w:b/>
                <w:sz w:val="18"/>
                <w:szCs w:val="18"/>
              </w:rPr>
            </w:pPr>
            <w:r w:rsidRPr="00D82290">
              <w:rPr>
                <w:rFonts w:ascii="Calibri" w:hAnsi="Calibri"/>
                <w:b/>
                <w:sz w:val="18"/>
                <w:szCs w:val="18"/>
              </w:rPr>
              <w:t>obrzeża</w:t>
            </w:r>
          </w:p>
        </w:tc>
        <w:tc>
          <w:tcPr>
            <w:tcW w:w="1232" w:type="dxa"/>
            <w:tcBorders>
              <w:top w:val="single" w:sz="6" w:space="0" w:color="auto"/>
              <w:left w:val="single" w:sz="6" w:space="0" w:color="auto"/>
              <w:bottom w:val="double" w:sz="6" w:space="0" w:color="auto"/>
              <w:right w:val="single" w:sz="6" w:space="0" w:color="auto"/>
            </w:tcBorders>
          </w:tcPr>
          <w:p w:rsidR="001E3470" w:rsidRPr="00D82290" w:rsidRDefault="001E3470" w:rsidP="001E3470">
            <w:pPr>
              <w:jc w:val="center"/>
              <w:rPr>
                <w:rFonts w:ascii="Calibri" w:hAnsi="Calibri"/>
                <w:b/>
                <w:sz w:val="18"/>
                <w:szCs w:val="18"/>
              </w:rPr>
            </w:pPr>
            <w:r w:rsidRPr="00D82290">
              <w:rPr>
                <w:rFonts w:ascii="Calibri" w:hAnsi="Calibri"/>
                <w:b/>
                <w:sz w:val="18"/>
                <w:szCs w:val="18"/>
              </w:rPr>
              <w:t>1</w:t>
            </w:r>
          </w:p>
        </w:tc>
        <w:tc>
          <w:tcPr>
            <w:tcW w:w="1232" w:type="dxa"/>
            <w:tcBorders>
              <w:top w:val="single" w:sz="6" w:space="0" w:color="auto"/>
              <w:left w:val="single" w:sz="6" w:space="0" w:color="auto"/>
              <w:bottom w:val="double" w:sz="6" w:space="0" w:color="auto"/>
              <w:right w:val="single" w:sz="6" w:space="0" w:color="auto"/>
            </w:tcBorders>
          </w:tcPr>
          <w:p w:rsidR="001E3470" w:rsidRPr="00D82290" w:rsidRDefault="001E3470" w:rsidP="001E3470">
            <w:pPr>
              <w:jc w:val="center"/>
              <w:rPr>
                <w:rFonts w:ascii="Calibri" w:hAnsi="Calibri"/>
                <w:b/>
                <w:sz w:val="18"/>
                <w:szCs w:val="18"/>
              </w:rPr>
            </w:pPr>
            <w:r w:rsidRPr="00D82290">
              <w:rPr>
                <w:rFonts w:ascii="Calibri" w:hAnsi="Calibri"/>
                <w:b/>
                <w:sz w:val="18"/>
                <w:szCs w:val="18"/>
              </w:rPr>
              <w:t>b</w:t>
            </w:r>
          </w:p>
        </w:tc>
        <w:tc>
          <w:tcPr>
            <w:tcW w:w="1232" w:type="dxa"/>
            <w:tcBorders>
              <w:top w:val="single" w:sz="6" w:space="0" w:color="auto"/>
              <w:left w:val="single" w:sz="6" w:space="0" w:color="auto"/>
              <w:bottom w:val="double" w:sz="6" w:space="0" w:color="auto"/>
              <w:right w:val="single" w:sz="6" w:space="0" w:color="auto"/>
            </w:tcBorders>
          </w:tcPr>
          <w:p w:rsidR="001E3470" w:rsidRPr="00D82290" w:rsidRDefault="001E3470" w:rsidP="001E3470">
            <w:pPr>
              <w:jc w:val="center"/>
              <w:rPr>
                <w:rFonts w:ascii="Calibri" w:hAnsi="Calibri"/>
                <w:b/>
                <w:sz w:val="18"/>
                <w:szCs w:val="18"/>
              </w:rPr>
            </w:pPr>
            <w:r w:rsidRPr="00D82290">
              <w:rPr>
                <w:rFonts w:ascii="Calibri" w:hAnsi="Calibri"/>
                <w:b/>
                <w:sz w:val="18"/>
                <w:szCs w:val="18"/>
              </w:rPr>
              <w:t>h</w:t>
            </w:r>
          </w:p>
        </w:tc>
        <w:tc>
          <w:tcPr>
            <w:tcW w:w="1265" w:type="dxa"/>
            <w:tcBorders>
              <w:top w:val="single" w:sz="6" w:space="0" w:color="auto"/>
              <w:left w:val="single" w:sz="6" w:space="0" w:color="auto"/>
              <w:bottom w:val="double" w:sz="6" w:space="0" w:color="auto"/>
              <w:right w:val="single" w:sz="6" w:space="0" w:color="auto"/>
            </w:tcBorders>
          </w:tcPr>
          <w:p w:rsidR="001E3470" w:rsidRPr="00D82290" w:rsidRDefault="001E3470" w:rsidP="001E3470">
            <w:pPr>
              <w:jc w:val="center"/>
              <w:rPr>
                <w:rFonts w:ascii="Calibri" w:hAnsi="Calibri"/>
                <w:b/>
                <w:sz w:val="18"/>
                <w:szCs w:val="18"/>
              </w:rPr>
            </w:pPr>
            <w:r w:rsidRPr="00D82290">
              <w:rPr>
                <w:rFonts w:ascii="Calibri" w:hAnsi="Calibri"/>
                <w:b/>
                <w:sz w:val="18"/>
                <w:szCs w:val="18"/>
              </w:rPr>
              <w:t>r</w:t>
            </w:r>
          </w:p>
        </w:tc>
      </w:tr>
      <w:tr w:rsidR="001E3470" w:rsidRPr="00D82290" w:rsidTr="00671D68">
        <w:tc>
          <w:tcPr>
            <w:tcW w:w="1346" w:type="dxa"/>
            <w:tcBorders>
              <w:left w:val="single" w:sz="6" w:space="0" w:color="auto"/>
              <w:bottom w:val="single" w:sz="6" w:space="0" w:color="auto"/>
            </w:tcBorders>
          </w:tcPr>
          <w:p w:rsidR="001E3470" w:rsidRPr="00D82290" w:rsidRDefault="001E3470" w:rsidP="001E3470">
            <w:pPr>
              <w:jc w:val="center"/>
              <w:rPr>
                <w:rFonts w:ascii="Calibri" w:hAnsi="Calibri"/>
                <w:sz w:val="18"/>
                <w:szCs w:val="18"/>
              </w:rPr>
            </w:pPr>
            <w:r w:rsidRPr="00D82290">
              <w:rPr>
                <w:rFonts w:ascii="Calibri" w:hAnsi="Calibri"/>
                <w:sz w:val="18"/>
                <w:szCs w:val="18"/>
              </w:rPr>
              <w:t>On</w:t>
            </w:r>
          </w:p>
        </w:tc>
        <w:tc>
          <w:tcPr>
            <w:tcW w:w="1232" w:type="dxa"/>
            <w:tcBorders>
              <w:left w:val="single" w:sz="6" w:space="0" w:color="auto"/>
              <w:bottom w:val="single" w:sz="6" w:space="0" w:color="auto"/>
              <w:right w:val="single" w:sz="6" w:space="0" w:color="auto"/>
            </w:tcBorders>
          </w:tcPr>
          <w:p w:rsidR="001E3470" w:rsidRPr="00D82290" w:rsidRDefault="001E3470" w:rsidP="001E3470">
            <w:pPr>
              <w:jc w:val="center"/>
              <w:rPr>
                <w:rFonts w:ascii="Calibri" w:hAnsi="Calibri"/>
                <w:sz w:val="18"/>
                <w:szCs w:val="18"/>
              </w:rPr>
            </w:pPr>
            <w:r w:rsidRPr="00D82290">
              <w:rPr>
                <w:rFonts w:ascii="Calibri" w:hAnsi="Calibri"/>
                <w:sz w:val="18"/>
                <w:szCs w:val="18"/>
              </w:rPr>
              <w:t>75</w:t>
            </w:r>
          </w:p>
          <w:p w:rsidR="001E3470" w:rsidRPr="00D82290" w:rsidRDefault="001E3470" w:rsidP="001E3470">
            <w:pPr>
              <w:jc w:val="center"/>
              <w:rPr>
                <w:rFonts w:ascii="Calibri" w:hAnsi="Calibri"/>
                <w:sz w:val="18"/>
                <w:szCs w:val="18"/>
              </w:rPr>
            </w:pPr>
            <w:r w:rsidRPr="00D82290">
              <w:rPr>
                <w:rFonts w:ascii="Calibri" w:hAnsi="Calibri"/>
                <w:sz w:val="18"/>
                <w:szCs w:val="18"/>
              </w:rPr>
              <w:t>100</w:t>
            </w:r>
          </w:p>
        </w:tc>
        <w:tc>
          <w:tcPr>
            <w:tcW w:w="1232" w:type="dxa"/>
            <w:tcBorders>
              <w:left w:val="single" w:sz="6" w:space="0" w:color="auto"/>
              <w:bottom w:val="single" w:sz="6" w:space="0" w:color="auto"/>
              <w:right w:val="single" w:sz="6" w:space="0" w:color="auto"/>
            </w:tcBorders>
          </w:tcPr>
          <w:p w:rsidR="001E3470" w:rsidRPr="00D82290" w:rsidRDefault="001E3470" w:rsidP="001E3470">
            <w:pPr>
              <w:jc w:val="center"/>
              <w:rPr>
                <w:rFonts w:ascii="Calibri" w:hAnsi="Calibri"/>
                <w:sz w:val="18"/>
                <w:szCs w:val="18"/>
              </w:rPr>
            </w:pPr>
            <w:r w:rsidRPr="00D82290">
              <w:rPr>
                <w:rFonts w:ascii="Calibri" w:hAnsi="Calibri"/>
                <w:sz w:val="18"/>
                <w:szCs w:val="18"/>
              </w:rPr>
              <w:t>6</w:t>
            </w:r>
          </w:p>
          <w:p w:rsidR="001E3470" w:rsidRPr="00D82290" w:rsidRDefault="001E3470" w:rsidP="001E3470">
            <w:pPr>
              <w:jc w:val="center"/>
              <w:rPr>
                <w:rFonts w:ascii="Calibri" w:hAnsi="Calibri"/>
                <w:sz w:val="18"/>
                <w:szCs w:val="18"/>
              </w:rPr>
            </w:pPr>
            <w:r w:rsidRPr="00D82290">
              <w:rPr>
                <w:rFonts w:ascii="Calibri" w:hAnsi="Calibri"/>
                <w:sz w:val="18"/>
                <w:szCs w:val="18"/>
              </w:rPr>
              <w:t>6</w:t>
            </w:r>
          </w:p>
        </w:tc>
        <w:tc>
          <w:tcPr>
            <w:tcW w:w="1232" w:type="dxa"/>
            <w:tcBorders>
              <w:left w:val="single" w:sz="6" w:space="0" w:color="auto"/>
              <w:bottom w:val="single" w:sz="6" w:space="0" w:color="auto"/>
              <w:right w:val="single" w:sz="6" w:space="0" w:color="auto"/>
            </w:tcBorders>
          </w:tcPr>
          <w:p w:rsidR="001E3470" w:rsidRPr="00D82290" w:rsidRDefault="001E3470" w:rsidP="001E3470">
            <w:pPr>
              <w:jc w:val="center"/>
              <w:rPr>
                <w:rFonts w:ascii="Calibri" w:hAnsi="Calibri"/>
                <w:sz w:val="18"/>
                <w:szCs w:val="18"/>
              </w:rPr>
            </w:pPr>
            <w:r w:rsidRPr="00D82290">
              <w:rPr>
                <w:rFonts w:ascii="Calibri" w:hAnsi="Calibri"/>
                <w:sz w:val="18"/>
                <w:szCs w:val="18"/>
              </w:rPr>
              <w:t>20</w:t>
            </w:r>
          </w:p>
          <w:p w:rsidR="001E3470" w:rsidRPr="00D82290" w:rsidRDefault="001E3470" w:rsidP="001E3470">
            <w:pPr>
              <w:jc w:val="center"/>
              <w:rPr>
                <w:rFonts w:ascii="Calibri" w:hAnsi="Calibri"/>
                <w:sz w:val="18"/>
                <w:szCs w:val="18"/>
              </w:rPr>
            </w:pPr>
            <w:r w:rsidRPr="00D82290">
              <w:rPr>
                <w:rFonts w:ascii="Calibri" w:hAnsi="Calibri"/>
                <w:sz w:val="18"/>
                <w:szCs w:val="18"/>
              </w:rPr>
              <w:t>20</w:t>
            </w:r>
          </w:p>
        </w:tc>
        <w:tc>
          <w:tcPr>
            <w:tcW w:w="1265" w:type="dxa"/>
            <w:tcBorders>
              <w:left w:val="single" w:sz="6" w:space="0" w:color="auto"/>
              <w:bottom w:val="single" w:sz="6" w:space="0" w:color="auto"/>
              <w:right w:val="single" w:sz="6" w:space="0" w:color="auto"/>
            </w:tcBorders>
          </w:tcPr>
          <w:p w:rsidR="001E3470" w:rsidRPr="00D82290" w:rsidRDefault="001E3470" w:rsidP="001E3470">
            <w:pPr>
              <w:jc w:val="center"/>
              <w:rPr>
                <w:rFonts w:ascii="Calibri" w:hAnsi="Calibri"/>
                <w:sz w:val="18"/>
                <w:szCs w:val="18"/>
              </w:rPr>
            </w:pPr>
            <w:r w:rsidRPr="00D82290">
              <w:rPr>
                <w:rFonts w:ascii="Calibri" w:hAnsi="Calibri"/>
                <w:sz w:val="18"/>
                <w:szCs w:val="18"/>
              </w:rPr>
              <w:t>3</w:t>
            </w:r>
          </w:p>
          <w:p w:rsidR="001E3470" w:rsidRPr="00D82290" w:rsidRDefault="001E3470" w:rsidP="001E3470">
            <w:pPr>
              <w:jc w:val="center"/>
              <w:rPr>
                <w:rFonts w:ascii="Calibri" w:hAnsi="Calibri"/>
                <w:sz w:val="18"/>
                <w:szCs w:val="18"/>
              </w:rPr>
            </w:pPr>
            <w:r w:rsidRPr="00D82290">
              <w:rPr>
                <w:rFonts w:ascii="Calibri" w:hAnsi="Calibri"/>
                <w:sz w:val="18"/>
                <w:szCs w:val="18"/>
              </w:rPr>
              <w:t>3</w:t>
            </w:r>
          </w:p>
        </w:tc>
      </w:tr>
      <w:tr w:rsidR="001E3470" w:rsidRPr="00D82290" w:rsidTr="00671D68">
        <w:tc>
          <w:tcPr>
            <w:tcW w:w="1346" w:type="dxa"/>
            <w:tcBorders>
              <w:top w:val="single" w:sz="6" w:space="0" w:color="auto"/>
              <w:left w:val="single" w:sz="6" w:space="0" w:color="auto"/>
              <w:bottom w:val="single" w:sz="6" w:space="0" w:color="auto"/>
            </w:tcBorders>
          </w:tcPr>
          <w:p w:rsidR="001E3470" w:rsidRPr="00D82290" w:rsidRDefault="001E3470" w:rsidP="001E3470">
            <w:pPr>
              <w:jc w:val="center"/>
              <w:rPr>
                <w:rFonts w:ascii="Calibri" w:hAnsi="Calibri"/>
                <w:sz w:val="18"/>
                <w:szCs w:val="18"/>
              </w:rPr>
            </w:pPr>
          </w:p>
          <w:p w:rsidR="001E3470" w:rsidRPr="00D82290" w:rsidRDefault="001E3470" w:rsidP="001E3470">
            <w:pPr>
              <w:jc w:val="center"/>
              <w:rPr>
                <w:rFonts w:ascii="Calibri" w:hAnsi="Calibri"/>
                <w:sz w:val="18"/>
                <w:szCs w:val="18"/>
              </w:rPr>
            </w:pPr>
            <w:r w:rsidRPr="00D82290">
              <w:rPr>
                <w:rFonts w:ascii="Calibri" w:hAnsi="Calibri"/>
                <w:sz w:val="18"/>
                <w:szCs w:val="18"/>
              </w:rPr>
              <w:t>Ow</w:t>
            </w:r>
          </w:p>
        </w:tc>
        <w:tc>
          <w:tcPr>
            <w:tcW w:w="1232" w:type="dxa"/>
            <w:tcBorders>
              <w:top w:val="single" w:sz="6" w:space="0" w:color="auto"/>
              <w:left w:val="single" w:sz="6" w:space="0" w:color="auto"/>
              <w:bottom w:val="single" w:sz="6" w:space="0" w:color="auto"/>
              <w:right w:val="single" w:sz="6" w:space="0" w:color="auto"/>
            </w:tcBorders>
          </w:tcPr>
          <w:p w:rsidR="001E3470" w:rsidRPr="00D82290" w:rsidRDefault="001E3470" w:rsidP="001E3470">
            <w:pPr>
              <w:jc w:val="center"/>
              <w:rPr>
                <w:rFonts w:ascii="Calibri" w:hAnsi="Calibri"/>
                <w:sz w:val="18"/>
                <w:szCs w:val="18"/>
              </w:rPr>
            </w:pPr>
            <w:r w:rsidRPr="00D82290">
              <w:rPr>
                <w:rFonts w:ascii="Calibri" w:hAnsi="Calibri"/>
                <w:sz w:val="18"/>
                <w:szCs w:val="18"/>
              </w:rPr>
              <w:t>75</w:t>
            </w:r>
          </w:p>
          <w:p w:rsidR="001E3470" w:rsidRPr="00D82290" w:rsidRDefault="001E3470" w:rsidP="001E3470">
            <w:pPr>
              <w:jc w:val="center"/>
              <w:rPr>
                <w:rFonts w:ascii="Calibri" w:hAnsi="Calibri"/>
                <w:sz w:val="18"/>
                <w:szCs w:val="18"/>
              </w:rPr>
            </w:pPr>
            <w:r w:rsidRPr="00D82290">
              <w:rPr>
                <w:rFonts w:ascii="Calibri" w:hAnsi="Calibri"/>
                <w:sz w:val="18"/>
                <w:szCs w:val="18"/>
              </w:rPr>
              <w:t>90</w:t>
            </w:r>
          </w:p>
          <w:p w:rsidR="001E3470" w:rsidRPr="00D82290" w:rsidRDefault="001E3470" w:rsidP="001E3470">
            <w:pPr>
              <w:jc w:val="center"/>
              <w:rPr>
                <w:rFonts w:ascii="Calibri" w:hAnsi="Calibri"/>
                <w:sz w:val="18"/>
                <w:szCs w:val="18"/>
              </w:rPr>
            </w:pPr>
            <w:r w:rsidRPr="00D82290">
              <w:rPr>
                <w:rFonts w:ascii="Calibri" w:hAnsi="Calibri"/>
                <w:sz w:val="18"/>
                <w:szCs w:val="18"/>
              </w:rPr>
              <w:t>100</w:t>
            </w:r>
          </w:p>
        </w:tc>
        <w:tc>
          <w:tcPr>
            <w:tcW w:w="1232" w:type="dxa"/>
            <w:tcBorders>
              <w:top w:val="single" w:sz="6" w:space="0" w:color="auto"/>
              <w:left w:val="single" w:sz="6" w:space="0" w:color="auto"/>
              <w:bottom w:val="single" w:sz="6" w:space="0" w:color="auto"/>
              <w:right w:val="single" w:sz="6" w:space="0" w:color="auto"/>
            </w:tcBorders>
          </w:tcPr>
          <w:p w:rsidR="001E3470" w:rsidRPr="00D82290" w:rsidRDefault="001E3470" w:rsidP="001E3470">
            <w:pPr>
              <w:jc w:val="center"/>
              <w:rPr>
                <w:rFonts w:ascii="Calibri" w:hAnsi="Calibri"/>
                <w:sz w:val="18"/>
                <w:szCs w:val="18"/>
              </w:rPr>
            </w:pPr>
            <w:r w:rsidRPr="00D82290">
              <w:rPr>
                <w:rFonts w:ascii="Calibri" w:hAnsi="Calibri"/>
                <w:sz w:val="18"/>
                <w:szCs w:val="18"/>
              </w:rPr>
              <w:t>8</w:t>
            </w:r>
          </w:p>
          <w:p w:rsidR="001E3470" w:rsidRPr="00D82290" w:rsidRDefault="001E3470" w:rsidP="001E3470">
            <w:pPr>
              <w:jc w:val="center"/>
              <w:rPr>
                <w:rFonts w:ascii="Calibri" w:hAnsi="Calibri"/>
                <w:sz w:val="18"/>
                <w:szCs w:val="18"/>
              </w:rPr>
            </w:pPr>
            <w:r w:rsidRPr="00D82290">
              <w:rPr>
                <w:rFonts w:ascii="Calibri" w:hAnsi="Calibri"/>
                <w:sz w:val="18"/>
                <w:szCs w:val="18"/>
              </w:rPr>
              <w:t>8</w:t>
            </w:r>
          </w:p>
          <w:p w:rsidR="001E3470" w:rsidRPr="00D82290" w:rsidRDefault="001E3470" w:rsidP="001E3470">
            <w:pPr>
              <w:jc w:val="center"/>
              <w:rPr>
                <w:rFonts w:ascii="Calibri" w:hAnsi="Calibri"/>
                <w:sz w:val="18"/>
                <w:szCs w:val="18"/>
              </w:rPr>
            </w:pPr>
            <w:r w:rsidRPr="00D82290">
              <w:rPr>
                <w:rFonts w:ascii="Calibri" w:hAnsi="Calibri"/>
                <w:sz w:val="18"/>
                <w:szCs w:val="18"/>
              </w:rPr>
              <w:t>8</w:t>
            </w:r>
          </w:p>
        </w:tc>
        <w:tc>
          <w:tcPr>
            <w:tcW w:w="1232" w:type="dxa"/>
            <w:tcBorders>
              <w:top w:val="single" w:sz="6" w:space="0" w:color="auto"/>
              <w:left w:val="single" w:sz="6" w:space="0" w:color="auto"/>
              <w:bottom w:val="single" w:sz="6" w:space="0" w:color="auto"/>
              <w:right w:val="single" w:sz="6" w:space="0" w:color="auto"/>
            </w:tcBorders>
          </w:tcPr>
          <w:p w:rsidR="001E3470" w:rsidRPr="00D82290" w:rsidRDefault="001E3470" w:rsidP="001E3470">
            <w:pPr>
              <w:jc w:val="center"/>
              <w:rPr>
                <w:rFonts w:ascii="Calibri" w:hAnsi="Calibri"/>
                <w:sz w:val="18"/>
                <w:szCs w:val="18"/>
              </w:rPr>
            </w:pPr>
            <w:r w:rsidRPr="00D82290">
              <w:rPr>
                <w:rFonts w:ascii="Calibri" w:hAnsi="Calibri"/>
                <w:sz w:val="18"/>
                <w:szCs w:val="18"/>
              </w:rPr>
              <w:t>30</w:t>
            </w:r>
          </w:p>
          <w:p w:rsidR="001E3470" w:rsidRPr="00D82290" w:rsidRDefault="001E3470" w:rsidP="001E3470">
            <w:pPr>
              <w:jc w:val="center"/>
              <w:rPr>
                <w:rFonts w:ascii="Calibri" w:hAnsi="Calibri"/>
                <w:sz w:val="18"/>
                <w:szCs w:val="18"/>
              </w:rPr>
            </w:pPr>
            <w:r w:rsidRPr="00D82290">
              <w:rPr>
                <w:rFonts w:ascii="Calibri" w:hAnsi="Calibri"/>
                <w:sz w:val="18"/>
                <w:szCs w:val="18"/>
              </w:rPr>
              <w:t>24</w:t>
            </w:r>
          </w:p>
          <w:p w:rsidR="001E3470" w:rsidRPr="00D82290" w:rsidRDefault="001E3470" w:rsidP="001E3470">
            <w:pPr>
              <w:jc w:val="center"/>
              <w:rPr>
                <w:rFonts w:ascii="Calibri" w:hAnsi="Calibri"/>
                <w:sz w:val="18"/>
                <w:szCs w:val="18"/>
              </w:rPr>
            </w:pPr>
            <w:r w:rsidRPr="00D82290">
              <w:rPr>
                <w:rFonts w:ascii="Calibri" w:hAnsi="Calibri"/>
                <w:sz w:val="18"/>
                <w:szCs w:val="18"/>
              </w:rPr>
              <w:t>30</w:t>
            </w:r>
          </w:p>
        </w:tc>
        <w:tc>
          <w:tcPr>
            <w:tcW w:w="1265" w:type="dxa"/>
            <w:tcBorders>
              <w:top w:val="single" w:sz="6" w:space="0" w:color="auto"/>
              <w:left w:val="single" w:sz="6" w:space="0" w:color="auto"/>
              <w:bottom w:val="single" w:sz="6" w:space="0" w:color="auto"/>
              <w:right w:val="single" w:sz="6" w:space="0" w:color="auto"/>
            </w:tcBorders>
          </w:tcPr>
          <w:p w:rsidR="001E3470" w:rsidRPr="00D82290" w:rsidRDefault="001E3470" w:rsidP="001E3470">
            <w:pPr>
              <w:jc w:val="center"/>
              <w:rPr>
                <w:rFonts w:ascii="Calibri" w:hAnsi="Calibri"/>
                <w:sz w:val="18"/>
                <w:szCs w:val="18"/>
              </w:rPr>
            </w:pPr>
            <w:r w:rsidRPr="00D82290">
              <w:rPr>
                <w:rFonts w:ascii="Calibri" w:hAnsi="Calibri"/>
                <w:sz w:val="18"/>
                <w:szCs w:val="18"/>
              </w:rPr>
              <w:t>3</w:t>
            </w:r>
          </w:p>
          <w:p w:rsidR="001E3470" w:rsidRPr="00D82290" w:rsidRDefault="001E3470" w:rsidP="001E3470">
            <w:pPr>
              <w:jc w:val="center"/>
              <w:rPr>
                <w:rFonts w:ascii="Calibri" w:hAnsi="Calibri"/>
                <w:sz w:val="18"/>
                <w:szCs w:val="18"/>
              </w:rPr>
            </w:pPr>
            <w:r w:rsidRPr="00D82290">
              <w:rPr>
                <w:rFonts w:ascii="Calibri" w:hAnsi="Calibri"/>
                <w:sz w:val="18"/>
                <w:szCs w:val="18"/>
              </w:rPr>
              <w:t>3</w:t>
            </w:r>
          </w:p>
          <w:p w:rsidR="001E3470" w:rsidRPr="00D82290" w:rsidRDefault="001E3470" w:rsidP="001E3470">
            <w:pPr>
              <w:jc w:val="center"/>
              <w:rPr>
                <w:rFonts w:ascii="Calibri" w:hAnsi="Calibri"/>
                <w:sz w:val="18"/>
                <w:szCs w:val="18"/>
              </w:rPr>
            </w:pPr>
            <w:r w:rsidRPr="00D82290">
              <w:rPr>
                <w:rFonts w:ascii="Calibri" w:hAnsi="Calibri"/>
                <w:sz w:val="18"/>
                <w:szCs w:val="18"/>
              </w:rPr>
              <w:t>3</w:t>
            </w:r>
          </w:p>
        </w:tc>
      </w:tr>
    </w:tbl>
    <w:p w:rsidR="001E3470" w:rsidRPr="00D82290" w:rsidRDefault="001E3470" w:rsidP="001E3470">
      <w:pPr>
        <w:rPr>
          <w:rFonts w:ascii="Calibri" w:hAnsi="Calibri"/>
        </w:rPr>
      </w:pPr>
    </w:p>
    <w:p w:rsidR="001E3470" w:rsidRPr="00D82290" w:rsidRDefault="001E3470" w:rsidP="001E3470">
      <w:pPr>
        <w:rPr>
          <w:rFonts w:ascii="Calibri" w:hAnsi="Calibri"/>
        </w:rPr>
      </w:pPr>
      <w:r w:rsidRPr="00D82290">
        <w:rPr>
          <w:rFonts w:ascii="Calibri" w:hAnsi="Calibri"/>
          <w:b/>
        </w:rPr>
        <w:t>2.4.2.</w:t>
      </w:r>
      <w:r w:rsidRPr="00D82290">
        <w:rPr>
          <w:rFonts w:ascii="Calibri" w:hAnsi="Calibri"/>
        </w:rPr>
        <w:t xml:space="preserve"> Dopuszczalne odchyłki wymiarów obrzeży</w:t>
      </w:r>
    </w:p>
    <w:p w:rsidR="001E3470" w:rsidRPr="00D82290" w:rsidRDefault="001E3470" w:rsidP="001E3470">
      <w:pPr>
        <w:rPr>
          <w:rFonts w:ascii="Calibri" w:hAnsi="Calibri"/>
        </w:rPr>
      </w:pPr>
      <w:r w:rsidRPr="00D82290">
        <w:rPr>
          <w:rFonts w:ascii="Calibri" w:hAnsi="Calibri"/>
        </w:rPr>
        <w:tab/>
        <w:t>Dopuszczalne odchyłki wymiarów obrzeży podano w tablicy 2.</w:t>
      </w:r>
    </w:p>
    <w:p w:rsidR="001E3470" w:rsidRPr="00D82290" w:rsidRDefault="001E3470" w:rsidP="001E3470">
      <w:pPr>
        <w:rPr>
          <w:rFonts w:ascii="Calibri" w:hAnsi="Calibri"/>
        </w:rPr>
      </w:pPr>
    </w:p>
    <w:p w:rsidR="001E3470" w:rsidRPr="00D82290" w:rsidRDefault="001E3470" w:rsidP="00671D68">
      <w:pPr>
        <w:ind w:left="709"/>
        <w:rPr>
          <w:rFonts w:ascii="Calibri" w:hAnsi="Calibri"/>
        </w:rPr>
      </w:pPr>
      <w:r w:rsidRPr="00D82290">
        <w:rPr>
          <w:rFonts w:ascii="Calibri" w:hAnsi="Calibri"/>
        </w:rPr>
        <w:t>Tablica 2. Dopuszczalne odchyłki wymiarów obrzeży</w:t>
      </w:r>
    </w:p>
    <w:tbl>
      <w:tblPr>
        <w:tblW w:w="7510" w:type="dxa"/>
        <w:tblInd w:w="779" w:type="dxa"/>
        <w:tblLayout w:type="fixed"/>
        <w:tblCellMar>
          <w:left w:w="70" w:type="dxa"/>
          <w:right w:w="70" w:type="dxa"/>
        </w:tblCellMar>
        <w:tblLook w:val="0000"/>
      </w:tblPr>
      <w:tblGrid>
        <w:gridCol w:w="2338"/>
        <w:gridCol w:w="2586"/>
        <w:gridCol w:w="2586"/>
      </w:tblGrid>
      <w:tr w:rsidR="001E3470" w:rsidRPr="00D82290" w:rsidTr="00671D68">
        <w:tc>
          <w:tcPr>
            <w:tcW w:w="2338" w:type="dxa"/>
            <w:tcBorders>
              <w:top w:val="single" w:sz="6" w:space="0" w:color="auto"/>
              <w:left w:val="single" w:sz="6" w:space="0" w:color="auto"/>
            </w:tcBorders>
          </w:tcPr>
          <w:p w:rsidR="001E3470" w:rsidRPr="00D82290" w:rsidRDefault="001E3470" w:rsidP="001E3470">
            <w:pPr>
              <w:jc w:val="center"/>
              <w:rPr>
                <w:rFonts w:ascii="Calibri" w:hAnsi="Calibri"/>
                <w:b/>
                <w:sz w:val="18"/>
                <w:szCs w:val="18"/>
              </w:rPr>
            </w:pPr>
            <w:r w:rsidRPr="00D82290">
              <w:rPr>
                <w:rFonts w:ascii="Calibri" w:hAnsi="Calibri"/>
                <w:b/>
                <w:sz w:val="18"/>
                <w:szCs w:val="18"/>
              </w:rPr>
              <w:t>Rodzaj</w:t>
            </w:r>
          </w:p>
        </w:tc>
        <w:tc>
          <w:tcPr>
            <w:tcW w:w="5172" w:type="dxa"/>
            <w:gridSpan w:val="2"/>
            <w:tcBorders>
              <w:top w:val="single" w:sz="6" w:space="0" w:color="auto"/>
              <w:left w:val="single" w:sz="6" w:space="0" w:color="auto"/>
              <w:bottom w:val="single" w:sz="6" w:space="0" w:color="auto"/>
              <w:right w:val="single" w:sz="6" w:space="0" w:color="auto"/>
            </w:tcBorders>
          </w:tcPr>
          <w:p w:rsidR="001E3470" w:rsidRPr="00D82290" w:rsidRDefault="001E3470" w:rsidP="001E3470">
            <w:pPr>
              <w:jc w:val="center"/>
              <w:rPr>
                <w:rFonts w:ascii="Calibri" w:hAnsi="Calibri"/>
                <w:b/>
                <w:sz w:val="18"/>
                <w:szCs w:val="18"/>
              </w:rPr>
            </w:pPr>
            <w:r w:rsidRPr="00D82290">
              <w:rPr>
                <w:rFonts w:ascii="Calibri" w:hAnsi="Calibri"/>
                <w:b/>
                <w:sz w:val="18"/>
                <w:szCs w:val="18"/>
              </w:rPr>
              <w:t>Dopuszczalna odchyłka,   m</w:t>
            </w:r>
          </w:p>
        </w:tc>
      </w:tr>
      <w:tr w:rsidR="001E3470" w:rsidRPr="00D82290" w:rsidTr="00671D68">
        <w:tc>
          <w:tcPr>
            <w:tcW w:w="2338" w:type="dxa"/>
            <w:tcBorders>
              <w:left w:val="single" w:sz="6" w:space="0" w:color="auto"/>
              <w:bottom w:val="double" w:sz="6" w:space="0" w:color="auto"/>
            </w:tcBorders>
          </w:tcPr>
          <w:p w:rsidR="001E3470" w:rsidRPr="00D82290" w:rsidRDefault="001E3470" w:rsidP="001E3470">
            <w:pPr>
              <w:jc w:val="center"/>
              <w:rPr>
                <w:rFonts w:ascii="Calibri" w:hAnsi="Calibri"/>
                <w:b/>
                <w:sz w:val="18"/>
                <w:szCs w:val="18"/>
              </w:rPr>
            </w:pPr>
            <w:r w:rsidRPr="00D82290">
              <w:rPr>
                <w:rFonts w:ascii="Calibri" w:hAnsi="Calibri"/>
                <w:b/>
                <w:sz w:val="18"/>
                <w:szCs w:val="18"/>
              </w:rPr>
              <w:t>wymiaru</w:t>
            </w:r>
          </w:p>
        </w:tc>
        <w:tc>
          <w:tcPr>
            <w:tcW w:w="2586" w:type="dxa"/>
            <w:tcBorders>
              <w:top w:val="single" w:sz="6" w:space="0" w:color="auto"/>
              <w:left w:val="single" w:sz="6" w:space="0" w:color="auto"/>
              <w:bottom w:val="double" w:sz="6" w:space="0" w:color="auto"/>
              <w:right w:val="single" w:sz="6" w:space="0" w:color="auto"/>
            </w:tcBorders>
          </w:tcPr>
          <w:p w:rsidR="001E3470" w:rsidRPr="00D82290" w:rsidRDefault="001E3470" w:rsidP="001E3470">
            <w:pPr>
              <w:jc w:val="center"/>
              <w:rPr>
                <w:rFonts w:ascii="Calibri" w:hAnsi="Calibri"/>
                <w:b/>
                <w:sz w:val="18"/>
                <w:szCs w:val="18"/>
              </w:rPr>
            </w:pPr>
            <w:r w:rsidRPr="00D82290">
              <w:rPr>
                <w:rFonts w:ascii="Calibri" w:hAnsi="Calibri"/>
                <w:b/>
                <w:sz w:val="18"/>
                <w:szCs w:val="18"/>
              </w:rPr>
              <w:t>Gatunek 1</w:t>
            </w:r>
          </w:p>
        </w:tc>
        <w:tc>
          <w:tcPr>
            <w:tcW w:w="2586" w:type="dxa"/>
            <w:tcBorders>
              <w:top w:val="single" w:sz="6" w:space="0" w:color="auto"/>
              <w:left w:val="single" w:sz="6" w:space="0" w:color="auto"/>
              <w:bottom w:val="double" w:sz="6" w:space="0" w:color="auto"/>
              <w:right w:val="single" w:sz="6" w:space="0" w:color="auto"/>
            </w:tcBorders>
          </w:tcPr>
          <w:p w:rsidR="001E3470" w:rsidRPr="00D82290" w:rsidRDefault="001E3470" w:rsidP="001E3470">
            <w:pPr>
              <w:jc w:val="center"/>
              <w:rPr>
                <w:rFonts w:ascii="Calibri" w:hAnsi="Calibri"/>
                <w:b/>
                <w:sz w:val="18"/>
                <w:szCs w:val="18"/>
              </w:rPr>
            </w:pPr>
            <w:r w:rsidRPr="00D82290">
              <w:rPr>
                <w:rFonts w:ascii="Calibri" w:hAnsi="Calibri"/>
                <w:b/>
                <w:sz w:val="18"/>
                <w:szCs w:val="18"/>
              </w:rPr>
              <w:t>Gatunek 2</w:t>
            </w:r>
          </w:p>
        </w:tc>
      </w:tr>
      <w:tr w:rsidR="001E3470" w:rsidRPr="00D82290" w:rsidTr="00671D68">
        <w:tc>
          <w:tcPr>
            <w:tcW w:w="2338" w:type="dxa"/>
            <w:tcBorders>
              <w:left w:val="single" w:sz="6" w:space="0" w:color="auto"/>
              <w:bottom w:val="single" w:sz="6" w:space="0" w:color="auto"/>
            </w:tcBorders>
          </w:tcPr>
          <w:p w:rsidR="001E3470" w:rsidRPr="00D82290" w:rsidRDefault="001E3470" w:rsidP="001E3470">
            <w:pPr>
              <w:jc w:val="center"/>
              <w:rPr>
                <w:rFonts w:ascii="Calibri" w:hAnsi="Calibri"/>
                <w:sz w:val="18"/>
                <w:szCs w:val="18"/>
              </w:rPr>
            </w:pPr>
            <w:r w:rsidRPr="00D82290">
              <w:rPr>
                <w:rFonts w:ascii="Calibri" w:hAnsi="Calibri"/>
                <w:sz w:val="18"/>
                <w:szCs w:val="18"/>
              </w:rPr>
              <w:t>l</w:t>
            </w:r>
          </w:p>
        </w:tc>
        <w:tc>
          <w:tcPr>
            <w:tcW w:w="2586" w:type="dxa"/>
            <w:tcBorders>
              <w:left w:val="single" w:sz="6" w:space="0" w:color="auto"/>
              <w:bottom w:val="single" w:sz="6" w:space="0" w:color="auto"/>
              <w:right w:val="single" w:sz="6" w:space="0" w:color="auto"/>
            </w:tcBorders>
          </w:tcPr>
          <w:p w:rsidR="001E3470" w:rsidRPr="00D82290" w:rsidRDefault="001E3470" w:rsidP="001E3470">
            <w:pPr>
              <w:jc w:val="center"/>
              <w:rPr>
                <w:rFonts w:ascii="Calibri" w:hAnsi="Calibri"/>
                <w:sz w:val="18"/>
                <w:szCs w:val="18"/>
              </w:rPr>
            </w:pPr>
            <w:r w:rsidRPr="00D82290">
              <w:rPr>
                <w:rFonts w:ascii="Calibri" w:hAnsi="Calibri"/>
                <w:sz w:val="18"/>
                <w:szCs w:val="18"/>
              </w:rPr>
              <w:sym w:font="Symbol" w:char="F0B1"/>
            </w:r>
            <w:r w:rsidRPr="00D82290">
              <w:rPr>
                <w:rFonts w:ascii="Calibri" w:hAnsi="Calibri"/>
                <w:sz w:val="18"/>
                <w:szCs w:val="18"/>
              </w:rPr>
              <w:t xml:space="preserve"> 8</w:t>
            </w:r>
          </w:p>
        </w:tc>
        <w:tc>
          <w:tcPr>
            <w:tcW w:w="2586" w:type="dxa"/>
            <w:tcBorders>
              <w:left w:val="single" w:sz="6" w:space="0" w:color="auto"/>
              <w:bottom w:val="single" w:sz="6" w:space="0" w:color="auto"/>
              <w:right w:val="single" w:sz="6" w:space="0" w:color="auto"/>
            </w:tcBorders>
          </w:tcPr>
          <w:p w:rsidR="001E3470" w:rsidRPr="00D82290" w:rsidRDefault="001E3470" w:rsidP="001E3470">
            <w:pPr>
              <w:jc w:val="center"/>
              <w:rPr>
                <w:rFonts w:ascii="Calibri" w:hAnsi="Calibri"/>
                <w:sz w:val="18"/>
                <w:szCs w:val="18"/>
              </w:rPr>
            </w:pPr>
            <w:r w:rsidRPr="00D82290">
              <w:rPr>
                <w:rFonts w:ascii="Calibri" w:hAnsi="Calibri"/>
                <w:sz w:val="18"/>
                <w:szCs w:val="18"/>
              </w:rPr>
              <w:sym w:font="Symbol" w:char="F0B1"/>
            </w:r>
            <w:r w:rsidRPr="00D82290">
              <w:rPr>
                <w:rFonts w:ascii="Calibri" w:hAnsi="Calibri"/>
                <w:sz w:val="18"/>
                <w:szCs w:val="18"/>
              </w:rPr>
              <w:t xml:space="preserve"> 12</w:t>
            </w:r>
          </w:p>
        </w:tc>
      </w:tr>
      <w:tr w:rsidR="001E3470" w:rsidRPr="00D82290" w:rsidTr="00671D68">
        <w:tc>
          <w:tcPr>
            <w:tcW w:w="2338" w:type="dxa"/>
            <w:tcBorders>
              <w:top w:val="single" w:sz="6" w:space="0" w:color="auto"/>
              <w:left w:val="single" w:sz="6" w:space="0" w:color="auto"/>
              <w:bottom w:val="single" w:sz="6" w:space="0" w:color="auto"/>
            </w:tcBorders>
          </w:tcPr>
          <w:p w:rsidR="001E3470" w:rsidRPr="00D82290" w:rsidRDefault="001E3470" w:rsidP="001E3470">
            <w:pPr>
              <w:jc w:val="center"/>
              <w:rPr>
                <w:rFonts w:ascii="Calibri" w:hAnsi="Calibri"/>
                <w:sz w:val="18"/>
                <w:szCs w:val="18"/>
              </w:rPr>
            </w:pPr>
            <w:r w:rsidRPr="00D82290">
              <w:rPr>
                <w:rFonts w:ascii="Calibri" w:hAnsi="Calibri"/>
                <w:sz w:val="18"/>
                <w:szCs w:val="18"/>
              </w:rPr>
              <w:t>b,   h</w:t>
            </w:r>
          </w:p>
        </w:tc>
        <w:tc>
          <w:tcPr>
            <w:tcW w:w="2586" w:type="dxa"/>
            <w:tcBorders>
              <w:top w:val="single" w:sz="6" w:space="0" w:color="auto"/>
              <w:left w:val="single" w:sz="6" w:space="0" w:color="auto"/>
              <w:bottom w:val="single" w:sz="6" w:space="0" w:color="auto"/>
              <w:right w:val="single" w:sz="6" w:space="0" w:color="auto"/>
            </w:tcBorders>
          </w:tcPr>
          <w:p w:rsidR="001E3470" w:rsidRPr="00D82290" w:rsidRDefault="001E3470" w:rsidP="001E3470">
            <w:pPr>
              <w:jc w:val="center"/>
              <w:rPr>
                <w:rFonts w:ascii="Calibri" w:hAnsi="Calibri"/>
                <w:sz w:val="18"/>
                <w:szCs w:val="18"/>
              </w:rPr>
            </w:pPr>
            <w:r w:rsidRPr="00D82290">
              <w:rPr>
                <w:rFonts w:ascii="Calibri" w:hAnsi="Calibri"/>
                <w:sz w:val="18"/>
                <w:szCs w:val="18"/>
              </w:rPr>
              <w:sym w:font="Symbol" w:char="F0B1"/>
            </w:r>
            <w:r w:rsidRPr="00D82290">
              <w:rPr>
                <w:rFonts w:ascii="Calibri" w:hAnsi="Calibri"/>
                <w:sz w:val="18"/>
                <w:szCs w:val="18"/>
              </w:rPr>
              <w:t xml:space="preserve"> 3</w:t>
            </w:r>
          </w:p>
        </w:tc>
        <w:tc>
          <w:tcPr>
            <w:tcW w:w="2586" w:type="dxa"/>
            <w:tcBorders>
              <w:top w:val="single" w:sz="6" w:space="0" w:color="auto"/>
              <w:left w:val="single" w:sz="6" w:space="0" w:color="auto"/>
              <w:bottom w:val="single" w:sz="6" w:space="0" w:color="auto"/>
              <w:right w:val="single" w:sz="6" w:space="0" w:color="auto"/>
            </w:tcBorders>
          </w:tcPr>
          <w:p w:rsidR="001E3470" w:rsidRPr="00D82290" w:rsidRDefault="001E3470" w:rsidP="001E3470">
            <w:pPr>
              <w:jc w:val="center"/>
              <w:rPr>
                <w:rFonts w:ascii="Calibri" w:hAnsi="Calibri"/>
                <w:sz w:val="18"/>
                <w:szCs w:val="18"/>
              </w:rPr>
            </w:pPr>
            <w:r w:rsidRPr="00D82290">
              <w:rPr>
                <w:rFonts w:ascii="Calibri" w:hAnsi="Calibri"/>
                <w:sz w:val="18"/>
                <w:szCs w:val="18"/>
              </w:rPr>
              <w:sym w:font="Symbol" w:char="F0B1"/>
            </w:r>
            <w:r w:rsidRPr="00D82290">
              <w:rPr>
                <w:rFonts w:ascii="Calibri" w:hAnsi="Calibri"/>
                <w:sz w:val="18"/>
                <w:szCs w:val="18"/>
              </w:rPr>
              <w:t xml:space="preserve"> 3</w:t>
            </w:r>
          </w:p>
        </w:tc>
      </w:tr>
    </w:tbl>
    <w:p w:rsidR="001E3470" w:rsidRPr="00D82290" w:rsidRDefault="001E3470" w:rsidP="001E3470">
      <w:pPr>
        <w:rPr>
          <w:rFonts w:ascii="Calibri" w:hAnsi="Calibri"/>
        </w:rPr>
      </w:pPr>
    </w:p>
    <w:p w:rsidR="001E3470" w:rsidRPr="00D82290" w:rsidRDefault="001E3470" w:rsidP="001E3470">
      <w:pPr>
        <w:rPr>
          <w:rFonts w:ascii="Calibri" w:hAnsi="Calibri"/>
        </w:rPr>
      </w:pPr>
      <w:r w:rsidRPr="00D82290">
        <w:rPr>
          <w:rFonts w:ascii="Calibri" w:hAnsi="Calibri"/>
          <w:b/>
        </w:rPr>
        <w:t>2.4.3.</w:t>
      </w:r>
      <w:r w:rsidRPr="00D82290">
        <w:rPr>
          <w:rFonts w:ascii="Calibri" w:hAnsi="Calibri"/>
        </w:rPr>
        <w:t xml:space="preserve"> Dopuszczalne wady i uszkodzenia obrzeży</w:t>
      </w:r>
    </w:p>
    <w:p w:rsidR="001E3470" w:rsidRPr="00D82290" w:rsidRDefault="001E3470" w:rsidP="001E3470">
      <w:pPr>
        <w:rPr>
          <w:rFonts w:ascii="Calibri" w:hAnsi="Calibri"/>
        </w:rPr>
      </w:pPr>
      <w:r w:rsidRPr="00D82290">
        <w:rPr>
          <w:rFonts w:ascii="Calibri" w:hAnsi="Calibri"/>
        </w:rPr>
        <w:tab/>
        <w:t>Powierzchnie obrzeży powinny być bez rys, pęknięć i ubytków betonu, o fakturze z formy lub zatartej. Krawędzie elementów powinny być równe i proste.</w:t>
      </w:r>
    </w:p>
    <w:p w:rsidR="001E3470" w:rsidRPr="00D82290" w:rsidRDefault="001E3470" w:rsidP="001E3470">
      <w:pPr>
        <w:rPr>
          <w:rFonts w:ascii="Calibri" w:hAnsi="Calibri"/>
        </w:rPr>
      </w:pPr>
      <w:r w:rsidRPr="00D82290">
        <w:rPr>
          <w:rFonts w:ascii="Calibri" w:hAnsi="Calibri"/>
        </w:rPr>
        <w:tab/>
        <w:t>Dopuszczalne wady oraz uszkodzenia powierzchni i krawędzi elementów nie powinny przekraczać wartości podanych w tablicy 3.</w:t>
      </w:r>
    </w:p>
    <w:p w:rsidR="001E3470" w:rsidRPr="00D82290" w:rsidRDefault="001E3470" w:rsidP="001E3470">
      <w:pPr>
        <w:rPr>
          <w:rFonts w:ascii="Calibri" w:hAnsi="Calibri"/>
        </w:rPr>
      </w:pPr>
    </w:p>
    <w:p w:rsidR="001E3470" w:rsidRPr="00D82290" w:rsidRDefault="001E3470" w:rsidP="00671D68">
      <w:pPr>
        <w:ind w:left="709"/>
        <w:rPr>
          <w:rFonts w:ascii="Calibri" w:hAnsi="Calibri"/>
        </w:rPr>
      </w:pPr>
      <w:r w:rsidRPr="00D82290">
        <w:rPr>
          <w:rFonts w:ascii="Calibri" w:hAnsi="Calibri"/>
        </w:rPr>
        <w:t>Tablica 3. Dopuszczalne wady i uszkodzenia obrzeży</w:t>
      </w:r>
    </w:p>
    <w:tbl>
      <w:tblPr>
        <w:tblW w:w="7510" w:type="dxa"/>
        <w:tblInd w:w="779" w:type="dxa"/>
        <w:tblLayout w:type="fixed"/>
        <w:tblCellMar>
          <w:left w:w="70" w:type="dxa"/>
          <w:right w:w="70" w:type="dxa"/>
        </w:tblCellMar>
        <w:tblLook w:val="0000"/>
      </w:tblPr>
      <w:tblGrid>
        <w:gridCol w:w="1913"/>
        <w:gridCol w:w="3119"/>
        <w:gridCol w:w="1239"/>
        <w:gridCol w:w="1239"/>
      </w:tblGrid>
      <w:tr w:rsidR="001E3470" w:rsidRPr="00D82290" w:rsidTr="00671D68">
        <w:tc>
          <w:tcPr>
            <w:tcW w:w="5032" w:type="dxa"/>
            <w:gridSpan w:val="2"/>
            <w:tcBorders>
              <w:top w:val="single" w:sz="6" w:space="0" w:color="auto"/>
              <w:left w:val="single" w:sz="6" w:space="0" w:color="auto"/>
            </w:tcBorders>
          </w:tcPr>
          <w:p w:rsidR="001E3470" w:rsidRPr="00D82290" w:rsidRDefault="001E3470" w:rsidP="001E3470">
            <w:pPr>
              <w:jc w:val="center"/>
              <w:rPr>
                <w:rFonts w:ascii="Calibri" w:hAnsi="Calibri"/>
                <w:b/>
                <w:sz w:val="18"/>
                <w:szCs w:val="18"/>
              </w:rPr>
            </w:pPr>
          </w:p>
          <w:p w:rsidR="001E3470" w:rsidRPr="00D82290" w:rsidRDefault="001E3470" w:rsidP="001E3470">
            <w:pPr>
              <w:jc w:val="center"/>
              <w:rPr>
                <w:rFonts w:ascii="Calibri" w:hAnsi="Calibri"/>
                <w:b/>
                <w:sz w:val="18"/>
                <w:szCs w:val="18"/>
              </w:rPr>
            </w:pPr>
            <w:r w:rsidRPr="00D82290">
              <w:rPr>
                <w:rFonts w:ascii="Calibri" w:hAnsi="Calibri"/>
                <w:b/>
                <w:sz w:val="18"/>
                <w:szCs w:val="18"/>
              </w:rPr>
              <w:t>Rodzaj wad i uszkodzeń</w:t>
            </w:r>
          </w:p>
        </w:tc>
        <w:tc>
          <w:tcPr>
            <w:tcW w:w="2478" w:type="dxa"/>
            <w:gridSpan w:val="2"/>
            <w:tcBorders>
              <w:top w:val="single" w:sz="6" w:space="0" w:color="auto"/>
              <w:left w:val="single" w:sz="6" w:space="0" w:color="auto"/>
              <w:bottom w:val="single" w:sz="6" w:space="0" w:color="auto"/>
              <w:right w:val="single" w:sz="6" w:space="0" w:color="auto"/>
            </w:tcBorders>
          </w:tcPr>
          <w:p w:rsidR="001E3470" w:rsidRPr="00D82290" w:rsidRDefault="001E3470" w:rsidP="001E3470">
            <w:pPr>
              <w:jc w:val="center"/>
              <w:rPr>
                <w:rFonts w:ascii="Calibri" w:hAnsi="Calibri"/>
                <w:b/>
                <w:sz w:val="18"/>
                <w:szCs w:val="18"/>
              </w:rPr>
            </w:pPr>
            <w:r w:rsidRPr="00D82290">
              <w:rPr>
                <w:rFonts w:ascii="Calibri" w:hAnsi="Calibri"/>
                <w:b/>
                <w:sz w:val="18"/>
                <w:szCs w:val="18"/>
              </w:rPr>
              <w:t>Dopuszczalna wielkość</w:t>
            </w:r>
          </w:p>
          <w:p w:rsidR="001E3470" w:rsidRPr="00D82290" w:rsidRDefault="001E3470" w:rsidP="001E3470">
            <w:pPr>
              <w:jc w:val="center"/>
              <w:rPr>
                <w:rFonts w:ascii="Calibri" w:hAnsi="Calibri"/>
                <w:b/>
                <w:sz w:val="18"/>
                <w:szCs w:val="18"/>
              </w:rPr>
            </w:pPr>
            <w:r w:rsidRPr="00D82290">
              <w:rPr>
                <w:rFonts w:ascii="Calibri" w:hAnsi="Calibri"/>
                <w:b/>
                <w:sz w:val="18"/>
                <w:szCs w:val="18"/>
              </w:rPr>
              <w:t>wad i uszkodzeń</w:t>
            </w:r>
          </w:p>
        </w:tc>
      </w:tr>
      <w:tr w:rsidR="001E3470" w:rsidRPr="00D82290" w:rsidTr="00671D68">
        <w:tc>
          <w:tcPr>
            <w:tcW w:w="5032" w:type="dxa"/>
            <w:gridSpan w:val="2"/>
            <w:tcBorders>
              <w:left w:val="single" w:sz="6" w:space="0" w:color="auto"/>
              <w:bottom w:val="double" w:sz="6" w:space="0" w:color="auto"/>
            </w:tcBorders>
          </w:tcPr>
          <w:p w:rsidR="001E3470" w:rsidRPr="00D82290" w:rsidRDefault="001E3470" w:rsidP="001E3470">
            <w:pPr>
              <w:jc w:val="center"/>
              <w:rPr>
                <w:rFonts w:ascii="Calibri" w:hAnsi="Calibri"/>
                <w:b/>
                <w:sz w:val="18"/>
                <w:szCs w:val="18"/>
              </w:rPr>
            </w:pPr>
          </w:p>
        </w:tc>
        <w:tc>
          <w:tcPr>
            <w:tcW w:w="1239" w:type="dxa"/>
            <w:tcBorders>
              <w:top w:val="single" w:sz="6" w:space="0" w:color="auto"/>
              <w:left w:val="single" w:sz="6" w:space="0" w:color="auto"/>
              <w:bottom w:val="double" w:sz="6" w:space="0" w:color="auto"/>
              <w:right w:val="single" w:sz="6" w:space="0" w:color="auto"/>
            </w:tcBorders>
          </w:tcPr>
          <w:p w:rsidR="001E3470" w:rsidRPr="00D82290" w:rsidRDefault="001E3470" w:rsidP="001E3470">
            <w:pPr>
              <w:jc w:val="center"/>
              <w:rPr>
                <w:rFonts w:ascii="Calibri" w:hAnsi="Calibri"/>
                <w:b/>
                <w:sz w:val="18"/>
                <w:szCs w:val="18"/>
              </w:rPr>
            </w:pPr>
            <w:r w:rsidRPr="00D82290">
              <w:rPr>
                <w:rFonts w:ascii="Calibri" w:hAnsi="Calibri"/>
                <w:b/>
                <w:sz w:val="18"/>
                <w:szCs w:val="18"/>
              </w:rPr>
              <w:t>Gatunek 1</w:t>
            </w:r>
          </w:p>
        </w:tc>
        <w:tc>
          <w:tcPr>
            <w:tcW w:w="1239" w:type="dxa"/>
            <w:tcBorders>
              <w:top w:val="single" w:sz="6" w:space="0" w:color="auto"/>
              <w:left w:val="single" w:sz="6" w:space="0" w:color="auto"/>
              <w:bottom w:val="double" w:sz="6" w:space="0" w:color="auto"/>
              <w:right w:val="single" w:sz="6" w:space="0" w:color="auto"/>
            </w:tcBorders>
          </w:tcPr>
          <w:p w:rsidR="001E3470" w:rsidRPr="00D82290" w:rsidRDefault="001E3470" w:rsidP="001E3470">
            <w:pPr>
              <w:jc w:val="center"/>
              <w:rPr>
                <w:rFonts w:ascii="Calibri" w:hAnsi="Calibri"/>
                <w:b/>
                <w:sz w:val="18"/>
                <w:szCs w:val="18"/>
              </w:rPr>
            </w:pPr>
            <w:r w:rsidRPr="00D82290">
              <w:rPr>
                <w:rFonts w:ascii="Calibri" w:hAnsi="Calibri"/>
                <w:b/>
                <w:sz w:val="18"/>
                <w:szCs w:val="18"/>
              </w:rPr>
              <w:t>Gatunek 2</w:t>
            </w:r>
          </w:p>
        </w:tc>
      </w:tr>
      <w:tr w:rsidR="001E3470" w:rsidRPr="00D82290" w:rsidTr="00671D68">
        <w:tc>
          <w:tcPr>
            <w:tcW w:w="5032" w:type="dxa"/>
            <w:gridSpan w:val="2"/>
            <w:tcBorders>
              <w:left w:val="single" w:sz="6" w:space="0" w:color="auto"/>
            </w:tcBorders>
          </w:tcPr>
          <w:p w:rsidR="001E3470" w:rsidRPr="00D82290" w:rsidRDefault="001E3470" w:rsidP="001E3470">
            <w:pPr>
              <w:jc w:val="center"/>
              <w:rPr>
                <w:rFonts w:ascii="Calibri" w:hAnsi="Calibri"/>
                <w:sz w:val="18"/>
                <w:szCs w:val="18"/>
              </w:rPr>
            </w:pPr>
            <w:r w:rsidRPr="00D82290">
              <w:rPr>
                <w:rFonts w:ascii="Calibri" w:hAnsi="Calibri"/>
                <w:sz w:val="18"/>
                <w:szCs w:val="18"/>
              </w:rPr>
              <w:t>Wklęsłość lub wypukłość powierzchni i krawędzi w mm</w:t>
            </w:r>
          </w:p>
        </w:tc>
        <w:tc>
          <w:tcPr>
            <w:tcW w:w="1239" w:type="dxa"/>
            <w:tcBorders>
              <w:left w:val="single" w:sz="6" w:space="0" w:color="auto"/>
              <w:bottom w:val="single" w:sz="6" w:space="0" w:color="auto"/>
              <w:right w:val="single" w:sz="6" w:space="0" w:color="auto"/>
            </w:tcBorders>
          </w:tcPr>
          <w:p w:rsidR="001E3470" w:rsidRPr="00D82290" w:rsidRDefault="001E3470" w:rsidP="001E3470">
            <w:pPr>
              <w:jc w:val="center"/>
              <w:rPr>
                <w:rFonts w:ascii="Calibri" w:hAnsi="Calibri"/>
                <w:sz w:val="18"/>
                <w:szCs w:val="18"/>
              </w:rPr>
            </w:pPr>
            <w:r w:rsidRPr="00D82290">
              <w:rPr>
                <w:rFonts w:ascii="Calibri" w:hAnsi="Calibri"/>
                <w:sz w:val="18"/>
                <w:szCs w:val="18"/>
              </w:rPr>
              <w:t>2</w:t>
            </w:r>
          </w:p>
        </w:tc>
        <w:tc>
          <w:tcPr>
            <w:tcW w:w="1239" w:type="dxa"/>
            <w:tcBorders>
              <w:left w:val="single" w:sz="6" w:space="0" w:color="auto"/>
              <w:bottom w:val="single" w:sz="6" w:space="0" w:color="auto"/>
              <w:right w:val="single" w:sz="6" w:space="0" w:color="auto"/>
            </w:tcBorders>
          </w:tcPr>
          <w:p w:rsidR="001E3470" w:rsidRPr="00D82290" w:rsidRDefault="001E3470" w:rsidP="001E3470">
            <w:pPr>
              <w:jc w:val="center"/>
              <w:rPr>
                <w:rFonts w:ascii="Calibri" w:hAnsi="Calibri"/>
                <w:sz w:val="18"/>
                <w:szCs w:val="18"/>
              </w:rPr>
            </w:pPr>
            <w:r w:rsidRPr="00D82290">
              <w:rPr>
                <w:rFonts w:ascii="Calibri" w:hAnsi="Calibri"/>
                <w:sz w:val="18"/>
                <w:szCs w:val="18"/>
              </w:rPr>
              <w:t>3</w:t>
            </w:r>
          </w:p>
        </w:tc>
      </w:tr>
      <w:tr w:rsidR="001E3470" w:rsidRPr="00D82290" w:rsidTr="00671D68">
        <w:tc>
          <w:tcPr>
            <w:tcW w:w="1913" w:type="dxa"/>
            <w:tcBorders>
              <w:top w:val="single" w:sz="6" w:space="0" w:color="auto"/>
              <w:left w:val="single" w:sz="6" w:space="0" w:color="auto"/>
            </w:tcBorders>
          </w:tcPr>
          <w:p w:rsidR="001E3470" w:rsidRPr="00D82290" w:rsidRDefault="001E3470" w:rsidP="001E3470">
            <w:pPr>
              <w:jc w:val="center"/>
              <w:rPr>
                <w:rFonts w:ascii="Calibri" w:hAnsi="Calibri"/>
                <w:sz w:val="18"/>
                <w:szCs w:val="18"/>
              </w:rPr>
            </w:pPr>
            <w:r w:rsidRPr="00D82290">
              <w:rPr>
                <w:rFonts w:ascii="Calibri" w:hAnsi="Calibri"/>
                <w:sz w:val="18"/>
                <w:szCs w:val="18"/>
              </w:rPr>
              <w:t>Szczerby</w:t>
            </w:r>
          </w:p>
          <w:p w:rsidR="001E3470" w:rsidRPr="00D82290" w:rsidRDefault="001E3470" w:rsidP="001E3470">
            <w:pPr>
              <w:jc w:val="center"/>
              <w:rPr>
                <w:rFonts w:ascii="Calibri" w:hAnsi="Calibri"/>
                <w:sz w:val="18"/>
                <w:szCs w:val="18"/>
              </w:rPr>
            </w:pPr>
            <w:r w:rsidRPr="00D82290">
              <w:rPr>
                <w:rFonts w:ascii="Calibri" w:hAnsi="Calibri"/>
                <w:sz w:val="18"/>
                <w:szCs w:val="18"/>
              </w:rPr>
              <w:t>i uszkodzenia</w:t>
            </w:r>
          </w:p>
        </w:tc>
        <w:tc>
          <w:tcPr>
            <w:tcW w:w="3119" w:type="dxa"/>
            <w:tcBorders>
              <w:top w:val="single" w:sz="6" w:space="0" w:color="auto"/>
              <w:left w:val="single" w:sz="6" w:space="0" w:color="auto"/>
              <w:bottom w:val="single" w:sz="6" w:space="0" w:color="auto"/>
              <w:right w:val="single" w:sz="6" w:space="0" w:color="auto"/>
            </w:tcBorders>
          </w:tcPr>
          <w:p w:rsidR="001E3470" w:rsidRPr="00D82290" w:rsidRDefault="001E3470" w:rsidP="001E3470">
            <w:pPr>
              <w:jc w:val="center"/>
              <w:rPr>
                <w:rFonts w:ascii="Calibri" w:hAnsi="Calibri"/>
                <w:sz w:val="18"/>
                <w:szCs w:val="18"/>
              </w:rPr>
            </w:pPr>
            <w:r w:rsidRPr="00D82290">
              <w:rPr>
                <w:rFonts w:ascii="Calibri" w:hAnsi="Calibri"/>
                <w:sz w:val="18"/>
                <w:szCs w:val="18"/>
              </w:rPr>
              <w:t>ograniczających powierzchnie górne (ścieralne)</w:t>
            </w:r>
          </w:p>
        </w:tc>
        <w:tc>
          <w:tcPr>
            <w:tcW w:w="2478" w:type="dxa"/>
            <w:gridSpan w:val="2"/>
            <w:tcBorders>
              <w:top w:val="single" w:sz="6" w:space="0" w:color="auto"/>
              <w:left w:val="single" w:sz="6" w:space="0" w:color="auto"/>
              <w:bottom w:val="single" w:sz="6" w:space="0" w:color="auto"/>
              <w:right w:val="single" w:sz="6" w:space="0" w:color="auto"/>
            </w:tcBorders>
          </w:tcPr>
          <w:p w:rsidR="001E3470" w:rsidRPr="00D82290" w:rsidRDefault="001E3470" w:rsidP="001E3470">
            <w:pPr>
              <w:jc w:val="center"/>
              <w:rPr>
                <w:rFonts w:ascii="Calibri" w:hAnsi="Calibri"/>
                <w:sz w:val="18"/>
                <w:szCs w:val="18"/>
              </w:rPr>
            </w:pPr>
            <w:r w:rsidRPr="00D82290">
              <w:rPr>
                <w:rFonts w:ascii="Calibri" w:hAnsi="Calibri"/>
                <w:sz w:val="18"/>
                <w:szCs w:val="18"/>
              </w:rPr>
              <w:t>niedopuszczalne</w:t>
            </w:r>
          </w:p>
        </w:tc>
      </w:tr>
      <w:tr w:rsidR="001E3470" w:rsidRPr="00D82290" w:rsidTr="00671D68">
        <w:tc>
          <w:tcPr>
            <w:tcW w:w="1913" w:type="dxa"/>
            <w:tcBorders>
              <w:left w:val="single" w:sz="6" w:space="0" w:color="auto"/>
            </w:tcBorders>
          </w:tcPr>
          <w:p w:rsidR="001E3470" w:rsidRPr="00D82290" w:rsidRDefault="001E3470" w:rsidP="001E3470">
            <w:pPr>
              <w:jc w:val="center"/>
              <w:rPr>
                <w:rFonts w:ascii="Calibri" w:hAnsi="Calibri"/>
                <w:sz w:val="18"/>
                <w:szCs w:val="18"/>
              </w:rPr>
            </w:pPr>
            <w:r w:rsidRPr="00D82290">
              <w:rPr>
                <w:rFonts w:ascii="Calibri" w:hAnsi="Calibri"/>
                <w:sz w:val="18"/>
                <w:szCs w:val="18"/>
              </w:rPr>
              <w:t>krawędzi i naroży</w:t>
            </w:r>
          </w:p>
        </w:tc>
        <w:tc>
          <w:tcPr>
            <w:tcW w:w="3119" w:type="dxa"/>
            <w:tcBorders>
              <w:top w:val="single" w:sz="6" w:space="0" w:color="auto"/>
              <w:left w:val="single" w:sz="6" w:space="0" w:color="auto"/>
              <w:right w:val="single" w:sz="6" w:space="0" w:color="auto"/>
            </w:tcBorders>
          </w:tcPr>
          <w:p w:rsidR="001E3470" w:rsidRPr="00D82290" w:rsidRDefault="001E3470" w:rsidP="001E3470">
            <w:pPr>
              <w:jc w:val="center"/>
              <w:rPr>
                <w:rFonts w:ascii="Calibri" w:hAnsi="Calibri"/>
                <w:sz w:val="18"/>
                <w:szCs w:val="18"/>
              </w:rPr>
            </w:pPr>
            <w:r w:rsidRPr="00D82290">
              <w:rPr>
                <w:rFonts w:ascii="Calibri" w:hAnsi="Calibri"/>
                <w:sz w:val="18"/>
                <w:szCs w:val="18"/>
              </w:rPr>
              <w:t>ograniczających   pozostałe powierzchnie:</w:t>
            </w:r>
          </w:p>
        </w:tc>
        <w:tc>
          <w:tcPr>
            <w:tcW w:w="1239" w:type="dxa"/>
            <w:tcBorders>
              <w:top w:val="single" w:sz="6" w:space="0" w:color="auto"/>
              <w:left w:val="single" w:sz="6" w:space="0" w:color="auto"/>
              <w:right w:val="single" w:sz="6" w:space="0" w:color="auto"/>
            </w:tcBorders>
          </w:tcPr>
          <w:p w:rsidR="001E3470" w:rsidRPr="00D82290" w:rsidRDefault="001E3470" w:rsidP="001E3470">
            <w:pPr>
              <w:jc w:val="center"/>
              <w:rPr>
                <w:rFonts w:ascii="Calibri" w:hAnsi="Calibri"/>
                <w:sz w:val="18"/>
                <w:szCs w:val="18"/>
              </w:rPr>
            </w:pPr>
          </w:p>
        </w:tc>
        <w:tc>
          <w:tcPr>
            <w:tcW w:w="1239" w:type="dxa"/>
            <w:tcBorders>
              <w:top w:val="single" w:sz="6" w:space="0" w:color="auto"/>
              <w:left w:val="nil"/>
              <w:right w:val="single" w:sz="6" w:space="0" w:color="auto"/>
            </w:tcBorders>
          </w:tcPr>
          <w:p w:rsidR="001E3470" w:rsidRPr="00D82290" w:rsidRDefault="001E3470" w:rsidP="001E3470">
            <w:pPr>
              <w:jc w:val="center"/>
              <w:rPr>
                <w:rFonts w:ascii="Calibri" w:hAnsi="Calibri"/>
                <w:sz w:val="18"/>
                <w:szCs w:val="18"/>
              </w:rPr>
            </w:pPr>
          </w:p>
        </w:tc>
      </w:tr>
      <w:tr w:rsidR="001E3470" w:rsidRPr="00D82290" w:rsidTr="00671D68">
        <w:tc>
          <w:tcPr>
            <w:tcW w:w="1913" w:type="dxa"/>
            <w:tcBorders>
              <w:left w:val="single" w:sz="6" w:space="0" w:color="auto"/>
            </w:tcBorders>
          </w:tcPr>
          <w:p w:rsidR="001E3470" w:rsidRPr="00D82290" w:rsidRDefault="001E3470" w:rsidP="001E3470">
            <w:pPr>
              <w:jc w:val="center"/>
              <w:rPr>
                <w:rFonts w:ascii="Calibri" w:hAnsi="Calibri"/>
                <w:sz w:val="18"/>
                <w:szCs w:val="18"/>
              </w:rPr>
            </w:pPr>
          </w:p>
        </w:tc>
        <w:tc>
          <w:tcPr>
            <w:tcW w:w="3119" w:type="dxa"/>
            <w:tcBorders>
              <w:left w:val="single" w:sz="6" w:space="0" w:color="auto"/>
              <w:right w:val="single" w:sz="6" w:space="0" w:color="auto"/>
            </w:tcBorders>
          </w:tcPr>
          <w:p w:rsidR="001E3470" w:rsidRPr="00D82290" w:rsidRDefault="001E3470" w:rsidP="001E3470">
            <w:pPr>
              <w:jc w:val="center"/>
              <w:rPr>
                <w:rFonts w:ascii="Calibri" w:hAnsi="Calibri"/>
                <w:sz w:val="18"/>
                <w:szCs w:val="18"/>
              </w:rPr>
            </w:pPr>
            <w:r w:rsidRPr="00D82290">
              <w:rPr>
                <w:rFonts w:ascii="Calibri" w:hAnsi="Calibri"/>
                <w:sz w:val="18"/>
                <w:szCs w:val="18"/>
              </w:rPr>
              <w:t>liczba, max</w:t>
            </w:r>
          </w:p>
        </w:tc>
        <w:tc>
          <w:tcPr>
            <w:tcW w:w="1239" w:type="dxa"/>
            <w:tcBorders>
              <w:left w:val="single" w:sz="6" w:space="0" w:color="auto"/>
              <w:right w:val="single" w:sz="6" w:space="0" w:color="auto"/>
            </w:tcBorders>
          </w:tcPr>
          <w:p w:rsidR="001E3470" w:rsidRPr="00D82290" w:rsidRDefault="001E3470" w:rsidP="001E3470">
            <w:pPr>
              <w:jc w:val="center"/>
              <w:rPr>
                <w:rFonts w:ascii="Calibri" w:hAnsi="Calibri"/>
                <w:sz w:val="18"/>
                <w:szCs w:val="18"/>
              </w:rPr>
            </w:pPr>
            <w:r w:rsidRPr="00D82290">
              <w:rPr>
                <w:rFonts w:ascii="Calibri" w:hAnsi="Calibri"/>
                <w:sz w:val="18"/>
                <w:szCs w:val="18"/>
              </w:rPr>
              <w:t>2</w:t>
            </w:r>
          </w:p>
        </w:tc>
        <w:tc>
          <w:tcPr>
            <w:tcW w:w="1239" w:type="dxa"/>
            <w:tcBorders>
              <w:left w:val="single" w:sz="6" w:space="0" w:color="auto"/>
              <w:right w:val="single" w:sz="6" w:space="0" w:color="auto"/>
            </w:tcBorders>
          </w:tcPr>
          <w:p w:rsidR="001E3470" w:rsidRPr="00D82290" w:rsidRDefault="001E3470" w:rsidP="001E3470">
            <w:pPr>
              <w:jc w:val="center"/>
              <w:rPr>
                <w:rFonts w:ascii="Calibri" w:hAnsi="Calibri"/>
                <w:sz w:val="18"/>
                <w:szCs w:val="18"/>
              </w:rPr>
            </w:pPr>
            <w:r w:rsidRPr="00D82290">
              <w:rPr>
                <w:rFonts w:ascii="Calibri" w:hAnsi="Calibri"/>
                <w:sz w:val="18"/>
                <w:szCs w:val="18"/>
              </w:rPr>
              <w:t>2</w:t>
            </w:r>
          </w:p>
        </w:tc>
      </w:tr>
      <w:tr w:rsidR="001E3470" w:rsidRPr="00D82290" w:rsidTr="00671D68">
        <w:tc>
          <w:tcPr>
            <w:tcW w:w="1913" w:type="dxa"/>
            <w:tcBorders>
              <w:left w:val="single" w:sz="6" w:space="0" w:color="auto"/>
            </w:tcBorders>
          </w:tcPr>
          <w:p w:rsidR="001E3470" w:rsidRPr="00D82290" w:rsidRDefault="001E3470" w:rsidP="001E3470">
            <w:pPr>
              <w:jc w:val="center"/>
              <w:rPr>
                <w:rFonts w:ascii="Calibri" w:hAnsi="Calibri"/>
                <w:sz w:val="18"/>
                <w:szCs w:val="18"/>
              </w:rPr>
            </w:pPr>
          </w:p>
        </w:tc>
        <w:tc>
          <w:tcPr>
            <w:tcW w:w="3119" w:type="dxa"/>
            <w:tcBorders>
              <w:left w:val="single" w:sz="6" w:space="0" w:color="auto"/>
              <w:right w:val="single" w:sz="6" w:space="0" w:color="auto"/>
            </w:tcBorders>
          </w:tcPr>
          <w:p w:rsidR="001E3470" w:rsidRPr="00D82290" w:rsidRDefault="001E3470" w:rsidP="001E3470">
            <w:pPr>
              <w:jc w:val="center"/>
              <w:rPr>
                <w:rFonts w:ascii="Calibri" w:hAnsi="Calibri"/>
                <w:sz w:val="18"/>
                <w:szCs w:val="18"/>
              </w:rPr>
            </w:pPr>
            <w:r w:rsidRPr="00D82290">
              <w:rPr>
                <w:rFonts w:ascii="Calibri" w:hAnsi="Calibri"/>
                <w:sz w:val="18"/>
                <w:szCs w:val="18"/>
              </w:rPr>
              <w:t>długość, mm, max</w:t>
            </w:r>
          </w:p>
        </w:tc>
        <w:tc>
          <w:tcPr>
            <w:tcW w:w="1239" w:type="dxa"/>
            <w:tcBorders>
              <w:left w:val="single" w:sz="6" w:space="0" w:color="auto"/>
              <w:right w:val="single" w:sz="6" w:space="0" w:color="auto"/>
            </w:tcBorders>
          </w:tcPr>
          <w:p w:rsidR="001E3470" w:rsidRPr="00D82290" w:rsidRDefault="001E3470" w:rsidP="001E3470">
            <w:pPr>
              <w:jc w:val="center"/>
              <w:rPr>
                <w:rFonts w:ascii="Calibri" w:hAnsi="Calibri"/>
                <w:sz w:val="18"/>
                <w:szCs w:val="18"/>
              </w:rPr>
            </w:pPr>
            <w:r w:rsidRPr="00D82290">
              <w:rPr>
                <w:rFonts w:ascii="Calibri" w:hAnsi="Calibri"/>
                <w:sz w:val="18"/>
                <w:szCs w:val="18"/>
              </w:rPr>
              <w:t>20</w:t>
            </w:r>
          </w:p>
        </w:tc>
        <w:tc>
          <w:tcPr>
            <w:tcW w:w="1239" w:type="dxa"/>
            <w:tcBorders>
              <w:left w:val="single" w:sz="6" w:space="0" w:color="auto"/>
              <w:right w:val="single" w:sz="6" w:space="0" w:color="auto"/>
            </w:tcBorders>
          </w:tcPr>
          <w:p w:rsidR="001E3470" w:rsidRPr="00D82290" w:rsidRDefault="001E3470" w:rsidP="001E3470">
            <w:pPr>
              <w:jc w:val="center"/>
              <w:rPr>
                <w:rFonts w:ascii="Calibri" w:hAnsi="Calibri"/>
                <w:sz w:val="18"/>
                <w:szCs w:val="18"/>
              </w:rPr>
            </w:pPr>
            <w:r w:rsidRPr="00D82290">
              <w:rPr>
                <w:rFonts w:ascii="Calibri" w:hAnsi="Calibri"/>
                <w:sz w:val="18"/>
                <w:szCs w:val="18"/>
              </w:rPr>
              <w:t>40</w:t>
            </w:r>
          </w:p>
        </w:tc>
      </w:tr>
      <w:tr w:rsidR="001E3470" w:rsidRPr="00D82290" w:rsidTr="00671D68">
        <w:tc>
          <w:tcPr>
            <w:tcW w:w="1913" w:type="dxa"/>
            <w:tcBorders>
              <w:left w:val="single" w:sz="6" w:space="0" w:color="auto"/>
              <w:bottom w:val="single" w:sz="6" w:space="0" w:color="auto"/>
            </w:tcBorders>
          </w:tcPr>
          <w:p w:rsidR="001E3470" w:rsidRPr="00D82290" w:rsidRDefault="001E3470" w:rsidP="001E3470">
            <w:pPr>
              <w:jc w:val="center"/>
              <w:rPr>
                <w:rFonts w:ascii="Calibri" w:hAnsi="Calibri"/>
                <w:sz w:val="18"/>
                <w:szCs w:val="18"/>
              </w:rPr>
            </w:pPr>
          </w:p>
        </w:tc>
        <w:tc>
          <w:tcPr>
            <w:tcW w:w="3119" w:type="dxa"/>
            <w:tcBorders>
              <w:left w:val="single" w:sz="6" w:space="0" w:color="auto"/>
              <w:bottom w:val="single" w:sz="6" w:space="0" w:color="auto"/>
              <w:right w:val="single" w:sz="6" w:space="0" w:color="auto"/>
            </w:tcBorders>
          </w:tcPr>
          <w:p w:rsidR="001E3470" w:rsidRPr="00D82290" w:rsidRDefault="001E3470" w:rsidP="001E3470">
            <w:pPr>
              <w:jc w:val="center"/>
              <w:rPr>
                <w:rFonts w:ascii="Calibri" w:hAnsi="Calibri"/>
                <w:sz w:val="18"/>
                <w:szCs w:val="18"/>
              </w:rPr>
            </w:pPr>
            <w:r w:rsidRPr="00D82290">
              <w:rPr>
                <w:rFonts w:ascii="Calibri" w:hAnsi="Calibri"/>
                <w:sz w:val="18"/>
                <w:szCs w:val="18"/>
              </w:rPr>
              <w:t>głębokość, mm, max</w:t>
            </w:r>
          </w:p>
        </w:tc>
        <w:tc>
          <w:tcPr>
            <w:tcW w:w="1239" w:type="dxa"/>
            <w:tcBorders>
              <w:left w:val="single" w:sz="6" w:space="0" w:color="auto"/>
              <w:bottom w:val="single" w:sz="6" w:space="0" w:color="auto"/>
              <w:right w:val="single" w:sz="6" w:space="0" w:color="auto"/>
            </w:tcBorders>
          </w:tcPr>
          <w:p w:rsidR="001E3470" w:rsidRPr="00D82290" w:rsidRDefault="001E3470" w:rsidP="001E3470">
            <w:pPr>
              <w:jc w:val="center"/>
              <w:rPr>
                <w:rFonts w:ascii="Calibri" w:hAnsi="Calibri"/>
                <w:sz w:val="18"/>
                <w:szCs w:val="18"/>
              </w:rPr>
            </w:pPr>
            <w:r w:rsidRPr="00D82290">
              <w:rPr>
                <w:rFonts w:ascii="Calibri" w:hAnsi="Calibri"/>
                <w:sz w:val="18"/>
                <w:szCs w:val="18"/>
              </w:rPr>
              <w:t>6</w:t>
            </w:r>
          </w:p>
        </w:tc>
        <w:tc>
          <w:tcPr>
            <w:tcW w:w="1239" w:type="dxa"/>
            <w:tcBorders>
              <w:left w:val="single" w:sz="6" w:space="0" w:color="auto"/>
              <w:bottom w:val="single" w:sz="6" w:space="0" w:color="auto"/>
              <w:right w:val="single" w:sz="6" w:space="0" w:color="auto"/>
            </w:tcBorders>
          </w:tcPr>
          <w:p w:rsidR="001E3470" w:rsidRPr="00D82290" w:rsidRDefault="001E3470" w:rsidP="001E3470">
            <w:pPr>
              <w:jc w:val="center"/>
              <w:rPr>
                <w:rFonts w:ascii="Calibri" w:hAnsi="Calibri"/>
                <w:sz w:val="18"/>
                <w:szCs w:val="18"/>
              </w:rPr>
            </w:pPr>
            <w:r w:rsidRPr="00D82290">
              <w:rPr>
                <w:rFonts w:ascii="Calibri" w:hAnsi="Calibri"/>
                <w:sz w:val="18"/>
                <w:szCs w:val="18"/>
              </w:rPr>
              <w:t>10</w:t>
            </w:r>
          </w:p>
        </w:tc>
      </w:tr>
    </w:tbl>
    <w:p w:rsidR="001E3470" w:rsidRPr="00D82290" w:rsidRDefault="001E3470" w:rsidP="001E3470">
      <w:pPr>
        <w:rPr>
          <w:rFonts w:ascii="Calibri" w:hAnsi="Calibri"/>
        </w:rPr>
      </w:pPr>
    </w:p>
    <w:p w:rsidR="001E3470" w:rsidRPr="00D82290" w:rsidRDefault="001E3470" w:rsidP="001E3470">
      <w:pPr>
        <w:rPr>
          <w:rFonts w:ascii="Calibri" w:hAnsi="Calibri"/>
        </w:rPr>
      </w:pPr>
      <w:r w:rsidRPr="00D82290">
        <w:rPr>
          <w:rFonts w:ascii="Calibri" w:hAnsi="Calibri"/>
          <w:b/>
        </w:rPr>
        <w:t>2.4.4.</w:t>
      </w:r>
      <w:r w:rsidRPr="00D82290">
        <w:rPr>
          <w:rFonts w:ascii="Calibri" w:hAnsi="Calibri"/>
        </w:rPr>
        <w:t xml:space="preserve"> Składowanie</w:t>
      </w:r>
    </w:p>
    <w:p w:rsidR="001E3470" w:rsidRPr="00D82290" w:rsidRDefault="001E3470" w:rsidP="001E3470">
      <w:pPr>
        <w:rPr>
          <w:rFonts w:ascii="Calibri" w:hAnsi="Calibri"/>
        </w:rPr>
      </w:pPr>
      <w:r w:rsidRPr="00D82290">
        <w:rPr>
          <w:rFonts w:ascii="Calibri" w:hAnsi="Calibri"/>
        </w:rPr>
        <w:tab/>
        <w:t>Betonowe obrzeża chodnikowe mogą być przechowywane na składowiskach otwartych, posegregowane według rodzajów i gatunków.</w:t>
      </w:r>
    </w:p>
    <w:p w:rsidR="001E3470" w:rsidRPr="00D82290" w:rsidRDefault="001E3470" w:rsidP="001E3470">
      <w:pPr>
        <w:rPr>
          <w:rFonts w:ascii="Calibri" w:hAnsi="Calibri"/>
        </w:rPr>
      </w:pPr>
      <w:r w:rsidRPr="00D82290">
        <w:rPr>
          <w:rFonts w:ascii="Calibri" w:hAnsi="Calibri"/>
        </w:rPr>
        <w:tab/>
        <w:t>Betonowe obrzeża chodnikowe należy układać z zastosowaniem podkładek i przekładek drewnianych o wymiarach co najmniej: grubość 2,5 cm, szerokość 5 cm, długość minimum 5 cm większa niż szerokość obrzeża.</w:t>
      </w:r>
    </w:p>
    <w:p w:rsidR="001E3470" w:rsidRPr="00D82290" w:rsidRDefault="001E3470" w:rsidP="001E3470">
      <w:pPr>
        <w:rPr>
          <w:rFonts w:ascii="Calibri" w:hAnsi="Calibri"/>
        </w:rPr>
      </w:pPr>
      <w:r w:rsidRPr="00D82290">
        <w:rPr>
          <w:rFonts w:ascii="Calibri" w:hAnsi="Calibri"/>
          <w:b/>
        </w:rPr>
        <w:t>2.4.5.</w:t>
      </w:r>
      <w:r w:rsidRPr="00D82290">
        <w:rPr>
          <w:rFonts w:ascii="Calibri" w:hAnsi="Calibri"/>
        </w:rPr>
        <w:t xml:space="preserve"> Beton i jego składniki</w:t>
      </w:r>
    </w:p>
    <w:p w:rsidR="001E3470" w:rsidRPr="00D82290" w:rsidRDefault="001E3470" w:rsidP="001E3470">
      <w:pPr>
        <w:rPr>
          <w:rFonts w:ascii="Calibri" w:hAnsi="Calibri"/>
        </w:rPr>
      </w:pPr>
      <w:r w:rsidRPr="00D82290">
        <w:rPr>
          <w:rFonts w:ascii="Calibri" w:hAnsi="Calibri"/>
        </w:rPr>
        <w:tab/>
        <w:t>Do produkcji obrzeży należy stosować beton według PN-B-06250, klasy B 25 i B 30.</w:t>
      </w:r>
    </w:p>
    <w:p w:rsidR="001E3470" w:rsidRPr="00D82290" w:rsidRDefault="001E3470" w:rsidP="001E3470">
      <w:pPr>
        <w:rPr>
          <w:rFonts w:ascii="Calibri" w:hAnsi="Calibri"/>
        </w:rPr>
      </w:pPr>
      <w:r w:rsidRPr="00D82290">
        <w:rPr>
          <w:rFonts w:ascii="Calibri" w:hAnsi="Calibri"/>
          <w:b/>
        </w:rPr>
        <w:t>2.5.</w:t>
      </w:r>
      <w:r w:rsidRPr="00D82290">
        <w:rPr>
          <w:rFonts w:ascii="Calibri" w:hAnsi="Calibri"/>
        </w:rPr>
        <w:t xml:space="preserve"> Materiały na ławę i do zaprawy</w:t>
      </w:r>
    </w:p>
    <w:p w:rsidR="001E3470" w:rsidRPr="00D82290" w:rsidRDefault="001E3470" w:rsidP="001E3470">
      <w:pPr>
        <w:rPr>
          <w:rFonts w:ascii="Calibri" w:hAnsi="Calibri"/>
        </w:rPr>
      </w:pPr>
      <w:r w:rsidRPr="00D82290">
        <w:rPr>
          <w:rFonts w:ascii="Calibri" w:hAnsi="Calibri"/>
        </w:rPr>
        <w:tab/>
        <w:t>Żwir do wykonania ławy powinien odpowiadać wymaganiom PN-B-11111, a piasek - wymaganiom PN-B-11113.</w:t>
      </w:r>
    </w:p>
    <w:p w:rsidR="001E3470" w:rsidRPr="00D82290" w:rsidRDefault="001E3470" w:rsidP="001E3470">
      <w:pPr>
        <w:rPr>
          <w:rFonts w:ascii="Calibri" w:hAnsi="Calibri"/>
        </w:rPr>
      </w:pPr>
      <w:r w:rsidRPr="00D82290">
        <w:rPr>
          <w:rFonts w:ascii="Calibri" w:hAnsi="Calibri"/>
        </w:rPr>
        <w:tab/>
        <w:t>Materiały do zaprawy cementowo-piaskowej powinny odpowiadać wymaganiom podanym w ST D-08.01.01 „Krawężniki betonowe” pkt 2.</w:t>
      </w:r>
    </w:p>
    <w:p w:rsidR="001E3470" w:rsidRPr="00D82290" w:rsidRDefault="001E3470" w:rsidP="001E3470">
      <w:pPr>
        <w:rPr>
          <w:rFonts w:ascii="Calibri" w:hAnsi="Calibri"/>
        </w:rPr>
      </w:pPr>
    </w:p>
    <w:p w:rsidR="001E3470" w:rsidRPr="00D82290" w:rsidRDefault="001E3470" w:rsidP="001E3470">
      <w:pPr>
        <w:rPr>
          <w:rFonts w:ascii="Calibri" w:hAnsi="Calibri"/>
          <w:b/>
        </w:rPr>
      </w:pPr>
      <w:bookmarkStart w:id="1627" w:name="_Toc426531384"/>
      <w:r w:rsidRPr="00D82290">
        <w:rPr>
          <w:rFonts w:ascii="Calibri" w:hAnsi="Calibri"/>
          <w:b/>
        </w:rPr>
        <w:t xml:space="preserve">3. </w:t>
      </w:r>
      <w:bookmarkEnd w:id="1627"/>
      <w:r w:rsidRPr="00D82290">
        <w:rPr>
          <w:rFonts w:ascii="Calibri" w:hAnsi="Calibri"/>
          <w:b/>
        </w:rPr>
        <w:t>SPRZĘT</w:t>
      </w:r>
    </w:p>
    <w:p w:rsidR="001E3470" w:rsidRPr="00D82290" w:rsidRDefault="001E3470" w:rsidP="001E3470">
      <w:pPr>
        <w:rPr>
          <w:rFonts w:ascii="Calibri" w:hAnsi="Calibri"/>
        </w:rPr>
      </w:pPr>
      <w:r w:rsidRPr="00D82290">
        <w:rPr>
          <w:rFonts w:ascii="Calibri" w:hAnsi="Calibri"/>
          <w:b/>
        </w:rPr>
        <w:t>3.1.</w:t>
      </w:r>
      <w:r w:rsidRPr="00D82290">
        <w:rPr>
          <w:rFonts w:ascii="Calibri" w:hAnsi="Calibri"/>
        </w:rPr>
        <w:t xml:space="preserve"> Ogólne wymagania dotyczące sprzętu</w:t>
      </w:r>
    </w:p>
    <w:p w:rsidR="001E3470" w:rsidRPr="00D82290" w:rsidRDefault="001E3470" w:rsidP="001E3470">
      <w:pPr>
        <w:rPr>
          <w:rFonts w:ascii="Calibri" w:hAnsi="Calibri"/>
        </w:rPr>
      </w:pPr>
      <w:r w:rsidRPr="00D82290">
        <w:rPr>
          <w:rFonts w:ascii="Calibri" w:hAnsi="Calibri"/>
        </w:rPr>
        <w:tab/>
        <w:t>Ogólne wymagania dotyczące sprzętu podano w ST D-M-00.00.00 „Wymagania ogólne” pkt 3.</w:t>
      </w:r>
    </w:p>
    <w:p w:rsidR="001E3470" w:rsidRPr="00D82290" w:rsidRDefault="001E3470" w:rsidP="001E3470">
      <w:pPr>
        <w:rPr>
          <w:rFonts w:ascii="Calibri" w:hAnsi="Calibri"/>
        </w:rPr>
      </w:pPr>
      <w:r w:rsidRPr="00D82290">
        <w:rPr>
          <w:rFonts w:ascii="Calibri" w:hAnsi="Calibri"/>
          <w:b/>
        </w:rPr>
        <w:t>3.2.</w:t>
      </w:r>
      <w:r w:rsidRPr="00D82290">
        <w:rPr>
          <w:rFonts w:ascii="Calibri" w:hAnsi="Calibri"/>
        </w:rPr>
        <w:t xml:space="preserve"> Sprzęt do ustawiania obrzeży</w:t>
      </w:r>
    </w:p>
    <w:p w:rsidR="001E3470" w:rsidRPr="00D82290" w:rsidRDefault="001E3470" w:rsidP="001E3470">
      <w:pPr>
        <w:rPr>
          <w:rFonts w:ascii="Calibri" w:hAnsi="Calibri"/>
        </w:rPr>
      </w:pPr>
      <w:r w:rsidRPr="00D82290">
        <w:rPr>
          <w:rFonts w:ascii="Calibri" w:hAnsi="Calibri"/>
        </w:rPr>
        <w:tab/>
        <w:t>Roboty wykonuje się ręcznie przy zastosowaniu drobnego sprzętu pomocniczego.</w:t>
      </w:r>
    </w:p>
    <w:p w:rsidR="00671D68" w:rsidRPr="00D82290" w:rsidRDefault="00671D68" w:rsidP="001E3470">
      <w:pPr>
        <w:rPr>
          <w:rFonts w:ascii="Calibri" w:hAnsi="Calibri"/>
        </w:rPr>
      </w:pPr>
    </w:p>
    <w:p w:rsidR="001E3470" w:rsidRPr="00D82290" w:rsidRDefault="001E3470" w:rsidP="001E3470">
      <w:pPr>
        <w:rPr>
          <w:rFonts w:ascii="Calibri" w:hAnsi="Calibri"/>
          <w:b/>
        </w:rPr>
      </w:pPr>
      <w:bookmarkStart w:id="1628" w:name="_Toc426531385"/>
      <w:r w:rsidRPr="00D82290">
        <w:rPr>
          <w:rFonts w:ascii="Calibri" w:hAnsi="Calibri"/>
          <w:b/>
        </w:rPr>
        <w:t xml:space="preserve">4. </w:t>
      </w:r>
      <w:bookmarkEnd w:id="1628"/>
      <w:r w:rsidRPr="00D82290">
        <w:rPr>
          <w:rFonts w:ascii="Calibri" w:hAnsi="Calibri"/>
          <w:b/>
        </w:rPr>
        <w:t>TRANSPORT</w:t>
      </w:r>
    </w:p>
    <w:p w:rsidR="001E3470" w:rsidRPr="00D82290" w:rsidRDefault="001E3470" w:rsidP="001E3470">
      <w:pPr>
        <w:rPr>
          <w:rFonts w:ascii="Calibri" w:hAnsi="Calibri"/>
        </w:rPr>
      </w:pPr>
      <w:r w:rsidRPr="00D82290">
        <w:rPr>
          <w:rFonts w:ascii="Calibri" w:hAnsi="Calibri"/>
          <w:b/>
        </w:rPr>
        <w:t>4.1.</w:t>
      </w:r>
      <w:r w:rsidRPr="00D82290">
        <w:rPr>
          <w:rFonts w:ascii="Calibri" w:hAnsi="Calibri"/>
        </w:rPr>
        <w:t xml:space="preserve"> Ogólne wymagania dotyczące transportu</w:t>
      </w:r>
    </w:p>
    <w:p w:rsidR="001E3470" w:rsidRPr="00D82290" w:rsidRDefault="001E3470" w:rsidP="001E3470">
      <w:pPr>
        <w:rPr>
          <w:rFonts w:ascii="Calibri" w:hAnsi="Calibri"/>
        </w:rPr>
      </w:pPr>
      <w:r w:rsidRPr="00D82290">
        <w:rPr>
          <w:rFonts w:ascii="Calibri" w:hAnsi="Calibri"/>
        </w:rPr>
        <w:tab/>
        <w:t>Ogólne wymagania dotyczące transportu podano w ST D-M-00.00.00 „Wymagania ogólne” pkt 4.</w:t>
      </w:r>
    </w:p>
    <w:p w:rsidR="001E3470" w:rsidRPr="00D82290" w:rsidRDefault="001E3470" w:rsidP="001E3470">
      <w:pPr>
        <w:rPr>
          <w:rFonts w:ascii="Calibri" w:hAnsi="Calibri"/>
        </w:rPr>
      </w:pPr>
      <w:r w:rsidRPr="00D82290">
        <w:rPr>
          <w:rFonts w:ascii="Calibri" w:hAnsi="Calibri"/>
          <w:b/>
        </w:rPr>
        <w:lastRenderedPageBreak/>
        <w:t>4.2.</w:t>
      </w:r>
      <w:r w:rsidRPr="00D82290">
        <w:rPr>
          <w:rFonts w:ascii="Calibri" w:hAnsi="Calibri"/>
        </w:rPr>
        <w:t xml:space="preserve"> Transport obrzeży betonowych</w:t>
      </w:r>
    </w:p>
    <w:p w:rsidR="001E3470" w:rsidRPr="00D82290" w:rsidRDefault="001E3470" w:rsidP="001E3470">
      <w:pPr>
        <w:rPr>
          <w:rFonts w:ascii="Calibri" w:hAnsi="Calibri"/>
        </w:rPr>
      </w:pPr>
      <w:r w:rsidRPr="00D82290">
        <w:rPr>
          <w:rFonts w:ascii="Calibri" w:hAnsi="Calibri"/>
        </w:rPr>
        <w:tab/>
        <w:t>Betonowe obrzeża chodnikowe mogą być przewożone dowolnymi środkami transportu po osiągnięciu przez beton wytrzymałości minimum 0,7 wytrzymałości projektowanej.</w:t>
      </w:r>
    </w:p>
    <w:p w:rsidR="001E3470" w:rsidRPr="00D82290" w:rsidRDefault="001E3470" w:rsidP="001E3470">
      <w:pPr>
        <w:rPr>
          <w:rFonts w:ascii="Calibri" w:hAnsi="Calibri"/>
        </w:rPr>
      </w:pPr>
      <w:r w:rsidRPr="00D82290">
        <w:rPr>
          <w:rFonts w:ascii="Calibri" w:hAnsi="Calibri"/>
        </w:rPr>
        <w:tab/>
        <w:t>Obrzeża powinny być zabezpieczone przed przemieszczeniem się i uszkodzeniami w czasie transportu.</w:t>
      </w:r>
    </w:p>
    <w:p w:rsidR="001E3470" w:rsidRPr="00D82290" w:rsidRDefault="001E3470" w:rsidP="001E3470">
      <w:pPr>
        <w:rPr>
          <w:rFonts w:ascii="Calibri" w:hAnsi="Calibri"/>
        </w:rPr>
      </w:pPr>
      <w:r w:rsidRPr="00D82290">
        <w:rPr>
          <w:rFonts w:ascii="Calibri" w:hAnsi="Calibri"/>
          <w:b/>
        </w:rPr>
        <w:t>4.3.</w:t>
      </w:r>
      <w:r w:rsidRPr="00D82290">
        <w:rPr>
          <w:rFonts w:ascii="Calibri" w:hAnsi="Calibri"/>
        </w:rPr>
        <w:t xml:space="preserve"> Transport pozostałych materiałów</w:t>
      </w:r>
    </w:p>
    <w:p w:rsidR="001E3470" w:rsidRPr="00D82290" w:rsidRDefault="001E3470" w:rsidP="001E3470">
      <w:pPr>
        <w:rPr>
          <w:rFonts w:ascii="Calibri" w:hAnsi="Calibri"/>
        </w:rPr>
      </w:pPr>
      <w:r w:rsidRPr="00D82290">
        <w:rPr>
          <w:rFonts w:ascii="Calibri" w:hAnsi="Calibri"/>
        </w:rPr>
        <w:tab/>
        <w:t>Transport pozostałych materiałów podano w ST D-08.01.01 „Krawężniki betonowe”.</w:t>
      </w:r>
    </w:p>
    <w:p w:rsidR="001E3470" w:rsidRPr="00D82290" w:rsidRDefault="001E3470" w:rsidP="001E3470">
      <w:pPr>
        <w:rPr>
          <w:rFonts w:ascii="Calibri" w:hAnsi="Calibri"/>
        </w:rPr>
      </w:pPr>
    </w:p>
    <w:p w:rsidR="001E3470" w:rsidRPr="00D82290" w:rsidRDefault="001E3470" w:rsidP="001E3470">
      <w:pPr>
        <w:rPr>
          <w:rFonts w:ascii="Calibri" w:hAnsi="Calibri"/>
          <w:b/>
        </w:rPr>
      </w:pPr>
      <w:bookmarkStart w:id="1629" w:name="_Toc426531386"/>
      <w:r w:rsidRPr="00D82290">
        <w:rPr>
          <w:rFonts w:ascii="Calibri" w:hAnsi="Calibri"/>
          <w:b/>
        </w:rPr>
        <w:t xml:space="preserve">5. </w:t>
      </w:r>
      <w:bookmarkEnd w:id="1629"/>
      <w:r w:rsidRPr="00D82290">
        <w:rPr>
          <w:rFonts w:ascii="Calibri" w:hAnsi="Calibri"/>
          <w:b/>
        </w:rPr>
        <w:t>WYKONANIE ROBÓT</w:t>
      </w:r>
    </w:p>
    <w:p w:rsidR="001E3470" w:rsidRPr="00D82290" w:rsidRDefault="001E3470" w:rsidP="001E3470">
      <w:pPr>
        <w:rPr>
          <w:rFonts w:ascii="Calibri" w:hAnsi="Calibri"/>
        </w:rPr>
      </w:pPr>
      <w:r w:rsidRPr="00D82290">
        <w:rPr>
          <w:rFonts w:ascii="Calibri" w:hAnsi="Calibri"/>
          <w:b/>
        </w:rPr>
        <w:t>5.1.</w:t>
      </w:r>
      <w:r w:rsidRPr="00D82290">
        <w:rPr>
          <w:rFonts w:ascii="Calibri" w:hAnsi="Calibri"/>
        </w:rPr>
        <w:t xml:space="preserve"> Ogólne zasady wykonania robót</w:t>
      </w:r>
    </w:p>
    <w:p w:rsidR="001E3470" w:rsidRPr="00D82290" w:rsidRDefault="001E3470" w:rsidP="001E3470">
      <w:pPr>
        <w:rPr>
          <w:rFonts w:ascii="Calibri" w:hAnsi="Calibri"/>
        </w:rPr>
      </w:pPr>
      <w:r w:rsidRPr="00D82290">
        <w:rPr>
          <w:rFonts w:ascii="Calibri" w:hAnsi="Calibri"/>
        </w:rPr>
        <w:tab/>
        <w:t>Ogólne zasady wykonania robót podano w ST D-M-00.00.00 „Wymagania ogólne” pkt 5.</w:t>
      </w:r>
    </w:p>
    <w:p w:rsidR="001E3470" w:rsidRPr="00D82290" w:rsidRDefault="001E3470" w:rsidP="001E3470">
      <w:pPr>
        <w:rPr>
          <w:rFonts w:ascii="Calibri" w:hAnsi="Calibri"/>
        </w:rPr>
      </w:pPr>
      <w:r w:rsidRPr="00D82290">
        <w:rPr>
          <w:rFonts w:ascii="Calibri" w:hAnsi="Calibri"/>
          <w:b/>
        </w:rPr>
        <w:t>5.2.</w:t>
      </w:r>
      <w:r w:rsidRPr="00D82290">
        <w:rPr>
          <w:rFonts w:ascii="Calibri" w:hAnsi="Calibri"/>
        </w:rPr>
        <w:t xml:space="preserve"> Wykonanie koryta</w:t>
      </w:r>
    </w:p>
    <w:p w:rsidR="001E3470" w:rsidRPr="00D82290" w:rsidRDefault="001E3470" w:rsidP="001E3470">
      <w:pPr>
        <w:rPr>
          <w:rFonts w:ascii="Calibri" w:hAnsi="Calibri"/>
        </w:rPr>
      </w:pPr>
      <w:r w:rsidRPr="00D82290">
        <w:rPr>
          <w:rFonts w:ascii="Calibri" w:hAnsi="Calibri"/>
        </w:rPr>
        <w:tab/>
        <w:t>Koryto pod podsypkę (ławę) należy wykonywać zgodnie z PN-B-06050.</w:t>
      </w:r>
    </w:p>
    <w:p w:rsidR="001E3470" w:rsidRPr="00D82290" w:rsidRDefault="001E3470" w:rsidP="001E3470">
      <w:pPr>
        <w:rPr>
          <w:rFonts w:ascii="Calibri" w:hAnsi="Calibri"/>
        </w:rPr>
      </w:pPr>
      <w:r w:rsidRPr="00D82290">
        <w:rPr>
          <w:rFonts w:ascii="Calibri" w:hAnsi="Calibri"/>
        </w:rPr>
        <w:tab/>
        <w:t>Wymiary wykopu powinny odpowiadać wymiarom ławy w planie z uwzględnieniem w szerokości dna wykopu ew. konstrukcji szalunku.</w:t>
      </w:r>
    </w:p>
    <w:p w:rsidR="001E3470" w:rsidRPr="00D82290" w:rsidRDefault="001E3470" w:rsidP="001E3470">
      <w:pPr>
        <w:rPr>
          <w:rFonts w:ascii="Calibri" w:hAnsi="Calibri"/>
        </w:rPr>
      </w:pPr>
      <w:r w:rsidRPr="00D82290">
        <w:rPr>
          <w:rFonts w:ascii="Calibri" w:hAnsi="Calibri"/>
          <w:b/>
        </w:rPr>
        <w:t>5.3.</w:t>
      </w:r>
      <w:r w:rsidRPr="00D82290">
        <w:rPr>
          <w:rFonts w:ascii="Calibri" w:hAnsi="Calibri"/>
        </w:rPr>
        <w:t xml:space="preserve"> Podłoże lub podsypka (ława)</w:t>
      </w:r>
    </w:p>
    <w:p w:rsidR="001E3470" w:rsidRPr="00D82290" w:rsidRDefault="001E3470" w:rsidP="001E3470">
      <w:pPr>
        <w:rPr>
          <w:rFonts w:ascii="Calibri" w:hAnsi="Calibri"/>
        </w:rPr>
      </w:pPr>
      <w:r w:rsidRPr="00D82290">
        <w:rPr>
          <w:rFonts w:ascii="Calibri" w:hAnsi="Calibri"/>
        </w:rPr>
        <w:tab/>
        <w:t>Podłoże pod ustawienie obrzeża może stanowić rodzimy grunt piaszczysty lub podsypka (ława) ze żwiru lub piasku, o grubości warstwy od 3 do 5 cm po zagęszczeniu. Podsypkę (ławę) wykonuje się przez zasypanie koryta żwirem lub piaskiem i zagęszczenie z polewaniem wodą.</w:t>
      </w:r>
    </w:p>
    <w:p w:rsidR="001E3470" w:rsidRPr="00D82290" w:rsidRDefault="001E3470" w:rsidP="001E3470">
      <w:pPr>
        <w:rPr>
          <w:rFonts w:ascii="Calibri" w:hAnsi="Calibri"/>
        </w:rPr>
      </w:pPr>
      <w:r w:rsidRPr="00D82290">
        <w:rPr>
          <w:rFonts w:ascii="Calibri" w:hAnsi="Calibri"/>
          <w:b/>
        </w:rPr>
        <w:t>5.4.</w:t>
      </w:r>
      <w:r w:rsidRPr="00D82290">
        <w:rPr>
          <w:rFonts w:ascii="Calibri" w:hAnsi="Calibri"/>
        </w:rPr>
        <w:t xml:space="preserve"> Ustawienie betonowych obrzeży chodnikowych</w:t>
      </w:r>
    </w:p>
    <w:p w:rsidR="001E3470" w:rsidRPr="00D82290" w:rsidRDefault="001E3470" w:rsidP="001E3470">
      <w:pPr>
        <w:rPr>
          <w:rFonts w:ascii="Calibri" w:hAnsi="Calibri"/>
        </w:rPr>
      </w:pPr>
      <w:r w:rsidRPr="00D82290">
        <w:rPr>
          <w:rFonts w:ascii="Calibri" w:hAnsi="Calibri"/>
        </w:rPr>
        <w:tab/>
        <w:t>Betonowe obrzeża chodnikowe należy ustawiać na wykonanym podłożu w miejscu i ze światłem (odległością górnej powierzchni obrzeża od ciągu komunikacyjnego) zgodnym z ustaleniami dokumentacji projektowej.</w:t>
      </w:r>
    </w:p>
    <w:p w:rsidR="001E3470" w:rsidRPr="00D82290" w:rsidRDefault="001E3470" w:rsidP="001E3470">
      <w:pPr>
        <w:rPr>
          <w:rFonts w:ascii="Calibri" w:hAnsi="Calibri"/>
        </w:rPr>
      </w:pPr>
      <w:r w:rsidRPr="00D82290">
        <w:rPr>
          <w:rFonts w:ascii="Calibri" w:hAnsi="Calibri"/>
        </w:rPr>
        <w:tab/>
        <w:t>Zewnętrzna ściana obrzeża powinna być obsypana piaskiem, żwirem lub miejscowym gruntem przepuszczalnym, starannie ubitym.</w:t>
      </w:r>
    </w:p>
    <w:p w:rsidR="001E3470" w:rsidRPr="00D82290" w:rsidRDefault="001E3470" w:rsidP="001E3470">
      <w:pPr>
        <w:rPr>
          <w:rFonts w:ascii="Calibri" w:hAnsi="Calibri"/>
        </w:rPr>
      </w:pPr>
      <w:r w:rsidRPr="00D82290">
        <w:rPr>
          <w:rFonts w:ascii="Calibri" w:hAnsi="Calibri"/>
        </w:rPr>
        <w:tab/>
        <w:t>Spoiny nie powinny przekraczać szerokości 1 cm. Należy wypełnić je piaskiem lub zaprawą cementowo-piaskową w stosunku 1:2. Spoiny przed zalaniem należy oczyścić i zmyć wodą. Spoiny muszą być wypełnione całkowicie na pełną głębokość.</w:t>
      </w:r>
    </w:p>
    <w:p w:rsidR="001E3470" w:rsidRPr="00D82290" w:rsidRDefault="001E3470" w:rsidP="001E3470">
      <w:pPr>
        <w:rPr>
          <w:rFonts w:ascii="Calibri" w:hAnsi="Calibri"/>
        </w:rPr>
      </w:pPr>
    </w:p>
    <w:p w:rsidR="001E3470" w:rsidRPr="00D82290" w:rsidRDefault="001E3470" w:rsidP="001E3470">
      <w:pPr>
        <w:rPr>
          <w:rFonts w:ascii="Calibri" w:hAnsi="Calibri"/>
          <w:b/>
        </w:rPr>
      </w:pPr>
      <w:bookmarkStart w:id="1630" w:name="_Toc426531387"/>
      <w:r w:rsidRPr="00D82290">
        <w:rPr>
          <w:rFonts w:ascii="Calibri" w:hAnsi="Calibri"/>
          <w:b/>
        </w:rPr>
        <w:t xml:space="preserve">6. </w:t>
      </w:r>
      <w:bookmarkEnd w:id="1630"/>
      <w:r w:rsidRPr="00D82290">
        <w:rPr>
          <w:rFonts w:ascii="Calibri" w:hAnsi="Calibri"/>
          <w:b/>
        </w:rPr>
        <w:t>KONTROLA JAKOŚCI ROBÓT</w:t>
      </w:r>
    </w:p>
    <w:p w:rsidR="001E3470" w:rsidRPr="00D82290" w:rsidRDefault="001E3470" w:rsidP="001E3470">
      <w:pPr>
        <w:rPr>
          <w:rFonts w:ascii="Calibri" w:hAnsi="Calibri"/>
        </w:rPr>
      </w:pPr>
      <w:r w:rsidRPr="00D82290">
        <w:rPr>
          <w:rFonts w:ascii="Calibri" w:hAnsi="Calibri"/>
          <w:b/>
        </w:rPr>
        <w:t>6.1.</w:t>
      </w:r>
      <w:r w:rsidRPr="00D82290">
        <w:rPr>
          <w:rFonts w:ascii="Calibri" w:hAnsi="Calibri"/>
        </w:rPr>
        <w:t xml:space="preserve"> Ogólne zasady kontroli jakości robót</w:t>
      </w:r>
    </w:p>
    <w:p w:rsidR="001E3470" w:rsidRPr="00D82290" w:rsidRDefault="001E3470" w:rsidP="001E3470">
      <w:pPr>
        <w:rPr>
          <w:rFonts w:ascii="Calibri" w:hAnsi="Calibri"/>
        </w:rPr>
      </w:pPr>
      <w:r w:rsidRPr="00D82290">
        <w:rPr>
          <w:rFonts w:ascii="Calibri" w:hAnsi="Calibri"/>
        </w:rPr>
        <w:tab/>
        <w:t>Ogólne zasady kontroli jakości robót podano w ST D-M-00.00.00 „Wymagania ogólne” pkt 6.</w:t>
      </w:r>
    </w:p>
    <w:p w:rsidR="001E3470" w:rsidRPr="00D82290" w:rsidRDefault="001E3470" w:rsidP="001E3470">
      <w:pPr>
        <w:rPr>
          <w:rFonts w:ascii="Calibri" w:hAnsi="Calibri"/>
        </w:rPr>
      </w:pPr>
      <w:r w:rsidRPr="00D82290">
        <w:rPr>
          <w:rFonts w:ascii="Calibri" w:hAnsi="Calibri"/>
          <w:b/>
        </w:rPr>
        <w:t>6.2.</w:t>
      </w:r>
      <w:r w:rsidRPr="00D82290">
        <w:rPr>
          <w:rFonts w:ascii="Calibri" w:hAnsi="Calibri"/>
        </w:rPr>
        <w:t xml:space="preserve"> Badania przed przystąpieniem do robót</w:t>
      </w:r>
    </w:p>
    <w:p w:rsidR="001E3470" w:rsidRPr="00D82290" w:rsidRDefault="001E3470" w:rsidP="001E3470">
      <w:pPr>
        <w:rPr>
          <w:rFonts w:ascii="Calibri" w:hAnsi="Calibri"/>
        </w:rPr>
      </w:pPr>
      <w:r w:rsidRPr="00D82290">
        <w:rPr>
          <w:rFonts w:ascii="Calibri" w:hAnsi="Calibri"/>
        </w:rPr>
        <w:tab/>
        <w:t>Przed przystąpieniem do robót Wykonawca powinien wykonać badania materiałów przeznaczonych do ustawienia betonowych obrzeży chodnikowych i przedstawić wyniki tych badań Inżynierowi do akceptacji.</w:t>
      </w:r>
    </w:p>
    <w:p w:rsidR="001E3470" w:rsidRPr="00D82290" w:rsidRDefault="001E3470" w:rsidP="001E3470">
      <w:pPr>
        <w:rPr>
          <w:rFonts w:ascii="Calibri" w:hAnsi="Calibri"/>
        </w:rPr>
      </w:pPr>
      <w:r w:rsidRPr="00D82290">
        <w:rPr>
          <w:rFonts w:ascii="Calibri" w:hAnsi="Calibri"/>
        </w:rPr>
        <w:tab/>
        <w:t>Sprawdzenie wyglądu zewnętrznego należy przeprowadzić na podstawie oględzin elementu przez pomiar i policzenie uszkodzeń występujących na powierzchniach i krawędziach elementu, zgodnie z wymaganiami tablicy 3. Pomiary długości i głębokości uszkodzeń należy wykonać za pomocą przymiaru stalowego lub suwmiarki z dokładnością do 1 mm, zgodnie z ustaleniami PN-B-10021.</w:t>
      </w:r>
    </w:p>
    <w:p w:rsidR="001E3470" w:rsidRPr="00D82290" w:rsidRDefault="001E3470" w:rsidP="001E3470">
      <w:pPr>
        <w:rPr>
          <w:rFonts w:ascii="Calibri" w:hAnsi="Calibri"/>
        </w:rPr>
      </w:pPr>
      <w:r w:rsidRPr="00D82290">
        <w:rPr>
          <w:rFonts w:ascii="Calibri" w:hAnsi="Calibri"/>
        </w:rPr>
        <w:tab/>
        <w:t>Sprawdzenie kształtu i wymiarów elementów należy przeprowadzić z dokładnością do 1 mm przy użyciu suwmiarki oraz przymiaru stalowego lub taśmy, zgodnie z wymaganiami tablicy 1 i 2. Sprawdzenie kątów prostych w narożach elementów wykonuje się przez przyłożenie kątownika do badanego naroża i zmierzenia odchyłek z dokładnością do 1 mm.</w:t>
      </w:r>
    </w:p>
    <w:p w:rsidR="001E3470" w:rsidRPr="00D82290" w:rsidRDefault="001E3470" w:rsidP="001E3470">
      <w:pPr>
        <w:rPr>
          <w:rFonts w:ascii="Calibri" w:hAnsi="Calibri"/>
        </w:rPr>
      </w:pPr>
      <w:r w:rsidRPr="00D82290">
        <w:rPr>
          <w:rFonts w:ascii="Calibri" w:hAnsi="Calibri"/>
        </w:rPr>
        <w:tab/>
        <w:t>Badania pozostałych materiałów powinny obejmować wszystkie właściwości określone w normach podanych dla odpowiednich materiałów wymienionych w pkt 2.</w:t>
      </w:r>
    </w:p>
    <w:p w:rsidR="001E3470" w:rsidRPr="00D82290" w:rsidRDefault="001E3470" w:rsidP="001E3470">
      <w:pPr>
        <w:rPr>
          <w:rFonts w:ascii="Calibri" w:hAnsi="Calibri"/>
        </w:rPr>
      </w:pPr>
      <w:r w:rsidRPr="00D82290">
        <w:rPr>
          <w:rFonts w:ascii="Calibri" w:hAnsi="Calibri"/>
          <w:b/>
        </w:rPr>
        <w:t>6.3.</w:t>
      </w:r>
      <w:r w:rsidRPr="00D82290">
        <w:rPr>
          <w:rFonts w:ascii="Calibri" w:hAnsi="Calibri"/>
        </w:rPr>
        <w:t xml:space="preserve"> Badania w czasie robót</w:t>
      </w:r>
    </w:p>
    <w:p w:rsidR="001E3470" w:rsidRPr="00D82290" w:rsidRDefault="001E3470" w:rsidP="001E3470">
      <w:pPr>
        <w:rPr>
          <w:rFonts w:ascii="Calibri" w:hAnsi="Calibri"/>
        </w:rPr>
      </w:pPr>
      <w:r w:rsidRPr="00D82290">
        <w:rPr>
          <w:rFonts w:ascii="Calibri" w:hAnsi="Calibri"/>
        </w:rPr>
        <w:tab/>
        <w:t>W czasie robót należy sprawdzać wykonanie:</w:t>
      </w:r>
    </w:p>
    <w:p w:rsidR="001E3470" w:rsidRPr="00D82290" w:rsidRDefault="001E3470" w:rsidP="001E3470">
      <w:pPr>
        <w:rPr>
          <w:rFonts w:ascii="Calibri" w:hAnsi="Calibri"/>
        </w:rPr>
      </w:pPr>
      <w:r>
        <w:rPr>
          <w:rFonts w:ascii="Calibri" w:hAnsi="Calibri"/>
        </w:rPr>
        <w:t>-</w:t>
      </w:r>
      <w:r w:rsidRPr="00D82290">
        <w:rPr>
          <w:rFonts w:ascii="Calibri" w:hAnsi="Calibri"/>
        </w:rPr>
        <w:t>koryta pod podsypkę (ławę) - zgodnie z wymaganiami pkt 5.2,</w:t>
      </w:r>
    </w:p>
    <w:p w:rsidR="001E3470" w:rsidRPr="00D82290" w:rsidRDefault="001E3470" w:rsidP="001E3470">
      <w:pPr>
        <w:rPr>
          <w:rFonts w:ascii="Calibri" w:hAnsi="Calibri"/>
        </w:rPr>
      </w:pPr>
      <w:r>
        <w:rPr>
          <w:rFonts w:ascii="Calibri" w:hAnsi="Calibri"/>
        </w:rPr>
        <w:t>-</w:t>
      </w:r>
      <w:r w:rsidRPr="00D82290">
        <w:rPr>
          <w:rFonts w:ascii="Calibri" w:hAnsi="Calibri"/>
        </w:rPr>
        <w:t>podłoża z rodzimego gruntu piaszczystego lub podsypki (ławy) ze żwiru lub piasku - zgodnie z wymaganiami pkt 5.3,</w:t>
      </w:r>
    </w:p>
    <w:p w:rsidR="001E3470" w:rsidRPr="00D82290" w:rsidRDefault="001E3470" w:rsidP="001E3470">
      <w:pPr>
        <w:rPr>
          <w:rFonts w:ascii="Calibri" w:hAnsi="Calibri"/>
        </w:rPr>
      </w:pPr>
      <w:r>
        <w:rPr>
          <w:rFonts w:ascii="Calibri" w:hAnsi="Calibri"/>
        </w:rPr>
        <w:t>-</w:t>
      </w:r>
      <w:r w:rsidRPr="00D82290">
        <w:rPr>
          <w:rFonts w:ascii="Calibri" w:hAnsi="Calibri"/>
        </w:rPr>
        <w:t>ustawienia betonowego obrzeża chodnikowego - zgodnie z wymaganiami pkt 5.4, przy dopuszczalnych odchyleniach:</w:t>
      </w:r>
    </w:p>
    <w:p w:rsidR="001E3470" w:rsidRPr="00D82290" w:rsidRDefault="001E3470" w:rsidP="001E3470">
      <w:pPr>
        <w:rPr>
          <w:rFonts w:ascii="Calibri" w:hAnsi="Calibri"/>
        </w:rPr>
      </w:pPr>
      <w:r>
        <w:rPr>
          <w:rFonts w:ascii="Calibri" w:hAnsi="Calibri"/>
        </w:rPr>
        <w:t>-</w:t>
      </w:r>
      <w:r w:rsidRPr="00D82290">
        <w:rPr>
          <w:rFonts w:ascii="Calibri" w:hAnsi="Calibri"/>
        </w:rPr>
        <w:t xml:space="preserve">linii obrzeża w planie, które może wynosić </w:t>
      </w:r>
      <w:r w:rsidRPr="00D82290">
        <w:rPr>
          <w:rFonts w:ascii="Calibri" w:hAnsi="Calibri"/>
        </w:rPr>
        <w:sym w:font="Symbol" w:char="F0B1"/>
      </w:r>
      <w:r w:rsidRPr="00D82290">
        <w:rPr>
          <w:rFonts w:ascii="Calibri" w:hAnsi="Calibri"/>
        </w:rPr>
        <w:t xml:space="preserve"> 2 cm na każde 100 m długości obrzeża,</w:t>
      </w:r>
    </w:p>
    <w:p w:rsidR="001E3470" w:rsidRPr="00D82290" w:rsidRDefault="001E3470" w:rsidP="001E3470">
      <w:pPr>
        <w:rPr>
          <w:rFonts w:ascii="Calibri" w:hAnsi="Calibri"/>
        </w:rPr>
      </w:pPr>
      <w:r>
        <w:rPr>
          <w:rFonts w:ascii="Calibri" w:hAnsi="Calibri"/>
        </w:rPr>
        <w:t>-</w:t>
      </w:r>
      <w:r w:rsidRPr="00D82290">
        <w:rPr>
          <w:rFonts w:ascii="Calibri" w:hAnsi="Calibri"/>
        </w:rPr>
        <w:t xml:space="preserve">niwelety górnej płaszczyzny obrzeża , które może wynosić </w:t>
      </w:r>
      <w:r w:rsidRPr="00D82290">
        <w:rPr>
          <w:rFonts w:ascii="Calibri" w:hAnsi="Calibri"/>
        </w:rPr>
        <w:sym w:font="Symbol" w:char="F0B1"/>
      </w:r>
      <w:r w:rsidRPr="00D82290">
        <w:rPr>
          <w:rFonts w:ascii="Calibri" w:hAnsi="Calibri"/>
        </w:rPr>
        <w:t>1 cm na każde 100 m długości obrzeża,</w:t>
      </w:r>
    </w:p>
    <w:p w:rsidR="001E3470" w:rsidRPr="00D82290" w:rsidRDefault="001E3470" w:rsidP="001E3470">
      <w:pPr>
        <w:rPr>
          <w:rFonts w:ascii="Calibri" w:hAnsi="Calibri"/>
        </w:rPr>
      </w:pPr>
      <w:r>
        <w:rPr>
          <w:rFonts w:ascii="Calibri" w:hAnsi="Calibri"/>
        </w:rPr>
        <w:t>-</w:t>
      </w:r>
      <w:r w:rsidRPr="00D82290">
        <w:rPr>
          <w:rFonts w:ascii="Calibri" w:hAnsi="Calibri"/>
        </w:rPr>
        <w:t>wypełnienia spoin, sprawdzane co 10 metrów, które powinno wykazywać całkowite wypełnienie badanej spoiny na pełną głębokość.</w:t>
      </w:r>
    </w:p>
    <w:p w:rsidR="001E3470" w:rsidRDefault="001E3470" w:rsidP="001E3470">
      <w:pPr>
        <w:rPr>
          <w:rFonts w:ascii="Calibri" w:hAnsi="Calibri"/>
        </w:rPr>
      </w:pPr>
    </w:p>
    <w:p w:rsidR="00B14396" w:rsidRDefault="00B14396" w:rsidP="001E3470">
      <w:pPr>
        <w:rPr>
          <w:rFonts w:ascii="Calibri" w:hAnsi="Calibri"/>
        </w:rPr>
      </w:pPr>
    </w:p>
    <w:p w:rsidR="00B14396" w:rsidRPr="00D82290" w:rsidRDefault="00B14396" w:rsidP="001E3470">
      <w:pPr>
        <w:rPr>
          <w:rFonts w:ascii="Calibri" w:hAnsi="Calibri"/>
        </w:rPr>
      </w:pPr>
    </w:p>
    <w:p w:rsidR="001E3470" w:rsidRPr="00D82290" w:rsidRDefault="001E3470" w:rsidP="001E3470">
      <w:pPr>
        <w:rPr>
          <w:rFonts w:ascii="Calibri" w:hAnsi="Calibri"/>
          <w:b/>
        </w:rPr>
      </w:pPr>
      <w:bookmarkStart w:id="1631" w:name="_Toc426531388"/>
      <w:r w:rsidRPr="00D82290">
        <w:rPr>
          <w:rFonts w:ascii="Calibri" w:hAnsi="Calibri"/>
          <w:b/>
        </w:rPr>
        <w:lastRenderedPageBreak/>
        <w:t xml:space="preserve">7. </w:t>
      </w:r>
      <w:bookmarkEnd w:id="1631"/>
      <w:r w:rsidRPr="00D82290">
        <w:rPr>
          <w:rFonts w:ascii="Calibri" w:hAnsi="Calibri"/>
          <w:b/>
        </w:rPr>
        <w:t>OBMIAR ROBÓT</w:t>
      </w:r>
    </w:p>
    <w:p w:rsidR="001E3470" w:rsidRPr="00D82290" w:rsidRDefault="001E3470" w:rsidP="001E3470">
      <w:pPr>
        <w:rPr>
          <w:rFonts w:ascii="Calibri" w:hAnsi="Calibri"/>
        </w:rPr>
      </w:pPr>
      <w:r w:rsidRPr="00D82290">
        <w:rPr>
          <w:rFonts w:ascii="Calibri" w:hAnsi="Calibri"/>
          <w:b/>
        </w:rPr>
        <w:t>7.1.</w:t>
      </w:r>
      <w:r w:rsidRPr="00D82290">
        <w:rPr>
          <w:rFonts w:ascii="Calibri" w:hAnsi="Calibri"/>
        </w:rPr>
        <w:t xml:space="preserve"> Ogólne zasady obmiaru robót</w:t>
      </w:r>
    </w:p>
    <w:p w:rsidR="001E3470" w:rsidRPr="00D82290" w:rsidRDefault="001E3470" w:rsidP="001E3470">
      <w:pPr>
        <w:rPr>
          <w:rFonts w:ascii="Calibri" w:hAnsi="Calibri"/>
        </w:rPr>
      </w:pPr>
      <w:r w:rsidRPr="00D82290">
        <w:rPr>
          <w:rFonts w:ascii="Calibri" w:hAnsi="Calibri"/>
        </w:rPr>
        <w:tab/>
        <w:t>Ogólne zasady obmiaru robót podano w ST D-M-00.00.00 „Wymagania ogólne” pkt 7.</w:t>
      </w:r>
    </w:p>
    <w:p w:rsidR="001E3470" w:rsidRPr="00D82290" w:rsidRDefault="001E3470" w:rsidP="001E3470">
      <w:pPr>
        <w:rPr>
          <w:rFonts w:ascii="Calibri" w:hAnsi="Calibri"/>
        </w:rPr>
      </w:pPr>
      <w:r w:rsidRPr="00D82290">
        <w:rPr>
          <w:rFonts w:ascii="Calibri" w:hAnsi="Calibri"/>
          <w:b/>
        </w:rPr>
        <w:t>7.2.</w:t>
      </w:r>
      <w:r w:rsidRPr="00D82290">
        <w:rPr>
          <w:rFonts w:ascii="Calibri" w:hAnsi="Calibri"/>
        </w:rPr>
        <w:t xml:space="preserve"> Jednostka obmiarowa</w:t>
      </w:r>
    </w:p>
    <w:p w:rsidR="001E3470" w:rsidRPr="00D82290" w:rsidRDefault="001E3470" w:rsidP="001E3470">
      <w:pPr>
        <w:rPr>
          <w:rFonts w:ascii="Calibri" w:hAnsi="Calibri"/>
        </w:rPr>
      </w:pPr>
      <w:r w:rsidRPr="00D82290">
        <w:rPr>
          <w:rFonts w:ascii="Calibri" w:hAnsi="Calibri"/>
        </w:rPr>
        <w:tab/>
        <w:t>Jednostką obmiarową jest 1 m (metr) ustawionego betonowego obrzeża chodnikowego.</w:t>
      </w:r>
    </w:p>
    <w:p w:rsidR="001E3470" w:rsidRPr="00D82290" w:rsidRDefault="001E3470" w:rsidP="001E3470">
      <w:pPr>
        <w:rPr>
          <w:rFonts w:ascii="Calibri" w:hAnsi="Calibri"/>
        </w:rPr>
      </w:pPr>
    </w:p>
    <w:p w:rsidR="001E3470" w:rsidRPr="00D82290" w:rsidRDefault="001E3470" w:rsidP="001E3470">
      <w:pPr>
        <w:rPr>
          <w:rFonts w:ascii="Calibri" w:hAnsi="Calibri"/>
          <w:b/>
        </w:rPr>
      </w:pPr>
      <w:bookmarkStart w:id="1632" w:name="_Toc426435744"/>
      <w:bookmarkStart w:id="1633" w:name="_Toc426531389"/>
      <w:r w:rsidRPr="00D82290">
        <w:rPr>
          <w:rFonts w:ascii="Calibri" w:hAnsi="Calibri"/>
          <w:b/>
        </w:rPr>
        <w:t>8. ODBIÓR ROBÓT</w:t>
      </w:r>
      <w:bookmarkEnd w:id="1632"/>
      <w:bookmarkEnd w:id="1633"/>
    </w:p>
    <w:p w:rsidR="001E3470" w:rsidRPr="00D82290" w:rsidRDefault="001E3470" w:rsidP="001E3470">
      <w:pPr>
        <w:rPr>
          <w:rFonts w:ascii="Calibri" w:hAnsi="Calibri"/>
        </w:rPr>
      </w:pPr>
      <w:r w:rsidRPr="00D82290">
        <w:rPr>
          <w:rFonts w:ascii="Calibri" w:hAnsi="Calibri"/>
          <w:b/>
        </w:rPr>
        <w:t>8.1.</w:t>
      </w:r>
      <w:r w:rsidRPr="00D82290">
        <w:rPr>
          <w:rFonts w:ascii="Calibri" w:hAnsi="Calibri"/>
        </w:rPr>
        <w:t xml:space="preserve"> Ogólne zasady odbioru robót</w:t>
      </w:r>
    </w:p>
    <w:p w:rsidR="001E3470" w:rsidRPr="00D82290" w:rsidRDefault="001E3470" w:rsidP="001E3470">
      <w:pPr>
        <w:rPr>
          <w:rFonts w:ascii="Calibri" w:hAnsi="Calibri"/>
        </w:rPr>
      </w:pPr>
      <w:r w:rsidRPr="00D82290">
        <w:rPr>
          <w:rFonts w:ascii="Calibri" w:hAnsi="Calibri"/>
        </w:rPr>
        <w:tab/>
        <w:t>Ogólne zasady odbioru robót podano w ST D-M-00.00.00 „Wymagania ogólne” pkt 8.</w:t>
      </w:r>
    </w:p>
    <w:p w:rsidR="001E3470" w:rsidRPr="00D82290" w:rsidRDefault="001E3470" w:rsidP="001E3470">
      <w:pPr>
        <w:rPr>
          <w:rFonts w:ascii="Calibri" w:hAnsi="Calibri"/>
        </w:rPr>
      </w:pPr>
      <w:r w:rsidRPr="00D82290">
        <w:rPr>
          <w:rFonts w:ascii="Calibri" w:hAnsi="Calibri"/>
        </w:rPr>
        <w:tab/>
        <w:t>Roboty uznaje się za wykonane zgodnie z dokumentacją projektową, ST i wymaganiami Inżyniera, jeżeli wszystkie pomiary i badania z zachowaniem tolerancji wg pkt 6 dały wyniki pozytywne.</w:t>
      </w:r>
    </w:p>
    <w:p w:rsidR="001E3470" w:rsidRPr="00D82290" w:rsidRDefault="001E3470" w:rsidP="001E3470">
      <w:pPr>
        <w:rPr>
          <w:rFonts w:ascii="Calibri" w:hAnsi="Calibri"/>
        </w:rPr>
      </w:pPr>
      <w:r w:rsidRPr="00D82290">
        <w:rPr>
          <w:rFonts w:ascii="Calibri" w:hAnsi="Calibri"/>
          <w:b/>
        </w:rPr>
        <w:t>8.2.</w:t>
      </w:r>
      <w:r w:rsidRPr="00D82290">
        <w:rPr>
          <w:rFonts w:ascii="Calibri" w:hAnsi="Calibri"/>
        </w:rPr>
        <w:t xml:space="preserve"> Odbiór robót zanikających i ulegających zakryciu</w:t>
      </w:r>
    </w:p>
    <w:p w:rsidR="001E3470" w:rsidRPr="00D82290" w:rsidRDefault="001E3470" w:rsidP="001E3470">
      <w:pPr>
        <w:rPr>
          <w:rFonts w:ascii="Calibri" w:hAnsi="Calibri"/>
        </w:rPr>
      </w:pPr>
      <w:r w:rsidRPr="00D82290">
        <w:rPr>
          <w:rFonts w:ascii="Calibri" w:hAnsi="Calibri"/>
        </w:rPr>
        <w:tab/>
        <w:t>Odbiorowi robót zanikających i ulegających zakryciu podlegają:</w:t>
      </w:r>
    </w:p>
    <w:p w:rsidR="001E3470" w:rsidRPr="00D82290" w:rsidRDefault="001E3470" w:rsidP="001E3470">
      <w:pPr>
        <w:rPr>
          <w:rFonts w:ascii="Calibri" w:hAnsi="Calibri"/>
        </w:rPr>
      </w:pPr>
      <w:r>
        <w:rPr>
          <w:rFonts w:ascii="Calibri" w:hAnsi="Calibri"/>
        </w:rPr>
        <w:t>-</w:t>
      </w:r>
      <w:r w:rsidRPr="00D82290">
        <w:rPr>
          <w:rFonts w:ascii="Calibri" w:hAnsi="Calibri"/>
        </w:rPr>
        <w:t>wykonane koryto,</w:t>
      </w:r>
    </w:p>
    <w:p w:rsidR="001E3470" w:rsidRPr="00D82290" w:rsidRDefault="001E3470" w:rsidP="001E3470">
      <w:pPr>
        <w:rPr>
          <w:rFonts w:ascii="Calibri" w:hAnsi="Calibri"/>
        </w:rPr>
      </w:pPr>
      <w:r>
        <w:rPr>
          <w:rFonts w:ascii="Calibri" w:hAnsi="Calibri"/>
        </w:rPr>
        <w:t>-</w:t>
      </w:r>
      <w:r w:rsidRPr="00D82290">
        <w:rPr>
          <w:rFonts w:ascii="Calibri" w:hAnsi="Calibri"/>
        </w:rPr>
        <w:t>wykonana podsypka.</w:t>
      </w:r>
    </w:p>
    <w:p w:rsidR="001E3470" w:rsidRPr="00D82290" w:rsidRDefault="001E3470" w:rsidP="001E3470">
      <w:pPr>
        <w:rPr>
          <w:rFonts w:ascii="Calibri" w:hAnsi="Calibri"/>
        </w:rPr>
      </w:pPr>
    </w:p>
    <w:p w:rsidR="001E3470" w:rsidRPr="00D82290" w:rsidRDefault="001E3470" w:rsidP="001E3470">
      <w:pPr>
        <w:rPr>
          <w:rFonts w:ascii="Calibri" w:hAnsi="Calibri"/>
          <w:b/>
        </w:rPr>
      </w:pPr>
      <w:bookmarkStart w:id="1634" w:name="_Toc426435745"/>
      <w:bookmarkStart w:id="1635" w:name="_Toc426531390"/>
      <w:r w:rsidRPr="00D82290">
        <w:rPr>
          <w:rFonts w:ascii="Calibri" w:hAnsi="Calibri"/>
          <w:b/>
        </w:rPr>
        <w:t>9. PODSTAWA PŁATNOŚCI</w:t>
      </w:r>
      <w:bookmarkEnd w:id="1634"/>
      <w:bookmarkEnd w:id="1635"/>
    </w:p>
    <w:p w:rsidR="001E3470" w:rsidRPr="00D82290" w:rsidRDefault="001E3470" w:rsidP="001E3470">
      <w:pPr>
        <w:rPr>
          <w:rFonts w:ascii="Calibri" w:hAnsi="Calibri"/>
        </w:rPr>
      </w:pPr>
      <w:r w:rsidRPr="00D82290">
        <w:rPr>
          <w:rFonts w:ascii="Calibri" w:hAnsi="Calibri"/>
          <w:b/>
        </w:rPr>
        <w:t>9.1.</w:t>
      </w:r>
      <w:r w:rsidRPr="00D82290">
        <w:rPr>
          <w:rFonts w:ascii="Calibri" w:hAnsi="Calibri"/>
        </w:rPr>
        <w:t xml:space="preserve"> Ogólne ustalenia dotyczące podstawy płatności</w:t>
      </w:r>
    </w:p>
    <w:p w:rsidR="001E3470" w:rsidRPr="00D82290" w:rsidRDefault="001E3470" w:rsidP="001E3470">
      <w:pPr>
        <w:rPr>
          <w:rFonts w:ascii="Calibri" w:hAnsi="Calibri"/>
        </w:rPr>
      </w:pPr>
      <w:r w:rsidRPr="00D82290">
        <w:rPr>
          <w:rFonts w:ascii="Calibri" w:hAnsi="Calibri"/>
        </w:rPr>
        <w:tab/>
        <w:t>Ogólne ustalenia dotyczące podstawy płatności podano w ST D-M-00.00.00 „Wymagania ogólne” pkt 9.</w:t>
      </w:r>
    </w:p>
    <w:p w:rsidR="001E3470" w:rsidRPr="00D82290" w:rsidRDefault="001E3470" w:rsidP="001E3470">
      <w:pPr>
        <w:rPr>
          <w:rFonts w:ascii="Calibri" w:hAnsi="Calibri"/>
        </w:rPr>
      </w:pPr>
      <w:r w:rsidRPr="00D82290">
        <w:rPr>
          <w:rFonts w:ascii="Calibri" w:hAnsi="Calibri"/>
          <w:b/>
        </w:rPr>
        <w:t>9.2.</w:t>
      </w:r>
      <w:r w:rsidRPr="00D82290">
        <w:rPr>
          <w:rFonts w:ascii="Calibri" w:hAnsi="Calibri"/>
        </w:rPr>
        <w:t xml:space="preserve"> Cena jednostki obmiarowej</w:t>
      </w:r>
    </w:p>
    <w:p w:rsidR="001E3470" w:rsidRPr="00D82290" w:rsidRDefault="001E3470" w:rsidP="001E3470">
      <w:pPr>
        <w:rPr>
          <w:rFonts w:ascii="Calibri" w:hAnsi="Calibri"/>
        </w:rPr>
      </w:pPr>
      <w:r w:rsidRPr="00D82290">
        <w:rPr>
          <w:rFonts w:ascii="Calibri" w:hAnsi="Calibri"/>
        </w:rPr>
        <w:tab/>
        <w:t>Cena wykonania 1 m betonowego obrzeża chodnikowego obejmuje:</w:t>
      </w:r>
    </w:p>
    <w:p w:rsidR="001E3470" w:rsidRPr="00D82290" w:rsidRDefault="001E3470" w:rsidP="001E3470">
      <w:pPr>
        <w:rPr>
          <w:rFonts w:ascii="Calibri" w:hAnsi="Calibri"/>
        </w:rPr>
      </w:pPr>
      <w:r w:rsidRPr="00D82290">
        <w:rPr>
          <w:rFonts w:ascii="Calibri" w:hAnsi="Calibri"/>
        </w:rPr>
        <w:t>- prace pomiarowe i roboty przygotowawcze,</w:t>
      </w:r>
    </w:p>
    <w:p w:rsidR="001E3470" w:rsidRPr="00D82290" w:rsidRDefault="001E3470" w:rsidP="001E3470">
      <w:pPr>
        <w:rPr>
          <w:rFonts w:ascii="Calibri" w:hAnsi="Calibri"/>
        </w:rPr>
      </w:pPr>
      <w:r w:rsidRPr="00D82290">
        <w:rPr>
          <w:rFonts w:ascii="Calibri" w:hAnsi="Calibri"/>
        </w:rPr>
        <w:t>- dostarczenie materiałów,</w:t>
      </w:r>
    </w:p>
    <w:p w:rsidR="001E3470" w:rsidRPr="00D82290" w:rsidRDefault="001E3470" w:rsidP="001E3470">
      <w:pPr>
        <w:rPr>
          <w:rFonts w:ascii="Calibri" w:hAnsi="Calibri"/>
        </w:rPr>
      </w:pPr>
      <w:r w:rsidRPr="00D82290">
        <w:rPr>
          <w:rFonts w:ascii="Calibri" w:hAnsi="Calibri"/>
        </w:rPr>
        <w:t>- wykonanie koryta,</w:t>
      </w:r>
    </w:p>
    <w:p w:rsidR="001E3470" w:rsidRPr="00D82290" w:rsidRDefault="001E3470" w:rsidP="001E3470">
      <w:pPr>
        <w:rPr>
          <w:rFonts w:ascii="Calibri" w:hAnsi="Calibri"/>
        </w:rPr>
      </w:pPr>
      <w:r w:rsidRPr="00D82290">
        <w:rPr>
          <w:rFonts w:ascii="Calibri" w:hAnsi="Calibri"/>
        </w:rPr>
        <w:t>- rozścielenie i ubicie podsypki,</w:t>
      </w:r>
    </w:p>
    <w:p w:rsidR="001E3470" w:rsidRPr="00D82290" w:rsidRDefault="001E3470" w:rsidP="001E3470">
      <w:pPr>
        <w:rPr>
          <w:rFonts w:ascii="Calibri" w:hAnsi="Calibri"/>
        </w:rPr>
      </w:pPr>
      <w:r w:rsidRPr="00D82290">
        <w:rPr>
          <w:rFonts w:ascii="Calibri" w:hAnsi="Calibri"/>
        </w:rPr>
        <w:t>- ustawienie obrzeża,</w:t>
      </w:r>
    </w:p>
    <w:p w:rsidR="001E3470" w:rsidRPr="00D82290" w:rsidRDefault="001E3470" w:rsidP="001E3470">
      <w:pPr>
        <w:rPr>
          <w:rFonts w:ascii="Calibri" w:hAnsi="Calibri"/>
        </w:rPr>
      </w:pPr>
      <w:r w:rsidRPr="00D82290">
        <w:rPr>
          <w:rFonts w:ascii="Calibri" w:hAnsi="Calibri"/>
        </w:rPr>
        <w:t>- wypełnienie spoin,</w:t>
      </w:r>
    </w:p>
    <w:p w:rsidR="001E3470" w:rsidRPr="00D82290" w:rsidRDefault="001E3470" w:rsidP="001E3470">
      <w:pPr>
        <w:rPr>
          <w:rFonts w:ascii="Calibri" w:hAnsi="Calibri"/>
        </w:rPr>
      </w:pPr>
      <w:r w:rsidRPr="00D82290">
        <w:rPr>
          <w:rFonts w:ascii="Calibri" w:hAnsi="Calibri"/>
        </w:rPr>
        <w:t>- obsypanie zewnętrznej ściany obrzeża,</w:t>
      </w:r>
    </w:p>
    <w:p w:rsidR="001E3470" w:rsidRPr="00D82290" w:rsidRDefault="001E3470" w:rsidP="001E3470">
      <w:pPr>
        <w:rPr>
          <w:rFonts w:ascii="Calibri" w:hAnsi="Calibri"/>
        </w:rPr>
      </w:pPr>
      <w:r w:rsidRPr="00D82290">
        <w:rPr>
          <w:rFonts w:ascii="Calibri" w:hAnsi="Calibri"/>
        </w:rPr>
        <w:t>- wykonanie badań i pomiarów wymaganych w specyfikacji technicznej.</w:t>
      </w:r>
    </w:p>
    <w:p w:rsidR="001E3470" w:rsidRPr="00D82290" w:rsidRDefault="001E3470" w:rsidP="001E3470">
      <w:pPr>
        <w:rPr>
          <w:rFonts w:ascii="Calibri" w:hAnsi="Calibri"/>
        </w:rPr>
      </w:pPr>
    </w:p>
    <w:p w:rsidR="001E3470" w:rsidRPr="00D82290" w:rsidRDefault="001E3470" w:rsidP="001E3470">
      <w:pPr>
        <w:rPr>
          <w:rFonts w:ascii="Calibri" w:hAnsi="Calibri"/>
          <w:b/>
        </w:rPr>
      </w:pPr>
      <w:bookmarkStart w:id="1636" w:name="_Toc426531391"/>
      <w:r w:rsidRPr="00D82290">
        <w:rPr>
          <w:rFonts w:ascii="Calibri" w:hAnsi="Calibri"/>
          <w:b/>
        </w:rPr>
        <w:t xml:space="preserve">10. </w:t>
      </w:r>
      <w:bookmarkEnd w:id="1636"/>
      <w:r w:rsidRPr="00D82290">
        <w:rPr>
          <w:rFonts w:ascii="Calibri" w:hAnsi="Calibri"/>
          <w:b/>
        </w:rPr>
        <w:t>PRZEPISY ZWIĄZANE</w:t>
      </w:r>
    </w:p>
    <w:p w:rsidR="001E3470" w:rsidRPr="00D82290" w:rsidRDefault="001E3470" w:rsidP="001E3470">
      <w:pPr>
        <w:rPr>
          <w:rFonts w:ascii="Calibri" w:hAnsi="Calibri"/>
        </w:rPr>
      </w:pPr>
      <w:r w:rsidRPr="00D82290">
        <w:rPr>
          <w:rFonts w:ascii="Calibri" w:hAnsi="Calibri"/>
        </w:rPr>
        <w:t>Normy</w:t>
      </w:r>
    </w:p>
    <w:tbl>
      <w:tblPr>
        <w:tblW w:w="0" w:type="auto"/>
        <w:tblInd w:w="70" w:type="dxa"/>
        <w:tblLayout w:type="fixed"/>
        <w:tblCellMar>
          <w:left w:w="70" w:type="dxa"/>
          <w:right w:w="70" w:type="dxa"/>
        </w:tblCellMar>
        <w:tblLook w:val="0000"/>
      </w:tblPr>
      <w:tblGrid>
        <w:gridCol w:w="637"/>
        <w:gridCol w:w="1701"/>
        <w:gridCol w:w="5171"/>
      </w:tblGrid>
      <w:tr w:rsidR="001E3470" w:rsidRPr="00D82290" w:rsidTr="00671D68">
        <w:tc>
          <w:tcPr>
            <w:tcW w:w="637" w:type="dxa"/>
          </w:tcPr>
          <w:p w:rsidR="001E3470" w:rsidRPr="00D82290" w:rsidRDefault="001E3470" w:rsidP="001E3470">
            <w:pPr>
              <w:rPr>
                <w:rFonts w:ascii="Calibri" w:hAnsi="Calibri"/>
              </w:rPr>
            </w:pPr>
            <w:r w:rsidRPr="00D82290">
              <w:rPr>
                <w:rFonts w:ascii="Calibri" w:hAnsi="Calibri"/>
              </w:rPr>
              <w:t>1.</w:t>
            </w:r>
          </w:p>
        </w:tc>
        <w:tc>
          <w:tcPr>
            <w:tcW w:w="1701" w:type="dxa"/>
          </w:tcPr>
          <w:p w:rsidR="001E3470" w:rsidRPr="00D82290" w:rsidRDefault="001E3470" w:rsidP="001E3470">
            <w:pPr>
              <w:rPr>
                <w:rFonts w:ascii="Calibri" w:hAnsi="Calibri"/>
              </w:rPr>
            </w:pPr>
            <w:r w:rsidRPr="00D82290">
              <w:rPr>
                <w:rFonts w:ascii="Calibri" w:hAnsi="Calibri"/>
              </w:rPr>
              <w:t>PN-B-06050</w:t>
            </w:r>
          </w:p>
        </w:tc>
        <w:tc>
          <w:tcPr>
            <w:tcW w:w="5171" w:type="dxa"/>
          </w:tcPr>
          <w:p w:rsidR="001E3470" w:rsidRPr="00D82290" w:rsidRDefault="001E3470" w:rsidP="001E3470">
            <w:pPr>
              <w:rPr>
                <w:rFonts w:ascii="Calibri" w:hAnsi="Calibri"/>
              </w:rPr>
            </w:pPr>
            <w:r w:rsidRPr="00D82290">
              <w:rPr>
                <w:rFonts w:ascii="Calibri" w:hAnsi="Calibri"/>
              </w:rPr>
              <w:t>Roboty ziemne budowlane</w:t>
            </w:r>
          </w:p>
        </w:tc>
      </w:tr>
      <w:tr w:rsidR="001E3470" w:rsidRPr="00D82290" w:rsidTr="00671D68">
        <w:tc>
          <w:tcPr>
            <w:tcW w:w="637" w:type="dxa"/>
          </w:tcPr>
          <w:p w:rsidR="001E3470" w:rsidRPr="00D82290" w:rsidRDefault="001E3470" w:rsidP="001E3470">
            <w:pPr>
              <w:rPr>
                <w:rFonts w:ascii="Calibri" w:hAnsi="Calibri"/>
              </w:rPr>
            </w:pPr>
            <w:r w:rsidRPr="00D82290">
              <w:rPr>
                <w:rFonts w:ascii="Calibri" w:hAnsi="Calibri"/>
              </w:rPr>
              <w:t>2.</w:t>
            </w:r>
          </w:p>
        </w:tc>
        <w:tc>
          <w:tcPr>
            <w:tcW w:w="1701" w:type="dxa"/>
          </w:tcPr>
          <w:p w:rsidR="001E3470" w:rsidRPr="00D82290" w:rsidRDefault="001E3470" w:rsidP="001E3470">
            <w:pPr>
              <w:rPr>
                <w:rFonts w:ascii="Calibri" w:hAnsi="Calibri"/>
              </w:rPr>
            </w:pPr>
            <w:r w:rsidRPr="00D82290">
              <w:rPr>
                <w:rFonts w:ascii="Calibri" w:hAnsi="Calibri"/>
              </w:rPr>
              <w:t>PN-B-06250</w:t>
            </w:r>
          </w:p>
        </w:tc>
        <w:tc>
          <w:tcPr>
            <w:tcW w:w="5171" w:type="dxa"/>
          </w:tcPr>
          <w:p w:rsidR="001E3470" w:rsidRPr="00D82290" w:rsidRDefault="001E3470" w:rsidP="001E3470">
            <w:pPr>
              <w:rPr>
                <w:rFonts w:ascii="Calibri" w:hAnsi="Calibri"/>
              </w:rPr>
            </w:pPr>
            <w:r w:rsidRPr="00D82290">
              <w:rPr>
                <w:rFonts w:ascii="Calibri" w:hAnsi="Calibri"/>
              </w:rPr>
              <w:t>Beton zwykły</w:t>
            </w:r>
          </w:p>
        </w:tc>
      </w:tr>
      <w:tr w:rsidR="001E3470" w:rsidRPr="00D82290" w:rsidTr="00671D68">
        <w:tc>
          <w:tcPr>
            <w:tcW w:w="637" w:type="dxa"/>
          </w:tcPr>
          <w:p w:rsidR="001E3470" w:rsidRPr="00D82290" w:rsidRDefault="001E3470" w:rsidP="001E3470">
            <w:pPr>
              <w:rPr>
                <w:rFonts w:ascii="Calibri" w:hAnsi="Calibri"/>
              </w:rPr>
            </w:pPr>
            <w:r w:rsidRPr="00D82290">
              <w:rPr>
                <w:rFonts w:ascii="Calibri" w:hAnsi="Calibri"/>
              </w:rPr>
              <w:t>3.</w:t>
            </w:r>
          </w:p>
        </w:tc>
        <w:tc>
          <w:tcPr>
            <w:tcW w:w="1701" w:type="dxa"/>
          </w:tcPr>
          <w:p w:rsidR="001E3470" w:rsidRPr="00D82290" w:rsidRDefault="001E3470" w:rsidP="001E3470">
            <w:pPr>
              <w:rPr>
                <w:rFonts w:ascii="Calibri" w:hAnsi="Calibri"/>
              </w:rPr>
            </w:pPr>
            <w:r w:rsidRPr="00D82290">
              <w:rPr>
                <w:rFonts w:ascii="Calibri" w:hAnsi="Calibri"/>
              </w:rPr>
              <w:t>PN-B-06711</w:t>
            </w:r>
          </w:p>
        </w:tc>
        <w:tc>
          <w:tcPr>
            <w:tcW w:w="5171" w:type="dxa"/>
          </w:tcPr>
          <w:p w:rsidR="001E3470" w:rsidRPr="00D82290" w:rsidRDefault="001E3470" w:rsidP="001E3470">
            <w:pPr>
              <w:rPr>
                <w:rFonts w:ascii="Calibri" w:hAnsi="Calibri"/>
              </w:rPr>
            </w:pPr>
            <w:r w:rsidRPr="00D82290">
              <w:rPr>
                <w:rFonts w:ascii="Calibri" w:hAnsi="Calibri"/>
              </w:rPr>
              <w:t>Kruszywo mineralne. Piasek do betonów i zapraw</w:t>
            </w:r>
          </w:p>
        </w:tc>
      </w:tr>
      <w:tr w:rsidR="001E3470" w:rsidRPr="00D82290" w:rsidTr="00671D68">
        <w:tc>
          <w:tcPr>
            <w:tcW w:w="637" w:type="dxa"/>
          </w:tcPr>
          <w:p w:rsidR="001E3470" w:rsidRPr="00D82290" w:rsidRDefault="001E3470" w:rsidP="001E3470">
            <w:pPr>
              <w:rPr>
                <w:rFonts w:ascii="Calibri" w:hAnsi="Calibri"/>
              </w:rPr>
            </w:pPr>
            <w:r w:rsidRPr="00D82290">
              <w:rPr>
                <w:rFonts w:ascii="Calibri" w:hAnsi="Calibri"/>
              </w:rPr>
              <w:t>4.</w:t>
            </w:r>
          </w:p>
        </w:tc>
        <w:tc>
          <w:tcPr>
            <w:tcW w:w="1701" w:type="dxa"/>
          </w:tcPr>
          <w:p w:rsidR="001E3470" w:rsidRPr="00D82290" w:rsidRDefault="001E3470" w:rsidP="001E3470">
            <w:pPr>
              <w:rPr>
                <w:rFonts w:ascii="Calibri" w:hAnsi="Calibri"/>
              </w:rPr>
            </w:pPr>
            <w:r w:rsidRPr="00D82290">
              <w:rPr>
                <w:rFonts w:ascii="Calibri" w:hAnsi="Calibri"/>
              </w:rPr>
              <w:t>PN-B-10021</w:t>
            </w:r>
          </w:p>
        </w:tc>
        <w:tc>
          <w:tcPr>
            <w:tcW w:w="5171" w:type="dxa"/>
          </w:tcPr>
          <w:p w:rsidR="001E3470" w:rsidRPr="00D82290" w:rsidRDefault="001E3470" w:rsidP="001E3470">
            <w:pPr>
              <w:rPr>
                <w:rFonts w:ascii="Calibri" w:hAnsi="Calibri"/>
              </w:rPr>
            </w:pPr>
            <w:r w:rsidRPr="00D82290">
              <w:rPr>
                <w:rFonts w:ascii="Calibri" w:hAnsi="Calibri"/>
              </w:rPr>
              <w:t>Prefabrykaty budowlane z betonu. Metody pomiaru cech geometrycznych</w:t>
            </w:r>
          </w:p>
        </w:tc>
      </w:tr>
      <w:tr w:rsidR="001E3470" w:rsidRPr="00D82290" w:rsidTr="00671D68">
        <w:tc>
          <w:tcPr>
            <w:tcW w:w="637" w:type="dxa"/>
          </w:tcPr>
          <w:p w:rsidR="001E3470" w:rsidRPr="00D82290" w:rsidRDefault="001E3470" w:rsidP="001E3470">
            <w:pPr>
              <w:rPr>
                <w:rFonts w:ascii="Calibri" w:hAnsi="Calibri"/>
              </w:rPr>
            </w:pPr>
            <w:r w:rsidRPr="00D82290">
              <w:rPr>
                <w:rFonts w:ascii="Calibri" w:hAnsi="Calibri"/>
              </w:rPr>
              <w:t>5.</w:t>
            </w:r>
          </w:p>
        </w:tc>
        <w:tc>
          <w:tcPr>
            <w:tcW w:w="1701" w:type="dxa"/>
          </w:tcPr>
          <w:p w:rsidR="001E3470" w:rsidRPr="00D82290" w:rsidRDefault="001E3470" w:rsidP="001E3470">
            <w:pPr>
              <w:rPr>
                <w:rFonts w:ascii="Calibri" w:hAnsi="Calibri"/>
              </w:rPr>
            </w:pPr>
            <w:r w:rsidRPr="00D82290">
              <w:rPr>
                <w:rFonts w:ascii="Calibri" w:hAnsi="Calibri"/>
              </w:rPr>
              <w:t>PN-B-11111</w:t>
            </w:r>
          </w:p>
        </w:tc>
        <w:tc>
          <w:tcPr>
            <w:tcW w:w="5171" w:type="dxa"/>
          </w:tcPr>
          <w:p w:rsidR="001E3470" w:rsidRPr="00D82290" w:rsidRDefault="001E3470" w:rsidP="001E3470">
            <w:pPr>
              <w:rPr>
                <w:rFonts w:ascii="Calibri" w:hAnsi="Calibri"/>
              </w:rPr>
            </w:pPr>
            <w:r w:rsidRPr="00D82290">
              <w:rPr>
                <w:rFonts w:ascii="Calibri" w:hAnsi="Calibri"/>
              </w:rPr>
              <w:t>Kruszywo mineralne. Kruszywa naturalne do nawierzchni drogowych. Żwir i mieszanka</w:t>
            </w:r>
          </w:p>
        </w:tc>
      </w:tr>
      <w:tr w:rsidR="001E3470" w:rsidRPr="00D82290" w:rsidTr="00671D68">
        <w:tc>
          <w:tcPr>
            <w:tcW w:w="637" w:type="dxa"/>
          </w:tcPr>
          <w:p w:rsidR="001E3470" w:rsidRPr="00D82290" w:rsidRDefault="001E3470" w:rsidP="001E3470">
            <w:pPr>
              <w:rPr>
                <w:rFonts w:ascii="Calibri" w:hAnsi="Calibri"/>
              </w:rPr>
            </w:pPr>
            <w:r w:rsidRPr="00D82290">
              <w:rPr>
                <w:rFonts w:ascii="Calibri" w:hAnsi="Calibri"/>
              </w:rPr>
              <w:t>6.</w:t>
            </w:r>
          </w:p>
        </w:tc>
        <w:tc>
          <w:tcPr>
            <w:tcW w:w="1701" w:type="dxa"/>
          </w:tcPr>
          <w:p w:rsidR="001E3470" w:rsidRPr="00D82290" w:rsidRDefault="001E3470" w:rsidP="001E3470">
            <w:pPr>
              <w:rPr>
                <w:rFonts w:ascii="Calibri" w:hAnsi="Calibri"/>
              </w:rPr>
            </w:pPr>
            <w:r w:rsidRPr="00D82290">
              <w:rPr>
                <w:rFonts w:ascii="Calibri" w:hAnsi="Calibri"/>
              </w:rPr>
              <w:t>PN-B-11113</w:t>
            </w:r>
          </w:p>
        </w:tc>
        <w:tc>
          <w:tcPr>
            <w:tcW w:w="5171" w:type="dxa"/>
          </w:tcPr>
          <w:p w:rsidR="001E3470" w:rsidRPr="00D82290" w:rsidRDefault="001E3470" w:rsidP="001E3470">
            <w:pPr>
              <w:rPr>
                <w:rFonts w:ascii="Calibri" w:hAnsi="Calibri"/>
              </w:rPr>
            </w:pPr>
            <w:r w:rsidRPr="00D82290">
              <w:rPr>
                <w:rFonts w:ascii="Calibri" w:hAnsi="Calibri"/>
              </w:rPr>
              <w:t>Kruszywo mineralne. Kruszywa naturalne do nawierzchni drogowych. Piasek</w:t>
            </w:r>
          </w:p>
        </w:tc>
      </w:tr>
      <w:tr w:rsidR="001E3470" w:rsidRPr="00D82290" w:rsidTr="00671D68">
        <w:tc>
          <w:tcPr>
            <w:tcW w:w="637" w:type="dxa"/>
          </w:tcPr>
          <w:p w:rsidR="001E3470" w:rsidRPr="00D82290" w:rsidRDefault="001E3470" w:rsidP="001E3470">
            <w:pPr>
              <w:rPr>
                <w:rFonts w:ascii="Calibri" w:hAnsi="Calibri"/>
              </w:rPr>
            </w:pPr>
            <w:r w:rsidRPr="00D82290">
              <w:rPr>
                <w:rFonts w:ascii="Calibri" w:hAnsi="Calibri"/>
              </w:rPr>
              <w:t>7.</w:t>
            </w:r>
          </w:p>
        </w:tc>
        <w:tc>
          <w:tcPr>
            <w:tcW w:w="1701" w:type="dxa"/>
          </w:tcPr>
          <w:p w:rsidR="001E3470" w:rsidRPr="00D82290" w:rsidRDefault="001E3470" w:rsidP="001E3470">
            <w:pPr>
              <w:rPr>
                <w:rFonts w:ascii="Calibri" w:hAnsi="Calibri"/>
              </w:rPr>
            </w:pPr>
            <w:r w:rsidRPr="00D82290">
              <w:rPr>
                <w:rFonts w:ascii="Calibri" w:hAnsi="Calibri"/>
              </w:rPr>
              <w:t>PN-B-19701</w:t>
            </w:r>
          </w:p>
        </w:tc>
        <w:tc>
          <w:tcPr>
            <w:tcW w:w="5171" w:type="dxa"/>
          </w:tcPr>
          <w:p w:rsidR="001E3470" w:rsidRPr="00D82290" w:rsidRDefault="001E3470" w:rsidP="001E3470">
            <w:pPr>
              <w:rPr>
                <w:rFonts w:ascii="Calibri" w:hAnsi="Calibri"/>
              </w:rPr>
            </w:pPr>
            <w:r w:rsidRPr="00D82290">
              <w:rPr>
                <w:rFonts w:ascii="Calibri" w:hAnsi="Calibri"/>
              </w:rPr>
              <w:t>Cement. Cement powszechnego użytku. Skład, wymagania i ocena zgodności</w:t>
            </w:r>
          </w:p>
        </w:tc>
      </w:tr>
      <w:tr w:rsidR="001E3470" w:rsidRPr="00D82290" w:rsidTr="00671D68">
        <w:tc>
          <w:tcPr>
            <w:tcW w:w="637" w:type="dxa"/>
          </w:tcPr>
          <w:p w:rsidR="001E3470" w:rsidRPr="00D82290" w:rsidRDefault="001E3470" w:rsidP="001E3470">
            <w:pPr>
              <w:rPr>
                <w:rFonts w:ascii="Calibri" w:hAnsi="Calibri"/>
              </w:rPr>
            </w:pPr>
            <w:r w:rsidRPr="00D82290">
              <w:rPr>
                <w:rFonts w:ascii="Calibri" w:hAnsi="Calibri"/>
              </w:rPr>
              <w:t>8.</w:t>
            </w:r>
          </w:p>
        </w:tc>
        <w:tc>
          <w:tcPr>
            <w:tcW w:w="1701" w:type="dxa"/>
          </w:tcPr>
          <w:p w:rsidR="001E3470" w:rsidRPr="00D82290" w:rsidRDefault="001E3470" w:rsidP="001E3470">
            <w:pPr>
              <w:rPr>
                <w:rFonts w:ascii="Calibri" w:hAnsi="Calibri"/>
              </w:rPr>
            </w:pPr>
            <w:r w:rsidRPr="00D82290">
              <w:rPr>
                <w:rFonts w:ascii="Calibri" w:hAnsi="Calibri"/>
              </w:rPr>
              <w:t>BN-80/6775-03/01</w:t>
            </w:r>
          </w:p>
        </w:tc>
        <w:tc>
          <w:tcPr>
            <w:tcW w:w="5171" w:type="dxa"/>
          </w:tcPr>
          <w:p w:rsidR="001E3470" w:rsidRPr="00D82290" w:rsidRDefault="001E3470" w:rsidP="001E3470">
            <w:pPr>
              <w:rPr>
                <w:rFonts w:ascii="Calibri" w:hAnsi="Calibri"/>
              </w:rPr>
            </w:pPr>
            <w:r w:rsidRPr="00D82290">
              <w:rPr>
                <w:rFonts w:ascii="Calibri" w:hAnsi="Calibri"/>
              </w:rPr>
              <w:t>Prefabrykaty budowlane z betonu. Elementy nawierzchni dróg, ulic, parkingów i torowisk tramwajowych. Wspólne wymagania i badania</w:t>
            </w:r>
          </w:p>
        </w:tc>
      </w:tr>
      <w:tr w:rsidR="001E3470" w:rsidRPr="00D82290" w:rsidTr="00671D68">
        <w:tc>
          <w:tcPr>
            <w:tcW w:w="637" w:type="dxa"/>
          </w:tcPr>
          <w:p w:rsidR="001E3470" w:rsidRPr="00D82290" w:rsidRDefault="001E3470" w:rsidP="001E3470">
            <w:pPr>
              <w:rPr>
                <w:rFonts w:ascii="Calibri" w:hAnsi="Calibri"/>
              </w:rPr>
            </w:pPr>
            <w:r w:rsidRPr="00D82290">
              <w:rPr>
                <w:rFonts w:ascii="Calibri" w:hAnsi="Calibri"/>
              </w:rPr>
              <w:t>9.</w:t>
            </w:r>
          </w:p>
        </w:tc>
        <w:tc>
          <w:tcPr>
            <w:tcW w:w="1701" w:type="dxa"/>
          </w:tcPr>
          <w:p w:rsidR="001E3470" w:rsidRPr="00D82290" w:rsidRDefault="001E3470" w:rsidP="001E3470">
            <w:pPr>
              <w:rPr>
                <w:rFonts w:ascii="Calibri" w:hAnsi="Calibri"/>
              </w:rPr>
            </w:pPr>
            <w:r w:rsidRPr="00D82290">
              <w:rPr>
                <w:rFonts w:ascii="Calibri" w:hAnsi="Calibri"/>
              </w:rPr>
              <w:t>BN-80/6775-03/04</w:t>
            </w:r>
          </w:p>
        </w:tc>
        <w:tc>
          <w:tcPr>
            <w:tcW w:w="5171" w:type="dxa"/>
          </w:tcPr>
          <w:p w:rsidR="001E3470" w:rsidRPr="00D82290" w:rsidRDefault="001E3470" w:rsidP="001E3470">
            <w:pPr>
              <w:rPr>
                <w:rFonts w:ascii="Calibri" w:hAnsi="Calibri"/>
              </w:rPr>
            </w:pPr>
            <w:r w:rsidRPr="00D82290">
              <w:rPr>
                <w:rFonts w:ascii="Calibri" w:hAnsi="Calibri"/>
              </w:rPr>
              <w:t>Prefabrykaty budowlane z betonu. Elementy nawierzchni dróg, ulic, parkingów i torowisk tramwajowych. Krawężniki i obrzeża.</w:t>
            </w:r>
          </w:p>
        </w:tc>
      </w:tr>
    </w:tbl>
    <w:p w:rsidR="00F0343D" w:rsidRDefault="00F0343D" w:rsidP="00614B0A">
      <w:pPr>
        <w:spacing w:after="120"/>
      </w:pPr>
    </w:p>
    <w:p w:rsidR="0073077E" w:rsidRDefault="0073077E" w:rsidP="00614B0A">
      <w:pPr>
        <w:spacing w:after="120"/>
      </w:pPr>
    </w:p>
    <w:p w:rsidR="0073077E" w:rsidRDefault="0073077E" w:rsidP="00614B0A">
      <w:pPr>
        <w:spacing w:after="120"/>
      </w:pPr>
    </w:p>
    <w:p w:rsidR="0073077E" w:rsidRDefault="0073077E" w:rsidP="00614B0A">
      <w:pPr>
        <w:spacing w:after="120"/>
      </w:pPr>
    </w:p>
    <w:p w:rsidR="0080788D" w:rsidRPr="00E472D9" w:rsidRDefault="0080788D" w:rsidP="0080788D">
      <w:pPr>
        <w:pStyle w:val="Nagwek1"/>
        <w:rPr>
          <w:rFonts w:asciiTheme="minorHAnsi" w:hAnsiTheme="minorHAnsi"/>
        </w:rPr>
      </w:pPr>
    </w:p>
    <w:p w:rsidR="0080788D" w:rsidRPr="00E472D9" w:rsidRDefault="0080788D" w:rsidP="0080788D">
      <w:pPr>
        <w:pStyle w:val="Nagwek1"/>
        <w:rPr>
          <w:rFonts w:asciiTheme="minorHAnsi" w:hAnsiTheme="minorHAnsi"/>
        </w:rPr>
      </w:pPr>
    </w:p>
    <w:p w:rsidR="0080788D" w:rsidRDefault="0080788D" w:rsidP="0080788D"/>
    <w:p w:rsidR="0080788D" w:rsidRDefault="0080788D" w:rsidP="0080788D"/>
    <w:p w:rsidR="0080788D" w:rsidRDefault="0080788D" w:rsidP="000E55F0">
      <w:pPr>
        <w:ind w:left="-851" w:right="-851"/>
      </w:pPr>
    </w:p>
    <w:p w:rsidR="0080788D" w:rsidRDefault="0080788D" w:rsidP="000E55F0">
      <w:pPr>
        <w:ind w:left="-851" w:right="-851"/>
      </w:pPr>
    </w:p>
    <w:p w:rsidR="0080788D" w:rsidRDefault="0080788D" w:rsidP="000E55F0">
      <w:pPr>
        <w:ind w:left="-851" w:right="-851"/>
      </w:pPr>
    </w:p>
    <w:p w:rsidR="0080788D" w:rsidRDefault="0080788D" w:rsidP="000E55F0">
      <w:pPr>
        <w:ind w:left="-851" w:right="-851"/>
      </w:pPr>
    </w:p>
    <w:p w:rsidR="0080788D" w:rsidRDefault="0080788D" w:rsidP="000E55F0">
      <w:pPr>
        <w:ind w:left="-851" w:right="-851"/>
      </w:pPr>
    </w:p>
    <w:p w:rsidR="0080788D" w:rsidRDefault="0080788D" w:rsidP="000E55F0">
      <w:pPr>
        <w:ind w:left="-851" w:right="-851"/>
      </w:pPr>
    </w:p>
    <w:p w:rsidR="0080788D" w:rsidRDefault="0080788D" w:rsidP="000E55F0">
      <w:pPr>
        <w:ind w:left="-851" w:right="-851"/>
      </w:pPr>
    </w:p>
    <w:p w:rsidR="0080788D" w:rsidRDefault="0080788D" w:rsidP="000E55F0">
      <w:pPr>
        <w:ind w:left="-851" w:right="-851"/>
      </w:pPr>
    </w:p>
    <w:p w:rsidR="0080788D" w:rsidRPr="0080788D" w:rsidRDefault="0080788D" w:rsidP="000E55F0">
      <w:pPr>
        <w:ind w:left="-851" w:right="-851"/>
      </w:pPr>
    </w:p>
    <w:p w:rsidR="0080788D" w:rsidRPr="00E472D9" w:rsidRDefault="0080788D" w:rsidP="000E55F0">
      <w:pPr>
        <w:pStyle w:val="Nagwek1"/>
        <w:ind w:left="-851" w:right="-851"/>
        <w:rPr>
          <w:rFonts w:asciiTheme="minorHAnsi" w:hAnsiTheme="minorHAnsi"/>
        </w:rPr>
      </w:pPr>
    </w:p>
    <w:p w:rsidR="0080788D" w:rsidRPr="00E472D9" w:rsidRDefault="00B14396" w:rsidP="000E55F0">
      <w:pPr>
        <w:pStyle w:val="Nagwek1"/>
        <w:ind w:left="-851" w:right="-851"/>
        <w:jc w:val="center"/>
      </w:pPr>
      <w:bookmarkStart w:id="1637" w:name="_Toc430979245"/>
      <w:bookmarkStart w:id="1638" w:name="_Toc438237742"/>
      <w:r>
        <w:t xml:space="preserve">D-08.04.01 WJAZDY I WYJAZDY </w:t>
      </w:r>
      <w:r w:rsidR="0080788D" w:rsidRPr="00E472D9">
        <w:t>Z BRAM</w:t>
      </w:r>
      <w:bookmarkEnd w:id="1637"/>
      <w:bookmarkEnd w:id="1638"/>
    </w:p>
    <w:p w:rsidR="0080788D" w:rsidRPr="00E472D9" w:rsidRDefault="0080788D" w:rsidP="000E55F0">
      <w:pPr>
        <w:ind w:left="-851" w:right="-851"/>
        <w:rPr>
          <w:rFonts w:asciiTheme="minorHAnsi" w:hAnsiTheme="minorHAnsi"/>
        </w:rPr>
      </w:pPr>
    </w:p>
    <w:p w:rsidR="0080788D" w:rsidRPr="00E472D9" w:rsidRDefault="0080788D" w:rsidP="000E55F0">
      <w:pPr>
        <w:ind w:left="-851" w:right="-851"/>
        <w:rPr>
          <w:rFonts w:asciiTheme="minorHAnsi" w:hAnsiTheme="minorHAnsi"/>
        </w:rPr>
      </w:pPr>
    </w:p>
    <w:p w:rsidR="0080788D" w:rsidRPr="00E472D9" w:rsidRDefault="0080788D" w:rsidP="000E55F0">
      <w:pPr>
        <w:ind w:left="-851" w:right="-851"/>
        <w:rPr>
          <w:rFonts w:asciiTheme="minorHAnsi" w:hAnsiTheme="minorHAnsi"/>
        </w:rPr>
      </w:pPr>
    </w:p>
    <w:p w:rsidR="0080788D" w:rsidRPr="00E472D9" w:rsidRDefault="0080788D" w:rsidP="000E55F0">
      <w:pPr>
        <w:ind w:left="-851" w:right="-851"/>
        <w:rPr>
          <w:rFonts w:asciiTheme="minorHAnsi" w:hAnsiTheme="minorHAnsi"/>
        </w:rPr>
      </w:pPr>
    </w:p>
    <w:p w:rsidR="0080788D" w:rsidRPr="00E472D9" w:rsidRDefault="0080788D" w:rsidP="000E55F0">
      <w:pPr>
        <w:ind w:left="-851" w:right="-851"/>
        <w:rPr>
          <w:rFonts w:asciiTheme="minorHAnsi" w:hAnsiTheme="minorHAnsi"/>
        </w:rPr>
      </w:pPr>
    </w:p>
    <w:p w:rsidR="0080788D" w:rsidRPr="00E472D9" w:rsidRDefault="0080788D" w:rsidP="000E55F0">
      <w:pPr>
        <w:ind w:left="-851" w:right="-851"/>
        <w:rPr>
          <w:rFonts w:asciiTheme="minorHAnsi" w:hAnsiTheme="minorHAnsi"/>
        </w:rPr>
      </w:pPr>
    </w:p>
    <w:p w:rsidR="0080788D" w:rsidRPr="00E472D9" w:rsidRDefault="0080788D" w:rsidP="000E55F0">
      <w:pPr>
        <w:ind w:left="-851" w:right="-851"/>
        <w:rPr>
          <w:rFonts w:asciiTheme="minorHAnsi" w:hAnsiTheme="minorHAnsi"/>
        </w:rPr>
      </w:pPr>
    </w:p>
    <w:p w:rsidR="0080788D" w:rsidRPr="00E472D9" w:rsidRDefault="0080788D" w:rsidP="000E55F0">
      <w:pPr>
        <w:ind w:left="-851" w:right="-851"/>
        <w:rPr>
          <w:rFonts w:asciiTheme="minorHAnsi" w:hAnsiTheme="minorHAnsi"/>
        </w:rPr>
      </w:pPr>
    </w:p>
    <w:p w:rsidR="0080788D" w:rsidRPr="00E472D9" w:rsidRDefault="0080788D" w:rsidP="000E55F0">
      <w:pPr>
        <w:ind w:left="-851" w:right="-851"/>
        <w:rPr>
          <w:rFonts w:asciiTheme="minorHAnsi" w:hAnsiTheme="minorHAnsi"/>
        </w:rPr>
        <w:sectPr w:rsidR="0080788D" w:rsidRPr="00E472D9" w:rsidSect="00150E76">
          <w:footerReference w:type="default" r:id="rId109"/>
          <w:footerReference w:type="first" r:id="rId110"/>
          <w:pgSz w:w="11907" w:h="16840" w:code="9"/>
          <w:pgMar w:top="851" w:right="1701" w:bottom="0" w:left="1701" w:header="1985" w:footer="782" w:gutter="0"/>
          <w:pgNumType w:start="0"/>
          <w:cols w:space="708"/>
          <w:titlePg/>
        </w:sectPr>
      </w:pPr>
    </w:p>
    <w:p w:rsidR="0080788D" w:rsidRPr="00E472D9" w:rsidRDefault="0080788D" w:rsidP="000E55F0">
      <w:pPr>
        <w:ind w:left="-851" w:right="-851"/>
        <w:rPr>
          <w:rFonts w:asciiTheme="minorHAnsi" w:hAnsiTheme="minorHAnsi"/>
          <w:b/>
        </w:rPr>
      </w:pPr>
      <w:bookmarkStart w:id="1639" w:name="_Toc428323647"/>
      <w:r w:rsidRPr="00E472D9">
        <w:rPr>
          <w:rFonts w:asciiTheme="minorHAnsi" w:hAnsiTheme="minorHAnsi"/>
          <w:b/>
        </w:rPr>
        <w:lastRenderedPageBreak/>
        <w:t>1. WSTĘP</w:t>
      </w:r>
      <w:bookmarkEnd w:id="1639"/>
    </w:p>
    <w:p w:rsidR="0080788D" w:rsidRPr="00E472D9" w:rsidRDefault="0080788D" w:rsidP="000E55F0">
      <w:pPr>
        <w:ind w:left="-851" w:right="-851"/>
        <w:rPr>
          <w:rFonts w:asciiTheme="minorHAnsi" w:hAnsiTheme="minorHAnsi"/>
        </w:rPr>
      </w:pPr>
      <w:r w:rsidRPr="00E472D9">
        <w:rPr>
          <w:rFonts w:asciiTheme="minorHAnsi" w:hAnsiTheme="minorHAnsi"/>
          <w:b/>
        </w:rPr>
        <w:t>1.1.</w:t>
      </w:r>
      <w:r w:rsidRPr="00E472D9">
        <w:rPr>
          <w:rFonts w:asciiTheme="minorHAnsi" w:hAnsiTheme="minorHAnsi"/>
        </w:rPr>
        <w:t xml:space="preserve"> Przedmiot ST</w:t>
      </w:r>
    </w:p>
    <w:p w:rsidR="0080788D" w:rsidRPr="00E472D9" w:rsidRDefault="0080788D" w:rsidP="000E55F0">
      <w:pPr>
        <w:ind w:left="-851" w:right="-851"/>
        <w:rPr>
          <w:rFonts w:asciiTheme="minorHAnsi" w:hAnsiTheme="minorHAnsi"/>
        </w:rPr>
      </w:pPr>
      <w:r w:rsidRPr="00E472D9">
        <w:rPr>
          <w:rFonts w:asciiTheme="minorHAnsi" w:hAnsiTheme="minorHAnsi"/>
        </w:rPr>
        <w:tab/>
      </w:r>
      <w:r w:rsidR="00B14396">
        <w:rPr>
          <w:rFonts w:asciiTheme="minorHAnsi" w:hAnsiTheme="minorHAnsi"/>
        </w:rPr>
        <w:tab/>
      </w:r>
      <w:r w:rsidRPr="00E472D9">
        <w:rPr>
          <w:rFonts w:asciiTheme="minorHAnsi" w:hAnsiTheme="minorHAnsi"/>
        </w:rPr>
        <w:t>Przedmiotem niniejszej specyfikacji technicznej (ST) są wymagania dotyczące wykonania i odbioru robót związanych z wykonaniem wjazdów i wyjazdów z bram.</w:t>
      </w:r>
    </w:p>
    <w:p w:rsidR="0080788D" w:rsidRPr="00E472D9" w:rsidRDefault="0080788D" w:rsidP="000E55F0">
      <w:pPr>
        <w:ind w:left="-851" w:right="-851"/>
        <w:rPr>
          <w:rFonts w:asciiTheme="minorHAnsi" w:hAnsiTheme="minorHAnsi"/>
        </w:rPr>
      </w:pPr>
      <w:r w:rsidRPr="00E472D9">
        <w:rPr>
          <w:rFonts w:asciiTheme="minorHAnsi" w:hAnsiTheme="minorHAnsi"/>
          <w:b/>
        </w:rPr>
        <w:t>1.2.</w:t>
      </w:r>
      <w:r w:rsidRPr="00E472D9">
        <w:rPr>
          <w:rFonts w:asciiTheme="minorHAnsi" w:hAnsiTheme="minorHAnsi"/>
        </w:rPr>
        <w:t xml:space="preserve"> Zakres stosowania ST</w:t>
      </w:r>
    </w:p>
    <w:p w:rsidR="0080788D" w:rsidRPr="00E472D9" w:rsidRDefault="0080788D" w:rsidP="000E55F0">
      <w:pPr>
        <w:ind w:left="-851" w:right="-851"/>
        <w:rPr>
          <w:rFonts w:asciiTheme="minorHAnsi" w:hAnsiTheme="minorHAnsi"/>
        </w:rPr>
      </w:pPr>
      <w:r w:rsidRPr="00E472D9">
        <w:rPr>
          <w:rFonts w:asciiTheme="minorHAnsi" w:hAnsiTheme="minorHAnsi"/>
        </w:rPr>
        <w:tab/>
      </w:r>
      <w:r w:rsidR="00B14396">
        <w:rPr>
          <w:rFonts w:asciiTheme="minorHAnsi" w:hAnsiTheme="minorHAnsi"/>
        </w:rPr>
        <w:tab/>
      </w:r>
      <w:r w:rsidRPr="00E472D9">
        <w:rPr>
          <w:rFonts w:asciiTheme="minorHAnsi" w:hAnsiTheme="minorHAnsi"/>
        </w:rPr>
        <w:t>Specyfikacja techniczna określa wymagania dla wykonania i odbioru robót budowlanych przewidzianych do wykonania w ramach umowy a zawarte w niej zapisy w zakresie standardu materiałów, wykonania robót i wymaganej ich jakości oraz kontroli jakości robót należy traktować jako minimalne.</w:t>
      </w:r>
    </w:p>
    <w:p w:rsidR="0080788D" w:rsidRPr="00E472D9" w:rsidRDefault="0080788D" w:rsidP="000E55F0">
      <w:pPr>
        <w:ind w:left="-851" w:right="-851"/>
        <w:rPr>
          <w:rFonts w:asciiTheme="minorHAnsi" w:hAnsiTheme="minorHAnsi"/>
        </w:rPr>
      </w:pPr>
      <w:r w:rsidRPr="00E472D9">
        <w:rPr>
          <w:rFonts w:asciiTheme="minorHAnsi" w:hAnsiTheme="minorHAnsi"/>
          <w:b/>
        </w:rPr>
        <w:t>1.3.</w:t>
      </w:r>
      <w:r w:rsidRPr="00E472D9">
        <w:rPr>
          <w:rFonts w:asciiTheme="minorHAnsi" w:hAnsiTheme="minorHAnsi"/>
        </w:rPr>
        <w:t xml:space="preserve"> Zakres robót objętych ST</w:t>
      </w:r>
    </w:p>
    <w:p w:rsidR="00B14396" w:rsidRPr="00C3299C" w:rsidRDefault="00B14396" w:rsidP="00B14396">
      <w:pPr>
        <w:ind w:left="-851" w:right="-851"/>
        <w:rPr>
          <w:rFonts w:asciiTheme="minorHAnsi" w:hAnsiTheme="minorHAnsi" w:cs="Calibri"/>
        </w:rPr>
      </w:pPr>
      <w:r>
        <w:rPr>
          <w:rFonts w:asciiTheme="minorHAnsi" w:hAnsiTheme="minorHAnsi"/>
        </w:rPr>
        <w:tab/>
      </w:r>
      <w:r>
        <w:rPr>
          <w:rFonts w:asciiTheme="minorHAnsi" w:hAnsiTheme="minorHAnsi"/>
        </w:rPr>
        <w:tab/>
      </w:r>
      <w:r w:rsidR="0080788D" w:rsidRPr="00E472D9">
        <w:rPr>
          <w:rFonts w:asciiTheme="minorHAnsi" w:hAnsiTheme="minorHAnsi"/>
        </w:rPr>
        <w:t>Ustalenia zawarte w niniejszej specyfikacji dotyczą zasad prowadzenia robót związanych z wykonaniem wjazdów i</w:t>
      </w:r>
      <w:r>
        <w:rPr>
          <w:rFonts w:asciiTheme="minorHAnsi" w:hAnsiTheme="minorHAnsi"/>
        </w:rPr>
        <w:t xml:space="preserve"> wyjazdów z bram, o nawierzchni </w:t>
      </w:r>
      <w:r w:rsidR="0080788D" w:rsidRPr="00E472D9">
        <w:rPr>
          <w:rFonts w:asciiTheme="minorHAnsi" w:hAnsiTheme="minorHAnsi"/>
        </w:rPr>
        <w:t>z kostki brukowej betonowej</w:t>
      </w:r>
      <w:r>
        <w:rPr>
          <w:rFonts w:asciiTheme="minorHAnsi" w:hAnsiTheme="minorHAnsi"/>
        </w:rPr>
        <w:t xml:space="preserve"> oraz </w:t>
      </w:r>
      <w:r w:rsidR="0080788D" w:rsidRPr="00E472D9">
        <w:rPr>
          <w:rFonts w:asciiTheme="minorHAnsi" w:hAnsiTheme="minorHAnsi"/>
        </w:rPr>
        <w:t xml:space="preserve">z </w:t>
      </w:r>
      <w:r>
        <w:rPr>
          <w:rFonts w:asciiTheme="minorHAnsi" w:hAnsiTheme="minorHAnsi"/>
        </w:rPr>
        <w:t xml:space="preserve">mieszanek mineralno-asfaltowych </w:t>
      </w:r>
      <w:r w:rsidRPr="00C3299C">
        <w:rPr>
          <w:rFonts w:ascii="Calibri" w:hAnsi="Calibri" w:cs="Calibri"/>
        </w:rPr>
        <w:t>w związku z „</w:t>
      </w:r>
      <w:r w:rsidRPr="00C3299C">
        <w:rPr>
          <w:rFonts w:asciiTheme="minorHAnsi" w:hAnsiTheme="minorHAnsi"/>
        </w:rPr>
        <w:t>Przebudową ul.55 Pułku Piechoty w Lesznie wraz z przebudową oświetlenia”</w:t>
      </w:r>
      <w:r w:rsidRPr="00C3299C">
        <w:rPr>
          <w:rFonts w:asciiTheme="minorHAnsi" w:hAnsiTheme="minorHAnsi" w:cs="Calibri"/>
        </w:rPr>
        <w:t>.</w:t>
      </w:r>
    </w:p>
    <w:p w:rsidR="0080788D" w:rsidRPr="00E472D9" w:rsidRDefault="0080788D" w:rsidP="000E55F0">
      <w:pPr>
        <w:ind w:left="-851" w:right="-851"/>
        <w:rPr>
          <w:rFonts w:asciiTheme="minorHAnsi" w:hAnsiTheme="minorHAnsi"/>
        </w:rPr>
      </w:pPr>
      <w:r w:rsidRPr="00E472D9">
        <w:rPr>
          <w:rFonts w:asciiTheme="minorHAnsi" w:hAnsiTheme="minorHAnsi"/>
          <w:b/>
        </w:rPr>
        <w:t>1.4.</w:t>
      </w:r>
      <w:r w:rsidRPr="00E472D9">
        <w:rPr>
          <w:rFonts w:asciiTheme="minorHAnsi" w:hAnsiTheme="minorHAnsi"/>
        </w:rPr>
        <w:t xml:space="preserve"> Określenia podstawowe</w:t>
      </w:r>
    </w:p>
    <w:p w:rsidR="0080788D" w:rsidRPr="00E472D9" w:rsidRDefault="0080788D" w:rsidP="000E55F0">
      <w:pPr>
        <w:ind w:left="-851" w:right="-851"/>
        <w:rPr>
          <w:rFonts w:asciiTheme="minorHAnsi" w:hAnsiTheme="minorHAnsi"/>
        </w:rPr>
      </w:pPr>
      <w:r w:rsidRPr="00E472D9">
        <w:rPr>
          <w:rFonts w:asciiTheme="minorHAnsi" w:hAnsiTheme="minorHAnsi"/>
          <w:b/>
        </w:rPr>
        <w:t>1.4.1.</w:t>
      </w:r>
      <w:r w:rsidRPr="00E472D9">
        <w:rPr>
          <w:rFonts w:asciiTheme="minorHAnsi" w:hAnsiTheme="minorHAnsi"/>
        </w:rPr>
        <w:t xml:space="preserve"> Wjazdy i wyjazdy z bram - miejsca dostępu do ulicy, przystosowane do ruchu pojazdów wjeżdżających lub wyjeżdżających z bram.</w:t>
      </w:r>
    </w:p>
    <w:p w:rsidR="0080788D" w:rsidRPr="00E472D9" w:rsidRDefault="0080788D" w:rsidP="000E55F0">
      <w:pPr>
        <w:ind w:left="-851" w:right="-851"/>
        <w:rPr>
          <w:rFonts w:asciiTheme="minorHAnsi" w:hAnsiTheme="minorHAnsi"/>
        </w:rPr>
      </w:pPr>
      <w:r w:rsidRPr="00E472D9">
        <w:rPr>
          <w:rFonts w:asciiTheme="minorHAnsi" w:hAnsiTheme="minorHAnsi"/>
          <w:b/>
        </w:rPr>
        <w:t>1.4.2.</w:t>
      </w:r>
      <w:r w:rsidRPr="00E472D9">
        <w:rPr>
          <w:rFonts w:asciiTheme="minorHAnsi" w:hAnsiTheme="minorHAnsi"/>
        </w:rPr>
        <w:t xml:space="preserve"> Pozostałe określenia podstawowe są zgodne z obowiązującymi, odpowiednimi polskimi normami i z definicjami podanymi w ST D-M-00.00.00 „Wymagania ogólne” pkt 1.4.</w:t>
      </w:r>
    </w:p>
    <w:p w:rsidR="0080788D" w:rsidRPr="00E472D9" w:rsidRDefault="0080788D" w:rsidP="000E55F0">
      <w:pPr>
        <w:ind w:left="-851" w:right="-851"/>
        <w:rPr>
          <w:rFonts w:asciiTheme="minorHAnsi" w:hAnsiTheme="minorHAnsi"/>
        </w:rPr>
      </w:pPr>
      <w:r w:rsidRPr="00E472D9">
        <w:rPr>
          <w:rFonts w:asciiTheme="minorHAnsi" w:hAnsiTheme="minorHAnsi"/>
          <w:b/>
        </w:rPr>
        <w:t>1.5.</w:t>
      </w:r>
      <w:r w:rsidRPr="00E472D9">
        <w:rPr>
          <w:rFonts w:asciiTheme="minorHAnsi" w:hAnsiTheme="minorHAnsi"/>
        </w:rPr>
        <w:t xml:space="preserve"> Ogólne wymagania dotyczące robót</w:t>
      </w:r>
    </w:p>
    <w:p w:rsidR="0080788D" w:rsidRPr="00E472D9" w:rsidRDefault="0080788D" w:rsidP="000E55F0">
      <w:pPr>
        <w:ind w:left="-851" w:right="-851"/>
        <w:rPr>
          <w:rFonts w:asciiTheme="minorHAnsi" w:hAnsiTheme="minorHAnsi"/>
        </w:rPr>
      </w:pPr>
      <w:r w:rsidRPr="00E472D9">
        <w:rPr>
          <w:rFonts w:asciiTheme="minorHAnsi" w:hAnsiTheme="minorHAnsi"/>
        </w:rPr>
        <w:tab/>
      </w:r>
      <w:r w:rsidR="00B14396">
        <w:rPr>
          <w:rFonts w:asciiTheme="minorHAnsi" w:hAnsiTheme="minorHAnsi"/>
        </w:rPr>
        <w:tab/>
      </w:r>
      <w:r w:rsidRPr="00E472D9">
        <w:rPr>
          <w:rFonts w:asciiTheme="minorHAnsi" w:hAnsiTheme="minorHAnsi"/>
        </w:rPr>
        <w:t>Ogólne wymagania dotyczące robót podano w ST D-M-00.00.00 „Wymagania ogólne” pkt 1.5.</w:t>
      </w:r>
    </w:p>
    <w:p w:rsidR="0080788D" w:rsidRPr="00E472D9" w:rsidRDefault="0080788D" w:rsidP="000E55F0">
      <w:pPr>
        <w:ind w:left="-851" w:right="-851"/>
        <w:rPr>
          <w:rFonts w:asciiTheme="minorHAnsi" w:hAnsiTheme="minorHAnsi"/>
        </w:rPr>
      </w:pPr>
    </w:p>
    <w:p w:rsidR="0080788D" w:rsidRPr="00E472D9" w:rsidRDefault="0080788D" w:rsidP="000E55F0">
      <w:pPr>
        <w:ind w:left="-851" w:right="-851"/>
        <w:rPr>
          <w:rFonts w:asciiTheme="minorHAnsi" w:hAnsiTheme="minorHAnsi"/>
          <w:b/>
        </w:rPr>
      </w:pPr>
      <w:r w:rsidRPr="00E472D9">
        <w:rPr>
          <w:rFonts w:asciiTheme="minorHAnsi" w:hAnsiTheme="minorHAnsi"/>
          <w:b/>
        </w:rPr>
        <w:t>2. MATERIAŁY</w:t>
      </w:r>
    </w:p>
    <w:p w:rsidR="0080788D" w:rsidRPr="00E472D9" w:rsidRDefault="0080788D" w:rsidP="000E55F0">
      <w:pPr>
        <w:ind w:left="-851" w:right="-851"/>
        <w:rPr>
          <w:rFonts w:asciiTheme="minorHAnsi" w:hAnsiTheme="minorHAnsi"/>
        </w:rPr>
      </w:pPr>
      <w:r w:rsidRPr="00E472D9">
        <w:rPr>
          <w:rFonts w:asciiTheme="minorHAnsi" w:hAnsiTheme="minorHAnsi"/>
          <w:b/>
        </w:rPr>
        <w:t>2.1.</w:t>
      </w:r>
      <w:r w:rsidRPr="00E472D9">
        <w:rPr>
          <w:rFonts w:asciiTheme="minorHAnsi" w:hAnsiTheme="minorHAnsi"/>
        </w:rPr>
        <w:t xml:space="preserve"> Ogólne wymagania dotyczące materiałów</w:t>
      </w:r>
    </w:p>
    <w:p w:rsidR="0080788D" w:rsidRPr="00E472D9" w:rsidRDefault="0080788D" w:rsidP="000E55F0">
      <w:pPr>
        <w:ind w:left="-851" w:right="-851"/>
        <w:rPr>
          <w:rFonts w:asciiTheme="minorHAnsi" w:hAnsiTheme="minorHAnsi"/>
        </w:rPr>
      </w:pPr>
      <w:r w:rsidRPr="00E472D9">
        <w:rPr>
          <w:rFonts w:asciiTheme="minorHAnsi" w:hAnsiTheme="minorHAnsi"/>
        </w:rPr>
        <w:tab/>
      </w:r>
      <w:r w:rsidR="00B14396">
        <w:rPr>
          <w:rFonts w:asciiTheme="minorHAnsi" w:hAnsiTheme="minorHAnsi"/>
        </w:rPr>
        <w:tab/>
      </w:r>
      <w:r w:rsidRPr="00E472D9">
        <w:rPr>
          <w:rFonts w:asciiTheme="minorHAnsi" w:hAnsiTheme="minorHAnsi"/>
        </w:rPr>
        <w:t>Ogólne wymagania dotyczące materiałów, ich pozyskiwania i składowania, podano w  ST D-M-00.00.00 „Wymagania ogólne” pkt 2.</w:t>
      </w:r>
    </w:p>
    <w:p w:rsidR="0080788D" w:rsidRPr="00E472D9" w:rsidRDefault="0080788D" w:rsidP="000E55F0">
      <w:pPr>
        <w:ind w:left="-851" w:right="-851"/>
        <w:rPr>
          <w:rFonts w:asciiTheme="minorHAnsi" w:hAnsiTheme="minorHAnsi"/>
        </w:rPr>
      </w:pPr>
      <w:r w:rsidRPr="00E472D9">
        <w:rPr>
          <w:rFonts w:asciiTheme="minorHAnsi" w:hAnsiTheme="minorHAnsi"/>
          <w:b/>
        </w:rPr>
        <w:t>2.2.</w:t>
      </w:r>
      <w:r w:rsidRPr="00E472D9">
        <w:rPr>
          <w:rFonts w:asciiTheme="minorHAnsi" w:hAnsiTheme="minorHAnsi"/>
        </w:rPr>
        <w:t xml:space="preserve"> Rodzaje materiałów</w:t>
      </w:r>
    </w:p>
    <w:p w:rsidR="0080788D" w:rsidRPr="00E472D9" w:rsidRDefault="0080788D" w:rsidP="000E55F0">
      <w:pPr>
        <w:ind w:left="-851" w:right="-851"/>
        <w:rPr>
          <w:rFonts w:asciiTheme="minorHAnsi" w:hAnsiTheme="minorHAnsi"/>
        </w:rPr>
      </w:pPr>
      <w:r w:rsidRPr="00E472D9">
        <w:rPr>
          <w:rFonts w:asciiTheme="minorHAnsi" w:hAnsiTheme="minorHAnsi"/>
        </w:rPr>
        <w:tab/>
      </w:r>
      <w:r w:rsidR="00B14396">
        <w:rPr>
          <w:rFonts w:asciiTheme="minorHAnsi" w:hAnsiTheme="minorHAnsi"/>
        </w:rPr>
        <w:tab/>
      </w:r>
      <w:r w:rsidRPr="00E472D9">
        <w:rPr>
          <w:rFonts w:asciiTheme="minorHAnsi" w:hAnsiTheme="minorHAnsi"/>
        </w:rPr>
        <w:t>Materiałami stosowanymi do wykonania nawierzchni wjazdów i wyjazdów z bram są:</w:t>
      </w:r>
    </w:p>
    <w:p w:rsidR="0080788D" w:rsidRPr="00E472D9" w:rsidRDefault="0080788D" w:rsidP="000E55F0">
      <w:pPr>
        <w:ind w:left="-851" w:right="-851"/>
        <w:rPr>
          <w:rFonts w:asciiTheme="minorHAnsi" w:hAnsiTheme="minorHAnsi"/>
        </w:rPr>
      </w:pPr>
      <w:r w:rsidRPr="00E472D9">
        <w:rPr>
          <w:rFonts w:asciiTheme="minorHAnsi" w:hAnsiTheme="minorHAnsi"/>
        </w:rPr>
        <w:t>- kostka brukowa betonowa,</w:t>
      </w:r>
    </w:p>
    <w:p w:rsidR="0080788D" w:rsidRPr="00E472D9" w:rsidRDefault="0080788D" w:rsidP="000E55F0">
      <w:pPr>
        <w:ind w:left="-851" w:right="-851"/>
        <w:rPr>
          <w:rFonts w:asciiTheme="minorHAnsi" w:hAnsiTheme="minorHAnsi"/>
        </w:rPr>
      </w:pPr>
      <w:r w:rsidRPr="00E472D9">
        <w:rPr>
          <w:rFonts w:asciiTheme="minorHAnsi" w:hAnsiTheme="minorHAnsi"/>
        </w:rPr>
        <w:t>- mieszanka mineralno-asfaltowa,</w:t>
      </w:r>
    </w:p>
    <w:p w:rsidR="0080788D" w:rsidRPr="00E472D9" w:rsidRDefault="0080788D" w:rsidP="000E55F0">
      <w:pPr>
        <w:ind w:left="-851" w:right="-851"/>
        <w:rPr>
          <w:rFonts w:asciiTheme="minorHAnsi" w:hAnsiTheme="minorHAnsi"/>
        </w:rPr>
      </w:pPr>
      <w:r w:rsidRPr="00E472D9">
        <w:rPr>
          <w:rFonts w:asciiTheme="minorHAnsi" w:hAnsiTheme="minorHAnsi"/>
        </w:rPr>
        <w:t>- piasek, żwir, mieszanka,</w:t>
      </w:r>
    </w:p>
    <w:p w:rsidR="0080788D" w:rsidRPr="00E472D9" w:rsidRDefault="0080788D" w:rsidP="000E55F0">
      <w:pPr>
        <w:ind w:left="-851" w:right="-851"/>
        <w:rPr>
          <w:rFonts w:asciiTheme="minorHAnsi" w:hAnsiTheme="minorHAnsi"/>
        </w:rPr>
      </w:pPr>
      <w:r w:rsidRPr="00E472D9">
        <w:rPr>
          <w:rFonts w:asciiTheme="minorHAnsi" w:hAnsiTheme="minorHAnsi"/>
        </w:rPr>
        <w:t>- kruszywo łamane,</w:t>
      </w:r>
    </w:p>
    <w:p w:rsidR="0080788D" w:rsidRPr="00E472D9" w:rsidRDefault="0080788D" w:rsidP="000E55F0">
      <w:pPr>
        <w:ind w:left="-851" w:right="-851"/>
        <w:rPr>
          <w:rFonts w:asciiTheme="minorHAnsi" w:hAnsiTheme="minorHAnsi"/>
        </w:rPr>
      </w:pPr>
      <w:r w:rsidRPr="00E472D9">
        <w:rPr>
          <w:rFonts w:asciiTheme="minorHAnsi" w:hAnsiTheme="minorHAnsi"/>
        </w:rPr>
        <w:t>- beton,</w:t>
      </w:r>
    </w:p>
    <w:p w:rsidR="0080788D" w:rsidRPr="00E472D9" w:rsidRDefault="0080788D" w:rsidP="000E55F0">
      <w:pPr>
        <w:ind w:left="-851" w:right="-851"/>
        <w:rPr>
          <w:rFonts w:asciiTheme="minorHAnsi" w:hAnsiTheme="minorHAnsi"/>
        </w:rPr>
      </w:pPr>
      <w:r w:rsidRPr="00E472D9">
        <w:rPr>
          <w:rFonts w:asciiTheme="minorHAnsi" w:hAnsiTheme="minorHAnsi"/>
        </w:rPr>
        <w:t>- cement,</w:t>
      </w:r>
    </w:p>
    <w:p w:rsidR="0080788D" w:rsidRPr="00E472D9" w:rsidRDefault="0080788D" w:rsidP="000E55F0">
      <w:pPr>
        <w:ind w:left="-851" w:right="-851"/>
        <w:rPr>
          <w:rFonts w:asciiTheme="minorHAnsi" w:hAnsiTheme="minorHAnsi"/>
        </w:rPr>
      </w:pPr>
      <w:r w:rsidRPr="00E472D9">
        <w:rPr>
          <w:rFonts w:asciiTheme="minorHAnsi" w:hAnsiTheme="minorHAnsi"/>
        </w:rPr>
        <w:t>- woda,</w:t>
      </w:r>
    </w:p>
    <w:p w:rsidR="0080788D" w:rsidRPr="00E472D9" w:rsidRDefault="0080788D" w:rsidP="000E55F0">
      <w:pPr>
        <w:ind w:left="-851" w:right="-851"/>
        <w:rPr>
          <w:rFonts w:asciiTheme="minorHAnsi" w:hAnsiTheme="minorHAnsi"/>
        </w:rPr>
      </w:pPr>
      <w:r w:rsidRPr="00E472D9">
        <w:rPr>
          <w:rFonts w:asciiTheme="minorHAnsi" w:hAnsiTheme="minorHAnsi"/>
        </w:rPr>
        <w:t>- kruszywo do betonu.</w:t>
      </w:r>
    </w:p>
    <w:p w:rsidR="0080788D" w:rsidRPr="00E472D9" w:rsidRDefault="0080788D" w:rsidP="000E55F0">
      <w:pPr>
        <w:ind w:left="-851" w:right="-851"/>
        <w:rPr>
          <w:rFonts w:asciiTheme="minorHAnsi" w:hAnsiTheme="minorHAnsi"/>
        </w:rPr>
      </w:pPr>
      <w:r w:rsidRPr="00E472D9">
        <w:rPr>
          <w:rFonts w:asciiTheme="minorHAnsi" w:hAnsiTheme="minorHAnsi"/>
          <w:b/>
        </w:rPr>
        <w:t>2.3.</w:t>
      </w:r>
      <w:r w:rsidRPr="00E472D9">
        <w:rPr>
          <w:rFonts w:asciiTheme="minorHAnsi" w:hAnsiTheme="minorHAnsi"/>
        </w:rPr>
        <w:t xml:space="preserve"> Wymagania dla materiałów</w:t>
      </w:r>
    </w:p>
    <w:p w:rsidR="0080788D" w:rsidRPr="00E472D9" w:rsidRDefault="0080788D" w:rsidP="000E55F0">
      <w:pPr>
        <w:ind w:left="-851" w:right="-851"/>
        <w:rPr>
          <w:rFonts w:asciiTheme="minorHAnsi" w:hAnsiTheme="minorHAnsi"/>
        </w:rPr>
      </w:pPr>
      <w:r w:rsidRPr="00E472D9">
        <w:rPr>
          <w:rFonts w:asciiTheme="minorHAnsi" w:hAnsiTheme="minorHAnsi"/>
          <w:b/>
        </w:rPr>
        <w:t>2.3.1.</w:t>
      </w:r>
      <w:r w:rsidRPr="00E472D9">
        <w:rPr>
          <w:rFonts w:asciiTheme="minorHAnsi" w:hAnsiTheme="minorHAnsi"/>
        </w:rPr>
        <w:t xml:space="preserve"> Kostka brukowa betonowa</w:t>
      </w:r>
    </w:p>
    <w:p w:rsidR="0080788D" w:rsidRPr="00E472D9" w:rsidRDefault="0080788D" w:rsidP="000E55F0">
      <w:pPr>
        <w:ind w:left="-851" w:right="-851"/>
        <w:rPr>
          <w:rFonts w:asciiTheme="minorHAnsi" w:hAnsiTheme="minorHAnsi"/>
        </w:rPr>
      </w:pPr>
      <w:r w:rsidRPr="00E472D9">
        <w:rPr>
          <w:rFonts w:asciiTheme="minorHAnsi" w:hAnsiTheme="minorHAnsi"/>
        </w:rPr>
        <w:tab/>
      </w:r>
      <w:r w:rsidR="00B14396">
        <w:rPr>
          <w:rFonts w:asciiTheme="minorHAnsi" w:hAnsiTheme="minorHAnsi"/>
        </w:rPr>
        <w:tab/>
      </w:r>
      <w:r w:rsidRPr="00E472D9">
        <w:rPr>
          <w:rFonts w:asciiTheme="minorHAnsi" w:hAnsiTheme="minorHAnsi"/>
        </w:rPr>
        <w:t>Kostka brukowa betonowa powinna odpowiadać wymaganiom podanym w ST D-05.03.23 „Nawierzchnia z kostki brukowej betonowej”.</w:t>
      </w:r>
    </w:p>
    <w:p w:rsidR="0080788D" w:rsidRPr="00E472D9" w:rsidRDefault="0080788D" w:rsidP="000E55F0">
      <w:pPr>
        <w:ind w:left="-851" w:right="-851"/>
        <w:rPr>
          <w:rFonts w:asciiTheme="minorHAnsi" w:hAnsiTheme="minorHAnsi"/>
        </w:rPr>
      </w:pPr>
      <w:r w:rsidRPr="00E472D9">
        <w:rPr>
          <w:rFonts w:asciiTheme="minorHAnsi" w:hAnsiTheme="minorHAnsi"/>
        </w:rPr>
        <w:tab/>
      </w:r>
      <w:r w:rsidR="00B14396">
        <w:rPr>
          <w:rFonts w:asciiTheme="minorHAnsi" w:hAnsiTheme="minorHAnsi"/>
        </w:rPr>
        <w:tab/>
      </w:r>
      <w:r w:rsidRPr="00E472D9">
        <w:rPr>
          <w:rFonts w:asciiTheme="minorHAnsi" w:hAnsiTheme="minorHAnsi"/>
        </w:rPr>
        <w:t>Do wykonywania nawierzchni wjazdów i wyjazdów powinna być stosowana kostka o wysokości 80 mm.</w:t>
      </w:r>
    </w:p>
    <w:p w:rsidR="0080788D" w:rsidRPr="00E472D9" w:rsidRDefault="0080788D" w:rsidP="000E55F0">
      <w:pPr>
        <w:ind w:left="-851" w:right="-851"/>
        <w:rPr>
          <w:rFonts w:asciiTheme="minorHAnsi" w:hAnsiTheme="minorHAnsi"/>
        </w:rPr>
      </w:pPr>
      <w:r w:rsidRPr="00E472D9">
        <w:rPr>
          <w:rFonts w:asciiTheme="minorHAnsi" w:hAnsiTheme="minorHAnsi"/>
          <w:b/>
        </w:rPr>
        <w:t>2.3.2.</w:t>
      </w:r>
      <w:r w:rsidRPr="00E472D9">
        <w:rPr>
          <w:rFonts w:asciiTheme="minorHAnsi" w:hAnsiTheme="minorHAnsi"/>
        </w:rPr>
        <w:t xml:space="preserve"> Mieszanka mineralno-asfaltowa</w:t>
      </w:r>
    </w:p>
    <w:p w:rsidR="0080788D" w:rsidRPr="00E472D9" w:rsidRDefault="0080788D" w:rsidP="000E55F0">
      <w:pPr>
        <w:ind w:left="-851" w:right="-851"/>
        <w:rPr>
          <w:rFonts w:asciiTheme="minorHAnsi" w:hAnsiTheme="minorHAnsi"/>
        </w:rPr>
      </w:pPr>
      <w:r w:rsidRPr="00E472D9">
        <w:rPr>
          <w:rFonts w:asciiTheme="minorHAnsi" w:hAnsiTheme="minorHAnsi"/>
        </w:rPr>
        <w:tab/>
      </w:r>
      <w:r w:rsidR="00B14396">
        <w:rPr>
          <w:rFonts w:asciiTheme="minorHAnsi" w:hAnsiTheme="minorHAnsi"/>
        </w:rPr>
        <w:tab/>
      </w:r>
      <w:r w:rsidRPr="00E472D9">
        <w:rPr>
          <w:rFonts w:asciiTheme="minorHAnsi" w:hAnsiTheme="minorHAnsi"/>
        </w:rPr>
        <w:t>Mieszanka mineralno-asfaltowa powinna odpowiadać wymaganiom podanym w ST D-05.03.05c oraz D-05.03.13a.</w:t>
      </w:r>
    </w:p>
    <w:p w:rsidR="0080788D" w:rsidRPr="00E472D9" w:rsidRDefault="0080788D" w:rsidP="000E55F0">
      <w:pPr>
        <w:ind w:left="-851" w:right="-851"/>
        <w:rPr>
          <w:rFonts w:asciiTheme="minorHAnsi" w:hAnsiTheme="minorHAnsi"/>
        </w:rPr>
      </w:pPr>
      <w:r w:rsidRPr="00E472D9">
        <w:rPr>
          <w:rFonts w:asciiTheme="minorHAnsi" w:hAnsiTheme="minorHAnsi"/>
          <w:b/>
        </w:rPr>
        <w:t>2.3.3.</w:t>
      </w:r>
      <w:r w:rsidRPr="00E472D9">
        <w:rPr>
          <w:rFonts w:asciiTheme="minorHAnsi" w:hAnsiTheme="minorHAnsi"/>
        </w:rPr>
        <w:t xml:space="preserve"> Piasek, żwir, mieszanka</w:t>
      </w:r>
    </w:p>
    <w:p w:rsidR="0080788D" w:rsidRPr="00E472D9" w:rsidRDefault="0080788D" w:rsidP="000E55F0">
      <w:pPr>
        <w:ind w:left="-851" w:right="-851"/>
        <w:rPr>
          <w:rFonts w:asciiTheme="minorHAnsi" w:hAnsiTheme="minorHAnsi"/>
        </w:rPr>
      </w:pPr>
      <w:r w:rsidRPr="00E472D9">
        <w:rPr>
          <w:rFonts w:asciiTheme="minorHAnsi" w:hAnsiTheme="minorHAnsi"/>
        </w:rPr>
        <w:tab/>
      </w:r>
      <w:r w:rsidR="00B14396">
        <w:rPr>
          <w:rFonts w:asciiTheme="minorHAnsi" w:hAnsiTheme="minorHAnsi"/>
        </w:rPr>
        <w:tab/>
      </w:r>
      <w:r w:rsidRPr="00E472D9">
        <w:rPr>
          <w:rFonts w:asciiTheme="minorHAnsi" w:hAnsiTheme="minorHAnsi"/>
        </w:rPr>
        <w:t>Piasek na podsypkę powinien odpowiadać wymaganiom PN-B-11113.</w:t>
      </w:r>
    </w:p>
    <w:p w:rsidR="0080788D" w:rsidRPr="00E472D9" w:rsidRDefault="0080788D" w:rsidP="000E55F0">
      <w:pPr>
        <w:ind w:left="-851" w:right="-851"/>
        <w:rPr>
          <w:rFonts w:asciiTheme="minorHAnsi" w:hAnsiTheme="minorHAnsi"/>
        </w:rPr>
      </w:pPr>
      <w:r w:rsidRPr="00E472D9">
        <w:rPr>
          <w:rFonts w:asciiTheme="minorHAnsi" w:hAnsiTheme="minorHAnsi"/>
        </w:rPr>
        <w:tab/>
      </w:r>
      <w:r w:rsidR="00B14396">
        <w:rPr>
          <w:rFonts w:asciiTheme="minorHAnsi" w:hAnsiTheme="minorHAnsi"/>
        </w:rPr>
        <w:tab/>
      </w:r>
      <w:r w:rsidRPr="00E472D9">
        <w:rPr>
          <w:rFonts w:asciiTheme="minorHAnsi" w:hAnsiTheme="minorHAnsi"/>
        </w:rPr>
        <w:t>Piasek na podsypkę cementowo-piaskową powinien odpowiadać wymaganiom   PN-B-06712.</w:t>
      </w:r>
    </w:p>
    <w:p w:rsidR="0080788D" w:rsidRPr="00E472D9" w:rsidRDefault="00B14396" w:rsidP="000E55F0">
      <w:pPr>
        <w:ind w:left="-851" w:right="-851"/>
        <w:rPr>
          <w:rFonts w:asciiTheme="minorHAnsi" w:hAnsiTheme="minorHAnsi"/>
        </w:rPr>
      </w:pPr>
      <w:r>
        <w:rPr>
          <w:rFonts w:asciiTheme="minorHAnsi" w:hAnsiTheme="minorHAnsi"/>
        </w:rPr>
        <w:tab/>
      </w:r>
      <w:r>
        <w:rPr>
          <w:rFonts w:asciiTheme="minorHAnsi" w:hAnsiTheme="minorHAnsi"/>
        </w:rPr>
        <w:tab/>
      </w:r>
      <w:r w:rsidR="0080788D" w:rsidRPr="00E472D9">
        <w:rPr>
          <w:rFonts w:asciiTheme="minorHAnsi" w:hAnsiTheme="minorHAnsi"/>
        </w:rPr>
        <w:t>Piasek do zaprawy cementowej powinien odpowiadać wymaganiom PN-B-06711.</w:t>
      </w:r>
    </w:p>
    <w:p w:rsidR="0080788D" w:rsidRPr="00E472D9" w:rsidRDefault="0080788D" w:rsidP="000E55F0">
      <w:pPr>
        <w:ind w:left="-851" w:right="-851"/>
        <w:rPr>
          <w:rFonts w:asciiTheme="minorHAnsi" w:hAnsiTheme="minorHAnsi"/>
        </w:rPr>
      </w:pPr>
      <w:r w:rsidRPr="00E472D9">
        <w:rPr>
          <w:rFonts w:asciiTheme="minorHAnsi" w:hAnsiTheme="minorHAnsi"/>
        </w:rPr>
        <w:t>Żwir stosowany do wykonania ław pod krawężnik powinien odpowiadać wymaganiom PN-B-11111. Inny materiał można stosować pod warunkiem akceptacji Inżyniera.</w:t>
      </w:r>
    </w:p>
    <w:p w:rsidR="0080788D" w:rsidRPr="00E472D9" w:rsidRDefault="0080788D" w:rsidP="000E55F0">
      <w:pPr>
        <w:ind w:left="-851" w:right="-851"/>
        <w:rPr>
          <w:rFonts w:asciiTheme="minorHAnsi" w:hAnsiTheme="minorHAnsi"/>
        </w:rPr>
      </w:pPr>
      <w:r w:rsidRPr="00E472D9">
        <w:rPr>
          <w:rFonts w:asciiTheme="minorHAnsi" w:hAnsiTheme="minorHAnsi"/>
          <w:b/>
        </w:rPr>
        <w:t>2.3.4.</w:t>
      </w:r>
      <w:r w:rsidRPr="00E472D9">
        <w:rPr>
          <w:rFonts w:asciiTheme="minorHAnsi" w:hAnsiTheme="minorHAnsi"/>
        </w:rPr>
        <w:t xml:space="preserve"> Kruszywo łamane</w:t>
      </w:r>
    </w:p>
    <w:p w:rsidR="0080788D" w:rsidRPr="00E472D9" w:rsidRDefault="0080788D" w:rsidP="000E55F0">
      <w:pPr>
        <w:ind w:left="-851" w:right="-851"/>
        <w:rPr>
          <w:rFonts w:asciiTheme="minorHAnsi" w:hAnsiTheme="minorHAnsi"/>
        </w:rPr>
      </w:pPr>
      <w:r w:rsidRPr="00E472D9">
        <w:rPr>
          <w:rFonts w:asciiTheme="minorHAnsi" w:hAnsiTheme="minorHAnsi"/>
        </w:rPr>
        <w:tab/>
      </w:r>
      <w:r w:rsidR="00B14396">
        <w:rPr>
          <w:rFonts w:asciiTheme="minorHAnsi" w:hAnsiTheme="minorHAnsi"/>
        </w:rPr>
        <w:tab/>
      </w:r>
      <w:r w:rsidRPr="00E472D9">
        <w:rPr>
          <w:rFonts w:asciiTheme="minorHAnsi" w:hAnsiTheme="minorHAnsi"/>
        </w:rPr>
        <w:t>Kruszywo łamane stosowane do wykonania podbudowy zasadniczej powinien odpowiadać wymaganiom ST D-04.04.00 oraz D-04.04.02..</w:t>
      </w:r>
    </w:p>
    <w:p w:rsidR="0080788D" w:rsidRPr="00E472D9" w:rsidRDefault="0080788D" w:rsidP="000E55F0">
      <w:pPr>
        <w:ind w:left="-851" w:right="-851"/>
        <w:rPr>
          <w:rFonts w:asciiTheme="minorHAnsi" w:hAnsiTheme="minorHAnsi"/>
        </w:rPr>
      </w:pPr>
      <w:r w:rsidRPr="00E472D9">
        <w:rPr>
          <w:rFonts w:asciiTheme="minorHAnsi" w:hAnsiTheme="minorHAnsi"/>
          <w:b/>
        </w:rPr>
        <w:t>2.3.5.</w:t>
      </w:r>
      <w:r w:rsidRPr="00E472D9">
        <w:rPr>
          <w:rFonts w:asciiTheme="minorHAnsi" w:hAnsiTheme="minorHAnsi"/>
        </w:rPr>
        <w:t xml:space="preserve"> Beton</w:t>
      </w:r>
    </w:p>
    <w:p w:rsidR="0080788D" w:rsidRPr="00E472D9" w:rsidRDefault="0080788D" w:rsidP="000E55F0">
      <w:pPr>
        <w:ind w:left="-851" w:right="-851"/>
        <w:rPr>
          <w:rFonts w:asciiTheme="minorHAnsi" w:hAnsiTheme="minorHAnsi"/>
        </w:rPr>
      </w:pPr>
      <w:r w:rsidRPr="00E472D9">
        <w:rPr>
          <w:rFonts w:asciiTheme="minorHAnsi" w:hAnsiTheme="minorHAnsi"/>
        </w:rPr>
        <w:tab/>
      </w:r>
      <w:r w:rsidR="00B14396">
        <w:rPr>
          <w:rFonts w:asciiTheme="minorHAnsi" w:hAnsiTheme="minorHAnsi"/>
        </w:rPr>
        <w:tab/>
      </w:r>
      <w:r w:rsidRPr="00E472D9">
        <w:rPr>
          <w:rFonts w:asciiTheme="minorHAnsi" w:hAnsiTheme="minorHAnsi"/>
        </w:rPr>
        <w:t>Beton użyty na ławę betonową pod krawężnik powinien odpowiadać wymaganiom PN-B-06250. Jeśli dokumentacja projektowa nie stanowi inaczej, powinien to być beton klasy B15 lub B10.</w:t>
      </w:r>
    </w:p>
    <w:p w:rsidR="0080788D" w:rsidRPr="00E472D9" w:rsidRDefault="0080788D" w:rsidP="000E55F0">
      <w:pPr>
        <w:ind w:left="-851" w:right="-851"/>
        <w:rPr>
          <w:rFonts w:asciiTheme="minorHAnsi" w:hAnsiTheme="minorHAnsi"/>
        </w:rPr>
      </w:pPr>
      <w:r w:rsidRPr="00E472D9">
        <w:rPr>
          <w:rFonts w:asciiTheme="minorHAnsi" w:hAnsiTheme="minorHAnsi"/>
          <w:b/>
        </w:rPr>
        <w:lastRenderedPageBreak/>
        <w:t>2.3.6.</w:t>
      </w:r>
      <w:r w:rsidRPr="00E472D9">
        <w:rPr>
          <w:rFonts w:asciiTheme="minorHAnsi" w:hAnsiTheme="minorHAnsi"/>
        </w:rPr>
        <w:t xml:space="preserve">  Podbudowa z mieszanki kruszywa związanego hydraulicznie cementem</w:t>
      </w:r>
    </w:p>
    <w:p w:rsidR="0080788D" w:rsidRPr="00E472D9" w:rsidRDefault="0080788D" w:rsidP="000E55F0">
      <w:pPr>
        <w:ind w:left="-851" w:right="-851"/>
        <w:rPr>
          <w:rFonts w:asciiTheme="minorHAnsi" w:hAnsiTheme="minorHAnsi"/>
        </w:rPr>
      </w:pPr>
      <w:r w:rsidRPr="00E472D9">
        <w:rPr>
          <w:rFonts w:asciiTheme="minorHAnsi" w:hAnsiTheme="minorHAnsi"/>
        </w:rPr>
        <w:tab/>
      </w:r>
      <w:r w:rsidR="00B14396">
        <w:rPr>
          <w:rFonts w:asciiTheme="minorHAnsi" w:hAnsiTheme="minorHAnsi"/>
        </w:rPr>
        <w:tab/>
      </w:r>
      <w:r w:rsidRPr="00E472D9">
        <w:rPr>
          <w:rFonts w:asciiTheme="minorHAnsi" w:hAnsiTheme="minorHAnsi"/>
        </w:rPr>
        <w:t>Mieszanka kruszywa użyta do wykonania podbudowy powinna odpowiadać wymaganiom ST D-04.05.01.a.</w:t>
      </w:r>
    </w:p>
    <w:p w:rsidR="0080788D" w:rsidRPr="00E472D9" w:rsidRDefault="0080788D" w:rsidP="000E55F0">
      <w:pPr>
        <w:ind w:left="-851" w:right="-851"/>
        <w:rPr>
          <w:rFonts w:asciiTheme="minorHAnsi" w:hAnsiTheme="minorHAnsi"/>
        </w:rPr>
      </w:pPr>
      <w:r w:rsidRPr="00E472D9">
        <w:rPr>
          <w:rFonts w:asciiTheme="minorHAnsi" w:hAnsiTheme="minorHAnsi"/>
          <w:b/>
        </w:rPr>
        <w:t>2.3.7.</w:t>
      </w:r>
      <w:r w:rsidRPr="00E472D9">
        <w:rPr>
          <w:rFonts w:asciiTheme="minorHAnsi" w:hAnsiTheme="minorHAnsi"/>
        </w:rPr>
        <w:t xml:space="preserve"> Cement</w:t>
      </w:r>
    </w:p>
    <w:p w:rsidR="0080788D" w:rsidRPr="00E472D9" w:rsidRDefault="0080788D" w:rsidP="000E55F0">
      <w:pPr>
        <w:ind w:left="-851" w:right="-851"/>
        <w:rPr>
          <w:rFonts w:asciiTheme="minorHAnsi" w:hAnsiTheme="minorHAnsi"/>
        </w:rPr>
      </w:pPr>
      <w:r w:rsidRPr="00E472D9">
        <w:rPr>
          <w:rFonts w:asciiTheme="minorHAnsi" w:hAnsiTheme="minorHAnsi"/>
        </w:rPr>
        <w:tab/>
      </w:r>
      <w:r w:rsidR="00B14396">
        <w:rPr>
          <w:rFonts w:asciiTheme="minorHAnsi" w:hAnsiTheme="minorHAnsi"/>
        </w:rPr>
        <w:tab/>
      </w:r>
      <w:r w:rsidRPr="00E472D9">
        <w:rPr>
          <w:rFonts w:asciiTheme="minorHAnsi" w:hAnsiTheme="minorHAnsi"/>
        </w:rPr>
        <w:t>Cement użyty do wytwarzania betonu i zaprawy powinien być cementem portlandzkim klasy nie niższej niż 32,5 według wymagań PN-B-19701.</w:t>
      </w:r>
    </w:p>
    <w:p w:rsidR="0080788D" w:rsidRPr="00E472D9" w:rsidRDefault="0080788D" w:rsidP="000E55F0">
      <w:pPr>
        <w:ind w:left="-851" w:right="-851"/>
        <w:rPr>
          <w:rFonts w:asciiTheme="minorHAnsi" w:hAnsiTheme="minorHAnsi"/>
        </w:rPr>
      </w:pPr>
      <w:r w:rsidRPr="00E472D9">
        <w:rPr>
          <w:rFonts w:asciiTheme="minorHAnsi" w:hAnsiTheme="minorHAnsi"/>
          <w:b/>
        </w:rPr>
        <w:t>2.3.8.</w:t>
      </w:r>
      <w:r w:rsidRPr="00E472D9">
        <w:rPr>
          <w:rFonts w:asciiTheme="minorHAnsi" w:hAnsiTheme="minorHAnsi"/>
        </w:rPr>
        <w:t xml:space="preserve"> Kruszywo do betonu</w:t>
      </w:r>
    </w:p>
    <w:p w:rsidR="0080788D" w:rsidRPr="00E472D9" w:rsidRDefault="0080788D" w:rsidP="000E55F0">
      <w:pPr>
        <w:ind w:left="-851" w:right="-851"/>
        <w:rPr>
          <w:rFonts w:asciiTheme="minorHAnsi" w:hAnsiTheme="minorHAnsi"/>
        </w:rPr>
      </w:pPr>
      <w:r w:rsidRPr="00E472D9">
        <w:rPr>
          <w:rFonts w:asciiTheme="minorHAnsi" w:hAnsiTheme="minorHAnsi"/>
        </w:rPr>
        <w:tab/>
      </w:r>
      <w:r w:rsidR="00B14396">
        <w:rPr>
          <w:rFonts w:asciiTheme="minorHAnsi" w:hAnsiTheme="minorHAnsi"/>
        </w:rPr>
        <w:tab/>
      </w:r>
      <w:r w:rsidRPr="00E472D9">
        <w:rPr>
          <w:rFonts w:asciiTheme="minorHAnsi" w:hAnsiTheme="minorHAnsi"/>
        </w:rPr>
        <w:t>Kruszywo do betonu powinno odpowiadać wymaganiom PN-B-06712.</w:t>
      </w:r>
    </w:p>
    <w:p w:rsidR="0080788D" w:rsidRPr="00E472D9" w:rsidRDefault="0080788D" w:rsidP="000E55F0">
      <w:pPr>
        <w:ind w:left="-851" w:right="-851"/>
        <w:rPr>
          <w:rFonts w:asciiTheme="minorHAnsi" w:hAnsiTheme="minorHAnsi"/>
        </w:rPr>
      </w:pPr>
      <w:r w:rsidRPr="00E472D9">
        <w:rPr>
          <w:rFonts w:asciiTheme="minorHAnsi" w:hAnsiTheme="minorHAnsi"/>
          <w:b/>
        </w:rPr>
        <w:t>2.3.9.</w:t>
      </w:r>
      <w:r w:rsidRPr="00E472D9">
        <w:rPr>
          <w:rFonts w:asciiTheme="minorHAnsi" w:hAnsiTheme="minorHAnsi"/>
        </w:rPr>
        <w:t xml:space="preserve"> Woda</w:t>
      </w:r>
    </w:p>
    <w:p w:rsidR="0080788D" w:rsidRPr="00E472D9" w:rsidRDefault="0080788D" w:rsidP="000E55F0">
      <w:pPr>
        <w:ind w:left="-851" w:right="-851"/>
        <w:rPr>
          <w:rFonts w:asciiTheme="minorHAnsi" w:hAnsiTheme="minorHAnsi"/>
        </w:rPr>
      </w:pPr>
      <w:r w:rsidRPr="00E472D9">
        <w:rPr>
          <w:rFonts w:asciiTheme="minorHAnsi" w:hAnsiTheme="minorHAnsi"/>
        </w:rPr>
        <w:tab/>
      </w:r>
      <w:r w:rsidR="00B14396">
        <w:rPr>
          <w:rFonts w:asciiTheme="minorHAnsi" w:hAnsiTheme="minorHAnsi"/>
        </w:rPr>
        <w:tab/>
      </w:r>
      <w:r w:rsidRPr="00E472D9">
        <w:rPr>
          <w:rFonts w:asciiTheme="minorHAnsi" w:hAnsiTheme="minorHAnsi"/>
        </w:rPr>
        <w:t>Woda powinna być odmiany „1” i odpowiadać wymaganiom PN-B-32250.</w:t>
      </w:r>
    </w:p>
    <w:p w:rsidR="0080788D" w:rsidRPr="00E472D9" w:rsidRDefault="0080788D" w:rsidP="000E55F0">
      <w:pPr>
        <w:ind w:left="-851" w:right="-851"/>
        <w:rPr>
          <w:rFonts w:asciiTheme="minorHAnsi" w:hAnsiTheme="minorHAnsi"/>
        </w:rPr>
      </w:pPr>
      <w:r w:rsidRPr="00E472D9">
        <w:rPr>
          <w:rFonts w:asciiTheme="minorHAnsi" w:hAnsiTheme="minorHAnsi"/>
          <w:b/>
        </w:rPr>
        <w:t>2.4.</w:t>
      </w:r>
      <w:r w:rsidRPr="00E472D9">
        <w:rPr>
          <w:rFonts w:asciiTheme="minorHAnsi" w:hAnsiTheme="minorHAnsi"/>
        </w:rPr>
        <w:t xml:space="preserve"> Składowanie materiałów</w:t>
      </w:r>
    </w:p>
    <w:p w:rsidR="0080788D" w:rsidRPr="00E472D9" w:rsidRDefault="0080788D" w:rsidP="000E55F0">
      <w:pPr>
        <w:ind w:left="-851" w:right="-851"/>
        <w:rPr>
          <w:rFonts w:asciiTheme="minorHAnsi" w:hAnsiTheme="minorHAnsi"/>
        </w:rPr>
      </w:pPr>
      <w:r w:rsidRPr="00E472D9">
        <w:rPr>
          <w:rFonts w:asciiTheme="minorHAnsi" w:hAnsiTheme="minorHAnsi"/>
        </w:rPr>
        <w:tab/>
      </w:r>
      <w:r w:rsidR="00B14396">
        <w:rPr>
          <w:rFonts w:asciiTheme="minorHAnsi" w:hAnsiTheme="minorHAnsi"/>
        </w:rPr>
        <w:tab/>
      </w:r>
      <w:r w:rsidRPr="00E472D9">
        <w:rPr>
          <w:rFonts w:asciiTheme="minorHAnsi" w:hAnsiTheme="minorHAnsi"/>
        </w:rPr>
        <w:t>Warunki składowania materiałów przewidzianych do wykonania nawierzchni wjazdów i wyjazdów podano w poszczególnych ST, wymienionych w pkt 5.</w:t>
      </w:r>
    </w:p>
    <w:p w:rsidR="0080788D" w:rsidRPr="00E472D9" w:rsidRDefault="0080788D" w:rsidP="000E55F0">
      <w:pPr>
        <w:ind w:left="-851" w:right="-851"/>
        <w:rPr>
          <w:rFonts w:asciiTheme="minorHAnsi" w:hAnsiTheme="minorHAnsi"/>
        </w:rPr>
      </w:pPr>
    </w:p>
    <w:p w:rsidR="0080788D" w:rsidRPr="00E472D9" w:rsidRDefault="0080788D" w:rsidP="000E55F0">
      <w:pPr>
        <w:ind w:left="-851" w:right="-851"/>
        <w:rPr>
          <w:rFonts w:asciiTheme="minorHAnsi" w:hAnsiTheme="minorHAnsi"/>
          <w:b/>
        </w:rPr>
      </w:pPr>
      <w:bookmarkStart w:id="1640" w:name="_Toc428323649"/>
      <w:r w:rsidRPr="00E472D9">
        <w:rPr>
          <w:rFonts w:asciiTheme="minorHAnsi" w:hAnsiTheme="minorHAnsi"/>
          <w:b/>
        </w:rPr>
        <w:t xml:space="preserve">3. </w:t>
      </w:r>
      <w:bookmarkEnd w:id="1640"/>
      <w:r w:rsidRPr="00E472D9">
        <w:rPr>
          <w:rFonts w:asciiTheme="minorHAnsi" w:hAnsiTheme="minorHAnsi"/>
          <w:b/>
        </w:rPr>
        <w:t>SPRZĘT</w:t>
      </w:r>
    </w:p>
    <w:p w:rsidR="0080788D" w:rsidRPr="00E472D9" w:rsidRDefault="0080788D" w:rsidP="000E55F0">
      <w:pPr>
        <w:ind w:left="-851" w:right="-851"/>
        <w:rPr>
          <w:rFonts w:asciiTheme="minorHAnsi" w:hAnsiTheme="minorHAnsi"/>
        </w:rPr>
      </w:pPr>
      <w:r w:rsidRPr="00E472D9">
        <w:rPr>
          <w:rFonts w:asciiTheme="minorHAnsi" w:hAnsiTheme="minorHAnsi"/>
          <w:b/>
        </w:rPr>
        <w:t>3.1.</w:t>
      </w:r>
      <w:r w:rsidRPr="00E472D9">
        <w:rPr>
          <w:rFonts w:asciiTheme="minorHAnsi" w:hAnsiTheme="minorHAnsi"/>
        </w:rPr>
        <w:t xml:space="preserve"> Ogólne wymagania dotyczące sprzętu</w:t>
      </w:r>
    </w:p>
    <w:p w:rsidR="0080788D" w:rsidRPr="00E472D9" w:rsidRDefault="0080788D" w:rsidP="000E55F0">
      <w:pPr>
        <w:ind w:left="-851" w:right="-851"/>
        <w:rPr>
          <w:rFonts w:asciiTheme="minorHAnsi" w:hAnsiTheme="minorHAnsi"/>
        </w:rPr>
      </w:pPr>
      <w:r w:rsidRPr="00E472D9">
        <w:rPr>
          <w:rFonts w:asciiTheme="minorHAnsi" w:hAnsiTheme="minorHAnsi"/>
        </w:rPr>
        <w:tab/>
      </w:r>
      <w:r w:rsidR="00B14396">
        <w:rPr>
          <w:rFonts w:asciiTheme="minorHAnsi" w:hAnsiTheme="minorHAnsi"/>
        </w:rPr>
        <w:tab/>
      </w:r>
      <w:r w:rsidRPr="00E472D9">
        <w:rPr>
          <w:rFonts w:asciiTheme="minorHAnsi" w:hAnsiTheme="minorHAnsi"/>
        </w:rPr>
        <w:t>Ogólne wymagania dotyczące sprzętu podano w ST D-M-00.00.00 „Wymagania ogólne” pkt 3.</w:t>
      </w:r>
    </w:p>
    <w:p w:rsidR="0080788D" w:rsidRPr="00E472D9" w:rsidRDefault="0080788D" w:rsidP="000E55F0">
      <w:pPr>
        <w:ind w:left="-851" w:right="-851"/>
        <w:rPr>
          <w:rFonts w:asciiTheme="minorHAnsi" w:hAnsiTheme="minorHAnsi"/>
        </w:rPr>
      </w:pPr>
      <w:r w:rsidRPr="00E472D9">
        <w:rPr>
          <w:rFonts w:asciiTheme="minorHAnsi" w:hAnsiTheme="minorHAnsi"/>
          <w:b/>
        </w:rPr>
        <w:t>3.2.</w:t>
      </w:r>
      <w:r w:rsidRPr="00E472D9">
        <w:rPr>
          <w:rFonts w:asciiTheme="minorHAnsi" w:hAnsiTheme="minorHAnsi"/>
        </w:rPr>
        <w:t xml:space="preserve"> Sprzęt do wykonania wjazdów i wyjazdów</w:t>
      </w:r>
    </w:p>
    <w:p w:rsidR="0080788D" w:rsidRPr="00E472D9" w:rsidRDefault="0080788D" w:rsidP="000E55F0">
      <w:pPr>
        <w:ind w:left="-851" w:right="-851"/>
        <w:rPr>
          <w:rFonts w:asciiTheme="minorHAnsi" w:hAnsiTheme="minorHAnsi"/>
        </w:rPr>
      </w:pPr>
      <w:r w:rsidRPr="00E472D9">
        <w:rPr>
          <w:rFonts w:asciiTheme="minorHAnsi" w:hAnsiTheme="minorHAnsi"/>
        </w:rPr>
        <w:tab/>
      </w:r>
      <w:r w:rsidR="00B14396">
        <w:rPr>
          <w:rFonts w:asciiTheme="minorHAnsi" w:hAnsiTheme="minorHAnsi"/>
        </w:rPr>
        <w:tab/>
      </w:r>
      <w:r w:rsidRPr="00E472D9">
        <w:rPr>
          <w:rFonts w:asciiTheme="minorHAnsi" w:hAnsiTheme="minorHAnsi"/>
        </w:rPr>
        <w:t>Do wykonania wjazdów i wyjazdów stosowany jest sprzęt wymieniony w ST dla poszczególnych rodzajów nawierzchni według pkt5.</w:t>
      </w:r>
    </w:p>
    <w:p w:rsidR="0080788D" w:rsidRPr="00E472D9" w:rsidRDefault="0080788D" w:rsidP="000E55F0">
      <w:pPr>
        <w:ind w:left="-851" w:right="-851"/>
        <w:rPr>
          <w:rFonts w:asciiTheme="minorHAnsi" w:hAnsiTheme="minorHAnsi"/>
        </w:rPr>
      </w:pPr>
    </w:p>
    <w:p w:rsidR="0080788D" w:rsidRPr="00E472D9" w:rsidRDefault="0080788D" w:rsidP="000E55F0">
      <w:pPr>
        <w:ind w:left="-851" w:right="-851"/>
        <w:rPr>
          <w:rFonts w:asciiTheme="minorHAnsi" w:hAnsiTheme="minorHAnsi"/>
          <w:b/>
        </w:rPr>
      </w:pPr>
      <w:bookmarkStart w:id="1641" w:name="_Toc428323650"/>
      <w:r w:rsidRPr="00E472D9">
        <w:rPr>
          <w:rFonts w:asciiTheme="minorHAnsi" w:hAnsiTheme="minorHAnsi"/>
          <w:b/>
        </w:rPr>
        <w:t xml:space="preserve">4. </w:t>
      </w:r>
      <w:bookmarkEnd w:id="1641"/>
      <w:r w:rsidRPr="00E472D9">
        <w:rPr>
          <w:rFonts w:asciiTheme="minorHAnsi" w:hAnsiTheme="minorHAnsi"/>
          <w:b/>
        </w:rPr>
        <w:t>TRANSPORT</w:t>
      </w:r>
    </w:p>
    <w:p w:rsidR="0080788D" w:rsidRPr="00E472D9" w:rsidRDefault="0080788D" w:rsidP="000E55F0">
      <w:pPr>
        <w:ind w:left="-851" w:right="-851"/>
        <w:rPr>
          <w:rFonts w:asciiTheme="minorHAnsi" w:hAnsiTheme="minorHAnsi"/>
        </w:rPr>
      </w:pPr>
      <w:r w:rsidRPr="00E472D9">
        <w:rPr>
          <w:rFonts w:asciiTheme="minorHAnsi" w:hAnsiTheme="minorHAnsi"/>
          <w:b/>
        </w:rPr>
        <w:t>4.1.</w:t>
      </w:r>
      <w:r w:rsidRPr="00E472D9">
        <w:rPr>
          <w:rFonts w:asciiTheme="minorHAnsi" w:hAnsiTheme="minorHAnsi"/>
        </w:rPr>
        <w:t xml:space="preserve"> Ogólne wymagania dotyczące transportu</w:t>
      </w:r>
    </w:p>
    <w:p w:rsidR="0080788D" w:rsidRPr="00E472D9" w:rsidRDefault="0080788D" w:rsidP="000E55F0">
      <w:pPr>
        <w:ind w:left="-851" w:right="-851"/>
        <w:rPr>
          <w:rFonts w:asciiTheme="minorHAnsi" w:hAnsiTheme="minorHAnsi"/>
        </w:rPr>
      </w:pPr>
      <w:r w:rsidRPr="00E472D9">
        <w:rPr>
          <w:rFonts w:asciiTheme="minorHAnsi" w:hAnsiTheme="minorHAnsi"/>
        </w:rPr>
        <w:tab/>
      </w:r>
      <w:r w:rsidR="00B14396">
        <w:rPr>
          <w:rFonts w:asciiTheme="minorHAnsi" w:hAnsiTheme="minorHAnsi"/>
        </w:rPr>
        <w:tab/>
      </w:r>
      <w:r w:rsidRPr="00E472D9">
        <w:rPr>
          <w:rFonts w:asciiTheme="minorHAnsi" w:hAnsiTheme="minorHAnsi"/>
        </w:rPr>
        <w:t>Ogólne wymagania dotyczące transportu podano w ST D-M-00.00.00 „Wymagania ogólne” pkt 4.</w:t>
      </w:r>
    </w:p>
    <w:p w:rsidR="0080788D" w:rsidRPr="00E472D9" w:rsidRDefault="0080788D" w:rsidP="000E55F0">
      <w:pPr>
        <w:ind w:left="-851" w:right="-851"/>
        <w:rPr>
          <w:rFonts w:asciiTheme="minorHAnsi" w:hAnsiTheme="minorHAnsi"/>
        </w:rPr>
      </w:pPr>
      <w:r w:rsidRPr="00E472D9">
        <w:rPr>
          <w:rFonts w:asciiTheme="minorHAnsi" w:hAnsiTheme="minorHAnsi"/>
          <w:b/>
        </w:rPr>
        <w:t>4.2.</w:t>
      </w:r>
      <w:r w:rsidRPr="00E472D9">
        <w:rPr>
          <w:rFonts w:asciiTheme="minorHAnsi" w:hAnsiTheme="minorHAnsi"/>
        </w:rPr>
        <w:t xml:space="preserve"> Transport materiałów</w:t>
      </w:r>
    </w:p>
    <w:p w:rsidR="0080788D" w:rsidRPr="00E472D9" w:rsidRDefault="0080788D" w:rsidP="000E55F0">
      <w:pPr>
        <w:ind w:left="-851" w:right="-851"/>
        <w:rPr>
          <w:rFonts w:asciiTheme="minorHAnsi" w:hAnsiTheme="minorHAnsi"/>
        </w:rPr>
      </w:pPr>
      <w:r w:rsidRPr="00E472D9">
        <w:rPr>
          <w:rFonts w:asciiTheme="minorHAnsi" w:hAnsiTheme="minorHAnsi"/>
        </w:rPr>
        <w:tab/>
      </w:r>
      <w:r w:rsidR="00B14396">
        <w:rPr>
          <w:rFonts w:asciiTheme="minorHAnsi" w:hAnsiTheme="minorHAnsi"/>
        </w:rPr>
        <w:tab/>
      </w:r>
      <w:r w:rsidRPr="00E472D9">
        <w:rPr>
          <w:rFonts w:asciiTheme="minorHAnsi" w:hAnsiTheme="minorHAnsi"/>
        </w:rPr>
        <w:t>Wymagania dotyczące transportu  materiałów użytych do budowy nawierzchni wjazdów i wyjazdów zawarte są w ST wymienionych w pkt5.</w:t>
      </w:r>
    </w:p>
    <w:p w:rsidR="0080788D" w:rsidRPr="00E472D9" w:rsidRDefault="0080788D" w:rsidP="000E55F0">
      <w:pPr>
        <w:ind w:left="-851" w:right="-851"/>
        <w:rPr>
          <w:rFonts w:asciiTheme="minorHAnsi" w:hAnsiTheme="minorHAnsi"/>
        </w:rPr>
      </w:pPr>
    </w:p>
    <w:p w:rsidR="0080788D" w:rsidRPr="00E472D9" w:rsidRDefault="0080788D" w:rsidP="000E55F0">
      <w:pPr>
        <w:ind w:left="-851" w:right="-851"/>
        <w:rPr>
          <w:rFonts w:asciiTheme="minorHAnsi" w:hAnsiTheme="minorHAnsi"/>
          <w:b/>
        </w:rPr>
      </w:pPr>
      <w:bookmarkStart w:id="1642" w:name="_Toc428323651"/>
      <w:r w:rsidRPr="00E472D9">
        <w:rPr>
          <w:rFonts w:asciiTheme="minorHAnsi" w:hAnsiTheme="minorHAnsi"/>
          <w:b/>
        </w:rPr>
        <w:t xml:space="preserve">5. </w:t>
      </w:r>
      <w:bookmarkEnd w:id="1642"/>
      <w:r w:rsidRPr="00E472D9">
        <w:rPr>
          <w:rFonts w:asciiTheme="minorHAnsi" w:hAnsiTheme="minorHAnsi"/>
          <w:b/>
        </w:rPr>
        <w:t>WYKONANIE ROBÓT</w:t>
      </w:r>
    </w:p>
    <w:p w:rsidR="0080788D" w:rsidRPr="00E472D9" w:rsidRDefault="0080788D" w:rsidP="000E55F0">
      <w:pPr>
        <w:ind w:left="-851" w:right="-851"/>
        <w:rPr>
          <w:rFonts w:asciiTheme="minorHAnsi" w:hAnsiTheme="minorHAnsi"/>
        </w:rPr>
      </w:pPr>
      <w:r w:rsidRPr="00E472D9">
        <w:rPr>
          <w:rFonts w:asciiTheme="minorHAnsi" w:hAnsiTheme="minorHAnsi"/>
          <w:b/>
        </w:rPr>
        <w:t>5.1.</w:t>
      </w:r>
      <w:r w:rsidRPr="00E472D9">
        <w:rPr>
          <w:rFonts w:asciiTheme="minorHAnsi" w:hAnsiTheme="minorHAnsi"/>
        </w:rPr>
        <w:t xml:space="preserve"> Ogólne zasady wykonania robót</w:t>
      </w:r>
    </w:p>
    <w:p w:rsidR="0080788D" w:rsidRPr="00E472D9" w:rsidRDefault="0080788D" w:rsidP="000E55F0">
      <w:pPr>
        <w:ind w:left="-851" w:right="-851"/>
        <w:rPr>
          <w:rFonts w:asciiTheme="minorHAnsi" w:hAnsiTheme="minorHAnsi"/>
        </w:rPr>
      </w:pPr>
      <w:r w:rsidRPr="00E472D9">
        <w:rPr>
          <w:rFonts w:asciiTheme="minorHAnsi" w:hAnsiTheme="minorHAnsi"/>
        </w:rPr>
        <w:tab/>
      </w:r>
      <w:r w:rsidR="00B14396">
        <w:rPr>
          <w:rFonts w:asciiTheme="minorHAnsi" w:hAnsiTheme="minorHAnsi"/>
        </w:rPr>
        <w:tab/>
      </w:r>
      <w:r w:rsidRPr="00E472D9">
        <w:rPr>
          <w:rFonts w:asciiTheme="minorHAnsi" w:hAnsiTheme="minorHAnsi"/>
        </w:rPr>
        <w:t>Ogólne zasady wykonania robót podano w ST D-M-00.00.00 „Wymagania ogólne” pkt 5.</w:t>
      </w:r>
    </w:p>
    <w:p w:rsidR="0080788D" w:rsidRPr="00E472D9" w:rsidRDefault="0080788D" w:rsidP="000E55F0">
      <w:pPr>
        <w:ind w:left="-851" w:right="-851"/>
        <w:rPr>
          <w:rFonts w:asciiTheme="minorHAnsi" w:hAnsiTheme="minorHAnsi"/>
        </w:rPr>
      </w:pPr>
      <w:r w:rsidRPr="00E472D9">
        <w:rPr>
          <w:rFonts w:asciiTheme="minorHAnsi" w:hAnsiTheme="minorHAnsi"/>
          <w:b/>
        </w:rPr>
        <w:t>5.2.</w:t>
      </w:r>
      <w:r w:rsidRPr="00E472D9">
        <w:rPr>
          <w:rFonts w:asciiTheme="minorHAnsi" w:hAnsiTheme="minorHAnsi"/>
        </w:rPr>
        <w:t xml:space="preserve"> Wykonanie koryta</w:t>
      </w:r>
    </w:p>
    <w:p w:rsidR="0080788D" w:rsidRPr="00E472D9" w:rsidRDefault="0080788D" w:rsidP="000E55F0">
      <w:pPr>
        <w:ind w:left="-851" w:right="-851"/>
        <w:rPr>
          <w:rFonts w:asciiTheme="minorHAnsi" w:hAnsiTheme="minorHAnsi"/>
        </w:rPr>
      </w:pPr>
      <w:r w:rsidRPr="00E472D9">
        <w:rPr>
          <w:rFonts w:asciiTheme="minorHAnsi" w:hAnsiTheme="minorHAnsi"/>
        </w:rPr>
        <w:tab/>
      </w:r>
      <w:r w:rsidR="00B14396">
        <w:rPr>
          <w:rFonts w:asciiTheme="minorHAnsi" w:hAnsiTheme="minorHAnsi"/>
        </w:rPr>
        <w:tab/>
      </w:r>
      <w:r w:rsidRPr="00E472D9">
        <w:rPr>
          <w:rFonts w:asciiTheme="minorHAnsi" w:hAnsiTheme="minorHAnsi"/>
        </w:rPr>
        <w:t>Wykonanie koryta pod nawierzchnię wjazdów i wyjazdów powinno być zgodne z wymaganiami określonymi w ST D-04.01.01 „Koryto wraz z profilowaniem i zagęszczeniem podłoża”.</w:t>
      </w:r>
    </w:p>
    <w:p w:rsidR="0080788D" w:rsidRPr="00E472D9" w:rsidRDefault="0080788D" w:rsidP="000E55F0">
      <w:pPr>
        <w:ind w:left="-851" w:right="-851"/>
        <w:rPr>
          <w:rFonts w:asciiTheme="minorHAnsi" w:hAnsiTheme="minorHAnsi"/>
        </w:rPr>
      </w:pPr>
      <w:r w:rsidRPr="00E472D9">
        <w:rPr>
          <w:rFonts w:asciiTheme="minorHAnsi" w:hAnsiTheme="minorHAnsi"/>
        </w:rPr>
        <w:tab/>
      </w:r>
      <w:r w:rsidR="00B14396">
        <w:rPr>
          <w:rFonts w:asciiTheme="minorHAnsi" w:hAnsiTheme="minorHAnsi"/>
        </w:rPr>
        <w:tab/>
      </w:r>
      <w:r w:rsidRPr="00E472D9">
        <w:rPr>
          <w:rFonts w:asciiTheme="minorHAnsi" w:hAnsiTheme="minorHAnsi"/>
        </w:rPr>
        <w:t>Wykop pod ławę obramowania wjazdu i wyjazdu powinien być wykonany zgodnie z PN-B-06050.</w:t>
      </w:r>
    </w:p>
    <w:p w:rsidR="0080788D" w:rsidRPr="00E472D9" w:rsidRDefault="0080788D" w:rsidP="000E55F0">
      <w:pPr>
        <w:ind w:left="-851" w:right="-851"/>
        <w:rPr>
          <w:rFonts w:asciiTheme="minorHAnsi" w:hAnsiTheme="minorHAnsi"/>
        </w:rPr>
      </w:pPr>
      <w:r w:rsidRPr="00E472D9">
        <w:rPr>
          <w:rFonts w:asciiTheme="minorHAnsi" w:hAnsiTheme="minorHAnsi"/>
          <w:b/>
        </w:rPr>
        <w:t>5.3.</w:t>
      </w:r>
      <w:r w:rsidRPr="00E472D9">
        <w:rPr>
          <w:rFonts w:asciiTheme="minorHAnsi" w:hAnsiTheme="minorHAnsi"/>
        </w:rPr>
        <w:t xml:space="preserve"> Wykonanie obramowania</w:t>
      </w:r>
    </w:p>
    <w:p w:rsidR="0080788D" w:rsidRPr="00E472D9" w:rsidRDefault="0080788D" w:rsidP="000E55F0">
      <w:pPr>
        <w:ind w:left="-851" w:right="-851"/>
        <w:rPr>
          <w:rFonts w:asciiTheme="minorHAnsi" w:hAnsiTheme="minorHAnsi"/>
        </w:rPr>
      </w:pPr>
      <w:r w:rsidRPr="00E472D9">
        <w:rPr>
          <w:rFonts w:asciiTheme="minorHAnsi" w:hAnsiTheme="minorHAnsi"/>
        </w:rPr>
        <w:tab/>
      </w:r>
      <w:r w:rsidR="00B14396">
        <w:rPr>
          <w:rFonts w:asciiTheme="minorHAnsi" w:hAnsiTheme="minorHAnsi"/>
        </w:rPr>
        <w:tab/>
      </w:r>
      <w:r w:rsidRPr="00E472D9">
        <w:rPr>
          <w:rFonts w:asciiTheme="minorHAnsi" w:hAnsiTheme="minorHAnsi"/>
        </w:rPr>
        <w:t>Obramowanie nawierzchni wjazdów i wyjazdów wykonuje się przy zastosowaniu krawężników betonowych. Jeżeli w dokumentacji projektowej nie przewidziano inaczej, to obramowanie nawierzchni wjazdów i wyjazdów należy wykonać zgodnie z ST D-08.01.01 „Krawężniki betonowe”.</w:t>
      </w:r>
    </w:p>
    <w:p w:rsidR="0080788D" w:rsidRPr="00E472D9" w:rsidRDefault="0080788D" w:rsidP="000E55F0">
      <w:pPr>
        <w:ind w:left="-851" w:right="-851"/>
        <w:rPr>
          <w:rFonts w:asciiTheme="minorHAnsi" w:hAnsiTheme="minorHAnsi"/>
        </w:rPr>
      </w:pPr>
      <w:r w:rsidRPr="00E472D9">
        <w:rPr>
          <w:rFonts w:asciiTheme="minorHAnsi" w:hAnsiTheme="minorHAnsi"/>
          <w:b/>
        </w:rPr>
        <w:t>5.4.</w:t>
      </w:r>
      <w:r w:rsidRPr="00E472D9">
        <w:rPr>
          <w:rFonts w:asciiTheme="minorHAnsi" w:hAnsiTheme="minorHAnsi"/>
        </w:rPr>
        <w:t xml:space="preserve"> Wykonanie podbudowy</w:t>
      </w:r>
    </w:p>
    <w:p w:rsidR="0080788D" w:rsidRPr="00E472D9" w:rsidRDefault="0080788D" w:rsidP="000E55F0">
      <w:pPr>
        <w:ind w:left="-851" w:right="-851"/>
        <w:rPr>
          <w:rFonts w:asciiTheme="minorHAnsi" w:hAnsiTheme="minorHAnsi"/>
        </w:rPr>
      </w:pPr>
      <w:r w:rsidRPr="00E472D9">
        <w:rPr>
          <w:rFonts w:asciiTheme="minorHAnsi" w:hAnsiTheme="minorHAnsi"/>
        </w:rPr>
        <w:tab/>
      </w:r>
      <w:r w:rsidR="00B14396">
        <w:rPr>
          <w:rFonts w:asciiTheme="minorHAnsi" w:hAnsiTheme="minorHAnsi"/>
        </w:rPr>
        <w:tab/>
      </w:r>
      <w:r w:rsidRPr="00E472D9">
        <w:rPr>
          <w:rFonts w:asciiTheme="minorHAnsi" w:hAnsiTheme="minorHAnsi"/>
        </w:rPr>
        <w:t>W zależności od rodzaju podbudowy przyjętej w dokumentacji projektowej, wykonanie podbudowy powinno być zgodne z odpowiednią ST:</w:t>
      </w:r>
    </w:p>
    <w:p w:rsidR="0080788D" w:rsidRPr="00E472D9" w:rsidRDefault="0080788D" w:rsidP="000E55F0">
      <w:pPr>
        <w:ind w:left="-851" w:right="-851"/>
        <w:rPr>
          <w:rFonts w:asciiTheme="minorHAnsi" w:hAnsiTheme="minorHAnsi"/>
        </w:rPr>
      </w:pPr>
      <w:r w:rsidRPr="00E472D9">
        <w:rPr>
          <w:rFonts w:asciiTheme="minorHAnsi" w:hAnsiTheme="minorHAnsi"/>
        </w:rPr>
        <w:t>- podbudowa z kruszywa łamanego, wg ST D-04.04.02,</w:t>
      </w:r>
    </w:p>
    <w:p w:rsidR="0080788D" w:rsidRPr="00E472D9" w:rsidRDefault="0080788D" w:rsidP="000E55F0">
      <w:pPr>
        <w:ind w:left="-851" w:right="-851"/>
        <w:rPr>
          <w:rFonts w:asciiTheme="minorHAnsi" w:hAnsiTheme="minorHAnsi"/>
        </w:rPr>
      </w:pPr>
      <w:r w:rsidRPr="00E472D9">
        <w:rPr>
          <w:rFonts w:asciiTheme="minorHAnsi" w:hAnsiTheme="minorHAnsi"/>
        </w:rPr>
        <w:t>- podbudowa z kruszywa stabilizowanego cementem, wg OST D-04.05.01a.</w:t>
      </w:r>
    </w:p>
    <w:p w:rsidR="0080788D" w:rsidRPr="00E472D9" w:rsidRDefault="0080788D" w:rsidP="000E55F0">
      <w:pPr>
        <w:ind w:left="-851" w:right="-851"/>
        <w:rPr>
          <w:rFonts w:asciiTheme="minorHAnsi" w:hAnsiTheme="minorHAnsi"/>
        </w:rPr>
      </w:pPr>
      <w:r w:rsidRPr="00E472D9">
        <w:rPr>
          <w:rFonts w:asciiTheme="minorHAnsi" w:hAnsiTheme="minorHAnsi"/>
          <w:b/>
        </w:rPr>
        <w:t>5.5.</w:t>
      </w:r>
      <w:r w:rsidRPr="00E472D9">
        <w:rPr>
          <w:rFonts w:asciiTheme="minorHAnsi" w:hAnsiTheme="minorHAnsi"/>
        </w:rPr>
        <w:t xml:space="preserve"> Wykonanie nawierzchni</w:t>
      </w:r>
    </w:p>
    <w:p w:rsidR="0080788D" w:rsidRPr="00E472D9" w:rsidRDefault="0080788D" w:rsidP="000E55F0">
      <w:pPr>
        <w:ind w:left="-851" w:right="-851"/>
        <w:rPr>
          <w:rFonts w:asciiTheme="minorHAnsi" w:hAnsiTheme="minorHAnsi"/>
        </w:rPr>
      </w:pPr>
      <w:r w:rsidRPr="00E472D9">
        <w:rPr>
          <w:rFonts w:asciiTheme="minorHAnsi" w:hAnsiTheme="minorHAnsi"/>
        </w:rPr>
        <w:tab/>
      </w:r>
      <w:r w:rsidR="00B14396">
        <w:rPr>
          <w:rFonts w:asciiTheme="minorHAnsi" w:hAnsiTheme="minorHAnsi"/>
        </w:rPr>
        <w:tab/>
      </w:r>
      <w:r w:rsidRPr="00E472D9">
        <w:rPr>
          <w:rFonts w:asciiTheme="minorHAnsi" w:hAnsiTheme="minorHAnsi"/>
        </w:rPr>
        <w:t>Nawierzchnię wjazdów i wyjazdów należy wykonywać zgodnie z wymaganiami zawartymi w odpowiednich specyfikacjach technicznych.</w:t>
      </w:r>
    </w:p>
    <w:p w:rsidR="0080788D" w:rsidRPr="00E472D9" w:rsidRDefault="0080788D" w:rsidP="000E55F0">
      <w:pPr>
        <w:ind w:left="-851" w:right="-851"/>
        <w:rPr>
          <w:rFonts w:asciiTheme="minorHAnsi" w:hAnsiTheme="minorHAnsi"/>
        </w:rPr>
      </w:pPr>
      <w:r w:rsidRPr="00E472D9">
        <w:rPr>
          <w:rFonts w:asciiTheme="minorHAnsi" w:hAnsiTheme="minorHAnsi"/>
        </w:rPr>
        <w:tab/>
        <w:t>Nawierzchnia z kostki brukowej betonowej, wg ST D-05.03.23 oraz D-05.03.23a.</w:t>
      </w:r>
    </w:p>
    <w:p w:rsidR="0080788D" w:rsidRPr="00E472D9" w:rsidRDefault="0080788D" w:rsidP="000E55F0">
      <w:pPr>
        <w:ind w:left="-851" w:right="-851"/>
        <w:rPr>
          <w:rFonts w:asciiTheme="minorHAnsi" w:hAnsiTheme="minorHAnsi"/>
        </w:rPr>
      </w:pPr>
      <w:r w:rsidRPr="00E472D9">
        <w:rPr>
          <w:rFonts w:asciiTheme="minorHAnsi" w:hAnsiTheme="minorHAnsi"/>
        </w:rPr>
        <w:tab/>
        <w:t>Nawierzchnia z mieszanek mineralno-bitumicznych, wg ST D-05.03.05c oraz D-05.03.13a.</w:t>
      </w:r>
    </w:p>
    <w:p w:rsidR="0080788D" w:rsidRDefault="0080788D" w:rsidP="000E55F0">
      <w:pPr>
        <w:ind w:left="-851" w:right="-851"/>
        <w:rPr>
          <w:rFonts w:asciiTheme="minorHAnsi" w:hAnsiTheme="minorHAnsi"/>
          <w:b/>
        </w:rPr>
      </w:pPr>
      <w:bookmarkStart w:id="1643" w:name="_Toc428323652"/>
    </w:p>
    <w:p w:rsidR="00B14396" w:rsidRPr="00E472D9" w:rsidRDefault="00B14396" w:rsidP="000E55F0">
      <w:pPr>
        <w:ind w:left="-851" w:right="-851"/>
        <w:rPr>
          <w:rFonts w:asciiTheme="minorHAnsi" w:hAnsiTheme="minorHAnsi"/>
          <w:b/>
        </w:rPr>
      </w:pPr>
    </w:p>
    <w:p w:rsidR="0080788D" w:rsidRPr="00E472D9" w:rsidRDefault="0080788D" w:rsidP="000E55F0">
      <w:pPr>
        <w:ind w:left="-851" w:right="-851"/>
        <w:rPr>
          <w:rFonts w:asciiTheme="minorHAnsi" w:hAnsiTheme="minorHAnsi"/>
          <w:b/>
        </w:rPr>
      </w:pPr>
      <w:r w:rsidRPr="00E472D9">
        <w:rPr>
          <w:rFonts w:asciiTheme="minorHAnsi" w:hAnsiTheme="minorHAnsi"/>
          <w:b/>
        </w:rPr>
        <w:lastRenderedPageBreak/>
        <w:t xml:space="preserve">6. </w:t>
      </w:r>
      <w:bookmarkEnd w:id="1643"/>
      <w:r w:rsidRPr="00E472D9">
        <w:rPr>
          <w:rFonts w:asciiTheme="minorHAnsi" w:hAnsiTheme="minorHAnsi"/>
          <w:b/>
        </w:rPr>
        <w:t>KONTROLA JAKOŚCI ROBÓT</w:t>
      </w:r>
    </w:p>
    <w:p w:rsidR="0080788D" w:rsidRPr="00E472D9" w:rsidRDefault="0080788D" w:rsidP="000E55F0">
      <w:pPr>
        <w:ind w:left="-851" w:right="-851"/>
        <w:rPr>
          <w:rFonts w:asciiTheme="minorHAnsi" w:hAnsiTheme="minorHAnsi"/>
        </w:rPr>
      </w:pPr>
      <w:r w:rsidRPr="00E472D9">
        <w:rPr>
          <w:rFonts w:asciiTheme="minorHAnsi" w:hAnsiTheme="minorHAnsi"/>
          <w:b/>
        </w:rPr>
        <w:t>6.1.</w:t>
      </w:r>
      <w:r w:rsidRPr="00E472D9">
        <w:rPr>
          <w:rFonts w:asciiTheme="minorHAnsi" w:hAnsiTheme="minorHAnsi"/>
        </w:rPr>
        <w:t xml:space="preserve"> Ogólne zasady kontroli jakości robót</w:t>
      </w:r>
    </w:p>
    <w:p w:rsidR="0080788D" w:rsidRPr="00E472D9" w:rsidRDefault="0080788D" w:rsidP="000E55F0">
      <w:pPr>
        <w:ind w:left="-851" w:right="-851"/>
        <w:rPr>
          <w:rFonts w:asciiTheme="minorHAnsi" w:hAnsiTheme="minorHAnsi"/>
        </w:rPr>
      </w:pPr>
      <w:r w:rsidRPr="00E472D9">
        <w:rPr>
          <w:rFonts w:asciiTheme="minorHAnsi" w:hAnsiTheme="minorHAnsi"/>
        </w:rPr>
        <w:tab/>
      </w:r>
      <w:r w:rsidR="00B14396">
        <w:rPr>
          <w:rFonts w:asciiTheme="minorHAnsi" w:hAnsiTheme="minorHAnsi"/>
        </w:rPr>
        <w:tab/>
      </w:r>
      <w:r w:rsidRPr="00E472D9">
        <w:rPr>
          <w:rFonts w:asciiTheme="minorHAnsi" w:hAnsiTheme="minorHAnsi"/>
        </w:rPr>
        <w:t>Ogólne zasady kontroli jakości robót podano w ST D-M-00.00.00 „Wymagania ogólne” pkt 6.</w:t>
      </w:r>
    </w:p>
    <w:p w:rsidR="0080788D" w:rsidRPr="00E472D9" w:rsidRDefault="0080788D" w:rsidP="000E55F0">
      <w:pPr>
        <w:ind w:left="-851" w:right="-851"/>
        <w:rPr>
          <w:rFonts w:asciiTheme="minorHAnsi" w:hAnsiTheme="minorHAnsi"/>
        </w:rPr>
      </w:pPr>
      <w:r w:rsidRPr="00E472D9">
        <w:rPr>
          <w:rFonts w:asciiTheme="minorHAnsi" w:hAnsiTheme="minorHAnsi"/>
          <w:b/>
        </w:rPr>
        <w:t>6.2.</w:t>
      </w:r>
      <w:r w:rsidRPr="00E472D9">
        <w:rPr>
          <w:rFonts w:asciiTheme="minorHAnsi" w:hAnsiTheme="minorHAnsi"/>
        </w:rPr>
        <w:t xml:space="preserve"> Badania przed przystąpieniem do robót</w:t>
      </w:r>
    </w:p>
    <w:p w:rsidR="0080788D" w:rsidRPr="00E472D9" w:rsidRDefault="0080788D" w:rsidP="000E55F0">
      <w:pPr>
        <w:ind w:left="-851" w:right="-851"/>
        <w:rPr>
          <w:rFonts w:asciiTheme="minorHAnsi" w:hAnsiTheme="minorHAnsi"/>
        </w:rPr>
      </w:pPr>
      <w:r w:rsidRPr="00E472D9">
        <w:rPr>
          <w:rFonts w:asciiTheme="minorHAnsi" w:hAnsiTheme="minorHAnsi"/>
        </w:rPr>
        <w:tab/>
      </w:r>
      <w:r w:rsidR="00B14396">
        <w:rPr>
          <w:rFonts w:asciiTheme="minorHAnsi" w:hAnsiTheme="minorHAnsi"/>
        </w:rPr>
        <w:tab/>
      </w:r>
      <w:r w:rsidRPr="00E472D9">
        <w:rPr>
          <w:rFonts w:asciiTheme="minorHAnsi" w:hAnsiTheme="minorHAnsi"/>
        </w:rPr>
        <w:t>Przed przystąpieniem do robót Wykonawca powinien wykonać badania materiałów przeznaczonych do wykonania wjazdów lub wyjazdów i przedstawić wyniki tych badań Inżynierowi  do akceptacji.</w:t>
      </w:r>
    </w:p>
    <w:p w:rsidR="0080788D" w:rsidRPr="00E472D9" w:rsidRDefault="0080788D" w:rsidP="000E55F0">
      <w:pPr>
        <w:ind w:left="-851" w:right="-851"/>
        <w:rPr>
          <w:rFonts w:asciiTheme="minorHAnsi" w:hAnsiTheme="minorHAnsi"/>
        </w:rPr>
      </w:pPr>
      <w:r w:rsidRPr="00E472D9">
        <w:rPr>
          <w:rFonts w:asciiTheme="minorHAnsi" w:hAnsiTheme="minorHAnsi"/>
          <w:b/>
        </w:rPr>
        <w:t>6.3.</w:t>
      </w:r>
      <w:r w:rsidRPr="00E472D9">
        <w:rPr>
          <w:rFonts w:asciiTheme="minorHAnsi" w:hAnsiTheme="minorHAnsi"/>
        </w:rPr>
        <w:t xml:space="preserve"> Badania w czasie robót</w:t>
      </w:r>
    </w:p>
    <w:p w:rsidR="0080788D" w:rsidRPr="00E472D9" w:rsidRDefault="0080788D" w:rsidP="000E55F0">
      <w:pPr>
        <w:ind w:left="-851" w:right="-851"/>
        <w:rPr>
          <w:rFonts w:asciiTheme="minorHAnsi" w:hAnsiTheme="minorHAnsi"/>
        </w:rPr>
      </w:pPr>
      <w:r w:rsidRPr="00E472D9">
        <w:rPr>
          <w:rFonts w:asciiTheme="minorHAnsi" w:hAnsiTheme="minorHAnsi"/>
        </w:rPr>
        <w:tab/>
      </w:r>
      <w:r w:rsidR="00B14396">
        <w:rPr>
          <w:rFonts w:asciiTheme="minorHAnsi" w:hAnsiTheme="minorHAnsi"/>
        </w:rPr>
        <w:tab/>
      </w:r>
      <w:r w:rsidRPr="00E472D9">
        <w:rPr>
          <w:rFonts w:asciiTheme="minorHAnsi" w:hAnsiTheme="minorHAnsi"/>
        </w:rPr>
        <w:t>W czasie prowadzenia robót Wykonawca powinien sprawdzać prawidłowość wykonania:</w:t>
      </w:r>
    </w:p>
    <w:p w:rsidR="0080788D" w:rsidRPr="00E472D9" w:rsidRDefault="0080788D" w:rsidP="000E55F0">
      <w:pPr>
        <w:ind w:left="-851" w:right="-851"/>
        <w:rPr>
          <w:rFonts w:asciiTheme="minorHAnsi" w:hAnsiTheme="minorHAnsi"/>
        </w:rPr>
      </w:pPr>
      <w:r w:rsidRPr="00E472D9">
        <w:rPr>
          <w:rFonts w:asciiTheme="minorHAnsi" w:hAnsiTheme="minorHAnsi"/>
        </w:rPr>
        <w:t>- koryta i podłoża,</w:t>
      </w:r>
    </w:p>
    <w:p w:rsidR="0080788D" w:rsidRPr="00E472D9" w:rsidRDefault="0080788D" w:rsidP="000E55F0">
      <w:pPr>
        <w:ind w:left="-851" w:right="-851"/>
        <w:rPr>
          <w:rFonts w:asciiTheme="minorHAnsi" w:hAnsiTheme="minorHAnsi"/>
        </w:rPr>
      </w:pPr>
      <w:r w:rsidRPr="00E472D9">
        <w:rPr>
          <w:rFonts w:asciiTheme="minorHAnsi" w:hAnsiTheme="minorHAnsi"/>
        </w:rPr>
        <w:t>- obramowania nawierzchni,</w:t>
      </w:r>
    </w:p>
    <w:p w:rsidR="0080788D" w:rsidRPr="00E472D9" w:rsidRDefault="0080788D" w:rsidP="000E55F0">
      <w:pPr>
        <w:ind w:left="-851" w:right="-851"/>
        <w:rPr>
          <w:rFonts w:asciiTheme="minorHAnsi" w:hAnsiTheme="minorHAnsi"/>
        </w:rPr>
      </w:pPr>
      <w:r w:rsidRPr="00E472D9">
        <w:rPr>
          <w:rFonts w:asciiTheme="minorHAnsi" w:hAnsiTheme="minorHAnsi"/>
        </w:rPr>
        <w:t>- podbudowy,</w:t>
      </w:r>
    </w:p>
    <w:p w:rsidR="0080788D" w:rsidRPr="00E472D9" w:rsidRDefault="0080788D" w:rsidP="000E55F0">
      <w:pPr>
        <w:ind w:left="-851" w:right="-851"/>
        <w:rPr>
          <w:rFonts w:asciiTheme="minorHAnsi" w:hAnsiTheme="minorHAnsi"/>
        </w:rPr>
      </w:pPr>
      <w:r w:rsidRPr="00E472D9">
        <w:rPr>
          <w:rFonts w:asciiTheme="minorHAnsi" w:hAnsiTheme="minorHAnsi"/>
        </w:rPr>
        <w:t>- nawierzchni.</w:t>
      </w:r>
    </w:p>
    <w:p w:rsidR="0080788D" w:rsidRPr="00E472D9" w:rsidRDefault="0080788D" w:rsidP="000E55F0">
      <w:pPr>
        <w:ind w:left="-851" w:right="-851"/>
        <w:rPr>
          <w:rFonts w:asciiTheme="minorHAnsi" w:hAnsiTheme="minorHAnsi"/>
        </w:rPr>
      </w:pPr>
      <w:r w:rsidRPr="00E472D9">
        <w:rPr>
          <w:rFonts w:asciiTheme="minorHAnsi" w:hAnsiTheme="minorHAnsi"/>
        </w:rPr>
        <w:tab/>
      </w:r>
      <w:r w:rsidR="00B14396">
        <w:rPr>
          <w:rFonts w:asciiTheme="minorHAnsi" w:hAnsiTheme="minorHAnsi"/>
        </w:rPr>
        <w:tab/>
      </w:r>
      <w:r w:rsidRPr="00E472D9">
        <w:rPr>
          <w:rFonts w:asciiTheme="minorHAnsi" w:hAnsiTheme="minorHAnsi"/>
        </w:rPr>
        <w:t>Zakres i częstotliwość badań, wymagania oraz dopuszczalne tolerancje zawarte są w odpowiednich ST wymienionych w pkt 5.</w:t>
      </w:r>
    </w:p>
    <w:p w:rsidR="0080788D" w:rsidRPr="00E472D9" w:rsidRDefault="0080788D" w:rsidP="000E55F0">
      <w:pPr>
        <w:ind w:left="-851" w:right="-851"/>
        <w:rPr>
          <w:rFonts w:asciiTheme="minorHAnsi" w:hAnsiTheme="minorHAnsi"/>
        </w:rPr>
      </w:pPr>
    </w:p>
    <w:p w:rsidR="0080788D" w:rsidRPr="00E472D9" w:rsidRDefault="0080788D" w:rsidP="000E55F0">
      <w:pPr>
        <w:ind w:left="-851" w:right="-851"/>
        <w:rPr>
          <w:rFonts w:asciiTheme="minorHAnsi" w:hAnsiTheme="minorHAnsi"/>
          <w:b/>
        </w:rPr>
      </w:pPr>
      <w:r w:rsidRPr="00E472D9">
        <w:rPr>
          <w:rFonts w:asciiTheme="minorHAnsi" w:hAnsiTheme="minorHAnsi"/>
          <w:b/>
        </w:rPr>
        <w:t>7. OBMIAR ROBÓT</w:t>
      </w:r>
    </w:p>
    <w:p w:rsidR="0080788D" w:rsidRPr="00E472D9" w:rsidRDefault="0080788D" w:rsidP="000E55F0">
      <w:pPr>
        <w:ind w:left="-851" w:right="-851"/>
        <w:rPr>
          <w:rFonts w:asciiTheme="minorHAnsi" w:hAnsiTheme="minorHAnsi"/>
        </w:rPr>
      </w:pPr>
      <w:r w:rsidRPr="00E472D9">
        <w:rPr>
          <w:rFonts w:asciiTheme="minorHAnsi" w:hAnsiTheme="minorHAnsi"/>
          <w:b/>
        </w:rPr>
        <w:t>7.1.</w:t>
      </w:r>
      <w:r w:rsidRPr="00E472D9">
        <w:rPr>
          <w:rFonts w:asciiTheme="minorHAnsi" w:hAnsiTheme="minorHAnsi"/>
        </w:rPr>
        <w:t xml:space="preserve"> Ogólne zasady obmiaru robót</w:t>
      </w:r>
    </w:p>
    <w:p w:rsidR="0080788D" w:rsidRPr="00E472D9" w:rsidRDefault="0080788D" w:rsidP="000E55F0">
      <w:pPr>
        <w:ind w:left="-851" w:right="-851"/>
        <w:rPr>
          <w:rFonts w:asciiTheme="minorHAnsi" w:hAnsiTheme="minorHAnsi"/>
        </w:rPr>
      </w:pPr>
      <w:r w:rsidRPr="00E472D9">
        <w:rPr>
          <w:rFonts w:asciiTheme="minorHAnsi" w:hAnsiTheme="minorHAnsi"/>
        </w:rPr>
        <w:tab/>
      </w:r>
      <w:r w:rsidR="00B14396">
        <w:rPr>
          <w:rFonts w:asciiTheme="minorHAnsi" w:hAnsiTheme="minorHAnsi"/>
        </w:rPr>
        <w:tab/>
      </w:r>
      <w:r w:rsidRPr="00E472D9">
        <w:rPr>
          <w:rFonts w:asciiTheme="minorHAnsi" w:hAnsiTheme="minorHAnsi"/>
        </w:rPr>
        <w:t>Ogólne zasady obmiaru robót podano w ST D-M-00.00.00 „Wymagania ogólne” pkt 7.</w:t>
      </w:r>
    </w:p>
    <w:p w:rsidR="0080788D" w:rsidRPr="00E472D9" w:rsidRDefault="0080788D" w:rsidP="000E55F0">
      <w:pPr>
        <w:ind w:left="-851" w:right="-851"/>
        <w:rPr>
          <w:rFonts w:asciiTheme="minorHAnsi" w:hAnsiTheme="minorHAnsi"/>
        </w:rPr>
      </w:pPr>
      <w:r w:rsidRPr="00E472D9">
        <w:rPr>
          <w:rFonts w:asciiTheme="minorHAnsi" w:hAnsiTheme="minorHAnsi"/>
          <w:b/>
        </w:rPr>
        <w:t>7.2.</w:t>
      </w:r>
      <w:r w:rsidRPr="00E472D9">
        <w:rPr>
          <w:rFonts w:asciiTheme="minorHAnsi" w:hAnsiTheme="minorHAnsi"/>
        </w:rPr>
        <w:t xml:space="preserve"> Jednostka obmiarowa</w:t>
      </w:r>
    </w:p>
    <w:p w:rsidR="0080788D" w:rsidRPr="00E472D9" w:rsidRDefault="0080788D" w:rsidP="000E55F0">
      <w:pPr>
        <w:ind w:left="-851" w:right="-851"/>
        <w:rPr>
          <w:rFonts w:asciiTheme="minorHAnsi" w:hAnsiTheme="minorHAnsi"/>
        </w:rPr>
      </w:pPr>
      <w:r w:rsidRPr="00E472D9">
        <w:rPr>
          <w:rFonts w:asciiTheme="minorHAnsi" w:hAnsiTheme="minorHAnsi"/>
        </w:rPr>
        <w:tab/>
      </w:r>
      <w:r w:rsidR="00B14396">
        <w:rPr>
          <w:rFonts w:asciiTheme="minorHAnsi" w:hAnsiTheme="minorHAnsi"/>
        </w:rPr>
        <w:tab/>
      </w:r>
      <w:r w:rsidRPr="00E472D9">
        <w:rPr>
          <w:rFonts w:asciiTheme="minorHAnsi" w:hAnsiTheme="minorHAnsi"/>
        </w:rPr>
        <w:t>Jednostką obmiarową jest 1 m2 (metr kwadratowy) wykonanego wjazdu lub wyjazdu z bram.</w:t>
      </w:r>
    </w:p>
    <w:p w:rsidR="0080788D" w:rsidRPr="00E472D9" w:rsidRDefault="0080788D" w:rsidP="000E55F0">
      <w:pPr>
        <w:ind w:left="-851" w:right="-851"/>
        <w:rPr>
          <w:rFonts w:asciiTheme="minorHAnsi" w:hAnsiTheme="minorHAnsi"/>
        </w:rPr>
      </w:pPr>
    </w:p>
    <w:p w:rsidR="0080788D" w:rsidRPr="00E472D9" w:rsidRDefault="0080788D" w:rsidP="000E55F0">
      <w:pPr>
        <w:ind w:left="-851" w:right="-851"/>
        <w:rPr>
          <w:rFonts w:asciiTheme="minorHAnsi" w:hAnsiTheme="minorHAnsi"/>
          <w:b/>
        </w:rPr>
      </w:pPr>
      <w:r w:rsidRPr="00E472D9">
        <w:rPr>
          <w:rFonts w:asciiTheme="minorHAnsi" w:hAnsiTheme="minorHAnsi"/>
          <w:b/>
        </w:rPr>
        <w:t>8. ODBIÓR ROBÓT</w:t>
      </w:r>
    </w:p>
    <w:p w:rsidR="0080788D" w:rsidRPr="00E472D9" w:rsidRDefault="0080788D" w:rsidP="000E55F0">
      <w:pPr>
        <w:ind w:left="-851" w:right="-851"/>
        <w:rPr>
          <w:rFonts w:asciiTheme="minorHAnsi" w:hAnsiTheme="minorHAnsi"/>
        </w:rPr>
      </w:pPr>
      <w:r w:rsidRPr="00E472D9">
        <w:rPr>
          <w:rFonts w:asciiTheme="minorHAnsi" w:hAnsiTheme="minorHAnsi"/>
          <w:b/>
        </w:rPr>
        <w:t>8.1.</w:t>
      </w:r>
      <w:r w:rsidRPr="00E472D9">
        <w:rPr>
          <w:rFonts w:asciiTheme="minorHAnsi" w:hAnsiTheme="minorHAnsi"/>
        </w:rPr>
        <w:t xml:space="preserve"> Ogólne zasady odbioru robót</w:t>
      </w:r>
    </w:p>
    <w:p w:rsidR="0080788D" w:rsidRPr="00E472D9" w:rsidRDefault="0080788D" w:rsidP="000E55F0">
      <w:pPr>
        <w:ind w:left="-851" w:right="-851"/>
        <w:rPr>
          <w:rFonts w:asciiTheme="minorHAnsi" w:hAnsiTheme="minorHAnsi"/>
        </w:rPr>
      </w:pPr>
      <w:r w:rsidRPr="00E472D9">
        <w:rPr>
          <w:rFonts w:asciiTheme="minorHAnsi" w:hAnsiTheme="minorHAnsi"/>
        </w:rPr>
        <w:tab/>
      </w:r>
      <w:r w:rsidR="00B14396">
        <w:rPr>
          <w:rFonts w:asciiTheme="minorHAnsi" w:hAnsiTheme="minorHAnsi"/>
        </w:rPr>
        <w:tab/>
      </w:r>
      <w:r w:rsidRPr="00E472D9">
        <w:rPr>
          <w:rFonts w:asciiTheme="minorHAnsi" w:hAnsiTheme="minorHAnsi"/>
        </w:rPr>
        <w:t>Ogólne zasady odbioru robót podano w ST D-M-00.00.00 „Wymagania ogólne” pkt 8.</w:t>
      </w:r>
    </w:p>
    <w:p w:rsidR="0080788D" w:rsidRPr="00E472D9" w:rsidRDefault="0080788D" w:rsidP="000E55F0">
      <w:pPr>
        <w:ind w:left="-851" w:right="-851"/>
        <w:rPr>
          <w:rFonts w:asciiTheme="minorHAnsi" w:hAnsiTheme="minorHAnsi"/>
        </w:rPr>
      </w:pPr>
      <w:r w:rsidRPr="00E472D9">
        <w:rPr>
          <w:rFonts w:asciiTheme="minorHAnsi" w:hAnsiTheme="minorHAnsi"/>
        </w:rPr>
        <w:tab/>
      </w:r>
      <w:r w:rsidR="00B14396">
        <w:rPr>
          <w:rFonts w:asciiTheme="minorHAnsi" w:hAnsiTheme="minorHAnsi"/>
        </w:rPr>
        <w:tab/>
      </w:r>
      <w:r w:rsidRPr="00E472D9">
        <w:rPr>
          <w:rFonts w:asciiTheme="minorHAnsi" w:hAnsiTheme="minorHAnsi"/>
        </w:rPr>
        <w:t>Roboty uznaje się za wykonane zgodnie z dokumentacją projektową, ST i wymaganiami Inżyniera, jeżeli wszystkie pomiary i badania z zachowaniem tolerancji wg pkt 6 dały wyniki pozytywne.</w:t>
      </w:r>
    </w:p>
    <w:p w:rsidR="0080788D" w:rsidRPr="00E472D9" w:rsidRDefault="0080788D" w:rsidP="000E55F0">
      <w:pPr>
        <w:ind w:left="-851" w:right="-851"/>
        <w:rPr>
          <w:rFonts w:asciiTheme="minorHAnsi" w:hAnsiTheme="minorHAnsi"/>
        </w:rPr>
      </w:pPr>
      <w:r w:rsidRPr="00E472D9">
        <w:rPr>
          <w:rFonts w:asciiTheme="minorHAnsi" w:hAnsiTheme="minorHAnsi"/>
          <w:b/>
        </w:rPr>
        <w:t>8.2.</w:t>
      </w:r>
      <w:r w:rsidRPr="00E472D9">
        <w:rPr>
          <w:rFonts w:asciiTheme="minorHAnsi" w:hAnsiTheme="minorHAnsi"/>
        </w:rPr>
        <w:t xml:space="preserve"> Odbiór robót zanikających i ulegających zakryciu</w:t>
      </w:r>
    </w:p>
    <w:p w:rsidR="0080788D" w:rsidRPr="00E472D9" w:rsidRDefault="0080788D" w:rsidP="000E55F0">
      <w:pPr>
        <w:ind w:left="-851" w:right="-851"/>
        <w:rPr>
          <w:rFonts w:asciiTheme="minorHAnsi" w:hAnsiTheme="minorHAnsi"/>
        </w:rPr>
      </w:pPr>
      <w:r w:rsidRPr="00E472D9">
        <w:rPr>
          <w:rFonts w:asciiTheme="minorHAnsi" w:hAnsiTheme="minorHAnsi"/>
        </w:rPr>
        <w:tab/>
      </w:r>
      <w:r w:rsidR="00B14396">
        <w:rPr>
          <w:rFonts w:asciiTheme="minorHAnsi" w:hAnsiTheme="minorHAnsi"/>
        </w:rPr>
        <w:tab/>
      </w:r>
      <w:r w:rsidRPr="00E472D9">
        <w:rPr>
          <w:rFonts w:asciiTheme="minorHAnsi" w:hAnsiTheme="minorHAnsi"/>
        </w:rPr>
        <w:t>Odbiorowi robót zanikających i ulegających zakryciu podlegają:</w:t>
      </w:r>
    </w:p>
    <w:p w:rsidR="0080788D" w:rsidRPr="00E472D9" w:rsidRDefault="0080788D" w:rsidP="000E55F0">
      <w:pPr>
        <w:ind w:left="-851" w:right="-851"/>
        <w:rPr>
          <w:rFonts w:asciiTheme="minorHAnsi" w:hAnsiTheme="minorHAnsi"/>
        </w:rPr>
      </w:pPr>
      <w:r w:rsidRPr="00E472D9">
        <w:rPr>
          <w:rFonts w:asciiTheme="minorHAnsi" w:hAnsiTheme="minorHAnsi"/>
        </w:rPr>
        <w:t>- wykonane koryto,</w:t>
      </w:r>
    </w:p>
    <w:p w:rsidR="0080788D" w:rsidRPr="00E472D9" w:rsidRDefault="0080788D" w:rsidP="000E55F0">
      <w:pPr>
        <w:ind w:left="-851" w:right="-851"/>
        <w:rPr>
          <w:rFonts w:asciiTheme="minorHAnsi" w:hAnsiTheme="minorHAnsi"/>
        </w:rPr>
      </w:pPr>
      <w:r w:rsidRPr="00E472D9">
        <w:rPr>
          <w:rFonts w:asciiTheme="minorHAnsi" w:hAnsiTheme="minorHAnsi"/>
        </w:rPr>
        <w:t>- wykonane obramowanie,</w:t>
      </w:r>
    </w:p>
    <w:p w:rsidR="0080788D" w:rsidRPr="00E472D9" w:rsidRDefault="0080788D" w:rsidP="000E55F0">
      <w:pPr>
        <w:ind w:left="-851" w:right="-851"/>
        <w:rPr>
          <w:rFonts w:asciiTheme="minorHAnsi" w:hAnsiTheme="minorHAnsi"/>
        </w:rPr>
      </w:pPr>
      <w:r w:rsidRPr="00E472D9">
        <w:rPr>
          <w:rFonts w:asciiTheme="minorHAnsi" w:hAnsiTheme="minorHAnsi"/>
        </w:rPr>
        <w:t>- wykonana podbudowa.</w:t>
      </w:r>
    </w:p>
    <w:p w:rsidR="0080788D" w:rsidRPr="00E472D9" w:rsidRDefault="0080788D" w:rsidP="000E55F0">
      <w:pPr>
        <w:ind w:left="-851" w:right="-851"/>
        <w:rPr>
          <w:rFonts w:asciiTheme="minorHAnsi" w:hAnsiTheme="minorHAnsi"/>
        </w:rPr>
      </w:pPr>
    </w:p>
    <w:p w:rsidR="0080788D" w:rsidRPr="00E472D9" w:rsidRDefault="0080788D" w:rsidP="000E55F0">
      <w:pPr>
        <w:ind w:left="-851" w:right="-851"/>
        <w:rPr>
          <w:rFonts w:asciiTheme="minorHAnsi" w:hAnsiTheme="minorHAnsi"/>
          <w:b/>
        </w:rPr>
      </w:pPr>
      <w:r w:rsidRPr="00E472D9">
        <w:rPr>
          <w:rFonts w:asciiTheme="minorHAnsi" w:hAnsiTheme="minorHAnsi"/>
          <w:b/>
        </w:rPr>
        <w:t>9. PODSTAWA PŁATNOŚCI</w:t>
      </w:r>
    </w:p>
    <w:p w:rsidR="0080788D" w:rsidRPr="00E472D9" w:rsidRDefault="0080788D" w:rsidP="000E55F0">
      <w:pPr>
        <w:ind w:left="-851" w:right="-851"/>
        <w:rPr>
          <w:rFonts w:asciiTheme="minorHAnsi" w:hAnsiTheme="minorHAnsi"/>
        </w:rPr>
      </w:pPr>
      <w:r w:rsidRPr="00E472D9">
        <w:rPr>
          <w:rFonts w:asciiTheme="minorHAnsi" w:hAnsiTheme="minorHAnsi"/>
          <w:b/>
        </w:rPr>
        <w:t>9.1.</w:t>
      </w:r>
      <w:r w:rsidRPr="00E472D9">
        <w:rPr>
          <w:rFonts w:asciiTheme="minorHAnsi" w:hAnsiTheme="minorHAnsi"/>
        </w:rPr>
        <w:t xml:space="preserve"> Ogólne ustalenia dotyczące podstawy płatności</w:t>
      </w:r>
    </w:p>
    <w:p w:rsidR="0080788D" w:rsidRPr="00E472D9" w:rsidRDefault="0080788D" w:rsidP="000E55F0">
      <w:pPr>
        <w:ind w:left="-851" w:right="-851"/>
        <w:rPr>
          <w:rFonts w:asciiTheme="minorHAnsi" w:hAnsiTheme="minorHAnsi"/>
        </w:rPr>
      </w:pPr>
      <w:r w:rsidRPr="00E472D9">
        <w:rPr>
          <w:rFonts w:asciiTheme="minorHAnsi" w:hAnsiTheme="minorHAnsi"/>
        </w:rPr>
        <w:tab/>
      </w:r>
      <w:r w:rsidR="00B14396">
        <w:rPr>
          <w:rFonts w:asciiTheme="minorHAnsi" w:hAnsiTheme="minorHAnsi"/>
        </w:rPr>
        <w:tab/>
      </w:r>
      <w:r w:rsidRPr="00E472D9">
        <w:rPr>
          <w:rFonts w:asciiTheme="minorHAnsi" w:hAnsiTheme="minorHAnsi"/>
        </w:rPr>
        <w:t>Ogólne ustalenia dotyczące podstawy płatności podano w ST D-M-00.00.00 „Wymagania ogólne” pkt 9.</w:t>
      </w:r>
    </w:p>
    <w:p w:rsidR="0080788D" w:rsidRPr="00E472D9" w:rsidRDefault="0080788D" w:rsidP="000E55F0">
      <w:pPr>
        <w:ind w:left="-851" w:right="-851"/>
        <w:rPr>
          <w:rFonts w:asciiTheme="minorHAnsi" w:hAnsiTheme="minorHAnsi"/>
        </w:rPr>
      </w:pPr>
      <w:r w:rsidRPr="00E472D9">
        <w:rPr>
          <w:rFonts w:asciiTheme="minorHAnsi" w:hAnsiTheme="minorHAnsi"/>
          <w:b/>
        </w:rPr>
        <w:t>9.2.</w:t>
      </w:r>
      <w:r w:rsidRPr="00E472D9">
        <w:rPr>
          <w:rFonts w:asciiTheme="minorHAnsi" w:hAnsiTheme="minorHAnsi"/>
        </w:rPr>
        <w:t xml:space="preserve"> Cena jednostki obmiarowej</w:t>
      </w:r>
    </w:p>
    <w:p w:rsidR="0080788D" w:rsidRPr="00E472D9" w:rsidRDefault="0080788D" w:rsidP="000E55F0">
      <w:pPr>
        <w:ind w:left="-851" w:right="-851"/>
        <w:rPr>
          <w:rFonts w:asciiTheme="minorHAnsi" w:hAnsiTheme="minorHAnsi"/>
        </w:rPr>
      </w:pPr>
      <w:r w:rsidRPr="00E472D9">
        <w:rPr>
          <w:rFonts w:asciiTheme="minorHAnsi" w:hAnsiTheme="minorHAnsi"/>
        </w:rPr>
        <w:tab/>
      </w:r>
      <w:r w:rsidR="00B14396">
        <w:rPr>
          <w:rFonts w:asciiTheme="minorHAnsi" w:hAnsiTheme="minorHAnsi"/>
        </w:rPr>
        <w:tab/>
      </w:r>
      <w:r w:rsidRPr="00E472D9">
        <w:rPr>
          <w:rFonts w:asciiTheme="minorHAnsi" w:hAnsiTheme="minorHAnsi"/>
        </w:rPr>
        <w:t>Cena wykonania 1 m2 wjazdu lub wyjazdu obejmuje:</w:t>
      </w:r>
    </w:p>
    <w:p w:rsidR="0080788D" w:rsidRPr="00E472D9" w:rsidRDefault="0080788D" w:rsidP="000E55F0">
      <w:pPr>
        <w:ind w:left="-851" w:right="-851"/>
        <w:rPr>
          <w:rFonts w:asciiTheme="minorHAnsi" w:hAnsiTheme="minorHAnsi"/>
        </w:rPr>
      </w:pPr>
      <w:r w:rsidRPr="00E472D9">
        <w:rPr>
          <w:rFonts w:asciiTheme="minorHAnsi" w:hAnsiTheme="minorHAnsi"/>
        </w:rPr>
        <w:t>- prace pomiarowe i roboty przygotowawcze,</w:t>
      </w:r>
    </w:p>
    <w:p w:rsidR="0080788D" w:rsidRPr="00E472D9" w:rsidRDefault="0080788D" w:rsidP="000E55F0">
      <w:pPr>
        <w:ind w:left="-851" w:right="-851"/>
        <w:rPr>
          <w:rFonts w:asciiTheme="minorHAnsi" w:hAnsiTheme="minorHAnsi"/>
        </w:rPr>
      </w:pPr>
      <w:r w:rsidRPr="00E472D9">
        <w:rPr>
          <w:rFonts w:asciiTheme="minorHAnsi" w:hAnsiTheme="minorHAnsi"/>
        </w:rPr>
        <w:t>- przygotowanie koryta i podłoża,</w:t>
      </w:r>
    </w:p>
    <w:p w:rsidR="0080788D" w:rsidRPr="00E472D9" w:rsidRDefault="0080788D" w:rsidP="000E55F0">
      <w:pPr>
        <w:ind w:left="-851" w:right="-851"/>
        <w:rPr>
          <w:rFonts w:asciiTheme="minorHAnsi" w:hAnsiTheme="minorHAnsi"/>
        </w:rPr>
      </w:pPr>
      <w:r w:rsidRPr="00E472D9">
        <w:rPr>
          <w:rFonts w:asciiTheme="minorHAnsi" w:hAnsiTheme="minorHAnsi"/>
        </w:rPr>
        <w:t>- wykonanie obramowania nawierzchni,</w:t>
      </w:r>
    </w:p>
    <w:p w:rsidR="0080788D" w:rsidRPr="00E472D9" w:rsidRDefault="0080788D" w:rsidP="000E55F0">
      <w:pPr>
        <w:ind w:left="-851" w:right="-851"/>
        <w:rPr>
          <w:rFonts w:asciiTheme="minorHAnsi" w:hAnsiTheme="minorHAnsi"/>
        </w:rPr>
      </w:pPr>
      <w:r w:rsidRPr="00E472D9">
        <w:rPr>
          <w:rFonts w:asciiTheme="minorHAnsi" w:hAnsiTheme="minorHAnsi"/>
        </w:rPr>
        <w:t>- wykonanie podbudowy,</w:t>
      </w:r>
    </w:p>
    <w:p w:rsidR="0080788D" w:rsidRPr="00E472D9" w:rsidRDefault="0080788D" w:rsidP="000E55F0">
      <w:pPr>
        <w:ind w:left="-851" w:right="-851"/>
        <w:rPr>
          <w:rFonts w:asciiTheme="minorHAnsi" w:hAnsiTheme="minorHAnsi"/>
        </w:rPr>
      </w:pPr>
      <w:r w:rsidRPr="00E472D9">
        <w:rPr>
          <w:rFonts w:asciiTheme="minorHAnsi" w:hAnsiTheme="minorHAnsi"/>
        </w:rPr>
        <w:t>- wykonanie nawierzchni łącznie z pielęgnacją,</w:t>
      </w:r>
    </w:p>
    <w:p w:rsidR="0080788D" w:rsidRPr="00E472D9" w:rsidRDefault="0080788D" w:rsidP="000E55F0">
      <w:pPr>
        <w:ind w:left="-851" w:right="-851"/>
        <w:rPr>
          <w:rFonts w:asciiTheme="minorHAnsi" w:hAnsiTheme="minorHAnsi"/>
        </w:rPr>
      </w:pPr>
      <w:r w:rsidRPr="00E472D9">
        <w:rPr>
          <w:rFonts w:asciiTheme="minorHAnsi" w:hAnsiTheme="minorHAnsi"/>
        </w:rPr>
        <w:t>- przeprowadzenie badań i pomiarów wymaganych w specyfikacji technicznej.</w:t>
      </w:r>
    </w:p>
    <w:p w:rsidR="0080788D" w:rsidRPr="00E472D9" w:rsidRDefault="0080788D" w:rsidP="000E55F0">
      <w:pPr>
        <w:ind w:left="-851" w:right="-851"/>
        <w:rPr>
          <w:rFonts w:asciiTheme="minorHAnsi" w:hAnsiTheme="minorHAnsi"/>
        </w:rPr>
      </w:pPr>
    </w:p>
    <w:p w:rsidR="0080788D" w:rsidRPr="00E472D9" w:rsidRDefault="0080788D" w:rsidP="000E55F0">
      <w:pPr>
        <w:ind w:left="-851" w:right="-851"/>
        <w:rPr>
          <w:rFonts w:asciiTheme="minorHAnsi" w:hAnsiTheme="minorHAnsi"/>
          <w:b/>
        </w:rPr>
      </w:pPr>
      <w:bookmarkStart w:id="1644" w:name="_Toc428323656"/>
      <w:r w:rsidRPr="00E472D9">
        <w:rPr>
          <w:rFonts w:asciiTheme="minorHAnsi" w:hAnsiTheme="minorHAnsi"/>
          <w:b/>
        </w:rPr>
        <w:t xml:space="preserve">10. </w:t>
      </w:r>
      <w:bookmarkEnd w:id="1644"/>
      <w:r w:rsidRPr="00E472D9">
        <w:rPr>
          <w:rFonts w:asciiTheme="minorHAnsi" w:hAnsiTheme="minorHAnsi"/>
          <w:b/>
        </w:rPr>
        <w:t>PRZEPISY ZWIĄZANE</w:t>
      </w:r>
    </w:p>
    <w:p w:rsidR="0080788D" w:rsidRPr="00E472D9" w:rsidRDefault="0080788D" w:rsidP="000E55F0">
      <w:pPr>
        <w:ind w:left="-851" w:right="-851"/>
        <w:rPr>
          <w:rFonts w:asciiTheme="minorHAnsi" w:hAnsiTheme="minorHAnsi"/>
        </w:rPr>
      </w:pPr>
      <w:r w:rsidRPr="00E472D9">
        <w:rPr>
          <w:rFonts w:asciiTheme="minorHAnsi" w:hAnsiTheme="minorHAnsi"/>
        </w:rPr>
        <w:t>Normy</w:t>
      </w:r>
    </w:p>
    <w:tbl>
      <w:tblPr>
        <w:tblW w:w="0" w:type="auto"/>
        <w:tblInd w:w="-781" w:type="dxa"/>
        <w:tblLayout w:type="fixed"/>
        <w:tblCellMar>
          <w:left w:w="70" w:type="dxa"/>
          <w:right w:w="70" w:type="dxa"/>
        </w:tblCellMar>
        <w:tblLook w:val="0000"/>
      </w:tblPr>
      <w:tblGrid>
        <w:gridCol w:w="637"/>
        <w:gridCol w:w="1843"/>
        <w:gridCol w:w="5029"/>
      </w:tblGrid>
      <w:tr w:rsidR="00B14396" w:rsidRPr="00D82290" w:rsidTr="00B14396">
        <w:tblPrEx>
          <w:tblCellMar>
            <w:top w:w="0" w:type="dxa"/>
            <w:bottom w:w="0" w:type="dxa"/>
          </w:tblCellMar>
        </w:tblPrEx>
        <w:tc>
          <w:tcPr>
            <w:tcW w:w="637" w:type="dxa"/>
          </w:tcPr>
          <w:p w:rsidR="00B14396" w:rsidRPr="00D82290" w:rsidRDefault="00B14396" w:rsidP="00ED53FE">
            <w:pPr>
              <w:rPr>
                <w:rFonts w:ascii="Calibri" w:hAnsi="Calibri"/>
              </w:rPr>
            </w:pPr>
            <w:r w:rsidRPr="00D82290">
              <w:rPr>
                <w:rFonts w:ascii="Calibri" w:hAnsi="Calibri"/>
              </w:rPr>
              <w:t>1.</w:t>
            </w:r>
          </w:p>
        </w:tc>
        <w:tc>
          <w:tcPr>
            <w:tcW w:w="1843" w:type="dxa"/>
          </w:tcPr>
          <w:p w:rsidR="00B14396" w:rsidRPr="00D82290" w:rsidRDefault="00B14396" w:rsidP="00ED53FE">
            <w:pPr>
              <w:rPr>
                <w:rFonts w:ascii="Calibri" w:hAnsi="Calibri"/>
              </w:rPr>
            </w:pPr>
            <w:r w:rsidRPr="00D82290">
              <w:rPr>
                <w:rFonts w:ascii="Calibri" w:hAnsi="Calibri"/>
              </w:rPr>
              <w:t>PN-B-06050</w:t>
            </w:r>
          </w:p>
        </w:tc>
        <w:tc>
          <w:tcPr>
            <w:tcW w:w="5029" w:type="dxa"/>
          </w:tcPr>
          <w:p w:rsidR="00B14396" w:rsidRPr="00D82290" w:rsidRDefault="00B14396" w:rsidP="00ED53FE">
            <w:pPr>
              <w:rPr>
                <w:rFonts w:ascii="Calibri" w:hAnsi="Calibri"/>
              </w:rPr>
            </w:pPr>
            <w:r w:rsidRPr="00D82290">
              <w:rPr>
                <w:rFonts w:ascii="Calibri" w:hAnsi="Calibri"/>
              </w:rPr>
              <w:t>Roboty ziemne budowlane</w:t>
            </w:r>
          </w:p>
        </w:tc>
      </w:tr>
      <w:tr w:rsidR="00B14396" w:rsidRPr="00D82290" w:rsidTr="00B14396">
        <w:tblPrEx>
          <w:tblCellMar>
            <w:top w:w="0" w:type="dxa"/>
            <w:bottom w:w="0" w:type="dxa"/>
          </w:tblCellMar>
        </w:tblPrEx>
        <w:tc>
          <w:tcPr>
            <w:tcW w:w="637" w:type="dxa"/>
          </w:tcPr>
          <w:p w:rsidR="00B14396" w:rsidRPr="00D82290" w:rsidRDefault="00B14396" w:rsidP="00ED53FE">
            <w:pPr>
              <w:rPr>
                <w:rFonts w:ascii="Calibri" w:hAnsi="Calibri"/>
              </w:rPr>
            </w:pPr>
            <w:r w:rsidRPr="00D82290">
              <w:rPr>
                <w:rFonts w:ascii="Calibri" w:hAnsi="Calibri"/>
              </w:rPr>
              <w:t>2.</w:t>
            </w:r>
          </w:p>
        </w:tc>
        <w:tc>
          <w:tcPr>
            <w:tcW w:w="1843" w:type="dxa"/>
          </w:tcPr>
          <w:p w:rsidR="00B14396" w:rsidRPr="00D82290" w:rsidRDefault="00B14396" w:rsidP="00ED53FE">
            <w:pPr>
              <w:rPr>
                <w:rFonts w:ascii="Calibri" w:hAnsi="Calibri"/>
              </w:rPr>
            </w:pPr>
            <w:r w:rsidRPr="00D82290">
              <w:rPr>
                <w:rFonts w:ascii="Calibri" w:hAnsi="Calibri"/>
              </w:rPr>
              <w:t>PN-B-06250</w:t>
            </w:r>
          </w:p>
        </w:tc>
        <w:tc>
          <w:tcPr>
            <w:tcW w:w="5029" w:type="dxa"/>
          </w:tcPr>
          <w:p w:rsidR="00B14396" w:rsidRPr="00D82290" w:rsidRDefault="00B14396" w:rsidP="00ED53FE">
            <w:pPr>
              <w:rPr>
                <w:rFonts w:ascii="Calibri" w:hAnsi="Calibri"/>
              </w:rPr>
            </w:pPr>
            <w:r w:rsidRPr="00D82290">
              <w:rPr>
                <w:rFonts w:ascii="Calibri" w:hAnsi="Calibri"/>
              </w:rPr>
              <w:t>Beton zwykły</w:t>
            </w:r>
          </w:p>
        </w:tc>
      </w:tr>
      <w:tr w:rsidR="00B14396" w:rsidRPr="00D82290" w:rsidTr="00B14396">
        <w:tblPrEx>
          <w:tblCellMar>
            <w:top w:w="0" w:type="dxa"/>
            <w:bottom w:w="0" w:type="dxa"/>
          </w:tblCellMar>
        </w:tblPrEx>
        <w:tc>
          <w:tcPr>
            <w:tcW w:w="637" w:type="dxa"/>
          </w:tcPr>
          <w:p w:rsidR="00B14396" w:rsidRPr="00D82290" w:rsidRDefault="00B14396" w:rsidP="00ED53FE">
            <w:pPr>
              <w:rPr>
                <w:rFonts w:ascii="Calibri" w:hAnsi="Calibri"/>
              </w:rPr>
            </w:pPr>
            <w:r w:rsidRPr="00D82290">
              <w:rPr>
                <w:rFonts w:ascii="Calibri" w:hAnsi="Calibri"/>
              </w:rPr>
              <w:t>3.</w:t>
            </w:r>
          </w:p>
        </w:tc>
        <w:tc>
          <w:tcPr>
            <w:tcW w:w="1843" w:type="dxa"/>
          </w:tcPr>
          <w:p w:rsidR="00B14396" w:rsidRPr="00D82290" w:rsidRDefault="00B14396" w:rsidP="00ED53FE">
            <w:pPr>
              <w:rPr>
                <w:rFonts w:ascii="Calibri" w:hAnsi="Calibri"/>
              </w:rPr>
            </w:pPr>
            <w:r w:rsidRPr="00D82290">
              <w:rPr>
                <w:rFonts w:ascii="Calibri" w:hAnsi="Calibri"/>
              </w:rPr>
              <w:t>PN-B-06711</w:t>
            </w:r>
          </w:p>
        </w:tc>
        <w:tc>
          <w:tcPr>
            <w:tcW w:w="5029" w:type="dxa"/>
          </w:tcPr>
          <w:p w:rsidR="00B14396" w:rsidRPr="00D82290" w:rsidRDefault="00B14396" w:rsidP="00ED53FE">
            <w:pPr>
              <w:rPr>
                <w:rFonts w:ascii="Calibri" w:hAnsi="Calibri"/>
              </w:rPr>
            </w:pPr>
            <w:r w:rsidRPr="00D82290">
              <w:rPr>
                <w:rFonts w:ascii="Calibri" w:hAnsi="Calibri"/>
              </w:rPr>
              <w:t>Kruszywa mineralne. Piaski do zapraw budowlanych</w:t>
            </w:r>
          </w:p>
        </w:tc>
      </w:tr>
      <w:tr w:rsidR="00B14396" w:rsidRPr="00D82290" w:rsidTr="00B14396">
        <w:tblPrEx>
          <w:tblCellMar>
            <w:top w:w="0" w:type="dxa"/>
            <w:bottom w:w="0" w:type="dxa"/>
          </w:tblCellMar>
        </w:tblPrEx>
        <w:tc>
          <w:tcPr>
            <w:tcW w:w="637" w:type="dxa"/>
          </w:tcPr>
          <w:p w:rsidR="00B14396" w:rsidRPr="00D82290" w:rsidRDefault="00B14396" w:rsidP="00ED53FE">
            <w:pPr>
              <w:rPr>
                <w:rFonts w:ascii="Calibri" w:hAnsi="Calibri"/>
              </w:rPr>
            </w:pPr>
            <w:r w:rsidRPr="00D82290">
              <w:rPr>
                <w:rFonts w:ascii="Calibri" w:hAnsi="Calibri"/>
              </w:rPr>
              <w:t>4.</w:t>
            </w:r>
          </w:p>
        </w:tc>
        <w:tc>
          <w:tcPr>
            <w:tcW w:w="1843" w:type="dxa"/>
          </w:tcPr>
          <w:p w:rsidR="00B14396" w:rsidRPr="00D82290" w:rsidRDefault="00B14396" w:rsidP="00ED53FE">
            <w:pPr>
              <w:rPr>
                <w:rFonts w:ascii="Calibri" w:hAnsi="Calibri"/>
              </w:rPr>
            </w:pPr>
            <w:r w:rsidRPr="00D82290">
              <w:rPr>
                <w:rFonts w:ascii="Calibri" w:hAnsi="Calibri"/>
              </w:rPr>
              <w:t>PN-B-06712</w:t>
            </w:r>
          </w:p>
        </w:tc>
        <w:tc>
          <w:tcPr>
            <w:tcW w:w="5029" w:type="dxa"/>
          </w:tcPr>
          <w:p w:rsidR="00B14396" w:rsidRPr="00D82290" w:rsidRDefault="00B14396" w:rsidP="00ED53FE">
            <w:pPr>
              <w:rPr>
                <w:rFonts w:ascii="Calibri" w:hAnsi="Calibri"/>
              </w:rPr>
            </w:pPr>
            <w:r w:rsidRPr="00D82290">
              <w:rPr>
                <w:rFonts w:ascii="Calibri" w:hAnsi="Calibri"/>
              </w:rPr>
              <w:t>Kruszywa mineralne do betonu</w:t>
            </w:r>
          </w:p>
        </w:tc>
      </w:tr>
      <w:tr w:rsidR="00B14396" w:rsidRPr="00D82290" w:rsidTr="00B14396">
        <w:tblPrEx>
          <w:tblCellMar>
            <w:top w:w="0" w:type="dxa"/>
            <w:bottom w:w="0" w:type="dxa"/>
          </w:tblCellMar>
        </w:tblPrEx>
        <w:tc>
          <w:tcPr>
            <w:tcW w:w="637" w:type="dxa"/>
          </w:tcPr>
          <w:p w:rsidR="00B14396" w:rsidRPr="00D82290" w:rsidRDefault="00B14396" w:rsidP="00ED53FE">
            <w:pPr>
              <w:rPr>
                <w:rFonts w:ascii="Calibri" w:hAnsi="Calibri"/>
              </w:rPr>
            </w:pPr>
            <w:r w:rsidRPr="00D82290">
              <w:rPr>
                <w:rFonts w:ascii="Calibri" w:hAnsi="Calibri"/>
              </w:rPr>
              <w:lastRenderedPageBreak/>
              <w:t>5.</w:t>
            </w:r>
          </w:p>
        </w:tc>
        <w:tc>
          <w:tcPr>
            <w:tcW w:w="1843" w:type="dxa"/>
          </w:tcPr>
          <w:p w:rsidR="00B14396" w:rsidRPr="00D82290" w:rsidRDefault="00B14396" w:rsidP="00ED53FE">
            <w:pPr>
              <w:rPr>
                <w:rFonts w:ascii="Calibri" w:hAnsi="Calibri"/>
              </w:rPr>
            </w:pPr>
            <w:r w:rsidRPr="00D82290">
              <w:rPr>
                <w:rFonts w:ascii="Calibri" w:hAnsi="Calibri"/>
              </w:rPr>
              <w:t>PN-B-11111</w:t>
            </w:r>
          </w:p>
        </w:tc>
        <w:tc>
          <w:tcPr>
            <w:tcW w:w="5029" w:type="dxa"/>
          </w:tcPr>
          <w:p w:rsidR="00B14396" w:rsidRPr="00D82290" w:rsidRDefault="00B14396" w:rsidP="00ED53FE">
            <w:pPr>
              <w:rPr>
                <w:rFonts w:ascii="Calibri" w:hAnsi="Calibri"/>
              </w:rPr>
            </w:pPr>
            <w:r w:rsidRPr="00D82290">
              <w:rPr>
                <w:rFonts w:ascii="Calibri" w:hAnsi="Calibri"/>
              </w:rPr>
              <w:t>Kruszywa mineralne. Kruszywa naturalne do nawierzchni drogowych. Żwir i mieszanka</w:t>
            </w:r>
          </w:p>
        </w:tc>
      </w:tr>
      <w:tr w:rsidR="00B14396" w:rsidRPr="00D82290" w:rsidTr="00B14396">
        <w:tblPrEx>
          <w:tblCellMar>
            <w:top w:w="0" w:type="dxa"/>
            <w:bottom w:w="0" w:type="dxa"/>
          </w:tblCellMar>
        </w:tblPrEx>
        <w:tc>
          <w:tcPr>
            <w:tcW w:w="637" w:type="dxa"/>
          </w:tcPr>
          <w:p w:rsidR="00B14396" w:rsidRPr="00D82290" w:rsidRDefault="00B14396" w:rsidP="00ED53FE">
            <w:pPr>
              <w:rPr>
                <w:rFonts w:ascii="Calibri" w:hAnsi="Calibri"/>
              </w:rPr>
            </w:pPr>
            <w:r w:rsidRPr="00D82290">
              <w:rPr>
                <w:rFonts w:ascii="Calibri" w:hAnsi="Calibri"/>
              </w:rPr>
              <w:t>6.</w:t>
            </w:r>
          </w:p>
        </w:tc>
        <w:tc>
          <w:tcPr>
            <w:tcW w:w="1843" w:type="dxa"/>
          </w:tcPr>
          <w:p w:rsidR="00B14396" w:rsidRPr="00D82290" w:rsidRDefault="00B14396" w:rsidP="00ED53FE">
            <w:pPr>
              <w:rPr>
                <w:rFonts w:ascii="Calibri" w:hAnsi="Calibri"/>
              </w:rPr>
            </w:pPr>
            <w:r w:rsidRPr="00D82290">
              <w:rPr>
                <w:rFonts w:ascii="Calibri" w:hAnsi="Calibri"/>
              </w:rPr>
              <w:t>PN-B-11112</w:t>
            </w:r>
          </w:p>
        </w:tc>
        <w:tc>
          <w:tcPr>
            <w:tcW w:w="5029" w:type="dxa"/>
          </w:tcPr>
          <w:p w:rsidR="00B14396" w:rsidRPr="00D82290" w:rsidRDefault="00B14396" w:rsidP="00ED53FE">
            <w:pPr>
              <w:rPr>
                <w:rFonts w:ascii="Calibri" w:hAnsi="Calibri"/>
              </w:rPr>
            </w:pPr>
            <w:r w:rsidRPr="00D82290">
              <w:rPr>
                <w:rFonts w:ascii="Calibri" w:hAnsi="Calibri"/>
              </w:rPr>
              <w:t>Kruszywa mineralne. Kruszywo łamane do nawierzchni drogowych</w:t>
            </w:r>
          </w:p>
        </w:tc>
      </w:tr>
      <w:tr w:rsidR="00B14396" w:rsidRPr="00D82290" w:rsidTr="00B14396">
        <w:tblPrEx>
          <w:tblCellMar>
            <w:top w:w="0" w:type="dxa"/>
            <w:bottom w:w="0" w:type="dxa"/>
          </w:tblCellMar>
        </w:tblPrEx>
        <w:tc>
          <w:tcPr>
            <w:tcW w:w="637" w:type="dxa"/>
          </w:tcPr>
          <w:p w:rsidR="00B14396" w:rsidRPr="00D82290" w:rsidRDefault="00B14396" w:rsidP="00ED53FE">
            <w:pPr>
              <w:rPr>
                <w:rFonts w:ascii="Calibri" w:hAnsi="Calibri"/>
              </w:rPr>
            </w:pPr>
            <w:r w:rsidRPr="00D82290">
              <w:rPr>
                <w:rFonts w:ascii="Calibri" w:hAnsi="Calibri"/>
              </w:rPr>
              <w:t>7.</w:t>
            </w:r>
          </w:p>
        </w:tc>
        <w:tc>
          <w:tcPr>
            <w:tcW w:w="1843" w:type="dxa"/>
          </w:tcPr>
          <w:p w:rsidR="00B14396" w:rsidRPr="00D82290" w:rsidRDefault="00B14396" w:rsidP="00ED53FE">
            <w:pPr>
              <w:rPr>
                <w:rFonts w:ascii="Calibri" w:hAnsi="Calibri"/>
              </w:rPr>
            </w:pPr>
            <w:r w:rsidRPr="00D82290">
              <w:rPr>
                <w:rFonts w:ascii="Calibri" w:hAnsi="Calibri"/>
              </w:rPr>
              <w:t>PN-B-11113</w:t>
            </w:r>
          </w:p>
        </w:tc>
        <w:tc>
          <w:tcPr>
            <w:tcW w:w="5029" w:type="dxa"/>
          </w:tcPr>
          <w:p w:rsidR="00B14396" w:rsidRPr="00D82290" w:rsidRDefault="00B14396" w:rsidP="00ED53FE">
            <w:pPr>
              <w:rPr>
                <w:rFonts w:ascii="Calibri" w:hAnsi="Calibri"/>
              </w:rPr>
            </w:pPr>
            <w:r w:rsidRPr="00D82290">
              <w:rPr>
                <w:rFonts w:ascii="Calibri" w:hAnsi="Calibri"/>
              </w:rPr>
              <w:t>Kruszywa  mineralne. Kruszywo naturalne do nawierzchni drogowych. Piasek</w:t>
            </w:r>
          </w:p>
        </w:tc>
      </w:tr>
      <w:tr w:rsidR="00B14396" w:rsidRPr="00D82290" w:rsidTr="00B14396">
        <w:tblPrEx>
          <w:tblCellMar>
            <w:top w:w="0" w:type="dxa"/>
            <w:bottom w:w="0" w:type="dxa"/>
          </w:tblCellMar>
        </w:tblPrEx>
        <w:tc>
          <w:tcPr>
            <w:tcW w:w="637" w:type="dxa"/>
          </w:tcPr>
          <w:p w:rsidR="00B14396" w:rsidRPr="00D82290" w:rsidRDefault="00B14396" w:rsidP="00ED53FE">
            <w:pPr>
              <w:rPr>
                <w:rFonts w:ascii="Calibri" w:hAnsi="Calibri"/>
              </w:rPr>
            </w:pPr>
            <w:r w:rsidRPr="00D82290">
              <w:rPr>
                <w:rFonts w:ascii="Calibri" w:hAnsi="Calibri"/>
              </w:rPr>
              <w:t>8.</w:t>
            </w:r>
          </w:p>
        </w:tc>
        <w:tc>
          <w:tcPr>
            <w:tcW w:w="1843" w:type="dxa"/>
          </w:tcPr>
          <w:p w:rsidR="00B14396" w:rsidRPr="00D82290" w:rsidRDefault="00B14396" w:rsidP="00ED53FE">
            <w:pPr>
              <w:rPr>
                <w:rFonts w:ascii="Calibri" w:hAnsi="Calibri"/>
              </w:rPr>
            </w:pPr>
            <w:r w:rsidRPr="00D82290">
              <w:rPr>
                <w:rFonts w:ascii="Calibri" w:hAnsi="Calibri"/>
              </w:rPr>
              <w:t>PN-B-19701</w:t>
            </w:r>
          </w:p>
        </w:tc>
        <w:tc>
          <w:tcPr>
            <w:tcW w:w="5029" w:type="dxa"/>
          </w:tcPr>
          <w:p w:rsidR="00B14396" w:rsidRPr="00D82290" w:rsidRDefault="00B14396" w:rsidP="00ED53FE">
            <w:pPr>
              <w:rPr>
                <w:rFonts w:ascii="Calibri" w:hAnsi="Calibri"/>
              </w:rPr>
            </w:pPr>
            <w:r w:rsidRPr="00D82290">
              <w:rPr>
                <w:rFonts w:ascii="Calibri" w:hAnsi="Calibri"/>
              </w:rPr>
              <w:t>Cement. Cement powszechnego użytku. Skład, wymagania i ocena zgodności</w:t>
            </w:r>
          </w:p>
        </w:tc>
      </w:tr>
      <w:tr w:rsidR="00B14396" w:rsidRPr="00D82290" w:rsidTr="00B14396">
        <w:tblPrEx>
          <w:tblCellMar>
            <w:top w:w="0" w:type="dxa"/>
            <w:bottom w:w="0" w:type="dxa"/>
          </w:tblCellMar>
        </w:tblPrEx>
        <w:tc>
          <w:tcPr>
            <w:tcW w:w="637" w:type="dxa"/>
          </w:tcPr>
          <w:p w:rsidR="00B14396" w:rsidRPr="00D82290" w:rsidRDefault="00B14396" w:rsidP="00ED53FE">
            <w:pPr>
              <w:rPr>
                <w:rFonts w:ascii="Calibri" w:hAnsi="Calibri"/>
              </w:rPr>
            </w:pPr>
            <w:r w:rsidRPr="00D82290">
              <w:rPr>
                <w:rFonts w:ascii="Calibri" w:hAnsi="Calibri"/>
              </w:rPr>
              <w:t>9.</w:t>
            </w:r>
          </w:p>
        </w:tc>
        <w:tc>
          <w:tcPr>
            <w:tcW w:w="1843" w:type="dxa"/>
          </w:tcPr>
          <w:p w:rsidR="00B14396" w:rsidRPr="00D82290" w:rsidRDefault="00B14396" w:rsidP="00ED53FE">
            <w:pPr>
              <w:rPr>
                <w:rFonts w:ascii="Calibri" w:hAnsi="Calibri"/>
              </w:rPr>
            </w:pPr>
            <w:r w:rsidRPr="00D82290">
              <w:rPr>
                <w:rFonts w:ascii="Calibri" w:hAnsi="Calibri"/>
              </w:rPr>
              <w:t>PN-B-32250</w:t>
            </w:r>
          </w:p>
        </w:tc>
        <w:tc>
          <w:tcPr>
            <w:tcW w:w="5029" w:type="dxa"/>
          </w:tcPr>
          <w:p w:rsidR="00B14396" w:rsidRPr="00D82290" w:rsidRDefault="00B14396" w:rsidP="00ED53FE">
            <w:pPr>
              <w:rPr>
                <w:rFonts w:ascii="Calibri" w:hAnsi="Calibri"/>
              </w:rPr>
            </w:pPr>
            <w:r w:rsidRPr="00D82290">
              <w:rPr>
                <w:rFonts w:ascii="Calibri" w:hAnsi="Calibri"/>
              </w:rPr>
              <w:t>Materiały budowlane. Woda do betonów i zapraw</w:t>
            </w:r>
          </w:p>
        </w:tc>
      </w:tr>
      <w:tr w:rsidR="00B14396" w:rsidRPr="00D82290" w:rsidTr="00B14396">
        <w:tblPrEx>
          <w:tblCellMar>
            <w:top w:w="0" w:type="dxa"/>
            <w:bottom w:w="0" w:type="dxa"/>
          </w:tblCellMar>
        </w:tblPrEx>
        <w:tc>
          <w:tcPr>
            <w:tcW w:w="637" w:type="dxa"/>
          </w:tcPr>
          <w:p w:rsidR="00B14396" w:rsidRPr="00D82290" w:rsidRDefault="00B14396" w:rsidP="00ED53FE">
            <w:pPr>
              <w:rPr>
                <w:rFonts w:ascii="Calibri" w:hAnsi="Calibri"/>
              </w:rPr>
            </w:pPr>
            <w:r w:rsidRPr="00D82290">
              <w:rPr>
                <w:rFonts w:ascii="Calibri" w:hAnsi="Calibri"/>
              </w:rPr>
              <w:t>10.</w:t>
            </w:r>
          </w:p>
        </w:tc>
        <w:tc>
          <w:tcPr>
            <w:tcW w:w="1843" w:type="dxa"/>
          </w:tcPr>
          <w:p w:rsidR="00B14396" w:rsidRPr="00D82290" w:rsidRDefault="00B14396" w:rsidP="00ED53FE">
            <w:pPr>
              <w:rPr>
                <w:rFonts w:ascii="Calibri" w:hAnsi="Calibri"/>
              </w:rPr>
            </w:pPr>
            <w:r w:rsidRPr="00D82290">
              <w:rPr>
                <w:rFonts w:ascii="Calibri" w:hAnsi="Calibri"/>
              </w:rPr>
              <w:t>BN-80/6775-03/01</w:t>
            </w:r>
          </w:p>
        </w:tc>
        <w:tc>
          <w:tcPr>
            <w:tcW w:w="5029" w:type="dxa"/>
          </w:tcPr>
          <w:p w:rsidR="00B14396" w:rsidRPr="00D82290" w:rsidRDefault="00B14396" w:rsidP="00ED53FE">
            <w:pPr>
              <w:rPr>
                <w:rFonts w:ascii="Calibri" w:hAnsi="Calibri"/>
              </w:rPr>
            </w:pPr>
            <w:r w:rsidRPr="00D82290">
              <w:rPr>
                <w:rFonts w:ascii="Calibri" w:hAnsi="Calibri"/>
              </w:rPr>
              <w:t>Prefabrykaty budowlane z betonu. Elementy nawierzchni dróg, ulic, parkingów i torowisk tramwajowych. Wspólne wymagania</w:t>
            </w:r>
          </w:p>
        </w:tc>
      </w:tr>
      <w:tr w:rsidR="00B14396" w:rsidRPr="00D82290" w:rsidTr="00B14396">
        <w:tblPrEx>
          <w:tblCellMar>
            <w:top w:w="0" w:type="dxa"/>
            <w:bottom w:w="0" w:type="dxa"/>
          </w:tblCellMar>
        </w:tblPrEx>
        <w:tc>
          <w:tcPr>
            <w:tcW w:w="637" w:type="dxa"/>
          </w:tcPr>
          <w:p w:rsidR="00B14396" w:rsidRPr="00D82290" w:rsidRDefault="00B14396" w:rsidP="00ED53FE">
            <w:pPr>
              <w:rPr>
                <w:rFonts w:ascii="Calibri" w:hAnsi="Calibri"/>
              </w:rPr>
            </w:pPr>
          </w:p>
        </w:tc>
        <w:tc>
          <w:tcPr>
            <w:tcW w:w="1843" w:type="dxa"/>
          </w:tcPr>
          <w:p w:rsidR="00B14396" w:rsidRPr="00D82290" w:rsidRDefault="00B14396" w:rsidP="00ED53FE">
            <w:pPr>
              <w:rPr>
                <w:rFonts w:ascii="Calibri" w:hAnsi="Calibri"/>
              </w:rPr>
            </w:pPr>
          </w:p>
        </w:tc>
        <w:tc>
          <w:tcPr>
            <w:tcW w:w="5029" w:type="dxa"/>
          </w:tcPr>
          <w:p w:rsidR="00B14396" w:rsidRPr="00D82290" w:rsidRDefault="00B14396" w:rsidP="00ED53FE">
            <w:pPr>
              <w:rPr>
                <w:rFonts w:ascii="Calibri" w:hAnsi="Calibri"/>
              </w:rPr>
            </w:pPr>
          </w:p>
        </w:tc>
      </w:tr>
    </w:tbl>
    <w:p w:rsidR="0073077E" w:rsidRDefault="0073077E" w:rsidP="000E55F0">
      <w:pPr>
        <w:spacing w:after="120"/>
        <w:ind w:left="-851" w:right="-851"/>
      </w:pPr>
    </w:p>
    <w:p w:rsidR="0073077E" w:rsidRDefault="0073077E" w:rsidP="000E55F0">
      <w:pPr>
        <w:spacing w:after="120"/>
        <w:ind w:left="-851" w:right="-851"/>
      </w:pPr>
    </w:p>
    <w:p w:rsidR="0073077E" w:rsidRDefault="0073077E" w:rsidP="000E55F0">
      <w:pPr>
        <w:spacing w:after="120"/>
        <w:ind w:left="-851" w:right="-851"/>
      </w:pPr>
    </w:p>
    <w:p w:rsidR="001A74FB" w:rsidRDefault="001A74FB" w:rsidP="000E55F0">
      <w:pPr>
        <w:spacing w:after="120"/>
        <w:ind w:left="-851" w:right="-851"/>
      </w:pPr>
    </w:p>
    <w:p w:rsidR="001A74FB" w:rsidRDefault="001A74FB" w:rsidP="000E55F0">
      <w:pPr>
        <w:spacing w:after="120"/>
        <w:ind w:left="-851" w:right="-851"/>
      </w:pPr>
    </w:p>
    <w:p w:rsidR="001A74FB" w:rsidRDefault="001A74FB" w:rsidP="000E55F0">
      <w:pPr>
        <w:spacing w:after="120"/>
        <w:ind w:left="-851" w:right="-851"/>
      </w:pPr>
    </w:p>
    <w:p w:rsidR="001A74FB" w:rsidRDefault="001A74FB" w:rsidP="000E55F0">
      <w:pPr>
        <w:spacing w:after="120"/>
        <w:ind w:left="-851" w:right="-851"/>
      </w:pPr>
    </w:p>
    <w:p w:rsidR="001A74FB" w:rsidRDefault="001A74FB" w:rsidP="000E55F0">
      <w:pPr>
        <w:spacing w:after="120"/>
        <w:ind w:left="-851" w:right="-851"/>
      </w:pPr>
    </w:p>
    <w:p w:rsidR="001A74FB" w:rsidRDefault="001A74FB" w:rsidP="000E55F0">
      <w:pPr>
        <w:spacing w:after="120"/>
        <w:ind w:left="-851" w:right="-851"/>
      </w:pPr>
    </w:p>
    <w:p w:rsidR="001A74FB" w:rsidRDefault="001A74FB" w:rsidP="000E55F0">
      <w:pPr>
        <w:spacing w:after="120"/>
        <w:ind w:left="-851" w:right="-851"/>
      </w:pPr>
    </w:p>
    <w:p w:rsidR="00B97A47" w:rsidRDefault="00B97A47" w:rsidP="000E55F0">
      <w:pPr>
        <w:spacing w:after="120"/>
        <w:ind w:left="-851" w:right="-851"/>
      </w:pPr>
    </w:p>
    <w:p w:rsidR="00B97A47" w:rsidRDefault="00B97A47" w:rsidP="000E55F0">
      <w:pPr>
        <w:spacing w:after="120"/>
        <w:ind w:left="-851" w:right="-851"/>
      </w:pPr>
    </w:p>
    <w:p w:rsidR="00B97A47" w:rsidRDefault="00B97A47" w:rsidP="000E55F0">
      <w:pPr>
        <w:spacing w:after="120"/>
        <w:ind w:left="-851" w:right="-851"/>
      </w:pPr>
    </w:p>
    <w:p w:rsidR="00B97A47" w:rsidRDefault="00B97A47" w:rsidP="000E55F0">
      <w:pPr>
        <w:spacing w:after="120"/>
        <w:ind w:left="-851" w:right="-851"/>
      </w:pPr>
    </w:p>
    <w:p w:rsidR="00B97A47" w:rsidRDefault="00B97A47" w:rsidP="000E55F0">
      <w:pPr>
        <w:spacing w:after="120"/>
        <w:ind w:left="-851" w:right="-851"/>
      </w:pPr>
    </w:p>
    <w:p w:rsidR="00B97A47" w:rsidRDefault="00B97A47" w:rsidP="000E55F0">
      <w:pPr>
        <w:spacing w:after="120"/>
        <w:ind w:left="-851" w:right="-851"/>
      </w:pPr>
    </w:p>
    <w:p w:rsidR="00B97A47" w:rsidRDefault="00B97A47" w:rsidP="000E55F0">
      <w:pPr>
        <w:spacing w:after="120"/>
        <w:ind w:left="-851" w:right="-851"/>
      </w:pPr>
    </w:p>
    <w:p w:rsidR="00B97A47" w:rsidRDefault="00B97A47" w:rsidP="000E55F0">
      <w:pPr>
        <w:spacing w:after="120"/>
        <w:ind w:left="-851" w:right="-851"/>
      </w:pPr>
    </w:p>
    <w:p w:rsidR="00B97A47" w:rsidRDefault="00B97A47" w:rsidP="000E55F0">
      <w:pPr>
        <w:spacing w:after="120"/>
        <w:ind w:left="-851" w:right="-851"/>
      </w:pPr>
    </w:p>
    <w:p w:rsidR="00B97A47" w:rsidRDefault="00B97A47" w:rsidP="000E55F0">
      <w:pPr>
        <w:spacing w:after="120"/>
        <w:ind w:left="-851" w:right="-851"/>
      </w:pPr>
    </w:p>
    <w:p w:rsidR="00B97A47" w:rsidRDefault="00B97A47" w:rsidP="000E55F0">
      <w:pPr>
        <w:spacing w:after="120"/>
        <w:ind w:left="-851" w:right="-851"/>
      </w:pPr>
    </w:p>
    <w:p w:rsidR="00B97A47" w:rsidRDefault="00B97A47" w:rsidP="000E55F0">
      <w:pPr>
        <w:spacing w:after="120"/>
        <w:ind w:left="-851" w:right="-851"/>
      </w:pPr>
    </w:p>
    <w:p w:rsidR="00B97A47" w:rsidRDefault="00B97A47" w:rsidP="000E55F0">
      <w:pPr>
        <w:spacing w:after="120"/>
        <w:ind w:left="-851" w:right="-851"/>
      </w:pPr>
    </w:p>
    <w:p w:rsidR="00B97A47" w:rsidRDefault="00B97A47" w:rsidP="000E55F0">
      <w:pPr>
        <w:spacing w:after="120"/>
        <w:ind w:left="-851" w:right="-851"/>
      </w:pPr>
    </w:p>
    <w:p w:rsidR="00B97A47" w:rsidRDefault="00B97A47" w:rsidP="000E55F0">
      <w:pPr>
        <w:spacing w:after="120"/>
        <w:ind w:left="-851" w:right="-851"/>
      </w:pPr>
    </w:p>
    <w:p w:rsidR="00B97A47" w:rsidRDefault="00B97A47" w:rsidP="000E55F0">
      <w:pPr>
        <w:spacing w:after="120"/>
        <w:ind w:left="-851" w:right="-851"/>
      </w:pPr>
    </w:p>
    <w:p w:rsidR="00B97A47" w:rsidRDefault="00B97A47" w:rsidP="000E55F0">
      <w:pPr>
        <w:spacing w:after="120"/>
        <w:ind w:left="-851" w:right="-851"/>
      </w:pPr>
    </w:p>
    <w:p w:rsidR="00B97A47" w:rsidRDefault="00B97A47" w:rsidP="000E55F0">
      <w:pPr>
        <w:spacing w:after="120"/>
        <w:ind w:left="-851" w:right="-851"/>
      </w:pPr>
    </w:p>
    <w:p w:rsidR="00B97A47" w:rsidRDefault="00B97A47" w:rsidP="000E55F0">
      <w:pPr>
        <w:spacing w:after="120"/>
        <w:ind w:left="-851" w:right="-851"/>
      </w:pPr>
    </w:p>
    <w:p w:rsidR="00B97A47" w:rsidRDefault="00B97A47" w:rsidP="000E55F0">
      <w:pPr>
        <w:spacing w:after="120"/>
        <w:ind w:left="-851" w:right="-851"/>
      </w:pPr>
    </w:p>
    <w:p w:rsidR="00B97A47" w:rsidRDefault="00B97A47" w:rsidP="000E55F0">
      <w:pPr>
        <w:spacing w:after="120"/>
        <w:ind w:left="-851" w:right="-851"/>
      </w:pPr>
    </w:p>
    <w:p w:rsidR="00B97A47" w:rsidRDefault="00B97A47" w:rsidP="000E55F0">
      <w:pPr>
        <w:spacing w:after="120"/>
        <w:ind w:left="-851" w:right="-851"/>
      </w:pPr>
    </w:p>
    <w:p w:rsidR="00B97A47" w:rsidRDefault="00B97A47" w:rsidP="000E55F0">
      <w:pPr>
        <w:spacing w:after="120"/>
        <w:ind w:left="-851" w:right="-851"/>
      </w:pPr>
    </w:p>
    <w:p w:rsidR="00B97A47" w:rsidRDefault="00B97A47" w:rsidP="000E55F0">
      <w:pPr>
        <w:spacing w:after="120"/>
        <w:ind w:left="-851" w:right="-851"/>
      </w:pPr>
    </w:p>
    <w:p w:rsidR="001A74FB" w:rsidRDefault="001A74FB" w:rsidP="000E55F0">
      <w:pPr>
        <w:spacing w:after="120"/>
        <w:ind w:left="-851" w:right="-851"/>
      </w:pPr>
    </w:p>
    <w:p w:rsidR="001A74FB" w:rsidRPr="00ED6020" w:rsidRDefault="001A74FB" w:rsidP="000E55F0">
      <w:pPr>
        <w:pStyle w:val="Nagwek1"/>
        <w:ind w:left="-851" w:right="-851"/>
        <w:jc w:val="center"/>
      </w:pPr>
      <w:bookmarkStart w:id="1645" w:name="_Toc404342051"/>
      <w:bookmarkStart w:id="1646" w:name="_Toc416565727"/>
      <w:bookmarkStart w:id="1647" w:name="_Toc266695139"/>
      <w:bookmarkStart w:id="1648" w:name="_Toc438237743"/>
      <w:r w:rsidRPr="00ED6020">
        <w:t>D–08.05.06a  ŚCIEK ULICZNY Z BETONOWEJ KOSTKI BRUKOWEJ</w:t>
      </w:r>
      <w:bookmarkEnd w:id="1645"/>
      <w:bookmarkEnd w:id="1646"/>
      <w:bookmarkEnd w:id="1648"/>
    </w:p>
    <w:p w:rsidR="001A74FB" w:rsidRPr="00AD3267" w:rsidRDefault="001A74FB" w:rsidP="000E55F0">
      <w:pPr>
        <w:ind w:left="-851" w:right="-851"/>
        <w:rPr>
          <w:rFonts w:ascii="Calibri" w:hAnsi="Calibri"/>
          <w:b/>
        </w:rPr>
      </w:pPr>
    </w:p>
    <w:p w:rsidR="001A74FB" w:rsidRPr="00AD3267" w:rsidRDefault="001A74FB" w:rsidP="000E55F0">
      <w:pPr>
        <w:ind w:left="-851" w:right="-851"/>
        <w:rPr>
          <w:rFonts w:ascii="Calibri" w:hAnsi="Calibri"/>
          <w:b/>
        </w:rPr>
      </w:pPr>
    </w:p>
    <w:p w:rsidR="001A74FB" w:rsidRPr="00AD3267" w:rsidRDefault="001A74FB" w:rsidP="000E55F0">
      <w:pPr>
        <w:ind w:left="-851" w:right="-851"/>
        <w:rPr>
          <w:rFonts w:ascii="Calibri" w:hAnsi="Calibri"/>
          <w:b/>
        </w:rPr>
      </w:pPr>
    </w:p>
    <w:p w:rsidR="001A74FB" w:rsidRPr="00AD3267" w:rsidRDefault="001A74FB" w:rsidP="000E55F0">
      <w:pPr>
        <w:ind w:left="-851" w:right="-851"/>
        <w:rPr>
          <w:rFonts w:ascii="Calibri" w:hAnsi="Calibri"/>
          <w:b/>
        </w:rPr>
      </w:pPr>
    </w:p>
    <w:p w:rsidR="001A74FB" w:rsidRPr="00AD3267" w:rsidRDefault="001A74FB" w:rsidP="000E55F0">
      <w:pPr>
        <w:ind w:left="-851" w:right="-851"/>
        <w:rPr>
          <w:rFonts w:ascii="Calibri" w:hAnsi="Calibri"/>
          <w:b/>
        </w:rPr>
      </w:pPr>
    </w:p>
    <w:p w:rsidR="001A74FB" w:rsidRPr="00AD3267" w:rsidRDefault="001A74FB" w:rsidP="000E55F0">
      <w:pPr>
        <w:ind w:left="-851" w:right="-851"/>
        <w:rPr>
          <w:rFonts w:ascii="Calibri" w:hAnsi="Calibri"/>
          <w:b/>
        </w:rPr>
      </w:pPr>
    </w:p>
    <w:p w:rsidR="001A74FB" w:rsidRDefault="001A74FB" w:rsidP="000E55F0">
      <w:pPr>
        <w:ind w:left="-851" w:right="-851"/>
        <w:rPr>
          <w:rFonts w:ascii="Calibri" w:hAnsi="Calibri"/>
          <w:b/>
        </w:rPr>
      </w:pPr>
    </w:p>
    <w:p w:rsidR="001A74FB" w:rsidRDefault="001A74FB" w:rsidP="000E55F0">
      <w:pPr>
        <w:ind w:left="-851" w:right="-851"/>
        <w:rPr>
          <w:rFonts w:ascii="Calibri" w:hAnsi="Calibri"/>
          <w:b/>
        </w:rPr>
      </w:pPr>
    </w:p>
    <w:p w:rsidR="001A74FB" w:rsidRDefault="001A74FB" w:rsidP="000E55F0">
      <w:pPr>
        <w:ind w:left="-851" w:right="-851"/>
        <w:rPr>
          <w:rFonts w:ascii="Calibri" w:hAnsi="Calibri"/>
          <w:b/>
        </w:rPr>
      </w:pPr>
    </w:p>
    <w:p w:rsidR="001A74FB" w:rsidRDefault="001A74FB" w:rsidP="000E55F0">
      <w:pPr>
        <w:ind w:left="-851" w:right="-851"/>
        <w:rPr>
          <w:rFonts w:ascii="Calibri" w:hAnsi="Calibri"/>
          <w:b/>
        </w:rPr>
      </w:pPr>
    </w:p>
    <w:p w:rsidR="001A74FB" w:rsidRDefault="001A74FB" w:rsidP="000E55F0">
      <w:pPr>
        <w:ind w:left="-851" w:right="-851"/>
        <w:rPr>
          <w:rFonts w:ascii="Calibri" w:hAnsi="Calibri"/>
          <w:b/>
        </w:rPr>
      </w:pPr>
    </w:p>
    <w:p w:rsidR="001A74FB" w:rsidRDefault="001A74FB" w:rsidP="000E55F0">
      <w:pPr>
        <w:ind w:left="-851" w:right="-851"/>
        <w:rPr>
          <w:rFonts w:ascii="Calibri" w:hAnsi="Calibri"/>
          <w:b/>
        </w:rPr>
      </w:pPr>
    </w:p>
    <w:p w:rsidR="001A74FB" w:rsidRDefault="001A74FB" w:rsidP="000E55F0">
      <w:pPr>
        <w:ind w:left="-851" w:right="-851"/>
        <w:rPr>
          <w:rFonts w:ascii="Calibri" w:hAnsi="Calibri"/>
          <w:b/>
        </w:rPr>
      </w:pPr>
    </w:p>
    <w:p w:rsidR="001A74FB" w:rsidRDefault="001A74FB" w:rsidP="000E55F0">
      <w:pPr>
        <w:ind w:left="-851" w:right="-851"/>
        <w:rPr>
          <w:rFonts w:ascii="Calibri" w:hAnsi="Calibri"/>
          <w:b/>
        </w:rPr>
      </w:pPr>
    </w:p>
    <w:p w:rsidR="001A74FB" w:rsidRDefault="001A74FB" w:rsidP="000E55F0">
      <w:pPr>
        <w:ind w:left="-851" w:right="-851"/>
        <w:rPr>
          <w:rFonts w:ascii="Calibri" w:hAnsi="Calibri"/>
          <w:b/>
        </w:rPr>
      </w:pPr>
    </w:p>
    <w:p w:rsidR="001A74FB" w:rsidRDefault="001A74FB" w:rsidP="000E55F0">
      <w:pPr>
        <w:ind w:left="-851" w:right="-851"/>
        <w:rPr>
          <w:rFonts w:ascii="Calibri" w:hAnsi="Calibri"/>
          <w:b/>
        </w:rPr>
      </w:pPr>
    </w:p>
    <w:p w:rsidR="001A74FB" w:rsidRDefault="001A74FB" w:rsidP="000E55F0">
      <w:pPr>
        <w:ind w:left="-851" w:right="-851"/>
        <w:rPr>
          <w:rFonts w:ascii="Calibri" w:hAnsi="Calibri"/>
          <w:b/>
        </w:rPr>
      </w:pPr>
    </w:p>
    <w:p w:rsidR="001A74FB" w:rsidRDefault="001A74FB" w:rsidP="000E55F0">
      <w:pPr>
        <w:ind w:left="-851" w:right="-851"/>
        <w:rPr>
          <w:rFonts w:ascii="Calibri" w:hAnsi="Calibri"/>
          <w:b/>
        </w:rPr>
      </w:pPr>
    </w:p>
    <w:p w:rsidR="001A74FB" w:rsidRDefault="001A74FB" w:rsidP="000E55F0">
      <w:pPr>
        <w:ind w:left="-851" w:right="-851"/>
        <w:rPr>
          <w:rFonts w:ascii="Calibri" w:hAnsi="Calibri"/>
          <w:b/>
        </w:rPr>
      </w:pPr>
    </w:p>
    <w:p w:rsidR="001A74FB" w:rsidRDefault="001A74FB" w:rsidP="000E55F0">
      <w:pPr>
        <w:ind w:left="-851" w:right="-851"/>
        <w:rPr>
          <w:rFonts w:ascii="Calibri" w:hAnsi="Calibri"/>
          <w:b/>
        </w:rPr>
      </w:pPr>
    </w:p>
    <w:p w:rsidR="001A74FB" w:rsidRDefault="001A74FB" w:rsidP="000E55F0">
      <w:pPr>
        <w:ind w:left="-851" w:right="-851"/>
        <w:rPr>
          <w:rFonts w:ascii="Calibri" w:hAnsi="Calibri"/>
          <w:b/>
        </w:rPr>
      </w:pPr>
    </w:p>
    <w:p w:rsidR="001A74FB" w:rsidRDefault="001A74FB" w:rsidP="000E55F0">
      <w:pPr>
        <w:ind w:left="-851" w:right="-851"/>
        <w:rPr>
          <w:rFonts w:ascii="Calibri" w:hAnsi="Calibri"/>
          <w:b/>
        </w:rPr>
      </w:pPr>
    </w:p>
    <w:p w:rsidR="001A74FB" w:rsidRDefault="001A74FB" w:rsidP="000E55F0">
      <w:pPr>
        <w:ind w:left="-851" w:right="-851"/>
        <w:rPr>
          <w:rFonts w:ascii="Calibri" w:hAnsi="Calibri"/>
          <w:b/>
        </w:rPr>
      </w:pPr>
    </w:p>
    <w:p w:rsidR="001A74FB" w:rsidRDefault="001A74FB" w:rsidP="000E55F0">
      <w:pPr>
        <w:ind w:left="-851" w:right="-851"/>
        <w:rPr>
          <w:rFonts w:ascii="Calibri" w:hAnsi="Calibri"/>
          <w:b/>
        </w:rPr>
      </w:pPr>
    </w:p>
    <w:p w:rsidR="001A74FB" w:rsidRDefault="001A74FB" w:rsidP="000E55F0">
      <w:pPr>
        <w:ind w:left="-851" w:right="-851"/>
        <w:rPr>
          <w:rFonts w:ascii="Calibri" w:hAnsi="Calibri"/>
          <w:b/>
        </w:rPr>
      </w:pPr>
    </w:p>
    <w:p w:rsidR="001A74FB" w:rsidRDefault="001A74FB" w:rsidP="000E55F0">
      <w:pPr>
        <w:ind w:left="-851" w:right="-851"/>
        <w:rPr>
          <w:rFonts w:ascii="Calibri" w:hAnsi="Calibri"/>
          <w:b/>
        </w:rPr>
      </w:pPr>
    </w:p>
    <w:p w:rsidR="001A74FB" w:rsidRDefault="001A74FB" w:rsidP="000E55F0">
      <w:pPr>
        <w:ind w:left="-851" w:right="-851"/>
        <w:rPr>
          <w:rFonts w:ascii="Calibri" w:hAnsi="Calibri"/>
          <w:b/>
        </w:rPr>
      </w:pPr>
    </w:p>
    <w:p w:rsidR="001A74FB" w:rsidRDefault="001A74FB" w:rsidP="000E55F0">
      <w:pPr>
        <w:ind w:left="-851" w:right="-851"/>
        <w:rPr>
          <w:rFonts w:ascii="Calibri" w:hAnsi="Calibri"/>
          <w:b/>
        </w:rPr>
      </w:pPr>
    </w:p>
    <w:p w:rsidR="001A74FB" w:rsidRDefault="001A74FB" w:rsidP="000E55F0">
      <w:pPr>
        <w:ind w:left="-851" w:right="-851"/>
        <w:rPr>
          <w:rFonts w:ascii="Calibri" w:hAnsi="Calibri"/>
          <w:b/>
        </w:rPr>
      </w:pPr>
    </w:p>
    <w:p w:rsidR="001A74FB" w:rsidRDefault="001A74FB" w:rsidP="000E55F0">
      <w:pPr>
        <w:ind w:left="-851" w:right="-851"/>
        <w:rPr>
          <w:rFonts w:ascii="Calibri" w:hAnsi="Calibri"/>
          <w:b/>
        </w:rPr>
      </w:pPr>
    </w:p>
    <w:p w:rsidR="001A74FB" w:rsidRDefault="001A74FB" w:rsidP="000E55F0">
      <w:pPr>
        <w:ind w:left="-851" w:right="-851"/>
        <w:rPr>
          <w:rFonts w:ascii="Calibri" w:hAnsi="Calibri"/>
          <w:b/>
        </w:rPr>
      </w:pPr>
    </w:p>
    <w:p w:rsidR="001A74FB" w:rsidRDefault="001A74FB" w:rsidP="000E55F0">
      <w:pPr>
        <w:ind w:left="-851" w:right="-851"/>
        <w:rPr>
          <w:rFonts w:ascii="Calibri" w:hAnsi="Calibri"/>
          <w:b/>
        </w:rPr>
      </w:pPr>
    </w:p>
    <w:p w:rsidR="001A74FB" w:rsidRDefault="001A74FB" w:rsidP="000E55F0">
      <w:pPr>
        <w:ind w:left="-851" w:right="-851"/>
        <w:rPr>
          <w:rFonts w:ascii="Calibri" w:hAnsi="Calibri"/>
          <w:b/>
        </w:rPr>
      </w:pPr>
    </w:p>
    <w:p w:rsidR="00B14396" w:rsidRDefault="00B14396" w:rsidP="000E55F0">
      <w:pPr>
        <w:ind w:left="-851" w:right="-851"/>
        <w:rPr>
          <w:rFonts w:ascii="Calibri" w:hAnsi="Calibri"/>
          <w:b/>
        </w:rPr>
      </w:pPr>
    </w:p>
    <w:p w:rsidR="001A74FB" w:rsidRDefault="001A74FB" w:rsidP="000E55F0">
      <w:pPr>
        <w:ind w:left="-851" w:right="-851"/>
        <w:rPr>
          <w:rFonts w:ascii="Calibri" w:hAnsi="Calibri"/>
          <w:b/>
        </w:rPr>
      </w:pPr>
    </w:p>
    <w:p w:rsidR="001A74FB" w:rsidRDefault="001A74FB" w:rsidP="000E55F0">
      <w:pPr>
        <w:ind w:left="-851" w:right="-851"/>
        <w:rPr>
          <w:rFonts w:ascii="Calibri" w:hAnsi="Calibri"/>
          <w:b/>
        </w:rPr>
      </w:pPr>
    </w:p>
    <w:p w:rsidR="001A74FB" w:rsidRDefault="001A74FB" w:rsidP="000E55F0">
      <w:pPr>
        <w:ind w:left="-851" w:right="-851"/>
        <w:rPr>
          <w:rFonts w:ascii="Calibri" w:hAnsi="Calibri"/>
          <w:b/>
        </w:rPr>
      </w:pPr>
    </w:p>
    <w:p w:rsidR="001A74FB" w:rsidRDefault="001A74FB" w:rsidP="000E55F0">
      <w:pPr>
        <w:ind w:left="-851" w:right="-851"/>
        <w:rPr>
          <w:rFonts w:ascii="Calibri" w:hAnsi="Calibri"/>
          <w:b/>
        </w:rPr>
      </w:pPr>
    </w:p>
    <w:bookmarkEnd w:id="1647"/>
    <w:p w:rsidR="0069484F" w:rsidRPr="00AD3267" w:rsidRDefault="0069484F" w:rsidP="0069484F">
      <w:pPr>
        <w:ind w:left="-851" w:right="-851"/>
        <w:rPr>
          <w:rFonts w:ascii="Calibri" w:hAnsi="Calibri"/>
          <w:b/>
        </w:rPr>
      </w:pPr>
      <w:r w:rsidRPr="00AD3267">
        <w:rPr>
          <w:rFonts w:ascii="Calibri" w:hAnsi="Calibri"/>
          <w:b/>
        </w:rPr>
        <w:lastRenderedPageBreak/>
        <w:t>1. WSTĘP</w:t>
      </w:r>
    </w:p>
    <w:p w:rsidR="0069484F" w:rsidRPr="00AD3267" w:rsidRDefault="0069484F" w:rsidP="0069484F">
      <w:pPr>
        <w:ind w:left="-851" w:right="-851"/>
        <w:rPr>
          <w:rFonts w:ascii="Calibri" w:hAnsi="Calibri"/>
        </w:rPr>
      </w:pPr>
      <w:r w:rsidRPr="00AD3267">
        <w:rPr>
          <w:rFonts w:ascii="Calibri" w:hAnsi="Calibri"/>
          <w:b/>
        </w:rPr>
        <w:t>1.1.</w:t>
      </w:r>
      <w:r w:rsidRPr="00AD3267">
        <w:rPr>
          <w:rFonts w:ascii="Calibri" w:hAnsi="Calibri"/>
        </w:rPr>
        <w:t xml:space="preserve"> Przedmiot ST</w:t>
      </w:r>
    </w:p>
    <w:p w:rsidR="0069484F" w:rsidRPr="00AD3267" w:rsidRDefault="0069484F" w:rsidP="0069484F">
      <w:pPr>
        <w:ind w:left="-851" w:right="-851"/>
        <w:rPr>
          <w:rFonts w:ascii="Calibri" w:hAnsi="Calibri"/>
        </w:rPr>
      </w:pPr>
      <w:r w:rsidRPr="00AD3267">
        <w:rPr>
          <w:rFonts w:ascii="Calibri" w:hAnsi="Calibri"/>
        </w:rPr>
        <w:tab/>
      </w:r>
      <w:r>
        <w:rPr>
          <w:rFonts w:ascii="Calibri" w:hAnsi="Calibri"/>
        </w:rPr>
        <w:tab/>
      </w:r>
      <w:r w:rsidRPr="00AD3267">
        <w:rPr>
          <w:rFonts w:ascii="Calibri" w:hAnsi="Calibri"/>
        </w:rPr>
        <w:t>Przedmiotem niniejszej specyfikacji technicznej (ST) są wymagania dotyczące wykonania i odbioru robót związanych z wykonaniem ścieku ulicznego z betonowej kostki brukowej.</w:t>
      </w:r>
    </w:p>
    <w:p w:rsidR="0069484F" w:rsidRPr="00AD3267" w:rsidRDefault="0069484F" w:rsidP="0069484F">
      <w:pPr>
        <w:ind w:left="-851" w:right="-851"/>
        <w:rPr>
          <w:rFonts w:ascii="Calibri" w:hAnsi="Calibri"/>
        </w:rPr>
      </w:pPr>
      <w:r w:rsidRPr="00AD3267">
        <w:rPr>
          <w:rFonts w:ascii="Calibri" w:hAnsi="Calibri"/>
          <w:b/>
        </w:rPr>
        <w:t>1.2.</w:t>
      </w:r>
      <w:r w:rsidRPr="00AD3267">
        <w:rPr>
          <w:rFonts w:ascii="Calibri" w:hAnsi="Calibri"/>
        </w:rPr>
        <w:t xml:space="preserve"> Zakres stosowania ST</w:t>
      </w:r>
    </w:p>
    <w:p w:rsidR="0069484F" w:rsidRPr="00AD3267" w:rsidRDefault="0069484F" w:rsidP="0069484F">
      <w:pPr>
        <w:ind w:left="-851" w:right="-851"/>
        <w:rPr>
          <w:rFonts w:ascii="Calibri" w:hAnsi="Calibri"/>
        </w:rPr>
      </w:pPr>
      <w:r w:rsidRPr="00AD3267">
        <w:rPr>
          <w:rFonts w:ascii="Calibri" w:hAnsi="Calibri"/>
        </w:rPr>
        <w:tab/>
      </w:r>
      <w:r>
        <w:rPr>
          <w:rFonts w:ascii="Calibri" w:hAnsi="Calibri"/>
        </w:rPr>
        <w:tab/>
      </w:r>
      <w:r w:rsidRPr="00AD3267">
        <w:rPr>
          <w:rFonts w:ascii="Calibri" w:hAnsi="Calibri"/>
        </w:rPr>
        <w:t>Specyfikacja techniczna określa wymagania dla wykonania i odbioru robót budowlanych przewidzianych do wykonania w ramach umowy a zawarte w niej zapisy w zakresie standardu materiałów, wykonania robót i wymaganej ich jakości oraz kontroli jakości robót należy traktować jako minimalne.</w:t>
      </w:r>
    </w:p>
    <w:p w:rsidR="0069484F" w:rsidRPr="00AD3267" w:rsidRDefault="0069484F" w:rsidP="0069484F">
      <w:pPr>
        <w:ind w:left="-851" w:right="-851"/>
        <w:rPr>
          <w:rFonts w:ascii="Calibri" w:hAnsi="Calibri"/>
        </w:rPr>
      </w:pPr>
      <w:r w:rsidRPr="00AD3267">
        <w:rPr>
          <w:rFonts w:ascii="Calibri" w:hAnsi="Calibri"/>
          <w:b/>
        </w:rPr>
        <w:t>1.3.</w:t>
      </w:r>
      <w:r w:rsidRPr="00AD3267">
        <w:rPr>
          <w:rFonts w:ascii="Calibri" w:hAnsi="Calibri"/>
        </w:rPr>
        <w:t xml:space="preserve"> Zakres robót objętych ST</w:t>
      </w:r>
    </w:p>
    <w:p w:rsidR="00ED53FE" w:rsidRPr="00C3299C" w:rsidRDefault="0069484F" w:rsidP="00ED53FE">
      <w:pPr>
        <w:ind w:left="-851" w:right="-851"/>
        <w:rPr>
          <w:rFonts w:asciiTheme="minorHAnsi" w:hAnsiTheme="minorHAnsi" w:cs="Calibri"/>
        </w:rPr>
      </w:pPr>
      <w:r w:rsidRPr="00AD3267">
        <w:rPr>
          <w:rFonts w:ascii="Calibri" w:hAnsi="Calibri"/>
        </w:rPr>
        <w:tab/>
      </w:r>
      <w:r>
        <w:rPr>
          <w:rFonts w:ascii="Calibri" w:hAnsi="Calibri"/>
        </w:rPr>
        <w:tab/>
      </w:r>
      <w:r w:rsidRPr="00AD3267">
        <w:rPr>
          <w:rFonts w:ascii="Calibri" w:hAnsi="Calibri"/>
        </w:rPr>
        <w:t>Ustalenia zawarte w niniejszej specyfikacji dotyczą zasad prowadzenia robót związanych z wykonaniem i odbiorem ścieku ulicznego przykrawężnikowego międzyjezdniow</w:t>
      </w:r>
      <w:r w:rsidR="00ED53FE">
        <w:rPr>
          <w:rFonts w:ascii="Calibri" w:hAnsi="Calibri"/>
        </w:rPr>
        <w:t xml:space="preserve">ego </w:t>
      </w:r>
      <w:r w:rsidR="00ED53FE" w:rsidRPr="00C3299C">
        <w:rPr>
          <w:rFonts w:ascii="Calibri" w:hAnsi="Calibri" w:cs="Calibri"/>
        </w:rPr>
        <w:t>w związku z „</w:t>
      </w:r>
      <w:r w:rsidR="00ED53FE" w:rsidRPr="00C3299C">
        <w:rPr>
          <w:rFonts w:asciiTheme="minorHAnsi" w:hAnsiTheme="minorHAnsi"/>
        </w:rPr>
        <w:t>Przebudową ul.55 Pułku Piechoty w Lesznie wraz z przebudową oświetlenia”</w:t>
      </w:r>
      <w:r w:rsidR="00ED53FE" w:rsidRPr="00C3299C">
        <w:rPr>
          <w:rFonts w:asciiTheme="minorHAnsi" w:hAnsiTheme="minorHAnsi" w:cs="Calibri"/>
        </w:rPr>
        <w:t>.</w:t>
      </w:r>
    </w:p>
    <w:p w:rsidR="0069484F" w:rsidRPr="00AD3267" w:rsidRDefault="0069484F" w:rsidP="0069484F">
      <w:pPr>
        <w:ind w:left="-851" w:right="-851"/>
        <w:rPr>
          <w:rFonts w:ascii="Calibri" w:hAnsi="Calibri"/>
        </w:rPr>
      </w:pPr>
      <w:r w:rsidRPr="00AD3267">
        <w:rPr>
          <w:rFonts w:ascii="Calibri" w:hAnsi="Calibri"/>
          <w:b/>
        </w:rPr>
        <w:t>1.4.</w:t>
      </w:r>
      <w:r w:rsidRPr="00AD3267">
        <w:rPr>
          <w:rFonts w:ascii="Calibri" w:hAnsi="Calibri"/>
        </w:rPr>
        <w:t xml:space="preserve"> Określenia podstawowe</w:t>
      </w:r>
    </w:p>
    <w:p w:rsidR="0069484F" w:rsidRPr="00AD3267" w:rsidRDefault="0069484F" w:rsidP="0069484F">
      <w:pPr>
        <w:ind w:left="-851" w:right="-851"/>
        <w:rPr>
          <w:rFonts w:ascii="Calibri" w:hAnsi="Calibri"/>
        </w:rPr>
      </w:pPr>
      <w:r w:rsidRPr="00AD3267">
        <w:rPr>
          <w:rFonts w:ascii="Calibri" w:hAnsi="Calibri"/>
          <w:b/>
        </w:rPr>
        <w:t>1.4.1.</w:t>
      </w:r>
      <w:r w:rsidRPr="00AD3267">
        <w:rPr>
          <w:rFonts w:ascii="Calibri" w:hAnsi="Calibri"/>
        </w:rPr>
        <w:t xml:space="preserve"> Ściek – zagłębienie z umocnionym dnem, zbierające i odprowadzające wodę.</w:t>
      </w:r>
    </w:p>
    <w:p w:rsidR="0069484F" w:rsidRPr="00AD3267" w:rsidRDefault="0069484F" w:rsidP="0069484F">
      <w:pPr>
        <w:ind w:left="-851" w:right="-851"/>
        <w:rPr>
          <w:rFonts w:ascii="Calibri" w:hAnsi="Calibri"/>
        </w:rPr>
      </w:pPr>
      <w:r w:rsidRPr="00AD3267">
        <w:rPr>
          <w:rFonts w:ascii="Calibri" w:hAnsi="Calibri"/>
          <w:b/>
        </w:rPr>
        <w:t>1.4.2.</w:t>
      </w:r>
      <w:r w:rsidRPr="00AD3267">
        <w:rPr>
          <w:rFonts w:ascii="Calibri" w:hAnsi="Calibri"/>
        </w:rPr>
        <w:t xml:space="preserve"> Ściek przykrawężnikowy – element konstrukcji jezdni, służący do odprowadzenia wód opadowych z nawierzchni jezdni i chodnika do odbiorników (np. kanalizacji deszczowej).</w:t>
      </w:r>
    </w:p>
    <w:p w:rsidR="0069484F" w:rsidRPr="00AD3267" w:rsidRDefault="0069484F" w:rsidP="0069484F">
      <w:pPr>
        <w:ind w:left="-851" w:right="-851"/>
        <w:rPr>
          <w:rFonts w:ascii="Calibri" w:hAnsi="Calibri"/>
        </w:rPr>
      </w:pPr>
      <w:r w:rsidRPr="00AD3267">
        <w:rPr>
          <w:rFonts w:ascii="Calibri" w:hAnsi="Calibri"/>
          <w:b/>
        </w:rPr>
        <w:t>1.4.3.</w:t>
      </w:r>
      <w:r w:rsidRPr="00AD3267">
        <w:rPr>
          <w:rFonts w:ascii="Calibri" w:hAnsi="Calibri"/>
        </w:rPr>
        <w:t xml:space="preserve"> Ściek międzyjezdniowy – element konstrukcji jezdni, służący do odprowadzenia wód opadowych z nawierzchni, na których zastosowano przeciwne spadki poprzeczne, np. w rejonie zatok, placów itp.</w:t>
      </w:r>
    </w:p>
    <w:p w:rsidR="0069484F" w:rsidRPr="00AD3267" w:rsidRDefault="0069484F" w:rsidP="0069484F">
      <w:pPr>
        <w:ind w:left="-851" w:right="-851"/>
        <w:rPr>
          <w:rFonts w:ascii="Calibri" w:hAnsi="Calibri"/>
        </w:rPr>
      </w:pPr>
      <w:r w:rsidRPr="00AD3267">
        <w:rPr>
          <w:rFonts w:ascii="Calibri" w:hAnsi="Calibri"/>
          <w:b/>
        </w:rPr>
        <w:t>1.4.4.</w:t>
      </w:r>
      <w:r w:rsidRPr="00AD3267">
        <w:rPr>
          <w:rFonts w:ascii="Calibri" w:hAnsi="Calibri"/>
        </w:rPr>
        <w:t xml:space="preserve"> Betonowa kostka brukowa - prefabrykowany element budowlany, przeznaczony do budowy warstwy ścieralnej nawierzchni, wykonany metodą wibroprasowania z betonu niezbrojonego.</w:t>
      </w:r>
    </w:p>
    <w:p w:rsidR="0069484F" w:rsidRPr="00AD3267" w:rsidRDefault="0069484F" w:rsidP="0069484F">
      <w:pPr>
        <w:ind w:left="-851" w:right="-851"/>
        <w:rPr>
          <w:rFonts w:ascii="Calibri" w:hAnsi="Calibri"/>
        </w:rPr>
      </w:pPr>
      <w:r w:rsidRPr="00AD3267">
        <w:rPr>
          <w:rFonts w:ascii="Calibri" w:hAnsi="Calibri"/>
          <w:b/>
        </w:rPr>
        <w:t>1.4.5.</w:t>
      </w:r>
      <w:r w:rsidRPr="00AD3267">
        <w:rPr>
          <w:rFonts w:ascii="Calibri" w:hAnsi="Calibri"/>
        </w:rPr>
        <w:t xml:space="preserve"> Ściek uliczny z betonowej kostki brukowej – ściek przykrawężnikowy lub międzyjezdniowy wykonany z betonowej kostki brukowej. Liczba zastosowanych rzędów kostek związana jest z objętością spływu i warunkami konstrukcyjnymi ścieku (patrz zał. 3 i 4).</w:t>
      </w:r>
    </w:p>
    <w:p w:rsidR="0069484F" w:rsidRPr="00AD3267" w:rsidRDefault="0069484F" w:rsidP="0069484F">
      <w:pPr>
        <w:ind w:left="-851" w:right="-851"/>
        <w:rPr>
          <w:rFonts w:ascii="Calibri" w:hAnsi="Calibri"/>
        </w:rPr>
      </w:pPr>
      <w:r w:rsidRPr="00AD3267">
        <w:rPr>
          <w:rFonts w:ascii="Calibri" w:hAnsi="Calibri"/>
          <w:b/>
        </w:rPr>
        <w:t>1.4.6.</w:t>
      </w:r>
      <w:r w:rsidRPr="00AD3267">
        <w:rPr>
          <w:rFonts w:ascii="Calibri" w:hAnsi="Calibri"/>
        </w:rPr>
        <w:t xml:space="preserve"> Spoina - odstęp pomiędzy przylegającymi elementami (kostkami) wypełniony określonym materiałem wypełniającym.</w:t>
      </w:r>
    </w:p>
    <w:p w:rsidR="0069484F" w:rsidRPr="00AD3267" w:rsidRDefault="0069484F" w:rsidP="0069484F">
      <w:pPr>
        <w:ind w:left="-851" w:right="-851"/>
        <w:rPr>
          <w:rFonts w:ascii="Calibri" w:hAnsi="Calibri"/>
        </w:rPr>
      </w:pPr>
      <w:r w:rsidRPr="00AD3267">
        <w:rPr>
          <w:rFonts w:ascii="Calibri" w:hAnsi="Calibri"/>
          <w:b/>
        </w:rPr>
        <w:t>1.4.7.</w:t>
      </w:r>
      <w:r w:rsidRPr="00AD3267">
        <w:rPr>
          <w:rFonts w:ascii="Calibri" w:hAnsi="Calibri"/>
        </w:rPr>
        <w:t xml:space="preserve"> Szczelina dylatacyjna – spoina wykonywana zwykle co kilkadziesiąt metrów długości ścieku (nad szczelinami ławy betonowej lub jako przedłużenie szczelin nawierzchni betonowej), wypełniona drogowymi zalewami na gorąco lub na zimno, umożliwiająca odkształcenia temperaturowe ścieku.</w:t>
      </w:r>
    </w:p>
    <w:p w:rsidR="0069484F" w:rsidRPr="00AD3267" w:rsidRDefault="0069484F" w:rsidP="0069484F">
      <w:pPr>
        <w:ind w:left="-851" w:right="-851"/>
        <w:rPr>
          <w:rFonts w:ascii="Calibri" w:hAnsi="Calibri"/>
        </w:rPr>
      </w:pPr>
      <w:r w:rsidRPr="00AD3267">
        <w:rPr>
          <w:rFonts w:ascii="Calibri" w:hAnsi="Calibri"/>
          <w:b/>
        </w:rPr>
        <w:t>1.4.8.</w:t>
      </w:r>
      <w:r w:rsidRPr="00AD3267">
        <w:rPr>
          <w:rFonts w:ascii="Calibri" w:hAnsi="Calibri"/>
        </w:rPr>
        <w:t xml:space="preserve"> Pozostałe określenia podstawowe są zgodne z obowiązującymi, odpowiednimi polskimi normami i z definicjami podanymi w ST D-M-00.00.00 „Wymagania ogólne” pkt 1.4.</w:t>
      </w:r>
    </w:p>
    <w:p w:rsidR="0069484F" w:rsidRPr="00AD3267" w:rsidRDefault="0069484F" w:rsidP="0069484F">
      <w:pPr>
        <w:ind w:left="-851" w:right="-851"/>
        <w:rPr>
          <w:rFonts w:ascii="Calibri" w:hAnsi="Calibri"/>
        </w:rPr>
      </w:pPr>
      <w:r w:rsidRPr="00AD3267">
        <w:rPr>
          <w:rFonts w:ascii="Calibri" w:hAnsi="Calibri"/>
          <w:b/>
        </w:rPr>
        <w:t>1.5.</w:t>
      </w:r>
      <w:r w:rsidRPr="00AD3267">
        <w:rPr>
          <w:rFonts w:ascii="Calibri" w:hAnsi="Calibri"/>
        </w:rPr>
        <w:t xml:space="preserve"> Ogólne wymagania dotyczące robót </w:t>
      </w:r>
    </w:p>
    <w:p w:rsidR="0069484F" w:rsidRPr="00AD3267" w:rsidRDefault="0069484F" w:rsidP="0069484F">
      <w:pPr>
        <w:ind w:left="-851" w:right="-851"/>
        <w:rPr>
          <w:rFonts w:ascii="Calibri" w:hAnsi="Calibri"/>
        </w:rPr>
      </w:pPr>
      <w:r w:rsidRPr="00AD3267">
        <w:rPr>
          <w:rFonts w:ascii="Calibri" w:hAnsi="Calibri"/>
        </w:rPr>
        <w:tab/>
      </w:r>
      <w:r>
        <w:rPr>
          <w:rFonts w:ascii="Calibri" w:hAnsi="Calibri"/>
        </w:rPr>
        <w:tab/>
      </w:r>
      <w:r w:rsidRPr="00AD3267">
        <w:rPr>
          <w:rFonts w:ascii="Calibri" w:hAnsi="Calibri"/>
        </w:rPr>
        <w:t>Ogólne wymagania dotyczące robót podano w ST D-M-00.00.00 „Wymagania ogólne” pkt 1.5.</w:t>
      </w:r>
    </w:p>
    <w:p w:rsidR="0069484F" w:rsidRPr="00AD3267" w:rsidRDefault="0069484F" w:rsidP="0069484F">
      <w:pPr>
        <w:ind w:left="-851" w:right="-851"/>
        <w:rPr>
          <w:rFonts w:ascii="Calibri" w:hAnsi="Calibri"/>
        </w:rPr>
      </w:pPr>
    </w:p>
    <w:p w:rsidR="0069484F" w:rsidRPr="00AD3267" w:rsidRDefault="0069484F" w:rsidP="0069484F">
      <w:pPr>
        <w:ind w:left="-851" w:right="-851"/>
        <w:rPr>
          <w:rFonts w:ascii="Calibri" w:hAnsi="Calibri"/>
          <w:b/>
        </w:rPr>
      </w:pPr>
      <w:bookmarkStart w:id="1649" w:name="_Toc421686544"/>
      <w:bookmarkStart w:id="1650" w:name="_Toc107903637"/>
      <w:bookmarkStart w:id="1651" w:name="_Toc266695140"/>
      <w:r w:rsidRPr="00AD3267">
        <w:rPr>
          <w:rFonts w:ascii="Calibri" w:hAnsi="Calibri"/>
          <w:b/>
        </w:rPr>
        <w:t xml:space="preserve">2. </w:t>
      </w:r>
      <w:bookmarkEnd w:id="1649"/>
      <w:bookmarkEnd w:id="1650"/>
      <w:bookmarkEnd w:id="1651"/>
      <w:r w:rsidRPr="00AD3267">
        <w:rPr>
          <w:rFonts w:ascii="Calibri" w:hAnsi="Calibri"/>
          <w:b/>
        </w:rPr>
        <w:t>MATERIAŁY</w:t>
      </w:r>
    </w:p>
    <w:p w:rsidR="0069484F" w:rsidRPr="00AD3267" w:rsidRDefault="0069484F" w:rsidP="0069484F">
      <w:pPr>
        <w:ind w:left="-851" w:right="-851"/>
        <w:rPr>
          <w:rFonts w:ascii="Calibri" w:hAnsi="Calibri"/>
        </w:rPr>
      </w:pPr>
      <w:r w:rsidRPr="00AD3267">
        <w:rPr>
          <w:rFonts w:ascii="Calibri" w:hAnsi="Calibri"/>
          <w:b/>
        </w:rPr>
        <w:t>2.1.</w:t>
      </w:r>
      <w:r w:rsidRPr="00AD3267">
        <w:rPr>
          <w:rFonts w:ascii="Calibri" w:hAnsi="Calibri"/>
        </w:rPr>
        <w:t xml:space="preserve"> Ogólne wymagania dotyczące materiałów</w:t>
      </w:r>
    </w:p>
    <w:p w:rsidR="0069484F" w:rsidRPr="00AD3267" w:rsidRDefault="0069484F" w:rsidP="0069484F">
      <w:pPr>
        <w:ind w:left="-851" w:right="-851"/>
        <w:rPr>
          <w:rFonts w:ascii="Calibri" w:hAnsi="Calibri"/>
        </w:rPr>
      </w:pPr>
      <w:r w:rsidRPr="00AD3267">
        <w:rPr>
          <w:rFonts w:ascii="Calibri" w:hAnsi="Calibri"/>
        </w:rPr>
        <w:tab/>
      </w:r>
      <w:r>
        <w:rPr>
          <w:rFonts w:ascii="Calibri" w:hAnsi="Calibri"/>
        </w:rPr>
        <w:tab/>
      </w:r>
      <w:r w:rsidRPr="00AD3267">
        <w:rPr>
          <w:rFonts w:ascii="Calibri" w:hAnsi="Calibri"/>
        </w:rPr>
        <w:t>Ogólne wymagania dotyczące materiałów, ich pozyskiwania i składowania, podano w ST D-M-00.00.00 „Wymagania ogólne” pkt 2.</w:t>
      </w:r>
    </w:p>
    <w:p w:rsidR="0069484F" w:rsidRPr="00AD3267" w:rsidRDefault="0069484F" w:rsidP="0069484F">
      <w:pPr>
        <w:ind w:left="-851" w:right="-851"/>
        <w:rPr>
          <w:rFonts w:ascii="Calibri" w:hAnsi="Calibri"/>
        </w:rPr>
      </w:pPr>
      <w:r w:rsidRPr="00AD3267">
        <w:rPr>
          <w:rFonts w:ascii="Calibri" w:hAnsi="Calibri"/>
          <w:b/>
        </w:rPr>
        <w:t>2.2.</w:t>
      </w:r>
      <w:r w:rsidRPr="00AD3267">
        <w:rPr>
          <w:rFonts w:ascii="Calibri" w:hAnsi="Calibri"/>
        </w:rPr>
        <w:t xml:space="preserve"> Materiały do wykonania robót</w:t>
      </w:r>
    </w:p>
    <w:p w:rsidR="0069484F" w:rsidRPr="00AD3267" w:rsidRDefault="0069484F" w:rsidP="0069484F">
      <w:pPr>
        <w:ind w:left="-851" w:right="-851"/>
        <w:rPr>
          <w:rFonts w:ascii="Calibri" w:hAnsi="Calibri"/>
        </w:rPr>
      </w:pPr>
      <w:r w:rsidRPr="00AD3267">
        <w:rPr>
          <w:rFonts w:ascii="Calibri" w:hAnsi="Calibri"/>
          <w:b/>
        </w:rPr>
        <w:t>2.2.1.</w:t>
      </w:r>
      <w:r w:rsidRPr="00AD3267">
        <w:rPr>
          <w:rFonts w:ascii="Calibri" w:hAnsi="Calibri"/>
        </w:rPr>
        <w:t xml:space="preserve"> Zgodność materiałów z dokumentacją projektową</w:t>
      </w:r>
    </w:p>
    <w:p w:rsidR="0069484F" w:rsidRPr="00AD3267" w:rsidRDefault="0069484F" w:rsidP="0069484F">
      <w:pPr>
        <w:ind w:left="-851" w:right="-851"/>
        <w:rPr>
          <w:rFonts w:ascii="Calibri" w:hAnsi="Calibri"/>
        </w:rPr>
      </w:pPr>
      <w:r w:rsidRPr="00AD3267">
        <w:rPr>
          <w:rFonts w:ascii="Calibri" w:hAnsi="Calibri"/>
        </w:rPr>
        <w:tab/>
      </w:r>
      <w:r>
        <w:rPr>
          <w:rFonts w:ascii="Calibri" w:hAnsi="Calibri"/>
        </w:rPr>
        <w:tab/>
      </w:r>
      <w:r w:rsidRPr="00AD3267">
        <w:rPr>
          <w:rFonts w:ascii="Calibri" w:hAnsi="Calibri"/>
        </w:rPr>
        <w:t>Materiały do wykonania robót powinny być zgodne z ustaleniami dokumentacji projektowej lub ST.</w:t>
      </w:r>
    </w:p>
    <w:p w:rsidR="0069484F" w:rsidRPr="00AD3267" w:rsidRDefault="0069484F" w:rsidP="0069484F">
      <w:pPr>
        <w:ind w:left="-851" w:right="-851"/>
        <w:rPr>
          <w:rFonts w:ascii="Calibri" w:hAnsi="Calibri"/>
        </w:rPr>
      </w:pPr>
      <w:r w:rsidRPr="00AD3267">
        <w:rPr>
          <w:rFonts w:ascii="Calibri" w:hAnsi="Calibri"/>
          <w:b/>
        </w:rPr>
        <w:t>2.2.2.</w:t>
      </w:r>
      <w:r w:rsidRPr="00AD3267">
        <w:rPr>
          <w:rFonts w:ascii="Calibri" w:hAnsi="Calibri"/>
        </w:rPr>
        <w:t xml:space="preserve"> Materiały do wykonania ścieku</w:t>
      </w:r>
    </w:p>
    <w:p w:rsidR="0069484F" w:rsidRPr="00AD3267" w:rsidRDefault="0069484F" w:rsidP="0069484F">
      <w:pPr>
        <w:ind w:left="-851" w:right="-851"/>
        <w:rPr>
          <w:rFonts w:ascii="Calibri" w:hAnsi="Calibri"/>
        </w:rPr>
      </w:pPr>
      <w:r w:rsidRPr="00AD3267">
        <w:rPr>
          <w:rFonts w:ascii="Calibri" w:hAnsi="Calibri"/>
        </w:rPr>
        <w:tab/>
      </w:r>
      <w:r>
        <w:rPr>
          <w:rFonts w:ascii="Calibri" w:hAnsi="Calibri"/>
        </w:rPr>
        <w:tab/>
      </w:r>
      <w:r w:rsidRPr="00AD3267">
        <w:rPr>
          <w:rFonts w:ascii="Calibri" w:hAnsi="Calibri"/>
        </w:rPr>
        <w:t>Materiałami stosowanymi przy wykonaniu ścieku są:</w:t>
      </w:r>
    </w:p>
    <w:p w:rsidR="0069484F" w:rsidRPr="00AD3267" w:rsidRDefault="0069484F" w:rsidP="0069484F">
      <w:pPr>
        <w:ind w:left="-851" w:right="-851"/>
        <w:rPr>
          <w:rFonts w:ascii="Calibri" w:hAnsi="Calibri"/>
        </w:rPr>
      </w:pPr>
      <w:r w:rsidRPr="00AD3267">
        <w:rPr>
          <w:rFonts w:ascii="Calibri" w:hAnsi="Calibri"/>
        </w:rPr>
        <w:t>- betonowe kostki brukowe,</w:t>
      </w:r>
    </w:p>
    <w:p w:rsidR="0069484F" w:rsidRPr="00AD3267" w:rsidRDefault="0069484F" w:rsidP="0069484F">
      <w:pPr>
        <w:ind w:left="-851" w:right="-851"/>
        <w:rPr>
          <w:rFonts w:ascii="Calibri" w:hAnsi="Calibri"/>
        </w:rPr>
      </w:pPr>
      <w:r w:rsidRPr="00AD3267">
        <w:rPr>
          <w:rFonts w:ascii="Calibri" w:hAnsi="Calibri"/>
        </w:rPr>
        <w:t>- krawężniki,</w:t>
      </w:r>
    </w:p>
    <w:p w:rsidR="0069484F" w:rsidRPr="00AD3267" w:rsidRDefault="0069484F" w:rsidP="0069484F">
      <w:pPr>
        <w:ind w:left="-851" w:right="-851"/>
        <w:rPr>
          <w:rFonts w:ascii="Calibri" w:hAnsi="Calibri"/>
        </w:rPr>
      </w:pPr>
      <w:r w:rsidRPr="00AD3267">
        <w:rPr>
          <w:rFonts w:ascii="Calibri" w:hAnsi="Calibri"/>
        </w:rPr>
        <w:t>- beton na ławę,</w:t>
      </w:r>
    </w:p>
    <w:p w:rsidR="0069484F" w:rsidRPr="00AD3267" w:rsidRDefault="0069484F" w:rsidP="0069484F">
      <w:pPr>
        <w:ind w:left="-851" w:right="-851"/>
        <w:rPr>
          <w:rFonts w:ascii="Calibri" w:hAnsi="Calibri"/>
        </w:rPr>
      </w:pPr>
      <w:r w:rsidRPr="00AD3267">
        <w:rPr>
          <w:rFonts w:ascii="Calibri" w:hAnsi="Calibri"/>
        </w:rPr>
        <w:t>- materiał do wykonania podsypki,</w:t>
      </w:r>
    </w:p>
    <w:p w:rsidR="0069484F" w:rsidRPr="00AD3267" w:rsidRDefault="0069484F" w:rsidP="0069484F">
      <w:pPr>
        <w:ind w:left="-851" w:right="-851"/>
        <w:rPr>
          <w:rFonts w:ascii="Calibri" w:hAnsi="Calibri"/>
        </w:rPr>
      </w:pPr>
      <w:r w:rsidRPr="00AD3267">
        <w:rPr>
          <w:rFonts w:ascii="Calibri" w:hAnsi="Calibri"/>
        </w:rPr>
        <w:t>- materiał do wypełnienia spoin,</w:t>
      </w:r>
    </w:p>
    <w:p w:rsidR="0069484F" w:rsidRPr="00AD3267" w:rsidRDefault="0069484F" w:rsidP="0069484F">
      <w:pPr>
        <w:ind w:left="-851" w:right="-851"/>
        <w:rPr>
          <w:rFonts w:ascii="Calibri" w:hAnsi="Calibri"/>
        </w:rPr>
      </w:pPr>
      <w:r w:rsidRPr="00AD3267">
        <w:rPr>
          <w:rFonts w:ascii="Calibri" w:hAnsi="Calibri"/>
        </w:rPr>
        <w:t>- materiał do wypełnienia szczelin dylatacyjnych.</w:t>
      </w:r>
    </w:p>
    <w:p w:rsidR="00ED53FE" w:rsidRDefault="00ED53FE" w:rsidP="0069484F">
      <w:pPr>
        <w:ind w:left="-851" w:right="-851"/>
        <w:rPr>
          <w:rFonts w:ascii="Calibri" w:hAnsi="Calibri"/>
          <w:b/>
        </w:rPr>
      </w:pPr>
    </w:p>
    <w:p w:rsidR="00ED53FE" w:rsidRDefault="00ED53FE" w:rsidP="0069484F">
      <w:pPr>
        <w:ind w:left="-851" w:right="-851"/>
        <w:rPr>
          <w:rFonts w:ascii="Calibri" w:hAnsi="Calibri"/>
          <w:b/>
        </w:rPr>
      </w:pPr>
    </w:p>
    <w:p w:rsidR="00ED53FE" w:rsidRDefault="00ED53FE" w:rsidP="0069484F">
      <w:pPr>
        <w:ind w:left="-851" w:right="-851"/>
        <w:rPr>
          <w:rFonts w:ascii="Calibri" w:hAnsi="Calibri"/>
          <w:b/>
        </w:rPr>
      </w:pPr>
    </w:p>
    <w:p w:rsidR="0069484F" w:rsidRPr="00AD3267" w:rsidRDefault="0069484F" w:rsidP="0069484F">
      <w:pPr>
        <w:ind w:left="-851" w:right="-851"/>
        <w:rPr>
          <w:rFonts w:ascii="Calibri" w:hAnsi="Calibri"/>
        </w:rPr>
      </w:pPr>
      <w:r w:rsidRPr="00AD3267">
        <w:rPr>
          <w:rFonts w:ascii="Calibri" w:hAnsi="Calibri"/>
          <w:b/>
        </w:rPr>
        <w:lastRenderedPageBreak/>
        <w:t>2.3.</w:t>
      </w:r>
      <w:r w:rsidRPr="00AD3267">
        <w:rPr>
          <w:rFonts w:ascii="Calibri" w:hAnsi="Calibri"/>
        </w:rPr>
        <w:t xml:space="preserve"> Betonowa kostka brukowa</w:t>
      </w:r>
    </w:p>
    <w:p w:rsidR="0069484F" w:rsidRPr="00AD3267" w:rsidRDefault="0069484F" w:rsidP="0069484F">
      <w:pPr>
        <w:ind w:left="-851" w:right="-851"/>
        <w:rPr>
          <w:rFonts w:ascii="Calibri" w:hAnsi="Calibri"/>
        </w:rPr>
      </w:pPr>
      <w:r w:rsidRPr="00AD3267">
        <w:rPr>
          <w:rFonts w:ascii="Calibri" w:hAnsi="Calibri"/>
          <w:b/>
        </w:rPr>
        <w:t>2.3.1.</w:t>
      </w:r>
      <w:r w:rsidRPr="00AD3267">
        <w:rPr>
          <w:rFonts w:ascii="Calibri" w:hAnsi="Calibri"/>
        </w:rPr>
        <w:t xml:space="preserve"> Cechy charakterystyczne</w:t>
      </w:r>
    </w:p>
    <w:p w:rsidR="0069484F" w:rsidRPr="00AD3267" w:rsidRDefault="0069484F" w:rsidP="0069484F">
      <w:pPr>
        <w:ind w:left="-851" w:right="-851"/>
        <w:rPr>
          <w:rFonts w:ascii="Calibri" w:hAnsi="Calibri"/>
        </w:rPr>
      </w:pPr>
      <w:r w:rsidRPr="00AD3267">
        <w:rPr>
          <w:rFonts w:ascii="Calibri" w:hAnsi="Calibri"/>
        </w:rPr>
        <w:tab/>
      </w:r>
      <w:r>
        <w:rPr>
          <w:rFonts w:ascii="Calibri" w:hAnsi="Calibri"/>
        </w:rPr>
        <w:tab/>
      </w:r>
      <w:r w:rsidRPr="00AD3267">
        <w:rPr>
          <w:rFonts w:ascii="Calibri" w:hAnsi="Calibri"/>
        </w:rPr>
        <w:t>Jeśli dokumentacja projektowa nie ustala inaczej, do wykonania ścieku należy użyć betonową kostkę brukową o następujących cechach charakterystycznych:</w:t>
      </w:r>
    </w:p>
    <w:p w:rsidR="0069484F" w:rsidRPr="00AD3267" w:rsidRDefault="0069484F" w:rsidP="0069484F">
      <w:pPr>
        <w:ind w:left="-851" w:right="-851"/>
        <w:rPr>
          <w:rFonts w:ascii="Calibri" w:hAnsi="Calibri"/>
        </w:rPr>
      </w:pPr>
      <w:r>
        <w:rPr>
          <w:rFonts w:ascii="Calibri" w:hAnsi="Calibri"/>
        </w:rPr>
        <w:t>-</w:t>
      </w:r>
      <w:r w:rsidRPr="00AD3267">
        <w:rPr>
          <w:rFonts w:ascii="Calibri" w:hAnsi="Calibri"/>
        </w:rPr>
        <w:t>odmiana: kostka jednowarstwowa (z jednego rodzaju betonu),</w:t>
      </w:r>
    </w:p>
    <w:p w:rsidR="0069484F" w:rsidRPr="00AD3267" w:rsidRDefault="0069484F" w:rsidP="0069484F">
      <w:pPr>
        <w:ind w:left="-851" w:right="-851"/>
        <w:rPr>
          <w:rFonts w:ascii="Calibri" w:hAnsi="Calibri"/>
        </w:rPr>
      </w:pPr>
      <w:r>
        <w:rPr>
          <w:rFonts w:ascii="Calibri" w:hAnsi="Calibri"/>
        </w:rPr>
        <w:t>-</w:t>
      </w:r>
      <w:r w:rsidRPr="00AD3267">
        <w:rPr>
          <w:rFonts w:ascii="Calibri" w:hAnsi="Calibri"/>
        </w:rPr>
        <w:t>wzór (kształt): prostopadłościenny,</w:t>
      </w:r>
    </w:p>
    <w:p w:rsidR="0069484F" w:rsidRPr="00AD3267" w:rsidRDefault="0069484F" w:rsidP="0069484F">
      <w:pPr>
        <w:ind w:left="-851" w:right="-851"/>
        <w:rPr>
          <w:rFonts w:ascii="Calibri" w:hAnsi="Calibri"/>
        </w:rPr>
      </w:pPr>
      <w:r>
        <w:rPr>
          <w:rFonts w:ascii="Calibri" w:hAnsi="Calibri"/>
        </w:rPr>
        <w:t>-</w:t>
      </w:r>
      <w:r w:rsidRPr="00AD3267">
        <w:rPr>
          <w:rFonts w:ascii="Calibri" w:hAnsi="Calibri"/>
        </w:rPr>
        <w:t xml:space="preserve">wymiary: szerokość min. </w:t>
      </w:r>
      <w:smartTag w:uri="urn:schemas-microsoft-com:office:smarttags" w:element="metricconverter">
        <w:smartTagPr>
          <w:attr w:name="ProductID" w:val="10 cm"/>
        </w:smartTagPr>
        <w:r w:rsidRPr="00AD3267">
          <w:rPr>
            <w:rFonts w:ascii="Calibri" w:hAnsi="Calibri"/>
          </w:rPr>
          <w:t>10 cm</w:t>
        </w:r>
      </w:smartTag>
      <w:r w:rsidRPr="00AD3267">
        <w:rPr>
          <w:rFonts w:ascii="Calibri" w:hAnsi="Calibri"/>
        </w:rPr>
        <w:t xml:space="preserve">, grubość min. </w:t>
      </w:r>
      <w:smartTag w:uri="urn:schemas-microsoft-com:office:smarttags" w:element="metricconverter">
        <w:smartTagPr>
          <w:attr w:name="ProductID" w:val="8 cm"/>
        </w:smartTagPr>
        <w:r w:rsidRPr="00AD3267">
          <w:rPr>
            <w:rFonts w:ascii="Calibri" w:hAnsi="Calibri"/>
          </w:rPr>
          <w:t>8 cm</w:t>
        </w:r>
      </w:smartTag>
      <w:r w:rsidRPr="00AD3267">
        <w:rPr>
          <w:rFonts w:ascii="Calibri" w:hAnsi="Calibri"/>
        </w:rPr>
        <w:t>, długość wg ustaleń producenta,</w:t>
      </w:r>
    </w:p>
    <w:p w:rsidR="0069484F" w:rsidRPr="00AD3267" w:rsidRDefault="0069484F" w:rsidP="0069484F">
      <w:pPr>
        <w:ind w:left="-851" w:right="-851"/>
        <w:rPr>
          <w:rFonts w:ascii="Calibri" w:hAnsi="Calibri"/>
        </w:rPr>
      </w:pPr>
      <w:r>
        <w:rPr>
          <w:rFonts w:ascii="Calibri" w:hAnsi="Calibri"/>
        </w:rPr>
        <w:t>-</w:t>
      </w:r>
      <w:r w:rsidRPr="00AD3267">
        <w:rPr>
          <w:rFonts w:ascii="Calibri" w:hAnsi="Calibri"/>
        </w:rPr>
        <w:t>barwa: uzgodniona przez Wykonawcę z Inżynierem.</w:t>
      </w:r>
    </w:p>
    <w:p w:rsidR="0069484F" w:rsidRPr="00AD3267" w:rsidRDefault="0069484F" w:rsidP="0069484F">
      <w:pPr>
        <w:ind w:left="-851" w:right="-851"/>
        <w:rPr>
          <w:rFonts w:ascii="Calibri" w:hAnsi="Calibri"/>
        </w:rPr>
      </w:pPr>
      <w:r w:rsidRPr="00AD3267">
        <w:rPr>
          <w:rFonts w:ascii="Calibri" w:hAnsi="Calibri"/>
          <w:b/>
        </w:rPr>
        <w:t>2.3.2.</w:t>
      </w:r>
      <w:r w:rsidRPr="00AD3267">
        <w:rPr>
          <w:rFonts w:ascii="Calibri" w:hAnsi="Calibri"/>
        </w:rPr>
        <w:t xml:space="preserve"> Wymagania techniczne stawiane betonowym kostkom brukowym</w:t>
      </w:r>
    </w:p>
    <w:p w:rsidR="0069484F" w:rsidRPr="00AD3267" w:rsidRDefault="0069484F" w:rsidP="0069484F">
      <w:pPr>
        <w:ind w:left="-851" w:right="-851"/>
        <w:rPr>
          <w:rFonts w:ascii="Calibri" w:hAnsi="Calibri"/>
        </w:rPr>
      </w:pPr>
      <w:r w:rsidRPr="00AD3267">
        <w:rPr>
          <w:rFonts w:ascii="Calibri" w:hAnsi="Calibri"/>
        </w:rPr>
        <w:tab/>
      </w:r>
      <w:r>
        <w:rPr>
          <w:rFonts w:ascii="Calibri" w:hAnsi="Calibri"/>
        </w:rPr>
        <w:tab/>
      </w:r>
      <w:r w:rsidRPr="00AD3267">
        <w:rPr>
          <w:rFonts w:ascii="Calibri" w:hAnsi="Calibri"/>
        </w:rPr>
        <w:t>Wymagania techniczne stawiane betonowym kostkom brukowym określa PN-EN 1338 w sposób przedstawiony w tablicy 1.</w:t>
      </w:r>
    </w:p>
    <w:p w:rsidR="0069484F" w:rsidRPr="00AD3267" w:rsidRDefault="0069484F" w:rsidP="0069484F">
      <w:pPr>
        <w:ind w:left="-851" w:right="-851"/>
        <w:rPr>
          <w:rFonts w:ascii="Calibri" w:hAnsi="Calibri"/>
        </w:rPr>
      </w:pPr>
    </w:p>
    <w:p w:rsidR="0069484F" w:rsidRPr="00AD3267" w:rsidRDefault="0069484F" w:rsidP="0069484F">
      <w:pPr>
        <w:rPr>
          <w:rFonts w:ascii="Calibri" w:hAnsi="Calibri"/>
        </w:rPr>
      </w:pPr>
      <w:r w:rsidRPr="00AD3267">
        <w:rPr>
          <w:rFonts w:ascii="Calibri" w:hAnsi="Calibri"/>
        </w:rPr>
        <w:t>Tablica 1. Wymagania wobec betonowej kostki brukowej, ustalone w PN-EN 1338 do stosowania na zewnętrznych nawierzchniach, mających kontakt z solą odladzającą w warunkach mrozu</w:t>
      </w:r>
      <w:r w:rsidRPr="00AD3267">
        <w:rPr>
          <w:rFonts w:ascii="Calibri" w:hAnsi="Calibri"/>
        </w:rPr>
        <w:tab/>
      </w:r>
    </w:p>
    <w:tbl>
      <w:tblPr>
        <w:tblW w:w="7796" w:type="dxa"/>
        <w:tblInd w:w="108" w:type="dxa"/>
        <w:tblLayout w:type="fixed"/>
        <w:tblLook w:val="01E0"/>
      </w:tblPr>
      <w:tblGrid>
        <w:gridCol w:w="568"/>
        <w:gridCol w:w="2693"/>
        <w:gridCol w:w="992"/>
        <w:gridCol w:w="850"/>
        <w:gridCol w:w="709"/>
        <w:gridCol w:w="142"/>
        <w:gridCol w:w="708"/>
        <w:gridCol w:w="1134"/>
      </w:tblGrid>
      <w:tr w:rsidR="0069484F" w:rsidRPr="00AD3267" w:rsidTr="0069484F">
        <w:tc>
          <w:tcPr>
            <w:tcW w:w="568" w:type="dxa"/>
            <w:tcBorders>
              <w:top w:val="single" w:sz="4" w:space="0" w:color="auto"/>
              <w:left w:val="single" w:sz="4" w:space="0" w:color="auto"/>
              <w:bottom w:val="single" w:sz="4" w:space="0" w:color="auto"/>
              <w:right w:val="single" w:sz="4" w:space="0" w:color="auto"/>
            </w:tcBorders>
          </w:tcPr>
          <w:p w:rsidR="0069484F" w:rsidRPr="00AD3267" w:rsidRDefault="0069484F" w:rsidP="00ED53FE">
            <w:pPr>
              <w:spacing w:before="120"/>
              <w:jc w:val="center"/>
              <w:rPr>
                <w:rFonts w:ascii="Calibri" w:hAnsi="Calibri"/>
                <w:b/>
                <w:sz w:val="18"/>
                <w:szCs w:val="18"/>
              </w:rPr>
            </w:pPr>
            <w:r w:rsidRPr="00AD3267">
              <w:rPr>
                <w:rFonts w:ascii="Calibri" w:hAnsi="Calibri"/>
                <w:b/>
                <w:sz w:val="18"/>
                <w:szCs w:val="18"/>
              </w:rPr>
              <w:t>Lp.</w:t>
            </w:r>
          </w:p>
        </w:tc>
        <w:tc>
          <w:tcPr>
            <w:tcW w:w="2693" w:type="dxa"/>
            <w:tcBorders>
              <w:top w:val="single" w:sz="4" w:space="0" w:color="auto"/>
              <w:left w:val="single" w:sz="4" w:space="0" w:color="auto"/>
              <w:bottom w:val="single" w:sz="4" w:space="0" w:color="auto"/>
              <w:right w:val="single" w:sz="4" w:space="0" w:color="auto"/>
            </w:tcBorders>
          </w:tcPr>
          <w:p w:rsidR="0069484F" w:rsidRPr="00AD3267" w:rsidRDefault="0069484F" w:rsidP="00ED53FE">
            <w:pPr>
              <w:spacing w:before="120"/>
              <w:jc w:val="center"/>
              <w:rPr>
                <w:rFonts w:ascii="Calibri" w:hAnsi="Calibri"/>
                <w:b/>
                <w:sz w:val="18"/>
                <w:szCs w:val="18"/>
              </w:rPr>
            </w:pPr>
            <w:r w:rsidRPr="00AD3267">
              <w:rPr>
                <w:rFonts w:ascii="Calibri" w:hAnsi="Calibri"/>
                <w:b/>
                <w:sz w:val="18"/>
                <w:szCs w:val="18"/>
              </w:rPr>
              <w:t>Cecha</w:t>
            </w:r>
          </w:p>
        </w:tc>
        <w:tc>
          <w:tcPr>
            <w:tcW w:w="992" w:type="dxa"/>
            <w:tcBorders>
              <w:top w:val="single" w:sz="4" w:space="0" w:color="auto"/>
              <w:left w:val="single" w:sz="4" w:space="0" w:color="auto"/>
              <w:bottom w:val="single" w:sz="4" w:space="0" w:color="auto"/>
              <w:right w:val="single" w:sz="4" w:space="0" w:color="auto"/>
            </w:tcBorders>
          </w:tcPr>
          <w:p w:rsidR="0069484F" w:rsidRPr="00AD3267" w:rsidRDefault="0069484F" w:rsidP="00ED53FE">
            <w:pPr>
              <w:jc w:val="center"/>
              <w:rPr>
                <w:rFonts w:ascii="Calibri" w:hAnsi="Calibri"/>
                <w:b/>
                <w:sz w:val="18"/>
                <w:szCs w:val="18"/>
              </w:rPr>
            </w:pPr>
            <w:r w:rsidRPr="00AD3267">
              <w:rPr>
                <w:rFonts w:ascii="Calibri" w:hAnsi="Calibri"/>
                <w:b/>
                <w:sz w:val="18"/>
                <w:szCs w:val="18"/>
              </w:rPr>
              <w:t>Załącznik normy</w:t>
            </w:r>
          </w:p>
        </w:tc>
        <w:tc>
          <w:tcPr>
            <w:tcW w:w="3543" w:type="dxa"/>
            <w:gridSpan w:val="5"/>
            <w:tcBorders>
              <w:top w:val="single" w:sz="4" w:space="0" w:color="auto"/>
              <w:left w:val="single" w:sz="4" w:space="0" w:color="auto"/>
              <w:bottom w:val="single" w:sz="4" w:space="0" w:color="auto"/>
              <w:right w:val="single" w:sz="4" w:space="0" w:color="auto"/>
            </w:tcBorders>
          </w:tcPr>
          <w:p w:rsidR="0069484F" w:rsidRPr="00AD3267" w:rsidRDefault="0069484F" w:rsidP="00ED53FE">
            <w:pPr>
              <w:spacing w:before="120"/>
              <w:jc w:val="center"/>
              <w:rPr>
                <w:rFonts w:ascii="Calibri" w:hAnsi="Calibri"/>
                <w:b/>
                <w:sz w:val="18"/>
                <w:szCs w:val="18"/>
              </w:rPr>
            </w:pPr>
            <w:r w:rsidRPr="00AD3267">
              <w:rPr>
                <w:rFonts w:ascii="Calibri" w:hAnsi="Calibri"/>
                <w:b/>
                <w:sz w:val="18"/>
                <w:szCs w:val="18"/>
              </w:rPr>
              <w:t>Wymaganie</w:t>
            </w:r>
          </w:p>
        </w:tc>
      </w:tr>
      <w:tr w:rsidR="0069484F" w:rsidRPr="00AD3267" w:rsidTr="0069484F">
        <w:tc>
          <w:tcPr>
            <w:tcW w:w="568" w:type="dxa"/>
            <w:tcBorders>
              <w:top w:val="single" w:sz="4" w:space="0" w:color="auto"/>
              <w:left w:val="single" w:sz="4" w:space="0" w:color="auto"/>
              <w:bottom w:val="single" w:sz="4" w:space="0" w:color="auto"/>
              <w:right w:val="single" w:sz="4" w:space="0" w:color="auto"/>
            </w:tcBorders>
          </w:tcPr>
          <w:p w:rsidR="0069484F" w:rsidRPr="00AD3267" w:rsidRDefault="0069484F" w:rsidP="00ED53FE">
            <w:pPr>
              <w:jc w:val="center"/>
              <w:rPr>
                <w:rFonts w:ascii="Calibri" w:hAnsi="Calibri"/>
                <w:sz w:val="18"/>
                <w:szCs w:val="18"/>
              </w:rPr>
            </w:pPr>
            <w:r w:rsidRPr="00AD3267">
              <w:rPr>
                <w:rFonts w:ascii="Calibri" w:hAnsi="Calibri"/>
                <w:sz w:val="18"/>
                <w:szCs w:val="18"/>
              </w:rPr>
              <w:t>1</w:t>
            </w:r>
          </w:p>
        </w:tc>
        <w:tc>
          <w:tcPr>
            <w:tcW w:w="2693" w:type="dxa"/>
            <w:tcBorders>
              <w:top w:val="single" w:sz="4" w:space="0" w:color="auto"/>
              <w:left w:val="single" w:sz="4" w:space="0" w:color="auto"/>
              <w:bottom w:val="single" w:sz="4" w:space="0" w:color="auto"/>
            </w:tcBorders>
          </w:tcPr>
          <w:p w:rsidR="0069484F" w:rsidRPr="00AD3267" w:rsidRDefault="0069484F" w:rsidP="00ED53FE">
            <w:pPr>
              <w:rPr>
                <w:rFonts w:ascii="Calibri" w:hAnsi="Calibri"/>
                <w:sz w:val="18"/>
                <w:szCs w:val="18"/>
              </w:rPr>
            </w:pPr>
            <w:r w:rsidRPr="00AD3267">
              <w:rPr>
                <w:rFonts w:ascii="Calibri" w:hAnsi="Calibri"/>
                <w:sz w:val="18"/>
                <w:szCs w:val="18"/>
              </w:rPr>
              <w:t>Kształt i wymiary</w:t>
            </w:r>
          </w:p>
        </w:tc>
        <w:tc>
          <w:tcPr>
            <w:tcW w:w="992" w:type="dxa"/>
            <w:tcBorders>
              <w:top w:val="single" w:sz="4" w:space="0" w:color="auto"/>
              <w:bottom w:val="single" w:sz="4" w:space="0" w:color="auto"/>
            </w:tcBorders>
          </w:tcPr>
          <w:p w:rsidR="0069484F" w:rsidRPr="00AD3267" w:rsidRDefault="0069484F" w:rsidP="00ED53FE">
            <w:pPr>
              <w:rPr>
                <w:rFonts w:ascii="Calibri" w:hAnsi="Calibri"/>
                <w:sz w:val="18"/>
                <w:szCs w:val="18"/>
              </w:rPr>
            </w:pPr>
          </w:p>
        </w:tc>
        <w:tc>
          <w:tcPr>
            <w:tcW w:w="3543" w:type="dxa"/>
            <w:gridSpan w:val="5"/>
            <w:tcBorders>
              <w:top w:val="single" w:sz="4" w:space="0" w:color="auto"/>
              <w:left w:val="nil"/>
              <w:bottom w:val="single" w:sz="4" w:space="0" w:color="auto"/>
              <w:right w:val="single" w:sz="4" w:space="0" w:color="auto"/>
            </w:tcBorders>
          </w:tcPr>
          <w:p w:rsidR="0069484F" w:rsidRPr="00AD3267" w:rsidRDefault="0069484F" w:rsidP="00ED53FE">
            <w:pPr>
              <w:rPr>
                <w:rFonts w:ascii="Calibri" w:hAnsi="Calibri"/>
                <w:sz w:val="18"/>
                <w:szCs w:val="18"/>
              </w:rPr>
            </w:pPr>
          </w:p>
        </w:tc>
      </w:tr>
      <w:tr w:rsidR="0069484F" w:rsidRPr="00AD3267" w:rsidTr="0069484F">
        <w:tc>
          <w:tcPr>
            <w:tcW w:w="568" w:type="dxa"/>
            <w:tcBorders>
              <w:top w:val="single" w:sz="4" w:space="0" w:color="auto"/>
              <w:left w:val="single" w:sz="4" w:space="0" w:color="auto"/>
              <w:bottom w:val="single" w:sz="4" w:space="0" w:color="auto"/>
              <w:right w:val="single" w:sz="4" w:space="0" w:color="auto"/>
            </w:tcBorders>
          </w:tcPr>
          <w:p w:rsidR="0069484F" w:rsidRPr="00AD3267" w:rsidRDefault="0069484F" w:rsidP="00ED53FE">
            <w:pPr>
              <w:jc w:val="center"/>
              <w:rPr>
                <w:rFonts w:ascii="Calibri" w:hAnsi="Calibri"/>
                <w:sz w:val="18"/>
                <w:szCs w:val="18"/>
              </w:rPr>
            </w:pPr>
            <w:r w:rsidRPr="00AD3267">
              <w:rPr>
                <w:rFonts w:ascii="Calibri" w:hAnsi="Calibri"/>
                <w:sz w:val="18"/>
                <w:szCs w:val="18"/>
              </w:rPr>
              <w:t>1.1</w:t>
            </w:r>
          </w:p>
        </w:tc>
        <w:tc>
          <w:tcPr>
            <w:tcW w:w="2693" w:type="dxa"/>
            <w:tcBorders>
              <w:top w:val="single" w:sz="4" w:space="0" w:color="auto"/>
              <w:left w:val="single" w:sz="4" w:space="0" w:color="auto"/>
              <w:bottom w:val="single" w:sz="4" w:space="0" w:color="auto"/>
              <w:right w:val="single" w:sz="4" w:space="0" w:color="auto"/>
            </w:tcBorders>
          </w:tcPr>
          <w:p w:rsidR="0069484F" w:rsidRPr="00AD3267" w:rsidRDefault="0069484F" w:rsidP="00ED53FE">
            <w:pPr>
              <w:rPr>
                <w:rFonts w:ascii="Calibri" w:hAnsi="Calibri"/>
                <w:sz w:val="18"/>
                <w:szCs w:val="18"/>
              </w:rPr>
            </w:pPr>
            <w:r w:rsidRPr="00AD3267">
              <w:rPr>
                <w:rFonts w:ascii="Calibri" w:hAnsi="Calibri"/>
                <w:sz w:val="18"/>
                <w:szCs w:val="18"/>
              </w:rPr>
              <w:t>Dopuszczalne odchyłki w mm od</w:t>
            </w:r>
          </w:p>
          <w:p w:rsidR="0069484F" w:rsidRPr="00AD3267" w:rsidRDefault="0069484F" w:rsidP="00ED53FE">
            <w:pPr>
              <w:rPr>
                <w:rFonts w:ascii="Calibri" w:hAnsi="Calibri"/>
                <w:sz w:val="18"/>
                <w:szCs w:val="18"/>
              </w:rPr>
            </w:pPr>
            <w:r w:rsidRPr="00AD3267">
              <w:rPr>
                <w:rFonts w:ascii="Calibri" w:hAnsi="Calibri"/>
                <w:sz w:val="18"/>
                <w:szCs w:val="18"/>
              </w:rPr>
              <w:t>zadeklarowanych wymiarów kostki,</w:t>
            </w:r>
          </w:p>
          <w:p w:rsidR="0069484F" w:rsidRPr="00AD3267" w:rsidRDefault="0069484F" w:rsidP="00ED53FE">
            <w:pPr>
              <w:rPr>
                <w:rFonts w:ascii="Calibri" w:hAnsi="Calibri"/>
                <w:sz w:val="18"/>
                <w:szCs w:val="18"/>
              </w:rPr>
            </w:pPr>
            <w:r w:rsidRPr="00AD3267">
              <w:rPr>
                <w:rFonts w:ascii="Calibri" w:hAnsi="Calibri"/>
                <w:sz w:val="18"/>
                <w:szCs w:val="18"/>
              </w:rPr>
              <w:t xml:space="preserve">grubości                           &lt; </w:t>
            </w:r>
            <w:smartTag w:uri="urn:schemas-microsoft-com:office:smarttags" w:element="metricconverter">
              <w:smartTagPr>
                <w:attr w:name="ProductID" w:val="100 mm"/>
              </w:smartTagPr>
              <w:r w:rsidRPr="00AD3267">
                <w:rPr>
                  <w:rFonts w:ascii="Calibri" w:hAnsi="Calibri"/>
                  <w:sz w:val="18"/>
                  <w:szCs w:val="18"/>
                </w:rPr>
                <w:t>100 mm</w:t>
              </w:r>
            </w:smartTag>
          </w:p>
          <w:p w:rsidR="0069484F" w:rsidRPr="00AD3267" w:rsidRDefault="0069484F" w:rsidP="00ED53FE">
            <w:pPr>
              <w:rPr>
                <w:rFonts w:ascii="Calibri" w:hAnsi="Calibri"/>
                <w:sz w:val="18"/>
                <w:szCs w:val="18"/>
              </w:rPr>
            </w:pPr>
            <w:r w:rsidRPr="00AD3267">
              <w:rPr>
                <w:rFonts w:ascii="Calibri" w:hAnsi="Calibri"/>
                <w:sz w:val="18"/>
                <w:szCs w:val="18"/>
              </w:rPr>
              <w:t xml:space="preserve">                                          ≥ </w:t>
            </w:r>
            <w:smartTag w:uri="urn:schemas-microsoft-com:office:smarttags" w:element="metricconverter">
              <w:smartTagPr>
                <w:attr w:name="ProductID" w:val="100 mm"/>
              </w:smartTagPr>
              <w:r w:rsidRPr="00AD3267">
                <w:rPr>
                  <w:rFonts w:ascii="Calibri" w:hAnsi="Calibri"/>
                  <w:sz w:val="18"/>
                  <w:szCs w:val="18"/>
                </w:rPr>
                <w:t>100 mm</w:t>
              </w:r>
            </w:smartTag>
          </w:p>
        </w:tc>
        <w:tc>
          <w:tcPr>
            <w:tcW w:w="992" w:type="dxa"/>
            <w:tcBorders>
              <w:top w:val="single" w:sz="4" w:space="0" w:color="auto"/>
              <w:left w:val="single" w:sz="4" w:space="0" w:color="auto"/>
              <w:bottom w:val="single" w:sz="4" w:space="0" w:color="auto"/>
              <w:right w:val="single" w:sz="4" w:space="0" w:color="auto"/>
            </w:tcBorders>
          </w:tcPr>
          <w:p w:rsidR="0069484F" w:rsidRPr="00AD3267" w:rsidRDefault="0069484F" w:rsidP="00ED53FE">
            <w:pPr>
              <w:jc w:val="center"/>
              <w:rPr>
                <w:rFonts w:ascii="Calibri" w:hAnsi="Calibri"/>
                <w:sz w:val="18"/>
                <w:szCs w:val="18"/>
              </w:rPr>
            </w:pPr>
            <w:r w:rsidRPr="00AD3267">
              <w:rPr>
                <w:rFonts w:ascii="Calibri" w:hAnsi="Calibri"/>
                <w:sz w:val="18"/>
                <w:szCs w:val="18"/>
              </w:rPr>
              <w:t>C</w:t>
            </w:r>
          </w:p>
        </w:tc>
        <w:tc>
          <w:tcPr>
            <w:tcW w:w="850" w:type="dxa"/>
            <w:tcBorders>
              <w:top w:val="single" w:sz="4" w:space="0" w:color="auto"/>
              <w:left w:val="single" w:sz="4" w:space="0" w:color="auto"/>
              <w:bottom w:val="single" w:sz="4" w:space="0" w:color="auto"/>
              <w:right w:val="single" w:sz="4" w:space="0" w:color="auto"/>
            </w:tcBorders>
          </w:tcPr>
          <w:p w:rsidR="0069484F" w:rsidRPr="00AD3267" w:rsidRDefault="0069484F" w:rsidP="00ED53FE">
            <w:pPr>
              <w:ind w:left="-108"/>
              <w:jc w:val="center"/>
              <w:rPr>
                <w:rFonts w:ascii="Calibri" w:hAnsi="Calibri"/>
                <w:sz w:val="18"/>
                <w:szCs w:val="18"/>
              </w:rPr>
            </w:pPr>
            <w:r w:rsidRPr="00AD3267">
              <w:rPr>
                <w:rFonts w:ascii="Calibri" w:hAnsi="Calibri"/>
                <w:sz w:val="18"/>
                <w:szCs w:val="18"/>
              </w:rPr>
              <w:t>Długość</w:t>
            </w:r>
          </w:p>
          <w:p w:rsidR="0069484F" w:rsidRDefault="0069484F" w:rsidP="00ED53FE">
            <w:pPr>
              <w:ind w:left="-108"/>
              <w:jc w:val="center"/>
              <w:rPr>
                <w:rFonts w:ascii="Calibri" w:hAnsi="Calibri"/>
                <w:sz w:val="18"/>
                <w:szCs w:val="18"/>
              </w:rPr>
            </w:pPr>
          </w:p>
          <w:p w:rsidR="0069484F" w:rsidRPr="00AD3267" w:rsidRDefault="0069484F" w:rsidP="00ED53FE">
            <w:pPr>
              <w:ind w:left="-108"/>
              <w:jc w:val="center"/>
              <w:rPr>
                <w:rFonts w:ascii="Calibri" w:hAnsi="Calibri"/>
                <w:sz w:val="18"/>
                <w:szCs w:val="18"/>
              </w:rPr>
            </w:pPr>
          </w:p>
          <w:p w:rsidR="0069484F" w:rsidRPr="00AD3267" w:rsidRDefault="0069484F" w:rsidP="00ED53FE">
            <w:pPr>
              <w:ind w:left="-108"/>
              <w:jc w:val="center"/>
              <w:rPr>
                <w:rFonts w:ascii="Calibri" w:hAnsi="Calibri"/>
                <w:sz w:val="18"/>
                <w:szCs w:val="18"/>
              </w:rPr>
            </w:pPr>
            <w:r w:rsidRPr="00AD3267">
              <w:rPr>
                <w:rFonts w:ascii="Calibri" w:hAnsi="Calibri"/>
                <w:sz w:val="18"/>
                <w:szCs w:val="18"/>
              </w:rPr>
              <w:t>± 2</w:t>
            </w:r>
          </w:p>
          <w:p w:rsidR="0069484F" w:rsidRPr="00AD3267" w:rsidRDefault="0069484F" w:rsidP="00ED53FE">
            <w:pPr>
              <w:ind w:left="-108"/>
              <w:jc w:val="center"/>
              <w:rPr>
                <w:rFonts w:ascii="Calibri" w:hAnsi="Calibri"/>
                <w:sz w:val="18"/>
                <w:szCs w:val="18"/>
              </w:rPr>
            </w:pPr>
            <w:r w:rsidRPr="00AD3267">
              <w:rPr>
                <w:rFonts w:ascii="Calibri" w:hAnsi="Calibri"/>
                <w:sz w:val="18"/>
                <w:szCs w:val="18"/>
              </w:rPr>
              <w:t>± 3</w:t>
            </w:r>
          </w:p>
        </w:tc>
        <w:tc>
          <w:tcPr>
            <w:tcW w:w="851" w:type="dxa"/>
            <w:gridSpan w:val="2"/>
            <w:tcBorders>
              <w:top w:val="single" w:sz="4" w:space="0" w:color="auto"/>
              <w:left w:val="single" w:sz="4" w:space="0" w:color="auto"/>
              <w:bottom w:val="single" w:sz="4" w:space="0" w:color="auto"/>
              <w:right w:val="single" w:sz="4" w:space="0" w:color="auto"/>
            </w:tcBorders>
          </w:tcPr>
          <w:p w:rsidR="0069484F" w:rsidRPr="00AD3267" w:rsidRDefault="0069484F" w:rsidP="00ED53FE">
            <w:pPr>
              <w:ind w:left="-139"/>
              <w:jc w:val="center"/>
              <w:rPr>
                <w:rFonts w:ascii="Calibri" w:hAnsi="Calibri"/>
                <w:sz w:val="18"/>
                <w:szCs w:val="18"/>
              </w:rPr>
            </w:pPr>
            <w:r w:rsidRPr="00AD3267">
              <w:rPr>
                <w:rFonts w:ascii="Calibri" w:hAnsi="Calibri"/>
                <w:sz w:val="18"/>
                <w:szCs w:val="18"/>
              </w:rPr>
              <w:t>szerokość</w:t>
            </w:r>
          </w:p>
          <w:p w:rsidR="0069484F" w:rsidRDefault="0069484F" w:rsidP="00ED53FE">
            <w:pPr>
              <w:ind w:left="-139"/>
              <w:jc w:val="center"/>
              <w:rPr>
                <w:rFonts w:ascii="Calibri" w:hAnsi="Calibri"/>
                <w:sz w:val="18"/>
                <w:szCs w:val="18"/>
              </w:rPr>
            </w:pPr>
          </w:p>
          <w:p w:rsidR="0069484F" w:rsidRPr="00AD3267" w:rsidRDefault="0069484F" w:rsidP="00ED53FE">
            <w:pPr>
              <w:ind w:left="-139"/>
              <w:jc w:val="center"/>
              <w:rPr>
                <w:rFonts w:ascii="Calibri" w:hAnsi="Calibri"/>
                <w:sz w:val="18"/>
                <w:szCs w:val="18"/>
              </w:rPr>
            </w:pPr>
          </w:p>
          <w:p w:rsidR="0069484F" w:rsidRPr="00AD3267" w:rsidRDefault="0069484F" w:rsidP="00ED53FE">
            <w:pPr>
              <w:ind w:left="-139"/>
              <w:jc w:val="center"/>
              <w:rPr>
                <w:rFonts w:ascii="Calibri" w:hAnsi="Calibri"/>
                <w:sz w:val="18"/>
                <w:szCs w:val="18"/>
              </w:rPr>
            </w:pPr>
            <w:r w:rsidRPr="00AD3267">
              <w:rPr>
                <w:rFonts w:ascii="Calibri" w:hAnsi="Calibri"/>
                <w:sz w:val="18"/>
                <w:szCs w:val="18"/>
              </w:rPr>
              <w:t>± 2</w:t>
            </w:r>
          </w:p>
          <w:p w:rsidR="0069484F" w:rsidRPr="00AD3267" w:rsidRDefault="0069484F" w:rsidP="00ED53FE">
            <w:pPr>
              <w:ind w:left="-139"/>
              <w:jc w:val="center"/>
              <w:rPr>
                <w:rFonts w:ascii="Calibri" w:hAnsi="Calibri"/>
                <w:sz w:val="18"/>
                <w:szCs w:val="18"/>
              </w:rPr>
            </w:pPr>
            <w:r w:rsidRPr="00AD3267">
              <w:rPr>
                <w:rFonts w:ascii="Calibri" w:hAnsi="Calibri"/>
                <w:sz w:val="18"/>
                <w:szCs w:val="18"/>
              </w:rPr>
              <w:t>± 3</w:t>
            </w:r>
          </w:p>
        </w:tc>
        <w:tc>
          <w:tcPr>
            <w:tcW w:w="708" w:type="dxa"/>
            <w:tcBorders>
              <w:top w:val="single" w:sz="4" w:space="0" w:color="auto"/>
              <w:left w:val="single" w:sz="4" w:space="0" w:color="auto"/>
              <w:bottom w:val="single" w:sz="4" w:space="0" w:color="auto"/>
              <w:right w:val="single" w:sz="4" w:space="0" w:color="auto"/>
            </w:tcBorders>
          </w:tcPr>
          <w:p w:rsidR="0069484F" w:rsidRPr="00AD3267" w:rsidRDefault="0069484F" w:rsidP="00ED53FE">
            <w:pPr>
              <w:ind w:left="-109"/>
              <w:jc w:val="center"/>
              <w:rPr>
                <w:rFonts w:ascii="Calibri" w:hAnsi="Calibri"/>
                <w:sz w:val="18"/>
                <w:szCs w:val="18"/>
              </w:rPr>
            </w:pPr>
            <w:r w:rsidRPr="00AD3267">
              <w:rPr>
                <w:rFonts w:ascii="Calibri" w:hAnsi="Calibri"/>
                <w:sz w:val="18"/>
                <w:szCs w:val="18"/>
              </w:rPr>
              <w:t>grubość</w:t>
            </w:r>
          </w:p>
          <w:p w:rsidR="0069484F" w:rsidRDefault="0069484F" w:rsidP="00ED53FE">
            <w:pPr>
              <w:ind w:left="-109"/>
              <w:jc w:val="center"/>
              <w:rPr>
                <w:rFonts w:ascii="Calibri" w:hAnsi="Calibri"/>
                <w:sz w:val="18"/>
                <w:szCs w:val="18"/>
              </w:rPr>
            </w:pPr>
          </w:p>
          <w:p w:rsidR="0069484F" w:rsidRPr="00AD3267" w:rsidRDefault="0069484F" w:rsidP="00ED53FE">
            <w:pPr>
              <w:ind w:left="-109"/>
              <w:jc w:val="center"/>
              <w:rPr>
                <w:rFonts w:ascii="Calibri" w:hAnsi="Calibri"/>
                <w:sz w:val="18"/>
                <w:szCs w:val="18"/>
              </w:rPr>
            </w:pPr>
          </w:p>
          <w:p w:rsidR="0069484F" w:rsidRPr="00AD3267" w:rsidRDefault="0069484F" w:rsidP="00ED53FE">
            <w:pPr>
              <w:ind w:left="-109"/>
              <w:jc w:val="center"/>
              <w:rPr>
                <w:rFonts w:ascii="Calibri" w:hAnsi="Calibri"/>
                <w:sz w:val="18"/>
                <w:szCs w:val="18"/>
              </w:rPr>
            </w:pPr>
            <w:r w:rsidRPr="00AD3267">
              <w:rPr>
                <w:rFonts w:ascii="Calibri" w:hAnsi="Calibri"/>
                <w:sz w:val="18"/>
                <w:szCs w:val="18"/>
              </w:rPr>
              <w:t>± 3</w:t>
            </w:r>
          </w:p>
          <w:p w:rsidR="0069484F" w:rsidRPr="00AD3267" w:rsidRDefault="0069484F" w:rsidP="00ED53FE">
            <w:pPr>
              <w:ind w:left="-109"/>
              <w:jc w:val="center"/>
              <w:rPr>
                <w:rFonts w:ascii="Calibri" w:hAnsi="Calibri"/>
                <w:sz w:val="18"/>
                <w:szCs w:val="18"/>
              </w:rPr>
            </w:pPr>
            <w:r w:rsidRPr="00AD3267">
              <w:rPr>
                <w:rFonts w:ascii="Calibri" w:hAnsi="Calibri"/>
                <w:sz w:val="18"/>
                <w:szCs w:val="18"/>
              </w:rPr>
              <w:t>± 4</w:t>
            </w:r>
          </w:p>
        </w:tc>
        <w:tc>
          <w:tcPr>
            <w:tcW w:w="1134" w:type="dxa"/>
            <w:tcBorders>
              <w:top w:val="single" w:sz="4" w:space="0" w:color="auto"/>
              <w:left w:val="single" w:sz="4" w:space="0" w:color="auto"/>
              <w:bottom w:val="single" w:sz="4" w:space="0" w:color="auto"/>
              <w:right w:val="single" w:sz="4" w:space="0" w:color="auto"/>
            </w:tcBorders>
          </w:tcPr>
          <w:p w:rsidR="0069484F" w:rsidRPr="00AD3267" w:rsidRDefault="0069484F" w:rsidP="00ED53FE">
            <w:pPr>
              <w:rPr>
                <w:rFonts w:ascii="Calibri" w:hAnsi="Calibri"/>
                <w:sz w:val="18"/>
                <w:szCs w:val="18"/>
              </w:rPr>
            </w:pPr>
            <w:r w:rsidRPr="00AD3267">
              <w:rPr>
                <w:rFonts w:ascii="Calibri" w:hAnsi="Calibri"/>
                <w:sz w:val="18"/>
                <w:szCs w:val="18"/>
              </w:rPr>
              <w:t xml:space="preserve">Różnica pomiędzy dwoma pomiarami grubości, tej samej kostki, powinna być ≤ </w:t>
            </w:r>
            <w:smartTag w:uri="urn:schemas-microsoft-com:office:smarttags" w:element="metricconverter">
              <w:smartTagPr>
                <w:attr w:name="ProductID" w:val="3 mm"/>
              </w:smartTagPr>
              <w:r w:rsidRPr="00AD3267">
                <w:rPr>
                  <w:rFonts w:ascii="Calibri" w:hAnsi="Calibri"/>
                  <w:sz w:val="18"/>
                  <w:szCs w:val="18"/>
                </w:rPr>
                <w:t>3 mm</w:t>
              </w:r>
            </w:smartTag>
          </w:p>
        </w:tc>
      </w:tr>
      <w:tr w:rsidR="0069484F" w:rsidRPr="00AD3267" w:rsidTr="0069484F">
        <w:trPr>
          <w:trHeight w:val="1285"/>
        </w:trPr>
        <w:tc>
          <w:tcPr>
            <w:tcW w:w="568" w:type="dxa"/>
            <w:tcBorders>
              <w:top w:val="single" w:sz="4" w:space="0" w:color="auto"/>
              <w:left w:val="single" w:sz="4" w:space="0" w:color="auto"/>
              <w:bottom w:val="single" w:sz="4" w:space="0" w:color="auto"/>
              <w:right w:val="single" w:sz="4" w:space="0" w:color="auto"/>
            </w:tcBorders>
          </w:tcPr>
          <w:p w:rsidR="0069484F" w:rsidRPr="00AD3267" w:rsidRDefault="0069484F" w:rsidP="00ED53FE">
            <w:pPr>
              <w:jc w:val="center"/>
              <w:rPr>
                <w:rFonts w:ascii="Calibri" w:hAnsi="Calibri"/>
                <w:sz w:val="18"/>
                <w:szCs w:val="18"/>
              </w:rPr>
            </w:pPr>
            <w:r w:rsidRPr="00AD3267">
              <w:rPr>
                <w:rFonts w:ascii="Calibri" w:hAnsi="Calibri"/>
                <w:sz w:val="18"/>
                <w:szCs w:val="18"/>
              </w:rPr>
              <w:t>1.2</w:t>
            </w:r>
          </w:p>
        </w:tc>
        <w:tc>
          <w:tcPr>
            <w:tcW w:w="2693" w:type="dxa"/>
            <w:tcBorders>
              <w:top w:val="single" w:sz="4" w:space="0" w:color="auto"/>
              <w:left w:val="single" w:sz="4" w:space="0" w:color="auto"/>
              <w:bottom w:val="single" w:sz="4" w:space="0" w:color="auto"/>
              <w:right w:val="single" w:sz="4" w:space="0" w:color="auto"/>
            </w:tcBorders>
          </w:tcPr>
          <w:p w:rsidR="0069484F" w:rsidRPr="00AD3267" w:rsidRDefault="0069484F" w:rsidP="00ED53FE">
            <w:pPr>
              <w:rPr>
                <w:rFonts w:ascii="Calibri" w:hAnsi="Calibri"/>
                <w:sz w:val="18"/>
                <w:szCs w:val="18"/>
              </w:rPr>
            </w:pPr>
            <w:r w:rsidRPr="00AD3267">
              <w:rPr>
                <w:rFonts w:ascii="Calibri" w:hAnsi="Calibri"/>
                <w:sz w:val="18"/>
                <w:szCs w:val="18"/>
              </w:rPr>
              <w:t>Odchyłki płaskości i pofalowania</w:t>
            </w:r>
          </w:p>
          <w:p w:rsidR="0069484F" w:rsidRPr="00AD3267" w:rsidRDefault="0069484F" w:rsidP="00ED53FE">
            <w:pPr>
              <w:rPr>
                <w:rFonts w:ascii="Calibri" w:hAnsi="Calibri"/>
                <w:sz w:val="18"/>
                <w:szCs w:val="18"/>
              </w:rPr>
            </w:pPr>
            <w:r w:rsidRPr="00AD3267">
              <w:rPr>
                <w:rFonts w:ascii="Calibri" w:hAnsi="Calibri"/>
                <w:sz w:val="18"/>
                <w:szCs w:val="18"/>
              </w:rPr>
              <w:t>(jeśli maksymalne wymiary kostki</w:t>
            </w:r>
          </w:p>
          <w:p w:rsidR="0069484F" w:rsidRPr="00AD3267" w:rsidRDefault="0069484F" w:rsidP="00ED53FE">
            <w:pPr>
              <w:rPr>
                <w:rFonts w:ascii="Calibri" w:hAnsi="Calibri"/>
                <w:sz w:val="18"/>
                <w:szCs w:val="18"/>
              </w:rPr>
            </w:pPr>
            <w:r w:rsidRPr="00AD3267">
              <w:rPr>
                <w:rFonts w:ascii="Calibri" w:hAnsi="Calibri"/>
                <w:sz w:val="18"/>
                <w:szCs w:val="18"/>
              </w:rPr>
              <w:t xml:space="preserve">&gt; </w:t>
            </w:r>
            <w:smartTag w:uri="urn:schemas-microsoft-com:office:smarttags" w:element="metricconverter">
              <w:smartTagPr>
                <w:attr w:name="ProductID" w:val="300 mm"/>
              </w:smartTagPr>
              <w:r w:rsidRPr="00AD3267">
                <w:rPr>
                  <w:rFonts w:ascii="Calibri" w:hAnsi="Calibri"/>
                  <w:sz w:val="18"/>
                  <w:szCs w:val="18"/>
                </w:rPr>
                <w:t>300 mm</w:t>
              </w:r>
            </w:smartTag>
            <w:r w:rsidRPr="00AD3267">
              <w:rPr>
                <w:rFonts w:ascii="Calibri" w:hAnsi="Calibri"/>
                <w:sz w:val="18"/>
                <w:szCs w:val="18"/>
              </w:rPr>
              <w:t>), przy długości pomiarowej</w:t>
            </w:r>
          </w:p>
          <w:p w:rsidR="0069484F" w:rsidRPr="00AD3267" w:rsidRDefault="0069484F" w:rsidP="00ED53FE">
            <w:pPr>
              <w:rPr>
                <w:rFonts w:ascii="Calibri" w:hAnsi="Calibri"/>
                <w:sz w:val="18"/>
                <w:szCs w:val="18"/>
              </w:rPr>
            </w:pPr>
            <w:r w:rsidRPr="00AD3267">
              <w:rPr>
                <w:rFonts w:ascii="Calibri" w:hAnsi="Calibri"/>
                <w:sz w:val="18"/>
                <w:szCs w:val="18"/>
              </w:rPr>
              <w:t xml:space="preserve">                                             </w:t>
            </w:r>
            <w:smartTag w:uri="urn:schemas-microsoft-com:office:smarttags" w:element="metricconverter">
              <w:smartTagPr>
                <w:attr w:name="ProductID" w:val="300 mm"/>
              </w:smartTagPr>
              <w:r w:rsidRPr="00AD3267">
                <w:rPr>
                  <w:rFonts w:ascii="Calibri" w:hAnsi="Calibri"/>
                  <w:sz w:val="18"/>
                  <w:szCs w:val="18"/>
                </w:rPr>
                <w:t>300 mm</w:t>
              </w:r>
            </w:smartTag>
          </w:p>
          <w:p w:rsidR="0069484F" w:rsidRPr="00AD3267" w:rsidRDefault="0069484F" w:rsidP="00ED53FE">
            <w:pPr>
              <w:rPr>
                <w:rFonts w:ascii="Calibri" w:hAnsi="Calibri"/>
                <w:sz w:val="18"/>
                <w:szCs w:val="18"/>
              </w:rPr>
            </w:pPr>
            <w:r w:rsidRPr="00AD3267">
              <w:rPr>
                <w:rFonts w:ascii="Calibri" w:hAnsi="Calibri"/>
                <w:sz w:val="18"/>
                <w:szCs w:val="18"/>
              </w:rPr>
              <w:t xml:space="preserve">                                             </w:t>
            </w:r>
            <w:smartTag w:uri="urn:schemas-microsoft-com:office:smarttags" w:element="metricconverter">
              <w:smartTagPr>
                <w:attr w:name="ProductID" w:val="400 mm"/>
              </w:smartTagPr>
              <w:r w:rsidRPr="00AD3267">
                <w:rPr>
                  <w:rFonts w:ascii="Calibri" w:hAnsi="Calibri"/>
                  <w:sz w:val="18"/>
                  <w:szCs w:val="18"/>
                </w:rPr>
                <w:t>400 mm</w:t>
              </w:r>
            </w:smartTag>
          </w:p>
        </w:tc>
        <w:tc>
          <w:tcPr>
            <w:tcW w:w="992" w:type="dxa"/>
            <w:tcBorders>
              <w:top w:val="single" w:sz="4" w:space="0" w:color="auto"/>
              <w:left w:val="single" w:sz="4" w:space="0" w:color="auto"/>
              <w:bottom w:val="single" w:sz="4" w:space="0" w:color="auto"/>
              <w:right w:val="single" w:sz="4" w:space="0" w:color="auto"/>
            </w:tcBorders>
          </w:tcPr>
          <w:p w:rsidR="0069484F" w:rsidRPr="00AD3267" w:rsidRDefault="0069484F" w:rsidP="00ED53FE">
            <w:pPr>
              <w:jc w:val="center"/>
              <w:rPr>
                <w:rFonts w:ascii="Calibri" w:hAnsi="Calibri"/>
                <w:sz w:val="18"/>
                <w:szCs w:val="18"/>
              </w:rPr>
            </w:pPr>
            <w:r w:rsidRPr="00AD3267">
              <w:rPr>
                <w:rFonts w:ascii="Calibri" w:hAnsi="Calibri"/>
                <w:sz w:val="18"/>
                <w:szCs w:val="18"/>
              </w:rPr>
              <w:t>C</w:t>
            </w:r>
          </w:p>
        </w:tc>
        <w:tc>
          <w:tcPr>
            <w:tcW w:w="3543" w:type="dxa"/>
            <w:gridSpan w:val="5"/>
            <w:tcBorders>
              <w:top w:val="single" w:sz="4" w:space="0" w:color="auto"/>
              <w:left w:val="single" w:sz="4" w:space="0" w:color="auto"/>
              <w:bottom w:val="single" w:sz="4" w:space="0" w:color="auto"/>
              <w:right w:val="single" w:sz="4" w:space="0" w:color="auto"/>
            </w:tcBorders>
          </w:tcPr>
          <w:p w:rsidR="0069484F" w:rsidRPr="00AD3267" w:rsidRDefault="0069484F" w:rsidP="00ED53FE">
            <w:pPr>
              <w:jc w:val="center"/>
              <w:rPr>
                <w:rFonts w:ascii="Calibri" w:hAnsi="Calibri"/>
                <w:sz w:val="18"/>
                <w:szCs w:val="18"/>
              </w:rPr>
            </w:pPr>
            <w:r w:rsidRPr="00AD3267">
              <w:rPr>
                <w:rFonts w:ascii="Calibri" w:hAnsi="Calibri"/>
                <w:sz w:val="18"/>
                <w:szCs w:val="18"/>
              </w:rPr>
              <w:t>Maksymalna (w mm)</w:t>
            </w:r>
          </w:p>
          <w:p w:rsidR="0069484F" w:rsidRPr="00AD3267" w:rsidRDefault="0069484F" w:rsidP="00ED53FE">
            <w:pPr>
              <w:jc w:val="center"/>
              <w:rPr>
                <w:rFonts w:ascii="Calibri" w:hAnsi="Calibri"/>
                <w:sz w:val="18"/>
                <w:szCs w:val="18"/>
              </w:rPr>
            </w:pPr>
            <w:r w:rsidRPr="00AD3267">
              <w:rPr>
                <w:rFonts w:ascii="Calibri" w:hAnsi="Calibri"/>
                <w:sz w:val="18"/>
                <w:szCs w:val="18"/>
              </w:rPr>
              <w:t>wypukłość                      wklęsłość</w:t>
            </w:r>
          </w:p>
          <w:p w:rsidR="0069484F" w:rsidRDefault="0069484F" w:rsidP="00ED53FE">
            <w:pPr>
              <w:jc w:val="center"/>
              <w:rPr>
                <w:rFonts w:ascii="Calibri" w:hAnsi="Calibri"/>
                <w:sz w:val="18"/>
                <w:szCs w:val="18"/>
              </w:rPr>
            </w:pPr>
          </w:p>
          <w:p w:rsidR="0069484F" w:rsidRPr="00AD3267" w:rsidRDefault="0069484F" w:rsidP="00ED53FE">
            <w:pPr>
              <w:jc w:val="center"/>
              <w:rPr>
                <w:rFonts w:ascii="Calibri" w:hAnsi="Calibri"/>
                <w:sz w:val="18"/>
                <w:szCs w:val="18"/>
              </w:rPr>
            </w:pPr>
          </w:p>
          <w:p w:rsidR="0069484F" w:rsidRPr="00AD3267" w:rsidRDefault="0069484F" w:rsidP="00ED53FE">
            <w:pPr>
              <w:jc w:val="center"/>
              <w:rPr>
                <w:rFonts w:ascii="Calibri" w:hAnsi="Calibri"/>
                <w:sz w:val="18"/>
                <w:szCs w:val="18"/>
              </w:rPr>
            </w:pPr>
            <w:r w:rsidRPr="00AD3267">
              <w:rPr>
                <w:rFonts w:ascii="Calibri" w:hAnsi="Calibri"/>
                <w:sz w:val="18"/>
                <w:szCs w:val="18"/>
              </w:rPr>
              <w:t>1,5                                    1,0</w:t>
            </w:r>
          </w:p>
          <w:p w:rsidR="0069484F" w:rsidRPr="00AD3267" w:rsidRDefault="0069484F" w:rsidP="00ED53FE">
            <w:pPr>
              <w:jc w:val="center"/>
              <w:rPr>
                <w:rFonts w:ascii="Calibri" w:hAnsi="Calibri"/>
                <w:sz w:val="18"/>
                <w:szCs w:val="18"/>
              </w:rPr>
            </w:pPr>
            <w:r w:rsidRPr="00AD3267">
              <w:rPr>
                <w:rFonts w:ascii="Calibri" w:hAnsi="Calibri"/>
                <w:sz w:val="18"/>
                <w:szCs w:val="18"/>
              </w:rPr>
              <w:t>2,0                                    1,5</w:t>
            </w:r>
          </w:p>
        </w:tc>
      </w:tr>
      <w:tr w:rsidR="0069484F" w:rsidRPr="00AD3267" w:rsidTr="0069484F">
        <w:trPr>
          <w:trHeight w:val="421"/>
        </w:trPr>
        <w:tc>
          <w:tcPr>
            <w:tcW w:w="568" w:type="dxa"/>
            <w:tcBorders>
              <w:top w:val="single" w:sz="4" w:space="0" w:color="auto"/>
              <w:left w:val="single" w:sz="4" w:space="0" w:color="auto"/>
              <w:bottom w:val="single" w:sz="4" w:space="0" w:color="auto"/>
              <w:right w:val="single" w:sz="4" w:space="0" w:color="auto"/>
            </w:tcBorders>
          </w:tcPr>
          <w:p w:rsidR="0069484F" w:rsidRPr="00AD3267" w:rsidRDefault="0069484F" w:rsidP="00ED53FE">
            <w:pPr>
              <w:jc w:val="center"/>
              <w:rPr>
                <w:rFonts w:ascii="Calibri" w:hAnsi="Calibri"/>
                <w:sz w:val="18"/>
                <w:szCs w:val="18"/>
              </w:rPr>
            </w:pPr>
            <w:r w:rsidRPr="00AD3267">
              <w:rPr>
                <w:rFonts w:ascii="Calibri" w:hAnsi="Calibri"/>
                <w:sz w:val="18"/>
                <w:szCs w:val="18"/>
              </w:rPr>
              <w:t>2</w:t>
            </w:r>
          </w:p>
        </w:tc>
        <w:tc>
          <w:tcPr>
            <w:tcW w:w="7228" w:type="dxa"/>
            <w:gridSpan w:val="7"/>
            <w:tcBorders>
              <w:top w:val="single" w:sz="4" w:space="0" w:color="auto"/>
              <w:left w:val="single" w:sz="4" w:space="0" w:color="auto"/>
              <w:bottom w:val="single" w:sz="4" w:space="0" w:color="auto"/>
              <w:right w:val="single" w:sz="4" w:space="0" w:color="auto"/>
            </w:tcBorders>
          </w:tcPr>
          <w:p w:rsidR="0069484F" w:rsidRPr="00AD3267" w:rsidRDefault="0069484F" w:rsidP="00ED53FE">
            <w:pPr>
              <w:rPr>
                <w:rFonts w:ascii="Calibri" w:hAnsi="Calibri"/>
                <w:sz w:val="18"/>
                <w:szCs w:val="18"/>
              </w:rPr>
            </w:pPr>
            <w:r w:rsidRPr="00AD3267">
              <w:rPr>
                <w:rFonts w:ascii="Calibri" w:hAnsi="Calibri"/>
                <w:sz w:val="18"/>
                <w:szCs w:val="18"/>
              </w:rPr>
              <w:t>Właściwości fizyczne i mechaniczne</w:t>
            </w:r>
          </w:p>
        </w:tc>
      </w:tr>
      <w:tr w:rsidR="0069484F" w:rsidRPr="00AD3267" w:rsidTr="0069484F">
        <w:trPr>
          <w:trHeight w:val="579"/>
        </w:trPr>
        <w:tc>
          <w:tcPr>
            <w:tcW w:w="568" w:type="dxa"/>
            <w:tcBorders>
              <w:top w:val="single" w:sz="4" w:space="0" w:color="auto"/>
              <w:left w:val="single" w:sz="4" w:space="0" w:color="auto"/>
              <w:bottom w:val="single" w:sz="4" w:space="0" w:color="auto"/>
              <w:right w:val="single" w:sz="4" w:space="0" w:color="auto"/>
            </w:tcBorders>
          </w:tcPr>
          <w:p w:rsidR="0069484F" w:rsidRPr="00AD3267" w:rsidRDefault="0069484F" w:rsidP="00ED53FE">
            <w:pPr>
              <w:jc w:val="center"/>
              <w:rPr>
                <w:rFonts w:ascii="Calibri" w:hAnsi="Calibri"/>
                <w:sz w:val="18"/>
                <w:szCs w:val="18"/>
              </w:rPr>
            </w:pPr>
            <w:r w:rsidRPr="00AD3267">
              <w:rPr>
                <w:rFonts w:ascii="Calibri" w:hAnsi="Calibri"/>
                <w:sz w:val="18"/>
                <w:szCs w:val="18"/>
              </w:rPr>
              <w:t>2.1</w:t>
            </w:r>
          </w:p>
        </w:tc>
        <w:tc>
          <w:tcPr>
            <w:tcW w:w="2693" w:type="dxa"/>
            <w:tcBorders>
              <w:top w:val="single" w:sz="4" w:space="0" w:color="auto"/>
              <w:left w:val="single" w:sz="4" w:space="0" w:color="auto"/>
              <w:bottom w:val="single" w:sz="4" w:space="0" w:color="auto"/>
              <w:right w:val="single" w:sz="4" w:space="0" w:color="auto"/>
            </w:tcBorders>
          </w:tcPr>
          <w:p w:rsidR="0069484F" w:rsidRPr="00AD3267" w:rsidRDefault="0069484F" w:rsidP="00ED53FE">
            <w:pPr>
              <w:rPr>
                <w:rFonts w:ascii="Calibri" w:hAnsi="Calibri"/>
                <w:sz w:val="18"/>
                <w:szCs w:val="18"/>
              </w:rPr>
            </w:pPr>
            <w:r w:rsidRPr="00AD3267">
              <w:rPr>
                <w:rFonts w:ascii="Calibri" w:hAnsi="Calibri"/>
                <w:sz w:val="18"/>
                <w:szCs w:val="18"/>
              </w:rPr>
              <w:t>Odporność na zamrażanie/rozmraża-nie z udziałem soli odladzających (wg klasy 3, zał. D)</w:t>
            </w:r>
          </w:p>
          <w:p w:rsidR="0069484F" w:rsidRPr="00AD3267" w:rsidRDefault="0069484F" w:rsidP="00ED53FE">
            <w:pPr>
              <w:rPr>
                <w:rFonts w:ascii="Calibri" w:hAnsi="Calibri"/>
                <w:sz w:val="18"/>
                <w:szCs w:val="18"/>
              </w:rPr>
            </w:pPr>
          </w:p>
        </w:tc>
        <w:tc>
          <w:tcPr>
            <w:tcW w:w="992" w:type="dxa"/>
            <w:tcBorders>
              <w:top w:val="single" w:sz="4" w:space="0" w:color="auto"/>
              <w:left w:val="single" w:sz="4" w:space="0" w:color="auto"/>
              <w:bottom w:val="single" w:sz="4" w:space="0" w:color="auto"/>
              <w:right w:val="single" w:sz="4" w:space="0" w:color="auto"/>
            </w:tcBorders>
          </w:tcPr>
          <w:p w:rsidR="0069484F" w:rsidRPr="00AD3267" w:rsidRDefault="0069484F" w:rsidP="00ED53FE">
            <w:pPr>
              <w:jc w:val="center"/>
              <w:rPr>
                <w:rFonts w:ascii="Calibri" w:hAnsi="Calibri"/>
                <w:sz w:val="18"/>
                <w:szCs w:val="18"/>
              </w:rPr>
            </w:pPr>
            <w:r w:rsidRPr="00AD3267">
              <w:rPr>
                <w:rFonts w:ascii="Calibri" w:hAnsi="Calibri"/>
                <w:sz w:val="18"/>
                <w:szCs w:val="18"/>
              </w:rPr>
              <w:t>D</w:t>
            </w:r>
          </w:p>
        </w:tc>
        <w:tc>
          <w:tcPr>
            <w:tcW w:w="3543" w:type="dxa"/>
            <w:gridSpan w:val="5"/>
            <w:tcBorders>
              <w:top w:val="single" w:sz="4" w:space="0" w:color="auto"/>
              <w:left w:val="single" w:sz="4" w:space="0" w:color="auto"/>
              <w:bottom w:val="single" w:sz="4" w:space="0" w:color="auto"/>
              <w:right w:val="single" w:sz="4" w:space="0" w:color="auto"/>
            </w:tcBorders>
          </w:tcPr>
          <w:p w:rsidR="0069484F" w:rsidRPr="00AD3267" w:rsidRDefault="0069484F" w:rsidP="00ED53FE">
            <w:pPr>
              <w:rPr>
                <w:rFonts w:ascii="Calibri" w:hAnsi="Calibri"/>
                <w:sz w:val="18"/>
                <w:szCs w:val="18"/>
              </w:rPr>
            </w:pPr>
            <w:r w:rsidRPr="00AD3267">
              <w:rPr>
                <w:rFonts w:ascii="Calibri" w:hAnsi="Calibri"/>
                <w:sz w:val="18"/>
                <w:szCs w:val="18"/>
              </w:rPr>
              <w:t>Ubytek masy po badaniu: wartość średnia ≤ 1,0 kg/m</w:t>
            </w:r>
            <w:r w:rsidRPr="00AD3267">
              <w:rPr>
                <w:rFonts w:ascii="Calibri" w:hAnsi="Calibri"/>
                <w:sz w:val="18"/>
                <w:szCs w:val="18"/>
                <w:vertAlign w:val="superscript"/>
              </w:rPr>
              <w:t>2</w:t>
            </w:r>
            <w:r w:rsidRPr="00AD3267">
              <w:rPr>
                <w:rFonts w:ascii="Calibri" w:hAnsi="Calibri"/>
                <w:sz w:val="18"/>
                <w:szCs w:val="18"/>
              </w:rPr>
              <w:t>, przy czym każdy pojedynczy wynik &lt; 1,5 kg/m</w:t>
            </w:r>
            <w:r w:rsidRPr="00AD3267">
              <w:rPr>
                <w:rFonts w:ascii="Calibri" w:hAnsi="Calibri"/>
                <w:sz w:val="18"/>
                <w:szCs w:val="18"/>
                <w:vertAlign w:val="superscript"/>
              </w:rPr>
              <w:t>2</w:t>
            </w:r>
            <w:r w:rsidRPr="00AD3267">
              <w:rPr>
                <w:rFonts w:ascii="Calibri" w:hAnsi="Calibri"/>
                <w:sz w:val="18"/>
                <w:szCs w:val="18"/>
              </w:rPr>
              <w:t xml:space="preserve"> </w:t>
            </w:r>
          </w:p>
        </w:tc>
      </w:tr>
      <w:tr w:rsidR="0069484F" w:rsidRPr="00AD3267" w:rsidTr="0069484F">
        <w:tc>
          <w:tcPr>
            <w:tcW w:w="568" w:type="dxa"/>
            <w:tcBorders>
              <w:top w:val="single" w:sz="4" w:space="0" w:color="auto"/>
              <w:left w:val="single" w:sz="4" w:space="0" w:color="auto"/>
              <w:bottom w:val="single" w:sz="4" w:space="0" w:color="auto"/>
              <w:right w:val="single" w:sz="4" w:space="0" w:color="auto"/>
            </w:tcBorders>
          </w:tcPr>
          <w:p w:rsidR="0069484F" w:rsidRPr="00AD3267" w:rsidRDefault="0069484F" w:rsidP="00ED53FE">
            <w:pPr>
              <w:jc w:val="center"/>
              <w:rPr>
                <w:rFonts w:ascii="Calibri" w:hAnsi="Calibri"/>
                <w:sz w:val="18"/>
                <w:szCs w:val="18"/>
              </w:rPr>
            </w:pPr>
            <w:r w:rsidRPr="00AD3267">
              <w:rPr>
                <w:rFonts w:ascii="Calibri" w:hAnsi="Calibri"/>
                <w:sz w:val="18"/>
                <w:szCs w:val="18"/>
              </w:rPr>
              <w:t>2.2</w:t>
            </w:r>
          </w:p>
        </w:tc>
        <w:tc>
          <w:tcPr>
            <w:tcW w:w="2693" w:type="dxa"/>
            <w:tcBorders>
              <w:top w:val="single" w:sz="4" w:space="0" w:color="auto"/>
              <w:left w:val="single" w:sz="4" w:space="0" w:color="auto"/>
              <w:bottom w:val="single" w:sz="4" w:space="0" w:color="auto"/>
              <w:right w:val="single" w:sz="4" w:space="0" w:color="auto"/>
            </w:tcBorders>
          </w:tcPr>
          <w:p w:rsidR="0069484F" w:rsidRPr="00AD3267" w:rsidRDefault="0069484F" w:rsidP="00ED53FE">
            <w:pPr>
              <w:rPr>
                <w:rFonts w:ascii="Calibri" w:hAnsi="Calibri"/>
                <w:sz w:val="18"/>
                <w:szCs w:val="18"/>
              </w:rPr>
            </w:pPr>
            <w:r w:rsidRPr="00AD3267">
              <w:rPr>
                <w:rFonts w:ascii="Calibri" w:hAnsi="Calibri"/>
                <w:sz w:val="18"/>
                <w:szCs w:val="18"/>
              </w:rPr>
              <w:t>Wytrzymałość na rozciąganie przy rozłupywaniu</w:t>
            </w:r>
          </w:p>
        </w:tc>
        <w:tc>
          <w:tcPr>
            <w:tcW w:w="992" w:type="dxa"/>
            <w:tcBorders>
              <w:top w:val="single" w:sz="4" w:space="0" w:color="auto"/>
              <w:left w:val="single" w:sz="4" w:space="0" w:color="auto"/>
              <w:bottom w:val="single" w:sz="4" w:space="0" w:color="auto"/>
              <w:right w:val="single" w:sz="4" w:space="0" w:color="auto"/>
            </w:tcBorders>
          </w:tcPr>
          <w:p w:rsidR="0069484F" w:rsidRPr="00AD3267" w:rsidRDefault="0069484F" w:rsidP="00ED53FE">
            <w:pPr>
              <w:jc w:val="center"/>
              <w:rPr>
                <w:rFonts w:ascii="Calibri" w:hAnsi="Calibri"/>
                <w:sz w:val="18"/>
                <w:szCs w:val="18"/>
              </w:rPr>
            </w:pPr>
            <w:r w:rsidRPr="00AD3267">
              <w:rPr>
                <w:rFonts w:ascii="Calibri" w:hAnsi="Calibri"/>
                <w:sz w:val="18"/>
                <w:szCs w:val="18"/>
              </w:rPr>
              <w:t>F</w:t>
            </w:r>
          </w:p>
        </w:tc>
        <w:tc>
          <w:tcPr>
            <w:tcW w:w="3543" w:type="dxa"/>
            <w:gridSpan w:val="5"/>
            <w:tcBorders>
              <w:top w:val="single" w:sz="4" w:space="0" w:color="auto"/>
              <w:left w:val="single" w:sz="4" w:space="0" w:color="auto"/>
              <w:bottom w:val="single" w:sz="4" w:space="0" w:color="auto"/>
              <w:right w:val="single" w:sz="4" w:space="0" w:color="auto"/>
            </w:tcBorders>
          </w:tcPr>
          <w:p w:rsidR="0069484F" w:rsidRPr="00AD3267" w:rsidRDefault="0069484F" w:rsidP="00ED53FE">
            <w:pPr>
              <w:rPr>
                <w:rFonts w:ascii="Calibri" w:hAnsi="Calibri"/>
                <w:sz w:val="18"/>
                <w:szCs w:val="18"/>
              </w:rPr>
            </w:pPr>
            <w:r w:rsidRPr="00AD3267">
              <w:rPr>
                <w:rFonts w:ascii="Calibri" w:hAnsi="Calibri"/>
                <w:sz w:val="18"/>
                <w:szCs w:val="18"/>
              </w:rPr>
              <w:t>Wytrzymałość charakterystyczna T ≥ 3,6 MPa. Każdy pojedynczy wynik ≥ 2,9 MPa i nie powinien wykazywać obciążenia niszczącego mniejszego niż 250 N/mm długości rozłupania</w:t>
            </w:r>
          </w:p>
          <w:p w:rsidR="0069484F" w:rsidRPr="00AD3267" w:rsidRDefault="0069484F" w:rsidP="00ED53FE">
            <w:pPr>
              <w:rPr>
                <w:rFonts w:ascii="Calibri" w:hAnsi="Calibri"/>
                <w:sz w:val="18"/>
                <w:szCs w:val="18"/>
              </w:rPr>
            </w:pPr>
          </w:p>
        </w:tc>
      </w:tr>
      <w:tr w:rsidR="0069484F" w:rsidRPr="00AD3267" w:rsidTr="0069484F">
        <w:tc>
          <w:tcPr>
            <w:tcW w:w="568" w:type="dxa"/>
            <w:tcBorders>
              <w:top w:val="single" w:sz="4" w:space="0" w:color="auto"/>
              <w:left w:val="single" w:sz="4" w:space="0" w:color="auto"/>
              <w:bottom w:val="single" w:sz="4" w:space="0" w:color="auto"/>
              <w:right w:val="single" w:sz="4" w:space="0" w:color="auto"/>
            </w:tcBorders>
          </w:tcPr>
          <w:p w:rsidR="0069484F" w:rsidRPr="00AD3267" w:rsidRDefault="0069484F" w:rsidP="00ED53FE">
            <w:pPr>
              <w:jc w:val="center"/>
              <w:rPr>
                <w:rFonts w:ascii="Calibri" w:hAnsi="Calibri"/>
                <w:sz w:val="18"/>
                <w:szCs w:val="18"/>
              </w:rPr>
            </w:pPr>
            <w:r w:rsidRPr="00AD3267">
              <w:rPr>
                <w:rFonts w:ascii="Calibri" w:hAnsi="Calibri"/>
                <w:sz w:val="18"/>
                <w:szCs w:val="18"/>
              </w:rPr>
              <w:t>2.3</w:t>
            </w:r>
          </w:p>
        </w:tc>
        <w:tc>
          <w:tcPr>
            <w:tcW w:w="2693" w:type="dxa"/>
            <w:tcBorders>
              <w:top w:val="single" w:sz="4" w:space="0" w:color="auto"/>
              <w:left w:val="single" w:sz="4" w:space="0" w:color="auto"/>
              <w:bottom w:val="single" w:sz="4" w:space="0" w:color="auto"/>
              <w:right w:val="single" w:sz="4" w:space="0" w:color="auto"/>
            </w:tcBorders>
          </w:tcPr>
          <w:p w:rsidR="0069484F" w:rsidRPr="00AD3267" w:rsidRDefault="0069484F" w:rsidP="00ED53FE">
            <w:pPr>
              <w:rPr>
                <w:rFonts w:ascii="Calibri" w:hAnsi="Calibri"/>
                <w:sz w:val="18"/>
                <w:szCs w:val="18"/>
              </w:rPr>
            </w:pPr>
            <w:r w:rsidRPr="00AD3267">
              <w:rPr>
                <w:rFonts w:ascii="Calibri" w:hAnsi="Calibri"/>
                <w:sz w:val="18"/>
                <w:szCs w:val="18"/>
              </w:rPr>
              <w:t>Trwałość   (ze względu na wytrzymałość)</w:t>
            </w:r>
          </w:p>
        </w:tc>
        <w:tc>
          <w:tcPr>
            <w:tcW w:w="992" w:type="dxa"/>
            <w:tcBorders>
              <w:top w:val="single" w:sz="4" w:space="0" w:color="auto"/>
              <w:left w:val="single" w:sz="4" w:space="0" w:color="auto"/>
              <w:bottom w:val="single" w:sz="4" w:space="0" w:color="auto"/>
              <w:right w:val="single" w:sz="4" w:space="0" w:color="auto"/>
            </w:tcBorders>
          </w:tcPr>
          <w:p w:rsidR="0069484F" w:rsidRPr="00AD3267" w:rsidRDefault="0069484F" w:rsidP="00ED53FE">
            <w:pPr>
              <w:jc w:val="center"/>
              <w:rPr>
                <w:rFonts w:ascii="Calibri" w:hAnsi="Calibri"/>
                <w:sz w:val="18"/>
                <w:szCs w:val="18"/>
              </w:rPr>
            </w:pPr>
            <w:r w:rsidRPr="00AD3267">
              <w:rPr>
                <w:rFonts w:ascii="Calibri" w:hAnsi="Calibri"/>
                <w:sz w:val="18"/>
                <w:szCs w:val="18"/>
              </w:rPr>
              <w:t>F</w:t>
            </w:r>
          </w:p>
        </w:tc>
        <w:tc>
          <w:tcPr>
            <w:tcW w:w="3543" w:type="dxa"/>
            <w:gridSpan w:val="5"/>
            <w:tcBorders>
              <w:top w:val="single" w:sz="4" w:space="0" w:color="auto"/>
              <w:left w:val="single" w:sz="4" w:space="0" w:color="auto"/>
              <w:bottom w:val="single" w:sz="4" w:space="0" w:color="auto"/>
              <w:right w:val="single" w:sz="4" w:space="0" w:color="auto"/>
            </w:tcBorders>
          </w:tcPr>
          <w:p w:rsidR="0069484F" w:rsidRPr="00AD3267" w:rsidRDefault="0069484F" w:rsidP="00ED53FE">
            <w:pPr>
              <w:rPr>
                <w:rFonts w:ascii="Calibri" w:hAnsi="Calibri"/>
                <w:sz w:val="18"/>
                <w:szCs w:val="18"/>
              </w:rPr>
            </w:pPr>
            <w:r w:rsidRPr="00AD3267">
              <w:rPr>
                <w:rFonts w:ascii="Calibri" w:hAnsi="Calibri"/>
                <w:sz w:val="18"/>
                <w:szCs w:val="18"/>
              </w:rPr>
              <w:t>Kostki mają zadawalającą trwałość (wytrzymałość) jeśli spełnione są wymagania pktu 2.2 oraz istnieje normalna konserwacja</w:t>
            </w:r>
          </w:p>
        </w:tc>
      </w:tr>
      <w:tr w:rsidR="0069484F" w:rsidRPr="00AD3267" w:rsidTr="0069484F">
        <w:tc>
          <w:tcPr>
            <w:tcW w:w="568" w:type="dxa"/>
            <w:vMerge w:val="restart"/>
            <w:tcBorders>
              <w:top w:val="single" w:sz="4" w:space="0" w:color="auto"/>
              <w:left w:val="single" w:sz="4" w:space="0" w:color="auto"/>
              <w:right w:val="single" w:sz="4" w:space="0" w:color="auto"/>
            </w:tcBorders>
          </w:tcPr>
          <w:p w:rsidR="0069484F" w:rsidRPr="00AD3267" w:rsidRDefault="0069484F" w:rsidP="00ED53FE">
            <w:pPr>
              <w:jc w:val="center"/>
              <w:rPr>
                <w:rFonts w:ascii="Calibri" w:hAnsi="Calibri"/>
                <w:sz w:val="18"/>
                <w:szCs w:val="18"/>
              </w:rPr>
            </w:pPr>
            <w:r w:rsidRPr="00AD3267">
              <w:rPr>
                <w:rFonts w:ascii="Calibri" w:hAnsi="Calibri"/>
                <w:sz w:val="18"/>
                <w:szCs w:val="18"/>
              </w:rPr>
              <w:t>2.4</w:t>
            </w:r>
          </w:p>
        </w:tc>
        <w:tc>
          <w:tcPr>
            <w:tcW w:w="2693" w:type="dxa"/>
            <w:vMerge w:val="restart"/>
            <w:tcBorders>
              <w:top w:val="single" w:sz="4" w:space="0" w:color="auto"/>
              <w:left w:val="single" w:sz="4" w:space="0" w:color="auto"/>
              <w:right w:val="single" w:sz="4" w:space="0" w:color="auto"/>
            </w:tcBorders>
          </w:tcPr>
          <w:p w:rsidR="0069484F" w:rsidRPr="00AD3267" w:rsidRDefault="0069484F" w:rsidP="00ED53FE">
            <w:pPr>
              <w:rPr>
                <w:rFonts w:ascii="Calibri" w:hAnsi="Calibri"/>
                <w:sz w:val="18"/>
                <w:szCs w:val="18"/>
              </w:rPr>
            </w:pPr>
            <w:r w:rsidRPr="00AD3267">
              <w:rPr>
                <w:rFonts w:ascii="Calibri" w:hAnsi="Calibri"/>
                <w:sz w:val="18"/>
                <w:szCs w:val="18"/>
              </w:rPr>
              <w:t>Odporność na ścieranie (wg klasy 3 oznaczenia H normy)</w:t>
            </w:r>
          </w:p>
        </w:tc>
        <w:tc>
          <w:tcPr>
            <w:tcW w:w="992" w:type="dxa"/>
            <w:vMerge w:val="restart"/>
            <w:tcBorders>
              <w:top w:val="single" w:sz="4" w:space="0" w:color="auto"/>
              <w:left w:val="single" w:sz="4" w:space="0" w:color="auto"/>
              <w:right w:val="single" w:sz="4" w:space="0" w:color="auto"/>
            </w:tcBorders>
          </w:tcPr>
          <w:p w:rsidR="0069484F" w:rsidRPr="00AD3267" w:rsidRDefault="0069484F" w:rsidP="00ED53FE">
            <w:pPr>
              <w:jc w:val="center"/>
              <w:rPr>
                <w:rFonts w:ascii="Calibri" w:hAnsi="Calibri"/>
                <w:sz w:val="18"/>
                <w:szCs w:val="18"/>
              </w:rPr>
            </w:pPr>
            <w:r w:rsidRPr="00AD3267">
              <w:rPr>
                <w:rFonts w:ascii="Calibri" w:hAnsi="Calibri"/>
                <w:sz w:val="18"/>
                <w:szCs w:val="18"/>
              </w:rPr>
              <w:t>G i H</w:t>
            </w:r>
          </w:p>
        </w:tc>
        <w:tc>
          <w:tcPr>
            <w:tcW w:w="3543" w:type="dxa"/>
            <w:gridSpan w:val="5"/>
            <w:tcBorders>
              <w:top w:val="single" w:sz="4" w:space="0" w:color="auto"/>
              <w:left w:val="single" w:sz="4" w:space="0" w:color="auto"/>
              <w:bottom w:val="single" w:sz="4" w:space="0" w:color="auto"/>
              <w:right w:val="single" w:sz="4" w:space="0" w:color="auto"/>
            </w:tcBorders>
            <w:shd w:val="clear" w:color="auto" w:fill="auto"/>
          </w:tcPr>
          <w:p w:rsidR="0069484F" w:rsidRPr="00AD3267" w:rsidRDefault="0069484F" w:rsidP="00ED53FE">
            <w:pPr>
              <w:jc w:val="center"/>
              <w:rPr>
                <w:rFonts w:ascii="Calibri" w:hAnsi="Calibri"/>
                <w:sz w:val="18"/>
                <w:szCs w:val="18"/>
              </w:rPr>
            </w:pPr>
            <w:r w:rsidRPr="00AD3267">
              <w:rPr>
                <w:rFonts w:ascii="Calibri" w:hAnsi="Calibri"/>
                <w:sz w:val="18"/>
                <w:szCs w:val="18"/>
              </w:rPr>
              <w:t>Pomiar wykonany na tarczy</w:t>
            </w:r>
          </w:p>
        </w:tc>
      </w:tr>
      <w:tr w:rsidR="0069484F" w:rsidRPr="00AD3267" w:rsidTr="0069484F">
        <w:tc>
          <w:tcPr>
            <w:tcW w:w="568" w:type="dxa"/>
            <w:vMerge/>
            <w:tcBorders>
              <w:left w:val="single" w:sz="4" w:space="0" w:color="auto"/>
              <w:right w:val="single" w:sz="4" w:space="0" w:color="auto"/>
            </w:tcBorders>
          </w:tcPr>
          <w:p w:rsidR="0069484F" w:rsidRPr="00AD3267" w:rsidRDefault="0069484F" w:rsidP="00ED53FE">
            <w:pPr>
              <w:jc w:val="center"/>
              <w:rPr>
                <w:rFonts w:ascii="Calibri" w:hAnsi="Calibri"/>
                <w:sz w:val="18"/>
                <w:szCs w:val="18"/>
              </w:rPr>
            </w:pPr>
          </w:p>
        </w:tc>
        <w:tc>
          <w:tcPr>
            <w:tcW w:w="2693" w:type="dxa"/>
            <w:vMerge/>
            <w:tcBorders>
              <w:left w:val="single" w:sz="4" w:space="0" w:color="auto"/>
              <w:right w:val="single" w:sz="4" w:space="0" w:color="auto"/>
            </w:tcBorders>
          </w:tcPr>
          <w:p w:rsidR="0069484F" w:rsidRPr="00AD3267" w:rsidRDefault="0069484F" w:rsidP="00ED53FE">
            <w:pPr>
              <w:rPr>
                <w:rFonts w:ascii="Calibri" w:hAnsi="Calibri"/>
                <w:sz w:val="18"/>
                <w:szCs w:val="18"/>
              </w:rPr>
            </w:pPr>
          </w:p>
        </w:tc>
        <w:tc>
          <w:tcPr>
            <w:tcW w:w="992" w:type="dxa"/>
            <w:vMerge/>
            <w:tcBorders>
              <w:left w:val="single" w:sz="4" w:space="0" w:color="auto"/>
              <w:right w:val="single" w:sz="4" w:space="0" w:color="auto"/>
            </w:tcBorders>
          </w:tcPr>
          <w:p w:rsidR="0069484F" w:rsidRPr="00AD3267" w:rsidRDefault="0069484F" w:rsidP="00ED53FE">
            <w:pPr>
              <w:rPr>
                <w:rFonts w:ascii="Calibri" w:hAnsi="Calibri"/>
                <w:sz w:val="18"/>
                <w:szCs w:val="18"/>
              </w:rPr>
            </w:pPr>
          </w:p>
        </w:tc>
        <w:tc>
          <w:tcPr>
            <w:tcW w:w="1559" w:type="dxa"/>
            <w:gridSpan w:val="2"/>
            <w:tcBorders>
              <w:top w:val="single" w:sz="4" w:space="0" w:color="auto"/>
              <w:left w:val="single" w:sz="4" w:space="0" w:color="auto"/>
              <w:bottom w:val="single" w:sz="4" w:space="0" w:color="auto"/>
              <w:right w:val="single" w:sz="4" w:space="0" w:color="auto"/>
            </w:tcBorders>
            <w:shd w:val="clear" w:color="auto" w:fill="auto"/>
          </w:tcPr>
          <w:p w:rsidR="0069484F" w:rsidRPr="00AD3267" w:rsidRDefault="0069484F" w:rsidP="00ED53FE">
            <w:pPr>
              <w:jc w:val="center"/>
              <w:rPr>
                <w:rFonts w:ascii="Calibri" w:hAnsi="Calibri"/>
                <w:sz w:val="18"/>
                <w:szCs w:val="18"/>
              </w:rPr>
            </w:pPr>
            <w:r w:rsidRPr="00AD3267">
              <w:rPr>
                <w:rFonts w:ascii="Calibri" w:hAnsi="Calibri"/>
                <w:sz w:val="18"/>
                <w:szCs w:val="18"/>
              </w:rPr>
              <w:t>szerokiej ściernej,              wg zał. G normy – badanie podstawowe</w:t>
            </w:r>
          </w:p>
        </w:tc>
        <w:tc>
          <w:tcPr>
            <w:tcW w:w="1984" w:type="dxa"/>
            <w:gridSpan w:val="3"/>
            <w:tcBorders>
              <w:top w:val="single" w:sz="4" w:space="0" w:color="auto"/>
              <w:left w:val="single" w:sz="4" w:space="0" w:color="auto"/>
              <w:bottom w:val="single" w:sz="4" w:space="0" w:color="auto"/>
              <w:right w:val="single" w:sz="4" w:space="0" w:color="auto"/>
            </w:tcBorders>
            <w:shd w:val="clear" w:color="auto" w:fill="auto"/>
          </w:tcPr>
          <w:p w:rsidR="0069484F" w:rsidRPr="00AD3267" w:rsidRDefault="0069484F" w:rsidP="00ED53FE">
            <w:pPr>
              <w:jc w:val="center"/>
              <w:rPr>
                <w:rFonts w:ascii="Calibri" w:hAnsi="Calibri"/>
                <w:sz w:val="18"/>
                <w:szCs w:val="18"/>
              </w:rPr>
            </w:pPr>
            <w:r w:rsidRPr="00AD3267">
              <w:rPr>
                <w:rFonts w:ascii="Calibri" w:hAnsi="Calibri"/>
                <w:sz w:val="18"/>
                <w:szCs w:val="18"/>
              </w:rPr>
              <w:t>B</w:t>
            </w:r>
            <w:r w:rsidRPr="00AD3267">
              <w:rPr>
                <w:rFonts w:ascii="Calibri" w:hAnsi="Calibri" w:cs="Arial"/>
                <w:sz w:val="18"/>
                <w:szCs w:val="18"/>
              </w:rPr>
              <w:t>ö</w:t>
            </w:r>
            <w:r w:rsidRPr="00AD3267">
              <w:rPr>
                <w:rFonts w:ascii="Calibri" w:hAnsi="Calibri"/>
                <w:sz w:val="18"/>
                <w:szCs w:val="18"/>
              </w:rPr>
              <w:t>hmego,</w:t>
            </w:r>
          </w:p>
          <w:p w:rsidR="0069484F" w:rsidRPr="00AD3267" w:rsidRDefault="0069484F" w:rsidP="00ED53FE">
            <w:pPr>
              <w:jc w:val="center"/>
              <w:rPr>
                <w:rFonts w:ascii="Calibri" w:hAnsi="Calibri"/>
                <w:sz w:val="18"/>
                <w:szCs w:val="18"/>
              </w:rPr>
            </w:pPr>
            <w:r>
              <w:rPr>
                <w:rFonts w:ascii="Calibri" w:hAnsi="Calibri"/>
                <w:sz w:val="18"/>
                <w:szCs w:val="18"/>
              </w:rPr>
              <w:t>wg zał. H n</w:t>
            </w:r>
            <w:r w:rsidRPr="00AD3267">
              <w:rPr>
                <w:rFonts w:ascii="Calibri" w:hAnsi="Calibri"/>
                <w:sz w:val="18"/>
                <w:szCs w:val="18"/>
              </w:rPr>
              <w:t>ormy – badanie alternatywne</w:t>
            </w:r>
          </w:p>
        </w:tc>
      </w:tr>
      <w:tr w:rsidR="0069484F" w:rsidRPr="00AD3267" w:rsidTr="0069484F">
        <w:tc>
          <w:tcPr>
            <w:tcW w:w="568" w:type="dxa"/>
            <w:vMerge/>
            <w:tcBorders>
              <w:left w:val="single" w:sz="4" w:space="0" w:color="auto"/>
              <w:bottom w:val="single" w:sz="4" w:space="0" w:color="auto"/>
              <w:right w:val="single" w:sz="4" w:space="0" w:color="auto"/>
            </w:tcBorders>
          </w:tcPr>
          <w:p w:rsidR="0069484F" w:rsidRPr="00AD3267" w:rsidRDefault="0069484F" w:rsidP="00ED53FE">
            <w:pPr>
              <w:jc w:val="center"/>
              <w:rPr>
                <w:rFonts w:ascii="Calibri" w:hAnsi="Calibri"/>
                <w:sz w:val="18"/>
                <w:szCs w:val="18"/>
              </w:rPr>
            </w:pPr>
          </w:p>
        </w:tc>
        <w:tc>
          <w:tcPr>
            <w:tcW w:w="2693" w:type="dxa"/>
            <w:vMerge/>
            <w:tcBorders>
              <w:left w:val="single" w:sz="4" w:space="0" w:color="auto"/>
              <w:bottom w:val="single" w:sz="4" w:space="0" w:color="auto"/>
              <w:right w:val="single" w:sz="4" w:space="0" w:color="auto"/>
            </w:tcBorders>
          </w:tcPr>
          <w:p w:rsidR="0069484F" w:rsidRPr="00AD3267" w:rsidRDefault="0069484F" w:rsidP="00ED53FE">
            <w:pPr>
              <w:rPr>
                <w:rFonts w:ascii="Calibri" w:hAnsi="Calibri"/>
                <w:sz w:val="18"/>
                <w:szCs w:val="18"/>
              </w:rPr>
            </w:pPr>
          </w:p>
        </w:tc>
        <w:tc>
          <w:tcPr>
            <w:tcW w:w="992" w:type="dxa"/>
            <w:vMerge/>
            <w:tcBorders>
              <w:left w:val="single" w:sz="4" w:space="0" w:color="auto"/>
              <w:bottom w:val="single" w:sz="4" w:space="0" w:color="auto"/>
              <w:right w:val="single" w:sz="4" w:space="0" w:color="auto"/>
            </w:tcBorders>
          </w:tcPr>
          <w:p w:rsidR="0069484F" w:rsidRPr="00AD3267" w:rsidRDefault="0069484F" w:rsidP="00ED53FE">
            <w:pPr>
              <w:rPr>
                <w:rFonts w:ascii="Calibri" w:hAnsi="Calibri"/>
                <w:sz w:val="18"/>
                <w:szCs w:val="18"/>
              </w:rPr>
            </w:pPr>
          </w:p>
        </w:tc>
        <w:tc>
          <w:tcPr>
            <w:tcW w:w="1559" w:type="dxa"/>
            <w:gridSpan w:val="2"/>
            <w:tcBorders>
              <w:top w:val="single" w:sz="4" w:space="0" w:color="auto"/>
              <w:left w:val="single" w:sz="4" w:space="0" w:color="auto"/>
              <w:bottom w:val="single" w:sz="4" w:space="0" w:color="auto"/>
              <w:right w:val="single" w:sz="4" w:space="0" w:color="auto"/>
            </w:tcBorders>
            <w:shd w:val="clear" w:color="auto" w:fill="auto"/>
          </w:tcPr>
          <w:p w:rsidR="0069484F" w:rsidRPr="00AD3267" w:rsidRDefault="0069484F" w:rsidP="00ED53FE">
            <w:pPr>
              <w:jc w:val="center"/>
              <w:rPr>
                <w:rFonts w:ascii="Calibri" w:hAnsi="Calibri"/>
                <w:sz w:val="18"/>
                <w:szCs w:val="18"/>
              </w:rPr>
            </w:pPr>
            <w:r w:rsidRPr="00AD3267">
              <w:rPr>
                <w:rFonts w:ascii="Calibri" w:hAnsi="Calibri"/>
                <w:sz w:val="18"/>
                <w:szCs w:val="18"/>
              </w:rPr>
              <w:t xml:space="preserve">≤ </w:t>
            </w:r>
            <w:smartTag w:uri="urn:schemas-microsoft-com:office:smarttags" w:element="metricconverter">
              <w:smartTagPr>
                <w:attr w:name="ProductID" w:val="23 mm"/>
              </w:smartTagPr>
              <w:r w:rsidRPr="00AD3267">
                <w:rPr>
                  <w:rFonts w:ascii="Calibri" w:hAnsi="Calibri"/>
                  <w:sz w:val="18"/>
                  <w:szCs w:val="18"/>
                </w:rPr>
                <w:t>23 mm</w:t>
              </w:r>
            </w:smartTag>
          </w:p>
        </w:tc>
        <w:tc>
          <w:tcPr>
            <w:tcW w:w="1984" w:type="dxa"/>
            <w:gridSpan w:val="3"/>
            <w:tcBorders>
              <w:top w:val="single" w:sz="4" w:space="0" w:color="auto"/>
              <w:left w:val="single" w:sz="4" w:space="0" w:color="auto"/>
              <w:bottom w:val="single" w:sz="4" w:space="0" w:color="auto"/>
              <w:right w:val="single" w:sz="4" w:space="0" w:color="auto"/>
            </w:tcBorders>
            <w:shd w:val="clear" w:color="auto" w:fill="auto"/>
          </w:tcPr>
          <w:p w:rsidR="0069484F" w:rsidRPr="00AD3267" w:rsidRDefault="0069484F" w:rsidP="00ED53FE">
            <w:pPr>
              <w:rPr>
                <w:rFonts w:ascii="Calibri" w:hAnsi="Calibri"/>
                <w:sz w:val="18"/>
                <w:szCs w:val="18"/>
              </w:rPr>
            </w:pPr>
            <w:r w:rsidRPr="00AD3267">
              <w:rPr>
                <w:rFonts w:ascii="Calibri" w:hAnsi="Calibri"/>
                <w:sz w:val="18"/>
                <w:szCs w:val="18"/>
              </w:rPr>
              <w:t>≤20 000mm</w:t>
            </w:r>
            <w:r w:rsidRPr="00AD3267">
              <w:rPr>
                <w:rFonts w:ascii="Calibri" w:hAnsi="Calibri"/>
                <w:sz w:val="18"/>
                <w:szCs w:val="18"/>
                <w:vertAlign w:val="superscript"/>
              </w:rPr>
              <w:t>3</w:t>
            </w:r>
            <w:r w:rsidRPr="00AD3267">
              <w:rPr>
                <w:rFonts w:ascii="Calibri" w:hAnsi="Calibri"/>
                <w:sz w:val="18"/>
                <w:szCs w:val="18"/>
              </w:rPr>
              <w:t>/5000 mm</w:t>
            </w:r>
            <w:r w:rsidRPr="00AD3267">
              <w:rPr>
                <w:rFonts w:ascii="Calibri" w:hAnsi="Calibri"/>
                <w:sz w:val="18"/>
                <w:szCs w:val="18"/>
                <w:vertAlign w:val="superscript"/>
              </w:rPr>
              <w:t>2</w:t>
            </w:r>
            <w:r w:rsidRPr="00AD3267">
              <w:rPr>
                <w:rFonts w:ascii="Calibri" w:hAnsi="Calibri"/>
                <w:sz w:val="18"/>
                <w:szCs w:val="18"/>
              </w:rPr>
              <w:t xml:space="preserve"> </w:t>
            </w:r>
          </w:p>
        </w:tc>
      </w:tr>
      <w:tr w:rsidR="0069484F" w:rsidRPr="00AD3267" w:rsidTr="0069484F">
        <w:tc>
          <w:tcPr>
            <w:tcW w:w="568" w:type="dxa"/>
            <w:tcBorders>
              <w:top w:val="single" w:sz="4" w:space="0" w:color="auto"/>
              <w:left w:val="single" w:sz="4" w:space="0" w:color="auto"/>
              <w:bottom w:val="single" w:sz="4" w:space="0" w:color="auto"/>
              <w:right w:val="single" w:sz="4" w:space="0" w:color="auto"/>
            </w:tcBorders>
          </w:tcPr>
          <w:p w:rsidR="0069484F" w:rsidRPr="00AD3267" w:rsidRDefault="0069484F" w:rsidP="00ED53FE">
            <w:pPr>
              <w:jc w:val="center"/>
              <w:rPr>
                <w:rFonts w:ascii="Calibri" w:hAnsi="Calibri"/>
                <w:sz w:val="18"/>
                <w:szCs w:val="18"/>
              </w:rPr>
            </w:pPr>
            <w:r w:rsidRPr="00AD3267">
              <w:rPr>
                <w:rFonts w:ascii="Calibri" w:hAnsi="Calibri"/>
                <w:sz w:val="18"/>
                <w:szCs w:val="18"/>
              </w:rPr>
              <w:lastRenderedPageBreak/>
              <w:t>2.5</w:t>
            </w:r>
          </w:p>
        </w:tc>
        <w:tc>
          <w:tcPr>
            <w:tcW w:w="2693" w:type="dxa"/>
            <w:tcBorders>
              <w:top w:val="single" w:sz="4" w:space="0" w:color="auto"/>
              <w:left w:val="single" w:sz="4" w:space="0" w:color="auto"/>
              <w:bottom w:val="single" w:sz="4" w:space="0" w:color="auto"/>
              <w:right w:val="single" w:sz="4" w:space="0" w:color="auto"/>
            </w:tcBorders>
          </w:tcPr>
          <w:p w:rsidR="0069484F" w:rsidRPr="00AD3267" w:rsidRDefault="0069484F" w:rsidP="00ED53FE">
            <w:pPr>
              <w:rPr>
                <w:rFonts w:ascii="Calibri" w:hAnsi="Calibri"/>
                <w:sz w:val="18"/>
                <w:szCs w:val="18"/>
              </w:rPr>
            </w:pPr>
            <w:r w:rsidRPr="00AD3267">
              <w:rPr>
                <w:rFonts w:ascii="Calibri" w:hAnsi="Calibri"/>
                <w:sz w:val="18"/>
                <w:szCs w:val="18"/>
              </w:rPr>
              <w:t>Odporność na poślizg/poślizgnięcie</w:t>
            </w:r>
          </w:p>
        </w:tc>
        <w:tc>
          <w:tcPr>
            <w:tcW w:w="992" w:type="dxa"/>
            <w:tcBorders>
              <w:top w:val="single" w:sz="4" w:space="0" w:color="auto"/>
              <w:left w:val="single" w:sz="4" w:space="0" w:color="auto"/>
              <w:bottom w:val="single" w:sz="4" w:space="0" w:color="auto"/>
              <w:right w:val="single" w:sz="4" w:space="0" w:color="auto"/>
            </w:tcBorders>
          </w:tcPr>
          <w:p w:rsidR="0069484F" w:rsidRPr="00AD3267" w:rsidRDefault="0069484F" w:rsidP="00ED53FE">
            <w:pPr>
              <w:jc w:val="center"/>
              <w:rPr>
                <w:rFonts w:ascii="Calibri" w:hAnsi="Calibri"/>
                <w:sz w:val="18"/>
                <w:szCs w:val="18"/>
              </w:rPr>
            </w:pPr>
            <w:r w:rsidRPr="00AD3267">
              <w:rPr>
                <w:rFonts w:ascii="Calibri" w:hAnsi="Calibri"/>
                <w:sz w:val="18"/>
                <w:szCs w:val="18"/>
              </w:rPr>
              <w:t>I</w:t>
            </w:r>
          </w:p>
        </w:tc>
        <w:tc>
          <w:tcPr>
            <w:tcW w:w="3543" w:type="dxa"/>
            <w:gridSpan w:val="5"/>
            <w:tcBorders>
              <w:top w:val="single" w:sz="4" w:space="0" w:color="auto"/>
              <w:left w:val="single" w:sz="4" w:space="0" w:color="auto"/>
              <w:bottom w:val="single" w:sz="4" w:space="0" w:color="auto"/>
              <w:right w:val="single" w:sz="4" w:space="0" w:color="auto"/>
            </w:tcBorders>
          </w:tcPr>
          <w:p w:rsidR="0069484F" w:rsidRPr="00AD3267" w:rsidRDefault="0069484F" w:rsidP="0069484F">
            <w:pPr>
              <w:numPr>
                <w:ilvl w:val="0"/>
                <w:numId w:val="15"/>
              </w:numPr>
              <w:tabs>
                <w:tab w:val="num" w:pos="176"/>
              </w:tabs>
              <w:ind w:left="176" w:hanging="176"/>
              <w:rPr>
                <w:rFonts w:ascii="Calibri" w:hAnsi="Calibri"/>
                <w:sz w:val="18"/>
                <w:szCs w:val="18"/>
              </w:rPr>
            </w:pPr>
            <w:r w:rsidRPr="00AD3267">
              <w:rPr>
                <w:rFonts w:ascii="Calibri" w:hAnsi="Calibri"/>
                <w:sz w:val="18"/>
                <w:szCs w:val="18"/>
              </w:rPr>
              <w:t>jeśli górna powierzchnia kostki nie była szlifowana lub polerowana – zadawalająca odporność,</w:t>
            </w:r>
          </w:p>
          <w:p w:rsidR="0069484F" w:rsidRPr="00AD3267" w:rsidRDefault="0069484F" w:rsidP="0069484F">
            <w:pPr>
              <w:numPr>
                <w:ilvl w:val="0"/>
                <w:numId w:val="15"/>
              </w:numPr>
              <w:tabs>
                <w:tab w:val="num" w:pos="176"/>
              </w:tabs>
              <w:ind w:left="176" w:hanging="176"/>
              <w:jc w:val="left"/>
              <w:rPr>
                <w:rFonts w:ascii="Calibri" w:hAnsi="Calibri"/>
                <w:sz w:val="18"/>
                <w:szCs w:val="18"/>
              </w:rPr>
            </w:pPr>
            <w:r w:rsidRPr="00AD3267">
              <w:rPr>
                <w:rFonts w:ascii="Calibri" w:hAnsi="Calibri"/>
                <w:sz w:val="18"/>
                <w:szCs w:val="18"/>
              </w:rPr>
              <w:t>jeśli wyjątkowo wymaga się podania wartości odporności na poślizg/poślizgnięcie – należy zadeklarować minimalną jej wartość pomierzoną wg zał. I normy (wahadłowym przyrządem do badania tarcia)</w:t>
            </w:r>
          </w:p>
        </w:tc>
      </w:tr>
      <w:tr w:rsidR="0069484F" w:rsidRPr="00AD3267" w:rsidTr="0069484F">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c>
          <w:tcPr>
            <w:tcW w:w="568" w:type="dxa"/>
            <w:tcBorders>
              <w:top w:val="single" w:sz="4" w:space="0" w:color="auto"/>
              <w:left w:val="single" w:sz="4" w:space="0" w:color="auto"/>
              <w:bottom w:val="single" w:sz="4" w:space="0" w:color="auto"/>
              <w:right w:val="single" w:sz="4" w:space="0" w:color="auto"/>
            </w:tcBorders>
          </w:tcPr>
          <w:p w:rsidR="0069484F" w:rsidRPr="00AD3267" w:rsidRDefault="0069484F" w:rsidP="00ED53FE">
            <w:pPr>
              <w:jc w:val="center"/>
              <w:rPr>
                <w:rFonts w:ascii="Calibri" w:hAnsi="Calibri"/>
                <w:sz w:val="18"/>
                <w:szCs w:val="18"/>
              </w:rPr>
            </w:pPr>
            <w:r w:rsidRPr="00AD3267">
              <w:rPr>
                <w:rFonts w:ascii="Calibri" w:hAnsi="Calibri"/>
                <w:sz w:val="18"/>
                <w:szCs w:val="18"/>
              </w:rPr>
              <w:t>3</w:t>
            </w:r>
          </w:p>
        </w:tc>
        <w:tc>
          <w:tcPr>
            <w:tcW w:w="7228" w:type="dxa"/>
            <w:gridSpan w:val="7"/>
            <w:tcBorders>
              <w:top w:val="single" w:sz="4" w:space="0" w:color="auto"/>
              <w:left w:val="single" w:sz="4" w:space="0" w:color="auto"/>
              <w:bottom w:val="single" w:sz="4" w:space="0" w:color="auto"/>
              <w:right w:val="single" w:sz="4" w:space="0" w:color="auto"/>
            </w:tcBorders>
          </w:tcPr>
          <w:p w:rsidR="0069484F" w:rsidRPr="00AD3267" w:rsidRDefault="0069484F" w:rsidP="00ED53FE">
            <w:pPr>
              <w:rPr>
                <w:rFonts w:ascii="Calibri" w:hAnsi="Calibri"/>
                <w:sz w:val="18"/>
                <w:szCs w:val="18"/>
              </w:rPr>
            </w:pPr>
            <w:r w:rsidRPr="00AD3267">
              <w:rPr>
                <w:rFonts w:ascii="Calibri" w:hAnsi="Calibri"/>
                <w:sz w:val="18"/>
                <w:szCs w:val="18"/>
              </w:rPr>
              <w:t>Aspekty wizualne</w:t>
            </w:r>
          </w:p>
        </w:tc>
      </w:tr>
      <w:tr w:rsidR="0069484F" w:rsidRPr="00AD3267" w:rsidTr="0069484F">
        <w:tc>
          <w:tcPr>
            <w:tcW w:w="568" w:type="dxa"/>
            <w:tcBorders>
              <w:top w:val="single" w:sz="4" w:space="0" w:color="auto"/>
              <w:left w:val="single" w:sz="4" w:space="0" w:color="auto"/>
              <w:bottom w:val="single" w:sz="4" w:space="0" w:color="auto"/>
              <w:right w:val="single" w:sz="4" w:space="0" w:color="auto"/>
            </w:tcBorders>
          </w:tcPr>
          <w:p w:rsidR="0069484F" w:rsidRPr="00AD3267" w:rsidRDefault="0069484F" w:rsidP="00ED53FE">
            <w:pPr>
              <w:jc w:val="center"/>
              <w:rPr>
                <w:rFonts w:ascii="Calibri" w:hAnsi="Calibri"/>
                <w:sz w:val="18"/>
                <w:szCs w:val="18"/>
              </w:rPr>
            </w:pPr>
            <w:r w:rsidRPr="00AD3267">
              <w:rPr>
                <w:rFonts w:ascii="Calibri" w:hAnsi="Calibri"/>
                <w:sz w:val="18"/>
                <w:szCs w:val="18"/>
              </w:rPr>
              <w:t>3.1</w:t>
            </w:r>
          </w:p>
        </w:tc>
        <w:tc>
          <w:tcPr>
            <w:tcW w:w="2693" w:type="dxa"/>
            <w:tcBorders>
              <w:top w:val="single" w:sz="4" w:space="0" w:color="auto"/>
              <w:left w:val="single" w:sz="4" w:space="0" w:color="auto"/>
              <w:bottom w:val="single" w:sz="4" w:space="0" w:color="auto"/>
              <w:right w:val="single" w:sz="4" w:space="0" w:color="auto"/>
            </w:tcBorders>
          </w:tcPr>
          <w:p w:rsidR="0069484F" w:rsidRPr="00AD3267" w:rsidRDefault="0069484F" w:rsidP="00ED53FE">
            <w:pPr>
              <w:rPr>
                <w:rFonts w:ascii="Calibri" w:hAnsi="Calibri"/>
                <w:sz w:val="18"/>
                <w:szCs w:val="18"/>
              </w:rPr>
            </w:pPr>
            <w:r w:rsidRPr="00AD3267">
              <w:rPr>
                <w:rFonts w:ascii="Calibri" w:hAnsi="Calibri"/>
                <w:sz w:val="18"/>
                <w:szCs w:val="18"/>
              </w:rPr>
              <w:t>Wygląd</w:t>
            </w:r>
          </w:p>
        </w:tc>
        <w:tc>
          <w:tcPr>
            <w:tcW w:w="992" w:type="dxa"/>
            <w:tcBorders>
              <w:top w:val="single" w:sz="4" w:space="0" w:color="auto"/>
              <w:left w:val="single" w:sz="4" w:space="0" w:color="auto"/>
              <w:bottom w:val="single" w:sz="4" w:space="0" w:color="auto"/>
              <w:right w:val="single" w:sz="4" w:space="0" w:color="auto"/>
            </w:tcBorders>
          </w:tcPr>
          <w:p w:rsidR="0069484F" w:rsidRPr="00AD3267" w:rsidRDefault="0069484F" w:rsidP="00ED53FE">
            <w:pPr>
              <w:jc w:val="center"/>
              <w:rPr>
                <w:rFonts w:ascii="Calibri" w:hAnsi="Calibri"/>
                <w:sz w:val="18"/>
                <w:szCs w:val="18"/>
              </w:rPr>
            </w:pPr>
            <w:r w:rsidRPr="00AD3267">
              <w:rPr>
                <w:rFonts w:ascii="Calibri" w:hAnsi="Calibri"/>
                <w:sz w:val="18"/>
                <w:szCs w:val="18"/>
              </w:rPr>
              <w:t>J</w:t>
            </w:r>
          </w:p>
        </w:tc>
        <w:tc>
          <w:tcPr>
            <w:tcW w:w="3543" w:type="dxa"/>
            <w:gridSpan w:val="5"/>
            <w:tcBorders>
              <w:top w:val="single" w:sz="4" w:space="0" w:color="auto"/>
              <w:left w:val="single" w:sz="4" w:space="0" w:color="auto"/>
              <w:bottom w:val="single" w:sz="4" w:space="0" w:color="auto"/>
              <w:right w:val="single" w:sz="4" w:space="0" w:color="auto"/>
            </w:tcBorders>
          </w:tcPr>
          <w:p w:rsidR="0069484F" w:rsidRPr="00AD3267" w:rsidRDefault="0069484F" w:rsidP="0069484F">
            <w:pPr>
              <w:numPr>
                <w:ilvl w:val="0"/>
                <w:numId w:val="16"/>
              </w:numPr>
              <w:tabs>
                <w:tab w:val="num" w:pos="176"/>
              </w:tabs>
              <w:ind w:left="176" w:hanging="176"/>
              <w:rPr>
                <w:rFonts w:ascii="Calibri" w:hAnsi="Calibri"/>
                <w:sz w:val="18"/>
                <w:szCs w:val="18"/>
              </w:rPr>
            </w:pPr>
            <w:r w:rsidRPr="00AD3267">
              <w:rPr>
                <w:rFonts w:ascii="Calibri" w:hAnsi="Calibri"/>
                <w:sz w:val="18"/>
                <w:szCs w:val="18"/>
              </w:rPr>
              <w:t>górna powierzchnia kostki nie powinna mieć rys i odprysków,</w:t>
            </w:r>
          </w:p>
          <w:p w:rsidR="0069484F" w:rsidRPr="00AD3267" w:rsidRDefault="0069484F" w:rsidP="0069484F">
            <w:pPr>
              <w:numPr>
                <w:ilvl w:val="0"/>
                <w:numId w:val="16"/>
              </w:numPr>
              <w:tabs>
                <w:tab w:val="num" w:pos="176"/>
              </w:tabs>
              <w:ind w:left="176" w:hanging="176"/>
              <w:rPr>
                <w:rFonts w:ascii="Calibri" w:hAnsi="Calibri"/>
                <w:sz w:val="18"/>
                <w:szCs w:val="18"/>
              </w:rPr>
            </w:pPr>
            <w:r w:rsidRPr="00AD3267">
              <w:rPr>
                <w:rFonts w:ascii="Calibri" w:hAnsi="Calibri"/>
                <w:sz w:val="18"/>
                <w:szCs w:val="18"/>
              </w:rPr>
              <w:t>nie dopuszcza się rozwarstwień w kostkach dwuwarstwowych,</w:t>
            </w:r>
          </w:p>
          <w:p w:rsidR="0069484F" w:rsidRPr="00AD3267" w:rsidRDefault="0069484F" w:rsidP="0069484F">
            <w:pPr>
              <w:numPr>
                <w:ilvl w:val="0"/>
                <w:numId w:val="16"/>
              </w:numPr>
              <w:tabs>
                <w:tab w:val="num" w:pos="176"/>
              </w:tabs>
              <w:ind w:left="176" w:hanging="176"/>
              <w:rPr>
                <w:rFonts w:ascii="Calibri" w:hAnsi="Calibri"/>
                <w:sz w:val="18"/>
                <w:szCs w:val="18"/>
              </w:rPr>
            </w:pPr>
            <w:r w:rsidRPr="00AD3267">
              <w:rPr>
                <w:rFonts w:ascii="Calibri" w:hAnsi="Calibri"/>
                <w:sz w:val="18"/>
                <w:szCs w:val="18"/>
              </w:rPr>
              <w:t>ewentualne wykwity nie są uważane za istotne</w:t>
            </w:r>
          </w:p>
        </w:tc>
      </w:tr>
      <w:tr w:rsidR="0069484F" w:rsidRPr="00AD3267" w:rsidTr="0069484F">
        <w:tc>
          <w:tcPr>
            <w:tcW w:w="568" w:type="dxa"/>
            <w:tcBorders>
              <w:top w:val="single" w:sz="4" w:space="0" w:color="auto"/>
              <w:left w:val="single" w:sz="4" w:space="0" w:color="auto"/>
              <w:bottom w:val="single" w:sz="4" w:space="0" w:color="auto"/>
              <w:right w:val="single" w:sz="4" w:space="0" w:color="auto"/>
            </w:tcBorders>
          </w:tcPr>
          <w:p w:rsidR="0069484F" w:rsidRPr="00AD3267" w:rsidRDefault="0069484F" w:rsidP="00ED53FE">
            <w:pPr>
              <w:jc w:val="center"/>
              <w:rPr>
                <w:rFonts w:ascii="Calibri" w:hAnsi="Calibri"/>
                <w:sz w:val="18"/>
                <w:szCs w:val="18"/>
              </w:rPr>
            </w:pPr>
            <w:r w:rsidRPr="00AD3267">
              <w:rPr>
                <w:rFonts w:ascii="Calibri" w:hAnsi="Calibri"/>
                <w:sz w:val="18"/>
                <w:szCs w:val="18"/>
              </w:rPr>
              <w:t>3.2</w:t>
            </w:r>
          </w:p>
          <w:p w:rsidR="0069484F" w:rsidRPr="00AD3267" w:rsidRDefault="0069484F" w:rsidP="00ED53FE">
            <w:pPr>
              <w:jc w:val="center"/>
              <w:rPr>
                <w:rFonts w:ascii="Calibri" w:hAnsi="Calibri"/>
                <w:sz w:val="18"/>
                <w:szCs w:val="18"/>
              </w:rPr>
            </w:pPr>
          </w:p>
          <w:p w:rsidR="0069484F" w:rsidRPr="00AD3267" w:rsidRDefault="0069484F" w:rsidP="00ED53FE">
            <w:pPr>
              <w:jc w:val="center"/>
              <w:rPr>
                <w:rFonts w:ascii="Calibri" w:hAnsi="Calibri"/>
                <w:sz w:val="18"/>
                <w:szCs w:val="18"/>
              </w:rPr>
            </w:pPr>
          </w:p>
          <w:p w:rsidR="0069484F" w:rsidRPr="00AD3267" w:rsidRDefault="0069484F" w:rsidP="00ED53FE">
            <w:pPr>
              <w:jc w:val="center"/>
              <w:rPr>
                <w:rFonts w:ascii="Calibri" w:hAnsi="Calibri"/>
                <w:sz w:val="18"/>
                <w:szCs w:val="18"/>
              </w:rPr>
            </w:pPr>
          </w:p>
          <w:p w:rsidR="0069484F" w:rsidRPr="00AD3267" w:rsidRDefault="0069484F" w:rsidP="00ED53FE">
            <w:pPr>
              <w:jc w:val="center"/>
              <w:rPr>
                <w:rFonts w:ascii="Calibri" w:hAnsi="Calibri"/>
                <w:sz w:val="18"/>
                <w:szCs w:val="18"/>
              </w:rPr>
            </w:pPr>
          </w:p>
          <w:p w:rsidR="0069484F" w:rsidRPr="00AD3267" w:rsidRDefault="0069484F" w:rsidP="00ED53FE">
            <w:pPr>
              <w:jc w:val="center"/>
              <w:rPr>
                <w:rFonts w:ascii="Calibri" w:hAnsi="Calibri"/>
                <w:sz w:val="18"/>
                <w:szCs w:val="18"/>
              </w:rPr>
            </w:pPr>
            <w:r w:rsidRPr="00AD3267">
              <w:rPr>
                <w:rFonts w:ascii="Calibri" w:hAnsi="Calibri"/>
                <w:sz w:val="18"/>
                <w:szCs w:val="18"/>
              </w:rPr>
              <w:t>3.3</w:t>
            </w:r>
          </w:p>
        </w:tc>
        <w:tc>
          <w:tcPr>
            <w:tcW w:w="2693" w:type="dxa"/>
            <w:tcBorders>
              <w:top w:val="single" w:sz="4" w:space="0" w:color="auto"/>
              <w:left w:val="single" w:sz="4" w:space="0" w:color="auto"/>
              <w:bottom w:val="single" w:sz="4" w:space="0" w:color="auto"/>
              <w:right w:val="single" w:sz="4" w:space="0" w:color="auto"/>
            </w:tcBorders>
          </w:tcPr>
          <w:p w:rsidR="0069484F" w:rsidRPr="00AD3267" w:rsidRDefault="0069484F" w:rsidP="00ED53FE">
            <w:pPr>
              <w:rPr>
                <w:rFonts w:ascii="Calibri" w:hAnsi="Calibri"/>
                <w:sz w:val="18"/>
                <w:szCs w:val="18"/>
              </w:rPr>
            </w:pPr>
            <w:r w:rsidRPr="00AD3267">
              <w:rPr>
                <w:rFonts w:ascii="Calibri" w:hAnsi="Calibri"/>
                <w:sz w:val="18"/>
                <w:szCs w:val="18"/>
              </w:rPr>
              <w:t>Tekstura</w:t>
            </w:r>
          </w:p>
          <w:p w:rsidR="0069484F" w:rsidRPr="00AD3267" w:rsidRDefault="0069484F" w:rsidP="00ED53FE">
            <w:pPr>
              <w:rPr>
                <w:rFonts w:ascii="Calibri" w:hAnsi="Calibri"/>
                <w:sz w:val="18"/>
                <w:szCs w:val="18"/>
              </w:rPr>
            </w:pPr>
          </w:p>
          <w:p w:rsidR="0069484F" w:rsidRPr="00AD3267" w:rsidRDefault="0069484F" w:rsidP="00ED53FE">
            <w:pPr>
              <w:rPr>
                <w:rFonts w:ascii="Calibri" w:hAnsi="Calibri"/>
                <w:sz w:val="18"/>
                <w:szCs w:val="18"/>
              </w:rPr>
            </w:pPr>
          </w:p>
          <w:p w:rsidR="0069484F" w:rsidRPr="00AD3267" w:rsidRDefault="0069484F" w:rsidP="00ED53FE">
            <w:pPr>
              <w:rPr>
                <w:rFonts w:ascii="Calibri" w:hAnsi="Calibri"/>
                <w:sz w:val="18"/>
                <w:szCs w:val="18"/>
              </w:rPr>
            </w:pPr>
          </w:p>
          <w:p w:rsidR="0069484F" w:rsidRPr="00AD3267" w:rsidRDefault="0069484F" w:rsidP="00ED53FE">
            <w:pPr>
              <w:rPr>
                <w:rFonts w:ascii="Calibri" w:hAnsi="Calibri"/>
                <w:sz w:val="18"/>
                <w:szCs w:val="18"/>
              </w:rPr>
            </w:pPr>
          </w:p>
          <w:p w:rsidR="0069484F" w:rsidRPr="00AD3267" w:rsidRDefault="0069484F" w:rsidP="00ED53FE">
            <w:pPr>
              <w:rPr>
                <w:rFonts w:ascii="Calibri" w:hAnsi="Calibri"/>
                <w:sz w:val="18"/>
                <w:szCs w:val="18"/>
              </w:rPr>
            </w:pPr>
            <w:r w:rsidRPr="00AD3267">
              <w:rPr>
                <w:rFonts w:ascii="Calibri" w:hAnsi="Calibri"/>
                <w:sz w:val="18"/>
                <w:szCs w:val="18"/>
              </w:rPr>
              <w:t xml:space="preserve">Zabarwienie </w:t>
            </w:r>
          </w:p>
          <w:p w:rsidR="0069484F" w:rsidRPr="00AD3267" w:rsidRDefault="0069484F" w:rsidP="00ED53FE">
            <w:pPr>
              <w:rPr>
                <w:rFonts w:ascii="Calibri" w:hAnsi="Calibri"/>
                <w:sz w:val="18"/>
                <w:szCs w:val="18"/>
              </w:rPr>
            </w:pPr>
          </w:p>
        </w:tc>
        <w:tc>
          <w:tcPr>
            <w:tcW w:w="992" w:type="dxa"/>
            <w:tcBorders>
              <w:top w:val="single" w:sz="4" w:space="0" w:color="auto"/>
              <w:left w:val="single" w:sz="4" w:space="0" w:color="auto"/>
              <w:bottom w:val="single" w:sz="4" w:space="0" w:color="auto"/>
              <w:right w:val="single" w:sz="4" w:space="0" w:color="auto"/>
            </w:tcBorders>
          </w:tcPr>
          <w:p w:rsidR="0069484F" w:rsidRPr="00AD3267" w:rsidRDefault="0069484F" w:rsidP="00ED53FE">
            <w:pPr>
              <w:jc w:val="center"/>
              <w:rPr>
                <w:rFonts w:ascii="Calibri" w:hAnsi="Calibri"/>
                <w:sz w:val="18"/>
                <w:szCs w:val="18"/>
              </w:rPr>
            </w:pPr>
            <w:r w:rsidRPr="00AD3267">
              <w:rPr>
                <w:rFonts w:ascii="Calibri" w:hAnsi="Calibri"/>
                <w:sz w:val="18"/>
                <w:szCs w:val="18"/>
              </w:rPr>
              <w:t>J</w:t>
            </w:r>
          </w:p>
        </w:tc>
        <w:tc>
          <w:tcPr>
            <w:tcW w:w="3543" w:type="dxa"/>
            <w:gridSpan w:val="5"/>
            <w:tcBorders>
              <w:top w:val="single" w:sz="4" w:space="0" w:color="auto"/>
              <w:left w:val="single" w:sz="4" w:space="0" w:color="auto"/>
              <w:bottom w:val="single" w:sz="4" w:space="0" w:color="auto"/>
              <w:right w:val="single" w:sz="4" w:space="0" w:color="auto"/>
            </w:tcBorders>
          </w:tcPr>
          <w:p w:rsidR="0069484F" w:rsidRPr="00AD3267" w:rsidRDefault="0069484F" w:rsidP="0069484F">
            <w:pPr>
              <w:numPr>
                <w:ilvl w:val="0"/>
                <w:numId w:val="17"/>
              </w:numPr>
              <w:tabs>
                <w:tab w:val="num" w:pos="176"/>
              </w:tabs>
              <w:ind w:left="176" w:hanging="176"/>
              <w:jc w:val="left"/>
              <w:rPr>
                <w:rFonts w:ascii="Calibri" w:hAnsi="Calibri"/>
                <w:sz w:val="18"/>
                <w:szCs w:val="18"/>
              </w:rPr>
            </w:pPr>
            <w:r w:rsidRPr="00AD3267">
              <w:rPr>
                <w:rFonts w:ascii="Calibri" w:hAnsi="Calibri"/>
                <w:sz w:val="18"/>
                <w:szCs w:val="18"/>
              </w:rPr>
              <w:t>kostki z powierzchnią o specjalnej teksturze – producent powinien opisać rodzaj tekstury,</w:t>
            </w:r>
          </w:p>
          <w:p w:rsidR="0069484F" w:rsidRPr="00AD3267" w:rsidRDefault="0069484F" w:rsidP="0069484F">
            <w:pPr>
              <w:numPr>
                <w:ilvl w:val="0"/>
                <w:numId w:val="17"/>
              </w:numPr>
              <w:tabs>
                <w:tab w:val="num" w:pos="176"/>
              </w:tabs>
              <w:ind w:left="176" w:hanging="176"/>
              <w:rPr>
                <w:rFonts w:ascii="Calibri" w:hAnsi="Calibri"/>
                <w:sz w:val="18"/>
                <w:szCs w:val="18"/>
              </w:rPr>
            </w:pPr>
            <w:r w:rsidRPr="00AD3267">
              <w:rPr>
                <w:rFonts w:ascii="Calibri" w:hAnsi="Calibri"/>
                <w:sz w:val="18"/>
                <w:szCs w:val="18"/>
              </w:rPr>
              <w:t>tekstura lub zabarwienie kostki powinny być porównane z próbką producenta, zatwierdzoną przez odbiorcę,</w:t>
            </w:r>
          </w:p>
          <w:p w:rsidR="0069484F" w:rsidRPr="00AD3267" w:rsidRDefault="0069484F" w:rsidP="0069484F">
            <w:pPr>
              <w:numPr>
                <w:ilvl w:val="0"/>
                <w:numId w:val="17"/>
              </w:numPr>
              <w:tabs>
                <w:tab w:val="num" w:pos="176"/>
              </w:tabs>
              <w:ind w:left="176" w:hanging="176"/>
              <w:jc w:val="left"/>
              <w:rPr>
                <w:rFonts w:ascii="Calibri" w:hAnsi="Calibri"/>
                <w:sz w:val="18"/>
                <w:szCs w:val="18"/>
              </w:rPr>
            </w:pPr>
            <w:r w:rsidRPr="00AD3267">
              <w:rPr>
                <w:rFonts w:ascii="Calibri" w:hAnsi="Calibri"/>
                <w:sz w:val="18"/>
                <w:szCs w:val="18"/>
              </w:rPr>
              <w:t>ewentualne różnice w jednolitości tekstury lub zabarwienia, spowodowane nieuniknionymi zmianami we właściwościach surowców i zmianach warunków twardnienia nie są uważane za istotne</w:t>
            </w:r>
          </w:p>
        </w:tc>
      </w:tr>
    </w:tbl>
    <w:p w:rsidR="00ED53FE" w:rsidRDefault="00ED53FE" w:rsidP="0069484F">
      <w:pPr>
        <w:ind w:left="-851" w:right="-851"/>
        <w:rPr>
          <w:rFonts w:ascii="Calibri" w:hAnsi="Calibri"/>
          <w:b/>
        </w:rPr>
      </w:pPr>
    </w:p>
    <w:p w:rsidR="0069484F" w:rsidRPr="00AD3267" w:rsidRDefault="0069484F" w:rsidP="0069484F">
      <w:pPr>
        <w:ind w:left="-851" w:right="-851"/>
        <w:rPr>
          <w:rFonts w:ascii="Calibri" w:hAnsi="Calibri"/>
        </w:rPr>
      </w:pPr>
      <w:r w:rsidRPr="00AD3267">
        <w:rPr>
          <w:rFonts w:ascii="Calibri" w:hAnsi="Calibri"/>
          <w:b/>
        </w:rPr>
        <w:t>2.3.3.</w:t>
      </w:r>
      <w:r w:rsidRPr="00AD3267">
        <w:rPr>
          <w:rFonts w:ascii="Calibri" w:hAnsi="Calibri"/>
        </w:rPr>
        <w:t xml:space="preserve"> Składowanie kostek</w:t>
      </w:r>
    </w:p>
    <w:p w:rsidR="0069484F" w:rsidRPr="00AD3267" w:rsidRDefault="0069484F" w:rsidP="0069484F">
      <w:pPr>
        <w:ind w:left="-851" w:right="-851"/>
        <w:rPr>
          <w:rFonts w:ascii="Calibri" w:hAnsi="Calibri"/>
        </w:rPr>
      </w:pPr>
      <w:r w:rsidRPr="00AD3267">
        <w:rPr>
          <w:rFonts w:ascii="Calibri" w:hAnsi="Calibri"/>
        </w:rPr>
        <w:t xml:space="preserve"> </w:t>
      </w:r>
      <w:r w:rsidRPr="00AD3267">
        <w:rPr>
          <w:rFonts w:ascii="Calibri" w:hAnsi="Calibri"/>
        </w:rPr>
        <w:tab/>
      </w:r>
      <w:r w:rsidR="00ED53FE">
        <w:rPr>
          <w:rFonts w:ascii="Calibri" w:hAnsi="Calibri"/>
        </w:rPr>
        <w:tab/>
      </w:r>
      <w:r w:rsidRPr="00AD3267">
        <w:rPr>
          <w:rFonts w:ascii="Calibri" w:hAnsi="Calibri"/>
        </w:rPr>
        <w:t>Kostkę dostarczoną na paletach można składować na otwartej przestrzeni, przy czym podłoże powinno być wyrównane i odwodnione.</w:t>
      </w:r>
    </w:p>
    <w:p w:rsidR="0069484F" w:rsidRPr="00AD3267" w:rsidRDefault="0069484F" w:rsidP="0069484F">
      <w:pPr>
        <w:ind w:left="-851" w:right="-851"/>
        <w:rPr>
          <w:rFonts w:ascii="Calibri" w:hAnsi="Calibri"/>
        </w:rPr>
      </w:pPr>
      <w:r w:rsidRPr="00AD3267">
        <w:rPr>
          <w:rFonts w:ascii="Calibri" w:hAnsi="Calibri"/>
          <w:b/>
        </w:rPr>
        <w:t>2.4.</w:t>
      </w:r>
      <w:r w:rsidRPr="00AD3267">
        <w:rPr>
          <w:rFonts w:ascii="Calibri" w:hAnsi="Calibri"/>
        </w:rPr>
        <w:t xml:space="preserve"> Krawężniki</w:t>
      </w:r>
    </w:p>
    <w:p w:rsidR="0069484F" w:rsidRPr="00AD3267" w:rsidRDefault="0069484F" w:rsidP="0069484F">
      <w:pPr>
        <w:ind w:left="-851" w:right="-851"/>
        <w:rPr>
          <w:rFonts w:ascii="Calibri" w:hAnsi="Calibri"/>
        </w:rPr>
      </w:pPr>
      <w:r w:rsidRPr="00AD3267">
        <w:rPr>
          <w:rFonts w:ascii="Calibri" w:hAnsi="Calibri"/>
          <w:b/>
        </w:rPr>
        <w:t>2.4.1.</w:t>
      </w:r>
      <w:r w:rsidRPr="00AD3267">
        <w:rPr>
          <w:rFonts w:ascii="Calibri" w:hAnsi="Calibri"/>
        </w:rPr>
        <w:t xml:space="preserve"> Wymagania ogólne</w:t>
      </w:r>
    </w:p>
    <w:p w:rsidR="0069484F" w:rsidRPr="00AD3267" w:rsidRDefault="0069484F" w:rsidP="0069484F">
      <w:pPr>
        <w:ind w:left="-851" w:right="-851"/>
        <w:rPr>
          <w:rFonts w:ascii="Calibri" w:hAnsi="Calibri"/>
        </w:rPr>
      </w:pPr>
      <w:r w:rsidRPr="00AD3267">
        <w:rPr>
          <w:rFonts w:ascii="Calibri" w:hAnsi="Calibri"/>
        </w:rPr>
        <w:tab/>
      </w:r>
      <w:r w:rsidR="00ED53FE">
        <w:rPr>
          <w:rFonts w:ascii="Calibri" w:hAnsi="Calibri"/>
        </w:rPr>
        <w:tab/>
      </w:r>
      <w:r w:rsidRPr="00AD3267">
        <w:rPr>
          <w:rFonts w:ascii="Calibri" w:hAnsi="Calibri"/>
        </w:rPr>
        <w:t>Przy ścieku z betonowej kostki brukowej należy stosować krawężniki betonowe według PN-EN 1340. Przykłady krawężników podano w zał. 2 i 3.</w:t>
      </w:r>
    </w:p>
    <w:p w:rsidR="0069484F" w:rsidRPr="00AD3267" w:rsidRDefault="0069484F" w:rsidP="0069484F">
      <w:pPr>
        <w:ind w:left="-851" w:right="-851"/>
        <w:rPr>
          <w:rFonts w:ascii="Calibri" w:hAnsi="Calibri"/>
        </w:rPr>
      </w:pPr>
      <w:r w:rsidRPr="00AD3267">
        <w:rPr>
          <w:rFonts w:ascii="Calibri" w:hAnsi="Calibri"/>
        </w:rPr>
        <w:tab/>
      </w:r>
      <w:r w:rsidR="00ED53FE">
        <w:rPr>
          <w:rFonts w:ascii="Calibri" w:hAnsi="Calibri"/>
        </w:rPr>
        <w:tab/>
      </w:r>
      <w:r w:rsidRPr="00AD3267">
        <w:rPr>
          <w:rFonts w:ascii="Calibri" w:hAnsi="Calibri"/>
        </w:rPr>
        <w:t>Krawężniki ustawia się na podsypce cementowo-piaskowej, spełniającej wymagania według punktu 2.6.</w:t>
      </w:r>
    </w:p>
    <w:p w:rsidR="0069484F" w:rsidRPr="00AD3267" w:rsidRDefault="0069484F" w:rsidP="0069484F">
      <w:pPr>
        <w:ind w:left="-851" w:right="-851"/>
        <w:rPr>
          <w:rFonts w:ascii="Calibri" w:hAnsi="Calibri"/>
        </w:rPr>
      </w:pPr>
      <w:r w:rsidRPr="00AD3267">
        <w:rPr>
          <w:rFonts w:ascii="Calibri" w:hAnsi="Calibri"/>
          <w:b/>
        </w:rPr>
        <w:t>2.4.2.</w:t>
      </w:r>
      <w:r w:rsidRPr="00AD3267">
        <w:rPr>
          <w:rFonts w:ascii="Calibri" w:hAnsi="Calibri"/>
        </w:rPr>
        <w:t xml:space="preserve"> Krawężnik betonowy</w:t>
      </w:r>
    </w:p>
    <w:p w:rsidR="0069484F" w:rsidRPr="00AD3267" w:rsidRDefault="0069484F" w:rsidP="0069484F">
      <w:pPr>
        <w:ind w:left="-851" w:right="-851"/>
        <w:rPr>
          <w:rFonts w:ascii="Calibri" w:hAnsi="Calibri"/>
        </w:rPr>
      </w:pPr>
      <w:r w:rsidRPr="00AD3267">
        <w:rPr>
          <w:rFonts w:ascii="Calibri" w:hAnsi="Calibri"/>
        </w:rPr>
        <w:tab/>
      </w:r>
      <w:r w:rsidR="00ED53FE">
        <w:rPr>
          <w:rFonts w:ascii="Calibri" w:hAnsi="Calibri"/>
        </w:rPr>
        <w:tab/>
      </w:r>
      <w:r w:rsidRPr="00AD3267">
        <w:rPr>
          <w:rFonts w:ascii="Calibri" w:hAnsi="Calibri"/>
        </w:rPr>
        <w:t>Wymagania techniczne stawiane krawężnikom betonowym określa PN-EN 1340 w sposób przedstawiony w tablicy 2.</w:t>
      </w:r>
    </w:p>
    <w:p w:rsidR="0069484F" w:rsidRPr="00AD3267" w:rsidRDefault="0069484F" w:rsidP="0069484F">
      <w:pPr>
        <w:rPr>
          <w:rFonts w:ascii="Calibri" w:hAnsi="Calibri"/>
        </w:rPr>
      </w:pPr>
      <w:r w:rsidRPr="00AD3267">
        <w:rPr>
          <w:rFonts w:ascii="Calibri" w:hAnsi="Calibri"/>
        </w:rPr>
        <w:t>Tablica 2. Wymagania wobec krawężnika betonowego, ustalone w PN-EN 1340 do stosowania w warunkach kontaktu z solą odladzającą w warunkach mrozu</w:t>
      </w:r>
    </w:p>
    <w:tbl>
      <w:tblPr>
        <w:tblW w:w="7938"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tblPr>
      <w:tblGrid>
        <w:gridCol w:w="534"/>
        <w:gridCol w:w="2126"/>
        <w:gridCol w:w="742"/>
        <w:gridCol w:w="250"/>
        <w:gridCol w:w="581"/>
        <w:gridCol w:w="303"/>
        <w:gridCol w:w="1101"/>
        <w:gridCol w:w="742"/>
        <w:gridCol w:w="1559"/>
      </w:tblGrid>
      <w:tr w:rsidR="0069484F" w:rsidRPr="00AD3267" w:rsidTr="0069484F">
        <w:tc>
          <w:tcPr>
            <w:tcW w:w="534" w:type="dxa"/>
            <w:tcBorders>
              <w:bottom w:val="single" w:sz="4" w:space="0" w:color="auto"/>
            </w:tcBorders>
          </w:tcPr>
          <w:p w:rsidR="0069484F" w:rsidRPr="00AD3267" w:rsidRDefault="0069484F" w:rsidP="00ED53FE">
            <w:pPr>
              <w:spacing w:before="60" w:after="60"/>
              <w:jc w:val="center"/>
              <w:rPr>
                <w:rFonts w:ascii="Calibri" w:hAnsi="Calibri"/>
                <w:b/>
                <w:sz w:val="18"/>
                <w:szCs w:val="18"/>
              </w:rPr>
            </w:pPr>
            <w:r w:rsidRPr="00AD3267">
              <w:rPr>
                <w:rFonts w:ascii="Calibri" w:hAnsi="Calibri"/>
                <w:b/>
                <w:sz w:val="18"/>
                <w:szCs w:val="18"/>
              </w:rPr>
              <w:t>Lp.</w:t>
            </w:r>
          </w:p>
        </w:tc>
        <w:tc>
          <w:tcPr>
            <w:tcW w:w="2126" w:type="dxa"/>
            <w:tcBorders>
              <w:bottom w:val="single" w:sz="4" w:space="0" w:color="auto"/>
            </w:tcBorders>
          </w:tcPr>
          <w:p w:rsidR="0069484F" w:rsidRPr="00AD3267" w:rsidRDefault="0069484F" w:rsidP="00ED53FE">
            <w:pPr>
              <w:spacing w:before="60" w:after="60"/>
              <w:jc w:val="center"/>
              <w:rPr>
                <w:rFonts w:ascii="Calibri" w:hAnsi="Calibri"/>
                <w:b/>
                <w:sz w:val="18"/>
                <w:szCs w:val="18"/>
              </w:rPr>
            </w:pPr>
            <w:r w:rsidRPr="00AD3267">
              <w:rPr>
                <w:rFonts w:ascii="Calibri" w:hAnsi="Calibri"/>
                <w:b/>
                <w:sz w:val="18"/>
                <w:szCs w:val="18"/>
              </w:rPr>
              <w:t>Cecha</w:t>
            </w:r>
          </w:p>
        </w:tc>
        <w:tc>
          <w:tcPr>
            <w:tcW w:w="992" w:type="dxa"/>
            <w:gridSpan w:val="2"/>
            <w:tcBorders>
              <w:bottom w:val="single" w:sz="4" w:space="0" w:color="auto"/>
            </w:tcBorders>
          </w:tcPr>
          <w:p w:rsidR="0069484F" w:rsidRPr="00AD3267" w:rsidRDefault="0069484F" w:rsidP="00ED53FE">
            <w:pPr>
              <w:spacing w:before="60" w:after="60"/>
              <w:rPr>
                <w:rFonts w:ascii="Calibri" w:hAnsi="Calibri"/>
                <w:b/>
                <w:sz w:val="18"/>
                <w:szCs w:val="18"/>
              </w:rPr>
            </w:pPr>
            <w:r w:rsidRPr="00AD3267">
              <w:rPr>
                <w:rFonts w:ascii="Calibri" w:hAnsi="Calibri"/>
                <w:b/>
                <w:sz w:val="18"/>
                <w:szCs w:val="18"/>
              </w:rPr>
              <w:t>Załącznik</w:t>
            </w:r>
          </w:p>
        </w:tc>
        <w:tc>
          <w:tcPr>
            <w:tcW w:w="4286" w:type="dxa"/>
            <w:gridSpan w:val="5"/>
            <w:tcBorders>
              <w:bottom w:val="single" w:sz="4" w:space="0" w:color="auto"/>
            </w:tcBorders>
          </w:tcPr>
          <w:p w:rsidR="0069484F" w:rsidRPr="00AD3267" w:rsidRDefault="0069484F" w:rsidP="00ED53FE">
            <w:pPr>
              <w:spacing w:before="60" w:after="60"/>
              <w:jc w:val="center"/>
              <w:rPr>
                <w:rFonts w:ascii="Calibri" w:hAnsi="Calibri"/>
                <w:b/>
                <w:sz w:val="18"/>
                <w:szCs w:val="18"/>
              </w:rPr>
            </w:pPr>
            <w:r w:rsidRPr="00AD3267">
              <w:rPr>
                <w:rFonts w:ascii="Calibri" w:hAnsi="Calibri"/>
                <w:b/>
                <w:sz w:val="18"/>
                <w:szCs w:val="18"/>
              </w:rPr>
              <w:t>Wymagania</w:t>
            </w:r>
          </w:p>
        </w:tc>
      </w:tr>
      <w:tr w:rsidR="0069484F" w:rsidRPr="00AD3267" w:rsidTr="0069484F">
        <w:tc>
          <w:tcPr>
            <w:tcW w:w="534" w:type="dxa"/>
            <w:tcBorders>
              <w:top w:val="single" w:sz="4" w:space="0" w:color="auto"/>
            </w:tcBorders>
          </w:tcPr>
          <w:p w:rsidR="0069484F" w:rsidRPr="00AD3267" w:rsidRDefault="0069484F" w:rsidP="00ED53FE">
            <w:pPr>
              <w:jc w:val="center"/>
              <w:rPr>
                <w:rFonts w:ascii="Calibri" w:hAnsi="Calibri"/>
                <w:sz w:val="18"/>
                <w:szCs w:val="18"/>
              </w:rPr>
            </w:pPr>
            <w:r w:rsidRPr="00AD3267">
              <w:rPr>
                <w:rFonts w:ascii="Calibri" w:hAnsi="Calibri"/>
                <w:sz w:val="18"/>
                <w:szCs w:val="18"/>
              </w:rPr>
              <w:t>1</w:t>
            </w:r>
          </w:p>
        </w:tc>
        <w:tc>
          <w:tcPr>
            <w:tcW w:w="7404" w:type="dxa"/>
            <w:gridSpan w:val="8"/>
            <w:tcBorders>
              <w:top w:val="single" w:sz="4" w:space="0" w:color="auto"/>
            </w:tcBorders>
          </w:tcPr>
          <w:p w:rsidR="0069484F" w:rsidRPr="00AD3267" w:rsidRDefault="0069484F" w:rsidP="00ED53FE">
            <w:pPr>
              <w:rPr>
                <w:rFonts w:ascii="Calibri" w:hAnsi="Calibri"/>
                <w:sz w:val="18"/>
                <w:szCs w:val="18"/>
              </w:rPr>
            </w:pPr>
            <w:r w:rsidRPr="00AD3267">
              <w:rPr>
                <w:rFonts w:ascii="Calibri" w:hAnsi="Calibri"/>
                <w:sz w:val="18"/>
                <w:szCs w:val="18"/>
              </w:rPr>
              <w:t>Kształt i wymiary</w:t>
            </w:r>
          </w:p>
        </w:tc>
      </w:tr>
      <w:tr w:rsidR="0069484F" w:rsidRPr="00AD3267" w:rsidTr="0069484F">
        <w:tc>
          <w:tcPr>
            <w:tcW w:w="534" w:type="dxa"/>
          </w:tcPr>
          <w:p w:rsidR="0069484F" w:rsidRPr="00AD3267" w:rsidRDefault="0069484F" w:rsidP="00ED53FE">
            <w:pPr>
              <w:jc w:val="center"/>
              <w:rPr>
                <w:rFonts w:ascii="Calibri" w:hAnsi="Calibri"/>
                <w:sz w:val="18"/>
                <w:szCs w:val="18"/>
              </w:rPr>
            </w:pPr>
            <w:r w:rsidRPr="00AD3267">
              <w:rPr>
                <w:rFonts w:ascii="Calibri" w:hAnsi="Calibri"/>
                <w:sz w:val="18"/>
                <w:szCs w:val="18"/>
              </w:rPr>
              <w:t>1.1</w:t>
            </w:r>
          </w:p>
        </w:tc>
        <w:tc>
          <w:tcPr>
            <w:tcW w:w="2126" w:type="dxa"/>
          </w:tcPr>
          <w:p w:rsidR="0069484F" w:rsidRPr="00AD3267" w:rsidRDefault="0069484F" w:rsidP="00ED53FE">
            <w:pPr>
              <w:rPr>
                <w:rFonts w:ascii="Calibri" w:hAnsi="Calibri"/>
                <w:sz w:val="18"/>
                <w:szCs w:val="18"/>
              </w:rPr>
            </w:pPr>
            <w:r>
              <w:rPr>
                <w:rFonts w:ascii="Calibri" w:hAnsi="Calibri"/>
                <w:sz w:val="18"/>
                <w:szCs w:val="18"/>
              </w:rPr>
              <w:t>Wartości dopuszczalnych odchyłek od wymiarów nomi</w:t>
            </w:r>
            <w:r w:rsidRPr="00AD3267">
              <w:rPr>
                <w:rFonts w:ascii="Calibri" w:hAnsi="Calibri"/>
                <w:sz w:val="18"/>
                <w:szCs w:val="18"/>
              </w:rPr>
              <w:t>nalnych, z dokładnością do milimetra</w:t>
            </w:r>
          </w:p>
        </w:tc>
        <w:tc>
          <w:tcPr>
            <w:tcW w:w="742" w:type="dxa"/>
          </w:tcPr>
          <w:p w:rsidR="0069484F" w:rsidRPr="00AD3267" w:rsidRDefault="0069484F" w:rsidP="00ED53FE">
            <w:pPr>
              <w:jc w:val="center"/>
              <w:rPr>
                <w:rFonts w:ascii="Calibri" w:hAnsi="Calibri"/>
                <w:sz w:val="18"/>
                <w:szCs w:val="18"/>
              </w:rPr>
            </w:pPr>
            <w:r w:rsidRPr="00AD3267">
              <w:rPr>
                <w:rFonts w:ascii="Calibri" w:hAnsi="Calibri"/>
                <w:sz w:val="18"/>
                <w:szCs w:val="18"/>
              </w:rPr>
              <w:t>C</w:t>
            </w:r>
          </w:p>
        </w:tc>
        <w:tc>
          <w:tcPr>
            <w:tcW w:w="4536" w:type="dxa"/>
            <w:gridSpan w:val="6"/>
          </w:tcPr>
          <w:p w:rsidR="0069484F" w:rsidRPr="00AD3267" w:rsidRDefault="0069484F" w:rsidP="00ED53FE">
            <w:pPr>
              <w:rPr>
                <w:rFonts w:ascii="Calibri" w:hAnsi="Calibri"/>
                <w:sz w:val="18"/>
                <w:szCs w:val="18"/>
              </w:rPr>
            </w:pPr>
            <w:r w:rsidRPr="00AD3267">
              <w:rPr>
                <w:rFonts w:ascii="Calibri" w:hAnsi="Calibri"/>
                <w:sz w:val="18"/>
                <w:szCs w:val="18"/>
              </w:rPr>
              <w:t xml:space="preserve">Długość: ± 1%, ≥ </w:t>
            </w:r>
            <w:smartTag w:uri="urn:schemas-microsoft-com:office:smarttags" w:element="metricconverter">
              <w:smartTagPr>
                <w:attr w:name="ProductID" w:val="4 mm"/>
              </w:smartTagPr>
              <w:r w:rsidRPr="00AD3267">
                <w:rPr>
                  <w:rFonts w:ascii="Calibri" w:hAnsi="Calibri"/>
                  <w:sz w:val="18"/>
                  <w:szCs w:val="18"/>
                </w:rPr>
                <w:t>4 mm</w:t>
              </w:r>
            </w:smartTag>
            <w:r w:rsidRPr="00AD3267">
              <w:rPr>
                <w:rFonts w:ascii="Calibri" w:hAnsi="Calibri"/>
                <w:sz w:val="18"/>
                <w:szCs w:val="18"/>
              </w:rPr>
              <w:t xml:space="preserve"> i ≤ </w:t>
            </w:r>
            <w:smartTag w:uri="urn:schemas-microsoft-com:office:smarttags" w:element="metricconverter">
              <w:smartTagPr>
                <w:attr w:name="ProductID" w:val="10 mm"/>
              </w:smartTagPr>
              <w:r w:rsidRPr="00AD3267">
                <w:rPr>
                  <w:rFonts w:ascii="Calibri" w:hAnsi="Calibri"/>
                  <w:sz w:val="18"/>
                  <w:szCs w:val="18"/>
                </w:rPr>
                <w:t>10 mm</w:t>
              </w:r>
            </w:smartTag>
          </w:p>
          <w:p w:rsidR="0069484F" w:rsidRPr="00AD3267" w:rsidRDefault="0069484F" w:rsidP="00ED53FE">
            <w:pPr>
              <w:rPr>
                <w:rFonts w:ascii="Calibri" w:hAnsi="Calibri"/>
                <w:sz w:val="18"/>
                <w:szCs w:val="18"/>
              </w:rPr>
            </w:pPr>
            <w:r w:rsidRPr="00AD3267">
              <w:rPr>
                <w:rFonts w:ascii="Calibri" w:hAnsi="Calibri"/>
                <w:sz w:val="18"/>
                <w:szCs w:val="18"/>
              </w:rPr>
              <w:t>Inne wymiary z wyjątkiem promienia:</w:t>
            </w:r>
          </w:p>
          <w:p w:rsidR="0069484F" w:rsidRPr="00AD3267" w:rsidRDefault="0069484F" w:rsidP="00ED53FE">
            <w:pPr>
              <w:rPr>
                <w:rFonts w:ascii="Calibri" w:hAnsi="Calibri"/>
                <w:sz w:val="18"/>
                <w:szCs w:val="18"/>
              </w:rPr>
            </w:pPr>
            <w:r w:rsidRPr="00AD3267">
              <w:rPr>
                <w:rFonts w:ascii="Calibri" w:hAnsi="Calibri"/>
                <w:sz w:val="18"/>
                <w:szCs w:val="18"/>
              </w:rPr>
              <w:t xml:space="preserve">- dla powierzchni: ± 3%, ≥ </w:t>
            </w:r>
            <w:smartTag w:uri="urn:schemas-microsoft-com:office:smarttags" w:element="metricconverter">
              <w:smartTagPr>
                <w:attr w:name="ProductID" w:val="3 mm"/>
              </w:smartTagPr>
              <w:r w:rsidRPr="00AD3267">
                <w:rPr>
                  <w:rFonts w:ascii="Calibri" w:hAnsi="Calibri"/>
                  <w:sz w:val="18"/>
                  <w:szCs w:val="18"/>
                </w:rPr>
                <w:t>3 mm</w:t>
              </w:r>
            </w:smartTag>
            <w:r w:rsidRPr="00AD3267">
              <w:rPr>
                <w:rFonts w:ascii="Calibri" w:hAnsi="Calibri"/>
                <w:sz w:val="18"/>
                <w:szCs w:val="18"/>
              </w:rPr>
              <w:t xml:space="preserve">, ≤ </w:t>
            </w:r>
            <w:smartTag w:uri="urn:schemas-microsoft-com:office:smarttags" w:element="metricconverter">
              <w:smartTagPr>
                <w:attr w:name="ProductID" w:val="5 mm"/>
              </w:smartTagPr>
              <w:r w:rsidRPr="00AD3267">
                <w:rPr>
                  <w:rFonts w:ascii="Calibri" w:hAnsi="Calibri"/>
                  <w:sz w:val="18"/>
                  <w:szCs w:val="18"/>
                </w:rPr>
                <w:t>5 mm</w:t>
              </w:r>
            </w:smartTag>
            <w:r w:rsidRPr="00AD3267">
              <w:rPr>
                <w:rFonts w:ascii="Calibri" w:hAnsi="Calibri"/>
                <w:sz w:val="18"/>
                <w:szCs w:val="18"/>
              </w:rPr>
              <w:t>,</w:t>
            </w:r>
          </w:p>
          <w:p w:rsidR="0069484F" w:rsidRPr="00AD3267" w:rsidRDefault="0069484F" w:rsidP="00ED53FE">
            <w:pPr>
              <w:rPr>
                <w:rFonts w:ascii="Calibri" w:hAnsi="Calibri"/>
                <w:sz w:val="18"/>
                <w:szCs w:val="18"/>
              </w:rPr>
            </w:pPr>
            <w:r w:rsidRPr="00AD3267">
              <w:rPr>
                <w:rFonts w:ascii="Calibri" w:hAnsi="Calibri"/>
                <w:sz w:val="18"/>
                <w:szCs w:val="18"/>
              </w:rPr>
              <w:t xml:space="preserve">- dla innych części: ± 5%, ≥ </w:t>
            </w:r>
            <w:smartTag w:uri="urn:schemas-microsoft-com:office:smarttags" w:element="metricconverter">
              <w:smartTagPr>
                <w:attr w:name="ProductID" w:val="3 mm"/>
              </w:smartTagPr>
              <w:r w:rsidRPr="00AD3267">
                <w:rPr>
                  <w:rFonts w:ascii="Calibri" w:hAnsi="Calibri"/>
                  <w:sz w:val="18"/>
                  <w:szCs w:val="18"/>
                </w:rPr>
                <w:t>3 mm</w:t>
              </w:r>
            </w:smartTag>
            <w:r w:rsidRPr="00AD3267">
              <w:rPr>
                <w:rFonts w:ascii="Calibri" w:hAnsi="Calibri"/>
                <w:sz w:val="18"/>
                <w:szCs w:val="18"/>
              </w:rPr>
              <w:t xml:space="preserve">,  ≤ </w:t>
            </w:r>
            <w:smartTag w:uri="urn:schemas-microsoft-com:office:smarttags" w:element="metricconverter">
              <w:smartTagPr>
                <w:attr w:name="ProductID" w:val="10 mm"/>
              </w:smartTagPr>
              <w:r w:rsidRPr="00AD3267">
                <w:rPr>
                  <w:rFonts w:ascii="Calibri" w:hAnsi="Calibri"/>
                  <w:sz w:val="18"/>
                  <w:szCs w:val="18"/>
                </w:rPr>
                <w:t>10 mm</w:t>
              </w:r>
            </w:smartTag>
          </w:p>
        </w:tc>
      </w:tr>
      <w:tr w:rsidR="0069484F" w:rsidRPr="00AD3267" w:rsidTr="0069484F">
        <w:tc>
          <w:tcPr>
            <w:tcW w:w="534" w:type="dxa"/>
          </w:tcPr>
          <w:p w:rsidR="0069484F" w:rsidRPr="00AD3267" w:rsidRDefault="0069484F" w:rsidP="00ED53FE">
            <w:pPr>
              <w:jc w:val="center"/>
              <w:rPr>
                <w:rFonts w:ascii="Calibri" w:hAnsi="Calibri"/>
                <w:sz w:val="18"/>
                <w:szCs w:val="18"/>
              </w:rPr>
            </w:pPr>
            <w:r w:rsidRPr="00AD3267">
              <w:rPr>
                <w:rFonts w:ascii="Calibri" w:hAnsi="Calibri"/>
                <w:sz w:val="18"/>
                <w:szCs w:val="18"/>
              </w:rPr>
              <w:t>1.2</w:t>
            </w:r>
          </w:p>
        </w:tc>
        <w:tc>
          <w:tcPr>
            <w:tcW w:w="2126" w:type="dxa"/>
          </w:tcPr>
          <w:p w:rsidR="0069484F" w:rsidRPr="00AD3267" w:rsidRDefault="0069484F" w:rsidP="00ED53FE">
            <w:pPr>
              <w:rPr>
                <w:rFonts w:ascii="Calibri" w:hAnsi="Calibri"/>
                <w:sz w:val="18"/>
                <w:szCs w:val="18"/>
              </w:rPr>
            </w:pPr>
            <w:r w:rsidRPr="00AD3267">
              <w:rPr>
                <w:rFonts w:ascii="Calibri" w:hAnsi="Calibri"/>
                <w:sz w:val="18"/>
                <w:szCs w:val="18"/>
              </w:rPr>
              <w:t>Dopuszczalne odchyłki od</w:t>
            </w:r>
          </w:p>
          <w:p w:rsidR="0069484F" w:rsidRPr="00AD3267" w:rsidRDefault="0069484F" w:rsidP="00ED53FE">
            <w:pPr>
              <w:rPr>
                <w:rFonts w:ascii="Calibri" w:hAnsi="Calibri"/>
                <w:sz w:val="18"/>
                <w:szCs w:val="18"/>
              </w:rPr>
            </w:pPr>
            <w:r w:rsidRPr="00AD3267">
              <w:rPr>
                <w:rFonts w:ascii="Calibri" w:hAnsi="Calibri"/>
                <w:sz w:val="18"/>
                <w:szCs w:val="18"/>
              </w:rPr>
              <w:t>płaskości i prostoliniowości,</w:t>
            </w:r>
          </w:p>
          <w:p w:rsidR="0069484F" w:rsidRPr="00AD3267" w:rsidRDefault="0069484F" w:rsidP="00ED53FE">
            <w:pPr>
              <w:rPr>
                <w:rFonts w:ascii="Calibri" w:hAnsi="Calibri"/>
                <w:sz w:val="18"/>
                <w:szCs w:val="18"/>
              </w:rPr>
            </w:pPr>
            <w:r w:rsidRPr="00AD3267">
              <w:rPr>
                <w:rFonts w:ascii="Calibri" w:hAnsi="Calibri"/>
                <w:sz w:val="18"/>
                <w:szCs w:val="18"/>
              </w:rPr>
              <w:t>dla długości pomiarowej</w:t>
            </w:r>
          </w:p>
          <w:p w:rsidR="0069484F" w:rsidRPr="00AD3267" w:rsidRDefault="0069484F" w:rsidP="00ED53FE">
            <w:pPr>
              <w:jc w:val="right"/>
              <w:rPr>
                <w:rFonts w:ascii="Calibri" w:hAnsi="Calibri"/>
                <w:sz w:val="18"/>
                <w:szCs w:val="18"/>
              </w:rPr>
            </w:pPr>
            <w:smartTag w:uri="urn:schemas-microsoft-com:office:smarttags" w:element="metricconverter">
              <w:smartTagPr>
                <w:attr w:name="ProductID" w:val="300 mm"/>
              </w:smartTagPr>
              <w:r w:rsidRPr="00AD3267">
                <w:rPr>
                  <w:rFonts w:ascii="Calibri" w:hAnsi="Calibri"/>
                  <w:sz w:val="18"/>
                  <w:szCs w:val="18"/>
                </w:rPr>
                <w:lastRenderedPageBreak/>
                <w:t>300 mm</w:t>
              </w:r>
            </w:smartTag>
          </w:p>
          <w:p w:rsidR="0069484F" w:rsidRPr="00AD3267" w:rsidRDefault="0069484F" w:rsidP="00ED53FE">
            <w:pPr>
              <w:jc w:val="right"/>
              <w:rPr>
                <w:rFonts w:ascii="Calibri" w:hAnsi="Calibri"/>
                <w:sz w:val="18"/>
                <w:szCs w:val="18"/>
              </w:rPr>
            </w:pPr>
            <w:smartTag w:uri="urn:schemas-microsoft-com:office:smarttags" w:element="metricconverter">
              <w:smartTagPr>
                <w:attr w:name="ProductID" w:val="400 mm"/>
              </w:smartTagPr>
              <w:r w:rsidRPr="00AD3267">
                <w:rPr>
                  <w:rFonts w:ascii="Calibri" w:hAnsi="Calibri"/>
                  <w:sz w:val="18"/>
                  <w:szCs w:val="18"/>
                </w:rPr>
                <w:t>400 mm</w:t>
              </w:r>
            </w:smartTag>
          </w:p>
          <w:p w:rsidR="0069484F" w:rsidRPr="00AD3267" w:rsidRDefault="0069484F" w:rsidP="00ED53FE">
            <w:pPr>
              <w:jc w:val="right"/>
              <w:rPr>
                <w:rFonts w:ascii="Calibri" w:hAnsi="Calibri"/>
                <w:sz w:val="18"/>
                <w:szCs w:val="18"/>
              </w:rPr>
            </w:pPr>
            <w:smartTag w:uri="urn:schemas-microsoft-com:office:smarttags" w:element="metricconverter">
              <w:smartTagPr>
                <w:attr w:name="ProductID" w:val="500 mm"/>
              </w:smartTagPr>
              <w:r w:rsidRPr="00AD3267">
                <w:rPr>
                  <w:rFonts w:ascii="Calibri" w:hAnsi="Calibri"/>
                  <w:sz w:val="18"/>
                  <w:szCs w:val="18"/>
                </w:rPr>
                <w:t>500 mm</w:t>
              </w:r>
            </w:smartTag>
          </w:p>
          <w:p w:rsidR="0069484F" w:rsidRPr="00AD3267" w:rsidRDefault="0069484F" w:rsidP="00ED53FE">
            <w:pPr>
              <w:jc w:val="right"/>
              <w:rPr>
                <w:rFonts w:ascii="Calibri" w:hAnsi="Calibri"/>
                <w:sz w:val="18"/>
                <w:szCs w:val="18"/>
              </w:rPr>
            </w:pPr>
            <w:smartTag w:uri="urn:schemas-microsoft-com:office:smarttags" w:element="metricconverter">
              <w:smartTagPr>
                <w:attr w:name="ProductID" w:val="800 mm"/>
              </w:smartTagPr>
              <w:r w:rsidRPr="00AD3267">
                <w:rPr>
                  <w:rFonts w:ascii="Calibri" w:hAnsi="Calibri"/>
                  <w:sz w:val="18"/>
                  <w:szCs w:val="18"/>
                </w:rPr>
                <w:t>800 mm</w:t>
              </w:r>
            </w:smartTag>
          </w:p>
        </w:tc>
        <w:tc>
          <w:tcPr>
            <w:tcW w:w="742" w:type="dxa"/>
          </w:tcPr>
          <w:p w:rsidR="0069484F" w:rsidRPr="00AD3267" w:rsidRDefault="0069484F" w:rsidP="00ED53FE">
            <w:pPr>
              <w:jc w:val="center"/>
              <w:rPr>
                <w:rFonts w:ascii="Calibri" w:hAnsi="Calibri"/>
                <w:sz w:val="18"/>
                <w:szCs w:val="18"/>
              </w:rPr>
            </w:pPr>
            <w:r w:rsidRPr="00AD3267">
              <w:rPr>
                <w:rFonts w:ascii="Calibri" w:hAnsi="Calibri"/>
                <w:sz w:val="18"/>
                <w:szCs w:val="18"/>
              </w:rPr>
              <w:lastRenderedPageBreak/>
              <w:t>C</w:t>
            </w:r>
          </w:p>
        </w:tc>
        <w:tc>
          <w:tcPr>
            <w:tcW w:w="4536" w:type="dxa"/>
            <w:gridSpan w:val="6"/>
          </w:tcPr>
          <w:p w:rsidR="0069484F" w:rsidRPr="00AD3267" w:rsidRDefault="0069484F" w:rsidP="00ED53FE">
            <w:pPr>
              <w:rPr>
                <w:rFonts w:ascii="Calibri" w:hAnsi="Calibri"/>
                <w:sz w:val="18"/>
                <w:szCs w:val="18"/>
              </w:rPr>
            </w:pPr>
          </w:p>
          <w:p w:rsidR="0069484F" w:rsidRDefault="0069484F" w:rsidP="00ED53FE">
            <w:pPr>
              <w:rPr>
                <w:rFonts w:ascii="Calibri" w:hAnsi="Calibri"/>
                <w:sz w:val="18"/>
                <w:szCs w:val="18"/>
              </w:rPr>
            </w:pPr>
          </w:p>
          <w:p w:rsidR="0069484F" w:rsidRPr="00AD3267" w:rsidRDefault="0069484F" w:rsidP="00ED53FE">
            <w:pPr>
              <w:rPr>
                <w:rFonts w:ascii="Calibri" w:hAnsi="Calibri"/>
                <w:sz w:val="18"/>
                <w:szCs w:val="18"/>
              </w:rPr>
            </w:pPr>
          </w:p>
          <w:p w:rsidR="0069484F" w:rsidRPr="00AD3267" w:rsidRDefault="0069484F" w:rsidP="00ED53FE">
            <w:pPr>
              <w:rPr>
                <w:rFonts w:ascii="Calibri" w:hAnsi="Calibri"/>
                <w:sz w:val="18"/>
                <w:szCs w:val="18"/>
              </w:rPr>
            </w:pPr>
          </w:p>
          <w:p w:rsidR="0069484F" w:rsidRPr="00AD3267" w:rsidRDefault="0069484F" w:rsidP="00ED53FE">
            <w:pPr>
              <w:rPr>
                <w:rFonts w:ascii="Calibri" w:hAnsi="Calibri"/>
                <w:sz w:val="18"/>
                <w:szCs w:val="18"/>
              </w:rPr>
            </w:pPr>
            <w:r w:rsidRPr="00AD3267">
              <w:rPr>
                <w:rFonts w:ascii="Calibri" w:hAnsi="Calibri"/>
                <w:sz w:val="18"/>
                <w:szCs w:val="18"/>
              </w:rPr>
              <w:lastRenderedPageBreak/>
              <w:t xml:space="preserve">± </w:t>
            </w:r>
            <w:smartTag w:uri="urn:schemas-microsoft-com:office:smarttags" w:element="metricconverter">
              <w:smartTagPr>
                <w:attr w:name="ProductID" w:val="1,5 mm"/>
              </w:smartTagPr>
              <w:r w:rsidRPr="00AD3267">
                <w:rPr>
                  <w:rFonts w:ascii="Calibri" w:hAnsi="Calibri"/>
                  <w:sz w:val="18"/>
                  <w:szCs w:val="18"/>
                </w:rPr>
                <w:t>1,5 mm</w:t>
              </w:r>
            </w:smartTag>
          </w:p>
          <w:p w:rsidR="0069484F" w:rsidRPr="00AD3267" w:rsidRDefault="0069484F" w:rsidP="00ED53FE">
            <w:pPr>
              <w:rPr>
                <w:rFonts w:ascii="Calibri" w:hAnsi="Calibri"/>
                <w:sz w:val="18"/>
                <w:szCs w:val="18"/>
              </w:rPr>
            </w:pPr>
            <w:r w:rsidRPr="00AD3267">
              <w:rPr>
                <w:rFonts w:ascii="Calibri" w:hAnsi="Calibri"/>
                <w:sz w:val="18"/>
                <w:szCs w:val="18"/>
              </w:rPr>
              <w:t xml:space="preserve">± </w:t>
            </w:r>
            <w:smartTag w:uri="urn:schemas-microsoft-com:office:smarttags" w:element="metricconverter">
              <w:smartTagPr>
                <w:attr w:name="ProductID" w:val="2,0 mm"/>
              </w:smartTagPr>
              <w:r w:rsidRPr="00AD3267">
                <w:rPr>
                  <w:rFonts w:ascii="Calibri" w:hAnsi="Calibri"/>
                  <w:sz w:val="18"/>
                  <w:szCs w:val="18"/>
                </w:rPr>
                <w:t>2,0 mm</w:t>
              </w:r>
            </w:smartTag>
          </w:p>
          <w:p w:rsidR="0069484F" w:rsidRPr="00AD3267" w:rsidRDefault="0069484F" w:rsidP="00ED53FE">
            <w:pPr>
              <w:rPr>
                <w:rFonts w:ascii="Calibri" w:hAnsi="Calibri"/>
                <w:sz w:val="18"/>
                <w:szCs w:val="18"/>
              </w:rPr>
            </w:pPr>
            <w:r w:rsidRPr="00AD3267">
              <w:rPr>
                <w:rFonts w:ascii="Calibri" w:hAnsi="Calibri"/>
                <w:sz w:val="18"/>
                <w:szCs w:val="18"/>
              </w:rPr>
              <w:t xml:space="preserve">± </w:t>
            </w:r>
            <w:smartTag w:uri="urn:schemas-microsoft-com:office:smarttags" w:element="metricconverter">
              <w:smartTagPr>
                <w:attr w:name="ProductID" w:val="2,5 mm"/>
              </w:smartTagPr>
              <w:r w:rsidRPr="00AD3267">
                <w:rPr>
                  <w:rFonts w:ascii="Calibri" w:hAnsi="Calibri"/>
                  <w:sz w:val="18"/>
                  <w:szCs w:val="18"/>
                </w:rPr>
                <w:t>2,5 mm</w:t>
              </w:r>
            </w:smartTag>
          </w:p>
          <w:p w:rsidR="0069484F" w:rsidRPr="00AD3267" w:rsidRDefault="0069484F" w:rsidP="00ED53FE">
            <w:pPr>
              <w:rPr>
                <w:rFonts w:ascii="Calibri" w:hAnsi="Calibri"/>
                <w:sz w:val="18"/>
                <w:szCs w:val="18"/>
              </w:rPr>
            </w:pPr>
            <w:r w:rsidRPr="00AD3267">
              <w:rPr>
                <w:rFonts w:ascii="Calibri" w:hAnsi="Calibri"/>
                <w:sz w:val="18"/>
                <w:szCs w:val="18"/>
              </w:rPr>
              <w:t xml:space="preserve">± </w:t>
            </w:r>
            <w:smartTag w:uri="urn:schemas-microsoft-com:office:smarttags" w:element="metricconverter">
              <w:smartTagPr>
                <w:attr w:name="ProductID" w:val="4,0 mm"/>
              </w:smartTagPr>
              <w:r w:rsidRPr="00AD3267">
                <w:rPr>
                  <w:rFonts w:ascii="Calibri" w:hAnsi="Calibri"/>
                  <w:sz w:val="18"/>
                  <w:szCs w:val="18"/>
                </w:rPr>
                <w:t>4,0 mm</w:t>
              </w:r>
            </w:smartTag>
          </w:p>
        </w:tc>
      </w:tr>
      <w:tr w:rsidR="0069484F" w:rsidRPr="00AD3267" w:rsidTr="0069484F">
        <w:tc>
          <w:tcPr>
            <w:tcW w:w="534" w:type="dxa"/>
          </w:tcPr>
          <w:p w:rsidR="0069484F" w:rsidRPr="00AD3267" w:rsidRDefault="0069484F" w:rsidP="00ED53FE">
            <w:pPr>
              <w:jc w:val="center"/>
              <w:rPr>
                <w:rFonts w:ascii="Calibri" w:hAnsi="Calibri"/>
                <w:sz w:val="18"/>
                <w:szCs w:val="18"/>
              </w:rPr>
            </w:pPr>
            <w:r w:rsidRPr="00AD3267">
              <w:rPr>
                <w:rFonts w:ascii="Calibri" w:hAnsi="Calibri"/>
                <w:sz w:val="18"/>
                <w:szCs w:val="18"/>
              </w:rPr>
              <w:lastRenderedPageBreak/>
              <w:t>2</w:t>
            </w:r>
          </w:p>
        </w:tc>
        <w:tc>
          <w:tcPr>
            <w:tcW w:w="7404" w:type="dxa"/>
            <w:gridSpan w:val="8"/>
          </w:tcPr>
          <w:p w:rsidR="0069484F" w:rsidRPr="00AD3267" w:rsidRDefault="0069484F" w:rsidP="00ED53FE">
            <w:pPr>
              <w:rPr>
                <w:rFonts w:ascii="Calibri" w:hAnsi="Calibri"/>
                <w:sz w:val="18"/>
                <w:szCs w:val="18"/>
              </w:rPr>
            </w:pPr>
            <w:r w:rsidRPr="00AD3267">
              <w:rPr>
                <w:rFonts w:ascii="Calibri" w:hAnsi="Calibri"/>
                <w:sz w:val="18"/>
                <w:szCs w:val="18"/>
              </w:rPr>
              <w:t>Właściwości fizyczne i mechaniczne</w:t>
            </w:r>
          </w:p>
        </w:tc>
      </w:tr>
      <w:tr w:rsidR="0069484F" w:rsidRPr="00AD3267" w:rsidTr="0069484F">
        <w:tc>
          <w:tcPr>
            <w:tcW w:w="534" w:type="dxa"/>
          </w:tcPr>
          <w:p w:rsidR="0069484F" w:rsidRPr="00AD3267" w:rsidRDefault="0069484F" w:rsidP="00ED53FE">
            <w:pPr>
              <w:jc w:val="center"/>
              <w:rPr>
                <w:rFonts w:ascii="Calibri" w:hAnsi="Calibri"/>
                <w:sz w:val="18"/>
                <w:szCs w:val="18"/>
              </w:rPr>
            </w:pPr>
            <w:r w:rsidRPr="00AD3267">
              <w:rPr>
                <w:rFonts w:ascii="Calibri" w:hAnsi="Calibri"/>
                <w:sz w:val="18"/>
                <w:szCs w:val="18"/>
              </w:rPr>
              <w:t>2.1</w:t>
            </w:r>
          </w:p>
        </w:tc>
        <w:tc>
          <w:tcPr>
            <w:tcW w:w="2126" w:type="dxa"/>
          </w:tcPr>
          <w:p w:rsidR="0069484F" w:rsidRPr="00AD3267" w:rsidRDefault="0069484F" w:rsidP="00ED53FE">
            <w:pPr>
              <w:rPr>
                <w:rFonts w:ascii="Calibri" w:hAnsi="Calibri"/>
                <w:sz w:val="18"/>
                <w:szCs w:val="18"/>
              </w:rPr>
            </w:pPr>
            <w:r w:rsidRPr="00AD3267">
              <w:rPr>
                <w:rFonts w:ascii="Calibri" w:hAnsi="Calibri"/>
                <w:sz w:val="18"/>
                <w:szCs w:val="18"/>
              </w:rPr>
              <w:t>Odporność na zamrażanie/</w:t>
            </w:r>
          </w:p>
          <w:p w:rsidR="0069484F" w:rsidRPr="00AD3267" w:rsidRDefault="0069484F" w:rsidP="00ED53FE">
            <w:pPr>
              <w:rPr>
                <w:rFonts w:ascii="Calibri" w:hAnsi="Calibri"/>
                <w:sz w:val="18"/>
                <w:szCs w:val="18"/>
              </w:rPr>
            </w:pPr>
            <w:r w:rsidRPr="00AD3267">
              <w:rPr>
                <w:rFonts w:ascii="Calibri" w:hAnsi="Calibri"/>
                <w:sz w:val="18"/>
                <w:szCs w:val="18"/>
              </w:rPr>
              <w:t>rozmrażanie z udziałem soli odladzających</w:t>
            </w:r>
          </w:p>
        </w:tc>
        <w:tc>
          <w:tcPr>
            <w:tcW w:w="742" w:type="dxa"/>
          </w:tcPr>
          <w:p w:rsidR="0069484F" w:rsidRPr="00AD3267" w:rsidRDefault="0069484F" w:rsidP="00ED53FE">
            <w:pPr>
              <w:jc w:val="center"/>
              <w:rPr>
                <w:rFonts w:ascii="Calibri" w:hAnsi="Calibri"/>
                <w:sz w:val="18"/>
                <w:szCs w:val="18"/>
              </w:rPr>
            </w:pPr>
            <w:r w:rsidRPr="00AD3267">
              <w:rPr>
                <w:rFonts w:ascii="Calibri" w:hAnsi="Calibri"/>
                <w:sz w:val="18"/>
                <w:szCs w:val="18"/>
              </w:rPr>
              <w:t>D</w:t>
            </w:r>
          </w:p>
        </w:tc>
        <w:tc>
          <w:tcPr>
            <w:tcW w:w="4536" w:type="dxa"/>
            <w:gridSpan w:val="6"/>
            <w:tcBorders>
              <w:bottom w:val="single" w:sz="4" w:space="0" w:color="auto"/>
            </w:tcBorders>
          </w:tcPr>
          <w:p w:rsidR="0069484F" w:rsidRPr="00AD3267" w:rsidRDefault="0069484F" w:rsidP="00ED53FE">
            <w:pPr>
              <w:rPr>
                <w:rFonts w:ascii="Calibri" w:hAnsi="Calibri"/>
                <w:sz w:val="18"/>
                <w:szCs w:val="18"/>
              </w:rPr>
            </w:pPr>
            <w:r w:rsidRPr="00AD3267">
              <w:rPr>
                <w:rFonts w:ascii="Calibri" w:hAnsi="Calibri"/>
                <w:sz w:val="18"/>
                <w:szCs w:val="18"/>
              </w:rPr>
              <w:t>Ubytek masy po badaniu: wartość średnia ≤ 1,0 kg/m</w:t>
            </w:r>
            <w:r w:rsidRPr="00AD3267">
              <w:rPr>
                <w:rFonts w:ascii="Calibri" w:hAnsi="Calibri"/>
                <w:sz w:val="18"/>
                <w:szCs w:val="18"/>
                <w:vertAlign w:val="superscript"/>
              </w:rPr>
              <w:t>2</w:t>
            </w:r>
            <w:r w:rsidRPr="00AD3267">
              <w:rPr>
                <w:rFonts w:ascii="Calibri" w:hAnsi="Calibri"/>
                <w:sz w:val="18"/>
                <w:szCs w:val="18"/>
              </w:rPr>
              <w:t>, przy czym każdy pojedynczy wynik &lt; 1,5 kg/m</w:t>
            </w:r>
            <w:r w:rsidRPr="00AD3267">
              <w:rPr>
                <w:rFonts w:ascii="Calibri" w:hAnsi="Calibri"/>
                <w:sz w:val="18"/>
                <w:szCs w:val="18"/>
                <w:vertAlign w:val="superscript"/>
              </w:rPr>
              <w:t>2</w:t>
            </w:r>
          </w:p>
          <w:p w:rsidR="0069484F" w:rsidRPr="00AD3267" w:rsidRDefault="0069484F" w:rsidP="00ED53FE">
            <w:pPr>
              <w:rPr>
                <w:rFonts w:ascii="Calibri" w:hAnsi="Calibri"/>
                <w:sz w:val="18"/>
                <w:szCs w:val="18"/>
              </w:rPr>
            </w:pPr>
          </w:p>
        </w:tc>
      </w:tr>
      <w:tr w:rsidR="0069484F" w:rsidRPr="00AD3267" w:rsidTr="0069484F">
        <w:tc>
          <w:tcPr>
            <w:tcW w:w="534" w:type="dxa"/>
          </w:tcPr>
          <w:p w:rsidR="0069484F" w:rsidRPr="00AD3267" w:rsidRDefault="0069484F" w:rsidP="00ED53FE">
            <w:pPr>
              <w:jc w:val="center"/>
              <w:rPr>
                <w:rFonts w:ascii="Calibri" w:hAnsi="Calibri"/>
                <w:sz w:val="18"/>
                <w:szCs w:val="18"/>
              </w:rPr>
            </w:pPr>
            <w:r w:rsidRPr="00AD3267">
              <w:rPr>
                <w:rFonts w:ascii="Calibri" w:hAnsi="Calibri"/>
                <w:sz w:val="18"/>
                <w:szCs w:val="18"/>
              </w:rPr>
              <w:t>2.2</w:t>
            </w:r>
          </w:p>
        </w:tc>
        <w:tc>
          <w:tcPr>
            <w:tcW w:w="2126" w:type="dxa"/>
          </w:tcPr>
          <w:p w:rsidR="0069484F" w:rsidRPr="00AD3267" w:rsidRDefault="0069484F" w:rsidP="00ED53FE">
            <w:pPr>
              <w:rPr>
                <w:rFonts w:ascii="Calibri" w:hAnsi="Calibri"/>
                <w:sz w:val="18"/>
                <w:szCs w:val="18"/>
              </w:rPr>
            </w:pPr>
            <w:r w:rsidRPr="00AD3267">
              <w:rPr>
                <w:rFonts w:ascii="Calibri" w:hAnsi="Calibri"/>
                <w:sz w:val="18"/>
                <w:szCs w:val="18"/>
              </w:rPr>
              <w:t>Wytrzymałość na zginanie (Klasa wytrzymałości ustalona w dokumentacji projektowej lub przez Inżyniera)</w:t>
            </w:r>
          </w:p>
        </w:tc>
        <w:tc>
          <w:tcPr>
            <w:tcW w:w="742" w:type="dxa"/>
          </w:tcPr>
          <w:p w:rsidR="0069484F" w:rsidRPr="00AD3267" w:rsidRDefault="0069484F" w:rsidP="00ED53FE">
            <w:pPr>
              <w:jc w:val="center"/>
              <w:rPr>
                <w:rFonts w:ascii="Calibri" w:hAnsi="Calibri"/>
                <w:sz w:val="18"/>
                <w:szCs w:val="18"/>
              </w:rPr>
            </w:pPr>
            <w:r w:rsidRPr="00AD3267">
              <w:rPr>
                <w:rFonts w:ascii="Calibri" w:hAnsi="Calibri"/>
                <w:sz w:val="18"/>
                <w:szCs w:val="18"/>
              </w:rPr>
              <w:t>F</w:t>
            </w:r>
          </w:p>
        </w:tc>
        <w:tc>
          <w:tcPr>
            <w:tcW w:w="1134" w:type="dxa"/>
            <w:gridSpan w:val="3"/>
            <w:tcBorders>
              <w:right w:val="single" w:sz="4" w:space="0" w:color="auto"/>
            </w:tcBorders>
          </w:tcPr>
          <w:p w:rsidR="0069484F" w:rsidRPr="00AD3267" w:rsidRDefault="0069484F" w:rsidP="00ED53FE">
            <w:pPr>
              <w:jc w:val="center"/>
              <w:rPr>
                <w:rFonts w:ascii="Calibri" w:hAnsi="Calibri"/>
                <w:sz w:val="18"/>
                <w:szCs w:val="18"/>
              </w:rPr>
            </w:pPr>
            <w:r w:rsidRPr="00AD3267">
              <w:rPr>
                <w:rFonts w:ascii="Calibri" w:hAnsi="Calibri"/>
                <w:sz w:val="18"/>
                <w:szCs w:val="18"/>
              </w:rPr>
              <w:t>Klasa</w:t>
            </w:r>
          </w:p>
          <w:p w:rsidR="0069484F" w:rsidRPr="00AD3267" w:rsidRDefault="0069484F" w:rsidP="00ED53FE">
            <w:pPr>
              <w:jc w:val="center"/>
              <w:rPr>
                <w:rFonts w:ascii="Calibri" w:hAnsi="Calibri"/>
                <w:sz w:val="18"/>
                <w:szCs w:val="18"/>
              </w:rPr>
            </w:pPr>
            <w:r w:rsidRPr="00AD3267">
              <w:rPr>
                <w:rFonts w:ascii="Calibri" w:hAnsi="Calibri"/>
                <w:sz w:val="18"/>
                <w:szCs w:val="18"/>
              </w:rPr>
              <w:t>wytrz.</w:t>
            </w:r>
          </w:p>
          <w:p w:rsidR="0069484F" w:rsidRPr="00AD3267" w:rsidRDefault="0069484F" w:rsidP="00ED53FE">
            <w:pPr>
              <w:jc w:val="center"/>
              <w:rPr>
                <w:rFonts w:ascii="Calibri" w:hAnsi="Calibri"/>
                <w:sz w:val="18"/>
                <w:szCs w:val="18"/>
              </w:rPr>
            </w:pPr>
            <w:r w:rsidRPr="00AD3267">
              <w:rPr>
                <w:rFonts w:ascii="Calibri" w:hAnsi="Calibri"/>
                <w:sz w:val="18"/>
                <w:szCs w:val="18"/>
              </w:rPr>
              <w:t>1</w:t>
            </w:r>
          </w:p>
          <w:p w:rsidR="0069484F" w:rsidRPr="00AD3267" w:rsidRDefault="0069484F" w:rsidP="00ED53FE">
            <w:pPr>
              <w:jc w:val="center"/>
              <w:rPr>
                <w:rFonts w:ascii="Calibri" w:hAnsi="Calibri"/>
                <w:sz w:val="18"/>
                <w:szCs w:val="18"/>
              </w:rPr>
            </w:pPr>
            <w:r w:rsidRPr="00AD3267">
              <w:rPr>
                <w:rFonts w:ascii="Calibri" w:hAnsi="Calibri"/>
                <w:sz w:val="18"/>
                <w:szCs w:val="18"/>
              </w:rPr>
              <w:t>2</w:t>
            </w:r>
          </w:p>
          <w:p w:rsidR="0069484F" w:rsidRPr="00AD3267" w:rsidRDefault="0069484F" w:rsidP="00ED53FE">
            <w:pPr>
              <w:jc w:val="center"/>
              <w:rPr>
                <w:rFonts w:ascii="Calibri" w:hAnsi="Calibri"/>
                <w:sz w:val="18"/>
                <w:szCs w:val="18"/>
              </w:rPr>
            </w:pPr>
            <w:r w:rsidRPr="00AD3267">
              <w:rPr>
                <w:rFonts w:ascii="Calibri" w:hAnsi="Calibri"/>
                <w:sz w:val="18"/>
                <w:szCs w:val="18"/>
              </w:rPr>
              <w:t>3</w:t>
            </w:r>
          </w:p>
        </w:tc>
        <w:tc>
          <w:tcPr>
            <w:tcW w:w="1843" w:type="dxa"/>
            <w:gridSpan w:val="2"/>
            <w:tcBorders>
              <w:left w:val="single" w:sz="4" w:space="0" w:color="auto"/>
              <w:right w:val="single" w:sz="4" w:space="0" w:color="auto"/>
            </w:tcBorders>
          </w:tcPr>
          <w:p w:rsidR="0069484F" w:rsidRPr="00AD3267" w:rsidRDefault="0069484F" w:rsidP="00ED53FE">
            <w:pPr>
              <w:ind w:left="-38"/>
              <w:jc w:val="center"/>
              <w:rPr>
                <w:rFonts w:ascii="Calibri" w:hAnsi="Calibri"/>
                <w:sz w:val="18"/>
                <w:szCs w:val="18"/>
              </w:rPr>
            </w:pPr>
            <w:r w:rsidRPr="00AD3267">
              <w:rPr>
                <w:rFonts w:ascii="Calibri" w:hAnsi="Calibri"/>
                <w:sz w:val="18"/>
                <w:szCs w:val="18"/>
              </w:rPr>
              <w:t>Charakterystyczna</w:t>
            </w:r>
          </w:p>
          <w:p w:rsidR="0069484F" w:rsidRPr="00AD3267" w:rsidRDefault="0069484F" w:rsidP="00ED53FE">
            <w:pPr>
              <w:ind w:left="-38"/>
              <w:jc w:val="center"/>
              <w:rPr>
                <w:rFonts w:ascii="Calibri" w:hAnsi="Calibri"/>
                <w:sz w:val="18"/>
                <w:szCs w:val="18"/>
              </w:rPr>
            </w:pPr>
            <w:r w:rsidRPr="00AD3267">
              <w:rPr>
                <w:rFonts w:ascii="Calibri" w:hAnsi="Calibri"/>
                <w:sz w:val="18"/>
                <w:szCs w:val="18"/>
              </w:rPr>
              <w:t>wytrzymałość, MPa</w:t>
            </w:r>
          </w:p>
          <w:p w:rsidR="0069484F" w:rsidRPr="00AD3267" w:rsidRDefault="0069484F" w:rsidP="00ED53FE">
            <w:pPr>
              <w:ind w:left="-38"/>
              <w:jc w:val="center"/>
              <w:rPr>
                <w:rFonts w:ascii="Calibri" w:hAnsi="Calibri"/>
                <w:sz w:val="18"/>
                <w:szCs w:val="18"/>
              </w:rPr>
            </w:pPr>
            <w:r w:rsidRPr="00AD3267">
              <w:rPr>
                <w:rFonts w:ascii="Calibri" w:hAnsi="Calibri"/>
                <w:sz w:val="18"/>
                <w:szCs w:val="18"/>
              </w:rPr>
              <w:t>3,5</w:t>
            </w:r>
          </w:p>
          <w:p w:rsidR="0069484F" w:rsidRPr="00AD3267" w:rsidRDefault="0069484F" w:rsidP="00ED53FE">
            <w:pPr>
              <w:ind w:left="-38"/>
              <w:jc w:val="center"/>
              <w:rPr>
                <w:rFonts w:ascii="Calibri" w:hAnsi="Calibri"/>
                <w:sz w:val="18"/>
                <w:szCs w:val="18"/>
              </w:rPr>
            </w:pPr>
            <w:r w:rsidRPr="00AD3267">
              <w:rPr>
                <w:rFonts w:ascii="Calibri" w:hAnsi="Calibri"/>
                <w:sz w:val="18"/>
                <w:szCs w:val="18"/>
              </w:rPr>
              <w:t>5,0</w:t>
            </w:r>
          </w:p>
          <w:p w:rsidR="0069484F" w:rsidRPr="00AD3267" w:rsidRDefault="0069484F" w:rsidP="00ED53FE">
            <w:pPr>
              <w:ind w:left="-38"/>
              <w:jc w:val="center"/>
              <w:rPr>
                <w:rFonts w:ascii="Calibri" w:hAnsi="Calibri"/>
                <w:sz w:val="18"/>
                <w:szCs w:val="18"/>
              </w:rPr>
            </w:pPr>
            <w:r w:rsidRPr="00AD3267">
              <w:rPr>
                <w:rFonts w:ascii="Calibri" w:hAnsi="Calibri"/>
                <w:sz w:val="18"/>
                <w:szCs w:val="18"/>
              </w:rPr>
              <w:t>6,0</w:t>
            </w:r>
          </w:p>
        </w:tc>
        <w:tc>
          <w:tcPr>
            <w:tcW w:w="1559" w:type="dxa"/>
            <w:tcBorders>
              <w:left w:val="single" w:sz="4" w:space="0" w:color="auto"/>
            </w:tcBorders>
          </w:tcPr>
          <w:p w:rsidR="0069484F" w:rsidRPr="00AD3267" w:rsidRDefault="0069484F" w:rsidP="00ED53FE">
            <w:pPr>
              <w:jc w:val="center"/>
              <w:rPr>
                <w:rFonts w:ascii="Calibri" w:hAnsi="Calibri"/>
                <w:sz w:val="18"/>
                <w:szCs w:val="18"/>
              </w:rPr>
            </w:pPr>
            <w:r w:rsidRPr="00AD3267">
              <w:rPr>
                <w:rFonts w:ascii="Calibri" w:hAnsi="Calibri"/>
                <w:sz w:val="18"/>
                <w:szCs w:val="18"/>
              </w:rPr>
              <w:t>Każdy pojedynczy</w:t>
            </w:r>
          </w:p>
          <w:p w:rsidR="0069484F" w:rsidRPr="00AD3267" w:rsidRDefault="0069484F" w:rsidP="00ED53FE">
            <w:pPr>
              <w:jc w:val="center"/>
              <w:rPr>
                <w:rFonts w:ascii="Calibri" w:hAnsi="Calibri"/>
                <w:sz w:val="18"/>
                <w:szCs w:val="18"/>
              </w:rPr>
            </w:pPr>
            <w:r w:rsidRPr="00AD3267">
              <w:rPr>
                <w:rFonts w:ascii="Calibri" w:hAnsi="Calibri"/>
                <w:sz w:val="18"/>
                <w:szCs w:val="18"/>
              </w:rPr>
              <w:t>wynik, MPa</w:t>
            </w:r>
          </w:p>
          <w:p w:rsidR="0069484F" w:rsidRPr="00AD3267" w:rsidRDefault="0069484F" w:rsidP="00ED53FE">
            <w:pPr>
              <w:jc w:val="center"/>
              <w:rPr>
                <w:rFonts w:ascii="Calibri" w:hAnsi="Calibri"/>
                <w:sz w:val="18"/>
                <w:szCs w:val="18"/>
              </w:rPr>
            </w:pPr>
            <w:r w:rsidRPr="00AD3267">
              <w:rPr>
                <w:rFonts w:ascii="Calibri" w:hAnsi="Calibri"/>
                <w:sz w:val="18"/>
                <w:szCs w:val="18"/>
              </w:rPr>
              <w:t>&gt; 2,8</w:t>
            </w:r>
          </w:p>
          <w:p w:rsidR="0069484F" w:rsidRPr="00AD3267" w:rsidRDefault="0069484F" w:rsidP="00ED53FE">
            <w:pPr>
              <w:jc w:val="center"/>
              <w:rPr>
                <w:rFonts w:ascii="Calibri" w:hAnsi="Calibri"/>
                <w:sz w:val="18"/>
                <w:szCs w:val="18"/>
              </w:rPr>
            </w:pPr>
            <w:r w:rsidRPr="00AD3267">
              <w:rPr>
                <w:rFonts w:ascii="Calibri" w:hAnsi="Calibri"/>
                <w:sz w:val="18"/>
                <w:szCs w:val="18"/>
              </w:rPr>
              <w:t>&gt; 4,0</w:t>
            </w:r>
          </w:p>
          <w:p w:rsidR="0069484F" w:rsidRPr="00AD3267" w:rsidRDefault="0069484F" w:rsidP="00ED53FE">
            <w:pPr>
              <w:jc w:val="center"/>
              <w:rPr>
                <w:rFonts w:ascii="Calibri" w:hAnsi="Calibri"/>
                <w:sz w:val="18"/>
                <w:szCs w:val="18"/>
              </w:rPr>
            </w:pPr>
            <w:r w:rsidRPr="00AD3267">
              <w:rPr>
                <w:rFonts w:ascii="Calibri" w:hAnsi="Calibri"/>
                <w:sz w:val="18"/>
                <w:szCs w:val="18"/>
              </w:rPr>
              <w:t>&gt; 4,8</w:t>
            </w:r>
          </w:p>
        </w:tc>
      </w:tr>
      <w:tr w:rsidR="0069484F" w:rsidRPr="00AD3267" w:rsidTr="0069484F">
        <w:tc>
          <w:tcPr>
            <w:tcW w:w="534" w:type="dxa"/>
            <w:tcBorders>
              <w:bottom w:val="single" w:sz="4" w:space="0" w:color="auto"/>
            </w:tcBorders>
          </w:tcPr>
          <w:p w:rsidR="0069484F" w:rsidRPr="00AD3267" w:rsidRDefault="0069484F" w:rsidP="00ED53FE">
            <w:pPr>
              <w:jc w:val="center"/>
              <w:rPr>
                <w:rFonts w:ascii="Calibri" w:hAnsi="Calibri"/>
                <w:sz w:val="18"/>
                <w:szCs w:val="18"/>
              </w:rPr>
            </w:pPr>
            <w:r w:rsidRPr="00AD3267">
              <w:rPr>
                <w:rFonts w:ascii="Calibri" w:hAnsi="Calibri"/>
                <w:sz w:val="18"/>
                <w:szCs w:val="18"/>
              </w:rPr>
              <w:t>2.3</w:t>
            </w:r>
          </w:p>
        </w:tc>
        <w:tc>
          <w:tcPr>
            <w:tcW w:w="2126" w:type="dxa"/>
            <w:tcBorders>
              <w:bottom w:val="single" w:sz="4" w:space="0" w:color="auto"/>
            </w:tcBorders>
          </w:tcPr>
          <w:p w:rsidR="0069484F" w:rsidRPr="00AD3267" w:rsidRDefault="0069484F" w:rsidP="00ED53FE">
            <w:pPr>
              <w:rPr>
                <w:rFonts w:ascii="Calibri" w:hAnsi="Calibri"/>
                <w:sz w:val="18"/>
                <w:szCs w:val="18"/>
              </w:rPr>
            </w:pPr>
            <w:r w:rsidRPr="00AD3267">
              <w:rPr>
                <w:rFonts w:ascii="Calibri" w:hAnsi="Calibri"/>
                <w:sz w:val="18"/>
                <w:szCs w:val="18"/>
              </w:rPr>
              <w:t>Trwałość ze względu na wytrzymałość</w:t>
            </w:r>
          </w:p>
        </w:tc>
        <w:tc>
          <w:tcPr>
            <w:tcW w:w="742" w:type="dxa"/>
            <w:tcBorders>
              <w:bottom w:val="single" w:sz="4" w:space="0" w:color="auto"/>
            </w:tcBorders>
          </w:tcPr>
          <w:p w:rsidR="0069484F" w:rsidRPr="00AD3267" w:rsidRDefault="0069484F" w:rsidP="00ED53FE">
            <w:pPr>
              <w:jc w:val="center"/>
              <w:rPr>
                <w:rFonts w:ascii="Calibri" w:hAnsi="Calibri"/>
                <w:sz w:val="18"/>
                <w:szCs w:val="18"/>
              </w:rPr>
            </w:pPr>
            <w:r w:rsidRPr="00AD3267">
              <w:rPr>
                <w:rFonts w:ascii="Calibri" w:hAnsi="Calibri"/>
                <w:sz w:val="18"/>
                <w:szCs w:val="18"/>
              </w:rPr>
              <w:t>F</w:t>
            </w:r>
          </w:p>
        </w:tc>
        <w:tc>
          <w:tcPr>
            <w:tcW w:w="4536" w:type="dxa"/>
            <w:gridSpan w:val="6"/>
          </w:tcPr>
          <w:p w:rsidR="0069484F" w:rsidRPr="00AD3267" w:rsidRDefault="0069484F" w:rsidP="00ED53FE">
            <w:pPr>
              <w:rPr>
                <w:rFonts w:ascii="Calibri" w:hAnsi="Calibri"/>
                <w:sz w:val="18"/>
                <w:szCs w:val="18"/>
              </w:rPr>
            </w:pPr>
            <w:r w:rsidRPr="00AD3267">
              <w:rPr>
                <w:rFonts w:ascii="Calibri" w:hAnsi="Calibri"/>
                <w:sz w:val="18"/>
                <w:szCs w:val="18"/>
              </w:rPr>
              <w:t>Krawężniki mają zadawalającą  trwałość (wytrzymałość) jeśli spełnione są wymagania pktu 2.2 oraz poddawane są normalnej konserwacji</w:t>
            </w:r>
          </w:p>
        </w:tc>
      </w:tr>
      <w:tr w:rsidR="0069484F" w:rsidRPr="00AD3267" w:rsidTr="0069484F">
        <w:tc>
          <w:tcPr>
            <w:tcW w:w="534" w:type="dxa"/>
            <w:tcBorders>
              <w:bottom w:val="nil"/>
            </w:tcBorders>
          </w:tcPr>
          <w:p w:rsidR="0069484F" w:rsidRPr="00AD3267" w:rsidRDefault="0069484F" w:rsidP="00ED53FE">
            <w:pPr>
              <w:jc w:val="center"/>
              <w:rPr>
                <w:rFonts w:ascii="Calibri" w:hAnsi="Calibri"/>
                <w:sz w:val="18"/>
                <w:szCs w:val="18"/>
              </w:rPr>
            </w:pPr>
            <w:r w:rsidRPr="00AD3267">
              <w:rPr>
                <w:rFonts w:ascii="Calibri" w:hAnsi="Calibri"/>
                <w:sz w:val="18"/>
                <w:szCs w:val="18"/>
              </w:rPr>
              <w:t>2.4</w:t>
            </w:r>
          </w:p>
        </w:tc>
        <w:tc>
          <w:tcPr>
            <w:tcW w:w="2126" w:type="dxa"/>
            <w:tcBorders>
              <w:bottom w:val="nil"/>
            </w:tcBorders>
          </w:tcPr>
          <w:p w:rsidR="0069484F" w:rsidRPr="00AD3267" w:rsidRDefault="0069484F" w:rsidP="00ED53FE">
            <w:pPr>
              <w:rPr>
                <w:rFonts w:ascii="Calibri" w:hAnsi="Calibri"/>
                <w:sz w:val="18"/>
                <w:szCs w:val="18"/>
              </w:rPr>
            </w:pPr>
            <w:r w:rsidRPr="00AD3267">
              <w:rPr>
                <w:rFonts w:ascii="Calibri" w:hAnsi="Calibri"/>
                <w:sz w:val="18"/>
                <w:szCs w:val="18"/>
              </w:rPr>
              <w:t>Odporność na ścieranie</w:t>
            </w:r>
          </w:p>
        </w:tc>
        <w:tc>
          <w:tcPr>
            <w:tcW w:w="742" w:type="dxa"/>
            <w:tcBorders>
              <w:bottom w:val="nil"/>
            </w:tcBorders>
          </w:tcPr>
          <w:p w:rsidR="0069484F" w:rsidRPr="00AD3267" w:rsidRDefault="0069484F" w:rsidP="00ED53FE">
            <w:pPr>
              <w:jc w:val="center"/>
              <w:rPr>
                <w:rFonts w:ascii="Calibri" w:hAnsi="Calibri"/>
                <w:sz w:val="18"/>
                <w:szCs w:val="18"/>
              </w:rPr>
            </w:pPr>
            <w:r w:rsidRPr="00AD3267">
              <w:rPr>
                <w:rFonts w:ascii="Calibri" w:hAnsi="Calibri"/>
                <w:sz w:val="18"/>
                <w:szCs w:val="18"/>
              </w:rPr>
              <w:t>G i H</w:t>
            </w:r>
          </w:p>
        </w:tc>
        <w:tc>
          <w:tcPr>
            <w:tcW w:w="831" w:type="dxa"/>
            <w:gridSpan w:val="2"/>
            <w:tcBorders>
              <w:bottom w:val="nil"/>
            </w:tcBorders>
          </w:tcPr>
          <w:p w:rsidR="0069484F" w:rsidRPr="00AD3267" w:rsidRDefault="0069484F" w:rsidP="00ED53FE">
            <w:pPr>
              <w:jc w:val="center"/>
              <w:rPr>
                <w:rFonts w:ascii="Calibri" w:hAnsi="Calibri"/>
                <w:sz w:val="18"/>
                <w:szCs w:val="18"/>
              </w:rPr>
            </w:pPr>
          </w:p>
        </w:tc>
        <w:tc>
          <w:tcPr>
            <w:tcW w:w="3705" w:type="dxa"/>
            <w:gridSpan w:val="4"/>
          </w:tcPr>
          <w:p w:rsidR="0069484F" w:rsidRPr="00AD3267" w:rsidRDefault="0069484F" w:rsidP="00ED53FE">
            <w:pPr>
              <w:jc w:val="center"/>
              <w:rPr>
                <w:rFonts w:ascii="Calibri" w:hAnsi="Calibri"/>
                <w:sz w:val="18"/>
                <w:szCs w:val="18"/>
              </w:rPr>
            </w:pPr>
            <w:r w:rsidRPr="00AD3267">
              <w:rPr>
                <w:rFonts w:ascii="Calibri" w:hAnsi="Calibri"/>
                <w:sz w:val="18"/>
                <w:szCs w:val="18"/>
              </w:rPr>
              <w:t>Odporność przy pomiarze na tarczy</w:t>
            </w:r>
          </w:p>
        </w:tc>
      </w:tr>
      <w:tr w:rsidR="0069484F" w:rsidRPr="00AD3267" w:rsidTr="0069484F">
        <w:tc>
          <w:tcPr>
            <w:tcW w:w="534" w:type="dxa"/>
            <w:tcBorders>
              <w:top w:val="nil"/>
              <w:bottom w:val="nil"/>
            </w:tcBorders>
          </w:tcPr>
          <w:p w:rsidR="0069484F" w:rsidRPr="00AD3267" w:rsidRDefault="0069484F" w:rsidP="00ED53FE">
            <w:pPr>
              <w:jc w:val="center"/>
              <w:rPr>
                <w:rFonts w:ascii="Calibri" w:hAnsi="Calibri"/>
                <w:sz w:val="18"/>
                <w:szCs w:val="18"/>
              </w:rPr>
            </w:pPr>
          </w:p>
        </w:tc>
        <w:tc>
          <w:tcPr>
            <w:tcW w:w="2126" w:type="dxa"/>
            <w:tcBorders>
              <w:top w:val="nil"/>
              <w:bottom w:val="nil"/>
            </w:tcBorders>
          </w:tcPr>
          <w:p w:rsidR="0069484F" w:rsidRPr="00AD3267" w:rsidRDefault="0069484F" w:rsidP="00ED53FE">
            <w:pPr>
              <w:rPr>
                <w:rFonts w:ascii="Calibri" w:hAnsi="Calibri"/>
                <w:sz w:val="18"/>
                <w:szCs w:val="18"/>
              </w:rPr>
            </w:pPr>
            <w:r w:rsidRPr="00AD3267">
              <w:rPr>
                <w:rFonts w:ascii="Calibri" w:hAnsi="Calibri"/>
                <w:sz w:val="18"/>
                <w:szCs w:val="18"/>
              </w:rPr>
              <w:t>(Klasa odporności ustalona w dokumentacji projektowej lub przez Inżyniera)</w:t>
            </w:r>
          </w:p>
        </w:tc>
        <w:tc>
          <w:tcPr>
            <w:tcW w:w="742" w:type="dxa"/>
            <w:tcBorders>
              <w:top w:val="nil"/>
              <w:bottom w:val="nil"/>
            </w:tcBorders>
          </w:tcPr>
          <w:p w:rsidR="0069484F" w:rsidRPr="00AD3267" w:rsidRDefault="0069484F" w:rsidP="00ED53FE">
            <w:pPr>
              <w:rPr>
                <w:rFonts w:ascii="Calibri" w:hAnsi="Calibri"/>
                <w:sz w:val="18"/>
                <w:szCs w:val="18"/>
              </w:rPr>
            </w:pPr>
          </w:p>
        </w:tc>
        <w:tc>
          <w:tcPr>
            <w:tcW w:w="831" w:type="dxa"/>
            <w:gridSpan w:val="2"/>
            <w:tcBorders>
              <w:top w:val="nil"/>
            </w:tcBorders>
          </w:tcPr>
          <w:p w:rsidR="0069484F" w:rsidRPr="00AD3267" w:rsidRDefault="0069484F" w:rsidP="00ED53FE">
            <w:pPr>
              <w:jc w:val="center"/>
              <w:rPr>
                <w:rFonts w:ascii="Calibri" w:hAnsi="Calibri"/>
                <w:sz w:val="18"/>
                <w:szCs w:val="18"/>
              </w:rPr>
            </w:pPr>
            <w:r w:rsidRPr="00AD3267">
              <w:rPr>
                <w:rFonts w:ascii="Calibri" w:hAnsi="Calibri"/>
                <w:sz w:val="18"/>
                <w:szCs w:val="18"/>
              </w:rPr>
              <w:t>Klasa</w:t>
            </w:r>
          </w:p>
          <w:p w:rsidR="0069484F" w:rsidRPr="00AD3267" w:rsidRDefault="0069484F" w:rsidP="00ED53FE">
            <w:pPr>
              <w:jc w:val="center"/>
              <w:rPr>
                <w:rFonts w:ascii="Calibri" w:hAnsi="Calibri"/>
                <w:sz w:val="18"/>
                <w:szCs w:val="18"/>
              </w:rPr>
            </w:pPr>
            <w:r w:rsidRPr="00AD3267">
              <w:rPr>
                <w:rFonts w:ascii="Calibri" w:hAnsi="Calibri"/>
                <w:sz w:val="18"/>
                <w:szCs w:val="18"/>
              </w:rPr>
              <w:t>odpor-</w:t>
            </w:r>
          </w:p>
          <w:p w:rsidR="0069484F" w:rsidRPr="00AD3267" w:rsidRDefault="0069484F" w:rsidP="00ED53FE">
            <w:pPr>
              <w:jc w:val="center"/>
              <w:rPr>
                <w:rFonts w:ascii="Calibri" w:hAnsi="Calibri"/>
                <w:sz w:val="18"/>
                <w:szCs w:val="18"/>
              </w:rPr>
            </w:pPr>
            <w:r w:rsidRPr="00AD3267">
              <w:rPr>
                <w:rFonts w:ascii="Calibri" w:hAnsi="Calibri"/>
                <w:sz w:val="18"/>
                <w:szCs w:val="18"/>
              </w:rPr>
              <w:t>ności</w:t>
            </w:r>
          </w:p>
        </w:tc>
        <w:tc>
          <w:tcPr>
            <w:tcW w:w="1404" w:type="dxa"/>
            <w:gridSpan w:val="2"/>
          </w:tcPr>
          <w:p w:rsidR="0069484F" w:rsidRPr="00AD3267" w:rsidRDefault="0069484F" w:rsidP="00ED53FE">
            <w:pPr>
              <w:jc w:val="center"/>
              <w:rPr>
                <w:rFonts w:ascii="Calibri" w:hAnsi="Calibri"/>
                <w:sz w:val="18"/>
                <w:szCs w:val="18"/>
              </w:rPr>
            </w:pPr>
            <w:r w:rsidRPr="00AD3267">
              <w:rPr>
                <w:rFonts w:ascii="Calibri" w:hAnsi="Calibri"/>
                <w:sz w:val="18"/>
                <w:szCs w:val="18"/>
              </w:rPr>
              <w:t>szerokiej ściernej, wg zał. G normy – badanie podstawowe</w:t>
            </w:r>
          </w:p>
        </w:tc>
        <w:tc>
          <w:tcPr>
            <w:tcW w:w="2301" w:type="dxa"/>
            <w:gridSpan w:val="2"/>
          </w:tcPr>
          <w:p w:rsidR="0069484F" w:rsidRPr="00AD3267" w:rsidRDefault="0069484F" w:rsidP="00ED53FE">
            <w:pPr>
              <w:jc w:val="center"/>
              <w:rPr>
                <w:rFonts w:ascii="Calibri" w:hAnsi="Calibri"/>
                <w:sz w:val="18"/>
                <w:szCs w:val="18"/>
              </w:rPr>
            </w:pPr>
            <w:r w:rsidRPr="00AD3267">
              <w:rPr>
                <w:rFonts w:ascii="Calibri" w:hAnsi="Calibri"/>
                <w:sz w:val="18"/>
                <w:szCs w:val="18"/>
              </w:rPr>
              <w:t>Böhmego,</w:t>
            </w:r>
          </w:p>
          <w:p w:rsidR="0069484F" w:rsidRPr="00AD3267" w:rsidRDefault="0069484F" w:rsidP="00ED53FE">
            <w:pPr>
              <w:jc w:val="center"/>
              <w:rPr>
                <w:rFonts w:ascii="Calibri" w:hAnsi="Calibri"/>
                <w:sz w:val="18"/>
                <w:szCs w:val="18"/>
              </w:rPr>
            </w:pPr>
            <w:r w:rsidRPr="00AD3267">
              <w:rPr>
                <w:rFonts w:ascii="Calibri" w:hAnsi="Calibri"/>
                <w:sz w:val="18"/>
                <w:szCs w:val="18"/>
              </w:rPr>
              <w:t>wg zał. H normy – badanie alternatywne</w:t>
            </w:r>
          </w:p>
        </w:tc>
      </w:tr>
      <w:tr w:rsidR="0069484F" w:rsidRPr="00AD3267" w:rsidTr="0069484F">
        <w:tc>
          <w:tcPr>
            <w:tcW w:w="534" w:type="dxa"/>
            <w:tcBorders>
              <w:top w:val="nil"/>
            </w:tcBorders>
          </w:tcPr>
          <w:p w:rsidR="0069484F" w:rsidRPr="00AD3267" w:rsidRDefault="0069484F" w:rsidP="00ED53FE">
            <w:pPr>
              <w:jc w:val="center"/>
              <w:rPr>
                <w:rFonts w:ascii="Calibri" w:hAnsi="Calibri"/>
                <w:sz w:val="18"/>
                <w:szCs w:val="18"/>
              </w:rPr>
            </w:pPr>
          </w:p>
        </w:tc>
        <w:tc>
          <w:tcPr>
            <w:tcW w:w="2126" w:type="dxa"/>
            <w:tcBorders>
              <w:top w:val="nil"/>
            </w:tcBorders>
          </w:tcPr>
          <w:p w:rsidR="0069484F" w:rsidRPr="00AD3267" w:rsidRDefault="0069484F" w:rsidP="00ED53FE">
            <w:pPr>
              <w:rPr>
                <w:rFonts w:ascii="Calibri" w:hAnsi="Calibri"/>
                <w:sz w:val="18"/>
                <w:szCs w:val="18"/>
              </w:rPr>
            </w:pPr>
          </w:p>
        </w:tc>
        <w:tc>
          <w:tcPr>
            <w:tcW w:w="742" w:type="dxa"/>
            <w:tcBorders>
              <w:top w:val="nil"/>
            </w:tcBorders>
          </w:tcPr>
          <w:p w:rsidR="0069484F" w:rsidRPr="00AD3267" w:rsidRDefault="0069484F" w:rsidP="00ED53FE">
            <w:pPr>
              <w:jc w:val="center"/>
              <w:rPr>
                <w:rFonts w:ascii="Calibri" w:hAnsi="Calibri"/>
                <w:sz w:val="18"/>
                <w:szCs w:val="18"/>
              </w:rPr>
            </w:pPr>
          </w:p>
        </w:tc>
        <w:tc>
          <w:tcPr>
            <w:tcW w:w="831" w:type="dxa"/>
            <w:gridSpan w:val="2"/>
          </w:tcPr>
          <w:p w:rsidR="0069484F" w:rsidRPr="00AD3267" w:rsidRDefault="0069484F" w:rsidP="00ED53FE">
            <w:pPr>
              <w:jc w:val="center"/>
              <w:rPr>
                <w:rFonts w:ascii="Calibri" w:hAnsi="Calibri"/>
                <w:sz w:val="18"/>
                <w:szCs w:val="18"/>
              </w:rPr>
            </w:pPr>
            <w:r w:rsidRPr="00AD3267">
              <w:rPr>
                <w:rFonts w:ascii="Calibri" w:hAnsi="Calibri"/>
                <w:sz w:val="18"/>
                <w:szCs w:val="18"/>
              </w:rPr>
              <w:t>1</w:t>
            </w:r>
          </w:p>
          <w:p w:rsidR="0069484F" w:rsidRPr="00AD3267" w:rsidRDefault="0069484F" w:rsidP="00ED53FE">
            <w:pPr>
              <w:jc w:val="center"/>
              <w:rPr>
                <w:rFonts w:ascii="Calibri" w:hAnsi="Calibri"/>
                <w:sz w:val="18"/>
                <w:szCs w:val="18"/>
              </w:rPr>
            </w:pPr>
            <w:r w:rsidRPr="00AD3267">
              <w:rPr>
                <w:rFonts w:ascii="Calibri" w:hAnsi="Calibri"/>
                <w:sz w:val="18"/>
                <w:szCs w:val="18"/>
              </w:rPr>
              <w:t>3</w:t>
            </w:r>
          </w:p>
          <w:p w:rsidR="0069484F" w:rsidRPr="00AD3267" w:rsidRDefault="0069484F" w:rsidP="00ED53FE">
            <w:pPr>
              <w:jc w:val="center"/>
              <w:rPr>
                <w:rFonts w:ascii="Calibri" w:hAnsi="Calibri"/>
                <w:sz w:val="18"/>
                <w:szCs w:val="18"/>
              </w:rPr>
            </w:pPr>
            <w:r w:rsidRPr="00AD3267">
              <w:rPr>
                <w:rFonts w:ascii="Calibri" w:hAnsi="Calibri"/>
                <w:sz w:val="18"/>
                <w:szCs w:val="18"/>
              </w:rPr>
              <w:t>4</w:t>
            </w:r>
          </w:p>
        </w:tc>
        <w:tc>
          <w:tcPr>
            <w:tcW w:w="1404" w:type="dxa"/>
            <w:gridSpan w:val="2"/>
          </w:tcPr>
          <w:p w:rsidR="0069484F" w:rsidRPr="00AD3267" w:rsidRDefault="0069484F" w:rsidP="00ED53FE">
            <w:pPr>
              <w:jc w:val="center"/>
              <w:rPr>
                <w:rFonts w:ascii="Calibri" w:hAnsi="Calibri"/>
                <w:sz w:val="18"/>
                <w:szCs w:val="18"/>
              </w:rPr>
            </w:pPr>
            <w:r w:rsidRPr="00AD3267">
              <w:rPr>
                <w:rFonts w:ascii="Calibri" w:hAnsi="Calibri"/>
                <w:sz w:val="18"/>
                <w:szCs w:val="18"/>
              </w:rPr>
              <w:t>Nie określa się</w:t>
            </w:r>
          </w:p>
          <w:p w:rsidR="0069484F" w:rsidRPr="00AD3267" w:rsidRDefault="0069484F" w:rsidP="00ED53FE">
            <w:pPr>
              <w:jc w:val="center"/>
              <w:rPr>
                <w:rFonts w:ascii="Calibri" w:hAnsi="Calibri"/>
                <w:sz w:val="18"/>
                <w:szCs w:val="18"/>
              </w:rPr>
            </w:pPr>
            <w:r w:rsidRPr="00AD3267">
              <w:rPr>
                <w:rFonts w:ascii="Calibri" w:hAnsi="Calibri"/>
                <w:sz w:val="18"/>
                <w:szCs w:val="18"/>
              </w:rPr>
              <w:t xml:space="preserve">≤ </w:t>
            </w:r>
            <w:smartTag w:uri="urn:schemas-microsoft-com:office:smarttags" w:element="metricconverter">
              <w:smartTagPr>
                <w:attr w:name="ProductID" w:val="23 mm"/>
              </w:smartTagPr>
              <w:r w:rsidRPr="00AD3267">
                <w:rPr>
                  <w:rFonts w:ascii="Calibri" w:hAnsi="Calibri"/>
                  <w:sz w:val="18"/>
                  <w:szCs w:val="18"/>
                </w:rPr>
                <w:t>23 mm</w:t>
              </w:r>
            </w:smartTag>
          </w:p>
          <w:p w:rsidR="0069484F" w:rsidRPr="00AD3267" w:rsidRDefault="0069484F" w:rsidP="00ED53FE">
            <w:pPr>
              <w:jc w:val="center"/>
              <w:rPr>
                <w:rFonts w:ascii="Calibri" w:hAnsi="Calibri"/>
                <w:sz w:val="18"/>
                <w:szCs w:val="18"/>
              </w:rPr>
            </w:pPr>
            <w:r w:rsidRPr="00AD3267">
              <w:rPr>
                <w:rFonts w:ascii="Calibri" w:hAnsi="Calibri"/>
                <w:sz w:val="18"/>
                <w:szCs w:val="18"/>
              </w:rPr>
              <w:t xml:space="preserve">≤ </w:t>
            </w:r>
            <w:smartTag w:uri="urn:schemas-microsoft-com:office:smarttags" w:element="metricconverter">
              <w:smartTagPr>
                <w:attr w:name="ProductID" w:val="20 mm"/>
              </w:smartTagPr>
              <w:r w:rsidRPr="00AD3267">
                <w:rPr>
                  <w:rFonts w:ascii="Calibri" w:hAnsi="Calibri"/>
                  <w:sz w:val="18"/>
                  <w:szCs w:val="18"/>
                </w:rPr>
                <w:t>20 mm</w:t>
              </w:r>
            </w:smartTag>
          </w:p>
        </w:tc>
        <w:tc>
          <w:tcPr>
            <w:tcW w:w="2301" w:type="dxa"/>
            <w:gridSpan w:val="2"/>
          </w:tcPr>
          <w:p w:rsidR="0069484F" w:rsidRPr="00AD3267" w:rsidRDefault="0069484F" w:rsidP="00ED53FE">
            <w:pPr>
              <w:jc w:val="center"/>
              <w:rPr>
                <w:rFonts w:ascii="Calibri" w:hAnsi="Calibri"/>
                <w:sz w:val="18"/>
                <w:szCs w:val="18"/>
              </w:rPr>
            </w:pPr>
            <w:r w:rsidRPr="00AD3267">
              <w:rPr>
                <w:rFonts w:ascii="Calibri" w:hAnsi="Calibri"/>
                <w:sz w:val="18"/>
                <w:szCs w:val="18"/>
              </w:rPr>
              <w:t>Nie określa się</w:t>
            </w:r>
          </w:p>
          <w:p w:rsidR="0069484F" w:rsidRPr="00AD3267" w:rsidRDefault="0069484F" w:rsidP="00ED53FE">
            <w:pPr>
              <w:rPr>
                <w:rFonts w:ascii="Calibri" w:hAnsi="Calibri"/>
                <w:sz w:val="18"/>
                <w:szCs w:val="18"/>
                <w:vertAlign w:val="superscript"/>
              </w:rPr>
            </w:pPr>
            <w:r w:rsidRPr="00AD3267">
              <w:rPr>
                <w:rFonts w:ascii="Calibri" w:hAnsi="Calibri"/>
                <w:sz w:val="18"/>
                <w:szCs w:val="18"/>
              </w:rPr>
              <w:t>≤ 20000 mm</w:t>
            </w:r>
            <w:r w:rsidRPr="00AD3267">
              <w:rPr>
                <w:rFonts w:ascii="Calibri" w:hAnsi="Calibri"/>
                <w:sz w:val="18"/>
                <w:szCs w:val="18"/>
                <w:vertAlign w:val="superscript"/>
              </w:rPr>
              <w:t>3</w:t>
            </w:r>
            <w:r w:rsidRPr="00AD3267">
              <w:rPr>
                <w:rFonts w:ascii="Calibri" w:hAnsi="Calibri"/>
                <w:sz w:val="18"/>
                <w:szCs w:val="18"/>
              </w:rPr>
              <w:t>/5000 mm</w:t>
            </w:r>
            <w:r w:rsidRPr="00AD3267">
              <w:rPr>
                <w:rFonts w:ascii="Calibri" w:hAnsi="Calibri"/>
                <w:sz w:val="18"/>
                <w:szCs w:val="18"/>
                <w:vertAlign w:val="superscript"/>
              </w:rPr>
              <w:t>2</w:t>
            </w:r>
          </w:p>
          <w:p w:rsidR="0069484F" w:rsidRPr="00AD3267" w:rsidRDefault="0069484F" w:rsidP="00ED53FE">
            <w:pPr>
              <w:rPr>
                <w:rFonts w:ascii="Calibri" w:hAnsi="Calibri"/>
                <w:sz w:val="18"/>
                <w:szCs w:val="18"/>
              </w:rPr>
            </w:pPr>
            <w:r w:rsidRPr="00AD3267">
              <w:rPr>
                <w:rFonts w:ascii="Calibri" w:hAnsi="Calibri"/>
                <w:sz w:val="18"/>
                <w:szCs w:val="18"/>
              </w:rPr>
              <w:t>≤ 18000 mm</w:t>
            </w:r>
            <w:r w:rsidRPr="00AD3267">
              <w:rPr>
                <w:rFonts w:ascii="Calibri" w:hAnsi="Calibri"/>
                <w:sz w:val="18"/>
                <w:szCs w:val="18"/>
                <w:vertAlign w:val="superscript"/>
              </w:rPr>
              <w:t>3</w:t>
            </w:r>
            <w:r w:rsidRPr="00AD3267">
              <w:rPr>
                <w:rFonts w:ascii="Calibri" w:hAnsi="Calibri"/>
                <w:sz w:val="18"/>
                <w:szCs w:val="18"/>
              </w:rPr>
              <w:t>/5000 mm</w:t>
            </w:r>
            <w:r w:rsidRPr="00AD3267">
              <w:rPr>
                <w:rFonts w:ascii="Calibri" w:hAnsi="Calibri"/>
                <w:sz w:val="18"/>
                <w:szCs w:val="18"/>
                <w:vertAlign w:val="superscript"/>
              </w:rPr>
              <w:t>2</w:t>
            </w:r>
          </w:p>
        </w:tc>
      </w:tr>
      <w:tr w:rsidR="0069484F" w:rsidRPr="00AD3267" w:rsidTr="0069484F">
        <w:tc>
          <w:tcPr>
            <w:tcW w:w="534" w:type="dxa"/>
          </w:tcPr>
          <w:p w:rsidR="0069484F" w:rsidRPr="00AD3267" w:rsidRDefault="0069484F" w:rsidP="00ED53FE">
            <w:pPr>
              <w:jc w:val="center"/>
              <w:rPr>
                <w:rFonts w:ascii="Calibri" w:hAnsi="Calibri"/>
                <w:sz w:val="18"/>
                <w:szCs w:val="18"/>
              </w:rPr>
            </w:pPr>
            <w:r w:rsidRPr="00AD3267">
              <w:rPr>
                <w:rFonts w:ascii="Calibri" w:hAnsi="Calibri"/>
                <w:sz w:val="18"/>
                <w:szCs w:val="18"/>
              </w:rPr>
              <w:t>2.5</w:t>
            </w:r>
          </w:p>
        </w:tc>
        <w:tc>
          <w:tcPr>
            <w:tcW w:w="2126" w:type="dxa"/>
          </w:tcPr>
          <w:p w:rsidR="0069484F" w:rsidRPr="00AD3267" w:rsidRDefault="0069484F" w:rsidP="00ED53FE">
            <w:pPr>
              <w:rPr>
                <w:rFonts w:ascii="Calibri" w:hAnsi="Calibri"/>
                <w:sz w:val="18"/>
                <w:szCs w:val="18"/>
              </w:rPr>
            </w:pPr>
            <w:r w:rsidRPr="00AD3267">
              <w:rPr>
                <w:rFonts w:ascii="Calibri" w:hAnsi="Calibri"/>
                <w:sz w:val="18"/>
                <w:szCs w:val="18"/>
              </w:rPr>
              <w:t>Odporność na poślizg/</w:t>
            </w:r>
          </w:p>
          <w:p w:rsidR="0069484F" w:rsidRPr="00AD3267" w:rsidRDefault="0069484F" w:rsidP="00ED53FE">
            <w:pPr>
              <w:rPr>
                <w:rFonts w:ascii="Calibri" w:hAnsi="Calibri"/>
                <w:sz w:val="18"/>
                <w:szCs w:val="18"/>
              </w:rPr>
            </w:pPr>
            <w:r w:rsidRPr="00AD3267">
              <w:rPr>
                <w:rFonts w:ascii="Calibri" w:hAnsi="Calibri"/>
                <w:sz w:val="18"/>
                <w:szCs w:val="18"/>
              </w:rPr>
              <w:t>poślizgnięcie</w:t>
            </w:r>
          </w:p>
        </w:tc>
        <w:tc>
          <w:tcPr>
            <w:tcW w:w="742" w:type="dxa"/>
          </w:tcPr>
          <w:p w:rsidR="0069484F" w:rsidRPr="00AD3267" w:rsidRDefault="0069484F" w:rsidP="00ED53FE">
            <w:pPr>
              <w:jc w:val="center"/>
              <w:rPr>
                <w:rFonts w:ascii="Calibri" w:hAnsi="Calibri"/>
                <w:sz w:val="18"/>
                <w:szCs w:val="18"/>
              </w:rPr>
            </w:pPr>
            <w:r w:rsidRPr="00AD3267">
              <w:rPr>
                <w:rFonts w:ascii="Calibri" w:hAnsi="Calibri"/>
                <w:sz w:val="18"/>
                <w:szCs w:val="18"/>
              </w:rPr>
              <w:t>I</w:t>
            </w:r>
          </w:p>
        </w:tc>
        <w:tc>
          <w:tcPr>
            <w:tcW w:w="4536" w:type="dxa"/>
            <w:gridSpan w:val="6"/>
          </w:tcPr>
          <w:p w:rsidR="0069484F" w:rsidRPr="00AD3267" w:rsidRDefault="0069484F" w:rsidP="0069484F">
            <w:pPr>
              <w:numPr>
                <w:ilvl w:val="0"/>
                <w:numId w:val="11"/>
              </w:numPr>
              <w:tabs>
                <w:tab w:val="num" w:pos="176"/>
              </w:tabs>
              <w:ind w:left="176" w:hanging="176"/>
              <w:rPr>
                <w:rFonts w:ascii="Calibri" w:hAnsi="Calibri"/>
                <w:sz w:val="18"/>
                <w:szCs w:val="18"/>
              </w:rPr>
            </w:pPr>
            <w:r w:rsidRPr="00AD3267">
              <w:rPr>
                <w:rFonts w:ascii="Calibri" w:hAnsi="Calibri"/>
                <w:sz w:val="18"/>
                <w:szCs w:val="18"/>
              </w:rPr>
              <w:t>jeśli górna powierzchnia krawężnika nie była szlifowana i/lub polerowana – zadawalająca odporność,</w:t>
            </w:r>
          </w:p>
          <w:p w:rsidR="0069484F" w:rsidRPr="00AD3267" w:rsidRDefault="0069484F" w:rsidP="0069484F">
            <w:pPr>
              <w:numPr>
                <w:ilvl w:val="0"/>
                <w:numId w:val="11"/>
              </w:numPr>
              <w:tabs>
                <w:tab w:val="num" w:pos="176"/>
              </w:tabs>
              <w:ind w:left="176" w:hanging="176"/>
              <w:rPr>
                <w:rFonts w:ascii="Calibri" w:hAnsi="Calibri"/>
                <w:sz w:val="18"/>
                <w:szCs w:val="18"/>
              </w:rPr>
            </w:pPr>
            <w:r w:rsidRPr="00AD3267">
              <w:rPr>
                <w:rFonts w:ascii="Calibri" w:hAnsi="Calibri"/>
                <w:sz w:val="18"/>
                <w:szCs w:val="18"/>
              </w:rPr>
              <w:t>jeśli wyjątkowo wymaga się podania wartości odporności na poślizg/poślizgnięcie – należy zadekla-rować minimalną jej wartość pomierzoną wg zał. I normy (wahadłowym przyrządem do badania tarcia),</w:t>
            </w:r>
          </w:p>
          <w:p w:rsidR="0069484F" w:rsidRPr="00AD3267" w:rsidRDefault="0069484F" w:rsidP="0069484F">
            <w:pPr>
              <w:numPr>
                <w:ilvl w:val="0"/>
                <w:numId w:val="11"/>
              </w:numPr>
              <w:tabs>
                <w:tab w:val="num" w:pos="176"/>
              </w:tabs>
              <w:ind w:left="176" w:hanging="176"/>
              <w:rPr>
                <w:rFonts w:ascii="Calibri" w:hAnsi="Calibri"/>
                <w:sz w:val="18"/>
                <w:szCs w:val="18"/>
              </w:rPr>
            </w:pPr>
            <w:r w:rsidRPr="00AD3267">
              <w:rPr>
                <w:rFonts w:ascii="Calibri" w:hAnsi="Calibri"/>
                <w:sz w:val="18"/>
                <w:szCs w:val="18"/>
              </w:rPr>
              <w:t>trwałość odporności na poślizg/poślizgnięcie w nor-malnych warunkach użytkowania krawężnika jest zada-walająca przez cały okres użytkowania, pod warunkiem właściwego utrzymywania i gdy na znacznej części nie zostało odsłonięte kruszywo podlegające intensyw-nemu polerowaniu.</w:t>
            </w:r>
          </w:p>
        </w:tc>
      </w:tr>
      <w:tr w:rsidR="0069484F" w:rsidRPr="00AD3267" w:rsidTr="0069484F">
        <w:tc>
          <w:tcPr>
            <w:tcW w:w="534" w:type="dxa"/>
          </w:tcPr>
          <w:p w:rsidR="0069484F" w:rsidRPr="00AD3267" w:rsidRDefault="0069484F" w:rsidP="00ED53FE">
            <w:pPr>
              <w:jc w:val="center"/>
              <w:rPr>
                <w:rFonts w:ascii="Calibri" w:hAnsi="Calibri"/>
                <w:sz w:val="18"/>
                <w:szCs w:val="18"/>
              </w:rPr>
            </w:pPr>
            <w:r w:rsidRPr="00AD3267">
              <w:rPr>
                <w:rFonts w:ascii="Calibri" w:hAnsi="Calibri"/>
                <w:sz w:val="18"/>
                <w:szCs w:val="18"/>
              </w:rPr>
              <w:t>3</w:t>
            </w:r>
          </w:p>
        </w:tc>
        <w:tc>
          <w:tcPr>
            <w:tcW w:w="7404" w:type="dxa"/>
            <w:gridSpan w:val="8"/>
          </w:tcPr>
          <w:p w:rsidR="0069484F" w:rsidRPr="00AD3267" w:rsidRDefault="0069484F" w:rsidP="00ED53FE">
            <w:pPr>
              <w:rPr>
                <w:rFonts w:ascii="Calibri" w:hAnsi="Calibri"/>
                <w:sz w:val="18"/>
                <w:szCs w:val="18"/>
              </w:rPr>
            </w:pPr>
            <w:r w:rsidRPr="00AD3267">
              <w:rPr>
                <w:rFonts w:ascii="Calibri" w:hAnsi="Calibri"/>
                <w:sz w:val="18"/>
                <w:szCs w:val="18"/>
              </w:rPr>
              <w:t>Aspekty wizualne</w:t>
            </w:r>
          </w:p>
        </w:tc>
      </w:tr>
      <w:tr w:rsidR="0069484F" w:rsidRPr="00AD3267" w:rsidTr="0069484F">
        <w:tc>
          <w:tcPr>
            <w:tcW w:w="534" w:type="dxa"/>
          </w:tcPr>
          <w:p w:rsidR="0069484F" w:rsidRPr="00AD3267" w:rsidRDefault="0069484F" w:rsidP="00ED53FE">
            <w:pPr>
              <w:jc w:val="center"/>
              <w:rPr>
                <w:rFonts w:ascii="Calibri" w:hAnsi="Calibri"/>
                <w:sz w:val="18"/>
                <w:szCs w:val="18"/>
              </w:rPr>
            </w:pPr>
            <w:r w:rsidRPr="00AD3267">
              <w:rPr>
                <w:rFonts w:ascii="Calibri" w:hAnsi="Calibri"/>
                <w:sz w:val="18"/>
                <w:szCs w:val="18"/>
              </w:rPr>
              <w:t>3.1</w:t>
            </w:r>
          </w:p>
        </w:tc>
        <w:tc>
          <w:tcPr>
            <w:tcW w:w="2126" w:type="dxa"/>
          </w:tcPr>
          <w:p w:rsidR="0069484F" w:rsidRPr="00AD3267" w:rsidRDefault="0069484F" w:rsidP="00ED53FE">
            <w:pPr>
              <w:rPr>
                <w:rFonts w:ascii="Calibri" w:hAnsi="Calibri"/>
                <w:sz w:val="18"/>
                <w:szCs w:val="18"/>
              </w:rPr>
            </w:pPr>
            <w:r w:rsidRPr="00AD3267">
              <w:rPr>
                <w:rFonts w:ascii="Calibri" w:hAnsi="Calibri"/>
                <w:sz w:val="18"/>
                <w:szCs w:val="18"/>
              </w:rPr>
              <w:t>Wygląd</w:t>
            </w:r>
          </w:p>
        </w:tc>
        <w:tc>
          <w:tcPr>
            <w:tcW w:w="742" w:type="dxa"/>
          </w:tcPr>
          <w:p w:rsidR="0069484F" w:rsidRPr="00AD3267" w:rsidRDefault="0069484F" w:rsidP="00ED53FE">
            <w:pPr>
              <w:jc w:val="center"/>
              <w:rPr>
                <w:rFonts w:ascii="Calibri" w:hAnsi="Calibri"/>
                <w:sz w:val="18"/>
                <w:szCs w:val="18"/>
              </w:rPr>
            </w:pPr>
            <w:r w:rsidRPr="00AD3267">
              <w:rPr>
                <w:rFonts w:ascii="Calibri" w:hAnsi="Calibri"/>
                <w:sz w:val="18"/>
                <w:szCs w:val="18"/>
              </w:rPr>
              <w:t>J</w:t>
            </w:r>
          </w:p>
        </w:tc>
        <w:tc>
          <w:tcPr>
            <w:tcW w:w="4536" w:type="dxa"/>
            <w:gridSpan w:val="6"/>
          </w:tcPr>
          <w:p w:rsidR="0069484F" w:rsidRPr="00AD3267" w:rsidRDefault="0069484F" w:rsidP="0069484F">
            <w:pPr>
              <w:numPr>
                <w:ilvl w:val="0"/>
                <w:numId w:val="12"/>
              </w:numPr>
              <w:tabs>
                <w:tab w:val="num" w:pos="176"/>
              </w:tabs>
              <w:ind w:left="176" w:hanging="176"/>
              <w:jc w:val="left"/>
              <w:rPr>
                <w:rFonts w:ascii="Calibri" w:hAnsi="Calibri"/>
                <w:sz w:val="18"/>
                <w:szCs w:val="18"/>
              </w:rPr>
            </w:pPr>
            <w:r w:rsidRPr="00AD3267">
              <w:rPr>
                <w:rFonts w:ascii="Calibri" w:hAnsi="Calibri"/>
                <w:sz w:val="18"/>
                <w:szCs w:val="18"/>
              </w:rPr>
              <w:t>powierzchnia krawężnika nie powinna mieć rys i odprysków,</w:t>
            </w:r>
          </w:p>
          <w:p w:rsidR="0069484F" w:rsidRPr="00AD3267" w:rsidRDefault="0069484F" w:rsidP="0069484F">
            <w:pPr>
              <w:numPr>
                <w:ilvl w:val="0"/>
                <w:numId w:val="12"/>
              </w:numPr>
              <w:tabs>
                <w:tab w:val="num" w:pos="176"/>
              </w:tabs>
              <w:ind w:left="176" w:hanging="176"/>
              <w:jc w:val="left"/>
              <w:rPr>
                <w:rFonts w:ascii="Calibri" w:hAnsi="Calibri"/>
                <w:sz w:val="18"/>
                <w:szCs w:val="18"/>
              </w:rPr>
            </w:pPr>
            <w:r w:rsidRPr="00AD3267">
              <w:rPr>
                <w:rFonts w:ascii="Calibri" w:hAnsi="Calibri"/>
                <w:sz w:val="18"/>
                <w:szCs w:val="18"/>
              </w:rPr>
              <w:t>nie dopuszcza się rozwarstwień w krawężnikach dwuwarstwowych</w:t>
            </w:r>
          </w:p>
          <w:p w:rsidR="0069484F" w:rsidRPr="00AD3267" w:rsidRDefault="0069484F" w:rsidP="0069484F">
            <w:pPr>
              <w:numPr>
                <w:ilvl w:val="0"/>
                <w:numId w:val="12"/>
              </w:numPr>
              <w:tabs>
                <w:tab w:val="num" w:pos="176"/>
              </w:tabs>
              <w:ind w:left="176" w:hanging="176"/>
              <w:rPr>
                <w:rFonts w:ascii="Calibri" w:hAnsi="Calibri"/>
                <w:sz w:val="18"/>
                <w:szCs w:val="18"/>
              </w:rPr>
            </w:pPr>
            <w:r w:rsidRPr="00AD3267">
              <w:rPr>
                <w:rFonts w:ascii="Calibri" w:hAnsi="Calibri"/>
                <w:sz w:val="18"/>
                <w:szCs w:val="18"/>
              </w:rPr>
              <w:t>ewentualne wykwity nie są uważane za istotne</w:t>
            </w:r>
          </w:p>
        </w:tc>
      </w:tr>
      <w:tr w:rsidR="0069484F" w:rsidRPr="00AD3267" w:rsidTr="0069484F">
        <w:trPr>
          <w:trHeight w:val="1891"/>
        </w:trPr>
        <w:tc>
          <w:tcPr>
            <w:tcW w:w="534" w:type="dxa"/>
          </w:tcPr>
          <w:p w:rsidR="0069484F" w:rsidRPr="00AD3267" w:rsidRDefault="0069484F" w:rsidP="00ED53FE">
            <w:pPr>
              <w:jc w:val="center"/>
              <w:rPr>
                <w:rFonts w:ascii="Calibri" w:hAnsi="Calibri"/>
                <w:sz w:val="18"/>
                <w:szCs w:val="18"/>
              </w:rPr>
            </w:pPr>
            <w:r w:rsidRPr="00AD3267">
              <w:rPr>
                <w:rFonts w:ascii="Calibri" w:hAnsi="Calibri"/>
                <w:sz w:val="18"/>
                <w:szCs w:val="18"/>
              </w:rPr>
              <w:t>3.2</w:t>
            </w:r>
          </w:p>
        </w:tc>
        <w:tc>
          <w:tcPr>
            <w:tcW w:w="2126" w:type="dxa"/>
          </w:tcPr>
          <w:p w:rsidR="0069484F" w:rsidRPr="00AD3267" w:rsidRDefault="0069484F" w:rsidP="00ED53FE">
            <w:pPr>
              <w:rPr>
                <w:rFonts w:ascii="Calibri" w:hAnsi="Calibri"/>
                <w:sz w:val="18"/>
                <w:szCs w:val="18"/>
              </w:rPr>
            </w:pPr>
            <w:r w:rsidRPr="00AD3267">
              <w:rPr>
                <w:rFonts w:ascii="Calibri" w:hAnsi="Calibri"/>
                <w:sz w:val="18"/>
                <w:szCs w:val="18"/>
              </w:rPr>
              <w:t>Tekstura</w:t>
            </w:r>
          </w:p>
        </w:tc>
        <w:tc>
          <w:tcPr>
            <w:tcW w:w="742" w:type="dxa"/>
          </w:tcPr>
          <w:p w:rsidR="0069484F" w:rsidRPr="00AD3267" w:rsidRDefault="0069484F" w:rsidP="00ED53FE">
            <w:pPr>
              <w:jc w:val="center"/>
              <w:rPr>
                <w:rFonts w:ascii="Calibri" w:hAnsi="Calibri"/>
                <w:sz w:val="18"/>
                <w:szCs w:val="18"/>
              </w:rPr>
            </w:pPr>
            <w:r w:rsidRPr="00AD3267">
              <w:rPr>
                <w:rFonts w:ascii="Calibri" w:hAnsi="Calibri"/>
                <w:sz w:val="18"/>
                <w:szCs w:val="18"/>
              </w:rPr>
              <w:t>J</w:t>
            </w:r>
          </w:p>
        </w:tc>
        <w:tc>
          <w:tcPr>
            <w:tcW w:w="4536" w:type="dxa"/>
            <w:gridSpan w:val="6"/>
          </w:tcPr>
          <w:p w:rsidR="0069484F" w:rsidRPr="00AD3267" w:rsidRDefault="0069484F" w:rsidP="0069484F">
            <w:pPr>
              <w:numPr>
                <w:ilvl w:val="0"/>
                <w:numId w:val="13"/>
              </w:numPr>
              <w:tabs>
                <w:tab w:val="num" w:pos="176"/>
              </w:tabs>
              <w:ind w:left="176" w:hanging="176"/>
              <w:rPr>
                <w:rFonts w:ascii="Calibri" w:hAnsi="Calibri"/>
                <w:sz w:val="18"/>
                <w:szCs w:val="18"/>
              </w:rPr>
            </w:pPr>
            <w:r w:rsidRPr="00AD3267">
              <w:rPr>
                <w:rFonts w:ascii="Calibri" w:hAnsi="Calibri"/>
                <w:sz w:val="18"/>
                <w:szCs w:val="18"/>
              </w:rPr>
              <w:t>krawężniki z powierzchnią o specjalnej teksturze – producent powinien określić rodzaj tekstury,</w:t>
            </w:r>
          </w:p>
          <w:p w:rsidR="0069484F" w:rsidRPr="00AD3267" w:rsidRDefault="0069484F" w:rsidP="0069484F">
            <w:pPr>
              <w:numPr>
                <w:ilvl w:val="0"/>
                <w:numId w:val="13"/>
              </w:numPr>
              <w:tabs>
                <w:tab w:val="num" w:pos="176"/>
              </w:tabs>
              <w:ind w:left="176" w:hanging="176"/>
              <w:rPr>
                <w:rFonts w:ascii="Calibri" w:hAnsi="Calibri"/>
                <w:sz w:val="18"/>
                <w:szCs w:val="18"/>
              </w:rPr>
            </w:pPr>
            <w:r w:rsidRPr="00AD3267">
              <w:rPr>
                <w:rFonts w:ascii="Calibri" w:hAnsi="Calibri"/>
                <w:sz w:val="18"/>
                <w:szCs w:val="18"/>
              </w:rPr>
              <w:t>tekstura powinna być porównana z próbkami dostarczonymi przez producenta, zatwierdzonymi przez odbiorcę,</w:t>
            </w:r>
          </w:p>
          <w:p w:rsidR="0069484F" w:rsidRPr="00AD3267" w:rsidRDefault="0069484F" w:rsidP="0069484F">
            <w:pPr>
              <w:numPr>
                <w:ilvl w:val="0"/>
                <w:numId w:val="13"/>
              </w:numPr>
              <w:tabs>
                <w:tab w:val="num" w:pos="176"/>
              </w:tabs>
              <w:ind w:left="176" w:hanging="176"/>
              <w:rPr>
                <w:rFonts w:ascii="Calibri" w:hAnsi="Calibri"/>
                <w:sz w:val="18"/>
                <w:szCs w:val="18"/>
              </w:rPr>
            </w:pPr>
            <w:r w:rsidRPr="00AD3267">
              <w:rPr>
                <w:rFonts w:ascii="Calibri" w:hAnsi="Calibri"/>
                <w:sz w:val="18"/>
                <w:szCs w:val="18"/>
              </w:rPr>
              <w:t>różnice w jednolitości tekstury, spowodowane nieuniknionymi zmianami we właściwości surowców i warunków twardnienia, nie są uważane za istotne</w:t>
            </w:r>
          </w:p>
        </w:tc>
      </w:tr>
      <w:tr w:rsidR="0069484F" w:rsidRPr="00AD3267" w:rsidTr="0069484F">
        <w:tc>
          <w:tcPr>
            <w:tcW w:w="534" w:type="dxa"/>
          </w:tcPr>
          <w:p w:rsidR="0069484F" w:rsidRPr="00AD3267" w:rsidRDefault="0069484F" w:rsidP="00ED53FE">
            <w:pPr>
              <w:jc w:val="center"/>
              <w:rPr>
                <w:rFonts w:ascii="Calibri" w:hAnsi="Calibri"/>
                <w:sz w:val="18"/>
                <w:szCs w:val="18"/>
              </w:rPr>
            </w:pPr>
            <w:r w:rsidRPr="00AD3267">
              <w:rPr>
                <w:rFonts w:ascii="Calibri" w:hAnsi="Calibri"/>
                <w:sz w:val="18"/>
                <w:szCs w:val="18"/>
              </w:rPr>
              <w:t>3.3</w:t>
            </w:r>
          </w:p>
        </w:tc>
        <w:tc>
          <w:tcPr>
            <w:tcW w:w="2126" w:type="dxa"/>
          </w:tcPr>
          <w:p w:rsidR="0069484F" w:rsidRPr="00AD3267" w:rsidRDefault="0069484F" w:rsidP="00ED53FE">
            <w:pPr>
              <w:rPr>
                <w:rFonts w:ascii="Calibri" w:hAnsi="Calibri"/>
                <w:sz w:val="18"/>
                <w:szCs w:val="18"/>
              </w:rPr>
            </w:pPr>
            <w:r w:rsidRPr="00AD3267">
              <w:rPr>
                <w:rFonts w:ascii="Calibri" w:hAnsi="Calibri"/>
                <w:sz w:val="18"/>
                <w:szCs w:val="18"/>
              </w:rPr>
              <w:t>Zabarwienie</w:t>
            </w:r>
          </w:p>
        </w:tc>
        <w:tc>
          <w:tcPr>
            <w:tcW w:w="742" w:type="dxa"/>
          </w:tcPr>
          <w:p w:rsidR="0069484F" w:rsidRPr="00AD3267" w:rsidRDefault="0069484F" w:rsidP="00ED53FE">
            <w:pPr>
              <w:jc w:val="center"/>
              <w:rPr>
                <w:rFonts w:ascii="Calibri" w:hAnsi="Calibri"/>
                <w:sz w:val="18"/>
                <w:szCs w:val="18"/>
              </w:rPr>
            </w:pPr>
            <w:r w:rsidRPr="00AD3267">
              <w:rPr>
                <w:rFonts w:ascii="Calibri" w:hAnsi="Calibri"/>
                <w:sz w:val="18"/>
                <w:szCs w:val="18"/>
              </w:rPr>
              <w:t>J</w:t>
            </w:r>
          </w:p>
        </w:tc>
        <w:tc>
          <w:tcPr>
            <w:tcW w:w="4536" w:type="dxa"/>
            <w:gridSpan w:val="6"/>
          </w:tcPr>
          <w:p w:rsidR="0069484F" w:rsidRPr="00AD3267" w:rsidRDefault="0069484F" w:rsidP="0069484F">
            <w:pPr>
              <w:numPr>
                <w:ilvl w:val="0"/>
                <w:numId w:val="14"/>
              </w:numPr>
              <w:tabs>
                <w:tab w:val="num" w:pos="176"/>
              </w:tabs>
              <w:rPr>
                <w:rFonts w:ascii="Calibri" w:hAnsi="Calibri"/>
                <w:sz w:val="18"/>
                <w:szCs w:val="18"/>
              </w:rPr>
            </w:pPr>
            <w:r w:rsidRPr="00AD3267">
              <w:rPr>
                <w:rFonts w:ascii="Calibri" w:hAnsi="Calibri"/>
                <w:sz w:val="18"/>
                <w:szCs w:val="18"/>
              </w:rPr>
              <w:t>barwiona może być warstwa ścieralna lub cały element,</w:t>
            </w:r>
          </w:p>
          <w:p w:rsidR="0069484F" w:rsidRPr="00AD3267" w:rsidRDefault="0069484F" w:rsidP="0069484F">
            <w:pPr>
              <w:numPr>
                <w:ilvl w:val="0"/>
                <w:numId w:val="14"/>
              </w:numPr>
              <w:tabs>
                <w:tab w:val="num" w:pos="176"/>
              </w:tabs>
              <w:ind w:left="176" w:hanging="176"/>
              <w:rPr>
                <w:rFonts w:ascii="Calibri" w:hAnsi="Calibri"/>
                <w:sz w:val="18"/>
                <w:szCs w:val="18"/>
              </w:rPr>
            </w:pPr>
            <w:r w:rsidRPr="00AD3267">
              <w:rPr>
                <w:rFonts w:ascii="Calibri" w:hAnsi="Calibri"/>
                <w:sz w:val="18"/>
                <w:szCs w:val="18"/>
              </w:rPr>
              <w:t>zabarwienie powinno być porównane z próbkami dostarczonymi przez producenta, zatwierdzonymi przez odbiorcę,</w:t>
            </w:r>
          </w:p>
          <w:p w:rsidR="0069484F" w:rsidRPr="00AD3267" w:rsidRDefault="0069484F" w:rsidP="0069484F">
            <w:pPr>
              <w:numPr>
                <w:ilvl w:val="0"/>
                <w:numId w:val="14"/>
              </w:numPr>
              <w:tabs>
                <w:tab w:val="num" w:pos="176"/>
              </w:tabs>
              <w:ind w:left="176" w:hanging="176"/>
              <w:rPr>
                <w:rFonts w:ascii="Calibri" w:hAnsi="Calibri"/>
                <w:sz w:val="18"/>
                <w:szCs w:val="18"/>
              </w:rPr>
            </w:pPr>
            <w:r w:rsidRPr="00AD3267">
              <w:rPr>
                <w:rFonts w:ascii="Calibri" w:hAnsi="Calibri"/>
                <w:sz w:val="18"/>
                <w:szCs w:val="18"/>
              </w:rPr>
              <w:lastRenderedPageBreak/>
              <w:t>różnice w jednolitości zabarwienia, spowodowane nieuniknionymi zmianami właściwości surowców lub warunków dojrzewania betonu, nie są uważane za istotne</w:t>
            </w:r>
          </w:p>
        </w:tc>
      </w:tr>
    </w:tbl>
    <w:p w:rsidR="0069484F" w:rsidRPr="00AD3267" w:rsidRDefault="00ED53FE" w:rsidP="00ED53FE">
      <w:pPr>
        <w:ind w:left="-851" w:right="-851"/>
        <w:rPr>
          <w:rFonts w:ascii="Calibri" w:hAnsi="Calibri"/>
        </w:rPr>
      </w:pPr>
      <w:r>
        <w:rPr>
          <w:rFonts w:ascii="Calibri" w:hAnsi="Calibri"/>
        </w:rPr>
        <w:lastRenderedPageBreak/>
        <w:tab/>
      </w:r>
      <w:r>
        <w:rPr>
          <w:rFonts w:ascii="Calibri" w:hAnsi="Calibri"/>
        </w:rPr>
        <w:tab/>
      </w:r>
      <w:r w:rsidR="0069484F" w:rsidRPr="00AD3267">
        <w:rPr>
          <w:rFonts w:ascii="Calibri" w:hAnsi="Calibri"/>
        </w:rPr>
        <w:t>Krawężniki betonowe mogą być przechowywane na składowiskach otwartych, posegregowane według typów, rodzajów, kształtów, cech fizycznych i mechanicznych, wielkości, wyglądu itp.</w:t>
      </w:r>
    </w:p>
    <w:p w:rsidR="0069484F" w:rsidRPr="00AD3267" w:rsidRDefault="0069484F" w:rsidP="00ED53FE">
      <w:pPr>
        <w:ind w:left="-851" w:right="-851"/>
        <w:rPr>
          <w:rFonts w:ascii="Calibri" w:hAnsi="Calibri"/>
        </w:rPr>
      </w:pPr>
      <w:r w:rsidRPr="00AD3267">
        <w:rPr>
          <w:rFonts w:ascii="Calibri" w:hAnsi="Calibri"/>
        </w:rPr>
        <w:tab/>
      </w:r>
      <w:r w:rsidR="00ED53FE">
        <w:rPr>
          <w:rFonts w:ascii="Calibri" w:hAnsi="Calibri"/>
        </w:rPr>
        <w:tab/>
      </w:r>
      <w:r w:rsidRPr="00AD3267">
        <w:rPr>
          <w:rFonts w:ascii="Calibri" w:hAnsi="Calibri"/>
        </w:rPr>
        <w:t xml:space="preserve">Krawężniki betonowe należy układać z zastosowaniem podkładek i przekładek drewnianych o wymiarach: grubość </w:t>
      </w:r>
      <w:smartTag w:uri="urn:schemas-microsoft-com:office:smarttags" w:element="metricconverter">
        <w:smartTagPr>
          <w:attr w:name="ProductID" w:val="2,5 cm"/>
        </w:smartTagPr>
        <w:r w:rsidRPr="00AD3267">
          <w:rPr>
            <w:rFonts w:ascii="Calibri" w:hAnsi="Calibri"/>
          </w:rPr>
          <w:t>2,5 cm</w:t>
        </w:r>
      </w:smartTag>
      <w:r w:rsidRPr="00AD3267">
        <w:rPr>
          <w:rFonts w:ascii="Calibri" w:hAnsi="Calibri"/>
        </w:rPr>
        <w:t xml:space="preserve">, szerokość </w:t>
      </w:r>
      <w:smartTag w:uri="urn:schemas-microsoft-com:office:smarttags" w:element="metricconverter">
        <w:smartTagPr>
          <w:attr w:name="ProductID" w:val="5 cm"/>
        </w:smartTagPr>
        <w:r w:rsidRPr="00AD3267">
          <w:rPr>
            <w:rFonts w:ascii="Calibri" w:hAnsi="Calibri"/>
          </w:rPr>
          <w:t>5 cm</w:t>
        </w:r>
      </w:smartTag>
      <w:r w:rsidRPr="00AD3267">
        <w:rPr>
          <w:rFonts w:ascii="Calibri" w:hAnsi="Calibri"/>
        </w:rPr>
        <w:t xml:space="preserve">, długości min. </w:t>
      </w:r>
      <w:smartTag w:uri="urn:schemas-microsoft-com:office:smarttags" w:element="metricconverter">
        <w:smartTagPr>
          <w:attr w:name="ProductID" w:val="5 cm"/>
        </w:smartTagPr>
        <w:r w:rsidRPr="00AD3267">
          <w:rPr>
            <w:rFonts w:ascii="Calibri" w:hAnsi="Calibri"/>
          </w:rPr>
          <w:t>5 cm</w:t>
        </w:r>
      </w:smartTag>
      <w:r w:rsidRPr="00AD3267">
        <w:rPr>
          <w:rFonts w:ascii="Calibri" w:hAnsi="Calibri"/>
        </w:rPr>
        <w:t xml:space="preserve"> większej od szerokości krawężnika.</w:t>
      </w:r>
    </w:p>
    <w:p w:rsidR="0069484F" w:rsidRPr="00AD3267" w:rsidRDefault="0069484F" w:rsidP="00ED53FE">
      <w:pPr>
        <w:ind w:left="-851" w:right="-851"/>
        <w:rPr>
          <w:rFonts w:ascii="Calibri" w:hAnsi="Calibri"/>
        </w:rPr>
      </w:pPr>
      <w:r w:rsidRPr="00AD3267">
        <w:rPr>
          <w:rFonts w:ascii="Calibri" w:hAnsi="Calibri"/>
          <w:b/>
        </w:rPr>
        <w:t>2.5.</w:t>
      </w:r>
      <w:r w:rsidRPr="00AD3267">
        <w:rPr>
          <w:rFonts w:ascii="Calibri" w:hAnsi="Calibri"/>
        </w:rPr>
        <w:t xml:space="preserve"> Beton na ławę</w:t>
      </w:r>
    </w:p>
    <w:p w:rsidR="0069484F" w:rsidRPr="00AD3267" w:rsidRDefault="0069484F" w:rsidP="00ED53FE">
      <w:pPr>
        <w:ind w:left="-851" w:right="-851"/>
        <w:rPr>
          <w:rFonts w:ascii="Calibri" w:hAnsi="Calibri"/>
        </w:rPr>
      </w:pPr>
      <w:r w:rsidRPr="00AD3267">
        <w:rPr>
          <w:rFonts w:ascii="Calibri" w:hAnsi="Calibri"/>
        </w:rPr>
        <w:tab/>
      </w:r>
      <w:r w:rsidR="00ED53FE">
        <w:rPr>
          <w:rFonts w:ascii="Calibri" w:hAnsi="Calibri"/>
        </w:rPr>
        <w:tab/>
      </w:r>
      <w:r w:rsidRPr="00AD3267">
        <w:rPr>
          <w:rFonts w:ascii="Calibri" w:hAnsi="Calibri"/>
        </w:rPr>
        <w:t>Do wykonania ław pod ściek i krawężnik można stosować beton klasy C12/15 według PN-EN 206-1.</w:t>
      </w:r>
    </w:p>
    <w:p w:rsidR="0069484F" w:rsidRPr="00AD3267" w:rsidRDefault="0069484F" w:rsidP="00ED53FE">
      <w:pPr>
        <w:ind w:left="-851" w:right="-851"/>
        <w:rPr>
          <w:rFonts w:ascii="Calibri" w:hAnsi="Calibri"/>
        </w:rPr>
      </w:pPr>
      <w:r w:rsidRPr="00AD3267">
        <w:rPr>
          <w:rFonts w:ascii="Calibri" w:hAnsi="Calibri"/>
          <w:b/>
        </w:rPr>
        <w:t>2.6.</w:t>
      </w:r>
      <w:r w:rsidRPr="00AD3267">
        <w:rPr>
          <w:rFonts w:ascii="Calibri" w:hAnsi="Calibri"/>
        </w:rPr>
        <w:t xml:space="preserve"> Materiały na podsypkę oraz do wypełnienia spoin i szczelin w ścieku i krawężnikach</w:t>
      </w:r>
    </w:p>
    <w:p w:rsidR="0069484F" w:rsidRPr="00AD3267" w:rsidRDefault="0069484F" w:rsidP="00ED53FE">
      <w:pPr>
        <w:ind w:left="-851" w:right="-851"/>
        <w:rPr>
          <w:rFonts w:ascii="Calibri" w:hAnsi="Calibri"/>
        </w:rPr>
      </w:pPr>
      <w:r w:rsidRPr="00AD3267">
        <w:rPr>
          <w:rFonts w:ascii="Calibri" w:hAnsi="Calibri"/>
        </w:rPr>
        <w:tab/>
      </w:r>
      <w:r w:rsidR="00ED53FE">
        <w:rPr>
          <w:rFonts w:ascii="Calibri" w:hAnsi="Calibri"/>
        </w:rPr>
        <w:tab/>
      </w:r>
      <w:r w:rsidRPr="00AD3267">
        <w:rPr>
          <w:rFonts w:ascii="Calibri" w:hAnsi="Calibri"/>
        </w:rPr>
        <w:t>Jeśli dokumentacja projektowa nie ustala inaczej, to należy stosować następujące materiały:</w:t>
      </w:r>
    </w:p>
    <w:p w:rsidR="0069484F" w:rsidRPr="00AD3267" w:rsidRDefault="0069484F" w:rsidP="00ED53FE">
      <w:pPr>
        <w:ind w:left="-851" w:right="-851"/>
        <w:rPr>
          <w:rFonts w:ascii="Calibri" w:hAnsi="Calibri"/>
        </w:rPr>
      </w:pPr>
      <w:r w:rsidRPr="00AD3267">
        <w:rPr>
          <w:rFonts w:ascii="Calibri" w:hAnsi="Calibri"/>
        </w:rPr>
        <w:t>-na podsypkę cementowo-piaskową</w:t>
      </w:r>
      <w:r>
        <w:rPr>
          <w:rFonts w:ascii="Calibri" w:hAnsi="Calibri"/>
        </w:rPr>
        <w:t>:</w:t>
      </w:r>
      <w:r w:rsidRPr="00AD3267">
        <w:rPr>
          <w:rFonts w:ascii="Calibri" w:hAnsi="Calibri"/>
        </w:rPr>
        <w:t xml:space="preserve"> mieszankę cementu i piasku w stosunku 1:4 z piasku naturalnego spełniającego wymagania PN-EN 13242, cementu powszechnego użytku spełniającego wymagania PN-EN 197-1 i wody odpowiadającej wymaganiom  PN-EN 1008,</w:t>
      </w:r>
    </w:p>
    <w:p w:rsidR="0069484F" w:rsidRPr="00AD3267" w:rsidRDefault="0069484F" w:rsidP="00ED53FE">
      <w:pPr>
        <w:ind w:left="-851" w:right="-851"/>
        <w:rPr>
          <w:rFonts w:ascii="Calibri" w:hAnsi="Calibri"/>
        </w:rPr>
      </w:pPr>
      <w:r w:rsidRPr="00AD3267">
        <w:rPr>
          <w:rFonts w:ascii="Calibri" w:hAnsi="Calibri"/>
        </w:rPr>
        <w:t>-</w:t>
      </w:r>
      <w:r>
        <w:rPr>
          <w:rFonts w:ascii="Calibri" w:hAnsi="Calibri"/>
        </w:rPr>
        <w:t xml:space="preserve">do wypełniania spoin: </w:t>
      </w:r>
      <w:r w:rsidRPr="00AD3267">
        <w:rPr>
          <w:rFonts w:ascii="Calibri" w:hAnsi="Calibri"/>
        </w:rPr>
        <w:t xml:space="preserve">zaprawę cementowo-piaskową 1:2, </w:t>
      </w:r>
    </w:p>
    <w:p w:rsidR="0069484F" w:rsidRPr="00AD3267" w:rsidRDefault="0069484F" w:rsidP="00ED53FE">
      <w:pPr>
        <w:ind w:left="-851" w:right="-851"/>
        <w:rPr>
          <w:rFonts w:ascii="Calibri" w:hAnsi="Calibri"/>
        </w:rPr>
      </w:pPr>
      <w:r w:rsidRPr="00AD3267">
        <w:rPr>
          <w:rFonts w:ascii="Calibri" w:hAnsi="Calibri"/>
        </w:rPr>
        <w:t>-do wypełniania szczelin dylatacyjnych</w:t>
      </w:r>
      <w:r>
        <w:rPr>
          <w:rFonts w:ascii="Calibri" w:hAnsi="Calibri"/>
        </w:rPr>
        <w:t xml:space="preserve">: </w:t>
      </w:r>
      <w:r w:rsidRPr="00AD3267">
        <w:rPr>
          <w:rFonts w:ascii="Calibri" w:hAnsi="Calibri"/>
        </w:rPr>
        <w:t>do wypełnienia górnej części szczeliny dylatacyjnej należy stosować drogowe zalewy kauczukowo-asfaltowe lub syntetyczne masy uszczelniające (np. poliuretanowe, poliwinylowe itp.), spełniające wymagania norm PN-EN 14188-1 i PN-EN 14188-2</w:t>
      </w:r>
      <w:r>
        <w:rPr>
          <w:rFonts w:ascii="Calibri" w:hAnsi="Calibri"/>
        </w:rPr>
        <w:t xml:space="preserve">; </w:t>
      </w:r>
      <w:r w:rsidRPr="00AD3267">
        <w:rPr>
          <w:rFonts w:ascii="Calibri" w:hAnsi="Calibri"/>
        </w:rPr>
        <w:t>do wypełnienia dolnej części szczeliny dylatacyjnej należy stosować wilgotną mieszankę cementowo-piaskową 1:8 lub inny materiał zaakceptowany przez Inżyniera.</w:t>
      </w:r>
    </w:p>
    <w:p w:rsidR="0069484F" w:rsidRPr="00AD3267" w:rsidRDefault="0069484F" w:rsidP="00ED53FE">
      <w:pPr>
        <w:ind w:left="-851" w:right="-851"/>
        <w:rPr>
          <w:rFonts w:ascii="Calibri" w:hAnsi="Calibri"/>
        </w:rPr>
      </w:pPr>
      <w:r w:rsidRPr="00AD3267">
        <w:rPr>
          <w:rFonts w:ascii="Calibri" w:hAnsi="Calibri"/>
        </w:rPr>
        <w:tab/>
      </w:r>
      <w:r w:rsidR="00ED53FE">
        <w:rPr>
          <w:rFonts w:ascii="Calibri" w:hAnsi="Calibri"/>
        </w:rPr>
        <w:tab/>
      </w:r>
      <w:r w:rsidRPr="00AD3267">
        <w:rPr>
          <w:rFonts w:ascii="Calibri" w:hAnsi="Calibri"/>
        </w:rPr>
        <w:t>Składowanie kruszywa, nie przeznaczonego do bezpośredniego wbudowania po dostarczeniu na budowę, powinno odbywać się na podłożu równym, utwardzonym i dobrze odwodnionym, przy zabezpieczeniu kruszywa przed zanieczyszczeniem i zmieszaniem z innymi materiałami kamiennymi.</w:t>
      </w:r>
    </w:p>
    <w:p w:rsidR="0069484F" w:rsidRPr="00AD3267" w:rsidRDefault="0069484F" w:rsidP="00ED53FE">
      <w:pPr>
        <w:ind w:left="-851" w:right="-851"/>
        <w:rPr>
          <w:rFonts w:ascii="Calibri" w:hAnsi="Calibri"/>
        </w:rPr>
      </w:pPr>
      <w:r w:rsidRPr="00AD3267">
        <w:rPr>
          <w:rFonts w:ascii="Calibri" w:hAnsi="Calibri"/>
        </w:rPr>
        <w:t xml:space="preserve">Cement w workach, co najmniej trzywarstwowych, o masie np. </w:t>
      </w:r>
      <w:smartTag w:uri="urn:schemas-microsoft-com:office:smarttags" w:element="metricconverter">
        <w:smartTagPr>
          <w:attr w:name="ProductID" w:val="50 kg"/>
        </w:smartTagPr>
        <w:r w:rsidRPr="00AD3267">
          <w:rPr>
            <w:rFonts w:ascii="Calibri" w:hAnsi="Calibri"/>
          </w:rPr>
          <w:t>50 kg</w:t>
        </w:r>
      </w:smartTag>
      <w:r w:rsidRPr="00AD3267">
        <w:rPr>
          <w:rFonts w:ascii="Calibri" w:hAnsi="Calibri"/>
        </w:rPr>
        <w:t xml:space="preserve">, można przechowywać do: </w:t>
      </w:r>
    </w:p>
    <w:p w:rsidR="0069484F" w:rsidRPr="00AD3267" w:rsidRDefault="0069484F" w:rsidP="00ED53FE">
      <w:pPr>
        <w:ind w:left="-851" w:right="-851"/>
        <w:rPr>
          <w:rFonts w:ascii="Calibri" w:hAnsi="Calibri"/>
        </w:rPr>
      </w:pPr>
      <w:r w:rsidRPr="00AD3267">
        <w:rPr>
          <w:rFonts w:ascii="Calibri" w:hAnsi="Calibri"/>
        </w:rPr>
        <w:t xml:space="preserve">a) 10 dni w miejscach zadaszonych na otwartym terenie o podłożu twardym i suchym, </w:t>
      </w:r>
    </w:p>
    <w:p w:rsidR="0069484F" w:rsidRPr="00AD3267" w:rsidRDefault="0069484F" w:rsidP="00ED53FE">
      <w:pPr>
        <w:ind w:left="-851" w:right="-851"/>
        <w:rPr>
          <w:rFonts w:ascii="Calibri" w:hAnsi="Calibri"/>
        </w:rPr>
      </w:pPr>
      <w:r w:rsidRPr="00AD3267">
        <w:rPr>
          <w:rFonts w:ascii="Calibri" w:hAnsi="Calibri"/>
        </w:rPr>
        <w:t>b) terminu trwałości, podanego przez producenta, w pomieszczeniach o szczelnym dachu i ścianach oraz podłogach suchych i czystych. Cement dostarczony na paletach magazynuje się razem z paletami, z dopuszczalną wysokością 3 szt. palet. Cement niespaletowany układa się w stosy płaskie o liczbie warstw 12 (dla worków trzywarstwowych). Cement dostarczany luzem przechowuje się w magazynach specjalnych (zbiornikach stalowych, betonowych), przystosowanych do pneumatycznego załadowania i wyładowania.</w:t>
      </w:r>
    </w:p>
    <w:p w:rsidR="0069484F" w:rsidRPr="00AD3267" w:rsidRDefault="0069484F" w:rsidP="00ED53FE">
      <w:pPr>
        <w:ind w:left="-851" w:right="-851"/>
        <w:rPr>
          <w:rFonts w:ascii="Calibri" w:hAnsi="Calibri"/>
        </w:rPr>
      </w:pPr>
    </w:p>
    <w:p w:rsidR="0069484F" w:rsidRPr="00AD3267" w:rsidRDefault="0069484F" w:rsidP="00ED53FE">
      <w:pPr>
        <w:ind w:left="-851" w:right="-851"/>
        <w:rPr>
          <w:rFonts w:ascii="Calibri" w:hAnsi="Calibri"/>
          <w:b/>
        </w:rPr>
      </w:pPr>
      <w:bookmarkStart w:id="1652" w:name="_Toc141072305"/>
      <w:bookmarkStart w:id="1653" w:name="_Toc266695141"/>
      <w:r w:rsidRPr="00AD3267">
        <w:rPr>
          <w:rFonts w:ascii="Calibri" w:hAnsi="Calibri"/>
          <w:b/>
        </w:rPr>
        <w:t>3. SPRZĘT</w:t>
      </w:r>
      <w:bookmarkEnd w:id="1652"/>
      <w:bookmarkEnd w:id="1653"/>
    </w:p>
    <w:p w:rsidR="0069484F" w:rsidRPr="00AD3267" w:rsidRDefault="0069484F" w:rsidP="00ED53FE">
      <w:pPr>
        <w:ind w:left="-851" w:right="-851"/>
        <w:rPr>
          <w:rFonts w:ascii="Calibri" w:hAnsi="Calibri"/>
        </w:rPr>
      </w:pPr>
      <w:r w:rsidRPr="00AD3267">
        <w:rPr>
          <w:rFonts w:ascii="Calibri" w:hAnsi="Calibri"/>
          <w:b/>
        </w:rPr>
        <w:t>3.1.</w:t>
      </w:r>
      <w:r w:rsidRPr="00AD3267">
        <w:rPr>
          <w:rFonts w:ascii="Calibri" w:hAnsi="Calibri"/>
        </w:rPr>
        <w:t xml:space="preserve"> Ogólne wymagania dotyczące sprzętu</w:t>
      </w:r>
    </w:p>
    <w:p w:rsidR="0069484F" w:rsidRPr="00AD3267" w:rsidRDefault="0069484F" w:rsidP="00ED53FE">
      <w:pPr>
        <w:ind w:left="-851" w:right="-851"/>
        <w:rPr>
          <w:rFonts w:ascii="Calibri" w:hAnsi="Calibri"/>
        </w:rPr>
      </w:pPr>
      <w:r w:rsidRPr="00AD3267">
        <w:rPr>
          <w:rFonts w:ascii="Calibri" w:hAnsi="Calibri"/>
        </w:rPr>
        <w:tab/>
      </w:r>
      <w:r w:rsidR="00ED53FE">
        <w:rPr>
          <w:rFonts w:ascii="Calibri" w:hAnsi="Calibri"/>
        </w:rPr>
        <w:tab/>
      </w:r>
      <w:r w:rsidRPr="00AD3267">
        <w:rPr>
          <w:rFonts w:ascii="Calibri" w:hAnsi="Calibri"/>
        </w:rPr>
        <w:t>Ogólne wymagania dotyczące sprzętu podano w ST D-M-00.00.00 „Wymagania ogólne” pkt 3.</w:t>
      </w:r>
    </w:p>
    <w:p w:rsidR="0069484F" w:rsidRPr="00AD3267" w:rsidRDefault="0069484F" w:rsidP="00ED53FE">
      <w:pPr>
        <w:ind w:left="-851" w:right="-851"/>
        <w:rPr>
          <w:rFonts w:ascii="Calibri" w:hAnsi="Calibri"/>
        </w:rPr>
      </w:pPr>
      <w:r w:rsidRPr="00AD3267">
        <w:rPr>
          <w:rFonts w:ascii="Calibri" w:hAnsi="Calibri"/>
          <w:b/>
        </w:rPr>
        <w:t>3.2.</w:t>
      </w:r>
      <w:r w:rsidRPr="00AD3267">
        <w:rPr>
          <w:rFonts w:ascii="Calibri" w:hAnsi="Calibri"/>
        </w:rPr>
        <w:t xml:space="preserve"> Sprzęt do wykonania robót</w:t>
      </w:r>
    </w:p>
    <w:p w:rsidR="0069484F" w:rsidRPr="00AD3267" w:rsidRDefault="0069484F" w:rsidP="00ED53FE">
      <w:pPr>
        <w:ind w:left="-851" w:right="-851"/>
        <w:rPr>
          <w:rFonts w:ascii="Calibri" w:hAnsi="Calibri"/>
        </w:rPr>
      </w:pPr>
      <w:r w:rsidRPr="00AD3267">
        <w:rPr>
          <w:rFonts w:ascii="Calibri" w:hAnsi="Calibri"/>
        </w:rPr>
        <w:tab/>
      </w:r>
      <w:r w:rsidR="00ED53FE">
        <w:rPr>
          <w:rFonts w:ascii="Calibri" w:hAnsi="Calibri"/>
        </w:rPr>
        <w:tab/>
      </w:r>
      <w:r w:rsidRPr="00AD3267">
        <w:rPr>
          <w:rFonts w:ascii="Calibri" w:hAnsi="Calibri"/>
        </w:rPr>
        <w:t>Przy wykonywaniu robót Wykonawca w zależności od potrzeb, powinien wykazać się możliwością korzystania ze sprzętu dostosowanego do przyjętej metody robót, jak:</w:t>
      </w:r>
    </w:p>
    <w:p w:rsidR="0069484F" w:rsidRPr="00AD3267" w:rsidRDefault="0069484F" w:rsidP="00ED53FE">
      <w:pPr>
        <w:ind w:left="-851" w:right="-851"/>
        <w:rPr>
          <w:rFonts w:ascii="Calibri" w:hAnsi="Calibri"/>
        </w:rPr>
      </w:pPr>
      <w:r w:rsidRPr="00AD3267">
        <w:rPr>
          <w:rFonts w:ascii="Calibri" w:hAnsi="Calibri"/>
        </w:rPr>
        <w:t>- betoniarki do wytwarzania betonu, zapraw i podsypki cementowo-piaskowej,</w:t>
      </w:r>
    </w:p>
    <w:p w:rsidR="0069484F" w:rsidRPr="00AD3267" w:rsidRDefault="0069484F" w:rsidP="00ED53FE">
      <w:pPr>
        <w:ind w:left="-851" w:right="-851"/>
        <w:rPr>
          <w:rFonts w:ascii="Calibri" w:hAnsi="Calibri"/>
        </w:rPr>
      </w:pPr>
      <w:r w:rsidRPr="00AD3267">
        <w:rPr>
          <w:rFonts w:ascii="Calibri" w:hAnsi="Calibri"/>
        </w:rPr>
        <w:t>- wibratory do betonu,</w:t>
      </w:r>
    </w:p>
    <w:p w:rsidR="0069484F" w:rsidRPr="00AD3267" w:rsidRDefault="0069484F" w:rsidP="00ED53FE">
      <w:pPr>
        <w:ind w:left="-851" w:right="-851"/>
        <w:rPr>
          <w:rFonts w:ascii="Calibri" w:hAnsi="Calibri"/>
        </w:rPr>
      </w:pPr>
      <w:r w:rsidRPr="00AD3267">
        <w:rPr>
          <w:rFonts w:ascii="Calibri" w:hAnsi="Calibri"/>
        </w:rPr>
        <w:t>- zagęszczarki wibracyjne płytowe zwykłe oraz z wykładziną elastomerową do zagęszczania powierzchni ścieku z betonowych kostek brukowych,</w:t>
      </w:r>
    </w:p>
    <w:p w:rsidR="0069484F" w:rsidRPr="00AD3267" w:rsidRDefault="0069484F" w:rsidP="00ED53FE">
      <w:pPr>
        <w:ind w:left="-851" w:right="-851"/>
        <w:rPr>
          <w:rFonts w:ascii="Calibri" w:hAnsi="Calibri"/>
        </w:rPr>
      </w:pPr>
      <w:r w:rsidRPr="00AD3267">
        <w:rPr>
          <w:rFonts w:ascii="Calibri" w:hAnsi="Calibri"/>
        </w:rPr>
        <w:t>- ubijaki ręczne,</w:t>
      </w:r>
    </w:p>
    <w:p w:rsidR="0069484F" w:rsidRPr="00AD3267" w:rsidRDefault="0069484F" w:rsidP="00ED53FE">
      <w:pPr>
        <w:ind w:left="-851" w:right="-851"/>
        <w:rPr>
          <w:rFonts w:ascii="Calibri" w:hAnsi="Calibri"/>
        </w:rPr>
      </w:pPr>
      <w:r w:rsidRPr="00AD3267">
        <w:rPr>
          <w:rFonts w:ascii="Calibri" w:hAnsi="Calibri"/>
        </w:rPr>
        <w:t>- sprzęt do wypełniania szczelin dylatacyjnych,</w:t>
      </w:r>
    </w:p>
    <w:p w:rsidR="0069484F" w:rsidRPr="00AD3267" w:rsidRDefault="0069484F" w:rsidP="00ED53FE">
      <w:pPr>
        <w:ind w:left="-851" w:right="-851"/>
        <w:rPr>
          <w:rFonts w:ascii="Calibri" w:hAnsi="Calibri"/>
        </w:rPr>
      </w:pPr>
      <w:r w:rsidRPr="00AD3267">
        <w:rPr>
          <w:rFonts w:ascii="Calibri" w:hAnsi="Calibri"/>
        </w:rPr>
        <w:t>- sprzęt drobny.</w:t>
      </w:r>
    </w:p>
    <w:p w:rsidR="0069484F" w:rsidRPr="00AD3267" w:rsidRDefault="0069484F" w:rsidP="00ED53FE">
      <w:pPr>
        <w:ind w:left="-851" w:right="-851"/>
        <w:rPr>
          <w:rFonts w:ascii="Calibri" w:hAnsi="Calibri"/>
        </w:rPr>
      </w:pPr>
      <w:r w:rsidRPr="00AD3267">
        <w:rPr>
          <w:rFonts w:ascii="Calibri" w:hAnsi="Calibri"/>
        </w:rPr>
        <w:tab/>
      </w:r>
      <w:r w:rsidRPr="00AD3267">
        <w:rPr>
          <w:rFonts w:ascii="Calibri" w:hAnsi="Calibri"/>
        </w:rPr>
        <w:tab/>
        <w:t>Sprzęt powinien odpowiadać wymaganiom określonym w dokumentacji projektowej, ST, instrukcjach producentów lub propozycji Wykonawcy i powinien być zaakceptowany przez Inżyniera.</w:t>
      </w:r>
    </w:p>
    <w:p w:rsidR="0069484F" w:rsidRPr="00AD3267" w:rsidRDefault="0069484F" w:rsidP="00ED53FE">
      <w:pPr>
        <w:ind w:left="-851" w:right="-851"/>
        <w:rPr>
          <w:rFonts w:ascii="Calibri" w:hAnsi="Calibri"/>
        </w:rPr>
      </w:pPr>
    </w:p>
    <w:p w:rsidR="0069484F" w:rsidRPr="00AD3267" w:rsidRDefault="0069484F" w:rsidP="00ED53FE">
      <w:pPr>
        <w:ind w:left="-851" w:right="-851"/>
        <w:rPr>
          <w:rFonts w:ascii="Calibri" w:hAnsi="Calibri"/>
          <w:b/>
        </w:rPr>
      </w:pPr>
      <w:bookmarkStart w:id="1654" w:name="_4._TRANSPORT_1"/>
      <w:bookmarkStart w:id="1655" w:name="_Toc141072306"/>
      <w:bookmarkStart w:id="1656" w:name="_Toc266695142"/>
      <w:bookmarkEnd w:id="1654"/>
      <w:r w:rsidRPr="00AD3267">
        <w:rPr>
          <w:rFonts w:ascii="Calibri" w:hAnsi="Calibri"/>
          <w:b/>
        </w:rPr>
        <w:t>4. TRANSPORT</w:t>
      </w:r>
      <w:bookmarkEnd w:id="1655"/>
      <w:bookmarkEnd w:id="1656"/>
    </w:p>
    <w:p w:rsidR="0069484F" w:rsidRPr="00AD3267" w:rsidRDefault="0069484F" w:rsidP="00ED53FE">
      <w:pPr>
        <w:ind w:left="-851" w:right="-851"/>
        <w:rPr>
          <w:rFonts w:ascii="Calibri" w:hAnsi="Calibri"/>
        </w:rPr>
      </w:pPr>
      <w:r w:rsidRPr="00AD3267">
        <w:rPr>
          <w:rFonts w:ascii="Calibri" w:hAnsi="Calibri"/>
          <w:b/>
        </w:rPr>
        <w:t>4.1.</w:t>
      </w:r>
      <w:r w:rsidRPr="00AD3267">
        <w:rPr>
          <w:rFonts w:ascii="Calibri" w:hAnsi="Calibri"/>
        </w:rPr>
        <w:t xml:space="preserve"> Ogólne wymagania dotyczące transportu</w:t>
      </w:r>
    </w:p>
    <w:p w:rsidR="0069484F" w:rsidRPr="00AD3267" w:rsidRDefault="0069484F" w:rsidP="00ED53FE">
      <w:pPr>
        <w:ind w:left="-851" w:right="-851"/>
        <w:rPr>
          <w:rFonts w:ascii="Calibri" w:hAnsi="Calibri"/>
        </w:rPr>
      </w:pPr>
      <w:r w:rsidRPr="00AD3267">
        <w:rPr>
          <w:rFonts w:ascii="Calibri" w:hAnsi="Calibri"/>
        </w:rPr>
        <w:tab/>
      </w:r>
      <w:r w:rsidR="00ED53FE">
        <w:rPr>
          <w:rFonts w:ascii="Calibri" w:hAnsi="Calibri"/>
        </w:rPr>
        <w:tab/>
      </w:r>
      <w:r w:rsidRPr="00AD3267">
        <w:rPr>
          <w:rFonts w:ascii="Calibri" w:hAnsi="Calibri"/>
        </w:rPr>
        <w:t>Ogólne wymagania dotyczące transportu podano w ST D-M-00.00.00 „Wymagania ogólne” pkt 4.</w:t>
      </w:r>
    </w:p>
    <w:p w:rsidR="00ED53FE" w:rsidRDefault="00ED53FE" w:rsidP="00ED53FE">
      <w:pPr>
        <w:ind w:left="-851" w:right="-851"/>
        <w:rPr>
          <w:rFonts w:ascii="Calibri" w:hAnsi="Calibri"/>
          <w:b/>
        </w:rPr>
      </w:pPr>
    </w:p>
    <w:p w:rsidR="0069484F" w:rsidRPr="00AD3267" w:rsidRDefault="0069484F" w:rsidP="00ED53FE">
      <w:pPr>
        <w:ind w:left="-851" w:right="-851"/>
        <w:rPr>
          <w:rFonts w:ascii="Calibri" w:hAnsi="Calibri"/>
        </w:rPr>
      </w:pPr>
      <w:r w:rsidRPr="00AD3267">
        <w:rPr>
          <w:rFonts w:ascii="Calibri" w:hAnsi="Calibri"/>
          <w:b/>
        </w:rPr>
        <w:lastRenderedPageBreak/>
        <w:t>4.2.</w:t>
      </w:r>
      <w:r w:rsidRPr="00AD3267">
        <w:rPr>
          <w:rFonts w:ascii="Calibri" w:hAnsi="Calibri"/>
        </w:rPr>
        <w:t xml:space="preserve"> Transport materiałów</w:t>
      </w:r>
    </w:p>
    <w:p w:rsidR="0069484F" w:rsidRPr="00AD3267" w:rsidRDefault="0069484F" w:rsidP="00ED53FE">
      <w:pPr>
        <w:ind w:left="-851" w:right="-851"/>
        <w:rPr>
          <w:rFonts w:ascii="Calibri" w:hAnsi="Calibri"/>
        </w:rPr>
      </w:pPr>
      <w:r w:rsidRPr="00AD3267">
        <w:rPr>
          <w:rFonts w:ascii="Calibri" w:hAnsi="Calibri"/>
        </w:rPr>
        <w:tab/>
      </w:r>
      <w:r w:rsidR="00ED53FE">
        <w:rPr>
          <w:rFonts w:ascii="Calibri" w:hAnsi="Calibri"/>
        </w:rPr>
        <w:tab/>
      </w:r>
      <w:r w:rsidRPr="00AD3267">
        <w:rPr>
          <w:rFonts w:ascii="Calibri" w:hAnsi="Calibri"/>
        </w:rPr>
        <w:t>Betonowe kostki brukowe mogą być przewożone na paletach, zabezpieczone przed przemieszczaniem się i uszkodzeniem.</w:t>
      </w:r>
    </w:p>
    <w:p w:rsidR="0069484F" w:rsidRPr="00AD3267" w:rsidRDefault="0069484F" w:rsidP="00ED53FE">
      <w:pPr>
        <w:ind w:left="-851" w:right="-851"/>
        <w:rPr>
          <w:rFonts w:ascii="Calibri" w:hAnsi="Calibri"/>
        </w:rPr>
      </w:pPr>
      <w:r w:rsidRPr="00AD3267">
        <w:rPr>
          <w:rFonts w:ascii="Calibri" w:hAnsi="Calibri"/>
        </w:rPr>
        <w:tab/>
      </w:r>
      <w:r w:rsidR="00ED53FE">
        <w:rPr>
          <w:rFonts w:ascii="Calibri" w:hAnsi="Calibri"/>
        </w:rPr>
        <w:tab/>
      </w:r>
      <w:r w:rsidRPr="00AD3267">
        <w:rPr>
          <w:rFonts w:ascii="Calibri" w:hAnsi="Calibri"/>
        </w:rPr>
        <w:t>Krawężniki mogą być przewożone dowolnymi środkami transportowymi, zabezpieczone przed przemieszczaniem się i uszkodzeniem. Krawężniki betonowe należy układać w pozycji pionowej z nachyleniem w kierunku jazdy. Krawężniki powinny być zabezpieczone przed przemieszczaniem się i uszkodzeniem w czasie transportu.</w:t>
      </w:r>
    </w:p>
    <w:p w:rsidR="0069484F" w:rsidRPr="00AD3267" w:rsidRDefault="00ED53FE" w:rsidP="00ED53FE">
      <w:pPr>
        <w:ind w:left="-851" w:right="-851"/>
        <w:rPr>
          <w:rFonts w:ascii="Calibri" w:hAnsi="Calibri"/>
        </w:rPr>
      </w:pPr>
      <w:r>
        <w:rPr>
          <w:rFonts w:ascii="Calibri" w:hAnsi="Calibri"/>
        </w:rPr>
        <w:tab/>
      </w:r>
      <w:r>
        <w:rPr>
          <w:rFonts w:ascii="Calibri" w:hAnsi="Calibri"/>
        </w:rPr>
        <w:tab/>
      </w:r>
      <w:r w:rsidR="0069484F" w:rsidRPr="00AD3267">
        <w:rPr>
          <w:rFonts w:ascii="Calibri" w:hAnsi="Calibri"/>
        </w:rPr>
        <w:t xml:space="preserve">Cement w workach może być przewożony samochodami krytymi, wagonami towarowymi i innymi środkami transportu, w sposób nie powodujący uszkodzeń opakowania. Worki przewożone na paletach układa się po 5 warstw worków, po 4 szt. w warstwie. Worki niespaletowane układa się na płask, przylegające do siebie, w równej wysokości do 10 warstw. </w:t>
      </w:r>
    </w:p>
    <w:p w:rsidR="0069484F" w:rsidRPr="00AD3267" w:rsidRDefault="00ED53FE" w:rsidP="00ED53FE">
      <w:pPr>
        <w:ind w:left="-851" w:right="-851"/>
        <w:rPr>
          <w:rFonts w:ascii="Calibri" w:hAnsi="Calibri"/>
        </w:rPr>
      </w:pPr>
      <w:r>
        <w:rPr>
          <w:rFonts w:ascii="Calibri" w:hAnsi="Calibri"/>
        </w:rPr>
        <w:tab/>
      </w:r>
      <w:r>
        <w:rPr>
          <w:rFonts w:ascii="Calibri" w:hAnsi="Calibri"/>
        </w:rPr>
        <w:tab/>
      </w:r>
      <w:r w:rsidR="0069484F" w:rsidRPr="00AD3267">
        <w:rPr>
          <w:rFonts w:ascii="Calibri" w:hAnsi="Calibri"/>
        </w:rPr>
        <w:t>Zalewę lub masy uszczelniające do szczelin dylatacyjnych można przewozić dowolnymi środkami transportu w fabrycznie zamkniętych pojemnikach lub opakowaniach, chroniących je przed zanieczyszczeniem.</w:t>
      </w:r>
    </w:p>
    <w:p w:rsidR="0069484F" w:rsidRPr="00AD3267" w:rsidRDefault="0069484F" w:rsidP="00ED53FE">
      <w:pPr>
        <w:ind w:left="-851" w:right="-851"/>
        <w:rPr>
          <w:rFonts w:ascii="Calibri" w:hAnsi="Calibri"/>
        </w:rPr>
      </w:pPr>
    </w:p>
    <w:p w:rsidR="0069484F" w:rsidRPr="00AD3267" w:rsidRDefault="0069484F" w:rsidP="00ED53FE">
      <w:pPr>
        <w:ind w:left="-851" w:right="-851"/>
        <w:rPr>
          <w:rFonts w:ascii="Calibri" w:hAnsi="Calibri"/>
          <w:b/>
        </w:rPr>
      </w:pPr>
      <w:bookmarkStart w:id="1657" w:name="_Toc120590625"/>
      <w:bookmarkStart w:id="1658" w:name="_Toc141072307"/>
      <w:bookmarkStart w:id="1659" w:name="_Toc266695143"/>
      <w:r w:rsidRPr="00AD3267">
        <w:rPr>
          <w:rFonts w:ascii="Calibri" w:hAnsi="Calibri"/>
          <w:b/>
        </w:rPr>
        <w:t xml:space="preserve">5. </w:t>
      </w:r>
      <w:bookmarkEnd w:id="1657"/>
      <w:bookmarkEnd w:id="1658"/>
      <w:bookmarkEnd w:id="1659"/>
      <w:r w:rsidRPr="00AD3267">
        <w:rPr>
          <w:rFonts w:ascii="Calibri" w:hAnsi="Calibri"/>
          <w:b/>
        </w:rPr>
        <w:t>WYKONANIE ROBÓT</w:t>
      </w:r>
    </w:p>
    <w:p w:rsidR="0069484F" w:rsidRPr="00AD3267" w:rsidRDefault="0069484F" w:rsidP="00ED53FE">
      <w:pPr>
        <w:ind w:left="-851" w:right="-851"/>
        <w:rPr>
          <w:rFonts w:ascii="Calibri" w:hAnsi="Calibri"/>
        </w:rPr>
      </w:pPr>
      <w:r w:rsidRPr="00AD3267">
        <w:rPr>
          <w:rFonts w:ascii="Calibri" w:hAnsi="Calibri"/>
          <w:b/>
        </w:rPr>
        <w:t>5.1.</w:t>
      </w:r>
      <w:r w:rsidRPr="00AD3267">
        <w:rPr>
          <w:rFonts w:ascii="Calibri" w:hAnsi="Calibri"/>
        </w:rPr>
        <w:t xml:space="preserve"> Ogólne zasady wykonania robót</w:t>
      </w:r>
    </w:p>
    <w:p w:rsidR="0069484F" w:rsidRPr="00AD3267" w:rsidRDefault="0069484F" w:rsidP="00ED53FE">
      <w:pPr>
        <w:ind w:left="-851" w:right="-851"/>
        <w:rPr>
          <w:rFonts w:ascii="Calibri" w:hAnsi="Calibri"/>
        </w:rPr>
      </w:pPr>
      <w:r w:rsidRPr="00AD3267">
        <w:rPr>
          <w:rFonts w:ascii="Calibri" w:hAnsi="Calibri"/>
        </w:rPr>
        <w:tab/>
      </w:r>
      <w:r w:rsidR="00ED53FE">
        <w:rPr>
          <w:rFonts w:ascii="Calibri" w:hAnsi="Calibri"/>
        </w:rPr>
        <w:tab/>
      </w:r>
      <w:r w:rsidRPr="00AD3267">
        <w:rPr>
          <w:rFonts w:ascii="Calibri" w:hAnsi="Calibri"/>
        </w:rPr>
        <w:t>Ogólne zasady wykonania robót podano w ST D-M-00.00.00 „Wymagania ogólne” pkt 5.</w:t>
      </w:r>
    </w:p>
    <w:p w:rsidR="0069484F" w:rsidRPr="00AD3267" w:rsidRDefault="0069484F" w:rsidP="00ED53FE">
      <w:pPr>
        <w:ind w:left="-851" w:right="-851"/>
        <w:rPr>
          <w:rFonts w:ascii="Calibri" w:hAnsi="Calibri"/>
        </w:rPr>
      </w:pPr>
      <w:r w:rsidRPr="00AD3267">
        <w:rPr>
          <w:rFonts w:ascii="Calibri" w:hAnsi="Calibri"/>
          <w:b/>
        </w:rPr>
        <w:t>5.2.</w:t>
      </w:r>
      <w:r w:rsidRPr="00AD3267">
        <w:rPr>
          <w:rFonts w:ascii="Calibri" w:hAnsi="Calibri"/>
        </w:rPr>
        <w:t xml:space="preserve"> Zasady wykonywania robót</w:t>
      </w:r>
    </w:p>
    <w:p w:rsidR="0069484F" w:rsidRPr="00AD3267" w:rsidRDefault="0069484F" w:rsidP="00ED53FE">
      <w:pPr>
        <w:ind w:left="-851" w:right="-851"/>
        <w:rPr>
          <w:rFonts w:ascii="Calibri" w:hAnsi="Calibri"/>
        </w:rPr>
      </w:pPr>
      <w:r w:rsidRPr="00AD3267">
        <w:rPr>
          <w:rFonts w:ascii="Calibri" w:hAnsi="Calibri"/>
        </w:rPr>
        <w:tab/>
      </w:r>
      <w:r w:rsidR="00ED53FE">
        <w:rPr>
          <w:rFonts w:ascii="Calibri" w:hAnsi="Calibri"/>
        </w:rPr>
        <w:tab/>
      </w:r>
      <w:r w:rsidRPr="00AD3267">
        <w:rPr>
          <w:rFonts w:ascii="Calibri" w:hAnsi="Calibri"/>
        </w:rPr>
        <w:t>Sposób wykonania robót powinien być zgodny z dokumentacją projektową. W przypadku braku wystarczających danych można korzystać z ustaleń podanych w niniejszej specyfikacji oraz z informacji podanych w załącznikach.</w:t>
      </w:r>
    </w:p>
    <w:p w:rsidR="0069484F" w:rsidRPr="00AD3267" w:rsidRDefault="0069484F" w:rsidP="00ED53FE">
      <w:pPr>
        <w:ind w:left="-851" w:right="-851"/>
        <w:rPr>
          <w:rFonts w:ascii="Calibri" w:hAnsi="Calibri"/>
        </w:rPr>
      </w:pPr>
      <w:r w:rsidRPr="00AD3267">
        <w:rPr>
          <w:rFonts w:ascii="Calibri" w:hAnsi="Calibri"/>
        </w:rPr>
        <w:tab/>
      </w:r>
      <w:r w:rsidR="00ED53FE">
        <w:rPr>
          <w:rFonts w:ascii="Calibri" w:hAnsi="Calibri"/>
        </w:rPr>
        <w:tab/>
      </w:r>
      <w:r w:rsidRPr="00AD3267">
        <w:rPr>
          <w:rFonts w:ascii="Calibri" w:hAnsi="Calibri"/>
        </w:rPr>
        <w:t>Podstawowe czynności przy wykonywaniu robót obejmują:</w:t>
      </w:r>
    </w:p>
    <w:p w:rsidR="0069484F" w:rsidRPr="00AD3267" w:rsidRDefault="0069484F" w:rsidP="00ED53FE">
      <w:pPr>
        <w:ind w:left="-851" w:right="-851"/>
        <w:rPr>
          <w:rFonts w:ascii="Calibri" w:hAnsi="Calibri"/>
        </w:rPr>
      </w:pPr>
      <w:r w:rsidRPr="00AD3267">
        <w:rPr>
          <w:rFonts w:ascii="Calibri" w:hAnsi="Calibri"/>
        </w:rPr>
        <w:t xml:space="preserve">- roboty przygotowawcze, </w:t>
      </w:r>
    </w:p>
    <w:p w:rsidR="0069484F" w:rsidRPr="00AD3267" w:rsidRDefault="0069484F" w:rsidP="00ED53FE">
      <w:pPr>
        <w:ind w:left="-851" w:right="-851"/>
        <w:rPr>
          <w:rFonts w:ascii="Calibri" w:hAnsi="Calibri"/>
        </w:rPr>
      </w:pPr>
      <w:r w:rsidRPr="00AD3267">
        <w:rPr>
          <w:rFonts w:ascii="Calibri" w:hAnsi="Calibri"/>
        </w:rPr>
        <w:t>- wykonanie ławy,</w:t>
      </w:r>
    </w:p>
    <w:p w:rsidR="0069484F" w:rsidRPr="00AD3267" w:rsidRDefault="0069484F" w:rsidP="00ED53FE">
      <w:pPr>
        <w:ind w:left="-851" w:right="-851"/>
        <w:rPr>
          <w:rFonts w:ascii="Calibri" w:hAnsi="Calibri"/>
        </w:rPr>
      </w:pPr>
      <w:r w:rsidRPr="00AD3267">
        <w:rPr>
          <w:rFonts w:ascii="Calibri" w:hAnsi="Calibri"/>
        </w:rPr>
        <w:t>- ustawienie krawężnika,</w:t>
      </w:r>
    </w:p>
    <w:p w:rsidR="0069484F" w:rsidRPr="00AD3267" w:rsidRDefault="0069484F" w:rsidP="00ED53FE">
      <w:pPr>
        <w:ind w:left="-851" w:right="-851"/>
        <w:rPr>
          <w:rFonts w:ascii="Calibri" w:hAnsi="Calibri"/>
        </w:rPr>
      </w:pPr>
      <w:r w:rsidRPr="00AD3267">
        <w:rPr>
          <w:rFonts w:ascii="Calibri" w:hAnsi="Calibri"/>
        </w:rPr>
        <w:t>- ułożenie ścieku,</w:t>
      </w:r>
    </w:p>
    <w:p w:rsidR="0069484F" w:rsidRPr="00AD3267" w:rsidRDefault="0069484F" w:rsidP="00ED53FE">
      <w:pPr>
        <w:ind w:left="-851" w:right="-851"/>
        <w:rPr>
          <w:rFonts w:ascii="Calibri" w:hAnsi="Calibri"/>
        </w:rPr>
      </w:pPr>
      <w:r w:rsidRPr="00AD3267">
        <w:rPr>
          <w:rFonts w:ascii="Calibri" w:hAnsi="Calibri"/>
        </w:rPr>
        <w:t>- roboty wykończeniowe.</w:t>
      </w:r>
    </w:p>
    <w:p w:rsidR="0069484F" w:rsidRPr="00AD3267" w:rsidRDefault="0069484F" w:rsidP="00ED53FE">
      <w:pPr>
        <w:ind w:left="-851" w:right="-851"/>
        <w:rPr>
          <w:rFonts w:ascii="Calibri" w:hAnsi="Calibri"/>
        </w:rPr>
      </w:pPr>
      <w:r w:rsidRPr="00AD3267">
        <w:rPr>
          <w:rFonts w:ascii="Calibri" w:hAnsi="Calibri"/>
          <w:b/>
        </w:rPr>
        <w:t>5.3.</w:t>
      </w:r>
      <w:r w:rsidRPr="00AD3267">
        <w:rPr>
          <w:rFonts w:ascii="Calibri" w:hAnsi="Calibri"/>
        </w:rPr>
        <w:t xml:space="preserve"> Roboty przygotowawcze</w:t>
      </w:r>
    </w:p>
    <w:p w:rsidR="0069484F" w:rsidRPr="00AD3267" w:rsidRDefault="0069484F" w:rsidP="00ED53FE">
      <w:pPr>
        <w:ind w:left="-851" w:right="-851"/>
        <w:rPr>
          <w:rFonts w:ascii="Calibri" w:hAnsi="Calibri"/>
        </w:rPr>
      </w:pPr>
      <w:r w:rsidRPr="00AD3267">
        <w:rPr>
          <w:rFonts w:ascii="Calibri" w:hAnsi="Calibri"/>
        </w:rPr>
        <w:tab/>
      </w:r>
      <w:r w:rsidR="00ED53FE">
        <w:rPr>
          <w:rFonts w:ascii="Calibri" w:hAnsi="Calibri"/>
        </w:rPr>
        <w:tab/>
      </w:r>
      <w:r w:rsidRPr="00AD3267">
        <w:rPr>
          <w:rFonts w:ascii="Calibri" w:hAnsi="Calibri"/>
        </w:rPr>
        <w:t>Przed przystąpieniem do robót należy, na podstawie dokumentacji projektowej lub wskazań Inżyniera:</w:t>
      </w:r>
    </w:p>
    <w:p w:rsidR="0069484F" w:rsidRPr="00AD3267" w:rsidRDefault="0069484F" w:rsidP="00ED53FE">
      <w:pPr>
        <w:ind w:left="-851" w:right="-851"/>
        <w:rPr>
          <w:rFonts w:ascii="Calibri" w:hAnsi="Calibri"/>
        </w:rPr>
      </w:pPr>
      <w:r w:rsidRPr="00AD3267">
        <w:rPr>
          <w:rFonts w:ascii="Calibri" w:hAnsi="Calibri"/>
        </w:rPr>
        <w:t>- ustalić lokalizację robót,</w:t>
      </w:r>
    </w:p>
    <w:p w:rsidR="0069484F" w:rsidRPr="00AD3267" w:rsidRDefault="0069484F" w:rsidP="00ED53FE">
      <w:pPr>
        <w:ind w:left="-851" w:right="-851"/>
        <w:rPr>
          <w:rFonts w:ascii="Calibri" w:hAnsi="Calibri"/>
        </w:rPr>
      </w:pPr>
      <w:r w:rsidRPr="00AD3267">
        <w:rPr>
          <w:rFonts w:ascii="Calibri" w:hAnsi="Calibri"/>
        </w:rPr>
        <w:t>- ustalić dane niezbędne do szczegółowego wytyczenia robót oraz ustalenia - danych wysokościowych,</w:t>
      </w:r>
    </w:p>
    <w:p w:rsidR="0069484F" w:rsidRPr="00AD3267" w:rsidRDefault="0069484F" w:rsidP="00ED53FE">
      <w:pPr>
        <w:ind w:left="-851" w:right="-851"/>
        <w:rPr>
          <w:rFonts w:ascii="Calibri" w:hAnsi="Calibri"/>
        </w:rPr>
      </w:pPr>
      <w:r w:rsidRPr="00AD3267">
        <w:rPr>
          <w:rFonts w:ascii="Calibri" w:hAnsi="Calibri"/>
        </w:rPr>
        <w:t xml:space="preserve">- usunąć przeszkody, </w:t>
      </w:r>
    </w:p>
    <w:p w:rsidR="0069484F" w:rsidRPr="00AD3267" w:rsidRDefault="0069484F" w:rsidP="00ED53FE">
      <w:pPr>
        <w:ind w:left="-851" w:right="-851"/>
        <w:rPr>
          <w:rFonts w:ascii="Calibri" w:hAnsi="Calibri"/>
        </w:rPr>
      </w:pPr>
      <w:r w:rsidRPr="00AD3267">
        <w:rPr>
          <w:rFonts w:ascii="Calibri" w:hAnsi="Calibri"/>
        </w:rPr>
        <w:t>- zgromadzić wszystkie materiały potrzebne do rozpoczęcia  robót.</w:t>
      </w:r>
    </w:p>
    <w:p w:rsidR="0069484F" w:rsidRPr="00AD3267" w:rsidRDefault="0069484F" w:rsidP="00ED53FE">
      <w:pPr>
        <w:ind w:left="-851" w:right="-851"/>
        <w:rPr>
          <w:rFonts w:ascii="Calibri" w:hAnsi="Calibri"/>
        </w:rPr>
      </w:pPr>
      <w:r w:rsidRPr="00AD3267">
        <w:rPr>
          <w:rFonts w:ascii="Calibri" w:hAnsi="Calibri"/>
          <w:b/>
        </w:rPr>
        <w:t>5.4.</w:t>
      </w:r>
      <w:r w:rsidRPr="00AD3267">
        <w:rPr>
          <w:rFonts w:ascii="Calibri" w:hAnsi="Calibri"/>
        </w:rPr>
        <w:t xml:space="preserve"> Wykonanie ławy</w:t>
      </w:r>
    </w:p>
    <w:p w:rsidR="0069484F" w:rsidRPr="00AD3267" w:rsidRDefault="0069484F" w:rsidP="00ED53FE">
      <w:pPr>
        <w:ind w:left="-851" w:right="-851"/>
        <w:rPr>
          <w:rFonts w:ascii="Calibri" w:hAnsi="Calibri"/>
        </w:rPr>
      </w:pPr>
      <w:r w:rsidRPr="00AD3267">
        <w:rPr>
          <w:rFonts w:ascii="Calibri" w:hAnsi="Calibri"/>
        </w:rPr>
        <w:tab/>
      </w:r>
      <w:r w:rsidR="00ED53FE">
        <w:rPr>
          <w:rFonts w:ascii="Calibri" w:hAnsi="Calibri"/>
        </w:rPr>
        <w:tab/>
      </w:r>
      <w:r w:rsidRPr="00AD3267">
        <w:rPr>
          <w:rFonts w:ascii="Calibri" w:hAnsi="Calibri"/>
        </w:rPr>
        <w:t>Wykop pod ławę powinien odpowiadać wymiarom ławy w planie z uwzględnieniem w szerokości dna wykopu konstrukcji szalunku. Wskaźnik zagęszczenia dna wykonanego koryta pod ławę powinien wynosić co najmniej 0,97 według normalnej metody Proctora.</w:t>
      </w:r>
    </w:p>
    <w:p w:rsidR="0069484F" w:rsidRPr="00AD3267" w:rsidRDefault="0069484F" w:rsidP="00ED53FE">
      <w:pPr>
        <w:ind w:left="-851" w:right="-851"/>
        <w:rPr>
          <w:rFonts w:ascii="Calibri" w:hAnsi="Calibri"/>
        </w:rPr>
      </w:pPr>
      <w:r w:rsidRPr="00AD3267">
        <w:rPr>
          <w:rFonts w:ascii="Calibri" w:hAnsi="Calibri"/>
        </w:rPr>
        <w:t xml:space="preserve">Ławę betonową należy wykonać w szalowaniu. Beton rozścielony w szalowaniu powinien być wyrównany warstwami. Beton powinien odpowiadać wymaganiom określonym w punkcie 2.5. Co </w:t>
      </w:r>
      <w:smartTag w:uri="urn:schemas-microsoft-com:office:smarttags" w:element="metricconverter">
        <w:smartTagPr>
          <w:attr w:name="ProductID" w:val="50 m"/>
        </w:smartTagPr>
        <w:r w:rsidRPr="00AD3267">
          <w:rPr>
            <w:rFonts w:ascii="Calibri" w:hAnsi="Calibri"/>
          </w:rPr>
          <w:t>50 m</w:t>
        </w:r>
      </w:smartTag>
      <w:r w:rsidRPr="00AD3267">
        <w:rPr>
          <w:rFonts w:ascii="Calibri" w:hAnsi="Calibri"/>
        </w:rPr>
        <w:t xml:space="preserve"> należy stosować w ławie szczeliny dylatacyjne, wypełnione zalew</w:t>
      </w:r>
      <w:r>
        <w:rPr>
          <w:rFonts w:ascii="Calibri" w:hAnsi="Calibri"/>
        </w:rPr>
        <w:t>ami określonymi w punkcie 2.6</w:t>
      </w:r>
      <w:r w:rsidRPr="00AD3267">
        <w:rPr>
          <w:rFonts w:ascii="Calibri" w:hAnsi="Calibri"/>
        </w:rPr>
        <w:t>.</w:t>
      </w:r>
    </w:p>
    <w:p w:rsidR="0069484F" w:rsidRPr="00AD3267" w:rsidRDefault="0069484F" w:rsidP="00ED53FE">
      <w:pPr>
        <w:ind w:left="-851" w:right="-851"/>
        <w:rPr>
          <w:rFonts w:ascii="Calibri" w:hAnsi="Calibri"/>
        </w:rPr>
      </w:pPr>
      <w:r w:rsidRPr="00AD3267">
        <w:rPr>
          <w:rFonts w:ascii="Calibri" w:hAnsi="Calibri"/>
          <w:b/>
        </w:rPr>
        <w:t>5.5.</w:t>
      </w:r>
      <w:r w:rsidRPr="00AD3267">
        <w:rPr>
          <w:rFonts w:ascii="Calibri" w:hAnsi="Calibri"/>
        </w:rPr>
        <w:t xml:space="preserve"> Ustawienie krawężników</w:t>
      </w:r>
    </w:p>
    <w:p w:rsidR="0069484F" w:rsidRPr="00AD3267" w:rsidRDefault="0069484F" w:rsidP="00ED53FE">
      <w:pPr>
        <w:ind w:left="-851" w:right="-851"/>
        <w:rPr>
          <w:rFonts w:ascii="Calibri" w:hAnsi="Calibri"/>
        </w:rPr>
      </w:pPr>
      <w:r w:rsidRPr="00AD3267">
        <w:rPr>
          <w:rFonts w:ascii="Calibri" w:hAnsi="Calibri"/>
        </w:rPr>
        <w:tab/>
      </w:r>
      <w:r w:rsidR="00ED53FE">
        <w:rPr>
          <w:rFonts w:ascii="Calibri" w:hAnsi="Calibri"/>
        </w:rPr>
        <w:tab/>
      </w:r>
      <w:r w:rsidRPr="00AD3267">
        <w:rPr>
          <w:rFonts w:ascii="Calibri" w:hAnsi="Calibri"/>
        </w:rPr>
        <w:t>Ustawienie krawężników należy wykonać zgodnie z wymaganiami ST D-08.01.01.</w:t>
      </w:r>
    </w:p>
    <w:p w:rsidR="0069484F" w:rsidRPr="00AD3267" w:rsidRDefault="0069484F" w:rsidP="00ED53FE">
      <w:pPr>
        <w:ind w:left="-851" w:right="-851"/>
        <w:rPr>
          <w:rFonts w:ascii="Calibri" w:hAnsi="Calibri"/>
        </w:rPr>
      </w:pPr>
      <w:r w:rsidRPr="00AD3267">
        <w:rPr>
          <w:rFonts w:ascii="Calibri" w:hAnsi="Calibri"/>
          <w:b/>
        </w:rPr>
        <w:t>5.6.</w:t>
      </w:r>
      <w:r w:rsidRPr="00AD3267">
        <w:rPr>
          <w:rFonts w:ascii="Calibri" w:hAnsi="Calibri"/>
        </w:rPr>
        <w:t xml:space="preserve"> Ułożenie ścieku</w:t>
      </w:r>
    </w:p>
    <w:p w:rsidR="0069484F" w:rsidRPr="00AD3267" w:rsidRDefault="0069484F" w:rsidP="00ED53FE">
      <w:pPr>
        <w:ind w:left="-851" w:right="-851"/>
        <w:rPr>
          <w:rFonts w:ascii="Calibri" w:hAnsi="Calibri"/>
        </w:rPr>
      </w:pPr>
      <w:r w:rsidRPr="00AD3267">
        <w:rPr>
          <w:rFonts w:ascii="Calibri" w:hAnsi="Calibri"/>
        </w:rPr>
        <w:tab/>
      </w:r>
      <w:r w:rsidR="00ED53FE">
        <w:rPr>
          <w:rFonts w:ascii="Calibri" w:hAnsi="Calibri"/>
        </w:rPr>
        <w:tab/>
      </w:r>
      <w:r w:rsidRPr="00AD3267">
        <w:rPr>
          <w:rFonts w:ascii="Calibri" w:hAnsi="Calibri"/>
        </w:rPr>
        <w:t>Przed ułożeniem ścieku należy krawędź jezdni posmarować asfaltową masą zalewową grubości 1÷2 cm.</w:t>
      </w:r>
    </w:p>
    <w:p w:rsidR="0069484F" w:rsidRPr="00AD3267" w:rsidRDefault="0069484F" w:rsidP="00ED53FE">
      <w:pPr>
        <w:ind w:left="-851" w:right="-851"/>
        <w:rPr>
          <w:rFonts w:ascii="Calibri" w:hAnsi="Calibri"/>
        </w:rPr>
      </w:pPr>
      <w:r w:rsidRPr="00AD3267">
        <w:rPr>
          <w:rFonts w:ascii="Calibri" w:hAnsi="Calibri"/>
        </w:rPr>
        <w:tab/>
      </w:r>
      <w:r w:rsidR="00ED53FE">
        <w:rPr>
          <w:rFonts w:ascii="Calibri" w:hAnsi="Calibri"/>
        </w:rPr>
        <w:tab/>
      </w:r>
      <w:r w:rsidRPr="00AD3267">
        <w:rPr>
          <w:rFonts w:ascii="Calibri" w:hAnsi="Calibri"/>
        </w:rPr>
        <w:t>Ściek układa się na uprzednio przygotowanej podsypce cementowo-piaskowej, odpowi</w:t>
      </w:r>
      <w:r>
        <w:rPr>
          <w:rFonts w:ascii="Calibri" w:hAnsi="Calibri"/>
        </w:rPr>
        <w:t>adającej wymaganiom punktu 2.6</w:t>
      </w:r>
      <w:r w:rsidRPr="00AD3267">
        <w:rPr>
          <w:rFonts w:ascii="Calibri" w:hAnsi="Calibri"/>
        </w:rPr>
        <w:t xml:space="preserve">. Jeśli dokumentacja projektowa nie ustala inaczej, to grubość podsypki powinna wynosić po zagęszczeniu 3÷5 cm. Dopuszczalne odchyłki od przyjętej grubości podsypki nie powinny przekraczać ± </w:t>
      </w:r>
      <w:smartTag w:uri="urn:schemas-microsoft-com:office:smarttags" w:element="metricconverter">
        <w:smartTagPr>
          <w:attr w:name="ProductID" w:val="1 cm"/>
        </w:smartTagPr>
        <w:r w:rsidRPr="00AD3267">
          <w:rPr>
            <w:rFonts w:ascii="Calibri" w:hAnsi="Calibri"/>
          </w:rPr>
          <w:t>1 cm</w:t>
        </w:r>
      </w:smartTag>
      <w:r w:rsidRPr="00AD3267">
        <w:rPr>
          <w:rFonts w:ascii="Calibri" w:hAnsi="Calibri"/>
        </w:rPr>
        <w:t>. Podsypkę rozściela się i zagęszcza się zagęszczarkami wibracyjnymi.</w:t>
      </w:r>
    </w:p>
    <w:p w:rsidR="0069484F" w:rsidRPr="00AD3267" w:rsidRDefault="0069484F" w:rsidP="00ED53FE">
      <w:pPr>
        <w:ind w:left="-851" w:right="-851"/>
        <w:rPr>
          <w:rFonts w:ascii="Calibri" w:hAnsi="Calibri"/>
        </w:rPr>
      </w:pPr>
      <w:r w:rsidRPr="00AD3267">
        <w:rPr>
          <w:rFonts w:ascii="Calibri" w:hAnsi="Calibri"/>
        </w:rPr>
        <w:lastRenderedPageBreak/>
        <w:tab/>
      </w:r>
      <w:r w:rsidR="00ED53FE">
        <w:rPr>
          <w:rFonts w:ascii="Calibri" w:hAnsi="Calibri"/>
        </w:rPr>
        <w:tab/>
      </w:r>
      <w:r w:rsidRPr="00AD3267">
        <w:rPr>
          <w:rFonts w:ascii="Calibri" w:hAnsi="Calibri"/>
        </w:rPr>
        <w:t>Ułożenie ścieku z betonowej kostki brukowej na podsypce cementowo-piaskowej zaleca się wykonywać przy temperaturze otoczenia nie niższej niż +5</w:t>
      </w:r>
      <w:r w:rsidRPr="00AD3267">
        <w:rPr>
          <w:rFonts w:ascii="Calibri" w:hAnsi="Calibri"/>
          <w:vertAlign w:val="superscript"/>
        </w:rPr>
        <w:t>o</w:t>
      </w:r>
      <w:r w:rsidRPr="00AD3267">
        <w:rPr>
          <w:rFonts w:ascii="Calibri" w:hAnsi="Calibri"/>
        </w:rPr>
        <w:t>C. Dopuszcza się wykonanie robót jeśli w ciągu dnia temperatura utrzymuje się w granicach od 0</w:t>
      </w:r>
      <w:r w:rsidRPr="00AD3267">
        <w:rPr>
          <w:rFonts w:ascii="Calibri" w:hAnsi="Calibri"/>
          <w:vertAlign w:val="superscript"/>
        </w:rPr>
        <w:t>o</w:t>
      </w:r>
      <w:r w:rsidRPr="00AD3267">
        <w:rPr>
          <w:rFonts w:ascii="Calibri" w:hAnsi="Calibri"/>
        </w:rPr>
        <w:t>C do +5</w:t>
      </w:r>
      <w:r w:rsidRPr="00AD3267">
        <w:rPr>
          <w:rFonts w:ascii="Calibri" w:hAnsi="Calibri"/>
          <w:vertAlign w:val="superscript"/>
        </w:rPr>
        <w:t>o</w:t>
      </w:r>
      <w:r w:rsidRPr="00AD3267">
        <w:rPr>
          <w:rFonts w:ascii="Calibri" w:hAnsi="Calibri"/>
        </w:rPr>
        <w:t>C, przy czym jeśli w nocy spodziewane są przymrozki, kostkę należy zabezpieczyć materiałami o złym przewodnictwie ciepła (np. matami ze słomy, papą itp.).</w:t>
      </w:r>
    </w:p>
    <w:p w:rsidR="0069484F" w:rsidRPr="00AD3267" w:rsidRDefault="0069484F" w:rsidP="00ED53FE">
      <w:pPr>
        <w:ind w:left="-851" w:right="-851"/>
        <w:rPr>
          <w:rFonts w:ascii="Calibri" w:hAnsi="Calibri"/>
        </w:rPr>
      </w:pPr>
      <w:r w:rsidRPr="00AD3267">
        <w:rPr>
          <w:rFonts w:ascii="Calibri" w:hAnsi="Calibri"/>
        </w:rPr>
        <w:tab/>
      </w:r>
      <w:r w:rsidR="00ED53FE">
        <w:rPr>
          <w:rFonts w:ascii="Calibri" w:hAnsi="Calibri"/>
        </w:rPr>
        <w:tab/>
      </w:r>
      <w:r w:rsidRPr="00AD3267">
        <w:rPr>
          <w:rFonts w:ascii="Calibri" w:hAnsi="Calibri"/>
        </w:rPr>
        <w:t xml:space="preserve">Układanie kostek w ścieku powinni wykonywać przyuczeni brukarze. Kostkę układa się około </w:t>
      </w:r>
      <w:smartTag w:uri="urn:schemas-microsoft-com:office:smarttags" w:element="metricconverter">
        <w:smartTagPr>
          <w:attr w:name="ProductID" w:val="1,5 cm"/>
        </w:smartTagPr>
        <w:r w:rsidRPr="00AD3267">
          <w:rPr>
            <w:rFonts w:ascii="Calibri" w:hAnsi="Calibri"/>
          </w:rPr>
          <w:t>1,5 cm</w:t>
        </w:r>
      </w:smartTag>
      <w:r w:rsidRPr="00AD3267">
        <w:rPr>
          <w:rFonts w:ascii="Calibri" w:hAnsi="Calibri"/>
        </w:rPr>
        <w:t xml:space="preserve"> wyżej od projektowanej niwelety, ponieważ po procesie ubijania podsypka zagęszcza się. Ubicie kostek należy przeprowadzić za pomocą zagęszczarki wibracyjnej (płytowej) z osłoną z tworzywa sztucznego. Po ubiciu wszystkie kostki uszkodzone (np. pęknięte) należy wymienić na kostki całe.</w:t>
      </w:r>
    </w:p>
    <w:p w:rsidR="0069484F" w:rsidRPr="00AD3267" w:rsidRDefault="00ED53FE" w:rsidP="00ED53FE">
      <w:pPr>
        <w:ind w:left="-851" w:right="-851"/>
        <w:rPr>
          <w:rFonts w:ascii="Calibri" w:hAnsi="Calibri"/>
        </w:rPr>
      </w:pPr>
      <w:r>
        <w:rPr>
          <w:rFonts w:ascii="Calibri" w:hAnsi="Calibri"/>
        </w:rPr>
        <w:tab/>
      </w:r>
      <w:r>
        <w:rPr>
          <w:rFonts w:ascii="Calibri" w:hAnsi="Calibri"/>
        </w:rPr>
        <w:tab/>
      </w:r>
      <w:r w:rsidR="0069484F" w:rsidRPr="00AD3267">
        <w:rPr>
          <w:rFonts w:ascii="Calibri" w:hAnsi="Calibri"/>
        </w:rPr>
        <w:t xml:space="preserve">Elementy ścieku położone obok urządzeń infrastruktury technicznej (np. kratek ściekowych) powinny trwale wystawać od </w:t>
      </w:r>
      <w:smartTag w:uri="urn:schemas-microsoft-com:office:smarttags" w:element="metricconverter">
        <w:smartTagPr>
          <w:attr w:name="ProductID" w:val="3 mm"/>
        </w:smartTagPr>
        <w:r w:rsidR="0069484F" w:rsidRPr="00AD3267">
          <w:rPr>
            <w:rFonts w:ascii="Calibri" w:hAnsi="Calibri"/>
          </w:rPr>
          <w:t>3 mm</w:t>
        </w:r>
      </w:smartTag>
      <w:r w:rsidR="0069484F" w:rsidRPr="00AD3267">
        <w:rPr>
          <w:rFonts w:ascii="Calibri" w:hAnsi="Calibri"/>
        </w:rPr>
        <w:t xml:space="preserve"> do </w:t>
      </w:r>
      <w:smartTag w:uri="urn:schemas-microsoft-com:office:smarttags" w:element="metricconverter">
        <w:smartTagPr>
          <w:attr w:name="ProductID" w:val="5 mm"/>
        </w:smartTagPr>
        <w:r w:rsidR="0069484F" w:rsidRPr="00AD3267">
          <w:rPr>
            <w:rFonts w:ascii="Calibri" w:hAnsi="Calibri"/>
          </w:rPr>
          <w:t>5 mm</w:t>
        </w:r>
      </w:smartTag>
      <w:r w:rsidR="0069484F" w:rsidRPr="00AD3267">
        <w:rPr>
          <w:rFonts w:ascii="Calibri" w:hAnsi="Calibri"/>
        </w:rPr>
        <w:t xml:space="preserve"> powyżej powierzchni tych urządzeń.</w:t>
      </w:r>
    </w:p>
    <w:p w:rsidR="0069484F" w:rsidRPr="00AD3267" w:rsidRDefault="00ED53FE" w:rsidP="00ED53FE">
      <w:pPr>
        <w:ind w:left="-851" w:right="-851"/>
        <w:rPr>
          <w:rFonts w:ascii="Calibri" w:hAnsi="Calibri"/>
        </w:rPr>
      </w:pPr>
      <w:r>
        <w:rPr>
          <w:rFonts w:ascii="Calibri" w:hAnsi="Calibri"/>
        </w:rPr>
        <w:tab/>
      </w:r>
      <w:r>
        <w:rPr>
          <w:rFonts w:ascii="Calibri" w:hAnsi="Calibri"/>
        </w:rPr>
        <w:tab/>
      </w:r>
      <w:r w:rsidR="0069484F" w:rsidRPr="00AD3267">
        <w:rPr>
          <w:rFonts w:ascii="Calibri" w:hAnsi="Calibri"/>
        </w:rPr>
        <w:t xml:space="preserve">Szerokość spoin pomiędzy betonowymi kostkami brukowymi powinna wynosić od </w:t>
      </w:r>
      <w:smartTag w:uri="urn:schemas-microsoft-com:office:smarttags" w:element="metricconverter">
        <w:smartTagPr>
          <w:attr w:name="ProductID" w:val="3 mm"/>
        </w:smartTagPr>
        <w:r w:rsidR="0069484F" w:rsidRPr="00AD3267">
          <w:rPr>
            <w:rFonts w:ascii="Calibri" w:hAnsi="Calibri"/>
          </w:rPr>
          <w:t>3 mm</w:t>
        </w:r>
      </w:smartTag>
      <w:r w:rsidR="0069484F" w:rsidRPr="00AD3267">
        <w:rPr>
          <w:rFonts w:ascii="Calibri" w:hAnsi="Calibri"/>
        </w:rPr>
        <w:t xml:space="preserve"> do </w:t>
      </w:r>
      <w:smartTag w:uri="urn:schemas-microsoft-com:office:smarttags" w:element="metricconverter">
        <w:smartTagPr>
          <w:attr w:name="ProductID" w:val="5 mm"/>
        </w:smartTagPr>
        <w:r w:rsidR="0069484F" w:rsidRPr="00AD3267">
          <w:rPr>
            <w:rFonts w:ascii="Calibri" w:hAnsi="Calibri"/>
          </w:rPr>
          <w:t>5 mm</w:t>
        </w:r>
      </w:smartTag>
      <w:r w:rsidR="0069484F" w:rsidRPr="00AD3267">
        <w:rPr>
          <w:rFonts w:ascii="Calibri" w:hAnsi="Calibri"/>
        </w:rPr>
        <w:t>. Po ułożeniu kostek spoiny należy wypełnić zaprawą cementowo-piaskową, spe</w:t>
      </w:r>
      <w:r w:rsidR="0069484F">
        <w:rPr>
          <w:rFonts w:ascii="Calibri" w:hAnsi="Calibri"/>
        </w:rPr>
        <w:t>łniającą wymagania punktu 2.6</w:t>
      </w:r>
      <w:r w:rsidR="0069484F" w:rsidRPr="00AD3267">
        <w:rPr>
          <w:rFonts w:ascii="Calibri" w:hAnsi="Calibri"/>
        </w:rPr>
        <w:t>.</w:t>
      </w:r>
    </w:p>
    <w:p w:rsidR="0069484F" w:rsidRPr="00AD3267" w:rsidRDefault="0069484F" w:rsidP="00ED53FE">
      <w:pPr>
        <w:ind w:left="-851" w:right="-851"/>
        <w:rPr>
          <w:rFonts w:ascii="Calibri" w:hAnsi="Calibri"/>
        </w:rPr>
      </w:pPr>
      <w:r w:rsidRPr="00AD3267">
        <w:rPr>
          <w:rFonts w:ascii="Calibri" w:hAnsi="Calibri"/>
        </w:rPr>
        <w:t xml:space="preserve">Szczeliny dylatacyjne szerokości co najmniej </w:t>
      </w:r>
      <w:smartTag w:uri="urn:schemas-microsoft-com:office:smarttags" w:element="metricconverter">
        <w:smartTagPr>
          <w:attr w:name="ProductID" w:val="8 mm"/>
        </w:smartTagPr>
        <w:r w:rsidRPr="00AD3267">
          <w:rPr>
            <w:rFonts w:ascii="Calibri" w:hAnsi="Calibri"/>
          </w:rPr>
          <w:t>8 mm</w:t>
        </w:r>
      </w:smartTag>
      <w:r w:rsidRPr="00AD3267">
        <w:rPr>
          <w:rFonts w:ascii="Calibri" w:hAnsi="Calibri"/>
        </w:rPr>
        <w:t xml:space="preserve"> powinny być wykonane w odległościach zgodnych z dokumentacją projektową lub ST. Szczeliny powinny być wypełnione trwale zalew</w:t>
      </w:r>
      <w:r>
        <w:rPr>
          <w:rFonts w:ascii="Calibri" w:hAnsi="Calibri"/>
        </w:rPr>
        <w:t>ami określonymi w punkcie 2.6</w:t>
      </w:r>
      <w:r w:rsidRPr="00AD3267">
        <w:rPr>
          <w:rFonts w:ascii="Calibri" w:hAnsi="Calibri"/>
        </w:rPr>
        <w:t>.</w:t>
      </w:r>
    </w:p>
    <w:p w:rsidR="0069484F" w:rsidRPr="00AD3267" w:rsidRDefault="00ED53FE" w:rsidP="00ED53FE">
      <w:pPr>
        <w:ind w:left="-851" w:right="-851"/>
        <w:rPr>
          <w:rFonts w:ascii="Calibri" w:hAnsi="Calibri"/>
        </w:rPr>
      </w:pPr>
      <w:r>
        <w:rPr>
          <w:rFonts w:ascii="Calibri" w:hAnsi="Calibri"/>
        </w:rPr>
        <w:tab/>
      </w:r>
      <w:r>
        <w:rPr>
          <w:rFonts w:ascii="Calibri" w:hAnsi="Calibri"/>
        </w:rPr>
        <w:tab/>
      </w:r>
      <w:r w:rsidR="0069484F" w:rsidRPr="00AD3267">
        <w:rPr>
          <w:rFonts w:ascii="Calibri" w:hAnsi="Calibri"/>
        </w:rPr>
        <w:t>Chcąc ograniczyć okres wykonywania robót, można używać cementu o wysokiej wytrzymałości wczesnej do podsypki cementowo-piaskowej i wypełnienia spoin zaprawą cementowo-piaskową.</w:t>
      </w:r>
    </w:p>
    <w:p w:rsidR="0069484F" w:rsidRPr="00AD3267" w:rsidRDefault="0069484F" w:rsidP="00ED53FE">
      <w:pPr>
        <w:ind w:left="-851" w:right="-851"/>
        <w:rPr>
          <w:rFonts w:ascii="Calibri" w:hAnsi="Calibri"/>
        </w:rPr>
      </w:pPr>
      <w:r w:rsidRPr="00AD3267">
        <w:rPr>
          <w:rFonts w:ascii="Calibri" w:hAnsi="Calibri"/>
        </w:rPr>
        <w:t>Po wypełnieniu spoin zaprawą, powierzchnię ścieku należy starannie oczyścić.</w:t>
      </w:r>
    </w:p>
    <w:p w:rsidR="0069484F" w:rsidRPr="00AD3267" w:rsidRDefault="0069484F" w:rsidP="00ED53FE">
      <w:pPr>
        <w:ind w:left="-851" w:right="-851"/>
        <w:rPr>
          <w:rFonts w:ascii="Calibri" w:hAnsi="Calibri"/>
        </w:rPr>
      </w:pPr>
      <w:r w:rsidRPr="00AD3267">
        <w:rPr>
          <w:rFonts w:ascii="Calibri" w:hAnsi="Calibri"/>
          <w:b/>
        </w:rPr>
        <w:t>5.6.</w:t>
      </w:r>
      <w:r w:rsidRPr="00AD3267">
        <w:rPr>
          <w:rFonts w:ascii="Calibri" w:hAnsi="Calibri"/>
        </w:rPr>
        <w:t xml:space="preserve"> Roboty wykończeniowe</w:t>
      </w:r>
    </w:p>
    <w:p w:rsidR="0069484F" w:rsidRPr="00AD3267" w:rsidRDefault="00ED53FE" w:rsidP="00ED53FE">
      <w:pPr>
        <w:ind w:left="-851" w:right="-851"/>
        <w:rPr>
          <w:rFonts w:ascii="Calibri" w:hAnsi="Calibri"/>
        </w:rPr>
      </w:pPr>
      <w:r>
        <w:rPr>
          <w:rFonts w:ascii="Calibri" w:hAnsi="Calibri"/>
        </w:rPr>
        <w:tab/>
      </w:r>
      <w:r>
        <w:rPr>
          <w:rFonts w:ascii="Calibri" w:hAnsi="Calibri"/>
        </w:rPr>
        <w:tab/>
      </w:r>
      <w:r w:rsidR="0069484F" w:rsidRPr="00AD3267">
        <w:rPr>
          <w:rFonts w:ascii="Calibri" w:hAnsi="Calibri"/>
        </w:rPr>
        <w:t>Roboty wykończeniowe powinny być zgodne z dokumentacją projektową. Do robót wykończeniowych należą prace związane z dostosowaniem wykonanych robót do istniejących warunków terenowych, takie jak:</w:t>
      </w:r>
    </w:p>
    <w:p w:rsidR="0069484F" w:rsidRPr="00AD3267" w:rsidRDefault="0069484F" w:rsidP="00ED53FE">
      <w:pPr>
        <w:ind w:left="-851" w:right="-851"/>
        <w:rPr>
          <w:rFonts w:ascii="Calibri" w:hAnsi="Calibri"/>
        </w:rPr>
      </w:pPr>
      <w:r>
        <w:rPr>
          <w:rFonts w:ascii="Calibri" w:hAnsi="Calibri"/>
        </w:rPr>
        <w:t>-</w:t>
      </w:r>
      <w:r w:rsidRPr="00AD3267">
        <w:rPr>
          <w:rFonts w:ascii="Calibri" w:hAnsi="Calibri"/>
        </w:rPr>
        <w:t xml:space="preserve">odtworzenie elementów czasowo usuniętych, </w:t>
      </w:r>
    </w:p>
    <w:p w:rsidR="0069484F" w:rsidRPr="00AD3267" w:rsidRDefault="0069484F" w:rsidP="00ED53FE">
      <w:pPr>
        <w:ind w:left="-851" w:right="-851"/>
        <w:rPr>
          <w:rFonts w:ascii="Calibri" w:hAnsi="Calibri"/>
        </w:rPr>
      </w:pPr>
      <w:r>
        <w:rPr>
          <w:rFonts w:ascii="Calibri" w:hAnsi="Calibri"/>
        </w:rPr>
        <w:t>-</w:t>
      </w:r>
      <w:r w:rsidRPr="00AD3267">
        <w:rPr>
          <w:rFonts w:ascii="Calibri" w:hAnsi="Calibri"/>
        </w:rPr>
        <w:t>roboty porządkujące otoczenie terenu robót.</w:t>
      </w:r>
    </w:p>
    <w:p w:rsidR="0069484F" w:rsidRPr="00AD3267" w:rsidRDefault="0069484F" w:rsidP="00ED53FE">
      <w:pPr>
        <w:ind w:left="-851" w:right="-851"/>
        <w:rPr>
          <w:rFonts w:ascii="Calibri" w:hAnsi="Calibri"/>
        </w:rPr>
      </w:pPr>
    </w:p>
    <w:p w:rsidR="0069484F" w:rsidRPr="00AD3267" w:rsidRDefault="0069484F" w:rsidP="00ED53FE">
      <w:pPr>
        <w:ind w:left="-851" w:right="-851"/>
        <w:rPr>
          <w:rFonts w:ascii="Calibri" w:hAnsi="Calibri"/>
          <w:b/>
        </w:rPr>
      </w:pPr>
      <w:r w:rsidRPr="00AD3267">
        <w:rPr>
          <w:rFonts w:ascii="Calibri" w:hAnsi="Calibri"/>
          <w:b/>
        </w:rPr>
        <w:t>6. KONTROLA JAKOŚCI ROBÓT</w:t>
      </w:r>
    </w:p>
    <w:p w:rsidR="0069484F" w:rsidRPr="00AD3267" w:rsidRDefault="0069484F" w:rsidP="00ED53FE">
      <w:pPr>
        <w:ind w:left="-851" w:right="-851"/>
        <w:rPr>
          <w:rFonts w:ascii="Calibri" w:hAnsi="Calibri"/>
        </w:rPr>
      </w:pPr>
      <w:r w:rsidRPr="00AD3267">
        <w:rPr>
          <w:rFonts w:ascii="Calibri" w:hAnsi="Calibri"/>
          <w:b/>
        </w:rPr>
        <w:t>6.1.</w:t>
      </w:r>
      <w:r w:rsidRPr="00AD3267">
        <w:rPr>
          <w:rFonts w:ascii="Calibri" w:hAnsi="Calibri"/>
        </w:rPr>
        <w:t xml:space="preserve"> Ogólne zasady kontroli jakości robót</w:t>
      </w:r>
    </w:p>
    <w:p w:rsidR="0069484F" w:rsidRPr="00AD3267" w:rsidRDefault="0069484F" w:rsidP="00ED53FE">
      <w:pPr>
        <w:ind w:left="-851" w:right="-851"/>
        <w:rPr>
          <w:rFonts w:ascii="Calibri" w:hAnsi="Calibri"/>
        </w:rPr>
      </w:pPr>
      <w:r w:rsidRPr="00AD3267">
        <w:rPr>
          <w:rFonts w:ascii="Calibri" w:hAnsi="Calibri"/>
        </w:rPr>
        <w:tab/>
      </w:r>
      <w:r w:rsidR="00ED53FE">
        <w:rPr>
          <w:rFonts w:ascii="Calibri" w:hAnsi="Calibri"/>
        </w:rPr>
        <w:tab/>
      </w:r>
      <w:r w:rsidRPr="00AD3267">
        <w:rPr>
          <w:rFonts w:ascii="Calibri" w:hAnsi="Calibri"/>
        </w:rPr>
        <w:t>Ogólne zasady kontroli jakości robót podano w ST D-M-00.00.00 „Wymagania ogólne” pkt 6.</w:t>
      </w:r>
    </w:p>
    <w:p w:rsidR="0069484F" w:rsidRPr="00AD3267" w:rsidRDefault="0069484F" w:rsidP="00ED53FE">
      <w:pPr>
        <w:ind w:left="-851" w:right="-851"/>
        <w:rPr>
          <w:rFonts w:ascii="Calibri" w:hAnsi="Calibri"/>
        </w:rPr>
      </w:pPr>
      <w:r w:rsidRPr="00AD3267">
        <w:rPr>
          <w:rFonts w:ascii="Calibri" w:hAnsi="Calibri"/>
          <w:b/>
        </w:rPr>
        <w:t>6.2.</w:t>
      </w:r>
      <w:r w:rsidRPr="00AD3267">
        <w:rPr>
          <w:rFonts w:ascii="Calibri" w:hAnsi="Calibri"/>
        </w:rPr>
        <w:t xml:space="preserve"> Badania przed przystąpieniem do robót</w:t>
      </w:r>
    </w:p>
    <w:p w:rsidR="0069484F" w:rsidRPr="00AD3267" w:rsidRDefault="0069484F" w:rsidP="00ED53FE">
      <w:pPr>
        <w:ind w:left="-851" w:right="-851"/>
        <w:rPr>
          <w:rFonts w:ascii="Calibri" w:hAnsi="Calibri"/>
        </w:rPr>
      </w:pPr>
      <w:r w:rsidRPr="00AD3267">
        <w:rPr>
          <w:rFonts w:ascii="Calibri" w:hAnsi="Calibri"/>
        </w:rPr>
        <w:tab/>
      </w:r>
      <w:r w:rsidR="00ED53FE">
        <w:rPr>
          <w:rFonts w:ascii="Calibri" w:hAnsi="Calibri"/>
        </w:rPr>
        <w:tab/>
      </w:r>
      <w:r w:rsidRPr="00AD3267">
        <w:rPr>
          <w:rFonts w:ascii="Calibri" w:hAnsi="Calibri"/>
        </w:rPr>
        <w:t>Przed przystąpieniem do robót Wykonawca powinien:</w:t>
      </w:r>
    </w:p>
    <w:p w:rsidR="0069484F" w:rsidRPr="00AD3267" w:rsidRDefault="0069484F" w:rsidP="00ED53FE">
      <w:pPr>
        <w:ind w:left="-851" w:right="-851"/>
        <w:rPr>
          <w:rFonts w:ascii="Calibri" w:hAnsi="Calibri"/>
        </w:rPr>
      </w:pPr>
      <w:r>
        <w:rPr>
          <w:rFonts w:ascii="Calibri" w:hAnsi="Calibri"/>
        </w:rPr>
        <w:t>-</w:t>
      </w:r>
      <w:r w:rsidRPr="00AD3267">
        <w:rPr>
          <w:rFonts w:ascii="Calibri" w:hAnsi="Calibri"/>
        </w:rPr>
        <w:t>uzyskać wymagane dokumenty, dopuszczające wyroby budowlane do obrotu i powszechnego stosowania (np. stwierdzenie o oznakowaniu materiału znakiem CE lub znakiem budowlanym B, certyfikat zgodności, deklarację zgodności, aprobatę techniczną, ew. badania materiałów wykonane przez dostawców itp.),</w:t>
      </w:r>
    </w:p>
    <w:p w:rsidR="0069484F" w:rsidRPr="00AD3267" w:rsidRDefault="0069484F" w:rsidP="00ED53FE">
      <w:pPr>
        <w:ind w:left="-851" w:right="-851"/>
        <w:rPr>
          <w:rFonts w:ascii="Calibri" w:hAnsi="Calibri"/>
        </w:rPr>
      </w:pPr>
      <w:r>
        <w:rPr>
          <w:rFonts w:ascii="Calibri" w:hAnsi="Calibri"/>
        </w:rPr>
        <w:t>-</w:t>
      </w:r>
      <w:r w:rsidRPr="00AD3267">
        <w:rPr>
          <w:rFonts w:ascii="Calibri" w:hAnsi="Calibri"/>
        </w:rPr>
        <w:t>ew. wykonać własne badania właściwości materiałów przeznaczonych do wykonania robót, określone przez Inżyniera,</w:t>
      </w:r>
    </w:p>
    <w:p w:rsidR="0069484F" w:rsidRPr="00AD3267" w:rsidRDefault="0069484F" w:rsidP="00ED53FE">
      <w:pPr>
        <w:ind w:left="-851" w:right="-851"/>
        <w:rPr>
          <w:rFonts w:ascii="Calibri" w:hAnsi="Calibri"/>
        </w:rPr>
      </w:pPr>
      <w:r>
        <w:rPr>
          <w:rFonts w:ascii="Calibri" w:hAnsi="Calibri"/>
        </w:rPr>
        <w:t>-</w:t>
      </w:r>
      <w:r w:rsidRPr="00AD3267">
        <w:rPr>
          <w:rFonts w:ascii="Calibri" w:hAnsi="Calibri"/>
        </w:rPr>
        <w:t>sprawdzić cechy zewnętrzne gotowych materiałów prefabrykowanych.</w:t>
      </w:r>
    </w:p>
    <w:p w:rsidR="0069484F" w:rsidRPr="00AD3267" w:rsidRDefault="0069484F" w:rsidP="00ED53FE">
      <w:pPr>
        <w:ind w:left="-851" w:right="-851"/>
        <w:rPr>
          <w:rFonts w:ascii="Calibri" w:hAnsi="Calibri"/>
        </w:rPr>
      </w:pPr>
      <w:r w:rsidRPr="00AD3267">
        <w:rPr>
          <w:rFonts w:ascii="Calibri" w:hAnsi="Calibri"/>
        </w:rPr>
        <w:tab/>
      </w:r>
      <w:r w:rsidR="00ED53FE">
        <w:rPr>
          <w:rFonts w:ascii="Calibri" w:hAnsi="Calibri"/>
        </w:rPr>
        <w:tab/>
      </w:r>
      <w:r w:rsidRPr="00AD3267">
        <w:rPr>
          <w:rFonts w:ascii="Calibri" w:hAnsi="Calibri"/>
        </w:rPr>
        <w:t>Wszystkie dokumenty oraz wyniki badań Wykonawca przedstawia Inżynierowi do akceptacji.</w:t>
      </w:r>
    </w:p>
    <w:p w:rsidR="0069484F" w:rsidRPr="00AD3267" w:rsidRDefault="0069484F" w:rsidP="00ED53FE">
      <w:pPr>
        <w:ind w:left="-851" w:right="-851"/>
        <w:rPr>
          <w:rFonts w:ascii="Calibri" w:hAnsi="Calibri"/>
        </w:rPr>
      </w:pPr>
      <w:r w:rsidRPr="00AD3267">
        <w:rPr>
          <w:rFonts w:ascii="Calibri" w:hAnsi="Calibri"/>
          <w:b/>
        </w:rPr>
        <w:t>6.3.</w:t>
      </w:r>
      <w:r w:rsidRPr="00AD3267">
        <w:rPr>
          <w:rFonts w:ascii="Calibri" w:hAnsi="Calibri"/>
        </w:rPr>
        <w:t xml:space="preserve"> Badania w czasie robót</w:t>
      </w:r>
    </w:p>
    <w:p w:rsidR="0069484F" w:rsidRPr="00AD3267" w:rsidRDefault="0069484F" w:rsidP="00ED53FE">
      <w:pPr>
        <w:ind w:left="-851" w:right="-851"/>
        <w:rPr>
          <w:rFonts w:ascii="Calibri" w:hAnsi="Calibri"/>
        </w:rPr>
      </w:pPr>
      <w:r w:rsidRPr="00AD3267">
        <w:rPr>
          <w:rFonts w:ascii="Calibri" w:hAnsi="Calibri"/>
        </w:rPr>
        <w:t>Częstotliwość oraz zakres badań i pomiarów, które należy wykonać w czasie robót podaje tablica 4.</w:t>
      </w:r>
    </w:p>
    <w:p w:rsidR="0069484F" w:rsidRPr="00AD3267" w:rsidRDefault="0069484F" w:rsidP="00ED53FE">
      <w:pPr>
        <w:ind w:left="-851" w:right="-851"/>
        <w:rPr>
          <w:rFonts w:ascii="Calibri" w:hAnsi="Calibri"/>
        </w:rPr>
      </w:pPr>
    </w:p>
    <w:p w:rsidR="0069484F" w:rsidRPr="00AD3267" w:rsidRDefault="0069484F" w:rsidP="0069484F">
      <w:pPr>
        <w:rPr>
          <w:rFonts w:ascii="Calibri" w:hAnsi="Calibri"/>
        </w:rPr>
      </w:pPr>
      <w:r w:rsidRPr="00AD3267">
        <w:rPr>
          <w:rFonts w:ascii="Calibri" w:hAnsi="Calibri"/>
        </w:rPr>
        <w:t>Tablica 4. Częstotliwość oraz zakres badań i pomiarów w czasie robót</w:t>
      </w:r>
    </w:p>
    <w:tbl>
      <w:tblPr>
        <w:tblW w:w="7441" w:type="dxa"/>
        <w:tblInd w:w="70" w:type="dxa"/>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ayout w:type="fixed"/>
        <w:tblCellMar>
          <w:left w:w="70" w:type="dxa"/>
          <w:right w:w="70" w:type="dxa"/>
        </w:tblCellMar>
        <w:tblLook w:val="0000"/>
      </w:tblPr>
      <w:tblGrid>
        <w:gridCol w:w="496"/>
        <w:gridCol w:w="3260"/>
        <w:gridCol w:w="1417"/>
        <w:gridCol w:w="2268"/>
      </w:tblGrid>
      <w:tr w:rsidR="0069484F" w:rsidRPr="00AD3267" w:rsidTr="00ED53FE">
        <w:tblPrEx>
          <w:tblCellMar>
            <w:top w:w="0" w:type="dxa"/>
            <w:bottom w:w="0" w:type="dxa"/>
          </w:tblCellMar>
        </w:tblPrEx>
        <w:tc>
          <w:tcPr>
            <w:tcW w:w="496" w:type="dxa"/>
            <w:tcBorders>
              <w:bottom w:val="single" w:sz="4" w:space="0" w:color="auto"/>
            </w:tcBorders>
          </w:tcPr>
          <w:p w:rsidR="0069484F" w:rsidRPr="00AD3267" w:rsidRDefault="0069484F" w:rsidP="00ED53FE">
            <w:pPr>
              <w:jc w:val="center"/>
              <w:rPr>
                <w:rFonts w:ascii="Calibri" w:hAnsi="Calibri"/>
                <w:b/>
                <w:sz w:val="18"/>
                <w:szCs w:val="18"/>
              </w:rPr>
            </w:pPr>
            <w:r w:rsidRPr="00AD3267">
              <w:rPr>
                <w:rFonts w:ascii="Calibri" w:hAnsi="Calibri"/>
                <w:b/>
                <w:sz w:val="18"/>
                <w:szCs w:val="18"/>
              </w:rPr>
              <w:t>Lp.</w:t>
            </w:r>
          </w:p>
        </w:tc>
        <w:tc>
          <w:tcPr>
            <w:tcW w:w="3260" w:type="dxa"/>
            <w:tcBorders>
              <w:bottom w:val="single" w:sz="4" w:space="0" w:color="auto"/>
            </w:tcBorders>
          </w:tcPr>
          <w:p w:rsidR="0069484F" w:rsidRPr="00AD3267" w:rsidRDefault="0069484F" w:rsidP="00ED53FE">
            <w:pPr>
              <w:jc w:val="center"/>
              <w:rPr>
                <w:rFonts w:ascii="Calibri" w:hAnsi="Calibri"/>
                <w:b/>
                <w:sz w:val="18"/>
                <w:szCs w:val="18"/>
              </w:rPr>
            </w:pPr>
            <w:r w:rsidRPr="00AD3267">
              <w:rPr>
                <w:rFonts w:ascii="Calibri" w:hAnsi="Calibri"/>
                <w:b/>
                <w:sz w:val="18"/>
                <w:szCs w:val="18"/>
              </w:rPr>
              <w:t>Wyszczególnienie badań i pomiarów</w:t>
            </w:r>
          </w:p>
        </w:tc>
        <w:tc>
          <w:tcPr>
            <w:tcW w:w="1417" w:type="dxa"/>
            <w:tcBorders>
              <w:bottom w:val="single" w:sz="4" w:space="0" w:color="auto"/>
            </w:tcBorders>
          </w:tcPr>
          <w:p w:rsidR="0069484F" w:rsidRPr="00AD3267" w:rsidRDefault="0069484F" w:rsidP="00ED53FE">
            <w:pPr>
              <w:jc w:val="center"/>
              <w:rPr>
                <w:rFonts w:ascii="Calibri" w:hAnsi="Calibri"/>
                <w:b/>
                <w:sz w:val="18"/>
                <w:szCs w:val="18"/>
              </w:rPr>
            </w:pPr>
            <w:r w:rsidRPr="00AD3267">
              <w:rPr>
                <w:rFonts w:ascii="Calibri" w:hAnsi="Calibri"/>
                <w:b/>
                <w:sz w:val="18"/>
                <w:szCs w:val="18"/>
              </w:rPr>
              <w:t>Częstotliwość badań</w:t>
            </w:r>
          </w:p>
        </w:tc>
        <w:tc>
          <w:tcPr>
            <w:tcW w:w="2268" w:type="dxa"/>
            <w:tcBorders>
              <w:bottom w:val="single" w:sz="4" w:space="0" w:color="auto"/>
            </w:tcBorders>
          </w:tcPr>
          <w:p w:rsidR="0069484F" w:rsidRPr="00AD3267" w:rsidRDefault="0069484F" w:rsidP="00ED53FE">
            <w:pPr>
              <w:jc w:val="center"/>
              <w:rPr>
                <w:rFonts w:ascii="Calibri" w:hAnsi="Calibri"/>
                <w:b/>
                <w:sz w:val="18"/>
                <w:szCs w:val="18"/>
              </w:rPr>
            </w:pPr>
            <w:r w:rsidRPr="00AD3267">
              <w:rPr>
                <w:rFonts w:ascii="Calibri" w:hAnsi="Calibri"/>
                <w:b/>
                <w:sz w:val="18"/>
                <w:szCs w:val="18"/>
              </w:rPr>
              <w:t>Wartości dopuszczalne</w:t>
            </w:r>
          </w:p>
        </w:tc>
      </w:tr>
      <w:tr w:rsidR="0069484F" w:rsidRPr="00AD3267" w:rsidTr="00ED53FE">
        <w:tblPrEx>
          <w:tblCellMar>
            <w:top w:w="0" w:type="dxa"/>
            <w:bottom w:w="0" w:type="dxa"/>
          </w:tblCellMar>
        </w:tblPrEx>
        <w:tc>
          <w:tcPr>
            <w:tcW w:w="496" w:type="dxa"/>
            <w:tcBorders>
              <w:top w:val="single" w:sz="4" w:space="0" w:color="auto"/>
            </w:tcBorders>
          </w:tcPr>
          <w:p w:rsidR="0069484F" w:rsidRPr="00AD3267" w:rsidRDefault="0069484F" w:rsidP="00ED53FE">
            <w:pPr>
              <w:jc w:val="center"/>
              <w:rPr>
                <w:rFonts w:ascii="Calibri" w:hAnsi="Calibri"/>
                <w:sz w:val="18"/>
                <w:szCs w:val="18"/>
              </w:rPr>
            </w:pPr>
            <w:r w:rsidRPr="00AD3267">
              <w:rPr>
                <w:rFonts w:ascii="Calibri" w:hAnsi="Calibri"/>
                <w:sz w:val="18"/>
                <w:szCs w:val="18"/>
              </w:rPr>
              <w:t>1</w:t>
            </w:r>
          </w:p>
        </w:tc>
        <w:tc>
          <w:tcPr>
            <w:tcW w:w="3260" w:type="dxa"/>
            <w:tcBorders>
              <w:top w:val="single" w:sz="4" w:space="0" w:color="auto"/>
            </w:tcBorders>
          </w:tcPr>
          <w:p w:rsidR="0069484F" w:rsidRPr="00AD3267" w:rsidRDefault="0069484F" w:rsidP="00ED53FE">
            <w:pPr>
              <w:jc w:val="center"/>
              <w:rPr>
                <w:rFonts w:ascii="Calibri" w:hAnsi="Calibri"/>
                <w:sz w:val="18"/>
                <w:szCs w:val="18"/>
              </w:rPr>
            </w:pPr>
            <w:r w:rsidRPr="00AD3267">
              <w:rPr>
                <w:rFonts w:ascii="Calibri" w:hAnsi="Calibri"/>
                <w:sz w:val="18"/>
                <w:szCs w:val="18"/>
              </w:rPr>
              <w:t>Lokalizacja i zgodność granic terenu robót z dokumentacją projektową</w:t>
            </w:r>
          </w:p>
        </w:tc>
        <w:tc>
          <w:tcPr>
            <w:tcW w:w="1417" w:type="dxa"/>
            <w:tcBorders>
              <w:top w:val="single" w:sz="4" w:space="0" w:color="auto"/>
            </w:tcBorders>
          </w:tcPr>
          <w:p w:rsidR="0069484F" w:rsidRPr="00AD3267" w:rsidRDefault="0069484F" w:rsidP="00ED53FE">
            <w:pPr>
              <w:jc w:val="center"/>
              <w:rPr>
                <w:rFonts w:ascii="Calibri" w:hAnsi="Calibri"/>
                <w:sz w:val="18"/>
                <w:szCs w:val="18"/>
              </w:rPr>
            </w:pPr>
            <w:r w:rsidRPr="00AD3267">
              <w:rPr>
                <w:rFonts w:ascii="Calibri" w:hAnsi="Calibri"/>
                <w:sz w:val="18"/>
                <w:szCs w:val="18"/>
              </w:rPr>
              <w:t>1 raz</w:t>
            </w:r>
          </w:p>
        </w:tc>
        <w:tc>
          <w:tcPr>
            <w:tcW w:w="2268" w:type="dxa"/>
            <w:tcBorders>
              <w:top w:val="single" w:sz="4" w:space="0" w:color="auto"/>
            </w:tcBorders>
          </w:tcPr>
          <w:p w:rsidR="0069484F" w:rsidRPr="00AD3267" w:rsidRDefault="0069484F" w:rsidP="00ED53FE">
            <w:pPr>
              <w:jc w:val="center"/>
              <w:rPr>
                <w:rFonts w:ascii="Calibri" w:hAnsi="Calibri"/>
                <w:sz w:val="18"/>
                <w:szCs w:val="18"/>
              </w:rPr>
            </w:pPr>
            <w:r w:rsidRPr="00AD3267">
              <w:rPr>
                <w:rFonts w:ascii="Calibri" w:hAnsi="Calibri"/>
                <w:sz w:val="18"/>
                <w:szCs w:val="18"/>
              </w:rPr>
              <w:t>Wg pktu 5 i dokumentacji projektowej</w:t>
            </w:r>
          </w:p>
        </w:tc>
      </w:tr>
      <w:tr w:rsidR="0069484F" w:rsidRPr="00AD3267" w:rsidTr="00ED53FE">
        <w:tblPrEx>
          <w:tblCellMar>
            <w:top w:w="0" w:type="dxa"/>
            <w:bottom w:w="0" w:type="dxa"/>
          </w:tblCellMar>
        </w:tblPrEx>
        <w:tc>
          <w:tcPr>
            <w:tcW w:w="496" w:type="dxa"/>
          </w:tcPr>
          <w:p w:rsidR="0069484F" w:rsidRPr="00AD3267" w:rsidRDefault="0069484F" w:rsidP="00ED53FE">
            <w:pPr>
              <w:jc w:val="center"/>
              <w:rPr>
                <w:rFonts w:ascii="Calibri" w:hAnsi="Calibri"/>
                <w:sz w:val="18"/>
                <w:szCs w:val="18"/>
              </w:rPr>
            </w:pPr>
            <w:r w:rsidRPr="00AD3267">
              <w:rPr>
                <w:rFonts w:ascii="Calibri" w:hAnsi="Calibri"/>
                <w:sz w:val="18"/>
                <w:szCs w:val="18"/>
              </w:rPr>
              <w:t>2</w:t>
            </w:r>
          </w:p>
        </w:tc>
        <w:tc>
          <w:tcPr>
            <w:tcW w:w="3260" w:type="dxa"/>
          </w:tcPr>
          <w:p w:rsidR="0069484F" w:rsidRPr="00AD3267" w:rsidRDefault="0069484F" w:rsidP="00ED53FE">
            <w:pPr>
              <w:jc w:val="center"/>
              <w:rPr>
                <w:rFonts w:ascii="Calibri" w:hAnsi="Calibri"/>
                <w:sz w:val="18"/>
                <w:szCs w:val="18"/>
              </w:rPr>
            </w:pPr>
            <w:r w:rsidRPr="00AD3267">
              <w:rPr>
                <w:rFonts w:ascii="Calibri" w:hAnsi="Calibri"/>
                <w:sz w:val="18"/>
                <w:szCs w:val="18"/>
              </w:rPr>
              <w:t>Roboty przygotowawcze</w:t>
            </w:r>
          </w:p>
        </w:tc>
        <w:tc>
          <w:tcPr>
            <w:tcW w:w="1417" w:type="dxa"/>
          </w:tcPr>
          <w:p w:rsidR="0069484F" w:rsidRPr="00AD3267" w:rsidRDefault="0069484F" w:rsidP="00ED53FE">
            <w:pPr>
              <w:jc w:val="center"/>
              <w:rPr>
                <w:rFonts w:ascii="Calibri" w:hAnsi="Calibri"/>
                <w:sz w:val="18"/>
                <w:szCs w:val="18"/>
              </w:rPr>
            </w:pPr>
            <w:r w:rsidRPr="00AD3267">
              <w:rPr>
                <w:rFonts w:ascii="Calibri" w:hAnsi="Calibri"/>
                <w:sz w:val="18"/>
                <w:szCs w:val="18"/>
              </w:rPr>
              <w:t>1 raz</w:t>
            </w:r>
          </w:p>
        </w:tc>
        <w:tc>
          <w:tcPr>
            <w:tcW w:w="2268" w:type="dxa"/>
          </w:tcPr>
          <w:p w:rsidR="0069484F" w:rsidRPr="00AD3267" w:rsidRDefault="0069484F" w:rsidP="00ED53FE">
            <w:pPr>
              <w:jc w:val="center"/>
              <w:rPr>
                <w:rFonts w:ascii="Calibri" w:hAnsi="Calibri"/>
                <w:sz w:val="18"/>
                <w:szCs w:val="18"/>
              </w:rPr>
            </w:pPr>
            <w:r w:rsidRPr="00AD3267">
              <w:rPr>
                <w:rFonts w:ascii="Calibri" w:hAnsi="Calibri"/>
                <w:sz w:val="18"/>
                <w:szCs w:val="18"/>
              </w:rPr>
              <w:t>Wg pktu 5.3</w:t>
            </w:r>
          </w:p>
        </w:tc>
      </w:tr>
      <w:tr w:rsidR="0069484F" w:rsidRPr="00AD3267" w:rsidTr="00ED53FE">
        <w:tblPrEx>
          <w:tblCellMar>
            <w:top w:w="0" w:type="dxa"/>
            <w:bottom w:w="0" w:type="dxa"/>
          </w:tblCellMar>
        </w:tblPrEx>
        <w:tc>
          <w:tcPr>
            <w:tcW w:w="496" w:type="dxa"/>
          </w:tcPr>
          <w:p w:rsidR="0069484F" w:rsidRPr="00AD3267" w:rsidRDefault="0069484F" w:rsidP="00ED53FE">
            <w:pPr>
              <w:jc w:val="center"/>
              <w:rPr>
                <w:rFonts w:ascii="Calibri" w:hAnsi="Calibri"/>
                <w:sz w:val="18"/>
                <w:szCs w:val="18"/>
              </w:rPr>
            </w:pPr>
            <w:r w:rsidRPr="00AD3267">
              <w:rPr>
                <w:rFonts w:ascii="Calibri" w:hAnsi="Calibri"/>
                <w:sz w:val="18"/>
                <w:szCs w:val="18"/>
              </w:rPr>
              <w:t>3</w:t>
            </w:r>
          </w:p>
        </w:tc>
        <w:tc>
          <w:tcPr>
            <w:tcW w:w="3260" w:type="dxa"/>
          </w:tcPr>
          <w:p w:rsidR="0069484F" w:rsidRPr="00AD3267" w:rsidRDefault="0069484F" w:rsidP="00ED53FE">
            <w:pPr>
              <w:jc w:val="center"/>
              <w:rPr>
                <w:rFonts w:ascii="Calibri" w:hAnsi="Calibri"/>
                <w:sz w:val="18"/>
                <w:szCs w:val="18"/>
              </w:rPr>
            </w:pPr>
            <w:r w:rsidRPr="00AD3267">
              <w:rPr>
                <w:rFonts w:ascii="Calibri" w:hAnsi="Calibri"/>
                <w:sz w:val="18"/>
                <w:szCs w:val="18"/>
              </w:rPr>
              <w:t>Wykonanie ławy betonowej</w:t>
            </w:r>
          </w:p>
        </w:tc>
        <w:tc>
          <w:tcPr>
            <w:tcW w:w="1417" w:type="dxa"/>
          </w:tcPr>
          <w:p w:rsidR="0069484F" w:rsidRPr="00AD3267" w:rsidRDefault="0069484F" w:rsidP="00ED53FE">
            <w:pPr>
              <w:jc w:val="center"/>
              <w:rPr>
                <w:rFonts w:ascii="Calibri" w:hAnsi="Calibri"/>
                <w:sz w:val="18"/>
                <w:szCs w:val="18"/>
              </w:rPr>
            </w:pPr>
            <w:r w:rsidRPr="00AD3267">
              <w:rPr>
                <w:rFonts w:ascii="Calibri" w:hAnsi="Calibri"/>
                <w:sz w:val="18"/>
                <w:szCs w:val="18"/>
              </w:rPr>
              <w:t>Ocena ciągła</w:t>
            </w:r>
          </w:p>
        </w:tc>
        <w:tc>
          <w:tcPr>
            <w:tcW w:w="2268" w:type="dxa"/>
          </w:tcPr>
          <w:p w:rsidR="0069484F" w:rsidRPr="00AD3267" w:rsidRDefault="0069484F" w:rsidP="00ED53FE">
            <w:pPr>
              <w:jc w:val="center"/>
              <w:rPr>
                <w:rFonts w:ascii="Calibri" w:hAnsi="Calibri"/>
                <w:sz w:val="18"/>
                <w:szCs w:val="18"/>
              </w:rPr>
            </w:pPr>
            <w:r w:rsidRPr="00AD3267">
              <w:rPr>
                <w:rFonts w:ascii="Calibri" w:hAnsi="Calibri"/>
                <w:sz w:val="18"/>
                <w:szCs w:val="18"/>
              </w:rPr>
              <w:t>Wg pktu 5.4</w:t>
            </w:r>
          </w:p>
        </w:tc>
      </w:tr>
      <w:tr w:rsidR="0069484F" w:rsidRPr="00AD3267" w:rsidTr="00ED53FE">
        <w:tblPrEx>
          <w:tblCellMar>
            <w:top w:w="0" w:type="dxa"/>
            <w:bottom w:w="0" w:type="dxa"/>
          </w:tblCellMar>
        </w:tblPrEx>
        <w:tc>
          <w:tcPr>
            <w:tcW w:w="496" w:type="dxa"/>
          </w:tcPr>
          <w:p w:rsidR="0069484F" w:rsidRPr="00AD3267" w:rsidRDefault="0069484F" w:rsidP="00ED53FE">
            <w:pPr>
              <w:jc w:val="center"/>
              <w:rPr>
                <w:rFonts w:ascii="Calibri" w:hAnsi="Calibri"/>
                <w:sz w:val="18"/>
                <w:szCs w:val="18"/>
              </w:rPr>
            </w:pPr>
            <w:r w:rsidRPr="00AD3267">
              <w:rPr>
                <w:rFonts w:ascii="Calibri" w:hAnsi="Calibri"/>
                <w:sz w:val="18"/>
                <w:szCs w:val="18"/>
              </w:rPr>
              <w:t>4</w:t>
            </w:r>
          </w:p>
        </w:tc>
        <w:tc>
          <w:tcPr>
            <w:tcW w:w="3260" w:type="dxa"/>
          </w:tcPr>
          <w:p w:rsidR="0069484F" w:rsidRPr="00AD3267" w:rsidRDefault="0069484F" w:rsidP="00ED53FE">
            <w:pPr>
              <w:jc w:val="center"/>
              <w:rPr>
                <w:rFonts w:ascii="Calibri" w:hAnsi="Calibri"/>
                <w:sz w:val="18"/>
                <w:szCs w:val="18"/>
              </w:rPr>
            </w:pPr>
            <w:r w:rsidRPr="00AD3267">
              <w:rPr>
                <w:rFonts w:ascii="Calibri" w:hAnsi="Calibri"/>
                <w:sz w:val="18"/>
                <w:szCs w:val="18"/>
              </w:rPr>
              <w:t>Ustawienie krawężników</w:t>
            </w:r>
          </w:p>
        </w:tc>
        <w:tc>
          <w:tcPr>
            <w:tcW w:w="1417" w:type="dxa"/>
          </w:tcPr>
          <w:p w:rsidR="0069484F" w:rsidRPr="00AD3267" w:rsidRDefault="0069484F" w:rsidP="00ED53FE">
            <w:pPr>
              <w:jc w:val="center"/>
              <w:rPr>
                <w:rFonts w:ascii="Calibri" w:hAnsi="Calibri"/>
                <w:sz w:val="18"/>
                <w:szCs w:val="18"/>
              </w:rPr>
            </w:pPr>
            <w:r w:rsidRPr="00AD3267">
              <w:rPr>
                <w:rFonts w:ascii="Calibri" w:hAnsi="Calibri"/>
                <w:sz w:val="18"/>
                <w:szCs w:val="18"/>
              </w:rPr>
              <w:t>Jw.</w:t>
            </w:r>
          </w:p>
        </w:tc>
        <w:tc>
          <w:tcPr>
            <w:tcW w:w="2268" w:type="dxa"/>
          </w:tcPr>
          <w:p w:rsidR="0069484F" w:rsidRPr="00AD3267" w:rsidRDefault="0069484F" w:rsidP="00ED53FE">
            <w:pPr>
              <w:jc w:val="center"/>
              <w:rPr>
                <w:rFonts w:ascii="Calibri" w:hAnsi="Calibri"/>
                <w:sz w:val="18"/>
                <w:szCs w:val="18"/>
              </w:rPr>
            </w:pPr>
            <w:r w:rsidRPr="00AD3267">
              <w:rPr>
                <w:rFonts w:ascii="Calibri" w:hAnsi="Calibri"/>
                <w:sz w:val="18"/>
                <w:szCs w:val="18"/>
              </w:rPr>
              <w:t>Wg pktu 5.5</w:t>
            </w:r>
          </w:p>
        </w:tc>
      </w:tr>
      <w:tr w:rsidR="0069484F" w:rsidRPr="00AD3267" w:rsidTr="00ED53FE">
        <w:tblPrEx>
          <w:tblCellMar>
            <w:top w:w="0" w:type="dxa"/>
            <w:bottom w:w="0" w:type="dxa"/>
          </w:tblCellMar>
        </w:tblPrEx>
        <w:tc>
          <w:tcPr>
            <w:tcW w:w="496" w:type="dxa"/>
          </w:tcPr>
          <w:p w:rsidR="0069484F" w:rsidRPr="00AD3267" w:rsidRDefault="0069484F" w:rsidP="00ED53FE">
            <w:pPr>
              <w:jc w:val="center"/>
              <w:rPr>
                <w:rFonts w:ascii="Calibri" w:hAnsi="Calibri"/>
                <w:sz w:val="18"/>
                <w:szCs w:val="18"/>
              </w:rPr>
            </w:pPr>
            <w:r w:rsidRPr="00AD3267">
              <w:rPr>
                <w:rFonts w:ascii="Calibri" w:hAnsi="Calibri"/>
                <w:sz w:val="18"/>
                <w:szCs w:val="18"/>
              </w:rPr>
              <w:t>5</w:t>
            </w:r>
          </w:p>
        </w:tc>
        <w:tc>
          <w:tcPr>
            <w:tcW w:w="3260" w:type="dxa"/>
          </w:tcPr>
          <w:p w:rsidR="0069484F" w:rsidRPr="00AD3267" w:rsidRDefault="0069484F" w:rsidP="00ED53FE">
            <w:pPr>
              <w:jc w:val="center"/>
              <w:rPr>
                <w:rFonts w:ascii="Calibri" w:hAnsi="Calibri"/>
                <w:sz w:val="18"/>
                <w:szCs w:val="18"/>
              </w:rPr>
            </w:pPr>
            <w:r w:rsidRPr="00AD3267">
              <w:rPr>
                <w:rFonts w:ascii="Calibri" w:hAnsi="Calibri"/>
                <w:sz w:val="18"/>
                <w:szCs w:val="18"/>
              </w:rPr>
              <w:t>Ułożenie ścieku</w:t>
            </w:r>
          </w:p>
        </w:tc>
        <w:tc>
          <w:tcPr>
            <w:tcW w:w="1417" w:type="dxa"/>
          </w:tcPr>
          <w:p w:rsidR="0069484F" w:rsidRPr="00AD3267" w:rsidRDefault="0069484F" w:rsidP="00ED53FE">
            <w:pPr>
              <w:jc w:val="center"/>
              <w:rPr>
                <w:rFonts w:ascii="Calibri" w:hAnsi="Calibri"/>
                <w:sz w:val="18"/>
                <w:szCs w:val="18"/>
              </w:rPr>
            </w:pPr>
            <w:r w:rsidRPr="00AD3267">
              <w:rPr>
                <w:rFonts w:ascii="Calibri" w:hAnsi="Calibri"/>
                <w:sz w:val="18"/>
                <w:szCs w:val="18"/>
              </w:rPr>
              <w:t>Jw.</w:t>
            </w:r>
          </w:p>
        </w:tc>
        <w:tc>
          <w:tcPr>
            <w:tcW w:w="2268" w:type="dxa"/>
          </w:tcPr>
          <w:p w:rsidR="0069484F" w:rsidRPr="00AD3267" w:rsidRDefault="0069484F" w:rsidP="00ED53FE">
            <w:pPr>
              <w:jc w:val="center"/>
              <w:rPr>
                <w:rFonts w:ascii="Calibri" w:hAnsi="Calibri"/>
                <w:sz w:val="18"/>
                <w:szCs w:val="18"/>
              </w:rPr>
            </w:pPr>
            <w:r w:rsidRPr="00AD3267">
              <w:rPr>
                <w:rFonts w:ascii="Calibri" w:hAnsi="Calibri"/>
                <w:sz w:val="18"/>
                <w:szCs w:val="18"/>
              </w:rPr>
              <w:t>Wg pktu 5.6</w:t>
            </w:r>
          </w:p>
        </w:tc>
      </w:tr>
      <w:tr w:rsidR="0069484F" w:rsidRPr="00AD3267" w:rsidTr="00ED53FE">
        <w:tblPrEx>
          <w:tblCellMar>
            <w:top w:w="0" w:type="dxa"/>
            <w:bottom w:w="0" w:type="dxa"/>
          </w:tblCellMar>
        </w:tblPrEx>
        <w:tc>
          <w:tcPr>
            <w:tcW w:w="496" w:type="dxa"/>
          </w:tcPr>
          <w:p w:rsidR="0069484F" w:rsidRPr="00AD3267" w:rsidRDefault="0069484F" w:rsidP="00ED53FE">
            <w:pPr>
              <w:jc w:val="center"/>
              <w:rPr>
                <w:rFonts w:ascii="Calibri" w:hAnsi="Calibri"/>
                <w:sz w:val="18"/>
                <w:szCs w:val="18"/>
              </w:rPr>
            </w:pPr>
            <w:r w:rsidRPr="00AD3267">
              <w:rPr>
                <w:rFonts w:ascii="Calibri" w:hAnsi="Calibri"/>
                <w:sz w:val="18"/>
                <w:szCs w:val="18"/>
              </w:rPr>
              <w:t>6</w:t>
            </w:r>
          </w:p>
        </w:tc>
        <w:tc>
          <w:tcPr>
            <w:tcW w:w="3260" w:type="dxa"/>
          </w:tcPr>
          <w:p w:rsidR="0069484F" w:rsidRPr="00AD3267" w:rsidRDefault="0069484F" w:rsidP="00ED53FE">
            <w:pPr>
              <w:jc w:val="center"/>
              <w:rPr>
                <w:rFonts w:ascii="Calibri" w:hAnsi="Calibri"/>
                <w:sz w:val="18"/>
                <w:szCs w:val="18"/>
              </w:rPr>
            </w:pPr>
            <w:r w:rsidRPr="00AD3267">
              <w:rPr>
                <w:rFonts w:ascii="Calibri" w:hAnsi="Calibri"/>
                <w:sz w:val="18"/>
                <w:szCs w:val="18"/>
              </w:rPr>
              <w:t>Wykonanie robót wykończeniowych</w:t>
            </w:r>
          </w:p>
        </w:tc>
        <w:tc>
          <w:tcPr>
            <w:tcW w:w="1417" w:type="dxa"/>
          </w:tcPr>
          <w:p w:rsidR="0069484F" w:rsidRPr="00AD3267" w:rsidRDefault="0069484F" w:rsidP="00ED53FE">
            <w:pPr>
              <w:jc w:val="center"/>
              <w:rPr>
                <w:rFonts w:ascii="Calibri" w:hAnsi="Calibri"/>
                <w:sz w:val="18"/>
                <w:szCs w:val="18"/>
              </w:rPr>
            </w:pPr>
            <w:r w:rsidRPr="00AD3267">
              <w:rPr>
                <w:rFonts w:ascii="Calibri" w:hAnsi="Calibri"/>
                <w:sz w:val="18"/>
                <w:szCs w:val="18"/>
              </w:rPr>
              <w:t>Ocena ciągła</w:t>
            </w:r>
          </w:p>
        </w:tc>
        <w:tc>
          <w:tcPr>
            <w:tcW w:w="2268" w:type="dxa"/>
          </w:tcPr>
          <w:p w:rsidR="0069484F" w:rsidRPr="00AD3267" w:rsidRDefault="0069484F" w:rsidP="00ED53FE">
            <w:pPr>
              <w:jc w:val="center"/>
              <w:rPr>
                <w:rFonts w:ascii="Calibri" w:hAnsi="Calibri"/>
                <w:sz w:val="18"/>
                <w:szCs w:val="18"/>
              </w:rPr>
            </w:pPr>
            <w:r w:rsidRPr="00AD3267">
              <w:rPr>
                <w:rFonts w:ascii="Calibri" w:hAnsi="Calibri"/>
                <w:sz w:val="18"/>
                <w:szCs w:val="18"/>
              </w:rPr>
              <w:t>Wg pktu 5.7</w:t>
            </w:r>
          </w:p>
        </w:tc>
      </w:tr>
    </w:tbl>
    <w:p w:rsidR="0069484F" w:rsidRPr="00AD3267" w:rsidRDefault="0069484F" w:rsidP="00ED53FE">
      <w:pPr>
        <w:ind w:left="-851" w:right="-851"/>
        <w:rPr>
          <w:rFonts w:ascii="Calibri" w:hAnsi="Calibri"/>
          <w:b/>
        </w:rPr>
      </w:pPr>
    </w:p>
    <w:p w:rsidR="00ED53FE" w:rsidRDefault="00ED53FE" w:rsidP="00ED53FE">
      <w:pPr>
        <w:ind w:left="-851" w:right="-851"/>
        <w:rPr>
          <w:rFonts w:ascii="Calibri" w:hAnsi="Calibri"/>
          <w:b/>
        </w:rPr>
      </w:pPr>
    </w:p>
    <w:p w:rsidR="0069484F" w:rsidRPr="00AD3267" w:rsidRDefault="0069484F" w:rsidP="00ED53FE">
      <w:pPr>
        <w:ind w:left="-851" w:right="-851"/>
        <w:rPr>
          <w:rFonts w:ascii="Calibri" w:hAnsi="Calibri"/>
        </w:rPr>
      </w:pPr>
      <w:r w:rsidRPr="00AD3267">
        <w:rPr>
          <w:rFonts w:ascii="Calibri" w:hAnsi="Calibri"/>
          <w:b/>
        </w:rPr>
        <w:lastRenderedPageBreak/>
        <w:t>6.4.</w:t>
      </w:r>
      <w:r w:rsidRPr="00AD3267">
        <w:rPr>
          <w:rFonts w:ascii="Calibri" w:hAnsi="Calibri"/>
        </w:rPr>
        <w:t xml:space="preserve"> Sprawdzenie wykonania elementów ścieku</w:t>
      </w:r>
    </w:p>
    <w:p w:rsidR="0069484F" w:rsidRPr="00AD3267" w:rsidRDefault="0069484F" w:rsidP="00ED53FE">
      <w:pPr>
        <w:ind w:left="-851" w:right="-851"/>
        <w:rPr>
          <w:rFonts w:ascii="Calibri" w:hAnsi="Calibri"/>
        </w:rPr>
      </w:pPr>
      <w:r w:rsidRPr="00AD3267">
        <w:rPr>
          <w:rFonts w:ascii="Calibri" w:hAnsi="Calibri"/>
        </w:rPr>
        <w:tab/>
      </w:r>
      <w:r w:rsidR="00ED53FE">
        <w:rPr>
          <w:rFonts w:ascii="Calibri" w:hAnsi="Calibri"/>
        </w:rPr>
        <w:tab/>
      </w:r>
      <w:r w:rsidRPr="00AD3267">
        <w:rPr>
          <w:rFonts w:ascii="Calibri" w:hAnsi="Calibri"/>
        </w:rPr>
        <w:t>W czasie robót związanych z wykonaniem ścieku należy sprawdzać w sposób podany w punktach 6.5, 6.6 i 6.7 poszczególne elementy robót.</w:t>
      </w:r>
    </w:p>
    <w:p w:rsidR="0069484F" w:rsidRPr="00AD3267" w:rsidRDefault="0069484F" w:rsidP="00ED53FE">
      <w:pPr>
        <w:ind w:left="-851" w:right="-851"/>
        <w:rPr>
          <w:rFonts w:ascii="Calibri" w:hAnsi="Calibri"/>
        </w:rPr>
      </w:pPr>
      <w:r w:rsidRPr="00AD3267">
        <w:rPr>
          <w:rFonts w:ascii="Calibri" w:hAnsi="Calibri"/>
          <w:b/>
        </w:rPr>
        <w:t>6.5.</w:t>
      </w:r>
      <w:r w:rsidRPr="00AD3267">
        <w:rPr>
          <w:rFonts w:ascii="Calibri" w:hAnsi="Calibri"/>
        </w:rPr>
        <w:t xml:space="preserve"> Sprawdzenie wykonania ławy</w:t>
      </w:r>
    </w:p>
    <w:p w:rsidR="0069484F" w:rsidRPr="00AD3267" w:rsidRDefault="0069484F" w:rsidP="00ED53FE">
      <w:pPr>
        <w:ind w:left="-851" w:right="-851"/>
        <w:rPr>
          <w:rFonts w:ascii="Calibri" w:hAnsi="Calibri"/>
        </w:rPr>
      </w:pPr>
      <w:r w:rsidRPr="00AD3267">
        <w:rPr>
          <w:rFonts w:ascii="Calibri" w:hAnsi="Calibri"/>
        </w:rPr>
        <w:tab/>
      </w:r>
      <w:r w:rsidR="00ED53FE">
        <w:rPr>
          <w:rFonts w:ascii="Calibri" w:hAnsi="Calibri"/>
        </w:rPr>
        <w:tab/>
      </w:r>
      <w:r w:rsidRPr="00AD3267">
        <w:rPr>
          <w:rFonts w:ascii="Calibri" w:hAnsi="Calibri"/>
        </w:rPr>
        <w:t>Przy wykonywaniu ławy, badaniu podlegają:</w:t>
      </w:r>
    </w:p>
    <w:p w:rsidR="0069484F" w:rsidRPr="00AD3267" w:rsidRDefault="0069484F" w:rsidP="00ED53FE">
      <w:pPr>
        <w:ind w:left="-851" w:right="-851"/>
        <w:rPr>
          <w:rFonts w:ascii="Calibri" w:hAnsi="Calibri"/>
        </w:rPr>
      </w:pPr>
      <w:r>
        <w:rPr>
          <w:rFonts w:ascii="Calibri" w:hAnsi="Calibri"/>
        </w:rPr>
        <w:t>-</w:t>
      </w:r>
      <w:r w:rsidRPr="00AD3267">
        <w:rPr>
          <w:rFonts w:ascii="Calibri" w:hAnsi="Calibri"/>
        </w:rPr>
        <w:t xml:space="preserve">linia ławy w planie, która może się różnić od projektowanego kierunku o </w:t>
      </w:r>
      <w:r w:rsidRPr="00AD3267">
        <w:rPr>
          <w:rFonts w:ascii="Calibri" w:hAnsi="Calibri"/>
        </w:rPr>
        <w:sym w:font="Symbol" w:char="F0B1"/>
      </w:r>
      <w:r w:rsidRPr="00AD3267">
        <w:rPr>
          <w:rFonts w:ascii="Calibri" w:hAnsi="Calibri"/>
        </w:rPr>
        <w:t xml:space="preserve"> </w:t>
      </w:r>
      <w:smartTag w:uri="urn:schemas-microsoft-com:office:smarttags" w:element="metricconverter">
        <w:smartTagPr>
          <w:attr w:name="ProductID" w:val="2 cm"/>
        </w:smartTagPr>
        <w:r w:rsidRPr="00AD3267">
          <w:rPr>
            <w:rFonts w:ascii="Calibri" w:hAnsi="Calibri"/>
          </w:rPr>
          <w:t>2 cm</w:t>
        </w:r>
      </w:smartTag>
      <w:r w:rsidRPr="00AD3267">
        <w:rPr>
          <w:rFonts w:ascii="Calibri" w:hAnsi="Calibri"/>
        </w:rPr>
        <w:t xml:space="preserve"> na każde </w:t>
      </w:r>
      <w:smartTag w:uri="urn:schemas-microsoft-com:office:smarttags" w:element="metricconverter">
        <w:smartTagPr>
          <w:attr w:name="ProductID" w:val="100 m"/>
        </w:smartTagPr>
        <w:r w:rsidRPr="00AD3267">
          <w:rPr>
            <w:rFonts w:ascii="Calibri" w:hAnsi="Calibri"/>
          </w:rPr>
          <w:t>100 m</w:t>
        </w:r>
      </w:smartTag>
      <w:r w:rsidRPr="00AD3267">
        <w:rPr>
          <w:rFonts w:ascii="Calibri" w:hAnsi="Calibri"/>
        </w:rPr>
        <w:t xml:space="preserve"> ławy,</w:t>
      </w:r>
    </w:p>
    <w:p w:rsidR="0069484F" w:rsidRPr="00AD3267" w:rsidRDefault="0069484F" w:rsidP="00ED53FE">
      <w:pPr>
        <w:ind w:left="-851" w:right="-851"/>
        <w:rPr>
          <w:rFonts w:ascii="Calibri" w:hAnsi="Calibri"/>
        </w:rPr>
      </w:pPr>
      <w:r>
        <w:rPr>
          <w:rFonts w:ascii="Calibri" w:hAnsi="Calibri"/>
        </w:rPr>
        <w:t>-</w:t>
      </w:r>
      <w:r w:rsidRPr="00AD3267">
        <w:rPr>
          <w:rFonts w:ascii="Calibri" w:hAnsi="Calibri"/>
        </w:rPr>
        <w:t xml:space="preserve">niweleta górnej powierzchni ławy, która może się różnić od niwelety projektowanej o </w:t>
      </w:r>
      <w:r w:rsidRPr="00AD3267">
        <w:rPr>
          <w:rFonts w:ascii="Calibri" w:hAnsi="Calibri"/>
        </w:rPr>
        <w:sym w:font="Symbol" w:char="F0B1"/>
      </w:r>
      <w:r w:rsidRPr="00AD3267">
        <w:rPr>
          <w:rFonts w:ascii="Calibri" w:hAnsi="Calibri"/>
        </w:rPr>
        <w:t xml:space="preserve"> </w:t>
      </w:r>
      <w:smartTag w:uri="urn:schemas-microsoft-com:office:smarttags" w:element="metricconverter">
        <w:smartTagPr>
          <w:attr w:name="ProductID" w:val="1 cm"/>
        </w:smartTagPr>
        <w:r w:rsidRPr="00AD3267">
          <w:rPr>
            <w:rFonts w:ascii="Calibri" w:hAnsi="Calibri"/>
          </w:rPr>
          <w:t>1 cm</w:t>
        </w:r>
      </w:smartTag>
      <w:r w:rsidRPr="00AD3267">
        <w:rPr>
          <w:rFonts w:ascii="Calibri" w:hAnsi="Calibri"/>
        </w:rPr>
        <w:t xml:space="preserve"> na każde </w:t>
      </w:r>
      <w:smartTag w:uri="urn:schemas-microsoft-com:office:smarttags" w:element="metricconverter">
        <w:smartTagPr>
          <w:attr w:name="ProductID" w:val="100 m"/>
        </w:smartTagPr>
        <w:r w:rsidRPr="00AD3267">
          <w:rPr>
            <w:rFonts w:ascii="Calibri" w:hAnsi="Calibri"/>
          </w:rPr>
          <w:t>100 m</w:t>
        </w:r>
      </w:smartTag>
      <w:r w:rsidRPr="00AD3267">
        <w:rPr>
          <w:rFonts w:ascii="Calibri" w:hAnsi="Calibri"/>
        </w:rPr>
        <w:t xml:space="preserve"> ławy,</w:t>
      </w:r>
    </w:p>
    <w:p w:rsidR="0069484F" w:rsidRPr="00AD3267" w:rsidRDefault="0069484F" w:rsidP="00ED53FE">
      <w:pPr>
        <w:ind w:left="-851" w:right="-851"/>
        <w:rPr>
          <w:rFonts w:ascii="Calibri" w:hAnsi="Calibri"/>
        </w:rPr>
      </w:pPr>
      <w:r>
        <w:rPr>
          <w:rFonts w:ascii="Calibri" w:hAnsi="Calibri"/>
        </w:rPr>
        <w:t>-</w:t>
      </w:r>
      <w:r w:rsidRPr="00AD3267">
        <w:rPr>
          <w:rFonts w:ascii="Calibri" w:hAnsi="Calibri"/>
        </w:rPr>
        <w:t xml:space="preserve">wymiary i równość ławy, sprawdzane w dwóch dowolnie wybranych punktach na każde </w:t>
      </w:r>
      <w:smartTag w:uri="urn:schemas-microsoft-com:office:smarttags" w:element="metricconverter">
        <w:smartTagPr>
          <w:attr w:name="ProductID" w:val="100 m"/>
        </w:smartTagPr>
        <w:r w:rsidRPr="00AD3267">
          <w:rPr>
            <w:rFonts w:ascii="Calibri" w:hAnsi="Calibri"/>
          </w:rPr>
          <w:t>100 m</w:t>
        </w:r>
      </w:smartTag>
      <w:r w:rsidRPr="00AD3267">
        <w:rPr>
          <w:rFonts w:ascii="Calibri" w:hAnsi="Calibri"/>
        </w:rPr>
        <w:t xml:space="preserve"> ławy, przy czym dopuszczalne tolerancje wynoszą dla:</w:t>
      </w:r>
    </w:p>
    <w:p w:rsidR="0069484F" w:rsidRPr="00AD3267" w:rsidRDefault="0069484F" w:rsidP="00ED53FE">
      <w:pPr>
        <w:ind w:left="-851" w:right="-851" w:firstLine="708"/>
        <w:rPr>
          <w:rFonts w:ascii="Calibri" w:hAnsi="Calibri"/>
        </w:rPr>
      </w:pPr>
      <w:r>
        <w:rPr>
          <w:rFonts w:ascii="Calibri" w:hAnsi="Calibri"/>
        </w:rPr>
        <w:t>-</w:t>
      </w:r>
      <w:r w:rsidRPr="00AD3267">
        <w:rPr>
          <w:rFonts w:ascii="Calibri" w:hAnsi="Calibri"/>
        </w:rPr>
        <w:t xml:space="preserve">wysokości (grubości) ławy  </w:t>
      </w:r>
      <w:r w:rsidRPr="00AD3267">
        <w:rPr>
          <w:rFonts w:ascii="Calibri" w:hAnsi="Calibri"/>
        </w:rPr>
        <w:sym w:font="Symbol" w:char="F0B1"/>
      </w:r>
      <w:r w:rsidRPr="00AD3267">
        <w:rPr>
          <w:rFonts w:ascii="Calibri" w:hAnsi="Calibri"/>
        </w:rPr>
        <w:t xml:space="preserve"> 10% wysokości projektowanej,</w:t>
      </w:r>
    </w:p>
    <w:p w:rsidR="0069484F" w:rsidRPr="00AD3267" w:rsidRDefault="0069484F" w:rsidP="00ED53FE">
      <w:pPr>
        <w:ind w:left="-851" w:right="-851" w:firstLine="708"/>
        <w:rPr>
          <w:rFonts w:ascii="Calibri" w:hAnsi="Calibri"/>
        </w:rPr>
      </w:pPr>
      <w:r>
        <w:rPr>
          <w:rFonts w:ascii="Calibri" w:hAnsi="Calibri"/>
        </w:rPr>
        <w:t>-</w:t>
      </w:r>
      <w:r w:rsidRPr="00AD3267">
        <w:rPr>
          <w:rFonts w:ascii="Calibri" w:hAnsi="Calibri"/>
        </w:rPr>
        <w:t xml:space="preserve">szerokości górnej powierzchni ławy  </w:t>
      </w:r>
      <w:r w:rsidRPr="00AD3267">
        <w:rPr>
          <w:rFonts w:ascii="Calibri" w:hAnsi="Calibri"/>
        </w:rPr>
        <w:sym w:font="Symbol" w:char="F0B1"/>
      </w:r>
      <w:r w:rsidRPr="00AD3267">
        <w:rPr>
          <w:rFonts w:ascii="Calibri" w:hAnsi="Calibri"/>
        </w:rPr>
        <w:t xml:space="preserve"> 10% szerokości projektowanej,</w:t>
      </w:r>
    </w:p>
    <w:p w:rsidR="0069484F" w:rsidRPr="00AD3267" w:rsidRDefault="0069484F" w:rsidP="00ED53FE">
      <w:pPr>
        <w:ind w:left="-851" w:right="-851"/>
        <w:rPr>
          <w:rFonts w:ascii="Calibri" w:hAnsi="Calibri"/>
        </w:rPr>
      </w:pPr>
      <w:r>
        <w:rPr>
          <w:rFonts w:ascii="Calibri" w:hAnsi="Calibri"/>
        </w:rPr>
        <w:t>-</w:t>
      </w:r>
      <w:r w:rsidRPr="00AD3267">
        <w:rPr>
          <w:rFonts w:ascii="Calibri" w:hAnsi="Calibri"/>
        </w:rPr>
        <w:t xml:space="preserve">równości górnej powierzchni ławy </w:t>
      </w:r>
      <w:smartTag w:uri="urn:schemas-microsoft-com:office:smarttags" w:element="metricconverter">
        <w:smartTagPr>
          <w:attr w:name="ProductID" w:val="1 cm"/>
        </w:smartTagPr>
        <w:r w:rsidRPr="00AD3267">
          <w:rPr>
            <w:rFonts w:ascii="Calibri" w:hAnsi="Calibri"/>
          </w:rPr>
          <w:t>1 cm</w:t>
        </w:r>
      </w:smartTag>
      <w:r w:rsidRPr="00AD3267">
        <w:rPr>
          <w:rFonts w:ascii="Calibri" w:hAnsi="Calibri"/>
        </w:rPr>
        <w:t xml:space="preserve"> prześwitu pomiędzy powierzchnią ławy a przyłożoną czterometrową łatą.</w:t>
      </w:r>
    </w:p>
    <w:p w:rsidR="0069484F" w:rsidRPr="00AD3267" w:rsidRDefault="0069484F" w:rsidP="00ED53FE">
      <w:pPr>
        <w:ind w:left="-851" w:right="-851"/>
        <w:rPr>
          <w:rFonts w:ascii="Calibri" w:hAnsi="Calibri"/>
        </w:rPr>
      </w:pPr>
      <w:r w:rsidRPr="00AD3267">
        <w:rPr>
          <w:rFonts w:ascii="Calibri" w:hAnsi="Calibri"/>
          <w:b/>
        </w:rPr>
        <w:t>6.6.</w:t>
      </w:r>
      <w:r w:rsidRPr="00AD3267">
        <w:rPr>
          <w:rFonts w:ascii="Calibri" w:hAnsi="Calibri"/>
        </w:rPr>
        <w:t xml:space="preserve"> Sprawdzenie ustawienia krawężnika</w:t>
      </w:r>
    </w:p>
    <w:p w:rsidR="0069484F" w:rsidRPr="00AD3267" w:rsidRDefault="0069484F" w:rsidP="00ED53FE">
      <w:pPr>
        <w:ind w:left="-851" w:right="-851"/>
        <w:rPr>
          <w:rFonts w:ascii="Calibri" w:hAnsi="Calibri"/>
        </w:rPr>
      </w:pPr>
      <w:r w:rsidRPr="00AD3267">
        <w:rPr>
          <w:rFonts w:ascii="Calibri" w:hAnsi="Calibri"/>
        </w:rPr>
        <w:tab/>
      </w:r>
      <w:r w:rsidR="00ED53FE">
        <w:rPr>
          <w:rFonts w:ascii="Calibri" w:hAnsi="Calibri"/>
        </w:rPr>
        <w:tab/>
      </w:r>
      <w:r w:rsidRPr="00AD3267">
        <w:rPr>
          <w:rFonts w:ascii="Calibri" w:hAnsi="Calibri"/>
        </w:rPr>
        <w:t>Przy ustawianiu krawężnika, badaniu podlegają:</w:t>
      </w:r>
    </w:p>
    <w:p w:rsidR="0069484F" w:rsidRPr="00AD3267" w:rsidRDefault="0069484F" w:rsidP="00ED53FE">
      <w:pPr>
        <w:ind w:left="-851" w:right="-851"/>
        <w:rPr>
          <w:rFonts w:ascii="Calibri" w:hAnsi="Calibri"/>
        </w:rPr>
      </w:pPr>
      <w:r>
        <w:rPr>
          <w:rFonts w:ascii="Calibri" w:hAnsi="Calibri"/>
        </w:rPr>
        <w:t>-</w:t>
      </w:r>
      <w:r w:rsidRPr="00AD3267">
        <w:rPr>
          <w:rFonts w:ascii="Calibri" w:hAnsi="Calibri"/>
        </w:rPr>
        <w:t xml:space="preserve">linia krawężnika w planie, która może się różnić o </w:t>
      </w:r>
      <w:r w:rsidRPr="00AD3267">
        <w:rPr>
          <w:rFonts w:ascii="Calibri" w:hAnsi="Calibri"/>
        </w:rPr>
        <w:sym w:font="Symbol" w:char="F0B1"/>
      </w:r>
      <w:r w:rsidRPr="00AD3267">
        <w:rPr>
          <w:rFonts w:ascii="Calibri" w:hAnsi="Calibri"/>
        </w:rPr>
        <w:t xml:space="preserve"> </w:t>
      </w:r>
      <w:smartTag w:uri="urn:schemas-microsoft-com:office:smarttags" w:element="metricconverter">
        <w:smartTagPr>
          <w:attr w:name="ProductID" w:val="1 cm"/>
        </w:smartTagPr>
        <w:r w:rsidRPr="00AD3267">
          <w:rPr>
            <w:rFonts w:ascii="Calibri" w:hAnsi="Calibri"/>
          </w:rPr>
          <w:t>1 cm</w:t>
        </w:r>
      </w:smartTag>
      <w:r w:rsidRPr="00AD3267">
        <w:rPr>
          <w:rFonts w:ascii="Calibri" w:hAnsi="Calibri"/>
        </w:rPr>
        <w:t xml:space="preserve"> od linii projektowanej na każde </w:t>
      </w:r>
      <w:smartTag w:uri="urn:schemas-microsoft-com:office:smarttags" w:element="metricconverter">
        <w:smartTagPr>
          <w:attr w:name="ProductID" w:val="100 m"/>
        </w:smartTagPr>
        <w:r w:rsidRPr="00AD3267">
          <w:rPr>
            <w:rFonts w:ascii="Calibri" w:hAnsi="Calibri"/>
          </w:rPr>
          <w:t>100 m</w:t>
        </w:r>
      </w:smartTag>
      <w:r w:rsidRPr="00AD3267">
        <w:rPr>
          <w:rFonts w:ascii="Calibri" w:hAnsi="Calibri"/>
        </w:rPr>
        <w:t xml:space="preserve"> ustawionego krawężnika,</w:t>
      </w:r>
    </w:p>
    <w:p w:rsidR="0069484F" w:rsidRPr="00AD3267" w:rsidRDefault="0069484F" w:rsidP="00ED53FE">
      <w:pPr>
        <w:ind w:left="-851" w:right="-851"/>
        <w:rPr>
          <w:rFonts w:ascii="Calibri" w:hAnsi="Calibri"/>
        </w:rPr>
      </w:pPr>
      <w:r>
        <w:rPr>
          <w:rFonts w:ascii="Calibri" w:hAnsi="Calibri"/>
        </w:rPr>
        <w:t>-</w:t>
      </w:r>
      <w:r w:rsidRPr="00AD3267">
        <w:rPr>
          <w:rFonts w:ascii="Calibri" w:hAnsi="Calibri"/>
        </w:rPr>
        <w:t xml:space="preserve">niweleta krawężnika, która może się różnić od niwelety projektowanej o </w:t>
      </w:r>
      <w:r w:rsidRPr="00AD3267">
        <w:rPr>
          <w:rFonts w:ascii="Calibri" w:hAnsi="Calibri"/>
        </w:rPr>
        <w:sym w:font="Symbol" w:char="F0B1"/>
      </w:r>
      <w:r w:rsidRPr="00AD3267">
        <w:rPr>
          <w:rFonts w:ascii="Calibri" w:hAnsi="Calibri"/>
        </w:rPr>
        <w:t xml:space="preserve"> </w:t>
      </w:r>
      <w:smartTag w:uri="urn:schemas-microsoft-com:office:smarttags" w:element="metricconverter">
        <w:smartTagPr>
          <w:attr w:name="ProductID" w:val="1 cm"/>
        </w:smartTagPr>
        <w:r w:rsidRPr="00AD3267">
          <w:rPr>
            <w:rFonts w:ascii="Calibri" w:hAnsi="Calibri"/>
          </w:rPr>
          <w:t>1 cm</w:t>
        </w:r>
      </w:smartTag>
      <w:r w:rsidRPr="00AD3267">
        <w:rPr>
          <w:rFonts w:ascii="Calibri" w:hAnsi="Calibri"/>
        </w:rPr>
        <w:t xml:space="preserve"> na każde </w:t>
      </w:r>
      <w:smartTag w:uri="urn:schemas-microsoft-com:office:smarttags" w:element="metricconverter">
        <w:smartTagPr>
          <w:attr w:name="ProductID" w:val="100 m"/>
        </w:smartTagPr>
        <w:r w:rsidRPr="00AD3267">
          <w:rPr>
            <w:rFonts w:ascii="Calibri" w:hAnsi="Calibri"/>
          </w:rPr>
          <w:t>100 m</w:t>
        </w:r>
      </w:smartTag>
      <w:r w:rsidRPr="00AD3267">
        <w:rPr>
          <w:rFonts w:ascii="Calibri" w:hAnsi="Calibri"/>
        </w:rPr>
        <w:t xml:space="preserve"> ustawionego krawężnika,</w:t>
      </w:r>
    </w:p>
    <w:p w:rsidR="0069484F" w:rsidRPr="00AD3267" w:rsidRDefault="0069484F" w:rsidP="00ED53FE">
      <w:pPr>
        <w:ind w:left="-851" w:right="-851"/>
        <w:rPr>
          <w:rFonts w:ascii="Calibri" w:hAnsi="Calibri"/>
        </w:rPr>
      </w:pPr>
      <w:r>
        <w:rPr>
          <w:rFonts w:ascii="Calibri" w:hAnsi="Calibri"/>
        </w:rPr>
        <w:t>-</w:t>
      </w:r>
      <w:r w:rsidRPr="00AD3267">
        <w:rPr>
          <w:rFonts w:ascii="Calibri" w:hAnsi="Calibri"/>
        </w:rPr>
        <w:t xml:space="preserve">równość górnej powierzchni krawężnika, sprawdzana w dwóch dowolnie wybranych punktach na każde </w:t>
      </w:r>
      <w:smartTag w:uri="urn:schemas-microsoft-com:office:smarttags" w:element="metricconverter">
        <w:smartTagPr>
          <w:attr w:name="ProductID" w:val="100 m"/>
        </w:smartTagPr>
        <w:r w:rsidRPr="00AD3267">
          <w:rPr>
            <w:rFonts w:ascii="Calibri" w:hAnsi="Calibri"/>
          </w:rPr>
          <w:t>100 m</w:t>
        </w:r>
      </w:smartTag>
      <w:r w:rsidRPr="00AD3267">
        <w:rPr>
          <w:rFonts w:ascii="Calibri" w:hAnsi="Calibri"/>
        </w:rPr>
        <w:t xml:space="preserve"> długości, która może wykazywać prześwit nie większy niż 1 cm pomiędzy powierzchnią krawężnika a przyłożoną czterometrową łatą,</w:t>
      </w:r>
    </w:p>
    <w:p w:rsidR="0069484F" w:rsidRPr="00AD3267" w:rsidRDefault="0069484F" w:rsidP="00ED53FE">
      <w:pPr>
        <w:ind w:left="-851" w:right="-851"/>
        <w:rPr>
          <w:rFonts w:ascii="Calibri" w:hAnsi="Calibri"/>
        </w:rPr>
      </w:pPr>
      <w:r>
        <w:rPr>
          <w:rFonts w:ascii="Calibri" w:hAnsi="Calibri"/>
        </w:rPr>
        <w:t>-</w:t>
      </w:r>
      <w:r w:rsidRPr="00AD3267">
        <w:rPr>
          <w:rFonts w:ascii="Calibri" w:hAnsi="Calibri"/>
        </w:rPr>
        <w:t xml:space="preserve">wypełnienie spoin, sprawdzane na każdych </w:t>
      </w:r>
      <w:smartTag w:uri="urn:schemas-microsoft-com:office:smarttags" w:element="metricconverter">
        <w:smartTagPr>
          <w:attr w:name="ProductID" w:val="10 metrach"/>
        </w:smartTagPr>
        <w:r w:rsidRPr="00AD3267">
          <w:rPr>
            <w:rFonts w:ascii="Calibri" w:hAnsi="Calibri"/>
          </w:rPr>
          <w:t>10 metrach</w:t>
        </w:r>
      </w:smartTag>
      <w:r w:rsidRPr="00AD3267">
        <w:rPr>
          <w:rFonts w:ascii="Calibri" w:hAnsi="Calibri"/>
        </w:rPr>
        <w:t xml:space="preserve"> ustawionego krawężnika, przy czym wymagane jest całkowite wypełnienie badanej spoiny,</w:t>
      </w:r>
    </w:p>
    <w:p w:rsidR="0069484F" w:rsidRPr="00AD3267" w:rsidRDefault="0069484F" w:rsidP="00ED53FE">
      <w:pPr>
        <w:ind w:left="-851" w:right="-851"/>
        <w:rPr>
          <w:rFonts w:ascii="Calibri" w:hAnsi="Calibri"/>
        </w:rPr>
      </w:pPr>
      <w:r>
        <w:rPr>
          <w:rFonts w:ascii="Calibri" w:hAnsi="Calibri"/>
        </w:rPr>
        <w:t>-</w:t>
      </w:r>
      <w:r w:rsidRPr="00AD3267">
        <w:rPr>
          <w:rFonts w:ascii="Calibri" w:hAnsi="Calibri"/>
        </w:rPr>
        <w:t xml:space="preserve">szerokość spoin, sprawdzana na każdych </w:t>
      </w:r>
      <w:smartTag w:uri="urn:schemas-microsoft-com:office:smarttags" w:element="metricconverter">
        <w:smartTagPr>
          <w:attr w:name="ProductID" w:val="10 metrach"/>
        </w:smartTagPr>
        <w:r w:rsidRPr="00AD3267">
          <w:rPr>
            <w:rFonts w:ascii="Calibri" w:hAnsi="Calibri"/>
          </w:rPr>
          <w:t>10 metrach</w:t>
        </w:r>
      </w:smartTag>
      <w:r w:rsidRPr="00AD3267">
        <w:rPr>
          <w:rFonts w:ascii="Calibri" w:hAnsi="Calibri"/>
        </w:rPr>
        <w:t xml:space="preserve"> ustawionego krawężnika, która nie może być większa od </w:t>
      </w:r>
      <w:smartTag w:uri="urn:schemas-microsoft-com:office:smarttags" w:element="metricconverter">
        <w:smartTagPr>
          <w:attr w:name="ProductID" w:val="1 cm"/>
        </w:smartTagPr>
        <w:r w:rsidRPr="00AD3267">
          <w:rPr>
            <w:rFonts w:ascii="Calibri" w:hAnsi="Calibri"/>
          </w:rPr>
          <w:t>1 cm</w:t>
        </w:r>
      </w:smartTag>
      <w:r w:rsidRPr="00AD3267">
        <w:rPr>
          <w:rFonts w:ascii="Calibri" w:hAnsi="Calibri"/>
        </w:rPr>
        <w:t>.</w:t>
      </w:r>
    </w:p>
    <w:p w:rsidR="0069484F" w:rsidRPr="00AD3267" w:rsidRDefault="0069484F" w:rsidP="00ED53FE">
      <w:pPr>
        <w:ind w:left="-851" w:right="-851"/>
        <w:rPr>
          <w:rFonts w:ascii="Calibri" w:hAnsi="Calibri"/>
        </w:rPr>
      </w:pPr>
      <w:r w:rsidRPr="00AD3267">
        <w:rPr>
          <w:rFonts w:ascii="Calibri" w:hAnsi="Calibri"/>
          <w:b/>
        </w:rPr>
        <w:t>6.7.</w:t>
      </w:r>
      <w:r w:rsidRPr="00AD3267">
        <w:rPr>
          <w:rFonts w:ascii="Calibri" w:hAnsi="Calibri"/>
        </w:rPr>
        <w:t xml:space="preserve"> Sprawdzenie wykonania ścieku z betonowej kostki brukowej</w:t>
      </w:r>
    </w:p>
    <w:p w:rsidR="0069484F" w:rsidRPr="00AD3267" w:rsidRDefault="0069484F" w:rsidP="00ED53FE">
      <w:pPr>
        <w:ind w:left="-851" w:right="-851"/>
        <w:rPr>
          <w:rFonts w:ascii="Calibri" w:hAnsi="Calibri"/>
        </w:rPr>
      </w:pPr>
      <w:r w:rsidRPr="00AD3267">
        <w:rPr>
          <w:rFonts w:ascii="Calibri" w:hAnsi="Calibri"/>
        </w:rPr>
        <w:tab/>
      </w:r>
      <w:r w:rsidR="00ED53FE">
        <w:rPr>
          <w:rFonts w:ascii="Calibri" w:hAnsi="Calibri"/>
        </w:rPr>
        <w:tab/>
      </w:r>
      <w:r w:rsidRPr="00AD3267">
        <w:rPr>
          <w:rFonts w:ascii="Calibri" w:hAnsi="Calibri"/>
        </w:rPr>
        <w:t>Przy wykonaniu ścieku, badaniu podlegają:</w:t>
      </w:r>
    </w:p>
    <w:p w:rsidR="0069484F" w:rsidRPr="00AD3267" w:rsidRDefault="0069484F" w:rsidP="00ED53FE">
      <w:pPr>
        <w:ind w:left="-851" w:right="-851"/>
        <w:rPr>
          <w:rFonts w:ascii="Calibri" w:hAnsi="Calibri"/>
        </w:rPr>
      </w:pPr>
      <w:r>
        <w:rPr>
          <w:rFonts w:ascii="Calibri" w:hAnsi="Calibri"/>
        </w:rPr>
        <w:t>-</w:t>
      </w:r>
      <w:r w:rsidRPr="00AD3267">
        <w:rPr>
          <w:rFonts w:ascii="Calibri" w:hAnsi="Calibri"/>
        </w:rPr>
        <w:t xml:space="preserve">niweleta ścieku, która może różnić się od niwelety projektowanej o </w:t>
      </w:r>
      <w:r w:rsidRPr="00AD3267">
        <w:rPr>
          <w:rFonts w:ascii="Calibri" w:hAnsi="Calibri"/>
        </w:rPr>
        <w:sym w:font="Symbol" w:char="F0B1"/>
      </w:r>
      <w:r w:rsidRPr="00AD3267">
        <w:rPr>
          <w:rFonts w:ascii="Calibri" w:hAnsi="Calibri"/>
        </w:rPr>
        <w:t xml:space="preserve"> </w:t>
      </w:r>
      <w:smartTag w:uri="urn:schemas-microsoft-com:office:smarttags" w:element="metricconverter">
        <w:smartTagPr>
          <w:attr w:name="ProductID" w:val="1 cm"/>
        </w:smartTagPr>
        <w:r w:rsidRPr="00AD3267">
          <w:rPr>
            <w:rFonts w:ascii="Calibri" w:hAnsi="Calibri"/>
          </w:rPr>
          <w:t>1 cm</w:t>
        </w:r>
      </w:smartTag>
      <w:r w:rsidRPr="00AD3267">
        <w:rPr>
          <w:rFonts w:ascii="Calibri" w:hAnsi="Calibri"/>
        </w:rPr>
        <w:t xml:space="preserve"> na każde  </w:t>
      </w:r>
      <w:smartTag w:uri="urn:schemas-microsoft-com:office:smarttags" w:element="metricconverter">
        <w:smartTagPr>
          <w:attr w:name="ProductID" w:val="100 m"/>
        </w:smartTagPr>
        <w:r w:rsidRPr="00AD3267">
          <w:rPr>
            <w:rFonts w:ascii="Calibri" w:hAnsi="Calibri"/>
          </w:rPr>
          <w:t>100 m</w:t>
        </w:r>
      </w:smartTag>
      <w:r w:rsidRPr="00AD3267">
        <w:rPr>
          <w:rFonts w:ascii="Calibri" w:hAnsi="Calibri"/>
        </w:rPr>
        <w:t xml:space="preserve"> wykonanego ścieku,</w:t>
      </w:r>
    </w:p>
    <w:p w:rsidR="0069484F" w:rsidRPr="00AD3267" w:rsidRDefault="0069484F" w:rsidP="00ED53FE">
      <w:pPr>
        <w:ind w:left="-851" w:right="-851"/>
        <w:rPr>
          <w:rFonts w:ascii="Calibri" w:hAnsi="Calibri"/>
        </w:rPr>
      </w:pPr>
      <w:r>
        <w:rPr>
          <w:rFonts w:ascii="Calibri" w:hAnsi="Calibri"/>
        </w:rPr>
        <w:t>-</w:t>
      </w:r>
      <w:r w:rsidRPr="00AD3267">
        <w:rPr>
          <w:rFonts w:ascii="Calibri" w:hAnsi="Calibri"/>
        </w:rPr>
        <w:t xml:space="preserve">równość podłużna ścieku, sprawdzana w dwóch dowolnie wybranych punktach na każde </w:t>
      </w:r>
      <w:smartTag w:uri="urn:schemas-microsoft-com:office:smarttags" w:element="metricconverter">
        <w:smartTagPr>
          <w:attr w:name="ProductID" w:val="100 m"/>
        </w:smartTagPr>
        <w:r w:rsidRPr="00AD3267">
          <w:rPr>
            <w:rFonts w:ascii="Calibri" w:hAnsi="Calibri"/>
          </w:rPr>
          <w:t>100 m</w:t>
        </w:r>
      </w:smartTag>
      <w:r w:rsidRPr="00AD3267">
        <w:rPr>
          <w:rFonts w:ascii="Calibri" w:hAnsi="Calibri"/>
        </w:rPr>
        <w:t xml:space="preserve"> długości, która może wykazywać prześwit nie większy niż </w:t>
      </w:r>
      <w:smartTag w:uri="urn:schemas-microsoft-com:office:smarttags" w:element="metricconverter">
        <w:smartTagPr>
          <w:attr w:name="ProductID" w:val="0,8 cm"/>
        </w:smartTagPr>
        <w:r w:rsidRPr="00AD3267">
          <w:rPr>
            <w:rFonts w:ascii="Calibri" w:hAnsi="Calibri"/>
          </w:rPr>
          <w:t>0,8 cm</w:t>
        </w:r>
      </w:smartTag>
      <w:r w:rsidRPr="00AD3267">
        <w:rPr>
          <w:rFonts w:ascii="Calibri" w:hAnsi="Calibri"/>
        </w:rPr>
        <w:t xml:space="preserve"> pomiędzy powierzchnią ścieku a łatą czterometrową,</w:t>
      </w:r>
    </w:p>
    <w:p w:rsidR="0069484F" w:rsidRPr="00AD3267" w:rsidRDefault="0069484F" w:rsidP="00ED53FE">
      <w:pPr>
        <w:ind w:left="-851" w:right="-851"/>
        <w:rPr>
          <w:rFonts w:ascii="Calibri" w:hAnsi="Calibri"/>
        </w:rPr>
      </w:pPr>
      <w:r>
        <w:rPr>
          <w:rFonts w:ascii="Calibri" w:hAnsi="Calibri"/>
        </w:rPr>
        <w:t>-</w:t>
      </w:r>
      <w:r w:rsidRPr="00AD3267">
        <w:rPr>
          <w:rFonts w:ascii="Calibri" w:hAnsi="Calibri"/>
        </w:rPr>
        <w:t xml:space="preserve">wypełnienie spoin, wykonane zgodnie z pkt 5, sprawdzane na każdych </w:t>
      </w:r>
      <w:smartTag w:uri="urn:schemas-microsoft-com:office:smarttags" w:element="metricconverter">
        <w:smartTagPr>
          <w:attr w:name="ProductID" w:val="10 metrach"/>
        </w:smartTagPr>
        <w:r w:rsidRPr="00AD3267">
          <w:rPr>
            <w:rFonts w:ascii="Calibri" w:hAnsi="Calibri"/>
          </w:rPr>
          <w:t>10 metrach</w:t>
        </w:r>
      </w:smartTag>
      <w:r w:rsidRPr="00AD3267">
        <w:rPr>
          <w:rFonts w:ascii="Calibri" w:hAnsi="Calibri"/>
        </w:rPr>
        <w:t xml:space="preserve"> wykonanego ścieku, przy czym wymagane jest całkowite wypełnienie badanej spoiny,</w:t>
      </w:r>
    </w:p>
    <w:p w:rsidR="0069484F" w:rsidRPr="00AD3267" w:rsidRDefault="0069484F" w:rsidP="00ED53FE">
      <w:pPr>
        <w:ind w:left="-851" w:right="-851"/>
        <w:rPr>
          <w:rFonts w:ascii="Calibri" w:hAnsi="Calibri"/>
        </w:rPr>
      </w:pPr>
      <w:r>
        <w:rPr>
          <w:rFonts w:ascii="Calibri" w:hAnsi="Calibri"/>
        </w:rPr>
        <w:t>-</w:t>
      </w:r>
      <w:r w:rsidRPr="00AD3267">
        <w:rPr>
          <w:rFonts w:ascii="Calibri" w:hAnsi="Calibri"/>
        </w:rPr>
        <w:t xml:space="preserve">grubość podsypki, sprawdzana co </w:t>
      </w:r>
      <w:smartTag w:uri="urn:schemas-microsoft-com:office:smarttags" w:element="metricconverter">
        <w:smartTagPr>
          <w:attr w:name="ProductID" w:val="100 m"/>
        </w:smartTagPr>
        <w:r w:rsidRPr="00AD3267">
          <w:rPr>
            <w:rFonts w:ascii="Calibri" w:hAnsi="Calibri"/>
          </w:rPr>
          <w:t>100 m</w:t>
        </w:r>
      </w:smartTag>
      <w:r w:rsidRPr="00AD3267">
        <w:rPr>
          <w:rFonts w:ascii="Calibri" w:hAnsi="Calibri"/>
        </w:rPr>
        <w:t xml:space="preserve">, która może się różnić od grubości projektowanej o </w:t>
      </w:r>
      <w:r w:rsidRPr="00AD3267">
        <w:rPr>
          <w:rFonts w:ascii="Calibri" w:hAnsi="Calibri"/>
        </w:rPr>
        <w:sym w:font="Symbol" w:char="F0B1"/>
      </w:r>
      <w:r w:rsidRPr="00AD3267">
        <w:rPr>
          <w:rFonts w:ascii="Calibri" w:hAnsi="Calibri"/>
        </w:rPr>
        <w:t xml:space="preserve"> </w:t>
      </w:r>
      <w:smartTag w:uri="urn:schemas-microsoft-com:office:smarttags" w:element="metricconverter">
        <w:smartTagPr>
          <w:attr w:name="ProductID" w:val="1 cm"/>
        </w:smartTagPr>
        <w:r w:rsidRPr="00AD3267">
          <w:rPr>
            <w:rFonts w:ascii="Calibri" w:hAnsi="Calibri"/>
          </w:rPr>
          <w:t>1 cm</w:t>
        </w:r>
      </w:smartTag>
      <w:r w:rsidRPr="00AD3267">
        <w:rPr>
          <w:rFonts w:ascii="Calibri" w:hAnsi="Calibri"/>
        </w:rPr>
        <w:t>.</w:t>
      </w:r>
    </w:p>
    <w:p w:rsidR="0069484F" w:rsidRPr="00AD3267" w:rsidRDefault="0069484F" w:rsidP="00ED53FE">
      <w:pPr>
        <w:ind w:left="-851" w:right="-851"/>
        <w:rPr>
          <w:rFonts w:ascii="Calibri" w:hAnsi="Calibri"/>
        </w:rPr>
      </w:pPr>
    </w:p>
    <w:p w:rsidR="0069484F" w:rsidRPr="00AD3267" w:rsidRDefault="0069484F" w:rsidP="00ED53FE">
      <w:pPr>
        <w:ind w:left="-851" w:right="-851"/>
        <w:rPr>
          <w:rFonts w:ascii="Calibri" w:hAnsi="Calibri"/>
          <w:b/>
        </w:rPr>
      </w:pPr>
      <w:r w:rsidRPr="00AD3267">
        <w:rPr>
          <w:rFonts w:ascii="Calibri" w:hAnsi="Calibri"/>
          <w:b/>
        </w:rPr>
        <w:t>7. OBMIAR ROBÓT</w:t>
      </w:r>
    </w:p>
    <w:p w:rsidR="0069484F" w:rsidRPr="00AD3267" w:rsidRDefault="0069484F" w:rsidP="00ED53FE">
      <w:pPr>
        <w:ind w:left="-851" w:right="-851"/>
        <w:rPr>
          <w:rFonts w:ascii="Calibri" w:hAnsi="Calibri"/>
        </w:rPr>
      </w:pPr>
      <w:r w:rsidRPr="00AD3267">
        <w:rPr>
          <w:rFonts w:ascii="Calibri" w:hAnsi="Calibri"/>
          <w:b/>
        </w:rPr>
        <w:t>7.1.</w:t>
      </w:r>
      <w:r w:rsidRPr="00AD3267">
        <w:rPr>
          <w:rFonts w:ascii="Calibri" w:hAnsi="Calibri"/>
        </w:rPr>
        <w:t xml:space="preserve"> Ogólne zasady obmiaru robót</w:t>
      </w:r>
    </w:p>
    <w:p w:rsidR="0069484F" w:rsidRPr="00AD3267" w:rsidRDefault="0069484F" w:rsidP="00ED53FE">
      <w:pPr>
        <w:ind w:left="-851" w:right="-851"/>
        <w:rPr>
          <w:rFonts w:ascii="Calibri" w:hAnsi="Calibri"/>
        </w:rPr>
      </w:pPr>
      <w:r w:rsidRPr="00AD3267">
        <w:rPr>
          <w:rFonts w:ascii="Calibri" w:hAnsi="Calibri"/>
        </w:rPr>
        <w:tab/>
      </w:r>
      <w:r w:rsidR="00ED53FE">
        <w:rPr>
          <w:rFonts w:ascii="Calibri" w:hAnsi="Calibri"/>
        </w:rPr>
        <w:tab/>
      </w:r>
      <w:r w:rsidRPr="00AD3267">
        <w:rPr>
          <w:rFonts w:ascii="Calibri" w:hAnsi="Calibri"/>
        </w:rPr>
        <w:t>Ogólne zasady obmiaru robót podano w ST D-M-00.00.00 „Wymagania ogólne” pkt 7.</w:t>
      </w:r>
    </w:p>
    <w:p w:rsidR="0069484F" w:rsidRPr="00AD3267" w:rsidRDefault="0069484F" w:rsidP="00ED53FE">
      <w:pPr>
        <w:ind w:left="-851" w:right="-851"/>
        <w:rPr>
          <w:rFonts w:ascii="Calibri" w:hAnsi="Calibri"/>
        </w:rPr>
      </w:pPr>
      <w:r w:rsidRPr="00AD3267">
        <w:rPr>
          <w:rFonts w:ascii="Calibri" w:hAnsi="Calibri"/>
          <w:b/>
        </w:rPr>
        <w:t>7.2.</w:t>
      </w:r>
      <w:r w:rsidRPr="00AD3267">
        <w:rPr>
          <w:rFonts w:ascii="Calibri" w:hAnsi="Calibri"/>
        </w:rPr>
        <w:t xml:space="preserve"> Jednostka obmiarowa</w:t>
      </w:r>
    </w:p>
    <w:p w:rsidR="0069484F" w:rsidRPr="00AD3267" w:rsidRDefault="0069484F" w:rsidP="00ED53FE">
      <w:pPr>
        <w:ind w:left="-851" w:right="-851"/>
        <w:rPr>
          <w:rFonts w:ascii="Calibri" w:hAnsi="Calibri"/>
        </w:rPr>
      </w:pPr>
      <w:r w:rsidRPr="00AD3267">
        <w:rPr>
          <w:rFonts w:ascii="Calibri" w:hAnsi="Calibri"/>
        </w:rPr>
        <w:tab/>
      </w:r>
      <w:r w:rsidR="00ED53FE">
        <w:rPr>
          <w:rFonts w:ascii="Calibri" w:hAnsi="Calibri"/>
        </w:rPr>
        <w:tab/>
      </w:r>
      <w:r w:rsidRPr="00AD3267">
        <w:rPr>
          <w:rFonts w:ascii="Calibri" w:hAnsi="Calibri"/>
        </w:rPr>
        <w:t>Jednostką obmiarową jest 1 m (metr) wykonanego ścieku.</w:t>
      </w:r>
    </w:p>
    <w:p w:rsidR="0069484F" w:rsidRPr="00AD3267" w:rsidRDefault="0069484F" w:rsidP="00ED53FE">
      <w:pPr>
        <w:ind w:left="-851" w:right="-851"/>
        <w:rPr>
          <w:rFonts w:ascii="Calibri" w:hAnsi="Calibri"/>
        </w:rPr>
      </w:pPr>
    </w:p>
    <w:p w:rsidR="0069484F" w:rsidRPr="00AD3267" w:rsidRDefault="0069484F" w:rsidP="00ED53FE">
      <w:pPr>
        <w:ind w:left="-851" w:right="-851"/>
        <w:rPr>
          <w:rFonts w:ascii="Calibri" w:hAnsi="Calibri"/>
          <w:b/>
        </w:rPr>
      </w:pPr>
      <w:r w:rsidRPr="00AD3267">
        <w:rPr>
          <w:rFonts w:ascii="Calibri" w:hAnsi="Calibri"/>
          <w:b/>
        </w:rPr>
        <w:t>8. ODBIÓR ROBÓT</w:t>
      </w:r>
    </w:p>
    <w:p w:rsidR="0069484F" w:rsidRPr="00AD3267" w:rsidRDefault="0069484F" w:rsidP="00ED53FE">
      <w:pPr>
        <w:ind w:left="-851" w:right="-851"/>
        <w:rPr>
          <w:rFonts w:ascii="Calibri" w:hAnsi="Calibri"/>
        </w:rPr>
      </w:pPr>
      <w:r w:rsidRPr="00AD3267">
        <w:rPr>
          <w:rFonts w:ascii="Calibri" w:hAnsi="Calibri"/>
          <w:b/>
        </w:rPr>
        <w:t>8.1.</w:t>
      </w:r>
      <w:r w:rsidRPr="00AD3267">
        <w:rPr>
          <w:rFonts w:ascii="Calibri" w:hAnsi="Calibri"/>
        </w:rPr>
        <w:t xml:space="preserve"> Ogólne zasady odbioru robót</w:t>
      </w:r>
    </w:p>
    <w:p w:rsidR="0069484F" w:rsidRPr="00AD3267" w:rsidRDefault="0069484F" w:rsidP="00ED53FE">
      <w:pPr>
        <w:ind w:left="-851" w:right="-851"/>
        <w:rPr>
          <w:rFonts w:ascii="Calibri" w:hAnsi="Calibri"/>
        </w:rPr>
      </w:pPr>
      <w:r w:rsidRPr="00AD3267">
        <w:rPr>
          <w:rFonts w:ascii="Calibri" w:hAnsi="Calibri"/>
        </w:rPr>
        <w:tab/>
      </w:r>
      <w:r w:rsidR="00ED53FE">
        <w:rPr>
          <w:rFonts w:ascii="Calibri" w:hAnsi="Calibri"/>
        </w:rPr>
        <w:tab/>
      </w:r>
      <w:r w:rsidRPr="00AD3267">
        <w:rPr>
          <w:rFonts w:ascii="Calibri" w:hAnsi="Calibri"/>
        </w:rPr>
        <w:t>Ogólne zasady odbioru robót podano w ST D-M-00.00.00 „Wymagania ogólne” pkt 8.</w:t>
      </w:r>
    </w:p>
    <w:p w:rsidR="0069484F" w:rsidRPr="00AD3267" w:rsidRDefault="0069484F" w:rsidP="00ED53FE">
      <w:pPr>
        <w:ind w:left="-851" w:right="-851"/>
        <w:rPr>
          <w:rFonts w:ascii="Calibri" w:hAnsi="Calibri"/>
        </w:rPr>
      </w:pPr>
      <w:r w:rsidRPr="00AD3267">
        <w:rPr>
          <w:rFonts w:ascii="Calibri" w:hAnsi="Calibri"/>
        </w:rPr>
        <w:tab/>
      </w:r>
      <w:r w:rsidR="00ED53FE">
        <w:rPr>
          <w:rFonts w:ascii="Calibri" w:hAnsi="Calibri"/>
        </w:rPr>
        <w:tab/>
      </w:r>
      <w:r w:rsidRPr="00AD3267">
        <w:rPr>
          <w:rFonts w:ascii="Calibri" w:hAnsi="Calibri"/>
        </w:rPr>
        <w:t>Roboty uznaje się za wykonane zgodnie z dokumentacją projektową, ST i wymaganiami Inżyniera, jeżeli wszystkie pomiary i badania z zachowaniem tolerancji wg pktu 6 dały wyniki pozytywne.</w:t>
      </w:r>
    </w:p>
    <w:p w:rsidR="0069484F" w:rsidRPr="00AD3267" w:rsidRDefault="0069484F" w:rsidP="00ED53FE">
      <w:pPr>
        <w:ind w:left="-851" w:right="-851"/>
        <w:rPr>
          <w:rFonts w:ascii="Calibri" w:hAnsi="Calibri"/>
        </w:rPr>
      </w:pPr>
      <w:r w:rsidRPr="00AD3267">
        <w:rPr>
          <w:rFonts w:ascii="Calibri" w:hAnsi="Calibri"/>
          <w:b/>
        </w:rPr>
        <w:t>8.2.</w:t>
      </w:r>
      <w:r w:rsidRPr="00AD3267">
        <w:rPr>
          <w:rFonts w:ascii="Calibri" w:hAnsi="Calibri"/>
        </w:rPr>
        <w:t xml:space="preserve"> Odbiór robót zanikających i ulegających zakryciu</w:t>
      </w:r>
    </w:p>
    <w:p w:rsidR="0069484F" w:rsidRPr="00AD3267" w:rsidRDefault="0069484F" w:rsidP="00ED53FE">
      <w:pPr>
        <w:ind w:left="-851" w:right="-851"/>
        <w:rPr>
          <w:rFonts w:ascii="Calibri" w:hAnsi="Calibri"/>
        </w:rPr>
      </w:pPr>
      <w:r w:rsidRPr="00AD3267">
        <w:rPr>
          <w:rFonts w:ascii="Calibri" w:hAnsi="Calibri"/>
        </w:rPr>
        <w:tab/>
      </w:r>
      <w:r w:rsidR="00ED53FE">
        <w:rPr>
          <w:rFonts w:ascii="Calibri" w:hAnsi="Calibri"/>
        </w:rPr>
        <w:tab/>
      </w:r>
      <w:r w:rsidRPr="00AD3267">
        <w:rPr>
          <w:rFonts w:ascii="Calibri" w:hAnsi="Calibri"/>
        </w:rPr>
        <w:t>Odbiorowi robót zanikających i ulegających zakryciu podlegają:</w:t>
      </w:r>
    </w:p>
    <w:p w:rsidR="0069484F" w:rsidRPr="00AD3267" w:rsidRDefault="0069484F" w:rsidP="00ED53FE">
      <w:pPr>
        <w:ind w:left="-851" w:right="-851"/>
        <w:rPr>
          <w:rFonts w:ascii="Calibri" w:hAnsi="Calibri"/>
        </w:rPr>
      </w:pPr>
      <w:r w:rsidRPr="00AD3267">
        <w:rPr>
          <w:rFonts w:ascii="Calibri" w:hAnsi="Calibri"/>
        </w:rPr>
        <w:t>- wykop pod ławę,</w:t>
      </w:r>
    </w:p>
    <w:p w:rsidR="0069484F" w:rsidRPr="00AD3267" w:rsidRDefault="0069484F" w:rsidP="00ED53FE">
      <w:pPr>
        <w:ind w:left="-851" w:right="-851"/>
        <w:rPr>
          <w:rFonts w:ascii="Calibri" w:hAnsi="Calibri"/>
        </w:rPr>
      </w:pPr>
      <w:r w:rsidRPr="00AD3267">
        <w:rPr>
          <w:rFonts w:ascii="Calibri" w:hAnsi="Calibri"/>
        </w:rPr>
        <w:lastRenderedPageBreak/>
        <w:t>- wykonana ława,</w:t>
      </w:r>
    </w:p>
    <w:p w:rsidR="0069484F" w:rsidRPr="00AD3267" w:rsidRDefault="0069484F" w:rsidP="00ED53FE">
      <w:pPr>
        <w:ind w:left="-851" w:right="-851"/>
        <w:rPr>
          <w:rFonts w:ascii="Calibri" w:hAnsi="Calibri"/>
        </w:rPr>
      </w:pPr>
      <w:r w:rsidRPr="00AD3267">
        <w:rPr>
          <w:rFonts w:ascii="Calibri" w:hAnsi="Calibri"/>
        </w:rPr>
        <w:t>- wykonane podsypki.</w:t>
      </w:r>
    </w:p>
    <w:p w:rsidR="0069484F" w:rsidRPr="00AD3267" w:rsidRDefault="0069484F" w:rsidP="00ED53FE">
      <w:pPr>
        <w:ind w:left="-851" w:right="-851"/>
        <w:rPr>
          <w:rFonts w:ascii="Calibri" w:hAnsi="Calibri"/>
        </w:rPr>
      </w:pPr>
      <w:r w:rsidRPr="00AD3267">
        <w:rPr>
          <w:rFonts w:ascii="Calibri" w:hAnsi="Calibri"/>
        </w:rPr>
        <w:tab/>
      </w:r>
      <w:r w:rsidR="00ED53FE">
        <w:rPr>
          <w:rFonts w:ascii="Calibri" w:hAnsi="Calibri"/>
        </w:rPr>
        <w:tab/>
      </w:r>
      <w:r w:rsidRPr="00AD3267">
        <w:rPr>
          <w:rFonts w:ascii="Calibri" w:hAnsi="Calibri"/>
        </w:rPr>
        <w:t>Odbiór tych robót powinien być zgodny z wymaganiami pktu 8.2 ST D-M-00.00.00 „Wymagania ogólne” oraz niniejszej ST.</w:t>
      </w:r>
    </w:p>
    <w:p w:rsidR="0069484F" w:rsidRPr="00AD3267" w:rsidRDefault="0069484F" w:rsidP="00ED53FE">
      <w:pPr>
        <w:ind w:left="-851" w:right="-851"/>
        <w:rPr>
          <w:rFonts w:ascii="Calibri" w:hAnsi="Calibri"/>
        </w:rPr>
      </w:pPr>
    </w:p>
    <w:p w:rsidR="0069484F" w:rsidRPr="00AD3267" w:rsidRDefault="0069484F" w:rsidP="00ED53FE">
      <w:pPr>
        <w:ind w:left="-851" w:right="-851"/>
        <w:rPr>
          <w:rFonts w:ascii="Calibri" w:hAnsi="Calibri"/>
          <w:b/>
        </w:rPr>
      </w:pPr>
      <w:r w:rsidRPr="00AD3267">
        <w:rPr>
          <w:rFonts w:ascii="Calibri" w:hAnsi="Calibri"/>
          <w:b/>
        </w:rPr>
        <w:t>9. PODSTAWA PŁATNOŚCI</w:t>
      </w:r>
    </w:p>
    <w:p w:rsidR="0069484F" w:rsidRPr="00AD3267" w:rsidRDefault="0069484F" w:rsidP="00ED53FE">
      <w:pPr>
        <w:ind w:left="-851" w:right="-851"/>
        <w:rPr>
          <w:rFonts w:ascii="Calibri" w:hAnsi="Calibri"/>
        </w:rPr>
      </w:pPr>
      <w:r w:rsidRPr="00AD3267">
        <w:rPr>
          <w:rFonts w:ascii="Calibri" w:hAnsi="Calibri"/>
          <w:b/>
        </w:rPr>
        <w:t>9.1.</w:t>
      </w:r>
      <w:r w:rsidRPr="00AD3267">
        <w:rPr>
          <w:rFonts w:ascii="Calibri" w:hAnsi="Calibri"/>
        </w:rPr>
        <w:t xml:space="preserve"> Ogólne ustalenia dotyczące podstawy płatności</w:t>
      </w:r>
    </w:p>
    <w:p w:rsidR="0069484F" w:rsidRPr="00AD3267" w:rsidRDefault="0069484F" w:rsidP="00ED53FE">
      <w:pPr>
        <w:ind w:left="-851" w:right="-851"/>
        <w:rPr>
          <w:rFonts w:ascii="Calibri" w:hAnsi="Calibri"/>
        </w:rPr>
      </w:pPr>
      <w:r w:rsidRPr="00AD3267">
        <w:rPr>
          <w:rFonts w:ascii="Calibri" w:hAnsi="Calibri"/>
        </w:rPr>
        <w:tab/>
      </w:r>
      <w:r w:rsidR="00ED53FE">
        <w:rPr>
          <w:rFonts w:ascii="Calibri" w:hAnsi="Calibri"/>
        </w:rPr>
        <w:tab/>
      </w:r>
      <w:r w:rsidRPr="00AD3267">
        <w:rPr>
          <w:rFonts w:ascii="Calibri" w:hAnsi="Calibri"/>
        </w:rPr>
        <w:t>Ogólne ustalenia dotyczące podstawy płatności podano w ST D-M-00.00.00  „Wymagania ogólne” pkt 9.</w:t>
      </w:r>
    </w:p>
    <w:p w:rsidR="0069484F" w:rsidRPr="00AD3267" w:rsidRDefault="0069484F" w:rsidP="00ED53FE">
      <w:pPr>
        <w:ind w:left="-851" w:right="-851"/>
        <w:rPr>
          <w:rFonts w:ascii="Calibri" w:hAnsi="Calibri"/>
        </w:rPr>
      </w:pPr>
      <w:r w:rsidRPr="00AD3267">
        <w:rPr>
          <w:rFonts w:ascii="Calibri" w:hAnsi="Calibri"/>
          <w:b/>
        </w:rPr>
        <w:t>9.2.</w:t>
      </w:r>
      <w:r w:rsidRPr="00AD3267">
        <w:rPr>
          <w:rFonts w:ascii="Calibri" w:hAnsi="Calibri"/>
        </w:rPr>
        <w:t xml:space="preserve"> Cena jednostki obmiarowej</w:t>
      </w:r>
    </w:p>
    <w:p w:rsidR="0069484F" w:rsidRPr="00AD3267" w:rsidRDefault="0069484F" w:rsidP="00ED53FE">
      <w:pPr>
        <w:ind w:left="-851" w:right="-851"/>
        <w:rPr>
          <w:rFonts w:ascii="Calibri" w:hAnsi="Calibri"/>
        </w:rPr>
      </w:pPr>
      <w:r w:rsidRPr="00AD3267">
        <w:rPr>
          <w:rFonts w:ascii="Calibri" w:hAnsi="Calibri"/>
        </w:rPr>
        <w:tab/>
      </w:r>
      <w:r w:rsidR="00ED53FE">
        <w:rPr>
          <w:rFonts w:ascii="Calibri" w:hAnsi="Calibri"/>
        </w:rPr>
        <w:tab/>
      </w:r>
      <w:r w:rsidRPr="00AD3267">
        <w:rPr>
          <w:rFonts w:ascii="Calibri" w:hAnsi="Calibri"/>
        </w:rPr>
        <w:t xml:space="preserve">Cena wykonania </w:t>
      </w:r>
      <w:smartTag w:uri="urn:schemas-microsoft-com:office:smarttags" w:element="metricconverter">
        <w:smartTagPr>
          <w:attr w:name="ProductID" w:val="1 m"/>
        </w:smartTagPr>
        <w:r w:rsidRPr="00AD3267">
          <w:rPr>
            <w:rFonts w:ascii="Calibri" w:hAnsi="Calibri"/>
          </w:rPr>
          <w:t>1 m</w:t>
        </w:r>
      </w:smartTag>
      <w:r w:rsidRPr="00AD3267">
        <w:rPr>
          <w:rFonts w:ascii="Calibri" w:hAnsi="Calibri"/>
        </w:rPr>
        <w:t xml:space="preserve"> ścieku z betonowej kostki brukowej obejmuje:</w:t>
      </w:r>
    </w:p>
    <w:p w:rsidR="0069484F" w:rsidRPr="00AD3267" w:rsidRDefault="0069484F" w:rsidP="00ED53FE">
      <w:pPr>
        <w:ind w:left="-851" w:right="-851"/>
        <w:rPr>
          <w:rFonts w:ascii="Calibri" w:hAnsi="Calibri"/>
        </w:rPr>
      </w:pPr>
      <w:r w:rsidRPr="00AD3267">
        <w:rPr>
          <w:rFonts w:ascii="Calibri" w:hAnsi="Calibri"/>
        </w:rPr>
        <w:t>- prace pomiarowe i roboty przygotowawcze,</w:t>
      </w:r>
    </w:p>
    <w:p w:rsidR="0069484F" w:rsidRPr="00AD3267" w:rsidRDefault="0069484F" w:rsidP="00ED53FE">
      <w:pPr>
        <w:ind w:left="-851" w:right="-851"/>
        <w:rPr>
          <w:rFonts w:ascii="Calibri" w:hAnsi="Calibri"/>
        </w:rPr>
      </w:pPr>
      <w:r w:rsidRPr="00AD3267">
        <w:rPr>
          <w:rFonts w:ascii="Calibri" w:hAnsi="Calibri"/>
        </w:rPr>
        <w:t>- oznakowanie robót,</w:t>
      </w:r>
    </w:p>
    <w:p w:rsidR="0069484F" w:rsidRPr="00AD3267" w:rsidRDefault="0069484F" w:rsidP="00ED53FE">
      <w:pPr>
        <w:ind w:left="-851" w:right="-851"/>
        <w:rPr>
          <w:rFonts w:ascii="Calibri" w:hAnsi="Calibri"/>
        </w:rPr>
      </w:pPr>
      <w:r w:rsidRPr="00AD3267">
        <w:rPr>
          <w:rFonts w:ascii="Calibri" w:hAnsi="Calibri"/>
        </w:rPr>
        <w:t>- przygotowanie podłoża,</w:t>
      </w:r>
    </w:p>
    <w:p w:rsidR="0069484F" w:rsidRPr="00AD3267" w:rsidRDefault="0069484F" w:rsidP="00ED53FE">
      <w:pPr>
        <w:ind w:left="-851" w:right="-851"/>
        <w:rPr>
          <w:rFonts w:ascii="Calibri" w:hAnsi="Calibri"/>
        </w:rPr>
      </w:pPr>
      <w:r w:rsidRPr="00AD3267">
        <w:rPr>
          <w:rFonts w:ascii="Calibri" w:hAnsi="Calibri"/>
        </w:rPr>
        <w:t>- dostarczenie materiałów i sprzętu,</w:t>
      </w:r>
    </w:p>
    <w:p w:rsidR="0069484F" w:rsidRPr="00AD3267" w:rsidRDefault="0069484F" w:rsidP="00ED53FE">
      <w:pPr>
        <w:ind w:left="-851" w:right="-851"/>
        <w:rPr>
          <w:rFonts w:ascii="Calibri" w:hAnsi="Calibri"/>
        </w:rPr>
      </w:pPr>
      <w:r w:rsidRPr="00AD3267">
        <w:rPr>
          <w:rFonts w:ascii="Calibri" w:hAnsi="Calibri"/>
        </w:rPr>
        <w:t>- wykonanie koryta pod ściek,</w:t>
      </w:r>
    </w:p>
    <w:p w:rsidR="0069484F" w:rsidRPr="00AD3267" w:rsidRDefault="0069484F" w:rsidP="00ED53FE">
      <w:pPr>
        <w:ind w:left="-851" w:right="-851"/>
        <w:rPr>
          <w:rFonts w:ascii="Calibri" w:hAnsi="Calibri"/>
        </w:rPr>
      </w:pPr>
      <w:r w:rsidRPr="00AD3267">
        <w:rPr>
          <w:rFonts w:ascii="Calibri" w:hAnsi="Calibri"/>
        </w:rPr>
        <w:t>- wykonanie ławy betonowej,</w:t>
      </w:r>
    </w:p>
    <w:p w:rsidR="0069484F" w:rsidRPr="00AD3267" w:rsidRDefault="0069484F" w:rsidP="00ED53FE">
      <w:pPr>
        <w:ind w:left="-851" w:right="-851"/>
        <w:rPr>
          <w:rFonts w:ascii="Calibri" w:hAnsi="Calibri"/>
        </w:rPr>
      </w:pPr>
      <w:r w:rsidRPr="00AD3267">
        <w:rPr>
          <w:rFonts w:ascii="Calibri" w:hAnsi="Calibri"/>
        </w:rPr>
        <w:t>- wykonanie podsypek cementowo-piaskowych,</w:t>
      </w:r>
    </w:p>
    <w:p w:rsidR="0069484F" w:rsidRPr="00AD3267" w:rsidRDefault="0069484F" w:rsidP="00ED53FE">
      <w:pPr>
        <w:ind w:left="-851" w:right="-851"/>
        <w:rPr>
          <w:rFonts w:ascii="Calibri" w:hAnsi="Calibri"/>
        </w:rPr>
      </w:pPr>
      <w:r w:rsidRPr="00AD3267">
        <w:rPr>
          <w:rFonts w:ascii="Calibri" w:hAnsi="Calibri"/>
        </w:rPr>
        <w:t>- ustawienie krawężników z zalaniem spoin,</w:t>
      </w:r>
    </w:p>
    <w:p w:rsidR="0069484F" w:rsidRPr="00AD3267" w:rsidRDefault="0069484F" w:rsidP="00ED53FE">
      <w:pPr>
        <w:ind w:left="-851" w:right="-851"/>
        <w:rPr>
          <w:rFonts w:ascii="Calibri" w:hAnsi="Calibri"/>
        </w:rPr>
      </w:pPr>
      <w:r w:rsidRPr="00AD3267">
        <w:rPr>
          <w:rFonts w:ascii="Calibri" w:hAnsi="Calibri"/>
        </w:rPr>
        <w:t>- wykonanie ścieku z betonowej kostki brukowej według wymagań dokumentacji projektowej i ST,</w:t>
      </w:r>
    </w:p>
    <w:p w:rsidR="0069484F" w:rsidRPr="00AD3267" w:rsidRDefault="0069484F" w:rsidP="00ED53FE">
      <w:pPr>
        <w:ind w:left="-851" w:right="-851"/>
        <w:rPr>
          <w:rFonts w:ascii="Calibri" w:hAnsi="Calibri"/>
        </w:rPr>
      </w:pPr>
      <w:r w:rsidRPr="00AD3267">
        <w:rPr>
          <w:rFonts w:ascii="Calibri" w:hAnsi="Calibri"/>
        </w:rPr>
        <w:t>- przeprowadzenie pomiarów i badań wymaganych w ST,</w:t>
      </w:r>
    </w:p>
    <w:p w:rsidR="0069484F" w:rsidRPr="00AD3267" w:rsidRDefault="0069484F" w:rsidP="00ED53FE">
      <w:pPr>
        <w:ind w:left="-851" w:right="-851"/>
        <w:rPr>
          <w:rFonts w:ascii="Calibri" w:hAnsi="Calibri"/>
        </w:rPr>
      </w:pPr>
      <w:r w:rsidRPr="00AD3267">
        <w:rPr>
          <w:rFonts w:ascii="Calibri" w:hAnsi="Calibri"/>
        </w:rPr>
        <w:t>- odwiezienie sprzętu.</w:t>
      </w:r>
    </w:p>
    <w:p w:rsidR="0069484F" w:rsidRPr="00AD3267" w:rsidRDefault="0069484F" w:rsidP="00ED53FE">
      <w:pPr>
        <w:ind w:left="-851" w:right="-851"/>
        <w:rPr>
          <w:rFonts w:ascii="Calibri" w:hAnsi="Calibri"/>
        </w:rPr>
      </w:pPr>
      <w:r w:rsidRPr="00AD3267">
        <w:rPr>
          <w:rFonts w:ascii="Calibri" w:hAnsi="Calibri"/>
          <w:b/>
        </w:rPr>
        <w:t>9.3.</w:t>
      </w:r>
      <w:r w:rsidRPr="00AD3267">
        <w:rPr>
          <w:rFonts w:ascii="Calibri" w:hAnsi="Calibri"/>
        </w:rPr>
        <w:t xml:space="preserve"> Sposób rozliczenia robót tymczasowych i prac towarzyszących</w:t>
      </w:r>
    </w:p>
    <w:p w:rsidR="0069484F" w:rsidRPr="00AD3267" w:rsidRDefault="0069484F" w:rsidP="00ED53FE">
      <w:pPr>
        <w:ind w:left="-851" w:right="-851"/>
        <w:rPr>
          <w:rFonts w:ascii="Calibri" w:hAnsi="Calibri"/>
        </w:rPr>
      </w:pPr>
      <w:r w:rsidRPr="00AD3267">
        <w:rPr>
          <w:rFonts w:ascii="Calibri" w:hAnsi="Calibri"/>
        </w:rPr>
        <w:tab/>
      </w:r>
      <w:r w:rsidR="00ED53FE">
        <w:rPr>
          <w:rFonts w:ascii="Calibri" w:hAnsi="Calibri"/>
        </w:rPr>
        <w:tab/>
      </w:r>
      <w:r w:rsidRPr="00AD3267">
        <w:rPr>
          <w:rFonts w:ascii="Calibri" w:hAnsi="Calibri"/>
        </w:rPr>
        <w:t xml:space="preserve">Cena wykonania robót określonych niniejszą </w:t>
      </w:r>
      <w:r>
        <w:rPr>
          <w:rFonts w:ascii="Calibri" w:hAnsi="Calibri"/>
        </w:rPr>
        <w:t xml:space="preserve">ST obejmuje </w:t>
      </w:r>
      <w:r w:rsidRPr="00AD3267">
        <w:rPr>
          <w:rFonts w:ascii="Calibri" w:hAnsi="Calibri"/>
        </w:rPr>
        <w:t xml:space="preserve">roboty tymczasowe, które są potrzebne do wykonania robót podstawowych, ale nie są przekazywane Zamawiającemu i są usuwane </w:t>
      </w:r>
      <w:r>
        <w:rPr>
          <w:rFonts w:ascii="Calibri" w:hAnsi="Calibri"/>
        </w:rPr>
        <w:t>po wykonaniu robót podstawowych oraz</w:t>
      </w:r>
      <w:r w:rsidRPr="00AD3267">
        <w:rPr>
          <w:rFonts w:ascii="Calibri" w:hAnsi="Calibri"/>
        </w:rPr>
        <w:t xml:space="preserve"> prace towarzyszące, które są niezbędne do wykonania robót podstawowych, niezaliczane do robót tymczasowych, jak geodezyjne wytyczenie robót itd.</w:t>
      </w:r>
    </w:p>
    <w:p w:rsidR="0069484F" w:rsidRPr="00AD3267" w:rsidRDefault="0069484F" w:rsidP="00ED53FE">
      <w:pPr>
        <w:ind w:left="-851" w:right="-851"/>
        <w:rPr>
          <w:rFonts w:ascii="Calibri" w:hAnsi="Calibri"/>
        </w:rPr>
      </w:pPr>
    </w:p>
    <w:p w:rsidR="0069484F" w:rsidRPr="00AD3267" w:rsidRDefault="0069484F" w:rsidP="00ED53FE">
      <w:pPr>
        <w:ind w:left="-851" w:right="-851"/>
        <w:rPr>
          <w:rFonts w:ascii="Calibri" w:hAnsi="Calibri"/>
          <w:b/>
        </w:rPr>
      </w:pPr>
      <w:r w:rsidRPr="00AD3267">
        <w:rPr>
          <w:rFonts w:ascii="Calibri" w:hAnsi="Calibri"/>
          <w:b/>
        </w:rPr>
        <w:t>10. PRZEPISY ZWIĄZANE</w:t>
      </w:r>
    </w:p>
    <w:p w:rsidR="0069484F" w:rsidRPr="00AD3267" w:rsidRDefault="0069484F" w:rsidP="00ED53FE">
      <w:pPr>
        <w:ind w:left="-851" w:right="-851"/>
        <w:rPr>
          <w:rFonts w:ascii="Calibri" w:hAnsi="Calibri"/>
        </w:rPr>
      </w:pPr>
      <w:r w:rsidRPr="00AD3267">
        <w:rPr>
          <w:rFonts w:ascii="Calibri" w:hAnsi="Calibri"/>
          <w:b/>
        </w:rPr>
        <w:t>10.1.</w:t>
      </w:r>
      <w:r w:rsidRPr="00AD3267">
        <w:rPr>
          <w:rFonts w:ascii="Calibri" w:hAnsi="Calibri"/>
        </w:rPr>
        <w:t xml:space="preserve"> Specyfikacje techniczne (ST)</w:t>
      </w:r>
    </w:p>
    <w:tbl>
      <w:tblPr>
        <w:tblW w:w="0" w:type="auto"/>
        <w:tblInd w:w="-781" w:type="dxa"/>
        <w:tblLayout w:type="fixed"/>
        <w:tblCellMar>
          <w:left w:w="70" w:type="dxa"/>
          <w:right w:w="70" w:type="dxa"/>
        </w:tblCellMar>
        <w:tblLook w:val="0000"/>
      </w:tblPr>
      <w:tblGrid>
        <w:gridCol w:w="637"/>
        <w:gridCol w:w="1843"/>
        <w:gridCol w:w="4961"/>
      </w:tblGrid>
      <w:tr w:rsidR="0069484F" w:rsidRPr="00AD3267" w:rsidTr="00ED53FE">
        <w:tblPrEx>
          <w:tblCellMar>
            <w:top w:w="0" w:type="dxa"/>
            <w:bottom w:w="0" w:type="dxa"/>
          </w:tblCellMar>
        </w:tblPrEx>
        <w:tc>
          <w:tcPr>
            <w:tcW w:w="637" w:type="dxa"/>
          </w:tcPr>
          <w:p w:rsidR="0069484F" w:rsidRPr="00AD3267" w:rsidRDefault="0069484F" w:rsidP="00ED53FE">
            <w:pPr>
              <w:rPr>
                <w:rFonts w:ascii="Calibri" w:hAnsi="Calibri"/>
              </w:rPr>
            </w:pPr>
            <w:r w:rsidRPr="00AD3267">
              <w:rPr>
                <w:rFonts w:ascii="Calibri" w:hAnsi="Calibri"/>
              </w:rPr>
              <w:t>1.</w:t>
            </w:r>
          </w:p>
        </w:tc>
        <w:tc>
          <w:tcPr>
            <w:tcW w:w="1843" w:type="dxa"/>
          </w:tcPr>
          <w:p w:rsidR="0069484F" w:rsidRPr="00AD3267" w:rsidRDefault="0069484F" w:rsidP="00ED53FE">
            <w:pPr>
              <w:rPr>
                <w:rFonts w:ascii="Calibri" w:hAnsi="Calibri"/>
              </w:rPr>
            </w:pPr>
            <w:r w:rsidRPr="00AD3267">
              <w:rPr>
                <w:rFonts w:ascii="Calibri" w:hAnsi="Calibri"/>
              </w:rPr>
              <w:t>D-M-00.00.00</w:t>
            </w:r>
          </w:p>
        </w:tc>
        <w:tc>
          <w:tcPr>
            <w:tcW w:w="4961" w:type="dxa"/>
          </w:tcPr>
          <w:p w:rsidR="0069484F" w:rsidRPr="00AD3267" w:rsidRDefault="0069484F" w:rsidP="00ED53FE">
            <w:pPr>
              <w:rPr>
                <w:rFonts w:ascii="Calibri" w:hAnsi="Calibri"/>
              </w:rPr>
            </w:pPr>
            <w:r w:rsidRPr="00AD3267">
              <w:rPr>
                <w:rFonts w:ascii="Calibri" w:hAnsi="Calibri"/>
              </w:rPr>
              <w:t>Wymagania ogólne</w:t>
            </w:r>
          </w:p>
        </w:tc>
      </w:tr>
    </w:tbl>
    <w:p w:rsidR="0069484F" w:rsidRPr="00AD3267" w:rsidRDefault="0069484F" w:rsidP="0069484F">
      <w:pPr>
        <w:rPr>
          <w:rFonts w:ascii="Calibri" w:hAnsi="Calibri"/>
        </w:rPr>
      </w:pPr>
      <w:r w:rsidRPr="00AD3267">
        <w:rPr>
          <w:rFonts w:ascii="Calibri" w:hAnsi="Calibri"/>
          <w:b/>
        </w:rPr>
        <w:t>10.2.</w:t>
      </w:r>
      <w:r w:rsidRPr="00AD3267">
        <w:rPr>
          <w:rFonts w:ascii="Calibri" w:hAnsi="Calibri"/>
        </w:rPr>
        <w:t xml:space="preserve"> Normy</w:t>
      </w:r>
    </w:p>
    <w:tbl>
      <w:tblPr>
        <w:tblW w:w="7479" w:type="dxa"/>
        <w:tblInd w:w="-743" w:type="dxa"/>
        <w:tblLook w:val="01E0"/>
      </w:tblPr>
      <w:tblGrid>
        <w:gridCol w:w="675"/>
        <w:gridCol w:w="1843"/>
        <w:gridCol w:w="4961"/>
      </w:tblGrid>
      <w:tr w:rsidR="0069484F" w:rsidRPr="00AD3267" w:rsidTr="00ED53FE">
        <w:tc>
          <w:tcPr>
            <w:tcW w:w="675" w:type="dxa"/>
          </w:tcPr>
          <w:p w:rsidR="0069484F" w:rsidRPr="00AD3267" w:rsidRDefault="0069484F" w:rsidP="00ED53FE">
            <w:pPr>
              <w:rPr>
                <w:rFonts w:ascii="Calibri" w:hAnsi="Calibri"/>
              </w:rPr>
            </w:pPr>
            <w:r w:rsidRPr="00AD3267">
              <w:rPr>
                <w:rFonts w:ascii="Calibri" w:hAnsi="Calibri"/>
              </w:rPr>
              <w:t>2.</w:t>
            </w:r>
          </w:p>
        </w:tc>
        <w:tc>
          <w:tcPr>
            <w:tcW w:w="1843" w:type="dxa"/>
          </w:tcPr>
          <w:p w:rsidR="0069484F" w:rsidRPr="00AD3267" w:rsidRDefault="0069484F" w:rsidP="00ED53FE">
            <w:pPr>
              <w:rPr>
                <w:rFonts w:ascii="Calibri" w:hAnsi="Calibri"/>
              </w:rPr>
            </w:pPr>
            <w:r w:rsidRPr="00AD3267">
              <w:rPr>
                <w:rFonts w:ascii="Calibri" w:hAnsi="Calibri"/>
              </w:rPr>
              <w:t>PN-EN 197-1</w:t>
            </w:r>
          </w:p>
        </w:tc>
        <w:tc>
          <w:tcPr>
            <w:tcW w:w="4961" w:type="dxa"/>
          </w:tcPr>
          <w:p w:rsidR="0069484F" w:rsidRPr="00AD3267" w:rsidRDefault="0069484F" w:rsidP="00ED53FE">
            <w:pPr>
              <w:rPr>
                <w:rFonts w:ascii="Calibri" w:hAnsi="Calibri"/>
              </w:rPr>
            </w:pPr>
            <w:r w:rsidRPr="00AD3267">
              <w:rPr>
                <w:rFonts w:ascii="Calibri" w:hAnsi="Calibri"/>
              </w:rPr>
              <w:t>Cement - Część 1: Skład, wymagania i kryteria zgodności dotyczące cementu powszechnego użytku</w:t>
            </w:r>
          </w:p>
        </w:tc>
      </w:tr>
      <w:tr w:rsidR="0069484F" w:rsidRPr="00AD3267" w:rsidTr="00ED53FE">
        <w:tc>
          <w:tcPr>
            <w:tcW w:w="675" w:type="dxa"/>
          </w:tcPr>
          <w:p w:rsidR="0069484F" w:rsidRPr="00AD3267" w:rsidRDefault="0069484F" w:rsidP="00ED53FE">
            <w:pPr>
              <w:rPr>
                <w:rFonts w:ascii="Calibri" w:hAnsi="Calibri"/>
              </w:rPr>
            </w:pPr>
            <w:r w:rsidRPr="00AD3267">
              <w:rPr>
                <w:rFonts w:ascii="Calibri" w:hAnsi="Calibri"/>
              </w:rPr>
              <w:t>3.</w:t>
            </w:r>
          </w:p>
        </w:tc>
        <w:tc>
          <w:tcPr>
            <w:tcW w:w="1843" w:type="dxa"/>
          </w:tcPr>
          <w:p w:rsidR="0069484F" w:rsidRPr="00AD3267" w:rsidRDefault="0069484F" w:rsidP="00ED53FE">
            <w:pPr>
              <w:rPr>
                <w:rFonts w:ascii="Calibri" w:hAnsi="Calibri"/>
              </w:rPr>
            </w:pPr>
            <w:r w:rsidRPr="00AD3267">
              <w:rPr>
                <w:rFonts w:ascii="Calibri" w:hAnsi="Calibri"/>
              </w:rPr>
              <w:t>PN-EN 206-1</w:t>
            </w:r>
          </w:p>
        </w:tc>
        <w:tc>
          <w:tcPr>
            <w:tcW w:w="4961" w:type="dxa"/>
          </w:tcPr>
          <w:p w:rsidR="0069484F" w:rsidRPr="00AD3267" w:rsidRDefault="0069484F" w:rsidP="00ED53FE">
            <w:pPr>
              <w:rPr>
                <w:rFonts w:ascii="Calibri" w:hAnsi="Calibri"/>
              </w:rPr>
            </w:pPr>
            <w:r w:rsidRPr="00AD3267">
              <w:rPr>
                <w:rFonts w:ascii="Calibri" w:hAnsi="Calibri"/>
              </w:rPr>
              <w:t>Beton - Część 1: Wymagania, właściwości, produkcja i zgodność (W okresie przejściowym można stosować PN-B-06250:1988 Beton zwykły)</w:t>
            </w:r>
          </w:p>
        </w:tc>
      </w:tr>
      <w:tr w:rsidR="0069484F" w:rsidRPr="00AD3267" w:rsidTr="00ED53FE">
        <w:tc>
          <w:tcPr>
            <w:tcW w:w="675" w:type="dxa"/>
          </w:tcPr>
          <w:p w:rsidR="0069484F" w:rsidRPr="00AD3267" w:rsidRDefault="0069484F" w:rsidP="00ED53FE">
            <w:pPr>
              <w:rPr>
                <w:rFonts w:ascii="Calibri" w:hAnsi="Calibri"/>
              </w:rPr>
            </w:pPr>
            <w:r w:rsidRPr="00AD3267">
              <w:rPr>
                <w:rFonts w:ascii="Calibri" w:hAnsi="Calibri"/>
              </w:rPr>
              <w:t>4.</w:t>
            </w:r>
          </w:p>
        </w:tc>
        <w:tc>
          <w:tcPr>
            <w:tcW w:w="1843" w:type="dxa"/>
          </w:tcPr>
          <w:p w:rsidR="0069484F" w:rsidRPr="00AD3267" w:rsidRDefault="0069484F" w:rsidP="00ED53FE">
            <w:pPr>
              <w:rPr>
                <w:rFonts w:ascii="Calibri" w:hAnsi="Calibri"/>
              </w:rPr>
            </w:pPr>
            <w:r w:rsidRPr="00AD3267">
              <w:rPr>
                <w:rFonts w:ascii="Calibri" w:hAnsi="Calibri"/>
              </w:rPr>
              <w:t>PN-EN 1008</w:t>
            </w:r>
          </w:p>
        </w:tc>
        <w:tc>
          <w:tcPr>
            <w:tcW w:w="4961" w:type="dxa"/>
          </w:tcPr>
          <w:p w:rsidR="0069484F" w:rsidRPr="00AD3267" w:rsidRDefault="0069484F" w:rsidP="00ED53FE">
            <w:pPr>
              <w:rPr>
                <w:rFonts w:ascii="Calibri" w:hAnsi="Calibri"/>
              </w:rPr>
            </w:pPr>
            <w:r w:rsidRPr="00AD3267">
              <w:rPr>
                <w:rFonts w:ascii="Calibri" w:hAnsi="Calibri"/>
              </w:rPr>
              <w:t>Woda zarobowa do betonu - Specyfikacja pobierania próbek, badanie i ocena przydatności wody zarobowej do betonu, w tym wody odzyskanej z procesów produkcji betonu</w:t>
            </w:r>
          </w:p>
        </w:tc>
      </w:tr>
      <w:tr w:rsidR="0069484F" w:rsidRPr="00AD3267" w:rsidTr="00ED53FE">
        <w:tc>
          <w:tcPr>
            <w:tcW w:w="675" w:type="dxa"/>
          </w:tcPr>
          <w:p w:rsidR="0069484F" w:rsidRPr="00AD3267" w:rsidRDefault="0069484F" w:rsidP="00ED53FE">
            <w:pPr>
              <w:rPr>
                <w:rFonts w:ascii="Calibri" w:hAnsi="Calibri"/>
              </w:rPr>
            </w:pPr>
            <w:r w:rsidRPr="00AD3267">
              <w:rPr>
                <w:rFonts w:ascii="Calibri" w:hAnsi="Calibri"/>
              </w:rPr>
              <w:t>5.</w:t>
            </w:r>
          </w:p>
        </w:tc>
        <w:tc>
          <w:tcPr>
            <w:tcW w:w="1843" w:type="dxa"/>
          </w:tcPr>
          <w:p w:rsidR="0069484F" w:rsidRPr="00AD3267" w:rsidRDefault="0069484F" w:rsidP="00ED53FE">
            <w:pPr>
              <w:rPr>
                <w:rFonts w:ascii="Calibri" w:hAnsi="Calibri"/>
              </w:rPr>
            </w:pPr>
            <w:r w:rsidRPr="00AD3267">
              <w:rPr>
                <w:rFonts w:ascii="Calibri" w:hAnsi="Calibri"/>
              </w:rPr>
              <w:t>PN-EN 1338</w:t>
            </w:r>
          </w:p>
        </w:tc>
        <w:tc>
          <w:tcPr>
            <w:tcW w:w="4961" w:type="dxa"/>
          </w:tcPr>
          <w:p w:rsidR="0069484F" w:rsidRPr="00AD3267" w:rsidRDefault="0069484F" w:rsidP="00ED53FE">
            <w:pPr>
              <w:rPr>
                <w:rFonts w:ascii="Calibri" w:hAnsi="Calibri"/>
              </w:rPr>
            </w:pPr>
            <w:r w:rsidRPr="00AD3267">
              <w:rPr>
                <w:rFonts w:ascii="Calibri" w:hAnsi="Calibri"/>
              </w:rPr>
              <w:t>Betonowe kostki brukowe –  Wymagania i metody badań</w:t>
            </w:r>
          </w:p>
        </w:tc>
      </w:tr>
      <w:tr w:rsidR="0069484F" w:rsidRPr="00AD3267" w:rsidTr="00ED53FE">
        <w:trPr>
          <w:trHeight w:val="517"/>
        </w:trPr>
        <w:tc>
          <w:tcPr>
            <w:tcW w:w="675" w:type="dxa"/>
          </w:tcPr>
          <w:p w:rsidR="0069484F" w:rsidRPr="00AD3267" w:rsidRDefault="0069484F" w:rsidP="00ED53FE">
            <w:pPr>
              <w:rPr>
                <w:rFonts w:ascii="Calibri" w:hAnsi="Calibri"/>
              </w:rPr>
            </w:pPr>
            <w:r w:rsidRPr="00AD3267">
              <w:rPr>
                <w:rFonts w:ascii="Calibri" w:hAnsi="Calibri"/>
              </w:rPr>
              <w:t>6.</w:t>
            </w:r>
          </w:p>
        </w:tc>
        <w:tc>
          <w:tcPr>
            <w:tcW w:w="1843" w:type="dxa"/>
          </w:tcPr>
          <w:p w:rsidR="0069484F" w:rsidRPr="00AD3267" w:rsidRDefault="0069484F" w:rsidP="00ED53FE">
            <w:pPr>
              <w:rPr>
                <w:rFonts w:ascii="Calibri" w:hAnsi="Calibri"/>
              </w:rPr>
            </w:pPr>
            <w:r w:rsidRPr="00AD3267">
              <w:rPr>
                <w:rFonts w:ascii="Calibri" w:hAnsi="Calibri"/>
              </w:rPr>
              <w:t>PN-EN 1340</w:t>
            </w:r>
          </w:p>
        </w:tc>
        <w:tc>
          <w:tcPr>
            <w:tcW w:w="4961" w:type="dxa"/>
          </w:tcPr>
          <w:p w:rsidR="0069484F" w:rsidRPr="00AD3267" w:rsidRDefault="0069484F" w:rsidP="00ED53FE">
            <w:pPr>
              <w:rPr>
                <w:rFonts w:ascii="Calibri" w:hAnsi="Calibri"/>
              </w:rPr>
            </w:pPr>
            <w:r w:rsidRPr="00AD3267">
              <w:rPr>
                <w:rFonts w:ascii="Calibri" w:hAnsi="Calibri"/>
              </w:rPr>
              <w:t>Krawężniki betonowe – Wymagania i metody badań</w:t>
            </w:r>
          </w:p>
        </w:tc>
      </w:tr>
      <w:tr w:rsidR="0069484F" w:rsidRPr="00AD3267" w:rsidTr="00ED53FE">
        <w:tc>
          <w:tcPr>
            <w:tcW w:w="675" w:type="dxa"/>
          </w:tcPr>
          <w:p w:rsidR="0069484F" w:rsidRPr="00AD3267" w:rsidRDefault="0069484F" w:rsidP="00ED53FE">
            <w:pPr>
              <w:rPr>
                <w:rFonts w:ascii="Calibri" w:hAnsi="Calibri"/>
              </w:rPr>
            </w:pPr>
            <w:r w:rsidRPr="00AD3267">
              <w:rPr>
                <w:rFonts w:ascii="Calibri" w:hAnsi="Calibri"/>
              </w:rPr>
              <w:t>7.</w:t>
            </w:r>
          </w:p>
        </w:tc>
        <w:tc>
          <w:tcPr>
            <w:tcW w:w="1843" w:type="dxa"/>
          </w:tcPr>
          <w:p w:rsidR="0069484F" w:rsidRPr="00AD3267" w:rsidRDefault="0069484F" w:rsidP="00ED53FE">
            <w:pPr>
              <w:rPr>
                <w:rFonts w:ascii="Calibri" w:hAnsi="Calibri"/>
              </w:rPr>
            </w:pPr>
            <w:r w:rsidRPr="00AD3267">
              <w:rPr>
                <w:rFonts w:ascii="Calibri" w:hAnsi="Calibri"/>
              </w:rPr>
              <w:t>PN-EN 13242</w:t>
            </w:r>
          </w:p>
        </w:tc>
        <w:tc>
          <w:tcPr>
            <w:tcW w:w="4961" w:type="dxa"/>
          </w:tcPr>
          <w:p w:rsidR="0069484F" w:rsidRPr="00AD3267" w:rsidRDefault="0069484F" w:rsidP="00ED53FE">
            <w:pPr>
              <w:rPr>
                <w:rFonts w:ascii="Calibri" w:hAnsi="Calibri"/>
              </w:rPr>
            </w:pPr>
            <w:r w:rsidRPr="00AD3267">
              <w:rPr>
                <w:rFonts w:ascii="Calibri" w:hAnsi="Calibri"/>
              </w:rPr>
              <w:t>Kruszywa dla niezwiązanych i związanych hydraulicznie materiałów stosowanych w obiektach budowlanych i budownictwie drogowym (W okresie przejściowym można stosować PN-B-11111:1996 Kruszywa mineralne. Kruszywa naturalne do nawierzchni drogowych. Żwir i mieszanka, PN-B-11112:1996 Kruszywa mineralne. Kruszywo łamane do nawierzchni drogowych, PN-B-</w:t>
            </w:r>
            <w:r w:rsidRPr="00AD3267">
              <w:rPr>
                <w:rFonts w:ascii="Calibri" w:hAnsi="Calibri"/>
              </w:rPr>
              <w:lastRenderedPageBreak/>
              <w:t>11113:1996 Kruszywa mineralne. Kruszywa naturalne do nawierzchni drogowych. Piasek)</w:t>
            </w:r>
          </w:p>
        </w:tc>
      </w:tr>
      <w:tr w:rsidR="0069484F" w:rsidRPr="00AD3267" w:rsidTr="00ED53FE">
        <w:tc>
          <w:tcPr>
            <w:tcW w:w="675" w:type="dxa"/>
          </w:tcPr>
          <w:p w:rsidR="0069484F" w:rsidRPr="00AD3267" w:rsidRDefault="0069484F" w:rsidP="00ED53FE">
            <w:pPr>
              <w:rPr>
                <w:rFonts w:ascii="Calibri" w:hAnsi="Calibri"/>
              </w:rPr>
            </w:pPr>
            <w:r w:rsidRPr="00AD3267">
              <w:rPr>
                <w:rFonts w:ascii="Calibri" w:hAnsi="Calibri"/>
              </w:rPr>
              <w:lastRenderedPageBreak/>
              <w:t>8.</w:t>
            </w:r>
          </w:p>
        </w:tc>
        <w:tc>
          <w:tcPr>
            <w:tcW w:w="1843" w:type="dxa"/>
          </w:tcPr>
          <w:p w:rsidR="0069484F" w:rsidRPr="00AD3267" w:rsidRDefault="0069484F" w:rsidP="00ED53FE">
            <w:pPr>
              <w:rPr>
                <w:rFonts w:ascii="Calibri" w:hAnsi="Calibri"/>
              </w:rPr>
            </w:pPr>
            <w:r w:rsidRPr="00AD3267">
              <w:rPr>
                <w:rFonts w:ascii="Calibri" w:hAnsi="Calibri"/>
              </w:rPr>
              <w:t>PN-EN 14188-1</w:t>
            </w:r>
          </w:p>
        </w:tc>
        <w:tc>
          <w:tcPr>
            <w:tcW w:w="4961" w:type="dxa"/>
          </w:tcPr>
          <w:p w:rsidR="0069484F" w:rsidRPr="00AD3267" w:rsidRDefault="0069484F" w:rsidP="00ED53FE">
            <w:pPr>
              <w:rPr>
                <w:rFonts w:ascii="Calibri" w:hAnsi="Calibri"/>
              </w:rPr>
            </w:pPr>
            <w:r w:rsidRPr="00AD3267">
              <w:rPr>
                <w:rFonts w:ascii="Calibri" w:hAnsi="Calibri"/>
              </w:rPr>
              <w:t>Wypełniacze szczelin i zalewy – Część 1: Specyfikacja zalew na gorąco</w:t>
            </w:r>
          </w:p>
        </w:tc>
      </w:tr>
      <w:tr w:rsidR="0069484F" w:rsidRPr="00AD3267" w:rsidTr="00ED53FE">
        <w:tc>
          <w:tcPr>
            <w:tcW w:w="675" w:type="dxa"/>
          </w:tcPr>
          <w:p w:rsidR="0069484F" w:rsidRPr="00AD3267" w:rsidRDefault="0069484F" w:rsidP="00ED53FE">
            <w:pPr>
              <w:rPr>
                <w:rFonts w:ascii="Calibri" w:hAnsi="Calibri"/>
              </w:rPr>
            </w:pPr>
            <w:r w:rsidRPr="00AD3267">
              <w:rPr>
                <w:rFonts w:ascii="Calibri" w:hAnsi="Calibri"/>
              </w:rPr>
              <w:t>9.</w:t>
            </w:r>
          </w:p>
        </w:tc>
        <w:tc>
          <w:tcPr>
            <w:tcW w:w="1843" w:type="dxa"/>
          </w:tcPr>
          <w:p w:rsidR="0069484F" w:rsidRPr="00AD3267" w:rsidRDefault="0069484F" w:rsidP="00ED53FE">
            <w:pPr>
              <w:rPr>
                <w:rFonts w:ascii="Calibri" w:hAnsi="Calibri"/>
              </w:rPr>
            </w:pPr>
            <w:r w:rsidRPr="00AD3267">
              <w:rPr>
                <w:rFonts w:ascii="Calibri" w:hAnsi="Calibri"/>
              </w:rPr>
              <w:t>PN-EN 14188-2</w:t>
            </w:r>
          </w:p>
        </w:tc>
        <w:tc>
          <w:tcPr>
            <w:tcW w:w="4961" w:type="dxa"/>
          </w:tcPr>
          <w:p w:rsidR="0069484F" w:rsidRPr="00AD3267" w:rsidRDefault="0069484F" w:rsidP="00ED53FE">
            <w:pPr>
              <w:rPr>
                <w:rFonts w:ascii="Calibri" w:hAnsi="Calibri"/>
              </w:rPr>
            </w:pPr>
            <w:r w:rsidRPr="00AD3267">
              <w:rPr>
                <w:rFonts w:ascii="Calibri" w:hAnsi="Calibri"/>
              </w:rPr>
              <w:t>Wypełniacze szczelin i zalewy – Część 1: Specyfikacja zalew na zimno</w:t>
            </w:r>
          </w:p>
        </w:tc>
      </w:tr>
    </w:tbl>
    <w:p w:rsidR="0069484F" w:rsidRPr="00AD3267" w:rsidRDefault="0069484F" w:rsidP="00ED53FE">
      <w:pPr>
        <w:ind w:left="-851" w:right="-851"/>
        <w:rPr>
          <w:rFonts w:ascii="Calibri" w:hAnsi="Calibri"/>
        </w:rPr>
      </w:pPr>
    </w:p>
    <w:p w:rsidR="0069484F" w:rsidRPr="00AD3267" w:rsidRDefault="0069484F" w:rsidP="00ED53FE">
      <w:pPr>
        <w:ind w:left="-851" w:right="-851"/>
        <w:rPr>
          <w:rFonts w:ascii="Calibri" w:hAnsi="Calibri"/>
          <w:b/>
        </w:rPr>
      </w:pPr>
      <w:bookmarkStart w:id="1660" w:name="_Toc266695149"/>
      <w:r w:rsidRPr="00AD3267">
        <w:rPr>
          <w:rFonts w:ascii="Calibri" w:hAnsi="Calibri"/>
          <w:b/>
        </w:rPr>
        <w:t>11. ZAŁĄCZNIKI</w:t>
      </w:r>
      <w:bookmarkEnd w:id="1660"/>
    </w:p>
    <w:p w:rsidR="0069484F" w:rsidRPr="00AD3267" w:rsidRDefault="0069484F" w:rsidP="00ED53FE">
      <w:pPr>
        <w:ind w:left="-851" w:right="-851"/>
        <w:rPr>
          <w:rFonts w:ascii="Calibri" w:hAnsi="Calibri"/>
        </w:rPr>
      </w:pPr>
      <w:r w:rsidRPr="00AD3267">
        <w:rPr>
          <w:rFonts w:ascii="Calibri" w:hAnsi="Calibri"/>
        </w:rPr>
        <w:t>ZAŁĄCZNIK 1</w:t>
      </w:r>
    </w:p>
    <w:p w:rsidR="0069484F" w:rsidRPr="00AD3267" w:rsidRDefault="0069484F" w:rsidP="00ED53FE">
      <w:pPr>
        <w:ind w:left="-851" w:right="-851"/>
        <w:rPr>
          <w:rFonts w:ascii="Calibri" w:hAnsi="Calibri"/>
        </w:rPr>
      </w:pPr>
      <w:r w:rsidRPr="00AD3267">
        <w:rPr>
          <w:rFonts w:ascii="Calibri" w:hAnsi="Calibri"/>
        </w:rPr>
        <w:t>STOSOWANIE  ŚCIEKÓW  ULICZNYCH</w:t>
      </w:r>
    </w:p>
    <w:p w:rsidR="0069484F" w:rsidRPr="00AD3267" w:rsidRDefault="0069484F" w:rsidP="00ED53FE">
      <w:pPr>
        <w:ind w:left="-851" w:right="-851"/>
        <w:rPr>
          <w:rFonts w:ascii="Calibri" w:hAnsi="Calibri"/>
        </w:rPr>
      </w:pPr>
      <w:r w:rsidRPr="00AD3267">
        <w:rPr>
          <w:rFonts w:ascii="Calibri" w:hAnsi="Calibri"/>
        </w:rPr>
        <w:t>(wg PN-S-02204:1997 Drogi samochodowe. Odwodnienie dróg)</w:t>
      </w:r>
    </w:p>
    <w:p w:rsidR="0069484F" w:rsidRPr="00AD3267" w:rsidRDefault="0069484F" w:rsidP="00ED53FE">
      <w:pPr>
        <w:ind w:left="-851" w:right="-851"/>
        <w:rPr>
          <w:rFonts w:ascii="Calibri" w:hAnsi="Calibri"/>
        </w:rPr>
      </w:pPr>
      <w:r w:rsidRPr="00AD3267">
        <w:rPr>
          <w:rFonts w:ascii="Calibri" w:hAnsi="Calibri"/>
          <w:b/>
        </w:rPr>
        <w:t>1.1.</w:t>
      </w:r>
      <w:r w:rsidRPr="00AD3267">
        <w:rPr>
          <w:rFonts w:ascii="Calibri" w:hAnsi="Calibri"/>
        </w:rPr>
        <w:t xml:space="preserve"> Zastosowanie ścieków ulicznych</w:t>
      </w:r>
    </w:p>
    <w:p w:rsidR="0069484F" w:rsidRPr="00AD3267" w:rsidRDefault="0069484F" w:rsidP="00ED53FE">
      <w:pPr>
        <w:ind w:left="-851" w:right="-851"/>
        <w:rPr>
          <w:rFonts w:ascii="Calibri" w:hAnsi="Calibri"/>
        </w:rPr>
      </w:pPr>
      <w:r w:rsidRPr="00AD3267">
        <w:rPr>
          <w:rFonts w:ascii="Calibri" w:hAnsi="Calibri"/>
        </w:rPr>
        <w:tab/>
      </w:r>
      <w:r w:rsidR="00ED53FE">
        <w:rPr>
          <w:rFonts w:ascii="Calibri" w:hAnsi="Calibri"/>
        </w:rPr>
        <w:tab/>
      </w:r>
      <w:r w:rsidRPr="00AD3267">
        <w:rPr>
          <w:rFonts w:ascii="Calibri" w:hAnsi="Calibri"/>
        </w:rPr>
        <w:t>Ścieki uliczne stosuje się jako standardowe rozwiązanie odwodnienia szczelnych nawierzchni dróg na obszarach zabudowanych, przy czym:</w:t>
      </w:r>
    </w:p>
    <w:p w:rsidR="0069484F" w:rsidRPr="00AD3267" w:rsidRDefault="0069484F" w:rsidP="00ED53FE">
      <w:pPr>
        <w:ind w:left="-851" w:right="-851"/>
        <w:rPr>
          <w:rFonts w:ascii="Calibri" w:hAnsi="Calibri"/>
        </w:rPr>
      </w:pPr>
      <w:r>
        <w:rPr>
          <w:rFonts w:ascii="Calibri" w:hAnsi="Calibri"/>
        </w:rPr>
        <w:t>-</w:t>
      </w:r>
      <w:r w:rsidRPr="00AD3267">
        <w:rPr>
          <w:rFonts w:ascii="Calibri" w:hAnsi="Calibri"/>
        </w:rPr>
        <w:t>w przekrojach ulicznych lokalizuje się je przy krawędzi jezdni jako ścieki przykrawężnikowe,</w:t>
      </w:r>
    </w:p>
    <w:p w:rsidR="0069484F" w:rsidRPr="00AD3267" w:rsidRDefault="0069484F" w:rsidP="00ED53FE">
      <w:pPr>
        <w:ind w:left="-851" w:right="-851"/>
        <w:rPr>
          <w:rFonts w:ascii="Calibri" w:hAnsi="Calibri"/>
        </w:rPr>
      </w:pPr>
      <w:r>
        <w:rPr>
          <w:rFonts w:ascii="Calibri" w:hAnsi="Calibri"/>
        </w:rPr>
        <w:t>-</w:t>
      </w:r>
      <w:r w:rsidRPr="00AD3267">
        <w:rPr>
          <w:rFonts w:ascii="Calibri" w:hAnsi="Calibri"/>
        </w:rPr>
        <w:t>na placach postojowych lokalizuje się je przy zewnętrznej ich krawędzi jako ścieki przykrawężnikowe lub z dala od tej krawędzi jako ścieki nawierzchniowe (międzyjezdniowe).</w:t>
      </w:r>
    </w:p>
    <w:p w:rsidR="0069484F" w:rsidRPr="00AD3267" w:rsidRDefault="0069484F" w:rsidP="00ED53FE">
      <w:pPr>
        <w:ind w:left="-851" w:right="-851"/>
        <w:rPr>
          <w:rFonts w:ascii="Calibri" w:hAnsi="Calibri"/>
        </w:rPr>
      </w:pPr>
      <w:r w:rsidRPr="00AD3267">
        <w:rPr>
          <w:rFonts w:ascii="Calibri" w:hAnsi="Calibri"/>
          <w:b/>
        </w:rPr>
        <w:t>1.2.</w:t>
      </w:r>
      <w:r w:rsidRPr="00AD3267">
        <w:rPr>
          <w:rFonts w:ascii="Calibri" w:hAnsi="Calibri"/>
        </w:rPr>
        <w:t xml:space="preserve"> Konstrukcja ścieków przykrawężnikowych i międzyjezdniowych</w:t>
      </w:r>
    </w:p>
    <w:p w:rsidR="0069484F" w:rsidRPr="00AD3267" w:rsidRDefault="0069484F" w:rsidP="00ED53FE">
      <w:pPr>
        <w:ind w:left="-851" w:right="-851"/>
        <w:rPr>
          <w:rFonts w:ascii="Calibri" w:hAnsi="Calibri"/>
        </w:rPr>
      </w:pPr>
      <w:r w:rsidRPr="00AD3267">
        <w:rPr>
          <w:rFonts w:ascii="Calibri" w:hAnsi="Calibri"/>
        </w:rPr>
        <w:tab/>
      </w:r>
      <w:r w:rsidR="00ED53FE">
        <w:rPr>
          <w:rFonts w:ascii="Calibri" w:hAnsi="Calibri"/>
        </w:rPr>
        <w:tab/>
      </w:r>
      <w:r w:rsidRPr="00AD3267">
        <w:rPr>
          <w:rFonts w:ascii="Calibri" w:hAnsi="Calibri"/>
        </w:rPr>
        <w:t>Ścieki przykrawężnikowe wykonuje się z materiału nienasiąkliwego w kształcie:</w:t>
      </w:r>
    </w:p>
    <w:p w:rsidR="0069484F" w:rsidRPr="00AD3267" w:rsidRDefault="0069484F" w:rsidP="00ED53FE">
      <w:pPr>
        <w:ind w:left="-851" w:right="-851"/>
        <w:rPr>
          <w:rFonts w:ascii="Calibri" w:hAnsi="Calibri"/>
        </w:rPr>
      </w:pPr>
      <w:r>
        <w:rPr>
          <w:rFonts w:ascii="Calibri" w:hAnsi="Calibri"/>
        </w:rPr>
        <w:t>-</w:t>
      </w:r>
      <w:r w:rsidRPr="00AD3267">
        <w:rPr>
          <w:rFonts w:ascii="Calibri" w:hAnsi="Calibri"/>
        </w:rPr>
        <w:t xml:space="preserve">trójkątnym, jako przedłużenie jezdni do krawężnika; obliczeniową szerokość ścieku przyjmuje się wtedy jako równą </w:t>
      </w:r>
      <w:smartTag w:uri="urn:schemas-microsoft-com:office:smarttags" w:element="metricconverter">
        <w:smartTagPr>
          <w:attr w:name="ProductID" w:val="50,0 cm"/>
        </w:smartTagPr>
        <w:r w:rsidRPr="00AD3267">
          <w:rPr>
            <w:rFonts w:ascii="Calibri" w:hAnsi="Calibri"/>
          </w:rPr>
          <w:t>50,0 cm</w:t>
        </w:r>
      </w:smartTag>
      <w:r w:rsidRPr="00AD3267">
        <w:rPr>
          <w:rFonts w:ascii="Calibri" w:hAnsi="Calibri"/>
        </w:rPr>
        <w:t>,</w:t>
      </w:r>
    </w:p>
    <w:p w:rsidR="0069484F" w:rsidRPr="00AD3267" w:rsidRDefault="0069484F" w:rsidP="00ED53FE">
      <w:pPr>
        <w:ind w:left="-851" w:right="-851"/>
        <w:rPr>
          <w:rFonts w:ascii="Calibri" w:hAnsi="Calibri"/>
        </w:rPr>
      </w:pPr>
      <w:r>
        <w:rPr>
          <w:rFonts w:ascii="Calibri" w:hAnsi="Calibri"/>
        </w:rPr>
        <w:t>-</w:t>
      </w:r>
      <w:r w:rsidRPr="00AD3267">
        <w:rPr>
          <w:rFonts w:ascii="Calibri" w:hAnsi="Calibri"/>
        </w:rPr>
        <w:t xml:space="preserve">korytkowym; zagłębienie nie powinno być głębsze niż </w:t>
      </w:r>
      <w:smartTag w:uri="urn:schemas-microsoft-com:office:smarttags" w:element="metricconverter">
        <w:smartTagPr>
          <w:attr w:name="ProductID" w:val="5,0 cm"/>
        </w:smartTagPr>
        <w:r w:rsidRPr="00AD3267">
          <w:rPr>
            <w:rFonts w:ascii="Calibri" w:hAnsi="Calibri"/>
          </w:rPr>
          <w:t>5,0 cm</w:t>
        </w:r>
      </w:smartTag>
      <w:r w:rsidRPr="00AD3267">
        <w:rPr>
          <w:rFonts w:ascii="Calibri" w:hAnsi="Calibri"/>
        </w:rPr>
        <w:t xml:space="preserve"> i szersze niż </w:t>
      </w:r>
      <w:smartTag w:uri="urn:schemas-microsoft-com:office:smarttags" w:element="metricconverter">
        <w:smartTagPr>
          <w:attr w:name="ProductID" w:val="30,0 cm"/>
        </w:smartTagPr>
        <w:r w:rsidRPr="00AD3267">
          <w:rPr>
            <w:rFonts w:ascii="Calibri" w:hAnsi="Calibri"/>
          </w:rPr>
          <w:t>30,0 cm</w:t>
        </w:r>
      </w:smartTag>
      <w:r w:rsidRPr="00AD3267">
        <w:rPr>
          <w:rFonts w:ascii="Calibri" w:hAnsi="Calibri"/>
        </w:rPr>
        <w:t>.</w:t>
      </w:r>
    </w:p>
    <w:p w:rsidR="0069484F" w:rsidRPr="00AD3267" w:rsidRDefault="00ED53FE" w:rsidP="00ED53FE">
      <w:pPr>
        <w:ind w:left="-851" w:right="-851"/>
        <w:rPr>
          <w:rFonts w:ascii="Calibri" w:hAnsi="Calibri"/>
        </w:rPr>
      </w:pPr>
      <w:r>
        <w:rPr>
          <w:rFonts w:ascii="Calibri" w:hAnsi="Calibri"/>
        </w:rPr>
        <w:tab/>
      </w:r>
      <w:r>
        <w:rPr>
          <w:rFonts w:ascii="Calibri" w:hAnsi="Calibri"/>
        </w:rPr>
        <w:tab/>
      </w:r>
      <w:r w:rsidR="0069484F" w:rsidRPr="00AD3267">
        <w:rPr>
          <w:rFonts w:ascii="Calibri" w:hAnsi="Calibri"/>
        </w:rPr>
        <w:t>Ścieki nawierzchniowe  (międzyjezdniowe) wykonuje się z materiału nienasiąkliwego w kształcie:</w:t>
      </w:r>
    </w:p>
    <w:p w:rsidR="0069484F" w:rsidRPr="00AD3267" w:rsidRDefault="0069484F" w:rsidP="00ED53FE">
      <w:pPr>
        <w:ind w:left="-851" w:right="-851"/>
        <w:rPr>
          <w:rFonts w:ascii="Calibri" w:hAnsi="Calibri"/>
        </w:rPr>
      </w:pPr>
      <w:r>
        <w:rPr>
          <w:rFonts w:ascii="Calibri" w:hAnsi="Calibri"/>
        </w:rPr>
        <w:t>-</w:t>
      </w:r>
      <w:r w:rsidRPr="00AD3267">
        <w:rPr>
          <w:rFonts w:ascii="Calibri" w:hAnsi="Calibri"/>
        </w:rPr>
        <w:t xml:space="preserve">trójkątnym na koszowym załamaniu spadku nawierzchni; obliczeniową szerokość ścieku przyjmuje się wtedy jako równą </w:t>
      </w:r>
      <w:smartTag w:uri="urn:schemas-microsoft-com:office:smarttags" w:element="metricconverter">
        <w:smartTagPr>
          <w:attr w:name="ProductID" w:val="100,0 cm"/>
        </w:smartTagPr>
        <w:r w:rsidRPr="00AD3267">
          <w:rPr>
            <w:rFonts w:ascii="Calibri" w:hAnsi="Calibri"/>
          </w:rPr>
          <w:t>100,0 cm</w:t>
        </w:r>
      </w:smartTag>
      <w:r w:rsidRPr="00AD3267">
        <w:rPr>
          <w:rFonts w:ascii="Calibri" w:hAnsi="Calibri"/>
        </w:rPr>
        <w:t>,</w:t>
      </w:r>
    </w:p>
    <w:p w:rsidR="0069484F" w:rsidRPr="00AD3267" w:rsidRDefault="0069484F" w:rsidP="00ED53FE">
      <w:pPr>
        <w:ind w:left="-851" w:right="-851"/>
        <w:rPr>
          <w:rFonts w:ascii="Calibri" w:hAnsi="Calibri"/>
        </w:rPr>
      </w:pPr>
      <w:r>
        <w:rPr>
          <w:rFonts w:ascii="Calibri" w:hAnsi="Calibri"/>
        </w:rPr>
        <w:t>-</w:t>
      </w:r>
      <w:r w:rsidRPr="00AD3267">
        <w:rPr>
          <w:rFonts w:ascii="Calibri" w:hAnsi="Calibri"/>
        </w:rPr>
        <w:t xml:space="preserve">korytkowym; zagłębienie nie powinno być głębsze niż </w:t>
      </w:r>
      <w:smartTag w:uri="urn:schemas-microsoft-com:office:smarttags" w:element="metricconverter">
        <w:smartTagPr>
          <w:attr w:name="ProductID" w:val="3,0 cm"/>
        </w:smartTagPr>
        <w:r w:rsidRPr="00AD3267">
          <w:rPr>
            <w:rFonts w:ascii="Calibri" w:hAnsi="Calibri"/>
          </w:rPr>
          <w:t>3,0 cm</w:t>
        </w:r>
      </w:smartTag>
      <w:r w:rsidRPr="00AD3267">
        <w:rPr>
          <w:rFonts w:ascii="Calibri" w:hAnsi="Calibri"/>
        </w:rPr>
        <w:t xml:space="preserve"> i szersze niż </w:t>
      </w:r>
      <w:smartTag w:uri="urn:schemas-microsoft-com:office:smarttags" w:element="metricconverter">
        <w:smartTagPr>
          <w:attr w:name="ProductID" w:val="50,0 cm"/>
        </w:smartTagPr>
        <w:r w:rsidRPr="00AD3267">
          <w:rPr>
            <w:rFonts w:ascii="Calibri" w:hAnsi="Calibri"/>
          </w:rPr>
          <w:t>50,0 cm</w:t>
        </w:r>
      </w:smartTag>
      <w:r w:rsidRPr="00AD3267">
        <w:rPr>
          <w:rFonts w:ascii="Calibri" w:hAnsi="Calibri"/>
        </w:rPr>
        <w:t>.</w:t>
      </w:r>
    </w:p>
    <w:p w:rsidR="0069484F" w:rsidRPr="00AD3267" w:rsidRDefault="0069484F" w:rsidP="00ED53FE">
      <w:pPr>
        <w:ind w:left="-851" w:right="-851"/>
        <w:rPr>
          <w:rFonts w:ascii="Calibri" w:hAnsi="Calibri"/>
        </w:rPr>
      </w:pPr>
      <w:r w:rsidRPr="00AD3267">
        <w:rPr>
          <w:rFonts w:ascii="Calibri" w:hAnsi="Calibri"/>
          <w:b/>
        </w:rPr>
        <w:t>1.3.</w:t>
      </w:r>
      <w:r w:rsidRPr="00AD3267">
        <w:rPr>
          <w:rFonts w:ascii="Calibri" w:hAnsi="Calibri"/>
        </w:rPr>
        <w:t xml:space="preserve"> Zasady eksploatacyjne ścieków</w:t>
      </w:r>
    </w:p>
    <w:p w:rsidR="0069484F" w:rsidRPr="00AD3267" w:rsidRDefault="0069484F" w:rsidP="00ED53FE">
      <w:pPr>
        <w:ind w:left="-851" w:right="-851"/>
        <w:rPr>
          <w:rFonts w:ascii="Calibri" w:hAnsi="Calibri"/>
        </w:rPr>
      </w:pPr>
      <w:r w:rsidRPr="00AD3267">
        <w:rPr>
          <w:rFonts w:ascii="Calibri" w:hAnsi="Calibri"/>
        </w:rPr>
        <w:tab/>
      </w:r>
      <w:r w:rsidR="00ED53FE">
        <w:rPr>
          <w:rFonts w:ascii="Calibri" w:hAnsi="Calibri"/>
        </w:rPr>
        <w:tab/>
      </w:r>
      <w:r w:rsidRPr="00AD3267">
        <w:rPr>
          <w:rFonts w:ascii="Calibri" w:hAnsi="Calibri"/>
        </w:rPr>
        <w:t>Ścieki powinny być wykonane z materiałów nieprzesiąkliwych na podbudowie zapewniającej trwałość konstrukcji w przypadku najazdu kołami pojazdów.</w:t>
      </w:r>
    </w:p>
    <w:p w:rsidR="0069484F" w:rsidRPr="00AD3267" w:rsidRDefault="0069484F" w:rsidP="00ED53FE">
      <w:pPr>
        <w:ind w:left="-851" w:right="-851"/>
        <w:rPr>
          <w:rFonts w:ascii="Calibri" w:hAnsi="Calibri"/>
        </w:rPr>
      </w:pPr>
      <w:r w:rsidRPr="00AD3267">
        <w:rPr>
          <w:rFonts w:ascii="Calibri" w:hAnsi="Calibri"/>
        </w:rPr>
        <w:tab/>
      </w:r>
      <w:r w:rsidR="00ED53FE">
        <w:rPr>
          <w:rFonts w:ascii="Calibri" w:hAnsi="Calibri"/>
        </w:rPr>
        <w:tab/>
      </w:r>
      <w:r w:rsidRPr="00AD3267">
        <w:rPr>
          <w:rFonts w:ascii="Calibri" w:hAnsi="Calibri"/>
        </w:rPr>
        <w:t>Najmniejszy dopuszczalny spadek podłużny dna ścieku wynosi 0,2%.</w:t>
      </w:r>
    </w:p>
    <w:p w:rsidR="0069484F" w:rsidRPr="00AD3267" w:rsidRDefault="0069484F" w:rsidP="00ED53FE">
      <w:pPr>
        <w:ind w:left="-851" w:right="-851"/>
        <w:rPr>
          <w:rFonts w:ascii="Calibri" w:hAnsi="Calibri"/>
        </w:rPr>
      </w:pPr>
      <w:r w:rsidRPr="00AD3267">
        <w:rPr>
          <w:rFonts w:ascii="Calibri" w:hAnsi="Calibri"/>
        </w:rPr>
        <w:tab/>
      </w:r>
      <w:r w:rsidR="00ED53FE">
        <w:rPr>
          <w:rFonts w:ascii="Calibri" w:hAnsi="Calibri"/>
        </w:rPr>
        <w:tab/>
      </w:r>
      <w:r w:rsidRPr="00AD3267">
        <w:rPr>
          <w:rFonts w:ascii="Calibri" w:hAnsi="Calibri"/>
        </w:rPr>
        <w:t>Woda płynąca ściekami nie powinna mieć poziomu wyższego od jego najniższej górnej krawędzi.</w:t>
      </w:r>
    </w:p>
    <w:p w:rsidR="0069484F" w:rsidRPr="00AD3267" w:rsidRDefault="0069484F" w:rsidP="00ED53FE">
      <w:pPr>
        <w:ind w:left="-851" w:right="-851"/>
        <w:rPr>
          <w:rFonts w:ascii="Calibri" w:hAnsi="Calibri"/>
        </w:rPr>
      </w:pPr>
    </w:p>
    <w:p w:rsidR="0069484F" w:rsidRPr="00AD3267" w:rsidRDefault="0069484F" w:rsidP="00ED53FE">
      <w:pPr>
        <w:ind w:left="-851" w:right="-851"/>
        <w:rPr>
          <w:rFonts w:ascii="Calibri" w:hAnsi="Calibri"/>
        </w:rPr>
      </w:pPr>
    </w:p>
    <w:p w:rsidR="0069484F" w:rsidRPr="00AD3267" w:rsidRDefault="0069484F" w:rsidP="00ED53FE">
      <w:pPr>
        <w:ind w:left="-851" w:right="-851"/>
        <w:rPr>
          <w:rFonts w:ascii="Calibri" w:hAnsi="Calibri"/>
        </w:rPr>
      </w:pPr>
    </w:p>
    <w:p w:rsidR="0069484F" w:rsidRPr="00AD3267" w:rsidRDefault="0069484F" w:rsidP="00ED53FE">
      <w:pPr>
        <w:ind w:left="-851" w:right="-851"/>
        <w:rPr>
          <w:rFonts w:ascii="Calibri" w:hAnsi="Calibri"/>
        </w:rPr>
      </w:pPr>
      <w:r w:rsidRPr="00AD3267">
        <w:rPr>
          <w:rFonts w:ascii="Calibri" w:hAnsi="Calibri"/>
        </w:rPr>
        <w:t>ZAŁĄCZNIK 3</w:t>
      </w:r>
    </w:p>
    <w:p w:rsidR="0069484F" w:rsidRPr="00AD3267" w:rsidRDefault="0069484F" w:rsidP="00ED53FE">
      <w:pPr>
        <w:ind w:left="-851" w:right="-851"/>
        <w:rPr>
          <w:rFonts w:ascii="Calibri" w:hAnsi="Calibri"/>
        </w:rPr>
      </w:pPr>
      <w:r w:rsidRPr="00AD3267">
        <w:rPr>
          <w:rFonts w:ascii="Calibri" w:hAnsi="Calibri"/>
        </w:rPr>
        <w:t>PRZYKŁADY  ŚCIEKÓW  ULICZNYCH  PRZYKRAWĘŻNIKOWYCH Z  BETONOWEJ  KOSTKI  BRUKOWEJ</w:t>
      </w:r>
    </w:p>
    <w:p w:rsidR="0069484F" w:rsidRPr="00AD3267" w:rsidRDefault="0069484F" w:rsidP="00ED53FE">
      <w:pPr>
        <w:ind w:left="-851" w:right="-851"/>
        <w:rPr>
          <w:rFonts w:ascii="Calibri" w:hAnsi="Calibri"/>
        </w:rPr>
      </w:pPr>
    </w:p>
    <w:p w:rsidR="0069484F" w:rsidRPr="00AD3267" w:rsidRDefault="0069484F" w:rsidP="0069484F">
      <w:pPr>
        <w:rPr>
          <w:rFonts w:ascii="Calibri" w:hAnsi="Calibri"/>
        </w:rPr>
      </w:pPr>
      <w:r w:rsidRPr="00AD3267">
        <w:rPr>
          <w:rFonts w:ascii="Calibri" w:hAnsi="Calibri"/>
        </w:rPr>
        <w:t>Rys. 3.1. Ściek przykrawężnikowy z trzech rzędów betonowej kostki brukowej</w:t>
      </w:r>
    </w:p>
    <w:tbl>
      <w:tblPr>
        <w:tblW w:w="0" w:type="auto"/>
        <w:tblLook w:val="04A0"/>
      </w:tblPr>
      <w:tblGrid>
        <w:gridCol w:w="4786"/>
        <w:gridCol w:w="2725"/>
      </w:tblGrid>
      <w:tr w:rsidR="0069484F" w:rsidRPr="0039110B" w:rsidTr="00ED53FE">
        <w:tc>
          <w:tcPr>
            <w:tcW w:w="4786" w:type="dxa"/>
          </w:tcPr>
          <w:p w:rsidR="0069484F" w:rsidRPr="0039110B" w:rsidRDefault="0069484F" w:rsidP="00ED53FE">
            <w:r>
              <w:rPr>
                <w:noProof/>
              </w:rPr>
              <w:drawing>
                <wp:inline distT="0" distB="0" distL="0" distR="0">
                  <wp:extent cx="2686050" cy="2114550"/>
                  <wp:effectExtent l="19050" t="0" r="0" b="0"/>
                  <wp:docPr id="224" name="Obraz 9" descr="rys2_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az 9" descr="rys2_2"/>
                          <pic:cNvPicPr>
                            <a:picLocks noChangeAspect="1" noChangeArrowheads="1"/>
                          </pic:cNvPicPr>
                        </pic:nvPicPr>
                        <pic:blipFill>
                          <a:blip r:embed="rId111" cstate="print"/>
                          <a:srcRect/>
                          <a:stretch>
                            <a:fillRect/>
                          </a:stretch>
                        </pic:blipFill>
                        <pic:spPr bwMode="auto">
                          <a:xfrm>
                            <a:off x="0" y="0"/>
                            <a:ext cx="2686050" cy="2114550"/>
                          </a:xfrm>
                          <a:prstGeom prst="rect">
                            <a:avLst/>
                          </a:prstGeom>
                          <a:noFill/>
                          <a:ln w="9525">
                            <a:noFill/>
                            <a:miter lim="800000"/>
                            <a:headEnd/>
                            <a:tailEnd/>
                          </a:ln>
                        </pic:spPr>
                      </pic:pic>
                    </a:graphicData>
                  </a:graphic>
                </wp:inline>
              </w:drawing>
            </w:r>
          </w:p>
        </w:tc>
        <w:tc>
          <w:tcPr>
            <w:tcW w:w="2725" w:type="dxa"/>
            <w:vAlign w:val="center"/>
          </w:tcPr>
          <w:p w:rsidR="0069484F" w:rsidRPr="00AD3267" w:rsidRDefault="0069484F" w:rsidP="00ED53FE">
            <w:pPr>
              <w:rPr>
                <w:rFonts w:ascii="Calibri" w:hAnsi="Calibri"/>
              </w:rPr>
            </w:pPr>
            <w:r w:rsidRPr="00AD3267">
              <w:rPr>
                <w:rFonts w:ascii="Calibri" w:hAnsi="Calibri"/>
              </w:rPr>
              <w:t>Oznaczenia:</w:t>
            </w:r>
          </w:p>
          <w:p w:rsidR="0069484F" w:rsidRPr="00AD3267" w:rsidRDefault="0069484F" w:rsidP="00ED53FE">
            <w:pPr>
              <w:rPr>
                <w:rFonts w:ascii="Calibri" w:hAnsi="Calibri"/>
              </w:rPr>
            </w:pPr>
            <w:r w:rsidRPr="00AD3267">
              <w:rPr>
                <w:rFonts w:ascii="Calibri" w:hAnsi="Calibri"/>
              </w:rPr>
              <w:t>Krawężnik</w:t>
            </w:r>
          </w:p>
          <w:p w:rsidR="0069484F" w:rsidRPr="00AD3267" w:rsidRDefault="0069484F" w:rsidP="00ED53FE">
            <w:pPr>
              <w:rPr>
                <w:rFonts w:ascii="Calibri" w:hAnsi="Calibri"/>
              </w:rPr>
            </w:pPr>
            <w:r w:rsidRPr="00AD3267">
              <w:rPr>
                <w:rFonts w:ascii="Calibri" w:hAnsi="Calibri"/>
              </w:rPr>
              <w:t>Betonowa kostka brukowa</w:t>
            </w:r>
            <w:r w:rsidRPr="00AD3267">
              <w:rPr>
                <w:rFonts w:ascii="Calibri" w:hAnsi="Calibri"/>
              </w:rPr>
              <w:br/>
              <w:t xml:space="preserve">10 × 8 × </w:t>
            </w:r>
            <w:smartTag w:uri="urn:schemas-microsoft-com:office:smarttags" w:element="metricconverter">
              <w:smartTagPr>
                <w:attr w:name="ProductID" w:val="20 cm"/>
              </w:smartTagPr>
              <w:r w:rsidRPr="00AD3267">
                <w:rPr>
                  <w:rFonts w:ascii="Calibri" w:hAnsi="Calibri"/>
                </w:rPr>
                <w:t>20 cm</w:t>
              </w:r>
            </w:smartTag>
          </w:p>
          <w:p w:rsidR="0069484F" w:rsidRPr="00AD3267" w:rsidRDefault="0069484F" w:rsidP="00ED53FE">
            <w:pPr>
              <w:rPr>
                <w:rFonts w:ascii="Calibri" w:hAnsi="Calibri"/>
              </w:rPr>
            </w:pPr>
            <w:r w:rsidRPr="00AD3267">
              <w:rPr>
                <w:rFonts w:ascii="Calibri" w:hAnsi="Calibri"/>
              </w:rPr>
              <w:t>Podsypka cementowo-</w:t>
            </w:r>
            <w:r w:rsidRPr="00AD3267">
              <w:rPr>
                <w:rFonts w:ascii="Calibri" w:hAnsi="Calibri"/>
              </w:rPr>
              <w:br/>
              <w:t>-piaskowa 1:4</w:t>
            </w:r>
          </w:p>
          <w:p w:rsidR="0069484F" w:rsidRPr="00AD3267" w:rsidRDefault="0069484F" w:rsidP="00ED53FE">
            <w:pPr>
              <w:rPr>
                <w:rFonts w:ascii="Calibri" w:hAnsi="Calibri"/>
              </w:rPr>
            </w:pPr>
            <w:r w:rsidRPr="00AD3267">
              <w:rPr>
                <w:rFonts w:ascii="Calibri" w:hAnsi="Calibri"/>
              </w:rPr>
              <w:t xml:space="preserve">Ława z betonu klasy C 12/15 </w:t>
            </w:r>
          </w:p>
          <w:p w:rsidR="0069484F" w:rsidRPr="0039110B" w:rsidRDefault="0069484F" w:rsidP="00ED53FE"/>
        </w:tc>
      </w:tr>
    </w:tbl>
    <w:p w:rsidR="0069484F" w:rsidRPr="0039110B" w:rsidRDefault="0069484F" w:rsidP="0069484F"/>
    <w:p w:rsidR="0069484F" w:rsidRPr="0039110B" w:rsidRDefault="0069484F" w:rsidP="0069484F"/>
    <w:p w:rsidR="0069484F" w:rsidRDefault="0069484F" w:rsidP="0069484F"/>
    <w:p w:rsidR="00ED53FE" w:rsidRDefault="00ED53FE" w:rsidP="0069484F"/>
    <w:p w:rsidR="00ED53FE" w:rsidRPr="0039110B" w:rsidRDefault="00ED53FE" w:rsidP="0069484F"/>
    <w:p w:rsidR="0069484F" w:rsidRPr="00AD3267" w:rsidRDefault="0069484F" w:rsidP="0069484F">
      <w:pPr>
        <w:rPr>
          <w:rFonts w:ascii="Calibri" w:hAnsi="Calibri"/>
        </w:rPr>
      </w:pPr>
      <w:r w:rsidRPr="00AD3267">
        <w:rPr>
          <w:rFonts w:ascii="Calibri" w:hAnsi="Calibri"/>
        </w:rPr>
        <w:t>Wymiary uzupełniające (a, b, c)</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tblPr>
      <w:tblGrid>
        <w:gridCol w:w="1242"/>
        <w:gridCol w:w="1276"/>
        <w:gridCol w:w="992"/>
        <w:gridCol w:w="993"/>
        <w:gridCol w:w="850"/>
      </w:tblGrid>
      <w:tr w:rsidR="0069484F" w:rsidRPr="00AD3267" w:rsidTr="00ED53FE">
        <w:tc>
          <w:tcPr>
            <w:tcW w:w="2518" w:type="dxa"/>
            <w:gridSpan w:val="2"/>
          </w:tcPr>
          <w:p w:rsidR="0069484F" w:rsidRPr="00AD3267" w:rsidRDefault="0069484F" w:rsidP="00ED53FE">
            <w:pPr>
              <w:rPr>
                <w:rFonts w:ascii="Calibri" w:hAnsi="Calibri"/>
                <w:b/>
              </w:rPr>
            </w:pPr>
            <w:r w:rsidRPr="00AD3267">
              <w:rPr>
                <w:rFonts w:ascii="Calibri" w:hAnsi="Calibri"/>
                <w:b/>
              </w:rPr>
              <w:t>Typ krawężnika</w:t>
            </w:r>
          </w:p>
        </w:tc>
        <w:tc>
          <w:tcPr>
            <w:tcW w:w="2835" w:type="dxa"/>
            <w:gridSpan w:val="3"/>
          </w:tcPr>
          <w:p w:rsidR="0069484F" w:rsidRPr="00AD3267" w:rsidRDefault="0069484F" w:rsidP="00ED53FE">
            <w:pPr>
              <w:rPr>
                <w:rFonts w:ascii="Calibri" w:hAnsi="Calibri"/>
                <w:b/>
              </w:rPr>
            </w:pPr>
            <w:r w:rsidRPr="00AD3267">
              <w:rPr>
                <w:rFonts w:ascii="Calibri" w:hAnsi="Calibri"/>
                <w:b/>
              </w:rPr>
              <w:t>Alternatywne wymiary uzupełniające, cm</w:t>
            </w:r>
          </w:p>
        </w:tc>
      </w:tr>
      <w:tr w:rsidR="0069484F" w:rsidRPr="00AD3267" w:rsidTr="00ED53FE">
        <w:tc>
          <w:tcPr>
            <w:tcW w:w="1242" w:type="dxa"/>
            <w:tcBorders>
              <w:bottom w:val="single" w:sz="4" w:space="0" w:color="auto"/>
            </w:tcBorders>
          </w:tcPr>
          <w:p w:rsidR="0069484F" w:rsidRPr="00AD3267" w:rsidRDefault="0069484F" w:rsidP="00ED53FE">
            <w:pPr>
              <w:rPr>
                <w:rFonts w:ascii="Calibri" w:hAnsi="Calibri"/>
              </w:rPr>
            </w:pPr>
            <w:r w:rsidRPr="00AD3267">
              <w:rPr>
                <w:rFonts w:ascii="Calibri" w:hAnsi="Calibri"/>
              </w:rPr>
              <w:t>materiał</w:t>
            </w:r>
          </w:p>
        </w:tc>
        <w:tc>
          <w:tcPr>
            <w:tcW w:w="1276" w:type="dxa"/>
          </w:tcPr>
          <w:p w:rsidR="0069484F" w:rsidRPr="00AD3267" w:rsidRDefault="0069484F" w:rsidP="00ED53FE">
            <w:pPr>
              <w:rPr>
                <w:rFonts w:ascii="Calibri" w:hAnsi="Calibri"/>
              </w:rPr>
            </w:pPr>
            <w:r w:rsidRPr="00AD3267">
              <w:rPr>
                <w:rFonts w:ascii="Calibri" w:hAnsi="Calibri"/>
              </w:rPr>
              <w:t>wymiary, cm</w:t>
            </w:r>
          </w:p>
        </w:tc>
        <w:tc>
          <w:tcPr>
            <w:tcW w:w="992" w:type="dxa"/>
          </w:tcPr>
          <w:p w:rsidR="0069484F" w:rsidRPr="00AD3267" w:rsidRDefault="0069484F" w:rsidP="00ED53FE">
            <w:pPr>
              <w:rPr>
                <w:rFonts w:ascii="Calibri" w:hAnsi="Calibri"/>
              </w:rPr>
            </w:pPr>
            <w:r w:rsidRPr="00AD3267">
              <w:rPr>
                <w:rFonts w:ascii="Calibri" w:hAnsi="Calibri"/>
              </w:rPr>
              <w:t>a</w:t>
            </w:r>
          </w:p>
        </w:tc>
        <w:tc>
          <w:tcPr>
            <w:tcW w:w="993" w:type="dxa"/>
          </w:tcPr>
          <w:p w:rsidR="0069484F" w:rsidRPr="00AD3267" w:rsidRDefault="0069484F" w:rsidP="00ED53FE">
            <w:pPr>
              <w:rPr>
                <w:rFonts w:ascii="Calibri" w:hAnsi="Calibri"/>
              </w:rPr>
            </w:pPr>
            <w:r w:rsidRPr="00AD3267">
              <w:rPr>
                <w:rFonts w:ascii="Calibri" w:hAnsi="Calibri"/>
              </w:rPr>
              <w:t>b</w:t>
            </w:r>
          </w:p>
        </w:tc>
        <w:tc>
          <w:tcPr>
            <w:tcW w:w="850" w:type="dxa"/>
          </w:tcPr>
          <w:p w:rsidR="0069484F" w:rsidRPr="00AD3267" w:rsidRDefault="0069484F" w:rsidP="00ED53FE">
            <w:pPr>
              <w:rPr>
                <w:rFonts w:ascii="Calibri" w:hAnsi="Calibri"/>
              </w:rPr>
            </w:pPr>
            <w:r w:rsidRPr="00AD3267">
              <w:rPr>
                <w:rFonts w:ascii="Calibri" w:hAnsi="Calibri"/>
              </w:rPr>
              <w:t>c</w:t>
            </w:r>
          </w:p>
        </w:tc>
      </w:tr>
      <w:tr w:rsidR="0069484F" w:rsidRPr="00AD3267" w:rsidTr="00ED53FE">
        <w:tc>
          <w:tcPr>
            <w:tcW w:w="1242" w:type="dxa"/>
            <w:vMerge w:val="restart"/>
          </w:tcPr>
          <w:p w:rsidR="0069484F" w:rsidRPr="00AD3267" w:rsidRDefault="0069484F" w:rsidP="00ED53FE">
            <w:pPr>
              <w:rPr>
                <w:rFonts w:ascii="Calibri" w:hAnsi="Calibri"/>
              </w:rPr>
            </w:pPr>
            <w:r w:rsidRPr="00AD3267">
              <w:rPr>
                <w:rFonts w:ascii="Calibri" w:hAnsi="Calibri"/>
              </w:rPr>
              <w:t>betonowy</w:t>
            </w:r>
          </w:p>
        </w:tc>
        <w:tc>
          <w:tcPr>
            <w:tcW w:w="1276" w:type="dxa"/>
          </w:tcPr>
          <w:p w:rsidR="0069484F" w:rsidRPr="00AD3267" w:rsidRDefault="0069484F" w:rsidP="00ED53FE">
            <w:pPr>
              <w:rPr>
                <w:rFonts w:ascii="Calibri" w:hAnsi="Calibri"/>
              </w:rPr>
            </w:pPr>
            <w:r w:rsidRPr="00AD3267">
              <w:rPr>
                <w:rFonts w:ascii="Calibri" w:hAnsi="Calibri"/>
              </w:rPr>
              <w:t>20 × 30</w:t>
            </w:r>
          </w:p>
        </w:tc>
        <w:tc>
          <w:tcPr>
            <w:tcW w:w="992" w:type="dxa"/>
          </w:tcPr>
          <w:p w:rsidR="0069484F" w:rsidRPr="00AD3267" w:rsidRDefault="0069484F" w:rsidP="00ED53FE">
            <w:pPr>
              <w:rPr>
                <w:rFonts w:ascii="Calibri" w:hAnsi="Calibri"/>
              </w:rPr>
            </w:pPr>
            <w:r w:rsidRPr="00AD3267">
              <w:rPr>
                <w:rFonts w:ascii="Calibri" w:hAnsi="Calibri"/>
              </w:rPr>
              <w:t>27</w:t>
            </w:r>
          </w:p>
        </w:tc>
        <w:tc>
          <w:tcPr>
            <w:tcW w:w="993" w:type="dxa"/>
          </w:tcPr>
          <w:p w:rsidR="0069484F" w:rsidRPr="00AD3267" w:rsidRDefault="0069484F" w:rsidP="00ED53FE">
            <w:pPr>
              <w:rPr>
                <w:rFonts w:ascii="Calibri" w:hAnsi="Calibri"/>
              </w:rPr>
            </w:pPr>
            <w:r w:rsidRPr="00AD3267">
              <w:rPr>
                <w:rFonts w:ascii="Calibri" w:hAnsi="Calibri"/>
              </w:rPr>
              <w:t>20</w:t>
            </w:r>
          </w:p>
        </w:tc>
        <w:tc>
          <w:tcPr>
            <w:tcW w:w="850" w:type="dxa"/>
          </w:tcPr>
          <w:p w:rsidR="0069484F" w:rsidRPr="00AD3267" w:rsidRDefault="0069484F" w:rsidP="00ED53FE">
            <w:pPr>
              <w:rPr>
                <w:rFonts w:ascii="Calibri" w:hAnsi="Calibri"/>
              </w:rPr>
            </w:pPr>
            <w:r w:rsidRPr="00AD3267">
              <w:rPr>
                <w:rFonts w:ascii="Calibri" w:hAnsi="Calibri"/>
              </w:rPr>
              <w:t>15</w:t>
            </w:r>
          </w:p>
        </w:tc>
      </w:tr>
      <w:tr w:rsidR="0069484F" w:rsidRPr="00AD3267" w:rsidTr="00ED53FE">
        <w:tc>
          <w:tcPr>
            <w:tcW w:w="1242" w:type="dxa"/>
            <w:vMerge/>
          </w:tcPr>
          <w:p w:rsidR="0069484F" w:rsidRPr="00AD3267" w:rsidRDefault="0069484F" w:rsidP="00ED53FE">
            <w:pPr>
              <w:rPr>
                <w:rFonts w:ascii="Calibri" w:hAnsi="Calibri"/>
              </w:rPr>
            </w:pPr>
          </w:p>
        </w:tc>
        <w:tc>
          <w:tcPr>
            <w:tcW w:w="1276" w:type="dxa"/>
          </w:tcPr>
          <w:p w:rsidR="0069484F" w:rsidRPr="00AD3267" w:rsidRDefault="0069484F" w:rsidP="00ED53FE">
            <w:pPr>
              <w:rPr>
                <w:rFonts w:ascii="Calibri" w:hAnsi="Calibri"/>
              </w:rPr>
            </w:pPr>
            <w:r w:rsidRPr="00AD3267">
              <w:rPr>
                <w:rFonts w:ascii="Calibri" w:hAnsi="Calibri"/>
              </w:rPr>
              <w:t>15 × 30</w:t>
            </w:r>
          </w:p>
        </w:tc>
        <w:tc>
          <w:tcPr>
            <w:tcW w:w="992" w:type="dxa"/>
          </w:tcPr>
          <w:p w:rsidR="0069484F" w:rsidRPr="00AD3267" w:rsidRDefault="0069484F" w:rsidP="00ED53FE">
            <w:pPr>
              <w:rPr>
                <w:rFonts w:ascii="Calibri" w:hAnsi="Calibri"/>
              </w:rPr>
            </w:pPr>
            <w:r w:rsidRPr="00AD3267">
              <w:rPr>
                <w:rFonts w:ascii="Calibri" w:hAnsi="Calibri"/>
              </w:rPr>
              <w:t>22</w:t>
            </w:r>
          </w:p>
        </w:tc>
        <w:tc>
          <w:tcPr>
            <w:tcW w:w="993" w:type="dxa"/>
          </w:tcPr>
          <w:p w:rsidR="0069484F" w:rsidRPr="00AD3267" w:rsidRDefault="0069484F" w:rsidP="00ED53FE">
            <w:pPr>
              <w:rPr>
                <w:rFonts w:ascii="Calibri" w:hAnsi="Calibri"/>
              </w:rPr>
            </w:pPr>
            <w:r w:rsidRPr="00AD3267">
              <w:rPr>
                <w:rFonts w:ascii="Calibri" w:hAnsi="Calibri"/>
              </w:rPr>
              <w:t>15</w:t>
            </w:r>
          </w:p>
        </w:tc>
        <w:tc>
          <w:tcPr>
            <w:tcW w:w="850" w:type="dxa"/>
          </w:tcPr>
          <w:p w:rsidR="0069484F" w:rsidRPr="00AD3267" w:rsidRDefault="0069484F" w:rsidP="00ED53FE">
            <w:pPr>
              <w:rPr>
                <w:rFonts w:ascii="Calibri" w:hAnsi="Calibri"/>
              </w:rPr>
            </w:pPr>
            <w:r w:rsidRPr="00AD3267">
              <w:rPr>
                <w:rFonts w:ascii="Calibri" w:hAnsi="Calibri"/>
              </w:rPr>
              <w:t>10</w:t>
            </w:r>
          </w:p>
        </w:tc>
      </w:tr>
    </w:tbl>
    <w:p w:rsidR="0069484F" w:rsidRPr="00AD3267" w:rsidRDefault="0069484F" w:rsidP="0069484F">
      <w:pPr>
        <w:rPr>
          <w:rFonts w:ascii="Calibri" w:hAnsi="Calibri"/>
        </w:rPr>
      </w:pPr>
    </w:p>
    <w:p w:rsidR="0069484F" w:rsidRPr="00AD3267" w:rsidRDefault="0069484F" w:rsidP="0069484F">
      <w:pPr>
        <w:rPr>
          <w:rFonts w:ascii="Calibri" w:hAnsi="Calibri"/>
        </w:rPr>
      </w:pPr>
      <w:r w:rsidRPr="00AD3267">
        <w:rPr>
          <w:rFonts w:ascii="Calibri" w:hAnsi="Calibri"/>
        </w:rPr>
        <w:t>Rys. 3.2. Ściek przykrawężnikowy z dwóch rzędów betonowej kostki brukowej</w:t>
      </w:r>
    </w:p>
    <w:tbl>
      <w:tblPr>
        <w:tblW w:w="0" w:type="auto"/>
        <w:tblLook w:val="04A0"/>
      </w:tblPr>
      <w:tblGrid>
        <w:gridCol w:w="4503"/>
        <w:gridCol w:w="2725"/>
      </w:tblGrid>
      <w:tr w:rsidR="0069484F" w:rsidRPr="0039110B" w:rsidTr="00ED53FE">
        <w:tc>
          <w:tcPr>
            <w:tcW w:w="4503" w:type="dxa"/>
          </w:tcPr>
          <w:p w:rsidR="0069484F" w:rsidRPr="0039110B" w:rsidRDefault="0069484F" w:rsidP="00ED53FE">
            <w:r>
              <w:rPr>
                <w:noProof/>
              </w:rPr>
              <w:drawing>
                <wp:inline distT="0" distB="0" distL="0" distR="0">
                  <wp:extent cx="2686050" cy="2257425"/>
                  <wp:effectExtent l="19050" t="0" r="0" b="0"/>
                  <wp:docPr id="31" name="Obraz 10" descr="rys2_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az 10" descr="rys2_1"/>
                          <pic:cNvPicPr>
                            <a:picLocks noChangeAspect="1" noChangeArrowheads="1"/>
                          </pic:cNvPicPr>
                        </pic:nvPicPr>
                        <pic:blipFill>
                          <a:blip r:embed="rId112" cstate="print"/>
                          <a:srcRect/>
                          <a:stretch>
                            <a:fillRect/>
                          </a:stretch>
                        </pic:blipFill>
                        <pic:spPr bwMode="auto">
                          <a:xfrm>
                            <a:off x="0" y="0"/>
                            <a:ext cx="2686050" cy="2257425"/>
                          </a:xfrm>
                          <a:prstGeom prst="rect">
                            <a:avLst/>
                          </a:prstGeom>
                          <a:noFill/>
                          <a:ln w="9525">
                            <a:noFill/>
                            <a:miter lim="800000"/>
                            <a:headEnd/>
                            <a:tailEnd/>
                          </a:ln>
                        </pic:spPr>
                      </pic:pic>
                    </a:graphicData>
                  </a:graphic>
                </wp:inline>
              </w:drawing>
            </w:r>
          </w:p>
        </w:tc>
        <w:tc>
          <w:tcPr>
            <w:tcW w:w="2725" w:type="dxa"/>
            <w:vAlign w:val="center"/>
          </w:tcPr>
          <w:p w:rsidR="00ED53FE" w:rsidRDefault="00ED53FE" w:rsidP="00ED53FE">
            <w:pPr>
              <w:rPr>
                <w:rFonts w:ascii="Calibri" w:hAnsi="Calibri"/>
              </w:rPr>
            </w:pPr>
          </w:p>
          <w:p w:rsidR="00ED53FE" w:rsidRDefault="00ED53FE" w:rsidP="00ED53FE">
            <w:pPr>
              <w:rPr>
                <w:rFonts w:ascii="Calibri" w:hAnsi="Calibri"/>
              </w:rPr>
            </w:pPr>
          </w:p>
          <w:p w:rsidR="00ED53FE" w:rsidRDefault="00ED53FE" w:rsidP="00ED53FE">
            <w:pPr>
              <w:rPr>
                <w:rFonts w:ascii="Calibri" w:hAnsi="Calibri"/>
              </w:rPr>
            </w:pPr>
          </w:p>
          <w:p w:rsidR="00ED53FE" w:rsidRDefault="00ED53FE" w:rsidP="00ED53FE">
            <w:pPr>
              <w:rPr>
                <w:rFonts w:ascii="Calibri" w:hAnsi="Calibri"/>
              </w:rPr>
            </w:pPr>
          </w:p>
          <w:p w:rsidR="00ED53FE" w:rsidRDefault="00ED53FE" w:rsidP="00ED53FE">
            <w:pPr>
              <w:rPr>
                <w:rFonts w:ascii="Calibri" w:hAnsi="Calibri"/>
              </w:rPr>
            </w:pPr>
          </w:p>
          <w:p w:rsidR="00ED53FE" w:rsidRDefault="00ED53FE" w:rsidP="00ED53FE">
            <w:pPr>
              <w:rPr>
                <w:rFonts w:ascii="Calibri" w:hAnsi="Calibri"/>
              </w:rPr>
            </w:pPr>
          </w:p>
          <w:p w:rsidR="00ED53FE" w:rsidRDefault="00ED53FE" w:rsidP="00ED53FE">
            <w:pPr>
              <w:rPr>
                <w:rFonts w:ascii="Calibri" w:hAnsi="Calibri"/>
              </w:rPr>
            </w:pPr>
          </w:p>
          <w:p w:rsidR="00ED53FE" w:rsidRDefault="00ED53FE" w:rsidP="00ED53FE">
            <w:pPr>
              <w:rPr>
                <w:rFonts w:ascii="Calibri" w:hAnsi="Calibri"/>
              </w:rPr>
            </w:pPr>
          </w:p>
          <w:p w:rsidR="00ED53FE" w:rsidRDefault="00ED53FE" w:rsidP="00ED53FE">
            <w:pPr>
              <w:rPr>
                <w:rFonts w:ascii="Calibri" w:hAnsi="Calibri"/>
              </w:rPr>
            </w:pPr>
          </w:p>
          <w:p w:rsidR="00ED53FE" w:rsidRDefault="00ED53FE" w:rsidP="00ED53FE">
            <w:pPr>
              <w:rPr>
                <w:rFonts w:ascii="Calibri" w:hAnsi="Calibri"/>
              </w:rPr>
            </w:pPr>
          </w:p>
          <w:p w:rsidR="00ED53FE" w:rsidRDefault="00ED53FE" w:rsidP="00ED53FE">
            <w:pPr>
              <w:rPr>
                <w:rFonts w:ascii="Calibri" w:hAnsi="Calibri"/>
              </w:rPr>
            </w:pPr>
          </w:p>
          <w:p w:rsidR="00ED53FE" w:rsidRDefault="00ED53FE" w:rsidP="00ED53FE">
            <w:pPr>
              <w:rPr>
                <w:rFonts w:ascii="Calibri" w:hAnsi="Calibri"/>
              </w:rPr>
            </w:pPr>
          </w:p>
          <w:p w:rsidR="00ED53FE" w:rsidRDefault="00ED53FE" w:rsidP="00ED53FE">
            <w:pPr>
              <w:rPr>
                <w:rFonts w:ascii="Calibri" w:hAnsi="Calibri"/>
              </w:rPr>
            </w:pPr>
          </w:p>
          <w:p w:rsidR="00ED53FE" w:rsidRDefault="00ED53FE" w:rsidP="00ED53FE">
            <w:pPr>
              <w:rPr>
                <w:rFonts w:ascii="Calibri" w:hAnsi="Calibri"/>
              </w:rPr>
            </w:pPr>
          </w:p>
          <w:p w:rsidR="00ED53FE" w:rsidRDefault="00ED53FE" w:rsidP="00ED53FE">
            <w:pPr>
              <w:rPr>
                <w:rFonts w:ascii="Calibri" w:hAnsi="Calibri"/>
              </w:rPr>
            </w:pPr>
          </w:p>
          <w:p w:rsidR="00ED53FE" w:rsidRDefault="00ED53FE" w:rsidP="00ED53FE">
            <w:pPr>
              <w:rPr>
                <w:rFonts w:ascii="Calibri" w:hAnsi="Calibri"/>
              </w:rPr>
            </w:pPr>
          </w:p>
          <w:p w:rsidR="00ED53FE" w:rsidRDefault="00ED53FE" w:rsidP="00ED53FE">
            <w:pPr>
              <w:rPr>
                <w:rFonts w:ascii="Calibri" w:hAnsi="Calibri"/>
              </w:rPr>
            </w:pPr>
          </w:p>
          <w:p w:rsidR="0069484F" w:rsidRPr="00AD3267" w:rsidRDefault="0069484F" w:rsidP="00ED53FE">
            <w:pPr>
              <w:jc w:val="left"/>
              <w:rPr>
                <w:rFonts w:ascii="Calibri" w:hAnsi="Calibri"/>
              </w:rPr>
            </w:pPr>
            <w:r w:rsidRPr="00AD3267">
              <w:rPr>
                <w:rFonts w:ascii="Calibri" w:hAnsi="Calibri"/>
              </w:rPr>
              <w:t>Oznaczenia i wymiary uzupełniające – według</w:t>
            </w:r>
            <w:r w:rsidRPr="00AD3267">
              <w:rPr>
                <w:rFonts w:ascii="Calibri" w:hAnsi="Calibri"/>
              </w:rPr>
              <w:br/>
              <w:t>rys. 3.1</w:t>
            </w:r>
          </w:p>
          <w:p w:rsidR="0069484F" w:rsidRPr="0039110B" w:rsidRDefault="0069484F" w:rsidP="00ED53FE"/>
        </w:tc>
      </w:tr>
    </w:tbl>
    <w:p w:rsidR="0069484F" w:rsidRPr="0039110B" w:rsidRDefault="0069484F" w:rsidP="0069484F"/>
    <w:p w:rsidR="0069484F" w:rsidRPr="008E6CB0" w:rsidRDefault="0069484F" w:rsidP="0069484F">
      <w:pPr>
        <w:rPr>
          <w:rFonts w:ascii="Calibri" w:hAnsi="Calibri"/>
        </w:rPr>
      </w:pPr>
    </w:p>
    <w:p w:rsidR="0069484F" w:rsidRPr="008E6CB0" w:rsidRDefault="0069484F" w:rsidP="0069484F">
      <w:pPr>
        <w:rPr>
          <w:rFonts w:ascii="Calibri" w:hAnsi="Calibri"/>
        </w:rPr>
      </w:pPr>
      <w:r w:rsidRPr="008E6CB0">
        <w:rPr>
          <w:rFonts w:ascii="Calibri" w:hAnsi="Calibri"/>
        </w:rPr>
        <w:t>ZAŁĄCZNIK 4</w:t>
      </w:r>
    </w:p>
    <w:p w:rsidR="0069484F" w:rsidRPr="008E6CB0" w:rsidRDefault="0069484F" w:rsidP="0069484F">
      <w:pPr>
        <w:rPr>
          <w:rFonts w:ascii="Calibri" w:hAnsi="Calibri"/>
        </w:rPr>
      </w:pPr>
      <w:r w:rsidRPr="008E6CB0">
        <w:rPr>
          <w:rFonts w:ascii="Calibri" w:hAnsi="Calibri"/>
        </w:rPr>
        <w:t>PRZYKŁADY  ŚCIEKÓW  ULICZNYCH  MIĘDZYJEZDNIOWYCH</w:t>
      </w:r>
    </w:p>
    <w:p w:rsidR="0069484F" w:rsidRPr="008E6CB0" w:rsidRDefault="0069484F" w:rsidP="0069484F">
      <w:pPr>
        <w:rPr>
          <w:rFonts w:ascii="Calibri" w:hAnsi="Calibri"/>
        </w:rPr>
      </w:pPr>
      <w:r w:rsidRPr="008E6CB0">
        <w:rPr>
          <w:rFonts w:ascii="Calibri" w:hAnsi="Calibri"/>
        </w:rPr>
        <w:t xml:space="preserve"> Z  BETONOWEJ  KOSTKI  BRUKOWEJ</w:t>
      </w:r>
    </w:p>
    <w:p w:rsidR="0069484F" w:rsidRPr="008E6CB0" w:rsidRDefault="0069484F" w:rsidP="0069484F">
      <w:pPr>
        <w:rPr>
          <w:rFonts w:ascii="Calibri" w:hAnsi="Calibri"/>
        </w:rPr>
      </w:pPr>
    </w:p>
    <w:p w:rsidR="0069484F" w:rsidRPr="008E6CB0" w:rsidRDefault="0069484F" w:rsidP="0069484F">
      <w:pPr>
        <w:rPr>
          <w:rFonts w:ascii="Calibri" w:hAnsi="Calibri"/>
        </w:rPr>
      </w:pPr>
      <w:r w:rsidRPr="008E6CB0">
        <w:rPr>
          <w:rFonts w:ascii="Calibri" w:hAnsi="Calibri"/>
        </w:rPr>
        <w:t>Rys. 4.1. Ściek międzyjezdniowy z czterech rzędów betonowej kostki brukowej</w:t>
      </w:r>
    </w:p>
    <w:p w:rsidR="0069484F" w:rsidRPr="008E6CB0" w:rsidRDefault="0069484F" w:rsidP="0069484F">
      <w:pPr>
        <w:rPr>
          <w:rFonts w:ascii="Calibri" w:hAnsi="Calibri"/>
        </w:rPr>
      </w:pPr>
    </w:p>
    <w:p w:rsidR="0069484F" w:rsidRPr="008E6CB0" w:rsidRDefault="0069484F" w:rsidP="0069484F">
      <w:pPr>
        <w:rPr>
          <w:rFonts w:ascii="Calibri" w:hAnsi="Calibri"/>
        </w:rPr>
      </w:pPr>
    </w:p>
    <w:p w:rsidR="0069484F" w:rsidRPr="008E6CB0" w:rsidRDefault="0069484F" w:rsidP="0069484F">
      <w:pPr>
        <w:rPr>
          <w:rFonts w:ascii="Calibri" w:hAnsi="Calibri"/>
        </w:rPr>
      </w:pPr>
    </w:p>
    <w:tbl>
      <w:tblPr>
        <w:tblW w:w="0" w:type="auto"/>
        <w:tblLook w:val="04A0"/>
      </w:tblPr>
      <w:tblGrid>
        <w:gridCol w:w="4786"/>
        <w:gridCol w:w="2725"/>
      </w:tblGrid>
      <w:tr w:rsidR="0069484F" w:rsidRPr="0039110B" w:rsidTr="00ED53FE">
        <w:tc>
          <w:tcPr>
            <w:tcW w:w="4786" w:type="dxa"/>
          </w:tcPr>
          <w:p w:rsidR="0069484F" w:rsidRPr="0039110B" w:rsidRDefault="0069484F" w:rsidP="00ED53FE">
            <w:r>
              <w:rPr>
                <w:noProof/>
              </w:rPr>
              <w:lastRenderedPageBreak/>
              <w:drawing>
                <wp:inline distT="0" distB="0" distL="0" distR="0">
                  <wp:extent cx="2762250" cy="1876425"/>
                  <wp:effectExtent l="19050" t="0" r="0" b="0"/>
                  <wp:docPr id="30" name="Obraz 11" descr="rys2_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az 11" descr="rys2_4"/>
                          <pic:cNvPicPr>
                            <a:picLocks noChangeAspect="1" noChangeArrowheads="1"/>
                          </pic:cNvPicPr>
                        </pic:nvPicPr>
                        <pic:blipFill>
                          <a:blip r:embed="rId113" cstate="print"/>
                          <a:srcRect/>
                          <a:stretch>
                            <a:fillRect/>
                          </a:stretch>
                        </pic:blipFill>
                        <pic:spPr bwMode="auto">
                          <a:xfrm>
                            <a:off x="0" y="0"/>
                            <a:ext cx="2762250" cy="1876425"/>
                          </a:xfrm>
                          <a:prstGeom prst="rect">
                            <a:avLst/>
                          </a:prstGeom>
                          <a:noFill/>
                          <a:ln w="9525">
                            <a:noFill/>
                            <a:miter lim="800000"/>
                            <a:headEnd/>
                            <a:tailEnd/>
                          </a:ln>
                        </pic:spPr>
                      </pic:pic>
                    </a:graphicData>
                  </a:graphic>
                </wp:inline>
              </w:drawing>
            </w:r>
          </w:p>
        </w:tc>
        <w:tc>
          <w:tcPr>
            <w:tcW w:w="2725" w:type="dxa"/>
            <w:vAlign w:val="center"/>
          </w:tcPr>
          <w:p w:rsidR="0069484F" w:rsidRPr="008E6CB0" w:rsidRDefault="0069484F" w:rsidP="00ED53FE">
            <w:pPr>
              <w:rPr>
                <w:rFonts w:ascii="Calibri" w:hAnsi="Calibri"/>
              </w:rPr>
            </w:pPr>
            <w:r w:rsidRPr="008E6CB0">
              <w:rPr>
                <w:rFonts w:ascii="Calibri" w:hAnsi="Calibri"/>
              </w:rPr>
              <w:t>Oznaczenia:</w:t>
            </w:r>
          </w:p>
          <w:p w:rsidR="0069484F" w:rsidRPr="008E6CB0" w:rsidRDefault="0069484F" w:rsidP="00ED53FE">
            <w:pPr>
              <w:rPr>
                <w:rFonts w:ascii="Calibri" w:hAnsi="Calibri"/>
              </w:rPr>
            </w:pPr>
            <w:r w:rsidRPr="008E6CB0">
              <w:rPr>
                <w:rFonts w:ascii="Calibri" w:hAnsi="Calibri"/>
              </w:rPr>
              <w:t xml:space="preserve">Betonowa kostka brukowa 10 × 8 × </w:t>
            </w:r>
            <w:smartTag w:uri="urn:schemas-microsoft-com:office:smarttags" w:element="metricconverter">
              <w:smartTagPr>
                <w:attr w:name="ProductID" w:val="20 cm"/>
              </w:smartTagPr>
              <w:r w:rsidRPr="008E6CB0">
                <w:rPr>
                  <w:rFonts w:ascii="Calibri" w:hAnsi="Calibri"/>
                </w:rPr>
                <w:t>20 cm</w:t>
              </w:r>
            </w:smartTag>
          </w:p>
          <w:p w:rsidR="0069484F" w:rsidRPr="008E6CB0" w:rsidRDefault="0069484F" w:rsidP="00ED53FE">
            <w:pPr>
              <w:rPr>
                <w:rFonts w:ascii="Calibri" w:hAnsi="Calibri"/>
              </w:rPr>
            </w:pPr>
            <w:r w:rsidRPr="008E6CB0">
              <w:rPr>
                <w:rFonts w:ascii="Calibri" w:hAnsi="Calibri"/>
              </w:rPr>
              <w:t>Podsypka cementowo-</w:t>
            </w:r>
            <w:r w:rsidRPr="008E6CB0">
              <w:rPr>
                <w:rFonts w:ascii="Calibri" w:hAnsi="Calibri"/>
              </w:rPr>
              <w:br/>
              <w:t>-piaskowa 1:4</w:t>
            </w:r>
          </w:p>
          <w:p w:rsidR="0069484F" w:rsidRPr="008E6CB0" w:rsidRDefault="0069484F" w:rsidP="00ED53FE">
            <w:pPr>
              <w:rPr>
                <w:rFonts w:ascii="Calibri" w:hAnsi="Calibri"/>
              </w:rPr>
            </w:pPr>
            <w:r w:rsidRPr="008E6CB0">
              <w:rPr>
                <w:rFonts w:ascii="Calibri" w:hAnsi="Calibri"/>
              </w:rPr>
              <w:t xml:space="preserve">Ława z betonu klasy C 12/15 </w:t>
            </w:r>
          </w:p>
          <w:p w:rsidR="0069484F" w:rsidRPr="0039110B" w:rsidRDefault="0069484F" w:rsidP="00ED53FE"/>
        </w:tc>
      </w:tr>
    </w:tbl>
    <w:p w:rsidR="0069484F" w:rsidRPr="0039110B" w:rsidRDefault="0069484F" w:rsidP="0069484F"/>
    <w:p w:rsidR="0069484F" w:rsidRPr="008E6CB0" w:rsidRDefault="0069484F" w:rsidP="0069484F">
      <w:pPr>
        <w:rPr>
          <w:rFonts w:ascii="Calibri" w:hAnsi="Calibri"/>
        </w:rPr>
      </w:pPr>
      <w:r w:rsidRPr="008E6CB0">
        <w:rPr>
          <w:rFonts w:ascii="Calibri" w:hAnsi="Calibri"/>
        </w:rPr>
        <w:t>Rys. 4.2. Ściek międzyjezdniowy z dwóch rzędów betonowej kostki brukowej</w:t>
      </w:r>
    </w:p>
    <w:p w:rsidR="0069484F" w:rsidRPr="008E6CB0" w:rsidRDefault="0069484F" w:rsidP="0069484F">
      <w:pPr>
        <w:rPr>
          <w:rFonts w:ascii="Calibri" w:hAnsi="Calibri"/>
        </w:rPr>
      </w:pPr>
    </w:p>
    <w:p w:rsidR="0069484F" w:rsidRPr="008E6CB0" w:rsidRDefault="0069484F" w:rsidP="0069484F">
      <w:pPr>
        <w:rPr>
          <w:rFonts w:ascii="Calibri" w:hAnsi="Calibri"/>
        </w:rPr>
      </w:pPr>
    </w:p>
    <w:p w:rsidR="0069484F" w:rsidRPr="0039110B" w:rsidRDefault="0069484F" w:rsidP="0069484F"/>
    <w:tbl>
      <w:tblPr>
        <w:tblW w:w="0" w:type="auto"/>
        <w:tblLook w:val="04A0"/>
      </w:tblPr>
      <w:tblGrid>
        <w:gridCol w:w="4786"/>
        <w:gridCol w:w="2725"/>
      </w:tblGrid>
      <w:tr w:rsidR="0069484F" w:rsidRPr="0039110B" w:rsidTr="00ED53FE">
        <w:tc>
          <w:tcPr>
            <w:tcW w:w="4786" w:type="dxa"/>
          </w:tcPr>
          <w:p w:rsidR="0069484F" w:rsidRPr="0039110B" w:rsidRDefault="0069484F" w:rsidP="00ED53FE">
            <w:r>
              <w:rPr>
                <w:noProof/>
              </w:rPr>
              <w:drawing>
                <wp:inline distT="0" distB="0" distL="0" distR="0">
                  <wp:extent cx="2533650" cy="2095500"/>
                  <wp:effectExtent l="19050" t="0" r="0" b="0"/>
                  <wp:docPr id="29" name="Obraz 12" descr="rys2_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az 12" descr="rys2_3"/>
                          <pic:cNvPicPr>
                            <a:picLocks noChangeAspect="1" noChangeArrowheads="1"/>
                          </pic:cNvPicPr>
                        </pic:nvPicPr>
                        <pic:blipFill>
                          <a:blip r:embed="rId114" cstate="print"/>
                          <a:srcRect/>
                          <a:stretch>
                            <a:fillRect/>
                          </a:stretch>
                        </pic:blipFill>
                        <pic:spPr bwMode="auto">
                          <a:xfrm>
                            <a:off x="0" y="0"/>
                            <a:ext cx="2533650" cy="2095500"/>
                          </a:xfrm>
                          <a:prstGeom prst="rect">
                            <a:avLst/>
                          </a:prstGeom>
                          <a:noFill/>
                          <a:ln w="9525">
                            <a:noFill/>
                            <a:miter lim="800000"/>
                            <a:headEnd/>
                            <a:tailEnd/>
                          </a:ln>
                        </pic:spPr>
                      </pic:pic>
                    </a:graphicData>
                  </a:graphic>
                </wp:inline>
              </w:drawing>
            </w:r>
          </w:p>
        </w:tc>
        <w:tc>
          <w:tcPr>
            <w:tcW w:w="2725" w:type="dxa"/>
            <w:vAlign w:val="center"/>
          </w:tcPr>
          <w:p w:rsidR="0069484F" w:rsidRPr="008E6CB0" w:rsidRDefault="0069484F" w:rsidP="00ED53FE">
            <w:pPr>
              <w:rPr>
                <w:rFonts w:ascii="Calibri" w:hAnsi="Calibri"/>
              </w:rPr>
            </w:pPr>
            <w:r w:rsidRPr="008E6CB0">
              <w:rPr>
                <w:rFonts w:ascii="Calibri" w:hAnsi="Calibri"/>
              </w:rPr>
              <w:t xml:space="preserve">Oznaczenia </w:t>
            </w:r>
          </w:p>
          <w:p w:rsidR="0069484F" w:rsidRPr="008E6CB0" w:rsidRDefault="0069484F" w:rsidP="00ED53FE">
            <w:pPr>
              <w:rPr>
                <w:rFonts w:ascii="Calibri" w:hAnsi="Calibri"/>
              </w:rPr>
            </w:pPr>
            <w:r w:rsidRPr="008E6CB0">
              <w:rPr>
                <w:rFonts w:ascii="Calibri" w:hAnsi="Calibri"/>
              </w:rPr>
              <w:t>– według rys. 4.1</w:t>
            </w:r>
          </w:p>
          <w:p w:rsidR="0069484F" w:rsidRPr="0039110B" w:rsidRDefault="0069484F" w:rsidP="00ED53FE"/>
        </w:tc>
      </w:tr>
    </w:tbl>
    <w:p w:rsidR="001A74FB" w:rsidRDefault="001A74FB" w:rsidP="000E55F0">
      <w:pPr>
        <w:spacing w:after="120"/>
        <w:ind w:left="-851" w:right="-851"/>
      </w:pPr>
    </w:p>
    <w:p w:rsidR="001A74FB" w:rsidRDefault="001A74FB" w:rsidP="000E55F0">
      <w:pPr>
        <w:spacing w:after="120"/>
        <w:ind w:left="-851" w:right="-851"/>
      </w:pPr>
    </w:p>
    <w:p w:rsidR="001A74FB" w:rsidRDefault="001A74FB" w:rsidP="000E55F0">
      <w:pPr>
        <w:spacing w:after="120"/>
        <w:ind w:left="-851" w:right="-851"/>
      </w:pPr>
    </w:p>
    <w:p w:rsidR="001A74FB" w:rsidRDefault="001A74FB" w:rsidP="000E55F0">
      <w:pPr>
        <w:spacing w:after="120"/>
        <w:ind w:left="-851" w:right="-851"/>
      </w:pPr>
    </w:p>
    <w:p w:rsidR="001A74FB" w:rsidRDefault="001A74FB" w:rsidP="000E55F0">
      <w:pPr>
        <w:spacing w:after="120"/>
        <w:ind w:left="-851" w:right="-851"/>
      </w:pPr>
    </w:p>
    <w:p w:rsidR="001A74FB" w:rsidRDefault="001A74FB" w:rsidP="000E55F0">
      <w:pPr>
        <w:spacing w:after="120"/>
        <w:ind w:left="-851" w:right="-851"/>
      </w:pPr>
    </w:p>
    <w:p w:rsidR="001A74FB" w:rsidRDefault="001A74FB" w:rsidP="000E55F0">
      <w:pPr>
        <w:spacing w:after="120"/>
        <w:ind w:left="-851" w:right="-851"/>
      </w:pPr>
    </w:p>
    <w:p w:rsidR="001A74FB" w:rsidRDefault="001A74FB" w:rsidP="000E55F0">
      <w:pPr>
        <w:spacing w:after="120"/>
        <w:ind w:left="-851" w:right="-851"/>
      </w:pPr>
    </w:p>
    <w:p w:rsidR="000E55F0" w:rsidRDefault="000E55F0" w:rsidP="000E55F0">
      <w:pPr>
        <w:spacing w:after="120"/>
        <w:ind w:left="-851" w:right="-851"/>
      </w:pPr>
    </w:p>
    <w:p w:rsidR="000E55F0" w:rsidRDefault="000E55F0" w:rsidP="000E55F0">
      <w:pPr>
        <w:spacing w:after="120"/>
        <w:ind w:left="-851" w:right="-851"/>
      </w:pPr>
    </w:p>
    <w:p w:rsidR="00ED53FE" w:rsidRDefault="00ED53FE" w:rsidP="000E55F0">
      <w:pPr>
        <w:spacing w:after="120"/>
        <w:ind w:left="-851" w:right="-851"/>
      </w:pPr>
    </w:p>
    <w:p w:rsidR="00ED53FE" w:rsidRDefault="00ED53FE" w:rsidP="000E55F0">
      <w:pPr>
        <w:spacing w:after="120"/>
        <w:ind w:left="-851" w:right="-851"/>
      </w:pPr>
    </w:p>
    <w:p w:rsidR="00ED53FE" w:rsidRDefault="00ED53FE" w:rsidP="000E55F0">
      <w:pPr>
        <w:spacing w:after="120"/>
        <w:ind w:left="-851" w:right="-851"/>
      </w:pPr>
    </w:p>
    <w:p w:rsidR="00ED53FE" w:rsidRDefault="00ED53FE" w:rsidP="000E55F0">
      <w:pPr>
        <w:spacing w:after="120"/>
        <w:ind w:left="-851" w:right="-851"/>
      </w:pPr>
    </w:p>
    <w:p w:rsidR="00ED53FE" w:rsidRDefault="00ED53FE" w:rsidP="000E55F0">
      <w:pPr>
        <w:spacing w:after="120"/>
        <w:ind w:left="-851" w:right="-851"/>
      </w:pPr>
    </w:p>
    <w:p w:rsidR="00ED53FE" w:rsidRDefault="00ED53FE" w:rsidP="000E55F0">
      <w:pPr>
        <w:spacing w:after="120"/>
        <w:ind w:left="-851" w:right="-851"/>
      </w:pPr>
    </w:p>
    <w:p w:rsidR="00ED53FE" w:rsidRDefault="00ED53FE" w:rsidP="000E55F0">
      <w:pPr>
        <w:spacing w:after="120"/>
        <w:ind w:left="-851" w:right="-851"/>
      </w:pPr>
    </w:p>
    <w:p w:rsidR="00052A91" w:rsidRDefault="00052A91" w:rsidP="000E55F0">
      <w:pPr>
        <w:pStyle w:val="Nagwek1"/>
        <w:ind w:left="-851" w:right="-851"/>
        <w:jc w:val="center"/>
      </w:pPr>
      <w:bookmarkStart w:id="1661" w:name="_Toc404342055"/>
      <w:bookmarkStart w:id="1662" w:name="_Toc204750995"/>
    </w:p>
    <w:p w:rsidR="00B97A47" w:rsidRDefault="00B97A47" w:rsidP="00B97A47"/>
    <w:p w:rsidR="00B97A47" w:rsidRDefault="00B97A47" w:rsidP="00B97A47"/>
    <w:p w:rsidR="00B97A47" w:rsidRDefault="00B97A47" w:rsidP="00B97A47"/>
    <w:p w:rsidR="00B97A47" w:rsidRDefault="00B97A47" w:rsidP="00B97A47"/>
    <w:p w:rsidR="00B97A47" w:rsidRDefault="00B97A47" w:rsidP="00B97A47"/>
    <w:p w:rsidR="00B97A47" w:rsidRDefault="00B97A47" w:rsidP="00B97A47"/>
    <w:p w:rsidR="00B97A47" w:rsidRDefault="00B97A47" w:rsidP="00B97A47"/>
    <w:p w:rsidR="00B97A47" w:rsidRPr="00B97A47" w:rsidRDefault="00B97A47" w:rsidP="00B97A47"/>
    <w:p w:rsidR="00052A91" w:rsidRPr="00806135" w:rsidRDefault="00052A91" w:rsidP="000E55F0">
      <w:pPr>
        <w:pStyle w:val="Nagwek1"/>
        <w:ind w:left="-851" w:right="-851"/>
        <w:jc w:val="center"/>
      </w:pPr>
      <w:bookmarkStart w:id="1663" w:name="_Toc438237744"/>
      <w:r w:rsidRPr="00806135">
        <w:t>D - 09.01.01 ZIELEŃ  DROGOWA</w:t>
      </w:r>
      <w:bookmarkEnd w:id="1663"/>
    </w:p>
    <w:p w:rsidR="00052A91" w:rsidRPr="0032536C" w:rsidRDefault="00052A91" w:rsidP="000E55F0">
      <w:pPr>
        <w:ind w:left="-851" w:right="-851"/>
        <w:rPr>
          <w:rFonts w:ascii="Calibri" w:hAnsi="Calibri"/>
        </w:rPr>
      </w:pPr>
    </w:p>
    <w:p w:rsidR="00052A91" w:rsidRDefault="00052A91" w:rsidP="000E55F0">
      <w:pPr>
        <w:ind w:left="-851" w:right="-851"/>
        <w:rPr>
          <w:rFonts w:ascii="Calibri" w:hAnsi="Calibri"/>
          <w:b/>
        </w:rPr>
      </w:pPr>
      <w:bookmarkStart w:id="1664" w:name="_Toc428677173"/>
    </w:p>
    <w:p w:rsidR="00052A91" w:rsidRDefault="00052A91" w:rsidP="000E55F0">
      <w:pPr>
        <w:ind w:left="-851" w:right="-851"/>
        <w:rPr>
          <w:rFonts w:ascii="Calibri" w:hAnsi="Calibri"/>
          <w:b/>
        </w:rPr>
      </w:pPr>
    </w:p>
    <w:p w:rsidR="00052A91" w:rsidRDefault="00052A91" w:rsidP="000E55F0">
      <w:pPr>
        <w:ind w:left="-851" w:right="-851"/>
        <w:rPr>
          <w:rFonts w:ascii="Calibri" w:hAnsi="Calibri"/>
          <w:b/>
        </w:rPr>
      </w:pPr>
    </w:p>
    <w:p w:rsidR="00052A91" w:rsidRDefault="00052A91" w:rsidP="000E55F0">
      <w:pPr>
        <w:ind w:left="-851" w:right="-851"/>
        <w:rPr>
          <w:rFonts w:ascii="Calibri" w:hAnsi="Calibri"/>
          <w:b/>
        </w:rPr>
      </w:pPr>
    </w:p>
    <w:p w:rsidR="00052A91" w:rsidRDefault="00052A91" w:rsidP="000E55F0">
      <w:pPr>
        <w:ind w:left="-851" w:right="-851"/>
        <w:rPr>
          <w:rFonts w:ascii="Calibri" w:hAnsi="Calibri"/>
          <w:b/>
        </w:rPr>
      </w:pPr>
    </w:p>
    <w:p w:rsidR="00052A91" w:rsidRDefault="00052A91" w:rsidP="000E55F0">
      <w:pPr>
        <w:ind w:left="-851" w:right="-851"/>
        <w:rPr>
          <w:rFonts w:ascii="Calibri" w:hAnsi="Calibri"/>
          <w:b/>
        </w:rPr>
      </w:pPr>
    </w:p>
    <w:p w:rsidR="00052A91" w:rsidRDefault="00052A91" w:rsidP="000E55F0">
      <w:pPr>
        <w:ind w:left="-851" w:right="-851"/>
        <w:rPr>
          <w:rFonts w:ascii="Calibri" w:hAnsi="Calibri"/>
          <w:b/>
        </w:rPr>
      </w:pPr>
    </w:p>
    <w:p w:rsidR="00052A91" w:rsidRDefault="00052A91" w:rsidP="000E55F0">
      <w:pPr>
        <w:ind w:left="-851" w:right="-851"/>
        <w:rPr>
          <w:rFonts w:ascii="Calibri" w:hAnsi="Calibri"/>
          <w:b/>
        </w:rPr>
      </w:pPr>
    </w:p>
    <w:p w:rsidR="00052A91" w:rsidRDefault="00052A91" w:rsidP="000E55F0">
      <w:pPr>
        <w:ind w:left="-851" w:right="-851"/>
        <w:rPr>
          <w:rFonts w:ascii="Calibri" w:hAnsi="Calibri"/>
          <w:b/>
        </w:rPr>
      </w:pPr>
    </w:p>
    <w:p w:rsidR="00052A91" w:rsidRDefault="00052A91" w:rsidP="000E55F0">
      <w:pPr>
        <w:ind w:left="-851" w:right="-851"/>
        <w:rPr>
          <w:rFonts w:ascii="Calibri" w:hAnsi="Calibri"/>
          <w:b/>
        </w:rPr>
      </w:pPr>
    </w:p>
    <w:p w:rsidR="00052A91" w:rsidRDefault="00052A91" w:rsidP="000E55F0">
      <w:pPr>
        <w:ind w:left="-851" w:right="-851"/>
        <w:rPr>
          <w:rFonts w:ascii="Calibri" w:hAnsi="Calibri"/>
          <w:b/>
        </w:rPr>
      </w:pPr>
    </w:p>
    <w:p w:rsidR="00052A91" w:rsidRDefault="00052A91" w:rsidP="000E55F0">
      <w:pPr>
        <w:ind w:left="-851" w:right="-851"/>
        <w:rPr>
          <w:rFonts w:ascii="Calibri" w:hAnsi="Calibri"/>
          <w:b/>
        </w:rPr>
      </w:pPr>
    </w:p>
    <w:p w:rsidR="00052A91" w:rsidRDefault="00052A91" w:rsidP="000E55F0">
      <w:pPr>
        <w:ind w:left="-851" w:right="-851"/>
        <w:rPr>
          <w:rFonts w:ascii="Calibri" w:hAnsi="Calibri"/>
          <w:b/>
        </w:rPr>
      </w:pPr>
    </w:p>
    <w:p w:rsidR="00052A91" w:rsidRDefault="00052A91" w:rsidP="000E55F0">
      <w:pPr>
        <w:ind w:left="-851" w:right="-851"/>
        <w:rPr>
          <w:rFonts w:ascii="Calibri" w:hAnsi="Calibri"/>
          <w:b/>
        </w:rPr>
      </w:pPr>
    </w:p>
    <w:p w:rsidR="00052A91" w:rsidRDefault="00052A91" w:rsidP="000E55F0">
      <w:pPr>
        <w:ind w:left="-851" w:right="-851"/>
        <w:rPr>
          <w:rFonts w:ascii="Calibri" w:hAnsi="Calibri"/>
          <w:b/>
        </w:rPr>
      </w:pPr>
    </w:p>
    <w:p w:rsidR="00052A91" w:rsidRDefault="00052A91" w:rsidP="000E55F0">
      <w:pPr>
        <w:ind w:left="-851" w:right="-851"/>
        <w:rPr>
          <w:rFonts w:ascii="Calibri" w:hAnsi="Calibri"/>
          <w:b/>
        </w:rPr>
      </w:pPr>
    </w:p>
    <w:p w:rsidR="00052A91" w:rsidRDefault="00052A91" w:rsidP="000E55F0">
      <w:pPr>
        <w:ind w:left="-851" w:right="-851"/>
        <w:rPr>
          <w:rFonts w:ascii="Calibri" w:hAnsi="Calibri"/>
          <w:b/>
        </w:rPr>
      </w:pPr>
    </w:p>
    <w:p w:rsidR="00052A91" w:rsidRDefault="00052A91" w:rsidP="000E55F0">
      <w:pPr>
        <w:ind w:left="-851" w:right="-851"/>
        <w:rPr>
          <w:rFonts w:ascii="Calibri" w:hAnsi="Calibri"/>
          <w:b/>
        </w:rPr>
      </w:pPr>
    </w:p>
    <w:p w:rsidR="00052A91" w:rsidRDefault="00052A91" w:rsidP="000E55F0">
      <w:pPr>
        <w:ind w:left="-851" w:right="-851"/>
        <w:rPr>
          <w:rFonts w:ascii="Calibri" w:hAnsi="Calibri"/>
          <w:b/>
        </w:rPr>
      </w:pPr>
    </w:p>
    <w:p w:rsidR="00052A91" w:rsidRDefault="00052A91" w:rsidP="000E55F0">
      <w:pPr>
        <w:ind w:left="-851" w:right="-851"/>
        <w:rPr>
          <w:rFonts w:ascii="Calibri" w:hAnsi="Calibri"/>
          <w:b/>
        </w:rPr>
      </w:pPr>
    </w:p>
    <w:p w:rsidR="00052A91" w:rsidRDefault="00052A91" w:rsidP="000E55F0">
      <w:pPr>
        <w:ind w:left="-851" w:right="-851"/>
        <w:rPr>
          <w:rFonts w:ascii="Calibri" w:hAnsi="Calibri"/>
          <w:b/>
        </w:rPr>
      </w:pPr>
    </w:p>
    <w:p w:rsidR="00052A91" w:rsidRDefault="00052A91" w:rsidP="000E55F0">
      <w:pPr>
        <w:ind w:left="-851" w:right="-851"/>
        <w:rPr>
          <w:rFonts w:ascii="Calibri" w:hAnsi="Calibri"/>
          <w:b/>
        </w:rPr>
      </w:pPr>
    </w:p>
    <w:p w:rsidR="00052A91" w:rsidRDefault="00052A91" w:rsidP="000E55F0">
      <w:pPr>
        <w:ind w:left="-851" w:right="-851"/>
        <w:rPr>
          <w:rFonts w:ascii="Calibri" w:hAnsi="Calibri"/>
          <w:b/>
        </w:rPr>
      </w:pPr>
    </w:p>
    <w:p w:rsidR="000C27BF" w:rsidRDefault="000C27BF" w:rsidP="000E55F0">
      <w:pPr>
        <w:ind w:left="-851" w:right="-851"/>
        <w:rPr>
          <w:rFonts w:ascii="Calibri" w:hAnsi="Calibri"/>
          <w:b/>
        </w:rPr>
      </w:pPr>
    </w:p>
    <w:p w:rsidR="00052A91" w:rsidRDefault="00052A91" w:rsidP="000E55F0">
      <w:pPr>
        <w:ind w:left="-851" w:right="-851"/>
        <w:rPr>
          <w:rFonts w:ascii="Calibri" w:hAnsi="Calibri"/>
          <w:b/>
        </w:rPr>
      </w:pPr>
    </w:p>
    <w:p w:rsidR="00052A91" w:rsidRDefault="00052A91" w:rsidP="000E55F0">
      <w:pPr>
        <w:ind w:left="-851" w:right="-851"/>
        <w:rPr>
          <w:rFonts w:ascii="Calibri" w:hAnsi="Calibri"/>
          <w:b/>
        </w:rPr>
      </w:pPr>
    </w:p>
    <w:p w:rsidR="00052A91" w:rsidRDefault="00052A91" w:rsidP="000E55F0">
      <w:pPr>
        <w:ind w:left="-851" w:right="-851"/>
        <w:rPr>
          <w:rFonts w:ascii="Calibri" w:hAnsi="Calibri"/>
          <w:b/>
        </w:rPr>
      </w:pPr>
    </w:p>
    <w:p w:rsidR="00052A91" w:rsidRDefault="00052A91" w:rsidP="000E55F0">
      <w:pPr>
        <w:ind w:left="-851" w:right="-851"/>
        <w:rPr>
          <w:rFonts w:ascii="Calibri" w:hAnsi="Calibri"/>
          <w:b/>
        </w:rPr>
      </w:pPr>
    </w:p>
    <w:p w:rsidR="00052A91" w:rsidRDefault="00052A91" w:rsidP="000E55F0">
      <w:pPr>
        <w:ind w:left="-851" w:right="-851"/>
        <w:rPr>
          <w:rFonts w:ascii="Calibri" w:hAnsi="Calibri"/>
          <w:b/>
        </w:rPr>
      </w:pPr>
    </w:p>
    <w:p w:rsidR="00052A91" w:rsidRDefault="00052A91" w:rsidP="000E55F0">
      <w:pPr>
        <w:ind w:left="-851" w:right="-851"/>
        <w:rPr>
          <w:rFonts w:ascii="Calibri" w:hAnsi="Calibri"/>
          <w:b/>
        </w:rPr>
      </w:pPr>
    </w:p>
    <w:p w:rsidR="00052A91" w:rsidRDefault="00052A91" w:rsidP="000E55F0">
      <w:pPr>
        <w:ind w:left="-851" w:right="-851"/>
        <w:rPr>
          <w:rFonts w:ascii="Calibri" w:hAnsi="Calibri"/>
          <w:b/>
        </w:rPr>
      </w:pPr>
    </w:p>
    <w:p w:rsidR="000C41EC" w:rsidRDefault="000C41EC" w:rsidP="000E55F0">
      <w:pPr>
        <w:ind w:left="-851" w:right="-851"/>
        <w:rPr>
          <w:rFonts w:ascii="Calibri" w:hAnsi="Calibri"/>
          <w:b/>
        </w:rPr>
      </w:pPr>
    </w:p>
    <w:p w:rsidR="000C41EC" w:rsidRDefault="000C41EC" w:rsidP="000E55F0">
      <w:pPr>
        <w:ind w:left="-851" w:right="-851"/>
        <w:rPr>
          <w:rFonts w:ascii="Calibri" w:hAnsi="Calibri"/>
          <w:b/>
        </w:rPr>
      </w:pPr>
    </w:p>
    <w:p w:rsidR="000C41EC" w:rsidRDefault="000C41EC" w:rsidP="000E55F0">
      <w:pPr>
        <w:ind w:left="-851" w:right="-851"/>
        <w:rPr>
          <w:rFonts w:ascii="Calibri" w:hAnsi="Calibri"/>
          <w:b/>
        </w:rPr>
      </w:pPr>
    </w:p>
    <w:p w:rsidR="000C41EC" w:rsidRDefault="000C41EC" w:rsidP="000E55F0">
      <w:pPr>
        <w:ind w:left="-851" w:right="-851"/>
        <w:rPr>
          <w:rFonts w:ascii="Calibri" w:hAnsi="Calibri"/>
          <w:b/>
        </w:rPr>
      </w:pPr>
    </w:p>
    <w:p w:rsidR="000C41EC" w:rsidRDefault="000C41EC" w:rsidP="000E55F0">
      <w:pPr>
        <w:ind w:left="-851" w:right="-851"/>
        <w:rPr>
          <w:rFonts w:ascii="Calibri" w:hAnsi="Calibri"/>
          <w:b/>
        </w:rPr>
      </w:pPr>
    </w:p>
    <w:p w:rsidR="00052A91" w:rsidRPr="00806135" w:rsidRDefault="00052A91" w:rsidP="000E55F0">
      <w:pPr>
        <w:ind w:left="-851" w:right="-851"/>
        <w:rPr>
          <w:rFonts w:ascii="Calibri" w:hAnsi="Calibri"/>
          <w:b/>
        </w:rPr>
      </w:pPr>
      <w:r w:rsidRPr="00806135">
        <w:rPr>
          <w:rFonts w:ascii="Calibri" w:hAnsi="Calibri"/>
          <w:b/>
        </w:rPr>
        <w:lastRenderedPageBreak/>
        <w:t>1. WSTĘP</w:t>
      </w:r>
      <w:bookmarkEnd w:id="1664"/>
    </w:p>
    <w:p w:rsidR="001F742D" w:rsidRDefault="00052A91" w:rsidP="000E55F0">
      <w:pPr>
        <w:ind w:left="-851" w:right="-851"/>
        <w:rPr>
          <w:rFonts w:ascii="Calibri" w:hAnsi="Calibri"/>
        </w:rPr>
      </w:pPr>
      <w:r w:rsidRPr="00806135">
        <w:rPr>
          <w:rFonts w:ascii="Calibri" w:hAnsi="Calibri"/>
          <w:b/>
        </w:rPr>
        <w:t>1.1.</w:t>
      </w:r>
      <w:r>
        <w:rPr>
          <w:rFonts w:ascii="Calibri" w:hAnsi="Calibri"/>
        </w:rPr>
        <w:t xml:space="preserve"> Przedmiot </w:t>
      </w:r>
      <w:r w:rsidRPr="0032536C">
        <w:rPr>
          <w:rFonts w:ascii="Calibri" w:hAnsi="Calibri"/>
        </w:rPr>
        <w:t>ST</w:t>
      </w:r>
    </w:p>
    <w:p w:rsidR="00052A91" w:rsidRPr="0032536C" w:rsidRDefault="001F742D" w:rsidP="000E55F0">
      <w:pPr>
        <w:ind w:left="-851" w:right="-851"/>
        <w:rPr>
          <w:rFonts w:ascii="Calibri" w:hAnsi="Calibri"/>
        </w:rPr>
      </w:pPr>
      <w:r>
        <w:rPr>
          <w:rFonts w:ascii="Calibri" w:hAnsi="Calibri"/>
        </w:rPr>
        <w:tab/>
      </w:r>
      <w:r w:rsidR="006630A3">
        <w:rPr>
          <w:rFonts w:ascii="Calibri" w:hAnsi="Calibri"/>
        </w:rPr>
        <w:tab/>
      </w:r>
      <w:r w:rsidR="00052A91">
        <w:rPr>
          <w:rFonts w:ascii="Calibri" w:hAnsi="Calibri"/>
        </w:rPr>
        <w:t>Przedmiotem niniejszej specyfikacji technicznej (</w:t>
      </w:r>
      <w:r w:rsidR="00052A91" w:rsidRPr="0032536C">
        <w:rPr>
          <w:rFonts w:ascii="Calibri" w:hAnsi="Calibri"/>
        </w:rPr>
        <w:t>ST) są wymagania dotyczące wykonania i odbioru robót związanych z założeniem i pielęgnacją zieleni drogowej.</w:t>
      </w:r>
    </w:p>
    <w:p w:rsidR="00052A91" w:rsidRPr="0032536C" w:rsidRDefault="00052A91" w:rsidP="000E55F0">
      <w:pPr>
        <w:ind w:left="-851" w:right="-851"/>
        <w:rPr>
          <w:rFonts w:ascii="Calibri" w:hAnsi="Calibri"/>
        </w:rPr>
      </w:pPr>
      <w:r w:rsidRPr="00806135">
        <w:rPr>
          <w:rFonts w:ascii="Calibri" w:hAnsi="Calibri"/>
          <w:b/>
        </w:rPr>
        <w:t>1.2.</w:t>
      </w:r>
      <w:r>
        <w:rPr>
          <w:rFonts w:ascii="Calibri" w:hAnsi="Calibri"/>
        </w:rPr>
        <w:t xml:space="preserve"> Zakres stosowania </w:t>
      </w:r>
      <w:r w:rsidRPr="0032536C">
        <w:rPr>
          <w:rFonts w:ascii="Calibri" w:hAnsi="Calibri"/>
        </w:rPr>
        <w:t>ST</w:t>
      </w:r>
    </w:p>
    <w:p w:rsidR="00052A91" w:rsidRPr="004C3772" w:rsidRDefault="00052A91" w:rsidP="000E55F0">
      <w:pPr>
        <w:ind w:left="-851" w:right="-851"/>
        <w:rPr>
          <w:rFonts w:asciiTheme="minorHAnsi" w:hAnsiTheme="minorHAnsi"/>
        </w:rPr>
      </w:pPr>
      <w:r w:rsidRPr="0032536C">
        <w:rPr>
          <w:rFonts w:ascii="Calibri" w:hAnsi="Calibri"/>
        </w:rPr>
        <w:tab/>
      </w:r>
      <w:r w:rsidR="006630A3">
        <w:rPr>
          <w:rFonts w:ascii="Calibri" w:hAnsi="Calibri"/>
        </w:rPr>
        <w:tab/>
      </w:r>
      <w:r>
        <w:rPr>
          <w:rFonts w:ascii="Calibri" w:hAnsi="Calibri"/>
        </w:rPr>
        <w:t xml:space="preserve">Specyfikacja </w:t>
      </w:r>
      <w:r w:rsidRPr="004C3772">
        <w:rPr>
          <w:rFonts w:asciiTheme="minorHAnsi" w:hAnsiTheme="minorHAnsi"/>
        </w:rPr>
        <w:t>techniczna określa wymagania dla wykonania i odbioru robót budowlanych przewidzianych do wykonania w ramach umowy a zawarte w niej zapisy w zakresie standardu materiałów, wykonania robót i wymaganej ich jakości oraz kontroli jakości robót należy traktować jako minimalne.</w:t>
      </w:r>
    </w:p>
    <w:p w:rsidR="00052A91" w:rsidRPr="0032536C" w:rsidRDefault="00052A91" w:rsidP="000E55F0">
      <w:pPr>
        <w:ind w:left="-851" w:right="-851"/>
        <w:rPr>
          <w:rFonts w:ascii="Calibri" w:hAnsi="Calibri"/>
        </w:rPr>
      </w:pPr>
      <w:r w:rsidRPr="00806135">
        <w:rPr>
          <w:rFonts w:ascii="Calibri" w:hAnsi="Calibri"/>
          <w:b/>
        </w:rPr>
        <w:t>1.3.</w:t>
      </w:r>
      <w:r>
        <w:rPr>
          <w:rFonts w:ascii="Calibri" w:hAnsi="Calibri"/>
        </w:rPr>
        <w:t xml:space="preserve"> Zakres robót objętych </w:t>
      </w:r>
      <w:r w:rsidRPr="0032536C">
        <w:rPr>
          <w:rFonts w:ascii="Calibri" w:hAnsi="Calibri"/>
        </w:rPr>
        <w:t>ST</w:t>
      </w:r>
    </w:p>
    <w:p w:rsidR="006630A3" w:rsidRPr="00C3299C" w:rsidRDefault="001F742D" w:rsidP="006630A3">
      <w:pPr>
        <w:ind w:left="-851" w:right="-851"/>
        <w:rPr>
          <w:rFonts w:asciiTheme="minorHAnsi" w:hAnsiTheme="minorHAnsi" w:cs="Calibri"/>
        </w:rPr>
      </w:pPr>
      <w:r>
        <w:rPr>
          <w:rFonts w:ascii="Calibri" w:hAnsi="Calibri"/>
        </w:rPr>
        <w:tab/>
      </w:r>
      <w:r w:rsidR="006630A3">
        <w:rPr>
          <w:rFonts w:ascii="Calibri" w:hAnsi="Calibri"/>
        </w:rPr>
        <w:tab/>
      </w:r>
      <w:r w:rsidR="00052A91" w:rsidRPr="0032536C">
        <w:rPr>
          <w:rFonts w:ascii="Calibri" w:hAnsi="Calibri"/>
        </w:rPr>
        <w:t>Ustalenia zawarte w niniejszej specyfikacji dotyczą zasad</w:t>
      </w:r>
      <w:r w:rsidR="000C41EC">
        <w:rPr>
          <w:rFonts w:ascii="Calibri" w:hAnsi="Calibri"/>
        </w:rPr>
        <w:t xml:space="preserve"> prowadzenia robót związanych z </w:t>
      </w:r>
      <w:r w:rsidR="00052A91" w:rsidRPr="0032536C">
        <w:rPr>
          <w:rFonts w:ascii="Calibri" w:hAnsi="Calibri"/>
        </w:rPr>
        <w:t>zakładaniem i pielęgnacją trawników na terenie płaskim i na skarpach,</w:t>
      </w:r>
      <w:r w:rsidR="000C41EC">
        <w:rPr>
          <w:rFonts w:ascii="Calibri" w:hAnsi="Calibri"/>
        </w:rPr>
        <w:t xml:space="preserve"> </w:t>
      </w:r>
      <w:r w:rsidR="00052A91" w:rsidRPr="0032536C">
        <w:rPr>
          <w:rFonts w:ascii="Calibri" w:hAnsi="Calibri"/>
        </w:rPr>
        <w:t>sadzeniem drzew i krzewów na terenie płaskim i na skarpach,</w:t>
      </w:r>
      <w:r w:rsidR="000C41EC">
        <w:rPr>
          <w:rFonts w:ascii="Calibri" w:hAnsi="Calibri"/>
        </w:rPr>
        <w:t xml:space="preserve"> </w:t>
      </w:r>
      <w:r w:rsidR="00052A91" w:rsidRPr="0032536C">
        <w:rPr>
          <w:rFonts w:ascii="Calibri" w:hAnsi="Calibri"/>
        </w:rPr>
        <w:t>wykonaniem kwietników</w:t>
      </w:r>
      <w:r w:rsidR="000C41EC">
        <w:rPr>
          <w:rFonts w:ascii="Calibri" w:hAnsi="Calibri"/>
        </w:rPr>
        <w:t xml:space="preserve"> </w:t>
      </w:r>
      <w:r w:rsidR="006630A3" w:rsidRPr="00C3299C">
        <w:rPr>
          <w:rFonts w:ascii="Calibri" w:hAnsi="Calibri" w:cs="Calibri"/>
        </w:rPr>
        <w:t>w związku z „</w:t>
      </w:r>
      <w:r w:rsidR="006630A3" w:rsidRPr="00C3299C">
        <w:rPr>
          <w:rFonts w:asciiTheme="minorHAnsi" w:hAnsiTheme="minorHAnsi"/>
        </w:rPr>
        <w:t>Przebudową ul.55 Pułku Piechoty w Lesznie wraz z przebudową oświetlenia”</w:t>
      </w:r>
      <w:r w:rsidR="006630A3" w:rsidRPr="00C3299C">
        <w:rPr>
          <w:rFonts w:asciiTheme="minorHAnsi" w:hAnsiTheme="minorHAnsi" w:cs="Calibri"/>
        </w:rPr>
        <w:t>.</w:t>
      </w:r>
    </w:p>
    <w:p w:rsidR="00052A91" w:rsidRPr="0032536C" w:rsidRDefault="00052A91" w:rsidP="000E55F0">
      <w:pPr>
        <w:ind w:left="-851" w:right="-851"/>
        <w:rPr>
          <w:rFonts w:ascii="Calibri" w:hAnsi="Calibri"/>
        </w:rPr>
      </w:pPr>
      <w:r w:rsidRPr="00806135">
        <w:rPr>
          <w:rFonts w:ascii="Calibri" w:hAnsi="Calibri"/>
          <w:b/>
        </w:rPr>
        <w:t>1.4.</w:t>
      </w:r>
      <w:r w:rsidRPr="0032536C">
        <w:rPr>
          <w:rFonts w:ascii="Calibri" w:hAnsi="Calibri"/>
        </w:rPr>
        <w:t xml:space="preserve"> Określenia podstawowe</w:t>
      </w:r>
    </w:p>
    <w:p w:rsidR="00052A91" w:rsidRPr="0032536C" w:rsidRDefault="00052A91" w:rsidP="000E55F0">
      <w:pPr>
        <w:ind w:left="-851" w:right="-851"/>
        <w:rPr>
          <w:rFonts w:ascii="Calibri" w:hAnsi="Calibri"/>
        </w:rPr>
      </w:pPr>
      <w:r w:rsidRPr="00806135">
        <w:rPr>
          <w:rFonts w:ascii="Calibri" w:hAnsi="Calibri"/>
          <w:b/>
        </w:rPr>
        <w:t>1.4.1.</w:t>
      </w:r>
      <w:r w:rsidRPr="0032536C">
        <w:rPr>
          <w:rFonts w:ascii="Calibri" w:hAnsi="Calibri"/>
        </w:rPr>
        <w:t xml:space="preserve"> Ziemia urodzajna - ziemia posiadająca właściwości zapewniające roślinom prawidłowy rozwój.</w:t>
      </w:r>
    </w:p>
    <w:p w:rsidR="00052A91" w:rsidRPr="0032536C" w:rsidRDefault="00052A91" w:rsidP="000E55F0">
      <w:pPr>
        <w:ind w:left="-851" w:right="-851"/>
        <w:rPr>
          <w:rFonts w:ascii="Calibri" w:hAnsi="Calibri"/>
        </w:rPr>
      </w:pPr>
      <w:r w:rsidRPr="00806135">
        <w:rPr>
          <w:rFonts w:ascii="Calibri" w:hAnsi="Calibri"/>
          <w:b/>
        </w:rPr>
        <w:t>1.4.2.</w:t>
      </w:r>
      <w:r w:rsidRPr="0032536C">
        <w:rPr>
          <w:rFonts w:ascii="Calibri" w:hAnsi="Calibri"/>
        </w:rPr>
        <w:t xml:space="preserve"> Materiał roślinny - sadzonki drzew, krzewów, kwiatów jednorocznych i wieloletnich.</w:t>
      </w:r>
    </w:p>
    <w:p w:rsidR="00052A91" w:rsidRPr="0032536C" w:rsidRDefault="00052A91" w:rsidP="000E55F0">
      <w:pPr>
        <w:ind w:left="-851" w:right="-851"/>
        <w:rPr>
          <w:rFonts w:ascii="Calibri" w:hAnsi="Calibri"/>
        </w:rPr>
      </w:pPr>
      <w:r w:rsidRPr="00806135">
        <w:rPr>
          <w:rFonts w:ascii="Calibri" w:hAnsi="Calibri"/>
          <w:b/>
        </w:rPr>
        <w:t>1.4.3.</w:t>
      </w:r>
      <w:r w:rsidRPr="0032536C">
        <w:rPr>
          <w:rFonts w:ascii="Calibri" w:hAnsi="Calibri"/>
        </w:rPr>
        <w:t xml:space="preserve"> Bryła korzeniowa - uformowana przez szkółkowanie bryła ziemi z przerastającymi ją korzeniami rośliny.</w:t>
      </w:r>
    </w:p>
    <w:p w:rsidR="00052A91" w:rsidRPr="0032536C" w:rsidRDefault="00052A91" w:rsidP="000E55F0">
      <w:pPr>
        <w:ind w:left="-851" w:right="-851"/>
        <w:rPr>
          <w:rFonts w:ascii="Calibri" w:hAnsi="Calibri"/>
        </w:rPr>
      </w:pPr>
      <w:r w:rsidRPr="00806135">
        <w:rPr>
          <w:rFonts w:ascii="Calibri" w:hAnsi="Calibri"/>
          <w:b/>
        </w:rPr>
        <w:t>1.4.4.</w:t>
      </w:r>
      <w:r w:rsidRPr="0032536C">
        <w:rPr>
          <w:rFonts w:ascii="Calibri" w:hAnsi="Calibri"/>
        </w:rPr>
        <w:t xml:space="preserve"> Forma naturalna - forma drzew do zadrzewień zgodna z naturalnymi cechami wzrostu.</w:t>
      </w:r>
    </w:p>
    <w:p w:rsidR="00052A91" w:rsidRPr="0032536C" w:rsidRDefault="00052A91" w:rsidP="000E55F0">
      <w:pPr>
        <w:ind w:left="-851" w:right="-851"/>
        <w:rPr>
          <w:rFonts w:ascii="Calibri" w:hAnsi="Calibri"/>
        </w:rPr>
      </w:pPr>
      <w:r w:rsidRPr="00806135">
        <w:rPr>
          <w:rFonts w:ascii="Calibri" w:hAnsi="Calibri"/>
          <w:b/>
        </w:rPr>
        <w:t>1.4.5.</w:t>
      </w:r>
      <w:r w:rsidRPr="0032536C">
        <w:rPr>
          <w:rFonts w:ascii="Calibri" w:hAnsi="Calibri"/>
        </w:rPr>
        <w:t xml:space="preserve"> Forma pienna - forma drzew i niektórych krzewów sztucznie wytworzona w szkółce z pniami o wysokości od 1,80 do 2,20 m, z wyraźnym nie przyciętym przewodnikiem i uformowaną koroną.</w:t>
      </w:r>
    </w:p>
    <w:p w:rsidR="00052A91" w:rsidRPr="0032536C" w:rsidRDefault="00052A91" w:rsidP="000E55F0">
      <w:pPr>
        <w:ind w:left="-851" w:right="-851"/>
        <w:rPr>
          <w:rFonts w:ascii="Calibri" w:hAnsi="Calibri"/>
        </w:rPr>
      </w:pPr>
      <w:r w:rsidRPr="00806135">
        <w:rPr>
          <w:rFonts w:ascii="Calibri" w:hAnsi="Calibri"/>
          <w:b/>
        </w:rPr>
        <w:t>1.4.6.</w:t>
      </w:r>
      <w:r w:rsidRPr="0032536C">
        <w:rPr>
          <w:rFonts w:ascii="Calibri" w:hAnsi="Calibri"/>
        </w:rPr>
        <w:t xml:space="preserve"> Forma krzewiasta - forma właściwa dla krzewów lub forma drzewa utworzona w szkółce przez niskie przycięcie przewodnika celem uzyskania wielopędowości.</w:t>
      </w:r>
    </w:p>
    <w:p w:rsidR="00052A91" w:rsidRPr="0032536C" w:rsidRDefault="00052A91" w:rsidP="000E55F0">
      <w:pPr>
        <w:ind w:left="-851" w:right="-851"/>
        <w:rPr>
          <w:rFonts w:ascii="Calibri" w:hAnsi="Calibri"/>
        </w:rPr>
      </w:pPr>
      <w:r w:rsidRPr="00806135">
        <w:rPr>
          <w:rFonts w:ascii="Calibri" w:hAnsi="Calibri"/>
          <w:b/>
        </w:rPr>
        <w:t>1.4.7.</w:t>
      </w:r>
      <w:r w:rsidRPr="0032536C">
        <w:rPr>
          <w:rFonts w:ascii="Calibri" w:hAnsi="Calibri"/>
        </w:rPr>
        <w:t xml:space="preserve"> Pozostałe określenia podstawowe są zgodne z obowiązującymi, odpowiednimi polskimi norm</w:t>
      </w:r>
      <w:r>
        <w:rPr>
          <w:rFonts w:ascii="Calibri" w:hAnsi="Calibri"/>
        </w:rPr>
        <w:t xml:space="preserve">ami i z definicjami podanymi w </w:t>
      </w:r>
      <w:r w:rsidRPr="0032536C">
        <w:rPr>
          <w:rFonts w:ascii="Calibri" w:hAnsi="Calibri"/>
        </w:rPr>
        <w:t>ST D-M-00.00.00 „Wymagania ogólne” pkt 1.4.</w:t>
      </w:r>
    </w:p>
    <w:p w:rsidR="00052A91" w:rsidRPr="0032536C" w:rsidRDefault="00052A91" w:rsidP="000E55F0">
      <w:pPr>
        <w:ind w:left="-851" w:right="-851"/>
        <w:rPr>
          <w:rFonts w:ascii="Calibri" w:hAnsi="Calibri"/>
        </w:rPr>
      </w:pPr>
      <w:r w:rsidRPr="00806135">
        <w:rPr>
          <w:rFonts w:ascii="Calibri" w:hAnsi="Calibri"/>
          <w:b/>
        </w:rPr>
        <w:t>1.5.</w:t>
      </w:r>
      <w:r w:rsidRPr="0032536C">
        <w:rPr>
          <w:rFonts w:ascii="Calibri" w:hAnsi="Calibri"/>
        </w:rPr>
        <w:t xml:space="preserve"> Ogólne wymagania dotyczące robót</w:t>
      </w:r>
    </w:p>
    <w:p w:rsidR="00052A91" w:rsidRPr="0032536C" w:rsidRDefault="001F742D" w:rsidP="000E55F0">
      <w:pPr>
        <w:ind w:left="-851" w:right="-851"/>
        <w:rPr>
          <w:rFonts w:ascii="Calibri" w:hAnsi="Calibri"/>
        </w:rPr>
      </w:pPr>
      <w:r>
        <w:rPr>
          <w:rFonts w:ascii="Calibri" w:hAnsi="Calibri"/>
        </w:rPr>
        <w:tab/>
      </w:r>
      <w:r w:rsidR="006630A3">
        <w:rPr>
          <w:rFonts w:ascii="Calibri" w:hAnsi="Calibri"/>
        </w:rPr>
        <w:tab/>
      </w:r>
      <w:r w:rsidR="00052A91" w:rsidRPr="0032536C">
        <w:rPr>
          <w:rFonts w:ascii="Calibri" w:hAnsi="Calibri"/>
        </w:rPr>
        <w:t>Ogólne wyma</w:t>
      </w:r>
      <w:r w:rsidR="00052A91">
        <w:rPr>
          <w:rFonts w:ascii="Calibri" w:hAnsi="Calibri"/>
        </w:rPr>
        <w:t xml:space="preserve">gania dotyczące robót podano w </w:t>
      </w:r>
      <w:r w:rsidR="00052A91" w:rsidRPr="0032536C">
        <w:rPr>
          <w:rFonts w:ascii="Calibri" w:hAnsi="Calibri"/>
        </w:rPr>
        <w:t>ST D-M-00.00.00 „Wymagania ogólne” pkt 1.5.</w:t>
      </w:r>
    </w:p>
    <w:p w:rsidR="00052A91" w:rsidRDefault="00052A91" w:rsidP="000E55F0">
      <w:pPr>
        <w:ind w:left="-851" w:right="-851"/>
        <w:rPr>
          <w:rFonts w:ascii="Calibri" w:hAnsi="Calibri"/>
        </w:rPr>
      </w:pPr>
      <w:bookmarkStart w:id="1665" w:name="_Toc428677174"/>
    </w:p>
    <w:p w:rsidR="00052A91" w:rsidRPr="00806135" w:rsidRDefault="00052A91" w:rsidP="000E55F0">
      <w:pPr>
        <w:ind w:left="-851" w:right="-851"/>
        <w:rPr>
          <w:rFonts w:ascii="Calibri" w:hAnsi="Calibri"/>
          <w:b/>
        </w:rPr>
      </w:pPr>
      <w:r w:rsidRPr="00806135">
        <w:rPr>
          <w:rFonts w:ascii="Calibri" w:hAnsi="Calibri"/>
          <w:b/>
        </w:rPr>
        <w:t>2. MATERIAŁY</w:t>
      </w:r>
      <w:bookmarkEnd w:id="1665"/>
    </w:p>
    <w:p w:rsidR="00052A91" w:rsidRPr="0032536C" w:rsidRDefault="00052A91" w:rsidP="000E55F0">
      <w:pPr>
        <w:ind w:left="-851" w:right="-851"/>
        <w:rPr>
          <w:rFonts w:ascii="Calibri" w:hAnsi="Calibri"/>
        </w:rPr>
      </w:pPr>
      <w:r w:rsidRPr="0032536C">
        <w:rPr>
          <w:rFonts w:ascii="Calibri" w:hAnsi="Calibri"/>
        </w:rPr>
        <w:t>2.1. Ogólne wymagania dotyczące materiałów</w:t>
      </w:r>
    </w:p>
    <w:p w:rsidR="00052A91" w:rsidRPr="0032536C" w:rsidRDefault="00052A91" w:rsidP="000E55F0">
      <w:pPr>
        <w:ind w:left="-851" w:right="-851"/>
        <w:rPr>
          <w:rFonts w:ascii="Calibri" w:hAnsi="Calibri"/>
        </w:rPr>
      </w:pPr>
      <w:r w:rsidRPr="0032536C">
        <w:rPr>
          <w:rFonts w:ascii="Calibri" w:hAnsi="Calibri"/>
        </w:rPr>
        <w:tab/>
      </w:r>
      <w:r w:rsidR="006630A3">
        <w:rPr>
          <w:rFonts w:ascii="Calibri" w:hAnsi="Calibri"/>
        </w:rPr>
        <w:tab/>
      </w:r>
      <w:r w:rsidRPr="0032536C">
        <w:rPr>
          <w:rFonts w:ascii="Calibri" w:hAnsi="Calibri"/>
        </w:rPr>
        <w:t>Ogólne wymagania dotyczące materiałów, ich pozyski</w:t>
      </w:r>
      <w:r>
        <w:rPr>
          <w:rFonts w:ascii="Calibri" w:hAnsi="Calibri"/>
        </w:rPr>
        <w:t xml:space="preserve">wania i składowania, podano w  </w:t>
      </w:r>
      <w:r w:rsidRPr="0032536C">
        <w:rPr>
          <w:rFonts w:ascii="Calibri" w:hAnsi="Calibri"/>
        </w:rPr>
        <w:t>ST D-M-00.00.00 „Wymagania ogólne” pkt 2.</w:t>
      </w:r>
    </w:p>
    <w:p w:rsidR="00052A91" w:rsidRPr="0032536C" w:rsidRDefault="00052A91" w:rsidP="000E55F0">
      <w:pPr>
        <w:ind w:left="-851" w:right="-851"/>
        <w:rPr>
          <w:rFonts w:ascii="Calibri" w:hAnsi="Calibri"/>
        </w:rPr>
      </w:pPr>
      <w:r w:rsidRPr="00806135">
        <w:rPr>
          <w:rFonts w:ascii="Calibri" w:hAnsi="Calibri"/>
          <w:b/>
        </w:rPr>
        <w:t>2.2.</w:t>
      </w:r>
      <w:r w:rsidRPr="0032536C">
        <w:rPr>
          <w:rFonts w:ascii="Calibri" w:hAnsi="Calibri"/>
        </w:rPr>
        <w:t xml:space="preserve"> Ziemia urodzajna</w:t>
      </w:r>
    </w:p>
    <w:p w:rsidR="00052A91" w:rsidRPr="00806135" w:rsidRDefault="001F742D" w:rsidP="000E55F0">
      <w:pPr>
        <w:ind w:left="-851" w:right="-851"/>
        <w:rPr>
          <w:rFonts w:asciiTheme="minorHAnsi" w:hAnsiTheme="minorHAnsi"/>
        </w:rPr>
      </w:pPr>
      <w:r>
        <w:rPr>
          <w:rFonts w:asciiTheme="minorHAnsi" w:hAnsiTheme="minorHAnsi"/>
        </w:rPr>
        <w:tab/>
      </w:r>
      <w:r w:rsidR="006630A3">
        <w:rPr>
          <w:rFonts w:asciiTheme="minorHAnsi" w:hAnsiTheme="minorHAnsi"/>
        </w:rPr>
        <w:tab/>
      </w:r>
      <w:r w:rsidR="00052A91" w:rsidRPr="00806135">
        <w:rPr>
          <w:rFonts w:asciiTheme="minorHAnsi" w:hAnsiTheme="minorHAnsi"/>
        </w:rPr>
        <w:t>Ziemia urodzajna, w zależności od miejsca pozyskania, powinna posiadać następujące charakterystyki:</w:t>
      </w:r>
    </w:p>
    <w:p w:rsidR="00052A91" w:rsidRPr="00806135" w:rsidRDefault="00052A91" w:rsidP="000E55F0">
      <w:pPr>
        <w:ind w:left="-851" w:right="-851"/>
        <w:rPr>
          <w:rFonts w:asciiTheme="minorHAnsi" w:hAnsiTheme="minorHAnsi"/>
        </w:rPr>
      </w:pPr>
      <w:r>
        <w:rPr>
          <w:rFonts w:asciiTheme="minorHAnsi" w:hAnsiTheme="minorHAnsi"/>
        </w:rPr>
        <w:t>-</w:t>
      </w:r>
      <w:r w:rsidRPr="00806135">
        <w:rPr>
          <w:rFonts w:asciiTheme="minorHAnsi" w:hAnsiTheme="minorHAnsi"/>
        </w:rPr>
        <w:t>ziemia rodzima - powinna być zdjęta przed rozpoczęciem robót budowlanych i zmagazynowana w pryzmach nie przekraczających 2 m wysokości,</w:t>
      </w:r>
    </w:p>
    <w:p w:rsidR="00052A91" w:rsidRPr="00806135" w:rsidRDefault="00052A91" w:rsidP="000E55F0">
      <w:pPr>
        <w:ind w:left="-851" w:right="-851"/>
        <w:rPr>
          <w:rFonts w:asciiTheme="minorHAnsi" w:hAnsiTheme="minorHAnsi"/>
        </w:rPr>
      </w:pPr>
      <w:r>
        <w:rPr>
          <w:rFonts w:asciiTheme="minorHAnsi" w:hAnsiTheme="minorHAnsi"/>
        </w:rPr>
        <w:t>-</w:t>
      </w:r>
      <w:r w:rsidRPr="00806135">
        <w:rPr>
          <w:rFonts w:asciiTheme="minorHAnsi" w:hAnsiTheme="minorHAnsi"/>
        </w:rPr>
        <w:t>ziemia pozyskana w innym miejscu i dostarczona na plac budowy - nie może być zagruzowana, przerośnięta korzeniami, zasolona lub zanieczyszczona chemicznie.</w:t>
      </w:r>
    </w:p>
    <w:p w:rsidR="00052A91" w:rsidRPr="0032536C" w:rsidRDefault="00052A91" w:rsidP="000E55F0">
      <w:pPr>
        <w:ind w:left="-851" w:right="-851"/>
        <w:rPr>
          <w:rFonts w:ascii="Calibri" w:hAnsi="Calibri"/>
        </w:rPr>
      </w:pPr>
      <w:r w:rsidRPr="00806135">
        <w:rPr>
          <w:rFonts w:ascii="Calibri" w:hAnsi="Calibri"/>
          <w:b/>
        </w:rPr>
        <w:t>2.3.</w:t>
      </w:r>
      <w:r w:rsidRPr="0032536C">
        <w:rPr>
          <w:rFonts w:ascii="Calibri" w:hAnsi="Calibri"/>
        </w:rPr>
        <w:t xml:space="preserve"> Ziemia kompostowa</w:t>
      </w:r>
    </w:p>
    <w:p w:rsidR="00052A91" w:rsidRPr="0032536C" w:rsidRDefault="001F742D" w:rsidP="000E55F0">
      <w:pPr>
        <w:ind w:left="-851" w:right="-851"/>
        <w:rPr>
          <w:rFonts w:ascii="Calibri" w:hAnsi="Calibri"/>
        </w:rPr>
      </w:pPr>
      <w:r>
        <w:rPr>
          <w:rFonts w:ascii="Calibri" w:hAnsi="Calibri"/>
        </w:rPr>
        <w:tab/>
      </w:r>
      <w:r w:rsidR="006630A3">
        <w:rPr>
          <w:rFonts w:ascii="Calibri" w:hAnsi="Calibri"/>
        </w:rPr>
        <w:tab/>
      </w:r>
      <w:r w:rsidR="00052A91" w:rsidRPr="0032536C">
        <w:rPr>
          <w:rFonts w:ascii="Calibri" w:hAnsi="Calibri"/>
        </w:rPr>
        <w:t>Do nawożenia gleby mogą być stosowane komposty, powstające w wyniku rozkładu różnych odpadków roślinnych i zwierzęcych (np. torfu, fekaliów, kory drzewnej, chwastów, plewów), przy kompostowaniu ich na otwartym powietrzu w pryzmach, w sposób i w warunkach zapewniających utrzymanie wymaganych cech i wskaźników jakości kompostu.</w:t>
      </w:r>
    </w:p>
    <w:p w:rsidR="00052A91" w:rsidRPr="0032536C" w:rsidRDefault="001F742D" w:rsidP="000E55F0">
      <w:pPr>
        <w:ind w:left="-851" w:right="-851"/>
        <w:rPr>
          <w:rFonts w:ascii="Calibri" w:hAnsi="Calibri"/>
        </w:rPr>
      </w:pPr>
      <w:r>
        <w:rPr>
          <w:rFonts w:ascii="Calibri" w:hAnsi="Calibri"/>
        </w:rPr>
        <w:tab/>
      </w:r>
      <w:r w:rsidR="006630A3">
        <w:rPr>
          <w:rFonts w:ascii="Calibri" w:hAnsi="Calibri"/>
        </w:rPr>
        <w:tab/>
      </w:r>
      <w:r w:rsidR="00052A91" w:rsidRPr="0032536C">
        <w:rPr>
          <w:rFonts w:ascii="Calibri" w:hAnsi="Calibri"/>
        </w:rPr>
        <w:t>Kompost fekaliowo-torfowy - wyrób uzyskuje się przez kompostowanie torfu z fekaliami i ściekami bytowymi z osadników, z osiedli mieszkaniowych.</w:t>
      </w:r>
    </w:p>
    <w:p w:rsidR="00052A91" w:rsidRPr="0032536C" w:rsidRDefault="001F742D" w:rsidP="000E55F0">
      <w:pPr>
        <w:ind w:left="-851" w:right="-851"/>
        <w:rPr>
          <w:rFonts w:ascii="Calibri" w:hAnsi="Calibri"/>
        </w:rPr>
      </w:pPr>
      <w:r>
        <w:rPr>
          <w:rFonts w:ascii="Calibri" w:hAnsi="Calibri"/>
        </w:rPr>
        <w:tab/>
      </w:r>
      <w:r w:rsidR="006630A3">
        <w:rPr>
          <w:rFonts w:ascii="Calibri" w:hAnsi="Calibri"/>
        </w:rPr>
        <w:tab/>
      </w:r>
      <w:r w:rsidR="00052A91" w:rsidRPr="0032536C">
        <w:rPr>
          <w:rFonts w:ascii="Calibri" w:hAnsi="Calibri"/>
        </w:rPr>
        <w:t>Kompost fekalowo-torfowy powinien odpowiadać wymaganiom BN-73/0522-01</w:t>
      </w:r>
      <w:r w:rsidR="00052A91">
        <w:rPr>
          <w:rFonts w:ascii="Calibri" w:hAnsi="Calibri"/>
        </w:rPr>
        <w:t xml:space="preserve"> </w:t>
      </w:r>
      <w:r w:rsidR="00052A91" w:rsidRPr="0032536C">
        <w:rPr>
          <w:rFonts w:ascii="Calibri" w:hAnsi="Calibri"/>
        </w:rPr>
        <w:t xml:space="preserve">a torf użyty jako komponent </w:t>
      </w:r>
      <w:r w:rsidR="00052A91">
        <w:rPr>
          <w:rFonts w:ascii="Calibri" w:hAnsi="Calibri"/>
        </w:rPr>
        <w:t>do wyrobu kompostu - PN-G-98011.</w:t>
      </w:r>
    </w:p>
    <w:p w:rsidR="00052A91" w:rsidRPr="0032536C" w:rsidRDefault="001F742D" w:rsidP="000E55F0">
      <w:pPr>
        <w:ind w:left="-851" w:right="-851"/>
        <w:rPr>
          <w:rFonts w:ascii="Calibri" w:hAnsi="Calibri"/>
        </w:rPr>
      </w:pPr>
      <w:r>
        <w:rPr>
          <w:rFonts w:ascii="Calibri" w:hAnsi="Calibri"/>
        </w:rPr>
        <w:t xml:space="preserve"> </w:t>
      </w:r>
      <w:r>
        <w:rPr>
          <w:rFonts w:ascii="Calibri" w:hAnsi="Calibri"/>
        </w:rPr>
        <w:tab/>
      </w:r>
      <w:r w:rsidR="006630A3">
        <w:rPr>
          <w:rFonts w:ascii="Calibri" w:hAnsi="Calibri"/>
        </w:rPr>
        <w:tab/>
      </w:r>
      <w:r w:rsidR="00052A91" w:rsidRPr="0032536C">
        <w:rPr>
          <w:rFonts w:ascii="Calibri" w:hAnsi="Calibri"/>
        </w:rPr>
        <w:t>Kompost z kory drzewnej - wyrób uzyskuje się przez kompostowanie kory zmieszanej z mocznikiem i osadami z oczyszczalni ścieków pocelulozowych, przez okres około 3-ch miesięcy. Kompost z kory sosnowej może być stosowany jako nawóz organiczny przy przygotowaniu gleby pod zieleń w okresie jesieni, przez zmieszanie kompostu z glebą.</w:t>
      </w:r>
    </w:p>
    <w:p w:rsidR="00052A91" w:rsidRPr="0032536C" w:rsidRDefault="00052A91" w:rsidP="000E55F0">
      <w:pPr>
        <w:ind w:left="-851" w:right="-851"/>
        <w:rPr>
          <w:rFonts w:ascii="Calibri" w:hAnsi="Calibri"/>
        </w:rPr>
      </w:pPr>
      <w:r w:rsidRPr="00806135">
        <w:rPr>
          <w:rFonts w:ascii="Calibri" w:hAnsi="Calibri"/>
          <w:b/>
        </w:rPr>
        <w:lastRenderedPageBreak/>
        <w:t>2.4.</w:t>
      </w:r>
      <w:r w:rsidRPr="0032536C">
        <w:rPr>
          <w:rFonts w:ascii="Calibri" w:hAnsi="Calibri"/>
        </w:rPr>
        <w:t xml:space="preserve"> Materiał roślinny sadzeniowy</w:t>
      </w:r>
    </w:p>
    <w:p w:rsidR="00052A91" w:rsidRPr="0032536C" w:rsidRDefault="00052A91" w:rsidP="000E55F0">
      <w:pPr>
        <w:ind w:left="-851" w:right="-851"/>
        <w:rPr>
          <w:rFonts w:ascii="Calibri" w:hAnsi="Calibri"/>
        </w:rPr>
      </w:pPr>
      <w:r w:rsidRPr="00806135">
        <w:rPr>
          <w:rFonts w:ascii="Calibri" w:hAnsi="Calibri"/>
          <w:b/>
        </w:rPr>
        <w:t>2.4.1.</w:t>
      </w:r>
      <w:r w:rsidRPr="0032536C">
        <w:rPr>
          <w:rFonts w:ascii="Calibri" w:hAnsi="Calibri"/>
        </w:rPr>
        <w:t xml:space="preserve"> Drzewa i krzewy</w:t>
      </w:r>
    </w:p>
    <w:p w:rsidR="00052A91" w:rsidRPr="0032536C" w:rsidRDefault="001F742D" w:rsidP="000E55F0">
      <w:pPr>
        <w:ind w:left="-851" w:right="-851"/>
        <w:rPr>
          <w:rFonts w:ascii="Calibri" w:hAnsi="Calibri"/>
        </w:rPr>
      </w:pPr>
      <w:r>
        <w:rPr>
          <w:rFonts w:ascii="Calibri" w:hAnsi="Calibri"/>
        </w:rPr>
        <w:tab/>
      </w:r>
      <w:r w:rsidR="006630A3">
        <w:rPr>
          <w:rFonts w:ascii="Calibri" w:hAnsi="Calibri"/>
        </w:rPr>
        <w:tab/>
      </w:r>
      <w:r w:rsidR="00052A91" w:rsidRPr="0032536C">
        <w:rPr>
          <w:rFonts w:ascii="Calibri" w:hAnsi="Calibri"/>
        </w:rPr>
        <w:t>Dostarczone sadzonki powinny być zgodne z normą PN</w:t>
      </w:r>
      <w:r w:rsidR="00052A91">
        <w:rPr>
          <w:rFonts w:ascii="Calibri" w:hAnsi="Calibri"/>
        </w:rPr>
        <w:t>-R-67023 i PN-R-67022</w:t>
      </w:r>
      <w:r w:rsidR="00052A91" w:rsidRPr="0032536C">
        <w:rPr>
          <w:rFonts w:ascii="Calibri" w:hAnsi="Calibri"/>
        </w:rPr>
        <w:t>, właściwie oznaczone, tzn. muszą mieć etykiety, na których podana jest nazwa łacińska, forma, wybór, wysokość pnia, numer normy.</w:t>
      </w:r>
    </w:p>
    <w:p w:rsidR="00052A91" w:rsidRPr="0032536C" w:rsidRDefault="001F742D" w:rsidP="000E55F0">
      <w:pPr>
        <w:ind w:left="-851" w:right="-851"/>
        <w:rPr>
          <w:rFonts w:ascii="Calibri" w:hAnsi="Calibri"/>
        </w:rPr>
      </w:pPr>
      <w:r>
        <w:rPr>
          <w:rFonts w:ascii="Calibri" w:hAnsi="Calibri"/>
        </w:rPr>
        <w:tab/>
      </w:r>
      <w:r w:rsidR="006630A3">
        <w:rPr>
          <w:rFonts w:ascii="Calibri" w:hAnsi="Calibri"/>
        </w:rPr>
        <w:tab/>
      </w:r>
      <w:r w:rsidR="00052A91" w:rsidRPr="0032536C">
        <w:rPr>
          <w:rFonts w:ascii="Calibri" w:hAnsi="Calibri"/>
        </w:rPr>
        <w:t>Sadzonki drzew i krzewów powinny być prawidłowo uformowane z zachowaniem pokroju charakterystycznego dla gatunku i odmiany oraz posiadać następujące cechy:</w:t>
      </w:r>
    </w:p>
    <w:p w:rsidR="00052A91" w:rsidRPr="0032536C" w:rsidRDefault="00052A91" w:rsidP="000E55F0">
      <w:pPr>
        <w:ind w:left="-851" w:right="-851"/>
        <w:rPr>
          <w:rFonts w:ascii="Calibri" w:hAnsi="Calibri"/>
        </w:rPr>
      </w:pPr>
      <w:r>
        <w:rPr>
          <w:rFonts w:ascii="Calibri" w:hAnsi="Calibri"/>
        </w:rPr>
        <w:t>-</w:t>
      </w:r>
      <w:r w:rsidRPr="0032536C">
        <w:rPr>
          <w:rFonts w:ascii="Calibri" w:hAnsi="Calibri"/>
        </w:rPr>
        <w:t>pąk szczytowy przewodnika powinien być wyraźnie uformowany,</w:t>
      </w:r>
    </w:p>
    <w:p w:rsidR="00052A91" w:rsidRPr="0032536C" w:rsidRDefault="00052A91" w:rsidP="000E55F0">
      <w:pPr>
        <w:ind w:left="-851" w:right="-851"/>
        <w:rPr>
          <w:rFonts w:ascii="Calibri" w:hAnsi="Calibri"/>
        </w:rPr>
      </w:pPr>
      <w:r>
        <w:rPr>
          <w:rFonts w:ascii="Calibri" w:hAnsi="Calibri"/>
        </w:rPr>
        <w:t>-</w:t>
      </w:r>
      <w:r w:rsidRPr="0032536C">
        <w:rPr>
          <w:rFonts w:ascii="Calibri" w:hAnsi="Calibri"/>
        </w:rPr>
        <w:t>przyrost ostatniego roku powinien wyraźnie i prosto przedłużać przewodnik,</w:t>
      </w:r>
    </w:p>
    <w:p w:rsidR="00052A91" w:rsidRPr="0032536C" w:rsidRDefault="00052A91" w:rsidP="000E55F0">
      <w:pPr>
        <w:ind w:left="-851" w:right="-851"/>
        <w:rPr>
          <w:rFonts w:ascii="Calibri" w:hAnsi="Calibri"/>
        </w:rPr>
      </w:pPr>
      <w:r>
        <w:rPr>
          <w:rFonts w:ascii="Calibri" w:hAnsi="Calibri"/>
        </w:rPr>
        <w:t>-</w:t>
      </w:r>
      <w:r w:rsidRPr="0032536C">
        <w:rPr>
          <w:rFonts w:ascii="Calibri" w:hAnsi="Calibri"/>
        </w:rPr>
        <w:t>system korzeniowy powinien być skupiony i prawidłowo rozwinięty, na korzeniach szkieletowych powinny występować liczne korzenie drobne,</w:t>
      </w:r>
    </w:p>
    <w:p w:rsidR="00052A91" w:rsidRPr="0032536C" w:rsidRDefault="00052A91" w:rsidP="000E55F0">
      <w:pPr>
        <w:ind w:left="-851" w:right="-851"/>
        <w:rPr>
          <w:rFonts w:ascii="Calibri" w:hAnsi="Calibri"/>
        </w:rPr>
      </w:pPr>
      <w:r>
        <w:rPr>
          <w:rFonts w:ascii="Calibri" w:hAnsi="Calibri"/>
        </w:rPr>
        <w:t>-</w:t>
      </w:r>
      <w:r w:rsidRPr="0032536C">
        <w:rPr>
          <w:rFonts w:ascii="Calibri" w:hAnsi="Calibri"/>
        </w:rPr>
        <w:t>u roślin sadzonych z bryłą korzeniową, np. drzew i krzewów iglastych, bryła korzeniowa powinna być prawidłowo uformowana i nie uszkodzona,</w:t>
      </w:r>
    </w:p>
    <w:p w:rsidR="00052A91" w:rsidRPr="0032536C" w:rsidRDefault="00052A91" w:rsidP="000E55F0">
      <w:pPr>
        <w:ind w:left="-851" w:right="-851"/>
        <w:rPr>
          <w:rFonts w:ascii="Calibri" w:hAnsi="Calibri"/>
        </w:rPr>
      </w:pPr>
      <w:r>
        <w:rPr>
          <w:rFonts w:ascii="Calibri" w:hAnsi="Calibri"/>
        </w:rPr>
        <w:t>-</w:t>
      </w:r>
      <w:r w:rsidRPr="0032536C">
        <w:rPr>
          <w:rFonts w:ascii="Calibri" w:hAnsi="Calibri"/>
        </w:rPr>
        <w:t>pędy korony u drzew i krzewów nie powinny być przycięte, chyba że jest to cięcie formujące, np. u form kulistych,</w:t>
      </w:r>
    </w:p>
    <w:p w:rsidR="00052A91" w:rsidRPr="0032536C" w:rsidRDefault="00052A91" w:rsidP="000E55F0">
      <w:pPr>
        <w:ind w:left="-851" w:right="-851"/>
        <w:rPr>
          <w:rFonts w:ascii="Calibri" w:hAnsi="Calibri"/>
        </w:rPr>
      </w:pPr>
      <w:r>
        <w:rPr>
          <w:rFonts w:ascii="Calibri" w:hAnsi="Calibri"/>
        </w:rPr>
        <w:t>-</w:t>
      </w:r>
      <w:r w:rsidRPr="0032536C">
        <w:rPr>
          <w:rFonts w:ascii="Calibri" w:hAnsi="Calibri"/>
        </w:rPr>
        <w:t>pędy boczne korony drzewa powinny być równomiernie rozmieszczone,</w:t>
      </w:r>
    </w:p>
    <w:p w:rsidR="00052A91" w:rsidRPr="0032536C" w:rsidRDefault="00052A91" w:rsidP="000E55F0">
      <w:pPr>
        <w:ind w:left="-851" w:right="-851"/>
        <w:rPr>
          <w:rFonts w:ascii="Calibri" w:hAnsi="Calibri"/>
        </w:rPr>
      </w:pPr>
      <w:r>
        <w:rPr>
          <w:rFonts w:ascii="Calibri" w:hAnsi="Calibri"/>
        </w:rPr>
        <w:t>-</w:t>
      </w:r>
      <w:r w:rsidRPr="0032536C">
        <w:rPr>
          <w:rFonts w:ascii="Calibri" w:hAnsi="Calibri"/>
        </w:rPr>
        <w:t>przewodnik powinien być praktycznie prosty,</w:t>
      </w:r>
    </w:p>
    <w:p w:rsidR="00052A91" w:rsidRPr="0032536C" w:rsidRDefault="00052A91" w:rsidP="000E55F0">
      <w:pPr>
        <w:ind w:left="-851" w:right="-851"/>
        <w:rPr>
          <w:rFonts w:ascii="Calibri" w:hAnsi="Calibri"/>
        </w:rPr>
      </w:pPr>
      <w:r>
        <w:rPr>
          <w:rFonts w:ascii="Calibri" w:hAnsi="Calibri"/>
        </w:rPr>
        <w:t>-</w:t>
      </w:r>
      <w:r w:rsidRPr="0032536C">
        <w:rPr>
          <w:rFonts w:ascii="Calibri" w:hAnsi="Calibri"/>
        </w:rPr>
        <w:t>blizny na przewodniku powinny być dobrze zarośnięte,  dopuszcza się 4 niecałkowicie zarośnięte blizny na przewodniku w II wyborze, u form naturalnych drzew.</w:t>
      </w:r>
    </w:p>
    <w:p w:rsidR="00052A91" w:rsidRPr="0032536C" w:rsidRDefault="001F742D" w:rsidP="000E55F0">
      <w:pPr>
        <w:ind w:left="-851" w:right="-851"/>
        <w:rPr>
          <w:rFonts w:ascii="Calibri" w:hAnsi="Calibri"/>
        </w:rPr>
      </w:pPr>
      <w:r>
        <w:rPr>
          <w:rFonts w:ascii="Calibri" w:hAnsi="Calibri"/>
        </w:rPr>
        <w:tab/>
      </w:r>
      <w:r w:rsidR="006630A3">
        <w:rPr>
          <w:rFonts w:ascii="Calibri" w:hAnsi="Calibri"/>
        </w:rPr>
        <w:tab/>
      </w:r>
      <w:r w:rsidR="00052A91" w:rsidRPr="0032536C">
        <w:rPr>
          <w:rFonts w:ascii="Calibri" w:hAnsi="Calibri"/>
        </w:rPr>
        <w:t>Wady niedopuszczalne:</w:t>
      </w:r>
    </w:p>
    <w:p w:rsidR="00052A91" w:rsidRPr="0032536C" w:rsidRDefault="00052A91" w:rsidP="000E55F0">
      <w:pPr>
        <w:ind w:left="-851" w:right="-851"/>
        <w:rPr>
          <w:rFonts w:ascii="Calibri" w:hAnsi="Calibri"/>
        </w:rPr>
      </w:pPr>
      <w:r>
        <w:rPr>
          <w:rFonts w:ascii="Calibri" w:hAnsi="Calibri"/>
        </w:rPr>
        <w:t>-</w:t>
      </w:r>
      <w:r w:rsidRPr="0032536C">
        <w:rPr>
          <w:rFonts w:ascii="Calibri" w:hAnsi="Calibri"/>
        </w:rPr>
        <w:t>silne uszkodzenia mechaniczne roślin,</w:t>
      </w:r>
    </w:p>
    <w:p w:rsidR="00052A91" w:rsidRPr="0032536C" w:rsidRDefault="00052A91" w:rsidP="000E55F0">
      <w:pPr>
        <w:ind w:left="-851" w:right="-851"/>
        <w:rPr>
          <w:rFonts w:ascii="Calibri" w:hAnsi="Calibri"/>
        </w:rPr>
      </w:pPr>
      <w:r>
        <w:rPr>
          <w:rFonts w:ascii="Calibri" w:hAnsi="Calibri"/>
        </w:rPr>
        <w:t>-</w:t>
      </w:r>
      <w:r w:rsidRPr="0032536C">
        <w:rPr>
          <w:rFonts w:ascii="Calibri" w:hAnsi="Calibri"/>
        </w:rPr>
        <w:t>odrosty podkładki poniżej miejsca szczepienia,</w:t>
      </w:r>
    </w:p>
    <w:p w:rsidR="00052A91" w:rsidRPr="0032536C" w:rsidRDefault="00052A91" w:rsidP="000E55F0">
      <w:pPr>
        <w:ind w:left="-851" w:right="-851"/>
        <w:rPr>
          <w:rFonts w:ascii="Calibri" w:hAnsi="Calibri"/>
        </w:rPr>
      </w:pPr>
      <w:r>
        <w:rPr>
          <w:rFonts w:ascii="Calibri" w:hAnsi="Calibri"/>
        </w:rPr>
        <w:t>-</w:t>
      </w:r>
      <w:r w:rsidRPr="0032536C">
        <w:rPr>
          <w:rFonts w:ascii="Calibri" w:hAnsi="Calibri"/>
        </w:rPr>
        <w:t>ślady żerowania szkodników,</w:t>
      </w:r>
    </w:p>
    <w:p w:rsidR="00052A91" w:rsidRPr="0032536C" w:rsidRDefault="00052A91" w:rsidP="000E55F0">
      <w:pPr>
        <w:ind w:left="-851" w:right="-851"/>
        <w:rPr>
          <w:rFonts w:ascii="Calibri" w:hAnsi="Calibri"/>
        </w:rPr>
      </w:pPr>
      <w:r>
        <w:rPr>
          <w:rFonts w:ascii="Calibri" w:hAnsi="Calibri"/>
        </w:rPr>
        <w:t>-</w:t>
      </w:r>
      <w:r w:rsidRPr="0032536C">
        <w:rPr>
          <w:rFonts w:ascii="Calibri" w:hAnsi="Calibri"/>
        </w:rPr>
        <w:t>oznaki chorobowe,</w:t>
      </w:r>
    </w:p>
    <w:p w:rsidR="00052A91" w:rsidRPr="0032536C" w:rsidRDefault="00052A91" w:rsidP="000E55F0">
      <w:pPr>
        <w:ind w:left="-851" w:right="-851"/>
        <w:rPr>
          <w:rFonts w:ascii="Calibri" w:hAnsi="Calibri"/>
        </w:rPr>
      </w:pPr>
      <w:r>
        <w:rPr>
          <w:rFonts w:ascii="Calibri" w:hAnsi="Calibri"/>
        </w:rPr>
        <w:t>-</w:t>
      </w:r>
      <w:r w:rsidRPr="0032536C">
        <w:rPr>
          <w:rFonts w:ascii="Calibri" w:hAnsi="Calibri"/>
        </w:rPr>
        <w:t>zwiędnięcie i pomarszczenie kory na korzeniach i częściach naziemnych,</w:t>
      </w:r>
    </w:p>
    <w:p w:rsidR="00052A91" w:rsidRPr="0032536C" w:rsidRDefault="00052A91" w:rsidP="000E55F0">
      <w:pPr>
        <w:ind w:left="-851" w:right="-851"/>
        <w:rPr>
          <w:rFonts w:ascii="Calibri" w:hAnsi="Calibri"/>
        </w:rPr>
      </w:pPr>
      <w:r>
        <w:rPr>
          <w:rFonts w:ascii="Calibri" w:hAnsi="Calibri"/>
        </w:rPr>
        <w:t>-</w:t>
      </w:r>
      <w:r w:rsidRPr="0032536C">
        <w:rPr>
          <w:rFonts w:ascii="Calibri" w:hAnsi="Calibri"/>
        </w:rPr>
        <w:t>martwice i pęknięcia kory,</w:t>
      </w:r>
    </w:p>
    <w:p w:rsidR="00052A91" w:rsidRPr="0032536C" w:rsidRDefault="00052A91" w:rsidP="000E55F0">
      <w:pPr>
        <w:ind w:left="-851" w:right="-851"/>
        <w:rPr>
          <w:rFonts w:ascii="Calibri" w:hAnsi="Calibri"/>
        </w:rPr>
      </w:pPr>
      <w:r>
        <w:rPr>
          <w:rFonts w:ascii="Calibri" w:hAnsi="Calibri"/>
        </w:rPr>
        <w:t>-</w:t>
      </w:r>
      <w:r w:rsidRPr="0032536C">
        <w:rPr>
          <w:rFonts w:ascii="Calibri" w:hAnsi="Calibri"/>
        </w:rPr>
        <w:t>uszkodzenie pąka szczytowego przewodnika,</w:t>
      </w:r>
    </w:p>
    <w:p w:rsidR="00052A91" w:rsidRPr="0032536C" w:rsidRDefault="00052A91" w:rsidP="000E55F0">
      <w:pPr>
        <w:ind w:left="-851" w:right="-851"/>
        <w:rPr>
          <w:rFonts w:ascii="Calibri" w:hAnsi="Calibri"/>
        </w:rPr>
      </w:pPr>
      <w:r>
        <w:rPr>
          <w:rFonts w:ascii="Calibri" w:hAnsi="Calibri"/>
        </w:rPr>
        <w:t>-</w:t>
      </w:r>
      <w:r w:rsidRPr="0032536C">
        <w:rPr>
          <w:rFonts w:ascii="Calibri" w:hAnsi="Calibri"/>
        </w:rPr>
        <w:t>dwupędowe korony drzew formy piennej,</w:t>
      </w:r>
    </w:p>
    <w:p w:rsidR="00052A91" w:rsidRPr="0032536C" w:rsidRDefault="00052A91" w:rsidP="000E55F0">
      <w:pPr>
        <w:ind w:left="-851" w:right="-851"/>
        <w:rPr>
          <w:rFonts w:ascii="Calibri" w:hAnsi="Calibri"/>
        </w:rPr>
      </w:pPr>
      <w:r>
        <w:rPr>
          <w:rFonts w:ascii="Calibri" w:hAnsi="Calibri"/>
        </w:rPr>
        <w:t>-</w:t>
      </w:r>
      <w:r w:rsidRPr="0032536C">
        <w:rPr>
          <w:rFonts w:ascii="Calibri" w:hAnsi="Calibri"/>
        </w:rPr>
        <w:t>uszkodzenie lub przesuszenie bryły korzeniowej,</w:t>
      </w:r>
    </w:p>
    <w:p w:rsidR="00052A91" w:rsidRPr="0032536C" w:rsidRDefault="00052A91" w:rsidP="000E55F0">
      <w:pPr>
        <w:ind w:left="-851" w:right="-851"/>
        <w:rPr>
          <w:rFonts w:ascii="Calibri" w:hAnsi="Calibri"/>
        </w:rPr>
      </w:pPr>
      <w:r>
        <w:rPr>
          <w:rFonts w:ascii="Calibri" w:hAnsi="Calibri"/>
        </w:rPr>
        <w:t>-</w:t>
      </w:r>
      <w:r w:rsidRPr="0032536C">
        <w:rPr>
          <w:rFonts w:ascii="Calibri" w:hAnsi="Calibri"/>
        </w:rPr>
        <w:t>złe zrośnięcie odmiany szczepionej z podkładką.</w:t>
      </w:r>
    </w:p>
    <w:p w:rsidR="00052A91" w:rsidRPr="0032536C" w:rsidRDefault="00052A91" w:rsidP="000E55F0">
      <w:pPr>
        <w:ind w:left="-851" w:right="-851"/>
        <w:rPr>
          <w:rFonts w:ascii="Calibri" w:hAnsi="Calibri"/>
        </w:rPr>
      </w:pPr>
      <w:r w:rsidRPr="00806135">
        <w:rPr>
          <w:rFonts w:ascii="Calibri" w:hAnsi="Calibri"/>
          <w:b/>
        </w:rPr>
        <w:t>2.4.2.</w:t>
      </w:r>
      <w:r w:rsidRPr="0032536C">
        <w:rPr>
          <w:rFonts w:ascii="Calibri" w:hAnsi="Calibri"/>
        </w:rPr>
        <w:t xml:space="preserve"> Rośliny kwietnikowe jednoroczne i dwuletnie</w:t>
      </w:r>
    </w:p>
    <w:p w:rsidR="00052A91" w:rsidRPr="0032536C" w:rsidRDefault="001F742D" w:rsidP="000E55F0">
      <w:pPr>
        <w:ind w:left="-851" w:right="-851"/>
        <w:rPr>
          <w:rFonts w:ascii="Calibri" w:hAnsi="Calibri"/>
        </w:rPr>
      </w:pPr>
      <w:r>
        <w:rPr>
          <w:rFonts w:ascii="Calibri" w:hAnsi="Calibri"/>
        </w:rPr>
        <w:tab/>
      </w:r>
      <w:r w:rsidR="006630A3">
        <w:rPr>
          <w:rFonts w:ascii="Calibri" w:hAnsi="Calibri"/>
        </w:rPr>
        <w:tab/>
      </w:r>
      <w:r w:rsidR="00052A91" w:rsidRPr="0032536C">
        <w:rPr>
          <w:rFonts w:ascii="Calibri" w:hAnsi="Calibri"/>
        </w:rPr>
        <w:t>Sadzonki roślin kwietnikowych powinn</w:t>
      </w:r>
      <w:r w:rsidR="00052A91">
        <w:rPr>
          <w:rFonts w:ascii="Calibri" w:hAnsi="Calibri"/>
        </w:rPr>
        <w:t>y być zgodne z BN-76/9125-01</w:t>
      </w:r>
      <w:r w:rsidR="00052A91" w:rsidRPr="0032536C">
        <w:rPr>
          <w:rFonts w:ascii="Calibri" w:hAnsi="Calibri"/>
        </w:rPr>
        <w:t>. Dostarczone sadzonki powinny być oznaczone etykietką z nazwą łacińską.</w:t>
      </w:r>
    </w:p>
    <w:p w:rsidR="00052A91" w:rsidRPr="0032536C" w:rsidRDefault="001F742D" w:rsidP="000E55F0">
      <w:pPr>
        <w:ind w:left="-851" w:right="-851"/>
        <w:rPr>
          <w:rFonts w:ascii="Calibri" w:hAnsi="Calibri"/>
        </w:rPr>
      </w:pPr>
      <w:r>
        <w:rPr>
          <w:rFonts w:ascii="Calibri" w:hAnsi="Calibri"/>
        </w:rPr>
        <w:tab/>
      </w:r>
      <w:r w:rsidR="006630A3">
        <w:rPr>
          <w:rFonts w:ascii="Calibri" w:hAnsi="Calibri"/>
        </w:rPr>
        <w:tab/>
      </w:r>
      <w:r w:rsidR="00052A91" w:rsidRPr="0032536C">
        <w:rPr>
          <w:rFonts w:ascii="Calibri" w:hAnsi="Calibri"/>
        </w:rPr>
        <w:t>Wymagania ogólne dla roślin kwietnikowych:</w:t>
      </w:r>
    </w:p>
    <w:p w:rsidR="00052A91" w:rsidRPr="0032536C" w:rsidRDefault="00052A91" w:rsidP="000E55F0">
      <w:pPr>
        <w:ind w:left="-851" w:right="-851"/>
        <w:rPr>
          <w:rFonts w:ascii="Calibri" w:hAnsi="Calibri"/>
        </w:rPr>
      </w:pPr>
      <w:r>
        <w:rPr>
          <w:rFonts w:ascii="Calibri" w:hAnsi="Calibri"/>
        </w:rPr>
        <w:t>-</w:t>
      </w:r>
      <w:r w:rsidRPr="0032536C">
        <w:rPr>
          <w:rFonts w:ascii="Calibri" w:hAnsi="Calibri"/>
        </w:rPr>
        <w:t>rośliny powinny być dojrzałe technicznie, tzn. nadające się do wysadzenia, jednolite w całej partii, zdrowe i niezwiędnięte,</w:t>
      </w:r>
    </w:p>
    <w:p w:rsidR="00052A91" w:rsidRPr="0032536C" w:rsidRDefault="00052A91" w:rsidP="000E55F0">
      <w:pPr>
        <w:ind w:left="-851" w:right="-851"/>
        <w:rPr>
          <w:rFonts w:ascii="Calibri" w:hAnsi="Calibri"/>
        </w:rPr>
      </w:pPr>
      <w:r>
        <w:rPr>
          <w:rFonts w:ascii="Calibri" w:hAnsi="Calibri"/>
        </w:rPr>
        <w:t>-</w:t>
      </w:r>
      <w:r w:rsidRPr="0032536C">
        <w:rPr>
          <w:rFonts w:ascii="Calibri" w:hAnsi="Calibri"/>
        </w:rPr>
        <w:t>pokrój roślin, barwa kwiatów i liści powinny być charakterystyczne dla gatunku i odmiany,</w:t>
      </w:r>
    </w:p>
    <w:p w:rsidR="00052A91" w:rsidRPr="0032536C" w:rsidRDefault="00052A91" w:rsidP="000E55F0">
      <w:pPr>
        <w:ind w:left="-851" w:right="-851"/>
        <w:rPr>
          <w:rFonts w:ascii="Calibri" w:hAnsi="Calibri"/>
        </w:rPr>
      </w:pPr>
      <w:r>
        <w:rPr>
          <w:rFonts w:ascii="Calibri" w:hAnsi="Calibri"/>
        </w:rPr>
        <w:t>-</w:t>
      </w:r>
      <w:r w:rsidRPr="0032536C">
        <w:rPr>
          <w:rFonts w:ascii="Calibri" w:hAnsi="Calibri"/>
        </w:rPr>
        <w:t>bryła korzeniowa powinna być dobrze przerośnięta korzeniami, wilgotna i nieuszkodzona.</w:t>
      </w:r>
    </w:p>
    <w:p w:rsidR="00052A91" w:rsidRPr="0032536C" w:rsidRDefault="001F742D" w:rsidP="000E55F0">
      <w:pPr>
        <w:ind w:left="-851" w:right="-851"/>
        <w:rPr>
          <w:rFonts w:ascii="Calibri" w:hAnsi="Calibri"/>
        </w:rPr>
      </w:pPr>
      <w:r>
        <w:rPr>
          <w:rFonts w:ascii="Calibri" w:hAnsi="Calibri"/>
        </w:rPr>
        <w:tab/>
      </w:r>
      <w:r w:rsidR="006630A3">
        <w:rPr>
          <w:rFonts w:ascii="Calibri" w:hAnsi="Calibri"/>
        </w:rPr>
        <w:tab/>
      </w:r>
      <w:r w:rsidR="00052A91" w:rsidRPr="0032536C">
        <w:rPr>
          <w:rFonts w:ascii="Calibri" w:hAnsi="Calibri"/>
        </w:rPr>
        <w:t>Niedopuszczalne wady:</w:t>
      </w:r>
    </w:p>
    <w:p w:rsidR="00052A91" w:rsidRPr="0032536C" w:rsidRDefault="00052A91" w:rsidP="000E55F0">
      <w:pPr>
        <w:ind w:left="-851" w:right="-851"/>
        <w:rPr>
          <w:rFonts w:ascii="Calibri" w:hAnsi="Calibri"/>
        </w:rPr>
      </w:pPr>
      <w:r>
        <w:rPr>
          <w:rFonts w:ascii="Calibri" w:hAnsi="Calibri"/>
        </w:rPr>
        <w:t>-</w:t>
      </w:r>
      <w:r w:rsidRPr="0032536C">
        <w:rPr>
          <w:rFonts w:ascii="Calibri" w:hAnsi="Calibri"/>
        </w:rPr>
        <w:t>zwiędnięcie liści i kwiatów,</w:t>
      </w:r>
    </w:p>
    <w:p w:rsidR="00052A91" w:rsidRPr="0032536C" w:rsidRDefault="00052A91" w:rsidP="000E55F0">
      <w:pPr>
        <w:ind w:left="-851" w:right="-851"/>
        <w:rPr>
          <w:rFonts w:ascii="Calibri" w:hAnsi="Calibri"/>
        </w:rPr>
      </w:pPr>
      <w:r>
        <w:rPr>
          <w:rFonts w:ascii="Calibri" w:hAnsi="Calibri"/>
        </w:rPr>
        <w:t>-</w:t>
      </w:r>
      <w:r w:rsidRPr="0032536C">
        <w:rPr>
          <w:rFonts w:ascii="Calibri" w:hAnsi="Calibri"/>
        </w:rPr>
        <w:t>uszkodzenie pąków kwiatowych, łodyg, liści i korzeni,</w:t>
      </w:r>
    </w:p>
    <w:p w:rsidR="00052A91" w:rsidRPr="0032536C" w:rsidRDefault="00052A91" w:rsidP="000E55F0">
      <w:pPr>
        <w:ind w:left="-851" w:right="-851"/>
        <w:rPr>
          <w:rFonts w:ascii="Calibri" w:hAnsi="Calibri"/>
        </w:rPr>
      </w:pPr>
      <w:r>
        <w:rPr>
          <w:rFonts w:ascii="Calibri" w:hAnsi="Calibri"/>
        </w:rPr>
        <w:t>-</w:t>
      </w:r>
      <w:r w:rsidRPr="0032536C">
        <w:rPr>
          <w:rFonts w:ascii="Calibri" w:hAnsi="Calibri"/>
        </w:rPr>
        <w:t>oznaki chorobowe,</w:t>
      </w:r>
    </w:p>
    <w:p w:rsidR="00052A91" w:rsidRPr="0032536C" w:rsidRDefault="00052A91" w:rsidP="000E55F0">
      <w:pPr>
        <w:ind w:left="-851" w:right="-851"/>
        <w:rPr>
          <w:rFonts w:ascii="Calibri" w:hAnsi="Calibri"/>
        </w:rPr>
      </w:pPr>
      <w:r>
        <w:rPr>
          <w:rFonts w:ascii="Calibri" w:hAnsi="Calibri"/>
        </w:rPr>
        <w:t>-</w:t>
      </w:r>
      <w:r w:rsidRPr="0032536C">
        <w:rPr>
          <w:rFonts w:ascii="Calibri" w:hAnsi="Calibri"/>
        </w:rPr>
        <w:t>ślady żerowania szkodników.</w:t>
      </w:r>
    </w:p>
    <w:p w:rsidR="00052A91" w:rsidRPr="0032536C" w:rsidRDefault="001F742D" w:rsidP="000E55F0">
      <w:pPr>
        <w:ind w:left="-851" w:right="-851"/>
        <w:rPr>
          <w:rFonts w:ascii="Calibri" w:hAnsi="Calibri"/>
        </w:rPr>
      </w:pPr>
      <w:r>
        <w:rPr>
          <w:rFonts w:ascii="Calibri" w:hAnsi="Calibri"/>
        </w:rPr>
        <w:tab/>
      </w:r>
      <w:r w:rsidR="006630A3">
        <w:rPr>
          <w:rFonts w:ascii="Calibri" w:hAnsi="Calibri"/>
        </w:rPr>
        <w:tab/>
      </w:r>
      <w:r w:rsidR="00052A91" w:rsidRPr="0032536C">
        <w:rPr>
          <w:rFonts w:ascii="Calibri" w:hAnsi="Calibri"/>
        </w:rPr>
        <w:t>Rośliny powinny być dostarczone w skrzynkach lub doniczkach.</w:t>
      </w:r>
    </w:p>
    <w:p w:rsidR="00052A91" w:rsidRPr="0032536C" w:rsidRDefault="001F742D" w:rsidP="000E55F0">
      <w:pPr>
        <w:ind w:left="-851" w:right="-851"/>
        <w:rPr>
          <w:rFonts w:ascii="Calibri" w:hAnsi="Calibri"/>
        </w:rPr>
      </w:pPr>
      <w:r>
        <w:rPr>
          <w:rFonts w:ascii="Calibri" w:hAnsi="Calibri"/>
        </w:rPr>
        <w:tab/>
      </w:r>
      <w:r w:rsidR="006630A3">
        <w:rPr>
          <w:rFonts w:ascii="Calibri" w:hAnsi="Calibri"/>
        </w:rPr>
        <w:tab/>
      </w:r>
      <w:r w:rsidR="00052A91" w:rsidRPr="0032536C">
        <w:rPr>
          <w:rFonts w:ascii="Calibri" w:hAnsi="Calibri"/>
        </w:rPr>
        <w:t>Rośliny w postaci rozsady powinny być wyjęte z ziemi na okres możliwie jak najkrótszy, najlepiej bezpośrednio przed sadzeniem.</w:t>
      </w:r>
    </w:p>
    <w:p w:rsidR="00052A91" w:rsidRPr="0032536C" w:rsidRDefault="001F742D" w:rsidP="000E55F0">
      <w:pPr>
        <w:ind w:left="-851" w:right="-851"/>
        <w:rPr>
          <w:rFonts w:ascii="Calibri" w:hAnsi="Calibri"/>
        </w:rPr>
      </w:pPr>
      <w:r>
        <w:rPr>
          <w:rFonts w:ascii="Calibri" w:hAnsi="Calibri"/>
        </w:rPr>
        <w:tab/>
      </w:r>
      <w:r w:rsidR="006630A3">
        <w:rPr>
          <w:rFonts w:ascii="Calibri" w:hAnsi="Calibri"/>
        </w:rPr>
        <w:tab/>
      </w:r>
      <w:r w:rsidR="00052A91" w:rsidRPr="0032536C">
        <w:rPr>
          <w:rFonts w:ascii="Calibri" w:hAnsi="Calibri"/>
        </w:rPr>
        <w:t>Do czasu wysadzenia rośliny powinny być ocienione, osłonięte od wiatru i zabezpieczone przed wyschnięciem.</w:t>
      </w:r>
    </w:p>
    <w:p w:rsidR="00052A91" w:rsidRPr="0032536C" w:rsidRDefault="00052A91" w:rsidP="000E55F0">
      <w:pPr>
        <w:ind w:left="-851" w:right="-851"/>
        <w:rPr>
          <w:rFonts w:ascii="Calibri" w:hAnsi="Calibri"/>
        </w:rPr>
      </w:pPr>
      <w:r w:rsidRPr="00806135">
        <w:rPr>
          <w:rFonts w:ascii="Calibri" w:hAnsi="Calibri"/>
          <w:b/>
        </w:rPr>
        <w:t>2.5.</w:t>
      </w:r>
      <w:r w:rsidRPr="0032536C">
        <w:rPr>
          <w:rFonts w:ascii="Calibri" w:hAnsi="Calibri"/>
        </w:rPr>
        <w:t xml:space="preserve"> Nasiona traw</w:t>
      </w:r>
    </w:p>
    <w:p w:rsidR="00052A91" w:rsidRPr="0032536C" w:rsidRDefault="001F742D" w:rsidP="000E55F0">
      <w:pPr>
        <w:ind w:left="-851" w:right="-851"/>
        <w:rPr>
          <w:rFonts w:ascii="Calibri" w:hAnsi="Calibri"/>
        </w:rPr>
      </w:pPr>
      <w:r>
        <w:rPr>
          <w:rFonts w:ascii="Calibri" w:hAnsi="Calibri"/>
        </w:rPr>
        <w:tab/>
      </w:r>
      <w:r w:rsidR="006630A3">
        <w:rPr>
          <w:rFonts w:ascii="Calibri" w:hAnsi="Calibri"/>
        </w:rPr>
        <w:tab/>
      </w:r>
      <w:r w:rsidR="00052A91" w:rsidRPr="0032536C">
        <w:rPr>
          <w:rFonts w:ascii="Calibri" w:hAnsi="Calibri"/>
        </w:rPr>
        <w:t>Nasiona traw najczęściej występują w postaci gotowych mieszanek z nasion różnych gatunków.</w:t>
      </w:r>
    </w:p>
    <w:p w:rsidR="00052A91" w:rsidRPr="0032536C" w:rsidRDefault="001F742D" w:rsidP="000E55F0">
      <w:pPr>
        <w:ind w:left="-851" w:right="-851"/>
        <w:rPr>
          <w:rFonts w:ascii="Calibri" w:hAnsi="Calibri"/>
        </w:rPr>
      </w:pPr>
      <w:r>
        <w:rPr>
          <w:rFonts w:ascii="Calibri" w:hAnsi="Calibri"/>
        </w:rPr>
        <w:tab/>
      </w:r>
      <w:r w:rsidR="006630A3">
        <w:rPr>
          <w:rFonts w:ascii="Calibri" w:hAnsi="Calibri"/>
        </w:rPr>
        <w:tab/>
      </w:r>
      <w:r w:rsidR="00052A91" w:rsidRPr="0032536C">
        <w:rPr>
          <w:rFonts w:ascii="Calibri" w:hAnsi="Calibri"/>
        </w:rPr>
        <w:t>Gotowa mieszanka traw powinna mieć oznaczony procentowy skład gatunkowy, klasę, numer normy wg której została wyprodukowana, zdolność kiełkowania.</w:t>
      </w:r>
    </w:p>
    <w:p w:rsidR="00052A91" w:rsidRPr="0032536C" w:rsidRDefault="00052A91" w:rsidP="000E55F0">
      <w:pPr>
        <w:ind w:left="-851" w:right="-851"/>
        <w:rPr>
          <w:rFonts w:ascii="Calibri" w:hAnsi="Calibri"/>
        </w:rPr>
      </w:pPr>
      <w:r w:rsidRPr="00806135">
        <w:rPr>
          <w:rFonts w:ascii="Calibri" w:hAnsi="Calibri"/>
          <w:b/>
        </w:rPr>
        <w:lastRenderedPageBreak/>
        <w:t>2.6.</w:t>
      </w:r>
      <w:r w:rsidRPr="0032536C">
        <w:rPr>
          <w:rFonts w:ascii="Calibri" w:hAnsi="Calibri"/>
        </w:rPr>
        <w:t xml:space="preserve"> Nawozy mineralne</w:t>
      </w:r>
    </w:p>
    <w:p w:rsidR="00052A91" w:rsidRPr="0032536C" w:rsidRDefault="00052A91" w:rsidP="000E55F0">
      <w:pPr>
        <w:ind w:left="-851" w:right="-851"/>
        <w:rPr>
          <w:rFonts w:ascii="Calibri" w:hAnsi="Calibri"/>
        </w:rPr>
      </w:pPr>
      <w:r w:rsidRPr="0032536C">
        <w:rPr>
          <w:rFonts w:ascii="Calibri" w:hAnsi="Calibri"/>
        </w:rPr>
        <w:tab/>
      </w:r>
      <w:r w:rsidR="006630A3">
        <w:rPr>
          <w:rFonts w:ascii="Calibri" w:hAnsi="Calibri"/>
        </w:rPr>
        <w:tab/>
      </w:r>
      <w:r w:rsidRPr="0032536C">
        <w:rPr>
          <w:rFonts w:ascii="Calibri" w:hAnsi="Calibri"/>
        </w:rPr>
        <w:t>Nawozy mineralne powinny być w opakowaniu, z podanym składem chemicznym (zawartość azotu, fosforu, potasu - N.P.). Nawozy należy zabezpieczyć przed zawilgoceniem i zbryleniem w czasie transportu i przechowywania.</w:t>
      </w:r>
    </w:p>
    <w:p w:rsidR="00052A91" w:rsidRDefault="00052A91" w:rsidP="000E55F0">
      <w:pPr>
        <w:ind w:left="-851" w:right="-851"/>
        <w:rPr>
          <w:rFonts w:ascii="Calibri" w:hAnsi="Calibri"/>
          <w:b/>
        </w:rPr>
      </w:pPr>
      <w:bookmarkStart w:id="1666" w:name="_Toc428677175"/>
    </w:p>
    <w:p w:rsidR="00052A91" w:rsidRPr="00806135" w:rsidRDefault="00052A91" w:rsidP="000E55F0">
      <w:pPr>
        <w:ind w:left="-851" w:right="-851"/>
        <w:rPr>
          <w:rFonts w:ascii="Calibri" w:hAnsi="Calibri"/>
          <w:b/>
        </w:rPr>
      </w:pPr>
      <w:r w:rsidRPr="00806135">
        <w:rPr>
          <w:rFonts w:ascii="Calibri" w:hAnsi="Calibri"/>
          <w:b/>
        </w:rPr>
        <w:t>3. SPRZĘT</w:t>
      </w:r>
      <w:bookmarkEnd w:id="1666"/>
    </w:p>
    <w:p w:rsidR="00052A91" w:rsidRPr="0032536C" w:rsidRDefault="00052A91" w:rsidP="000E55F0">
      <w:pPr>
        <w:ind w:left="-851" w:right="-851"/>
        <w:rPr>
          <w:rFonts w:ascii="Calibri" w:hAnsi="Calibri"/>
        </w:rPr>
      </w:pPr>
      <w:r w:rsidRPr="00806135">
        <w:rPr>
          <w:rFonts w:ascii="Calibri" w:hAnsi="Calibri"/>
          <w:b/>
        </w:rPr>
        <w:t>3.1.</w:t>
      </w:r>
      <w:r w:rsidRPr="0032536C">
        <w:rPr>
          <w:rFonts w:ascii="Calibri" w:hAnsi="Calibri"/>
        </w:rPr>
        <w:t xml:space="preserve"> Ogólne wymagania dotyczące sprzętu</w:t>
      </w:r>
    </w:p>
    <w:p w:rsidR="00052A91" w:rsidRPr="0032536C" w:rsidRDefault="001F742D" w:rsidP="000E55F0">
      <w:pPr>
        <w:ind w:left="-851" w:right="-851"/>
        <w:rPr>
          <w:rFonts w:ascii="Calibri" w:hAnsi="Calibri"/>
        </w:rPr>
      </w:pPr>
      <w:r>
        <w:rPr>
          <w:rFonts w:ascii="Calibri" w:hAnsi="Calibri"/>
        </w:rPr>
        <w:tab/>
      </w:r>
      <w:r w:rsidR="006630A3">
        <w:rPr>
          <w:rFonts w:ascii="Calibri" w:hAnsi="Calibri"/>
        </w:rPr>
        <w:tab/>
      </w:r>
      <w:r w:rsidR="00052A91" w:rsidRPr="0032536C">
        <w:rPr>
          <w:rFonts w:ascii="Calibri" w:hAnsi="Calibri"/>
        </w:rPr>
        <w:t>Ogólne wymaga</w:t>
      </w:r>
      <w:r w:rsidR="00052A91">
        <w:rPr>
          <w:rFonts w:ascii="Calibri" w:hAnsi="Calibri"/>
        </w:rPr>
        <w:t xml:space="preserve">nia dotyczące sprzętu podano w </w:t>
      </w:r>
      <w:r w:rsidR="00052A91" w:rsidRPr="0032536C">
        <w:rPr>
          <w:rFonts w:ascii="Calibri" w:hAnsi="Calibri"/>
        </w:rPr>
        <w:t>ST D-M-00.00.00 „Wymagania ogólne” pkt 3.</w:t>
      </w:r>
    </w:p>
    <w:p w:rsidR="00052A91" w:rsidRPr="0032536C" w:rsidRDefault="00052A91" w:rsidP="000E55F0">
      <w:pPr>
        <w:ind w:left="-851" w:right="-851"/>
        <w:rPr>
          <w:rFonts w:ascii="Calibri" w:hAnsi="Calibri"/>
        </w:rPr>
      </w:pPr>
      <w:r w:rsidRPr="00806135">
        <w:rPr>
          <w:rFonts w:ascii="Calibri" w:hAnsi="Calibri"/>
          <w:b/>
        </w:rPr>
        <w:t>3.2.</w:t>
      </w:r>
      <w:r w:rsidRPr="0032536C">
        <w:rPr>
          <w:rFonts w:ascii="Calibri" w:hAnsi="Calibri"/>
        </w:rPr>
        <w:t xml:space="preserve"> Sprzęt stosowany do wykonania zieleni drogowej</w:t>
      </w:r>
    </w:p>
    <w:p w:rsidR="00052A91" w:rsidRPr="0032536C" w:rsidRDefault="001F742D" w:rsidP="000E55F0">
      <w:pPr>
        <w:ind w:left="-851" w:right="-851"/>
        <w:rPr>
          <w:rFonts w:ascii="Calibri" w:hAnsi="Calibri"/>
        </w:rPr>
      </w:pPr>
      <w:r>
        <w:rPr>
          <w:rFonts w:ascii="Calibri" w:hAnsi="Calibri"/>
        </w:rPr>
        <w:tab/>
      </w:r>
      <w:r w:rsidR="006630A3">
        <w:rPr>
          <w:rFonts w:ascii="Calibri" w:hAnsi="Calibri"/>
        </w:rPr>
        <w:tab/>
      </w:r>
      <w:r w:rsidR="00052A91" w:rsidRPr="0032536C">
        <w:rPr>
          <w:rFonts w:ascii="Calibri" w:hAnsi="Calibri"/>
        </w:rPr>
        <w:t>Wykonawca przystępujący do wykonania zieleni drogowej powinien wykazać się możliwością korzystania z następującego sprzętu:</w:t>
      </w:r>
    </w:p>
    <w:p w:rsidR="00052A91" w:rsidRPr="0032536C" w:rsidRDefault="00052A91" w:rsidP="000E55F0">
      <w:pPr>
        <w:ind w:left="-851" w:right="-851"/>
        <w:rPr>
          <w:rFonts w:ascii="Calibri" w:hAnsi="Calibri"/>
        </w:rPr>
      </w:pPr>
      <w:r>
        <w:rPr>
          <w:rFonts w:ascii="Calibri" w:hAnsi="Calibri"/>
        </w:rPr>
        <w:t>-</w:t>
      </w:r>
      <w:r w:rsidRPr="0032536C">
        <w:rPr>
          <w:rFonts w:ascii="Calibri" w:hAnsi="Calibri"/>
        </w:rPr>
        <w:t>glebogryzarek, pługów, kultywatorów, bron do uprawy gleby,</w:t>
      </w:r>
    </w:p>
    <w:p w:rsidR="00052A91" w:rsidRPr="0032536C" w:rsidRDefault="00052A91" w:rsidP="000E55F0">
      <w:pPr>
        <w:ind w:left="-851" w:right="-851"/>
        <w:rPr>
          <w:rFonts w:ascii="Calibri" w:hAnsi="Calibri"/>
        </w:rPr>
      </w:pPr>
      <w:r>
        <w:rPr>
          <w:rFonts w:ascii="Calibri" w:hAnsi="Calibri"/>
        </w:rPr>
        <w:t>-</w:t>
      </w:r>
      <w:r w:rsidRPr="0032536C">
        <w:rPr>
          <w:rFonts w:ascii="Calibri" w:hAnsi="Calibri"/>
        </w:rPr>
        <w:t>wału kolczatki oraz wału gładkiego do zakładania trawników,</w:t>
      </w:r>
    </w:p>
    <w:p w:rsidR="00052A91" w:rsidRPr="0032536C" w:rsidRDefault="00052A91" w:rsidP="000E55F0">
      <w:pPr>
        <w:ind w:left="-851" w:right="-851"/>
        <w:rPr>
          <w:rFonts w:ascii="Calibri" w:hAnsi="Calibri"/>
        </w:rPr>
      </w:pPr>
      <w:r>
        <w:rPr>
          <w:rFonts w:ascii="Calibri" w:hAnsi="Calibri"/>
        </w:rPr>
        <w:t>-</w:t>
      </w:r>
      <w:r w:rsidRPr="0032536C">
        <w:rPr>
          <w:rFonts w:ascii="Calibri" w:hAnsi="Calibri"/>
        </w:rPr>
        <w:t>kosiarki mechanicznej do pielęgnacji trawników,</w:t>
      </w:r>
    </w:p>
    <w:p w:rsidR="00052A91" w:rsidRPr="0032536C" w:rsidRDefault="00052A91" w:rsidP="000E55F0">
      <w:pPr>
        <w:ind w:left="-851" w:right="-851"/>
        <w:rPr>
          <w:rFonts w:ascii="Calibri" w:hAnsi="Calibri"/>
        </w:rPr>
      </w:pPr>
      <w:r>
        <w:rPr>
          <w:rFonts w:ascii="Calibri" w:hAnsi="Calibri"/>
        </w:rPr>
        <w:t>-</w:t>
      </w:r>
      <w:r w:rsidRPr="0032536C">
        <w:rPr>
          <w:rFonts w:ascii="Calibri" w:hAnsi="Calibri"/>
        </w:rPr>
        <w:t>sprzętu do pozyskiwania ziemi urodzajnej (np. spycharki gąsiennicowej, koparki),</w:t>
      </w:r>
    </w:p>
    <w:p w:rsidR="00052A91" w:rsidRPr="0032536C" w:rsidRDefault="001F742D" w:rsidP="000E55F0">
      <w:pPr>
        <w:ind w:left="-851" w:right="-851"/>
        <w:rPr>
          <w:rFonts w:ascii="Calibri" w:hAnsi="Calibri"/>
        </w:rPr>
      </w:pPr>
      <w:r>
        <w:rPr>
          <w:rFonts w:ascii="Calibri" w:hAnsi="Calibri"/>
        </w:rPr>
        <w:tab/>
      </w:r>
      <w:r w:rsidR="00052A91" w:rsidRPr="0032536C">
        <w:rPr>
          <w:rFonts w:ascii="Calibri" w:hAnsi="Calibri"/>
        </w:rPr>
        <w:t>a ponadto do pielęgnacji zadrzewień:</w:t>
      </w:r>
    </w:p>
    <w:p w:rsidR="00052A91" w:rsidRPr="0032536C" w:rsidRDefault="00052A91" w:rsidP="000E55F0">
      <w:pPr>
        <w:ind w:left="-851" w:right="-851"/>
        <w:rPr>
          <w:rFonts w:ascii="Calibri" w:hAnsi="Calibri"/>
        </w:rPr>
      </w:pPr>
      <w:r>
        <w:rPr>
          <w:rFonts w:ascii="Calibri" w:hAnsi="Calibri"/>
        </w:rPr>
        <w:t>-</w:t>
      </w:r>
      <w:r w:rsidRPr="0032536C">
        <w:rPr>
          <w:rFonts w:ascii="Calibri" w:hAnsi="Calibri"/>
        </w:rPr>
        <w:t>pił mechanicznych i ręcznych,</w:t>
      </w:r>
    </w:p>
    <w:p w:rsidR="00052A91" w:rsidRPr="0032536C" w:rsidRDefault="00052A91" w:rsidP="000E55F0">
      <w:pPr>
        <w:ind w:left="-851" w:right="-851"/>
        <w:rPr>
          <w:rFonts w:ascii="Calibri" w:hAnsi="Calibri"/>
        </w:rPr>
      </w:pPr>
      <w:r>
        <w:rPr>
          <w:rFonts w:ascii="Calibri" w:hAnsi="Calibri"/>
        </w:rPr>
        <w:t>-</w:t>
      </w:r>
      <w:r w:rsidRPr="0032536C">
        <w:rPr>
          <w:rFonts w:ascii="Calibri" w:hAnsi="Calibri"/>
        </w:rPr>
        <w:t>drabin,</w:t>
      </w:r>
    </w:p>
    <w:p w:rsidR="00052A91" w:rsidRPr="0032536C" w:rsidRDefault="00052A91" w:rsidP="000E55F0">
      <w:pPr>
        <w:ind w:left="-851" w:right="-851"/>
        <w:rPr>
          <w:rFonts w:ascii="Calibri" w:hAnsi="Calibri"/>
        </w:rPr>
      </w:pPr>
      <w:r>
        <w:rPr>
          <w:rFonts w:ascii="Calibri" w:hAnsi="Calibri"/>
        </w:rPr>
        <w:t>-</w:t>
      </w:r>
      <w:r w:rsidRPr="0032536C">
        <w:rPr>
          <w:rFonts w:ascii="Calibri" w:hAnsi="Calibri"/>
        </w:rPr>
        <w:t>podnośników hydraulicznych.</w:t>
      </w:r>
    </w:p>
    <w:p w:rsidR="00052A91" w:rsidRDefault="00052A91" w:rsidP="000E55F0">
      <w:pPr>
        <w:ind w:left="-851" w:right="-851"/>
        <w:rPr>
          <w:rFonts w:ascii="Calibri" w:hAnsi="Calibri"/>
          <w:b/>
        </w:rPr>
      </w:pPr>
      <w:bookmarkStart w:id="1667" w:name="_Toc428677176"/>
    </w:p>
    <w:p w:rsidR="00052A91" w:rsidRPr="00F31D6D" w:rsidRDefault="00052A91" w:rsidP="000E55F0">
      <w:pPr>
        <w:ind w:left="-851" w:right="-851"/>
        <w:rPr>
          <w:rFonts w:ascii="Calibri" w:hAnsi="Calibri"/>
          <w:b/>
        </w:rPr>
      </w:pPr>
      <w:r w:rsidRPr="00F31D6D">
        <w:rPr>
          <w:rFonts w:ascii="Calibri" w:hAnsi="Calibri"/>
          <w:b/>
        </w:rPr>
        <w:t>4. TRANSPORT</w:t>
      </w:r>
      <w:bookmarkEnd w:id="1667"/>
    </w:p>
    <w:p w:rsidR="00052A91" w:rsidRPr="0032536C" w:rsidRDefault="00052A91" w:rsidP="000E55F0">
      <w:pPr>
        <w:ind w:left="-851" w:right="-851"/>
        <w:rPr>
          <w:rFonts w:ascii="Calibri" w:hAnsi="Calibri"/>
        </w:rPr>
      </w:pPr>
      <w:r w:rsidRPr="00F31D6D">
        <w:rPr>
          <w:rFonts w:ascii="Calibri" w:hAnsi="Calibri"/>
          <w:b/>
        </w:rPr>
        <w:t>4.1.</w:t>
      </w:r>
      <w:r w:rsidRPr="0032536C">
        <w:rPr>
          <w:rFonts w:ascii="Calibri" w:hAnsi="Calibri"/>
        </w:rPr>
        <w:t xml:space="preserve"> Ogólne wymagania dotyczące transportu</w:t>
      </w:r>
    </w:p>
    <w:p w:rsidR="00052A91" w:rsidRPr="0032536C" w:rsidRDefault="001F742D" w:rsidP="000E55F0">
      <w:pPr>
        <w:ind w:left="-851" w:right="-851"/>
        <w:rPr>
          <w:rFonts w:ascii="Calibri" w:hAnsi="Calibri"/>
        </w:rPr>
      </w:pPr>
      <w:r>
        <w:rPr>
          <w:rFonts w:ascii="Calibri" w:hAnsi="Calibri"/>
        </w:rPr>
        <w:tab/>
      </w:r>
      <w:r w:rsidR="006630A3">
        <w:rPr>
          <w:rFonts w:ascii="Calibri" w:hAnsi="Calibri"/>
        </w:rPr>
        <w:tab/>
      </w:r>
      <w:r w:rsidR="00052A91" w:rsidRPr="0032536C">
        <w:rPr>
          <w:rFonts w:ascii="Calibri" w:hAnsi="Calibri"/>
        </w:rPr>
        <w:t>Ogólne wymagania</w:t>
      </w:r>
      <w:r w:rsidR="00052A91">
        <w:rPr>
          <w:rFonts w:ascii="Calibri" w:hAnsi="Calibri"/>
        </w:rPr>
        <w:t xml:space="preserve"> dotyczące transportu podano w </w:t>
      </w:r>
      <w:r w:rsidR="00052A91" w:rsidRPr="0032536C">
        <w:rPr>
          <w:rFonts w:ascii="Calibri" w:hAnsi="Calibri"/>
        </w:rPr>
        <w:t>ST D-M-00.00.00 „Wymagania ogólne” pkt 4.</w:t>
      </w:r>
    </w:p>
    <w:p w:rsidR="00052A91" w:rsidRPr="0032536C" w:rsidRDefault="00052A91" w:rsidP="000E55F0">
      <w:pPr>
        <w:ind w:left="-851" w:right="-851"/>
        <w:rPr>
          <w:rFonts w:ascii="Calibri" w:hAnsi="Calibri"/>
        </w:rPr>
      </w:pPr>
      <w:r w:rsidRPr="00F31D6D">
        <w:rPr>
          <w:rFonts w:ascii="Calibri" w:hAnsi="Calibri"/>
          <w:b/>
        </w:rPr>
        <w:t>4.2.</w:t>
      </w:r>
      <w:r w:rsidRPr="0032536C">
        <w:rPr>
          <w:rFonts w:ascii="Calibri" w:hAnsi="Calibri"/>
        </w:rPr>
        <w:t xml:space="preserve"> Transport materiałów do wykonania nasadzeń</w:t>
      </w:r>
    </w:p>
    <w:p w:rsidR="00052A91" w:rsidRPr="0032536C" w:rsidRDefault="001F742D" w:rsidP="000E55F0">
      <w:pPr>
        <w:ind w:left="-851" w:right="-851"/>
        <w:rPr>
          <w:rFonts w:ascii="Calibri" w:hAnsi="Calibri"/>
        </w:rPr>
      </w:pPr>
      <w:r>
        <w:rPr>
          <w:rFonts w:ascii="Calibri" w:hAnsi="Calibri"/>
        </w:rPr>
        <w:tab/>
      </w:r>
      <w:r w:rsidR="006630A3">
        <w:rPr>
          <w:rFonts w:ascii="Calibri" w:hAnsi="Calibri"/>
        </w:rPr>
        <w:tab/>
      </w:r>
      <w:r w:rsidR="00052A91" w:rsidRPr="0032536C">
        <w:rPr>
          <w:rFonts w:ascii="Calibri" w:hAnsi="Calibri"/>
        </w:rPr>
        <w:t>Transport materiałów do zieleni drogowej może być dowolny pod warunkiem, że nie uszkodzi, ani też nie pogorszy jakości transportowanych materiałów.</w:t>
      </w:r>
    </w:p>
    <w:p w:rsidR="00052A91" w:rsidRPr="0032536C" w:rsidRDefault="001F742D" w:rsidP="000E55F0">
      <w:pPr>
        <w:ind w:left="-851" w:right="-851"/>
        <w:rPr>
          <w:rFonts w:ascii="Calibri" w:hAnsi="Calibri"/>
        </w:rPr>
      </w:pPr>
      <w:r>
        <w:rPr>
          <w:rFonts w:ascii="Calibri" w:hAnsi="Calibri"/>
        </w:rPr>
        <w:tab/>
      </w:r>
      <w:r w:rsidR="006630A3">
        <w:rPr>
          <w:rFonts w:ascii="Calibri" w:hAnsi="Calibri"/>
        </w:rPr>
        <w:tab/>
      </w:r>
      <w:r w:rsidR="00052A91" w:rsidRPr="0032536C">
        <w:rPr>
          <w:rFonts w:ascii="Calibri" w:hAnsi="Calibri"/>
        </w:rPr>
        <w:t>W czasie transportu drzewa i krzewy muszą być zabezpieczone przed uszkodzeniem bryły korzeniowej lub korzeni i pędów. Rośliny z bryłą korzeniową muszą mieć opakowane bryły korzeniowe lub być w pojemnikach.</w:t>
      </w:r>
    </w:p>
    <w:p w:rsidR="00052A91" w:rsidRPr="0032536C" w:rsidRDefault="001F742D" w:rsidP="000E55F0">
      <w:pPr>
        <w:ind w:left="-851" w:right="-851"/>
        <w:rPr>
          <w:rFonts w:ascii="Calibri" w:hAnsi="Calibri"/>
        </w:rPr>
      </w:pPr>
      <w:r>
        <w:rPr>
          <w:rFonts w:ascii="Calibri" w:hAnsi="Calibri"/>
        </w:rPr>
        <w:tab/>
      </w:r>
      <w:r w:rsidR="006630A3">
        <w:rPr>
          <w:rFonts w:ascii="Calibri" w:hAnsi="Calibri"/>
        </w:rPr>
        <w:tab/>
      </w:r>
      <w:r w:rsidR="00052A91" w:rsidRPr="0032536C">
        <w:rPr>
          <w:rFonts w:ascii="Calibri" w:hAnsi="Calibri"/>
        </w:rPr>
        <w:t>Drzewa i krzewy mogą być przewożone wszystkimi środkami transportowymi. W czasie transportu należy zabezpieczyć je przed wyschnięciem i przemarznięciem. Drzewa i krzewy po dostarczeniu na miejsce przeznaczenia powinny być natychmiast sadzone. Jeśli jest to niemożliwe, należy je zadołować w miejscu ocienionym i nieprzewiewnym, a w razie suszy podlewać.</w:t>
      </w:r>
    </w:p>
    <w:p w:rsidR="00052A91" w:rsidRPr="0032536C" w:rsidRDefault="00052A91" w:rsidP="000E55F0">
      <w:pPr>
        <w:ind w:left="-851" w:right="-851"/>
        <w:rPr>
          <w:rFonts w:ascii="Calibri" w:hAnsi="Calibri"/>
        </w:rPr>
      </w:pPr>
      <w:r w:rsidRPr="00F31D6D">
        <w:rPr>
          <w:rFonts w:ascii="Calibri" w:hAnsi="Calibri"/>
          <w:b/>
        </w:rPr>
        <w:t>4.3.</w:t>
      </w:r>
      <w:r w:rsidRPr="0032536C">
        <w:rPr>
          <w:rFonts w:ascii="Calibri" w:hAnsi="Calibri"/>
        </w:rPr>
        <w:t xml:space="preserve"> Transport roślin kwietnikowych</w:t>
      </w:r>
    </w:p>
    <w:p w:rsidR="00052A91" w:rsidRPr="0032536C" w:rsidRDefault="001F742D" w:rsidP="000E55F0">
      <w:pPr>
        <w:ind w:left="-851" w:right="-851"/>
        <w:rPr>
          <w:rFonts w:ascii="Calibri" w:hAnsi="Calibri"/>
        </w:rPr>
      </w:pPr>
      <w:r>
        <w:rPr>
          <w:rFonts w:ascii="Calibri" w:hAnsi="Calibri"/>
        </w:rPr>
        <w:tab/>
      </w:r>
      <w:r w:rsidR="006630A3">
        <w:rPr>
          <w:rFonts w:ascii="Calibri" w:hAnsi="Calibri"/>
        </w:rPr>
        <w:tab/>
      </w:r>
      <w:r w:rsidR="00052A91" w:rsidRPr="0032536C">
        <w:rPr>
          <w:rFonts w:ascii="Calibri" w:hAnsi="Calibri"/>
        </w:rPr>
        <w:t>Rośliny przygotowane do wysyłki po wyjęciu z ziemi należy przechowywać w miejscach osłoniętych i zacienionych. W przypadku niewysyłania roślin w ciągu kilku godzin od wyjęcia z ziemi, należy je spryskać wodą (pędy roślin pakowanych nie powinny być jednak mokre, aby uniknąć zaparzenia).</w:t>
      </w:r>
    </w:p>
    <w:p w:rsidR="00052A91" w:rsidRPr="0032536C" w:rsidRDefault="001F742D" w:rsidP="000E55F0">
      <w:pPr>
        <w:ind w:left="-851" w:right="-851"/>
        <w:rPr>
          <w:rFonts w:ascii="Calibri" w:hAnsi="Calibri"/>
        </w:rPr>
      </w:pPr>
      <w:r>
        <w:rPr>
          <w:rFonts w:ascii="Calibri" w:hAnsi="Calibri"/>
        </w:rPr>
        <w:tab/>
      </w:r>
      <w:r w:rsidR="006630A3">
        <w:rPr>
          <w:rFonts w:ascii="Calibri" w:hAnsi="Calibri"/>
        </w:rPr>
        <w:tab/>
      </w:r>
      <w:r w:rsidR="00052A91" w:rsidRPr="0032536C">
        <w:rPr>
          <w:rFonts w:ascii="Calibri" w:hAnsi="Calibri"/>
        </w:rPr>
        <w:t>Rośliny należy przewozić w warunkach zabezpieczających je przed wstrząsami, uszkodzeniami i wyschnięciem. Przy przesyłaniu na dalsze odległości, rośliny należy przewozić szybkimi środkami transportowymi, zakrytymi.</w:t>
      </w:r>
    </w:p>
    <w:p w:rsidR="00052A91" w:rsidRPr="0032536C" w:rsidRDefault="001F742D" w:rsidP="000E55F0">
      <w:pPr>
        <w:ind w:left="-851" w:right="-851"/>
        <w:rPr>
          <w:rFonts w:ascii="Calibri" w:hAnsi="Calibri"/>
        </w:rPr>
      </w:pPr>
      <w:r>
        <w:rPr>
          <w:rFonts w:ascii="Calibri" w:hAnsi="Calibri"/>
        </w:rPr>
        <w:tab/>
      </w:r>
      <w:r w:rsidR="006630A3">
        <w:rPr>
          <w:rFonts w:ascii="Calibri" w:hAnsi="Calibri"/>
        </w:rPr>
        <w:tab/>
      </w:r>
      <w:r w:rsidR="00052A91" w:rsidRPr="0032536C">
        <w:rPr>
          <w:rFonts w:ascii="Calibri" w:hAnsi="Calibri"/>
        </w:rPr>
        <w:t>W okresie wysokich temperatur przewóz powinien być w miarę możliwości dokonywany nocą.</w:t>
      </w:r>
    </w:p>
    <w:p w:rsidR="00052A91" w:rsidRDefault="00052A91" w:rsidP="000E55F0">
      <w:pPr>
        <w:ind w:left="-851" w:right="-851"/>
        <w:rPr>
          <w:rFonts w:ascii="Calibri" w:hAnsi="Calibri"/>
          <w:b/>
        </w:rPr>
      </w:pPr>
      <w:bookmarkStart w:id="1668" w:name="_Toc428677177"/>
    </w:p>
    <w:p w:rsidR="00052A91" w:rsidRPr="007C6DE6" w:rsidRDefault="00052A91" w:rsidP="000E55F0">
      <w:pPr>
        <w:ind w:left="-851" w:right="-851"/>
        <w:rPr>
          <w:rFonts w:ascii="Calibri" w:hAnsi="Calibri"/>
          <w:b/>
        </w:rPr>
      </w:pPr>
      <w:r w:rsidRPr="007C6DE6">
        <w:rPr>
          <w:rFonts w:ascii="Calibri" w:hAnsi="Calibri"/>
          <w:b/>
        </w:rPr>
        <w:t>5. WYKONANIE ROBÓT</w:t>
      </w:r>
      <w:bookmarkEnd w:id="1668"/>
    </w:p>
    <w:p w:rsidR="00052A91" w:rsidRPr="0032536C" w:rsidRDefault="00052A91" w:rsidP="000E55F0">
      <w:pPr>
        <w:ind w:left="-851" w:right="-851"/>
        <w:rPr>
          <w:rFonts w:ascii="Calibri" w:hAnsi="Calibri"/>
        </w:rPr>
      </w:pPr>
      <w:r w:rsidRPr="007C6DE6">
        <w:rPr>
          <w:rFonts w:ascii="Calibri" w:hAnsi="Calibri"/>
          <w:b/>
        </w:rPr>
        <w:t>5.1.</w:t>
      </w:r>
      <w:r w:rsidRPr="0032536C">
        <w:rPr>
          <w:rFonts w:ascii="Calibri" w:hAnsi="Calibri"/>
        </w:rPr>
        <w:t xml:space="preserve"> Ogólne zasady wykonania robót</w:t>
      </w:r>
    </w:p>
    <w:p w:rsidR="00052A91" w:rsidRPr="0032536C" w:rsidRDefault="001F742D" w:rsidP="000E55F0">
      <w:pPr>
        <w:ind w:left="-851" w:right="-851"/>
        <w:rPr>
          <w:rFonts w:ascii="Calibri" w:hAnsi="Calibri"/>
        </w:rPr>
      </w:pPr>
      <w:r>
        <w:rPr>
          <w:rFonts w:ascii="Calibri" w:hAnsi="Calibri"/>
        </w:rPr>
        <w:tab/>
      </w:r>
      <w:r w:rsidR="006630A3">
        <w:rPr>
          <w:rFonts w:ascii="Calibri" w:hAnsi="Calibri"/>
        </w:rPr>
        <w:tab/>
      </w:r>
      <w:r w:rsidR="00052A91" w:rsidRPr="0032536C">
        <w:rPr>
          <w:rFonts w:ascii="Calibri" w:hAnsi="Calibri"/>
        </w:rPr>
        <w:t>Ogólne z</w:t>
      </w:r>
      <w:r w:rsidR="00052A91">
        <w:rPr>
          <w:rFonts w:ascii="Calibri" w:hAnsi="Calibri"/>
        </w:rPr>
        <w:t xml:space="preserve">asady wykonania robót podano w </w:t>
      </w:r>
      <w:r w:rsidR="00052A91" w:rsidRPr="0032536C">
        <w:rPr>
          <w:rFonts w:ascii="Calibri" w:hAnsi="Calibri"/>
        </w:rPr>
        <w:t>ST D-M-00.00.00 „Wymagania ogólne” pkt 5.</w:t>
      </w:r>
    </w:p>
    <w:p w:rsidR="00052A91" w:rsidRPr="0032536C" w:rsidRDefault="00052A91" w:rsidP="000E55F0">
      <w:pPr>
        <w:ind w:left="-851" w:right="-851"/>
        <w:rPr>
          <w:rFonts w:ascii="Calibri" w:hAnsi="Calibri"/>
        </w:rPr>
      </w:pPr>
      <w:r w:rsidRPr="007C6DE6">
        <w:rPr>
          <w:rFonts w:ascii="Calibri" w:hAnsi="Calibri"/>
          <w:b/>
        </w:rPr>
        <w:t>5.2.</w:t>
      </w:r>
      <w:r w:rsidRPr="0032536C">
        <w:rPr>
          <w:rFonts w:ascii="Calibri" w:hAnsi="Calibri"/>
        </w:rPr>
        <w:t xml:space="preserve"> Trawniki</w:t>
      </w:r>
    </w:p>
    <w:p w:rsidR="00052A91" w:rsidRPr="0032536C" w:rsidRDefault="00052A91" w:rsidP="000E55F0">
      <w:pPr>
        <w:ind w:left="-851" w:right="-851"/>
        <w:rPr>
          <w:rFonts w:ascii="Calibri" w:hAnsi="Calibri"/>
        </w:rPr>
      </w:pPr>
      <w:r w:rsidRPr="007C6DE6">
        <w:rPr>
          <w:rFonts w:ascii="Calibri" w:hAnsi="Calibri"/>
          <w:b/>
        </w:rPr>
        <w:t>5.2.1.</w:t>
      </w:r>
      <w:r w:rsidRPr="0032536C">
        <w:rPr>
          <w:rFonts w:ascii="Calibri" w:hAnsi="Calibri"/>
        </w:rPr>
        <w:t xml:space="preserve"> Wymagania dotyczące wykonania trawników</w:t>
      </w:r>
    </w:p>
    <w:p w:rsidR="00052A91" w:rsidRPr="0032536C" w:rsidRDefault="001F742D" w:rsidP="000E55F0">
      <w:pPr>
        <w:ind w:left="-851" w:right="-851"/>
        <w:rPr>
          <w:rFonts w:ascii="Calibri" w:hAnsi="Calibri"/>
        </w:rPr>
      </w:pPr>
      <w:r>
        <w:rPr>
          <w:rFonts w:ascii="Calibri" w:hAnsi="Calibri"/>
        </w:rPr>
        <w:tab/>
      </w:r>
      <w:r w:rsidR="006630A3">
        <w:rPr>
          <w:rFonts w:ascii="Calibri" w:hAnsi="Calibri"/>
        </w:rPr>
        <w:tab/>
      </w:r>
      <w:r w:rsidR="00052A91" w:rsidRPr="0032536C">
        <w:rPr>
          <w:rFonts w:ascii="Calibri" w:hAnsi="Calibri"/>
        </w:rPr>
        <w:t>Wymagania dotyczące wykonania robót związanych z trawnikami są następujące:</w:t>
      </w:r>
    </w:p>
    <w:p w:rsidR="00052A91" w:rsidRPr="0032536C" w:rsidRDefault="00052A91" w:rsidP="000E55F0">
      <w:pPr>
        <w:ind w:left="-851" w:right="-851"/>
        <w:rPr>
          <w:rFonts w:ascii="Calibri" w:hAnsi="Calibri"/>
        </w:rPr>
      </w:pPr>
      <w:r>
        <w:rPr>
          <w:rFonts w:ascii="Calibri" w:hAnsi="Calibri"/>
        </w:rPr>
        <w:t>-</w:t>
      </w:r>
      <w:r w:rsidRPr="0032536C">
        <w:rPr>
          <w:rFonts w:ascii="Calibri" w:hAnsi="Calibri"/>
        </w:rPr>
        <w:t>teren pod trawniki musi być oczyszczony z gruzu i zanieczyszczeń,</w:t>
      </w:r>
    </w:p>
    <w:p w:rsidR="00052A91" w:rsidRPr="0032536C" w:rsidRDefault="00052A91" w:rsidP="000E55F0">
      <w:pPr>
        <w:ind w:left="-851" w:right="-851"/>
        <w:rPr>
          <w:rFonts w:ascii="Calibri" w:hAnsi="Calibri"/>
        </w:rPr>
      </w:pPr>
      <w:r>
        <w:rPr>
          <w:rFonts w:ascii="Calibri" w:hAnsi="Calibri"/>
        </w:rPr>
        <w:t>-</w:t>
      </w:r>
      <w:r w:rsidRPr="0032536C">
        <w:rPr>
          <w:rFonts w:ascii="Calibri" w:hAnsi="Calibri"/>
        </w:rPr>
        <w:t>przy wymianie gruntu rodzimego na ziemię urodzajną teren powinien być obniżony w stosunku do gazonów lub krawężników o ok. 15 cm - jest to miejsce na ziemię urodzajną (ok. 10 cm) i kompost (ok. 2 do 3 cm),</w:t>
      </w:r>
    </w:p>
    <w:p w:rsidR="00052A91" w:rsidRPr="0032536C" w:rsidRDefault="00052A91" w:rsidP="000E55F0">
      <w:pPr>
        <w:ind w:left="-851" w:right="-851"/>
        <w:rPr>
          <w:rFonts w:ascii="Calibri" w:hAnsi="Calibri"/>
        </w:rPr>
      </w:pPr>
      <w:r>
        <w:rPr>
          <w:rFonts w:ascii="Calibri" w:hAnsi="Calibri"/>
        </w:rPr>
        <w:lastRenderedPageBreak/>
        <w:t>-</w:t>
      </w:r>
      <w:r w:rsidRPr="0032536C">
        <w:rPr>
          <w:rFonts w:ascii="Calibri" w:hAnsi="Calibri"/>
        </w:rPr>
        <w:t>przy zakładaniu trawników na gruncie rodzimym krawężni</w:t>
      </w:r>
      <w:r>
        <w:rPr>
          <w:rFonts w:ascii="Calibri" w:hAnsi="Calibri"/>
        </w:rPr>
        <w:t xml:space="preserve">k powinien znajdować się </w:t>
      </w:r>
      <w:r w:rsidRPr="0032536C">
        <w:rPr>
          <w:rFonts w:ascii="Calibri" w:hAnsi="Calibri"/>
        </w:rPr>
        <w:t>2 do 3 cm nad terenem,</w:t>
      </w:r>
    </w:p>
    <w:p w:rsidR="00052A91" w:rsidRPr="0032536C" w:rsidRDefault="00052A91" w:rsidP="000E55F0">
      <w:pPr>
        <w:ind w:left="-851" w:right="-851"/>
        <w:rPr>
          <w:rFonts w:ascii="Calibri" w:hAnsi="Calibri"/>
        </w:rPr>
      </w:pPr>
      <w:r>
        <w:rPr>
          <w:rFonts w:ascii="Calibri" w:hAnsi="Calibri"/>
        </w:rPr>
        <w:t>-</w:t>
      </w:r>
      <w:r w:rsidRPr="0032536C">
        <w:rPr>
          <w:rFonts w:ascii="Calibri" w:hAnsi="Calibri"/>
        </w:rPr>
        <w:t>teren powinien być wyrównany i splantowany,</w:t>
      </w:r>
    </w:p>
    <w:p w:rsidR="00052A91" w:rsidRPr="0032536C" w:rsidRDefault="00052A91" w:rsidP="000E55F0">
      <w:pPr>
        <w:ind w:left="-851" w:right="-851"/>
        <w:rPr>
          <w:rFonts w:ascii="Calibri" w:hAnsi="Calibri"/>
        </w:rPr>
      </w:pPr>
      <w:r>
        <w:rPr>
          <w:rFonts w:ascii="Calibri" w:hAnsi="Calibri"/>
        </w:rPr>
        <w:t>-</w:t>
      </w:r>
      <w:r w:rsidRPr="0032536C">
        <w:rPr>
          <w:rFonts w:ascii="Calibri" w:hAnsi="Calibri"/>
        </w:rPr>
        <w:t>ziemia urodzajna powinna być rozścielona równą warstwą i wymieszana z kompostem, nawozami mineralnymi oraz starannie wyrównana,</w:t>
      </w:r>
    </w:p>
    <w:p w:rsidR="00052A91" w:rsidRPr="0032536C" w:rsidRDefault="00052A91" w:rsidP="000E55F0">
      <w:pPr>
        <w:ind w:left="-851" w:right="-851"/>
        <w:rPr>
          <w:rFonts w:ascii="Calibri" w:hAnsi="Calibri"/>
        </w:rPr>
      </w:pPr>
      <w:r>
        <w:rPr>
          <w:rFonts w:ascii="Calibri" w:hAnsi="Calibri"/>
        </w:rPr>
        <w:t>-</w:t>
      </w:r>
      <w:r w:rsidRPr="0032536C">
        <w:rPr>
          <w:rFonts w:ascii="Calibri" w:hAnsi="Calibri"/>
        </w:rPr>
        <w:t>przed siewem nasion trawy ziemię należy wałować wałem gładkim, a potem wałem - kolczatką lub zagrabić,</w:t>
      </w:r>
    </w:p>
    <w:p w:rsidR="00052A91" w:rsidRPr="0032536C" w:rsidRDefault="00052A91" w:rsidP="000E55F0">
      <w:pPr>
        <w:ind w:left="-851" w:right="-851"/>
        <w:rPr>
          <w:rFonts w:ascii="Calibri" w:hAnsi="Calibri"/>
        </w:rPr>
      </w:pPr>
      <w:r>
        <w:rPr>
          <w:rFonts w:ascii="Calibri" w:hAnsi="Calibri"/>
        </w:rPr>
        <w:t>-</w:t>
      </w:r>
      <w:r w:rsidRPr="0032536C">
        <w:rPr>
          <w:rFonts w:ascii="Calibri" w:hAnsi="Calibri"/>
        </w:rPr>
        <w:t>siew powinien być dokonany w dni bezwietrzne,</w:t>
      </w:r>
    </w:p>
    <w:p w:rsidR="00052A91" w:rsidRPr="0032536C" w:rsidRDefault="00052A91" w:rsidP="000E55F0">
      <w:pPr>
        <w:ind w:left="-851" w:right="-851"/>
        <w:rPr>
          <w:rFonts w:ascii="Calibri" w:hAnsi="Calibri"/>
        </w:rPr>
      </w:pPr>
      <w:r>
        <w:rPr>
          <w:rFonts w:ascii="Calibri" w:hAnsi="Calibri"/>
        </w:rPr>
        <w:t>-</w:t>
      </w:r>
      <w:r w:rsidRPr="0032536C">
        <w:rPr>
          <w:rFonts w:ascii="Calibri" w:hAnsi="Calibri"/>
        </w:rPr>
        <w:t>okres siania - najlepszy okres wiosenny, najpóźniej do połowy września,</w:t>
      </w:r>
    </w:p>
    <w:p w:rsidR="00052A91" w:rsidRDefault="00052A91" w:rsidP="000E55F0">
      <w:pPr>
        <w:ind w:left="-851" w:right="-851"/>
        <w:rPr>
          <w:rFonts w:ascii="Calibri" w:hAnsi="Calibri"/>
        </w:rPr>
      </w:pPr>
      <w:r>
        <w:rPr>
          <w:rFonts w:ascii="Calibri" w:hAnsi="Calibri"/>
        </w:rPr>
        <w:t>-</w:t>
      </w:r>
      <w:r w:rsidRPr="0032536C">
        <w:rPr>
          <w:rFonts w:ascii="Calibri" w:hAnsi="Calibri"/>
        </w:rPr>
        <w:t xml:space="preserve">na terenie płaskim nasiona traw wysiewane są w ilości od 1 do 4 kg na 100 m2, </w:t>
      </w:r>
    </w:p>
    <w:p w:rsidR="00052A91" w:rsidRDefault="00052A91" w:rsidP="000E55F0">
      <w:pPr>
        <w:ind w:left="-851" w:right="-851"/>
        <w:rPr>
          <w:rFonts w:ascii="Calibri" w:hAnsi="Calibri"/>
        </w:rPr>
      </w:pPr>
      <w:r>
        <w:rPr>
          <w:rFonts w:ascii="Calibri" w:hAnsi="Calibri"/>
        </w:rPr>
        <w:t>-</w:t>
      </w:r>
      <w:r w:rsidRPr="0032536C">
        <w:rPr>
          <w:rFonts w:ascii="Calibri" w:hAnsi="Calibri"/>
        </w:rPr>
        <w:t xml:space="preserve">na skarpach nasiona traw wysiewane są w ilości 4 kg na 100 m2, </w:t>
      </w:r>
    </w:p>
    <w:p w:rsidR="00052A91" w:rsidRPr="0032536C" w:rsidRDefault="00052A91" w:rsidP="000E55F0">
      <w:pPr>
        <w:ind w:left="-851" w:right="-851"/>
        <w:rPr>
          <w:rFonts w:ascii="Calibri" w:hAnsi="Calibri"/>
        </w:rPr>
      </w:pPr>
      <w:r>
        <w:rPr>
          <w:rFonts w:ascii="Calibri" w:hAnsi="Calibri"/>
        </w:rPr>
        <w:t>-</w:t>
      </w:r>
      <w:r w:rsidRPr="0032536C">
        <w:rPr>
          <w:rFonts w:ascii="Calibri" w:hAnsi="Calibri"/>
        </w:rPr>
        <w:t>przykrycie nasion - przez przemieszanie z ziemią grabiami lub wałem kolczatką,</w:t>
      </w:r>
    </w:p>
    <w:p w:rsidR="00052A91" w:rsidRPr="0032536C" w:rsidRDefault="00052A91" w:rsidP="000E55F0">
      <w:pPr>
        <w:ind w:left="-851" w:right="-851"/>
        <w:rPr>
          <w:rFonts w:ascii="Calibri" w:hAnsi="Calibri"/>
        </w:rPr>
      </w:pPr>
      <w:r>
        <w:rPr>
          <w:rFonts w:ascii="Calibri" w:hAnsi="Calibri"/>
        </w:rPr>
        <w:t>-</w:t>
      </w:r>
      <w:r w:rsidRPr="0032536C">
        <w:rPr>
          <w:rFonts w:ascii="Calibri" w:hAnsi="Calibri"/>
        </w:rPr>
        <w:t>po wysiewie nasion ziemia powinna być wałowana lekkim wałem w celu ostatecznego wyrównania i stworzenia dobrych warunków dla podsiąkania wody. Jeżeli przykrycie nasion nastąpiło przez wałowanie kolczatką, można już nie stosować wału gładkiego,</w:t>
      </w:r>
    </w:p>
    <w:p w:rsidR="00052A91" w:rsidRPr="0032536C" w:rsidRDefault="00052A91" w:rsidP="000E55F0">
      <w:pPr>
        <w:ind w:left="-851" w:right="-851"/>
        <w:rPr>
          <w:rFonts w:ascii="Calibri" w:hAnsi="Calibri"/>
        </w:rPr>
      </w:pPr>
      <w:r>
        <w:rPr>
          <w:rFonts w:ascii="Calibri" w:hAnsi="Calibri"/>
        </w:rPr>
        <w:t>-</w:t>
      </w:r>
      <w:r w:rsidRPr="0032536C">
        <w:rPr>
          <w:rFonts w:ascii="Calibri" w:hAnsi="Calibri"/>
        </w:rPr>
        <w:t>mieszanka nasion trawnikowych może być gotowa.</w:t>
      </w:r>
    </w:p>
    <w:p w:rsidR="00052A91" w:rsidRPr="0032536C" w:rsidRDefault="00052A91" w:rsidP="000E55F0">
      <w:pPr>
        <w:ind w:left="-851" w:right="-851"/>
        <w:rPr>
          <w:rFonts w:ascii="Calibri" w:hAnsi="Calibri"/>
        </w:rPr>
      </w:pPr>
      <w:r w:rsidRPr="007C6DE6">
        <w:rPr>
          <w:rFonts w:ascii="Calibri" w:hAnsi="Calibri"/>
          <w:b/>
        </w:rPr>
        <w:t>5.2.2.</w:t>
      </w:r>
      <w:r w:rsidRPr="0032536C">
        <w:rPr>
          <w:rFonts w:ascii="Calibri" w:hAnsi="Calibri"/>
        </w:rPr>
        <w:t xml:space="preserve"> Pielęgnacja trawników</w:t>
      </w:r>
    </w:p>
    <w:p w:rsidR="00052A91" w:rsidRPr="0032536C" w:rsidRDefault="001F742D" w:rsidP="000E55F0">
      <w:pPr>
        <w:ind w:left="-851" w:right="-851"/>
        <w:rPr>
          <w:rFonts w:ascii="Calibri" w:hAnsi="Calibri"/>
        </w:rPr>
      </w:pPr>
      <w:r>
        <w:rPr>
          <w:rFonts w:ascii="Calibri" w:hAnsi="Calibri"/>
        </w:rPr>
        <w:tab/>
      </w:r>
      <w:r w:rsidR="006630A3">
        <w:rPr>
          <w:rFonts w:ascii="Calibri" w:hAnsi="Calibri"/>
        </w:rPr>
        <w:tab/>
      </w:r>
      <w:r w:rsidR="00052A91" w:rsidRPr="0032536C">
        <w:rPr>
          <w:rFonts w:ascii="Calibri" w:hAnsi="Calibri"/>
        </w:rPr>
        <w:t>Najważniejszym zabiegiem w pielęgnacji trawników jest koszenie:</w:t>
      </w:r>
    </w:p>
    <w:p w:rsidR="00052A91" w:rsidRPr="0032536C" w:rsidRDefault="00052A91" w:rsidP="000E55F0">
      <w:pPr>
        <w:ind w:left="-851" w:right="-851"/>
        <w:rPr>
          <w:rFonts w:ascii="Calibri" w:hAnsi="Calibri"/>
        </w:rPr>
      </w:pPr>
      <w:r>
        <w:rPr>
          <w:rFonts w:ascii="Calibri" w:hAnsi="Calibri"/>
        </w:rPr>
        <w:t>-</w:t>
      </w:r>
      <w:r w:rsidRPr="0032536C">
        <w:rPr>
          <w:rFonts w:ascii="Calibri" w:hAnsi="Calibri"/>
        </w:rPr>
        <w:t>pierwsze koszenie powinno być przeprowadzone, gdy trawa osiągnie wysokość około  10 cm,</w:t>
      </w:r>
    </w:p>
    <w:p w:rsidR="00052A91" w:rsidRPr="0032536C" w:rsidRDefault="00052A91" w:rsidP="000E55F0">
      <w:pPr>
        <w:ind w:left="-851" w:right="-851"/>
        <w:rPr>
          <w:rFonts w:ascii="Calibri" w:hAnsi="Calibri"/>
        </w:rPr>
      </w:pPr>
      <w:r>
        <w:rPr>
          <w:rFonts w:ascii="Calibri" w:hAnsi="Calibri"/>
        </w:rPr>
        <w:t>-</w:t>
      </w:r>
      <w:r w:rsidRPr="0032536C">
        <w:rPr>
          <w:rFonts w:ascii="Calibri" w:hAnsi="Calibri"/>
        </w:rPr>
        <w:t>następne koszenia powinny się odbywać w takich odstępach czasu, aby wysokość trawy przed kolejnym koszeniem nie przekraczała wysokości 10 do 12 cm,</w:t>
      </w:r>
    </w:p>
    <w:p w:rsidR="00052A91" w:rsidRPr="0032536C" w:rsidRDefault="00052A91" w:rsidP="000E55F0">
      <w:pPr>
        <w:ind w:left="-851" w:right="-851"/>
        <w:rPr>
          <w:rFonts w:ascii="Calibri" w:hAnsi="Calibri"/>
        </w:rPr>
      </w:pPr>
      <w:r>
        <w:rPr>
          <w:rFonts w:ascii="Calibri" w:hAnsi="Calibri"/>
        </w:rPr>
        <w:t>-</w:t>
      </w:r>
      <w:r w:rsidRPr="0032536C">
        <w:rPr>
          <w:rFonts w:ascii="Calibri" w:hAnsi="Calibri"/>
        </w:rPr>
        <w:t>ostatnie, przedzimowe koszenie trawników powinno być wykonane z 1-miesięcznym wyprzedzeniem spodziewanego nastania mrozów (dla warunków klimatycznych Polski można przyjąć pierwszą połowę października),</w:t>
      </w:r>
    </w:p>
    <w:p w:rsidR="00052A91" w:rsidRPr="0032536C" w:rsidRDefault="00052A91" w:rsidP="000E55F0">
      <w:pPr>
        <w:ind w:left="-851" w:right="-851"/>
        <w:rPr>
          <w:rFonts w:ascii="Calibri" w:hAnsi="Calibri"/>
        </w:rPr>
      </w:pPr>
      <w:r>
        <w:rPr>
          <w:rFonts w:ascii="Calibri" w:hAnsi="Calibri"/>
        </w:rPr>
        <w:t>-</w:t>
      </w:r>
      <w:r w:rsidRPr="0032536C">
        <w:rPr>
          <w:rFonts w:ascii="Calibri" w:hAnsi="Calibri"/>
        </w:rPr>
        <w:t>koszenia trawników w całym okresie pielęgnacji powinny się odbywać często i w regularnych odstępach czasu, przy czym częstość koszenia i wysokość cięcia, należy uzależniać od gatunku wysianej trawy,</w:t>
      </w:r>
    </w:p>
    <w:p w:rsidR="00052A91" w:rsidRPr="0032536C" w:rsidRDefault="00052A91" w:rsidP="000E55F0">
      <w:pPr>
        <w:ind w:left="-851" w:right="-851"/>
        <w:rPr>
          <w:rFonts w:ascii="Calibri" w:hAnsi="Calibri"/>
        </w:rPr>
      </w:pPr>
      <w:r>
        <w:rPr>
          <w:rFonts w:ascii="Calibri" w:hAnsi="Calibri"/>
        </w:rPr>
        <w:t>-</w:t>
      </w:r>
      <w:r w:rsidRPr="0032536C">
        <w:rPr>
          <w:rFonts w:ascii="Calibri" w:hAnsi="Calibri"/>
        </w:rPr>
        <w:t>chwasty trwałe w pierwszym okresie należy usuwać ręcznie; środki chwastobójcze o selektywnym działaniu należy stosować z dużą ostrożnością i dopi</w:t>
      </w:r>
      <w:r>
        <w:rPr>
          <w:rFonts w:ascii="Calibri" w:hAnsi="Calibri"/>
        </w:rPr>
        <w:t xml:space="preserve">ero po okresie </w:t>
      </w:r>
      <w:r w:rsidRPr="0032536C">
        <w:rPr>
          <w:rFonts w:ascii="Calibri" w:hAnsi="Calibri"/>
        </w:rPr>
        <w:t>6 miesięcy od założenia trawnika.</w:t>
      </w:r>
    </w:p>
    <w:p w:rsidR="00052A91" w:rsidRPr="0032536C" w:rsidRDefault="001F742D" w:rsidP="000E55F0">
      <w:pPr>
        <w:ind w:left="-851" w:right="-851"/>
        <w:rPr>
          <w:rFonts w:ascii="Calibri" w:hAnsi="Calibri"/>
        </w:rPr>
      </w:pPr>
      <w:r>
        <w:rPr>
          <w:rFonts w:ascii="Calibri" w:hAnsi="Calibri"/>
        </w:rPr>
        <w:tab/>
      </w:r>
      <w:r w:rsidR="006630A3">
        <w:rPr>
          <w:rFonts w:ascii="Calibri" w:hAnsi="Calibri"/>
        </w:rPr>
        <w:tab/>
      </w:r>
      <w:r w:rsidR="00052A91" w:rsidRPr="0032536C">
        <w:rPr>
          <w:rFonts w:ascii="Calibri" w:hAnsi="Calibri"/>
        </w:rPr>
        <w:t>Trawniki wymagają nawożenia mineralnego - około 3 kg NPK na 1 ar w ciągu roku. Mieszanki nawozów należy przygotowywać tak, aby trawom zapewnić składniki wymagane w poszczególnych porach roku:</w:t>
      </w:r>
    </w:p>
    <w:p w:rsidR="00052A91" w:rsidRPr="0032536C" w:rsidRDefault="00052A91" w:rsidP="000E55F0">
      <w:pPr>
        <w:ind w:left="-851" w:right="-851"/>
        <w:rPr>
          <w:rFonts w:ascii="Calibri" w:hAnsi="Calibri"/>
        </w:rPr>
      </w:pPr>
      <w:r>
        <w:rPr>
          <w:rFonts w:ascii="Calibri" w:hAnsi="Calibri"/>
        </w:rPr>
        <w:t>-</w:t>
      </w:r>
      <w:r w:rsidRPr="0032536C">
        <w:rPr>
          <w:rFonts w:ascii="Calibri" w:hAnsi="Calibri"/>
        </w:rPr>
        <w:t>wiosną, trawnik wymaga mieszanki z przewagą azotu,</w:t>
      </w:r>
    </w:p>
    <w:p w:rsidR="00052A91" w:rsidRPr="0032536C" w:rsidRDefault="00052A91" w:rsidP="000E55F0">
      <w:pPr>
        <w:ind w:left="-851" w:right="-851"/>
        <w:rPr>
          <w:rFonts w:ascii="Calibri" w:hAnsi="Calibri"/>
        </w:rPr>
      </w:pPr>
      <w:r>
        <w:rPr>
          <w:rFonts w:ascii="Calibri" w:hAnsi="Calibri"/>
        </w:rPr>
        <w:t>-</w:t>
      </w:r>
      <w:r w:rsidRPr="0032536C">
        <w:rPr>
          <w:rFonts w:ascii="Calibri" w:hAnsi="Calibri"/>
        </w:rPr>
        <w:t>od połowy lata należy ograniczyć azot, zwiększając dawki potasu i fosforu,</w:t>
      </w:r>
    </w:p>
    <w:p w:rsidR="00052A91" w:rsidRPr="0032536C" w:rsidRDefault="00052A91" w:rsidP="000E55F0">
      <w:pPr>
        <w:ind w:left="-851" w:right="-851"/>
        <w:rPr>
          <w:rFonts w:ascii="Calibri" w:hAnsi="Calibri"/>
        </w:rPr>
      </w:pPr>
      <w:r>
        <w:rPr>
          <w:rFonts w:ascii="Calibri" w:hAnsi="Calibri"/>
        </w:rPr>
        <w:t>-</w:t>
      </w:r>
      <w:r w:rsidRPr="0032536C">
        <w:rPr>
          <w:rFonts w:ascii="Calibri" w:hAnsi="Calibri"/>
        </w:rPr>
        <w:t>ostatnie nawożenie nie powinno zawierać azotu, lecz tylko fosfor i potas.</w:t>
      </w:r>
    </w:p>
    <w:p w:rsidR="00052A91" w:rsidRPr="0032536C" w:rsidRDefault="00052A91" w:rsidP="000E55F0">
      <w:pPr>
        <w:ind w:left="-851" w:right="-851"/>
        <w:rPr>
          <w:rFonts w:ascii="Calibri" w:hAnsi="Calibri"/>
        </w:rPr>
      </w:pPr>
      <w:r w:rsidRPr="007C6DE6">
        <w:rPr>
          <w:rFonts w:ascii="Calibri" w:hAnsi="Calibri"/>
          <w:b/>
        </w:rPr>
        <w:t>5.3.</w:t>
      </w:r>
      <w:r w:rsidRPr="0032536C">
        <w:rPr>
          <w:rFonts w:ascii="Calibri" w:hAnsi="Calibri"/>
        </w:rPr>
        <w:t xml:space="preserve"> Drzewa i krzewy</w:t>
      </w:r>
    </w:p>
    <w:p w:rsidR="00052A91" w:rsidRPr="0032536C" w:rsidRDefault="00052A91" w:rsidP="000E55F0">
      <w:pPr>
        <w:ind w:left="-851" w:right="-851"/>
        <w:rPr>
          <w:rFonts w:ascii="Calibri" w:hAnsi="Calibri"/>
        </w:rPr>
      </w:pPr>
      <w:r w:rsidRPr="007C6DE6">
        <w:rPr>
          <w:rFonts w:ascii="Calibri" w:hAnsi="Calibri"/>
          <w:b/>
        </w:rPr>
        <w:t>5.3.1.</w:t>
      </w:r>
      <w:r w:rsidRPr="0032536C">
        <w:rPr>
          <w:rFonts w:ascii="Calibri" w:hAnsi="Calibri"/>
        </w:rPr>
        <w:t xml:space="preserve">  Wymagania dotyczące sadzenia drzew i krzewów</w:t>
      </w:r>
    </w:p>
    <w:p w:rsidR="00052A91" w:rsidRPr="0032536C" w:rsidRDefault="001F742D" w:rsidP="000E55F0">
      <w:pPr>
        <w:ind w:left="-851" w:right="-851"/>
        <w:rPr>
          <w:rFonts w:ascii="Calibri" w:hAnsi="Calibri"/>
        </w:rPr>
      </w:pPr>
      <w:r>
        <w:rPr>
          <w:rFonts w:ascii="Calibri" w:hAnsi="Calibri"/>
        </w:rPr>
        <w:tab/>
      </w:r>
      <w:r w:rsidR="006630A3">
        <w:rPr>
          <w:rFonts w:ascii="Calibri" w:hAnsi="Calibri"/>
        </w:rPr>
        <w:tab/>
      </w:r>
      <w:r w:rsidR="00052A91" w:rsidRPr="0032536C">
        <w:rPr>
          <w:rFonts w:ascii="Calibri" w:hAnsi="Calibri"/>
        </w:rPr>
        <w:t>Wymagania dotyczące sadzenia drzew i krzewów są następujące:</w:t>
      </w:r>
    </w:p>
    <w:p w:rsidR="00052A91" w:rsidRPr="0032536C" w:rsidRDefault="00052A91" w:rsidP="000E55F0">
      <w:pPr>
        <w:ind w:left="-851" w:right="-851"/>
        <w:rPr>
          <w:rFonts w:ascii="Calibri" w:hAnsi="Calibri"/>
        </w:rPr>
      </w:pPr>
      <w:r>
        <w:rPr>
          <w:rFonts w:ascii="Calibri" w:hAnsi="Calibri"/>
        </w:rPr>
        <w:t>-</w:t>
      </w:r>
      <w:r w:rsidRPr="0032536C">
        <w:rPr>
          <w:rFonts w:ascii="Calibri" w:hAnsi="Calibri"/>
        </w:rPr>
        <w:t>pora sadzenia - jesień lub wiosna,</w:t>
      </w:r>
    </w:p>
    <w:p w:rsidR="00052A91" w:rsidRPr="0032536C" w:rsidRDefault="00052A91" w:rsidP="000E55F0">
      <w:pPr>
        <w:ind w:left="-851" w:right="-851"/>
        <w:rPr>
          <w:rFonts w:ascii="Calibri" w:hAnsi="Calibri"/>
        </w:rPr>
      </w:pPr>
      <w:r>
        <w:rPr>
          <w:rFonts w:ascii="Calibri" w:hAnsi="Calibri"/>
        </w:rPr>
        <w:t>-</w:t>
      </w:r>
      <w:r w:rsidRPr="0032536C">
        <w:rPr>
          <w:rFonts w:ascii="Calibri" w:hAnsi="Calibri"/>
        </w:rPr>
        <w:t>miejsce sadzenia - powinno być wyznaczone w terenie, zgodnie z dokumentacją projektową,</w:t>
      </w:r>
    </w:p>
    <w:p w:rsidR="00052A91" w:rsidRPr="0032536C" w:rsidRDefault="00052A91" w:rsidP="000E55F0">
      <w:pPr>
        <w:ind w:left="-851" w:right="-851"/>
        <w:rPr>
          <w:rFonts w:ascii="Calibri" w:hAnsi="Calibri"/>
        </w:rPr>
      </w:pPr>
      <w:r>
        <w:rPr>
          <w:rFonts w:ascii="Calibri" w:hAnsi="Calibri"/>
        </w:rPr>
        <w:t>-</w:t>
      </w:r>
      <w:r w:rsidRPr="0032536C">
        <w:rPr>
          <w:rFonts w:ascii="Calibri" w:hAnsi="Calibri"/>
        </w:rPr>
        <w:t>dołki pod drzewa i krzewy powinny mieć wielkość wskazaną w dokumentacji projektowej i zaprawione ziemią urodzajną,</w:t>
      </w:r>
    </w:p>
    <w:p w:rsidR="00052A91" w:rsidRPr="0032536C" w:rsidRDefault="00052A91" w:rsidP="000E55F0">
      <w:pPr>
        <w:ind w:left="-851" w:right="-851"/>
        <w:rPr>
          <w:rFonts w:ascii="Calibri" w:hAnsi="Calibri"/>
        </w:rPr>
      </w:pPr>
      <w:r>
        <w:rPr>
          <w:rFonts w:ascii="Calibri" w:hAnsi="Calibri"/>
        </w:rPr>
        <w:t>-</w:t>
      </w:r>
      <w:r w:rsidRPr="0032536C">
        <w:rPr>
          <w:rFonts w:ascii="Calibri" w:hAnsi="Calibri"/>
        </w:rPr>
        <w:t>roślina w miejscu sadzenia powinna znaleźć się do 5 cm głębiej jak rosła w szkółce. Zbyt głębokie lub płytkie sadzenie utrudnia prawidłowy rozwój rośliny,</w:t>
      </w:r>
    </w:p>
    <w:p w:rsidR="00052A91" w:rsidRPr="0032536C" w:rsidRDefault="00052A91" w:rsidP="000E55F0">
      <w:pPr>
        <w:ind w:left="-851" w:right="-851"/>
        <w:rPr>
          <w:rFonts w:ascii="Calibri" w:hAnsi="Calibri"/>
        </w:rPr>
      </w:pPr>
      <w:r>
        <w:rPr>
          <w:rFonts w:ascii="Calibri" w:hAnsi="Calibri"/>
        </w:rPr>
        <w:t>-</w:t>
      </w:r>
      <w:r w:rsidRPr="0032536C">
        <w:rPr>
          <w:rFonts w:ascii="Calibri" w:hAnsi="Calibri"/>
        </w:rPr>
        <w:t>korzenie złamane i uszkodzone należy przed sadzeniem przyciąć,</w:t>
      </w:r>
    </w:p>
    <w:p w:rsidR="00052A91" w:rsidRPr="0032536C" w:rsidRDefault="00052A91" w:rsidP="000E55F0">
      <w:pPr>
        <w:ind w:left="-851" w:right="-851"/>
        <w:rPr>
          <w:rFonts w:ascii="Calibri" w:hAnsi="Calibri"/>
        </w:rPr>
      </w:pPr>
      <w:r>
        <w:rPr>
          <w:rFonts w:ascii="Calibri" w:hAnsi="Calibri"/>
        </w:rPr>
        <w:t>-</w:t>
      </w:r>
      <w:r w:rsidRPr="0032536C">
        <w:rPr>
          <w:rFonts w:ascii="Calibri" w:hAnsi="Calibri"/>
        </w:rPr>
        <w:t>przy sadzeniu drzew formy piennej należy przed sadzeniem wbić w dno dołu drewniany palik,</w:t>
      </w:r>
    </w:p>
    <w:p w:rsidR="00052A91" w:rsidRPr="0032536C" w:rsidRDefault="00052A91" w:rsidP="000E55F0">
      <w:pPr>
        <w:ind w:left="-851" w:right="-851"/>
        <w:rPr>
          <w:rFonts w:ascii="Calibri" w:hAnsi="Calibri"/>
        </w:rPr>
      </w:pPr>
      <w:r>
        <w:rPr>
          <w:rFonts w:ascii="Calibri" w:hAnsi="Calibri"/>
        </w:rPr>
        <w:t>-</w:t>
      </w:r>
      <w:r w:rsidRPr="0032536C">
        <w:rPr>
          <w:rFonts w:ascii="Calibri" w:hAnsi="Calibri"/>
        </w:rPr>
        <w:t>korzenie roślin zasypywać sypką ziemią, a następnie prawidłowo ubić, uformować miskę i podlać,</w:t>
      </w:r>
    </w:p>
    <w:p w:rsidR="00052A91" w:rsidRPr="0032536C" w:rsidRDefault="00052A91" w:rsidP="000E55F0">
      <w:pPr>
        <w:ind w:left="-851" w:right="-851"/>
        <w:rPr>
          <w:rFonts w:ascii="Calibri" w:hAnsi="Calibri"/>
        </w:rPr>
      </w:pPr>
      <w:r>
        <w:rPr>
          <w:rFonts w:ascii="Calibri" w:hAnsi="Calibri"/>
        </w:rPr>
        <w:t>-</w:t>
      </w:r>
      <w:r w:rsidRPr="0032536C">
        <w:rPr>
          <w:rFonts w:ascii="Calibri" w:hAnsi="Calibri"/>
        </w:rPr>
        <w:t>drzewa formy piennej należy przywiązać do palika tuż pod koroną,</w:t>
      </w:r>
    </w:p>
    <w:p w:rsidR="00052A91" w:rsidRPr="0032536C" w:rsidRDefault="00052A91" w:rsidP="000E55F0">
      <w:pPr>
        <w:ind w:left="-851" w:right="-851"/>
        <w:rPr>
          <w:rFonts w:ascii="Calibri" w:hAnsi="Calibri"/>
        </w:rPr>
      </w:pPr>
      <w:r>
        <w:rPr>
          <w:rFonts w:ascii="Calibri" w:hAnsi="Calibri"/>
        </w:rPr>
        <w:t>-</w:t>
      </w:r>
      <w:r w:rsidRPr="0032536C">
        <w:rPr>
          <w:rFonts w:ascii="Calibri" w:hAnsi="Calibri"/>
        </w:rPr>
        <w:t>wysokość palika wbitego w grunt powinna być równa wysokości pnia posadzonego drzewa,</w:t>
      </w:r>
    </w:p>
    <w:p w:rsidR="00052A91" w:rsidRPr="0032536C" w:rsidRDefault="00052A91" w:rsidP="000E55F0">
      <w:pPr>
        <w:ind w:left="-851" w:right="-851"/>
        <w:rPr>
          <w:rFonts w:ascii="Calibri" w:hAnsi="Calibri"/>
        </w:rPr>
      </w:pPr>
      <w:r>
        <w:rPr>
          <w:rFonts w:ascii="Calibri" w:hAnsi="Calibri"/>
        </w:rPr>
        <w:t>-</w:t>
      </w:r>
      <w:r w:rsidRPr="0032536C">
        <w:rPr>
          <w:rFonts w:ascii="Calibri" w:hAnsi="Calibri"/>
        </w:rPr>
        <w:t>palik powinien być umieszczony od strony najczęściej wiejących wiatrów.</w:t>
      </w:r>
    </w:p>
    <w:p w:rsidR="00052A91" w:rsidRPr="0032536C" w:rsidRDefault="00052A91" w:rsidP="000E55F0">
      <w:pPr>
        <w:ind w:left="-851" w:right="-851"/>
        <w:rPr>
          <w:rFonts w:ascii="Calibri" w:hAnsi="Calibri"/>
        </w:rPr>
      </w:pPr>
      <w:r w:rsidRPr="007C6DE6">
        <w:rPr>
          <w:rFonts w:ascii="Calibri" w:hAnsi="Calibri"/>
          <w:b/>
        </w:rPr>
        <w:t>5.3.2.</w:t>
      </w:r>
      <w:r w:rsidRPr="0032536C">
        <w:rPr>
          <w:rFonts w:ascii="Calibri" w:hAnsi="Calibri"/>
        </w:rPr>
        <w:t xml:space="preserve"> Pielęgnacja po posadzeniu</w:t>
      </w:r>
    </w:p>
    <w:p w:rsidR="00052A91" w:rsidRPr="0032536C" w:rsidRDefault="001F742D" w:rsidP="000E55F0">
      <w:pPr>
        <w:ind w:left="-851" w:right="-851"/>
        <w:rPr>
          <w:rFonts w:ascii="Calibri" w:hAnsi="Calibri"/>
        </w:rPr>
      </w:pPr>
      <w:r>
        <w:rPr>
          <w:rFonts w:ascii="Calibri" w:hAnsi="Calibri"/>
        </w:rPr>
        <w:tab/>
      </w:r>
      <w:r w:rsidR="006630A3">
        <w:rPr>
          <w:rFonts w:ascii="Calibri" w:hAnsi="Calibri"/>
        </w:rPr>
        <w:tab/>
      </w:r>
      <w:r w:rsidR="00052A91" w:rsidRPr="0032536C">
        <w:rPr>
          <w:rFonts w:ascii="Calibri" w:hAnsi="Calibri"/>
        </w:rPr>
        <w:t>Pielęgnacja w okresie gwarancyjnym (w ciągu roku po posadzeniu) polega na:</w:t>
      </w:r>
    </w:p>
    <w:p w:rsidR="00052A91" w:rsidRPr="0032536C" w:rsidRDefault="00052A91" w:rsidP="000E55F0">
      <w:pPr>
        <w:ind w:left="-851" w:right="-851"/>
        <w:rPr>
          <w:rFonts w:ascii="Calibri" w:hAnsi="Calibri"/>
        </w:rPr>
      </w:pPr>
      <w:r>
        <w:rPr>
          <w:rFonts w:ascii="Calibri" w:hAnsi="Calibri"/>
        </w:rPr>
        <w:t>-</w:t>
      </w:r>
      <w:r w:rsidRPr="0032536C">
        <w:rPr>
          <w:rFonts w:ascii="Calibri" w:hAnsi="Calibri"/>
        </w:rPr>
        <w:t>podlewaniu,</w:t>
      </w:r>
    </w:p>
    <w:p w:rsidR="00052A91" w:rsidRPr="0032536C" w:rsidRDefault="00052A91" w:rsidP="000E55F0">
      <w:pPr>
        <w:ind w:left="-851" w:right="-851"/>
        <w:rPr>
          <w:rFonts w:ascii="Calibri" w:hAnsi="Calibri"/>
        </w:rPr>
      </w:pPr>
      <w:r>
        <w:rPr>
          <w:rFonts w:ascii="Calibri" w:hAnsi="Calibri"/>
        </w:rPr>
        <w:t>-</w:t>
      </w:r>
      <w:r w:rsidRPr="0032536C">
        <w:rPr>
          <w:rFonts w:ascii="Calibri" w:hAnsi="Calibri"/>
        </w:rPr>
        <w:t>odchwaszczaniu,</w:t>
      </w:r>
    </w:p>
    <w:p w:rsidR="00052A91" w:rsidRPr="0032536C" w:rsidRDefault="00052A91" w:rsidP="000E55F0">
      <w:pPr>
        <w:ind w:left="-851" w:right="-851"/>
        <w:rPr>
          <w:rFonts w:ascii="Calibri" w:hAnsi="Calibri"/>
        </w:rPr>
      </w:pPr>
      <w:r>
        <w:rPr>
          <w:rFonts w:ascii="Calibri" w:hAnsi="Calibri"/>
        </w:rPr>
        <w:lastRenderedPageBreak/>
        <w:t>-</w:t>
      </w:r>
      <w:r w:rsidRPr="0032536C">
        <w:rPr>
          <w:rFonts w:ascii="Calibri" w:hAnsi="Calibri"/>
        </w:rPr>
        <w:t>nawożeniu,</w:t>
      </w:r>
    </w:p>
    <w:p w:rsidR="00052A91" w:rsidRPr="0032536C" w:rsidRDefault="00052A91" w:rsidP="000E55F0">
      <w:pPr>
        <w:ind w:left="-851" w:right="-851"/>
        <w:rPr>
          <w:rFonts w:ascii="Calibri" w:hAnsi="Calibri"/>
        </w:rPr>
      </w:pPr>
      <w:r>
        <w:rPr>
          <w:rFonts w:ascii="Calibri" w:hAnsi="Calibri"/>
        </w:rPr>
        <w:t>-</w:t>
      </w:r>
      <w:r w:rsidRPr="0032536C">
        <w:rPr>
          <w:rFonts w:ascii="Calibri" w:hAnsi="Calibri"/>
        </w:rPr>
        <w:t>usuwaniu odrostów korzeniowych,</w:t>
      </w:r>
    </w:p>
    <w:p w:rsidR="00052A91" w:rsidRPr="0032536C" w:rsidRDefault="00052A91" w:rsidP="000E55F0">
      <w:pPr>
        <w:ind w:left="-851" w:right="-851"/>
        <w:rPr>
          <w:rFonts w:ascii="Calibri" w:hAnsi="Calibri"/>
        </w:rPr>
      </w:pPr>
      <w:r>
        <w:rPr>
          <w:rFonts w:ascii="Calibri" w:hAnsi="Calibri"/>
        </w:rPr>
        <w:t>-</w:t>
      </w:r>
      <w:r w:rsidRPr="0032536C">
        <w:rPr>
          <w:rFonts w:ascii="Calibri" w:hAnsi="Calibri"/>
        </w:rPr>
        <w:t>poprawianiu misek,</w:t>
      </w:r>
    </w:p>
    <w:p w:rsidR="00052A91" w:rsidRPr="0032536C" w:rsidRDefault="00052A91" w:rsidP="000E55F0">
      <w:pPr>
        <w:ind w:left="-851" w:right="-851"/>
        <w:rPr>
          <w:rFonts w:ascii="Calibri" w:hAnsi="Calibri"/>
        </w:rPr>
      </w:pPr>
      <w:r>
        <w:rPr>
          <w:rFonts w:ascii="Calibri" w:hAnsi="Calibri"/>
        </w:rPr>
        <w:t>-</w:t>
      </w:r>
      <w:r w:rsidRPr="0032536C">
        <w:rPr>
          <w:rFonts w:ascii="Calibri" w:hAnsi="Calibri"/>
        </w:rPr>
        <w:t>okopczykowaniu drzew i krzewów jesienią,</w:t>
      </w:r>
    </w:p>
    <w:p w:rsidR="00052A91" w:rsidRPr="0032536C" w:rsidRDefault="00052A91" w:rsidP="000E55F0">
      <w:pPr>
        <w:ind w:left="-851" w:right="-851"/>
        <w:rPr>
          <w:rFonts w:ascii="Calibri" w:hAnsi="Calibri"/>
        </w:rPr>
      </w:pPr>
      <w:r>
        <w:rPr>
          <w:rFonts w:ascii="Calibri" w:hAnsi="Calibri"/>
        </w:rPr>
        <w:t>-</w:t>
      </w:r>
      <w:r w:rsidRPr="0032536C">
        <w:rPr>
          <w:rFonts w:ascii="Calibri" w:hAnsi="Calibri"/>
        </w:rPr>
        <w:t>rozgarnięciu kopczyków wiosną i uformowaniu misek,</w:t>
      </w:r>
    </w:p>
    <w:p w:rsidR="00052A91" w:rsidRPr="0032536C" w:rsidRDefault="00052A91" w:rsidP="000E55F0">
      <w:pPr>
        <w:ind w:left="-851" w:right="-851"/>
        <w:rPr>
          <w:rFonts w:ascii="Calibri" w:hAnsi="Calibri"/>
        </w:rPr>
      </w:pPr>
      <w:r>
        <w:rPr>
          <w:rFonts w:ascii="Calibri" w:hAnsi="Calibri"/>
        </w:rPr>
        <w:t>-</w:t>
      </w:r>
      <w:r w:rsidRPr="0032536C">
        <w:rPr>
          <w:rFonts w:ascii="Calibri" w:hAnsi="Calibri"/>
        </w:rPr>
        <w:t>wymianie uschniętych i uszkodzonych drzew i krzewów,</w:t>
      </w:r>
    </w:p>
    <w:p w:rsidR="00052A91" w:rsidRPr="0032536C" w:rsidRDefault="00052A91" w:rsidP="000E55F0">
      <w:pPr>
        <w:ind w:left="-851" w:right="-851"/>
        <w:rPr>
          <w:rFonts w:ascii="Calibri" w:hAnsi="Calibri"/>
        </w:rPr>
      </w:pPr>
      <w:r>
        <w:rPr>
          <w:rFonts w:ascii="Calibri" w:hAnsi="Calibri"/>
        </w:rPr>
        <w:t>-</w:t>
      </w:r>
      <w:r w:rsidRPr="0032536C">
        <w:rPr>
          <w:rFonts w:ascii="Calibri" w:hAnsi="Calibri"/>
        </w:rPr>
        <w:t>wymianie zniszczonych palików i wiązadeł,</w:t>
      </w:r>
    </w:p>
    <w:p w:rsidR="00052A91" w:rsidRPr="0032536C" w:rsidRDefault="00052A91" w:rsidP="000E55F0">
      <w:pPr>
        <w:ind w:left="-851" w:right="-851"/>
        <w:rPr>
          <w:rFonts w:ascii="Calibri" w:hAnsi="Calibri"/>
        </w:rPr>
      </w:pPr>
      <w:r>
        <w:rPr>
          <w:rFonts w:ascii="Calibri" w:hAnsi="Calibri"/>
        </w:rPr>
        <w:t>-</w:t>
      </w:r>
      <w:r w:rsidRPr="0032536C">
        <w:rPr>
          <w:rFonts w:ascii="Calibri" w:hAnsi="Calibri"/>
        </w:rPr>
        <w:t>przycięciu złamanych, chorych lub krzyżujących się gałęzi (cięcia pielęgnacyjne i formujące).</w:t>
      </w:r>
    </w:p>
    <w:p w:rsidR="00052A91" w:rsidRPr="0032536C" w:rsidRDefault="00052A91" w:rsidP="000E55F0">
      <w:pPr>
        <w:ind w:left="-851" w:right="-851"/>
        <w:rPr>
          <w:rFonts w:ascii="Calibri" w:hAnsi="Calibri"/>
        </w:rPr>
      </w:pPr>
      <w:r w:rsidRPr="007C6DE6">
        <w:rPr>
          <w:rFonts w:ascii="Calibri" w:hAnsi="Calibri"/>
          <w:b/>
        </w:rPr>
        <w:t xml:space="preserve">5.3.3. </w:t>
      </w:r>
      <w:r w:rsidRPr="0032536C">
        <w:rPr>
          <w:rFonts w:ascii="Calibri" w:hAnsi="Calibri"/>
        </w:rPr>
        <w:t>Pielęgnacja istniejących (starszych) drzew i krzewów</w:t>
      </w:r>
    </w:p>
    <w:p w:rsidR="00052A91" w:rsidRPr="0032536C" w:rsidRDefault="001F742D" w:rsidP="000E55F0">
      <w:pPr>
        <w:ind w:left="-851" w:right="-851"/>
        <w:rPr>
          <w:rFonts w:ascii="Calibri" w:hAnsi="Calibri"/>
        </w:rPr>
      </w:pPr>
      <w:r>
        <w:rPr>
          <w:rFonts w:ascii="Calibri" w:hAnsi="Calibri"/>
        </w:rPr>
        <w:tab/>
      </w:r>
      <w:r w:rsidR="006630A3">
        <w:rPr>
          <w:rFonts w:ascii="Calibri" w:hAnsi="Calibri"/>
        </w:rPr>
        <w:tab/>
      </w:r>
      <w:r w:rsidR="00052A91" w:rsidRPr="0032536C">
        <w:rPr>
          <w:rFonts w:ascii="Calibri" w:hAnsi="Calibri"/>
        </w:rPr>
        <w:t>Najczęściej stosowanym zabiegiem w pielęgnacji drzew i krzewów jest cięcie, które powinno uwzględniać cechy poszczególnych gatunków roślin, a mianowicie:</w:t>
      </w:r>
    </w:p>
    <w:p w:rsidR="00052A91" w:rsidRPr="0032536C" w:rsidRDefault="00052A91" w:rsidP="000E55F0">
      <w:pPr>
        <w:ind w:left="-851" w:right="-851"/>
        <w:rPr>
          <w:rFonts w:ascii="Calibri" w:hAnsi="Calibri"/>
        </w:rPr>
      </w:pPr>
      <w:r>
        <w:rPr>
          <w:rFonts w:ascii="Calibri" w:hAnsi="Calibri"/>
        </w:rPr>
        <w:t>-</w:t>
      </w:r>
      <w:r w:rsidRPr="0032536C">
        <w:rPr>
          <w:rFonts w:ascii="Calibri" w:hAnsi="Calibri"/>
        </w:rPr>
        <w:t>sposób wzrostu,</w:t>
      </w:r>
    </w:p>
    <w:p w:rsidR="00052A91" w:rsidRPr="0032536C" w:rsidRDefault="00052A91" w:rsidP="000E55F0">
      <w:pPr>
        <w:ind w:left="-851" w:right="-851"/>
        <w:rPr>
          <w:rFonts w:ascii="Calibri" w:hAnsi="Calibri"/>
        </w:rPr>
      </w:pPr>
      <w:r>
        <w:rPr>
          <w:rFonts w:ascii="Calibri" w:hAnsi="Calibri"/>
        </w:rPr>
        <w:t>-</w:t>
      </w:r>
      <w:r w:rsidRPr="0032536C">
        <w:rPr>
          <w:rFonts w:ascii="Calibri" w:hAnsi="Calibri"/>
        </w:rPr>
        <w:t>rozgałęzienie i zagęszczenie gałęzi,</w:t>
      </w:r>
    </w:p>
    <w:p w:rsidR="00052A91" w:rsidRPr="0032536C" w:rsidRDefault="00052A91" w:rsidP="000E55F0">
      <w:pPr>
        <w:ind w:left="-851" w:right="-851"/>
        <w:rPr>
          <w:rFonts w:ascii="Calibri" w:hAnsi="Calibri"/>
        </w:rPr>
      </w:pPr>
      <w:r>
        <w:rPr>
          <w:rFonts w:ascii="Calibri" w:hAnsi="Calibri"/>
        </w:rPr>
        <w:t>-</w:t>
      </w:r>
      <w:r w:rsidRPr="0032536C">
        <w:rPr>
          <w:rFonts w:ascii="Calibri" w:hAnsi="Calibri"/>
        </w:rPr>
        <w:t>konstrukcję korony.</w:t>
      </w:r>
    </w:p>
    <w:p w:rsidR="00052A91" w:rsidRPr="0032536C" w:rsidRDefault="001F742D" w:rsidP="000E55F0">
      <w:pPr>
        <w:ind w:left="-851" w:right="-851"/>
        <w:rPr>
          <w:rFonts w:ascii="Calibri" w:hAnsi="Calibri"/>
        </w:rPr>
      </w:pPr>
      <w:r>
        <w:rPr>
          <w:rFonts w:ascii="Calibri" w:hAnsi="Calibri"/>
        </w:rPr>
        <w:tab/>
      </w:r>
      <w:r w:rsidR="006630A3">
        <w:rPr>
          <w:rFonts w:ascii="Calibri" w:hAnsi="Calibri"/>
        </w:rPr>
        <w:tab/>
      </w:r>
      <w:r w:rsidR="00052A91" w:rsidRPr="0032536C">
        <w:rPr>
          <w:rFonts w:ascii="Calibri" w:hAnsi="Calibri"/>
        </w:rPr>
        <w:t>Projektując cięcia zmierzające do usunięcia znacznej części gałęzi lub konarów, należy unikać ich jako jednorazowego zabiegu. Cięcie takie lepiej przeprowadzić stopniowo, przez 2 do 3 lat.</w:t>
      </w:r>
    </w:p>
    <w:p w:rsidR="00052A91" w:rsidRPr="0032536C" w:rsidRDefault="001F742D" w:rsidP="000E55F0">
      <w:pPr>
        <w:ind w:left="-851" w:right="-851"/>
        <w:rPr>
          <w:rFonts w:ascii="Calibri" w:hAnsi="Calibri"/>
        </w:rPr>
      </w:pPr>
      <w:r>
        <w:rPr>
          <w:rFonts w:ascii="Calibri" w:hAnsi="Calibri"/>
        </w:rPr>
        <w:tab/>
      </w:r>
      <w:r w:rsidR="006630A3">
        <w:rPr>
          <w:rFonts w:ascii="Calibri" w:hAnsi="Calibri"/>
        </w:rPr>
        <w:tab/>
      </w:r>
      <w:r w:rsidR="00052A91" w:rsidRPr="0032536C">
        <w:rPr>
          <w:rFonts w:ascii="Calibri" w:hAnsi="Calibri"/>
        </w:rPr>
        <w:t>W zależności od określonego celu, stosuje się następujące rodzaje cięcia:</w:t>
      </w:r>
    </w:p>
    <w:p w:rsidR="00052A91" w:rsidRPr="0032536C" w:rsidRDefault="00052A91" w:rsidP="000E55F0">
      <w:pPr>
        <w:ind w:left="-851" w:right="-851"/>
        <w:rPr>
          <w:rFonts w:ascii="Calibri" w:hAnsi="Calibri"/>
        </w:rPr>
      </w:pPr>
      <w:r>
        <w:rPr>
          <w:rFonts w:ascii="Calibri" w:hAnsi="Calibri"/>
        </w:rPr>
        <w:t>-</w:t>
      </w:r>
      <w:r w:rsidRPr="0032536C">
        <w:rPr>
          <w:rFonts w:ascii="Calibri" w:hAnsi="Calibri"/>
        </w:rPr>
        <w:t>cięcia drzew dla zapewnienia bezpieczeństwa pojazdów, przechodniów lub mieszkańców, drzew rosnących na koronie dróg i ulic oraz w pobliżu budynków mieszkalnych. Dla uniknięcia kolizji z pojazdami usuwa się gałęzie zwisające poniżej 4,50 m nad jezdnię dróg i poniżej 2,20 m nad chodnikami;</w:t>
      </w:r>
    </w:p>
    <w:p w:rsidR="00052A91" w:rsidRPr="0032536C" w:rsidRDefault="00052A91" w:rsidP="000E55F0">
      <w:pPr>
        <w:ind w:left="-851" w:right="-851"/>
        <w:rPr>
          <w:rFonts w:ascii="Calibri" w:hAnsi="Calibri"/>
        </w:rPr>
      </w:pPr>
      <w:r>
        <w:rPr>
          <w:rFonts w:ascii="Calibri" w:hAnsi="Calibri"/>
        </w:rPr>
        <w:t>-</w:t>
      </w:r>
      <w:r w:rsidRPr="0032536C">
        <w:rPr>
          <w:rFonts w:ascii="Calibri" w:hAnsi="Calibri"/>
        </w:rPr>
        <w:t>cięcia krzewów lub gałęzi drzew ograniczających widoczność na skrzyżowaniach dróg;</w:t>
      </w:r>
    </w:p>
    <w:p w:rsidR="00052A91" w:rsidRPr="0032536C" w:rsidRDefault="00052A91" w:rsidP="000E55F0">
      <w:pPr>
        <w:ind w:left="-851" w:right="-851"/>
        <w:rPr>
          <w:rFonts w:ascii="Calibri" w:hAnsi="Calibri"/>
        </w:rPr>
      </w:pPr>
      <w:r>
        <w:rPr>
          <w:rFonts w:ascii="Calibri" w:hAnsi="Calibri"/>
        </w:rPr>
        <w:t>-</w:t>
      </w:r>
      <w:r w:rsidRPr="0032536C">
        <w:rPr>
          <w:rFonts w:ascii="Calibri" w:hAnsi="Calibri"/>
        </w:rPr>
        <w:t>cięcia drzew i krzewów przesadzonych dla doprowadzenia do równowagi między zmniejszonym systemem korzeniowym a koroną, co może mieć również miejsce przy naruszeniu systemu korzeniowego w trakcie prowadzenia robót ziemnych. Usuwa się wtedy - w zależności od stopnia zmniejszenia systemu korzeniowego od 20 do 50% gałęzi;</w:t>
      </w:r>
    </w:p>
    <w:p w:rsidR="00052A91" w:rsidRPr="0032536C" w:rsidRDefault="00052A91" w:rsidP="000E55F0">
      <w:pPr>
        <w:ind w:left="-851" w:right="-851"/>
        <w:rPr>
          <w:rFonts w:ascii="Calibri" w:hAnsi="Calibri"/>
        </w:rPr>
      </w:pPr>
      <w:r>
        <w:rPr>
          <w:rFonts w:ascii="Calibri" w:hAnsi="Calibri"/>
        </w:rPr>
        <w:t>-</w:t>
      </w:r>
      <w:r w:rsidRPr="0032536C">
        <w:rPr>
          <w:rFonts w:ascii="Calibri" w:hAnsi="Calibri"/>
        </w:rPr>
        <w:t>cięcia odmładzające krzewów, których gałęzie wykazują małą żywotność, powodują niepożądane zagęszczenie, zbyt duże rozmiary krzewu. Zabieg odmładzania można przeprowadzać na krzewach rosnących w warunkach normalnego oświetlenia, z odpowiednim nawożeniem i podlewaniem;</w:t>
      </w:r>
    </w:p>
    <w:p w:rsidR="00052A91" w:rsidRPr="0032536C" w:rsidRDefault="00052A91" w:rsidP="000E55F0">
      <w:pPr>
        <w:ind w:left="-851" w:right="-851"/>
        <w:rPr>
          <w:rFonts w:ascii="Calibri" w:hAnsi="Calibri"/>
        </w:rPr>
      </w:pPr>
      <w:r>
        <w:rPr>
          <w:rFonts w:ascii="Calibri" w:hAnsi="Calibri"/>
        </w:rPr>
        <w:t>-</w:t>
      </w:r>
      <w:r w:rsidRPr="0032536C">
        <w:rPr>
          <w:rFonts w:ascii="Calibri" w:hAnsi="Calibri"/>
        </w:rPr>
        <w:t>cięcia sanitarne, zapobiegające rozprzestrzenianiu czynnika chorobotwórczego, poprzez usuwanie gałęzi porażonych przez chorobę lub martwych;</w:t>
      </w:r>
    </w:p>
    <w:p w:rsidR="00052A91" w:rsidRPr="0032536C" w:rsidRDefault="00052A91" w:rsidP="000E55F0">
      <w:pPr>
        <w:ind w:left="-851" w:right="-851"/>
        <w:rPr>
          <w:rFonts w:ascii="Calibri" w:hAnsi="Calibri"/>
        </w:rPr>
      </w:pPr>
      <w:r>
        <w:rPr>
          <w:rFonts w:ascii="Calibri" w:hAnsi="Calibri"/>
        </w:rPr>
        <w:t>-</w:t>
      </w:r>
      <w:r w:rsidRPr="0032536C">
        <w:rPr>
          <w:rFonts w:ascii="Calibri" w:hAnsi="Calibri"/>
        </w:rPr>
        <w:t>cięcia żywopłotów powinny być intensywne od pierwszych lat po posadzeniu. Cięcie po posadzeniu powinno być możliwie krótkie i wykonywane na każdym krzewie osobno, dopiero w następnych latach po uzyskaniu zagęszczenia pędów, cięcia dokonuje się w określonej płaszczyźnie. Najczęściej stosowane są płaskie cięcia górnej powierzchni żywopłotu.</w:t>
      </w:r>
    </w:p>
    <w:p w:rsidR="00052A91" w:rsidRPr="0032536C" w:rsidRDefault="00052A91" w:rsidP="000E55F0">
      <w:pPr>
        <w:ind w:left="-851" w:right="-851"/>
        <w:rPr>
          <w:rFonts w:ascii="Calibri" w:hAnsi="Calibri"/>
        </w:rPr>
      </w:pPr>
      <w:r w:rsidRPr="007C6DE6">
        <w:rPr>
          <w:rFonts w:ascii="Calibri" w:hAnsi="Calibri"/>
          <w:b/>
        </w:rPr>
        <w:t>5.3.4.</w:t>
      </w:r>
      <w:r w:rsidRPr="0032536C">
        <w:rPr>
          <w:rFonts w:ascii="Calibri" w:hAnsi="Calibri"/>
        </w:rPr>
        <w:t xml:space="preserve"> Przesadzanie drzew starszych</w:t>
      </w:r>
    </w:p>
    <w:p w:rsidR="00052A91" w:rsidRPr="0032536C" w:rsidRDefault="001F742D" w:rsidP="000E55F0">
      <w:pPr>
        <w:ind w:left="-851" w:right="-851"/>
        <w:rPr>
          <w:rFonts w:ascii="Calibri" w:hAnsi="Calibri"/>
        </w:rPr>
      </w:pPr>
      <w:r>
        <w:rPr>
          <w:rFonts w:ascii="Calibri" w:hAnsi="Calibri"/>
        </w:rPr>
        <w:tab/>
      </w:r>
      <w:r w:rsidR="006630A3">
        <w:rPr>
          <w:rFonts w:ascii="Calibri" w:hAnsi="Calibri"/>
        </w:rPr>
        <w:tab/>
      </w:r>
      <w:r w:rsidR="00052A91" w:rsidRPr="0032536C">
        <w:rPr>
          <w:rFonts w:ascii="Calibri" w:hAnsi="Calibri"/>
        </w:rPr>
        <w:t>Konieczność przesadzania drzew starszych (istniejących) wynika najczęściej tam, gdzie prowadzone są roboty modernizacyjne dróg i ulic.</w:t>
      </w:r>
    </w:p>
    <w:p w:rsidR="00052A91" w:rsidRPr="0032536C" w:rsidRDefault="001F742D" w:rsidP="000E55F0">
      <w:pPr>
        <w:ind w:left="-851" w:right="-851"/>
        <w:rPr>
          <w:rFonts w:ascii="Calibri" w:hAnsi="Calibri"/>
        </w:rPr>
      </w:pPr>
      <w:r>
        <w:rPr>
          <w:rFonts w:ascii="Calibri" w:hAnsi="Calibri"/>
        </w:rPr>
        <w:tab/>
      </w:r>
      <w:r w:rsidR="006630A3">
        <w:rPr>
          <w:rFonts w:ascii="Calibri" w:hAnsi="Calibri"/>
        </w:rPr>
        <w:tab/>
      </w:r>
      <w:r w:rsidR="00052A91" w:rsidRPr="0032536C">
        <w:rPr>
          <w:rFonts w:ascii="Calibri" w:hAnsi="Calibri"/>
        </w:rPr>
        <w:t>Warunki przesadzania drzew starszych powinny uwzględniać:</w:t>
      </w:r>
    </w:p>
    <w:p w:rsidR="00052A91" w:rsidRPr="0032536C" w:rsidRDefault="00052A91" w:rsidP="000E55F0">
      <w:pPr>
        <w:ind w:left="-851" w:right="-851"/>
        <w:rPr>
          <w:rFonts w:ascii="Calibri" w:hAnsi="Calibri"/>
        </w:rPr>
      </w:pPr>
      <w:r>
        <w:rPr>
          <w:rFonts w:ascii="Calibri" w:hAnsi="Calibri"/>
        </w:rPr>
        <w:t>-</w:t>
      </w:r>
      <w:r w:rsidRPr="0032536C">
        <w:rPr>
          <w:rFonts w:ascii="Calibri" w:hAnsi="Calibri"/>
        </w:rPr>
        <w:t>gatunek drzewa,</w:t>
      </w:r>
    </w:p>
    <w:p w:rsidR="00052A91" w:rsidRPr="0032536C" w:rsidRDefault="00052A91" w:rsidP="000E55F0">
      <w:pPr>
        <w:ind w:left="-851" w:right="-851"/>
        <w:rPr>
          <w:rFonts w:ascii="Calibri" w:hAnsi="Calibri"/>
        </w:rPr>
      </w:pPr>
      <w:r>
        <w:rPr>
          <w:rFonts w:ascii="Calibri" w:hAnsi="Calibri"/>
        </w:rPr>
        <w:t>-</w:t>
      </w:r>
      <w:r w:rsidRPr="0032536C">
        <w:rPr>
          <w:rFonts w:ascii="Calibri" w:hAnsi="Calibri"/>
        </w:rPr>
        <w:t>wiek i rozmiary drzewa,</w:t>
      </w:r>
    </w:p>
    <w:p w:rsidR="00052A91" w:rsidRPr="0032536C" w:rsidRDefault="00052A91" w:rsidP="000E55F0">
      <w:pPr>
        <w:ind w:left="-851" w:right="-851"/>
        <w:rPr>
          <w:rFonts w:ascii="Calibri" w:hAnsi="Calibri"/>
        </w:rPr>
      </w:pPr>
      <w:r>
        <w:rPr>
          <w:rFonts w:ascii="Calibri" w:hAnsi="Calibri"/>
        </w:rPr>
        <w:t>-</w:t>
      </w:r>
      <w:r w:rsidRPr="0032536C">
        <w:rPr>
          <w:rFonts w:ascii="Calibri" w:hAnsi="Calibri"/>
        </w:rPr>
        <w:t>przewidywaną masę drzewa i ziemi tworzącej bryłę korzeniową,</w:t>
      </w:r>
    </w:p>
    <w:p w:rsidR="00052A91" w:rsidRPr="0032536C" w:rsidRDefault="00052A91" w:rsidP="000E55F0">
      <w:pPr>
        <w:ind w:left="-851" w:right="-851"/>
        <w:rPr>
          <w:rFonts w:ascii="Calibri" w:hAnsi="Calibri"/>
        </w:rPr>
      </w:pPr>
      <w:r>
        <w:rPr>
          <w:rFonts w:ascii="Calibri" w:hAnsi="Calibri"/>
        </w:rPr>
        <w:t>-</w:t>
      </w:r>
      <w:r w:rsidRPr="0032536C">
        <w:rPr>
          <w:rFonts w:ascii="Calibri" w:hAnsi="Calibri"/>
        </w:rPr>
        <w:t>warunki transportu przesadzanych drzew,</w:t>
      </w:r>
    </w:p>
    <w:p w:rsidR="00052A91" w:rsidRPr="0032536C" w:rsidRDefault="00052A91" w:rsidP="000E55F0">
      <w:pPr>
        <w:ind w:left="-851" w:right="-851"/>
        <w:rPr>
          <w:rFonts w:ascii="Calibri" w:hAnsi="Calibri"/>
        </w:rPr>
      </w:pPr>
      <w:r>
        <w:rPr>
          <w:rFonts w:ascii="Calibri" w:hAnsi="Calibri"/>
        </w:rPr>
        <w:t>-</w:t>
      </w:r>
      <w:r w:rsidRPr="0032536C">
        <w:rPr>
          <w:rFonts w:ascii="Calibri" w:hAnsi="Calibri"/>
        </w:rPr>
        <w:t>warunki pielęgnacji po przesadzeniu.</w:t>
      </w:r>
    </w:p>
    <w:p w:rsidR="00052A91" w:rsidRPr="0032536C" w:rsidRDefault="001F742D" w:rsidP="000E55F0">
      <w:pPr>
        <w:ind w:left="-851" w:right="-851"/>
        <w:rPr>
          <w:rFonts w:ascii="Calibri" w:hAnsi="Calibri"/>
        </w:rPr>
      </w:pPr>
      <w:r>
        <w:rPr>
          <w:rFonts w:ascii="Calibri" w:hAnsi="Calibri"/>
        </w:rPr>
        <w:tab/>
      </w:r>
      <w:r w:rsidR="006630A3">
        <w:rPr>
          <w:rFonts w:ascii="Calibri" w:hAnsi="Calibri"/>
        </w:rPr>
        <w:tab/>
      </w:r>
      <w:r w:rsidR="00052A91" w:rsidRPr="0032536C">
        <w:rPr>
          <w:rFonts w:ascii="Calibri" w:hAnsi="Calibri"/>
        </w:rPr>
        <w:t>Przesadzanie drzew starszych powinno się zlecać wykwalifikowanej firmie.</w:t>
      </w:r>
    </w:p>
    <w:p w:rsidR="00052A91" w:rsidRPr="0032536C" w:rsidRDefault="00052A91" w:rsidP="000E55F0">
      <w:pPr>
        <w:ind w:left="-851" w:right="-851"/>
        <w:rPr>
          <w:rFonts w:ascii="Calibri" w:hAnsi="Calibri"/>
        </w:rPr>
      </w:pPr>
      <w:r w:rsidRPr="007C6DE6">
        <w:rPr>
          <w:rFonts w:ascii="Calibri" w:hAnsi="Calibri"/>
          <w:b/>
        </w:rPr>
        <w:t>5.3.5.</w:t>
      </w:r>
      <w:r w:rsidRPr="0032536C">
        <w:rPr>
          <w:rFonts w:ascii="Calibri" w:hAnsi="Calibri"/>
        </w:rPr>
        <w:t xml:space="preserve"> Pielęgnacja drzew starszych po przesadzeniu</w:t>
      </w:r>
    </w:p>
    <w:p w:rsidR="00052A91" w:rsidRPr="0032536C" w:rsidRDefault="001F742D" w:rsidP="000E55F0">
      <w:pPr>
        <w:ind w:left="-851" w:right="-851"/>
        <w:rPr>
          <w:rFonts w:ascii="Calibri" w:hAnsi="Calibri"/>
        </w:rPr>
      </w:pPr>
      <w:r>
        <w:rPr>
          <w:rFonts w:ascii="Calibri" w:hAnsi="Calibri"/>
        </w:rPr>
        <w:tab/>
      </w:r>
      <w:r w:rsidR="00052A91" w:rsidRPr="0032536C">
        <w:rPr>
          <w:rFonts w:ascii="Calibri" w:hAnsi="Calibri"/>
        </w:rPr>
        <w:t>Pielęgnacja polega na następujących zabiegach:</w:t>
      </w:r>
    </w:p>
    <w:p w:rsidR="00052A91" w:rsidRPr="0032536C" w:rsidRDefault="00052A91" w:rsidP="000E55F0">
      <w:pPr>
        <w:ind w:left="-851" w:right="-851"/>
        <w:rPr>
          <w:rFonts w:ascii="Calibri" w:hAnsi="Calibri"/>
        </w:rPr>
      </w:pPr>
      <w:r>
        <w:rPr>
          <w:rFonts w:ascii="Calibri" w:hAnsi="Calibri"/>
        </w:rPr>
        <w:t>-</w:t>
      </w:r>
      <w:r w:rsidRPr="0032536C">
        <w:rPr>
          <w:rFonts w:ascii="Calibri" w:hAnsi="Calibri"/>
        </w:rPr>
        <w:t>uzupełnieniu strat wody przez staranne podlewanie, nie dopuszczając jednak do nadmiernego nawilgocenia, zwłaszcza na glebach ciężkich (grunty spoiste). Nie stosuje się podlewania w czasie chłodnej i wilgotnej pogody,</w:t>
      </w:r>
    </w:p>
    <w:p w:rsidR="00052A91" w:rsidRPr="0032536C" w:rsidRDefault="00052A91" w:rsidP="000E55F0">
      <w:pPr>
        <w:ind w:left="-851" w:right="-851"/>
        <w:rPr>
          <w:rFonts w:ascii="Calibri" w:hAnsi="Calibri"/>
        </w:rPr>
      </w:pPr>
      <w:r>
        <w:rPr>
          <w:rFonts w:ascii="Calibri" w:hAnsi="Calibri"/>
        </w:rPr>
        <w:t>-</w:t>
      </w:r>
      <w:r w:rsidRPr="0032536C">
        <w:rPr>
          <w:rFonts w:ascii="Calibri" w:hAnsi="Calibri"/>
        </w:rPr>
        <w:t>ograniczeniu strat wody przez duże drzewa w czasie nagrzewania się pnia i konarów oraz działania wiatrów, poprzez stosowanie owijania pni i konarów (np. papierem lub tkaninami) lub spryskiwania kory pnia i konarów emulsjami (np. emulsje parafinowe, lateksowe),</w:t>
      </w:r>
    </w:p>
    <w:p w:rsidR="00052A91" w:rsidRPr="0032536C" w:rsidRDefault="00052A91" w:rsidP="000E55F0">
      <w:pPr>
        <w:ind w:left="-851" w:right="-851"/>
        <w:rPr>
          <w:rFonts w:ascii="Calibri" w:hAnsi="Calibri"/>
        </w:rPr>
      </w:pPr>
      <w:r>
        <w:rPr>
          <w:rFonts w:ascii="Calibri" w:hAnsi="Calibri"/>
        </w:rPr>
        <w:lastRenderedPageBreak/>
        <w:t>-</w:t>
      </w:r>
      <w:r w:rsidRPr="0032536C">
        <w:rPr>
          <w:rFonts w:ascii="Calibri" w:hAnsi="Calibri"/>
        </w:rPr>
        <w:t>układaniu ściółki wokół świeżo przesadzonego drzewa,</w:t>
      </w:r>
    </w:p>
    <w:p w:rsidR="00052A91" w:rsidRPr="0032536C" w:rsidRDefault="00052A91" w:rsidP="000E55F0">
      <w:pPr>
        <w:ind w:left="-851" w:right="-851"/>
        <w:rPr>
          <w:rFonts w:ascii="Calibri" w:hAnsi="Calibri"/>
        </w:rPr>
      </w:pPr>
      <w:r>
        <w:rPr>
          <w:rFonts w:ascii="Calibri" w:hAnsi="Calibri"/>
        </w:rPr>
        <w:t>-</w:t>
      </w:r>
      <w:r w:rsidRPr="0032536C">
        <w:rPr>
          <w:rFonts w:ascii="Calibri" w:hAnsi="Calibri"/>
        </w:rPr>
        <w:t>usuwaniu chwastów.</w:t>
      </w:r>
    </w:p>
    <w:p w:rsidR="00052A91" w:rsidRPr="0032536C" w:rsidRDefault="00052A91" w:rsidP="000E55F0">
      <w:pPr>
        <w:ind w:left="-851" w:right="-851"/>
        <w:rPr>
          <w:rFonts w:ascii="Calibri" w:hAnsi="Calibri"/>
        </w:rPr>
      </w:pPr>
      <w:r w:rsidRPr="007C6DE6">
        <w:rPr>
          <w:rFonts w:ascii="Calibri" w:hAnsi="Calibri"/>
          <w:b/>
        </w:rPr>
        <w:t>5.3.6.</w:t>
      </w:r>
      <w:r w:rsidRPr="0032536C">
        <w:rPr>
          <w:rFonts w:ascii="Calibri" w:hAnsi="Calibri"/>
        </w:rPr>
        <w:t xml:space="preserve"> Zabezpieczenie drzew podczas budowy</w:t>
      </w:r>
    </w:p>
    <w:p w:rsidR="00052A91" w:rsidRPr="0032536C" w:rsidRDefault="001F742D" w:rsidP="000E55F0">
      <w:pPr>
        <w:ind w:left="-851" w:right="-851"/>
        <w:rPr>
          <w:rFonts w:ascii="Calibri" w:hAnsi="Calibri"/>
        </w:rPr>
      </w:pPr>
      <w:r>
        <w:rPr>
          <w:rFonts w:ascii="Calibri" w:hAnsi="Calibri"/>
        </w:rPr>
        <w:tab/>
      </w:r>
      <w:r w:rsidR="006630A3">
        <w:rPr>
          <w:rFonts w:ascii="Calibri" w:hAnsi="Calibri"/>
        </w:rPr>
        <w:tab/>
      </w:r>
      <w:r w:rsidR="00052A91" w:rsidRPr="0032536C">
        <w:rPr>
          <w:rFonts w:ascii="Calibri" w:hAnsi="Calibri"/>
        </w:rPr>
        <w:t>W czasie trwania budowy lub przebudowy dróg, ulic, placów, parkingów itp. w sąsiedztwie istniejących drzew, następuje pogorszenie warunków glebowych, co niekorzystnie wpływa na wzrost i rozwój tych drzew.</w:t>
      </w:r>
    </w:p>
    <w:p w:rsidR="00052A91" w:rsidRPr="0032536C" w:rsidRDefault="001F742D" w:rsidP="000E55F0">
      <w:pPr>
        <w:ind w:left="-851" w:right="-851"/>
        <w:rPr>
          <w:rFonts w:ascii="Calibri" w:hAnsi="Calibri"/>
        </w:rPr>
      </w:pPr>
      <w:r>
        <w:rPr>
          <w:rFonts w:ascii="Calibri" w:hAnsi="Calibri"/>
        </w:rPr>
        <w:tab/>
      </w:r>
      <w:r w:rsidR="006630A3">
        <w:rPr>
          <w:rFonts w:ascii="Calibri" w:hAnsi="Calibri"/>
        </w:rPr>
        <w:tab/>
      </w:r>
      <w:r w:rsidR="00052A91" w:rsidRPr="0032536C">
        <w:rPr>
          <w:rFonts w:ascii="Calibri" w:hAnsi="Calibri"/>
        </w:rPr>
        <w:t xml:space="preserve">Jeżeli istniejące drzewa nie będą wycinane lub przesadzane, to </w:t>
      </w:r>
      <w:r w:rsidR="00052A91">
        <w:rPr>
          <w:rFonts w:ascii="Calibri" w:hAnsi="Calibri"/>
        </w:rPr>
        <w:t xml:space="preserve">Inżynier </w:t>
      </w:r>
      <w:r w:rsidR="00052A91" w:rsidRPr="0032536C">
        <w:rPr>
          <w:rFonts w:ascii="Calibri" w:hAnsi="Calibri"/>
        </w:rPr>
        <w:t>określ</w:t>
      </w:r>
      <w:r w:rsidR="00052A91">
        <w:rPr>
          <w:rFonts w:ascii="Calibri" w:hAnsi="Calibri"/>
        </w:rPr>
        <w:t>i</w:t>
      </w:r>
      <w:r w:rsidR="00052A91" w:rsidRPr="0032536C">
        <w:rPr>
          <w:rFonts w:ascii="Calibri" w:hAnsi="Calibri"/>
        </w:rPr>
        <w:t xml:space="preserve"> warunki zabezpieczenia drzew na czas trwania budowy oraz po wykonaniu tych robót.</w:t>
      </w:r>
    </w:p>
    <w:p w:rsidR="00052A91" w:rsidRPr="0032536C" w:rsidRDefault="00052A91" w:rsidP="000E55F0">
      <w:pPr>
        <w:ind w:left="-851" w:right="-851"/>
        <w:rPr>
          <w:rFonts w:ascii="Calibri" w:hAnsi="Calibri"/>
        </w:rPr>
      </w:pPr>
      <w:r w:rsidRPr="00C4311B">
        <w:rPr>
          <w:rFonts w:ascii="Calibri" w:hAnsi="Calibri"/>
          <w:b/>
        </w:rPr>
        <w:t>5.4.</w:t>
      </w:r>
      <w:r w:rsidRPr="0032536C">
        <w:rPr>
          <w:rFonts w:ascii="Calibri" w:hAnsi="Calibri"/>
        </w:rPr>
        <w:t xml:space="preserve"> Kwietniki</w:t>
      </w:r>
    </w:p>
    <w:p w:rsidR="00052A91" w:rsidRPr="0032536C" w:rsidRDefault="001F742D" w:rsidP="000E55F0">
      <w:pPr>
        <w:ind w:left="-851" w:right="-851"/>
        <w:rPr>
          <w:rFonts w:ascii="Calibri" w:hAnsi="Calibri"/>
        </w:rPr>
      </w:pPr>
      <w:r>
        <w:rPr>
          <w:rFonts w:ascii="Calibri" w:hAnsi="Calibri"/>
        </w:rPr>
        <w:tab/>
      </w:r>
      <w:r w:rsidR="006630A3">
        <w:rPr>
          <w:rFonts w:ascii="Calibri" w:hAnsi="Calibri"/>
        </w:rPr>
        <w:tab/>
      </w:r>
      <w:r w:rsidR="00052A91" w:rsidRPr="0032536C">
        <w:rPr>
          <w:rFonts w:ascii="Calibri" w:hAnsi="Calibri"/>
        </w:rPr>
        <w:t>Wymagania dotyczące założenia i pielęgnacji kwietników są następujące:</w:t>
      </w:r>
    </w:p>
    <w:p w:rsidR="00052A91" w:rsidRPr="0032536C" w:rsidRDefault="00052A91" w:rsidP="000E55F0">
      <w:pPr>
        <w:ind w:left="-851" w:right="-851"/>
        <w:rPr>
          <w:rFonts w:ascii="Calibri" w:hAnsi="Calibri"/>
        </w:rPr>
      </w:pPr>
      <w:r>
        <w:rPr>
          <w:rFonts w:ascii="Calibri" w:hAnsi="Calibri"/>
        </w:rPr>
        <w:t>-</w:t>
      </w:r>
      <w:r w:rsidRPr="0032536C">
        <w:rPr>
          <w:rFonts w:ascii="Calibri" w:hAnsi="Calibri"/>
        </w:rPr>
        <w:t>gleba przed założeniem kwietników powinna być starannie uprawiona. Jeżeli gleba rodzima jest jałowa i uboga, należy ją wymienić na glebę urodzajn</w:t>
      </w:r>
      <w:r>
        <w:rPr>
          <w:rFonts w:ascii="Calibri" w:hAnsi="Calibri"/>
        </w:rPr>
        <w:t xml:space="preserve">ą na głębokość od </w:t>
      </w:r>
      <w:r w:rsidRPr="0032536C">
        <w:rPr>
          <w:rFonts w:ascii="Calibri" w:hAnsi="Calibri"/>
        </w:rPr>
        <w:t>10 do 25 cm, w zależności od rodzaju sadzonych kwiatów,</w:t>
      </w:r>
    </w:p>
    <w:p w:rsidR="00052A91" w:rsidRPr="0032536C" w:rsidRDefault="00052A91" w:rsidP="000E55F0">
      <w:pPr>
        <w:ind w:left="-851" w:right="-851"/>
        <w:rPr>
          <w:rFonts w:ascii="Calibri" w:hAnsi="Calibri"/>
        </w:rPr>
      </w:pPr>
      <w:r>
        <w:rPr>
          <w:rFonts w:ascii="Calibri" w:hAnsi="Calibri"/>
        </w:rPr>
        <w:t>-</w:t>
      </w:r>
      <w:r w:rsidRPr="0032536C">
        <w:rPr>
          <w:rFonts w:ascii="Calibri" w:hAnsi="Calibri"/>
        </w:rPr>
        <w:t>ilość roślin, rozstawa ich sadzenia powinna być wskazana w dokumentacji projektowej,</w:t>
      </w:r>
    </w:p>
    <w:p w:rsidR="00052A91" w:rsidRPr="0032536C" w:rsidRDefault="00052A91" w:rsidP="000E55F0">
      <w:pPr>
        <w:ind w:left="-851" w:right="-851"/>
        <w:rPr>
          <w:rFonts w:ascii="Calibri" w:hAnsi="Calibri"/>
        </w:rPr>
      </w:pPr>
      <w:r>
        <w:rPr>
          <w:rFonts w:ascii="Calibri" w:hAnsi="Calibri"/>
        </w:rPr>
        <w:t>-</w:t>
      </w:r>
      <w:r w:rsidRPr="0032536C">
        <w:rPr>
          <w:rFonts w:ascii="Calibri" w:hAnsi="Calibri"/>
        </w:rPr>
        <w:t>po posadzeniu roślin ziemia musi być wyrównana, rośliny podlane na głębokość sadzenia,</w:t>
      </w:r>
    </w:p>
    <w:p w:rsidR="00052A91" w:rsidRPr="0032536C" w:rsidRDefault="00052A91" w:rsidP="000E55F0">
      <w:pPr>
        <w:ind w:left="-851" w:right="-851"/>
        <w:rPr>
          <w:rFonts w:ascii="Calibri" w:hAnsi="Calibri"/>
        </w:rPr>
      </w:pPr>
      <w:r>
        <w:rPr>
          <w:rFonts w:ascii="Calibri" w:hAnsi="Calibri"/>
        </w:rPr>
        <w:t>-</w:t>
      </w:r>
      <w:r w:rsidRPr="0032536C">
        <w:rPr>
          <w:rFonts w:ascii="Calibri" w:hAnsi="Calibri"/>
        </w:rPr>
        <w:t>pielęgnacja polega na usuwaniu chwastów, podlewaniu, nawożeniu, usuwaniu przekwitłych kwiatów.</w:t>
      </w:r>
    </w:p>
    <w:p w:rsidR="00052A91" w:rsidRDefault="00052A91" w:rsidP="000E55F0">
      <w:pPr>
        <w:ind w:left="-851" w:right="-851"/>
        <w:rPr>
          <w:rFonts w:ascii="Calibri" w:hAnsi="Calibri"/>
          <w:b/>
        </w:rPr>
      </w:pPr>
      <w:bookmarkStart w:id="1669" w:name="_Toc428677178"/>
    </w:p>
    <w:p w:rsidR="00052A91" w:rsidRPr="00C4311B" w:rsidRDefault="00052A91" w:rsidP="000E55F0">
      <w:pPr>
        <w:ind w:left="-851" w:right="-851"/>
        <w:rPr>
          <w:rFonts w:ascii="Calibri" w:hAnsi="Calibri"/>
          <w:b/>
        </w:rPr>
      </w:pPr>
      <w:r w:rsidRPr="00C4311B">
        <w:rPr>
          <w:rFonts w:ascii="Calibri" w:hAnsi="Calibri"/>
          <w:b/>
        </w:rPr>
        <w:t>6. KONTROLA JAKOŚCI ROBÓT</w:t>
      </w:r>
      <w:bookmarkEnd w:id="1669"/>
    </w:p>
    <w:p w:rsidR="00052A91" w:rsidRPr="0032536C" w:rsidRDefault="00052A91" w:rsidP="000E55F0">
      <w:pPr>
        <w:ind w:left="-851" w:right="-851"/>
        <w:rPr>
          <w:rFonts w:ascii="Calibri" w:hAnsi="Calibri"/>
        </w:rPr>
      </w:pPr>
      <w:r w:rsidRPr="00C4311B">
        <w:rPr>
          <w:rFonts w:ascii="Calibri" w:hAnsi="Calibri"/>
          <w:b/>
        </w:rPr>
        <w:t>6.1.</w:t>
      </w:r>
      <w:r w:rsidRPr="0032536C">
        <w:rPr>
          <w:rFonts w:ascii="Calibri" w:hAnsi="Calibri"/>
        </w:rPr>
        <w:t xml:space="preserve"> Ogólne zasady kontroli jakości robót</w:t>
      </w:r>
    </w:p>
    <w:p w:rsidR="00052A91" w:rsidRPr="0032536C" w:rsidRDefault="001F742D" w:rsidP="000E55F0">
      <w:pPr>
        <w:ind w:left="-851" w:right="-851"/>
        <w:rPr>
          <w:rFonts w:ascii="Calibri" w:hAnsi="Calibri"/>
        </w:rPr>
      </w:pPr>
      <w:r>
        <w:rPr>
          <w:rFonts w:ascii="Calibri" w:hAnsi="Calibri"/>
        </w:rPr>
        <w:tab/>
      </w:r>
      <w:r w:rsidR="006630A3">
        <w:rPr>
          <w:rFonts w:ascii="Calibri" w:hAnsi="Calibri"/>
        </w:rPr>
        <w:tab/>
      </w:r>
      <w:r w:rsidR="00052A91" w:rsidRPr="0032536C">
        <w:rPr>
          <w:rFonts w:ascii="Calibri" w:hAnsi="Calibri"/>
        </w:rPr>
        <w:t>Ogólne zasady k</w:t>
      </w:r>
      <w:r w:rsidR="00052A91">
        <w:rPr>
          <w:rFonts w:ascii="Calibri" w:hAnsi="Calibri"/>
        </w:rPr>
        <w:t xml:space="preserve">ontroli jakości robót podano w </w:t>
      </w:r>
      <w:r w:rsidR="00052A91" w:rsidRPr="0032536C">
        <w:rPr>
          <w:rFonts w:ascii="Calibri" w:hAnsi="Calibri"/>
        </w:rPr>
        <w:t>ST D-M-00.00.00 „Wymagania ogólne” pkt 6.</w:t>
      </w:r>
    </w:p>
    <w:p w:rsidR="00052A91" w:rsidRPr="0032536C" w:rsidRDefault="00052A91" w:rsidP="000E55F0">
      <w:pPr>
        <w:ind w:left="-851" w:right="-851"/>
        <w:rPr>
          <w:rFonts w:ascii="Calibri" w:hAnsi="Calibri"/>
        </w:rPr>
      </w:pPr>
      <w:r w:rsidRPr="00C4311B">
        <w:rPr>
          <w:rFonts w:ascii="Calibri" w:hAnsi="Calibri"/>
          <w:b/>
        </w:rPr>
        <w:t>6.2.</w:t>
      </w:r>
      <w:r w:rsidRPr="0032536C">
        <w:rPr>
          <w:rFonts w:ascii="Calibri" w:hAnsi="Calibri"/>
        </w:rPr>
        <w:t xml:space="preserve"> Trawniki</w:t>
      </w:r>
    </w:p>
    <w:p w:rsidR="00052A91" w:rsidRPr="0032536C" w:rsidRDefault="001F742D" w:rsidP="000E55F0">
      <w:pPr>
        <w:ind w:left="-851" w:right="-851"/>
        <w:rPr>
          <w:rFonts w:ascii="Calibri" w:hAnsi="Calibri"/>
        </w:rPr>
      </w:pPr>
      <w:r>
        <w:rPr>
          <w:rFonts w:ascii="Calibri" w:hAnsi="Calibri"/>
        </w:rPr>
        <w:tab/>
      </w:r>
      <w:r w:rsidR="006630A3">
        <w:rPr>
          <w:rFonts w:ascii="Calibri" w:hAnsi="Calibri"/>
        </w:rPr>
        <w:tab/>
      </w:r>
      <w:r w:rsidR="00052A91" w:rsidRPr="0032536C">
        <w:rPr>
          <w:rFonts w:ascii="Calibri" w:hAnsi="Calibri"/>
        </w:rPr>
        <w:t>Kontrola w czasie wykonywania trawników polega na sprawdzeniu:</w:t>
      </w:r>
    </w:p>
    <w:p w:rsidR="00052A91" w:rsidRPr="0032536C" w:rsidRDefault="00052A91" w:rsidP="000E55F0">
      <w:pPr>
        <w:ind w:left="-851" w:right="-851"/>
        <w:rPr>
          <w:rFonts w:ascii="Calibri" w:hAnsi="Calibri"/>
        </w:rPr>
      </w:pPr>
      <w:r>
        <w:rPr>
          <w:rFonts w:ascii="Calibri" w:hAnsi="Calibri"/>
        </w:rPr>
        <w:t>-</w:t>
      </w:r>
      <w:r w:rsidRPr="0032536C">
        <w:rPr>
          <w:rFonts w:ascii="Calibri" w:hAnsi="Calibri"/>
        </w:rPr>
        <w:t>oczyszczenia terenu z gruzu i zanieczyszczeń,</w:t>
      </w:r>
    </w:p>
    <w:p w:rsidR="00052A91" w:rsidRPr="0032536C" w:rsidRDefault="00052A91" w:rsidP="000E55F0">
      <w:pPr>
        <w:ind w:left="-851" w:right="-851"/>
        <w:rPr>
          <w:rFonts w:ascii="Calibri" w:hAnsi="Calibri"/>
        </w:rPr>
      </w:pPr>
      <w:r>
        <w:rPr>
          <w:rFonts w:ascii="Calibri" w:hAnsi="Calibri"/>
        </w:rPr>
        <w:t>-</w:t>
      </w:r>
      <w:r w:rsidRPr="0032536C">
        <w:rPr>
          <w:rFonts w:ascii="Calibri" w:hAnsi="Calibri"/>
        </w:rPr>
        <w:t>określenia ilości zanieczyszczeń (w m3),</w:t>
      </w:r>
    </w:p>
    <w:p w:rsidR="00052A91" w:rsidRPr="0032536C" w:rsidRDefault="00052A91" w:rsidP="000E55F0">
      <w:pPr>
        <w:ind w:left="-851" w:right="-851"/>
        <w:rPr>
          <w:rFonts w:ascii="Calibri" w:hAnsi="Calibri"/>
        </w:rPr>
      </w:pPr>
      <w:r>
        <w:rPr>
          <w:rFonts w:ascii="Calibri" w:hAnsi="Calibri"/>
        </w:rPr>
        <w:t>-</w:t>
      </w:r>
      <w:r w:rsidRPr="0032536C">
        <w:rPr>
          <w:rFonts w:ascii="Calibri" w:hAnsi="Calibri"/>
        </w:rPr>
        <w:t>pomiaru odległości wywozu zanieczyszczeń na zwałkę,</w:t>
      </w:r>
    </w:p>
    <w:p w:rsidR="00052A91" w:rsidRPr="0032536C" w:rsidRDefault="00052A91" w:rsidP="000E55F0">
      <w:pPr>
        <w:ind w:left="-851" w:right="-851"/>
        <w:rPr>
          <w:rFonts w:ascii="Calibri" w:hAnsi="Calibri"/>
        </w:rPr>
      </w:pPr>
      <w:r>
        <w:rPr>
          <w:rFonts w:ascii="Calibri" w:hAnsi="Calibri"/>
        </w:rPr>
        <w:t>-</w:t>
      </w:r>
      <w:r w:rsidRPr="0032536C">
        <w:rPr>
          <w:rFonts w:ascii="Calibri" w:hAnsi="Calibri"/>
        </w:rPr>
        <w:t>wymiany gleby jałowej na ziemię urodzajną z kontrolą grubości warstwy rozścielonej ziemi,</w:t>
      </w:r>
    </w:p>
    <w:p w:rsidR="00052A91" w:rsidRPr="0032536C" w:rsidRDefault="00052A91" w:rsidP="000E55F0">
      <w:pPr>
        <w:ind w:left="-851" w:right="-851"/>
        <w:rPr>
          <w:rFonts w:ascii="Calibri" w:hAnsi="Calibri"/>
        </w:rPr>
      </w:pPr>
      <w:r>
        <w:rPr>
          <w:rFonts w:ascii="Calibri" w:hAnsi="Calibri"/>
        </w:rPr>
        <w:t>-</w:t>
      </w:r>
      <w:r w:rsidRPr="0032536C">
        <w:rPr>
          <w:rFonts w:ascii="Calibri" w:hAnsi="Calibri"/>
        </w:rPr>
        <w:t>ilości rozrzuconego kompostu,</w:t>
      </w:r>
    </w:p>
    <w:p w:rsidR="00052A91" w:rsidRPr="0032536C" w:rsidRDefault="00052A91" w:rsidP="000E55F0">
      <w:pPr>
        <w:ind w:left="-851" w:right="-851"/>
        <w:rPr>
          <w:rFonts w:ascii="Calibri" w:hAnsi="Calibri"/>
        </w:rPr>
      </w:pPr>
      <w:r>
        <w:rPr>
          <w:rFonts w:ascii="Calibri" w:hAnsi="Calibri"/>
        </w:rPr>
        <w:t>-</w:t>
      </w:r>
      <w:r w:rsidRPr="0032536C">
        <w:rPr>
          <w:rFonts w:ascii="Calibri" w:hAnsi="Calibri"/>
        </w:rPr>
        <w:t>prawidłowego uwałowania terenu,</w:t>
      </w:r>
    </w:p>
    <w:p w:rsidR="00052A91" w:rsidRPr="0032536C" w:rsidRDefault="00052A91" w:rsidP="000E55F0">
      <w:pPr>
        <w:ind w:left="-851" w:right="-851"/>
        <w:rPr>
          <w:rFonts w:ascii="Calibri" w:hAnsi="Calibri"/>
        </w:rPr>
      </w:pPr>
      <w:r>
        <w:rPr>
          <w:rFonts w:ascii="Calibri" w:hAnsi="Calibri"/>
        </w:rPr>
        <w:t>-</w:t>
      </w:r>
      <w:r w:rsidRPr="0032536C">
        <w:rPr>
          <w:rFonts w:ascii="Calibri" w:hAnsi="Calibri"/>
        </w:rPr>
        <w:t>zgodności składu gotowej mieszanki traw z ustaleniami dokumentacji projektowej,</w:t>
      </w:r>
    </w:p>
    <w:p w:rsidR="00052A91" w:rsidRPr="0032536C" w:rsidRDefault="00052A91" w:rsidP="000E55F0">
      <w:pPr>
        <w:ind w:left="-851" w:right="-851"/>
        <w:rPr>
          <w:rFonts w:ascii="Calibri" w:hAnsi="Calibri"/>
        </w:rPr>
      </w:pPr>
      <w:r>
        <w:rPr>
          <w:rFonts w:ascii="Calibri" w:hAnsi="Calibri"/>
        </w:rPr>
        <w:t>-</w:t>
      </w:r>
      <w:r w:rsidRPr="0032536C">
        <w:rPr>
          <w:rFonts w:ascii="Calibri" w:hAnsi="Calibri"/>
        </w:rPr>
        <w:t>gęstości zasiewu nasion,</w:t>
      </w:r>
    </w:p>
    <w:p w:rsidR="00052A91" w:rsidRPr="0032536C" w:rsidRDefault="00052A91" w:rsidP="000E55F0">
      <w:pPr>
        <w:ind w:left="-851" w:right="-851"/>
        <w:rPr>
          <w:rFonts w:ascii="Calibri" w:hAnsi="Calibri"/>
        </w:rPr>
      </w:pPr>
      <w:r>
        <w:rPr>
          <w:rFonts w:ascii="Calibri" w:hAnsi="Calibri"/>
        </w:rPr>
        <w:t>-</w:t>
      </w:r>
      <w:r w:rsidRPr="0032536C">
        <w:rPr>
          <w:rFonts w:ascii="Calibri" w:hAnsi="Calibri"/>
        </w:rPr>
        <w:t>prawidłowej częstotliwości koszenia trawników i ich odchwaszczania,</w:t>
      </w:r>
    </w:p>
    <w:p w:rsidR="00052A91" w:rsidRPr="0032536C" w:rsidRDefault="00052A91" w:rsidP="000E55F0">
      <w:pPr>
        <w:ind w:left="-851" w:right="-851"/>
        <w:rPr>
          <w:rFonts w:ascii="Calibri" w:hAnsi="Calibri"/>
        </w:rPr>
      </w:pPr>
      <w:r>
        <w:rPr>
          <w:rFonts w:ascii="Calibri" w:hAnsi="Calibri"/>
        </w:rPr>
        <w:t>-</w:t>
      </w:r>
      <w:r w:rsidRPr="0032536C">
        <w:rPr>
          <w:rFonts w:ascii="Calibri" w:hAnsi="Calibri"/>
        </w:rPr>
        <w:t>okresów podlewania, zwłaszcza podczas suszy,</w:t>
      </w:r>
    </w:p>
    <w:p w:rsidR="00052A91" w:rsidRPr="0032536C" w:rsidRDefault="00052A91" w:rsidP="000E55F0">
      <w:pPr>
        <w:ind w:left="-851" w:right="-851"/>
        <w:rPr>
          <w:rFonts w:ascii="Calibri" w:hAnsi="Calibri"/>
        </w:rPr>
      </w:pPr>
      <w:r>
        <w:rPr>
          <w:rFonts w:ascii="Calibri" w:hAnsi="Calibri"/>
        </w:rPr>
        <w:t>-</w:t>
      </w:r>
      <w:r w:rsidRPr="0032536C">
        <w:rPr>
          <w:rFonts w:ascii="Calibri" w:hAnsi="Calibri"/>
        </w:rPr>
        <w:t>dosiewania płaszczyzn trawników o zbyt</w:t>
      </w:r>
      <w:r>
        <w:rPr>
          <w:rFonts w:ascii="Calibri" w:hAnsi="Calibri"/>
        </w:rPr>
        <w:t xml:space="preserve"> małej gęstości wykiełkowanych ź</w:t>
      </w:r>
      <w:r w:rsidRPr="0032536C">
        <w:rPr>
          <w:rFonts w:ascii="Calibri" w:hAnsi="Calibri"/>
        </w:rPr>
        <w:t>dziebeł trawy.</w:t>
      </w:r>
    </w:p>
    <w:p w:rsidR="00052A91" w:rsidRPr="0032536C" w:rsidRDefault="001F742D" w:rsidP="000E55F0">
      <w:pPr>
        <w:ind w:left="-851" w:right="-851"/>
        <w:rPr>
          <w:rFonts w:ascii="Calibri" w:hAnsi="Calibri"/>
        </w:rPr>
      </w:pPr>
      <w:r>
        <w:rPr>
          <w:rFonts w:ascii="Calibri" w:hAnsi="Calibri"/>
        </w:rPr>
        <w:tab/>
      </w:r>
      <w:r w:rsidR="00052A91" w:rsidRPr="0032536C">
        <w:rPr>
          <w:rFonts w:ascii="Calibri" w:hAnsi="Calibri"/>
        </w:rPr>
        <w:t>Kontrola robót przy odbiorze trawników dotyczy:</w:t>
      </w:r>
    </w:p>
    <w:p w:rsidR="00052A91" w:rsidRPr="0032536C" w:rsidRDefault="00052A91" w:rsidP="000E55F0">
      <w:pPr>
        <w:ind w:left="-851" w:right="-851"/>
        <w:rPr>
          <w:rFonts w:ascii="Calibri" w:hAnsi="Calibri"/>
        </w:rPr>
      </w:pPr>
      <w:r>
        <w:rPr>
          <w:rFonts w:ascii="Calibri" w:hAnsi="Calibri"/>
        </w:rPr>
        <w:t>-</w:t>
      </w:r>
      <w:r w:rsidRPr="0032536C">
        <w:rPr>
          <w:rFonts w:ascii="Calibri" w:hAnsi="Calibri"/>
        </w:rPr>
        <w:t>prawidłowej gęstości trawy (trawniki bez tzw. „łysin”),</w:t>
      </w:r>
    </w:p>
    <w:p w:rsidR="00052A91" w:rsidRPr="0032536C" w:rsidRDefault="00052A91" w:rsidP="000E55F0">
      <w:pPr>
        <w:ind w:left="-851" w:right="-851"/>
        <w:rPr>
          <w:rFonts w:ascii="Calibri" w:hAnsi="Calibri"/>
        </w:rPr>
      </w:pPr>
      <w:r>
        <w:rPr>
          <w:rFonts w:ascii="Calibri" w:hAnsi="Calibri"/>
        </w:rPr>
        <w:t>-</w:t>
      </w:r>
      <w:r w:rsidRPr="0032536C">
        <w:rPr>
          <w:rFonts w:ascii="Calibri" w:hAnsi="Calibri"/>
        </w:rPr>
        <w:t>obecności gatunków niewysiewanych oraz chwastów.</w:t>
      </w:r>
    </w:p>
    <w:p w:rsidR="00052A91" w:rsidRPr="0032536C" w:rsidRDefault="00052A91" w:rsidP="000E55F0">
      <w:pPr>
        <w:ind w:left="-851" w:right="-851"/>
        <w:rPr>
          <w:rFonts w:ascii="Calibri" w:hAnsi="Calibri"/>
        </w:rPr>
      </w:pPr>
      <w:r w:rsidRPr="00C4311B">
        <w:rPr>
          <w:rFonts w:ascii="Calibri" w:hAnsi="Calibri"/>
          <w:b/>
        </w:rPr>
        <w:t>6.3.</w:t>
      </w:r>
      <w:r w:rsidRPr="0032536C">
        <w:rPr>
          <w:rFonts w:ascii="Calibri" w:hAnsi="Calibri"/>
        </w:rPr>
        <w:t xml:space="preserve"> Drzewa i krzewy</w:t>
      </w:r>
    </w:p>
    <w:p w:rsidR="00052A91" w:rsidRPr="0032536C" w:rsidRDefault="001F742D" w:rsidP="000E55F0">
      <w:pPr>
        <w:ind w:left="-851" w:right="-851"/>
        <w:rPr>
          <w:rFonts w:ascii="Calibri" w:hAnsi="Calibri"/>
        </w:rPr>
      </w:pPr>
      <w:r>
        <w:rPr>
          <w:rFonts w:ascii="Calibri" w:hAnsi="Calibri"/>
        </w:rPr>
        <w:tab/>
      </w:r>
      <w:r w:rsidR="006630A3">
        <w:rPr>
          <w:rFonts w:ascii="Calibri" w:hAnsi="Calibri"/>
        </w:rPr>
        <w:tab/>
      </w:r>
      <w:r w:rsidR="00052A91" w:rsidRPr="0032536C">
        <w:rPr>
          <w:rFonts w:ascii="Calibri" w:hAnsi="Calibri"/>
        </w:rPr>
        <w:t>Kontrola robót w zakresie sadzenia i pielęgnacji drzew i krzewów polega na sprawdzeniu:</w:t>
      </w:r>
    </w:p>
    <w:p w:rsidR="00052A91" w:rsidRPr="0032536C" w:rsidRDefault="00052A91" w:rsidP="000E55F0">
      <w:pPr>
        <w:ind w:left="-851" w:right="-851"/>
        <w:rPr>
          <w:rFonts w:ascii="Calibri" w:hAnsi="Calibri"/>
        </w:rPr>
      </w:pPr>
      <w:r>
        <w:rPr>
          <w:rFonts w:ascii="Calibri" w:hAnsi="Calibri"/>
        </w:rPr>
        <w:t>-</w:t>
      </w:r>
      <w:r w:rsidRPr="0032536C">
        <w:rPr>
          <w:rFonts w:ascii="Calibri" w:hAnsi="Calibri"/>
        </w:rPr>
        <w:t>wielkości dołków pod drzewka i krzewy,</w:t>
      </w:r>
    </w:p>
    <w:p w:rsidR="00052A91" w:rsidRPr="0032536C" w:rsidRDefault="00052A91" w:rsidP="000E55F0">
      <w:pPr>
        <w:ind w:left="-851" w:right="-851"/>
        <w:rPr>
          <w:rFonts w:ascii="Calibri" w:hAnsi="Calibri"/>
        </w:rPr>
      </w:pPr>
      <w:r>
        <w:rPr>
          <w:rFonts w:ascii="Calibri" w:hAnsi="Calibri"/>
        </w:rPr>
        <w:t>-</w:t>
      </w:r>
      <w:r w:rsidRPr="0032536C">
        <w:rPr>
          <w:rFonts w:ascii="Calibri" w:hAnsi="Calibri"/>
        </w:rPr>
        <w:t>zaprawienia dołków ziemią urodzajną,</w:t>
      </w:r>
    </w:p>
    <w:p w:rsidR="00052A91" w:rsidRPr="0032536C" w:rsidRDefault="00052A91" w:rsidP="000E55F0">
      <w:pPr>
        <w:ind w:left="-851" w:right="-851"/>
        <w:rPr>
          <w:rFonts w:ascii="Calibri" w:hAnsi="Calibri"/>
        </w:rPr>
      </w:pPr>
      <w:r>
        <w:rPr>
          <w:rFonts w:ascii="Calibri" w:hAnsi="Calibri"/>
        </w:rPr>
        <w:t>-</w:t>
      </w:r>
      <w:r w:rsidRPr="0032536C">
        <w:rPr>
          <w:rFonts w:ascii="Calibri" w:hAnsi="Calibri"/>
        </w:rPr>
        <w:t xml:space="preserve">zgodności realizacji obsadzenia z dokumentacją projektową w zakresie miejsc sadzenia, gatunków i odmian, </w:t>
      </w:r>
      <w:r>
        <w:rPr>
          <w:rFonts w:ascii="Calibri" w:hAnsi="Calibri"/>
        </w:rPr>
        <w:t>-</w:t>
      </w:r>
      <w:r w:rsidRPr="0032536C">
        <w:rPr>
          <w:rFonts w:ascii="Calibri" w:hAnsi="Calibri"/>
        </w:rPr>
        <w:t>odległości sadzonych roślin,</w:t>
      </w:r>
    </w:p>
    <w:p w:rsidR="00052A91" w:rsidRPr="0032536C" w:rsidRDefault="00052A91" w:rsidP="000E55F0">
      <w:pPr>
        <w:ind w:left="-851" w:right="-851"/>
        <w:rPr>
          <w:rFonts w:ascii="Calibri" w:hAnsi="Calibri"/>
        </w:rPr>
      </w:pPr>
      <w:r>
        <w:rPr>
          <w:rFonts w:ascii="Calibri" w:hAnsi="Calibri"/>
        </w:rPr>
        <w:t>-</w:t>
      </w:r>
      <w:r w:rsidRPr="0032536C">
        <w:rPr>
          <w:rFonts w:ascii="Calibri" w:hAnsi="Calibri"/>
        </w:rPr>
        <w:t>materiału roślinnego w zakresie wymagań jakościowych systemu korzeniowego, pokroju, wieku, zgo</w:t>
      </w:r>
      <w:r>
        <w:rPr>
          <w:rFonts w:ascii="Calibri" w:hAnsi="Calibri"/>
        </w:rPr>
        <w:t>dności z normami: PN-R-67022</w:t>
      </w:r>
      <w:r w:rsidRPr="0032536C">
        <w:rPr>
          <w:rFonts w:ascii="Calibri" w:hAnsi="Calibri"/>
        </w:rPr>
        <w:t xml:space="preserve"> i PN-R-67</w:t>
      </w:r>
      <w:r>
        <w:rPr>
          <w:rFonts w:ascii="Calibri" w:hAnsi="Calibri"/>
        </w:rPr>
        <w:t>023</w:t>
      </w:r>
      <w:r w:rsidRPr="0032536C">
        <w:rPr>
          <w:rFonts w:ascii="Calibri" w:hAnsi="Calibri"/>
        </w:rPr>
        <w:t>,</w:t>
      </w:r>
    </w:p>
    <w:p w:rsidR="00052A91" w:rsidRPr="0032536C" w:rsidRDefault="00052A91" w:rsidP="000E55F0">
      <w:pPr>
        <w:ind w:left="-851" w:right="-851"/>
        <w:rPr>
          <w:rFonts w:ascii="Calibri" w:hAnsi="Calibri"/>
        </w:rPr>
      </w:pPr>
      <w:r>
        <w:rPr>
          <w:rFonts w:ascii="Calibri" w:hAnsi="Calibri"/>
        </w:rPr>
        <w:t>-</w:t>
      </w:r>
      <w:r w:rsidRPr="0032536C">
        <w:rPr>
          <w:rFonts w:ascii="Calibri" w:hAnsi="Calibri"/>
        </w:rPr>
        <w:t>opakowania, przechowywania i transportu materiału roślinnego,</w:t>
      </w:r>
    </w:p>
    <w:p w:rsidR="00052A91" w:rsidRPr="0032536C" w:rsidRDefault="00052A91" w:rsidP="000E55F0">
      <w:pPr>
        <w:ind w:left="-851" w:right="-851"/>
        <w:rPr>
          <w:rFonts w:ascii="Calibri" w:hAnsi="Calibri"/>
        </w:rPr>
      </w:pPr>
      <w:r>
        <w:rPr>
          <w:rFonts w:ascii="Calibri" w:hAnsi="Calibri"/>
        </w:rPr>
        <w:t>-</w:t>
      </w:r>
      <w:r w:rsidRPr="0032536C">
        <w:rPr>
          <w:rFonts w:ascii="Calibri" w:hAnsi="Calibri"/>
        </w:rPr>
        <w:t>prawidłowości osadzenia pali drewnianych przy drzewach formy piennej i przymocowania do nich drzew,</w:t>
      </w:r>
    </w:p>
    <w:p w:rsidR="00052A91" w:rsidRPr="0032536C" w:rsidRDefault="00052A91" w:rsidP="000E55F0">
      <w:pPr>
        <w:ind w:left="-851" w:right="-851"/>
        <w:rPr>
          <w:rFonts w:ascii="Calibri" w:hAnsi="Calibri"/>
        </w:rPr>
      </w:pPr>
      <w:r>
        <w:rPr>
          <w:rFonts w:ascii="Calibri" w:hAnsi="Calibri"/>
        </w:rPr>
        <w:t>-</w:t>
      </w:r>
      <w:r w:rsidRPr="0032536C">
        <w:rPr>
          <w:rFonts w:ascii="Calibri" w:hAnsi="Calibri"/>
        </w:rPr>
        <w:t>odpowiednich terminów sadzenia,</w:t>
      </w:r>
    </w:p>
    <w:p w:rsidR="00052A91" w:rsidRPr="0032536C" w:rsidRDefault="00052A91" w:rsidP="000E55F0">
      <w:pPr>
        <w:ind w:left="-851" w:right="-851"/>
        <w:rPr>
          <w:rFonts w:ascii="Calibri" w:hAnsi="Calibri"/>
        </w:rPr>
      </w:pPr>
      <w:r>
        <w:rPr>
          <w:rFonts w:ascii="Calibri" w:hAnsi="Calibri"/>
        </w:rPr>
        <w:t>-</w:t>
      </w:r>
      <w:r w:rsidRPr="0032536C">
        <w:rPr>
          <w:rFonts w:ascii="Calibri" w:hAnsi="Calibri"/>
        </w:rPr>
        <w:t>wykonania prawidłowych misek przy drzewach po posadzeniu i podlaniu,</w:t>
      </w:r>
    </w:p>
    <w:p w:rsidR="00052A91" w:rsidRPr="0032536C" w:rsidRDefault="00052A91" w:rsidP="000E55F0">
      <w:pPr>
        <w:ind w:left="-851" w:right="-851"/>
        <w:rPr>
          <w:rFonts w:ascii="Calibri" w:hAnsi="Calibri"/>
        </w:rPr>
      </w:pPr>
      <w:r>
        <w:rPr>
          <w:rFonts w:ascii="Calibri" w:hAnsi="Calibri"/>
        </w:rPr>
        <w:t>-</w:t>
      </w:r>
      <w:r w:rsidRPr="0032536C">
        <w:rPr>
          <w:rFonts w:ascii="Calibri" w:hAnsi="Calibri"/>
        </w:rPr>
        <w:t>wymiany chorych, uszkodzonych, suchych i zdeformowanych drzew i krzewów,</w:t>
      </w:r>
    </w:p>
    <w:p w:rsidR="00052A91" w:rsidRPr="0032536C" w:rsidRDefault="00052A91" w:rsidP="000E55F0">
      <w:pPr>
        <w:ind w:left="-851" w:right="-851"/>
        <w:rPr>
          <w:rFonts w:ascii="Calibri" w:hAnsi="Calibri"/>
        </w:rPr>
      </w:pPr>
      <w:r>
        <w:rPr>
          <w:rFonts w:ascii="Calibri" w:hAnsi="Calibri"/>
        </w:rPr>
        <w:t>-</w:t>
      </w:r>
      <w:r w:rsidRPr="0032536C">
        <w:rPr>
          <w:rFonts w:ascii="Calibri" w:hAnsi="Calibri"/>
        </w:rPr>
        <w:t>zasilania nawozami mineralnymi.</w:t>
      </w:r>
    </w:p>
    <w:p w:rsidR="00052A91" w:rsidRPr="0032536C" w:rsidRDefault="001F742D" w:rsidP="000E55F0">
      <w:pPr>
        <w:ind w:left="-851" w:right="-851"/>
        <w:rPr>
          <w:rFonts w:ascii="Calibri" w:hAnsi="Calibri"/>
        </w:rPr>
      </w:pPr>
      <w:r>
        <w:rPr>
          <w:rFonts w:ascii="Calibri" w:hAnsi="Calibri"/>
        </w:rPr>
        <w:tab/>
      </w:r>
      <w:r w:rsidR="006630A3">
        <w:rPr>
          <w:rFonts w:ascii="Calibri" w:hAnsi="Calibri"/>
        </w:rPr>
        <w:tab/>
      </w:r>
      <w:r w:rsidR="00052A91" w:rsidRPr="0032536C">
        <w:rPr>
          <w:rFonts w:ascii="Calibri" w:hAnsi="Calibri"/>
        </w:rPr>
        <w:t>Kontrola robót przy odbiorze posadzonych drzew i krzewów dotyczy:</w:t>
      </w:r>
    </w:p>
    <w:p w:rsidR="00052A91" w:rsidRPr="0032536C" w:rsidRDefault="00052A91" w:rsidP="000E55F0">
      <w:pPr>
        <w:ind w:left="-851" w:right="-851"/>
        <w:rPr>
          <w:rFonts w:ascii="Calibri" w:hAnsi="Calibri"/>
        </w:rPr>
      </w:pPr>
      <w:r>
        <w:rPr>
          <w:rFonts w:ascii="Calibri" w:hAnsi="Calibri"/>
        </w:rPr>
        <w:lastRenderedPageBreak/>
        <w:t>-</w:t>
      </w:r>
      <w:r w:rsidRPr="0032536C">
        <w:rPr>
          <w:rFonts w:ascii="Calibri" w:hAnsi="Calibri"/>
        </w:rPr>
        <w:t>zgodności realizacji obsadzenia z dokumentacją projektową,</w:t>
      </w:r>
    </w:p>
    <w:p w:rsidR="00052A91" w:rsidRPr="0032536C" w:rsidRDefault="00052A91" w:rsidP="000E55F0">
      <w:pPr>
        <w:ind w:left="-851" w:right="-851"/>
        <w:rPr>
          <w:rFonts w:ascii="Calibri" w:hAnsi="Calibri"/>
        </w:rPr>
      </w:pPr>
      <w:r>
        <w:rPr>
          <w:rFonts w:ascii="Calibri" w:hAnsi="Calibri"/>
        </w:rPr>
        <w:t>-</w:t>
      </w:r>
      <w:r w:rsidRPr="0032536C">
        <w:rPr>
          <w:rFonts w:ascii="Calibri" w:hAnsi="Calibri"/>
        </w:rPr>
        <w:t>zgodności posadzonych gatunków i odmian oraz ilości drzew i krzewów z dokumentacją projektową,</w:t>
      </w:r>
    </w:p>
    <w:p w:rsidR="00052A91" w:rsidRPr="0032536C" w:rsidRDefault="00052A91" w:rsidP="000E55F0">
      <w:pPr>
        <w:ind w:left="-851" w:right="-851"/>
        <w:rPr>
          <w:rFonts w:ascii="Calibri" w:hAnsi="Calibri"/>
        </w:rPr>
      </w:pPr>
      <w:r>
        <w:rPr>
          <w:rFonts w:ascii="Calibri" w:hAnsi="Calibri"/>
        </w:rPr>
        <w:t>-</w:t>
      </w:r>
      <w:r w:rsidRPr="0032536C">
        <w:rPr>
          <w:rFonts w:ascii="Calibri" w:hAnsi="Calibri"/>
        </w:rPr>
        <w:t>wykonania misek przy drzewach i krzewach, jeśli odbiór jest na wiosnę lub wykonaniu kopczyków, jeżeli odbiór jest na jesieni,</w:t>
      </w:r>
    </w:p>
    <w:p w:rsidR="00052A91" w:rsidRPr="0032536C" w:rsidRDefault="00052A91" w:rsidP="000E55F0">
      <w:pPr>
        <w:ind w:left="-851" w:right="-851"/>
        <w:rPr>
          <w:rFonts w:ascii="Calibri" w:hAnsi="Calibri"/>
        </w:rPr>
      </w:pPr>
      <w:r>
        <w:rPr>
          <w:rFonts w:ascii="Calibri" w:hAnsi="Calibri"/>
        </w:rPr>
        <w:t>-</w:t>
      </w:r>
      <w:r w:rsidRPr="0032536C">
        <w:rPr>
          <w:rFonts w:ascii="Calibri" w:hAnsi="Calibri"/>
        </w:rPr>
        <w:t>prawidłowości osadzenia palików do drzew i przywiązania do nich pni drzew (paliki prosto i mocno osadzone, mocowanie nie naruszone),</w:t>
      </w:r>
    </w:p>
    <w:p w:rsidR="00052A91" w:rsidRPr="0032536C" w:rsidRDefault="00052A91" w:rsidP="000E55F0">
      <w:pPr>
        <w:ind w:left="-851" w:right="-851"/>
        <w:rPr>
          <w:rFonts w:ascii="Calibri" w:hAnsi="Calibri"/>
        </w:rPr>
      </w:pPr>
      <w:r>
        <w:rPr>
          <w:rFonts w:ascii="Calibri" w:hAnsi="Calibri"/>
        </w:rPr>
        <w:t>-</w:t>
      </w:r>
      <w:r w:rsidRPr="0032536C">
        <w:rPr>
          <w:rFonts w:ascii="Calibri" w:hAnsi="Calibri"/>
        </w:rPr>
        <w:t>jakości posadzonego materiału.</w:t>
      </w:r>
    </w:p>
    <w:p w:rsidR="00052A91" w:rsidRPr="0032536C" w:rsidRDefault="00052A91" w:rsidP="000E55F0">
      <w:pPr>
        <w:ind w:left="-851" w:right="-851"/>
        <w:rPr>
          <w:rFonts w:ascii="Calibri" w:hAnsi="Calibri"/>
        </w:rPr>
      </w:pPr>
      <w:r w:rsidRPr="00C4311B">
        <w:rPr>
          <w:rFonts w:ascii="Calibri" w:hAnsi="Calibri"/>
          <w:b/>
        </w:rPr>
        <w:t>6.4.</w:t>
      </w:r>
      <w:r w:rsidRPr="0032536C">
        <w:rPr>
          <w:rFonts w:ascii="Calibri" w:hAnsi="Calibri"/>
        </w:rPr>
        <w:t xml:space="preserve"> Kwietniki</w:t>
      </w:r>
    </w:p>
    <w:p w:rsidR="00052A91" w:rsidRPr="0032536C" w:rsidRDefault="001F742D" w:rsidP="000E55F0">
      <w:pPr>
        <w:ind w:left="-851" w:right="-851"/>
        <w:rPr>
          <w:rFonts w:ascii="Calibri" w:hAnsi="Calibri"/>
        </w:rPr>
      </w:pPr>
      <w:r>
        <w:rPr>
          <w:rFonts w:ascii="Calibri" w:hAnsi="Calibri"/>
        </w:rPr>
        <w:tab/>
      </w:r>
      <w:r w:rsidR="006630A3">
        <w:rPr>
          <w:rFonts w:ascii="Calibri" w:hAnsi="Calibri"/>
        </w:rPr>
        <w:tab/>
      </w:r>
      <w:r w:rsidR="00052A91" w:rsidRPr="0032536C">
        <w:rPr>
          <w:rFonts w:ascii="Calibri" w:hAnsi="Calibri"/>
        </w:rPr>
        <w:t>Kontrola robót w zakresie wykonywania kwietników polega na sprawdzeniu:</w:t>
      </w:r>
    </w:p>
    <w:p w:rsidR="00052A91" w:rsidRPr="0032536C" w:rsidRDefault="00052A91" w:rsidP="000E55F0">
      <w:pPr>
        <w:ind w:left="-851" w:right="-851"/>
        <w:rPr>
          <w:rFonts w:ascii="Calibri" w:hAnsi="Calibri"/>
        </w:rPr>
      </w:pPr>
      <w:r>
        <w:rPr>
          <w:rFonts w:ascii="Calibri" w:hAnsi="Calibri"/>
        </w:rPr>
        <w:t>-</w:t>
      </w:r>
      <w:r w:rsidRPr="0032536C">
        <w:rPr>
          <w:rFonts w:ascii="Calibri" w:hAnsi="Calibri"/>
        </w:rPr>
        <w:t xml:space="preserve">zgodności założenia rabat kwiatowych z dokumentacją projektową pod względem wymiarów rabaty, </w:t>
      </w:r>
      <w:r>
        <w:rPr>
          <w:rFonts w:ascii="Calibri" w:hAnsi="Calibri"/>
        </w:rPr>
        <w:t>-</w:t>
      </w:r>
      <w:r w:rsidRPr="0032536C">
        <w:rPr>
          <w:rFonts w:ascii="Calibri" w:hAnsi="Calibri"/>
        </w:rPr>
        <w:t>rozmieszczenia poszczególnych gatunków i odmian, odległości sadzenia,</w:t>
      </w:r>
    </w:p>
    <w:p w:rsidR="00052A91" w:rsidRPr="0032536C" w:rsidRDefault="00052A91" w:rsidP="000E55F0">
      <w:pPr>
        <w:ind w:left="-851" w:right="-851"/>
        <w:rPr>
          <w:rFonts w:ascii="Calibri" w:hAnsi="Calibri"/>
        </w:rPr>
      </w:pPr>
      <w:r>
        <w:rPr>
          <w:rFonts w:ascii="Calibri" w:hAnsi="Calibri"/>
        </w:rPr>
        <w:t>-</w:t>
      </w:r>
      <w:r w:rsidRPr="0032536C">
        <w:rPr>
          <w:rFonts w:ascii="Calibri" w:hAnsi="Calibri"/>
        </w:rPr>
        <w:t>jakości sadzonego materiału roślinnego (bez uszkodzeń fizjologicznych i mechanicznych, z zachowaniem jednolitości pokroju, zabarwienia i stopnia rozwoju),</w:t>
      </w:r>
    </w:p>
    <w:p w:rsidR="00052A91" w:rsidRPr="0032536C" w:rsidRDefault="00052A91" w:rsidP="000E55F0">
      <w:pPr>
        <w:ind w:left="-851" w:right="-851"/>
        <w:rPr>
          <w:rFonts w:ascii="Calibri" w:hAnsi="Calibri"/>
        </w:rPr>
      </w:pPr>
      <w:r>
        <w:rPr>
          <w:rFonts w:ascii="Calibri" w:hAnsi="Calibri"/>
        </w:rPr>
        <w:t>-</w:t>
      </w:r>
      <w:r w:rsidRPr="0032536C">
        <w:rPr>
          <w:rFonts w:ascii="Calibri" w:hAnsi="Calibri"/>
        </w:rPr>
        <w:t>przygotowania ziemi pod rabaty kwiatowe, tzn. grubości warstwy ziemi urodzajnej, ilości kompostu,</w:t>
      </w:r>
    </w:p>
    <w:p w:rsidR="00052A91" w:rsidRPr="0032536C" w:rsidRDefault="00052A91" w:rsidP="000E55F0">
      <w:pPr>
        <w:ind w:left="-851" w:right="-851"/>
        <w:rPr>
          <w:rFonts w:ascii="Calibri" w:hAnsi="Calibri"/>
        </w:rPr>
      </w:pPr>
      <w:r>
        <w:rPr>
          <w:rFonts w:ascii="Calibri" w:hAnsi="Calibri"/>
        </w:rPr>
        <w:t>-</w:t>
      </w:r>
      <w:r w:rsidRPr="0032536C">
        <w:rPr>
          <w:rFonts w:ascii="Calibri" w:hAnsi="Calibri"/>
        </w:rPr>
        <w:t>prawidłowości zabiegów pielęgnacyjnych (podlewania, odchwaszczania, nawożenia, przycinania przekwitłych i uschniętych kwiatostanów, wymiany uschniętych roślin).</w:t>
      </w:r>
    </w:p>
    <w:p w:rsidR="00052A91" w:rsidRPr="0032536C" w:rsidRDefault="001F742D" w:rsidP="000E55F0">
      <w:pPr>
        <w:ind w:left="-851" w:right="-851"/>
        <w:rPr>
          <w:rFonts w:ascii="Calibri" w:hAnsi="Calibri"/>
        </w:rPr>
      </w:pPr>
      <w:r>
        <w:rPr>
          <w:rFonts w:ascii="Calibri" w:hAnsi="Calibri"/>
        </w:rPr>
        <w:tab/>
      </w:r>
      <w:r w:rsidR="006630A3">
        <w:rPr>
          <w:rFonts w:ascii="Calibri" w:hAnsi="Calibri"/>
        </w:rPr>
        <w:tab/>
      </w:r>
      <w:r w:rsidR="00052A91" w:rsidRPr="0032536C">
        <w:rPr>
          <w:rFonts w:ascii="Calibri" w:hAnsi="Calibri"/>
        </w:rPr>
        <w:t>Kontrola robót przy odbiorze wykonanych kwietników polega na:</w:t>
      </w:r>
    </w:p>
    <w:p w:rsidR="00052A91" w:rsidRPr="0032536C" w:rsidRDefault="00052A91" w:rsidP="000E55F0">
      <w:pPr>
        <w:ind w:left="-851" w:right="-851"/>
        <w:rPr>
          <w:rFonts w:ascii="Calibri" w:hAnsi="Calibri"/>
        </w:rPr>
      </w:pPr>
      <w:r>
        <w:rPr>
          <w:rFonts w:ascii="Calibri" w:hAnsi="Calibri"/>
        </w:rPr>
        <w:t>-</w:t>
      </w:r>
      <w:r w:rsidRPr="0032536C">
        <w:rPr>
          <w:rFonts w:ascii="Calibri" w:hAnsi="Calibri"/>
        </w:rPr>
        <w:t>zgodności wykonanych kwietników z dokumentacją projektową, pod względem rozmieszczenia kwietników, gatunków i odmian posadzonych roślin,</w:t>
      </w:r>
    </w:p>
    <w:p w:rsidR="00052A91" w:rsidRPr="0032536C" w:rsidRDefault="00052A91" w:rsidP="000E55F0">
      <w:pPr>
        <w:ind w:left="-851" w:right="-851"/>
        <w:rPr>
          <w:rFonts w:ascii="Calibri" w:hAnsi="Calibri"/>
        </w:rPr>
      </w:pPr>
      <w:r>
        <w:rPr>
          <w:rFonts w:ascii="Calibri" w:hAnsi="Calibri"/>
        </w:rPr>
        <w:t>-</w:t>
      </w:r>
      <w:r w:rsidRPr="0032536C">
        <w:rPr>
          <w:rFonts w:ascii="Calibri" w:hAnsi="Calibri"/>
        </w:rPr>
        <w:t>jakości posadzonych roślin (jednolitości barw, pokroju, stopnia rozwoju),</w:t>
      </w:r>
    </w:p>
    <w:p w:rsidR="00052A91" w:rsidRPr="0032536C" w:rsidRDefault="00052A91" w:rsidP="000E55F0">
      <w:pPr>
        <w:ind w:left="-851" w:right="-851"/>
        <w:rPr>
          <w:rFonts w:ascii="Calibri" w:hAnsi="Calibri"/>
        </w:rPr>
      </w:pPr>
      <w:r>
        <w:rPr>
          <w:rFonts w:ascii="Calibri" w:hAnsi="Calibri"/>
        </w:rPr>
        <w:t>-</w:t>
      </w:r>
      <w:r w:rsidRPr="0032536C">
        <w:rPr>
          <w:rFonts w:ascii="Calibri" w:hAnsi="Calibri"/>
        </w:rPr>
        <w:t>przy odbiorze jesienią kwietników z roślin wieloletnich należy sprawdzić zabezpieczenie na okres zimy.</w:t>
      </w:r>
    </w:p>
    <w:p w:rsidR="00052A91" w:rsidRDefault="00052A91" w:rsidP="000E55F0">
      <w:pPr>
        <w:ind w:left="-851" w:right="-851"/>
        <w:rPr>
          <w:rFonts w:ascii="Calibri" w:hAnsi="Calibri"/>
        </w:rPr>
      </w:pPr>
      <w:bookmarkStart w:id="1670" w:name="_Toc428677179"/>
    </w:p>
    <w:p w:rsidR="00052A91" w:rsidRPr="00C4311B" w:rsidRDefault="00052A91" w:rsidP="000E55F0">
      <w:pPr>
        <w:ind w:left="-851" w:right="-851"/>
        <w:rPr>
          <w:rFonts w:ascii="Calibri" w:hAnsi="Calibri"/>
          <w:b/>
        </w:rPr>
      </w:pPr>
      <w:r w:rsidRPr="00C4311B">
        <w:rPr>
          <w:rFonts w:ascii="Calibri" w:hAnsi="Calibri"/>
          <w:b/>
        </w:rPr>
        <w:t>7. OBMIAR ROBÓT</w:t>
      </w:r>
      <w:bookmarkEnd w:id="1670"/>
    </w:p>
    <w:p w:rsidR="00052A91" w:rsidRPr="0032536C" w:rsidRDefault="00052A91" w:rsidP="000E55F0">
      <w:pPr>
        <w:ind w:left="-851" w:right="-851"/>
        <w:rPr>
          <w:rFonts w:ascii="Calibri" w:hAnsi="Calibri"/>
        </w:rPr>
      </w:pPr>
      <w:r w:rsidRPr="00C4311B">
        <w:rPr>
          <w:rFonts w:ascii="Calibri" w:hAnsi="Calibri"/>
          <w:b/>
        </w:rPr>
        <w:t>7.1.</w:t>
      </w:r>
      <w:r w:rsidRPr="0032536C">
        <w:rPr>
          <w:rFonts w:ascii="Calibri" w:hAnsi="Calibri"/>
        </w:rPr>
        <w:t xml:space="preserve"> Ogólne zasady obmiaru robót</w:t>
      </w:r>
    </w:p>
    <w:p w:rsidR="00052A91" w:rsidRPr="0032536C" w:rsidRDefault="001F742D" w:rsidP="000E55F0">
      <w:pPr>
        <w:ind w:left="-851" w:right="-851"/>
        <w:rPr>
          <w:rFonts w:ascii="Calibri" w:hAnsi="Calibri"/>
        </w:rPr>
      </w:pPr>
      <w:r>
        <w:rPr>
          <w:rFonts w:ascii="Calibri" w:hAnsi="Calibri"/>
        </w:rPr>
        <w:tab/>
      </w:r>
      <w:r w:rsidR="006630A3">
        <w:rPr>
          <w:rFonts w:ascii="Calibri" w:hAnsi="Calibri"/>
        </w:rPr>
        <w:tab/>
      </w:r>
      <w:r w:rsidR="00052A91" w:rsidRPr="0032536C">
        <w:rPr>
          <w:rFonts w:ascii="Calibri" w:hAnsi="Calibri"/>
        </w:rPr>
        <w:t>Ogólne</w:t>
      </w:r>
      <w:r w:rsidR="00052A91">
        <w:rPr>
          <w:rFonts w:ascii="Calibri" w:hAnsi="Calibri"/>
        </w:rPr>
        <w:t xml:space="preserve"> zasady obmiaru robót podano w </w:t>
      </w:r>
      <w:r w:rsidR="00052A91" w:rsidRPr="0032536C">
        <w:rPr>
          <w:rFonts w:ascii="Calibri" w:hAnsi="Calibri"/>
        </w:rPr>
        <w:t>ST D-M-00.00.00 „Wymagania ogólne” pkt 7.</w:t>
      </w:r>
    </w:p>
    <w:p w:rsidR="00052A91" w:rsidRPr="0032536C" w:rsidRDefault="00052A91" w:rsidP="000E55F0">
      <w:pPr>
        <w:ind w:left="-851" w:right="-851"/>
        <w:rPr>
          <w:rFonts w:ascii="Calibri" w:hAnsi="Calibri"/>
        </w:rPr>
      </w:pPr>
      <w:r w:rsidRPr="00C4311B">
        <w:rPr>
          <w:rFonts w:ascii="Calibri" w:hAnsi="Calibri"/>
          <w:b/>
        </w:rPr>
        <w:t>7.2.</w:t>
      </w:r>
      <w:r w:rsidRPr="0032536C">
        <w:rPr>
          <w:rFonts w:ascii="Calibri" w:hAnsi="Calibri"/>
        </w:rPr>
        <w:t xml:space="preserve"> Jednostka obmiarowa</w:t>
      </w:r>
    </w:p>
    <w:p w:rsidR="00052A91" w:rsidRPr="0032536C" w:rsidRDefault="001F742D" w:rsidP="000E55F0">
      <w:pPr>
        <w:ind w:left="-851" w:right="-851"/>
        <w:rPr>
          <w:rFonts w:ascii="Calibri" w:hAnsi="Calibri"/>
        </w:rPr>
      </w:pPr>
      <w:r>
        <w:rPr>
          <w:rFonts w:ascii="Calibri" w:hAnsi="Calibri"/>
        </w:rPr>
        <w:tab/>
      </w:r>
      <w:r w:rsidR="006630A3">
        <w:rPr>
          <w:rFonts w:ascii="Calibri" w:hAnsi="Calibri"/>
        </w:rPr>
        <w:tab/>
      </w:r>
      <w:r w:rsidR="00052A91" w:rsidRPr="0032536C">
        <w:rPr>
          <w:rFonts w:ascii="Calibri" w:hAnsi="Calibri"/>
        </w:rPr>
        <w:t>Jednostką obmiarową jest:</w:t>
      </w:r>
    </w:p>
    <w:p w:rsidR="00052A91" w:rsidRPr="0032536C" w:rsidRDefault="00052A91" w:rsidP="000E55F0">
      <w:pPr>
        <w:ind w:left="-851" w:right="-851"/>
        <w:rPr>
          <w:rFonts w:ascii="Calibri" w:hAnsi="Calibri"/>
        </w:rPr>
      </w:pPr>
      <w:r>
        <w:rPr>
          <w:rFonts w:ascii="Calibri" w:hAnsi="Calibri"/>
        </w:rPr>
        <w:t>-</w:t>
      </w:r>
      <w:r w:rsidRPr="0032536C">
        <w:rPr>
          <w:rFonts w:ascii="Calibri" w:hAnsi="Calibri"/>
        </w:rPr>
        <w:t>m2 (metr kwadratowy) wykonania: trawników i kwietników z roślin jednorocznych, dwuletnich i wieloletnich (oprócz roślin cebulkowych i róż),</w:t>
      </w:r>
    </w:p>
    <w:p w:rsidR="00052A91" w:rsidRPr="0032536C" w:rsidRDefault="00052A91" w:rsidP="000E55F0">
      <w:pPr>
        <w:ind w:left="-851" w:right="-851"/>
        <w:rPr>
          <w:rFonts w:ascii="Calibri" w:hAnsi="Calibri"/>
        </w:rPr>
      </w:pPr>
      <w:r>
        <w:rPr>
          <w:rFonts w:ascii="Calibri" w:hAnsi="Calibri"/>
        </w:rPr>
        <w:t>-</w:t>
      </w:r>
      <w:r w:rsidRPr="0032536C">
        <w:rPr>
          <w:rFonts w:ascii="Calibri" w:hAnsi="Calibri"/>
        </w:rPr>
        <w:t>szt. (sztuka) wykonania posadzenia drzewa lub krzewu oraz roślin cebulkowych i róż na kwietnikach.</w:t>
      </w:r>
    </w:p>
    <w:p w:rsidR="00052A91" w:rsidRDefault="00052A91" w:rsidP="000E55F0">
      <w:pPr>
        <w:ind w:left="-851" w:right="-851"/>
        <w:rPr>
          <w:rFonts w:ascii="Calibri" w:hAnsi="Calibri"/>
        </w:rPr>
      </w:pPr>
      <w:bookmarkStart w:id="1671" w:name="_Toc428677180"/>
    </w:p>
    <w:p w:rsidR="00052A91" w:rsidRPr="00C4311B" w:rsidRDefault="00052A91" w:rsidP="000E55F0">
      <w:pPr>
        <w:ind w:left="-851" w:right="-851"/>
        <w:rPr>
          <w:rFonts w:ascii="Calibri" w:hAnsi="Calibri"/>
          <w:b/>
        </w:rPr>
      </w:pPr>
      <w:r w:rsidRPr="00C4311B">
        <w:rPr>
          <w:rFonts w:ascii="Calibri" w:hAnsi="Calibri"/>
          <w:b/>
        </w:rPr>
        <w:t>8. ODBIÓR ROBÓT</w:t>
      </w:r>
      <w:bookmarkEnd w:id="1671"/>
    </w:p>
    <w:p w:rsidR="00052A91" w:rsidRPr="0032536C" w:rsidRDefault="001F742D" w:rsidP="000E55F0">
      <w:pPr>
        <w:ind w:left="-851" w:right="-851"/>
        <w:rPr>
          <w:rFonts w:ascii="Calibri" w:hAnsi="Calibri"/>
        </w:rPr>
      </w:pPr>
      <w:r>
        <w:rPr>
          <w:rFonts w:ascii="Calibri" w:hAnsi="Calibri"/>
        </w:rPr>
        <w:tab/>
      </w:r>
      <w:r w:rsidR="006630A3">
        <w:rPr>
          <w:rFonts w:ascii="Calibri" w:hAnsi="Calibri"/>
        </w:rPr>
        <w:tab/>
      </w:r>
      <w:r w:rsidR="00052A91" w:rsidRPr="0032536C">
        <w:rPr>
          <w:rFonts w:ascii="Calibri" w:hAnsi="Calibri"/>
        </w:rPr>
        <w:t>Ogólne</w:t>
      </w:r>
      <w:r w:rsidR="00052A91">
        <w:rPr>
          <w:rFonts w:ascii="Calibri" w:hAnsi="Calibri"/>
        </w:rPr>
        <w:t xml:space="preserve"> zasady odbioru robót podano w </w:t>
      </w:r>
      <w:r w:rsidR="00052A91" w:rsidRPr="0032536C">
        <w:rPr>
          <w:rFonts w:ascii="Calibri" w:hAnsi="Calibri"/>
        </w:rPr>
        <w:t>ST D-M-00.00.00 „Wymagania ogólne” pkt 8.</w:t>
      </w:r>
    </w:p>
    <w:p w:rsidR="00052A91" w:rsidRPr="0032536C" w:rsidRDefault="001F742D" w:rsidP="000E55F0">
      <w:pPr>
        <w:ind w:left="-851" w:right="-851"/>
        <w:rPr>
          <w:rFonts w:ascii="Calibri" w:hAnsi="Calibri"/>
        </w:rPr>
      </w:pPr>
      <w:r>
        <w:rPr>
          <w:rFonts w:ascii="Calibri" w:hAnsi="Calibri"/>
        </w:rPr>
        <w:tab/>
      </w:r>
      <w:r w:rsidR="006630A3">
        <w:rPr>
          <w:rFonts w:ascii="Calibri" w:hAnsi="Calibri"/>
        </w:rPr>
        <w:tab/>
      </w:r>
      <w:r w:rsidR="00052A91" w:rsidRPr="0032536C">
        <w:rPr>
          <w:rFonts w:ascii="Calibri" w:hAnsi="Calibri"/>
        </w:rPr>
        <w:t>Roboty uznaje się za wykonane zgod</w:t>
      </w:r>
      <w:r w:rsidR="00052A91">
        <w:rPr>
          <w:rFonts w:ascii="Calibri" w:hAnsi="Calibri"/>
        </w:rPr>
        <w:t xml:space="preserve">nie z dokumentacją projektową, </w:t>
      </w:r>
      <w:r w:rsidR="00052A91" w:rsidRPr="0032536C">
        <w:rPr>
          <w:rFonts w:ascii="Calibri" w:hAnsi="Calibri"/>
        </w:rPr>
        <w:t>ST i wymaganiami Inżyniera, jeżeli wszystkie pomiary i badania z zachowaniem tolerancji wg pkt 6 dały wyniki pozytywne.</w:t>
      </w:r>
    </w:p>
    <w:p w:rsidR="000C41EC" w:rsidRDefault="000C41EC" w:rsidP="000E55F0">
      <w:pPr>
        <w:ind w:left="-851" w:right="-851"/>
        <w:rPr>
          <w:rFonts w:ascii="Calibri" w:hAnsi="Calibri"/>
        </w:rPr>
      </w:pPr>
      <w:bookmarkStart w:id="1672" w:name="_Toc428677181"/>
    </w:p>
    <w:p w:rsidR="00052A91" w:rsidRPr="00C4311B" w:rsidRDefault="00052A91" w:rsidP="000E55F0">
      <w:pPr>
        <w:ind w:left="-851" w:right="-851"/>
        <w:rPr>
          <w:rFonts w:ascii="Calibri" w:hAnsi="Calibri"/>
          <w:b/>
        </w:rPr>
      </w:pPr>
      <w:r w:rsidRPr="00C4311B">
        <w:rPr>
          <w:rFonts w:ascii="Calibri" w:hAnsi="Calibri"/>
          <w:b/>
        </w:rPr>
        <w:t>9. PODSTAWA PŁATNOŚCI</w:t>
      </w:r>
      <w:bookmarkEnd w:id="1672"/>
    </w:p>
    <w:p w:rsidR="00052A91" w:rsidRPr="0032536C" w:rsidRDefault="00052A91" w:rsidP="000E55F0">
      <w:pPr>
        <w:ind w:left="-851" w:right="-851"/>
        <w:rPr>
          <w:rFonts w:ascii="Calibri" w:hAnsi="Calibri"/>
        </w:rPr>
      </w:pPr>
      <w:r w:rsidRPr="00C4311B">
        <w:rPr>
          <w:rFonts w:ascii="Calibri" w:hAnsi="Calibri"/>
          <w:b/>
        </w:rPr>
        <w:t>9.1.</w:t>
      </w:r>
      <w:r w:rsidRPr="0032536C">
        <w:rPr>
          <w:rFonts w:ascii="Calibri" w:hAnsi="Calibri"/>
        </w:rPr>
        <w:t xml:space="preserve"> Ogólne ustalenia dotyczące podstawy płatności</w:t>
      </w:r>
    </w:p>
    <w:p w:rsidR="00052A91" w:rsidRPr="0032536C" w:rsidRDefault="001F742D" w:rsidP="000E55F0">
      <w:pPr>
        <w:ind w:left="-851" w:right="-851"/>
        <w:rPr>
          <w:rFonts w:ascii="Calibri" w:hAnsi="Calibri"/>
        </w:rPr>
      </w:pPr>
      <w:r>
        <w:rPr>
          <w:rFonts w:ascii="Calibri" w:hAnsi="Calibri"/>
        </w:rPr>
        <w:tab/>
      </w:r>
      <w:r w:rsidR="006630A3">
        <w:rPr>
          <w:rFonts w:ascii="Calibri" w:hAnsi="Calibri"/>
        </w:rPr>
        <w:tab/>
      </w:r>
      <w:r w:rsidR="00052A91" w:rsidRPr="0032536C">
        <w:rPr>
          <w:rFonts w:ascii="Calibri" w:hAnsi="Calibri"/>
        </w:rPr>
        <w:t>Ogólne ustalenia dotyczą</w:t>
      </w:r>
      <w:r w:rsidR="00052A91">
        <w:rPr>
          <w:rFonts w:ascii="Calibri" w:hAnsi="Calibri"/>
        </w:rPr>
        <w:t xml:space="preserve">ce podstawy płatności podano w </w:t>
      </w:r>
      <w:r w:rsidR="00052A91" w:rsidRPr="0032536C">
        <w:rPr>
          <w:rFonts w:ascii="Calibri" w:hAnsi="Calibri"/>
        </w:rPr>
        <w:t>ST D-M-00.00.00 „Wymagania ogólne” pkt 9.</w:t>
      </w:r>
    </w:p>
    <w:p w:rsidR="00052A91" w:rsidRPr="0032536C" w:rsidRDefault="00052A91" w:rsidP="000E55F0">
      <w:pPr>
        <w:ind w:left="-851" w:right="-851"/>
        <w:rPr>
          <w:rFonts w:ascii="Calibri" w:hAnsi="Calibri"/>
        </w:rPr>
      </w:pPr>
      <w:r w:rsidRPr="00C4311B">
        <w:rPr>
          <w:rFonts w:ascii="Calibri" w:hAnsi="Calibri"/>
          <w:b/>
        </w:rPr>
        <w:t>9.2.</w:t>
      </w:r>
      <w:r w:rsidRPr="0032536C">
        <w:rPr>
          <w:rFonts w:ascii="Calibri" w:hAnsi="Calibri"/>
        </w:rPr>
        <w:t xml:space="preserve"> Cena jednostki obmiarowej</w:t>
      </w:r>
    </w:p>
    <w:p w:rsidR="00052A91" w:rsidRPr="0032536C" w:rsidRDefault="001F742D" w:rsidP="000E55F0">
      <w:pPr>
        <w:ind w:left="-851" w:right="-851"/>
        <w:rPr>
          <w:rFonts w:ascii="Calibri" w:hAnsi="Calibri"/>
        </w:rPr>
      </w:pPr>
      <w:r>
        <w:rPr>
          <w:rFonts w:ascii="Calibri" w:hAnsi="Calibri"/>
        </w:rPr>
        <w:tab/>
      </w:r>
      <w:r w:rsidR="006630A3">
        <w:rPr>
          <w:rFonts w:ascii="Calibri" w:hAnsi="Calibri"/>
        </w:rPr>
        <w:tab/>
      </w:r>
      <w:r w:rsidR="00052A91" w:rsidRPr="0032536C">
        <w:rPr>
          <w:rFonts w:ascii="Calibri" w:hAnsi="Calibri"/>
        </w:rPr>
        <w:t>Cena wykonania 1 m2 trawnika obejmuje:</w:t>
      </w:r>
    </w:p>
    <w:p w:rsidR="00052A91" w:rsidRPr="0032536C" w:rsidRDefault="00052A91" w:rsidP="000E55F0">
      <w:pPr>
        <w:ind w:left="-851" w:right="-851"/>
        <w:rPr>
          <w:rFonts w:ascii="Calibri" w:hAnsi="Calibri"/>
        </w:rPr>
      </w:pPr>
      <w:r>
        <w:rPr>
          <w:rFonts w:ascii="Calibri" w:hAnsi="Calibri"/>
        </w:rPr>
        <w:t>-</w:t>
      </w:r>
      <w:r w:rsidRPr="0032536C">
        <w:rPr>
          <w:rFonts w:ascii="Calibri" w:hAnsi="Calibri"/>
        </w:rPr>
        <w:t>roboty przygotowawcze: oczyszczenie terenu, dowóz ziemi urodzajnej, rozścielenie ziemi urodzajnej, rozrzucenie kompostu,</w:t>
      </w:r>
    </w:p>
    <w:p w:rsidR="00052A91" w:rsidRPr="0032536C" w:rsidRDefault="00052A91" w:rsidP="000E55F0">
      <w:pPr>
        <w:ind w:left="-851" w:right="-851"/>
        <w:rPr>
          <w:rFonts w:ascii="Calibri" w:hAnsi="Calibri"/>
        </w:rPr>
      </w:pPr>
      <w:r>
        <w:rPr>
          <w:rFonts w:ascii="Calibri" w:hAnsi="Calibri"/>
        </w:rPr>
        <w:t>-</w:t>
      </w:r>
      <w:r w:rsidRPr="0032536C">
        <w:rPr>
          <w:rFonts w:ascii="Calibri" w:hAnsi="Calibri"/>
        </w:rPr>
        <w:t>zakładanie trawników,</w:t>
      </w:r>
    </w:p>
    <w:p w:rsidR="00052A91" w:rsidRPr="0032536C" w:rsidRDefault="00052A91" w:rsidP="000E55F0">
      <w:pPr>
        <w:ind w:left="-851" w:right="-851"/>
        <w:rPr>
          <w:rFonts w:ascii="Calibri" w:hAnsi="Calibri"/>
        </w:rPr>
      </w:pPr>
      <w:r>
        <w:rPr>
          <w:rFonts w:ascii="Calibri" w:hAnsi="Calibri"/>
        </w:rPr>
        <w:t>-</w:t>
      </w:r>
      <w:r w:rsidRPr="0032536C">
        <w:rPr>
          <w:rFonts w:ascii="Calibri" w:hAnsi="Calibri"/>
        </w:rPr>
        <w:t>pielęgnację trawników: podlewanie, koszenie, nawożenie, odchwaszczanie.</w:t>
      </w:r>
    </w:p>
    <w:p w:rsidR="00052A91" w:rsidRPr="0032536C" w:rsidRDefault="001F742D" w:rsidP="000E55F0">
      <w:pPr>
        <w:ind w:left="-851" w:right="-851"/>
        <w:rPr>
          <w:rFonts w:ascii="Calibri" w:hAnsi="Calibri"/>
        </w:rPr>
      </w:pPr>
      <w:r>
        <w:rPr>
          <w:rFonts w:ascii="Calibri" w:hAnsi="Calibri"/>
        </w:rPr>
        <w:tab/>
      </w:r>
      <w:r w:rsidR="006630A3">
        <w:rPr>
          <w:rFonts w:ascii="Calibri" w:hAnsi="Calibri"/>
        </w:rPr>
        <w:tab/>
      </w:r>
      <w:r w:rsidR="00052A91" w:rsidRPr="0032536C">
        <w:rPr>
          <w:rFonts w:ascii="Calibri" w:hAnsi="Calibri"/>
        </w:rPr>
        <w:t>Cena wykonania 1 m2 kwietnika obejmuje:</w:t>
      </w:r>
    </w:p>
    <w:p w:rsidR="00052A91" w:rsidRPr="0032536C" w:rsidRDefault="00052A91" w:rsidP="000E55F0">
      <w:pPr>
        <w:ind w:left="-851" w:right="-851"/>
        <w:rPr>
          <w:rFonts w:ascii="Calibri" w:hAnsi="Calibri"/>
        </w:rPr>
      </w:pPr>
      <w:r>
        <w:rPr>
          <w:rFonts w:ascii="Calibri" w:hAnsi="Calibri"/>
        </w:rPr>
        <w:t>-</w:t>
      </w:r>
      <w:r w:rsidRPr="0032536C">
        <w:rPr>
          <w:rFonts w:ascii="Calibri" w:hAnsi="Calibri"/>
        </w:rPr>
        <w:t>przygotowanie podłoża (wymiana gleby, dodanie kompostu),</w:t>
      </w:r>
    </w:p>
    <w:p w:rsidR="00052A91" w:rsidRPr="0032536C" w:rsidRDefault="00052A91" w:rsidP="000E55F0">
      <w:pPr>
        <w:ind w:left="-851" w:right="-851"/>
        <w:rPr>
          <w:rFonts w:ascii="Calibri" w:hAnsi="Calibri"/>
        </w:rPr>
      </w:pPr>
      <w:r>
        <w:rPr>
          <w:rFonts w:ascii="Calibri" w:hAnsi="Calibri"/>
        </w:rPr>
        <w:t>-</w:t>
      </w:r>
      <w:r w:rsidRPr="0032536C">
        <w:rPr>
          <w:rFonts w:ascii="Calibri" w:hAnsi="Calibri"/>
        </w:rPr>
        <w:t>dostarczenie i zasadzenie materiału roślinnego zgodnie z dokumentacją projektową,</w:t>
      </w:r>
    </w:p>
    <w:p w:rsidR="00052A91" w:rsidRPr="0032536C" w:rsidRDefault="00052A91" w:rsidP="000E55F0">
      <w:pPr>
        <w:ind w:left="-851" w:right="-851"/>
        <w:rPr>
          <w:rFonts w:ascii="Calibri" w:hAnsi="Calibri"/>
        </w:rPr>
      </w:pPr>
      <w:r>
        <w:rPr>
          <w:rFonts w:ascii="Calibri" w:hAnsi="Calibri"/>
        </w:rPr>
        <w:t>-</w:t>
      </w:r>
      <w:r w:rsidRPr="0032536C">
        <w:rPr>
          <w:rFonts w:ascii="Calibri" w:hAnsi="Calibri"/>
        </w:rPr>
        <w:t>zasadzenie materiału roślinnego,</w:t>
      </w:r>
    </w:p>
    <w:p w:rsidR="00052A91" w:rsidRPr="0032536C" w:rsidRDefault="00052A91" w:rsidP="000E55F0">
      <w:pPr>
        <w:ind w:left="-851" w:right="-851"/>
        <w:rPr>
          <w:rFonts w:ascii="Calibri" w:hAnsi="Calibri"/>
        </w:rPr>
      </w:pPr>
      <w:r>
        <w:rPr>
          <w:rFonts w:ascii="Calibri" w:hAnsi="Calibri"/>
        </w:rPr>
        <w:t>-</w:t>
      </w:r>
      <w:r w:rsidRPr="0032536C">
        <w:rPr>
          <w:rFonts w:ascii="Calibri" w:hAnsi="Calibri"/>
        </w:rPr>
        <w:t>pielęgnację: podlewanie, odchwaszczanie, nawożenie, zabezpieczenie na okres zimy.</w:t>
      </w:r>
    </w:p>
    <w:p w:rsidR="00052A91" w:rsidRPr="0032536C" w:rsidRDefault="001F742D" w:rsidP="000E55F0">
      <w:pPr>
        <w:ind w:left="-851" w:right="-851"/>
        <w:rPr>
          <w:rFonts w:ascii="Calibri" w:hAnsi="Calibri"/>
        </w:rPr>
      </w:pPr>
      <w:r>
        <w:rPr>
          <w:rFonts w:ascii="Calibri" w:hAnsi="Calibri"/>
        </w:rPr>
        <w:lastRenderedPageBreak/>
        <w:tab/>
      </w:r>
      <w:r w:rsidR="006630A3">
        <w:rPr>
          <w:rFonts w:ascii="Calibri" w:hAnsi="Calibri"/>
        </w:rPr>
        <w:tab/>
      </w:r>
      <w:r w:rsidR="00052A91" w:rsidRPr="0032536C">
        <w:rPr>
          <w:rFonts w:ascii="Calibri" w:hAnsi="Calibri"/>
        </w:rPr>
        <w:t>Cena posadzenia 1 sztuki drzewa lub krzewu obejmuje:</w:t>
      </w:r>
    </w:p>
    <w:p w:rsidR="00052A91" w:rsidRPr="0032536C" w:rsidRDefault="00052A91" w:rsidP="000E55F0">
      <w:pPr>
        <w:ind w:left="-851" w:right="-851"/>
        <w:rPr>
          <w:rFonts w:ascii="Calibri" w:hAnsi="Calibri"/>
        </w:rPr>
      </w:pPr>
      <w:r>
        <w:rPr>
          <w:rFonts w:ascii="Calibri" w:hAnsi="Calibri"/>
        </w:rPr>
        <w:t>-</w:t>
      </w:r>
      <w:r w:rsidRPr="0032536C">
        <w:rPr>
          <w:rFonts w:ascii="Calibri" w:hAnsi="Calibri"/>
        </w:rPr>
        <w:t>roboty przygotowawcze: wyznaczenie miejsc sadzenia, wykopanie i zaprawienie dołków,</w:t>
      </w:r>
    </w:p>
    <w:p w:rsidR="00052A91" w:rsidRPr="0032536C" w:rsidRDefault="00052A91" w:rsidP="000E55F0">
      <w:pPr>
        <w:ind w:left="-851" w:right="-851"/>
        <w:rPr>
          <w:rFonts w:ascii="Calibri" w:hAnsi="Calibri"/>
        </w:rPr>
      </w:pPr>
      <w:r>
        <w:rPr>
          <w:rFonts w:ascii="Calibri" w:hAnsi="Calibri"/>
        </w:rPr>
        <w:t>-</w:t>
      </w:r>
      <w:r w:rsidRPr="0032536C">
        <w:rPr>
          <w:rFonts w:ascii="Calibri" w:hAnsi="Calibri"/>
        </w:rPr>
        <w:t>dostarczenie materiału roślinnego,</w:t>
      </w:r>
    </w:p>
    <w:p w:rsidR="00052A91" w:rsidRPr="0032536C" w:rsidRDefault="00052A91" w:rsidP="000E55F0">
      <w:pPr>
        <w:ind w:left="-851" w:right="-851"/>
        <w:rPr>
          <w:rFonts w:ascii="Calibri" w:hAnsi="Calibri"/>
        </w:rPr>
      </w:pPr>
      <w:r>
        <w:rPr>
          <w:rFonts w:ascii="Calibri" w:hAnsi="Calibri"/>
        </w:rPr>
        <w:t>-</w:t>
      </w:r>
      <w:r w:rsidRPr="0032536C">
        <w:rPr>
          <w:rFonts w:ascii="Calibri" w:hAnsi="Calibri"/>
        </w:rPr>
        <w:t>pielęgnację posadzonych drzew i krzewów: podlewanie, odchwaszczanie, nawożenie.</w:t>
      </w:r>
    </w:p>
    <w:p w:rsidR="0073077E" w:rsidRDefault="0073077E" w:rsidP="000E55F0">
      <w:pPr>
        <w:pStyle w:val="Nagwek1"/>
        <w:ind w:left="-851" w:right="-851"/>
        <w:jc w:val="center"/>
      </w:pPr>
    </w:p>
    <w:p w:rsidR="0073077E" w:rsidRDefault="0073077E" w:rsidP="000E55F0">
      <w:pPr>
        <w:pStyle w:val="Nagwek1"/>
        <w:ind w:left="-851" w:right="-851"/>
        <w:jc w:val="center"/>
      </w:pPr>
    </w:p>
    <w:p w:rsidR="0073077E" w:rsidRDefault="0073077E" w:rsidP="000E55F0">
      <w:pPr>
        <w:pStyle w:val="Nagwek1"/>
        <w:ind w:left="-851" w:right="-851"/>
        <w:jc w:val="center"/>
      </w:pPr>
    </w:p>
    <w:p w:rsidR="0073077E" w:rsidRDefault="0073077E" w:rsidP="000E55F0">
      <w:pPr>
        <w:pStyle w:val="Nagwek1"/>
        <w:ind w:left="-851" w:right="-851"/>
        <w:jc w:val="center"/>
      </w:pPr>
    </w:p>
    <w:p w:rsidR="000E55F0" w:rsidRDefault="000E55F0" w:rsidP="000E55F0">
      <w:pPr>
        <w:ind w:left="-851" w:right="-851"/>
        <w:rPr>
          <w:rFonts w:asciiTheme="minorHAnsi" w:hAnsiTheme="minorHAnsi"/>
        </w:rPr>
      </w:pPr>
    </w:p>
    <w:p w:rsidR="000E55F0" w:rsidRDefault="000E55F0" w:rsidP="000E55F0">
      <w:pPr>
        <w:pStyle w:val="Nagwek1"/>
        <w:ind w:left="-851" w:right="-851"/>
        <w:rPr>
          <w:rFonts w:asciiTheme="minorHAnsi" w:hAnsiTheme="minorHAnsi"/>
        </w:rPr>
      </w:pPr>
    </w:p>
    <w:p w:rsidR="006630A3" w:rsidRDefault="006630A3" w:rsidP="006630A3"/>
    <w:p w:rsidR="006630A3" w:rsidRDefault="006630A3" w:rsidP="006630A3"/>
    <w:p w:rsidR="006630A3" w:rsidRDefault="006630A3" w:rsidP="006630A3"/>
    <w:p w:rsidR="006630A3" w:rsidRDefault="006630A3" w:rsidP="006630A3"/>
    <w:p w:rsidR="006630A3" w:rsidRDefault="006630A3" w:rsidP="006630A3"/>
    <w:p w:rsidR="006630A3" w:rsidRDefault="006630A3" w:rsidP="006630A3"/>
    <w:p w:rsidR="006630A3" w:rsidRDefault="006630A3" w:rsidP="006630A3"/>
    <w:p w:rsidR="006630A3" w:rsidRDefault="006630A3" w:rsidP="006630A3"/>
    <w:p w:rsidR="006630A3" w:rsidRDefault="006630A3" w:rsidP="006630A3"/>
    <w:p w:rsidR="006630A3" w:rsidRDefault="006630A3" w:rsidP="006630A3"/>
    <w:p w:rsidR="006630A3" w:rsidRDefault="006630A3" w:rsidP="006630A3"/>
    <w:p w:rsidR="006630A3" w:rsidRDefault="006630A3" w:rsidP="006630A3"/>
    <w:p w:rsidR="006630A3" w:rsidRDefault="006630A3" w:rsidP="006630A3"/>
    <w:p w:rsidR="006630A3" w:rsidRDefault="006630A3" w:rsidP="006630A3"/>
    <w:p w:rsidR="006630A3" w:rsidRDefault="006630A3" w:rsidP="006630A3"/>
    <w:p w:rsidR="006630A3" w:rsidRDefault="006630A3" w:rsidP="006630A3"/>
    <w:p w:rsidR="006630A3" w:rsidRDefault="006630A3" w:rsidP="006630A3"/>
    <w:p w:rsidR="006630A3" w:rsidRDefault="006630A3" w:rsidP="006630A3"/>
    <w:p w:rsidR="006630A3" w:rsidRDefault="006630A3" w:rsidP="006630A3"/>
    <w:p w:rsidR="006630A3" w:rsidRDefault="006630A3" w:rsidP="006630A3"/>
    <w:p w:rsidR="006630A3" w:rsidRDefault="006630A3" w:rsidP="006630A3"/>
    <w:p w:rsidR="006630A3" w:rsidRDefault="006630A3" w:rsidP="006630A3"/>
    <w:p w:rsidR="006630A3" w:rsidRDefault="006630A3" w:rsidP="006630A3"/>
    <w:p w:rsidR="006630A3" w:rsidRDefault="006630A3" w:rsidP="006630A3"/>
    <w:p w:rsidR="006630A3" w:rsidRDefault="006630A3" w:rsidP="006630A3"/>
    <w:p w:rsidR="006630A3" w:rsidRDefault="006630A3" w:rsidP="006630A3"/>
    <w:p w:rsidR="006630A3" w:rsidRDefault="006630A3" w:rsidP="006630A3"/>
    <w:p w:rsidR="006630A3" w:rsidRDefault="006630A3" w:rsidP="006630A3"/>
    <w:p w:rsidR="006630A3" w:rsidRDefault="006630A3" w:rsidP="006630A3"/>
    <w:p w:rsidR="006630A3" w:rsidRDefault="006630A3" w:rsidP="006630A3"/>
    <w:p w:rsidR="006630A3" w:rsidRDefault="006630A3" w:rsidP="006630A3"/>
    <w:p w:rsidR="006630A3" w:rsidRDefault="006630A3" w:rsidP="006630A3"/>
    <w:p w:rsidR="006630A3" w:rsidRDefault="006630A3" w:rsidP="006630A3"/>
    <w:p w:rsidR="006630A3" w:rsidRDefault="006630A3" w:rsidP="006630A3"/>
    <w:p w:rsidR="006630A3" w:rsidRDefault="006630A3" w:rsidP="006630A3"/>
    <w:p w:rsidR="006630A3" w:rsidRDefault="006630A3" w:rsidP="006630A3"/>
    <w:p w:rsidR="006630A3" w:rsidRDefault="006630A3" w:rsidP="006630A3"/>
    <w:p w:rsidR="006630A3" w:rsidRDefault="006630A3" w:rsidP="006630A3"/>
    <w:p w:rsidR="006630A3" w:rsidRDefault="006630A3" w:rsidP="006630A3"/>
    <w:p w:rsidR="006630A3" w:rsidRDefault="006630A3" w:rsidP="006630A3"/>
    <w:p w:rsidR="006630A3" w:rsidRDefault="006630A3" w:rsidP="006630A3"/>
    <w:p w:rsidR="006630A3" w:rsidRDefault="006630A3" w:rsidP="006630A3"/>
    <w:p w:rsidR="006630A3" w:rsidRDefault="006630A3" w:rsidP="006630A3"/>
    <w:p w:rsidR="006630A3" w:rsidRPr="006630A3" w:rsidRDefault="006630A3" w:rsidP="006630A3"/>
    <w:p w:rsidR="000E55F0" w:rsidRPr="00551BAB" w:rsidRDefault="000E55F0" w:rsidP="000E55F0">
      <w:pPr>
        <w:pStyle w:val="Nagwek1"/>
        <w:ind w:left="-851" w:right="-851"/>
        <w:rPr>
          <w:rFonts w:asciiTheme="minorHAnsi" w:hAnsiTheme="minorHAnsi"/>
        </w:rPr>
      </w:pPr>
    </w:p>
    <w:p w:rsidR="000E55F0" w:rsidRPr="00551BAB" w:rsidRDefault="000E55F0" w:rsidP="000E55F0">
      <w:pPr>
        <w:pStyle w:val="Nagwek1"/>
        <w:jc w:val="center"/>
      </w:pPr>
      <w:bookmarkStart w:id="1673" w:name="_Toc404983756"/>
      <w:bookmarkStart w:id="1674" w:name="_Toc438237745"/>
      <w:r w:rsidRPr="00551BAB">
        <w:t>D-10.06.01 ZATOKI AUTOBUSOWE</w:t>
      </w:r>
      <w:bookmarkEnd w:id="1673"/>
      <w:bookmarkEnd w:id="1674"/>
    </w:p>
    <w:p w:rsidR="000E55F0" w:rsidRPr="00551BAB" w:rsidRDefault="000E55F0" w:rsidP="000E55F0">
      <w:pPr>
        <w:ind w:left="-851" w:right="-851"/>
        <w:rPr>
          <w:rFonts w:asciiTheme="minorHAnsi" w:hAnsiTheme="minorHAnsi"/>
        </w:rPr>
      </w:pPr>
    </w:p>
    <w:p w:rsidR="000E55F0" w:rsidRPr="00551BAB" w:rsidRDefault="000E55F0" w:rsidP="000E55F0">
      <w:pPr>
        <w:ind w:left="-851" w:right="-851"/>
        <w:rPr>
          <w:rFonts w:asciiTheme="minorHAnsi" w:hAnsiTheme="minorHAnsi"/>
        </w:rPr>
      </w:pPr>
    </w:p>
    <w:p w:rsidR="000E55F0" w:rsidRPr="00551BAB" w:rsidRDefault="000E55F0" w:rsidP="000E55F0">
      <w:pPr>
        <w:ind w:left="-851" w:right="-851"/>
        <w:rPr>
          <w:rFonts w:asciiTheme="minorHAnsi" w:hAnsiTheme="minorHAnsi"/>
        </w:rPr>
      </w:pPr>
    </w:p>
    <w:p w:rsidR="000E55F0" w:rsidRPr="00551BAB" w:rsidRDefault="000E55F0" w:rsidP="000E55F0">
      <w:pPr>
        <w:ind w:left="-851" w:right="-851"/>
        <w:rPr>
          <w:rFonts w:asciiTheme="minorHAnsi" w:hAnsiTheme="minorHAnsi"/>
        </w:rPr>
      </w:pPr>
    </w:p>
    <w:p w:rsidR="000E55F0" w:rsidRPr="00551BAB" w:rsidRDefault="000E55F0" w:rsidP="000E55F0">
      <w:pPr>
        <w:ind w:left="-851" w:right="-851"/>
        <w:rPr>
          <w:rFonts w:asciiTheme="minorHAnsi" w:hAnsiTheme="minorHAnsi"/>
        </w:rPr>
      </w:pPr>
    </w:p>
    <w:p w:rsidR="000E55F0" w:rsidRPr="00551BAB" w:rsidRDefault="000E55F0" w:rsidP="000E55F0">
      <w:pPr>
        <w:ind w:left="-851" w:right="-851"/>
        <w:rPr>
          <w:rFonts w:asciiTheme="minorHAnsi" w:hAnsiTheme="minorHAnsi"/>
        </w:rPr>
      </w:pPr>
    </w:p>
    <w:p w:rsidR="000E55F0" w:rsidRPr="00551BAB" w:rsidRDefault="000E55F0" w:rsidP="000E55F0">
      <w:pPr>
        <w:ind w:left="-851" w:right="-851"/>
        <w:rPr>
          <w:rFonts w:asciiTheme="minorHAnsi" w:hAnsiTheme="minorHAnsi"/>
        </w:rPr>
      </w:pPr>
    </w:p>
    <w:p w:rsidR="000E55F0" w:rsidRPr="00551BAB" w:rsidRDefault="000E55F0" w:rsidP="000E55F0">
      <w:pPr>
        <w:ind w:left="-851" w:right="-851"/>
        <w:rPr>
          <w:rFonts w:asciiTheme="minorHAnsi" w:hAnsiTheme="minorHAnsi"/>
        </w:rPr>
      </w:pPr>
    </w:p>
    <w:p w:rsidR="000E55F0" w:rsidRPr="00551BAB" w:rsidRDefault="000E55F0" w:rsidP="000E55F0">
      <w:pPr>
        <w:ind w:left="-851" w:right="-851"/>
        <w:rPr>
          <w:rFonts w:asciiTheme="minorHAnsi" w:hAnsiTheme="minorHAnsi"/>
        </w:rPr>
      </w:pPr>
    </w:p>
    <w:p w:rsidR="000E55F0" w:rsidRPr="00551BAB" w:rsidRDefault="000E55F0" w:rsidP="000E55F0">
      <w:pPr>
        <w:ind w:left="-851" w:right="-851"/>
        <w:rPr>
          <w:rFonts w:asciiTheme="minorHAnsi" w:hAnsiTheme="minorHAnsi"/>
        </w:rPr>
      </w:pPr>
    </w:p>
    <w:p w:rsidR="000E55F0" w:rsidRPr="00551BAB" w:rsidRDefault="000E55F0" w:rsidP="000E55F0">
      <w:pPr>
        <w:ind w:left="-851" w:right="-851"/>
        <w:rPr>
          <w:rFonts w:asciiTheme="minorHAnsi" w:hAnsiTheme="minorHAnsi"/>
        </w:rPr>
      </w:pPr>
    </w:p>
    <w:p w:rsidR="000E55F0" w:rsidRPr="00551BAB" w:rsidRDefault="000E55F0" w:rsidP="000E55F0">
      <w:pPr>
        <w:ind w:left="-851" w:right="-851"/>
        <w:rPr>
          <w:rFonts w:asciiTheme="minorHAnsi" w:hAnsiTheme="minorHAnsi"/>
        </w:rPr>
      </w:pPr>
    </w:p>
    <w:p w:rsidR="000E55F0" w:rsidRPr="00551BAB" w:rsidRDefault="000E55F0" w:rsidP="000E55F0">
      <w:pPr>
        <w:ind w:left="-851" w:right="-851"/>
        <w:rPr>
          <w:rFonts w:asciiTheme="minorHAnsi" w:hAnsiTheme="minorHAnsi"/>
        </w:rPr>
        <w:sectPr w:rsidR="000E55F0" w:rsidRPr="00551BAB" w:rsidSect="00C26550">
          <w:headerReference w:type="default" r:id="rId115"/>
          <w:pgSz w:w="11907" w:h="16840" w:code="9"/>
          <w:pgMar w:top="1134" w:right="2268" w:bottom="1985" w:left="2268" w:header="1985" w:footer="629" w:gutter="0"/>
          <w:cols w:space="708"/>
          <w:titlePg/>
        </w:sectPr>
      </w:pPr>
    </w:p>
    <w:p w:rsidR="000E55F0" w:rsidRPr="00551BAB" w:rsidRDefault="000E55F0" w:rsidP="000E55F0">
      <w:pPr>
        <w:rPr>
          <w:rFonts w:asciiTheme="minorHAnsi" w:hAnsiTheme="minorHAnsi"/>
          <w:b/>
        </w:rPr>
      </w:pPr>
      <w:bookmarkStart w:id="1675" w:name="_Toc451652749"/>
      <w:r w:rsidRPr="00551BAB">
        <w:rPr>
          <w:rFonts w:asciiTheme="minorHAnsi" w:hAnsiTheme="minorHAnsi"/>
          <w:b/>
        </w:rPr>
        <w:lastRenderedPageBreak/>
        <w:t>1. WSTĘP</w:t>
      </w:r>
      <w:bookmarkEnd w:id="1675"/>
    </w:p>
    <w:p w:rsidR="000E55F0" w:rsidRPr="00551BAB" w:rsidRDefault="000E55F0" w:rsidP="000E55F0">
      <w:pPr>
        <w:rPr>
          <w:rFonts w:asciiTheme="minorHAnsi" w:hAnsiTheme="minorHAnsi"/>
        </w:rPr>
      </w:pPr>
      <w:r w:rsidRPr="00551BAB">
        <w:rPr>
          <w:rFonts w:asciiTheme="minorHAnsi" w:hAnsiTheme="minorHAnsi"/>
          <w:b/>
        </w:rPr>
        <w:t>1.1.</w:t>
      </w:r>
      <w:r w:rsidRPr="00551BAB">
        <w:rPr>
          <w:rFonts w:asciiTheme="minorHAnsi" w:hAnsiTheme="minorHAnsi"/>
        </w:rPr>
        <w:t xml:space="preserve"> Przedmiot ST</w:t>
      </w:r>
    </w:p>
    <w:p w:rsidR="000E55F0" w:rsidRPr="00551BAB" w:rsidRDefault="000E55F0" w:rsidP="000E55F0">
      <w:pPr>
        <w:rPr>
          <w:rFonts w:asciiTheme="minorHAnsi" w:hAnsiTheme="minorHAnsi"/>
        </w:rPr>
      </w:pPr>
      <w:r w:rsidRPr="00551BAB">
        <w:rPr>
          <w:rFonts w:asciiTheme="minorHAnsi" w:hAnsiTheme="minorHAnsi"/>
        </w:rPr>
        <w:t>Przedmiotem niniejszej specyfikacji technicznej (ST) są wymagania dotyczące wykonania i odbioru zatok autobusowych.</w:t>
      </w:r>
    </w:p>
    <w:p w:rsidR="000E55F0" w:rsidRPr="00551BAB" w:rsidRDefault="000E55F0" w:rsidP="000E55F0">
      <w:pPr>
        <w:rPr>
          <w:rFonts w:asciiTheme="minorHAnsi" w:hAnsiTheme="minorHAnsi"/>
        </w:rPr>
      </w:pPr>
      <w:r w:rsidRPr="00551BAB">
        <w:rPr>
          <w:rFonts w:asciiTheme="minorHAnsi" w:hAnsiTheme="minorHAnsi"/>
          <w:b/>
        </w:rPr>
        <w:t>1.2.</w:t>
      </w:r>
      <w:r w:rsidRPr="00551BAB">
        <w:rPr>
          <w:rFonts w:asciiTheme="minorHAnsi" w:hAnsiTheme="minorHAnsi"/>
        </w:rPr>
        <w:t xml:space="preserve"> Zakres stosowania ST</w:t>
      </w:r>
    </w:p>
    <w:p w:rsidR="000E55F0" w:rsidRPr="00551BAB" w:rsidRDefault="000E55F0" w:rsidP="000E55F0">
      <w:pPr>
        <w:rPr>
          <w:rFonts w:asciiTheme="minorHAnsi" w:hAnsiTheme="minorHAnsi"/>
        </w:rPr>
      </w:pPr>
      <w:r w:rsidRPr="00551BAB">
        <w:rPr>
          <w:rFonts w:asciiTheme="minorHAnsi" w:hAnsiTheme="minorHAnsi"/>
        </w:rPr>
        <w:tab/>
        <w:t>Specyfikacja techniczna określa wymagania dla wykonania i odbioru robót budowlanych przewidzianych do wykonania w ramach umowy a zawarte w niej zapisy w zakresie standardu materiałów, wykonania robót i wymaganej ich jakości oraz kontroli jakości robót należy traktować jako minimalne.</w:t>
      </w:r>
    </w:p>
    <w:p w:rsidR="000E55F0" w:rsidRPr="00551BAB" w:rsidRDefault="000E55F0" w:rsidP="000E55F0">
      <w:pPr>
        <w:rPr>
          <w:rFonts w:asciiTheme="minorHAnsi" w:hAnsiTheme="minorHAnsi"/>
        </w:rPr>
      </w:pPr>
      <w:r w:rsidRPr="00551BAB">
        <w:rPr>
          <w:rFonts w:asciiTheme="minorHAnsi" w:hAnsiTheme="minorHAnsi"/>
          <w:b/>
        </w:rPr>
        <w:t>1.3.</w:t>
      </w:r>
      <w:r w:rsidRPr="00551BAB">
        <w:rPr>
          <w:rFonts w:asciiTheme="minorHAnsi" w:hAnsiTheme="minorHAnsi"/>
        </w:rPr>
        <w:t xml:space="preserve"> Zakres robót objętych ST</w:t>
      </w:r>
    </w:p>
    <w:p w:rsidR="006630A3" w:rsidRPr="00C3299C" w:rsidRDefault="000E55F0" w:rsidP="006630A3">
      <w:pPr>
        <w:rPr>
          <w:rFonts w:asciiTheme="minorHAnsi" w:hAnsiTheme="minorHAnsi" w:cs="Calibri"/>
        </w:rPr>
      </w:pPr>
      <w:r w:rsidRPr="00551BAB">
        <w:rPr>
          <w:rFonts w:asciiTheme="minorHAnsi" w:hAnsiTheme="minorHAnsi"/>
        </w:rPr>
        <w:tab/>
        <w:t>Ustalenia zawarte w niniejszej</w:t>
      </w:r>
      <w:r w:rsidR="006630A3">
        <w:rPr>
          <w:rFonts w:asciiTheme="minorHAnsi" w:hAnsiTheme="minorHAnsi"/>
        </w:rPr>
        <w:t xml:space="preserve"> specyfikacji dotyczą wykonania zatok autobusowych </w:t>
      </w:r>
      <w:r w:rsidR="006630A3" w:rsidRPr="00C3299C">
        <w:rPr>
          <w:rFonts w:ascii="Calibri" w:hAnsi="Calibri" w:cs="Calibri"/>
        </w:rPr>
        <w:t>w związku z „</w:t>
      </w:r>
      <w:r w:rsidR="006630A3" w:rsidRPr="00C3299C">
        <w:rPr>
          <w:rFonts w:asciiTheme="minorHAnsi" w:hAnsiTheme="minorHAnsi"/>
        </w:rPr>
        <w:t>Przebudową ul.55 Pułku Piechoty w Lesznie wraz z przebudową oświetlenia”</w:t>
      </w:r>
      <w:r w:rsidR="006630A3" w:rsidRPr="00C3299C">
        <w:rPr>
          <w:rFonts w:asciiTheme="minorHAnsi" w:hAnsiTheme="minorHAnsi" w:cs="Calibri"/>
        </w:rPr>
        <w:t>.</w:t>
      </w:r>
    </w:p>
    <w:p w:rsidR="000E55F0" w:rsidRPr="00551BAB" w:rsidRDefault="000E55F0" w:rsidP="000E55F0">
      <w:pPr>
        <w:rPr>
          <w:rFonts w:asciiTheme="minorHAnsi" w:hAnsiTheme="minorHAnsi"/>
        </w:rPr>
      </w:pPr>
      <w:r w:rsidRPr="00551BAB">
        <w:rPr>
          <w:rFonts w:asciiTheme="minorHAnsi" w:hAnsiTheme="minorHAnsi"/>
          <w:b/>
        </w:rPr>
        <w:t>1.4.</w:t>
      </w:r>
      <w:r w:rsidRPr="00551BAB">
        <w:rPr>
          <w:rFonts w:asciiTheme="minorHAnsi" w:hAnsiTheme="minorHAnsi"/>
        </w:rPr>
        <w:t xml:space="preserve"> Określenia podstawowe</w:t>
      </w:r>
    </w:p>
    <w:p w:rsidR="000E55F0" w:rsidRPr="00551BAB" w:rsidRDefault="000E55F0" w:rsidP="000E55F0">
      <w:pPr>
        <w:rPr>
          <w:rFonts w:asciiTheme="minorHAnsi" w:hAnsiTheme="minorHAnsi"/>
        </w:rPr>
      </w:pPr>
      <w:r w:rsidRPr="00551BAB">
        <w:rPr>
          <w:rFonts w:asciiTheme="minorHAnsi" w:hAnsiTheme="minorHAnsi"/>
        </w:rPr>
        <w:t>Zatoka autobusowa - miejsce zatrzymania dla wymiany pasażerów, urządzone poza jezdnią i przeznaczone wyłącznie dla autobusów komunikacji zbiorowej.</w:t>
      </w:r>
    </w:p>
    <w:p w:rsidR="000E55F0" w:rsidRPr="00551BAB" w:rsidRDefault="000E55F0" w:rsidP="000E55F0">
      <w:pPr>
        <w:rPr>
          <w:rFonts w:asciiTheme="minorHAnsi" w:hAnsiTheme="minorHAnsi"/>
        </w:rPr>
      </w:pPr>
      <w:r w:rsidRPr="00551BAB">
        <w:rPr>
          <w:rFonts w:asciiTheme="minorHAnsi" w:hAnsiTheme="minorHAnsi"/>
        </w:rPr>
        <w:t xml:space="preserve">.Pozostałe określenia podstawowe są zgodne z obowiązującymi odpowiednimi polskimi normami i definicjami podanymi w ST D-M-00.00.00 „Wymagania ogólne”.       </w:t>
      </w:r>
    </w:p>
    <w:p w:rsidR="000E55F0" w:rsidRPr="00551BAB" w:rsidRDefault="000E55F0" w:rsidP="000E55F0">
      <w:pPr>
        <w:rPr>
          <w:rFonts w:asciiTheme="minorHAnsi" w:hAnsiTheme="minorHAnsi"/>
        </w:rPr>
      </w:pPr>
      <w:r w:rsidRPr="00551BAB">
        <w:rPr>
          <w:rFonts w:asciiTheme="minorHAnsi" w:hAnsiTheme="minorHAnsi"/>
          <w:b/>
        </w:rPr>
        <w:t>1.5.</w:t>
      </w:r>
      <w:r w:rsidRPr="00551BAB">
        <w:rPr>
          <w:rFonts w:asciiTheme="minorHAnsi" w:hAnsiTheme="minorHAnsi"/>
        </w:rPr>
        <w:t xml:space="preserve"> Ogólne wymagania dotyczące robót</w:t>
      </w:r>
    </w:p>
    <w:p w:rsidR="000E55F0" w:rsidRPr="00551BAB" w:rsidRDefault="000E55F0" w:rsidP="000E55F0">
      <w:pPr>
        <w:rPr>
          <w:rFonts w:asciiTheme="minorHAnsi" w:hAnsiTheme="minorHAnsi"/>
        </w:rPr>
      </w:pPr>
      <w:r w:rsidRPr="00551BAB">
        <w:rPr>
          <w:rFonts w:asciiTheme="minorHAnsi" w:hAnsiTheme="minorHAnsi"/>
        </w:rPr>
        <w:t>Ogólne wymagania dotyczące robót podano w ST D-M-00.00.00 „Wymagania ogólne”.</w:t>
      </w:r>
    </w:p>
    <w:p w:rsidR="000E55F0" w:rsidRPr="00551BAB" w:rsidRDefault="000E55F0" w:rsidP="000E55F0">
      <w:pPr>
        <w:rPr>
          <w:rFonts w:asciiTheme="minorHAnsi" w:hAnsiTheme="minorHAnsi"/>
        </w:rPr>
      </w:pPr>
    </w:p>
    <w:p w:rsidR="000E55F0" w:rsidRPr="00551BAB" w:rsidRDefault="000E55F0" w:rsidP="000E55F0">
      <w:pPr>
        <w:rPr>
          <w:rFonts w:asciiTheme="minorHAnsi" w:hAnsiTheme="minorHAnsi"/>
          <w:b/>
        </w:rPr>
      </w:pPr>
      <w:bookmarkStart w:id="1676" w:name="_Toc451652750"/>
      <w:r w:rsidRPr="00551BAB">
        <w:rPr>
          <w:rFonts w:asciiTheme="minorHAnsi" w:hAnsiTheme="minorHAnsi"/>
          <w:b/>
        </w:rPr>
        <w:t>2. MATERIAŁY</w:t>
      </w:r>
      <w:bookmarkEnd w:id="1676"/>
    </w:p>
    <w:p w:rsidR="000E55F0" w:rsidRPr="00551BAB" w:rsidRDefault="000E55F0" w:rsidP="000E55F0">
      <w:pPr>
        <w:rPr>
          <w:rFonts w:asciiTheme="minorHAnsi" w:hAnsiTheme="minorHAnsi"/>
        </w:rPr>
      </w:pPr>
      <w:r w:rsidRPr="00551BAB">
        <w:rPr>
          <w:rFonts w:asciiTheme="minorHAnsi" w:hAnsiTheme="minorHAnsi"/>
          <w:b/>
        </w:rPr>
        <w:t>2.1.</w:t>
      </w:r>
      <w:r w:rsidRPr="00551BAB">
        <w:rPr>
          <w:rFonts w:asciiTheme="minorHAnsi" w:hAnsiTheme="minorHAnsi"/>
        </w:rPr>
        <w:t xml:space="preserve"> Ogólne wymagania dotyczące materiałów</w:t>
      </w:r>
    </w:p>
    <w:p w:rsidR="000E55F0" w:rsidRPr="00551BAB" w:rsidRDefault="000E55F0" w:rsidP="000E55F0">
      <w:pPr>
        <w:rPr>
          <w:rFonts w:asciiTheme="minorHAnsi" w:hAnsiTheme="minorHAnsi"/>
        </w:rPr>
      </w:pPr>
      <w:r w:rsidRPr="00551BAB">
        <w:rPr>
          <w:rFonts w:asciiTheme="minorHAnsi" w:hAnsiTheme="minorHAnsi"/>
        </w:rPr>
        <w:t>Ogólne wymagania dotyczące materiałów, ich pozyskiwania i składowania, podano w ST D-M-00.00.00 „Wymagania ogólne”.</w:t>
      </w:r>
    </w:p>
    <w:p w:rsidR="000E55F0" w:rsidRPr="00551BAB" w:rsidRDefault="000E55F0" w:rsidP="000E55F0">
      <w:pPr>
        <w:rPr>
          <w:rFonts w:asciiTheme="minorHAnsi" w:hAnsiTheme="minorHAnsi"/>
        </w:rPr>
      </w:pPr>
      <w:r w:rsidRPr="00551BAB">
        <w:rPr>
          <w:rFonts w:asciiTheme="minorHAnsi" w:hAnsiTheme="minorHAnsi"/>
          <w:b/>
        </w:rPr>
        <w:t>2.2.</w:t>
      </w:r>
      <w:r w:rsidRPr="00551BAB">
        <w:rPr>
          <w:rFonts w:asciiTheme="minorHAnsi" w:hAnsiTheme="minorHAnsi"/>
        </w:rPr>
        <w:t xml:space="preserve"> Materiały na podsypkę cementowo-piaskową</w:t>
      </w:r>
    </w:p>
    <w:p w:rsidR="000E55F0" w:rsidRPr="00551BAB" w:rsidRDefault="000E55F0" w:rsidP="000E55F0">
      <w:pPr>
        <w:rPr>
          <w:rFonts w:asciiTheme="minorHAnsi" w:hAnsiTheme="minorHAnsi"/>
        </w:rPr>
      </w:pPr>
      <w:r w:rsidRPr="00551BAB">
        <w:rPr>
          <w:rFonts w:asciiTheme="minorHAnsi" w:hAnsiTheme="minorHAnsi"/>
        </w:rPr>
        <w:tab/>
        <w:t>Piasek na podsypkę powinien spełniać wymagania wg BN-87/6774-04.</w:t>
      </w:r>
    </w:p>
    <w:p w:rsidR="000E55F0" w:rsidRPr="00551BAB" w:rsidRDefault="000E55F0" w:rsidP="000E55F0">
      <w:pPr>
        <w:rPr>
          <w:rFonts w:asciiTheme="minorHAnsi" w:hAnsiTheme="minorHAnsi"/>
        </w:rPr>
      </w:pPr>
      <w:r w:rsidRPr="00551BAB">
        <w:rPr>
          <w:rFonts w:asciiTheme="minorHAnsi" w:hAnsiTheme="minorHAnsi"/>
        </w:rPr>
        <w:tab/>
        <w:t>Cement stosowany na podsypkę cementowo-piaskową powinien być cementem portlandzkim marki 25.</w:t>
      </w:r>
    </w:p>
    <w:p w:rsidR="000E55F0" w:rsidRPr="00551BAB" w:rsidRDefault="000E55F0" w:rsidP="000E55F0">
      <w:pPr>
        <w:rPr>
          <w:rFonts w:asciiTheme="minorHAnsi" w:hAnsiTheme="minorHAnsi"/>
        </w:rPr>
      </w:pPr>
      <w:r w:rsidRPr="00551BAB">
        <w:rPr>
          <w:rFonts w:asciiTheme="minorHAnsi" w:hAnsiTheme="minorHAnsi"/>
        </w:rPr>
        <w:t>Cement powinien odpowiadać wymaganiom PN-88/B-30000. Dostarczanie i przechowywanie cementu powinno odpowiadać wymaganiom BN-88/6731-08.</w:t>
      </w:r>
    </w:p>
    <w:p w:rsidR="000E55F0" w:rsidRPr="00551BAB" w:rsidRDefault="000E55F0" w:rsidP="000E55F0">
      <w:pPr>
        <w:rPr>
          <w:rFonts w:asciiTheme="minorHAnsi" w:hAnsiTheme="minorHAnsi"/>
        </w:rPr>
      </w:pPr>
      <w:r w:rsidRPr="00551BAB">
        <w:rPr>
          <w:rFonts w:asciiTheme="minorHAnsi" w:hAnsiTheme="minorHAnsi"/>
        </w:rPr>
        <w:tab/>
        <w:t>Woda do podsypki cementowo-piaskowej powinna być „odmiany 1”, zgodnie z wymaganiami PN-88/B-32250.</w:t>
      </w:r>
    </w:p>
    <w:p w:rsidR="000E55F0" w:rsidRPr="00551BAB" w:rsidRDefault="000E55F0" w:rsidP="000E55F0">
      <w:pPr>
        <w:rPr>
          <w:rFonts w:asciiTheme="minorHAnsi" w:hAnsiTheme="minorHAnsi"/>
        </w:rPr>
      </w:pPr>
      <w:r w:rsidRPr="00551BAB">
        <w:rPr>
          <w:rFonts w:asciiTheme="minorHAnsi" w:hAnsiTheme="minorHAnsi"/>
          <w:b/>
        </w:rPr>
        <w:t>2.3.</w:t>
      </w:r>
      <w:r w:rsidRPr="00551BAB">
        <w:rPr>
          <w:rFonts w:asciiTheme="minorHAnsi" w:hAnsiTheme="minorHAnsi"/>
        </w:rPr>
        <w:t xml:space="preserve"> Krawężniki, obrzeża, płyty chodnikowe</w:t>
      </w:r>
    </w:p>
    <w:p w:rsidR="000E55F0" w:rsidRPr="00551BAB" w:rsidRDefault="000E55F0" w:rsidP="000E55F0">
      <w:pPr>
        <w:rPr>
          <w:rFonts w:asciiTheme="minorHAnsi" w:hAnsiTheme="minorHAnsi"/>
        </w:rPr>
      </w:pPr>
      <w:r w:rsidRPr="00551BAB">
        <w:rPr>
          <w:rFonts w:asciiTheme="minorHAnsi" w:hAnsiTheme="minorHAnsi"/>
        </w:rPr>
        <w:tab/>
        <w:t>Krawężniki kamienne, stosowane przy budowie zatok autobusowych, powinny odpowiadać wymaganiom odpowiedniej ST.</w:t>
      </w:r>
    </w:p>
    <w:p w:rsidR="000E55F0" w:rsidRPr="00551BAB" w:rsidRDefault="000E55F0" w:rsidP="000E55F0">
      <w:pPr>
        <w:rPr>
          <w:rFonts w:asciiTheme="minorHAnsi" w:hAnsiTheme="minorHAnsi"/>
        </w:rPr>
      </w:pPr>
      <w:r w:rsidRPr="00551BAB">
        <w:rPr>
          <w:rFonts w:asciiTheme="minorHAnsi" w:hAnsiTheme="minorHAnsi"/>
        </w:rPr>
        <w:tab/>
        <w:t>Kostka brukowa betonowa, stosowana do wykonania peronów na zatokach autobusowych powinna odpowiadać odpowiedniej ST.</w:t>
      </w:r>
    </w:p>
    <w:p w:rsidR="000E55F0" w:rsidRPr="00551BAB" w:rsidRDefault="000E55F0" w:rsidP="000E55F0">
      <w:pPr>
        <w:rPr>
          <w:rFonts w:asciiTheme="minorHAnsi" w:hAnsiTheme="minorHAnsi"/>
        </w:rPr>
      </w:pPr>
      <w:r w:rsidRPr="00551BAB">
        <w:rPr>
          <w:rFonts w:asciiTheme="minorHAnsi" w:hAnsiTheme="minorHAnsi"/>
        </w:rPr>
        <w:tab/>
        <w:t>Obrzeża chodnikowe z prefabrykatów betonowych powinny odpowiadać wymaganiom odpowiedniej ST.</w:t>
      </w:r>
    </w:p>
    <w:p w:rsidR="000E55F0" w:rsidRPr="00551BAB" w:rsidRDefault="000E55F0" w:rsidP="000E55F0">
      <w:pPr>
        <w:rPr>
          <w:rFonts w:asciiTheme="minorHAnsi" w:hAnsiTheme="minorHAnsi"/>
        </w:rPr>
      </w:pPr>
      <w:r w:rsidRPr="00551BAB">
        <w:rPr>
          <w:rFonts w:asciiTheme="minorHAnsi" w:hAnsiTheme="minorHAnsi"/>
          <w:b/>
        </w:rPr>
        <w:t>2.4.</w:t>
      </w:r>
      <w:r w:rsidRPr="00551BAB">
        <w:rPr>
          <w:rFonts w:asciiTheme="minorHAnsi" w:hAnsiTheme="minorHAnsi"/>
        </w:rPr>
        <w:t xml:space="preserve"> Materiały do nawierzchni zatok</w:t>
      </w:r>
    </w:p>
    <w:p w:rsidR="000E55F0" w:rsidRPr="00551BAB" w:rsidRDefault="000E55F0" w:rsidP="000E55F0">
      <w:pPr>
        <w:rPr>
          <w:rFonts w:asciiTheme="minorHAnsi" w:hAnsiTheme="minorHAnsi"/>
        </w:rPr>
      </w:pPr>
      <w:r w:rsidRPr="00551BAB">
        <w:rPr>
          <w:rFonts w:asciiTheme="minorHAnsi" w:hAnsiTheme="minorHAnsi"/>
        </w:rPr>
        <w:tab/>
        <w:t>Nawierzchnie zatok należy wykonać zgodnie z dokumentacją projektową.</w:t>
      </w:r>
    </w:p>
    <w:p w:rsidR="000E55F0" w:rsidRPr="00551BAB" w:rsidRDefault="000E55F0" w:rsidP="000E55F0">
      <w:pPr>
        <w:rPr>
          <w:rFonts w:asciiTheme="minorHAnsi" w:hAnsiTheme="minorHAnsi"/>
        </w:rPr>
      </w:pPr>
      <w:r w:rsidRPr="00551BAB">
        <w:rPr>
          <w:rFonts w:asciiTheme="minorHAnsi" w:hAnsiTheme="minorHAnsi"/>
        </w:rPr>
        <w:tab/>
        <w:t>Kostka kamienna powinna odpowiadać wymaganiom wg PN-58/S-96026.</w:t>
      </w:r>
    </w:p>
    <w:p w:rsidR="000E55F0" w:rsidRPr="00551BAB" w:rsidRDefault="000E55F0" w:rsidP="000E55F0">
      <w:pPr>
        <w:ind w:firstLine="709"/>
        <w:rPr>
          <w:rFonts w:asciiTheme="minorHAnsi" w:hAnsiTheme="minorHAnsi"/>
        </w:rPr>
      </w:pPr>
      <w:r w:rsidRPr="00551BAB">
        <w:rPr>
          <w:rFonts w:asciiTheme="minorHAnsi" w:hAnsiTheme="minorHAnsi"/>
        </w:rPr>
        <w:t>Fuga epoksydowa do zalania spoin kostki granitowej powinna być zgodna z dokumentacją projektową.</w:t>
      </w:r>
    </w:p>
    <w:p w:rsidR="000E55F0" w:rsidRPr="00551BAB" w:rsidRDefault="000E55F0" w:rsidP="000E55F0">
      <w:pPr>
        <w:rPr>
          <w:rFonts w:asciiTheme="minorHAnsi" w:hAnsiTheme="minorHAnsi"/>
        </w:rPr>
      </w:pPr>
      <w:r w:rsidRPr="00551BAB">
        <w:rPr>
          <w:rFonts w:asciiTheme="minorHAnsi" w:hAnsiTheme="minorHAnsi"/>
          <w:b/>
        </w:rPr>
        <w:t>2.5.</w:t>
      </w:r>
      <w:r w:rsidRPr="00551BAB">
        <w:rPr>
          <w:rFonts w:asciiTheme="minorHAnsi" w:hAnsiTheme="minorHAnsi"/>
        </w:rPr>
        <w:t xml:space="preserve"> Materiały do wykonania podbudowy</w:t>
      </w:r>
    </w:p>
    <w:p w:rsidR="000E55F0" w:rsidRPr="00551BAB" w:rsidRDefault="000E55F0" w:rsidP="000E55F0">
      <w:pPr>
        <w:rPr>
          <w:rFonts w:asciiTheme="minorHAnsi" w:hAnsiTheme="minorHAnsi"/>
        </w:rPr>
      </w:pPr>
      <w:r w:rsidRPr="00551BAB">
        <w:rPr>
          <w:rFonts w:asciiTheme="minorHAnsi" w:hAnsiTheme="minorHAnsi"/>
        </w:rPr>
        <w:tab/>
        <w:t>Materiały stosowane do podbudowy z gruntu stabilizowanego cementem powinny odpowiadać wymaganiom ST D-04.05.01a „Podbudowa i podłoże ulepszone z mieszanki kruszywa związanego hydraulicznie cementem”, a do podbudowy z betonu cementowego wg ST D-04.06.01b „Podbudowa z betonu cementowego”.</w:t>
      </w:r>
    </w:p>
    <w:p w:rsidR="000E55F0" w:rsidRPr="00551BAB" w:rsidRDefault="000E55F0" w:rsidP="000E55F0">
      <w:pPr>
        <w:rPr>
          <w:rFonts w:asciiTheme="minorHAnsi" w:hAnsiTheme="minorHAnsi"/>
        </w:rPr>
      </w:pPr>
    </w:p>
    <w:p w:rsidR="000E55F0" w:rsidRPr="00551BAB" w:rsidRDefault="000E55F0" w:rsidP="000E55F0">
      <w:pPr>
        <w:rPr>
          <w:rFonts w:asciiTheme="minorHAnsi" w:hAnsiTheme="minorHAnsi"/>
        </w:rPr>
      </w:pPr>
      <w:r w:rsidRPr="00551BAB">
        <w:rPr>
          <w:rFonts w:asciiTheme="minorHAnsi" w:hAnsiTheme="minorHAnsi"/>
          <w:b/>
        </w:rPr>
        <w:t>2.6.</w:t>
      </w:r>
      <w:r w:rsidRPr="00551BAB">
        <w:rPr>
          <w:rFonts w:asciiTheme="minorHAnsi" w:hAnsiTheme="minorHAnsi"/>
        </w:rPr>
        <w:t xml:space="preserve"> Składowanie materiałów</w:t>
      </w:r>
    </w:p>
    <w:p w:rsidR="000E55F0" w:rsidRPr="00551BAB" w:rsidRDefault="000E55F0" w:rsidP="000E55F0">
      <w:pPr>
        <w:rPr>
          <w:rFonts w:asciiTheme="minorHAnsi" w:hAnsiTheme="minorHAnsi"/>
        </w:rPr>
      </w:pPr>
      <w:r w:rsidRPr="00551BAB">
        <w:rPr>
          <w:rFonts w:asciiTheme="minorHAnsi" w:hAnsiTheme="minorHAnsi"/>
        </w:rPr>
        <w:tab/>
        <w:t>Składowanie materiałów stosowanych do wykonania zatok powinno odpowiadać wymaganiom odpowiednich ST.</w:t>
      </w:r>
    </w:p>
    <w:p w:rsidR="000E55F0" w:rsidRPr="00551BAB" w:rsidRDefault="000E55F0" w:rsidP="000E55F0">
      <w:pPr>
        <w:rPr>
          <w:rFonts w:asciiTheme="minorHAnsi" w:hAnsiTheme="minorHAnsi"/>
        </w:rPr>
      </w:pPr>
    </w:p>
    <w:p w:rsidR="000E55F0" w:rsidRPr="00551BAB" w:rsidRDefault="000E55F0" w:rsidP="000E55F0">
      <w:pPr>
        <w:rPr>
          <w:rFonts w:asciiTheme="minorHAnsi" w:hAnsiTheme="minorHAnsi"/>
          <w:b/>
        </w:rPr>
      </w:pPr>
      <w:bookmarkStart w:id="1677" w:name="_Toc451652751"/>
      <w:r w:rsidRPr="00551BAB">
        <w:rPr>
          <w:rFonts w:asciiTheme="minorHAnsi" w:hAnsiTheme="minorHAnsi"/>
          <w:b/>
        </w:rPr>
        <w:t xml:space="preserve">3. </w:t>
      </w:r>
      <w:bookmarkEnd w:id="1677"/>
      <w:r w:rsidRPr="00551BAB">
        <w:rPr>
          <w:rFonts w:asciiTheme="minorHAnsi" w:hAnsiTheme="minorHAnsi"/>
          <w:b/>
        </w:rPr>
        <w:t>SPRZĘT</w:t>
      </w:r>
    </w:p>
    <w:p w:rsidR="000E55F0" w:rsidRPr="00551BAB" w:rsidRDefault="000E55F0" w:rsidP="000E55F0">
      <w:pPr>
        <w:rPr>
          <w:rFonts w:asciiTheme="minorHAnsi" w:hAnsiTheme="minorHAnsi"/>
        </w:rPr>
      </w:pPr>
      <w:r w:rsidRPr="00551BAB">
        <w:rPr>
          <w:rFonts w:asciiTheme="minorHAnsi" w:hAnsiTheme="minorHAnsi"/>
        </w:rPr>
        <w:tab/>
        <w:t>Wymagania ogólne dotyczące sprzętu podano w ST D-M-00.00.00 „Wymagania ogólne”.</w:t>
      </w:r>
    </w:p>
    <w:p w:rsidR="000E55F0" w:rsidRPr="00551BAB" w:rsidRDefault="000E55F0" w:rsidP="000E55F0">
      <w:pPr>
        <w:rPr>
          <w:rFonts w:asciiTheme="minorHAnsi" w:hAnsiTheme="minorHAnsi"/>
        </w:rPr>
      </w:pPr>
      <w:r w:rsidRPr="00551BAB">
        <w:rPr>
          <w:rFonts w:asciiTheme="minorHAnsi" w:hAnsiTheme="minorHAnsi"/>
        </w:rPr>
        <w:tab/>
        <w:t>Do wykonania zatok należy stosować ten rodzaj sprzętu, który został podany w odpowiednich ST.</w:t>
      </w:r>
    </w:p>
    <w:p w:rsidR="000E55F0" w:rsidRDefault="000E55F0" w:rsidP="000E55F0">
      <w:pPr>
        <w:rPr>
          <w:rFonts w:asciiTheme="minorHAnsi" w:hAnsiTheme="minorHAnsi"/>
        </w:rPr>
      </w:pPr>
    </w:p>
    <w:p w:rsidR="006630A3" w:rsidRPr="00551BAB" w:rsidRDefault="006630A3" w:rsidP="000E55F0">
      <w:pPr>
        <w:rPr>
          <w:rFonts w:asciiTheme="minorHAnsi" w:hAnsiTheme="minorHAnsi"/>
        </w:rPr>
      </w:pPr>
    </w:p>
    <w:p w:rsidR="000E55F0" w:rsidRPr="00551BAB" w:rsidRDefault="000E55F0" w:rsidP="000E55F0">
      <w:pPr>
        <w:rPr>
          <w:rFonts w:asciiTheme="minorHAnsi" w:hAnsiTheme="minorHAnsi"/>
          <w:b/>
        </w:rPr>
      </w:pPr>
      <w:bookmarkStart w:id="1678" w:name="_Toc451652752"/>
      <w:r w:rsidRPr="00551BAB">
        <w:rPr>
          <w:rFonts w:asciiTheme="minorHAnsi" w:hAnsiTheme="minorHAnsi"/>
          <w:b/>
        </w:rPr>
        <w:lastRenderedPageBreak/>
        <w:t xml:space="preserve">4. </w:t>
      </w:r>
      <w:bookmarkEnd w:id="1678"/>
      <w:r w:rsidRPr="00551BAB">
        <w:rPr>
          <w:rFonts w:asciiTheme="minorHAnsi" w:hAnsiTheme="minorHAnsi"/>
          <w:b/>
        </w:rPr>
        <w:t>TRANSPORT</w:t>
      </w:r>
    </w:p>
    <w:p w:rsidR="000E55F0" w:rsidRPr="00551BAB" w:rsidRDefault="000E55F0" w:rsidP="000E55F0">
      <w:pPr>
        <w:rPr>
          <w:rFonts w:asciiTheme="minorHAnsi" w:hAnsiTheme="minorHAnsi"/>
        </w:rPr>
      </w:pPr>
      <w:r w:rsidRPr="00551BAB">
        <w:rPr>
          <w:rFonts w:asciiTheme="minorHAnsi" w:hAnsiTheme="minorHAnsi"/>
        </w:rPr>
        <w:tab/>
        <w:t>Wymagania ogólne dotyczące transportu podano w ST D-M-00.00.00 „Wymagania ogólne”.</w:t>
      </w:r>
    </w:p>
    <w:p w:rsidR="000E55F0" w:rsidRPr="00551BAB" w:rsidRDefault="000E55F0" w:rsidP="000E55F0">
      <w:pPr>
        <w:rPr>
          <w:rFonts w:asciiTheme="minorHAnsi" w:hAnsiTheme="minorHAnsi"/>
        </w:rPr>
      </w:pPr>
      <w:r w:rsidRPr="00551BAB">
        <w:rPr>
          <w:rFonts w:asciiTheme="minorHAnsi" w:hAnsiTheme="minorHAnsi"/>
        </w:rPr>
        <w:tab/>
        <w:t>Transport materiałów stosowanych do wykonania parkingów i zatok powinien odpowiadać wymaganiom odpowiednich ST.</w:t>
      </w:r>
    </w:p>
    <w:p w:rsidR="000E55F0" w:rsidRPr="00551BAB" w:rsidRDefault="000E55F0" w:rsidP="000E55F0">
      <w:pPr>
        <w:rPr>
          <w:rFonts w:asciiTheme="minorHAnsi" w:hAnsiTheme="minorHAnsi"/>
        </w:rPr>
      </w:pPr>
    </w:p>
    <w:p w:rsidR="000E55F0" w:rsidRPr="00551BAB" w:rsidRDefault="000E55F0" w:rsidP="000E55F0">
      <w:pPr>
        <w:rPr>
          <w:rFonts w:asciiTheme="minorHAnsi" w:hAnsiTheme="minorHAnsi"/>
          <w:b/>
        </w:rPr>
      </w:pPr>
      <w:bookmarkStart w:id="1679" w:name="_Toc451652753"/>
      <w:r w:rsidRPr="00551BAB">
        <w:rPr>
          <w:rFonts w:asciiTheme="minorHAnsi" w:hAnsiTheme="minorHAnsi"/>
          <w:b/>
        </w:rPr>
        <w:t xml:space="preserve">5. </w:t>
      </w:r>
      <w:bookmarkEnd w:id="1679"/>
      <w:r w:rsidRPr="00551BAB">
        <w:rPr>
          <w:rFonts w:asciiTheme="minorHAnsi" w:hAnsiTheme="minorHAnsi"/>
          <w:b/>
        </w:rPr>
        <w:t>WYKONANIE ROBÓT</w:t>
      </w:r>
    </w:p>
    <w:p w:rsidR="000E55F0" w:rsidRPr="00551BAB" w:rsidRDefault="000E55F0" w:rsidP="000E55F0">
      <w:pPr>
        <w:rPr>
          <w:rFonts w:asciiTheme="minorHAnsi" w:hAnsiTheme="minorHAnsi"/>
        </w:rPr>
      </w:pPr>
      <w:r w:rsidRPr="00551BAB">
        <w:rPr>
          <w:rFonts w:asciiTheme="minorHAnsi" w:hAnsiTheme="minorHAnsi"/>
          <w:b/>
        </w:rPr>
        <w:t>5.1.</w:t>
      </w:r>
      <w:r w:rsidRPr="00551BAB">
        <w:rPr>
          <w:rFonts w:asciiTheme="minorHAnsi" w:hAnsiTheme="minorHAnsi"/>
        </w:rPr>
        <w:t xml:space="preserve"> Ogólne zasady wykonania robót</w:t>
      </w:r>
    </w:p>
    <w:p w:rsidR="000E55F0" w:rsidRPr="00551BAB" w:rsidRDefault="000E55F0" w:rsidP="000E55F0">
      <w:pPr>
        <w:rPr>
          <w:rFonts w:asciiTheme="minorHAnsi" w:hAnsiTheme="minorHAnsi"/>
        </w:rPr>
      </w:pPr>
      <w:r w:rsidRPr="00551BAB">
        <w:rPr>
          <w:rFonts w:asciiTheme="minorHAnsi" w:hAnsiTheme="minorHAnsi"/>
        </w:rPr>
        <w:tab/>
        <w:t>Ogólne zasady wykonania robót podano w ST D-M-00.00.00 „Wymagania ogólne”.</w:t>
      </w:r>
    </w:p>
    <w:p w:rsidR="000E55F0" w:rsidRPr="00551BAB" w:rsidRDefault="000E55F0" w:rsidP="000E55F0">
      <w:pPr>
        <w:rPr>
          <w:rFonts w:asciiTheme="minorHAnsi" w:hAnsiTheme="minorHAnsi"/>
        </w:rPr>
      </w:pPr>
      <w:r w:rsidRPr="00551BAB">
        <w:rPr>
          <w:rFonts w:asciiTheme="minorHAnsi" w:hAnsiTheme="minorHAnsi"/>
          <w:b/>
        </w:rPr>
        <w:t>5.2.</w:t>
      </w:r>
      <w:r w:rsidRPr="00551BAB">
        <w:rPr>
          <w:rFonts w:asciiTheme="minorHAnsi" w:hAnsiTheme="minorHAnsi"/>
        </w:rPr>
        <w:t xml:space="preserve"> Roboty przygotowawcze</w:t>
      </w:r>
    </w:p>
    <w:p w:rsidR="000E55F0" w:rsidRPr="00551BAB" w:rsidRDefault="000E55F0" w:rsidP="000E55F0">
      <w:pPr>
        <w:rPr>
          <w:rFonts w:asciiTheme="minorHAnsi" w:hAnsiTheme="minorHAnsi"/>
        </w:rPr>
      </w:pPr>
      <w:r w:rsidRPr="00551BAB">
        <w:rPr>
          <w:rFonts w:asciiTheme="minorHAnsi" w:hAnsiTheme="minorHAnsi"/>
        </w:rPr>
        <w:tab/>
        <w:t>Roboty przygotowawcze - odtworzenie trasy, usunięcie drzew i krzewów, zdjęcie warstwy humusu oraz inne elementy robót przygotowawczych, które mogą wystąpić przy budowie zatok, należy wykonywać zgodnie z wymaganiami podanymi w ST D-01.00.00 „Roboty przygotowawcze”.</w:t>
      </w:r>
    </w:p>
    <w:p w:rsidR="000E55F0" w:rsidRPr="00551BAB" w:rsidRDefault="000E55F0" w:rsidP="000E55F0">
      <w:pPr>
        <w:rPr>
          <w:rFonts w:asciiTheme="minorHAnsi" w:hAnsiTheme="minorHAnsi"/>
        </w:rPr>
      </w:pPr>
      <w:r w:rsidRPr="00551BAB">
        <w:rPr>
          <w:rFonts w:asciiTheme="minorHAnsi" w:hAnsiTheme="minorHAnsi"/>
          <w:b/>
        </w:rPr>
        <w:t>5.3.</w:t>
      </w:r>
      <w:r w:rsidRPr="00551BAB">
        <w:rPr>
          <w:rFonts w:asciiTheme="minorHAnsi" w:hAnsiTheme="minorHAnsi"/>
        </w:rPr>
        <w:t xml:space="preserve"> Roboty ziemne</w:t>
      </w:r>
    </w:p>
    <w:p w:rsidR="000E55F0" w:rsidRPr="00551BAB" w:rsidRDefault="000E55F0" w:rsidP="000E55F0">
      <w:pPr>
        <w:rPr>
          <w:rFonts w:asciiTheme="minorHAnsi" w:hAnsiTheme="minorHAnsi"/>
        </w:rPr>
      </w:pPr>
      <w:r w:rsidRPr="00551BAB">
        <w:rPr>
          <w:rFonts w:asciiTheme="minorHAnsi" w:hAnsiTheme="minorHAnsi"/>
        </w:rPr>
        <w:tab/>
        <w:t>Roboty ziemne w wykopach należy wykonywać zgodnie z wymaganiami odpowiednich ST.</w:t>
      </w:r>
    </w:p>
    <w:p w:rsidR="000E55F0" w:rsidRPr="00551BAB" w:rsidRDefault="000E55F0" w:rsidP="000E55F0">
      <w:pPr>
        <w:rPr>
          <w:rFonts w:asciiTheme="minorHAnsi" w:hAnsiTheme="minorHAnsi"/>
        </w:rPr>
      </w:pPr>
      <w:r w:rsidRPr="00551BAB">
        <w:rPr>
          <w:rFonts w:asciiTheme="minorHAnsi" w:hAnsiTheme="minorHAnsi"/>
          <w:b/>
        </w:rPr>
        <w:t>5.4.</w:t>
      </w:r>
      <w:r w:rsidRPr="00551BAB">
        <w:rPr>
          <w:rFonts w:asciiTheme="minorHAnsi" w:hAnsiTheme="minorHAnsi"/>
        </w:rPr>
        <w:t xml:space="preserve"> Podłoże</w:t>
      </w:r>
    </w:p>
    <w:p w:rsidR="000E55F0" w:rsidRPr="00551BAB" w:rsidRDefault="000E55F0" w:rsidP="000E55F0">
      <w:pPr>
        <w:rPr>
          <w:rFonts w:asciiTheme="minorHAnsi" w:hAnsiTheme="minorHAnsi"/>
        </w:rPr>
      </w:pPr>
      <w:r w:rsidRPr="00551BAB">
        <w:rPr>
          <w:rFonts w:asciiTheme="minorHAnsi" w:hAnsiTheme="minorHAnsi"/>
        </w:rPr>
        <w:tab/>
        <w:t>Podłoże pod wykonanie konstrukcji nawierzchni parkingów i zatok powinno być przygotowane zgodnie z wymaganiami podanymi w ST D-04.01.01 „Koryto wraz z profilowaniem i zagęszczaniem podłoża”.</w:t>
      </w:r>
    </w:p>
    <w:p w:rsidR="000E55F0" w:rsidRPr="00551BAB" w:rsidRDefault="000E55F0" w:rsidP="000E55F0">
      <w:pPr>
        <w:rPr>
          <w:rFonts w:asciiTheme="minorHAnsi" w:hAnsiTheme="minorHAnsi"/>
        </w:rPr>
      </w:pPr>
      <w:r w:rsidRPr="00551BAB">
        <w:rPr>
          <w:rFonts w:asciiTheme="minorHAnsi" w:hAnsiTheme="minorHAnsi"/>
          <w:b/>
        </w:rPr>
        <w:t>5.5.</w:t>
      </w:r>
      <w:r w:rsidRPr="00551BAB">
        <w:rPr>
          <w:rFonts w:asciiTheme="minorHAnsi" w:hAnsiTheme="minorHAnsi"/>
        </w:rPr>
        <w:t xml:space="preserve"> Podsypka cementowo-piaskowa</w:t>
      </w:r>
    </w:p>
    <w:p w:rsidR="000E55F0" w:rsidRPr="00551BAB" w:rsidRDefault="000E55F0" w:rsidP="000E55F0">
      <w:pPr>
        <w:rPr>
          <w:rFonts w:asciiTheme="minorHAnsi" w:hAnsiTheme="minorHAnsi"/>
        </w:rPr>
      </w:pPr>
      <w:r w:rsidRPr="00551BAB">
        <w:rPr>
          <w:rFonts w:asciiTheme="minorHAnsi" w:hAnsiTheme="minorHAnsi"/>
        </w:rPr>
        <w:tab/>
        <w:t>Przy wykonywaniu zatok, podsypka cementowo-piaskowa jest stosowana pod ułożenie nawierzchni z kostki kamiennej oraz pod ustawienie krawężników betonowych na ławie betonowej z oporem. Zastosowanie podsypki i jej grubość powinny być zgodne z dokumentacją projektową. Wytrzymałość na ściskanie podsypki cementowo-piaskowej po 7 dniach próbek walcowych o średnicy 8 cm powinna wynosić co najmniej 10 MPa, a po 28 dniach 14 MPa.</w:t>
      </w:r>
    </w:p>
    <w:p w:rsidR="000E55F0" w:rsidRPr="00551BAB" w:rsidRDefault="000E55F0" w:rsidP="000E55F0">
      <w:pPr>
        <w:rPr>
          <w:rFonts w:asciiTheme="minorHAnsi" w:hAnsiTheme="minorHAnsi"/>
        </w:rPr>
      </w:pPr>
      <w:r w:rsidRPr="00551BAB">
        <w:rPr>
          <w:rFonts w:asciiTheme="minorHAnsi" w:hAnsiTheme="minorHAnsi"/>
        </w:rPr>
        <w:tab/>
        <w:t>Mieszanie podsypki powinno się odbywać w betoniarkach.</w:t>
      </w:r>
    </w:p>
    <w:p w:rsidR="000E55F0" w:rsidRPr="00551BAB" w:rsidRDefault="000E55F0" w:rsidP="000E55F0">
      <w:pPr>
        <w:rPr>
          <w:rFonts w:asciiTheme="minorHAnsi" w:hAnsiTheme="minorHAnsi"/>
        </w:rPr>
      </w:pPr>
      <w:r w:rsidRPr="00551BAB">
        <w:rPr>
          <w:rFonts w:asciiTheme="minorHAnsi" w:hAnsiTheme="minorHAnsi"/>
        </w:rPr>
        <w:tab/>
        <w:t>Piasek, cement i woda powinny odpowiadać wymaganiom wg punktu 2.3.</w:t>
      </w:r>
    </w:p>
    <w:p w:rsidR="000E55F0" w:rsidRPr="00551BAB" w:rsidRDefault="000E55F0" w:rsidP="000E55F0">
      <w:pPr>
        <w:rPr>
          <w:rFonts w:asciiTheme="minorHAnsi" w:hAnsiTheme="minorHAnsi"/>
        </w:rPr>
      </w:pPr>
      <w:r w:rsidRPr="00551BAB">
        <w:rPr>
          <w:rFonts w:asciiTheme="minorHAnsi" w:hAnsiTheme="minorHAnsi"/>
        </w:rPr>
        <w:tab/>
        <w:t>Podsypka powinna być rozścielona i wyrównana do profilu zgodnie z dokumentacją projektową.</w:t>
      </w:r>
    </w:p>
    <w:p w:rsidR="000E55F0" w:rsidRPr="00551BAB" w:rsidRDefault="000E55F0" w:rsidP="000E55F0">
      <w:pPr>
        <w:rPr>
          <w:rFonts w:asciiTheme="minorHAnsi" w:hAnsiTheme="minorHAnsi"/>
        </w:rPr>
      </w:pPr>
      <w:r w:rsidRPr="00551BAB">
        <w:rPr>
          <w:rFonts w:asciiTheme="minorHAnsi" w:hAnsiTheme="minorHAnsi"/>
          <w:b/>
        </w:rPr>
        <w:t>5.6.</w:t>
      </w:r>
      <w:r w:rsidRPr="00551BAB">
        <w:rPr>
          <w:rFonts w:asciiTheme="minorHAnsi" w:hAnsiTheme="minorHAnsi"/>
        </w:rPr>
        <w:t xml:space="preserve"> Krawężniki, obrzeża i perony</w:t>
      </w:r>
    </w:p>
    <w:p w:rsidR="000E55F0" w:rsidRPr="00551BAB" w:rsidRDefault="000E55F0" w:rsidP="000E55F0">
      <w:pPr>
        <w:rPr>
          <w:rFonts w:asciiTheme="minorHAnsi" w:hAnsiTheme="minorHAnsi"/>
        </w:rPr>
      </w:pPr>
      <w:r w:rsidRPr="00551BAB">
        <w:rPr>
          <w:rFonts w:asciiTheme="minorHAnsi" w:hAnsiTheme="minorHAnsi"/>
        </w:rPr>
        <w:tab/>
        <w:t>Ustawienie krawężników i obrzeży oraz ułożenie kostki brukowej betonowej powinno być zgodne z dokumentacją projektową, wskazaniami Inżyniera oraz wymaganiami wg odpowiednich ST.</w:t>
      </w:r>
    </w:p>
    <w:p w:rsidR="000E55F0" w:rsidRPr="00551BAB" w:rsidRDefault="000E55F0" w:rsidP="000E55F0">
      <w:pPr>
        <w:rPr>
          <w:rFonts w:asciiTheme="minorHAnsi" w:hAnsiTheme="minorHAnsi"/>
        </w:rPr>
      </w:pPr>
      <w:r w:rsidRPr="00551BAB">
        <w:rPr>
          <w:rFonts w:asciiTheme="minorHAnsi" w:hAnsiTheme="minorHAnsi"/>
          <w:b/>
        </w:rPr>
        <w:t>5.7.</w:t>
      </w:r>
      <w:r w:rsidRPr="00551BAB">
        <w:rPr>
          <w:rFonts w:asciiTheme="minorHAnsi" w:hAnsiTheme="minorHAnsi"/>
        </w:rPr>
        <w:t xml:space="preserve"> Wykonanie podbudowy</w:t>
      </w:r>
    </w:p>
    <w:p w:rsidR="000E55F0" w:rsidRPr="00551BAB" w:rsidRDefault="000E55F0" w:rsidP="000E55F0">
      <w:pPr>
        <w:rPr>
          <w:rFonts w:asciiTheme="minorHAnsi" w:hAnsiTheme="minorHAnsi"/>
        </w:rPr>
      </w:pPr>
      <w:r w:rsidRPr="00551BAB">
        <w:rPr>
          <w:rFonts w:asciiTheme="minorHAnsi" w:hAnsiTheme="minorHAnsi"/>
        </w:rPr>
        <w:tab/>
        <w:t>Koryto wraz z profilowaniem i zagęszczeniem podłoża przeznaczonego do ułożenia konstrukcji nawierzchni zatok, należy wykonywać wg ST D-04.01.01 „Koryto wraz z profilowaniem i zagęszczaniem podłoża”.</w:t>
      </w:r>
    </w:p>
    <w:p w:rsidR="000E55F0" w:rsidRPr="00551BAB" w:rsidRDefault="000E55F0" w:rsidP="000E55F0">
      <w:pPr>
        <w:rPr>
          <w:rFonts w:asciiTheme="minorHAnsi" w:hAnsiTheme="minorHAnsi"/>
        </w:rPr>
      </w:pPr>
      <w:r w:rsidRPr="00551BAB">
        <w:rPr>
          <w:rFonts w:asciiTheme="minorHAnsi" w:hAnsiTheme="minorHAnsi"/>
        </w:rPr>
        <w:tab/>
        <w:t>Podbudowę z gruntu stabilizowanego cementem należy wykonywać wg ST D-04.05.01a a z betonu cementowego wg ST D-04.06.01b.</w:t>
      </w:r>
    </w:p>
    <w:p w:rsidR="000E55F0" w:rsidRPr="00072571" w:rsidRDefault="000E55F0" w:rsidP="000E55F0">
      <w:pPr>
        <w:rPr>
          <w:rFonts w:asciiTheme="minorHAnsi" w:hAnsiTheme="minorHAnsi"/>
        </w:rPr>
      </w:pPr>
    </w:p>
    <w:p w:rsidR="000E55F0" w:rsidRPr="00072571" w:rsidRDefault="000E55F0" w:rsidP="000E55F0">
      <w:pPr>
        <w:rPr>
          <w:rFonts w:asciiTheme="minorHAnsi" w:hAnsiTheme="minorHAnsi"/>
        </w:rPr>
      </w:pPr>
      <w:r w:rsidRPr="00072571">
        <w:rPr>
          <w:rFonts w:asciiTheme="minorHAnsi" w:hAnsiTheme="minorHAnsi"/>
          <w:b/>
        </w:rPr>
        <w:t>5.8.</w:t>
      </w:r>
      <w:r w:rsidRPr="00072571">
        <w:rPr>
          <w:rFonts w:asciiTheme="minorHAnsi" w:hAnsiTheme="minorHAnsi"/>
        </w:rPr>
        <w:t xml:space="preserve"> Wykonanie nawierzchni</w:t>
      </w:r>
    </w:p>
    <w:p w:rsidR="000E55F0" w:rsidRPr="00072571" w:rsidRDefault="000E55F0" w:rsidP="000E55F0">
      <w:pPr>
        <w:rPr>
          <w:rFonts w:asciiTheme="minorHAnsi" w:hAnsiTheme="minorHAnsi"/>
        </w:rPr>
      </w:pPr>
      <w:r w:rsidRPr="00072571">
        <w:rPr>
          <w:rFonts w:asciiTheme="minorHAnsi" w:hAnsiTheme="minorHAnsi"/>
        </w:rPr>
        <w:tab/>
        <w:t>Naw</w:t>
      </w:r>
      <w:r w:rsidR="006630A3" w:rsidRPr="00072571">
        <w:rPr>
          <w:rFonts w:asciiTheme="minorHAnsi" w:hAnsiTheme="minorHAnsi"/>
        </w:rPr>
        <w:t xml:space="preserve">ierzchnia z kostki kamiennej </w:t>
      </w:r>
      <w:r w:rsidRPr="00072571">
        <w:rPr>
          <w:rFonts w:asciiTheme="minorHAnsi" w:hAnsiTheme="minorHAnsi"/>
        </w:rPr>
        <w:t>stosowana na zatokach powinny być wykonywane zgodnie z wymaganiami podanymi w ST D-05.03.01 „Nawierzchnie kostkowe”.</w:t>
      </w:r>
    </w:p>
    <w:p w:rsidR="000E55F0" w:rsidRPr="00072571" w:rsidRDefault="000E55F0" w:rsidP="000E55F0">
      <w:pPr>
        <w:rPr>
          <w:rFonts w:asciiTheme="minorHAnsi" w:hAnsiTheme="minorHAnsi"/>
        </w:rPr>
      </w:pPr>
      <w:r w:rsidRPr="00072571">
        <w:rPr>
          <w:rFonts w:asciiTheme="minorHAnsi" w:hAnsiTheme="minorHAnsi"/>
          <w:b/>
        </w:rPr>
        <w:t>5.9.</w:t>
      </w:r>
      <w:r w:rsidRPr="00072571">
        <w:rPr>
          <w:rFonts w:asciiTheme="minorHAnsi" w:hAnsiTheme="minorHAnsi"/>
        </w:rPr>
        <w:t xml:space="preserve"> Oznakowanie poziome i pionowe</w:t>
      </w:r>
    </w:p>
    <w:p w:rsidR="000E55F0" w:rsidRPr="00072571" w:rsidRDefault="000E55F0" w:rsidP="000E55F0">
      <w:pPr>
        <w:rPr>
          <w:rFonts w:asciiTheme="minorHAnsi" w:hAnsiTheme="minorHAnsi"/>
        </w:rPr>
      </w:pPr>
      <w:r w:rsidRPr="00072571">
        <w:rPr>
          <w:rFonts w:asciiTheme="minorHAnsi" w:hAnsiTheme="minorHAnsi"/>
        </w:rPr>
        <w:tab/>
        <w:t>Oznakowanie poziome i pionowe powinno być wykonane zgodnie z dokumentacją projektową i odpowiednimi ST: D-07.01.01 „Oznakowanie poziome” i D-07.02.01 „Oznakowanie pionowe”.</w:t>
      </w:r>
    </w:p>
    <w:p w:rsidR="000E55F0" w:rsidRPr="00072571" w:rsidRDefault="000E55F0" w:rsidP="000E55F0">
      <w:pPr>
        <w:rPr>
          <w:rFonts w:asciiTheme="minorHAnsi" w:hAnsiTheme="minorHAnsi"/>
        </w:rPr>
      </w:pPr>
    </w:p>
    <w:p w:rsidR="000E55F0" w:rsidRPr="00072571" w:rsidRDefault="000E55F0" w:rsidP="000E55F0">
      <w:pPr>
        <w:rPr>
          <w:rFonts w:asciiTheme="minorHAnsi" w:hAnsiTheme="minorHAnsi"/>
          <w:b/>
        </w:rPr>
      </w:pPr>
      <w:bookmarkStart w:id="1680" w:name="_Toc451652754"/>
      <w:r w:rsidRPr="00072571">
        <w:rPr>
          <w:rFonts w:asciiTheme="minorHAnsi" w:hAnsiTheme="minorHAnsi"/>
          <w:b/>
        </w:rPr>
        <w:t xml:space="preserve">6. </w:t>
      </w:r>
      <w:bookmarkEnd w:id="1680"/>
      <w:r w:rsidRPr="00072571">
        <w:rPr>
          <w:rFonts w:asciiTheme="minorHAnsi" w:hAnsiTheme="minorHAnsi"/>
          <w:b/>
        </w:rPr>
        <w:t>KONTROLA JAKOSCI ROBÓT</w:t>
      </w:r>
    </w:p>
    <w:p w:rsidR="000E55F0" w:rsidRPr="00072571" w:rsidRDefault="000E55F0" w:rsidP="000E55F0">
      <w:pPr>
        <w:rPr>
          <w:rFonts w:asciiTheme="minorHAnsi" w:hAnsiTheme="minorHAnsi"/>
        </w:rPr>
      </w:pPr>
      <w:r w:rsidRPr="00072571">
        <w:rPr>
          <w:rFonts w:asciiTheme="minorHAnsi" w:hAnsiTheme="minorHAnsi"/>
          <w:b/>
        </w:rPr>
        <w:t>6.1.</w:t>
      </w:r>
      <w:r w:rsidRPr="00072571">
        <w:rPr>
          <w:rFonts w:asciiTheme="minorHAnsi" w:hAnsiTheme="minorHAnsi"/>
        </w:rPr>
        <w:t xml:space="preserve"> Sprawdzenie prawidłowości robót przygotowawczych</w:t>
      </w:r>
    </w:p>
    <w:p w:rsidR="000E55F0" w:rsidRPr="00072571" w:rsidRDefault="000E55F0" w:rsidP="000E55F0">
      <w:pPr>
        <w:rPr>
          <w:rFonts w:asciiTheme="minorHAnsi" w:hAnsiTheme="minorHAnsi"/>
        </w:rPr>
      </w:pPr>
      <w:r w:rsidRPr="00072571">
        <w:rPr>
          <w:rFonts w:asciiTheme="minorHAnsi" w:hAnsiTheme="minorHAnsi"/>
        </w:rPr>
        <w:tab/>
        <w:t>Kontrola jakości robót przygotowawczych polega na sprawdzeniu ich zgodności z:</w:t>
      </w:r>
    </w:p>
    <w:p w:rsidR="000E55F0" w:rsidRPr="00072571" w:rsidRDefault="000E55F0" w:rsidP="000E55F0">
      <w:pPr>
        <w:rPr>
          <w:rFonts w:asciiTheme="minorHAnsi" w:hAnsiTheme="minorHAnsi"/>
        </w:rPr>
      </w:pPr>
      <w:r w:rsidRPr="00072571">
        <w:rPr>
          <w:rFonts w:asciiTheme="minorHAnsi" w:hAnsiTheme="minorHAnsi"/>
        </w:rPr>
        <w:t>- dokumentacją projektową - na podstawie oględzin i pomiarów,</w:t>
      </w:r>
    </w:p>
    <w:p w:rsidR="000E55F0" w:rsidRPr="00551BAB" w:rsidRDefault="000E55F0" w:rsidP="000E55F0">
      <w:pPr>
        <w:rPr>
          <w:rFonts w:asciiTheme="minorHAnsi" w:hAnsiTheme="minorHAnsi"/>
        </w:rPr>
      </w:pPr>
      <w:r w:rsidRPr="00551BAB">
        <w:rPr>
          <w:rFonts w:asciiTheme="minorHAnsi" w:hAnsiTheme="minorHAnsi"/>
        </w:rPr>
        <w:t>- wymaganiami podanymi w ST D-01.00.00 „Roboty przygotowawcze”.</w:t>
      </w:r>
    </w:p>
    <w:p w:rsidR="000E55F0" w:rsidRPr="00551BAB" w:rsidRDefault="000E55F0" w:rsidP="000E55F0">
      <w:pPr>
        <w:rPr>
          <w:rFonts w:asciiTheme="minorHAnsi" w:hAnsiTheme="minorHAnsi"/>
        </w:rPr>
      </w:pPr>
      <w:r w:rsidRPr="00551BAB">
        <w:rPr>
          <w:rFonts w:asciiTheme="minorHAnsi" w:hAnsiTheme="minorHAnsi"/>
          <w:b/>
        </w:rPr>
        <w:t>6.2.</w:t>
      </w:r>
      <w:r w:rsidRPr="00551BAB">
        <w:rPr>
          <w:rFonts w:asciiTheme="minorHAnsi" w:hAnsiTheme="minorHAnsi"/>
        </w:rPr>
        <w:t xml:space="preserve"> Sprawdzenie prawidłowości wykonania robót ziemnych</w:t>
      </w:r>
    </w:p>
    <w:p w:rsidR="000E55F0" w:rsidRPr="00551BAB" w:rsidRDefault="000E55F0" w:rsidP="000E55F0">
      <w:pPr>
        <w:rPr>
          <w:rFonts w:asciiTheme="minorHAnsi" w:hAnsiTheme="minorHAnsi"/>
        </w:rPr>
      </w:pPr>
      <w:r w:rsidRPr="00551BAB">
        <w:rPr>
          <w:rFonts w:asciiTheme="minorHAnsi" w:hAnsiTheme="minorHAnsi"/>
        </w:rPr>
        <w:tab/>
        <w:t>Kontrola jakości robót ziemnych polega na sprawdzeniu ich zgodności z:</w:t>
      </w:r>
    </w:p>
    <w:p w:rsidR="000E55F0" w:rsidRPr="00551BAB" w:rsidRDefault="000E55F0" w:rsidP="000E55F0">
      <w:pPr>
        <w:rPr>
          <w:rFonts w:asciiTheme="minorHAnsi" w:hAnsiTheme="minorHAnsi"/>
        </w:rPr>
      </w:pPr>
      <w:r w:rsidRPr="00551BAB">
        <w:rPr>
          <w:rFonts w:asciiTheme="minorHAnsi" w:hAnsiTheme="minorHAnsi"/>
        </w:rPr>
        <w:t>- dokumentacją projektową - na podstawie oględzin i pomiarów,</w:t>
      </w:r>
    </w:p>
    <w:p w:rsidR="000E55F0" w:rsidRPr="00551BAB" w:rsidRDefault="000E55F0" w:rsidP="000E55F0">
      <w:pPr>
        <w:rPr>
          <w:rFonts w:asciiTheme="minorHAnsi" w:hAnsiTheme="minorHAnsi"/>
        </w:rPr>
      </w:pPr>
      <w:r w:rsidRPr="00551BAB">
        <w:rPr>
          <w:rFonts w:asciiTheme="minorHAnsi" w:hAnsiTheme="minorHAnsi"/>
        </w:rPr>
        <w:t>- wymaganiami podanymi w odpowiednich ST.</w:t>
      </w:r>
    </w:p>
    <w:p w:rsidR="000E55F0" w:rsidRPr="00551BAB" w:rsidRDefault="000E55F0" w:rsidP="000E55F0">
      <w:pPr>
        <w:rPr>
          <w:rFonts w:asciiTheme="minorHAnsi" w:hAnsiTheme="minorHAnsi"/>
        </w:rPr>
      </w:pPr>
      <w:r w:rsidRPr="00551BAB">
        <w:rPr>
          <w:rFonts w:asciiTheme="minorHAnsi" w:hAnsiTheme="minorHAnsi"/>
          <w:b/>
        </w:rPr>
        <w:t>6.3.</w:t>
      </w:r>
      <w:r w:rsidRPr="00551BAB">
        <w:rPr>
          <w:rFonts w:asciiTheme="minorHAnsi" w:hAnsiTheme="minorHAnsi"/>
        </w:rPr>
        <w:t xml:space="preserve"> Sprawdzenie prawidłowości wykonania podłoża</w:t>
      </w:r>
    </w:p>
    <w:p w:rsidR="000E55F0" w:rsidRPr="00551BAB" w:rsidRDefault="000E55F0" w:rsidP="000E55F0">
      <w:pPr>
        <w:rPr>
          <w:rFonts w:asciiTheme="minorHAnsi" w:hAnsiTheme="minorHAnsi"/>
        </w:rPr>
      </w:pPr>
      <w:r w:rsidRPr="00551BAB">
        <w:rPr>
          <w:rFonts w:asciiTheme="minorHAnsi" w:hAnsiTheme="minorHAnsi"/>
        </w:rPr>
        <w:tab/>
        <w:t>Rodzaj gruntu podłoża należy określić na podstawie badań laboratoryjnych.</w:t>
      </w:r>
    </w:p>
    <w:p w:rsidR="000E55F0" w:rsidRPr="00551BAB" w:rsidRDefault="000E55F0" w:rsidP="000E55F0">
      <w:pPr>
        <w:rPr>
          <w:rFonts w:asciiTheme="minorHAnsi" w:hAnsiTheme="minorHAnsi"/>
        </w:rPr>
      </w:pPr>
      <w:r w:rsidRPr="00551BAB">
        <w:rPr>
          <w:rFonts w:asciiTheme="minorHAnsi" w:hAnsiTheme="minorHAnsi"/>
        </w:rPr>
        <w:tab/>
        <w:t>Kontrola jakości przygotowania podłoża polega na sprawdzeniu zgodności z wymaganiami podanymi w dokumentacji projektowej oraz w ST D-04.01.01 „Koryto wraz z profilowaniem i zagęszczaniem podłoża”.</w:t>
      </w:r>
    </w:p>
    <w:p w:rsidR="00072571" w:rsidRDefault="00072571" w:rsidP="000E55F0">
      <w:pPr>
        <w:rPr>
          <w:rFonts w:asciiTheme="minorHAnsi" w:hAnsiTheme="minorHAnsi"/>
          <w:b/>
        </w:rPr>
      </w:pPr>
    </w:p>
    <w:p w:rsidR="000E55F0" w:rsidRPr="00551BAB" w:rsidRDefault="000E55F0" w:rsidP="000E55F0">
      <w:pPr>
        <w:rPr>
          <w:rFonts w:asciiTheme="minorHAnsi" w:hAnsiTheme="minorHAnsi"/>
        </w:rPr>
      </w:pPr>
      <w:r w:rsidRPr="00551BAB">
        <w:rPr>
          <w:rFonts w:asciiTheme="minorHAnsi" w:hAnsiTheme="minorHAnsi"/>
          <w:b/>
        </w:rPr>
        <w:lastRenderedPageBreak/>
        <w:t>6.4.</w:t>
      </w:r>
      <w:r w:rsidRPr="00551BAB">
        <w:rPr>
          <w:rFonts w:asciiTheme="minorHAnsi" w:hAnsiTheme="minorHAnsi"/>
        </w:rPr>
        <w:t xml:space="preserve"> Sprawdzenie prawidłowości wykonania podsypki</w:t>
      </w:r>
    </w:p>
    <w:p w:rsidR="000E55F0" w:rsidRPr="00551BAB" w:rsidRDefault="000E55F0" w:rsidP="000E55F0">
      <w:pPr>
        <w:rPr>
          <w:rFonts w:asciiTheme="minorHAnsi" w:hAnsiTheme="minorHAnsi"/>
        </w:rPr>
      </w:pPr>
      <w:r w:rsidRPr="00551BAB">
        <w:rPr>
          <w:rFonts w:asciiTheme="minorHAnsi" w:hAnsiTheme="minorHAnsi"/>
        </w:rPr>
        <w:tab/>
        <w:t>Kontrola jakości ułożonej podsypki cementowo-piaskowej polega na sprawdzeniu zgodności z:</w:t>
      </w:r>
    </w:p>
    <w:p w:rsidR="000E55F0" w:rsidRPr="00551BAB" w:rsidRDefault="000E55F0" w:rsidP="000E55F0">
      <w:pPr>
        <w:rPr>
          <w:rFonts w:asciiTheme="minorHAnsi" w:hAnsiTheme="minorHAnsi"/>
        </w:rPr>
      </w:pPr>
      <w:r w:rsidRPr="00551BAB">
        <w:rPr>
          <w:rFonts w:asciiTheme="minorHAnsi" w:hAnsiTheme="minorHAnsi"/>
        </w:rPr>
        <w:t>dokumentacją projektową w zakresie grubości i wyrównania do wymaganego profilu - na podstawie oględzin i pomiarów,</w:t>
      </w:r>
    </w:p>
    <w:p w:rsidR="000E55F0" w:rsidRPr="00551BAB" w:rsidRDefault="000E55F0" w:rsidP="000E55F0">
      <w:pPr>
        <w:rPr>
          <w:rFonts w:asciiTheme="minorHAnsi" w:hAnsiTheme="minorHAnsi"/>
        </w:rPr>
      </w:pPr>
      <w:r w:rsidRPr="00551BAB">
        <w:rPr>
          <w:rFonts w:asciiTheme="minorHAnsi" w:hAnsiTheme="minorHAnsi"/>
        </w:rPr>
        <w:t>wymaganiami podanymi w p. 5.5 niniejszej ST, w zakresie wytrzymałości na ściskanie.</w:t>
      </w:r>
    </w:p>
    <w:p w:rsidR="000E55F0" w:rsidRPr="00551BAB" w:rsidRDefault="000E55F0" w:rsidP="000E55F0">
      <w:pPr>
        <w:rPr>
          <w:rFonts w:asciiTheme="minorHAnsi" w:hAnsiTheme="minorHAnsi"/>
        </w:rPr>
      </w:pPr>
      <w:r w:rsidRPr="00551BAB">
        <w:rPr>
          <w:rFonts w:asciiTheme="minorHAnsi" w:hAnsiTheme="minorHAnsi"/>
          <w:b/>
        </w:rPr>
        <w:t>6.5.</w:t>
      </w:r>
      <w:r w:rsidRPr="00551BAB">
        <w:rPr>
          <w:rFonts w:asciiTheme="minorHAnsi" w:hAnsiTheme="minorHAnsi"/>
        </w:rPr>
        <w:t xml:space="preserve"> Sprawdzenie prawidłowości wykonania krawężników, obrzeży i peronów</w:t>
      </w:r>
    </w:p>
    <w:p w:rsidR="000E55F0" w:rsidRPr="00551BAB" w:rsidRDefault="000E55F0" w:rsidP="000E55F0">
      <w:pPr>
        <w:rPr>
          <w:rFonts w:asciiTheme="minorHAnsi" w:hAnsiTheme="minorHAnsi"/>
        </w:rPr>
      </w:pPr>
      <w:r w:rsidRPr="00551BAB">
        <w:rPr>
          <w:rFonts w:asciiTheme="minorHAnsi" w:hAnsiTheme="minorHAnsi"/>
        </w:rPr>
        <w:tab/>
        <w:t>Kontrola jakości wykonania krawężników, obrzeży i peronów polega na sprawdzeniu zgodności z:</w:t>
      </w:r>
    </w:p>
    <w:p w:rsidR="000E55F0" w:rsidRPr="00551BAB" w:rsidRDefault="000E55F0" w:rsidP="000E55F0">
      <w:pPr>
        <w:rPr>
          <w:rFonts w:asciiTheme="minorHAnsi" w:hAnsiTheme="minorHAnsi"/>
        </w:rPr>
      </w:pPr>
      <w:r w:rsidRPr="00551BAB">
        <w:rPr>
          <w:rFonts w:asciiTheme="minorHAnsi" w:hAnsiTheme="minorHAnsi"/>
        </w:rPr>
        <w:t>- dokumentacją projektową - na podstawie oględzin i pomiarów,</w:t>
      </w:r>
    </w:p>
    <w:p w:rsidR="000E55F0" w:rsidRPr="00551BAB" w:rsidRDefault="000E55F0" w:rsidP="000E55F0">
      <w:pPr>
        <w:rPr>
          <w:rFonts w:asciiTheme="minorHAnsi" w:hAnsiTheme="minorHAnsi"/>
        </w:rPr>
      </w:pPr>
      <w:r w:rsidRPr="00551BAB">
        <w:rPr>
          <w:rFonts w:asciiTheme="minorHAnsi" w:hAnsiTheme="minorHAnsi"/>
        </w:rPr>
        <w:t>- wymaganiami podanymi wg odpowiednich ST.</w:t>
      </w:r>
    </w:p>
    <w:p w:rsidR="000E55F0" w:rsidRPr="00551BAB" w:rsidRDefault="000E55F0" w:rsidP="000E55F0">
      <w:pPr>
        <w:rPr>
          <w:rFonts w:asciiTheme="minorHAnsi" w:hAnsiTheme="minorHAnsi"/>
        </w:rPr>
      </w:pPr>
      <w:r w:rsidRPr="00551BAB">
        <w:rPr>
          <w:rFonts w:asciiTheme="minorHAnsi" w:hAnsiTheme="minorHAnsi"/>
          <w:b/>
        </w:rPr>
        <w:t>6.6.</w:t>
      </w:r>
      <w:r w:rsidRPr="00551BAB">
        <w:rPr>
          <w:rFonts w:asciiTheme="minorHAnsi" w:hAnsiTheme="minorHAnsi"/>
        </w:rPr>
        <w:t xml:space="preserve"> Sprawdzenie wykonania podbudowy</w:t>
      </w:r>
    </w:p>
    <w:p w:rsidR="000E55F0" w:rsidRPr="00551BAB" w:rsidRDefault="000E55F0" w:rsidP="000E55F0">
      <w:pPr>
        <w:rPr>
          <w:rFonts w:asciiTheme="minorHAnsi" w:hAnsiTheme="minorHAnsi"/>
        </w:rPr>
      </w:pPr>
      <w:r w:rsidRPr="00551BAB">
        <w:rPr>
          <w:rFonts w:asciiTheme="minorHAnsi" w:hAnsiTheme="minorHAnsi"/>
        </w:rPr>
        <w:tab/>
        <w:t>Kontrola jakości wykonania podbudowy polega na sprawdzeniu zgodności z:</w:t>
      </w:r>
    </w:p>
    <w:p w:rsidR="000E55F0" w:rsidRPr="00551BAB" w:rsidRDefault="000E55F0" w:rsidP="000E55F0">
      <w:pPr>
        <w:rPr>
          <w:rFonts w:asciiTheme="minorHAnsi" w:hAnsiTheme="minorHAnsi"/>
        </w:rPr>
      </w:pPr>
      <w:r w:rsidRPr="00551BAB">
        <w:rPr>
          <w:rFonts w:asciiTheme="minorHAnsi" w:hAnsiTheme="minorHAnsi"/>
        </w:rPr>
        <w:t>- dokumentacją projektową w zakresie rodzaju, grubości, szerokości i spadków poprzecznych - na podstawie oględzin i pomiarów,</w:t>
      </w:r>
    </w:p>
    <w:p w:rsidR="000E55F0" w:rsidRPr="00551BAB" w:rsidRDefault="000E55F0" w:rsidP="000E55F0">
      <w:pPr>
        <w:rPr>
          <w:rFonts w:asciiTheme="minorHAnsi" w:hAnsiTheme="minorHAnsi"/>
        </w:rPr>
      </w:pPr>
      <w:r w:rsidRPr="00551BAB">
        <w:rPr>
          <w:rFonts w:asciiTheme="minorHAnsi" w:hAnsiTheme="minorHAnsi"/>
        </w:rPr>
        <w:t>- wymaganiami podanymi dla podbudowy z betonu cementowego wg ST D-04.06.01b „Podbudowa z betonu cementowego”.</w:t>
      </w:r>
    </w:p>
    <w:p w:rsidR="000E55F0" w:rsidRPr="00551BAB" w:rsidRDefault="000E55F0" w:rsidP="000E55F0">
      <w:pPr>
        <w:rPr>
          <w:rFonts w:asciiTheme="minorHAnsi" w:hAnsiTheme="minorHAnsi"/>
        </w:rPr>
      </w:pPr>
      <w:r w:rsidRPr="00551BAB">
        <w:rPr>
          <w:rFonts w:asciiTheme="minorHAnsi" w:hAnsiTheme="minorHAnsi"/>
          <w:b/>
        </w:rPr>
        <w:t>6.7.</w:t>
      </w:r>
      <w:r w:rsidRPr="00551BAB">
        <w:rPr>
          <w:rFonts w:asciiTheme="minorHAnsi" w:hAnsiTheme="minorHAnsi"/>
        </w:rPr>
        <w:t xml:space="preserve"> Sprawdzenie wykonania nawierzchni</w:t>
      </w:r>
    </w:p>
    <w:p w:rsidR="000E55F0" w:rsidRPr="00551BAB" w:rsidRDefault="000E55F0" w:rsidP="000E55F0">
      <w:pPr>
        <w:rPr>
          <w:rFonts w:asciiTheme="minorHAnsi" w:hAnsiTheme="minorHAnsi"/>
        </w:rPr>
      </w:pPr>
      <w:r w:rsidRPr="00551BAB">
        <w:rPr>
          <w:rFonts w:asciiTheme="minorHAnsi" w:hAnsiTheme="minorHAnsi"/>
        </w:rPr>
        <w:tab/>
        <w:t>Kontrola jakości wykonania nawierzchni polega na sprawdzeniu zgodności z:</w:t>
      </w:r>
    </w:p>
    <w:p w:rsidR="000E55F0" w:rsidRPr="00551BAB" w:rsidRDefault="000E55F0" w:rsidP="000E55F0">
      <w:pPr>
        <w:rPr>
          <w:rFonts w:asciiTheme="minorHAnsi" w:hAnsiTheme="minorHAnsi"/>
        </w:rPr>
      </w:pPr>
      <w:r w:rsidRPr="00551BAB">
        <w:rPr>
          <w:rFonts w:asciiTheme="minorHAnsi" w:hAnsiTheme="minorHAnsi"/>
        </w:rPr>
        <w:t>dokumentacją projektową w zakresie grubości konstrukcji, szerokości, rzędnych wysokościowych i spadków poprzecznych,</w:t>
      </w:r>
    </w:p>
    <w:p w:rsidR="000E55F0" w:rsidRPr="00551BAB" w:rsidRDefault="000E55F0" w:rsidP="000E55F0">
      <w:pPr>
        <w:rPr>
          <w:rFonts w:asciiTheme="minorHAnsi" w:hAnsiTheme="minorHAnsi"/>
        </w:rPr>
      </w:pPr>
      <w:r w:rsidRPr="00551BAB">
        <w:rPr>
          <w:rFonts w:asciiTheme="minorHAnsi" w:hAnsiTheme="minorHAnsi"/>
        </w:rPr>
        <w:t>wymaganiami podanymi dla nawierzchni z kostki kamiennej nieregularnej, wg ST D-05.03.01 „Nawierzchnie kostkowe”.</w:t>
      </w:r>
    </w:p>
    <w:p w:rsidR="000E55F0" w:rsidRPr="00551BAB" w:rsidRDefault="000E55F0" w:rsidP="000E55F0">
      <w:pPr>
        <w:rPr>
          <w:rFonts w:asciiTheme="minorHAnsi" w:hAnsiTheme="minorHAnsi"/>
        </w:rPr>
      </w:pPr>
      <w:r w:rsidRPr="00551BAB">
        <w:rPr>
          <w:rFonts w:asciiTheme="minorHAnsi" w:hAnsiTheme="minorHAnsi"/>
          <w:b/>
        </w:rPr>
        <w:t>6.8.</w:t>
      </w:r>
      <w:r w:rsidRPr="00551BAB">
        <w:rPr>
          <w:rFonts w:asciiTheme="minorHAnsi" w:hAnsiTheme="minorHAnsi"/>
        </w:rPr>
        <w:t xml:space="preserve"> Sprawdzenie wykonania robót wykończeniowych</w:t>
      </w:r>
    </w:p>
    <w:p w:rsidR="000E55F0" w:rsidRPr="00551BAB" w:rsidRDefault="000E55F0" w:rsidP="000E55F0">
      <w:pPr>
        <w:rPr>
          <w:rFonts w:asciiTheme="minorHAnsi" w:hAnsiTheme="minorHAnsi"/>
        </w:rPr>
      </w:pPr>
      <w:r w:rsidRPr="00551BAB">
        <w:rPr>
          <w:rFonts w:asciiTheme="minorHAnsi" w:hAnsiTheme="minorHAnsi"/>
        </w:rPr>
        <w:tab/>
        <w:t>Kontrola jakości wykonania robót wykończeniowych polega na sprawdzeniu ich zgodności z dokumentacją projektową na podstawie oględzin i pomiarów oraz zgodności z wymaganiami wg ST D-06.00.00 „Roboty wykończeniowe”.</w:t>
      </w:r>
    </w:p>
    <w:p w:rsidR="000E55F0" w:rsidRPr="00551BAB" w:rsidRDefault="000E55F0" w:rsidP="000E55F0">
      <w:pPr>
        <w:rPr>
          <w:rFonts w:asciiTheme="minorHAnsi" w:hAnsiTheme="minorHAnsi"/>
        </w:rPr>
      </w:pPr>
      <w:r w:rsidRPr="00551BAB">
        <w:rPr>
          <w:rFonts w:asciiTheme="minorHAnsi" w:hAnsiTheme="minorHAnsi"/>
          <w:b/>
        </w:rPr>
        <w:t>6.9.</w:t>
      </w:r>
      <w:r w:rsidRPr="00551BAB">
        <w:rPr>
          <w:rFonts w:asciiTheme="minorHAnsi" w:hAnsiTheme="minorHAnsi"/>
        </w:rPr>
        <w:t xml:space="preserve"> Sprawdzenie wykonania oznakowania poziomego i pionowego</w:t>
      </w:r>
    </w:p>
    <w:p w:rsidR="000E55F0" w:rsidRPr="00551BAB" w:rsidRDefault="000E55F0" w:rsidP="000E55F0">
      <w:pPr>
        <w:rPr>
          <w:rFonts w:asciiTheme="minorHAnsi" w:hAnsiTheme="minorHAnsi"/>
        </w:rPr>
      </w:pPr>
      <w:r w:rsidRPr="00551BAB">
        <w:rPr>
          <w:rFonts w:asciiTheme="minorHAnsi" w:hAnsiTheme="minorHAnsi"/>
        </w:rPr>
        <w:tab/>
        <w:t>Kontrola wykonania oznakowania poziomego i pionowego polega na sprawdzeniu zgodności z dokumentacją projektową na podstawie oględzin i pomiarów oraz zgodności z wymaganiami ST D-07.01.01 „Oznakowanie poziome” i ST D-07.02.01 „Oznakowanie pionowe”.</w:t>
      </w:r>
    </w:p>
    <w:p w:rsidR="000E55F0" w:rsidRPr="00551BAB" w:rsidRDefault="000E55F0" w:rsidP="000E55F0">
      <w:pPr>
        <w:rPr>
          <w:rFonts w:asciiTheme="minorHAnsi" w:hAnsiTheme="minorHAnsi"/>
        </w:rPr>
      </w:pPr>
      <w:r w:rsidRPr="00551BAB">
        <w:rPr>
          <w:rFonts w:asciiTheme="minorHAnsi" w:hAnsiTheme="minorHAnsi"/>
          <w:b/>
        </w:rPr>
        <w:t>6.10.</w:t>
      </w:r>
      <w:r w:rsidRPr="00551BAB">
        <w:rPr>
          <w:rFonts w:asciiTheme="minorHAnsi" w:hAnsiTheme="minorHAnsi"/>
        </w:rPr>
        <w:t xml:space="preserve"> Ocena wyników badań</w:t>
      </w:r>
    </w:p>
    <w:p w:rsidR="000E55F0" w:rsidRPr="00551BAB" w:rsidRDefault="000E55F0" w:rsidP="000E55F0">
      <w:pPr>
        <w:rPr>
          <w:rFonts w:asciiTheme="minorHAnsi" w:hAnsiTheme="minorHAnsi"/>
        </w:rPr>
      </w:pPr>
      <w:r w:rsidRPr="00551BAB">
        <w:rPr>
          <w:rFonts w:asciiTheme="minorHAnsi" w:hAnsiTheme="minorHAnsi"/>
        </w:rPr>
        <w:tab/>
        <w:t>Wszystkie materiały muszą spełniać wymagania podane w punkcie2.</w:t>
      </w:r>
    </w:p>
    <w:p w:rsidR="000E55F0" w:rsidRPr="00551BAB" w:rsidRDefault="000E55F0" w:rsidP="000E55F0">
      <w:pPr>
        <w:rPr>
          <w:rFonts w:asciiTheme="minorHAnsi" w:hAnsiTheme="minorHAnsi"/>
        </w:rPr>
      </w:pPr>
      <w:r w:rsidRPr="00551BAB">
        <w:rPr>
          <w:rFonts w:asciiTheme="minorHAnsi" w:hAnsiTheme="minorHAnsi"/>
        </w:rPr>
        <w:tab/>
        <w:t>Wszystkie elementy robót, które wykazują odstępstwa od postanowień ST, powinny być doprowadzone na koszt Wykonawcy do stanu zgodności z ST, a po przeprowadzeniu badań i pomiarów mogą być ponownie przedstawione do akceptacji Inżyniera.</w:t>
      </w:r>
    </w:p>
    <w:p w:rsidR="000E55F0" w:rsidRPr="00551BAB" w:rsidRDefault="000E55F0" w:rsidP="000E55F0">
      <w:pPr>
        <w:rPr>
          <w:rFonts w:asciiTheme="minorHAnsi" w:hAnsiTheme="minorHAnsi"/>
        </w:rPr>
      </w:pPr>
    </w:p>
    <w:p w:rsidR="000E55F0" w:rsidRPr="00551BAB" w:rsidRDefault="000E55F0" w:rsidP="000E55F0">
      <w:pPr>
        <w:rPr>
          <w:rFonts w:asciiTheme="minorHAnsi" w:hAnsiTheme="minorHAnsi"/>
          <w:b/>
        </w:rPr>
      </w:pPr>
      <w:bookmarkStart w:id="1681" w:name="_Toc451652755"/>
      <w:r w:rsidRPr="00551BAB">
        <w:rPr>
          <w:rFonts w:asciiTheme="minorHAnsi" w:hAnsiTheme="minorHAnsi"/>
          <w:b/>
        </w:rPr>
        <w:t xml:space="preserve">7. </w:t>
      </w:r>
      <w:bookmarkEnd w:id="1681"/>
      <w:r w:rsidRPr="00551BAB">
        <w:rPr>
          <w:rFonts w:asciiTheme="minorHAnsi" w:hAnsiTheme="minorHAnsi"/>
          <w:b/>
        </w:rPr>
        <w:t>OBMIAR ROBÓT</w:t>
      </w:r>
    </w:p>
    <w:p w:rsidR="000E55F0" w:rsidRPr="00551BAB" w:rsidRDefault="000E55F0" w:rsidP="000E55F0">
      <w:pPr>
        <w:rPr>
          <w:rFonts w:asciiTheme="minorHAnsi" w:hAnsiTheme="minorHAnsi"/>
        </w:rPr>
      </w:pPr>
      <w:r w:rsidRPr="00551BAB">
        <w:rPr>
          <w:rFonts w:asciiTheme="minorHAnsi" w:hAnsiTheme="minorHAnsi"/>
        </w:rPr>
        <w:tab/>
        <w:t>Jednostką obmiarową jest 1 m</w:t>
      </w:r>
      <w:r w:rsidRPr="00551BAB">
        <w:rPr>
          <w:rFonts w:asciiTheme="minorHAnsi" w:hAnsiTheme="minorHAnsi"/>
          <w:vertAlign w:val="superscript"/>
        </w:rPr>
        <w:t>2</w:t>
      </w:r>
      <w:r w:rsidRPr="00551BAB">
        <w:rPr>
          <w:rFonts w:asciiTheme="minorHAnsi" w:hAnsiTheme="minorHAnsi"/>
        </w:rPr>
        <w:t xml:space="preserve"> (metr kwadratowy) nawierzchni zatoki na podstawie dokumentacji projektowej i pomiaru w terenie.</w:t>
      </w:r>
    </w:p>
    <w:p w:rsidR="000E55F0" w:rsidRPr="00551BAB" w:rsidRDefault="000E55F0" w:rsidP="000E55F0">
      <w:pPr>
        <w:rPr>
          <w:rFonts w:asciiTheme="minorHAnsi" w:hAnsiTheme="minorHAnsi"/>
        </w:rPr>
      </w:pPr>
    </w:p>
    <w:p w:rsidR="000E55F0" w:rsidRPr="00551BAB" w:rsidRDefault="000E55F0" w:rsidP="000E55F0">
      <w:pPr>
        <w:rPr>
          <w:rFonts w:asciiTheme="minorHAnsi" w:hAnsiTheme="minorHAnsi"/>
          <w:b/>
        </w:rPr>
      </w:pPr>
      <w:bookmarkStart w:id="1682" w:name="_Toc451652756"/>
      <w:r w:rsidRPr="00551BAB">
        <w:rPr>
          <w:rFonts w:asciiTheme="minorHAnsi" w:hAnsiTheme="minorHAnsi"/>
          <w:b/>
        </w:rPr>
        <w:t xml:space="preserve">8. </w:t>
      </w:r>
      <w:bookmarkEnd w:id="1682"/>
      <w:r w:rsidRPr="00551BAB">
        <w:rPr>
          <w:rFonts w:asciiTheme="minorHAnsi" w:hAnsiTheme="minorHAnsi"/>
          <w:b/>
        </w:rPr>
        <w:t>ODBIÓR ROBÓT</w:t>
      </w:r>
    </w:p>
    <w:p w:rsidR="000E55F0" w:rsidRPr="00551BAB" w:rsidRDefault="000E55F0" w:rsidP="000E55F0">
      <w:pPr>
        <w:rPr>
          <w:rFonts w:asciiTheme="minorHAnsi" w:hAnsiTheme="minorHAnsi"/>
        </w:rPr>
      </w:pPr>
      <w:r w:rsidRPr="00551BAB">
        <w:rPr>
          <w:rFonts w:asciiTheme="minorHAnsi" w:hAnsiTheme="minorHAnsi"/>
        </w:rPr>
        <w:tab/>
        <w:t>Roboty objęte niniejszą specyfikacją podlegają:</w:t>
      </w:r>
    </w:p>
    <w:p w:rsidR="000E55F0" w:rsidRPr="00551BAB" w:rsidRDefault="000E55F0" w:rsidP="000E55F0">
      <w:pPr>
        <w:rPr>
          <w:rFonts w:asciiTheme="minorHAnsi" w:hAnsiTheme="minorHAnsi"/>
        </w:rPr>
      </w:pPr>
      <w:r w:rsidRPr="00551BAB">
        <w:rPr>
          <w:rFonts w:asciiTheme="minorHAnsi" w:hAnsiTheme="minorHAnsi"/>
        </w:rPr>
        <w:t>odbiorowi robót zanikających i ulegających zakryciu, który powinien być dokonany po:</w:t>
      </w:r>
    </w:p>
    <w:p w:rsidR="000E55F0" w:rsidRPr="00551BAB" w:rsidRDefault="000E55F0" w:rsidP="000E55F0">
      <w:pPr>
        <w:rPr>
          <w:rFonts w:asciiTheme="minorHAnsi" w:hAnsiTheme="minorHAnsi"/>
        </w:rPr>
      </w:pPr>
      <w:r w:rsidRPr="00551BAB">
        <w:rPr>
          <w:rFonts w:asciiTheme="minorHAnsi" w:hAnsiTheme="minorHAnsi"/>
        </w:rPr>
        <w:t>- odtworzeniu trasy i punktów wysokościowych,</w:t>
      </w:r>
    </w:p>
    <w:p w:rsidR="000E55F0" w:rsidRPr="00551BAB" w:rsidRDefault="000E55F0" w:rsidP="000E55F0">
      <w:pPr>
        <w:rPr>
          <w:rFonts w:asciiTheme="minorHAnsi" w:hAnsiTheme="minorHAnsi"/>
        </w:rPr>
      </w:pPr>
      <w:r w:rsidRPr="00551BAB">
        <w:rPr>
          <w:rFonts w:asciiTheme="minorHAnsi" w:hAnsiTheme="minorHAnsi"/>
        </w:rPr>
        <w:t>- zdjęciu warstwy humusu lub darniny,</w:t>
      </w:r>
    </w:p>
    <w:p w:rsidR="000E55F0" w:rsidRPr="00551BAB" w:rsidRDefault="000E55F0" w:rsidP="000E55F0">
      <w:pPr>
        <w:rPr>
          <w:rFonts w:asciiTheme="minorHAnsi" w:hAnsiTheme="minorHAnsi"/>
        </w:rPr>
      </w:pPr>
      <w:r w:rsidRPr="00551BAB">
        <w:rPr>
          <w:rFonts w:asciiTheme="minorHAnsi" w:hAnsiTheme="minorHAnsi"/>
        </w:rPr>
        <w:t>- wykonaniu robót ziemnych,</w:t>
      </w:r>
    </w:p>
    <w:p w:rsidR="000E55F0" w:rsidRPr="00551BAB" w:rsidRDefault="000E55F0" w:rsidP="000E55F0">
      <w:pPr>
        <w:rPr>
          <w:rFonts w:asciiTheme="minorHAnsi" w:hAnsiTheme="minorHAnsi"/>
        </w:rPr>
      </w:pPr>
      <w:r w:rsidRPr="00551BAB">
        <w:rPr>
          <w:rFonts w:asciiTheme="minorHAnsi" w:hAnsiTheme="minorHAnsi"/>
        </w:rPr>
        <w:t>- wykonaniu koryta pod konstrukcję nawierzchni i zagęszczeniu podłoża,</w:t>
      </w:r>
    </w:p>
    <w:p w:rsidR="000E55F0" w:rsidRPr="00551BAB" w:rsidRDefault="000E55F0" w:rsidP="000E55F0">
      <w:pPr>
        <w:rPr>
          <w:rFonts w:asciiTheme="minorHAnsi" w:hAnsiTheme="minorHAnsi"/>
        </w:rPr>
      </w:pPr>
      <w:r w:rsidRPr="00551BAB">
        <w:rPr>
          <w:rFonts w:asciiTheme="minorHAnsi" w:hAnsiTheme="minorHAnsi"/>
        </w:rPr>
        <w:t>- odbiorowi końcowemu,</w:t>
      </w:r>
    </w:p>
    <w:p w:rsidR="000E55F0" w:rsidRPr="00551BAB" w:rsidRDefault="000E55F0" w:rsidP="000E55F0">
      <w:pPr>
        <w:rPr>
          <w:rFonts w:asciiTheme="minorHAnsi" w:hAnsiTheme="minorHAnsi"/>
        </w:rPr>
      </w:pPr>
      <w:r w:rsidRPr="00551BAB">
        <w:rPr>
          <w:rFonts w:asciiTheme="minorHAnsi" w:hAnsiTheme="minorHAnsi"/>
        </w:rPr>
        <w:t>- odbiorowi ostatecznemu.</w:t>
      </w:r>
    </w:p>
    <w:p w:rsidR="000E55F0" w:rsidRPr="00551BAB" w:rsidRDefault="000E55F0" w:rsidP="000E55F0">
      <w:pPr>
        <w:rPr>
          <w:rFonts w:asciiTheme="minorHAnsi" w:hAnsiTheme="minorHAnsi"/>
        </w:rPr>
      </w:pPr>
    </w:p>
    <w:p w:rsidR="000E55F0" w:rsidRPr="00551BAB" w:rsidRDefault="000E55F0" w:rsidP="000E55F0">
      <w:pPr>
        <w:rPr>
          <w:rFonts w:asciiTheme="minorHAnsi" w:hAnsiTheme="minorHAnsi"/>
          <w:b/>
        </w:rPr>
      </w:pPr>
      <w:bookmarkStart w:id="1683" w:name="_Toc451652757"/>
      <w:r w:rsidRPr="00551BAB">
        <w:rPr>
          <w:rFonts w:asciiTheme="minorHAnsi" w:hAnsiTheme="minorHAnsi"/>
          <w:b/>
        </w:rPr>
        <w:t xml:space="preserve">9. </w:t>
      </w:r>
      <w:bookmarkEnd w:id="1683"/>
      <w:r w:rsidRPr="00551BAB">
        <w:rPr>
          <w:rFonts w:asciiTheme="minorHAnsi" w:hAnsiTheme="minorHAnsi"/>
          <w:b/>
        </w:rPr>
        <w:t>PODSTAWA PŁATNOŚCI</w:t>
      </w:r>
    </w:p>
    <w:p w:rsidR="000E55F0" w:rsidRPr="00551BAB" w:rsidRDefault="000E55F0" w:rsidP="000E55F0">
      <w:pPr>
        <w:rPr>
          <w:rFonts w:asciiTheme="minorHAnsi" w:hAnsiTheme="minorHAnsi"/>
        </w:rPr>
      </w:pPr>
      <w:r w:rsidRPr="00551BAB">
        <w:rPr>
          <w:rFonts w:asciiTheme="minorHAnsi" w:hAnsiTheme="minorHAnsi"/>
        </w:rPr>
        <w:tab/>
        <w:t>Płatność za 1 m2 (metr kwadratowy) nawierzchni parkingu lub zatoki należy przyjmować zgodnie z obmiarem i oceną jakości robót.</w:t>
      </w:r>
    </w:p>
    <w:p w:rsidR="000E55F0" w:rsidRPr="00551BAB" w:rsidRDefault="000E55F0" w:rsidP="000E55F0">
      <w:pPr>
        <w:rPr>
          <w:rFonts w:asciiTheme="minorHAnsi" w:hAnsiTheme="minorHAnsi"/>
        </w:rPr>
      </w:pPr>
      <w:r w:rsidRPr="00551BAB">
        <w:rPr>
          <w:rFonts w:asciiTheme="minorHAnsi" w:hAnsiTheme="minorHAnsi"/>
        </w:rPr>
        <w:tab/>
        <w:t>Cena wykonania robót obejmuje:</w:t>
      </w:r>
    </w:p>
    <w:p w:rsidR="000E55F0" w:rsidRPr="00551BAB" w:rsidRDefault="000E55F0" w:rsidP="000E55F0">
      <w:pPr>
        <w:rPr>
          <w:rFonts w:asciiTheme="minorHAnsi" w:hAnsiTheme="minorHAnsi"/>
        </w:rPr>
      </w:pPr>
      <w:r w:rsidRPr="00551BAB">
        <w:rPr>
          <w:rFonts w:asciiTheme="minorHAnsi" w:hAnsiTheme="minorHAnsi"/>
        </w:rPr>
        <w:t>- prace pomiarowe i roboty przygotowawcze,</w:t>
      </w:r>
    </w:p>
    <w:p w:rsidR="000E55F0" w:rsidRPr="00551BAB" w:rsidRDefault="000E55F0" w:rsidP="000E55F0">
      <w:pPr>
        <w:rPr>
          <w:rFonts w:asciiTheme="minorHAnsi" w:hAnsiTheme="minorHAnsi"/>
        </w:rPr>
      </w:pPr>
      <w:r w:rsidRPr="00551BAB">
        <w:rPr>
          <w:rFonts w:asciiTheme="minorHAnsi" w:hAnsiTheme="minorHAnsi"/>
        </w:rPr>
        <w:t>- dostarczenie na teren budowy potrzebnych materiałów,</w:t>
      </w:r>
    </w:p>
    <w:p w:rsidR="000E55F0" w:rsidRPr="00551BAB" w:rsidRDefault="000E55F0" w:rsidP="000E55F0">
      <w:pPr>
        <w:rPr>
          <w:rFonts w:asciiTheme="minorHAnsi" w:hAnsiTheme="minorHAnsi"/>
        </w:rPr>
      </w:pPr>
      <w:r w:rsidRPr="00551BAB">
        <w:rPr>
          <w:rFonts w:asciiTheme="minorHAnsi" w:hAnsiTheme="minorHAnsi"/>
        </w:rPr>
        <w:t>- wykonanie robót ziemnych,</w:t>
      </w:r>
    </w:p>
    <w:p w:rsidR="000E55F0" w:rsidRPr="00551BAB" w:rsidRDefault="000E55F0" w:rsidP="000E55F0">
      <w:pPr>
        <w:rPr>
          <w:rFonts w:asciiTheme="minorHAnsi" w:hAnsiTheme="minorHAnsi"/>
        </w:rPr>
      </w:pPr>
      <w:r w:rsidRPr="00551BAB">
        <w:rPr>
          <w:rFonts w:asciiTheme="minorHAnsi" w:hAnsiTheme="minorHAnsi"/>
        </w:rPr>
        <w:t>- wykonanie koryta, ułożenie podbudowy oraz wykonanie podsypki,</w:t>
      </w:r>
    </w:p>
    <w:p w:rsidR="000E55F0" w:rsidRPr="00551BAB" w:rsidRDefault="000E55F0" w:rsidP="000E55F0">
      <w:pPr>
        <w:rPr>
          <w:rFonts w:asciiTheme="minorHAnsi" w:hAnsiTheme="minorHAnsi"/>
        </w:rPr>
      </w:pPr>
      <w:r w:rsidRPr="00551BAB">
        <w:rPr>
          <w:rFonts w:asciiTheme="minorHAnsi" w:hAnsiTheme="minorHAnsi"/>
        </w:rPr>
        <w:lastRenderedPageBreak/>
        <w:t>- wykonanie krawężników, obrzeży i peronów,</w:t>
      </w:r>
    </w:p>
    <w:p w:rsidR="000E55F0" w:rsidRPr="00551BAB" w:rsidRDefault="000E55F0" w:rsidP="000E55F0">
      <w:pPr>
        <w:rPr>
          <w:rFonts w:asciiTheme="minorHAnsi" w:hAnsiTheme="minorHAnsi"/>
        </w:rPr>
      </w:pPr>
      <w:r w:rsidRPr="00551BAB">
        <w:rPr>
          <w:rFonts w:asciiTheme="minorHAnsi" w:hAnsiTheme="minorHAnsi"/>
        </w:rPr>
        <w:t>- wykonanie nawierzchni,</w:t>
      </w:r>
    </w:p>
    <w:p w:rsidR="000E55F0" w:rsidRPr="00551BAB" w:rsidRDefault="000E55F0" w:rsidP="000E55F0">
      <w:pPr>
        <w:rPr>
          <w:rFonts w:asciiTheme="minorHAnsi" w:hAnsiTheme="minorHAnsi"/>
        </w:rPr>
      </w:pPr>
      <w:r w:rsidRPr="00551BAB">
        <w:rPr>
          <w:rFonts w:asciiTheme="minorHAnsi" w:hAnsiTheme="minorHAnsi"/>
        </w:rPr>
        <w:t>- wykonanie robót wykończeniowych i ewentualnie oznakowania poziomego i pionowego,</w:t>
      </w:r>
    </w:p>
    <w:p w:rsidR="000E55F0" w:rsidRPr="00551BAB" w:rsidRDefault="000E55F0" w:rsidP="000E55F0">
      <w:pPr>
        <w:rPr>
          <w:rFonts w:asciiTheme="minorHAnsi" w:hAnsiTheme="minorHAnsi"/>
        </w:rPr>
      </w:pPr>
      <w:r w:rsidRPr="00551BAB">
        <w:rPr>
          <w:rFonts w:asciiTheme="minorHAnsi" w:hAnsiTheme="minorHAnsi"/>
        </w:rPr>
        <w:t>- przeprowadzenie pomiarów i badań laboratoryjnych zgodnie z dokumentacją projektową i specyfikacją techniczną.</w:t>
      </w:r>
    </w:p>
    <w:p w:rsidR="000E55F0" w:rsidRPr="00551BAB" w:rsidRDefault="000E55F0" w:rsidP="000E55F0">
      <w:pPr>
        <w:rPr>
          <w:rFonts w:asciiTheme="minorHAnsi" w:hAnsiTheme="minorHAnsi"/>
        </w:rPr>
      </w:pPr>
    </w:p>
    <w:p w:rsidR="000E55F0" w:rsidRPr="00551BAB" w:rsidRDefault="000E55F0" w:rsidP="000E55F0">
      <w:pPr>
        <w:rPr>
          <w:rFonts w:asciiTheme="minorHAnsi" w:hAnsiTheme="minorHAnsi"/>
          <w:b/>
        </w:rPr>
      </w:pPr>
      <w:bookmarkStart w:id="1684" w:name="_Toc451652758"/>
      <w:r w:rsidRPr="00551BAB">
        <w:rPr>
          <w:rFonts w:asciiTheme="minorHAnsi" w:hAnsiTheme="minorHAnsi"/>
          <w:b/>
        </w:rPr>
        <w:t xml:space="preserve">10. </w:t>
      </w:r>
      <w:bookmarkEnd w:id="1684"/>
      <w:r w:rsidRPr="00551BAB">
        <w:rPr>
          <w:rFonts w:asciiTheme="minorHAnsi" w:hAnsiTheme="minorHAnsi"/>
          <w:b/>
        </w:rPr>
        <w:t>PRZEPISY ZWIĄZANE</w:t>
      </w:r>
    </w:p>
    <w:p w:rsidR="000E55F0" w:rsidRPr="00551BAB" w:rsidRDefault="000E55F0" w:rsidP="000E55F0">
      <w:pPr>
        <w:rPr>
          <w:rFonts w:asciiTheme="minorHAnsi" w:hAnsiTheme="minorHAnsi"/>
        </w:rPr>
      </w:pPr>
      <w:r w:rsidRPr="00551BAB">
        <w:rPr>
          <w:rFonts w:asciiTheme="minorHAnsi" w:hAnsiTheme="minorHAnsi"/>
        </w:rPr>
        <w:t>Normy</w:t>
      </w:r>
    </w:p>
    <w:tbl>
      <w:tblPr>
        <w:tblW w:w="0" w:type="auto"/>
        <w:tblLayout w:type="fixed"/>
        <w:tblCellMar>
          <w:left w:w="70" w:type="dxa"/>
          <w:right w:w="70" w:type="dxa"/>
        </w:tblCellMar>
        <w:tblLook w:val="0000"/>
      </w:tblPr>
      <w:tblGrid>
        <w:gridCol w:w="496"/>
        <w:gridCol w:w="1881"/>
        <w:gridCol w:w="5132"/>
      </w:tblGrid>
      <w:tr w:rsidR="000E55F0" w:rsidRPr="00551BAB" w:rsidTr="00C26550">
        <w:tc>
          <w:tcPr>
            <w:tcW w:w="496" w:type="dxa"/>
          </w:tcPr>
          <w:p w:rsidR="000E55F0" w:rsidRPr="00551BAB" w:rsidRDefault="000E55F0" w:rsidP="00C26550">
            <w:pPr>
              <w:rPr>
                <w:rFonts w:asciiTheme="minorHAnsi" w:hAnsiTheme="minorHAnsi"/>
              </w:rPr>
            </w:pPr>
            <w:r w:rsidRPr="00551BAB">
              <w:rPr>
                <w:rFonts w:asciiTheme="minorHAnsi" w:hAnsiTheme="minorHAnsi"/>
              </w:rPr>
              <w:t>1.</w:t>
            </w:r>
          </w:p>
        </w:tc>
        <w:tc>
          <w:tcPr>
            <w:tcW w:w="1881" w:type="dxa"/>
          </w:tcPr>
          <w:p w:rsidR="000E55F0" w:rsidRPr="00551BAB" w:rsidRDefault="000E55F0" w:rsidP="00C26550">
            <w:pPr>
              <w:rPr>
                <w:rFonts w:asciiTheme="minorHAnsi" w:hAnsiTheme="minorHAnsi"/>
              </w:rPr>
            </w:pPr>
            <w:r w:rsidRPr="00551BAB">
              <w:rPr>
                <w:rFonts w:asciiTheme="minorHAnsi" w:hAnsiTheme="minorHAnsi"/>
              </w:rPr>
              <w:t>PN-88/B-30000</w:t>
            </w:r>
          </w:p>
        </w:tc>
        <w:tc>
          <w:tcPr>
            <w:tcW w:w="5132" w:type="dxa"/>
          </w:tcPr>
          <w:p w:rsidR="000E55F0" w:rsidRPr="00551BAB" w:rsidRDefault="000E55F0" w:rsidP="00C26550">
            <w:pPr>
              <w:rPr>
                <w:rFonts w:asciiTheme="minorHAnsi" w:hAnsiTheme="minorHAnsi"/>
              </w:rPr>
            </w:pPr>
            <w:r w:rsidRPr="00551BAB">
              <w:rPr>
                <w:rFonts w:asciiTheme="minorHAnsi" w:hAnsiTheme="minorHAnsi"/>
              </w:rPr>
              <w:t>Cement portlandzki</w:t>
            </w:r>
          </w:p>
        </w:tc>
      </w:tr>
      <w:tr w:rsidR="000E55F0" w:rsidRPr="00551BAB" w:rsidTr="00C26550">
        <w:tc>
          <w:tcPr>
            <w:tcW w:w="496" w:type="dxa"/>
          </w:tcPr>
          <w:p w:rsidR="000E55F0" w:rsidRPr="00551BAB" w:rsidRDefault="000E55F0" w:rsidP="00C26550">
            <w:pPr>
              <w:rPr>
                <w:rFonts w:asciiTheme="minorHAnsi" w:hAnsiTheme="minorHAnsi"/>
              </w:rPr>
            </w:pPr>
            <w:r w:rsidRPr="00551BAB">
              <w:rPr>
                <w:rFonts w:asciiTheme="minorHAnsi" w:hAnsiTheme="minorHAnsi"/>
              </w:rPr>
              <w:t>2.</w:t>
            </w:r>
          </w:p>
        </w:tc>
        <w:tc>
          <w:tcPr>
            <w:tcW w:w="1881" w:type="dxa"/>
          </w:tcPr>
          <w:p w:rsidR="000E55F0" w:rsidRPr="00551BAB" w:rsidRDefault="000E55F0" w:rsidP="00C26550">
            <w:pPr>
              <w:rPr>
                <w:rFonts w:asciiTheme="minorHAnsi" w:hAnsiTheme="minorHAnsi"/>
              </w:rPr>
            </w:pPr>
            <w:r w:rsidRPr="00551BAB">
              <w:rPr>
                <w:rFonts w:asciiTheme="minorHAnsi" w:hAnsiTheme="minorHAnsi"/>
              </w:rPr>
              <w:t>PN-88/B-32250</w:t>
            </w:r>
          </w:p>
        </w:tc>
        <w:tc>
          <w:tcPr>
            <w:tcW w:w="5132" w:type="dxa"/>
          </w:tcPr>
          <w:p w:rsidR="000E55F0" w:rsidRPr="00551BAB" w:rsidRDefault="000E55F0" w:rsidP="00C26550">
            <w:pPr>
              <w:rPr>
                <w:rFonts w:asciiTheme="minorHAnsi" w:hAnsiTheme="minorHAnsi"/>
              </w:rPr>
            </w:pPr>
            <w:r w:rsidRPr="00551BAB">
              <w:rPr>
                <w:rFonts w:asciiTheme="minorHAnsi" w:hAnsiTheme="minorHAnsi"/>
              </w:rPr>
              <w:t>Materiały budowlane. Woda do betonów i zapraw</w:t>
            </w:r>
          </w:p>
        </w:tc>
      </w:tr>
      <w:tr w:rsidR="000E55F0" w:rsidRPr="00551BAB" w:rsidTr="00C26550">
        <w:tc>
          <w:tcPr>
            <w:tcW w:w="496" w:type="dxa"/>
          </w:tcPr>
          <w:p w:rsidR="000E55F0" w:rsidRPr="00551BAB" w:rsidRDefault="000E55F0" w:rsidP="00C26550">
            <w:pPr>
              <w:rPr>
                <w:rFonts w:asciiTheme="minorHAnsi" w:hAnsiTheme="minorHAnsi"/>
              </w:rPr>
            </w:pPr>
            <w:r w:rsidRPr="00551BAB">
              <w:rPr>
                <w:rFonts w:asciiTheme="minorHAnsi" w:hAnsiTheme="minorHAnsi"/>
              </w:rPr>
              <w:t>3.</w:t>
            </w:r>
          </w:p>
        </w:tc>
        <w:tc>
          <w:tcPr>
            <w:tcW w:w="1881" w:type="dxa"/>
          </w:tcPr>
          <w:p w:rsidR="000E55F0" w:rsidRPr="00551BAB" w:rsidRDefault="000E55F0" w:rsidP="00C26550">
            <w:pPr>
              <w:rPr>
                <w:rFonts w:asciiTheme="minorHAnsi" w:hAnsiTheme="minorHAnsi"/>
              </w:rPr>
            </w:pPr>
            <w:r w:rsidRPr="00551BAB">
              <w:rPr>
                <w:rFonts w:asciiTheme="minorHAnsi" w:hAnsiTheme="minorHAnsi"/>
              </w:rPr>
              <w:t>PN-58/S-96026</w:t>
            </w:r>
          </w:p>
        </w:tc>
        <w:tc>
          <w:tcPr>
            <w:tcW w:w="5132" w:type="dxa"/>
          </w:tcPr>
          <w:p w:rsidR="000E55F0" w:rsidRPr="00551BAB" w:rsidRDefault="000E55F0" w:rsidP="00C26550">
            <w:pPr>
              <w:rPr>
                <w:rFonts w:asciiTheme="minorHAnsi" w:hAnsiTheme="minorHAnsi"/>
              </w:rPr>
            </w:pPr>
            <w:r w:rsidRPr="00551BAB">
              <w:rPr>
                <w:rFonts w:asciiTheme="minorHAnsi" w:hAnsiTheme="minorHAnsi"/>
              </w:rPr>
              <w:t>Drogi samochodowe. Nawierzchnie z kostki kamiennej nieregularnej. Wymagania techniczne i badania przy odbiorze</w:t>
            </w:r>
          </w:p>
        </w:tc>
      </w:tr>
      <w:tr w:rsidR="000E55F0" w:rsidRPr="00551BAB" w:rsidTr="00C26550">
        <w:tc>
          <w:tcPr>
            <w:tcW w:w="496" w:type="dxa"/>
          </w:tcPr>
          <w:p w:rsidR="000E55F0" w:rsidRPr="00551BAB" w:rsidRDefault="000E55F0" w:rsidP="00C26550">
            <w:pPr>
              <w:rPr>
                <w:rFonts w:asciiTheme="minorHAnsi" w:hAnsiTheme="minorHAnsi"/>
              </w:rPr>
            </w:pPr>
            <w:r w:rsidRPr="00551BAB">
              <w:rPr>
                <w:rFonts w:asciiTheme="minorHAnsi" w:hAnsiTheme="minorHAnsi"/>
              </w:rPr>
              <w:t>4.</w:t>
            </w:r>
          </w:p>
        </w:tc>
        <w:tc>
          <w:tcPr>
            <w:tcW w:w="1881" w:type="dxa"/>
          </w:tcPr>
          <w:p w:rsidR="000E55F0" w:rsidRPr="00551BAB" w:rsidRDefault="000E55F0" w:rsidP="00C26550">
            <w:pPr>
              <w:rPr>
                <w:rFonts w:asciiTheme="minorHAnsi" w:hAnsiTheme="minorHAnsi"/>
              </w:rPr>
            </w:pPr>
            <w:r w:rsidRPr="00551BAB">
              <w:rPr>
                <w:rFonts w:asciiTheme="minorHAnsi" w:hAnsiTheme="minorHAnsi"/>
              </w:rPr>
              <w:t>BN-88/6731-08</w:t>
            </w:r>
          </w:p>
        </w:tc>
        <w:tc>
          <w:tcPr>
            <w:tcW w:w="5132" w:type="dxa"/>
          </w:tcPr>
          <w:p w:rsidR="000E55F0" w:rsidRPr="00551BAB" w:rsidRDefault="000E55F0" w:rsidP="00C26550">
            <w:pPr>
              <w:rPr>
                <w:rFonts w:asciiTheme="minorHAnsi" w:hAnsiTheme="minorHAnsi"/>
              </w:rPr>
            </w:pPr>
            <w:r w:rsidRPr="00551BAB">
              <w:rPr>
                <w:rFonts w:asciiTheme="minorHAnsi" w:hAnsiTheme="minorHAnsi"/>
              </w:rPr>
              <w:t>Cement. Transport i przechowywanie</w:t>
            </w:r>
          </w:p>
        </w:tc>
      </w:tr>
      <w:tr w:rsidR="000E55F0" w:rsidRPr="00551BAB" w:rsidTr="00C26550">
        <w:tc>
          <w:tcPr>
            <w:tcW w:w="496" w:type="dxa"/>
          </w:tcPr>
          <w:p w:rsidR="000E55F0" w:rsidRPr="00551BAB" w:rsidRDefault="000E55F0" w:rsidP="00C26550">
            <w:pPr>
              <w:rPr>
                <w:rFonts w:asciiTheme="minorHAnsi" w:hAnsiTheme="minorHAnsi"/>
              </w:rPr>
            </w:pPr>
            <w:r w:rsidRPr="00551BAB">
              <w:rPr>
                <w:rFonts w:asciiTheme="minorHAnsi" w:hAnsiTheme="minorHAnsi"/>
              </w:rPr>
              <w:t>5.</w:t>
            </w:r>
          </w:p>
        </w:tc>
        <w:tc>
          <w:tcPr>
            <w:tcW w:w="1881" w:type="dxa"/>
          </w:tcPr>
          <w:p w:rsidR="000E55F0" w:rsidRPr="00551BAB" w:rsidRDefault="000E55F0" w:rsidP="00C26550">
            <w:pPr>
              <w:rPr>
                <w:rFonts w:asciiTheme="minorHAnsi" w:hAnsiTheme="minorHAnsi"/>
              </w:rPr>
            </w:pPr>
            <w:r w:rsidRPr="00551BAB">
              <w:rPr>
                <w:rFonts w:asciiTheme="minorHAnsi" w:hAnsiTheme="minorHAnsi"/>
              </w:rPr>
              <w:t>BN-66/6774-01</w:t>
            </w:r>
          </w:p>
        </w:tc>
        <w:tc>
          <w:tcPr>
            <w:tcW w:w="5132" w:type="dxa"/>
          </w:tcPr>
          <w:p w:rsidR="000E55F0" w:rsidRPr="00551BAB" w:rsidRDefault="000E55F0" w:rsidP="00C26550">
            <w:pPr>
              <w:rPr>
                <w:rFonts w:asciiTheme="minorHAnsi" w:hAnsiTheme="minorHAnsi"/>
              </w:rPr>
            </w:pPr>
            <w:r w:rsidRPr="00551BAB">
              <w:rPr>
                <w:rFonts w:asciiTheme="minorHAnsi" w:hAnsiTheme="minorHAnsi"/>
              </w:rPr>
              <w:t>Kruszywa naturalne do nawierzchni drogowych i kolejowych. Żwir i pospółka</w:t>
            </w:r>
          </w:p>
        </w:tc>
      </w:tr>
      <w:tr w:rsidR="000E55F0" w:rsidRPr="00551BAB" w:rsidTr="00C26550">
        <w:tc>
          <w:tcPr>
            <w:tcW w:w="496" w:type="dxa"/>
          </w:tcPr>
          <w:p w:rsidR="000E55F0" w:rsidRPr="00551BAB" w:rsidRDefault="000E55F0" w:rsidP="00C26550">
            <w:pPr>
              <w:rPr>
                <w:rFonts w:asciiTheme="minorHAnsi" w:hAnsiTheme="minorHAnsi"/>
              </w:rPr>
            </w:pPr>
            <w:r w:rsidRPr="00551BAB">
              <w:rPr>
                <w:rFonts w:asciiTheme="minorHAnsi" w:hAnsiTheme="minorHAnsi"/>
              </w:rPr>
              <w:t>6.</w:t>
            </w:r>
          </w:p>
        </w:tc>
        <w:tc>
          <w:tcPr>
            <w:tcW w:w="1881" w:type="dxa"/>
          </w:tcPr>
          <w:p w:rsidR="000E55F0" w:rsidRPr="00551BAB" w:rsidRDefault="000E55F0" w:rsidP="00C26550">
            <w:pPr>
              <w:rPr>
                <w:rFonts w:asciiTheme="minorHAnsi" w:hAnsiTheme="minorHAnsi"/>
              </w:rPr>
            </w:pPr>
            <w:r w:rsidRPr="00551BAB">
              <w:rPr>
                <w:rFonts w:asciiTheme="minorHAnsi" w:hAnsiTheme="minorHAnsi"/>
              </w:rPr>
              <w:t>BN-87/6774-04</w:t>
            </w:r>
          </w:p>
        </w:tc>
        <w:tc>
          <w:tcPr>
            <w:tcW w:w="5132" w:type="dxa"/>
          </w:tcPr>
          <w:p w:rsidR="000E55F0" w:rsidRPr="00551BAB" w:rsidRDefault="000E55F0" w:rsidP="00C26550">
            <w:pPr>
              <w:rPr>
                <w:rFonts w:asciiTheme="minorHAnsi" w:hAnsiTheme="minorHAnsi"/>
              </w:rPr>
            </w:pPr>
            <w:r w:rsidRPr="00551BAB">
              <w:rPr>
                <w:rFonts w:asciiTheme="minorHAnsi" w:hAnsiTheme="minorHAnsi"/>
              </w:rPr>
              <w:t>Kruszywo mineralne. Kruszywo naturalne do nawierzchni drogowych. Piasek</w:t>
            </w:r>
          </w:p>
        </w:tc>
      </w:tr>
      <w:tr w:rsidR="000E55F0" w:rsidRPr="00551BAB" w:rsidTr="00C26550">
        <w:tc>
          <w:tcPr>
            <w:tcW w:w="496" w:type="dxa"/>
          </w:tcPr>
          <w:p w:rsidR="000E55F0" w:rsidRPr="00551BAB" w:rsidRDefault="000E55F0" w:rsidP="00C26550">
            <w:pPr>
              <w:rPr>
                <w:rFonts w:asciiTheme="minorHAnsi" w:hAnsiTheme="minorHAnsi"/>
              </w:rPr>
            </w:pPr>
            <w:r w:rsidRPr="00551BAB">
              <w:rPr>
                <w:rFonts w:asciiTheme="minorHAnsi" w:hAnsiTheme="minorHAnsi"/>
              </w:rPr>
              <w:t>7.</w:t>
            </w:r>
          </w:p>
        </w:tc>
        <w:tc>
          <w:tcPr>
            <w:tcW w:w="1881" w:type="dxa"/>
          </w:tcPr>
          <w:p w:rsidR="000E55F0" w:rsidRPr="00551BAB" w:rsidRDefault="000E55F0" w:rsidP="00C26550">
            <w:pPr>
              <w:rPr>
                <w:rFonts w:asciiTheme="minorHAnsi" w:hAnsiTheme="minorHAnsi"/>
              </w:rPr>
            </w:pPr>
            <w:r w:rsidRPr="00551BAB">
              <w:rPr>
                <w:rFonts w:asciiTheme="minorHAnsi" w:hAnsiTheme="minorHAnsi"/>
              </w:rPr>
              <w:t>BN-80/6775-03.01</w:t>
            </w:r>
          </w:p>
        </w:tc>
        <w:tc>
          <w:tcPr>
            <w:tcW w:w="5132" w:type="dxa"/>
          </w:tcPr>
          <w:p w:rsidR="000E55F0" w:rsidRPr="00551BAB" w:rsidRDefault="000E55F0" w:rsidP="00C26550">
            <w:pPr>
              <w:rPr>
                <w:rFonts w:asciiTheme="minorHAnsi" w:hAnsiTheme="minorHAnsi"/>
              </w:rPr>
            </w:pPr>
            <w:r w:rsidRPr="00551BAB">
              <w:rPr>
                <w:rFonts w:asciiTheme="minorHAnsi" w:hAnsiTheme="minorHAnsi"/>
              </w:rPr>
              <w:t>Prefabrykaty budowlane z betonu. Elementy nawierzchni dróg, ulic, parkingów i torowisk tramwajowych. Wspólne wymagania i badania</w:t>
            </w:r>
          </w:p>
        </w:tc>
      </w:tr>
      <w:tr w:rsidR="000E55F0" w:rsidRPr="00551BAB" w:rsidTr="00C26550">
        <w:tc>
          <w:tcPr>
            <w:tcW w:w="496" w:type="dxa"/>
          </w:tcPr>
          <w:p w:rsidR="000E55F0" w:rsidRPr="00551BAB" w:rsidRDefault="000E55F0" w:rsidP="00C26550">
            <w:pPr>
              <w:rPr>
                <w:rFonts w:asciiTheme="minorHAnsi" w:hAnsiTheme="minorHAnsi"/>
              </w:rPr>
            </w:pPr>
            <w:r w:rsidRPr="00551BAB">
              <w:rPr>
                <w:rFonts w:asciiTheme="minorHAnsi" w:hAnsiTheme="minorHAnsi"/>
              </w:rPr>
              <w:t>8.</w:t>
            </w:r>
          </w:p>
        </w:tc>
        <w:tc>
          <w:tcPr>
            <w:tcW w:w="1881" w:type="dxa"/>
          </w:tcPr>
          <w:p w:rsidR="000E55F0" w:rsidRPr="00551BAB" w:rsidRDefault="000E55F0" w:rsidP="00C26550">
            <w:pPr>
              <w:rPr>
                <w:rFonts w:asciiTheme="minorHAnsi" w:hAnsiTheme="minorHAnsi"/>
              </w:rPr>
            </w:pPr>
            <w:r w:rsidRPr="00551BAB">
              <w:rPr>
                <w:rFonts w:asciiTheme="minorHAnsi" w:hAnsiTheme="minorHAnsi"/>
              </w:rPr>
              <w:t>BN-80/6775-03.04</w:t>
            </w:r>
          </w:p>
        </w:tc>
        <w:tc>
          <w:tcPr>
            <w:tcW w:w="5132" w:type="dxa"/>
          </w:tcPr>
          <w:p w:rsidR="000E55F0" w:rsidRPr="00551BAB" w:rsidRDefault="000E55F0" w:rsidP="00C26550">
            <w:pPr>
              <w:rPr>
                <w:rFonts w:asciiTheme="minorHAnsi" w:hAnsiTheme="minorHAnsi"/>
              </w:rPr>
            </w:pPr>
            <w:r w:rsidRPr="00551BAB">
              <w:rPr>
                <w:rFonts w:asciiTheme="minorHAnsi" w:hAnsiTheme="minorHAnsi"/>
              </w:rPr>
              <w:t>Prefabrykaty budowlane z betonu. Elementy nawierzchni dróg, ulic, parkingów i torowisk tramwajowych. Krawężniki i obrzeża.</w:t>
            </w:r>
          </w:p>
        </w:tc>
      </w:tr>
    </w:tbl>
    <w:p w:rsidR="001F742D" w:rsidRDefault="001F742D" w:rsidP="001F742D"/>
    <w:p w:rsidR="001F742D" w:rsidRDefault="001F742D" w:rsidP="001F742D"/>
    <w:p w:rsidR="001F742D" w:rsidRDefault="001F742D" w:rsidP="001F742D"/>
    <w:p w:rsidR="001F742D" w:rsidRDefault="001F742D" w:rsidP="001F742D"/>
    <w:p w:rsidR="001F742D" w:rsidRDefault="001F742D" w:rsidP="001F742D"/>
    <w:p w:rsidR="001F742D" w:rsidRDefault="001F742D" w:rsidP="001F742D"/>
    <w:p w:rsidR="001F742D" w:rsidRDefault="001F742D" w:rsidP="001F742D"/>
    <w:p w:rsidR="001F742D" w:rsidRDefault="001F742D" w:rsidP="001F742D"/>
    <w:p w:rsidR="001F742D" w:rsidRDefault="001F742D" w:rsidP="001F742D"/>
    <w:p w:rsidR="001F742D" w:rsidRDefault="001F742D" w:rsidP="001F742D"/>
    <w:p w:rsidR="001F742D" w:rsidRDefault="001F742D" w:rsidP="001F742D"/>
    <w:p w:rsidR="001F742D" w:rsidRDefault="001F742D" w:rsidP="001F742D"/>
    <w:p w:rsidR="001F742D" w:rsidRDefault="001F742D" w:rsidP="001F742D"/>
    <w:p w:rsidR="001F742D" w:rsidRDefault="001F742D" w:rsidP="001F742D"/>
    <w:p w:rsidR="001F742D" w:rsidRDefault="001F742D" w:rsidP="001F742D"/>
    <w:p w:rsidR="000C27BF" w:rsidRDefault="000C27BF" w:rsidP="001F742D"/>
    <w:p w:rsidR="000C27BF" w:rsidRDefault="000C27BF" w:rsidP="001F742D"/>
    <w:p w:rsidR="000E55F0" w:rsidRDefault="000E55F0" w:rsidP="001F742D"/>
    <w:p w:rsidR="000E55F0" w:rsidRDefault="000E55F0" w:rsidP="001F742D"/>
    <w:p w:rsidR="000E55F0" w:rsidRDefault="000E55F0" w:rsidP="001F742D"/>
    <w:p w:rsidR="000E55F0" w:rsidRDefault="000E55F0" w:rsidP="001F742D"/>
    <w:p w:rsidR="000E55F0" w:rsidRDefault="000E55F0" w:rsidP="001F742D"/>
    <w:p w:rsidR="000E55F0" w:rsidRDefault="000E55F0" w:rsidP="001F742D"/>
    <w:p w:rsidR="000E55F0" w:rsidRDefault="000E55F0" w:rsidP="001F742D"/>
    <w:p w:rsidR="000E55F0" w:rsidRDefault="000E55F0" w:rsidP="001F742D"/>
    <w:p w:rsidR="000E55F0" w:rsidRDefault="000E55F0" w:rsidP="001F742D"/>
    <w:p w:rsidR="000E55F0" w:rsidRDefault="000E55F0" w:rsidP="001F742D"/>
    <w:p w:rsidR="000E55F0" w:rsidRDefault="000E55F0" w:rsidP="001F742D"/>
    <w:p w:rsidR="000E55F0" w:rsidRDefault="000E55F0" w:rsidP="001F742D"/>
    <w:p w:rsidR="000E55F0" w:rsidRDefault="000E55F0" w:rsidP="001F742D"/>
    <w:p w:rsidR="000E55F0" w:rsidRDefault="000E55F0" w:rsidP="001F742D"/>
    <w:p w:rsidR="000E55F0" w:rsidRDefault="000E55F0" w:rsidP="001F742D"/>
    <w:p w:rsidR="000E55F0" w:rsidRDefault="000E55F0" w:rsidP="001F742D"/>
    <w:p w:rsidR="000E55F0" w:rsidRDefault="000E55F0" w:rsidP="001F742D"/>
    <w:p w:rsidR="000E55F0" w:rsidRDefault="000E55F0" w:rsidP="001F742D"/>
    <w:p w:rsidR="000E55F0" w:rsidRDefault="000E55F0" w:rsidP="001F742D"/>
    <w:p w:rsidR="000E55F0" w:rsidRDefault="000E55F0" w:rsidP="001F742D"/>
    <w:p w:rsidR="000E55F0" w:rsidRDefault="000E55F0" w:rsidP="001F742D"/>
    <w:p w:rsidR="000E55F0" w:rsidRDefault="000E55F0" w:rsidP="001F742D"/>
    <w:p w:rsidR="000E55F0" w:rsidRDefault="000E55F0" w:rsidP="001F742D"/>
    <w:p w:rsidR="000E55F0" w:rsidRDefault="000E55F0" w:rsidP="001F742D"/>
    <w:p w:rsidR="000E55F0" w:rsidRDefault="000E55F0" w:rsidP="001F742D"/>
    <w:p w:rsidR="000C27BF" w:rsidRDefault="000C27BF" w:rsidP="001F742D"/>
    <w:p w:rsidR="001F742D" w:rsidRDefault="001F742D" w:rsidP="001F742D"/>
    <w:p w:rsidR="00072571" w:rsidRDefault="00072571" w:rsidP="001F742D"/>
    <w:p w:rsidR="00072571" w:rsidRDefault="00072571" w:rsidP="001F742D"/>
    <w:p w:rsidR="0073077E" w:rsidRDefault="0073077E" w:rsidP="0073077E">
      <w:pPr>
        <w:pStyle w:val="Nagwek1"/>
        <w:jc w:val="center"/>
      </w:pPr>
    </w:p>
    <w:p w:rsidR="001F742D" w:rsidRPr="001F742D" w:rsidRDefault="001F742D" w:rsidP="001F742D"/>
    <w:p w:rsidR="0073077E" w:rsidRPr="004C3772" w:rsidRDefault="0073077E" w:rsidP="0073077E">
      <w:pPr>
        <w:pStyle w:val="Nagwek1"/>
        <w:jc w:val="center"/>
      </w:pPr>
      <w:bookmarkStart w:id="1685" w:name="_Toc438237746"/>
      <w:r w:rsidRPr="004C3772">
        <w:t>D–10.10.01m REKULTYWACJA GRUNTÓW PRZYDROŻNYCH</w:t>
      </w:r>
      <w:bookmarkEnd w:id="1661"/>
      <w:bookmarkEnd w:id="1685"/>
    </w:p>
    <w:p w:rsidR="0073077E" w:rsidRPr="004C3772" w:rsidRDefault="0073077E" w:rsidP="0073077E">
      <w:pPr>
        <w:rPr>
          <w:rFonts w:asciiTheme="minorHAnsi" w:hAnsiTheme="minorHAnsi"/>
          <w:b/>
        </w:rPr>
      </w:pPr>
    </w:p>
    <w:p w:rsidR="0073077E" w:rsidRPr="004C3772" w:rsidRDefault="0073077E" w:rsidP="0073077E">
      <w:pPr>
        <w:rPr>
          <w:rFonts w:asciiTheme="minorHAnsi" w:hAnsiTheme="minorHAnsi"/>
          <w:b/>
        </w:rPr>
      </w:pPr>
    </w:p>
    <w:p w:rsidR="0073077E" w:rsidRPr="004C3772" w:rsidRDefault="0073077E" w:rsidP="0073077E">
      <w:pPr>
        <w:rPr>
          <w:rFonts w:asciiTheme="minorHAnsi" w:hAnsiTheme="minorHAnsi"/>
          <w:b/>
        </w:rPr>
      </w:pPr>
    </w:p>
    <w:p w:rsidR="0073077E" w:rsidRPr="004C3772" w:rsidRDefault="0073077E" w:rsidP="0073077E">
      <w:pPr>
        <w:rPr>
          <w:rFonts w:asciiTheme="minorHAnsi" w:hAnsiTheme="minorHAnsi"/>
          <w:b/>
        </w:rPr>
      </w:pPr>
    </w:p>
    <w:p w:rsidR="0073077E" w:rsidRPr="004C3772" w:rsidRDefault="0073077E" w:rsidP="0073077E">
      <w:pPr>
        <w:rPr>
          <w:rFonts w:asciiTheme="minorHAnsi" w:hAnsiTheme="minorHAnsi"/>
          <w:b/>
        </w:rPr>
      </w:pPr>
    </w:p>
    <w:p w:rsidR="0073077E" w:rsidRPr="004C3772" w:rsidRDefault="0073077E" w:rsidP="0073077E">
      <w:pPr>
        <w:rPr>
          <w:rFonts w:asciiTheme="minorHAnsi" w:hAnsiTheme="minorHAnsi"/>
          <w:b/>
        </w:rPr>
      </w:pPr>
    </w:p>
    <w:p w:rsidR="0073077E" w:rsidRDefault="0073077E" w:rsidP="0073077E">
      <w:pPr>
        <w:rPr>
          <w:rFonts w:asciiTheme="minorHAnsi" w:hAnsiTheme="minorHAnsi"/>
          <w:b/>
        </w:rPr>
      </w:pPr>
    </w:p>
    <w:p w:rsidR="0073077E" w:rsidRDefault="0073077E" w:rsidP="0073077E">
      <w:pPr>
        <w:rPr>
          <w:rFonts w:asciiTheme="minorHAnsi" w:hAnsiTheme="minorHAnsi"/>
          <w:b/>
        </w:rPr>
      </w:pPr>
    </w:p>
    <w:p w:rsidR="0073077E" w:rsidRDefault="0073077E" w:rsidP="0073077E">
      <w:pPr>
        <w:rPr>
          <w:rFonts w:asciiTheme="minorHAnsi" w:hAnsiTheme="minorHAnsi"/>
          <w:b/>
        </w:rPr>
      </w:pPr>
    </w:p>
    <w:p w:rsidR="0073077E" w:rsidRDefault="0073077E" w:rsidP="0073077E">
      <w:pPr>
        <w:rPr>
          <w:rFonts w:asciiTheme="minorHAnsi" w:hAnsiTheme="minorHAnsi"/>
          <w:b/>
        </w:rPr>
      </w:pPr>
    </w:p>
    <w:p w:rsidR="0073077E" w:rsidRDefault="0073077E" w:rsidP="0073077E">
      <w:pPr>
        <w:rPr>
          <w:rFonts w:asciiTheme="minorHAnsi" w:hAnsiTheme="minorHAnsi"/>
          <w:b/>
        </w:rPr>
      </w:pPr>
    </w:p>
    <w:p w:rsidR="0073077E" w:rsidRDefault="0073077E" w:rsidP="0073077E">
      <w:pPr>
        <w:rPr>
          <w:rFonts w:asciiTheme="minorHAnsi" w:hAnsiTheme="minorHAnsi"/>
          <w:b/>
        </w:rPr>
      </w:pPr>
    </w:p>
    <w:p w:rsidR="0073077E" w:rsidRDefault="0073077E" w:rsidP="0073077E">
      <w:pPr>
        <w:rPr>
          <w:rFonts w:asciiTheme="minorHAnsi" w:hAnsiTheme="minorHAnsi"/>
          <w:b/>
        </w:rPr>
      </w:pPr>
    </w:p>
    <w:p w:rsidR="0073077E" w:rsidRDefault="0073077E" w:rsidP="0073077E">
      <w:pPr>
        <w:rPr>
          <w:rFonts w:asciiTheme="minorHAnsi" w:hAnsiTheme="minorHAnsi"/>
          <w:b/>
        </w:rPr>
      </w:pPr>
    </w:p>
    <w:p w:rsidR="0073077E" w:rsidRDefault="0073077E" w:rsidP="0073077E">
      <w:pPr>
        <w:rPr>
          <w:rFonts w:asciiTheme="minorHAnsi" w:hAnsiTheme="minorHAnsi"/>
          <w:b/>
        </w:rPr>
      </w:pPr>
    </w:p>
    <w:p w:rsidR="0073077E" w:rsidRDefault="0073077E" w:rsidP="0073077E">
      <w:pPr>
        <w:rPr>
          <w:rFonts w:asciiTheme="minorHAnsi" w:hAnsiTheme="minorHAnsi"/>
          <w:b/>
        </w:rPr>
      </w:pPr>
    </w:p>
    <w:p w:rsidR="0073077E" w:rsidRDefault="0073077E" w:rsidP="0073077E">
      <w:pPr>
        <w:rPr>
          <w:rFonts w:asciiTheme="minorHAnsi" w:hAnsiTheme="minorHAnsi"/>
          <w:b/>
        </w:rPr>
      </w:pPr>
    </w:p>
    <w:p w:rsidR="0073077E" w:rsidRDefault="0073077E" w:rsidP="0073077E">
      <w:pPr>
        <w:rPr>
          <w:rFonts w:asciiTheme="minorHAnsi" w:hAnsiTheme="minorHAnsi"/>
          <w:b/>
        </w:rPr>
      </w:pPr>
    </w:p>
    <w:p w:rsidR="0073077E" w:rsidRDefault="0073077E" w:rsidP="0073077E">
      <w:pPr>
        <w:rPr>
          <w:rFonts w:asciiTheme="minorHAnsi" w:hAnsiTheme="minorHAnsi"/>
          <w:b/>
        </w:rPr>
      </w:pPr>
    </w:p>
    <w:p w:rsidR="0073077E" w:rsidRDefault="0073077E" w:rsidP="0073077E">
      <w:pPr>
        <w:rPr>
          <w:rFonts w:asciiTheme="minorHAnsi" w:hAnsiTheme="minorHAnsi"/>
          <w:b/>
        </w:rPr>
      </w:pPr>
    </w:p>
    <w:p w:rsidR="0073077E" w:rsidRDefault="0073077E" w:rsidP="0073077E">
      <w:pPr>
        <w:rPr>
          <w:rFonts w:asciiTheme="minorHAnsi" w:hAnsiTheme="minorHAnsi"/>
          <w:b/>
        </w:rPr>
      </w:pPr>
    </w:p>
    <w:p w:rsidR="0073077E" w:rsidRDefault="0073077E" w:rsidP="0073077E">
      <w:pPr>
        <w:rPr>
          <w:rFonts w:asciiTheme="minorHAnsi" w:hAnsiTheme="minorHAnsi"/>
          <w:b/>
        </w:rPr>
      </w:pPr>
    </w:p>
    <w:p w:rsidR="0073077E" w:rsidRDefault="0073077E" w:rsidP="0073077E">
      <w:pPr>
        <w:rPr>
          <w:rFonts w:asciiTheme="minorHAnsi" w:hAnsiTheme="minorHAnsi"/>
          <w:b/>
        </w:rPr>
      </w:pPr>
    </w:p>
    <w:p w:rsidR="0073077E" w:rsidRDefault="0073077E" w:rsidP="0073077E">
      <w:pPr>
        <w:rPr>
          <w:rFonts w:asciiTheme="minorHAnsi" w:hAnsiTheme="minorHAnsi"/>
          <w:b/>
        </w:rPr>
      </w:pPr>
    </w:p>
    <w:p w:rsidR="0073077E" w:rsidRDefault="0073077E" w:rsidP="0073077E">
      <w:pPr>
        <w:rPr>
          <w:rFonts w:asciiTheme="minorHAnsi" w:hAnsiTheme="minorHAnsi"/>
          <w:b/>
        </w:rPr>
      </w:pPr>
    </w:p>
    <w:p w:rsidR="0073077E" w:rsidRDefault="0073077E" w:rsidP="0073077E">
      <w:pPr>
        <w:rPr>
          <w:rFonts w:asciiTheme="minorHAnsi" w:hAnsiTheme="minorHAnsi"/>
          <w:b/>
        </w:rPr>
      </w:pPr>
    </w:p>
    <w:p w:rsidR="0073077E" w:rsidRDefault="0073077E" w:rsidP="0073077E">
      <w:pPr>
        <w:rPr>
          <w:rFonts w:asciiTheme="minorHAnsi" w:hAnsiTheme="minorHAnsi"/>
          <w:b/>
        </w:rPr>
      </w:pPr>
    </w:p>
    <w:p w:rsidR="0073077E" w:rsidRDefault="0073077E" w:rsidP="0073077E">
      <w:pPr>
        <w:rPr>
          <w:rFonts w:asciiTheme="minorHAnsi" w:hAnsiTheme="minorHAnsi"/>
          <w:b/>
        </w:rPr>
      </w:pPr>
    </w:p>
    <w:p w:rsidR="0073077E" w:rsidRDefault="0073077E" w:rsidP="0073077E">
      <w:pPr>
        <w:rPr>
          <w:rFonts w:asciiTheme="minorHAnsi" w:hAnsiTheme="minorHAnsi"/>
          <w:b/>
        </w:rPr>
      </w:pPr>
    </w:p>
    <w:p w:rsidR="0073077E" w:rsidRDefault="0073077E" w:rsidP="0073077E">
      <w:pPr>
        <w:rPr>
          <w:rFonts w:asciiTheme="minorHAnsi" w:hAnsiTheme="minorHAnsi"/>
          <w:b/>
        </w:rPr>
      </w:pPr>
    </w:p>
    <w:p w:rsidR="0073077E" w:rsidRDefault="0073077E" w:rsidP="0073077E">
      <w:pPr>
        <w:rPr>
          <w:rFonts w:asciiTheme="minorHAnsi" w:hAnsiTheme="minorHAnsi"/>
          <w:b/>
        </w:rPr>
      </w:pPr>
    </w:p>
    <w:p w:rsidR="0073077E" w:rsidRDefault="0073077E" w:rsidP="0073077E">
      <w:pPr>
        <w:rPr>
          <w:rFonts w:asciiTheme="minorHAnsi" w:hAnsiTheme="minorHAnsi"/>
          <w:b/>
        </w:rPr>
      </w:pPr>
    </w:p>
    <w:p w:rsidR="0073077E" w:rsidRDefault="0073077E" w:rsidP="0073077E">
      <w:pPr>
        <w:rPr>
          <w:rFonts w:asciiTheme="minorHAnsi" w:hAnsiTheme="minorHAnsi"/>
          <w:b/>
        </w:rPr>
      </w:pPr>
    </w:p>
    <w:p w:rsidR="0073077E" w:rsidRDefault="0073077E" w:rsidP="0073077E">
      <w:pPr>
        <w:rPr>
          <w:rFonts w:asciiTheme="minorHAnsi" w:hAnsiTheme="minorHAnsi"/>
          <w:b/>
        </w:rPr>
      </w:pPr>
    </w:p>
    <w:p w:rsidR="0073077E" w:rsidRDefault="0073077E" w:rsidP="0073077E">
      <w:pPr>
        <w:rPr>
          <w:rFonts w:asciiTheme="minorHAnsi" w:hAnsiTheme="minorHAnsi"/>
          <w:b/>
        </w:rPr>
      </w:pPr>
    </w:p>
    <w:p w:rsidR="0073077E" w:rsidRDefault="0073077E" w:rsidP="0073077E">
      <w:pPr>
        <w:rPr>
          <w:rFonts w:asciiTheme="minorHAnsi" w:hAnsiTheme="minorHAnsi"/>
          <w:b/>
        </w:rPr>
      </w:pPr>
    </w:p>
    <w:p w:rsidR="0073077E" w:rsidRDefault="0073077E" w:rsidP="0073077E">
      <w:pPr>
        <w:rPr>
          <w:rFonts w:asciiTheme="minorHAnsi" w:hAnsiTheme="minorHAnsi"/>
          <w:b/>
        </w:rPr>
      </w:pPr>
    </w:p>
    <w:p w:rsidR="0073077E" w:rsidRDefault="0073077E" w:rsidP="0073077E">
      <w:pPr>
        <w:rPr>
          <w:rFonts w:asciiTheme="minorHAnsi" w:hAnsiTheme="minorHAnsi"/>
          <w:b/>
        </w:rPr>
      </w:pPr>
    </w:p>
    <w:p w:rsidR="0073077E" w:rsidRDefault="0073077E" w:rsidP="0073077E">
      <w:pPr>
        <w:rPr>
          <w:rFonts w:asciiTheme="minorHAnsi" w:hAnsiTheme="minorHAnsi"/>
          <w:b/>
        </w:rPr>
      </w:pPr>
    </w:p>
    <w:p w:rsidR="000C41EC" w:rsidRDefault="000C41EC" w:rsidP="0073077E">
      <w:pPr>
        <w:rPr>
          <w:rFonts w:asciiTheme="minorHAnsi" w:hAnsiTheme="minorHAnsi"/>
          <w:b/>
        </w:rPr>
      </w:pPr>
    </w:p>
    <w:p w:rsidR="000C41EC" w:rsidRDefault="000C41EC" w:rsidP="0073077E">
      <w:pPr>
        <w:rPr>
          <w:rFonts w:asciiTheme="minorHAnsi" w:hAnsiTheme="minorHAnsi"/>
          <w:b/>
        </w:rPr>
      </w:pPr>
    </w:p>
    <w:p w:rsidR="0073077E" w:rsidRPr="004C3772" w:rsidRDefault="0073077E" w:rsidP="0073077E">
      <w:pPr>
        <w:rPr>
          <w:rFonts w:asciiTheme="minorHAnsi" w:hAnsiTheme="minorHAnsi"/>
          <w:b/>
        </w:rPr>
      </w:pPr>
      <w:r w:rsidRPr="004C3772">
        <w:rPr>
          <w:rFonts w:asciiTheme="minorHAnsi" w:hAnsiTheme="minorHAnsi"/>
          <w:b/>
        </w:rPr>
        <w:lastRenderedPageBreak/>
        <w:t>1. WSTĘP</w:t>
      </w:r>
      <w:bookmarkEnd w:id="1662"/>
    </w:p>
    <w:p w:rsidR="0073077E" w:rsidRPr="004C3772" w:rsidRDefault="0073077E" w:rsidP="0073077E">
      <w:pPr>
        <w:rPr>
          <w:rFonts w:asciiTheme="minorHAnsi" w:hAnsiTheme="minorHAnsi"/>
        </w:rPr>
      </w:pPr>
      <w:r w:rsidRPr="004C3772">
        <w:rPr>
          <w:rFonts w:asciiTheme="minorHAnsi" w:hAnsiTheme="minorHAnsi"/>
          <w:b/>
        </w:rPr>
        <w:t>1.1.</w:t>
      </w:r>
      <w:r w:rsidRPr="004C3772">
        <w:rPr>
          <w:rFonts w:asciiTheme="minorHAnsi" w:hAnsiTheme="minorHAnsi"/>
        </w:rPr>
        <w:t xml:space="preserve"> Przedmiot ST</w:t>
      </w:r>
    </w:p>
    <w:p w:rsidR="0073077E" w:rsidRPr="004C3772" w:rsidRDefault="0073077E" w:rsidP="0073077E">
      <w:pPr>
        <w:rPr>
          <w:rFonts w:asciiTheme="minorHAnsi" w:hAnsiTheme="minorHAnsi"/>
        </w:rPr>
      </w:pPr>
      <w:r w:rsidRPr="004C3772">
        <w:rPr>
          <w:rFonts w:asciiTheme="minorHAnsi" w:hAnsiTheme="minorHAnsi"/>
        </w:rPr>
        <w:tab/>
        <w:t>Przedmiotem niniejszej specyfikacji technicznej (ST) są wymagania dotyczące wykonania i odbioru robót związanych z rekultywacją gruntów przydrożnych.</w:t>
      </w:r>
    </w:p>
    <w:p w:rsidR="0073077E" w:rsidRPr="004C3772" w:rsidRDefault="0073077E" w:rsidP="0073077E">
      <w:pPr>
        <w:rPr>
          <w:rFonts w:asciiTheme="minorHAnsi" w:hAnsiTheme="minorHAnsi"/>
        </w:rPr>
      </w:pPr>
      <w:r w:rsidRPr="004C3772">
        <w:rPr>
          <w:rFonts w:asciiTheme="minorHAnsi" w:hAnsiTheme="minorHAnsi"/>
          <w:b/>
        </w:rPr>
        <w:t>1.2.</w:t>
      </w:r>
      <w:r w:rsidRPr="004C3772">
        <w:rPr>
          <w:rFonts w:asciiTheme="minorHAnsi" w:hAnsiTheme="minorHAnsi"/>
        </w:rPr>
        <w:t xml:space="preserve"> Zakres stosowania ST</w:t>
      </w:r>
    </w:p>
    <w:p w:rsidR="0073077E" w:rsidRPr="004C3772" w:rsidRDefault="0073077E" w:rsidP="0073077E">
      <w:pPr>
        <w:rPr>
          <w:rFonts w:asciiTheme="minorHAnsi" w:hAnsiTheme="minorHAnsi"/>
        </w:rPr>
      </w:pPr>
      <w:r w:rsidRPr="004C3772">
        <w:rPr>
          <w:rFonts w:asciiTheme="minorHAnsi" w:hAnsiTheme="minorHAnsi"/>
        </w:rPr>
        <w:tab/>
        <w:t>Specyfikacja techniczna określa wymagania dla wykonania i odbioru robót budowlanych przewidzianych do wykonania w ramach umowy a zawarte w niej zapisy w zakresie standardu materiałów, wykonania robót i wymaganej ich jakości oraz kontroli jakości robót należy traktować jako minimalne.</w:t>
      </w:r>
    </w:p>
    <w:p w:rsidR="0073077E" w:rsidRPr="004C3772" w:rsidRDefault="0073077E" w:rsidP="0073077E">
      <w:pPr>
        <w:rPr>
          <w:rFonts w:asciiTheme="minorHAnsi" w:hAnsiTheme="minorHAnsi"/>
        </w:rPr>
      </w:pPr>
      <w:r w:rsidRPr="004C3772">
        <w:rPr>
          <w:rFonts w:asciiTheme="minorHAnsi" w:hAnsiTheme="minorHAnsi"/>
          <w:b/>
        </w:rPr>
        <w:t>1.3.</w:t>
      </w:r>
      <w:r w:rsidRPr="004C3772">
        <w:rPr>
          <w:rFonts w:asciiTheme="minorHAnsi" w:hAnsiTheme="minorHAnsi"/>
        </w:rPr>
        <w:t xml:space="preserve"> Zakres robót objętych ST</w:t>
      </w:r>
    </w:p>
    <w:p w:rsidR="00072571" w:rsidRPr="00C3299C" w:rsidRDefault="0073077E" w:rsidP="00072571">
      <w:pPr>
        <w:rPr>
          <w:rFonts w:asciiTheme="minorHAnsi" w:hAnsiTheme="minorHAnsi" w:cs="Calibri"/>
        </w:rPr>
      </w:pPr>
      <w:r w:rsidRPr="004C3772">
        <w:rPr>
          <w:rFonts w:asciiTheme="minorHAnsi" w:hAnsiTheme="minorHAnsi"/>
        </w:rPr>
        <w:tab/>
        <w:t>Ustalenia zawarte w niniejszej specyfikacji dotyczą zasad prowadzenia robót związanych z wykonaniem i odbiorem rekultywacji terenu (gruntów przydrożnych), należącej do robót wykończeniowych, wykonywanych po zakończe</w:t>
      </w:r>
      <w:r w:rsidR="000C41EC">
        <w:rPr>
          <w:rFonts w:asciiTheme="minorHAnsi" w:hAnsiTheme="minorHAnsi"/>
        </w:rPr>
        <w:t xml:space="preserve">niu budowy lub przebudowy drogi </w:t>
      </w:r>
      <w:r w:rsidR="00072571" w:rsidRPr="00C3299C">
        <w:rPr>
          <w:rFonts w:ascii="Calibri" w:hAnsi="Calibri" w:cs="Calibri"/>
        </w:rPr>
        <w:t>w związku z „</w:t>
      </w:r>
      <w:r w:rsidR="00072571" w:rsidRPr="00C3299C">
        <w:rPr>
          <w:rFonts w:asciiTheme="minorHAnsi" w:hAnsiTheme="minorHAnsi"/>
        </w:rPr>
        <w:t>Przebudową ul.55 Pułku Piechoty w Lesznie wraz z przebudową oświetlenia”</w:t>
      </w:r>
      <w:r w:rsidR="00072571" w:rsidRPr="00C3299C">
        <w:rPr>
          <w:rFonts w:asciiTheme="minorHAnsi" w:hAnsiTheme="minorHAnsi" w:cs="Calibri"/>
        </w:rPr>
        <w:t>.</w:t>
      </w:r>
    </w:p>
    <w:p w:rsidR="0073077E" w:rsidRPr="004C3772" w:rsidRDefault="0073077E" w:rsidP="0073077E">
      <w:pPr>
        <w:rPr>
          <w:rFonts w:asciiTheme="minorHAnsi" w:hAnsiTheme="minorHAnsi"/>
        </w:rPr>
      </w:pPr>
      <w:r w:rsidRPr="004C3772">
        <w:rPr>
          <w:rFonts w:asciiTheme="minorHAnsi" w:hAnsiTheme="minorHAnsi"/>
        </w:rPr>
        <w:tab/>
        <w:t>Rekultywację terenu przeprowadza się zwykle:</w:t>
      </w:r>
    </w:p>
    <w:p w:rsidR="0073077E" w:rsidRPr="004C3772" w:rsidRDefault="0073077E" w:rsidP="0073077E">
      <w:pPr>
        <w:rPr>
          <w:rFonts w:asciiTheme="minorHAnsi" w:hAnsiTheme="minorHAnsi"/>
        </w:rPr>
      </w:pPr>
      <w:r w:rsidRPr="004C3772">
        <w:rPr>
          <w:rFonts w:asciiTheme="minorHAnsi" w:hAnsiTheme="minorHAnsi"/>
        </w:rPr>
        <w:t xml:space="preserve">- wzdłuż pasa drogowego, poza jego granicą, w pasie o stałej lub zmiennej szerokości np. 2 ÷ </w:t>
      </w:r>
      <w:smartTag w:uri="urn:schemas-microsoft-com:office:smarttags" w:element="metricconverter">
        <w:smartTagPr>
          <w:attr w:name="ProductID" w:val="5 m"/>
        </w:smartTagPr>
        <w:r w:rsidRPr="004C3772">
          <w:rPr>
            <w:rFonts w:asciiTheme="minorHAnsi" w:hAnsiTheme="minorHAnsi"/>
          </w:rPr>
          <w:t>5 m</w:t>
        </w:r>
      </w:smartTag>
      <w:r w:rsidRPr="004C3772">
        <w:rPr>
          <w:rFonts w:asciiTheme="minorHAnsi" w:hAnsiTheme="minorHAnsi"/>
        </w:rPr>
        <w:t>,</w:t>
      </w:r>
    </w:p>
    <w:p w:rsidR="0073077E" w:rsidRPr="004C3772" w:rsidRDefault="0073077E" w:rsidP="0073077E">
      <w:pPr>
        <w:rPr>
          <w:rFonts w:asciiTheme="minorHAnsi" w:hAnsiTheme="minorHAnsi"/>
        </w:rPr>
      </w:pPr>
      <w:r w:rsidRPr="004C3772">
        <w:rPr>
          <w:rFonts w:asciiTheme="minorHAnsi" w:hAnsiTheme="minorHAnsi"/>
        </w:rPr>
        <w:t>-w miejscach istniejących obiektów, przewidzianych do rozbiórki, np. likwidowanych odcinków dróg, placów budowy itp.</w:t>
      </w:r>
    </w:p>
    <w:p w:rsidR="0073077E" w:rsidRPr="004C3772" w:rsidRDefault="0073077E" w:rsidP="0073077E">
      <w:pPr>
        <w:rPr>
          <w:rFonts w:asciiTheme="minorHAnsi" w:hAnsiTheme="minorHAnsi"/>
        </w:rPr>
      </w:pPr>
      <w:r w:rsidRPr="004C3772">
        <w:rPr>
          <w:rFonts w:asciiTheme="minorHAnsi" w:hAnsiTheme="minorHAnsi"/>
          <w:b/>
        </w:rPr>
        <w:t>1.4.</w:t>
      </w:r>
      <w:r w:rsidRPr="004C3772">
        <w:rPr>
          <w:rFonts w:asciiTheme="minorHAnsi" w:hAnsiTheme="minorHAnsi"/>
        </w:rPr>
        <w:t xml:space="preserve"> Określenia podstawowe</w:t>
      </w:r>
    </w:p>
    <w:p w:rsidR="0073077E" w:rsidRPr="004C3772" w:rsidRDefault="0073077E" w:rsidP="0073077E">
      <w:pPr>
        <w:rPr>
          <w:rFonts w:asciiTheme="minorHAnsi" w:hAnsiTheme="minorHAnsi"/>
        </w:rPr>
      </w:pPr>
      <w:r w:rsidRPr="004C3772">
        <w:rPr>
          <w:rFonts w:asciiTheme="minorHAnsi" w:hAnsiTheme="minorHAnsi"/>
        </w:rPr>
        <w:t>Rekultywacja gruntów – nadanie lub przywrócenie gruntom zdegradowanym lub zdewastowanym wartości użytkowych lub przyrodniczych przez właściwe ukształtowanie rzeźby terenu i poprawienie właściwości fizycznych i chemicznych.</w:t>
      </w:r>
    </w:p>
    <w:p w:rsidR="0073077E" w:rsidRPr="004C3772" w:rsidRDefault="0073077E" w:rsidP="0073077E">
      <w:pPr>
        <w:rPr>
          <w:rFonts w:asciiTheme="minorHAnsi" w:hAnsiTheme="minorHAnsi"/>
        </w:rPr>
      </w:pPr>
      <w:r w:rsidRPr="004C3772">
        <w:rPr>
          <w:rFonts w:asciiTheme="minorHAnsi" w:hAnsiTheme="minorHAnsi"/>
        </w:rPr>
        <w:t>Grunt (teren) zdegradowany – grunt, którego rolnicza lub leśna wartość użytkowa zmalała wskutek niekorzystnych zmian w środowisku, jak działalności budowlanej, przemysłowej, rolniczej itp. lub w wyniku pogorszenia się warunków przyrodniczych.</w:t>
      </w:r>
    </w:p>
    <w:p w:rsidR="0073077E" w:rsidRPr="004C3772" w:rsidRDefault="0073077E" w:rsidP="0073077E">
      <w:pPr>
        <w:rPr>
          <w:rFonts w:asciiTheme="minorHAnsi" w:hAnsiTheme="minorHAnsi"/>
        </w:rPr>
      </w:pPr>
      <w:r w:rsidRPr="004C3772">
        <w:rPr>
          <w:rFonts w:asciiTheme="minorHAnsi" w:hAnsiTheme="minorHAnsi"/>
        </w:rPr>
        <w:t>Grunt (teren) zdewastowany – grunt, który utracił całkowicie wartość rolniczą lub leśną.</w:t>
      </w:r>
    </w:p>
    <w:p w:rsidR="0073077E" w:rsidRPr="004C3772" w:rsidRDefault="0073077E" w:rsidP="0073077E">
      <w:pPr>
        <w:rPr>
          <w:rFonts w:asciiTheme="minorHAnsi" w:hAnsiTheme="minorHAnsi"/>
        </w:rPr>
      </w:pPr>
      <w:r w:rsidRPr="004C3772">
        <w:rPr>
          <w:rFonts w:asciiTheme="minorHAnsi" w:hAnsiTheme="minorHAnsi"/>
          <w:b/>
        </w:rPr>
        <w:t>1.4.1.</w:t>
      </w:r>
      <w:r w:rsidRPr="004C3772">
        <w:rPr>
          <w:rFonts w:asciiTheme="minorHAnsi" w:hAnsiTheme="minorHAnsi"/>
        </w:rPr>
        <w:t xml:space="preserve"> Pozostałe określenia podstawowe są zgodne z obowiązującymi, odpowiednimi polskimi normami i z definicjami podanymi w ST D-M-00.00.00 „Wymagania ogólne” pkt 1.4. </w:t>
      </w:r>
    </w:p>
    <w:p w:rsidR="0073077E" w:rsidRPr="004C3772" w:rsidRDefault="0073077E" w:rsidP="0073077E">
      <w:pPr>
        <w:rPr>
          <w:rFonts w:asciiTheme="minorHAnsi" w:hAnsiTheme="minorHAnsi"/>
        </w:rPr>
      </w:pPr>
      <w:r w:rsidRPr="004C3772">
        <w:rPr>
          <w:rFonts w:asciiTheme="minorHAnsi" w:hAnsiTheme="minorHAnsi"/>
          <w:b/>
        </w:rPr>
        <w:t>1.5.</w:t>
      </w:r>
      <w:r w:rsidRPr="004C3772">
        <w:rPr>
          <w:rFonts w:asciiTheme="minorHAnsi" w:hAnsiTheme="minorHAnsi"/>
        </w:rPr>
        <w:t xml:space="preserve"> Ogólne wymagania dotyczące robót</w:t>
      </w:r>
    </w:p>
    <w:p w:rsidR="0073077E" w:rsidRPr="004C3772" w:rsidRDefault="0073077E" w:rsidP="0073077E">
      <w:pPr>
        <w:rPr>
          <w:rFonts w:asciiTheme="minorHAnsi" w:hAnsiTheme="minorHAnsi"/>
        </w:rPr>
      </w:pPr>
      <w:r w:rsidRPr="004C3772">
        <w:rPr>
          <w:rFonts w:asciiTheme="minorHAnsi" w:hAnsiTheme="minorHAnsi"/>
        </w:rPr>
        <w:tab/>
        <w:t>Ogólne wymagania dotyczące robót podano w ST D-M-00.00.00 „Wymagania ogólne” pkt 1.5.</w:t>
      </w:r>
    </w:p>
    <w:p w:rsidR="0073077E" w:rsidRPr="004C3772" w:rsidRDefault="0073077E" w:rsidP="0073077E">
      <w:pPr>
        <w:rPr>
          <w:rFonts w:asciiTheme="minorHAnsi" w:hAnsiTheme="minorHAnsi"/>
        </w:rPr>
      </w:pPr>
    </w:p>
    <w:p w:rsidR="0073077E" w:rsidRPr="004C3772" w:rsidRDefault="0073077E" w:rsidP="0073077E">
      <w:pPr>
        <w:rPr>
          <w:rFonts w:asciiTheme="minorHAnsi" w:hAnsiTheme="minorHAnsi"/>
          <w:b/>
        </w:rPr>
      </w:pPr>
      <w:bookmarkStart w:id="1686" w:name="_Toc204750996"/>
      <w:r w:rsidRPr="004C3772">
        <w:rPr>
          <w:rFonts w:asciiTheme="minorHAnsi" w:hAnsiTheme="minorHAnsi"/>
          <w:b/>
        </w:rPr>
        <w:t>2. MATERIAŁY</w:t>
      </w:r>
      <w:bookmarkEnd w:id="1686"/>
    </w:p>
    <w:p w:rsidR="0073077E" w:rsidRPr="004C3772" w:rsidRDefault="0073077E" w:rsidP="0073077E">
      <w:pPr>
        <w:rPr>
          <w:rFonts w:asciiTheme="minorHAnsi" w:hAnsiTheme="minorHAnsi"/>
        </w:rPr>
      </w:pPr>
      <w:r w:rsidRPr="004C3772">
        <w:rPr>
          <w:rFonts w:asciiTheme="minorHAnsi" w:hAnsiTheme="minorHAnsi"/>
          <w:b/>
        </w:rPr>
        <w:t>2.1.</w:t>
      </w:r>
      <w:r w:rsidRPr="004C3772">
        <w:rPr>
          <w:rFonts w:asciiTheme="minorHAnsi" w:hAnsiTheme="minorHAnsi"/>
        </w:rPr>
        <w:t xml:space="preserve"> Ogólne wymagania dotyczące materiałów</w:t>
      </w:r>
    </w:p>
    <w:p w:rsidR="0073077E" w:rsidRPr="004C3772" w:rsidRDefault="0073077E" w:rsidP="0073077E">
      <w:pPr>
        <w:rPr>
          <w:rFonts w:asciiTheme="minorHAnsi" w:hAnsiTheme="minorHAnsi"/>
        </w:rPr>
      </w:pPr>
      <w:r w:rsidRPr="004C3772">
        <w:rPr>
          <w:rFonts w:asciiTheme="minorHAnsi" w:hAnsiTheme="minorHAnsi"/>
        </w:rPr>
        <w:tab/>
        <w:t>Ogólne wymagania dotyczące materiałów, ich pozyskiwania i składowania, podano w ST D-M-00.00.00 „Wymagania ogólne” pkt 2.</w:t>
      </w:r>
    </w:p>
    <w:p w:rsidR="0073077E" w:rsidRPr="004C3772" w:rsidRDefault="0073077E" w:rsidP="0073077E">
      <w:pPr>
        <w:rPr>
          <w:rFonts w:asciiTheme="minorHAnsi" w:hAnsiTheme="minorHAnsi"/>
        </w:rPr>
      </w:pPr>
      <w:r w:rsidRPr="004C3772">
        <w:rPr>
          <w:rFonts w:asciiTheme="minorHAnsi" w:hAnsiTheme="minorHAnsi"/>
          <w:b/>
        </w:rPr>
        <w:t>2.2.</w:t>
      </w:r>
      <w:r w:rsidRPr="004C3772">
        <w:rPr>
          <w:rFonts w:asciiTheme="minorHAnsi" w:hAnsiTheme="minorHAnsi"/>
        </w:rPr>
        <w:t xml:space="preserve"> Materiały do wykonania robót</w:t>
      </w:r>
    </w:p>
    <w:p w:rsidR="0073077E" w:rsidRPr="004C3772" w:rsidRDefault="0073077E" w:rsidP="0073077E">
      <w:pPr>
        <w:rPr>
          <w:rFonts w:asciiTheme="minorHAnsi" w:hAnsiTheme="minorHAnsi"/>
        </w:rPr>
      </w:pPr>
      <w:r w:rsidRPr="004C3772">
        <w:rPr>
          <w:rFonts w:asciiTheme="minorHAnsi" w:hAnsiTheme="minorHAnsi"/>
          <w:b/>
        </w:rPr>
        <w:t>2.2.1.</w:t>
      </w:r>
      <w:r w:rsidRPr="004C3772">
        <w:rPr>
          <w:rFonts w:asciiTheme="minorHAnsi" w:hAnsiTheme="minorHAnsi"/>
        </w:rPr>
        <w:t xml:space="preserve"> Zgodność materiałów z dokumentacją projektową  </w:t>
      </w:r>
    </w:p>
    <w:p w:rsidR="0073077E" w:rsidRPr="004C3772" w:rsidRDefault="0073077E" w:rsidP="0073077E">
      <w:pPr>
        <w:rPr>
          <w:rFonts w:asciiTheme="minorHAnsi" w:hAnsiTheme="minorHAnsi"/>
        </w:rPr>
      </w:pPr>
      <w:r w:rsidRPr="004C3772">
        <w:rPr>
          <w:rFonts w:asciiTheme="minorHAnsi" w:hAnsiTheme="minorHAnsi"/>
        </w:rPr>
        <w:t>Materiały do wykonania robót powinny być zgodne z ustaleniami dokumentacji projektowej lub ST.</w:t>
      </w:r>
    </w:p>
    <w:p w:rsidR="0073077E" w:rsidRPr="004C3772" w:rsidRDefault="0073077E" w:rsidP="0073077E">
      <w:pPr>
        <w:rPr>
          <w:rFonts w:asciiTheme="minorHAnsi" w:hAnsiTheme="minorHAnsi"/>
        </w:rPr>
      </w:pPr>
      <w:r w:rsidRPr="004C3772">
        <w:rPr>
          <w:rFonts w:asciiTheme="minorHAnsi" w:hAnsiTheme="minorHAnsi"/>
          <w:b/>
        </w:rPr>
        <w:t>2.2.2.</w:t>
      </w:r>
      <w:r w:rsidRPr="004C3772">
        <w:rPr>
          <w:rFonts w:asciiTheme="minorHAnsi" w:hAnsiTheme="minorHAnsi"/>
        </w:rPr>
        <w:t xml:space="preserve"> Rodzaje materiałów stosowanych przy rekultywacji gruntów</w:t>
      </w:r>
    </w:p>
    <w:p w:rsidR="0073077E" w:rsidRPr="004C3772" w:rsidRDefault="0073077E" w:rsidP="0073077E">
      <w:pPr>
        <w:rPr>
          <w:rFonts w:asciiTheme="minorHAnsi" w:hAnsiTheme="minorHAnsi"/>
        </w:rPr>
      </w:pPr>
      <w:r w:rsidRPr="004C3772">
        <w:rPr>
          <w:rFonts w:asciiTheme="minorHAnsi" w:hAnsiTheme="minorHAnsi"/>
        </w:rPr>
        <w:tab/>
        <w:t>Materiałami stosowanymi przy rekultywacji gruntów przydrożnych są:</w:t>
      </w:r>
    </w:p>
    <w:p w:rsidR="0073077E" w:rsidRPr="004C3772" w:rsidRDefault="0073077E" w:rsidP="0073077E">
      <w:pPr>
        <w:rPr>
          <w:rFonts w:asciiTheme="minorHAnsi" w:hAnsiTheme="minorHAnsi"/>
        </w:rPr>
      </w:pPr>
      <w:r w:rsidRPr="004C3772">
        <w:rPr>
          <w:rFonts w:asciiTheme="minorHAnsi" w:hAnsiTheme="minorHAnsi"/>
        </w:rPr>
        <w:t>-ziemia urodzajna,</w:t>
      </w:r>
    </w:p>
    <w:p w:rsidR="0073077E" w:rsidRPr="004C3772" w:rsidRDefault="0073077E" w:rsidP="0073077E">
      <w:pPr>
        <w:rPr>
          <w:rFonts w:asciiTheme="minorHAnsi" w:hAnsiTheme="minorHAnsi"/>
        </w:rPr>
      </w:pPr>
      <w:r w:rsidRPr="004C3772">
        <w:rPr>
          <w:rFonts w:asciiTheme="minorHAnsi" w:hAnsiTheme="minorHAnsi"/>
        </w:rPr>
        <w:t>-nasiona traw,</w:t>
      </w:r>
    </w:p>
    <w:p w:rsidR="0073077E" w:rsidRPr="004C3772" w:rsidRDefault="0073077E" w:rsidP="0073077E">
      <w:pPr>
        <w:rPr>
          <w:rFonts w:asciiTheme="minorHAnsi" w:hAnsiTheme="minorHAnsi"/>
        </w:rPr>
      </w:pPr>
      <w:r w:rsidRPr="004C3772">
        <w:rPr>
          <w:rFonts w:asciiTheme="minorHAnsi" w:hAnsiTheme="minorHAnsi"/>
        </w:rPr>
        <w:t>-nawozy mineralne.</w:t>
      </w:r>
    </w:p>
    <w:p w:rsidR="0073077E" w:rsidRPr="004C3772" w:rsidRDefault="0073077E" w:rsidP="0073077E">
      <w:pPr>
        <w:rPr>
          <w:rFonts w:asciiTheme="minorHAnsi" w:hAnsiTheme="minorHAnsi"/>
        </w:rPr>
      </w:pPr>
      <w:r w:rsidRPr="004C3772">
        <w:rPr>
          <w:rFonts w:asciiTheme="minorHAnsi" w:hAnsiTheme="minorHAnsi"/>
          <w:b/>
        </w:rPr>
        <w:t>2.2.3.</w:t>
      </w:r>
      <w:r w:rsidRPr="004C3772">
        <w:rPr>
          <w:rFonts w:asciiTheme="minorHAnsi" w:hAnsiTheme="minorHAnsi"/>
        </w:rPr>
        <w:t xml:space="preserve"> Ziemia urodzajna (humus)</w:t>
      </w:r>
    </w:p>
    <w:p w:rsidR="0073077E" w:rsidRPr="004C3772" w:rsidRDefault="0073077E" w:rsidP="0073077E">
      <w:pPr>
        <w:rPr>
          <w:rFonts w:asciiTheme="minorHAnsi" w:hAnsiTheme="minorHAnsi"/>
        </w:rPr>
      </w:pPr>
      <w:r w:rsidRPr="004C3772">
        <w:rPr>
          <w:rFonts w:asciiTheme="minorHAnsi" w:hAnsiTheme="minorHAnsi"/>
        </w:rPr>
        <w:tab/>
        <w:t xml:space="preserve">Ziemia urodzajna powinna zawierać co najmniej 2% części organicznych. Ziemia urodzajna powinna być wilgotna i pozbawiona kamieni większych od </w:t>
      </w:r>
      <w:smartTag w:uri="urn:schemas-microsoft-com:office:smarttags" w:element="metricconverter">
        <w:smartTagPr>
          <w:attr w:name="ProductID" w:val="5 cm"/>
        </w:smartTagPr>
        <w:r w:rsidRPr="004C3772">
          <w:rPr>
            <w:rFonts w:asciiTheme="minorHAnsi" w:hAnsiTheme="minorHAnsi"/>
          </w:rPr>
          <w:t>5 cm</w:t>
        </w:r>
      </w:smartTag>
      <w:r w:rsidRPr="004C3772">
        <w:rPr>
          <w:rFonts w:asciiTheme="minorHAnsi" w:hAnsiTheme="minorHAnsi"/>
        </w:rPr>
        <w:t xml:space="preserve"> oraz wolna od zanieczyszczeń obcych.</w:t>
      </w:r>
    </w:p>
    <w:p w:rsidR="0073077E" w:rsidRPr="004C3772" w:rsidRDefault="0073077E" w:rsidP="0073077E">
      <w:pPr>
        <w:rPr>
          <w:rFonts w:asciiTheme="minorHAnsi" w:hAnsiTheme="minorHAnsi"/>
        </w:rPr>
      </w:pPr>
      <w:r w:rsidRPr="004C3772">
        <w:rPr>
          <w:rFonts w:asciiTheme="minorHAnsi" w:hAnsiTheme="minorHAnsi"/>
        </w:rPr>
        <w:tab/>
        <w:t>Zaleca się, aby do robót rekultywacyjnych, w największym stopniu, wykorzystywać miejscową ziemię urodzajną zdjętą z pasa robót ziemnych i składowaną w sposób zabezpieczony przed zanieczyszczeniami obcymi.</w:t>
      </w:r>
    </w:p>
    <w:p w:rsidR="0073077E" w:rsidRPr="004C3772" w:rsidRDefault="0073077E" w:rsidP="0073077E">
      <w:pPr>
        <w:rPr>
          <w:rFonts w:asciiTheme="minorHAnsi" w:hAnsiTheme="minorHAnsi"/>
        </w:rPr>
      </w:pPr>
      <w:r w:rsidRPr="004C3772">
        <w:rPr>
          <w:rFonts w:asciiTheme="minorHAnsi" w:hAnsiTheme="minorHAnsi"/>
        </w:rPr>
        <w:tab/>
        <w:t>W przypadkach wątpliwych, Inżynier może zlecić wykonanie badań w celu stwierdzenia, że ziemia urodzajna odpowiada następującym kryteriom:</w:t>
      </w:r>
    </w:p>
    <w:p w:rsidR="0073077E" w:rsidRPr="004C3772" w:rsidRDefault="0073077E" w:rsidP="0073077E">
      <w:pPr>
        <w:rPr>
          <w:rFonts w:asciiTheme="minorHAnsi" w:hAnsiTheme="minorHAnsi"/>
        </w:rPr>
      </w:pPr>
      <w:r w:rsidRPr="004C3772">
        <w:rPr>
          <w:rFonts w:asciiTheme="minorHAnsi" w:hAnsiTheme="minorHAnsi"/>
        </w:rPr>
        <w:t>a) optymalny skład granulometryczny:</w:t>
      </w:r>
    </w:p>
    <w:p w:rsidR="0073077E" w:rsidRPr="004C3772" w:rsidRDefault="0073077E" w:rsidP="0073077E">
      <w:pPr>
        <w:rPr>
          <w:rFonts w:asciiTheme="minorHAnsi" w:hAnsiTheme="minorHAnsi"/>
        </w:rPr>
      </w:pPr>
      <w:r w:rsidRPr="004C3772">
        <w:rPr>
          <w:rFonts w:asciiTheme="minorHAnsi" w:hAnsiTheme="minorHAnsi"/>
        </w:rPr>
        <w:t xml:space="preserve">-frakcja ilasta (d &lt; </w:t>
      </w:r>
      <w:smartTag w:uri="urn:schemas-microsoft-com:office:smarttags" w:element="metricconverter">
        <w:smartTagPr>
          <w:attr w:name="ProductID" w:val="0,002 mm"/>
        </w:smartTagPr>
        <w:r w:rsidRPr="004C3772">
          <w:rPr>
            <w:rFonts w:asciiTheme="minorHAnsi" w:hAnsiTheme="minorHAnsi"/>
          </w:rPr>
          <w:t>0,002 mm</w:t>
        </w:r>
      </w:smartTag>
      <w:r w:rsidRPr="004C3772">
        <w:rPr>
          <w:rFonts w:asciiTheme="minorHAnsi" w:hAnsiTheme="minorHAnsi"/>
        </w:rPr>
        <w:t>)    12 ÷ 18%,</w:t>
      </w:r>
    </w:p>
    <w:p w:rsidR="0073077E" w:rsidRPr="004C3772" w:rsidRDefault="0073077E" w:rsidP="0073077E">
      <w:pPr>
        <w:rPr>
          <w:rFonts w:asciiTheme="minorHAnsi" w:hAnsiTheme="minorHAnsi"/>
        </w:rPr>
      </w:pPr>
      <w:r w:rsidRPr="004C3772">
        <w:rPr>
          <w:rFonts w:asciiTheme="minorHAnsi" w:hAnsiTheme="minorHAnsi"/>
        </w:rPr>
        <w:t xml:space="preserve">-frakcja pylasta (0,002 ÷ </w:t>
      </w:r>
      <w:smartTag w:uri="urn:schemas-microsoft-com:office:smarttags" w:element="metricconverter">
        <w:smartTagPr>
          <w:attr w:name="ProductID" w:val="0,05 mm"/>
        </w:smartTagPr>
        <w:r w:rsidRPr="004C3772">
          <w:rPr>
            <w:rFonts w:asciiTheme="minorHAnsi" w:hAnsiTheme="minorHAnsi"/>
          </w:rPr>
          <w:t>0,05 mm</w:t>
        </w:r>
      </w:smartTag>
      <w:r w:rsidRPr="004C3772">
        <w:rPr>
          <w:rFonts w:asciiTheme="minorHAnsi" w:hAnsiTheme="minorHAnsi"/>
        </w:rPr>
        <w:t>)</w:t>
      </w:r>
      <w:r w:rsidRPr="004C3772">
        <w:rPr>
          <w:rFonts w:asciiTheme="minorHAnsi" w:hAnsiTheme="minorHAnsi"/>
        </w:rPr>
        <w:tab/>
        <w:t xml:space="preserve"> 20 ÷ 30%,</w:t>
      </w:r>
    </w:p>
    <w:p w:rsidR="0073077E" w:rsidRPr="004C3772" w:rsidRDefault="0073077E" w:rsidP="0073077E">
      <w:pPr>
        <w:rPr>
          <w:rFonts w:asciiTheme="minorHAnsi" w:hAnsiTheme="minorHAnsi"/>
        </w:rPr>
      </w:pPr>
      <w:r w:rsidRPr="004C3772">
        <w:rPr>
          <w:rFonts w:asciiTheme="minorHAnsi" w:hAnsiTheme="minorHAnsi"/>
        </w:rPr>
        <w:t xml:space="preserve">-frakcja piaszczysta (0,05 ÷ </w:t>
      </w:r>
      <w:smartTag w:uri="urn:schemas-microsoft-com:office:smarttags" w:element="metricconverter">
        <w:smartTagPr>
          <w:attr w:name="ProductID" w:val="2,0 mm"/>
        </w:smartTagPr>
        <w:r w:rsidRPr="004C3772">
          <w:rPr>
            <w:rFonts w:asciiTheme="minorHAnsi" w:hAnsiTheme="minorHAnsi"/>
          </w:rPr>
          <w:t>2,0 mm</w:t>
        </w:r>
      </w:smartTag>
      <w:r w:rsidRPr="004C3772">
        <w:rPr>
          <w:rFonts w:asciiTheme="minorHAnsi" w:hAnsiTheme="minorHAnsi"/>
        </w:rPr>
        <w:t>)    45 ÷ 70%,</w:t>
      </w:r>
    </w:p>
    <w:p w:rsidR="0073077E" w:rsidRPr="004C3772" w:rsidRDefault="0073077E" w:rsidP="0073077E">
      <w:pPr>
        <w:rPr>
          <w:rFonts w:asciiTheme="minorHAnsi" w:hAnsiTheme="minorHAnsi"/>
        </w:rPr>
      </w:pPr>
      <w:r w:rsidRPr="004C3772">
        <w:rPr>
          <w:rFonts w:asciiTheme="minorHAnsi" w:hAnsiTheme="minorHAnsi"/>
        </w:rPr>
        <w:t>b) zawartość fosforu (P2O5)    &gt; 20 mg/m2,</w:t>
      </w:r>
    </w:p>
    <w:p w:rsidR="0073077E" w:rsidRPr="004C3772" w:rsidRDefault="0073077E" w:rsidP="0073077E">
      <w:pPr>
        <w:rPr>
          <w:rFonts w:asciiTheme="minorHAnsi" w:hAnsiTheme="minorHAnsi"/>
        </w:rPr>
      </w:pPr>
      <w:r w:rsidRPr="004C3772">
        <w:rPr>
          <w:rFonts w:asciiTheme="minorHAnsi" w:hAnsiTheme="minorHAnsi"/>
        </w:rPr>
        <w:t>c) zawartość potasu (K2O)</w:t>
      </w:r>
      <w:r w:rsidRPr="004C3772">
        <w:rPr>
          <w:rFonts w:asciiTheme="minorHAnsi" w:hAnsiTheme="minorHAnsi"/>
        </w:rPr>
        <w:tab/>
        <w:t xml:space="preserve">    &gt; 30 mg/m2,</w:t>
      </w:r>
    </w:p>
    <w:p w:rsidR="0073077E" w:rsidRPr="004C3772" w:rsidRDefault="0073077E" w:rsidP="0073077E">
      <w:pPr>
        <w:rPr>
          <w:rFonts w:asciiTheme="minorHAnsi" w:hAnsiTheme="minorHAnsi"/>
        </w:rPr>
      </w:pPr>
      <w:r w:rsidRPr="004C3772">
        <w:rPr>
          <w:rFonts w:asciiTheme="minorHAnsi" w:hAnsiTheme="minorHAnsi"/>
        </w:rPr>
        <w:t>d) kwasowość (pH)    ≥ 5,5.</w:t>
      </w:r>
    </w:p>
    <w:p w:rsidR="0073077E" w:rsidRPr="004C3772" w:rsidRDefault="0073077E" w:rsidP="0073077E">
      <w:pPr>
        <w:rPr>
          <w:rFonts w:asciiTheme="minorHAnsi" w:hAnsiTheme="minorHAnsi"/>
        </w:rPr>
      </w:pPr>
      <w:r w:rsidRPr="004C3772">
        <w:rPr>
          <w:rFonts w:asciiTheme="minorHAnsi" w:hAnsiTheme="minorHAnsi"/>
          <w:b/>
        </w:rPr>
        <w:lastRenderedPageBreak/>
        <w:t>2.2.4.</w:t>
      </w:r>
      <w:r w:rsidRPr="004C3772">
        <w:rPr>
          <w:rFonts w:asciiTheme="minorHAnsi" w:hAnsiTheme="minorHAnsi"/>
        </w:rPr>
        <w:t xml:space="preserve"> Nasiona traw</w:t>
      </w:r>
    </w:p>
    <w:p w:rsidR="0073077E" w:rsidRPr="004C3772" w:rsidRDefault="0073077E" w:rsidP="0073077E">
      <w:pPr>
        <w:rPr>
          <w:rFonts w:asciiTheme="minorHAnsi" w:hAnsiTheme="minorHAnsi"/>
        </w:rPr>
      </w:pPr>
      <w:r w:rsidRPr="004C3772">
        <w:rPr>
          <w:rFonts w:asciiTheme="minorHAnsi" w:hAnsiTheme="minorHAnsi"/>
        </w:rPr>
        <w:tab/>
        <w:t>Wybór gatunku traw należy dostosować do warunków miejscowych, tj. do rodzaju gleby i stopnia jej zawilgocenia. Najlepiej nadają się do tego celu specjalne mieszanki traw wieloletnich o gęstym i drobnym ukorzenieniu i gwarantowanej jakości.</w:t>
      </w:r>
    </w:p>
    <w:p w:rsidR="0073077E" w:rsidRPr="004C3772" w:rsidRDefault="0073077E" w:rsidP="0073077E">
      <w:pPr>
        <w:rPr>
          <w:rFonts w:asciiTheme="minorHAnsi" w:hAnsiTheme="minorHAnsi"/>
        </w:rPr>
      </w:pPr>
      <w:r w:rsidRPr="004C3772">
        <w:rPr>
          <w:rFonts w:asciiTheme="minorHAnsi" w:hAnsiTheme="minorHAnsi"/>
        </w:rPr>
        <w:tab/>
        <w:t>Gotowa mieszanka traw powinna mieć oznaczony procentowy skład gatunkowy, klasę, zdolność kiełkowania i numer normy, której wymaganiom odpowiada.</w:t>
      </w:r>
    </w:p>
    <w:p w:rsidR="0073077E" w:rsidRPr="004C3772" w:rsidRDefault="0073077E" w:rsidP="0073077E">
      <w:pPr>
        <w:rPr>
          <w:rFonts w:asciiTheme="minorHAnsi" w:hAnsiTheme="minorHAnsi"/>
        </w:rPr>
      </w:pPr>
      <w:r w:rsidRPr="004C3772">
        <w:rPr>
          <w:rFonts w:asciiTheme="minorHAnsi" w:hAnsiTheme="minorHAnsi"/>
        </w:rPr>
        <w:tab/>
        <w:t>Nasiona traw należy przechowywać w oryginalnych opakowaniach dostawcy, w miejscach suchych, nie narażonych na uszkodzenia.</w:t>
      </w:r>
    </w:p>
    <w:p w:rsidR="0073077E" w:rsidRPr="004C3772" w:rsidRDefault="0073077E" w:rsidP="0073077E">
      <w:pPr>
        <w:rPr>
          <w:rFonts w:asciiTheme="minorHAnsi" w:hAnsiTheme="minorHAnsi"/>
        </w:rPr>
      </w:pPr>
      <w:r w:rsidRPr="004C3772">
        <w:rPr>
          <w:rFonts w:asciiTheme="minorHAnsi" w:hAnsiTheme="minorHAnsi"/>
          <w:b/>
        </w:rPr>
        <w:t>2.2.5.</w:t>
      </w:r>
      <w:r w:rsidRPr="004C3772">
        <w:rPr>
          <w:rFonts w:asciiTheme="minorHAnsi" w:hAnsiTheme="minorHAnsi"/>
        </w:rPr>
        <w:t xml:space="preserve"> Nawozy mineralne</w:t>
      </w:r>
    </w:p>
    <w:p w:rsidR="0073077E" w:rsidRPr="004C3772" w:rsidRDefault="0073077E" w:rsidP="0073077E">
      <w:pPr>
        <w:rPr>
          <w:rFonts w:asciiTheme="minorHAnsi" w:hAnsiTheme="minorHAnsi"/>
        </w:rPr>
      </w:pPr>
      <w:r w:rsidRPr="004C3772">
        <w:rPr>
          <w:rFonts w:asciiTheme="minorHAnsi" w:hAnsiTheme="minorHAnsi"/>
        </w:rPr>
        <w:tab/>
        <w:t>Nawozy mineralne powinny być mieszanką, zawierającą azot, fosfor i potas, np. co najmniej 10% azotu, 15% kwasu ortofosforowego i 10% węglanu potasowego, albo podobnego składu zaakceptowanego przez Inżyniera.</w:t>
      </w:r>
    </w:p>
    <w:p w:rsidR="0073077E" w:rsidRPr="004C3772" w:rsidRDefault="0073077E" w:rsidP="0073077E">
      <w:pPr>
        <w:rPr>
          <w:rFonts w:asciiTheme="minorHAnsi" w:hAnsiTheme="minorHAnsi"/>
        </w:rPr>
      </w:pPr>
      <w:r w:rsidRPr="004C3772">
        <w:rPr>
          <w:rFonts w:asciiTheme="minorHAnsi" w:hAnsiTheme="minorHAnsi"/>
        </w:rPr>
        <w:tab/>
        <w:t>Nawozy mineralne powinny być dostarczane w opakowaniach z podanym składem chemicznym.</w:t>
      </w:r>
    </w:p>
    <w:p w:rsidR="0073077E" w:rsidRPr="004C3772" w:rsidRDefault="0073077E" w:rsidP="0073077E">
      <w:pPr>
        <w:rPr>
          <w:rFonts w:asciiTheme="minorHAnsi" w:hAnsiTheme="minorHAnsi"/>
        </w:rPr>
      </w:pPr>
      <w:r w:rsidRPr="004C3772">
        <w:rPr>
          <w:rFonts w:asciiTheme="minorHAnsi" w:hAnsiTheme="minorHAnsi"/>
        </w:rPr>
        <w:tab/>
        <w:t>Nawozy mineralne należy przechowywać w sposób zabezpieczający je przed zawilgoceniem i zbryleniem.</w:t>
      </w:r>
    </w:p>
    <w:p w:rsidR="0073077E" w:rsidRPr="004C3772" w:rsidRDefault="0073077E" w:rsidP="0073077E">
      <w:pPr>
        <w:rPr>
          <w:rFonts w:asciiTheme="minorHAnsi" w:hAnsiTheme="minorHAnsi"/>
        </w:rPr>
      </w:pPr>
    </w:p>
    <w:p w:rsidR="0073077E" w:rsidRPr="004C3772" w:rsidRDefault="0073077E" w:rsidP="0073077E">
      <w:pPr>
        <w:rPr>
          <w:rFonts w:asciiTheme="minorHAnsi" w:hAnsiTheme="minorHAnsi"/>
          <w:b/>
        </w:rPr>
      </w:pPr>
      <w:bookmarkStart w:id="1687" w:name="_Toc204750997"/>
      <w:r w:rsidRPr="004C3772">
        <w:rPr>
          <w:rFonts w:asciiTheme="minorHAnsi" w:hAnsiTheme="minorHAnsi"/>
          <w:b/>
        </w:rPr>
        <w:t>3. SPRZĘT</w:t>
      </w:r>
      <w:bookmarkEnd w:id="1687"/>
    </w:p>
    <w:p w:rsidR="0073077E" w:rsidRPr="004C3772" w:rsidRDefault="0073077E" w:rsidP="0073077E">
      <w:pPr>
        <w:rPr>
          <w:rFonts w:asciiTheme="minorHAnsi" w:hAnsiTheme="minorHAnsi"/>
        </w:rPr>
      </w:pPr>
      <w:r w:rsidRPr="004C3772">
        <w:rPr>
          <w:rFonts w:asciiTheme="minorHAnsi" w:hAnsiTheme="minorHAnsi"/>
          <w:b/>
        </w:rPr>
        <w:t>3.1.</w:t>
      </w:r>
      <w:r w:rsidRPr="004C3772">
        <w:rPr>
          <w:rFonts w:asciiTheme="minorHAnsi" w:hAnsiTheme="minorHAnsi"/>
        </w:rPr>
        <w:t xml:space="preserve"> Ogólne wymagania dotyczące sprzętu</w:t>
      </w:r>
    </w:p>
    <w:p w:rsidR="0073077E" w:rsidRPr="004C3772" w:rsidRDefault="0073077E" w:rsidP="0073077E">
      <w:pPr>
        <w:rPr>
          <w:rFonts w:asciiTheme="minorHAnsi" w:hAnsiTheme="minorHAnsi"/>
        </w:rPr>
      </w:pPr>
      <w:r w:rsidRPr="004C3772">
        <w:rPr>
          <w:rFonts w:asciiTheme="minorHAnsi" w:hAnsiTheme="minorHAnsi"/>
        </w:rPr>
        <w:tab/>
        <w:t>Ogólne wymagania dotyczące sprzętu podano w ST  D-M-00.00.00 „Wymagania ogólne” pkt 3.</w:t>
      </w:r>
    </w:p>
    <w:p w:rsidR="0073077E" w:rsidRPr="004C3772" w:rsidRDefault="0073077E" w:rsidP="0073077E">
      <w:pPr>
        <w:rPr>
          <w:rFonts w:asciiTheme="minorHAnsi" w:hAnsiTheme="minorHAnsi"/>
        </w:rPr>
      </w:pPr>
      <w:r w:rsidRPr="004C3772">
        <w:rPr>
          <w:rFonts w:asciiTheme="minorHAnsi" w:hAnsiTheme="minorHAnsi"/>
          <w:b/>
        </w:rPr>
        <w:t>3.2.</w:t>
      </w:r>
      <w:r w:rsidRPr="004C3772">
        <w:rPr>
          <w:rFonts w:asciiTheme="minorHAnsi" w:hAnsiTheme="minorHAnsi"/>
        </w:rPr>
        <w:t xml:space="preserve"> Sprzęt stosowany do wykonania robót</w:t>
      </w:r>
    </w:p>
    <w:p w:rsidR="0073077E" w:rsidRPr="004C3772" w:rsidRDefault="0073077E" w:rsidP="0073077E">
      <w:pPr>
        <w:rPr>
          <w:rFonts w:asciiTheme="minorHAnsi" w:hAnsiTheme="minorHAnsi"/>
        </w:rPr>
      </w:pPr>
      <w:r w:rsidRPr="004C3772">
        <w:rPr>
          <w:rFonts w:asciiTheme="minorHAnsi" w:hAnsiTheme="minorHAnsi"/>
        </w:rPr>
        <w:tab/>
        <w:t>Przy wykonywaniu robót Wykonawca w zależności od potrzeb, powinien wykazać się możliwością korzystania ze sprzętu dostosowanego do przyjętej metody robót, jak:</w:t>
      </w:r>
    </w:p>
    <w:p w:rsidR="0073077E" w:rsidRPr="004C3772" w:rsidRDefault="0073077E" w:rsidP="0073077E">
      <w:pPr>
        <w:rPr>
          <w:rFonts w:asciiTheme="minorHAnsi" w:hAnsiTheme="minorHAnsi"/>
        </w:rPr>
      </w:pPr>
      <w:r w:rsidRPr="004C3772">
        <w:rPr>
          <w:rFonts w:asciiTheme="minorHAnsi" w:hAnsiTheme="minorHAnsi"/>
        </w:rPr>
        <w:t>- przy robotach rozbiórkowych elementów dróg i robót ziemnych: spycharki, koparki, ładowarki, zrywarki, frezarki nawierzchni, żurawie samochodowe, młoty pneumatyczne, piły mechaniczne, samochody ciężarowe, itp.,</w:t>
      </w:r>
    </w:p>
    <w:p w:rsidR="0073077E" w:rsidRPr="004C3772" w:rsidRDefault="0073077E" w:rsidP="0073077E">
      <w:pPr>
        <w:rPr>
          <w:rFonts w:asciiTheme="minorHAnsi" w:hAnsiTheme="minorHAnsi"/>
        </w:rPr>
      </w:pPr>
      <w:r w:rsidRPr="004C3772">
        <w:rPr>
          <w:rFonts w:asciiTheme="minorHAnsi" w:hAnsiTheme="minorHAnsi"/>
        </w:rPr>
        <w:t>- przy robotach rekultywacyjnych</w:t>
      </w:r>
    </w:p>
    <w:p w:rsidR="0073077E" w:rsidRPr="004C3772" w:rsidRDefault="0073077E" w:rsidP="0073077E">
      <w:pPr>
        <w:rPr>
          <w:rFonts w:asciiTheme="minorHAnsi" w:hAnsiTheme="minorHAnsi"/>
        </w:rPr>
      </w:pPr>
      <w:r w:rsidRPr="004C3772">
        <w:rPr>
          <w:rFonts w:asciiTheme="minorHAnsi" w:hAnsiTheme="minorHAnsi"/>
        </w:rPr>
        <w:t>- pługi, brony, kultywatory, do ewentualnego spulchnienia gruntów,</w:t>
      </w:r>
    </w:p>
    <w:p w:rsidR="0073077E" w:rsidRPr="004C3772" w:rsidRDefault="0073077E" w:rsidP="0073077E">
      <w:pPr>
        <w:rPr>
          <w:rFonts w:asciiTheme="minorHAnsi" w:hAnsiTheme="minorHAnsi"/>
        </w:rPr>
      </w:pPr>
      <w:r w:rsidRPr="004C3772">
        <w:rPr>
          <w:rFonts w:asciiTheme="minorHAnsi" w:hAnsiTheme="minorHAnsi"/>
        </w:rPr>
        <w:t>- zgarniarki, spycharki, równiarki do wyrównania terenu,</w:t>
      </w:r>
    </w:p>
    <w:p w:rsidR="0073077E" w:rsidRPr="004C3772" w:rsidRDefault="0073077E" w:rsidP="0073077E">
      <w:pPr>
        <w:rPr>
          <w:rFonts w:asciiTheme="minorHAnsi" w:hAnsiTheme="minorHAnsi"/>
        </w:rPr>
      </w:pPr>
      <w:r w:rsidRPr="004C3772">
        <w:rPr>
          <w:rFonts w:asciiTheme="minorHAnsi" w:hAnsiTheme="minorHAnsi"/>
        </w:rPr>
        <w:t>- walce gładkie, ogumione, ew. wibracyjne lub płytowe zagęszczarki wibracyjne, ew. wały kolczatki, wały gładkie,</w:t>
      </w:r>
    </w:p>
    <w:p w:rsidR="0073077E" w:rsidRPr="004C3772" w:rsidRDefault="0073077E" w:rsidP="0073077E">
      <w:pPr>
        <w:rPr>
          <w:rFonts w:asciiTheme="minorHAnsi" w:hAnsiTheme="minorHAnsi"/>
        </w:rPr>
      </w:pPr>
      <w:r w:rsidRPr="004C3772">
        <w:rPr>
          <w:rFonts w:asciiTheme="minorHAnsi" w:hAnsiTheme="minorHAnsi"/>
        </w:rPr>
        <w:t>- przewoźne zbiorniki na wodę, wyposażone w urządzenia do rozpryskiwania wody.</w:t>
      </w:r>
    </w:p>
    <w:p w:rsidR="0073077E" w:rsidRPr="004C3772" w:rsidRDefault="0073077E" w:rsidP="0073077E">
      <w:pPr>
        <w:rPr>
          <w:rFonts w:asciiTheme="minorHAnsi" w:hAnsiTheme="minorHAnsi"/>
        </w:rPr>
      </w:pPr>
      <w:r w:rsidRPr="004C3772">
        <w:rPr>
          <w:rFonts w:asciiTheme="minorHAnsi" w:hAnsiTheme="minorHAnsi"/>
        </w:rPr>
        <w:t>Sprzęt powinien odpowiadać wymaganiom określonym w dokumentacji projektowej, instrukcjach producentów lub propozycji Wykonawcy i powinien być zaakceptowany przez Inżyniera.</w:t>
      </w:r>
    </w:p>
    <w:p w:rsidR="0073077E" w:rsidRPr="004C3772" w:rsidRDefault="0073077E" w:rsidP="0073077E">
      <w:pPr>
        <w:rPr>
          <w:rFonts w:asciiTheme="minorHAnsi" w:hAnsiTheme="minorHAnsi"/>
        </w:rPr>
      </w:pPr>
    </w:p>
    <w:p w:rsidR="0073077E" w:rsidRPr="004C3772" w:rsidRDefault="0073077E" w:rsidP="0073077E">
      <w:pPr>
        <w:rPr>
          <w:rFonts w:asciiTheme="minorHAnsi" w:hAnsiTheme="minorHAnsi"/>
          <w:b/>
        </w:rPr>
      </w:pPr>
      <w:bookmarkStart w:id="1688" w:name="_Toc204750998"/>
      <w:r w:rsidRPr="004C3772">
        <w:rPr>
          <w:rFonts w:asciiTheme="minorHAnsi" w:hAnsiTheme="minorHAnsi"/>
          <w:b/>
        </w:rPr>
        <w:t>4. TRANSPORT</w:t>
      </w:r>
      <w:bookmarkEnd w:id="1688"/>
    </w:p>
    <w:p w:rsidR="0073077E" w:rsidRPr="004C3772" w:rsidRDefault="0073077E" w:rsidP="0073077E">
      <w:pPr>
        <w:rPr>
          <w:rFonts w:asciiTheme="minorHAnsi" w:hAnsiTheme="minorHAnsi"/>
        </w:rPr>
      </w:pPr>
      <w:r w:rsidRPr="004C3772">
        <w:rPr>
          <w:rFonts w:asciiTheme="minorHAnsi" w:hAnsiTheme="minorHAnsi"/>
          <w:b/>
        </w:rPr>
        <w:t>4.1.</w:t>
      </w:r>
      <w:r w:rsidRPr="004C3772">
        <w:rPr>
          <w:rFonts w:asciiTheme="minorHAnsi" w:hAnsiTheme="minorHAnsi"/>
        </w:rPr>
        <w:t xml:space="preserve"> Ogólne wymagania dotyczące transportu</w:t>
      </w:r>
    </w:p>
    <w:p w:rsidR="0073077E" w:rsidRPr="004C3772" w:rsidRDefault="0073077E" w:rsidP="0073077E">
      <w:pPr>
        <w:rPr>
          <w:rFonts w:asciiTheme="minorHAnsi" w:hAnsiTheme="minorHAnsi"/>
        </w:rPr>
      </w:pPr>
      <w:r w:rsidRPr="004C3772">
        <w:rPr>
          <w:rFonts w:asciiTheme="minorHAnsi" w:hAnsiTheme="minorHAnsi"/>
        </w:rPr>
        <w:tab/>
        <w:t>Ogólne wymagania dotyczące transportu podano w ST D-M-00.00.00 „Wymagania ogólne” pkt 4.</w:t>
      </w:r>
    </w:p>
    <w:p w:rsidR="0073077E" w:rsidRPr="004C3772" w:rsidRDefault="0073077E" w:rsidP="0073077E">
      <w:pPr>
        <w:rPr>
          <w:rFonts w:asciiTheme="minorHAnsi" w:hAnsiTheme="minorHAnsi"/>
        </w:rPr>
      </w:pPr>
      <w:r w:rsidRPr="004C3772">
        <w:rPr>
          <w:rFonts w:asciiTheme="minorHAnsi" w:hAnsiTheme="minorHAnsi"/>
          <w:b/>
        </w:rPr>
        <w:t>4.2.</w:t>
      </w:r>
      <w:r w:rsidRPr="004C3772">
        <w:rPr>
          <w:rFonts w:asciiTheme="minorHAnsi" w:hAnsiTheme="minorHAnsi"/>
        </w:rPr>
        <w:t xml:space="preserve"> Transport materiałów </w:t>
      </w:r>
    </w:p>
    <w:p w:rsidR="0073077E" w:rsidRPr="004C3772" w:rsidRDefault="0073077E" w:rsidP="0073077E">
      <w:pPr>
        <w:rPr>
          <w:rFonts w:asciiTheme="minorHAnsi" w:hAnsiTheme="minorHAnsi"/>
        </w:rPr>
      </w:pPr>
      <w:r w:rsidRPr="004C3772">
        <w:rPr>
          <w:rFonts w:asciiTheme="minorHAnsi" w:hAnsiTheme="minorHAnsi"/>
        </w:rPr>
        <w:tab/>
        <w:t>Materiały stosowane do rekultywacji można przewozić dowolnymi środkami transportu, w warunkach zabezpieczających je przed zanieczyszczeniem, zmieszaniem z innymi materiałami. Nasiona traw i nawozy mineralne należy chronić przed zawilgoceniem.</w:t>
      </w:r>
    </w:p>
    <w:p w:rsidR="0073077E" w:rsidRPr="004C3772" w:rsidRDefault="0073077E" w:rsidP="0073077E">
      <w:pPr>
        <w:rPr>
          <w:rFonts w:asciiTheme="minorHAnsi" w:hAnsiTheme="minorHAnsi"/>
        </w:rPr>
      </w:pPr>
    </w:p>
    <w:p w:rsidR="0073077E" w:rsidRPr="004C3772" w:rsidRDefault="0073077E" w:rsidP="0073077E">
      <w:pPr>
        <w:rPr>
          <w:rFonts w:asciiTheme="minorHAnsi" w:hAnsiTheme="minorHAnsi"/>
          <w:b/>
        </w:rPr>
      </w:pPr>
      <w:bookmarkStart w:id="1689" w:name="_Toc204750999"/>
      <w:r w:rsidRPr="004C3772">
        <w:rPr>
          <w:rFonts w:asciiTheme="minorHAnsi" w:hAnsiTheme="minorHAnsi"/>
          <w:b/>
        </w:rPr>
        <w:t>5. WYKONANIE ROBÓT</w:t>
      </w:r>
      <w:bookmarkEnd w:id="1689"/>
    </w:p>
    <w:p w:rsidR="0073077E" w:rsidRPr="004C3772" w:rsidRDefault="0073077E" w:rsidP="0073077E">
      <w:pPr>
        <w:rPr>
          <w:rFonts w:asciiTheme="minorHAnsi" w:hAnsiTheme="minorHAnsi"/>
        </w:rPr>
      </w:pPr>
      <w:r w:rsidRPr="004C3772">
        <w:rPr>
          <w:rFonts w:asciiTheme="minorHAnsi" w:hAnsiTheme="minorHAnsi"/>
          <w:b/>
        </w:rPr>
        <w:t>5.1.</w:t>
      </w:r>
      <w:r w:rsidRPr="004C3772">
        <w:rPr>
          <w:rFonts w:asciiTheme="minorHAnsi" w:hAnsiTheme="minorHAnsi"/>
        </w:rPr>
        <w:t xml:space="preserve"> Ogólne zasady wykonania robót</w:t>
      </w:r>
    </w:p>
    <w:p w:rsidR="0073077E" w:rsidRPr="004C3772" w:rsidRDefault="0073077E" w:rsidP="0073077E">
      <w:pPr>
        <w:rPr>
          <w:rFonts w:asciiTheme="minorHAnsi" w:hAnsiTheme="minorHAnsi"/>
        </w:rPr>
      </w:pPr>
      <w:r w:rsidRPr="004C3772">
        <w:rPr>
          <w:rFonts w:asciiTheme="minorHAnsi" w:hAnsiTheme="minorHAnsi"/>
        </w:rPr>
        <w:tab/>
        <w:t>Ogólne zasady wykonania robót podano w ST D-M-00.00.00 „Wymagania ogólne” pkt 5.</w:t>
      </w:r>
    </w:p>
    <w:p w:rsidR="0073077E" w:rsidRPr="004C3772" w:rsidRDefault="0073077E" w:rsidP="0073077E">
      <w:pPr>
        <w:rPr>
          <w:rFonts w:asciiTheme="minorHAnsi" w:hAnsiTheme="minorHAnsi"/>
        </w:rPr>
      </w:pPr>
      <w:r w:rsidRPr="004C3772">
        <w:rPr>
          <w:rFonts w:asciiTheme="minorHAnsi" w:hAnsiTheme="minorHAnsi"/>
          <w:b/>
        </w:rPr>
        <w:t>5.2.</w:t>
      </w:r>
      <w:r w:rsidRPr="004C3772">
        <w:rPr>
          <w:rFonts w:asciiTheme="minorHAnsi" w:hAnsiTheme="minorHAnsi"/>
        </w:rPr>
        <w:t xml:space="preserve"> Zasady wykonywania robót</w:t>
      </w:r>
    </w:p>
    <w:p w:rsidR="0073077E" w:rsidRPr="004C3772" w:rsidRDefault="0073077E" w:rsidP="0073077E">
      <w:pPr>
        <w:rPr>
          <w:rFonts w:asciiTheme="minorHAnsi" w:hAnsiTheme="minorHAnsi"/>
        </w:rPr>
      </w:pPr>
      <w:r w:rsidRPr="004C3772">
        <w:rPr>
          <w:rFonts w:asciiTheme="minorHAnsi" w:hAnsiTheme="minorHAnsi"/>
        </w:rPr>
        <w:t>Sposób wykonania robót powinien być zgodny z dokumentacją projektową. W przypadku braku wystarczających danych można korzystać z ustaleń podanych w niniejszej specyfikacji oraz z informacji podanych w załączniku.</w:t>
      </w:r>
    </w:p>
    <w:p w:rsidR="0073077E" w:rsidRPr="004C3772" w:rsidRDefault="0073077E" w:rsidP="0073077E">
      <w:pPr>
        <w:rPr>
          <w:rFonts w:asciiTheme="minorHAnsi" w:hAnsiTheme="minorHAnsi"/>
        </w:rPr>
      </w:pPr>
      <w:r w:rsidRPr="004C3772">
        <w:rPr>
          <w:rFonts w:asciiTheme="minorHAnsi" w:hAnsiTheme="minorHAnsi"/>
        </w:rPr>
        <w:tab/>
        <w:t>Podstawowe czynności przy wykonywaniu robót obejmują:</w:t>
      </w:r>
    </w:p>
    <w:p w:rsidR="0073077E" w:rsidRPr="004C3772" w:rsidRDefault="0073077E" w:rsidP="0073077E">
      <w:pPr>
        <w:rPr>
          <w:rFonts w:asciiTheme="minorHAnsi" w:hAnsiTheme="minorHAnsi"/>
        </w:rPr>
      </w:pPr>
      <w:r w:rsidRPr="004C3772">
        <w:rPr>
          <w:rFonts w:asciiTheme="minorHAnsi" w:hAnsiTheme="minorHAnsi"/>
        </w:rPr>
        <w:t xml:space="preserve">- roboty przygotowawcze, </w:t>
      </w:r>
    </w:p>
    <w:p w:rsidR="0073077E" w:rsidRPr="004C3772" w:rsidRDefault="0073077E" w:rsidP="0073077E">
      <w:pPr>
        <w:rPr>
          <w:rFonts w:asciiTheme="minorHAnsi" w:hAnsiTheme="minorHAnsi"/>
        </w:rPr>
      </w:pPr>
      <w:r w:rsidRPr="004C3772">
        <w:rPr>
          <w:rFonts w:asciiTheme="minorHAnsi" w:hAnsiTheme="minorHAnsi"/>
        </w:rPr>
        <w:t>- roboty rozbiórkowe,</w:t>
      </w:r>
    </w:p>
    <w:p w:rsidR="0073077E" w:rsidRPr="004C3772" w:rsidRDefault="0073077E" w:rsidP="0073077E">
      <w:pPr>
        <w:rPr>
          <w:rFonts w:asciiTheme="minorHAnsi" w:hAnsiTheme="minorHAnsi"/>
        </w:rPr>
      </w:pPr>
      <w:r w:rsidRPr="004C3772">
        <w:rPr>
          <w:rFonts w:asciiTheme="minorHAnsi" w:hAnsiTheme="minorHAnsi"/>
        </w:rPr>
        <w:t>- rekultywację terenu,</w:t>
      </w:r>
    </w:p>
    <w:p w:rsidR="0073077E" w:rsidRPr="004C3772" w:rsidRDefault="0073077E" w:rsidP="0073077E">
      <w:pPr>
        <w:rPr>
          <w:rFonts w:asciiTheme="minorHAnsi" w:hAnsiTheme="minorHAnsi"/>
        </w:rPr>
      </w:pPr>
      <w:r w:rsidRPr="004C3772">
        <w:rPr>
          <w:rFonts w:asciiTheme="minorHAnsi" w:hAnsiTheme="minorHAnsi"/>
        </w:rPr>
        <w:t>- roboty wykończeniowe.</w:t>
      </w:r>
    </w:p>
    <w:p w:rsidR="0073077E" w:rsidRPr="004C3772" w:rsidRDefault="0073077E" w:rsidP="0073077E">
      <w:pPr>
        <w:rPr>
          <w:rFonts w:asciiTheme="minorHAnsi" w:hAnsiTheme="minorHAnsi"/>
        </w:rPr>
      </w:pPr>
      <w:r w:rsidRPr="004C3772">
        <w:rPr>
          <w:rFonts w:asciiTheme="minorHAnsi" w:hAnsiTheme="minorHAnsi"/>
          <w:b/>
        </w:rPr>
        <w:t>5.3.</w:t>
      </w:r>
      <w:r w:rsidRPr="004C3772">
        <w:rPr>
          <w:rFonts w:asciiTheme="minorHAnsi" w:hAnsiTheme="minorHAnsi"/>
        </w:rPr>
        <w:t xml:space="preserve"> Roboty przygotowawcze</w:t>
      </w:r>
    </w:p>
    <w:p w:rsidR="0073077E" w:rsidRPr="004C3772" w:rsidRDefault="0073077E" w:rsidP="0073077E">
      <w:pPr>
        <w:rPr>
          <w:rFonts w:asciiTheme="minorHAnsi" w:hAnsiTheme="minorHAnsi"/>
        </w:rPr>
      </w:pPr>
      <w:r w:rsidRPr="004C3772">
        <w:rPr>
          <w:rFonts w:asciiTheme="minorHAnsi" w:hAnsiTheme="minorHAnsi"/>
        </w:rPr>
        <w:tab/>
        <w:t>Przed przystąpieniem do robót należy, na podstawie dokumentacji projektowej lub wskazań Inżyniera:</w:t>
      </w:r>
    </w:p>
    <w:p w:rsidR="0073077E" w:rsidRPr="004C3772" w:rsidRDefault="0073077E" w:rsidP="0073077E">
      <w:pPr>
        <w:rPr>
          <w:rFonts w:asciiTheme="minorHAnsi" w:hAnsiTheme="minorHAnsi"/>
        </w:rPr>
      </w:pPr>
      <w:r w:rsidRPr="004C3772">
        <w:rPr>
          <w:rFonts w:asciiTheme="minorHAnsi" w:hAnsiTheme="minorHAnsi"/>
        </w:rPr>
        <w:t>- ustalić lokalizację terenu robót,</w:t>
      </w:r>
    </w:p>
    <w:p w:rsidR="0073077E" w:rsidRPr="004C3772" w:rsidRDefault="0073077E" w:rsidP="0073077E">
      <w:pPr>
        <w:rPr>
          <w:rFonts w:asciiTheme="minorHAnsi" w:hAnsiTheme="minorHAnsi"/>
        </w:rPr>
      </w:pPr>
      <w:r w:rsidRPr="004C3772">
        <w:rPr>
          <w:rFonts w:asciiTheme="minorHAnsi" w:hAnsiTheme="minorHAnsi"/>
        </w:rPr>
        <w:lastRenderedPageBreak/>
        <w:t>- przeprowadzić obliczenia i pomiary geodezyjne niezbędne do szczegółowego wytyczenia robót oraz ustalenia danych wysokościowych,</w:t>
      </w:r>
    </w:p>
    <w:p w:rsidR="0073077E" w:rsidRPr="004C3772" w:rsidRDefault="0073077E" w:rsidP="0073077E">
      <w:pPr>
        <w:rPr>
          <w:rFonts w:asciiTheme="minorHAnsi" w:hAnsiTheme="minorHAnsi"/>
        </w:rPr>
      </w:pPr>
      <w:r w:rsidRPr="004C3772">
        <w:rPr>
          <w:rFonts w:asciiTheme="minorHAnsi" w:hAnsiTheme="minorHAnsi"/>
        </w:rPr>
        <w:t>- wykonać prace udostępniające teren robót.</w:t>
      </w:r>
    </w:p>
    <w:p w:rsidR="0073077E" w:rsidRPr="004C3772" w:rsidRDefault="0073077E" w:rsidP="0073077E">
      <w:pPr>
        <w:rPr>
          <w:rFonts w:asciiTheme="minorHAnsi" w:hAnsiTheme="minorHAnsi"/>
        </w:rPr>
      </w:pPr>
      <w:r w:rsidRPr="004C3772">
        <w:rPr>
          <w:rFonts w:asciiTheme="minorHAnsi" w:hAnsiTheme="minorHAnsi"/>
        </w:rPr>
        <w:t>Zaleca się korzystanie z ustaleń ST D-01.00.00 w zakresie niezbędnym do wykonania robót przygotowawczych.</w:t>
      </w:r>
    </w:p>
    <w:p w:rsidR="0073077E" w:rsidRPr="004C3772" w:rsidRDefault="0073077E" w:rsidP="0073077E">
      <w:pPr>
        <w:rPr>
          <w:rFonts w:asciiTheme="minorHAnsi" w:hAnsiTheme="minorHAnsi"/>
        </w:rPr>
      </w:pPr>
      <w:r w:rsidRPr="004C3772">
        <w:rPr>
          <w:rFonts w:asciiTheme="minorHAnsi" w:hAnsiTheme="minorHAnsi"/>
          <w:b/>
        </w:rPr>
        <w:t>5.4.</w:t>
      </w:r>
      <w:r w:rsidRPr="004C3772">
        <w:rPr>
          <w:rFonts w:asciiTheme="minorHAnsi" w:hAnsiTheme="minorHAnsi"/>
        </w:rPr>
        <w:t xml:space="preserve"> Roboty rozbiórkowe</w:t>
      </w:r>
    </w:p>
    <w:p w:rsidR="0073077E" w:rsidRPr="004C3772" w:rsidRDefault="0073077E" w:rsidP="0073077E">
      <w:pPr>
        <w:rPr>
          <w:rFonts w:asciiTheme="minorHAnsi" w:hAnsiTheme="minorHAnsi"/>
        </w:rPr>
      </w:pPr>
      <w:r w:rsidRPr="004C3772">
        <w:rPr>
          <w:rFonts w:asciiTheme="minorHAnsi" w:hAnsiTheme="minorHAnsi"/>
          <w:b/>
        </w:rPr>
        <w:t>5.4.1.</w:t>
      </w:r>
      <w:r w:rsidRPr="004C3772">
        <w:rPr>
          <w:rFonts w:asciiTheme="minorHAnsi" w:hAnsiTheme="minorHAnsi"/>
        </w:rPr>
        <w:t xml:space="preserve">  Rodzaje robót rozbiórkowych</w:t>
      </w:r>
    </w:p>
    <w:p w:rsidR="0073077E" w:rsidRPr="004C3772" w:rsidRDefault="0073077E" w:rsidP="0073077E">
      <w:pPr>
        <w:rPr>
          <w:rFonts w:asciiTheme="minorHAnsi" w:hAnsiTheme="minorHAnsi"/>
        </w:rPr>
      </w:pPr>
      <w:r w:rsidRPr="004C3772">
        <w:rPr>
          <w:rFonts w:asciiTheme="minorHAnsi" w:hAnsiTheme="minorHAnsi"/>
        </w:rPr>
        <w:tab/>
        <w:t>Jeśli rekultywację terenu przeprowadza się w miejscach istniejących obiektów przewidzianych do likwidacji jak np. na odcinkach dróg nieprzewidzianych do dalszej eksploatacji, placach budowy po zakończeniu robót, obiektach budowlanych itp., to mogą występować różnego rodzaju roboty rozbiórkowe, np.:</w:t>
      </w:r>
    </w:p>
    <w:p w:rsidR="0073077E" w:rsidRPr="004C3772" w:rsidRDefault="0073077E" w:rsidP="0073077E">
      <w:pPr>
        <w:rPr>
          <w:rFonts w:asciiTheme="minorHAnsi" w:hAnsiTheme="minorHAnsi"/>
        </w:rPr>
      </w:pPr>
      <w:r w:rsidRPr="004C3772">
        <w:rPr>
          <w:rFonts w:asciiTheme="minorHAnsi" w:hAnsiTheme="minorHAnsi"/>
        </w:rPr>
        <w:t>- usunięcie drzew i krzewów,</w:t>
      </w:r>
    </w:p>
    <w:p w:rsidR="0073077E" w:rsidRPr="004C3772" w:rsidRDefault="0073077E" w:rsidP="0073077E">
      <w:pPr>
        <w:rPr>
          <w:rFonts w:asciiTheme="minorHAnsi" w:hAnsiTheme="minorHAnsi"/>
        </w:rPr>
      </w:pPr>
      <w:r w:rsidRPr="004C3772">
        <w:rPr>
          <w:rFonts w:asciiTheme="minorHAnsi" w:hAnsiTheme="minorHAnsi"/>
        </w:rPr>
        <w:t>- rozbiórka warstw nawierzchni,</w:t>
      </w:r>
    </w:p>
    <w:p w:rsidR="0073077E" w:rsidRPr="004C3772" w:rsidRDefault="0073077E" w:rsidP="0073077E">
      <w:pPr>
        <w:rPr>
          <w:rFonts w:asciiTheme="minorHAnsi" w:hAnsiTheme="minorHAnsi"/>
        </w:rPr>
      </w:pPr>
      <w:r w:rsidRPr="004C3772">
        <w:rPr>
          <w:rFonts w:asciiTheme="minorHAnsi" w:hAnsiTheme="minorHAnsi"/>
        </w:rPr>
        <w:t>- rozbiórka elementów dróg jak: krawężniki, obrzeża, oporniki, ścieki przykrawężnikowe, chodniki, znaki drogowe, przepusty, bariery ochronne, poręcze, ogrodzenia itp.</w:t>
      </w:r>
    </w:p>
    <w:p w:rsidR="0073077E" w:rsidRPr="004C3772" w:rsidRDefault="0073077E" w:rsidP="0073077E">
      <w:pPr>
        <w:rPr>
          <w:rFonts w:asciiTheme="minorHAnsi" w:hAnsiTheme="minorHAnsi"/>
        </w:rPr>
      </w:pPr>
      <w:r w:rsidRPr="004C3772">
        <w:rPr>
          <w:rFonts w:asciiTheme="minorHAnsi" w:hAnsiTheme="minorHAnsi"/>
          <w:b/>
        </w:rPr>
        <w:t>5.4.2.</w:t>
      </w:r>
      <w:r w:rsidRPr="004C3772">
        <w:rPr>
          <w:rFonts w:asciiTheme="minorHAnsi" w:hAnsiTheme="minorHAnsi"/>
        </w:rPr>
        <w:t xml:space="preserve"> Zasady wykonywania robót rozbiórkowych</w:t>
      </w:r>
    </w:p>
    <w:p w:rsidR="0073077E" w:rsidRPr="004C3772" w:rsidRDefault="0073077E" w:rsidP="0073077E">
      <w:pPr>
        <w:rPr>
          <w:rFonts w:asciiTheme="minorHAnsi" w:hAnsiTheme="minorHAnsi"/>
        </w:rPr>
      </w:pPr>
      <w:r w:rsidRPr="004C3772">
        <w:rPr>
          <w:rFonts w:asciiTheme="minorHAnsi" w:hAnsiTheme="minorHAnsi"/>
        </w:rPr>
        <w:tab/>
        <w:t>Roboty rozbiórkowe obejmują usunięcie z terenu przeznaczonego do rekultywacji wszystkich obiektów i elementów określonych w dokumentacji projektowej lub wskazanych przez Inżyniera. Jeżeli dokumentacja projektowa nie zawiera dokumentacji inwentaryzacyjnej lub rozbiórkowej, Inżynier może polecić Wykonawcy sporządzenie takiej dokumentacji, w której zostanie określony przewidziany odzysk materiałów. Roboty rozbiórkowe można wykonywać mechanicznie lub ręcznie w sposób określony w ST lub przez Inżyniera.</w:t>
      </w:r>
    </w:p>
    <w:p w:rsidR="0073077E" w:rsidRPr="004C3772" w:rsidRDefault="0073077E" w:rsidP="0073077E">
      <w:pPr>
        <w:rPr>
          <w:rFonts w:asciiTheme="minorHAnsi" w:hAnsiTheme="minorHAnsi"/>
        </w:rPr>
      </w:pPr>
      <w:r w:rsidRPr="004C3772">
        <w:rPr>
          <w:rFonts w:asciiTheme="minorHAnsi" w:hAnsiTheme="minorHAnsi"/>
        </w:rPr>
        <w:tab/>
        <w:t>Wszystkie elementy możliwe do powtórnego wykorzystania powinny być usuwane bez powodowania zbędnych uszkodzeń. Jeśli uzyskane elementy nie stają się własnością Wykonawcy, powinien on przewieźć je na miejsce określone w ST lub wskazane przez Inżyniera. Elementy i materiały, które zgodnie z ST stają się własnością Wykonawcy, powinny być usunięte z terenu budowy.</w:t>
      </w:r>
    </w:p>
    <w:p w:rsidR="0073077E" w:rsidRPr="004C3772" w:rsidRDefault="0073077E" w:rsidP="0073077E">
      <w:pPr>
        <w:rPr>
          <w:rFonts w:asciiTheme="minorHAnsi" w:hAnsiTheme="minorHAnsi"/>
        </w:rPr>
      </w:pPr>
      <w:r w:rsidRPr="004C3772">
        <w:rPr>
          <w:rFonts w:asciiTheme="minorHAnsi" w:hAnsiTheme="minorHAnsi"/>
        </w:rPr>
        <w:tab/>
        <w:t>Przy wykonywaniu robót rozbiórkowych zaleca się wykorzystywać postanowienia zawarte w ST D-01.00.00.</w:t>
      </w:r>
    </w:p>
    <w:p w:rsidR="0073077E" w:rsidRPr="004C3772" w:rsidRDefault="0073077E" w:rsidP="0073077E">
      <w:pPr>
        <w:rPr>
          <w:rFonts w:asciiTheme="minorHAnsi" w:hAnsiTheme="minorHAnsi"/>
        </w:rPr>
      </w:pPr>
      <w:r w:rsidRPr="004C3772">
        <w:rPr>
          <w:rFonts w:asciiTheme="minorHAnsi" w:hAnsiTheme="minorHAnsi"/>
          <w:b/>
        </w:rPr>
        <w:t>5.4.3.</w:t>
      </w:r>
      <w:r w:rsidRPr="004C3772">
        <w:rPr>
          <w:rFonts w:asciiTheme="minorHAnsi" w:hAnsiTheme="minorHAnsi"/>
        </w:rPr>
        <w:t xml:space="preserve">  Usunięcie drzew i krzewów</w:t>
      </w:r>
    </w:p>
    <w:p w:rsidR="0073077E" w:rsidRPr="004C3772" w:rsidRDefault="0073077E" w:rsidP="0073077E">
      <w:pPr>
        <w:rPr>
          <w:rFonts w:asciiTheme="minorHAnsi" w:hAnsiTheme="minorHAnsi"/>
        </w:rPr>
      </w:pPr>
      <w:r w:rsidRPr="004C3772">
        <w:rPr>
          <w:rFonts w:asciiTheme="minorHAnsi" w:hAnsiTheme="minorHAnsi"/>
        </w:rPr>
        <w:tab/>
        <w:t>Roboty związane z usunięciem drzew i krzewów obejmują wycięcie i wykarczowanie drzew i krzewów, wywiezienie pni, karpiny i gałęzi poza teren budowy na wskazane miejsce, zasypanie dołów oraz ewentualne spalenie na miejscu pozostałości po wykarczowaniu. Zgoda na prace związane z usunięciem drzew i krzewów powinna być uzyskana przez Zamawiającego.</w:t>
      </w:r>
    </w:p>
    <w:p w:rsidR="0073077E" w:rsidRPr="004C3772" w:rsidRDefault="0073077E" w:rsidP="0073077E">
      <w:pPr>
        <w:rPr>
          <w:rFonts w:asciiTheme="minorHAnsi" w:hAnsiTheme="minorHAnsi"/>
        </w:rPr>
      </w:pPr>
      <w:r w:rsidRPr="004C3772">
        <w:rPr>
          <w:rFonts w:asciiTheme="minorHAnsi" w:hAnsiTheme="minorHAnsi"/>
        </w:rPr>
        <w:tab/>
        <w:t>Młode drzewa i inne rośliny przewidziane do ponownego sadzenia powinny być wykopane z dużą ostrożnością, w sposób który nie spowoduje trwałych uszkodzeń, a następnie zasadzone w odpowiednim gruncie na ustalonym miejscu.</w:t>
      </w:r>
    </w:p>
    <w:p w:rsidR="0073077E" w:rsidRPr="004C3772" w:rsidRDefault="0073077E" w:rsidP="0073077E">
      <w:pPr>
        <w:rPr>
          <w:rFonts w:asciiTheme="minorHAnsi" w:hAnsiTheme="minorHAnsi"/>
        </w:rPr>
      </w:pPr>
      <w:r w:rsidRPr="004C3772">
        <w:rPr>
          <w:rFonts w:asciiTheme="minorHAnsi" w:hAnsiTheme="minorHAnsi"/>
        </w:rPr>
        <w:tab/>
        <w:t>Doły po wykarczowanych pniach należy wypełnić gruntem przydatnym do budowy nasypów i zagęścić zgodnie z wymaganiami zawartymi w ST D-02.00.00. Doły należy tymczasowo zabezpieczyć przed gromadzeniem się w nich wody.</w:t>
      </w:r>
    </w:p>
    <w:p w:rsidR="0073077E" w:rsidRPr="004C3772" w:rsidRDefault="0073077E" w:rsidP="0073077E">
      <w:pPr>
        <w:rPr>
          <w:rFonts w:asciiTheme="minorHAnsi" w:hAnsiTheme="minorHAnsi"/>
        </w:rPr>
      </w:pPr>
      <w:r w:rsidRPr="004C3772">
        <w:rPr>
          <w:rFonts w:asciiTheme="minorHAnsi" w:hAnsiTheme="minorHAnsi"/>
        </w:rPr>
        <w:tab/>
        <w:t>Zaleca się usuwać drzewa i krzewy przy wykorzystaniu postanowień ST D-01.02.01.</w:t>
      </w:r>
    </w:p>
    <w:p w:rsidR="0073077E" w:rsidRPr="004C3772" w:rsidRDefault="0073077E" w:rsidP="0073077E">
      <w:pPr>
        <w:rPr>
          <w:rFonts w:asciiTheme="minorHAnsi" w:hAnsiTheme="minorHAnsi"/>
        </w:rPr>
      </w:pPr>
      <w:r w:rsidRPr="004C3772">
        <w:rPr>
          <w:rFonts w:asciiTheme="minorHAnsi" w:hAnsiTheme="minorHAnsi"/>
          <w:b/>
        </w:rPr>
        <w:t>5.4.4.</w:t>
      </w:r>
      <w:r w:rsidRPr="004C3772">
        <w:rPr>
          <w:rFonts w:asciiTheme="minorHAnsi" w:hAnsiTheme="minorHAnsi"/>
        </w:rPr>
        <w:t xml:space="preserve"> Rozbiórka warstw nawierzchni</w:t>
      </w:r>
    </w:p>
    <w:p w:rsidR="0073077E" w:rsidRPr="004C3772" w:rsidRDefault="0073077E" w:rsidP="0073077E">
      <w:pPr>
        <w:rPr>
          <w:rFonts w:asciiTheme="minorHAnsi" w:hAnsiTheme="minorHAnsi"/>
        </w:rPr>
      </w:pPr>
      <w:r w:rsidRPr="004C3772">
        <w:rPr>
          <w:rFonts w:asciiTheme="minorHAnsi" w:hAnsiTheme="minorHAnsi"/>
        </w:rPr>
        <w:tab/>
        <w:t>Rozbiórka warstw nawierzchni (warstwy ścieralnej, wiążącej, podbudowy) obejmuje:</w:t>
      </w:r>
    </w:p>
    <w:p w:rsidR="0073077E" w:rsidRPr="004C3772" w:rsidRDefault="0073077E" w:rsidP="0073077E">
      <w:pPr>
        <w:rPr>
          <w:rFonts w:asciiTheme="minorHAnsi" w:hAnsiTheme="minorHAnsi"/>
        </w:rPr>
      </w:pPr>
      <w:r w:rsidRPr="004C3772">
        <w:rPr>
          <w:rFonts w:asciiTheme="minorHAnsi" w:hAnsiTheme="minorHAnsi"/>
        </w:rPr>
        <w:t>-zerwanie nawierzchni, w zasadzie przy pomocy młotów pneumatycznych lub ręcznie, w dostosowaniu do rodzaju nawierzchni i zakresu robót,</w:t>
      </w:r>
    </w:p>
    <w:p w:rsidR="0073077E" w:rsidRPr="004C3772" w:rsidRDefault="0073077E" w:rsidP="0073077E">
      <w:pPr>
        <w:rPr>
          <w:rFonts w:asciiTheme="minorHAnsi" w:hAnsiTheme="minorHAnsi"/>
        </w:rPr>
      </w:pPr>
      <w:r w:rsidRPr="004C3772">
        <w:rPr>
          <w:rFonts w:asciiTheme="minorHAnsi" w:hAnsiTheme="minorHAnsi"/>
        </w:rPr>
        <w:t>- przesortowanie materiału uzyskanego z rozbiórki, w celu ewentualnego ponownego jego użycia, zgodnie z ustaleniami ST lub Inżyniera, z ułożeniem na wskazanym miejscu,</w:t>
      </w:r>
    </w:p>
    <w:p w:rsidR="0073077E" w:rsidRPr="004C3772" w:rsidRDefault="0073077E" w:rsidP="0073077E">
      <w:pPr>
        <w:rPr>
          <w:rFonts w:asciiTheme="minorHAnsi" w:hAnsiTheme="minorHAnsi"/>
        </w:rPr>
      </w:pPr>
      <w:r w:rsidRPr="004C3772">
        <w:rPr>
          <w:rFonts w:asciiTheme="minorHAnsi" w:hAnsiTheme="minorHAnsi"/>
        </w:rPr>
        <w:t>- załadunek i wywiezienie materiału z rozbiórki na miejsce ustalone w ST lub wskazane przez Inżyniera,</w:t>
      </w:r>
    </w:p>
    <w:p w:rsidR="0073077E" w:rsidRPr="004C3772" w:rsidRDefault="0073077E" w:rsidP="0073077E">
      <w:pPr>
        <w:rPr>
          <w:rFonts w:asciiTheme="minorHAnsi" w:hAnsiTheme="minorHAnsi"/>
        </w:rPr>
      </w:pPr>
      <w:r w:rsidRPr="004C3772">
        <w:rPr>
          <w:rFonts w:asciiTheme="minorHAnsi" w:hAnsiTheme="minorHAnsi"/>
        </w:rPr>
        <w:t>- uporządkowanie terenu rozbiórki nawierzchni.</w:t>
      </w:r>
    </w:p>
    <w:p w:rsidR="0073077E" w:rsidRPr="004C3772" w:rsidRDefault="0073077E" w:rsidP="0073077E">
      <w:pPr>
        <w:rPr>
          <w:rFonts w:asciiTheme="minorHAnsi" w:hAnsiTheme="minorHAnsi"/>
        </w:rPr>
      </w:pPr>
      <w:r w:rsidRPr="004C3772">
        <w:rPr>
          <w:rFonts w:asciiTheme="minorHAnsi" w:hAnsiTheme="minorHAnsi"/>
        </w:rPr>
        <w:t>Przy wykonywaniu rozbiórki warstw nawierzchni zaleca się korzystać z postanowień ST D-01.02.04.</w:t>
      </w:r>
    </w:p>
    <w:p w:rsidR="0073077E" w:rsidRPr="004C3772" w:rsidRDefault="0073077E" w:rsidP="0073077E">
      <w:pPr>
        <w:rPr>
          <w:rFonts w:asciiTheme="minorHAnsi" w:hAnsiTheme="minorHAnsi"/>
        </w:rPr>
      </w:pPr>
      <w:r w:rsidRPr="004C3772">
        <w:rPr>
          <w:rFonts w:asciiTheme="minorHAnsi" w:hAnsiTheme="minorHAnsi"/>
          <w:b/>
        </w:rPr>
        <w:t>5.4.5.</w:t>
      </w:r>
      <w:r w:rsidRPr="004C3772">
        <w:rPr>
          <w:rFonts w:asciiTheme="minorHAnsi" w:hAnsiTheme="minorHAnsi"/>
        </w:rPr>
        <w:t xml:space="preserve"> Rozbiórka elementów dróg</w:t>
      </w:r>
    </w:p>
    <w:p w:rsidR="0073077E" w:rsidRPr="004C3772" w:rsidRDefault="0073077E" w:rsidP="0073077E">
      <w:pPr>
        <w:rPr>
          <w:rFonts w:asciiTheme="minorHAnsi" w:hAnsiTheme="minorHAnsi"/>
        </w:rPr>
      </w:pPr>
      <w:r w:rsidRPr="004C3772">
        <w:rPr>
          <w:rFonts w:asciiTheme="minorHAnsi" w:hAnsiTheme="minorHAnsi"/>
        </w:rPr>
        <w:tab/>
        <w:t>Rozbiórka elementów dróg, obejmujących krawężniki, obrzeża, oporniki, ścieki, chodniki, znaki drogowe i inne elementy, obejmuje:</w:t>
      </w:r>
    </w:p>
    <w:p w:rsidR="0073077E" w:rsidRPr="004C3772" w:rsidRDefault="0073077E" w:rsidP="0073077E">
      <w:pPr>
        <w:rPr>
          <w:rFonts w:asciiTheme="minorHAnsi" w:hAnsiTheme="minorHAnsi"/>
        </w:rPr>
      </w:pPr>
      <w:r w:rsidRPr="004C3772">
        <w:rPr>
          <w:rFonts w:asciiTheme="minorHAnsi" w:hAnsiTheme="minorHAnsi"/>
        </w:rPr>
        <w:t>- demontaż elementów:</w:t>
      </w:r>
    </w:p>
    <w:p w:rsidR="0073077E" w:rsidRPr="004C3772" w:rsidRDefault="0073077E" w:rsidP="0073077E">
      <w:pPr>
        <w:rPr>
          <w:rFonts w:asciiTheme="minorHAnsi" w:hAnsiTheme="minorHAnsi"/>
        </w:rPr>
      </w:pPr>
      <w:r w:rsidRPr="004C3772">
        <w:rPr>
          <w:rFonts w:asciiTheme="minorHAnsi" w:hAnsiTheme="minorHAnsi"/>
        </w:rPr>
        <w:t>- odkopanie krawężników, obrzeży, oporników, odsłonięcie ścieków, ręczne wyjęcie elementów ściekowych, ręczne wyjęcie płyt chodnikowych lub rozkucie i zerwanie innych materiałów chodnikowych, demontaż tablic znaków drogowych oraz odkopanie i wydobycie słupków, zerwanie podsypek zwłaszcza cementowo-piaskowych,</w:t>
      </w:r>
    </w:p>
    <w:p w:rsidR="0073077E" w:rsidRPr="004C3772" w:rsidRDefault="0073077E" w:rsidP="0073077E">
      <w:pPr>
        <w:rPr>
          <w:rFonts w:asciiTheme="minorHAnsi" w:hAnsiTheme="minorHAnsi"/>
        </w:rPr>
      </w:pPr>
      <w:r w:rsidRPr="004C3772">
        <w:rPr>
          <w:rFonts w:asciiTheme="minorHAnsi" w:hAnsiTheme="minorHAnsi"/>
        </w:rPr>
        <w:t>- oczyszczenie zdemontowanych elementów i posortowanie materiału uzyskanego z rozbiórki z ułożeniem we wskazanym miejscu,</w:t>
      </w:r>
    </w:p>
    <w:p w:rsidR="0073077E" w:rsidRPr="004C3772" w:rsidRDefault="0073077E" w:rsidP="0073077E">
      <w:pPr>
        <w:rPr>
          <w:rFonts w:asciiTheme="minorHAnsi" w:hAnsiTheme="minorHAnsi"/>
        </w:rPr>
      </w:pPr>
      <w:r w:rsidRPr="004C3772">
        <w:rPr>
          <w:rFonts w:asciiTheme="minorHAnsi" w:hAnsiTheme="minorHAnsi"/>
        </w:rPr>
        <w:lastRenderedPageBreak/>
        <w:t>- załadunek na środki transportu materiału posortowanego i odwiezienie na miejsce ustalone w ST lub wskazane przez Inżyniera,</w:t>
      </w:r>
    </w:p>
    <w:p w:rsidR="0073077E" w:rsidRPr="004C3772" w:rsidRDefault="0073077E" w:rsidP="0073077E">
      <w:pPr>
        <w:rPr>
          <w:rFonts w:asciiTheme="minorHAnsi" w:hAnsiTheme="minorHAnsi"/>
        </w:rPr>
      </w:pPr>
      <w:r w:rsidRPr="004C3772">
        <w:rPr>
          <w:rFonts w:asciiTheme="minorHAnsi" w:hAnsiTheme="minorHAnsi"/>
        </w:rPr>
        <w:t>- uporządkowanie terenu robót rozbiórkowych.</w:t>
      </w:r>
    </w:p>
    <w:p w:rsidR="0073077E" w:rsidRPr="004C3772" w:rsidRDefault="0073077E" w:rsidP="0073077E">
      <w:pPr>
        <w:rPr>
          <w:rFonts w:asciiTheme="minorHAnsi" w:hAnsiTheme="minorHAnsi"/>
        </w:rPr>
      </w:pPr>
      <w:r w:rsidRPr="004C3772">
        <w:rPr>
          <w:rFonts w:asciiTheme="minorHAnsi" w:hAnsiTheme="minorHAnsi"/>
        </w:rPr>
        <w:t xml:space="preserve">Przy rozbiórce elementów dróg zaleca się korzystać z postanowień ST D-01.02.04. </w:t>
      </w:r>
    </w:p>
    <w:p w:rsidR="0073077E" w:rsidRPr="004C3772" w:rsidRDefault="0073077E" w:rsidP="0073077E">
      <w:pPr>
        <w:rPr>
          <w:rFonts w:asciiTheme="minorHAnsi" w:hAnsiTheme="minorHAnsi"/>
        </w:rPr>
      </w:pPr>
      <w:r w:rsidRPr="004C3772">
        <w:rPr>
          <w:rFonts w:asciiTheme="minorHAnsi" w:hAnsiTheme="minorHAnsi"/>
          <w:b/>
        </w:rPr>
        <w:t>5.5.</w:t>
      </w:r>
      <w:r w:rsidRPr="004C3772">
        <w:rPr>
          <w:rFonts w:asciiTheme="minorHAnsi" w:hAnsiTheme="minorHAnsi"/>
        </w:rPr>
        <w:t xml:space="preserve"> Rekultywacja terenu</w:t>
      </w:r>
    </w:p>
    <w:p w:rsidR="0073077E" w:rsidRPr="004C3772" w:rsidRDefault="0073077E" w:rsidP="0073077E">
      <w:pPr>
        <w:rPr>
          <w:rFonts w:asciiTheme="minorHAnsi" w:hAnsiTheme="minorHAnsi"/>
        </w:rPr>
      </w:pPr>
      <w:r w:rsidRPr="004C3772">
        <w:rPr>
          <w:rFonts w:asciiTheme="minorHAnsi" w:hAnsiTheme="minorHAnsi"/>
          <w:b/>
        </w:rPr>
        <w:t>5.5.1.</w:t>
      </w:r>
      <w:r w:rsidRPr="004C3772">
        <w:rPr>
          <w:rFonts w:asciiTheme="minorHAnsi" w:hAnsiTheme="minorHAnsi"/>
        </w:rPr>
        <w:t xml:space="preserve"> Czynności przy rekultywacji</w:t>
      </w:r>
    </w:p>
    <w:p w:rsidR="0073077E" w:rsidRPr="004C3772" w:rsidRDefault="0073077E" w:rsidP="0073077E">
      <w:pPr>
        <w:rPr>
          <w:rFonts w:asciiTheme="minorHAnsi" w:hAnsiTheme="minorHAnsi"/>
        </w:rPr>
      </w:pPr>
      <w:r w:rsidRPr="004C3772">
        <w:rPr>
          <w:rFonts w:asciiTheme="minorHAnsi" w:hAnsiTheme="minorHAnsi"/>
        </w:rPr>
        <w:tab/>
        <w:t>Przy rekultywacji terenu mogą występować następujące czynności:</w:t>
      </w:r>
    </w:p>
    <w:p w:rsidR="0073077E" w:rsidRPr="004C3772" w:rsidRDefault="0073077E" w:rsidP="0073077E">
      <w:pPr>
        <w:rPr>
          <w:rFonts w:asciiTheme="minorHAnsi" w:hAnsiTheme="minorHAnsi"/>
        </w:rPr>
      </w:pPr>
      <w:r w:rsidRPr="004C3772">
        <w:rPr>
          <w:rFonts w:asciiTheme="minorHAnsi" w:hAnsiTheme="minorHAnsi"/>
        </w:rPr>
        <w:t>-oczyszczenie terenu,</w:t>
      </w:r>
    </w:p>
    <w:p w:rsidR="0073077E" w:rsidRPr="004C3772" w:rsidRDefault="0073077E" w:rsidP="0073077E">
      <w:pPr>
        <w:rPr>
          <w:rFonts w:asciiTheme="minorHAnsi" w:hAnsiTheme="minorHAnsi"/>
        </w:rPr>
      </w:pPr>
      <w:r w:rsidRPr="004C3772">
        <w:rPr>
          <w:rFonts w:asciiTheme="minorHAnsi" w:hAnsiTheme="minorHAnsi"/>
        </w:rPr>
        <w:t>-wyrównanie terenu lub jego spulchnienie,</w:t>
      </w:r>
    </w:p>
    <w:p w:rsidR="0073077E" w:rsidRPr="004C3772" w:rsidRDefault="0073077E" w:rsidP="0073077E">
      <w:pPr>
        <w:rPr>
          <w:rFonts w:asciiTheme="minorHAnsi" w:hAnsiTheme="minorHAnsi"/>
        </w:rPr>
      </w:pPr>
      <w:r w:rsidRPr="004C3772">
        <w:rPr>
          <w:rFonts w:asciiTheme="minorHAnsi" w:hAnsiTheme="minorHAnsi"/>
        </w:rPr>
        <w:t>-rozłożenie warstwy ziemi urodzajnej,</w:t>
      </w:r>
    </w:p>
    <w:p w:rsidR="0073077E" w:rsidRPr="004C3772" w:rsidRDefault="0073077E" w:rsidP="0073077E">
      <w:pPr>
        <w:rPr>
          <w:rFonts w:asciiTheme="minorHAnsi" w:hAnsiTheme="minorHAnsi"/>
        </w:rPr>
      </w:pPr>
      <w:r w:rsidRPr="004C3772">
        <w:rPr>
          <w:rFonts w:asciiTheme="minorHAnsi" w:hAnsiTheme="minorHAnsi"/>
        </w:rPr>
        <w:t>-obsianie terenu,</w:t>
      </w:r>
    </w:p>
    <w:p w:rsidR="0073077E" w:rsidRPr="004C3772" w:rsidRDefault="0073077E" w:rsidP="0073077E">
      <w:pPr>
        <w:rPr>
          <w:rFonts w:asciiTheme="minorHAnsi" w:hAnsiTheme="minorHAnsi"/>
        </w:rPr>
      </w:pPr>
      <w:r w:rsidRPr="004C3772">
        <w:rPr>
          <w:rFonts w:asciiTheme="minorHAnsi" w:hAnsiTheme="minorHAnsi"/>
        </w:rPr>
        <w:t>-pielęgnacja obsianego terenu.</w:t>
      </w:r>
    </w:p>
    <w:p w:rsidR="0073077E" w:rsidRPr="004C3772" w:rsidRDefault="0073077E" w:rsidP="0073077E">
      <w:pPr>
        <w:rPr>
          <w:rFonts w:asciiTheme="minorHAnsi" w:hAnsiTheme="minorHAnsi"/>
        </w:rPr>
      </w:pPr>
      <w:r w:rsidRPr="004C3772">
        <w:rPr>
          <w:rFonts w:asciiTheme="minorHAnsi" w:hAnsiTheme="minorHAnsi"/>
          <w:b/>
        </w:rPr>
        <w:t>5.5.2.</w:t>
      </w:r>
      <w:r w:rsidRPr="004C3772">
        <w:rPr>
          <w:rFonts w:asciiTheme="minorHAnsi" w:hAnsiTheme="minorHAnsi"/>
        </w:rPr>
        <w:t xml:space="preserve"> Oczyszczenie terenu</w:t>
      </w:r>
    </w:p>
    <w:p w:rsidR="0073077E" w:rsidRPr="004C3772" w:rsidRDefault="0073077E" w:rsidP="0073077E">
      <w:pPr>
        <w:rPr>
          <w:rFonts w:asciiTheme="minorHAnsi" w:hAnsiTheme="minorHAnsi"/>
        </w:rPr>
      </w:pPr>
      <w:r w:rsidRPr="004C3772">
        <w:rPr>
          <w:rFonts w:asciiTheme="minorHAnsi" w:hAnsiTheme="minorHAnsi"/>
        </w:rPr>
        <w:tab/>
        <w:t>Teren, przed rekultywacją, powinien być oczyszczony z wszelkich zanieczyszczeń jak:</w:t>
      </w:r>
    </w:p>
    <w:p w:rsidR="0073077E" w:rsidRPr="004C3772" w:rsidRDefault="0073077E" w:rsidP="0073077E">
      <w:pPr>
        <w:rPr>
          <w:rFonts w:asciiTheme="minorHAnsi" w:hAnsiTheme="minorHAnsi"/>
        </w:rPr>
      </w:pPr>
      <w:r w:rsidRPr="004C3772">
        <w:rPr>
          <w:rFonts w:asciiTheme="minorHAnsi" w:hAnsiTheme="minorHAnsi"/>
        </w:rPr>
        <w:t>-pozostałości po ewentualnych rozbiórkach,</w:t>
      </w:r>
    </w:p>
    <w:p w:rsidR="0073077E" w:rsidRPr="004C3772" w:rsidRDefault="0073077E" w:rsidP="0073077E">
      <w:pPr>
        <w:rPr>
          <w:rFonts w:asciiTheme="minorHAnsi" w:hAnsiTheme="minorHAnsi"/>
        </w:rPr>
      </w:pPr>
      <w:r w:rsidRPr="004C3772">
        <w:rPr>
          <w:rFonts w:asciiTheme="minorHAnsi" w:hAnsiTheme="minorHAnsi"/>
        </w:rPr>
        <w:t>-kamienie, gruz, odpadki kamienne,</w:t>
      </w:r>
    </w:p>
    <w:p w:rsidR="0073077E" w:rsidRPr="004C3772" w:rsidRDefault="0073077E" w:rsidP="0073077E">
      <w:pPr>
        <w:rPr>
          <w:rFonts w:asciiTheme="minorHAnsi" w:hAnsiTheme="minorHAnsi"/>
        </w:rPr>
      </w:pPr>
      <w:r w:rsidRPr="004C3772">
        <w:rPr>
          <w:rFonts w:asciiTheme="minorHAnsi" w:hAnsiTheme="minorHAnsi"/>
        </w:rPr>
        <w:t xml:space="preserve">-części roślinności do głębokości około </w:t>
      </w:r>
      <w:smartTag w:uri="urn:schemas-microsoft-com:office:smarttags" w:element="metricconverter">
        <w:smartTagPr>
          <w:attr w:name="ProductID" w:val="60 cm"/>
        </w:smartTagPr>
        <w:r w:rsidRPr="004C3772">
          <w:rPr>
            <w:rFonts w:asciiTheme="minorHAnsi" w:hAnsiTheme="minorHAnsi"/>
          </w:rPr>
          <w:t>60 cm</w:t>
        </w:r>
      </w:smartTag>
      <w:r w:rsidRPr="004C3772">
        <w:rPr>
          <w:rFonts w:asciiTheme="minorHAnsi" w:hAnsiTheme="minorHAnsi"/>
        </w:rPr>
        <w:t xml:space="preserve"> poniżej projektowanego poziomu terenu,</w:t>
      </w:r>
    </w:p>
    <w:p w:rsidR="0073077E" w:rsidRPr="004C3772" w:rsidRDefault="0073077E" w:rsidP="0073077E">
      <w:pPr>
        <w:rPr>
          <w:rFonts w:asciiTheme="minorHAnsi" w:hAnsiTheme="minorHAnsi"/>
        </w:rPr>
      </w:pPr>
      <w:r w:rsidRPr="004C3772">
        <w:rPr>
          <w:rFonts w:asciiTheme="minorHAnsi" w:hAnsiTheme="minorHAnsi"/>
        </w:rPr>
        <w:t>-inne zanieczyszczenia określone przez Inżyniera.</w:t>
      </w:r>
    </w:p>
    <w:p w:rsidR="0073077E" w:rsidRPr="004C3772" w:rsidRDefault="0073077E" w:rsidP="0073077E">
      <w:pPr>
        <w:rPr>
          <w:rFonts w:asciiTheme="minorHAnsi" w:hAnsiTheme="minorHAnsi"/>
        </w:rPr>
      </w:pPr>
      <w:r w:rsidRPr="004C3772">
        <w:rPr>
          <w:rFonts w:asciiTheme="minorHAnsi" w:hAnsiTheme="minorHAnsi"/>
        </w:rPr>
        <w:t>Usunięte zanieczyszczenia powinny być składowane tymczasowo w pryzmach, a następnie wywiezione przez Wykonawcę w miejsce ustalone przez Inżyniera.</w:t>
      </w:r>
    </w:p>
    <w:p w:rsidR="0073077E" w:rsidRPr="004C3772" w:rsidRDefault="0073077E" w:rsidP="0073077E">
      <w:pPr>
        <w:rPr>
          <w:rFonts w:asciiTheme="minorHAnsi" w:hAnsiTheme="minorHAnsi"/>
        </w:rPr>
      </w:pPr>
      <w:r w:rsidRPr="004C3772">
        <w:rPr>
          <w:rFonts w:asciiTheme="minorHAnsi" w:hAnsiTheme="minorHAnsi"/>
          <w:b/>
        </w:rPr>
        <w:t>5.5.3.</w:t>
      </w:r>
      <w:r w:rsidRPr="004C3772">
        <w:rPr>
          <w:rFonts w:asciiTheme="minorHAnsi" w:hAnsiTheme="minorHAnsi"/>
        </w:rPr>
        <w:t xml:space="preserve"> Wyrównanie terenu lub jego spulchnienie</w:t>
      </w:r>
    </w:p>
    <w:p w:rsidR="0073077E" w:rsidRPr="004C3772" w:rsidRDefault="0073077E" w:rsidP="0073077E">
      <w:pPr>
        <w:rPr>
          <w:rFonts w:asciiTheme="minorHAnsi" w:hAnsiTheme="minorHAnsi"/>
        </w:rPr>
      </w:pPr>
      <w:r w:rsidRPr="004C3772">
        <w:rPr>
          <w:rFonts w:asciiTheme="minorHAnsi" w:hAnsiTheme="minorHAnsi"/>
        </w:rPr>
        <w:tab/>
        <w:t>Jeśli dokumentacja projektowa nie przewiduje inaczej, to teren pod rekultywację należy wyrównać (wyprofilować) lub spulchnić.</w:t>
      </w:r>
    </w:p>
    <w:p w:rsidR="0073077E" w:rsidRPr="004C3772" w:rsidRDefault="0073077E" w:rsidP="0073077E">
      <w:pPr>
        <w:rPr>
          <w:rFonts w:asciiTheme="minorHAnsi" w:hAnsiTheme="minorHAnsi"/>
        </w:rPr>
      </w:pPr>
      <w:r w:rsidRPr="004C3772">
        <w:rPr>
          <w:rFonts w:asciiTheme="minorHAnsi" w:hAnsiTheme="minorHAnsi"/>
        </w:rPr>
        <w:tab/>
        <w:t xml:space="preserve">Po usunięciu z powierzchni wszelkich zanieczyszczeń należy sprawdzić czy istniejące rzędne terenu umożliwiają uzyskanie, po profilowaniu, zaprojektowanych rzędnych projektowanych. Zaleca się, aby rzędne terenu, przed profilowaniem, były o co najmniej </w:t>
      </w:r>
      <w:smartTag w:uri="urn:schemas-microsoft-com:office:smarttags" w:element="metricconverter">
        <w:smartTagPr>
          <w:attr w:name="ProductID" w:val="3 cm"/>
        </w:smartTagPr>
        <w:r w:rsidRPr="004C3772">
          <w:rPr>
            <w:rFonts w:asciiTheme="minorHAnsi" w:hAnsiTheme="minorHAnsi"/>
          </w:rPr>
          <w:t>3 cm</w:t>
        </w:r>
      </w:smartTag>
      <w:r w:rsidRPr="004C3772">
        <w:rPr>
          <w:rFonts w:asciiTheme="minorHAnsi" w:hAnsiTheme="minorHAnsi"/>
        </w:rPr>
        <w:t xml:space="preserve"> wyższe niż rzędne projektowane. Jeśli występują zaniżenia poziomu w podłożu przewidzianym do profilowania, to należy spulchnić podłoże na głębokość zaakceptowaną przez Inżyniera, dowieźć dodatkowy grunt spełniający wymagania dokumentacji projektowej, w ilości koniecznej do uzyskania niezbędnych rzędnych wysokościowych i zagęścić warstwę do uzyskania wartości wymaganego wskaźnika zagęszczenia. Do profilowania można stosować równiarki lub inny sprzęt zaakceptowany przez Inżyniera. Po profilowaniu terenu należy przystąpić do jego zagęszczenia, które zaleca się wykonać walcami wibracyjnymi lub zagęszczarkami wibracyjnymi.</w:t>
      </w:r>
    </w:p>
    <w:p w:rsidR="0073077E" w:rsidRPr="004C3772" w:rsidRDefault="0073077E" w:rsidP="0073077E">
      <w:pPr>
        <w:rPr>
          <w:rFonts w:asciiTheme="minorHAnsi" w:hAnsiTheme="minorHAnsi"/>
        </w:rPr>
      </w:pPr>
      <w:r w:rsidRPr="004C3772">
        <w:rPr>
          <w:rFonts w:asciiTheme="minorHAnsi" w:hAnsiTheme="minorHAnsi"/>
        </w:rPr>
        <w:tab/>
        <w:t>W miejscach istniejącego terenu, gdzie nie przewiduje się jego wyrównania lecz wyłączne spulchnienie gruntu, można tego dokonać przy użyciu przede wszystkim sprzętu rolniczego, jak pługi, brony talerzowe, kultywatory itp. Do wstępnego spulchnienia i ewentualnego częściowego mieszania gruntów można stosować pługi (np. jednoskibowe lub wieloskibowe); lżejsze grunty można spulchniać bez użycia pługów zwykłą broną rolniczą z ramą przegubową. Zadaniem takiej brony jest rozbicie brył, leżących na gruncie, płytkie spulchnienie oraz wyrównanie powierzchni. Do rozdrobnienia i mieszania składników gruntu można użyć kultywatora i brony talerzowej, przyczepionych do ciągnika. Do zwilżania mieszanki gruntowej można stosować beczkowozy, a do zagęszczania – walce.</w:t>
      </w:r>
    </w:p>
    <w:p w:rsidR="0073077E" w:rsidRPr="004C3772" w:rsidRDefault="0073077E" w:rsidP="0073077E">
      <w:pPr>
        <w:rPr>
          <w:rFonts w:asciiTheme="minorHAnsi" w:hAnsiTheme="minorHAnsi"/>
        </w:rPr>
      </w:pPr>
      <w:r w:rsidRPr="004C3772">
        <w:rPr>
          <w:rFonts w:asciiTheme="minorHAnsi" w:hAnsiTheme="minorHAnsi"/>
          <w:b/>
        </w:rPr>
        <w:t>5.5.4.</w:t>
      </w:r>
      <w:r w:rsidRPr="004C3772">
        <w:rPr>
          <w:rFonts w:asciiTheme="minorHAnsi" w:hAnsiTheme="minorHAnsi"/>
        </w:rPr>
        <w:t xml:space="preserve"> Rozłożenie warstwy ziemi urodzajnej</w:t>
      </w:r>
    </w:p>
    <w:p w:rsidR="0073077E" w:rsidRPr="004C3772" w:rsidRDefault="0073077E" w:rsidP="0073077E">
      <w:pPr>
        <w:rPr>
          <w:rFonts w:asciiTheme="minorHAnsi" w:hAnsiTheme="minorHAnsi"/>
        </w:rPr>
      </w:pPr>
      <w:r w:rsidRPr="004C3772">
        <w:rPr>
          <w:rFonts w:asciiTheme="minorHAnsi" w:hAnsiTheme="minorHAnsi"/>
        </w:rPr>
        <w:tab/>
        <w:t>Do robót rekultywacyjnych można stosować ziemię urodzajną:</w:t>
      </w:r>
    </w:p>
    <w:p w:rsidR="0073077E" w:rsidRPr="004C3772" w:rsidRDefault="0073077E" w:rsidP="0073077E">
      <w:pPr>
        <w:rPr>
          <w:rFonts w:asciiTheme="minorHAnsi" w:hAnsiTheme="minorHAnsi"/>
        </w:rPr>
      </w:pPr>
      <w:r w:rsidRPr="004C3772">
        <w:rPr>
          <w:rFonts w:asciiTheme="minorHAnsi" w:hAnsiTheme="minorHAnsi"/>
        </w:rPr>
        <w:t>-zdjętą z pasa robót ziemnych oraz z innych miejsc określonych w dokumentacji projektowej, w czasie budowy drogi,</w:t>
      </w:r>
    </w:p>
    <w:p w:rsidR="0073077E" w:rsidRPr="004C3772" w:rsidRDefault="0073077E" w:rsidP="0073077E">
      <w:pPr>
        <w:rPr>
          <w:rFonts w:asciiTheme="minorHAnsi" w:hAnsiTheme="minorHAnsi"/>
        </w:rPr>
      </w:pPr>
      <w:r w:rsidRPr="004C3772">
        <w:rPr>
          <w:rFonts w:asciiTheme="minorHAnsi" w:hAnsiTheme="minorHAnsi"/>
        </w:rPr>
        <w:t>-dowiezioną spoza terenu robót drogowych.</w:t>
      </w:r>
    </w:p>
    <w:p w:rsidR="0073077E" w:rsidRPr="004C3772" w:rsidRDefault="0073077E" w:rsidP="0073077E">
      <w:pPr>
        <w:rPr>
          <w:rFonts w:asciiTheme="minorHAnsi" w:hAnsiTheme="minorHAnsi"/>
        </w:rPr>
      </w:pPr>
      <w:r w:rsidRPr="004C3772">
        <w:rPr>
          <w:rFonts w:asciiTheme="minorHAnsi" w:hAnsiTheme="minorHAnsi"/>
        </w:rPr>
        <w:t>Ziemia urodzajna powinna odpowiadać wymaganiom pktu 2.2.3.</w:t>
      </w:r>
    </w:p>
    <w:p w:rsidR="0073077E" w:rsidRPr="004C3772" w:rsidRDefault="0073077E" w:rsidP="0073077E">
      <w:pPr>
        <w:rPr>
          <w:rFonts w:asciiTheme="minorHAnsi" w:hAnsiTheme="minorHAnsi"/>
        </w:rPr>
      </w:pPr>
      <w:r w:rsidRPr="004C3772">
        <w:rPr>
          <w:rFonts w:asciiTheme="minorHAnsi" w:hAnsiTheme="minorHAnsi"/>
        </w:rPr>
        <w:t>Przy dowożeniu ziemi urodzajnej, która zwykle jest składowana w regularnych pryzmach, należy zwracać uwagę aby pobierany materiał nie był zanieczyszczony.</w:t>
      </w:r>
    </w:p>
    <w:p w:rsidR="0073077E" w:rsidRPr="004C3772" w:rsidRDefault="0073077E" w:rsidP="0073077E">
      <w:pPr>
        <w:rPr>
          <w:rFonts w:asciiTheme="minorHAnsi" w:hAnsiTheme="minorHAnsi"/>
        </w:rPr>
      </w:pPr>
      <w:r w:rsidRPr="004C3772">
        <w:rPr>
          <w:rFonts w:asciiTheme="minorHAnsi" w:hAnsiTheme="minorHAnsi"/>
        </w:rPr>
        <w:t>Ziemię urodzajną należy rozłożyć równą warstwą grubości ustalonej w dokumentacji projektowej (zwykle 20÷30 cm).</w:t>
      </w:r>
    </w:p>
    <w:p w:rsidR="0073077E" w:rsidRPr="004C3772" w:rsidRDefault="0073077E" w:rsidP="0073077E">
      <w:pPr>
        <w:rPr>
          <w:rFonts w:asciiTheme="minorHAnsi" w:hAnsiTheme="minorHAnsi"/>
        </w:rPr>
      </w:pPr>
      <w:r w:rsidRPr="004C3772">
        <w:rPr>
          <w:rFonts w:asciiTheme="minorHAnsi" w:hAnsiTheme="minorHAnsi"/>
        </w:rPr>
        <w:t>W przypadku braku wymaganych części organicznych w ziemi urodzajnej należy wprowadzić do niej nawóz mineralny, odpowiadający wymaganiom pktu 2.2.5. Wprowadzenie nawozu można dokonać wysiewem, rozpyleniem lub rozrzutem z zapewnieniem równomierności rozłożenia ustalonej ilości nawozu. Następnie należy wymieszać ziemię urodzajną z nawozem, najlepiej za pomocą bron, kultywatorów lub pługów. Najbardziej równomierne wymieszanie uzyskuje się przy użyciu narzędzi zębatych i łopatkowych, mniej równomierne – za pomocą talerzowych, a nierównomierne – za pomocą pługów.</w:t>
      </w:r>
    </w:p>
    <w:p w:rsidR="0073077E" w:rsidRPr="004C3772" w:rsidRDefault="0073077E" w:rsidP="0073077E">
      <w:pPr>
        <w:rPr>
          <w:rFonts w:asciiTheme="minorHAnsi" w:hAnsiTheme="minorHAnsi"/>
        </w:rPr>
      </w:pPr>
      <w:r w:rsidRPr="004C3772">
        <w:rPr>
          <w:rFonts w:asciiTheme="minorHAnsi" w:hAnsiTheme="minorHAnsi"/>
        </w:rPr>
        <w:lastRenderedPageBreak/>
        <w:t>Rozłożoną warstwę ziemi urodzajnej należy wyrównać (zagrabić) i lekko zagęścić za pomocą walca, a na mniejszych obszarach – ręcznie.</w:t>
      </w:r>
    </w:p>
    <w:p w:rsidR="0073077E" w:rsidRPr="004C3772" w:rsidRDefault="0073077E" w:rsidP="0073077E">
      <w:pPr>
        <w:rPr>
          <w:rFonts w:asciiTheme="minorHAnsi" w:hAnsiTheme="minorHAnsi"/>
        </w:rPr>
      </w:pPr>
      <w:r w:rsidRPr="004C3772">
        <w:rPr>
          <w:rFonts w:asciiTheme="minorHAnsi" w:hAnsiTheme="minorHAnsi"/>
          <w:b/>
        </w:rPr>
        <w:t>5.5.5.</w:t>
      </w:r>
      <w:r w:rsidRPr="004C3772">
        <w:rPr>
          <w:rFonts w:asciiTheme="minorHAnsi" w:hAnsiTheme="minorHAnsi"/>
        </w:rPr>
        <w:t xml:space="preserve"> Obsianie rekultywowanego terenu</w:t>
      </w:r>
    </w:p>
    <w:p w:rsidR="0073077E" w:rsidRPr="004C3772" w:rsidRDefault="0073077E" w:rsidP="0073077E">
      <w:pPr>
        <w:rPr>
          <w:rFonts w:asciiTheme="minorHAnsi" w:hAnsiTheme="minorHAnsi"/>
        </w:rPr>
      </w:pPr>
      <w:r w:rsidRPr="004C3772">
        <w:rPr>
          <w:rFonts w:asciiTheme="minorHAnsi" w:hAnsiTheme="minorHAnsi"/>
        </w:rPr>
        <w:tab/>
        <w:t>Obsianie rozłożonej warstwy ziemi urodzajnej (po jej ewentualnym nawożeniu) polega na:</w:t>
      </w:r>
    </w:p>
    <w:p w:rsidR="0073077E" w:rsidRPr="004C3772" w:rsidRDefault="0073077E" w:rsidP="0073077E">
      <w:pPr>
        <w:rPr>
          <w:rFonts w:asciiTheme="minorHAnsi" w:hAnsiTheme="minorHAnsi"/>
        </w:rPr>
      </w:pPr>
      <w:r w:rsidRPr="004C3772">
        <w:rPr>
          <w:rFonts w:asciiTheme="minorHAnsi" w:hAnsiTheme="minorHAnsi"/>
        </w:rPr>
        <w:t xml:space="preserve">-wykonaniu wysiewu ręcznie lub siewnikiem (rzędowym lub rozrzutowym) w ilości od  1 do </w:t>
      </w:r>
      <w:smartTag w:uri="urn:schemas-microsoft-com:office:smarttags" w:element="metricconverter">
        <w:smartTagPr>
          <w:attr w:name="ProductID" w:val="4 kg"/>
        </w:smartTagPr>
        <w:r w:rsidRPr="004C3772">
          <w:rPr>
            <w:rFonts w:asciiTheme="minorHAnsi" w:hAnsiTheme="minorHAnsi"/>
          </w:rPr>
          <w:t>4 kg</w:t>
        </w:r>
      </w:smartTag>
      <w:r w:rsidRPr="004C3772">
        <w:rPr>
          <w:rFonts w:asciiTheme="minorHAnsi" w:hAnsiTheme="minorHAnsi"/>
        </w:rPr>
        <w:t xml:space="preserve"> na </w:t>
      </w:r>
      <w:smartTag w:uri="urn:schemas-microsoft-com:office:smarttags" w:element="metricconverter">
        <w:smartTagPr>
          <w:attr w:name="ProductID" w:val="100 m2"/>
        </w:smartTagPr>
        <w:r w:rsidRPr="004C3772">
          <w:rPr>
            <w:rFonts w:asciiTheme="minorHAnsi" w:hAnsiTheme="minorHAnsi"/>
          </w:rPr>
          <w:t>100 m2</w:t>
        </w:r>
      </w:smartTag>
      <w:r w:rsidRPr="004C3772">
        <w:rPr>
          <w:rFonts w:asciiTheme="minorHAnsi" w:hAnsiTheme="minorHAnsi"/>
        </w:rPr>
        <w:t>,</w:t>
      </w:r>
    </w:p>
    <w:p w:rsidR="0073077E" w:rsidRPr="004C3772" w:rsidRDefault="0073077E" w:rsidP="0073077E">
      <w:pPr>
        <w:rPr>
          <w:rFonts w:asciiTheme="minorHAnsi" w:hAnsiTheme="minorHAnsi"/>
        </w:rPr>
      </w:pPr>
      <w:r w:rsidRPr="004C3772">
        <w:rPr>
          <w:rFonts w:asciiTheme="minorHAnsi" w:hAnsiTheme="minorHAnsi"/>
        </w:rPr>
        <w:t>-przykryciu nasion, przez przemieszanie z ziemią grabiami lub wałem kolczatką,</w:t>
      </w:r>
    </w:p>
    <w:p w:rsidR="0073077E" w:rsidRPr="004C3772" w:rsidRDefault="0073077E" w:rsidP="0073077E">
      <w:pPr>
        <w:rPr>
          <w:rFonts w:asciiTheme="minorHAnsi" w:hAnsiTheme="minorHAnsi"/>
        </w:rPr>
      </w:pPr>
      <w:r w:rsidRPr="004C3772">
        <w:rPr>
          <w:rFonts w:asciiTheme="minorHAnsi" w:hAnsiTheme="minorHAnsi"/>
        </w:rPr>
        <w:t>-wałowaniu lekkim wałem, w celu ostatecznego wyrównania i stworzenia dobrych warunków do podsiąkania wody; jeżeli przykrycie nasion nastąpiło przez wałowanie kolczatką, można już nie stosować wału gładkiego.</w:t>
      </w:r>
    </w:p>
    <w:p w:rsidR="0073077E" w:rsidRPr="004C3772" w:rsidRDefault="0073077E" w:rsidP="0073077E">
      <w:pPr>
        <w:rPr>
          <w:rFonts w:asciiTheme="minorHAnsi" w:hAnsiTheme="minorHAnsi"/>
        </w:rPr>
      </w:pPr>
      <w:r w:rsidRPr="004C3772">
        <w:rPr>
          <w:rFonts w:asciiTheme="minorHAnsi" w:hAnsiTheme="minorHAnsi"/>
        </w:rPr>
        <w:t>Zaleca się aby siew był dokonany w dni bezwietrzne. Najlepszym okresem siania jest okres wiosenny, gdyż powierzchnia jest wilgotna, co stwarza dogodne warunki do wegetacji traw. Najpóźniejszym okresem obsiewania jest połowa września.</w:t>
      </w:r>
    </w:p>
    <w:p w:rsidR="0073077E" w:rsidRPr="004C3772" w:rsidRDefault="0073077E" w:rsidP="0073077E">
      <w:pPr>
        <w:rPr>
          <w:rFonts w:asciiTheme="minorHAnsi" w:hAnsiTheme="minorHAnsi"/>
        </w:rPr>
      </w:pPr>
      <w:r w:rsidRPr="004C3772">
        <w:rPr>
          <w:rFonts w:asciiTheme="minorHAnsi" w:hAnsiTheme="minorHAnsi"/>
          <w:b/>
        </w:rPr>
        <w:t>5.5.6.</w:t>
      </w:r>
      <w:r w:rsidRPr="004C3772">
        <w:rPr>
          <w:rFonts w:asciiTheme="minorHAnsi" w:hAnsiTheme="minorHAnsi"/>
        </w:rPr>
        <w:t xml:space="preserve"> Pielęgnacja obsianego terenu</w:t>
      </w:r>
    </w:p>
    <w:p w:rsidR="0073077E" w:rsidRPr="004C3772" w:rsidRDefault="0073077E" w:rsidP="0073077E">
      <w:pPr>
        <w:rPr>
          <w:rFonts w:asciiTheme="minorHAnsi" w:hAnsiTheme="minorHAnsi"/>
        </w:rPr>
      </w:pPr>
      <w:r w:rsidRPr="004C3772">
        <w:rPr>
          <w:rFonts w:asciiTheme="minorHAnsi" w:hAnsiTheme="minorHAnsi"/>
        </w:rPr>
        <w:tab/>
        <w:t>Najważniejsze zabiegi w pielęgnacji obsianego rekultywowanego terenu obejmują:</w:t>
      </w:r>
    </w:p>
    <w:p w:rsidR="0073077E" w:rsidRPr="004C3772" w:rsidRDefault="0073077E" w:rsidP="0073077E">
      <w:pPr>
        <w:rPr>
          <w:rFonts w:asciiTheme="minorHAnsi" w:hAnsiTheme="minorHAnsi"/>
        </w:rPr>
      </w:pPr>
      <w:r w:rsidRPr="004C3772">
        <w:rPr>
          <w:rFonts w:asciiTheme="minorHAnsi" w:hAnsiTheme="minorHAnsi"/>
        </w:rPr>
        <w:t>-uzupełnienie zasiewu w miejscach uszkodzeń powierzchniowych oraz w miejscach, gdzie wegetacja się nie przyjęła (zwykle po pierwszym sezonie),</w:t>
      </w:r>
    </w:p>
    <w:p w:rsidR="0073077E" w:rsidRPr="004C3772" w:rsidRDefault="0073077E" w:rsidP="0073077E">
      <w:pPr>
        <w:rPr>
          <w:rFonts w:asciiTheme="minorHAnsi" w:hAnsiTheme="minorHAnsi"/>
        </w:rPr>
      </w:pPr>
      <w:r w:rsidRPr="004C3772">
        <w:rPr>
          <w:rFonts w:asciiTheme="minorHAnsi" w:hAnsiTheme="minorHAnsi"/>
        </w:rPr>
        <w:t>-koszenie trawy, w okresach gdy trawa osiąga wysokość 10÷12 cm,</w:t>
      </w:r>
    </w:p>
    <w:p w:rsidR="0073077E" w:rsidRPr="004C3772" w:rsidRDefault="0073077E" w:rsidP="0073077E">
      <w:pPr>
        <w:rPr>
          <w:rFonts w:asciiTheme="minorHAnsi" w:hAnsiTheme="minorHAnsi"/>
        </w:rPr>
      </w:pPr>
      <w:r w:rsidRPr="004C3772">
        <w:rPr>
          <w:rFonts w:asciiTheme="minorHAnsi" w:hAnsiTheme="minorHAnsi"/>
        </w:rPr>
        <w:t>-ewentualne usuwanie chwastów lub okresowe nawożenie, jeśli teren rekultywowany tego wymaga.</w:t>
      </w:r>
    </w:p>
    <w:p w:rsidR="0073077E" w:rsidRPr="004C3772" w:rsidRDefault="0073077E" w:rsidP="0073077E">
      <w:pPr>
        <w:rPr>
          <w:rFonts w:asciiTheme="minorHAnsi" w:hAnsiTheme="minorHAnsi"/>
        </w:rPr>
      </w:pPr>
      <w:r w:rsidRPr="004C3772">
        <w:rPr>
          <w:rFonts w:asciiTheme="minorHAnsi" w:hAnsiTheme="minorHAnsi"/>
          <w:b/>
        </w:rPr>
        <w:t>5.6.</w:t>
      </w:r>
      <w:r w:rsidRPr="004C3772">
        <w:rPr>
          <w:rFonts w:asciiTheme="minorHAnsi" w:hAnsiTheme="minorHAnsi"/>
        </w:rPr>
        <w:t xml:space="preserve"> Roboty wykończeniowe</w:t>
      </w:r>
    </w:p>
    <w:p w:rsidR="0073077E" w:rsidRPr="004C3772" w:rsidRDefault="0073077E" w:rsidP="0073077E">
      <w:pPr>
        <w:ind w:firstLine="709"/>
        <w:rPr>
          <w:rFonts w:asciiTheme="minorHAnsi" w:hAnsiTheme="minorHAnsi"/>
        </w:rPr>
      </w:pPr>
      <w:r w:rsidRPr="004C3772">
        <w:rPr>
          <w:rFonts w:asciiTheme="minorHAnsi" w:hAnsiTheme="minorHAnsi"/>
        </w:rPr>
        <w:t>Roboty wykończeniowe powinny być zgodne z dokumentacją projektową. Do robót wykończeniowych należą prace związane z dostosowaniem wykonanych robót do istniejących warunków terenowych, takie jak:</w:t>
      </w:r>
    </w:p>
    <w:p w:rsidR="0073077E" w:rsidRPr="004C3772" w:rsidRDefault="0073077E" w:rsidP="0073077E">
      <w:pPr>
        <w:rPr>
          <w:rFonts w:asciiTheme="minorHAnsi" w:hAnsiTheme="minorHAnsi"/>
        </w:rPr>
      </w:pPr>
      <w:r w:rsidRPr="004C3772">
        <w:rPr>
          <w:rFonts w:asciiTheme="minorHAnsi" w:hAnsiTheme="minorHAnsi"/>
        </w:rPr>
        <w:t>-odtworzenie przeszkód czasowo usuniętych, np. parkanów, ogrodzeń itp.,</w:t>
      </w:r>
    </w:p>
    <w:p w:rsidR="0073077E" w:rsidRPr="004C3772" w:rsidRDefault="0073077E" w:rsidP="0073077E">
      <w:pPr>
        <w:rPr>
          <w:rFonts w:asciiTheme="minorHAnsi" w:hAnsiTheme="minorHAnsi"/>
        </w:rPr>
      </w:pPr>
      <w:r w:rsidRPr="004C3772">
        <w:rPr>
          <w:rFonts w:asciiTheme="minorHAnsi" w:hAnsiTheme="minorHAnsi"/>
        </w:rPr>
        <w:t>-niezbędne uzupełnienia zniszczonej w czasie robót roślinności, tj. zatrawienia, krzewów, ew. drzew,</w:t>
      </w:r>
    </w:p>
    <w:p w:rsidR="0073077E" w:rsidRPr="004C3772" w:rsidRDefault="0073077E" w:rsidP="0073077E">
      <w:pPr>
        <w:rPr>
          <w:rFonts w:asciiTheme="minorHAnsi" w:hAnsiTheme="minorHAnsi"/>
        </w:rPr>
      </w:pPr>
      <w:r w:rsidRPr="004C3772">
        <w:rPr>
          <w:rFonts w:asciiTheme="minorHAnsi" w:hAnsiTheme="minorHAnsi"/>
        </w:rPr>
        <w:t xml:space="preserve">-roboty porządkujące otoczenie terenu robót. </w:t>
      </w:r>
    </w:p>
    <w:p w:rsidR="0073077E" w:rsidRPr="004C3772" w:rsidRDefault="0073077E" w:rsidP="0073077E">
      <w:pPr>
        <w:rPr>
          <w:rFonts w:asciiTheme="minorHAnsi" w:hAnsiTheme="minorHAnsi"/>
        </w:rPr>
      </w:pPr>
    </w:p>
    <w:p w:rsidR="0073077E" w:rsidRPr="004C3772" w:rsidRDefault="0073077E" w:rsidP="0073077E">
      <w:pPr>
        <w:rPr>
          <w:rFonts w:asciiTheme="minorHAnsi" w:hAnsiTheme="minorHAnsi"/>
          <w:b/>
        </w:rPr>
      </w:pPr>
      <w:bookmarkStart w:id="1690" w:name="_Toc204751000"/>
      <w:r w:rsidRPr="004C3772">
        <w:rPr>
          <w:rFonts w:asciiTheme="minorHAnsi" w:hAnsiTheme="minorHAnsi"/>
          <w:b/>
        </w:rPr>
        <w:t>6. KONTROLA JAKOŚCI ROBÓT</w:t>
      </w:r>
      <w:bookmarkEnd w:id="1690"/>
      <w:r w:rsidRPr="004C3772">
        <w:rPr>
          <w:rFonts w:asciiTheme="minorHAnsi" w:hAnsiTheme="minorHAnsi"/>
          <w:b/>
        </w:rPr>
        <w:t xml:space="preserve">  </w:t>
      </w:r>
    </w:p>
    <w:p w:rsidR="0073077E" w:rsidRPr="004C3772" w:rsidRDefault="0073077E" w:rsidP="0073077E">
      <w:pPr>
        <w:rPr>
          <w:rFonts w:asciiTheme="minorHAnsi" w:hAnsiTheme="minorHAnsi"/>
        </w:rPr>
      </w:pPr>
      <w:r w:rsidRPr="004C3772">
        <w:rPr>
          <w:rFonts w:asciiTheme="minorHAnsi" w:hAnsiTheme="minorHAnsi"/>
          <w:b/>
        </w:rPr>
        <w:t>6.1.</w:t>
      </w:r>
      <w:r w:rsidRPr="004C3772">
        <w:rPr>
          <w:rFonts w:asciiTheme="minorHAnsi" w:hAnsiTheme="minorHAnsi"/>
        </w:rPr>
        <w:t xml:space="preserve"> Ogólne zasady kontroli jakości robót</w:t>
      </w:r>
    </w:p>
    <w:p w:rsidR="0073077E" w:rsidRPr="004C3772" w:rsidRDefault="0073077E" w:rsidP="0073077E">
      <w:pPr>
        <w:rPr>
          <w:rFonts w:asciiTheme="minorHAnsi" w:hAnsiTheme="minorHAnsi"/>
        </w:rPr>
      </w:pPr>
      <w:r w:rsidRPr="004C3772">
        <w:rPr>
          <w:rFonts w:asciiTheme="minorHAnsi" w:hAnsiTheme="minorHAnsi"/>
        </w:rPr>
        <w:tab/>
        <w:t>Ogólne zasady kontroli jakości robót podano w ST D-M-00.00.00 „Wymagania ogólne” pkt 6.</w:t>
      </w:r>
    </w:p>
    <w:p w:rsidR="0073077E" w:rsidRPr="004C3772" w:rsidRDefault="0073077E" w:rsidP="0073077E">
      <w:pPr>
        <w:rPr>
          <w:rFonts w:asciiTheme="minorHAnsi" w:hAnsiTheme="minorHAnsi"/>
        </w:rPr>
      </w:pPr>
      <w:r w:rsidRPr="004C3772">
        <w:rPr>
          <w:rFonts w:asciiTheme="minorHAnsi" w:hAnsiTheme="minorHAnsi"/>
          <w:b/>
        </w:rPr>
        <w:t>6.2.</w:t>
      </w:r>
      <w:r w:rsidRPr="004C3772">
        <w:rPr>
          <w:rFonts w:asciiTheme="minorHAnsi" w:hAnsiTheme="minorHAnsi"/>
        </w:rPr>
        <w:t xml:space="preserve"> Badania przed przystąpieniem do robót</w:t>
      </w:r>
    </w:p>
    <w:p w:rsidR="0073077E" w:rsidRPr="004C3772" w:rsidRDefault="0073077E" w:rsidP="0073077E">
      <w:pPr>
        <w:rPr>
          <w:rFonts w:asciiTheme="minorHAnsi" w:hAnsiTheme="minorHAnsi"/>
        </w:rPr>
      </w:pPr>
      <w:r w:rsidRPr="004C3772">
        <w:rPr>
          <w:rFonts w:asciiTheme="minorHAnsi" w:hAnsiTheme="minorHAnsi"/>
        </w:rPr>
        <w:tab/>
        <w:t>Przed przystąpieniem do robót Wykonawca powinien:</w:t>
      </w:r>
    </w:p>
    <w:p w:rsidR="0073077E" w:rsidRPr="004C3772" w:rsidRDefault="0073077E" w:rsidP="0073077E">
      <w:pPr>
        <w:rPr>
          <w:rFonts w:asciiTheme="minorHAnsi" w:hAnsiTheme="minorHAnsi"/>
        </w:rPr>
      </w:pPr>
      <w:r w:rsidRPr="004C3772">
        <w:rPr>
          <w:rFonts w:asciiTheme="minorHAnsi" w:hAnsiTheme="minorHAnsi"/>
        </w:rPr>
        <w:t>-uzyskać wymagane dokumenty, dopuszczające wyroby budowlane do obrotu i powszechnego stosowania (aprobaty techniczne, certyfikaty zgodności, deklaracje zgodności, ew. badania materiałów wykonane przez dostawców itp.),</w:t>
      </w:r>
    </w:p>
    <w:p w:rsidR="0073077E" w:rsidRPr="004C3772" w:rsidRDefault="0073077E" w:rsidP="0073077E">
      <w:pPr>
        <w:rPr>
          <w:rFonts w:asciiTheme="minorHAnsi" w:hAnsiTheme="minorHAnsi"/>
        </w:rPr>
      </w:pPr>
      <w:r w:rsidRPr="004C3772">
        <w:rPr>
          <w:rFonts w:asciiTheme="minorHAnsi" w:hAnsiTheme="minorHAnsi"/>
        </w:rPr>
        <w:t>-ew. wykonać własne badania właściwości materiałów przeznaczonych do wykonania robót, określone w pkt 2.</w:t>
      </w:r>
    </w:p>
    <w:p w:rsidR="0073077E" w:rsidRPr="004C3772" w:rsidRDefault="0073077E" w:rsidP="0073077E">
      <w:pPr>
        <w:rPr>
          <w:rFonts w:asciiTheme="minorHAnsi" w:hAnsiTheme="minorHAnsi"/>
        </w:rPr>
      </w:pPr>
      <w:r w:rsidRPr="004C3772">
        <w:rPr>
          <w:rFonts w:asciiTheme="minorHAnsi" w:hAnsiTheme="minorHAnsi"/>
        </w:rPr>
        <w:tab/>
        <w:t>Wszystkie dokumenty oraz wyniki badań Wykonawca przedstawia Inżynierowi do akceptacji.</w:t>
      </w:r>
    </w:p>
    <w:p w:rsidR="0073077E" w:rsidRPr="004C3772" w:rsidRDefault="0073077E" w:rsidP="0073077E">
      <w:pPr>
        <w:rPr>
          <w:rFonts w:asciiTheme="minorHAnsi" w:hAnsiTheme="minorHAnsi"/>
        </w:rPr>
      </w:pPr>
      <w:r w:rsidRPr="004C3772">
        <w:rPr>
          <w:rFonts w:asciiTheme="minorHAnsi" w:hAnsiTheme="minorHAnsi"/>
          <w:b/>
        </w:rPr>
        <w:t>6.3.</w:t>
      </w:r>
      <w:r w:rsidRPr="004C3772">
        <w:rPr>
          <w:rFonts w:asciiTheme="minorHAnsi" w:hAnsiTheme="minorHAnsi"/>
        </w:rPr>
        <w:t xml:space="preserve"> Badania w czasie robót</w:t>
      </w:r>
    </w:p>
    <w:p w:rsidR="0073077E" w:rsidRPr="004C3772" w:rsidRDefault="0073077E" w:rsidP="0073077E">
      <w:pPr>
        <w:rPr>
          <w:rFonts w:asciiTheme="minorHAnsi" w:hAnsiTheme="minorHAnsi"/>
        </w:rPr>
      </w:pPr>
      <w:r w:rsidRPr="004C3772">
        <w:rPr>
          <w:rFonts w:asciiTheme="minorHAnsi" w:hAnsiTheme="minorHAnsi"/>
        </w:rPr>
        <w:tab/>
        <w:t xml:space="preserve">Częstotliwość oraz zakres badań i pomiarów, które należy wykonać w czasie robót podaje tablica 1. </w:t>
      </w:r>
    </w:p>
    <w:p w:rsidR="0073077E" w:rsidRPr="004C3772" w:rsidRDefault="0073077E" w:rsidP="0073077E">
      <w:pPr>
        <w:rPr>
          <w:rFonts w:asciiTheme="minorHAnsi" w:hAnsiTheme="minorHAnsi"/>
        </w:rPr>
      </w:pPr>
    </w:p>
    <w:p w:rsidR="0073077E" w:rsidRPr="004C3772" w:rsidRDefault="0073077E" w:rsidP="00B44B91">
      <w:pPr>
        <w:ind w:left="709"/>
        <w:rPr>
          <w:rFonts w:asciiTheme="minorHAnsi" w:hAnsiTheme="minorHAnsi"/>
        </w:rPr>
      </w:pPr>
      <w:r w:rsidRPr="004C3772">
        <w:rPr>
          <w:rFonts w:asciiTheme="minorHAnsi" w:hAnsiTheme="minorHAnsi"/>
        </w:rPr>
        <w:t>Tablica 1. Częstotliwość oraz zakres badań i pomiarów w czasie robót</w:t>
      </w:r>
    </w:p>
    <w:tbl>
      <w:tblPr>
        <w:tblW w:w="7583" w:type="dxa"/>
        <w:tblInd w:w="779" w:type="dxa"/>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ayout w:type="fixed"/>
        <w:tblCellMar>
          <w:left w:w="70" w:type="dxa"/>
          <w:right w:w="70" w:type="dxa"/>
        </w:tblCellMar>
        <w:tblLook w:val="0000"/>
      </w:tblPr>
      <w:tblGrid>
        <w:gridCol w:w="496"/>
        <w:gridCol w:w="3543"/>
        <w:gridCol w:w="1418"/>
        <w:gridCol w:w="2126"/>
      </w:tblGrid>
      <w:tr w:rsidR="0073077E" w:rsidRPr="004C3772" w:rsidTr="00B44B91">
        <w:tc>
          <w:tcPr>
            <w:tcW w:w="496" w:type="dxa"/>
            <w:tcBorders>
              <w:bottom w:val="double" w:sz="4" w:space="0" w:color="auto"/>
            </w:tcBorders>
          </w:tcPr>
          <w:p w:rsidR="0073077E" w:rsidRPr="004C3772" w:rsidRDefault="0073077E" w:rsidP="00052A91">
            <w:pPr>
              <w:jc w:val="center"/>
              <w:rPr>
                <w:rFonts w:asciiTheme="minorHAnsi" w:hAnsiTheme="minorHAnsi"/>
                <w:b/>
                <w:sz w:val="18"/>
                <w:szCs w:val="18"/>
              </w:rPr>
            </w:pPr>
            <w:r w:rsidRPr="004C3772">
              <w:rPr>
                <w:rFonts w:asciiTheme="minorHAnsi" w:hAnsiTheme="minorHAnsi"/>
                <w:b/>
                <w:sz w:val="18"/>
                <w:szCs w:val="18"/>
              </w:rPr>
              <w:t>Lp.</w:t>
            </w:r>
          </w:p>
        </w:tc>
        <w:tc>
          <w:tcPr>
            <w:tcW w:w="3543" w:type="dxa"/>
            <w:tcBorders>
              <w:bottom w:val="double" w:sz="4" w:space="0" w:color="auto"/>
            </w:tcBorders>
          </w:tcPr>
          <w:p w:rsidR="0073077E" w:rsidRPr="004C3772" w:rsidRDefault="0073077E" w:rsidP="00052A91">
            <w:pPr>
              <w:jc w:val="center"/>
              <w:rPr>
                <w:rFonts w:asciiTheme="minorHAnsi" w:hAnsiTheme="minorHAnsi"/>
                <w:b/>
                <w:sz w:val="18"/>
                <w:szCs w:val="18"/>
              </w:rPr>
            </w:pPr>
            <w:r w:rsidRPr="004C3772">
              <w:rPr>
                <w:rFonts w:asciiTheme="minorHAnsi" w:hAnsiTheme="minorHAnsi"/>
                <w:b/>
                <w:sz w:val="18"/>
                <w:szCs w:val="18"/>
              </w:rPr>
              <w:t>Wyszczególnienie robót</w:t>
            </w:r>
          </w:p>
        </w:tc>
        <w:tc>
          <w:tcPr>
            <w:tcW w:w="1418" w:type="dxa"/>
            <w:tcBorders>
              <w:bottom w:val="double" w:sz="4" w:space="0" w:color="auto"/>
            </w:tcBorders>
          </w:tcPr>
          <w:p w:rsidR="0073077E" w:rsidRPr="004C3772" w:rsidRDefault="0073077E" w:rsidP="00052A91">
            <w:pPr>
              <w:jc w:val="center"/>
              <w:rPr>
                <w:rFonts w:asciiTheme="minorHAnsi" w:hAnsiTheme="minorHAnsi"/>
                <w:b/>
                <w:sz w:val="18"/>
                <w:szCs w:val="18"/>
              </w:rPr>
            </w:pPr>
            <w:r w:rsidRPr="004C3772">
              <w:rPr>
                <w:rFonts w:asciiTheme="minorHAnsi" w:hAnsiTheme="minorHAnsi"/>
                <w:b/>
                <w:sz w:val="18"/>
                <w:szCs w:val="18"/>
              </w:rPr>
              <w:t>Częstotliwość badań</w:t>
            </w:r>
          </w:p>
        </w:tc>
        <w:tc>
          <w:tcPr>
            <w:tcW w:w="2126" w:type="dxa"/>
            <w:tcBorders>
              <w:bottom w:val="double" w:sz="4" w:space="0" w:color="auto"/>
            </w:tcBorders>
          </w:tcPr>
          <w:p w:rsidR="0073077E" w:rsidRPr="004C3772" w:rsidRDefault="0073077E" w:rsidP="00052A91">
            <w:pPr>
              <w:jc w:val="center"/>
              <w:rPr>
                <w:rFonts w:asciiTheme="minorHAnsi" w:hAnsiTheme="minorHAnsi"/>
                <w:b/>
                <w:sz w:val="18"/>
                <w:szCs w:val="18"/>
              </w:rPr>
            </w:pPr>
            <w:r w:rsidRPr="004C3772">
              <w:rPr>
                <w:rFonts w:asciiTheme="minorHAnsi" w:hAnsiTheme="minorHAnsi"/>
                <w:b/>
                <w:sz w:val="18"/>
                <w:szCs w:val="18"/>
              </w:rPr>
              <w:t>Wartości dopuszczalne</w:t>
            </w:r>
          </w:p>
        </w:tc>
      </w:tr>
      <w:tr w:rsidR="0073077E" w:rsidRPr="004C3772" w:rsidTr="00B44B91">
        <w:tc>
          <w:tcPr>
            <w:tcW w:w="496" w:type="dxa"/>
            <w:tcBorders>
              <w:top w:val="double" w:sz="4" w:space="0" w:color="auto"/>
            </w:tcBorders>
            <w:vAlign w:val="center"/>
          </w:tcPr>
          <w:p w:rsidR="0073077E" w:rsidRPr="004C3772" w:rsidRDefault="0073077E" w:rsidP="00052A91">
            <w:pPr>
              <w:jc w:val="center"/>
              <w:rPr>
                <w:rFonts w:asciiTheme="minorHAnsi" w:hAnsiTheme="minorHAnsi"/>
                <w:sz w:val="18"/>
                <w:szCs w:val="18"/>
              </w:rPr>
            </w:pPr>
            <w:r w:rsidRPr="004C3772">
              <w:rPr>
                <w:rFonts w:asciiTheme="minorHAnsi" w:hAnsiTheme="minorHAnsi"/>
                <w:sz w:val="18"/>
                <w:szCs w:val="18"/>
              </w:rPr>
              <w:t>1</w:t>
            </w:r>
          </w:p>
        </w:tc>
        <w:tc>
          <w:tcPr>
            <w:tcW w:w="3543" w:type="dxa"/>
            <w:tcBorders>
              <w:top w:val="double" w:sz="4" w:space="0" w:color="auto"/>
            </w:tcBorders>
            <w:vAlign w:val="center"/>
          </w:tcPr>
          <w:p w:rsidR="0073077E" w:rsidRPr="004C3772" w:rsidRDefault="0073077E" w:rsidP="00052A91">
            <w:pPr>
              <w:jc w:val="center"/>
              <w:rPr>
                <w:rFonts w:asciiTheme="minorHAnsi" w:hAnsiTheme="minorHAnsi"/>
                <w:sz w:val="18"/>
                <w:szCs w:val="18"/>
              </w:rPr>
            </w:pPr>
            <w:r w:rsidRPr="004C3772">
              <w:rPr>
                <w:rFonts w:asciiTheme="minorHAnsi" w:hAnsiTheme="minorHAnsi"/>
                <w:sz w:val="18"/>
                <w:szCs w:val="18"/>
              </w:rPr>
              <w:t>Lokalizacja i zgodność granic terenu robót z dokumentacją projektową</w:t>
            </w:r>
          </w:p>
        </w:tc>
        <w:tc>
          <w:tcPr>
            <w:tcW w:w="1418" w:type="dxa"/>
            <w:tcBorders>
              <w:top w:val="double" w:sz="4" w:space="0" w:color="auto"/>
            </w:tcBorders>
            <w:vAlign w:val="center"/>
          </w:tcPr>
          <w:p w:rsidR="0073077E" w:rsidRPr="004C3772" w:rsidRDefault="0073077E" w:rsidP="00052A91">
            <w:pPr>
              <w:jc w:val="center"/>
              <w:rPr>
                <w:rFonts w:asciiTheme="minorHAnsi" w:hAnsiTheme="minorHAnsi"/>
                <w:sz w:val="18"/>
                <w:szCs w:val="18"/>
              </w:rPr>
            </w:pPr>
            <w:r w:rsidRPr="004C3772">
              <w:rPr>
                <w:rFonts w:asciiTheme="minorHAnsi" w:hAnsiTheme="minorHAnsi"/>
                <w:sz w:val="18"/>
                <w:szCs w:val="18"/>
              </w:rPr>
              <w:t>1 raz</w:t>
            </w:r>
          </w:p>
        </w:tc>
        <w:tc>
          <w:tcPr>
            <w:tcW w:w="2126" w:type="dxa"/>
            <w:tcBorders>
              <w:top w:val="double" w:sz="4" w:space="0" w:color="auto"/>
            </w:tcBorders>
            <w:vAlign w:val="center"/>
          </w:tcPr>
          <w:p w:rsidR="0073077E" w:rsidRPr="004C3772" w:rsidRDefault="0073077E" w:rsidP="00052A91">
            <w:pPr>
              <w:jc w:val="center"/>
              <w:rPr>
                <w:rFonts w:asciiTheme="minorHAnsi" w:hAnsiTheme="minorHAnsi"/>
                <w:sz w:val="18"/>
                <w:szCs w:val="18"/>
              </w:rPr>
            </w:pPr>
            <w:r w:rsidRPr="004C3772">
              <w:rPr>
                <w:rFonts w:asciiTheme="minorHAnsi" w:hAnsiTheme="minorHAnsi"/>
                <w:sz w:val="18"/>
                <w:szCs w:val="18"/>
              </w:rPr>
              <w:t>Wg pktu 5 i dokumentacji projektowej</w:t>
            </w:r>
          </w:p>
        </w:tc>
      </w:tr>
      <w:tr w:rsidR="0073077E" w:rsidRPr="004C3772" w:rsidTr="00B44B91">
        <w:tc>
          <w:tcPr>
            <w:tcW w:w="496" w:type="dxa"/>
            <w:vAlign w:val="center"/>
          </w:tcPr>
          <w:p w:rsidR="0073077E" w:rsidRPr="004C3772" w:rsidRDefault="0073077E" w:rsidP="00052A91">
            <w:pPr>
              <w:jc w:val="center"/>
              <w:rPr>
                <w:rFonts w:asciiTheme="minorHAnsi" w:hAnsiTheme="minorHAnsi"/>
                <w:sz w:val="18"/>
                <w:szCs w:val="18"/>
              </w:rPr>
            </w:pPr>
            <w:r w:rsidRPr="004C3772">
              <w:rPr>
                <w:rFonts w:asciiTheme="minorHAnsi" w:hAnsiTheme="minorHAnsi"/>
                <w:sz w:val="18"/>
                <w:szCs w:val="18"/>
              </w:rPr>
              <w:t>2</w:t>
            </w:r>
          </w:p>
        </w:tc>
        <w:tc>
          <w:tcPr>
            <w:tcW w:w="3543" w:type="dxa"/>
            <w:vAlign w:val="center"/>
          </w:tcPr>
          <w:p w:rsidR="0073077E" w:rsidRPr="004C3772" w:rsidRDefault="0073077E" w:rsidP="00052A91">
            <w:pPr>
              <w:jc w:val="center"/>
              <w:rPr>
                <w:rFonts w:asciiTheme="minorHAnsi" w:hAnsiTheme="minorHAnsi"/>
                <w:sz w:val="18"/>
                <w:szCs w:val="18"/>
              </w:rPr>
            </w:pPr>
            <w:r w:rsidRPr="004C3772">
              <w:rPr>
                <w:rFonts w:asciiTheme="minorHAnsi" w:hAnsiTheme="minorHAnsi"/>
                <w:sz w:val="18"/>
                <w:szCs w:val="18"/>
              </w:rPr>
              <w:t>Roboty rozbiórkowe</w:t>
            </w:r>
          </w:p>
        </w:tc>
        <w:tc>
          <w:tcPr>
            <w:tcW w:w="1418" w:type="dxa"/>
            <w:vAlign w:val="center"/>
          </w:tcPr>
          <w:p w:rsidR="0073077E" w:rsidRPr="004C3772" w:rsidRDefault="0073077E" w:rsidP="00052A91">
            <w:pPr>
              <w:jc w:val="center"/>
              <w:rPr>
                <w:rFonts w:asciiTheme="minorHAnsi" w:hAnsiTheme="minorHAnsi"/>
                <w:sz w:val="18"/>
                <w:szCs w:val="18"/>
              </w:rPr>
            </w:pPr>
            <w:r w:rsidRPr="004C3772">
              <w:rPr>
                <w:rFonts w:asciiTheme="minorHAnsi" w:hAnsiTheme="minorHAnsi"/>
                <w:sz w:val="18"/>
                <w:szCs w:val="18"/>
              </w:rPr>
              <w:t>Ocena ciągła</w:t>
            </w:r>
          </w:p>
        </w:tc>
        <w:tc>
          <w:tcPr>
            <w:tcW w:w="2126" w:type="dxa"/>
            <w:vAlign w:val="center"/>
          </w:tcPr>
          <w:p w:rsidR="0073077E" w:rsidRPr="004C3772" w:rsidRDefault="0073077E" w:rsidP="00052A91">
            <w:pPr>
              <w:jc w:val="center"/>
              <w:rPr>
                <w:rFonts w:asciiTheme="minorHAnsi" w:hAnsiTheme="minorHAnsi"/>
                <w:sz w:val="18"/>
                <w:szCs w:val="18"/>
              </w:rPr>
            </w:pPr>
            <w:r w:rsidRPr="004C3772">
              <w:rPr>
                <w:rFonts w:asciiTheme="minorHAnsi" w:hAnsiTheme="minorHAnsi"/>
                <w:sz w:val="18"/>
                <w:szCs w:val="18"/>
              </w:rPr>
              <w:t>Wg pktu 5.4</w:t>
            </w:r>
          </w:p>
        </w:tc>
      </w:tr>
      <w:tr w:rsidR="0073077E" w:rsidRPr="004C3772" w:rsidTr="00B44B91">
        <w:tc>
          <w:tcPr>
            <w:tcW w:w="496" w:type="dxa"/>
            <w:vAlign w:val="center"/>
          </w:tcPr>
          <w:p w:rsidR="0073077E" w:rsidRPr="004C3772" w:rsidRDefault="0073077E" w:rsidP="00052A91">
            <w:pPr>
              <w:jc w:val="center"/>
              <w:rPr>
                <w:rFonts w:asciiTheme="minorHAnsi" w:hAnsiTheme="minorHAnsi"/>
                <w:sz w:val="18"/>
                <w:szCs w:val="18"/>
              </w:rPr>
            </w:pPr>
            <w:r w:rsidRPr="004C3772">
              <w:rPr>
                <w:rFonts w:asciiTheme="minorHAnsi" w:hAnsiTheme="minorHAnsi"/>
                <w:sz w:val="18"/>
                <w:szCs w:val="18"/>
              </w:rPr>
              <w:t>3</w:t>
            </w:r>
          </w:p>
        </w:tc>
        <w:tc>
          <w:tcPr>
            <w:tcW w:w="3543" w:type="dxa"/>
            <w:vAlign w:val="center"/>
          </w:tcPr>
          <w:p w:rsidR="0073077E" w:rsidRPr="004C3772" w:rsidRDefault="0073077E" w:rsidP="00052A91">
            <w:pPr>
              <w:jc w:val="center"/>
              <w:rPr>
                <w:rFonts w:asciiTheme="minorHAnsi" w:hAnsiTheme="minorHAnsi"/>
                <w:sz w:val="18"/>
                <w:szCs w:val="18"/>
              </w:rPr>
            </w:pPr>
            <w:r w:rsidRPr="004C3772">
              <w:rPr>
                <w:rFonts w:asciiTheme="minorHAnsi" w:hAnsiTheme="minorHAnsi"/>
                <w:sz w:val="18"/>
                <w:szCs w:val="18"/>
              </w:rPr>
              <w:t>Rekultywacja terenu</w:t>
            </w:r>
          </w:p>
        </w:tc>
        <w:tc>
          <w:tcPr>
            <w:tcW w:w="1418" w:type="dxa"/>
            <w:vAlign w:val="center"/>
          </w:tcPr>
          <w:p w:rsidR="0073077E" w:rsidRPr="004C3772" w:rsidRDefault="0073077E" w:rsidP="00052A91">
            <w:pPr>
              <w:jc w:val="center"/>
              <w:rPr>
                <w:rFonts w:asciiTheme="minorHAnsi" w:hAnsiTheme="minorHAnsi"/>
                <w:sz w:val="18"/>
                <w:szCs w:val="18"/>
              </w:rPr>
            </w:pPr>
            <w:r w:rsidRPr="004C3772">
              <w:rPr>
                <w:rFonts w:asciiTheme="minorHAnsi" w:hAnsiTheme="minorHAnsi"/>
                <w:sz w:val="18"/>
                <w:szCs w:val="18"/>
              </w:rPr>
              <w:t>Ocena ciągła</w:t>
            </w:r>
          </w:p>
        </w:tc>
        <w:tc>
          <w:tcPr>
            <w:tcW w:w="2126" w:type="dxa"/>
            <w:vAlign w:val="center"/>
          </w:tcPr>
          <w:p w:rsidR="0073077E" w:rsidRPr="004C3772" w:rsidRDefault="0073077E" w:rsidP="00052A91">
            <w:pPr>
              <w:jc w:val="center"/>
              <w:rPr>
                <w:rFonts w:asciiTheme="minorHAnsi" w:hAnsiTheme="minorHAnsi"/>
                <w:sz w:val="18"/>
                <w:szCs w:val="18"/>
              </w:rPr>
            </w:pPr>
            <w:r w:rsidRPr="004C3772">
              <w:rPr>
                <w:rFonts w:asciiTheme="minorHAnsi" w:hAnsiTheme="minorHAnsi"/>
                <w:sz w:val="18"/>
                <w:szCs w:val="18"/>
              </w:rPr>
              <w:t>Wg pktu 5.5</w:t>
            </w:r>
          </w:p>
        </w:tc>
      </w:tr>
      <w:tr w:rsidR="0073077E" w:rsidRPr="004C3772" w:rsidTr="00B44B91">
        <w:tc>
          <w:tcPr>
            <w:tcW w:w="496" w:type="dxa"/>
            <w:vAlign w:val="center"/>
          </w:tcPr>
          <w:p w:rsidR="0073077E" w:rsidRPr="004C3772" w:rsidRDefault="0073077E" w:rsidP="00052A91">
            <w:pPr>
              <w:jc w:val="center"/>
              <w:rPr>
                <w:rFonts w:asciiTheme="minorHAnsi" w:hAnsiTheme="minorHAnsi"/>
                <w:sz w:val="18"/>
                <w:szCs w:val="18"/>
              </w:rPr>
            </w:pPr>
            <w:r w:rsidRPr="004C3772">
              <w:rPr>
                <w:rFonts w:asciiTheme="minorHAnsi" w:hAnsiTheme="minorHAnsi"/>
                <w:sz w:val="18"/>
                <w:szCs w:val="18"/>
              </w:rPr>
              <w:t>4</w:t>
            </w:r>
          </w:p>
        </w:tc>
        <w:tc>
          <w:tcPr>
            <w:tcW w:w="3543" w:type="dxa"/>
            <w:vAlign w:val="center"/>
          </w:tcPr>
          <w:p w:rsidR="0073077E" w:rsidRPr="004C3772" w:rsidRDefault="0073077E" w:rsidP="00052A91">
            <w:pPr>
              <w:jc w:val="center"/>
              <w:rPr>
                <w:rFonts w:asciiTheme="minorHAnsi" w:hAnsiTheme="minorHAnsi"/>
                <w:sz w:val="18"/>
                <w:szCs w:val="18"/>
              </w:rPr>
            </w:pPr>
            <w:r w:rsidRPr="004C3772">
              <w:rPr>
                <w:rFonts w:asciiTheme="minorHAnsi" w:hAnsiTheme="minorHAnsi"/>
                <w:sz w:val="18"/>
                <w:szCs w:val="18"/>
              </w:rPr>
              <w:t>Wykonanie robót wykończeniowych</w:t>
            </w:r>
          </w:p>
        </w:tc>
        <w:tc>
          <w:tcPr>
            <w:tcW w:w="1418" w:type="dxa"/>
            <w:vAlign w:val="center"/>
          </w:tcPr>
          <w:p w:rsidR="0073077E" w:rsidRPr="004C3772" w:rsidRDefault="0073077E" w:rsidP="00052A91">
            <w:pPr>
              <w:jc w:val="center"/>
              <w:rPr>
                <w:rFonts w:asciiTheme="minorHAnsi" w:hAnsiTheme="minorHAnsi"/>
                <w:sz w:val="18"/>
                <w:szCs w:val="18"/>
              </w:rPr>
            </w:pPr>
            <w:r w:rsidRPr="004C3772">
              <w:rPr>
                <w:rFonts w:asciiTheme="minorHAnsi" w:hAnsiTheme="minorHAnsi"/>
                <w:sz w:val="18"/>
                <w:szCs w:val="18"/>
              </w:rPr>
              <w:t>Ocena ciągła</w:t>
            </w:r>
          </w:p>
        </w:tc>
        <w:tc>
          <w:tcPr>
            <w:tcW w:w="2126" w:type="dxa"/>
            <w:vAlign w:val="center"/>
          </w:tcPr>
          <w:p w:rsidR="0073077E" w:rsidRPr="004C3772" w:rsidRDefault="0073077E" w:rsidP="00052A91">
            <w:pPr>
              <w:jc w:val="center"/>
              <w:rPr>
                <w:rFonts w:asciiTheme="minorHAnsi" w:hAnsiTheme="minorHAnsi"/>
                <w:sz w:val="18"/>
                <w:szCs w:val="18"/>
              </w:rPr>
            </w:pPr>
            <w:r w:rsidRPr="004C3772">
              <w:rPr>
                <w:rFonts w:asciiTheme="minorHAnsi" w:hAnsiTheme="minorHAnsi"/>
                <w:sz w:val="18"/>
                <w:szCs w:val="18"/>
              </w:rPr>
              <w:t>Wg pktu 5.6</w:t>
            </w:r>
          </w:p>
        </w:tc>
      </w:tr>
    </w:tbl>
    <w:p w:rsidR="0073077E" w:rsidRPr="004C3772" w:rsidRDefault="0073077E" w:rsidP="0073077E">
      <w:pPr>
        <w:rPr>
          <w:rFonts w:asciiTheme="minorHAnsi" w:hAnsiTheme="minorHAnsi"/>
          <w:b/>
        </w:rPr>
      </w:pPr>
      <w:bookmarkStart w:id="1691" w:name="_Toc204751001"/>
    </w:p>
    <w:p w:rsidR="0073077E" w:rsidRPr="004C3772" w:rsidRDefault="0073077E" w:rsidP="0073077E">
      <w:pPr>
        <w:rPr>
          <w:rFonts w:asciiTheme="minorHAnsi" w:hAnsiTheme="minorHAnsi"/>
          <w:b/>
        </w:rPr>
      </w:pPr>
      <w:r w:rsidRPr="004C3772">
        <w:rPr>
          <w:rFonts w:asciiTheme="minorHAnsi" w:hAnsiTheme="minorHAnsi"/>
          <w:b/>
        </w:rPr>
        <w:t>7. OBMIAR ROBÓT</w:t>
      </w:r>
      <w:bookmarkEnd w:id="1691"/>
    </w:p>
    <w:p w:rsidR="0073077E" w:rsidRPr="004C3772" w:rsidRDefault="0073077E" w:rsidP="0073077E">
      <w:pPr>
        <w:rPr>
          <w:rFonts w:asciiTheme="minorHAnsi" w:hAnsiTheme="minorHAnsi"/>
        </w:rPr>
      </w:pPr>
      <w:r w:rsidRPr="004C3772">
        <w:rPr>
          <w:rFonts w:asciiTheme="minorHAnsi" w:hAnsiTheme="minorHAnsi"/>
          <w:b/>
        </w:rPr>
        <w:t>7.1.</w:t>
      </w:r>
      <w:r w:rsidRPr="004C3772">
        <w:rPr>
          <w:rFonts w:asciiTheme="minorHAnsi" w:hAnsiTheme="minorHAnsi"/>
        </w:rPr>
        <w:t xml:space="preserve"> Ogólne zasady obmiaru robót</w:t>
      </w:r>
    </w:p>
    <w:p w:rsidR="0073077E" w:rsidRPr="004C3772" w:rsidRDefault="0073077E" w:rsidP="0073077E">
      <w:pPr>
        <w:rPr>
          <w:rFonts w:asciiTheme="minorHAnsi" w:hAnsiTheme="minorHAnsi"/>
        </w:rPr>
      </w:pPr>
      <w:r w:rsidRPr="004C3772">
        <w:rPr>
          <w:rFonts w:asciiTheme="minorHAnsi" w:hAnsiTheme="minorHAnsi"/>
        </w:rPr>
        <w:tab/>
        <w:t>Ogólne zasady obmiaru robót podano w ST  D-M-00.00.00 „Wymagania ogólne” pkt 7.</w:t>
      </w:r>
    </w:p>
    <w:p w:rsidR="0073077E" w:rsidRPr="004C3772" w:rsidRDefault="0073077E" w:rsidP="0073077E">
      <w:pPr>
        <w:rPr>
          <w:rFonts w:asciiTheme="minorHAnsi" w:hAnsiTheme="minorHAnsi"/>
        </w:rPr>
      </w:pPr>
      <w:r w:rsidRPr="004C3772">
        <w:rPr>
          <w:rFonts w:asciiTheme="minorHAnsi" w:hAnsiTheme="minorHAnsi"/>
          <w:b/>
        </w:rPr>
        <w:t>7.2.</w:t>
      </w:r>
      <w:r w:rsidRPr="004C3772">
        <w:rPr>
          <w:rFonts w:asciiTheme="minorHAnsi" w:hAnsiTheme="minorHAnsi"/>
        </w:rPr>
        <w:t xml:space="preserve"> Jednostka obmiarowa</w:t>
      </w:r>
    </w:p>
    <w:p w:rsidR="0073077E" w:rsidRPr="004C3772" w:rsidRDefault="0073077E" w:rsidP="0073077E">
      <w:pPr>
        <w:rPr>
          <w:rFonts w:asciiTheme="minorHAnsi" w:hAnsiTheme="minorHAnsi"/>
        </w:rPr>
      </w:pPr>
      <w:r w:rsidRPr="004C3772">
        <w:rPr>
          <w:rFonts w:asciiTheme="minorHAnsi" w:hAnsiTheme="minorHAnsi"/>
        </w:rPr>
        <w:tab/>
        <w:t>Jednostką obmiarową jest 1 m</w:t>
      </w:r>
      <w:r w:rsidRPr="004C3772">
        <w:rPr>
          <w:rFonts w:asciiTheme="minorHAnsi" w:hAnsiTheme="minorHAnsi"/>
          <w:vertAlign w:val="superscript"/>
        </w:rPr>
        <w:t>2</w:t>
      </w:r>
      <w:r w:rsidRPr="004C3772">
        <w:rPr>
          <w:rFonts w:asciiTheme="minorHAnsi" w:hAnsiTheme="minorHAnsi"/>
        </w:rPr>
        <w:t xml:space="preserve"> (metr kwadratowy) wykonanej rekultywacji terenu przydrożnego.</w:t>
      </w:r>
    </w:p>
    <w:p w:rsidR="0073077E" w:rsidRPr="004C3772" w:rsidRDefault="0073077E" w:rsidP="0073077E">
      <w:pPr>
        <w:rPr>
          <w:rFonts w:asciiTheme="minorHAnsi" w:hAnsiTheme="minorHAnsi"/>
        </w:rPr>
      </w:pPr>
    </w:p>
    <w:p w:rsidR="0073077E" w:rsidRPr="004C3772" w:rsidRDefault="0073077E" w:rsidP="0073077E">
      <w:pPr>
        <w:rPr>
          <w:rFonts w:asciiTheme="minorHAnsi" w:hAnsiTheme="minorHAnsi"/>
          <w:b/>
        </w:rPr>
      </w:pPr>
      <w:r w:rsidRPr="004C3772">
        <w:rPr>
          <w:rFonts w:asciiTheme="minorHAnsi" w:hAnsiTheme="minorHAnsi"/>
          <w:b/>
        </w:rPr>
        <w:t xml:space="preserve"> </w:t>
      </w:r>
      <w:bookmarkStart w:id="1692" w:name="_Toc204751002"/>
      <w:r w:rsidRPr="004C3772">
        <w:rPr>
          <w:rFonts w:asciiTheme="minorHAnsi" w:hAnsiTheme="minorHAnsi"/>
          <w:b/>
        </w:rPr>
        <w:t>8. ODBIÓR ROBÓT</w:t>
      </w:r>
      <w:bookmarkEnd w:id="1692"/>
    </w:p>
    <w:p w:rsidR="0073077E" w:rsidRPr="004C3772" w:rsidRDefault="0073077E" w:rsidP="0073077E">
      <w:pPr>
        <w:rPr>
          <w:rFonts w:asciiTheme="minorHAnsi" w:hAnsiTheme="minorHAnsi"/>
        </w:rPr>
      </w:pPr>
      <w:r w:rsidRPr="004C3772">
        <w:rPr>
          <w:rFonts w:asciiTheme="minorHAnsi" w:hAnsiTheme="minorHAnsi"/>
        </w:rPr>
        <w:t xml:space="preserve"> </w:t>
      </w:r>
      <w:r w:rsidRPr="004C3772">
        <w:rPr>
          <w:rFonts w:asciiTheme="minorHAnsi" w:hAnsiTheme="minorHAnsi"/>
        </w:rPr>
        <w:tab/>
        <w:t>Ogólne zasady odbioru robót podano w ST  D-M-00.00.00 „Wymagania ogólne” pkt 8.</w:t>
      </w:r>
    </w:p>
    <w:p w:rsidR="0073077E" w:rsidRPr="004C3772" w:rsidRDefault="0073077E" w:rsidP="0073077E">
      <w:pPr>
        <w:rPr>
          <w:rFonts w:asciiTheme="minorHAnsi" w:hAnsiTheme="minorHAnsi"/>
        </w:rPr>
      </w:pPr>
      <w:r w:rsidRPr="004C3772">
        <w:rPr>
          <w:rFonts w:asciiTheme="minorHAnsi" w:hAnsiTheme="minorHAnsi"/>
        </w:rPr>
        <w:tab/>
        <w:t>Roboty uznaje się za wykonane zgodnie z dokumentacją projektową, ST i wymaganiami Inżyniera, jeżeli wszystkie pomiary i badania z zachowaniem tolerancji według pktu 6 dały wyniki pozytywne.</w:t>
      </w:r>
    </w:p>
    <w:p w:rsidR="0073077E" w:rsidRPr="004C3772" w:rsidRDefault="0073077E" w:rsidP="0073077E">
      <w:pPr>
        <w:rPr>
          <w:rFonts w:asciiTheme="minorHAnsi" w:hAnsiTheme="minorHAnsi"/>
        </w:rPr>
      </w:pPr>
    </w:p>
    <w:p w:rsidR="0073077E" w:rsidRPr="004C3772" w:rsidRDefault="0073077E" w:rsidP="0073077E">
      <w:pPr>
        <w:rPr>
          <w:rFonts w:asciiTheme="minorHAnsi" w:hAnsiTheme="minorHAnsi"/>
          <w:b/>
        </w:rPr>
      </w:pPr>
      <w:bookmarkStart w:id="1693" w:name="_Toc204751003"/>
      <w:r w:rsidRPr="004C3772">
        <w:rPr>
          <w:rFonts w:asciiTheme="minorHAnsi" w:hAnsiTheme="minorHAnsi"/>
          <w:b/>
        </w:rPr>
        <w:lastRenderedPageBreak/>
        <w:t>9. PODSTAWA PŁATNOŚCI</w:t>
      </w:r>
      <w:bookmarkEnd w:id="1693"/>
    </w:p>
    <w:p w:rsidR="0073077E" w:rsidRPr="004C3772" w:rsidRDefault="0073077E" w:rsidP="0073077E">
      <w:pPr>
        <w:rPr>
          <w:rFonts w:asciiTheme="minorHAnsi" w:hAnsiTheme="minorHAnsi"/>
        </w:rPr>
      </w:pPr>
      <w:r w:rsidRPr="004C3772">
        <w:rPr>
          <w:rFonts w:asciiTheme="minorHAnsi" w:hAnsiTheme="minorHAnsi"/>
          <w:b/>
        </w:rPr>
        <w:t>9.1.</w:t>
      </w:r>
      <w:r w:rsidRPr="004C3772">
        <w:rPr>
          <w:rFonts w:asciiTheme="minorHAnsi" w:hAnsiTheme="minorHAnsi"/>
        </w:rPr>
        <w:t xml:space="preserve"> Ogólne ustalenia dotyczące podstawy płatności</w:t>
      </w:r>
    </w:p>
    <w:p w:rsidR="0073077E" w:rsidRPr="004C3772" w:rsidRDefault="0073077E" w:rsidP="0073077E">
      <w:pPr>
        <w:rPr>
          <w:rFonts w:asciiTheme="minorHAnsi" w:hAnsiTheme="minorHAnsi"/>
        </w:rPr>
      </w:pPr>
      <w:r w:rsidRPr="004C3772">
        <w:rPr>
          <w:rFonts w:asciiTheme="minorHAnsi" w:hAnsiTheme="minorHAnsi"/>
        </w:rPr>
        <w:tab/>
        <w:t>Ogólne ustalenia dotyczące podstawy płatności podano w ST D-M-00.00.00 „Wymagania ogólne” pkt 9.</w:t>
      </w:r>
    </w:p>
    <w:p w:rsidR="0073077E" w:rsidRPr="004C3772" w:rsidRDefault="0073077E" w:rsidP="0073077E">
      <w:pPr>
        <w:rPr>
          <w:rFonts w:asciiTheme="minorHAnsi" w:hAnsiTheme="minorHAnsi"/>
        </w:rPr>
      </w:pPr>
      <w:r w:rsidRPr="004C3772">
        <w:rPr>
          <w:rFonts w:asciiTheme="minorHAnsi" w:hAnsiTheme="minorHAnsi"/>
          <w:b/>
        </w:rPr>
        <w:t>9.2.</w:t>
      </w:r>
      <w:r w:rsidRPr="004C3772">
        <w:rPr>
          <w:rFonts w:asciiTheme="minorHAnsi" w:hAnsiTheme="minorHAnsi"/>
        </w:rPr>
        <w:t xml:space="preserve"> Cena jednostki obmiarowej</w:t>
      </w:r>
    </w:p>
    <w:p w:rsidR="0073077E" w:rsidRPr="004C3772" w:rsidRDefault="0073077E" w:rsidP="0073077E">
      <w:pPr>
        <w:rPr>
          <w:rFonts w:asciiTheme="minorHAnsi" w:hAnsiTheme="minorHAnsi"/>
        </w:rPr>
      </w:pPr>
      <w:r w:rsidRPr="004C3772">
        <w:rPr>
          <w:rFonts w:asciiTheme="minorHAnsi" w:hAnsiTheme="minorHAnsi"/>
        </w:rPr>
        <w:tab/>
        <w:t xml:space="preserve">Cena wykonania  </w:t>
      </w:r>
      <w:smartTag w:uri="urn:schemas-microsoft-com:office:smarttags" w:element="metricconverter">
        <w:smartTagPr>
          <w:attr w:name="ProductID" w:val="1 m2"/>
        </w:smartTagPr>
        <w:r w:rsidRPr="004C3772">
          <w:rPr>
            <w:rFonts w:asciiTheme="minorHAnsi" w:hAnsiTheme="minorHAnsi"/>
          </w:rPr>
          <w:t>1 m2</w:t>
        </w:r>
      </w:smartTag>
      <w:r w:rsidRPr="004C3772">
        <w:rPr>
          <w:rFonts w:asciiTheme="minorHAnsi" w:hAnsiTheme="minorHAnsi"/>
        </w:rPr>
        <w:t xml:space="preserve"> rekultywacji terenu obejmuje:</w:t>
      </w:r>
    </w:p>
    <w:p w:rsidR="0073077E" w:rsidRPr="004C3772" w:rsidRDefault="0073077E" w:rsidP="0073077E">
      <w:pPr>
        <w:rPr>
          <w:rFonts w:asciiTheme="minorHAnsi" w:hAnsiTheme="minorHAnsi"/>
        </w:rPr>
      </w:pPr>
      <w:r w:rsidRPr="004C3772">
        <w:rPr>
          <w:rFonts w:asciiTheme="minorHAnsi" w:hAnsiTheme="minorHAnsi"/>
        </w:rPr>
        <w:t>-prace pomiarowe i roboty przygotowawcze,</w:t>
      </w:r>
    </w:p>
    <w:p w:rsidR="0073077E" w:rsidRPr="004C3772" w:rsidRDefault="0073077E" w:rsidP="0073077E">
      <w:pPr>
        <w:rPr>
          <w:rFonts w:asciiTheme="minorHAnsi" w:hAnsiTheme="minorHAnsi"/>
        </w:rPr>
      </w:pPr>
      <w:r w:rsidRPr="004C3772">
        <w:rPr>
          <w:rFonts w:asciiTheme="minorHAnsi" w:hAnsiTheme="minorHAnsi"/>
        </w:rPr>
        <w:t>-oznakowanie robót,</w:t>
      </w:r>
    </w:p>
    <w:p w:rsidR="0073077E" w:rsidRPr="004C3772" w:rsidRDefault="0073077E" w:rsidP="0073077E">
      <w:pPr>
        <w:rPr>
          <w:rFonts w:asciiTheme="minorHAnsi" w:hAnsiTheme="minorHAnsi"/>
        </w:rPr>
      </w:pPr>
      <w:r w:rsidRPr="004C3772">
        <w:rPr>
          <w:rFonts w:asciiTheme="minorHAnsi" w:hAnsiTheme="minorHAnsi"/>
        </w:rPr>
        <w:t>-dostarczenie materiałów i sprzętu,</w:t>
      </w:r>
    </w:p>
    <w:p w:rsidR="0073077E" w:rsidRPr="004C3772" w:rsidRDefault="0073077E" w:rsidP="0073077E">
      <w:pPr>
        <w:rPr>
          <w:rFonts w:asciiTheme="minorHAnsi" w:hAnsiTheme="minorHAnsi"/>
        </w:rPr>
      </w:pPr>
      <w:r w:rsidRPr="004C3772">
        <w:rPr>
          <w:rFonts w:asciiTheme="minorHAnsi" w:hAnsiTheme="minorHAnsi"/>
        </w:rPr>
        <w:t>-ew. roboty rozbiórkowe,</w:t>
      </w:r>
    </w:p>
    <w:p w:rsidR="0073077E" w:rsidRPr="004C3772" w:rsidRDefault="0073077E" w:rsidP="0073077E">
      <w:pPr>
        <w:rPr>
          <w:rFonts w:asciiTheme="minorHAnsi" w:hAnsiTheme="minorHAnsi"/>
        </w:rPr>
      </w:pPr>
      <w:r w:rsidRPr="004C3772">
        <w:rPr>
          <w:rFonts w:asciiTheme="minorHAnsi" w:hAnsiTheme="minorHAnsi"/>
        </w:rPr>
        <w:t>-oczyszczenie i wyrównanie terenu,</w:t>
      </w:r>
    </w:p>
    <w:p w:rsidR="0073077E" w:rsidRPr="004C3772" w:rsidRDefault="0073077E" w:rsidP="0073077E">
      <w:pPr>
        <w:rPr>
          <w:rFonts w:asciiTheme="minorHAnsi" w:hAnsiTheme="minorHAnsi"/>
        </w:rPr>
      </w:pPr>
      <w:r w:rsidRPr="004C3772">
        <w:rPr>
          <w:rFonts w:asciiTheme="minorHAnsi" w:hAnsiTheme="minorHAnsi"/>
        </w:rPr>
        <w:t>-dostarczenie ziemi urodzajnej,</w:t>
      </w:r>
    </w:p>
    <w:p w:rsidR="0073077E" w:rsidRPr="004C3772" w:rsidRDefault="0073077E" w:rsidP="0073077E">
      <w:pPr>
        <w:rPr>
          <w:rFonts w:asciiTheme="minorHAnsi" w:hAnsiTheme="minorHAnsi"/>
        </w:rPr>
      </w:pPr>
      <w:r w:rsidRPr="004C3772">
        <w:rPr>
          <w:rFonts w:asciiTheme="minorHAnsi" w:hAnsiTheme="minorHAnsi"/>
        </w:rPr>
        <w:t>-wykonanie rekultywacji terenu według wymagań dokumentacji projektowej i specyfikacji technicznej,</w:t>
      </w:r>
    </w:p>
    <w:p w:rsidR="0073077E" w:rsidRPr="004C3772" w:rsidRDefault="0073077E" w:rsidP="0073077E">
      <w:pPr>
        <w:rPr>
          <w:rFonts w:asciiTheme="minorHAnsi" w:hAnsiTheme="minorHAnsi"/>
        </w:rPr>
      </w:pPr>
      <w:r w:rsidRPr="004C3772">
        <w:rPr>
          <w:rFonts w:asciiTheme="minorHAnsi" w:hAnsiTheme="minorHAnsi"/>
        </w:rPr>
        <w:t>-przeprowadzenie pomiarów i badań  wymaganych w  specyfikacji technicznej,</w:t>
      </w:r>
    </w:p>
    <w:p w:rsidR="0073077E" w:rsidRPr="004C3772" w:rsidRDefault="0073077E" w:rsidP="0073077E">
      <w:pPr>
        <w:rPr>
          <w:rFonts w:asciiTheme="minorHAnsi" w:hAnsiTheme="minorHAnsi"/>
        </w:rPr>
      </w:pPr>
      <w:r w:rsidRPr="004C3772">
        <w:rPr>
          <w:rFonts w:asciiTheme="minorHAnsi" w:hAnsiTheme="minorHAnsi"/>
        </w:rPr>
        <w:t>-odwiezienie sprzętu.</w:t>
      </w:r>
    </w:p>
    <w:p w:rsidR="0073077E" w:rsidRPr="004C3772" w:rsidRDefault="0073077E" w:rsidP="0073077E">
      <w:pPr>
        <w:rPr>
          <w:rFonts w:asciiTheme="minorHAnsi" w:hAnsiTheme="minorHAnsi"/>
        </w:rPr>
      </w:pPr>
      <w:r w:rsidRPr="004C3772">
        <w:rPr>
          <w:rFonts w:asciiTheme="minorHAnsi" w:hAnsiTheme="minorHAnsi"/>
          <w:b/>
        </w:rPr>
        <w:t xml:space="preserve"> 9.3.</w:t>
      </w:r>
      <w:r w:rsidRPr="004C3772">
        <w:rPr>
          <w:rFonts w:asciiTheme="minorHAnsi" w:hAnsiTheme="minorHAnsi"/>
        </w:rPr>
        <w:t xml:space="preserve"> Sposób rozliczenia robót tymczasowych i prac towarzyszących</w:t>
      </w:r>
    </w:p>
    <w:p w:rsidR="0073077E" w:rsidRPr="004C3772" w:rsidRDefault="0073077E" w:rsidP="0073077E">
      <w:pPr>
        <w:rPr>
          <w:rFonts w:asciiTheme="minorHAnsi" w:hAnsiTheme="minorHAnsi"/>
        </w:rPr>
      </w:pPr>
      <w:r w:rsidRPr="004C3772">
        <w:rPr>
          <w:rFonts w:asciiTheme="minorHAnsi" w:hAnsiTheme="minorHAnsi"/>
        </w:rPr>
        <w:tab/>
        <w:t>Cena wykonania robót określonych niniejszą ST obejmuje:</w:t>
      </w:r>
    </w:p>
    <w:p w:rsidR="0073077E" w:rsidRPr="004C3772" w:rsidRDefault="0073077E" w:rsidP="0073077E">
      <w:pPr>
        <w:rPr>
          <w:rFonts w:asciiTheme="minorHAnsi" w:hAnsiTheme="minorHAnsi"/>
        </w:rPr>
      </w:pPr>
      <w:r w:rsidRPr="004C3772">
        <w:rPr>
          <w:rFonts w:asciiTheme="minorHAnsi" w:hAnsiTheme="minorHAnsi"/>
        </w:rPr>
        <w:t>-roboty tymczasowe, które są potrzebne do wykonania robót podstawowych, ale nie są przekazywane Zamawiającemu i są usuwane po wykonaniu robót podstawowych,</w:t>
      </w:r>
    </w:p>
    <w:p w:rsidR="0073077E" w:rsidRPr="004C3772" w:rsidRDefault="0073077E" w:rsidP="0073077E">
      <w:pPr>
        <w:rPr>
          <w:rFonts w:asciiTheme="minorHAnsi" w:hAnsiTheme="minorHAnsi"/>
        </w:rPr>
      </w:pPr>
      <w:r w:rsidRPr="004C3772">
        <w:rPr>
          <w:rFonts w:asciiTheme="minorHAnsi" w:hAnsiTheme="minorHAnsi"/>
        </w:rPr>
        <w:t>-prace towarzyszące, które są niezbędne do wykonania robót podstawowych, niezaliczane do robót tymczasowych, jak geodezyjne wytyczenie robót itd.</w:t>
      </w:r>
    </w:p>
    <w:p w:rsidR="0073077E" w:rsidRPr="004C3772" w:rsidRDefault="0073077E" w:rsidP="0073077E">
      <w:pPr>
        <w:rPr>
          <w:rFonts w:asciiTheme="minorHAnsi" w:hAnsiTheme="minorHAnsi"/>
        </w:rPr>
      </w:pPr>
    </w:p>
    <w:p w:rsidR="0073077E" w:rsidRPr="004C3772" w:rsidRDefault="0073077E" w:rsidP="0073077E">
      <w:pPr>
        <w:rPr>
          <w:rFonts w:asciiTheme="minorHAnsi" w:hAnsiTheme="minorHAnsi"/>
          <w:b/>
        </w:rPr>
      </w:pPr>
      <w:bookmarkStart w:id="1694" w:name="_Toc204751004"/>
      <w:r w:rsidRPr="004C3772">
        <w:rPr>
          <w:rFonts w:asciiTheme="minorHAnsi" w:hAnsiTheme="minorHAnsi"/>
          <w:b/>
        </w:rPr>
        <w:t>10. PRZEPISY ZWIĄZANE</w:t>
      </w:r>
      <w:bookmarkEnd w:id="1694"/>
    </w:p>
    <w:p w:rsidR="0073077E" w:rsidRPr="004C3772" w:rsidRDefault="0073077E" w:rsidP="0073077E">
      <w:pPr>
        <w:rPr>
          <w:rFonts w:asciiTheme="minorHAnsi" w:hAnsiTheme="minorHAnsi"/>
        </w:rPr>
      </w:pPr>
      <w:r w:rsidRPr="004C3772">
        <w:rPr>
          <w:rFonts w:asciiTheme="minorHAnsi" w:hAnsiTheme="minorHAnsi"/>
          <w:b/>
        </w:rPr>
        <w:t>10.1.</w:t>
      </w:r>
      <w:r w:rsidRPr="004C3772">
        <w:rPr>
          <w:rFonts w:asciiTheme="minorHAnsi" w:hAnsiTheme="minorHAnsi"/>
        </w:rPr>
        <w:t xml:space="preserve"> Specyfikacje techniczne (ST)</w:t>
      </w:r>
    </w:p>
    <w:tbl>
      <w:tblPr>
        <w:tblW w:w="0" w:type="auto"/>
        <w:tblLayout w:type="fixed"/>
        <w:tblCellMar>
          <w:left w:w="70" w:type="dxa"/>
          <w:right w:w="70" w:type="dxa"/>
        </w:tblCellMar>
        <w:tblLook w:val="0000"/>
      </w:tblPr>
      <w:tblGrid>
        <w:gridCol w:w="496"/>
        <w:gridCol w:w="1559"/>
        <w:gridCol w:w="5455"/>
      </w:tblGrid>
      <w:tr w:rsidR="0073077E" w:rsidRPr="004C3772" w:rsidTr="00052A91">
        <w:tc>
          <w:tcPr>
            <w:tcW w:w="496" w:type="dxa"/>
          </w:tcPr>
          <w:p w:rsidR="0073077E" w:rsidRPr="004C3772" w:rsidRDefault="0073077E" w:rsidP="00052A91">
            <w:pPr>
              <w:rPr>
                <w:rFonts w:asciiTheme="minorHAnsi" w:hAnsiTheme="minorHAnsi"/>
              </w:rPr>
            </w:pPr>
            <w:r w:rsidRPr="004C3772">
              <w:rPr>
                <w:rFonts w:asciiTheme="minorHAnsi" w:hAnsiTheme="minorHAnsi"/>
              </w:rPr>
              <w:t>1.</w:t>
            </w:r>
          </w:p>
        </w:tc>
        <w:tc>
          <w:tcPr>
            <w:tcW w:w="1559" w:type="dxa"/>
          </w:tcPr>
          <w:p w:rsidR="0073077E" w:rsidRPr="004C3772" w:rsidRDefault="0073077E" w:rsidP="00052A91">
            <w:pPr>
              <w:rPr>
                <w:rFonts w:asciiTheme="minorHAnsi" w:hAnsiTheme="minorHAnsi"/>
              </w:rPr>
            </w:pPr>
            <w:r w:rsidRPr="004C3772">
              <w:rPr>
                <w:rFonts w:asciiTheme="minorHAnsi" w:hAnsiTheme="minorHAnsi"/>
              </w:rPr>
              <w:t>D-M-00.00.00</w:t>
            </w:r>
          </w:p>
        </w:tc>
        <w:tc>
          <w:tcPr>
            <w:tcW w:w="5455" w:type="dxa"/>
          </w:tcPr>
          <w:p w:rsidR="0073077E" w:rsidRPr="004C3772" w:rsidRDefault="0073077E" w:rsidP="00052A91">
            <w:pPr>
              <w:rPr>
                <w:rFonts w:asciiTheme="minorHAnsi" w:hAnsiTheme="minorHAnsi"/>
              </w:rPr>
            </w:pPr>
            <w:r w:rsidRPr="004C3772">
              <w:rPr>
                <w:rFonts w:asciiTheme="minorHAnsi" w:hAnsiTheme="minorHAnsi"/>
              </w:rPr>
              <w:t>Wymagania ogólne</w:t>
            </w:r>
          </w:p>
        </w:tc>
      </w:tr>
      <w:tr w:rsidR="0073077E" w:rsidRPr="004C3772" w:rsidTr="00052A91">
        <w:tc>
          <w:tcPr>
            <w:tcW w:w="496" w:type="dxa"/>
          </w:tcPr>
          <w:p w:rsidR="0073077E" w:rsidRPr="004C3772" w:rsidRDefault="0073077E" w:rsidP="00052A91">
            <w:pPr>
              <w:rPr>
                <w:rFonts w:asciiTheme="minorHAnsi" w:hAnsiTheme="minorHAnsi"/>
              </w:rPr>
            </w:pPr>
            <w:r w:rsidRPr="004C3772">
              <w:rPr>
                <w:rFonts w:asciiTheme="minorHAnsi" w:hAnsiTheme="minorHAnsi"/>
              </w:rPr>
              <w:t>2.</w:t>
            </w:r>
          </w:p>
        </w:tc>
        <w:tc>
          <w:tcPr>
            <w:tcW w:w="1559" w:type="dxa"/>
          </w:tcPr>
          <w:p w:rsidR="0073077E" w:rsidRPr="004C3772" w:rsidRDefault="0073077E" w:rsidP="00052A91">
            <w:pPr>
              <w:rPr>
                <w:rFonts w:asciiTheme="minorHAnsi" w:hAnsiTheme="minorHAnsi"/>
              </w:rPr>
            </w:pPr>
            <w:r w:rsidRPr="004C3772">
              <w:rPr>
                <w:rFonts w:asciiTheme="minorHAnsi" w:hAnsiTheme="minorHAnsi"/>
              </w:rPr>
              <w:t>D-01.00.00</w:t>
            </w:r>
          </w:p>
        </w:tc>
        <w:tc>
          <w:tcPr>
            <w:tcW w:w="5455" w:type="dxa"/>
          </w:tcPr>
          <w:p w:rsidR="0073077E" w:rsidRPr="004C3772" w:rsidRDefault="0073077E" w:rsidP="00052A91">
            <w:pPr>
              <w:rPr>
                <w:rFonts w:asciiTheme="minorHAnsi" w:hAnsiTheme="minorHAnsi"/>
              </w:rPr>
            </w:pPr>
            <w:r w:rsidRPr="004C3772">
              <w:rPr>
                <w:rFonts w:asciiTheme="minorHAnsi" w:hAnsiTheme="minorHAnsi"/>
              </w:rPr>
              <w:t>Roboty przygotowawcze</w:t>
            </w:r>
          </w:p>
        </w:tc>
      </w:tr>
      <w:tr w:rsidR="0073077E" w:rsidRPr="004C3772" w:rsidTr="00052A91">
        <w:tc>
          <w:tcPr>
            <w:tcW w:w="496" w:type="dxa"/>
          </w:tcPr>
          <w:p w:rsidR="0073077E" w:rsidRPr="004C3772" w:rsidRDefault="0073077E" w:rsidP="00052A91">
            <w:pPr>
              <w:rPr>
                <w:rFonts w:asciiTheme="minorHAnsi" w:hAnsiTheme="minorHAnsi"/>
              </w:rPr>
            </w:pPr>
            <w:r w:rsidRPr="004C3772">
              <w:rPr>
                <w:rFonts w:asciiTheme="minorHAnsi" w:hAnsiTheme="minorHAnsi"/>
              </w:rPr>
              <w:t>3.</w:t>
            </w:r>
          </w:p>
        </w:tc>
        <w:tc>
          <w:tcPr>
            <w:tcW w:w="1559" w:type="dxa"/>
          </w:tcPr>
          <w:p w:rsidR="0073077E" w:rsidRPr="004C3772" w:rsidRDefault="0073077E" w:rsidP="00052A91">
            <w:pPr>
              <w:rPr>
                <w:rFonts w:asciiTheme="minorHAnsi" w:hAnsiTheme="minorHAnsi"/>
              </w:rPr>
            </w:pPr>
            <w:r w:rsidRPr="004C3772">
              <w:rPr>
                <w:rFonts w:asciiTheme="minorHAnsi" w:hAnsiTheme="minorHAnsi"/>
              </w:rPr>
              <w:t>D-01.02.01</w:t>
            </w:r>
          </w:p>
        </w:tc>
        <w:tc>
          <w:tcPr>
            <w:tcW w:w="5455" w:type="dxa"/>
          </w:tcPr>
          <w:p w:rsidR="0073077E" w:rsidRPr="004C3772" w:rsidRDefault="0073077E" w:rsidP="00052A91">
            <w:pPr>
              <w:rPr>
                <w:rFonts w:asciiTheme="minorHAnsi" w:hAnsiTheme="minorHAnsi"/>
              </w:rPr>
            </w:pPr>
            <w:r w:rsidRPr="004C3772">
              <w:rPr>
                <w:rFonts w:asciiTheme="minorHAnsi" w:hAnsiTheme="minorHAnsi"/>
              </w:rPr>
              <w:t>Usunięcie drzew i krzaków</w:t>
            </w:r>
          </w:p>
        </w:tc>
      </w:tr>
      <w:tr w:rsidR="0073077E" w:rsidRPr="004C3772" w:rsidTr="00052A91">
        <w:tc>
          <w:tcPr>
            <w:tcW w:w="496" w:type="dxa"/>
          </w:tcPr>
          <w:p w:rsidR="0073077E" w:rsidRPr="004C3772" w:rsidRDefault="0073077E" w:rsidP="00052A91">
            <w:pPr>
              <w:rPr>
                <w:rFonts w:asciiTheme="minorHAnsi" w:hAnsiTheme="minorHAnsi"/>
              </w:rPr>
            </w:pPr>
            <w:r w:rsidRPr="004C3772">
              <w:rPr>
                <w:rFonts w:asciiTheme="minorHAnsi" w:hAnsiTheme="minorHAnsi"/>
              </w:rPr>
              <w:t>4.</w:t>
            </w:r>
          </w:p>
        </w:tc>
        <w:tc>
          <w:tcPr>
            <w:tcW w:w="1559" w:type="dxa"/>
          </w:tcPr>
          <w:p w:rsidR="0073077E" w:rsidRPr="004C3772" w:rsidRDefault="0073077E" w:rsidP="00052A91">
            <w:pPr>
              <w:rPr>
                <w:rFonts w:asciiTheme="minorHAnsi" w:hAnsiTheme="minorHAnsi"/>
              </w:rPr>
            </w:pPr>
            <w:r w:rsidRPr="004C3772">
              <w:rPr>
                <w:rFonts w:asciiTheme="minorHAnsi" w:hAnsiTheme="minorHAnsi"/>
              </w:rPr>
              <w:t>D-01.02.01a</w:t>
            </w:r>
          </w:p>
        </w:tc>
        <w:tc>
          <w:tcPr>
            <w:tcW w:w="5455" w:type="dxa"/>
          </w:tcPr>
          <w:p w:rsidR="0073077E" w:rsidRPr="004C3772" w:rsidRDefault="0073077E" w:rsidP="00052A91">
            <w:pPr>
              <w:rPr>
                <w:rFonts w:asciiTheme="minorHAnsi" w:hAnsiTheme="minorHAnsi"/>
              </w:rPr>
            </w:pPr>
            <w:r w:rsidRPr="004C3772">
              <w:rPr>
                <w:rFonts w:asciiTheme="minorHAnsi" w:hAnsiTheme="minorHAnsi"/>
              </w:rPr>
              <w:t>Ochrona istniejących drzew w okresie budowy drogi</w:t>
            </w:r>
          </w:p>
        </w:tc>
      </w:tr>
      <w:tr w:rsidR="0073077E" w:rsidRPr="004C3772" w:rsidTr="00052A91">
        <w:tc>
          <w:tcPr>
            <w:tcW w:w="496" w:type="dxa"/>
          </w:tcPr>
          <w:p w:rsidR="0073077E" w:rsidRPr="004C3772" w:rsidRDefault="0073077E" w:rsidP="00052A91">
            <w:pPr>
              <w:rPr>
                <w:rFonts w:asciiTheme="minorHAnsi" w:hAnsiTheme="minorHAnsi"/>
              </w:rPr>
            </w:pPr>
            <w:r w:rsidRPr="004C3772">
              <w:rPr>
                <w:rFonts w:asciiTheme="minorHAnsi" w:hAnsiTheme="minorHAnsi"/>
              </w:rPr>
              <w:t>5.</w:t>
            </w:r>
          </w:p>
        </w:tc>
        <w:tc>
          <w:tcPr>
            <w:tcW w:w="1559" w:type="dxa"/>
          </w:tcPr>
          <w:p w:rsidR="0073077E" w:rsidRPr="004C3772" w:rsidRDefault="0073077E" w:rsidP="00052A91">
            <w:pPr>
              <w:rPr>
                <w:rFonts w:asciiTheme="minorHAnsi" w:hAnsiTheme="minorHAnsi"/>
              </w:rPr>
            </w:pPr>
            <w:r w:rsidRPr="004C3772">
              <w:rPr>
                <w:rFonts w:asciiTheme="minorHAnsi" w:hAnsiTheme="minorHAnsi"/>
              </w:rPr>
              <w:t>D-01.02.04</w:t>
            </w:r>
          </w:p>
        </w:tc>
        <w:tc>
          <w:tcPr>
            <w:tcW w:w="5455" w:type="dxa"/>
          </w:tcPr>
          <w:p w:rsidR="0073077E" w:rsidRPr="004C3772" w:rsidRDefault="0073077E" w:rsidP="00052A91">
            <w:pPr>
              <w:rPr>
                <w:rFonts w:asciiTheme="minorHAnsi" w:hAnsiTheme="minorHAnsi"/>
              </w:rPr>
            </w:pPr>
            <w:r w:rsidRPr="004C3772">
              <w:rPr>
                <w:rFonts w:asciiTheme="minorHAnsi" w:hAnsiTheme="minorHAnsi"/>
              </w:rPr>
              <w:t xml:space="preserve">Rozbiórka elementów dróg, ogrodzeń i przepustów </w:t>
            </w:r>
          </w:p>
        </w:tc>
      </w:tr>
      <w:tr w:rsidR="0073077E" w:rsidRPr="004C3772" w:rsidTr="00052A91">
        <w:tc>
          <w:tcPr>
            <w:tcW w:w="496" w:type="dxa"/>
          </w:tcPr>
          <w:p w:rsidR="0073077E" w:rsidRPr="004C3772" w:rsidRDefault="0073077E" w:rsidP="00052A91">
            <w:pPr>
              <w:rPr>
                <w:rFonts w:asciiTheme="minorHAnsi" w:hAnsiTheme="minorHAnsi"/>
              </w:rPr>
            </w:pPr>
            <w:r w:rsidRPr="004C3772">
              <w:rPr>
                <w:rFonts w:asciiTheme="minorHAnsi" w:hAnsiTheme="minorHAnsi"/>
              </w:rPr>
              <w:t>6.</w:t>
            </w:r>
          </w:p>
        </w:tc>
        <w:tc>
          <w:tcPr>
            <w:tcW w:w="1559" w:type="dxa"/>
          </w:tcPr>
          <w:p w:rsidR="0073077E" w:rsidRPr="004C3772" w:rsidRDefault="0073077E" w:rsidP="00052A91">
            <w:pPr>
              <w:rPr>
                <w:rFonts w:asciiTheme="minorHAnsi" w:hAnsiTheme="minorHAnsi"/>
              </w:rPr>
            </w:pPr>
            <w:r w:rsidRPr="004C3772">
              <w:rPr>
                <w:rFonts w:asciiTheme="minorHAnsi" w:hAnsiTheme="minorHAnsi"/>
              </w:rPr>
              <w:t>D-02.00.00</w:t>
            </w:r>
          </w:p>
        </w:tc>
        <w:tc>
          <w:tcPr>
            <w:tcW w:w="5455" w:type="dxa"/>
          </w:tcPr>
          <w:p w:rsidR="0073077E" w:rsidRPr="004C3772" w:rsidRDefault="0073077E" w:rsidP="00052A91">
            <w:pPr>
              <w:rPr>
                <w:rFonts w:asciiTheme="minorHAnsi" w:hAnsiTheme="minorHAnsi"/>
              </w:rPr>
            </w:pPr>
            <w:r w:rsidRPr="004C3772">
              <w:rPr>
                <w:rFonts w:asciiTheme="minorHAnsi" w:hAnsiTheme="minorHAnsi"/>
              </w:rPr>
              <w:t>Roboty ziemne</w:t>
            </w:r>
          </w:p>
        </w:tc>
      </w:tr>
      <w:tr w:rsidR="0073077E" w:rsidRPr="004C3772" w:rsidTr="00052A91">
        <w:tc>
          <w:tcPr>
            <w:tcW w:w="496" w:type="dxa"/>
          </w:tcPr>
          <w:p w:rsidR="0073077E" w:rsidRPr="004C3772" w:rsidRDefault="0073077E" w:rsidP="00052A91">
            <w:pPr>
              <w:rPr>
                <w:rFonts w:asciiTheme="minorHAnsi" w:hAnsiTheme="minorHAnsi"/>
              </w:rPr>
            </w:pPr>
            <w:r w:rsidRPr="004C3772">
              <w:rPr>
                <w:rFonts w:asciiTheme="minorHAnsi" w:hAnsiTheme="minorHAnsi"/>
              </w:rPr>
              <w:t>7.</w:t>
            </w:r>
          </w:p>
        </w:tc>
        <w:tc>
          <w:tcPr>
            <w:tcW w:w="1559" w:type="dxa"/>
          </w:tcPr>
          <w:p w:rsidR="0073077E" w:rsidRPr="004C3772" w:rsidRDefault="0073077E" w:rsidP="00052A91">
            <w:pPr>
              <w:rPr>
                <w:rFonts w:asciiTheme="minorHAnsi" w:hAnsiTheme="minorHAnsi"/>
              </w:rPr>
            </w:pPr>
            <w:r w:rsidRPr="004C3772">
              <w:rPr>
                <w:rFonts w:asciiTheme="minorHAnsi" w:hAnsiTheme="minorHAnsi"/>
              </w:rPr>
              <w:t>D-09.01.01</w:t>
            </w:r>
          </w:p>
        </w:tc>
        <w:tc>
          <w:tcPr>
            <w:tcW w:w="5455" w:type="dxa"/>
          </w:tcPr>
          <w:p w:rsidR="0073077E" w:rsidRPr="004C3772" w:rsidRDefault="0073077E" w:rsidP="00052A91">
            <w:pPr>
              <w:rPr>
                <w:rFonts w:asciiTheme="minorHAnsi" w:hAnsiTheme="minorHAnsi"/>
              </w:rPr>
            </w:pPr>
            <w:r w:rsidRPr="004C3772">
              <w:rPr>
                <w:rFonts w:asciiTheme="minorHAnsi" w:hAnsiTheme="minorHAnsi"/>
              </w:rPr>
              <w:t>Zieleń drogowa</w:t>
            </w:r>
          </w:p>
        </w:tc>
      </w:tr>
    </w:tbl>
    <w:p w:rsidR="0073077E" w:rsidRPr="004C3772" w:rsidRDefault="0073077E" w:rsidP="0073077E">
      <w:pPr>
        <w:rPr>
          <w:rFonts w:asciiTheme="minorHAnsi" w:hAnsiTheme="minorHAnsi"/>
        </w:rPr>
      </w:pPr>
      <w:r w:rsidRPr="004C3772">
        <w:rPr>
          <w:rFonts w:asciiTheme="minorHAnsi" w:hAnsiTheme="minorHAnsi"/>
          <w:b/>
        </w:rPr>
        <w:t>10.2.</w:t>
      </w:r>
      <w:r w:rsidRPr="004C3772">
        <w:rPr>
          <w:rFonts w:asciiTheme="minorHAnsi" w:hAnsiTheme="minorHAnsi"/>
        </w:rPr>
        <w:t xml:space="preserve"> Inne dokumenty</w:t>
      </w:r>
    </w:p>
    <w:p w:rsidR="0073077E" w:rsidRPr="004C3772" w:rsidRDefault="0073077E" w:rsidP="0073077E">
      <w:pPr>
        <w:rPr>
          <w:rFonts w:asciiTheme="minorHAnsi" w:hAnsiTheme="minorHAnsi"/>
        </w:rPr>
      </w:pPr>
      <w:r w:rsidRPr="004C3772">
        <w:rPr>
          <w:rFonts w:asciiTheme="minorHAnsi" w:hAnsiTheme="minorHAnsi"/>
        </w:rPr>
        <w:t>8. Zasady ochrony środowiska w drogownictwie. Dział 13. Ochrona gleb i upraw w otoczeniu dróg. Generalna Dyrekcja Dróg Publicznych, Warszawa 2002 r.</w:t>
      </w:r>
    </w:p>
    <w:p w:rsidR="0073077E" w:rsidRPr="004C3772" w:rsidRDefault="0073077E" w:rsidP="0073077E">
      <w:pPr>
        <w:rPr>
          <w:rFonts w:asciiTheme="minorHAnsi" w:hAnsiTheme="minorHAnsi"/>
        </w:rPr>
      </w:pPr>
    </w:p>
    <w:p w:rsidR="0073077E" w:rsidRPr="004C3772" w:rsidRDefault="0073077E" w:rsidP="0073077E">
      <w:pPr>
        <w:rPr>
          <w:rFonts w:asciiTheme="minorHAnsi" w:hAnsiTheme="minorHAnsi"/>
          <w:b/>
        </w:rPr>
      </w:pPr>
      <w:bookmarkStart w:id="1695" w:name="_Toc204751005"/>
      <w:r w:rsidRPr="004C3772">
        <w:rPr>
          <w:rFonts w:asciiTheme="minorHAnsi" w:hAnsiTheme="minorHAnsi"/>
          <w:b/>
        </w:rPr>
        <w:t>11. ZAŁĄCZNIK</w:t>
      </w:r>
      <w:bookmarkEnd w:id="1695"/>
    </w:p>
    <w:p w:rsidR="0073077E" w:rsidRPr="004C3772" w:rsidRDefault="0073077E" w:rsidP="0073077E">
      <w:pPr>
        <w:rPr>
          <w:rFonts w:asciiTheme="minorHAnsi" w:hAnsiTheme="minorHAnsi"/>
        </w:rPr>
      </w:pPr>
      <w:r w:rsidRPr="004C3772">
        <w:rPr>
          <w:rFonts w:asciiTheme="minorHAnsi" w:hAnsiTheme="minorHAnsi"/>
        </w:rPr>
        <w:t>ZASADY   REKULTYWACJI   GRUNTÓW</w:t>
      </w:r>
    </w:p>
    <w:p w:rsidR="0073077E" w:rsidRPr="004C3772" w:rsidRDefault="0073077E" w:rsidP="0073077E">
      <w:pPr>
        <w:rPr>
          <w:rFonts w:asciiTheme="minorHAnsi" w:hAnsiTheme="minorHAnsi"/>
        </w:rPr>
      </w:pPr>
      <w:r w:rsidRPr="004C3772">
        <w:rPr>
          <w:rFonts w:asciiTheme="minorHAnsi" w:hAnsiTheme="minorHAnsi"/>
        </w:rPr>
        <w:t>(wg: „Zasady ochrony środowiska w drogownictwie”)</w:t>
      </w:r>
    </w:p>
    <w:p w:rsidR="0073077E" w:rsidRPr="004C3772" w:rsidRDefault="0073077E" w:rsidP="0073077E">
      <w:pPr>
        <w:rPr>
          <w:rFonts w:asciiTheme="minorHAnsi" w:hAnsiTheme="minorHAnsi"/>
        </w:rPr>
      </w:pPr>
      <w:r w:rsidRPr="004C3772">
        <w:rPr>
          <w:rFonts w:asciiTheme="minorHAnsi" w:hAnsiTheme="minorHAnsi"/>
          <w:b/>
        </w:rPr>
        <w:t>1.1.</w:t>
      </w:r>
      <w:r w:rsidRPr="004C3772">
        <w:rPr>
          <w:rFonts w:asciiTheme="minorHAnsi" w:hAnsiTheme="minorHAnsi"/>
        </w:rPr>
        <w:t xml:space="preserve"> Zadania rekultywacji</w:t>
      </w:r>
    </w:p>
    <w:p w:rsidR="0073077E" w:rsidRPr="004C3772" w:rsidRDefault="0073077E" w:rsidP="0073077E">
      <w:pPr>
        <w:rPr>
          <w:rFonts w:asciiTheme="minorHAnsi" w:hAnsiTheme="minorHAnsi"/>
        </w:rPr>
      </w:pPr>
      <w:r w:rsidRPr="004C3772">
        <w:rPr>
          <w:rFonts w:asciiTheme="minorHAnsi" w:hAnsiTheme="minorHAnsi"/>
        </w:rPr>
        <w:t>Rekultywacja gruntów ma za zadanie przygotowanie powierzchni terenu do biologicznego zagospodarowania. Zagospodarowanie takie jest niezbędne do stworzenia warunków kontroli erozji powierzchniowej, przygotowania gruntu mineralnego do produkcji roślinnej oraz wegetacji roślinnej.</w:t>
      </w:r>
    </w:p>
    <w:p w:rsidR="0073077E" w:rsidRPr="004C3772" w:rsidRDefault="0073077E" w:rsidP="0073077E">
      <w:pPr>
        <w:rPr>
          <w:rFonts w:asciiTheme="minorHAnsi" w:hAnsiTheme="minorHAnsi"/>
        </w:rPr>
      </w:pPr>
      <w:r w:rsidRPr="004C3772">
        <w:rPr>
          <w:rFonts w:asciiTheme="minorHAnsi" w:hAnsiTheme="minorHAnsi"/>
        </w:rPr>
        <w:t>Podstawowym środkiem w rekultywacji jest nośnik biologiczny, jakim jest humus, który tylko gleba urodzajna zawiera w ilości dostatecznej do rozwoju życia biologicznego. Jeśli grunt jest zdewastowany działalnością człowieka, to konieczne są zabiegi rekultywacyjne prowadzące do zapewnienia dostatecznej ilości humusu (próchnicy) w wierzchniej warstwie gruntu. Przyjęto, że graniczną wartością zawartości próchnicy, różniącą gleby urodzajne od jałowych, jest poziom 1,5%.</w:t>
      </w:r>
    </w:p>
    <w:p w:rsidR="0073077E" w:rsidRPr="004C3772" w:rsidRDefault="0073077E" w:rsidP="0073077E">
      <w:pPr>
        <w:rPr>
          <w:rFonts w:asciiTheme="minorHAnsi" w:hAnsiTheme="minorHAnsi"/>
        </w:rPr>
      </w:pPr>
      <w:r w:rsidRPr="004C3772">
        <w:rPr>
          <w:rFonts w:asciiTheme="minorHAnsi" w:hAnsiTheme="minorHAnsi"/>
        </w:rPr>
        <w:t>Niekorzystną cechą gruntów jałowych jest brak humusu, który jest naturalnym źródłem azotu dla roślin, spełnia rolę strukturotwórczą i stymuluje życie biologiczne. Niektóre grunty jałowe charakteryzują się również niedostateczną zawartością fosforu, potasu, wapnia i magnezu – składników potrzebnych do prawidłowego wzrostu i rozwoju roślin. Ponadto gruntu te wykazują zwykle wadliwe właściwości fizyczne, wynikające ze składu mechanicznego i braku poziomu próchnicznego. Grunty luźne wykazują nadmierną przepuszczalność i małą zdolność retencji, a grunty zwięzłe znikomą przepuszczalność i wadliwą strukturę, w wyniku czego przy nadmiernym uwilgotnieniu pęcznieją, a przy przesychaniu zaskorupiają się i pękają. Wymienione fizyczne i chemiczne właściwości gruntów jałowych obniżają lub wręcz blokują aktywność biologiczną (przyrodniczą) środowiska.</w:t>
      </w:r>
    </w:p>
    <w:p w:rsidR="0073077E" w:rsidRPr="004C3772" w:rsidRDefault="0073077E" w:rsidP="0073077E">
      <w:pPr>
        <w:rPr>
          <w:rFonts w:asciiTheme="minorHAnsi" w:hAnsiTheme="minorHAnsi"/>
        </w:rPr>
      </w:pPr>
      <w:r w:rsidRPr="004C3772">
        <w:rPr>
          <w:rFonts w:asciiTheme="minorHAnsi" w:hAnsiTheme="minorHAnsi"/>
        </w:rPr>
        <w:lastRenderedPageBreak/>
        <w:t xml:space="preserve">W przypadku gruntu całkowicie jałowego najprostszym sposobem rekultywacji jest rozścielenie warstwy ziemi próchnicznej grubości od 5 do </w:t>
      </w:r>
      <w:smartTag w:uri="urn:schemas-microsoft-com:office:smarttags" w:element="metricconverter">
        <w:smartTagPr>
          <w:attr w:name="ProductID" w:val="40 cm"/>
        </w:smartTagPr>
        <w:r w:rsidRPr="004C3772">
          <w:rPr>
            <w:rFonts w:asciiTheme="minorHAnsi" w:hAnsiTheme="minorHAnsi"/>
          </w:rPr>
          <w:t>40 cm</w:t>
        </w:r>
      </w:smartTag>
      <w:r w:rsidRPr="004C3772">
        <w:rPr>
          <w:rFonts w:asciiTheme="minorHAnsi" w:hAnsiTheme="minorHAnsi"/>
        </w:rPr>
        <w:t>, zależnie od przewidywanego sposobu planowanego użytkowania terenu. W przypadku gruntów, które posiadają niewielki zasób humusu, bardziej celowe są inne metody rekultywacji, które – generalnie rzecz biorąc – zmierzają do przekształcenia wierzchniej warstwy gruntu w glebę urodzajną. Osiąga się to przez wymieszanie tego gruntu z ziemią próchniczną lub jej substytutami. Warunkiem powodzenia jest tu właściwe dobranie mas oraz dodatkowe zasilenie w brakujące składniki pokarmowe.</w:t>
      </w:r>
    </w:p>
    <w:p w:rsidR="0073077E" w:rsidRPr="004C3772" w:rsidRDefault="0073077E" w:rsidP="0073077E">
      <w:pPr>
        <w:rPr>
          <w:rFonts w:asciiTheme="minorHAnsi" w:hAnsiTheme="minorHAnsi"/>
        </w:rPr>
      </w:pPr>
      <w:r w:rsidRPr="004C3772">
        <w:rPr>
          <w:rFonts w:asciiTheme="minorHAnsi" w:hAnsiTheme="minorHAnsi"/>
        </w:rPr>
        <w:t>Przed przystąpieniem do rekultywacji konieczne jest wykonanie analiz glebowych określających, jaką ilość składników odżywczych zawiera grunt i na tej podstawie ustalenie najwłaściwszego sposobu rekultywacji. Po zakończeniu rekultywacji pożądane jest wykonanie nie tylko standardowych analiz geotechnicznych, ale również gleboznawczych i środowiskowo-biologicznych – w celu ustalenia skuteczności zastosowanych zabiegów rekultywacyjnych i ewentualnego zaprojektowania dodatkowych zabiegów korygujących.</w:t>
      </w:r>
    </w:p>
    <w:p w:rsidR="0073077E" w:rsidRPr="004C3772" w:rsidRDefault="0073077E" w:rsidP="0073077E">
      <w:pPr>
        <w:rPr>
          <w:rFonts w:asciiTheme="minorHAnsi" w:hAnsiTheme="minorHAnsi"/>
        </w:rPr>
      </w:pPr>
      <w:r w:rsidRPr="004C3772">
        <w:rPr>
          <w:rFonts w:asciiTheme="minorHAnsi" w:hAnsiTheme="minorHAnsi"/>
          <w:b/>
        </w:rPr>
        <w:t>1.2.</w:t>
      </w:r>
      <w:r w:rsidRPr="004C3772">
        <w:rPr>
          <w:rFonts w:asciiTheme="minorHAnsi" w:hAnsiTheme="minorHAnsi"/>
        </w:rPr>
        <w:t xml:space="preserve"> Rodzaje prac rekultywacyjnych</w:t>
      </w:r>
    </w:p>
    <w:p w:rsidR="0073077E" w:rsidRPr="004C3772" w:rsidRDefault="0073077E" w:rsidP="0073077E">
      <w:pPr>
        <w:rPr>
          <w:rFonts w:asciiTheme="minorHAnsi" w:hAnsiTheme="minorHAnsi"/>
        </w:rPr>
      </w:pPr>
      <w:r w:rsidRPr="004C3772">
        <w:rPr>
          <w:rFonts w:asciiTheme="minorHAnsi" w:hAnsiTheme="minorHAnsi"/>
        </w:rPr>
        <w:tab/>
        <w:t>Zwiększenie biologicznej aktywności gruntów następuje po wykonaniu zespołu odpowiednich zabiegów biologicznych, chemicznych, agrotechnicznych i inżynieryjno-technicznych, które obejmuje się wspólną nazwą „prace rekultywacyjne”. W związku z tym prace te dzieli się na:</w:t>
      </w:r>
    </w:p>
    <w:p w:rsidR="0073077E" w:rsidRPr="004C3772" w:rsidRDefault="0073077E" w:rsidP="0073077E">
      <w:pPr>
        <w:rPr>
          <w:rFonts w:asciiTheme="minorHAnsi" w:hAnsiTheme="minorHAnsi"/>
        </w:rPr>
      </w:pPr>
      <w:r w:rsidRPr="004C3772">
        <w:rPr>
          <w:rFonts w:asciiTheme="minorHAnsi" w:hAnsiTheme="minorHAnsi"/>
        </w:rPr>
        <w:t>-rekultywację biologiczną,</w:t>
      </w:r>
    </w:p>
    <w:p w:rsidR="0073077E" w:rsidRPr="004C3772" w:rsidRDefault="0073077E" w:rsidP="0073077E">
      <w:pPr>
        <w:rPr>
          <w:rFonts w:asciiTheme="minorHAnsi" w:hAnsiTheme="minorHAnsi"/>
        </w:rPr>
      </w:pPr>
      <w:r w:rsidRPr="004C3772">
        <w:rPr>
          <w:rFonts w:asciiTheme="minorHAnsi" w:hAnsiTheme="minorHAnsi"/>
        </w:rPr>
        <w:t>-rekultywację chemiczną,</w:t>
      </w:r>
    </w:p>
    <w:p w:rsidR="0073077E" w:rsidRPr="004C3772" w:rsidRDefault="0073077E" w:rsidP="0073077E">
      <w:pPr>
        <w:rPr>
          <w:rFonts w:asciiTheme="minorHAnsi" w:hAnsiTheme="minorHAnsi"/>
        </w:rPr>
      </w:pPr>
      <w:r w:rsidRPr="004C3772">
        <w:rPr>
          <w:rFonts w:asciiTheme="minorHAnsi" w:hAnsiTheme="minorHAnsi"/>
        </w:rPr>
        <w:t>-rekultywację agrotechniczną (rolniczą),</w:t>
      </w:r>
    </w:p>
    <w:p w:rsidR="0073077E" w:rsidRPr="004C3772" w:rsidRDefault="0073077E" w:rsidP="0073077E">
      <w:pPr>
        <w:rPr>
          <w:rFonts w:asciiTheme="minorHAnsi" w:hAnsiTheme="minorHAnsi"/>
        </w:rPr>
      </w:pPr>
      <w:r w:rsidRPr="004C3772">
        <w:rPr>
          <w:rFonts w:asciiTheme="minorHAnsi" w:hAnsiTheme="minorHAnsi"/>
        </w:rPr>
        <w:t>-rekultywację techniczną (budowlaną).</w:t>
      </w:r>
    </w:p>
    <w:p w:rsidR="0073077E" w:rsidRPr="004C3772" w:rsidRDefault="0073077E" w:rsidP="0073077E">
      <w:pPr>
        <w:rPr>
          <w:rFonts w:asciiTheme="minorHAnsi" w:hAnsiTheme="minorHAnsi"/>
        </w:rPr>
      </w:pPr>
      <w:r w:rsidRPr="004C3772">
        <w:rPr>
          <w:rFonts w:asciiTheme="minorHAnsi" w:hAnsiTheme="minorHAnsi"/>
          <w:b/>
        </w:rPr>
        <w:t>1.3.</w:t>
      </w:r>
      <w:r w:rsidRPr="004C3772">
        <w:rPr>
          <w:rFonts w:asciiTheme="minorHAnsi" w:hAnsiTheme="minorHAnsi"/>
        </w:rPr>
        <w:t xml:space="preserve"> Rekultywacja biologiczna</w:t>
      </w:r>
    </w:p>
    <w:p w:rsidR="0073077E" w:rsidRPr="004C3772" w:rsidRDefault="0073077E" w:rsidP="0073077E">
      <w:pPr>
        <w:rPr>
          <w:rFonts w:asciiTheme="minorHAnsi" w:hAnsiTheme="minorHAnsi"/>
        </w:rPr>
      </w:pPr>
      <w:r w:rsidRPr="004C3772">
        <w:rPr>
          <w:rFonts w:asciiTheme="minorHAnsi" w:hAnsiTheme="minorHAnsi"/>
        </w:rPr>
        <w:tab/>
        <w:t>Rekultywacja biologiczna, która jest uważana za najistotniejszy zespół zabiegów rekultywacyjnych, polega na zastosowaniu substancji organicznych i organiczno-mineralnych do poprawy żyzności gleby nieurodzajnej lub nadania żyzności gruntowi martwemu, przy czym polepsza się struktura fizyczna gruntu i powiększa się jego zasobność. Do substancji organicznych należą: obornik, gnojowica, kompost, torfy, namuły organiczne, węgiel brunatny, osady pościekowe, nawozy zielone, kora i słoma. Substancje organiczno-mineralne to: ziemia próchnicza, komposty, osady aluwialne i deluwialne oraz osady denne zbiorników wodnych.</w:t>
      </w:r>
    </w:p>
    <w:p w:rsidR="0073077E" w:rsidRPr="004C3772" w:rsidRDefault="0073077E" w:rsidP="0073077E">
      <w:pPr>
        <w:rPr>
          <w:rFonts w:asciiTheme="minorHAnsi" w:hAnsiTheme="minorHAnsi"/>
        </w:rPr>
      </w:pPr>
      <w:r w:rsidRPr="004C3772">
        <w:rPr>
          <w:rFonts w:asciiTheme="minorHAnsi" w:hAnsiTheme="minorHAnsi"/>
        </w:rPr>
        <w:tab/>
        <w:t>Najprostszym sposobem rekultywacji biologicznej gruntów jest nawiezienie ziemi próchnicznej, tj. humusowanie. Humusowanie jest zespołem czynności przygotowujących powierzchnię gruntu do zagospodarowania przyrodniczego, obejmujący wprowadzenie substancji organicznej lub naniesienie ziemi urodzajnej.</w:t>
      </w:r>
    </w:p>
    <w:p w:rsidR="0073077E" w:rsidRPr="004C3772" w:rsidRDefault="0073077E" w:rsidP="0073077E">
      <w:pPr>
        <w:rPr>
          <w:rFonts w:asciiTheme="minorHAnsi" w:hAnsiTheme="minorHAnsi"/>
        </w:rPr>
      </w:pPr>
      <w:r w:rsidRPr="004C3772">
        <w:rPr>
          <w:rFonts w:asciiTheme="minorHAnsi" w:hAnsiTheme="minorHAnsi"/>
        </w:rPr>
        <w:tab/>
        <w:t>Rekultywacja poprzez nawiezienie ziemi próchnicznej może być wykonywana na powierzchniach ustabilizowanych, których rzeźba nie ulegnie dalszej modyfikacji pod warunkiem, że dysponuje się odpowiednimi zasobami ziemi próchnicznej w niewielkiej odległości od miejsca wbudowania. Przemieszczanie warstwy humusu z innych gleb wymaga jednak dużych nakładów pracy, środków technicznych i finansowych. Tańszą metodą jest rekultywacja przez nawiezienie czystej substancji organicznej i wymieszanie jej z podłożem.</w:t>
      </w:r>
    </w:p>
    <w:p w:rsidR="0073077E" w:rsidRPr="004C3772" w:rsidRDefault="0073077E" w:rsidP="0073077E">
      <w:pPr>
        <w:rPr>
          <w:rFonts w:asciiTheme="minorHAnsi" w:hAnsiTheme="minorHAnsi"/>
        </w:rPr>
      </w:pPr>
      <w:r w:rsidRPr="004C3772">
        <w:rPr>
          <w:rFonts w:asciiTheme="minorHAnsi" w:hAnsiTheme="minorHAnsi"/>
          <w:b/>
        </w:rPr>
        <w:t>1.4.</w:t>
      </w:r>
      <w:r w:rsidRPr="004C3772">
        <w:rPr>
          <w:rFonts w:asciiTheme="minorHAnsi" w:hAnsiTheme="minorHAnsi"/>
        </w:rPr>
        <w:t xml:space="preserve"> Rekultywacja chemiczna</w:t>
      </w:r>
    </w:p>
    <w:p w:rsidR="0073077E" w:rsidRPr="004C3772" w:rsidRDefault="0073077E" w:rsidP="0073077E">
      <w:pPr>
        <w:rPr>
          <w:rFonts w:asciiTheme="minorHAnsi" w:hAnsiTheme="minorHAnsi"/>
        </w:rPr>
      </w:pPr>
      <w:r w:rsidRPr="004C3772">
        <w:rPr>
          <w:rFonts w:asciiTheme="minorHAnsi" w:hAnsiTheme="minorHAnsi"/>
        </w:rPr>
        <w:tab/>
        <w:t>Przy rekultywacji zabiegi biologiczne muszą być uzupełniane zwykle zabiegami chemicznymi. Rekultywacja chemiczna polega na ulepszeniu właściwości gruntów poprzez zastosowanie nawozów mineralnych, wapna, gliny, iłów i różnego rodzaju odpadów. Odpadami możliwymi do zastosowania mogą być: popioły lotne po spaleniu węgla kamiennego i brunatnego, odpady wapienne i wapienno-magnezowe, żużle, dolomitowe odpady poflotacyjne, wapienne, odpady wapienne pokarbidowe, posodowe, pocelulozowe, wapno defekacyjne, pyły z cementowni i wiele innych. Stosowanie osadów ściekowych, odpadów rolniczych i przemysłowych spełnia podwójną rolę: użyźniania utworów bezglebowych i utylizacji odpadów. Warunkiem ich stosowania jest jednak dokładna znajomość ich właściwości chemicznych, stwierdzenie przydatności (po przeprowadzeniu badań i analiz) oraz pozytywna ocena ekonomiczna przedsięwzięcia.</w:t>
      </w:r>
    </w:p>
    <w:p w:rsidR="0073077E" w:rsidRPr="004C3772" w:rsidRDefault="0073077E" w:rsidP="0073077E">
      <w:pPr>
        <w:rPr>
          <w:rFonts w:asciiTheme="minorHAnsi" w:hAnsiTheme="minorHAnsi"/>
        </w:rPr>
      </w:pPr>
      <w:r w:rsidRPr="004C3772">
        <w:rPr>
          <w:rFonts w:asciiTheme="minorHAnsi" w:hAnsiTheme="minorHAnsi"/>
        </w:rPr>
        <w:tab/>
        <w:t>Przy użyźnianiu gruntów jałowych substancjami organicznymi, organiczno-mineralnymi i mineralnymi należy stosować zasadę, że grunty o luźnym składzie mechanicznym (żwiry, piaski luźne, piaski gliniaste) należy mieszać z substancjami o zwięzłym składzie mechanicznym, a grunty o bardzo zwięzłym składzie mechanicznym (iły, gliny ciężkie) – z substancjami o luźniejszym składzie mechanicznym.</w:t>
      </w:r>
    </w:p>
    <w:p w:rsidR="0073077E" w:rsidRPr="004C3772" w:rsidRDefault="0073077E" w:rsidP="0073077E">
      <w:pPr>
        <w:rPr>
          <w:rFonts w:asciiTheme="minorHAnsi" w:hAnsiTheme="minorHAnsi"/>
        </w:rPr>
      </w:pPr>
      <w:r w:rsidRPr="004C3772">
        <w:rPr>
          <w:rFonts w:asciiTheme="minorHAnsi" w:hAnsiTheme="minorHAnsi"/>
          <w:b/>
        </w:rPr>
        <w:t>1.5.</w:t>
      </w:r>
      <w:r w:rsidRPr="004C3772">
        <w:rPr>
          <w:rFonts w:asciiTheme="minorHAnsi" w:hAnsiTheme="minorHAnsi"/>
        </w:rPr>
        <w:t xml:space="preserve"> Rekultywacja agrotechniczna</w:t>
      </w:r>
    </w:p>
    <w:p w:rsidR="0073077E" w:rsidRPr="004C3772" w:rsidRDefault="0073077E" w:rsidP="0073077E">
      <w:pPr>
        <w:rPr>
          <w:rFonts w:asciiTheme="minorHAnsi" w:hAnsiTheme="minorHAnsi"/>
        </w:rPr>
      </w:pPr>
      <w:r w:rsidRPr="004C3772">
        <w:rPr>
          <w:rFonts w:asciiTheme="minorHAnsi" w:hAnsiTheme="minorHAnsi"/>
        </w:rPr>
        <w:tab/>
        <w:t>Rekultywacja agrotechniczna polega na zastosowaniu zespołu zabiegów mających na celu przebudowę profilu glebowego środkami technicznymi (tj. maszynami rolniczymi). Zabiegi agrotechniczne są nieodłączną częścią wyżej wymienionych zabiegów. Do najważniejszych agrotechnicznych zabiegów stosowanych podczas rekultywacji należą: mieszanie gruntu, oranie, kultywatorowanie, ściółkowanie, obsiew, hydroobsiew itp., zdefiniowane następująco:</w:t>
      </w:r>
    </w:p>
    <w:p w:rsidR="0073077E" w:rsidRPr="004C3772" w:rsidRDefault="0073077E" w:rsidP="0073077E">
      <w:pPr>
        <w:rPr>
          <w:rFonts w:asciiTheme="minorHAnsi" w:hAnsiTheme="minorHAnsi"/>
        </w:rPr>
      </w:pPr>
      <w:r w:rsidRPr="004C3772">
        <w:rPr>
          <w:rFonts w:asciiTheme="minorHAnsi" w:hAnsiTheme="minorHAnsi"/>
        </w:rPr>
        <w:lastRenderedPageBreak/>
        <w:t>-mieszanie gruntu – spulchnienie i wymieszanie gruntu glebogryzarkami, glebofrezarkami lub innymi maszynami i narzędziami rolniczymi,</w:t>
      </w:r>
    </w:p>
    <w:p w:rsidR="0073077E" w:rsidRPr="004C3772" w:rsidRDefault="0073077E" w:rsidP="0073077E">
      <w:pPr>
        <w:rPr>
          <w:rFonts w:asciiTheme="minorHAnsi" w:hAnsiTheme="minorHAnsi"/>
        </w:rPr>
      </w:pPr>
      <w:r w:rsidRPr="004C3772">
        <w:rPr>
          <w:rFonts w:asciiTheme="minorHAnsi" w:hAnsiTheme="minorHAnsi"/>
        </w:rPr>
        <w:t>-orka – oranie gleby za pomocą pługa z odkładnicą,</w:t>
      </w:r>
    </w:p>
    <w:p w:rsidR="0073077E" w:rsidRPr="004C3772" w:rsidRDefault="0073077E" w:rsidP="0073077E">
      <w:pPr>
        <w:rPr>
          <w:rFonts w:asciiTheme="minorHAnsi" w:hAnsiTheme="minorHAnsi"/>
        </w:rPr>
      </w:pPr>
      <w:r w:rsidRPr="004C3772">
        <w:rPr>
          <w:rFonts w:asciiTheme="minorHAnsi" w:hAnsiTheme="minorHAnsi"/>
        </w:rPr>
        <w:t>-kultywatorowanie – spulchnianie gruntu kultywatorem,</w:t>
      </w:r>
    </w:p>
    <w:p w:rsidR="0073077E" w:rsidRPr="004C3772" w:rsidRDefault="0073077E" w:rsidP="0073077E">
      <w:pPr>
        <w:rPr>
          <w:rFonts w:asciiTheme="minorHAnsi" w:hAnsiTheme="minorHAnsi"/>
        </w:rPr>
      </w:pPr>
      <w:r w:rsidRPr="004C3772">
        <w:rPr>
          <w:rFonts w:asciiTheme="minorHAnsi" w:hAnsiTheme="minorHAnsi"/>
        </w:rPr>
        <w:t>-ściółkowanie – rozłożenie na powierzchni gruntu ściółki, tj. materiału organicznego odpadowego, np. kory, trocin, ściętej trawy, rozdrobnionej masy drzewnej itp. w celu ochrony przed wysychaniem i erozją,</w:t>
      </w:r>
    </w:p>
    <w:p w:rsidR="0073077E" w:rsidRPr="004C3772" w:rsidRDefault="0073077E" w:rsidP="0073077E">
      <w:pPr>
        <w:rPr>
          <w:rFonts w:asciiTheme="minorHAnsi" w:hAnsiTheme="minorHAnsi"/>
        </w:rPr>
      </w:pPr>
      <w:r w:rsidRPr="004C3772">
        <w:rPr>
          <w:rFonts w:asciiTheme="minorHAnsi" w:hAnsiTheme="minorHAnsi"/>
        </w:rPr>
        <w:t>-obsiew – mechaniczne wprowadzenie do gruntu materiału siewnego,</w:t>
      </w:r>
    </w:p>
    <w:p w:rsidR="0073077E" w:rsidRPr="004C3772" w:rsidRDefault="0073077E" w:rsidP="0073077E">
      <w:pPr>
        <w:rPr>
          <w:rFonts w:asciiTheme="minorHAnsi" w:hAnsiTheme="minorHAnsi"/>
        </w:rPr>
      </w:pPr>
      <w:r w:rsidRPr="004C3772">
        <w:rPr>
          <w:rFonts w:asciiTheme="minorHAnsi" w:hAnsiTheme="minorHAnsi"/>
        </w:rPr>
        <w:t>-hydroobsiew – czynność obejmująca hydromechaniczne nanoszenie mieszanek siewnych, środków użyźniających i emulsji przeciwerozyjnych w celu utrwalenia biologicznego powierzchni gruntu.</w:t>
      </w:r>
    </w:p>
    <w:p w:rsidR="0073077E" w:rsidRPr="004C3772" w:rsidRDefault="0073077E" w:rsidP="0073077E">
      <w:pPr>
        <w:rPr>
          <w:rFonts w:asciiTheme="minorHAnsi" w:hAnsiTheme="minorHAnsi"/>
        </w:rPr>
      </w:pPr>
      <w:r w:rsidRPr="004C3772">
        <w:rPr>
          <w:rFonts w:asciiTheme="minorHAnsi" w:hAnsiTheme="minorHAnsi"/>
          <w:b/>
        </w:rPr>
        <w:t>1.6.</w:t>
      </w:r>
      <w:r w:rsidRPr="004C3772">
        <w:rPr>
          <w:rFonts w:asciiTheme="minorHAnsi" w:hAnsiTheme="minorHAnsi"/>
        </w:rPr>
        <w:t xml:space="preserve"> Rekultywacja techniczna (budowlana)</w:t>
      </w:r>
    </w:p>
    <w:p w:rsidR="0073077E" w:rsidRPr="004C3772" w:rsidRDefault="0073077E" w:rsidP="0073077E">
      <w:pPr>
        <w:rPr>
          <w:rFonts w:asciiTheme="minorHAnsi" w:hAnsiTheme="minorHAnsi"/>
        </w:rPr>
      </w:pPr>
      <w:r w:rsidRPr="004C3772">
        <w:rPr>
          <w:rFonts w:asciiTheme="minorHAnsi" w:hAnsiTheme="minorHAnsi"/>
        </w:rPr>
        <w:tab/>
        <w:t>Rekultywacja techniczna polega na właściwym, z punktu widzenia przyszłej aktywności biologicznej, ukształtowaniu powierzchni rekultywowanego terenu. Z reguły formowanie powierzchni terenu wykonuje się za pomocą maszyn budowlanych (do robót ziemnych). Przy ustalaniu kształtu powierzchni terenu bierze się pod uwagę kryteria: budowlane drogowe, właściwego odwodnienia, wkomponowania terenu w otoczenie, ochrony terenu przed erozją oraz związane z planowanym sposobem zagospodarowania. Zabiegi technicznej rekultywacji gleb są zwykle szczegółowo opisane w projekcie technicznym i budowlanym drogi.</w:t>
      </w:r>
    </w:p>
    <w:p w:rsidR="0073077E" w:rsidRPr="004C3772" w:rsidRDefault="0073077E" w:rsidP="0073077E">
      <w:pPr>
        <w:rPr>
          <w:rFonts w:asciiTheme="minorHAnsi" w:hAnsiTheme="minorHAnsi"/>
        </w:rPr>
      </w:pPr>
      <w:r w:rsidRPr="004C3772">
        <w:rPr>
          <w:rFonts w:asciiTheme="minorHAnsi" w:hAnsiTheme="minorHAnsi"/>
          <w:b/>
        </w:rPr>
        <w:t>1.7.</w:t>
      </w:r>
      <w:r w:rsidRPr="004C3772">
        <w:rPr>
          <w:rFonts w:asciiTheme="minorHAnsi" w:hAnsiTheme="minorHAnsi"/>
        </w:rPr>
        <w:t xml:space="preserve"> Rekultywacja gruntów przy budowie dróg</w:t>
      </w:r>
    </w:p>
    <w:p w:rsidR="0073077E" w:rsidRPr="004C3772" w:rsidRDefault="0073077E" w:rsidP="0073077E">
      <w:pPr>
        <w:rPr>
          <w:rFonts w:asciiTheme="minorHAnsi" w:hAnsiTheme="minorHAnsi"/>
        </w:rPr>
      </w:pPr>
      <w:r w:rsidRPr="004C3772">
        <w:rPr>
          <w:rFonts w:asciiTheme="minorHAnsi" w:hAnsiTheme="minorHAnsi"/>
        </w:rPr>
        <w:tab/>
        <w:t>Przy budowie dróg najbardziej racjonalną metodą rekultywacji gruntów jałowych jest stosowanie metody humusowania z wykorzystaniem warstw humusu uprzednio zdjętych i zmagazynowanych. Teoretycznie przy budowie dróg takiego humusu powinno być pod dostatkiem, ponieważ jest on zdejmowany również z całego pasa budowy. Nie zawsze humus ten ma jednak dostateczną jakość. Główną wadą metody humusowania są dość wysokie koszty, szczególnie transportu humusu. Przy niedostatku ziemi urodzajnej humusowanie można zastąpić mieszaniem czystej substancji organicznej z gruntem.</w:t>
      </w:r>
    </w:p>
    <w:p w:rsidR="0073077E" w:rsidRPr="004C3772" w:rsidRDefault="0073077E" w:rsidP="0073077E">
      <w:pPr>
        <w:rPr>
          <w:rFonts w:asciiTheme="minorHAnsi" w:hAnsiTheme="minorHAnsi"/>
        </w:rPr>
      </w:pPr>
      <w:r w:rsidRPr="004C3772">
        <w:rPr>
          <w:rFonts w:asciiTheme="minorHAnsi" w:hAnsiTheme="minorHAnsi"/>
        </w:rPr>
        <w:tab/>
        <w:t>Stosunkowo tanią, zmechanizowaną i skuteczną technologią rekultywacji jest hydroobsiew z użyciem rozdrobnionej ściółki, lateksu i osadów ściekowych. Większość osadów ściekowych stanowi cenny surowiec do użyźniania gleb na gruntach zdewastowanych. O glebotwórczej i nawozowej wartości osadów decyduje przede wszystkim zawartość koloidów w substancji organicznej oraz azotu, fosforu, potasu i mikroelementów. Związki mineralne zawarte w substancji organicznej osadów uruchamiają się powoli w miarę rozkładania się osadu i nie są narażone na wypłukiwanie z podłoża nawet przy znacznych dawkach osadów ściekowych. Właściwości koloidalne osadów ściekowych powodują, że stanowią one dobrą powłokę przeciwerozyjną na powierzchniach skarp, równie skuteczną jak niektóre preparaty chemiczne.</w:t>
      </w:r>
    </w:p>
    <w:p w:rsidR="0073077E" w:rsidRPr="004C3772" w:rsidRDefault="0073077E" w:rsidP="0073077E">
      <w:pPr>
        <w:rPr>
          <w:rFonts w:asciiTheme="minorHAnsi" w:hAnsiTheme="minorHAnsi"/>
        </w:rPr>
      </w:pPr>
      <w:r w:rsidRPr="004C3772">
        <w:rPr>
          <w:rFonts w:asciiTheme="minorHAnsi" w:hAnsiTheme="minorHAnsi"/>
        </w:rPr>
        <w:tab/>
        <w:t>Zaleca się, ażeby rekultywację gruntu prowadzić bezpośrednio po zakończeniu robót drogowych i zakończyć ją nie później niż w ciągu 4 lat. Już w toku prac geologiczno-badawczych, w związku z budową lub przebudową drogi, należy ustalić przydatność i charakterystykę gleboznawczą gruntów, ich toksyczność i właściwości fizykochemiczne.</w:t>
      </w:r>
    </w:p>
    <w:p w:rsidR="0073077E" w:rsidRPr="004C3772" w:rsidRDefault="0073077E" w:rsidP="0073077E">
      <w:pPr>
        <w:rPr>
          <w:rFonts w:asciiTheme="minorHAnsi" w:hAnsiTheme="minorHAnsi"/>
        </w:rPr>
      </w:pPr>
      <w:r w:rsidRPr="004C3772">
        <w:rPr>
          <w:rFonts w:asciiTheme="minorHAnsi" w:hAnsiTheme="minorHAnsi"/>
          <w:b/>
        </w:rPr>
        <w:t>1.8.</w:t>
      </w:r>
      <w:r w:rsidRPr="004C3772">
        <w:rPr>
          <w:rFonts w:asciiTheme="minorHAnsi" w:hAnsiTheme="minorHAnsi"/>
        </w:rPr>
        <w:t xml:space="preserve"> Fazy przeprowadzania rekultywacji na większych obszarach</w:t>
      </w:r>
    </w:p>
    <w:p w:rsidR="0073077E" w:rsidRPr="004C3772" w:rsidRDefault="0073077E" w:rsidP="0073077E">
      <w:pPr>
        <w:rPr>
          <w:rFonts w:asciiTheme="minorHAnsi" w:hAnsiTheme="minorHAnsi"/>
        </w:rPr>
      </w:pPr>
      <w:r w:rsidRPr="004C3772">
        <w:rPr>
          <w:rFonts w:asciiTheme="minorHAnsi" w:hAnsiTheme="minorHAnsi"/>
        </w:rPr>
        <w:tab/>
        <w:t>Rekultywację gruntów na większych obszarach należy prowadzić w trzech fazach: przygotowawczej, podstawowej i szczegółowej.</w:t>
      </w:r>
    </w:p>
    <w:p w:rsidR="0073077E" w:rsidRPr="004C3772" w:rsidRDefault="0073077E" w:rsidP="0073077E">
      <w:pPr>
        <w:rPr>
          <w:rFonts w:asciiTheme="minorHAnsi" w:hAnsiTheme="minorHAnsi"/>
        </w:rPr>
      </w:pPr>
      <w:r w:rsidRPr="004C3772">
        <w:rPr>
          <w:rFonts w:asciiTheme="minorHAnsi" w:hAnsiTheme="minorHAnsi"/>
          <w:b/>
        </w:rPr>
        <w:t>I.</w:t>
      </w:r>
      <w:r w:rsidRPr="004C3772">
        <w:rPr>
          <w:rFonts w:asciiTheme="minorHAnsi" w:hAnsiTheme="minorHAnsi"/>
        </w:rPr>
        <w:t xml:space="preserve">  Faza przygotowawcza obejmuje zbieranie danych potrzebnych do wykonania projektu rekultywacji, w tym:</w:t>
      </w:r>
    </w:p>
    <w:p w:rsidR="0073077E" w:rsidRPr="004C3772" w:rsidRDefault="0073077E" w:rsidP="0073077E">
      <w:pPr>
        <w:rPr>
          <w:rFonts w:asciiTheme="minorHAnsi" w:hAnsiTheme="minorHAnsi"/>
        </w:rPr>
      </w:pPr>
      <w:r w:rsidRPr="004C3772">
        <w:rPr>
          <w:rFonts w:asciiTheme="minorHAnsi" w:hAnsiTheme="minorHAnsi"/>
        </w:rPr>
        <w:t>rozpoznanie czynników warunkujących prawidłowość rozwiązań w zakresie  rekultywacji i zagospodarowania z:</w:t>
      </w:r>
    </w:p>
    <w:p w:rsidR="0073077E" w:rsidRPr="004C3772" w:rsidRDefault="0073077E" w:rsidP="0073077E">
      <w:pPr>
        <w:rPr>
          <w:rFonts w:asciiTheme="minorHAnsi" w:hAnsiTheme="minorHAnsi"/>
        </w:rPr>
      </w:pPr>
      <w:r w:rsidRPr="004C3772">
        <w:rPr>
          <w:rFonts w:asciiTheme="minorHAnsi" w:hAnsiTheme="minorHAnsi"/>
        </w:rPr>
        <w:t>-określeniem typu, rodzaju i klasy gruntów (gleb) oraz oceną ich przydatności rolniczej,</w:t>
      </w:r>
    </w:p>
    <w:p w:rsidR="0073077E" w:rsidRPr="004C3772" w:rsidRDefault="0073077E" w:rsidP="0073077E">
      <w:pPr>
        <w:rPr>
          <w:rFonts w:asciiTheme="minorHAnsi" w:hAnsiTheme="minorHAnsi"/>
        </w:rPr>
      </w:pPr>
      <w:r w:rsidRPr="004C3772">
        <w:rPr>
          <w:rFonts w:asciiTheme="minorHAnsi" w:hAnsiTheme="minorHAnsi"/>
        </w:rPr>
        <w:t>-zestawieniem informacji przestrzennych dotyczących przyległych obszarów rolniczych i leśnych,</w:t>
      </w:r>
    </w:p>
    <w:p w:rsidR="0073077E" w:rsidRPr="004C3772" w:rsidRDefault="0073077E" w:rsidP="0073077E">
      <w:pPr>
        <w:rPr>
          <w:rFonts w:asciiTheme="minorHAnsi" w:hAnsiTheme="minorHAnsi"/>
        </w:rPr>
      </w:pPr>
      <w:r w:rsidRPr="004C3772">
        <w:rPr>
          <w:rFonts w:asciiTheme="minorHAnsi" w:hAnsiTheme="minorHAnsi"/>
        </w:rPr>
        <w:t>-zebraniem danych meteorologicznych;</w:t>
      </w:r>
    </w:p>
    <w:p w:rsidR="0073077E" w:rsidRPr="004C3772" w:rsidRDefault="0073077E" w:rsidP="0073077E">
      <w:pPr>
        <w:rPr>
          <w:rFonts w:asciiTheme="minorHAnsi" w:hAnsiTheme="minorHAnsi"/>
        </w:rPr>
      </w:pPr>
      <w:r w:rsidRPr="004C3772">
        <w:rPr>
          <w:rFonts w:asciiTheme="minorHAnsi" w:hAnsiTheme="minorHAnsi"/>
        </w:rPr>
        <w:t>-ustalenie kierunków zagospodarowania gruntów, odpowiednio do ich wartości użytkowej (kierunki: rolny, leśny, rekreacyjny oraz jako użytek ekologiczny);</w:t>
      </w:r>
    </w:p>
    <w:p w:rsidR="0073077E" w:rsidRPr="004C3772" w:rsidRDefault="0073077E" w:rsidP="0073077E">
      <w:pPr>
        <w:rPr>
          <w:rFonts w:asciiTheme="minorHAnsi" w:hAnsiTheme="minorHAnsi"/>
        </w:rPr>
      </w:pPr>
      <w:r w:rsidRPr="004C3772">
        <w:rPr>
          <w:rFonts w:asciiTheme="minorHAnsi" w:hAnsiTheme="minorHAnsi"/>
        </w:rPr>
        <w:t>-wprowadzenie do założeń inwestycji lub dokumentacji uproszczonej ustaleń dotyczących rekultywacji i zagospodarowania gruntów.</w:t>
      </w:r>
    </w:p>
    <w:p w:rsidR="0073077E" w:rsidRPr="004C3772" w:rsidRDefault="0073077E" w:rsidP="0073077E">
      <w:pPr>
        <w:rPr>
          <w:rFonts w:asciiTheme="minorHAnsi" w:hAnsiTheme="minorHAnsi"/>
        </w:rPr>
      </w:pPr>
      <w:r w:rsidRPr="004C3772">
        <w:rPr>
          <w:rFonts w:asciiTheme="minorHAnsi" w:hAnsiTheme="minorHAnsi"/>
          <w:b/>
        </w:rPr>
        <w:t>II.</w:t>
      </w:r>
      <w:r w:rsidRPr="004C3772">
        <w:rPr>
          <w:rFonts w:asciiTheme="minorHAnsi" w:hAnsiTheme="minorHAnsi"/>
        </w:rPr>
        <w:t xml:space="preserve">  Faza rekultywacji podstawowej jest związana z budową, przebudową lub użytkowaniem dróg; dotyczy całego obszaru strefy oddziaływania drogi i obejmuje:</w:t>
      </w:r>
    </w:p>
    <w:p w:rsidR="0073077E" w:rsidRPr="004C3772" w:rsidRDefault="0073077E" w:rsidP="0073077E">
      <w:pPr>
        <w:rPr>
          <w:rFonts w:asciiTheme="minorHAnsi" w:hAnsiTheme="minorHAnsi"/>
        </w:rPr>
      </w:pPr>
      <w:r w:rsidRPr="004C3772">
        <w:rPr>
          <w:rFonts w:asciiTheme="minorHAnsi" w:hAnsiTheme="minorHAnsi"/>
          <w:b/>
        </w:rPr>
        <w:t>a.</w:t>
      </w:r>
      <w:r w:rsidRPr="004C3772">
        <w:rPr>
          <w:rFonts w:asciiTheme="minorHAnsi" w:hAnsiTheme="minorHAnsi"/>
        </w:rPr>
        <w:t xml:space="preserve"> ukształtowanie rzeźby terenu oraz uregulowanie stosunków wodnych w strefie oddziaływania drogi, przy czym:</w:t>
      </w:r>
    </w:p>
    <w:p w:rsidR="0073077E" w:rsidRPr="004C3772" w:rsidRDefault="0073077E" w:rsidP="0073077E">
      <w:pPr>
        <w:rPr>
          <w:rFonts w:asciiTheme="minorHAnsi" w:hAnsiTheme="minorHAnsi"/>
        </w:rPr>
      </w:pPr>
      <w:r w:rsidRPr="004C3772">
        <w:rPr>
          <w:rFonts w:asciiTheme="minorHAnsi" w:hAnsiTheme="minorHAnsi"/>
        </w:rPr>
        <w:t>-powierzchnię terenu należy ukształtować tak, aby nie różnicowała procesów glebotwórczych,</w:t>
      </w:r>
    </w:p>
    <w:p w:rsidR="0073077E" w:rsidRPr="004C3772" w:rsidRDefault="0073077E" w:rsidP="0073077E">
      <w:pPr>
        <w:rPr>
          <w:rFonts w:asciiTheme="minorHAnsi" w:hAnsiTheme="minorHAnsi"/>
        </w:rPr>
      </w:pPr>
      <w:r w:rsidRPr="004C3772">
        <w:rPr>
          <w:rFonts w:asciiTheme="minorHAnsi" w:hAnsiTheme="minorHAnsi"/>
        </w:rPr>
        <w:t>-z podobną intencją zaplanować również prace melioracyjne;</w:t>
      </w:r>
    </w:p>
    <w:p w:rsidR="0073077E" w:rsidRPr="004C3772" w:rsidRDefault="0073077E" w:rsidP="0073077E">
      <w:pPr>
        <w:rPr>
          <w:rFonts w:asciiTheme="minorHAnsi" w:hAnsiTheme="minorHAnsi"/>
        </w:rPr>
      </w:pPr>
      <w:r w:rsidRPr="004C3772">
        <w:rPr>
          <w:rFonts w:asciiTheme="minorHAnsi" w:hAnsiTheme="minorHAnsi"/>
          <w:b/>
        </w:rPr>
        <w:t>b.</w:t>
      </w:r>
      <w:r w:rsidRPr="004C3772">
        <w:rPr>
          <w:rFonts w:asciiTheme="minorHAnsi" w:hAnsiTheme="minorHAnsi"/>
        </w:rPr>
        <w:t xml:space="preserve"> badania profilu glebowego, składu granulometrycznego, określenie stopnia zanieczyszczenia gruntów oraz analizę zawartości próchnicy, przy czym:</w:t>
      </w:r>
    </w:p>
    <w:p w:rsidR="0073077E" w:rsidRPr="004C3772" w:rsidRDefault="0073077E" w:rsidP="0073077E">
      <w:pPr>
        <w:rPr>
          <w:rFonts w:asciiTheme="minorHAnsi" w:hAnsiTheme="minorHAnsi"/>
        </w:rPr>
      </w:pPr>
      <w:r w:rsidRPr="004C3772">
        <w:rPr>
          <w:rFonts w:asciiTheme="minorHAnsi" w:hAnsiTheme="minorHAnsi"/>
        </w:rPr>
        <w:t>-pobieranie próbek gruntu musi odbywać się wg przyjętej metodyki z dokładnym zaznaczeniem miejsc pobrania,</w:t>
      </w:r>
    </w:p>
    <w:p w:rsidR="0073077E" w:rsidRPr="004C3772" w:rsidRDefault="0073077E" w:rsidP="0073077E">
      <w:pPr>
        <w:rPr>
          <w:rFonts w:asciiTheme="minorHAnsi" w:hAnsiTheme="minorHAnsi"/>
        </w:rPr>
      </w:pPr>
      <w:r w:rsidRPr="004C3772">
        <w:rPr>
          <w:rFonts w:asciiTheme="minorHAnsi" w:hAnsiTheme="minorHAnsi"/>
        </w:rPr>
        <w:lastRenderedPageBreak/>
        <w:t>-konieczne jest ustalenie metody analiz laboratoryjnych wg celu badań,</w:t>
      </w:r>
    </w:p>
    <w:p w:rsidR="0073077E" w:rsidRPr="004C3772" w:rsidRDefault="0073077E" w:rsidP="0073077E">
      <w:pPr>
        <w:rPr>
          <w:rFonts w:asciiTheme="minorHAnsi" w:hAnsiTheme="minorHAnsi"/>
        </w:rPr>
      </w:pPr>
      <w:r w:rsidRPr="004C3772">
        <w:rPr>
          <w:rFonts w:asciiTheme="minorHAnsi" w:hAnsiTheme="minorHAnsi"/>
        </w:rPr>
        <w:t>-analizy winny być wykonane zgodnie z wybranymi metodami lub metodami stosowanymi przez Instytut Upraw, Nawożenia i Gleboznawstwa w Puławach lub przez okręgowe stacje chemiczno-rolnicze;</w:t>
      </w:r>
    </w:p>
    <w:p w:rsidR="0073077E" w:rsidRPr="004C3772" w:rsidRDefault="0073077E" w:rsidP="0073077E">
      <w:pPr>
        <w:rPr>
          <w:rFonts w:asciiTheme="minorHAnsi" w:hAnsiTheme="minorHAnsi"/>
        </w:rPr>
      </w:pPr>
      <w:r w:rsidRPr="004C3772">
        <w:rPr>
          <w:rFonts w:asciiTheme="minorHAnsi" w:hAnsiTheme="minorHAnsi"/>
          <w:b/>
        </w:rPr>
        <w:t>c.</w:t>
      </w:r>
      <w:r w:rsidRPr="004C3772">
        <w:rPr>
          <w:rFonts w:asciiTheme="minorHAnsi" w:hAnsiTheme="minorHAnsi"/>
        </w:rPr>
        <w:t xml:space="preserve"> wykorzystanie wartościowych gruntów przydrożnych w celach rolniczych, leśnych lub innych, w tym w szczególności:</w:t>
      </w:r>
    </w:p>
    <w:p w:rsidR="0073077E" w:rsidRPr="004C3772" w:rsidRDefault="0073077E" w:rsidP="0073077E">
      <w:pPr>
        <w:rPr>
          <w:rFonts w:asciiTheme="minorHAnsi" w:hAnsiTheme="minorHAnsi"/>
        </w:rPr>
      </w:pPr>
      <w:r w:rsidRPr="004C3772">
        <w:rPr>
          <w:rFonts w:asciiTheme="minorHAnsi" w:hAnsiTheme="minorHAnsi"/>
        </w:rPr>
        <w:t>-poprawa struktury fizycznej gruntów piaszczystych, piaszczysto-gliniastych oraz żwirów piaszczystych przez dodatek materiałów ilastych celem zwiększenia zdolności retencji wodnej i sorpcji składników pokarmowych; do tego celu wykorzystuje się miejscowe zasoby gliny, iłów czy lessu,</w:t>
      </w:r>
    </w:p>
    <w:p w:rsidR="0073077E" w:rsidRPr="004C3772" w:rsidRDefault="0073077E" w:rsidP="0073077E">
      <w:pPr>
        <w:rPr>
          <w:rFonts w:asciiTheme="minorHAnsi" w:hAnsiTheme="minorHAnsi"/>
        </w:rPr>
      </w:pPr>
      <w:r w:rsidRPr="004C3772">
        <w:rPr>
          <w:rFonts w:asciiTheme="minorHAnsi" w:hAnsiTheme="minorHAnsi"/>
        </w:rPr>
        <w:t>-przywrócenie żyzności gruntu jałowego metodami rekultywacji biologicznej i chemicznej, np. przez wymieszanie gruntu z substancją organiczną i nawozami sztucznymi,</w:t>
      </w:r>
    </w:p>
    <w:p w:rsidR="0073077E" w:rsidRPr="004C3772" w:rsidRDefault="0073077E" w:rsidP="0073077E">
      <w:pPr>
        <w:rPr>
          <w:rFonts w:asciiTheme="minorHAnsi" w:hAnsiTheme="minorHAnsi"/>
        </w:rPr>
      </w:pPr>
      <w:r w:rsidRPr="004C3772">
        <w:rPr>
          <w:rFonts w:asciiTheme="minorHAnsi" w:hAnsiTheme="minorHAnsi"/>
        </w:rPr>
        <w:t>-odtworzenie żyzności gleb metodami agrotechnicznymi,</w:t>
      </w:r>
    </w:p>
    <w:p w:rsidR="0073077E" w:rsidRPr="004C3772" w:rsidRDefault="0073077E" w:rsidP="0073077E">
      <w:pPr>
        <w:rPr>
          <w:rFonts w:asciiTheme="minorHAnsi" w:hAnsiTheme="minorHAnsi"/>
        </w:rPr>
      </w:pPr>
      <w:r w:rsidRPr="004C3772">
        <w:rPr>
          <w:rFonts w:asciiTheme="minorHAnsi" w:hAnsiTheme="minorHAnsi"/>
        </w:rPr>
        <w:t>-przeprowadzenie neutralizacji lub skutecznej izolacji substancji toksycznych w glebie lub gruncie;</w:t>
      </w:r>
    </w:p>
    <w:p w:rsidR="0073077E" w:rsidRPr="004C3772" w:rsidRDefault="0073077E" w:rsidP="0073077E">
      <w:pPr>
        <w:rPr>
          <w:rFonts w:asciiTheme="minorHAnsi" w:hAnsiTheme="minorHAnsi"/>
        </w:rPr>
      </w:pPr>
      <w:r w:rsidRPr="004C3772">
        <w:rPr>
          <w:rFonts w:asciiTheme="minorHAnsi" w:hAnsiTheme="minorHAnsi"/>
          <w:b/>
        </w:rPr>
        <w:t>III.</w:t>
      </w:r>
      <w:r w:rsidRPr="004C3772">
        <w:rPr>
          <w:rFonts w:asciiTheme="minorHAnsi" w:hAnsiTheme="minorHAnsi"/>
        </w:rPr>
        <w:t xml:space="preserve"> Faza rekultywacji szczegółowej obejmuje konkretną działalność przy budowie, modernizacji lub utrzymaniu dróg; dotyczy jednorodnych glebowo wycinków pasa drogowego; polega na:</w:t>
      </w:r>
    </w:p>
    <w:p w:rsidR="0073077E" w:rsidRPr="004C3772" w:rsidRDefault="0073077E" w:rsidP="0073077E">
      <w:pPr>
        <w:rPr>
          <w:rFonts w:asciiTheme="minorHAnsi" w:hAnsiTheme="minorHAnsi"/>
        </w:rPr>
      </w:pPr>
      <w:r w:rsidRPr="004C3772">
        <w:rPr>
          <w:rFonts w:asciiTheme="minorHAnsi" w:hAnsiTheme="minorHAnsi"/>
          <w:b/>
        </w:rPr>
        <w:t>a.</w:t>
      </w:r>
      <w:r w:rsidRPr="004C3772">
        <w:rPr>
          <w:rFonts w:asciiTheme="minorHAnsi" w:hAnsiTheme="minorHAnsi"/>
        </w:rPr>
        <w:t xml:space="preserve"> regulacji warunków hydrologicznych, przy czym:</w:t>
      </w:r>
    </w:p>
    <w:p w:rsidR="0073077E" w:rsidRPr="004C3772" w:rsidRDefault="0073077E" w:rsidP="0073077E">
      <w:pPr>
        <w:rPr>
          <w:rFonts w:asciiTheme="minorHAnsi" w:hAnsiTheme="minorHAnsi"/>
        </w:rPr>
      </w:pPr>
      <w:r w:rsidRPr="004C3772">
        <w:rPr>
          <w:rFonts w:asciiTheme="minorHAnsi" w:hAnsiTheme="minorHAnsi"/>
        </w:rPr>
        <w:t>-grunty podlegające rekultywacji powinny być zmeliorowane tak, aby okresowy lub stały nadmiar lub niedostatek wody nie ograniczał rozwoju procesów glebotwórczych oraz nie pogarszał warunków wegetacji,</w:t>
      </w:r>
    </w:p>
    <w:p w:rsidR="0073077E" w:rsidRPr="004C3772" w:rsidRDefault="0073077E" w:rsidP="0073077E">
      <w:pPr>
        <w:rPr>
          <w:rFonts w:asciiTheme="minorHAnsi" w:hAnsiTheme="minorHAnsi"/>
        </w:rPr>
      </w:pPr>
      <w:r w:rsidRPr="004C3772">
        <w:rPr>
          <w:rFonts w:asciiTheme="minorHAnsi" w:hAnsiTheme="minorHAnsi"/>
        </w:rPr>
        <w:t>-należy dążyć do ujednolicenia składu granulometrycznego w powierzchniowej warstwie gruntu przez głęboką orkę w ciągu kilku kolejnych lat;</w:t>
      </w:r>
    </w:p>
    <w:p w:rsidR="0073077E" w:rsidRPr="004C3772" w:rsidRDefault="0073077E" w:rsidP="0073077E">
      <w:pPr>
        <w:rPr>
          <w:rFonts w:asciiTheme="minorHAnsi" w:hAnsiTheme="minorHAnsi"/>
        </w:rPr>
      </w:pPr>
      <w:r w:rsidRPr="004C3772">
        <w:rPr>
          <w:rFonts w:asciiTheme="minorHAnsi" w:hAnsiTheme="minorHAnsi"/>
          <w:b/>
        </w:rPr>
        <w:t>b.</w:t>
      </w:r>
      <w:r w:rsidRPr="004C3772">
        <w:rPr>
          <w:rFonts w:asciiTheme="minorHAnsi" w:hAnsiTheme="minorHAnsi"/>
        </w:rPr>
        <w:t xml:space="preserve"> neutralizacji utworów toksycznych i użyźnieniu gruntów jałowych przez ulepszenie fizykochemicznych i chemicznych właściwości gruntów, pamiętając że:</w:t>
      </w:r>
    </w:p>
    <w:p w:rsidR="0073077E" w:rsidRPr="004C3772" w:rsidRDefault="0073077E" w:rsidP="0073077E">
      <w:pPr>
        <w:rPr>
          <w:rFonts w:asciiTheme="minorHAnsi" w:hAnsiTheme="minorHAnsi"/>
        </w:rPr>
      </w:pPr>
      <w:r w:rsidRPr="004C3772">
        <w:rPr>
          <w:rFonts w:asciiTheme="minorHAnsi" w:hAnsiTheme="minorHAnsi"/>
        </w:rPr>
        <w:t>-grunty silnie oglejone wpływają niekorzystnie na system korzeniowy, dopóki nie zostaną odpowiednio natlenione (głęboka orka i obojętny odczyn przyspieszają proces natleniania),</w:t>
      </w:r>
    </w:p>
    <w:p w:rsidR="0073077E" w:rsidRPr="004C3772" w:rsidRDefault="0073077E" w:rsidP="0073077E">
      <w:pPr>
        <w:rPr>
          <w:rFonts w:asciiTheme="minorHAnsi" w:hAnsiTheme="minorHAnsi"/>
        </w:rPr>
      </w:pPr>
      <w:r w:rsidRPr="004C3772">
        <w:rPr>
          <w:rFonts w:asciiTheme="minorHAnsi" w:hAnsiTheme="minorHAnsi"/>
        </w:rPr>
        <w:t xml:space="preserve">-grunty kwaśne należy zneutralizować stosując wapno nawozowe lub popiół z węgla brunatnego i kamiennego, które należy wymieszać z gruntem do takiej głębokości, na jaką pozwalają środki techniczne (min. </w:t>
      </w:r>
      <w:smartTag w:uri="urn:schemas-microsoft-com:office:smarttags" w:element="metricconverter">
        <w:smartTagPr>
          <w:attr w:name="ProductID" w:val="20 cm"/>
        </w:smartTagPr>
        <w:r w:rsidRPr="004C3772">
          <w:rPr>
            <w:rFonts w:asciiTheme="minorHAnsi" w:hAnsiTheme="minorHAnsi"/>
          </w:rPr>
          <w:t>20 cm</w:t>
        </w:r>
      </w:smartTag>
      <w:r w:rsidRPr="004C3772">
        <w:rPr>
          <w:rFonts w:asciiTheme="minorHAnsi" w:hAnsiTheme="minorHAnsi"/>
        </w:rPr>
        <w:t>),</w:t>
      </w:r>
    </w:p>
    <w:p w:rsidR="0073077E" w:rsidRPr="004C3772" w:rsidRDefault="0073077E" w:rsidP="0073077E">
      <w:pPr>
        <w:rPr>
          <w:rFonts w:asciiTheme="minorHAnsi" w:hAnsiTheme="minorHAnsi"/>
        </w:rPr>
      </w:pPr>
      <w:r w:rsidRPr="004C3772">
        <w:rPr>
          <w:rFonts w:asciiTheme="minorHAnsi" w:hAnsiTheme="minorHAnsi"/>
        </w:rPr>
        <w:t xml:space="preserve">-grunty działające toksycznie na system korzeniowy można izolować warstwą nawiezionego humusu o grubości </w:t>
      </w:r>
      <w:smartTag w:uri="urn:schemas-microsoft-com:office:smarttags" w:element="metricconverter">
        <w:smartTagPr>
          <w:attr w:name="ProductID" w:val="50 cm"/>
        </w:smartTagPr>
        <w:r w:rsidRPr="004C3772">
          <w:rPr>
            <w:rFonts w:asciiTheme="minorHAnsi" w:hAnsiTheme="minorHAnsi"/>
          </w:rPr>
          <w:t>50 cm</w:t>
        </w:r>
      </w:smartTag>
      <w:r w:rsidRPr="004C3772">
        <w:rPr>
          <w:rFonts w:asciiTheme="minorHAnsi" w:hAnsiTheme="minorHAnsi"/>
        </w:rPr>
        <w:t xml:space="preserve"> (lub </w:t>
      </w:r>
      <w:smartTag w:uri="urn:schemas-microsoft-com:office:smarttags" w:element="metricconverter">
        <w:smartTagPr>
          <w:attr w:name="ProductID" w:val="70 cm"/>
        </w:smartTagPr>
        <w:r w:rsidRPr="004C3772">
          <w:rPr>
            <w:rFonts w:asciiTheme="minorHAnsi" w:hAnsiTheme="minorHAnsi"/>
          </w:rPr>
          <w:t>70 cm</w:t>
        </w:r>
      </w:smartTag>
      <w:r w:rsidRPr="004C3772">
        <w:rPr>
          <w:rFonts w:asciiTheme="minorHAnsi" w:hAnsiTheme="minorHAnsi"/>
        </w:rPr>
        <w:t xml:space="preserve"> w przypadku szerokości pasa zatrutego większej od </w:t>
      </w:r>
      <w:smartTag w:uri="urn:schemas-microsoft-com:office:smarttags" w:element="metricconverter">
        <w:smartTagPr>
          <w:attr w:name="ProductID" w:val="4 m"/>
        </w:smartTagPr>
        <w:r w:rsidRPr="004C3772">
          <w:rPr>
            <w:rFonts w:asciiTheme="minorHAnsi" w:hAnsiTheme="minorHAnsi"/>
          </w:rPr>
          <w:t>4 m</w:t>
        </w:r>
      </w:smartTag>
      <w:r w:rsidRPr="004C3772">
        <w:rPr>
          <w:rFonts w:asciiTheme="minorHAnsi" w:hAnsiTheme="minorHAnsi"/>
        </w:rPr>
        <w:t>), przy czym należy wykonać izolację obu warstw przez ułożenie grubej (</w:t>
      </w:r>
      <w:smartTag w:uri="urn:schemas-microsoft-com:office:smarttags" w:element="metricconverter">
        <w:smartTagPr>
          <w:attr w:name="ProductID" w:val="0,2 mm"/>
        </w:smartTagPr>
        <w:r w:rsidRPr="004C3772">
          <w:rPr>
            <w:rFonts w:asciiTheme="minorHAnsi" w:hAnsiTheme="minorHAnsi"/>
          </w:rPr>
          <w:t>0,2 mm</w:t>
        </w:r>
      </w:smartTag>
      <w:r w:rsidRPr="004C3772">
        <w:rPr>
          <w:rFonts w:asciiTheme="minorHAnsi" w:hAnsiTheme="minorHAnsi"/>
        </w:rPr>
        <w:t>) folii polietylenowej,</w:t>
      </w:r>
    </w:p>
    <w:p w:rsidR="0073077E" w:rsidRPr="004C3772" w:rsidRDefault="0073077E" w:rsidP="0073077E">
      <w:pPr>
        <w:rPr>
          <w:rFonts w:asciiTheme="minorHAnsi" w:hAnsiTheme="minorHAnsi"/>
        </w:rPr>
      </w:pPr>
      <w:r w:rsidRPr="004C3772">
        <w:rPr>
          <w:rFonts w:asciiTheme="minorHAnsi" w:hAnsiTheme="minorHAnsi"/>
        </w:rPr>
        <w:t>-odpowiednio do potrzeb i możliwości stosuje się różne dawki organicznych substancji użyźniających,</w:t>
      </w:r>
    </w:p>
    <w:p w:rsidR="0073077E" w:rsidRPr="004C3772" w:rsidRDefault="0073077E" w:rsidP="0073077E">
      <w:pPr>
        <w:rPr>
          <w:rFonts w:asciiTheme="minorHAnsi" w:hAnsiTheme="minorHAnsi"/>
        </w:rPr>
      </w:pPr>
      <w:r w:rsidRPr="004C3772">
        <w:rPr>
          <w:rFonts w:asciiTheme="minorHAnsi" w:hAnsiTheme="minorHAnsi"/>
        </w:rPr>
        <w:t>-w przypadku, gdy nie stosowano dodatkowego próchnicowania, grunt należy obsiać roślinami motylkowymi (łubin, seredela, wyka, peluszka, facelia) i 2-3 pierwsze plony przyorać na nawóz zielony;</w:t>
      </w:r>
    </w:p>
    <w:p w:rsidR="0073077E" w:rsidRPr="004C3772" w:rsidRDefault="0073077E" w:rsidP="0073077E">
      <w:pPr>
        <w:rPr>
          <w:rFonts w:asciiTheme="minorHAnsi" w:hAnsiTheme="minorHAnsi"/>
        </w:rPr>
      </w:pPr>
      <w:r w:rsidRPr="004C3772">
        <w:rPr>
          <w:rFonts w:asciiTheme="minorHAnsi" w:hAnsiTheme="minorHAnsi"/>
          <w:b/>
        </w:rPr>
        <w:t>c.</w:t>
      </w:r>
      <w:r w:rsidRPr="004C3772">
        <w:rPr>
          <w:rFonts w:asciiTheme="minorHAnsi" w:hAnsiTheme="minorHAnsi"/>
        </w:rPr>
        <w:t xml:space="preserve"> wprowadzeniu roślinności hamującej erozję i odtwarzającej warunki biologiczne; w tym celu dobór gatunków i terminy siewu roślin muszą być starannie dostosowane do konkretnych warunków, a w przypadku niebezpieczeństwa rozmycia zrekultywowanych gruntów należy stosować roślinność szybko osłaniającą powierzchnię przed mechanicznym działaniem deszczu i promieni słonecznych;</w:t>
      </w:r>
    </w:p>
    <w:p w:rsidR="0073077E" w:rsidRPr="004C3772" w:rsidRDefault="0073077E" w:rsidP="0073077E">
      <w:pPr>
        <w:rPr>
          <w:rFonts w:asciiTheme="minorHAnsi" w:hAnsiTheme="minorHAnsi"/>
        </w:rPr>
      </w:pPr>
      <w:r w:rsidRPr="004C3772">
        <w:rPr>
          <w:rFonts w:asciiTheme="minorHAnsi" w:hAnsiTheme="minorHAnsi"/>
          <w:b/>
        </w:rPr>
        <w:t>d.</w:t>
      </w:r>
      <w:r w:rsidRPr="004C3772">
        <w:rPr>
          <w:rFonts w:asciiTheme="minorHAnsi" w:hAnsiTheme="minorHAnsi"/>
        </w:rPr>
        <w:t xml:space="preserve"> zabudowie biologicznej lub biologiczno-technicznej skarp;</w:t>
      </w:r>
    </w:p>
    <w:p w:rsidR="0073077E" w:rsidRPr="004C3772" w:rsidRDefault="0073077E" w:rsidP="0073077E">
      <w:pPr>
        <w:rPr>
          <w:rFonts w:asciiTheme="minorHAnsi" w:hAnsiTheme="minorHAnsi"/>
        </w:rPr>
      </w:pPr>
      <w:r w:rsidRPr="004C3772">
        <w:rPr>
          <w:rFonts w:asciiTheme="minorHAnsi" w:hAnsiTheme="minorHAnsi"/>
          <w:b/>
        </w:rPr>
        <w:t>e.</w:t>
      </w:r>
      <w:r w:rsidRPr="004C3772">
        <w:rPr>
          <w:rFonts w:asciiTheme="minorHAnsi" w:hAnsiTheme="minorHAnsi"/>
        </w:rPr>
        <w:t xml:space="preserve"> pielęgnacji, tj. spulchnianiu powierzchni gruntu w celu ułatwienia kiełkowania nasion i przeciwdziałania silnemu zaskorupieniu się powierzchni gruntu, ściółkowaniu, podlewaniu, mulczowaniu, nawożeniu, stosowaniu oprysków selektywnymi środkami chwastobójczymi, koszeniu itp.;</w:t>
      </w:r>
    </w:p>
    <w:p w:rsidR="0073077E" w:rsidRPr="004C3772" w:rsidRDefault="0073077E" w:rsidP="0073077E">
      <w:pPr>
        <w:rPr>
          <w:rFonts w:asciiTheme="minorHAnsi" w:hAnsiTheme="minorHAnsi"/>
        </w:rPr>
      </w:pPr>
      <w:r w:rsidRPr="004C3772">
        <w:rPr>
          <w:rFonts w:asciiTheme="minorHAnsi" w:hAnsiTheme="minorHAnsi"/>
          <w:b/>
        </w:rPr>
        <w:t>f.</w:t>
      </w:r>
      <w:r w:rsidRPr="004C3772">
        <w:rPr>
          <w:rFonts w:asciiTheme="minorHAnsi" w:hAnsiTheme="minorHAnsi"/>
        </w:rPr>
        <w:t xml:space="preserve"> prowadzeniu monitoringu jakości gruntów i stanu roślinności;</w:t>
      </w:r>
    </w:p>
    <w:p w:rsidR="0073077E" w:rsidRPr="004C3772" w:rsidRDefault="0073077E" w:rsidP="0073077E">
      <w:pPr>
        <w:rPr>
          <w:rFonts w:asciiTheme="minorHAnsi" w:hAnsiTheme="minorHAnsi"/>
        </w:rPr>
      </w:pPr>
      <w:r w:rsidRPr="004C3772">
        <w:rPr>
          <w:rFonts w:asciiTheme="minorHAnsi" w:hAnsiTheme="minorHAnsi"/>
          <w:b/>
        </w:rPr>
        <w:t>g.</w:t>
      </w:r>
      <w:r w:rsidRPr="004C3772">
        <w:rPr>
          <w:rFonts w:asciiTheme="minorHAnsi" w:hAnsiTheme="minorHAnsi"/>
        </w:rPr>
        <w:t xml:space="preserve"> całkowitym usunięciu gruntu na głębokość stwierdzonej toksyczności w sytuacjach wystąpienia wysokiego poziomu zawartości substancji niebezpiecznych w gruncie, jakie mogą się zdarzyć np. w wyniku awarii.</w:t>
      </w:r>
    </w:p>
    <w:p w:rsidR="0073077E" w:rsidRPr="004C3772" w:rsidRDefault="0073077E" w:rsidP="0073077E">
      <w:pPr>
        <w:ind w:firstLine="708"/>
        <w:rPr>
          <w:rFonts w:asciiTheme="minorHAnsi" w:hAnsiTheme="minorHAnsi"/>
        </w:rPr>
      </w:pPr>
      <w:r w:rsidRPr="004C3772">
        <w:rPr>
          <w:rFonts w:asciiTheme="minorHAnsi" w:hAnsiTheme="minorHAnsi"/>
        </w:rPr>
        <w:t>Do oceny stopnia (skuteczności) rekultywacji gruntu po opisanych wyżej zabiegach stosuje się wskaźniki zawartości próchnicy odwrócone względem stopnia degradacji:</w:t>
      </w:r>
    </w:p>
    <w:p w:rsidR="0073077E" w:rsidRPr="004C3772" w:rsidRDefault="0073077E" w:rsidP="0073077E">
      <w:pPr>
        <w:rPr>
          <w:rFonts w:asciiTheme="minorHAnsi" w:hAnsiTheme="minorHAnsi"/>
        </w:rPr>
      </w:pPr>
      <w:r w:rsidRPr="004C3772">
        <w:rPr>
          <w:rFonts w:asciiTheme="minorHAnsi" w:hAnsiTheme="minorHAnsi"/>
        </w:rPr>
        <w:t>-grunty jałowe</w:t>
      </w:r>
      <w:r w:rsidRPr="004C3772">
        <w:rPr>
          <w:rFonts w:asciiTheme="minorHAnsi" w:hAnsiTheme="minorHAnsi"/>
        </w:rPr>
        <w:tab/>
      </w:r>
      <w:r w:rsidRPr="004C3772">
        <w:rPr>
          <w:rFonts w:asciiTheme="minorHAnsi" w:hAnsiTheme="minorHAnsi"/>
        </w:rPr>
        <w:tab/>
      </w:r>
      <w:r w:rsidRPr="004C3772">
        <w:rPr>
          <w:rFonts w:asciiTheme="minorHAnsi" w:hAnsiTheme="minorHAnsi"/>
        </w:rPr>
        <w:tab/>
      </w:r>
      <w:r w:rsidRPr="004C3772">
        <w:rPr>
          <w:rFonts w:asciiTheme="minorHAnsi" w:hAnsiTheme="minorHAnsi"/>
        </w:rPr>
        <w:tab/>
        <w:t>- do 10 t/ha,</w:t>
      </w:r>
    </w:p>
    <w:p w:rsidR="0073077E" w:rsidRPr="004C3772" w:rsidRDefault="0073077E" w:rsidP="0073077E">
      <w:pPr>
        <w:rPr>
          <w:rFonts w:asciiTheme="minorHAnsi" w:hAnsiTheme="minorHAnsi"/>
        </w:rPr>
      </w:pPr>
      <w:r w:rsidRPr="004C3772">
        <w:rPr>
          <w:rFonts w:asciiTheme="minorHAnsi" w:hAnsiTheme="minorHAnsi"/>
        </w:rPr>
        <w:t>-grunty bardzo słabo zrekultywowane</w:t>
      </w:r>
      <w:r w:rsidRPr="004C3772">
        <w:rPr>
          <w:rFonts w:asciiTheme="minorHAnsi" w:hAnsiTheme="minorHAnsi"/>
        </w:rPr>
        <w:tab/>
        <w:t>- 10-20 t/ha (10-</w:t>
      </w:r>
      <w:smartTag w:uri="urn:schemas-microsoft-com:office:smarttags" w:element="metricconverter">
        <w:smartTagPr>
          <w:attr w:name="ProductID" w:val="15 cm"/>
        </w:smartTagPr>
        <w:r w:rsidRPr="004C3772">
          <w:rPr>
            <w:rFonts w:asciiTheme="minorHAnsi" w:hAnsiTheme="minorHAnsi"/>
          </w:rPr>
          <w:t>15 cm</w:t>
        </w:r>
      </w:smartTag>
      <w:r w:rsidRPr="004C3772">
        <w:rPr>
          <w:rFonts w:asciiTheme="minorHAnsi" w:hAnsiTheme="minorHAnsi"/>
        </w:rPr>
        <w:t>),</w:t>
      </w:r>
    </w:p>
    <w:p w:rsidR="0073077E" w:rsidRPr="004C3772" w:rsidRDefault="0073077E" w:rsidP="0073077E">
      <w:pPr>
        <w:rPr>
          <w:rFonts w:asciiTheme="minorHAnsi" w:hAnsiTheme="minorHAnsi"/>
        </w:rPr>
      </w:pPr>
      <w:r w:rsidRPr="004C3772">
        <w:rPr>
          <w:rFonts w:asciiTheme="minorHAnsi" w:hAnsiTheme="minorHAnsi"/>
        </w:rPr>
        <w:t>-grunty  słabo zrekultywowane</w:t>
      </w:r>
      <w:r w:rsidRPr="004C3772">
        <w:rPr>
          <w:rFonts w:asciiTheme="minorHAnsi" w:hAnsiTheme="minorHAnsi"/>
        </w:rPr>
        <w:tab/>
      </w:r>
      <w:r w:rsidRPr="004C3772">
        <w:rPr>
          <w:rFonts w:asciiTheme="minorHAnsi" w:hAnsiTheme="minorHAnsi"/>
        </w:rPr>
        <w:tab/>
        <w:t>- 20-30 t/ha (10-</w:t>
      </w:r>
      <w:smartTag w:uri="urn:schemas-microsoft-com:office:smarttags" w:element="metricconverter">
        <w:smartTagPr>
          <w:attr w:name="ProductID" w:val="15 cm"/>
        </w:smartTagPr>
        <w:r w:rsidRPr="004C3772">
          <w:rPr>
            <w:rFonts w:asciiTheme="minorHAnsi" w:hAnsiTheme="minorHAnsi"/>
          </w:rPr>
          <w:t>15 cm</w:t>
        </w:r>
      </w:smartTag>
      <w:r w:rsidRPr="004C3772">
        <w:rPr>
          <w:rFonts w:asciiTheme="minorHAnsi" w:hAnsiTheme="minorHAnsi"/>
        </w:rPr>
        <w:t>),</w:t>
      </w:r>
    </w:p>
    <w:p w:rsidR="0073077E" w:rsidRPr="004C3772" w:rsidRDefault="0073077E" w:rsidP="0073077E">
      <w:pPr>
        <w:rPr>
          <w:rFonts w:asciiTheme="minorHAnsi" w:hAnsiTheme="minorHAnsi"/>
        </w:rPr>
      </w:pPr>
      <w:r w:rsidRPr="004C3772">
        <w:rPr>
          <w:rFonts w:asciiTheme="minorHAnsi" w:hAnsiTheme="minorHAnsi"/>
        </w:rPr>
        <w:t>-grunty średnio zrekultywowane</w:t>
      </w:r>
      <w:r w:rsidRPr="004C3772">
        <w:rPr>
          <w:rFonts w:asciiTheme="minorHAnsi" w:hAnsiTheme="minorHAnsi"/>
        </w:rPr>
        <w:tab/>
      </w:r>
      <w:r w:rsidRPr="004C3772">
        <w:rPr>
          <w:rFonts w:asciiTheme="minorHAnsi" w:hAnsiTheme="minorHAnsi"/>
        </w:rPr>
        <w:tab/>
        <w:t>- 30-40 t/ha (10-</w:t>
      </w:r>
      <w:smartTag w:uri="urn:schemas-microsoft-com:office:smarttags" w:element="metricconverter">
        <w:smartTagPr>
          <w:attr w:name="ProductID" w:val="20 cm"/>
        </w:smartTagPr>
        <w:r w:rsidRPr="004C3772">
          <w:rPr>
            <w:rFonts w:asciiTheme="minorHAnsi" w:hAnsiTheme="minorHAnsi"/>
          </w:rPr>
          <w:t>20 cm</w:t>
        </w:r>
      </w:smartTag>
      <w:r w:rsidRPr="004C3772">
        <w:rPr>
          <w:rFonts w:asciiTheme="minorHAnsi" w:hAnsiTheme="minorHAnsi"/>
        </w:rPr>
        <w:t>),</w:t>
      </w:r>
    </w:p>
    <w:p w:rsidR="0073077E" w:rsidRPr="004C3772" w:rsidRDefault="0073077E" w:rsidP="0073077E">
      <w:pPr>
        <w:rPr>
          <w:rFonts w:asciiTheme="minorHAnsi" w:hAnsiTheme="minorHAnsi"/>
        </w:rPr>
      </w:pPr>
      <w:r w:rsidRPr="004C3772">
        <w:rPr>
          <w:rFonts w:asciiTheme="minorHAnsi" w:hAnsiTheme="minorHAnsi"/>
        </w:rPr>
        <w:t>-grunty dobrze zrekultywowane</w:t>
      </w:r>
      <w:r w:rsidRPr="004C3772">
        <w:rPr>
          <w:rFonts w:asciiTheme="minorHAnsi" w:hAnsiTheme="minorHAnsi"/>
        </w:rPr>
        <w:tab/>
      </w:r>
      <w:r w:rsidRPr="004C3772">
        <w:rPr>
          <w:rFonts w:asciiTheme="minorHAnsi" w:hAnsiTheme="minorHAnsi"/>
        </w:rPr>
        <w:tab/>
        <w:t>- 40-50 t/ha (20-</w:t>
      </w:r>
      <w:smartTag w:uri="urn:schemas-microsoft-com:office:smarttags" w:element="metricconverter">
        <w:smartTagPr>
          <w:attr w:name="ProductID" w:val="25 cm"/>
        </w:smartTagPr>
        <w:r w:rsidRPr="004C3772">
          <w:rPr>
            <w:rFonts w:asciiTheme="minorHAnsi" w:hAnsiTheme="minorHAnsi"/>
          </w:rPr>
          <w:t>25 cm</w:t>
        </w:r>
      </w:smartTag>
      <w:r w:rsidRPr="004C3772">
        <w:rPr>
          <w:rFonts w:asciiTheme="minorHAnsi" w:hAnsiTheme="minorHAnsi"/>
        </w:rPr>
        <w:t>),</w:t>
      </w:r>
    </w:p>
    <w:p w:rsidR="0073077E" w:rsidRPr="004C3772" w:rsidRDefault="0073077E" w:rsidP="0073077E">
      <w:pPr>
        <w:rPr>
          <w:rFonts w:asciiTheme="minorHAnsi" w:hAnsiTheme="minorHAnsi"/>
        </w:rPr>
      </w:pPr>
      <w:r w:rsidRPr="004C3772">
        <w:rPr>
          <w:rFonts w:asciiTheme="minorHAnsi" w:hAnsiTheme="minorHAnsi"/>
        </w:rPr>
        <w:t>-grunty bardzo dobrze zrekultywowane</w:t>
      </w:r>
      <w:r w:rsidRPr="004C3772">
        <w:rPr>
          <w:rFonts w:asciiTheme="minorHAnsi" w:hAnsiTheme="minorHAnsi"/>
        </w:rPr>
        <w:tab/>
        <w:t xml:space="preserve">- 50-60 t/ha (do </w:t>
      </w:r>
      <w:smartTag w:uri="urn:schemas-microsoft-com:office:smarttags" w:element="metricconverter">
        <w:smartTagPr>
          <w:attr w:name="ProductID" w:val="25 cm"/>
        </w:smartTagPr>
        <w:r w:rsidRPr="004C3772">
          <w:rPr>
            <w:rFonts w:asciiTheme="minorHAnsi" w:hAnsiTheme="minorHAnsi"/>
          </w:rPr>
          <w:t>25 cm</w:t>
        </w:r>
      </w:smartTag>
      <w:r w:rsidRPr="004C3772">
        <w:rPr>
          <w:rFonts w:asciiTheme="minorHAnsi" w:hAnsiTheme="minorHAnsi"/>
        </w:rPr>
        <w:t>).</w:t>
      </w:r>
    </w:p>
    <w:p w:rsidR="0073077E" w:rsidRPr="004C3772" w:rsidRDefault="0073077E" w:rsidP="0073077E">
      <w:pPr>
        <w:rPr>
          <w:rFonts w:asciiTheme="minorHAnsi" w:hAnsiTheme="minorHAnsi"/>
        </w:rPr>
      </w:pPr>
    </w:p>
    <w:p w:rsidR="0073077E" w:rsidRDefault="0073077E" w:rsidP="00614B0A">
      <w:pPr>
        <w:spacing w:after="120"/>
      </w:pPr>
    </w:p>
    <w:sectPr w:rsidR="0073077E" w:rsidSect="00C55F36">
      <w:footerReference w:type="default" r:id="rId116"/>
      <w:pgSz w:w="11906" w:h="16838"/>
      <w:pgMar w:top="1417" w:right="1417" w:bottom="1417" w:left="1417" w:header="708" w:footer="708" w:gutter="0"/>
      <w:cols w:space="708"/>
      <w:titlePg/>
      <w:docGrid w:linePitch="360"/>
    </w:sectPr>
  </w:body>
</w:document>
</file>

<file path=word/endnotes.xml><?xml version="1.0" encoding="utf-8"?>
<w:end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1">
    <w:p w:rsidR="00FF079E" w:rsidRDefault="00FF079E" w:rsidP="000F437A">
      <w:r>
        <w:separator/>
      </w:r>
    </w:p>
  </w:endnote>
  <w:endnote w:type="continuationSeparator" w:id="0">
    <w:p w:rsidR="00FF079E" w:rsidRDefault="00FF079E" w:rsidP="000F437A">
      <w:r>
        <w:continuationSeparator/>
      </w:r>
    </w:p>
  </w:endnote>
</w:endnotes>
</file>

<file path=word/fontTable.xml><?xml version="1.0" encoding="utf-8"?>
<w:fonts xmlns:r="http://schemas.openxmlformats.org/officeDocument/2006/relationships" xmlns:w="http://schemas.openxmlformats.org/wordprocessingml/2006/main">
  <w:font w:name="Symbol">
    <w:panose1 w:val="05050102010706020507"/>
    <w:charset w:val="02"/>
    <w:family w:val="roman"/>
    <w:pitch w:val="variable"/>
    <w:sig w:usb0="00000000" w:usb1="10000000" w:usb2="00000000" w:usb3="00000000" w:csb0="80000000" w:csb1="00000000"/>
  </w:font>
  <w:font w:name="Times New Roman">
    <w:panose1 w:val="02020603050405020304"/>
    <w:charset w:val="EE"/>
    <w:family w:val="roman"/>
    <w:pitch w:val="variable"/>
    <w:sig w:usb0="E0002AFF" w:usb1="C0007841" w:usb2="00000009" w:usb3="00000000" w:csb0="000001FF" w:csb1="00000000"/>
  </w:font>
  <w:font w:name="Wingdings">
    <w:panose1 w:val="05000000000000000000"/>
    <w:charset w:val="02"/>
    <w:family w:val="auto"/>
    <w:pitch w:val="variable"/>
    <w:sig w:usb0="00000000" w:usb1="10000000" w:usb2="00000000" w:usb3="00000000" w:csb0="80000000" w:csb1="00000000"/>
  </w:font>
  <w:font w:name="Courier New">
    <w:panose1 w:val="02070309020205020404"/>
    <w:charset w:val="EE"/>
    <w:family w:val="modern"/>
    <w:pitch w:val="fixed"/>
    <w:sig w:usb0="E0002AFF" w:usb1="C0007843" w:usb2="00000009" w:usb3="00000000" w:csb0="000001FF" w:csb1="00000000"/>
  </w:font>
  <w:font w:name="Calibri">
    <w:panose1 w:val="020F0502020204030204"/>
    <w:charset w:val="EE"/>
    <w:family w:val="swiss"/>
    <w:pitch w:val="variable"/>
    <w:sig w:usb0="E00002FF" w:usb1="4000ACFF" w:usb2="00000001" w:usb3="00000000" w:csb0="0000019F" w:csb1="00000000"/>
  </w:font>
  <w:font w:name="Arial">
    <w:panose1 w:val="020B0604020202020204"/>
    <w:charset w:val="EE"/>
    <w:family w:val="swiss"/>
    <w:pitch w:val="variable"/>
    <w:sig w:usb0="E0002AFF" w:usb1="C0007843" w:usb2="00000009" w:usb3="00000000" w:csb0="000001FF" w:csb1="00000000"/>
  </w:font>
  <w:font w:name="Tahoma">
    <w:panose1 w:val="020B0604030504040204"/>
    <w:charset w:val="EE"/>
    <w:family w:val="swiss"/>
    <w:pitch w:val="variable"/>
    <w:sig w:usb0="E1002EFF" w:usb1="C000605B" w:usb2="00000029" w:usb3="00000000" w:csb0="000101FF" w:csb1="00000000"/>
  </w:font>
  <w:font w:name="Bookman Old Style">
    <w:panose1 w:val="02050604050505020204"/>
    <w:charset w:val="EE"/>
    <w:family w:val="roman"/>
    <w:pitch w:val="variable"/>
    <w:sig w:usb0="00000287" w:usb1="00000000" w:usb2="00000000" w:usb3="00000000" w:csb0="0000009F" w:csb1="00000000"/>
  </w:font>
  <w:font w:name="Lucida Sans Unicode">
    <w:panose1 w:val="020B0602030504020204"/>
    <w:charset w:val="EE"/>
    <w:family w:val="swiss"/>
    <w:pitch w:val="variable"/>
    <w:sig w:usb0="80000AFF" w:usb1="0000396B" w:usb2="00000000" w:usb3="00000000" w:csb0="000000BF" w:csb1="00000000"/>
  </w:font>
  <w:font w:name="Helvetica">
    <w:panose1 w:val="020B0604020202020204"/>
    <w:charset w:val="00"/>
    <w:family w:val="swiss"/>
    <w:notTrueType/>
    <w:pitch w:val="variable"/>
    <w:sig w:usb0="00000003" w:usb1="00000000" w:usb2="00000000" w:usb3="00000000" w:csb0="00000001" w:csb1="00000000"/>
  </w:font>
  <w:font w:name="Arial Narrow">
    <w:panose1 w:val="020B0606020202030204"/>
    <w:charset w:val="EE"/>
    <w:family w:val="swiss"/>
    <w:pitch w:val="variable"/>
    <w:sig w:usb0="00000287" w:usb1="00000800" w:usb2="00000000" w:usb3="00000000" w:csb0="0000009F" w:csb1="00000000"/>
  </w:font>
  <w:font w:name="SimSun">
    <w:altName w:val="宋体"/>
    <w:panose1 w:val="02010600030101010101"/>
    <w:charset w:val="86"/>
    <w:family w:val="auto"/>
    <w:pitch w:val="variable"/>
    <w:sig w:usb0="00000003" w:usb1="288F0000" w:usb2="00000016" w:usb3="00000000" w:csb0="00040001" w:csb1="00000000"/>
  </w:font>
  <w:font w:name="Verdana">
    <w:panose1 w:val="020B0604030504040204"/>
    <w:charset w:val="EE"/>
    <w:family w:val="swiss"/>
    <w:pitch w:val="variable"/>
    <w:sig w:usb0="A10006FF" w:usb1="4000205B" w:usb2="00000010" w:usb3="00000000" w:csb0="0000019F" w:csb1="00000000"/>
  </w:font>
  <w:font w:name="MS Mincho">
    <w:altName w:val="ＭＳ 明朝"/>
    <w:panose1 w:val="02020609040205080304"/>
    <w:charset w:val="80"/>
    <w:family w:val="modern"/>
    <w:pitch w:val="fixed"/>
    <w:sig w:usb0="E00002FF" w:usb1="6AC7FDFB" w:usb2="00000012" w:usb3="00000000" w:csb0="0002009F" w:csb1="00000000"/>
  </w:font>
  <w:font w:name="ヒラギノ角ゴ Pro W3">
    <w:charset w:val="00"/>
    <w:family w:val="roman"/>
    <w:pitch w:val="default"/>
    <w:sig w:usb0="00000000" w:usb1="00000000" w:usb2="00000000" w:usb3="00000000" w:csb0="00000000" w:csb1="00000000"/>
  </w:font>
  <w:font w:name="Cambria">
    <w:panose1 w:val="02040503050406030204"/>
    <w:charset w:val="EE"/>
    <w:family w:val="roman"/>
    <w:pitch w:val="variable"/>
    <w:sig w:usb0="E00002FF" w:usb1="400004FF" w:usb2="00000000" w:usb3="00000000" w:csb0="0000019F" w:csb1="00000000"/>
  </w:font>
</w:fonts>
</file>

<file path=word/footer1.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sdt>
    <w:sdtPr>
      <w:id w:val="4881592"/>
      <w:docPartObj>
        <w:docPartGallery w:val="Page Numbers (Bottom of Page)"/>
        <w:docPartUnique/>
      </w:docPartObj>
    </w:sdtPr>
    <w:sdtContent>
      <w:p w:rsidR="00ED53FE" w:rsidRDefault="00ED53FE">
        <w:pPr>
          <w:pStyle w:val="Stopka"/>
          <w:jc w:val="center"/>
        </w:pPr>
        <w:fldSimple w:instr=" PAGE   \* MERGEFORMAT ">
          <w:r w:rsidR="00416CD4">
            <w:rPr>
              <w:noProof/>
            </w:rPr>
            <w:t>4</w:t>
          </w:r>
        </w:fldSimple>
      </w:p>
    </w:sdtContent>
  </w:sdt>
  <w:p w:rsidR="00ED53FE" w:rsidRDefault="00ED53FE">
    <w:pPr>
      <w:pStyle w:val="Stopka"/>
    </w:pPr>
  </w:p>
</w:ftr>
</file>

<file path=word/footer2.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sdt>
    <w:sdtPr>
      <w:id w:val="4881593"/>
      <w:docPartObj>
        <w:docPartGallery w:val="Page Numbers (Bottom of Page)"/>
        <w:docPartUnique/>
      </w:docPartObj>
    </w:sdtPr>
    <w:sdtEndPr>
      <w:rPr>
        <w:color w:val="FFFFFF" w:themeColor="background1"/>
      </w:rPr>
    </w:sdtEndPr>
    <w:sdtContent>
      <w:p w:rsidR="00ED53FE" w:rsidRPr="00150E76" w:rsidRDefault="00ED53FE">
        <w:pPr>
          <w:pStyle w:val="Stopka"/>
          <w:jc w:val="center"/>
          <w:rPr>
            <w:color w:val="FFFFFF" w:themeColor="background1"/>
          </w:rPr>
        </w:pPr>
        <w:r w:rsidRPr="00150E76">
          <w:rPr>
            <w:color w:val="FFFFFF" w:themeColor="background1"/>
          </w:rPr>
          <w:fldChar w:fldCharType="begin"/>
        </w:r>
        <w:r w:rsidRPr="00150E76">
          <w:rPr>
            <w:color w:val="FFFFFF" w:themeColor="background1"/>
          </w:rPr>
          <w:instrText xml:space="preserve"> PAGE   \* MERGEFORMAT </w:instrText>
        </w:r>
        <w:r w:rsidRPr="00150E76">
          <w:rPr>
            <w:color w:val="FFFFFF" w:themeColor="background1"/>
          </w:rPr>
          <w:fldChar w:fldCharType="separate"/>
        </w:r>
        <w:r w:rsidR="00416CD4">
          <w:rPr>
            <w:noProof/>
            <w:color w:val="FFFFFF" w:themeColor="background1"/>
          </w:rPr>
          <w:t>0</w:t>
        </w:r>
        <w:r w:rsidRPr="00150E76">
          <w:rPr>
            <w:color w:val="FFFFFF" w:themeColor="background1"/>
          </w:rPr>
          <w:fldChar w:fldCharType="end"/>
        </w:r>
      </w:p>
    </w:sdtContent>
  </w:sdt>
  <w:p w:rsidR="00ED53FE" w:rsidRPr="00150E76" w:rsidRDefault="00ED53FE">
    <w:pPr>
      <w:pStyle w:val="Stopka"/>
      <w:rPr>
        <w:color w:val="FFFFFF" w:themeColor="background1"/>
      </w:rPr>
    </w:pPr>
  </w:p>
</w:ftr>
</file>

<file path=word/footer3.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sdt>
    <w:sdtPr>
      <w:id w:val="48435334"/>
      <w:docPartObj>
        <w:docPartGallery w:val="Page Numbers (Bottom of Page)"/>
        <w:docPartUnique/>
      </w:docPartObj>
    </w:sdtPr>
    <w:sdtContent>
      <w:p w:rsidR="00ED53FE" w:rsidRDefault="00ED53FE">
        <w:pPr>
          <w:pStyle w:val="Stopka"/>
          <w:jc w:val="center"/>
        </w:pPr>
        <w:fldSimple w:instr=" PAGE   \* MERGEFORMAT ">
          <w:r w:rsidR="00FD61BC">
            <w:rPr>
              <w:noProof/>
            </w:rPr>
            <w:t>328</w:t>
          </w:r>
        </w:fldSimple>
      </w:p>
    </w:sdtContent>
  </w:sdt>
  <w:p w:rsidR="00ED53FE" w:rsidRDefault="00ED53FE">
    <w:pPr>
      <w:pStyle w:val="Stopka"/>
    </w:pPr>
  </w:p>
</w:ftr>
</file>

<file path=word/footnotes.xml><?xml version="1.0" encoding="utf-8"?>
<w:foot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1">
    <w:p w:rsidR="00FF079E" w:rsidRDefault="00FF079E" w:rsidP="000F437A">
      <w:r>
        <w:separator/>
      </w:r>
    </w:p>
  </w:footnote>
  <w:footnote w:type="continuationSeparator" w:id="0">
    <w:p w:rsidR="00FF079E" w:rsidRDefault="00FF079E" w:rsidP="000F437A">
      <w:r>
        <w:continuationSeparator/>
      </w:r>
    </w:p>
  </w:footnote>
</w:footnotes>
</file>

<file path=word/header1.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ED53FE" w:rsidRPr="009720FF" w:rsidRDefault="00ED53FE" w:rsidP="00C26550">
    <w:pPr>
      <w:pStyle w:val="Nagwek"/>
      <w:jc w:val="center"/>
    </w:pPr>
  </w:p>
</w:hdr>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FFFFFFFE"/>
    <w:multiLevelType w:val="singleLevel"/>
    <w:tmpl w:val="9A8A1574"/>
    <w:lvl w:ilvl="0">
      <w:numFmt w:val="bullet"/>
      <w:lvlText w:val="*"/>
      <w:lvlJc w:val="left"/>
    </w:lvl>
  </w:abstractNum>
  <w:abstractNum w:abstractNumId="1">
    <w:nsid w:val="11FD427B"/>
    <w:multiLevelType w:val="singleLevel"/>
    <w:tmpl w:val="14462C2C"/>
    <w:lvl w:ilvl="0">
      <w:start w:val="1"/>
      <w:numFmt w:val="bullet"/>
      <w:pStyle w:val="Tabela"/>
      <w:lvlText w:val=""/>
      <w:lvlJc w:val="left"/>
      <w:pPr>
        <w:tabs>
          <w:tab w:val="num" w:pos="360"/>
        </w:tabs>
        <w:ind w:left="360" w:hanging="360"/>
      </w:pPr>
      <w:rPr>
        <w:rFonts w:ascii="Symbol" w:hAnsi="Symbol" w:hint="default"/>
      </w:rPr>
    </w:lvl>
  </w:abstractNum>
  <w:abstractNum w:abstractNumId="2">
    <w:nsid w:val="14B049FA"/>
    <w:multiLevelType w:val="hybridMultilevel"/>
    <w:tmpl w:val="67ACA7A0"/>
    <w:lvl w:ilvl="0" w:tplc="36FCC8B6">
      <w:start w:val="1"/>
      <w:numFmt w:val="lowerLetter"/>
      <w:lvlText w:val="%1)"/>
      <w:lvlJc w:val="left"/>
      <w:pPr>
        <w:tabs>
          <w:tab w:val="num" w:pos="340"/>
        </w:tabs>
        <w:ind w:left="340" w:hanging="340"/>
      </w:pPr>
      <w:rPr>
        <w:rFonts w:hint="default"/>
      </w:rPr>
    </w:lvl>
    <w:lvl w:ilvl="1" w:tplc="04150003" w:tentative="1">
      <w:start w:val="1"/>
      <w:numFmt w:val="lowerLetter"/>
      <w:lvlText w:val="%2."/>
      <w:lvlJc w:val="left"/>
      <w:pPr>
        <w:tabs>
          <w:tab w:val="num" w:pos="1440"/>
        </w:tabs>
        <w:ind w:left="1440" w:hanging="360"/>
      </w:pPr>
    </w:lvl>
    <w:lvl w:ilvl="2" w:tplc="04150005" w:tentative="1">
      <w:start w:val="1"/>
      <w:numFmt w:val="lowerRoman"/>
      <w:lvlText w:val="%3."/>
      <w:lvlJc w:val="right"/>
      <w:pPr>
        <w:tabs>
          <w:tab w:val="num" w:pos="2160"/>
        </w:tabs>
        <w:ind w:left="2160" w:hanging="180"/>
      </w:pPr>
    </w:lvl>
    <w:lvl w:ilvl="3" w:tplc="04150001" w:tentative="1">
      <w:start w:val="1"/>
      <w:numFmt w:val="decimal"/>
      <w:lvlText w:val="%4."/>
      <w:lvlJc w:val="left"/>
      <w:pPr>
        <w:tabs>
          <w:tab w:val="num" w:pos="2880"/>
        </w:tabs>
        <w:ind w:left="2880" w:hanging="360"/>
      </w:pPr>
    </w:lvl>
    <w:lvl w:ilvl="4" w:tplc="04150003" w:tentative="1">
      <w:start w:val="1"/>
      <w:numFmt w:val="lowerLetter"/>
      <w:lvlText w:val="%5."/>
      <w:lvlJc w:val="left"/>
      <w:pPr>
        <w:tabs>
          <w:tab w:val="num" w:pos="3600"/>
        </w:tabs>
        <w:ind w:left="3600" w:hanging="360"/>
      </w:pPr>
    </w:lvl>
    <w:lvl w:ilvl="5" w:tplc="04150005" w:tentative="1">
      <w:start w:val="1"/>
      <w:numFmt w:val="lowerRoman"/>
      <w:lvlText w:val="%6."/>
      <w:lvlJc w:val="right"/>
      <w:pPr>
        <w:tabs>
          <w:tab w:val="num" w:pos="4320"/>
        </w:tabs>
        <w:ind w:left="4320" w:hanging="180"/>
      </w:pPr>
    </w:lvl>
    <w:lvl w:ilvl="6" w:tplc="04150001" w:tentative="1">
      <w:start w:val="1"/>
      <w:numFmt w:val="decimal"/>
      <w:lvlText w:val="%7."/>
      <w:lvlJc w:val="left"/>
      <w:pPr>
        <w:tabs>
          <w:tab w:val="num" w:pos="5040"/>
        </w:tabs>
        <w:ind w:left="5040" w:hanging="360"/>
      </w:pPr>
    </w:lvl>
    <w:lvl w:ilvl="7" w:tplc="04150003" w:tentative="1">
      <w:start w:val="1"/>
      <w:numFmt w:val="lowerLetter"/>
      <w:lvlText w:val="%8."/>
      <w:lvlJc w:val="left"/>
      <w:pPr>
        <w:tabs>
          <w:tab w:val="num" w:pos="5760"/>
        </w:tabs>
        <w:ind w:left="5760" w:hanging="360"/>
      </w:pPr>
    </w:lvl>
    <w:lvl w:ilvl="8" w:tplc="04150005" w:tentative="1">
      <w:start w:val="1"/>
      <w:numFmt w:val="lowerRoman"/>
      <w:lvlText w:val="%9."/>
      <w:lvlJc w:val="right"/>
      <w:pPr>
        <w:tabs>
          <w:tab w:val="num" w:pos="6480"/>
        </w:tabs>
        <w:ind w:left="6480" w:hanging="180"/>
      </w:pPr>
    </w:lvl>
  </w:abstractNum>
  <w:abstractNum w:abstractNumId="3">
    <w:nsid w:val="18202B7F"/>
    <w:multiLevelType w:val="hybridMultilevel"/>
    <w:tmpl w:val="D6A87150"/>
    <w:lvl w:ilvl="0" w:tplc="36FCC8B6">
      <w:start w:val="1"/>
      <w:numFmt w:val="lowerLetter"/>
      <w:lvlText w:val="%1)"/>
      <w:lvlJc w:val="left"/>
      <w:pPr>
        <w:tabs>
          <w:tab w:val="num" w:pos="340"/>
        </w:tabs>
        <w:ind w:left="340" w:hanging="340"/>
      </w:pPr>
      <w:rPr>
        <w:rFonts w:hint="default"/>
      </w:rPr>
    </w:lvl>
    <w:lvl w:ilvl="1" w:tplc="04150003" w:tentative="1">
      <w:start w:val="1"/>
      <w:numFmt w:val="lowerLetter"/>
      <w:lvlText w:val="%2."/>
      <w:lvlJc w:val="left"/>
      <w:pPr>
        <w:tabs>
          <w:tab w:val="num" w:pos="1440"/>
        </w:tabs>
        <w:ind w:left="1440" w:hanging="360"/>
      </w:pPr>
    </w:lvl>
    <w:lvl w:ilvl="2" w:tplc="04150005" w:tentative="1">
      <w:start w:val="1"/>
      <w:numFmt w:val="lowerRoman"/>
      <w:lvlText w:val="%3."/>
      <w:lvlJc w:val="right"/>
      <w:pPr>
        <w:tabs>
          <w:tab w:val="num" w:pos="2160"/>
        </w:tabs>
        <w:ind w:left="2160" w:hanging="180"/>
      </w:pPr>
    </w:lvl>
    <w:lvl w:ilvl="3" w:tplc="04150001" w:tentative="1">
      <w:start w:val="1"/>
      <w:numFmt w:val="decimal"/>
      <w:lvlText w:val="%4."/>
      <w:lvlJc w:val="left"/>
      <w:pPr>
        <w:tabs>
          <w:tab w:val="num" w:pos="2880"/>
        </w:tabs>
        <w:ind w:left="2880" w:hanging="360"/>
      </w:pPr>
    </w:lvl>
    <w:lvl w:ilvl="4" w:tplc="04150003" w:tentative="1">
      <w:start w:val="1"/>
      <w:numFmt w:val="lowerLetter"/>
      <w:lvlText w:val="%5."/>
      <w:lvlJc w:val="left"/>
      <w:pPr>
        <w:tabs>
          <w:tab w:val="num" w:pos="3600"/>
        </w:tabs>
        <w:ind w:left="3600" w:hanging="360"/>
      </w:pPr>
    </w:lvl>
    <w:lvl w:ilvl="5" w:tplc="04150005" w:tentative="1">
      <w:start w:val="1"/>
      <w:numFmt w:val="lowerRoman"/>
      <w:lvlText w:val="%6."/>
      <w:lvlJc w:val="right"/>
      <w:pPr>
        <w:tabs>
          <w:tab w:val="num" w:pos="4320"/>
        </w:tabs>
        <w:ind w:left="4320" w:hanging="180"/>
      </w:pPr>
    </w:lvl>
    <w:lvl w:ilvl="6" w:tplc="04150001" w:tentative="1">
      <w:start w:val="1"/>
      <w:numFmt w:val="decimal"/>
      <w:lvlText w:val="%7."/>
      <w:lvlJc w:val="left"/>
      <w:pPr>
        <w:tabs>
          <w:tab w:val="num" w:pos="5040"/>
        </w:tabs>
        <w:ind w:left="5040" w:hanging="360"/>
      </w:pPr>
    </w:lvl>
    <w:lvl w:ilvl="7" w:tplc="04150003" w:tentative="1">
      <w:start w:val="1"/>
      <w:numFmt w:val="lowerLetter"/>
      <w:lvlText w:val="%8."/>
      <w:lvlJc w:val="left"/>
      <w:pPr>
        <w:tabs>
          <w:tab w:val="num" w:pos="5760"/>
        </w:tabs>
        <w:ind w:left="5760" w:hanging="360"/>
      </w:pPr>
    </w:lvl>
    <w:lvl w:ilvl="8" w:tplc="04150005" w:tentative="1">
      <w:start w:val="1"/>
      <w:numFmt w:val="lowerRoman"/>
      <w:lvlText w:val="%9."/>
      <w:lvlJc w:val="right"/>
      <w:pPr>
        <w:tabs>
          <w:tab w:val="num" w:pos="6480"/>
        </w:tabs>
        <w:ind w:left="6480" w:hanging="180"/>
      </w:pPr>
    </w:lvl>
  </w:abstractNum>
  <w:abstractNum w:abstractNumId="4">
    <w:nsid w:val="224F5FF1"/>
    <w:multiLevelType w:val="multilevel"/>
    <w:tmpl w:val="C160133E"/>
    <w:styleLink w:val="StylPunktowane"/>
    <w:lvl w:ilvl="0">
      <w:start w:val="1"/>
      <w:numFmt w:val="bullet"/>
      <w:lvlText w:val=""/>
      <w:lvlJc w:val="left"/>
      <w:pPr>
        <w:tabs>
          <w:tab w:val="num" w:pos="720"/>
        </w:tabs>
        <w:ind w:left="720" w:hanging="360"/>
      </w:pPr>
      <w:rPr>
        <w:rFonts w:ascii="Symbol" w:hAnsi="Symbol" w:hint="default"/>
        <w:sz w:val="24"/>
      </w:rPr>
    </w:lvl>
    <w:lvl w:ilvl="1">
      <w:start w:val="1"/>
      <w:numFmt w:val="bullet"/>
      <w:lvlText w:val=""/>
      <w:lvlJc w:val="left"/>
      <w:pPr>
        <w:tabs>
          <w:tab w:val="num" w:pos="1440"/>
        </w:tabs>
        <w:ind w:left="1440" w:hanging="360"/>
      </w:pPr>
      <w:rPr>
        <w:rFonts w:ascii="Symbol" w:hAnsi="Symbol" w:hint="default"/>
        <w:color w:val="auto"/>
      </w:rPr>
    </w:lvl>
    <w:lvl w:ilvl="2">
      <w:start w:val="1"/>
      <w:numFmt w:val="bullet"/>
      <w:lvlText w:val=""/>
      <w:lvlJc w:val="left"/>
      <w:pPr>
        <w:tabs>
          <w:tab w:val="num" w:pos="2160"/>
        </w:tabs>
        <w:ind w:left="2160" w:hanging="360"/>
      </w:pPr>
      <w:rPr>
        <w:rFonts w:ascii="Wingdings" w:hAnsi="Wingdings" w:hint="default"/>
      </w:rPr>
    </w:lvl>
    <w:lvl w:ilvl="3">
      <w:start w:val="1"/>
      <w:numFmt w:val="bullet"/>
      <w:lvlText w:val=""/>
      <w:lvlJc w:val="left"/>
      <w:pPr>
        <w:tabs>
          <w:tab w:val="num" w:pos="2880"/>
        </w:tabs>
        <w:ind w:left="2880" w:hanging="360"/>
      </w:pPr>
      <w:rPr>
        <w:rFonts w:ascii="Symbol" w:hAnsi="Symbol" w:hint="default"/>
      </w:rPr>
    </w:lvl>
    <w:lvl w:ilvl="4">
      <w:start w:val="1"/>
      <w:numFmt w:val="bullet"/>
      <w:lvlText w:val="o"/>
      <w:lvlJc w:val="left"/>
      <w:pPr>
        <w:tabs>
          <w:tab w:val="num" w:pos="3600"/>
        </w:tabs>
        <w:ind w:left="3600" w:hanging="360"/>
      </w:pPr>
      <w:rPr>
        <w:rFonts w:ascii="Courier New" w:hAnsi="Courier New" w:cs="Courier New" w:hint="default"/>
      </w:rPr>
    </w:lvl>
    <w:lvl w:ilvl="5">
      <w:start w:val="1"/>
      <w:numFmt w:val="bullet"/>
      <w:lvlText w:val=""/>
      <w:lvlJc w:val="left"/>
      <w:pPr>
        <w:tabs>
          <w:tab w:val="num" w:pos="4320"/>
        </w:tabs>
        <w:ind w:left="4320" w:hanging="360"/>
      </w:pPr>
      <w:rPr>
        <w:rFonts w:ascii="Wingdings" w:hAnsi="Wingdings" w:hint="default"/>
      </w:rPr>
    </w:lvl>
    <w:lvl w:ilvl="6">
      <w:start w:val="1"/>
      <w:numFmt w:val="bullet"/>
      <w:lvlText w:val=""/>
      <w:lvlJc w:val="left"/>
      <w:pPr>
        <w:tabs>
          <w:tab w:val="num" w:pos="5040"/>
        </w:tabs>
        <w:ind w:left="5040" w:hanging="360"/>
      </w:pPr>
      <w:rPr>
        <w:rFonts w:ascii="Symbol" w:hAnsi="Symbol" w:hint="default"/>
      </w:rPr>
    </w:lvl>
    <w:lvl w:ilvl="7">
      <w:start w:val="1"/>
      <w:numFmt w:val="bullet"/>
      <w:lvlText w:val="o"/>
      <w:lvlJc w:val="left"/>
      <w:pPr>
        <w:tabs>
          <w:tab w:val="num" w:pos="5760"/>
        </w:tabs>
        <w:ind w:left="5760" w:hanging="360"/>
      </w:pPr>
      <w:rPr>
        <w:rFonts w:ascii="Courier New" w:hAnsi="Courier New" w:cs="Courier New" w:hint="default"/>
      </w:rPr>
    </w:lvl>
    <w:lvl w:ilvl="8">
      <w:start w:val="1"/>
      <w:numFmt w:val="bullet"/>
      <w:lvlText w:val=""/>
      <w:lvlJc w:val="left"/>
      <w:pPr>
        <w:tabs>
          <w:tab w:val="num" w:pos="6480"/>
        </w:tabs>
        <w:ind w:left="6480" w:hanging="360"/>
      </w:pPr>
      <w:rPr>
        <w:rFonts w:ascii="Wingdings" w:hAnsi="Wingdings" w:hint="default"/>
      </w:rPr>
    </w:lvl>
  </w:abstractNum>
  <w:abstractNum w:abstractNumId="5">
    <w:nsid w:val="266B22FC"/>
    <w:multiLevelType w:val="multilevel"/>
    <w:tmpl w:val="A5C633FE"/>
    <w:lvl w:ilvl="0">
      <w:start w:val="1"/>
      <w:numFmt w:val="decimal"/>
      <w:pStyle w:val="Nagwek21"/>
      <w:lvlText w:val="%1."/>
      <w:lvlJc w:val="left"/>
      <w:pPr>
        <w:tabs>
          <w:tab w:val="num" w:pos="705"/>
        </w:tabs>
        <w:ind w:left="705" w:hanging="705"/>
      </w:pPr>
      <w:rPr>
        <w:rFonts w:ascii="Times New Roman" w:hAnsi="Times New Roman" w:cs="Times New Roman"/>
        <w:b w:val="0"/>
        <w:bCs w:val="0"/>
        <w:i w:val="0"/>
        <w:iCs w:val="0"/>
        <w:caps w:val="0"/>
        <w:smallCaps w:val="0"/>
        <w:strike w:val="0"/>
        <w:dstrike w:val="0"/>
        <w:outline w:val="0"/>
        <w:shadow w:val="0"/>
        <w:emboss w:val="0"/>
        <w:imprint w:val="0"/>
        <w:noProof w:val="0"/>
        <w:vanish w:val="0"/>
        <w:spacing w:val="0"/>
        <w:kern w:val="0"/>
        <w:position w:val="0"/>
        <w:u w:val="none"/>
        <w:vertAlign w:val="baseline"/>
        <w:em w:val="none"/>
      </w:rPr>
    </w:lvl>
    <w:lvl w:ilvl="1">
      <w:start w:val="1"/>
      <w:numFmt w:val="decimal"/>
      <w:lvlText w:val="%1.%2."/>
      <w:lvlJc w:val="left"/>
      <w:pPr>
        <w:tabs>
          <w:tab w:val="num" w:pos="705"/>
        </w:tabs>
        <w:ind w:left="705" w:hanging="705"/>
      </w:pPr>
      <w:rPr>
        <w:rFonts w:ascii="Times New Roman" w:hAnsi="Times New Roman" w:hint="default"/>
        <w:b/>
        <w:i w:val="0"/>
        <w:caps w:val="0"/>
        <w:vanish w:val="0"/>
        <w:sz w:val="24"/>
        <w:szCs w:val="24"/>
      </w:rPr>
    </w:lvl>
    <w:lvl w:ilvl="2">
      <w:start w:val="1"/>
      <w:numFmt w:val="decimal"/>
      <w:lvlText w:val="%1.%2.%3."/>
      <w:lvlJc w:val="left"/>
      <w:pPr>
        <w:tabs>
          <w:tab w:val="num" w:pos="720"/>
        </w:tabs>
        <w:ind w:left="720" w:hanging="720"/>
      </w:pPr>
      <w:rPr>
        <w:rFonts w:ascii="Times New Roman" w:hAnsi="Times New Roman" w:hint="default"/>
        <w:b w:val="0"/>
        <w:i w:val="0"/>
        <w:caps w:val="0"/>
        <w:vanish w:val="0"/>
        <w:sz w:val="24"/>
        <w:szCs w:val="24"/>
      </w:rPr>
    </w:lvl>
    <w:lvl w:ilvl="3">
      <w:numFmt w:val="none"/>
      <w:lvlText w:val=""/>
      <w:lvlJc w:val="left"/>
      <w:pPr>
        <w:tabs>
          <w:tab w:val="num" w:pos="360"/>
        </w:tabs>
      </w:pPr>
    </w:lvl>
    <w:lvl w:ilvl="4">
      <w:start w:val="1"/>
      <w:numFmt w:val="decimal"/>
      <w:lvlText w:val="%1.%2.%3.%4.%5."/>
      <w:lvlJc w:val="left"/>
      <w:pPr>
        <w:tabs>
          <w:tab w:val="num" w:pos="1080"/>
        </w:tabs>
        <w:ind w:left="1080" w:hanging="1080"/>
      </w:pPr>
      <w:rPr>
        <w:rFonts w:hint="default"/>
        <w:b w:val="0"/>
      </w:rPr>
    </w:lvl>
    <w:lvl w:ilvl="5">
      <w:start w:val="1"/>
      <w:numFmt w:val="decimal"/>
      <w:lvlText w:val="%1.%2.%3.%4.%5.%6."/>
      <w:lvlJc w:val="left"/>
      <w:pPr>
        <w:tabs>
          <w:tab w:val="num" w:pos="1080"/>
        </w:tabs>
        <w:ind w:left="1080" w:hanging="1080"/>
      </w:pPr>
      <w:rPr>
        <w:rFonts w:hint="default"/>
        <w:b w:val="0"/>
      </w:rPr>
    </w:lvl>
    <w:lvl w:ilvl="6">
      <w:start w:val="1"/>
      <w:numFmt w:val="decimal"/>
      <w:lvlText w:val="%1.%2.%3.%4.%5.%6.%7."/>
      <w:lvlJc w:val="left"/>
      <w:pPr>
        <w:tabs>
          <w:tab w:val="num" w:pos="1440"/>
        </w:tabs>
        <w:ind w:left="1440" w:hanging="1440"/>
      </w:pPr>
      <w:rPr>
        <w:rFonts w:hint="default"/>
        <w:b w:val="0"/>
      </w:rPr>
    </w:lvl>
    <w:lvl w:ilvl="7">
      <w:start w:val="1"/>
      <w:numFmt w:val="decimal"/>
      <w:lvlText w:val="%1.%2.%3.%4.%5.%6.%7.%8."/>
      <w:lvlJc w:val="left"/>
      <w:pPr>
        <w:tabs>
          <w:tab w:val="num" w:pos="1440"/>
        </w:tabs>
        <w:ind w:left="1440" w:hanging="1440"/>
      </w:pPr>
      <w:rPr>
        <w:rFonts w:hint="default"/>
        <w:b w:val="0"/>
      </w:rPr>
    </w:lvl>
    <w:lvl w:ilvl="8">
      <w:start w:val="1"/>
      <w:numFmt w:val="decimal"/>
      <w:lvlText w:val="%1.%2.%3.%4.%5.%6.%7.%8.%9."/>
      <w:lvlJc w:val="left"/>
      <w:pPr>
        <w:tabs>
          <w:tab w:val="num" w:pos="1800"/>
        </w:tabs>
        <w:ind w:left="1800" w:hanging="1800"/>
      </w:pPr>
      <w:rPr>
        <w:rFonts w:hint="default"/>
        <w:b w:val="0"/>
      </w:rPr>
    </w:lvl>
  </w:abstractNum>
  <w:abstractNum w:abstractNumId="6">
    <w:nsid w:val="325A6459"/>
    <w:multiLevelType w:val="hybridMultilevel"/>
    <w:tmpl w:val="1016650E"/>
    <w:lvl w:ilvl="0" w:tplc="7D0A56CA">
      <w:start w:val="1"/>
      <w:numFmt w:val="lowerLetter"/>
      <w:lvlText w:val="%1)"/>
      <w:lvlJc w:val="left"/>
      <w:pPr>
        <w:tabs>
          <w:tab w:val="num" w:pos="340"/>
        </w:tabs>
        <w:ind w:left="340" w:hanging="340"/>
      </w:pPr>
      <w:rPr>
        <w:rFonts w:hint="default"/>
      </w:rPr>
    </w:lvl>
    <w:lvl w:ilvl="1" w:tplc="04150003" w:tentative="1">
      <w:start w:val="1"/>
      <w:numFmt w:val="lowerLetter"/>
      <w:lvlText w:val="%2."/>
      <w:lvlJc w:val="left"/>
      <w:pPr>
        <w:tabs>
          <w:tab w:val="num" w:pos="1440"/>
        </w:tabs>
        <w:ind w:left="1440" w:hanging="360"/>
      </w:pPr>
    </w:lvl>
    <w:lvl w:ilvl="2" w:tplc="04150005" w:tentative="1">
      <w:start w:val="1"/>
      <w:numFmt w:val="lowerRoman"/>
      <w:lvlText w:val="%3."/>
      <w:lvlJc w:val="right"/>
      <w:pPr>
        <w:tabs>
          <w:tab w:val="num" w:pos="2160"/>
        </w:tabs>
        <w:ind w:left="2160" w:hanging="180"/>
      </w:pPr>
    </w:lvl>
    <w:lvl w:ilvl="3" w:tplc="04150001" w:tentative="1">
      <w:start w:val="1"/>
      <w:numFmt w:val="decimal"/>
      <w:lvlText w:val="%4."/>
      <w:lvlJc w:val="left"/>
      <w:pPr>
        <w:tabs>
          <w:tab w:val="num" w:pos="2880"/>
        </w:tabs>
        <w:ind w:left="2880" w:hanging="360"/>
      </w:pPr>
    </w:lvl>
    <w:lvl w:ilvl="4" w:tplc="04150003" w:tentative="1">
      <w:start w:val="1"/>
      <w:numFmt w:val="lowerLetter"/>
      <w:lvlText w:val="%5."/>
      <w:lvlJc w:val="left"/>
      <w:pPr>
        <w:tabs>
          <w:tab w:val="num" w:pos="3600"/>
        </w:tabs>
        <w:ind w:left="3600" w:hanging="360"/>
      </w:pPr>
    </w:lvl>
    <w:lvl w:ilvl="5" w:tplc="04150005" w:tentative="1">
      <w:start w:val="1"/>
      <w:numFmt w:val="lowerRoman"/>
      <w:lvlText w:val="%6."/>
      <w:lvlJc w:val="right"/>
      <w:pPr>
        <w:tabs>
          <w:tab w:val="num" w:pos="4320"/>
        </w:tabs>
        <w:ind w:left="4320" w:hanging="180"/>
      </w:pPr>
    </w:lvl>
    <w:lvl w:ilvl="6" w:tplc="04150001" w:tentative="1">
      <w:start w:val="1"/>
      <w:numFmt w:val="decimal"/>
      <w:lvlText w:val="%7."/>
      <w:lvlJc w:val="left"/>
      <w:pPr>
        <w:tabs>
          <w:tab w:val="num" w:pos="5040"/>
        </w:tabs>
        <w:ind w:left="5040" w:hanging="360"/>
      </w:pPr>
    </w:lvl>
    <w:lvl w:ilvl="7" w:tplc="04150003" w:tentative="1">
      <w:start w:val="1"/>
      <w:numFmt w:val="lowerLetter"/>
      <w:lvlText w:val="%8."/>
      <w:lvlJc w:val="left"/>
      <w:pPr>
        <w:tabs>
          <w:tab w:val="num" w:pos="5760"/>
        </w:tabs>
        <w:ind w:left="5760" w:hanging="360"/>
      </w:pPr>
    </w:lvl>
    <w:lvl w:ilvl="8" w:tplc="04150005" w:tentative="1">
      <w:start w:val="1"/>
      <w:numFmt w:val="lowerRoman"/>
      <w:lvlText w:val="%9."/>
      <w:lvlJc w:val="right"/>
      <w:pPr>
        <w:tabs>
          <w:tab w:val="num" w:pos="6480"/>
        </w:tabs>
        <w:ind w:left="6480" w:hanging="180"/>
      </w:pPr>
    </w:lvl>
  </w:abstractNum>
  <w:abstractNum w:abstractNumId="7">
    <w:nsid w:val="330C7E05"/>
    <w:multiLevelType w:val="hybridMultilevel"/>
    <w:tmpl w:val="955A0602"/>
    <w:lvl w:ilvl="0" w:tplc="FFFFFFFF">
      <w:start w:val="1"/>
      <w:numFmt w:val="lowerLetter"/>
      <w:lvlText w:val="%1)"/>
      <w:lvlJc w:val="left"/>
      <w:pPr>
        <w:tabs>
          <w:tab w:val="num" w:pos="536"/>
        </w:tabs>
        <w:ind w:left="536" w:hanging="377"/>
      </w:pPr>
      <w:rPr>
        <w:rFonts w:hint="default"/>
      </w:rPr>
    </w:lvl>
    <w:lvl w:ilvl="1" w:tplc="FFFFFFFF" w:tentative="1">
      <w:start w:val="1"/>
      <w:numFmt w:val="lowerLetter"/>
      <w:lvlText w:val="%2."/>
      <w:lvlJc w:val="left"/>
      <w:pPr>
        <w:tabs>
          <w:tab w:val="num" w:pos="1239"/>
        </w:tabs>
        <w:ind w:left="1239" w:hanging="360"/>
      </w:pPr>
    </w:lvl>
    <w:lvl w:ilvl="2" w:tplc="FFFFFFFF" w:tentative="1">
      <w:start w:val="1"/>
      <w:numFmt w:val="lowerRoman"/>
      <w:lvlText w:val="%3."/>
      <w:lvlJc w:val="right"/>
      <w:pPr>
        <w:tabs>
          <w:tab w:val="num" w:pos="1959"/>
        </w:tabs>
        <w:ind w:left="1959" w:hanging="180"/>
      </w:pPr>
    </w:lvl>
    <w:lvl w:ilvl="3" w:tplc="FFFFFFFF" w:tentative="1">
      <w:start w:val="1"/>
      <w:numFmt w:val="decimal"/>
      <w:lvlText w:val="%4."/>
      <w:lvlJc w:val="left"/>
      <w:pPr>
        <w:tabs>
          <w:tab w:val="num" w:pos="2679"/>
        </w:tabs>
        <w:ind w:left="2679" w:hanging="360"/>
      </w:pPr>
    </w:lvl>
    <w:lvl w:ilvl="4" w:tplc="FFFFFFFF" w:tentative="1">
      <w:start w:val="1"/>
      <w:numFmt w:val="lowerLetter"/>
      <w:lvlText w:val="%5."/>
      <w:lvlJc w:val="left"/>
      <w:pPr>
        <w:tabs>
          <w:tab w:val="num" w:pos="3399"/>
        </w:tabs>
        <w:ind w:left="3399" w:hanging="360"/>
      </w:pPr>
    </w:lvl>
    <w:lvl w:ilvl="5" w:tplc="FFFFFFFF" w:tentative="1">
      <w:start w:val="1"/>
      <w:numFmt w:val="lowerRoman"/>
      <w:lvlText w:val="%6."/>
      <w:lvlJc w:val="right"/>
      <w:pPr>
        <w:tabs>
          <w:tab w:val="num" w:pos="4119"/>
        </w:tabs>
        <w:ind w:left="4119" w:hanging="180"/>
      </w:pPr>
    </w:lvl>
    <w:lvl w:ilvl="6" w:tplc="FFFFFFFF" w:tentative="1">
      <w:start w:val="1"/>
      <w:numFmt w:val="decimal"/>
      <w:lvlText w:val="%7."/>
      <w:lvlJc w:val="left"/>
      <w:pPr>
        <w:tabs>
          <w:tab w:val="num" w:pos="4839"/>
        </w:tabs>
        <w:ind w:left="4839" w:hanging="360"/>
      </w:pPr>
    </w:lvl>
    <w:lvl w:ilvl="7" w:tplc="FFFFFFFF" w:tentative="1">
      <w:start w:val="1"/>
      <w:numFmt w:val="lowerLetter"/>
      <w:lvlText w:val="%8."/>
      <w:lvlJc w:val="left"/>
      <w:pPr>
        <w:tabs>
          <w:tab w:val="num" w:pos="5559"/>
        </w:tabs>
        <w:ind w:left="5559" w:hanging="360"/>
      </w:pPr>
    </w:lvl>
    <w:lvl w:ilvl="8" w:tplc="FFFFFFFF" w:tentative="1">
      <w:start w:val="1"/>
      <w:numFmt w:val="lowerRoman"/>
      <w:lvlText w:val="%9."/>
      <w:lvlJc w:val="right"/>
      <w:pPr>
        <w:tabs>
          <w:tab w:val="num" w:pos="6279"/>
        </w:tabs>
        <w:ind w:left="6279" w:hanging="180"/>
      </w:pPr>
    </w:lvl>
  </w:abstractNum>
  <w:abstractNum w:abstractNumId="8">
    <w:nsid w:val="459B7BD2"/>
    <w:multiLevelType w:val="hybridMultilevel"/>
    <w:tmpl w:val="F10AD2A6"/>
    <w:lvl w:ilvl="0" w:tplc="7D0A56CA">
      <w:start w:val="1"/>
      <w:numFmt w:val="bullet"/>
      <w:pStyle w:val="Nagwektabeli"/>
      <w:lvlText w:val=""/>
      <w:lvlJc w:val="left"/>
      <w:pPr>
        <w:tabs>
          <w:tab w:val="num" w:pos="284"/>
        </w:tabs>
        <w:ind w:left="284" w:hanging="284"/>
      </w:pPr>
      <w:rPr>
        <w:rFonts w:ascii="Symbol" w:hAnsi="Symbol" w:hint="default"/>
      </w:rPr>
    </w:lvl>
    <w:lvl w:ilvl="1" w:tplc="04150003">
      <w:start w:val="1"/>
      <w:numFmt w:val="decimal"/>
      <w:lvlText w:val="%2."/>
      <w:lvlJc w:val="left"/>
      <w:pPr>
        <w:tabs>
          <w:tab w:val="num" w:pos="1440"/>
        </w:tabs>
        <w:ind w:left="1440" w:hanging="360"/>
      </w:pPr>
      <w:rPr>
        <w:rFonts w:hint="default"/>
      </w:rPr>
    </w:lvl>
    <w:lvl w:ilvl="2" w:tplc="04150005" w:tentative="1">
      <w:start w:val="1"/>
      <w:numFmt w:val="bullet"/>
      <w:lvlText w:val=""/>
      <w:lvlJc w:val="left"/>
      <w:pPr>
        <w:tabs>
          <w:tab w:val="num" w:pos="2160"/>
        </w:tabs>
        <w:ind w:left="2160" w:hanging="360"/>
      </w:pPr>
      <w:rPr>
        <w:rFonts w:ascii="Wingdings" w:hAnsi="Wingdings" w:hint="default"/>
      </w:rPr>
    </w:lvl>
    <w:lvl w:ilvl="3" w:tplc="04150001" w:tentative="1">
      <w:start w:val="1"/>
      <w:numFmt w:val="bullet"/>
      <w:lvlText w:val=""/>
      <w:lvlJc w:val="left"/>
      <w:pPr>
        <w:tabs>
          <w:tab w:val="num" w:pos="2880"/>
        </w:tabs>
        <w:ind w:left="2880" w:hanging="360"/>
      </w:pPr>
      <w:rPr>
        <w:rFonts w:ascii="Symbol" w:hAnsi="Symbol" w:hint="default"/>
      </w:rPr>
    </w:lvl>
    <w:lvl w:ilvl="4" w:tplc="04150003" w:tentative="1">
      <w:start w:val="1"/>
      <w:numFmt w:val="bullet"/>
      <w:lvlText w:val="o"/>
      <w:lvlJc w:val="left"/>
      <w:pPr>
        <w:tabs>
          <w:tab w:val="num" w:pos="3600"/>
        </w:tabs>
        <w:ind w:left="3600" w:hanging="360"/>
      </w:pPr>
      <w:rPr>
        <w:rFonts w:ascii="Courier New" w:hAnsi="Courier New" w:cs="Courier New" w:hint="default"/>
      </w:rPr>
    </w:lvl>
    <w:lvl w:ilvl="5" w:tplc="04150005" w:tentative="1">
      <w:start w:val="1"/>
      <w:numFmt w:val="bullet"/>
      <w:lvlText w:val=""/>
      <w:lvlJc w:val="left"/>
      <w:pPr>
        <w:tabs>
          <w:tab w:val="num" w:pos="4320"/>
        </w:tabs>
        <w:ind w:left="4320" w:hanging="360"/>
      </w:pPr>
      <w:rPr>
        <w:rFonts w:ascii="Wingdings" w:hAnsi="Wingdings" w:hint="default"/>
      </w:rPr>
    </w:lvl>
    <w:lvl w:ilvl="6" w:tplc="04150001" w:tentative="1">
      <w:start w:val="1"/>
      <w:numFmt w:val="bullet"/>
      <w:lvlText w:val=""/>
      <w:lvlJc w:val="left"/>
      <w:pPr>
        <w:tabs>
          <w:tab w:val="num" w:pos="5040"/>
        </w:tabs>
        <w:ind w:left="5040" w:hanging="360"/>
      </w:pPr>
      <w:rPr>
        <w:rFonts w:ascii="Symbol" w:hAnsi="Symbol" w:hint="default"/>
      </w:rPr>
    </w:lvl>
    <w:lvl w:ilvl="7" w:tplc="04150003" w:tentative="1">
      <w:start w:val="1"/>
      <w:numFmt w:val="bullet"/>
      <w:lvlText w:val="o"/>
      <w:lvlJc w:val="left"/>
      <w:pPr>
        <w:tabs>
          <w:tab w:val="num" w:pos="5760"/>
        </w:tabs>
        <w:ind w:left="5760" w:hanging="360"/>
      </w:pPr>
      <w:rPr>
        <w:rFonts w:ascii="Courier New" w:hAnsi="Courier New" w:cs="Courier New" w:hint="default"/>
      </w:rPr>
    </w:lvl>
    <w:lvl w:ilvl="8" w:tplc="04150005" w:tentative="1">
      <w:start w:val="1"/>
      <w:numFmt w:val="bullet"/>
      <w:lvlText w:val=""/>
      <w:lvlJc w:val="left"/>
      <w:pPr>
        <w:tabs>
          <w:tab w:val="num" w:pos="6480"/>
        </w:tabs>
        <w:ind w:left="6480" w:hanging="360"/>
      </w:pPr>
      <w:rPr>
        <w:rFonts w:ascii="Wingdings" w:hAnsi="Wingdings" w:hint="default"/>
      </w:rPr>
    </w:lvl>
  </w:abstractNum>
  <w:abstractNum w:abstractNumId="9">
    <w:nsid w:val="46975E68"/>
    <w:multiLevelType w:val="hybridMultilevel"/>
    <w:tmpl w:val="2CB80846"/>
    <w:lvl w:ilvl="0" w:tplc="FFFFFFFF">
      <w:start w:val="1"/>
      <w:numFmt w:val="lowerLetter"/>
      <w:lvlText w:val="%1)"/>
      <w:lvlJc w:val="left"/>
      <w:pPr>
        <w:tabs>
          <w:tab w:val="num" w:pos="377"/>
        </w:tabs>
        <w:ind w:left="377" w:hanging="377"/>
      </w:pPr>
      <w:rPr>
        <w:rFonts w:hint="default"/>
      </w:rPr>
    </w:lvl>
    <w:lvl w:ilvl="1" w:tplc="FFFFFFFF" w:tentative="1">
      <w:start w:val="1"/>
      <w:numFmt w:val="lowerLetter"/>
      <w:lvlText w:val="%2."/>
      <w:lvlJc w:val="left"/>
      <w:pPr>
        <w:tabs>
          <w:tab w:val="num" w:pos="1080"/>
        </w:tabs>
        <w:ind w:left="1080" w:hanging="360"/>
      </w:pPr>
    </w:lvl>
    <w:lvl w:ilvl="2" w:tplc="FFFFFFFF" w:tentative="1">
      <w:start w:val="1"/>
      <w:numFmt w:val="lowerRoman"/>
      <w:lvlText w:val="%3."/>
      <w:lvlJc w:val="right"/>
      <w:pPr>
        <w:tabs>
          <w:tab w:val="num" w:pos="1800"/>
        </w:tabs>
        <w:ind w:left="1800" w:hanging="180"/>
      </w:pPr>
    </w:lvl>
    <w:lvl w:ilvl="3" w:tplc="FFFFFFFF" w:tentative="1">
      <w:start w:val="1"/>
      <w:numFmt w:val="decimal"/>
      <w:lvlText w:val="%4."/>
      <w:lvlJc w:val="left"/>
      <w:pPr>
        <w:tabs>
          <w:tab w:val="num" w:pos="2520"/>
        </w:tabs>
        <w:ind w:left="2520" w:hanging="360"/>
      </w:pPr>
    </w:lvl>
    <w:lvl w:ilvl="4" w:tplc="FFFFFFFF" w:tentative="1">
      <w:start w:val="1"/>
      <w:numFmt w:val="lowerLetter"/>
      <w:lvlText w:val="%5."/>
      <w:lvlJc w:val="left"/>
      <w:pPr>
        <w:tabs>
          <w:tab w:val="num" w:pos="3240"/>
        </w:tabs>
        <w:ind w:left="3240" w:hanging="360"/>
      </w:pPr>
    </w:lvl>
    <w:lvl w:ilvl="5" w:tplc="FFFFFFFF" w:tentative="1">
      <w:start w:val="1"/>
      <w:numFmt w:val="lowerRoman"/>
      <w:lvlText w:val="%6."/>
      <w:lvlJc w:val="right"/>
      <w:pPr>
        <w:tabs>
          <w:tab w:val="num" w:pos="3960"/>
        </w:tabs>
        <w:ind w:left="3960" w:hanging="180"/>
      </w:pPr>
    </w:lvl>
    <w:lvl w:ilvl="6" w:tplc="FFFFFFFF" w:tentative="1">
      <w:start w:val="1"/>
      <w:numFmt w:val="decimal"/>
      <w:lvlText w:val="%7."/>
      <w:lvlJc w:val="left"/>
      <w:pPr>
        <w:tabs>
          <w:tab w:val="num" w:pos="4680"/>
        </w:tabs>
        <w:ind w:left="4680" w:hanging="360"/>
      </w:pPr>
    </w:lvl>
    <w:lvl w:ilvl="7" w:tplc="FFFFFFFF" w:tentative="1">
      <w:start w:val="1"/>
      <w:numFmt w:val="lowerLetter"/>
      <w:lvlText w:val="%8."/>
      <w:lvlJc w:val="left"/>
      <w:pPr>
        <w:tabs>
          <w:tab w:val="num" w:pos="5400"/>
        </w:tabs>
        <w:ind w:left="5400" w:hanging="360"/>
      </w:pPr>
    </w:lvl>
    <w:lvl w:ilvl="8" w:tplc="FFFFFFFF" w:tentative="1">
      <w:start w:val="1"/>
      <w:numFmt w:val="lowerRoman"/>
      <w:lvlText w:val="%9."/>
      <w:lvlJc w:val="right"/>
      <w:pPr>
        <w:tabs>
          <w:tab w:val="num" w:pos="6120"/>
        </w:tabs>
        <w:ind w:left="6120" w:hanging="180"/>
      </w:pPr>
    </w:lvl>
  </w:abstractNum>
  <w:abstractNum w:abstractNumId="10">
    <w:nsid w:val="4D7A0924"/>
    <w:multiLevelType w:val="multilevel"/>
    <w:tmpl w:val="6A360550"/>
    <w:lvl w:ilvl="0">
      <w:start w:val="5"/>
      <w:numFmt w:val="decimal"/>
      <w:lvlText w:val="%1"/>
      <w:lvlJc w:val="left"/>
      <w:pPr>
        <w:tabs>
          <w:tab w:val="num" w:pos="660"/>
        </w:tabs>
        <w:ind w:left="660" w:hanging="660"/>
      </w:pPr>
      <w:rPr>
        <w:rFonts w:hint="default"/>
      </w:rPr>
    </w:lvl>
    <w:lvl w:ilvl="1">
      <w:start w:val="6"/>
      <w:numFmt w:val="decimal"/>
      <w:lvlText w:val="%1.%2"/>
      <w:lvlJc w:val="left"/>
      <w:pPr>
        <w:tabs>
          <w:tab w:val="num" w:pos="660"/>
        </w:tabs>
        <w:ind w:left="660" w:hanging="660"/>
      </w:pPr>
      <w:rPr>
        <w:rFonts w:hint="default"/>
      </w:rPr>
    </w:lvl>
    <w:lvl w:ilvl="2">
      <w:start w:val="9"/>
      <w:numFmt w:val="decimal"/>
      <w:lvlText w:val="%1.%2.%3"/>
      <w:lvlJc w:val="left"/>
      <w:pPr>
        <w:tabs>
          <w:tab w:val="num" w:pos="720"/>
        </w:tabs>
        <w:ind w:left="720" w:hanging="720"/>
      </w:pPr>
      <w:rPr>
        <w:rFonts w:hint="default"/>
      </w:rPr>
    </w:lvl>
    <w:lvl w:ilvl="3">
      <w:start w:val="4"/>
      <w:numFmt w:val="decimal"/>
      <w:pStyle w:val="Tematkomentarza"/>
      <w:lvlText w:val="%1.%2.%3.%4"/>
      <w:lvlJc w:val="left"/>
      <w:pPr>
        <w:tabs>
          <w:tab w:val="num" w:pos="720"/>
        </w:tabs>
        <w:ind w:left="720" w:hanging="720"/>
      </w:pPr>
      <w:rPr>
        <w:rFonts w:hint="default"/>
      </w:rPr>
    </w:lvl>
    <w:lvl w:ilvl="4">
      <w:start w:val="1"/>
      <w:numFmt w:val="decimal"/>
      <w:lvlText w:val="%1.%2.%3.%4.%5"/>
      <w:lvlJc w:val="left"/>
      <w:pPr>
        <w:tabs>
          <w:tab w:val="num" w:pos="1080"/>
        </w:tabs>
        <w:ind w:left="1080" w:hanging="1080"/>
      </w:pPr>
      <w:rPr>
        <w:rFonts w:hint="default"/>
      </w:rPr>
    </w:lvl>
    <w:lvl w:ilvl="5">
      <w:start w:val="1"/>
      <w:numFmt w:val="decimal"/>
      <w:lvlText w:val="%1.%2.%3.%4.%5.%6"/>
      <w:lvlJc w:val="left"/>
      <w:pPr>
        <w:tabs>
          <w:tab w:val="num" w:pos="1080"/>
        </w:tabs>
        <w:ind w:left="1080" w:hanging="1080"/>
      </w:pPr>
      <w:rPr>
        <w:rFonts w:hint="default"/>
      </w:rPr>
    </w:lvl>
    <w:lvl w:ilvl="6">
      <w:start w:val="1"/>
      <w:numFmt w:val="decimal"/>
      <w:lvlText w:val="%1.%2.%3.%4.%5.%6.%7"/>
      <w:lvlJc w:val="left"/>
      <w:pPr>
        <w:tabs>
          <w:tab w:val="num" w:pos="1440"/>
        </w:tabs>
        <w:ind w:left="1440" w:hanging="1440"/>
      </w:pPr>
      <w:rPr>
        <w:rFonts w:hint="default"/>
      </w:rPr>
    </w:lvl>
    <w:lvl w:ilvl="7">
      <w:start w:val="1"/>
      <w:numFmt w:val="decimal"/>
      <w:lvlText w:val="%1.%2.%3.%4.%5.%6.%7.%8"/>
      <w:lvlJc w:val="left"/>
      <w:pPr>
        <w:tabs>
          <w:tab w:val="num" w:pos="1440"/>
        </w:tabs>
        <w:ind w:left="1440" w:hanging="1440"/>
      </w:pPr>
      <w:rPr>
        <w:rFonts w:hint="default"/>
      </w:rPr>
    </w:lvl>
    <w:lvl w:ilvl="8">
      <w:start w:val="1"/>
      <w:numFmt w:val="decimal"/>
      <w:lvlText w:val="%1.%2.%3.%4.%5.%6.%7.%8.%9"/>
      <w:lvlJc w:val="left"/>
      <w:pPr>
        <w:tabs>
          <w:tab w:val="num" w:pos="1800"/>
        </w:tabs>
        <w:ind w:left="1800" w:hanging="1800"/>
      </w:pPr>
      <w:rPr>
        <w:rFonts w:hint="default"/>
      </w:rPr>
    </w:lvl>
  </w:abstractNum>
  <w:abstractNum w:abstractNumId="11">
    <w:nsid w:val="51266123"/>
    <w:multiLevelType w:val="singleLevel"/>
    <w:tmpl w:val="D00C1A84"/>
    <w:lvl w:ilvl="0">
      <w:start w:val="1"/>
      <w:numFmt w:val="lowerLetter"/>
      <w:lvlText w:val="%1)"/>
      <w:legacy w:legacy="1" w:legacySpace="0" w:legacyIndent="283"/>
      <w:lvlJc w:val="left"/>
      <w:pPr>
        <w:ind w:left="283" w:hanging="283"/>
      </w:pPr>
    </w:lvl>
  </w:abstractNum>
  <w:abstractNum w:abstractNumId="12">
    <w:nsid w:val="5C851C53"/>
    <w:multiLevelType w:val="hybridMultilevel"/>
    <w:tmpl w:val="B908F112"/>
    <w:lvl w:ilvl="0" w:tplc="D35AB624">
      <w:start w:val="1"/>
      <w:numFmt w:val="bullet"/>
      <w:lvlText w:val="–"/>
      <w:lvlJc w:val="left"/>
      <w:pPr>
        <w:ind w:left="720" w:hanging="360"/>
      </w:pPr>
      <w:rPr>
        <w:rFonts w:ascii="Times New Roman" w:hAnsi="Times New Roman" w:cs="Times New Roman" w:hint="default"/>
        <w:sz w:val="16"/>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3">
    <w:nsid w:val="5F8B132F"/>
    <w:multiLevelType w:val="hybridMultilevel"/>
    <w:tmpl w:val="271CB0A0"/>
    <w:lvl w:ilvl="0" w:tplc="0415000F">
      <w:start w:val="1"/>
      <w:numFmt w:val="lowerLetter"/>
      <w:lvlText w:val="%1)"/>
      <w:lvlJc w:val="left"/>
      <w:pPr>
        <w:tabs>
          <w:tab w:val="num" w:pos="340"/>
        </w:tabs>
        <w:ind w:left="340" w:hanging="340"/>
      </w:pPr>
      <w:rPr>
        <w:rFonts w:hint="default"/>
      </w:rPr>
    </w:lvl>
    <w:lvl w:ilvl="1" w:tplc="04150019" w:tentative="1">
      <w:start w:val="1"/>
      <w:numFmt w:val="lowerLetter"/>
      <w:lvlText w:val="%2."/>
      <w:lvlJc w:val="left"/>
      <w:pPr>
        <w:tabs>
          <w:tab w:val="num" w:pos="1440"/>
        </w:tabs>
        <w:ind w:left="1440" w:hanging="360"/>
      </w:pPr>
    </w:lvl>
    <w:lvl w:ilvl="2" w:tplc="0415001B" w:tentative="1">
      <w:start w:val="1"/>
      <w:numFmt w:val="lowerRoman"/>
      <w:lvlText w:val="%3."/>
      <w:lvlJc w:val="right"/>
      <w:pPr>
        <w:tabs>
          <w:tab w:val="num" w:pos="2160"/>
        </w:tabs>
        <w:ind w:left="2160" w:hanging="180"/>
      </w:pPr>
    </w:lvl>
    <w:lvl w:ilvl="3" w:tplc="0415000F" w:tentative="1">
      <w:start w:val="1"/>
      <w:numFmt w:val="decimal"/>
      <w:lvlText w:val="%4."/>
      <w:lvlJc w:val="left"/>
      <w:pPr>
        <w:tabs>
          <w:tab w:val="num" w:pos="2880"/>
        </w:tabs>
        <w:ind w:left="2880" w:hanging="360"/>
      </w:pPr>
    </w:lvl>
    <w:lvl w:ilvl="4" w:tplc="04150019" w:tentative="1">
      <w:start w:val="1"/>
      <w:numFmt w:val="lowerLetter"/>
      <w:lvlText w:val="%5."/>
      <w:lvlJc w:val="left"/>
      <w:pPr>
        <w:tabs>
          <w:tab w:val="num" w:pos="3600"/>
        </w:tabs>
        <w:ind w:left="3600" w:hanging="360"/>
      </w:pPr>
    </w:lvl>
    <w:lvl w:ilvl="5" w:tplc="0415001B" w:tentative="1">
      <w:start w:val="1"/>
      <w:numFmt w:val="lowerRoman"/>
      <w:lvlText w:val="%6."/>
      <w:lvlJc w:val="right"/>
      <w:pPr>
        <w:tabs>
          <w:tab w:val="num" w:pos="4320"/>
        </w:tabs>
        <w:ind w:left="4320" w:hanging="180"/>
      </w:pPr>
    </w:lvl>
    <w:lvl w:ilvl="6" w:tplc="0415000F" w:tentative="1">
      <w:start w:val="1"/>
      <w:numFmt w:val="decimal"/>
      <w:lvlText w:val="%7."/>
      <w:lvlJc w:val="left"/>
      <w:pPr>
        <w:tabs>
          <w:tab w:val="num" w:pos="5040"/>
        </w:tabs>
        <w:ind w:left="5040" w:hanging="360"/>
      </w:pPr>
    </w:lvl>
    <w:lvl w:ilvl="7" w:tplc="04150019" w:tentative="1">
      <w:start w:val="1"/>
      <w:numFmt w:val="lowerLetter"/>
      <w:lvlText w:val="%8."/>
      <w:lvlJc w:val="left"/>
      <w:pPr>
        <w:tabs>
          <w:tab w:val="num" w:pos="5760"/>
        </w:tabs>
        <w:ind w:left="5760" w:hanging="360"/>
      </w:pPr>
    </w:lvl>
    <w:lvl w:ilvl="8" w:tplc="0415001B" w:tentative="1">
      <w:start w:val="1"/>
      <w:numFmt w:val="lowerRoman"/>
      <w:lvlText w:val="%9."/>
      <w:lvlJc w:val="right"/>
      <w:pPr>
        <w:tabs>
          <w:tab w:val="num" w:pos="6480"/>
        </w:tabs>
        <w:ind w:left="6480" w:hanging="180"/>
      </w:pPr>
    </w:lvl>
  </w:abstractNum>
  <w:abstractNum w:abstractNumId="14">
    <w:nsid w:val="6531474F"/>
    <w:multiLevelType w:val="singleLevel"/>
    <w:tmpl w:val="04150007"/>
    <w:lvl w:ilvl="0">
      <w:start w:val="1"/>
      <w:numFmt w:val="bullet"/>
      <w:pStyle w:val="OOSA2"/>
      <w:lvlText w:val=""/>
      <w:lvlJc w:val="left"/>
      <w:pPr>
        <w:tabs>
          <w:tab w:val="num" w:pos="360"/>
        </w:tabs>
        <w:ind w:left="360" w:hanging="360"/>
      </w:pPr>
      <w:rPr>
        <w:rFonts w:ascii="Wingdings" w:hAnsi="Wingdings" w:hint="default"/>
        <w:sz w:val="16"/>
      </w:rPr>
    </w:lvl>
  </w:abstractNum>
  <w:abstractNum w:abstractNumId="15">
    <w:nsid w:val="69676C0B"/>
    <w:multiLevelType w:val="multilevel"/>
    <w:tmpl w:val="325EBF8A"/>
    <w:lvl w:ilvl="0">
      <w:start w:val="1"/>
      <w:numFmt w:val="decimal"/>
      <w:lvlText w:val="%1."/>
      <w:lvlJc w:val="left"/>
      <w:pPr>
        <w:ind w:left="720" w:hanging="360"/>
      </w:pPr>
      <w:rPr>
        <w:rFonts w:hint="default"/>
      </w:rPr>
    </w:lvl>
    <w:lvl w:ilvl="1">
      <w:start w:val="1"/>
      <w:numFmt w:val="decimal"/>
      <w:isLgl/>
      <w:lvlText w:val="%1.%2."/>
      <w:lvlJc w:val="left"/>
      <w:pPr>
        <w:ind w:left="491" w:hanging="207"/>
      </w:pPr>
      <w:rPr>
        <w:rFonts w:hint="default"/>
      </w:rPr>
    </w:lvl>
    <w:lvl w:ilvl="2">
      <w:start w:val="1"/>
      <w:numFmt w:val="decimal"/>
      <w:pStyle w:val="111Kasia"/>
      <w:isLgl/>
      <w:lvlText w:val="%1.%2.%3."/>
      <w:lvlJc w:val="left"/>
      <w:pPr>
        <w:ind w:left="1080" w:hanging="720"/>
      </w:pPr>
      <w:rPr>
        <w:rFonts w:hint="default"/>
      </w:rPr>
    </w:lvl>
    <w:lvl w:ilvl="3">
      <w:start w:val="1"/>
      <w:numFmt w:val="decimal"/>
      <w:isLgl/>
      <w:lvlText w:val="%1.%2.%3.%4."/>
      <w:lvlJc w:val="left"/>
      <w:pPr>
        <w:ind w:left="1080" w:hanging="72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440" w:hanging="108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1800" w:hanging="1440"/>
      </w:pPr>
      <w:rPr>
        <w:rFonts w:hint="default"/>
      </w:rPr>
    </w:lvl>
    <w:lvl w:ilvl="8">
      <w:start w:val="1"/>
      <w:numFmt w:val="decimal"/>
      <w:isLgl/>
      <w:lvlText w:val="%1.%2.%3.%4.%5.%6.%7.%8.%9."/>
      <w:lvlJc w:val="left"/>
      <w:pPr>
        <w:ind w:left="2160" w:hanging="1800"/>
      </w:pPr>
      <w:rPr>
        <w:rFonts w:hint="default"/>
      </w:rPr>
    </w:lvl>
  </w:abstractNum>
  <w:abstractNum w:abstractNumId="16">
    <w:nsid w:val="765E53FC"/>
    <w:multiLevelType w:val="hybridMultilevel"/>
    <w:tmpl w:val="41BE7FD6"/>
    <w:lvl w:ilvl="0" w:tplc="FFFFFFFF">
      <w:start w:val="1"/>
      <w:numFmt w:val="lowerLetter"/>
      <w:lvlText w:val="%1)"/>
      <w:lvlJc w:val="left"/>
      <w:pPr>
        <w:tabs>
          <w:tab w:val="num" w:pos="737"/>
        </w:tabs>
        <w:ind w:left="737" w:hanging="377"/>
      </w:pPr>
      <w:rPr>
        <w:rFonts w:hint="default"/>
      </w:rPr>
    </w:lvl>
    <w:lvl w:ilvl="1" w:tplc="FFFFFFFF" w:tentative="1">
      <w:start w:val="1"/>
      <w:numFmt w:val="lowerLetter"/>
      <w:lvlText w:val="%2."/>
      <w:lvlJc w:val="left"/>
      <w:pPr>
        <w:tabs>
          <w:tab w:val="num" w:pos="1440"/>
        </w:tabs>
        <w:ind w:left="1440" w:hanging="360"/>
      </w:pPr>
    </w:lvl>
    <w:lvl w:ilvl="2" w:tplc="FFFFFFFF" w:tentative="1">
      <w:start w:val="1"/>
      <w:numFmt w:val="lowerRoman"/>
      <w:lvlText w:val="%3."/>
      <w:lvlJc w:val="right"/>
      <w:pPr>
        <w:tabs>
          <w:tab w:val="num" w:pos="2160"/>
        </w:tabs>
        <w:ind w:left="2160" w:hanging="180"/>
      </w:pPr>
    </w:lvl>
    <w:lvl w:ilvl="3" w:tplc="FFFFFFFF" w:tentative="1">
      <w:start w:val="1"/>
      <w:numFmt w:val="decimal"/>
      <w:lvlText w:val="%4."/>
      <w:lvlJc w:val="left"/>
      <w:pPr>
        <w:tabs>
          <w:tab w:val="num" w:pos="2880"/>
        </w:tabs>
        <w:ind w:left="2880" w:hanging="360"/>
      </w:pPr>
    </w:lvl>
    <w:lvl w:ilvl="4" w:tplc="FFFFFFFF" w:tentative="1">
      <w:start w:val="1"/>
      <w:numFmt w:val="lowerLetter"/>
      <w:lvlText w:val="%5."/>
      <w:lvlJc w:val="left"/>
      <w:pPr>
        <w:tabs>
          <w:tab w:val="num" w:pos="3600"/>
        </w:tabs>
        <w:ind w:left="3600" w:hanging="360"/>
      </w:pPr>
    </w:lvl>
    <w:lvl w:ilvl="5" w:tplc="FFFFFFFF" w:tentative="1">
      <w:start w:val="1"/>
      <w:numFmt w:val="lowerRoman"/>
      <w:lvlText w:val="%6."/>
      <w:lvlJc w:val="right"/>
      <w:pPr>
        <w:tabs>
          <w:tab w:val="num" w:pos="4320"/>
        </w:tabs>
        <w:ind w:left="4320" w:hanging="180"/>
      </w:pPr>
    </w:lvl>
    <w:lvl w:ilvl="6" w:tplc="FFFFFFFF" w:tentative="1">
      <w:start w:val="1"/>
      <w:numFmt w:val="decimal"/>
      <w:lvlText w:val="%7."/>
      <w:lvlJc w:val="left"/>
      <w:pPr>
        <w:tabs>
          <w:tab w:val="num" w:pos="5040"/>
        </w:tabs>
        <w:ind w:left="5040" w:hanging="360"/>
      </w:pPr>
    </w:lvl>
    <w:lvl w:ilvl="7" w:tplc="FFFFFFFF" w:tentative="1">
      <w:start w:val="1"/>
      <w:numFmt w:val="lowerLetter"/>
      <w:lvlText w:val="%8."/>
      <w:lvlJc w:val="left"/>
      <w:pPr>
        <w:tabs>
          <w:tab w:val="num" w:pos="5760"/>
        </w:tabs>
        <w:ind w:left="5760" w:hanging="360"/>
      </w:pPr>
    </w:lvl>
    <w:lvl w:ilvl="8" w:tplc="FFFFFFFF" w:tentative="1">
      <w:start w:val="1"/>
      <w:numFmt w:val="lowerRoman"/>
      <w:lvlText w:val="%9."/>
      <w:lvlJc w:val="right"/>
      <w:pPr>
        <w:tabs>
          <w:tab w:val="num" w:pos="6480"/>
        </w:tabs>
        <w:ind w:left="6480" w:hanging="180"/>
      </w:pPr>
    </w:lvl>
  </w:abstractNum>
  <w:num w:numId="1">
    <w:abstractNumId w:val="0"/>
    <w:lvlOverride w:ilvl="0">
      <w:lvl w:ilvl="0">
        <w:start w:val="1"/>
        <w:numFmt w:val="bullet"/>
        <w:lvlText w:val=""/>
        <w:legacy w:legacy="1" w:legacySpace="0" w:legacyIndent="283"/>
        <w:lvlJc w:val="left"/>
        <w:pPr>
          <w:ind w:left="283" w:hanging="283"/>
        </w:pPr>
        <w:rPr>
          <w:rFonts w:ascii="Symbol" w:hAnsi="Symbol" w:hint="default"/>
        </w:rPr>
      </w:lvl>
    </w:lvlOverride>
  </w:num>
  <w:num w:numId="2">
    <w:abstractNumId w:val="8"/>
  </w:num>
  <w:num w:numId="3">
    <w:abstractNumId w:val="1"/>
  </w:num>
  <w:num w:numId="4">
    <w:abstractNumId w:val="5"/>
  </w:num>
  <w:num w:numId="5">
    <w:abstractNumId w:val="14"/>
  </w:num>
  <w:num w:numId="6">
    <w:abstractNumId w:val="10"/>
  </w:num>
  <w:num w:numId="7">
    <w:abstractNumId w:val="15"/>
  </w:num>
  <w:num w:numId="8">
    <w:abstractNumId w:val="4"/>
  </w:num>
  <w:num w:numId="9">
    <w:abstractNumId w:val="12"/>
  </w:num>
  <w:num w:numId="10">
    <w:abstractNumId w:val="11"/>
  </w:num>
  <w:num w:numId="11">
    <w:abstractNumId w:val="13"/>
  </w:num>
  <w:num w:numId="12">
    <w:abstractNumId w:val="6"/>
  </w:num>
  <w:num w:numId="13">
    <w:abstractNumId w:val="2"/>
  </w:num>
  <w:num w:numId="14">
    <w:abstractNumId w:val="3"/>
  </w:num>
  <w:num w:numId="15">
    <w:abstractNumId w:val="9"/>
  </w:num>
  <w:num w:numId="16">
    <w:abstractNumId w:val="7"/>
  </w:num>
  <w:num w:numId="17">
    <w:abstractNumId w:val="16"/>
  </w:num>
  <w:numIdMacAtCleanup w:val="17"/>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10"/>
  <w:defaultTabStop w:val="708"/>
  <w:hyphenationZone w:val="425"/>
  <w:drawingGridHorizontalSpacing w:val="100"/>
  <w:displayHorizontalDrawingGridEvery w:val="2"/>
  <w:characterSpacingControl w:val="doNotCompress"/>
  <w:footnotePr>
    <w:footnote w:id="-1"/>
    <w:footnote w:id="0"/>
  </w:footnotePr>
  <w:endnotePr>
    <w:endnote w:id="-1"/>
    <w:endnote w:id="0"/>
  </w:endnotePr>
  <w:compat/>
  <w:rsids>
    <w:rsidRoot w:val="000F437A"/>
    <w:rsid w:val="000229FB"/>
    <w:rsid w:val="00052A91"/>
    <w:rsid w:val="00054F0C"/>
    <w:rsid w:val="000628FB"/>
    <w:rsid w:val="00072571"/>
    <w:rsid w:val="0007731E"/>
    <w:rsid w:val="000850A9"/>
    <w:rsid w:val="000B073E"/>
    <w:rsid w:val="000C27BF"/>
    <w:rsid w:val="000C41EC"/>
    <w:rsid w:val="000C7440"/>
    <w:rsid w:val="000E0CE1"/>
    <w:rsid w:val="000E55F0"/>
    <w:rsid w:val="000F437A"/>
    <w:rsid w:val="000F5ED4"/>
    <w:rsid w:val="000F7591"/>
    <w:rsid w:val="00132408"/>
    <w:rsid w:val="00134B2C"/>
    <w:rsid w:val="001371EA"/>
    <w:rsid w:val="00141829"/>
    <w:rsid w:val="0014295F"/>
    <w:rsid w:val="00150E76"/>
    <w:rsid w:val="0017784A"/>
    <w:rsid w:val="00180FC1"/>
    <w:rsid w:val="0018327E"/>
    <w:rsid w:val="00190CF5"/>
    <w:rsid w:val="001A74FB"/>
    <w:rsid w:val="001C0466"/>
    <w:rsid w:val="001C1829"/>
    <w:rsid w:val="001D3D69"/>
    <w:rsid w:val="001E3470"/>
    <w:rsid w:val="001E5422"/>
    <w:rsid w:val="001F3A98"/>
    <w:rsid w:val="001F413E"/>
    <w:rsid w:val="001F5E2E"/>
    <w:rsid w:val="001F742D"/>
    <w:rsid w:val="002075C4"/>
    <w:rsid w:val="002165D3"/>
    <w:rsid w:val="00243528"/>
    <w:rsid w:val="0025441C"/>
    <w:rsid w:val="00254A49"/>
    <w:rsid w:val="00276B01"/>
    <w:rsid w:val="002B2C83"/>
    <w:rsid w:val="002B5F8C"/>
    <w:rsid w:val="002C062E"/>
    <w:rsid w:val="002C4163"/>
    <w:rsid w:val="002C49DF"/>
    <w:rsid w:val="002C6A04"/>
    <w:rsid w:val="00301193"/>
    <w:rsid w:val="00324348"/>
    <w:rsid w:val="00327050"/>
    <w:rsid w:val="00335842"/>
    <w:rsid w:val="00376DA1"/>
    <w:rsid w:val="00377B5A"/>
    <w:rsid w:val="003843CA"/>
    <w:rsid w:val="00394E52"/>
    <w:rsid w:val="00396E65"/>
    <w:rsid w:val="003A6EB3"/>
    <w:rsid w:val="003B24B4"/>
    <w:rsid w:val="003C29E2"/>
    <w:rsid w:val="003C449D"/>
    <w:rsid w:val="003D1A70"/>
    <w:rsid w:val="003E2164"/>
    <w:rsid w:val="003E64B2"/>
    <w:rsid w:val="003F2141"/>
    <w:rsid w:val="003F25E7"/>
    <w:rsid w:val="004000ED"/>
    <w:rsid w:val="0040357F"/>
    <w:rsid w:val="004161D9"/>
    <w:rsid w:val="00416CD4"/>
    <w:rsid w:val="00417278"/>
    <w:rsid w:val="0043130B"/>
    <w:rsid w:val="00450ACE"/>
    <w:rsid w:val="004767DA"/>
    <w:rsid w:val="0049292B"/>
    <w:rsid w:val="004A5932"/>
    <w:rsid w:val="004B054E"/>
    <w:rsid w:val="004C6995"/>
    <w:rsid w:val="004D7008"/>
    <w:rsid w:val="004E39E7"/>
    <w:rsid w:val="004E5CC8"/>
    <w:rsid w:val="00536632"/>
    <w:rsid w:val="00556540"/>
    <w:rsid w:val="00575C10"/>
    <w:rsid w:val="00582D07"/>
    <w:rsid w:val="005A3F2A"/>
    <w:rsid w:val="005D7D19"/>
    <w:rsid w:val="005E0483"/>
    <w:rsid w:val="005E39DC"/>
    <w:rsid w:val="00614B0A"/>
    <w:rsid w:val="00630026"/>
    <w:rsid w:val="006456E2"/>
    <w:rsid w:val="0065140B"/>
    <w:rsid w:val="006630A3"/>
    <w:rsid w:val="0066462B"/>
    <w:rsid w:val="00666F76"/>
    <w:rsid w:val="00671D68"/>
    <w:rsid w:val="0069484F"/>
    <w:rsid w:val="006A6E4E"/>
    <w:rsid w:val="006B1B72"/>
    <w:rsid w:val="006C0559"/>
    <w:rsid w:val="00722F1D"/>
    <w:rsid w:val="00727072"/>
    <w:rsid w:val="0073077E"/>
    <w:rsid w:val="00731449"/>
    <w:rsid w:val="00737525"/>
    <w:rsid w:val="00737B18"/>
    <w:rsid w:val="00753E52"/>
    <w:rsid w:val="00767BBC"/>
    <w:rsid w:val="007839CF"/>
    <w:rsid w:val="00785F00"/>
    <w:rsid w:val="00786727"/>
    <w:rsid w:val="007A1748"/>
    <w:rsid w:val="007A3E8C"/>
    <w:rsid w:val="007A7DB9"/>
    <w:rsid w:val="007E21DD"/>
    <w:rsid w:val="007E6378"/>
    <w:rsid w:val="00802964"/>
    <w:rsid w:val="0080788D"/>
    <w:rsid w:val="00831CFB"/>
    <w:rsid w:val="008545BB"/>
    <w:rsid w:val="00864D7C"/>
    <w:rsid w:val="00874DF4"/>
    <w:rsid w:val="008A6952"/>
    <w:rsid w:val="008D16FB"/>
    <w:rsid w:val="008D73A3"/>
    <w:rsid w:val="008E4200"/>
    <w:rsid w:val="008F20A4"/>
    <w:rsid w:val="0090450D"/>
    <w:rsid w:val="00907256"/>
    <w:rsid w:val="00936131"/>
    <w:rsid w:val="00953469"/>
    <w:rsid w:val="00992377"/>
    <w:rsid w:val="009B4F21"/>
    <w:rsid w:val="009B7604"/>
    <w:rsid w:val="009B7C43"/>
    <w:rsid w:val="009D4659"/>
    <w:rsid w:val="009F0790"/>
    <w:rsid w:val="00A0310B"/>
    <w:rsid w:val="00A40D5E"/>
    <w:rsid w:val="00A45FE2"/>
    <w:rsid w:val="00A547A4"/>
    <w:rsid w:val="00A71347"/>
    <w:rsid w:val="00AA5B22"/>
    <w:rsid w:val="00AB299E"/>
    <w:rsid w:val="00AB6A92"/>
    <w:rsid w:val="00AD54A3"/>
    <w:rsid w:val="00AE2195"/>
    <w:rsid w:val="00AE2508"/>
    <w:rsid w:val="00AE2AE6"/>
    <w:rsid w:val="00AE38A4"/>
    <w:rsid w:val="00AF0683"/>
    <w:rsid w:val="00B017B2"/>
    <w:rsid w:val="00B14396"/>
    <w:rsid w:val="00B27A92"/>
    <w:rsid w:val="00B36965"/>
    <w:rsid w:val="00B44B91"/>
    <w:rsid w:val="00B46C53"/>
    <w:rsid w:val="00B61884"/>
    <w:rsid w:val="00B6548E"/>
    <w:rsid w:val="00B74746"/>
    <w:rsid w:val="00B8084E"/>
    <w:rsid w:val="00B83F88"/>
    <w:rsid w:val="00B84DDA"/>
    <w:rsid w:val="00B96EFD"/>
    <w:rsid w:val="00B97A47"/>
    <w:rsid w:val="00BB1234"/>
    <w:rsid w:val="00BB2441"/>
    <w:rsid w:val="00BB4DAA"/>
    <w:rsid w:val="00BD5D4E"/>
    <w:rsid w:val="00BD7F4A"/>
    <w:rsid w:val="00BE7315"/>
    <w:rsid w:val="00C26550"/>
    <w:rsid w:val="00C3299C"/>
    <w:rsid w:val="00C50010"/>
    <w:rsid w:val="00C55F36"/>
    <w:rsid w:val="00C56AA0"/>
    <w:rsid w:val="00C675A0"/>
    <w:rsid w:val="00C77850"/>
    <w:rsid w:val="00CB4B2C"/>
    <w:rsid w:val="00CB5EC7"/>
    <w:rsid w:val="00CF1366"/>
    <w:rsid w:val="00D01561"/>
    <w:rsid w:val="00D11375"/>
    <w:rsid w:val="00D11D84"/>
    <w:rsid w:val="00D125CC"/>
    <w:rsid w:val="00D30B13"/>
    <w:rsid w:val="00D30B71"/>
    <w:rsid w:val="00D34B73"/>
    <w:rsid w:val="00D553DB"/>
    <w:rsid w:val="00D56A20"/>
    <w:rsid w:val="00D711DD"/>
    <w:rsid w:val="00DA30ED"/>
    <w:rsid w:val="00DC63C2"/>
    <w:rsid w:val="00DD5715"/>
    <w:rsid w:val="00DD6655"/>
    <w:rsid w:val="00DE1FD1"/>
    <w:rsid w:val="00DE319C"/>
    <w:rsid w:val="00DE75B4"/>
    <w:rsid w:val="00DF25DF"/>
    <w:rsid w:val="00E005EB"/>
    <w:rsid w:val="00E007C7"/>
    <w:rsid w:val="00E151AC"/>
    <w:rsid w:val="00E21692"/>
    <w:rsid w:val="00E3045E"/>
    <w:rsid w:val="00E627A3"/>
    <w:rsid w:val="00E65458"/>
    <w:rsid w:val="00E86A6B"/>
    <w:rsid w:val="00E90E02"/>
    <w:rsid w:val="00EB6163"/>
    <w:rsid w:val="00ED53FE"/>
    <w:rsid w:val="00EE12D7"/>
    <w:rsid w:val="00EF2996"/>
    <w:rsid w:val="00EF7FDC"/>
    <w:rsid w:val="00F0343D"/>
    <w:rsid w:val="00F0370A"/>
    <w:rsid w:val="00F040CD"/>
    <w:rsid w:val="00F110DD"/>
    <w:rsid w:val="00F27F09"/>
    <w:rsid w:val="00F35C31"/>
    <w:rsid w:val="00F45E03"/>
    <w:rsid w:val="00F57373"/>
    <w:rsid w:val="00F87A34"/>
    <w:rsid w:val="00FD47C7"/>
    <w:rsid w:val="00FD61BC"/>
    <w:rsid w:val="00FE68D9"/>
    <w:rsid w:val="00FF079E"/>
  </w:rsids>
  <m:mathPr>
    <m:mathFont m:val="Cambria Math"/>
    <m:brkBin m:val="before"/>
    <m:brkBinSub m:val="--"/>
    <m:smallFrac m:val="off"/>
    <m:dispDef/>
    <m:lMargin m:val="0"/>
    <m:rMargin m:val="0"/>
    <m:defJc m:val="centerGroup"/>
    <m:wrapIndent m:val="1440"/>
    <m:intLim m:val="subSup"/>
    <m:naryLim m:val="undOvr"/>
  </m:mathPr>
  <w:themeFontLang w:val="pl-PL"/>
  <w:clrSchemeMapping w:bg1="light1" w:t1="dark1" w:bg2="light2" w:t2="dark2" w:accent1="accent1" w:accent2="accent2" w:accent3="accent3" w:accent4="accent4" w:accent5="accent5" w:accent6="accent6" w:hyperlink="hyperlink" w:followedHyperlink="followedHyperlink"/>
  <w:smartTagType w:namespaceuri="urn:schemas-microsoft-com:office:smarttags" w:name="metricconverter"/>
  <w:shapeDefaults>
    <o:shapedefaults v:ext="edit" spidmax="2050"/>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Theme="minorHAnsi" w:eastAsiaTheme="minorHAnsi" w:hAnsiTheme="minorHAnsi" w:cstheme="minorBidi"/>
        <w:sz w:val="22"/>
        <w:szCs w:val="22"/>
        <w:lang w:val="pl-PL"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0" w:unhideWhenUsed="0" w:qFormat="1"/>
    <w:lsdException w:name="heading 2" w:uiPriority="0" w:qFormat="1"/>
    <w:lsdException w:name="heading 3" w:uiPriority="0" w:qFormat="1"/>
    <w:lsdException w:name="heading 4" w:uiPriority="0" w:qFormat="1"/>
    <w:lsdException w:name="heading 5" w:uiPriority="0" w:qFormat="1"/>
    <w:lsdException w:name="heading 6" w:uiPriority="0" w:qFormat="1"/>
    <w:lsdException w:name="heading 7" w:uiPriority="0" w:qFormat="1"/>
    <w:lsdException w:name="heading 8" w:uiPriority="0" w:qFormat="1"/>
    <w:lsdException w:name="heading 9" w:uiPriority="0" w:qFormat="1"/>
    <w:lsdException w:name="index 4" w:uiPriority="0"/>
    <w:lsdException w:name="toc 1" w:uiPriority="39" w:qFormat="1"/>
    <w:lsdException w:name="toc 2" w:uiPriority="39" w:qFormat="1"/>
    <w:lsdException w:name="toc 3" w:uiPriority="39" w:qFormat="1"/>
    <w:lsdException w:name="toc 4" w:uiPriority="39"/>
    <w:lsdException w:name="toc 5" w:uiPriority="39"/>
    <w:lsdException w:name="toc 6" w:uiPriority="39"/>
    <w:lsdException w:name="toc 7" w:uiPriority="39"/>
    <w:lsdException w:name="toc 8" w:uiPriority="39"/>
    <w:lsdException w:name="toc 9" w:uiPriority="39"/>
    <w:lsdException w:name="footnote text" w:uiPriority="0"/>
    <w:lsdException w:name="annotation text" w:uiPriority="0"/>
    <w:lsdException w:name="footer" w:uiPriority="0"/>
    <w:lsdException w:name="caption" w:uiPriority="0" w:qFormat="1"/>
    <w:lsdException w:name="footnote reference" w:uiPriority="0"/>
    <w:lsdException w:name="annotation reference" w:uiPriority="0"/>
    <w:lsdException w:name="page number" w:uiPriority="0"/>
    <w:lsdException w:name="endnote reference" w:uiPriority="0"/>
    <w:lsdException w:name="endnote text" w:uiPriority="0"/>
    <w:lsdException w:name="List" w:uiPriority="0"/>
    <w:lsdException w:name="List Bullet" w:uiPriority="0"/>
    <w:lsdException w:name="List Bullet 3" w:uiPriority="0"/>
    <w:lsdException w:name="List Number 2" w:uiPriority="0"/>
    <w:lsdException w:name="Title" w:semiHidden="0" w:uiPriority="0" w:unhideWhenUsed="0" w:qFormat="1"/>
    <w:lsdException w:name="Default Paragraph Font" w:uiPriority="1"/>
    <w:lsdException w:name="Body Text" w:uiPriority="0"/>
    <w:lsdException w:name="Body Text Indent" w:uiPriority="0"/>
    <w:lsdException w:name="List Continue" w:uiPriority="0"/>
    <w:lsdException w:name="List Continue 2" w:uiPriority="0"/>
    <w:lsdException w:name="Subtitle" w:semiHidden="0" w:uiPriority="0" w:unhideWhenUsed="0" w:qFormat="1"/>
    <w:lsdException w:name="Body Text 2" w:uiPriority="0"/>
    <w:lsdException w:name="Body Text 3" w:uiPriority="0"/>
    <w:lsdException w:name="Body Text Indent 2" w:uiPriority="0"/>
    <w:lsdException w:name="Body Text Indent 3" w:uiPriority="0"/>
    <w:lsdException w:name="Block Text" w:uiPriority="0"/>
    <w:lsdException w:name="FollowedHyperlink" w:uiPriority="0"/>
    <w:lsdException w:name="Strong" w:semiHidden="0" w:uiPriority="0" w:unhideWhenUsed="0" w:qFormat="1"/>
    <w:lsdException w:name="Emphasis" w:semiHidden="0" w:uiPriority="20" w:unhideWhenUsed="0" w:qFormat="1"/>
    <w:lsdException w:name="Document Map" w:uiPriority="0"/>
    <w:lsdException w:name="Plain Text" w:uiPriority="0"/>
    <w:lsdException w:name="Normal (Web)" w:uiPriority="0"/>
    <w:lsdException w:name="annotation subject" w:uiPriority="0"/>
    <w:lsdException w:name="Table Grid" w:semiHidden="0" w:uiPriority="0"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ny">
    <w:name w:val="Normal"/>
    <w:aliases w:val="tekst"/>
    <w:qFormat/>
    <w:rsid w:val="000F437A"/>
    <w:pPr>
      <w:overflowPunct w:val="0"/>
      <w:autoSpaceDE w:val="0"/>
      <w:autoSpaceDN w:val="0"/>
      <w:adjustRightInd w:val="0"/>
      <w:spacing w:after="0" w:line="240" w:lineRule="auto"/>
      <w:jc w:val="both"/>
      <w:textAlignment w:val="baseline"/>
    </w:pPr>
    <w:rPr>
      <w:rFonts w:ascii="Times New Roman" w:eastAsia="Times New Roman" w:hAnsi="Times New Roman" w:cs="Times New Roman"/>
      <w:sz w:val="20"/>
      <w:szCs w:val="20"/>
      <w:lang w:eastAsia="pl-PL"/>
    </w:rPr>
  </w:style>
  <w:style w:type="paragraph" w:styleId="Nagwek1">
    <w:name w:val="heading 1"/>
    <w:basedOn w:val="Normalny"/>
    <w:next w:val="Normalny"/>
    <w:link w:val="Nagwek1Znak"/>
    <w:qFormat/>
    <w:rsid w:val="004767DA"/>
    <w:pPr>
      <w:keepNext/>
      <w:keepLines/>
      <w:suppressAutoHyphens/>
      <w:spacing w:before="240" w:after="120"/>
      <w:outlineLvl w:val="0"/>
    </w:pPr>
    <w:rPr>
      <w:b/>
      <w:caps/>
      <w:kern w:val="28"/>
    </w:rPr>
  </w:style>
  <w:style w:type="paragraph" w:styleId="Nagwek2">
    <w:name w:val="heading 2"/>
    <w:aliases w:val="Title 2"/>
    <w:basedOn w:val="Normalny"/>
    <w:next w:val="Normalny"/>
    <w:link w:val="Nagwek2Znak"/>
    <w:qFormat/>
    <w:rsid w:val="004767DA"/>
    <w:pPr>
      <w:keepNext/>
      <w:spacing w:before="120" w:after="120"/>
      <w:outlineLvl w:val="1"/>
    </w:pPr>
    <w:rPr>
      <w:b/>
    </w:rPr>
  </w:style>
  <w:style w:type="paragraph" w:styleId="Nagwek3">
    <w:name w:val="heading 3"/>
    <w:basedOn w:val="Normalny"/>
    <w:next w:val="Normalny"/>
    <w:link w:val="Nagwek3Znak"/>
    <w:qFormat/>
    <w:rsid w:val="004767DA"/>
    <w:pPr>
      <w:keepNext/>
      <w:spacing w:before="60" w:after="60"/>
      <w:outlineLvl w:val="2"/>
    </w:pPr>
  </w:style>
  <w:style w:type="paragraph" w:styleId="Nagwek4">
    <w:name w:val="heading 4"/>
    <w:basedOn w:val="Normalny"/>
    <w:next w:val="Normalny"/>
    <w:link w:val="Nagwek4Znak"/>
    <w:qFormat/>
    <w:rsid w:val="00AD54A3"/>
    <w:pPr>
      <w:keepNext/>
      <w:overflowPunct/>
      <w:autoSpaceDE/>
      <w:autoSpaceDN/>
      <w:adjustRightInd/>
      <w:spacing w:before="240" w:after="60"/>
      <w:jc w:val="left"/>
      <w:textAlignment w:val="auto"/>
      <w:outlineLvl w:val="3"/>
    </w:pPr>
    <w:rPr>
      <w:b/>
      <w:bCs/>
      <w:sz w:val="28"/>
      <w:szCs w:val="28"/>
    </w:rPr>
  </w:style>
  <w:style w:type="paragraph" w:styleId="Nagwek5">
    <w:name w:val="heading 5"/>
    <w:basedOn w:val="Normalny"/>
    <w:next w:val="Normalny"/>
    <w:link w:val="Nagwek5Znak"/>
    <w:qFormat/>
    <w:rsid w:val="00AD54A3"/>
    <w:pPr>
      <w:overflowPunct/>
      <w:autoSpaceDE/>
      <w:autoSpaceDN/>
      <w:adjustRightInd/>
      <w:spacing w:before="240" w:after="60"/>
      <w:jc w:val="left"/>
      <w:textAlignment w:val="auto"/>
      <w:outlineLvl w:val="4"/>
    </w:pPr>
    <w:rPr>
      <w:b/>
      <w:bCs/>
      <w:i/>
      <w:iCs/>
      <w:sz w:val="26"/>
      <w:szCs w:val="26"/>
      <w:lang w:eastAsia="en-US"/>
    </w:rPr>
  </w:style>
  <w:style w:type="paragraph" w:styleId="Nagwek6">
    <w:name w:val="heading 6"/>
    <w:basedOn w:val="Normalny"/>
    <w:next w:val="Normalny"/>
    <w:link w:val="Nagwek6Znak"/>
    <w:qFormat/>
    <w:rsid w:val="00AD54A3"/>
    <w:pPr>
      <w:overflowPunct/>
      <w:autoSpaceDE/>
      <w:autoSpaceDN/>
      <w:adjustRightInd/>
      <w:spacing w:before="240" w:after="60"/>
      <w:jc w:val="left"/>
      <w:textAlignment w:val="auto"/>
      <w:outlineLvl w:val="5"/>
    </w:pPr>
    <w:rPr>
      <w:b/>
      <w:bCs/>
      <w:sz w:val="22"/>
      <w:szCs w:val="22"/>
    </w:rPr>
  </w:style>
  <w:style w:type="paragraph" w:styleId="Nagwek7">
    <w:name w:val="heading 7"/>
    <w:basedOn w:val="Normalny"/>
    <w:next w:val="Normalny"/>
    <w:link w:val="Nagwek7Znak"/>
    <w:qFormat/>
    <w:rsid w:val="00AD54A3"/>
    <w:pPr>
      <w:overflowPunct/>
      <w:autoSpaceDE/>
      <w:autoSpaceDN/>
      <w:adjustRightInd/>
      <w:spacing w:before="240" w:after="60"/>
      <w:jc w:val="left"/>
      <w:textAlignment w:val="auto"/>
      <w:outlineLvl w:val="6"/>
    </w:pPr>
    <w:rPr>
      <w:sz w:val="24"/>
      <w:szCs w:val="24"/>
    </w:rPr>
  </w:style>
  <w:style w:type="paragraph" w:styleId="Nagwek8">
    <w:name w:val="heading 8"/>
    <w:basedOn w:val="Normalny"/>
    <w:next w:val="Normalny"/>
    <w:link w:val="Nagwek8Znak"/>
    <w:qFormat/>
    <w:rsid w:val="00AD54A3"/>
    <w:pPr>
      <w:keepNext/>
      <w:overflowPunct/>
      <w:autoSpaceDE/>
      <w:autoSpaceDN/>
      <w:adjustRightInd/>
      <w:jc w:val="center"/>
      <w:textAlignment w:val="auto"/>
      <w:outlineLvl w:val="7"/>
    </w:pPr>
    <w:rPr>
      <w:b/>
      <w:sz w:val="44"/>
    </w:rPr>
  </w:style>
  <w:style w:type="paragraph" w:styleId="Nagwek9">
    <w:name w:val="heading 9"/>
    <w:basedOn w:val="Normalny"/>
    <w:next w:val="Normalny"/>
    <w:link w:val="Nagwek9Znak"/>
    <w:qFormat/>
    <w:rsid w:val="00AD54A3"/>
    <w:pPr>
      <w:overflowPunct/>
      <w:autoSpaceDE/>
      <w:autoSpaceDN/>
      <w:adjustRightInd/>
      <w:spacing w:before="240" w:after="60" w:line="360" w:lineRule="auto"/>
      <w:jc w:val="left"/>
      <w:textAlignment w:val="auto"/>
      <w:outlineLvl w:val="8"/>
    </w:pPr>
    <w:rPr>
      <w:rFonts w:ascii="Arial" w:hAnsi="Arial"/>
      <w:sz w:val="22"/>
      <w:szCs w:val="22"/>
    </w:rPr>
  </w:style>
  <w:style w:type="character" w:default="1" w:styleId="Domylnaczcionkaakapitu">
    <w:name w:val="Default Paragraph Font"/>
    <w:uiPriority w:val="1"/>
    <w:semiHidden/>
    <w:unhideWhenUsed/>
  </w:style>
  <w:style w:type="table" w:default="1" w:styleId="Standardowy">
    <w:name w:val="Normal Table"/>
    <w:uiPriority w:val="99"/>
    <w:semiHidden/>
    <w:unhideWhenUsed/>
    <w:qFormat/>
    <w:tblPr>
      <w:tblInd w:w="0" w:type="dxa"/>
      <w:tblCellMar>
        <w:top w:w="0" w:type="dxa"/>
        <w:left w:w="108" w:type="dxa"/>
        <w:bottom w:w="0" w:type="dxa"/>
        <w:right w:w="108" w:type="dxa"/>
      </w:tblCellMar>
    </w:tblPr>
  </w:style>
  <w:style w:type="numbering" w:default="1" w:styleId="Bezlisty">
    <w:name w:val="No List"/>
    <w:uiPriority w:val="99"/>
    <w:semiHidden/>
    <w:unhideWhenUsed/>
  </w:style>
  <w:style w:type="paragraph" w:styleId="Nagwek">
    <w:name w:val="header"/>
    <w:basedOn w:val="Normalny"/>
    <w:link w:val="NagwekZnak"/>
    <w:uiPriority w:val="99"/>
    <w:unhideWhenUsed/>
    <w:rsid w:val="000F437A"/>
    <w:pPr>
      <w:tabs>
        <w:tab w:val="center" w:pos="4536"/>
        <w:tab w:val="right" w:pos="9072"/>
      </w:tabs>
    </w:pPr>
  </w:style>
  <w:style w:type="character" w:customStyle="1" w:styleId="NagwekZnak">
    <w:name w:val="Nagłówek Znak"/>
    <w:basedOn w:val="Domylnaczcionkaakapitu"/>
    <w:link w:val="Nagwek"/>
    <w:uiPriority w:val="99"/>
    <w:rsid w:val="000F437A"/>
  </w:style>
  <w:style w:type="paragraph" w:styleId="Stopka">
    <w:name w:val="footer"/>
    <w:basedOn w:val="Normalny"/>
    <w:link w:val="StopkaZnak"/>
    <w:unhideWhenUsed/>
    <w:rsid w:val="000F437A"/>
    <w:pPr>
      <w:tabs>
        <w:tab w:val="center" w:pos="4536"/>
        <w:tab w:val="right" w:pos="9072"/>
      </w:tabs>
    </w:pPr>
  </w:style>
  <w:style w:type="character" w:customStyle="1" w:styleId="StopkaZnak">
    <w:name w:val="Stopka Znak"/>
    <w:basedOn w:val="Domylnaczcionkaakapitu"/>
    <w:link w:val="Stopka"/>
    <w:rsid w:val="000F437A"/>
  </w:style>
  <w:style w:type="paragraph" w:styleId="Tekstdymka">
    <w:name w:val="Balloon Text"/>
    <w:basedOn w:val="Normalny"/>
    <w:link w:val="TekstdymkaZnak"/>
    <w:uiPriority w:val="99"/>
    <w:unhideWhenUsed/>
    <w:rsid w:val="000F437A"/>
    <w:rPr>
      <w:rFonts w:ascii="Tahoma" w:hAnsi="Tahoma" w:cs="Tahoma"/>
      <w:sz w:val="16"/>
      <w:szCs w:val="16"/>
    </w:rPr>
  </w:style>
  <w:style w:type="character" w:customStyle="1" w:styleId="TekstdymkaZnak">
    <w:name w:val="Tekst dymka Znak"/>
    <w:basedOn w:val="Domylnaczcionkaakapitu"/>
    <w:link w:val="Tekstdymka"/>
    <w:uiPriority w:val="99"/>
    <w:rsid w:val="000F437A"/>
    <w:rPr>
      <w:rFonts w:ascii="Tahoma" w:hAnsi="Tahoma" w:cs="Tahoma"/>
      <w:sz w:val="16"/>
      <w:szCs w:val="16"/>
    </w:rPr>
  </w:style>
  <w:style w:type="character" w:customStyle="1" w:styleId="Nagwek1Znak">
    <w:name w:val="Nagłówek 1 Znak"/>
    <w:basedOn w:val="Domylnaczcionkaakapitu"/>
    <w:link w:val="Nagwek1"/>
    <w:rsid w:val="004767DA"/>
    <w:rPr>
      <w:rFonts w:ascii="Times New Roman" w:eastAsia="Times New Roman" w:hAnsi="Times New Roman" w:cs="Times New Roman"/>
      <w:b/>
      <w:caps/>
      <w:kern w:val="28"/>
      <w:sz w:val="20"/>
      <w:szCs w:val="20"/>
      <w:lang w:eastAsia="pl-PL"/>
    </w:rPr>
  </w:style>
  <w:style w:type="character" w:customStyle="1" w:styleId="Nagwek2Znak">
    <w:name w:val="Nagłówek 2 Znak"/>
    <w:aliases w:val="Title 2 Znak"/>
    <w:basedOn w:val="Domylnaczcionkaakapitu"/>
    <w:link w:val="Nagwek2"/>
    <w:rsid w:val="004767DA"/>
    <w:rPr>
      <w:rFonts w:ascii="Times New Roman" w:eastAsia="Times New Roman" w:hAnsi="Times New Roman" w:cs="Times New Roman"/>
      <w:b/>
      <w:sz w:val="20"/>
      <w:szCs w:val="20"/>
      <w:lang w:eastAsia="pl-PL"/>
    </w:rPr>
  </w:style>
  <w:style w:type="character" w:customStyle="1" w:styleId="Nagwek3Znak">
    <w:name w:val="Nagłówek 3 Znak"/>
    <w:basedOn w:val="Domylnaczcionkaakapitu"/>
    <w:link w:val="Nagwek3"/>
    <w:rsid w:val="004767DA"/>
    <w:rPr>
      <w:rFonts w:ascii="Times New Roman" w:eastAsia="Times New Roman" w:hAnsi="Times New Roman" w:cs="Times New Roman"/>
      <w:sz w:val="20"/>
      <w:szCs w:val="20"/>
      <w:lang w:eastAsia="pl-PL"/>
    </w:rPr>
  </w:style>
  <w:style w:type="paragraph" w:styleId="Spistreci1">
    <w:name w:val="toc 1"/>
    <w:basedOn w:val="Normalny"/>
    <w:next w:val="Normalny"/>
    <w:link w:val="Spistreci1Znak"/>
    <w:uiPriority w:val="39"/>
    <w:qFormat/>
    <w:rsid w:val="004767DA"/>
    <w:pPr>
      <w:tabs>
        <w:tab w:val="right" w:leader="dot" w:pos="7371"/>
      </w:tabs>
      <w:spacing w:before="120" w:after="120"/>
      <w:jc w:val="left"/>
    </w:pPr>
    <w:rPr>
      <w:b/>
      <w:caps/>
    </w:rPr>
  </w:style>
  <w:style w:type="paragraph" w:styleId="Spistreci2">
    <w:name w:val="toc 2"/>
    <w:basedOn w:val="Normalny"/>
    <w:next w:val="Normalny"/>
    <w:uiPriority w:val="39"/>
    <w:qFormat/>
    <w:rsid w:val="004767DA"/>
    <w:pPr>
      <w:tabs>
        <w:tab w:val="right" w:leader="dot" w:pos="7371"/>
      </w:tabs>
      <w:ind w:left="200"/>
      <w:jc w:val="left"/>
    </w:pPr>
  </w:style>
  <w:style w:type="paragraph" w:styleId="Spistreci3">
    <w:name w:val="toc 3"/>
    <w:basedOn w:val="Normalny"/>
    <w:next w:val="Normalny"/>
    <w:uiPriority w:val="39"/>
    <w:qFormat/>
    <w:rsid w:val="004767DA"/>
    <w:pPr>
      <w:tabs>
        <w:tab w:val="right" w:leader="dot" w:pos="7371"/>
      </w:tabs>
      <w:ind w:left="400"/>
      <w:jc w:val="left"/>
    </w:pPr>
  </w:style>
  <w:style w:type="paragraph" w:styleId="Spistreci4">
    <w:name w:val="toc 4"/>
    <w:basedOn w:val="Normalny"/>
    <w:next w:val="Normalny"/>
    <w:uiPriority w:val="39"/>
    <w:rsid w:val="004767DA"/>
    <w:pPr>
      <w:tabs>
        <w:tab w:val="right" w:leader="dot" w:pos="7371"/>
      </w:tabs>
      <w:ind w:left="600"/>
      <w:jc w:val="left"/>
    </w:pPr>
    <w:rPr>
      <w:sz w:val="18"/>
    </w:rPr>
  </w:style>
  <w:style w:type="paragraph" w:styleId="Spistreci5">
    <w:name w:val="toc 5"/>
    <w:basedOn w:val="Normalny"/>
    <w:next w:val="Normalny"/>
    <w:uiPriority w:val="39"/>
    <w:rsid w:val="004767DA"/>
    <w:pPr>
      <w:tabs>
        <w:tab w:val="right" w:leader="dot" w:pos="7371"/>
      </w:tabs>
      <w:ind w:left="800"/>
      <w:jc w:val="left"/>
    </w:pPr>
    <w:rPr>
      <w:sz w:val="18"/>
    </w:rPr>
  </w:style>
  <w:style w:type="paragraph" w:styleId="Spistreci6">
    <w:name w:val="toc 6"/>
    <w:basedOn w:val="Normalny"/>
    <w:next w:val="Normalny"/>
    <w:uiPriority w:val="39"/>
    <w:rsid w:val="004767DA"/>
    <w:pPr>
      <w:tabs>
        <w:tab w:val="right" w:leader="dot" w:pos="7371"/>
      </w:tabs>
      <w:ind w:left="1000"/>
      <w:jc w:val="left"/>
    </w:pPr>
    <w:rPr>
      <w:sz w:val="18"/>
    </w:rPr>
  </w:style>
  <w:style w:type="paragraph" w:styleId="Spistreci7">
    <w:name w:val="toc 7"/>
    <w:basedOn w:val="Normalny"/>
    <w:next w:val="Normalny"/>
    <w:uiPriority w:val="39"/>
    <w:rsid w:val="004767DA"/>
    <w:pPr>
      <w:tabs>
        <w:tab w:val="right" w:leader="dot" w:pos="7371"/>
      </w:tabs>
      <w:ind w:left="1200"/>
      <w:jc w:val="left"/>
    </w:pPr>
    <w:rPr>
      <w:sz w:val="18"/>
    </w:rPr>
  </w:style>
  <w:style w:type="paragraph" w:styleId="Spistreci8">
    <w:name w:val="toc 8"/>
    <w:basedOn w:val="Normalny"/>
    <w:next w:val="Normalny"/>
    <w:uiPriority w:val="39"/>
    <w:rsid w:val="004767DA"/>
    <w:pPr>
      <w:tabs>
        <w:tab w:val="right" w:leader="dot" w:pos="7371"/>
      </w:tabs>
      <w:ind w:left="1400"/>
      <w:jc w:val="left"/>
    </w:pPr>
    <w:rPr>
      <w:sz w:val="18"/>
    </w:rPr>
  </w:style>
  <w:style w:type="paragraph" w:styleId="Spistreci9">
    <w:name w:val="toc 9"/>
    <w:basedOn w:val="Normalny"/>
    <w:next w:val="Normalny"/>
    <w:uiPriority w:val="39"/>
    <w:rsid w:val="004767DA"/>
    <w:pPr>
      <w:tabs>
        <w:tab w:val="right" w:leader="dot" w:pos="7371"/>
      </w:tabs>
      <w:ind w:left="1600"/>
      <w:jc w:val="left"/>
    </w:pPr>
    <w:rPr>
      <w:sz w:val="18"/>
    </w:rPr>
  </w:style>
  <w:style w:type="character" w:styleId="Numerstrony">
    <w:name w:val="page number"/>
    <w:basedOn w:val="Domylnaczcionkaakapitu"/>
    <w:rsid w:val="004767DA"/>
  </w:style>
  <w:style w:type="paragraph" w:customStyle="1" w:styleId="StylIwony">
    <w:name w:val="Styl Iwony"/>
    <w:basedOn w:val="Normalny"/>
    <w:rsid w:val="004767DA"/>
    <w:pPr>
      <w:spacing w:before="120" w:after="120"/>
    </w:pPr>
    <w:rPr>
      <w:rFonts w:ascii="Bookman Old Style" w:hAnsi="Bookman Old Style"/>
      <w:sz w:val="24"/>
    </w:rPr>
  </w:style>
  <w:style w:type="paragraph" w:styleId="Tekstprzypisudolnego">
    <w:name w:val="footnote text"/>
    <w:aliases w:val="Podrozdział"/>
    <w:basedOn w:val="Normalny"/>
    <w:link w:val="TekstprzypisudolnegoZnak"/>
    <w:rsid w:val="004767DA"/>
  </w:style>
  <w:style w:type="character" w:customStyle="1" w:styleId="TekstprzypisudolnegoZnak">
    <w:name w:val="Tekst przypisu dolnego Znak"/>
    <w:aliases w:val="Podrozdział Znak"/>
    <w:basedOn w:val="Domylnaczcionkaakapitu"/>
    <w:link w:val="Tekstprzypisudolnego"/>
    <w:rsid w:val="004767DA"/>
    <w:rPr>
      <w:rFonts w:ascii="Times New Roman" w:eastAsia="Times New Roman" w:hAnsi="Times New Roman" w:cs="Times New Roman"/>
      <w:sz w:val="20"/>
      <w:szCs w:val="20"/>
      <w:lang w:eastAsia="pl-PL"/>
    </w:rPr>
  </w:style>
  <w:style w:type="paragraph" w:customStyle="1" w:styleId="tekstost">
    <w:name w:val="tekst ost"/>
    <w:basedOn w:val="Normalny"/>
    <w:rsid w:val="004767DA"/>
  </w:style>
  <w:style w:type="character" w:styleId="Odwoanieprzypisudolnego">
    <w:name w:val="footnote reference"/>
    <w:basedOn w:val="Domylnaczcionkaakapitu"/>
    <w:rsid w:val="004767DA"/>
    <w:rPr>
      <w:vertAlign w:val="superscript"/>
    </w:rPr>
  </w:style>
  <w:style w:type="paragraph" w:customStyle="1" w:styleId="Standardowytekst">
    <w:name w:val="Standardowy.tekst"/>
    <w:link w:val="StandardowytekstZnak"/>
    <w:rsid w:val="004767DA"/>
    <w:pPr>
      <w:overflowPunct w:val="0"/>
      <w:autoSpaceDE w:val="0"/>
      <w:autoSpaceDN w:val="0"/>
      <w:adjustRightInd w:val="0"/>
      <w:spacing w:after="0" w:line="240" w:lineRule="auto"/>
      <w:jc w:val="both"/>
      <w:textAlignment w:val="baseline"/>
    </w:pPr>
    <w:rPr>
      <w:rFonts w:ascii="Times New Roman" w:eastAsia="Times New Roman" w:hAnsi="Times New Roman" w:cs="Times New Roman"/>
      <w:sz w:val="20"/>
      <w:szCs w:val="20"/>
      <w:lang w:eastAsia="pl-PL"/>
    </w:rPr>
  </w:style>
  <w:style w:type="paragraph" w:customStyle="1" w:styleId="Tekstpodstawowy21">
    <w:name w:val="Tekst podstawowy 21"/>
    <w:basedOn w:val="Normalny"/>
    <w:rsid w:val="00AB6A92"/>
    <w:pPr>
      <w:ind w:left="360"/>
    </w:pPr>
  </w:style>
  <w:style w:type="paragraph" w:styleId="Tekstpodstawowy">
    <w:name w:val="Body Text"/>
    <w:aliases w:val="a2"/>
    <w:basedOn w:val="Normalny"/>
    <w:link w:val="TekstpodstawowyZnak"/>
    <w:rsid w:val="00AB6A92"/>
    <w:pPr>
      <w:spacing w:line="180" w:lineRule="exact"/>
      <w:jc w:val="left"/>
    </w:pPr>
    <w:rPr>
      <w:sz w:val="16"/>
    </w:rPr>
  </w:style>
  <w:style w:type="character" w:customStyle="1" w:styleId="TekstpodstawowyZnak">
    <w:name w:val="Tekst podstawowy Znak"/>
    <w:aliases w:val="a2 Znak"/>
    <w:basedOn w:val="Domylnaczcionkaakapitu"/>
    <w:link w:val="Tekstpodstawowy"/>
    <w:rsid w:val="00AB6A92"/>
    <w:rPr>
      <w:rFonts w:ascii="Times New Roman" w:eastAsia="Times New Roman" w:hAnsi="Times New Roman" w:cs="Times New Roman"/>
      <w:sz w:val="16"/>
      <w:szCs w:val="20"/>
      <w:lang w:eastAsia="pl-PL"/>
    </w:rPr>
  </w:style>
  <w:style w:type="character" w:customStyle="1" w:styleId="Nagwek4Znak">
    <w:name w:val="Nagłówek 4 Znak"/>
    <w:basedOn w:val="Domylnaczcionkaakapitu"/>
    <w:link w:val="Nagwek4"/>
    <w:rsid w:val="00AD54A3"/>
    <w:rPr>
      <w:rFonts w:ascii="Times New Roman" w:eastAsia="Times New Roman" w:hAnsi="Times New Roman" w:cs="Times New Roman"/>
      <w:b/>
      <w:bCs/>
      <w:sz w:val="28"/>
      <w:szCs w:val="28"/>
    </w:rPr>
  </w:style>
  <w:style w:type="character" w:customStyle="1" w:styleId="Nagwek5Znak">
    <w:name w:val="Nagłówek 5 Znak"/>
    <w:basedOn w:val="Domylnaczcionkaakapitu"/>
    <w:link w:val="Nagwek5"/>
    <w:rsid w:val="00AD54A3"/>
    <w:rPr>
      <w:rFonts w:ascii="Times New Roman" w:eastAsia="Times New Roman" w:hAnsi="Times New Roman" w:cs="Times New Roman"/>
      <w:b/>
      <w:bCs/>
      <w:i/>
      <w:iCs/>
      <w:sz w:val="26"/>
      <w:szCs w:val="26"/>
    </w:rPr>
  </w:style>
  <w:style w:type="character" w:customStyle="1" w:styleId="Nagwek6Znak">
    <w:name w:val="Nagłówek 6 Znak"/>
    <w:basedOn w:val="Domylnaczcionkaakapitu"/>
    <w:link w:val="Nagwek6"/>
    <w:rsid w:val="00AD54A3"/>
    <w:rPr>
      <w:rFonts w:ascii="Times New Roman" w:eastAsia="Times New Roman" w:hAnsi="Times New Roman" w:cs="Times New Roman"/>
      <w:b/>
      <w:bCs/>
    </w:rPr>
  </w:style>
  <w:style w:type="character" w:customStyle="1" w:styleId="Nagwek7Znak">
    <w:name w:val="Nagłówek 7 Znak"/>
    <w:basedOn w:val="Domylnaczcionkaakapitu"/>
    <w:link w:val="Nagwek7"/>
    <w:rsid w:val="00AD54A3"/>
    <w:rPr>
      <w:rFonts w:ascii="Times New Roman" w:eastAsia="Times New Roman" w:hAnsi="Times New Roman" w:cs="Times New Roman"/>
      <w:sz w:val="24"/>
      <w:szCs w:val="24"/>
    </w:rPr>
  </w:style>
  <w:style w:type="character" w:customStyle="1" w:styleId="Nagwek8Znak">
    <w:name w:val="Nagłówek 8 Znak"/>
    <w:basedOn w:val="Domylnaczcionkaakapitu"/>
    <w:link w:val="Nagwek8"/>
    <w:rsid w:val="00AD54A3"/>
    <w:rPr>
      <w:rFonts w:ascii="Times New Roman" w:eastAsia="Times New Roman" w:hAnsi="Times New Roman" w:cs="Times New Roman"/>
      <w:b/>
      <w:sz w:val="44"/>
      <w:szCs w:val="20"/>
    </w:rPr>
  </w:style>
  <w:style w:type="character" w:customStyle="1" w:styleId="Nagwek9Znak">
    <w:name w:val="Nagłówek 9 Znak"/>
    <w:basedOn w:val="Domylnaczcionkaakapitu"/>
    <w:link w:val="Nagwek9"/>
    <w:rsid w:val="00AD54A3"/>
    <w:rPr>
      <w:rFonts w:ascii="Arial" w:eastAsia="Times New Roman" w:hAnsi="Arial" w:cs="Times New Roman"/>
    </w:rPr>
  </w:style>
  <w:style w:type="character" w:customStyle="1" w:styleId="Nagwek3Znak1">
    <w:name w:val="Nagłówek 3 Znak1"/>
    <w:rsid w:val="00AD54A3"/>
    <w:rPr>
      <w:rFonts w:ascii="Arial" w:eastAsia="Times New Roman" w:hAnsi="Arial"/>
      <w:b/>
      <w:bCs/>
      <w:sz w:val="26"/>
      <w:szCs w:val="26"/>
    </w:rPr>
  </w:style>
  <w:style w:type="paragraph" w:styleId="Tekstpodstawowywcity2">
    <w:name w:val="Body Text Indent 2"/>
    <w:basedOn w:val="Normalny"/>
    <w:link w:val="Tekstpodstawowywcity2Znak"/>
    <w:rsid w:val="00AD54A3"/>
    <w:pPr>
      <w:overflowPunct/>
      <w:autoSpaceDE/>
      <w:autoSpaceDN/>
      <w:adjustRightInd/>
      <w:spacing w:line="288" w:lineRule="auto"/>
      <w:ind w:firstLine="709"/>
      <w:textAlignment w:val="auto"/>
    </w:pPr>
    <w:rPr>
      <w:sz w:val="24"/>
    </w:rPr>
  </w:style>
  <w:style w:type="character" w:customStyle="1" w:styleId="Tekstpodstawowywcity2Znak">
    <w:name w:val="Tekst podstawowy wcięty 2 Znak"/>
    <w:basedOn w:val="Domylnaczcionkaakapitu"/>
    <w:link w:val="Tekstpodstawowywcity2"/>
    <w:rsid w:val="00AD54A3"/>
    <w:rPr>
      <w:rFonts w:ascii="Times New Roman" w:eastAsia="Times New Roman" w:hAnsi="Times New Roman" w:cs="Times New Roman"/>
      <w:sz w:val="24"/>
      <w:szCs w:val="20"/>
    </w:rPr>
  </w:style>
  <w:style w:type="table" w:styleId="Tabela-Siatka">
    <w:name w:val="Table Grid"/>
    <w:basedOn w:val="Standardowy"/>
    <w:rsid w:val="00AD54A3"/>
    <w:pPr>
      <w:spacing w:after="0" w:line="240" w:lineRule="auto"/>
    </w:pPr>
    <w:rPr>
      <w:rFonts w:ascii="Times New Roman" w:eastAsia="Times New Roman" w:hAnsi="Times New Roman" w:cs="Times New Roman"/>
      <w:sz w:val="20"/>
      <w:szCs w:val="20"/>
      <w:lang w:eastAsia="pl-PL"/>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styleId="Tytu">
    <w:name w:val="Title"/>
    <w:basedOn w:val="Normalny"/>
    <w:link w:val="TytuZnak"/>
    <w:qFormat/>
    <w:rsid w:val="00AD54A3"/>
    <w:pPr>
      <w:overflowPunct/>
      <w:autoSpaceDE/>
      <w:autoSpaceDN/>
      <w:adjustRightInd/>
      <w:spacing w:line="288" w:lineRule="auto"/>
      <w:jc w:val="center"/>
      <w:textAlignment w:val="auto"/>
    </w:pPr>
    <w:rPr>
      <w:rFonts w:ascii="Bookman Old Style" w:hAnsi="Bookman Old Style"/>
      <w:b/>
      <w:caps/>
      <w:sz w:val="32"/>
    </w:rPr>
  </w:style>
  <w:style w:type="character" w:customStyle="1" w:styleId="TytuZnak">
    <w:name w:val="Tytuł Znak"/>
    <w:basedOn w:val="Domylnaczcionkaakapitu"/>
    <w:link w:val="Tytu"/>
    <w:rsid w:val="00AD54A3"/>
    <w:rPr>
      <w:rFonts w:ascii="Bookman Old Style" w:eastAsia="Times New Roman" w:hAnsi="Bookman Old Style" w:cs="Times New Roman"/>
      <w:b/>
      <w:caps/>
      <w:sz w:val="32"/>
      <w:szCs w:val="20"/>
    </w:rPr>
  </w:style>
  <w:style w:type="paragraph" w:styleId="Tekstpodstawowywcity">
    <w:name w:val="Body Text Indent"/>
    <w:basedOn w:val="Normalny"/>
    <w:link w:val="TekstpodstawowywcityZnak"/>
    <w:rsid w:val="00AD54A3"/>
    <w:pPr>
      <w:overflowPunct/>
      <w:autoSpaceDE/>
      <w:autoSpaceDN/>
      <w:adjustRightInd/>
      <w:spacing w:line="288" w:lineRule="auto"/>
      <w:ind w:left="2268" w:hanging="850"/>
      <w:textAlignment w:val="auto"/>
    </w:pPr>
    <w:rPr>
      <w:sz w:val="24"/>
    </w:rPr>
  </w:style>
  <w:style w:type="character" w:customStyle="1" w:styleId="TekstpodstawowywcityZnak">
    <w:name w:val="Tekst podstawowy wcięty Znak"/>
    <w:basedOn w:val="Domylnaczcionkaakapitu"/>
    <w:link w:val="Tekstpodstawowywcity"/>
    <w:rsid w:val="00AD54A3"/>
    <w:rPr>
      <w:rFonts w:ascii="Times New Roman" w:eastAsia="Times New Roman" w:hAnsi="Times New Roman" w:cs="Times New Roman"/>
      <w:sz w:val="24"/>
      <w:szCs w:val="20"/>
    </w:rPr>
  </w:style>
  <w:style w:type="paragraph" w:styleId="Tekstpodstawowywcity3">
    <w:name w:val="Body Text Indent 3"/>
    <w:basedOn w:val="Normalny"/>
    <w:link w:val="Tekstpodstawowywcity3Znak"/>
    <w:rsid w:val="00AD54A3"/>
    <w:pPr>
      <w:overflowPunct/>
      <w:autoSpaceDE/>
      <w:autoSpaceDN/>
      <w:adjustRightInd/>
      <w:spacing w:line="288" w:lineRule="auto"/>
      <w:ind w:left="1418" w:hanging="709"/>
      <w:textAlignment w:val="auto"/>
    </w:pPr>
    <w:rPr>
      <w:sz w:val="24"/>
    </w:rPr>
  </w:style>
  <w:style w:type="character" w:customStyle="1" w:styleId="Tekstpodstawowywcity3Znak">
    <w:name w:val="Tekst podstawowy wcięty 3 Znak"/>
    <w:basedOn w:val="Domylnaczcionkaakapitu"/>
    <w:link w:val="Tekstpodstawowywcity3"/>
    <w:rsid w:val="00AD54A3"/>
    <w:rPr>
      <w:rFonts w:ascii="Times New Roman" w:eastAsia="Times New Roman" w:hAnsi="Times New Roman" w:cs="Times New Roman"/>
      <w:sz w:val="24"/>
      <w:szCs w:val="20"/>
    </w:rPr>
  </w:style>
  <w:style w:type="paragraph" w:styleId="NormalnyWeb">
    <w:name w:val="Normal (Web)"/>
    <w:basedOn w:val="Normalny"/>
    <w:rsid w:val="00AD54A3"/>
    <w:pPr>
      <w:overflowPunct/>
      <w:autoSpaceDE/>
      <w:autoSpaceDN/>
      <w:adjustRightInd/>
      <w:spacing w:before="100" w:beforeAutospacing="1" w:after="119"/>
      <w:jc w:val="left"/>
      <w:textAlignment w:val="auto"/>
    </w:pPr>
    <w:rPr>
      <w:sz w:val="24"/>
      <w:szCs w:val="24"/>
    </w:rPr>
  </w:style>
  <w:style w:type="paragraph" w:customStyle="1" w:styleId="Zawartotabeli">
    <w:name w:val="Zawartość tabeli"/>
    <w:basedOn w:val="Normalny"/>
    <w:rsid w:val="00AD54A3"/>
    <w:pPr>
      <w:widowControl w:val="0"/>
      <w:suppressLineNumbers/>
      <w:suppressAutoHyphens/>
      <w:overflowPunct/>
      <w:autoSpaceDE/>
      <w:autoSpaceDN/>
      <w:adjustRightInd/>
      <w:jc w:val="left"/>
      <w:textAlignment w:val="auto"/>
    </w:pPr>
    <w:rPr>
      <w:rFonts w:eastAsia="Lucida Sans Unicode"/>
      <w:sz w:val="24"/>
      <w:szCs w:val="24"/>
    </w:rPr>
  </w:style>
  <w:style w:type="paragraph" w:customStyle="1" w:styleId="Nagwektabeli">
    <w:name w:val="Nagłówek tabeli"/>
    <w:basedOn w:val="Zawartotabeli"/>
    <w:rsid w:val="00AD54A3"/>
    <w:pPr>
      <w:numPr>
        <w:numId w:val="2"/>
      </w:numPr>
      <w:tabs>
        <w:tab w:val="clear" w:pos="284"/>
      </w:tabs>
      <w:ind w:left="0" w:firstLine="0"/>
      <w:jc w:val="center"/>
    </w:pPr>
    <w:rPr>
      <w:b/>
      <w:bCs/>
      <w:i/>
      <w:iCs/>
    </w:rPr>
  </w:style>
  <w:style w:type="paragraph" w:customStyle="1" w:styleId="Tabela">
    <w:name w:val="Tabela"/>
    <w:basedOn w:val="Normalny"/>
    <w:rsid w:val="00AD54A3"/>
    <w:pPr>
      <w:widowControl w:val="0"/>
      <w:numPr>
        <w:numId w:val="3"/>
      </w:numPr>
      <w:suppressLineNumbers/>
      <w:tabs>
        <w:tab w:val="clear" w:pos="360"/>
      </w:tabs>
      <w:suppressAutoHyphens/>
      <w:overflowPunct/>
      <w:autoSpaceDE/>
      <w:autoSpaceDN/>
      <w:adjustRightInd/>
      <w:spacing w:before="120" w:after="120"/>
      <w:ind w:left="0" w:firstLine="0"/>
      <w:jc w:val="left"/>
      <w:textAlignment w:val="auto"/>
    </w:pPr>
    <w:rPr>
      <w:rFonts w:eastAsia="Lucida Sans Unicode" w:cs="Tahoma"/>
      <w:i/>
      <w:iCs/>
    </w:rPr>
  </w:style>
  <w:style w:type="paragraph" w:customStyle="1" w:styleId="wyliczanie">
    <w:name w:val="wyliczanie"/>
    <w:basedOn w:val="Normalny"/>
    <w:rsid w:val="00AD54A3"/>
    <w:pPr>
      <w:overflowPunct/>
      <w:autoSpaceDE/>
      <w:autoSpaceDN/>
      <w:adjustRightInd/>
      <w:spacing w:before="30" w:after="30" w:line="360" w:lineRule="auto"/>
      <w:ind w:left="283" w:hanging="283"/>
      <w:jc w:val="left"/>
      <w:textAlignment w:val="auto"/>
    </w:pPr>
    <w:rPr>
      <w:rFonts w:ascii="Arial" w:hAnsi="Arial"/>
      <w:sz w:val="22"/>
      <w:szCs w:val="24"/>
    </w:rPr>
  </w:style>
  <w:style w:type="paragraph" w:styleId="Lista">
    <w:name w:val="List"/>
    <w:basedOn w:val="Normalny"/>
    <w:rsid w:val="00AD54A3"/>
    <w:pPr>
      <w:tabs>
        <w:tab w:val="left" w:pos="851"/>
      </w:tabs>
      <w:overflowPunct/>
      <w:spacing w:before="120" w:after="120"/>
      <w:ind w:left="283" w:hanging="283"/>
      <w:textAlignment w:val="auto"/>
    </w:pPr>
    <w:rPr>
      <w:rFonts w:ascii="Arial" w:hAnsi="Arial"/>
      <w:b/>
      <w:snapToGrid w:val="0"/>
      <w:sz w:val="22"/>
    </w:rPr>
  </w:style>
  <w:style w:type="paragraph" w:styleId="Tekstpodstawowy3">
    <w:name w:val="Body Text 3"/>
    <w:basedOn w:val="Normalny"/>
    <w:link w:val="Tekstpodstawowy3Znak"/>
    <w:rsid w:val="00AD54A3"/>
    <w:pPr>
      <w:overflowPunct/>
      <w:autoSpaceDE/>
      <w:autoSpaceDN/>
      <w:adjustRightInd/>
      <w:spacing w:after="120"/>
      <w:jc w:val="left"/>
      <w:textAlignment w:val="auto"/>
    </w:pPr>
    <w:rPr>
      <w:sz w:val="16"/>
      <w:szCs w:val="16"/>
    </w:rPr>
  </w:style>
  <w:style w:type="character" w:customStyle="1" w:styleId="Tekstpodstawowy3Znak">
    <w:name w:val="Tekst podstawowy 3 Znak"/>
    <w:basedOn w:val="Domylnaczcionkaakapitu"/>
    <w:link w:val="Tekstpodstawowy3"/>
    <w:rsid w:val="00AD54A3"/>
    <w:rPr>
      <w:rFonts w:ascii="Times New Roman" w:eastAsia="Times New Roman" w:hAnsi="Times New Roman" w:cs="Times New Roman"/>
      <w:sz w:val="16"/>
      <w:szCs w:val="16"/>
    </w:rPr>
  </w:style>
  <w:style w:type="paragraph" w:styleId="Tekstpodstawowy2">
    <w:name w:val="Body Text 2"/>
    <w:basedOn w:val="Normalny"/>
    <w:link w:val="Tekstpodstawowy2Znak"/>
    <w:rsid w:val="00AD54A3"/>
    <w:pPr>
      <w:overflowPunct/>
      <w:autoSpaceDE/>
      <w:autoSpaceDN/>
      <w:adjustRightInd/>
      <w:spacing w:after="120" w:line="480" w:lineRule="auto"/>
      <w:jc w:val="left"/>
      <w:textAlignment w:val="auto"/>
    </w:pPr>
    <w:rPr>
      <w:sz w:val="24"/>
      <w:szCs w:val="24"/>
    </w:rPr>
  </w:style>
  <w:style w:type="character" w:customStyle="1" w:styleId="Tekstpodstawowy2Znak">
    <w:name w:val="Tekst podstawowy 2 Znak"/>
    <w:basedOn w:val="Domylnaczcionkaakapitu"/>
    <w:link w:val="Tekstpodstawowy2"/>
    <w:rsid w:val="00AD54A3"/>
    <w:rPr>
      <w:rFonts w:ascii="Times New Roman" w:eastAsia="Times New Roman" w:hAnsi="Times New Roman" w:cs="Times New Roman"/>
      <w:sz w:val="24"/>
      <w:szCs w:val="24"/>
    </w:rPr>
  </w:style>
  <w:style w:type="paragraph" w:customStyle="1" w:styleId="Tekstpodstawowy210">
    <w:name w:val="Tekst podstawowy 21"/>
    <w:basedOn w:val="Normalny"/>
    <w:rsid w:val="00AD54A3"/>
    <w:pPr>
      <w:tabs>
        <w:tab w:val="left" w:pos="567"/>
        <w:tab w:val="left" w:pos="851"/>
        <w:tab w:val="left" w:pos="1134"/>
        <w:tab w:val="left" w:pos="1701"/>
        <w:tab w:val="left" w:pos="2268"/>
        <w:tab w:val="left" w:pos="2835"/>
        <w:tab w:val="left" w:pos="3402"/>
      </w:tabs>
      <w:suppressAutoHyphens/>
      <w:overflowPunct/>
      <w:autoSpaceDE/>
      <w:autoSpaceDN/>
      <w:adjustRightInd/>
      <w:textAlignment w:val="auto"/>
    </w:pPr>
    <w:rPr>
      <w:sz w:val="24"/>
      <w:lang w:eastAsia="ar-SA"/>
    </w:rPr>
  </w:style>
  <w:style w:type="paragraph" w:customStyle="1" w:styleId="Nagwek21">
    <w:name w:val="Nagłówek 21"/>
    <w:basedOn w:val="Normalny"/>
    <w:next w:val="Normalny"/>
    <w:rsid w:val="00AD54A3"/>
    <w:pPr>
      <w:keepNext/>
      <w:numPr>
        <w:numId w:val="4"/>
      </w:numPr>
      <w:tabs>
        <w:tab w:val="clear" w:pos="705"/>
        <w:tab w:val="left" w:pos="567"/>
        <w:tab w:val="left" w:pos="851"/>
        <w:tab w:val="left" w:pos="1134"/>
        <w:tab w:val="left" w:pos="1701"/>
        <w:tab w:val="left" w:pos="2268"/>
        <w:tab w:val="left" w:pos="2835"/>
        <w:tab w:val="left" w:pos="3402"/>
      </w:tabs>
      <w:suppressAutoHyphens/>
      <w:overflowPunct/>
      <w:autoSpaceDE/>
      <w:autoSpaceDN/>
      <w:adjustRightInd/>
      <w:spacing w:after="120" w:line="360" w:lineRule="auto"/>
      <w:ind w:left="0" w:firstLine="0"/>
      <w:jc w:val="left"/>
      <w:textAlignment w:val="auto"/>
    </w:pPr>
    <w:rPr>
      <w:sz w:val="24"/>
      <w:lang w:eastAsia="ar-SA"/>
    </w:rPr>
  </w:style>
  <w:style w:type="paragraph" w:customStyle="1" w:styleId="OOSA2">
    <w:name w:val="OOSA2"/>
    <w:basedOn w:val="Normalny"/>
    <w:rsid w:val="00AD54A3"/>
    <w:pPr>
      <w:numPr>
        <w:numId w:val="5"/>
      </w:numPr>
      <w:tabs>
        <w:tab w:val="clear" w:pos="360"/>
      </w:tabs>
      <w:overflowPunct/>
      <w:autoSpaceDE/>
      <w:autoSpaceDN/>
      <w:adjustRightInd/>
      <w:spacing w:before="120" w:after="120"/>
      <w:ind w:left="0" w:firstLine="0"/>
      <w:textAlignment w:val="auto"/>
    </w:pPr>
    <w:rPr>
      <w:rFonts w:ascii="Arial" w:hAnsi="Arial"/>
      <w:b/>
      <w:sz w:val="24"/>
    </w:rPr>
  </w:style>
  <w:style w:type="paragraph" w:customStyle="1" w:styleId="akapit2">
    <w:name w:val="akapit2"/>
    <w:basedOn w:val="Normalny"/>
    <w:next w:val="Listanumerowana2"/>
    <w:rsid w:val="00AD54A3"/>
    <w:pPr>
      <w:overflowPunct/>
      <w:autoSpaceDE/>
      <w:autoSpaceDN/>
      <w:adjustRightInd/>
      <w:ind w:left="283" w:hanging="283"/>
      <w:jc w:val="left"/>
      <w:textAlignment w:val="auto"/>
    </w:pPr>
    <w:rPr>
      <w:b/>
      <w:sz w:val="24"/>
    </w:rPr>
  </w:style>
  <w:style w:type="paragraph" w:styleId="Listanumerowana2">
    <w:name w:val="List Number 2"/>
    <w:basedOn w:val="Normalny"/>
    <w:rsid w:val="00AD54A3"/>
    <w:pPr>
      <w:overflowPunct/>
      <w:autoSpaceDE/>
      <w:autoSpaceDN/>
      <w:adjustRightInd/>
      <w:ind w:left="283" w:hanging="283"/>
      <w:jc w:val="left"/>
      <w:textAlignment w:val="auto"/>
    </w:pPr>
    <w:rPr>
      <w:sz w:val="24"/>
      <w:szCs w:val="24"/>
    </w:rPr>
  </w:style>
  <w:style w:type="paragraph" w:customStyle="1" w:styleId="BodyText21">
    <w:name w:val="Body Text 21"/>
    <w:basedOn w:val="Normalny"/>
    <w:rsid w:val="00AD54A3"/>
    <w:pPr>
      <w:widowControl w:val="0"/>
      <w:overflowPunct/>
      <w:autoSpaceDE/>
      <w:autoSpaceDN/>
      <w:adjustRightInd/>
      <w:spacing w:line="360" w:lineRule="auto"/>
      <w:textAlignment w:val="auto"/>
    </w:pPr>
    <w:rPr>
      <w:rFonts w:ascii="Helvetica" w:hAnsi="Helvetica"/>
      <w:sz w:val="24"/>
    </w:rPr>
  </w:style>
  <w:style w:type="paragraph" w:customStyle="1" w:styleId="BodyText22">
    <w:name w:val="Body Text 22"/>
    <w:basedOn w:val="Normalny"/>
    <w:rsid w:val="00AD54A3"/>
    <w:pPr>
      <w:widowControl w:val="0"/>
      <w:tabs>
        <w:tab w:val="left" w:pos="-283"/>
        <w:tab w:val="left" w:pos="1440"/>
        <w:tab w:val="left" w:pos="2126"/>
        <w:tab w:val="left" w:pos="2834"/>
        <w:tab w:val="left" w:pos="3542"/>
        <w:tab w:val="left" w:pos="4250"/>
        <w:tab w:val="left" w:pos="4958"/>
        <w:tab w:val="left" w:pos="5666"/>
        <w:tab w:val="left" w:pos="6374"/>
        <w:tab w:val="left" w:pos="7082"/>
        <w:tab w:val="left" w:pos="7790"/>
        <w:tab w:val="left" w:pos="8498"/>
        <w:tab w:val="left" w:pos="9072"/>
      </w:tabs>
      <w:suppressAutoHyphens/>
      <w:overflowPunct/>
      <w:autoSpaceDE/>
      <w:autoSpaceDN/>
      <w:adjustRightInd/>
      <w:spacing w:before="120"/>
      <w:ind w:left="567" w:hanging="567"/>
      <w:textAlignment w:val="auto"/>
    </w:pPr>
    <w:rPr>
      <w:spacing w:val="-3"/>
      <w:sz w:val="24"/>
    </w:rPr>
  </w:style>
  <w:style w:type="paragraph" w:styleId="Tekstkomentarza">
    <w:name w:val="annotation text"/>
    <w:basedOn w:val="Normalny"/>
    <w:link w:val="TekstkomentarzaZnak"/>
    <w:semiHidden/>
    <w:rsid w:val="00AD54A3"/>
    <w:pPr>
      <w:overflowPunct/>
      <w:autoSpaceDE/>
      <w:autoSpaceDN/>
      <w:adjustRightInd/>
      <w:jc w:val="left"/>
      <w:textAlignment w:val="auto"/>
    </w:pPr>
  </w:style>
  <w:style w:type="character" w:customStyle="1" w:styleId="TekstkomentarzaZnak">
    <w:name w:val="Tekst komentarza Znak"/>
    <w:basedOn w:val="Domylnaczcionkaakapitu"/>
    <w:link w:val="Tekstkomentarza"/>
    <w:semiHidden/>
    <w:rsid w:val="00AD54A3"/>
    <w:rPr>
      <w:rFonts w:ascii="Times New Roman" w:eastAsia="Times New Roman" w:hAnsi="Times New Roman" w:cs="Times New Roman"/>
      <w:sz w:val="20"/>
      <w:szCs w:val="20"/>
      <w:lang w:eastAsia="pl-PL"/>
    </w:rPr>
  </w:style>
  <w:style w:type="paragraph" w:customStyle="1" w:styleId="Pierwszyakapit">
    <w:name w:val="Pierwszy akapit"/>
    <w:basedOn w:val="Tekstpodstawowywcity"/>
    <w:next w:val="Tekstpodstawowy"/>
    <w:autoRedefine/>
    <w:rsid w:val="00AD54A3"/>
    <w:pPr>
      <w:ind w:left="0" w:firstLine="720"/>
    </w:pPr>
    <w:rPr>
      <w:rFonts w:ascii="Arial Narrow" w:hAnsi="Arial Narrow" w:cs="Arial"/>
    </w:rPr>
  </w:style>
  <w:style w:type="paragraph" w:customStyle="1" w:styleId="Tekstpodstawowyobniony">
    <w:name w:val="Tekst podstawowy obniżony"/>
    <w:basedOn w:val="Tekstpodstawowy"/>
    <w:rsid w:val="00AD54A3"/>
    <w:pPr>
      <w:overflowPunct/>
      <w:autoSpaceDE/>
      <w:autoSpaceDN/>
      <w:adjustRightInd/>
      <w:spacing w:before="120" w:line="360" w:lineRule="auto"/>
      <w:jc w:val="both"/>
      <w:textAlignment w:val="auto"/>
    </w:pPr>
    <w:rPr>
      <w:sz w:val="24"/>
    </w:rPr>
  </w:style>
  <w:style w:type="paragraph" w:styleId="Akapitzlist">
    <w:name w:val="List Paragraph"/>
    <w:basedOn w:val="Normalny"/>
    <w:link w:val="AkapitzlistZnak"/>
    <w:uiPriority w:val="34"/>
    <w:qFormat/>
    <w:rsid w:val="00AD54A3"/>
    <w:pPr>
      <w:overflowPunct/>
      <w:autoSpaceDE/>
      <w:autoSpaceDN/>
      <w:adjustRightInd/>
      <w:ind w:left="708"/>
      <w:jc w:val="left"/>
      <w:textAlignment w:val="auto"/>
    </w:pPr>
    <w:rPr>
      <w:sz w:val="24"/>
      <w:szCs w:val="24"/>
    </w:rPr>
  </w:style>
  <w:style w:type="paragraph" w:customStyle="1" w:styleId="zwyklywciety">
    <w:name w:val="zwykly wciety"/>
    <w:basedOn w:val="Normalny"/>
    <w:rsid w:val="00AD54A3"/>
    <w:pPr>
      <w:overflowPunct/>
      <w:autoSpaceDE/>
      <w:autoSpaceDN/>
      <w:adjustRightInd/>
      <w:spacing w:before="30" w:after="30" w:line="360" w:lineRule="auto"/>
      <w:ind w:firstLine="567"/>
      <w:contextualSpacing/>
      <w:textAlignment w:val="auto"/>
    </w:pPr>
    <w:rPr>
      <w:rFonts w:ascii="Arial" w:hAnsi="Arial"/>
      <w:sz w:val="22"/>
      <w:szCs w:val="24"/>
    </w:rPr>
  </w:style>
  <w:style w:type="paragraph" w:customStyle="1" w:styleId="WW-Tekstpodstawowywcity21">
    <w:name w:val="WW-Tekst podstawowy wcięty 21"/>
    <w:basedOn w:val="Normalny"/>
    <w:rsid w:val="00AD54A3"/>
    <w:pPr>
      <w:suppressAutoHyphens/>
      <w:overflowPunct/>
      <w:autoSpaceDE/>
      <w:autoSpaceDN/>
      <w:adjustRightInd/>
      <w:spacing w:line="360" w:lineRule="auto"/>
      <w:ind w:left="555"/>
      <w:jc w:val="left"/>
      <w:textAlignment w:val="auto"/>
    </w:pPr>
    <w:rPr>
      <w:rFonts w:ascii="Arial" w:hAnsi="Arial"/>
      <w:sz w:val="22"/>
    </w:rPr>
  </w:style>
  <w:style w:type="paragraph" w:styleId="Tematkomentarza">
    <w:name w:val="annotation subject"/>
    <w:basedOn w:val="Tekstkomentarza"/>
    <w:next w:val="Tekstkomentarza"/>
    <w:link w:val="TematkomentarzaZnak"/>
    <w:semiHidden/>
    <w:rsid w:val="00AD54A3"/>
    <w:pPr>
      <w:numPr>
        <w:ilvl w:val="3"/>
        <w:numId w:val="6"/>
      </w:numPr>
      <w:tabs>
        <w:tab w:val="clear" w:pos="720"/>
      </w:tabs>
      <w:ind w:left="0" w:firstLine="0"/>
    </w:pPr>
    <w:rPr>
      <w:b/>
      <w:bCs/>
    </w:rPr>
  </w:style>
  <w:style w:type="character" w:customStyle="1" w:styleId="TematkomentarzaZnak">
    <w:name w:val="Temat komentarza Znak"/>
    <w:basedOn w:val="TekstkomentarzaZnak"/>
    <w:link w:val="Tematkomentarza"/>
    <w:semiHidden/>
    <w:rsid w:val="00AD54A3"/>
    <w:rPr>
      <w:b/>
      <w:bCs/>
    </w:rPr>
  </w:style>
  <w:style w:type="paragraph" w:styleId="Lista-kontynuacja">
    <w:name w:val="List Continue"/>
    <w:basedOn w:val="Normalny"/>
    <w:rsid w:val="00AD54A3"/>
    <w:pPr>
      <w:overflowPunct/>
      <w:autoSpaceDE/>
      <w:autoSpaceDN/>
      <w:adjustRightInd/>
      <w:spacing w:after="120"/>
      <w:ind w:left="283"/>
      <w:jc w:val="left"/>
      <w:textAlignment w:val="auto"/>
    </w:pPr>
    <w:rPr>
      <w:sz w:val="24"/>
      <w:szCs w:val="24"/>
    </w:rPr>
  </w:style>
  <w:style w:type="paragraph" w:styleId="Listapunktowana3">
    <w:name w:val="List Bullet 3"/>
    <w:basedOn w:val="Normalny"/>
    <w:autoRedefine/>
    <w:rsid w:val="00AD54A3"/>
    <w:pPr>
      <w:overflowPunct/>
      <w:adjustRightInd/>
      <w:spacing w:before="120" w:after="120" w:line="288" w:lineRule="auto"/>
      <w:ind w:left="283" w:hanging="283"/>
      <w:jc w:val="left"/>
      <w:textAlignment w:val="auto"/>
    </w:pPr>
    <w:rPr>
      <w:bCs/>
      <w:sz w:val="24"/>
      <w:szCs w:val="24"/>
    </w:rPr>
  </w:style>
  <w:style w:type="paragraph" w:styleId="Lista-kontynuacja2">
    <w:name w:val="List Continue 2"/>
    <w:basedOn w:val="Normalny"/>
    <w:rsid w:val="00AD54A3"/>
    <w:pPr>
      <w:overflowPunct/>
      <w:autoSpaceDE/>
      <w:autoSpaceDN/>
      <w:adjustRightInd/>
      <w:spacing w:after="120"/>
      <w:ind w:left="566"/>
      <w:jc w:val="left"/>
      <w:textAlignment w:val="auto"/>
    </w:pPr>
    <w:rPr>
      <w:sz w:val="24"/>
      <w:szCs w:val="24"/>
    </w:rPr>
  </w:style>
  <w:style w:type="paragraph" w:customStyle="1" w:styleId="Footer">
    <w:name w:val="Footer"/>
    <w:rsid w:val="00AD54A3"/>
    <w:pPr>
      <w:spacing w:after="0" w:line="240" w:lineRule="auto"/>
    </w:pPr>
    <w:rPr>
      <w:rFonts w:ascii="Times New Roman" w:eastAsia="Times New Roman" w:hAnsi="Times New Roman" w:cs="Times New Roman"/>
      <w:snapToGrid w:val="0"/>
      <w:color w:val="000000"/>
      <w:sz w:val="24"/>
      <w:szCs w:val="20"/>
      <w:lang w:eastAsia="pl-PL"/>
    </w:rPr>
  </w:style>
  <w:style w:type="paragraph" w:styleId="Bezodstpw">
    <w:name w:val="No Spacing"/>
    <w:link w:val="BezodstpwZnak"/>
    <w:uiPriority w:val="1"/>
    <w:qFormat/>
    <w:rsid w:val="00AD54A3"/>
    <w:pPr>
      <w:spacing w:after="0" w:line="240" w:lineRule="auto"/>
    </w:pPr>
    <w:rPr>
      <w:rFonts w:ascii="Calibri" w:eastAsia="Calibri" w:hAnsi="Calibri" w:cs="Times New Roman"/>
    </w:rPr>
  </w:style>
  <w:style w:type="paragraph" w:customStyle="1" w:styleId="Standard">
    <w:name w:val="Standard"/>
    <w:rsid w:val="00AD54A3"/>
    <w:pPr>
      <w:autoSpaceDE w:val="0"/>
      <w:autoSpaceDN w:val="0"/>
      <w:adjustRightInd w:val="0"/>
      <w:spacing w:after="0" w:line="240" w:lineRule="auto"/>
    </w:pPr>
    <w:rPr>
      <w:rFonts w:ascii="Times New Roman" w:eastAsia="Times New Roman" w:hAnsi="Times New Roman" w:cs="Times New Roman"/>
      <w:sz w:val="20"/>
      <w:szCs w:val="24"/>
      <w:lang w:eastAsia="pl-PL"/>
    </w:rPr>
  </w:style>
  <w:style w:type="character" w:styleId="Hipercze">
    <w:name w:val="Hyperlink"/>
    <w:uiPriority w:val="99"/>
    <w:rsid w:val="00AD54A3"/>
    <w:rPr>
      <w:color w:val="0000FF"/>
      <w:u w:val="single"/>
    </w:rPr>
  </w:style>
  <w:style w:type="paragraph" w:customStyle="1" w:styleId="3">
    <w:name w:val="3"/>
    <w:basedOn w:val="Normalny"/>
    <w:rsid w:val="00AD54A3"/>
    <w:pPr>
      <w:keepNext/>
      <w:keepLines/>
      <w:widowControl w:val="0"/>
      <w:numPr>
        <w:ilvl w:val="12"/>
      </w:numPr>
      <w:overflowPunct/>
      <w:autoSpaceDE/>
      <w:autoSpaceDN/>
      <w:adjustRightInd/>
      <w:spacing w:before="120" w:after="120" w:line="360" w:lineRule="auto"/>
      <w:ind w:left="993" w:hanging="993"/>
      <w:textAlignment w:val="auto"/>
      <w:outlineLvl w:val="0"/>
    </w:pPr>
    <w:rPr>
      <w:snapToGrid w:val="0"/>
      <w:sz w:val="24"/>
    </w:rPr>
  </w:style>
  <w:style w:type="paragraph" w:customStyle="1" w:styleId="StylWyjustowanyInterlinia15wiersza">
    <w:name w:val="Styl Wyjustowany Interlinia:  15 wiersza"/>
    <w:basedOn w:val="Normalny"/>
    <w:link w:val="StylWyjustowanyInterlinia15wierszaZnak"/>
    <w:rsid w:val="00AD54A3"/>
    <w:pPr>
      <w:overflowPunct/>
      <w:autoSpaceDE/>
      <w:autoSpaceDN/>
      <w:adjustRightInd/>
      <w:spacing w:before="60" w:line="360" w:lineRule="auto"/>
      <w:ind w:firstLine="284"/>
      <w:textAlignment w:val="auto"/>
    </w:pPr>
    <w:rPr>
      <w:rFonts w:ascii="Arial" w:hAnsi="Arial"/>
    </w:rPr>
  </w:style>
  <w:style w:type="character" w:customStyle="1" w:styleId="StylWyjustowanyInterlinia15wierszaZnak">
    <w:name w:val="Styl Wyjustowany Interlinia:  15 wiersza Znak"/>
    <w:link w:val="StylWyjustowanyInterlinia15wiersza"/>
    <w:rsid w:val="00AD54A3"/>
    <w:rPr>
      <w:rFonts w:ascii="Arial" w:eastAsia="Times New Roman" w:hAnsi="Arial" w:cs="Times New Roman"/>
      <w:sz w:val="20"/>
      <w:szCs w:val="20"/>
    </w:rPr>
  </w:style>
  <w:style w:type="character" w:styleId="UyteHipercze">
    <w:name w:val="FollowedHyperlink"/>
    <w:rsid w:val="00AD54A3"/>
    <w:rPr>
      <w:color w:val="800080"/>
      <w:u w:val="single"/>
    </w:rPr>
  </w:style>
  <w:style w:type="paragraph" w:customStyle="1" w:styleId="WW-Tekstpodstawowywcity3">
    <w:name w:val="WW-Tekst podstawowy wci?ty 3"/>
    <w:basedOn w:val="Standard"/>
    <w:rsid w:val="00AD54A3"/>
    <w:pPr>
      <w:ind w:firstLine="708"/>
      <w:jc w:val="both"/>
    </w:pPr>
    <w:rPr>
      <w:rFonts w:ascii="Arial" w:hAnsi="Arial" w:cs="Arial"/>
    </w:rPr>
  </w:style>
  <w:style w:type="paragraph" w:customStyle="1" w:styleId="StylWyjustowanyPrzed6ptInterlinia15wiersza">
    <w:name w:val="Styl Wyjustowany Przed:  6 pt Interlinia:  15 wiersza"/>
    <w:basedOn w:val="Normalny"/>
    <w:rsid w:val="00AD54A3"/>
    <w:pPr>
      <w:overflowPunct/>
      <w:autoSpaceDE/>
      <w:autoSpaceDN/>
      <w:adjustRightInd/>
      <w:spacing w:before="120" w:line="360" w:lineRule="auto"/>
      <w:ind w:firstLine="284"/>
      <w:textAlignment w:val="auto"/>
    </w:pPr>
    <w:rPr>
      <w:rFonts w:ascii="Arial" w:hAnsi="Arial"/>
    </w:rPr>
  </w:style>
  <w:style w:type="paragraph" w:styleId="Legenda">
    <w:name w:val="caption"/>
    <w:aliases w:val="Legenda Znak,Podpis pod rysunkiem,Nagłówek Tabeli,Nag3ówek Tabeli,Podpis pod obiektem rys,Legenda Znak Znak Znak,Legenda Znak Znak,Legenda Znak Znak Znak Znak,Legenda Znak Znak Znak Znak Znak Znak,Legenda Znak Znak Znak Znak Znak Znak Znak"/>
    <w:basedOn w:val="Normalny"/>
    <w:next w:val="Normalny"/>
    <w:link w:val="LegendaZnak1"/>
    <w:qFormat/>
    <w:rsid w:val="00AD54A3"/>
    <w:pPr>
      <w:overflowPunct/>
      <w:autoSpaceDE/>
      <w:autoSpaceDN/>
      <w:adjustRightInd/>
      <w:spacing w:before="120"/>
      <w:textAlignment w:val="auto"/>
    </w:pPr>
    <w:rPr>
      <w:bCs/>
      <w:sz w:val="24"/>
    </w:rPr>
  </w:style>
  <w:style w:type="character" w:customStyle="1" w:styleId="LegendaZnak1">
    <w:name w:val="Legenda Znak1"/>
    <w:aliases w:val="Legenda Znak Znak1,Podpis pod rysunkiem Znak,Nagłówek Tabeli Znak,Nag3ówek Tabeli Znak,Podpis pod obiektem rys Znak,Legenda Znak Znak Znak Znak1,Legenda Znak Znak Znak1,Legenda Znak Znak Znak Znak Znak"/>
    <w:link w:val="Legenda"/>
    <w:rsid w:val="00AD54A3"/>
    <w:rPr>
      <w:rFonts w:ascii="Times New Roman" w:eastAsia="Times New Roman" w:hAnsi="Times New Roman" w:cs="Times New Roman"/>
      <w:bCs/>
      <w:sz w:val="24"/>
      <w:szCs w:val="20"/>
    </w:rPr>
  </w:style>
  <w:style w:type="paragraph" w:customStyle="1" w:styleId="NA">
    <w:name w:val="N/A"/>
    <w:basedOn w:val="Normalny"/>
    <w:rsid w:val="00AD54A3"/>
    <w:pPr>
      <w:tabs>
        <w:tab w:val="left" w:pos="9000"/>
        <w:tab w:val="right" w:pos="9360"/>
      </w:tabs>
      <w:suppressAutoHyphens/>
      <w:overflowPunct/>
      <w:autoSpaceDE/>
      <w:autoSpaceDN/>
      <w:adjustRightInd/>
      <w:textAlignment w:val="auto"/>
    </w:pPr>
    <w:rPr>
      <w:rFonts w:ascii="Courier New" w:hAnsi="Courier New"/>
      <w:lang w:val="en-US" w:eastAsia="en-US"/>
    </w:rPr>
  </w:style>
  <w:style w:type="paragraph" w:customStyle="1" w:styleId="ZWYKLY">
    <w:name w:val="ZWYKLY"/>
    <w:basedOn w:val="Normalny"/>
    <w:rsid w:val="00AD54A3"/>
    <w:pPr>
      <w:suppressAutoHyphens/>
      <w:spacing w:before="18" w:line="360" w:lineRule="atLeast"/>
      <w:ind w:left="113" w:firstLine="397"/>
      <w:jc w:val="left"/>
      <w:textAlignment w:val="auto"/>
    </w:pPr>
    <w:rPr>
      <w:color w:val="000000"/>
      <w:sz w:val="24"/>
    </w:rPr>
  </w:style>
  <w:style w:type="paragraph" w:customStyle="1" w:styleId="DefaultText">
    <w:name w:val="Default Text"/>
    <w:basedOn w:val="Normalny"/>
    <w:rsid w:val="00AD54A3"/>
    <w:pPr>
      <w:overflowPunct/>
      <w:autoSpaceDE/>
      <w:autoSpaceDN/>
      <w:adjustRightInd/>
      <w:textAlignment w:val="auto"/>
    </w:pPr>
    <w:rPr>
      <w:sz w:val="24"/>
    </w:rPr>
  </w:style>
  <w:style w:type="paragraph" w:styleId="Zwykytekst">
    <w:name w:val="Plain Text"/>
    <w:basedOn w:val="Normalny"/>
    <w:link w:val="ZwykytekstZnak"/>
    <w:rsid w:val="00AD54A3"/>
    <w:pPr>
      <w:overflowPunct/>
      <w:autoSpaceDE/>
      <w:autoSpaceDN/>
      <w:adjustRightInd/>
      <w:jc w:val="left"/>
      <w:textAlignment w:val="auto"/>
    </w:pPr>
    <w:rPr>
      <w:rFonts w:ascii="Courier New" w:hAnsi="Courier New"/>
    </w:rPr>
  </w:style>
  <w:style w:type="character" w:customStyle="1" w:styleId="ZwykytekstZnak">
    <w:name w:val="Zwykły tekst Znak"/>
    <w:basedOn w:val="Domylnaczcionkaakapitu"/>
    <w:link w:val="Zwykytekst"/>
    <w:rsid w:val="00AD54A3"/>
    <w:rPr>
      <w:rFonts w:ascii="Courier New" w:eastAsia="Times New Roman" w:hAnsi="Courier New" w:cs="Times New Roman"/>
      <w:sz w:val="20"/>
      <w:szCs w:val="20"/>
    </w:rPr>
  </w:style>
  <w:style w:type="character" w:styleId="Pogrubienie">
    <w:name w:val="Strong"/>
    <w:qFormat/>
    <w:rsid w:val="00AD54A3"/>
    <w:rPr>
      <w:b/>
    </w:rPr>
  </w:style>
  <w:style w:type="character" w:customStyle="1" w:styleId="TekstprzypisukocowegoZnak">
    <w:name w:val="Tekst przypisu końcowego Znak"/>
    <w:basedOn w:val="Domylnaczcionkaakapitu"/>
    <w:link w:val="Tekstprzypisukocowego"/>
    <w:rsid w:val="00AD54A3"/>
    <w:rPr>
      <w:rFonts w:ascii="Times New Roman" w:eastAsia="Times New Roman" w:hAnsi="Times New Roman"/>
    </w:rPr>
  </w:style>
  <w:style w:type="paragraph" w:styleId="Tekstprzypisukocowego">
    <w:name w:val="endnote text"/>
    <w:basedOn w:val="Normalny"/>
    <w:link w:val="TekstprzypisukocowegoZnak"/>
    <w:rsid w:val="00AD54A3"/>
    <w:pPr>
      <w:overflowPunct/>
      <w:autoSpaceDE/>
      <w:autoSpaceDN/>
      <w:adjustRightInd/>
      <w:jc w:val="left"/>
      <w:textAlignment w:val="auto"/>
    </w:pPr>
    <w:rPr>
      <w:rFonts w:cstheme="minorBidi"/>
      <w:sz w:val="22"/>
      <w:szCs w:val="22"/>
      <w:lang w:eastAsia="en-US"/>
    </w:rPr>
  </w:style>
  <w:style w:type="character" w:customStyle="1" w:styleId="TekstprzypisukocowegoZnak1">
    <w:name w:val="Tekst przypisu końcowego Znak1"/>
    <w:basedOn w:val="Domylnaczcionkaakapitu"/>
    <w:link w:val="Tekstprzypisukocowego"/>
    <w:rsid w:val="00AD54A3"/>
    <w:rPr>
      <w:rFonts w:ascii="Times New Roman" w:eastAsia="Times New Roman" w:hAnsi="Times New Roman" w:cs="Times New Roman"/>
      <w:sz w:val="20"/>
      <w:szCs w:val="20"/>
      <w:lang w:eastAsia="pl-PL"/>
    </w:rPr>
  </w:style>
  <w:style w:type="paragraph" w:customStyle="1" w:styleId="Tekstpodstawowywcity21">
    <w:name w:val="Tekst podstawowy wcięty 21"/>
    <w:basedOn w:val="Normalny"/>
    <w:rsid w:val="00AD54A3"/>
    <w:pPr>
      <w:widowControl w:val="0"/>
      <w:spacing w:line="360" w:lineRule="auto"/>
      <w:ind w:firstLine="708"/>
    </w:pPr>
    <w:rPr>
      <w:rFonts w:ascii="Helvetica" w:hAnsi="Helvetica"/>
      <w:sz w:val="24"/>
    </w:rPr>
  </w:style>
  <w:style w:type="paragraph" w:styleId="Podtytu">
    <w:name w:val="Subtitle"/>
    <w:basedOn w:val="Normalny"/>
    <w:link w:val="PodtytuZnak"/>
    <w:qFormat/>
    <w:rsid w:val="00AD54A3"/>
    <w:pPr>
      <w:overflowPunct/>
      <w:autoSpaceDE/>
      <w:autoSpaceDN/>
      <w:adjustRightInd/>
      <w:jc w:val="center"/>
      <w:textAlignment w:val="auto"/>
    </w:pPr>
    <w:rPr>
      <w:b/>
      <w:sz w:val="24"/>
    </w:rPr>
  </w:style>
  <w:style w:type="character" w:customStyle="1" w:styleId="PodtytuZnak">
    <w:name w:val="Podtytuł Znak"/>
    <w:basedOn w:val="Domylnaczcionkaakapitu"/>
    <w:link w:val="Podtytu"/>
    <w:rsid w:val="00AD54A3"/>
    <w:rPr>
      <w:rFonts w:ascii="Times New Roman" w:eastAsia="Times New Roman" w:hAnsi="Times New Roman" w:cs="Times New Roman"/>
      <w:b/>
      <w:sz w:val="24"/>
      <w:szCs w:val="20"/>
    </w:rPr>
  </w:style>
  <w:style w:type="paragraph" w:customStyle="1" w:styleId="Tekstpodstawowy1">
    <w:name w:val="Tekst podstawowy1"/>
    <w:rsid w:val="00AD54A3"/>
    <w:pPr>
      <w:spacing w:after="0" w:line="240" w:lineRule="auto"/>
    </w:pPr>
    <w:rPr>
      <w:rFonts w:ascii="Arial" w:eastAsia="Times New Roman" w:hAnsi="Arial" w:cs="Times New Roman"/>
      <w:color w:val="000000"/>
      <w:sz w:val="24"/>
      <w:szCs w:val="20"/>
      <w:lang w:val="en-US" w:eastAsia="pl-PL"/>
    </w:rPr>
  </w:style>
  <w:style w:type="paragraph" w:customStyle="1" w:styleId="Tekst">
    <w:name w:val="Tekst"/>
    <w:basedOn w:val="Normalny"/>
    <w:rsid w:val="00AD54A3"/>
    <w:pPr>
      <w:overflowPunct/>
      <w:autoSpaceDE/>
      <w:autoSpaceDN/>
      <w:adjustRightInd/>
      <w:spacing w:before="60" w:line="360" w:lineRule="auto"/>
      <w:ind w:firstLine="851"/>
      <w:textAlignment w:val="auto"/>
    </w:pPr>
    <w:rPr>
      <w:rFonts w:ascii="Arial" w:hAnsi="Arial"/>
    </w:rPr>
  </w:style>
  <w:style w:type="paragraph" w:customStyle="1" w:styleId="ListaI">
    <w:name w:val="Lista_I"/>
    <w:basedOn w:val="Normalny"/>
    <w:rsid w:val="00AD54A3"/>
    <w:pPr>
      <w:tabs>
        <w:tab w:val="num" w:pos="360"/>
      </w:tabs>
      <w:overflowPunct/>
      <w:autoSpaceDE/>
      <w:autoSpaceDN/>
      <w:adjustRightInd/>
      <w:spacing w:line="360" w:lineRule="auto"/>
      <w:ind w:left="360" w:hanging="360"/>
      <w:textAlignment w:val="auto"/>
    </w:pPr>
    <w:rPr>
      <w:rFonts w:ascii="Arial" w:hAnsi="Arial"/>
    </w:rPr>
  </w:style>
  <w:style w:type="paragraph" w:customStyle="1" w:styleId="Listaa">
    <w:name w:val="Lista_a)"/>
    <w:basedOn w:val="Normalny"/>
    <w:rsid w:val="00AD54A3"/>
    <w:pPr>
      <w:keepNext/>
      <w:tabs>
        <w:tab w:val="num" w:pos="360"/>
        <w:tab w:val="left" w:pos="1134"/>
      </w:tabs>
      <w:overflowPunct/>
      <w:autoSpaceDE/>
      <w:autoSpaceDN/>
      <w:adjustRightInd/>
      <w:spacing w:before="60" w:line="360" w:lineRule="auto"/>
      <w:ind w:left="360" w:hanging="360"/>
      <w:jc w:val="left"/>
      <w:textAlignment w:val="auto"/>
    </w:pPr>
    <w:rPr>
      <w:rFonts w:ascii="Arial" w:hAnsi="Arial"/>
      <w:u w:val="single"/>
    </w:rPr>
  </w:style>
  <w:style w:type="paragraph" w:customStyle="1" w:styleId="Rysunki">
    <w:name w:val="Rysunki"/>
    <w:basedOn w:val="Normalny"/>
    <w:rsid w:val="00AD54A3"/>
    <w:pPr>
      <w:tabs>
        <w:tab w:val="left" w:pos="851"/>
        <w:tab w:val="num" w:pos="1068"/>
        <w:tab w:val="right" w:leader="dot" w:pos="9356"/>
      </w:tabs>
      <w:overflowPunct/>
      <w:autoSpaceDE/>
      <w:autoSpaceDN/>
      <w:adjustRightInd/>
      <w:spacing w:line="360" w:lineRule="auto"/>
      <w:ind w:left="1068" w:hanging="360"/>
      <w:textAlignment w:val="auto"/>
    </w:pPr>
    <w:rPr>
      <w:rFonts w:ascii="Arial" w:hAnsi="Arial"/>
    </w:rPr>
  </w:style>
  <w:style w:type="paragraph" w:customStyle="1" w:styleId="ETAPY">
    <w:name w:val="ETAPY"/>
    <w:basedOn w:val="Normalny"/>
    <w:next w:val="Tekst"/>
    <w:rsid w:val="00AD54A3"/>
    <w:pPr>
      <w:keepNext/>
      <w:tabs>
        <w:tab w:val="num" w:pos="360"/>
        <w:tab w:val="left" w:pos="1134"/>
      </w:tabs>
      <w:overflowPunct/>
      <w:autoSpaceDE/>
      <w:autoSpaceDN/>
      <w:adjustRightInd/>
      <w:spacing w:before="120" w:line="360" w:lineRule="auto"/>
      <w:ind w:left="1135" w:hanging="284"/>
      <w:textAlignment w:val="auto"/>
    </w:pPr>
    <w:rPr>
      <w:rFonts w:ascii="Arial" w:hAnsi="Arial"/>
      <w:b/>
    </w:rPr>
  </w:style>
  <w:style w:type="paragraph" w:customStyle="1" w:styleId="DROGI">
    <w:name w:val="DROGI"/>
    <w:basedOn w:val="Tekst"/>
    <w:rsid w:val="00AD54A3"/>
  </w:style>
  <w:style w:type="character" w:customStyle="1" w:styleId="ZnakZnak1">
    <w:name w:val="Znak Znak1"/>
    <w:rsid w:val="00AD54A3"/>
    <w:rPr>
      <w:b/>
      <w:sz w:val="24"/>
      <w:lang w:val="pl-PL" w:eastAsia="pl-PL" w:bidi="ar-SA"/>
    </w:rPr>
  </w:style>
  <w:style w:type="paragraph" w:customStyle="1" w:styleId="S">
    <w:name w:val="S"/>
    <w:basedOn w:val="Normalny"/>
    <w:rsid w:val="00AD54A3"/>
    <w:rPr>
      <w:sz w:val="24"/>
    </w:rPr>
  </w:style>
  <w:style w:type="character" w:customStyle="1" w:styleId="ZnakZnak">
    <w:name w:val="Znak Znak"/>
    <w:rsid w:val="00AD54A3"/>
    <w:rPr>
      <w:rFonts w:ascii="Tahoma" w:hAnsi="Tahoma" w:cs="Tahoma"/>
      <w:sz w:val="16"/>
      <w:szCs w:val="16"/>
    </w:rPr>
  </w:style>
  <w:style w:type="character" w:customStyle="1" w:styleId="spelle">
    <w:name w:val="spelle"/>
    <w:basedOn w:val="Domylnaczcionkaakapitu"/>
    <w:rsid w:val="00AD54A3"/>
  </w:style>
  <w:style w:type="character" w:customStyle="1" w:styleId="grame">
    <w:name w:val="grame"/>
    <w:basedOn w:val="Domylnaczcionkaakapitu"/>
    <w:rsid w:val="00AD54A3"/>
  </w:style>
  <w:style w:type="paragraph" w:customStyle="1" w:styleId="4">
    <w:name w:val="4"/>
    <w:basedOn w:val="Normalny"/>
    <w:rsid w:val="00AD54A3"/>
    <w:pPr>
      <w:keepNext/>
      <w:overflowPunct/>
      <w:autoSpaceDE/>
      <w:autoSpaceDN/>
      <w:adjustRightInd/>
      <w:spacing w:before="120" w:after="120" w:line="360" w:lineRule="auto"/>
      <w:textAlignment w:val="auto"/>
    </w:pPr>
    <w:rPr>
      <w:sz w:val="24"/>
    </w:rPr>
  </w:style>
  <w:style w:type="paragraph" w:customStyle="1" w:styleId="Tekstpodstawowywcity22">
    <w:name w:val="Tekst podstawowy wcięty 22"/>
    <w:basedOn w:val="Normalny"/>
    <w:rsid w:val="00AD54A3"/>
    <w:pPr>
      <w:widowControl w:val="0"/>
      <w:spacing w:line="360" w:lineRule="auto"/>
      <w:ind w:firstLine="708"/>
    </w:pPr>
    <w:rPr>
      <w:rFonts w:ascii="Helvetica" w:hAnsi="Helvetica"/>
      <w:sz w:val="24"/>
    </w:rPr>
  </w:style>
  <w:style w:type="paragraph" w:styleId="Plandokumentu">
    <w:name w:val="Document Map"/>
    <w:basedOn w:val="Normalny"/>
    <w:link w:val="PlandokumentuZnak"/>
    <w:rsid w:val="00AD54A3"/>
    <w:pPr>
      <w:overflowPunct/>
      <w:autoSpaceDE/>
      <w:autoSpaceDN/>
      <w:adjustRightInd/>
      <w:jc w:val="left"/>
      <w:textAlignment w:val="auto"/>
    </w:pPr>
    <w:rPr>
      <w:rFonts w:ascii="Tahoma" w:hAnsi="Tahoma"/>
      <w:sz w:val="16"/>
      <w:szCs w:val="16"/>
    </w:rPr>
  </w:style>
  <w:style w:type="character" w:customStyle="1" w:styleId="PlandokumentuZnak">
    <w:name w:val="Plan dokumentu Znak"/>
    <w:basedOn w:val="Domylnaczcionkaakapitu"/>
    <w:link w:val="Plandokumentu"/>
    <w:rsid w:val="00AD54A3"/>
    <w:rPr>
      <w:rFonts w:ascii="Tahoma" w:eastAsia="Times New Roman" w:hAnsi="Tahoma" w:cs="Times New Roman"/>
      <w:sz w:val="16"/>
      <w:szCs w:val="16"/>
    </w:rPr>
  </w:style>
  <w:style w:type="paragraph" w:styleId="Indeks4">
    <w:name w:val="index 4"/>
    <w:basedOn w:val="Normalny"/>
    <w:next w:val="Normalny"/>
    <w:autoRedefine/>
    <w:rsid w:val="00AD54A3"/>
    <w:pPr>
      <w:overflowPunct/>
      <w:autoSpaceDE/>
      <w:autoSpaceDN/>
      <w:adjustRightInd/>
      <w:ind w:left="960" w:hanging="240"/>
      <w:jc w:val="left"/>
      <w:textAlignment w:val="auto"/>
    </w:pPr>
  </w:style>
  <w:style w:type="paragraph" w:styleId="Tekstblokowy">
    <w:name w:val="Block Text"/>
    <w:basedOn w:val="Normalny"/>
    <w:rsid w:val="00AD54A3"/>
    <w:pPr>
      <w:overflowPunct/>
      <w:autoSpaceDE/>
      <w:autoSpaceDN/>
      <w:adjustRightInd/>
      <w:ind w:left="113" w:right="113"/>
      <w:jc w:val="center"/>
      <w:textAlignment w:val="auto"/>
    </w:pPr>
    <w:rPr>
      <w:b/>
      <w:sz w:val="26"/>
    </w:rPr>
  </w:style>
  <w:style w:type="paragraph" w:customStyle="1" w:styleId="Styl1">
    <w:name w:val="Styl1"/>
    <w:basedOn w:val="Normalny"/>
    <w:next w:val="Normalny"/>
    <w:rsid w:val="00AD54A3"/>
    <w:pPr>
      <w:tabs>
        <w:tab w:val="num" w:pos="360"/>
      </w:tabs>
      <w:overflowPunct/>
      <w:autoSpaceDE/>
      <w:autoSpaceDN/>
      <w:adjustRightInd/>
      <w:spacing w:before="240" w:after="240"/>
      <w:ind w:left="357" w:hanging="357"/>
      <w:jc w:val="left"/>
      <w:textAlignment w:val="auto"/>
    </w:pPr>
    <w:rPr>
      <w:b/>
      <w:sz w:val="24"/>
    </w:rPr>
  </w:style>
  <w:style w:type="character" w:customStyle="1" w:styleId="WW-Absatz-Standardschriftart11">
    <w:name w:val="WW-Absatz-Standardschriftart11"/>
    <w:rsid w:val="00AD54A3"/>
  </w:style>
  <w:style w:type="character" w:customStyle="1" w:styleId="WW-Absatz-Standardschriftart">
    <w:name w:val="WW-Absatz-Standardschriftart"/>
    <w:rsid w:val="00AD54A3"/>
  </w:style>
  <w:style w:type="paragraph" w:customStyle="1" w:styleId="Tekstpodstawowywcity31">
    <w:name w:val="Tekst podstawowy wcięty 31"/>
    <w:basedOn w:val="Normalny"/>
    <w:rsid w:val="00AD54A3"/>
    <w:pPr>
      <w:suppressAutoHyphens/>
      <w:overflowPunct/>
      <w:autoSpaceDE/>
      <w:autoSpaceDN/>
      <w:adjustRightInd/>
      <w:spacing w:after="120" w:line="360" w:lineRule="auto"/>
      <w:ind w:left="283"/>
      <w:jc w:val="left"/>
      <w:textAlignment w:val="auto"/>
    </w:pPr>
    <w:rPr>
      <w:rFonts w:ascii="Arial" w:hAnsi="Arial"/>
      <w:sz w:val="16"/>
      <w:szCs w:val="16"/>
      <w:lang w:eastAsia="ar-SA"/>
    </w:rPr>
  </w:style>
  <w:style w:type="paragraph" w:customStyle="1" w:styleId="standardwcity">
    <w:name w:val="standard wcięty"/>
    <w:basedOn w:val="Normalny"/>
    <w:autoRedefine/>
    <w:rsid w:val="00AD54A3"/>
    <w:pPr>
      <w:overflowPunct/>
      <w:autoSpaceDE/>
      <w:autoSpaceDN/>
      <w:adjustRightInd/>
      <w:spacing w:line="360" w:lineRule="auto"/>
      <w:ind w:firstLine="709"/>
      <w:textAlignment w:val="auto"/>
    </w:pPr>
    <w:rPr>
      <w:rFonts w:ascii="Arial" w:hAnsi="Arial" w:cs="Arial"/>
      <w:kern w:val="24"/>
      <w:sz w:val="24"/>
      <w:szCs w:val="24"/>
    </w:rPr>
  </w:style>
  <w:style w:type="character" w:styleId="Odwoanieprzypisukocowego">
    <w:name w:val="endnote reference"/>
    <w:rsid w:val="00AD54A3"/>
    <w:rPr>
      <w:vertAlign w:val="superscript"/>
    </w:rPr>
  </w:style>
  <w:style w:type="paragraph" w:customStyle="1" w:styleId="Standardowy1">
    <w:name w:val="Standardowy1"/>
    <w:rsid w:val="00AD54A3"/>
    <w:pPr>
      <w:widowControl w:val="0"/>
      <w:overflowPunct w:val="0"/>
      <w:autoSpaceDE w:val="0"/>
      <w:autoSpaceDN w:val="0"/>
      <w:adjustRightInd w:val="0"/>
      <w:spacing w:after="0" w:line="240" w:lineRule="auto"/>
      <w:textAlignment w:val="baseline"/>
    </w:pPr>
    <w:rPr>
      <w:rFonts w:ascii="Arial" w:eastAsia="Times New Roman" w:hAnsi="Arial" w:cs="Times New Roman"/>
      <w:szCs w:val="20"/>
      <w:lang w:eastAsia="pl-PL"/>
    </w:rPr>
  </w:style>
  <w:style w:type="character" w:styleId="Odwoaniedokomentarza">
    <w:name w:val="annotation reference"/>
    <w:rsid w:val="00AD54A3"/>
    <w:rPr>
      <w:sz w:val="16"/>
      <w:szCs w:val="16"/>
    </w:rPr>
  </w:style>
  <w:style w:type="paragraph" w:styleId="Listapunktowana">
    <w:name w:val="List Bullet"/>
    <w:basedOn w:val="Normalny"/>
    <w:autoRedefine/>
    <w:rsid w:val="00AD54A3"/>
    <w:pPr>
      <w:tabs>
        <w:tab w:val="num" w:pos="1440"/>
      </w:tabs>
      <w:overflowPunct/>
      <w:autoSpaceDE/>
      <w:autoSpaceDN/>
      <w:adjustRightInd/>
      <w:ind w:left="1440" w:hanging="360"/>
      <w:jc w:val="left"/>
      <w:textAlignment w:val="auto"/>
    </w:pPr>
    <w:rPr>
      <w:rFonts w:eastAsia="SimSun"/>
      <w:lang w:val="de-DE"/>
    </w:rPr>
  </w:style>
  <w:style w:type="paragraph" w:customStyle="1" w:styleId="TabelaTR-1">
    <w:name w:val="Tabela TR-1"/>
    <w:basedOn w:val="Normalny"/>
    <w:next w:val="Normalny"/>
    <w:rsid w:val="00AD54A3"/>
    <w:pPr>
      <w:widowControl w:val="0"/>
      <w:tabs>
        <w:tab w:val="left" w:pos="1742"/>
        <w:tab w:val="left" w:pos="2959"/>
        <w:tab w:val="left" w:pos="3952"/>
        <w:tab w:val="left" w:pos="4945"/>
        <w:tab w:val="left" w:pos="5938"/>
        <w:tab w:val="left" w:pos="6931"/>
        <w:tab w:val="left" w:pos="7924"/>
        <w:tab w:val="left" w:pos="8917"/>
        <w:tab w:val="left" w:pos="9910"/>
        <w:tab w:val="left" w:pos="10903"/>
        <w:tab w:val="left" w:pos="11896"/>
        <w:tab w:val="left" w:pos="14583"/>
        <w:tab w:val="left" w:pos="16925"/>
      </w:tabs>
      <w:overflowPunct/>
      <w:autoSpaceDE/>
      <w:autoSpaceDN/>
      <w:adjustRightInd/>
      <w:snapToGrid w:val="0"/>
      <w:jc w:val="left"/>
      <w:textAlignment w:val="auto"/>
    </w:pPr>
    <w:rPr>
      <w:rFonts w:eastAsia="SimSun"/>
      <w:b/>
      <w:sz w:val="26"/>
    </w:rPr>
  </w:style>
  <w:style w:type="paragraph" w:customStyle="1" w:styleId="proxima">
    <w:name w:val="proxima"/>
    <w:basedOn w:val="Normalny"/>
    <w:rsid w:val="00AD54A3"/>
    <w:pPr>
      <w:overflowPunct/>
      <w:autoSpaceDE/>
      <w:autoSpaceDN/>
      <w:adjustRightInd/>
      <w:textAlignment w:val="auto"/>
    </w:pPr>
    <w:rPr>
      <w:rFonts w:eastAsia="SimSun"/>
      <w:sz w:val="26"/>
    </w:rPr>
  </w:style>
  <w:style w:type="paragraph" w:customStyle="1" w:styleId="1KASIA">
    <w:name w:val="1. KASIA"/>
    <w:basedOn w:val="Normalny"/>
    <w:qFormat/>
    <w:rsid w:val="00AD54A3"/>
    <w:pPr>
      <w:overflowPunct/>
      <w:autoSpaceDE/>
      <w:autoSpaceDN/>
      <w:adjustRightInd/>
      <w:spacing w:before="60" w:line="280" w:lineRule="exact"/>
      <w:jc w:val="left"/>
      <w:textAlignment w:val="auto"/>
    </w:pPr>
    <w:rPr>
      <w:rFonts w:ascii="Verdana" w:eastAsia="MS Mincho" w:hAnsi="Verdana"/>
      <w:szCs w:val="22"/>
    </w:rPr>
  </w:style>
  <w:style w:type="paragraph" w:customStyle="1" w:styleId="111Kasia">
    <w:name w:val="1.1.1. Kasia"/>
    <w:basedOn w:val="Normalny"/>
    <w:qFormat/>
    <w:rsid w:val="00AD54A3"/>
    <w:pPr>
      <w:numPr>
        <w:ilvl w:val="2"/>
        <w:numId w:val="7"/>
      </w:numPr>
      <w:tabs>
        <w:tab w:val="left" w:leader="dot" w:pos="284"/>
        <w:tab w:val="left" w:pos="709"/>
      </w:tabs>
      <w:overflowPunct/>
      <w:autoSpaceDE/>
      <w:autoSpaceDN/>
      <w:adjustRightInd/>
      <w:ind w:left="0" w:firstLine="0"/>
      <w:jc w:val="left"/>
      <w:textAlignment w:val="auto"/>
    </w:pPr>
    <w:rPr>
      <w:rFonts w:eastAsia="MS Mincho"/>
      <w:sz w:val="24"/>
      <w:szCs w:val="24"/>
    </w:rPr>
  </w:style>
  <w:style w:type="paragraph" w:customStyle="1" w:styleId="Body">
    <w:name w:val="Body"/>
    <w:rsid w:val="00AD54A3"/>
    <w:pPr>
      <w:spacing w:after="0" w:line="240" w:lineRule="auto"/>
    </w:pPr>
    <w:rPr>
      <w:rFonts w:ascii="Helvetica" w:eastAsia="ヒラギノ角ゴ Pro W3" w:hAnsi="Helvetica" w:cs="Times New Roman"/>
      <w:color w:val="000000"/>
      <w:sz w:val="24"/>
      <w:szCs w:val="20"/>
      <w:lang w:eastAsia="pl-PL"/>
    </w:rPr>
  </w:style>
  <w:style w:type="paragraph" w:customStyle="1" w:styleId="AW1">
    <w:name w:val="AW_1"/>
    <w:basedOn w:val="Normalny"/>
    <w:link w:val="AW1Znak"/>
    <w:qFormat/>
    <w:rsid w:val="00AD54A3"/>
    <w:pPr>
      <w:tabs>
        <w:tab w:val="left" w:leader="dot" w:pos="7920"/>
      </w:tabs>
      <w:overflowPunct/>
      <w:autoSpaceDE/>
      <w:autoSpaceDN/>
      <w:adjustRightInd/>
      <w:spacing w:line="360" w:lineRule="auto"/>
      <w:jc w:val="left"/>
      <w:textAlignment w:val="auto"/>
    </w:pPr>
    <w:rPr>
      <w:rFonts w:ascii="Arial" w:hAnsi="Arial"/>
      <w:b/>
      <w:sz w:val="24"/>
      <w:szCs w:val="24"/>
      <w:u w:val="single"/>
    </w:rPr>
  </w:style>
  <w:style w:type="paragraph" w:customStyle="1" w:styleId="AW11">
    <w:name w:val="AW_1.1"/>
    <w:basedOn w:val="Normalny"/>
    <w:link w:val="AW11Znak"/>
    <w:qFormat/>
    <w:rsid w:val="00AD54A3"/>
    <w:pPr>
      <w:tabs>
        <w:tab w:val="left" w:leader="dot" w:pos="7920"/>
      </w:tabs>
      <w:overflowPunct/>
      <w:autoSpaceDE/>
      <w:autoSpaceDN/>
      <w:adjustRightInd/>
      <w:textAlignment w:val="auto"/>
    </w:pPr>
    <w:rPr>
      <w:rFonts w:ascii="Arial" w:hAnsi="Arial"/>
      <w:b/>
      <w:sz w:val="24"/>
      <w:szCs w:val="24"/>
    </w:rPr>
  </w:style>
  <w:style w:type="character" w:customStyle="1" w:styleId="AW1Znak">
    <w:name w:val="AW_1 Znak"/>
    <w:link w:val="AW1"/>
    <w:rsid w:val="00AD54A3"/>
    <w:rPr>
      <w:rFonts w:ascii="Arial" w:eastAsia="Times New Roman" w:hAnsi="Arial" w:cs="Times New Roman"/>
      <w:b/>
      <w:sz w:val="24"/>
      <w:szCs w:val="24"/>
      <w:u w:val="single"/>
    </w:rPr>
  </w:style>
  <w:style w:type="paragraph" w:customStyle="1" w:styleId="AW111">
    <w:name w:val="AW_1.1.1"/>
    <w:basedOn w:val="Normalny"/>
    <w:link w:val="AW111Znak"/>
    <w:qFormat/>
    <w:rsid w:val="00AD54A3"/>
    <w:pPr>
      <w:tabs>
        <w:tab w:val="left" w:leader="dot" w:pos="7920"/>
      </w:tabs>
      <w:overflowPunct/>
      <w:autoSpaceDE/>
      <w:autoSpaceDN/>
      <w:adjustRightInd/>
      <w:ind w:left="709"/>
      <w:textAlignment w:val="auto"/>
    </w:pPr>
    <w:rPr>
      <w:rFonts w:ascii="Arial" w:hAnsi="Arial"/>
      <w:b/>
      <w:sz w:val="24"/>
      <w:szCs w:val="24"/>
    </w:rPr>
  </w:style>
  <w:style w:type="character" w:customStyle="1" w:styleId="AW11Znak">
    <w:name w:val="AW_1.1 Znak"/>
    <w:link w:val="AW11"/>
    <w:rsid w:val="00AD54A3"/>
    <w:rPr>
      <w:rFonts w:ascii="Arial" w:eastAsia="Times New Roman" w:hAnsi="Arial" w:cs="Times New Roman"/>
      <w:b/>
      <w:sz w:val="24"/>
      <w:szCs w:val="24"/>
    </w:rPr>
  </w:style>
  <w:style w:type="character" w:customStyle="1" w:styleId="AW111Znak">
    <w:name w:val="AW_1.1.1 Znak"/>
    <w:link w:val="AW111"/>
    <w:rsid w:val="00AD54A3"/>
    <w:rPr>
      <w:rFonts w:ascii="Arial" w:eastAsia="Times New Roman" w:hAnsi="Arial" w:cs="Times New Roman"/>
      <w:b/>
      <w:sz w:val="24"/>
      <w:szCs w:val="24"/>
    </w:rPr>
  </w:style>
  <w:style w:type="paragraph" w:styleId="Nagwekspisutreci">
    <w:name w:val="TOC Heading"/>
    <w:basedOn w:val="Nagwek1"/>
    <w:next w:val="Normalny"/>
    <w:uiPriority w:val="39"/>
    <w:unhideWhenUsed/>
    <w:qFormat/>
    <w:rsid w:val="00AD54A3"/>
    <w:pPr>
      <w:suppressAutoHyphens w:val="0"/>
      <w:overflowPunct/>
      <w:autoSpaceDE/>
      <w:autoSpaceDN/>
      <w:adjustRightInd/>
      <w:spacing w:before="480" w:after="0" w:line="276" w:lineRule="auto"/>
      <w:jc w:val="left"/>
      <w:textAlignment w:val="auto"/>
      <w:outlineLvl w:val="9"/>
    </w:pPr>
    <w:rPr>
      <w:rFonts w:ascii="Cambria" w:hAnsi="Cambria"/>
      <w:bCs/>
      <w:caps w:val="0"/>
      <w:color w:val="365F91"/>
      <w:kern w:val="0"/>
      <w:sz w:val="32"/>
      <w:szCs w:val="28"/>
      <w:lang w:eastAsia="en-US"/>
    </w:rPr>
  </w:style>
  <w:style w:type="paragraph" w:styleId="Poprawka">
    <w:name w:val="Revision"/>
    <w:hidden/>
    <w:uiPriority w:val="99"/>
    <w:semiHidden/>
    <w:rsid w:val="00AD54A3"/>
    <w:pPr>
      <w:spacing w:after="0" w:line="240" w:lineRule="auto"/>
    </w:pPr>
    <w:rPr>
      <w:rFonts w:ascii="Times New Roman" w:eastAsia="Times New Roman" w:hAnsi="Times New Roman" w:cs="Times New Roman"/>
      <w:sz w:val="24"/>
      <w:szCs w:val="24"/>
      <w:lang w:eastAsia="pl-PL"/>
    </w:rPr>
  </w:style>
  <w:style w:type="character" w:customStyle="1" w:styleId="AkapitzlistZnak">
    <w:name w:val="Akapit z listą Znak"/>
    <w:link w:val="Akapitzlist"/>
    <w:uiPriority w:val="34"/>
    <w:rsid w:val="00AD54A3"/>
    <w:rPr>
      <w:rFonts w:ascii="Times New Roman" w:eastAsia="Times New Roman" w:hAnsi="Times New Roman" w:cs="Times New Roman"/>
      <w:sz w:val="24"/>
      <w:szCs w:val="24"/>
    </w:rPr>
  </w:style>
  <w:style w:type="paragraph" w:customStyle="1" w:styleId="Normalny10pt">
    <w:name w:val="Normalny + 10 pt"/>
    <w:aliases w:val="Wyrównany do środka,Z lewej:  -0,21 cm,Z prawej:  -0,04 cm"/>
    <w:basedOn w:val="Normalny"/>
    <w:rsid w:val="00AD54A3"/>
    <w:pPr>
      <w:overflowPunct/>
      <w:autoSpaceDE/>
      <w:autoSpaceDN/>
      <w:adjustRightInd/>
      <w:ind w:left="-117" w:right="-25"/>
      <w:jc w:val="center"/>
      <w:textAlignment w:val="auto"/>
    </w:pPr>
  </w:style>
  <w:style w:type="paragraph" w:customStyle="1" w:styleId="opisZnakZnak">
    <w:name w:val="opis Znak Znak"/>
    <w:basedOn w:val="Normalny"/>
    <w:link w:val="opisZnakZnakZnak"/>
    <w:rsid w:val="00AD54A3"/>
    <w:pPr>
      <w:widowControl w:val="0"/>
      <w:overflowPunct/>
      <w:autoSpaceDE/>
      <w:autoSpaceDN/>
      <w:adjustRightInd/>
      <w:spacing w:line="360" w:lineRule="auto"/>
      <w:ind w:right="170"/>
      <w:textAlignment w:val="auto"/>
    </w:pPr>
    <w:rPr>
      <w:rFonts w:ascii="Arial" w:hAnsi="Arial"/>
      <w:snapToGrid w:val="0"/>
    </w:rPr>
  </w:style>
  <w:style w:type="character" w:customStyle="1" w:styleId="opisZnakZnakZnak">
    <w:name w:val="opis Znak Znak Znak"/>
    <w:link w:val="opisZnakZnak"/>
    <w:rsid w:val="00AD54A3"/>
    <w:rPr>
      <w:rFonts w:ascii="Arial" w:eastAsia="Times New Roman" w:hAnsi="Arial" w:cs="Times New Roman"/>
      <w:snapToGrid w:val="0"/>
      <w:sz w:val="20"/>
      <w:szCs w:val="20"/>
    </w:rPr>
  </w:style>
  <w:style w:type="paragraph" w:customStyle="1" w:styleId="Styl12ptWyjustowanyA2">
    <w:name w:val="Styl 12 pt Wyjustowany_A2"/>
    <w:basedOn w:val="Normalny"/>
    <w:rsid w:val="00AD54A3"/>
    <w:pPr>
      <w:tabs>
        <w:tab w:val="num" w:pos="720"/>
      </w:tabs>
      <w:overflowPunct/>
      <w:autoSpaceDE/>
      <w:autoSpaceDN/>
      <w:adjustRightInd/>
      <w:ind w:left="1134" w:hanging="283"/>
      <w:textAlignment w:val="auto"/>
    </w:pPr>
    <w:rPr>
      <w:rFonts w:eastAsia="Calibri"/>
      <w:sz w:val="24"/>
      <w:szCs w:val="24"/>
    </w:rPr>
  </w:style>
  <w:style w:type="numbering" w:customStyle="1" w:styleId="StylPunktowane">
    <w:name w:val="Styl Punktowane"/>
    <w:basedOn w:val="Bezlisty"/>
    <w:rsid w:val="00AD54A3"/>
    <w:pPr>
      <w:numPr>
        <w:numId w:val="8"/>
      </w:numPr>
    </w:pPr>
  </w:style>
  <w:style w:type="paragraph" w:customStyle="1" w:styleId="Normalny1">
    <w:name w:val="Normalny1"/>
    <w:rsid w:val="00AD54A3"/>
    <w:pPr>
      <w:widowControl w:val="0"/>
      <w:spacing w:after="0" w:line="240" w:lineRule="auto"/>
    </w:pPr>
    <w:rPr>
      <w:rFonts w:ascii="Times New Roman" w:eastAsia="ヒラギノ角ゴ Pro W3" w:hAnsi="Times New Roman" w:cs="Times New Roman"/>
      <w:b/>
      <w:color w:val="000000"/>
      <w:sz w:val="20"/>
      <w:szCs w:val="20"/>
      <w:lang w:eastAsia="pl-PL"/>
    </w:rPr>
  </w:style>
  <w:style w:type="paragraph" w:customStyle="1" w:styleId="Tekstpodstawowywcity32">
    <w:name w:val="Tekst podstawowy wcięty 32"/>
    <w:basedOn w:val="Normalny"/>
    <w:rsid w:val="00AD54A3"/>
    <w:pPr>
      <w:ind w:firstLine="709"/>
    </w:pPr>
  </w:style>
  <w:style w:type="character" w:customStyle="1" w:styleId="Hipercze1">
    <w:name w:val="Hiperłącze1"/>
    <w:rsid w:val="00AD54A3"/>
    <w:rPr>
      <w:color w:val="0000FF"/>
      <w:u w:val="single"/>
    </w:rPr>
  </w:style>
  <w:style w:type="paragraph" w:customStyle="1" w:styleId="StylSpistreci1Przed0ptPo0pt">
    <w:name w:val="Styl Spis treści 1 + Przed:  0 pt Po:  0 pt"/>
    <w:basedOn w:val="Spistreci1"/>
    <w:rsid w:val="00AD54A3"/>
    <w:pPr>
      <w:spacing w:before="360" w:after="0"/>
    </w:pPr>
    <w:rPr>
      <w:bCs/>
      <w:caps w:val="0"/>
      <w:szCs w:val="24"/>
    </w:rPr>
  </w:style>
  <w:style w:type="paragraph" w:customStyle="1" w:styleId="StylSpistreci1NiePogrubienie">
    <w:name w:val="Styl Spis treści 1 + Nie Pogrubienie"/>
    <w:basedOn w:val="Spistreci1"/>
    <w:link w:val="StylSpistreci1NiePogrubienieZnak"/>
    <w:rsid w:val="00AD54A3"/>
    <w:pPr>
      <w:spacing w:before="360" w:after="0"/>
    </w:pPr>
  </w:style>
  <w:style w:type="character" w:customStyle="1" w:styleId="StylSpistreci1NiePogrubienieZnak">
    <w:name w:val="Styl Spis treści 1 + Nie Pogrubienie Znak"/>
    <w:link w:val="StylSpistreci1NiePogrubienie"/>
    <w:rsid w:val="00AD54A3"/>
    <w:rPr>
      <w:rFonts w:ascii="Times New Roman" w:eastAsia="Times New Roman" w:hAnsi="Times New Roman" w:cs="Times New Roman"/>
      <w:b/>
      <w:caps/>
      <w:sz w:val="20"/>
      <w:szCs w:val="20"/>
    </w:rPr>
  </w:style>
  <w:style w:type="paragraph" w:customStyle="1" w:styleId="Spistreci">
    <w:name w:val="Spis treści"/>
    <w:basedOn w:val="Spistreci1"/>
    <w:link w:val="SpistreciZnak"/>
    <w:autoRedefine/>
    <w:qFormat/>
    <w:rsid w:val="00AD54A3"/>
    <w:pPr>
      <w:tabs>
        <w:tab w:val="clear" w:pos="7371"/>
      </w:tabs>
      <w:overflowPunct/>
      <w:autoSpaceDE/>
      <w:autoSpaceDN/>
      <w:adjustRightInd/>
      <w:spacing w:before="360" w:after="0"/>
      <w:textAlignment w:val="auto"/>
    </w:pPr>
  </w:style>
  <w:style w:type="numbering" w:customStyle="1" w:styleId="Bezlisty1">
    <w:name w:val="Bez listy1"/>
    <w:next w:val="Bezlisty"/>
    <w:semiHidden/>
    <w:rsid w:val="00AD54A3"/>
  </w:style>
  <w:style w:type="character" w:customStyle="1" w:styleId="Spistreci1Znak">
    <w:name w:val="Spis treści 1 Znak"/>
    <w:link w:val="Spistreci1"/>
    <w:uiPriority w:val="39"/>
    <w:rsid w:val="00AD54A3"/>
    <w:rPr>
      <w:rFonts w:ascii="Times New Roman" w:eastAsia="Times New Roman" w:hAnsi="Times New Roman" w:cs="Times New Roman"/>
      <w:b/>
      <w:caps/>
      <w:sz w:val="20"/>
      <w:szCs w:val="20"/>
      <w:lang w:eastAsia="pl-PL"/>
    </w:rPr>
  </w:style>
  <w:style w:type="character" w:customStyle="1" w:styleId="SpistreciZnak">
    <w:name w:val="Spis treści Znak"/>
    <w:basedOn w:val="Spistreci1Znak"/>
    <w:link w:val="Spistreci"/>
    <w:rsid w:val="00AD54A3"/>
    <w:rPr>
      <w:rFonts w:cs="Times New Roman"/>
      <w:sz w:val="20"/>
    </w:rPr>
  </w:style>
  <w:style w:type="numbering" w:customStyle="1" w:styleId="Bezlisty2">
    <w:name w:val="Bez listy2"/>
    <w:next w:val="Bezlisty"/>
    <w:uiPriority w:val="99"/>
    <w:semiHidden/>
    <w:unhideWhenUsed/>
    <w:rsid w:val="00AD54A3"/>
  </w:style>
  <w:style w:type="numbering" w:customStyle="1" w:styleId="Bezlisty3">
    <w:name w:val="Bez listy3"/>
    <w:next w:val="Bezlisty"/>
    <w:uiPriority w:val="99"/>
    <w:semiHidden/>
    <w:unhideWhenUsed/>
    <w:rsid w:val="00AD54A3"/>
  </w:style>
  <w:style w:type="numbering" w:customStyle="1" w:styleId="Bezlisty4">
    <w:name w:val="Bez listy4"/>
    <w:next w:val="Bezlisty"/>
    <w:semiHidden/>
    <w:rsid w:val="00AD54A3"/>
  </w:style>
  <w:style w:type="paragraph" w:customStyle="1" w:styleId="10">
    <w:name w:val="_10"/>
    <w:basedOn w:val="Normalny"/>
    <w:rsid w:val="00AD54A3"/>
    <w:pPr>
      <w:overflowPunct/>
      <w:autoSpaceDE/>
      <w:autoSpaceDN/>
      <w:adjustRightInd/>
      <w:textAlignment w:val="auto"/>
    </w:pPr>
  </w:style>
  <w:style w:type="paragraph" w:customStyle="1" w:styleId="Styl12ptWyjustowany">
    <w:name w:val="Styl 12 pt Wyjustowany"/>
    <w:basedOn w:val="Normalny"/>
    <w:rsid w:val="00AD54A3"/>
    <w:pPr>
      <w:overflowPunct/>
      <w:autoSpaceDE/>
      <w:autoSpaceDN/>
      <w:adjustRightInd/>
      <w:textAlignment w:val="auto"/>
    </w:pPr>
  </w:style>
  <w:style w:type="table" w:customStyle="1" w:styleId="Tabela-Siatka1">
    <w:name w:val="Tabela - Siatka1"/>
    <w:basedOn w:val="Standardowy"/>
    <w:next w:val="Tabela-Siatka"/>
    <w:rsid w:val="00AD54A3"/>
    <w:pPr>
      <w:overflowPunct w:val="0"/>
      <w:autoSpaceDE w:val="0"/>
      <w:autoSpaceDN w:val="0"/>
      <w:adjustRightInd w:val="0"/>
      <w:spacing w:after="0" w:line="240" w:lineRule="auto"/>
      <w:jc w:val="both"/>
      <w:textAlignment w:val="baseline"/>
    </w:pPr>
    <w:rPr>
      <w:rFonts w:ascii="Times New Roman" w:eastAsia="Times New Roman" w:hAnsi="Times New Roman" w:cs="Times New Roman"/>
      <w:sz w:val="20"/>
      <w:szCs w:val="20"/>
      <w:lang w:eastAsia="pl-PL"/>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numbering" w:customStyle="1" w:styleId="Bezlisty5">
    <w:name w:val="Bez listy5"/>
    <w:next w:val="Bezlisty"/>
    <w:semiHidden/>
    <w:rsid w:val="00AD54A3"/>
  </w:style>
  <w:style w:type="table" w:customStyle="1" w:styleId="Tabela-Siatka2">
    <w:name w:val="Tabela - Siatka2"/>
    <w:basedOn w:val="Standardowy"/>
    <w:next w:val="Tabela-Siatka"/>
    <w:rsid w:val="00AD54A3"/>
    <w:pPr>
      <w:overflowPunct w:val="0"/>
      <w:autoSpaceDE w:val="0"/>
      <w:autoSpaceDN w:val="0"/>
      <w:adjustRightInd w:val="0"/>
      <w:spacing w:after="0" w:line="240" w:lineRule="auto"/>
      <w:jc w:val="both"/>
      <w:textAlignment w:val="baseline"/>
    </w:pPr>
    <w:rPr>
      <w:rFonts w:ascii="Times New Roman" w:eastAsia="Times New Roman" w:hAnsi="Times New Roman" w:cs="Times New Roman"/>
      <w:sz w:val="20"/>
      <w:szCs w:val="20"/>
      <w:lang w:eastAsia="pl-PL"/>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numbering" w:customStyle="1" w:styleId="Bezlisty6">
    <w:name w:val="Bez listy6"/>
    <w:next w:val="Bezlisty"/>
    <w:semiHidden/>
    <w:rsid w:val="00AD54A3"/>
  </w:style>
  <w:style w:type="table" w:customStyle="1" w:styleId="Tabela-Siatka3">
    <w:name w:val="Tabela - Siatka3"/>
    <w:basedOn w:val="Standardowy"/>
    <w:next w:val="Tabela-Siatka"/>
    <w:rsid w:val="00AD54A3"/>
    <w:pPr>
      <w:overflowPunct w:val="0"/>
      <w:autoSpaceDE w:val="0"/>
      <w:autoSpaceDN w:val="0"/>
      <w:adjustRightInd w:val="0"/>
      <w:spacing w:after="0" w:line="240" w:lineRule="auto"/>
      <w:jc w:val="both"/>
      <w:textAlignment w:val="baseline"/>
    </w:pPr>
    <w:rPr>
      <w:rFonts w:ascii="Times New Roman" w:eastAsia="Times New Roman" w:hAnsi="Times New Roman" w:cs="Times New Roman"/>
      <w:sz w:val="20"/>
      <w:szCs w:val="20"/>
      <w:lang w:eastAsia="pl-PL"/>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numbering" w:customStyle="1" w:styleId="Bezlisty7">
    <w:name w:val="Bez listy7"/>
    <w:next w:val="Bezlisty"/>
    <w:semiHidden/>
    <w:rsid w:val="00AD54A3"/>
  </w:style>
  <w:style w:type="table" w:customStyle="1" w:styleId="Tabela-Siatka4">
    <w:name w:val="Tabela - Siatka4"/>
    <w:basedOn w:val="Standardowy"/>
    <w:next w:val="Tabela-Siatka"/>
    <w:rsid w:val="00AD54A3"/>
    <w:pPr>
      <w:overflowPunct w:val="0"/>
      <w:autoSpaceDE w:val="0"/>
      <w:autoSpaceDN w:val="0"/>
      <w:adjustRightInd w:val="0"/>
      <w:spacing w:after="0" w:line="240" w:lineRule="auto"/>
      <w:jc w:val="both"/>
      <w:textAlignment w:val="baseline"/>
    </w:pPr>
    <w:rPr>
      <w:rFonts w:ascii="Times New Roman" w:eastAsia="Times New Roman" w:hAnsi="Times New Roman" w:cs="Times New Roman"/>
      <w:sz w:val="20"/>
      <w:szCs w:val="20"/>
      <w:lang w:eastAsia="pl-PL"/>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numbering" w:customStyle="1" w:styleId="Bezlisty8">
    <w:name w:val="Bez listy8"/>
    <w:next w:val="Bezlisty"/>
    <w:uiPriority w:val="99"/>
    <w:semiHidden/>
    <w:unhideWhenUsed/>
    <w:rsid w:val="00AD54A3"/>
  </w:style>
  <w:style w:type="numbering" w:customStyle="1" w:styleId="Bezlisty9">
    <w:name w:val="Bez listy9"/>
    <w:next w:val="Bezlisty"/>
    <w:uiPriority w:val="99"/>
    <w:semiHidden/>
    <w:unhideWhenUsed/>
    <w:rsid w:val="00AD54A3"/>
  </w:style>
  <w:style w:type="numbering" w:customStyle="1" w:styleId="Bezlisty10">
    <w:name w:val="Bez listy10"/>
    <w:next w:val="Bezlisty"/>
    <w:semiHidden/>
    <w:rsid w:val="00AD54A3"/>
  </w:style>
  <w:style w:type="character" w:customStyle="1" w:styleId="BezodstpwZnak">
    <w:name w:val="Bez odstępów Znak"/>
    <w:link w:val="Bezodstpw"/>
    <w:uiPriority w:val="1"/>
    <w:rsid w:val="00AD54A3"/>
    <w:rPr>
      <w:rFonts w:ascii="Calibri" w:eastAsia="Calibri" w:hAnsi="Calibri" w:cs="Times New Roman"/>
    </w:rPr>
  </w:style>
  <w:style w:type="table" w:customStyle="1" w:styleId="Tabela-Siatka5">
    <w:name w:val="Tabela - Siatka5"/>
    <w:basedOn w:val="Standardowy"/>
    <w:next w:val="Tabela-Siatka"/>
    <w:rsid w:val="00AD54A3"/>
    <w:pPr>
      <w:overflowPunct w:val="0"/>
      <w:autoSpaceDE w:val="0"/>
      <w:autoSpaceDN w:val="0"/>
      <w:adjustRightInd w:val="0"/>
      <w:spacing w:after="0" w:line="240" w:lineRule="auto"/>
      <w:jc w:val="both"/>
      <w:textAlignment w:val="baseline"/>
    </w:pPr>
    <w:rPr>
      <w:rFonts w:ascii="Times New Roman" w:eastAsia="Times New Roman" w:hAnsi="Times New Roman" w:cs="Times New Roman"/>
      <w:sz w:val="20"/>
      <w:szCs w:val="20"/>
      <w:lang w:eastAsia="pl-PL"/>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numbering" w:customStyle="1" w:styleId="Bezlisty11">
    <w:name w:val="Bez listy11"/>
    <w:next w:val="Bezlisty"/>
    <w:semiHidden/>
    <w:rsid w:val="00AD54A3"/>
  </w:style>
  <w:style w:type="table" w:customStyle="1" w:styleId="Tabela-Siatka6">
    <w:name w:val="Tabela - Siatka6"/>
    <w:basedOn w:val="Standardowy"/>
    <w:next w:val="Tabela-Siatka"/>
    <w:rsid w:val="00AD54A3"/>
    <w:pPr>
      <w:overflowPunct w:val="0"/>
      <w:autoSpaceDE w:val="0"/>
      <w:autoSpaceDN w:val="0"/>
      <w:adjustRightInd w:val="0"/>
      <w:spacing w:after="0" w:line="240" w:lineRule="auto"/>
      <w:jc w:val="both"/>
      <w:textAlignment w:val="baseline"/>
    </w:pPr>
    <w:rPr>
      <w:rFonts w:ascii="Times New Roman" w:eastAsia="Times New Roman" w:hAnsi="Times New Roman" w:cs="Times New Roman"/>
      <w:sz w:val="20"/>
      <w:szCs w:val="20"/>
      <w:lang w:eastAsia="pl-PL"/>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numbering" w:customStyle="1" w:styleId="Bezlisty12">
    <w:name w:val="Bez listy12"/>
    <w:next w:val="Bezlisty"/>
    <w:semiHidden/>
    <w:rsid w:val="00AD54A3"/>
  </w:style>
  <w:style w:type="paragraph" w:customStyle="1" w:styleId="Rysunek">
    <w:name w:val="Rysunek"/>
    <w:basedOn w:val="Normalny"/>
    <w:next w:val="Tekstpodstawowy"/>
    <w:rsid w:val="00AD54A3"/>
    <w:pPr>
      <w:keepLines/>
      <w:tabs>
        <w:tab w:val="left" w:pos="-720"/>
      </w:tabs>
      <w:suppressAutoHyphens/>
      <w:spacing w:before="260"/>
      <w:jc w:val="center"/>
    </w:pPr>
    <w:rPr>
      <w:b/>
      <w:noProof/>
      <w:sz w:val="24"/>
    </w:rPr>
  </w:style>
  <w:style w:type="numbering" w:customStyle="1" w:styleId="Bezlisty13">
    <w:name w:val="Bez listy13"/>
    <w:next w:val="Bezlisty"/>
    <w:semiHidden/>
    <w:rsid w:val="00AD54A3"/>
  </w:style>
  <w:style w:type="paragraph" w:customStyle="1" w:styleId="Tekstpodstawowy31">
    <w:name w:val="Tekst podstawowy 31"/>
    <w:basedOn w:val="Normalny"/>
    <w:rsid w:val="00AD54A3"/>
    <w:pPr>
      <w:widowControl w:val="0"/>
    </w:pPr>
    <w:rPr>
      <w:sz w:val="24"/>
    </w:rPr>
  </w:style>
  <w:style w:type="paragraph" w:customStyle="1" w:styleId="Wypunktowanie">
    <w:name w:val="Wypunktowanie"/>
    <w:basedOn w:val="Normalny"/>
    <w:rsid w:val="00AD54A3"/>
    <w:pPr>
      <w:widowControl w:val="0"/>
      <w:tabs>
        <w:tab w:val="left" w:pos="708"/>
      </w:tabs>
      <w:ind w:left="708" w:hanging="708"/>
      <w:jc w:val="left"/>
    </w:pPr>
    <w:rPr>
      <w:sz w:val="24"/>
    </w:rPr>
  </w:style>
  <w:style w:type="paragraph" w:customStyle="1" w:styleId="Numerowanie">
    <w:name w:val="Numerowanie"/>
    <w:basedOn w:val="Tekstpodstawowy"/>
    <w:rsid w:val="00AD54A3"/>
    <w:pPr>
      <w:widowControl w:val="0"/>
      <w:spacing w:line="240" w:lineRule="auto"/>
      <w:jc w:val="center"/>
    </w:pPr>
    <w:rPr>
      <w:sz w:val="24"/>
      <w:lang w:val="fr-FR"/>
    </w:rPr>
  </w:style>
  <w:style w:type="paragraph" w:customStyle="1" w:styleId="Tablica">
    <w:name w:val="Tablica"/>
    <w:basedOn w:val="Normalny"/>
    <w:next w:val="Normalny"/>
    <w:rsid w:val="00AD54A3"/>
    <w:pPr>
      <w:keepNext/>
      <w:keepLines/>
      <w:tabs>
        <w:tab w:val="left" w:pos="-720"/>
      </w:tabs>
      <w:suppressAutoHyphens/>
      <w:spacing w:before="120" w:line="360" w:lineRule="auto"/>
      <w:jc w:val="center"/>
    </w:pPr>
    <w:rPr>
      <w:b/>
      <w:sz w:val="24"/>
    </w:rPr>
  </w:style>
  <w:style w:type="paragraph" w:customStyle="1" w:styleId="Teksttablicy">
    <w:name w:val="Tekst tablicy"/>
    <w:basedOn w:val="Tekstpodstawowy"/>
    <w:next w:val="Tekstpodstawowy"/>
    <w:rsid w:val="00AD54A3"/>
    <w:pPr>
      <w:keepLines/>
      <w:overflowPunct/>
      <w:autoSpaceDE/>
      <w:autoSpaceDN/>
      <w:adjustRightInd/>
      <w:spacing w:line="240" w:lineRule="auto"/>
      <w:jc w:val="center"/>
      <w:textAlignment w:val="auto"/>
    </w:pPr>
    <w:rPr>
      <w:rFonts w:ascii="Arial" w:hAnsi="Arial" w:cs="Arial"/>
      <w:bCs/>
      <w:sz w:val="24"/>
      <w:lang w:val="fr-FR"/>
    </w:rPr>
  </w:style>
  <w:style w:type="character" w:customStyle="1" w:styleId="StandardowytekstZnak">
    <w:name w:val="Standardowy.tekst Znak"/>
    <w:link w:val="Standardowytekst"/>
    <w:rsid w:val="00AD54A3"/>
    <w:rPr>
      <w:rFonts w:ascii="Times New Roman" w:eastAsia="Times New Roman" w:hAnsi="Times New Roman" w:cs="Times New Roman"/>
      <w:sz w:val="20"/>
      <w:szCs w:val="20"/>
      <w:lang w:eastAsia="pl-PL"/>
    </w:rPr>
  </w:style>
  <w:style w:type="numbering" w:customStyle="1" w:styleId="Bezlisty14">
    <w:name w:val="Bez listy14"/>
    <w:next w:val="Bezlisty"/>
    <w:uiPriority w:val="99"/>
    <w:semiHidden/>
    <w:unhideWhenUsed/>
    <w:rsid w:val="00AD54A3"/>
  </w:style>
  <w:style w:type="numbering" w:customStyle="1" w:styleId="Bezlisty15">
    <w:name w:val="Bez listy15"/>
    <w:next w:val="Bezlisty"/>
    <w:semiHidden/>
    <w:rsid w:val="00AD54A3"/>
  </w:style>
  <w:style w:type="table" w:customStyle="1" w:styleId="Tabela-Siatka7">
    <w:name w:val="Tabela - Siatka7"/>
    <w:basedOn w:val="Standardowy"/>
    <w:next w:val="Tabela-Siatka"/>
    <w:rsid w:val="00AD54A3"/>
    <w:pPr>
      <w:overflowPunct w:val="0"/>
      <w:autoSpaceDE w:val="0"/>
      <w:autoSpaceDN w:val="0"/>
      <w:adjustRightInd w:val="0"/>
      <w:spacing w:after="0" w:line="240" w:lineRule="auto"/>
      <w:jc w:val="both"/>
      <w:textAlignment w:val="baseline"/>
    </w:pPr>
    <w:rPr>
      <w:rFonts w:ascii="Times New Roman" w:eastAsia="Times New Roman" w:hAnsi="Times New Roman" w:cs="Times New Roman"/>
      <w:sz w:val="20"/>
      <w:szCs w:val="20"/>
      <w:lang w:eastAsia="pl-PL"/>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numbering" w:customStyle="1" w:styleId="Bezlisty16">
    <w:name w:val="Bez listy16"/>
    <w:next w:val="Bezlisty"/>
    <w:uiPriority w:val="99"/>
    <w:semiHidden/>
    <w:unhideWhenUsed/>
    <w:rsid w:val="00AD54A3"/>
  </w:style>
  <w:style w:type="character" w:styleId="Wyrnienieintensywne">
    <w:name w:val="Intense Emphasis"/>
    <w:basedOn w:val="Domylnaczcionkaakapitu"/>
    <w:uiPriority w:val="21"/>
    <w:qFormat/>
    <w:rsid w:val="00134B2C"/>
    <w:rPr>
      <w:b/>
      <w:bCs/>
      <w:i/>
      <w:iCs/>
      <w:color w:val="4F81BD"/>
    </w:rPr>
  </w:style>
</w:styles>
</file>

<file path=word/webSettings.xml><?xml version="1.0" encoding="utf-8"?>
<w:webSettings xmlns:r="http://schemas.openxmlformats.org/officeDocument/2006/relationships" xmlns:w="http://schemas.openxmlformats.org/wordprocessingml/2006/main">
  <w:optimizeForBrowser/>
</w:webSettings>
</file>

<file path=word/_rels/document.xml.rels><?xml version="1.0" encoding="UTF-8" standalone="yes"?>
<Relationships xmlns="http://schemas.openxmlformats.org/package/2006/relationships"><Relationship Id="rId26" Type="http://schemas.openxmlformats.org/officeDocument/2006/relationships/image" Target="media/image16.wmf"/><Relationship Id="rId117" Type="http://schemas.openxmlformats.org/officeDocument/2006/relationships/fontTable" Target="fontTable.xml"/><Relationship Id="rId21" Type="http://schemas.openxmlformats.org/officeDocument/2006/relationships/image" Target="media/image13.wmf"/><Relationship Id="rId42" Type="http://schemas.openxmlformats.org/officeDocument/2006/relationships/image" Target="media/image30.wmf"/><Relationship Id="rId47" Type="http://schemas.openxmlformats.org/officeDocument/2006/relationships/image" Target="media/image33.png"/><Relationship Id="rId63" Type="http://schemas.openxmlformats.org/officeDocument/2006/relationships/image" Target="media/image45.jpeg"/><Relationship Id="rId68" Type="http://schemas.openxmlformats.org/officeDocument/2006/relationships/image" Target="media/image50.jpeg"/><Relationship Id="rId84" Type="http://schemas.openxmlformats.org/officeDocument/2006/relationships/image" Target="media/image66.png"/><Relationship Id="rId89" Type="http://schemas.openxmlformats.org/officeDocument/2006/relationships/image" Target="media/image71.png"/><Relationship Id="rId112" Type="http://schemas.openxmlformats.org/officeDocument/2006/relationships/image" Target="media/image92.png"/><Relationship Id="rId16" Type="http://schemas.openxmlformats.org/officeDocument/2006/relationships/image" Target="media/image9.png"/><Relationship Id="rId107" Type="http://schemas.openxmlformats.org/officeDocument/2006/relationships/image" Target="media/image89.png"/><Relationship Id="rId11" Type="http://schemas.openxmlformats.org/officeDocument/2006/relationships/image" Target="media/image4.png"/><Relationship Id="rId24" Type="http://schemas.openxmlformats.org/officeDocument/2006/relationships/oleObject" Target="embeddings/oleObject3.bin"/><Relationship Id="rId32" Type="http://schemas.openxmlformats.org/officeDocument/2006/relationships/image" Target="media/image21.png"/><Relationship Id="rId37" Type="http://schemas.openxmlformats.org/officeDocument/2006/relationships/image" Target="media/image26.wmf"/><Relationship Id="rId40" Type="http://schemas.openxmlformats.org/officeDocument/2006/relationships/image" Target="media/image28.png"/><Relationship Id="rId45" Type="http://schemas.openxmlformats.org/officeDocument/2006/relationships/oleObject" Target="embeddings/oleObject7.bin"/><Relationship Id="rId53" Type="http://schemas.openxmlformats.org/officeDocument/2006/relationships/oleObject" Target="embeddings/oleObject11.bin"/><Relationship Id="rId58" Type="http://schemas.openxmlformats.org/officeDocument/2006/relationships/image" Target="media/image40.jpeg"/><Relationship Id="rId66" Type="http://schemas.openxmlformats.org/officeDocument/2006/relationships/image" Target="media/image48.jpeg"/><Relationship Id="rId74" Type="http://schemas.openxmlformats.org/officeDocument/2006/relationships/image" Target="media/image56.png"/><Relationship Id="rId79" Type="http://schemas.openxmlformats.org/officeDocument/2006/relationships/image" Target="media/image61.png"/><Relationship Id="rId87" Type="http://schemas.openxmlformats.org/officeDocument/2006/relationships/image" Target="media/image69.png"/><Relationship Id="rId102" Type="http://schemas.openxmlformats.org/officeDocument/2006/relationships/image" Target="media/image84.png"/><Relationship Id="rId110" Type="http://schemas.openxmlformats.org/officeDocument/2006/relationships/footer" Target="footer2.xml"/><Relationship Id="rId115" Type="http://schemas.openxmlformats.org/officeDocument/2006/relationships/header" Target="header1.xml"/><Relationship Id="rId5" Type="http://schemas.openxmlformats.org/officeDocument/2006/relationships/webSettings" Target="webSettings.xml"/><Relationship Id="rId61" Type="http://schemas.openxmlformats.org/officeDocument/2006/relationships/image" Target="media/image43.jpeg"/><Relationship Id="rId82" Type="http://schemas.openxmlformats.org/officeDocument/2006/relationships/image" Target="media/image64.png"/><Relationship Id="rId90" Type="http://schemas.openxmlformats.org/officeDocument/2006/relationships/image" Target="media/image72.png"/><Relationship Id="rId95" Type="http://schemas.openxmlformats.org/officeDocument/2006/relationships/image" Target="media/image77.png"/><Relationship Id="rId19" Type="http://schemas.openxmlformats.org/officeDocument/2006/relationships/image" Target="media/image12.wmf"/><Relationship Id="rId14" Type="http://schemas.openxmlformats.org/officeDocument/2006/relationships/image" Target="media/image7.png"/><Relationship Id="rId22" Type="http://schemas.openxmlformats.org/officeDocument/2006/relationships/oleObject" Target="embeddings/oleObject2.bin"/><Relationship Id="rId27" Type="http://schemas.openxmlformats.org/officeDocument/2006/relationships/oleObject" Target="embeddings/oleObject4.bin"/><Relationship Id="rId30" Type="http://schemas.openxmlformats.org/officeDocument/2006/relationships/image" Target="media/image19.png"/><Relationship Id="rId35" Type="http://schemas.openxmlformats.org/officeDocument/2006/relationships/image" Target="media/image24.wmf"/><Relationship Id="rId43" Type="http://schemas.openxmlformats.org/officeDocument/2006/relationships/oleObject" Target="embeddings/oleObject6.bin"/><Relationship Id="rId48" Type="http://schemas.openxmlformats.org/officeDocument/2006/relationships/image" Target="media/image34.png"/><Relationship Id="rId56" Type="http://schemas.openxmlformats.org/officeDocument/2006/relationships/image" Target="media/image38.jpeg"/><Relationship Id="rId64" Type="http://schemas.openxmlformats.org/officeDocument/2006/relationships/image" Target="media/image46.jpeg"/><Relationship Id="rId69" Type="http://schemas.openxmlformats.org/officeDocument/2006/relationships/image" Target="media/image51.jpeg"/><Relationship Id="rId77" Type="http://schemas.openxmlformats.org/officeDocument/2006/relationships/image" Target="media/image59.png"/><Relationship Id="rId100" Type="http://schemas.openxmlformats.org/officeDocument/2006/relationships/image" Target="media/image82.png"/><Relationship Id="rId105" Type="http://schemas.openxmlformats.org/officeDocument/2006/relationships/image" Target="media/image87.png"/><Relationship Id="rId113" Type="http://schemas.openxmlformats.org/officeDocument/2006/relationships/image" Target="media/image93.png"/><Relationship Id="rId118" Type="http://schemas.openxmlformats.org/officeDocument/2006/relationships/theme" Target="theme/theme1.xml"/><Relationship Id="rId8" Type="http://schemas.openxmlformats.org/officeDocument/2006/relationships/image" Target="media/image1.png"/><Relationship Id="rId51" Type="http://schemas.openxmlformats.org/officeDocument/2006/relationships/oleObject" Target="embeddings/oleObject9.bin"/><Relationship Id="rId72" Type="http://schemas.openxmlformats.org/officeDocument/2006/relationships/image" Target="media/image54.png"/><Relationship Id="rId80" Type="http://schemas.openxmlformats.org/officeDocument/2006/relationships/image" Target="media/image62.png"/><Relationship Id="rId85" Type="http://schemas.openxmlformats.org/officeDocument/2006/relationships/image" Target="media/image67.png"/><Relationship Id="rId93" Type="http://schemas.openxmlformats.org/officeDocument/2006/relationships/image" Target="media/image75.png"/><Relationship Id="rId98" Type="http://schemas.openxmlformats.org/officeDocument/2006/relationships/image" Target="media/image80.wmf"/><Relationship Id="rId3" Type="http://schemas.openxmlformats.org/officeDocument/2006/relationships/styles" Target="styles.xml"/><Relationship Id="rId12" Type="http://schemas.openxmlformats.org/officeDocument/2006/relationships/image" Target="media/image5.png"/><Relationship Id="rId17" Type="http://schemas.openxmlformats.org/officeDocument/2006/relationships/image" Target="media/image10.png"/><Relationship Id="rId25" Type="http://schemas.openxmlformats.org/officeDocument/2006/relationships/image" Target="media/image15.png"/><Relationship Id="rId33" Type="http://schemas.openxmlformats.org/officeDocument/2006/relationships/image" Target="media/image22.wmf"/><Relationship Id="rId38" Type="http://schemas.openxmlformats.org/officeDocument/2006/relationships/oleObject" Target="embeddings/oleObject5.bin"/><Relationship Id="rId46" Type="http://schemas.openxmlformats.org/officeDocument/2006/relationships/image" Target="media/image32.png"/><Relationship Id="rId59" Type="http://schemas.openxmlformats.org/officeDocument/2006/relationships/image" Target="media/image41.jpeg"/><Relationship Id="rId67" Type="http://schemas.openxmlformats.org/officeDocument/2006/relationships/image" Target="media/image49.jpeg"/><Relationship Id="rId103" Type="http://schemas.openxmlformats.org/officeDocument/2006/relationships/image" Target="media/image85.png"/><Relationship Id="rId108" Type="http://schemas.openxmlformats.org/officeDocument/2006/relationships/image" Target="media/image90.png"/><Relationship Id="rId116" Type="http://schemas.openxmlformats.org/officeDocument/2006/relationships/footer" Target="footer3.xml"/><Relationship Id="rId20" Type="http://schemas.openxmlformats.org/officeDocument/2006/relationships/oleObject" Target="embeddings/oleObject1.bin"/><Relationship Id="rId41" Type="http://schemas.openxmlformats.org/officeDocument/2006/relationships/image" Target="media/image29.png"/><Relationship Id="rId54" Type="http://schemas.openxmlformats.org/officeDocument/2006/relationships/image" Target="media/image36.png"/><Relationship Id="rId62" Type="http://schemas.openxmlformats.org/officeDocument/2006/relationships/image" Target="media/image44.jpeg"/><Relationship Id="rId70" Type="http://schemas.openxmlformats.org/officeDocument/2006/relationships/image" Target="media/image52.jpeg"/><Relationship Id="rId75" Type="http://schemas.openxmlformats.org/officeDocument/2006/relationships/image" Target="media/image57.png"/><Relationship Id="rId83" Type="http://schemas.openxmlformats.org/officeDocument/2006/relationships/image" Target="media/image65.png"/><Relationship Id="rId88" Type="http://schemas.openxmlformats.org/officeDocument/2006/relationships/image" Target="media/image70.png"/><Relationship Id="rId91" Type="http://schemas.openxmlformats.org/officeDocument/2006/relationships/image" Target="media/image73.png"/><Relationship Id="rId96" Type="http://schemas.openxmlformats.org/officeDocument/2006/relationships/image" Target="media/image78.png"/><Relationship Id="rId111" Type="http://schemas.openxmlformats.org/officeDocument/2006/relationships/image" Target="media/image91.png"/><Relationship Id="rId1" Type="http://schemas.openxmlformats.org/officeDocument/2006/relationships/customXml" Target="../customXml/item1.xml"/><Relationship Id="rId6" Type="http://schemas.openxmlformats.org/officeDocument/2006/relationships/footnotes" Target="footnotes.xml"/><Relationship Id="rId15" Type="http://schemas.openxmlformats.org/officeDocument/2006/relationships/image" Target="media/image8.png"/><Relationship Id="rId23" Type="http://schemas.openxmlformats.org/officeDocument/2006/relationships/image" Target="media/image14.wmf"/><Relationship Id="rId28" Type="http://schemas.openxmlformats.org/officeDocument/2006/relationships/image" Target="media/image17.png"/><Relationship Id="rId36" Type="http://schemas.openxmlformats.org/officeDocument/2006/relationships/image" Target="media/image25.png"/><Relationship Id="rId49" Type="http://schemas.openxmlformats.org/officeDocument/2006/relationships/image" Target="media/image35.png"/><Relationship Id="rId57" Type="http://schemas.openxmlformats.org/officeDocument/2006/relationships/image" Target="media/image39.jpeg"/><Relationship Id="rId106" Type="http://schemas.openxmlformats.org/officeDocument/2006/relationships/image" Target="media/image88.png"/><Relationship Id="rId114" Type="http://schemas.openxmlformats.org/officeDocument/2006/relationships/image" Target="media/image94.png"/><Relationship Id="rId10" Type="http://schemas.openxmlformats.org/officeDocument/2006/relationships/image" Target="media/image3.png"/><Relationship Id="rId31" Type="http://schemas.openxmlformats.org/officeDocument/2006/relationships/image" Target="media/image20.png"/><Relationship Id="rId44" Type="http://schemas.openxmlformats.org/officeDocument/2006/relationships/image" Target="media/image31.wmf"/><Relationship Id="rId52" Type="http://schemas.openxmlformats.org/officeDocument/2006/relationships/oleObject" Target="embeddings/oleObject10.bin"/><Relationship Id="rId60" Type="http://schemas.openxmlformats.org/officeDocument/2006/relationships/image" Target="media/image42.jpeg"/><Relationship Id="rId65" Type="http://schemas.openxmlformats.org/officeDocument/2006/relationships/image" Target="media/image47.jpeg"/><Relationship Id="rId73" Type="http://schemas.openxmlformats.org/officeDocument/2006/relationships/image" Target="media/image55.png"/><Relationship Id="rId78" Type="http://schemas.openxmlformats.org/officeDocument/2006/relationships/image" Target="media/image60.png"/><Relationship Id="rId81" Type="http://schemas.openxmlformats.org/officeDocument/2006/relationships/image" Target="media/image63.png"/><Relationship Id="rId86" Type="http://schemas.openxmlformats.org/officeDocument/2006/relationships/image" Target="media/image68.png"/><Relationship Id="rId94" Type="http://schemas.openxmlformats.org/officeDocument/2006/relationships/image" Target="media/image76.png"/><Relationship Id="rId99" Type="http://schemas.openxmlformats.org/officeDocument/2006/relationships/image" Target="media/image81.png"/><Relationship Id="rId101" Type="http://schemas.openxmlformats.org/officeDocument/2006/relationships/image" Target="media/image83.png"/><Relationship Id="rId4" Type="http://schemas.openxmlformats.org/officeDocument/2006/relationships/settings" Target="settings.xml"/><Relationship Id="rId9" Type="http://schemas.openxmlformats.org/officeDocument/2006/relationships/image" Target="media/image2.png"/><Relationship Id="rId13" Type="http://schemas.openxmlformats.org/officeDocument/2006/relationships/image" Target="media/image6.png"/><Relationship Id="rId18" Type="http://schemas.openxmlformats.org/officeDocument/2006/relationships/image" Target="media/image11.png"/><Relationship Id="rId39" Type="http://schemas.openxmlformats.org/officeDocument/2006/relationships/image" Target="media/image27.png"/><Relationship Id="rId109" Type="http://schemas.openxmlformats.org/officeDocument/2006/relationships/footer" Target="footer1.xml"/><Relationship Id="rId34" Type="http://schemas.openxmlformats.org/officeDocument/2006/relationships/image" Target="media/image23.wmf"/><Relationship Id="rId50" Type="http://schemas.openxmlformats.org/officeDocument/2006/relationships/oleObject" Target="embeddings/oleObject8.bin"/><Relationship Id="rId55" Type="http://schemas.openxmlformats.org/officeDocument/2006/relationships/image" Target="media/image37.png"/><Relationship Id="rId76" Type="http://schemas.openxmlformats.org/officeDocument/2006/relationships/image" Target="media/image58.png"/><Relationship Id="rId97" Type="http://schemas.openxmlformats.org/officeDocument/2006/relationships/image" Target="media/image79.png"/><Relationship Id="rId104" Type="http://schemas.openxmlformats.org/officeDocument/2006/relationships/image" Target="media/image86.png"/><Relationship Id="rId7" Type="http://schemas.openxmlformats.org/officeDocument/2006/relationships/endnotes" Target="endnotes.xml"/><Relationship Id="rId71" Type="http://schemas.openxmlformats.org/officeDocument/2006/relationships/image" Target="media/image53.jpeg"/><Relationship Id="rId92" Type="http://schemas.openxmlformats.org/officeDocument/2006/relationships/image" Target="media/image74.png"/><Relationship Id="rId2" Type="http://schemas.openxmlformats.org/officeDocument/2006/relationships/numbering" Target="numbering.xml"/><Relationship Id="rId29" Type="http://schemas.openxmlformats.org/officeDocument/2006/relationships/image" Target="media/image18.png"/></Relationships>
</file>

<file path=word/theme/theme1.xml><?xml version="1.0" encoding="utf-8"?>
<a:theme xmlns:a="http://schemas.openxmlformats.org/drawingml/2006/main" name="Motyw pakietu Office">
  <a:themeElements>
    <a:clrScheme name="Pakiet 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Pakiet 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Pakiet 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4BBDADD3-6F82-4B88-A958-E1B0A87F3C2A}">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504</TotalTime>
  <Pages>329</Pages>
  <Words>120540</Words>
  <Characters>723241</Characters>
  <Application>Microsoft Office Word</Application>
  <DocSecurity>0</DocSecurity>
  <Lines>6027</Lines>
  <Paragraphs>1684</Paragraphs>
  <ScaleCrop>false</ScaleCrop>
  <HeadingPairs>
    <vt:vector size="2" baseType="variant">
      <vt:variant>
        <vt:lpstr>Tytuł</vt:lpstr>
      </vt:variant>
      <vt:variant>
        <vt:i4>1</vt:i4>
      </vt:variant>
    </vt:vector>
  </HeadingPairs>
  <TitlesOfParts>
    <vt:vector size="1" baseType="lpstr">
      <vt:lpstr>Przebudowa chodnika na ciąg pieszo-rowerowy na ul. Grunwaldzkiej</vt:lpstr>
    </vt:vector>
  </TitlesOfParts>
  <Company/>
  <LinksUpToDate>false</LinksUpToDate>
  <CharactersWithSpaces>842097</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Przebudowa chodnika na ciąg pieszo-rowerowy na ul. Grunwaldzkiej</dc:title>
  <dc:creator>NUSS013</dc:creator>
  <cp:lastModifiedBy>DM</cp:lastModifiedBy>
  <cp:revision>34</cp:revision>
  <cp:lastPrinted>2015-11-16T19:13:00Z</cp:lastPrinted>
  <dcterms:created xsi:type="dcterms:W3CDTF">2015-12-14T20:10:00Z</dcterms:created>
  <dcterms:modified xsi:type="dcterms:W3CDTF">2015-12-18T20:57:00Z</dcterms:modified>
</cp:coreProperties>
</file>